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E68" w:rsidRPr="00813003" w:rsidRDefault="00694E68" w:rsidP="00694E68">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694E68" w:rsidRPr="00813003" w:rsidRDefault="00694E68" w:rsidP="00694E68">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3.10.2021</w:t>
      </w:r>
    </w:p>
    <w:p w:rsidR="00694E68" w:rsidRPr="005875A9" w:rsidRDefault="00694E68" w:rsidP="00694E68">
      <w:pPr>
        <w:tabs>
          <w:tab w:val="center" w:pos="6321"/>
        </w:tabs>
        <w:spacing w:after="0" w:line="240" w:lineRule="auto"/>
        <w:ind w:firstLine="454"/>
        <w:jc w:val="center"/>
        <w:rPr>
          <w:rFonts w:cs="FrankRuehl"/>
          <w:sz w:val="24"/>
          <w:szCs w:val="24"/>
        </w:rPr>
      </w:pPr>
    </w:p>
    <w:p w:rsidR="00694E68" w:rsidRPr="005F00E0" w:rsidRDefault="00694E68" w:rsidP="00694E68">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על אודות</w:t>
      </w:r>
      <w:r>
        <w:rPr>
          <w:rFonts w:cs="FrankRuehl" w:hint="cs"/>
          <w:sz w:val="28"/>
          <w:szCs w:val="28"/>
          <w:rtl/>
        </w:rPr>
        <w:t xml:space="preserve"> נתונים של בתי משפט השלום,</w:t>
      </w:r>
      <w:r w:rsidRPr="00081455">
        <w:rPr>
          <w:rFonts w:cs="FrankRuehl" w:hint="cs"/>
          <w:sz w:val="28"/>
          <w:szCs w:val="28"/>
          <w:rtl/>
        </w:rPr>
        <w:t xml:space="preserve"> נבחנה והוחלט</w:t>
      </w:r>
      <w:r>
        <w:rPr>
          <w:rFonts w:cs="FrankRuehl" w:hint="cs"/>
          <w:sz w:val="28"/>
          <w:szCs w:val="28"/>
          <w:rtl/>
        </w:rPr>
        <w:t xml:space="preserve"> שניתן להיעתר לה באופן חלקי. </w:t>
      </w:r>
    </w:p>
    <w:p w:rsidR="00694E68" w:rsidRPr="005F00E0" w:rsidRDefault="00694E68" w:rsidP="00694E68">
      <w:pPr>
        <w:pStyle w:val="a3"/>
        <w:autoSpaceDN w:val="0"/>
        <w:spacing w:after="200" w:line="360" w:lineRule="auto"/>
        <w:jc w:val="both"/>
        <w:rPr>
          <w:rFonts w:ascii="FrankRuehl" w:hAnsi="FrankRuehl" w:cs="FrankRuehl"/>
          <w:sz w:val="28"/>
          <w:szCs w:val="28"/>
        </w:rPr>
      </w:pPr>
    </w:p>
    <w:p w:rsidR="00694E68" w:rsidRPr="005F00E0" w:rsidRDefault="00694E68" w:rsidP="00694E68">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לעניין סעיפים 4.3.2, 4.3.3, 5.2.2, 5.2.3, 6.2.2, 6.2.3 בבקשתך, אודות נתונים על בתי  משפט, אשיב כי בקשתך התקבלה.</w:t>
      </w:r>
    </w:p>
    <w:p w:rsidR="00694E68" w:rsidRPr="005F00E0" w:rsidRDefault="00694E68" w:rsidP="00694E68">
      <w:pPr>
        <w:pStyle w:val="a3"/>
        <w:autoSpaceDN w:val="0"/>
        <w:spacing w:after="200" w:line="360" w:lineRule="auto"/>
        <w:jc w:val="both"/>
        <w:rPr>
          <w:rFonts w:ascii="FrankRuehl" w:hAnsi="FrankRuehl" w:cs="FrankRuehl"/>
          <w:sz w:val="28"/>
          <w:szCs w:val="28"/>
        </w:rPr>
      </w:pPr>
      <w:r>
        <w:rPr>
          <w:rFonts w:cs="FrankRuehl" w:hint="cs"/>
          <w:sz w:val="28"/>
          <w:szCs w:val="28"/>
          <w:rtl/>
        </w:rPr>
        <w:t>מצ"ב המידע המבוקש:</w:t>
      </w:r>
    </w:p>
    <w:tbl>
      <w:tblPr>
        <w:bidiVisual/>
        <w:tblW w:w="5300" w:type="dxa"/>
        <w:tblInd w:w="661" w:type="dxa"/>
        <w:tblLook w:val="04A0" w:firstRow="1" w:lastRow="0" w:firstColumn="1" w:lastColumn="0" w:noHBand="0" w:noVBand="1"/>
      </w:tblPr>
      <w:tblGrid>
        <w:gridCol w:w="901"/>
        <w:gridCol w:w="1219"/>
        <w:gridCol w:w="1060"/>
        <w:gridCol w:w="901"/>
        <w:gridCol w:w="1219"/>
      </w:tblGrid>
      <w:tr w:rsidR="00694E68" w:rsidRPr="005F00E0" w:rsidTr="00B67C56">
        <w:trPr>
          <w:trHeight w:val="276"/>
        </w:trPr>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4.3.2</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4.3.3</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p>
        </w:tc>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61,494</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17,150</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61,019</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17,656</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62,503</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19,182</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60,571</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16,764</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42,754</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11,327</w:t>
            </w:r>
          </w:p>
        </w:tc>
      </w:tr>
      <w:tr w:rsidR="00694E68" w:rsidRPr="005F00E0" w:rsidTr="00B67C56">
        <w:trPr>
          <w:trHeight w:val="276"/>
        </w:trPr>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r>
      <w:tr w:rsidR="00694E68" w:rsidRPr="005F00E0" w:rsidTr="00B67C56">
        <w:trPr>
          <w:trHeight w:val="276"/>
        </w:trPr>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r>
      <w:tr w:rsidR="00694E68" w:rsidRPr="005F00E0" w:rsidTr="00B67C56">
        <w:trPr>
          <w:trHeight w:val="276"/>
        </w:trPr>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5.2.2</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5.2.3</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p>
        </w:tc>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9,246</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3,463</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8,424</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3,298</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7,381</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3,307</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5,709</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2,619</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4,552</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1,829</w:t>
            </w:r>
          </w:p>
        </w:tc>
      </w:tr>
      <w:tr w:rsidR="00694E68" w:rsidRPr="005F00E0" w:rsidTr="00B67C56">
        <w:trPr>
          <w:trHeight w:val="276"/>
        </w:trPr>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r>
      <w:tr w:rsidR="00694E68" w:rsidRPr="005F00E0" w:rsidTr="00B67C56">
        <w:trPr>
          <w:trHeight w:val="276"/>
        </w:trPr>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901"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c>
          <w:tcPr>
            <w:tcW w:w="1219"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rPr>
                <w:rFonts w:ascii="Times New Roman" w:eastAsia="Times New Roman" w:hAnsi="Times New Roman" w:cs="Times New Roman"/>
                <w:sz w:val="20"/>
                <w:szCs w:val="20"/>
              </w:rPr>
            </w:pPr>
          </w:p>
        </w:tc>
      </w:tr>
      <w:tr w:rsidR="00694E68" w:rsidRPr="005F00E0" w:rsidTr="00B67C56">
        <w:trPr>
          <w:trHeight w:val="276"/>
        </w:trPr>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6.2.2</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2120" w:type="dxa"/>
            <w:gridSpan w:val="2"/>
            <w:tcBorders>
              <w:top w:val="nil"/>
              <w:left w:val="nil"/>
              <w:bottom w:val="single" w:sz="4" w:space="0" w:color="auto"/>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6.2.3</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p>
        </w:tc>
        <w:tc>
          <w:tcPr>
            <w:tcW w:w="901"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Pr>
            </w:pPr>
            <w:r w:rsidRPr="005F00E0">
              <w:rPr>
                <w:rFonts w:ascii="Arial" w:eastAsia="Times New Roman" w:hAnsi="Arial" w:cs="Arial"/>
                <w:b/>
                <w:bCs/>
                <w:color w:val="000000"/>
                <w:rtl/>
              </w:rPr>
              <w:t>שנה</w:t>
            </w:r>
          </w:p>
        </w:tc>
        <w:tc>
          <w:tcPr>
            <w:tcW w:w="1219" w:type="dxa"/>
            <w:tcBorders>
              <w:top w:val="nil"/>
              <w:left w:val="single" w:sz="4" w:space="0" w:color="auto"/>
              <w:bottom w:val="single" w:sz="4" w:space="0" w:color="auto"/>
              <w:right w:val="single" w:sz="4" w:space="0" w:color="auto"/>
            </w:tcBorders>
            <w:shd w:val="clear" w:color="000000" w:fill="9BC2E6"/>
            <w:noWrap/>
            <w:vAlign w:val="bottom"/>
            <w:hideMark/>
          </w:tcPr>
          <w:p w:rsidR="00694E68" w:rsidRPr="005F00E0" w:rsidRDefault="00694E68" w:rsidP="00B67C56">
            <w:pPr>
              <w:spacing w:after="0" w:line="240" w:lineRule="auto"/>
              <w:jc w:val="center"/>
              <w:rPr>
                <w:rFonts w:ascii="Arial" w:eastAsia="Times New Roman" w:hAnsi="Arial" w:cs="Arial"/>
                <w:b/>
                <w:bCs/>
                <w:color w:val="000000"/>
                <w:rtl/>
              </w:rPr>
            </w:pPr>
            <w:r w:rsidRPr="005F00E0">
              <w:rPr>
                <w:rFonts w:ascii="Arial" w:eastAsia="Times New Roman" w:hAnsi="Arial" w:cs="Arial"/>
                <w:b/>
                <w:bCs/>
                <w:color w:val="000000"/>
                <w:rtl/>
              </w:rPr>
              <w:t>כמות</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tl/>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1,735</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2017</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34</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1,717</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2018</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43</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1,731</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2019</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57</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1,509</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2020</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41</w:t>
            </w:r>
          </w:p>
        </w:tc>
      </w:tr>
      <w:tr w:rsidR="00694E68" w:rsidRPr="005F00E0" w:rsidTr="00B67C56">
        <w:trPr>
          <w:trHeight w:val="276"/>
        </w:trPr>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1,132</w:t>
            </w:r>
          </w:p>
        </w:tc>
        <w:tc>
          <w:tcPr>
            <w:tcW w:w="1060" w:type="dxa"/>
            <w:tcBorders>
              <w:top w:val="nil"/>
              <w:left w:val="nil"/>
              <w:bottom w:val="nil"/>
              <w:right w:val="nil"/>
            </w:tcBorders>
            <w:shd w:val="clear" w:color="auto" w:fill="auto"/>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p>
        </w:tc>
        <w:tc>
          <w:tcPr>
            <w:tcW w:w="901"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2021</w:t>
            </w:r>
          </w:p>
        </w:tc>
        <w:tc>
          <w:tcPr>
            <w:tcW w:w="1219" w:type="dxa"/>
            <w:tcBorders>
              <w:top w:val="nil"/>
              <w:left w:val="single" w:sz="4" w:space="0" w:color="auto"/>
              <w:bottom w:val="single" w:sz="4" w:space="0" w:color="auto"/>
              <w:right w:val="single" w:sz="4" w:space="0" w:color="auto"/>
            </w:tcBorders>
            <w:shd w:val="clear" w:color="000000" w:fill="DDEBF7"/>
            <w:noWrap/>
            <w:vAlign w:val="bottom"/>
            <w:hideMark/>
          </w:tcPr>
          <w:p w:rsidR="00694E68" w:rsidRPr="005F00E0" w:rsidRDefault="00694E68" w:rsidP="00B67C56">
            <w:pPr>
              <w:bidi w:val="0"/>
              <w:spacing w:after="0" w:line="240" w:lineRule="auto"/>
              <w:jc w:val="center"/>
              <w:rPr>
                <w:rFonts w:ascii="Arial" w:eastAsia="Times New Roman" w:hAnsi="Arial" w:cs="Arial"/>
                <w:color w:val="000000"/>
              </w:rPr>
            </w:pPr>
            <w:r w:rsidRPr="005F00E0">
              <w:rPr>
                <w:rFonts w:ascii="Arial" w:eastAsia="Times New Roman" w:hAnsi="Arial" w:cs="Arial"/>
                <w:color w:val="000000"/>
              </w:rPr>
              <w:t>32</w:t>
            </w:r>
          </w:p>
        </w:tc>
      </w:tr>
    </w:tbl>
    <w:p w:rsidR="00694E68" w:rsidRDefault="00694E68" w:rsidP="00694E68">
      <w:pPr>
        <w:pStyle w:val="a3"/>
        <w:autoSpaceDN w:val="0"/>
        <w:spacing w:after="200" w:line="360" w:lineRule="auto"/>
        <w:jc w:val="both"/>
        <w:rPr>
          <w:rFonts w:cs="FrankRuehl"/>
          <w:sz w:val="28"/>
          <w:szCs w:val="28"/>
          <w:rtl/>
        </w:rPr>
      </w:pPr>
    </w:p>
    <w:p w:rsidR="00694E68" w:rsidRDefault="00694E68" w:rsidP="00694E68">
      <w:pPr>
        <w:pStyle w:val="a3"/>
        <w:autoSpaceDN w:val="0"/>
        <w:spacing w:after="200" w:line="360" w:lineRule="auto"/>
        <w:jc w:val="both"/>
        <w:rPr>
          <w:rFonts w:ascii="FrankRuehl" w:hAnsi="FrankRuehl" w:cs="FrankRuehl"/>
          <w:sz w:val="28"/>
          <w:szCs w:val="28"/>
          <w:rtl/>
        </w:rPr>
      </w:pPr>
      <w:r>
        <w:rPr>
          <w:rFonts w:ascii="FrankRuehl" w:hAnsi="FrankRuehl" w:cs="FrankRuehl" w:hint="cs"/>
          <w:sz w:val="28"/>
          <w:szCs w:val="28"/>
          <w:rtl/>
        </w:rPr>
        <w:t xml:space="preserve">אציין כי הנתונים לשנת 2021 נכונים לתאריך 1.10.2021. </w:t>
      </w:r>
    </w:p>
    <w:p w:rsidR="00694E68" w:rsidRPr="005F00E0" w:rsidRDefault="00694E68" w:rsidP="00694E68">
      <w:pPr>
        <w:pStyle w:val="a3"/>
        <w:autoSpaceDN w:val="0"/>
        <w:spacing w:after="200" w:line="360" w:lineRule="auto"/>
        <w:jc w:val="both"/>
        <w:rPr>
          <w:rFonts w:ascii="FrankRuehl" w:hAnsi="FrankRuehl" w:cs="FrankRuehl"/>
          <w:sz w:val="28"/>
          <w:szCs w:val="28"/>
        </w:rPr>
      </w:pPr>
    </w:p>
    <w:p w:rsidR="00694E68" w:rsidRPr="009A6AC9" w:rsidRDefault="00694E68" w:rsidP="00694E68">
      <w:pPr>
        <w:pStyle w:val="a3"/>
        <w:numPr>
          <w:ilvl w:val="0"/>
          <w:numId w:val="1"/>
        </w:numPr>
        <w:autoSpaceDN w:val="0"/>
        <w:spacing w:after="200" w:line="480" w:lineRule="auto"/>
        <w:jc w:val="both"/>
        <w:rPr>
          <w:rFonts w:ascii="Calibri" w:hAnsi="Calibri" w:cs="Calibri"/>
          <w:color w:val="1F497D"/>
        </w:rPr>
      </w:pPr>
      <w:r w:rsidRPr="009A6AC9">
        <w:rPr>
          <w:rFonts w:ascii="FrankRuehl" w:hAnsi="FrankRuehl" w:cs="FrankRuehl"/>
          <w:sz w:val="28"/>
          <w:szCs w:val="28"/>
          <w:rtl/>
        </w:rPr>
        <w:t>לעניין סעי</w:t>
      </w:r>
      <w:r w:rsidRPr="009A6AC9">
        <w:rPr>
          <w:rFonts w:ascii="FrankRuehl" w:hAnsi="FrankRuehl" w:cs="FrankRuehl" w:hint="cs"/>
          <w:sz w:val="28"/>
          <w:szCs w:val="28"/>
          <w:rtl/>
        </w:rPr>
        <w:t>פים 4.1.1, 4.1.2, 4.1.3 בבקשתך</w:t>
      </w:r>
      <w:r w:rsidRPr="009A6AC9">
        <w:rPr>
          <w:rFonts w:ascii="FrankRuehl" w:hAnsi="FrankRuehl" w:cs="FrankRuehl"/>
          <w:sz w:val="28"/>
          <w:szCs w:val="28"/>
          <w:rtl/>
        </w:rPr>
        <w:t xml:space="preserve">, </w:t>
      </w:r>
      <w:r w:rsidRPr="009A6AC9">
        <w:rPr>
          <w:rFonts w:ascii="FrankRuehl" w:hAnsi="FrankRuehl" w:cs="FrankRuehl" w:hint="cs"/>
          <w:sz w:val="28"/>
          <w:szCs w:val="28"/>
          <w:rtl/>
        </w:rPr>
        <w:t xml:space="preserve">אודות ישיבות </w:t>
      </w:r>
      <w:proofErr w:type="spellStart"/>
      <w:r w:rsidRPr="009A6AC9">
        <w:rPr>
          <w:rFonts w:ascii="FrankRuehl" w:hAnsi="FrankRuehl" w:cs="FrankRuehl" w:hint="cs"/>
          <w:sz w:val="28"/>
          <w:szCs w:val="28"/>
          <w:rtl/>
        </w:rPr>
        <w:t>מהו"ת</w:t>
      </w:r>
      <w:proofErr w:type="spellEnd"/>
      <w:r w:rsidRPr="009A6AC9">
        <w:rPr>
          <w:rFonts w:ascii="FrankRuehl" w:hAnsi="FrankRuehl" w:cs="FrankRuehl" w:hint="cs"/>
          <w:sz w:val="28"/>
          <w:szCs w:val="28"/>
          <w:rtl/>
        </w:rPr>
        <w:t xml:space="preserve">, </w:t>
      </w:r>
      <w:r w:rsidRPr="009A6AC9">
        <w:rPr>
          <w:rFonts w:ascii="FrankRuehl" w:hAnsi="FrankRuehl" w:cs="FrankRuehl"/>
          <w:sz w:val="28"/>
          <w:szCs w:val="28"/>
          <w:rtl/>
        </w:rPr>
        <w:t xml:space="preserve">אשיב כי בקשתך </w:t>
      </w:r>
      <w:r>
        <w:rPr>
          <w:rFonts w:ascii="FrankRuehl" w:hAnsi="FrankRuehl" w:cs="FrankRuehl" w:hint="cs"/>
          <w:sz w:val="28"/>
          <w:szCs w:val="28"/>
          <w:rtl/>
        </w:rPr>
        <w:t xml:space="preserve">ביחס לשנת 2021 </w:t>
      </w:r>
      <w:r w:rsidRPr="009A6AC9">
        <w:rPr>
          <w:rFonts w:ascii="FrankRuehl" w:hAnsi="FrankRuehl" w:cs="FrankRuehl"/>
          <w:sz w:val="28"/>
          <w:szCs w:val="28"/>
          <w:rtl/>
        </w:rPr>
        <w:t>התקבלה</w:t>
      </w:r>
      <w:r w:rsidRPr="009A6AC9">
        <w:rPr>
          <w:rFonts w:ascii="FrankRuehl" w:hAnsi="FrankRuehl" w:cs="FrankRuehl" w:hint="cs"/>
          <w:sz w:val="28"/>
          <w:szCs w:val="28"/>
          <w:rtl/>
        </w:rPr>
        <w:t xml:space="preserve"> </w:t>
      </w:r>
      <w:r>
        <w:rPr>
          <w:rFonts w:ascii="FrankRuehl" w:hAnsi="FrankRuehl" w:cs="FrankRuehl" w:hint="cs"/>
          <w:sz w:val="28"/>
          <w:szCs w:val="28"/>
          <w:rtl/>
        </w:rPr>
        <w:t xml:space="preserve">רק ביחס למספר התביעות שהופנו </w:t>
      </w:r>
      <w:proofErr w:type="spellStart"/>
      <w:r>
        <w:rPr>
          <w:rFonts w:ascii="FrankRuehl" w:hAnsi="FrankRuehl" w:cs="FrankRuehl" w:hint="cs"/>
          <w:sz w:val="28"/>
          <w:szCs w:val="28"/>
          <w:rtl/>
        </w:rPr>
        <w:t>למהו"ת</w:t>
      </w:r>
      <w:proofErr w:type="spellEnd"/>
      <w:r>
        <w:rPr>
          <w:rFonts w:ascii="FrankRuehl" w:hAnsi="FrankRuehl" w:cs="FrankRuehl" w:hint="cs"/>
          <w:sz w:val="28"/>
          <w:szCs w:val="28"/>
          <w:rtl/>
        </w:rPr>
        <w:t xml:space="preserve">, לנוכח פרק הזמן הנדרש לצורך מיצוי התהליך (כששה חודשים ממועד ההפניה). </w:t>
      </w:r>
      <w:r w:rsidRPr="009A6AC9">
        <w:rPr>
          <w:rFonts w:ascii="FrankRuehl" w:hAnsi="FrankRuehl" w:cs="FrankRuehl" w:hint="cs"/>
          <w:sz w:val="28"/>
          <w:szCs w:val="28"/>
          <w:rtl/>
        </w:rPr>
        <w:t xml:space="preserve"> </w:t>
      </w:r>
      <w:r w:rsidRPr="009A6AC9">
        <w:rPr>
          <w:rFonts w:ascii="Arial" w:hAnsi="Arial" w:cs="Arial"/>
          <w:color w:val="1F497D"/>
          <w:rtl/>
        </w:rPr>
        <w:t xml:space="preserve"> </w:t>
      </w:r>
    </w:p>
    <w:p w:rsidR="00694E68" w:rsidRPr="00041791" w:rsidRDefault="00694E68" w:rsidP="00694E68">
      <w:pPr>
        <w:pStyle w:val="a3"/>
        <w:autoSpaceDN w:val="0"/>
        <w:spacing w:after="200" w:line="360" w:lineRule="auto"/>
        <w:jc w:val="both"/>
        <w:rPr>
          <w:rFonts w:ascii="FrankRuehl" w:hAnsi="FrankRuehl" w:cs="FrankRuehl"/>
          <w:sz w:val="28"/>
          <w:szCs w:val="28"/>
          <w:rtl/>
        </w:rPr>
      </w:pPr>
    </w:p>
    <w:p w:rsidR="00694E68" w:rsidRDefault="00694E68" w:rsidP="00694E68">
      <w:pPr>
        <w:pStyle w:val="a3"/>
        <w:autoSpaceDN w:val="0"/>
        <w:spacing w:after="200" w:line="360" w:lineRule="auto"/>
        <w:jc w:val="both"/>
        <w:rPr>
          <w:rFonts w:ascii="FrankRuehl" w:hAnsi="FrankRuehl" w:cs="FrankRuehl"/>
          <w:sz w:val="28"/>
          <w:szCs w:val="28"/>
          <w:rtl/>
        </w:rPr>
      </w:pPr>
      <w:r w:rsidRPr="00E70B53">
        <w:rPr>
          <w:rFonts w:ascii="FrankRuehl" w:hAnsi="FrankRuehl" w:cs="FrankRuehl"/>
          <w:sz w:val="28"/>
          <w:szCs w:val="28"/>
          <w:rtl/>
        </w:rPr>
        <w:lastRenderedPageBreak/>
        <w:t>מצ"ב המידע המבוקש</w:t>
      </w:r>
      <w:r>
        <w:rPr>
          <w:rFonts w:ascii="FrankRuehl" w:hAnsi="FrankRuehl" w:cs="FrankRuehl" w:hint="cs"/>
          <w:sz w:val="28"/>
          <w:szCs w:val="28"/>
          <w:rtl/>
        </w:rPr>
        <w:t>*</w:t>
      </w:r>
      <w:r w:rsidRPr="00E70B53">
        <w:rPr>
          <w:rFonts w:ascii="FrankRuehl" w:hAnsi="FrankRuehl" w:cs="FrankRuehl"/>
          <w:sz w:val="28"/>
          <w:szCs w:val="28"/>
          <w:rtl/>
        </w:rPr>
        <w:t>:</w:t>
      </w:r>
    </w:p>
    <w:p w:rsidR="00694E68" w:rsidRDefault="00694E68" w:rsidP="00694E68">
      <w:pPr>
        <w:pStyle w:val="a3"/>
        <w:autoSpaceDN w:val="0"/>
        <w:spacing w:after="200" w:line="360" w:lineRule="auto"/>
        <w:jc w:val="both"/>
        <w:rPr>
          <w:rFonts w:ascii="FrankRuehl" w:hAnsi="FrankRuehl" w:cs="FrankRuehl"/>
          <w:sz w:val="28"/>
          <w:szCs w:val="28"/>
          <w:rtl/>
        </w:rPr>
      </w:pPr>
    </w:p>
    <w:p w:rsidR="00694E68" w:rsidRPr="00686065" w:rsidRDefault="00694E68" w:rsidP="00694E68">
      <w:pPr>
        <w:pStyle w:val="a3"/>
        <w:autoSpaceDN w:val="0"/>
        <w:spacing w:after="200" w:line="360" w:lineRule="auto"/>
        <w:jc w:val="both"/>
        <w:rPr>
          <w:rFonts w:ascii="FrankRuehl" w:hAnsi="FrankRuehl" w:cs="FrankRuehl"/>
          <w:b/>
          <w:bCs/>
          <w:sz w:val="28"/>
          <w:szCs w:val="28"/>
          <w:rtl/>
        </w:rPr>
      </w:pPr>
      <w:r w:rsidRPr="00686065">
        <w:rPr>
          <w:rFonts w:ascii="FrankRuehl" w:hAnsi="FrankRuehl" w:cs="FrankRuehl"/>
          <w:b/>
          <w:bCs/>
          <w:sz w:val="28"/>
          <w:szCs w:val="28"/>
          <w:rtl/>
        </w:rPr>
        <w:t>שנת 2017:</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 xml:space="preserve">8,158 תביעות הופנו </w:t>
      </w:r>
      <w:proofErr w:type="spellStart"/>
      <w:r w:rsidRPr="00507065">
        <w:rPr>
          <w:rFonts w:ascii="FrankRuehl" w:hAnsi="FrankRuehl" w:cs="FrankRuehl"/>
          <w:sz w:val="28"/>
          <w:szCs w:val="28"/>
          <w:rtl/>
        </w:rPr>
        <w:t>למהו"ת</w:t>
      </w:r>
      <w:proofErr w:type="spellEnd"/>
      <w:r w:rsidRPr="00507065">
        <w:rPr>
          <w:rFonts w:ascii="FrankRuehl" w:hAnsi="FrankRuehl" w:cs="FrankRuehl"/>
          <w:sz w:val="28"/>
          <w:szCs w:val="28"/>
          <w:rtl/>
        </w:rPr>
        <w:t xml:space="preserve"> </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2,038 תביעות הועברו בהסכמה לגישור</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 xml:space="preserve">1,093 תביעות נסגרו בהסדר גישור  </w:t>
      </w:r>
    </w:p>
    <w:p w:rsidR="00694E68" w:rsidRPr="00686065" w:rsidRDefault="00694E68" w:rsidP="00694E68">
      <w:pPr>
        <w:pStyle w:val="a3"/>
        <w:autoSpaceDN w:val="0"/>
        <w:spacing w:after="200" w:line="360" w:lineRule="auto"/>
        <w:jc w:val="both"/>
        <w:rPr>
          <w:rFonts w:ascii="FrankRuehl" w:hAnsi="FrankRuehl" w:cs="FrankRuehl"/>
          <w:b/>
          <w:bCs/>
          <w:sz w:val="28"/>
          <w:szCs w:val="28"/>
          <w:rtl/>
        </w:rPr>
      </w:pPr>
      <w:r w:rsidRPr="00686065">
        <w:rPr>
          <w:rFonts w:ascii="FrankRuehl" w:hAnsi="FrankRuehl" w:cs="FrankRuehl"/>
          <w:b/>
          <w:bCs/>
          <w:sz w:val="28"/>
          <w:szCs w:val="28"/>
          <w:rtl/>
        </w:rPr>
        <w:t>שנת 2018:</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 xml:space="preserve">7,855 תביעות הופנו </w:t>
      </w:r>
      <w:proofErr w:type="spellStart"/>
      <w:r w:rsidRPr="00507065">
        <w:rPr>
          <w:rFonts w:ascii="FrankRuehl" w:hAnsi="FrankRuehl" w:cs="FrankRuehl"/>
          <w:sz w:val="28"/>
          <w:szCs w:val="28"/>
          <w:rtl/>
        </w:rPr>
        <w:t>למהו"ת</w:t>
      </w:r>
      <w:proofErr w:type="spellEnd"/>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2,199 תביעות הועברו לגישור</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1,258 תביעות נסגרו בהסדר גישור</w:t>
      </w:r>
    </w:p>
    <w:p w:rsidR="00694E68" w:rsidRPr="00686065" w:rsidRDefault="00694E68" w:rsidP="00694E68">
      <w:pPr>
        <w:pStyle w:val="a3"/>
        <w:autoSpaceDN w:val="0"/>
        <w:spacing w:after="200" w:line="360" w:lineRule="auto"/>
        <w:jc w:val="both"/>
        <w:rPr>
          <w:rFonts w:ascii="FrankRuehl" w:hAnsi="FrankRuehl" w:cs="FrankRuehl"/>
          <w:b/>
          <w:bCs/>
          <w:sz w:val="28"/>
          <w:szCs w:val="28"/>
          <w:rtl/>
        </w:rPr>
      </w:pPr>
      <w:r w:rsidRPr="00686065">
        <w:rPr>
          <w:rFonts w:ascii="FrankRuehl" w:hAnsi="FrankRuehl" w:cs="FrankRuehl"/>
          <w:b/>
          <w:bCs/>
          <w:sz w:val="28"/>
          <w:szCs w:val="28"/>
          <w:rtl/>
        </w:rPr>
        <w:t>שנת 2019:</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 xml:space="preserve">7,233 תביעות הופנו </w:t>
      </w:r>
      <w:proofErr w:type="spellStart"/>
      <w:r w:rsidRPr="00507065">
        <w:rPr>
          <w:rFonts w:ascii="FrankRuehl" w:hAnsi="FrankRuehl" w:cs="FrankRuehl"/>
          <w:sz w:val="28"/>
          <w:szCs w:val="28"/>
          <w:rtl/>
        </w:rPr>
        <w:t>למהו"ת</w:t>
      </w:r>
      <w:proofErr w:type="spellEnd"/>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2,007 תביעות הועברו לגישור</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1,139 תביעות נסגרו בהסדר גישור</w:t>
      </w:r>
    </w:p>
    <w:p w:rsidR="00694E68" w:rsidRDefault="00694E68" w:rsidP="00694E68">
      <w:pPr>
        <w:pStyle w:val="a3"/>
        <w:autoSpaceDN w:val="0"/>
        <w:spacing w:after="200" w:line="360" w:lineRule="auto"/>
        <w:jc w:val="both"/>
        <w:rPr>
          <w:rFonts w:ascii="FrankRuehl" w:hAnsi="FrankRuehl" w:cs="FrankRuehl"/>
          <w:b/>
          <w:bCs/>
          <w:sz w:val="28"/>
          <w:szCs w:val="28"/>
          <w:rtl/>
        </w:rPr>
      </w:pPr>
    </w:p>
    <w:p w:rsidR="00694E68" w:rsidRPr="00686065" w:rsidRDefault="00694E68" w:rsidP="00694E68">
      <w:pPr>
        <w:pStyle w:val="a3"/>
        <w:autoSpaceDN w:val="0"/>
        <w:spacing w:after="200" w:line="360" w:lineRule="auto"/>
        <w:jc w:val="both"/>
        <w:rPr>
          <w:rFonts w:ascii="FrankRuehl" w:hAnsi="FrankRuehl" w:cs="FrankRuehl"/>
          <w:b/>
          <w:bCs/>
          <w:sz w:val="28"/>
          <w:szCs w:val="28"/>
          <w:rtl/>
        </w:rPr>
      </w:pPr>
      <w:r w:rsidRPr="00686065">
        <w:rPr>
          <w:rFonts w:ascii="FrankRuehl" w:hAnsi="FrankRuehl" w:cs="FrankRuehl"/>
          <w:b/>
          <w:bCs/>
          <w:sz w:val="28"/>
          <w:szCs w:val="28"/>
          <w:rtl/>
        </w:rPr>
        <w:t>שנת 2020:</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 xml:space="preserve">6,419 תביעות הופנו </w:t>
      </w:r>
      <w:proofErr w:type="spellStart"/>
      <w:r w:rsidRPr="00507065">
        <w:rPr>
          <w:rFonts w:ascii="FrankRuehl" w:hAnsi="FrankRuehl" w:cs="FrankRuehl"/>
          <w:sz w:val="28"/>
          <w:szCs w:val="28"/>
          <w:rtl/>
        </w:rPr>
        <w:t>למהו"ת</w:t>
      </w:r>
      <w:proofErr w:type="spellEnd"/>
    </w:p>
    <w:p w:rsidR="00694E68" w:rsidRPr="00507065"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1,156 תביעות הועברו לגישור</w:t>
      </w:r>
    </w:p>
    <w:p w:rsidR="00694E68" w:rsidRDefault="00694E68" w:rsidP="00694E68">
      <w:pPr>
        <w:pStyle w:val="a3"/>
        <w:autoSpaceDN w:val="0"/>
        <w:spacing w:after="200" w:line="360" w:lineRule="auto"/>
        <w:jc w:val="both"/>
        <w:rPr>
          <w:rFonts w:ascii="FrankRuehl" w:hAnsi="FrankRuehl" w:cs="FrankRuehl"/>
          <w:sz w:val="28"/>
          <w:szCs w:val="28"/>
          <w:rtl/>
        </w:rPr>
      </w:pPr>
      <w:r w:rsidRPr="00507065">
        <w:rPr>
          <w:rFonts w:ascii="FrankRuehl" w:hAnsi="FrankRuehl" w:cs="FrankRuehl"/>
          <w:sz w:val="28"/>
          <w:szCs w:val="28"/>
          <w:rtl/>
        </w:rPr>
        <w:t>784 תביעות נסגרו בהסדר גישור</w:t>
      </w:r>
    </w:p>
    <w:p w:rsidR="00694E68" w:rsidRDefault="00694E68" w:rsidP="00694E68">
      <w:pPr>
        <w:pStyle w:val="a3"/>
        <w:autoSpaceDN w:val="0"/>
        <w:spacing w:after="200" w:line="360" w:lineRule="auto"/>
        <w:jc w:val="both"/>
        <w:rPr>
          <w:rFonts w:ascii="FrankRuehl" w:hAnsi="FrankRuehl" w:cs="FrankRuehl"/>
          <w:sz w:val="28"/>
          <w:szCs w:val="28"/>
          <w:rtl/>
        </w:rPr>
      </w:pPr>
    </w:p>
    <w:p w:rsidR="00694E68" w:rsidRPr="00686065" w:rsidRDefault="00694E68" w:rsidP="00694E68">
      <w:pPr>
        <w:pStyle w:val="a3"/>
        <w:autoSpaceDN w:val="0"/>
        <w:spacing w:after="200" w:line="360" w:lineRule="auto"/>
        <w:jc w:val="both"/>
        <w:rPr>
          <w:rFonts w:ascii="FrankRuehl" w:hAnsi="FrankRuehl" w:cs="FrankRuehl"/>
          <w:b/>
          <w:bCs/>
          <w:sz w:val="28"/>
          <w:szCs w:val="28"/>
          <w:rtl/>
        </w:rPr>
      </w:pPr>
      <w:r w:rsidRPr="00686065">
        <w:rPr>
          <w:rFonts w:ascii="FrankRuehl" w:hAnsi="FrankRuehl" w:cs="FrankRuehl"/>
          <w:b/>
          <w:bCs/>
          <w:sz w:val="28"/>
          <w:szCs w:val="28"/>
          <w:rtl/>
        </w:rPr>
        <w:t>שנת</w:t>
      </w:r>
      <w:r>
        <w:rPr>
          <w:rFonts w:ascii="FrankRuehl" w:hAnsi="FrankRuehl" w:cs="FrankRuehl" w:hint="cs"/>
          <w:b/>
          <w:bCs/>
          <w:sz w:val="28"/>
          <w:szCs w:val="28"/>
          <w:rtl/>
        </w:rPr>
        <w:t xml:space="preserve"> 2021 (נכון ליום 1.11.21)</w:t>
      </w:r>
      <w:r w:rsidRPr="00686065">
        <w:rPr>
          <w:rFonts w:ascii="FrankRuehl" w:hAnsi="FrankRuehl" w:cs="FrankRuehl"/>
          <w:b/>
          <w:bCs/>
          <w:sz w:val="28"/>
          <w:szCs w:val="28"/>
          <w:rtl/>
        </w:rPr>
        <w:t>:</w:t>
      </w:r>
    </w:p>
    <w:p w:rsidR="00694E68" w:rsidRPr="00507065" w:rsidRDefault="00694E68" w:rsidP="00694E68">
      <w:pPr>
        <w:pStyle w:val="a3"/>
        <w:autoSpaceDN w:val="0"/>
        <w:spacing w:after="200" w:line="360" w:lineRule="auto"/>
        <w:jc w:val="both"/>
        <w:rPr>
          <w:rFonts w:ascii="FrankRuehl" w:hAnsi="FrankRuehl" w:cs="FrankRuehl"/>
          <w:sz w:val="28"/>
          <w:szCs w:val="28"/>
          <w:rtl/>
        </w:rPr>
      </w:pPr>
      <w:r>
        <w:rPr>
          <w:rFonts w:ascii="FrankRuehl" w:hAnsi="FrankRuehl" w:cs="FrankRuehl" w:hint="cs"/>
          <w:sz w:val="28"/>
          <w:szCs w:val="28"/>
          <w:rtl/>
        </w:rPr>
        <w:t>7</w:t>
      </w:r>
      <w:r w:rsidRPr="00507065">
        <w:rPr>
          <w:rFonts w:ascii="FrankRuehl" w:hAnsi="FrankRuehl" w:cs="FrankRuehl"/>
          <w:sz w:val="28"/>
          <w:szCs w:val="28"/>
          <w:rtl/>
        </w:rPr>
        <w:t>,</w:t>
      </w:r>
      <w:r>
        <w:rPr>
          <w:rFonts w:ascii="FrankRuehl" w:hAnsi="FrankRuehl" w:cs="FrankRuehl" w:hint="cs"/>
          <w:sz w:val="28"/>
          <w:szCs w:val="28"/>
          <w:rtl/>
        </w:rPr>
        <w:t>220</w:t>
      </w:r>
      <w:r w:rsidRPr="00507065">
        <w:rPr>
          <w:rFonts w:ascii="FrankRuehl" w:hAnsi="FrankRuehl" w:cs="FrankRuehl"/>
          <w:sz w:val="28"/>
          <w:szCs w:val="28"/>
          <w:rtl/>
        </w:rPr>
        <w:t xml:space="preserve"> תביעות הופנו </w:t>
      </w:r>
      <w:proofErr w:type="spellStart"/>
      <w:r w:rsidRPr="00507065">
        <w:rPr>
          <w:rFonts w:ascii="FrankRuehl" w:hAnsi="FrankRuehl" w:cs="FrankRuehl"/>
          <w:sz w:val="28"/>
          <w:szCs w:val="28"/>
          <w:rtl/>
        </w:rPr>
        <w:t>למהו"ת</w:t>
      </w:r>
      <w:proofErr w:type="spellEnd"/>
    </w:p>
    <w:p w:rsidR="00694E68" w:rsidRDefault="00694E68" w:rsidP="00694E68">
      <w:pPr>
        <w:pStyle w:val="a3"/>
        <w:autoSpaceDN w:val="0"/>
        <w:spacing w:after="200" w:line="360" w:lineRule="auto"/>
        <w:jc w:val="both"/>
        <w:rPr>
          <w:rFonts w:ascii="FrankRuehl" w:hAnsi="FrankRuehl" w:cs="FrankRuehl"/>
          <w:sz w:val="28"/>
          <w:szCs w:val="28"/>
          <w:rtl/>
        </w:rPr>
      </w:pPr>
    </w:p>
    <w:p w:rsidR="00694E68" w:rsidRDefault="00694E68" w:rsidP="00694E68">
      <w:pPr>
        <w:autoSpaceDN w:val="0"/>
        <w:spacing w:after="200" w:line="240" w:lineRule="auto"/>
        <w:jc w:val="both"/>
        <w:rPr>
          <w:rFonts w:ascii="FrankRuehl" w:hAnsi="FrankRuehl" w:cs="FrankRuehl"/>
          <w:sz w:val="28"/>
          <w:szCs w:val="28"/>
          <w:rtl/>
        </w:rPr>
      </w:pPr>
      <w:r>
        <w:rPr>
          <w:rFonts w:ascii="FrankRuehl" w:hAnsi="FrankRuehl" w:cs="FrankRuehl" w:hint="cs"/>
          <w:sz w:val="28"/>
          <w:szCs w:val="28"/>
          <w:rtl/>
        </w:rPr>
        <w:t xml:space="preserve">*    </w:t>
      </w:r>
      <w:r w:rsidRPr="0066453B">
        <w:rPr>
          <w:rFonts w:ascii="FrankRuehl" w:hAnsi="FrankRuehl" w:cs="FrankRuehl" w:hint="cs"/>
          <w:sz w:val="28"/>
          <w:szCs w:val="28"/>
          <w:rtl/>
        </w:rPr>
        <w:t xml:space="preserve">מספר ההסדרים שצוין </w:t>
      </w:r>
      <w:r>
        <w:rPr>
          <w:rFonts w:ascii="FrankRuehl" w:hAnsi="FrankRuehl" w:cs="FrankRuehl" w:hint="cs"/>
          <w:sz w:val="28"/>
          <w:szCs w:val="28"/>
          <w:rtl/>
        </w:rPr>
        <w:t xml:space="preserve">בסעיף זה </w:t>
      </w:r>
      <w:r w:rsidRPr="0066453B">
        <w:rPr>
          <w:rFonts w:ascii="FrankRuehl" w:hAnsi="FrankRuehl" w:cs="FrankRuehl" w:hint="cs"/>
          <w:sz w:val="28"/>
          <w:szCs w:val="28"/>
          <w:rtl/>
        </w:rPr>
        <w:t xml:space="preserve">בכל אחת מהשנים מתייחס רק להסדרים בתיקים שהופנו </w:t>
      </w:r>
      <w:r>
        <w:rPr>
          <w:rFonts w:ascii="FrankRuehl" w:hAnsi="FrankRuehl" w:cs="FrankRuehl" w:hint="cs"/>
          <w:sz w:val="28"/>
          <w:szCs w:val="28"/>
          <w:rtl/>
        </w:rPr>
        <w:t xml:space="preserve">   </w:t>
      </w:r>
    </w:p>
    <w:p w:rsidR="00694E68" w:rsidRPr="0066453B" w:rsidRDefault="00694E68" w:rsidP="00694E68">
      <w:pPr>
        <w:autoSpaceDN w:val="0"/>
        <w:spacing w:after="200" w:line="240" w:lineRule="auto"/>
        <w:jc w:val="both"/>
        <w:rPr>
          <w:rFonts w:ascii="FrankRuehl" w:hAnsi="FrankRuehl" w:cs="FrankRuehl"/>
          <w:sz w:val="28"/>
          <w:szCs w:val="28"/>
          <w:rtl/>
        </w:rPr>
      </w:pPr>
      <w:r>
        <w:rPr>
          <w:rFonts w:ascii="FrankRuehl" w:hAnsi="FrankRuehl" w:cs="FrankRuehl" w:hint="cs"/>
          <w:sz w:val="28"/>
          <w:szCs w:val="28"/>
          <w:rtl/>
        </w:rPr>
        <w:t xml:space="preserve">       </w:t>
      </w:r>
      <w:r w:rsidRPr="0066453B">
        <w:rPr>
          <w:rFonts w:ascii="FrankRuehl" w:hAnsi="FrankRuehl" w:cs="FrankRuehl" w:hint="cs"/>
          <w:sz w:val="28"/>
          <w:szCs w:val="28"/>
          <w:rtl/>
        </w:rPr>
        <w:t xml:space="preserve">במהלך </w:t>
      </w:r>
      <w:r w:rsidRPr="0066453B">
        <w:rPr>
          <w:rFonts w:ascii="FrankRuehl" w:hAnsi="FrankRuehl" w:cs="FrankRuehl" w:hint="cs"/>
          <w:sz w:val="28"/>
          <w:szCs w:val="28"/>
          <w:u w:val="single"/>
          <w:rtl/>
        </w:rPr>
        <w:t>אותה</w:t>
      </w:r>
      <w:r w:rsidRPr="0066453B">
        <w:rPr>
          <w:rFonts w:ascii="FrankRuehl" w:hAnsi="FrankRuehl" w:cs="FrankRuehl" w:hint="cs"/>
          <w:sz w:val="28"/>
          <w:szCs w:val="28"/>
          <w:rtl/>
        </w:rPr>
        <w:t xml:space="preserve"> שנה.  </w:t>
      </w:r>
    </w:p>
    <w:p w:rsidR="00694E68" w:rsidRDefault="00694E68" w:rsidP="00694E68">
      <w:pPr>
        <w:pStyle w:val="a3"/>
        <w:autoSpaceDN w:val="0"/>
        <w:spacing w:after="200" w:line="360" w:lineRule="auto"/>
        <w:jc w:val="both"/>
        <w:rPr>
          <w:rFonts w:ascii="FrankRuehl" w:hAnsi="FrankRuehl" w:cs="FrankRuehl"/>
          <w:sz w:val="28"/>
          <w:szCs w:val="28"/>
          <w:rtl/>
        </w:rPr>
      </w:pPr>
    </w:p>
    <w:p w:rsidR="00694E68" w:rsidRDefault="00694E68" w:rsidP="00694E68">
      <w:pPr>
        <w:pStyle w:val="a3"/>
        <w:numPr>
          <w:ilvl w:val="0"/>
          <w:numId w:val="1"/>
        </w:numPr>
        <w:spacing w:line="360" w:lineRule="auto"/>
        <w:ind w:left="714" w:hanging="357"/>
        <w:jc w:val="both"/>
        <w:rPr>
          <w:rFonts w:ascii="FrankRuehl" w:hAnsi="FrankRuehl" w:cs="FrankRuehl"/>
          <w:sz w:val="28"/>
          <w:szCs w:val="28"/>
        </w:rPr>
      </w:pPr>
      <w:r w:rsidRPr="003E4E74">
        <w:rPr>
          <w:rFonts w:ascii="FrankRuehl" w:hAnsi="FrankRuehl" w:cs="FrankRuehl"/>
          <w:sz w:val="28"/>
          <w:szCs w:val="28"/>
          <w:rtl/>
        </w:rPr>
        <w:t>ל</w:t>
      </w:r>
      <w:r>
        <w:rPr>
          <w:rFonts w:ascii="FrankRuehl" w:hAnsi="FrankRuehl" w:cs="FrankRuehl"/>
          <w:sz w:val="28"/>
          <w:szCs w:val="28"/>
          <w:rtl/>
        </w:rPr>
        <w:t xml:space="preserve">עניין סעיפים </w:t>
      </w:r>
      <w:r>
        <w:rPr>
          <w:rFonts w:ascii="FrankRuehl" w:hAnsi="FrankRuehl" w:cs="FrankRuehl" w:hint="cs"/>
          <w:sz w:val="28"/>
          <w:szCs w:val="28"/>
          <w:rtl/>
        </w:rPr>
        <w:t>5.1.1 ו 5.1.2</w:t>
      </w:r>
      <w:r>
        <w:rPr>
          <w:rFonts w:ascii="FrankRuehl" w:hAnsi="FrankRuehl" w:cs="FrankRuehl"/>
          <w:sz w:val="28"/>
          <w:szCs w:val="28"/>
          <w:rtl/>
        </w:rPr>
        <w:t xml:space="preserve"> בבקשתך, אודות ישיבות </w:t>
      </w:r>
      <w:r>
        <w:rPr>
          <w:rFonts w:ascii="FrankRuehl" w:hAnsi="FrankRuehl" w:cs="FrankRuehl" w:hint="cs"/>
          <w:sz w:val="28"/>
          <w:szCs w:val="28"/>
          <w:rtl/>
        </w:rPr>
        <w:t>תביעות קטנות</w:t>
      </w:r>
      <w:r w:rsidRPr="003E4E74">
        <w:rPr>
          <w:rFonts w:ascii="FrankRuehl" w:hAnsi="FrankRuehl" w:cs="FrankRuehl"/>
          <w:sz w:val="28"/>
          <w:szCs w:val="28"/>
          <w:rtl/>
        </w:rPr>
        <w:t>, אשיב כי בקשתך התקבלה למעט שנת 2021 היות והשנה טרם הסתיימה וכך גם הטיפול בתיקים שהופנו במהלך שנה זו.</w:t>
      </w:r>
      <w:r>
        <w:rPr>
          <w:rFonts w:ascii="FrankRuehl" w:hAnsi="FrankRuehl" w:cs="FrankRuehl" w:hint="cs"/>
          <w:sz w:val="28"/>
          <w:szCs w:val="28"/>
          <w:rtl/>
        </w:rPr>
        <w:t xml:space="preserve">  </w:t>
      </w:r>
    </w:p>
    <w:p w:rsidR="00694E68" w:rsidRDefault="00694E68" w:rsidP="00694E68">
      <w:pPr>
        <w:pStyle w:val="a3"/>
        <w:spacing w:line="360" w:lineRule="auto"/>
        <w:ind w:left="714"/>
        <w:jc w:val="both"/>
        <w:rPr>
          <w:rFonts w:ascii="FrankRuehl" w:hAnsi="FrankRuehl" w:cs="FrankRuehl"/>
          <w:sz w:val="28"/>
          <w:szCs w:val="28"/>
          <w:rtl/>
        </w:rPr>
      </w:pPr>
    </w:p>
    <w:p w:rsidR="00694E68" w:rsidRDefault="00694E68" w:rsidP="00694E68">
      <w:pPr>
        <w:pStyle w:val="a3"/>
        <w:spacing w:line="360" w:lineRule="auto"/>
        <w:ind w:left="714"/>
        <w:jc w:val="both"/>
        <w:rPr>
          <w:rFonts w:ascii="FrankRuehl" w:hAnsi="FrankRuehl" w:cs="FrankRuehl"/>
          <w:sz w:val="28"/>
          <w:szCs w:val="28"/>
          <w:rtl/>
        </w:rPr>
      </w:pPr>
      <w:r>
        <w:rPr>
          <w:rFonts w:ascii="FrankRuehl" w:hAnsi="FrankRuehl" w:cs="FrankRuehl" w:hint="cs"/>
          <w:sz w:val="28"/>
          <w:szCs w:val="28"/>
          <w:rtl/>
        </w:rPr>
        <w:t>מצ"ב המידע המבוקש*:</w:t>
      </w:r>
    </w:p>
    <w:p w:rsidR="00694E68" w:rsidRDefault="00694E68" w:rsidP="00694E68">
      <w:pPr>
        <w:pStyle w:val="a3"/>
        <w:spacing w:line="360" w:lineRule="auto"/>
        <w:ind w:left="714"/>
        <w:jc w:val="both"/>
        <w:rPr>
          <w:rFonts w:ascii="FrankRuehl" w:hAnsi="FrankRuehl" w:cs="FrankRuehl"/>
          <w:sz w:val="28"/>
          <w:szCs w:val="28"/>
          <w:rtl/>
        </w:rPr>
      </w:pPr>
    </w:p>
    <w:p w:rsidR="00694E68" w:rsidRPr="00686065" w:rsidRDefault="00694E68" w:rsidP="00694E68">
      <w:pPr>
        <w:pStyle w:val="a3"/>
        <w:spacing w:line="360" w:lineRule="auto"/>
        <w:ind w:left="714"/>
        <w:jc w:val="both"/>
        <w:rPr>
          <w:rFonts w:ascii="FrankRuehl" w:hAnsi="FrankRuehl" w:cs="FrankRuehl"/>
          <w:b/>
          <w:bCs/>
          <w:sz w:val="28"/>
          <w:szCs w:val="28"/>
          <w:rtl/>
        </w:rPr>
      </w:pPr>
      <w:r w:rsidRPr="00686065">
        <w:rPr>
          <w:rFonts w:ascii="FrankRuehl" w:hAnsi="FrankRuehl" w:cs="FrankRuehl"/>
          <w:b/>
          <w:bCs/>
          <w:sz w:val="28"/>
          <w:szCs w:val="28"/>
          <w:rtl/>
        </w:rPr>
        <w:lastRenderedPageBreak/>
        <w:t xml:space="preserve">שנת </w:t>
      </w:r>
      <w:r>
        <w:rPr>
          <w:rFonts w:ascii="FrankRuehl" w:hAnsi="FrankRuehl" w:cs="FrankRuehl" w:hint="cs"/>
          <w:b/>
          <w:bCs/>
          <w:sz w:val="28"/>
          <w:szCs w:val="28"/>
          <w:rtl/>
        </w:rPr>
        <w:t>2017</w:t>
      </w:r>
      <w:r w:rsidRPr="00686065">
        <w:rPr>
          <w:rFonts w:ascii="FrankRuehl" w:hAnsi="FrankRuehl" w:cs="FrankRuehl"/>
          <w:b/>
          <w:bCs/>
          <w:sz w:val="28"/>
          <w:szCs w:val="28"/>
          <w:rtl/>
        </w:rPr>
        <w:t>:</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3,</w:t>
      </w:r>
      <w:r>
        <w:rPr>
          <w:rFonts w:ascii="FrankRuehl" w:hAnsi="FrankRuehl" w:cs="FrankRuehl" w:hint="cs"/>
          <w:sz w:val="28"/>
          <w:szCs w:val="28"/>
          <w:rtl/>
        </w:rPr>
        <w:t>956</w:t>
      </w:r>
      <w:r w:rsidRPr="0031210E">
        <w:rPr>
          <w:rFonts w:ascii="FrankRuehl" w:hAnsi="FrankRuehl" w:cs="FrankRuehl"/>
          <w:sz w:val="28"/>
          <w:szCs w:val="28"/>
          <w:rtl/>
        </w:rPr>
        <w:t xml:space="preserve"> תביעות הופנו להליך גישור</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 xml:space="preserve">509 תביעות נסגרו בהסכם גישור </w:t>
      </w:r>
    </w:p>
    <w:p w:rsidR="00694E68" w:rsidRPr="00686065" w:rsidRDefault="00694E68" w:rsidP="00694E68">
      <w:pPr>
        <w:pStyle w:val="a3"/>
        <w:spacing w:line="360" w:lineRule="auto"/>
        <w:ind w:left="714"/>
        <w:jc w:val="both"/>
        <w:rPr>
          <w:rFonts w:ascii="FrankRuehl" w:hAnsi="FrankRuehl" w:cs="FrankRuehl"/>
          <w:b/>
          <w:bCs/>
          <w:sz w:val="28"/>
          <w:szCs w:val="28"/>
          <w:rtl/>
        </w:rPr>
      </w:pPr>
      <w:r w:rsidRPr="00686065">
        <w:rPr>
          <w:rFonts w:ascii="FrankRuehl" w:hAnsi="FrankRuehl" w:cs="FrankRuehl"/>
          <w:b/>
          <w:bCs/>
          <w:sz w:val="28"/>
          <w:szCs w:val="28"/>
          <w:rtl/>
        </w:rPr>
        <w:t>שנת 2018:</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3,117 תביעות הופנו להליך גישור</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1,145 תביעות נסגרו בהסדר גישור</w:t>
      </w:r>
    </w:p>
    <w:p w:rsidR="00694E68" w:rsidRPr="00686065" w:rsidRDefault="00694E68" w:rsidP="00694E68">
      <w:pPr>
        <w:pStyle w:val="a3"/>
        <w:spacing w:line="360" w:lineRule="auto"/>
        <w:ind w:left="714"/>
        <w:jc w:val="both"/>
        <w:rPr>
          <w:rFonts w:ascii="FrankRuehl" w:hAnsi="FrankRuehl" w:cs="FrankRuehl"/>
          <w:b/>
          <w:bCs/>
          <w:sz w:val="28"/>
          <w:szCs w:val="28"/>
          <w:rtl/>
        </w:rPr>
      </w:pPr>
      <w:r w:rsidRPr="00686065">
        <w:rPr>
          <w:rFonts w:ascii="FrankRuehl" w:hAnsi="FrankRuehl" w:cs="FrankRuehl"/>
          <w:b/>
          <w:bCs/>
          <w:sz w:val="28"/>
          <w:szCs w:val="28"/>
          <w:rtl/>
        </w:rPr>
        <w:t>שנת 2019 :</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3,596 תביעות הופנו להליך גישור</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 xml:space="preserve">1,320 תביעות נסגרו בהסדר גישור </w:t>
      </w:r>
    </w:p>
    <w:p w:rsidR="00694E68" w:rsidRDefault="00694E68" w:rsidP="00694E68">
      <w:pPr>
        <w:pStyle w:val="a3"/>
        <w:spacing w:line="360" w:lineRule="auto"/>
        <w:ind w:left="714"/>
        <w:jc w:val="both"/>
        <w:rPr>
          <w:rFonts w:ascii="FrankRuehl" w:hAnsi="FrankRuehl" w:cs="FrankRuehl"/>
          <w:b/>
          <w:bCs/>
          <w:sz w:val="28"/>
          <w:szCs w:val="28"/>
          <w:rtl/>
        </w:rPr>
      </w:pPr>
    </w:p>
    <w:p w:rsidR="00694E68" w:rsidRPr="00686065" w:rsidRDefault="00694E68" w:rsidP="00694E68">
      <w:pPr>
        <w:pStyle w:val="a3"/>
        <w:spacing w:line="360" w:lineRule="auto"/>
        <w:ind w:left="714"/>
        <w:jc w:val="both"/>
        <w:rPr>
          <w:rFonts w:ascii="FrankRuehl" w:hAnsi="FrankRuehl" w:cs="FrankRuehl"/>
          <w:b/>
          <w:bCs/>
          <w:sz w:val="28"/>
          <w:szCs w:val="28"/>
          <w:rtl/>
        </w:rPr>
      </w:pPr>
      <w:r w:rsidRPr="00686065">
        <w:rPr>
          <w:rFonts w:ascii="FrankRuehl" w:hAnsi="FrankRuehl" w:cs="FrankRuehl"/>
          <w:b/>
          <w:bCs/>
          <w:sz w:val="28"/>
          <w:szCs w:val="28"/>
          <w:rtl/>
        </w:rPr>
        <w:t>שנת 2020:</w:t>
      </w:r>
    </w:p>
    <w:p w:rsidR="00694E68" w:rsidRPr="0031210E"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4,536 תביעות הופנו להליך גישור</w:t>
      </w:r>
    </w:p>
    <w:p w:rsidR="00694E68" w:rsidRPr="003E4E74" w:rsidRDefault="00694E68" w:rsidP="00694E68">
      <w:pPr>
        <w:pStyle w:val="a3"/>
        <w:spacing w:line="360" w:lineRule="auto"/>
        <w:ind w:left="714"/>
        <w:jc w:val="both"/>
        <w:rPr>
          <w:rFonts w:ascii="FrankRuehl" w:hAnsi="FrankRuehl" w:cs="FrankRuehl"/>
          <w:sz w:val="28"/>
          <w:szCs w:val="28"/>
          <w:rtl/>
        </w:rPr>
      </w:pPr>
      <w:r w:rsidRPr="0031210E">
        <w:rPr>
          <w:rFonts w:ascii="FrankRuehl" w:hAnsi="FrankRuehl" w:cs="FrankRuehl"/>
          <w:sz w:val="28"/>
          <w:szCs w:val="28"/>
          <w:rtl/>
        </w:rPr>
        <w:t>1,018 תביעות נסגרו בהסדר גישור</w:t>
      </w:r>
    </w:p>
    <w:p w:rsidR="00694E68" w:rsidRPr="0066453B" w:rsidRDefault="00694E68" w:rsidP="00694E68">
      <w:pPr>
        <w:autoSpaceDN w:val="0"/>
        <w:spacing w:after="200" w:line="240" w:lineRule="auto"/>
        <w:ind w:left="714"/>
        <w:jc w:val="both"/>
        <w:rPr>
          <w:rFonts w:ascii="FrankRuehl" w:hAnsi="FrankRuehl" w:cs="FrankRuehl"/>
          <w:sz w:val="28"/>
          <w:szCs w:val="28"/>
          <w:rtl/>
        </w:rPr>
      </w:pPr>
      <w:r>
        <w:rPr>
          <w:rFonts w:ascii="FrankRuehl" w:hAnsi="FrankRuehl" w:cs="FrankRuehl" w:hint="cs"/>
          <w:sz w:val="28"/>
          <w:szCs w:val="28"/>
          <w:rtl/>
        </w:rPr>
        <w:t xml:space="preserve">*    </w:t>
      </w:r>
      <w:r w:rsidRPr="0066453B">
        <w:rPr>
          <w:rFonts w:ascii="FrankRuehl" w:hAnsi="FrankRuehl" w:cs="FrankRuehl" w:hint="cs"/>
          <w:sz w:val="28"/>
          <w:szCs w:val="28"/>
          <w:rtl/>
        </w:rPr>
        <w:t xml:space="preserve">מספר ההסדרים שצוין </w:t>
      </w:r>
      <w:r>
        <w:rPr>
          <w:rFonts w:ascii="FrankRuehl" w:hAnsi="FrankRuehl" w:cs="FrankRuehl" w:hint="cs"/>
          <w:sz w:val="28"/>
          <w:szCs w:val="28"/>
          <w:rtl/>
        </w:rPr>
        <w:t xml:space="preserve">בסעיף זה </w:t>
      </w:r>
      <w:r w:rsidRPr="0066453B">
        <w:rPr>
          <w:rFonts w:ascii="FrankRuehl" w:hAnsi="FrankRuehl" w:cs="FrankRuehl" w:hint="cs"/>
          <w:sz w:val="28"/>
          <w:szCs w:val="28"/>
          <w:rtl/>
        </w:rPr>
        <w:t xml:space="preserve">בכל אחת מהשנים מתייחס רק להסדרים בתיקים שהופנו במהלך </w:t>
      </w:r>
      <w:r w:rsidRPr="0066453B">
        <w:rPr>
          <w:rFonts w:ascii="FrankRuehl" w:hAnsi="FrankRuehl" w:cs="FrankRuehl" w:hint="cs"/>
          <w:sz w:val="28"/>
          <w:szCs w:val="28"/>
          <w:u w:val="single"/>
          <w:rtl/>
        </w:rPr>
        <w:t>אותה</w:t>
      </w:r>
      <w:r w:rsidRPr="0066453B">
        <w:rPr>
          <w:rFonts w:ascii="FrankRuehl" w:hAnsi="FrankRuehl" w:cs="FrankRuehl" w:hint="cs"/>
          <w:sz w:val="28"/>
          <w:szCs w:val="28"/>
          <w:rtl/>
        </w:rPr>
        <w:t xml:space="preserve"> שנה.  </w:t>
      </w:r>
    </w:p>
    <w:p w:rsidR="00694E68" w:rsidRDefault="00694E68" w:rsidP="00694E68">
      <w:pPr>
        <w:pStyle w:val="a3"/>
        <w:spacing w:line="360" w:lineRule="auto"/>
        <w:ind w:left="714"/>
        <w:jc w:val="both"/>
        <w:rPr>
          <w:rFonts w:ascii="FrankRuehl" w:hAnsi="FrankRuehl" w:cs="FrankRuehl"/>
          <w:sz w:val="28"/>
          <w:szCs w:val="28"/>
        </w:rPr>
      </w:pPr>
    </w:p>
    <w:p w:rsidR="00694E68" w:rsidRPr="00E70B53" w:rsidRDefault="00694E68" w:rsidP="00694E68">
      <w:pPr>
        <w:pStyle w:val="a3"/>
        <w:numPr>
          <w:ilvl w:val="0"/>
          <w:numId w:val="1"/>
        </w:numPr>
        <w:spacing w:line="360" w:lineRule="auto"/>
        <w:ind w:left="714" w:hanging="357"/>
        <w:jc w:val="both"/>
        <w:rPr>
          <w:rFonts w:ascii="FrankRuehl" w:hAnsi="FrankRuehl" w:cs="FrankRuehl"/>
          <w:sz w:val="28"/>
          <w:szCs w:val="28"/>
          <w:rtl/>
        </w:rPr>
      </w:pPr>
      <w:r w:rsidRPr="00E70B53">
        <w:rPr>
          <w:rFonts w:ascii="FrankRuehl" w:hAnsi="FrankRuehl" w:cs="FrankRuehl" w:hint="cs"/>
          <w:sz w:val="28"/>
          <w:szCs w:val="28"/>
          <w:rtl/>
        </w:rPr>
        <w:t xml:space="preserve">לעניין </w:t>
      </w:r>
      <w:r w:rsidRPr="00E70B53">
        <w:rPr>
          <w:rFonts w:ascii="FrankRuehl" w:hAnsi="FrankRuehl" w:cs="FrankRuehl"/>
          <w:sz w:val="28"/>
          <w:szCs w:val="28"/>
          <w:rtl/>
        </w:rPr>
        <w:t xml:space="preserve">יתר הסעיפים בבקשתך, אשיב כי לא ניתן להיעתר לה שכן אין ברשותנו ריכוז של נתונים אלה. </w:t>
      </w:r>
    </w:p>
    <w:p w:rsidR="00694E68" w:rsidRDefault="00694E68" w:rsidP="00694E68">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694E68" w:rsidRDefault="00694E68" w:rsidP="00694E68">
      <w:pPr>
        <w:pStyle w:val="a3"/>
        <w:autoSpaceDN w:val="0"/>
        <w:spacing w:after="200" w:line="360" w:lineRule="auto"/>
        <w:jc w:val="both"/>
        <w:rPr>
          <w:rFonts w:ascii="FrankRuehl" w:hAnsi="FrankRuehl" w:cs="FrankRuehl"/>
          <w:sz w:val="28"/>
          <w:szCs w:val="28"/>
          <w:rtl/>
        </w:rPr>
      </w:pPr>
      <w:r w:rsidRPr="005F00E0">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w:t>
      </w:r>
      <w:r>
        <w:rPr>
          <w:rFonts w:ascii="FrankRuehl" w:hAnsi="FrankRuehl" w:cs="FrankRuehl"/>
          <w:sz w:val="28"/>
          <w:szCs w:val="28"/>
          <w:rtl/>
        </w:rPr>
        <w:t xml:space="preserve"> משאבים בלתי סבירה. לפיכך, אין בידנו להיעתר לבקשתך לקבלת מידע זה, כאמור, בין היתר, על יסוד סעיפים 8(1) ו-8(3) לחוק. </w:t>
      </w:r>
    </w:p>
    <w:p w:rsidR="00694E68" w:rsidRDefault="00694E68" w:rsidP="00694E68">
      <w:pPr>
        <w:pStyle w:val="a3"/>
        <w:autoSpaceDN w:val="0"/>
        <w:spacing w:after="200" w:line="360" w:lineRule="auto"/>
        <w:jc w:val="both"/>
        <w:rPr>
          <w:rFonts w:ascii="FrankRuehl" w:hAnsi="FrankRuehl" w:cs="FrankRuehl"/>
          <w:sz w:val="28"/>
          <w:szCs w:val="28"/>
          <w:rtl/>
        </w:rPr>
      </w:pPr>
    </w:p>
    <w:p w:rsidR="00694E68" w:rsidRPr="005F00E0" w:rsidRDefault="00694E68" w:rsidP="00694E68">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5F00E0">
        <w:rPr>
          <w:rFonts w:ascii="FrankRuehl" w:hAnsi="FrankRuehl" w:cs="FrankRuehl"/>
          <w:color w:val="000000" w:themeColor="text1"/>
          <w:sz w:val="28"/>
          <w:szCs w:val="28"/>
          <w:rtl/>
        </w:rPr>
        <w:t xml:space="preserve">כנגד החלטה זו </w:t>
      </w:r>
      <w:r w:rsidRPr="005F00E0">
        <w:rPr>
          <w:rFonts w:ascii="FrankRuehl" w:hAnsi="FrankRuehl" w:cs="FrankRuehl" w:hint="cs"/>
          <w:color w:val="000000" w:themeColor="text1"/>
          <w:sz w:val="28"/>
          <w:szCs w:val="28"/>
          <w:rtl/>
        </w:rPr>
        <w:t>אתה</w:t>
      </w:r>
      <w:r w:rsidRPr="005F00E0">
        <w:rPr>
          <w:rFonts w:ascii="FrankRuehl" w:hAnsi="FrankRuehl" w:cs="FrankRuehl"/>
          <w:color w:val="000000" w:themeColor="text1"/>
          <w:sz w:val="28"/>
          <w:szCs w:val="28"/>
          <w:rtl/>
        </w:rPr>
        <w:t xml:space="preserve"> רשאי להגיש עתירה מנהלית לבית המשפט לעניינים</w:t>
      </w:r>
      <w:r w:rsidRPr="005F00E0">
        <w:rPr>
          <w:rFonts w:ascii="FrankRuehl" w:hAnsi="FrankRuehl" w:cs="FrankRuehl" w:hint="cs"/>
          <w:color w:val="000000" w:themeColor="text1"/>
          <w:sz w:val="28"/>
          <w:szCs w:val="28"/>
          <w:rtl/>
        </w:rPr>
        <w:t xml:space="preserve"> </w:t>
      </w:r>
      <w:r w:rsidRPr="005F00E0">
        <w:rPr>
          <w:rFonts w:ascii="FrankRuehl" w:hAnsi="FrankRuehl" w:cs="FrankRuehl"/>
          <w:color w:val="000000" w:themeColor="text1"/>
          <w:sz w:val="28"/>
          <w:szCs w:val="28"/>
          <w:rtl/>
        </w:rPr>
        <w:t xml:space="preserve">מנהליים בירושלים. </w:t>
      </w:r>
    </w:p>
    <w:p w:rsidR="00694E68" w:rsidRPr="005F00E0" w:rsidRDefault="00694E68" w:rsidP="00694E68">
      <w:pPr>
        <w:pStyle w:val="a3"/>
        <w:spacing w:line="276" w:lineRule="auto"/>
        <w:ind w:left="226"/>
        <w:rPr>
          <w:rFonts w:ascii="FrankRuehl" w:hAnsi="FrankRuehl" w:cs="FrankRuehl"/>
          <w:color w:val="000000" w:themeColor="text1"/>
          <w:sz w:val="28"/>
          <w:szCs w:val="28"/>
        </w:rPr>
      </w:pPr>
    </w:p>
    <w:p w:rsidR="00694E68" w:rsidRDefault="00694E68" w:rsidP="00694E68">
      <w:pPr>
        <w:pStyle w:val="a3"/>
        <w:numPr>
          <w:ilvl w:val="0"/>
          <w:numId w:val="1"/>
        </w:numPr>
        <w:autoSpaceDN w:val="0"/>
        <w:spacing w:after="200" w:line="276" w:lineRule="auto"/>
        <w:jc w:val="both"/>
        <w:rPr>
          <w:rFonts w:ascii="FrankRuehl" w:hAnsi="FrankRuehl" w:cs="FrankRuehl"/>
          <w:color w:val="000000" w:themeColor="text1"/>
          <w:sz w:val="28"/>
          <w:szCs w:val="28"/>
        </w:rPr>
      </w:pPr>
      <w:r w:rsidRPr="005F00E0">
        <w:rPr>
          <w:rFonts w:ascii="FrankRuehl" w:hAnsi="FrankRuehl" w:cs="FrankRuehl"/>
          <w:color w:val="000000" w:themeColor="text1"/>
          <w:sz w:val="28"/>
          <w:szCs w:val="28"/>
          <w:rtl/>
        </w:rPr>
        <w:t xml:space="preserve">אנו לרשותך ככל שיידרש. </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C0F62F7A"/>
    <w:lvl w:ilvl="0" w:tplc="DEF05F1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68"/>
    <w:rsid w:val="002539E0"/>
    <w:rsid w:val="00694E68"/>
    <w:rsid w:val="007775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8844A-5978-48E6-BF63-8E2BB46A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E6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4E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2568</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2022-01-18T13:28:00Z</dcterms:created>
  <dcterms:modified xsi:type="dcterms:W3CDTF">2022-01-18T13:28:00Z</dcterms:modified>
</cp:coreProperties>
</file>