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DD1" w:rsidRPr="005875A9" w:rsidRDefault="00BD1DD1" w:rsidP="00BD1DD1">
      <w:pPr>
        <w:spacing w:after="0"/>
        <w:jc w:val="both"/>
        <w:rPr>
          <w:rFonts w:cs="FrankRuehl"/>
          <w:sz w:val="28"/>
          <w:szCs w:val="28"/>
        </w:rPr>
      </w:pPr>
      <w:r w:rsidRPr="005875A9">
        <w:rPr>
          <w:rFonts w:cs="FrankRuehl"/>
          <w:sz w:val="28"/>
          <w:szCs w:val="28"/>
          <w:rtl/>
        </w:rPr>
        <w:t>לכבוד</w:t>
      </w:r>
      <w:r w:rsidRPr="005875A9">
        <w:rPr>
          <w:rFonts w:cs="FrankRuehl"/>
          <w:sz w:val="28"/>
          <w:szCs w:val="28"/>
          <w:rtl/>
        </w:rPr>
        <w:tab/>
      </w:r>
      <w:r w:rsidRPr="005875A9">
        <w:rPr>
          <w:rFonts w:cs="FrankRuehl"/>
          <w:sz w:val="28"/>
          <w:szCs w:val="28"/>
          <w:rtl/>
        </w:rPr>
        <w:tab/>
      </w:r>
      <w:r w:rsidRPr="005875A9">
        <w:rPr>
          <w:rFonts w:cs="FrankRuehl"/>
          <w:sz w:val="28"/>
          <w:szCs w:val="28"/>
          <w:rtl/>
        </w:rPr>
        <w:tab/>
      </w:r>
      <w:r w:rsidRPr="005875A9">
        <w:rPr>
          <w:rFonts w:cs="FrankRuehl"/>
          <w:sz w:val="28"/>
          <w:szCs w:val="28"/>
          <w:rtl/>
        </w:rPr>
        <w:tab/>
      </w:r>
      <w:r w:rsidRPr="005875A9">
        <w:rPr>
          <w:rFonts w:cs="FrankRuehl"/>
          <w:sz w:val="28"/>
          <w:szCs w:val="28"/>
          <w:rtl/>
        </w:rPr>
        <w:tab/>
      </w:r>
      <w:r w:rsidRPr="005875A9">
        <w:rPr>
          <w:rFonts w:cs="FrankRuehl"/>
          <w:sz w:val="28"/>
          <w:szCs w:val="28"/>
          <w:rtl/>
        </w:rPr>
        <w:tab/>
      </w:r>
      <w:r w:rsidRPr="005875A9">
        <w:rPr>
          <w:rFonts w:cs="FrankRuehl"/>
          <w:sz w:val="28"/>
          <w:szCs w:val="28"/>
          <w:rtl/>
        </w:rPr>
        <w:tab/>
      </w:r>
      <w:r w:rsidRPr="005875A9">
        <w:rPr>
          <w:rFonts w:cs="FrankRuehl"/>
          <w:sz w:val="28"/>
          <w:szCs w:val="28"/>
          <w:rtl/>
        </w:rPr>
        <w:tab/>
      </w:r>
      <w:r w:rsidRPr="005875A9">
        <w:rPr>
          <w:rFonts w:cs="FrankRuehl"/>
          <w:sz w:val="28"/>
          <w:szCs w:val="28"/>
          <w:rtl/>
        </w:rPr>
        <w:tab/>
      </w:r>
    </w:p>
    <w:p w:rsidR="00BD1DD1" w:rsidRDefault="00BD1DD1" w:rsidP="00BD1DD1">
      <w:pPr>
        <w:spacing w:after="0"/>
        <w:jc w:val="both"/>
        <w:rPr>
          <w:rFonts w:cs="FrankRuehl"/>
          <w:sz w:val="28"/>
          <w:szCs w:val="28"/>
          <w:rtl/>
        </w:rPr>
      </w:pPr>
      <w:r>
        <w:rPr>
          <w:rFonts w:cs="FrankRuehl" w:hint="cs"/>
          <w:sz w:val="28"/>
          <w:szCs w:val="28"/>
          <w:rtl/>
        </w:rPr>
        <w:t xml:space="preserve">עו"ד </w:t>
      </w:r>
      <w:proofErr w:type="spellStart"/>
      <w:r>
        <w:rPr>
          <w:rFonts w:cs="FrankRuehl" w:hint="cs"/>
          <w:sz w:val="28"/>
          <w:szCs w:val="28"/>
          <w:rtl/>
        </w:rPr>
        <w:t>סוהילה</w:t>
      </w:r>
      <w:proofErr w:type="spellEnd"/>
      <w:r>
        <w:rPr>
          <w:rFonts w:cs="FrankRuehl" w:hint="cs"/>
          <w:sz w:val="28"/>
          <w:szCs w:val="28"/>
          <w:rtl/>
        </w:rPr>
        <w:t xml:space="preserve"> </w:t>
      </w:r>
      <w:proofErr w:type="spellStart"/>
      <w:r>
        <w:rPr>
          <w:rFonts w:cs="FrankRuehl" w:hint="cs"/>
          <w:sz w:val="28"/>
          <w:szCs w:val="28"/>
          <w:rtl/>
        </w:rPr>
        <w:t>גטאס</w:t>
      </w:r>
      <w:proofErr w:type="spellEnd"/>
    </w:p>
    <w:p w:rsidR="00BD1DD1" w:rsidRPr="005875A9" w:rsidRDefault="00BD1DD1" w:rsidP="00BD1DD1">
      <w:pPr>
        <w:spacing w:after="0"/>
        <w:jc w:val="both"/>
        <w:rPr>
          <w:rFonts w:cs="FrankRuehl"/>
          <w:sz w:val="28"/>
          <w:szCs w:val="28"/>
          <w:rtl/>
        </w:rPr>
      </w:pPr>
      <w:r>
        <w:rPr>
          <w:rFonts w:cs="FrankRuehl" w:hint="cs"/>
          <w:sz w:val="28"/>
          <w:szCs w:val="28"/>
          <w:rtl/>
        </w:rPr>
        <w:t xml:space="preserve">עמותת </w:t>
      </w:r>
      <w:proofErr w:type="spellStart"/>
      <w:r>
        <w:rPr>
          <w:rFonts w:cs="FrankRuehl" w:hint="cs"/>
          <w:sz w:val="28"/>
          <w:szCs w:val="28"/>
          <w:rtl/>
        </w:rPr>
        <w:t>איתך</w:t>
      </w:r>
      <w:proofErr w:type="spellEnd"/>
      <w:r>
        <w:rPr>
          <w:rFonts w:cs="FrankRuehl" w:hint="cs"/>
          <w:sz w:val="28"/>
          <w:szCs w:val="28"/>
          <w:rtl/>
        </w:rPr>
        <w:t xml:space="preserve"> </w:t>
      </w:r>
      <w:r>
        <w:rPr>
          <w:rFonts w:cs="FrankRuehl"/>
          <w:sz w:val="28"/>
          <w:szCs w:val="28"/>
          <w:rtl/>
        </w:rPr>
        <w:t>–</w:t>
      </w:r>
      <w:r>
        <w:rPr>
          <w:rFonts w:cs="FrankRuehl" w:hint="cs"/>
          <w:sz w:val="28"/>
          <w:szCs w:val="28"/>
          <w:rtl/>
        </w:rPr>
        <w:t xml:space="preserve"> משפטניות למען צדק חברתי</w:t>
      </w:r>
    </w:p>
    <w:p w:rsidR="00BD1DD1" w:rsidRPr="002F1E8F" w:rsidRDefault="00BD1DD1" w:rsidP="00BD1DD1">
      <w:pPr>
        <w:spacing w:after="0"/>
        <w:jc w:val="both"/>
        <w:rPr>
          <w:rFonts w:ascii="David" w:hAnsi="David" w:cs="David"/>
          <w:sz w:val="24"/>
          <w:szCs w:val="24"/>
          <w:u w:val="single"/>
          <w:rtl/>
        </w:rPr>
      </w:pPr>
      <w:r w:rsidRPr="002F1E8F">
        <w:rPr>
          <w:rFonts w:cs="FrankRuehl"/>
          <w:sz w:val="28"/>
          <w:szCs w:val="28"/>
          <w:u w:val="single"/>
          <w:rtl/>
        </w:rPr>
        <w:t xml:space="preserve">באמצעות הדוא"ל: </w:t>
      </w:r>
      <w:r w:rsidRPr="002F1E8F">
        <w:rPr>
          <w:rFonts w:ascii="David" w:hAnsi="David" w:cs="David"/>
          <w:sz w:val="24"/>
          <w:szCs w:val="24"/>
          <w:u w:val="single"/>
        </w:rPr>
        <w:t>Sohela@itach.org.il</w:t>
      </w:r>
    </w:p>
    <w:p w:rsidR="00BD1DD1" w:rsidRDefault="00BD1DD1" w:rsidP="00BD1DD1">
      <w:pPr>
        <w:spacing w:after="0"/>
        <w:jc w:val="both"/>
        <w:rPr>
          <w:rFonts w:ascii="David" w:hAnsi="David" w:cs="David"/>
          <w:sz w:val="24"/>
          <w:szCs w:val="24"/>
          <w:rtl/>
        </w:rPr>
      </w:pPr>
      <w:r w:rsidRPr="005875A9">
        <w:rPr>
          <w:rFonts w:ascii="David" w:hAnsi="David" w:cs="David"/>
          <w:sz w:val="24"/>
          <w:szCs w:val="24"/>
          <w:rtl/>
        </w:rPr>
        <w:t xml:space="preserve"> </w:t>
      </w:r>
      <w:r w:rsidRPr="005875A9">
        <w:rPr>
          <w:rFonts w:ascii="David" w:hAnsi="David" w:cs="David"/>
          <w:sz w:val="24"/>
          <w:szCs w:val="24"/>
        </w:rPr>
        <w:fldChar w:fldCharType="begin"/>
      </w:r>
      <w:r w:rsidRPr="005875A9">
        <w:rPr>
          <w:rFonts w:ascii="David" w:hAnsi="David" w:cs="David"/>
          <w:sz w:val="24"/>
          <w:szCs w:val="24"/>
        </w:rPr>
        <w:instrText xml:space="preserve"> DOCPROPERTY  DocToName  \* MERGEFORMAT </w:instrText>
      </w:r>
      <w:r w:rsidRPr="005875A9">
        <w:rPr>
          <w:rFonts w:ascii="David" w:hAnsi="David" w:cs="David"/>
          <w:sz w:val="24"/>
          <w:szCs w:val="24"/>
        </w:rPr>
        <w:fldChar w:fldCharType="end"/>
      </w:r>
    </w:p>
    <w:p w:rsidR="00BD1DD1" w:rsidRDefault="00BD1DD1" w:rsidP="00BD1DD1">
      <w:pPr>
        <w:spacing w:after="0"/>
        <w:jc w:val="both"/>
        <w:rPr>
          <w:rFonts w:cs="FrankRuehl"/>
          <w:sz w:val="28"/>
          <w:szCs w:val="28"/>
          <w:rtl/>
        </w:rPr>
      </w:pPr>
      <w:r>
        <w:rPr>
          <w:rFonts w:cs="FrankRuehl" w:hint="cs"/>
          <w:sz w:val="28"/>
          <w:szCs w:val="28"/>
          <w:rtl/>
        </w:rPr>
        <w:t xml:space="preserve">עו"ד </w:t>
      </w:r>
      <w:proofErr w:type="spellStart"/>
      <w:r>
        <w:rPr>
          <w:rFonts w:cs="FrankRuehl" w:hint="cs"/>
          <w:sz w:val="28"/>
          <w:szCs w:val="28"/>
          <w:rtl/>
        </w:rPr>
        <w:t>גטאס</w:t>
      </w:r>
      <w:proofErr w:type="spellEnd"/>
      <w:r>
        <w:rPr>
          <w:rFonts w:cs="FrankRuehl" w:hint="cs"/>
          <w:sz w:val="28"/>
          <w:szCs w:val="28"/>
          <w:rtl/>
        </w:rPr>
        <w:t xml:space="preserve"> הנכבדה, </w:t>
      </w:r>
    </w:p>
    <w:p w:rsidR="00BD1DD1" w:rsidRPr="00813003" w:rsidRDefault="00BD1DD1" w:rsidP="00BD1DD1">
      <w:pPr>
        <w:spacing w:after="0"/>
        <w:jc w:val="both"/>
        <w:rPr>
          <w:rFonts w:cs="FrankRuehl"/>
          <w:sz w:val="28"/>
          <w:szCs w:val="28"/>
          <w:rtl/>
        </w:rPr>
      </w:pPr>
    </w:p>
    <w:p w:rsidR="00BD1DD1" w:rsidRPr="00813003" w:rsidRDefault="00BD1DD1" w:rsidP="00BD1DD1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8"/>
          <w:szCs w:val="28"/>
          <w:u w:val="single"/>
          <w:rtl/>
        </w:rPr>
      </w:pPr>
      <w:r w:rsidRPr="00813003">
        <w:rPr>
          <w:rFonts w:cs="FrankRuehl" w:hint="cs"/>
          <w:sz w:val="28"/>
          <w:szCs w:val="28"/>
          <w:rtl/>
        </w:rPr>
        <w:t>ה</w:t>
      </w:r>
      <w:r w:rsidRPr="00813003">
        <w:rPr>
          <w:rFonts w:cs="FrankRuehl"/>
          <w:sz w:val="28"/>
          <w:szCs w:val="28"/>
          <w:rtl/>
        </w:rPr>
        <w:t xml:space="preserve">נדון: </w:t>
      </w:r>
      <w:r w:rsidRPr="00813003">
        <w:rPr>
          <w:rFonts w:cs="FrankRuehl"/>
          <w:b/>
          <w:bCs/>
          <w:sz w:val="28"/>
          <w:szCs w:val="28"/>
          <w:u w:val="single"/>
          <w:rtl/>
        </w:rPr>
        <w:t>בקש</w:t>
      </w:r>
      <w:r w:rsidRPr="00813003">
        <w:rPr>
          <w:rFonts w:cs="FrankRuehl" w:hint="cs"/>
          <w:b/>
          <w:bCs/>
          <w:sz w:val="28"/>
          <w:szCs w:val="28"/>
          <w:u w:val="single"/>
          <w:rtl/>
        </w:rPr>
        <w:t>ה</w:t>
      </w:r>
      <w:r w:rsidRPr="00813003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BD1DD1" w:rsidRPr="00813003" w:rsidRDefault="00BD1DD1" w:rsidP="00BD1DD1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rtl/>
        </w:rPr>
      </w:pPr>
      <w:r w:rsidRPr="00813003">
        <w:rPr>
          <w:rFonts w:cs="FrankRuehl"/>
          <w:rtl/>
        </w:rPr>
        <w:t xml:space="preserve">סימוכין: </w:t>
      </w:r>
      <w:r w:rsidRPr="00813003">
        <w:rPr>
          <w:rFonts w:cs="FrankRuehl" w:hint="cs"/>
          <w:rtl/>
        </w:rPr>
        <w:t xml:space="preserve">בקשה מיום </w:t>
      </w:r>
      <w:r>
        <w:rPr>
          <w:rFonts w:cs="FrankRuehl" w:hint="cs"/>
          <w:rtl/>
        </w:rPr>
        <w:t>28.4.2021</w:t>
      </w:r>
    </w:p>
    <w:p w:rsidR="00BD1DD1" w:rsidRPr="005875A9" w:rsidRDefault="00BD1DD1" w:rsidP="00BD1DD1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szCs w:val="24"/>
        </w:rPr>
      </w:pPr>
    </w:p>
    <w:p w:rsidR="00BD1DD1" w:rsidRDefault="00BD1DD1" w:rsidP="00BD1DD1">
      <w:pPr>
        <w:pStyle w:val="a3"/>
        <w:autoSpaceDN w:val="0"/>
        <w:spacing w:after="200" w:line="360" w:lineRule="auto"/>
        <w:jc w:val="both"/>
        <w:rPr>
          <w:rFonts w:cs="FrankRuehl"/>
          <w:sz w:val="28"/>
          <w:szCs w:val="28"/>
          <w:rtl/>
        </w:rPr>
      </w:pPr>
      <w:r>
        <w:rPr>
          <w:rFonts w:cs="FrankRuehl" w:hint="cs"/>
          <w:sz w:val="28"/>
          <w:szCs w:val="28"/>
          <w:rtl/>
        </w:rPr>
        <w:t xml:space="preserve">במענה לבקשה שבסימוכין </w:t>
      </w:r>
      <w:r w:rsidRPr="00081455">
        <w:rPr>
          <w:rFonts w:cs="FrankRuehl" w:hint="cs"/>
          <w:sz w:val="28"/>
          <w:szCs w:val="28"/>
          <w:rtl/>
        </w:rPr>
        <w:t xml:space="preserve">לקבלת מידע </w:t>
      </w:r>
      <w:r>
        <w:rPr>
          <w:rFonts w:ascii="FrankRuehl" w:hAnsi="FrankRuehl" w:cs="FrankRuehl" w:hint="cs"/>
          <w:color w:val="000000" w:themeColor="text1"/>
          <w:sz w:val="28"/>
          <w:szCs w:val="28"/>
          <w:rtl/>
        </w:rPr>
        <w:t xml:space="preserve">לפי חוק חופש המידע התשנ"ח-1998 (להלן: </w:t>
      </w:r>
      <w:r w:rsidRPr="00081455">
        <w:rPr>
          <w:rFonts w:ascii="FrankRuehl" w:hAnsi="FrankRuehl" w:cs="FrankRuehl" w:hint="cs"/>
          <w:color w:val="000000" w:themeColor="text1"/>
          <w:sz w:val="28"/>
          <w:szCs w:val="28"/>
          <w:rtl/>
        </w:rPr>
        <w:t xml:space="preserve">החוק), </w:t>
      </w:r>
      <w:r>
        <w:rPr>
          <w:rFonts w:cs="FrankRuehl" w:hint="cs"/>
          <w:sz w:val="28"/>
          <w:szCs w:val="28"/>
          <w:rtl/>
        </w:rPr>
        <w:t>על אודות נשים בדואיות,</w:t>
      </w:r>
      <w:r w:rsidRPr="00081455">
        <w:rPr>
          <w:rFonts w:cs="FrankRuehl" w:hint="cs"/>
          <w:sz w:val="28"/>
          <w:szCs w:val="28"/>
          <w:rtl/>
        </w:rPr>
        <w:t xml:space="preserve"> </w:t>
      </w:r>
      <w:r>
        <w:rPr>
          <w:rFonts w:cs="FrankRuehl" w:hint="cs"/>
          <w:sz w:val="28"/>
          <w:szCs w:val="28"/>
          <w:rtl/>
        </w:rPr>
        <w:t>הריני משיבה לך כדלהלן</w:t>
      </w:r>
      <w:r>
        <w:rPr>
          <w:rFonts w:cs="FrankRuehl"/>
          <w:sz w:val="28"/>
          <w:szCs w:val="28"/>
        </w:rPr>
        <w:t>:</w:t>
      </w:r>
      <w:r w:rsidRPr="00081455">
        <w:rPr>
          <w:rFonts w:cs="FrankRuehl" w:hint="cs"/>
          <w:sz w:val="28"/>
          <w:szCs w:val="28"/>
          <w:rtl/>
        </w:rPr>
        <w:t xml:space="preserve"> </w:t>
      </w:r>
    </w:p>
    <w:p w:rsidR="00BD1DD1" w:rsidRPr="00054354" w:rsidRDefault="00BD1DD1" w:rsidP="00BD1DD1">
      <w:pPr>
        <w:pStyle w:val="a3"/>
        <w:autoSpaceDN w:val="0"/>
        <w:spacing w:after="200" w:line="360" w:lineRule="auto"/>
        <w:jc w:val="both"/>
        <w:rPr>
          <w:rFonts w:ascii="FrankRuehl" w:hAnsi="FrankRuehl" w:cs="FrankRuehl"/>
          <w:sz w:val="28"/>
          <w:szCs w:val="28"/>
        </w:rPr>
      </w:pPr>
    </w:p>
    <w:p w:rsidR="00BD1DD1" w:rsidRDefault="00BD1DD1" w:rsidP="00BD1DD1">
      <w:pPr>
        <w:pStyle w:val="a3"/>
        <w:numPr>
          <w:ilvl w:val="0"/>
          <w:numId w:val="1"/>
        </w:numPr>
        <w:autoSpaceDN w:val="0"/>
        <w:spacing w:after="200" w:line="360" w:lineRule="auto"/>
        <w:jc w:val="both"/>
        <w:rPr>
          <w:rFonts w:ascii="FrankRuehl" w:hAnsi="FrankRuehl"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>באשר לסעיפים א-ג בבקשתך,</w:t>
      </w:r>
      <w:r w:rsidRPr="00081455">
        <w:rPr>
          <w:rFonts w:ascii="FrankRuehl" w:hAnsi="FrankRuehl" w:cs="FrankRuehl"/>
          <w:sz w:val="28"/>
          <w:szCs w:val="28"/>
          <w:rtl/>
        </w:rPr>
        <w:t xml:space="preserve"> אין ב</w:t>
      </w:r>
      <w:r>
        <w:rPr>
          <w:rFonts w:ascii="FrankRuehl" w:hAnsi="FrankRuehl" w:cs="FrankRuehl" w:hint="cs"/>
          <w:sz w:val="28"/>
          <w:szCs w:val="28"/>
          <w:rtl/>
        </w:rPr>
        <w:t>רשותנו</w:t>
      </w:r>
      <w:r w:rsidRPr="00081455">
        <w:rPr>
          <w:rFonts w:ascii="FrankRuehl" w:hAnsi="FrankRuehl" w:cs="FrankRuehl"/>
          <w:sz w:val="28"/>
          <w:szCs w:val="28"/>
          <w:rtl/>
        </w:rPr>
        <w:t xml:space="preserve"> ריכוז של נתונים אלה.</w:t>
      </w:r>
    </w:p>
    <w:p w:rsidR="00BD1DD1" w:rsidRDefault="00BD1DD1" w:rsidP="00BD1DD1">
      <w:pPr>
        <w:pStyle w:val="a3"/>
        <w:autoSpaceDN w:val="0"/>
        <w:spacing w:after="200" w:line="360" w:lineRule="auto"/>
        <w:jc w:val="both"/>
        <w:rPr>
          <w:rFonts w:ascii="FrankRuehl" w:hAnsi="FrankRuehl" w:cs="FrankRuehl"/>
          <w:sz w:val="28"/>
          <w:szCs w:val="28"/>
        </w:rPr>
      </w:pPr>
    </w:p>
    <w:p w:rsidR="00BD1DD1" w:rsidRDefault="00BD1DD1" w:rsidP="00BD1DD1">
      <w:pPr>
        <w:pStyle w:val="a3"/>
        <w:numPr>
          <w:ilvl w:val="0"/>
          <w:numId w:val="1"/>
        </w:numPr>
        <w:autoSpaceDN w:val="0"/>
        <w:spacing w:after="200" w:line="360" w:lineRule="auto"/>
        <w:jc w:val="both"/>
        <w:rPr>
          <w:rFonts w:ascii="FrankRuehl" w:hAnsi="FrankRuehl" w:cs="FrankRuehl"/>
          <w:sz w:val="28"/>
          <w:szCs w:val="28"/>
        </w:rPr>
      </w:pPr>
      <w:r>
        <w:rPr>
          <w:rFonts w:ascii="FrankRuehl" w:hAnsi="FrankRuehl" w:cs="FrankRuehl" w:hint="cs"/>
          <w:sz w:val="28"/>
          <w:szCs w:val="28"/>
          <w:rtl/>
        </w:rPr>
        <w:t xml:space="preserve">באשר לסעיף ד', מספר ההיתרים החריגים שניתנו מבית הדין </w:t>
      </w:r>
      <w:proofErr w:type="spellStart"/>
      <w:r>
        <w:rPr>
          <w:rFonts w:ascii="FrankRuehl" w:hAnsi="FrankRuehl" w:cs="FrankRuehl" w:hint="cs"/>
          <w:sz w:val="28"/>
          <w:szCs w:val="28"/>
          <w:rtl/>
        </w:rPr>
        <w:t>השרעיים</w:t>
      </w:r>
      <w:proofErr w:type="spellEnd"/>
      <w:r>
        <w:rPr>
          <w:rFonts w:ascii="FrankRuehl" w:hAnsi="FrankRuehl" w:cs="FrankRuehl" w:hint="cs"/>
          <w:sz w:val="28"/>
          <w:szCs w:val="28"/>
          <w:rtl/>
        </w:rPr>
        <w:t xml:space="preserve"> לנישואים שניים, אשיב כי הנהלת בתי המשפט אינה הרשות הציבורית והגוף המוסמך לכך. באפשרותך לפנות לבתי הדין </w:t>
      </w:r>
      <w:proofErr w:type="spellStart"/>
      <w:r>
        <w:rPr>
          <w:rFonts w:ascii="FrankRuehl" w:hAnsi="FrankRuehl" w:cs="FrankRuehl" w:hint="cs"/>
          <w:sz w:val="28"/>
          <w:szCs w:val="28"/>
          <w:rtl/>
        </w:rPr>
        <w:t>השרעיים</w:t>
      </w:r>
      <w:proofErr w:type="spellEnd"/>
      <w:r>
        <w:rPr>
          <w:rFonts w:ascii="FrankRuehl" w:hAnsi="FrankRuehl" w:cs="FrankRuehl" w:hint="cs"/>
          <w:sz w:val="28"/>
          <w:szCs w:val="28"/>
          <w:rtl/>
        </w:rPr>
        <w:t xml:space="preserve">. </w:t>
      </w:r>
    </w:p>
    <w:p w:rsidR="00BD1DD1" w:rsidRDefault="00BD1DD1" w:rsidP="00BD1DD1">
      <w:pPr>
        <w:pStyle w:val="a3"/>
        <w:autoSpaceDN w:val="0"/>
        <w:spacing w:after="200" w:line="360" w:lineRule="auto"/>
        <w:ind w:left="1076"/>
        <w:jc w:val="both"/>
        <w:rPr>
          <w:rFonts w:ascii="FrankRuehl" w:hAnsi="FrankRuehl" w:cs="FrankRuehl"/>
          <w:sz w:val="28"/>
          <w:szCs w:val="28"/>
          <w:rtl/>
        </w:rPr>
      </w:pPr>
    </w:p>
    <w:p w:rsidR="00BD1DD1" w:rsidRDefault="00BD1DD1" w:rsidP="00BD1DD1">
      <w:pPr>
        <w:pStyle w:val="a3"/>
        <w:numPr>
          <w:ilvl w:val="0"/>
          <w:numId w:val="1"/>
        </w:numPr>
        <w:autoSpaceDN w:val="0"/>
        <w:spacing w:after="200" w:line="360" w:lineRule="auto"/>
        <w:jc w:val="both"/>
        <w:rPr>
          <w:rFonts w:ascii="FrankRuehl" w:hAnsi="FrankRuehl" w:cs="FrankRuehl"/>
          <w:color w:val="000000" w:themeColor="text1"/>
          <w:sz w:val="28"/>
          <w:szCs w:val="28"/>
        </w:rPr>
      </w:pPr>
      <w:r>
        <w:rPr>
          <w:rFonts w:ascii="FrankRuehl" w:hAnsi="FrankRuehl" w:cs="FrankRuehl"/>
          <w:color w:val="000000" w:themeColor="text1"/>
          <w:sz w:val="28"/>
          <w:szCs w:val="28"/>
          <w:rtl/>
        </w:rPr>
        <w:t xml:space="preserve">כנגד החלטה זו </w:t>
      </w:r>
      <w:r w:rsidRPr="002F1E8F">
        <w:rPr>
          <w:rFonts w:ascii="FrankRuehl" w:hAnsi="FrankRuehl" w:cs="FrankRuehl" w:hint="cs"/>
          <w:color w:val="000000" w:themeColor="text1"/>
          <w:sz w:val="28"/>
          <w:szCs w:val="28"/>
          <w:rtl/>
        </w:rPr>
        <w:t>את</w:t>
      </w:r>
      <w:r w:rsidRPr="002F1E8F">
        <w:rPr>
          <w:rFonts w:ascii="FrankRuehl" w:hAnsi="FrankRuehl" w:cs="FrankRuehl"/>
          <w:color w:val="000000" w:themeColor="text1"/>
          <w:sz w:val="28"/>
          <w:szCs w:val="28"/>
          <w:rtl/>
        </w:rPr>
        <w:t xml:space="preserve"> רשאי</w:t>
      </w:r>
      <w:r w:rsidRPr="002F1E8F">
        <w:rPr>
          <w:rFonts w:ascii="FrankRuehl" w:hAnsi="FrankRuehl" w:cs="FrankRuehl" w:hint="cs"/>
          <w:color w:val="000000" w:themeColor="text1"/>
          <w:sz w:val="28"/>
          <w:szCs w:val="28"/>
          <w:rtl/>
        </w:rPr>
        <w:t>ת</w:t>
      </w:r>
      <w:r>
        <w:rPr>
          <w:rFonts w:ascii="FrankRuehl" w:hAnsi="FrankRuehl" w:cs="FrankRuehl"/>
          <w:color w:val="000000" w:themeColor="text1"/>
          <w:sz w:val="28"/>
          <w:szCs w:val="28"/>
          <w:rtl/>
        </w:rPr>
        <w:t xml:space="preserve"> להגיש עתירה מנהלית לבית המשפט לעניינים</w:t>
      </w:r>
      <w:r>
        <w:rPr>
          <w:rFonts w:ascii="FrankRuehl" w:hAnsi="FrankRuehl" w:cs="FrankRuehl" w:hint="cs"/>
          <w:color w:val="000000" w:themeColor="text1"/>
          <w:sz w:val="28"/>
          <w:szCs w:val="28"/>
          <w:rtl/>
        </w:rPr>
        <w:t xml:space="preserve"> </w:t>
      </w:r>
      <w:r>
        <w:rPr>
          <w:rFonts w:ascii="FrankRuehl" w:hAnsi="FrankRuehl" w:cs="FrankRuehl"/>
          <w:color w:val="000000" w:themeColor="text1"/>
          <w:sz w:val="28"/>
          <w:szCs w:val="28"/>
          <w:rtl/>
        </w:rPr>
        <w:t xml:space="preserve">מנהליים בירושלים. </w:t>
      </w:r>
    </w:p>
    <w:p w:rsidR="00BD1DD1" w:rsidRPr="00040363" w:rsidRDefault="00BD1DD1" w:rsidP="00BD1DD1">
      <w:pPr>
        <w:pStyle w:val="a3"/>
        <w:autoSpaceDN w:val="0"/>
        <w:spacing w:after="200" w:line="360" w:lineRule="auto"/>
        <w:jc w:val="both"/>
        <w:rPr>
          <w:rFonts w:ascii="FrankRuehl" w:hAnsi="FrankRuehl" w:cs="FrankRuehl"/>
          <w:color w:val="000000" w:themeColor="text1"/>
          <w:sz w:val="28"/>
          <w:szCs w:val="28"/>
          <w:rtl/>
        </w:rPr>
      </w:pPr>
    </w:p>
    <w:p w:rsidR="006C5EE7" w:rsidRDefault="00BD1DD1" w:rsidP="00BD1DD1">
      <w:pPr>
        <w:ind w:firstLine="360"/>
      </w:pPr>
      <w:bookmarkStart w:id="0" w:name="_GoBack"/>
      <w:bookmarkEnd w:id="0"/>
      <w:r>
        <w:rPr>
          <w:rFonts w:ascii="FrankRuehl" w:hAnsi="FrankRuehl" w:cs="FrankRuehl" w:hint="cs"/>
          <w:color w:val="000000" w:themeColor="text1"/>
          <w:sz w:val="28"/>
          <w:szCs w:val="28"/>
          <w:rtl/>
        </w:rPr>
        <w:t>4.</w:t>
      </w:r>
      <w:r>
        <w:rPr>
          <w:rFonts w:ascii="FrankRuehl" w:hAnsi="FrankRuehl" w:cs="FrankRuehl" w:hint="cs"/>
          <w:color w:val="000000" w:themeColor="text1"/>
          <w:sz w:val="28"/>
          <w:szCs w:val="28"/>
          <w:rtl/>
        </w:rPr>
        <w:tab/>
      </w:r>
      <w:r w:rsidRPr="00054354">
        <w:rPr>
          <w:rFonts w:ascii="FrankRuehl" w:hAnsi="FrankRuehl" w:cs="FrankRuehl"/>
          <w:color w:val="000000" w:themeColor="text1"/>
          <w:sz w:val="28"/>
          <w:szCs w:val="28"/>
          <w:rtl/>
        </w:rPr>
        <w:t>אנו לרשותך ככל שיידרש.</w:t>
      </w:r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DD1"/>
    <w:rsid w:val="006C5EE7"/>
    <w:rsid w:val="008E26B2"/>
    <w:rsid w:val="00BD1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92BD2"/>
  <w15:chartTrackingRefBased/>
  <w15:docId w15:val="{C5C8C73E-0F77-474A-9B51-C6E0E437A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DD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1D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2021-05-30T10:42:00Z</dcterms:created>
  <dcterms:modified xsi:type="dcterms:W3CDTF">2021-05-30T10:43:00Z</dcterms:modified>
</cp:coreProperties>
</file>