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B8DE4" w14:textId="193B06D4" w:rsidR="00731940" w:rsidRPr="006C0B0D" w:rsidRDefault="00731940" w:rsidP="00731940">
      <w:pPr>
        <w:spacing w:after="0" w:line="240" w:lineRule="auto"/>
        <w:ind w:left="5040"/>
        <w:jc w:val="both"/>
        <w:rPr>
          <w:rFonts w:cs="FrankRuehl"/>
          <w:b/>
          <w:bCs/>
          <w:sz w:val="26"/>
          <w:szCs w:val="26"/>
          <w:rtl/>
        </w:rPr>
      </w:pPr>
      <w:bookmarkStart w:id="0" w:name="_GoBack"/>
      <w:bookmarkEnd w:id="0"/>
      <w:r>
        <w:rPr>
          <w:rFonts w:ascii="Times New Roman" w:eastAsia="Times New Roman" w:hAnsi="Times New Roman" w:cs="FrankRuehl" w:hint="cs"/>
          <w:sz w:val="26"/>
          <w:szCs w:val="26"/>
          <w:rtl/>
        </w:rPr>
        <w:t xml:space="preserve">    </w:t>
      </w:r>
      <w:r w:rsidRPr="006C0B0D">
        <w:rPr>
          <w:rFonts w:ascii="Times New Roman" w:eastAsia="Times New Roman" w:hAnsi="Times New Roman" w:cs="FrankRuehl"/>
          <w:sz w:val="26"/>
          <w:szCs w:val="26"/>
          <w:rtl/>
        </w:rPr>
        <w:fldChar w:fldCharType="begin"/>
      </w:r>
      <w:r w:rsidRPr="006C0B0D">
        <w:rPr>
          <w:rFonts w:ascii="Times New Roman" w:eastAsia="Times New Roman" w:hAnsi="Times New Roman" w:cs="FrankRuehl"/>
          <w:sz w:val="26"/>
          <w:szCs w:val="26"/>
          <w:rtl/>
        </w:rPr>
        <w:instrText xml:space="preserve"> </w:instrText>
      </w:r>
      <w:r w:rsidRPr="006C0B0D">
        <w:rPr>
          <w:rFonts w:ascii="Times New Roman" w:eastAsia="Times New Roman" w:hAnsi="Times New Roman" w:cs="FrankRuehl" w:hint="cs"/>
          <w:sz w:val="26"/>
          <w:szCs w:val="26"/>
        </w:rPr>
        <w:instrText>DOCPROPERTY  DocDateHebB  \* MERGEFORMAT</w:instrText>
      </w:r>
      <w:r w:rsidRPr="006C0B0D">
        <w:rPr>
          <w:rFonts w:ascii="Times New Roman" w:eastAsia="Times New Roman" w:hAnsi="Times New Roman" w:cs="FrankRuehl"/>
          <w:sz w:val="26"/>
          <w:szCs w:val="26"/>
          <w:rtl/>
        </w:rPr>
        <w:instrText xml:space="preserve"> </w:instrText>
      </w:r>
      <w:r w:rsidRPr="006C0B0D">
        <w:rPr>
          <w:rFonts w:ascii="Times New Roman" w:eastAsia="Times New Roman" w:hAnsi="Times New Roman" w:cs="FrankRuehl"/>
          <w:sz w:val="26"/>
          <w:szCs w:val="26"/>
          <w:rtl/>
        </w:rPr>
        <w:fldChar w:fldCharType="separate"/>
      </w:r>
      <w:r w:rsidRPr="006C0B0D">
        <w:rPr>
          <w:rFonts w:ascii="Times New Roman" w:eastAsia="Times New Roman" w:hAnsi="Times New Roman" w:cs="FrankRuehl"/>
          <w:sz w:val="26"/>
          <w:szCs w:val="26"/>
          <w:rtl/>
        </w:rPr>
        <w:t>ד' בכסלו התשפ"ב</w:t>
      </w:r>
      <w:r w:rsidRPr="006C0B0D">
        <w:rPr>
          <w:rFonts w:ascii="Times New Roman" w:eastAsia="Times New Roman" w:hAnsi="Times New Roman" w:cs="FrankRuehl"/>
          <w:sz w:val="26"/>
          <w:szCs w:val="26"/>
          <w:rtl/>
        </w:rPr>
        <w:fldChar w:fldCharType="end"/>
      </w:r>
    </w:p>
    <w:p w14:paraId="762F3D97" w14:textId="77777777" w:rsidR="00731940" w:rsidRPr="006C0B0D" w:rsidRDefault="00731940" w:rsidP="00731940">
      <w:pPr>
        <w:spacing w:after="0" w:line="240" w:lineRule="auto"/>
        <w:ind w:left="5040"/>
        <w:jc w:val="both"/>
        <w:rPr>
          <w:rFonts w:cs="FrankRuehl"/>
          <w:b/>
          <w:bCs/>
          <w:sz w:val="26"/>
          <w:szCs w:val="26"/>
          <w:rtl/>
        </w:rPr>
      </w:pPr>
      <w:r>
        <w:rPr>
          <w:rFonts w:ascii="Times New Roman" w:eastAsia="Times New Roman" w:hAnsi="Times New Roman" w:cs="FrankRuehl" w:hint="cs"/>
          <w:sz w:val="26"/>
          <w:szCs w:val="26"/>
          <w:rtl/>
        </w:rPr>
        <w:t xml:space="preserve">    </w:t>
      </w:r>
      <w:r w:rsidRPr="006C0B0D">
        <w:rPr>
          <w:rFonts w:ascii="Times New Roman" w:eastAsia="Times New Roman" w:hAnsi="Times New Roman" w:cs="FrankRuehl" w:hint="cs"/>
          <w:sz w:val="26"/>
          <w:szCs w:val="26"/>
          <w:rtl/>
        </w:rPr>
        <w:fldChar w:fldCharType="begin"/>
      </w:r>
      <w:r w:rsidRPr="006C0B0D">
        <w:rPr>
          <w:rFonts w:ascii="Times New Roman" w:eastAsia="Times New Roman" w:hAnsi="Times New Roman" w:cs="FrankRuehl" w:hint="cs"/>
          <w:sz w:val="26"/>
          <w:szCs w:val="26"/>
          <w:rtl/>
        </w:rPr>
        <w:instrText xml:space="preserve"> </w:instrText>
      </w:r>
      <w:r w:rsidRPr="006C0B0D">
        <w:rPr>
          <w:rFonts w:ascii="Times New Roman" w:eastAsia="Times New Roman" w:hAnsi="Times New Roman" w:cs="FrankRuehl"/>
          <w:sz w:val="26"/>
          <w:szCs w:val="26"/>
        </w:rPr>
        <w:instrText>DOCPROPERTY  DocDateEng  \* MERGEFORMAT</w:instrText>
      </w:r>
      <w:r w:rsidRPr="006C0B0D">
        <w:rPr>
          <w:rFonts w:ascii="Times New Roman" w:eastAsia="Times New Roman" w:hAnsi="Times New Roman" w:cs="FrankRuehl" w:hint="cs"/>
          <w:sz w:val="26"/>
          <w:szCs w:val="26"/>
          <w:rtl/>
        </w:rPr>
        <w:instrText xml:space="preserve"> </w:instrText>
      </w:r>
      <w:r w:rsidRPr="006C0B0D">
        <w:rPr>
          <w:rFonts w:ascii="Times New Roman" w:eastAsia="Times New Roman" w:hAnsi="Times New Roman" w:cs="FrankRuehl" w:hint="cs"/>
          <w:sz w:val="26"/>
          <w:szCs w:val="26"/>
          <w:rtl/>
        </w:rPr>
        <w:fldChar w:fldCharType="separate"/>
      </w:r>
      <w:r w:rsidRPr="006C0B0D">
        <w:rPr>
          <w:rFonts w:ascii="Times New Roman" w:eastAsia="Times New Roman" w:hAnsi="Times New Roman" w:cs="FrankRuehl" w:hint="cs"/>
          <w:sz w:val="26"/>
          <w:szCs w:val="26"/>
          <w:rtl/>
        </w:rPr>
        <w:t>08 בנובמבר 2021</w:t>
      </w:r>
      <w:r w:rsidRPr="006C0B0D">
        <w:rPr>
          <w:rFonts w:ascii="Times New Roman" w:eastAsia="Times New Roman" w:hAnsi="Times New Roman" w:cs="FrankRuehl" w:hint="cs"/>
          <w:sz w:val="26"/>
          <w:szCs w:val="26"/>
          <w:rtl/>
        </w:rPr>
        <w:fldChar w:fldCharType="end"/>
      </w:r>
    </w:p>
    <w:p w14:paraId="26E29D20" w14:textId="77777777" w:rsidR="001D1EC6" w:rsidRPr="00FE0F12" w:rsidRDefault="008C565F" w:rsidP="00263C49">
      <w:pPr>
        <w:spacing w:after="0" w:line="240" w:lineRule="auto"/>
        <w:ind w:left="5040"/>
        <w:jc w:val="both"/>
        <w:rPr>
          <w:rFonts w:cs="FrankRuehl"/>
          <w:sz w:val="26"/>
          <w:szCs w:val="26"/>
        </w:rPr>
      </w:pPr>
      <w:r>
        <w:rPr>
          <w:rFonts w:cs="FrankRuehl" w:hint="cs"/>
          <w:sz w:val="26"/>
          <w:szCs w:val="26"/>
          <w:rtl/>
        </w:rPr>
        <w:t xml:space="preserve">    </w:t>
      </w:r>
      <w:r w:rsidR="001D1EC6" w:rsidRPr="006C0B0D">
        <w:rPr>
          <w:rFonts w:cs="FrankRuehl" w:hint="cs"/>
          <w:sz w:val="26"/>
          <w:szCs w:val="26"/>
          <w:rtl/>
        </w:rPr>
        <w:t>מספרנו:</w:t>
      </w:r>
      <w:r w:rsidR="001D1EC6" w:rsidRPr="006C0B0D">
        <w:rPr>
          <w:rFonts w:cs="FrankRuehl"/>
          <w:sz w:val="26"/>
          <w:szCs w:val="26"/>
          <w:rtl/>
        </w:rPr>
        <w:fldChar w:fldCharType="begin"/>
      </w:r>
      <w:r w:rsidR="001D1EC6" w:rsidRPr="006C0B0D">
        <w:rPr>
          <w:rFonts w:cs="FrankRuehl"/>
          <w:sz w:val="26"/>
          <w:szCs w:val="26"/>
          <w:rtl/>
        </w:rPr>
        <w:instrText xml:space="preserve"> </w:instrText>
      </w:r>
      <w:r w:rsidR="001D1EC6" w:rsidRPr="006C0B0D">
        <w:rPr>
          <w:rFonts w:cs="FrankRuehl" w:hint="cs"/>
          <w:sz w:val="26"/>
          <w:szCs w:val="26"/>
        </w:rPr>
        <w:instrText>DOCPROPERTY  DocNumber  \* MERGEFORMAT</w:instrText>
      </w:r>
      <w:r w:rsidR="001D1EC6" w:rsidRPr="006C0B0D">
        <w:rPr>
          <w:rFonts w:cs="FrankRuehl"/>
          <w:sz w:val="26"/>
          <w:szCs w:val="26"/>
          <w:rtl/>
        </w:rPr>
        <w:instrText xml:space="preserve"> </w:instrText>
      </w:r>
      <w:r w:rsidR="001D1EC6" w:rsidRPr="006C0B0D">
        <w:rPr>
          <w:rFonts w:cs="FrankRuehl"/>
          <w:sz w:val="26"/>
          <w:szCs w:val="26"/>
          <w:rtl/>
        </w:rPr>
        <w:fldChar w:fldCharType="separate"/>
      </w:r>
      <w:r w:rsidR="001D1EC6" w:rsidRPr="006C0B0D">
        <w:rPr>
          <w:rFonts w:cs="FrankRuehl" w:hint="cs"/>
          <w:sz w:val="26"/>
          <w:szCs w:val="26"/>
          <w:rtl/>
        </w:rPr>
        <w:t>4700-1012-2021-010785</w:t>
      </w:r>
      <w:r w:rsidR="001D1EC6" w:rsidRPr="006C0B0D">
        <w:rPr>
          <w:rFonts w:cs="FrankRuehl"/>
          <w:sz w:val="26"/>
          <w:szCs w:val="26"/>
          <w:rtl/>
        </w:rPr>
        <w:fldChar w:fldCharType="end"/>
      </w:r>
    </w:p>
    <w:p w14:paraId="5EB2A133" w14:textId="77777777" w:rsidR="009376E1" w:rsidRDefault="008C565F" w:rsidP="009376E1">
      <w:pPr>
        <w:spacing w:after="0" w:line="240" w:lineRule="auto"/>
        <w:ind w:left="5040"/>
        <w:rPr>
          <w:rFonts w:cs="FrankRuehl"/>
          <w:sz w:val="24"/>
          <w:szCs w:val="24"/>
          <w:rtl/>
        </w:rPr>
      </w:pPr>
      <w:r>
        <w:rPr>
          <w:rFonts w:cs="FrankRuehl" w:hint="cs"/>
          <w:sz w:val="24"/>
          <w:szCs w:val="24"/>
          <w:rtl/>
        </w:rPr>
        <w:t xml:space="preserve">    </w:t>
      </w:r>
      <w:r w:rsidR="001D1EC6" w:rsidRPr="00FE0F12">
        <w:rPr>
          <w:rFonts w:cs="FrankRuehl" w:hint="cs"/>
          <w:sz w:val="24"/>
          <w:szCs w:val="24"/>
          <w:rtl/>
        </w:rPr>
        <w:t>(בתשובה נא לציין מס')</w:t>
      </w:r>
    </w:p>
    <w:p w14:paraId="05DF13CC" w14:textId="77777777" w:rsidR="009376E1" w:rsidRDefault="009376E1" w:rsidP="009376E1">
      <w:pPr>
        <w:spacing w:after="0" w:line="240" w:lineRule="auto"/>
        <w:jc w:val="both"/>
        <w:rPr>
          <w:rFonts w:cs="David"/>
          <w:b/>
          <w:bCs/>
          <w:color w:val="002060"/>
          <w:sz w:val="24"/>
          <w:szCs w:val="24"/>
          <w:rtl/>
        </w:rPr>
      </w:pPr>
    </w:p>
    <w:p w14:paraId="23EEF231" w14:textId="25F20D98" w:rsidR="000A12F3" w:rsidRPr="009376E1" w:rsidRDefault="000A12F3" w:rsidP="000A12F3">
      <w:pPr>
        <w:spacing w:after="0"/>
        <w:jc w:val="both"/>
        <w:rPr>
          <w:rFonts w:cs="FrankRuehl"/>
          <w:sz w:val="28"/>
          <w:szCs w:val="28"/>
          <w:rtl/>
        </w:rPr>
      </w:pPr>
      <w:r w:rsidRPr="009376E1">
        <w:rPr>
          <w:rFonts w:cs="FrankRuehl" w:hint="cs"/>
          <w:sz w:val="28"/>
          <w:szCs w:val="28"/>
          <w:rtl/>
        </w:rPr>
        <w:t>לכבוד</w:t>
      </w:r>
    </w:p>
    <w:p w14:paraId="19E283F9" w14:textId="7AD557FD" w:rsidR="000A12F3" w:rsidRDefault="000A12F3" w:rsidP="000A12F3">
      <w:pPr>
        <w:spacing w:after="0"/>
        <w:jc w:val="both"/>
        <w:rPr>
          <w:rFonts w:cs="FrankRuehl"/>
          <w:sz w:val="28"/>
          <w:szCs w:val="28"/>
          <w:rtl/>
        </w:rPr>
      </w:pPr>
      <w:r w:rsidRPr="009376E1">
        <w:rPr>
          <w:rFonts w:cs="FrankRuehl" w:hint="cs"/>
          <w:sz w:val="28"/>
          <w:szCs w:val="28"/>
          <w:rtl/>
        </w:rPr>
        <w:t>מר</w:t>
      </w:r>
      <w:r>
        <w:rPr>
          <w:rFonts w:cs="FrankRuehl" w:hint="cs"/>
          <w:sz w:val="28"/>
          <w:szCs w:val="28"/>
          <w:rtl/>
        </w:rPr>
        <w:t xml:space="preserve"> אורי סולד, רכז פרויקטים</w:t>
      </w:r>
    </w:p>
    <w:p w14:paraId="21EDB2FD" w14:textId="77777777" w:rsidR="000A12F3" w:rsidRPr="009376E1" w:rsidRDefault="000A12F3" w:rsidP="000A12F3">
      <w:pPr>
        <w:spacing w:after="0"/>
        <w:jc w:val="both"/>
        <w:rPr>
          <w:rFonts w:cs="FrankRuehl"/>
          <w:sz w:val="28"/>
          <w:szCs w:val="28"/>
          <w:rtl/>
        </w:rPr>
      </w:pPr>
      <w:r>
        <w:rPr>
          <w:rFonts w:cs="FrankRuehl" w:hint="cs"/>
          <w:sz w:val="28"/>
          <w:szCs w:val="28"/>
          <w:rtl/>
        </w:rPr>
        <w:t xml:space="preserve">התנועה לחופש המידע </w:t>
      </w:r>
    </w:p>
    <w:p w14:paraId="36F84AFC" w14:textId="6787D9FA" w:rsidR="000A12F3" w:rsidRDefault="000A12F3" w:rsidP="000A12F3">
      <w:pPr>
        <w:spacing w:after="0"/>
        <w:jc w:val="both"/>
        <w:rPr>
          <w:rFonts w:ascii="David" w:hAnsi="David" w:cs="David"/>
          <w:sz w:val="24"/>
          <w:szCs w:val="24"/>
          <w:rtl/>
        </w:rPr>
      </w:pPr>
      <w:r w:rsidRPr="009376E1">
        <w:rPr>
          <w:rFonts w:cs="FrankRuehl" w:hint="cs"/>
          <w:sz w:val="28"/>
          <w:szCs w:val="28"/>
          <w:rtl/>
        </w:rPr>
        <w:t>באמצעות הדוא"ל:</w:t>
      </w:r>
      <w:r w:rsidR="00731940">
        <w:rPr>
          <w:rFonts w:cs="FrankRuehl" w:hint="cs"/>
          <w:sz w:val="28"/>
          <w:szCs w:val="28"/>
          <w:rtl/>
        </w:rPr>
        <w:t xml:space="preserve"> </w:t>
      </w:r>
      <w:hyperlink r:id="rId8" w:history="1">
        <w:r w:rsidR="00731940" w:rsidRPr="00FF214B">
          <w:rPr>
            <w:rStyle w:val="Hyperlink"/>
            <w:rFonts w:ascii="David" w:hAnsi="David" w:cs="David"/>
            <w:sz w:val="24"/>
            <w:szCs w:val="24"/>
          </w:rPr>
          <w:t>foi@meida.org.il</w:t>
        </w:r>
      </w:hyperlink>
    </w:p>
    <w:p w14:paraId="6E616C6D" w14:textId="77777777" w:rsidR="000A12F3" w:rsidRPr="009376E1" w:rsidRDefault="000A12F3" w:rsidP="000A12F3">
      <w:pPr>
        <w:spacing w:after="0"/>
        <w:jc w:val="both"/>
        <w:rPr>
          <w:rFonts w:cs="FrankRuehl"/>
          <w:sz w:val="28"/>
          <w:szCs w:val="28"/>
          <w:rtl/>
        </w:rPr>
      </w:pPr>
    </w:p>
    <w:p w14:paraId="2A898B5C" w14:textId="77777777" w:rsidR="000A12F3" w:rsidRDefault="000A12F3" w:rsidP="000A12F3">
      <w:pPr>
        <w:spacing w:after="0"/>
        <w:jc w:val="both"/>
        <w:rPr>
          <w:rFonts w:cs="FrankRuehl"/>
          <w:sz w:val="28"/>
          <w:szCs w:val="28"/>
          <w:rtl/>
        </w:rPr>
      </w:pPr>
      <w:r>
        <w:rPr>
          <w:rFonts w:cs="FrankRuehl" w:hint="cs"/>
          <w:sz w:val="28"/>
          <w:szCs w:val="28"/>
          <w:rtl/>
        </w:rPr>
        <w:t>מר סולד הנכבד,</w:t>
      </w:r>
    </w:p>
    <w:p w14:paraId="79B40257" w14:textId="77777777" w:rsidR="000A12F3" w:rsidRPr="009376E1" w:rsidRDefault="000A12F3" w:rsidP="000A12F3">
      <w:pPr>
        <w:spacing w:after="0"/>
        <w:jc w:val="both"/>
        <w:rPr>
          <w:rFonts w:cs="FrankRuehl"/>
          <w:sz w:val="28"/>
          <w:szCs w:val="28"/>
          <w:rtl/>
        </w:rPr>
      </w:pPr>
    </w:p>
    <w:p w14:paraId="09CAAD1C" w14:textId="77777777" w:rsidR="000A12F3" w:rsidRDefault="000A12F3" w:rsidP="000A12F3">
      <w:pPr>
        <w:spacing w:after="0" w:line="240" w:lineRule="auto"/>
        <w:jc w:val="both"/>
        <w:rPr>
          <w:rFonts w:cs="David"/>
          <w:b/>
          <w:bCs/>
          <w:color w:val="002060"/>
          <w:sz w:val="24"/>
          <w:szCs w:val="24"/>
          <w:rtl/>
        </w:rPr>
      </w:pPr>
    </w:p>
    <w:p w14:paraId="3F5FB50F" w14:textId="77777777" w:rsidR="000A12F3" w:rsidRPr="009376E1" w:rsidRDefault="000A12F3" w:rsidP="000A12F3">
      <w:pPr>
        <w:spacing w:after="0" w:line="240" w:lineRule="auto"/>
        <w:jc w:val="center"/>
        <w:rPr>
          <w:rFonts w:cs="FrankRuehl"/>
          <w:sz w:val="24"/>
          <w:szCs w:val="24"/>
          <w:rtl/>
        </w:rPr>
      </w:pPr>
      <w:r w:rsidRPr="005875A9">
        <w:rPr>
          <w:rFonts w:cs="FrankRuehl"/>
          <w:sz w:val="28"/>
          <w:szCs w:val="28"/>
          <w:rtl/>
        </w:rPr>
        <w:t xml:space="preserve">הנדון: </w:t>
      </w:r>
      <w:r>
        <w:rPr>
          <w:rFonts w:cs="FrankRuehl"/>
          <w:b/>
          <w:bCs/>
          <w:sz w:val="28"/>
          <w:szCs w:val="28"/>
          <w:u w:val="single"/>
          <w:rtl/>
        </w:rPr>
        <w:t>בקש</w:t>
      </w:r>
      <w:r>
        <w:rPr>
          <w:rFonts w:cs="FrankRuehl" w:hint="cs"/>
          <w:b/>
          <w:bCs/>
          <w:sz w:val="28"/>
          <w:szCs w:val="28"/>
          <w:u w:val="single"/>
          <w:rtl/>
        </w:rPr>
        <w:t>ה</w:t>
      </w:r>
      <w:r w:rsidRPr="005875A9">
        <w:rPr>
          <w:rFonts w:cs="FrankRuehl"/>
          <w:b/>
          <w:bCs/>
          <w:sz w:val="28"/>
          <w:szCs w:val="28"/>
          <w:u w:val="single"/>
          <w:rtl/>
        </w:rPr>
        <w:t xml:space="preserve"> לקבלת מידע לפי חוק חופש המידע, התשנ"ח-1998</w:t>
      </w:r>
    </w:p>
    <w:p w14:paraId="55B1C887" w14:textId="77777777" w:rsidR="000A12F3" w:rsidRDefault="000A12F3" w:rsidP="000A12F3">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מכתבנו מיום 14.9.21</w:t>
      </w:r>
    </w:p>
    <w:p w14:paraId="2066D935" w14:textId="433D42A0" w:rsidR="000A12F3" w:rsidRDefault="000A12F3" w:rsidP="000A12F3">
      <w:pPr>
        <w:tabs>
          <w:tab w:val="center" w:pos="6321"/>
        </w:tabs>
        <w:spacing w:after="0" w:line="240" w:lineRule="auto"/>
        <w:ind w:firstLine="454"/>
        <w:jc w:val="center"/>
        <w:rPr>
          <w:rFonts w:cs="FrankRuehl"/>
          <w:sz w:val="24"/>
          <w:rtl/>
        </w:rPr>
      </w:pPr>
      <w:r>
        <w:rPr>
          <w:rFonts w:cs="FrankRuehl" w:hint="cs"/>
          <w:sz w:val="24"/>
          <w:rtl/>
        </w:rPr>
        <w:t>בקשה מיום 23.8.21</w:t>
      </w:r>
    </w:p>
    <w:p w14:paraId="2031C101" w14:textId="77777777" w:rsidR="004D67EA" w:rsidRDefault="004D67EA" w:rsidP="000A12F3">
      <w:pPr>
        <w:tabs>
          <w:tab w:val="center" w:pos="6321"/>
        </w:tabs>
        <w:spacing w:after="0" w:line="240" w:lineRule="auto"/>
        <w:ind w:firstLine="454"/>
        <w:jc w:val="center"/>
        <w:rPr>
          <w:rFonts w:cs="FrankRuehl"/>
          <w:sz w:val="24"/>
          <w:rtl/>
        </w:rPr>
      </w:pPr>
    </w:p>
    <w:p w14:paraId="7B6363F2" w14:textId="77777777" w:rsidR="00F3165D" w:rsidRDefault="00F3165D" w:rsidP="00F3165D">
      <w:pPr>
        <w:pStyle w:val="a9"/>
        <w:spacing w:line="360" w:lineRule="auto"/>
        <w:jc w:val="both"/>
        <w:rPr>
          <w:rFonts w:ascii="FrankRuehl" w:hAnsi="FrankRuehl" w:cs="FrankRuehl"/>
          <w:sz w:val="28"/>
          <w:szCs w:val="28"/>
        </w:rPr>
      </w:pPr>
      <w:r w:rsidRPr="00D23A8F">
        <w:rPr>
          <w:rFonts w:cs="FrankRuehl" w:hint="cs"/>
          <w:sz w:val="28"/>
          <w:szCs w:val="28"/>
          <w:rtl/>
        </w:rPr>
        <w:t>הבקשה</w:t>
      </w:r>
      <w:r w:rsidRPr="00D23A8F">
        <w:rPr>
          <w:rFonts w:cs="FrankRuehl"/>
          <w:sz w:val="28"/>
          <w:szCs w:val="28"/>
          <w:rtl/>
        </w:rPr>
        <w:t xml:space="preserve"> שב</w:t>
      </w:r>
      <w:r w:rsidRPr="00D23A8F">
        <w:rPr>
          <w:rFonts w:cs="FrankRuehl" w:hint="cs"/>
          <w:sz w:val="28"/>
          <w:szCs w:val="28"/>
          <w:rtl/>
        </w:rPr>
        <w:t xml:space="preserve">סימוכין </w:t>
      </w:r>
      <w:r w:rsidRPr="00D23A8F">
        <w:rPr>
          <w:rFonts w:cs="FrankRuehl"/>
          <w:sz w:val="28"/>
          <w:szCs w:val="28"/>
          <w:rtl/>
        </w:rPr>
        <w:t>לקבלת מידע</w:t>
      </w:r>
      <w:r>
        <w:rPr>
          <w:rFonts w:cs="FrankRuehl" w:hint="cs"/>
          <w:sz w:val="28"/>
          <w:szCs w:val="28"/>
          <w:rtl/>
        </w:rPr>
        <w:t xml:space="preserve"> לפי חוק חופש המידע התשנ"ח-1998</w:t>
      </w:r>
      <w:r w:rsidRPr="00D23A8F">
        <w:rPr>
          <w:rFonts w:cs="FrankRuehl"/>
          <w:sz w:val="28"/>
          <w:szCs w:val="28"/>
          <w:rtl/>
        </w:rPr>
        <w:t xml:space="preserve"> </w:t>
      </w:r>
      <w:r>
        <w:rPr>
          <w:rFonts w:cs="FrankRuehl" w:hint="cs"/>
          <w:sz w:val="28"/>
          <w:szCs w:val="28"/>
          <w:rtl/>
        </w:rPr>
        <w:t xml:space="preserve">(להלן: החוק) </w:t>
      </w:r>
      <w:r w:rsidRPr="00D23A8F">
        <w:rPr>
          <w:rFonts w:cs="FrankRuehl" w:hint="cs"/>
          <w:sz w:val="28"/>
          <w:szCs w:val="28"/>
          <w:rtl/>
        </w:rPr>
        <w:t>על אודות</w:t>
      </w:r>
      <w:r>
        <w:rPr>
          <w:rFonts w:cs="FrankRuehl" w:hint="cs"/>
          <w:sz w:val="28"/>
          <w:szCs w:val="28"/>
          <w:rtl/>
        </w:rPr>
        <w:t xml:space="preserve"> פעילותה והקמתה של ועדת החקירה הממלכתית בעניין האסון בהילולה בהר מירון (להלן: הוועדה), </w:t>
      </w:r>
      <w:r w:rsidRPr="00D23A8F">
        <w:rPr>
          <w:rFonts w:cs="FrankRuehl"/>
          <w:sz w:val="28"/>
          <w:szCs w:val="28"/>
          <w:rtl/>
        </w:rPr>
        <w:t xml:space="preserve">נבחנה והוחלט </w:t>
      </w:r>
      <w:r>
        <w:rPr>
          <w:rFonts w:cs="FrankRuehl" w:hint="cs"/>
          <w:sz w:val="28"/>
          <w:szCs w:val="28"/>
          <w:rtl/>
        </w:rPr>
        <w:t>כדלקמן:</w:t>
      </w:r>
    </w:p>
    <w:p w14:paraId="2EFE30C7" w14:textId="77777777" w:rsidR="00F3165D" w:rsidRPr="0008736A" w:rsidRDefault="00F3165D" w:rsidP="00F3165D">
      <w:pPr>
        <w:pStyle w:val="a9"/>
        <w:numPr>
          <w:ilvl w:val="0"/>
          <w:numId w:val="7"/>
        </w:numPr>
        <w:spacing w:line="360" w:lineRule="auto"/>
        <w:jc w:val="both"/>
        <w:rPr>
          <w:rFonts w:cs="FrankRuehl"/>
          <w:sz w:val="24"/>
          <w:szCs w:val="24"/>
        </w:rPr>
      </w:pPr>
      <w:r w:rsidRPr="0008736A">
        <w:rPr>
          <w:rFonts w:cs="FrankRuehl" w:hint="cs"/>
          <w:sz w:val="28"/>
          <w:szCs w:val="28"/>
          <w:rtl/>
        </w:rPr>
        <w:t>אשר לסעיפים 2-1 לבקשתך לקבלת עלות שכרם ותנאי העסקתם של חברי הוועדה מצורף  בזה לעיונך מכתבו של מנהל בתי המשפט, כב' השופט ד"ר יגאל מרזל, לכב' השופטת מרים נאור, נשיאת בית המשפט העליון בדימוס, הרב מרדכי קרליץ, והאלוף (במיל') שלמה ינאי, בעניין "תשלום שכר ועדת החקירה-אסון מירון" מיום 25.8.21.</w:t>
      </w:r>
    </w:p>
    <w:p w14:paraId="68A2117D" w14:textId="77777777" w:rsidR="00F3165D" w:rsidRPr="00701E0C" w:rsidRDefault="00F3165D" w:rsidP="00F3165D">
      <w:pPr>
        <w:pStyle w:val="a9"/>
        <w:numPr>
          <w:ilvl w:val="0"/>
          <w:numId w:val="7"/>
        </w:numPr>
        <w:spacing w:line="360" w:lineRule="auto"/>
        <w:jc w:val="both"/>
        <w:rPr>
          <w:rFonts w:cs="FrankRuehl"/>
          <w:sz w:val="28"/>
          <w:szCs w:val="28"/>
          <w:rtl/>
        </w:rPr>
      </w:pPr>
      <w:r w:rsidRPr="00701E0C">
        <w:rPr>
          <w:rFonts w:cs="FrankRuehl" w:hint="cs"/>
          <w:sz w:val="28"/>
          <w:szCs w:val="28"/>
          <w:rtl/>
        </w:rPr>
        <w:t xml:space="preserve">אשר לסעיף 3 לבקשתך לקבלת מסמכים הנוגעים לאיתורם ואופן העסקתם של חמשת העובדים של הוועדה המוזכרים בהחלטת הממשלה ובהחלטת ועדת שירות המדינה מצורפים בזה לעיונך המסמכים הבאים: </w:t>
      </w:r>
    </w:p>
    <w:p w14:paraId="2C85E864" w14:textId="77777777" w:rsidR="00F3165D" w:rsidRPr="003C34DC" w:rsidRDefault="00F3165D" w:rsidP="00F3165D">
      <w:pPr>
        <w:pStyle w:val="a9"/>
        <w:numPr>
          <w:ilvl w:val="0"/>
          <w:numId w:val="5"/>
        </w:numPr>
        <w:tabs>
          <w:tab w:val="center" w:pos="6321"/>
        </w:tabs>
        <w:spacing w:after="0" w:line="360" w:lineRule="auto"/>
        <w:ind w:left="1643"/>
        <w:jc w:val="both"/>
        <w:rPr>
          <w:rFonts w:cs="FrankRuehl"/>
          <w:sz w:val="24"/>
          <w:szCs w:val="24"/>
        </w:rPr>
      </w:pPr>
      <w:r w:rsidRPr="003E10CC">
        <w:rPr>
          <w:rFonts w:cs="FrankRuehl" w:hint="cs"/>
          <w:sz w:val="24"/>
          <w:szCs w:val="24"/>
          <w:rtl/>
        </w:rPr>
        <w:t>מכתב של מנהל בתי המשפט</w:t>
      </w:r>
      <w:r>
        <w:rPr>
          <w:rFonts w:cs="FrankRuehl" w:hint="cs"/>
          <w:sz w:val="24"/>
          <w:szCs w:val="24"/>
          <w:rtl/>
        </w:rPr>
        <w:t>,</w:t>
      </w:r>
      <w:r w:rsidRPr="003E10CC">
        <w:rPr>
          <w:rFonts w:cs="FrankRuehl" w:hint="cs"/>
          <w:sz w:val="24"/>
          <w:szCs w:val="24"/>
          <w:rtl/>
        </w:rPr>
        <w:t xml:space="preserve"> כב' השופט ד"ר יגאל מרזל</w:t>
      </w:r>
      <w:r>
        <w:rPr>
          <w:rFonts w:cs="FrankRuehl" w:hint="cs"/>
          <w:sz w:val="24"/>
          <w:szCs w:val="24"/>
          <w:rtl/>
        </w:rPr>
        <w:t>,</w:t>
      </w:r>
      <w:r w:rsidRPr="003E10CC">
        <w:rPr>
          <w:rFonts w:cs="FrankRuehl" w:hint="cs"/>
          <w:sz w:val="24"/>
          <w:szCs w:val="24"/>
          <w:rtl/>
        </w:rPr>
        <w:t xml:space="preserve"> לפרופ' דניאל הרשקוביץ</w:t>
      </w:r>
      <w:r>
        <w:rPr>
          <w:rFonts w:cs="FrankRuehl" w:hint="cs"/>
          <w:sz w:val="24"/>
          <w:szCs w:val="24"/>
          <w:rtl/>
        </w:rPr>
        <w:t>,</w:t>
      </w:r>
      <w:r w:rsidRPr="003E10CC">
        <w:rPr>
          <w:rFonts w:cs="FrankRuehl" w:hint="cs"/>
          <w:sz w:val="24"/>
          <w:szCs w:val="24"/>
          <w:rtl/>
        </w:rPr>
        <w:t xml:space="preserve"> נציב שירות המדינה</w:t>
      </w:r>
      <w:r>
        <w:rPr>
          <w:rFonts w:cs="FrankRuehl" w:hint="cs"/>
          <w:sz w:val="24"/>
          <w:szCs w:val="24"/>
          <w:rtl/>
        </w:rPr>
        <w:t>,</w:t>
      </w:r>
      <w:r w:rsidRPr="003E10CC">
        <w:rPr>
          <w:rFonts w:cs="FrankRuehl" w:hint="cs"/>
          <w:sz w:val="24"/>
          <w:szCs w:val="24"/>
          <w:rtl/>
        </w:rPr>
        <w:t xml:space="preserve"> בנושא "פנייה לוועדת שירות בבקשה לפטור מהליך מכרז למשרות לוועדת החקירה הממלכתית בעניין אסון מירון" מיום 5.7.21. </w:t>
      </w:r>
      <w:r>
        <w:rPr>
          <w:rFonts w:cs="FrankRuehl" w:hint="cs"/>
          <w:sz w:val="24"/>
          <w:szCs w:val="24"/>
          <w:rtl/>
        </w:rPr>
        <w:t xml:space="preserve">כן, להלן </w:t>
      </w:r>
      <w:r w:rsidRPr="003E10CC">
        <w:rPr>
          <w:rFonts w:cs="FrankRuehl" w:hint="cs"/>
          <w:sz w:val="24"/>
          <w:szCs w:val="24"/>
          <w:rtl/>
        </w:rPr>
        <w:t>קישור ל</w:t>
      </w:r>
      <w:r w:rsidRPr="003E10CC">
        <w:rPr>
          <w:rFonts w:cs="FrankRuehl"/>
          <w:sz w:val="24"/>
          <w:szCs w:val="24"/>
          <w:rtl/>
        </w:rPr>
        <w:t>זיכרון דברים מישיבת ועדת שירות המדינה (מספר 424) שהתקיימה ביום 15.7.2021 באמצעות הזום</w:t>
      </w:r>
      <w:r>
        <w:rPr>
          <w:rFonts w:cs="FrankRuehl" w:hint="cs"/>
          <w:sz w:val="24"/>
          <w:szCs w:val="24"/>
          <w:rtl/>
        </w:rPr>
        <w:t xml:space="preserve">, ואשר בה התקבלה ההחלטה  בנושא </w:t>
      </w:r>
      <w:r w:rsidRPr="004209AB">
        <w:rPr>
          <w:rFonts w:cs="FrankRuehl"/>
          <w:sz w:val="24"/>
          <w:szCs w:val="24"/>
          <w:rtl/>
        </w:rPr>
        <w:t>פטור מהליך מכרז למשרות זמניות לוועדת החקירה הממלכתית – אסון הר מירון</w:t>
      </w:r>
      <w:r>
        <w:rPr>
          <w:rFonts w:cs="FrankRuehl" w:hint="cs"/>
          <w:sz w:val="24"/>
          <w:szCs w:val="24"/>
          <w:rtl/>
        </w:rPr>
        <w:t xml:space="preserve"> (החלטה מס' 2141): </w:t>
      </w:r>
      <w:hyperlink r:id="rId9" w:history="1">
        <w:r w:rsidRPr="0008736A">
          <w:rPr>
            <w:rStyle w:val="Hyperlink"/>
            <w:rFonts w:hint="cs"/>
            <w:sz w:val="12"/>
            <w:szCs w:val="12"/>
          </w:rPr>
          <w:t>https://www.gov.il/he/departments/policies/decision2141</w:t>
        </w:r>
      </w:hyperlink>
      <w:r w:rsidRPr="0008736A">
        <w:rPr>
          <w:rFonts w:cs="FrankRuehl" w:hint="cs"/>
          <w:sz w:val="12"/>
          <w:szCs w:val="12"/>
          <w:rtl/>
        </w:rPr>
        <w:t>.</w:t>
      </w:r>
    </w:p>
    <w:p w14:paraId="28310119" w14:textId="77777777" w:rsidR="00F3165D" w:rsidRDefault="00F3165D" w:rsidP="00F3165D">
      <w:pPr>
        <w:pStyle w:val="a9"/>
        <w:numPr>
          <w:ilvl w:val="0"/>
          <w:numId w:val="5"/>
        </w:numPr>
        <w:tabs>
          <w:tab w:val="center" w:pos="6321"/>
        </w:tabs>
        <w:spacing w:after="0" w:line="360" w:lineRule="auto"/>
        <w:ind w:left="1643"/>
        <w:jc w:val="both"/>
        <w:rPr>
          <w:rFonts w:cs="FrankRuehl"/>
          <w:sz w:val="24"/>
          <w:szCs w:val="24"/>
        </w:rPr>
      </w:pPr>
      <w:r w:rsidRPr="00C63B48">
        <w:rPr>
          <w:rFonts w:cs="FrankRuehl" w:hint="cs"/>
          <w:sz w:val="24"/>
          <w:szCs w:val="24"/>
          <w:rtl/>
        </w:rPr>
        <w:lastRenderedPageBreak/>
        <w:t xml:space="preserve">תיאורי התפקידים </w:t>
      </w:r>
      <w:r>
        <w:rPr>
          <w:rFonts w:cs="FrankRuehl" w:hint="cs"/>
          <w:sz w:val="24"/>
          <w:szCs w:val="24"/>
          <w:rtl/>
        </w:rPr>
        <w:t xml:space="preserve">של חמשת עובדי הוועדה </w:t>
      </w:r>
      <w:r w:rsidRPr="00C63B48">
        <w:rPr>
          <w:rFonts w:cs="FrankRuehl" w:hint="cs"/>
          <w:sz w:val="24"/>
          <w:szCs w:val="24"/>
          <w:rtl/>
        </w:rPr>
        <w:t>שאושרו על ידי נש"מ: מנהל/ת ועדת חקירה לאסון הר מירון, מנהל/ת תחום תאום, פיקוח ובקרה-מזכיר הוועדה, מנהל/ת לשכה וקלדנות, דובר/ת הוועדה ועוזר/ת מזכירות הוועדה, נהג/ת ועוזר/ת לוגיסטי/ת ועדת החקירה</w:t>
      </w:r>
      <w:r>
        <w:rPr>
          <w:rFonts w:cs="FrankRuehl" w:hint="cs"/>
          <w:sz w:val="24"/>
          <w:szCs w:val="24"/>
          <w:rtl/>
        </w:rPr>
        <w:t xml:space="preserve"> (שמהם הושחרו פרטים שאינם רלוונטיי</w:t>
      </w:r>
      <w:r>
        <w:rPr>
          <w:rFonts w:cs="FrankRuehl" w:hint="eastAsia"/>
          <w:sz w:val="24"/>
          <w:szCs w:val="24"/>
          <w:rtl/>
        </w:rPr>
        <w:t>ם</w:t>
      </w:r>
      <w:r>
        <w:rPr>
          <w:rFonts w:cs="FrankRuehl" w:hint="cs"/>
          <w:sz w:val="24"/>
          <w:szCs w:val="24"/>
          <w:rtl/>
        </w:rPr>
        <w:t xml:space="preserve"> לבקשה).</w:t>
      </w:r>
    </w:p>
    <w:p w14:paraId="7B03DB78" w14:textId="77777777" w:rsidR="00F3165D" w:rsidRDefault="00F3165D" w:rsidP="00F3165D">
      <w:pPr>
        <w:pStyle w:val="a9"/>
        <w:numPr>
          <w:ilvl w:val="0"/>
          <w:numId w:val="5"/>
        </w:numPr>
        <w:tabs>
          <w:tab w:val="center" w:pos="6321"/>
        </w:tabs>
        <w:spacing w:after="0" w:line="360" w:lineRule="auto"/>
        <w:ind w:left="1643"/>
        <w:jc w:val="both"/>
        <w:rPr>
          <w:rFonts w:cs="FrankRuehl"/>
          <w:sz w:val="24"/>
          <w:szCs w:val="24"/>
        </w:rPr>
      </w:pPr>
      <w:r>
        <w:rPr>
          <w:rFonts w:cs="FrankRuehl" w:hint="cs"/>
          <w:sz w:val="24"/>
          <w:szCs w:val="24"/>
          <w:rtl/>
        </w:rPr>
        <w:t xml:space="preserve">כתב המינוי בפועל של מנהל ועדת החקירה לאסון הר מירון מיום 24.8.21, שממנו הושחר מספר ת"ז של העובד בהתאם לסעיף 9(א)(3) לחוק. יובהר כי במהלך העסקה זמנית במינוי בפועל אין מפיקים חוזה העסקה. </w:t>
      </w:r>
    </w:p>
    <w:p w14:paraId="5E077E0F" w14:textId="77777777" w:rsidR="00F3165D" w:rsidRDefault="00F3165D" w:rsidP="00F3165D">
      <w:pPr>
        <w:pStyle w:val="a9"/>
        <w:tabs>
          <w:tab w:val="center" w:pos="6321"/>
        </w:tabs>
        <w:spacing w:after="0" w:line="360" w:lineRule="auto"/>
        <w:ind w:left="1080"/>
        <w:jc w:val="both"/>
        <w:rPr>
          <w:rFonts w:cs="FrankRuehl"/>
          <w:sz w:val="24"/>
          <w:szCs w:val="24"/>
        </w:rPr>
      </w:pPr>
    </w:p>
    <w:p w14:paraId="607BDBD7" w14:textId="77777777" w:rsidR="00F3165D" w:rsidRDefault="00F3165D" w:rsidP="00F3165D">
      <w:pPr>
        <w:pStyle w:val="a9"/>
        <w:numPr>
          <w:ilvl w:val="0"/>
          <w:numId w:val="7"/>
        </w:numPr>
        <w:tabs>
          <w:tab w:val="center" w:pos="6321"/>
        </w:tabs>
        <w:spacing w:after="0" w:line="360" w:lineRule="auto"/>
        <w:jc w:val="both"/>
        <w:rPr>
          <w:rFonts w:cs="FrankRuehl"/>
          <w:sz w:val="28"/>
          <w:szCs w:val="28"/>
        </w:rPr>
      </w:pPr>
      <w:r w:rsidRPr="003C34DC">
        <w:rPr>
          <w:rFonts w:cs="FrankRuehl" w:hint="eastAsia"/>
          <w:sz w:val="28"/>
          <w:szCs w:val="28"/>
          <w:rtl/>
        </w:rPr>
        <w:t>חוזה</w:t>
      </w:r>
      <w:r w:rsidRPr="003C34DC">
        <w:rPr>
          <w:rFonts w:cs="FrankRuehl"/>
          <w:sz w:val="28"/>
          <w:szCs w:val="28"/>
          <w:rtl/>
        </w:rPr>
        <w:t xml:space="preserve"> העסקה של מנהל/ת תחום תאום, פיקוח ובקרה-מזכיר הוועדה, מנהל/ת לשכה וקלדנות, דובר/ת הוועדה ועוזר/ת מזכירות הוועדה, נהג/ת ועוזר/ת לוגיסטי/ת </w:t>
      </w:r>
      <w:r w:rsidRPr="003C34DC">
        <w:rPr>
          <w:rFonts w:cs="FrankRuehl" w:hint="eastAsia"/>
          <w:sz w:val="28"/>
          <w:szCs w:val="28"/>
          <w:rtl/>
        </w:rPr>
        <w:t>ועדת</w:t>
      </w:r>
      <w:r w:rsidRPr="003C34DC">
        <w:rPr>
          <w:rFonts w:cs="FrankRuehl"/>
          <w:sz w:val="28"/>
          <w:szCs w:val="28"/>
          <w:rtl/>
        </w:rPr>
        <w:t xml:space="preserve"> </w:t>
      </w:r>
      <w:r w:rsidRPr="003C34DC">
        <w:rPr>
          <w:rFonts w:cs="FrankRuehl" w:hint="eastAsia"/>
          <w:sz w:val="28"/>
          <w:szCs w:val="28"/>
          <w:rtl/>
        </w:rPr>
        <w:t>החקירה</w:t>
      </w:r>
      <w:r>
        <w:rPr>
          <w:rFonts w:cs="FrankRuehl" w:hint="cs"/>
          <w:sz w:val="28"/>
          <w:szCs w:val="28"/>
          <w:rtl/>
        </w:rPr>
        <w:t xml:space="preserve"> </w:t>
      </w:r>
      <w:r>
        <w:rPr>
          <w:rFonts w:cs="FrankRuehl"/>
          <w:sz w:val="28"/>
          <w:szCs w:val="28"/>
          <w:rtl/>
        </w:rPr>
        <w:t>–</w:t>
      </w:r>
      <w:r>
        <w:rPr>
          <w:rFonts w:cs="FrankRuehl" w:hint="cs"/>
          <w:sz w:val="28"/>
          <w:szCs w:val="28"/>
          <w:rtl/>
        </w:rPr>
        <w:t xml:space="preserve"> </w:t>
      </w:r>
      <w:r w:rsidRPr="003C34DC">
        <w:rPr>
          <w:rFonts w:cs="FrankRuehl" w:hint="eastAsia"/>
          <w:sz w:val="28"/>
          <w:szCs w:val="28"/>
          <w:rtl/>
        </w:rPr>
        <w:t>לא</w:t>
      </w:r>
      <w:r w:rsidRPr="003C34DC">
        <w:rPr>
          <w:rFonts w:cs="FrankRuehl"/>
          <w:sz w:val="28"/>
          <w:szCs w:val="28"/>
          <w:rtl/>
        </w:rPr>
        <w:t xml:space="preserve"> </w:t>
      </w:r>
      <w:r w:rsidRPr="003C34DC">
        <w:rPr>
          <w:rFonts w:cs="FrankRuehl" w:hint="eastAsia"/>
          <w:sz w:val="28"/>
          <w:szCs w:val="28"/>
          <w:rtl/>
        </w:rPr>
        <w:t>ימסרו</w:t>
      </w:r>
      <w:r w:rsidRPr="003C34DC">
        <w:rPr>
          <w:rFonts w:cs="FrankRuehl"/>
          <w:sz w:val="28"/>
          <w:szCs w:val="28"/>
          <w:rtl/>
        </w:rPr>
        <w:t xml:space="preserve"> </w:t>
      </w:r>
      <w:r w:rsidRPr="003C34DC">
        <w:rPr>
          <w:rFonts w:cs="FrankRuehl" w:hint="eastAsia"/>
          <w:sz w:val="28"/>
          <w:szCs w:val="28"/>
          <w:rtl/>
        </w:rPr>
        <w:t>לאור</w:t>
      </w:r>
      <w:r w:rsidRPr="003C34DC">
        <w:rPr>
          <w:rFonts w:cs="FrankRuehl"/>
          <w:sz w:val="28"/>
          <w:szCs w:val="28"/>
          <w:rtl/>
        </w:rPr>
        <w:t xml:space="preserve"> </w:t>
      </w:r>
      <w:r w:rsidRPr="003C34DC">
        <w:rPr>
          <w:rFonts w:cs="FrankRuehl" w:hint="eastAsia"/>
          <w:sz w:val="28"/>
          <w:szCs w:val="28"/>
          <w:rtl/>
        </w:rPr>
        <w:t>עמדת</w:t>
      </w:r>
      <w:r w:rsidRPr="003C34DC">
        <w:rPr>
          <w:rFonts w:cs="FrankRuehl"/>
          <w:sz w:val="28"/>
          <w:szCs w:val="28"/>
          <w:rtl/>
        </w:rPr>
        <w:t xml:space="preserve"> </w:t>
      </w:r>
      <w:r w:rsidRPr="003C34DC">
        <w:rPr>
          <w:rFonts w:cs="FrankRuehl" w:hint="eastAsia"/>
          <w:sz w:val="28"/>
          <w:szCs w:val="28"/>
          <w:rtl/>
        </w:rPr>
        <w:t>נציבות</w:t>
      </w:r>
      <w:r w:rsidRPr="003C34DC">
        <w:rPr>
          <w:rFonts w:cs="FrankRuehl"/>
          <w:sz w:val="28"/>
          <w:szCs w:val="28"/>
          <w:rtl/>
        </w:rPr>
        <w:t xml:space="preserve"> </w:t>
      </w:r>
      <w:r w:rsidRPr="003C34DC">
        <w:rPr>
          <w:rFonts w:cs="FrankRuehl" w:hint="eastAsia"/>
          <w:sz w:val="28"/>
          <w:szCs w:val="28"/>
          <w:rtl/>
        </w:rPr>
        <w:t>שירות</w:t>
      </w:r>
      <w:r w:rsidRPr="003C34DC">
        <w:rPr>
          <w:rFonts w:cs="FrankRuehl"/>
          <w:sz w:val="28"/>
          <w:szCs w:val="28"/>
          <w:rtl/>
        </w:rPr>
        <w:t xml:space="preserve"> </w:t>
      </w:r>
      <w:r w:rsidRPr="003C34DC">
        <w:rPr>
          <w:rFonts w:cs="FrankRuehl" w:hint="eastAsia"/>
          <w:sz w:val="28"/>
          <w:szCs w:val="28"/>
          <w:rtl/>
        </w:rPr>
        <w:t>המדינה</w:t>
      </w:r>
      <w:r w:rsidRPr="003C34DC">
        <w:rPr>
          <w:rFonts w:cs="FrankRuehl"/>
          <w:sz w:val="28"/>
          <w:szCs w:val="28"/>
          <w:rtl/>
        </w:rPr>
        <w:t xml:space="preserve"> </w:t>
      </w:r>
      <w:r w:rsidRPr="003C34DC">
        <w:rPr>
          <w:rFonts w:cs="FrankRuehl" w:hint="eastAsia"/>
          <w:sz w:val="28"/>
          <w:szCs w:val="28"/>
          <w:rtl/>
        </w:rPr>
        <w:t>שהתנגדה</w:t>
      </w:r>
      <w:r w:rsidRPr="003C34DC">
        <w:rPr>
          <w:rFonts w:cs="FrankRuehl"/>
          <w:sz w:val="28"/>
          <w:szCs w:val="28"/>
          <w:rtl/>
        </w:rPr>
        <w:t xml:space="preserve"> למסור מידע זה בהתאם לסעיף 9(א)(3) לחוק ולחוזר מטעם סגן בכיר לחשב הכללי במשרד האוצר מיום 4.2.2019 לעניין פניות גורמים שונים לקבלת נתוני שכר של עובדי המדינה. </w:t>
      </w:r>
    </w:p>
    <w:p w14:paraId="0AADB182" w14:textId="77777777" w:rsidR="00F3165D" w:rsidRPr="0008736A" w:rsidRDefault="00F3165D" w:rsidP="00F3165D">
      <w:pPr>
        <w:pStyle w:val="a9"/>
        <w:numPr>
          <w:ilvl w:val="0"/>
          <w:numId w:val="7"/>
        </w:numPr>
        <w:tabs>
          <w:tab w:val="center" w:pos="6321"/>
        </w:tabs>
        <w:spacing w:after="0" w:line="360" w:lineRule="auto"/>
        <w:jc w:val="both"/>
        <w:rPr>
          <w:rFonts w:cs="FrankRuehl"/>
          <w:sz w:val="28"/>
          <w:szCs w:val="28"/>
        </w:rPr>
      </w:pPr>
      <w:r w:rsidRPr="0008736A">
        <w:rPr>
          <w:rFonts w:cs="FrankRuehl" w:hint="cs"/>
          <w:sz w:val="28"/>
          <w:szCs w:val="28"/>
          <w:rtl/>
        </w:rPr>
        <w:t xml:space="preserve">חוות דעת </w:t>
      </w:r>
      <w:r>
        <w:rPr>
          <w:rFonts w:cs="FrankRuehl" w:hint="cs"/>
          <w:sz w:val="28"/>
          <w:szCs w:val="28"/>
          <w:rtl/>
        </w:rPr>
        <w:t xml:space="preserve">משפטיות </w:t>
      </w:r>
      <w:r w:rsidRPr="0008736A">
        <w:rPr>
          <w:rFonts w:cs="FrankRuehl" w:hint="cs"/>
          <w:sz w:val="28"/>
          <w:szCs w:val="28"/>
          <w:rtl/>
        </w:rPr>
        <w:t>ש</w:t>
      </w:r>
      <w:r>
        <w:rPr>
          <w:rFonts w:cs="FrankRuehl" w:hint="cs"/>
          <w:sz w:val="28"/>
          <w:szCs w:val="28"/>
          <w:rtl/>
        </w:rPr>
        <w:t>ניתנו לצורך קבלת ההחלטה</w:t>
      </w:r>
      <w:r w:rsidRPr="0008736A">
        <w:rPr>
          <w:rFonts w:cs="FrankRuehl" w:hint="cs"/>
          <w:sz w:val="28"/>
          <w:szCs w:val="28"/>
          <w:rtl/>
        </w:rPr>
        <w:t xml:space="preserve"> לא ימסרו בהתאם לסעיף 9(ב)(4) לחוק.</w:t>
      </w:r>
    </w:p>
    <w:p w14:paraId="447F7901" w14:textId="77777777" w:rsidR="00F3165D" w:rsidRDefault="00F3165D" w:rsidP="00F3165D">
      <w:pPr>
        <w:pStyle w:val="a9"/>
        <w:numPr>
          <w:ilvl w:val="0"/>
          <w:numId w:val="7"/>
        </w:numPr>
        <w:tabs>
          <w:tab w:val="center" w:pos="6321"/>
        </w:tabs>
        <w:spacing w:after="0" w:line="360" w:lineRule="auto"/>
        <w:jc w:val="both"/>
        <w:rPr>
          <w:rFonts w:cs="FrankRuehl"/>
          <w:sz w:val="28"/>
          <w:szCs w:val="28"/>
        </w:rPr>
      </w:pPr>
      <w:r>
        <w:rPr>
          <w:rFonts w:cs="FrankRuehl" w:hint="cs"/>
          <w:sz w:val="28"/>
          <w:szCs w:val="28"/>
          <w:rtl/>
        </w:rPr>
        <w:t xml:space="preserve">כנגד החלטה זו ניתן להגיש עתירה מנהלית בתוך 45 יום לבית המשפט לעניינים מנהליים בירושלים. </w:t>
      </w:r>
    </w:p>
    <w:p w14:paraId="6951FEB7" w14:textId="77777777" w:rsidR="00F3165D" w:rsidRDefault="00F3165D" w:rsidP="00F3165D">
      <w:pPr>
        <w:pStyle w:val="a9"/>
        <w:numPr>
          <w:ilvl w:val="0"/>
          <w:numId w:val="7"/>
        </w:numPr>
        <w:tabs>
          <w:tab w:val="center" w:pos="6321"/>
        </w:tabs>
        <w:spacing w:after="0" w:line="360" w:lineRule="auto"/>
        <w:jc w:val="both"/>
        <w:rPr>
          <w:rFonts w:cs="FrankRuehl"/>
          <w:sz w:val="28"/>
          <w:szCs w:val="28"/>
        </w:rPr>
      </w:pPr>
      <w:r>
        <w:rPr>
          <w:rFonts w:cs="FrankRuehl" w:hint="cs"/>
          <w:sz w:val="28"/>
          <w:szCs w:val="28"/>
          <w:rtl/>
        </w:rPr>
        <w:t>אנו</w:t>
      </w:r>
      <w:r w:rsidRPr="00120BBB">
        <w:rPr>
          <w:rFonts w:cs="FrankRuehl" w:hint="cs"/>
          <w:sz w:val="28"/>
          <w:szCs w:val="28"/>
          <w:rtl/>
        </w:rPr>
        <w:t xml:space="preserve"> לרשותך</w:t>
      </w:r>
      <w:r>
        <w:rPr>
          <w:rFonts w:cs="FrankRuehl" w:hint="cs"/>
          <w:sz w:val="28"/>
          <w:szCs w:val="28"/>
          <w:rtl/>
        </w:rPr>
        <w:t xml:space="preserve"> ככל שיידרש.</w:t>
      </w:r>
    </w:p>
    <w:p w14:paraId="06AECF69" w14:textId="77777777" w:rsidR="000A12F3" w:rsidRDefault="000A12F3" w:rsidP="000A12F3">
      <w:pPr>
        <w:tabs>
          <w:tab w:val="center" w:pos="6321"/>
        </w:tabs>
        <w:spacing w:after="0" w:line="240" w:lineRule="auto"/>
        <w:ind w:firstLine="454"/>
        <w:jc w:val="center"/>
        <w:rPr>
          <w:rFonts w:cs="FrankRuehl"/>
          <w:sz w:val="24"/>
          <w:rtl/>
        </w:rPr>
      </w:pPr>
    </w:p>
    <w:p w14:paraId="745B09B4" w14:textId="55AE976A" w:rsidR="008F1C36" w:rsidRPr="00197C2F" w:rsidRDefault="00731940" w:rsidP="00731940">
      <w:pPr>
        <w:spacing w:line="360" w:lineRule="auto"/>
        <w:jc w:val="right"/>
        <w:rPr>
          <w:rFonts w:cs="David"/>
          <w:sz w:val="24"/>
          <w:szCs w:val="24"/>
          <w:rtl/>
        </w:rPr>
      </w:pPr>
      <w:r>
        <w:rPr>
          <w:rFonts w:cs="David"/>
          <w:noProof/>
          <w:sz w:val="24"/>
          <w:szCs w:val="24"/>
          <w:rtl/>
        </w:rPr>
        <w:drawing>
          <wp:inline distT="0" distB="0" distL="0" distR="0" wp14:anchorId="25F3AF53" wp14:editId="6BEBF939">
            <wp:extent cx="1687068" cy="827532"/>
            <wp:effectExtent l="0" t="0" r="8890" b="0"/>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0">
                      <a:extLst>
                        <a:ext uri="{28A0092B-C50C-407E-A947-70E740481C1C}">
                          <a14:useLocalDpi xmlns:a14="http://schemas.microsoft.com/office/drawing/2010/main" val="0"/>
                        </a:ext>
                      </a:extLst>
                    </a:blip>
                    <a:stretch>
                      <a:fillRect/>
                    </a:stretch>
                  </pic:blipFill>
                  <pic:spPr>
                    <a:xfrm>
                      <a:off x="0" y="0"/>
                      <a:ext cx="1687068" cy="827532"/>
                    </a:xfrm>
                    <a:prstGeom prst="rect">
                      <a:avLst/>
                    </a:prstGeom>
                  </pic:spPr>
                </pic:pic>
              </a:graphicData>
            </a:graphic>
          </wp:inline>
        </w:drawing>
      </w:r>
    </w:p>
    <w:sectPr w:rsidR="008F1C36" w:rsidRPr="00197C2F" w:rsidSect="00B16422">
      <w:headerReference w:type="default" r:id="rId11"/>
      <w:footerReference w:type="defaul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F942C" w14:textId="77777777" w:rsidR="00730CA1" w:rsidRDefault="00730CA1" w:rsidP="00730CA1">
      <w:pPr>
        <w:spacing w:after="0" w:line="240" w:lineRule="auto"/>
      </w:pPr>
      <w:r>
        <w:separator/>
      </w:r>
    </w:p>
  </w:endnote>
  <w:endnote w:type="continuationSeparator" w:id="0">
    <w:p w14:paraId="01F00A88" w14:textId="77777777" w:rsidR="00730CA1" w:rsidRDefault="00730CA1"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105FB" w14:textId="77777777" w:rsidR="009C1E49" w:rsidRPr="009C1E49" w:rsidRDefault="009C1E49" w:rsidP="009C1E49">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pacing w:val="10"/>
        <w:kern w:val="22"/>
        <w:sz w:val="28"/>
        <w:szCs w:val="28"/>
        <w:lang w:eastAsia="he-IL"/>
      </w:rPr>
    </w:pPr>
  </w:p>
  <w:p w14:paraId="59AF409A" w14:textId="77777777" w:rsidR="009C1E49"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spacing w:val="26"/>
        <w:sz w:val="20"/>
        <w:szCs w:val="20"/>
        <w:rtl/>
        <w:lang w:eastAsia="he-IL"/>
      </w:rPr>
    </w:pPr>
    <w:r w:rsidRPr="009C1E49">
      <w:rPr>
        <w:rFonts w:ascii="Times New Roman" w:eastAsia="Times New Roman" w:hAnsi="Times New Roman" w:cs="David" w:hint="cs"/>
        <w:spacing w:val="26"/>
        <w:sz w:val="20"/>
        <w:szCs w:val="20"/>
        <w:rtl/>
        <w:lang w:eastAsia="he-IL"/>
      </w:rPr>
      <w:t xml:space="preserve">רח' כנפי נשרים 22, גבעת שאול, ירושלים 95464 </w:t>
    </w:r>
    <w:r w:rsidRPr="009C1E49">
      <w:rPr>
        <w:rFonts w:ascii="Times New Roman" w:eastAsia="Times New Roman" w:hAnsi="Times New Roman" w:cs="David"/>
        <w:spacing w:val="26"/>
        <w:szCs w:val="20"/>
        <w:lang w:eastAsia="he-IL"/>
      </w:rPr>
      <w:sym w:font="Wingdings" w:char="0028"/>
    </w:r>
    <w:r w:rsidRPr="009C1E49">
      <w:rPr>
        <w:rFonts w:ascii="Times New Roman" w:eastAsia="Times New Roman" w:hAnsi="Times New Roman" w:cs="David" w:hint="cs"/>
        <w:spacing w:val="26"/>
        <w:sz w:val="20"/>
        <w:szCs w:val="20"/>
        <w:rtl/>
        <w:lang w:eastAsia="he-IL"/>
      </w:rPr>
      <w:t xml:space="preserve"> 074-7481919  פקס': 074-7481887</w:t>
    </w:r>
  </w:p>
  <w:p w14:paraId="334E4CA8" w14:textId="77777777" w:rsidR="007007D7"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b/>
        <w:bCs/>
        <w:spacing w:val="26"/>
        <w:sz w:val="20"/>
        <w:szCs w:val="20"/>
        <w:lang w:eastAsia="he-IL"/>
      </w:rPr>
    </w:pPr>
    <w:r w:rsidRPr="009C1E49">
      <w:rPr>
        <w:rFonts w:ascii="Times New Roman" w:eastAsia="Times New Roman" w:hAnsi="Times New Roman" w:cs="David"/>
        <w:b/>
        <w:bCs/>
        <w:spacing w:val="26"/>
        <w:sz w:val="20"/>
        <w:szCs w:val="20"/>
        <w:u w:val="single"/>
        <w:lang w:eastAsia="he-IL"/>
      </w:rPr>
      <w:t xml:space="preserve">hofesh-hamida@court.gov.il </w:t>
    </w:r>
    <w:r w:rsidRPr="009C1E49">
      <w:rPr>
        <w:rFonts w:ascii="Times New Roman" w:eastAsia="Times New Roman" w:hAnsi="Times New Roman" w:cs="David" w:hint="cs"/>
        <w:b/>
        <w:bCs/>
        <w:spacing w:val="26"/>
        <w:sz w:val="20"/>
        <w:szCs w:val="20"/>
        <w:rtl/>
        <w:lang w:eastAsia="he-IL"/>
      </w:rPr>
      <w:t xml:space="preserve"> </w:t>
    </w:r>
    <w:r w:rsidRPr="009C1E49">
      <w:rPr>
        <w:rFonts w:ascii="Times New Roman" w:eastAsia="Times New Roman" w:hAnsi="Times New Roman" w:cs="David"/>
        <w:b/>
        <w:bCs/>
        <w:spacing w:val="26"/>
        <w:sz w:val="20"/>
        <w:szCs w:val="20"/>
        <w:lang w:eastAsia="he-IL"/>
      </w:rPr>
      <w:t>E-mail:</w:t>
    </w:r>
    <w:r w:rsidRPr="009C1E49">
      <w:rPr>
        <w:rFonts w:ascii="Times New Roman" w:eastAsia="Times New Roman" w:hAnsi="Times New Roman" w:cs="David" w:hint="cs"/>
        <w:b/>
        <w:bCs/>
        <w:spacing w:val="26"/>
        <w:sz w:val="20"/>
        <w:szCs w:val="20"/>
        <w:rtl/>
        <w:lang w:eastAsia="he-IL"/>
      </w:rPr>
      <w:t xml:space="preserve"> - עדיפות לדוא"ל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43992" w14:textId="77777777" w:rsidR="00730CA1" w:rsidRDefault="00730CA1" w:rsidP="00730CA1">
      <w:pPr>
        <w:spacing w:after="0" w:line="240" w:lineRule="auto"/>
      </w:pPr>
      <w:r>
        <w:separator/>
      </w:r>
    </w:p>
  </w:footnote>
  <w:footnote w:type="continuationSeparator" w:id="0">
    <w:p w14:paraId="3058F012" w14:textId="77777777" w:rsidR="00730CA1" w:rsidRDefault="00730CA1"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E7D71" w14:textId="4B2141D8" w:rsidR="007B3807" w:rsidRPr="009C1E49" w:rsidRDefault="007B3807" w:rsidP="007B3807">
    <w:pPr>
      <w:tabs>
        <w:tab w:val="num" w:pos="720"/>
      </w:tabs>
      <w:spacing w:after="0" w:line="240" w:lineRule="auto"/>
      <w:ind w:left="360"/>
      <w:jc w:val="center"/>
      <w:rPr>
        <w:rFonts w:ascii="Times New Roman" w:eastAsia="Times New Roman" w:hAnsi="Times New Roman" w:cs="David"/>
        <w:b/>
        <w:bCs/>
        <w:color w:val="000080"/>
        <w:sz w:val="56"/>
        <w:szCs w:val="56"/>
        <w:rtl/>
        <w:lang w:eastAsia="he-IL"/>
      </w:rPr>
    </w:pPr>
    <w:r w:rsidRPr="009C1E49">
      <w:rPr>
        <w:rFonts w:ascii="Times New Roman" w:eastAsia="Times New Roman" w:hAnsi="Times New Roman" w:cs="David"/>
        <w:b/>
        <w:bCs/>
        <w:noProof/>
        <w:sz w:val="96"/>
        <w:szCs w:val="96"/>
      </w:rPr>
      <w:drawing>
        <wp:inline distT="0" distB="0" distL="0" distR="0" wp14:anchorId="203CDC6A" wp14:editId="59E08594">
          <wp:extent cx="523875" cy="619125"/>
          <wp:effectExtent l="0" t="0" r="9525" b="9525"/>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14:paraId="359F4E83" w14:textId="77777777" w:rsidR="007B3807" w:rsidRPr="009C1E49" w:rsidRDefault="007B3807" w:rsidP="007B3807">
    <w:pPr>
      <w:tabs>
        <w:tab w:val="num" w:pos="720"/>
      </w:tabs>
      <w:spacing w:after="0" w:line="240" w:lineRule="auto"/>
      <w:jc w:val="center"/>
      <w:rPr>
        <w:rFonts w:ascii="Times New Roman" w:eastAsia="Times New Roman" w:hAnsi="Times New Roman" w:cs="David"/>
        <w:color w:val="000080"/>
        <w:sz w:val="32"/>
        <w:szCs w:val="32"/>
        <w:rtl/>
        <w:lang w:eastAsia="he-IL"/>
      </w:rPr>
    </w:pPr>
    <w:r w:rsidRPr="009C1E49">
      <w:rPr>
        <w:rFonts w:ascii="Times New Roman" w:eastAsia="Times New Roman" w:hAnsi="Times New Roman" w:cs="David" w:hint="cs"/>
        <w:color w:val="000080"/>
        <w:sz w:val="32"/>
        <w:szCs w:val="32"/>
        <w:rtl/>
        <w:lang w:eastAsia="he-IL"/>
      </w:rPr>
      <w:t xml:space="preserve">      </w:t>
    </w:r>
    <w:r w:rsidRPr="009C1E49">
      <w:rPr>
        <w:rFonts w:ascii="Times New Roman" w:eastAsia="Times New Roman" w:hAnsi="Times New Roman" w:cs="FrankRuehl" w:hint="cs"/>
        <w:color w:val="000080"/>
        <w:spacing w:val="6"/>
        <w:sz w:val="96"/>
        <w:szCs w:val="36"/>
        <w:rtl/>
        <w:lang w:eastAsia="he-IL"/>
      </w:rPr>
      <w:t>הנהלת בתי המשפט</w:t>
    </w:r>
  </w:p>
  <w:p w14:paraId="3B93D819" w14:textId="77777777" w:rsidR="007B3807" w:rsidRPr="009C1E49" w:rsidRDefault="007B3807" w:rsidP="007B3807">
    <w:pPr>
      <w:tabs>
        <w:tab w:val="num" w:pos="720"/>
      </w:tabs>
      <w:spacing w:after="0" w:line="240" w:lineRule="auto"/>
      <w:jc w:val="center"/>
      <w:rPr>
        <w:rFonts w:ascii="Times New Roman" w:eastAsia="Times New Roman" w:hAnsi="Times New Roman" w:cs="Times New Roman"/>
        <w:b/>
        <w:bCs/>
        <w:color w:val="000080"/>
        <w:spacing w:val="6"/>
        <w:sz w:val="28"/>
        <w:szCs w:val="28"/>
        <w:rtl/>
      </w:rPr>
    </w:pPr>
    <w:r w:rsidRPr="009C1E49">
      <w:rPr>
        <w:rFonts w:ascii="Times New Roman" w:eastAsia="Times New Roman" w:hAnsi="Times New Roman" w:cs="David"/>
        <w:b/>
        <w:bCs/>
        <w:color w:val="000080"/>
        <w:spacing w:val="6"/>
        <w:sz w:val="24"/>
        <w:szCs w:val="28"/>
        <w:lang w:eastAsia="he-IL"/>
      </w:rPr>
      <w:t>ADMINISTRATION OF COURTS</w:t>
    </w:r>
    <w:r w:rsidRPr="009C1E49">
      <w:rPr>
        <w:rFonts w:ascii="Times New Roman" w:eastAsia="Times New Roman" w:hAnsi="Times New Roman" w:cs="Times New Roman"/>
        <w:b/>
        <w:bCs/>
        <w:color w:val="000080"/>
        <w:spacing w:val="6"/>
        <w:sz w:val="28"/>
        <w:szCs w:val="28"/>
      </w:rPr>
      <w:t xml:space="preserve">      </w:t>
    </w:r>
    <w:r w:rsidRPr="009C1E49">
      <w:rPr>
        <w:rFonts w:ascii="Times New Roman" w:eastAsia="Times New Roman" w:hAnsi="Times New Roman" w:cs="Times New Roman" w:hint="cs"/>
        <w:b/>
        <w:bCs/>
        <w:color w:val="000080"/>
        <w:spacing w:val="6"/>
        <w:sz w:val="28"/>
        <w:szCs w:val="28"/>
        <w:rtl/>
      </w:rPr>
      <w:t xml:space="preserve"> </w:t>
    </w:r>
  </w:p>
  <w:p w14:paraId="31D60F20" w14:textId="77777777" w:rsidR="007B3807" w:rsidRPr="009C1E49" w:rsidRDefault="007B3807" w:rsidP="007B3807">
    <w:pPr>
      <w:tabs>
        <w:tab w:val="num" w:pos="720"/>
      </w:tabs>
      <w:spacing w:after="0" w:line="240" w:lineRule="auto"/>
      <w:jc w:val="center"/>
      <w:rPr>
        <w:rFonts w:ascii="Times New Roman" w:eastAsia="Times New Roman" w:hAnsi="Times New Roman" w:cs="Times New Roman"/>
        <w:b/>
        <w:bCs/>
        <w:color w:val="000080"/>
        <w:spacing w:val="6"/>
        <w:sz w:val="28"/>
        <w:szCs w:val="28"/>
        <w:rtl/>
      </w:rPr>
    </w:pPr>
  </w:p>
  <w:p w14:paraId="7C0F0282" w14:textId="77777777" w:rsidR="007B3807" w:rsidRDefault="007B3807" w:rsidP="007B3807">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z w:val="28"/>
        <w:szCs w:val="28"/>
        <w:lang w:eastAsia="he-IL"/>
      </w:rPr>
    </w:pPr>
    <w:r w:rsidRPr="009C1E49">
      <w:rPr>
        <w:rFonts w:ascii="Times New Roman" w:eastAsia="Times New Roman" w:hAnsi="Times New Roman" w:cs="FrankRuehl"/>
        <w:color w:val="000080"/>
        <w:sz w:val="28"/>
        <w:szCs w:val="28"/>
        <w:rtl/>
        <w:lang w:eastAsia="he-IL"/>
      </w:rPr>
      <w:t xml:space="preserve">לשכת היועץ המשפטי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rtl/>
        <w:lang w:eastAsia="he-IL"/>
      </w:rPr>
      <w:t xml:space="preserve">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lang w:eastAsia="he-IL"/>
      </w:rPr>
      <w:t>Office Of the Legal Adviser</w:t>
    </w:r>
  </w:p>
  <w:p w14:paraId="66E024CB" w14:textId="77777777" w:rsidR="007B3807" w:rsidRPr="0063654C" w:rsidRDefault="007B3807" w:rsidP="007B3807">
    <w:pPr>
      <w:pStyle w:val="a5"/>
      <w:rPr>
        <w:rFonts w:ascii="Times New Roman" w:eastAsia="Times New Roman" w:hAnsi="Times New Roman" w:cs="FrankRuehl"/>
        <w:color w:val="000080"/>
        <w:sz w:val="28"/>
        <w:szCs w:val="28"/>
        <w:rtl/>
        <w:lang w:eastAsia="he-IL"/>
      </w:rPr>
    </w:pPr>
    <w:r w:rsidRPr="0063654C">
      <w:rPr>
        <w:rFonts w:ascii="Times New Roman" w:eastAsia="Times New Roman" w:hAnsi="Times New Roman" w:cs="FrankRuehl" w:hint="cs"/>
        <w:color w:val="000080"/>
        <w:sz w:val="28"/>
        <w:szCs w:val="28"/>
        <w:rtl/>
        <w:lang w:eastAsia="he-IL"/>
      </w:rPr>
      <w:t xml:space="preserve">היחידה לחופש המידע </w:t>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color w:val="000080"/>
        <w:sz w:val="28"/>
        <w:szCs w:val="28"/>
        <w:lang w:eastAsia="he-IL"/>
      </w:rPr>
      <w:t>Freedom of Information Unit</w:t>
    </w:r>
  </w:p>
  <w:p w14:paraId="3FF06B6B" w14:textId="77777777" w:rsidR="007007D7" w:rsidRPr="009C1E49" w:rsidRDefault="007007D7" w:rsidP="007B3807">
    <w:pPr>
      <w:tabs>
        <w:tab w:val="num" w:pos="720"/>
      </w:tabs>
      <w:spacing w:after="0" w:line="240" w:lineRule="auto"/>
      <w:ind w:left="360"/>
      <w:jc w:val="center"/>
      <w:rPr>
        <w:rFonts w:ascii="Times New Roman" w:eastAsia="Times New Roman" w:hAnsi="Times New Roman" w:cs="David"/>
        <w:sz w:val="20"/>
        <w:szCs w:val="24"/>
        <w:lang w:eastAsia="he-I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17E06"/>
    <w:multiLevelType w:val="hybridMultilevel"/>
    <w:tmpl w:val="5B1EE6C6"/>
    <w:lvl w:ilvl="0" w:tplc="4DFE998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EC2183"/>
    <w:multiLevelType w:val="hybridMultilevel"/>
    <w:tmpl w:val="6C1C0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74080D"/>
    <w:multiLevelType w:val="hybridMultilevel"/>
    <w:tmpl w:val="8A58E980"/>
    <w:lvl w:ilvl="0" w:tplc="CD249D2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FD6FFA"/>
    <w:multiLevelType w:val="hybridMultilevel"/>
    <w:tmpl w:val="35681F2A"/>
    <w:lvl w:ilvl="0" w:tplc="500C45E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5C60A0"/>
    <w:multiLevelType w:val="hybridMultilevel"/>
    <w:tmpl w:val="464EB56A"/>
    <w:lvl w:ilvl="0" w:tplc="FB28CA44">
      <w:start w:val="1"/>
      <w:numFmt w:val="decimal"/>
      <w:lvlText w:val="%1."/>
      <w:lvlJc w:val="left"/>
      <w:pPr>
        <w:ind w:left="1153" w:hanging="360"/>
      </w:pPr>
      <w:rPr>
        <w:rFonts w:hint="default"/>
        <w:sz w:val="28"/>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6" w15:restartNumberingAfterBreak="0">
    <w:nsid w:val="7F052454"/>
    <w:multiLevelType w:val="hybridMultilevel"/>
    <w:tmpl w:val="BA387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13B1E"/>
    <w:rsid w:val="00025761"/>
    <w:rsid w:val="00033346"/>
    <w:rsid w:val="0008736A"/>
    <w:rsid w:val="000A12F3"/>
    <w:rsid w:val="000A1BA0"/>
    <w:rsid w:val="000B2219"/>
    <w:rsid w:val="000D32A9"/>
    <w:rsid w:val="00136320"/>
    <w:rsid w:val="00180BE1"/>
    <w:rsid w:val="00197C2F"/>
    <w:rsid w:val="001D1EC6"/>
    <w:rsid w:val="001D42A7"/>
    <w:rsid w:val="001D482B"/>
    <w:rsid w:val="0020229A"/>
    <w:rsid w:val="002416F6"/>
    <w:rsid w:val="002453CF"/>
    <w:rsid w:val="00263C49"/>
    <w:rsid w:val="002C0E83"/>
    <w:rsid w:val="00306575"/>
    <w:rsid w:val="003921C3"/>
    <w:rsid w:val="003B1643"/>
    <w:rsid w:val="003E10CC"/>
    <w:rsid w:val="003E6453"/>
    <w:rsid w:val="003E6E39"/>
    <w:rsid w:val="00406560"/>
    <w:rsid w:val="00426AA7"/>
    <w:rsid w:val="0049719A"/>
    <w:rsid w:val="004D67EA"/>
    <w:rsid w:val="00506840"/>
    <w:rsid w:val="00544965"/>
    <w:rsid w:val="00546878"/>
    <w:rsid w:val="00645C29"/>
    <w:rsid w:val="006875A1"/>
    <w:rsid w:val="00690B6F"/>
    <w:rsid w:val="006B7B96"/>
    <w:rsid w:val="006C1182"/>
    <w:rsid w:val="006C3B1F"/>
    <w:rsid w:val="006D1604"/>
    <w:rsid w:val="006F0043"/>
    <w:rsid w:val="006F1E1F"/>
    <w:rsid w:val="007007D7"/>
    <w:rsid w:val="00701E0C"/>
    <w:rsid w:val="00711675"/>
    <w:rsid w:val="00730CA1"/>
    <w:rsid w:val="00731940"/>
    <w:rsid w:val="007B3807"/>
    <w:rsid w:val="00821837"/>
    <w:rsid w:val="00823419"/>
    <w:rsid w:val="008C02E0"/>
    <w:rsid w:val="008C565F"/>
    <w:rsid w:val="008F1C36"/>
    <w:rsid w:val="009376E1"/>
    <w:rsid w:val="00981197"/>
    <w:rsid w:val="00983123"/>
    <w:rsid w:val="009C1E49"/>
    <w:rsid w:val="009E3870"/>
    <w:rsid w:val="009E5C0E"/>
    <w:rsid w:val="009F0E64"/>
    <w:rsid w:val="00A303A5"/>
    <w:rsid w:val="00A3623C"/>
    <w:rsid w:val="00A4186B"/>
    <w:rsid w:val="00A752E8"/>
    <w:rsid w:val="00AA546D"/>
    <w:rsid w:val="00AC35AF"/>
    <w:rsid w:val="00AD7644"/>
    <w:rsid w:val="00B16422"/>
    <w:rsid w:val="00BA3143"/>
    <w:rsid w:val="00BC1324"/>
    <w:rsid w:val="00BD67C7"/>
    <w:rsid w:val="00BF4ABB"/>
    <w:rsid w:val="00C22E08"/>
    <w:rsid w:val="00C37F37"/>
    <w:rsid w:val="00C50C55"/>
    <w:rsid w:val="00C529CC"/>
    <w:rsid w:val="00C842A7"/>
    <w:rsid w:val="00C85A27"/>
    <w:rsid w:val="00CA2D6A"/>
    <w:rsid w:val="00CB4940"/>
    <w:rsid w:val="00D11F77"/>
    <w:rsid w:val="00D205AB"/>
    <w:rsid w:val="00D43C0E"/>
    <w:rsid w:val="00D47C8E"/>
    <w:rsid w:val="00D57EB5"/>
    <w:rsid w:val="00D82B0A"/>
    <w:rsid w:val="00DD25B4"/>
    <w:rsid w:val="00E00BB5"/>
    <w:rsid w:val="00E35CEE"/>
    <w:rsid w:val="00E35DF3"/>
    <w:rsid w:val="00EB6609"/>
    <w:rsid w:val="00F1078B"/>
    <w:rsid w:val="00F3165D"/>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49827C"/>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styleId="a9">
    <w:name w:val="List Paragraph"/>
    <w:basedOn w:val="a"/>
    <w:uiPriority w:val="34"/>
    <w:qFormat/>
    <w:rsid w:val="00A4186B"/>
    <w:pPr>
      <w:ind w:left="720"/>
      <w:contextualSpacing/>
    </w:pPr>
  </w:style>
  <w:style w:type="character" w:styleId="aa">
    <w:name w:val="annotation reference"/>
    <w:basedOn w:val="a0"/>
    <w:uiPriority w:val="99"/>
    <w:semiHidden/>
    <w:unhideWhenUsed/>
    <w:rsid w:val="00A752E8"/>
    <w:rPr>
      <w:sz w:val="16"/>
      <w:szCs w:val="16"/>
    </w:rPr>
  </w:style>
  <w:style w:type="paragraph" w:styleId="ab">
    <w:name w:val="annotation text"/>
    <w:basedOn w:val="a"/>
    <w:link w:val="ac"/>
    <w:uiPriority w:val="99"/>
    <w:semiHidden/>
    <w:unhideWhenUsed/>
    <w:rsid w:val="00A752E8"/>
    <w:pPr>
      <w:spacing w:line="240" w:lineRule="auto"/>
    </w:pPr>
    <w:rPr>
      <w:sz w:val="20"/>
      <w:szCs w:val="20"/>
    </w:rPr>
  </w:style>
  <w:style w:type="character" w:customStyle="1" w:styleId="ac">
    <w:name w:val="טקסט הערה תו"/>
    <w:basedOn w:val="a0"/>
    <w:link w:val="ab"/>
    <w:uiPriority w:val="99"/>
    <w:semiHidden/>
    <w:rsid w:val="00A752E8"/>
    <w:rPr>
      <w:sz w:val="20"/>
      <w:szCs w:val="20"/>
    </w:rPr>
  </w:style>
  <w:style w:type="paragraph" w:styleId="ad">
    <w:name w:val="annotation subject"/>
    <w:basedOn w:val="ab"/>
    <w:next w:val="ab"/>
    <w:link w:val="ae"/>
    <w:uiPriority w:val="99"/>
    <w:semiHidden/>
    <w:unhideWhenUsed/>
    <w:rsid w:val="00A752E8"/>
    <w:rPr>
      <w:b/>
      <w:bCs/>
    </w:rPr>
  </w:style>
  <w:style w:type="character" w:customStyle="1" w:styleId="ae">
    <w:name w:val="נושא הערה תו"/>
    <w:basedOn w:val="ac"/>
    <w:link w:val="ad"/>
    <w:uiPriority w:val="99"/>
    <w:semiHidden/>
    <w:rsid w:val="00A752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744393">
      <w:bodyDiv w:val="1"/>
      <w:marLeft w:val="0"/>
      <w:marRight w:val="0"/>
      <w:marTop w:val="0"/>
      <w:marBottom w:val="0"/>
      <w:divBdr>
        <w:top w:val="none" w:sz="0" w:space="0" w:color="auto"/>
        <w:left w:val="none" w:sz="0" w:space="0" w:color="auto"/>
        <w:bottom w:val="none" w:sz="0" w:space="0" w:color="auto"/>
        <w:right w:val="none" w:sz="0" w:space="0" w:color="auto"/>
      </w:divBdr>
    </w:div>
    <w:div w:id="545529199">
      <w:bodyDiv w:val="1"/>
      <w:marLeft w:val="0"/>
      <w:marRight w:val="0"/>
      <w:marTop w:val="0"/>
      <w:marBottom w:val="0"/>
      <w:divBdr>
        <w:top w:val="none" w:sz="0" w:space="0" w:color="auto"/>
        <w:left w:val="none" w:sz="0" w:space="0" w:color="auto"/>
        <w:bottom w:val="none" w:sz="0" w:space="0" w:color="auto"/>
        <w:right w:val="none" w:sz="0" w:space="0" w:color="auto"/>
      </w:divBdr>
    </w:div>
    <w:div w:id="721829445">
      <w:bodyDiv w:val="1"/>
      <w:marLeft w:val="0"/>
      <w:marRight w:val="0"/>
      <w:marTop w:val="0"/>
      <w:marBottom w:val="0"/>
      <w:divBdr>
        <w:top w:val="none" w:sz="0" w:space="0" w:color="auto"/>
        <w:left w:val="none" w:sz="0" w:space="0" w:color="auto"/>
        <w:bottom w:val="none" w:sz="0" w:space="0" w:color="auto"/>
        <w:right w:val="none" w:sz="0" w:space="0" w:color="auto"/>
      </w:divBdr>
    </w:div>
    <w:div w:id="1219585237">
      <w:bodyDiv w:val="1"/>
      <w:marLeft w:val="0"/>
      <w:marRight w:val="0"/>
      <w:marTop w:val="0"/>
      <w:marBottom w:val="0"/>
      <w:divBdr>
        <w:top w:val="none" w:sz="0" w:space="0" w:color="auto"/>
        <w:left w:val="none" w:sz="0" w:space="0" w:color="auto"/>
        <w:bottom w:val="none" w:sz="0" w:space="0" w:color="auto"/>
        <w:right w:val="none" w:sz="0" w:space="0" w:color="auto"/>
      </w:divBdr>
    </w:div>
    <w:div w:id="1483237253">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177513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i@meida.org.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tif"/><Relationship Id="rId4" Type="http://schemas.openxmlformats.org/officeDocument/2006/relationships/settings" Target="settings.xml"/><Relationship Id="rId9" Type="http://schemas.openxmlformats.org/officeDocument/2006/relationships/hyperlink" Target="https://www.gov.il/he/departments/policies/decision214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w15="http://schemas.microsoft.com/office/word/2012/wordml"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6F87B2A9-F9EC-4ACC-8BB2-F7DB089AD49B}">
  <ds:schemaRefs>
    <ds:schemaRef ds:uri="http://schemas.openxmlformats.org/wordprocessingml/2006/main"/>
    <ds:schemaRef ds:uri="http://schemas.microsoft.com/office/word/2012/wordml"/>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2239</Characters>
  <Application>Microsoft Office Word</Application>
  <DocSecurity>4</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עינת צבאג</cp:lastModifiedBy>
  <cp:revision>2</cp:revision>
  <cp:lastPrinted>2021-10-18T05:30:00Z</cp:lastPrinted>
  <dcterms:created xsi:type="dcterms:W3CDTF">2021-11-14T10:28:00Z</dcterms:created>
  <dcterms:modified xsi:type="dcterms:W3CDTF">2021-11-14T10:28:00Z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05 באוקטובר 2021</vt:lpwstr>
  </property>
  <property fmtid="{D5CDD505-2E9C-101B-9397-08002B2CF9AE}" pid="3" name="DocNumber">
    <vt:lpwstr>4700-1012-2021-010785</vt:lpwstr>
  </property>
  <property fmtid="{D5CDD505-2E9C-101B-9397-08002B2CF9AE}" pid="4" name="DocRecipientsName">
    <vt:lpwstr/>
  </property>
  <property fmtid="{D5CDD505-2E9C-101B-9397-08002B2CF9AE}" pid="5" name="DocToName">
    <vt:lpwstr/>
  </property>
  <property fmtid="{D5CDD505-2E9C-101B-9397-08002B2CF9AE}" pid="6" name="DocObjectName">
    <vt:lpwstr>אורי סולד ועדת מירון</vt:lpwstr>
  </property>
  <property fmtid="{D5CDD505-2E9C-101B-9397-08002B2CF9AE}" pid="7" name="DocDateHebB">
    <vt:lpwstr>כ"ט בתשרי התשפ"ב</vt:lpwstr>
  </property>
</Properties>
</file>