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B51" w:rsidRPr="00813003" w:rsidRDefault="00892B51" w:rsidP="00892B51">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892B51" w:rsidRPr="00813003" w:rsidRDefault="00892B51" w:rsidP="00892B51">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23.5.2021</w:t>
      </w:r>
    </w:p>
    <w:p w:rsidR="00892B51" w:rsidRPr="005875A9" w:rsidRDefault="00892B51" w:rsidP="00892B51">
      <w:pPr>
        <w:tabs>
          <w:tab w:val="center" w:pos="6321"/>
        </w:tabs>
        <w:spacing w:after="0" w:line="240" w:lineRule="auto"/>
        <w:ind w:firstLine="454"/>
        <w:jc w:val="center"/>
        <w:rPr>
          <w:rFonts w:cs="FrankRuehl"/>
          <w:sz w:val="24"/>
          <w:szCs w:val="24"/>
        </w:rPr>
      </w:pPr>
    </w:p>
    <w:p w:rsidR="00892B51" w:rsidRPr="005875A9" w:rsidRDefault="00892B51" w:rsidP="00892B51">
      <w:pPr>
        <w:tabs>
          <w:tab w:val="center" w:pos="6321"/>
        </w:tabs>
        <w:spacing w:after="0" w:line="240" w:lineRule="auto"/>
        <w:ind w:firstLine="454"/>
        <w:jc w:val="both"/>
        <w:rPr>
          <w:rFonts w:cs="FrankRuehl"/>
          <w:sz w:val="24"/>
          <w:szCs w:val="24"/>
        </w:rPr>
      </w:pPr>
    </w:p>
    <w:p w:rsidR="00892B51" w:rsidRDefault="00892B51" w:rsidP="00892B51">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על אודות</w:t>
      </w:r>
      <w:r>
        <w:rPr>
          <w:rFonts w:cs="FrankRuehl" w:hint="cs"/>
          <w:sz w:val="28"/>
          <w:szCs w:val="28"/>
          <w:rtl/>
        </w:rPr>
        <w:t xml:space="preserve"> </w:t>
      </w:r>
      <w:r w:rsidRPr="003078B1">
        <w:rPr>
          <w:rFonts w:cs="FrankRuehl"/>
          <w:sz w:val="28"/>
          <w:szCs w:val="28"/>
          <w:rtl/>
        </w:rPr>
        <w:t>כמות התיקים שנפתחו לצו הורות מטעמן של זוגות המורכבים מ-2 בנות זוג</w:t>
      </w:r>
      <w:r>
        <w:rPr>
          <w:rFonts w:cs="FrankRuehl" w:hint="cs"/>
          <w:sz w:val="28"/>
          <w:szCs w:val="28"/>
          <w:rtl/>
        </w:rPr>
        <w:t>,</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w:t>
      </w:r>
    </w:p>
    <w:p w:rsidR="00892B51" w:rsidRDefault="00892B51" w:rsidP="00892B51">
      <w:pPr>
        <w:pStyle w:val="a3"/>
        <w:autoSpaceDN w:val="0"/>
        <w:spacing w:after="200" w:line="360" w:lineRule="auto"/>
        <w:jc w:val="both"/>
        <w:rPr>
          <w:rFonts w:ascii="FrankRuehl" w:hAnsi="FrankRuehl" w:cs="FrankRuehl"/>
          <w:sz w:val="28"/>
          <w:szCs w:val="28"/>
        </w:rPr>
      </w:pPr>
      <w:r w:rsidRPr="00081455">
        <w:rPr>
          <w:rFonts w:ascii="FrankRuehl" w:hAnsi="FrankRuehl" w:cs="FrankRuehl"/>
          <w:sz w:val="28"/>
          <w:szCs w:val="28"/>
          <w:rtl/>
        </w:rPr>
        <w:t xml:space="preserve"> </w:t>
      </w:r>
    </w:p>
    <w:p w:rsidR="00892B51" w:rsidRDefault="00892B51" w:rsidP="00892B51">
      <w:pPr>
        <w:pStyle w:val="a3"/>
        <w:numPr>
          <w:ilvl w:val="0"/>
          <w:numId w:val="1"/>
        </w:numPr>
        <w:autoSpaceDN w:val="0"/>
        <w:spacing w:after="200" w:line="360" w:lineRule="auto"/>
        <w:jc w:val="both"/>
        <w:rPr>
          <w:rFonts w:ascii="FrankRuehl" w:hAnsi="FrankRuehl" w:cs="FrankRuehl"/>
          <w:sz w:val="28"/>
          <w:szCs w:val="28"/>
        </w:rPr>
      </w:pPr>
      <w:r w:rsidRPr="000B53C3">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892B51" w:rsidRPr="000B53C3" w:rsidRDefault="00892B51" w:rsidP="00892B51">
      <w:pPr>
        <w:pStyle w:val="a3"/>
        <w:rPr>
          <w:rFonts w:ascii="FrankRuehl" w:hAnsi="FrankRuehl" w:cs="FrankRuehl"/>
          <w:sz w:val="28"/>
          <w:szCs w:val="28"/>
          <w:rtl/>
        </w:rPr>
      </w:pPr>
    </w:p>
    <w:p w:rsidR="00892B51" w:rsidRDefault="00892B51" w:rsidP="00892B51">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 xml:space="preserve">למעלה מן הצורך, </w:t>
      </w:r>
      <w:r w:rsidRPr="003078B1">
        <w:rPr>
          <w:rFonts w:ascii="FrankRuehl" w:hAnsi="FrankRuehl" w:cs="FrankRuehl"/>
          <w:sz w:val="28"/>
          <w:szCs w:val="28"/>
          <w:rtl/>
        </w:rPr>
        <w:t>כאמור, יצוין כי לצורך הפקת המידע, תידרש כניסה לכל תיק ותיק באופן פרטני ולחילוץ המידע המבוקש</w:t>
      </w:r>
      <w:r>
        <w:rPr>
          <w:rFonts w:ascii="FrankRuehl" w:hAnsi="FrankRuehl" w:cs="FrankRuehl"/>
          <w:sz w:val="28"/>
          <w:szCs w:val="28"/>
          <w:rtl/>
        </w:rPr>
        <w:t xml:space="preserve"> מתוך התיקים, דבר שיהיה כרוך בהקצאת משאבים בלתי סבירה. לפיכך, אין בידנו להיעתר לבקשתך לקבלת מידע זה, כאמור, בין היתר, על יסוד סעיפים 8(1) ו-8(3) לחוק. </w:t>
      </w:r>
    </w:p>
    <w:p w:rsidR="00892B51" w:rsidRPr="003078B1" w:rsidRDefault="00892B51" w:rsidP="00892B51">
      <w:pPr>
        <w:pStyle w:val="a3"/>
        <w:autoSpaceDN w:val="0"/>
        <w:spacing w:after="200" w:line="360" w:lineRule="auto"/>
        <w:ind w:left="1076"/>
        <w:jc w:val="both"/>
        <w:rPr>
          <w:rFonts w:ascii="FrankRuehl" w:hAnsi="FrankRuehl" w:cs="FrankRuehl"/>
          <w:color w:val="000000" w:themeColor="text1"/>
          <w:sz w:val="28"/>
          <w:szCs w:val="28"/>
          <w:rtl/>
        </w:rPr>
      </w:pPr>
    </w:p>
    <w:p w:rsidR="00892B51" w:rsidRDefault="00892B51" w:rsidP="00892B51">
      <w:pPr>
        <w:pStyle w:val="a3"/>
        <w:numPr>
          <w:ilvl w:val="0"/>
          <w:numId w:val="1"/>
        </w:numPr>
        <w:autoSpaceDN w:val="0"/>
        <w:spacing w:after="200" w:line="360"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כנגד החלטה זו </w:t>
      </w:r>
      <w:r w:rsidRPr="000B53C3">
        <w:rPr>
          <w:rFonts w:ascii="FrankRuehl" w:hAnsi="FrankRuehl" w:cs="FrankRuehl" w:hint="cs"/>
          <w:color w:val="000000" w:themeColor="text1"/>
          <w:sz w:val="28"/>
          <w:szCs w:val="28"/>
          <w:rtl/>
        </w:rPr>
        <w:t>את</w:t>
      </w:r>
      <w:r w:rsidRPr="000B53C3">
        <w:rPr>
          <w:rFonts w:ascii="FrankRuehl" w:hAnsi="FrankRuehl" w:cs="FrankRuehl"/>
          <w:color w:val="000000" w:themeColor="text1"/>
          <w:sz w:val="28"/>
          <w:szCs w:val="28"/>
          <w:rtl/>
        </w:rPr>
        <w:t xml:space="preserve"> רשאי</w:t>
      </w:r>
      <w:r w:rsidRPr="000B53C3">
        <w:rPr>
          <w:rFonts w:ascii="FrankRuehl" w:hAnsi="FrankRuehl" w:cs="FrankRuehl" w:hint="cs"/>
          <w:color w:val="000000" w:themeColor="text1"/>
          <w:sz w:val="28"/>
          <w:szCs w:val="28"/>
          <w:rtl/>
        </w:rPr>
        <w:t>ת</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892B51" w:rsidRPr="00040363" w:rsidRDefault="00892B51" w:rsidP="00892B51">
      <w:pPr>
        <w:pStyle w:val="a3"/>
        <w:autoSpaceDN w:val="0"/>
        <w:spacing w:after="200" w:line="360" w:lineRule="auto"/>
        <w:jc w:val="both"/>
        <w:rPr>
          <w:rFonts w:ascii="FrankRuehl" w:hAnsi="FrankRuehl" w:cs="FrankRuehl"/>
          <w:color w:val="000000" w:themeColor="text1"/>
          <w:sz w:val="28"/>
          <w:szCs w:val="28"/>
          <w:rtl/>
        </w:rPr>
      </w:pPr>
    </w:p>
    <w:p w:rsidR="00892B51" w:rsidRDefault="00892B51" w:rsidP="00892B51">
      <w:pPr>
        <w:pStyle w:val="a3"/>
        <w:spacing w:line="276" w:lineRule="auto"/>
        <w:ind w:left="226"/>
        <w:rPr>
          <w:rFonts w:ascii="FrankRuehl" w:hAnsi="FrankRuehl" w:cs="FrankRuehl"/>
          <w:color w:val="000000" w:themeColor="text1"/>
          <w:sz w:val="28"/>
          <w:szCs w:val="28"/>
          <w:rtl/>
        </w:rPr>
      </w:pPr>
    </w:p>
    <w:p w:rsidR="00892B51" w:rsidRDefault="00892B51" w:rsidP="00892B51">
      <w:pPr>
        <w:pStyle w:val="a3"/>
        <w:spacing w:line="276" w:lineRule="auto"/>
        <w:ind w:left="226"/>
        <w:rPr>
          <w:rFonts w:ascii="FrankRuehl" w:hAnsi="FrankRuehl" w:cs="FrankRuehl"/>
          <w:color w:val="000000" w:themeColor="text1"/>
          <w:sz w:val="28"/>
          <w:szCs w:val="28"/>
        </w:rPr>
      </w:pPr>
    </w:p>
    <w:p w:rsidR="00892B51" w:rsidRDefault="00892B51" w:rsidP="00892B51">
      <w:pPr>
        <w:pStyle w:val="a3"/>
        <w:numPr>
          <w:ilvl w:val="0"/>
          <w:numId w:val="1"/>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3078B1">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892B51" w:rsidRDefault="00892B51" w:rsidP="00892B51">
      <w:pPr>
        <w:autoSpaceDN w:val="0"/>
        <w:spacing w:after="200" w:line="276" w:lineRule="auto"/>
        <w:jc w:val="both"/>
        <w:rPr>
          <w:rFonts w:ascii="FrankRuehl" w:hAnsi="FrankRuehl" w:cs="FrankRuehl"/>
          <w:color w:val="000000" w:themeColor="text1"/>
          <w:sz w:val="28"/>
          <w:szCs w:val="28"/>
          <w:rtl/>
        </w:rPr>
      </w:pPr>
    </w:p>
    <w:p w:rsidR="00892B51" w:rsidRDefault="00892B51" w:rsidP="00892B51">
      <w:pPr>
        <w:autoSpaceDN w:val="0"/>
        <w:spacing w:after="200" w:line="276" w:lineRule="auto"/>
        <w:jc w:val="both"/>
        <w:rPr>
          <w:rFonts w:ascii="FrankRuehl" w:hAnsi="FrankRuehl" w:cs="FrankRuehl"/>
          <w:color w:val="000000" w:themeColor="text1"/>
          <w:sz w:val="28"/>
          <w:szCs w:val="28"/>
          <w:rtl/>
        </w:rPr>
      </w:pPr>
    </w:p>
    <w:p w:rsidR="00892B51" w:rsidRDefault="00892B51" w:rsidP="00892B51">
      <w:pPr>
        <w:autoSpaceDN w:val="0"/>
        <w:spacing w:after="200" w:line="276" w:lineRule="auto"/>
        <w:jc w:val="both"/>
        <w:rPr>
          <w:rFonts w:ascii="FrankRuehl" w:hAnsi="FrankRuehl" w:cs="FrankRuehl"/>
          <w:color w:val="000000" w:themeColor="text1"/>
          <w:sz w:val="28"/>
          <w:szCs w:val="28"/>
          <w:rtl/>
        </w:rPr>
      </w:pPr>
    </w:p>
    <w:p w:rsidR="00892B51" w:rsidRDefault="00892B51" w:rsidP="00892B51">
      <w:pPr>
        <w:autoSpaceDN w:val="0"/>
        <w:spacing w:after="200" w:line="276" w:lineRule="auto"/>
        <w:jc w:val="both"/>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B51"/>
    <w:rsid w:val="006C5EE7"/>
    <w:rsid w:val="00892B51"/>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CA62B"/>
  <w15:chartTrackingRefBased/>
  <w15:docId w15:val="{605BB0D1-0DDE-4C09-A7AE-703FECA1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2B5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2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807</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2021-10-18T12:58:00Z</dcterms:created>
  <dcterms:modified xsi:type="dcterms:W3CDTF">2021-10-18T12:59:00Z</dcterms:modified>
</cp:coreProperties>
</file>