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C2C" w:rsidRPr="005C5496" w:rsidRDefault="00263C2C" w:rsidP="00263C2C">
      <w:pPr>
        <w:spacing w:after="0"/>
        <w:jc w:val="both"/>
        <w:rPr>
          <w:rFonts w:cs="FrankRuehl"/>
          <w:sz w:val="28"/>
          <w:szCs w:val="28"/>
          <w:u w:val="single"/>
          <w:rtl/>
        </w:rPr>
      </w:pPr>
    </w:p>
    <w:p w:rsidR="00263C2C" w:rsidRPr="005C5496" w:rsidRDefault="00263C2C" w:rsidP="00263C2C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5C5496">
        <w:rPr>
          <w:rFonts w:cs="FrankRuehl"/>
          <w:sz w:val="28"/>
          <w:szCs w:val="28"/>
          <w:rtl/>
        </w:rPr>
        <w:t xml:space="preserve">הנדון: </w:t>
      </w:r>
      <w:r w:rsidRPr="005C5496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5C5496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C5496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263C2C" w:rsidRPr="005C5496" w:rsidRDefault="00263C2C" w:rsidP="00263C2C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5C5496">
        <w:rPr>
          <w:rFonts w:cs="FrankRuehl"/>
          <w:rtl/>
        </w:rPr>
        <w:t xml:space="preserve">סימוכין: </w:t>
      </w:r>
      <w:r w:rsidRPr="005C5496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31.8.2021</w:t>
      </w:r>
    </w:p>
    <w:p w:rsidR="00263C2C" w:rsidRPr="005875A9" w:rsidRDefault="00263C2C" w:rsidP="00263C2C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263C2C" w:rsidRPr="00217BA5" w:rsidRDefault="00263C2C" w:rsidP="00263C2C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0F6888">
        <w:rPr>
          <w:rFonts w:cs="FrankRuehl" w:hint="cs"/>
          <w:sz w:val="28"/>
          <w:szCs w:val="28"/>
          <w:rtl/>
        </w:rPr>
        <w:t>הבקשה</w:t>
      </w:r>
      <w:r w:rsidRPr="000F6888">
        <w:rPr>
          <w:rFonts w:cs="FrankRuehl"/>
          <w:sz w:val="28"/>
          <w:szCs w:val="28"/>
          <w:rtl/>
        </w:rPr>
        <w:t xml:space="preserve"> שב</w:t>
      </w:r>
      <w:r w:rsidRPr="000F6888">
        <w:rPr>
          <w:rFonts w:cs="FrankRuehl" w:hint="cs"/>
          <w:sz w:val="28"/>
          <w:szCs w:val="28"/>
          <w:rtl/>
        </w:rPr>
        <w:t xml:space="preserve">סימוכין </w:t>
      </w:r>
      <w:r w:rsidRPr="000F6888">
        <w:rPr>
          <w:rFonts w:cs="FrankRuehl"/>
          <w:sz w:val="28"/>
          <w:szCs w:val="28"/>
          <w:rtl/>
        </w:rPr>
        <w:t>לקבלת מידע</w:t>
      </w:r>
      <w:r w:rsidRPr="000F6888">
        <w:rPr>
          <w:rFonts w:cs="FrankRuehl" w:hint="cs"/>
          <w:sz w:val="28"/>
          <w:szCs w:val="28"/>
          <w:rtl/>
        </w:rPr>
        <w:t xml:space="preserve"> לפי חוק חופש המידע התשנ"ח-1998</w:t>
      </w:r>
      <w:r w:rsidRPr="000F6888">
        <w:rPr>
          <w:rFonts w:cs="FrankRuehl"/>
          <w:sz w:val="28"/>
          <w:szCs w:val="28"/>
          <w:rtl/>
        </w:rPr>
        <w:t xml:space="preserve"> </w:t>
      </w:r>
      <w:r w:rsidRPr="000F6888">
        <w:rPr>
          <w:rFonts w:cs="FrankRuehl" w:hint="cs"/>
          <w:sz w:val="28"/>
          <w:szCs w:val="28"/>
          <w:rtl/>
        </w:rPr>
        <w:t>(להלן: החוק), על אודות</w:t>
      </w:r>
      <w:r w:rsidRPr="000F6888">
        <w:rPr>
          <w:rFonts w:cs="FrankRuehl"/>
          <w:sz w:val="28"/>
          <w:szCs w:val="28"/>
          <w:rtl/>
        </w:rPr>
        <w:t xml:space="preserve"> </w:t>
      </w:r>
      <w:r w:rsidRPr="000F6888">
        <w:rPr>
          <w:rFonts w:cs="FrankRuehl" w:hint="cs"/>
          <w:sz w:val="28"/>
          <w:szCs w:val="28"/>
          <w:rtl/>
        </w:rPr>
        <w:t xml:space="preserve">הרצאות שנעשו בפני הנהלת בתי המשפט, </w:t>
      </w:r>
      <w:r w:rsidRPr="000F6888">
        <w:rPr>
          <w:rFonts w:cs="FrankRuehl"/>
          <w:sz w:val="28"/>
          <w:szCs w:val="28"/>
          <w:rtl/>
        </w:rPr>
        <w:t>נבחנה ו</w:t>
      </w:r>
      <w:r>
        <w:rPr>
          <w:rFonts w:cs="FrankRuehl" w:hint="cs"/>
          <w:sz w:val="28"/>
          <w:szCs w:val="28"/>
          <w:rtl/>
        </w:rPr>
        <w:t xml:space="preserve">הריני משיבה </w:t>
      </w:r>
      <w:r>
        <w:rPr>
          <w:rFonts w:ascii="FrankRuehl" w:hAnsi="FrankRuehl" w:cs="FrankRuehl" w:hint="cs"/>
          <w:sz w:val="28"/>
          <w:szCs w:val="28"/>
          <w:rtl/>
        </w:rPr>
        <w:t>שהמידע זמין בקישור שלהלן. זאת, בהתאם לסעיף 8(4) לחוק.</w:t>
      </w:r>
    </w:p>
    <w:p w:rsidR="00263C2C" w:rsidRPr="008D2B2F" w:rsidRDefault="00263C2C" w:rsidP="00263C2C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/>
          <w:sz w:val="28"/>
          <w:szCs w:val="28"/>
          <w:rtl/>
        </w:rPr>
        <w:t>בהתאם לנוהל מספר 10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8D2B2F">
        <w:rPr>
          <w:rFonts w:ascii="FrankRuehl" w:hAnsi="FrankRuehl" w:cs="FrankRuehl"/>
          <w:sz w:val="28"/>
          <w:szCs w:val="28"/>
          <w:rtl/>
        </w:rPr>
        <w:t xml:space="preserve"> "פרסום התקשרויות הממשלה" של היחידה לחופש המידע במשרד המשפטים, הנהלת בתי המשפט מפרסמת באופן יזום דו"ח רבעוני הכולל את ההתקשרויות של הנהלת בתי המשפט. דוח זה כולל, בין היתר, התקשרוי</w:t>
      </w:r>
      <w:r>
        <w:rPr>
          <w:rFonts w:ascii="FrankRuehl" w:hAnsi="FrankRuehl" w:cs="FrankRuehl"/>
          <w:sz w:val="28"/>
          <w:szCs w:val="28"/>
          <w:rtl/>
        </w:rPr>
        <w:t>ות לצורך הרצאות ואת התשלום ש</w:t>
      </w:r>
      <w:r>
        <w:rPr>
          <w:rFonts w:ascii="FrankRuehl" w:hAnsi="FrankRuehl" w:cs="FrankRuehl" w:hint="cs"/>
          <w:sz w:val="28"/>
          <w:szCs w:val="28"/>
          <w:rtl/>
        </w:rPr>
        <w:t>ניתן</w:t>
      </w:r>
      <w:r w:rsidRPr="008D2B2F">
        <w:rPr>
          <w:rFonts w:ascii="FrankRuehl" w:hAnsi="FrankRuehl" w:cs="FrankRuehl"/>
          <w:sz w:val="28"/>
          <w:szCs w:val="28"/>
          <w:rtl/>
        </w:rPr>
        <w:t xml:space="preserve"> בגינן. </w:t>
      </w:r>
    </w:p>
    <w:p w:rsidR="00263C2C" w:rsidRDefault="00263C2C" w:rsidP="00263C2C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r w:rsidRPr="008D2B2F">
        <w:rPr>
          <w:rFonts w:ascii="FrankRuehl" w:hAnsi="FrankRuehl" w:cs="FrankRuehl"/>
          <w:sz w:val="28"/>
          <w:szCs w:val="28"/>
          <w:rtl/>
        </w:rPr>
        <w:t>דוחות אלו מפורסמים באופן שוטף בכתובת הבאה:</w:t>
      </w:r>
    </w:p>
    <w:p w:rsidR="00263C2C" w:rsidRDefault="00263C2C" w:rsidP="00263C2C">
      <w:pPr>
        <w:ind w:left="720"/>
        <w:rPr>
          <w:rFonts w:ascii="Arial" w:hAnsi="Arial" w:cs="Arial"/>
          <w:color w:val="1F497D"/>
          <w:rtl/>
        </w:rPr>
      </w:pPr>
      <w:hyperlink r:id="rId5" w:history="1">
        <w:r w:rsidRPr="00EA464C">
          <w:rPr>
            <w:rStyle w:val="Hyperlink"/>
            <w:rFonts w:ascii="Calibri" w:hAnsi="Calibri" w:cs="Calibri"/>
          </w:rPr>
          <w:t>https://foi.gov.il/he/search/site/?f%5B0%5D=im_field_mmdtypes%3A368&amp;f%5B1%5D=sm_field_officeitems%3Anode%3A431</w:t>
        </w:r>
      </w:hyperlink>
    </w:p>
    <w:p w:rsidR="00263C2C" w:rsidRDefault="00263C2C" w:rsidP="00263C2C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כנגד החלטה זו ניתן להגיש עתירה מנהלית בתוך 45 יום לבית המשפט לעניינים מנהליים בירושלים. </w:t>
      </w:r>
    </w:p>
    <w:p w:rsidR="00263C2C" w:rsidRPr="008D2B2F" w:rsidRDefault="00263C2C" w:rsidP="00263C2C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r w:rsidRPr="008D2B2F">
        <w:rPr>
          <w:rFonts w:ascii="FrankRuehl" w:hAnsi="FrankRuehl" w:cs="FrankRuehl" w:hint="cs"/>
          <w:sz w:val="28"/>
          <w:szCs w:val="28"/>
          <w:rtl/>
        </w:rPr>
        <w:t>אנו לרשותך ככל שיידרש</w:t>
      </w:r>
      <w:r>
        <w:rPr>
          <w:rFonts w:ascii="FrankRuehl" w:hAnsi="FrankRuehl" w:cs="FrankRuehl" w:hint="cs"/>
          <w:sz w:val="28"/>
          <w:szCs w:val="28"/>
          <w:rtl/>
        </w:rPr>
        <w:t>.</w:t>
      </w:r>
    </w:p>
    <w:p w:rsidR="005254F9" w:rsidRDefault="005254F9">
      <w:bookmarkStart w:id="0" w:name="_GoBack"/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C2183"/>
    <w:multiLevelType w:val="hybridMultilevel"/>
    <w:tmpl w:val="6C1C0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2C"/>
    <w:rsid w:val="00263C2C"/>
    <w:rsid w:val="005254F9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B1841F-6A68-48D8-9F6B-E6E853EE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C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263C2C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263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i.gov.il/he/search/site/?f%5B0%5D=im_field_mmdtypes%3A368&amp;f%5B1%5D=sm_field_officeitems%3Anode%3A4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2021-09-02T06:26:00Z</dcterms:created>
  <dcterms:modified xsi:type="dcterms:W3CDTF">2021-09-02T06:26:00Z</dcterms:modified>
</cp:coreProperties>
</file>