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34C" w:rsidRPr="005875A9" w:rsidRDefault="0058734C" w:rsidP="0058734C">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58734C" w:rsidRPr="005875A9" w:rsidRDefault="0058734C" w:rsidP="0058734C">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13.7.2021</w:t>
      </w:r>
    </w:p>
    <w:p w:rsidR="0058734C" w:rsidRPr="005875A9" w:rsidRDefault="0058734C" w:rsidP="0058734C">
      <w:pPr>
        <w:tabs>
          <w:tab w:val="center" w:pos="6321"/>
        </w:tabs>
        <w:spacing w:after="0" w:line="240" w:lineRule="auto"/>
        <w:ind w:firstLine="454"/>
        <w:jc w:val="center"/>
        <w:rPr>
          <w:rFonts w:cs="FrankRuehl"/>
          <w:sz w:val="24"/>
          <w:szCs w:val="24"/>
        </w:rPr>
      </w:pPr>
    </w:p>
    <w:p w:rsidR="0058734C" w:rsidRDefault="0058734C" w:rsidP="0058734C">
      <w:pPr>
        <w:pStyle w:val="a3"/>
        <w:numPr>
          <w:ilvl w:val="0"/>
          <w:numId w:val="1"/>
        </w:numPr>
        <w:spacing w:line="360" w:lineRule="auto"/>
        <w:jc w:val="both"/>
        <w:rPr>
          <w:rFonts w:cs="FrankRuehl"/>
          <w:sz w:val="28"/>
          <w:szCs w:val="28"/>
        </w:rPr>
      </w:pPr>
      <w:r>
        <w:rPr>
          <w:rFonts w:cs="FrankRuehl" w:hint="cs"/>
          <w:sz w:val="28"/>
          <w:szCs w:val="28"/>
          <w:rtl/>
        </w:rPr>
        <w:t xml:space="preserve">הבקשה שבסימוכין לפי חוק חופש המידע התשנ"ח-1998, לקבלת  מידע על אודות כמות צווי ירושה ומינוי מנהלי עיזבונות, נבחנה והוחלט שניתן להיעתר לה באופן חלקי.  </w:t>
      </w:r>
    </w:p>
    <w:p w:rsidR="0058734C" w:rsidRDefault="0058734C" w:rsidP="0058734C">
      <w:pPr>
        <w:pStyle w:val="a3"/>
        <w:spacing w:line="360" w:lineRule="auto"/>
        <w:jc w:val="both"/>
        <w:rPr>
          <w:rFonts w:cs="FrankRuehl"/>
          <w:sz w:val="28"/>
          <w:szCs w:val="28"/>
        </w:rPr>
      </w:pPr>
    </w:p>
    <w:p w:rsidR="0058734C" w:rsidRPr="00CD5F0D" w:rsidRDefault="0058734C" w:rsidP="0058734C">
      <w:pPr>
        <w:pStyle w:val="a3"/>
        <w:numPr>
          <w:ilvl w:val="0"/>
          <w:numId w:val="1"/>
        </w:numPr>
        <w:spacing w:line="360" w:lineRule="auto"/>
        <w:jc w:val="both"/>
        <w:rPr>
          <w:rFonts w:cs="FrankRuehl"/>
          <w:sz w:val="28"/>
          <w:szCs w:val="28"/>
        </w:rPr>
      </w:pPr>
      <w:r w:rsidRPr="00902B39">
        <w:rPr>
          <w:rFonts w:cs="FrankRuehl" w:hint="cs"/>
          <w:sz w:val="28"/>
          <w:szCs w:val="28"/>
          <w:rtl/>
        </w:rPr>
        <w:t xml:space="preserve">לעניין בקשתך לקבלת כמות צווי הירושה/קיום צוואה וכמות מינויי מנהלי עיזבונות שניתנו בכל בתי המשפט משנת 2016, </w:t>
      </w:r>
      <w:r w:rsidRPr="00CD5F0D">
        <w:rPr>
          <w:rFonts w:cs="FrankRuehl" w:hint="eastAsia"/>
          <w:sz w:val="28"/>
          <w:szCs w:val="28"/>
          <w:rtl/>
        </w:rPr>
        <w:t>מצורף</w:t>
      </w:r>
      <w:r w:rsidRPr="00CD5F0D">
        <w:rPr>
          <w:rFonts w:cs="FrankRuehl"/>
          <w:sz w:val="28"/>
          <w:szCs w:val="28"/>
          <w:rtl/>
        </w:rPr>
        <w:t xml:space="preserve"> </w:t>
      </w:r>
      <w:r w:rsidRPr="00CD5F0D">
        <w:rPr>
          <w:rFonts w:cs="FrankRuehl" w:hint="eastAsia"/>
          <w:sz w:val="28"/>
          <w:szCs w:val="28"/>
          <w:rtl/>
        </w:rPr>
        <w:t>בזה</w:t>
      </w:r>
      <w:r w:rsidRPr="00CD5F0D">
        <w:rPr>
          <w:rFonts w:cs="FrankRuehl"/>
          <w:sz w:val="28"/>
          <w:szCs w:val="28"/>
          <w:rtl/>
        </w:rPr>
        <w:t xml:space="preserve"> </w:t>
      </w:r>
      <w:r w:rsidRPr="00CD5F0D">
        <w:rPr>
          <w:rFonts w:cs="FrankRuehl" w:hint="eastAsia"/>
          <w:sz w:val="28"/>
          <w:szCs w:val="28"/>
          <w:rtl/>
        </w:rPr>
        <w:t>המידע</w:t>
      </w:r>
      <w:r w:rsidRPr="00CD5F0D">
        <w:rPr>
          <w:rFonts w:cs="FrankRuehl"/>
          <w:sz w:val="28"/>
          <w:szCs w:val="28"/>
          <w:rtl/>
        </w:rPr>
        <w:t xml:space="preserve"> </w:t>
      </w:r>
      <w:r w:rsidRPr="00CD5F0D">
        <w:rPr>
          <w:rFonts w:cs="FrankRuehl" w:hint="eastAsia"/>
          <w:sz w:val="28"/>
          <w:szCs w:val="28"/>
          <w:rtl/>
        </w:rPr>
        <w:t>המבוקש</w:t>
      </w:r>
      <w:r w:rsidRPr="00CD5F0D">
        <w:rPr>
          <w:rFonts w:cs="FrankRuehl"/>
          <w:sz w:val="28"/>
          <w:szCs w:val="28"/>
          <w:rtl/>
        </w:rPr>
        <w:t>:</w:t>
      </w:r>
    </w:p>
    <w:p w:rsidR="0058734C" w:rsidRPr="004C4AC8" w:rsidRDefault="0058734C" w:rsidP="0058734C">
      <w:pPr>
        <w:pStyle w:val="a3"/>
        <w:spacing w:line="360" w:lineRule="auto"/>
        <w:jc w:val="both"/>
        <w:rPr>
          <w:rFonts w:cs="FrankRuehl"/>
          <w:sz w:val="28"/>
          <w:szCs w:val="28"/>
        </w:rPr>
      </w:pPr>
    </w:p>
    <w:tbl>
      <w:tblPr>
        <w:bidiVisual/>
        <w:tblW w:w="4106" w:type="dxa"/>
        <w:tblInd w:w="687" w:type="dxa"/>
        <w:tblCellMar>
          <w:left w:w="0" w:type="dxa"/>
          <w:right w:w="0" w:type="dxa"/>
        </w:tblCellMar>
        <w:tblLook w:val="04A0" w:firstRow="1" w:lastRow="0" w:firstColumn="1" w:lastColumn="0" w:noHBand="0" w:noVBand="1"/>
      </w:tblPr>
      <w:tblGrid>
        <w:gridCol w:w="846"/>
        <w:gridCol w:w="2051"/>
        <w:gridCol w:w="1209"/>
      </w:tblGrid>
      <w:tr w:rsidR="0058734C" w:rsidRPr="006D3B66" w:rsidTr="00134643">
        <w:trPr>
          <w:trHeight w:val="276"/>
        </w:trPr>
        <w:tc>
          <w:tcPr>
            <w:tcW w:w="846" w:type="dxa"/>
            <w:tcBorders>
              <w:top w:val="single" w:sz="8" w:space="0" w:color="auto"/>
              <w:left w:val="single" w:sz="8" w:space="0" w:color="auto"/>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b/>
                <w:bCs/>
                <w:color w:val="000000"/>
                <w:sz w:val="20"/>
                <w:szCs w:val="20"/>
                <w:rtl/>
              </w:rPr>
              <w:t>שנה</w:t>
            </w:r>
          </w:p>
        </w:tc>
        <w:tc>
          <w:tcPr>
            <w:tcW w:w="2051"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tl/>
              </w:rPr>
            </w:pPr>
            <w:r w:rsidRPr="006D3B66">
              <w:rPr>
                <w:rFonts w:ascii="Arial" w:hAnsi="Arial" w:cs="Arial"/>
                <w:b/>
                <w:bCs/>
                <w:color w:val="000000"/>
                <w:sz w:val="20"/>
                <w:szCs w:val="20"/>
                <w:rtl/>
              </w:rPr>
              <w:t>סוג עניין</w:t>
            </w:r>
          </w:p>
        </w:tc>
        <w:tc>
          <w:tcPr>
            <w:tcW w:w="1209"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tl/>
              </w:rPr>
            </w:pPr>
            <w:r w:rsidRPr="006D3B66">
              <w:rPr>
                <w:rFonts w:ascii="Arial" w:hAnsi="Arial" w:cs="Arial"/>
                <w:b/>
                <w:bCs/>
                <w:color w:val="000000"/>
                <w:sz w:val="20"/>
                <w:szCs w:val="20"/>
                <w:rtl/>
              </w:rPr>
              <w:t>כמות</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2016</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tl/>
              </w:rPr>
            </w:pPr>
            <w:r w:rsidRPr="006D3B66">
              <w:rPr>
                <w:rFonts w:ascii="Arial" w:hAnsi="Arial" w:cs="Arial"/>
                <w:color w:val="000000"/>
                <w:sz w:val="20"/>
                <w:szCs w:val="20"/>
                <w:rtl/>
              </w:rPr>
              <w:t>מינוי מנהל עיזבון</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700</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2016</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צו ירושה/צו קיום צוואה</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1,917</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2017</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מינוי מנהל עיזבון</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748</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2017</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צו ירושה/צו קיום צוואה</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2,344</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2018</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מינוי מנהל עיזבון</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715</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2018</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צו ירושה/צו קיום צוואה</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2,494</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2019</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מינוי מנהל עיזבון</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780</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2019</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צו ירושה/צו קיום צוואה</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2,533</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2020</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מינוי מנהל עיזבון</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810</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2020</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צו ירושה/צו קיום צוואה</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2,807</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2021</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מינוי מנהל עיזבון</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376</w:t>
            </w:r>
          </w:p>
        </w:tc>
      </w:tr>
      <w:tr w:rsidR="0058734C" w:rsidRPr="006D3B66" w:rsidTr="00134643">
        <w:trPr>
          <w:trHeight w:val="276"/>
        </w:trPr>
        <w:tc>
          <w:tcPr>
            <w:tcW w:w="846"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Pr>
            </w:pPr>
            <w:r w:rsidRPr="006D3B66">
              <w:rPr>
                <w:rFonts w:ascii="Arial" w:hAnsi="Arial" w:cs="Arial"/>
                <w:color w:val="000000"/>
                <w:sz w:val="20"/>
                <w:szCs w:val="20"/>
              </w:rPr>
              <w:t>2021</w:t>
            </w:r>
          </w:p>
        </w:tc>
        <w:tc>
          <w:tcPr>
            <w:tcW w:w="205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spacing w:line="240" w:lineRule="auto"/>
              <w:jc w:val="center"/>
              <w:rPr>
                <w:sz w:val="20"/>
                <w:szCs w:val="20"/>
              </w:rPr>
            </w:pPr>
            <w:r w:rsidRPr="006D3B66">
              <w:rPr>
                <w:rFonts w:ascii="Arial" w:hAnsi="Arial" w:cs="Arial"/>
                <w:color w:val="000000"/>
                <w:sz w:val="20"/>
                <w:szCs w:val="20"/>
                <w:rtl/>
              </w:rPr>
              <w:t>צו ירושה/צו קיום צוואה</w:t>
            </w:r>
          </w:p>
        </w:tc>
        <w:tc>
          <w:tcPr>
            <w:tcW w:w="1209"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58734C" w:rsidRPr="006D3B66" w:rsidRDefault="0058734C" w:rsidP="00134643">
            <w:pPr>
              <w:bidi w:val="0"/>
              <w:spacing w:line="240" w:lineRule="auto"/>
              <w:jc w:val="center"/>
              <w:rPr>
                <w:sz w:val="20"/>
                <w:szCs w:val="20"/>
                <w:rtl/>
              </w:rPr>
            </w:pPr>
            <w:r w:rsidRPr="006D3B66">
              <w:rPr>
                <w:rFonts w:ascii="Arial" w:hAnsi="Arial" w:cs="Arial"/>
                <w:color w:val="000000"/>
                <w:sz w:val="20"/>
                <w:szCs w:val="20"/>
              </w:rPr>
              <w:t>1,410</w:t>
            </w:r>
          </w:p>
        </w:tc>
      </w:tr>
    </w:tbl>
    <w:p w:rsidR="0058734C" w:rsidRPr="006D3B66" w:rsidRDefault="0058734C" w:rsidP="0058734C">
      <w:pPr>
        <w:pStyle w:val="a3"/>
        <w:spacing w:line="240" w:lineRule="auto"/>
        <w:jc w:val="both"/>
        <w:rPr>
          <w:rFonts w:cs="FrankRuehl"/>
          <w:sz w:val="20"/>
          <w:szCs w:val="20"/>
        </w:rPr>
      </w:pPr>
    </w:p>
    <w:p w:rsidR="0058734C" w:rsidRDefault="0058734C" w:rsidP="0058734C">
      <w:pPr>
        <w:pStyle w:val="a3"/>
        <w:spacing w:line="360" w:lineRule="auto"/>
        <w:jc w:val="both"/>
        <w:rPr>
          <w:rFonts w:cs="FrankRuehl"/>
          <w:sz w:val="28"/>
          <w:szCs w:val="28"/>
          <w:rtl/>
        </w:rPr>
      </w:pPr>
    </w:p>
    <w:p w:rsidR="0058734C" w:rsidRDefault="0058734C" w:rsidP="0058734C">
      <w:pPr>
        <w:pStyle w:val="a3"/>
        <w:spacing w:line="360" w:lineRule="auto"/>
        <w:jc w:val="both"/>
        <w:rPr>
          <w:rFonts w:cs="FrankRuehl"/>
          <w:sz w:val="28"/>
          <w:szCs w:val="28"/>
          <w:rtl/>
        </w:rPr>
      </w:pPr>
      <w:r>
        <w:rPr>
          <w:rFonts w:cs="FrankRuehl" w:hint="cs"/>
          <w:sz w:val="28"/>
          <w:szCs w:val="28"/>
          <w:rtl/>
        </w:rPr>
        <w:t xml:space="preserve">עם זאת יובהר, כי אשר לסוג העניין, רמת הדיוק של נתונים אלה במערכות המחשוב אינה מספקת כדי ביצוע ניתוחים סטטיסטיים או הסקת מסקנות תקפה. </w:t>
      </w:r>
    </w:p>
    <w:p w:rsidR="0058734C" w:rsidRDefault="0058734C" w:rsidP="0058734C">
      <w:pPr>
        <w:pStyle w:val="a3"/>
        <w:spacing w:line="360" w:lineRule="auto"/>
        <w:jc w:val="both"/>
        <w:rPr>
          <w:rFonts w:cs="FrankRuehl"/>
          <w:sz w:val="28"/>
          <w:szCs w:val="28"/>
        </w:rPr>
      </w:pPr>
      <w:r>
        <w:rPr>
          <w:rFonts w:cs="FrankRuehl" w:hint="cs"/>
          <w:sz w:val="28"/>
          <w:szCs w:val="28"/>
          <w:rtl/>
        </w:rPr>
        <w:t xml:space="preserve"> </w:t>
      </w:r>
    </w:p>
    <w:p w:rsidR="0058734C" w:rsidRDefault="0058734C" w:rsidP="0058734C">
      <w:pPr>
        <w:pStyle w:val="a3"/>
        <w:numPr>
          <w:ilvl w:val="0"/>
          <w:numId w:val="1"/>
        </w:numPr>
        <w:spacing w:line="360" w:lineRule="auto"/>
        <w:ind w:left="714" w:hanging="357"/>
        <w:jc w:val="both"/>
        <w:rPr>
          <w:rFonts w:cs="FrankRuehl"/>
          <w:sz w:val="28"/>
          <w:szCs w:val="28"/>
        </w:rPr>
      </w:pPr>
      <w:r>
        <w:rPr>
          <w:rFonts w:cs="FrankRuehl" w:hint="cs"/>
          <w:sz w:val="28"/>
          <w:szCs w:val="28"/>
          <w:rtl/>
        </w:rPr>
        <w:t xml:space="preserve">לעניין בקשתך לקבלת מידע אודות נתונים שהועברו לרשם, בקשתך נבחנה והוחלט שלא ניתן  להיעתר לה שכן אין ברשותנו ריכוז של נתונים אלה. </w:t>
      </w:r>
    </w:p>
    <w:p w:rsidR="0058734C" w:rsidRDefault="0058734C" w:rsidP="0058734C">
      <w:pPr>
        <w:pStyle w:val="a3"/>
        <w:spacing w:line="360" w:lineRule="auto"/>
        <w:ind w:left="714"/>
        <w:jc w:val="both"/>
        <w:rPr>
          <w:rFonts w:cs="FrankRuehl"/>
          <w:sz w:val="28"/>
          <w:szCs w:val="28"/>
          <w:rtl/>
        </w:rPr>
      </w:pPr>
    </w:p>
    <w:p w:rsidR="0058734C" w:rsidRPr="0031404F" w:rsidRDefault="0058734C" w:rsidP="0058734C">
      <w:pPr>
        <w:pStyle w:val="a3"/>
        <w:autoSpaceDN w:val="0"/>
        <w:spacing w:after="200" w:line="360" w:lineRule="auto"/>
        <w:jc w:val="both"/>
        <w:rPr>
          <w:rFonts w:ascii="FrankRuehl" w:hAnsi="FrankRuehl" w:cs="FrankRuehl"/>
          <w:sz w:val="28"/>
          <w:szCs w:val="28"/>
        </w:rPr>
      </w:pPr>
      <w:r w:rsidRPr="0031404F">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w:t>
      </w:r>
      <w:r w:rsidRPr="0031404F">
        <w:rPr>
          <w:rFonts w:ascii="FrankRuehl" w:hAnsi="FrankRuehl" w:cs="FrankRuehl"/>
          <w:sz w:val="28"/>
          <w:szCs w:val="28"/>
          <w:rtl/>
        </w:rPr>
        <w:lastRenderedPageBreak/>
        <w:t xml:space="preserve">הממוחשבות. כמו כן, בהתאם לסעיף 7(ה) לחוק, רשות ציבורית אינה מחויבת לעבד את המידע לצרכיו של המבקש אלא רק מידע כפי שהוא מצוי בידי הרשות הציבורית. </w:t>
      </w:r>
    </w:p>
    <w:p w:rsidR="0058734C" w:rsidRDefault="0058734C" w:rsidP="0058734C">
      <w:pPr>
        <w:pStyle w:val="a3"/>
        <w:autoSpaceDN w:val="0"/>
        <w:spacing w:after="200" w:line="360" w:lineRule="auto"/>
        <w:jc w:val="both"/>
        <w:rPr>
          <w:rFonts w:ascii="FrankRuehl" w:hAnsi="FrankRuehl" w:cs="FrankRuehl"/>
          <w:sz w:val="28"/>
          <w:szCs w:val="28"/>
          <w:rtl/>
        </w:rPr>
      </w:pPr>
    </w:p>
    <w:p w:rsidR="0058734C" w:rsidRDefault="0058734C" w:rsidP="0058734C">
      <w:pPr>
        <w:pStyle w:val="a3"/>
        <w:autoSpaceDN w:val="0"/>
        <w:spacing w:after="200" w:line="360" w:lineRule="auto"/>
        <w:jc w:val="both"/>
        <w:rPr>
          <w:rFonts w:ascii="FrankRuehl" w:hAnsi="FrankRuehl" w:cs="FrankRuehl"/>
          <w:sz w:val="28"/>
          <w:szCs w:val="28"/>
        </w:rPr>
      </w:pPr>
      <w:r w:rsidRPr="0031404F">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r>
        <w:rPr>
          <w:rFonts w:ascii="FrankRuehl" w:hAnsi="FrankRuehl" w:cs="FrankRuehl"/>
          <w:sz w:val="28"/>
          <w:szCs w:val="28"/>
          <w:rtl/>
        </w:rPr>
        <w:t xml:space="preserve"> </w:t>
      </w:r>
    </w:p>
    <w:p w:rsidR="0058734C" w:rsidRPr="00E624F2" w:rsidRDefault="0058734C" w:rsidP="0058734C">
      <w:pPr>
        <w:pStyle w:val="a3"/>
        <w:spacing w:line="360" w:lineRule="auto"/>
        <w:ind w:left="714"/>
        <w:jc w:val="both"/>
        <w:rPr>
          <w:rFonts w:cs="FrankRuehl"/>
          <w:sz w:val="28"/>
          <w:szCs w:val="28"/>
          <w:rtl/>
        </w:rPr>
      </w:pPr>
    </w:p>
    <w:p w:rsidR="0058734C" w:rsidRPr="00B32C80" w:rsidRDefault="0058734C" w:rsidP="0058734C">
      <w:pPr>
        <w:pStyle w:val="a3"/>
        <w:numPr>
          <w:ilvl w:val="0"/>
          <w:numId w:val="1"/>
        </w:numPr>
        <w:spacing w:line="360" w:lineRule="auto"/>
        <w:ind w:left="714" w:hanging="357"/>
        <w:jc w:val="both"/>
        <w:rPr>
          <w:rFonts w:cs="FrankRuehl"/>
          <w:sz w:val="28"/>
          <w:szCs w:val="28"/>
        </w:rPr>
      </w:pPr>
      <w:r>
        <w:rPr>
          <w:rFonts w:cs="FrankRuehl" w:hint="cs"/>
          <w:sz w:val="28"/>
          <w:szCs w:val="28"/>
          <w:rtl/>
        </w:rPr>
        <w:t xml:space="preserve">עוד אוסיף כי ככל שאכן קיים מידע כמבוקש על ידיך, הרי שמדובר במידע שמצוי בידי האפוטרופוס הכללי והכונס הרשמי. בהתאם לסעיף 8 (5) לחוק </w:t>
      </w:r>
      <w:r w:rsidRPr="00B32C80">
        <w:rPr>
          <w:rFonts w:cs="FrankRuehl" w:hint="cs"/>
          <w:sz w:val="28"/>
          <w:szCs w:val="28"/>
          <w:rtl/>
        </w:rPr>
        <w:t xml:space="preserve">באפשרותך לפנות לממונה על העמדת מידע לציבור באפוטרופוס הכללי והכונס הרשמי בכתובת הבאה: </w:t>
      </w:r>
    </w:p>
    <w:p w:rsidR="0058734C" w:rsidRDefault="0058734C" w:rsidP="0058734C">
      <w:pPr>
        <w:pStyle w:val="a3"/>
        <w:spacing w:line="360" w:lineRule="auto"/>
        <w:jc w:val="both"/>
        <w:rPr>
          <w:rFonts w:cs="FrankRuehl"/>
          <w:sz w:val="28"/>
          <w:szCs w:val="28"/>
          <w:rtl/>
        </w:rPr>
      </w:pPr>
      <w:hyperlink r:id="rId5" w:history="1">
        <w:r w:rsidRPr="00B32C80">
          <w:rPr>
            <w:rStyle w:val="Hyperlink"/>
            <w:rFonts w:cs="FrankRuehl"/>
            <w:sz w:val="28"/>
            <w:szCs w:val="28"/>
          </w:rPr>
          <w:t>hofesh.meida.apac@justice.gov.il</w:t>
        </w:r>
      </w:hyperlink>
    </w:p>
    <w:p w:rsidR="0058734C" w:rsidRPr="00CD5F0D" w:rsidRDefault="0058734C" w:rsidP="0058734C">
      <w:pPr>
        <w:pStyle w:val="a3"/>
        <w:spacing w:line="360" w:lineRule="auto"/>
        <w:jc w:val="both"/>
        <w:rPr>
          <w:rFonts w:cs="FrankRuehl"/>
          <w:sz w:val="28"/>
          <w:szCs w:val="28"/>
          <w:rtl/>
        </w:rPr>
      </w:pPr>
    </w:p>
    <w:p w:rsidR="0058734C" w:rsidRPr="004C4AC8" w:rsidRDefault="0058734C" w:rsidP="0058734C">
      <w:pPr>
        <w:pStyle w:val="a3"/>
        <w:numPr>
          <w:ilvl w:val="0"/>
          <w:numId w:val="1"/>
        </w:numPr>
        <w:spacing w:line="360" w:lineRule="auto"/>
        <w:jc w:val="both"/>
        <w:rPr>
          <w:rFonts w:cs="FrankRuehl"/>
          <w:sz w:val="28"/>
          <w:szCs w:val="28"/>
        </w:rPr>
      </w:pPr>
      <w:r w:rsidRPr="004C4AC8">
        <w:rPr>
          <w:rFonts w:ascii="FrankRuehl" w:hAnsi="FrankRuehl" w:cs="FrankRuehl"/>
          <w:color w:val="000000" w:themeColor="text1"/>
          <w:sz w:val="28"/>
          <w:szCs w:val="28"/>
          <w:rtl/>
        </w:rPr>
        <w:t xml:space="preserve">כנגד החלטה זו </w:t>
      </w:r>
      <w:r w:rsidRPr="004C4AC8">
        <w:rPr>
          <w:rFonts w:ascii="FrankRuehl" w:hAnsi="FrankRuehl" w:cs="FrankRuehl" w:hint="cs"/>
          <w:color w:val="000000" w:themeColor="text1"/>
          <w:sz w:val="28"/>
          <w:szCs w:val="28"/>
          <w:rtl/>
        </w:rPr>
        <w:t>אתה</w:t>
      </w:r>
      <w:r w:rsidRPr="004C4AC8">
        <w:rPr>
          <w:rFonts w:ascii="FrankRuehl" w:hAnsi="FrankRuehl" w:cs="FrankRuehl"/>
          <w:color w:val="000000" w:themeColor="text1"/>
          <w:sz w:val="28"/>
          <w:szCs w:val="28"/>
          <w:rtl/>
        </w:rPr>
        <w:t xml:space="preserve"> רשאי להגיש עתירה מנהלית לבית המשפט לעניינים</w:t>
      </w:r>
      <w:r w:rsidRPr="004C4AC8">
        <w:rPr>
          <w:rFonts w:ascii="FrankRuehl" w:hAnsi="FrankRuehl" w:cs="FrankRuehl" w:hint="cs"/>
          <w:color w:val="000000" w:themeColor="text1"/>
          <w:sz w:val="28"/>
          <w:szCs w:val="28"/>
          <w:rtl/>
        </w:rPr>
        <w:t xml:space="preserve"> </w:t>
      </w:r>
      <w:r w:rsidRPr="004C4AC8">
        <w:rPr>
          <w:rFonts w:ascii="FrankRuehl" w:hAnsi="FrankRuehl" w:cs="FrankRuehl"/>
          <w:color w:val="000000" w:themeColor="text1"/>
          <w:sz w:val="28"/>
          <w:szCs w:val="28"/>
          <w:rtl/>
        </w:rPr>
        <w:t xml:space="preserve">מנהליים בירושלים. </w:t>
      </w:r>
    </w:p>
    <w:p w:rsidR="0058734C" w:rsidRPr="00453B28" w:rsidRDefault="0058734C" w:rsidP="0058734C">
      <w:pPr>
        <w:pStyle w:val="a3"/>
        <w:spacing w:line="360" w:lineRule="auto"/>
        <w:jc w:val="both"/>
        <w:rPr>
          <w:rFonts w:cs="FrankRuehl"/>
          <w:sz w:val="28"/>
          <w:szCs w:val="28"/>
          <w:rtl/>
        </w:rPr>
      </w:pPr>
    </w:p>
    <w:p w:rsidR="0058734C" w:rsidRDefault="0058734C" w:rsidP="0058734C">
      <w:pPr>
        <w:pStyle w:val="a3"/>
        <w:numPr>
          <w:ilvl w:val="0"/>
          <w:numId w:val="1"/>
        </w:numPr>
        <w:spacing w:line="360" w:lineRule="auto"/>
        <w:jc w:val="both"/>
        <w:rPr>
          <w:rFonts w:cs="FrankRuehl"/>
          <w:sz w:val="28"/>
          <w:szCs w:val="28"/>
        </w:rPr>
      </w:pPr>
      <w:r>
        <w:rPr>
          <w:rFonts w:cs="FrankRuehl" w:hint="cs"/>
          <w:sz w:val="28"/>
          <w:szCs w:val="28"/>
          <w:rtl/>
        </w:rPr>
        <w:t xml:space="preserve">אנו </w:t>
      </w:r>
      <w:r w:rsidRPr="004C4AC8">
        <w:rPr>
          <w:rFonts w:cs="FrankRuehl" w:hint="cs"/>
          <w:sz w:val="28"/>
          <w:szCs w:val="28"/>
          <w:rtl/>
        </w:rPr>
        <w:t>לרשותך</w:t>
      </w:r>
      <w:r>
        <w:rPr>
          <w:rFonts w:cs="FrankRuehl" w:hint="cs"/>
          <w:sz w:val="28"/>
          <w:szCs w:val="28"/>
          <w:rtl/>
        </w:rPr>
        <w:t xml:space="preserve"> ככל שיידרש.</w:t>
      </w:r>
    </w:p>
    <w:p w:rsidR="0058734C" w:rsidRDefault="0058734C" w:rsidP="0058734C">
      <w:pPr>
        <w:spacing w:line="360" w:lineRule="auto"/>
        <w:rPr>
          <w:rFonts w:cs="David"/>
          <w:sz w:val="24"/>
          <w:szCs w:val="24"/>
          <w:rtl/>
        </w:rPr>
      </w:pPr>
    </w:p>
    <w:p w:rsidR="005254F9" w:rsidRDefault="005254F9">
      <w:bookmarkStart w:id="0" w:name="_GoBack"/>
      <w:bookmarkEnd w:id="0"/>
    </w:p>
    <w:sectPr w:rsidR="005254F9" w:rsidSect="00F55C2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34C"/>
    <w:rsid w:val="005254F9"/>
    <w:rsid w:val="0058734C"/>
    <w:rsid w:val="00F55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863299-2618-477F-B8AB-1734893B3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734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8734C"/>
    <w:rPr>
      <w:color w:val="0563C1" w:themeColor="hyperlink"/>
      <w:u w:val="single"/>
    </w:rPr>
  </w:style>
  <w:style w:type="paragraph" w:styleId="a3">
    <w:name w:val="List Paragraph"/>
    <w:basedOn w:val="a"/>
    <w:uiPriority w:val="34"/>
    <w:qFormat/>
    <w:rsid w:val="005873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ofesh.meida.apac@justice.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1729</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2021-08-15T10:04:00Z</dcterms:created>
  <dcterms:modified xsi:type="dcterms:W3CDTF">2021-08-15T10:05:00Z</dcterms:modified>
</cp:coreProperties>
</file>