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0CB" w:rsidRPr="00813003" w:rsidRDefault="000740CB" w:rsidP="000740CB">
      <w:pPr>
        <w:tabs>
          <w:tab w:val="center" w:pos="6321"/>
        </w:tabs>
        <w:spacing w:after="0" w:line="240" w:lineRule="auto"/>
        <w:ind w:firstLine="454"/>
        <w:jc w:val="center"/>
        <w:rPr>
          <w:rFonts w:cs="FrankRuehl"/>
          <w:sz w:val="28"/>
          <w:szCs w:val="28"/>
          <w:u w:val="single"/>
          <w:rtl/>
        </w:rPr>
      </w:pPr>
      <w:r w:rsidRPr="00813003">
        <w:rPr>
          <w:rFonts w:cs="FrankRuehl" w:hint="cs"/>
          <w:sz w:val="28"/>
          <w:szCs w:val="28"/>
          <w:rtl/>
        </w:rPr>
        <w:t>ה</w:t>
      </w:r>
      <w:r w:rsidRPr="00813003">
        <w:rPr>
          <w:rFonts w:cs="FrankRuehl"/>
          <w:sz w:val="28"/>
          <w:szCs w:val="28"/>
          <w:rtl/>
        </w:rPr>
        <w:t xml:space="preserve">נדון: </w:t>
      </w:r>
      <w:r w:rsidRPr="00813003">
        <w:rPr>
          <w:rFonts w:cs="FrankRuehl"/>
          <w:b/>
          <w:bCs/>
          <w:sz w:val="28"/>
          <w:szCs w:val="28"/>
          <w:u w:val="single"/>
          <w:rtl/>
        </w:rPr>
        <w:t>בקש</w:t>
      </w:r>
      <w:r w:rsidRPr="00813003">
        <w:rPr>
          <w:rFonts w:cs="FrankRuehl" w:hint="cs"/>
          <w:b/>
          <w:bCs/>
          <w:sz w:val="28"/>
          <w:szCs w:val="28"/>
          <w:u w:val="single"/>
          <w:rtl/>
        </w:rPr>
        <w:t>ה</w:t>
      </w:r>
      <w:r w:rsidRPr="00813003">
        <w:rPr>
          <w:rFonts w:cs="FrankRuehl"/>
          <w:b/>
          <w:bCs/>
          <w:sz w:val="28"/>
          <w:szCs w:val="28"/>
          <w:u w:val="single"/>
          <w:rtl/>
        </w:rPr>
        <w:t xml:space="preserve"> לקבלת מידע לפי חוק חופש המידע, התשנ"ח-1998</w:t>
      </w:r>
    </w:p>
    <w:p w:rsidR="000740CB" w:rsidRPr="00813003" w:rsidRDefault="000740CB" w:rsidP="000740CB">
      <w:pPr>
        <w:tabs>
          <w:tab w:val="center" w:pos="6321"/>
        </w:tabs>
        <w:spacing w:after="0" w:line="240" w:lineRule="auto"/>
        <w:ind w:firstLine="454"/>
        <w:jc w:val="center"/>
        <w:rPr>
          <w:rFonts w:cs="FrankRuehl"/>
          <w:rtl/>
        </w:rPr>
      </w:pPr>
      <w:r w:rsidRPr="00813003">
        <w:rPr>
          <w:rFonts w:cs="FrankRuehl"/>
          <w:rtl/>
        </w:rPr>
        <w:t xml:space="preserve">סימוכין: </w:t>
      </w:r>
      <w:r w:rsidRPr="00813003">
        <w:rPr>
          <w:rFonts w:cs="FrankRuehl" w:hint="cs"/>
          <w:rtl/>
        </w:rPr>
        <w:t xml:space="preserve">בקשה מיום </w:t>
      </w:r>
      <w:r>
        <w:rPr>
          <w:rFonts w:cs="FrankRuehl" w:hint="cs"/>
          <w:rtl/>
        </w:rPr>
        <w:t>24.6.21</w:t>
      </w:r>
    </w:p>
    <w:p w:rsidR="000740CB" w:rsidRPr="005875A9" w:rsidRDefault="000740CB" w:rsidP="000740CB">
      <w:pPr>
        <w:tabs>
          <w:tab w:val="center" w:pos="6321"/>
        </w:tabs>
        <w:spacing w:after="0" w:line="240" w:lineRule="auto"/>
        <w:ind w:firstLine="454"/>
        <w:jc w:val="center"/>
        <w:rPr>
          <w:rFonts w:cs="FrankRuehl"/>
          <w:sz w:val="24"/>
          <w:szCs w:val="24"/>
        </w:rPr>
      </w:pPr>
    </w:p>
    <w:p w:rsidR="000740CB" w:rsidRPr="005875A9" w:rsidRDefault="000740CB" w:rsidP="000740CB">
      <w:pPr>
        <w:tabs>
          <w:tab w:val="center" w:pos="6321"/>
        </w:tabs>
        <w:spacing w:after="0" w:line="240" w:lineRule="auto"/>
        <w:ind w:firstLine="454"/>
        <w:jc w:val="both"/>
        <w:rPr>
          <w:rFonts w:cs="FrankRuehl"/>
          <w:sz w:val="24"/>
          <w:szCs w:val="24"/>
        </w:rPr>
      </w:pPr>
    </w:p>
    <w:p w:rsidR="000740CB" w:rsidRDefault="000740CB" w:rsidP="000740CB">
      <w:pPr>
        <w:pStyle w:val="a3"/>
        <w:numPr>
          <w:ilvl w:val="0"/>
          <w:numId w:val="1"/>
        </w:numPr>
        <w:spacing w:line="360" w:lineRule="auto"/>
        <w:jc w:val="both"/>
        <w:rPr>
          <w:rFonts w:cs="FrankRuehl"/>
          <w:sz w:val="28"/>
          <w:szCs w:val="28"/>
        </w:rPr>
      </w:pPr>
      <w:r>
        <w:rPr>
          <w:rFonts w:cs="FrankRuehl" w:hint="cs"/>
          <w:sz w:val="28"/>
          <w:szCs w:val="28"/>
          <w:rtl/>
        </w:rPr>
        <w:t>הבקשה</w:t>
      </w:r>
      <w:r w:rsidRPr="009E0892">
        <w:rPr>
          <w:rFonts w:cs="FrankRuehl"/>
          <w:sz w:val="28"/>
          <w:szCs w:val="28"/>
          <w:rtl/>
        </w:rPr>
        <w:t xml:space="preserve"> שב</w:t>
      </w:r>
      <w:r w:rsidRPr="009E0892">
        <w:rPr>
          <w:rFonts w:cs="FrankRuehl" w:hint="cs"/>
          <w:sz w:val="28"/>
          <w:szCs w:val="28"/>
          <w:rtl/>
        </w:rPr>
        <w:t xml:space="preserve">סימוכין </w:t>
      </w:r>
      <w:r w:rsidRPr="009E0892">
        <w:rPr>
          <w:rFonts w:cs="FrankRuehl"/>
          <w:sz w:val="28"/>
          <w:szCs w:val="28"/>
          <w:rtl/>
        </w:rPr>
        <w:t>לקבלת מידע</w:t>
      </w:r>
      <w:r>
        <w:rPr>
          <w:rFonts w:cs="FrankRuehl" w:hint="cs"/>
          <w:sz w:val="28"/>
          <w:szCs w:val="28"/>
          <w:rtl/>
        </w:rPr>
        <w:t xml:space="preserve"> לפי חוק חופש המידע התשנ"ח-1998 (להלן: החוק),</w:t>
      </w:r>
      <w:r w:rsidRPr="009E0892">
        <w:rPr>
          <w:rFonts w:cs="FrankRuehl"/>
          <w:sz w:val="28"/>
          <w:szCs w:val="28"/>
          <w:rtl/>
        </w:rPr>
        <w:t xml:space="preserve"> </w:t>
      </w:r>
      <w:r>
        <w:rPr>
          <w:rFonts w:cs="FrankRuehl" w:hint="cs"/>
          <w:sz w:val="28"/>
          <w:szCs w:val="28"/>
          <w:rtl/>
        </w:rPr>
        <w:t xml:space="preserve">על אודות תיקי בתי משפט וחומרי חקירה, </w:t>
      </w:r>
      <w:r w:rsidRPr="009E0892">
        <w:rPr>
          <w:rFonts w:cs="FrankRuehl"/>
          <w:sz w:val="28"/>
          <w:szCs w:val="28"/>
          <w:rtl/>
        </w:rPr>
        <w:t>נבחנה והוחלט שלא נית</w:t>
      </w:r>
      <w:r>
        <w:rPr>
          <w:rFonts w:cs="FrankRuehl"/>
          <w:sz w:val="28"/>
          <w:szCs w:val="28"/>
          <w:rtl/>
        </w:rPr>
        <w:t xml:space="preserve">ן להיעתר לה. </w:t>
      </w:r>
    </w:p>
    <w:p w:rsidR="000740CB" w:rsidRPr="0040283C" w:rsidRDefault="000740CB" w:rsidP="000740CB">
      <w:pPr>
        <w:pStyle w:val="a3"/>
        <w:numPr>
          <w:ilvl w:val="0"/>
          <w:numId w:val="1"/>
        </w:numPr>
        <w:spacing w:line="360" w:lineRule="auto"/>
        <w:jc w:val="both"/>
        <w:rPr>
          <w:rFonts w:cs="FrankRuehl"/>
          <w:sz w:val="28"/>
          <w:szCs w:val="28"/>
          <w:rtl/>
        </w:rPr>
      </w:pPr>
      <w:r w:rsidRPr="0040283C">
        <w:rPr>
          <w:rFonts w:cs="FrankRuehl" w:hint="cs"/>
          <w:sz w:val="28"/>
          <w:szCs w:val="28"/>
          <w:rtl/>
        </w:rPr>
        <w:t>לעניין סעיפים,1, 3א-ג, 5-4, 7 (סעיפים 5,1) לבקשתך לקבלת נתונים על אודות כתבי אישום וחומרי חקירה, אשיב כי ככל שאכן קיים מידע כמבוקש על ידיך הרי שמדובר</w:t>
      </w:r>
      <w:r w:rsidRPr="0040283C">
        <w:rPr>
          <w:rFonts w:cs="FrankRuehl"/>
          <w:sz w:val="28"/>
          <w:szCs w:val="28"/>
          <w:rtl/>
        </w:rPr>
        <w:t xml:space="preserve"> </w:t>
      </w:r>
      <w:r w:rsidRPr="0040283C">
        <w:rPr>
          <w:rFonts w:cs="FrankRuehl" w:hint="cs"/>
          <w:sz w:val="28"/>
          <w:szCs w:val="28"/>
          <w:rtl/>
        </w:rPr>
        <w:t>ב</w:t>
      </w:r>
      <w:r w:rsidRPr="0040283C">
        <w:rPr>
          <w:rFonts w:cs="FrankRuehl"/>
          <w:sz w:val="28"/>
          <w:szCs w:val="28"/>
          <w:rtl/>
        </w:rPr>
        <w:t xml:space="preserve">מידע </w:t>
      </w:r>
      <w:r w:rsidRPr="0040283C">
        <w:rPr>
          <w:rFonts w:cs="FrankRuehl" w:hint="cs"/>
          <w:sz w:val="28"/>
          <w:szCs w:val="28"/>
          <w:rtl/>
        </w:rPr>
        <w:t>שנוצר</w:t>
      </w:r>
      <w:r w:rsidRPr="0040283C">
        <w:rPr>
          <w:rFonts w:cs="FrankRuehl"/>
          <w:sz w:val="28"/>
          <w:szCs w:val="28"/>
          <w:rtl/>
        </w:rPr>
        <w:t xml:space="preserve"> ביד</w:t>
      </w:r>
      <w:r w:rsidRPr="0040283C">
        <w:rPr>
          <w:rFonts w:cs="FrankRuehl" w:hint="cs"/>
          <w:sz w:val="28"/>
          <w:szCs w:val="28"/>
          <w:rtl/>
        </w:rPr>
        <w:t>י גורמי התביעה, משטרת ישראל והפרקליטות</w:t>
      </w:r>
      <w:r w:rsidRPr="0040283C">
        <w:rPr>
          <w:rFonts w:cs="FrankRuehl"/>
          <w:sz w:val="28"/>
          <w:szCs w:val="28"/>
          <w:rtl/>
        </w:rPr>
        <w:t xml:space="preserve">. זאת, בהסתמך על </w:t>
      </w:r>
      <w:r w:rsidRPr="0040283C">
        <w:rPr>
          <w:rFonts w:cs="FrankRuehl" w:hint="cs"/>
          <w:sz w:val="28"/>
          <w:szCs w:val="28"/>
          <w:rtl/>
        </w:rPr>
        <w:t>סעיף</w:t>
      </w:r>
      <w:r w:rsidRPr="0040283C">
        <w:rPr>
          <w:rFonts w:cs="FrankRuehl"/>
          <w:sz w:val="28"/>
          <w:szCs w:val="28"/>
          <w:rtl/>
        </w:rPr>
        <w:t xml:space="preserve"> 8(5) לחוק.</w:t>
      </w:r>
      <w:r w:rsidRPr="0040283C">
        <w:rPr>
          <w:rFonts w:cs="FrankRuehl" w:hint="cs"/>
          <w:sz w:val="28"/>
          <w:szCs w:val="28"/>
          <w:rtl/>
        </w:rPr>
        <w:t xml:space="preserve"> </w:t>
      </w:r>
    </w:p>
    <w:p w:rsidR="000740CB" w:rsidRDefault="000740CB" w:rsidP="000740CB">
      <w:pPr>
        <w:pStyle w:val="a3"/>
        <w:numPr>
          <w:ilvl w:val="0"/>
          <w:numId w:val="2"/>
        </w:numPr>
        <w:spacing w:line="360" w:lineRule="auto"/>
        <w:jc w:val="both"/>
        <w:rPr>
          <w:rFonts w:cs="FrankRuehl"/>
          <w:sz w:val="28"/>
          <w:szCs w:val="28"/>
          <w:rtl/>
        </w:rPr>
      </w:pPr>
      <w:r>
        <w:rPr>
          <w:rFonts w:cs="FrankRuehl" w:hint="cs"/>
          <w:sz w:val="28"/>
          <w:szCs w:val="28"/>
          <w:rtl/>
        </w:rPr>
        <w:t>עוד אציין כי אין באפשרותנו להפיק את המידע המבוקש ש</w:t>
      </w:r>
      <w:r w:rsidRPr="00CC46F3">
        <w:rPr>
          <w:rFonts w:cs="FrankRuehl"/>
          <w:sz w:val="28"/>
          <w:szCs w:val="28"/>
          <w:rtl/>
        </w:rPr>
        <w:t xml:space="preserve">כן אין ברשותנו ריכוז של נתונים אלה. </w:t>
      </w:r>
    </w:p>
    <w:p w:rsidR="000740CB" w:rsidRPr="00CC46F3" w:rsidRDefault="000740CB" w:rsidP="000740CB">
      <w:pPr>
        <w:pStyle w:val="a3"/>
        <w:numPr>
          <w:ilvl w:val="0"/>
          <w:numId w:val="2"/>
        </w:numPr>
        <w:spacing w:line="360" w:lineRule="auto"/>
        <w:jc w:val="both"/>
        <w:rPr>
          <w:rFonts w:cs="FrankRuehl"/>
          <w:sz w:val="28"/>
          <w:szCs w:val="28"/>
          <w:rtl/>
        </w:rPr>
      </w:pPr>
      <w:r w:rsidRPr="00CC46F3">
        <w:rPr>
          <w:rFonts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0740CB" w:rsidRDefault="000740CB" w:rsidP="000740CB">
      <w:pPr>
        <w:pStyle w:val="a3"/>
        <w:spacing w:line="360" w:lineRule="auto"/>
        <w:jc w:val="both"/>
        <w:rPr>
          <w:rFonts w:cs="FrankRuehl"/>
          <w:sz w:val="28"/>
          <w:szCs w:val="28"/>
          <w:rtl/>
        </w:rPr>
      </w:pPr>
      <w:r w:rsidRPr="00CC46F3">
        <w:rPr>
          <w:rFonts w:cs="FrankRuehl"/>
          <w:sz w:val="28"/>
          <w:szCs w:val="28"/>
          <w:rtl/>
        </w:rPr>
        <w:t>למעלה מן הצורך, ובלי להידרש לקיומם של סייגים אחרים שבחוק הואיל והמידע המבוקש אינו ברשותנו, כאמור,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w:t>
      </w:r>
    </w:p>
    <w:p w:rsidR="000740CB" w:rsidRDefault="000740CB" w:rsidP="000740CB">
      <w:pPr>
        <w:pStyle w:val="a3"/>
        <w:numPr>
          <w:ilvl w:val="0"/>
          <w:numId w:val="1"/>
        </w:numPr>
        <w:spacing w:line="360" w:lineRule="auto"/>
        <w:jc w:val="both"/>
        <w:rPr>
          <w:rFonts w:cs="FrankRuehl"/>
          <w:sz w:val="28"/>
          <w:szCs w:val="28"/>
        </w:rPr>
      </w:pPr>
      <w:r w:rsidRPr="00D86CA0">
        <w:rPr>
          <w:rFonts w:cs="FrankRuehl" w:hint="cs"/>
          <w:sz w:val="28"/>
          <w:szCs w:val="28"/>
          <w:rtl/>
        </w:rPr>
        <w:t xml:space="preserve">לעניין </w:t>
      </w:r>
      <w:r>
        <w:rPr>
          <w:rFonts w:cs="FrankRuehl" w:hint="cs"/>
          <w:sz w:val="28"/>
          <w:szCs w:val="28"/>
          <w:rtl/>
        </w:rPr>
        <w:t>סעיפים 2, 3 (ד-ז, ט), 7(3) ל</w:t>
      </w:r>
      <w:r w:rsidRPr="00D86CA0">
        <w:rPr>
          <w:rFonts w:cs="FrankRuehl" w:hint="cs"/>
          <w:sz w:val="28"/>
          <w:szCs w:val="28"/>
          <w:rtl/>
        </w:rPr>
        <w:t>בקשתך</w:t>
      </w:r>
      <w:r>
        <w:rPr>
          <w:rFonts w:cs="FrankRuehl" w:hint="cs"/>
          <w:sz w:val="28"/>
          <w:szCs w:val="28"/>
          <w:rtl/>
        </w:rPr>
        <w:t xml:space="preserve"> ל</w:t>
      </w:r>
      <w:r w:rsidRPr="00D86CA0">
        <w:rPr>
          <w:rFonts w:cs="FrankRuehl" w:hint="cs"/>
          <w:sz w:val="28"/>
          <w:szCs w:val="28"/>
          <w:rtl/>
        </w:rPr>
        <w:t xml:space="preserve">קבלת נתונים </w:t>
      </w:r>
      <w:r>
        <w:rPr>
          <w:rFonts w:cs="FrankRuehl" w:hint="cs"/>
          <w:sz w:val="28"/>
          <w:szCs w:val="28"/>
          <w:rtl/>
        </w:rPr>
        <w:t xml:space="preserve">על </w:t>
      </w:r>
      <w:r w:rsidRPr="00D86CA0">
        <w:rPr>
          <w:rFonts w:cs="FrankRuehl" w:hint="cs"/>
          <w:sz w:val="28"/>
          <w:szCs w:val="28"/>
          <w:rtl/>
        </w:rPr>
        <w:t xml:space="preserve">אודות </w:t>
      </w:r>
      <w:r>
        <w:rPr>
          <w:rFonts w:cs="FrankRuehl" w:hint="cs"/>
          <w:sz w:val="28"/>
          <w:szCs w:val="28"/>
          <w:rtl/>
        </w:rPr>
        <w:t xml:space="preserve">כתבי אישום, מספרי הליכים, </w:t>
      </w:r>
      <w:r w:rsidRPr="00D86CA0">
        <w:rPr>
          <w:rFonts w:cs="FrankRuehl" w:hint="cs"/>
          <w:sz w:val="28"/>
          <w:szCs w:val="28"/>
          <w:rtl/>
        </w:rPr>
        <w:t>הכרעות דין</w:t>
      </w:r>
      <w:r>
        <w:rPr>
          <w:rFonts w:cs="FrankRuehl" w:hint="cs"/>
          <w:sz w:val="28"/>
          <w:szCs w:val="28"/>
          <w:rtl/>
        </w:rPr>
        <w:t xml:space="preserve"> וערעורים </w:t>
      </w:r>
      <w:r w:rsidRPr="00D86CA0">
        <w:rPr>
          <w:rFonts w:cs="FrankRuehl"/>
          <w:sz w:val="28"/>
          <w:szCs w:val="28"/>
          <w:rtl/>
        </w:rPr>
        <w:t>הריני משיבה לך כי בקשתך נבחנה והוחלט שלא ניתן להיעתר לה שכן א</w:t>
      </w:r>
      <w:r>
        <w:rPr>
          <w:rFonts w:cs="FrankRuehl"/>
          <w:sz w:val="28"/>
          <w:szCs w:val="28"/>
          <w:rtl/>
        </w:rPr>
        <w:t>ין ברשותנו ריכוז של נתונים אלה</w:t>
      </w:r>
      <w:r>
        <w:rPr>
          <w:rFonts w:cs="FrankRuehl" w:hint="cs"/>
          <w:sz w:val="28"/>
          <w:szCs w:val="28"/>
          <w:rtl/>
        </w:rPr>
        <w:t xml:space="preserve">, כמפורט לעיל בסעיף 2(א-ב). </w:t>
      </w:r>
    </w:p>
    <w:p w:rsidR="000740CB" w:rsidRPr="00DE5222" w:rsidRDefault="000740CB" w:rsidP="000740CB">
      <w:pPr>
        <w:pStyle w:val="a3"/>
        <w:numPr>
          <w:ilvl w:val="0"/>
          <w:numId w:val="1"/>
        </w:numPr>
        <w:overflowPunct w:val="0"/>
        <w:autoSpaceDE w:val="0"/>
        <w:autoSpaceDN w:val="0"/>
        <w:adjustRightInd w:val="0"/>
        <w:spacing w:after="0" w:line="360" w:lineRule="auto"/>
        <w:ind w:left="509"/>
        <w:jc w:val="both"/>
        <w:textAlignment w:val="baseline"/>
        <w:rPr>
          <w:rFonts w:cs="FrankRuehl"/>
          <w:color w:val="000000"/>
          <w:sz w:val="28"/>
          <w:szCs w:val="28"/>
        </w:rPr>
      </w:pPr>
      <w:r w:rsidRPr="00DE5222">
        <w:rPr>
          <w:rFonts w:cs="FrankRuehl" w:hint="cs"/>
          <w:sz w:val="28"/>
          <w:szCs w:val="28"/>
          <w:rtl/>
        </w:rPr>
        <w:t xml:space="preserve">לעניין סעיף 3(ח) לבקשתך לקבלת פרוטוקולים ופסק הדין </w:t>
      </w:r>
      <w:r w:rsidRPr="00DE5222">
        <w:rPr>
          <w:rFonts w:cs="FrankRuehl" w:hint="cs"/>
          <w:color w:val="000000"/>
          <w:sz w:val="28"/>
          <w:szCs w:val="28"/>
          <w:rtl/>
        </w:rPr>
        <w:t>מתוך תיק בית משפט הריני משיבה לך כי בקשתך נבחנה והוחלט שלא ניתן להיעתר לה. זאת, בהסתמך על סעיף 2(5) לחוק שכן המידע המבוקש</w:t>
      </w:r>
      <w:r>
        <w:rPr>
          <w:rFonts w:cs="FrankRuehl" w:hint="cs"/>
          <w:color w:val="000000"/>
          <w:sz w:val="28"/>
          <w:szCs w:val="28"/>
          <w:rtl/>
        </w:rPr>
        <w:t>, ככל שהוא קיים,</w:t>
      </w:r>
      <w:r w:rsidRPr="00DE5222">
        <w:rPr>
          <w:rFonts w:cs="FrankRuehl" w:hint="cs"/>
          <w:color w:val="000000"/>
          <w:sz w:val="28"/>
          <w:szCs w:val="28"/>
          <w:rtl/>
        </w:rPr>
        <w:t xml:space="preserve"> מהווה את תוכן ההליך המשפטי. </w:t>
      </w:r>
      <w:r w:rsidRPr="00DE5222">
        <w:rPr>
          <w:rFonts w:cs="FrankRuehl" w:hint="cs"/>
          <w:sz w:val="28"/>
          <w:szCs w:val="28"/>
          <w:rtl/>
        </w:rPr>
        <w:t>יצוין, כי בתקנות בתי המשפט ובתי הדין לעבודה (עיון בתיקים), התשס"ג-2003, נקבעו דרכי העיון של מי שהוא בעל דין בתיק ושל מי שאינו בעל דין בתיק לצורך עיון בו.</w:t>
      </w:r>
      <w:r w:rsidRPr="00DE5222">
        <w:rPr>
          <w:rFonts w:cs="FrankRuehl" w:hint="cs"/>
          <w:color w:val="000000"/>
          <w:sz w:val="28"/>
          <w:szCs w:val="28"/>
          <w:rtl/>
        </w:rPr>
        <w:t xml:space="preserve"> </w:t>
      </w:r>
    </w:p>
    <w:p w:rsidR="000740CB" w:rsidRDefault="000740CB" w:rsidP="000740CB">
      <w:pPr>
        <w:pStyle w:val="a3"/>
        <w:numPr>
          <w:ilvl w:val="0"/>
          <w:numId w:val="1"/>
        </w:numPr>
        <w:spacing w:line="360" w:lineRule="auto"/>
        <w:jc w:val="both"/>
        <w:rPr>
          <w:rFonts w:cs="FrankRuehl"/>
          <w:sz w:val="28"/>
          <w:szCs w:val="28"/>
        </w:rPr>
      </w:pPr>
      <w:r w:rsidRPr="00D86CA0">
        <w:rPr>
          <w:rFonts w:cs="FrankRuehl"/>
          <w:sz w:val="28"/>
          <w:szCs w:val="28"/>
          <w:rtl/>
        </w:rPr>
        <w:t xml:space="preserve">כנגד החלטה זו </w:t>
      </w:r>
      <w:r w:rsidRPr="00D86CA0">
        <w:rPr>
          <w:rFonts w:cs="FrankRuehl" w:hint="cs"/>
          <w:sz w:val="28"/>
          <w:szCs w:val="28"/>
          <w:rtl/>
        </w:rPr>
        <w:t>את</w:t>
      </w:r>
      <w:r>
        <w:rPr>
          <w:rFonts w:cs="FrankRuehl" w:hint="cs"/>
          <w:sz w:val="28"/>
          <w:szCs w:val="28"/>
          <w:rtl/>
        </w:rPr>
        <w:t>ה</w:t>
      </w:r>
      <w:r w:rsidRPr="00D86CA0">
        <w:rPr>
          <w:rFonts w:cs="FrankRuehl" w:hint="cs"/>
          <w:sz w:val="28"/>
          <w:szCs w:val="28"/>
          <w:rtl/>
        </w:rPr>
        <w:t xml:space="preserve"> רשאי</w:t>
      </w:r>
      <w:r w:rsidRPr="00D86CA0">
        <w:rPr>
          <w:rFonts w:cs="FrankRuehl"/>
          <w:sz w:val="28"/>
          <w:szCs w:val="28"/>
          <w:rtl/>
        </w:rPr>
        <w:t xml:space="preserve"> להגיש עתירה מנהלית בתוך 45 יום לבית המשפט לעניינים מנהליים</w:t>
      </w:r>
      <w:r w:rsidRPr="00D86CA0">
        <w:rPr>
          <w:rFonts w:cs="FrankRuehl" w:hint="cs"/>
          <w:sz w:val="28"/>
          <w:szCs w:val="28"/>
          <w:rtl/>
        </w:rPr>
        <w:t xml:space="preserve"> בירושלים</w:t>
      </w:r>
      <w:r w:rsidRPr="00D86CA0">
        <w:rPr>
          <w:rFonts w:cs="FrankRuehl"/>
          <w:sz w:val="28"/>
          <w:szCs w:val="28"/>
          <w:rtl/>
        </w:rPr>
        <w:t xml:space="preserve">. </w:t>
      </w:r>
    </w:p>
    <w:p w:rsidR="000740CB" w:rsidRPr="00D86CA0" w:rsidRDefault="000740CB" w:rsidP="000740CB">
      <w:pPr>
        <w:pStyle w:val="a3"/>
        <w:numPr>
          <w:ilvl w:val="0"/>
          <w:numId w:val="1"/>
        </w:numPr>
        <w:spacing w:line="360" w:lineRule="auto"/>
        <w:jc w:val="both"/>
        <w:rPr>
          <w:rFonts w:cs="FrankRuehl"/>
          <w:sz w:val="28"/>
          <w:szCs w:val="28"/>
        </w:rPr>
      </w:pPr>
      <w:r w:rsidRPr="00D86CA0">
        <w:rPr>
          <w:rFonts w:cs="FrankRuehl" w:hint="cs"/>
          <w:sz w:val="28"/>
          <w:szCs w:val="28"/>
          <w:rtl/>
        </w:rPr>
        <w:t>א</w:t>
      </w:r>
      <w:r w:rsidRPr="00D86CA0">
        <w:rPr>
          <w:rFonts w:cs="FrankRuehl"/>
          <w:sz w:val="28"/>
          <w:szCs w:val="28"/>
          <w:rtl/>
        </w:rPr>
        <w:t>נו לרשו</w:t>
      </w:r>
      <w:r>
        <w:rPr>
          <w:rFonts w:cs="FrankRuehl" w:hint="cs"/>
          <w:sz w:val="28"/>
          <w:szCs w:val="28"/>
          <w:rtl/>
        </w:rPr>
        <w:t>תך</w:t>
      </w:r>
      <w:r w:rsidRPr="00D86CA0">
        <w:rPr>
          <w:rFonts w:cs="FrankRuehl" w:hint="cs"/>
          <w:sz w:val="28"/>
          <w:szCs w:val="28"/>
          <w:rtl/>
        </w:rPr>
        <w:t xml:space="preserve"> </w:t>
      </w:r>
      <w:r w:rsidRPr="00D86CA0">
        <w:rPr>
          <w:rFonts w:cs="FrankRuehl"/>
          <w:sz w:val="28"/>
          <w:szCs w:val="28"/>
          <w:rtl/>
        </w:rPr>
        <w:t>ככל שיידרש.</w:t>
      </w:r>
    </w:p>
    <w:p w:rsidR="005254F9" w:rsidRDefault="005254F9">
      <w:bookmarkStart w:id="0" w:name="_GoBack"/>
      <w:bookmarkEnd w:id="0"/>
    </w:p>
    <w:sectPr w:rsidR="005254F9" w:rsidSect="00F55C2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1426E"/>
    <w:multiLevelType w:val="hybridMultilevel"/>
    <w:tmpl w:val="BF801AE2"/>
    <w:lvl w:ilvl="0" w:tplc="12EA1576">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 w15:restartNumberingAfterBreak="0">
    <w:nsid w:val="1DBA114A"/>
    <w:multiLevelType w:val="hybridMultilevel"/>
    <w:tmpl w:val="821264FA"/>
    <w:lvl w:ilvl="0" w:tplc="7530311C">
      <w:start w:val="1"/>
      <w:numFmt w:val="hebrew1"/>
      <w:lvlText w:val="%1."/>
      <w:lvlJc w:val="left"/>
      <w:pPr>
        <w:ind w:left="804" w:hanging="360"/>
      </w:pPr>
      <w:rPr>
        <w:rFonts w:hint="default"/>
      </w:r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0CB"/>
    <w:rsid w:val="000740CB"/>
    <w:rsid w:val="005254F9"/>
    <w:rsid w:val="00F55C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FB3A9F-2341-47FE-82B2-5B0CD8F56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40CB"/>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40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315</Words>
  <Characters>1576</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2021-08-15T09:44:00Z</dcterms:created>
  <dcterms:modified xsi:type="dcterms:W3CDTF">2021-08-15T09:46:00Z</dcterms:modified>
</cp:coreProperties>
</file>