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5C8" w:rsidRPr="005875A9" w:rsidRDefault="007B75C8" w:rsidP="007B75C8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7B75C8" w:rsidRPr="005875A9" w:rsidRDefault="007B75C8" w:rsidP="007B75C8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23.6.21</w:t>
      </w:r>
    </w:p>
    <w:p w:rsidR="007B75C8" w:rsidRPr="005E0607" w:rsidRDefault="007B75C8" w:rsidP="007B75C8">
      <w:pPr>
        <w:spacing w:after="0"/>
        <w:jc w:val="both"/>
        <w:rPr>
          <w:rFonts w:cs="FrankRuehl"/>
          <w:sz w:val="28"/>
          <w:szCs w:val="28"/>
          <w:rtl/>
        </w:rPr>
      </w:pPr>
    </w:p>
    <w:p w:rsidR="007B75C8" w:rsidRPr="005E0607" w:rsidRDefault="007B75C8" w:rsidP="007B75C8">
      <w:pPr>
        <w:spacing w:after="0"/>
        <w:jc w:val="both"/>
        <w:rPr>
          <w:rFonts w:cs="FrankRuehl"/>
          <w:sz w:val="28"/>
          <w:szCs w:val="28"/>
          <w:rtl/>
        </w:rPr>
      </w:pPr>
    </w:p>
    <w:p w:rsidR="007B75C8" w:rsidRPr="00081455" w:rsidRDefault="007B75C8" w:rsidP="007B75C8">
      <w:pPr>
        <w:pStyle w:val="a3"/>
        <w:numPr>
          <w:ilvl w:val="0"/>
          <w:numId w:val="1"/>
        </w:numPr>
        <w:autoSpaceDN w:val="0"/>
        <w:spacing w:after="200" w:line="360" w:lineRule="auto"/>
        <w:jc w:val="both"/>
        <w:rPr>
          <w:rFonts w:ascii="FrankRuehl" w:hAnsi="FrankRuehl" w:cs="FrankRuehl"/>
          <w:sz w:val="28"/>
          <w:szCs w:val="28"/>
        </w:rPr>
      </w:pPr>
      <w:r w:rsidRPr="006079EE">
        <w:rPr>
          <w:rFonts w:cs="FrankRuehl"/>
          <w:sz w:val="28"/>
          <w:szCs w:val="28"/>
          <w:rtl/>
        </w:rPr>
        <w:t xml:space="preserve">הבקשה שבסימוכין </w:t>
      </w:r>
      <w:r w:rsidRPr="006079EE">
        <w:rPr>
          <w:rFonts w:cs="FrankRuehl" w:hint="cs"/>
          <w:color w:val="000000"/>
          <w:sz w:val="28"/>
          <w:szCs w:val="28"/>
          <w:rtl/>
        </w:rPr>
        <w:t xml:space="preserve">לקבלת רשימת תיקי בתי משפט שבהם הסדרי גישור קיבלו תוקף של פסק דין, </w:t>
      </w:r>
      <w:r w:rsidRPr="006079EE">
        <w:rPr>
          <w:rFonts w:ascii="FrankRuehl" w:hAnsi="FrankRuehl" w:cs="FrankRuehl"/>
          <w:sz w:val="28"/>
          <w:szCs w:val="28"/>
          <w:rtl/>
        </w:rPr>
        <w:t>לפי חוק חופש המידע התשנ"ח-1998 (להלן</w:t>
      </w:r>
      <w:r w:rsidRPr="006079EE">
        <w:rPr>
          <w:rFonts w:ascii="FrankRuehl" w:hAnsi="FrankRuehl" w:cs="FrankRuehl" w:hint="cs"/>
          <w:sz w:val="28"/>
          <w:szCs w:val="28"/>
          <w:rtl/>
        </w:rPr>
        <w:t>:</w:t>
      </w:r>
      <w:r w:rsidRPr="006079EE">
        <w:rPr>
          <w:rFonts w:ascii="FrankRuehl" w:hAnsi="FrankRuehl" w:cs="FrankRuehl"/>
          <w:sz w:val="28"/>
          <w:szCs w:val="28"/>
          <w:rtl/>
        </w:rPr>
        <w:t xml:space="preserve"> החוק)</w:t>
      </w:r>
      <w:r w:rsidRPr="006079EE">
        <w:rPr>
          <w:rFonts w:ascii="FrankRuehl" w:hAnsi="FrankRuehl" w:cs="FrankRuehl" w:hint="cs"/>
          <w:sz w:val="28"/>
          <w:szCs w:val="28"/>
          <w:rtl/>
        </w:rPr>
        <w:t xml:space="preserve">, </w:t>
      </w:r>
      <w:r w:rsidRPr="006079EE">
        <w:rPr>
          <w:rFonts w:cs="FrankRuehl"/>
          <w:sz w:val="28"/>
          <w:szCs w:val="28"/>
          <w:rtl/>
        </w:rPr>
        <w:t xml:space="preserve"> </w:t>
      </w:r>
      <w:r w:rsidRPr="006079EE">
        <w:rPr>
          <w:rFonts w:cs="FrankRuehl" w:hint="cs"/>
          <w:color w:val="000000"/>
          <w:sz w:val="28"/>
          <w:szCs w:val="28"/>
          <w:rtl/>
        </w:rPr>
        <w:t>נבחנה והוחלט שלא ניתן להיעתר לה</w:t>
      </w:r>
      <w:r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081455">
        <w:rPr>
          <w:rFonts w:ascii="FrankRuehl" w:hAnsi="FrankRuehl" w:cs="FrankRuehl"/>
          <w:sz w:val="28"/>
          <w:szCs w:val="28"/>
          <w:rtl/>
        </w:rPr>
        <w:t xml:space="preserve"> שכן</w:t>
      </w:r>
      <w:r>
        <w:rPr>
          <w:rFonts w:ascii="FrankRuehl" w:hAnsi="FrankRuehl" w:cs="FrankRuehl" w:hint="cs"/>
          <w:sz w:val="28"/>
          <w:szCs w:val="28"/>
          <w:rtl/>
        </w:rPr>
        <w:t>,</w:t>
      </w:r>
      <w:r w:rsidRPr="00081455">
        <w:rPr>
          <w:rFonts w:ascii="FrankRuehl" w:hAnsi="FrankRuehl" w:cs="FrankRuehl"/>
          <w:sz w:val="28"/>
          <w:szCs w:val="28"/>
          <w:rtl/>
        </w:rPr>
        <w:t xml:space="preserve"> אין ב</w:t>
      </w:r>
      <w:r>
        <w:rPr>
          <w:rFonts w:ascii="FrankRuehl" w:hAnsi="FrankRuehl" w:cs="FrankRuehl" w:hint="cs"/>
          <w:sz w:val="28"/>
          <w:szCs w:val="28"/>
          <w:rtl/>
        </w:rPr>
        <w:t>רשותנו</w:t>
      </w:r>
      <w:r w:rsidRPr="00081455">
        <w:rPr>
          <w:rFonts w:ascii="FrankRuehl" w:hAnsi="FrankRuehl" w:cs="FrankRuehl"/>
          <w:sz w:val="28"/>
          <w:szCs w:val="28"/>
          <w:rtl/>
        </w:rPr>
        <w:t xml:space="preserve"> ריכוז של נתונים אלה. </w:t>
      </w:r>
    </w:p>
    <w:p w:rsidR="007B75C8" w:rsidRPr="003041B4" w:rsidRDefault="007B75C8" w:rsidP="007B75C8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FrankRuehl"/>
          <w:color w:val="000000"/>
          <w:sz w:val="28"/>
          <w:szCs w:val="28"/>
          <w:rtl/>
        </w:rPr>
      </w:pPr>
      <w:r w:rsidRPr="003041B4">
        <w:rPr>
          <w:rFonts w:cs="FrankRuehl" w:hint="cs"/>
          <w:sz w:val="28"/>
          <w:szCs w:val="28"/>
          <w:rtl/>
        </w:rPr>
        <w:t>יובהר כי הואיל והמידע המבוקש לא מצוי ברשותנו, כאמור, לא נבחנו סייגים אחרים שבחוק שבשלם לא יימסר המידע.</w:t>
      </w:r>
      <w:r w:rsidRPr="003041B4" w:rsidDel="002D2D1D">
        <w:rPr>
          <w:rFonts w:cs="FrankRuehl"/>
          <w:sz w:val="28"/>
          <w:szCs w:val="28"/>
          <w:rtl/>
        </w:rPr>
        <w:t xml:space="preserve"> </w:t>
      </w:r>
      <w:r w:rsidRPr="003041B4"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 w:rsidRPr="003041B4"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</w:t>
      </w:r>
      <w:r w:rsidRPr="003041B4">
        <w:rPr>
          <w:rFonts w:cs="FrankRuehl"/>
          <w:sz w:val="28"/>
          <w:szCs w:val="28"/>
          <w:rtl/>
        </w:rPr>
        <w:t xml:space="preserve">   </w:t>
      </w:r>
    </w:p>
    <w:p w:rsidR="007B75C8" w:rsidRDefault="007B75C8" w:rsidP="007B75C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/>
          <w:color w:val="000000"/>
          <w:sz w:val="28"/>
          <w:szCs w:val="28"/>
          <w:rtl/>
        </w:rPr>
        <w:t xml:space="preserve">אנו לרשותך ככל שיידרש. </w:t>
      </w:r>
    </w:p>
    <w:p w:rsidR="007B75C8" w:rsidRPr="002B2702" w:rsidRDefault="007B75C8" w:rsidP="007B75C8">
      <w:pPr>
        <w:pStyle w:val="a4"/>
        <w:rPr>
          <w:rFonts w:cs="FrankRuehl"/>
          <w:color w:val="000000"/>
          <w:sz w:val="28"/>
          <w:szCs w:val="28"/>
        </w:rPr>
      </w:pPr>
      <w:r w:rsidRPr="002B2702">
        <w:rPr>
          <w:rFonts w:cs="FrankRuehl" w:hint="cs"/>
          <w:sz w:val="28"/>
          <w:szCs w:val="28"/>
          <w:rtl/>
        </w:rPr>
        <w:t xml:space="preserve"> 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5C8"/>
    <w:rsid w:val="006C5EE7"/>
    <w:rsid w:val="007B75C8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B3B5F3-5F2D-4288-8AFC-D49CC8104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5C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75C8"/>
    <w:pPr>
      <w:ind w:left="720"/>
      <w:contextualSpacing/>
    </w:pPr>
  </w:style>
  <w:style w:type="paragraph" w:styleId="a4">
    <w:name w:val="annotation text"/>
    <w:basedOn w:val="a"/>
    <w:link w:val="a5"/>
    <w:uiPriority w:val="99"/>
    <w:unhideWhenUsed/>
    <w:rsid w:val="007B75C8"/>
    <w:pPr>
      <w:spacing w:line="240" w:lineRule="auto"/>
    </w:pPr>
    <w:rPr>
      <w:sz w:val="20"/>
      <w:szCs w:val="20"/>
    </w:rPr>
  </w:style>
  <w:style w:type="character" w:customStyle="1" w:styleId="a5">
    <w:name w:val="טקסט הערה תו"/>
    <w:basedOn w:val="a0"/>
    <w:link w:val="a4"/>
    <w:uiPriority w:val="99"/>
    <w:rsid w:val="007B75C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2021-08-10T12:40:00Z</dcterms:created>
  <dcterms:modified xsi:type="dcterms:W3CDTF">2021-08-10T12:41:00Z</dcterms:modified>
</cp:coreProperties>
</file>