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6FF8" w:rsidRPr="00377102" w:rsidRDefault="00916FF8">
      <w:pPr>
        <w:jc w:val="right"/>
        <w:rPr>
          <w:rFonts w:cs="Miriam"/>
          <w:b/>
          <w:bCs/>
          <w:sz w:val="16"/>
          <w:szCs w:val="16"/>
          <w:u w:val="single"/>
        </w:rPr>
      </w:pPr>
      <w:bookmarkStart w:id="0" w:name="_GoBack"/>
      <w:bookmarkEnd w:id="0"/>
    </w:p>
    <w:tbl>
      <w:tblPr>
        <w:bidiVisual/>
        <w:tblW w:w="8363" w:type="dxa"/>
        <w:tblInd w:w="9" w:type="dxa"/>
        <w:tblLook w:val="0000" w:firstRow="0" w:lastRow="0" w:firstColumn="0" w:lastColumn="0" w:noHBand="0" w:noVBand="0"/>
      </w:tblPr>
      <w:tblGrid>
        <w:gridCol w:w="8363"/>
      </w:tblGrid>
      <w:tr w:rsidR="00036227" w:rsidTr="0039709B">
        <w:tc>
          <w:tcPr>
            <w:tcW w:w="7848" w:type="dxa"/>
          </w:tcPr>
          <w:p w:rsidR="00916FF8" w:rsidRPr="00624A42" w:rsidRDefault="002661C8" w:rsidP="004C7868">
            <w:pPr>
              <w:pStyle w:val="FileNumber0"/>
              <w:rPr>
                <w:sz w:val="28"/>
                <w:u w:val="single"/>
                <w:rtl/>
              </w:rPr>
            </w:pPr>
            <w:r>
              <w:rPr>
                <w:u w:val="single"/>
                <w:rtl/>
              </w:rPr>
              <w:t>בבית המשפט העליון בשבתו כבית משפט לערעורים אזרחיים</w:t>
            </w:r>
          </w:p>
        </w:tc>
      </w:tr>
    </w:tbl>
    <w:p w:rsidR="00916FF8" w:rsidRDefault="00916FF8">
      <w:pPr>
        <w:jc w:val="right"/>
        <w:rPr>
          <w:rFonts w:cs="Miriam"/>
          <w:b/>
          <w:bCs/>
          <w:u w:val="single"/>
        </w:rPr>
      </w:pPr>
    </w:p>
    <w:tbl>
      <w:tblPr>
        <w:bidiVisual/>
        <w:tblW w:w="8363" w:type="dxa"/>
        <w:tblLook w:val="0000" w:firstRow="0" w:lastRow="0" w:firstColumn="0" w:lastColumn="0" w:noHBand="0" w:noVBand="0"/>
      </w:tblPr>
      <w:tblGrid>
        <w:gridCol w:w="8363"/>
      </w:tblGrid>
      <w:tr w:rsidR="00036227" w:rsidTr="0039709B">
        <w:trPr>
          <w:trHeight w:val="342"/>
        </w:trPr>
        <w:tc>
          <w:tcPr>
            <w:tcW w:w="9828" w:type="dxa"/>
          </w:tcPr>
          <w:p w:rsidR="00916FF8" w:rsidRPr="00810894" w:rsidRDefault="002661C8">
            <w:pPr>
              <w:pStyle w:val="FileNumber"/>
              <w:rPr>
                <w:sz w:val="28"/>
                <w:szCs w:val="28"/>
              </w:rPr>
            </w:pPr>
            <w:bookmarkStart w:id="1" w:name="casename_body"/>
            <w:r>
              <w:rPr>
                <w:sz w:val="28"/>
                <w:szCs w:val="28"/>
                <w:rtl/>
              </w:rPr>
              <w:t>ע"א  993/19</w:t>
            </w:r>
          </w:p>
        </w:tc>
      </w:tr>
      <w:bookmarkEnd w:id="1"/>
    </w:tbl>
    <w:p w:rsidR="00916FF8" w:rsidRDefault="00916FF8">
      <w:pPr>
        <w:jc w:val="right"/>
        <w:rPr>
          <w:rFonts w:cs="Miriam"/>
          <w:b/>
          <w:bCs/>
          <w:u w:val="single"/>
        </w:rPr>
      </w:pPr>
    </w:p>
    <w:tbl>
      <w:tblPr>
        <w:bidiVisual/>
        <w:tblW w:w="8364" w:type="dxa"/>
        <w:tblLayout w:type="fixed"/>
        <w:tblLook w:val="0000" w:firstRow="0" w:lastRow="0" w:firstColumn="0" w:lastColumn="0" w:noHBand="0" w:noVBand="0"/>
      </w:tblPr>
      <w:tblGrid>
        <w:gridCol w:w="3210"/>
        <w:gridCol w:w="5154"/>
      </w:tblGrid>
      <w:tr w:rsidR="00036227" w:rsidTr="00EC23AC">
        <w:trPr>
          <w:trHeight w:val="287"/>
        </w:trPr>
        <w:tc>
          <w:tcPr>
            <w:tcW w:w="3261" w:type="dxa"/>
          </w:tcPr>
          <w:p w:rsidR="00036227" w:rsidRDefault="00CB7600">
            <w:pPr>
              <w:pStyle w:val="BodyRuller"/>
              <w:rPr>
                <w:rFonts w:cs="Miriam"/>
                <w:b/>
                <w:bCs/>
                <w:u w:val="single"/>
              </w:rPr>
            </w:pPr>
            <w:r>
              <w:rPr>
                <w:rFonts w:hint="cs"/>
                <w:rtl/>
              </w:rPr>
              <w:t>ל</w:t>
            </w:r>
            <w:r w:rsidR="00036227">
              <w:rPr>
                <w:rtl/>
              </w:rPr>
              <w:t>פני:</w:t>
            </w:r>
            <w:r w:rsidR="00036227">
              <w:rPr>
                <w:rtl/>
              </w:rPr>
              <w:tab/>
            </w:r>
          </w:p>
        </w:tc>
        <w:tc>
          <w:tcPr>
            <w:tcW w:w="5239" w:type="dxa"/>
          </w:tcPr>
          <w:p w:rsidR="00036227" w:rsidRDefault="002661C8">
            <w:pPr>
              <w:pStyle w:val="BodyRuller"/>
            </w:pPr>
            <w:r>
              <w:rPr>
                <w:rtl/>
              </w:rPr>
              <w:t xml:space="preserve">כבוד המשנה לנשיאה </w:t>
            </w:r>
            <w:r w:rsidR="00AA5003">
              <w:rPr>
                <w:rFonts w:hint="cs"/>
                <w:rtl/>
              </w:rPr>
              <w:t xml:space="preserve"> (בדימוס) </w:t>
            </w:r>
            <w:r>
              <w:rPr>
                <w:rtl/>
              </w:rPr>
              <w:t>נ' הנדל</w:t>
            </w:r>
          </w:p>
        </w:tc>
      </w:tr>
      <w:tr w:rsidR="002661C8" w:rsidTr="00EC23AC">
        <w:trPr>
          <w:trHeight w:val="287"/>
        </w:trPr>
        <w:tc>
          <w:tcPr>
            <w:tcW w:w="3261" w:type="dxa"/>
          </w:tcPr>
          <w:p w:rsidR="002661C8" w:rsidRDefault="002661C8">
            <w:pPr>
              <w:pStyle w:val="BodyRuller"/>
              <w:rPr>
                <w:rtl/>
              </w:rPr>
            </w:pPr>
          </w:p>
        </w:tc>
        <w:tc>
          <w:tcPr>
            <w:tcW w:w="5239" w:type="dxa"/>
          </w:tcPr>
          <w:p w:rsidR="002661C8" w:rsidRDefault="002661C8">
            <w:pPr>
              <w:pStyle w:val="BodyRuller"/>
              <w:rPr>
                <w:rtl/>
              </w:rPr>
            </w:pPr>
            <w:r>
              <w:rPr>
                <w:rtl/>
              </w:rPr>
              <w:t>כבוד השופט נ' סולברג</w:t>
            </w:r>
          </w:p>
        </w:tc>
      </w:tr>
      <w:tr w:rsidR="002661C8" w:rsidTr="00EC23AC">
        <w:trPr>
          <w:trHeight w:val="287"/>
        </w:trPr>
        <w:tc>
          <w:tcPr>
            <w:tcW w:w="3261" w:type="dxa"/>
          </w:tcPr>
          <w:p w:rsidR="002661C8" w:rsidRDefault="002661C8">
            <w:pPr>
              <w:pStyle w:val="BodyRuller"/>
              <w:rPr>
                <w:rtl/>
              </w:rPr>
            </w:pPr>
          </w:p>
        </w:tc>
        <w:tc>
          <w:tcPr>
            <w:tcW w:w="5239" w:type="dxa"/>
          </w:tcPr>
          <w:p w:rsidR="002661C8" w:rsidRDefault="002661C8">
            <w:pPr>
              <w:pStyle w:val="BodyRuller"/>
              <w:rPr>
                <w:rtl/>
              </w:rPr>
            </w:pPr>
            <w:r>
              <w:rPr>
                <w:rtl/>
              </w:rPr>
              <w:t>כבוד השופט ע' גרוסקופף</w:t>
            </w:r>
          </w:p>
        </w:tc>
      </w:tr>
    </w:tbl>
    <w:p w:rsidR="00916FF8" w:rsidRDefault="00916FF8">
      <w:pPr>
        <w:pStyle w:val="Ruller3"/>
        <w:rPr>
          <w:rFonts w:cs="Miriam"/>
          <w:b/>
          <w:bCs/>
          <w:u w:val="single"/>
          <w:rtl/>
        </w:rPr>
      </w:pPr>
    </w:p>
    <w:tbl>
      <w:tblPr>
        <w:bidiVisual/>
        <w:tblW w:w="8364" w:type="dxa"/>
        <w:tblLayout w:type="fixed"/>
        <w:tblLook w:val="0000" w:firstRow="0" w:lastRow="0" w:firstColumn="0" w:lastColumn="0" w:noHBand="0" w:noVBand="0"/>
      </w:tblPr>
      <w:tblGrid>
        <w:gridCol w:w="3210"/>
        <w:gridCol w:w="5154"/>
      </w:tblGrid>
      <w:tr w:rsidR="00523686" w:rsidTr="00580058">
        <w:trPr>
          <w:trHeight w:val="287"/>
        </w:trPr>
        <w:tc>
          <w:tcPr>
            <w:tcW w:w="3261" w:type="dxa"/>
          </w:tcPr>
          <w:p w:rsidR="00523686" w:rsidRPr="00523686" w:rsidRDefault="002661C8" w:rsidP="00580058">
            <w:pPr>
              <w:pStyle w:val="BodyRuller"/>
              <w:rPr>
                <w:rFonts w:ascii="David" w:hAnsi="David"/>
              </w:rPr>
            </w:pPr>
            <w:r>
              <w:rPr>
                <w:rFonts w:ascii="David" w:hAnsi="David"/>
                <w:rtl/>
              </w:rPr>
              <w:t>המערער:</w:t>
            </w:r>
          </w:p>
        </w:tc>
        <w:tc>
          <w:tcPr>
            <w:tcW w:w="5239" w:type="dxa"/>
          </w:tcPr>
          <w:p w:rsidR="00523686" w:rsidRDefault="002661C8" w:rsidP="00580058">
            <w:pPr>
              <w:pStyle w:val="BodyRuller"/>
            </w:pPr>
            <w:r>
              <w:rPr>
                <w:rtl/>
              </w:rPr>
              <w:t>פלוני</w:t>
            </w:r>
          </w:p>
        </w:tc>
      </w:tr>
    </w:tbl>
    <w:p w:rsidR="00916FF8" w:rsidRDefault="00916FF8">
      <w:pPr>
        <w:pStyle w:val="Ruller3"/>
      </w:pPr>
      <w:r>
        <w:tab/>
      </w:r>
    </w:p>
    <w:tbl>
      <w:tblPr>
        <w:bidiVisual/>
        <w:tblW w:w="8363" w:type="dxa"/>
        <w:tblLook w:val="0000" w:firstRow="0" w:lastRow="0" w:firstColumn="0" w:lastColumn="0" w:noHBand="0" w:noVBand="0"/>
      </w:tblPr>
      <w:tblGrid>
        <w:gridCol w:w="3222"/>
        <w:gridCol w:w="5141"/>
      </w:tblGrid>
      <w:tr w:rsidR="00036227" w:rsidTr="0039709B">
        <w:tc>
          <w:tcPr>
            <w:tcW w:w="3284" w:type="dxa"/>
          </w:tcPr>
          <w:p w:rsidR="00036227" w:rsidRDefault="00036227">
            <w:pPr>
              <w:pStyle w:val="BodyRuller"/>
            </w:pPr>
          </w:p>
        </w:tc>
        <w:tc>
          <w:tcPr>
            <w:tcW w:w="5238" w:type="dxa"/>
          </w:tcPr>
          <w:p w:rsidR="00036227" w:rsidRDefault="00036227">
            <w:pPr>
              <w:pStyle w:val="BodyRuller"/>
            </w:pPr>
            <w:r>
              <w:rPr>
                <w:rFonts w:hint="cs"/>
                <w:rtl/>
              </w:rPr>
              <w:t>נ</w:t>
            </w:r>
            <w:r>
              <w:t xml:space="preserve">  </w:t>
            </w:r>
            <w:r>
              <w:rPr>
                <w:rFonts w:hint="cs"/>
                <w:rtl/>
              </w:rPr>
              <w:t>ג</w:t>
            </w:r>
            <w:r>
              <w:t xml:space="preserve">  </w:t>
            </w:r>
            <w:r>
              <w:rPr>
                <w:rFonts w:hint="cs"/>
                <w:rtl/>
              </w:rPr>
              <w:t>ד</w:t>
            </w:r>
          </w:p>
        </w:tc>
      </w:tr>
    </w:tbl>
    <w:p w:rsidR="00916FF8" w:rsidRDefault="00916FF8">
      <w:pPr>
        <w:pStyle w:val="Ruller3"/>
        <w:rPr>
          <w:rtl/>
        </w:rPr>
      </w:pPr>
      <w:r>
        <w:tab/>
      </w:r>
      <w:r>
        <w:tab/>
      </w:r>
      <w:r>
        <w:tab/>
        <w:t xml:space="preserve">     </w:t>
      </w:r>
    </w:p>
    <w:tbl>
      <w:tblPr>
        <w:bidiVisual/>
        <w:tblW w:w="8364" w:type="dxa"/>
        <w:tblLayout w:type="fixed"/>
        <w:tblLook w:val="0000" w:firstRow="0" w:lastRow="0" w:firstColumn="0" w:lastColumn="0" w:noHBand="0" w:noVBand="0"/>
      </w:tblPr>
      <w:tblGrid>
        <w:gridCol w:w="3210"/>
        <w:gridCol w:w="5154"/>
      </w:tblGrid>
      <w:tr w:rsidR="00523686" w:rsidTr="00580058">
        <w:trPr>
          <w:trHeight w:val="287"/>
        </w:trPr>
        <w:tc>
          <w:tcPr>
            <w:tcW w:w="3261" w:type="dxa"/>
          </w:tcPr>
          <w:p w:rsidR="00523686" w:rsidRPr="00523686" w:rsidRDefault="002661C8" w:rsidP="00D512D4">
            <w:pPr>
              <w:pStyle w:val="BodyRuller"/>
              <w:rPr>
                <w:rFonts w:ascii="David" w:hAnsi="David"/>
              </w:rPr>
            </w:pPr>
            <w:r>
              <w:rPr>
                <w:rFonts w:ascii="David" w:hAnsi="David"/>
                <w:rtl/>
              </w:rPr>
              <w:t>המשיב</w:t>
            </w:r>
            <w:r w:rsidR="00D512D4">
              <w:rPr>
                <w:rFonts w:ascii="David" w:hAnsi="David" w:hint="cs"/>
                <w:rtl/>
              </w:rPr>
              <w:t>ות</w:t>
            </w:r>
            <w:r>
              <w:rPr>
                <w:rFonts w:ascii="David" w:hAnsi="David"/>
                <w:rtl/>
              </w:rPr>
              <w:t>:</w:t>
            </w:r>
          </w:p>
        </w:tc>
        <w:tc>
          <w:tcPr>
            <w:tcW w:w="5239" w:type="dxa"/>
          </w:tcPr>
          <w:p w:rsidR="00523686" w:rsidRDefault="002661C8" w:rsidP="00580058">
            <w:pPr>
              <w:pStyle w:val="BodyRuller"/>
            </w:pPr>
            <w:r>
              <w:rPr>
                <w:rtl/>
              </w:rPr>
              <w:t>1. מדינת ישראל - משרד הביטחון</w:t>
            </w:r>
          </w:p>
        </w:tc>
      </w:tr>
      <w:tr w:rsidR="002661C8" w:rsidTr="00580058">
        <w:trPr>
          <w:trHeight w:val="287"/>
        </w:trPr>
        <w:tc>
          <w:tcPr>
            <w:tcW w:w="3261" w:type="dxa"/>
          </w:tcPr>
          <w:p w:rsidR="002661C8" w:rsidRDefault="002661C8" w:rsidP="00580058">
            <w:pPr>
              <w:pStyle w:val="BodyRuller"/>
              <w:rPr>
                <w:rFonts w:ascii="David" w:hAnsi="David"/>
                <w:rtl/>
              </w:rPr>
            </w:pPr>
          </w:p>
        </w:tc>
        <w:tc>
          <w:tcPr>
            <w:tcW w:w="5239" w:type="dxa"/>
          </w:tcPr>
          <w:p w:rsidR="002661C8" w:rsidRDefault="002661C8" w:rsidP="00580058">
            <w:pPr>
              <w:pStyle w:val="BodyRuller"/>
              <w:rPr>
                <w:rtl/>
              </w:rPr>
            </w:pPr>
            <w:r>
              <w:rPr>
                <w:rtl/>
              </w:rPr>
              <w:t>2. הכנסת</w:t>
            </w:r>
          </w:p>
        </w:tc>
      </w:tr>
    </w:tbl>
    <w:p w:rsidR="00916FF8" w:rsidRDefault="00E36FE9">
      <w:pPr>
        <w:pStyle w:val="Ruller3"/>
      </w:pPr>
      <w:r>
        <w:rPr>
          <w:rFonts w:hint="cs"/>
          <w:rtl/>
        </w:rPr>
        <w:tab/>
      </w:r>
    </w:p>
    <w:tbl>
      <w:tblPr>
        <w:bidiVisual/>
        <w:tblW w:w="0" w:type="auto"/>
        <w:tblInd w:w="3209" w:type="dxa"/>
        <w:tblLook w:val="0000" w:firstRow="0" w:lastRow="0" w:firstColumn="0" w:lastColumn="0" w:noHBand="0" w:noVBand="0"/>
      </w:tblPr>
      <w:tblGrid>
        <w:gridCol w:w="5103"/>
      </w:tblGrid>
      <w:tr w:rsidR="00036227" w:rsidTr="00CA1444">
        <w:tc>
          <w:tcPr>
            <w:tcW w:w="5103" w:type="dxa"/>
          </w:tcPr>
          <w:p w:rsidR="00916FF8" w:rsidRPr="00265F6E" w:rsidRDefault="002661C8" w:rsidP="00D512D4">
            <w:pPr>
              <w:pStyle w:val="BodyRuller"/>
              <w:jc w:val="both"/>
              <w:rPr>
                <w:sz w:val="24"/>
                <w:szCs w:val="24"/>
              </w:rPr>
            </w:pPr>
            <w:r>
              <w:rPr>
                <w:sz w:val="24"/>
                <w:szCs w:val="24"/>
                <w:rtl/>
              </w:rPr>
              <w:t xml:space="preserve">ערעור על פסק </w:t>
            </w:r>
            <w:r w:rsidR="00D512D4">
              <w:rPr>
                <w:rFonts w:hint="cs"/>
                <w:sz w:val="24"/>
                <w:szCs w:val="24"/>
                <w:rtl/>
              </w:rPr>
              <w:t>הדין</w:t>
            </w:r>
            <w:r>
              <w:rPr>
                <w:sz w:val="24"/>
                <w:szCs w:val="24"/>
                <w:rtl/>
              </w:rPr>
              <w:t xml:space="preserve"> של בית המשפט המחוזי ב</w:t>
            </w:r>
            <w:r w:rsidR="00D512D4">
              <w:rPr>
                <w:rFonts w:hint="cs"/>
                <w:sz w:val="24"/>
                <w:szCs w:val="24"/>
                <w:rtl/>
              </w:rPr>
              <w:t>ב</w:t>
            </w:r>
            <w:r w:rsidR="00D512D4">
              <w:rPr>
                <w:sz w:val="24"/>
                <w:szCs w:val="24"/>
                <w:rtl/>
              </w:rPr>
              <w:t>אר</w:t>
            </w:r>
            <w:r w:rsidR="00D512D4">
              <w:rPr>
                <w:rFonts w:hint="cs"/>
                <w:sz w:val="24"/>
                <w:szCs w:val="24"/>
                <w:rtl/>
              </w:rPr>
              <w:t>-</w:t>
            </w:r>
            <w:r>
              <w:rPr>
                <w:sz w:val="24"/>
                <w:szCs w:val="24"/>
                <w:rtl/>
              </w:rPr>
              <w:t xml:space="preserve">שבע מיום </w:t>
            </w:r>
            <w:r w:rsidR="00D512D4">
              <w:rPr>
                <w:rFonts w:hint="cs"/>
                <w:sz w:val="24"/>
                <w:szCs w:val="24"/>
                <w:rtl/>
              </w:rPr>
              <w:t>4</w:t>
            </w:r>
            <w:r>
              <w:rPr>
                <w:sz w:val="24"/>
                <w:szCs w:val="24"/>
                <w:rtl/>
              </w:rPr>
              <w:t>.11.2018 בת</w:t>
            </w:r>
            <w:r w:rsidR="00D512D4">
              <w:rPr>
                <w:rFonts w:hint="cs"/>
                <w:sz w:val="24"/>
                <w:szCs w:val="24"/>
                <w:rtl/>
              </w:rPr>
              <w:t xml:space="preserve">"א </w:t>
            </w:r>
            <w:r>
              <w:rPr>
                <w:sz w:val="24"/>
                <w:szCs w:val="24"/>
                <w:rtl/>
              </w:rPr>
              <w:t>45043-05-16</w:t>
            </w:r>
            <w:r w:rsidR="00D512D4">
              <w:rPr>
                <w:rFonts w:hint="cs"/>
                <w:sz w:val="24"/>
                <w:szCs w:val="24"/>
                <w:rtl/>
              </w:rPr>
              <w:t xml:space="preserve"> שניתן על ידי כבוד השופט ש' פרידלנדר</w:t>
            </w:r>
          </w:p>
        </w:tc>
      </w:tr>
    </w:tbl>
    <w:p w:rsidR="00916FF8" w:rsidRDefault="00E36FE9" w:rsidP="000B261B">
      <w:pPr>
        <w:pStyle w:val="Ruller3"/>
        <w:spacing w:line="240" w:lineRule="auto"/>
        <w:rPr>
          <w:rtl/>
        </w:rPr>
      </w:pPr>
      <w:r>
        <w:rPr>
          <w:rFonts w:hint="cs"/>
          <w:rtl/>
        </w:rPr>
        <w:tab/>
      </w:r>
    </w:p>
    <w:tbl>
      <w:tblPr>
        <w:bidiVisual/>
        <w:tblW w:w="8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0"/>
        <w:gridCol w:w="2423"/>
        <w:gridCol w:w="2710"/>
      </w:tblGrid>
      <w:tr w:rsidR="008C2F11" w:rsidTr="00D00B1D">
        <w:tc>
          <w:tcPr>
            <w:tcW w:w="3212" w:type="dxa"/>
            <w:tcBorders>
              <w:top w:val="nil"/>
              <w:left w:val="nil"/>
              <w:bottom w:val="nil"/>
              <w:right w:val="nil"/>
            </w:tcBorders>
          </w:tcPr>
          <w:p w:rsidR="008C2F11" w:rsidRPr="00265F6E" w:rsidRDefault="008C2F11">
            <w:pPr>
              <w:pStyle w:val="BodyRuller"/>
              <w:rPr>
                <w:sz w:val="24"/>
                <w:szCs w:val="24"/>
              </w:rPr>
            </w:pPr>
            <w:r w:rsidRPr="00265F6E">
              <w:rPr>
                <w:sz w:val="24"/>
                <w:szCs w:val="24"/>
                <w:rtl/>
              </w:rPr>
              <w:t>תאריך הישיבה:</w:t>
            </w:r>
          </w:p>
        </w:tc>
        <w:tc>
          <w:tcPr>
            <w:tcW w:w="2409" w:type="dxa"/>
            <w:tcBorders>
              <w:top w:val="nil"/>
              <w:left w:val="nil"/>
              <w:bottom w:val="nil"/>
              <w:right w:val="nil"/>
            </w:tcBorders>
          </w:tcPr>
          <w:p w:rsidR="008C2F11" w:rsidRDefault="00D512D4">
            <w:pPr>
              <w:pStyle w:val="BodyRuller"/>
              <w:rPr>
                <w:rtl/>
              </w:rPr>
            </w:pPr>
            <w:r>
              <w:rPr>
                <w:rFonts w:hint="cs"/>
                <w:sz w:val="24"/>
                <w:szCs w:val="24"/>
                <w:rtl/>
              </w:rPr>
              <w:t>ד' בתמוז התשפ"א</w:t>
            </w:r>
          </w:p>
        </w:tc>
        <w:tc>
          <w:tcPr>
            <w:tcW w:w="2694" w:type="dxa"/>
            <w:tcBorders>
              <w:top w:val="nil"/>
              <w:left w:val="nil"/>
              <w:bottom w:val="nil"/>
              <w:right w:val="nil"/>
            </w:tcBorders>
          </w:tcPr>
          <w:p w:rsidR="008C2F11" w:rsidRDefault="00D512D4">
            <w:pPr>
              <w:pStyle w:val="BodyRuller"/>
              <w:rPr>
                <w:sz w:val="24"/>
                <w:szCs w:val="24"/>
                <w:rtl/>
              </w:rPr>
            </w:pPr>
            <w:r>
              <w:rPr>
                <w:rFonts w:hint="cs"/>
                <w:rtl/>
              </w:rPr>
              <w:t>(14.6.2021)</w:t>
            </w:r>
          </w:p>
        </w:tc>
      </w:tr>
    </w:tbl>
    <w:p w:rsidR="00916FF8" w:rsidRDefault="00916FF8" w:rsidP="000B261B">
      <w:pPr>
        <w:pStyle w:val="Ruller3"/>
        <w:spacing w:line="240" w:lineRule="auto"/>
      </w:pPr>
    </w:p>
    <w:tbl>
      <w:tblPr>
        <w:bidiVisual/>
        <w:tblW w:w="8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4"/>
        <w:gridCol w:w="5149"/>
      </w:tblGrid>
      <w:tr w:rsidR="00036227" w:rsidTr="00D00B1D">
        <w:tc>
          <w:tcPr>
            <w:tcW w:w="3257" w:type="dxa"/>
            <w:tcBorders>
              <w:top w:val="nil"/>
              <w:left w:val="nil"/>
              <w:bottom w:val="nil"/>
              <w:right w:val="nil"/>
            </w:tcBorders>
          </w:tcPr>
          <w:p w:rsidR="00036227" w:rsidRDefault="002661C8" w:rsidP="00EB3384">
            <w:pPr>
              <w:pStyle w:val="BodyRuller"/>
            </w:pPr>
            <w:r>
              <w:rPr>
                <w:rtl/>
              </w:rPr>
              <w:t>בשם המערער:</w:t>
            </w:r>
          </w:p>
        </w:tc>
        <w:tc>
          <w:tcPr>
            <w:tcW w:w="5238" w:type="dxa"/>
            <w:tcBorders>
              <w:top w:val="nil"/>
              <w:left w:val="nil"/>
              <w:bottom w:val="nil"/>
              <w:right w:val="nil"/>
            </w:tcBorders>
          </w:tcPr>
          <w:p w:rsidR="00036227" w:rsidRDefault="00D512D4" w:rsidP="00EB3384">
            <w:pPr>
              <w:pStyle w:val="BodyRuller"/>
            </w:pPr>
            <w:r>
              <w:rPr>
                <w:rtl/>
              </w:rPr>
              <w:t xml:space="preserve">עו"ד </w:t>
            </w:r>
            <w:r>
              <w:rPr>
                <w:rFonts w:hint="cs"/>
                <w:rtl/>
              </w:rPr>
              <w:t>סאוסן ז</w:t>
            </w:r>
            <w:r>
              <w:rPr>
                <w:rtl/>
              </w:rPr>
              <w:t>הר</w:t>
            </w:r>
          </w:p>
        </w:tc>
      </w:tr>
    </w:tbl>
    <w:p w:rsidR="00916FF8" w:rsidRDefault="00916FF8" w:rsidP="00EB3384">
      <w:pPr>
        <w:pStyle w:val="Ruller3"/>
        <w:spacing w:line="240" w:lineRule="auto"/>
      </w:pPr>
    </w:p>
    <w:tbl>
      <w:tblPr>
        <w:bidiVisual/>
        <w:tblW w:w="8363"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8"/>
        <w:gridCol w:w="5155"/>
      </w:tblGrid>
      <w:tr w:rsidR="00036227" w:rsidTr="00D512D4">
        <w:tc>
          <w:tcPr>
            <w:tcW w:w="3208" w:type="dxa"/>
            <w:tcBorders>
              <w:top w:val="nil"/>
              <w:left w:val="nil"/>
              <w:bottom w:val="nil"/>
              <w:right w:val="nil"/>
            </w:tcBorders>
          </w:tcPr>
          <w:p w:rsidR="00036227" w:rsidRDefault="002661C8" w:rsidP="00EB3384">
            <w:pPr>
              <w:pStyle w:val="BodyRuller"/>
            </w:pPr>
            <w:r>
              <w:rPr>
                <w:rtl/>
              </w:rPr>
              <w:t>בשם המשיב</w:t>
            </w:r>
            <w:r w:rsidR="00D512D4">
              <w:rPr>
                <w:rFonts w:hint="cs"/>
                <w:rtl/>
              </w:rPr>
              <w:t>ה 1:</w:t>
            </w:r>
          </w:p>
        </w:tc>
        <w:tc>
          <w:tcPr>
            <w:tcW w:w="5155" w:type="dxa"/>
            <w:tcBorders>
              <w:top w:val="nil"/>
              <w:left w:val="nil"/>
              <w:bottom w:val="nil"/>
              <w:right w:val="nil"/>
            </w:tcBorders>
          </w:tcPr>
          <w:p w:rsidR="00036227" w:rsidRDefault="00D512D4" w:rsidP="00EB3384">
            <w:pPr>
              <w:pStyle w:val="BodyRuller"/>
            </w:pPr>
            <w:r>
              <w:rPr>
                <w:rFonts w:hint="cs"/>
                <w:rtl/>
              </w:rPr>
              <w:t>עו"ד מלי אומיד ברגר</w:t>
            </w:r>
          </w:p>
        </w:tc>
      </w:tr>
    </w:tbl>
    <w:p w:rsidR="00916FF8" w:rsidRDefault="00916FF8" w:rsidP="00261326">
      <w:pPr>
        <w:tabs>
          <w:tab w:val="left" w:pos="2552"/>
        </w:tabs>
        <w:spacing w:line="360" w:lineRule="auto"/>
        <w:rPr>
          <w:rtl/>
        </w:rPr>
      </w:pPr>
    </w:p>
    <w:tbl>
      <w:tblPr>
        <w:bidiVisual/>
        <w:tblW w:w="8363" w:type="dxa"/>
        <w:tblLook w:val="0000" w:firstRow="0" w:lastRow="0" w:firstColumn="0" w:lastColumn="0" w:noHBand="0" w:noVBand="0"/>
      </w:tblPr>
      <w:tblGrid>
        <w:gridCol w:w="3222"/>
        <w:gridCol w:w="5141"/>
      </w:tblGrid>
      <w:tr w:rsidR="00D512D4" w:rsidTr="00D512D4">
        <w:tc>
          <w:tcPr>
            <w:tcW w:w="3222" w:type="dxa"/>
          </w:tcPr>
          <w:p w:rsidR="00D512D4" w:rsidRDefault="00D512D4" w:rsidP="00EB3384">
            <w:pPr>
              <w:pStyle w:val="BodyRuller"/>
            </w:pPr>
            <w:r>
              <w:rPr>
                <w:rFonts w:hint="cs"/>
                <w:rtl/>
              </w:rPr>
              <w:t>בשם המשיבה 2:</w:t>
            </w:r>
          </w:p>
        </w:tc>
        <w:tc>
          <w:tcPr>
            <w:tcW w:w="5141" w:type="dxa"/>
          </w:tcPr>
          <w:p w:rsidR="00D512D4" w:rsidRDefault="00D512D4" w:rsidP="00EB3384">
            <w:pPr>
              <w:pStyle w:val="BodyRuller"/>
            </w:pPr>
            <w:r>
              <w:rPr>
                <w:rFonts w:hint="cs"/>
                <w:rtl/>
              </w:rPr>
              <w:t>עו"ד אביטל סומפולינסקי</w:t>
            </w:r>
          </w:p>
        </w:tc>
      </w:tr>
    </w:tbl>
    <w:p w:rsidR="00D512D4" w:rsidRDefault="00D512D4" w:rsidP="00261326">
      <w:pPr>
        <w:tabs>
          <w:tab w:val="left" w:pos="2552"/>
        </w:tabs>
        <w:spacing w:line="360" w:lineRule="auto"/>
      </w:pPr>
    </w:p>
    <w:tbl>
      <w:tblPr>
        <w:bidiVisual/>
        <w:tblW w:w="8363" w:type="dxa"/>
        <w:tblLook w:val="0000" w:firstRow="0" w:lastRow="0" w:firstColumn="0" w:lastColumn="0" w:noHBand="0" w:noVBand="0"/>
      </w:tblPr>
      <w:tblGrid>
        <w:gridCol w:w="8363"/>
      </w:tblGrid>
      <w:tr w:rsidR="00036227" w:rsidTr="00D00B1D">
        <w:tc>
          <w:tcPr>
            <w:tcW w:w="9837" w:type="dxa"/>
          </w:tcPr>
          <w:p w:rsidR="00916FF8" w:rsidRDefault="002661C8">
            <w:pPr>
              <w:pStyle w:val="DocumentHead"/>
            </w:pPr>
            <w:bookmarkStart w:id="2" w:name="secretary"/>
            <w:bookmarkStart w:id="3" w:name="BeginProtocol"/>
            <w:bookmarkEnd w:id="2"/>
            <w:bookmarkEnd w:id="3"/>
            <w:r>
              <w:rPr>
                <w:rtl/>
              </w:rPr>
              <w:t>פסק-דין</w:t>
            </w:r>
          </w:p>
        </w:tc>
      </w:tr>
    </w:tbl>
    <w:p w:rsidR="0065522F" w:rsidRDefault="0065522F">
      <w:pPr>
        <w:pStyle w:val="BODYVERDICT"/>
      </w:pPr>
    </w:p>
    <w:p w:rsidR="00916FF8" w:rsidRPr="00503A3E" w:rsidRDefault="002661C8">
      <w:pPr>
        <w:pStyle w:val="BODYVERDICT"/>
        <w:rPr>
          <w:rFonts w:cs="Miriam"/>
          <w:sz w:val="24"/>
          <w:szCs w:val="24"/>
          <w:u w:val="single"/>
          <w:rtl/>
        </w:rPr>
      </w:pPr>
      <w:bookmarkStart w:id="4" w:name="Writer_Name"/>
      <w:bookmarkEnd w:id="4"/>
      <w:r>
        <w:rPr>
          <w:rFonts w:cs="Miriam"/>
          <w:sz w:val="24"/>
          <w:szCs w:val="24"/>
          <w:u w:val="single"/>
          <w:rtl/>
        </w:rPr>
        <w:t>השופט נ' סולברג</w:t>
      </w:r>
      <w:r w:rsidRPr="00D512D4">
        <w:rPr>
          <w:rFonts w:cs="Miriam"/>
          <w:sz w:val="24"/>
          <w:szCs w:val="24"/>
          <w:rtl/>
        </w:rPr>
        <w:t>:</w:t>
      </w:r>
    </w:p>
    <w:p w:rsidR="00660E14" w:rsidRDefault="00660E14" w:rsidP="00A51FAE">
      <w:pPr>
        <w:pStyle w:val="Ruller41"/>
        <w:rPr>
          <w:rFonts w:ascii="Century" w:hAnsi="Century" w:cs="Miriam"/>
          <w:b/>
          <w:spacing w:val="0"/>
          <w:szCs w:val="24"/>
          <w:rtl/>
        </w:rPr>
      </w:pPr>
      <w:bookmarkStart w:id="5" w:name="Start_Write"/>
      <w:bookmarkEnd w:id="5"/>
    </w:p>
    <w:p w:rsidR="00660E14" w:rsidRPr="00660E14" w:rsidRDefault="00660E14" w:rsidP="00A51FAE">
      <w:pPr>
        <w:pStyle w:val="Ruller41"/>
        <w:rPr>
          <w:rFonts w:ascii="Century" w:hAnsi="Century" w:cs="Miriam"/>
          <w:bCs/>
          <w:spacing w:val="0"/>
          <w:szCs w:val="24"/>
          <w:u w:val="single"/>
          <w:rtl/>
        </w:rPr>
      </w:pPr>
      <w:r w:rsidRPr="00660E14">
        <w:rPr>
          <w:rFonts w:ascii="Century" w:hAnsi="Century" w:cs="Miriam" w:hint="cs"/>
          <w:bCs/>
          <w:spacing w:val="0"/>
          <w:szCs w:val="24"/>
          <w:u w:val="single"/>
          <w:rtl/>
        </w:rPr>
        <w:t>תוכן עניינים</w:t>
      </w:r>
    </w:p>
    <w:p w:rsidR="00660E14" w:rsidRPr="00660E14" w:rsidRDefault="00660E14" w:rsidP="009C43F8">
      <w:pPr>
        <w:pStyle w:val="Ruller41"/>
        <w:spacing w:line="240" w:lineRule="auto"/>
        <w:rPr>
          <w:rFonts w:ascii="Century" w:hAnsi="Century" w:cs="Miriam"/>
          <w:bCs/>
          <w:spacing w:val="0"/>
          <w:szCs w:val="24"/>
          <w:rtl/>
        </w:rPr>
      </w:pPr>
    </w:p>
    <w:bookmarkStart w:id="6" w:name="_Toc107851282"/>
    <w:p w:rsidR="009C43F8" w:rsidRPr="009C43F8" w:rsidRDefault="009C43F8">
      <w:pPr>
        <w:pStyle w:val="TOC1"/>
        <w:tabs>
          <w:tab w:val="right" w:leader="dot" w:pos="8302"/>
        </w:tabs>
        <w:rPr>
          <w:rFonts w:ascii="Century" w:eastAsiaTheme="minorEastAsia" w:hAnsi="Century" w:cs="Miriam"/>
          <w:b/>
          <w:noProof/>
          <w:sz w:val="22"/>
          <w:rtl/>
        </w:rPr>
      </w:pPr>
      <w:r>
        <w:rPr>
          <w:b/>
          <w:rtl/>
          <w:cs/>
        </w:rPr>
        <w:fldChar w:fldCharType="begin"/>
      </w:r>
      <w:r>
        <w:rPr>
          <w:b/>
          <w:rtl/>
        </w:rPr>
        <w:instrText xml:space="preserve"> </w:instrText>
      </w:r>
      <w:r>
        <w:rPr>
          <w:b/>
        </w:rPr>
        <w:instrText>TOC</w:instrText>
      </w:r>
      <w:r>
        <w:rPr>
          <w:b/>
          <w:rtl/>
        </w:rPr>
        <w:instrText xml:space="preserve"> \</w:instrText>
      </w:r>
      <w:r>
        <w:rPr>
          <w:b/>
        </w:rPr>
        <w:instrText>o "1-6" \h \z \u</w:instrText>
      </w:r>
      <w:r>
        <w:rPr>
          <w:b/>
          <w:rtl/>
        </w:rPr>
        <w:instrText xml:space="preserve"> </w:instrText>
      </w:r>
      <w:r>
        <w:rPr>
          <w:b/>
          <w:rtl/>
          <w:cs/>
        </w:rPr>
        <w:fldChar w:fldCharType="separate"/>
      </w:r>
      <w:hyperlink w:anchor="_Toc107851337" w:history="1">
        <w:r w:rsidRPr="009C43F8">
          <w:rPr>
            <w:rStyle w:val="Hyperlink"/>
            <w:rFonts w:ascii="Century" w:hAnsi="Century" w:cs="Miriam" w:hint="eastAsia"/>
            <w:b/>
            <w:noProof/>
            <w:color w:val="auto"/>
            <w:sz w:val="22"/>
            <w:u w:val="none"/>
            <w:rtl/>
          </w:rPr>
          <w:t>פתח</w:t>
        </w:r>
        <w:r w:rsidRPr="009C43F8">
          <w:rPr>
            <w:rStyle w:val="Hyperlink"/>
            <w:rFonts w:ascii="Century" w:hAnsi="Century" w:cs="Miriam"/>
            <w:b/>
            <w:noProof/>
            <w:color w:val="auto"/>
            <w:sz w:val="22"/>
            <w:u w:val="none"/>
            <w:rtl/>
          </w:rPr>
          <w:t xml:space="preserve"> </w:t>
        </w:r>
        <w:r w:rsidRPr="009C43F8">
          <w:rPr>
            <w:rStyle w:val="Hyperlink"/>
            <w:rFonts w:ascii="Century" w:hAnsi="Century" w:cs="Miriam" w:hint="eastAsia"/>
            <w:b/>
            <w:noProof/>
            <w:color w:val="auto"/>
            <w:sz w:val="22"/>
            <w:u w:val="none"/>
            <w:rtl/>
          </w:rPr>
          <w:t>דבר</w:t>
        </w:r>
        <w:r w:rsidRPr="009C43F8">
          <w:rPr>
            <w:rFonts w:ascii="Century" w:hAnsi="Century" w:cs="Miriam"/>
            <w:b/>
            <w:noProof/>
            <w:webHidden/>
            <w:sz w:val="22"/>
            <w:rtl/>
          </w:rPr>
          <w:tab/>
        </w:r>
        <w:r w:rsidRPr="009C43F8">
          <w:rPr>
            <w:rStyle w:val="Hyperlink"/>
            <w:rFonts w:ascii="Century" w:hAnsi="Century" w:cs="Miriam"/>
            <w:b/>
            <w:noProof/>
            <w:color w:val="auto"/>
            <w:sz w:val="22"/>
            <w:u w:val="none"/>
            <w:rtl/>
          </w:rPr>
          <w:fldChar w:fldCharType="begin"/>
        </w:r>
        <w:r w:rsidRPr="009C43F8">
          <w:rPr>
            <w:rFonts w:ascii="Century" w:hAnsi="Century" w:cs="Miriam"/>
            <w:b/>
            <w:noProof/>
            <w:webHidden/>
            <w:sz w:val="22"/>
            <w:rtl/>
          </w:rPr>
          <w:instrText xml:space="preserve"> </w:instrText>
        </w:r>
        <w:r w:rsidRPr="009C43F8">
          <w:rPr>
            <w:rFonts w:ascii="Century" w:hAnsi="Century" w:cs="Miriam"/>
            <w:b/>
            <w:noProof/>
            <w:webHidden/>
            <w:sz w:val="22"/>
          </w:rPr>
          <w:instrText>PAGEREF</w:instrText>
        </w:r>
        <w:r w:rsidRPr="009C43F8">
          <w:rPr>
            <w:rFonts w:ascii="Century" w:hAnsi="Century" w:cs="Miriam"/>
            <w:b/>
            <w:noProof/>
            <w:webHidden/>
            <w:sz w:val="22"/>
            <w:rtl/>
          </w:rPr>
          <w:instrText xml:space="preserve"> _</w:instrText>
        </w:r>
        <w:r w:rsidRPr="009C43F8">
          <w:rPr>
            <w:rFonts w:ascii="Century" w:hAnsi="Century" w:cs="Miriam"/>
            <w:b/>
            <w:noProof/>
            <w:webHidden/>
            <w:sz w:val="22"/>
          </w:rPr>
          <w:instrText>Toc107851337 \h</w:instrText>
        </w:r>
        <w:r w:rsidRPr="009C43F8">
          <w:rPr>
            <w:rFonts w:ascii="Century" w:hAnsi="Century" w:cs="Miriam"/>
            <w:b/>
            <w:noProof/>
            <w:webHidden/>
            <w:sz w:val="22"/>
            <w:rtl/>
          </w:rPr>
          <w:instrText xml:space="preserve"> </w:instrText>
        </w:r>
        <w:r w:rsidRPr="009C43F8">
          <w:rPr>
            <w:rStyle w:val="Hyperlink"/>
            <w:rFonts w:ascii="Century" w:hAnsi="Century" w:cs="Miriam"/>
            <w:b/>
            <w:noProof/>
            <w:color w:val="auto"/>
            <w:sz w:val="22"/>
            <w:u w:val="none"/>
            <w:rtl/>
          </w:rPr>
        </w:r>
        <w:r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2</w:t>
        </w:r>
        <w:r w:rsidRPr="009C43F8">
          <w:rPr>
            <w:rStyle w:val="Hyperlink"/>
            <w:rFonts w:ascii="Century" w:hAnsi="Century" w:cs="Miriam"/>
            <w:b/>
            <w:noProof/>
            <w:color w:val="auto"/>
            <w:sz w:val="22"/>
            <w:u w:val="none"/>
            <w:rtl/>
          </w:rPr>
          <w:fldChar w:fldCharType="end"/>
        </w:r>
      </w:hyperlink>
    </w:p>
    <w:p w:rsidR="009C43F8" w:rsidRPr="009C43F8" w:rsidRDefault="00017461">
      <w:pPr>
        <w:pStyle w:val="TOC1"/>
        <w:tabs>
          <w:tab w:val="right" w:leader="dot" w:pos="8302"/>
        </w:tabs>
        <w:rPr>
          <w:rFonts w:ascii="Century" w:eastAsiaTheme="minorEastAsia" w:hAnsi="Century" w:cs="Miriam"/>
          <w:b/>
          <w:noProof/>
          <w:sz w:val="22"/>
          <w:rtl/>
        </w:rPr>
      </w:pPr>
      <w:hyperlink w:anchor="_Toc107851338" w:history="1">
        <w:r w:rsidR="009C43F8" w:rsidRPr="009C43F8">
          <w:rPr>
            <w:rStyle w:val="Hyperlink"/>
            <w:rFonts w:ascii="Century" w:hAnsi="Century" w:cs="Miriam" w:hint="eastAsia"/>
            <w:b/>
            <w:noProof/>
            <w:color w:val="auto"/>
            <w:sz w:val="22"/>
            <w:u w:val="none"/>
            <w:rtl/>
          </w:rPr>
          <w:t>א</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רקע</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עובדתי</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Toc107851338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3</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1"/>
        <w:tabs>
          <w:tab w:val="right" w:leader="dot" w:pos="8302"/>
        </w:tabs>
        <w:rPr>
          <w:rFonts w:ascii="Century" w:eastAsiaTheme="minorEastAsia" w:hAnsi="Century" w:cs="Miriam"/>
          <w:b/>
          <w:noProof/>
          <w:sz w:val="22"/>
          <w:rtl/>
        </w:rPr>
      </w:pPr>
      <w:hyperlink w:anchor="_Toc107851339" w:history="1">
        <w:r w:rsidR="009C43F8" w:rsidRPr="009C43F8">
          <w:rPr>
            <w:rStyle w:val="Hyperlink"/>
            <w:rFonts w:ascii="Century" w:hAnsi="Century" w:cs="Miriam" w:hint="eastAsia"/>
            <w:b/>
            <w:noProof/>
            <w:color w:val="auto"/>
            <w:sz w:val="22"/>
            <w:u w:val="none"/>
            <w:rtl/>
          </w:rPr>
          <w:t>ב</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עיקרי</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פסק</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הדין</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של</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בית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המשפט</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המחוזי</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Toc107851339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3</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1"/>
        <w:tabs>
          <w:tab w:val="right" w:leader="dot" w:pos="8302"/>
        </w:tabs>
        <w:rPr>
          <w:rFonts w:ascii="Century" w:eastAsiaTheme="minorEastAsia" w:hAnsi="Century" w:cs="Miriam"/>
          <w:b/>
          <w:noProof/>
          <w:sz w:val="22"/>
          <w:rtl/>
        </w:rPr>
      </w:pPr>
      <w:hyperlink w:anchor="_Toc107851340" w:history="1">
        <w:r w:rsidR="009C43F8" w:rsidRPr="009C43F8">
          <w:rPr>
            <w:rStyle w:val="Hyperlink"/>
            <w:rFonts w:ascii="Century" w:hAnsi="Century" w:cs="Miriam" w:hint="eastAsia"/>
            <w:b/>
            <w:noProof/>
            <w:color w:val="auto"/>
            <w:sz w:val="22"/>
            <w:u w:val="none"/>
            <w:rtl/>
          </w:rPr>
          <w:t>ג</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טענות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הצדדים</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Toc107851340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6</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2"/>
        <w:tabs>
          <w:tab w:val="right" w:leader="dot" w:pos="8302"/>
        </w:tabs>
        <w:rPr>
          <w:rFonts w:ascii="Century" w:eastAsiaTheme="minorEastAsia" w:hAnsi="Century" w:cs="Miriam"/>
          <w:b/>
          <w:noProof/>
          <w:sz w:val="22"/>
          <w:rtl/>
        </w:rPr>
      </w:pPr>
      <w:hyperlink w:anchor="_Toc107851341" w:history="1">
        <w:r w:rsidR="009C43F8" w:rsidRPr="009C43F8">
          <w:rPr>
            <w:rStyle w:val="Hyperlink"/>
            <w:rFonts w:ascii="Century" w:hAnsi="Century" w:cs="Miriam" w:hint="eastAsia"/>
            <w:b/>
            <w:noProof/>
            <w:color w:val="auto"/>
            <w:sz w:val="22"/>
            <w:u w:val="none"/>
            <w:rtl/>
          </w:rPr>
          <w:t>ג</w:t>
        </w:r>
        <w:r w:rsidR="009C43F8" w:rsidRPr="009C43F8">
          <w:rPr>
            <w:rStyle w:val="Hyperlink"/>
            <w:rFonts w:ascii="Century" w:hAnsi="Century" w:cs="Miriam"/>
            <w:b/>
            <w:noProof/>
            <w:color w:val="auto"/>
            <w:sz w:val="22"/>
            <w:u w:val="none"/>
            <w:rtl/>
          </w:rPr>
          <w:t xml:space="preserve">.1. </w:t>
        </w:r>
        <w:r w:rsidR="009C43F8" w:rsidRPr="009C43F8">
          <w:rPr>
            <w:rStyle w:val="Hyperlink"/>
            <w:rFonts w:ascii="Century" w:hAnsi="Century" w:cs="Miriam" w:hint="eastAsia"/>
            <w:b/>
            <w:noProof/>
            <w:color w:val="auto"/>
            <w:sz w:val="22"/>
            <w:u w:val="none"/>
            <w:rtl/>
          </w:rPr>
          <w:t>עיקרי</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טענות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המערער</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Toc107851341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6</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2"/>
        <w:tabs>
          <w:tab w:val="right" w:leader="dot" w:pos="8302"/>
        </w:tabs>
        <w:rPr>
          <w:rFonts w:ascii="Century" w:eastAsiaTheme="minorEastAsia" w:hAnsi="Century" w:cs="Miriam"/>
          <w:b/>
          <w:noProof/>
          <w:sz w:val="22"/>
          <w:rtl/>
        </w:rPr>
      </w:pPr>
      <w:hyperlink w:anchor="_Toc107851342" w:history="1">
        <w:r w:rsidR="009C43F8" w:rsidRPr="009C43F8">
          <w:rPr>
            <w:rStyle w:val="Hyperlink"/>
            <w:rFonts w:ascii="Century" w:hAnsi="Century" w:cs="Miriam" w:hint="eastAsia"/>
            <w:b/>
            <w:noProof/>
            <w:color w:val="auto"/>
            <w:sz w:val="22"/>
            <w:u w:val="none"/>
            <w:rtl/>
          </w:rPr>
          <w:t>ג</w:t>
        </w:r>
        <w:r w:rsidR="009C43F8" w:rsidRPr="009C43F8">
          <w:rPr>
            <w:rStyle w:val="Hyperlink"/>
            <w:rFonts w:ascii="Century" w:hAnsi="Century" w:cs="Miriam"/>
            <w:b/>
            <w:noProof/>
            <w:color w:val="auto"/>
            <w:sz w:val="22"/>
            <w:u w:val="none"/>
            <w:rtl/>
          </w:rPr>
          <w:t xml:space="preserve">.2. </w:t>
        </w:r>
        <w:r w:rsidR="009C43F8" w:rsidRPr="009C43F8">
          <w:rPr>
            <w:rStyle w:val="Hyperlink"/>
            <w:rFonts w:ascii="Century" w:hAnsi="Century" w:cs="Miriam" w:hint="eastAsia"/>
            <w:b/>
            <w:noProof/>
            <w:color w:val="auto"/>
            <w:sz w:val="22"/>
            <w:u w:val="none"/>
            <w:rtl/>
          </w:rPr>
          <w:t>עיקרי</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טענות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המשיבות</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Toc107851342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8</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2"/>
        <w:tabs>
          <w:tab w:val="right" w:leader="dot" w:pos="8302"/>
        </w:tabs>
        <w:rPr>
          <w:rFonts w:ascii="Century" w:eastAsiaTheme="minorEastAsia" w:hAnsi="Century" w:cs="Miriam"/>
          <w:b/>
          <w:noProof/>
          <w:sz w:val="22"/>
          <w:rtl/>
        </w:rPr>
      </w:pPr>
      <w:hyperlink w:anchor="_Toc107851343" w:history="1">
        <w:r w:rsidR="009C43F8" w:rsidRPr="009C43F8">
          <w:rPr>
            <w:rStyle w:val="Hyperlink"/>
            <w:rFonts w:ascii="Century" w:hAnsi="Century" w:cs="Miriam" w:hint="eastAsia"/>
            <w:b/>
            <w:noProof/>
            <w:color w:val="auto"/>
            <w:sz w:val="22"/>
            <w:u w:val="none"/>
            <w:rtl/>
          </w:rPr>
          <w:t>ג</w:t>
        </w:r>
        <w:r w:rsidR="009C43F8" w:rsidRPr="009C43F8">
          <w:rPr>
            <w:rStyle w:val="Hyperlink"/>
            <w:rFonts w:ascii="Century" w:hAnsi="Century" w:cs="Miriam"/>
            <w:b/>
            <w:noProof/>
            <w:color w:val="auto"/>
            <w:sz w:val="22"/>
            <w:u w:val="none"/>
            <w:rtl/>
          </w:rPr>
          <w:t xml:space="preserve">.3. </w:t>
        </w:r>
        <w:r w:rsidR="009C43F8" w:rsidRPr="009C43F8">
          <w:rPr>
            <w:rStyle w:val="Hyperlink"/>
            <w:rFonts w:ascii="Century" w:hAnsi="Century" w:cs="Miriam" w:hint="eastAsia"/>
            <w:b/>
            <w:noProof/>
            <w:color w:val="auto"/>
            <w:sz w:val="22"/>
            <w:u w:val="none"/>
            <w:rtl/>
          </w:rPr>
          <w:t>סיכומי</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התשובה</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של</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המערער</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Toc107851343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11</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1"/>
        <w:tabs>
          <w:tab w:val="right" w:leader="dot" w:pos="8302"/>
        </w:tabs>
        <w:rPr>
          <w:rFonts w:ascii="Century" w:eastAsiaTheme="minorEastAsia" w:hAnsi="Century" w:cs="Miriam"/>
          <w:b/>
          <w:noProof/>
          <w:sz w:val="22"/>
          <w:rtl/>
        </w:rPr>
      </w:pPr>
      <w:hyperlink w:anchor="_Toc107851344" w:history="1">
        <w:r w:rsidR="009C43F8" w:rsidRPr="009C43F8">
          <w:rPr>
            <w:rStyle w:val="Hyperlink"/>
            <w:rFonts w:ascii="Century" w:hAnsi="Century" w:cs="Miriam" w:hint="eastAsia"/>
            <w:b/>
            <w:noProof/>
            <w:color w:val="auto"/>
            <w:sz w:val="22"/>
            <w:u w:val="none"/>
            <w:rtl/>
          </w:rPr>
          <w:t>ד</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דיון</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והכרעה</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Toc107851344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11</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2"/>
        <w:tabs>
          <w:tab w:val="right" w:leader="dot" w:pos="8302"/>
        </w:tabs>
        <w:rPr>
          <w:rFonts w:ascii="Century" w:eastAsiaTheme="minorEastAsia" w:hAnsi="Century" w:cs="Miriam"/>
          <w:b/>
          <w:noProof/>
          <w:sz w:val="22"/>
          <w:rtl/>
        </w:rPr>
      </w:pPr>
      <w:hyperlink w:anchor="_Toc107851345" w:history="1">
        <w:r w:rsidR="009C43F8" w:rsidRPr="009C43F8">
          <w:rPr>
            <w:rStyle w:val="Hyperlink"/>
            <w:rFonts w:ascii="Century" w:hAnsi="Century" w:cs="Miriam" w:hint="eastAsia"/>
            <w:b/>
            <w:noProof/>
            <w:color w:val="auto"/>
            <w:sz w:val="22"/>
            <w:u w:val="none"/>
            <w:rtl/>
          </w:rPr>
          <w:t>ד</w:t>
        </w:r>
        <w:r w:rsidR="009C43F8" w:rsidRPr="009C43F8">
          <w:rPr>
            <w:rStyle w:val="Hyperlink"/>
            <w:rFonts w:ascii="Century" w:hAnsi="Century" w:cs="Miriam"/>
            <w:b/>
            <w:noProof/>
            <w:color w:val="auto"/>
            <w:sz w:val="22"/>
            <w:u w:val="none"/>
            <w:rtl/>
          </w:rPr>
          <w:t xml:space="preserve">.1. </w:t>
        </w:r>
        <w:r w:rsidR="009C43F8" w:rsidRPr="009C43F8">
          <w:rPr>
            <w:rStyle w:val="Hyperlink"/>
            <w:rFonts w:ascii="Century" w:hAnsi="Century" w:cs="Miriam" w:hint="eastAsia"/>
            <w:b/>
            <w:noProof/>
            <w:color w:val="auto"/>
            <w:sz w:val="22"/>
            <w:u w:val="none"/>
            <w:rtl/>
          </w:rPr>
          <w:t>רקע</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עובדתי</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ונורמטיבי</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Toc107851345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11</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3"/>
        <w:tabs>
          <w:tab w:val="right" w:leader="dot" w:pos="8302"/>
        </w:tabs>
        <w:rPr>
          <w:rFonts w:ascii="Century" w:eastAsiaTheme="minorEastAsia" w:hAnsi="Century" w:cs="Miriam"/>
          <w:b/>
          <w:noProof/>
          <w:sz w:val="22"/>
          <w:rtl/>
        </w:rPr>
      </w:pPr>
      <w:hyperlink w:anchor="_Toc107851346" w:history="1">
        <w:r w:rsidR="009C43F8" w:rsidRPr="009C43F8">
          <w:rPr>
            <w:rStyle w:val="Hyperlink"/>
            <w:rFonts w:ascii="Century" w:hAnsi="Century" w:cs="Miriam" w:hint="eastAsia"/>
            <w:b/>
            <w:noProof/>
            <w:color w:val="auto"/>
            <w:sz w:val="22"/>
            <w:u w:val="none"/>
            <w:rtl/>
          </w:rPr>
          <w:t>ד</w:t>
        </w:r>
        <w:r w:rsidR="009C43F8" w:rsidRPr="009C43F8">
          <w:rPr>
            <w:rStyle w:val="Hyperlink"/>
            <w:rFonts w:ascii="Century" w:hAnsi="Century" w:cs="Miriam"/>
            <w:b/>
            <w:noProof/>
            <w:color w:val="auto"/>
            <w:sz w:val="22"/>
            <w:u w:val="none"/>
            <w:rtl/>
          </w:rPr>
          <w:t xml:space="preserve">.1.1 </w:t>
        </w:r>
        <w:r w:rsidR="009C43F8" w:rsidRPr="009C43F8">
          <w:rPr>
            <w:rStyle w:val="Hyperlink"/>
            <w:rFonts w:ascii="Century" w:hAnsi="Century" w:cs="Miriam" w:hint="eastAsia"/>
            <w:b/>
            <w:noProof/>
            <w:color w:val="auto"/>
            <w:sz w:val="22"/>
            <w:u w:val="none"/>
            <w:rtl/>
          </w:rPr>
          <w:t>חסינות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המדינה</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בגין</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נזקי</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מלחמה</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על</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פי</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חוק</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הנזיקים</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האזרחיים</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Toc107851346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11</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3"/>
        <w:tabs>
          <w:tab w:val="right" w:leader="dot" w:pos="8302"/>
        </w:tabs>
        <w:rPr>
          <w:rFonts w:ascii="Century" w:eastAsiaTheme="minorEastAsia" w:hAnsi="Century" w:cs="Miriam"/>
          <w:b/>
          <w:noProof/>
          <w:sz w:val="22"/>
          <w:rtl/>
        </w:rPr>
      </w:pPr>
      <w:hyperlink w:anchor="_Toc107851347" w:history="1">
        <w:r w:rsidR="009C43F8" w:rsidRPr="009C43F8">
          <w:rPr>
            <w:rStyle w:val="Hyperlink"/>
            <w:rFonts w:ascii="Century" w:hAnsi="Century" w:cs="Miriam" w:hint="eastAsia"/>
            <w:b/>
            <w:noProof/>
            <w:color w:val="auto"/>
            <w:sz w:val="22"/>
            <w:u w:val="none"/>
            <w:rtl/>
          </w:rPr>
          <w:t>ד</w:t>
        </w:r>
        <w:r w:rsidR="009C43F8" w:rsidRPr="009C43F8">
          <w:rPr>
            <w:rStyle w:val="Hyperlink"/>
            <w:rFonts w:ascii="Century" w:hAnsi="Century" w:cs="Miriam"/>
            <w:b/>
            <w:noProof/>
            <w:color w:val="auto"/>
            <w:sz w:val="22"/>
            <w:u w:val="none"/>
            <w:rtl/>
          </w:rPr>
          <w:t xml:space="preserve">.2.1. </w:t>
        </w:r>
        <w:r w:rsidR="009C43F8" w:rsidRPr="009C43F8">
          <w:rPr>
            <w:rStyle w:val="Hyperlink"/>
            <w:rFonts w:ascii="Century" w:hAnsi="Century" w:cs="Miriam" w:hint="eastAsia"/>
            <w:b/>
            <w:noProof/>
            <w:color w:val="auto"/>
            <w:sz w:val="22"/>
            <w:u w:val="none"/>
            <w:rtl/>
          </w:rPr>
          <w:t>פרשת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דיראני</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Toc107851347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19</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2"/>
        <w:tabs>
          <w:tab w:val="right" w:leader="dot" w:pos="8302"/>
        </w:tabs>
        <w:rPr>
          <w:rFonts w:ascii="Century" w:eastAsiaTheme="minorEastAsia" w:hAnsi="Century" w:cs="Miriam"/>
          <w:b/>
          <w:noProof/>
          <w:sz w:val="22"/>
          <w:rtl/>
        </w:rPr>
      </w:pPr>
      <w:hyperlink w:anchor="_Toc107851348" w:history="1">
        <w:r w:rsidR="009C43F8" w:rsidRPr="009C43F8">
          <w:rPr>
            <w:rStyle w:val="Hyperlink"/>
            <w:rFonts w:ascii="Century" w:hAnsi="Century" w:cs="Miriam" w:hint="eastAsia"/>
            <w:b/>
            <w:noProof/>
            <w:color w:val="auto"/>
            <w:sz w:val="22"/>
            <w:u w:val="none"/>
            <w:rtl/>
          </w:rPr>
          <w:t>ד</w:t>
        </w:r>
        <w:r w:rsidR="009C43F8" w:rsidRPr="009C43F8">
          <w:rPr>
            <w:rStyle w:val="Hyperlink"/>
            <w:rFonts w:ascii="Century" w:hAnsi="Century" w:cs="Miriam"/>
            <w:b/>
            <w:noProof/>
            <w:color w:val="auto"/>
            <w:sz w:val="22"/>
            <w:u w:val="none"/>
            <w:rtl/>
          </w:rPr>
          <w:t xml:space="preserve">.2. </w:t>
        </w:r>
        <w:r w:rsidR="009C43F8" w:rsidRPr="009C43F8">
          <w:rPr>
            <w:rStyle w:val="Hyperlink"/>
            <w:rFonts w:ascii="Century" w:hAnsi="Century" w:cs="Miriam" w:hint="eastAsia"/>
            <w:b/>
            <w:noProof/>
            <w:color w:val="auto"/>
            <w:sz w:val="22"/>
            <w:u w:val="none"/>
            <w:rtl/>
          </w:rPr>
          <w:t>תקיפה</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עקיפה</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Toc107851348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20</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2"/>
        <w:tabs>
          <w:tab w:val="right" w:leader="dot" w:pos="8302"/>
        </w:tabs>
        <w:rPr>
          <w:rFonts w:ascii="Century" w:eastAsiaTheme="minorEastAsia" w:hAnsi="Century" w:cs="Miriam"/>
          <w:b/>
          <w:noProof/>
          <w:sz w:val="22"/>
          <w:rtl/>
        </w:rPr>
      </w:pPr>
      <w:hyperlink w:anchor="_Toc107851349" w:history="1">
        <w:r w:rsidR="009C43F8" w:rsidRPr="009C43F8">
          <w:rPr>
            <w:rStyle w:val="Hyperlink"/>
            <w:rFonts w:ascii="Century" w:hAnsi="Century" w:cs="Miriam" w:hint="eastAsia"/>
            <w:b/>
            <w:noProof/>
            <w:color w:val="auto"/>
            <w:sz w:val="22"/>
            <w:u w:val="none"/>
            <w:rtl/>
          </w:rPr>
          <w:t>ד</w:t>
        </w:r>
        <w:r w:rsidR="009C43F8" w:rsidRPr="009C43F8">
          <w:rPr>
            <w:rStyle w:val="Hyperlink"/>
            <w:rFonts w:ascii="Century" w:hAnsi="Century" w:cs="Miriam"/>
            <w:b/>
            <w:noProof/>
            <w:color w:val="auto"/>
            <w:sz w:val="22"/>
            <w:u w:val="none"/>
            <w:rtl/>
          </w:rPr>
          <w:t xml:space="preserve">.3. </w:t>
        </w:r>
        <w:r w:rsidR="009C43F8" w:rsidRPr="009C43F8">
          <w:rPr>
            <w:rStyle w:val="Hyperlink"/>
            <w:rFonts w:ascii="Century" w:hAnsi="Century" w:cs="Miriam" w:hint="eastAsia"/>
            <w:b/>
            <w:noProof/>
            <w:color w:val="auto"/>
            <w:sz w:val="22"/>
            <w:u w:val="none"/>
            <w:rtl/>
          </w:rPr>
          <w:t>חוקתיות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סעיף</w:t>
        </w:r>
        <w:r w:rsidR="009C43F8" w:rsidRPr="009C43F8">
          <w:rPr>
            <w:rStyle w:val="Hyperlink"/>
            <w:rFonts w:ascii="Century" w:hAnsi="Century" w:cs="Miriam"/>
            <w:b/>
            <w:noProof/>
            <w:color w:val="auto"/>
            <w:sz w:val="22"/>
            <w:u w:val="none"/>
            <w:rtl/>
          </w:rPr>
          <w:t xml:space="preserve"> 5</w:t>
        </w:r>
        <w:r w:rsidR="009C43F8" w:rsidRPr="009C43F8">
          <w:rPr>
            <w:rStyle w:val="Hyperlink"/>
            <w:rFonts w:ascii="Century" w:hAnsi="Century" w:cs="Miriam" w:hint="eastAsia"/>
            <w:b/>
            <w:noProof/>
            <w:color w:val="auto"/>
            <w:sz w:val="22"/>
            <w:u w:val="none"/>
            <w:rtl/>
          </w:rPr>
          <w:t>ב</w:t>
        </w:r>
        <w:r w:rsidR="009C43F8" w:rsidRPr="009C43F8">
          <w:rPr>
            <w:rStyle w:val="Hyperlink"/>
            <w:rFonts w:ascii="Century" w:hAnsi="Century" w:cs="Miriam"/>
            <w:b/>
            <w:noProof/>
            <w:color w:val="auto"/>
            <w:sz w:val="22"/>
            <w:u w:val="none"/>
            <w:rtl/>
          </w:rPr>
          <w:t>(</w:t>
        </w:r>
        <w:r w:rsidR="009C43F8" w:rsidRPr="009C43F8">
          <w:rPr>
            <w:rStyle w:val="Hyperlink"/>
            <w:rFonts w:ascii="Century" w:hAnsi="Century" w:cs="Miriam" w:hint="eastAsia"/>
            <w:b/>
            <w:noProof/>
            <w:color w:val="auto"/>
            <w:sz w:val="22"/>
            <w:u w:val="none"/>
            <w:rtl/>
          </w:rPr>
          <w:t>א</w:t>
        </w:r>
        <w:r w:rsidR="009C43F8" w:rsidRPr="009C43F8">
          <w:rPr>
            <w:rStyle w:val="Hyperlink"/>
            <w:rFonts w:ascii="Century" w:hAnsi="Century" w:cs="Miriam"/>
            <w:b/>
            <w:noProof/>
            <w:color w:val="auto"/>
            <w:sz w:val="22"/>
            <w:u w:val="none"/>
            <w:rtl/>
          </w:rPr>
          <w:t xml:space="preserve">)(1) </w:t>
        </w:r>
        <w:r w:rsidR="009C43F8" w:rsidRPr="009C43F8">
          <w:rPr>
            <w:rStyle w:val="Hyperlink"/>
            <w:rFonts w:ascii="Century" w:hAnsi="Century" w:cs="Miriam" w:hint="eastAsia"/>
            <w:b/>
            <w:noProof/>
            <w:color w:val="auto"/>
            <w:sz w:val="22"/>
            <w:u w:val="none"/>
            <w:rtl/>
          </w:rPr>
          <w:t>לחוק</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הנזיקים</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האזרחיים</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Toc107851349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28</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3"/>
        <w:tabs>
          <w:tab w:val="right" w:leader="dot" w:pos="8302"/>
        </w:tabs>
        <w:rPr>
          <w:rFonts w:ascii="Century" w:eastAsiaTheme="minorEastAsia" w:hAnsi="Century" w:cs="Miriam"/>
          <w:b/>
          <w:noProof/>
          <w:sz w:val="22"/>
          <w:rtl/>
        </w:rPr>
      </w:pPr>
      <w:hyperlink w:anchor="_Toc107851350" w:history="1">
        <w:r w:rsidR="009C43F8" w:rsidRPr="009C43F8">
          <w:rPr>
            <w:rStyle w:val="Hyperlink"/>
            <w:rFonts w:ascii="Century" w:hAnsi="Century" w:cs="Miriam" w:hint="eastAsia"/>
            <w:b/>
            <w:noProof/>
            <w:color w:val="auto"/>
            <w:sz w:val="22"/>
            <w:u w:val="none"/>
            <w:rtl/>
          </w:rPr>
          <w:t>ד</w:t>
        </w:r>
        <w:r w:rsidR="009C43F8" w:rsidRPr="009C43F8">
          <w:rPr>
            <w:rStyle w:val="Hyperlink"/>
            <w:rFonts w:ascii="Century" w:hAnsi="Century" w:cs="Miriam"/>
            <w:b/>
            <w:noProof/>
            <w:color w:val="auto"/>
            <w:sz w:val="22"/>
            <w:u w:val="none"/>
            <w:rtl/>
          </w:rPr>
          <w:t xml:space="preserve">.1.3. </w:t>
        </w:r>
        <w:r w:rsidR="009C43F8" w:rsidRPr="009C43F8">
          <w:rPr>
            <w:rStyle w:val="Hyperlink"/>
            <w:rFonts w:ascii="Century" w:hAnsi="Century" w:cs="Miriam" w:hint="eastAsia"/>
            <w:b/>
            <w:noProof/>
            <w:color w:val="auto"/>
            <w:sz w:val="22"/>
            <w:u w:val="none"/>
            <w:rtl/>
          </w:rPr>
          <w:t>שלב</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א</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פגיעה</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בזכות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חוקתית</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Toc107851350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30</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4"/>
        <w:tabs>
          <w:tab w:val="right" w:leader="dot" w:pos="8302"/>
        </w:tabs>
        <w:rPr>
          <w:rFonts w:ascii="Century" w:eastAsiaTheme="minorEastAsia" w:hAnsi="Century" w:cs="Miriam"/>
          <w:b/>
          <w:noProof/>
          <w:sz w:val="22"/>
          <w:rtl/>
        </w:rPr>
      </w:pPr>
      <w:hyperlink w:anchor="_Toc107851351" w:history="1">
        <w:r w:rsidR="009C43F8" w:rsidRPr="009C43F8">
          <w:rPr>
            <w:rStyle w:val="Hyperlink"/>
            <w:rFonts w:ascii="Century" w:hAnsi="Century" w:cs="Miriam" w:hint="eastAsia"/>
            <w:b/>
            <w:noProof/>
            <w:color w:val="auto"/>
            <w:sz w:val="22"/>
            <w:u w:val="none"/>
            <w:rtl/>
          </w:rPr>
          <w:t>ד</w:t>
        </w:r>
        <w:r w:rsidR="009C43F8" w:rsidRPr="009C43F8">
          <w:rPr>
            <w:rStyle w:val="Hyperlink"/>
            <w:rFonts w:ascii="Century" w:hAnsi="Century" w:cs="Miriam"/>
            <w:b/>
            <w:noProof/>
            <w:color w:val="auto"/>
            <w:sz w:val="22"/>
            <w:u w:val="none"/>
            <w:rtl/>
          </w:rPr>
          <w:t xml:space="preserve">.1.1.3. </w:t>
        </w:r>
        <w:r w:rsidR="009C43F8" w:rsidRPr="009C43F8">
          <w:rPr>
            <w:rStyle w:val="Hyperlink"/>
            <w:rFonts w:ascii="Century" w:hAnsi="Century" w:cs="Miriam" w:hint="eastAsia"/>
            <w:b/>
            <w:noProof/>
            <w:color w:val="auto"/>
            <w:sz w:val="22"/>
            <w:u w:val="none"/>
            <w:rtl/>
          </w:rPr>
          <w:t>פגיעה</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בזכות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שמקורה</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בדין</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הבינלאומי</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Toc107851351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30</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4"/>
        <w:tabs>
          <w:tab w:val="right" w:leader="dot" w:pos="8302"/>
        </w:tabs>
        <w:rPr>
          <w:rFonts w:ascii="Century" w:eastAsiaTheme="minorEastAsia" w:hAnsi="Century" w:cs="Miriam"/>
          <w:b/>
          <w:noProof/>
          <w:sz w:val="22"/>
          <w:rtl/>
        </w:rPr>
      </w:pPr>
      <w:hyperlink w:anchor="_Toc107851352" w:history="1">
        <w:r w:rsidR="009C43F8" w:rsidRPr="009C43F8">
          <w:rPr>
            <w:rStyle w:val="Hyperlink"/>
            <w:rFonts w:ascii="Century" w:hAnsi="Century" w:cs="Miriam" w:hint="eastAsia"/>
            <w:b/>
            <w:noProof/>
            <w:color w:val="auto"/>
            <w:sz w:val="22"/>
            <w:u w:val="none"/>
            <w:rtl/>
          </w:rPr>
          <w:t>ד</w:t>
        </w:r>
        <w:r w:rsidR="009C43F8" w:rsidRPr="009C43F8">
          <w:rPr>
            <w:rStyle w:val="Hyperlink"/>
            <w:rFonts w:ascii="Century" w:hAnsi="Century" w:cs="Miriam"/>
            <w:b/>
            <w:noProof/>
            <w:color w:val="auto"/>
            <w:sz w:val="22"/>
            <w:u w:val="none"/>
            <w:rtl/>
          </w:rPr>
          <w:t xml:space="preserve">.2.1.3. </w:t>
        </w:r>
        <w:r w:rsidR="009C43F8" w:rsidRPr="009C43F8">
          <w:rPr>
            <w:rStyle w:val="Hyperlink"/>
            <w:rFonts w:ascii="Century" w:hAnsi="Century" w:cs="Miriam" w:hint="eastAsia"/>
            <w:b/>
            <w:noProof/>
            <w:color w:val="auto"/>
            <w:sz w:val="22"/>
            <w:u w:val="none"/>
            <w:rtl/>
          </w:rPr>
          <w:t>עילת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תביעה</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אישית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לפי</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המשפט</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הבינלאומי</w:t>
        </w:r>
        <w:r w:rsidR="009C43F8" w:rsidRPr="009C43F8">
          <w:rPr>
            <w:rStyle w:val="Hyperlink"/>
            <w:rFonts w:ascii="Century" w:hAnsi="Century" w:cs="Miriam"/>
            <w:b/>
            <w:noProof/>
            <w:color w:val="auto"/>
            <w:sz w:val="22"/>
            <w:u w:val="none"/>
            <w:rtl/>
          </w:rPr>
          <w:t>?</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Toc107851352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32</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4"/>
        <w:tabs>
          <w:tab w:val="right" w:leader="dot" w:pos="8302"/>
        </w:tabs>
        <w:rPr>
          <w:rFonts w:ascii="Century" w:eastAsiaTheme="minorEastAsia" w:hAnsi="Century" w:cs="Miriam"/>
          <w:b/>
          <w:noProof/>
          <w:sz w:val="22"/>
          <w:rtl/>
        </w:rPr>
      </w:pPr>
      <w:hyperlink w:anchor="_Toc107851353" w:history="1">
        <w:r w:rsidR="009C43F8" w:rsidRPr="009C43F8">
          <w:rPr>
            <w:rStyle w:val="Hyperlink"/>
            <w:rFonts w:ascii="Century" w:hAnsi="Century" w:cs="Miriam" w:hint="eastAsia"/>
            <w:b/>
            <w:noProof/>
            <w:color w:val="auto"/>
            <w:sz w:val="22"/>
            <w:u w:val="none"/>
            <w:rtl/>
          </w:rPr>
          <w:t>ד</w:t>
        </w:r>
        <w:r w:rsidR="009C43F8" w:rsidRPr="009C43F8">
          <w:rPr>
            <w:rStyle w:val="Hyperlink"/>
            <w:rFonts w:ascii="Century" w:hAnsi="Century" w:cs="Miriam"/>
            <w:b/>
            <w:noProof/>
            <w:color w:val="auto"/>
            <w:sz w:val="22"/>
            <w:u w:val="none"/>
            <w:rtl/>
          </w:rPr>
          <w:t xml:space="preserve">.3.1.3. </w:t>
        </w:r>
        <w:r w:rsidR="009C43F8" w:rsidRPr="009C43F8">
          <w:rPr>
            <w:rStyle w:val="Hyperlink"/>
            <w:rFonts w:ascii="Century" w:hAnsi="Century" w:cs="Miriam" w:hint="eastAsia"/>
            <w:b/>
            <w:noProof/>
            <w:color w:val="auto"/>
            <w:sz w:val="22"/>
            <w:u w:val="none"/>
            <w:rtl/>
          </w:rPr>
          <w:t>הזכויות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הנפגעות</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Toc107851353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37</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4"/>
        <w:tabs>
          <w:tab w:val="right" w:leader="dot" w:pos="8302"/>
        </w:tabs>
        <w:rPr>
          <w:rFonts w:ascii="Century" w:eastAsiaTheme="minorEastAsia" w:hAnsi="Century" w:cs="Miriam"/>
          <w:b/>
          <w:noProof/>
          <w:sz w:val="22"/>
          <w:rtl/>
        </w:rPr>
      </w:pPr>
      <w:hyperlink w:anchor="_Toc107851354" w:history="1">
        <w:r w:rsidR="009C43F8" w:rsidRPr="009C43F8">
          <w:rPr>
            <w:rStyle w:val="Hyperlink"/>
            <w:rFonts w:ascii="Century" w:hAnsi="Century" w:cs="Miriam" w:hint="eastAsia"/>
            <w:b/>
            <w:noProof/>
            <w:color w:val="auto"/>
            <w:sz w:val="22"/>
            <w:u w:val="none"/>
            <w:rtl/>
          </w:rPr>
          <w:t>ד</w:t>
        </w:r>
        <w:r w:rsidR="009C43F8" w:rsidRPr="009C43F8">
          <w:rPr>
            <w:rStyle w:val="Hyperlink"/>
            <w:rFonts w:ascii="Century" w:hAnsi="Century" w:cs="Miriam"/>
            <w:b/>
            <w:noProof/>
            <w:color w:val="auto"/>
            <w:sz w:val="22"/>
            <w:u w:val="none"/>
            <w:rtl/>
          </w:rPr>
          <w:t xml:space="preserve">.4.1.3. </w:t>
        </w:r>
        <w:r w:rsidR="009C43F8" w:rsidRPr="009C43F8">
          <w:rPr>
            <w:rStyle w:val="Hyperlink"/>
            <w:rFonts w:ascii="Century" w:hAnsi="Century" w:cs="Miriam" w:hint="eastAsia"/>
            <w:b/>
            <w:noProof/>
            <w:color w:val="auto"/>
            <w:sz w:val="22"/>
            <w:u w:val="none"/>
            <w:rtl/>
          </w:rPr>
          <w:t>שאלת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התחולה</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האקסטרה</w:t>
        </w:r>
        <w:r w:rsidR="009C43F8" w:rsidRPr="009C43F8">
          <w:rPr>
            <w:rStyle w:val="Hyperlink"/>
            <w:rFonts w:ascii="Century" w:hAnsi="Century" w:cs="Miriam"/>
            <w:b/>
            <w:noProof/>
            <w:color w:val="auto"/>
            <w:sz w:val="22"/>
            <w:u w:val="none"/>
            <w:rtl/>
          </w:rPr>
          <w:t>-</w:t>
        </w:r>
        <w:r w:rsidR="009C43F8" w:rsidRPr="009C43F8">
          <w:rPr>
            <w:rStyle w:val="Hyperlink"/>
            <w:rFonts w:ascii="Century" w:hAnsi="Century" w:cs="Miriam" w:hint="eastAsia"/>
            <w:b/>
            <w:noProof/>
            <w:color w:val="auto"/>
            <w:sz w:val="22"/>
            <w:u w:val="none"/>
            <w:rtl/>
          </w:rPr>
          <w:t>טריטוריאלית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של</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חוקי</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היסוד</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בשטח</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אויב</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Toc107851354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39</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4"/>
        <w:tabs>
          <w:tab w:val="right" w:leader="dot" w:pos="8302"/>
        </w:tabs>
        <w:rPr>
          <w:rFonts w:ascii="Century" w:eastAsiaTheme="minorEastAsia" w:hAnsi="Century" w:cs="Miriam"/>
          <w:b/>
          <w:noProof/>
          <w:sz w:val="22"/>
          <w:rtl/>
        </w:rPr>
      </w:pPr>
      <w:hyperlink w:anchor="_Toc107851355" w:history="1">
        <w:r w:rsidR="009C43F8" w:rsidRPr="009C43F8">
          <w:rPr>
            <w:rStyle w:val="Hyperlink"/>
            <w:rFonts w:ascii="Century" w:hAnsi="Century" w:cs="Miriam" w:hint="eastAsia"/>
            <w:b/>
            <w:noProof/>
            <w:color w:val="auto"/>
            <w:sz w:val="22"/>
            <w:u w:val="none"/>
            <w:rtl/>
          </w:rPr>
          <w:t>ד</w:t>
        </w:r>
        <w:r w:rsidR="009C43F8" w:rsidRPr="009C43F8">
          <w:rPr>
            <w:rStyle w:val="Hyperlink"/>
            <w:rFonts w:ascii="Century" w:hAnsi="Century" w:cs="Miriam"/>
            <w:b/>
            <w:noProof/>
            <w:color w:val="auto"/>
            <w:sz w:val="22"/>
            <w:u w:val="none"/>
            <w:rtl/>
          </w:rPr>
          <w:t xml:space="preserve">.5.1.3. </w:t>
        </w:r>
        <w:r w:rsidR="009C43F8" w:rsidRPr="009C43F8">
          <w:rPr>
            <w:rStyle w:val="Hyperlink"/>
            <w:rFonts w:ascii="Century" w:hAnsi="Century" w:cs="Miriam" w:hint="eastAsia"/>
            <w:b/>
            <w:noProof/>
            <w:color w:val="auto"/>
            <w:sz w:val="22"/>
            <w:u w:val="none"/>
            <w:rtl/>
          </w:rPr>
          <w:t>הפסיקה</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בשאלת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התחולה</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הגיאוגרפית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של</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חוקי</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היסוד</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Toc107851355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42</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3"/>
        <w:tabs>
          <w:tab w:val="right" w:leader="dot" w:pos="8302"/>
        </w:tabs>
        <w:rPr>
          <w:rFonts w:ascii="Century" w:eastAsiaTheme="minorEastAsia" w:hAnsi="Century" w:cs="Miriam"/>
          <w:b/>
          <w:noProof/>
          <w:sz w:val="22"/>
          <w:rtl/>
        </w:rPr>
      </w:pPr>
      <w:hyperlink w:anchor="_Toc107851356" w:history="1">
        <w:r w:rsidR="009C43F8" w:rsidRPr="009C43F8">
          <w:rPr>
            <w:rStyle w:val="Hyperlink"/>
            <w:rFonts w:ascii="Century" w:hAnsi="Century" w:cs="Miriam" w:hint="eastAsia"/>
            <w:b/>
            <w:noProof/>
            <w:color w:val="auto"/>
            <w:sz w:val="22"/>
            <w:u w:val="none"/>
            <w:rtl/>
          </w:rPr>
          <w:t>ד</w:t>
        </w:r>
        <w:r w:rsidR="009C43F8" w:rsidRPr="009C43F8">
          <w:rPr>
            <w:rStyle w:val="Hyperlink"/>
            <w:rFonts w:ascii="Century" w:hAnsi="Century" w:cs="Miriam"/>
            <w:b/>
            <w:noProof/>
            <w:color w:val="auto"/>
            <w:sz w:val="22"/>
            <w:u w:val="none"/>
            <w:rtl/>
          </w:rPr>
          <w:t xml:space="preserve">.2.3. </w:t>
        </w:r>
        <w:r w:rsidR="009C43F8" w:rsidRPr="009C43F8">
          <w:rPr>
            <w:rStyle w:val="Hyperlink"/>
            <w:rFonts w:ascii="Century" w:hAnsi="Century" w:cs="Miriam" w:hint="eastAsia"/>
            <w:b/>
            <w:noProof/>
            <w:color w:val="auto"/>
            <w:sz w:val="22"/>
            <w:u w:val="none"/>
            <w:rtl/>
          </w:rPr>
          <w:t>שלב</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ב</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פסקת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ההגבלה</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Toc107851356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52</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4"/>
        <w:tabs>
          <w:tab w:val="right" w:leader="dot" w:pos="8302"/>
        </w:tabs>
        <w:rPr>
          <w:rFonts w:ascii="Century" w:eastAsiaTheme="minorEastAsia" w:hAnsi="Century" w:cs="Miriam"/>
          <w:b/>
          <w:noProof/>
          <w:sz w:val="22"/>
          <w:rtl/>
        </w:rPr>
      </w:pPr>
      <w:hyperlink w:anchor="_Toc107851357" w:history="1">
        <w:r w:rsidR="009C43F8" w:rsidRPr="009C43F8">
          <w:rPr>
            <w:rStyle w:val="Hyperlink"/>
            <w:rFonts w:ascii="Century" w:hAnsi="Century" w:cs="Miriam" w:hint="eastAsia"/>
            <w:b/>
            <w:noProof/>
            <w:color w:val="auto"/>
            <w:sz w:val="22"/>
            <w:u w:val="none"/>
            <w:rtl/>
          </w:rPr>
          <w:t>ד</w:t>
        </w:r>
        <w:r w:rsidR="009C43F8" w:rsidRPr="009C43F8">
          <w:rPr>
            <w:rStyle w:val="Hyperlink"/>
            <w:rFonts w:ascii="Century" w:hAnsi="Century" w:cs="Miriam"/>
            <w:b/>
            <w:noProof/>
            <w:color w:val="auto"/>
            <w:sz w:val="22"/>
            <w:u w:val="none"/>
            <w:rtl/>
          </w:rPr>
          <w:t xml:space="preserve">.1.2.3. </w:t>
        </w:r>
        <w:r w:rsidR="009C43F8" w:rsidRPr="009C43F8">
          <w:rPr>
            <w:rStyle w:val="Hyperlink"/>
            <w:rFonts w:ascii="Century" w:hAnsi="Century" w:cs="Miriam" w:hint="eastAsia"/>
            <w:b/>
            <w:noProof/>
            <w:color w:val="auto"/>
            <w:sz w:val="22"/>
            <w:u w:val="none"/>
            <w:rtl/>
          </w:rPr>
          <w:t>הפגיעה</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בזכות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האדם</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נעשתה</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בחוק</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Toc107851357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52</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4"/>
        <w:tabs>
          <w:tab w:val="right" w:leader="dot" w:pos="8302"/>
        </w:tabs>
        <w:rPr>
          <w:rFonts w:ascii="Century" w:eastAsiaTheme="minorEastAsia" w:hAnsi="Century" w:cs="Miriam"/>
          <w:b/>
          <w:noProof/>
          <w:sz w:val="22"/>
          <w:rtl/>
        </w:rPr>
      </w:pPr>
      <w:hyperlink w:anchor="_Toc107851358" w:history="1">
        <w:r w:rsidR="009C43F8" w:rsidRPr="009C43F8">
          <w:rPr>
            <w:rStyle w:val="Hyperlink"/>
            <w:rFonts w:ascii="Century" w:hAnsi="Century" w:cs="Miriam" w:hint="eastAsia"/>
            <w:b/>
            <w:noProof/>
            <w:color w:val="auto"/>
            <w:sz w:val="22"/>
            <w:u w:val="none"/>
            <w:rtl/>
          </w:rPr>
          <w:t>ד</w:t>
        </w:r>
        <w:r w:rsidR="009C43F8" w:rsidRPr="009C43F8">
          <w:rPr>
            <w:rStyle w:val="Hyperlink"/>
            <w:rFonts w:ascii="Century" w:hAnsi="Century" w:cs="Miriam"/>
            <w:b/>
            <w:noProof/>
            <w:color w:val="auto"/>
            <w:sz w:val="22"/>
            <w:u w:val="none"/>
            <w:rtl/>
          </w:rPr>
          <w:t xml:space="preserve">.2.2.3. </w:t>
        </w:r>
        <w:r w:rsidR="009C43F8" w:rsidRPr="009C43F8">
          <w:rPr>
            <w:rStyle w:val="Hyperlink"/>
            <w:rFonts w:ascii="Century" w:hAnsi="Century" w:cs="Miriam" w:hint="eastAsia"/>
            <w:b/>
            <w:noProof/>
            <w:color w:val="auto"/>
            <w:sz w:val="22"/>
            <w:u w:val="none"/>
            <w:rtl/>
          </w:rPr>
          <w:t>החוק</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נועד</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לתכלית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ראויה</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Toc107851358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55</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4"/>
        <w:tabs>
          <w:tab w:val="right" w:leader="dot" w:pos="8302"/>
        </w:tabs>
        <w:rPr>
          <w:rFonts w:ascii="Century" w:eastAsiaTheme="minorEastAsia" w:hAnsi="Century" w:cs="Miriam"/>
          <w:b/>
          <w:noProof/>
          <w:sz w:val="22"/>
          <w:rtl/>
        </w:rPr>
      </w:pPr>
      <w:hyperlink w:anchor="_Toc107851359" w:history="1">
        <w:r w:rsidR="009C43F8" w:rsidRPr="009C43F8">
          <w:rPr>
            <w:rStyle w:val="Hyperlink"/>
            <w:rFonts w:ascii="Century" w:hAnsi="Century" w:cs="Miriam" w:hint="eastAsia"/>
            <w:b/>
            <w:noProof/>
            <w:color w:val="auto"/>
            <w:sz w:val="22"/>
            <w:u w:val="none"/>
            <w:rtl/>
          </w:rPr>
          <w:t>ד</w:t>
        </w:r>
        <w:r w:rsidR="009C43F8" w:rsidRPr="009C43F8">
          <w:rPr>
            <w:rStyle w:val="Hyperlink"/>
            <w:rFonts w:ascii="Century" w:hAnsi="Century" w:cs="Miriam"/>
            <w:b/>
            <w:noProof/>
            <w:color w:val="auto"/>
            <w:sz w:val="22"/>
            <w:u w:val="none"/>
            <w:rtl/>
          </w:rPr>
          <w:t xml:space="preserve">.3.2.3. </w:t>
        </w:r>
        <w:r w:rsidR="009C43F8" w:rsidRPr="009C43F8">
          <w:rPr>
            <w:rStyle w:val="Hyperlink"/>
            <w:rFonts w:ascii="Century" w:hAnsi="Century" w:cs="Miriam" w:hint="eastAsia"/>
            <w:b/>
            <w:noProof/>
            <w:color w:val="auto"/>
            <w:sz w:val="22"/>
            <w:u w:val="none"/>
            <w:rtl/>
          </w:rPr>
          <w:t>האם</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הפגיעה</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מכוח</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החוק</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היא</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במידה</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שאינה</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עולה</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על</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הנדרש</w:t>
        </w:r>
        <w:r w:rsidR="009C43F8" w:rsidRPr="009C43F8">
          <w:rPr>
            <w:rStyle w:val="Hyperlink"/>
            <w:rFonts w:ascii="Century" w:hAnsi="Century" w:cs="Miriam"/>
            <w:b/>
            <w:noProof/>
            <w:color w:val="auto"/>
            <w:sz w:val="22"/>
            <w:u w:val="none"/>
            <w:rtl/>
          </w:rPr>
          <w:t>?</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Toc107851359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59</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5"/>
        <w:tabs>
          <w:tab w:val="right" w:leader="dot" w:pos="8302"/>
        </w:tabs>
        <w:rPr>
          <w:rFonts w:ascii="Century" w:eastAsiaTheme="minorEastAsia" w:hAnsi="Century" w:cs="Miriam"/>
          <w:b/>
          <w:noProof/>
          <w:sz w:val="22"/>
          <w:rtl/>
        </w:rPr>
      </w:pPr>
      <w:hyperlink w:anchor="_Toc107851360" w:history="1">
        <w:r w:rsidR="009C43F8" w:rsidRPr="009C43F8">
          <w:rPr>
            <w:rStyle w:val="Hyperlink"/>
            <w:rFonts w:ascii="Century" w:hAnsi="Century" w:cs="Miriam" w:hint="eastAsia"/>
            <w:b/>
            <w:noProof/>
            <w:color w:val="auto"/>
            <w:sz w:val="22"/>
            <w:u w:val="none"/>
            <w:rtl/>
          </w:rPr>
          <w:t>ד</w:t>
        </w:r>
        <w:r w:rsidR="009C43F8" w:rsidRPr="009C43F8">
          <w:rPr>
            <w:rStyle w:val="Hyperlink"/>
            <w:rFonts w:ascii="Century" w:hAnsi="Century" w:cs="Miriam"/>
            <w:b/>
            <w:noProof/>
            <w:color w:val="auto"/>
            <w:sz w:val="22"/>
            <w:u w:val="none"/>
            <w:rtl/>
          </w:rPr>
          <w:t xml:space="preserve">.1.3.2.3. </w:t>
        </w:r>
        <w:r w:rsidR="009C43F8" w:rsidRPr="009C43F8">
          <w:rPr>
            <w:rStyle w:val="Hyperlink"/>
            <w:rFonts w:ascii="Century" w:hAnsi="Century" w:cs="Miriam" w:hint="eastAsia"/>
            <w:b/>
            <w:noProof/>
            <w:color w:val="auto"/>
            <w:sz w:val="22"/>
            <w:u w:val="none"/>
            <w:rtl/>
          </w:rPr>
          <w:t>הקשר</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הרציונלי</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Toc107851360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59</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5"/>
        <w:tabs>
          <w:tab w:val="right" w:leader="dot" w:pos="8302"/>
        </w:tabs>
        <w:rPr>
          <w:rFonts w:ascii="Century" w:eastAsiaTheme="minorEastAsia" w:hAnsi="Century" w:cs="Miriam"/>
          <w:b/>
          <w:noProof/>
          <w:sz w:val="22"/>
          <w:rtl/>
        </w:rPr>
      </w:pPr>
      <w:hyperlink w:anchor="_Toc107851361" w:history="1">
        <w:r w:rsidR="009C43F8" w:rsidRPr="009C43F8">
          <w:rPr>
            <w:rStyle w:val="Hyperlink"/>
            <w:rFonts w:ascii="Century" w:hAnsi="Century" w:cs="Miriam" w:hint="eastAsia"/>
            <w:b/>
            <w:noProof/>
            <w:color w:val="auto"/>
            <w:sz w:val="22"/>
            <w:u w:val="none"/>
            <w:rtl/>
          </w:rPr>
          <w:t>ד</w:t>
        </w:r>
        <w:r w:rsidR="009C43F8" w:rsidRPr="009C43F8">
          <w:rPr>
            <w:rStyle w:val="Hyperlink"/>
            <w:rFonts w:ascii="Century" w:hAnsi="Century" w:cs="Miriam"/>
            <w:b/>
            <w:noProof/>
            <w:color w:val="auto"/>
            <w:sz w:val="22"/>
            <w:u w:val="none"/>
            <w:rtl/>
          </w:rPr>
          <w:t xml:space="preserve">.2.3.2.3. </w:t>
        </w:r>
        <w:r w:rsidR="009C43F8" w:rsidRPr="009C43F8">
          <w:rPr>
            <w:rStyle w:val="Hyperlink"/>
            <w:rFonts w:ascii="Century" w:hAnsi="Century" w:cs="Miriam" w:hint="eastAsia"/>
            <w:b/>
            <w:noProof/>
            <w:color w:val="auto"/>
            <w:sz w:val="22"/>
            <w:u w:val="none"/>
            <w:rtl/>
          </w:rPr>
          <w:t>האמצעי</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שפגיעתו</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פחותה</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Toc107851361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60</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6"/>
        <w:tabs>
          <w:tab w:val="left" w:pos="2651"/>
          <w:tab w:val="right" w:leader="dot" w:pos="8302"/>
        </w:tabs>
        <w:rPr>
          <w:rFonts w:ascii="Century" w:hAnsi="Century" w:cs="Miriam"/>
          <w:b/>
          <w:noProof/>
          <w:sz w:val="22"/>
          <w:rtl/>
        </w:rPr>
      </w:pPr>
      <w:hyperlink w:anchor="_Toc107851362" w:history="1">
        <w:r w:rsidR="009C43F8" w:rsidRPr="009C43F8">
          <w:rPr>
            <w:rStyle w:val="Hyperlink"/>
            <w:rFonts w:ascii="Century" w:hAnsi="Century" w:cs="Miriam"/>
            <w:bCs/>
            <w:noProof/>
            <w:color w:val="auto"/>
            <w:sz w:val="22"/>
            <w:u w:val="none"/>
          </w:rPr>
          <w:t>I</w:t>
        </w:r>
        <w:r w:rsidR="009C43F8" w:rsidRPr="009C43F8">
          <w:rPr>
            <w:rStyle w:val="Hyperlink"/>
            <w:rFonts w:ascii="Century" w:hAnsi="Century" w:cs="Miriam"/>
            <w:bCs/>
            <w:noProof/>
            <w:color w:val="auto"/>
            <w:sz w:val="22"/>
            <w:u w:val="none"/>
            <w:rtl/>
          </w:rPr>
          <w:t>.</w:t>
        </w:r>
        <w:r w:rsidR="009C43F8">
          <w:rPr>
            <w:rFonts w:ascii="Century" w:hAnsi="Century" w:cs="Miriam" w:hint="cs"/>
            <w:b/>
            <w:noProof/>
            <w:sz w:val="22"/>
            <w:rtl/>
          </w:rPr>
          <w:t xml:space="preserve"> </w:t>
        </w:r>
        <w:r w:rsidR="009C43F8">
          <w:rPr>
            <w:rStyle w:val="Hyperlink"/>
            <w:rFonts w:ascii="Century" w:hAnsi="Century" w:cs="Miriam" w:hint="cs"/>
            <w:b/>
            <w:noProof/>
            <w:color w:val="auto"/>
            <w:sz w:val="22"/>
            <w:u w:val="none"/>
            <w:rtl/>
          </w:rPr>
          <w:t xml:space="preserve">  </w:t>
        </w:r>
        <w:r w:rsidR="009C43F8" w:rsidRPr="009C43F8">
          <w:rPr>
            <w:rStyle w:val="Hyperlink"/>
            <w:rFonts w:ascii="Century" w:hAnsi="Century" w:cs="Miriam" w:hint="eastAsia"/>
            <w:b/>
            <w:noProof/>
            <w:color w:val="auto"/>
            <w:sz w:val="22"/>
            <w:u w:val="none"/>
            <w:rtl/>
          </w:rPr>
          <w:t>גזירה</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שווה</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מעניין</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עדאלה</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לענייננו</w:t>
        </w:r>
        <w:r w:rsidR="009C43F8" w:rsidRPr="009C43F8">
          <w:rPr>
            <w:rStyle w:val="Hyperlink"/>
            <w:rFonts w:ascii="Century" w:hAnsi="Century" w:cs="Miriam"/>
            <w:b/>
            <w:noProof/>
            <w:color w:val="auto"/>
            <w:sz w:val="22"/>
            <w:u w:val="none"/>
            <w:rtl/>
          </w:rPr>
          <w:t>-</w:t>
        </w:r>
        <w:r w:rsidR="009C43F8" w:rsidRPr="009C43F8">
          <w:rPr>
            <w:rStyle w:val="Hyperlink"/>
            <w:rFonts w:ascii="Century" w:hAnsi="Century" w:cs="Miriam" w:hint="eastAsia"/>
            <w:b/>
            <w:noProof/>
            <w:color w:val="auto"/>
            <w:sz w:val="22"/>
            <w:u w:val="none"/>
            <w:rtl/>
          </w:rPr>
          <w:t>אנו</w:t>
        </w:r>
        <w:r w:rsidR="009C43F8" w:rsidRPr="009C43F8">
          <w:rPr>
            <w:rStyle w:val="Hyperlink"/>
            <w:rFonts w:ascii="Century" w:hAnsi="Century" w:cs="Miriam"/>
            <w:b/>
            <w:noProof/>
            <w:color w:val="auto"/>
            <w:sz w:val="22"/>
            <w:u w:val="none"/>
            <w:rtl/>
          </w:rPr>
          <w:t>?</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Toc107851362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61</w:t>
        </w:r>
        <w:r w:rsidR="009C43F8" w:rsidRPr="009C43F8">
          <w:rPr>
            <w:rStyle w:val="Hyperlink"/>
            <w:rFonts w:ascii="Century" w:hAnsi="Century" w:cs="Miriam"/>
            <w:b/>
            <w:noProof/>
            <w:color w:val="auto"/>
            <w:sz w:val="22"/>
            <w:u w:val="none"/>
            <w:rtl/>
          </w:rPr>
          <w:fldChar w:fldCharType="end"/>
        </w:r>
      </w:hyperlink>
    </w:p>
    <w:p w:rsidR="009C43F8" w:rsidRPr="009C43F8" w:rsidRDefault="00017461" w:rsidP="009C43F8">
      <w:pPr>
        <w:pStyle w:val="TOC6"/>
        <w:tabs>
          <w:tab w:val="left" w:pos="2706"/>
          <w:tab w:val="right" w:leader="dot" w:pos="8302"/>
        </w:tabs>
        <w:rPr>
          <w:rFonts w:ascii="Century" w:hAnsi="Century" w:cs="Miriam"/>
          <w:b/>
          <w:noProof/>
          <w:sz w:val="22"/>
          <w:rtl/>
        </w:rPr>
      </w:pPr>
      <w:hyperlink w:anchor="_Toc107851363" w:history="1">
        <w:r w:rsidR="009C43F8" w:rsidRPr="009C43F8">
          <w:rPr>
            <w:rStyle w:val="Hyperlink"/>
            <w:rFonts w:ascii="Century" w:hAnsi="Century" w:cs="Miriam"/>
            <w:bCs/>
            <w:noProof/>
            <w:color w:val="auto"/>
            <w:sz w:val="22"/>
            <w:u w:val="none"/>
          </w:rPr>
          <w:t>II</w:t>
        </w:r>
        <w:r w:rsidR="009C43F8" w:rsidRPr="009C43F8">
          <w:rPr>
            <w:rStyle w:val="Hyperlink"/>
            <w:rFonts w:ascii="Century" w:hAnsi="Century" w:cs="Miriam"/>
            <w:bCs/>
            <w:noProof/>
            <w:color w:val="auto"/>
            <w:sz w:val="22"/>
            <w:u w:val="none"/>
            <w:rtl/>
          </w:rPr>
          <w:t>.</w:t>
        </w:r>
        <w:r w:rsidR="009C43F8">
          <w:rPr>
            <w:rStyle w:val="Hyperlink"/>
            <w:rFonts w:ascii="Century" w:hAnsi="Century" w:cs="Miriam" w:hint="cs"/>
            <w:b/>
            <w:noProof/>
            <w:color w:val="auto"/>
            <w:sz w:val="22"/>
            <w:u w:val="none"/>
            <w:rtl/>
          </w:rPr>
          <w:t xml:space="preserve">  </w:t>
        </w:r>
        <w:r w:rsidR="009C43F8" w:rsidRPr="009C43F8">
          <w:rPr>
            <w:rStyle w:val="Hyperlink"/>
            <w:rFonts w:ascii="Century" w:hAnsi="Century" w:cs="Miriam" w:hint="eastAsia"/>
            <w:b/>
            <w:noProof/>
            <w:color w:val="auto"/>
            <w:sz w:val="22"/>
            <w:u w:val="none"/>
            <w:rtl/>
          </w:rPr>
          <w:t>השפעת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עניין</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דיראני</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על</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נסיבות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העניין</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דנן</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Toc107851363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65</w:t>
        </w:r>
        <w:r w:rsidR="009C43F8" w:rsidRPr="009C43F8">
          <w:rPr>
            <w:rStyle w:val="Hyperlink"/>
            <w:rFonts w:ascii="Century" w:hAnsi="Century" w:cs="Miriam"/>
            <w:b/>
            <w:noProof/>
            <w:color w:val="auto"/>
            <w:sz w:val="22"/>
            <w:u w:val="none"/>
            <w:rtl/>
          </w:rPr>
          <w:fldChar w:fldCharType="end"/>
        </w:r>
      </w:hyperlink>
    </w:p>
    <w:p w:rsidR="009C43F8" w:rsidRPr="009C43F8" w:rsidRDefault="00017461" w:rsidP="00517E69">
      <w:pPr>
        <w:pStyle w:val="TOC6"/>
        <w:tabs>
          <w:tab w:val="left" w:pos="2762"/>
          <w:tab w:val="right" w:leader="dot" w:pos="8302"/>
        </w:tabs>
        <w:rPr>
          <w:rFonts w:ascii="Century" w:hAnsi="Century" w:cs="Miriam"/>
          <w:b/>
          <w:noProof/>
          <w:sz w:val="22"/>
          <w:rtl/>
        </w:rPr>
      </w:pPr>
      <w:hyperlink w:anchor="_Toc107851364" w:history="1">
        <w:r w:rsidR="009C43F8" w:rsidRPr="009C43F8">
          <w:rPr>
            <w:rStyle w:val="Hyperlink"/>
            <w:rFonts w:ascii="Century" w:hAnsi="Century" w:cs="Miriam"/>
            <w:bCs/>
            <w:noProof/>
            <w:color w:val="auto"/>
            <w:sz w:val="22"/>
            <w:u w:val="none"/>
          </w:rPr>
          <w:t>III</w:t>
        </w:r>
        <w:r w:rsidR="009C43F8" w:rsidRPr="009C43F8">
          <w:rPr>
            <w:rStyle w:val="Hyperlink"/>
            <w:rFonts w:ascii="Century" w:hAnsi="Century" w:cs="Miriam"/>
            <w:bCs/>
            <w:noProof/>
            <w:color w:val="auto"/>
            <w:sz w:val="22"/>
            <w:u w:val="none"/>
            <w:rtl/>
          </w:rPr>
          <w:t>.</w:t>
        </w:r>
        <w:r w:rsidR="009C43F8">
          <w:rPr>
            <w:rStyle w:val="Hyperlink"/>
            <w:rFonts w:ascii="Century" w:hAnsi="Century" w:cs="Miriam" w:hint="cs"/>
            <w:b/>
            <w:noProof/>
            <w:color w:val="auto"/>
            <w:sz w:val="22"/>
            <w:u w:val="none"/>
            <w:rtl/>
          </w:rPr>
          <w:t xml:space="preserve"> </w:t>
        </w:r>
        <w:r w:rsidR="009C43F8" w:rsidRPr="009C43F8">
          <w:rPr>
            <w:rStyle w:val="Hyperlink"/>
            <w:rFonts w:ascii="Century" w:hAnsi="Century" w:cs="Miriam" w:hint="eastAsia"/>
            <w:b/>
            <w:noProof/>
            <w:color w:val="auto"/>
            <w:sz w:val="22"/>
            <w:u w:val="none"/>
            <w:rtl/>
          </w:rPr>
          <w:t>על</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כוללניות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ומידתיות</w:t>
        </w:r>
        <w:r w:rsidR="009C43F8" w:rsidRPr="009C43F8">
          <w:rPr>
            <w:rFonts w:ascii="Century" w:hAnsi="Century" w:cs="Miriam"/>
            <w:b/>
            <w:noProof/>
            <w:webHidden/>
            <w:sz w:val="22"/>
            <w:rtl/>
          </w:rPr>
          <w:tab/>
        </w:r>
        <w:r w:rsidR="00517E69">
          <w:rPr>
            <w:rStyle w:val="Hyperlink"/>
            <w:rFonts w:ascii="Century" w:hAnsi="Century" w:cs="Miriam" w:hint="cs"/>
            <w:b/>
            <w:noProof/>
            <w:color w:val="auto"/>
            <w:sz w:val="22"/>
            <w:u w:val="none"/>
            <w:rtl/>
          </w:rPr>
          <w:t>69</w:t>
        </w:r>
      </w:hyperlink>
    </w:p>
    <w:p w:rsidR="009C43F8" w:rsidRPr="009C43F8" w:rsidRDefault="00017461" w:rsidP="00B03137">
      <w:pPr>
        <w:pStyle w:val="TOC5"/>
        <w:tabs>
          <w:tab w:val="right" w:leader="dot" w:pos="8302"/>
        </w:tabs>
        <w:rPr>
          <w:rFonts w:ascii="Century" w:eastAsiaTheme="minorEastAsia" w:hAnsi="Century" w:cs="Miriam"/>
          <w:b/>
          <w:noProof/>
          <w:sz w:val="22"/>
          <w:rtl/>
        </w:rPr>
      </w:pPr>
      <w:hyperlink w:anchor="_Toc107851365" w:history="1">
        <w:r w:rsidR="009C43F8" w:rsidRPr="009C43F8">
          <w:rPr>
            <w:rStyle w:val="Hyperlink"/>
            <w:rFonts w:ascii="Century" w:hAnsi="Century" w:cs="Miriam" w:hint="eastAsia"/>
            <w:b/>
            <w:noProof/>
            <w:color w:val="auto"/>
            <w:sz w:val="22"/>
            <w:u w:val="none"/>
            <w:rtl/>
          </w:rPr>
          <w:t>ד</w:t>
        </w:r>
        <w:r w:rsidR="009C43F8" w:rsidRPr="009C43F8">
          <w:rPr>
            <w:rStyle w:val="Hyperlink"/>
            <w:rFonts w:ascii="Century" w:hAnsi="Century" w:cs="Miriam"/>
            <w:b/>
            <w:noProof/>
            <w:color w:val="auto"/>
            <w:sz w:val="22"/>
            <w:u w:val="none"/>
            <w:rtl/>
          </w:rPr>
          <w:t xml:space="preserve">.3.3.2.3. </w:t>
        </w:r>
        <w:r w:rsidR="009C43F8" w:rsidRPr="009C43F8">
          <w:rPr>
            <w:rStyle w:val="Hyperlink"/>
            <w:rFonts w:ascii="Century" w:hAnsi="Century" w:cs="Miriam" w:hint="eastAsia"/>
            <w:b/>
            <w:noProof/>
            <w:color w:val="auto"/>
            <w:sz w:val="22"/>
            <w:u w:val="none"/>
            <w:rtl/>
          </w:rPr>
          <w:t>מידתיות</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במובן</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הצר</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Toc107851365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74</w:t>
        </w:r>
        <w:r w:rsidR="009C43F8" w:rsidRPr="009C43F8">
          <w:rPr>
            <w:rStyle w:val="Hyperlink"/>
            <w:rFonts w:ascii="Century" w:hAnsi="Century" w:cs="Miriam"/>
            <w:b/>
            <w:noProof/>
            <w:color w:val="auto"/>
            <w:sz w:val="22"/>
            <w:u w:val="none"/>
            <w:rtl/>
          </w:rPr>
          <w:fldChar w:fldCharType="end"/>
        </w:r>
      </w:hyperlink>
    </w:p>
    <w:p w:rsidR="009C43F8" w:rsidRPr="009C43F8" w:rsidRDefault="00017461">
      <w:pPr>
        <w:pStyle w:val="TOC1"/>
        <w:tabs>
          <w:tab w:val="right" w:leader="dot" w:pos="8302"/>
        </w:tabs>
        <w:rPr>
          <w:rFonts w:ascii="Century" w:eastAsiaTheme="minorEastAsia" w:hAnsi="Century" w:cs="Miriam"/>
          <w:b/>
          <w:noProof/>
          <w:sz w:val="22"/>
          <w:rtl/>
        </w:rPr>
      </w:pPr>
      <w:hyperlink w:anchor="_Toc107851366" w:history="1">
        <w:r w:rsidR="009C43F8" w:rsidRPr="009C43F8">
          <w:rPr>
            <w:rStyle w:val="Hyperlink"/>
            <w:rFonts w:ascii="Century" w:hAnsi="Century" w:cs="Miriam" w:hint="eastAsia"/>
            <w:b/>
            <w:noProof/>
            <w:color w:val="auto"/>
            <w:sz w:val="22"/>
            <w:u w:val="none"/>
            <w:rtl/>
          </w:rPr>
          <w:t>ה</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סיכום</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Toc107851366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78</w:t>
        </w:r>
        <w:r w:rsidR="009C43F8" w:rsidRPr="009C43F8">
          <w:rPr>
            <w:rStyle w:val="Hyperlink"/>
            <w:rFonts w:ascii="Century" w:hAnsi="Century" w:cs="Miriam"/>
            <w:b/>
            <w:noProof/>
            <w:color w:val="auto"/>
            <w:sz w:val="22"/>
            <w:u w:val="none"/>
            <w:rtl/>
          </w:rPr>
          <w:fldChar w:fldCharType="end"/>
        </w:r>
      </w:hyperlink>
    </w:p>
    <w:p w:rsidR="009C43F8" w:rsidRDefault="00017461" w:rsidP="009C43F8">
      <w:pPr>
        <w:pStyle w:val="TOC1"/>
        <w:tabs>
          <w:tab w:val="right" w:leader="dot" w:pos="8302"/>
        </w:tabs>
        <w:rPr>
          <w:rFonts w:ascii="Century" w:eastAsiaTheme="minorEastAsia" w:hAnsi="Century" w:cs="Miriam"/>
          <w:b/>
          <w:noProof/>
          <w:sz w:val="22"/>
          <w:rtl/>
        </w:rPr>
      </w:pPr>
      <w:hyperlink w:anchor="_Toc107851367" w:history="1">
        <w:r w:rsidR="009C43F8" w:rsidRPr="009C43F8">
          <w:rPr>
            <w:rStyle w:val="Hyperlink"/>
            <w:rFonts w:ascii="Century" w:hAnsi="Century" w:cs="Miriam" w:hint="eastAsia"/>
            <w:b/>
            <w:noProof/>
            <w:color w:val="auto"/>
            <w:sz w:val="22"/>
            <w:u w:val="none"/>
            <w:rtl/>
          </w:rPr>
          <w:t>אחר</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הדברים</w:t>
        </w:r>
        <w:r w:rsidR="009C43F8" w:rsidRPr="009C43F8">
          <w:rPr>
            <w:rStyle w:val="Hyperlink"/>
            <w:rFonts w:ascii="Century" w:hAnsi="Century" w:cs="Miriam"/>
            <w:b/>
            <w:noProof/>
            <w:color w:val="auto"/>
            <w:sz w:val="22"/>
            <w:u w:val="none"/>
            <w:rtl/>
          </w:rPr>
          <w:t xml:space="preserve"> </w:t>
        </w:r>
        <w:r w:rsidR="009C43F8" w:rsidRPr="009C43F8">
          <w:rPr>
            <w:rStyle w:val="Hyperlink"/>
            <w:rFonts w:ascii="Century" w:hAnsi="Century" w:cs="Miriam" w:hint="eastAsia"/>
            <w:b/>
            <w:noProof/>
            <w:color w:val="auto"/>
            <w:sz w:val="22"/>
            <w:u w:val="none"/>
            <w:rtl/>
          </w:rPr>
          <w:t>האלה</w:t>
        </w:r>
        <w:r w:rsidR="009C43F8" w:rsidRPr="009C43F8">
          <w:rPr>
            <w:rFonts w:ascii="Century" w:hAnsi="Century" w:cs="Miriam"/>
            <w:b/>
            <w:noProof/>
            <w:webHidden/>
            <w:sz w:val="22"/>
            <w:rtl/>
          </w:rPr>
          <w:tab/>
        </w:r>
        <w:r w:rsidR="009C43F8" w:rsidRPr="009C43F8">
          <w:rPr>
            <w:rStyle w:val="Hyperlink"/>
            <w:rFonts w:ascii="Century" w:hAnsi="Century" w:cs="Miriam"/>
            <w:b/>
            <w:noProof/>
            <w:color w:val="auto"/>
            <w:sz w:val="22"/>
            <w:u w:val="none"/>
            <w:rtl/>
          </w:rPr>
          <w:fldChar w:fldCharType="begin"/>
        </w:r>
        <w:r w:rsidR="009C43F8" w:rsidRPr="009C43F8">
          <w:rPr>
            <w:rFonts w:ascii="Century" w:hAnsi="Century" w:cs="Miriam"/>
            <w:b/>
            <w:noProof/>
            <w:webHidden/>
            <w:sz w:val="22"/>
            <w:rtl/>
          </w:rPr>
          <w:instrText xml:space="preserve"> </w:instrText>
        </w:r>
        <w:r w:rsidR="009C43F8" w:rsidRPr="009C43F8">
          <w:rPr>
            <w:rFonts w:ascii="Century" w:hAnsi="Century" w:cs="Miriam"/>
            <w:b/>
            <w:noProof/>
            <w:webHidden/>
            <w:sz w:val="22"/>
          </w:rPr>
          <w:instrText>PAGEREF</w:instrText>
        </w:r>
        <w:r w:rsidR="009C43F8" w:rsidRPr="009C43F8">
          <w:rPr>
            <w:rFonts w:ascii="Century" w:hAnsi="Century" w:cs="Miriam"/>
            <w:b/>
            <w:noProof/>
            <w:webHidden/>
            <w:sz w:val="22"/>
            <w:rtl/>
          </w:rPr>
          <w:instrText xml:space="preserve"> _</w:instrText>
        </w:r>
        <w:r w:rsidR="009C43F8" w:rsidRPr="009C43F8">
          <w:rPr>
            <w:rFonts w:ascii="Century" w:hAnsi="Century" w:cs="Miriam"/>
            <w:b/>
            <w:noProof/>
            <w:webHidden/>
            <w:sz w:val="22"/>
          </w:rPr>
          <w:instrText>Toc107851367 \h</w:instrText>
        </w:r>
        <w:r w:rsidR="009C43F8" w:rsidRPr="009C43F8">
          <w:rPr>
            <w:rFonts w:ascii="Century" w:hAnsi="Century" w:cs="Miriam"/>
            <w:b/>
            <w:noProof/>
            <w:webHidden/>
            <w:sz w:val="22"/>
            <w:rtl/>
          </w:rPr>
          <w:instrText xml:space="preserve"> </w:instrText>
        </w:r>
        <w:r w:rsidR="009C43F8" w:rsidRPr="009C43F8">
          <w:rPr>
            <w:rStyle w:val="Hyperlink"/>
            <w:rFonts w:ascii="Century" w:hAnsi="Century" w:cs="Miriam"/>
            <w:b/>
            <w:noProof/>
            <w:color w:val="auto"/>
            <w:sz w:val="22"/>
            <w:u w:val="none"/>
            <w:rtl/>
          </w:rPr>
        </w:r>
        <w:r w:rsidR="009C43F8" w:rsidRPr="009C43F8">
          <w:rPr>
            <w:rStyle w:val="Hyperlink"/>
            <w:rFonts w:ascii="Century" w:hAnsi="Century" w:cs="Miriam"/>
            <w:b/>
            <w:noProof/>
            <w:color w:val="auto"/>
            <w:sz w:val="22"/>
            <w:u w:val="none"/>
            <w:rtl/>
          </w:rPr>
          <w:fldChar w:fldCharType="separate"/>
        </w:r>
        <w:r w:rsidR="00517E69">
          <w:rPr>
            <w:rFonts w:ascii="Century" w:hAnsi="Century" w:cs="Miriam"/>
            <w:b/>
            <w:noProof/>
            <w:webHidden/>
            <w:sz w:val="22"/>
            <w:rtl/>
          </w:rPr>
          <w:t>79</w:t>
        </w:r>
        <w:r w:rsidR="009C43F8" w:rsidRPr="009C43F8">
          <w:rPr>
            <w:rStyle w:val="Hyperlink"/>
            <w:rFonts w:ascii="Century" w:hAnsi="Century" w:cs="Miriam"/>
            <w:b/>
            <w:noProof/>
            <w:color w:val="auto"/>
            <w:sz w:val="22"/>
            <w:u w:val="none"/>
            <w:rtl/>
          </w:rPr>
          <w:fldChar w:fldCharType="end"/>
        </w:r>
      </w:hyperlink>
      <w:r w:rsidR="009C43F8">
        <w:rPr>
          <w:b/>
          <w:rtl/>
          <w:cs/>
        </w:rPr>
        <w:fldChar w:fldCharType="end"/>
      </w:r>
      <w:bookmarkStart w:id="7" w:name="_Toc107851337"/>
    </w:p>
    <w:p w:rsidR="009C43F8" w:rsidRPr="009C43F8" w:rsidRDefault="009C43F8" w:rsidP="009C43F8">
      <w:pPr>
        <w:spacing w:line="480" w:lineRule="auto"/>
        <w:rPr>
          <w:rtl/>
        </w:rPr>
      </w:pPr>
    </w:p>
    <w:p w:rsidR="00A135C1" w:rsidRPr="00A135C1" w:rsidRDefault="00A135C1" w:rsidP="001747AA">
      <w:pPr>
        <w:pStyle w:val="1"/>
        <w:rPr>
          <w:rtl/>
        </w:rPr>
      </w:pPr>
      <w:r w:rsidRPr="00A135C1">
        <w:rPr>
          <w:rFonts w:hint="cs"/>
          <w:rtl/>
        </w:rPr>
        <w:t>פתח דבר</w:t>
      </w:r>
      <w:bookmarkEnd w:id="6"/>
      <w:bookmarkEnd w:id="7"/>
      <w:r w:rsidR="00D512D4" w:rsidRPr="00A135C1">
        <w:rPr>
          <w:rtl/>
        </w:rPr>
        <w:tab/>
      </w:r>
    </w:p>
    <w:p w:rsidR="00D512D4" w:rsidRDefault="00D512D4" w:rsidP="00A135C1">
      <w:pPr>
        <w:pStyle w:val="Ruller4"/>
        <w:rPr>
          <w:rtl/>
        </w:rPr>
      </w:pPr>
      <w:r w:rsidRPr="00002A71">
        <w:rPr>
          <w:rFonts w:hint="eastAsia"/>
          <w:rtl/>
        </w:rPr>
        <w:t>האם</w:t>
      </w:r>
      <w:r w:rsidRPr="00002A71">
        <w:rPr>
          <w:rtl/>
        </w:rPr>
        <w:t xml:space="preserve"> </w:t>
      </w:r>
      <w:r w:rsidRPr="00002A71">
        <w:rPr>
          <w:rFonts w:hint="eastAsia"/>
          <w:rtl/>
        </w:rPr>
        <w:t>סעיף</w:t>
      </w:r>
      <w:r w:rsidRPr="00002A71">
        <w:rPr>
          <w:rtl/>
        </w:rPr>
        <w:t xml:space="preserve"> 5</w:t>
      </w:r>
      <w:r w:rsidRPr="00002A71">
        <w:rPr>
          <w:rFonts w:hint="eastAsia"/>
          <w:rtl/>
        </w:rPr>
        <w:t>ב</w:t>
      </w:r>
      <w:r w:rsidRPr="00002A71">
        <w:rPr>
          <w:rtl/>
        </w:rPr>
        <w:t>(</w:t>
      </w:r>
      <w:r w:rsidRPr="00002A71">
        <w:rPr>
          <w:rFonts w:hint="eastAsia"/>
          <w:rtl/>
        </w:rPr>
        <w:t>א</w:t>
      </w:r>
      <w:r w:rsidRPr="00002A71">
        <w:rPr>
          <w:rtl/>
        </w:rPr>
        <w:t xml:space="preserve">)(1) </w:t>
      </w:r>
      <w:r w:rsidRPr="00002A71">
        <w:rPr>
          <w:rFonts w:hint="eastAsia"/>
          <w:rtl/>
        </w:rPr>
        <w:t>לחוק</w:t>
      </w:r>
      <w:r w:rsidRPr="00002A71">
        <w:rPr>
          <w:rtl/>
        </w:rPr>
        <w:t xml:space="preserve"> </w:t>
      </w:r>
      <w:r w:rsidRPr="00002A71">
        <w:rPr>
          <w:rFonts w:hint="eastAsia"/>
          <w:rtl/>
        </w:rPr>
        <w:t>הנזיקים</w:t>
      </w:r>
      <w:r w:rsidRPr="00002A71">
        <w:rPr>
          <w:rtl/>
        </w:rPr>
        <w:t xml:space="preserve"> </w:t>
      </w:r>
      <w:r w:rsidRPr="00002A71">
        <w:rPr>
          <w:rFonts w:hint="eastAsia"/>
          <w:rtl/>
        </w:rPr>
        <w:t>האזרחיים</w:t>
      </w:r>
      <w:r w:rsidRPr="00002A71">
        <w:rPr>
          <w:rtl/>
        </w:rPr>
        <w:t xml:space="preserve"> (</w:t>
      </w:r>
      <w:r w:rsidRPr="00002A71">
        <w:rPr>
          <w:rFonts w:hint="eastAsia"/>
          <w:rtl/>
        </w:rPr>
        <w:t>אחריות</w:t>
      </w:r>
      <w:r w:rsidRPr="00002A71">
        <w:rPr>
          <w:rtl/>
        </w:rPr>
        <w:t xml:space="preserve"> </w:t>
      </w:r>
      <w:r w:rsidRPr="00002A71">
        <w:rPr>
          <w:rFonts w:hint="eastAsia"/>
          <w:rtl/>
        </w:rPr>
        <w:t>המדינה</w:t>
      </w:r>
      <w:r w:rsidRPr="00002A71">
        <w:rPr>
          <w:rtl/>
        </w:rPr>
        <w:t xml:space="preserve">), </w:t>
      </w:r>
      <w:r w:rsidRPr="00002A71">
        <w:rPr>
          <w:rFonts w:hint="eastAsia"/>
          <w:rtl/>
        </w:rPr>
        <w:t>התשי</w:t>
      </w:r>
      <w:r w:rsidRPr="00002A71">
        <w:rPr>
          <w:rtl/>
        </w:rPr>
        <w:t>"</w:t>
      </w:r>
      <w:r w:rsidRPr="00002A71">
        <w:rPr>
          <w:rFonts w:hint="eastAsia"/>
          <w:rtl/>
        </w:rPr>
        <w:t>ב</w:t>
      </w:r>
      <w:r w:rsidRPr="00002A71">
        <w:rPr>
          <w:rtl/>
        </w:rPr>
        <w:t>-1952</w:t>
      </w:r>
      <w:r>
        <w:rPr>
          <w:rFonts w:hint="cs"/>
          <w:rtl/>
        </w:rPr>
        <w:t xml:space="preserve"> (להלן: </w:t>
      </w:r>
      <w:r>
        <w:rPr>
          <w:rFonts w:ascii="Century" w:hAnsi="Century" w:cs="Miriam" w:hint="cs"/>
          <w:b/>
          <w:spacing w:val="0"/>
          <w:sz w:val="22"/>
          <w:szCs w:val="24"/>
          <w:rtl/>
        </w:rPr>
        <w:t xml:space="preserve">חוק הנזיקים </w:t>
      </w:r>
      <w:r w:rsidRPr="00565D89">
        <w:rPr>
          <w:rFonts w:ascii="FrankRuehl" w:hAnsi="FrankRuehl"/>
          <w:b/>
          <w:spacing w:val="0"/>
          <w:sz w:val="28"/>
          <w:rtl/>
        </w:rPr>
        <w:t xml:space="preserve">או </w:t>
      </w:r>
      <w:r>
        <w:rPr>
          <w:rFonts w:ascii="Century" w:hAnsi="Century" w:cs="Miriam" w:hint="cs"/>
          <w:b/>
          <w:spacing w:val="0"/>
          <w:sz w:val="22"/>
          <w:szCs w:val="24"/>
          <w:rtl/>
        </w:rPr>
        <w:t>ה</w:t>
      </w:r>
      <w:r w:rsidRPr="00565D89">
        <w:rPr>
          <w:rFonts w:ascii="Century" w:hAnsi="Century" w:cs="Miriam" w:hint="cs"/>
          <w:b/>
          <w:spacing w:val="0"/>
          <w:sz w:val="22"/>
          <w:szCs w:val="24"/>
          <w:rtl/>
        </w:rPr>
        <w:t>חוק</w:t>
      </w:r>
      <w:r>
        <w:rPr>
          <w:rFonts w:hint="cs"/>
          <w:rtl/>
        </w:rPr>
        <w:t xml:space="preserve">), </w:t>
      </w:r>
      <w:r w:rsidRPr="00002A71">
        <w:rPr>
          <w:rFonts w:hint="eastAsia"/>
          <w:rtl/>
        </w:rPr>
        <w:t>הקובע</w:t>
      </w:r>
      <w:r w:rsidRPr="00002A71">
        <w:rPr>
          <w:rtl/>
        </w:rPr>
        <w:t xml:space="preserve"> </w:t>
      </w:r>
      <w:r>
        <w:rPr>
          <w:rFonts w:hint="cs"/>
          <w:rtl/>
        </w:rPr>
        <w:t>סייג לאחריות המדינה</w:t>
      </w:r>
      <w:r w:rsidRPr="00002A71">
        <w:rPr>
          <w:rtl/>
        </w:rPr>
        <w:t xml:space="preserve"> </w:t>
      </w:r>
      <w:r w:rsidRPr="00002A71">
        <w:rPr>
          <w:rFonts w:hint="eastAsia"/>
          <w:rtl/>
        </w:rPr>
        <w:t>בנזיקין</w:t>
      </w:r>
      <w:r>
        <w:rPr>
          <w:rFonts w:hint="cs"/>
          <w:rtl/>
        </w:rPr>
        <w:t>,</w:t>
      </w:r>
      <w:r w:rsidRPr="00002A71">
        <w:rPr>
          <w:rtl/>
        </w:rPr>
        <w:t xml:space="preserve"> </w:t>
      </w:r>
      <w:r>
        <w:rPr>
          <w:rFonts w:hint="cs"/>
          <w:rtl/>
        </w:rPr>
        <w:t xml:space="preserve">ביחס </w:t>
      </w:r>
      <w:r w:rsidRPr="00002A71">
        <w:rPr>
          <w:rFonts w:hint="eastAsia"/>
          <w:rtl/>
        </w:rPr>
        <w:t>ל</w:t>
      </w:r>
      <w:r>
        <w:rPr>
          <w:rFonts w:hint="cs"/>
          <w:rtl/>
        </w:rPr>
        <w:t>נזק שנגרם ל</w:t>
      </w:r>
      <w:r w:rsidRPr="00002A71">
        <w:rPr>
          <w:rFonts w:hint="eastAsia"/>
          <w:rtl/>
        </w:rPr>
        <w:t>תושב</w:t>
      </w:r>
      <w:r w:rsidRPr="00002A71">
        <w:rPr>
          <w:rtl/>
        </w:rPr>
        <w:t xml:space="preserve"> </w:t>
      </w:r>
      <w:r w:rsidRPr="00002A71">
        <w:rPr>
          <w:rFonts w:hint="eastAsia"/>
          <w:rtl/>
        </w:rPr>
        <w:t>שטח</w:t>
      </w:r>
      <w:r w:rsidRPr="00002A71">
        <w:rPr>
          <w:rtl/>
        </w:rPr>
        <w:t xml:space="preserve"> </w:t>
      </w:r>
      <w:r w:rsidRPr="00002A71">
        <w:rPr>
          <w:rFonts w:hint="eastAsia"/>
          <w:rtl/>
        </w:rPr>
        <w:t>שהוכרז</w:t>
      </w:r>
      <w:r w:rsidRPr="00002A71">
        <w:rPr>
          <w:rtl/>
        </w:rPr>
        <w:t xml:space="preserve"> </w:t>
      </w:r>
      <w:r w:rsidRPr="00002A71">
        <w:rPr>
          <w:rFonts w:hint="eastAsia"/>
          <w:rtl/>
        </w:rPr>
        <w:t>על</w:t>
      </w:r>
      <w:r w:rsidRPr="00002A71">
        <w:rPr>
          <w:rtl/>
        </w:rPr>
        <w:t>-</w:t>
      </w:r>
      <w:r w:rsidRPr="00002A71">
        <w:rPr>
          <w:rFonts w:hint="eastAsia"/>
          <w:rtl/>
        </w:rPr>
        <w:t>ידה</w:t>
      </w:r>
      <w:r w:rsidRPr="00002A71">
        <w:rPr>
          <w:rtl/>
        </w:rPr>
        <w:t xml:space="preserve"> </w:t>
      </w:r>
      <w:r w:rsidRPr="00002A71">
        <w:rPr>
          <w:rFonts w:hint="eastAsia"/>
          <w:rtl/>
        </w:rPr>
        <w:t>כשטח</w:t>
      </w:r>
      <w:r w:rsidRPr="00002A71">
        <w:rPr>
          <w:rtl/>
        </w:rPr>
        <w:t xml:space="preserve"> </w:t>
      </w:r>
      <w:r w:rsidRPr="00002A71">
        <w:rPr>
          <w:rFonts w:hint="eastAsia"/>
          <w:rtl/>
        </w:rPr>
        <w:t>אויב</w:t>
      </w:r>
      <w:r>
        <w:rPr>
          <w:rFonts w:hint="cs"/>
          <w:rtl/>
        </w:rPr>
        <w:t>,</w:t>
      </w:r>
      <w:r w:rsidRPr="00002A71">
        <w:rPr>
          <w:rtl/>
        </w:rPr>
        <w:t xml:space="preserve"> </w:t>
      </w:r>
      <w:r w:rsidRPr="00002A71">
        <w:rPr>
          <w:rFonts w:hint="eastAsia"/>
          <w:rtl/>
        </w:rPr>
        <w:t>הוא</w:t>
      </w:r>
      <w:r w:rsidRPr="00002A71">
        <w:rPr>
          <w:rtl/>
        </w:rPr>
        <w:t xml:space="preserve"> </w:t>
      </w:r>
      <w:r w:rsidRPr="00002A71">
        <w:rPr>
          <w:rFonts w:hint="eastAsia"/>
          <w:rtl/>
        </w:rPr>
        <w:t>חוקתי</w:t>
      </w:r>
      <w:r w:rsidRPr="00002A71">
        <w:rPr>
          <w:rtl/>
        </w:rPr>
        <w:t xml:space="preserve">? </w:t>
      </w:r>
      <w:r w:rsidRPr="00002A71">
        <w:rPr>
          <w:rFonts w:hint="eastAsia"/>
          <w:rtl/>
        </w:rPr>
        <w:t>זוהי</w:t>
      </w:r>
      <w:r w:rsidRPr="00002A71">
        <w:rPr>
          <w:rtl/>
        </w:rPr>
        <w:t xml:space="preserve"> </w:t>
      </w:r>
      <w:r w:rsidRPr="00002A71">
        <w:rPr>
          <w:rFonts w:hint="eastAsia"/>
          <w:rtl/>
        </w:rPr>
        <w:t>בתמצית</w:t>
      </w:r>
      <w:r w:rsidRPr="00002A71">
        <w:rPr>
          <w:rtl/>
        </w:rPr>
        <w:t xml:space="preserve"> </w:t>
      </w:r>
      <w:r w:rsidRPr="00002A71">
        <w:rPr>
          <w:rFonts w:hint="eastAsia"/>
          <w:rtl/>
        </w:rPr>
        <w:t>השאלה</w:t>
      </w:r>
      <w:r w:rsidRPr="00002A71">
        <w:rPr>
          <w:rtl/>
        </w:rPr>
        <w:t xml:space="preserve"> </w:t>
      </w:r>
      <w:r>
        <w:rPr>
          <w:rFonts w:hint="cs"/>
          <w:rtl/>
        </w:rPr>
        <w:t>ה</w:t>
      </w:r>
      <w:r w:rsidR="00007777">
        <w:rPr>
          <w:rFonts w:hint="cs"/>
          <w:rtl/>
        </w:rPr>
        <w:t>מונח</w:t>
      </w:r>
      <w:r>
        <w:rPr>
          <w:rFonts w:hint="cs"/>
          <w:rtl/>
        </w:rPr>
        <w:t>ת לפ</w:t>
      </w:r>
      <w:r w:rsidR="00007777">
        <w:rPr>
          <w:rFonts w:hint="cs"/>
          <w:rtl/>
        </w:rPr>
        <w:t>תח</w:t>
      </w:r>
      <w:r>
        <w:rPr>
          <w:rFonts w:hint="cs"/>
          <w:rtl/>
        </w:rPr>
        <w:t xml:space="preserve">נו במסגרת </w:t>
      </w:r>
      <w:r w:rsidRPr="00002A71">
        <w:rPr>
          <w:rFonts w:hint="eastAsia"/>
          <w:rtl/>
        </w:rPr>
        <w:t>ערעור</w:t>
      </w:r>
      <w:r w:rsidRPr="00002A71">
        <w:rPr>
          <w:rtl/>
        </w:rPr>
        <w:t xml:space="preserve"> </w:t>
      </w:r>
      <w:r w:rsidRPr="00002A71">
        <w:rPr>
          <w:rFonts w:hint="eastAsia"/>
          <w:rtl/>
        </w:rPr>
        <w:t>זה</w:t>
      </w:r>
      <w:r>
        <w:rPr>
          <w:rFonts w:hint="cs"/>
          <w:rtl/>
        </w:rPr>
        <w:t xml:space="preserve">, והיא מתעוררת אגב </w:t>
      </w:r>
      <w:r w:rsidRPr="00002A71">
        <w:rPr>
          <w:rFonts w:hint="eastAsia"/>
          <w:rtl/>
        </w:rPr>
        <w:t>תביע</w:t>
      </w:r>
      <w:r>
        <w:rPr>
          <w:rFonts w:hint="cs"/>
          <w:rtl/>
        </w:rPr>
        <w:t xml:space="preserve">ת נזיקין </w:t>
      </w:r>
      <w:r w:rsidRPr="00002A71">
        <w:rPr>
          <w:rFonts w:hint="eastAsia"/>
          <w:rtl/>
        </w:rPr>
        <w:t>ש</w:t>
      </w:r>
      <w:r>
        <w:rPr>
          <w:rFonts w:hint="cs"/>
          <w:rtl/>
        </w:rPr>
        <w:t>הוגשה נגד המדינה, על-ידי</w:t>
      </w:r>
      <w:r w:rsidRPr="00002A71">
        <w:rPr>
          <w:rtl/>
        </w:rPr>
        <w:t xml:space="preserve"> </w:t>
      </w:r>
      <w:r w:rsidRPr="00002A71">
        <w:rPr>
          <w:rFonts w:hint="eastAsia"/>
          <w:rtl/>
        </w:rPr>
        <w:t>תושב</w:t>
      </w:r>
      <w:r w:rsidRPr="00002A71">
        <w:rPr>
          <w:rtl/>
        </w:rPr>
        <w:t xml:space="preserve"> </w:t>
      </w:r>
      <w:r w:rsidRPr="00002A71">
        <w:rPr>
          <w:rFonts w:hint="eastAsia"/>
          <w:rtl/>
        </w:rPr>
        <w:t>רצועת</w:t>
      </w:r>
      <w:r w:rsidRPr="00002A71">
        <w:rPr>
          <w:rtl/>
        </w:rPr>
        <w:t xml:space="preserve"> </w:t>
      </w:r>
      <w:r w:rsidRPr="00002A71">
        <w:rPr>
          <w:rFonts w:hint="eastAsia"/>
          <w:rtl/>
        </w:rPr>
        <w:t>עזה</w:t>
      </w:r>
      <w:r>
        <w:rPr>
          <w:rFonts w:hint="cs"/>
          <w:rtl/>
        </w:rPr>
        <w:t>,</w:t>
      </w:r>
      <w:r w:rsidRPr="00002A71">
        <w:rPr>
          <w:rtl/>
        </w:rPr>
        <w:t xml:space="preserve"> </w:t>
      </w:r>
      <w:r>
        <w:rPr>
          <w:rFonts w:hint="cs"/>
          <w:rtl/>
        </w:rPr>
        <w:t>ש</w:t>
      </w:r>
      <w:r w:rsidRPr="00002A71">
        <w:rPr>
          <w:rFonts w:hint="eastAsia"/>
          <w:rtl/>
        </w:rPr>
        <w:t>הוכרזה</w:t>
      </w:r>
      <w:r>
        <w:rPr>
          <w:rFonts w:hint="cs"/>
          <w:rtl/>
        </w:rPr>
        <w:t xml:space="preserve"> </w:t>
      </w:r>
      <w:r w:rsidRPr="00002A71">
        <w:rPr>
          <w:rFonts w:hint="eastAsia"/>
          <w:rtl/>
        </w:rPr>
        <w:t>על</w:t>
      </w:r>
      <w:r w:rsidRPr="00002A71">
        <w:rPr>
          <w:rtl/>
        </w:rPr>
        <w:t>-</w:t>
      </w:r>
      <w:r w:rsidRPr="00002A71">
        <w:rPr>
          <w:rFonts w:hint="eastAsia"/>
          <w:rtl/>
        </w:rPr>
        <w:t>ידי</w:t>
      </w:r>
      <w:r w:rsidRPr="00002A71">
        <w:rPr>
          <w:rtl/>
        </w:rPr>
        <w:t xml:space="preserve"> </w:t>
      </w:r>
      <w:r w:rsidRPr="00002A71">
        <w:rPr>
          <w:rFonts w:hint="eastAsia"/>
          <w:rtl/>
        </w:rPr>
        <w:t>הממשלה</w:t>
      </w:r>
      <w:r w:rsidRPr="00002A71">
        <w:rPr>
          <w:rtl/>
        </w:rPr>
        <w:t xml:space="preserve"> </w:t>
      </w:r>
      <w:r w:rsidRPr="00002A71">
        <w:rPr>
          <w:rFonts w:hint="eastAsia"/>
          <w:rtl/>
        </w:rPr>
        <w:t>כ</w:t>
      </w:r>
      <w:r>
        <w:rPr>
          <w:rFonts w:hint="cs"/>
          <w:rtl/>
        </w:rPr>
        <w:t>'</w:t>
      </w:r>
      <w:r w:rsidRPr="00002A71">
        <w:rPr>
          <w:rFonts w:hint="eastAsia"/>
          <w:rtl/>
        </w:rPr>
        <w:t>שטח</w:t>
      </w:r>
      <w:r w:rsidRPr="00002A71">
        <w:rPr>
          <w:rtl/>
        </w:rPr>
        <w:t xml:space="preserve"> </w:t>
      </w:r>
      <w:r w:rsidRPr="00002A71">
        <w:rPr>
          <w:rFonts w:hint="eastAsia"/>
          <w:rtl/>
        </w:rPr>
        <w:t>אויב</w:t>
      </w:r>
      <w:r>
        <w:rPr>
          <w:rFonts w:hint="cs"/>
          <w:rtl/>
        </w:rPr>
        <w:t xml:space="preserve">'. התביעה נדחתה </w:t>
      </w:r>
      <w:r w:rsidRPr="0070015F">
        <w:rPr>
          <w:rFonts w:ascii="Century" w:hAnsi="Century" w:cs="Miriam" w:hint="cs"/>
          <w:b/>
          <w:spacing w:val="0"/>
          <w:sz w:val="22"/>
          <w:szCs w:val="24"/>
          <w:rtl/>
        </w:rPr>
        <w:t>על הסף</w:t>
      </w:r>
      <w:r>
        <w:rPr>
          <w:rFonts w:hint="cs"/>
          <w:rtl/>
        </w:rPr>
        <w:t>,</w:t>
      </w:r>
      <w:r w:rsidRPr="0070015F">
        <w:rPr>
          <w:rFonts w:hint="cs"/>
          <w:rtl/>
        </w:rPr>
        <w:t xml:space="preserve"> </w:t>
      </w:r>
      <w:r>
        <w:rPr>
          <w:rFonts w:hint="cs"/>
          <w:rtl/>
        </w:rPr>
        <w:t>נוכח הוראות סעיף 5ב(א)(1)</w:t>
      </w:r>
      <w:r w:rsidR="00815C3F">
        <w:rPr>
          <w:rFonts w:hint="cs"/>
          <w:rtl/>
        </w:rPr>
        <w:t xml:space="preserve">. </w:t>
      </w:r>
      <w:r>
        <w:rPr>
          <w:rFonts w:hint="cs"/>
          <w:rtl/>
        </w:rPr>
        <w:t xml:space="preserve">מכאן הערעור, </w:t>
      </w:r>
      <w:r w:rsidR="00815C3F">
        <w:rPr>
          <w:rFonts w:hint="cs"/>
          <w:rtl/>
        </w:rPr>
        <w:t xml:space="preserve">ובמוקד </w:t>
      </w:r>
      <w:r w:rsidR="00815C3F">
        <w:rPr>
          <w:rtl/>
        </w:rPr>
        <w:t>–</w:t>
      </w:r>
      <w:r w:rsidR="00815C3F">
        <w:rPr>
          <w:rFonts w:hint="cs"/>
          <w:rtl/>
        </w:rPr>
        <w:t xml:space="preserve"> </w:t>
      </w:r>
      <w:r>
        <w:rPr>
          <w:rFonts w:hint="cs"/>
          <w:rtl/>
        </w:rPr>
        <w:t xml:space="preserve">טענות נגד חוקתיות הסעיף. </w:t>
      </w:r>
    </w:p>
    <w:p w:rsidR="00D512D4" w:rsidRPr="0070015F" w:rsidRDefault="00D512D4" w:rsidP="00A56585">
      <w:pPr>
        <w:pStyle w:val="Ruller41"/>
        <w:spacing w:line="240" w:lineRule="auto"/>
      </w:pPr>
    </w:p>
    <w:p w:rsidR="00D512D4" w:rsidRPr="00002A71" w:rsidRDefault="00D46EE3" w:rsidP="005511B6">
      <w:pPr>
        <w:pStyle w:val="Ruller4"/>
        <w:rPr>
          <w:rtl/>
        </w:rPr>
      </w:pPr>
      <w:r>
        <w:rPr>
          <w:rFonts w:hint="cs"/>
          <w:rtl/>
        </w:rPr>
        <w:t xml:space="preserve">אסקור תחילה </w:t>
      </w:r>
      <w:r w:rsidR="00D512D4">
        <w:rPr>
          <w:rFonts w:hint="cs"/>
          <w:rtl/>
        </w:rPr>
        <w:t xml:space="preserve">את הרקע העובדתי הנדרש, את פסק הדין של בית המשפט המחוזי, ואת טענות הצדדים. לאחר מכן, </w:t>
      </w:r>
      <w:r w:rsidR="005511B6">
        <w:rPr>
          <w:rFonts w:hint="cs"/>
          <w:rtl/>
        </w:rPr>
        <w:t xml:space="preserve">אציג את </w:t>
      </w:r>
      <w:r w:rsidR="00D512D4">
        <w:rPr>
          <w:rFonts w:hint="cs"/>
          <w:rtl/>
        </w:rPr>
        <w:t>גלגוליו של ההסדר ה</w:t>
      </w:r>
      <w:r w:rsidR="005511B6">
        <w:rPr>
          <w:rFonts w:hint="cs"/>
          <w:rtl/>
        </w:rPr>
        <w:t xml:space="preserve">מעוגן </w:t>
      </w:r>
      <w:r w:rsidR="00D512D4">
        <w:rPr>
          <w:rFonts w:hint="cs"/>
          <w:rtl/>
        </w:rPr>
        <w:t>בסעיף 5ב לחוק, את ההקשר העובדתי הרחב שהביא את המחוקק לפעול לתיקון ההסדר שבחוק ברבות השנים, וכן את הרקע הנורמטיבי הכללי הדרוש לענייננו. בשלב</w:t>
      </w:r>
      <w:r w:rsidR="005511B6">
        <w:rPr>
          <w:rFonts w:hint="cs"/>
          <w:rtl/>
        </w:rPr>
        <w:t xml:space="preserve"> הבא, טרם הניתוח החוקתי, א</w:t>
      </w:r>
      <w:r w:rsidR="00D512D4">
        <w:rPr>
          <w:rFonts w:hint="cs"/>
          <w:rtl/>
        </w:rPr>
        <w:t xml:space="preserve">עיר הערה מקדמית, </w:t>
      </w:r>
      <w:r w:rsidR="005511B6">
        <w:rPr>
          <w:rFonts w:hint="cs"/>
          <w:rtl/>
        </w:rPr>
        <w:t>ב</w:t>
      </w:r>
      <w:r w:rsidR="00D512D4">
        <w:rPr>
          <w:rFonts w:hint="cs"/>
          <w:rtl/>
        </w:rPr>
        <w:t xml:space="preserve">נוגע לעובדה שהשאלה החוקתית שלפנינו, הועלתה בדרך של 'תקיפה עקיפה', ולהשלכות הנובעות מכך על הניתוח החוקתי הדרוש. אחר זאת, </w:t>
      </w:r>
      <w:r w:rsidR="005511B6">
        <w:rPr>
          <w:rFonts w:hint="cs"/>
          <w:rtl/>
        </w:rPr>
        <w:t xml:space="preserve">יֵעשה </w:t>
      </w:r>
      <w:r w:rsidR="00D512D4">
        <w:rPr>
          <w:rFonts w:hint="cs"/>
          <w:rtl/>
        </w:rPr>
        <w:t xml:space="preserve">הניתוח החוקתי, שהוא </w:t>
      </w:r>
      <w:r w:rsidR="005511B6">
        <w:rPr>
          <w:rFonts w:hint="cs"/>
          <w:rtl/>
        </w:rPr>
        <w:t>במוקד ענייננו, ולבסוף א</w:t>
      </w:r>
      <w:r w:rsidR="00D512D4">
        <w:rPr>
          <w:rFonts w:hint="cs"/>
          <w:rtl/>
        </w:rPr>
        <w:t xml:space="preserve">כריע בשאלה האם ההסדר שנקבע בסעיף 5ב(א)(1), הוא אכן חוקתי. </w:t>
      </w:r>
    </w:p>
    <w:p w:rsidR="00D512D4" w:rsidRDefault="00D512D4" w:rsidP="000B261B">
      <w:pPr>
        <w:pStyle w:val="Ruller4"/>
        <w:numPr>
          <w:ilvl w:val="0"/>
          <w:numId w:val="0"/>
        </w:numPr>
        <w:spacing w:line="240" w:lineRule="auto"/>
        <w:rPr>
          <w:rtl/>
        </w:rPr>
      </w:pPr>
    </w:p>
    <w:p w:rsidR="00D512D4" w:rsidRDefault="00D512D4" w:rsidP="00C04DC8">
      <w:pPr>
        <w:pStyle w:val="1"/>
        <w:rPr>
          <w:rtl/>
        </w:rPr>
      </w:pPr>
      <w:bookmarkStart w:id="8" w:name="_Toc107851283"/>
      <w:bookmarkStart w:id="9" w:name="_Toc107851338"/>
      <w:r w:rsidRPr="00D91FA1">
        <w:rPr>
          <w:rFonts w:hint="cs"/>
          <w:rtl/>
        </w:rPr>
        <w:t>א.</w:t>
      </w:r>
      <w:r>
        <w:rPr>
          <w:rFonts w:hint="cs"/>
          <w:rtl/>
        </w:rPr>
        <w:t xml:space="preserve"> </w:t>
      </w:r>
      <w:r w:rsidRPr="00800776">
        <w:rPr>
          <w:rFonts w:hint="cs"/>
          <w:rtl/>
        </w:rPr>
        <w:t xml:space="preserve">רקע </w:t>
      </w:r>
      <w:r w:rsidRPr="00C04DC8">
        <w:rPr>
          <w:rFonts w:hint="cs"/>
          <w:rtl/>
        </w:rPr>
        <w:t>עובדתי</w:t>
      </w:r>
      <w:bookmarkEnd w:id="8"/>
      <w:bookmarkEnd w:id="9"/>
    </w:p>
    <w:p w:rsidR="00D512D4" w:rsidRDefault="00D512D4" w:rsidP="00451803">
      <w:pPr>
        <w:pStyle w:val="Ruller4"/>
      </w:pPr>
      <w:r>
        <w:rPr>
          <w:rFonts w:hint="cs"/>
          <w:rtl/>
        </w:rPr>
        <w:t>ביום 22.5.2016, הגיש המערער, תושב רצועת עזה, יליד שנת 1999, תביעת נזיקין נגד מדינת ישראל, לבית המשפט המחוזי בבאר שבע. בתביעתו טען</w:t>
      </w:r>
      <w:r w:rsidR="00451803">
        <w:rPr>
          <w:rFonts w:hint="cs"/>
          <w:rtl/>
        </w:rPr>
        <w:t>,</w:t>
      </w:r>
      <w:r>
        <w:rPr>
          <w:rFonts w:hint="cs"/>
          <w:rtl/>
        </w:rPr>
        <w:t xml:space="preserve"> כי ביום 16.11.2014, כאשר שהה במרחק של כ-500 מטרים מגדר ההפרדה בין מדינת ישראל לרצועת עזה, ירו כוחות צה"ל אש חיה לעברו,</w:t>
      </w:r>
      <w:r w:rsidR="005511B6">
        <w:rPr>
          <w:rFonts w:hint="cs"/>
          <w:rtl/>
        </w:rPr>
        <w:t xml:space="preserve"> </w:t>
      </w:r>
      <w:r w:rsidR="005511B6">
        <w:rPr>
          <w:rFonts w:hint="cs"/>
          <w:rtl/>
        </w:rPr>
        <w:lastRenderedPageBreak/>
        <w:t xml:space="preserve">וגרמו לפציעה קשה בצווארו. </w:t>
      </w:r>
      <w:r>
        <w:rPr>
          <w:rFonts w:hint="cs"/>
          <w:rtl/>
        </w:rPr>
        <w:t xml:space="preserve">מיד לאחר הירי, פונה על-ידי כוחות צה"ל לבית החולים </w:t>
      </w:r>
      <w:r w:rsidR="005511B6">
        <w:rPr>
          <w:rFonts w:hint="cs"/>
          <w:rtl/>
        </w:rPr>
        <w:t>"</w:t>
      </w:r>
      <w:r>
        <w:rPr>
          <w:rFonts w:hint="cs"/>
          <w:rtl/>
        </w:rPr>
        <w:t>סורוקה</w:t>
      </w:r>
      <w:r w:rsidR="005511B6">
        <w:rPr>
          <w:rFonts w:hint="cs"/>
          <w:rtl/>
        </w:rPr>
        <w:t>"</w:t>
      </w:r>
      <w:r>
        <w:rPr>
          <w:rFonts w:hint="cs"/>
          <w:rtl/>
        </w:rPr>
        <w:t xml:space="preserve"> בבאר שבע. המערער נסמך בתביעתו על עוולת הרשלנות, עוולת התקיפה, ועוולת הפרת חובה חקוקה; המערער הוסיף וטען, כי יש להעביר את נטל הראיה בדבר גרימ</w:t>
      </w:r>
      <w:r w:rsidR="005511B6">
        <w:rPr>
          <w:rFonts w:hint="cs"/>
          <w:rtl/>
        </w:rPr>
        <w:t>ת הנזק לכתפי המדינה, משום שלא ה</w:t>
      </w:r>
      <w:r>
        <w:rPr>
          <w:rFonts w:hint="cs"/>
          <w:rtl/>
        </w:rPr>
        <w:t xml:space="preserve">יתה לו </w:t>
      </w:r>
      <w:r w:rsidRPr="00E30CFA">
        <w:rPr>
          <w:rFonts w:ascii="Century" w:hAnsi="Century" w:cs="Miriam" w:hint="cs"/>
          <w:b/>
          <w:spacing w:val="0"/>
          <w:sz w:val="22"/>
          <w:szCs w:val="24"/>
          <w:rtl/>
        </w:rPr>
        <w:t>"ידיעה ו/או היכולת לדעת מהן למעשה הנסיבות שגרמו לירי אשר הביא לידי הנזק הנטען"</w:t>
      </w:r>
      <w:r>
        <w:rPr>
          <w:rFonts w:hint="cs"/>
          <w:rtl/>
        </w:rPr>
        <w:t>.</w:t>
      </w:r>
    </w:p>
    <w:p w:rsidR="00D512D4" w:rsidRDefault="00D512D4" w:rsidP="000B261B">
      <w:pPr>
        <w:pStyle w:val="Ruller4"/>
        <w:numPr>
          <w:ilvl w:val="0"/>
          <w:numId w:val="0"/>
        </w:numPr>
        <w:spacing w:line="240" w:lineRule="auto"/>
      </w:pPr>
      <w:r>
        <w:rPr>
          <w:rFonts w:hint="cs"/>
          <w:rtl/>
        </w:rPr>
        <w:t xml:space="preserve"> </w:t>
      </w:r>
    </w:p>
    <w:p w:rsidR="00D512D4" w:rsidRDefault="00D512D4" w:rsidP="005511B6">
      <w:pPr>
        <w:pStyle w:val="Ruller4"/>
        <w:rPr>
          <w:rtl/>
        </w:rPr>
      </w:pPr>
      <w:r>
        <w:rPr>
          <w:rFonts w:hint="cs"/>
          <w:rtl/>
        </w:rPr>
        <w:t xml:space="preserve">ביום 3.7.2016 הגישה המדינה בקשה לדחיית התביעה על הסף, בהתאם לתקנה 101(א)(3) לתקנות סדר הדין האזרחי, התשמ"ד-1984, שלפיה: בית משפט רשאי לדחות תובענה על הסף </w:t>
      </w:r>
      <w:r w:rsidRPr="0071553A">
        <w:rPr>
          <w:rFonts w:ascii="Century" w:hAnsi="Century" w:cs="Miriam" w:hint="cs"/>
          <w:b/>
          <w:spacing w:val="0"/>
          <w:sz w:val="22"/>
          <w:szCs w:val="24"/>
          <w:rtl/>
        </w:rPr>
        <w:t>"מחמת כל נימוק אחר שעל פיו הוא סבור כי ניתן לדחות מלכתחילה את התובענה בנוגע לאותו תובע"</w:t>
      </w:r>
      <w:r>
        <w:rPr>
          <w:rFonts w:hint="cs"/>
          <w:rtl/>
        </w:rPr>
        <w:t xml:space="preserve">. בקשת המדינה הושתתה על סעיף 5ב(א)(1), שלפיו אין המדינה אחראית בנזיקין לנזק שנגרם למי שהוא </w:t>
      </w:r>
      <w:r w:rsidRPr="00F14509">
        <w:rPr>
          <w:rFonts w:ascii="Century" w:hAnsi="Century" w:cs="Miriam" w:hint="cs"/>
          <w:b/>
          <w:spacing w:val="0"/>
          <w:sz w:val="22"/>
          <w:szCs w:val="24"/>
          <w:rtl/>
        </w:rPr>
        <w:t>"תושב שטח מחוץ לישראל שהממשלה הכריזה עליו, בצו, כשטח אויב"</w:t>
      </w:r>
      <w:r>
        <w:rPr>
          <w:rFonts w:hint="cs"/>
          <w:rtl/>
        </w:rPr>
        <w:t xml:space="preserve">, ובהסתמך על צו הנזיקים האזרחיים (אחריות המדינה) (הכרזה על שטח אויב-רצועת עזה), התשע"ה-2014 (להלן: </w:t>
      </w:r>
      <w:r w:rsidRPr="00F14509">
        <w:rPr>
          <w:rFonts w:ascii="Century" w:hAnsi="Century" w:cs="Miriam" w:hint="cs"/>
          <w:b/>
          <w:spacing w:val="0"/>
          <w:sz w:val="22"/>
          <w:szCs w:val="24"/>
          <w:rtl/>
        </w:rPr>
        <w:t>צו</w:t>
      </w:r>
      <w:r>
        <w:rPr>
          <w:rFonts w:ascii="Century" w:hAnsi="Century" w:cs="Miriam" w:hint="cs"/>
          <w:b/>
          <w:spacing w:val="0"/>
          <w:sz w:val="22"/>
          <w:szCs w:val="24"/>
          <w:rtl/>
        </w:rPr>
        <w:t xml:space="preserve"> הנזיקים האזרחיים</w:t>
      </w:r>
      <w:r>
        <w:rPr>
          <w:rFonts w:hint="cs"/>
          <w:rtl/>
        </w:rPr>
        <w:t xml:space="preserve">), שמכוחו הכריזה הממשלה על רצועת עזה כ'שטח אויב', לעניין החוק. </w:t>
      </w:r>
    </w:p>
    <w:p w:rsidR="00D512D4" w:rsidRPr="005C733F" w:rsidRDefault="00D512D4" w:rsidP="00653268">
      <w:pPr>
        <w:pStyle w:val="Ruller41"/>
        <w:spacing w:line="240" w:lineRule="auto"/>
      </w:pPr>
    </w:p>
    <w:p w:rsidR="00D512D4" w:rsidRDefault="00D512D4" w:rsidP="00451803">
      <w:pPr>
        <w:pStyle w:val="Ruller4"/>
        <w:rPr>
          <w:rtl/>
        </w:rPr>
      </w:pPr>
      <w:r>
        <w:rPr>
          <w:rFonts w:hint="cs"/>
          <w:rtl/>
        </w:rPr>
        <w:t>המערער</w:t>
      </w:r>
      <w:r w:rsidR="005511B6">
        <w:rPr>
          <w:rFonts w:hint="cs"/>
          <w:rtl/>
        </w:rPr>
        <w:t xml:space="preserve"> התנגד </w:t>
      </w:r>
      <w:r>
        <w:rPr>
          <w:rFonts w:hint="cs"/>
          <w:rtl/>
        </w:rPr>
        <w:t>בתגובתו לדחיית התביעה על הסף, וטען בהרחבה כי ההסדר ה</w:t>
      </w:r>
      <w:r w:rsidR="000E3B8B">
        <w:rPr>
          <w:rFonts w:hint="cs"/>
          <w:rtl/>
        </w:rPr>
        <w:t>מעוגן</w:t>
      </w:r>
      <w:r>
        <w:rPr>
          <w:rFonts w:hint="cs"/>
          <w:rtl/>
        </w:rPr>
        <w:t xml:space="preserve"> בסעיף 5ב(א)(1) לחוק </w:t>
      </w:r>
      <w:r>
        <w:rPr>
          <w:rtl/>
        </w:rPr>
        <w:t>–</w:t>
      </w:r>
      <w:r>
        <w:rPr>
          <w:rFonts w:hint="cs"/>
          <w:rtl/>
        </w:rPr>
        <w:t xml:space="preserve"> ובפרט תיקון מספר 8 שנעשה בו,</w:t>
      </w:r>
      <w:r w:rsidR="000E3B8B">
        <w:rPr>
          <w:rFonts w:hint="cs"/>
          <w:rtl/>
        </w:rPr>
        <w:t xml:space="preserve"> שעל אודותיו א</w:t>
      </w:r>
      <w:r>
        <w:rPr>
          <w:rFonts w:hint="cs"/>
          <w:rtl/>
        </w:rPr>
        <w:t xml:space="preserve">פרט בהמשך </w:t>
      </w:r>
      <w:r>
        <w:rPr>
          <w:rtl/>
        </w:rPr>
        <w:t>–</w:t>
      </w:r>
      <w:r>
        <w:rPr>
          <w:rFonts w:hint="cs"/>
          <w:rtl/>
        </w:rPr>
        <w:t xml:space="preserve"> איננו חוקתי. המדינה מצדה השיבה, כי היא עומדת על בקשתה לדחות את התביעה על הסף. לטענתה, גם בהנחה שסעיף 5ב(א)(1) פוגע בזכויות</w:t>
      </w:r>
      <w:r w:rsidR="00451803">
        <w:rPr>
          <w:rFonts w:hint="cs"/>
          <w:rtl/>
        </w:rPr>
        <w:t>-</w:t>
      </w:r>
      <w:r>
        <w:rPr>
          <w:rFonts w:hint="cs"/>
          <w:rtl/>
        </w:rPr>
        <w:t xml:space="preserve">יסוד של תושבי רצועת עזה (בכללם המערער), הרי שפגיעה זו היא כדין, שכן היא עומדת בתנאֵי פסקת ההגבלה. נוכח הסוגיה החוקתית שהתעוררה, צירף בית המשפט המחוזי את כנסת ישראל להליך, כמצוות סעיף 17(ג1) לחוק הכנסת, התשנ"ד-1994, וזו הציגה עמדה, הדומה בעיקרה לעמדת המדינה.    </w:t>
      </w:r>
    </w:p>
    <w:p w:rsidR="00D512D4" w:rsidRDefault="00D512D4" w:rsidP="000B261B">
      <w:pPr>
        <w:pStyle w:val="Ruller41"/>
        <w:spacing w:line="240" w:lineRule="auto"/>
        <w:rPr>
          <w:rtl/>
        </w:rPr>
      </w:pPr>
    </w:p>
    <w:p w:rsidR="00D512D4" w:rsidRDefault="00D512D4" w:rsidP="00C04DC8">
      <w:pPr>
        <w:pStyle w:val="1"/>
        <w:rPr>
          <w:rtl/>
        </w:rPr>
      </w:pPr>
      <w:bookmarkStart w:id="10" w:name="_Toc107851284"/>
      <w:bookmarkStart w:id="11" w:name="_Toc107851339"/>
      <w:r>
        <w:rPr>
          <w:rFonts w:hint="cs"/>
          <w:rtl/>
        </w:rPr>
        <w:t xml:space="preserve">ב. עיקרי </w:t>
      </w:r>
      <w:r w:rsidRPr="003F6D12">
        <w:rPr>
          <w:rFonts w:hint="cs"/>
          <w:rtl/>
        </w:rPr>
        <w:t xml:space="preserve">פסק </w:t>
      </w:r>
      <w:r w:rsidRPr="00C04DC8">
        <w:rPr>
          <w:rFonts w:hint="cs"/>
          <w:rtl/>
        </w:rPr>
        <w:t>הדין</w:t>
      </w:r>
      <w:r w:rsidRPr="003F6D12">
        <w:rPr>
          <w:rFonts w:hint="cs"/>
          <w:rtl/>
        </w:rPr>
        <w:t xml:space="preserve"> של בית המשפט המחוזי</w:t>
      </w:r>
      <w:bookmarkEnd w:id="10"/>
      <w:bookmarkEnd w:id="11"/>
    </w:p>
    <w:p w:rsidR="00D512D4" w:rsidRDefault="00D512D4" w:rsidP="003D2BA5">
      <w:pPr>
        <w:pStyle w:val="Ruller4"/>
        <w:rPr>
          <w:rtl/>
        </w:rPr>
      </w:pPr>
      <w:r>
        <w:rPr>
          <w:rFonts w:hint="cs"/>
          <w:rtl/>
        </w:rPr>
        <w:lastRenderedPageBreak/>
        <w:t>את הבחינה החוקתית פתח בית המשפט המחוזי, כמקובל, בשאלה האם הסייג לאחריות נזיקית, ה</w:t>
      </w:r>
      <w:r w:rsidR="000E3B8B">
        <w:rPr>
          <w:rFonts w:hint="cs"/>
          <w:rtl/>
        </w:rPr>
        <w:t>מעוגן</w:t>
      </w:r>
      <w:r>
        <w:rPr>
          <w:rFonts w:hint="cs"/>
          <w:rtl/>
        </w:rPr>
        <w:t xml:space="preserve"> בסעיף 5ב לחוק, אכן פוגע בזכויות אדם בעלות מעמד חוקתי. תחילה, פרס בית המשפט המחוזי את משנתו-שלו בשאלה זו. ל</w:t>
      </w:r>
      <w:r w:rsidR="000E3B8B">
        <w:rPr>
          <w:rFonts w:hint="cs"/>
          <w:rtl/>
        </w:rPr>
        <w:t>שיטת</w:t>
      </w:r>
      <w:r>
        <w:rPr>
          <w:rFonts w:hint="cs"/>
          <w:rtl/>
        </w:rPr>
        <w:t xml:space="preserve">ו, נכון היה לקבוע כי חוק יסוד: כבוד האדם וחירותו (להלן: </w:t>
      </w:r>
      <w:r w:rsidRPr="00DE5498">
        <w:rPr>
          <w:rFonts w:ascii="Century" w:hAnsi="Century" w:cs="Miriam" w:hint="cs"/>
          <w:b/>
          <w:spacing w:val="0"/>
          <w:sz w:val="22"/>
          <w:szCs w:val="24"/>
          <w:rtl/>
        </w:rPr>
        <w:t>חוק היסוד</w:t>
      </w:r>
      <w:r>
        <w:rPr>
          <w:rFonts w:hint="cs"/>
          <w:rtl/>
        </w:rPr>
        <w:t xml:space="preserve">) כלל אינו חל בשטח אויב, וממילא אינו מעניק לנתיני אויב זכויות חוקתיות כלשהן, המאפשרות ביטול חקיקה של הכנסת. יחד עם זאת, הבהיר בית המשפט המחוזי כי הוא מחויב להלכה שנקבעה בבג"ץ 8276/05 </w:t>
      </w:r>
      <w:r w:rsidRPr="005B7A47">
        <w:rPr>
          <w:rFonts w:ascii="Century" w:hAnsi="Century" w:cs="Miriam" w:hint="cs"/>
          <w:b/>
          <w:spacing w:val="0"/>
          <w:sz w:val="22"/>
          <w:szCs w:val="24"/>
          <w:rtl/>
        </w:rPr>
        <w:t xml:space="preserve">עדאלה </w:t>
      </w:r>
      <w:r w:rsidRPr="00945632">
        <w:rPr>
          <w:rFonts w:ascii="Century" w:hAnsi="Century"/>
          <w:sz w:val="22"/>
          <w:rtl/>
        </w:rPr>
        <w:t>–</w:t>
      </w:r>
      <w:r w:rsidRPr="005B7A47">
        <w:rPr>
          <w:rFonts w:ascii="Century" w:hAnsi="Century" w:cs="Miriam" w:hint="cs"/>
          <w:b/>
          <w:spacing w:val="0"/>
          <w:sz w:val="22"/>
          <w:szCs w:val="24"/>
          <w:rtl/>
        </w:rPr>
        <w:t xml:space="preserve"> המרכז המשפטי לזכויות המיעוט הערבי בישראל נ' שר הביטחון</w:t>
      </w:r>
      <w:r>
        <w:rPr>
          <w:rFonts w:hint="cs"/>
          <w:rtl/>
        </w:rPr>
        <w:t xml:space="preserve"> (12.12.2006) (להלן: </w:t>
      </w:r>
      <w:r w:rsidRPr="00A02831">
        <w:rPr>
          <w:rFonts w:ascii="Century" w:hAnsi="Century" w:cs="Miriam" w:hint="cs"/>
          <w:b/>
          <w:spacing w:val="0"/>
          <w:sz w:val="22"/>
          <w:szCs w:val="24"/>
          <w:rtl/>
        </w:rPr>
        <w:t>עניין עדאלה</w:t>
      </w:r>
      <w:r>
        <w:rPr>
          <w:rFonts w:hint="cs"/>
          <w:rtl/>
        </w:rPr>
        <w:t xml:space="preserve">), שבגדרה נקבע כי שלילת הזכות להגיש תביעת נזיקין של נתין או תושב שטח אויב, נדרשת לעמוד במבחן החוקתיות. </w:t>
      </w:r>
      <w:r w:rsidR="003D2BA5">
        <w:rPr>
          <w:rFonts w:hint="cs"/>
          <w:rtl/>
        </w:rPr>
        <w:t>לאחר מכן</w:t>
      </w:r>
      <w:r>
        <w:rPr>
          <w:rFonts w:hint="cs"/>
          <w:rtl/>
        </w:rPr>
        <w:t xml:space="preserve">, משקבע כי בחינה חוקתית נדרשת בענייננו, עבר בית המשפט המחוזי לדון בשאלה האם הזכויות שנטען כי נפגעו מכוח הסייג לאחריות המדינה בנזיקין כלפי נתין שטח אויב, דהיינו: הזכות לחיים, לשלמות הגוף, לקניין ולגישה לערכאות </w:t>
      </w:r>
      <w:r>
        <w:rPr>
          <w:rtl/>
        </w:rPr>
        <w:t>–</w:t>
      </w:r>
      <w:r>
        <w:rPr>
          <w:rFonts w:hint="cs"/>
          <w:rtl/>
        </w:rPr>
        <w:t xml:space="preserve"> אכן מעוגנות בחוק היסוד. </w:t>
      </w:r>
      <w:r w:rsidR="003D2BA5">
        <w:rPr>
          <w:rFonts w:hint="cs"/>
          <w:rtl/>
        </w:rPr>
        <w:t>ע</w:t>
      </w:r>
      <w:r>
        <w:rPr>
          <w:rFonts w:hint="cs"/>
          <w:rtl/>
        </w:rPr>
        <w:t>ל</w:t>
      </w:r>
      <w:r w:rsidR="003D2BA5">
        <w:rPr>
          <w:rFonts w:hint="cs"/>
          <w:rtl/>
        </w:rPr>
        <w:t xml:space="preserve"> </w:t>
      </w:r>
      <w:r>
        <w:rPr>
          <w:rFonts w:hint="cs"/>
          <w:rtl/>
        </w:rPr>
        <w:t xml:space="preserve">שאלה זו השיב בית המשפט בחיוב; גם זאת, נוכח ההלכה שנפסקה על-ידי בית משפט זה בעניין </w:t>
      </w:r>
      <w:r w:rsidRPr="00DE257C">
        <w:rPr>
          <w:rFonts w:ascii="Century" w:hAnsi="Century" w:cs="Miriam" w:hint="cs"/>
          <w:b/>
          <w:spacing w:val="0"/>
          <w:sz w:val="22"/>
          <w:szCs w:val="24"/>
          <w:rtl/>
        </w:rPr>
        <w:t>עדאלה</w:t>
      </w:r>
      <w:r>
        <w:rPr>
          <w:rFonts w:hint="cs"/>
          <w:rtl/>
        </w:rPr>
        <w:t xml:space="preserve">. </w:t>
      </w:r>
    </w:p>
    <w:p w:rsidR="00D512D4" w:rsidRPr="00DE5498" w:rsidRDefault="00D512D4" w:rsidP="000B261B">
      <w:pPr>
        <w:pStyle w:val="Ruller41"/>
        <w:spacing w:line="240" w:lineRule="auto"/>
      </w:pPr>
    </w:p>
    <w:p w:rsidR="00D512D4" w:rsidRDefault="00D512D4" w:rsidP="000E3B8B">
      <w:pPr>
        <w:pStyle w:val="Ruller4"/>
        <w:rPr>
          <w:rtl/>
        </w:rPr>
      </w:pPr>
      <w:r>
        <w:rPr>
          <w:rFonts w:hint="cs"/>
          <w:rtl/>
        </w:rPr>
        <w:t xml:space="preserve">לאחר מכן, פנה בית המשפט המחוזי לשלב השני של הבחינה החוקתית, וקבע, כי הפגיעה בזכויות היסוד </w:t>
      </w:r>
      <w:r w:rsidRPr="00945632">
        <w:rPr>
          <w:rFonts w:ascii="Century" w:hAnsi="Century" w:hint="eastAsia"/>
          <w:sz w:val="22"/>
          <w:rtl/>
        </w:rPr>
        <w:t>נעשתה</w:t>
      </w:r>
      <w:r w:rsidRPr="00945632">
        <w:rPr>
          <w:rFonts w:ascii="Century" w:hAnsi="Century"/>
          <w:sz w:val="22"/>
          <w:rtl/>
        </w:rPr>
        <w:t xml:space="preserve"> </w:t>
      </w:r>
      <w:r w:rsidRPr="00945632">
        <w:rPr>
          <w:rFonts w:ascii="Century" w:hAnsi="Century" w:hint="eastAsia"/>
          <w:sz w:val="22"/>
          <w:rtl/>
        </w:rPr>
        <w:t>כדין</w:t>
      </w:r>
      <w:r w:rsidRPr="00945632">
        <w:rPr>
          <w:rFonts w:ascii="Century" w:hAnsi="Century"/>
          <w:sz w:val="22"/>
          <w:rtl/>
        </w:rPr>
        <w:t>,</w:t>
      </w:r>
      <w:r w:rsidRPr="00991EA2">
        <w:rPr>
          <w:rtl/>
        </w:rPr>
        <w:t xml:space="preserve"> </w:t>
      </w:r>
      <w:r>
        <w:rPr>
          <w:rFonts w:hint="cs"/>
          <w:rtl/>
        </w:rPr>
        <w:t xml:space="preserve">והיא עומדת בתנאֵי פסקת ההגבלה. לעניין זה נקבע, כי הפגיעה האמורה נעשתה </w:t>
      </w:r>
      <w:r w:rsidRPr="00945632">
        <w:rPr>
          <w:rFonts w:ascii="Century" w:hAnsi="Century" w:cs="Miriam" w:hint="eastAsia"/>
          <w:b/>
          <w:spacing w:val="0"/>
          <w:sz w:val="22"/>
          <w:szCs w:val="24"/>
          <w:rtl/>
        </w:rPr>
        <w:t>בחוק</w:t>
      </w:r>
      <w:r>
        <w:rPr>
          <w:rFonts w:hint="cs"/>
          <w:rtl/>
        </w:rPr>
        <w:t xml:space="preserve">, ולמצער על-פי הסמכה מפורשת שבו. עוד קבע בית המשפט המחוזי, כי מטרת החוק </w:t>
      </w:r>
      <w:r>
        <w:rPr>
          <w:rtl/>
        </w:rPr>
        <w:t>–</w:t>
      </w:r>
      <w:r>
        <w:rPr>
          <w:rFonts w:hint="cs"/>
          <w:rtl/>
        </w:rPr>
        <w:t xml:space="preserve"> התאמת דיני הנזיקין לתנאים המיוחדים הש</w:t>
      </w:r>
      <w:r w:rsidR="003D2BA5">
        <w:rPr>
          <w:rFonts w:hint="cs"/>
          <w:rtl/>
        </w:rPr>
        <w:t>ׂ</w:t>
      </w:r>
      <w:r>
        <w:rPr>
          <w:rFonts w:hint="cs"/>
          <w:rtl/>
        </w:rPr>
        <w:t xml:space="preserve">וררים במצב מלחמתי, והעתקתם, בנסיבות שכאלו מתחום המשפט הפרטי לתחום המשפט הציבורי </w:t>
      </w:r>
      <w:r>
        <w:rPr>
          <w:rtl/>
        </w:rPr>
        <w:t>–</w:t>
      </w:r>
      <w:r>
        <w:rPr>
          <w:rFonts w:hint="cs"/>
          <w:rtl/>
        </w:rPr>
        <w:t xml:space="preserve"> נועדה ל</w:t>
      </w:r>
      <w:r w:rsidRPr="00A02831">
        <w:rPr>
          <w:rFonts w:ascii="Century" w:hAnsi="Century" w:cs="Miriam" w:hint="cs"/>
          <w:b/>
          <w:spacing w:val="0"/>
          <w:sz w:val="22"/>
          <w:szCs w:val="24"/>
          <w:rtl/>
        </w:rPr>
        <w:t>תכלית ראויה</w:t>
      </w:r>
      <w:r>
        <w:rPr>
          <w:rFonts w:hint="cs"/>
          <w:rtl/>
        </w:rPr>
        <w:t xml:space="preserve">, ועל כן, אין לומר כי החוק אינו </w:t>
      </w:r>
      <w:r w:rsidRPr="006D47C5">
        <w:rPr>
          <w:rFonts w:ascii="Century" w:hAnsi="Century" w:cs="Miriam" w:hint="cs"/>
          <w:b/>
          <w:spacing w:val="0"/>
          <w:sz w:val="22"/>
          <w:szCs w:val="24"/>
          <w:rtl/>
        </w:rPr>
        <w:t>הולם את ערכיה של מדינת ישראל</w:t>
      </w:r>
      <w:r>
        <w:rPr>
          <w:rFonts w:hint="cs"/>
          <w:rtl/>
        </w:rPr>
        <w:t xml:space="preserve"> כמדינה יהודית ודמוקרטית. </w:t>
      </w:r>
    </w:p>
    <w:p w:rsidR="00D512D4" w:rsidRPr="00A02831" w:rsidRDefault="00D512D4" w:rsidP="000B261B">
      <w:pPr>
        <w:pStyle w:val="Ruller41"/>
        <w:spacing w:line="240" w:lineRule="auto"/>
      </w:pPr>
    </w:p>
    <w:p w:rsidR="00D512D4" w:rsidRDefault="00D512D4" w:rsidP="007A4D72">
      <w:pPr>
        <w:pStyle w:val="Ruller4"/>
      </w:pPr>
      <w:r>
        <w:rPr>
          <w:rFonts w:hint="cs"/>
          <w:rtl/>
        </w:rPr>
        <w:t>בשלב זה, עבר בית המשפט המחוזי לבחון האם הפגיעה מידתית, על-פי שלושת מבחני-המשנה שנקבעו ל</w:t>
      </w:r>
      <w:r w:rsidR="000E3B8B">
        <w:rPr>
          <w:rFonts w:hint="cs"/>
          <w:rtl/>
        </w:rPr>
        <w:t xml:space="preserve">שם </w:t>
      </w:r>
      <w:r>
        <w:rPr>
          <w:rFonts w:hint="cs"/>
          <w:rtl/>
        </w:rPr>
        <w:t xml:space="preserve">כך: ביחס למבחן-המשנה הראשון, נפסק כי מתקיים </w:t>
      </w:r>
      <w:r w:rsidRPr="00A02831">
        <w:rPr>
          <w:rFonts w:ascii="Century" w:hAnsi="Century" w:cs="Miriam" w:hint="cs"/>
          <w:b/>
          <w:spacing w:val="0"/>
          <w:sz w:val="22"/>
          <w:szCs w:val="24"/>
          <w:rtl/>
        </w:rPr>
        <w:t>קשר רציונלי</w:t>
      </w:r>
      <w:r>
        <w:rPr>
          <w:rFonts w:hint="cs"/>
          <w:rtl/>
        </w:rPr>
        <w:t xml:space="preserve">, בין שלילת האחריות הנזיקית של המדינה, לבין התכלית הראויה שאותה מבקש החוק לקדם, וכי כך נפסק גם </w:t>
      </w:r>
      <w:r>
        <w:rPr>
          <w:rFonts w:hint="cs"/>
          <w:rtl/>
        </w:rPr>
        <w:lastRenderedPageBreak/>
        <w:t xml:space="preserve">בעניין </w:t>
      </w:r>
      <w:r w:rsidRPr="00A02831">
        <w:rPr>
          <w:rFonts w:ascii="Century" w:hAnsi="Century" w:cs="Miriam" w:hint="cs"/>
          <w:b/>
          <w:spacing w:val="0"/>
          <w:sz w:val="22"/>
          <w:szCs w:val="24"/>
          <w:rtl/>
        </w:rPr>
        <w:t>עדאלה</w:t>
      </w:r>
      <w:r>
        <w:rPr>
          <w:rFonts w:hint="cs"/>
          <w:rtl/>
        </w:rPr>
        <w:t>. אשר למבחן-המשנה השני</w:t>
      </w:r>
      <w:r w:rsidRPr="0080257E">
        <w:rPr>
          <w:rFonts w:ascii="Century" w:hAnsi="Century" w:hint="cs"/>
          <w:sz w:val="22"/>
          <w:rtl/>
        </w:rPr>
        <w:t xml:space="preserve">, </w:t>
      </w:r>
      <w:r w:rsidRPr="00A02831">
        <w:rPr>
          <w:rFonts w:ascii="Century" w:hAnsi="Century" w:cs="Miriam" w:hint="cs"/>
          <w:b/>
          <w:spacing w:val="0"/>
          <w:sz w:val="22"/>
          <w:szCs w:val="24"/>
          <w:rtl/>
        </w:rPr>
        <w:t>'האמצעי שפגיעתו פחותה'</w:t>
      </w:r>
      <w:r w:rsidRPr="00945632">
        <w:rPr>
          <w:rFonts w:ascii="Century" w:hAnsi="Century"/>
          <w:sz w:val="22"/>
          <w:rtl/>
        </w:rPr>
        <w:t>,</w:t>
      </w:r>
      <w:r w:rsidRPr="00955293">
        <w:rPr>
          <w:rtl/>
        </w:rPr>
        <w:t xml:space="preserve"> </w:t>
      </w:r>
      <w:r>
        <w:rPr>
          <w:rFonts w:hint="cs"/>
          <w:rtl/>
        </w:rPr>
        <w:t xml:space="preserve">צוין, כי אמנם בעניין </w:t>
      </w:r>
      <w:r w:rsidRPr="00A02831">
        <w:rPr>
          <w:rFonts w:ascii="Century" w:hAnsi="Century" w:cs="Miriam" w:hint="cs"/>
          <w:b/>
          <w:spacing w:val="0"/>
          <w:sz w:val="22"/>
          <w:szCs w:val="24"/>
          <w:rtl/>
        </w:rPr>
        <w:t>עדאלה</w:t>
      </w:r>
      <w:r>
        <w:rPr>
          <w:rFonts w:hint="cs"/>
          <w:rtl/>
        </w:rPr>
        <w:t xml:space="preserve"> נקבע שסעיף 5ג לחוק אינו עומד במבחן-משנה זה, נוכח האפשרות להשיג את תכלית החוק באמצעי מידתי יותר </w:t>
      </w:r>
      <w:r>
        <w:rPr>
          <w:rtl/>
        </w:rPr>
        <w:t>–</w:t>
      </w:r>
      <w:r>
        <w:rPr>
          <w:rFonts w:hint="cs"/>
          <w:rtl/>
        </w:rPr>
        <w:t xml:space="preserve"> בחינה אינדיבידואלית </w:t>
      </w:r>
      <w:r w:rsidR="0080257E">
        <w:rPr>
          <w:rFonts w:hint="cs"/>
          <w:rtl/>
        </w:rPr>
        <w:t xml:space="preserve">של כל נזק שגרמה המדינה, האם </w:t>
      </w:r>
      <w:r>
        <w:rPr>
          <w:rFonts w:hint="cs"/>
          <w:rtl/>
        </w:rPr>
        <w:t xml:space="preserve">נגרם כתוצאה מ'פעולה מלחמתית', אם לאו. יחד עם זאת, שם מדובר היה בהוראת חוק ששללה אחריות נזיקית מהמדינה </w:t>
      </w:r>
      <w:r w:rsidRPr="00955293">
        <w:rPr>
          <w:rFonts w:ascii="Century" w:hAnsi="Century" w:cs="Miriam" w:hint="eastAsia"/>
          <w:b/>
          <w:spacing w:val="0"/>
          <w:sz w:val="22"/>
          <w:szCs w:val="24"/>
          <w:rtl/>
        </w:rPr>
        <w:t>בשטח</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עימות</w:t>
      </w:r>
      <w:r>
        <w:rPr>
          <w:rFonts w:hint="cs"/>
          <w:rtl/>
        </w:rPr>
        <w:t xml:space="preserve">, בעוד שבעניין דנן, הוראת החוק שוללת אחריות נזיקית ביחס לפעולות שבוצעו </w:t>
      </w:r>
      <w:r w:rsidRPr="00955293">
        <w:rPr>
          <w:rFonts w:ascii="Century" w:hAnsi="Century" w:cs="Miriam" w:hint="eastAsia"/>
          <w:b/>
          <w:spacing w:val="0"/>
          <w:sz w:val="22"/>
          <w:szCs w:val="24"/>
          <w:rtl/>
        </w:rPr>
        <w:t>בשטח</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אויב</w:t>
      </w:r>
      <w:r>
        <w:rPr>
          <w:rFonts w:hint="cs"/>
          <w:rtl/>
        </w:rPr>
        <w:t>. בית המשפט המחוזי הטעים, כי קיימת הבחנה ברורה בין שטחי יהודה ושומרון, המוחזקים בתפיסה לוחמתית, וכוחות צה"ל פועלים בהם כ'ריבון' המנהל שגרה אזרחית; לבין רצועת עזה, שבה ככלל, פעולות הצבא הן בגדר 'פעולה מלחמתית'. הבחנה זו, כך נקבע, מצדיקה קביעת כללי אחריות שונים לגבי כל אחד מן המ</w:t>
      </w:r>
      <w:r w:rsidR="007A4D72">
        <w:rPr>
          <w:rFonts w:hint="cs"/>
          <w:rtl/>
        </w:rPr>
        <w:t>צב</w:t>
      </w:r>
      <w:r>
        <w:rPr>
          <w:rFonts w:hint="cs"/>
          <w:rtl/>
        </w:rPr>
        <w:t xml:space="preserve">ים הללו: כלל אחריות המבוסס על בדיקה פרטנית ביחס לאירועים נזיקיים שאירעו ביהודה ושומרון; וכלל השולל באופן גורף אחריות נזיקית, לגבי נזק שאירע במדינת אויב או בשטח שהוכרז כשטח אויב. בית המשפט המחוזי הוסיף וקבע, כי </w:t>
      </w:r>
      <w:r w:rsidRPr="00955293">
        <w:rPr>
          <w:rFonts w:ascii="Century" w:hAnsi="Century" w:cs="Miriam"/>
          <w:b/>
          <w:spacing w:val="0"/>
          <w:sz w:val="22"/>
          <w:szCs w:val="24"/>
          <w:rtl/>
        </w:rPr>
        <w:t>"</w:t>
      </w:r>
      <w:r w:rsidRPr="00955293">
        <w:rPr>
          <w:rFonts w:ascii="Century" w:hAnsi="Century" w:cs="Miriam" w:hint="eastAsia"/>
          <w:b/>
          <w:spacing w:val="0"/>
          <w:sz w:val="22"/>
          <w:szCs w:val="24"/>
          <w:rtl/>
        </w:rPr>
        <w:t>אופיו</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הגורף</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של</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הסייג</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לאחריות</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בנזיקין</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כלפי</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נתין</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אויב</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אינ</w:t>
      </w:r>
      <w:r>
        <w:rPr>
          <w:rFonts w:ascii="Century" w:hAnsi="Century" w:cs="Miriam" w:hint="cs"/>
          <w:b/>
          <w:spacing w:val="0"/>
          <w:sz w:val="22"/>
          <w:szCs w:val="24"/>
          <w:rtl/>
        </w:rPr>
        <w:t>ו</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ליקוי</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שהסייג</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לוקה</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בו</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אלא</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תכליתו</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הסייג</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נועד</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לייתר</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את</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הבחינה</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הפרטנית</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ולהמירה</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בשלילה</w:t>
      </w:r>
      <w:r w:rsidRPr="00955293">
        <w:rPr>
          <w:rFonts w:ascii="Century" w:hAnsi="Century" w:cs="Miriam"/>
          <w:b/>
          <w:spacing w:val="0"/>
          <w:sz w:val="22"/>
          <w:szCs w:val="24"/>
          <w:rtl/>
        </w:rPr>
        <w:t xml:space="preserve"> </w:t>
      </w:r>
      <w:r w:rsidRPr="00955293">
        <w:rPr>
          <w:rFonts w:ascii="Century" w:hAnsi="Century" w:cs="Miriam" w:hint="eastAsia"/>
          <w:b/>
          <w:spacing w:val="0"/>
          <w:sz w:val="22"/>
          <w:szCs w:val="24"/>
          <w:rtl/>
        </w:rPr>
        <w:t>גורפת</w:t>
      </w:r>
      <w:r w:rsidRPr="00955293">
        <w:rPr>
          <w:rFonts w:ascii="Century" w:hAnsi="Century" w:cs="Miriam"/>
          <w:b/>
          <w:spacing w:val="0"/>
          <w:sz w:val="22"/>
          <w:szCs w:val="24"/>
          <w:rtl/>
        </w:rPr>
        <w:t>"</w:t>
      </w:r>
      <w:r>
        <w:rPr>
          <w:rFonts w:hint="cs"/>
          <w:rtl/>
        </w:rPr>
        <w:t>.</w:t>
      </w:r>
    </w:p>
    <w:p w:rsidR="00D512D4" w:rsidRDefault="00D512D4" w:rsidP="00653268">
      <w:pPr>
        <w:pStyle w:val="Ruller4"/>
        <w:numPr>
          <w:ilvl w:val="0"/>
          <w:numId w:val="0"/>
        </w:numPr>
        <w:spacing w:line="240" w:lineRule="auto"/>
      </w:pPr>
      <w:r>
        <w:rPr>
          <w:rFonts w:hint="cs"/>
          <w:rtl/>
        </w:rPr>
        <w:t xml:space="preserve"> </w:t>
      </w:r>
    </w:p>
    <w:p w:rsidR="00D512D4" w:rsidRDefault="00D512D4" w:rsidP="00110DA7">
      <w:pPr>
        <w:pStyle w:val="Ruller4"/>
        <w:rPr>
          <w:rtl/>
        </w:rPr>
      </w:pPr>
      <w:r>
        <w:rPr>
          <w:rFonts w:hint="cs"/>
          <w:rtl/>
        </w:rPr>
        <w:t>עוד קבע בית המשפט המחוזי, כי שיקולי המדיניות, התומכים בשלילה גורפת של אחריות המדינה בנזיקין כלפי נתיני אויב, תק</w:t>
      </w:r>
      <w:r w:rsidR="00110DA7">
        <w:rPr>
          <w:rFonts w:hint="cs"/>
          <w:rtl/>
        </w:rPr>
        <w:t>ֵ</w:t>
      </w:r>
      <w:r>
        <w:rPr>
          <w:rFonts w:hint="cs"/>
          <w:rtl/>
        </w:rPr>
        <w:t>פים</w:t>
      </w:r>
      <w:r w:rsidR="00110DA7">
        <w:rPr>
          <w:rFonts w:hint="cs"/>
          <w:rtl/>
        </w:rPr>
        <w:t xml:space="preserve"> </w:t>
      </w:r>
      <w:r w:rsidR="00110DA7">
        <w:rPr>
          <w:rtl/>
        </w:rPr>
        <w:t>–</w:t>
      </w:r>
      <w:r w:rsidR="00110DA7">
        <w:rPr>
          <w:rFonts w:hint="cs"/>
          <w:rtl/>
        </w:rPr>
        <w:t xml:space="preserve"> </w:t>
      </w:r>
      <w:r>
        <w:rPr>
          <w:rFonts w:hint="cs"/>
          <w:rtl/>
        </w:rPr>
        <w:t xml:space="preserve">הן ביחס </w:t>
      </w:r>
      <w:r w:rsidRPr="00E56EFF">
        <w:rPr>
          <w:rFonts w:ascii="Century" w:hAnsi="Century" w:cs="Miriam" w:hint="cs"/>
          <w:b/>
          <w:spacing w:val="0"/>
          <w:sz w:val="22"/>
          <w:szCs w:val="24"/>
          <w:rtl/>
        </w:rPr>
        <w:t>למדינת אויב</w:t>
      </w:r>
      <w:r>
        <w:rPr>
          <w:rFonts w:hint="cs"/>
          <w:rtl/>
        </w:rPr>
        <w:t xml:space="preserve"> שמולה מנהלת </w:t>
      </w:r>
      <w:r w:rsidR="0080257E">
        <w:rPr>
          <w:rFonts w:hint="cs"/>
          <w:rtl/>
        </w:rPr>
        <w:t xml:space="preserve">המדינה 'מלחמה', במובנה הקלאסי, </w:t>
      </w:r>
      <w:r>
        <w:rPr>
          <w:rFonts w:hint="cs"/>
          <w:rtl/>
        </w:rPr>
        <w:t>הן ביחס לנזקים הנוצרים כתוצאה</w:t>
      </w:r>
      <w:r w:rsidRPr="00E56EFF">
        <w:rPr>
          <w:rFonts w:ascii="Century" w:hAnsi="Century" w:cs="Miriam" w:hint="cs"/>
          <w:b/>
          <w:spacing w:val="0"/>
          <w:sz w:val="22"/>
          <w:szCs w:val="24"/>
          <w:rtl/>
        </w:rPr>
        <w:t xml:space="preserve"> מעימות חמוש מול ארגון טרור</w:t>
      </w:r>
      <w:r>
        <w:rPr>
          <w:rFonts w:hint="cs"/>
          <w:rtl/>
        </w:rPr>
        <w:t xml:space="preserve">. בהקשר זה נפסק, כי שני המקרים </w:t>
      </w:r>
      <w:r>
        <w:rPr>
          <w:rFonts w:ascii="Century" w:hAnsi="Century" w:cs="Miriam" w:hint="cs"/>
          <w:b/>
          <w:spacing w:val="0"/>
          <w:sz w:val="22"/>
          <w:szCs w:val="24"/>
          <w:rtl/>
        </w:rPr>
        <w:t>"</w:t>
      </w:r>
      <w:r w:rsidRPr="00E12D47">
        <w:rPr>
          <w:rFonts w:ascii="Century" w:hAnsi="Century" w:cs="Miriam" w:hint="cs"/>
          <w:b/>
          <w:spacing w:val="0"/>
          <w:sz w:val="22"/>
          <w:szCs w:val="24"/>
          <w:rtl/>
        </w:rPr>
        <w:t>אינם מתאימים להיבחן במתכונת המקובלת בדיני הנזיקין"</w:t>
      </w:r>
      <w:r>
        <w:rPr>
          <w:rFonts w:hint="cs"/>
          <w:rtl/>
        </w:rPr>
        <w:t xml:space="preserve">, לא מבחינה מהותית ולא מבחינה ראייתית. נוסף לאמור, נקבע, כי 'פזילה' למשפט המשווה, מלמדת אף היא, כי </w:t>
      </w:r>
      <w:r w:rsidRPr="00E56EFF">
        <w:rPr>
          <w:rFonts w:ascii="Century" w:hAnsi="Century" w:cs="Miriam" w:hint="cs"/>
          <w:b/>
          <w:spacing w:val="0"/>
          <w:sz w:val="22"/>
          <w:szCs w:val="24"/>
          <w:rtl/>
        </w:rPr>
        <w:t>הדין המצוי</w:t>
      </w:r>
      <w:r>
        <w:rPr>
          <w:rFonts w:hint="cs"/>
          <w:rtl/>
        </w:rPr>
        <w:t xml:space="preserve"> במשפט העמים הוא אי-הכ</w:t>
      </w:r>
      <w:r w:rsidR="00DC71B6">
        <w:rPr>
          <w:rFonts w:hint="cs"/>
          <w:rtl/>
        </w:rPr>
        <w:t>רה בתביעות נזיקין אישיות של נתינ</w:t>
      </w:r>
      <w:r>
        <w:rPr>
          <w:rFonts w:hint="cs"/>
          <w:rtl/>
        </w:rPr>
        <w:t>י אויב בגין ביצוע פעולות צבאיות. פרקטיקה זו, כך נקבע, אינה כפופה, על דרך הכלל, לבחינה פרטנית של אופי הפעולה המזיקה ש</w:t>
      </w:r>
      <w:r w:rsidR="003148C8">
        <w:rPr>
          <w:rFonts w:hint="cs"/>
          <w:rtl/>
        </w:rPr>
        <w:t xml:space="preserve">בה </w:t>
      </w:r>
      <w:r>
        <w:rPr>
          <w:rFonts w:hint="cs"/>
          <w:rtl/>
        </w:rPr>
        <w:t xml:space="preserve">נקטה המדינה, אם </w:t>
      </w:r>
      <w:r w:rsidR="00DC71B6">
        <w:rPr>
          <w:rFonts w:hint="cs"/>
          <w:rtl/>
        </w:rPr>
        <w:t xml:space="preserve">היא </w:t>
      </w:r>
      <w:r>
        <w:rPr>
          <w:rFonts w:hint="cs"/>
          <w:rtl/>
        </w:rPr>
        <w:t xml:space="preserve">'מלחמתית', אם לאו. נקבע אפוא, כי לא נמצאה במשפט המשווה </w:t>
      </w:r>
      <w:r w:rsidRPr="00D62DD9">
        <w:rPr>
          <w:rFonts w:ascii="Century" w:hAnsi="Century" w:cs="Miriam" w:hint="cs"/>
          <w:b/>
          <w:spacing w:val="0"/>
          <w:sz w:val="22"/>
          <w:szCs w:val="24"/>
          <w:rtl/>
        </w:rPr>
        <w:t>"פרקטיקה נוהגת של ק</w:t>
      </w:r>
      <w:r w:rsidR="00DC71B6">
        <w:rPr>
          <w:rFonts w:ascii="Century" w:hAnsi="Century" w:cs="Miriam" w:hint="cs"/>
          <w:b/>
          <w:spacing w:val="0"/>
          <w:sz w:val="22"/>
          <w:szCs w:val="24"/>
          <w:rtl/>
        </w:rPr>
        <w:t>בלת תביעות נזיקין אישיות של נתינ</w:t>
      </w:r>
      <w:r w:rsidRPr="00D62DD9">
        <w:rPr>
          <w:rFonts w:ascii="Century" w:hAnsi="Century" w:cs="Miriam" w:hint="cs"/>
          <w:b/>
          <w:spacing w:val="0"/>
          <w:sz w:val="22"/>
          <w:szCs w:val="24"/>
          <w:rtl/>
        </w:rPr>
        <w:t>י אויב בגין פעולות צבאיות"</w:t>
      </w:r>
      <w:r>
        <w:rPr>
          <w:rFonts w:hint="cs"/>
          <w:rtl/>
        </w:rPr>
        <w:t xml:space="preserve">. </w:t>
      </w:r>
    </w:p>
    <w:p w:rsidR="00D512D4" w:rsidRPr="00A36B10" w:rsidRDefault="00D512D4" w:rsidP="000B261B">
      <w:pPr>
        <w:pStyle w:val="Ruller41"/>
        <w:spacing w:line="240" w:lineRule="auto"/>
      </w:pPr>
    </w:p>
    <w:p w:rsidR="00D512D4" w:rsidRDefault="00D512D4" w:rsidP="00DC71B6">
      <w:pPr>
        <w:pStyle w:val="Ruller4"/>
      </w:pPr>
      <w:r>
        <w:rPr>
          <w:rFonts w:hint="cs"/>
          <w:rtl/>
        </w:rPr>
        <w:t xml:space="preserve">בהמשך, בחן בית המשפט המחוזי את החלופות העומדות לנתין אויב שנפגע מפעילות צבאית, מחוץ לתחום דיני הנזיקין. לשיטתו, אם ימָצאו כאלה, יש בכך כדי להשפיע על הקביעה </w:t>
      </w:r>
      <w:r w:rsidR="00DC71B6">
        <w:rPr>
          <w:rFonts w:hint="cs"/>
          <w:rtl/>
        </w:rPr>
        <w:t xml:space="preserve">שלפיה </w:t>
      </w:r>
      <w:r>
        <w:rPr>
          <w:rFonts w:hint="cs"/>
          <w:rtl/>
        </w:rPr>
        <w:t xml:space="preserve">סעיף 5ב(א)(1) לחוק </w:t>
      </w:r>
      <w:r>
        <w:rPr>
          <w:rtl/>
        </w:rPr>
        <w:t>–</w:t>
      </w:r>
      <w:r>
        <w:rPr>
          <w:rFonts w:hint="cs"/>
          <w:rtl/>
        </w:rPr>
        <w:t xml:space="preserve"> אכן מידתי. בית המשפט המחוזי </w:t>
      </w:r>
      <w:r w:rsidR="00DC71B6">
        <w:rPr>
          <w:rFonts w:hint="cs"/>
          <w:rtl/>
        </w:rPr>
        <w:t xml:space="preserve">הזכיר </w:t>
      </w:r>
      <w:r>
        <w:rPr>
          <w:rFonts w:hint="cs"/>
          <w:rtl/>
        </w:rPr>
        <w:t xml:space="preserve">את עמדת המדינה, שלפיה, ככלל יכול הנפגע לקבל מענה בדרך של קבלת תגמול כספי ממדינתו-שלו, על-פי הסדרי התגמולים לנפגעי איבה הקיימים בה, כאשר בסיום העימות, יש להניח כי מדינתו תדרוש פיצויים כוללניים מאת מדינת האויב. עוד צוינה האפשרות להגיש תביעה </w:t>
      </w:r>
      <w:r w:rsidRPr="00757594">
        <w:rPr>
          <w:rFonts w:ascii="Century" w:hAnsi="Century" w:cs="Miriam" w:hint="cs"/>
          <w:b/>
          <w:spacing w:val="0"/>
          <w:sz w:val="22"/>
          <w:szCs w:val="24"/>
          <w:rtl/>
        </w:rPr>
        <w:t>מדינתית</w:t>
      </w:r>
      <w:r w:rsidRPr="00757594">
        <w:rPr>
          <w:rFonts w:hint="cs"/>
          <w:rtl/>
        </w:rPr>
        <w:t xml:space="preserve"> </w:t>
      </w:r>
      <w:r>
        <w:rPr>
          <w:rFonts w:hint="cs"/>
          <w:rtl/>
        </w:rPr>
        <w:t xml:space="preserve">לפיצוי, על-פי המשפט הבינלאומי ההומניטרי, בגין הפרה של דיני המלחמה, וזאת להבדיל מתביעה נזיקית </w:t>
      </w:r>
      <w:r w:rsidRPr="0057017D">
        <w:rPr>
          <w:rFonts w:ascii="Century" w:hAnsi="Century" w:cs="Miriam" w:hint="cs"/>
          <w:b/>
          <w:spacing w:val="0"/>
          <w:sz w:val="22"/>
          <w:szCs w:val="24"/>
          <w:rtl/>
        </w:rPr>
        <w:t>אישית</w:t>
      </w:r>
      <w:r>
        <w:rPr>
          <w:rFonts w:hint="cs"/>
          <w:rtl/>
        </w:rPr>
        <w:t>,</w:t>
      </w:r>
      <w:r w:rsidRPr="0057017D">
        <w:rPr>
          <w:rFonts w:hint="cs"/>
          <w:rtl/>
        </w:rPr>
        <w:t xml:space="preserve"> </w:t>
      </w:r>
      <w:r>
        <w:rPr>
          <w:rFonts w:hint="cs"/>
          <w:rtl/>
        </w:rPr>
        <w:t>בגין הנזק שגרמה הפעולה הצבאית.</w:t>
      </w:r>
    </w:p>
    <w:p w:rsidR="00D512D4" w:rsidRPr="000E35EB" w:rsidRDefault="00D512D4" w:rsidP="000B6AE3">
      <w:pPr>
        <w:pStyle w:val="Ruller41"/>
        <w:spacing w:line="240" w:lineRule="auto"/>
      </w:pPr>
      <w:r>
        <w:rPr>
          <w:rFonts w:hint="cs"/>
          <w:rtl/>
        </w:rPr>
        <w:t xml:space="preserve"> </w:t>
      </w:r>
    </w:p>
    <w:p w:rsidR="00D512D4" w:rsidRDefault="00D512D4" w:rsidP="00DC71B6">
      <w:pPr>
        <w:pStyle w:val="Ruller4"/>
        <w:numPr>
          <w:ilvl w:val="0"/>
          <w:numId w:val="0"/>
        </w:numPr>
        <w:rPr>
          <w:rtl/>
        </w:rPr>
      </w:pPr>
      <w:r>
        <w:rPr>
          <w:rtl/>
        </w:rPr>
        <w:tab/>
      </w:r>
      <w:r>
        <w:rPr>
          <w:rFonts w:hint="cs"/>
          <w:rtl/>
        </w:rPr>
        <w:t xml:space="preserve">[במאמר מוסגר </w:t>
      </w:r>
      <w:r w:rsidR="00DC71B6">
        <w:rPr>
          <w:rFonts w:hint="cs"/>
          <w:rtl/>
        </w:rPr>
        <w:t>אצי</w:t>
      </w:r>
      <w:r>
        <w:rPr>
          <w:rFonts w:hint="cs"/>
          <w:rtl/>
        </w:rPr>
        <w:t xml:space="preserve">ין, כי בית המשפט המחוזי הוסיף והקדיש גם פרק נכבד לשרטוט </w:t>
      </w:r>
      <w:r w:rsidRPr="00D16E31">
        <w:rPr>
          <w:rFonts w:ascii="Century" w:hAnsi="Century" w:cs="Miriam" w:hint="eastAsia"/>
          <w:b/>
          <w:spacing w:val="0"/>
          <w:sz w:val="22"/>
          <w:szCs w:val="24"/>
          <w:rtl/>
        </w:rPr>
        <w:t>מתווה</w:t>
      </w:r>
      <w:r w:rsidRPr="00D16E31">
        <w:rPr>
          <w:rFonts w:ascii="Century" w:hAnsi="Century" w:cs="Miriam"/>
          <w:b/>
          <w:spacing w:val="0"/>
          <w:sz w:val="22"/>
          <w:szCs w:val="24"/>
          <w:rtl/>
        </w:rPr>
        <w:t xml:space="preserve"> </w:t>
      </w:r>
      <w:r w:rsidRPr="00597119">
        <w:rPr>
          <w:rFonts w:ascii="Century" w:hAnsi="Century" w:cs="Miriam" w:hint="eastAsia"/>
          <w:b/>
          <w:spacing w:val="0"/>
          <w:sz w:val="22"/>
          <w:szCs w:val="24"/>
          <w:rtl/>
        </w:rPr>
        <w:t>מוצע</w:t>
      </w:r>
      <w:r>
        <w:rPr>
          <w:rFonts w:hint="cs"/>
          <w:rtl/>
        </w:rPr>
        <w:t xml:space="preserve">, של פיצוי כספי לניזוקים כאלו, </w:t>
      </w:r>
      <w:r>
        <w:rPr>
          <w:rFonts w:ascii="Century" w:hAnsi="Century" w:cs="Miriam" w:hint="cs"/>
          <w:b/>
          <w:spacing w:val="0"/>
          <w:sz w:val="22"/>
          <w:szCs w:val="24"/>
          <w:rtl/>
        </w:rPr>
        <w:t>ב</w:t>
      </w:r>
      <w:r w:rsidRPr="0057017D">
        <w:rPr>
          <w:rFonts w:ascii="Century" w:hAnsi="Century" w:cs="Miriam" w:hint="cs"/>
          <w:b/>
          <w:spacing w:val="0"/>
          <w:sz w:val="22"/>
          <w:szCs w:val="24"/>
          <w:rtl/>
        </w:rPr>
        <w:t>ערוץ מ</w:t>
      </w:r>
      <w:r>
        <w:rPr>
          <w:rFonts w:ascii="Century" w:hAnsi="Century" w:cs="Miriam" w:hint="cs"/>
          <w:b/>
          <w:spacing w:val="0"/>
          <w:sz w:val="22"/>
          <w:szCs w:val="24"/>
          <w:rtl/>
        </w:rPr>
        <w:t>י</w:t>
      </w:r>
      <w:r w:rsidRPr="0057017D">
        <w:rPr>
          <w:rFonts w:ascii="Century" w:hAnsi="Century" w:cs="Miriam" w:hint="cs"/>
          <w:b/>
          <w:spacing w:val="0"/>
          <w:sz w:val="22"/>
          <w:szCs w:val="24"/>
          <w:rtl/>
        </w:rPr>
        <w:t>נהלי</w:t>
      </w:r>
      <w:r>
        <w:rPr>
          <w:rFonts w:hint="cs"/>
          <w:rtl/>
        </w:rPr>
        <w:t xml:space="preserve">. הצעתו של בית המשפט המחוזי סוכמה כך: </w:t>
      </w:r>
      <w:r w:rsidRPr="0057017D">
        <w:rPr>
          <w:rFonts w:ascii="Century" w:hAnsi="Century" w:cs="Miriam" w:hint="cs"/>
          <w:b/>
          <w:spacing w:val="0"/>
          <w:sz w:val="22"/>
          <w:szCs w:val="24"/>
          <w:rtl/>
        </w:rPr>
        <w:t>"מי שלטענתו נפגע מהפרה של המשפט הבינלאומי ההומניטרי המנהגי יוכל להגיש לסמכות המנהלית המתאימה דרישת פיצוי. הרשות המנהלית תבחן את הדרישה ותיתן לגביה החלטה סבירה. השגה על ההחלטה המינהלית, בעילה מעילות המשפט המנהלי, תביא את ההחלטה המינהלית לביקורתו השיפוטית של בית המשפט לעניינים מנהליים"</w:t>
      </w:r>
      <w:r>
        <w:rPr>
          <w:rFonts w:hint="cs"/>
          <w:rtl/>
        </w:rPr>
        <w:t xml:space="preserve">. </w:t>
      </w:r>
      <w:r w:rsidRPr="000527CF">
        <w:rPr>
          <w:rFonts w:hint="cs"/>
          <w:rtl/>
        </w:rPr>
        <w:t>בהמשך, מנה בית המשפט מספר הצדקות ל</w:t>
      </w:r>
      <w:r w:rsidRPr="000527CF">
        <w:rPr>
          <w:rFonts w:ascii="Century" w:hAnsi="Century" w:cs="Miriam" w:hint="cs"/>
          <w:b/>
          <w:spacing w:val="0"/>
          <w:sz w:val="22"/>
          <w:szCs w:val="24"/>
          <w:rtl/>
        </w:rPr>
        <w:t>"ערוץ המנהלי"</w:t>
      </w:r>
      <w:r w:rsidRPr="000527CF">
        <w:rPr>
          <w:rFonts w:hint="cs"/>
          <w:rtl/>
        </w:rPr>
        <w:t xml:space="preserve"> המוצע, התמודד עם טיעוני נגד אפשריים, ואף ציין מהן אמות המידה הראויות בעיניו להענקת הפיצוי].</w:t>
      </w:r>
      <w:r>
        <w:rPr>
          <w:rFonts w:hint="cs"/>
          <w:rtl/>
        </w:rPr>
        <w:t xml:space="preserve"> </w:t>
      </w:r>
    </w:p>
    <w:p w:rsidR="00D512D4" w:rsidRDefault="00D512D4" w:rsidP="000B6AE3">
      <w:pPr>
        <w:pStyle w:val="Ruller41"/>
        <w:spacing w:line="240" w:lineRule="auto"/>
        <w:rPr>
          <w:rtl/>
        </w:rPr>
      </w:pPr>
    </w:p>
    <w:p w:rsidR="00D512D4" w:rsidRDefault="00D512D4" w:rsidP="00350246">
      <w:pPr>
        <w:pStyle w:val="Ruller4"/>
        <w:rPr>
          <w:rtl/>
        </w:rPr>
      </w:pPr>
      <w:r>
        <w:rPr>
          <w:rFonts w:hint="cs"/>
          <w:rtl/>
        </w:rPr>
        <w:t xml:space="preserve">לבסוף קבע בית המשפט המחוזי, כי גם מבחן-המשנה השלישי, 'מידתיות במובן הצר' מתקיים, שכן </w:t>
      </w:r>
      <w:r>
        <w:rPr>
          <w:rFonts w:ascii="Century" w:hAnsi="Century" w:cs="Miriam" w:hint="cs"/>
          <w:b/>
          <w:spacing w:val="0"/>
          <w:sz w:val="22"/>
          <w:szCs w:val="24"/>
          <w:rtl/>
        </w:rPr>
        <w:t>"</w:t>
      </w:r>
      <w:r w:rsidRPr="00FB644A">
        <w:rPr>
          <w:rFonts w:ascii="Century" w:hAnsi="Century" w:cs="Miriam" w:hint="cs"/>
          <w:b/>
          <w:spacing w:val="0"/>
          <w:sz w:val="22"/>
          <w:szCs w:val="24"/>
          <w:rtl/>
        </w:rPr>
        <w:t xml:space="preserve">קיים יחס סביר בין התכלית, שהיא מניעת התדיינות בגין פעולות צבאיות בין המדינה לבין נתיני אויב, במסגרת תביעות נזיקין במשפט הפרטי, לבין המחיר, שהוא השלילה של תביעות נזיקין כאמור, </w:t>
      </w:r>
      <w:r w:rsidRPr="00F041EE">
        <w:rPr>
          <w:rFonts w:ascii="Century" w:hAnsi="Century" w:cs="Miriam" w:hint="cs"/>
          <w:b/>
          <w:spacing w:val="0"/>
          <w:sz w:val="22"/>
          <w:szCs w:val="24"/>
          <w:rtl/>
        </w:rPr>
        <w:t>תוך שימור הערוצים החלופיים, ובכללם הערוץ המנהלי של דרישת פיצוי בגין הפרות ח</w:t>
      </w:r>
      <w:r w:rsidRPr="00FB644A">
        <w:rPr>
          <w:rFonts w:ascii="Century" w:hAnsi="Century" w:cs="Miriam" w:hint="cs"/>
          <w:b/>
          <w:spacing w:val="0"/>
          <w:sz w:val="22"/>
          <w:szCs w:val="24"/>
          <w:rtl/>
        </w:rPr>
        <w:t>מורות בעליל של דיני המלחמה והמשפט ההומניטרי הבין-לאומי</w:t>
      </w:r>
      <w:r>
        <w:rPr>
          <w:rFonts w:ascii="Century" w:hAnsi="Century" w:cs="Miriam" w:hint="cs"/>
          <w:b/>
          <w:spacing w:val="0"/>
          <w:sz w:val="22"/>
          <w:szCs w:val="24"/>
          <w:rtl/>
        </w:rPr>
        <w:t xml:space="preserve"> [</w:t>
      </w:r>
      <w:r w:rsidRPr="00FB644A">
        <w:rPr>
          <w:rFonts w:ascii="Century" w:hAnsi="Century" w:cs="Miriam" w:hint="cs"/>
          <w:b/>
          <w:spacing w:val="0"/>
          <w:sz w:val="22"/>
          <w:szCs w:val="24"/>
          <w:rtl/>
        </w:rPr>
        <w:t>...</w:t>
      </w:r>
      <w:r>
        <w:rPr>
          <w:rFonts w:ascii="Century" w:hAnsi="Century" w:cs="Miriam" w:hint="cs"/>
          <w:b/>
          <w:spacing w:val="0"/>
          <w:sz w:val="22"/>
          <w:szCs w:val="24"/>
          <w:rtl/>
        </w:rPr>
        <w:t>]</w:t>
      </w:r>
      <w:r w:rsidRPr="00FB644A">
        <w:rPr>
          <w:rFonts w:ascii="Century" w:hAnsi="Century" w:cs="Miriam" w:hint="cs"/>
          <w:b/>
          <w:spacing w:val="0"/>
          <w:sz w:val="22"/>
          <w:szCs w:val="24"/>
          <w:rtl/>
        </w:rPr>
        <w:t>"</w:t>
      </w:r>
      <w:r>
        <w:rPr>
          <w:rFonts w:hint="cs"/>
          <w:rtl/>
        </w:rPr>
        <w:t>.</w:t>
      </w:r>
    </w:p>
    <w:p w:rsidR="00D512D4" w:rsidRPr="00E12D47" w:rsidRDefault="00D512D4" w:rsidP="000B261B">
      <w:pPr>
        <w:pStyle w:val="Ruller41"/>
        <w:spacing w:line="240" w:lineRule="auto"/>
      </w:pPr>
    </w:p>
    <w:p w:rsidR="00D512D4" w:rsidRDefault="00D512D4" w:rsidP="00D512D4">
      <w:pPr>
        <w:pStyle w:val="Ruller4"/>
      </w:pPr>
      <w:r>
        <w:rPr>
          <w:rFonts w:hint="cs"/>
          <w:rtl/>
        </w:rPr>
        <w:t xml:space="preserve">נוכח כלל האמור, קבע בית המשפט המחוזי כי סעיף 5ב הוא חוקתי, ובהתאם </w:t>
      </w:r>
      <w:r>
        <w:rPr>
          <w:rtl/>
        </w:rPr>
        <w:t>–</w:t>
      </w:r>
      <w:r>
        <w:rPr>
          <w:rFonts w:hint="cs"/>
          <w:rtl/>
        </w:rPr>
        <w:t xml:space="preserve"> כי יש לדחות את תביעת המערער על הסף, בהיותו תושב שטח אויב.</w:t>
      </w:r>
    </w:p>
    <w:p w:rsidR="00D512D4" w:rsidRPr="00A573FA" w:rsidRDefault="00D512D4" w:rsidP="00D512D4">
      <w:pPr>
        <w:pStyle w:val="Ruller4"/>
        <w:numPr>
          <w:ilvl w:val="0"/>
          <w:numId w:val="0"/>
        </w:numPr>
        <w:rPr>
          <w:rtl/>
        </w:rPr>
      </w:pPr>
    </w:p>
    <w:p w:rsidR="00D512D4" w:rsidRDefault="00D512D4" w:rsidP="00D512D4">
      <w:pPr>
        <w:pStyle w:val="Ruller4"/>
        <w:numPr>
          <w:ilvl w:val="0"/>
          <w:numId w:val="0"/>
        </w:numPr>
        <w:rPr>
          <w:rtl/>
        </w:rPr>
      </w:pPr>
      <w:r>
        <w:rPr>
          <w:rtl/>
        </w:rPr>
        <w:tab/>
      </w:r>
      <w:r>
        <w:rPr>
          <w:rFonts w:hint="cs"/>
          <w:rtl/>
        </w:rPr>
        <w:t xml:space="preserve">מכאן הערעור שלפנינו.    </w:t>
      </w:r>
      <w:r w:rsidRPr="00D41A05">
        <w:rPr>
          <w:rFonts w:hint="cs"/>
          <w:rtl/>
        </w:rPr>
        <w:t xml:space="preserve">   </w:t>
      </w:r>
    </w:p>
    <w:p w:rsidR="00D512D4" w:rsidRDefault="00D512D4" w:rsidP="00D512D4">
      <w:pPr>
        <w:pStyle w:val="Ruller41"/>
        <w:rPr>
          <w:rtl/>
        </w:rPr>
      </w:pPr>
    </w:p>
    <w:p w:rsidR="00D512D4" w:rsidRDefault="00D512D4" w:rsidP="00C04DC8">
      <w:pPr>
        <w:pStyle w:val="1"/>
        <w:rPr>
          <w:rtl/>
        </w:rPr>
      </w:pPr>
      <w:bookmarkStart w:id="12" w:name="_Toc107851285"/>
      <w:bookmarkStart w:id="13" w:name="_Toc107851340"/>
      <w:r>
        <w:rPr>
          <w:rFonts w:hint="cs"/>
          <w:rtl/>
        </w:rPr>
        <w:t>ג. טענות הצדדים</w:t>
      </w:r>
      <w:bookmarkEnd w:id="12"/>
      <w:bookmarkEnd w:id="13"/>
    </w:p>
    <w:p w:rsidR="00D512D4" w:rsidRDefault="00D512D4" w:rsidP="00C04DC8">
      <w:pPr>
        <w:pStyle w:val="2"/>
        <w:rPr>
          <w:rtl/>
        </w:rPr>
      </w:pPr>
      <w:bookmarkStart w:id="14" w:name="_Toc107851286"/>
      <w:bookmarkStart w:id="15" w:name="_Toc107851341"/>
      <w:r>
        <w:rPr>
          <w:rFonts w:hint="cs"/>
          <w:rtl/>
        </w:rPr>
        <w:t xml:space="preserve">ג.1. </w:t>
      </w:r>
      <w:r w:rsidRPr="00FB644A">
        <w:rPr>
          <w:rFonts w:hint="cs"/>
          <w:rtl/>
        </w:rPr>
        <w:t>עיקרי טענות המערער</w:t>
      </w:r>
      <w:bookmarkEnd w:id="14"/>
      <w:bookmarkEnd w:id="15"/>
    </w:p>
    <w:p w:rsidR="00D512D4" w:rsidRDefault="00D512D4" w:rsidP="00DE71BF">
      <w:pPr>
        <w:pStyle w:val="Ruller4"/>
        <w:rPr>
          <w:rtl/>
        </w:rPr>
      </w:pPr>
      <w:r>
        <w:rPr>
          <w:rFonts w:hint="cs"/>
          <w:rtl/>
        </w:rPr>
        <w:t xml:space="preserve">המערער העלה טענות כלפי כל אחת ואחת מן הקביעות שבפסק הדין. תחילה טען המערער, כי שלילת </w:t>
      </w:r>
      <w:r w:rsidR="0036594D">
        <w:rPr>
          <w:rFonts w:hint="cs"/>
          <w:rtl/>
        </w:rPr>
        <w:t>ה</w:t>
      </w:r>
      <w:r>
        <w:rPr>
          <w:rFonts w:hint="cs"/>
          <w:rtl/>
        </w:rPr>
        <w:t xml:space="preserve">אפשרות לפנות בתביעה נזיקית, על אף הנזק שנגרם לו, פוגעת בזכויות אדם חוקתיות-בסיסיות: הזכות לחיים, לשלמות הגוף, לקניין ולגישה לערכאות. </w:t>
      </w:r>
      <w:r w:rsidR="0036594D">
        <w:rPr>
          <w:rFonts w:hint="cs"/>
          <w:rtl/>
        </w:rPr>
        <w:t>ה</w:t>
      </w:r>
      <w:r>
        <w:rPr>
          <w:rFonts w:hint="cs"/>
          <w:rtl/>
        </w:rPr>
        <w:t>מערער</w:t>
      </w:r>
      <w:r w:rsidR="0036594D">
        <w:rPr>
          <w:rFonts w:hint="cs"/>
          <w:rtl/>
        </w:rPr>
        <w:t xml:space="preserve"> טען</w:t>
      </w:r>
      <w:r>
        <w:rPr>
          <w:rFonts w:hint="cs"/>
          <w:rtl/>
        </w:rPr>
        <w:t xml:space="preserve">, כי זכויות היסוד הללו חלות על כל אדם, מבלי להבחין בין אזרח ותושב לבין אזרח זר. לדבריו, זוהי ההלכה שנקבעה בעניין </w:t>
      </w:r>
      <w:r w:rsidRPr="00291BCB">
        <w:rPr>
          <w:rFonts w:ascii="Century" w:hAnsi="Century" w:cs="Miriam" w:hint="cs"/>
          <w:b/>
          <w:spacing w:val="0"/>
          <w:sz w:val="22"/>
          <w:szCs w:val="24"/>
          <w:rtl/>
        </w:rPr>
        <w:t>עדאלה</w:t>
      </w:r>
      <w:r>
        <w:rPr>
          <w:rFonts w:hint="cs"/>
          <w:rtl/>
        </w:rPr>
        <w:t xml:space="preserve">, ובהתאם גם בפסק הדין של בית המשפט המחוזי. לטענתו, סעיף 5ב(א)(1), אינו עומד במבחני פסקת ההגבלה, וממילא אין משמעות גם לצו שיצא מכוחו, בכל הנוגע למעמדה של רצועת עזה. כך, הסעיף אינו ממלא אחר דרישת </w:t>
      </w:r>
      <w:r w:rsidRPr="00291BCB">
        <w:rPr>
          <w:rFonts w:ascii="Century" w:hAnsi="Century" w:cs="Miriam" w:hint="cs"/>
          <w:b/>
          <w:spacing w:val="0"/>
          <w:sz w:val="22"/>
          <w:szCs w:val="24"/>
          <w:rtl/>
        </w:rPr>
        <w:t>"ההסמכה המפורשת בחוק"</w:t>
      </w:r>
      <w:r>
        <w:rPr>
          <w:rFonts w:hint="cs"/>
          <w:rtl/>
        </w:rPr>
        <w:t xml:space="preserve"> שבפסקת ההגבלה, שכן בגדרו הוענקה לממשלה סמכות גורפת ורחבה, להכריז על שטח כלשהו כי </w:t>
      </w:r>
      <w:r w:rsidRPr="0036594D">
        <w:rPr>
          <w:rFonts w:ascii="Century" w:hAnsi="Century" w:hint="cs"/>
          <w:sz w:val="22"/>
          <w:rtl/>
        </w:rPr>
        <w:t>י</w:t>
      </w:r>
      <w:r w:rsidR="0036594D">
        <w:rPr>
          <w:rFonts w:ascii="Century" w:hAnsi="Century" w:hint="cs"/>
          <w:sz w:val="22"/>
          <w:rtl/>
        </w:rPr>
        <w:t>ֵ</w:t>
      </w:r>
      <w:r w:rsidRPr="0036594D">
        <w:rPr>
          <w:rFonts w:ascii="Century" w:hAnsi="Century" w:hint="cs"/>
          <w:sz w:val="22"/>
          <w:rtl/>
        </w:rPr>
        <w:t>חשב</w:t>
      </w:r>
      <w:r w:rsidRPr="0036594D">
        <w:rPr>
          <w:rFonts w:hint="cs"/>
          <w:rtl/>
        </w:rPr>
        <w:t xml:space="preserve"> </w:t>
      </w:r>
      <w:r>
        <w:rPr>
          <w:rFonts w:hint="cs"/>
          <w:rtl/>
        </w:rPr>
        <w:t>לשטח אויב, ללא אמות מידה, ומבלעדי קריטריונים ברורים להפעלתו. המערער</w:t>
      </w:r>
      <w:r w:rsidR="0036594D">
        <w:rPr>
          <w:rFonts w:hint="cs"/>
          <w:rtl/>
        </w:rPr>
        <w:t xml:space="preserve"> ציין</w:t>
      </w:r>
      <w:r>
        <w:rPr>
          <w:rFonts w:hint="cs"/>
          <w:rtl/>
        </w:rPr>
        <w:t xml:space="preserve">, כי שיקול הדעת כה רחב, עד כי הממשלה רשאית לצאת בהכרזה כאמור, אף ביחס לשטח שאין בינו לבין ישראל עימות מזוין או מלחמה. עוד נטען, כי נפל פגם בצו שהוצא מכוח הסעיף, </w:t>
      </w:r>
      <w:r w:rsidR="00DE71BF">
        <w:rPr>
          <w:rFonts w:hint="cs"/>
          <w:rtl/>
        </w:rPr>
        <w:t>משום ש</w:t>
      </w:r>
      <w:r>
        <w:rPr>
          <w:rFonts w:hint="cs"/>
          <w:rtl/>
        </w:rPr>
        <w:t xml:space="preserve">נקבע כי יוחל למפרע, באופן רטרואקטיבי, ארבעה חודשים לפני מועד הוצאתו בפועל, ללא הסמכה לכך. זאת, בניגוד מוחלט לעקרון הוודאות והיציבות, ולפסיקותיו של בית משפט זה. </w:t>
      </w:r>
    </w:p>
    <w:p w:rsidR="00D512D4" w:rsidRPr="000F32F4" w:rsidRDefault="00D512D4" w:rsidP="000B261B">
      <w:pPr>
        <w:pStyle w:val="Ruller41"/>
        <w:spacing w:line="240" w:lineRule="auto"/>
      </w:pPr>
    </w:p>
    <w:p w:rsidR="00D512D4" w:rsidRDefault="00D512D4" w:rsidP="00DE71BF">
      <w:pPr>
        <w:pStyle w:val="Ruller4"/>
        <w:rPr>
          <w:rtl/>
        </w:rPr>
      </w:pPr>
      <w:r>
        <w:rPr>
          <w:rFonts w:hint="cs"/>
          <w:rtl/>
        </w:rPr>
        <w:lastRenderedPageBreak/>
        <w:t>בנוסף נטען כי תיקון מספר 8</w:t>
      </w:r>
      <w:r w:rsidR="0036594D">
        <w:rPr>
          <w:rFonts w:hint="cs"/>
          <w:rtl/>
        </w:rPr>
        <w:t>, המתייחס לכל תושבי עזה כאל נתינ</w:t>
      </w:r>
      <w:r>
        <w:rPr>
          <w:rFonts w:hint="cs"/>
          <w:rtl/>
        </w:rPr>
        <w:t xml:space="preserve">י אויב, מקדם </w:t>
      </w:r>
      <w:r w:rsidRPr="00291BCB">
        <w:rPr>
          <w:rFonts w:ascii="Century" w:hAnsi="Century" w:cs="Miriam" w:hint="cs"/>
          <w:b/>
          <w:spacing w:val="0"/>
          <w:sz w:val="22"/>
          <w:szCs w:val="24"/>
          <w:rtl/>
        </w:rPr>
        <w:t>תכלית שאינה ראויה</w:t>
      </w:r>
      <w:r>
        <w:rPr>
          <w:rFonts w:hint="cs"/>
          <w:rtl/>
        </w:rPr>
        <w:t xml:space="preserve">, משום שבבסיסו עומדת דוקטרינה גזענית, דוקטרינת 'נתיני אויב', השוללת זכויות-יסוד על בסיס שיוך לאומי, אתני או טריטוריאלי. נטען, כי השימוש בדוקטרינה זו נשלל זה מכבר, בעניין </w:t>
      </w:r>
      <w:r w:rsidRPr="00291BCB">
        <w:rPr>
          <w:rFonts w:ascii="Century" w:hAnsi="Century" w:cs="Miriam" w:hint="cs"/>
          <w:b/>
          <w:spacing w:val="0"/>
          <w:sz w:val="22"/>
          <w:szCs w:val="24"/>
          <w:rtl/>
        </w:rPr>
        <w:t>עדאלה</w:t>
      </w:r>
      <w:r w:rsidR="00DE71BF">
        <w:rPr>
          <w:rFonts w:hint="cs"/>
          <w:rtl/>
        </w:rPr>
        <w:t>,</w:t>
      </w:r>
      <w:r w:rsidRPr="00DD7107">
        <w:rPr>
          <w:rFonts w:hint="cs"/>
          <w:rtl/>
        </w:rPr>
        <w:t xml:space="preserve"> </w:t>
      </w:r>
      <w:r>
        <w:rPr>
          <w:rFonts w:hint="cs"/>
          <w:rtl/>
        </w:rPr>
        <w:t xml:space="preserve">ונשלל פעם נוספת בדנ"א 5698/11 </w:t>
      </w:r>
      <w:r w:rsidRPr="00291BCB">
        <w:rPr>
          <w:rFonts w:ascii="Century" w:hAnsi="Century" w:cs="Miriam" w:hint="cs"/>
          <w:b/>
          <w:spacing w:val="0"/>
          <w:sz w:val="22"/>
          <w:szCs w:val="24"/>
          <w:rtl/>
        </w:rPr>
        <w:t>מדינת ישראל נ' דיראני</w:t>
      </w:r>
      <w:r>
        <w:rPr>
          <w:rFonts w:hint="cs"/>
          <w:rtl/>
        </w:rPr>
        <w:t xml:space="preserve"> (15.1.2015) (להלן: </w:t>
      </w:r>
      <w:r>
        <w:rPr>
          <w:rFonts w:ascii="Century" w:hAnsi="Century" w:cs="Miriam" w:hint="cs"/>
          <w:b/>
          <w:spacing w:val="0"/>
          <w:sz w:val="22"/>
          <w:szCs w:val="24"/>
          <w:rtl/>
        </w:rPr>
        <w:t>עניין</w:t>
      </w:r>
      <w:r w:rsidRPr="00291BCB">
        <w:rPr>
          <w:rFonts w:ascii="Century" w:hAnsi="Century" w:cs="Miriam" w:hint="cs"/>
          <w:b/>
          <w:spacing w:val="0"/>
          <w:sz w:val="22"/>
          <w:szCs w:val="24"/>
          <w:rtl/>
        </w:rPr>
        <w:t xml:space="preserve"> </w:t>
      </w:r>
      <w:r w:rsidRPr="00E433D2">
        <w:rPr>
          <w:rFonts w:ascii="Century" w:hAnsi="Century" w:cs="Miriam" w:hint="eastAsia"/>
          <w:b/>
          <w:spacing w:val="0"/>
          <w:sz w:val="22"/>
          <w:szCs w:val="24"/>
          <w:rtl/>
        </w:rPr>
        <w:t>דיראנ</w:t>
      </w:r>
      <w:r w:rsidRPr="00D16E31">
        <w:rPr>
          <w:rFonts w:ascii="Century" w:hAnsi="Century" w:cs="Miriam" w:hint="eastAsia"/>
          <w:b/>
          <w:spacing w:val="0"/>
          <w:sz w:val="22"/>
          <w:szCs w:val="24"/>
          <w:rtl/>
        </w:rPr>
        <w:t>י</w:t>
      </w:r>
      <w:r>
        <w:rPr>
          <w:rFonts w:hint="cs"/>
          <w:rtl/>
        </w:rPr>
        <w:t>), משנמצא כי היא נוגדת איסורים מפורשים שנקבעו במשפט הבינלאומי ההומניטרי, ואף במשפט זכויות האדם. עוד נטען, כי בפסיקת בית משפט זה, שניתנה לאחר התנתקות ישראל מרצועת עזה, נקבע כי לשטח רצועת עזה מעמד מיוחד, וכי על מדינת ישראל לכבד ביחס אליו את כללי המשפט הבינלאומי ההומניטרי, בהם: 'עקרון ההבחנה' בין לוחמים לאזרחים, 'עקרון המידתיות', והחובה להגן על תושבי עזה, שמעמדם הוא כשל 'אזרחים מוגנים'. לשיטת המערער, רצועת עזה, עודנה תחת שליטה אפקטיבית של מדינת ישראל, ומעולם לא נקבע בפסיקה כי תושביה איבדו את מעמדם כ'תושבים מוגנים'. המערער הוסיף וטען, כי אין להקיש מעניין</w:t>
      </w:r>
      <w:r w:rsidRPr="000F32F4">
        <w:rPr>
          <w:rFonts w:ascii="Century" w:hAnsi="Century" w:cs="Miriam" w:hint="cs"/>
          <w:b/>
          <w:spacing w:val="0"/>
          <w:sz w:val="22"/>
          <w:szCs w:val="24"/>
          <w:rtl/>
        </w:rPr>
        <w:t xml:space="preserve"> דיראני</w:t>
      </w:r>
      <w:r>
        <w:rPr>
          <w:rFonts w:hint="cs"/>
          <w:rtl/>
        </w:rPr>
        <w:t xml:space="preserve"> לענייננו, שכן גם על-פי ההלכה שנפסקה שם, אין להחיל באופן גורף את הכלל שלפיו 'אין מבררים תביעת אויב', על כל נתיני האויב; יש להחילו באופן מצומצם, רק על לוחמים פעילים נגד המדינה. מעבר לכך, אין כל מקום להחיל את הכלל האמור לגבי שטח שלישראל שליטה אפקטיבית בו, כרצועת עזה. לשיטת המערער, הכלל שנקבע במשפט הבינלאומי ההומניטרי </w:t>
      </w:r>
      <w:r>
        <w:rPr>
          <w:rtl/>
        </w:rPr>
        <w:t>–</w:t>
      </w:r>
      <w:r>
        <w:rPr>
          <w:rFonts w:hint="cs"/>
          <w:rtl/>
        </w:rPr>
        <w:t xml:space="preserve"> המהווה חלק מהמשפט המנהגי </w:t>
      </w:r>
      <w:r>
        <w:rPr>
          <w:rtl/>
        </w:rPr>
        <w:t>–</w:t>
      </w:r>
      <w:r>
        <w:rPr>
          <w:rFonts w:hint="cs"/>
          <w:rtl/>
        </w:rPr>
        <w:t xml:space="preserve"> הוא כי צד לסכסוך מזוין, יחויב בתשלום פיצוי בגין נזק שגרם בעימות מזוין. המערער נסמך בהקשר זה, על הוראות מאמנות בינלאומיות, המחייבות לשיטתו את</w:t>
      </w:r>
      <w:r w:rsidR="00DE71BF">
        <w:rPr>
          <w:rFonts w:hint="cs"/>
          <w:rtl/>
        </w:rPr>
        <w:t xml:space="preserve"> מדינת</w:t>
      </w:r>
      <w:r>
        <w:rPr>
          <w:rFonts w:hint="cs"/>
          <w:rtl/>
        </w:rPr>
        <w:t xml:space="preserve"> ישראל. לטענתו, שגה בית המשפט המחוזי, בעת שקבע כי הוראות אלו אינן מקימות עילת תביעה </w:t>
      </w:r>
      <w:r w:rsidRPr="00FE7BA0">
        <w:rPr>
          <w:rFonts w:ascii="Century" w:hAnsi="Century" w:cs="Miriam" w:hint="eastAsia"/>
          <w:b/>
          <w:spacing w:val="0"/>
          <w:sz w:val="22"/>
          <w:szCs w:val="24"/>
          <w:rtl/>
        </w:rPr>
        <w:t>אישית</w:t>
      </w:r>
      <w:r>
        <w:rPr>
          <w:rFonts w:hint="cs"/>
          <w:rtl/>
        </w:rPr>
        <w:t xml:space="preserve">, כי אם עילת תביעה </w:t>
      </w:r>
      <w:r w:rsidRPr="00FE7BA0">
        <w:rPr>
          <w:rFonts w:ascii="Century" w:hAnsi="Century" w:cs="Miriam" w:hint="eastAsia"/>
          <w:b/>
          <w:spacing w:val="0"/>
          <w:sz w:val="22"/>
          <w:szCs w:val="24"/>
          <w:rtl/>
        </w:rPr>
        <w:t>מדינתית</w:t>
      </w:r>
      <w:r w:rsidRPr="005B7CBE">
        <w:rPr>
          <w:rFonts w:hint="cs"/>
          <w:rtl/>
        </w:rPr>
        <w:t xml:space="preserve"> </w:t>
      </w:r>
      <w:r>
        <w:rPr>
          <w:rFonts w:hint="cs"/>
          <w:rtl/>
        </w:rPr>
        <w:t>בין המדינות האויבות. לדבריו, קביעה זו עומדת בניגוד למגמה האקטואלית במשפט הבינלאומי, כעולה, בין היתר, מאסמכתאות שונות שאליהן הפנה.</w:t>
      </w:r>
    </w:p>
    <w:p w:rsidR="00D512D4" w:rsidRPr="005B7CBE" w:rsidRDefault="00D512D4" w:rsidP="000B261B">
      <w:pPr>
        <w:pStyle w:val="Ruller41"/>
        <w:spacing w:line="240" w:lineRule="auto"/>
      </w:pPr>
    </w:p>
    <w:p w:rsidR="00D512D4" w:rsidRDefault="00D512D4" w:rsidP="00DE71BF">
      <w:pPr>
        <w:pStyle w:val="Ruller4"/>
      </w:pPr>
      <w:r>
        <w:rPr>
          <w:rFonts w:hint="cs"/>
          <w:rtl/>
        </w:rPr>
        <w:t xml:space="preserve">המערער הוסיף וטען, כי הפגיעה בזכויותיו החוקתיות </w:t>
      </w:r>
      <w:r>
        <w:rPr>
          <w:rtl/>
        </w:rPr>
        <w:t>–</w:t>
      </w:r>
      <w:r>
        <w:rPr>
          <w:rFonts w:hint="cs"/>
          <w:rtl/>
        </w:rPr>
        <w:t xml:space="preserve"> אינה עומדת במבחן המידתיות. לדידו, אין לסטות מעניין </w:t>
      </w:r>
      <w:r w:rsidRPr="00B413E4">
        <w:rPr>
          <w:rFonts w:ascii="Century" w:hAnsi="Century" w:cs="Miriam" w:hint="cs"/>
          <w:b/>
          <w:spacing w:val="0"/>
          <w:sz w:val="22"/>
          <w:szCs w:val="24"/>
          <w:rtl/>
        </w:rPr>
        <w:t>עדאלה</w:t>
      </w:r>
      <w:r>
        <w:rPr>
          <w:rFonts w:hint="cs"/>
          <w:rtl/>
        </w:rPr>
        <w:t xml:space="preserve">, שבו נפסק כי הפתרון המידתי הוא בחינה אינדיבידואלית, חלף </w:t>
      </w:r>
      <w:r>
        <w:rPr>
          <w:rFonts w:hint="cs"/>
          <w:rtl/>
        </w:rPr>
        <w:lastRenderedPageBreak/>
        <w:t xml:space="preserve">קביעת כלל גורף. </w:t>
      </w:r>
      <w:r w:rsidR="0036594D">
        <w:rPr>
          <w:rFonts w:hint="cs"/>
          <w:rtl/>
        </w:rPr>
        <w:t xml:space="preserve">כמו כן </w:t>
      </w:r>
      <w:r>
        <w:rPr>
          <w:rFonts w:hint="cs"/>
          <w:rtl/>
        </w:rPr>
        <w:t>טען, כי הסתמכות בית המשפט המחוזי על פסק הדין בבג"ץ 7052/03</w:t>
      </w:r>
      <w:r w:rsidRPr="00B413E4">
        <w:rPr>
          <w:rtl/>
        </w:rPr>
        <w:t xml:space="preserve"> </w:t>
      </w:r>
      <w:r w:rsidRPr="00B413E4">
        <w:rPr>
          <w:rFonts w:ascii="Century" w:hAnsi="Century" w:cs="Miriam"/>
          <w:b/>
          <w:spacing w:val="0"/>
          <w:sz w:val="22"/>
          <w:szCs w:val="24"/>
          <w:rtl/>
        </w:rPr>
        <w:t>עדאלה</w:t>
      </w:r>
      <w:r>
        <w:rPr>
          <w:rFonts w:ascii="Century" w:hAnsi="Century" w:cs="Miriam" w:hint="cs"/>
          <w:b/>
          <w:spacing w:val="0"/>
          <w:sz w:val="22"/>
          <w:szCs w:val="24"/>
          <w:rtl/>
        </w:rPr>
        <w:t xml:space="preserve"> </w:t>
      </w:r>
      <w:r w:rsidRPr="00C8130A">
        <w:rPr>
          <w:rFonts w:ascii="Century" w:hAnsi="Century"/>
          <w:sz w:val="22"/>
          <w:rtl/>
        </w:rPr>
        <w:t>–</w:t>
      </w:r>
      <w:r>
        <w:rPr>
          <w:rFonts w:ascii="Century" w:hAnsi="Century" w:cs="Miriam" w:hint="cs"/>
          <w:b/>
          <w:spacing w:val="0"/>
          <w:sz w:val="22"/>
          <w:szCs w:val="24"/>
          <w:rtl/>
        </w:rPr>
        <w:t xml:space="preserve"> </w:t>
      </w:r>
      <w:r w:rsidRPr="00B413E4">
        <w:rPr>
          <w:rFonts w:ascii="Century" w:hAnsi="Century" w:cs="Miriam"/>
          <w:b/>
          <w:spacing w:val="0"/>
          <w:sz w:val="22"/>
          <w:szCs w:val="24"/>
          <w:rtl/>
        </w:rPr>
        <w:t>המרכז המשפטי לזכויות המיעוט הערבי</w:t>
      </w:r>
      <w:r w:rsidRPr="00B413E4">
        <w:rPr>
          <w:rFonts w:ascii="Century" w:hAnsi="Century" w:cs="Miriam" w:hint="cs"/>
          <w:b/>
          <w:spacing w:val="0"/>
          <w:sz w:val="22"/>
          <w:szCs w:val="24"/>
          <w:rtl/>
        </w:rPr>
        <w:t xml:space="preserve"> נ' שר הפנים</w:t>
      </w:r>
      <w:r>
        <w:rPr>
          <w:rFonts w:hint="cs"/>
          <w:rtl/>
        </w:rPr>
        <w:t xml:space="preserve"> (14.5.2006) (להלן: </w:t>
      </w:r>
      <w:r w:rsidRPr="00B413E4">
        <w:rPr>
          <w:rFonts w:ascii="Century" w:hAnsi="Century" w:cs="Miriam" w:hint="cs"/>
          <w:b/>
          <w:spacing w:val="0"/>
          <w:sz w:val="22"/>
          <w:szCs w:val="24"/>
          <w:rtl/>
        </w:rPr>
        <w:t>ע</w:t>
      </w:r>
      <w:r>
        <w:rPr>
          <w:rFonts w:ascii="Century" w:hAnsi="Century" w:cs="Miriam" w:hint="cs"/>
          <w:b/>
          <w:spacing w:val="0"/>
          <w:sz w:val="22"/>
          <w:szCs w:val="24"/>
          <w:rtl/>
        </w:rPr>
        <w:t xml:space="preserve">ניין </w:t>
      </w:r>
      <w:r w:rsidRPr="00B413E4">
        <w:rPr>
          <w:rFonts w:ascii="Century" w:hAnsi="Century" w:cs="Miriam" w:hint="cs"/>
          <w:b/>
          <w:spacing w:val="0"/>
          <w:sz w:val="22"/>
          <w:szCs w:val="24"/>
          <w:rtl/>
        </w:rPr>
        <w:t>איחוד משפחות</w:t>
      </w:r>
      <w:r>
        <w:rPr>
          <w:rFonts w:hint="cs"/>
          <w:rtl/>
        </w:rPr>
        <w:t xml:space="preserve">) </w:t>
      </w:r>
      <w:r>
        <w:rPr>
          <w:rtl/>
        </w:rPr>
        <w:t>–</w:t>
      </w:r>
      <w:r>
        <w:rPr>
          <w:rFonts w:hint="cs"/>
          <w:rtl/>
        </w:rPr>
        <w:t xml:space="preserve"> שם אושר, בדעת רוב, סעיף השולל באופן גורף את כניסתם של תושבי יהודה, שומרון וחבל עזה, לישראל, מבלי להידרש לבחינה אינדיבידואלית, ביחס לכל מקרה ומקרה </w:t>
      </w:r>
      <w:r>
        <w:rPr>
          <w:rtl/>
        </w:rPr>
        <w:t>–</w:t>
      </w:r>
      <w:r>
        <w:rPr>
          <w:rFonts w:hint="cs"/>
          <w:rtl/>
        </w:rPr>
        <w:t xml:space="preserve"> שגויה, שכן ההחלטה באותו עניין נסמכה על זמניותו של החוק, על הגדרתו כ'הוראת שעה', בשונה מן העניין דנן. כך או כך, ממילא נדחתה גישה גורפת זו בעניין </w:t>
      </w:r>
      <w:r w:rsidRPr="00B413E4">
        <w:rPr>
          <w:rFonts w:ascii="Century" w:hAnsi="Century" w:cs="Miriam" w:hint="cs"/>
          <w:b/>
          <w:spacing w:val="0"/>
          <w:sz w:val="22"/>
          <w:szCs w:val="24"/>
          <w:rtl/>
        </w:rPr>
        <w:t>עדאלה</w:t>
      </w:r>
      <w:r w:rsidRPr="00B413E4">
        <w:rPr>
          <w:rFonts w:hint="cs"/>
          <w:rtl/>
        </w:rPr>
        <w:t xml:space="preserve"> </w:t>
      </w:r>
      <w:r>
        <w:rPr>
          <w:rtl/>
        </w:rPr>
        <w:t>–</w:t>
      </w:r>
      <w:r>
        <w:rPr>
          <w:rFonts w:hint="cs"/>
          <w:rtl/>
        </w:rPr>
        <w:t xml:space="preserve"> המאוחר כרונולוגית לעניין </w:t>
      </w:r>
      <w:r w:rsidRPr="00B413E4">
        <w:rPr>
          <w:rFonts w:ascii="Century" w:hAnsi="Century" w:cs="Miriam" w:hint="cs"/>
          <w:b/>
          <w:spacing w:val="0"/>
          <w:sz w:val="22"/>
          <w:szCs w:val="24"/>
          <w:rtl/>
        </w:rPr>
        <w:t>איחוד משפחות</w:t>
      </w:r>
      <w:r>
        <w:rPr>
          <w:rFonts w:hint="cs"/>
          <w:rtl/>
        </w:rPr>
        <w:t xml:space="preserve"> </w:t>
      </w:r>
      <w:r>
        <w:rPr>
          <w:rtl/>
        </w:rPr>
        <w:t>–</w:t>
      </w:r>
      <w:r w:rsidR="0036594D">
        <w:rPr>
          <w:rFonts w:hint="cs"/>
          <w:rtl/>
        </w:rPr>
        <w:t xml:space="preserve"> </w:t>
      </w:r>
      <w:r>
        <w:rPr>
          <w:rFonts w:hint="cs"/>
          <w:rtl/>
        </w:rPr>
        <w:t xml:space="preserve">באופן מפורש. המערער הוסיף, כי החריגים שצוינו בפסק הדין, אשר עשויים לאפשר לניזוקים לקבל את מבוקשם בדרכים אחרות, אינם הופכים את סעיף 5ב(א)(1) למידתי, וכי גישה זו לא התקבלה בעניין </w:t>
      </w:r>
      <w:r w:rsidRPr="00FF51DB">
        <w:rPr>
          <w:rFonts w:ascii="Century" w:hAnsi="Century" w:cs="Miriam" w:hint="cs"/>
          <w:b/>
          <w:spacing w:val="0"/>
          <w:sz w:val="22"/>
          <w:szCs w:val="24"/>
          <w:rtl/>
        </w:rPr>
        <w:t>עדאלה</w:t>
      </w:r>
      <w:r>
        <w:rPr>
          <w:rFonts w:hint="cs"/>
          <w:rtl/>
        </w:rPr>
        <w:t>. בהתייחס ל'מסלול המנהלי', שהוצע על-ידי בית המשפט המחוזי, נטען כי מדובר ב</w:t>
      </w:r>
      <w:r w:rsidRPr="002B0107">
        <w:rPr>
          <w:rFonts w:ascii="Century" w:hAnsi="Century" w:cs="Miriam" w:hint="cs"/>
          <w:b/>
          <w:spacing w:val="0"/>
          <w:sz w:val="22"/>
          <w:szCs w:val="24"/>
          <w:rtl/>
        </w:rPr>
        <w:t>"הצעה בלתי חוקית"</w:t>
      </w:r>
      <w:r w:rsidR="004D55D9">
        <w:rPr>
          <w:rFonts w:hint="cs"/>
          <w:rtl/>
        </w:rPr>
        <w:t>, שאינה מעוגנת בהסדר חוקי קיים;</w:t>
      </w:r>
      <w:r>
        <w:rPr>
          <w:rFonts w:hint="cs"/>
          <w:rtl/>
        </w:rPr>
        <w:t xml:space="preserve"> לא </w:t>
      </w:r>
      <w:r w:rsidR="00DE71BF">
        <w:rPr>
          <w:rFonts w:hint="cs"/>
          <w:rtl/>
        </w:rPr>
        <w:t>בחוק ולא בתקנות</w:t>
      </w:r>
      <w:r>
        <w:rPr>
          <w:rFonts w:hint="cs"/>
          <w:rtl/>
        </w:rPr>
        <w:t xml:space="preserve">. </w:t>
      </w:r>
      <w:r w:rsidR="00661711">
        <w:rPr>
          <w:rFonts w:hint="cs"/>
          <w:rtl/>
        </w:rPr>
        <w:t>עוד</w:t>
      </w:r>
      <w:r>
        <w:rPr>
          <w:rFonts w:hint="cs"/>
          <w:rtl/>
        </w:rPr>
        <w:t xml:space="preserve"> נטען</w:t>
      </w:r>
      <w:r w:rsidR="004D55D9">
        <w:rPr>
          <w:rFonts w:hint="cs"/>
          <w:rtl/>
        </w:rPr>
        <w:t>,</w:t>
      </w:r>
      <w:r>
        <w:rPr>
          <w:rFonts w:hint="cs"/>
          <w:rtl/>
        </w:rPr>
        <w:t xml:space="preserve"> כי פסק הדין של בית המשפט המחוזי, נוגד את ההלכה שנפסקה על-ידי בית משפט זה, בבג"ץ 7042/12 </w:t>
      </w:r>
      <w:r w:rsidRPr="00C55CD2">
        <w:rPr>
          <w:rFonts w:ascii="Century" w:hAnsi="Century" w:cs="Miriam" w:hint="eastAsia"/>
          <w:b/>
          <w:spacing w:val="0"/>
          <w:sz w:val="22"/>
          <w:szCs w:val="24"/>
          <w:rtl/>
        </w:rPr>
        <w:t>אבו</w:t>
      </w:r>
      <w:r w:rsidRPr="00C55CD2">
        <w:rPr>
          <w:rFonts w:ascii="Century" w:hAnsi="Century" w:cs="Miriam"/>
          <w:b/>
          <w:spacing w:val="0"/>
          <w:sz w:val="22"/>
          <w:szCs w:val="24"/>
          <w:rtl/>
        </w:rPr>
        <w:t xml:space="preserve"> </w:t>
      </w:r>
      <w:r w:rsidRPr="00C55CD2">
        <w:rPr>
          <w:rFonts w:ascii="Century" w:hAnsi="Century" w:cs="Miriam" w:hint="eastAsia"/>
          <w:b/>
          <w:spacing w:val="0"/>
          <w:sz w:val="22"/>
          <w:szCs w:val="24"/>
          <w:rtl/>
        </w:rPr>
        <w:t>דקה</w:t>
      </w:r>
      <w:r>
        <w:rPr>
          <w:rFonts w:ascii="Century" w:hAnsi="Century" w:cs="Miriam" w:hint="cs"/>
          <w:b/>
          <w:spacing w:val="0"/>
          <w:sz w:val="22"/>
          <w:szCs w:val="24"/>
          <w:rtl/>
        </w:rPr>
        <w:t xml:space="preserve"> </w:t>
      </w:r>
      <w:r w:rsidRPr="00C55CD2">
        <w:rPr>
          <w:rFonts w:ascii="Century" w:hAnsi="Century" w:cs="Miriam" w:hint="eastAsia"/>
          <w:b/>
          <w:spacing w:val="0"/>
          <w:sz w:val="22"/>
          <w:szCs w:val="24"/>
          <w:rtl/>
        </w:rPr>
        <w:t>נ</w:t>
      </w:r>
      <w:r w:rsidRPr="00C55CD2">
        <w:rPr>
          <w:rFonts w:ascii="Century" w:hAnsi="Century" w:cs="Miriam"/>
          <w:b/>
          <w:spacing w:val="0"/>
          <w:sz w:val="22"/>
          <w:szCs w:val="24"/>
          <w:rtl/>
        </w:rPr>
        <w:t xml:space="preserve">' </w:t>
      </w:r>
      <w:r w:rsidRPr="00C55CD2">
        <w:rPr>
          <w:rFonts w:ascii="Century" w:hAnsi="Century" w:cs="Miriam" w:hint="eastAsia"/>
          <w:b/>
          <w:spacing w:val="0"/>
          <w:sz w:val="22"/>
          <w:szCs w:val="24"/>
          <w:rtl/>
        </w:rPr>
        <w:t>שר</w:t>
      </w:r>
      <w:r w:rsidRPr="00C55CD2">
        <w:rPr>
          <w:rFonts w:ascii="Century" w:hAnsi="Century" w:cs="Miriam"/>
          <w:b/>
          <w:spacing w:val="0"/>
          <w:sz w:val="22"/>
          <w:szCs w:val="24"/>
          <w:rtl/>
        </w:rPr>
        <w:t xml:space="preserve"> </w:t>
      </w:r>
      <w:r w:rsidRPr="00C55CD2">
        <w:rPr>
          <w:rFonts w:ascii="Century" w:hAnsi="Century" w:cs="Miriam" w:hint="eastAsia"/>
          <w:b/>
          <w:spacing w:val="0"/>
          <w:sz w:val="22"/>
          <w:szCs w:val="24"/>
          <w:rtl/>
        </w:rPr>
        <w:t>הפנים</w:t>
      </w:r>
      <w:r>
        <w:rPr>
          <w:rFonts w:hint="cs"/>
          <w:rtl/>
        </w:rPr>
        <w:t xml:space="preserve"> (16.12.2014)</w:t>
      </w:r>
      <w:r w:rsidR="009557A8">
        <w:rPr>
          <w:rFonts w:hint="cs"/>
          <w:rtl/>
        </w:rPr>
        <w:t xml:space="preserve"> (להלן: </w:t>
      </w:r>
      <w:r w:rsidR="009557A8" w:rsidRPr="000D6DCA">
        <w:rPr>
          <w:rFonts w:ascii="Century" w:hAnsi="Century" w:cs="Miriam" w:hint="cs"/>
          <w:b/>
          <w:spacing w:val="0"/>
          <w:sz w:val="22"/>
          <w:szCs w:val="24"/>
          <w:rtl/>
        </w:rPr>
        <w:t>עניין אבו דקה</w:t>
      </w:r>
      <w:r w:rsidR="009557A8">
        <w:rPr>
          <w:rFonts w:hint="cs"/>
          <w:rtl/>
        </w:rPr>
        <w:t>),</w:t>
      </w:r>
      <w:r>
        <w:rPr>
          <w:rFonts w:hint="cs"/>
          <w:rtl/>
        </w:rPr>
        <w:t xml:space="preserve"> שכן באותו מקרה הוכרה זכותם של תושבי עזה, להגיש תביעות נזיק</w:t>
      </w:r>
      <w:r w:rsidR="004D55D9">
        <w:rPr>
          <w:rFonts w:hint="cs"/>
          <w:rtl/>
        </w:rPr>
        <w:t xml:space="preserve">ין בישראל. </w:t>
      </w:r>
      <w:r w:rsidR="00661711">
        <w:rPr>
          <w:rFonts w:hint="cs"/>
          <w:rtl/>
        </w:rPr>
        <w:t>לבסוף</w:t>
      </w:r>
      <w:r>
        <w:rPr>
          <w:rFonts w:hint="cs"/>
          <w:rtl/>
        </w:rPr>
        <w:t xml:space="preserve"> נטען, כי פסק הדין סותר גם פסיקות נוספות שיצאו מלפני ערכאה זו, שבהן נפסלו החלטות גורפות שקיבלה המדינה ביחס לתושבי עזה.</w:t>
      </w:r>
    </w:p>
    <w:p w:rsidR="00D512D4" w:rsidRDefault="00D512D4" w:rsidP="000B261B">
      <w:pPr>
        <w:pStyle w:val="Ruller4"/>
        <w:numPr>
          <w:ilvl w:val="0"/>
          <w:numId w:val="0"/>
        </w:numPr>
        <w:spacing w:line="240" w:lineRule="auto"/>
      </w:pPr>
      <w:r>
        <w:rPr>
          <w:rFonts w:hint="cs"/>
          <w:rtl/>
        </w:rPr>
        <w:t xml:space="preserve"> </w:t>
      </w:r>
    </w:p>
    <w:p w:rsidR="00D512D4" w:rsidRDefault="00D512D4" w:rsidP="004D55D9">
      <w:pPr>
        <w:pStyle w:val="Ruller4"/>
        <w:numPr>
          <w:ilvl w:val="0"/>
          <w:numId w:val="0"/>
        </w:numPr>
        <w:rPr>
          <w:rtl/>
        </w:rPr>
      </w:pPr>
      <w:r>
        <w:rPr>
          <w:rtl/>
        </w:rPr>
        <w:tab/>
      </w:r>
      <w:r>
        <w:rPr>
          <w:rFonts w:hint="cs"/>
          <w:rtl/>
        </w:rPr>
        <w:t xml:space="preserve">במישור האופרטיבי, המערער מבקש כי נורה על בטלותו של סעיף 5ב(א)(1) לחוק, משום שאינו חוקתי.    </w:t>
      </w:r>
    </w:p>
    <w:p w:rsidR="00D512D4" w:rsidRPr="00C55CD2" w:rsidRDefault="00D512D4" w:rsidP="00D512D4">
      <w:pPr>
        <w:pStyle w:val="Ruller41"/>
        <w:rPr>
          <w:rtl/>
        </w:rPr>
      </w:pPr>
    </w:p>
    <w:p w:rsidR="00D512D4" w:rsidRDefault="00D512D4" w:rsidP="00C04DC8">
      <w:pPr>
        <w:pStyle w:val="2"/>
        <w:rPr>
          <w:rtl/>
        </w:rPr>
      </w:pPr>
      <w:bookmarkStart w:id="16" w:name="_Toc107851287"/>
      <w:bookmarkStart w:id="17" w:name="_Toc107851342"/>
      <w:r>
        <w:rPr>
          <w:rFonts w:hint="cs"/>
          <w:rtl/>
        </w:rPr>
        <w:t xml:space="preserve">ג.2. </w:t>
      </w:r>
      <w:r w:rsidRPr="00C55CD2">
        <w:rPr>
          <w:rFonts w:hint="cs"/>
          <w:rtl/>
        </w:rPr>
        <w:t>עיקרי טענות המ</w:t>
      </w:r>
      <w:r>
        <w:rPr>
          <w:rFonts w:hint="cs"/>
          <w:rtl/>
        </w:rPr>
        <w:t>שיבות</w:t>
      </w:r>
      <w:bookmarkEnd w:id="16"/>
      <w:bookmarkEnd w:id="17"/>
    </w:p>
    <w:p w:rsidR="00D512D4" w:rsidRDefault="00D512D4" w:rsidP="00CF449E">
      <w:pPr>
        <w:pStyle w:val="Ruller4"/>
        <w:rPr>
          <w:rtl/>
        </w:rPr>
      </w:pPr>
      <w:r>
        <w:rPr>
          <w:rFonts w:hint="cs"/>
          <w:rtl/>
        </w:rPr>
        <w:t>המשיבות</w:t>
      </w:r>
      <w:r w:rsidR="00173C9C">
        <w:rPr>
          <w:rFonts w:hint="cs"/>
          <w:rtl/>
        </w:rPr>
        <w:t xml:space="preserve"> </w:t>
      </w:r>
      <w:r w:rsidR="00173C9C">
        <w:rPr>
          <w:rtl/>
        </w:rPr>
        <w:t>–</w:t>
      </w:r>
      <w:r w:rsidR="00173C9C">
        <w:rPr>
          <w:rFonts w:hint="cs"/>
          <w:rtl/>
        </w:rPr>
        <w:t xml:space="preserve"> </w:t>
      </w:r>
      <w:r>
        <w:rPr>
          <w:rFonts w:hint="cs"/>
          <w:rtl/>
        </w:rPr>
        <w:t>מדינת ישראל וכנסת ישראל</w:t>
      </w:r>
      <w:r w:rsidR="00173C9C">
        <w:rPr>
          <w:rFonts w:hint="cs"/>
          <w:rtl/>
        </w:rPr>
        <w:t xml:space="preserve"> </w:t>
      </w:r>
      <w:r w:rsidR="00173C9C">
        <w:rPr>
          <w:rtl/>
        </w:rPr>
        <w:t>–</w:t>
      </w:r>
      <w:r>
        <w:rPr>
          <w:rFonts w:hint="cs"/>
          <w:rtl/>
        </w:rPr>
        <w:t xml:space="preserve"> דחו מכל וכל את טענות המערער; ל</w:t>
      </w:r>
      <w:r w:rsidR="004D55D9">
        <w:rPr>
          <w:rFonts w:hint="cs"/>
          <w:rtl/>
        </w:rPr>
        <w:t>שיטת</w:t>
      </w:r>
      <w:r>
        <w:rPr>
          <w:rFonts w:hint="cs"/>
          <w:rtl/>
        </w:rPr>
        <w:t>ן, סעיף 5(ב)(א)(1) הוא חוקתי, ולא קמה עילה להתערבות בפסק הדין של בית המשפט המחוזי. טיעוני המשיבות דומים בעיקרם, על</w:t>
      </w:r>
      <w:r w:rsidR="00CF449E">
        <w:rPr>
          <w:rFonts w:hint="cs"/>
          <w:rtl/>
        </w:rPr>
        <w:t xml:space="preserve"> </w:t>
      </w:r>
      <w:r>
        <w:rPr>
          <w:rFonts w:hint="cs"/>
          <w:rtl/>
        </w:rPr>
        <w:t>כן, עמדתן תוצג להלן במאוחד, תוך מתן דגש על נקודות ספציפיות שהועלו על-ידי מי מ</w:t>
      </w:r>
      <w:r w:rsidR="004D55D9">
        <w:rPr>
          <w:rFonts w:hint="cs"/>
          <w:rtl/>
        </w:rPr>
        <w:t>ה</w:t>
      </w:r>
      <w:r>
        <w:rPr>
          <w:rFonts w:hint="cs"/>
          <w:rtl/>
        </w:rPr>
        <w:t>ן, ככל שי</w:t>
      </w:r>
      <w:r w:rsidR="004D55D9">
        <w:rPr>
          <w:rFonts w:hint="cs"/>
          <w:rtl/>
        </w:rPr>
        <w:t>ִ</w:t>
      </w:r>
      <w:r>
        <w:rPr>
          <w:rFonts w:hint="cs"/>
          <w:rtl/>
        </w:rPr>
        <w:t xml:space="preserve">דרֵש. </w:t>
      </w:r>
    </w:p>
    <w:p w:rsidR="00D512D4" w:rsidRPr="00B01371" w:rsidRDefault="00D512D4" w:rsidP="000B261B">
      <w:pPr>
        <w:pStyle w:val="Ruller41"/>
        <w:spacing w:line="240" w:lineRule="auto"/>
      </w:pPr>
    </w:p>
    <w:p w:rsidR="00D512D4" w:rsidRPr="00A309BA" w:rsidRDefault="00D512D4" w:rsidP="00EA7A24">
      <w:pPr>
        <w:pStyle w:val="Ruller4"/>
        <w:rPr>
          <w:rtl/>
        </w:rPr>
      </w:pPr>
      <w:r>
        <w:rPr>
          <w:rFonts w:hint="cs"/>
          <w:rtl/>
        </w:rPr>
        <w:t xml:space="preserve">המשיבות פרסו לפנינו את הרקע העובדתי-היסטורי, </w:t>
      </w:r>
      <w:r w:rsidR="00134EB4">
        <w:rPr>
          <w:rFonts w:hint="cs"/>
          <w:rtl/>
        </w:rPr>
        <w:t>ב</w:t>
      </w:r>
      <w:r>
        <w:rPr>
          <w:rFonts w:hint="cs"/>
          <w:rtl/>
        </w:rPr>
        <w:t>נוגע ליחסיה של מדינת ישראל עם רצועת עזה, בפרט מאז תפיסת השלטון במקום על-ידי ארגון החמאס, וכן את הרקע לחקיקת סעיף 5ב(א)(1) לחוק. בהמשך, על יסוד פסיקתו של בית משפט זה, טענו המשיבות, כי בין ישראל לחמאס מתקיים סכסוך מזוין, רציף ומתמשך, אשר חלים עליו דיני העימות המזוין של המשפט הבינלאומי, ולצדם גם כללי המשפט המינהלי הרלבנטיים. עוד טענו המשיבות, כי המציאות בשטח מלמדת שעזה, תחת שלטון החמאס, עונה להגדרת 'אויב' לפי סעיף 91 לחוק העונשין, התשל"ז-1977, וכי קיימת הבחנה ברורה בין המצב ברצועת עזה, לבין המצב ביהודה ושומרון, ל</w:t>
      </w:r>
      <w:r w:rsidR="00134EB4">
        <w:rPr>
          <w:rFonts w:hint="cs"/>
          <w:rtl/>
        </w:rPr>
        <w:t>גב</w:t>
      </w:r>
      <w:r>
        <w:rPr>
          <w:rFonts w:hint="cs"/>
          <w:rtl/>
        </w:rPr>
        <w:t xml:space="preserve">י שליטתה של ישראל. בהקשר זה ציינה המדינה בסיכומיה: </w:t>
      </w:r>
      <w:r w:rsidRPr="00C57E1E">
        <w:rPr>
          <w:rFonts w:ascii="Century" w:hAnsi="Century" w:cs="Miriam" w:hint="cs"/>
          <w:b/>
          <w:spacing w:val="0"/>
          <w:sz w:val="22"/>
          <w:szCs w:val="24"/>
          <w:rtl/>
        </w:rPr>
        <w:t>"מאז עליית שלטון חמאס בעזה, התנתקותה של מדינת ישראל מהרצועה והמצב הלחימתי המתמשך בין ארגוני הטרור לבין מדינת ישראל, אין קשריה של מדינת ישראל ואין פעולותיה של מדינת ישראל בעזה כקשריה ופעולותיה באזור יהודה ושומרון. מדינת ישראל אינה שולטת ברצועת עזה, אינה מבצעת מעצרים, כוחות הביטחון פרוסים סביב הרצועה ולא בתוכה, אין קשרי תיאום ועבודה משותפת מול ארגון החמאס ומדובר כאמור בנתק מוחלט ובמצב איבה ולחימה מתמשכת. אי לכך, נכון להיום, מתקיימת הבחנה מוחלטת בין עזה לבין אזור יהודה ושומרון"</w:t>
      </w:r>
      <w:r>
        <w:rPr>
          <w:rFonts w:hint="cs"/>
          <w:rtl/>
        </w:rPr>
        <w:t xml:space="preserve">. בהינתן ההבחנה האמורה, נטען כי אין להקיש מעניין </w:t>
      </w:r>
      <w:r w:rsidRPr="00C57E1E">
        <w:rPr>
          <w:rFonts w:ascii="Century" w:hAnsi="Century" w:cs="Miriam" w:hint="cs"/>
          <w:b/>
          <w:spacing w:val="0"/>
          <w:sz w:val="22"/>
          <w:szCs w:val="24"/>
          <w:rtl/>
        </w:rPr>
        <w:t>עדאלה</w:t>
      </w:r>
      <w:r>
        <w:rPr>
          <w:rFonts w:hint="cs"/>
          <w:rtl/>
        </w:rPr>
        <w:t xml:space="preserve">, שהקביעות בו נוגעות לתביעות שמקורן בשטח שבו יש למדינה שליטה אפקטיבית, לעניין דנן, העוסק בשטח שאינו בשליטת ישראל. </w:t>
      </w:r>
      <w:r w:rsidR="00134EB4">
        <w:rPr>
          <w:rFonts w:hint="cs"/>
          <w:rtl/>
        </w:rPr>
        <w:t xml:space="preserve">עוד </w:t>
      </w:r>
      <w:r>
        <w:rPr>
          <w:rFonts w:hint="cs"/>
          <w:rtl/>
        </w:rPr>
        <w:t xml:space="preserve">נטען, כי לאחר שניתנה הלכת </w:t>
      </w:r>
      <w:r w:rsidRPr="00A309BA">
        <w:rPr>
          <w:rFonts w:ascii="Century" w:hAnsi="Century" w:cs="Miriam" w:hint="cs"/>
          <w:b/>
          <w:spacing w:val="0"/>
          <w:sz w:val="22"/>
          <w:szCs w:val="24"/>
          <w:rtl/>
        </w:rPr>
        <w:t>עדאלה</w:t>
      </w:r>
      <w:r>
        <w:rPr>
          <w:rFonts w:hint="cs"/>
          <w:rtl/>
        </w:rPr>
        <w:t>,</w:t>
      </w:r>
      <w:r w:rsidRPr="00A309BA">
        <w:rPr>
          <w:rFonts w:hint="cs"/>
          <w:rtl/>
        </w:rPr>
        <w:t xml:space="preserve"> </w:t>
      </w:r>
      <w:r>
        <w:rPr>
          <w:rFonts w:hint="cs"/>
          <w:rtl/>
        </w:rPr>
        <w:t>נקבעה הלכה נוספת על-ידי בית משפט זה, בעניין</w:t>
      </w:r>
      <w:r>
        <w:rPr>
          <w:rFonts w:ascii="Century" w:hAnsi="Century" w:cs="Miriam" w:hint="cs"/>
          <w:b/>
          <w:spacing w:val="0"/>
          <w:sz w:val="22"/>
          <w:szCs w:val="24"/>
          <w:rtl/>
        </w:rPr>
        <w:t xml:space="preserve"> </w:t>
      </w:r>
      <w:r w:rsidRPr="00A309BA">
        <w:rPr>
          <w:rFonts w:ascii="Century" w:hAnsi="Century" w:cs="Miriam" w:hint="cs"/>
          <w:b/>
          <w:spacing w:val="0"/>
          <w:sz w:val="22"/>
          <w:szCs w:val="24"/>
          <w:rtl/>
        </w:rPr>
        <w:t>דיראני</w:t>
      </w:r>
      <w:r>
        <w:rPr>
          <w:rFonts w:hint="cs"/>
          <w:rtl/>
        </w:rPr>
        <w:t xml:space="preserve">, שלפיה, הכלל הקיים במשפט המקובל, כי </w:t>
      </w:r>
      <w:r w:rsidRPr="00A309BA">
        <w:rPr>
          <w:rFonts w:ascii="Century" w:hAnsi="Century" w:cs="Miriam" w:hint="cs"/>
          <w:b/>
          <w:spacing w:val="0"/>
          <w:sz w:val="22"/>
          <w:szCs w:val="24"/>
          <w:rtl/>
        </w:rPr>
        <w:t>"אין מבררים תביעת אויב"</w:t>
      </w:r>
      <w:r w:rsidRPr="00AF29C1">
        <w:rPr>
          <w:rFonts w:ascii="Century" w:hAnsi="Century"/>
          <w:sz w:val="22"/>
          <w:rtl/>
        </w:rPr>
        <w:t>,</w:t>
      </w:r>
      <w:r w:rsidRPr="00D51851">
        <w:rPr>
          <w:rtl/>
        </w:rPr>
        <w:t xml:space="preserve"> </w:t>
      </w:r>
      <w:r>
        <w:rPr>
          <w:rFonts w:hint="cs"/>
          <w:rtl/>
        </w:rPr>
        <w:t>התקבל גם בשיטת משפטנו, ואף נקבע לגביו כי הוא מידתי. נטען אפוא, כי הרציונאלים שעמדו ביסוד עניין</w:t>
      </w:r>
      <w:r w:rsidRPr="00A309BA">
        <w:rPr>
          <w:rFonts w:ascii="Century" w:hAnsi="Century" w:cs="Miriam" w:hint="cs"/>
          <w:b/>
          <w:spacing w:val="0"/>
          <w:sz w:val="22"/>
          <w:szCs w:val="24"/>
          <w:rtl/>
        </w:rPr>
        <w:t xml:space="preserve"> דיראני</w:t>
      </w:r>
      <w:r>
        <w:rPr>
          <w:rFonts w:hint="cs"/>
          <w:rtl/>
        </w:rPr>
        <w:t xml:space="preserve">, שאמנם עסק במדינת אויב, מתקיימים גם לגבי סעיף 5ב(א)(1) לחוק, כנוסחו לאחר תיקון מספר 8, שהתייחס לשטח שהוכרז כשטח אויב, אף אם אינו מוגדר כ'מדינה'; </w:t>
      </w:r>
      <w:r w:rsidR="00EA7A24">
        <w:rPr>
          <w:rFonts w:hint="cs"/>
          <w:rtl/>
        </w:rPr>
        <w:t xml:space="preserve">כך </w:t>
      </w:r>
      <w:r>
        <w:rPr>
          <w:rFonts w:hint="cs"/>
          <w:rtl/>
        </w:rPr>
        <w:t xml:space="preserve">צוין בסיכומי המדינה: </w:t>
      </w:r>
      <w:r w:rsidRPr="008B49CD">
        <w:rPr>
          <w:rFonts w:ascii="Century" w:hAnsi="Century" w:cs="Miriam" w:hint="cs"/>
          <w:b/>
          <w:spacing w:val="0"/>
          <w:sz w:val="22"/>
          <w:szCs w:val="24"/>
          <w:rtl/>
        </w:rPr>
        <w:t>"אין הבדל מהותי בין היחס של מדינת ישראל למדינה איתה היא נמצאת ביחסי אויבות, לבין היחס שלה לשלטון החמאס בעזה עימו מצויה מדינת ישראל בעימות מזוין ממושך"</w:t>
      </w:r>
      <w:r>
        <w:rPr>
          <w:rFonts w:hint="cs"/>
          <w:rtl/>
        </w:rPr>
        <w:t xml:space="preserve">.  </w:t>
      </w:r>
    </w:p>
    <w:p w:rsidR="00D512D4" w:rsidRPr="00C57E1E" w:rsidRDefault="00D512D4" w:rsidP="00653268">
      <w:pPr>
        <w:pStyle w:val="Ruller41"/>
        <w:spacing w:line="240" w:lineRule="auto"/>
      </w:pPr>
    </w:p>
    <w:p w:rsidR="00D512D4" w:rsidRDefault="00D512D4" w:rsidP="00CF449E">
      <w:pPr>
        <w:pStyle w:val="Ruller4"/>
        <w:rPr>
          <w:rtl/>
        </w:rPr>
      </w:pPr>
      <w:r>
        <w:rPr>
          <w:rFonts w:hint="cs"/>
          <w:rtl/>
        </w:rPr>
        <w:lastRenderedPageBreak/>
        <w:t xml:space="preserve"> במישור הדין הבינלאומי, טענה המדינה, כי סעיף 5ב(א)(1) לחוק, בין בנוסחו ערב תיקון מספר 8, בין לאחריו, אינו עומד בסתירה לכללי הדין הבינלאומי, הלוא הם דיני הלחימה, החלים ביחס לרצועת עזה. לגישת המדינה, דיני הלחימה במשפט הבינלאומי, אינם מקימים עילת תביעה </w:t>
      </w:r>
      <w:r w:rsidRPr="00B7281B">
        <w:rPr>
          <w:rFonts w:ascii="Century" w:hAnsi="Century" w:cs="Miriam" w:hint="cs"/>
          <w:b/>
          <w:spacing w:val="0"/>
          <w:sz w:val="22"/>
          <w:szCs w:val="24"/>
          <w:rtl/>
        </w:rPr>
        <w:t>לפרט</w:t>
      </w:r>
      <w:r>
        <w:rPr>
          <w:rFonts w:hint="cs"/>
          <w:rtl/>
        </w:rPr>
        <w:t>,</w:t>
      </w:r>
      <w:r w:rsidRPr="00BF03E6">
        <w:rPr>
          <w:rFonts w:hint="cs"/>
          <w:rtl/>
        </w:rPr>
        <w:t xml:space="preserve"> </w:t>
      </w:r>
      <w:r>
        <w:rPr>
          <w:rFonts w:hint="cs"/>
          <w:rtl/>
        </w:rPr>
        <w:t xml:space="preserve">בגין הפרות נטענות שלהם, כי אם חובת פיצוי במישור </w:t>
      </w:r>
      <w:r w:rsidRPr="00B7281B">
        <w:rPr>
          <w:rFonts w:ascii="Century" w:hAnsi="Century" w:cs="Miriam" w:hint="eastAsia"/>
          <w:b/>
          <w:spacing w:val="0"/>
          <w:sz w:val="22"/>
          <w:szCs w:val="24"/>
          <w:rtl/>
        </w:rPr>
        <w:t>המדינתי</w:t>
      </w:r>
      <w:r w:rsidRPr="00007545">
        <w:rPr>
          <w:rtl/>
        </w:rPr>
        <w:t xml:space="preserve"> </w:t>
      </w:r>
      <w:r>
        <w:rPr>
          <w:rFonts w:hint="cs"/>
          <w:rtl/>
        </w:rPr>
        <w:t>בלבד. את עמדתה</w:t>
      </w:r>
      <w:r w:rsidR="00CF449E">
        <w:rPr>
          <w:rFonts w:hint="cs"/>
          <w:rtl/>
        </w:rPr>
        <w:t xml:space="preserve"> </w:t>
      </w:r>
      <w:r>
        <w:rPr>
          <w:rFonts w:hint="cs"/>
          <w:rtl/>
        </w:rPr>
        <w:t xml:space="preserve">זו, תומכת המדינה במספר פסקי דין מן המשפט המשווה, וכן בדברי מלומדים. הכנסת הצטרפה גם היא לעמדת המדינה, ועל כך הוסיפה, כי גם אם היה המערער מוכיח כי קיימת סתירה בין סעיף </w:t>
      </w:r>
      <w:r w:rsidRPr="00A76530">
        <w:rPr>
          <w:rFonts w:hint="cs"/>
          <w:rtl/>
        </w:rPr>
        <w:t>5ב(א)(1)</w:t>
      </w:r>
      <w:r>
        <w:rPr>
          <w:rFonts w:hint="cs"/>
          <w:rtl/>
        </w:rPr>
        <w:t xml:space="preserve"> לחוק,</w:t>
      </w:r>
      <w:r w:rsidRPr="00A76530">
        <w:rPr>
          <w:rFonts w:hint="cs"/>
          <w:rtl/>
        </w:rPr>
        <w:t xml:space="preserve"> לבין כללי המשפט הבינלאומי, הרי שלא היה </w:t>
      </w:r>
      <w:r>
        <w:rPr>
          <w:rFonts w:hint="cs"/>
          <w:rtl/>
        </w:rPr>
        <w:t xml:space="preserve">די </w:t>
      </w:r>
      <w:r w:rsidRPr="00A76530">
        <w:rPr>
          <w:rFonts w:hint="cs"/>
          <w:rtl/>
        </w:rPr>
        <w:t xml:space="preserve">בסתירה זו, כשלעצמה, כדי להוות עילה לביטול חוק מפורש של הכנסת. </w:t>
      </w:r>
      <w:r>
        <w:rPr>
          <w:rFonts w:hint="cs"/>
          <w:rtl/>
        </w:rPr>
        <w:t xml:space="preserve">עוד טענה הכנסת, </w:t>
      </w:r>
      <w:r w:rsidRPr="00A76530">
        <w:rPr>
          <w:rFonts w:hint="cs"/>
          <w:rtl/>
        </w:rPr>
        <w:t xml:space="preserve">כי </w:t>
      </w:r>
      <w:r>
        <w:rPr>
          <w:rFonts w:hint="cs"/>
          <w:rtl/>
        </w:rPr>
        <w:t xml:space="preserve">מאחר </w:t>
      </w:r>
      <w:r w:rsidRPr="00A76530">
        <w:rPr>
          <w:rFonts w:hint="cs"/>
          <w:rtl/>
        </w:rPr>
        <w:t>שהניתוח החוקתי נע</w:t>
      </w:r>
      <w:r w:rsidR="00EA7A24">
        <w:rPr>
          <w:rFonts w:hint="cs"/>
          <w:rtl/>
        </w:rPr>
        <w:t xml:space="preserve">שה </w:t>
      </w:r>
      <w:r>
        <w:rPr>
          <w:rFonts w:hint="cs"/>
          <w:rtl/>
        </w:rPr>
        <w:t xml:space="preserve">בדרך של </w:t>
      </w:r>
      <w:r w:rsidRPr="00A76530">
        <w:rPr>
          <w:rFonts w:hint="cs"/>
          <w:rtl/>
        </w:rPr>
        <w:t>'תקיפה עקיפה'</w:t>
      </w:r>
      <w:r>
        <w:rPr>
          <w:rFonts w:hint="cs"/>
          <w:rtl/>
        </w:rPr>
        <w:t>,</w:t>
      </w:r>
      <w:r w:rsidRPr="00A76530">
        <w:rPr>
          <w:rFonts w:hint="cs"/>
          <w:rtl/>
        </w:rPr>
        <w:t xml:space="preserve"> אגב תביעה נזיקית, ולא </w:t>
      </w:r>
      <w:r>
        <w:rPr>
          <w:rFonts w:hint="cs"/>
          <w:rtl/>
        </w:rPr>
        <w:t>ב</w:t>
      </w:r>
      <w:r w:rsidR="00EA7A24">
        <w:rPr>
          <w:rFonts w:hint="cs"/>
          <w:rtl/>
        </w:rPr>
        <w:t>'תקיפה ישירה'</w:t>
      </w:r>
      <w:r w:rsidR="00CF449E">
        <w:rPr>
          <w:rFonts w:hint="cs"/>
          <w:rtl/>
        </w:rPr>
        <w:t xml:space="preserve"> </w:t>
      </w:r>
      <w:r w:rsidR="00CF449E">
        <w:rPr>
          <w:rtl/>
        </w:rPr>
        <w:t>–</w:t>
      </w:r>
      <w:r w:rsidR="00CF449E">
        <w:rPr>
          <w:rFonts w:hint="cs"/>
          <w:rtl/>
        </w:rPr>
        <w:t xml:space="preserve"> </w:t>
      </w:r>
      <w:r w:rsidR="00EA7A24">
        <w:rPr>
          <w:rFonts w:hint="cs"/>
          <w:rtl/>
        </w:rPr>
        <w:t>קרי,</w:t>
      </w:r>
      <w:r w:rsidRPr="00A76530">
        <w:rPr>
          <w:rFonts w:hint="cs"/>
          <w:rtl/>
        </w:rPr>
        <w:t xml:space="preserve"> בעתירה לבג"ץ</w:t>
      </w:r>
      <w:r w:rsidR="00CF449E">
        <w:rPr>
          <w:rFonts w:hint="cs"/>
          <w:rtl/>
        </w:rPr>
        <w:t xml:space="preserve"> </w:t>
      </w:r>
      <w:r w:rsidR="00CF449E">
        <w:rPr>
          <w:rtl/>
        </w:rPr>
        <w:t>–</w:t>
      </w:r>
      <w:r w:rsidR="00CF449E">
        <w:rPr>
          <w:rFonts w:hint="cs"/>
          <w:rtl/>
        </w:rPr>
        <w:t xml:space="preserve"> </w:t>
      </w:r>
      <w:r w:rsidRPr="00A76530">
        <w:rPr>
          <w:rFonts w:hint="cs"/>
          <w:rtl/>
        </w:rPr>
        <w:t xml:space="preserve"> </w:t>
      </w:r>
      <w:r>
        <w:rPr>
          <w:rFonts w:hint="cs"/>
          <w:rtl/>
        </w:rPr>
        <w:t xml:space="preserve">הרי שהדבר משליך </w:t>
      </w:r>
      <w:r w:rsidRPr="004953BF">
        <w:rPr>
          <w:rFonts w:hint="cs"/>
          <w:rtl/>
        </w:rPr>
        <w:t xml:space="preserve">על </w:t>
      </w:r>
      <w:r>
        <w:rPr>
          <w:rFonts w:hint="cs"/>
          <w:rtl/>
        </w:rPr>
        <w:t>היקף</w:t>
      </w:r>
      <w:r w:rsidRPr="004953BF">
        <w:rPr>
          <w:rFonts w:hint="cs"/>
          <w:rtl/>
        </w:rPr>
        <w:t xml:space="preserve"> הביקו</w:t>
      </w:r>
      <w:r>
        <w:rPr>
          <w:rFonts w:hint="cs"/>
          <w:rtl/>
        </w:rPr>
        <w:t>רת החוקתית שתופעל על-ידי בית המשפט</w:t>
      </w:r>
      <w:r w:rsidR="00EA7A24">
        <w:rPr>
          <w:rFonts w:hint="cs"/>
          <w:rtl/>
        </w:rPr>
        <w:t>:</w:t>
      </w:r>
      <w:r>
        <w:rPr>
          <w:rFonts w:hint="cs"/>
          <w:rtl/>
        </w:rPr>
        <w:t xml:space="preserve"> הביקורת תצומצם</w:t>
      </w:r>
      <w:r w:rsidRPr="004953BF">
        <w:rPr>
          <w:rFonts w:hint="cs"/>
          <w:rtl/>
        </w:rPr>
        <w:t xml:space="preserve"> אך ורק לשאלות המתעוררות ב</w:t>
      </w:r>
      <w:r>
        <w:rPr>
          <w:rFonts w:hint="cs"/>
          <w:rtl/>
        </w:rPr>
        <w:t>נ</w:t>
      </w:r>
      <w:r w:rsidRPr="004953BF">
        <w:rPr>
          <w:rFonts w:hint="cs"/>
          <w:rtl/>
        </w:rPr>
        <w:t>סיבות ה</w:t>
      </w:r>
      <w:r w:rsidR="004C3302">
        <w:rPr>
          <w:rFonts w:hint="cs"/>
          <w:rtl/>
        </w:rPr>
        <w:t xml:space="preserve">עניין </w:t>
      </w:r>
      <w:r w:rsidRPr="004953BF">
        <w:rPr>
          <w:rFonts w:hint="cs"/>
          <w:rtl/>
        </w:rPr>
        <w:t>הקונקרטי</w:t>
      </w:r>
      <w:r>
        <w:rPr>
          <w:rFonts w:hint="cs"/>
          <w:rtl/>
        </w:rPr>
        <w:t>; לא מעבר לכך</w:t>
      </w:r>
      <w:r w:rsidRPr="004953BF">
        <w:rPr>
          <w:rFonts w:hint="cs"/>
          <w:rtl/>
        </w:rPr>
        <w:t xml:space="preserve">. </w:t>
      </w:r>
    </w:p>
    <w:p w:rsidR="00D512D4" w:rsidRPr="000E35EB" w:rsidRDefault="00D512D4" w:rsidP="000B6AE3">
      <w:pPr>
        <w:pStyle w:val="Ruller41"/>
        <w:spacing w:line="240" w:lineRule="auto"/>
      </w:pPr>
    </w:p>
    <w:p w:rsidR="00D512D4" w:rsidRPr="00CA6054" w:rsidRDefault="00D512D4" w:rsidP="00CF449E">
      <w:pPr>
        <w:pStyle w:val="Ruller4"/>
        <w:rPr>
          <w:rtl/>
        </w:rPr>
      </w:pPr>
      <w:r>
        <w:rPr>
          <w:rFonts w:hint="cs"/>
          <w:rtl/>
        </w:rPr>
        <w:t xml:space="preserve">אשר לפגיעה החוקתית הנטענת, טענו המשיבות, כי שאלת תחולתם האקסטרה-טריטוריאלית של חוקי היסוד </w:t>
      </w:r>
      <w:r>
        <w:rPr>
          <w:rtl/>
        </w:rPr>
        <w:t>–</w:t>
      </w:r>
      <w:r>
        <w:rPr>
          <w:rFonts w:hint="cs"/>
          <w:rtl/>
        </w:rPr>
        <w:t xml:space="preserve"> טרם הוכרעה בבית משפט זה. על</w:t>
      </w:r>
      <w:r w:rsidR="00CF449E">
        <w:rPr>
          <w:rFonts w:hint="cs"/>
          <w:rtl/>
        </w:rPr>
        <w:t xml:space="preserve"> </w:t>
      </w:r>
      <w:r>
        <w:rPr>
          <w:rFonts w:hint="cs"/>
          <w:rtl/>
        </w:rPr>
        <w:t>כן נטען</w:t>
      </w:r>
      <w:r w:rsidR="00CF449E">
        <w:rPr>
          <w:rFonts w:hint="cs"/>
          <w:rtl/>
        </w:rPr>
        <w:t>,</w:t>
      </w:r>
      <w:r>
        <w:rPr>
          <w:rFonts w:hint="cs"/>
          <w:rtl/>
        </w:rPr>
        <w:t xml:space="preserve"> כי הנחת המוצא של המערער, שלפיה חוקי היסוד חלים גם על מי שאינו אזרח ישראלי, בשטח שאינו נתון לתפיסה לוחמתית, ואף ביחס לנתיני שטח אויב </w:t>
      </w:r>
      <w:r>
        <w:rPr>
          <w:rtl/>
        </w:rPr>
        <w:t>–</w:t>
      </w:r>
      <w:r>
        <w:rPr>
          <w:rFonts w:hint="cs"/>
          <w:rtl/>
        </w:rPr>
        <w:t xml:space="preserve"> רחוקה מלהיות מובנת מאליה. מכל מקום, המשיבות טענו כי ניתן להניח לשאלה זו, שכן ממילא הפגיעה הנטענת צולחת את המבחנים החוקתיים</w:t>
      </w:r>
      <w:r w:rsidRPr="00CA6054">
        <w:rPr>
          <w:rFonts w:hint="cs"/>
          <w:rtl/>
        </w:rPr>
        <w:t>.</w:t>
      </w:r>
    </w:p>
    <w:p w:rsidR="00D512D4" w:rsidRDefault="00D512D4" w:rsidP="00653268">
      <w:pPr>
        <w:pStyle w:val="Ruller4"/>
        <w:numPr>
          <w:ilvl w:val="0"/>
          <w:numId w:val="0"/>
        </w:numPr>
        <w:spacing w:line="240" w:lineRule="auto"/>
      </w:pPr>
    </w:p>
    <w:p w:rsidR="00D512D4" w:rsidRDefault="00D512D4" w:rsidP="0042185D">
      <w:pPr>
        <w:pStyle w:val="Ruller4"/>
        <w:rPr>
          <w:rtl/>
        </w:rPr>
      </w:pPr>
      <w:r>
        <w:rPr>
          <w:rFonts w:hint="cs"/>
          <w:rtl/>
        </w:rPr>
        <w:t xml:space="preserve">מכאן פנו המשיבות לטעון, כי סעיף 5ב(א)(1) לחוק עומד בדרישות פסקת ההגבלה. </w:t>
      </w:r>
      <w:r w:rsidRPr="00956ED3">
        <w:rPr>
          <w:rFonts w:ascii="Century" w:hAnsi="Century" w:hint="eastAsia"/>
          <w:sz w:val="22"/>
          <w:rtl/>
        </w:rPr>
        <w:t>תחילה</w:t>
      </w:r>
      <w:r w:rsidRPr="00956ED3">
        <w:rPr>
          <w:rFonts w:ascii="Century" w:hAnsi="Century"/>
          <w:sz w:val="22"/>
          <w:rtl/>
        </w:rPr>
        <w:t xml:space="preserve"> </w:t>
      </w:r>
      <w:r w:rsidRPr="00633082">
        <w:rPr>
          <w:rFonts w:ascii="Century" w:hAnsi="Century" w:hint="eastAsia"/>
          <w:sz w:val="22"/>
          <w:rtl/>
        </w:rPr>
        <w:t>נטע</w:t>
      </w:r>
      <w:r>
        <w:rPr>
          <w:rFonts w:hint="cs"/>
          <w:rtl/>
        </w:rPr>
        <w:t>ן, כי ההכרזה על רצועת עזה כשטח אויב נעשתה על-פי חוק, וממילא היא עונה לדרישה הראשונה שבפסקת ההגבלה, כי הפגיעה ת</w:t>
      </w:r>
      <w:r w:rsidR="00CF449E">
        <w:rPr>
          <w:rFonts w:hint="cs"/>
          <w:rtl/>
        </w:rPr>
        <w:t>ֵ</w:t>
      </w:r>
      <w:r>
        <w:rPr>
          <w:rFonts w:hint="cs"/>
          <w:rtl/>
        </w:rPr>
        <w:t xml:space="preserve">עשה </w:t>
      </w:r>
      <w:r w:rsidRPr="00FB5E14">
        <w:rPr>
          <w:rFonts w:ascii="Century" w:hAnsi="Century" w:cs="Miriam" w:hint="cs"/>
          <w:b/>
          <w:spacing w:val="0"/>
          <w:sz w:val="22"/>
          <w:szCs w:val="24"/>
          <w:rtl/>
        </w:rPr>
        <w:t>"בחוק"</w:t>
      </w:r>
      <w:r>
        <w:rPr>
          <w:rFonts w:hint="cs"/>
          <w:rtl/>
        </w:rPr>
        <w:t xml:space="preserve"> או </w:t>
      </w:r>
      <w:r w:rsidRPr="00FB5E14">
        <w:rPr>
          <w:rFonts w:ascii="Century" w:hAnsi="Century" w:cs="Miriam" w:hint="cs"/>
          <w:b/>
          <w:spacing w:val="0"/>
          <w:sz w:val="22"/>
          <w:szCs w:val="24"/>
          <w:rtl/>
        </w:rPr>
        <w:t>"מכוח הסמכה מפורשת בו"</w:t>
      </w:r>
      <w:r>
        <w:rPr>
          <w:rFonts w:hint="cs"/>
          <w:rtl/>
        </w:rPr>
        <w:t xml:space="preserve">. בהקשר זה מציינות המשיבות, כי יש לדחות את טענת המערער, שלפיה סעיף 5ב(א)(1) לחוק מעניק סמכויות גורפות יתר על המידה, ועל כן הוא אינו עומד בדרישת ההסמכה. לדבריהן, מדובר בפרקטיקה </w:t>
      </w:r>
      <w:r>
        <w:rPr>
          <w:rFonts w:hint="cs"/>
          <w:rtl/>
        </w:rPr>
        <w:lastRenderedPageBreak/>
        <w:t xml:space="preserve">חקיקתית מקובלת, של העברת ישום העקרונות והירידה לפרטים, מן הרשות המחוקקת אל הרשות המבצעת, בדרך של חקיקת-משנה. ממילא, כפופה פעילות הרשות המבצעת לכללי המשפט המינהלי, ולביקורת שיפוטית. לכך הוסיפה הכנסת, כי מלשון סעיף החוק עולה בבירור, כי על מנת להכריז על 'שטח אויב', נדרש שתתקיים </w:t>
      </w:r>
      <w:r w:rsidRPr="001A077F">
        <w:rPr>
          <w:rFonts w:ascii="Century" w:hAnsi="Century" w:cs="Miriam"/>
          <w:b/>
          <w:spacing w:val="0"/>
          <w:sz w:val="22"/>
          <w:szCs w:val="24"/>
          <w:rtl/>
        </w:rPr>
        <w:t>"</w:t>
      </w:r>
      <w:r w:rsidRPr="001A077F">
        <w:rPr>
          <w:rFonts w:ascii="Century" w:hAnsi="Century" w:cs="Miriam" w:hint="eastAsia"/>
          <w:b/>
          <w:spacing w:val="0"/>
          <w:sz w:val="22"/>
          <w:szCs w:val="24"/>
          <w:rtl/>
        </w:rPr>
        <w:t>איבה</w:t>
      </w:r>
      <w:r w:rsidRPr="001A077F">
        <w:rPr>
          <w:rFonts w:ascii="Century" w:hAnsi="Century" w:cs="Miriam"/>
          <w:b/>
          <w:spacing w:val="0"/>
          <w:sz w:val="22"/>
          <w:szCs w:val="24"/>
          <w:rtl/>
        </w:rPr>
        <w:t>"</w:t>
      </w:r>
      <w:r>
        <w:rPr>
          <w:rFonts w:hint="cs"/>
          <w:rtl/>
        </w:rPr>
        <w:t xml:space="preserve"> בינו לבין מדינת ישראל. על כן, החשש שעליו הצביע המערער, כי הממשלה תכריז על שטח כ'שטח אויב', בקלות דעת, מבלי שיתקיים תנאי זה </w:t>
      </w:r>
      <w:r>
        <w:rPr>
          <w:rtl/>
        </w:rPr>
        <w:t>–</w:t>
      </w:r>
      <w:r>
        <w:rPr>
          <w:rFonts w:hint="cs"/>
          <w:rtl/>
        </w:rPr>
        <w:t xml:space="preserve"> נטען בעלמא. עוד טענה הכנסת, כי מטרת תיקון מספר 8 לחוק, כעולה מן הדיונים שהתקיימו בכנסת עובר לחקיקתו, היא להרחיב את העדר האחריות של המדינה בנזיקין, גם לשטח רצועת עזה. ברי אפוא, כי הצו שהוצא מכוח החוק, שעל-פיו הוכרזה עזה כשטח אויב, הוא-הוא רצון המחוקק. בהתייחס לטענת הרטרואקטיביות של הצו, נטען כי אין כל איסור חוקי על חקיקה רטרואקטיבית, ומכל מקום, בענייננו שאלה זו כלל אינה מתעוררת, נוכח המועד שבו התרחש האירוע מושא התביעה (16.11.2014), המאוחר למועד מתן הצו (7.10.2014). </w:t>
      </w:r>
    </w:p>
    <w:p w:rsidR="00D512D4" w:rsidRPr="000E35EB" w:rsidRDefault="00D512D4" w:rsidP="00653268">
      <w:pPr>
        <w:pStyle w:val="Ruller41"/>
        <w:spacing w:line="240" w:lineRule="auto"/>
      </w:pPr>
    </w:p>
    <w:p w:rsidR="00D512D4" w:rsidRDefault="00D512D4" w:rsidP="0063734A">
      <w:pPr>
        <w:pStyle w:val="Ruller4"/>
        <w:rPr>
          <w:rtl/>
        </w:rPr>
      </w:pPr>
      <w:r>
        <w:rPr>
          <w:rFonts w:ascii="Century" w:hAnsi="Century" w:hint="cs"/>
          <w:sz w:val="22"/>
          <w:rtl/>
        </w:rPr>
        <w:t xml:space="preserve">אחר זאת, פנו המשיבות לטעון </w:t>
      </w:r>
      <w:r>
        <w:rPr>
          <w:rFonts w:hint="cs"/>
          <w:rtl/>
        </w:rPr>
        <w:t xml:space="preserve">כי סעיף 5(א)(ב)(1) לחוק, נועד </w:t>
      </w:r>
      <w:r w:rsidRPr="00DB6D84">
        <w:rPr>
          <w:rFonts w:ascii="Century" w:hAnsi="Century" w:cs="Miriam" w:hint="cs"/>
          <w:b/>
          <w:spacing w:val="0"/>
          <w:sz w:val="22"/>
          <w:szCs w:val="24"/>
          <w:rtl/>
        </w:rPr>
        <w:t>לתכלית ראויה</w:t>
      </w:r>
      <w:r>
        <w:rPr>
          <w:rFonts w:hint="cs"/>
          <w:rtl/>
        </w:rPr>
        <w:t>, וממילא צולח בנקל גם את ה</w:t>
      </w:r>
      <w:r w:rsidR="0042185D">
        <w:rPr>
          <w:rFonts w:hint="cs"/>
          <w:rtl/>
        </w:rPr>
        <w:t>דרישה השנייה שבפסקת ההגבלה. לשיטת</w:t>
      </w:r>
      <w:r>
        <w:rPr>
          <w:rFonts w:hint="cs"/>
          <w:rtl/>
        </w:rPr>
        <w:t>ן, בבסיס החוק עומדות שתי תכליות. התכלית הראשונה היא</w:t>
      </w:r>
      <w:r w:rsidRPr="00FF6300">
        <w:rPr>
          <w:rFonts w:ascii="Century" w:hAnsi="Century" w:cs="Miriam" w:hint="cs"/>
          <w:b/>
          <w:spacing w:val="0"/>
          <w:sz w:val="22"/>
          <w:szCs w:val="24"/>
          <w:rtl/>
        </w:rPr>
        <w:t xml:space="preserve"> </w:t>
      </w:r>
      <w:r w:rsidRPr="005B3FA1">
        <w:rPr>
          <w:rFonts w:ascii="Century" w:hAnsi="Century" w:cs="Miriam" w:hint="cs"/>
          <w:b/>
          <w:spacing w:val="0"/>
          <w:sz w:val="22"/>
          <w:szCs w:val="24"/>
          <w:rtl/>
        </w:rPr>
        <w:t>מניעת סיוע כלכלי ומוראלי לאויב</w:t>
      </w:r>
      <w:r>
        <w:rPr>
          <w:rFonts w:hint="cs"/>
          <w:rtl/>
        </w:rPr>
        <w:t xml:space="preserve">. לטענתן, תכלית זו עומדת גם בבסיס הכלל המוכר והידוע מן המשפט המקובל, שלפיו 'אין מבררים תביעת אויב', </w:t>
      </w:r>
      <w:r w:rsidR="0042185D">
        <w:rPr>
          <w:rFonts w:hint="cs"/>
          <w:rtl/>
        </w:rPr>
        <w:t xml:space="preserve">כלל </w:t>
      </w:r>
      <w:r>
        <w:rPr>
          <w:rFonts w:hint="cs"/>
          <w:rtl/>
        </w:rPr>
        <w:t xml:space="preserve">שנקלט במשפט הישראלי, ושנקבע לגביו, בעניין </w:t>
      </w:r>
      <w:r w:rsidRPr="00FF6300">
        <w:rPr>
          <w:rFonts w:ascii="Century" w:hAnsi="Century" w:cs="Miriam" w:hint="cs"/>
          <w:b/>
          <w:spacing w:val="0"/>
          <w:sz w:val="22"/>
          <w:szCs w:val="24"/>
          <w:rtl/>
        </w:rPr>
        <w:t>דיראני</w:t>
      </w:r>
      <w:r>
        <w:rPr>
          <w:rFonts w:hint="cs"/>
          <w:rtl/>
        </w:rPr>
        <w:t>, כי נועד לתכלית ראויה. התכלית השניה, כך המשיבות, עניינה ב</w:t>
      </w:r>
      <w:r w:rsidRPr="00FF6300">
        <w:rPr>
          <w:rFonts w:ascii="Century" w:hAnsi="Century" w:cs="Miriam" w:hint="eastAsia"/>
          <w:b/>
          <w:spacing w:val="0"/>
          <w:sz w:val="22"/>
          <w:szCs w:val="24"/>
          <w:rtl/>
        </w:rPr>
        <w:t>התאמת</w:t>
      </w:r>
      <w:r w:rsidRPr="00FF6300">
        <w:rPr>
          <w:rFonts w:ascii="Century" w:hAnsi="Century" w:cs="Miriam"/>
          <w:b/>
          <w:spacing w:val="0"/>
          <w:sz w:val="22"/>
          <w:szCs w:val="24"/>
          <w:rtl/>
        </w:rPr>
        <w:t xml:space="preserve"> </w:t>
      </w:r>
      <w:r w:rsidRPr="00FF6300">
        <w:rPr>
          <w:rFonts w:ascii="Century" w:hAnsi="Century" w:cs="Miriam" w:hint="eastAsia"/>
          <w:b/>
          <w:spacing w:val="0"/>
          <w:sz w:val="22"/>
          <w:szCs w:val="24"/>
          <w:rtl/>
        </w:rPr>
        <w:t>דיני</w:t>
      </w:r>
      <w:r w:rsidRPr="00FF6300">
        <w:rPr>
          <w:rFonts w:ascii="Century" w:hAnsi="Century" w:cs="Miriam"/>
          <w:b/>
          <w:spacing w:val="0"/>
          <w:sz w:val="22"/>
          <w:szCs w:val="24"/>
          <w:rtl/>
        </w:rPr>
        <w:t xml:space="preserve"> </w:t>
      </w:r>
      <w:r w:rsidRPr="00FF6300">
        <w:rPr>
          <w:rFonts w:ascii="Century" w:hAnsi="Century" w:cs="Miriam" w:hint="eastAsia"/>
          <w:b/>
          <w:spacing w:val="0"/>
          <w:sz w:val="22"/>
          <w:szCs w:val="24"/>
          <w:rtl/>
        </w:rPr>
        <w:t>הנזיקין</w:t>
      </w:r>
      <w:r w:rsidRPr="00FF6300">
        <w:rPr>
          <w:rFonts w:ascii="Century" w:hAnsi="Century" w:cs="Miriam"/>
          <w:b/>
          <w:spacing w:val="0"/>
          <w:sz w:val="22"/>
          <w:szCs w:val="24"/>
          <w:rtl/>
        </w:rPr>
        <w:t xml:space="preserve"> </w:t>
      </w:r>
      <w:r w:rsidRPr="00FF6300">
        <w:rPr>
          <w:rFonts w:ascii="Century" w:hAnsi="Century" w:cs="Miriam" w:hint="eastAsia"/>
          <w:b/>
          <w:spacing w:val="0"/>
          <w:sz w:val="22"/>
          <w:szCs w:val="24"/>
          <w:rtl/>
        </w:rPr>
        <w:t>למצב</w:t>
      </w:r>
      <w:r w:rsidRPr="00FF6300">
        <w:rPr>
          <w:rFonts w:ascii="Century" w:hAnsi="Century" w:cs="Miriam"/>
          <w:b/>
          <w:spacing w:val="0"/>
          <w:sz w:val="22"/>
          <w:szCs w:val="24"/>
          <w:rtl/>
        </w:rPr>
        <w:t xml:space="preserve"> </w:t>
      </w:r>
      <w:r w:rsidRPr="00FF6300">
        <w:rPr>
          <w:rFonts w:ascii="Century" w:hAnsi="Century" w:cs="Miriam" w:hint="eastAsia"/>
          <w:b/>
          <w:spacing w:val="0"/>
          <w:sz w:val="22"/>
          <w:szCs w:val="24"/>
          <w:rtl/>
        </w:rPr>
        <w:t>של</w:t>
      </w:r>
      <w:r w:rsidRPr="00FF6300">
        <w:rPr>
          <w:rFonts w:ascii="Century" w:hAnsi="Century" w:cs="Miriam"/>
          <w:b/>
          <w:spacing w:val="0"/>
          <w:sz w:val="22"/>
          <w:szCs w:val="24"/>
          <w:rtl/>
        </w:rPr>
        <w:t xml:space="preserve"> </w:t>
      </w:r>
      <w:r w:rsidRPr="00FF6300">
        <w:rPr>
          <w:rFonts w:ascii="Century" w:hAnsi="Century" w:cs="Miriam" w:hint="eastAsia"/>
          <w:b/>
          <w:spacing w:val="0"/>
          <w:sz w:val="22"/>
          <w:szCs w:val="24"/>
          <w:rtl/>
        </w:rPr>
        <w:t>מלחמה</w:t>
      </w:r>
      <w:r>
        <w:rPr>
          <w:rFonts w:hint="cs"/>
          <w:rtl/>
        </w:rPr>
        <w:t>. נטען, כי קיימת הכרה גלובאלית בכך שמדינה אינה נדרשת לפצות נתיני מדינת אויב בגין נזקי מלחמה, וזאת משורה של טעמים, מהותיים ומעשיים כאחד. לטענתן, מטרת תיקון מספר 8 לחוק, אינה אלא להחיל את ההסדר האמור, המקובל ברחבי העולם, גם על מצב הדברים ברצועת עזה. ברי, כי על אף שרצועת עזה אינה מוכרת כמדינה, הרציונאלים שבמניעת בירור תביעת נתין מדינת אויב, מתקיימים בבירור גם לגבי</w:t>
      </w:r>
      <w:r w:rsidR="0063734A">
        <w:rPr>
          <w:rFonts w:hint="cs"/>
          <w:rtl/>
        </w:rPr>
        <w:t>ה</w:t>
      </w:r>
      <w:r>
        <w:rPr>
          <w:rFonts w:hint="cs"/>
          <w:rtl/>
        </w:rPr>
        <w:t xml:space="preserve">, בהיותה שטח הנתון לשליטת ארגון טרור המנהל לחימה מתמשכת מול מדינת ישראל. </w:t>
      </w:r>
    </w:p>
    <w:p w:rsidR="00D512D4" w:rsidRPr="009A5397" w:rsidRDefault="00D512D4" w:rsidP="00653268">
      <w:pPr>
        <w:pStyle w:val="Ruller41"/>
        <w:spacing w:line="240" w:lineRule="auto"/>
      </w:pPr>
    </w:p>
    <w:p w:rsidR="00D512D4" w:rsidRDefault="00D512D4" w:rsidP="0042185D">
      <w:pPr>
        <w:pStyle w:val="Ruller4"/>
        <w:rPr>
          <w:rtl/>
        </w:rPr>
      </w:pPr>
      <w:r>
        <w:rPr>
          <w:rFonts w:ascii="Century" w:hAnsi="Century" w:hint="cs"/>
          <w:sz w:val="22"/>
          <w:rtl/>
        </w:rPr>
        <w:t>בהתייחס</w:t>
      </w:r>
      <w:r w:rsidRPr="00AA5F76">
        <w:rPr>
          <w:rFonts w:ascii="Century" w:hAnsi="Century"/>
          <w:sz w:val="22"/>
          <w:rtl/>
        </w:rPr>
        <w:t xml:space="preserve"> </w:t>
      </w:r>
      <w:r>
        <w:rPr>
          <w:rFonts w:ascii="Century" w:hAnsi="Century" w:hint="cs"/>
          <w:sz w:val="22"/>
          <w:rtl/>
        </w:rPr>
        <w:t>לדרישת</w:t>
      </w:r>
      <w:r w:rsidRPr="00AA5F76">
        <w:rPr>
          <w:rFonts w:ascii="Century" w:hAnsi="Century"/>
          <w:sz w:val="22"/>
          <w:rtl/>
        </w:rPr>
        <w:t xml:space="preserve"> </w:t>
      </w:r>
      <w:r w:rsidRPr="00AA5F76">
        <w:rPr>
          <w:rFonts w:ascii="Century" w:hAnsi="Century" w:hint="eastAsia"/>
          <w:sz w:val="22"/>
          <w:rtl/>
        </w:rPr>
        <w:t>המידתיות</w:t>
      </w:r>
      <w:r w:rsidRPr="00AA5F76">
        <w:rPr>
          <w:rFonts w:ascii="Century" w:hAnsi="Century"/>
          <w:sz w:val="22"/>
          <w:rtl/>
        </w:rPr>
        <w:t xml:space="preserve"> </w:t>
      </w:r>
      <w:r>
        <w:rPr>
          <w:rFonts w:ascii="Century" w:hAnsi="Century" w:hint="cs"/>
          <w:sz w:val="22"/>
          <w:rtl/>
        </w:rPr>
        <w:t>נטען</w:t>
      </w:r>
      <w:r w:rsidR="0042185D">
        <w:rPr>
          <w:rFonts w:ascii="Century" w:hAnsi="Century" w:hint="cs"/>
          <w:sz w:val="22"/>
          <w:rtl/>
        </w:rPr>
        <w:t>,</w:t>
      </w:r>
      <w:r>
        <w:rPr>
          <w:rFonts w:ascii="Century" w:hAnsi="Century" w:hint="cs"/>
          <w:sz w:val="22"/>
          <w:rtl/>
        </w:rPr>
        <w:t xml:space="preserve"> כי </w:t>
      </w:r>
      <w:r>
        <w:rPr>
          <w:rFonts w:hint="cs"/>
          <w:rtl/>
        </w:rPr>
        <w:t xml:space="preserve">סעיף 5ב(א)(1) לחוק צולח גם את שלושת מבחני-המשנה שנקבעו לגביה. המשיבות התמקדו בעיקרו של דבר במבחן-המשנה השני </w:t>
      </w:r>
      <w:r>
        <w:rPr>
          <w:rtl/>
        </w:rPr>
        <w:t>–</w:t>
      </w:r>
      <w:r>
        <w:rPr>
          <w:rFonts w:hint="cs"/>
          <w:rtl/>
        </w:rPr>
        <w:t xml:space="preserve"> </w:t>
      </w:r>
      <w:r w:rsidRPr="003A495C">
        <w:rPr>
          <w:rFonts w:ascii="Century" w:hAnsi="Century" w:cs="Miriam" w:hint="cs"/>
          <w:b/>
          <w:spacing w:val="0"/>
          <w:sz w:val="22"/>
          <w:szCs w:val="24"/>
          <w:rtl/>
        </w:rPr>
        <w:t>'האמצעי שפגיעתו פחותה'</w:t>
      </w:r>
      <w:r>
        <w:rPr>
          <w:rFonts w:hint="cs"/>
          <w:rtl/>
        </w:rPr>
        <w:t xml:space="preserve">, ובהקשר זה טענו, כי ההסדר החוקי הקיים איננו מונע גישה מנתיני אויב לערכאות בישראל באופן גורף, ויש בו כמה היבטים מאזנים, המקרינים על מידתיות החוק. הכנסת הוסיפה והתייחסה גם להצעת בית המשפט המחוזי, למסֵד 'ערוץ מינהלי' לדרישת פיצויים, ולעניין זה טענה כי </w:t>
      </w:r>
      <w:r w:rsidRPr="00441731">
        <w:rPr>
          <w:rFonts w:ascii="Century" w:hAnsi="Century" w:cs="Miriam"/>
          <w:b/>
          <w:spacing w:val="0"/>
          <w:sz w:val="22"/>
          <w:szCs w:val="24"/>
          <w:rtl/>
        </w:rPr>
        <w:t>"</w:t>
      </w:r>
      <w:r w:rsidRPr="00441731">
        <w:rPr>
          <w:rFonts w:ascii="Century" w:hAnsi="Century" w:cs="Miriam" w:hint="eastAsia"/>
          <w:b/>
          <w:spacing w:val="0"/>
          <w:sz w:val="22"/>
          <w:szCs w:val="24"/>
          <w:rtl/>
        </w:rPr>
        <w:t>אין</w:t>
      </w:r>
      <w:r w:rsidRPr="00441731">
        <w:rPr>
          <w:rFonts w:ascii="Century" w:hAnsi="Century" w:cs="Miriam"/>
          <w:b/>
          <w:spacing w:val="0"/>
          <w:sz w:val="22"/>
          <w:szCs w:val="24"/>
          <w:rtl/>
        </w:rPr>
        <w:t xml:space="preserve"> </w:t>
      </w:r>
      <w:r w:rsidRPr="00441731">
        <w:rPr>
          <w:rFonts w:ascii="Century" w:hAnsi="Century" w:cs="Miriam" w:hint="eastAsia"/>
          <w:b/>
          <w:spacing w:val="0"/>
          <w:sz w:val="22"/>
          <w:szCs w:val="24"/>
          <w:rtl/>
        </w:rPr>
        <w:t>צורך</w:t>
      </w:r>
      <w:r w:rsidRPr="00441731">
        <w:rPr>
          <w:rFonts w:ascii="Century" w:hAnsi="Century" w:cs="Miriam"/>
          <w:b/>
          <w:spacing w:val="0"/>
          <w:sz w:val="22"/>
          <w:szCs w:val="24"/>
          <w:rtl/>
        </w:rPr>
        <w:t xml:space="preserve"> </w:t>
      </w:r>
      <w:r w:rsidRPr="00441731">
        <w:rPr>
          <w:rFonts w:ascii="Century" w:hAnsi="Century" w:cs="Miriam" w:hint="eastAsia"/>
          <w:b/>
          <w:spacing w:val="0"/>
          <w:sz w:val="22"/>
          <w:szCs w:val="24"/>
          <w:rtl/>
        </w:rPr>
        <w:t>להידרש</w:t>
      </w:r>
      <w:r w:rsidRPr="00441731">
        <w:rPr>
          <w:rFonts w:ascii="Century" w:hAnsi="Century" w:cs="Miriam"/>
          <w:b/>
          <w:spacing w:val="0"/>
          <w:sz w:val="22"/>
          <w:szCs w:val="24"/>
          <w:rtl/>
        </w:rPr>
        <w:t xml:space="preserve"> </w:t>
      </w:r>
      <w:r w:rsidRPr="00441731">
        <w:rPr>
          <w:rFonts w:ascii="Century" w:hAnsi="Century" w:cs="Miriam" w:hint="eastAsia"/>
          <w:b/>
          <w:spacing w:val="0"/>
          <w:sz w:val="22"/>
          <w:szCs w:val="24"/>
          <w:rtl/>
        </w:rPr>
        <w:t>לחלופה</w:t>
      </w:r>
      <w:r w:rsidRPr="00441731">
        <w:rPr>
          <w:rFonts w:ascii="Century" w:hAnsi="Century" w:cs="Miriam"/>
          <w:b/>
          <w:spacing w:val="0"/>
          <w:sz w:val="22"/>
          <w:szCs w:val="24"/>
          <w:rtl/>
        </w:rPr>
        <w:t xml:space="preserve"> </w:t>
      </w:r>
      <w:r w:rsidRPr="00441731">
        <w:rPr>
          <w:rFonts w:ascii="Century" w:hAnsi="Century" w:cs="Miriam" w:hint="eastAsia"/>
          <w:b/>
          <w:spacing w:val="0"/>
          <w:sz w:val="22"/>
          <w:szCs w:val="24"/>
          <w:rtl/>
        </w:rPr>
        <w:t>זו</w:t>
      </w:r>
      <w:r w:rsidRPr="00441731">
        <w:rPr>
          <w:rFonts w:ascii="Century" w:hAnsi="Century" w:cs="Miriam"/>
          <w:b/>
          <w:spacing w:val="0"/>
          <w:sz w:val="22"/>
          <w:szCs w:val="24"/>
          <w:rtl/>
        </w:rPr>
        <w:t xml:space="preserve">, </w:t>
      </w:r>
      <w:r w:rsidRPr="00441731">
        <w:rPr>
          <w:rFonts w:ascii="Century" w:hAnsi="Century" w:cs="Miriam" w:hint="eastAsia"/>
          <w:b/>
          <w:spacing w:val="0"/>
          <w:sz w:val="22"/>
          <w:szCs w:val="24"/>
          <w:rtl/>
        </w:rPr>
        <w:t>שהיישום</w:t>
      </w:r>
      <w:r w:rsidRPr="00441731">
        <w:rPr>
          <w:rFonts w:ascii="Century" w:hAnsi="Century" w:cs="Miriam"/>
          <w:b/>
          <w:spacing w:val="0"/>
          <w:sz w:val="22"/>
          <w:szCs w:val="24"/>
          <w:rtl/>
        </w:rPr>
        <w:t xml:space="preserve"> </w:t>
      </w:r>
      <w:r w:rsidRPr="00441731">
        <w:rPr>
          <w:rFonts w:ascii="Century" w:hAnsi="Century" w:cs="Miriam" w:hint="eastAsia"/>
          <w:b/>
          <w:spacing w:val="0"/>
          <w:sz w:val="22"/>
          <w:szCs w:val="24"/>
          <w:rtl/>
        </w:rPr>
        <w:t>שלה</w:t>
      </w:r>
      <w:r w:rsidRPr="00441731">
        <w:rPr>
          <w:rFonts w:ascii="Century" w:hAnsi="Century" w:cs="Miriam"/>
          <w:b/>
          <w:spacing w:val="0"/>
          <w:sz w:val="22"/>
          <w:szCs w:val="24"/>
          <w:rtl/>
        </w:rPr>
        <w:t xml:space="preserve"> </w:t>
      </w:r>
      <w:r w:rsidRPr="00441731">
        <w:rPr>
          <w:rFonts w:ascii="Century" w:hAnsi="Century" w:cs="Miriam" w:hint="eastAsia"/>
          <w:b/>
          <w:spacing w:val="0"/>
          <w:sz w:val="22"/>
          <w:szCs w:val="24"/>
          <w:rtl/>
        </w:rPr>
        <w:t>בפרקטיקה</w:t>
      </w:r>
      <w:r w:rsidRPr="00441731">
        <w:rPr>
          <w:rFonts w:ascii="Century" w:hAnsi="Century" w:cs="Miriam"/>
          <w:b/>
          <w:spacing w:val="0"/>
          <w:sz w:val="22"/>
          <w:szCs w:val="24"/>
          <w:rtl/>
        </w:rPr>
        <w:t xml:space="preserve"> </w:t>
      </w:r>
      <w:r w:rsidRPr="00441731">
        <w:rPr>
          <w:rFonts w:ascii="Century" w:hAnsi="Century" w:cs="Miriam" w:hint="eastAsia"/>
          <w:b/>
          <w:spacing w:val="0"/>
          <w:sz w:val="22"/>
          <w:szCs w:val="24"/>
          <w:rtl/>
        </w:rPr>
        <w:t>מצומצם</w:t>
      </w:r>
      <w:r w:rsidRPr="00441731">
        <w:rPr>
          <w:rFonts w:ascii="Century" w:hAnsi="Century" w:cs="Miriam"/>
          <w:b/>
          <w:spacing w:val="0"/>
          <w:sz w:val="22"/>
          <w:szCs w:val="24"/>
          <w:rtl/>
        </w:rPr>
        <w:t xml:space="preserve"> </w:t>
      </w:r>
      <w:r w:rsidRPr="00441731">
        <w:rPr>
          <w:rFonts w:ascii="Century" w:hAnsi="Century" w:cs="Miriam" w:hint="eastAsia"/>
          <w:b/>
          <w:spacing w:val="0"/>
          <w:sz w:val="22"/>
          <w:szCs w:val="24"/>
          <w:rtl/>
        </w:rPr>
        <w:t>ביותר</w:t>
      </w:r>
      <w:r w:rsidRPr="00441731">
        <w:rPr>
          <w:rFonts w:ascii="Century" w:hAnsi="Century" w:cs="Miriam"/>
          <w:b/>
          <w:spacing w:val="0"/>
          <w:sz w:val="22"/>
          <w:szCs w:val="24"/>
          <w:rtl/>
        </w:rPr>
        <w:t>"</w:t>
      </w:r>
      <w:r>
        <w:rPr>
          <w:rFonts w:hint="cs"/>
          <w:rtl/>
        </w:rPr>
        <w:t>, שכן גם מבלי ל</w:t>
      </w:r>
      <w:r w:rsidR="0042185D">
        <w:rPr>
          <w:rFonts w:hint="cs"/>
          <w:rtl/>
        </w:rPr>
        <w:t>ייחס</w:t>
      </w:r>
      <w:r>
        <w:rPr>
          <w:rFonts w:hint="cs"/>
          <w:rtl/>
        </w:rPr>
        <w:t xml:space="preserve"> משקל לאפשרות מוצעת זו, הרי שההסדר שבסעיף 5ב(א)(1) לחוק עומד</w:t>
      </w:r>
      <w:r w:rsidR="0042185D">
        <w:rPr>
          <w:rFonts w:hint="cs"/>
          <w:rtl/>
        </w:rPr>
        <w:t xml:space="preserve"> במבחן 'האמצעי שפגיעתו פחותה'. </w:t>
      </w:r>
      <w:r>
        <w:rPr>
          <w:rFonts w:hint="cs"/>
          <w:rtl/>
        </w:rPr>
        <w:t xml:space="preserve">אשר למבחן-המשנה השלישי, טענו המשיבות כי התועלת הצומחת מסעיף 5ב(א)(1) לחוק </w:t>
      </w:r>
      <w:r>
        <w:rPr>
          <w:rtl/>
        </w:rPr>
        <w:t>–</w:t>
      </w:r>
      <w:r>
        <w:rPr>
          <w:rFonts w:hint="cs"/>
          <w:rtl/>
        </w:rPr>
        <w:t xml:space="preserve"> מניעת סיוע לאויב, ומניעת הצמחת הליכים נזיקיים בגין פעולות צבאיות </w:t>
      </w:r>
      <w:r>
        <w:rPr>
          <w:rtl/>
        </w:rPr>
        <w:t>–</w:t>
      </w:r>
      <w:r>
        <w:rPr>
          <w:rFonts w:hint="cs"/>
          <w:rtl/>
        </w:rPr>
        <w:t xml:space="preserve"> עולה על הנזק שעלול להיגרם לנתיני האויב, כתוצאה משלילת זכותם להגיש תביעות נזיקין נגד המדינה. לבסוף צוין, כי אין בסייג זה משום מתן היתר להזיק לנתיני אויב, שכן ממילא חלה על המדינה חובה לפעול בהתאם לחובות החוקיות המוטלות על כוחות הביטחון, הן על-פי כללי המשפט הבינלאומי, הן על-פי חובות המשפט המינהלי. </w:t>
      </w:r>
    </w:p>
    <w:p w:rsidR="00D512D4" w:rsidRDefault="00D512D4" w:rsidP="00D512D4">
      <w:pPr>
        <w:pStyle w:val="Ruller41"/>
        <w:rPr>
          <w:rtl/>
        </w:rPr>
      </w:pPr>
    </w:p>
    <w:p w:rsidR="00D512D4" w:rsidRDefault="00D512D4" w:rsidP="00C04DC8">
      <w:pPr>
        <w:pStyle w:val="2"/>
        <w:rPr>
          <w:rtl/>
        </w:rPr>
      </w:pPr>
      <w:bookmarkStart w:id="18" w:name="_Toc107851288"/>
      <w:bookmarkStart w:id="19" w:name="_Toc107851343"/>
      <w:r>
        <w:rPr>
          <w:rFonts w:hint="cs"/>
          <w:rtl/>
        </w:rPr>
        <w:t>ג.3. סיכומי התשובה של המערער</w:t>
      </w:r>
      <w:bookmarkEnd w:id="18"/>
      <w:bookmarkEnd w:id="19"/>
    </w:p>
    <w:p w:rsidR="00D512D4" w:rsidRDefault="00D512D4" w:rsidP="00112C51">
      <w:pPr>
        <w:pStyle w:val="Ruller4"/>
      </w:pPr>
      <w:r>
        <w:rPr>
          <w:rFonts w:hint="cs"/>
          <w:rtl/>
        </w:rPr>
        <w:t>בסיכומי התשובה הוסיף</w:t>
      </w:r>
      <w:r w:rsidR="0042185D">
        <w:rPr>
          <w:rFonts w:hint="cs"/>
          <w:rtl/>
        </w:rPr>
        <w:t xml:space="preserve"> המערער</w:t>
      </w:r>
      <w:r>
        <w:rPr>
          <w:rFonts w:hint="cs"/>
          <w:rtl/>
        </w:rPr>
        <w:t xml:space="preserve">, כי האסמכתאות שהביאו המשיבות מן המשפט המשווה, תומכות דווקא בגישתו-שלו, שכן יש בהן כדי ללמד כי בשיטות משפט זרות נקבעו כללי חסינות למדינה ביחס ל'פעולות מלחמתיות', בעוד שסעיף 5ב(א)(1) לחוק חורג מכך, ומבקש להרחיב את החסינות, כך שיקבע סייג גורף מאחריות נזיקית, גם בגין נזקים שנגרמו מפעולות שאינן מלחמתיות. עוד טען המערער, כי עמדת המשיבות בסיכומיהן, נוגדת את עמדת היועץ המשפטי לממשלה, בחוות דעת מיום 20.12.2019, בעניין </w:t>
      </w:r>
      <w:r w:rsidRPr="00983C50">
        <w:rPr>
          <w:rFonts w:ascii="Century" w:hAnsi="Century" w:cs="Miriam" w:hint="cs"/>
          <w:b/>
          <w:spacing w:val="0"/>
          <w:sz w:val="22"/>
          <w:szCs w:val="24"/>
          <w:rtl/>
        </w:rPr>
        <w:t xml:space="preserve">"היעדר סמכות השיפוט של בית הדין הפלילי הבין-לאומי על המצב המכונה </w:t>
      </w:r>
      <w:r>
        <w:rPr>
          <w:rFonts w:ascii="Century" w:hAnsi="Century" w:cs="Miriam" w:hint="cs"/>
          <w:b/>
          <w:spacing w:val="0"/>
          <w:sz w:val="22"/>
          <w:szCs w:val="24"/>
          <w:rtl/>
        </w:rPr>
        <w:t>'</w:t>
      </w:r>
      <w:r w:rsidRPr="00983C50">
        <w:rPr>
          <w:rFonts w:ascii="Century" w:hAnsi="Century" w:cs="Miriam" w:hint="cs"/>
          <w:b/>
          <w:spacing w:val="0"/>
          <w:sz w:val="22"/>
          <w:szCs w:val="24"/>
          <w:rtl/>
        </w:rPr>
        <w:t>המצב בפלסטין</w:t>
      </w:r>
      <w:r>
        <w:rPr>
          <w:rFonts w:ascii="Century" w:hAnsi="Century" w:cs="Miriam" w:hint="cs"/>
          <w:b/>
          <w:spacing w:val="0"/>
          <w:sz w:val="22"/>
          <w:szCs w:val="24"/>
          <w:rtl/>
        </w:rPr>
        <w:t>'</w:t>
      </w:r>
      <w:r w:rsidRPr="00983C50">
        <w:rPr>
          <w:rFonts w:ascii="Century" w:hAnsi="Century" w:cs="Miriam" w:hint="cs"/>
          <w:b/>
          <w:spacing w:val="0"/>
          <w:sz w:val="22"/>
          <w:szCs w:val="24"/>
          <w:rtl/>
        </w:rPr>
        <w:t>"</w:t>
      </w:r>
      <w:r>
        <w:rPr>
          <w:rFonts w:hint="cs"/>
          <w:rtl/>
        </w:rPr>
        <w:t>. בחוות דעת זו, כך נטען, קבע היועץ המשפטי לממשלה</w:t>
      </w:r>
      <w:r w:rsidR="0019225F">
        <w:rPr>
          <w:rFonts w:hint="cs"/>
          <w:rtl/>
        </w:rPr>
        <w:t>,</w:t>
      </w:r>
      <w:r>
        <w:rPr>
          <w:rFonts w:hint="cs"/>
          <w:rtl/>
        </w:rPr>
        <w:t xml:space="preserve"> כי </w:t>
      </w:r>
      <w:r w:rsidRPr="00112C51">
        <w:rPr>
          <w:rFonts w:ascii="Century" w:hAnsi="Century" w:cs="Miriam" w:hint="cs"/>
          <w:b/>
          <w:spacing w:val="0"/>
          <w:sz w:val="22"/>
          <w:szCs w:val="24"/>
          <w:rtl/>
        </w:rPr>
        <w:lastRenderedPageBreak/>
        <w:t>"השליטה האפקטיבית בעזה ובגדה היא בידי ישראל</w:t>
      </w:r>
      <w:r w:rsidR="00603F95" w:rsidRPr="00112C51">
        <w:rPr>
          <w:rFonts w:ascii="Century" w:hAnsi="Century" w:cs="Miriam" w:hint="cs"/>
          <w:b/>
          <w:spacing w:val="0"/>
          <w:sz w:val="22"/>
          <w:szCs w:val="24"/>
          <w:rtl/>
        </w:rPr>
        <w:t>,</w:t>
      </w:r>
      <w:r w:rsidRPr="00112C51">
        <w:rPr>
          <w:rFonts w:ascii="Century" w:hAnsi="Century" w:cs="Miriam" w:hint="cs"/>
          <w:b/>
          <w:spacing w:val="0"/>
          <w:sz w:val="22"/>
          <w:szCs w:val="24"/>
          <w:rtl/>
        </w:rPr>
        <w:t xml:space="preserve"> וכי שליטה זו מאפשרת גישה למערכות המשפט הישראליות"</w:t>
      </w:r>
      <w:r>
        <w:rPr>
          <w:rFonts w:hint="cs"/>
          <w:rtl/>
        </w:rPr>
        <w:t xml:space="preserve">, ועל כן, אין לבית הדין הפלילי הבינלאומי סמכות שיפוט. עמדה זו, כך המערער, אינה עולה בקנה אחד עם שלילת זכות הגישה לערכאות בתביעות נזיקיות נגד כוחות הביטחון. </w:t>
      </w:r>
      <w:r w:rsidR="00593941">
        <w:rPr>
          <w:rFonts w:hint="cs"/>
          <w:rtl/>
        </w:rPr>
        <w:t xml:space="preserve"> </w:t>
      </w:r>
    </w:p>
    <w:p w:rsidR="00D512D4" w:rsidRDefault="00D512D4" w:rsidP="00D512D4">
      <w:pPr>
        <w:pStyle w:val="Ruller41"/>
        <w:rPr>
          <w:rtl/>
        </w:rPr>
      </w:pPr>
    </w:p>
    <w:p w:rsidR="00D512D4" w:rsidRDefault="00D512D4" w:rsidP="00C04DC8">
      <w:pPr>
        <w:pStyle w:val="1"/>
        <w:rPr>
          <w:rtl/>
        </w:rPr>
      </w:pPr>
      <w:bookmarkStart w:id="20" w:name="_Toc107851289"/>
      <w:bookmarkStart w:id="21" w:name="_Toc107851344"/>
      <w:r>
        <w:rPr>
          <w:rFonts w:hint="cs"/>
          <w:rtl/>
        </w:rPr>
        <w:t xml:space="preserve">ד. </w:t>
      </w:r>
      <w:r w:rsidRPr="004E2E76">
        <w:rPr>
          <w:rFonts w:hint="cs"/>
          <w:rtl/>
        </w:rPr>
        <w:t>דיון והכרעה</w:t>
      </w:r>
      <w:bookmarkEnd w:id="20"/>
      <w:bookmarkEnd w:id="21"/>
    </w:p>
    <w:p w:rsidR="00D512D4" w:rsidRDefault="00112C51" w:rsidP="00E74CCB">
      <w:pPr>
        <w:pStyle w:val="Ruller4"/>
        <w:numPr>
          <w:ilvl w:val="0"/>
          <w:numId w:val="0"/>
        </w:numPr>
        <w:rPr>
          <w:rtl/>
        </w:rPr>
      </w:pPr>
      <w:r>
        <w:rPr>
          <w:rtl/>
        </w:rPr>
        <w:tab/>
      </w:r>
      <w:r w:rsidR="00D512D4">
        <w:rPr>
          <w:rFonts w:hint="cs"/>
          <w:rtl/>
        </w:rPr>
        <w:t xml:space="preserve">לאחר שבחנתי את הסוגיה על מכלול היבטיה, לאחר שעיינתי בטענות הצדדים, ובאסמכתאות שהובאו על-ידם, מזה ומזה, ולאחר שנשמעו טענותיהם בהשלמת טיעון </w:t>
      </w:r>
      <w:r w:rsidR="00A57217">
        <w:rPr>
          <w:rFonts w:hint="cs"/>
          <w:rtl/>
        </w:rPr>
        <w:t>ב</w:t>
      </w:r>
      <w:r w:rsidR="00D512D4">
        <w:rPr>
          <w:rFonts w:hint="cs"/>
          <w:rtl/>
        </w:rPr>
        <w:t xml:space="preserve">על-פה, באתי לכלל מסקנה כי </w:t>
      </w:r>
      <w:r w:rsidR="00D512D4" w:rsidRPr="008904E1">
        <w:rPr>
          <w:rFonts w:ascii="Century" w:hAnsi="Century" w:hint="eastAsia"/>
          <w:sz w:val="22"/>
          <w:rtl/>
        </w:rPr>
        <w:t>דין</w:t>
      </w:r>
      <w:r w:rsidR="00D512D4" w:rsidRPr="008904E1">
        <w:rPr>
          <w:rFonts w:ascii="Century" w:hAnsi="Century"/>
          <w:sz w:val="22"/>
          <w:rtl/>
        </w:rPr>
        <w:t xml:space="preserve"> </w:t>
      </w:r>
      <w:r w:rsidR="00D512D4" w:rsidRPr="008904E1">
        <w:rPr>
          <w:rFonts w:ascii="Century" w:hAnsi="Century" w:hint="eastAsia"/>
          <w:sz w:val="22"/>
          <w:rtl/>
        </w:rPr>
        <w:t>הערעור</w:t>
      </w:r>
      <w:r w:rsidR="00D512D4" w:rsidRPr="008904E1">
        <w:rPr>
          <w:rFonts w:ascii="Century" w:hAnsi="Century"/>
          <w:sz w:val="22"/>
          <w:rtl/>
        </w:rPr>
        <w:t xml:space="preserve"> </w:t>
      </w:r>
      <w:r w:rsidR="00D512D4" w:rsidRPr="008904E1">
        <w:rPr>
          <w:rFonts w:ascii="Century" w:hAnsi="Century" w:hint="eastAsia"/>
          <w:sz w:val="22"/>
          <w:rtl/>
        </w:rPr>
        <w:t>להידחות</w:t>
      </w:r>
      <w:r w:rsidR="00D512D4">
        <w:rPr>
          <w:rFonts w:hint="cs"/>
          <w:rtl/>
        </w:rPr>
        <w:t>, וכך אציע לחברי לעשות. כאמור בפתח הדברים, השאלה המונחת לפתחנו היא, בעיקרה, חוקתיות סעיף 5ב(א)(1) לחוק. כדי לעמוד על טיבו של סעיף זה, יש להכיר את סביבתו הנורמטיבית, ו</w:t>
      </w:r>
      <w:r w:rsidR="001D3210">
        <w:rPr>
          <w:rFonts w:hint="cs"/>
          <w:rtl/>
        </w:rPr>
        <w:t>את הגלגולים והתהפוכות שעבר החוק</w:t>
      </w:r>
      <w:r w:rsidR="00D512D4">
        <w:rPr>
          <w:rFonts w:hint="cs"/>
          <w:rtl/>
        </w:rPr>
        <w:t xml:space="preserve"> </w:t>
      </w:r>
      <w:r w:rsidR="00E74CCB">
        <w:rPr>
          <w:rFonts w:hint="cs"/>
          <w:rtl/>
        </w:rPr>
        <w:t>במהלך</w:t>
      </w:r>
      <w:r w:rsidR="00D512D4">
        <w:rPr>
          <w:rFonts w:hint="cs"/>
          <w:rtl/>
        </w:rPr>
        <w:t xml:space="preserve"> השנים. לפיכך, בטרם אבוא בשערי הניתוח החוקתי, אציג את הרקע העובדתי והנורמטיבי הנדרש לעניין. </w:t>
      </w:r>
    </w:p>
    <w:p w:rsidR="00D512D4" w:rsidRDefault="00D512D4" w:rsidP="00D512D4">
      <w:pPr>
        <w:pStyle w:val="Ruller41"/>
        <w:rPr>
          <w:rtl/>
        </w:rPr>
      </w:pPr>
    </w:p>
    <w:p w:rsidR="00D512D4" w:rsidRPr="00C04DC8" w:rsidRDefault="00D512D4" w:rsidP="00C04DC8">
      <w:pPr>
        <w:pStyle w:val="2"/>
        <w:rPr>
          <w:rtl/>
        </w:rPr>
      </w:pPr>
      <w:bookmarkStart w:id="22" w:name="_Toc107851290"/>
      <w:bookmarkStart w:id="23" w:name="_Toc107851345"/>
      <w:r w:rsidRPr="00C04DC8">
        <w:rPr>
          <w:rFonts w:hint="eastAsia"/>
          <w:rtl/>
        </w:rPr>
        <w:t>ד</w:t>
      </w:r>
      <w:r w:rsidRPr="00C04DC8">
        <w:rPr>
          <w:rtl/>
        </w:rPr>
        <w:t xml:space="preserve">.1. </w:t>
      </w:r>
      <w:r w:rsidRPr="00C04DC8">
        <w:rPr>
          <w:rFonts w:hint="eastAsia"/>
          <w:rtl/>
        </w:rPr>
        <w:t>רקע</w:t>
      </w:r>
      <w:r w:rsidRPr="00C04DC8">
        <w:rPr>
          <w:rtl/>
        </w:rPr>
        <w:t xml:space="preserve"> </w:t>
      </w:r>
      <w:r w:rsidRPr="00C04DC8">
        <w:rPr>
          <w:rFonts w:hint="eastAsia"/>
          <w:rtl/>
        </w:rPr>
        <w:t>עובדתי</w:t>
      </w:r>
      <w:r w:rsidRPr="00C04DC8">
        <w:rPr>
          <w:rtl/>
        </w:rPr>
        <w:t xml:space="preserve"> </w:t>
      </w:r>
      <w:r w:rsidRPr="00C04DC8">
        <w:rPr>
          <w:rFonts w:hint="eastAsia"/>
          <w:rtl/>
        </w:rPr>
        <w:t>ונורמטיבי</w:t>
      </w:r>
      <w:bookmarkEnd w:id="22"/>
      <w:bookmarkEnd w:id="23"/>
    </w:p>
    <w:p w:rsidR="00D512D4" w:rsidRDefault="00D512D4" w:rsidP="00C04DC8">
      <w:pPr>
        <w:pStyle w:val="3"/>
        <w:rPr>
          <w:rtl/>
        </w:rPr>
      </w:pPr>
      <w:bookmarkStart w:id="24" w:name="_Toc107851291"/>
      <w:bookmarkStart w:id="25" w:name="_Toc107851346"/>
      <w:r w:rsidRPr="000E35EB">
        <w:rPr>
          <w:rFonts w:hint="eastAsia"/>
          <w:rtl/>
        </w:rPr>
        <w:t>ד</w:t>
      </w:r>
      <w:r w:rsidRPr="000E35EB">
        <w:rPr>
          <w:rtl/>
        </w:rPr>
        <w:t xml:space="preserve">.1.1 </w:t>
      </w:r>
      <w:r>
        <w:rPr>
          <w:rFonts w:hint="cs"/>
          <w:rtl/>
        </w:rPr>
        <w:t xml:space="preserve">חסינות המדינה בגין 'נזקי מלחמה' על פי </w:t>
      </w:r>
      <w:r w:rsidRPr="000E35EB">
        <w:rPr>
          <w:rFonts w:hint="eastAsia"/>
          <w:rtl/>
        </w:rPr>
        <w:t>חוק</w:t>
      </w:r>
      <w:r w:rsidRPr="000E35EB">
        <w:rPr>
          <w:rtl/>
        </w:rPr>
        <w:t xml:space="preserve"> </w:t>
      </w:r>
      <w:r w:rsidRPr="000E35EB">
        <w:rPr>
          <w:rFonts w:hint="eastAsia"/>
          <w:rtl/>
        </w:rPr>
        <w:t>הנזיקים</w:t>
      </w:r>
      <w:r w:rsidRPr="000E35EB">
        <w:rPr>
          <w:rtl/>
        </w:rPr>
        <w:t xml:space="preserve"> </w:t>
      </w:r>
      <w:r w:rsidRPr="000E35EB">
        <w:rPr>
          <w:rFonts w:hint="eastAsia"/>
          <w:rtl/>
        </w:rPr>
        <w:t>האזרחיים</w:t>
      </w:r>
      <w:bookmarkEnd w:id="24"/>
      <w:bookmarkEnd w:id="25"/>
    </w:p>
    <w:p w:rsidR="00D512D4" w:rsidRPr="00C60EFB" w:rsidRDefault="00D512D4" w:rsidP="00EF7777">
      <w:pPr>
        <w:pStyle w:val="Ruller4"/>
      </w:pPr>
      <w:r>
        <w:rPr>
          <w:rFonts w:hint="cs"/>
          <w:rtl/>
        </w:rPr>
        <w:t xml:space="preserve">אחריות המדינה לגבי נזקים שגרמה בפעולותיה, מוסדרת </w:t>
      </w:r>
      <w:r w:rsidR="00E74CCB">
        <w:rPr>
          <w:rFonts w:hint="cs"/>
          <w:rtl/>
        </w:rPr>
        <w:t>מ</w:t>
      </w:r>
      <w:r>
        <w:rPr>
          <w:rFonts w:hint="cs"/>
          <w:rtl/>
        </w:rPr>
        <w:t xml:space="preserve">זה שנות-דור, בחוק הנזיקים. קודם לחקיקת חוק זה, משל בכיפה הכלל המסורתי מהמשפט המקובל, אשר העניק </w:t>
      </w:r>
      <w:r>
        <w:rPr>
          <w:rtl/>
        </w:rPr>
        <w:t>–</w:t>
      </w:r>
      <w:r>
        <w:rPr>
          <w:rFonts w:hint="cs"/>
          <w:rtl/>
        </w:rPr>
        <w:t xml:space="preserve"> תחילה לכתר האנגלי, ששלט בימי המנדט על ארץ ישראל, ובהמשך למדינת ישראל הצעירה </w:t>
      </w:r>
      <w:r>
        <w:rPr>
          <w:rtl/>
        </w:rPr>
        <w:t>–</w:t>
      </w:r>
      <w:r>
        <w:rPr>
          <w:rFonts w:hint="cs"/>
          <w:rtl/>
        </w:rPr>
        <w:t xml:space="preserve"> חסינות נזיקית מלאה, מפני נזקים שנגרמו על-ידי </w:t>
      </w:r>
      <w:r w:rsidR="00112C51">
        <w:rPr>
          <w:rFonts w:hint="cs"/>
          <w:rtl/>
        </w:rPr>
        <w:t>השלטו</w:t>
      </w:r>
      <w:r w:rsidR="001D3210">
        <w:rPr>
          <w:rFonts w:hint="cs"/>
          <w:rtl/>
        </w:rPr>
        <w:t>ן</w:t>
      </w:r>
      <w:r w:rsidR="00EF7777">
        <w:rPr>
          <w:rFonts w:hint="cs"/>
          <w:rtl/>
        </w:rPr>
        <w:t xml:space="preserve"> (</w:t>
      </w:r>
      <w:r w:rsidR="001D3210" w:rsidRPr="00261326">
        <w:rPr>
          <w:sz w:val="26"/>
          <w:szCs w:val="30"/>
        </w:rPr>
        <w:t>'Th</w:t>
      </w:r>
      <w:r w:rsidR="001D3210">
        <w:rPr>
          <w:sz w:val="26"/>
          <w:szCs w:val="30"/>
        </w:rPr>
        <w:t>e</w:t>
      </w:r>
      <w:r w:rsidR="001D3210">
        <w:rPr>
          <w:rFonts w:hint="cs"/>
          <w:sz w:val="26"/>
          <w:szCs w:val="30"/>
          <w:rtl/>
        </w:rPr>
        <w:t xml:space="preserve"> </w:t>
      </w:r>
      <w:r w:rsidRPr="00261326">
        <w:rPr>
          <w:sz w:val="26"/>
          <w:szCs w:val="30"/>
        </w:rPr>
        <w:t>King</w:t>
      </w:r>
      <w:r>
        <w:t xml:space="preserve"> </w:t>
      </w:r>
      <w:r w:rsidRPr="00261326">
        <w:rPr>
          <w:sz w:val="26"/>
          <w:szCs w:val="30"/>
        </w:rPr>
        <w:t>can do no w</w:t>
      </w:r>
      <w:r w:rsidR="00112C51">
        <w:rPr>
          <w:sz w:val="26"/>
          <w:szCs w:val="30"/>
        </w:rPr>
        <w:t>r</w:t>
      </w:r>
      <w:r w:rsidRPr="00261326">
        <w:rPr>
          <w:sz w:val="26"/>
          <w:szCs w:val="30"/>
        </w:rPr>
        <w:t>ong'</w:t>
      </w:r>
      <w:r w:rsidR="00EF7777">
        <w:rPr>
          <w:rFonts w:hint="cs"/>
          <w:rtl/>
        </w:rPr>
        <w:t>).</w:t>
      </w:r>
      <w:r>
        <w:rPr>
          <w:rFonts w:hint="cs"/>
          <w:rtl/>
        </w:rPr>
        <w:t xml:space="preserve"> חוק הנזיקים, שנחקק בשנת 1952, ביטא אפוא שינוי מהותי של תפיסה זו, שאבד עליה הכלח, בקבעו עיקרון חדש, יסודי ובסיסי, שלפיו </w:t>
      </w:r>
      <w:r w:rsidRPr="003F41A4">
        <w:rPr>
          <w:rFonts w:ascii="Century" w:hAnsi="Century" w:cs="Miriam" w:hint="cs"/>
          <w:b/>
          <w:spacing w:val="0"/>
          <w:sz w:val="22"/>
          <w:szCs w:val="24"/>
          <w:rtl/>
        </w:rPr>
        <w:t>"דין המדינה, לעניין אחריות בנזיקים, כדין כל גוף מאוגד"</w:t>
      </w:r>
      <w:r>
        <w:rPr>
          <w:rFonts w:hint="cs"/>
          <w:rtl/>
        </w:rPr>
        <w:t xml:space="preserve"> (סעיף 2 לחוק הנזיקים). חריג בולט לעיקרון כללי זה, מ</w:t>
      </w:r>
      <w:r w:rsidR="00E74CCB">
        <w:rPr>
          <w:rFonts w:hint="cs"/>
          <w:rtl/>
        </w:rPr>
        <w:t>עוגן</w:t>
      </w:r>
      <w:r>
        <w:rPr>
          <w:rFonts w:hint="cs"/>
          <w:rtl/>
        </w:rPr>
        <w:t xml:space="preserve"> בסעיף 5 לחוק הנזיקים האזרחיים. סעיף זה מעניק למדינה חסינות מפני תביעות נזיקין, לגבי </w:t>
      </w:r>
      <w:r w:rsidRPr="003F41A4">
        <w:rPr>
          <w:rFonts w:ascii="Century" w:hAnsi="Century" w:cs="Miriam" w:hint="cs"/>
          <w:b/>
          <w:spacing w:val="0"/>
          <w:sz w:val="22"/>
          <w:szCs w:val="24"/>
          <w:rtl/>
        </w:rPr>
        <w:t>"מעשה שנעשה על ידי פעולה מלחמתית של צבא ההגנה לישראל"</w:t>
      </w:r>
      <w:r>
        <w:rPr>
          <w:rFonts w:hint="cs"/>
          <w:rtl/>
        </w:rPr>
        <w:t xml:space="preserve">. זאת, על יסוד ההנחה כי דיני הנזיקין אינם הזירה המתאימה להכרעה במקרים של פעולות </w:t>
      </w:r>
      <w:r w:rsidRPr="00C60EFB">
        <w:rPr>
          <w:rFonts w:hint="cs"/>
          <w:rtl/>
        </w:rPr>
        <w:lastRenderedPageBreak/>
        <w:t xml:space="preserve">מלחמתיות </w:t>
      </w:r>
      <w:r w:rsidRPr="00C60EFB">
        <w:rPr>
          <w:rtl/>
        </w:rPr>
        <w:t>(</w:t>
      </w:r>
      <w:r w:rsidRPr="00C60EFB">
        <w:rPr>
          <w:rFonts w:hint="eastAsia"/>
          <w:rtl/>
        </w:rPr>
        <w:t>ראו</w:t>
      </w:r>
      <w:r w:rsidRPr="00C60EFB">
        <w:rPr>
          <w:rtl/>
        </w:rPr>
        <w:t xml:space="preserve">, </w:t>
      </w:r>
      <w:r w:rsidRPr="00C60EFB">
        <w:rPr>
          <w:rFonts w:hint="eastAsia"/>
          <w:rtl/>
        </w:rPr>
        <w:t>למשל</w:t>
      </w:r>
      <w:r w:rsidRPr="00C60EFB">
        <w:rPr>
          <w:rtl/>
        </w:rPr>
        <w:t xml:space="preserve">, </w:t>
      </w:r>
      <w:r w:rsidRPr="00C60EFB">
        <w:rPr>
          <w:rFonts w:hint="eastAsia"/>
          <w:rtl/>
        </w:rPr>
        <w:t>ע</w:t>
      </w:r>
      <w:r w:rsidRPr="00C60EFB">
        <w:rPr>
          <w:rtl/>
        </w:rPr>
        <w:t>"</w:t>
      </w:r>
      <w:r w:rsidRPr="00C60EFB">
        <w:rPr>
          <w:rFonts w:hint="eastAsia"/>
          <w:rtl/>
        </w:rPr>
        <w:t>א</w:t>
      </w:r>
      <w:r w:rsidRPr="00C60EFB">
        <w:rPr>
          <w:rtl/>
        </w:rPr>
        <w:t xml:space="preserve"> 5942/92 </w:t>
      </w:r>
      <w:r w:rsidRPr="00C60EFB">
        <w:rPr>
          <w:rFonts w:ascii="Century" w:hAnsi="Century" w:cs="Miriam" w:hint="eastAsia"/>
          <w:b/>
          <w:spacing w:val="0"/>
          <w:sz w:val="22"/>
          <w:szCs w:val="24"/>
          <w:rtl/>
        </w:rPr>
        <w:t>בני</w:t>
      </w:r>
      <w:r w:rsidRPr="00C60EFB">
        <w:rPr>
          <w:rFonts w:ascii="Century" w:hAnsi="Century" w:cs="Miriam"/>
          <w:b/>
          <w:spacing w:val="0"/>
          <w:sz w:val="22"/>
          <w:szCs w:val="24"/>
          <w:rtl/>
        </w:rPr>
        <w:t xml:space="preserve"> </w:t>
      </w:r>
      <w:r w:rsidRPr="00C60EFB">
        <w:rPr>
          <w:rFonts w:ascii="Century" w:hAnsi="Century" w:cs="Miriam" w:hint="eastAsia"/>
          <w:b/>
          <w:spacing w:val="0"/>
          <w:sz w:val="22"/>
          <w:szCs w:val="24"/>
          <w:rtl/>
        </w:rPr>
        <w:t>עודה</w:t>
      </w:r>
      <w:r w:rsidRPr="00C60EFB">
        <w:rPr>
          <w:rFonts w:ascii="Century" w:hAnsi="Century" w:cs="Miriam"/>
          <w:b/>
          <w:spacing w:val="0"/>
          <w:sz w:val="22"/>
          <w:szCs w:val="24"/>
          <w:rtl/>
        </w:rPr>
        <w:t xml:space="preserve"> </w:t>
      </w:r>
      <w:r w:rsidRPr="00C60EFB">
        <w:rPr>
          <w:rFonts w:ascii="Century" w:hAnsi="Century" w:cs="Miriam" w:hint="eastAsia"/>
          <w:b/>
          <w:spacing w:val="0"/>
          <w:sz w:val="22"/>
          <w:szCs w:val="24"/>
          <w:rtl/>
        </w:rPr>
        <w:t>נ</w:t>
      </w:r>
      <w:r w:rsidRPr="00C60EFB">
        <w:rPr>
          <w:rFonts w:ascii="Century" w:hAnsi="Century" w:cs="Miriam"/>
          <w:b/>
          <w:spacing w:val="0"/>
          <w:sz w:val="22"/>
          <w:szCs w:val="24"/>
          <w:rtl/>
        </w:rPr>
        <w:t xml:space="preserve">' </w:t>
      </w:r>
      <w:r w:rsidRPr="00C60EFB">
        <w:rPr>
          <w:rFonts w:ascii="Century" w:hAnsi="Century" w:cs="Miriam" w:hint="eastAsia"/>
          <w:b/>
          <w:spacing w:val="0"/>
          <w:sz w:val="22"/>
          <w:szCs w:val="24"/>
          <w:rtl/>
        </w:rPr>
        <w:t>מדינת</w:t>
      </w:r>
      <w:r w:rsidRPr="00C60EFB">
        <w:rPr>
          <w:rFonts w:ascii="Century" w:hAnsi="Century" w:cs="Miriam"/>
          <w:b/>
          <w:spacing w:val="0"/>
          <w:sz w:val="22"/>
          <w:szCs w:val="24"/>
          <w:rtl/>
        </w:rPr>
        <w:t xml:space="preserve"> </w:t>
      </w:r>
      <w:r w:rsidRPr="00C60EFB">
        <w:rPr>
          <w:rFonts w:ascii="Century" w:hAnsi="Century" w:cs="Miriam" w:hint="eastAsia"/>
          <w:b/>
          <w:spacing w:val="0"/>
          <w:sz w:val="22"/>
          <w:szCs w:val="24"/>
          <w:rtl/>
        </w:rPr>
        <w:t>ישראל</w:t>
      </w:r>
      <w:r w:rsidRPr="00C60EFB">
        <w:rPr>
          <w:rtl/>
        </w:rPr>
        <w:t xml:space="preserve">, </w:t>
      </w:r>
      <w:r w:rsidRPr="00C60EFB">
        <w:rPr>
          <w:rFonts w:hint="eastAsia"/>
          <w:rtl/>
        </w:rPr>
        <w:t>פ</w:t>
      </w:r>
      <w:r w:rsidRPr="00C60EFB">
        <w:rPr>
          <w:rtl/>
        </w:rPr>
        <w:t>"</w:t>
      </w:r>
      <w:r w:rsidRPr="00C60EFB">
        <w:rPr>
          <w:rFonts w:hint="eastAsia"/>
          <w:rtl/>
        </w:rPr>
        <w:t>ד</w:t>
      </w:r>
      <w:r w:rsidRPr="00C60EFB">
        <w:rPr>
          <w:rtl/>
        </w:rPr>
        <w:t xml:space="preserve"> </w:t>
      </w:r>
      <w:r w:rsidRPr="00C60EFB">
        <w:rPr>
          <w:rFonts w:hint="eastAsia"/>
          <w:rtl/>
        </w:rPr>
        <w:t>נו</w:t>
      </w:r>
      <w:r w:rsidRPr="00C60EFB">
        <w:rPr>
          <w:rtl/>
        </w:rPr>
        <w:t>(4) 1, 6-5 (2002) (</w:t>
      </w:r>
      <w:r w:rsidRPr="00C60EFB">
        <w:rPr>
          <w:rFonts w:hint="eastAsia"/>
          <w:rtl/>
        </w:rPr>
        <w:t>להלן</w:t>
      </w:r>
      <w:r w:rsidRPr="00C60EFB">
        <w:rPr>
          <w:rtl/>
        </w:rPr>
        <w:t xml:space="preserve">: </w:t>
      </w:r>
      <w:r w:rsidRPr="00C60EFB">
        <w:rPr>
          <w:rFonts w:ascii="Century" w:hAnsi="Century" w:cs="Miriam" w:hint="eastAsia"/>
          <w:b/>
          <w:spacing w:val="0"/>
          <w:sz w:val="22"/>
          <w:szCs w:val="24"/>
          <w:rtl/>
        </w:rPr>
        <w:t>עניין</w:t>
      </w:r>
      <w:r w:rsidRPr="00C60EFB">
        <w:rPr>
          <w:rFonts w:ascii="Century" w:hAnsi="Century" w:cs="Miriam"/>
          <w:b/>
          <w:spacing w:val="0"/>
          <w:sz w:val="22"/>
          <w:szCs w:val="24"/>
          <w:rtl/>
        </w:rPr>
        <w:t xml:space="preserve"> </w:t>
      </w:r>
      <w:r w:rsidRPr="00C60EFB">
        <w:rPr>
          <w:rFonts w:ascii="Century" w:hAnsi="Century" w:cs="Miriam" w:hint="eastAsia"/>
          <w:b/>
          <w:spacing w:val="0"/>
          <w:sz w:val="22"/>
          <w:szCs w:val="24"/>
          <w:rtl/>
        </w:rPr>
        <w:t>בני</w:t>
      </w:r>
      <w:r w:rsidRPr="00C60EFB">
        <w:rPr>
          <w:rFonts w:ascii="Century" w:hAnsi="Century" w:cs="Miriam"/>
          <w:b/>
          <w:spacing w:val="0"/>
          <w:sz w:val="22"/>
          <w:szCs w:val="24"/>
          <w:rtl/>
        </w:rPr>
        <w:t xml:space="preserve"> </w:t>
      </w:r>
      <w:r w:rsidRPr="00C60EFB">
        <w:rPr>
          <w:rFonts w:ascii="Century" w:hAnsi="Century" w:cs="Miriam" w:hint="eastAsia"/>
          <w:b/>
          <w:spacing w:val="0"/>
          <w:sz w:val="22"/>
          <w:szCs w:val="24"/>
          <w:rtl/>
        </w:rPr>
        <w:t>עודה</w:t>
      </w:r>
      <w:r w:rsidRPr="00C60EFB">
        <w:rPr>
          <w:rtl/>
        </w:rPr>
        <w:t xml:space="preserve">); </w:t>
      </w:r>
      <w:r w:rsidRPr="00C60EFB">
        <w:rPr>
          <w:rFonts w:hint="eastAsia"/>
          <w:rtl/>
        </w:rPr>
        <w:t>רע</w:t>
      </w:r>
      <w:r w:rsidRPr="00C60EFB">
        <w:rPr>
          <w:rtl/>
        </w:rPr>
        <w:t>"</w:t>
      </w:r>
      <w:r w:rsidRPr="00C60EFB">
        <w:rPr>
          <w:rFonts w:hint="eastAsia"/>
          <w:rtl/>
        </w:rPr>
        <w:t>א</w:t>
      </w:r>
      <w:r w:rsidRPr="00C60EFB">
        <w:rPr>
          <w:rtl/>
        </w:rPr>
        <w:t xml:space="preserve"> 3866/07 </w:t>
      </w:r>
      <w:r w:rsidRPr="00C60EFB">
        <w:rPr>
          <w:rFonts w:ascii="Century" w:hAnsi="Century" w:cs="Miriam" w:hint="eastAsia"/>
          <w:b/>
          <w:spacing w:val="0"/>
          <w:sz w:val="22"/>
          <w:szCs w:val="24"/>
          <w:rtl/>
        </w:rPr>
        <w:t>מדינת</w:t>
      </w:r>
      <w:r w:rsidRPr="00C60EFB">
        <w:rPr>
          <w:rFonts w:ascii="Century" w:hAnsi="Century" w:cs="Miriam"/>
          <w:b/>
          <w:spacing w:val="0"/>
          <w:sz w:val="22"/>
          <w:szCs w:val="24"/>
          <w:rtl/>
        </w:rPr>
        <w:t xml:space="preserve"> </w:t>
      </w:r>
      <w:r w:rsidRPr="00C60EFB">
        <w:rPr>
          <w:rFonts w:ascii="Century" w:hAnsi="Century" w:cs="Miriam" w:hint="eastAsia"/>
          <w:b/>
          <w:spacing w:val="0"/>
          <w:sz w:val="22"/>
          <w:szCs w:val="24"/>
          <w:rtl/>
        </w:rPr>
        <w:t>ישראל</w:t>
      </w:r>
      <w:r w:rsidRPr="00C60EFB">
        <w:rPr>
          <w:rFonts w:ascii="Century" w:hAnsi="Century" w:cs="Miriam"/>
          <w:b/>
          <w:spacing w:val="0"/>
          <w:sz w:val="22"/>
          <w:szCs w:val="24"/>
          <w:rtl/>
        </w:rPr>
        <w:t xml:space="preserve"> </w:t>
      </w:r>
      <w:r w:rsidRPr="00C60EFB">
        <w:rPr>
          <w:rFonts w:ascii="Century" w:hAnsi="Century" w:cs="Miriam" w:hint="eastAsia"/>
          <w:b/>
          <w:spacing w:val="0"/>
          <w:sz w:val="22"/>
          <w:szCs w:val="24"/>
          <w:rtl/>
        </w:rPr>
        <w:t>נ</w:t>
      </w:r>
      <w:r w:rsidRPr="00C60EFB">
        <w:rPr>
          <w:rFonts w:ascii="Century" w:hAnsi="Century" w:cs="Miriam"/>
          <w:b/>
          <w:spacing w:val="0"/>
          <w:sz w:val="22"/>
          <w:szCs w:val="24"/>
          <w:rtl/>
        </w:rPr>
        <w:t xml:space="preserve">' </w:t>
      </w:r>
      <w:r w:rsidRPr="00C60EFB">
        <w:rPr>
          <w:rFonts w:ascii="Century" w:hAnsi="Century" w:cs="Miriam" w:hint="eastAsia"/>
          <w:b/>
          <w:spacing w:val="0"/>
          <w:sz w:val="22"/>
          <w:szCs w:val="24"/>
          <w:rtl/>
        </w:rPr>
        <w:t>אלמקוסי</w:t>
      </w:r>
      <w:r w:rsidRPr="00C60EFB">
        <w:rPr>
          <w:rtl/>
        </w:rPr>
        <w:t xml:space="preserve">, </w:t>
      </w:r>
      <w:r w:rsidRPr="00C60EFB">
        <w:rPr>
          <w:rFonts w:hint="eastAsia"/>
          <w:rtl/>
        </w:rPr>
        <w:t>פסקה</w:t>
      </w:r>
      <w:r w:rsidRPr="00C60EFB">
        <w:rPr>
          <w:rtl/>
        </w:rPr>
        <w:t xml:space="preserve"> 15 (21.3.2012)</w:t>
      </w:r>
      <w:r w:rsidR="003A7865">
        <w:rPr>
          <w:rFonts w:hint="cs"/>
          <w:rtl/>
        </w:rPr>
        <w:t xml:space="preserve"> (להלן: </w:t>
      </w:r>
      <w:r w:rsidR="003A7865" w:rsidRPr="000D6DCA">
        <w:rPr>
          <w:rFonts w:ascii="Century" w:hAnsi="Century" w:cs="Miriam" w:hint="cs"/>
          <w:b/>
          <w:spacing w:val="0"/>
          <w:sz w:val="22"/>
          <w:szCs w:val="24"/>
          <w:rtl/>
        </w:rPr>
        <w:t>עניין אלמקוסי</w:t>
      </w:r>
      <w:r w:rsidR="003A7865">
        <w:rPr>
          <w:rFonts w:hint="cs"/>
          <w:rtl/>
        </w:rPr>
        <w:t>)</w:t>
      </w:r>
      <w:r w:rsidRPr="00C60EFB">
        <w:rPr>
          <w:rtl/>
        </w:rPr>
        <w:t xml:space="preserve">; </w:t>
      </w:r>
      <w:r w:rsidRPr="00C60EFB">
        <w:rPr>
          <w:rFonts w:hint="eastAsia"/>
          <w:rtl/>
        </w:rPr>
        <w:t>ע</w:t>
      </w:r>
      <w:r w:rsidRPr="00C60EFB">
        <w:rPr>
          <w:rtl/>
        </w:rPr>
        <w:t>"</w:t>
      </w:r>
      <w:r w:rsidRPr="00C60EFB">
        <w:rPr>
          <w:rFonts w:hint="eastAsia"/>
          <w:rtl/>
        </w:rPr>
        <w:t>א</w:t>
      </w:r>
      <w:r w:rsidRPr="00C60EFB">
        <w:rPr>
          <w:rtl/>
        </w:rPr>
        <w:t xml:space="preserve"> 1459/11 </w:t>
      </w:r>
      <w:r w:rsidRPr="00C60EFB">
        <w:rPr>
          <w:rFonts w:ascii="Century" w:hAnsi="Century" w:cs="Miriam" w:hint="eastAsia"/>
          <w:b/>
          <w:spacing w:val="0"/>
          <w:sz w:val="22"/>
          <w:szCs w:val="24"/>
          <w:rtl/>
        </w:rPr>
        <w:t>חרדאן</w:t>
      </w:r>
      <w:r w:rsidRPr="00C60EFB">
        <w:rPr>
          <w:rFonts w:ascii="Century" w:hAnsi="Century" w:cs="Miriam"/>
          <w:b/>
          <w:spacing w:val="0"/>
          <w:sz w:val="22"/>
          <w:szCs w:val="24"/>
          <w:rtl/>
        </w:rPr>
        <w:t xml:space="preserve"> </w:t>
      </w:r>
      <w:r w:rsidRPr="00C60EFB">
        <w:rPr>
          <w:rFonts w:ascii="Century" w:hAnsi="Century" w:cs="Miriam" w:hint="eastAsia"/>
          <w:b/>
          <w:spacing w:val="0"/>
          <w:sz w:val="22"/>
          <w:szCs w:val="24"/>
          <w:rtl/>
        </w:rPr>
        <w:t>נ</w:t>
      </w:r>
      <w:r w:rsidRPr="00C60EFB">
        <w:rPr>
          <w:rFonts w:ascii="Century" w:hAnsi="Century" w:cs="Miriam"/>
          <w:b/>
          <w:spacing w:val="0"/>
          <w:sz w:val="22"/>
          <w:szCs w:val="24"/>
          <w:rtl/>
        </w:rPr>
        <w:t xml:space="preserve">' </w:t>
      </w:r>
      <w:r w:rsidRPr="00C60EFB">
        <w:rPr>
          <w:rFonts w:ascii="Century" w:hAnsi="Century" w:cs="Miriam" w:hint="eastAsia"/>
          <w:b/>
          <w:spacing w:val="0"/>
          <w:sz w:val="22"/>
          <w:szCs w:val="24"/>
          <w:rtl/>
        </w:rPr>
        <w:t>מדינת</w:t>
      </w:r>
      <w:r w:rsidRPr="00C60EFB">
        <w:rPr>
          <w:rFonts w:ascii="Century" w:hAnsi="Century" w:cs="Miriam"/>
          <w:b/>
          <w:spacing w:val="0"/>
          <w:sz w:val="22"/>
          <w:szCs w:val="24"/>
          <w:rtl/>
        </w:rPr>
        <w:t xml:space="preserve"> </w:t>
      </w:r>
      <w:r w:rsidRPr="00C60EFB">
        <w:rPr>
          <w:rFonts w:ascii="Century" w:hAnsi="Century" w:cs="Miriam" w:hint="eastAsia"/>
          <w:b/>
          <w:spacing w:val="0"/>
          <w:sz w:val="22"/>
          <w:szCs w:val="24"/>
          <w:rtl/>
        </w:rPr>
        <w:t>ישראל</w:t>
      </w:r>
      <w:r w:rsidRPr="00C60EFB">
        <w:rPr>
          <w:rFonts w:ascii="Century" w:hAnsi="Century" w:cs="Miriam"/>
          <w:b/>
          <w:spacing w:val="0"/>
          <w:sz w:val="22"/>
          <w:szCs w:val="24"/>
          <w:rtl/>
        </w:rPr>
        <w:t xml:space="preserve"> </w:t>
      </w:r>
      <w:r w:rsidRPr="00C60EFB">
        <w:rPr>
          <w:rFonts w:ascii="Century" w:hAnsi="Century"/>
          <w:sz w:val="22"/>
          <w:rtl/>
        </w:rPr>
        <w:t>–</w:t>
      </w:r>
      <w:r w:rsidRPr="00C60EFB">
        <w:rPr>
          <w:rFonts w:ascii="Century" w:hAnsi="Century" w:cs="Miriam"/>
          <w:b/>
          <w:spacing w:val="0"/>
          <w:sz w:val="22"/>
          <w:szCs w:val="24"/>
          <w:rtl/>
        </w:rPr>
        <w:t xml:space="preserve"> </w:t>
      </w:r>
      <w:r w:rsidRPr="00C60EFB">
        <w:rPr>
          <w:rFonts w:ascii="Century" w:hAnsi="Century" w:cs="Miriam" w:hint="eastAsia"/>
          <w:b/>
          <w:spacing w:val="0"/>
          <w:sz w:val="22"/>
          <w:szCs w:val="24"/>
          <w:rtl/>
        </w:rPr>
        <w:t>משרד</w:t>
      </w:r>
      <w:r w:rsidRPr="00C60EFB">
        <w:rPr>
          <w:rFonts w:ascii="Century" w:hAnsi="Century" w:cs="Miriam"/>
          <w:b/>
          <w:spacing w:val="0"/>
          <w:sz w:val="22"/>
          <w:szCs w:val="24"/>
          <w:rtl/>
        </w:rPr>
        <w:t xml:space="preserve"> </w:t>
      </w:r>
      <w:r w:rsidRPr="00C60EFB">
        <w:rPr>
          <w:rFonts w:ascii="Century" w:hAnsi="Century" w:cs="Miriam" w:hint="eastAsia"/>
          <w:b/>
          <w:spacing w:val="0"/>
          <w:sz w:val="22"/>
          <w:szCs w:val="24"/>
          <w:rtl/>
        </w:rPr>
        <w:t>הביטחון</w:t>
      </w:r>
      <w:r w:rsidRPr="00C60EFB">
        <w:rPr>
          <w:rtl/>
        </w:rPr>
        <w:t xml:space="preserve">, </w:t>
      </w:r>
      <w:r w:rsidRPr="00C60EFB">
        <w:rPr>
          <w:rFonts w:hint="eastAsia"/>
          <w:rtl/>
        </w:rPr>
        <w:t>פסקה</w:t>
      </w:r>
      <w:r w:rsidRPr="00C60EFB">
        <w:rPr>
          <w:rtl/>
        </w:rPr>
        <w:t xml:space="preserve"> 14 (16.6.2013) (</w:t>
      </w:r>
      <w:r w:rsidRPr="00C60EFB">
        <w:rPr>
          <w:rFonts w:hint="eastAsia"/>
          <w:rtl/>
        </w:rPr>
        <w:t>להלן</w:t>
      </w:r>
      <w:r w:rsidRPr="00C60EFB">
        <w:rPr>
          <w:rtl/>
        </w:rPr>
        <w:t xml:space="preserve">: </w:t>
      </w:r>
      <w:r w:rsidRPr="00C60EFB">
        <w:rPr>
          <w:rFonts w:ascii="Century" w:hAnsi="Century" w:cs="Miriam" w:hint="eastAsia"/>
          <w:b/>
          <w:spacing w:val="0"/>
          <w:sz w:val="22"/>
          <w:szCs w:val="24"/>
          <w:rtl/>
        </w:rPr>
        <w:t>עניין</w:t>
      </w:r>
      <w:r w:rsidRPr="00C60EFB">
        <w:rPr>
          <w:rFonts w:ascii="Century" w:hAnsi="Century" w:cs="Miriam"/>
          <w:b/>
          <w:spacing w:val="0"/>
          <w:sz w:val="22"/>
          <w:szCs w:val="24"/>
          <w:rtl/>
        </w:rPr>
        <w:t xml:space="preserve"> </w:t>
      </w:r>
      <w:r w:rsidRPr="00C60EFB">
        <w:rPr>
          <w:rFonts w:ascii="Century" w:hAnsi="Century" w:cs="Miriam" w:hint="eastAsia"/>
          <w:b/>
          <w:spacing w:val="0"/>
          <w:sz w:val="22"/>
          <w:szCs w:val="24"/>
          <w:rtl/>
        </w:rPr>
        <w:t>חרדאן</w:t>
      </w:r>
      <w:r w:rsidRPr="00C60EFB">
        <w:rPr>
          <w:rtl/>
        </w:rPr>
        <w:t>)).</w:t>
      </w:r>
      <w:r w:rsidRPr="00C60EFB">
        <w:rPr>
          <w:rFonts w:hint="eastAsia"/>
          <w:rtl/>
        </w:rPr>
        <w:t xml:space="preserve"> תפיסה</w:t>
      </w:r>
      <w:r w:rsidRPr="00C60EFB">
        <w:rPr>
          <w:rtl/>
        </w:rPr>
        <w:t xml:space="preserve"> </w:t>
      </w:r>
      <w:r w:rsidRPr="00C60EFB">
        <w:rPr>
          <w:rFonts w:hint="eastAsia"/>
          <w:rtl/>
        </w:rPr>
        <w:t>זו</w:t>
      </w:r>
      <w:r w:rsidRPr="00C60EFB">
        <w:rPr>
          <w:rtl/>
        </w:rPr>
        <w:t xml:space="preserve"> </w:t>
      </w:r>
      <w:r w:rsidRPr="00C60EFB">
        <w:rPr>
          <w:rFonts w:hint="eastAsia"/>
          <w:rtl/>
        </w:rPr>
        <w:t>איננה</w:t>
      </w:r>
      <w:r w:rsidRPr="00C60EFB">
        <w:rPr>
          <w:rtl/>
        </w:rPr>
        <w:t xml:space="preserve"> </w:t>
      </w:r>
      <w:r w:rsidRPr="00C60EFB">
        <w:rPr>
          <w:rFonts w:hint="eastAsia"/>
          <w:rtl/>
        </w:rPr>
        <w:t>יוצאת</w:t>
      </w:r>
      <w:r w:rsidRPr="00C60EFB">
        <w:rPr>
          <w:rtl/>
        </w:rPr>
        <w:t xml:space="preserve"> </w:t>
      </w:r>
      <w:r w:rsidRPr="00C60EFB">
        <w:rPr>
          <w:rFonts w:hint="eastAsia"/>
          <w:rtl/>
        </w:rPr>
        <w:t>דופן</w:t>
      </w:r>
      <w:r w:rsidRPr="00C60EFB">
        <w:rPr>
          <w:rtl/>
        </w:rPr>
        <w:t xml:space="preserve"> </w:t>
      </w:r>
      <w:r w:rsidRPr="00C60EFB">
        <w:rPr>
          <w:rFonts w:hint="eastAsia"/>
          <w:rtl/>
        </w:rPr>
        <w:t>ביחס</w:t>
      </w:r>
      <w:r w:rsidRPr="00C60EFB">
        <w:rPr>
          <w:rtl/>
        </w:rPr>
        <w:t xml:space="preserve"> </w:t>
      </w:r>
      <w:r w:rsidRPr="00C60EFB">
        <w:rPr>
          <w:rFonts w:hint="eastAsia"/>
          <w:rtl/>
        </w:rPr>
        <w:t>לישראל</w:t>
      </w:r>
      <w:r w:rsidRPr="00C60EFB">
        <w:rPr>
          <w:rtl/>
        </w:rPr>
        <w:t xml:space="preserve">, </w:t>
      </w:r>
      <w:r w:rsidRPr="00C60EFB">
        <w:rPr>
          <w:rFonts w:hint="eastAsia"/>
          <w:rtl/>
        </w:rPr>
        <w:t>והיא</w:t>
      </w:r>
      <w:r w:rsidRPr="00C60EFB">
        <w:rPr>
          <w:rtl/>
        </w:rPr>
        <w:t xml:space="preserve"> </w:t>
      </w:r>
      <w:r w:rsidRPr="00C60EFB">
        <w:rPr>
          <w:rFonts w:hint="eastAsia"/>
          <w:rtl/>
        </w:rPr>
        <w:t>מקובלת</w:t>
      </w:r>
      <w:r w:rsidRPr="00C60EFB">
        <w:rPr>
          <w:rtl/>
        </w:rPr>
        <w:t xml:space="preserve">, </w:t>
      </w:r>
      <w:r w:rsidRPr="00C60EFB">
        <w:rPr>
          <w:rFonts w:hint="eastAsia"/>
          <w:rtl/>
        </w:rPr>
        <w:t>לעיתים</w:t>
      </w:r>
      <w:r w:rsidRPr="00C60EFB">
        <w:rPr>
          <w:rtl/>
        </w:rPr>
        <w:t xml:space="preserve"> </w:t>
      </w:r>
      <w:r w:rsidRPr="00C60EFB">
        <w:rPr>
          <w:rFonts w:hint="eastAsia"/>
          <w:rtl/>
        </w:rPr>
        <w:t>אף</w:t>
      </w:r>
      <w:r w:rsidRPr="00C60EFB">
        <w:rPr>
          <w:rtl/>
        </w:rPr>
        <w:t xml:space="preserve"> </w:t>
      </w:r>
      <w:r w:rsidRPr="00C60EFB">
        <w:rPr>
          <w:rFonts w:hint="eastAsia"/>
          <w:rtl/>
        </w:rPr>
        <w:t>באופן</w:t>
      </w:r>
      <w:r w:rsidRPr="00C60EFB">
        <w:rPr>
          <w:rtl/>
        </w:rPr>
        <w:t xml:space="preserve"> </w:t>
      </w:r>
      <w:r w:rsidRPr="00C60EFB">
        <w:rPr>
          <w:rFonts w:hint="eastAsia"/>
          <w:rtl/>
        </w:rPr>
        <w:t>רחב</w:t>
      </w:r>
      <w:r w:rsidRPr="00C60EFB">
        <w:rPr>
          <w:rtl/>
        </w:rPr>
        <w:t xml:space="preserve"> </w:t>
      </w:r>
      <w:r w:rsidRPr="00C60EFB">
        <w:rPr>
          <w:rFonts w:hint="eastAsia"/>
          <w:rtl/>
        </w:rPr>
        <w:t>יותר</w:t>
      </w:r>
      <w:r w:rsidRPr="00C60EFB">
        <w:rPr>
          <w:rtl/>
        </w:rPr>
        <w:t xml:space="preserve">, </w:t>
      </w:r>
      <w:r w:rsidRPr="00C60EFB">
        <w:rPr>
          <w:rFonts w:hint="eastAsia"/>
          <w:rtl/>
        </w:rPr>
        <w:t>במדינות</w:t>
      </w:r>
      <w:r w:rsidRPr="00C60EFB">
        <w:rPr>
          <w:rtl/>
        </w:rPr>
        <w:t xml:space="preserve"> </w:t>
      </w:r>
      <w:r w:rsidRPr="00C60EFB">
        <w:rPr>
          <w:rFonts w:hint="eastAsia"/>
          <w:rtl/>
        </w:rPr>
        <w:t>הים</w:t>
      </w:r>
      <w:r w:rsidRPr="00C60EFB">
        <w:rPr>
          <w:rtl/>
        </w:rPr>
        <w:t xml:space="preserve"> (</w:t>
      </w:r>
      <w:r w:rsidRPr="00C60EFB">
        <w:rPr>
          <w:rFonts w:hint="eastAsia"/>
          <w:rtl/>
        </w:rPr>
        <w:t>אסף</w:t>
      </w:r>
      <w:r w:rsidRPr="00C60EFB">
        <w:rPr>
          <w:rtl/>
        </w:rPr>
        <w:t xml:space="preserve"> </w:t>
      </w:r>
      <w:r w:rsidRPr="00C60EFB">
        <w:rPr>
          <w:rFonts w:hint="eastAsia"/>
          <w:rtl/>
        </w:rPr>
        <w:t>יעקב</w:t>
      </w:r>
      <w:r w:rsidRPr="00C60EFB">
        <w:rPr>
          <w:rtl/>
        </w:rPr>
        <w:t xml:space="preserve">, </w:t>
      </w:r>
      <w:r w:rsidRPr="00C60EFB">
        <w:rPr>
          <w:rFonts w:hint="eastAsia"/>
          <w:rtl/>
        </w:rPr>
        <w:t>חסינות</w:t>
      </w:r>
      <w:r w:rsidRPr="00C60EFB">
        <w:rPr>
          <w:rtl/>
        </w:rPr>
        <w:t xml:space="preserve"> </w:t>
      </w:r>
      <w:r w:rsidRPr="00C60EFB">
        <w:rPr>
          <w:rFonts w:hint="eastAsia"/>
          <w:rtl/>
        </w:rPr>
        <w:t>תחת</w:t>
      </w:r>
      <w:r w:rsidRPr="00C60EFB">
        <w:rPr>
          <w:rtl/>
        </w:rPr>
        <w:t xml:space="preserve"> </w:t>
      </w:r>
      <w:r w:rsidRPr="00C60EFB">
        <w:rPr>
          <w:rFonts w:hint="eastAsia"/>
          <w:rtl/>
        </w:rPr>
        <w:t>אש</w:t>
      </w:r>
      <w:r w:rsidRPr="00C60EFB">
        <w:rPr>
          <w:rtl/>
        </w:rPr>
        <w:t xml:space="preserve">, </w:t>
      </w:r>
      <w:r w:rsidRPr="00C60EFB">
        <w:rPr>
          <w:rFonts w:ascii="Century" w:hAnsi="Century" w:cs="Miriam" w:hint="eastAsia"/>
          <w:b/>
          <w:spacing w:val="0"/>
          <w:sz w:val="22"/>
          <w:szCs w:val="24"/>
          <w:rtl/>
        </w:rPr>
        <w:t>משפטים</w:t>
      </w:r>
      <w:r w:rsidRPr="00C60EFB">
        <w:rPr>
          <w:rFonts w:ascii="Century" w:hAnsi="Century" w:cs="Miriam"/>
          <w:b/>
          <w:spacing w:val="0"/>
          <w:sz w:val="22"/>
          <w:szCs w:val="24"/>
          <w:rtl/>
        </w:rPr>
        <w:t xml:space="preserve"> </w:t>
      </w:r>
      <w:r w:rsidRPr="00C60EFB">
        <w:rPr>
          <w:rFonts w:ascii="Century" w:hAnsi="Century" w:cs="Miriam" w:hint="eastAsia"/>
          <w:b/>
          <w:spacing w:val="0"/>
          <w:sz w:val="22"/>
          <w:szCs w:val="24"/>
          <w:rtl/>
        </w:rPr>
        <w:t>לג</w:t>
      </w:r>
      <w:r w:rsidRPr="00C60EFB">
        <w:rPr>
          <w:rFonts w:ascii="Century" w:hAnsi="Century" w:cs="Miriam"/>
          <w:b/>
          <w:spacing w:val="0"/>
          <w:sz w:val="22"/>
          <w:szCs w:val="24"/>
          <w:rtl/>
        </w:rPr>
        <w:t>(1)</w:t>
      </w:r>
      <w:r w:rsidRPr="00C60EFB">
        <w:rPr>
          <w:rtl/>
        </w:rPr>
        <w:t>, 107 115 – 125 (</w:t>
      </w:r>
      <w:r w:rsidRPr="00C60EFB">
        <w:rPr>
          <w:rFonts w:hint="eastAsia"/>
          <w:rtl/>
        </w:rPr>
        <w:t>תשס</w:t>
      </w:r>
      <w:r w:rsidRPr="00C60EFB">
        <w:rPr>
          <w:rtl/>
        </w:rPr>
        <w:t>"</w:t>
      </w:r>
      <w:r w:rsidRPr="00C60EFB">
        <w:rPr>
          <w:rFonts w:hint="eastAsia"/>
          <w:rtl/>
        </w:rPr>
        <w:t>ג</w:t>
      </w:r>
      <w:r w:rsidRPr="00C60EFB">
        <w:rPr>
          <w:rtl/>
        </w:rPr>
        <w:t>) (</w:t>
      </w:r>
      <w:r w:rsidRPr="00C60EFB">
        <w:rPr>
          <w:rFonts w:hint="eastAsia"/>
          <w:rtl/>
        </w:rPr>
        <w:t>להלן</w:t>
      </w:r>
      <w:r w:rsidRPr="00C60EFB">
        <w:rPr>
          <w:rtl/>
        </w:rPr>
        <w:t xml:space="preserve">: </w:t>
      </w:r>
      <w:r w:rsidRPr="00C60EFB">
        <w:rPr>
          <w:rFonts w:ascii="Century" w:hAnsi="Century" w:cs="Miriam" w:hint="eastAsia"/>
          <w:b/>
          <w:spacing w:val="0"/>
          <w:sz w:val="22"/>
          <w:szCs w:val="24"/>
          <w:rtl/>
        </w:rPr>
        <w:t>יעקב</w:t>
      </w:r>
      <w:r w:rsidRPr="00C60EFB">
        <w:rPr>
          <w:rFonts w:ascii="Century" w:hAnsi="Century" w:cs="Miriam"/>
          <w:b/>
          <w:spacing w:val="0"/>
          <w:sz w:val="22"/>
          <w:szCs w:val="24"/>
          <w:rtl/>
        </w:rPr>
        <w:t xml:space="preserve">, </w:t>
      </w:r>
      <w:r w:rsidRPr="00C60EFB">
        <w:rPr>
          <w:rFonts w:ascii="Century" w:hAnsi="Century" w:cs="Miriam" w:hint="eastAsia"/>
          <w:b/>
          <w:spacing w:val="0"/>
          <w:sz w:val="22"/>
          <w:szCs w:val="24"/>
          <w:rtl/>
        </w:rPr>
        <w:t>חסינות</w:t>
      </w:r>
      <w:r w:rsidRPr="00C60EFB">
        <w:rPr>
          <w:rFonts w:ascii="Century" w:hAnsi="Century" w:cs="Miriam"/>
          <w:b/>
          <w:spacing w:val="0"/>
          <w:sz w:val="22"/>
          <w:szCs w:val="24"/>
          <w:rtl/>
        </w:rPr>
        <w:t xml:space="preserve"> </w:t>
      </w:r>
      <w:r w:rsidRPr="00C60EFB">
        <w:rPr>
          <w:rFonts w:ascii="Century" w:hAnsi="Century" w:cs="Miriam" w:hint="eastAsia"/>
          <w:b/>
          <w:spacing w:val="0"/>
          <w:sz w:val="22"/>
          <w:szCs w:val="24"/>
          <w:rtl/>
        </w:rPr>
        <w:t>תחת</w:t>
      </w:r>
      <w:r w:rsidRPr="00C60EFB">
        <w:rPr>
          <w:rFonts w:ascii="Century" w:hAnsi="Century" w:cs="Miriam"/>
          <w:b/>
          <w:spacing w:val="0"/>
          <w:sz w:val="22"/>
          <w:szCs w:val="24"/>
          <w:rtl/>
        </w:rPr>
        <w:t xml:space="preserve"> </w:t>
      </w:r>
      <w:r w:rsidRPr="00C60EFB">
        <w:rPr>
          <w:rFonts w:ascii="Century" w:hAnsi="Century" w:cs="Miriam" w:hint="eastAsia"/>
          <w:b/>
          <w:spacing w:val="0"/>
          <w:sz w:val="22"/>
          <w:szCs w:val="24"/>
          <w:rtl/>
        </w:rPr>
        <w:t>אש</w:t>
      </w:r>
      <w:r w:rsidRPr="00C60EFB">
        <w:rPr>
          <w:rtl/>
        </w:rPr>
        <w:t>)).</w:t>
      </w:r>
    </w:p>
    <w:p w:rsidR="00D512D4" w:rsidRDefault="00D512D4" w:rsidP="000B6AE3">
      <w:pPr>
        <w:pStyle w:val="Ruller41"/>
        <w:spacing w:line="240" w:lineRule="auto"/>
        <w:rPr>
          <w:rtl/>
        </w:rPr>
      </w:pPr>
    </w:p>
    <w:p w:rsidR="00D512D4" w:rsidRDefault="00D512D4" w:rsidP="00E74CCB">
      <w:pPr>
        <w:pStyle w:val="Ruller4"/>
        <w:rPr>
          <w:rtl/>
        </w:rPr>
      </w:pPr>
      <w:r>
        <w:rPr>
          <w:rFonts w:hint="cs"/>
          <w:rtl/>
        </w:rPr>
        <w:t>בעקבות האינתיפאדה הראשונה, שפרצה בשלהי שנות ה-80, הוגשו נגד המדינה מאות תביעות על-ידי תושבי יהודה, שומרון וחבל עזה, בגין נזקים ש</w:t>
      </w:r>
      <w:r w:rsidR="00E74CCB">
        <w:rPr>
          <w:rFonts w:hint="cs"/>
          <w:rtl/>
        </w:rPr>
        <w:t>טענו</w:t>
      </w:r>
      <w:r>
        <w:rPr>
          <w:rFonts w:hint="cs"/>
          <w:rtl/>
        </w:rPr>
        <w:t xml:space="preserve"> כי נגרמו להם עקב פעולות של כוחות הביטחון. על רקע האמור, נדרש בית משפט זה, בפסק הדין המנחה שניתן בעניין </w:t>
      </w:r>
      <w:r w:rsidRPr="00DF027A">
        <w:rPr>
          <w:rFonts w:ascii="Century" w:hAnsi="Century" w:cs="Miriam" w:hint="cs"/>
          <w:b/>
          <w:spacing w:val="0"/>
          <w:sz w:val="22"/>
          <w:szCs w:val="24"/>
          <w:rtl/>
        </w:rPr>
        <w:t>בני עודה</w:t>
      </w:r>
      <w:r>
        <w:rPr>
          <w:rFonts w:ascii="Century" w:hAnsi="Century" w:cs="Miriam" w:hint="cs"/>
          <w:b/>
          <w:spacing w:val="0"/>
          <w:sz w:val="22"/>
          <w:szCs w:val="24"/>
          <w:rtl/>
        </w:rPr>
        <w:t>,</w:t>
      </w:r>
      <w:r>
        <w:rPr>
          <w:rFonts w:hint="cs"/>
          <w:rtl/>
        </w:rPr>
        <w:t xml:space="preserve"> לפרשנות הדִיבֵּר </w:t>
      </w:r>
      <w:r w:rsidRPr="008904E1">
        <w:rPr>
          <w:rFonts w:ascii="Century" w:hAnsi="Century" w:cs="Miriam"/>
          <w:b/>
          <w:spacing w:val="0"/>
          <w:sz w:val="22"/>
          <w:szCs w:val="24"/>
          <w:rtl/>
        </w:rPr>
        <w:t>"</w:t>
      </w:r>
      <w:r w:rsidRPr="008904E1">
        <w:rPr>
          <w:rFonts w:ascii="Century" w:hAnsi="Century" w:cs="Miriam" w:hint="eastAsia"/>
          <w:b/>
          <w:spacing w:val="0"/>
          <w:sz w:val="22"/>
          <w:szCs w:val="24"/>
          <w:rtl/>
        </w:rPr>
        <w:t>פעולה</w:t>
      </w:r>
      <w:r w:rsidRPr="008904E1">
        <w:rPr>
          <w:rFonts w:ascii="Century" w:hAnsi="Century" w:cs="Miriam"/>
          <w:b/>
          <w:spacing w:val="0"/>
          <w:sz w:val="22"/>
          <w:szCs w:val="24"/>
          <w:rtl/>
        </w:rPr>
        <w:t xml:space="preserve"> </w:t>
      </w:r>
      <w:r w:rsidRPr="008904E1">
        <w:rPr>
          <w:rFonts w:ascii="Century" w:hAnsi="Century" w:cs="Miriam" w:hint="eastAsia"/>
          <w:b/>
          <w:spacing w:val="0"/>
          <w:sz w:val="22"/>
          <w:szCs w:val="24"/>
          <w:rtl/>
        </w:rPr>
        <w:t>מלחמתית</w:t>
      </w:r>
      <w:r w:rsidRPr="008904E1">
        <w:rPr>
          <w:rFonts w:ascii="Century" w:hAnsi="Century" w:cs="Miriam"/>
          <w:b/>
          <w:spacing w:val="0"/>
          <w:sz w:val="22"/>
          <w:szCs w:val="24"/>
          <w:rtl/>
        </w:rPr>
        <w:t>"</w:t>
      </w:r>
      <w:r>
        <w:rPr>
          <w:rFonts w:hint="cs"/>
          <w:rtl/>
        </w:rPr>
        <w:t>, שעד אותה שעה לא זכה להגדרה בחוק. נקבע שם, כי זיהוי פעולה כ'פעולה מלחמתית', יב</w:t>
      </w:r>
      <w:r w:rsidR="00E74CCB">
        <w:rPr>
          <w:rFonts w:hint="cs"/>
          <w:rtl/>
        </w:rPr>
        <w:t>ּ</w:t>
      </w:r>
      <w:r>
        <w:rPr>
          <w:rFonts w:hint="cs"/>
          <w:rtl/>
        </w:rPr>
        <w:t xml:space="preserve">חֵן בהתאם לאופייה, מטרותיה, ולנסיבות שאפפו את ביצועה. בעניין </w:t>
      </w:r>
      <w:r w:rsidRPr="00426626">
        <w:rPr>
          <w:rFonts w:ascii="Century" w:hAnsi="Century" w:cs="Miriam" w:hint="cs"/>
          <w:b/>
          <w:spacing w:val="0"/>
          <w:sz w:val="22"/>
          <w:szCs w:val="24"/>
          <w:rtl/>
        </w:rPr>
        <w:t>בני עודה</w:t>
      </w:r>
      <w:r>
        <w:rPr>
          <w:rFonts w:hint="cs"/>
          <w:rtl/>
        </w:rPr>
        <w:t xml:space="preserve">, חודדה לראשונה ההבחנה בין פעולה מלחמתית לפעולה שיטורית, בכל הקשור לחסינות המדינה. לימים, ברבות השנים, נוצק בפסיקה תוכן נוסף להבחנה האמורה (ראו סקירתו של השופט </w:t>
      </w:r>
      <w:r w:rsidRPr="00426626">
        <w:rPr>
          <w:rFonts w:ascii="Century" w:hAnsi="Century" w:cs="Miriam" w:hint="cs"/>
          <w:b/>
          <w:spacing w:val="0"/>
          <w:sz w:val="22"/>
          <w:szCs w:val="24"/>
          <w:rtl/>
        </w:rPr>
        <w:t>י' עמית</w:t>
      </w:r>
      <w:r>
        <w:rPr>
          <w:rFonts w:hint="cs"/>
          <w:rtl/>
        </w:rPr>
        <w:t xml:space="preserve"> בעניין </w:t>
      </w:r>
      <w:r w:rsidRPr="003E3067">
        <w:rPr>
          <w:rFonts w:ascii="Century" w:hAnsi="Century" w:cs="Miriam" w:hint="cs"/>
          <w:b/>
          <w:spacing w:val="0"/>
          <w:sz w:val="22"/>
          <w:szCs w:val="24"/>
          <w:rtl/>
        </w:rPr>
        <w:t>חרדאן</w:t>
      </w:r>
      <w:r>
        <w:rPr>
          <w:rFonts w:hint="cs"/>
          <w:rtl/>
        </w:rPr>
        <w:t xml:space="preserve">; פסקאות 21-13). </w:t>
      </w:r>
    </w:p>
    <w:p w:rsidR="00D512D4" w:rsidRPr="002F3F51" w:rsidRDefault="00D512D4" w:rsidP="000B6AE3">
      <w:pPr>
        <w:pStyle w:val="Ruller41"/>
        <w:spacing w:line="240" w:lineRule="auto"/>
      </w:pPr>
    </w:p>
    <w:p w:rsidR="00D512D4" w:rsidRDefault="00D512D4" w:rsidP="00E74CCB">
      <w:pPr>
        <w:pStyle w:val="Ruller4"/>
        <w:rPr>
          <w:rtl/>
        </w:rPr>
      </w:pPr>
      <w:r>
        <w:rPr>
          <w:rFonts w:hint="cs"/>
          <w:rtl/>
        </w:rPr>
        <w:t>בראשית שנות ה-2000, פרצה האינתיפאדה השניה. זו התאפיינה בלחימה באזורים אורבניים וצפופים, בשטחי יהודה, שומרון וחבל עזה. בימים ההם, העימותים בין כוחות הביטחון לתושבי איו"ש הגיעו ל</w:t>
      </w:r>
      <w:r w:rsidRPr="005E329C">
        <w:rPr>
          <w:rFonts w:ascii="Century" w:hAnsi="Century" w:cs="Miriam" w:hint="cs"/>
          <w:b/>
          <w:spacing w:val="0"/>
          <w:sz w:val="22"/>
          <w:szCs w:val="24"/>
          <w:rtl/>
        </w:rPr>
        <w:t>"שיאים חדשים של אלימות"</w:t>
      </w:r>
      <w:r>
        <w:rPr>
          <w:rFonts w:hint="cs"/>
          <w:rtl/>
        </w:rPr>
        <w:t xml:space="preserve"> (בג"ץ 2056/04 </w:t>
      </w:r>
      <w:r w:rsidRPr="0052668C">
        <w:rPr>
          <w:rFonts w:ascii="Century" w:hAnsi="Century" w:cs="Miriam" w:hint="cs"/>
          <w:b/>
          <w:spacing w:val="0"/>
          <w:sz w:val="22"/>
          <w:szCs w:val="24"/>
          <w:rtl/>
        </w:rPr>
        <w:t>מועצת הכפר בית סוריק נ' ממשלת ישראל</w:t>
      </w:r>
      <w:r>
        <w:rPr>
          <w:rFonts w:hint="cs"/>
          <w:rtl/>
        </w:rPr>
        <w:t>, פ"ד נח(5) 807, 814 (2004)</w:t>
      </w:r>
      <w:r w:rsidR="00AA0084">
        <w:rPr>
          <w:rFonts w:hint="cs"/>
          <w:rtl/>
        </w:rPr>
        <w:t xml:space="preserve"> (להלן: </w:t>
      </w:r>
      <w:r w:rsidR="00AA0084" w:rsidRPr="000D6DCA">
        <w:rPr>
          <w:rFonts w:ascii="Century" w:hAnsi="Century" w:cs="Miriam" w:hint="cs"/>
          <w:b/>
          <w:spacing w:val="0"/>
          <w:sz w:val="22"/>
          <w:szCs w:val="24"/>
          <w:rtl/>
        </w:rPr>
        <w:t>עניין בית סוריק</w:t>
      </w:r>
      <w:r w:rsidR="00AA0084">
        <w:rPr>
          <w:rFonts w:hint="cs"/>
          <w:rtl/>
        </w:rPr>
        <w:t>)</w:t>
      </w:r>
      <w:r>
        <w:rPr>
          <w:rFonts w:hint="cs"/>
          <w:rtl/>
        </w:rPr>
        <w:t xml:space="preserve">). על רקע זה, ובשים לב לפרשנות המצמצמת שניתנה </w:t>
      </w:r>
      <w:r w:rsidR="00E74CCB">
        <w:rPr>
          <w:rFonts w:hint="cs"/>
          <w:rtl/>
        </w:rPr>
        <w:t xml:space="preserve">לדעת המחוקק </w:t>
      </w:r>
      <w:r>
        <w:rPr>
          <w:rFonts w:hint="cs"/>
          <w:rtl/>
        </w:rPr>
        <w:t xml:space="preserve">למונח 'פעולה מלחמתית' בפרשת </w:t>
      </w:r>
      <w:r w:rsidRPr="002F3F51">
        <w:rPr>
          <w:rFonts w:ascii="Century" w:hAnsi="Century" w:cs="Miriam" w:hint="cs"/>
          <w:b/>
          <w:spacing w:val="0"/>
          <w:sz w:val="22"/>
          <w:szCs w:val="24"/>
          <w:rtl/>
        </w:rPr>
        <w:t>בני עודה</w:t>
      </w:r>
      <w:r>
        <w:rPr>
          <w:rFonts w:hint="cs"/>
          <w:rtl/>
        </w:rPr>
        <w:t xml:space="preserve">, הוּספה לחוק הנזיקים הגדרה מרחיבה יותר של מונח זה: </w:t>
      </w:r>
      <w:r w:rsidRPr="00D26974">
        <w:rPr>
          <w:rFonts w:ascii="Century" w:hAnsi="Century" w:cs="Miriam"/>
          <w:b/>
          <w:spacing w:val="0"/>
          <w:sz w:val="22"/>
          <w:szCs w:val="24"/>
          <w:rtl/>
        </w:rPr>
        <w:t>"</w:t>
      </w:r>
      <w:r w:rsidRPr="00754124">
        <w:rPr>
          <w:rFonts w:ascii="Century" w:hAnsi="Century" w:cs="Miriam"/>
          <w:b/>
          <w:spacing w:val="0"/>
          <w:sz w:val="22"/>
          <w:szCs w:val="24"/>
          <w:rtl/>
        </w:rPr>
        <w:t>'</w:t>
      </w:r>
      <w:r w:rsidRPr="00754124">
        <w:rPr>
          <w:rFonts w:ascii="Century" w:hAnsi="Century" w:cs="Miriam" w:hint="eastAsia"/>
          <w:b/>
          <w:spacing w:val="0"/>
          <w:sz w:val="22"/>
          <w:szCs w:val="24"/>
          <w:rtl/>
        </w:rPr>
        <w:t>פעולה</w:t>
      </w:r>
      <w:r w:rsidRPr="00754124">
        <w:rPr>
          <w:rFonts w:ascii="Century" w:hAnsi="Century" w:cs="Miriam"/>
          <w:b/>
          <w:spacing w:val="0"/>
          <w:sz w:val="22"/>
          <w:szCs w:val="24"/>
          <w:rtl/>
        </w:rPr>
        <w:t xml:space="preserve"> </w:t>
      </w:r>
      <w:r w:rsidRPr="0000227F">
        <w:rPr>
          <w:rFonts w:ascii="Century" w:hAnsi="Century" w:cs="Miriam" w:hint="eastAsia"/>
          <w:b/>
          <w:spacing w:val="0"/>
          <w:sz w:val="22"/>
          <w:szCs w:val="24"/>
          <w:rtl/>
        </w:rPr>
        <w:t>מלחמתית</w:t>
      </w:r>
      <w:r>
        <w:rPr>
          <w:rFonts w:ascii="Century" w:hAnsi="Century" w:cs="Miriam" w:hint="cs"/>
          <w:b/>
          <w:spacing w:val="0"/>
          <w:sz w:val="22"/>
          <w:szCs w:val="24"/>
          <w:rtl/>
        </w:rPr>
        <w:t>'</w:t>
      </w:r>
      <w:r w:rsidRPr="0000227F">
        <w:rPr>
          <w:rFonts w:ascii="Century" w:hAnsi="Century" w:cs="Miriam"/>
          <w:b/>
          <w:spacing w:val="0"/>
          <w:sz w:val="22"/>
          <w:szCs w:val="24"/>
          <w:rtl/>
        </w:rPr>
        <w:t xml:space="preserve"> </w:t>
      </w:r>
      <w:r w:rsidRPr="00720523">
        <w:rPr>
          <w:rFonts w:ascii="Century" w:hAnsi="Century"/>
          <w:sz w:val="22"/>
          <w:rtl/>
        </w:rPr>
        <w:t>–</w:t>
      </w:r>
      <w:r>
        <w:rPr>
          <w:rFonts w:ascii="Century" w:hAnsi="Century" w:cs="Miriam" w:hint="cs"/>
          <w:b/>
          <w:spacing w:val="0"/>
          <w:sz w:val="22"/>
          <w:szCs w:val="24"/>
          <w:rtl/>
        </w:rPr>
        <w:t xml:space="preserve"> </w:t>
      </w:r>
      <w:r w:rsidRPr="0000227F">
        <w:rPr>
          <w:rFonts w:ascii="Century" w:hAnsi="Century" w:cs="Miriam" w:hint="eastAsia"/>
          <w:b/>
          <w:spacing w:val="0"/>
          <w:sz w:val="22"/>
          <w:szCs w:val="24"/>
          <w:rtl/>
        </w:rPr>
        <w:t>לרבות</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כל</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פעולה</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של</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לחימה</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בטרור</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במעשי</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איבה</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או</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בהתקוממות</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וכן</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פעולה</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לשם</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מניעתם</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של</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טרור</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מעשי</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איבה</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או</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התקוממות</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שהיא</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פעולה</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בעלת</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אופי</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לוחמתי</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בהתחשב</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במכלול</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נסיבותיה</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ובכלל</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זה</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במטרת</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הפעולה</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במיקומה</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lastRenderedPageBreak/>
        <w:t>הגאוגרפי</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או</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באיום</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הנשקף</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לכוח</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המבצע</w:t>
      </w:r>
      <w:r w:rsidRPr="0000227F">
        <w:rPr>
          <w:rFonts w:ascii="Century" w:hAnsi="Century" w:cs="Miriam"/>
          <w:b/>
          <w:spacing w:val="0"/>
          <w:sz w:val="22"/>
          <w:szCs w:val="24"/>
          <w:rtl/>
        </w:rPr>
        <w:t xml:space="preserve"> </w:t>
      </w:r>
      <w:r w:rsidRPr="0000227F">
        <w:rPr>
          <w:rFonts w:ascii="Century" w:hAnsi="Century" w:cs="Miriam" w:hint="eastAsia"/>
          <w:b/>
          <w:spacing w:val="0"/>
          <w:sz w:val="22"/>
          <w:szCs w:val="24"/>
          <w:rtl/>
        </w:rPr>
        <w:t>אותה</w:t>
      </w:r>
      <w:r>
        <w:rPr>
          <w:rFonts w:ascii="Century" w:hAnsi="Century" w:cs="Miriam" w:hint="cs"/>
          <w:b/>
          <w:spacing w:val="0"/>
          <w:sz w:val="22"/>
          <w:szCs w:val="24"/>
          <w:rtl/>
        </w:rPr>
        <w:t>"</w:t>
      </w:r>
      <w:r>
        <w:rPr>
          <w:rFonts w:hint="cs"/>
          <w:rtl/>
        </w:rPr>
        <w:t xml:space="preserve"> (</w:t>
      </w:r>
      <w:r w:rsidRPr="0000227F">
        <w:rPr>
          <w:rFonts w:hint="eastAsia"/>
          <w:rtl/>
        </w:rPr>
        <w:t>חוק</w:t>
      </w:r>
      <w:r w:rsidRPr="0000227F">
        <w:rPr>
          <w:rtl/>
        </w:rPr>
        <w:t xml:space="preserve"> </w:t>
      </w:r>
      <w:r w:rsidRPr="0000227F">
        <w:rPr>
          <w:rFonts w:hint="eastAsia"/>
          <w:rtl/>
        </w:rPr>
        <w:t>הנזיקים</w:t>
      </w:r>
      <w:r w:rsidRPr="0000227F">
        <w:rPr>
          <w:rtl/>
        </w:rPr>
        <w:t xml:space="preserve"> </w:t>
      </w:r>
      <w:r w:rsidRPr="0000227F">
        <w:rPr>
          <w:rFonts w:hint="eastAsia"/>
          <w:rtl/>
        </w:rPr>
        <w:t>האזרחיים</w:t>
      </w:r>
      <w:r w:rsidRPr="0000227F">
        <w:rPr>
          <w:rtl/>
        </w:rPr>
        <w:t xml:space="preserve"> (</w:t>
      </w:r>
      <w:r w:rsidRPr="0000227F">
        <w:rPr>
          <w:rFonts w:hint="eastAsia"/>
          <w:rtl/>
        </w:rPr>
        <w:t>אחריות</w:t>
      </w:r>
      <w:r w:rsidRPr="0000227F">
        <w:rPr>
          <w:rtl/>
        </w:rPr>
        <w:t xml:space="preserve"> </w:t>
      </w:r>
      <w:r w:rsidRPr="0000227F">
        <w:rPr>
          <w:rFonts w:hint="eastAsia"/>
          <w:rtl/>
        </w:rPr>
        <w:t>המדינה</w:t>
      </w:r>
      <w:r w:rsidRPr="0000227F">
        <w:rPr>
          <w:rtl/>
        </w:rPr>
        <w:t>) (</w:t>
      </w:r>
      <w:r w:rsidRPr="0000227F">
        <w:rPr>
          <w:rFonts w:hint="eastAsia"/>
          <w:rtl/>
        </w:rPr>
        <w:t>תיקון</w:t>
      </w:r>
      <w:r w:rsidRPr="0000227F">
        <w:rPr>
          <w:rtl/>
        </w:rPr>
        <w:t xml:space="preserve"> </w:t>
      </w:r>
      <w:r w:rsidRPr="0000227F">
        <w:rPr>
          <w:rFonts w:hint="eastAsia"/>
          <w:rtl/>
        </w:rPr>
        <w:t>מס</w:t>
      </w:r>
      <w:r w:rsidRPr="0000227F">
        <w:rPr>
          <w:rtl/>
        </w:rPr>
        <w:t xml:space="preserve">' 4), </w:t>
      </w:r>
      <w:r w:rsidRPr="0000227F">
        <w:rPr>
          <w:rFonts w:hint="eastAsia"/>
          <w:rtl/>
        </w:rPr>
        <w:t>התשס</w:t>
      </w:r>
      <w:r w:rsidRPr="0000227F">
        <w:rPr>
          <w:rtl/>
        </w:rPr>
        <w:t>"</w:t>
      </w:r>
      <w:r w:rsidRPr="0000227F">
        <w:rPr>
          <w:rFonts w:hint="eastAsia"/>
          <w:rtl/>
        </w:rPr>
        <w:t>ב</w:t>
      </w:r>
      <w:r w:rsidRPr="0000227F">
        <w:rPr>
          <w:rtl/>
        </w:rPr>
        <w:t>-2002</w:t>
      </w:r>
      <w:r>
        <w:rPr>
          <w:rFonts w:hint="cs"/>
          <w:rtl/>
        </w:rPr>
        <w:t xml:space="preserve">, מיום 1.8.2002 (להלן: </w:t>
      </w:r>
      <w:r w:rsidRPr="00E25DE6">
        <w:rPr>
          <w:rFonts w:ascii="Century" w:hAnsi="Century" w:cs="Miriam" w:hint="cs"/>
          <w:b/>
          <w:spacing w:val="0"/>
          <w:sz w:val="22"/>
          <w:szCs w:val="24"/>
          <w:rtl/>
        </w:rPr>
        <w:t>תיקון מספר 4</w:t>
      </w:r>
      <w:r>
        <w:rPr>
          <w:rFonts w:hint="cs"/>
          <w:rtl/>
        </w:rPr>
        <w:t xml:space="preserve">); ראו גם: עניין </w:t>
      </w:r>
      <w:r w:rsidRPr="0000227F">
        <w:rPr>
          <w:rFonts w:ascii="Century" w:hAnsi="Century" w:cs="Miriam" w:hint="cs"/>
          <w:b/>
          <w:spacing w:val="0"/>
          <w:sz w:val="22"/>
          <w:szCs w:val="24"/>
          <w:rtl/>
        </w:rPr>
        <w:t>עדאלה</w:t>
      </w:r>
      <w:r>
        <w:rPr>
          <w:rFonts w:hint="cs"/>
          <w:rtl/>
        </w:rPr>
        <w:t xml:space="preserve">, פסקה 6; עניין </w:t>
      </w:r>
      <w:r w:rsidRPr="0000227F">
        <w:rPr>
          <w:rFonts w:ascii="Century" w:hAnsi="Century" w:cs="Miriam" w:hint="cs"/>
          <w:b/>
          <w:spacing w:val="0"/>
          <w:sz w:val="22"/>
          <w:szCs w:val="24"/>
          <w:rtl/>
        </w:rPr>
        <w:t>חרדאן</w:t>
      </w:r>
      <w:r>
        <w:rPr>
          <w:rFonts w:hint="cs"/>
          <w:rtl/>
        </w:rPr>
        <w:t>, פסקה 22). לצד ההגדרה האמורה, נוספו לחוק הנזיקים, הסדרים דיוניים מיוחדים, שנקבע כי יחולו במקרים ש</w:t>
      </w:r>
      <w:r w:rsidR="00E74CCB">
        <w:rPr>
          <w:rFonts w:hint="cs"/>
          <w:rtl/>
        </w:rPr>
        <w:t xml:space="preserve">בהם נמצא כי כוחות הביטחון גרמו </w:t>
      </w:r>
      <w:r>
        <w:rPr>
          <w:rFonts w:hint="cs"/>
          <w:rtl/>
        </w:rPr>
        <w:t xml:space="preserve">נזק שאינו חוסה תחת חריג 'הפעולה המלחמתית' (עניין </w:t>
      </w:r>
      <w:r w:rsidRPr="00661CCB">
        <w:rPr>
          <w:rFonts w:ascii="Century" w:hAnsi="Century" w:cs="Miriam" w:hint="cs"/>
          <w:b/>
          <w:spacing w:val="0"/>
          <w:sz w:val="22"/>
          <w:szCs w:val="24"/>
          <w:rtl/>
        </w:rPr>
        <w:t>עדאלה</w:t>
      </w:r>
      <w:r>
        <w:rPr>
          <w:rFonts w:hint="cs"/>
          <w:rtl/>
        </w:rPr>
        <w:t>, פסקה 6). הסדרים דיוניים אלו, עוסקים בחובת יידוע על נזק בתוך 60 יום (5א(2) לחוק);</w:t>
      </w:r>
      <w:r w:rsidRPr="00661CCB">
        <w:rPr>
          <w:rFonts w:hint="cs"/>
          <w:rtl/>
        </w:rPr>
        <w:t xml:space="preserve"> </w:t>
      </w:r>
      <w:r>
        <w:rPr>
          <w:rFonts w:hint="cs"/>
          <w:rtl/>
        </w:rPr>
        <w:t xml:space="preserve">קיצור תקופת ההתיישנות לשנתיים-ימים (סעיף 5א(3) לחוק); וביטול תחולת כללי העברת נטל הראיה (סעיף 5א(4) לחוק). </w:t>
      </w:r>
    </w:p>
    <w:p w:rsidR="00D512D4" w:rsidRPr="005244D2" w:rsidRDefault="00D512D4" w:rsidP="000B6AE3">
      <w:pPr>
        <w:pStyle w:val="Ruller41"/>
        <w:spacing w:line="240" w:lineRule="auto"/>
      </w:pPr>
    </w:p>
    <w:p w:rsidR="00D512D4" w:rsidRDefault="00D512D4" w:rsidP="00D512D4">
      <w:pPr>
        <w:pStyle w:val="Ruller4"/>
        <w:rPr>
          <w:rtl/>
        </w:rPr>
      </w:pPr>
      <w:r>
        <w:rPr>
          <w:rFonts w:hint="cs"/>
          <w:rtl/>
        </w:rPr>
        <w:t>בחלוף הזמן, ולנוכח התגברות מעשי הטרור, ביקש המחוקק להרחיב בדרך נוספת את חסינות המדינה בנזיקין (ראו: דברי ההסבר להצעת חוק הנזיקים האזרחיים (אחריות המדינה) (תיקון מס</w:t>
      </w:r>
      <w:r w:rsidR="009E25B2">
        <w:rPr>
          <w:rFonts w:hint="cs"/>
          <w:rtl/>
        </w:rPr>
        <w:t>' 5) (הגשת תביעות נגד המדינה על-</w:t>
      </w:r>
      <w:r>
        <w:rPr>
          <w:rFonts w:hint="cs"/>
          <w:rtl/>
        </w:rPr>
        <w:t xml:space="preserve">ידי נתין מדינות אויב או תושב אזור עימות), התשס"ב-2002, עמוד 892). וכך, ביום 27.7.2005, נחקק </w:t>
      </w:r>
      <w:r w:rsidRPr="005244D2">
        <w:rPr>
          <w:rFonts w:hint="eastAsia"/>
          <w:rtl/>
        </w:rPr>
        <w:t>חוק</w:t>
      </w:r>
      <w:r w:rsidRPr="005244D2">
        <w:rPr>
          <w:rtl/>
        </w:rPr>
        <w:t xml:space="preserve"> </w:t>
      </w:r>
      <w:r w:rsidRPr="005244D2">
        <w:rPr>
          <w:rFonts w:hint="eastAsia"/>
          <w:rtl/>
        </w:rPr>
        <w:t>הנזיקים</w:t>
      </w:r>
      <w:r w:rsidRPr="005244D2">
        <w:rPr>
          <w:rtl/>
        </w:rPr>
        <w:t xml:space="preserve"> </w:t>
      </w:r>
      <w:r w:rsidRPr="005244D2">
        <w:rPr>
          <w:rFonts w:hint="eastAsia"/>
          <w:rtl/>
        </w:rPr>
        <w:t>האזרחיים</w:t>
      </w:r>
      <w:r w:rsidRPr="005244D2">
        <w:rPr>
          <w:rtl/>
        </w:rPr>
        <w:t xml:space="preserve"> (</w:t>
      </w:r>
      <w:r w:rsidRPr="005244D2">
        <w:rPr>
          <w:rFonts w:hint="eastAsia"/>
          <w:rtl/>
        </w:rPr>
        <w:t>אחריות</w:t>
      </w:r>
      <w:r w:rsidRPr="005244D2">
        <w:rPr>
          <w:rtl/>
        </w:rPr>
        <w:t xml:space="preserve"> </w:t>
      </w:r>
      <w:r w:rsidRPr="005244D2">
        <w:rPr>
          <w:rFonts w:hint="eastAsia"/>
          <w:rtl/>
        </w:rPr>
        <w:t>המדינה</w:t>
      </w:r>
      <w:r w:rsidRPr="005244D2">
        <w:rPr>
          <w:rtl/>
        </w:rPr>
        <w:t>) (</w:t>
      </w:r>
      <w:r w:rsidRPr="005244D2">
        <w:rPr>
          <w:rFonts w:hint="eastAsia"/>
          <w:rtl/>
        </w:rPr>
        <w:t>תיקון</w:t>
      </w:r>
      <w:r w:rsidRPr="005244D2">
        <w:rPr>
          <w:rtl/>
        </w:rPr>
        <w:t xml:space="preserve"> </w:t>
      </w:r>
      <w:r w:rsidRPr="005244D2">
        <w:rPr>
          <w:rFonts w:hint="eastAsia"/>
          <w:rtl/>
        </w:rPr>
        <w:t>מס</w:t>
      </w:r>
      <w:r w:rsidRPr="005244D2">
        <w:rPr>
          <w:rtl/>
        </w:rPr>
        <w:t xml:space="preserve">' 7), </w:t>
      </w:r>
      <w:r w:rsidRPr="005244D2">
        <w:rPr>
          <w:rFonts w:hint="eastAsia"/>
          <w:rtl/>
        </w:rPr>
        <w:t>התשס</w:t>
      </w:r>
      <w:r w:rsidRPr="005244D2">
        <w:rPr>
          <w:rtl/>
        </w:rPr>
        <w:t>"</w:t>
      </w:r>
      <w:r w:rsidRPr="005244D2">
        <w:rPr>
          <w:rFonts w:hint="eastAsia"/>
          <w:rtl/>
        </w:rPr>
        <w:t>ה</w:t>
      </w:r>
      <w:r w:rsidRPr="005244D2">
        <w:rPr>
          <w:rtl/>
        </w:rPr>
        <w:t>-2005 (</w:t>
      </w:r>
      <w:r w:rsidRPr="005244D2">
        <w:rPr>
          <w:rFonts w:hint="eastAsia"/>
          <w:rtl/>
        </w:rPr>
        <w:t>להלן</w:t>
      </w:r>
      <w:r>
        <w:rPr>
          <w:rFonts w:hint="cs"/>
          <w:rtl/>
        </w:rPr>
        <w:t>:</w:t>
      </w:r>
      <w:r w:rsidRPr="005244D2">
        <w:rPr>
          <w:rtl/>
        </w:rPr>
        <w:t xml:space="preserve"> </w:t>
      </w:r>
      <w:r w:rsidRPr="005244D2">
        <w:rPr>
          <w:rFonts w:ascii="Century" w:hAnsi="Century" w:cs="Miriam" w:hint="eastAsia"/>
          <w:b/>
          <w:spacing w:val="0"/>
          <w:sz w:val="22"/>
          <w:szCs w:val="24"/>
          <w:rtl/>
        </w:rPr>
        <w:t>תיקון</w:t>
      </w:r>
      <w:r w:rsidRPr="005244D2">
        <w:rPr>
          <w:rFonts w:ascii="Century" w:hAnsi="Century" w:cs="Miriam"/>
          <w:b/>
          <w:spacing w:val="0"/>
          <w:sz w:val="22"/>
          <w:szCs w:val="24"/>
          <w:rtl/>
        </w:rPr>
        <w:t xml:space="preserve"> </w:t>
      </w:r>
      <w:r w:rsidRPr="005244D2">
        <w:rPr>
          <w:rFonts w:ascii="Century" w:hAnsi="Century" w:cs="Miriam" w:hint="eastAsia"/>
          <w:b/>
          <w:spacing w:val="0"/>
          <w:sz w:val="22"/>
          <w:szCs w:val="24"/>
          <w:rtl/>
        </w:rPr>
        <w:t>מס</w:t>
      </w:r>
      <w:r>
        <w:rPr>
          <w:rFonts w:ascii="Century" w:hAnsi="Century" w:cs="Miriam" w:hint="cs"/>
          <w:b/>
          <w:spacing w:val="0"/>
          <w:sz w:val="22"/>
          <w:szCs w:val="24"/>
          <w:rtl/>
        </w:rPr>
        <w:t>פר</w:t>
      </w:r>
      <w:r w:rsidRPr="005244D2">
        <w:rPr>
          <w:rFonts w:ascii="Century" w:hAnsi="Century" w:cs="Miriam"/>
          <w:b/>
          <w:spacing w:val="0"/>
          <w:sz w:val="22"/>
          <w:szCs w:val="24"/>
          <w:rtl/>
        </w:rPr>
        <w:t xml:space="preserve"> 7</w:t>
      </w:r>
      <w:r w:rsidRPr="005244D2">
        <w:rPr>
          <w:rtl/>
        </w:rPr>
        <w:t>)</w:t>
      </w:r>
      <w:r>
        <w:rPr>
          <w:rFonts w:hint="cs"/>
          <w:rtl/>
        </w:rPr>
        <w:t>. בתיקון זה, נוספו לחוק סעיפים 5ב ו-5ג, שבהם נקבע כך:</w:t>
      </w:r>
    </w:p>
    <w:p w:rsidR="00D512D4" w:rsidRDefault="00D512D4" w:rsidP="00D512D4">
      <w:pPr>
        <w:pStyle w:val="Ruller41"/>
        <w:rPr>
          <w:rtl/>
        </w:rPr>
      </w:pPr>
    </w:p>
    <w:p w:rsidR="00D512D4" w:rsidRPr="00EE738E" w:rsidRDefault="00D512D4" w:rsidP="00916DB0">
      <w:pPr>
        <w:pStyle w:val="Ruller5"/>
        <w:spacing w:line="360" w:lineRule="auto"/>
        <w:rPr>
          <w:rFonts w:ascii="Century" w:hAnsi="Century" w:cs="Miriam"/>
          <w:b/>
          <w:spacing w:val="0"/>
          <w:szCs w:val="24"/>
          <w:rtl/>
        </w:rPr>
      </w:pPr>
      <w:r>
        <w:rPr>
          <w:rFonts w:ascii="Century" w:hAnsi="Century" w:cs="Miriam" w:hint="cs"/>
          <w:b/>
          <w:spacing w:val="0"/>
          <w:szCs w:val="24"/>
          <w:rtl/>
        </w:rPr>
        <w:t>"</w:t>
      </w:r>
      <w:r w:rsidRPr="00EE738E">
        <w:rPr>
          <w:rFonts w:ascii="Century" w:hAnsi="Century" w:cs="Miriam"/>
          <w:b/>
          <w:spacing w:val="0"/>
          <w:szCs w:val="24"/>
          <w:rtl/>
        </w:rPr>
        <w:t>5</w:t>
      </w:r>
      <w:r w:rsidRPr="00EE738E">
        <w:rPr>
          <w:rFonts w:ascii="Century" w:hAnsi="Century" w:cs="Miriam" w:hint="eastAsia"/>
          <w:b/>
          <w:spacing w:val="0"/>
          <w:szCs w:val="24"/>
          <w:rtl/>
        </w:rPr>
        <w:t>ב</w:t>
      </w:r>
      <w:r w:rsidRPr="00EE738E">
        <w:rPr>
          <w:rFonts w:ascii="Century" w:hAnsi="Century" w:cs="Miriam"/>
          <w:b/>
          <w:spacing w:val="0"/>
          <w:szCs w:val="24"/>
          <w:rtl/>
        </w:rPr>
        <w:t>. (</w:t>
      </w:r>
      <w:r w:rsidRPr="00EE738E">
        <w:rPr>
          <w:rFonts w:ascii="Century" w:hAnsi="Century" w:cs="Miriam" w:hint="eastAsia"/>
          <w:b/>
          <w:spacing w:val="0"/>
          <w:szCs w:val="24"/>
          <w:rtl/>
        </w:rPr>
        <w:t>א</w:t>
      </w:r>
      <w:r w:rsidRPr="00EE738E">
        <w:rPr>
          <w:rFonts w:ascii="Century" w:hAnsi="Century" w:cs="Miriam"/>
          <w:b/>
          <w:spacing w:val="0"/>
          <w:szCs w:val="24"/>
          <w:rtl/>
        </w:rPr>
        <w:t xml:space="preserve">) </w:t>
      </w:r>
      <w:r w:rsidRPr="00EE738E">
        <w:rPr>
          <w:rFonts w:ascii="Century" w:hAnsi="Century" w:cs="Miriam" w:hint="eastAsia"/>
          <w:b/>
          <w:spacing w:val="0"/>
          <w:szCs w:val="24"/>
          <w:rtl/>
        </w:rPr>
        <w:t>על</w:t>
      </w:r>
      <w:r w:rsidRPr="00EE738E">
        <w:rPr>
          <w:rFonts w:ascii="Century" w:hAnsi="Century" w:cs="Miriam"/>
          <w:b/>
          <w:spacing w:val="0"/>
          <w:szCs w:val="24"/>
          <w:rtl/>
        </w:rPr>
        <w:t xml:space="preserve"> </w:t>
      </w:r>
      <w:r w:rsidRPr="00EE738E">
        <w:rPr>
          <w:rFonts w:ascii="Century" w:hAnsi="Century" w:cs="Miriam" w:hint="eastAsia"/>
          <w:b/>
          <w:spacing w:val="0"/>
          <w:szCs w:val="24"/>
          <w:rtl/>
        </w:rPr>
        <w:t>אף</w:t>
      </w:r>
      <w:r w:rsidRPr="00EE738E">
        <w:rPr>
          <w:rFonts w:ascii="Century" w:hAnsi="Century" w:cs="Miriam"/>
          <w:b/>
          <w:spacing w:val="0"/>
          <w:szCs w:val="24"/>
          <w:rtl/>
        </w:rPr>
        <w:t xml:space="preserve"> </w:t>
      </w:r>
      <w:r w:rsidRPr="00EE738E">
        <w:rPr>
          <w:rFonts w:ascii="Century" w:hAnsi="Century" w:cs="Miriam" w:hint="eastAsia"/>
          <w:b/>
          <w:spacing w:val="0"/>
          <w:szCs w:val="24"/>
          <w:rtl/>
        </w:rPr>
        <w:t>האמור</w:t>
      </w:r>
      <w:r w:rsidRPr="00EE738E">
        <w:rPr>
          <w:rFonts w:ascii="Century" w:hAnsi="Century" w:cs="Miriam"/>
          <w:b/>
          <w:spacing w:val="0"/>
          <w:szCs w:val="24"/>
          <w:rtl/>
        </w:rPr>
        <w:t xml:space="preserve"> </w:t>
      </w:r>
      <w:r w:rsidRPr="00EE738E">
        <w:rPr>
          <w:rFonts w:ascii="Century" w:hAnsi="Century" w:cs="Miriam" w:hint="eastAsia"/>
          <w:b/>
          <w:spacing w:val="0"/>
          <w:szCs w:val="24"/>
          <w:rtl/>
        </w:rPr>
        <w:t>בכל</w:t>
      </w:r>
      <w:r w:rsidRPr="00EE738E">
        <w:rPr>
          <w:rFonts w:ascii="Century" w:hAnsi="Century" w:cs="Miriam"/>
          <w:b/>
          <w:spacing w:val="0"/>
          <w:szCs w:val="24"/>
          <w:rtl/>
        </w:rPr>
        <w:t xml:space="preserve"> </w:t>
      </w:r>
      <w:r w:rsidRPr="00EE738E">
        <w:rPr>
          <w:rFonts w:ascii="Century" w:hAnsi="Century" w:cs="Miriam" w:hint="eastAsia"/>
          <w:b/>
          <w:spacing w:val="0"/>
          <w:szCs w:val="24"/>
          <w:rtl/>
        </w:rPr>
        <w:t>דין</w:t>
      </w:r>
      <w:r w:rsidRPr="00EE738E">
        <w:rPr>
          <w:rFonts w:ascii="Century" w:hAnsi="Century" w:cs="Miriam"/>
          <w:b/>
          <w:spacing w:val="0"/>
          <w:szCs w:val="24"/>
          <w:rtl/>
        </w:rPr>
        <w:t xml:space="preserve">, </w:t>
      </w:r>
      <w:r w:rsidRPr="00EE738E">
        <w:rPr>
          <w:rFonts w:ascii="Century" w:hAnsi="Century" w:cs="Miriam" w:hint="eastAsia"/>
          <w:b/>
          <w:spacing w:val="0"/>
          <w:szCs w:val="24"/>
          <w:rtl/>
        </w:rPr>
        <w:t>אין</w:t>
      </w:r>
      <w:r w:rsidRPr="00EE738E">
        <w:rPr>
          <w:rFonts w:ascii="Century" w:hAnsi="Century" w:cs="Miriam"/>
          <w:b/>
          <w:spacing w:val="0"/>
          <w:szCs w:val="24"/>
          <w:rtl/>
        </w:rPr>
        <w:t xml:space="preserve"> </w:t>
      </w:r>
      <w:r w:rsidRPr="00EE738E">
        <w:rPr>
          <w:rFonts w:ascii="Century" w:hAnsi="Century" w:cs="Miriam" w:hint="eastAsia"/>
          <w:b/>
          <w:spacing w:val="0"/>
          <w:szCs w:val="24"/>
          <w:rtl/>
        </w:rPr>
        <w:t>המדינה</w:t>
      </w:r>
      <w:r w:rsidRPr="00EE738E">
        <w:rPr>
          <w:rFonts w:ascii="Century" w:hAnsi="Century" w:cs="Miriam"/>
          <w:b/>
          <w:spacing w:val="0"/>
          <w:szCs w:val="24"/>
          <w:rtl/>
        </w:rPr>
        <w:t xml:space="preserve"> </w:t>
      </w:r>
      <w:r w:rsidRPr="00EE738E">
        <w:rPr>
          <w:rFonts w:ascii="Century" w:hAnsi="Century" w:cs="Miriam" w:hint="eastAsia"/>
          <w:b/>
          <w:spacing w:val="0"/>
          <w:szCs w:val="24"/>
          <w:rtl/>
        </w:rPr>
        <w:t>אחראית</w:t>
      </w:r>
      <w:r w:rsidRPr="00EE738E">
        <w:rPr>
          <w:rFonts w:ascii="Century" w:hAnsi="Century" w:cs="Miriam"/>
          <w:b/>
          <w:spacing w:val="0"/>
          <w:szCs w:val="24"/>
          <w:rtl/>
        </w:rPr>
        <w:t xml:space="preserve"> </w:t>
      </w:r>
      <w:r w:rsidRPr="00EE738E">
        <w:rPr>
          <w:rFonts w:ascii="Century" w:hAnsi="Century" w:cs="Miriam" w:hint="eastAsia"/>
          <w:b/>
          <w:spacing w:val="0"/>
          <w:szCs w:val="24"/>
          <w:rtl/>
        </w:rPr>
        <w:t>בנזיקים</w:t>
      </w:r>
      <w:r w:rsidRPr="00EE738E">
        <w:rPr>
          <w:rFonts w:ascii="Century" w:hAnsi="Century" w:cs="Miriam"/>
          <w:b/>
          <w:spacing w:val="0"/>
          <w:szCs w:val="24"/>
          <w:rtl/>
        </w:rPr>
        <w:t xml:space="preserve"> </w:t>
      </w:r>
      <w:r w:rsidRPr="00EE738E">
        <w:rPr>
          <w:rFonts w:ascii="Century" w:hAnsi="Century" w:cs="Miriam" w:hint="eastAsia"/>
          <w:b/>
          <w:spacing w:val="0"/>
          <w:szCs w:val="24"/>
          <w:rtl/>
        </w:rPr>
        <w:t>לנזק</w:t>
      </w:r>
      <w:r w:rsidRPr="00EE738E">
        <w:rPr>
          <w:rFonts w:ascii="Century" w:hAnsi="Century" w:cs="Miriam"/>
          <w:b/>
          <w:spacing w:val="0"/>
          <w:szCs w:val="24"/>
          <w:rtl/>
        </w:rPr>
        <w:t xml:space="preserve"> </w:t>
      </w:r>
      <w:r w:rsidRPr="00EE738E">
        <w:rPr>
          <w:rFonts w:ascii="Century" w:hAnsi="Century" w:cs="Miriam" w:hint="eastAsia"/>
          <w:b/>
          <w:spacing w:val="0"/>
          <w:szCs w:val="24"/>
          <w:rtl/>
        </w:rPr>
        <w:t>שנגרם</w:t>
      </w:r>
      <w:r w:rsidRPr="00EE738E">
        <w:rPr>
          <w:rFonts w:ascii="Century" w:hAnsi="Century" w:cs="Miriam"/>
          <w:b/>
          <w:spacing w:val="0"/>
          <w:szCs w:val="24"/>
          <w:rtl/>
        </w:rPr>
        <w:t xml:space="preserve"> </w:t>
      </w:r>
      <w:r w:rsidRPr="00EE738E">
        <w:rPr>
          <w:rFonts w:ascii="Century" w:hAnsi="Century" w:cs="Miriam" w:hint="eastAsia"/>
          <w:b/>
          <w:spacing w:val="0"/>
          <w:szCs w:val="24"/>
          <w:rtl/>
        </w:rPr>
        <w:t>למי</w:t>
      </w:r>
      <w:r w:rsidRPr="00EE738E">
        <w:rPr>
          <w:rFonts w:ascii="Century" w:hAnsi="Century" w:cs="Miriam"/>
          <w:b/>
          <w:spacing w:val="0"/>
          <w:szCs w:val="24"/>
          <w:rtl/>
        </w:rPr>
        <w:t xml:space="preserve"> </w:t>
      </w:r>
      <w:r w:rsidRPr="00EE738E">
        <w:rPr>
          <w:rFonts w:ascii="Century" w:hAnsi="Century" w:cs="Miriam" w:hint="eastAsia"/>
          <w:b/>
          <w:spacing w:val="0"/>
          <w:szCs w:val="24"/>
          <w:rtl/>
        </w:rPr>
        <w:t>שמפורט</w:t>
      </w:r>
      <w:r w:rsidRPr="00EE738E">
        <w:rPr>
          <w:rFonts w:ascii="Century" w:hAnsi="Century" w:cs="Miriam"/>
          <w:b/>
          <w:spacing w:val="0"/>
          <w:szCs w:val="24"/>
          <w:rtl/>
        </w:rPr>
        <w:t xml:space="preserve"> </w:t>
      </w:r>
      <w:r w:rsidRPr="00EE738E">
        <w:rPr>
          <w:rFonts w:ascii="Century" w:hAnsi="Century" w:cs="Miriam" w:hint="eastAsia"/>
          <w:b/>
          <w:spacing w:val="0"/>
          <w:szCs w:val="24"/>
          <w:rtl/>
        </w:rPr>
        <w:t>בפסקאות</w:t>
      </w:r>
      <w:r w:rsidRPr="00EE738E">
        <w:rPr>
          <w:rFonts w:ascii="Century" w:hAnsi="Century" w:cs="Miriam"/>
          <w:b/>
          <w:spacing w:val="0"/>
          <w:szCs w:val="24"/>
          <w:rtl/>
        </w:rPr>
        <w:t xml:space="preserve"> (1), (2)</w:t>
      </w:r>
      <w:r w:rsidRPr="00EE738E">
        <w:rPr>
          <w:rFonts w:ascii="Century" w:hAnsi="Century" w:cs="Miriam" w:hint="cs"/>
          <w:b/>
          <w:spacing w:val="0"/>
          <w:szCs w:val="24"/>
          <w:rtl/>
        </w:rPr>
        <w:t xml:space="preserve"> </w:t>
      </w:r>
      <w:r w:rsidRPr="00EE738E">
        <w:rPr>
          <w:rFonts w:ascii="Century" w:hAnsi="Century" w:cs="Miriam" w:hint="eastAsia"/>
          <w:b/>
          <w:spacing w:val="0"/>
          <w:szCs w:val="24"/>
          <w:rtl/>
        </w:rPr>
        <w:t>או</w:t>
      </w:r>
      <w:r w:rsidRPr="00EE738E">
        <w:rPr>
          <w:rFonts w:ascii="Century" w:hAnsi="Century" w:cs="Miriam"/>
          <w:b/>
          <w:spacing w:val="0"/>
          <w:szCs w:val="24"/>
          <w:rtl/>
        </w:rPr>
        <w:t xml:space="preserve"> (3), </w:t>
      </w:r>
      <w:r w:rsidRPr="00EE738E">
        <w:rPr>
          <w:rFonts w:ascii="Century" w:hAnsi="Century" w:cs="Miriam" w:hint="eastAsia"/>
          <w:b/>
          <w:spacing w:val="0"/>
          <w:szCs w:val="24"/>
          <w:rtl/>
        </w:rPr>
        <w:t>למעט</w:t>
      </w:r>
      <w:r w:rsidRPr="00EE738E">
        <w:rPr>
          <w:rFonts w:ascii="Century" w:hAnsi="Century" w:cs="Miriam"/>
          <w:b/>
          <w:spacing w:val="0"/>
          <w:szCs w:val="24"/>
          <w:rtl/>
        </w:rPr>
        <w:t xml:space="preserve"> </w:t>
      </w:r>
      <w:r w:rsidRPr="00EE738E">
        <w:rPr>
          <w:rFonts w:ascii="Century" w:hAnsi="Century" w:cs="Miriam" w:hint="eastAsia"/>
          <w:b/>
          <w:spacing w:val="0"/>
          <w:szCs w:val="24"/>
          <w:rtl/>
        </w:rPr>
        <w:t>לנזק</w:t>
      </w:r>
      <w:r w:rsidRPr="00EE738E">
        <w:rPr>
          <w:rFonts w:ascii="Century" w:hAnsi="Century" w:cs="Miriam"/>
          <w:b/>
          <w:spacing w:val="0"/>
          <w:szCs w:val="24"/>
          <w:rtl/>
        </w:rPr>
        <w:t xml:space="preserve"> </w:t>
      </w:r>
      <w:r w:rsidRPr="00EE738E">
        <w:rPr>
          <w:rFonts w:ascii="Century" w:hAnsi="Century" w:cs="Miriam" w:hint="eastAsia"/>
          <w:b/>
          <w:spacing w:val="0"/>
          <w:szCs w:val="24"/>
          <w:rtl/>
        </w:rPr>
        <w:t>שנגרם</w:t>
      </w:r>
      <w:r w:rsidRPr="00EE738E">
        <w:rPr>
          <w:rFonts w:ascii="Century" w:hAnsi="Century" w:cs="Miriam"/>
          <w:b/>
          <w:spacing w:val="0"/>
          <w:szCs w:val="24"/>
          <w:rtl/>
        </w:rPr>
        <w:t xml:space="preserve"> </w:t>
      </w:r>
      <w:r w:rsidRPr="00EE738E">
        <w:rPr>
          <w:rFonts w:ascii="Century" w:hAnsi="Century" w:cs="Miriam" w:hint="eastAsia"/>
          <w:b/>
          <w:spacing w:val="0"/>
          <w:szCs w:val="24"/>
          <w:rtl/>
        </w:rPr>
        <w:t>בסוגי</w:t>
      </w:r>
      <w:r w:rsidRPr="00EE738E">
        <w:rPr>
          <w:rFonts w:ascii="Century" w:hAnsi="Century" w:cs="Miriam"/>
          <w:b/>
          <w:spacing w:val="0"/>
          <w:szCs w:val="24"/>
          <w:rtl/>
        </w:rPr>
        <w:t xml:space="preserve"> </w:t>
      </w:r>
      <w:r w:rsidRPr="00EE738E">
        <w:rPr>
          <w:rFonts w:ascii="Century" w:hAnsi="Century" w:cs="Miriam" w:hint="eastAsia"/>
          <w:b/>
          <w:spacing w:val="0"/>
          <w:szCs w:val="24"/>
          <w:rtl/>
        </w:rPr>
        <w:t>תביעות</w:t>
      </w:r>
      <w:r w:rsidRPr="00EE738E">
        <w:rPr>
          <w:rFonts w:ascii="Century" w:hAnsi="Century" w:cs="Miriam"/>
          <w:b/>
          <w:spacing w:val="0"/>
          <w:szCs w:val="24"/>
          <w:rtl/>
        </w:rPr>
        <w:t xml:space="preserve"> </w:t>
      </w:r>
      <w:r w:rsidRPr="00EE738E">
        <w:rPr>
          <w:rFonts w:ascii="Century" w:hAnsi="Century" w:cs="Miriam" w:hint="eastAsia"/>
          <w:b/>
          <w:spacing w:val="0"/>
          <w:szCs w:val="24"/>
          <w:rtl/>
        </w:rPr>
        <w:t>או</w:t>
      </w:r>
      <w:r w:rsidRPr="00EE738E">
        <w:rPr>
          <w:rFonts w:ascii="Century" w:hAnsi="Century" w:cs="Miriam"/>
          <w:b/>
          <w:spacing w:val="0"/>
          <w:szCs w:val="24"/>
          <w:rtl/>
        </w:rPr>
        <w:t xml:space="preserve"> </w:t>
      </w:r>
      <w:r w:rsidRPr="00EE738E">
        <w:rPr>
          <w:rFonts w:ascii="Century" w:hAnsi="Century" w:cs="Miriam" w:hint="eastAsia"/>
          <w:b/>
          <w:spacing w:val="0"/>
          <w:szCs w:val="24"/>
          <w:rtl/>
        </w:rPr>
        <w:t>לסוגי</w:t>
      </w:r>
      <w:r w:rsidRPr="00EE738E">
        <w:rPr>
          <w:rFonts w:ascii="Century" w:hAnsi="Century" w:cs="Miriam"/>
          <w:b/>
          <w:spacing w:val="0"/>
          <w:szCs w:val="24"/>
          <w:rtl/>
        </w:rPr>
        <w:t xml:space="preserve"> </w:t>
      </w:r>
      <w:r w:rsidRPr="00EE738E">
        <w:rPr>
          <w:rFonts w:ascii="Century" w:hAnsi="Century" w:cs="Miriam" w:hint="eastAsia"/>
          <w:b/>
          <w:spacing w:val="0"/>
          <w:szCs w:val="24"/>
          <w:rtl/>
        </w:rPr>
        <w:t>תובעים</w:t>
      </w:r>
      <w:r w:rsidRPr="00EE738E">
        <w:rPr>
          <w:rFonts w:ascii="Century" w:hAnsi="Century" w:cs="Miriam"/>
          <w:b/>
          <w:spacing w:val="0"/>
          <w:szCs w:val="24"/>
          <w:rtl/>
        </w:rPr>
        <w:t xml:space="preserve"> </w:t>
      </w:r>
      <w:r w:rsidRPr="00EE738E">
        <w:rPr>
          <w:rFonts w:ascii="Century" w:hAnsi="Century" w:cs="Miriam" w:hint="eastAsia"/>
          <w:b/>
          <w:spacing w:val="0"/>
          <w:szCs w:val="24"/>
          <w:rtl/>
        </w:rPr>
        <w:t>כאמור</w:t>
      </w:r>
      <w:r w:rsidRPr="00EE738E">
        <w:rPr>
          <w:rFonts w:ascii="Century" w:hAnsi="Century" w:cs="Miriam"/>
          <w:b/>
          <w:spacing w:val="0"/>
          <w:szCs w:val="24"/>
          <w:rtl/>
        </w:rPr>
        <w:t xml:space="preserve"> </w:t>
      </w:r>
      <w:r w:rsidRPr="00EE738E">
        <w:rPr>
          <w:rFonts w:ascii="Century" w:hAnsi="Century" w:cs="Miriam" w:hint="eastAsia"/>
          <w:b/>
          <w:spacing w:val="0"/>
          <w:szCs w:val="24"/>
          <w:rtl/>
        </w:rPr>
        <w:t>בתוספת</w:t>
      </w:r>
      <w:r w:rsidRPr="00EE738E">
        <w:rPr>
          <w:rFonts w:ascii="Century" w:hAnsi="Century" w:cs="Miriam"/>
          <w:b/>
          <w:spacing w:val="0"/>
          <w:szCs w:val="24"/>
          <w:rtl/>
        </w:rPr>
        <w:t xml:space="preserve"> </w:t>
      </w:r>
      <w:r w:rsidRPr="00EE738E">
        <w:rPr>
          <w:rFonts w:ascii="Century" w:hAnsi="Century" w:cs="Miriam" w:hint="eastAsia"/>
          <w:b/>
          <w:spacing w:val="0"/>
          <w:szCs w:val="24"/>
          <w:rtl/>
        </w:rPr>
        <w:t>הראשונה</w:t>
      </w:r>
      <w:r w:rsidRPr="00EE738E">
        <w:rPr>
          <w:rFonts w:ascii="Century" w:hAnsi="Century" w:cs="Miriam"/>
          <w:b/>
          <w:spacing w:val="0"/>
          <w:szCs w:val="24"/>
          <w:rtl/>
        </w:rPr>
        <w:t xml:space="preserve"> </w:t>
      </w:r>
      <w:r w:rsidRPr="00720523">
        <w:rPr>
          <w:rFonts w:ascii="Century" w:hAnsi="Century"/>
          <w:rtl/>
        </w:rPr>
        <w:t>–</w:t>
      </w:r>
    </w:p>
    <w:p w:rsidR="00D512D4" w:rsidRPr="00EE738E" w:rsidRDefault="00D512D4" w:rsidP="00916DB0">
      <w:pPr>
        <w:pStyle w:val="Ruller5"/>
        <w:spacing w:line="360" w:lineRule="auto"/>
        <w:rPr>
          <w:rFonts w:ascii="Century" w:hAnsi="Century" w:cs="Miriam"/>
          <w:b/>
          <w:spacing w:val="0"/>
          <w:szCs w:val="24"/>
          <w:rtl/>
        </w:rPr>
      </w:pPr>
      <w:r w:rsidRPr="00EE738E">
        <w:rPr>
          <w:rFonts w:ascii="Century" w:hAnsi="Century" w:cs="Miriam"/>
          <w:b/>
          <w:spacing w:val="0"/>
          <w:szCs w:val="24"/>
          <w:rtl/>
        </w:rPr>
        <w:t xml:space="preserve">(1) </w:t>
      </w:r>
      <w:r w:rsidRPr="00E25DE6">
        <w:rPr>
          <w:rFonts w:ascii="Century" w:hAnsi="Century" w:cs="Miriam" w:hint="eastAsia"/>
          <w:b/>
          <w:spacing w:val="0"/>
          <w:szCs w:val="24"/>
          <w:u w:val="single"/>
          <w:rtl/>
        </w:rPr>
        <w:t>נתין</w:t>
      </w:r>
      <w:r w:rsidRPr="00E25DE6">
        <w:rPr>
          <w:rFonts w:ascii="Century" w:hAnsi="Century" w:cs="Miriam"/>
          <w:b/>
          <w:spacing w:val="0"/>
          <w:szCs w:val="24"/>
          <w:u w:val="single"/>
          <w:rtl/>
        </w:rPr>
        <w:t xml:space="preserve"> </w:t>
      </w:r>
      <w:r w:rsidRPr="00E25DE6">
        <w:rPr>
          <w:rFonts w:ascii="Century" w:hAnsi="Century" w:cs="Miriam" w:hint="eastAsia"/>
          <w:b/>
          <w:spacing w:val="0"/>
          <w:szCs w:val="24"/>
          <w:u w:val="single"/>
          <w:rtl/>
        </w:rPr>
        <w:t>של</w:t>
      </w:r>
      <w:r w:rsidRPr="00E25DE6">
        <w:rPr>
          <w:rFonts w:ascii="Century" w:hAnsi="Century" w:cs="Miriam"/>
          <w:b/>
          <w:spacing w:val="0"/>
          <w:szCs w:val="24"/>
          <w:u w:val="single"/>
          <w:rtl/>
        </w:rPr>
        <w:t xml:space="preserve"> </w:t>
      </w:r>
      <w:r w:rsidRPr="00E25DE6">
        <w:rPr>
          <w:rFonts w:ascii="Century" w:hAnsi="Century" w:cs="Miriam" w:hint="eastAsia"/>
          <w:b/>
          <w:spacing w:val="0"/>
          <w:szCs w:val="24"/>
          <w:u w:val="single"/>
          <w:rtl/>
        </w:rPr>
        <w:t>מדינה</w:t>
      </w:r>
      <w:r w:rsidRPr="00E25DE6">
        <w:rPr>
          <w:rFonts w:ascii="Century" w:hAnsi="Century" w:cs="Miriam"/>
          <w:b/>
          <w:spacing w:val="0"/>
          <w:szCs w:val="24"/>
          <w:u w:val="single"/>
          <w:rtl/>
        </w:rPr>
        <w:t xml:space="preserve"> </w:t>
      </w:r>
      <w:r w:rsidRPr="00E25DE6">
        <w:rPr>
          <w:rFonts w:ascii="Century" w:hAnsi="Century" w:cs="Miriam" w:hint="eastAsia"/>
          <w:b/>
          <w:spacing w:val="0"/>
          <w:szCs w:val="24"/>
          <w:u w:val="single"/>
          <w:rtl/>
        </w:rPr>
        <w:t>שהיא</w:t>
      </w:r>
      <w:r w:rsidRPr="00E25DE6">
        <w:rPr>
          <w:rFonts w:ascii="Century" w:hAnsi="Century" w:cs="Miriam"/>
          <w:b/>
          <w:spacing w:val="0"/>
          <w:szCs w:val="24"/>
          <w:u w:val="single"/>
          <w:rtl/>
        </w:rPr>
        <w:t xml:space="preserve"> </w:t>
      </w:r>
      <w:r w:rsidRPr="00E25DE6">
        <w:rPr>
          <w:rFonts w:ascii="Century" w:hAnsi="Century" w:cs="Miriam" w:hint="eastAsia"/>
          <w:b/>
          <w:spacing w:val="0"/>
          <w:szCs w:val="24"/>
          <w:u w:val="single"/>
          <w:rtl/>
        </w:rPr>
        <w:t>אויב</w:t>
      </w:r>
      <w:r w:rsidRPr="00E25DE6">
        <w:rPr>
          <w:rFonts w:ascii="Century" w:hAnsi="Century" w:cs="Miriam"/>
          <w:b/>
          <w:spacing w:val="0"/>
          <w:szCs w:val="24"/>
          <w:u w:val="single"/>
          <w:rtl/>
        </w:rPr>
        <w:t xml:space="preserve">, </w:t>
      </w:r>
      <w:r w:rsidRPr="00E25DE6">
        <w:rPr>
          <w:rFonts w:ascii="Century" w:hAnsi="Century" w:cs="Miriam" w:hint="eastAsia"/>
          <w:b/>
          <w:spacing w:val="0"/>
          <w:szCs w:val="24"/>
          <w:u w:val="single"/>
          <w:rtl/>
        </w:rPr>
        <w:t>אלא</w:t>
      </w:r>
      <w:r w:rsidRPr="00E25DE6">
        <w:rPr>
          <w:rFonts w:ascii="Century" w:hAnsi="Century" w:cs="Miriam"/>
          <w:b/>
          <w:spacing w:val="0"/>
          <w:szCs w:val="24"/>
          <w:u w:val="single"/>
          <w:rtl/>
        </w:rPr>
        <w:t xml:space="preserve"> </w:t>
      </w:r>
      <w:r w:rsidRPr="00E25DE6">
        <w:rPr>
          <w:rFonts w:ascii="Century" w:hAnsi="Century" w:cs="Miriam" w:hint="eastAsia"/>
          <w:b/>
          <w:spacing w:val="0"/>
          <w:szCs w:val="24"/>
          <w:u w:val="single"/>
          <w:rtl/>
        </w:rPr>
        <w:t>אם</w:t>
      </w:r>
      <w:r w:rsidRPr="00E25DE6">
        <w:rPr>
          <w:rFonts w:ascii="Century" w:hAnsi="Century" w:cs="Miriam"/>
          <w:b/>
          <w:spacing w:val="0"/>
          <w:szCs w:val="24"/>
          <w:u w:val="single"/>
          <w:rtl/>
        </w:rPr>
        <w:t xml:space="preserve"> </w:t>
      </w:r>
      <w:r w:rsidRPr="00E25DE6">
        <w:rPr>
          <w:rFonts w:ascii="Century" w:hAnsi="Century" w:cs="Miriam" w:hint="eastAsia"/>
          <w:b/>
          <w:spacing w:val="0"/>
          <w:szCs w:val="24"/>
          <w:u w:val="single"/>
          <w:rtl/>
        </w:rPr>
        <w:t>כן</w:t>
      </w:r>
      <w:r w:rsidRPr="00E25DE6">
        <w:rPr>
          <w:rFonts w:ascii="Century" w:hAnsi="Century" w:cs="Miriam"/>
          <w:b/>
          <w:spacing w:val="0"/>
          <w:szCs w:val="24"/>
          <w:u w:val="single"/>
          <w:rtl/>
        </w:rPr>
        <w:t xml:space="preserve"> </w:t>
      </w:r>
      <w:r w:rsidRPr="00E25DE6">
        <w:rPr>
          <w:rFonts w:ascii="Century" w:hAnsi="Century" w:cs="Miriam" w:hint="eastAsia"/>
          <w:b/>
          <w:spacing w:val="0"/>
          <w:szCs w:val="24"/>
          <w:u w:val="single"/>
          <w:rtl/>
        </w:rPr>
        <w:t>הוא</w:t>
      </w:r>
      <w:r w:rsidRPr="00E25DE6">
        <w:rPr>
          <w:rFonts w:ascii="Century" w:hAnsi="Century" w:cs="Miriam"/>
          <w:b/>
          <w:spacing w:val="0"/>
          <w:szCs w:val="24"/>
          <w:u w:val="single"/>
          <w:rtl/>
        </w:rPr>
        <w:t xml:space="preserve"> </w:t>
      </w:r>
      <w:r w:rsidRPr="00E25DE6">
        <w:rPr>
          <w:rFonts w:ascii="Century" w:hAnsi="Century" w:cs="Miriam" w:hint="eastAsia"/>
          <w:b/>
          <w:spacing w:val="0"/>
          <w:szCs w:val="24"/>
          <w:u w:val="single"/>
          <w:rtl/>
        </w:rPr>
        <w:t>שוהה</w:t>
      </w:r>
      <w:r w:rsidRPr="00E25DE6">
        <w:rPr>
          <w:rFonts w:ascii="Century" w:hAnsi="Century" w:cs="Miriam"/>
          <w:b/>
          <w:spacing w:val="0"/>
          <w:szCs w:val="24"/>
          <w:u w:val="single"/>
          <w:rtl/>
        </w:rPr>
        <w:t xml:space="preserve"> </w:t>
      </w:r>
      <w:r w:rsidRPr="00E25DE6">
        <w:rPr>
          <w:rFonts w:ascii="Century" w:hAnsi="Century" w:cs="Miriam" w:hint="eastAsia"/>
          <w:b/>
          <w:spacing w:val="0"/>
          <w:szCs w:val="24"/>
          <w:u w:val="single"/>
          <w:rtl/>
        </w:rPr>
        <w:t>כדין</w:t>
      </w:r>
      <w:r w:rsidRPr="00E25DE6">
        <w:rPr>
          <w:rFonts w:ascii="Century" w:hAnsi="Century" w:cs="Miriam"/>
          <w:b/>
          <w:spacing w:val="0"/>
          <w:szCs w:val="24"/>
          <w:u w:val="single"/>
          <w:rtl/>
        </w:rPr>
        <w:t xml:space="preserve"> </w:t>
      </w:r>
      <w:r w:rsidRPr="00E25DE6">
        <w:rPr>
          <w:rFonts w:ascii="Century" w:hAnsi="Century" w:cs="Miriam" w:hint="eastAsia"/>
          <w:b/>
          <w:spacing w:val="0"/>
          <w:szCs w:val="24"/>
          <w:u w:val="single"/>
          <w:rtl/>
        </w:rPr>
        <w:t>בישראל</w:t>
      </w:r>
      <w:r w:rsidRPr="00EE738E">
        <w:rPr>
          <w:rFonts w:ascii="Century" w:hAnsi="Century" w:cs="Miriam"/>
          <w:b/>
          <w:spacing w:val="0"/>
          <w:szCs w:val="24"/>
          <w:rtl/>
        </w:rPr>
        <w:t>;</w:t>
      </w:r>
    </w:p>
    <w:p w:rsidR="00D512D4" w:rsidRPr="00EE738E" w:rsidRDefault="00D512D4" w:rsidP="00916DB0">
      <w:pPr>
        <w:pStyle w:val="Ruller5"/>
        <w:spacing w:line="360" w:lineRule="auto"/>
        <w:rPr>
          <w:rFonts w:ascii="Century" w:hAnsi="Century" w:cs="Miriam"/>
          <w:b/>
          <w:spacing w:val="0"/>
          <w:szCs w:val="24"/>
          <w:rtl/>
        </w:rPr>
      </w:pPr>
      <w:r w:rsidRPr="00EE738E">
        <w:rPr>
          <w:rFonts w:ascii="Century" w:hAnsi="Century" w:cs="Miriam"/>
          <w:b/>
          <w:spacing w:val="0"/>
          <w:szCs w:val="24"/>
          <w:rtl/>
        </w:rPr>
        <w:t xml:space="preserve">(2) </w:t>
      </w:r>
      <w:r w:rsidRPr="00EE738E">
        <w:rPr>
          <w:rFonts w:ascii="Century" w:hAnsi="Century" w:cs="Miriam" w:hint="eastAsia"/>
          <w:b/>
          <w:spacing w:val="0"/>
          <w:szCs w:val="24"/>
          <w:rtl/>
        </w:rPr>
        <w:t>פעיל</w:t>
      </w:r>
      <w:r w:rsidRPr="00EE738E">
        <w:rPr>
          <w:rFonts w:ascii="Century" w:hAnsi="Century" w:cs="Miriam"/>
          <w:b/>
          <w:spacing w:val="0"/>
          <w:szCs w:val="24"/>
          <w:rtl/>
        </w:rPr>
        <w:t xml:space="preserve"> </w:t>
      </w:r>
      <w:r w:rsidRPr="00EE738E">
        <w:rPr>
          <w:rFonts w:ascii="Century" w:hAnsi="Century" w:cs="Miriam" w:hint="eastAsia"/>
          <w:b/>
          <w:spacing w:val="0"/>
          <w:szCs w:val="24"/>
          <w:rtl/>
        </w:rPr>
        <w:t>או</w:t>
      </w:r>
      <w:r w:rsidRPr="00EE738E">
        <w:rPr>
          <w:rFonts w:ascii="Century" w:hAnsi="Century" w:cs="Miriam"/>
          <w:b/>
          <w:spacing w:val="0"/>
          <w:szCs w:val="24"/>
          <w:rtl/>
        </w:rPr>
        <w:t xml:space="preserve"> </w:t>
      </w:r>
      <w:r w:rsidRPr="00EE738E">
        <w:rPr>
          <w:rFonts w:ascii="Century" w:hAnsi="Century" w:cs="Miriam" w:hint="eastAsia"/>
          <w:b/>
          <w:spacing w:val="0"/>
          <w:szCs w:val="24"/>
          <w:rtl/>
        </w:rPr>
        <w:t>חבר</w:t>
      </w:r>
      <w:r w:rsidRPr="00EE738E">
        <w:rPr>
          <w:rFonts w:ascii="Century" w:hAnsi="Century" w:cs="Miriam"/>
          <w:b/>
          <w:spacing w:val="0"/>
          <w:szCs w:val="24"/>
          <w:rtl/>
        </w:rPr>
        <w:t xml:space="preserve"> </w:t>
      </w:r>
      <w:r w:rsidRPr="00EE738E">
        <w:rPr>
          <w:rFonts w:ascii="Century" w:hAnsi="Century" w:cs="Miriam" w:hint="eastAsia"/>
          <w:b/>
          <w:spacing w:val="0"/>
          <w:szCs w:val="24"/>
          <w:rtl/>
        </w:rPr>
        <w:t>בארגון</w:t>
      </w:r>
      <w:r w:rsidRPr="00EE738E">
        <w:rPr>
          <w:rFonts w:ascii="Century" w:hAnsi="Century" w:cs="Miriam"/>
          <w:b/>
          <w:spacing w:val="0"/>
          <w:szCs w:val="24"/>
          <w:rtl/>
        </w:rPr>
        <w:t xml:space="preserve"> </w:t>
      </w:r>
      <w:r w:rsidRPr="00EE738E">
        <w:rPr>
          <w:rFonts w:ascii="Century" w:hAnsi="Century" w:cs="Miriam" w:hint="eastAsia"/>
          <w:b/>
          <w:spacing w:val="0"/>
          <w:szCs w:val="24"/>
          <w:rtl/>
        </w:rPr>
        <w:t>מחבלים</w:t>
      </w:r>
      <w:r w:rsidRPr="00EE738E">
        <w:rPr>
          <w:rFonts w:ascii="Century" w:hAnsi="Century" w:cs="Miriam"/>
          <w:b/>
          <w:spacing w:val="0"/>
          <w:szCs w:val="24"/>
          <w:rtl/>
        </w:rPr>
        <w:t>;</w:t>
      </w:r>
    </w:p>
    <w:p w:rsidR="00D512D4" w:rsidRPr="00EE738E" w:rsidRDefault="00D512D4" w:rsidP="00916DB0">
      <w:pPr>
        <w:pStyle w:val="Ruller5"/>
        <w:spacing w:line="360" w:lineRule="auto"/>
        <w:rPr>
          <w:rFonts w:ascii="Century" w:hAnsi="Century" w:cs="Miriam"/>
          <w:b/>
          <w:spacing w:val="0"/>
          <w:szCs w:val="24"/>
          <w:rtl/>
        </w:rPr>
      </w:pPr>
      <w:r w:rsidRPr="00EE738E">
        <w:rPr>
          <w:rFonts w:ascii="Century" w:hAnsi="Century" w:cs="Miriam"/>
          <w:b/>
          <w:spacing w:val="0"/>
          <w:szCs w:val="24"/>
          <w:rtl/>
        </w:rPr>
        <w:t xml:space="preserve">(3) </w:t>
      </w:r>
      <w:r w:rsidRPr="00EE738E">
        <w:rPr>
          <w:rFonts w:ascii="Century" w:hAnsi="Century" w:cs="Miriam" w:hint="eastAsia"/>
          <w:b/>
          <w:spacing w:val="0"/>
          <w:szCs w:val="24"/>
          <w:rtl/>
        </w:rPr>
        <w:t>מי</w:t>
      </w:r>
      <w:r w:rsidRPr="00EE738E">
        <w:rPr>
          <w:rFonts w:ascii="Century" w:hAnsi="Century" w:cs="Miriam"/>
          <w:b/>
          <w:spacing w:val="0"/>
          <w:szCs w:val="24"/>
          <w:rtl/>
        </w:rPr>
        <w:t xml:space="preserve"> </w:t>
      </w:r>
      <w:r w:rsidRPr="00EE738E">
        <w:rPr>
          <w:rFonts w:ascii="Century" w:hAnsi="Century" w:cs="Miriam" w:hint="eastAsia"/>
          <w:b/>
          <w:spacing w:val="0"/>
          <w:szCs w:val="24"/>
          <w:rtl/>
        </w:rPr>
        <w:t>שניזוק</w:t>
      </w:r>
      <w:r w:rsidRPr="00EE738E">
        <w:rPr>
          <w:rFonts w:ascii="Century" w:hAnsi="Century" w:cs="Miriam"/>
          <w:b/>
          <w:spacing w:val="0"/>
          <w:szCs w:val="24"/>
          <w:rtl/>
        </w:rPr>
        <w:t xml:space="preserve"> </w:t>
      </w:r>
      <w:r w:rsidRPr="00EE738E">
        <w:rPr>
          <w:rFonts w:ascii="Century" w:hAnsi="Century" w:cs="Miriam" w:hint="eastAsia"/>
          <w:b/>
          <w:spacing w:val="0"/>
          <w:szCs w:val="24"/>
          <w:rtl/>
        </w:rPr>
        <w:t>בעת</w:t>
      </w:r>
      <w:r w:rsidRPr="00EE738E">
        <w:rPr>
          <w:rFonts w:ascii="Century" w:hAnsi="Century" w:cs="Miriam"/>
          <w:b/>
          <w:spacing w:val="0"/>
          <w:szCs w:val="24"/>
          <w:rtl/>
        </w:rPr>
        <w:t xml:space="preserve"> </w:t>
      </w:r>
      <w:r w:rsidRPr="00EE738E">
        <w:rPr>
          <w:rFonts w:ascii="Century" w:hAnsi="Century" w:cs="Miriam" w:hint="eastAsia"/>
          <w:b/>
          <w:spacing w:val="0"/>
          <w:szCs w:val="24"/>
          <w:rtl/>
        </w:rPr>
        <w:t>שפעל</w:t>
      </w:r>
      <w:r w:rsidRPr="00EE738E">
        <w:rPr>
          <w:rFonts w:ascii="Century" w:hAnsi="Century" w:cs="Miriam"/>
          <w:b/>
          <w:spacing w:val="0"/>
          <w:szCs w:val="24"/>
          <w:rtl/>
        </w:rPr>
        <w:t xml:space="preserve"> </w:t>
      </w:r>
      <w:r w:rsidRPr="00EE738E">
        <w:rPr>
          <w:rFonts w:ascii="Century" w:hAnsi="Century" w:cs="Miriam" w:hint="eastAsia"/>
          <w:b/>
          <w:spacing w:val="0"/>
          <w:szCs w:val="24"/>
          <w:rtl/>
        </w:rPr>
        <w:t>בשליחותו</w:t>
      </w:r>
      <w:r w:rsidRPr="00EE738E">
        <w:rPr>
          <w:rFonts w:ascii="Century" w:hAnsi="Century" w:cs="Miriam"/>
          <w:b/>
          <w:spacing w:val="0"/>
          <w:szCs w:val="24"/>
          <w:rtl/>
        </w:rPr>
        <w:t xml:space="preserve"> </w:t>
      </w:r>
      <w:r w:rsidRPr="00EE738E">
        <w:rPr>
          <w:rFonts w:ascii="Century" w:hAnsi="Century" w:cs="Miriam" w:hint="eastAsia"/>
          <w:b/>
          <w:spacing w:val="0"/>
          <w:szCs w:val="24"/>
          <w:rtl/>
        </w:rPr>
        <w:t>או</w:t>
      </w:r>
      <w:r w:rsidRPr="00EE738E">
        <w:rPr>
          <w:rFonts w:ascii="Century" w:hAnsi="Century" w:cs="Miriam"/>
          <w:b/>
          <w:spacing w:val="0"/>
          <w:szCs w:val="24"/>
          <w:rtl/>
        </w:rPr>
        <w:t xml:space="preserve"> </w:t>
      </w:r>
      <w:r w:rsidRPr="00EE738E">
        <w:rPr>
          <w:rFonts w:ascii="Century" w:hAnsi="Century" w:cs="Miriam" w:hint="eastAsia"/>
          <w:b/>
          <w:spacing w:val="0"/>
          <w:szCs w:val="24"/>
          <w:rtl/>
        </w:rPr>
        <w:t>מטעמו</w:t>
      </w:r>
      <w:r w:rsidRPr="00EE738E">
        <w:rPr>
          <w:rFonts w:ascii="Century" w:hAnsi="Century" w:cs="Miriam"/>
          <w:b/>
          <w:spacing w:val="0"/>
          <w:szCs w:val="24"/>
          <w:rtl/>
        </w:rPr>
        <w:t xml:space="preserve"> </w:t>
      </w:r>
      <w:r w:rsidRPr="00EE738E">
        <w:rPr>
          <w:rFonts w:ascii="Century" w:hAnsi="Century" w:cs="Miriam" w:hint="eastAsia"/>
          <w:b/>
          <w:spacing w:val="0"/>
          <w:szCs w:val="24"/>
          <w:rtl/>
        </w:rPr>
        <w:t>של</w:t>
      </w:r>
      <w:r w:rsidRPr="00EE738E">
        <w:rPr>
          <w:rFonts w:ascii="Century" w:hAnsi="Century" w:cs="Miriam"/>
          <w:b/>
          <w:spacing w:val="0"/>
          <w:szCs w:val="24"/>
          <w:rtl/>
        </w:rPr>
        <w:t xml:space="preserve"> </w:t>
      </w:r>
      <w:r w:rsidRPr="00EE738E">
        <w:rPr>
          <w:rFonts w:ascii="Century" w:hAnsi="Century" w:cs="Miriam" w:hint="eastAsia"/>
          <w:b/>
          <w:spacing w:val="0"/>
          <w:szCs w:val="24"/>
          <w:rtl/>
        </w:rPr>
        <w:t>נתין</w:t>
      </w:r>
      <w:r w:rsidRPr="00EE738E">
        <w:rPr>
          <w:rFonts w:ascii="Century" w:hAnsi="Century" w:cs="Miriam"/>
          <w:b/>
          <w:spacing w:val="0"/>
          <w:szCs w:val="24"/>
          <w:rtl/>
        </w:rPr>
        <w:t xml:space="preserve"> </w:t>
      </w:r>
      <w:r w:rsidRPr="00EE738E">
        <w:rPr>
          <w:rFonts w:ascii="Century" w:hAnsi="Century" w:cs="Miriam" w:hint="eastAsia"/>
          <w:b/>
          <w:spacing w:val="0"/>
          <w:szCs w:val="24"/>
          <w:rtl/>
        </w:rPr>
        <w:t>מדינת</w:t>
      </w:r>
      <w:r w:rsidRPr="00EE738E">
        <w:rPr>
          <w:rFonts w:ascii="Century" w:hAnsi="Century" w:cs="Miriam"/>
          <w:b/>
          <w:spacing w:val="0"/>
          <w:szCs w:val="24"/>
          <w:rtl/>
        </w:rPr>
        <w:t xml:space="preserve"> </w:t>
      </w:r>
      <w:r w:rsidRPr="00EE738E">
        <w:rPr>
          <w:rFonts w:ascii="Century" w:hAnsi="Century" w:cs="Miriam" w:hint="eastAsia"/>
          <w:b/>
          <w:spacing w:val="0"/>
          <w:szCs w:val="24"/>
          <w:rtl/>
        </w:rPr>
        <w:t>אויב</w:t>
      </w:r>
      <w:r w:rsidRPr="00EE738E">
        <w:rPr>
          <w:rFonts w:ascii="Century" w:hAnsi="Century" w:cs="Miriam"/>
          <w:b/>
          <w:spacing w:val="0"/>
          <w:szCs w:val="24"/>
          <w:rtl/>
        </w:rPr>
        <w:t xml:space="preserve">, </w:t>
      </w:r>
      <w:r w:rsidRPr="00EE738E">
        <w:rPr>
          <w:rFonts w:ascii="Century" w:hAnsi="Century" w:cs="Miriam" w:hint="eastAsia"/>
          <w:b/>
          <w:spacing w:val="0"/>
          <w:szCs w:val="24"/>
          <w:rtl/>
        </w:rPr>
        <w:t>חבר</w:t>
      </w:r>
      <w:r w:rsidRPr="00EE738E">
        <w:rPr>
          <w:rFonts w:ascii="Century" w:hAnsi="Century" w:cs="Miriam"/>
          <w:b/>
          <w:spacing w:val="0"/>
          <w:szCs w:val="24"/>
          <w:rtl/>
        </w:rPr>
        <w:t xml:space="preserve"> </w:t>
      </w:r>
      <w:r w:rsidRPr="00EE738E">
        <w:rPr>
          <w:rFonts w:ascii="Century" w:hAnsi="Century" w:cs="Miriam" w:hint="eastAsia"/>
          <w:b/>
          <w:spacing w:val="0"/>
          <w:szCs w:val="24"/>
          <w:rtl/>
        </w:rPr>
        <w:t>או</w:t>
      </w:r>
      <w:r w:rsidRPr="00EE738E">
        <w:rPr>
          <w:rFonts w:ascii="Century" w:hAnsi="Century" w:cs="Miriam"/>
          <w:b/>
          <w:spacing w:val="0"/>
          <w:szCs w:val="24"/>
          <w:rtl/>
        </w:rPr>
        <w:t xml:space="preserve"> </w:t>
      </w:r>
      <w:r w:rsidRPr="00EE738E">
        <w:rPr>
          <w:rFonts w:ascii="Century" w:hAnsi="Century" w:cs="Miriam" w:hint="eastAsia"/>
          <w:b/>
          <w:spacing w:val="0"/>
          <w:szCs w:val="24"/>
          <w:rtl/>
        </w:rPr>
        <w:t>פעיל</w:t>
      </w:r>
      <w:r w:rsidRPr="00EE738E">
        <w:rPr>
          <w:rFonts w:ascii="Century" w:hAnsi="Century" w:cs="Miriam"/>
          <w:b/>
          <w:spacing w:val="0"/>
          <w:szCs w:val="24"/>
          <w:rtl/>
        </w:rPr>
        <w:t xml:space="preserve"> </w:t>
      </w:r>
      <w:r w:rsidRPr="00EE738E">
        <w:rPr>
          <w:rFonts w:ascii="Century" w:hAnsi="Century" w:cs="Miriam" w:hint="eastAsia"/>
          <w:b/>
          <w:spacing w:val="0"/>
          <w:szCs w:val="24"/>
          <w:rtl/>
        </w:rPr>
        <w:t>בארגון</w:t>
      </w:r>
      <w:r w:rsidRPr="00EE738E">
        <w:rPr>
          <w:rFonts w:ascii="Century" w:hAnsi="Century" w:cs="Miriam"/>
          <w:b/>
          <w:spacing w:val="0"/>
          <w:szCs w:val="24"/>
          <w:rtl/>
        </w:rPr>
        <w:t xml:space="preserve"> </w:t>
      </w:r>
      <w:r w:rsidRPr="00EE738E">
        <w:rPr>
          <w:rFonts w:ascii="Century" w:hAnsi="Century" w:cs="Miriam" w:hint="eastAsia"/>
          <w:b/>
          <w:spacing w:val="0"/>
          <w:szCs w:val="24"/>
          <w:rtl/>
        </w:rPr>
        <w:t>מחבלים</w:t>
      </w:r>
      <w:r w:rsidRPr="00EE738E">
        <w:rPr>
          <w:rFonts w:ascii="Century" w:hAnsi="Century" w:cs="Miriam"/>
          <w:b/>
          <w:spacing w:val="0"/>
          <w:szCs w:val="24"/>
          <w:rtl/>
        </w:rPr>
        <w:t>.</w:t>
      </w:r>
    </w:p>
    <w:p w:rsidR="00D512D4" w:rsidRPr="00EE738E" w:rsidRDefault="00D512D4" w:rsidP="00916DB0">
      <w:pPr>
        <w:pStyle w:val="Ruller5"/>
        <w:spacing w:line="360" w:lineRule="auto"/>
        <w:rPr>
          <w:rFonts w:ascii="Century" w:hAnsi="Century" w:cs="Miriam"/>
          <w:b/>
          <w:spacing w:val="0"/>
          <w:szCs w:val="24"/>
          <w:rtl/>
        </w:rPr>
      </w:pPr>
    </w:p>
    <w:p w:rsidR="00D512D4" w:rsidRPr="00EE738E" w:rsidRDefault="00D512D4" w:rsidP="00916DB0">
      <w:pPr>
        <w:pStyle w:val="Ruller5"/>
        <w:spacing w:line="360" w:lineRule="auto"/>
        <w:rPr>
          <w:rFonts w:ascii="Century" w:hAnsi="Century" w:cs="Miriam"/>
          <w:b/>
          <w:spacing w:val="0"/>
          <w:szCs w:val="24"/>
          <w:rtl/>
        </w:rPr>
      </w:pPr>
      <w:r w:rsidRPr="00EE738E">
        <w:rPr>
          <w:rFonts w:ascii="Century" w:hAnsi="Century" w:cs="Miriam" w:hint="cs"/>
          <w:b/>
          <w:spacing w:val="0"/>
          <w:szCs w:val="24"/>
          <w:rtl/>
        </w:rPr>
        <w:t xml:space="preserve">     </w:t>
      </w:r>
      <w:r w:rsidRPr="00EE738E">
        <w:rPr>
          <w:rFonts w:ascii="Century" w:hAnsi="Century" w:cs="Miriam"/>
          <w:b/>
          <w:spacing w:val="0"/>
          <w:szCs w:val="24"/>
          <w:rtl/>
        </w:rPr>
        <w:t>(</w:t>
      </w:r>
      <w:r w:rsidRPr="00EE738E">
        <w:rPr>
          <w:rFonts w:ascii="Century" w:hAnsi="Century" w:cs="Miriam" w:hint="eastAsia"/>
          <w:b/>
          <w:spacing w:val="0"/>
          <w:szCs w:val="24"/>
          <w:rtl/>
        </w:rPr>
        <w:t>ב</w:t>
      </w:r>
      <w:r w:rsidRPr="00EE738E">
        <w:rPr>
          <w:rFonts w:ascii="Century" w:hAnsi="Century" w:cs="Miriam"/>
          <w:b/>
          <w:spacing w:val="0"/>
          <w:szCs w:val="24"/>
          <w:rtl/>
        </w:rPr>
        <w:t xml:space="preserve">) </w:t>
      </w:r>
      <w:r w:rsidRPr="00EE738E">
        <w:rPr>
          <w:rFonts w:ascii="Century" w:hAnsi="Century" w:cs="Miriam" w:hint="eastAsia"/>
          <w:b/>
          <w:spacing w:val="0"/>
          <w:szCs w:val="24"/>
          <w:rtl/>
        </w:rPr>
        <w:t>בסעיף</w:t>
      </w:r>
      <w:r w:rsidRPr="00EE738E">
        <w:rPr>
          <w:rFonts w:ascii="Century" w:hAnsi="Century" w:cs="Miriam"/>
          <w:b/>
          <w:spacing w:val="0"/>
          <w:szCs w:val="24"/>
          <w:rtl/>
        </w:rPr>
        <w:t xml:space="preserve"> </w:t>
      </w:r>
      <w:r w:rsidRPr="00EE738E">
        <w:rPr>
          <w:rFonts w:ascii="Century" w:hAnsi="Century" w:cs="Miriam" w:hint="eastAsia"/>
          <w:b/>
          <w:spacing w:val="0"/>
          <w:szCs w:val="24"/>
          <w:rtl/>
        </w:rPr>
        <w:t>זה</w:t>
      </w:r>
      <w:r w:rsidRPr="00EE738E">
        <w:rPr>
          <w:rFonts w:ascii="Century" w:hAnsi="Century" w:cs="Miriam"/>
          <w:b/>
          <w:spacing w:val="0"/>
          <w:szCs w:val="24"/>
          <w:rtl/>
        </w:rPr>
        <w:t xml:space="preserve"> </w:t>
      </w:r>
      <w:r w:rsidRPr="00720523">
        <w:rPr>
          <w:rFonts w:ascii="Century" w:hAnsi="Century"/>
          <w:rtl/>
        </w:rPr>
        <w:t>–</w:t>
      </w:r>
    </w:p>
    <w:p w:rsidR="00D512D4" w:rsidRPr="00EE738E" w:rsidRDefault="00D512D4" w:rsidP="00916DB0">
      <w:pPr>
        <w:pStyle w:val="Ruller5"/>
        <w:spacing w:line="360" w:lineRule="auto"/>
        <w:rPr>
          <w:rFonts w:ascii="Century" w:hAnsi="Century" w:cs="Miriam"/>
          <w:b/>
          <w:spacing w:val="0"/>
          <w:szCs w:val="24"/>
          <w:rtl/>
        </w:rPr>
      </w:pPr>
      <w:r w:rsidRPr="00EE738E">
        <w:rPr>
          <w:rFonts w:ascii="Century" w:hAnsi="Century" w:cs="Miriam"/>
          <w:b/>
          <w:spacing w:val="0"/>
          <w:szCs w:val="24"/>
          <w:rtl/>
        </w:rPr>
        <w:t>'</w:t>
      </w:r>
      <w:r w:rsidRPr="00EE738E">
        <w:rPr>
          <w:rFonts w:ascii="Century" w:hAnsi="Century" w:cs="Miriam" w:hint="eastAsia"/>
          <w:b/>
          <w:spacing w:val="0"/>
          <w:szCs w:val="24"/>
          <w:rtl/>
        </w:rPr>
        <w:t>אויב</w:t>
      </w:r>
      <w:r w:rsidRPr="00EE738E">
        <w:rPr>
          <w:rFonts w:ascii="Century" w:hAnsi="Century" w:cs="Miriam"/>
          <w:b/>
          <w:spacing w:val="0"/>
          <w:szCs w:val="24"/>
          <w:rtl/>
        </w:rPr>
        <w:t xml:space="preserve">' </w:t>
      </w:r>
      <w:r w:rsidRPr="00EE738E">
        <w:rPr>
          <w:rFonts w:ascii="Century" w:hAnsi="Century" w:cs="Miriam" w:hint="eastAsia"/>
          <w:b/>
          <w:spacing w:val="0"/>
          <w:szCs w:val="24"/>
          <w:rtl/>
        </w:rPr>
        <w:t>ו</w:t>
      </w:r>
      <w:r w:rsidRPr="00EE738E">
        <w:rPr>
          <w:rFonts w:ascii="Century" w:hAnsi="Century" w:cs="Miriam"/>
          <w:b/>
          <w:spacing w:val="0"/>
          <w:szCs w:val="24"/>
          <w:rtl/>
        </w:rPr>
        <w:t>'</w:t>
      </w:r>
      <w:r w:rsidRPr="00EE738E">
        <w:rPr>
          <w:rFonts w:ascii="Century" w:hAnsi="Century" w:cs="Miriam" w:hint="eastAsia"/>
          <w:b/>
          <w:spacing w:val="0"/>
          <w:szCs w:val="24"/>
          <w:rtl/>
        </w:rPr>
        <w:t>ארגון</w:t>
      </w:r>
      <w:r w:rsidRPr="00EE738E">
        <w:rPr>
          <w:rFonts w:ascii="Century" w:hAnsi="Century" w:cs="Miriam"/>
          <w:b/>
          <w:spacing w:val="0"/>
          <w:szCs w:val="24"/>
          <w:rtl/>
        </w:rPr>
        <w:t xml:space="preserve"> </w:t>
      </w:r>
      <w:r w:rsidRPr="00EE738E">
        <w:rPr>
          <w:rFonts w:ascii="Century" w:hAnsi="Century" w:cs="Miriam" w:hint="eastAsia"/>
          <w:b/>
          <w:spacing w:val="0"/>
          <w:szCs w:val="24"/>
          <w:rtl/>
        </w:rPr>
        <w:t>מחבלים</w:t>
      </w:r>
      <w:r w:rsidRPr="00EE738E">
        <w:rPr>
          <w:rFonts w:ascii="Century" w:hAnsi="Century" w:cs="Miriam"/>
          <w:b/>
          <w:spacing w:val="0"/>
          <w:szCs w:val="24"/>
          <w:rtl/>
        </w:rPr>
        <w:t xml:space="preserve">' </w:t>
      </w:r>
      <w:r w:rsidRPr="00720523">
        <w:rPr>
          <w:rFonts w:ascii="Century" w:hAnsi="Century"/>
          <w:rtl/>
        </w:rPr>
        <w:t>–</w:t>
      </w:r>
      <w:r w:rsidRPr="00EE738E">
        <w:rPr>
          <w:rFonts w:ascii="Century" w:hAnsi="Century" w:cs="Miriam"/>
          <w:b/>
          <w:spacing w:val="0"/>
          <w:szCs w:val="24"/>
          <w:rtl/>
        </w:rPr>
        <w:t xml:space="preserve"> </w:t>
      </w:r>
      <w:r w:rsidRPr="00EE738E">
        <w:rPr>
          <w:rFonts w:ascii="Century" w:hAnsi="Century" w:cs="Miriam" w:hint="eastAsia"/>
          <w:b/>
          <w:spacing w:val="0"/>
          <w:szCs w:val="24"/>
          <w:rtl/>
        </w:rPr>
        <w:t>כהגדרתם</w:t>
      </w:r>
      <w:r w:rsidRPr="00EE738E">
        <w:rPr>
          <w:rFonts w:ascii="Century" w:hAnsi="Century" w:cs="Miriam"/>
          <w:b/>
          <w:spacing w:val="0"/>
          <w:szCs w:val="24"/>
          <w:rtl/>
        </w:rPr>
        <w:t xml:space="preserve"> </w:t>
      </w:r>
      <w:r w:rsidRPr="00EE738E">
        <w:rPr>
          <w:rFonts w:ascii="Century" w:hAnsi="Century" w:cs="Miriam" w:hint="eastAsia"/>
          <w:b/>
          <w:spacing w:val="0"/>
          <w:szCs w:val="24"/>
          <w:rtl/>
        </w:rPr>
        <w:t>בסעיף</w:t>
      </w:r>
      <w:r w:rsidRPr="00EE738E">
        <w:rPr>
          <w:rFonts w:ascii="Century" w:hAnsi="Century" w:cs="Miriam"/>
          <w:b/>
          <w:spacing w:val="0"/>
          <w:szCs w:val="24"/>
          <w:rtl/>
        </w:rPr>
        <w:t xml:space="preserve"> 91 </w:t>
      </w:r>
      <w:r w:rsidRPr="00EE738E">
        <w:rPr>
          <w:rFonts w:ascii="Century" w:hAnsi="Century" w:cs="Miriam" w:hint="eastAsia"/>
          <w:b/>
          <w:spacing w:val="0"/>
          <w:szCs w:val="24"/>
          <w:rtl/>
        </w:rPr>
        <w:t>לחוק</w:t>
      </w:r>
      <w:r w:rsidRPr="00EE738E">
        <w:rPr>
          <w:rFonts w:ascii="Century" w:hAnsi="Century" w:cs="Miriam"/>
          <w:b/>
          <w:spacing w:val="0"/>
          <w:szCs w:val="24"/>
          <w:rtl/>
        </w:rPr>
        <w:t xml:space="preserve"> </w:t>
      </w:r>
      <w:r w:rsidRPr="00EE738E">
        <w:rPr>
          <w:rFonts w:ascii="Century" w:hAnsi="Century" w:cs="Miriam" w:hint="eastAsia"/>
          <w:b/>
          <w:spacing w:val="0"/>
          <w:szCs w:val="24"/>
          <w:rtl/>
        </w:rPr>
        <w:t>העונשין</w:t>
      </w:r>
      <w:r w:rsidRPr="00EE738E">
        <w:rPr>
          <w:rFonts w:ascii="Century" w:hAnsi="Century" w:cs="Miriam"/>
          <w:b/>
          <w:spacing w:val="0"/>
          <w:szCs w:val="24"/>
          <w:rtl/>
        </w:rPr>
        <w:t xml:space="preserve">, </w:t>
      </w:r>
      <w:r w:rsidRPr="00EE738E">
        <w:rPr>
          <w:rFonts w:ascii="Century" w:hAnsi="Century" w:cs="Miriam" w:hint="eastAsia"/>
          <w:b/>
          <w:spacing w:val="0"/>
          <w:szCs w:val="24"/>
          <w:rtl/>
        </w:rPr>
        <w:t>התשל</w:t>
      </w:r>
      <w:r w:rsidRPr="00EE738E">
        <w:rPr>
          <w:rFonts w:ascii="Century" w:hAnsi="Century" w:cs="Miriam"/>
          <w:b/>
          <w:spacing w:val="0"/>
          <w:szCs w:val="24"/>
          <w:rtl/>
        </w:rPr>
        <w:t>"</w:t>
      </w:r>
      <w:r w:rsidRPr="00EE738E">
        <w:rPr>
          <w:rFonts w:ascii="Century" w:hAnsi="Century" w:cs="Miriam" w:hint="eastAsia"/>
          <w:b/>
          <w:spacing w:val="0"/>
          <w:szCs w:val="24"/>
          <w:rtl/>
        </w:rPr>
        <w:t>ז</w:t>
      </w:r>
      <w:r w:rsidRPr="00EE738E">
        <w:rPr>
          <w:rFonts w:ascii="Century" w:hAnsi="Century" w:cs="Miriam"/>
          <w:b/>
          <w:spacing w:val="0"/>
          <w:szCs w:val="24"/>
          <w:rtl/>
        </w:rPr>
        <w:t>-1977;</w:t>
      </w:r>
    </w:p>
    <w:p w:rsidR="00D512D4" w:rsidRPr="00EE738E" w:rsidRDefault="00D512D4" w:rsidP="00916DB0">
      <w:pPr>
        <w:pStyle w:val="Ruller5"/>
        <w:spacing w:line="360" w:lineRule="auto"/>
        <w:rPr>
          <w:rFonts w:ascii="Century" w:hAnsi="Century" w:cs="Miriam"/>
          <w:b/>
          <w:spacing w:val="0"/>
          <w:szCs w:val="24"/>
          <w:rtl/>
        </w:rPr>
      </w:pPr>
      <w:r w:rsidRPr="00EE738E">
        <w:rPr>
          <w:rFonts w:ascii="Century" w:hAnsi="Century" w:cs="Miriam"/>
          <w:b/>
          <w:spacing w:val="0"/>
          <w:szCs w:val="24"/>
          <w:rtl/>
        </w:rPr>
        <w:lastRenderedPageBreak/>
        <w:t>'</w:t>
      </w:r>
      <w:r w:rsidRPr="00EE738E">
        <w:rPr>
          <w:rFonts w:ascii="Century" w:hAnsi="Century" w:cs="Miriam" w:hint="eastAsia"/>
          <w:b/>
          <w:spacing w:val="0"/>
          <w:szCs w:val="24"/>
          <w:rtl/>
        </w:rPr>
        <w:t>המדינה</w:t>
      </w:r>
      <w:r w:rsidRPr="00EE738E">
        <w:rPr>
          <w:rFonts w:ascii="Century" w:hAnsi="Century" w:cs="Miriam"/>
          <w:b/>
          <w:spacing w:val="0"/>
          <w:szCs w:val="24"/>
          <w:rtl/>
        </w:rPr>
        <w:t xml:space="preserve">' </w:t>
      </w:r>
      <w:r w:rsidRPr="00720523">
        <w:rPr>
          <w:rFonts w:ascii="Century" w:hAnsi="Century"/>
          <w:rtl/>
        </w:rPr>
        <w:t>–</w:t>
      </w:r>
      <w:r w:rsidRPr="00EE738E">
        <w:rPr>
          <w:rFonts w:ascii="Century" w:hAnsi="Century" w:cs="Miriam"/>
          <w:b/>
          <w:spacing w:val="0"/>
          <w:szCs w:val="24"/>
          <w:rtl/>
        </w:rPr>
        <w:t xml:space="preserve"> </w:t>
      </w:r>
      <w:r w:rsidRPr="00EE738E">
        <w:rPr>
          <w:rFonts w:ascii="Century" w:hAnsi="Century" w:cs="Miriam" w:hint="eastAsia"/>
          <w:b/>
          <w:spacing w:val="0"/>
          <w:szCs w:val="24"/>
          <w:rtl/>
        </w:rPr>
        <w:t>לרבות</w:t>
      </w:r>
      <w:r w:rsidRPr="00EE738E">
        <w:rPr>
          <w:rFonts w:ascii="Century" w:hAnsi="Century" w:cs="Miriam"/>
          <w:b/>
          <w:spacing w:val="0"/>
          <w:szCs w:val="24"/>
          <w:rtl/>
        </w:rPr>
        <w:t xml:space="preserve"> </w:t>
      </w:r>
      <w:r w:rsidRPr="00EE738E">
        <w:rPr>
          <w:rFonts w:ascii="Century" w:hAnsi="Century" w:cs="Miriam" w:hint="eastAsia"/>
          <w:b/>
          <w:spacing w:val="0"/>
          <w:szCs w:val="24"/>
          <w:rtl/>
        </w:rPr>
        <w:t>רשות</w:t>
      </w:r>
      <w:r w:rsidRPr="00EE738E">
        <w:rPr>
          <w:rFonts w:ascii="Century" w:hAnsi="Century" w:cs="Miriam"/>
          <w:b/>
          <w:spacing w:val="0"/>
          <w:szCs w:val="24"/>
          <w:rtl/>
        </w:rPr>
        <w:t xml:space="preserve">, </w:t>
      </w:r>
      <w:r w:rsidRPr="00EE738E">
        <w:rPr>
          <w:rFonts w:ascii="Century" w:hAnsi="Century" w:cs="Miriam" w:hint="eastAsia"/>
          <w:b/>
          <w:spacing w:val="0"/>
          <w:szCs w:val="24"/>
          <w:rtl/>
        </w:rPr>
        <w:t>גוף</w:t>
      </w:r>
      <w:r w:rsidRPr="00EE738E">
        <w:rPr>
          <w:rFonts w:ascii="Century" w:hAnsi="Century" w:cs="Miriam"/>
          <w:b/>
          <w:spacing w:val="0"/>
          <w:szCs w:val="24"/>
          <w:rtl/>
        </w:rPr>
        <w:t xml:space="preserve"> </w:t>
      </w:r>
      <w:r w:rsidRPr="00EE738E">
        <w:rPr>
          <w:rFonts w:ascii="Century" w:hAnsi="Century" w:cs="Miriam" w:hint="eastAsia"/>
          <w:b/>
          <w:spacing w:val="0"/>
          <w:szCs w:val="24"/>
          <w:rtl/>
        </w:rPr>
        <w:t>או</w:t>
      </w:r>
      <w:r w:rsidRPr="00EE738E">
        <w:rPr>
          <w:rFonts w:ascii="Century" w:hAnsi="Century" w:cs="Miriam"/>
          <w:b/>
          <w:spacing w:val="0"/>
          <w:szCs w:val="24"/>
          <w:rtl/>
        </w:rPr>
        <w:t xml:space="preserve"> </w:t>
      </w:r>
      <w:r w:rsidRPr="00EE738E">
        <w:rPr>
          <w:rFonts w:ascii="Century" w:hAnsi="Century" w:cs="Miriam" w:hint="eastAsia"/>
          <w:b/>
          <w:spacing w:val="0"/>
          <w:szCs w:val="24"/>
          <w:rtl/>
        </w:rPr>
        <w:t>אדם</w:t>
      </w:r>
      <w:r w:rsidRPr="00EE738E">
        <w:rPr>
          <w:rFonts w:ascii="Century" w:hAnsi="Century" w:cs="Miriam"/>
          <w:b/>
          <w:spacing w:val="0"/>
          <w:szCs w:val="24"/>
          <w:rtl/>
        </w:rPr>
        <w:t xml:space="preserve"> </w:t>
      </w:r>
      <w:r w:rsidRPr="00EE738E">
        <w:rPr>
          <w:rFonts w:ascii="Century" w:hAnsi="Century" w:cs="Miriam" w:hint="eastAsia"/>
          <w:b/>
          <w:spacing w:val="0"/>
          <w:szCs w:val="24"/>
          <w:rtl/>
        </w:rPr>
        <w:t>הפועלים</w:t>
      </w:r>
      <w:r w:rsidRPr="00EE738E">
        <w:rPr>
          <w:rFonts w:ascii="Century" w:hAnsi="Century" w:cs="Miriam"/>
          <w:b/>
          <w:spacing w:val="0"/>
          <w:szCs w:val="24"/>
          <w:rtl/>
        </w:rPr>
        <w:t xml:space="preserve"> </w:t>
      </w:r>
      <w:r w:rsidRPr="00EE738E">
        <w:rPr>
          <w:rFonts w:ascii="Century" w:hAnsi="Century" w:cs="Miriam" w:hint="eastAsia"/>
          <w:b/>
          <w:spacing w:val="0"/>
          <w:szCs w:val="24"/>
          <w:rtl/>
        </w:rPr>
        <w:t>מטעמה</w:t>
      </w:r>
      <w:r w:rsidRPr="00EE738E">
        <w:rPr>
          <w:rFonts w:ascii="Century" w:hAnsi="Century" w:cs="Miriam"/>
          <w:b/>
          <w:spacing w:val="0"/>
          <w:szCs w:val="24"/>
          <w:rtl/>
        </w:rPr>
        <w:t>.</w:t>
      </w:r>
    </w:p>
    <w:p w:rsidR="00D512D4" w:rsidRPr="00EE738E" w:rsidRDefault="00D512D4" w:rsidP="00E74CCB">
      <w:pPr>
        <w:pStyle w:val="Ruller5"/>
        <w:rPr>
          <w:rFonts w:ascii="Century" w:hAnsi="Century" w:cs="Miriam"/>
          <w:b/>
          <w:spacing w:val="0"/>
          <w:szCs w:val="24"/>
          <w:rtl/>
        </w:rPr>
      </w:pPr>
    </w:p>
    <w:p w:rsidR="00D512D4" w:rsidRDefault="00D512D4" w:rsidP="00916DB0">
      <w:pPr>
        <w:pStyle w:val="Ruller5"/>
        <w:spacing w:line="360" w:lineRule="auto"/>
        <w:rPr>
          <w:rFonts w:ascii="Century" w:hAnsi="Century" w:cs="Miriam"/>
          <w:b/>
          <w:spacing w:val="0"/>
          <w:szCs w:val="24"/>
          <w:rtl/>
        </w:rPr>
      </w:pPr>
      <w:r w:rsidRPr="00EE738E">
        <w:rPr>
          <w:rFonts w:ascii="Century" w:hAnsi="Century" w:cs="Miriam"/>
          <w:b/>
          <w:spacing w:val="0"/>
          <w:szCs w:val="24"/>
          <w:rtl/>
        </w:rPr>
        <w:t>5</w:t>
      </w:r>
      <w:r w:rsidRPr="00EE738E">
        <w:rPr>
          <w:rFonts w:ascii="Century" w:hAnsi="Century" w:cs="Miriam" w:hint="eastAsia"/>
          <w:b/>
          <w:spacing w:val="0"/>
          <w:szCs w:val="24"/>
          <w:rtl/>
        </w:rPr>
        <w:t>ג</w:t>
      </w:r>
      <w:r w:rsidRPr="00EE738E">
        <w:rPr>
          <w:rFonts w:ascii="Century" w:hAnsi="Century" w:cs="Miriam"/>
          <w:b/>
          <w:spacing w:val="0"/>
          <w:szCs w:val="24"/>
          <w:rtl/>
        </w:rPr>
        <w:t>.   (</w:t>
      </w:r>
      <w:r w:rsidRPr="00EE738E">
        <w:rPr>
          <w:rFonts w:ascii="Century" w:hAnsi="Century" w:cs="Miriam" w:hint="eastAsia"/>
          <w:b/>
          <w:spacing w:val="0"/>
          <w:szCs w:val="24"/>
          <w:rtl/>
        </w:rPr>
        <w:t>א</w:t>
      </w:r>
      <w:r w:rsidRPr="00EE738E">
        <w:rPr>
          <w:rFonts w:ascii="Century" w:hAnsi="Century" w:cs="Miriam"/>
          <w:b/>
          <w:spacing w:val="0"/>
          <w:szCs w:val="24"/>
          <w:rtl/>
        </w:rPr>
        <w:t xml:space="preserve">) </w:t>
      </w:r>
      <w:r w:rsidRPr="00EE738E">
        <w:rPr>
          <w:rFonts w:ascii="Century" w:hAnsi="Century" w:cs="Miriam" w:hint="eastAsia"/>
          <w:b/>
          <w:spacing w:val="0"/>
          <w:szCs w:val="24"/>
          <w:rtl/>
        </w:rPr>
        <w:t>על</w:t>
      </w:r>
      <w:r w:rsidRPr="00EE738E">
        <w:rPr>
          <w:rFonts w:ascii="Century" w:hAnsi="Century" w:cs="Miriam"/>
          <w:b/>
          <w:spacing w:val="0"/>
          <w:szCs w:val="24"/>
          <w:rtl/>
        </w:rPr>
        <w:t xml:space="preserve"> </w:t>
      </w:r>
      <w:r w:rsidRPr="00EE738E">
        <w:rPr>
          <w:rFonts w:ascii="Century" w:hAnsi="Century" w:cs="Miriam" w:hint="eastAsia"/>
          <w:b/>
          <w:spacing w:val="0"/>
          <w:szCs w:val="24"/>
          <w:rtl/>
        </w:rPr>
        <w:t>אף</w:t>
      </w:r>
      <w:r w:rsidRPr="00EE738E">
        <w:rPr>
          <w:rFonts w:ascii="Century" w:hAnsi="Century" w:cs="Miriam"/>
          <w:b/>
          <w:spacing w:val="0"/>
          <w:szCs w:val="24"/>
          <w:rtl/>
        </w:rPr>
        <w:t xml:space="preserve"> </w:t>
      </w:r>
      <w:r w:rsidRPr="00EE738E">
        <w:rPr>
          <w:rFonts w:ascii="Century" w:hAnsi="Century" w:cs="Miriam" w:hint="eastAsia"/>
          <w:b/>
          <w:spacing w:val="0"/>
          <w:szCs w:val="24"/>
          <w:rtl/>
        </w:rPr>
        <w:t>האמור</w:t>
      </w:r>
      <w:r w:rsidRPr="00EE738E">
        <w:rPr>
          <w:rFonts w:ascii="Century" w:hAnsi="Century" w:cs="Miriam"/>
          <w:b/>
          <w:spacing w:val="0"/>
          <w:szCs w:val="24"/>
          <w:rtl/>
        </w:rPr>
        <w:t xml:space="preserve"> </w:t>
      </w:r>
      <w:r w:rsidRPr="00EE738E">
        <w:rPr>
          <w:rFonts w:ascii="Century" w:hAnsi="Century" w:cs="Miriam" w:hint="eastAsia"/>
          <w:b/>
          <w:spacing w:val="0"/>
          <w:szCs w:val="24"/>
          <w:rtl/>
        </w:rPr>
        <w:t>בכל</w:t>
      </w:r>
      <w:r w:rsidRPr="00EE738E">
        <w:rPr>
          <w:rFonts w:ascii="Century" w:hAnsi="Century" w:cs="Miriam"/>
          <w:b/>
          <w:spacing w:val="0"/>
          <w:szCs w:val="24"/>
          <w:rtl/>
        </w:rPr>
        <w:t xml:space="preserve"> </w:t>
      </w:r>
      <w:r w:rsidRPr="00EE738E">
        <w:rPr>
          <w:rFonts w:ascii="Century" w:hAnsi="Century" w:cs="Miriam" w:hint="eastAsia"/>
          <w:b/>
          <w:spacing w:val="0"/>
          <w:szCs w:val="24"/>
          <w:rtl/>
        </w:rPr>
        <w:t>דין</w:t>
      </w:r>
      <w:r w:rsidRPr="00EE738E">
        <w:rPr>
          <w:rFonts w:ascii="Century" w:hAnsi="Century" w:cs="Miriam"/>
          <w:b/>
          <w:spacing w:val="0"/>
          <w:szCs w:val="24"/>
          <w:rtl/>
        </w:rPr>
        <w:t xml:space="preserve">, </w:t>
      </w:r>
      <w:r w:rsidRPr="00EE738E">
        <w:rPr>
          <w:rFonts w:ascii="Century" w:hAnsi="Century" w:cs="Miriam" w:hint="eastAsia"/>
          <w:b/>
          <w:spacing w:val="0"/>
          <w:szCs w:val="24"/>
          <w:rtl/>
        </w:rPr>
        <w:t>אין</w:t>
      </w:r>
      <w:r w:rsidRPr="00EE738E">
        <w:rPr>
          <w:rFonts w:ascii="Century" w:hAnsi="Century" w:cs="Miriam"/>
          <w:b/>
          <w:spacing w:val="0"/>
          <w:szCs w:val="24"/>
          <w:rtl/>
        </w:rPr>
        <w:t xml:space="preserve"> </w:t>
      </w:r>
      <w:r w:rsidRPr="00EE738E">
        <w:rPr>
          <w:rFonts w:ascii="Century" w:hAnsi="Century" w:cs="Miriam" w:hint="eastAsia"/>
          <w:b/>
          <w:spacing w:val="0"/>
          <w:szCs w:val="24"/>
          <w:rtl/>
        </w:rPr>
        <w:t>המדינה</w:t>
      </w:r>
      <w:r w:rsidRPr="00EE738E">
        <w:rPr>
          <w:rFonts w:ascii="Century" w:hAnsi="Century" w:cs="Miriam"/>
          <w:b/>
          <w:spacing w:val="0"/>
          <w:szCs w:val="24"/>
          <w:rtl/>
        </w:rPr>
        <w:t xml:space="preserve"> </w:t>
      </w:r>
      <w:r w:rsidRPr="00EE738E">
        <w:rPr>
          <w:rFonts w:ascii="Century" w:hAnsi="Century" w:cs="Miriam" w:hint="eastAsia"/>
          <w:b/>
          <w:spacing w:val="0"/>
          <w:szCs w:val="24"/>
          <w:rtl/>
        </w:rPr>
        <w:t>אחראית</w:t>
      </w:r>
      <w:r w:rsidRPr="00EE738E">
        <w:rPr>
          <w:rFonts w:ascii="Century" w:hAnsi="Century" w:cs="Miriam"/>
          <w:b/>
          <w:spacing w:val="0"/>
          <w:szCs w:val="24"/>
          <w:rtl/>
        </w:rPr>
        <w:t xml:space="preserve"> </w:t>
      </w:r>
      <w:r w:rsidRPr="00EE738E">
        <w:rPr>
          <w:rFonts w:ascii="Century" w:hAnsi="Century" w:cs="Miriam" w:hint="eastAsia"/>
          <w:b/>
          <w:spacing w:val="0"/>
          <w:szCs w:val="24"/>
          <w:rtl/>
        </w:rPr>
        <w:t>בנזיקים</w:t>
      </w:r>
      <w:r w:rsidRPr="00EE738E">
        <w:rPr>
          <w:rFonts w:ascii="Century" w:hAnsi="Century" w:cs="Miriam"/>
          <w:b/>
          <w:spacing w:val="0"/>
          <w:szCs w:val="24"/>
          <w:rtl/>
        </w:rPr>
        <w:t xml:space="preserve"> </w:t>
      </w:r>
      <w:r w:rsidRPr="00EE738E">
        <w:rPr>
          <w:rFonts w:ascii="Century" w:hAnsi="Century" w:cs="Miriam" w:hint="eastAsia"/>
          <w:b/>
          <w:spacing w:val="0"/>
          <w:szCs w:val="24"/>
          <w:rtl/>
        </w:rPr>
        <w:t>לנזק</w:t>
      </w:r>
      <w:r w:rsidRPr="00EE738E">
        <w:rPr>
          <w:rFonts w:ascii="Century" w:hAnsi="Century" w:cs="Miriam"/>
          <w:b/>
          <w:spacing w:val="0"/>
          <w:szCs w:val="24"/>
          <w:rtl/>
        </w:rPr>
        <w:t xml:space="preserve"> </w:t>
      </w:r>
      <w:r w:rsidRPr="00EE738E">
        <w:rPr>
          <w:rFonts w:ascii="Century" w:hAnsi="Century" w:cs="Miriam" w:hint="eastAsia"/>
          <w:b/>
          <w:spacing w:val="0"/>
          <w:szCs w:val="24"/>
          <w:rtl/>
        </w:rPr>
        <w:t>שנגרם</w:t>
      </w:r>
      <w:r w:rsidRPr="00EE738E">
        <w:rPr>
          <w:rFonts w:ascii="Century" w:hAnsi="Century" w:cs="Miriam"/>
          <w:b/>
          <w:spacing w:val="0"/>
          <w:szCs w:val="24"/>
          <w:rtl/>
        </w:rPr>
        <w:t xml:space="preserve"> </w:t>
      </w:r>
      <w:r w:rsidRPr="00EE738E">
        <w:rPr>
          <w:rFonts w:ascii="Century" w:hAnsi="Century" w:cs="Miriam" w:hint="eastAsia"/>
          <w:b/>
          <w:spacing w:val="0"/>
          <w:szCs w:val="24"/>
          <w:rtl/>
        </w:rPr>
        <w:t>באזור</w:t>
      </w:r>
      <w:r w:rsidRPr="00EE738E">
        <w:rPr>
          <w:rFonts w:ascii="Century" w:hAnsi="Century" w:cs="Miriam"/>
          <w:b/>
          <w:spacing w:val="0"/>
          <w:szCs w:val="24"/>
          <w:rtl/>
        </w:rPr>
        <w:t xml:space="preserve"> </w:t>
      </w:r>
      <w:r w:rsidRPr="00EE738E">
        <w:rPr>
          <w:rFonts w:ascii="Century" w:hAnsi="Century" w:cs="Miriam" w:hint="eastAsia"/>
          <w:b/>
          <w:spacing w:val="0"/>
          <w:szCs w:val="24"/>
          <w:rtl/>
        </w:rPr>
        <w:t>עימות</w:t>
      </w:r>
      <w:r w:rsidRPr="00EE738E">
        <w:rPr>
          <w:rFonts w:ascii="Century" w:hAnsi="Century" w:cs="Miriam"/>
          <w:b/>
          <w:spacing w:val="0"/>
          <w:szCs w:val="24"/>
          <w:rtl/>
        </w:rPr>
        <w:t xml:space="preserve"> </w:t>
      </w:r>
      <w:r w:rsidRPr="00EE738E">
        <w:rPr>
          <w:rFonts w:ascii="Century" w:hAnsi="Century" w:cs="Miriam" w:hint="eastAsia"/>
          <w:b/>
          <w:spacing w:val="0"/>
          <w:szCs w:val="24"/>
          <w:rtl/>
        </w:rPr>
        <w:t>בשל</w:t>
      </w:r>
      <w:r w:rsidRPr="00EE738E">
        <w:rPr>
          <w:rFonts w:ascii="Century" w:hAnsi="Century" w:cs="Miriam"/>
          <w:b/>
          <w:spacing w:val="0"/>
          <w:szCs w:val="24"/>
          <w:rtl/>
        </w:rPr>
        <w:t xml:space="preserve"> </w:t>
      </w:r>
      <w:r w:rsidRPr="00EE738E">
        <w:rPr>
          <w:rFonts w:ascii="Century" w:hAnsi="Century" w:cs="Miriam" w:hint="eastAsia"/>
          <w:b/>
          <w:spacing w:val="0"/>
          <w:szCs w:val="24"/>
          <w:rtl/>
        </w:rPr>
        <w:t>מעשה</w:t>
      </w:r>
      <w:r w:rsidRPr="00EE738E">
        <w:rPr>
          <w:rFonts w:ascii="Century" w:hAnsi="Century" w:cs="Miriam"/>
          <w:b/>
          <w:spacing w:val="0"/>
          <w:szCs w:val="24"/>
          <w:rtl/>
        </w:rPr>
        <w:t xml:space="preserve"> </w:t>
      </w:r>
      <w:r w:rsidRPr="00EE738E">
        <w:rPr>
          <w:rFonts w:ascii="Century" w:hAnsi="Century" w:cs="Miriam" w:hint="eastAsia"/>
          <w:b/>
          <w:spacing w:val="0"/>
          <w:szCs w:val="24"/>
          <w:rtl/>
        </w:rPr>
        <w:t>שביצעו</w:t>
      </w:r>
      <w:r w:rsidRPr="00EE738E">
        <w:rPr>
          <w:rFonts w:ascii="Century" w:hAnsi="Century" w:cs="Miriam"/>
          <w:b/>
          <w:spacing w:val="0"/>
          <w:szCs w:val="24"/>
          <w:rtl/>
        </w:rPr>
        <w:t xml:space="preserve"> </w:t>
      </w:r>
      <w:r w:rsidRPr="00EE738E">
        <w:rPr>
          <w:rFonts w:ascii="Century" w:hAnsi="Century" w:cs="Miriam" w:hint="eastAsia"/>
          <w:b/>
          <w:spacing w:val="0"/>
          <w:szCs w:val="24"/>
          <w:rtl/>
        </w:rPr>
        <w:t>כוחות</w:t>
      </w:r>
      <w:r w:rsidRPr="00EE738E">
        <w:rPr>
          <w:rFonts w:ascii="Century" w:hAnsi="Century" w:cs="Miriam"/>
          <w:b/>
          <w:spacing w:val="0"/>
          <w:szCs w:val="24"/>
          <w:rtl/>
        </w:rPr>
        <w:t xml:space="preserve"> </w:t>
      </w:r>
      <w:r w:rsidRPr="00EE738E">
        <w:rPr>
          <w:rFonts w:ascii="Century" w:hAnsi="Century" w:cs="Miriam" w:hint="eastAsia"/>
          <w:b/>
          <w:spacing w:val="0"/>
          <w:szCs w:val="24"/>
          <w:rtl/>
        </w:rPr>
        <w:t>הביטחון</w:t>
      </w:r>
      <w:r w:rsidRPr="00EE738E">
        <w:rPr>
          <w:rFonts w:ascii="Century" w:hAnsi="Century" w:cs="Miriam"/>
          <w:b/>
          <w:spacing w:val="0"/>
          <w:szCs w:val="24"/>
          <w:rtl/>
        </w:rPr>
        <w:t xml:space="preserve">, </w:t>
      </w:r>
      <w:r w:rsidRPr="00EE738E">
        <w:rPr>
          <w:rFonts w:ascii="Century" w:hAnsi="Century" w:cs="Miriam" w:hint="eastAsia"/>
          <w:b/>
          <w:spacing w:val="0"/>
          <w:szCs w:val="24"/>
          <w:rtl/>
        </w:rPr>
        <w:t>למעט</w:t>
      </w:r>
      <w:r w:rsidRPr="00EE738E">
        <w:rPr>
          <w:rFonts w:ascii="Century" w:hAnsi="Century" w:cs="Miriam"/>
          <w:b/>
          <w:spacing w:val="0"/>
          <w:szCs w:val="24"/>
          <w:rtl/>
        </w:rPr>
        <w:t xml:space="preserve"> </w:t>
      </w:r>
      <w:r w:rsidRPr="00EE738E">
        <w:rPr>
          <w:rFonts w:ascii="Century" w:hAnsi="Century" w:cs="Miriam" w:hint="eastAsia"/>
          <w:b/>
          <w:spacing w:val="0"/>
          <w:szCs w:val="24"/>
          <w:rtl/>
        </w:rPr>
        <w:t>נזק</w:t>
      </w:r>
      <w:r w:rsidRPr="00EE738E">
        <w:rPr>
          <w:rFonts w:ascii="Century" w:hAnsi="Century" w:cs="Miriam"/>
          <w:b/>
          <w:spacing w:val="0"/>
          <w:szCs w:val="24"/>
          <w:rtl/>
        </w:rPr>
        <w:t xml:space="preserve"> </w:t>
      </w:r>
      <w:r w:rsidRPr="00EE738E">
        <w:rPr>
          <w:rFonts w:ascii="Century" w:hAnsi="Century" w:cs="Miriam" w:hint="eastAsia"/>
          <w:b/>
          <w:spacing w:val="0"/>
          <w:szCs w:val="24"/>
          <w:rtl/>
        </w:rPr>
        <w:t>שנגרם</w:t>
      </w:r>
      <w:r w:rsidRPr="00EE738E">
        <w:rPr>
          <w:rFonts w:ascii="Century" w:hAnsi="Century" w:cs="Miriam"/>
          <w:b/>
          <w:spacing w:val="0"/>
          <w:szCs w:val="24"/>
          <w:rtl/>
        </w:rPr>
        <w:t xml:space="preserve"> </w:t>
      </w:r>
      <w:r w:rsidRPr="00EE738E">
        <w:rPr>
          <w:rFonts w:ascii="Century" w:hAnsi="Century" w:cs="Miriam" w:hint="eastAsia"/>
          <w:b/>
          <w:spacing w:val="0"/>
          <w:szCs w:val="24"/>
          <w:rtl/>
        </w:rPr>
        <w:t>בסוגי</w:t>
      </w:r>
      <w:r w:rsidRPr="00EE738E">
        <w:rPr>
          <w:rFonts w:ascii="Century" w:hAnsi="Century" w:cs="Miriam"/>
          <w:b/>
          <w:spacing w:val="0"/>
          <w:szCs w:val="24"/>
          <w:rtl/>
        </w:rPr>
        <w:t xml:space="preserve"> </w:t>
      </w:r>
      <w:r w:rsidRPr="00EE738E">
        <w:rPr>
          <w:rFonts w:ascii="Century" w:hAnsi="Century" w:cs="Miriam" w:hint="eastAsia"/>
          <w:b/>
          <w:spacing w:val="0"/>
          <w:szCs w:val="24"/>
          <w:rtl/>
        </w:rPr>
        <w:t>תביעות</w:t>
      </w:r>
      <w:r w:rsidRPr="00EE738E">
        <w:rPr>
          <w:rFonts w:ascii="Century" w:hAnsi="Century" w:cs="Miriam"/>
          <w:b/>
          <w:spacing w:val="0"/>
          <w:szCs w:val="24"/>
          <w:rtl/>
        </w:rPr>
        <w:t xml:space="preserve"> </w:t>
      </w:r>
      <w:r w:rsidRPr="00EE738E">
        <w:rPr>
          <w:rFonts w:ascii="Century" w:hAnsi="Century" w:cs="Miriam" w:hint="eastAsia"/>
          <w:b/>
          <w:spacing w:val="0"/>
          <w:szCs w:val="24"/>
          <w:rtl/>
        </w:rPr>
        <w:t>או</w:t>
      </w:r>
      <w:r w:rsidRPr="00EE738E">
        <w:rPr>
          <w:rFonts w:ascii="Century" w:hAnsi="Century" w:cs="Miriam"/>
          <w:b/>
          <w:spacing w:val="0"/>
          <w:szCs w:val="24"/>
          <w:rtl/>
        </w:rPr>
        <w:t xml:space="preserve"> </w:t>
      </w:r>
      <w:r w:rsidRPr="00EE738E">
        <w:rPr>
          <w:rFonts w:ascii="Century" w:hAnsi="Century" w:cs="Miriam" w:hint="eastAsia"/>
          <w:b/>
          <w:spacing w:val="0"/>
          <w:szCs w:val="24"/>
          <w:rtl/>
        </w:rPr>
        <w:t>לסוגי</w:t>
      </w:r>
      <w:r w:rsidRPr="00EE738E">
        <w:rPr>
          <w:rFonts w:ascii="Century" w:hAnsi="Century" w:cs="Miriam"/>
          <w:b/>
          <w:spacing w:val="0"/>
          <w:szCs w:val="24"/>
          <w:rtl/>
        </w:rPr>
        <w:t xml:space="preserve"> </w:t>
      </w:r>
      <w:r w:rsidRPr="00EE738E">
        <w:rPr>
          <w:rFonts w:ascii="Century" w:hAnsi="Century" w:cs="Miriam" w:hint="eastAsia"/>
          <w:b/>
          <w:spacing w:val="0"/>
          <w:szCs w:val="24"/>
          <w:rtl/>
        </w:rPr>
        <w:t>תובעים</w:t>
      </w:r>
      <w:r w:rsidRPr="00EE738E">
        <w:rPr>
          <w:rFonts w:ascii="Century" w:hAnsi="Century" w:cs="Miriam"/>
          <w:b/>
          <w:spacing w:val="0"/>
          <w:szCs w:val="24"/>
          <w:rtl/>
        </w:rPr>
        <w:t xml:space="preserve"> </w:t>
      </w:r>
      <w:r w:rsidRPr="00EE738E">
        <w:rPr>
          <w:rFonts w:ascii="Century" w:hAnsi="Century" w:cs="Miriam" w:hint="eastAsia"/>
          <w:b/>
          <w:spacing w:val="0"/>
          <w:szCs w:val="24"/>
          <w:rtl/>
        </w:rPr>
        <w:t>כאמור</w:t>
      </w:r>
      <w:r w:rsidRPr="00EE738E">
        <w:rPr>
          <w:rFonts w:ascii="Century" w:hAnsi="Century" w:cs="Miriam"/>
          <w:b/>
          <w:spacing w:val="0"/>
          <w:szCs w:val="24"/>
          <w:rtl/>
        </w:rPr>
        <w:t xml:space="preserve"> </w:t>
      </w:r>
      <w:r w:rsidRPr="00EE738E">
        <w:rPr>
          <w:rFonts w:ascii="Century" w:hAnsi="Century" w:cs="Miriam" w:hint="eastAsia"/>
          <w:b/>
          <w:spacing w:val="0"/>
          <w:szCs w:val="24"/>
          <w:rtl/>
        </w:rPr>
        <w:t>בתוספת</w:t>
      </w:r>
      <w:r w:rsidRPr="00EE738E">
        <w:rPr>
          <w:rFonts w:ascii="Century" w:hAnsi="Century" w:cs="Miriam"/>
          <w:b/>
          <w:spacing w:val="0"/>
          <w:szCs w:val="24"/>
          <w:rtl/>
        </w:rPr>
        <w:t xml:space="preserve"> </w:t>
      </w:r>
      <w:r w:rsidRPr="00EE738E">
        <w:rPr>
          <w:rFonts w:ascii="Century" w:hAnsi="Century" w:cs="Miriam" w:hint="eastAsia"/>
          <w:b/>
          <w:spacing w:val="0"/>
          <w:szCs w:val="24"/>
          <w:rtl/>
        </w:rPr>
        <w:t>השניה</w:t>
      </w:r>
      <w:r w:rsidRPr="00EE738E">
        <w:rPr>
          <w:rFonts w:ascii="Century" w:hAnsi="Century" w:cs="Miriam"/>
          <w:b/>
          <w:spacing w:val="0"/>
          <w:szCs w:val="24"/>
          <w:rtl/>
        </w:rPr>
        <w:t>.</w:t>
      </w:r>
    </w:p>
    <w:p w:rsidR="00D512D4" w:rsidRPr="00EE738E" w:rsidRDefault="00D512D4" w:rsidP="00E74CCB">
      <w:pPr>
        <w:pStyle w:val="Ruller5"/>
        <w:rPr>
          <w:rFonts w:ascii="Century" w:hAnsi="Century" w:cs="Miriam"/>
          <w:b/>
          <w:spacing w:val="0"/>
          <w:szCs w:val="24"/>
          <w:rtl/>
        </w:rPr>
      </w:pPr>
    </w:p>
    <w:p w:rsidR="00D512D4" w:rsidRDefault="00D512D4" w:rsidP="00916DB0">
      <w:pPr>
        <w:pStyle w:val="Ruller5"/>
        <w:spacing w:line="360" w:lineRule="auto"/>
        <w:rPr>
          <w:rFonts w:ascii="Century" w:hAnsi="Century" w:cs="Miriam"/>
          <w:b/>
          <w:spacing w:val="0"/>
          <w:szCs w:val="24"/>
          <w:rtl/>
        </w:rPr>
      </w:pPr>
      <w:r w:rsidRPr="00EE738E">
        <w:rPr>
          <w:rFonts w:ascii="Century" w:hAnsi="Century" w:cs="Miriam" w:hint="cs"/>
          <w:b/>
          <w:spacing w:val="0"/>
          <w:szCs w:val="24"/>
          <w:rtl/>
        </w:rPr>
        <w:t xml:space="preserve">         </w:t>
      </w:r>
      <w:r w:rsidRPr="00EE738E">
        <w:rPr>
          <w:rFonts w:ascii="Century" w:hAnsi="Century" w:cs="Miriam"/>
          <w:b/>
          <w:spacing w:val="0"/>
          <w:szCs w:val="24"/>
          <w:rtl/>
        </w:rPr>
        <w:t>(</w:t>
      </w:r>
      <w:r w:rsidRPr="00EE738E">
        <w:rPr>
          <w:rFonts w:ascii="Century" w:hAnsi="Century" w:cs="Miriam" w:hint="eastAsia"/>
          <w:b/>
          <w:spacing w:val="0"/>
          <w:szCs w:val="24"/>
          <w:rtl/>
        </w:rPr>
        <w:t>ב</w:t>
      </w:r>
      <w:r w:rsidRPr="00EE738E">
        <w:rPr>
          <w:rFonts w:ascii="Century" w:hAnsi="Century" w:cs="Miriam"/>
          <w:b/>
          <w:spacing w:val="0"/>
          <w:szCs w:val="24"/>
          <w:rtl/>
        </w:rPr>
        <w:t xml:space="preserve">)(1) </w:t>
      </w:r>
      <w:r w:rsidRPr="00EE738E">
        <w:rPr>
          <w:rFonts w:ascii="Century" w:hAnsi="Century" w:cs="Miriam" w:hint="eastAsia"/>
          <w:b/>
          <w:spacing w:val="0"/>
          <w:szCs w:val="24"/>
          <w:rtl/>
        </w:rPr>
        <w:t>שר</w:t>
      </w:r>
      <w:r w:rsidRPr="00EE738E">
        <w:rPr>
          <w:rFonts w:ascii="Century" w:hAnsi="Century" w:cs="Miriam"/>
          <w:b/>
          <w:spacing w:val="0"/>
          <w:szCs w:val="24"/>
          <w:rtl/>
        </w:rPr>
        <w:t xml:space="preserve"> </w:t>
      </w:r>
      <w:r w:rsidRPr="00EE738E">
        <w:rPr>
          <w:rFonts w:ascii="Century" w:hAnsi="Century" w:cs="Miriam" w:hint="eastAsia"/>
          <w:b/>
          <w:spacing w:val="0"/>
          <w:szCs w:val="24"/>
          <w:rtl/>
        </w:rPr>
        <w:t>הביטחון</w:t>
      </w:r>
      <w:r w:rsidRPr="00EE738E">
        <w:rPr>
          <w:rFonts w:ascii="Century" w:hAnsi="Century" w:cs="Miriam"/>
          <w:b/>
          <w:spacing w:val="0"/>
          <w:szCs w:val="24"/>
          <w:rtl/>
        </w:rPr>
        <w:t xml:space="preserve"> </w:t>
      </w:r>
      <w:r w:rsidRPr="00EE738E">
        <w:rPr>
          <w:rFonts w:ascii="Century" w:hAnsi="Century" w:cs="Miriam" w:hint="eastAsia"/>
          <w:b/>
          <w:spacing w:val="0"/>
          <w:szCs w:val="24"/>
          <w:rtl/>
        </w:rPr>
        <w:t>ימנה</w:t>
      </w:r>
      <w:r w:rsidRPr="00EE738E">
        <w:rPr>
          <w:rFonts w:ascii="Century" w:hAnsi="Century" w:cs="Miriam"/>
          <w:b/>
          <w:spacing w:val="0"/>
          <w:szCs w:val="24"/>
          <w:rtl/>
        </w:rPr>
        <w:t xml:space="preserve"> </w:t>
      </w:r>
      <w:r w:rsidRPr="00EE738E">
        <w:rPr>
          <w:rFonts w:ascii="Century" w:hAnsi="Century" w:cs="Miriam" w:hint="eastAsia"/>
          <w:b/>
          <w:spacing w:val="0"/>
          <w:szCs w:val="24"/>
          <w:rtl/>
        </w:rPr>
        <w:t>ועדה</w:t>
      </w:r>
      <w:r w:rsidRPr="00EE738E">
        <w:rPr>
          <w:rFonts w:ascii="Century" w:hAnsi="Century" w:cs="Miriam"/>
          <w:b/>
          <w:spacing w:val="0"/>
          <w:szCs w:val="24"/>
          <w:rtl/>
        </w:rPr>
        <w:t xml:space="preserve">, </w:t>
      </w:r>
      <w:r w:rsidRPr="00EE738E">
        <w:rPr>
          <w:rFonts w:ascii="Century" w:hAnsi="Century" w:cs="Miriam" w:hint="eastAsia"/>
          <w:b/>
          <w:spacing w:val="0"/>
          <w:szCs w:val="24"/>
          <w:rtl/>
        </w:rPr>
        <w:t>אשר</w:t>
      </w:r>
      <w:r w:rsidRPr="00EE738E">
        <w:rPr>
          <w:rFonts w:ascii="Century" w:hAnsi="Century" w:cs="Miriam"/>
          <w:b/>
          <w:spacing w:val="0"/>
          <w:szCs w:val="24"/>
          <w:rtl/>
        </w:rPr>
        <w:t xml:space="preserve"> </w:t>
      </w:r>
      <w:r w:rsidRPr="00EE738E">
        <w:rPr>
          <w:rFonts w:ascii="Century" w:hAnsi="Century" w:cs="Miriam" w:hint="eastAsia"/>
          <w:b/>
          <w:spacing w:val="0"/>
          <w:szCs w:val="24"/>
          <w:rtl/>
        </w:rPr>
        <w:t>תוסמך</w:t>
      </w:r>
      <w:r w:rsidRPr="00EE738E">
        <w:rPr>
          <w:rFonts w:ascii="Century" w:hAnsi="Century" w:cs="Miriam"/>
          <w:b/>
          <w:spacing w:val="0"/>
          <w:szCs w:val="24"/>
          <w:rtl/>
        </w:rPr>
        <w:t xml:space="preserve"> </w:t>
      </w:r>
      <w:r w:rsidRPr="00EE738E">
        <w:rPr>
          <w:rFonts w:ascii="Century" w:hAnsi="Century" w:cs="Miriam" w:hint="eastAsia"/>
          <w:b/>
          <w:spacing w:val="0"/>
          <w:szCs w:val="24"/>
          <w:rtl/>
        </w:rPr>
        <w:t>לאשר</w:t>
      </w:r>
      <w:r w:rsidRPr="00EE738E">
        <w:rPr>
          <w:rFonts w:ascii="Century" w:hAnsi="Century" w:cs="Miriam"/>
          <w:b/>
          <w:spacing w:val="0"/>
          <w:szCs w:val="24"/>
          <w:rtl/>
        </w:rPr>
        <w:t xml:space="preserve">, </w:t>
      </w:r>
      <w:r w:rsidRPr="00EE738E">
        <w:rPr>
          <w:rFonts w:ascii="Century" w:hAnsi="Century" w:cs="Miriam" w:hint="eastAsia"/>
          <w:b/>
          <w:spacing w:val="0"/>
          <w:szCs w:val="24"/>
          <w:rtl/>
        </w:rPr>
        <w:t>לפנים</w:t>
      </w:r>
      <w:r w:rsidRPr="00EE738E">
        <w:rPr>
          <w:rFonts w:ascii="Century" w:hAnsi="Century" w:cs="Miriam"/>
          <w:b/>
          <w:spacing w:val="0"/>
          <w:szCs w:val="24"/>
          <w:rtl/>
        </w:rPr>
        <w:t xml:space="preserve"> </w:t>
      </w:r>
      <w:r w:rsidRPr="00EE738E">
        <w:rPr>
          <w:rFonts w:ascii="Century" w:hAnsi="Century" w:cs="Miriam" w:hint="eastAsia"/>
          <w:b/>
          <w:spacing w:val="0"/>
          <w:szCs w:val="24"/>
          <w:rtl/>
        </w:rPr>
        <w:t>משורת</w:t>
      </w:r>
      <w:r w:rsidRPr="00EE738E">
        <w:rPr>
          <w:rFonts w:ascii="Century" w:hAnsi="Century" w:cs="Miriam"/>
          <w:b/>
          <w:spacing w:val="0"/>
          <w:szCs w:val="24"/>
          <w:rtl/>
        </w:rPr>
        <w:t xml:space="preserve"> </w:t>
      </w:r>
      <w:r w:rsidRPr="00EE738E">
        <w:rPr>
          <w:rFonts w:ascii="Century" w:hAnsi="Century" w:cs="Miriam" w:hint="eastAsia"/>
          <w:b/>
          <w:spacing w:val="0"/>
          <w:szCs w:val="24"/>
          <w:rtl/>
        </w:rPr>
        <w:t>הדין</w:t>
      </w:r>
      <w:r w:rsidRPr="00EE738E">
        <w:rPr>
          <w:rFonts w:ascii="Century" w:hAnsi="Century" w:cs="Miriam"/>
          <w:b/>
          <w:spacing w:val="0"/>
          <w:szCs w:val="24"/>
          <w:rtl/>
        </w:rPr>
        <w:t xml:space="preserve">, </w:t>
      </w:r>
      <w:r w:rsidRPr="00EE738E">
        <w:rPr>
          <w:rFonts w:ascii="Century" w:hAnsi="Century" w:cs="Miriam" w:hint="eastAsia"/>
          <w:b/>
          <w:spacing w:val="0"/>
          <w:szCs w:val="24"/>
          <w:rtl/>
        </w:rPr>
        <w:t>בנסיבות</w:t>
      </w:r>
      <w:r w:rsidRPr="00EE738E">
        <w:rPr>
          <w:rFonts w:ascii="Century" w:hAnsi="Century" w:cs="Miriam"/>
          <w:b/>
          <w:spacing w:val="0"/>
          <w:szCs w:val="24"/>
          <w:rtl/>
        </w:rPr>
        <w:t xml:space="preserve"> </w:t>
      </w:r>
      <w:r w:rsidRPr="00EE738E">
        <w:rPr>
          <w:rFonts w:ascii="Century" w:hAnsi="Century" w:cs="Miriam" w:hint="eastAsia"/>
          <w:b/>
          <w:spacing w:val="0"/>
          <w:szCs w:val="24"/>
          <w:rtl/>
        </w:rPr>
        <w:t>מיוחדות</w:t>
      </w:r>
      <w:r w:rsidRPr="00EE738E">
        <w:rPr>
          <w:rFonts w:ascii="Century" w:hAnsi="Century" w:cs="Miriam"/>
          <w:b/>
          <w:spacing w:val="0"/>
          <w:szCs w:val="24"/>
          <w:rtl/>
        </w:rPr>
        <w:t xml:space="preserve">, </w:t>
      </w:r>
      <w:r w:rsidRPr="00EE738E">
        <w:rPr>
          <w:rFonts w:ascii="Century" w:hAnsi="Century" w:cs="Miriam" w:hint="eastAsia"/>
          <w:b/>
          <w:spacing w:val="0"/>
          <w:szCs w:val="24"/>
          <w:rtl/>
        </w:rPr>
        <w:t>תשלום</w:t>
      </w:r>
      <w:r w:rsidRPr="00EE738E">
        <w:rPr>
          <w:rFonts w:ascii="Century" w:hAnsi="Century" w:cs="Miriam"/>
          <w:b/>
          <w:spacing w:val="0"/>
          <w:szCs w:val="24"/>
          <w:rtl/>
        </w:rPr>
        <w:t xml:space="preserve"> </w:t>
      </w:r>
      <w:r w:rsidRPr="00EE738E">
        <w:rPr>
          <w:rFonts w:ascii="Century" w:hAnsi="Century" w:cs="Miriam" w:hint="eastAsia"/>
          <w:b/>
          <w:spacing w:val="0"/>
          <w:szCs w:val="24"/>
          <w:rtl/>
        </w:rPr>
        <w:t>לפונה</w:t>
      </w:r>
      <w:r w:rsidRPr="00EE738E">
        <w:rPr>
          <w:rFonts w:ascii="Century" w:hAnsi="Century" w:cs="Miriam"/>
          <w:b/>
          <w:spacing w:val="0"/>
          <w:szCs w:val="24"/>
          <w:rtl/>
        </w:rPr>
        <w:t xml:space="preserve"> </w:t>
      </w:r>
      <w:r w:rsidRPr="00EE738E">
        <w:rPr>
          <w:rFonts w:ascii="Century" w:hAnsi="Century" w:cs="Miriam" w:hint="eastAsia"/>
          <w:b/>
          <w:spacing w:val="0"/>
          <w:szCs w:val="24"/>
          <w:rtl/>
        </w:rPr>
        <w:t>אשר</w:t>
      </w:r>
      <w:r w:rsidRPr="00EE738E">
        <w:rPr>
          <w:rFonts w:ascii="Century" w:hAnsi="Century" w:cs="Miriam"/>
          <w:b/>
          <w:spacing w:val="0"/>
          <w:szCs w:val="24"/>
          <w:rtl/>
        </w:rPr>
        <w:t xml:space="preserve"> </w:t>
      </w:r>
      <w:r w:rsidRPr="00EE738E">
        <w:rPr>
          <w:rFonts w:ascii="Century" w:hAnsi="Century" w:cs="Miriam" w:hint="eastAsia"/>
          <w:b/>
          <w:spacing w:val="0"/>
          <w:szCs w:val="24"/>
          <w:rtl/>
        </w:rPr>
        <w:t>סעיף</w:t>
      </w:r>
      <w:r w:rsidRPr="00EE738E">
        <w:rPr>
          <w:rFonts w:ascii="Century" w:hAnsi="Century" w:cs="Miriam"/>
          <w:b/>
          <w:spacing w:val="0"/>
          <w:szCs w:val="24"/>
          <w:rtl/>
        </w:rPr>
        <w:t xml:space="preserve"> </w:t>
      </w:r>
      <w:r w:rsidRPr="00EE738E">
        <w:rPr>
          <w:rFonts w:ascii="Century" w:hAnsi="Century" w:cs="Miriam" w:hint="eastAsia"/>
          <w:b/>
          <w:spacing w:val="0"/>
          <w:szCs w:val="24"/>
          <w:rtl/>
        </w:rPr>
        <w:t>קטן</w:t>
      </w:r>
      <w:r w:rsidRPr="00EE738E">
        <w:rPr>
          <w:rFonts w:ascii="Century" w:hAnsi="Century" w:cs="Miriam"/>
          <w:b/>
          <w:spacing w:val="0"/>
          <w:szCs w:val="24"/>
          <w:rtl/>
        </w:rPr>
        <w:t xml:space="preserve"> (</w:t>
      </w:r>
      <w:r w:rsidRPr="00EE738E">
        <w:rPr>
          <w:rFonts w:ascii="Century" w:hAnsi="Century" w:cs="Miriam" w:hint="eastAsia"/>
          <w:b/>
          <w:spacing w:val="0"/>
          <w:szCs w:val="24"/>
          <w:rtl/>
        </w:rPr>
        <w:t>א</w:t>
      </w:r>
      <w:r w:rsidRPr="00EE738E">
        <w:rPr>
          <w:rFonts w:ascii="Century" w:hAnsi="Century" w:cs="Miriam"/>
          <w:b/>
          <w:spacing w:val="0"/>
          <w:szCs w:val="24"/>
          <w:rtl/>
        </w:rPr>
        <w:t xml:space="preserve">) </w:t>
      </w:r>
      <w:r w:rsidRPr="00EE738E">
        <w:rPr>
          <w:rFonts w:ascii="Century" w:hAnsi="Century" w:cs="Miriam" w:hint="eastAsia"/>
          <w:b/>
          <w:spacing w:val="0"/>
          <w:szCs w:val="24"/>
          <w:rtl/>
        </w:rPr>
        <w:t>חל</w:t>
      </w:r>
      <w:r w:rsidRPr="00EE738E">
        <w:rPr>
          <w:rFonts w:ascii="Century" w:hAnsi="Century" w:cs="Miriam"/>
          <w:b/>
          <w:spacing w:val="0"/>
          <w:szCs w:val="24"/>
          <w:rtl/>
        </w:rPr>
        <w:t xml:space="preserve"> </w:t>
      </w:r>
      <w:r w:rsidRPr="00EE738E">
        <w:rPr>
          <w:rFonts w:ascii="Century" w:hAnsi="Century" w:cs="Miriam" w:hint="eastAsia"/>
          <w:b/>
          <w:spacing w:val="0"/>
          <w:szCs w:val="24"/>
          <w:rtl/>
        </w:rPr>
        <w:t>עליו</w:t>
      </w:r>
      <w:r w:rsidRPr="00EE738E">
        <w:rPr>
          <w:rFonts w:ascii="Century" w:hAnsi="Century" w:cs="Miriam"/>
          <w:b/>
          <w:spacing w:val="0"/>
          <w:szCs w:val="24"/>
          <w:rtl/>
        </w:rPr>
        <w:t xml:space="preserve"> </w:t>
      </w:r>
      <w:r w:rsidRPr="00EE738E">
        <w:rPr>
          <w:rFonts w:ascii="Century" w:hAnsi="Century" w:cs="Miriam" w:hint="eastAsia"/>
          <w:b/>
          <w:spacing w:val="0"/>
          <w:szCs w:val="24"/>
          <w:rtl/>
        </w:rPr>
        <w:t>ולקבוע</w:t>
      </w:r>
      <w:r w:rsidRPr="00EE738E">
        <w:rPr>
          <w:rFonts w:ascii="Century" w:hAnsi="Century" w:cs="Miriam"/>
          <w:b/>
          <w:spacing w:val="0"/>
          <w:szCs w:val="24"/>
          <w:rtl/>
        </w:rPr>
        <w:t xml:space="preserve"> </w:t>
      </w:r>
      <w:r w:rsidRPr="00EE738E">
        <w:rPr>
          <w:rFonts w:ascii="Century" w:hAnsi="Century" w:cs="Miriam" w:hint="eastAsia"/>
          <w:b/>
          <w:spacing w:val="0"/>
          <w:szCs w:val="24"/>
          <w:rtl/>
        </w:rPr>
        <w:t>את</w:t>
      </w:r>
      <w:r w:rsidRPr="00EE738E">
        <w:rPr>
          <w:rFonts w:ascii="Century" w:hAnsi="Century" w:cs="Miriam"/>
          <w:b/>
          <w:spacing w:val="0"/>
          <w:szCs w:val="24"/>
          <w:rtl/>
        </w:rPr>
        <w:t xml:space="preserve"> </w:t>
      </w:r>
      <w:r w:rsidRPr="00EE738E">
        <w:rPr>
          <w:rFonts w:ascii="Century" w:hAnsi="Century" w:cs="Miriam" w:hint="eastAsia"/>
          <w:b/>
          <w:spacing w:val="0"/>
          <w:szCs w:val="24"/>
          <w:rtl/>
        </w:rPr>
        <w:t>שיעורו</w:t>
      </w:r>
      <w:r>
        <w:rPr>
          <w:rFonts w:ascii="Century" w:hAnsi="Century" w:cs="Miriam" w:hint="cs"/>
          <w:b/>
          <w:spacing w:val="0"/>
          <w:szCs w:val="24"/>
          <w:rtl/>
        </w:rPr>
        <w:t>.</w:t>
      </w:r>
    </w:p>
    <w:p w:rsidR="00D512D4" w:rsidRDefault="00D512D4" w:rsidP="00916DB0">
      <w:pPr>
        <w:pStyle w:val="Ruller5"/>
        <w:spacing w:line="360" w:lineRule="auto"/>
        <w:rPr>
          <w:rFonts w:ascii="Century" w:hAnsi="Century" w:cs="Miriam"/>
          <w:b/>
          <w:spacing w:val="0"/>
          <w:szCs w:val="24"/>
          <w:rtl/>
        </w:rPr>
      </w:pPr>
      <w:r>
        <w:rPr>
          <w:rFonts w:ascii="Century" w:hAnsi="Century" w:cs="Miriam"/>
          <w:b/>
          <w:spacing w:val="0"/>
          <w:szCs w:val="24"/>
          <w:rtl/>
        </w:rPr>
        <w:tab/>
      </w:r>
      <w:r>
        <w:rPr>
          <w:rFonts w:ascii="Century" w:hAnsi="Century" w:cs="Miriam" w:hint="cs"/>
          <w:b/>
          <w:spacing w:val="0"/>
          <w:szCs w:val="24"/>
          <w:rtl/>
        </w:rPr>
        <w:t>[...]</w:t>
      </w:r>
    </w:p>
    <w:p w:rsidR="00D512D4" w:rsidRDefault="00D512D4" w:rsidP="00E74CCB">
      <w:pPr>
        <w:pStyle w:val="Ruller5"/>
        <w:rPr>
          <w:rFonts w:ascii="Century" w:hAnsi="Century" w:cs="Miriam"/>
          <w:b/>
          <w:spacing w:val="0"/>
          <w:szCs w:val="24"/>
          <w:rtl/>
        </w:rPr>
      </w:pPr>
    </w:p>
    <w:p w:rsidR="00D512D4" w:rsidRPr="00EE738E" w:rsidRDefault="00D512D4" w:rsidP="00916DB0">
      <w:pPr>
        <w:pStyle w:val="Ruller5"/>
        <w:spacing w:line="360" w:lineRule="auto"/>
        <w:rPr>
          <w:rFonts w:ascii="Century" w:hAnsi="Century" w:cs="Miriam"/>
          <w:b/>
          <w:spacing w:val="0"/>
          <w:szCs w:val="24"/>
          <w:rtl/>
        </w:rPr>
      </w:pPr>
      <w:r w:rsidRPr="00EE738E">
        <w:rPr>
          <w:rFonts w:ascii="Century" w:hAnsi="Century" w:cs="Miriam" w:hint="cs"/>
          <w:b/>
          <w:spacing w:val="0"/>
          <w:szCs w:val="24"/>
          <w:rtl/>
        </w:rPr>
        <w:t xml:space="preserve">         </w:t>
      </w:r>
      <w:r w:rsidRPr="00EE738E">
        <w:rPr>
          <w:rFonts w:ascii="Century" w:hAnsi="Century" w:cs="Miriam"/>
          <w:b/>
          <w:spacing w:val="0"/>
          <w:szCs w:val="24"/>
          <w:rtl/>
        </w:rPr>
        <w:t>(</w:t>
      </w:r>
      <w:r w:rsidRPr="00EE738E">
        <w:rPr>
          <w:rFonts w:ascii="Century" w:hAnsi="Century" w:cs="Miriam" w:hint="eastAsia"/>
          <w:b/>
          <w:spacing w:val="0"/>
          <w:szCs w:val="24"/>
          <w:rtl/>
        </w:rPr>
        <w:t>ג</w:t>
      </w:r>
      <w:r w:rsidRPr="00EE738E">
        <w:rPr>
          <w:rFonts w:ascii="Century" w:hAnsi="Century" w:cs="Miriam"/>
          <w:b/>
          <w:spacing w:val="0"/>
          <w:szCs w:val="24"/>
          <w:rtl/>
        </w:rPr>
        <w:t xml:space="preserve">) </w:t>
      </w:r>
      <w:r w:rsidRPr="00EE738E">
        <w:rPr>
          <w:rFonts w:ascii="Century" w:hAnsi="Century" w:cs="Miriam" w:hint="eastAsia"/>
          <w:b/>
          <w:spacing w:val="0"/>
          <w:szCs w:val="24"/>
          <w:rtl/>
        </w:rPr>
        <w:t>שר</w:t>
      </w:r>
      <w:r w:rsidRPr="00EE738E">
        <w:rPr>
          <w:rFonts w:ascii="Century" w:hAnsi="Century" w:cs="Miriam"/>
          <w:b/>
          <w:spacing w:val="0"/>
          <w:szCs w:val="24"/>
          <w:rtl/>
        </w:rPr>
        <w:t xml:space="preserve"> </w:t>
      </w:r>
      <w:r w:rsidRPr="00EE738E">
        <w:rPr>
          <w:rFonts w:ascii="Century" w:hAnsi="Century" w:cs="Miriam" w:hint="eastAsia"/>
          <w:b/>
          <w:spacing w:val="0"/>
          <w:szCs w:val="24"/>
          <w:rtl/>
        </w:rPr>
        <w:t>הביטחון</w:t>
      </w:r>
      <w:r w:rsidRPr="00EE738E">
        <w:rPr>
          <w:rFonts w:ascii="Century" w:hAnsi="Century" w:cs="Miriam"/>
          <w:b/>
          <w:spacing w:val="0"/>
          <w:szCs w:val="24"/>
          <w:rtl/>
        </w:rPr>
        <w:t xml:space="preserve"> </w:t>
      </w:r>
      <w:r w:rsidRPr="00EE738E">
        <w:rPr>
          <w:rFonts w:ascii="Century" w:hAnsi="Century" w:cs="Miriam" w:hint="eastAsia"/>
          <w:b/>
          <w:spacing w:val="0"/>
          <w:szCs w:val="24"/>
          <w:rtl/>
        </w:rPr>
        <w:t>רשאי</w:t>
      </w:r>
      <w:r w:rsidRPr="00EE738E">
        <w:rPr>
          <w:rFonts w:ascii="Century" w:hAnsi="Century" w:cs="Miriam"/>
          <w:b/>
          <w:spacing w:val="0"/>
          <w:szCs w:val="24"/>
          <w:rtl/>
        </w:rPr>
        <w:t xml:space="preserve"> </w:t>
      </w:r>
      <w:r w:rsidRPr="00EE738E">
        <w:rPr>
          <w:rFonts w:ascii="Century" w:hAnsi="Century" w:cs="Miriam" w:hint="eastAsia"/>
          <w:b/>
          <w:spacing w:val="0"/>
          <w:szCs w:val="24"/>
          <w:rtl/>
        </w:rPr>
        <w:t>להכריז</w:t>
      </w:r>
      <w:r w:rsidRPr="00EE738E">
        <w:rPr>
          <w:rFonts w:ascii="Century" w:hAnsi="Century" w:cs="Miriam"/>
          <w:b/>
          <w:spacing w:val="0"/>
          <w:szCs w:val="24"/>
          <w:rtl/>
        </w:rPr>
        <w:t xml:space="preserve"> </w:t>
      </w:r>
      <w:r w:rsidRPr="00EE738E">
        <w:rPr>
          <w:rFonts w:ascii="Century" w:hAnsi="Century" w:cs="Miriam" w:hint="eastAsia"/>
          <w:b/>
          <w:spacing w:val="0"/>
          <w:szCs w:val="24"/>
          <w:rtl/>
        </w:rPr>
        <w:t>על</w:t>
      </w:r>
      <w:r w:rsidRPr="00EE738E">
        <w:rPr>
          <w:rFonts w:ascii="Century" w:hAnsi="Century" w:cs="Miriam"/>
          <w:b/>
          <w:spacing w:val="0"/>
          <w:szCs w:val="24"/>
          <w:rtl/>
        </w:rPr>
        <w:t xml:space="preserve"> </w:t>
      </w:r>
      <w:r w:rsidRPr="00EE738E">
        <w:rPr>
          <w:rFonts w:ascii="Century" w:hAnsi="Century" w:cs="Miriam" w:hint="eastAsia"/>
          <w:b/>
          <w:spacing w:val="0"/>
          <w:szCs w:val="24"/>
          <w:rtl/>
        </w:rPr>
        <w:t>שטח</w:t>
      </w:r>
      <w:r w:rsidRPr="00EE738E">
        <w:rPr>
          <w:rFonts w:ascii="Century" w:hAnsi="Century" w:cs="Miriam"/>
          <w:b/>
          <w:spacing w:val="0"/>
          <w:szCs w:val="24"/>
          <w:rtl/>
        </w:rPr>
        <w:t xml:space="preserve"> </w:t>
      </w:r>
      <w:r w:rsidRPr="00EE738E">
        <w:rPr>
          <w:rFonts w:ascii="Century" w:hAnsi="Century" w:cs="Miriam" w:hint="eastAsia"/>
          <w:b/>
          <w:spacing w:val="0"/>
          <w:szCs w:val="24"/>
          <w:rtl/>
        </w:rPr>
        <w:t>כעל</w:t>
      </w:r>
      <w:r w:rsidRPr="00EE738E">
        <w:rPr>
          <w:rFonts w:ascii="Century" w:hAnsi="Century" w:cs="Miriam"/>
          <w:b/>
          <w:spacing w:val="0"/>
          <w:szCs w:val="24"/>
          <w:rtl/>
        </w:rPr>
        <w:t xml:space="preserve"> </w:t>
      </w:r>
      <w:r w:rsidRPr="00EE738E">
        <w:rPr>
          <w:rFonts w:ascii="Century" w:hAnsi="Century" w:cs="Miriam" w:hint="eastAsia"/>
          <w:b/>
          <w:spacing w:val="0"/>
          <w:szCs w:val="24"/>
          <w:rtl/>
        </w:rPr>
        <w:t>אזור</w:t>
      </w:r>
      <w:r w:rsidRPr="00EE738E">
        <w:rPr>
          <w:rFonts w:ascii="Century" w:hAnsi="Century" w:cs="Miriam"/>
          <w:b/>
          <w:spacing w:val="0"/>
          <w:szCs w:val="24"/>
          <w:rtl/>
        </w:rPr>
        <w:t xml:space="preserve"> </w:t>
      </w:r>
      <w:r w:rsidRPr="00EE738E">
        <w:rPr>
          <w:rFonts w:ascii="Century" w:hAnsi="Century" w:cs="Miriam" w:hint="eastAsia"/>
          <w:b/>
          <w:spacing w:val="0"/>
          <w:szCs w:val="24"/>
          <w:rtl/>
        </w:rPr>
        <w:t>עימות</w:t>
      </w:r>
      <w:r w:rsidRPr="00EE738E">
        <w:rPr>
          <w:rFonts w:ascii="Century" w:hAnsi="Century" w:cs="Miriam"/>
          <w:b/>
          <w:spacing w:val="0"/>
          <w:szCs w:val="24"/>
          <w:rtl/>
        </w:rPr>
        <w:t xml:space="preserve">; </w:t>
      </w:r>
      <w:r w:rsidRPr="00EE738E">
        <w:rPr>
          <w:rFonts w:ascii="Century" w:hAnsi="Century" w:cs="Miriam" w:hint="eastAsia"/>
          <w:b/>
          <w:spacing w:val="0"/>
          <w:szCs w:val="24"/>
          <w:rtl/>
        </w:rPr>
        <w:t>הכריז</w:t>
      </w:r>
      <w:r w:rsidRPr="00EE738E">
        <w:rPr>
          <w:rFonts w:ascii="Century" w:hAnsi="Century" w:cs="Miriam"/>
          <w:b/>
          <w:spacing w:val="0"/>
          <w:szCs w:val="24"/>
          <w:rtl/>
        </w:rPr>
        <w:t xml:space="preserve"> </w:t>
      </w:r>
      <w:r w:rsidRPr="00EE738E">
        <w:rPr>
          <w:rFonts w:ascii="Century" w:hAnsi="Century" w:cs="Miriam" w:hint="eastAsia"/>
          <w:b/>
          <w:spacing w:val="0"/>
          <w:szCs w:val="24"/>
          <w:rtl/>
        </w:rPr>
        <w:t>השר</w:t>
      </w:r>
      <w:r w:rsidRPr="00EE738E">
        <w:rPr>
          <w:rFonts w:ascii="Century" w:hAnsi="Century" w:cs="Miriam"/>
          <w:b/>
          <w:spacing w:val="0"/>
          <w:szCs w:val="24"/>
          <w:rtl/>
        </w:rPr>
        <w:t xml:space="preserve"> </w:t>
      </w:r>
      <w:r w:rsidRPr="00EE738E">
        <w:rPr>
          <w:rFonts w:ascii="Century" w:hAnsi="Century" w:cs="Miriam" w:hint="eastAsia"/>
          <w:b/>
          <w:spacing w:val="0"/>
          <w:szCs w:val="24"/>
          <w:rtl/>
        </w:rPr>
        <w:t>כאמור</w:t>
      </w:r>
      <w:r w:rsidRPr="00EE738E">
        <w:rPr>
          <w:rFonts w:ascii="Century" w:hAnsi="Century" w:cs="Miriam"/>
          <w:b/>
          <w:spacing w:val="0"/>
          <w:szCs w:val="24"/>
          <w:rtl/>
        </w:rPr>
        <w:t xml:space="preserve">, </w:t>
      </w:r>
      <w:r w:rsidRPr="00EE738E">
        <w:rPr>
          <w:rFonts w:ascii="Century" w:hAnsi="Century" w:cs="Miriam" w:hint="eastAsia"/>
          <w:b/>
          <w:spacing w:val="0"/>
          <w:szCs w:val="24"/>
          <w:rtl/>
        </w:rPr>
        <w:t>יקבע</w:t>
      </w:r>
      <w:r w:rsidRPr="00EE738E">
        <w:rPr>
          <w:rFonts w:ascii="Century" w:hAnsi="Century" w:cs="Miriam"/>
          <w:b/>
          <w:spacing w:val="0"/>
          <w:szCs w:val="24"/>
          <w:rtl/>
        </w:rPr>
        <w:t xml:space="preserve"> </w:t>
      </w:r>
      <w:r w:rsidRPr="00EE738E">
        <w:rPr>
          <w:rFonts w:ascii="Century" w:hAnsi="Century" w:cs="Miriam" w:hint="eastAsia"/>
          <w:b/>
          <w:spacing w:val="0"/>
          <w:szCs w:val="24"/>
          <w:rtl/>
        </w:rPr>
        <w:t>בהכרזה</w:t>
      </w:r>
      <w:r w:rsidRPr="00EE738E">
        <w:rPr>
          <w:rFonts w:ascii="Century" w:hAnsi="Century" w:cs="Miriam"/>
          <w:b/>
          <w:spacing w:val="0"/>
          <w:szCs w:val="24"/>
          <w:rtl/>
        </w:rPr>
        <w:t xml:space="preserve"> </w:t>
      </w:r>
      <w:r w:rsidRPr="00EE738E">
        <w:rPr>
          <w:rFonts w:ascii="Century" w:hAnsi="Century" w:cs="Miriam" w:hint="eastAsia"/>
          <w:b/>
          <w:spacing w:val="0"/>
          <w:szCs w:val="24"/>
          <w:rtl/>
        </w:rPr>
        <w:t>את</w:t>
      </w:r>
      <w:r w:rsidRPr="00EE738E">
        <w:rPr>
          <w:rFonts w:ascii="Century" w:hAnsi="Century" w:cs="Miriam"/>
          <w:b/>
          <w:spacing w:val="0"/>
          <w:szCs w:val="24"/>
          <w:rtl/>
        </w:rPr>
        <w:t xml:space="preserve"> </w:t>
      </w:r>
      <w:r w:rsidRPr="00EE738E">
        <w:rPr>
          <w:rFonts w:ascii="Century" w:hAnsi="Century" w:cs="Miriam" w:hint="eastAsia"/>
          <w:b/>
          <w:spacing w:val="0"/>
          <w:szCs w:val="24"/>
          <w:rtl/>
        </w:rPr>
        <w:t>גבולות</w:t>
      </w:r>
      <w:r w:rsidRPr="00EE738E">
        <w:rPr>
          <w:rFonts w:ascii="Century" w:hAnsi="Century" w:cs="Miriam"/>
          <w:b/>
          <w:spacing w:val="0"/>
          <w:szCs w:val="24"/>
          <w:rtl/>
        </w:rPr>
        <w:t xml:space="preserve"> </w:t>
      </w:r>
      <w:r w:rsidRPr="00EE738E">
        <w:rPr>
          <w:rFonts w:ascii="Century" w:hAnsi="Century" w:cs="Miriam" w:hint="eastAsia"/>
          <w:b/>
          <w:spacing w:val="0"/>
          <w:szCs w:val="24"/>
          <w:rtl/>
        </w:rPr>
        <w:t>אזור</w:t>
      </w:r>
      <w:r w:rsidRPr="00EE738E">
        <w:rPr>
          <w:rFonts w:ascii="Century" w:hAnsi="Century" w:cs="Miriam"/>
          <w:b/>
          <w:spacing w:val="0"/>
          <w:szCs w:val="24"/>
          <w:rtl/>
        </w:rPr>
        <w:t xml:space="preserve"> </w:t>
      </w:r>
      <w:r w:rsidRPr="00EE738E">
        <w:rPr>
          <w:rFonts w:ascii="Century" w:hAnsi="Century" w:cs="Miriam" w:hint="eastAsia"/>
          <w:b/>
          <w:spacing w:val="0"/>
          <w:szCs w:val="24"/>
          <w:rtl/>
        </w:rPr>
        <w:t>העימות</w:t>
      </w:r>
      <w:r w:rsidRPr="00EE738E">
        <w:rPr>
          <w:rFonts w:ascii="Century" w:hAnsi="Century" w:cs="Miriam"/>
          <w:b/>
          <w:spacing w:val="0"/>
          <w:szCs w:val="24"/>
          <w:rtl/>
        </w:rPr>
        <w:t xml:space="preserve"> </w:t>
      </w:r>
      <w:r w:rsidRPr="00EE738E">
        <w:rPr>
          <w:rFonts w:ascii="Century" w:hAnsi="Century" w:cs="Miriam" w:hint="eastAsia"/>
          <w:b/>
          <w:spacing w:val="0"/>
          <w:szCs w:val="24"/>
          <w:rtl/>
        </w:rPr>
        <w:t>ואת</w:t>
      </w:r>
      <w:r w:rsidRPr="00EE738E">
        <w:rPr>
          <w:rFonts w:ascii="Century" w:hAnsi="Century" w:cs="Miriam"/>
          <w:b/>
          <w:spacing w:val="0"/>
          <w:szCs w:val="24"/>
          <w:rtl/>
        </w:rPr>
        <w:t xml:space="preserve"> </w:t>
      </w:r>
      <w:r w:rsidRPr="00EE738E">
        <w:rPr>
          <w:rFonts w:ascii="Century" w:hAnsi="Century" w:cs="Miriam" w:hint="eastAsia"/>
          <w:b/>
          <w:spacing w:val="0"/>
          <w:szCs w:val="24"/>
          <w:rtl/>
        </w:rPr>
        <w:t>התקופה</w:t>
      </w:r>
      <w:r w:rsidRPr="00EE738E">
        <w:rPr>
          <w:rFonts w:ascii="Century" w:hAnsi="Century" w:cs="Miriam"/>
          <w:b/>
          <w:spacing w:val="0"/>
          <w:szCs w:val="24"/>
          <w:rtl/>
        </w:rPr>
        <w:t xml:space="preserve"> </w:t>
      </w:r>
      <w:r w:rsidRPr="00EE738E">
        <w:rPr>
          <w:rFonts w:ascii="Century" w:hAnsi="Century" w:cs="Miriam" w:hint="eastAsia"/>
          <w:b/>
          <w:spacing w:val="0"/>
          <w:szCs w:val="24"/>
          <w:rtl/>
        </w:rPr>
        <w:t>שלגביה</w:t>
      </w:r>
      <w:r w:rsidRPr="00EE738E">
        <w:rPr>
          <w:rFonts w:ascii="Century" w:hAnsi="Century" w:cs="Miriam"/>
          <w:b/>
          <w:spacing w:val="0"/>
          <w:szCs w:val="24"/>
          <w:rtl/>
        </w:rPr>
        <w:t xml:space="preserve"> </w:t>
      </w:r>
      <w:r w:rsidRPr="00EE738E">
        <w:rPr>
          <w:rFonts w:ascii="Century" w:hAnsi="Century" w:cs="Miriam" w:hint="eastAsia"/>
          <w:b/>
          <w:spacing w:val="0"/>
          <w:szCs w:val="24"/>
          <w:rtl/>
        </w:rPr>
        <w:t>חלה</w:t>
      </w:r>
      <w:r w:rsidRPr="00EE738E">
        <w:rPr>
          <w:rFonts w:ascii="Century" w:hAnsi="Century" w:cs="Miriam"/>
          <w:b/>
          <w:spacing w:val="0"/>
          <w:szCs w:val="24"/>
          <w:rtl/>
        </w:rPr>
        <w:t xml:space="preserve"> </w:t>
      </w:r>
      <w:r w:rsidRPr="00EE738E">
        <w:rPr>
          <w:rFonts w:ascii="Century" w:hAnsi="Century" w:cs="Miriam" w:hint="eastAsia"/>
          <w:b/>
          <w:spacing w:val="0"/>
          <w:szCs w:val="24"/>
          <w:rtl/>
        </w:rPr>
        <w:t>ההכרזה</w:t>
      </w:r>
      <w:r w:rsidRPr="00EE738E">
        <w:rPr>
          <w:rFonts w:ascii="Century" w:hAnsi="Century" w:cs="Miriam"/>
          <w:b/>
          <w:spacing w:val="0"/>
          <w:szCs w:val="24"/>
          <w:rtl/>
        </w:rPr>
        <w:t xml:space="preserve">; </w:t>
      </w:r>
      <w:r w:rsidRPr="00EE738E">
        <w:rPr>
          <w:rFonts w:ascii="Century" w:hAnsi="Century" w:cs="Miriam" w:hint="eastAsia"/>
          <w:b/>
          <w:spacing w:val="0"/>
          <w:szCs w:val="24"/>
          <w:rtl/>
        </w:rPr>
        <w:t>הודעה</w:t>
      </w:r>
      <w:r w:rsidRPr="00EE738E">
        <w:rPr>
          <w:rFonts w:ascii="Century" w:hAnsi="Century" w:cs="Miriam"/>
          <w:b/>
          <w:spacing w:val="0"/>
          <w:szCs w:val="24"/>
          <w:rtl/>
        </w:rPr>
        <w:t xml:space="preserve"> </w:t>
      </w:r>
      <w:r w:rsidRPr="00EE738E">
        <w:rPr>
          <w:rFonts w:ascii="Century" w:hAnsi="Century" w:cs="Miriam" w:hint="eastAsia"/>
          <w:b/>
          <w:spacing w:val="0"/>
          <w:szCs w:val="24"/>
          <w:rtl/>
        </w:rPr>
        <w:t>על</w:t>
      </w:r>
      <w:r w:rsidRPr="00EE738E">
        <w:rPr>
          <w:rFonts w:ascii="Century" w:hAnsi="Century" w:cs="Miriam"/>
          <w:b/>
          <w:spacing w:val="0"/>
          <w:szCs w:val="24"/>
          <w:rtl/>
        </w:rPr>
        <w:t xml:space="preserve"> </w:t>
      </w:r>
      <w:r w:rsidRPr="00EE738E">
        <w:rPr>
          <w:rFonts w:ascii="Century" w:hAnsi="Century" w:cs="Miriam" w:hint="eastAsia"/>
          <w:b/>
          <w:spacing w:val="0"/>
          <w:szCs w:val="24"/>
          <w:rtl/>
        </w:rPr>
        <w:t>ההכרזה</w:t>
      </w:r>
      <w:r w:rsidRPr="00EE738E">
        <w:rPr>
          <w:rFonts w:ascii="Century" w:hAnsi="Century" w:cs="Miriam"/>
          <w:b/>
          <w:spacing w:val="0"/>
          <w:szCs w:val="24"/>
          <w:rtl/>
        </w:rPr>
        <w:t xml:space="preserve"> </w:t>
      </w:r>
      <w:r w:rsidRPr="00EE738E">
        <w:rPr>
          <w:rFonts w:ascii="Century" w:hAnsi="Century" w:cs="Miriam" w:hint="eastAsia"/>
          <w:b/>
          <w:spacing w:val="0"/>
          <w:szCs w:val="24"/>
          <w:rtl/>
        </w:rPr>
        <w:t>תפורסם</w:t>
      </w:r>
      <w:r w:rsidRPr="00EE738E">
        <w:rPr>
          <w:rFonts w:ascii="Century" w:hAnsi="Century" w:cs="Miriam"/>
          <w:b/>
          <w:spacing w:val="0"/>
          <w:szCs w:val="24"/>
          <w:rtl/>
        </w:rPr>
        <w:t xml:space="preserve"> </w:t>
      </w:r>
      <w:r w:rsidRPr="00EE738E">
        <w:rPr>
          <w:rFonts w:ascii="Century" w:hAnsi="Century" w:cs="Miriam" w:hint="eastAsia"/>
          <w:b/>
          <w:spacing w:val="0"/>
          <w:szCs w:val="24"/>
          <w:rtl/>
        </w:rPr>
        <w:t>ברשומות</w:t>
      </w:r>
      <w:r w:rsidRPr="00EE738E">
        <w:rPr>
          <w:rFonts w:ascii="Century" w:hAnsi="Century" w:cs="Miriam"/>
          <w:b/>
          <w:spacing w:val="0"/>
          <w:szCs w:val="24"/>
          <w:rtl/>
        </w:rPr>
        <w:t>"</w:t>
      </w:r>
      <w:r>
        <w:rPr>
          <w:rFonts w:ascii="Century" w:hAnsi="Century" w:hint="cs"/>
          <w:rtl/>
        </w:rPr>
        <w:t xml:space="preserve"> (ההדגשה הוספה </w:t>
      </w:r>
      <w:r>
        <w:rPr>
          <w:rFonts w:ascii="Century" w:hAnsi="Century"/>
          <w:rtl/>
        </w:rPr>
        <w:t>–</w:t>
      </w:r>
      <w:r>
        <w:rPr>
          <w:rFonts w:ascii="Century" w:hAnsi="Century" w:hint="cs"/>
          <w:rtl/>
        </w:rPr>
        <w:t xml:space="preserve"> נ' ס')</w:t>
      </w:r>
      <w:r w:rsidRPr="00720523">
        <w:rPr>
          <w:rFonts w:ascii="Century" w:hAnsi="Century"/>
          <w:rtl/>
        </w:rPr>
        <w:t>.</w:t>
      </w:r>
    </w:p>
    <w:p w:rsidR="00D512D4" w:rsidRDefault="00D512D4" w:rsidP="00D512D4">
      <w:pPr>
        <w:pStyle w:val="Ruller41"/>
        <w:rPr>
          <w:rtl/>
        </w:rPr>
      </w:pPr>
    </w:p>
    <w:p w:rsidR="00D512D4" w:rsidRDefault="00D512D4" w:rsidP="00E74CCB">
      <w:pPr>
        <w:pStyle w:val="Ruller41"/>
        <w:rPr>
          <w:rtl/>
        </w:rPr>
      </w:pPr>
      <w:r>
        <w:rPr>
          <w:rtl/>
        </w:rPr>
        <w:tab/>
      </w:r>
      <w:r w:rsidR="00E74CCB">
        <w:rPr>
          <w:rFonts w:hint="cs"/>
          <w:rtl/>
        </w:rPr>
        <w:t>אציין</w:t>
      </w:r>
      <w:r>
        <w:rPr>
          <w:rFonts w:hint="cs"/>
          <w:rtl/>
        </w:rPr>
        <w:t xml:space="preserve">, כי המונח 'אויב' מוגדר בחוק העונשין, התשל"ז-1977, כך: </w:t>
      </w:r>
      <w:r w:rsidRPr="00D04218">
        <w:rPr>
          <w:rFonts w:ascii="Century" w:hAnsi="Century" w:cs="Miriam" w:hint="cs"/>
          <w:b/>
          <w:spacing w:val="0"/>
          <w:szCs w:val="24"/>
          <w:rtl/>
        </w:rPr>
        <w:t>"</w:t>
      </w:r>
      <w:r w:rsidRPr="00D04218">
        <w:rPr>
          <w:rFonts w:ascii="Century" w:hAnsi="Century" w:cs="Miriam" w:hint="eastAsia"/>
          <w:b/>
          <w:spacing w:val="0"/>
          <w:szCs w:val="24"/>
          <w:rtl/>
        </w:rPr>
        <w:t>מי</w:t>
      </w:r>
      <w:r w:rsidRPr="00D04218">
        <w:rPr>
          <w:rFonts w:ascii="Century" w:hAnsi="Century" w:cs="Miriam"/>
          <w:b/>
          <w:spacing w:val="0"/>
          <w:szCs w:val="24"/>
          <w:rtl/>
        </w:rPr>
        <w:t xml:space="preserve"> </w:t>
      </w:r>
      <w:r w:rsidRPr="00D04218">
        <w:rPr>
          <w:rFonts w:ascii="Century" w:hAnsi="Century" w:cs="Miriam" w:hint="eastAsia"/>
          <w:b/>
          <w:spacing w:val="0"/>
          <w:szCs w:val="24"/>
          <w:rtl/>
        </w:rPr>
        <w:t>שהוא</w:t>
      </w:r>
      <w:r w:rsidRPr="00D04218">
        <w:rPr>
          <w:rFonts w:ascii="Century" w:hAnsi="Century" w:cs="Miriam"/>
          <w:b/>
          <w:spacing w:val="0"/>
          <w:szCs w:val="24"/>
          <w:rtl/>
        </w:rPr>
        <w:t xml:space="preserve"> </w:t>
      </w:r>
      <w:r w:rsidRPr="00D04218">
        <w:rPr>
          <w:rFonts w:ascii="Century" w:hAnsi="Century" w:cs="Miriam" w:hint="eastAsia"/>
          <w:b/>
          <w:spacing w:val="0"/>
          <w:szCs w:val="24"/>
          <w:rtl/>
        </w:rPr>
        <w:t>צד</w:t>
      </w:r>
      <w:r w:rsidRPr="00D04218">
        <w:rPr>
          <w:rFonts w:ascii="Century" w:hAnsi="Century" w:cs="Miriam"/>
          <w:b/>
          <w:spacing w:val="0"/>
          <w:szCs w:val="24"/>
          <w:rtl/>
        </w:rPr>
        <w:t xml:space="preserve"> </w:t>
      </w:r>
      <w:r w:rsidRPr="00D04218">
        <w:rPr>
          <w:rFonts w:ascii="Century" w:hAnsi="Century" w:cs="Miriam" w:hint="eastAsia"/>
          <w:b/>
          <w:spacing w:val="0"/>
          <w:szCs w:val="24"/>
          <w:rtl/>
        </w:rPr>
        <w:t>לוחם</w:t>
      </w:r>
      <w:r w:rsidRPr="00D04218">
        <w:rPr>
          <w:rFonts w:ascii="Century" w:hAnsi="Century" w:cs="Miriam"/>
          <w:b/>
          <w:spacing w:val="0"/>
          <w:szCs w:val="24"/>
          <w:rtl/>
        </w:rPr>
        <w:t xml:space="preserve"> </w:t>
      </w:r>
      <w:r w:rsidRPr="00D04218">
        <w:rPr>
          <w:rFonts w:ascii="Century" w:hAnsi="Century" w:cs="Miriam" w:hint="eastAsia"/>
          <w:b/>
          <w:spacing w:val="0"/>
          <w:szCs w:val="24"/>
          <w:rtl/>
        </w:rPr>
        <w:t>או</w:t>
      </w:r>
      <w:r w:rsidRPr="00D04218">
        <w:rPr>
          <w:rFonts w:ascii="Century" w:hAnsi="Century" w:cs="Miriam"/>
          <w:b/>
          <w:spacing w:val="0"/>
          <w:szCs w:val="24"/>
          <w:rtl/>
        </w:rPr>
        <w:t xml:space="preserve"> </w:t>
      </w:r>
      <w:r w:rsidRPr="00D04218">
        <w:rPr>
          <w:rFonts w:ascii="Century" w:hAnsi="Century" w:cs="Miriam" w:hint="eastAsia"/>
          <w:b/>
          <w:spacing w:val="0"/>
          <w:szCs w:val="24"/>
          <w:rtl/>
        </w:rPr>
        <w:t>מקיים</w:t>
      </w:r>
      <w:r w:rsidRPr="00D04218">
        <w:rPr>
          <w:rFonts w:ascii="Century" w:hAnsi="Century" w:cs="Miriam"/>
          <w:b/>
          <w:spacing w:val="0"/>
          <w:szCs w:val="24"/>
          <w:rtl/>
        </w:rPr>
        <w:t xml:space="preserve"> </w:t>
      </w:r>
      <w:r w:rsidRPr="00D04218">
        <w:rPr>
          <w:rFonts w:ascii="Century" w:hAnsi="Century" w:cs="Miriam" w:hint="eastAsia"/>
          <w:b/>
          <w:spacing w:val="0"/>
          <w:szCs w:val="24"/>
          <w:rtl/>
        </w:rPr>
        <w:t>מצב</w:t>
      </w:r>
      <w:r w:rsidRPr="00D04218">
        <w:rPr>
          <w:rFonts w:ascii="Century" w:hAnsi="Century" w:cs="Miriam"/>
          <w:b/>
          <w:spacing w:val="0"/>
          <w:szCs w:val="24"/>
          <w:rtl/>
        </w:rPr>
        <w:t xml:space="preserve"> </w:t>
      </w:r>
      <w:r w:rsidRPr="00D04218">
        <w:rPr>
          <w:rFonts w:ascii="Century" w:hAnsi="Century" w:cs="Miriam" w:hint="eastAsia"/>
          <w:b/>
          <w:spacing w:val="0"/>
          <w:szCs w:val="24"/>
          <w:rtl/>
        </w:rPr>
        <w:t>מלחמה</w:t>
      </w:r>
      <w:r w:rsidRPr="00D04218">
        <w:rPr>
          <w:rFonts w:ascii="Century" w:hAnsi="Century" w:cs="Miriam"/>
          <w:b/>
          <w:spacing w:val="0"/>
          <w:szCs w:val="24"/>
          <w:rtl/>
        </w:rPr>
        <w:t xml:space="preserve"> </w:t>
      </w:r>
      <w:r w:rsidRPr="00D04218">
        <w:rPr>
          <w:rFonts w:ascii="Century" w:hAnsi="Century" w:cs="Miriam" w:hint="eastAsia"/>
          <w:b/>
          <w:spacing w:val="0"/>
          <w:szCs w:val="24"/>
          <w:rtl/>
        </w:rPr>
        <w:t>נגד</w:t>
      </w:r>
      <w:r w:rsidRPr="00D04218">
        <w:rPr>
          <w:rFonts w:ascii="Century" w:hAnsi="Century" w:cs="Miriam"/>
          <w:b/>
          <w:spacing w:val="0"/>
          <w:szCs w:val="24"/>
          <w:rtl/>
        </w:rPr>
        <w:t xml:space="preserve"> </w:t>
      </w:r>
      <w:r w:rsidRPr="00D04218">
        <w:rPr>
          <w:rFonts w:ascii="Century" w:hAnsi="Century" w:cs="Miriam" w:hint="eastAsia"/>
          <w:b/>
          <w:spacing w:val="0"/>
          <w:szCs w:val="24"/>
          <w:rtl/>
        </w:rPr>
        <w:t>ישראל</w:t>
      </w:r>
      <w:r w:rsidRPr="00D04218">
        <w:rPr>
          <w:rFonts w:ascii="Century" w:hAnsi="Century" w:cs="Miriam"/>
          <w:b/>
          <w:spacing w:val="0"/>
          <w:szCs w:val="24"/>
          <w:rtl/>
        </w:rPr>
        <w:t xml:space="preserve"> </w:t>
      </w:r>
      <w:r w:rsidRPr="00D04218">
        <w:rPr>
          <w:rFonts w:ascii="Century" w:hAnsi="Century" w:cs="Miriam" w:hint="eastAsia"/>
          <w:b/>
          <w:spacing w:val="0"/>
          <w:szCs w:val="24"/>
          <w:rtl/>
        </w:rPr>
        <w:t>או</w:t>
      </w:r>
      <w:r w:rsidRPr="00D04218">
        <w:rPr>
          <w:rFonts w:ascii="Century" w:hAnsi="Century" w:cs="Miriam"/>
          <w:b/>
          <w:spacing w:val="0"/>
          <w:szCs w:val="24"/>
          <w:rtl/>
        </w:rPr>
        <w:t xml:space="preserve"> </w:t>
      </w:r>
      <w:r w:rsidRPr="00D04218">
        <w:rPr>
          <w:rFonts w:ascii="Century" w:hAnsi="Century" w:cs="Miriam" w:hint="eastAsia"/>
          <w:b/>
          <w:spacing w:val="0"/>
          <w:szCs w:val="24"/>
          <w:rtl/>
        </w:rPr>
        <w:t>מכריז</w:t>
      </w:r>
      <w:r w:rsidRPr="00D04218">
        <w:rPr>
          <w:rFonts w:ascii="Century" w:hAnsi="Century" w:cs="Miriam"/>
          <w:b/>
          <w:spacing w:val="0"/>
          <w:szCs w:val="24"/>
          <w:rtl/>
        </w:rPr>
        <w:t xml:space="preserve"> </w:t>
      </w:r>
      <w:r w:rsidRPr="00D04218">
        <w:rPr>
          <w:rFonts w:ascii="Century" w:hAnsi="Century" w:cs="Miriam" w:hint="eastAsia"/>
          <w:b/>
          <w:spacing w:val="0"/>
          <w:szCs w:val="24"/>
          <w:rtl/>
        </w:rPr>
        <w:t>על</w:t>
      </w:r>
      <w:r w:rsidRPr="00D04218">
        <w:rPr>
          <w:rFonts w:ascii="Century" w:hAnsi="Century" w:cs="Miriam"/>
          <w:b/>
          <w:spacing w:val="0"/>
          <w:szCs w:val="24"/>
          <w:rtl/>
        </w:rPr>
        <w:t xml:space="preserve"> </w:t>
      </w:r>
      <w:r w:rsidRPr="00D04218">
        <w:rPr>
          <w:rFonts w:ascii="Century" w:hAnsi="Century" w:cs="Miriam" w:hint="eastAsia"/>
          <w:b/>
          <w:spacing w:val="0"/>
          <w:szCs w:val="24"/>
          <w:rtl/>
        </w:rPr>
        <w:t>עצמו</w:t>
      </w:r>
      <w:r w:rsidRPr="00D04218">
        <w:rPr>
          <w:rFonts w:ascii="Century" w:hAnsi="Century" w:cs="Miriam"/>
          <w:b/>
          <w:spacing w:val="0"/>
          <w:szCs w:val="24"/>
          <w:rtl/>
        </w:rPr>
        <w:t xml:space="preserve"> </w:t>
      </w:r>
      <w:r w:rsidRPr="00D04218">
        <w:rPr>
          <w:rFonts w:ascii="Century" w:hAnsi="Century" w:cs="Miriam" w:hint="eastAsia"/>
          <w:b/>
          <w:spacing w:val="0"/>
          <w:szCs w:val="24"/>
          <w:rtl/>
        </w:rPr>
        <w:t>כאחד</w:t>
      </w:r>
      <w:r w:rsidRPr="00D04218">
        <w:rPr>
          <w:rFonts w:ascii="Century" w:hAnsi="Century" w:cs="Miriam"/>
          <w:b/>
          <w:spacing w:val="0"/>
          <w:szCs w:val="24"/>
          <w:rtl/>
        </w:rPr>
        <w:t xml:space="preserve"> </w:t>
      </w:r>
      <w:r w:rsidRPr="00D04218">
        <w:rPr>
          <w:rFonts w:ascii="Century" w:hAnsi="Century" w:cs="Miriam" w:hint="eastAsia"/>
          <w:b/>
          <w:spacing w:val="0"/>
          <w:szCs w:val="24"/>
          <w:rtl/>
        </w:rPr>
        <w:t>מאלה</w:t>
      </w:r>
      <w:r w:rsidRPr="00D04218">
        <w:rPr>
          <w:rFonts w:ascii="Century" w:hAnsi="Century" w:cs="Miriam"/>
          <w:b/>
          <w:spacing w:val="0"/>
          <w:szCs w:val="24"/>
          <w:rtl/>
        </w:rPr>
        <w:t xml:space="preserve">, </w:t>
      </w:r>
      <w:r w:rsidRPr="00D04218">
        <w:rPr>
          <w:rFonts w:ascii="Century" w:hAnsi="Century" w:cs="Miriam" w:hint="eastAsia"/>
          <w:b/>
          <w:spacing w:val="0"/>
          <w:szCs w:val="24"/>
          <w:rtl/>
        </w:rPr>
        <w:t>בין</w:t>
      </w:r>
      <w:r w:rsidRPr="00D04218">
        <w:rPr>
          <w:rFonts w:ascii="Century" w:hAnsi="Century" w:cs="Miriam"/>
          <w:b/>
          <w:spacing w:val="0"/>
          <w:szCs w:val="24"/>
          <w:rtl/>
        </w:rPr>
        <w:t xml:space="preserve"> </w:t>
      </w:r>
      <w:r w:rsidRPr="00D04218">
        <w:rPr>
          <w:rFonts w:ascii="Century" w:hAnsi="Century" w:cs="Miriam" w:hint="eastAsia"/>
          <w:b/>
          <w:spacing w:val="0"/>
          <w:szCs w:val="24"/>
          <w:rtl/>
        </w:rPr>
        <w:t>שהוכרזה</w:t>
      </w:r>
      <w:r w:rsidRPr="00D04218">
        <w:rPr>
          <w:rFonts w:ascii="Century" w:hAnsi="Century" w:cs="Miriam"/>
          <w:b/>
          <w:spacing w:val="0"/>
          <w:szCs w:val="24"/>
          <w:rtl/>
        </w:rPr>
        <w:t xml:space="preserve"> </w:t>
      </w:r>
      <w:r w:rsidRPr="00D04218">
        <w:rPr>
          <w:rFonts w:ascii="Century" w:hAnsi="Century" w:cs="Miriam" w:hint="eastAsia"/>
          <w:b/>
          <w:spacing w:val="0"/>
          <w:szCs w:val="24"/>
          <w:rtl/>
        </w:rPr>
        <w:t>מלחמה</w:t>
      </w:r>
      <w:r w:rsidRPr="00D04218">
        <w:rPr>
          <w:rFonts w:ascii="Century" w:hAnsi="Century" w:cs="Miriam"/>
          <w:b/>
          <w:spacing w:val="0"/>
          <w:szCs w:val="24"/>
          <w:rtl/>
        </w:rPr>
        <w:t xml:space="preserve"> </w:t>
      </w:r>
      <w:r w:rsidRPr="00D04218">
        <w:rPr>
          <w:rFonts w:ascii="Century" w:hAnsi="Century" w:cs="Miriam" w:hint="eastAsia"/>
          <w:b/>
          <w:spacing w:val="0"/>
          <w:szCs w:val="24"/>
          <w:rtl/>
        </w:rPr>
        <w:t>ובין</w:t>
      </w:r>
      <w:r w:rsidRPr="00D04218">
        <w:rPr>
          <w:rFonts w:ascii="Century" w:hAnsi="Century" w:cs="Miriam"/>
          <w:b/>
          <w:spacing w:val="0"/>
          <w:szCs w:val="24"/>
          <w:rtl/>
        </w:rPr>
        <w:t xml:space="preserve"> </w:t>
      </w:r>
      <w:r w:rsidRPr="00D04218">
        <w:rPr>
          <w:rFonts w:ascii="Century" w:hAnsi="Century" w:cs="Miriam" w:hint="eastAsia"/>
          <w:b/>
          <w:spacing w:val="0"/>
          <w:szCs w:val="24"/>
          <w:rtl/>
        </w:rPr>
        <w:t>שלא</w:t>
      </w:r>
      <w:r w:rsidRPr="00D04218">
        <w:rPr>
          <w:rFonts w:ascii="Century" w:hAnsi="Century" w:cs="Miriam"/>
          <w:b/>
          <w:spacing w:val="0"/>
          <w:szCs w:val="24"/>
          <w:rtl/>
        </w:rPr>
        <w:t xml:space="preserve"> </w:t>
      </w:r>
      <w:r w:rsidRPr="00D04218">
        <w:rPr>
          <w:rFonts w:ascii="Century" w:hAnsi="Century" w:cs="Miriam" w:hint="eastAsia"/>
          <w:b/>
          <w:spacing w:val="0"/>
          <w:szCs w:val="24"/>
          <w:rtl/>
        </w:rPr>
        <w:t>הוכרזה</w:t>
      </w:r>
      <w:r w:rsidRPr="00D04218">
        <w:rPr>
          <w:rFonts w:ascii="Century" w:hAnsi="Century" w:cs="Miriam"/>
          <w:b/>
          <w:spacing w:val="0"/>
          <w:szCs w:val="24"/>
          <w:rtl/>
        </w:rPr>
        <w:t xml:space="preserve">, </w:t>
      </w:r>
      <w:r w:rsidRPr="00D04218">
        <w:rPr>
          <w:rFonts w:ascii="Century" w:hAnsi="Century" w:cs="Miriam" w:hint="eastAsia"/>
          <w:b/>
          <w:spacing w:val="0"/>
          <w:szCs w:val="24"/>
          <w:rtl/>
        </w:rPr>
        <w:t>בין</w:t>
      </w:r>
      <w:r w:rsidRPr="00D04218">
        <w:rPr>
          <w:rFonts w:ascii="Century" w:hAnsi="Century" w:cs="Miriam"/>
          <w:b/>
          <w:spacing w:val="0"/>
          <w:szCs w:val="24"/>
          <w:rtl/>
        </w:rPr>
        <w:t xml:space="preserve"> </w:t>
      </w:r>
      <w:r w:rsidRPr="00D04218">
        <w:rPr>
          <w:rFonts w:ascii="Century" w:hAnsi="Century" w:cs="Miriam" w:hint="eastAsia"/>
          <w:b/>
          <w:spacing w:val="0"/>
          <w:szCs w:val="24"/>
          <w:rtl/>
        </w:rPr>
        <w:t>שיש</w:t>
      </w:r>
      <w:r w:rsidRPr="00D04218">
        <w:rPr>
          <w:rFonts w:ascii="Century" w:hAnsi="Century" w:cs="Miriam"/>
          <w:b/>
          <w:spacing w:val="0"/>
          <w:szCs w:val="24"/>
          <w:rtl/>
        </w:rPr>
        <w:t xml:space="preserve"> </w:t>
      </w:r>
      <w:r w:rsidRPr="00D04218">
        <w:rPr>
          <w:rFonts w:ascii="Century" w:hAnsi="Century" w:cs="Miriam" w:hint="eastAsia"/>
          <w:b/>
          <w:spacing w:val="0"/>
          <w:szCs w:val="24"/>
          <w:rtl/>
        </w:rPr>
        <w:t>פעולות</w:t>
      </w:r>
      <w:r w:rsidRPr="00D04218">
        <w:rPr>
          <w:rFonts w:ascii="Century" w:hAnsi="Century" w:cs="Miriam"/>
          <w:b/>
          <w:spacing w:val="0"/>
          <w:szCs w:val="24"/>
          <w:rtl/>
        </w:rPr>
        <w:t xml:space="preserve"> </w:t>
      </w:r>
      <w:r w:rsidRPr="00D04218">
        <w:rPr>
          <w:rFonts w:ascii="Century" w:hAnsi="Century" w:cs="Miriam" w:hint="eastAsia"/>
          <w:b/>
          <w:spacing w:val="0"/>
          <w:szCs w:val="24"/>
          <w:rtl/>
        </w:rPr>
        <w:t>איבה</w:t>
      </w:r>
      <w:r w:rsidRPr="00D04218">
        <w:rPr>
          <w:rFonts w:ascii="Century" w:hAnsi="Century" w:cs="Miriam"/>
          <w:b/>
          <w:spacing w:val="0"/>
          <w:szCs w:val="24"/>
          <w:rtl/>
        </w:rPr>
        <w:t xml:space="preserve"> </w:t>
      </w:r>
      <w:r w:rsidRPr="00D04218">
        <w:rPr>
          <w:rFonts w:ascii="Century" w:hAnsi="Century" w:cs="Miriam" w:hint="eastAsia"/>
          <w:b/>
          <w:spacing w:val="0"/>
          <w:szCs w:val="24"/>
          <w:rtl/>
        </w:rPr>
        <w:t>צבאיות</w:t>
      </w:r>
      <w:r w:rsidRPr="00D04218">
        <w:rPr>
          <w:rFonts w:ascii="Century" w:hAnsi="Century" w:cs="Miriam"/>
          <w:b/>
          <w:spacing w:val="0"/>
          <w:szCs w:val="24"/>
          <w:rtl/>
        </w:rPr>
        <w:t xml:space="preserve"> </w:t>
      </w:r>
      <w:r w:rsidRPr="00D04218">
        <w:rPr>
          <w:rFonts w:ascii="Century" w:hAnsi="Century" w:cs="Miriam" w:hint="eastAsia"/>
          <w:b/>
          <w:spacing w:val="0"/>
          <w:szCs w:val="24"/>
          <w:rtl/>
        </w:rPr>
        <w:t>ובין</w:t>
      </w:r>
      <w:r w:rsidRPr="00D04218">
        <w:rPr>
          <w:rFonts w:ascii="Century" w:hAnsi="Century" w:cs="Miriam"/>
          <w:b/>
          <w:spacing w:val="0"/>
          <w:szCs w:val="24"/>
          <w:rtl/>
        </w:rPr>
        <w:t xml:space="preserve"> </w:t>
      </w:r>
      <w:r w:rsidRPr="00D04218">
        <w:rPr>
          <w:rFonts w:ascii="Century" w:hAnsi="Century" w:cs="Miriam" w:hint="eastAsia"/>
          <w:b/>
          <w:spacing w:val="0"/>
          <w:szCs w:val="24"/>
          <w:rtl/>
        </w:rPr>
        <w:t>שאינן</w:t>
      </w:r>
      <w:r w:rsidRPr="00D04218">
        <w:rPr>
          <w:rFonts w:ascii="Century" w:hAnsi="Century" w:cs="Miriam"/>
          <w:b/>
          <w:spacing w:val="0"/>
          <w:szCs w:val="24"/>
          <w:rtl/>
        </w:rPr>
        <w:t xml:space="preserve"> </w:t>
      </w:r>
      <w:r w:rsidRPr="00D04218">
        <w:rPr>
          <w:rFonts w:ascii="Century" w:hAnsi="Century" w:cs="Miriam" w:hint="eastAsia"/>
          <w:b/>
          <w:spacing w:val="0"/>
          <w:szCs w:val="24"/>
          <w:rtl/>
        </w:rPr>
        <w:t>וכן</w:t>
      </w:r>
      <w:r w:rsidRPr="00D04218">
        <w:rPr>
          <w:rFonts w:ascii="Century" w:hAnsi="Century" w:cs="Miriam"/>
          <w:b/>
          <w:spacing w:val="0"/>
          <w:szCs w:val="24"/>
          <w:rtl/>
        </w:rPr>
        <w:t xml:space="preserve"> </w:t>
      </w:r>
      <w:r w:rsidRPr="00D04218">
        <w:rPr>
          <w:rFonts w:ascii="Century" w:hAnsi="Century" w:cs="Miriam" w:hint="eastAsia"/>
          <w:b/>
          <w:spacing w:val="0"/>
          <w:szCs w:val="24"/>
          <w:rtl/>
        </w:rPr>
        <w:t>ארגון</w:t>
      </w:r>
      <w:r w:rsidRPr="00D04218">
        <w:rPr>
          <w:rFonts w:ascii="Century" w:hAnsi="Century" w:cs="Miriam"/>
          <w:b/>
          <w:spacing w:val="0"/>
          <w:szCs w:val="24"/>
          <w:rtl/>
        </w:rPr>
        <w:t xml:space="preserve"> </w:t>
      </w:r>
      <w:r w:rsidRPr="00D04218">
        <w:rPr>
          <w:rFonts w:ascii="Century" w:hAnsi="Century" w:cs="Miriam" w:hint="eastAsia"/>
          <w:b/>
          <w:spacing w:val="0"/>
          <w:szCs w:val="24"/>
          <w:rtl/>
        </w:rPr>
        <w:t>מחבלים</w:t>
      </w:r>
      <w:r w:rsidRPr="00D04218">
        <w:rPr>
          <w:rFonts w:ascii="Century" w:hAnsi="Century" w:cs="Miriam" w:hint="cs"/>
          <w:b/>
          <w:spacing w:val="0"/>
          <w:szCs w:val="24"/>
          <w:rtl/>
        </w:rPr>
        <w:t>"</w:t>
      </w:r>
      <w:r w:rsidRPr="00720523">
        <w:rPr>
          <w:rFonts w:ascii="Century" w:hAnsi="Century"/>
          <w:rtl/>
        </w:rPr>
        <w:t xml:space="preserve">. </w:t>
      </w:r>
      <w:r w:rsidRPr="00720523">
        <w:rPr>
          <w:rFonts w:ascii="Century" w:hAnsi="Century" w:hint="eastAsia"/>
          <w:rtl/>
        </w:rPr>
        <w:t>בהקשר</w:t>
      </w:r>
      <w:r w:rsidRPr="00720523">
        <w:rPr>
          <w:rFonts w:ascii="Century" w:hAnsi="Century"/>
          <w:rtl/>
        </w:rPr>
        <w:t xml:space="preserve"> </w:t>
      </w:r>
      <w:r w:rsidRPr="00720523">
        <w:rPr>
          <w:rFonts w:ascii="Century" w:hAnsi="Century" w:hint="eastAsia"/>
          <w:rtl/>
        </w:rPr>
        <w:t>זה</w:t>
      </w:r>
      <w:r w:rsidRPr="00720523">
        <w:rPr>
          <w:rFonts w:ascii="Century" w:hAnsi="Century"/>
          <w:rtl/>
        </w:rPr>
        <w:t xml:space="preserve">, </w:t>
      </w:r>
      <w:r w:rsidRPr="00720523">
        <w:rPr>
          <w:rFonts w:ascii="Century" w:hAnsi="Century" w:hint="eastAsia"/>
          <w:rtl/>
        </w:rPr>
        <w:t>המונח</w:t>
      </w:r>
      <w:r w:rsidRPr="004C299B">
        <w:rPr>
          <w:rtl/>
        </w:rPr>
        <w:t xml:space="preserve"> </w:t>
      </w:r>
      <w:r>
        <w:rPr>
          <w:rFonts w:hint="cs"/>
          <w:rtl/>
        </w:rPr>
        <w:t xml:space="preserve">'ארגון מחבלים' הוגדר שם באופן הבא: </w:t>
      </w:r>
      <w:r w:rsidRPr="00D04218">
        <w:rPr>
          <w:rFonts w:ascii="Century" w:hAnsi="Century" w:cs="Miriam" w:hint="cs"/>
          <w:b/>
          <w:spacing w:val="0"/>
          <w:szCs w:val="24"/>
          <w:rtl/>
        </w:rPr>
        <w:t>"</w:t>
      </w:r>
      <w:r w:rsidRPr="00D04218">
        <w:rPr>
          <w:rFonts w:ascii="Century" w:hAnsi="Century" w:cs="Miriam" w:hint="eastAsia"/>
          <w:b/>
          <w:spacing w:val="0"/>
          <w:szCs w:val="24"/>
          <w:rtl/>
        </w:rPr>
        <w:t>ארגון</w:t>
      </w:r>
      <w:r w:rsidRPr="00D04218">
        <w:rPr>
          <w:rFonts w:ascii="Century" w:hAnsi="Century" w:cs="Miriam"/>
          <w:b/>
          <w:spacing w:val="0"/>
          <w:szCs w:val="24"/>
          <w:rtl/>
        </w:rPr>
        <w:t xml:space="preserve"> </w:t>
      </w:r>
      <w:r w:rsidRPr="00D04218">
        <w:rPr>
          <w:rFonts w:ascii="Century" w:hAnsi="Century" w:cs="Miriam" w:hint="eastAsia"/>
          <w:b/>
          <w:spacing w:val="0"/>
          <w:szCs w:val="24"/>
          <w:rtl/>
        </w:rPr>
        <w:t>שמטרותיו</w:t>
      </w:r>
      <w:r w:rsidRPr="00D04218">
        <w:rPr>
          <w:rFonts w:ascii="Century" w:hAnsi="Century" w:cs="Miriam"/>
          <w:b/>
          <w:spacing w:val="0"/>
          <w:szCs w:val="24"/>
          <w:rtl/>
        </w:rPr>
        <w:t xml:space="preserve"> </w:t>
      </w:r>
      <w:r w:rsidRPr="00D04218">
        <w:rPr>
          <w:rFonts w:ascii="Century" w:hAnsi="Century" w:cs="Miriam" w:hint="eastAsia"/>
          <w:b/>
          <w:spacing w:val="0"/>
          <w:szCs w:val="24"/>
          <w:rtl/>
        </w:rPr>
        <w:t>או</w:t>
      </w:r>
      <w:r w:rsidRPr="00D04218">
        <w:rPr>
          <w:rFonts w:ascii="Century" w:hAnsi="Century" w:cs="Miriam"/>
          <w:b/>
          <w:spacing w:val="0"/>
          <w:szCs w:val="24"/>
          <w:rtl/>
        </w:rPr>
        <w:t xml:space="preserve"> </w:t>
      </w:r>
      <w:r w:rsidRPr="00D04218">
        <w:rPr>
          <w:rFonts w:ascii="Century" w:hAnsi="Century" w:cs="Miriam" w:hint="eastAsia"/>
          <w:b/>
          <w:spacing w:val="0"/>
          <w:szCs w:val="24"/>
          <w:rtl/>
        </w:rPr>
        <w:t>פעולותיו</w:t>
      </w:r>
      <w:r w:rsidRPr="00D04218">
        <w:rPr>
          <w:rFonts w:ascii="Century" w:hAnsi="Century" w:cs="Miriam"/>
          <w:b/>
          <w:spacing w:val="0"/>
          <w:szCs w:val="24"/>
          <w:rtl/>
        </w:rPr>
        <w:t xml:space="preserve"> </w:t>
      </w:r>
      <w:r w:rsidRPr="00D04218">
        <w:rPr>
          <w:rFonts w:ascii="Century" w:hAnsi="Century" w:cs="Miriam" w:hint="eastAsia"/>
          <w:b/>
          <w:spacing w:val="0"/>
          <w:szCs w:val="24"/>
          <w:rtl/>
        </w:rPr>
        <w:t>מכוונות</w:t>
      </w:r>
      <w:r w:rsidRPr="00D04218">
        <w:rPr>
          <w:rFonts w:ascii="Century" w:hAnsi="Century" w:cs="Miriam"/>
          <w:b/>
          <w:spacing w:val="0"/>
          <w:szCs w:val="24"/>
          <w:rtl/>
        </w:rPr>
        <w:t xml:space="preserve"> </w:t>
      </w:r>
      <w:r w:rsidRPr="00D04218">
        <w:rPr>
          <w:rFonts w:ascii="Century" w:hAnsi="Century" w:cs="Miriam" w:hint="eastAsia"/>
          <w:b/>
          <w:spacing w:val="0"/>
          <w:szCs w:val="24"/>
          <w:rtl/>
        </w:rPr>
        <w:t>למיגור</w:t>
      </w:r>
      <w:r w:rsidRPr="00D04218">
        <w:rPr>
          <w:rFonts w:ascii="Century" w:hAnsi="Century" w:cs="Miriam"/>
          <w:b/>
          <w:spacing w:val="0"/>
          <w:szCs w:val="24"/>
          <w:rtl/>
        </w:rPr>
        <w:t xml:space="preserve"> </w:t>
      </w:r>
      <w:r w:rsidRPr="00D04218">
        <w:rPr>
          <w:rFonts w:ascii="Century" w:hAnsi="Century" w:cs="Miriam" w:hint="eastAsia"/>
          <w:b/>
          <w:spacing w:val="0"/>
          <w:szCs w:val="24"/>
          <w:rtl/>
        </w:rPr>
        <w:t>המדינה</w:t>
      </w:r>
      <w:r w:rsidRPr="00D04218">
        <w:rPr>
          <w:rFonts w:ascii="Century" w:hAnsi="Century" w:cs="Miriam"/>
          <w:b/>
          <w:spacing w:val="0"/>
          <w:szCs w:val="24"/>
          <w:rtl/>
        </w:rPr>
        <w:t xml:space="preserve"> </w:t>
      </w:r>
      <w:r w:rsidRPr="00D04218">
        <w:rPr>
          <w:rFonts w:ascii="Century" w:hAnsi="Century" w:cs="Miriam" w:hint="eastAsia"/>
          <w:b/>
          <w:spacing w:val="0"/>
          <w:szCs w:val="24"/>
          <w:rtl/>
        </w:rPr>
        <w:t>או</w:t>
      </w:r>
      <w:r w:rsidRPr="00D04218">
        <w:rPr>
          <w:rFonts w:ascii="Century" w:hAnsi="Century" w:cs="Miriam"/>
          <w:b/>
          <w:spacing w:val="0"/>
          <w:szCs w:val="24"/>
          <w:rtl/>
        </w:rPr>
        <w:t xml:space="preserve"> </w:t>
      </w:r>
      <w:r w:rsidRPr="00D04218">
        <w:rPr>
          <w:rFonts w:ascii="Century" w:hAnsi="Century" w:cs="Miriam" w:hint="eastAsia"/>
          <w:b/>
          <w:spacing w:val="0"/>
          <w:szCs w:val="24"/>
          <w:rtl/>
        </w:rPr>
        <w:t>לפגיעה</w:t>
      </w:r>
      <w:r w:rsidRPr="00D04218">
        <w:rPr>
          <w:rFonts w:ascii="Century" w:hAnsi="Century" w:cs="Miriam"/>
          <w:b/>
          <w:spacing w:val="0"/>
          <w:szCs w:val="24"/>
          <w:rtl/>
        </w:rPr>
        <w:t xml:space="preserve"> </w:t>
      </w:r>
      <w:r w:rsidRPr="00D04218">
        <w:rPr>
          <w:rFonts w:ascii="Century" w:hAnsi="Century" w:cs="Miriam" w:hint="eastAsia"/>
          <w:b/>
          <w:spacing w:val="0"/>
          <w:szCs w:val="24"/>
          <w:rtl/>
        </w:rPr>
        <w:t>בבטחונה</w:t>
      </w:r>
      <w:r w:rsidRPr="00D04218">
        <w:rPr>
          <w:rFonts w:ascii="Century" w:hAnsi="Century" w:cs="Miriam"/>
          <w:b/>
          <w:spacing w:val="0"/>
          <w:szCs w:val="24"/>
          <w:rtl/>
        </w:rPr>
        <w:t xml:space="preserve"> </w:t>
      </w:r>
      <w:r w:rsidRPr="00D04218">
        <w:rPr>
          <w:rFonts w:ascii="Century" w:hAnsi="Century" w:cs="Miriam" w:hint="eastAsia"/>
          <w:b/>
          <w:spacing w:val="0"/>
          <w:szCs w:val="24"/>
          <w:rtl/>
        </w:rPr>
        <w:t>של</w:t>
      </w:r>
      <w:r w:rsidRPr="00D04218">
        <w:rPr>
          <w:rFonts w:ascii="Century" w:hAnsi="Century" w:cs="Miriam"/>
          <w:b/>
          <w:spacing w:val="0"/>
          <w:szCs w:val="24"/>
          <w:rtl/>
        </w:rPr>
        <w:t xml:space="preserve"> </w:t>
      </w:r>
      <w:r w:rsidRPr="00D04218">
        <w:rPr>
          <w:rFonts w:ascii="Century" w:hAnsi="Century" w:cs="Miriam" w:hint="eastAsia"/>
          <w:b/>
          <w:spacing w:val="0"/>
          <w:szCs w:val="24"/>
          <w:rtl/>
        </w:rPr>
        <w:t>המדינה</w:t>
      </w:r>
      <w:r w:rsidRPr="00D04218">
        <w:rPr>
          <w:rFonts w:ascii="Century" w:hAnsi="Century" w:cs="Miriam"/>
          <w:b/>
          <w:spacing w:val="0"/>
          <w:szCs w:val="24"/>
          <w:rtl/>
        </w:rPr>
        <w:t xml:space="preserve"> </w:t>
      </w:r>
      <w:r w:rsidRPr="00D04218">
        <w:rPr>
          <w:rFonts w:ascii="Century" w:hAnsi="Century" w:cs="Miriam" w:hint="eastAsia"/>
          <w:b/>
          <w:spacing w:val="0"/>
          <w:szCs w:val="24"/>
          <w:rtl/>
        </w:rPr>
        <w:t>או</w:t>
      </w:r>
      <w:r w:rsidRPr="00D04218">
        <w:rPr>
          <w:rFonts w:ascii="Century" w:hAnsi="Century" w:cs="Miriam"/>
          <w:b/>
          <w:spacing w:val="0"/>
          <w:szCs w:val="24"/>
          <w:rtl/>
        </w:rPr>
        <w:t xml:space="preserve"> </w:t>
      </w:r>
      <w:r w:rsidRPr="00D04218">
        <w:rPr>
          <w:rFonts w:ascii="Century" w:hAnsi="Century" w:cs="Miriam" w:hint="eastAsia"/>
          <w:b/>
          <w:spacing w:val="0"/>
          <w:szCs w:val="24"/>
          <w:rtl/>
        </w:rPr>
        <w:t>בבטחון</w:t>
      </w:r>
      <w:r w:rsidRPr="00D04218">
        <w:rPr>
          <w:rFonts w:ascii="Century" w:hAnsi="Century" w:cs="Miriam"/>
          <w:b/>
          <w:spacing w:val="0"/>
          <w:szCs w:val="24"/>
          <w:rtl/>
        </w:rPr>
        <w:t xml:space="preserve"> </w:t>
      </w:r>
      <w:r w:rsidRPr="00D04218">
        <w:rPr>
          <w:rFonts w:ascii="Century" w:hAnsi="Century" w:cs="Miriam" w:hint="eastAsia"/>
          <w:b/>
          <w:spacing w:val="0"/>
          <w:szCs w:val="24"/>
          <w:rtl/>
        </w:rPr>
        <w:t>תושביה</w:t>
      </w:r>
      <w:r w:rsidRPr="00D04218">
        <w:rPr>
          <w:rFonts w:ascii="Century" w:hAnsi="Century" w:cs="Miriam"/>
          <w:b/>
          <w:spacing w:val="0"/>
          <w:szCs w:val="24"/>
          <w:rtl/>
        </w:rPr>
        <w:t xml:space="preserve"> </w:t>
      </w:r>
      <w:r w:rsidRPr="00D04218">
        <w:rPr>
          <w:rFonts w:ascii="Century" w:hAnsi="Century" w:cs="Miriam" w:hint="eastAsia"/>
          <w:b/>
          <w:spacing w:val="0"/>
          <w:szCs w:val="24"/>
          <w:rtl/>
        </w:rPr>
        <w:t>או</w:t>
      </w:r>
      <w:r w:rsidRPr="00D04218">
        <w:rPr>
          <w:rFonts w:ascii="Century" w:hAnsi="Century" w:cs="Miriam"/>
          <w:b/>
          <w:spacing w:val="0"/>
          <w:szCs w:val="24"/>
          <w:rtl/>
        </w:rPr>
        <w:t xml:space="preserve"> </w:t>
      </w:r>
      <w:r w:rsidRPr="00D04218">
        <w:rPr>
          <w:rFonts w:ascii="Century" w:hAnsi="Century" w:cs="Miriam" w:hint="eastAsia"/>
          <w:b/>
          <w:spacing w:val="0"/>
          <w:szCs w:val="24"/>
          <w:rtl/>
        </w:rPr>
        <w:t>ביהודים</w:t>
      </w:r>
      <w:r w:rsidRPr="00D04218">
        <w:rPr>
          <w:rFonts w:ascii="Century" w:hAnsi="Century" w:cs="Miriam"/>
          <w:b/>
          <w:spacing w:val="0"/>
          <w:szCs w:val="24"/>
          <w:rtl/>
        </w:rPr>
        <w:t xml:space="preserve"> </w:t>
      </w:r>
      <w:r w:rsidRPr="00D04218">
        <w:rPr>
          <w:rFonts w:ascii="Century" w:hAnsi="Century" w:cs="Miriam" w:hint="eastAsia"/>
          <w:b/>
          <w:spacing w:val="0"/>
          <w:szCs w:val="24"/>
          <w:rtl/>
        </w:rPr>
        <w:t>במדינות</w:t>
      </w:r>
      <w:r w:rsidRPr="00D04218">
        <w:rPr>
          <w:rFonts w:ascii="Century" w:hAnsi="Century" w:cs="Miriam"/>
          <w:b/>
          <w:spacing w:val="0"/>
          <w:szCs w:val="24"/>
          <w:rtl/>
        </w:rPr>
        <w:t xml:space="preserve"> </w:t>
      </w:r>
      <w:r w:rsidRPr="00D04218">
        <w:rPr>
          <w:rFonts w:ascii="Century" w:hAnsi="Century" w:cs="Miriam" w:hint="eastAsia"/>
          <w:b/>
          <w:spacing w:val="0"/>
          <w:szCs w:val="24"/>
          <w:rtl/>
        </w:rPr>
        <w:t>אחרות</w:t>
      </w:r>
      <w:r w:rsidRPr="00D04218">
        <w:rPr>
          <w:rFonts w:ascii="Century" w:hAnsi="Century" w:cs="Miriam" w:hint="cs"/>
          <w:b/>
          <w:spacing w:val="0"/>
          <w:szCs w:val="24"/>
          <w:rtl/>
        </w:rPr>
        <w:t>"</w:t>
      </w:r>
      <w:r>
        <w:rPr>
          <w:rFonts w:hint="cs"/>
          <w:rtl/>
        </w:rPr>
        <w:t>.</w:t>
      </w:r>
    </w:p>
    <w:p w:rsidR="00D512D4" w:rsidRDefault="00D512D4" w:rsidP="000B6AE3">
      <w:pPr>
        <w:pStyle w:val="Ruller41"/>
        <w:spacing w:line="240" w:lineRule="auto"/>
        <w:rPr>
          <w:rtl/>
        </w:rPr>
      </w:pPr>
    </w:p>
    <w:p w:rsidR="00D512D4" w:rsidRDefault="00D512D4" w:rsidP="00E74CCB">
      <w:pPr>
        <w:pStyle w:val="Ruller4"/>
        <w:numPr>
          <w:ilvl w:val="0"/>
          <w:numId w:val="0"/>
        </w:numPr>
        <w:rPr>
          <w:rtl/>
        </w:rPr>
      </w:pPr>
      <w:r>
        <w:rPr>
          <w:rtl/>
        </w:rPr>
        <w:tab/>
      </w:r>
      <w:r w:rsidR="00E74CCB">
        <w:rPr>
          <w:rFonts w:hint="cs"/>
          <w:rtl/>
        </w:rPr>
        <w:t>עוד אצי</w:t>
      </w:r>
      <w:r>
        <w:rPr>
          <w:rFonts w:hint="cs"/>
          <w:rtl/>
        </w:rPr>
        <w:t>ין</w:t>
      </w:r>
      <w:r w:rsidR="00E74CCB">
        <w:rPr>
          <w:rFonts w:hint="cs"/>
          <w:rtl/>
        </w:rPr>
        <w:t>,</w:t>
      </w:r>
      <w:r>
        <w:rPr>
          <w:rFonts w:hint="cs"/>
          <w:rtl/>
        </w:rPr>
        <w:t xml:space="preserve"> כי בתוספת הראשונה לחוק נקבע, שחסינות המדינה לפי סעיף 5ב לא תחול לגבי</w:t>
      </w:r>
      <w:r w:rsidRPr="00EE738E">
        <w:rPr>
          <w:rFonts w:hint="eastAsia"/>
          <w:rtl/>
        </w:rPr>
        <w:t xml:space="preserve"> </w:t>
      </w:r>
      <w:r w:rsidRPr="00D04218">
        <w:rPr>
          <w:rFonts w:ascii="Century" w:hAnsi="Century" w:cs="Miriam" w:hint="cs"/>
          <w:b/>
          <w:spacing w:val="0"/>
          <w:sz w:val="22"/>
          <w:szCs w:val="24"/>
          <w:rtl/>
        </w:rPr>
        <w:t>"</w:t>
      </w:r>
      <w:r w:rsidRPr="00D04218">
        <w:rPr>
          <w:rFonts w:ascii="Century" w:hAnsi="Century" w:cs="Miriam" w:hint="eastAsia"/>
          <w:b/>
          <w:spacing w:val="0"/>
          <w:sz w:val="22"/>
          <w:szCs w:val="24"/>
          <w:rtl/>
        </w:rPr>
        <w:t>תביעה</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שעילתה</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נזק</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שנגרם</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לאדם</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כאמור</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בסעיף</w:t>
      </w:r>
      <w:r w:rsidRPr="00D04218">
        <w:rPr>
          <w:rFonts w:ascii="Century" w:hAnsi="Century" w:cs="Miriam"/>
          <w:b/>
          <w:spacing w:val="0"/>
          <w:sz w:val="22"/>
          <w:szCs w:val="24"/>
          <w:rtl/>
        </w:rPr>
        <w:t xml:space="preserve"> 5</w:t>
      </w:r>
      <w:r w:rsidRPr="00D04218">
        <w:rPr>
          <w:rFonts w:ascii="Century" w:hAnsi="Century" w:cs="Miriam" w:hint="eastAsia"/>
          <w:b/>
          <w:spacing w:val="0"/>
          <w:sz w:val="22"/>
          <w:szCs w:val="24"/>
          <w:rtl/>
        </w:rPr>
        <w:t>ב</w:t>
      </w:r>
      <w:r w:rsidRPr="00D04218">
        <w:rPr>
          <w:rFonts w:ascii="Century" w:hAnsi="Century" w:cs="Miriam"/>
          <w:b/>
          <w:spacing w:val="0"/>
          <w:sz w:val="22"/>
          <w:szCs w:val="24"/>
          <w:rtl/>
        </w:rPr>
        <w:t>(</w:t>
      </w:r>
      <w:r w:rsidRPr="00D04218">
        <w:rPr>
          <w:rFonts w:ascii="Century" w:hAnsi="Century" w:cs="Miriam" w:hint="eastAsia"/>
          <w:b/>
          <w:spacing w:val="0"/>
          <w:sz w:val="22"/>
          <w:szCs w:val="24"/>
          <w:rtl/>
        </w:rPr>
        <w:t>א</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בעת</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שהיה</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מצוי</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במשמורת</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של</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מדינת</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ישראל</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כעצור</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או</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כאסיר</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ואשר</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לאחר</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שהותו</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במשמורת</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לא</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חזר</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להיות</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פעיל</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או</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חבר</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בארגון</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מחבלים</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או</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לפעול</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מטעמו</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או</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בשליחותו</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של</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מי</w:t>
      </w:r>
      <w:r w:rsidRPr="00D04218">
        <w:rPr>
          <w:rFonts w:ascii="Century" w:hAnsi="Century" w:cs="Miriam"/>
          <w:b/>
          <w:spacing w:val="0"/>
          <w:sz w:val="22"/>
          <w:szCs w:val="24"/>
          <w:rtl/>
        </w:rPr>
        <w:t xml:space="preserve"> </w:t>
      </w:r>
      <w:r w:rsidRPr="00D04218">
        <w:rPr>
          <w:rFonts w:ascii="Century" w:hAnsi="Century" w:cs="Miriam" w:hint="eastAsia"/>
          <w:b/>
          <w:spacing w:val="0"/>
          <w:sz w:val="22"/>
          <w:szCs w:val="24"/>
          <w:rtl/>
        </w:rPr>
        <w:t>מהם</w:t>
      </w:r>
      <w:r w:rsidRPr="00D04218">
        <w:rPr>
          <w:rFonts w:ascii="Century" w:hAnsi="Century" w:cs="Miriam" w:hint="cs"/>
          <w:b/>
          <w:spacing w:val="0"/>
          <w:sz w:val="22"/>
          <w:szCs w:val="24"/>
          <w:rtl/>
        </w:rPr>
        <w:t>"</w:t>
      </w:r>
      <w:r w:rsidR="00E74CCB">
        <w:rPr>
          <w:rFonts w:hint="cs"/>
          <w:rtl/>
        </w:rPr>
        <w:t xml:space="preserve"> </w:t>
      </w:r>
      <w:r>
        <w:rPr>
          <w:rFonts w:hint="cs"/>
          <w:rtl/>
        </w:rPr>
        <w:t xml:space="preserve">(גם לסעיף 5ג, שעניינו חסינות המדינה בפעולותיה ב'אזור </w:t>
      </w:r>
      <w:r>
        <w:rPr>
          <w:rFonts w:hint="cs"/>
          <w:rtl/>
        </w:rPr>
        <w:lastRenderedPageBreak/>
        <w:t xml:space="preserve">עימות', נקבעו מספר חריגים, בתוספת השניה לחוק, אך אין צורך לפרט לגביהם במסגרת העניין דנן).   </w:t>
      </w:r>
    </w:p>
    <w:p w:rsidR="00D512D4" w:rsidRDefault="00D512D4" w:rsidP="00D512D4">
      <w:pPr>
        <w:pStyle w:val="Ruller4"/>
        <w:numPr>
          <w:ilvl w:val="0"/>
          <w:numId w:val="0"/>
        </w:numPr>
        <w:rPr>
          <w:rtl/>
        </w:rPr>
      </w:pPr>
    </w:p>
    <w:p w:rsidR="00D512D4" w:rsidRDefault="00D512D4" w:rsidP="00D512D4">
      <w:pPr>
        <w:pStyle w:val="Ruller4"/>
      </w:pPr>
      <w:r>
        <w:rPr>
          <w:rFonts w:hint="cs"/>
          <w:rtl/>
        </w:rPr>
        <w:t xml:space="preserve">תיקון מספר 7, הרחיב את חסינות המדינה בנזיקין באמצעות קביעת שתי קטגוריות. הקטגוריה הראשונה, המוסדרת בסעיף 5ב, קבעה חסינות על בסיס </w:t>
      </w:r>
      <w:r w:rsidRPr="00C65AE6">
        <w:rPr>
          <w:rFonts w:ascii="Century" w:hAnsi="Century" w:cs="Miriam" w:hint="cs"/>
          <w:b/>
          <w:spacing w:val="0"/>
          <w:sz w:val="22"/>
          <w:szCs w:val="24"/>
          <w:rtl/>
        </w:rPr>
        <w:t>פרסונאלי</w:t>
      </w:r>
      <w:r>
        <w:rPr>
          <w:rFonts w:hint="cs"/>
          <w:rtl/>
        </w:rPr>
        <w:t xml:space="preserve">, שלפיו המדינה תהא פטורה מאחריות, ביחס לנזקים שנגרמו על-ידה לנתין מדינת אויב, פעיל או חבר בארגון מחבלים, או למי שפעל מטעמם. הקטגוריה השניה, זו שהוסדרה בסעיף 5ג, העניקה למדינה חסינות על בסיס </w:t>
      </w:r>
      <w:r w:rsidRPr="00C65AE6">
        <w:rPr>
          <w:rFonts w:ascii="Century" w:hAnsi="Century" w:cs="Miriam" w:hint="cs"/>
          <w:b/>
          <w:spacing w:val="0"/>
          <w:sz w:val="22"/>
          <w:szCs w:val="24"/>
          <w:rtl/>
        </w:rPr>
        <w:t>טריטוריאלי</w:t>
      </w:r>
      <w:r>
        <w:rPr>
          <w:rFonts w:hint="cs"/>
          <w:rtl/>
        </w:rPr>
        <w:t xml:space="preserve">. לעניין זה, סעיף 5ג לחוק, כנוסחו אז, קבע כי המדינה פטורה מאחריות נזיקית, ביחס לנזק שנגרם בשטח שהוכרז על-ידי שר הביטחון כ'אזור עימות'. בעניין </w:t>
      </w:r>
      <w:r w:rsidRPr="00C65AE6">
        <w:rPr>
          <w:rFonts w:ascii="Century" w:hAnsi="Century" w:cs="Miriam" w:hint="cs"/>
          <w:b/>
          <w:spacing w:val="0"/>
          <w:sz w:val="22"/>
          <w:szCs w:val="24"/>
          <w:rtl/>
        </w:rPr>
        <w:t>עדאלה</w:t>
      </w:r>
      <w:r>
        <w:rPr>
          <w:rFonts w:hint="cs"/>
          <w:rtl/>
        </w:rPr>
        <w:t xml:space="preserve">, הוגשה עתירה שבה התבקש </w:t>
      </w:r>
      <w:r w:rsidR="00E74CCB">
        <w:rPr>
          <w:rFonts w:hint="cs"/>
          <w:rtl/>
        </w:rPr>
        <w:t xml:space="preserve">בג"ץ </w:t>
      </w:r>
      <w:r>
        <w:rPr>
          <w:rFonts w:hint="cs"/>
          <w:rtl/>
        </w:rPr>
        <w:t>להורות על ביטול סעיפים 5ב ו-5ג לחוק, מחמת אי-חוקתיות. ביחס לשאלת חוקתיותו של סעיף 5ב, קבע בית המשפט</w:t>
      </w:r>
      <w:r w:rsidR="001D3210">
        <w:rPr>
          <w:rFonts w:hint="cs"/>
          <w:rtl/>
        </w:rPr>
        <w:t>,</w:t>
      </w:r>
      <w:r>
        <w:rPr>
          <w:rFonts w:hint="cs"/>
          <w:rtl/>
        </w:rPr>
        <w:t xml:space="preserve"> כי</w:t>
      </w:r>
      <w:r w:rsidRPr="00C65AE6">
        <w:rPr>
          <w:rFonts w:ascii="Century" w:hAnsi="Century" w:cs="Miriam"/>
          <w:b/>
          <w:spacing w:val="0"/>
          <w:szCs w:val="24"/>
          <w:rtl/>
        </w:rPr>
        <w:t xml:space="preserve"> </w:t>
      </w:r>
      <w:r>
        <w:rPr>
          <w:rFonts w:ascii="Century" w:hAnsi="Century" w:cs="Miriam" w:hint="cs"/>
          <w:b/>
          <w:spacing w:val="0"/>
          <w:szCs w:val="24"/>
          <w:rtl/>
        </w:rPr>
        <w:t>"</w:t>
      </w:r>
      <w:r w:rsidRPr="00C65AE6">
        <w:rPr>
          <w:rFonts w:ascii="Century" w:hAnsi="Century" w:cs="Miriam"/>
          <w:b/>
          <w:spacing w:val="0"/>
          <w:szCs w:val="24"/>
          <w:rtl/>
        </w:rPr>
        <w:t>שאלת חוקתיותו של </w:t>
      </w:r>
      <w:r w:rsidRPr="00916DB0">
        <w:rPr>
          <w:rFonts w:ascii="Century" w:hAnsi="Century" w:cs="Miriam"/>
          <w:spacing w:val="0"/>
          <w:szCs w:val="24"/>
          <w:rtl/>
        </w:rPr>
        <w:t>סעיף 5ב</w:t>
      </w:r>
      <w:r w:rsidRPr="00C65AE6">
        <w:rPr>
          <w:rFonts w:ascii="Century" w:hAnsi="Century" w:cs="Miriam"/>
          <w:b/>
          <w:spacing w:val="0"/>
          <w:szCs w:val="24"/>
        </w:rPr>
        <w:t> </w:t>
      </w:r>
      <w:r w:rsidRPr="00C65AE6">
        <w:rPr>
          <w:rFonts w:ascii="Century" w:hAnsi="Century" w:cs="Miriam"/>
          <w:b/>
          <w:spacing w:val="0"/>
          <w:szCs w:val="24"/>
          <w:rtl/>
        </w:rPr>
        <w:t>לתיקון מס' 7 עלתה בפנינו באופן שולי בלבד</w:t>
      </w:r>
      <w:r w:rsidRPr="00C65AE6">
        <w:rPr>
          <w:rFonts w:ascii="Century" w:hAnsi="Century" w:cs="Miriam" w:hint="cs"/>
          <w:b/>
          <w:spacing w:val="0"/>
          <w:szCs w:val="24"/>
          <w:rtl/>
        </w:rPr>
        <w:t>"</w:t>
      </w:r>
      <w:r w:rsidRPr="00C65AE6">
        <w:rPr>
          <w:rFonts w:ascii="FrankRuehl" w:hAnsi="FrankRuehl"/>
          <w:b/>
          <w:spacing w:val="0"/>
          <w:sz w:val="28"/>
          <w:rtl/>
        </w:rPr>
        <w:t xml:space="preserve">, ולכן </w:t>
      </w:r>
      <w:r>
        <w:rPr>
          <w:rFonts w:ascii="Century" w:hAnsi="Century" w:cs="Miriam" w:hint="cs"/>
          <w:b/>
          <w:spacing w:val="0"/>
          <w:szCs w:val="24"/>
          <w:rtl/>
        </w:rPr>
        <w:t>"</w:t>
      </w:r>
      <w:r w:rsidRPr="00C65AE6">
        <w:rPr>
          <w:rFonts w:ascii="Century" w:hAnsi="Century" w:cs="Miriam"/>
          <w:b/>
          <w:spacing w:val="0"/>
          <w:szCs w:val="24"/>
          <w:rtl/>
        </w:rPr>
        <w:t>לא ראינו מקום להכריע בשאלת חוקתיותו של </w:t>
      </w:r>
      <w:r w:rsidRPr="00916DB0">
        <w:rPr>
          <w:rFonts w:ascii="Century" w:hAnsi="Century" w:cs="Miriam"/>
          <w:spacing w:val="0"/>
          <w:szCs w:val="24"/>
          <w:rtl/>
        </w:rPr>
        <w:t>סעיף 5ב</w:t>
      </w:r>
      <w:r w:rsidRPr="00C65AE6">
        <w:rPr>
          <w:rFonts w:ascii="Century" w:hAnsi="Century" w:cs="Miriam"/>
          <w:b/>
          <w:spacing w:val="0"/>
          <w:szCs w:val="24"/>
        </w:rPr>
        <w:t> </w:t>
      </w:r>
      <w:r w:rsidRPr="00C65AE6">
        <w:rPr>
          <w:rFonts w:ascii="Century" w:hAnsi="Century" w:cs="Miriam"/>
          <w:b/>
          <w:spacing w:val="0"/>
          <w:szCs w:val="24"/>
          <w:rtl/>
        </w:rPr>
        <w:t>לתיקון מס'</w:t>
      </w:r>
      <w:r w:rsidRPr="00C65AE6">
        <w:rPr>
          <w:rFonts w:ascii="Century" w:hAnsi="Century" w:cs="Miriam" w:hint="cs"/>
          <w:b/>
          <w:spacing w:val="0"/>
          <w:szCs w:val="24"/>
          <w:rtl/>
        </w:rPr>
        <w:t xml:space="preserve"> 7"</w:t>
      </w:r>
      <w:r w:rsidRPr="00C65AE6">
        <w:rPr>
          <w:rFonts w:ascii="FrankRuehl" w:hAnsi="FrankRuehl"/>
          <w:b/>
          <w:spacing w:val="0"/>
          <w:sz w:val="28"/>
          <w:rtl/>
        </w:rPr>
        <w:t xml:space="preserve"> </w:t>
      </w:r>
      <w:r w:rsidRPr="00C65AE6">
        <w:rPr>
          <w:rFonts w:ascii="Century" w:hAnsi="Century"/>
          <w:sz w:val="22"/>
          <w:rtl/>
        </w:rPr>
        <w:t>(שם, בפסקה 31).</w:t>
      </w:r>
      <w:r w:rsidRPr="00C65AE6">
        <w:rPr>
          <w:rFonts w:ascii="Century" w:hAnsi="Century" w:hint="cs"/>
          <w:sz w:val="22"/>
          <w:rtl/>
        </w:rPr>
        <w:t xml:space="preserve"> </w:t>
      </w:r>
      <w:r>
        <w:rPr>
          <w:rFonts w:hint="cs"/>
          <w:rtl/>
        </w:rPr>
        <w:t xml:space="preserve">אם כן, סעיף 5ב לחוק, העומד במוקד ענייננו, לא נתברר בעניין </w:t>
      </w:r>
      <w:r w:rsidRPr="00720523">
        <w:rPr>
          <w:rFonts w:ascii="Century" w:hAnsi="Century" w:cs="Miriam" w:hint="eastAsia"/>
          <w:b/>
          <w:spacing w:val="0"/>
          <w:sz w:val="22"/>
          <w:szCs w:val="24"/>
          <w:rtl/>
        </w:rPr>
        <w:t>עדאלה</w:t>
      </w:r>
      <w:r>
        <w:rPr>
          <w:rFonts w:hint="cs"/>
          <w:rtl/>
        </w:rPr>
        <w:t xml:space="preserve">, וחוקתיותו טרם הועמדה במבחן. לעומתו, סעיף 5ג לחוק </w:t>
      </w:r>
      <w:r>
        <w:rPr>
          <w:rtl/>
        </w:rPr>
        <w:t>–</w:t>
      </w:r>
      <w:r>
        <w:rPr>
          <w:rFonts w:hint="cs"/>
          <w:rtl/>
        </w:rPr>
        <w:t xml:space="preserve"> לא זכה להאריך ימים. בעניין </w:t>
      </w:r>
      <w:r w:rsidRPr="00F85A92">
        <w:rPr>
          <w:rFonts w:ascii="Century" w:hAnsi="Century" w:cs="Miriam" w:hint="cs"/>
          <w:b/>
          <w:spacing w:val="0"/>
          <w:sz w:val="22"/>
          <w:szCs w:val="24"/>
          <w:rtl/>
        </w:rPr>
        <w:t>עדאלה</w:t>
      </w:r>
      <w:r w:rsidRPr="00F47247">
        <w:rPr>
          <w:rFonts w:hint="cs"/>
          <w:rtl/>
        </w:rPr>
        <w:t xml:space="preserve"> </w:t>
      </w:r>
      <w:r>
        <w:rPr>
          <w:rFonts w:hint="cs"/>
          <w:rtl/>
        </w:rPr>
        <w:t xml:space="preserve">נקבע, כי סעיף זה אינו חוקתי, לוקה בחוסר מידתיות, ואחת דינו </w:t>
      </w:r>
      <w:r>
        <w:rPr>
          <w:rtl/>
        </w:rPr>
        <w:t>–</w:t>
      </w:r>
      <w:r>
        <w:rPr>
          <w:rFonts w:hint="cs"/>
          <w:rtl/>
        </w:rPr>
        <w:t xml:space="preserve"> להתבטל. בעיקרו של דבר, נקבע כי סעיף 5ג אינו עומד במבחן המשנה השני של כלל המידתיות, 'האמצעי שפגיעתו פחותה', נוכח החסינות הגורפת המוענקת בו למדינה, גם בגין ביצוע פעולות שאינן מלחמתיות. נפסק, כי ניתן להשיג את תכלית החוק באמצעי מידתי יותר, באמצעות בחינה אינדיבידואלית של כל מקרה ומקרה: </w:t>
      </w:r>
    </w:p>
    <w:p w:rsidR="00D512D4" w:rsidRPr="00F85A92" w:rsidRDefault="00D512D4" w:rsidP="00D512D4">
      <w:pPr>
        <w:pStyle w:val="Ruller4"/>
        <w:numPr>
          <w:ilvl w:val="0"/>
          <w:numId w:val="0"/>
        </w:numPr>
        <w:rPr>
          <w:rtl/>
        </w:rPr>
      </w:pPr>
    </w:p>
    <w:p w:rsidR="00D512D4" w:rsidRPr="00720523" w:rsidRDefault="00D512D4" w:rsidP="00A57217">
      <w:pPr>
        <w:pStyle w:val="Ruller5"/>
        <w:spacing w:line="360" w:lineRule="auto"/>
        <w:rPr>
          <w:rFonts w:ascii="Century" w:hAnsi="Century"/>
          <w:rtl/>
        </w:rPr>
      </w:pPr>
      <w:r w:rsidRPr="008654C3">
        <w:rPr>
          <w:rFonts w:ascii="Century" w:hAnsi="Century" w:cs="Miriam" w:hint="cs"/>
          <w:b/>
          <w:spacing w:val="0"/>
          <w:szCs w:val="24"/>
          <w:rtl/>
        </w:rPr>
        <w:t>"</w:t>
      </w:r>
      <w:r w:rsidRPr="008654C3">
        <w:rPr>
          <w:rFonts w:ascii="Century" w:hAnsi="Century" w:cs="Miriam" w:hint="eastAsia"/>
          <w:b/>
          <w:spacing w:val="0"/>
          <w:szCs w:val="24"/>
          <w:rtl/>
        </w:rPr>
        <w:t>האם</w:t>
      </w:r>
      <w:r w:rsidRPr="008654C3">
        <w:rPr>
          <w:rFonts w:ascii="Century" w:hAnsi="Century" w:cs="Miriam"/>
          <w:b/>
          <w:spacing w:val="0"/>
          <w:szCs w:val="24"/>
          <w:rtl/>
        </w:rPr>
        <w:t xml:space="preserve"> </w:t>
      </w:r>
      <w:r w:rsidRPr="008654C3">
        <w:rPr>
          <w:rFonts w:ascii="Century" w:hAnsi="Century" w:cs="Miriam" w:hint="eastAsia"/>
          <w:b/>
          <w:spacing w:val="0"/>
          <w:szCs w:val="24"/>
          <w:rtl/>
        </w:rPr>
        <w:t>מקיים</w:t>
      </w:r>
      <w:r w:rsidRPr="008654C3">
        <w:rPr>
          <w:rFonts w:ascii="Century" w:hAnsi="Century" w:cs="Miriam"/>
          <w:b/>
          <w:spacing w:val="0"/>
          <w:szCs w:val="24"/>
          <w:rtl/>
        </w:rPr>
        <w:t xml:space="preserve"> </w:t>
      </w:r>
      <w:r w:rsidRPr="008654C3">
        <w:rPr>
          <w:rFonts w:ascii="Century" w:hAnsi="Century" w:cs="Miriam" w:hint="eastAsia"/>
          <w:b/>
          <w:spacing w:val="0"/>
          <w:szCs w:val="24"/>
          <w:rtl/>
        </w:rPr>
        <w:t>סעיף</w:t>
      </w:r>
      <w:r w:rsidRPr="008654C3">
        <w:rPr>
          <w:rFonts w:ascii="Century" w:hAnsi="Century" w:cs="Miriam"/>
          <w:b/>
          <w:spacing w:val="0"/>
          <w:szCs w:val="24"/>
          <w:rtl/>
        </w:rPr>
        <w:t xml:space="preserve"> 5</w:t>
      </w:r>
      <w:r w:rsidRPr="008654C3">
        <w:rPr>
          <w:rFonts w:ascii="Century" w:hAnsi="Century" w:cs="Miriam" w:hint="eastAsia"/>
          <w:b/>
          <w:spacing w:val="0"/>
          <w:szCs w:val="24"/>
          <w:rtl/>
        </w:rPr>
        <w:t>ג</w:t>
      </w:r>
      <w:r w:rsidRPr="008654C3">
        <w:rPr>
          <w:rFonts w:ascii="Century" w:hAnsi="Century" w:cs="Miriam"/>
          <w:b/>
          <w:spacing w:val="0"/>
          <w:szCs w:val="24"/>
          <w:rtl/>
        </w:rPr>
        <w:t xml:space="preserve"> </w:t>
      </w:r>
      <w:r w:rsidRPr="008654C3">
        <w:rPr>
          <w:rFonts w:ascii="Century" w:hAnsi="Century" w:cs="Miriam" w:hint="eastAsia"/>
          <w:b/>
          <w:spacing w:val="0"/>
          <w:szCs w:val="24"/>
          <w:rtl/>
        </w:rPr>
        <w:t>לתיקון</w:t>
      </w:r>
      <w:r w:rsidRPr="008654C3">
        <w:rPr>
          <w:rFonts w:ascii="Century" w:hAnsi="Century" w:cs="Miriam"/>
          <w:b/>
          <w:spacing w:val="0"/>
          <w:szCs w:val="24"/>
          <w:rtl/>
        </w:rPr>
        <w:t xml:space="preserve"> </w:t>
      </w:r>
      <w:r w:rsidRPr="008654C3">
        <w:rPr>
          <w:rFonts w:ascii="Century" w:hAnsi="Century" w:cs="Miriam" w:hint="eastAsia"/>
          <w:b/>
          <w:spacing w:val="0"/>
          <w:szCs w:val="24"/>
          <w:rtl/>
        </w:rPr>
        <w:t>מס</w:t>
      </w:r>
      <w:r w:rsidRPr="008654C3">
        <w:rPr>
          <w:rFonts w:ascii="Century" w:hAnsi="Century" w:cs="Miriam"/>
          <w:b/>
          <w:spacing w:val="0"/>
          <w:szCs w:val="24"/>
          <w:rtl/>
        </w:rPr>
        <w:t xml:space="preserve">' 7 </w:t>
      </w:r>
      <w:r w:rsidRPr="008654C3">
        <w:rPr>
          <w:rFonts w:ascii="Century" w:hAnsi="Century" w:cs="Miriam" w:hint="eastAsia"/>
          <w:b/>
          <w:spacing w:val="0"/>
          <w:szCs w:val="24"/>
          <w:rtl/>
        </w:rPr>
        <w:t>את</w:t>
      </w:r>
      <w:r w:rsidRPr="008654C3">
        <w:rPr>
          <w:rFonts w:ascii="Century" w:hAnsi="Century" w:cs="Miriam"/>
          <w:b/>
          <w:spacing w:val="0"/>
          <w:szCs w:val="24"/>
          <w:rtl/>
        </w:rPr>
        <w:t xml:space="preserve"> </w:t>
      </w:r>
      <w:r w:rsidRPr="008654C3">
        <w:rPr>
          <w:rFonts w:ascii="Century" w:hAnsi="Century" w:cs="Miriam" w:hint="eastAsia"/>
          <w:b/>
          <w:spacing w:val="0"/>
          <w:szCs w:val="24"/>
          <w:rtl/>
        </w:rPr>
        <w:t>מבחן</w:t>
      </w:r>
      <w:r w:rsidRPr="008654C3">
        <w:rPr>
          <w:rFonts w:ascii="Century" w:hAnsi="Century" w:cs="Miriam"/>
          <w:b/>
          <w:spacing w:val="0"/>
          <w:szCs w:val="24"/>
          <w:rtl/>
        </w:rPr>
        <w:t xml:space="preserve"> </w:t>
      </w:r>
      <w:r w:rsidRPr="008654C3">
        <w:rPr>
          <w:rFonts w:ascii="Century" w:hAnsi="Century" w:cs="Miriam" w:hint="eastAsia"/>
          <w:b/>
          <w:spacing w:val="0"/>
          <w:szCs w:val="24"/>
          <w:rtl/>
        </w:rPr>
        <w:t>המשנה</w:t>
      </w:r>
      <w:r w:rsidRPr="008654C3">
        <w:rPr>
          <w:rFonts w:ascii="Century" w:hAnsi="Century" w:cs="Miriam"/>
          <w:b/>
          <w:spacing w:val="0"/>
          <w:szCs w:val="24"/>
          <w:rtl/>
        </w:rPr>
        <w:t xml:space="preserve"> </w:t>
      </w:r>
      <w:r w:rsidRPr="008654C3">
        <w:rPr>
          <w:rFonts w:ascii="Century" w:hAnsi="Century" w:cs="Miriam" w:hint="eastAsia"/>
          <w:b/>
          <w:spacing w:val="0"/>
          <w:szCs w:val="24"/>
          <w:rtl/>
        </w:rPr>
        <w:t>השני</w:t>
      </w:r>
      <w:r w:rsidRPr="008654C3">
        <w:rPr>
          <w:rFonts w:ascii="Century" w:hAnsi="Century" w:cs="Miriam"/>
          <w:b/>
          <w:spacing w:val="0"/>
          <w:szCs w:val="24"/>
          <w:rtl/>
        </w:rPr>
        <w:t xml:space="preserve"> </w:t>
      </w:r>
      <w:r w:rsidRPr="008654C3">
        <w:rPr>
          <w:rFonts w:ascii="Century" w:hAnsi="Century" w:cs="Miriam" w:hint="eastAsia"/>
          <w:b/>
          <w:spacing w:val="0"/>
          <w:szCs w:val="24"/>
          <w:rtl/>
        </w:rPr>
        <w:t>של</w:t>
      </w:r>
      <w:r w:rsidRPr="008654C3">
        <w:rPr>
          <w:rFonts w:ascii="Century" w:hAnsi="Century" w:cs="Miriam"/>
          <w:b/>
          <w:spacing w:val="0"/>
          <w:szCs w:val="24"/>
          <w:rtl/>
        </w:rPr>
        <w:t xml:space="preserve"> </w:t>
      </w:r>
      <w:r w:rsidRPr="008654C3">
        <w:rPr>
          <w:rFonts w:ascii="Century" w:hAnsi="Century" w:cs="Miriam" w:hint="eastAsia"/>
          <w:b/>
          <w:spacing w:val="0"/>
          <w:szCs w:val="24"/>
          <w:rtl/>
        </w:rPr>
        <w:t>המידתיות</w:t>
      </w:r>
      <w:r w:rsidRPr="008654C3">
        <w:rPr>
          <w:rFonts w:ascii="Century" w:hAnsi="Century" w:cs="Miriam"/>
          <w:b/>
          <w:spacing w:val="0"/>
          <w:szCs w:val="24"/>
          <w:rtl/>
        </w:rPr>
        <w:t xml:space="preserve">? </w:t>
      </w:r>
      <w:r w:rsidRPr="008654C3">
        <w:rPr>
          <w:rFonts w:ascii="Century" w:hAnsi="Century" w:cs="Miriam" w:hint="eastAsia"/>
          <w:b/>
          <w:spacing w:val="0"/>
          <w:szCs w:val="24"/>
          <w:rtl/>
        </w:rPr>
        <w:t>על</w:t>
      </w:r>
      <w:r w:rsidRPr="008654C3">
        <w:rPr>
          <w:rFonts w:ascii="Century" w:hAnsi="Century" w:cs="Miriam"/>
          <w:b/>
          <w:spacing w:val="0"/>
          <w:szCs w:val="24"/>
          <w:rtl/>
        </w:rPr>
        <w:t xml:space="preserve"> </w:t>
      </w:r>
      <w:r w:rsidRPr="008654C3">
        <w:rPr>
          <w:rFonts w:ascii="Century" w:hAnsi="Century" w:cs="Miriam" w:hint="eastAsia"/>
          <w:b/>
          <w:spacing w:val="0"/>
          <w:szCs w:val="24"/>
          <w:rtl/>
        </w:rPr>
        <w:t>פי</w:t>
      </w:r>
      <w:r w:rsidRPr="008654C3">
        <w:rPr>
          <w:rFonts w:ascii="Century" w:hAnsi="Century" w:cs="Miriam"/>
          <w:b/>
          <w:spacing w:val="0"/>
          <w:szCs w:val="24"/>
          <w:rtl/>
        </w:rPr>
        <w:t xml:space="preserve"> </w:t>
      </w:r>
      <w:r w:rsidRPr="008654C3">
        <w:rPr>
          <w:rFonts w:ascii="Century" w:hAnsi="Century" w:cs="Miriam" w:hint="eastAsia"/>
          <w:b/>
          <w:spacing w:val="0"/>
          <w:szCs w:val="24"/>
          <w:rtl/>
        </w:rPr>
        <w:t>מבחן</w:t>
      </w:r>
      <w:r w:rsidRPr="008654C3">
        <w:rPr>
          <w:rFonts w:ascii="Century" w:hAnsi="Century" w:cs="Miriam"/>
          <w:b/>
          <w:spacing w:val="0"/>
          <w:szCs w:val="24"/>
          <w:rtl/>
        </w:rPr>
        <w:t xml:space="preserve"> </w:t>
      </w:r>
      <w:r w:rsidRPr="008654C3">
        <w:rPr>
          <w:rFonts w:ascii="Century" w:hAnsi="Century" w:cs="Miriam" w:hint="eastAsia"/>
          <w:b/>
          <w:spacing w:val="0"/>
          <w:szCs w:val="24"/>
          <w:rtl/>
        </w:rPr>
        <w:t>זה</w:t>
      </w:r>
      <w:r w:rsidRPr="008654C3">
        <w:rPr>
          <w:rFonts w:ascii="Century" w:hAnsi="Century" w:cs="Miriam"/>
          <w:b/>
          <w:spacing w:val="0"/>
          <w:szCs w:val="24"/>
          <w:rtl/>
        </w:rPr>
        <w:t xml:space="preserve">, </w:t>
      </w:r>
      <w:r w:rsidRPr="008654C3">
        <w:rPr>
          <w:rFonts w:ascii="Century" w:hAnsi="Century" w:cs="Miriam" w:hint="eastAsia"/>
          <w:b/>
          <w:spacing w:val="0"/>
          <w:szCs w:val="24"/>
          <w:rtl/>
        </w:rPr>
        <w:t>על</w:t>
      </w:r>
      <w:r w:rsidRPr="008654C3">
        <w:rPr>
          <w:rFonts w:ascii="Century" w:hAnsi="Century" w:cs="Miriam"/>
          <w:b/>
          <w:spacing w:val="0"/>
          <w:szCs w:val="24"/>
          <w:rtl/>
        </w:rPr>
        <w:t xml:space="preserve"> </w:t>
      </w:r>
      <w:r w:rsidRPr="008654C3">
        <w:rPr>
          <w:rFonts w:ascii="Century" w:hAnsi="Century" w:cs="Miriam" w:hint="eastAsia"/>
          <w:b/>
          <w:spacing w:val="0"/>
          <w:szCs w:val="24"/>
          <w:rtl/>
        </w:rPr>
        <w:t>החוק</w:t>
      </w:r>
      <w:r w:rsidRPr="008654C3">
        <w:rPr>
          <w:rFonts w:ascii="Century" w:hAnsi="Century" w:cs="Miriam"/>
          <w:b/>
          <w:spacing w:val="0"/>
          <w:szCs w:val="24"/>
          <w:rtl/>
        </w:rPr>
        <w:t xml:space="preserve"> </w:t>
      </w:r>
      <w:r w:rsidRPr="008654C3">
        <w:rPr>
          <w:rFonts w:ascii="Century" w:hAnsi="Century" w:cs="Miriam" w:hint="eastAsia"/>
          <w:b/>
          <w:spacing w:val="0"/>
          <w:szCs w:val="24"/>
          <w:rtl/>
        </w:rPr>
        <w:t>לנקוט</w:t>
      </w:r>
      <w:r w:rsidRPr="008654C3">
        <w:rPr>
          <w:rFonts w:ascii="Century" w:hAnsi="Century" w:cs="Miriam"/>
          <w:b/>
          <w:spacing w:val="0"/>
          <w:szCs w:val="24"/>
          <w:rtl/>
        </w:rPr>
        <w:t xml:space="preserve"> </w:t>
      </w:r>
      <w:r w:rsidRPr="008654C3">
        <w:rPr>
          <w:rFonts w:ascii="Century" w:hAnsi="Century" w:cs="Miriam" w:hint="eastAsia"/>
          <w:b/>
          <w:spacing w:val="0"/>
          <w:szCs w:val="24"/>
          <w:rtl/>
        </w:rPr>
        <w:t>באמצעי</w:t>
      </w:r>
      <w:r w:rsidRPr="008654C3">
        <w:rPr>
          <w:rFonts w:ascii="Century" w:hAnsi="Century" w:cs="Miriam"/>
          <w:b/>
          <w:spacing w:val="0"/>
          <w:szCs w:val="24"/>
          <w:rtl/>
        </w:rPr>
        <w:t xml:space="preserve"> </w:t>
      </w:r>
      <w:r w:rsidRPr="008654C3">
        <w:rPr>
          <w:rFonts w:ascii="Century" w:hAnsi="Century" w:cs="Miriam" w:hint="eastAsia"/>
          <w:b/>
          <w:spacing w:val="0"/>
          <w:szCs w:val="24"/>
          <w:rtl/>
        </w:rPr>
        <w:t>שפגיעתו</w:t>
      </w:r>
      <w:r w:rsidRPr="008654C3">
        <w:rPr>
          <w:rFonts w:ascii="Century" w:hAnsi="Century" w:cs="Miriam"/>
          <w:b/>
          <w:spacing w:val="0"/>
          <w:szCs w:val="24"/>
          <w:rtl/>
        </w:rPr>
        <w:t xml:space="preserve"> </w:t>
      </w:r>
      <w:r w:rsidRPr="008654C3">
        <w:rPr>
          <w:rFonts w:ascii="Century" w:hAnsi="Century" w:cs="Miriam" w:hint="eastAsia"/>
          <w:b/>
          <w:spacing w:val="0"/>
          <w:szCs w:val="24"/>
          <w:rtl/>
        </w:rPr>
        <w:t>בזכות</w:t>
      </w:r>
      <w:r w:rsidRPr="008654C3">
        <w:rPr>
          <w:rFonts w:ascii="Century" w:hAnsi="Century" w:cs="Miriam"/>
          <w:b/>
          <w:spacing w:val="0"/>
          <w:szCs w:val="24"/>
          <w:rtl/>
        </w:rPr>
        <w:t xml:space="preserve"> </w:t>
      </w:r>
      <w:r w:rsidRPr="008654C3">
        <w:rPr>
          <w:rFonts w:ascii="Century" w:hAnsi="Century" w:cs="Miriam" w:hint="eastAsia"/>
          <w:b/>
          <w:spacing w:val="0"/>
          <w:szCs w:val="24"/>
          <w:rtl/>
        </w:rPr>
        <w:t>האדם</w:t>
      </w:r>
      <w:r w:rsidRPr="008654C3">
        <w:rPr>
          <w:rFonts w:ascii="Century" w:hAnsi="Century" w:cs="Miriam"/>
          <w:b/>
          <w:spacing w:val="0"/>
          <w:szCs w:val="24"/>
          <w:rtl/>
        </w:rPr>
        <w:t xml:space="preserve"> </w:t>
      </w:r>
      <w:r w:rsidRPr="008654C3">
        <w:rPr>
          <w:rFonts w:ascii="Century" w:hAnsi="Century" w:cs="Miriam" w:hint="eastAsia"/>
          <w:b/>
          <w:spacing w:val="0"/>
          <w:szCs w:val="24"/>
          <w:rtl/>
        </w:rPr>
        <w:t>פחותה</w:t>
      </w:r>
      <w:r w:rsidRPr="008654C3">
        <w:rPr>
          <w:rFonts w:ascii="Century" w:hAnsi="Century" w:cs="Miriam"/>
          <w:b/>
          <w:spacing w:val="0"/>
          <w:szCs w:val="24"/>
          <w:rtl/>
        </w:rPr>
        <w:t xml:space="preserve">. </w:t>
      </w:r>
      <w:r w:rsidRPr="008654C3">
        <w:rPr>
          <w:rFonts w:ascii="Century" w:hAnsi="Century" w:cs="Miriam" w:hint="eastAsia"/>
          <w:b/>
          <w:spacing w:val="0"/>
          <w:szCs w:val="24"/>
          <w:rtl/>
        </w:rPr>
        <w:t>האם</w:t>
      </w:r>
      <w:r w:rsidRPr="008654C3">
        <w:rPr>
          <w:rFonts w:ascii="Century" w:hAnsi="Century" w:cs="Miriam"/>
          <w:b/>
          <w:spacing w:val="0"/>
          <w:szCs w:val="24"/>
          <w:rtl/>
        </w:rPr>
        <w:t xml:space="preserve"> </w:t>
      </w:r>
      <w:r w:rsidRPr="008654C3">
        <w:rPr>
          <w:rFonts w:ascii="Century" w:hAnsi="Century" w:cs="Miriam" w:hint="eastAsia"/>
          <w:b/>
          <w:spacing w:val="0"/>
          <w:szCs w:val="24"/>
          <w:rtl/>
        </w:rPr>
        <w:t>סעיף</w:t>
      </w:r>
      <w:r w:rsidRPr="008654C3">
        <w:rPr>
          <w:rFonts w:ascii="Century" w:hAnsi="Century" w:cs="Miriam"/>
          <w:b/>
          <w:spacing w:val="0"/>
          <w:szCs w:val="24"/>
          <w:rtl/>
        </w:rPr>
        <w:t xml:space="preserve"> 5</w:t>
      </w:r>
      <w:r w:rsidRPr="008654C3">
        <w:rPr>
          <w:rFonts w:ascii="Century" w:hAnsi="Century" w:cs="Miriam" w:hint="eastAsia"/>
          <w:b/>
          <w:spacing w:val="0"/>
          <w:szCs w:val="24"/>
          <w:rtl/>
        </w:rPr>
        <w:t>ג</w:t>
      </w:r>
      <w:r w:rsidRPr="008654C3">
        <w:rPr>
          <w:rFonts w:ascii="Century" w:hAnsi="Century" w:cs="Miriam"/>
          <w:b/>
          <w:spacing w:val="0"/>
          <w:szCs w:val="24"/>
          <w:rtl/>
        </w:rPr>
        <w:t xml:space="preserve"> </w:t>
      </w:r>
      <w:r w:rsidRPr="008654C3">
        <w:rPr>
          <w:rFonts w:ascii="Century" w:hAnsi="Century" w:cs="Miriam" w:hint="eastAsia"/>
          <w:b/>
          <w:spacing w:val="0"/>
          <w:szCs w:val="24"/>
          <w:rtl/>
        </w:rPr>
        <w:t>מקיים</w:t>
      </w:r>
      <w:r w:rsidRPr="008654C3">
        <w:rPr>
          <w:rFonts w:ascii="Century" w:hAnsi="Century" w:cs="Miriam"/>
          <w:b/>
          <w:spacing w:val="0"/>
          <w:szCs w:val="24"/>
          <w:rtl/>
        </w:rPr>
        <w:t xml:space="preserve"> </w:t>
      </w:r>
      <w:r w:rsidRPr="008654C3">
        <w:rPr>
          <w:rFonts w:ascii="Century" w:hAnsi="Century" w:cs="Miriam" w:hint="eastAsia"/>
          <w:b/>
          <w:spacing w:val="0"/>
          <w:szCs w:val="24"/>
          <w:rtl/>
        </w:rPr>
        <w:t>דרישה</w:t>
      </w:r>
      <w:r w:rsidRPr="008654C3">
        <w:rPr>
          <w:rFonts w:ascii="Century" w:hAnsi="Century" w:cs="Miriam"/>
          <w:b/>
          <w:spacing w:val="0"/>
          <w:szCs w:val="24"/>
          <w:rtl/>
        </w:rPr>
        <w:t xml:space="preserve"> </w:t>
      </w:r>
      <w:r w:rsidRPr="008654C3">
        <w:rPr>
          <w:rFonts w:ascii="Century" w:hAnsi="Century" w:cs="Miriam" w:hint="eastAsia"/>
          <w:b/>
          <w:spacing w:val="0"/>
          <w:szCs w:val="24"/>
          <w:rtl/>
        </w:rPr>
        <w:t>חוקתית</w:t>
      </w:r>
      <w:r w:rsidRPr="008654C3">
        <w:rPr>
          <w:rFonts w:ascii="Century" w:hAnsi="Century" w:cs="Miriam"/>
          <w:b/>
          <w:spacing w:val="0"/>
          <w:szCs w:val="24"/>
          <w:rtl/>
        </w:rPr>
        <w:t xml:space="preserve"> </w:t>
      </w:r>
      <w:r w:rsidRPr="008654C3">
        <w:rPr>
          <w:rFonts w:ascii="Century" w:hAnsi="Century" w:cs="Miriam" w:hint="eastAsia"/>
          <w:b/>
          <w:spacing w:val="0"/>
          <w:szCs w:val="24"/>
          <w:rtl/>
        </w:rPr>
        <w:t>זו</w:t>
      </w:r>
      <w:r w:rsidRPr="008654C3">
        <w:rPr>
          <w:rFonts w:ascii="Century" w:hAnsi="Century" w:cs="Miriam"/>
          <w:b/>
          <w:spacing w:val="0"/>
          <w:szCs w:val="24"/>
          <w:rtl/>
        </w:rPr>
        <w:t xml:space="preserve">? </w:t>
      </w:r>
      <w:r w:rsidRPr="008654C3">
        <w:rPr>
          <w:rFonts w:ascii="Century" w:hAnsi="Century" w:cs="Miriam" w:hint="eastAsia"/>
          <w:b/>
          <w:spacing w:val="0"/>
          <w:szCs w:val="24"/>
          <w:rtl/>
        </w:rPr>
        <w:t>תשובתי</w:t>
      </w:r>
      <w:r w:rsidRPr="008654C3">
        <w:rPr>
          <w:rFonts w:ascii="Century" w:hAnsi="Century" w:cs="Miriam"/>
          <w:b/>
          <w:spacing w:val="0"/>
          <w:szCs w:val="24"/>
          <w:rtl/>
        </w:rPr>
        <w:t xml:space="preserve"> </w:t>
      </w:r>
      <w:r w:rsidRPr="008654C3">
        <w:rPr>
          <w:rFonts w:ascii="Century" w:hAnsi="Century" w:cs="Miriam" w:hint="eastAsia"/>
          <w:b/>
          <w:spacing w:val="0"/>
          <w:szCs w:val="24"/>
          <w:rtl/>
        </w:rPr>
        <w:t>הינה</w:t>
      </w:r>
      <w:r w:rsidRPr="008654C3">
        <w:rPr>
          <w:rFonts w:ascii="Century" w:hAnsi="Century" w:cs="Miriam"/>
          <w:b/>
          <w:spacing w:val="0"/>
          <w:szCs w:val="24"/>
          <w:rtl/>
        </w:rPr>
        <w:t xml:space="preserve"> </w:t>
      </w:r>
      <w:r w:rsidRPr="008654C3">
        <w:rPr>
          <w:rFonts w:ascii="Century" w:hAnsi="Century" w:cs="Miriam" w:hint="eastAsia"/>
          <w:b/>
          <w:spacing w:val="0"/>
          <w:szCs w:val="24"/>
          <w:rtl/>
        </w:rPr>
        <w:t>בשלילה</w:t>
      </w:r>
      <w:r w:rsidRPr="008654C3">
        <w:rPr>
          <w:rFonts w:ascii="Century" w:hAnsi="Century" w:cs="Miriam"/>
          <w:b/>
          <w:spacing w:val="0"/>
          <w:szCs w:val="24"/>
          <w:rtl/>
        </w:rPr>
        <w:t xml:space="preserve">. </w:t>
      </w:r>
      <w:r w:rsidRPr="008654C3">
        <w:rPr>
          <w:rFonts w:ascii="Century" w:hAnsi="Century" w:cs="Miriam" w:hint="eastAsia"/>
          <w:b/>
          <w:spacing w:val="0"/>
          <w:szCs w:val="24"/>
          <w:rtl/>
        </w:rPr>
        <w:t>על</w:t>
      </w:r>
      <w:r w:rsidRPr="008654C3">
        <w:rPr>
          <w:rFonts w:ascii="Century" w:hAnsi="Century" w:cs="Miriam"/>
          <w:b/>
          <w:spacing w:val="0"/>
          <w:szCs w:val="24"/>
          <w:rtl/>
        </w:rPr>
        <w:t xml:space="preserve"> </w:t>
      </w:r>
      <w:r w:rsidRPr="008654C3">
        <w:rPr>
          <w:rFonts w:ascii="Century" w:hAnsi="Century" w:cs="Miriam" w:hint="eastAsia"/>
          <w:b/>
          <w:spacing w:val="0"/>
          <w:szCs w:val="24"/>
          <w:rtl/>
        </w:rPr>
        <w:t>מנת</w:t>
      </w:r>
      <w:r w:rsidRPr="008654C3">
        <w:rPr>
          <w:rFonts w:ascii="Century" w:hAnsi="Century" w:cs="Miriam"/>
          <w:b/>
          <w:spacing w:val="0"/>
          <w:szCs w:val="24"/>
          <w:rtl/>
        </w:rPr>
        <w:t xml:space="preserve"> </w:t>
      </w:r>
      <w:r w:rsidRPr="008654C3">
        <w:rPr>
          <w:rFonts w:ascii="Century" w:hAnsi="Century" w:cs="Miriam" w:hint="eastAsia"/>
          <w:b/>
          <w:spacing w:val="0"/>
          <w:szCs w:val="24"/>
          <w:rtl/>
        </w:rPr>
        <w:t>להגשים</w:t>
      </w:r>
      <w:r w:rsidRPr="008654C3">
        <w:rPr>
          <w:rFonts w:ascii="Century" w:hAnsi="Century" w:cs="Miriam"/>
          <w:b/>
          <w:spacing w:val="0"/>
          <w:szCs w:val="24"/>
          <w:rtl/>
        </w:rPr>
        <w:t xml:space="preserve"> </w:t>
      </w:r>
      <w:r w:rsidRPr="008654C3">
        <w:rPr>
          <w:rFonts w:ascii="Century" w:hAnsi="Century" w:cs="Miriam" w:hint="eastAsia"/>
          <w:b/>
          <w:spacing w:val="0"/>
          <w:szCs w:val="24"/>
          <w:rtl/>
        </w:rPr>
        <w:t>את</w:t>
      </w:r>
      <w:r w:rsidRPr="008654C3">
        <w:rPr>
          <w:rFonts w:ascii="Century" w:hAnsi="Century" w:cs="Miriam"/>
          <w:b/>
          <w:spacing w:val="0"/>
          <w:szCs w:val="24"/>
          <w:rtl/>
        </w:rPr>
        <w:t xml:space="preserve"> </w:t>
      </w:r>
      <w:r w:rsidRPr="008654C3">
        <w:rPr>
          <w:rFonts w:ascii="Century" w:hAnsi="Century" w:cs="Miriam" w:hint="eastAsia"/>
          <w:b/>
          <w:spacing w:val="0"/>
          <w:szCs w:val="24"/>
          <w:rtl/>
        </w:rPr>
        <w:t>התכלית</w:t>
      </w:r>
      <w:r w:rsidRPr="008654C3">
        <w:rPr>
          <w:rFonts w:ascii="Century" w:hAnsi="Century" w:cs="Miriam"/>
          <w:b/>
          <w:spacing w:val="0"/>
          <w:szCs w:val="24"/>
          <w:rtl/>
        </w:rPr>
        <w:t xml:space="preserve"> </w:t>
      </w:r>
      <w:r w:rsidRPr="008654C3">
        <w:rPr>
          <w:rFonts w:ascii="Century" w:hAnsi="Century" w:cs="Miriam" w:hint="eastAsia"/>
          <w:b/>
          <w:spacing w:val="0"/>
          <w:szCs w:val="24"/>
          <w:rtl/>
        </w:rPr>
        <w:t>שבבסיס</w:t>
      </w:r>
      <w:r w:rsidRPr="008654C3">
        <w:rPr>
          <w:rFonts w:ascii="Century" w:hAnsi="Century" w:cs="Miriam"/>
          <w:b/>
          <w:spacing w:val="0"/>
          <w:szCs w:val="24"/>
          <w:rtl/>
        </w:rPr>
        <w:t xml:space="preserve"> </w:t>
      </w:r>
      <w:r w:rsidRPr="008654C3">
        <w:rPr>
          <w:rFonts w:ascii="Century" w:hAnsi="Century" w:cs="Miriam" w:hint="eastAsia"/>
          <w:b/>
          <w:spacing w:val="0"/>
          <w:szCs w:val="24"/>
          <w:rtl/>
        </w:rPr>
        <w:t>סעיף</w:t>
      </w:r>
      <w:r w:rsidRPr="008654C3">
        <w:rPr>
          <w:rFonts w:ascii="Century" w:hAnsi="Century" w:cs="Miriam"/>
          <w:b/>
          <w:spacing w:val="0"/>
          <w:szCs w:val="24"/>
          <w:rtl/>
        </w:rPr>
        <w:t xml:space="preserve"> 5</w:t>
      </w:r>
      <w:r w:rsidRPr="008654C3">
        <w:rPr>
          <w:rFonts w:ascii="Century" w:hAnsi="Century" w:cs="Miriam" w:hint="eastAsia"/>
          <w:b/>
          <w:spacing w:val="0"/>
          <w:szCs w:val="24"/>
          <w:rtl/>
        </w:rPr>
        <w:t>ג</w:t>
      </w:r>
      <w:r w:rsidRPr="008654C3">
        <w:rPr>
          <w:rFonts w:ascii="Century" w:hAnsi="Century" w:cs="Miriam"/>
          <w:b/>
          <w:spacing w:val="0"/>
          <w:szCs w:val="24"/>
          <w:rtl/>
        </w:rPr>
        <w:t xml:space="preserve"> </w:t>
      </w:r>
      <w:r w:rsidRPr="008654C3">
        <w:rPr>
          <w:rFonts w:ascii="Century" w:hAnsi="Century" w:cs="Miriam" w:hint="eastAsia"/>
          <w:b/>
          <w:spacing w:val="0"/>
          <w:szCs w:val="24"/>
          <w:rtl/>
        </w:rPr>
        <w:t>לתיקון</w:t>
      </w:r>
      <w:r w:rsidRPr="008654C3">
        <w:rPr>
          <w:rFonts w:ascii="Century" w:hAnsi="Century" w:cs="Miriam"/>
          <w:b/>
          <w:spacing w:val="0"/>
          <w:szCs w:val="24"/>
          <w:rtl/>
        </w:rPr>
        <w:t xml:space="preserve"> </w:t>
      </w:r>
      <w:r w:rsidRPr="008654C3">
        <w:rPr>
          <w:rFonts w:ascii="Century" w:hAnsi="Century" w:cs="Miriam" w:hint="eastAsia"/>
          <w:b/>
          <w:spacing w:val="0"/>
          <w:szCs w:val="24"/>
          <w:rtl/>
        </w:rPr>
        <w:t>מס</w:t>
      </w:r>
      <w:r w:rsidRPr="008654C3">
        <w:rPr>
          <w:rFonts w:ascii="Century" w:hAnsi="Century" w:cs="Miriam"/>
          <w:b/>
          <w:spacing w:val="0"/>
          <w:szCs w:val="24"/>
          <w:rtl/>
        </w:rPr>
        <w:t xml:space="preserve">' 7 </w:t>
      </w:r>
      <w:r w:rsidRPr="008654C3">
        <w:rPr>
          <w:rFonts w:ascii="Century" w:hAnsi="Century" w:cs="Miriam" w:hint="eastAsia"/>
          <w:b/>
          <w:spacing w:val="0"/>
          <w:szCs w:val="24"/>
          <w:rtl/>
        </w:rPr>
        <w:t>די</w:t>
      </w:r>
      <w:r w:rsidRPr="008654C3">
        <w:rPr>
          <w:rFonts w:ascii="Century" w:hAnsi="Century" w:cs="Miriam"/>
          <w:b/>
          <w:spacing w:val="0"/>
          <w:szCs w:val="24"/>
          <w:rtl/>
        </w:rPr>
        <w:t xml:space="preserve"> </w:t>
      </w:r>
      <w:r w:rsidRPr="008654C3">
        <w:rPr>
          <w:rFonts w:ascii="Century" w:hAnsi="Century" w:cs="Miriam" w:hint="eastAsia"/>
          <w:b/>
          <w:spacing w:val="0"/>
          <w:szCs w:val="24"/>
          <w:rtl/>
        </w:rPr>
        <w:t>בקביעת</w:t>
      </w:r>
      <w:r w:rsidRPr="008654C3">
        <w:rPr>
          <w:rFonts w:ascii="Century" w:hAnsi="Century" w:cs="Miriam"/>
          <w:b/>
          <w:spacing w:val="0"/>
          <w:szCs w:val="24"/>
          <w:rtl/>
        </w:rPr>
        <w:t xml:space="preserve"> </w:t>
      </w:r>
      <w:r w:rsidRPr="008654C3">
        <w:rPr>
          <w:rFonts w:ascii="Century" w:hAnsi="Century" w:cs="Miriam" w:hint="eastAsia"/>
          <w:b/>
          <w:spacing w:val="0"/>
          <w:szCs w:val="24"/>
          <w:rtl/>
        </w:rPr>
        <w:t>הסדרים</w:t>
      </w:r>
      <w:r w:rsidRPr="008654C3">
        <w:rPr>
          <w:rFonts w:ascii="Century" w:hAnsi="Century" w:cs="Miriam"/>
          <w:b/>
          <w:spacing w:val="0"/>
          <w:szCs w:val="24"/>
          <w:rtl/>
        </w:rPr>
        <w:t xml:space="preserve"> </w:t>
      </w:r>
      <w:r w:rsidRPr="008654C3">
        <w:rPr>
          <w:rFonts w:ascii="Century" w:hAnsi="Century" w:cs="Miriam" w:hint="eastAsia"/>
          <w:b/>
          <w:spacing w:val="0"/>
          <w:szCs w:val="24"/>
          <w:rtl/>
        </w:rPr>
        <w:t>חוקיים</w:t>
      </w:r>
      <w:r w:rsidRPr="008654C3">
        <w:rPr>
          <w:rFonts w:ascii="Century" w:hAnsi="Century" w:cs="Miriam"/>
          <w:b/>
          <w:spacing w:val="0"/>
          <w:szCs w:val="24"/>
          <w:rtl/>
        </w:rPr>
        <w:t xml:space="preserve"> </w:t>
      </w:r>
      <w:r w:rsidRPr="008654C3">
        <w:rPr>
          <w:rFonts w:ascii="Century" w:hAnsi="Century" w:cs="Miriam" w:hint="eastAsia"/>
          <w:b/>
          <w:spacing w:val="0"/>
          <w:szCs w:val="24"/>
          <w:rtl/>
        </w:rPr>
        <w:t>לפיהם</w:t>
      </w:r>
      <w:r w:rsidRPr="008654C3">
        <w:rPr>
          <w:rFonts w:ascii="Century" w:hAnsi="Century" w:cs="Miriam"/>
          <w:b/>
          <w:spacing w:val="0"/>
          <w:szCs w:val="24"/>
          <w:rtl/>
        </w:rPr>
        <w:t xml:space="preserve"> </w:t>
      </w:r>
      <w:r w:rsidRPr="008654C3">
        <w:rPr>
          <w:rFonts w:ascii="Century" w:hAnsi="Century" w:cs="Miriam" w:hint="eastAsia"/>
          <w:b/>
          <w:spacing w:val="0"/>
          <w:szCs w:val="24"/>
          <w:rtl/>
        </w:rPr>
        <w:lastRenderedPageBreak/>
        <w:t>המדינה</w:t>
      </w:r>
      <w:r w:rsidRPr="008654C3">
        <w:rPr>
          <w:rFonts w:ascii="Century" w:hAnsi="Century" w:cs="Miriam"/>
          <w:b/>
          <w:spacing w:val="0"/>
          <w:szCs w:val="24"/>
          <w:rtl/>
        </w:rPr>
        <w:t xml:space="preserve"> </w:t>
      </w:r>
      <w:r w:rsidRPr="008654C3">
        <w:rPr>
          <w:rFonts w:ascii="Century" w:hAnsi="Century" w:cs="Miriam" w:hint="eastAsia"/>
          <w:b/>
          <w:spacing w:val="0"/>
          <w:szCs w:val="24"/>
          <w:rtl/>
        </w:rPr>
        <w:t>פטורה</w:t>
      </w:r>
      <w:r w:rsidRPr="008654C3">
        <w:rPr>
          <w:rFonts w:ascii="Century" w:hAnsi="Century" w:cs="Miriam"/>
          <w:b/>
          <w:spacing w:val="0"/>
          <w:szCs w:val="24"/>
          <w:rtl/>
        </w:rPr>
        <w:t xml:space="preserve"> </w:t>
      </w:r>
      <w:r w:rsidRPr="008654C3">
        <w:rPr>
          <w:rFonts w:ascii="Century" w:hAnsi="Century" w:cs="Miriam" w:hint="eastAsia"/>
          <w:b/>
          <w:spacing w:val="0"/>
          <w:szCs w:val="24"/>
          <w:rtl/>
        </w:rPr>
        <w:t>מאחריות</w:t>
      </w:r>
      <w:r w:rsidRPr="008654C3">
        <w:rPr>
          <w:rFonts w:ascii="Century" w:hAnsi="Century" w:cs="Miriam"/>
          <w:b/>
          <w:spacing w:val="0"/>
          <w:szCs w:val="24"/>
          <w:rtl/>
        </w:rPr>
        <w:t xml:space="preserve"> </w:t>
      </w:r>
      <w:r w:rsidRPr="008654C3">
        <w:rPr>
          <w:rFonts w:ascii="Century" w:hAnsi="Century" w:cs="Miriam" w:hint="eastAsia"/>
          <w:b/>
          <w:spacing w:val="0"/>
          <w:szCs w:val="24"/>
          <w:rtl/>
        </w:rPr>
        <w:t>בנזיקין</w:t>
      </w:r>
      <w:r w:rsidRPr="008654C3">
        <w:rPr>
          <w:rFonts w:ascii="Century" w:hAnsi="Century" w:cs="Miriam"/>
          <w:b/>
          <w:spacing w:val="0"/>
          <w:szCs w:val="24"/>
          <w:rtl/>
        </w:rPr>
        <w:t xml:space="preserve"> </w:t>
      </w:r>
      <w:r w:rsidRPr="008654C3">
        <w:rPr>
          <w:rFonts w:ascii="Century" w:hAnsi="Century" w:cs="Miriam" w:hint="eastAsia"/>
          <w:b/>
          <w:spacing w:val="0"/>
          <w:szCs w:val="24"/>
          <w:rtl/>
        </w:rPr>
        <w:t>בגין</w:t>
      </w:r>
      <w:r w:rsidRPr="008654C3">
        <w:rPr>
          <w:rFonts w:ascii="Century" w:hAnsi="Century" w:cs="Miriam"/>
          <w:b/>
          <w:spacing w:val="0"/>
          <w:szCs w:val="24"/>
          <w:rtl/>
        </w:rPr>
        <w:t xml:space="preserve"> </w:t>
      </w:r>
      <w:r w:rsidRPr="008654C3">
        <w:rPr>
          <w:rFonts w:ascii="Century" w:hAnsi="Century" w:cs="Miriam" w:hint="eastAsia"/>
          <w:b/>
          <w:spacing w:val="0"/>
          <w:szCs w:val="24"/>
          <w:rtl/>
        </w:rPr>
        <w:t>פעולות</w:t>
      </w:r>
      <w:r w:rsidRPr="008654C3">
        <w:rPr>
          <w:rFonts w:ascii="Century" w:hAnsi="Century" w:cs="Miriam"/>
          <w:b/>
          <w:spacing w:val="0"/>
          <w:szCs w:val="24"/>
          <w:rtl/>
        </w:rPr>
        <w:t xml:space="preserve"> </w:t>
      </w:r>
      <w:r w:rsidRPr="008654C3">
        <w:rPr>
          <w:rFonts w:ascii="Century" w:hAnsi="Century" w:cs="Miriam" w:hint="eastAsia"/>
          <w:b/>
          <w:spacing w:val="0"/>
          <w:szCs w:val="24"/>
          <w:rtl/>
        </w:rPr>
        <w:t>לחימה</w:t>
      </w:r>
      <w:r w:rsidRPr="008654C3">
        <w:rPr>
          <w:rFonts w:ascii="Century" w:hAnsi="Century" w:cs="Miriam" w:hint="cs"/>
          <w:b/>
          <w:spacing w:val="0"/>
          <w:szCs w:val="24"/>
          <w:rtl/>
        </w:rPr>
        <w:t xml:space="preserve"> [...] </w:t>
      </w:r>
      <w:r w:rsidRPr="008654C3">
        <w:rPr>
          <w:rFonts w:ascii="Century" w:hAnsi="Century" w:cs="Miriam" w:hint="eastAsia"/>
          <w:b/>
          <w:spacing w:val="0"/>
          <w:szCs w:val="24"/>
          <w:rtl/>
        </w:rPr>
        <w:t>תיקון</w:t>
      </w:r>
      <w:r w:rsidRPr="008654C3">
        <w:rPr>
          <w:rFonts w:ascii="Century" w:hAnsi="Century" w:cs="Miriam"/>
          <w:b/>
          <w:spacing w:val="0"/>
          <w:szCs w:val="24"/>
          <w:rtl/>
        </w:rPr>
        <w:t xml:space="preserve"> </w:t>
      </w:r>
      <w:r w:rsidRPr="008654C3">
        <w:rPr>
          <w:rFonts w:ascii="Century" w:hAnsi="Century" w:cs="Miriam" w:hint="eastAsia"/>
          <w:b/>
          <w:spacing w:val="0"/>
          <w:szCs w:val="24"/>
          <w:rtl/>
        </w:rPr>
        <w:t>מס</w:t>
      </w:r>
      <w:r w:rsidRPr="008654C3">
        <w:rPr>
          <w:rFonts w:ascii="Century" w:hAnsi="Century" w:cs="Miriam"/>
          <w:b/>
          <w:spacing w:val="0"/>
          <w:szCs w:val="24"/>
          <w:rtl/>
        </w:rPr>
        <w:t xml:space="preserve">' 7 </w:t>
      </w:r>
      <w:r w:rsidRPr="008654C3">
        <w:rPr>
          <w:rFonts w:ascii="Century" w:hAnsi="Century" w:cs="Miriam" w:hint="eastAsia"/>
          <w:b/>
          <w:spacing w:val="0"/>
          <w:szCs w:val="24"/>
          <w:rtl/>
        </w:rPr>
        <w:t>הולך</w:t>
      </w:r>
      <w:r w:rsidRPr="008654C3">
        <w:rPr>
          <w:rFonts w:ascii="Century" w:hAnsi="Century" w:cs="Miriam"/>
          <w:b/>
          <w:spacing w:val="0"/>
          <w:szCs w:val="24"/>
          <w:rtl/>
        </w:rPr>
        <w:t xml:space="preserve"> </w:t>
      </w:r>
      <w:r w:rsidRPr="008654C3">
        <w:rPr>
          <w:rFonts w:ascii="Century" w:hAnsi="Century" w:cs="Miriam" w:hint="eastAsia"/>
          <w:b/>
          <w:spacing w:val="0"/>
          <w:szCs w:val="24"/>
          <w:rtl/>
        </w:rPr>
        <w:t>הרבה</w:t>
      </w:r>
      <w:r w:rsidRPr="008654C3">
        <w:rPr>
          <w:rFonts w:ascii="Century" w:hAnsi="Century" w:cs="Miriam"/>
          <w:b/>
          <w:spacing w:val="0"/>
          <w:szCs w:val="24"/>
          <w:rtl/>
        </w:rPr>
        <w:t xml:space="preserve"> </w:t>
      </w:r>
      <w:r w:rsidRPr="008654C3">
        <w:rPr>
          <w:rFonts w:ascii="Century" w:hAnsi="Century" w:cs="Miriam" w:hint="eastAsia"/>
          <w:b/>
          <w:spacing w:val="0"/>
          <w:szCs w:val="24"/>
          <w:rtl/>
        </w:rPr>
        <w:t>מעבר</w:t>
      </w:r>
      <w:r w:rsidRPr="008654C3">
        <w:rPr>
          <w:rFonts w:ascii="Century" w:hAnsi="Century" w:cs="Miriam"/>
          <w:b/>
          <w:spacing w:val="0"/>
          <w:szCs w:val="24"/>
          <w:rtl/>
        </w:rPr>
        <w:t xml:space="preserve"> </w:t>
      </w:r>
      <w:r w:rsidRPr="008654C3">
        <w:rPr>
          <w:rFonts w:ascii="Century" w:hAnsi="Century" w:cs="Miriam" w:hint="eastAsia"/>
          <w:b/>
          <w:spacing w:val="0"/>
          <w:szCs w:val="24"/>
          <w:rtl/>
        </w:rPr>
        <w:t>לכך</w:t>
      </w:r>
      <w:r w:rsidRPr="008654C3">
        <w:rPr>
          <w:rFonts w:ascii="Century" w:hAnsi="Century" w:cs="Miriam"/>
          <w:b/>
          <w:spacing w:val="0"/>
          <w:szCs w:val="24"/>
          <w:rtl/>
        </w:rPr>
        <w:t xml:space="preserve">. </w:t>
      </w:r>
      <w:r w:rsidRPr="008654C3">
        <w:rPr>
          <w:rFonts w:ascii="Century" w:hAnsi="Century" w:cs="Miriam" w:hint="eastAsia"/>
          <w:b/>
          <w:spacing w:val="0"/>
          <w:szCs w:val="24"/>
          <w:rtl/>
        </w:rPr>
        <w:t>הוא</w:t>
      </w:r>
      <w:r w:rsidRPr="008654C3">
        <w:rPr>
          <w:rFonts w:ascii="Century" w:hAnsi="Century" w:cs="Miriam"/>
          <w:b/>
          <w:spacing w:val="0"/>
          <w:szCs w:val="24"/>
          <w:rtl/>
        </w:rPr>
        <w:t xml:space="preserve"> </w:t>
      </w:r>
      <w:r w:rsidRPr="008654C3">
        <w:rPr>
          <w:rFonts w:ascii="Century" w:hAnsi="Century" w:cs="Miriam" w:hint="eastAsia"/>
          <w:b/>
          <w:spacing w:val="0"/>
          <w:szCs w:val="24"/>
          <w:rtl/>
        </w:rPr>
        <w:t>שולל</w:t>
      </w:r>
      <w:r w:rsidRPr="008654C3">
        <w:rPr>
          <w:rFonts w:ascii="Century" w:hAnsi="Century" w:cs="Miriam"/>
          <w:b/>
          <w:spacing w:val="0"/>
          <w:szCs w:val="24"/>
          <w:rtl/>
        </w:rPr>
        <w:t xml:space="preserve"> </w:t>
      </w:r>
      <w:r w:rsidRPr="008654C3">
        <w:rPr>
          <w:rFonts w:ascii="Century" w:hAnsi="Century" w:cs="Miriam" w:hint="eastAsia"/>
          <w:b/>
          <w:spacing w:val="0"/>
          <w:szCs w:val="24"/>
          <w:rtl/>
        </w:rPr>
        <w:t>אחריות</w:t>
      </w:r>
      <w:r w:rsidRPr="008654C3">
        <w:rPr>
          <w:rFonts w:ascii="Century" w:hAnsi="Century" w:cs="Miriam"/>
          <w:b/>
          <w:spacing w:val="0"/>
          <w:szCs w:val="24"/>
          <w:rtl/>
        </w:rPr>
        <w:t xml:space="preserve"> </w:t>
      </w:r>
      <w:r w:rsidRPr="008654C3">
        <w:rPr>
          <w:rFonts w:ascii="Century" w:hAnsi="Century" w:cs="Miriam" w:hint="eastAsia"/>
          <w:b/>
          <w:spacing w:val="0"/>
          <w:szCs w:val="24"/>
          <w:rtl/>
        </w:rPr>
        <w:t>בנזיקין</w:t>
      </w:r>
      <w:r w:rsidRPr="008654C3">
        <w:rPr>
          <w:rFonts w:ascii="Century" w:hAnsi="Century" w:cs="Miriam"/>
          <w:b/>
          <w:spacing w:val="0"/>
          <w:szCs w:val="24"/>
          <w:rtl/>
        </w:rPr>
        <w:t xml:space="preserve"> </w:t>
      </w:r>
      <w:r w:rsidRPr="008654C3">
        <w:rPr>
          <w:rFonts w:ascii="Century" w:hAnsi="Century" w:cs="Miriam" w:hint="eastAsia"/>
          <w:b/>
          <w:spacing w:val="0"/>
          <w:szCs w:val="24"/>
          <w:rtl/>
        </w:rPr>
        <w:t>לכל</w:t>
      </w:r>
      <w:r w:rsidRPr="008654C3">
        <w:rPr>
          <w:rFonts w:ascii="Century" w:hAnsi="Century" w:cs="Miriam"/>
          <w:b/>
          <w:spacing w:val="0"/>
          <w:szCs w:val="24"/>
          <w:rtl/>
        </w:rPr>
        <w:t xml:space="preserve"> </w:t>
      </w:r>
      <w:r w:rsidRPr="008654C3">
        <w:rPr>
          <w:rFonts w:ascii="Century" w:hAnsi="Century" w:cs="Miriam" w:hint="eastAsia"/>
          <w:b/>
          <w:spacing w:val="0"/>
          <w:szCs w:val="24"/>
          <w:rtl/>
        </w:rPr>
        <w:t>נזק</w:t>
      </w:r>
      <w:r w:rsidRPr="008654C3">
        <w:rPr>
          <w:rFonts w:ascii="Century" w:hAnsi="Century" w:cs="Miriam"/>
          <w:b/>
          <w:spacing w:val="0"/>
          <w:szCs w:val="24"/>
          <w:rtl/>
        </w:rPr>
        <w:t xml:space="preserve"> </w:t>
      </w:r>
      <w:r w:rsidRPr="008654C3">
        <w:rPr>
          <w:rFonts w:ascii="Century" w:hAnsi="Century" w:cs="Miriam" w:hint="eastAsia"/>
          <w:b/>
          <w:spacing w:val="0"/>
          <w:szCs w:val="24"/>
          <w:rtl/>
        </w:rPr>
        <w:t>שנגרם</w:t>
      </w:r>
      <w:r w:rsidRPr="008654C3">
        <w:rPr>
          <w:rFonts w:ascii="Century" w:hAnsi="Century" w:cs="Miriam"/>
          <w:b/>
          <w:spacing w:val="0"/>
          <w:szCs w:val="24"/>
          <w:rtl/>
        </w:rPr>
        <w:t xml:space="preserve"> </w:t>
      </w:r>
      <w:r w:rsidRPr="008654C3">
        <w:rPr>
          <w:rFonts w:ascii="Century" w:hAnsi="Century" w:cs="Miriam" w:hint="eastAsia"/>
          <w:b/>
          <w:spacing w:val="0"/>
          <w:szCs w:val="24"/>
          <w:rtl/>
        </w:rPr>
        <w:t>באזור</w:t>
      </w:r>
      <w:r w:rsidRPr="008654C3">
        <w:rPr>
          <w:rFonts w:ascii="Century" w:hAnsi="Century" w:cs="Miriam"/>
          <w:b/>
          <w:spacing w:val="0"/>
          <w:szCs w:val="24"/>
          <w:rtl/>
        </w:rPr>
        <w:t xml:space="preserve"> </w:t>
      </w:r>
      <w:r w:rsidRPr="008654C3">
        <w:rPr>
          <w:rFonts w:ascii="Century" w:hAnsi="Century" w:cs="Miriam" w:hint="eastAsia"/>
          <w:b/>
          <w:spacing w:val="0"/>
          <w:szCs w:val="24"/>
          <w:rtl/>
        </w:rPr>
        <w:t>עימות</w:t>
      </w:r>
      <w:r w:rsidRPr="008654C3">
        <w:rPr>
          <w:rFonts w:ascii="Century" w:hAnsi="Century" w:cs="Miriam"/>
          <w:b/>
          <w:spacing w:val="0"/>
          <w:szCs w:val="24"/>
          <w:rtl/>
        </w:rPr>
        <w:t xml:space="preserve"> </w:t>
      </w:r>
      <w:r w:rsidRPr="008654C3">
        <w:rPr>
          <w:rFonts w:ascii="Century" w:hAnsi="Century" w:cs="Miriam" w:hint="eastAsia"/>
          <w:b/>
          <w:spacing w:val="0"/>
          <w:szCs w:val="24"/>
          <w:rtl/>
        </w:rPr>
        <w:t>על</w:t>
      </w:r>
      <w:r w:rsidRPr="008654C3">
        <w:rPr>
          <w:rFonts w:ascii="Century" w:hAnsi="Century" w:cs="Miriam"/>
          <w:b/>
          <w:spacing w:val="0"/>
          <w:szCs w:val="24"/>
          <w:rtl/>
        </w:rPr>
        <w:t xml:space="preserve"> </w:t>
      </w:r>
      <w:r w:rsidRPr="008654C3">
        <w:rPr>
          <w:rFonts w:ascii="Century" w:hAnsi="Century" w:cs="Miriam" w:hint="eastAsia"/>
          <w:b/>
          <w:spacing w:val="0"/>
          <w:szCs w:val="24"/>
          <w:rtl/>
        </w:rPr>
        <w:t>ידי</w:t>
      </w:r>
      <w:r w:rsidRPr="008654C3">
        <w:rPr>
          <w:rFonts w:ascii="Century" w:hAnsi="Century" w:cs="Miriam"/>
          <w:b/>
          <w:spacing w:val="0"/>
          <w:szCs w:val="24"/>
          <w:rtl/>
        </w:rPr>
        <w:t xml:space="preserve"> </w:t>
      </w:r>
      <w:r w:rsidRPr="008654C3">
        <w:rPr>
          <w:rFonts w:ascii="Century" w:hAnsi="Century" w:cs="Miriam" w:hint="eastAsia"/>
          <w:b/>
          <w:spacing w:val="0"/>
          <w:szCs w:val="24"/>
          <w:rtl/>
        </w:rPr>
        <w:t>כוחות</w:t>
      </w:r>
      <w:r w:rsidRPr="008654C3">
        <w:rPr>
          <w:rFonts w:ascii="Century" w:hAnsi="Century" w:cs="Miriam"/>
          <w:b/>
          <w:spacing w:val="0"/>
          <w:szCs w:val="24"/>
          <w:rtl/>
        </w:rPr>
        <w:t xml:space="preserve"> </w:t>
      </w:r>
      <w:r w:rsidRPr="008654C3">
        <w:rPr>
          <w:rFonts w:ascii="Century" w:hAnsi="Century" w:cs="Miriam" w:hint="eastAsia"/>
          <w:b/>
          <w:spacing w:val="0"/>
          <w:szCs w:val="24"/>
          <w:rtl/>
        </w:rPr>
        <w:t>הביטחון</w:t>
      </w:r>
      <w:r w:rsidRPr="008654C3">
        <w:rPr>
          <w:rFonts w:ascii="Century" w:hAnsi="Century" w:cs="Miriam"/>
          <w:b/>
          <w:spacing w:val="0"/>
          <w:szCs w:val="24"/>
          <w:rtl/>
        </w:rPr>
        <w:t xml:space="preserve">, </w:t>
      </w:r>
      <w:r w:rsidRPr="008654C3">
        <w:rPr>
          <w:rFonts w:ascii="Century" w:hAnsi="Century" w:cs="Miriam" w:hint="eastAsia"/>
          <w:b/>
          <w:spacing w:val="0"/>
          <w:szCs w:val="24"/>
          <w:rtl/>
        </w:rPr>
        <w:t>גם</w:t>
      </w:r>
      <w:r w:rsidRPr="008654C3">
        <w:rPr>
          <w:rFonts w:ascii="Century" w:hAnsi="Century" w:cs="Miriam"/>
          <w:b/>
          <w:spacing w:val="0"/>
          <w:szCs w:val="24"/>
          <w:rtl/>
        </w:rPr>
        <w:t xml:space="preserve"> </w:t>
      </w:r>
      <w:r w:rsidRPr="008654C3">
        <w:rPr>
          <w:rFonts w:ascii="Century" w:hAnsi="Century" w:cs="Miriam" w:hint="eastAsia"/>
          <w:b/>
          <w:spacing w:val="0"/>
          <w:szCs w:val="24"/>
          <w:rtl/>
        </w:rPr>
        <w:t>בגין</w:t>
      </w:r>
      <w:r w:rsidRPr="008654C3">
        <w:rPr>
          <w:rFonts w:ascii="Century" w:hAnsi="Century" w:cs="Miriam"/>
          <w:b/>
          <w:spacing w:val="0"/>
          <w:szCs w:val="24"/>
          <w:rtl/>
        </w:rPr>
        <w:t xml:space="preserve"> </w:t>
      </w:r>
      <w:r w:rsidRPr="008654C3">
        <w:rPr>
          <w:rFonts w:ascii="Century" w:hAnsi="Century" w:cs="Miriam" w:hint="eastAsia"/>
          <w:b/>
          <w:spacing w:val="0"/>
          <w:szCs w:val="24"/>
          <w:rtl/>
        </w:rPr>
        <w:t>מעשים</w:t>
      </w:r>
      <w:r w:rsidRPr="008654C3">
        <w:rPr>
          <w:rFonts w:ascii="Century" w:hAnsi="Century" w:cs="Miriam"/>
          <w:b/>
          <w:spacing w:val="0"/>
          <w:szCs w:val="24"/>
          <w:rtl/>
        </w:rPr>
        <w:t xml:space="preserve"> </w:t>
      </w:r>
      <w:r w:rsidRPr="008654C3">
        <w:rPr>
          <w:rFonts w:ascii="Century" w:hAnsi="Century" w:cs="Miriam" w:hint="eastAsia"/>
          <w:b/>
          <w:spacing w:val="0"/>
          <w:szCs w:val="24"/>
          <w:rtl/>
        </w:rPr>
        <w:t>שנעשו</w:t>
      </w:r>
      <w:r w:rsidRPr="008654C3">
        <w:rPr>
          <w:rFonts w:ascii="Century" w:hAnsi="Century" w:cs="Miriam"/>
          <w:b/>
          <w:spacing w:val="0"/>
          <w:szCs w:val="24"/>
          <w:rtl/>
        </w:rPr>
        <w:t xml:space="preserve"> </w:t>
      </w:r>
      <w:r w:rsidRPr="008654C3">
        <w:rPr>
          <w:rFonts w:ascii="Century" w:hAnsi="Century" w:cs="Miriam" w:hint="eastAsia"/>
          <w:b/>
          <w:spacing w:val="0"/>
          <w:szCs w:val="24"/>
          <w:rtl/>
        </w:rPr>
        <w:t>שלא</w:t>
      </w:r>
      <w:r w:rsidRPr="008654C3">
        <w:rPr>
          <w:rFonts w:ascii="Century" w:hAnsi="Century" w:cs="Miriam"/>
          <w:b/>
          <w:spacing w:val="0"/>
          <w:szCs w:val="24"/>
          <w:rtl/>
        </w:rPr>
        <w:t xml:space="preserve"> </w:t>
      </w:r>
      <w:r w:rsidRPr="008654C3">
        <w:rPr>
          <w:rFonts w:ascii="Century" w:hAnsi="Century" w:cs="Miriam" w:hint="eastAsia"/>
          <w:b/>
          <w:spacing w:val="0"/>
          <w:szCs w:val="24"/>
          <w:rtl/>
        </w:rPr>
        <w:t>על</w:t>
      </w:r>
      <w:r w:rsidRPr="008654C3">
        <w:rPr>
          <w:rFonts w:ascii="Century" w:hAnsi="Century" w:cs="Miriam"/>
          <w:b/>
          <w:spacing w:val="0"/>
          <w:szCs w:val="24"/>
          <w:rtl/>
        </w:rPr>
        <w:t xml:space="preserve"> </w:t>
      </w:r>
      <w:r w:rsidRPr="008654C3">
        <w:rPr>
          <w:rFonts w:ascii="Century" w:hAnsi="Century" w:cs="Miriam" w:hint="eastAsia"/>
          <w:b/>
          <w:spacing w:val="0"/>
          <w:szCs w:val="24"/>
          <w:rtl/>
        </w:rPr>
        <w:t>ידי</w:t>
      </w:r>
      <w:r w:rsidRPr="008654C3">
        <w:rPr>
          <w:rFonts w:ascii="Century" w:hAnsi="Century" w:cs="Miriam"/>
          <w:b/>
          <w:spacing w:val="0"/>
          <w:szCs w:val="24"/>
          <w:rtl/>
        </w:rPr>
        <w:t xml:space="preserve"> </w:t>
      </w:r>
      <w:r w:rsidRPr="008654C3">
        <w:rPr>
          <w:rFonts w:ascii="Century" w:hAnsi="Century" w:cs="Miriam" w:hint="eastAsia"/>
          <w:b/>
          <w:spacing w:val="0"/>
          <w:szCs w:val="24"/>
          <w:rtl/>
        </w:rPr>
        <w:t>פעולה</w:t>
      </w:r>
      <w:r w:rsidRPr="008654C3">
        <w:rPr>
          <w:rFonts w:ascii="Century" w:hAnsi="Century" w:cs="Miriam"/>
          <w:b/>
          <w:spacing w:val="0"/>
          <w:szCs w:val="24"/>
          <w:rtl/>
        </w:rPr>
        <w:t xml:space="preserve"> </w:t>
      </w:r>
      <w:r w:rsidRPr="008654C3">
        <w:rPr>
          <w:rFonts w:ascii="Century" w:hAnsi="Century" w:cs="Miriam" w:hint="eastAsia"/>
          <w:b/>
          <w:spacing w:val="0"/>
          <w:szCs w:val="24"/>
          <w:rtl/>
        </w:rPr>
        <w:t>מלחמתית</w:t>
      </w:r>
      <w:r w:rsidRPr="008654C3">
        <w:rPr>
          <w:rFonts w:ascii="Century" w:hAnsi="Century" w:cs="Miriam"/>
          <w:b/>
          <w:spacing w:val="0"/>
          <w:szCs w:val="24"/>
          <w:rtl/>
        </w:rPr>
        <w:t xml:space="preserve"> </w:t>
      </w:r>
      <w:r w:rsidRPr="008654C3">
        <w:rPr>
          <w:rFonts w:ascii="Century" w:hAnsi="Century" w:cs="Miriam" w:hint="eastAsia"/>
          <w:b/>
          <w:spacing w:val="0"/>
          <w:szCs w:val="24"/>
          <w:rtl/>
        </w:rPr>
        <w:t>של</w:t>
      </w:r>
      <w:r w:rsidRPr="008654C3">
        <w:rPr>
          <w:rFonts w:ascii="Century" w:hAnsi="Century" w:cs="Miriam"/>
          <w:b/>
          <w:spacing w:val="0"/>
          <w:szCs w:val="24"/>
          <w:rtl/>
        </w:rPr>
        <w:t xml:space="preserve"> </w:t>
      </w:r>
      <w:r w:rsidRPr="008654C3">
        <w:rPr>
          <w:rFonts w:ascii="Century" w:hAnsi="Century" w:cs="Miriam" w:hint="eastAsia"/>
          <w:b/>
          <w:spacing w:val="0"/>
          <w:szCs w:val="24"/>
          <w:rtl/>
        </w:rPr>
        <w:t>כוחות</w:t>
      </w:r>
      <w:r w:rsidRPr="008654C3">
        <w:rPr>
          <w:rFonts w:ascii="Century" w:hAnsi="Century" w:cs="Miriam"/>
          <w:b/>
          <w:spacing w:val="0"/>
          <w:szCs w:val="24"/>
          <w:rtl/>
        </w:rPr>
        <w:t xml:space="preserve"> </w:t>
      </w:r>
      <w:r w:rsidRPr="008654C3">
        <w:rPr>
          <w:rFonts w:ascii="Century" w:hAnsi="Century" w:cs="Miriam" w:hint="eastAsia"/>
          <w:b/>
          <w:spacing w:val="0"/>
          <w:szCs w:val="24"/>
          <w:rtl/>
        </w:rPr>
        <w:t>הביטחון</w:t>
      </w:r>
      <w:r w:rsidRPr="008654C3">
        <w:rPr>
          <w:rFonts w:ascii="Century" w:hAnsi="Century" w:cs="Miriam"/>
          <w:b/>
          <w:spacing w:val="0"/>
          <w:szCs w:val="24"/>
          <w:rtl/>
        </w:rPr>
        <w:t xml:space="preserve">. </w:t>
      </w:r>
      <w:r w:rsidRPr="008654C3">
        <w:rPr>
          <w:rFonts w:ascii="Century" w:hAnsi="Century" w:cs="Miriam" w:hint="eastAsia"/>
          <w:b/>
          <w:spacing w:val="0"/>
          <w:szCs w:val="24"/>
          <w:rtl/>
        </w:rPr>
        <w:t>הרחבה</w:t>
      </w:r>
      <w:r w:rsidRPr="008654C3">
        <w:rPr>
          <w:rFonts w:ascii="Century" w:hAnsi="Century" w:cs="Miriam"/>
          <w:b/>
          <w:spacing w:val="0"/>
          <w:szCs w:val="24"/>
          <w:rtl/>
        </w:rPr>
        <w:t xml:space="preserve"> </w:t>
      </w:r>
      <w:r w:rsidRPr="008654C3">
        <w:rPr>
          <w:rFonts w:ascii="Century" w:hAnsi="Century" w:cs="Miriam" w:hint="eastAsia"/>
          <w:b/>
          <w:spacing w:val="0"/>
          <w:szCs w:val="24"/>
          <w:rtl/>
        </w:rPr>
        <w:t>זו</w:t>
      </w:r>
      <w:r w:rsidRPr="008654C3">
        <w:rPr>
          <w:rFonts w:ascii="Century" w:hAnsi="Century" w:cs="Miriam"/>
          <w:b/>
          <w:spacing w:val="0"/>
          <w:szCs w:val="24"/>
          <w:rtl/>
        </w:rPr>
        <w:t xml:space="preserve"> </w:t>
      </w:r>
      <w:r w:rsidRPr="008654C3">
        <w:rPr>
          <w:rFonts w:ascii="Century" w:hAnsi="Century" w:cs="Miriam" w:hint="eastAsia"/>
          <w:b/>
          <w:spacing w:val="0"/>
          <w:szCs w:val="24"/>
          <w:rtl/>
        </w:rPr>
        <w:t>של</w:t>
      </w:r>
      <w:r w:rsidRPr="008654C3">
        <w:rPr>
          <w:rFonts w:ascii="Century" w:hAnsi="Century" w:cs="Miriam"/>
          <w:b/>
          <w:spacing w:val="0"/>
          <w:szCs w:val="24"/>
          <w:rtl/>
        </w:rPr>
        <w:t xml:space="preserve"> </w:t>
      </w:r>
      <w:r w:rsidRPr="008654C3">
        <w:rPr>
          <w:rFonts w:ascii="Century" w:hAnsi="Century" w:cs="Miriam" w:hint="eastAsia"/>
          <w:b/>
          <w:spacing w:val="0"/>
          <w:szCs w:val="24"/>
          <w:rtl/>
        </w:rPr>
        <w:t>היעדר</w:t>
      </w:r>
      <w:r w:rsidRPr="008654C3">
        <w:rPr>
          <w:rFonts w:ascii="Century" w:hAnsi="Century" w:cs="Miriam"/>
          <w:b/>
          <w:spacing w:val="0"/>
          <w:szCs w:val="24"/>
          <w:rtl/>
        </w:rPr>
        <w:t xml:space="preserve"> </w:t>
      </w:r>
      <w:r w:rsidRPr="008654C3">
        <w:rPr>
          <w:rFonts w:ascii="Century" w:hAnsi="Century" w:cs="Miriam" w:hint="eastAsia"/>
          <w:b/>
          <w:spacing w:val="0"/>
          <w:szCs w:val="24"/>
          <w:rtl/>
        </w:rPr>
        <w:t>אחריות</w:t>
      </w:r>
      <w:r w:rsidRPr="008654C3">
        <w:rPr>
          <w:rFonts w:ascii="Century" w:hAnsi="Century" w:cs="Miriam"/>
          <w:b/>
          <w:spacing w:val="0"/>
          <w:szCs w:val="24"/>
          <w:rtl/>
        </w:rPr>
        <w:t xml:space="preserve"> </w:t>
      </w:r>
      <w:r w:rsidRPr="008654C3">
        <w:rPr>
          <w:rFonts w:ascii="Century" w:hAnsi="Century" w:cs="Miriam" w:hint="eastAsia"/>
          <w:b/>
          <w:spacing w:val="0"/>
          <w:szCs w:val="24"/>
          <w:rtl/>
        </w:rPr>
        <w:t>המדינה</w:t>
      </w:r>
      <w:r w:rsidRPr="008654C3">
        <w:rPr>
          <w:rFonts w:ascii="Century" w:hAnsi="Century" w:cs="Miriam"/>
          <w:b/>
          <w:spacing w:val="0"/>
          <w:szCs w:val="24"/>
          <w:rtl/>
        </w:rPr>
        <w:t xml:space="preserve"> </w:t>
      </w:r>
      <w:r w:rsidRPr="008654C3">
        <w:rPr>
          <w:rFonts w:ascii="Century" w:hAnsi="Century" w:cs="Miriam" w:hint="eastAsia"/>
          <w:b/>
          <w:spacing w:val="0"/>
          <w:szCs w:val="24"/>
          <w:rtl/>
        </w:rPr>
        <w:t>אינה</w:t>
      </w:r>
      <w:r w:rsidRPr="008654C3">
        <w:rPr>
          <w:rFonts w:ascii="Century" w:hAnsi="Century" w:cs="Miriam"/>
          <w:b/>
          <w:spacing w:val="0"/>
          <w:szCs w:val="24"/>
          <w:rtl/>
        </w:rPr>
        <w:t xml:space="preserve"> </w:t>
      </w:r>
      <w:r w:rsidRPr="008654C3">
        <w:rPr>
          <w:rFonts w:ascii="Century" w:hAnsi="Century" w:cs="Miriam" w:hint="eastAsia"/>
          <w:b/>
          <w:spacing w:val="0"/>
          <w:szCs w:val="24"/>
          <w:rtl/>
        </w:rPr>
        <w:t>חוקתית</w:t>
      </w:r>
      <w:r w:rsidRPr="008654C3">
        <w:rPr>
          <w:rFonts w:ascii="Century" w:hAnsi="Century" w:cs="Miriam"/>
          <w:b/>
          <w:spacing w:val="0"/>
          <w:szCs w:val="24"/>
          <w:rtl/>
        </w:rPr>
        <w:t xml:space="preserve">. </w:t>
      </w:r>
      <w:r w:rsidRPr="008654C3">
        <w:rPr>
          <w:rFonts w:ascii="Century" w:hAnsi="Century" w:cs="Miriam" w:hint="eastAsia"/>
          <w:b/>
          <w:spacing w:val="0"/>
          <w:szCs w:val="24"/>
          <w:rtl/>
        </w:rPr>
        <w:t>היא</w:t>
      </w:r>
      <w:r w:rsidRPr="008654C3">
        <w:rPr>
          <w:rFonts w:ascii="Century" w:hAnsi="Century" w:cs="Miriam"/>
          <w:b/>
          <w:spacing w:val="0"/>
          <w:szCs w:val="24"/>
          <w:rtl/>
        </w:rPr>
        <w:t xml:space="preserve"> </w:t>
      </w:r>
      <w:r w:rsidRPr="008654C3">
        <w:rPr>
          <w:rFonts w:ascii="Century" w:hAnsi="Century" w:cs="Miriam" w:hint="eastAsia"/>
          <w:b/>
          <w:spacing w:val="0"/>
          <w:szCs w:val="24"/>
          <w:rtl/>
        </w:rPr>
        <w:t>אינה</w:t>
      </w:r>
      <w:r w:rsidRPr="008654C3">
        <w:rPr>
          <w:rFonts w:ascii="Century" w:hAnsi="Century" w:cs="Miriam"/>
          <w:b/>
          <w:spacing w:val="0"/>
          <w:szCs w:val="24"/>
          <w:rtl/>
        </w:rPr>
        <w:t xml:space="preserve"> </w:t>
      </w:r>
      <w:r w:rsidRPr="008654C3">
        <w:rPr>
          <w:rFonts w:ascii="Century" w:hAnsi="Century" w:cs="Miriam" w:hint="eastAsia"/>
          <w:b/>
          <w:spacing w:val="0"/>
          <w:szCs w:val="24"/>
          <w:rtl/>
        </w:rPr>
        <w:t>נוקטת</w:t>
      </w:r>
      <w:r w:rsidRPr="008654C3">
        <w:rPr>
          <w:rFonts w:ascii="Century" w:hAnsi="Century" w:cs="Miriam"/>
          <w:b/>
          <w:spacing w:val="0"/>
          <w:szCs w:val="24"/>
          <w:rtl/>
        </w:rPr>
        <w:t xml:space="preserve"> </w:t>
      </w:r>
      <w:r w:rsidRPr="008654C3">
        <w:rPr>
          <w:rFonts w:ascii="Century" w:hAnsi="Century" w:cs="Miriam" w:hint="eastAsia"/>
          <w:b/>
          <w:spacing w:val="0"/>
          <w:szCs w:val="24"/>
          <w:rtl/>
        </w:rPr>
        <w:t>באמצעי</w:t>
      </w:r>
      <w:r w:rsidRPr="008654C3">
        <w:rPr>
          <w:rFonts w:ascii="Century" w:hAnsi="Century" w:cs="Miriam"/>
          <w:b/>
          <w:spacing w:val="0"/>
          <w:szCs w:val="24"/>
          <w:rtl/>
        </w:rPr>
        <w:t xml:space="preserve"> </w:t>
      </w:r>
      <w:r w:rsidRPr="008654C3">
        <w:rPr>
          <w:rFonts w:ascii="Century" w:hAnsi="Century" w:cs="Miriam" w:hint="eastAsia"/>
          <w:b/>
          <w:spacing w:val="0"/>
          <w:szCs w:val="24"/>
          <w:rtl/>
        </w:rPr>
        <w:t>שפגיעתו</w:t>
      </w:r>
      <w:r w:rsidRPr="008654C3">
        <w:rPr>
          <w:rFonts w:ascii="Century" w:hAnsi="Century" w:cs="Miriam"/>
          <w:b/>
          <w:spacing w:val="0"/>
          <w:szCs w:val="24"/>
          <w:rtl/>
        </w:rPr>
        <w:t xml:space="preserve"> </w:t>
      </w:r>
      <w:r w:rsidRPr="008654C3">
        <w:rPr>
          <w:rFonts w:ascii="Century" w:hAnsi="Century" w:cs="Miriam" w:hint="eastAsia"/>
          <w:b/>
          <w:spacing w:val="0"/>
          <w:szCs w:val="24"/>
          <w:rtl/>
        </w:rPr>
        <w:t>פחותה</w:t>
      </w:r>
      <w:r w:rsidRPr="008654C3">
        <w:rPr>
          <w:rFonts w:ascii="Century" w:hAnsi="Century" w:cs="Miriam"/>
          <w:b/>
          <w:spacing w:val="0"/>
          <w:szCs w:val="24"/>
          <w:rtl/>
        </w:rPr>
        <w:t xml:space="preserve">, </w:t>
      </w:r>
      <w:r w:rsidRPr="008654C3">
        <w:rPr>
          <w:rFonts w:ascii="Century" w:hAnsi="Century" w:cs="Miriam" w:hint="eastAsia"/>
          <w:b/>
          <w:spacing w:val="0"/>
          <w:szCs w:val="24"/>
          <w:rtl/>
        </w:rPr>
        <w:t>ושעניינו</w:t>
      </w:r>
      <w:r w:rsidRPr="008654C3">
        <w:rPr>
          <w:rFonts w:ascii="Century" w:hAnsi="Century" w:cs="Miriam"/>
          <w:b/>
          <w:spacing w:val="0"/>
          <w:szCs w:val="24"/>
          <w:rtl/>
        </w:rPr>
        <w:t xml:space="preserve"> </w:t>
      </w:r>
      <w:r w:rsidRPr="008654C3">
        <w:rPr>
          <w:rFonts w:ascii="Century" w:hAnsi="Century" w:cs="Miriam" w:hint="eastAsia"/>
          <w:b/>
          <w:spacing w:val="0"/>
          <w:szCs w:val="24"/>
          <w:rtl/>
        </w:rPr>
        <w:t>היעדר</w:t>
      </w:r>
      <w:r w:rsidRPr="008654C3">
        <w:rPr>
          <w:rFonts w:ascii="Century" w:hAnsi="Century" w:cs="Miriam"/>
          <w:b/>
          <w:spacing w:val="0"/>
          <w:szCs w:val="24"/>
          <w:rtl/>
        </w:rPr>
        <w:t xml:space="preserve"> </w:t>
      </w:r>
      <w:r w:rsidRPr="008654C3">
        <w:rPr>
          <w:rFonts w:ascii="Century" w:hAnsi="Century" w:cs="Miriam" w:hint="eastAsia"/>
          <w:b/>
          <w:spacing w:val="0"/>
          <w:szCs w:val="24"/>
          <w:rtl/>
        </w:rPr>
        <w:t>אחריות</w:t>
      </w:r>
      <w:r w:rsidRPr="008654C3">
        <w:rPr>
          <w:rFonts w:ascii="Century" w:hAnsi="Century" w:cs="Miriam"/>
          <w:b/>
          <w:spacing w:val="0"/>
          <w:szCs w:val="24"/>
          <w:rtl/>
        </w:rPr>
        <w:t xml:space="preserve"> </w:t>
      </w:r>
      <w:r w:rsidRPr="008654C3">
        <w:rPr>
          <w:rFonts w:ascii="Century" w:hAnsi="Century" w:cs="Miriam" w:hint="eastAsia"/>
          <w:b/>
          <w:spacing w:val="0"/>
          <w:szCs w:val="24"/>
          <w:rtl/>
        </w:rPr>
        <w:t>בגין</w:t>
      </w:r>
      <w:r w:rsidRPr="008654C3">
        <w:rPr>
          <w:rFonts w:ascii="Century" w:hAnsi="Century" w:cs="Miriam"/>
          <w:b/>
          <w:spacing w:val="0"/>
          <w:szCs w:val="24"/>
          <w:rtl/>
        </w:rPr>
        <w:t xml:space="preserve"> </w:t>
      </w:r>
      <w:r w:rsidRPr="008654C3">
        <w:rPr>
          <w:rFonts w:ascii="Century" w:hAnsi="Century" w:cs="Miriam" w:hint="eastAsia"/>
          <w:b/>
          <w:spacing w:val="0"/>
          <w:szCs w:val="24"/>
          <w:rtl/>
        </w:rPr>
        <w:t>פעולות</w:t>
      </w:r>
      <w:r w:rsidRPr="008654C3">
        <w:rPr>
          <w:rFonts w:ascii="Century" w:hAnsi="Century" w:cs="Miriam"/>
          <w:b/>
          <w:spacing w:val="0"/>
          <w:szCs w:val="24"/>
          <w:rtl/>
        </w:rPr>
        <w:t xml:space="preserve"> </w:t>
      </w:r>
      <w:r w:rsidRPr="008654C3">
        <w:rPr>
          <w:rFonts w:ascii="Century" w:hAnsi="Century" w:cs="Miriam" w:hint="eastAsia"/>
          <w:b/>
          <w:spacing w:val="0"/>
          <w:szCs w:val="24"/>
          <w:rtl/>
        </w:rPr>
        <w:t>מלחמתיות</w:t>
      </w:r>
      <w:r w:rsidRPr="008654C3">
        <w:rPr>
          <w:rFonts w:ascii="Century" w:hAnsi="Century" w:cs="Miriam"/>
          <w:b/>
          <w:spacing w:val="0"/>
          <w:szCs w:val="24"/>
          <w:rtl/>
        </w:rPr>
        <w:t xml:space="preserve">. </w:t>
      </w:r>
      <w:r w:rsidRPr="008654C3">
        <w:rPr>
          <w:rFonts w:ascii="Century" w:hAnsi="Century" w:cs="Miriam" w:hint="eastAsia"/>
          <w:b/>
          <w:spacing w:val="0"/>
          <w:szCs w:val="24"/>
          <w:rtl/>
        </w:rPr>
        <w:t>היא</w:t>
      </w:r>
      <w:r w:rsidRPr="008654C3">
        <w:rPr>
          <w:rFonts w:ascii="Century" w:hAnsi="Century" w:cs="Miriam"/>
          <w:b/>
          <w:spacing w:val="0"/>
          <w:szCs w:val="24"/>
          <w:rtl/>
        </w:rPr>
        <w:t xml:space="preserve"> </w:t>
      </w:r>
      <w:r w:rsidRPr="008654C3">
        <w:rPr>
          <w:rFonts w:ascii="Century" w:hAnsi="Century" w:cs="Miriam" w:hint="eastAsia"/>
          <w:b/>
          <w:spacing w:val="0"/>
          <w:szCs w:val="24"/>
          <w:rtl/>
        </w:rPr>
        <w:t>משחררת</w:t>
      </w:r>
      <w:r w:rsidRPr="008654C3">
        <w:rPr>
          <w:rFonts w:ascii="Century" w:hAnsi="Century" w:cs="Miriam"/>
          <w:b/>
          <w:spacing w:val="0"/>
          <w:szCs w:val="24"/>
          <w:rtl/>
        </w:rPr>
        <w:t xml:space="preserve"> </w:t>
      </w:r>
      <w:r w:rsidRPr="008654C3">
        <w:rPr>
          <w:rFonts w:ascii="Century" w:hAnsi="Century" w:cs="Miriam" w:hint="eastAsia"/>
          <w:b/>
          <w:spacing w:val="0"/>
          <w:szCs w:val="24"/>
          <w:rtl/>
        </w:rPr>
        <w:t>את</w:t>
      </w:r>
      <w:r w:rsidRPr="008654C3">
        <w:rPr>
          <w:rFonts w:ascii="Century" w:hAnsi="Century" w:cs="Miriam"/>
          <w:b/>
          <w:spacing w:val="0"/>
          <w:szCs w:val="24"/>
          <w:rtl/>
        </w:rPr>
        <w:t xml:space="preserve"> </w:t>
      </w:r>
      <w:r w:rsidRPr="008654C3">
        <w:rPr>
          <w:rFonts w:ascii="Century" w:hAnsi="Century" w:cs="Miriam" w:hint="eastAsia"/>
          <w:b/>
          <w:spacing w:val="0"/>
          <w:szCs w:val="24"/>
          <w:rtl/>
        </w:rPr>
        <w:t>המדינה</w:t>
      </w:r>
      <w:r w:rsidRPr="008654C3">
        <w:rPr>
          <w:rFonts w:ascii="Century" w:hAnsi="Century" w:cs="Miriam"/>
          <w:b/>
          <w:spacing w:val="0"/>
          <w:szCs w:val="24"/>
          <w:rtl/>
        </w:rPr>
        <w:t xml:space="preserve"> </w:t>
      </w:r>
      <w:r w:rsidRPr="008654C3">
        <w:rPr>
          <w:rFonts w:ascii="Century" w:hAnsi="Century" w:cs="Miriam" w:hint="eastAsia"/>
          <w:b/>
          <w:spacing w:val="0"/>
          <w:szCs w:val="24"/>
          <w:rtl/>
        </w:rPr>
        <w:t>ממעשי</w:t>
      </w:r>
      <w:r w:rsidRPr="008654C3">
        <w:rPr>
          <w:rFonts w:ascii="Century" w:hAnsi="Century" w:cs="Miriam"/>
          <w:b/>
          <w:spacing w:val="0"/>
          <w:szCs w:val="24"/>
          <w:rtl/>
        </w:rPr>
        <w:t xml:space="preserve"> </w:t>
      </w:r>
      <w:r w:rsidRPr="008654C3">
        <w:rPr>
          <w:rFonts w:ascii="Century" w:hAnsi="Century" w:cs="Miriam" w:hint="eastAsia"/>
          <w:b/>
          <w:spacing w:val="0"/>
          <w:szCs w:val="24"/>
          <w:rtl/>
        </w:rPr>
        <w:t>נזיקין</w:t>
      </w:r>
      <w:r w:rsidRPr="008654C3">
        <w:rPr>
          <w:rFonts w:ascii="Century" w:hAnsi="Century" w:cs="Miriam"/>
          <w:b/>
          <w:spacing w:val="0"/>
          <w:szCs w:val="24"/>
          <w:rtl/>
        </w:rPr>
        <w:t xml:space="preserve"> </w:t>
      </w:r>
      <w:r w:rsidRPr="008654C3">
        <w:rPr>
          <w:rFonts w:ascii="Century" w:hAnsi="Century" w:cs="Miriam" w:hint="eastAsia"/>
          <w:b/>
          <w:spacing w:val="0"/>
          <w:szCs w:val="24"/>
          <w:rtl/>
        </w:rPr>
        <w:t>שבינם</w:t>
      </w:r>
      <w:r w:rsidRPr="008654C3">
        <w:rPr>
          <w:rFonts w:ascii="Century" w:hAnsi="Century" w:cs="Miriam"/>
          <w:b/>
          <w:spacing w:val="0"/>
          <w:szCs w:val="24"/>
          <w:rtl/>
        </w:rPr>
        <w:t xml:space="preserve"> </w:t>
      </w:r>
      <w:r w:rsidRPr="008654C3">
        <w:rPr>
          <w:rFonts w:ascii="Century" w:hAnsi="Century" w:cs="Miriam" w:hint="eastAsia"/>
          <w:b/>
          <w:spacing w:val="0"/>
          <w:szCs w:val="24"/>
          <w:rtl/>
        </w:rPr>
        <w:t>לבין</w:t>
      </w:r>
      <w:r w:rsidRPr="008654C3">
        <w:rPr>
          <w:rFonts w:ascii="Century" w:hAnsi="Century" w:cs="Miriam"/>
          <w:b/>
          <w:spacing w:val="0"/>
          <w:szCs w:val="24"/>
          <w:rtl/>
        </w:rPr>
        <w:t xml:space="preserve"> </w:t>
      </w:r>
      <w:r w:rsidRPr="008654C3">
        <w:rPr>
          <w:rFonts w:ascii="Century" w:hAnsi="Century" w:cs="Miriam" w:hint="eastAsia"/>
          <w:b/>
          <w:spacing w:val="0"/>
          <w:szCs w:val="24"/>
          <w:rtl/>
        </w:rPr>
        <w:t>פעולה</w:t>
      </w:r>
      <w:r w:rsidRPr="008654C3">
        <w:rPr>
          <w:rFonts w:ascii="Century" w:hAnsi="Century" w:cs="Miriam"/>
          <w:b/>
          <w:spacing w:val="0"/>
          <w:szCs w:val="24"/>
          <w:rtl/>
        </w:rPr>
        <w:t xml:space="preserve"> </w:t>
      </w:r>
      <w:r w:rsidRPr="008654C3">
        <w:rPr>
          <w:rFonts w:ascii="Century" w:hAnsi="Century" w:cs="Miriam" w:hint="eastAsia"/>
          <w:b/>
          <w:spacing w:val="0"/>
          <w:szCs w:val="24"/>
          <w:rtl/>
        </w:rPr>
        <w:t>מלחמתית</w:t>
      </w:r>
      <w:r w:rsidRPr="008654C3">
        <w:rPr>
          <w:rFonts w:ascii="Century" w:hAnsi="Century" w:cs="Miriam"/>
          <w:b/>
          <w:spacing w:val="0"/>
          <w:szCs w:val="24"/>
          <w:rtl/>
        </w:rPr>
        <w:t xml:space="preserve"> </w:t>
      </w:r>
      <w:r w:rsidRPr="008654C3">
        <w:rPr>
          <w:rFonts w:ascii="Century" w:hAnsi="Century"/>
          <w:rtl/>
        </w:rPr>
        <w:t>–</w:t>
      </w:r>
      <w:r w:rsidRPr="008654C3">
        <w:rPr>
          <w:rFonts w:ascii="Century" w:hAnsi="Century" w:cs="Miriam"/>
          <w:b/>
          <w:spacing w:val="0"/>
          <w:szCs w:val="24"/>
          <w:rtl/>
        </w:rPr>
        <w:t xml:space="preserve"> </w:t>
      </w:r>
      <w:r w:rsidRPr="008654C3">
        <w:rPr>
          <w:rFonts w:ascii="Century" w:hAnsi="Century" w:cs="Miriam" w:hint="eastAsia"/>
          <w:b/>
          <w:spacing w:val="0"/>
          <w:szCs w:val="24"/>
          <w:rtl/>
        </w:rPr>
        <w:t>תהא</w:t>
      </w:r>
      <w:r w:rsidRPr="008654C3">
        <w:rPr>
          <w:rFonts w:ascii="Century" w:hAnsi="Century" w:cs="Miriam"/>
          <w:b/>
          <w:spacing w:val="0"/>
          <w:szCs w:val="24"/>
          <w:rtl/>
        </w:rPr>
        <w:t xml:space="preserve"> </w:t>
      </w:r>
      <w:r w:rsidRPr="008654C3">
        <w:rPr>
          <w:rFonts w:ascii="Century" w:hAnsi="Century" w:cs="Miriam" w:hint="eastAsia"/>
          <w:b/>
          <w:spacing w:val="0"/>
          <w:szCs w:val="24"/>
          <w:rtl/>
        </w:rPr>
        <w:t>הגדרתה</w:t>
      </w:r>
      <w:r w:rsidRPr="008654C3">
        <w:rPr>
          <w:rFonts w:ascii="Century" w:hAnsi="Century" w:cs="Miriam"/>
          <w:b/>
          <w:spacing w:val="0"/>
          <w:szCs w:val="24"/>
          <w:rtl/>
        </w:rPr>
        <w:t xml:space="preserve"> </w:t>
      </w:r>
      <w:r w:rsidRPr="008654C3">
        <w:rPr>
          <w:rFonts w:ascii="Century" w:hAnsi="Century" w:cs="Miriam" w:hint="eastAsia"/>
          <w:b/>
          <w:spacing w:val="0"/>
          <w:szCs w:val="24"/>
          <w:rtl/>
        </w:rPr>
        <w:t>רחבה</w:t>
      </w:r>
      <w:r w:rsidRPr="008654C3">
        <w:rPr>
          <w:rFonts w:ascii="Century" w:hAnsi="Century" w:cs="Miriam"/>
          <w:b/>
          <w:spacing w:val="0"/>
          <w:szCs w:val="24"/>
          <w:rtl/>
        </w:rPr>
        <w:t xml:space="preserve"> </w:t>
      </w:r>
      <w:r w:rsidRPr="008654C3">
        <w:rPr>
          <w:rFonts w:ascii="Century" w:hAnsi="Century" w:cs="Miriam" w:hint="eastAsia"/>
          <w:b/>
          <w:spacing w:val="0"/>
          <w:szCs w:val="24"/>
          <w:rtl/>
        </w:rPr>
        <w:t>ככל</w:t>
      </w:r>
      <w:r w:rsidRPr="008654C3">
        <w:rPr>
          <w:rFonts w:ascii="Century" w:hAnsi="Century" w:cs="Miriam"/>
          <w:b/>
          <w:spacing w:val="0"/>
          <w:szCs w:val="24"/>
          <w:rtl/>
        </w:rPr>
        <w:t xml:space="preserve"> </w:t>
      </w:r>
      <w:r w:rsidRPr="008654C3">
        <w:rPr>
          <w:rFonts w:ascii="Century" w:hAnsi="Century" w:cs="Miriam" w:hint="eastAsia"/>
          <w:b/>
          <w:spacing w:val="0"/>
          <w:szCs w:val="24"/>
          <w:rtl/>
        </w:rPr>
        <w:t>שתהא</w:t>
      </w:r>
      <w:r w:rsidRPr="008654C3">
        <w:rPr>
          <w:rFonts w:ascii="Century" w:hAnsi="Century" w:cs="Miriam"/>
          <w:b/>
          <w:spacing w:val="0"/>
          <w:szCs w:val="24"/>
          <w:rtl/>
        </w:rPr>
        <w:t xml:space="preserve"> </w:t>
      </w:r>
      <w:r w:rsidRPr="008654C3">
        <w:rPr>
          <w:rFonts w:ascii="Century" w:hAnsi="Century"/>
          <w:rtl/>
        </w:rPr>
        <w:t>–</w:t>
      </w:r>
      <w:r w:rsidRPr="008654C3">
        <w:rPr>
          <w:rFonts w:ascii="Century" w:hAnsi="Century" w:cs="Miriam"/>
          <w:b/>
          <w:spacing w:val="0"/>
          <w:szCs w:val="24"/>
          <w:rtl/>
        </w:rPr>
        <w:t xml:space="preserve"> </w:t>
      </w:r>
      <w:r w:rsidRPr="008654C3">
        <w:rPr>
          <w:rFonts w:ascii="Century" w:hAnsi="Century" w:cs="Miriam" w:hint="eastAsia"/>
          <w:b/>
          <w:spacing w:val="0"/>
          <w:szCs w:val="24"/>
          <w:rtl/>
        </w:rPr>
        <w:t>אין</w:t>
      </w:r>
      <w:r w:rsidRPr="008654C3">
        <w:rPr>
          <w:rFonts w:ascii="Century" w:hAnsi="Century" w:cs="Miriam"/>
          <w:b/>
          <w:spacing w:val="0"/>
          <w:szCs w:val="24"/>
          <w:rtl/>
        </w:rPr>
        <w:t xml:space="preserve"> </w:t>
      </w:r>
      <w:r w:rsidRPr="008654C3">
        <w:rPr>
          <w:rFonts w:ascii="Century" w:hAnsi="Century" w:cs="Miriam" w:hint="eastAsia"/>
          <w:b/>
          <w:spacing w:val="0"/>
          <w:szCs w:val="24"/>
          <w:rtl/>
        </w:rPr>
        <w:t>ולא</w:t>
      </w:r>
      <w:r w:rsidRPr="008654C3">
        <w:rPr>
          <w:rFonts w:ascii="Century" w:hAnsi="Century" w:cs="Miriam"/>
          <w:b/>
          <w:spacing w:val="0"/>
          <w:szCs w:val="24"/>
          <w:rtl/>
        </w:rPr>
        <w:t xml:space="preserve"> </w:t>
      </w:r>
      <w:r w:rsidRPr="008654C3">
        <w:rPr>
          <w:rFonts w:ascii="Century" w:hAnsi="Century" w:cs="Miriam" w:hint="eastAsia"/>
          <w:b/>
          <w:spacing w:val="0"/>
          <w:szCs w:val="24"/>
          <w:rtl/>
        </w:rPr>
        <w:t>כלום</w:t>
      </w:r>
      <w:r w:rsidRPr="008654C3">
        <w:rPr>
          <w:rFonts w:ascii="Century" w:hAnsi="Century" w:cs="Miriam"/>
          <w:b/>
          <w:spacing w:val="0"/>
          <w:szCs w:val="24"/>
          <w:rtl/>
        </w:rPr>
        <w:t xml:space="preserve">. </w:t>
      </w:r>
      <w:r w:rsidRPr="008654C3">
        <w:rPr>
          <w:rFonts w:ascii="Century" w:hAnsi="Century" w:cs="Miriam" w:hint="eastAsia"/>
          <w:b/>
          <w:spacing w:val="0"/>
          <w:szCs w:val="24"/>
          <w:rtl/>
        </w:rPr>
        <w:t>אין</w:t>
      </w:r>
      <w:r w:rsidRPr="008654C3">
        <w:rPr>
          <w:rFonts w:ascii="Century" w:hAnsi="Century" w:cs="Miriam"/>
          <w:b/>
          <w:spacing w:val="0"/>
          <w:szCs w:val="24"/>
          <w:rtl/>
        </w:rPr>
        <w:t xml:space="preserve"> </w:t>
      </w:r>
      <w:r w:rsidRPr="008654C3">
        <w:rPr>
          <w:rFonts w:ascii="Century" w:hAnsi="Century" w:cs="Miriam" w:hint="eastAsia"/>
          <w:b/>
          <w:spacing w:val="0"/>
          <w:szCs w:val="24"/>
          <w:rtl/>
        </w:rPr>
        <w:t>כל</w:t>
      </w:r>
      <w:r w:rsidRPr="008654C3">
        <w:rPr>
          <w:rFonts w:ascii="Century" w:hAnsi="Century" w:cs="Miriam"/>
          <w:b/>
          <w:spacing w:val="0"/>
          <w:szCs w:val="24"/>
          <w:rtl/>
        </w:rPr>
        <w:t xml:space="preserve"> </w:t>
      </w:r>
      <w:r w:rsidRPr="008654C3">
        <w:rPr>
          <w:rFonts w:ascii="Century" w:hAnsi="Century" w:cs="Miriam" w:hint="eastAsia"/>
          <w:b/>
          <w:spacing w:val="0"/>
          <w:szCs w:val="24"/>
          <w:rtl/>
        </w:rPr>
        <w:t>דבר</w:t>
      </w:r>
      <w:r w:rsidRPr="008654C3">
        <w:rPr>
          <w:rFonts w:ascii="Century" w:hAnsi="Century" w:cs="Miriam"/>
          <w:b/>
          <w:spacing w:val="0"/>
          <w:szCs w:val="24"/>
          <w:rtl/>
        </w:rPr>
        <w:t xml:space="preserve"> </w:t>
      </w:r>
      <w:r w:rsidRPr="008654C3">
        <w:rPr>
          <w:rFonts w:ascii="Century" w:hAnsi="Century" w:cs="Miriam" w:hint="eastAsia"/>
          <w:b/>
          <w:spacing w:val="0"/>
          <w:szCs w:val="24"/>
          <w:rtl/>
        </w:rPr>
        <w:t>בפעולות</w:t>
      </w:r>
      <w:r w:rsidRPr="008654C3">
        <w:rPr>
          <w:rFonts w:ascii="Century" w:hAnsi="Century" w:cs="Miriam"/>
          <w:b/>
          <w:spacing w:val="0"/>
          <w:szCs w:val="24"/>
          <w:rtl/>
        </w:rPr>
        <w:t xml:space="preserve"> </w:t>
      </w:r>
      <w:r w:rsidRPr="008654C3">
        <w:rPr>
          <w:rFonts w:ascii="Century" w:hAnsi="Century" w:cs="Miriam" w:hint="eastAsia"/>
          <w:b/>
          <w:spacing w:val="0"/>
          <w:szCs w:val="24"/>
          <w:rtl/>
        </w:rPr>
        <w:t>רגילות</w:t>
      </w:r>
      <w:r w:rsidRPr="008654C3">
        <w:rPr>
          <w:rFonts w:ascii="Century" w:hAnsi="Century" w:cs="Miriam"/>
          <w:b/>
          <w:spacing w:val="0"/>
          <w:szCs w:val="24"/>
          <w:rtl/>
        </w:rPr>
        <w:t xml:space="preserve"> </w:t>
      </w:r>
      <w:r w:rsidRPr="008654C3">
        <w:rPr>
          <w:rFonts w:ascii="Century" w:hAnsi="Century" w:cs="Miriam" w:hint="eastAsia"/>
          <w:b/>
          <w:spacing w:val="0"/>
          <w:szCs w:val="24"/>
          <w:rtl/>
        </w:rPr>
        <w:t>של</w:t>
      </w:r>
      <w:r w:rsidRPr="008654C3">
        <w:rPr>
          <w:rFonts w:ascii="Century" w:hAnsi="Century" w:cs="Miriam"/>
          <w:b/>
          <w:spacing w:val="0"/>
          <w:szCs w:val="24"/>
          <w:rtl/>
        </w:rPr>
        <w:t xml:space="preserve"> </w:t>
      </w:r>
      <w:r w:rsidRPr="008654C3">
        <w:rPr>
          <w:rFonts w:ascii="Century" w:hAnsi="Century" w:cs="Miriam" w:hint="eastAsia"/>
          <w:b/>
          <w:spacing w:val="0"/>
          <w:szCs w:val="24"/>
          <w:rtl/>
        </w:rPr>
        <w:t>שמירת</w:t>
      </w:r>
      <w:r w:rsidRPr="008654C3">
        <w:rPr>
          <w:rFonts w:ascii="Century" w:hAnsi="Century" w:cs="Miriam"/>
          <w:b/>
          <w:spacing w:val="0"/>
          <w:szCs w:val="24"/>
          <w:rtl/>
        </w:rPr>
        <w:t xml:space="preserve"> </w:t>
      </w:r>
      <w:r w:rsidRPr="008654C3">
        <w:rPr>
          <w:rFonts w:ascii="Century" w:hAnsi="Century" w:cs="Miriam" w:hint="eastAsia"/>
          <w:b/>
          <w:spacing w:val="0"/>
          <w:szCs w:val="24"/>
          <w:rtl/>
        </w:rPr>
        <w:t>חוק</w:t>
      </w:r>
      <w:r w:rsidRPr="008654C3">
        <w:rPr>
          <w:rFonts w:ascii="Century" w:hAnsi="Century" w:cs="Miriam"/>
          <w:b/>
          <w:spacing w:val="0"/>
          <w:szCs w:val="24"/>
          <w:rtl/>
        </w:rPr>
        <w:t xml:space="preserve"> </w:t>
      </w:r>
      <w:r w:rsidRPr="008654C3">
        <w:rPr>
          <w:rFonts w:ascii="Century" w:hAnsi="Century" w:cs="Miriam" w:hint="eastAsia"/>
          <w:b/>
          <w:spacing w:val="0"/>
          <w:szCs w:val="24"/>
          <w:rtl/>
        </w:rPr>
        <w:t>הנעשות</w:t>
      </w:r>
      <w:r w:rsidRPr="008654C3">
        <w:rPr>
          <w:rFonts w:ascii="Century" w:hAnsi="Century" w:cs="Miriam"/>
          <w:b/>
          <w:spacing w:val="0"/>
          <w:szCs w:val="24"/>
          <w:rtl/>
        </w:rPr>
        <w:t xml:space="preserve"> </w:t>
      </w:r>
      <w:r w:rsidRPr="008654C3">
        <w:rPr>
          <w:rFonts w:ascii="Century" w:hAnsi="Century" w:cs="Miriam" w:hint="eastAsia"/>
          <w:b/>
          <w:spacing w:val="0"/>
          <w:szCs w:val="24"/>
          <w:rtl/>
        </w:rPr>
        <w:t>על</w:t>
      </w:r>
      <w:r w:rsidRPr="008654C3">
        <w:rPr>
          <w:rFonts w:ascii="Century" w:hAnsi="Century" w:cs="Miriam"/>
          <w:b/>
          <w:spacing w:val="0"/>
          <w:szCs w:val="24"/>
          <w:rtl/>
        </w:rPr>
        <w:t xml:space="preserve"> </w:t>
      </w:r>
      <w:r w:rsidRPr="008654C3">
        <w:rPr>
          <w:rFonts w:ascii="Century" w:hAnsi="Century" w:cs="Miriam" w:hint="eastAsia"/>
          <w:b/>
          <w:spacing w:val="0"/>
          <w:szCs w:val="24"/>
          <w:rtl/>
        </w:rPr>
        <w:t>ידי</w:t>
      </w:r>
      <w:r w:rsidRPr="008654C3">
        <w:rPr>
          <w:rFonts w:ascii="Century" w:hAnsi="Century" w:cs="Miriam"/>
          <w:b/>
          <w:spacing w:val="0"/>
          <w:szCs w:val="24"/>
          <w:rtl/>
        </w:rPr>
        <w:t xml:space="preserve"> </w:t>
      </w:r>
      <w:r w:rsidRPr="008654C3">
        <w:rPr>
          <w:rFonts w:ascii="Century" w:hAnsi="Century" w:cs="Miriam" w:hint="eastAsia"/>
          <w:b/>
          <w:spacing w:val="0"/>
          <w:szCs w:val="24"/>
          <w:rtl/>
        </w:rPr>
        <w:t>כוחות</w:t>
      </w:r>
      <w:r w:rsidRPr="008654C3">
        <w:rPr>
          <w:rFonts w:ascii="Century" w:hAnsi="Century" w:cs="Miriam"/>
          <w:b/>
          <w:spacing w:val="0"/>
          <w:szCs w:val="24"/>
          <w:rtl/>
        </w:rPr>
        <w:t xml:space="preserve"> </w:t>
      </w:r>
      <w:r w:rsidRPr="008654C3">
        <w:rPr>
          <w:rFonts w:ascii="Century" w:hAnsi="Century" w:cs="Miriam" w:hint="eastAsia"/>
          <w:b/>
          <w:spacing w:val="0"/>
          <w:szCs w:val="24"/>
          <w:rtl/>
        </w:rPr>
        <w:t>הביטחון</w:t>
      </w:r>
      <w:r w:rsidRPr="008654C3">
        <w:rPr>
          <w:rFonts w:ascii="Century" w:hAnsi="Century" w:cs="Miriam"/>
          <w:b/>
          <w:spacing w:val="0"/>
          <w:szCs w:val="24"/>
          <w:rtl/>
        </w:rPr>
        <w:t xml:space="preserve"> </w:t>
      </w:r>
      <w:r w:rsidRPr="008654C3">
        <w:rPr>
          <w:rFonts w:ascii="Century" w:hAnsi="Century" w:cs="Miriam" w:hint="eastAsia"/>
          <w:b/>
          <w:spacing w:val="0"/>
          <w:szCs w:val="24"/>
          <w:rtl/>
        </w:rPr>
        <w:t>בשטח</w:t>
      </w:r>
      <w:r w:rsidRPr="008654C3">
        <w:rPr>
          <w:rFonts w:ascii="Century" w:hAnsi="Century" w:cs="Miriam"/>
          <w:b/>
          <w:spacing w:val="0"/>
          <w:szCs w:val="24"/>
          <w:rtl/>
        </w:rPr>
        <w:t xml:space="preserve"> </w:t>
      </w:r>
      <w:r w:rsidRPr="008654C3">
        <w:rPr>
          <w:rFonts w:ascii="Century" w:hAnsi="Century" w:cs="Miriam" w:hint="eastAsia"/>
          <w:b/>
          <w:spacing w:val="0"/>
          <w:szCs w:val="24"/>
          <w:rtl/>
        </w:rPr>
        <w:t>הנתון</w:t>
      </w:r>
      <w:r w:rsidRPr="008654C3">
        <w:rPr>
          <w:rFonts w:ascii="Century" w:hAnsi="Century" w:cs="Miriam"/>
          <w:b/>
          <w:spacing w:val="0"/>
          <w:szCs w:val="24"/>
          <w:rtl/>
        </w:rPr>
        <w:t xml:space="preserve"> </w:t>
      </w:r>
      <w:r w:rsidRPr="008654C3">
        <w:rPr>
          <w:rFonts w:ascii="Century" w:hAnsi="Century" w:cs="Miriam" w:hint="eastAsia"/>
          <w:b/>
          <w:spacing w:val="0"/>
          <w:szCs w:val="24"/>
          <w:rtl/>
        </w:rPr>
        <w:t>לשליטתם</w:t>
      </w:r>
      <w:r w:rsidRPr="008654C3">
        <w:rPr>
          <w:rFonts w:ascii="Century" w:hAnsi="Century" w:cs="Miriam"/>
          <w:b/>
          <w:spacing w:val="0"/>
          <w:szCs w:val="24"/>
          <w:rtl/>
        </w:rPr>
        <w:t xml:space="preserve"> </w:t>
      </w:r>
      <w:r w:rsidRPr="008654C3">
        <w:rPr>
          <w:rFonts w:ascii="Century" w:hAnsi="Century" w:cs="Miriam" w:hint="eastAsia"/>
          <w:b/>
          <w:spacing w:val="0"/>
          <w:szCs w:val="24"/>
          <w:rtl/>
        </w:rPr>
        <w:t>המצדיק</w:t>
      </w:r>
      <w:r w:rsidRPr="008654C3">
        <w:rPr>
          <w:rFonts w:ascii="Century" w:hAnsi="Century" w:cs="Miriam"/>
          <w:b/>
          <w:spacing w:val="0"/>
          <w:szCs w:val="24"/>
          <w:rtl/>
        </w:rPr>
        <w:t xml:space="preserve"> </w:t>
      </w:r>
      <w:r w:rsidRPr="008654C3">
        <w:rPr>
          <w:rFonts w:ascii="Century" w:hAnsi="Century" w:cs="Miriam" w:hint="eastAsia"/>
          <w:b/>
          <w:spacing w:val="0"/>
          <w:szCs w:val="24"/>
          <w:rtl/>
        </w:rPr>
        <w:t>הוצאתו</w:t>
      </w:r>
      <w:r w:rsidRPr="008654C3">
        <w:rPr>
          <w:rFonts w:ascii="Century" w:hAnsi="Century" w:cs="Miriam"/>
          <w:b/>
          <w:spacing w:val="0"/>
          <w:szCs w:val="24"/>
          <w:rtl/>
        </w:rPr>
        <w:t xml:space="preserve"> </w:t>
      </w:r>
      <w:r w:rsidRPr="008654C3">
        <w:rPr>
          <w:rFonts w:ascii="Century" w:hAnsi="Century" w:cs="Miriam" w:hint="eastAsia"/>
          <w:b/>
          <w:spacing w:val="0"/>
          <w:szCs w:val="24"/>
          <w:rtl/>
        </w:rPr>
        <w:t>מתחום</w:t>
      </w:r>
      <w:r w:rsidRPr="008654C3">
        <w:rPr>
          <w:rFonts w:ascii="Century" w:hAnsi="Century" w:cs="Miriam"/>
          <w:b/>
          <w:spacing w:val="0"/>
          <w:szCs w:val="24"/>
          <w:rtl/>
        </w:rPr>
        <w:t xml:space="preserve"> </w:t>
      </w:r>
      <w:r w:rsidRPr="008654C3">
        <w:rPr>
          <w:rFonts w:ascii="Century" w:hAnsi="Century" w:cs="Miriam" w:hint="eastAsia"/>
          <w:b/>
          <w:spacing w:val="0"/>
          <w:szCs w:val="24"/>
          <w:rtl/>
        </w:rPr>
        <w:t>דיני</w:t>
      </w:r>
      <w:r w:rsidRPr="008654C3">
        <w:rPr>
          <w:rFonts w:ascii="Century" w:hAnsi="Century" w:cs="Miriam"/>
          <w:b/>
          <w:spacing w:val="0"/>
          <w:szCs w:val="24"/>
          <w:rtl/>
        </w:rPr>
        <w:t xml:space="preserve"> </w:t>
      </w:r>
      <w:r w:rsidRPr="008654C3">
        <w:rPr>
          <w:rFonts w:ascii="Century" w:hAnsi="Century" w:cs="Miriam" w:hint="eastAsia"/>
          <w:b/>
          <w:spacing w:val="0"/>
          <w:szCs w:val="24"/>
          <w:rtl/>
        </w:rPr>
        <w:t>הנזיקין</w:t>
      </w:r>
      <w:r w:rsidRPr="008654C3">
        <w:rPr>
          <w:rFonts w:ascii="Century" w:hAnsi="Century" w:cs="Miriam"/>
          <w:b/>
          <w:spacing w:val="0"/>
          <w:szCs w:val="24"/>
          <w:rtl/>
        </w:rPr>
        <w:t xml:space="preserve"> </w:t>
      </w:r>
      <w:r w:rsidRPr="008654C3">
        <w:rPr>
          <w:rFonts w:ascii="Century" w:hAnsi="Century" w:cs="Miriam" w:hint="eastAsia"/>
          <w:b/>
          <w:spacing w:val="0"/>
          <w:szCs w:val="24"/>
          <w:rtl/>
        </w:rPr>
        <w:t>הרגילים</w:t>
      </w:r>
      <w:r w:rsidRPr="008654C3">
        <w:rPr>
          <w:rFonts w:ascii="Century" w:hAnsi="Century" w:cs="Miriam"/>
          <w:b/>
          <w:spacing w:val="0"/>
          <w:szCs w:val="24"/>
          <w:rtl/>
        </w:rPr>
        <w:t xml:space="preserve">. </w:t>
      </w:r>
      <w:r w:rsidRPr="008654C3">
        <w:rPr>
          <w:rFonts w:ascii="Century" w:hAnsi="Century" w:cs="Miriam" w:hint="eastAsia"/>
          <w:b/>
          <w:spacing w:val="0"/>
          <w:szCs w:val="24"/>
          <w:rtl/>
        </w:rPr>
        <w:t>בוודאי</w:t>
      </w:r>
      <w:r w:rsidRPr="008654C3">
        <w:rPr>
          <w:rFonts w:ascii="Century" w:hAnsi="Century" w:cs="Miriam"/>
          <w:b/>
          <w:spacing w:val="0"/>
          <w:szCs w:val="24"/>
          <w:rtl/>
        </w:rPr>
        <w:t xml:space="preserve"> </w:t>
      </w:r>
      <w:r w:rsidRPr="008654C3">
        <w:rPr>
          <w:rFonts w:ascii="Century" w:hAnsi="Century" w:cs="Miriam" w:hint="eastAsia"/>
          <w:b/>
          <w:spacing w:val="0"/>
          <w:szCs w:val="24"/>
          <w:rtl/>
        </w:rPr>
        <w:t>כך</w:t>
      </w:r>
      <w:r w:rsidRPr="008654C3">
        <w:rPr>
          <w:rFonts w:ascii="Century" w:hAnsi="Century" w:cs="Miriam"/>
          <w:b/>
          <w:spacing w:val="0"/>
          <w:szCs w:val="24"/>
          <w:rtl/>
        </w:rPr>
        <w:t xml:space="preserve"> </w:t>
      </w:r>
      <w:r w:rsidRPr="008654C3">
        <w:rPr>
          <w:rFonts w:ascii="Century" w:hAnsi="Century" w:cs="Miriam" w:hint="eastAsia"/>
          <w:b/>
          <w:spacing w:val="0"/>
          <w:szCs w:val="24"/>
          <w:rtl/>
        </w:rPr>
        <w:t>כאשר</w:t>
      </w:r>
      <w:r w:rsidRPr="008654C3">
        <w:rPr>
          <w:rFonts w:ascii="Century" w:hAnsi="Century" w:cs="Miriam"/>
          <w:b/>
          <w:spacing w:val="0"/>
          <w:szCs w:val="24"/>
          <w:rtl/>
        </w:rPr>
        <w:t xml:space="preserve"> </w:t>
      </w:r>
      <w:r w:rsidRPr="008654C3">
        <w:rPr>
          <w:rFonts w:ascii="Century" w:hAnsi="Century" w:cs="Miriam" w:hint="eastAsia"/>
          <w:b/>
          <w:spacing w:val="0"/>
          <w:szCs w:val="24"/>
          <w:rtl/>
        </w:rPr>
        <w:t>מעשה</w:t>
      </w:r>
      <w:r w:rsidRPr="008654C3">
        <w:rPr>
          <w:rFonts w:ascii="Century" w:hAnsi="Century" w:cs="Miriam"/>
          <w:b/>
          <w:spacing w:val="0"/>
          <w:szCs w:val="24"/>
          <w:rtl/>
        </w:rPr>
        <w:t xml:space="preserve"> </w:t>
      </w:r>
      <w:r w:rsidRPr="008654C3">
        <w:rPr>
          <w:rFonts w:ascii="Century" w:hAnsi="Century" w:cs="Miriam" w:hint="eastAsia"/>
          <w:b/>
          <w:spacing w:val="0"/>
          <w:szCs w:val="24"/>
          <w:rtl/>
        </w:rPr>
        <w:t>הנזק</w:t>
      </w:r>
      <w:r w:rsidRPr="008654C3">
        <w:rPr>
          <w:rFonts w:ascii="Century" w:hAnsi="Century" w:cs="Miriam"/>
          <w:b/>
          <w:spacing w:val="0"/>
          <w:szCs w:val="24"/>
          <w:rtl/>
        </w:rPr>
        <w:t xml:space="preserve"> </w:t>
      </w:r>
      <w:r w:rsidRPr="008654C3">
        <w:rPr>
          <w:rFonts w:ascii="Century" w:hAnsi="Century" w:cs="Miriam" w:hint="eastAsia"/>
          <w:b/>
          <w:spacing w:val="0"/>
          <w:szCs w:val="24"/>
          <w:rtl/>
        </w:rPr>
        <w:t>לא</w:t>
      </w:r>
      <w:r w:rsidRPr="008654C3">
        <w:rPr>
          <w:rFonts w:ascii="Century" w:hAnsi="Century" w:cs="Miriam"/>
          <w:b/>
          <w:spacing w:val="0"/>
          <w:szCs w:val="24"/>
          <w:rtl/>
        </w:rPr>
        <w:t xml:space="preserve"> </w:t>
      </w:r>
      <w:r w:rsidRPr="008654C3">
        <w:rPr>
          <w:rFonts w:ascii="Century" w:hAnsi="Century" w:cs="Miriam" w:hint="eastAsia"/>
          <w:b/>
          <w:spacing w:val="0"/>
          <w:szCs w:val="24"/>
          <w:rtl/>
        </w:rPr>
        <w:t>קשור</w:t>
      </w:r>
      <w:r w:rsidRPr="008654C3">
        <w:rPr>
          <w:rFonts w:ascii="Century" w:hAnsi="Century" w:cs="Miriam"/>
          <w:b/>
          <w:spacing w:val="0"/>
          <w:szCs w:val="24"/>
          <w:rtl/>
        </w:rPr>
        <w:t xml:space="preserve"> </w:t>
      </w:r>
      <w:r w:rsidRPr="008654C3">
        <w:rPr>
          <w:rFonts w:ascii="Century" w:hAnsi="Century" w:cs="Miriam" w:hint="eastAsia"/>
          <w:b/>
          <w:spacing w:val="0"/>
          <w:szCs w:val="24"/>
          <w:rtl/>
        </w:rPr>
        <w:t>כלל</w:t>
      </w:r>
      <w:r w:rsidRPr="008654C3">
        <w:rPr>
          <w:rFonts w:ascii="Century" w:hAnsi="Century" w:cs="Miriam"/>
          <w:b/>
          <w:spacing w:val="0"/>
          <w:szCs w:val="24"/>
          <w:rtl/>
        </w:rPr>
        <w:t xml:space="preserve"> </w:t>
      </w:r>
      <w:r w:rsidRPr="008654C3">
        <w:rPr>
          <w:rFonts w:ascii="Century" w:hAnsi="Century" w:cs="Miriam" w:hint="eastAsia"/>
          <w:b/>
          <w:spacing w:val="0"/>
          <w:szCs w:val="24"/>
          <w:rtl/>
        </w:rPr>
        <w:t>לפעילות</w:t>
      </w:r>
      <w:r w:rsidRPr="008654C3">
        <w:rPr>
          <w:rFonts w:ascii="Century" w:hAnsi="Century" w:cs="Miriam"/>
          <w:b/>
          <w:spacing w:val="0"/>
          <w:szCs w:val="24"/>
          <w:rtl/>
        </w:rPr>
        <w:t xml:space="preserve"> </w:t>
      </w:r>
      <w:r w:rsidRPr="008654C3">
        <w:rPr>
          <w:rFonts w:ascii="Century" w:hAnsi="Century" w:cs="Miriam" w:hint="eastAsia"/>
          <w:b/>
          <w:spacing w:val="0"/>
          <w:szCs w:val="24"/>
          <w:rtl/>
        </w:rPr>
        <w:t>ביטחונית</w:t>
      </w:r>
      <w:r w:rsidRPr="008654C3">
        <w:rPr>
          <w:rFonts w:ascii="Century" w:hAnsi="Century" w:cs="Miriam"/>
          <w:b/>
          <w:spacing w:val="0"/>
          <w:szCs w:val="24"/>
          <w:rtl/>
        </w:rPr>
        <w:t xml:space="preserve">. </w:t>
      </w:r>
      <w:r w:rsidRPr="008654C3">
        <w:rPr>
          <w:rFonts w:ascii="Century" w:hAnsi="Century" w:cs="Miriam" w:hint="eastAsia"/>
          <w:b/>
          <w:spacing w:val="0"/>
          <w:szCs w:val="24"/>
          <w:rtl/>
        </w:rPr>
        <w:t>רק</w:t>
      </w:r>
      <w:r w:rsidRPr="008654C3">
        <w:rPr>
          <w:rFonts w:ascii="Century" w:hAnsi="Century" w:cs="Miriam"/>
          <w:b/>
          <w:spacing w:val="0"/>
          <w:szCs w:val="24"/>
          <w:rtl/>
        </w:rPr>
        <w:t xml:space="preserve"> </w:t>
      </w:r>
      <w:r w:rsidRPr="008654C3">
        <w:rPr>
          <w:rFonts w:ascii="Century" w:hAnsi="Century" w:cs="Miriam" w:hint="eastAsia"/>
          <w:b/>
          <w:spacing w:val="0"/>
          <w:szCs w:val="24"/>
          <w:rtl/>
        </w:rPr>
        <w:t>פעולות</w:t>
      </w:r>
      <w:r w:rsidRPr="008654C3">
        <w:rPr>
          <w:rFonts w:ascii="Century" w:hAnsi="Century" w:cs="Miriam"/>
          <w:b/>
          <w:spacing w:val="0"/>
          <w:szCs w:val="24"/>
          <w:rtl/>
        </w:rPr>
        <w:t xml:space="preserve"> </w:t>
      </w:r>
      <w:r w:rsidRPr="008654C3">
        <w:rPr>
          <w:rFonts w:ascii="Century" w:hAnsi="Century" w:cs="Miriam" w:hint="eastAsia"/>
          <w:b/>
          <w:spacing w:val="0"/>
          <w:szCs w:val="24"/>
          <w:rtl/>
        </w:rPr>
        <w:t>לחימה</w:t>
      </w:r>
      <w:r w:rsidRPr="008654C3">
        <w:rPr>
          <w:rFonts w:ascii="Century" w:hAnsi="Century" w:cs="Miriam"/>
          <w:b/>
          <w:spacing w:val="0"/>
          <w:szCs w:val="24"/>
          <w:rtl/>
        </w:rPr>
        <w:t xml:space="preserve"> </w:t>
      </w:r>
      <w:r w:rsidRPr="008654C3">
        <w:rPr>
          <w:rFonts w:ascii="Century" w:hAnsi="Century" w:cs="Miriam" w:hint="eastAsia"/>
          <w:b/>
          <w:spacing w:val="0"/>
          <w:szCs w:val="24"/>
          <w:rtl/>
        </w:rPr>
        <w:t>מצדיקות</w:t>
      </w:r>
      <w:r w:rsidRPr="008654C3">
        <w:rPr>
          <w:rFonts w:ascii="Century" w:hAnsi="Century" w:cs="Miriam"/>
          <w:b/>
          <w:spacing w:val="0"/>
          <w:szCs w:val="24"/>
          <w:rtl/>
        </w:rPr>
        <w:t xml:space="preserve">, </w:t>
      </w:r>
      <w:r w:rsidRPr="008654C3">
        <w:rPr>
          <w:rFonts w:ascii="Century" w:hAnsi="Century" w:cs="Miriam" w:hint="eastAsia"/>
          <w:b/>
          <w:spacing w:val="0"/>
          <w:szCs w:val="24"/>
          <w:rtl/>
        </w:rPr>
        <w:t>כפי</w:t>
      </w:r>
      <w:r w:rsidRPr="008654C3">
        <w:rPr>
          <w:rFonts w:ascii="Century" w:hAnsi="Century" w:cs="Miriam"/>
          <w:b/>
          <w:spacing w:val="0"/>
          <w:szCs w:val="24"/>
          <w:rtl/>
        </w:rPr>
        <w:t xml:space="preserve"> </w:t>
      </w:r>
      <w:r w:rsidRPr="008654C3">
        <w:rPr>
          <w:rFonts w:ascii="Century" w:hAnsi="Century" w:cs="Miriam" w:hint="eastAsia"/>
          <w:b/>
          <w:spacing w:val="0"/>
          <w:szCs w:val="24"/>
          <w:rtl/>
        </w:rPr>
        <w:t>שמבקשת</w:t>
      </w:r>
      <w:r w:rsidRPr="008654C3">
        <w:rPr>
          <w:rFonts w:ascii="Century" w:hAnsi="Century" w:cs="Miriam"/>
          <w:b/>
          <w:spacing w:val="0"/>
          <w:szCs w:val="24"/>
          <w:rtl/>
        </w:rPr>
        <w:t xml:space="preserve"> </w:t>
      </w:r>
      <w:r w:rsidRPr="008654C3">
        <w:rPr>
          <w:rFonts w:ascii="Century" w:hAnsi="Century" w:cs="Miriam" w:hint="eastAsia"/>
          <w:b/>
          <w:spacing w:val="0"/>
          <w:szCs w:val="24"/>
          <w:rtl/>
        </w:rPr>
        <w:t>תכליתו</w:t>
      </w:r>
      <w:r w:rsidRPr="008654C3">
        <w:rPr>
          <w:rFonts w:ascii="Century" w:hAnsi="Century" w:cs="Miriam"/>
          <w:b/>
          <w:spacing w:val="0"/>
          <w:szCs w:val="24"/>
          <w:rtl/>
        </w:rPr>
        <w:t xml:space="preserve"> </w:t>
      </w:r>
      <w:r w:rsidRPr="008654C3">
        <w:rPr>
          <w:rFonts w:ascii="Century" w:hAnsi="Century" w:cs="Miriam" w:hint="eastAsia"/>
          <w:b/>
          <w:spacing w:val="0"/>
          <w:szCs w:val="24"/>
          <w:rtl/>
        </w:rPr>
        <w:t>של</w:t>
      </w:r>
      <w:r w:rsidRPr="008654C3">
        <w:rPr>
          <w:rFonts w:ascii="Century" w:hAnsi="Century" w:cs="Miriam"/>
          <w:b/>
          <w:spacing w:val="0"/>
          <w:szCs w:val="24"/>
          <w:rtl/>
        </w:rPr>
        <w:t xml:space="preserve"> </w:t>
      </w:r>
      <w:r w:rsidRPr="008654C3">
        <w:rPr>
          <w:rFonts w:ascii="Century" w:hAnsi="Century" w:cs="Miriam" w:hint="eastAsia"/>
          <w:b/>
          <w:spacing w:val="0"/>
          <w:szCs w:val="24"/>
          <w:rtl/>
        </w:rPr>
        <w:t>תיקון</w:t>
      </w:r>
      <w:r w:rsidRPr="008654C3">
        <w:rPr>
          <w:rFonts w:ascii="Century" w:hAnsi="Century" w:cs="Miriam"/>
          <w:b/>
          <w:spacing w:val="0"/>
          <w:szCs w:val="24"/>
          <w:rtl/>
        </w:rPr>
        <w:t xml:space="preserve"> </w:t>
      </w:r>
      <w:r w:rsidRPr="008654C3">
        <w:rPr>
          <w:rFonts w:ascii="Century" w:hAnsi="Century" w:cs="Miriam" w:hint="eastAsia"/>
          <w:b/>
          <w:spacing w:val="0"/>
          <w:szCs w:val="24"/>
          <w:rtl/>
        </w:rPr>
        <w:t>מס</w:t>
      </w:r>
      <w:r w:rsidRPr="008654C3">
        <w:rPr>
          <w:rFonts w:ascii="Century" w:hAnsi="Century" w:cs="Miriam"/>
          <w:b/>
          <w:spacing w:val="0"/>
          <w:szCs w:val="24"/>
          <w:rtl/>
        </w:rPr>
        <w:t xml:space="preserve">' 7, </w:t>
      </w:r>
      <w:r w:rsidRPr="008654C3">
        <w:rPr>
          <w:rFonts w:ascii="Century" w:hAnsi="Century" w:cs="Miriam" w:hint="eastAsia"/>
          <w:b/>
          <w:spacing w:val="0"/>
          <w:szCs w:val="24"/>
          <w:rtl/>
        </w:rPr>
        <w:t>הוצאת</w:t>
      </w:r>
      <w:r w:rsidRPr="008654C3">
        <w:rPr>
          <w:rFonts w:ascii="Century" w:hAnsi="Century" w:cs="Miriam"/>
          <w:b/>
          <w:spacing w:val="0"/>
          <w:szCs w:val="24"/>
          <w:rtl/>
        </w:rPr>
        <w:t xml:space="preserve"> </w:t>
      </w:r>
      <w:r w:rsidRPr="008654C3">
        <w:rPr>
          <w:rFonts w:ascii="Century" w:hAnsi="Century" w:cs="Miriam" w:hint="eastAsia"/>
          <w:b/>
          <w:spacing w:val="0"/>
          <w:szCs w:val="24"/>
          <w:rtl/>
        </w:rPr>
        <w:t>ההסדרים</w:t>
      </w:r>
      <w:r w:rsidRPr="008654C3">
        <w:rPr>
          <w:rFonts w:ascii="Century" w:hAnsi="Century" w:cs="Miriam"/>
          <w:b/>
          <w:spacing w:val="0"/>
          <w:szCs w:val="24"/>
          <w:rtl/>
        </w:rPr>
        <w:t xml:space="preserve"> </w:t>
      </w:r>
      <w:r w:rsidRPr="008654C3">
        <w:rPr>
          <w:rFonts w:ascii="Century" w:hAnsi="Century" w:cs="Miriam" w:hint="eastAsia"/>
          <w:b/>
          <w:spacing w:val="0"/>
          <w:szCs w:val="24"/>
          <w:rtl/>
        </w:rPr>
        <w:t>מתחום</w:t>
      </w:r>
      <w:r w:rsidRPr="008654C3">
        <w:rPr>
          <w:rFonts w:ascii="Century" w:hAnsi="Century" w:cs="Miriam"/>
          <w:b/>
          <w:spacing w:val="0"/>
          <w:szCs w:val="24"/>
          <w:rtl/>
        </w:rPr>
        <w:t xml:space="preserve"> </w:t>
      </w:r>
      <w:r w:rsidRPr="008654C3">
        <w:rPr>
          <w:rFonts w:ascii="Century" w:hAnsi="Century" w:cs="Miriam" w:hint="eastAsia"/>
          <w:b/>
          <w:spacing w:val="0"/>
          <w:szCs w:val="24"/>
          <w:rtl/>
        </w:rPr>
        <w:t>דיני</w:t>
      </w:r>
      <w:r w:rsidRPr="008654C3">
        <w:rPr>
          <w:rFonts w:ascii="Century" w:hAnsi="Century" w:cs="Miriam"/>
          <w:b/>
          <w:spacing w:val="0"/>
          <w:szCs w:val="24"/>
          <w:rtl/>
        </w:rPr>
        <w:t xml:space="preserve"> </w:t>
      </w:r>
      <w:r w:rsidRPr="008654C3">
        <w:rPr>
          <w:rFonts w:ascii="Century" w:hAnsi="Century" w:cs="Miriam" w:hint="eastAsia"/>
          <w:b/>
          <w:spacing w:val="0"/>
          <w:szCs w:val="24"/>
          <w:rtl/>
        </w:rPr>
        <w:t>הנזיקין</w:t>
      </w:r>
      <w:r w:rsidRPr="008654C3">
        <w:rPr>
          <w:rFonts w:ascii="Century" w:hAnsi="Century" w:cs="Miriam"/>
          <w:b/>
          <w:spacing w:val="0"/>
          <w:szCs w:val="24"/>
          <w:rtl/>
        </w:rPr>
        <w:t xml:space="preserve"> </w:t>
      </w:r>
      <w:r w:rsidRPr="008654C3">
        <w:rPr>
          <w:rFonts w:ascii="Century" w:hAnsi="Century" w:cs="Miriam" w:hint="eastAsia"/>
          <w:b/>
          <w:spacing w:val="0"/>
          <w:szCs w:val="24"/>
          <w:rtl/>
        </w:rPr>
        <w:t>הרגילים</w:t>
      </w:r>
      <w:r w:rsidRPr="008654C3">
        <w:rPr>
          <w:rFonts w:ascii="Century" w:hAnsi="Century" w:cs="Miriam" w:hint="cs"/>
          <w:b/>
          <w:spacing w:val="0"/>
          <w:szCs w:val="24"/>
          <w:rtl/>
        </w:rPr>
        <w:t>"</w:t>
      </w:r>
      <w:r w:rsidRPr="008654C3">
        <w:rPr>
          <w:rFonts w:ascii="Century" w:hAnsi="Century"/>
          <w:rtl/>
        </w:rPr>
        <w:t>.</w:t>
      </w:r>
    </w:p>
    <w:p w:rsidR="00D512D4" w:rsidRPr="00C54C27" w:rsidRDefault="00D512D4" w:rsidP="00D512D4">
      <w:pPr>
        <w:pStyle w:val="Ruller5"/>
        <w:spacing w:line="276" w:lineRule="auto"/>
        <w:rPr>
          <w:rFonts w:ascii="Century" w:hAnsi="Century" w:cs="Miriam"/>
          <w:b/>
          <w:spacing w:val="0"/>
          <w:szCs w:val="24"/>
        </w:rPr>
      </w:pPr>
    </w:p>
    <w:p w:rsidR="00D512D4" w:rsidRDefault="00D512D4" w:rsidP="00D512D4">
      <w:pPr>
        <w:pStyle w:val="Ruller4"/>
      </w:pPr>
      <w:r>
        <w:rPr>
          <w:rFonts w:hint="cs"/>
          <w:rtl/>
        </w:rPr>
        <w:t xml:space="preserve">עוד נקבע בעניין </w:t>
      </w:r>
      <w:r w:rsidRPr="00720523">
        <w:rPr>
          <w:rFonts w:ascii="Century" w:hAnsi="Century" w:cs="Miriam" w:hint="eastAsia"/>
          <w:b/>
          <w:spacing w:val="0"/>
          <w:sz w:val="22"/>
          <w:szCs w:val="24"/>
          <w:rtl/>
        </w:rPr>
        <w:t>עדאלה</w:t>
      </w:r>
      <w:r>
        <w:rPr>
          <w:rFonts w:hint="cs"/>
          <w:rtl/>
        </w:rPr>
        <w:t xml:space="preserve">, כי סעיף 5ג לחוק, אינו עומד גם במבחן המשנה השלישי של המידתיות </w:t>
      </w:r>
      <w:r>
        <w:rPr>
          <w:rtl/>
        </w:rPr>
        <w:t>–</w:t>
      </w:r>
      <w:r>
        <w:rPr>
          <w:rFonts w:hint="cs"/>
          <w:rtl/>
        </w:rPr>
        <w:t xml:space="preserve"> 'מידתיות במובן הצר'. בהקשר זה צוין, כי התועלת שהביא עמו תיקון מספר 7, להגשמת תכלית החוק </w:t>
      </w:r>
      <w:r>
        <w:rPr>
          <w:rtl/>
        </w:rPr>
        <w:t>–</w:t>
      </w:r>
      <w:r>
        <w:rPr>
          <w:rFonts w:hint="cs"/>
          <w:rtl/>
        </w:rPr>
        <w:t xml:space="preserve"> אינה רבה; והיא נוגעת בעיקרה לחיסכון במשאבים מינהליים של ניהול הליכים משפטיים, שבהם תתברר טענת החסינות של המדינה. תועלת זו, כך נקבע, אינה שקולה לנזק הרב שיגרם לניזוקים, שלא יזכו לפיצוי בגין נזקי גוף, או רכוש, שנגרמו להם על-ידי פעולות שאינן מלחמתיות (עניין </w:t>
      </w:r>
      <w:r w:rsidRPr="00D90427">
        <w:rPr>
          <w:rFonts w:ascii="Century" w:hAnsi="Century" w:cs="Miriam" w:hint="cs"/>
          <w:b/>
          <w:spacing w:val="0"/>
          <w:sz w:val="22"/>
          <w:szCs w:val="24"/>
          <w:rtl/>
        </w:rPr>
        <w:t>עדאלה</w:t>
      </w:r>
      <w:r>
        <w:rPr>
          <w:rFonts w:hint="cs"/>
          <w:rtl/>
        </w:rPr>
        <w:t>, פסקאות 42-40).</w:t>
      </w:r>
    </w:p>
    <w:p w:rsidR="00D512D4" w:rsidRDefault="00D512D4" w:rsidP="000B6AE3">
      <w:pPr>
        <w:pStyle w:val="Ruller4"/>
        <w:numPr>
          <w:ilvl w:val="0"/>
          <w:numId w:val="0"/>
        </w:numPr>
        <w:spacing w:line="240" w:lineRule="auto"/>
        <w:rPr>
          <w:rtl/>
        </w:rPr>
      </w:pPr>
      <w:r>
        <w:rPr>
          <w:rFonts w:hint="cs"/>
          <w:rtl/>
        </w:rPr>
        <w:t xml:space="preserve"> </w:t>
      </w:r>
    </w:p>
    <w:p w:rsidR="00D512D4" w:rsidRPr="00B0428B" w:rsidRDefault="00D512D4" w:rsidP="0090281E">
      <w:pPr>
        <w:pStyle w:val="Ruller4"/>
        <w:rPr>
          <w:rFonts w:ascii="Century" w:hAnsi="Century"/>
          <w:sz w:val="22"/>
          <w:rtl/>
        </w:rPr>
      </w:pPr>
      <w:r>
        <w:rPr>
          <w:rFonts w:ascii="Century" w:hAnsi="Century" w:hint="cs"/>
          <w:sz w:val="22"/>
          <w:rtl/>
        </w:rPr>
        <w:t xml:space="preserve">ביני לביני, חודשים ספורים קודם למתן </w:t>
      </w:r>
      <w:r w:rsidRPr="00B0428B">
        <w:rPr>
          <w:rFonts w:ascii="Century" w:hAnsi="Century" w:hint="cs"/>
          <w:sz w:val="22"/>
          <w:rtl/>
        </w:rPr>
        <w:t>פסק-הדין ב</w:t>
      </w:r>
      <w:r>
        <w:rPr>
          <w:rFonts w:ascii="Century" w:hAnsi="Century" w:hint="cs"/>
          <w:sz w:val="22"/>
          <w:rtl/>
        </w:rPr>
        <w:t xml:space="preserve">עניין </w:t>
      </w:r>
      <w:r w:rsidRPr="00F63A8E">
        <w:rPr>
          <w:rFonts w:ascii="Century" w:hAnsi="Century" w:cs="Miriam" w:hint="cs"/>
          <w:b/>
          <w:spacing w:val="0"/>
          <w:sz w:val="22"/>
          <w:szCs w:val="24"/>
          <w:rtl/>
        </w:rPr>
        <w:t>עדאלה</w:t>
      </w:r>
      <w:r w:rsidRPr="00B0428B">
        <w:rPr>
          <w:rFonts w:ascii="Century" w:hAnsi="Century" w:hint="cs"/>
          <w:sz w:val="22"/>
          <w:rtl/>
        </w:rPr>
        <w:t xml:space="preserve">, </w:t>
      </w:r>
      <w:r>
        <w:rPr>
          <w:rFonts w:ascii="Century" w:hAnsi="Century" w:hint="cs"/>
          <w:sz w:val="22"/>
          <w:rtl/>
        </w:rPr>
        <w:t>יש</w:t>
      </w:r>
      <w:r w:rsidR="0090281E">
        <w:rPr>
          <w:rFonts w:ascii="Century" w:hAnsi="Century" w:hint="cs"/>
          <w:sz w:val="22"/>
          <w:rtl/>
        </w:rPr>
        <w:t>ׂ</w:t>
      </w:r>
      <w:r>
        <w:rPr>
          <w:rFonts w:ascii="Century" w:hAnsi="Century" w:hint="cs"/>
          <w:sz w:val="22"/>
          <w:rtl/>
        </w:rPr>
        <w:t>מה</w:t>
      </w:r>
      <w:r w:rsidRPr="00B0428B">
        <w:rPr>
          <w:rFonts w:ascii="Century" w:hAnsi="Century" w:hint="cs"/>
          <w:sz w:val="22"/>
          <w:rtl/>
        </w:rPr>
        <w:t xml:space="preserve"> מדינת ישראל</w:t>
      </w:r>
      <w:r>
        <w:rPr>
          <w:rFonts w:ascii="Century" w:hAnsi="Century" w:hint="cs"/>
          <w:sz w:val="22"/>
          <w:rtl/>
        </w:rPr>
        <w:t xml:space="preserve">, במהלך קיץ 2005, </w:t>
      </w:r>
      <w:r w:rsidRPr="00B0428B">
        <w:rPr>
          <w:rFonts w:ascii="Century" w:hAnsi="Century" w:hint="cs"/>
          <w:sz w:val="22"/>
          <w:rtl/>
        </w:rPr>
        <w:t xml:space="preserve">את </w:t>
      </w:r>
      <w:r w:rsidR="0090281E">
        <w:rPr>
          <w:rFonts w:ascii="Century" w:hAnsi="Century" w:hint="cs"/>
          <w:sz w:val="22"/>
          <w:rtl/>
        </w:rPr>
        <w:t>'</w:t>
      </w:r>
      <w:r>
        <w:rPr>
          <w:rFonts w:ascii="Century" w:hAnsi="Century" w:hint="cs"/>
          <w:sz w:val="22"/>
          <w:rtl/>
        </w:rPr>
        <w:t xml:space="preserve">תכנית ההתנתקות' מחבל עזה. </w:t>
      </w:r>
      <w:r w:rsidRPr="00B0428B">
        <w:rPr>
          <w:rFonts w:ascii="Century" w:hAnsi="Century" w:hint="cs"/>
          <w:sz w:val="22"/>
          <w:rtl/>
        </w:rPr>
        <w:t>ביום 12.9.2005</w:t>
      </w:r>
      <w:r>
        <w:rPr>
          <w:rFonts w:ascii="Century" w:hAnsi="Century" w:hint="cs"/>
          <w:sz w:val="22"/>
          <w:rtl/>
        </w:rPr>
        <w:t>,</w:t>
      </w:r>
      <w:r w:rsidRPr="00B0428B">
        <w:rPr>
          <w:rFonts w:ascii="Century" w:hAnsi="Century" w:hint="cs"/>
          <w:sz w:val="22"/>
          <w:rtl/>
        </w:rPr>
        <w:t xml:space="preserve"> יצא אחרון חיילי צה"ל את שטח רצועת עזה, והשליטה ברצועה הועברה למועצה הפלסטינית (ראו: מנשר בדבר סיום הממשל הצבאי (מנשר מספר 6) (אזור חבל עזה), התשס"ה-2005). לאחר סיום הממשל הצבאי ויציאת </w:t>
      </w:r>
      <w:r>
        <w:rPr>
          <w:rFonts w:ascii="Century" w:hAnsi="Century" w:hint="cs"/>
          <w:sz w:val="22"/>
          <w:rtl/>
        </w:rPr>
        <w:lastRenderedPageBreak/>
        <w:t xml:space="preserve">כוחות </w:t>
      </w:r>
      <w:r w:rsidRPr="00B0428B">
        <w:rPr>
          <w:rFonts w:ascii="Century" w:hAnsi="Century" w:hint="cs"/>
          <w:sz w:val="22"/>
          <w:rtl/>
        </w:rPr>
        <w:t>צה"ל משטח</w:t>
      </w:r>
      <w:r>
        <w:rPr>
          <w:rFonts w:ascii="Century" w:hAnsi="Century" w:hint="cs"/>
          <w:sz w:val="22"/>
          <w:rtl/>
        </w:rPr>
        <w:t>י</w:t>
      </w:r>
      <w:r w:rsidRPr="00B0428B">
        <w:rPr>
          <w:rFonts w:ascii="Century" w:hAnsi="Century" w:hint="cs"/>
          <w:sz w:val="22"/>
          <w:rtl/>
        </w:rPr>
        <w:t xml:space="preserve"> הרצועה, חדלה ישראל להחזיק ברצועת עזה ב</w:t>
      </w:r>
      <w:r>
        <w:rPr>
          <w:rFonts w:ascii="Century" w:hAnsi="Century" w:hint="cs"/>
          <w:sz w:val="22"/>
          <w:rtl/>
        </w:rPr>
        <w:t>אמצעות '</w:t>
      </w:r>
      <w:r w:rsidRPr="00B0428B">
        <w:rPr>
          <w:rFonts w:ascii="Century" w:hAnsi="Century" w:hint="cs"/>
          <w:sz w:val="22"/>
          <w:rtl/>
        </w:rPr>
        <w:t>תפיסה לוחמתית</w:t>
      </w:r>
      <w:r>
        <w:rPr>
          <w:rFonts w:ascii="Century" w:hAnsi="Century" w:hint="cs"/>
          <w:sz w:val="22"/>
          <w:rtl/>
        </w:rPr>
        <w:t>'</w:t>
      </w:r>
      <w:r w:rsidRPr="00B0428B">
        <w:rPr>
          <w:rFonts w:ascii="Century" w:hAnsi="Century" w:hint="cs"/>
          <w:sz w:val="22"/>
          <w:rtl/>
        </w:rPr>
        <w:t xml:space="preserve"> (</w:t>
      </w:r>
      <w:r>
        <w:rPr>
          <w:rFonts w:ascii="Century" w:hAnsi="Century"/>
          <w:sz w:val="22"/>
        </w:rPr>
        <w:t>B</w:t>
      </w:r>
      <w:r w:rsidRPr="00B0428B">
        <w:rPr>
          <w:rFonts w:ascii="Century" w:hAnsi="Century"/>
          <w:sz w:val="22"/>
        </w:rPr>
        <w:t>elligerent occupation</w:t>
      </w:r>
      <w:r w:rsidRPr="00B0428B">
        <w:rPr>
          <w:rFonts w:ascii="Century" w:hAnsi="Century" w:hint="cs"/>
          <w:sz w:val="22"/>
          <w:rtl/>
        </w:rPr>
        <w:t>)</w:t>
      </w:r>
      <w:r>
        <w:rPr>
          <w:rFonts w:ascii="Century" w:hAnsi="Century" w:hint="cs"/>
          <w:sz w:val="22"/>
          <w:rtl/>
        </w:rPr>
        <w:t xml:space="preserve">. </w:t>
      </w:r>
      <w:r w:rsidRPr="00B0428B">
        <w:rPr>
          <w:rFonts w:ascii="Century" w:hAnsi="Century" w:hint="cs"/>
          <w:sz w:val="22"/>
          <w:rtl/>
        </w:rPr>
        <w:t>בהתאם</w:t>
      </w:r>
      <w:r>
        <w:rPr>
          <w:rFonts w:ascii="Century" w:hAnsi="Century" w:hint="cs"/>
          <w:sz w:val="22"/>
          <w:rtl/>
        </w:rPr>
        <w:t>,</w:t>
      </w:r>
      <w:r w:rsidRPr="00B0428B">
        <w:rPr>
          <w:rFonts w:ascii="Century" w:hAnsi="Century" w:hint="cs"/>
          <w:sz w:val="22"/>
          <w:rtl/>
        </w:rPr>
        <w:t xml:space="preserve"> באו לקיצ</w:t>
      </w:r>
      <w:r>
        <w:rPr>
          <w:rFonts w:ascii="Century" w:hAnsi="Century" w:hint="cs"/>
          <w:sz w:val="22"/>
          <w:rtl/>
        </w:rPr>
        <w:t>ן</w:t>
      </w:r>
      <w:r w:rsidRPr="00B0428B">
        <w:rPr>
          <w:rFonts w:ascii="Century" w:hAnsi="Century" w:hint="cs"/>
          <w:sz w:val="22"/>
          <w:rtl/>
        </w:rPr>
        <w:t xml:space="preserve"> החובות </w:t>
      </w:r>
      <w:r>
        <w:rPr>
          <w:rFonts w:ascii="Century" w:hAnsi="Century" w:hint="cs"/>
          <w:sz w:val="22"/>
          <w:rtl/>
        </w:rPr>
        <w:t xml:space="preserve">הקבועות במשפט הבינלאומי, שאותן </w:t>
      </w:r>
      <w:r w:rsidRPr="00B0428B">
        <w:rPr>
          <w:rFonts w:ascii="Century" w:hAnsi="Century" w:hint="cs"/>
          <w:sz w:val="22"/>
          <w:rtl/>
        </w:rPr>
        <w:t>נטלה ישראל על עצמה</w:t>
      </w:r>
      <w:r>
        <w:rPr>
          <w:rFonts w:ascii="Century" w:hAnsi="Century" w:hint="cs"/>
          <w:sz w:val="22"/>
          <w:rtl/>
        </w:rPr>
        <w:t>,</w:t>
      </w:r>
      <w:r w:rsidRPr="00B0428B">
        <w:rPr>
          <w:rFonts w:ascii="Century" w:hAnsi="Century" w:hint="cs"/>
          <w:sz w:val="22"/>
          <w:rtl/>
        </w:rPr>
        <w:t xml:space="preserve"> כתוצאה </w:t>
      </w:r>
      <w:r>
        <w:rPr>
          <w:rFonts w:ascii="Century" w:hAnsi="Century" w:hint="cs"/>
          <w:sz w:val="22"/>
          <w:rtl/>
        </w:rPr>
        <w:t>מתפיסת השט</w:t>
      </w:r>
      <w:r w:rsidR="00261326">
        <w:rPr>
          <w:rFonts w:ascii="Century" w:hAnsi="Century" w:hint="cs"/>
          <w:sz w:val="22"/>
          <w:rtl/>
        </w:rPr>
        <w:t>ח</w:t>
      </w:r>
      <w:r w:rsidR="00261326" w:rsidRPr="00261326">
        <w:rPr>
          <w:rFonts w:ascii="Century" w:hAnsi="Century"/>
          <w:sz w:val="22"/>
        </w:rPr>
        <w:t>(</w:t>
      </w:r>
      <w:r w:rsidRPr="00B0428B">
        <w:rPr>
          <w:rFonts w:ascii="Century" w:hAnsi="Century"/>
          <w:sz w:val="22"/>
        </w:rPr>
        <w:t>Meir Shamgar, The Observance of International La</w:t>
      </w:r>
      <w:r w:rsidR="00261326">
        <w:rPr>
          <w:rFonts w:ascii="Century" w:hAnsi="Century"/>
          <w:sz w:val="22"/>
        </w:rPr>
        <w:t>w</w:t>
      </w:r>
      <w:r w:rsidR="00261326" w:rsidRPr="00261326">
        <w:rPr>
          <w:rFonts w:ascii="Century" w:hAnsi="Century"/>
          <w:sz w:val="22"/>
        </w:rPr>
        <w:t>)</w:t>
      </w:r>
      <w:r w:rsidRPr="00B0428B">
        <w:rPr>
          <w:rFonts w:ascii="Century" w:hAnsi="Century"/>
          <w:sz w:val="22"/>
        </w:rPr>
        <w:t xml:space="preserve"> in the Administered Territories, 1 Isr. Y.B. Hum. Rts. 262</w:t>
      </w:r>
      <w:r>
        <w:rPr>
          <w:rFonts w:ascii="Century" w:hAnsi="Century"/>
          <w:sz w:val="22"/>
        </w:rPr>
        <w:t xml:space="preserve"> (1971)</w:t>
      </w:r>
      <w:r w:rsidRPr="00B0428B">
        <w:rPr>
          <w:rFonts w:ascii="Century" w:hAnsi="Century" w:hint="cs"/>
          <w:sz w:val="22"/>
          <w:rtl/>
        </w:rPr>
        <w:t xml:space="preserve">; </w:t>
      </w:r>
      <w:r>
        <w:rPr>
          <w:rFonts w:ascii="Century" w:hAnsi="Century" w:hint="cs"/>
          <w:sz w:val="22"/>
          <w:rtl/>
        </w:rPr>
        <w:t xml:space="preserve">בג"ץ 606/78 </w:t>
      </w:r>
      <w:r w:rsidRPr="00B0428B">
        <w:rPr>
          <w:rFonts w:ascii="Century" w:hAnsi="Century" w:cs="Miriam" w:hint="cs"/>
          <w:b/>
          <w:spacing w:val="0"/>
          <w:sz w:val="22"/>
          <w:szCs w:val="24"/>
          <w:rtl/>
        </w:rPr>
        <w:t>איוב נ' שר הביטחון</w:t>
      </w:r>
      <w:r>
        <w:rPr>
          <w:rFonts w:ascii="Century" w:hAnsi="Century" w:hint="cs"/>
          <w:sz w:val="22"/>
          <w:rtl/>
        </w:rPr>
        <w:t xml:space="preserve">, פ"ד </w:t>
      </w:r>
      <w:proofErr w:type="gramStart"/>
      <w:r>
        <w:rPr>
          <w:rFonts w:ascii="Century" w:hAnsi="Century" w:hint="cs"/>
          <w:sz w:val="22"/>
          <w:rtl/>
        </w:rPr>
        <w:t>לג(</w:t>
      </w:r>
      <w:proofErr w:type="gramEnd"/>
      <w:r>
        <w:rPr>
          <w:rFonts w:ascii="Century" w:hAnsi="Century" w:hint="cs"/>
          <w:sz w:val="22"/>
          <w:rtl/>
        </w:rPr>
        <w:t>2), 113 (1979))</w:t>
      </w:r>
      <w:r w:rsidRPr="00B0428B">
        <w:rPr>
          <w:rFonts w:ascii="Century" w:hAnsi="Century" w:hint="cs"/>
          <w:sz w:val="22"/>
          <w:rtl/>
        </w:rPr>
        <w:t>.</w:t>
      </w:r>
      <w:r>
        <w:rPr>
          <w:rFonts w:ascii="Century" w:hAnsi="Century" w:hint="cs"/>
          <w:sz w:val="22"/>
          <w:rtl/>
        </w:rPr>
        <w:t xml:space="preserve"> </w:t>
      </w:r>
      <w:r w:rsidRPr="00B0428B">
        <w:rPr>
          <w:rFonts w:ascii="Century" w:hAnsi="Century" w:hint="cs"/>
          <w:sz w:val="22"/>
          <w:rtl/>
        </w:rPr>
        <w:t xml:space="preserve">בבג"ץ 9132/07 </w:t>
      </w:r>
      <w:r w:rsidRPr="00B0428B">
        <w:rPr>
          <w:rFonts w:ascii="Century" w:hAnsi="Century" w:cs="Miriam" w:hint="cs"/>
          <w:b/>
          <w:spacing w:val="0"/>
          <w:sz w:val="22"/>
          <w:szCs w:val="24"/>
          <w:rtl/>
        </w:rPr>
        <w:t>אלבסיוני נ' ראש הממשלה</w:t>
      </w:r>
      <w:r w:rsidRPr="00B0428B">
        <w:rPr>
          <w:rFonts w:ascii="Century" w:hAnsi="Century" w:hint="cs"/>
          <w:sz w:val="22"/>
          <w:rtl/>
        </w:rPr>
        <w:t>, פסקה 12 (30.1.2008) (להלן</w:t>
      </w:r>
      <w:r>
        <w:rPr>
          <w:rFonts w:ascii="Century" w:hAnsi="Century" w:hint="cs"/>
          <w:sz w:val="22"/>
          <w:rtl/>
        </w:rPr>
        <w:t>:</w:t>
      </w:r>
      <w:r w:rsidRPr="00B0428B">
        <w:rPr>
          <w:rFonts w:ascii="Century" w:hAnsi="Century" w:hint="cs"/>
          <w:sz w:val="22"/>
          <w:rtl/>
        </w:rPr>
        <w:t xml:space="preserve"> </w:t>
      </w:r>
      <w:r w:rsidRPr="00B0428B">
        <w:rPr>
          <w:rFonts w:ascii="Century" w:hAnsi="Century" w:cs="Miriam" w:hint="cs"/>
          <w:b/>
          <w:spacing w:val="0"/>
          <w:sz w:val="22"/>
          <w:szCs w:val="24"/>
          <w:rtl/>
        </w:rPr>
        <w:t>עניין אלבסיוני</w:t>
      </w:r>
      <w:r w:rsidRPr="00B0428B">
        <w:rPr>
          <w:rFonts w:ascii="Century" w:hAnsi="Century" w:hint="cs"/>
          <w:sz w:val="22"/>
          <w:rtl/>
        </w:rPr>
        <w:t xml:space="preserve">), </w:t>
      </w:r>
      <w:r>
        <w:rPr>
          <w:rFonts w:ascii="Century" w:hAnsi="Century" w:hint="cs"/>
          <w:sz w:val="22"/>
          <w:rtl/>
        </w:rPr>
        <w:t>נקבע בהקשר זה כך</w:t>
      </w:r>
      <w:r w:rsidRPr="00B0428B">
        <w:rPr>
          <w:rFonts w:ascii="Century" w:hAnsi="Century" w:hint="cs"/>
          <w:sz w:val="22"/>
          <w:rtl/>
        </w:rPr>
        <w:t xml:space="preserve">: </w:t>
      </w:r>
    </w:p>
    <w:p w:rsidR="00D512D4" w:rsidRDefault="00D512D4" w:rsidP="00D512D4">
      <w:pPr>
        <w:pStyle w:val="Ruller41"/>
        <w:rPr>
          <w:rtl/>
        </w:rPr>
      </w:pPr>
    </w:p>
    <w:p w:rsidR="00D512D4" w:rsidRDefault="00D512D4" w:rsidP="00916DB0">
      <w:pPr>
        <w:pStyle w:val="Ruller5"/>
        <w:spacing w:line="360" w:lineRule="auto"/>
        <w:rPr>
          <w:rFonts w:ascii="FrankRuehl" w:hAnsi="FrankRuehl"/>
          <w:b/>
          <w:spacing w:val="0"/>
          <w:sz w:val="28"/>
          <w:rtl/>
        </w:rPr>
      </w:pPr>
      <w:r>
        <w:rPr>
          <w:rFonts w:ascii="Century" w:hAnsi="Century" w:cs="Miriam" w:hint="cs"/>
          <w:b/>
          <w:spacing w:val="0"/>
          <w:szCs w:val="24"/>
          <w:rtl/>
        </w:rPr>
        <w:t>"</w:t>
      </w:r>
      <w:r w:rsidRPr="00FD3D99">
        <w:rPr>
          <w:rFonts w:ascii="Century" w:hAnsi="Century" w:cs="Miriam"/>
          <w:b/>
          <w:spacing w:val="0"/>
          <w:szCs w:val="24"/>
          <w:rtl/>
        </w:rPr>
        <w:t>מאז חודש ספטמבר 2005, אין עוד לישראל שליטה אפקטיבית בנעשה בשטח רצועת עזה. הממשל הצבאי שהוחל בשטח זה בעבר בוטל בהחלטת הממשלה, וחיילים ישראליים אינם שוהים באזור זה באופן קבוע ואף אינם מנהלים את המתרחש בו. בנסיבות אלה, אין מוטלת על מדינת ישראל חובה כללית לדאוג לרווחת תושבי הרצועה ולשמור על הסדר הציבורי בתחומי רצועת עזה, לפי מכלול דיני הכיבוש של המשפט הבינלאומי. לישראל אין גם יכולת אפקטיבית במעמדה הנוכחי להשליט סדר ולנהל את החיים האזרחיים ברצועת עזה. בנסיבות שנוצרו, החובות העיקריות המוטלות על מדינת ישראל ביחס לתושבי רצועת עזה נובעות ממצב הלחימה השורר בינה לבין ארגון החמאס השולט ברצועת עזה</w:t>
      </w:r>
      <w:r w:rsidRPr="00BB19F1">
        <w:rPr>
          <w:rFonts w:ascii="Century" w:hAnsi="Century" w:cs="Miriam"/>
          <w:b/>
          <w:spacing w:val="0"/>
          <w:szCs w:val="24"/>
          <w:rtl/>
        </w:rPr>
        <w:t>"</w:t>
      </w:r>
      <w:r>
        <w:rPr>
          <w:rFonts w:ascii="FrankRuehl" w:hAnsi="FrankRuehl" w:hint="cs"/>
          <w:b/>
          <w:spacing w:val="0"/>
          <w:sz w:val="28"/>
          <w:rtl/>
        </w:rPr>
        <w:t>.</w:t>
      </w:r>
    </w:p>
    <w:p w:rsidR="00E74CCB" w:rsidRDefault="00E74CCB" w:rsidP="000B6AE3">
      <w:pPr>
        <w:pStyle w:val="Ruller4"/>
        <w:numPr>
          <w:ilvl w:val="0"/>
          <w:numId w:val="0"/>
        </w:numPr>
        <w:spacing w:line="240" w:lineRule="auto"/>
        <w:rPr>
          <w:rFonts w:ascii="Century" w:hAnsi="Century" w:cs="Miriam"/>
          <w:b/>
          <w:spacing w:val="0"/>
          <w:szCs w:val="24"/>
          <w:rtl/>
        </w:rPr>
      </w:pPr>
    </w:p>
    <w:p w:rsidR="00D512D4" w:rsidRPr="008654C3" w:rsidRDefault="00E74CCB" w:rsidP="00E74CCB">
      <w:pPr>
        <w:pStyle w:val="Ruller4"/>
        <w:numPr>
          <w:ilvl w:val="0"/>
          <w:numId w:val="0"/>
        </w:numPr>
        <w:rPr>
          <w:rFonts w:ascii="Century" w:hAnsi="Century" w:cs="Miriam"/>
          <w:b/>
          <w:spacing w:val="0"/>
          <w:szCs w:val="24"/>
          <w:rtl/>
        </w:rPr>
      </w:pPr>
      <w:r>
        <w:rPr>
          <w:rFonts w:ascii="Century" w:hAnsi="Century" w:cs="Miriam"/>
          <w:b/>
          <w:spacing w:val="0"/>
          <w:szCs w:val="24"/>
          <w:rtl/>
        </w:rPr>
        <w:tab/>
      </w:r>
      <w:r w:rsidR="00D512D4" w:rsidRPr="008654C3">
        <w:rPr>
          <w:rFonts w:ascii="Century" w:hAnsi="Century"/>
          <w:sz w:val="22"/>
          <w:rtl/>
        </w:rPr>
        <w:t xml:space="preserve">ראו גם: </w:t>
      </w:r>
      <w:r w:rsidR="00D512D4" w:rsidRPr="008654C3">
        <w:rPr>
          <w:rFonts w:ascii="Century" w:hAnsi="Century" w:hint="eastAsia"/>
          <w:sz w:val="22"/>
          <w:rtl/>
        </w:rPr>
        <w:t>ע</w:t>
      </w:r>
      <w:r w:rsidR="00D512D4" w:rsidRPr="008654C3">
        <w:rPr>
          <w:rFonts w:ascii="Century" w:hAnsi="Century"/>
          <w:sz w:val="22"/>
          <w:rtl/>
        </w:rPr>
        <w:t>"</w:t>
      </w:r>
      <w:r w:rsidR="00D512D4" w:rsidRPr="008654C3">
        <w:rPr>
          <w:rFonts w:ascii="Century" w:hAnsi="Century" w:hint="eastAsia"/>
          <w:sz w:val="22"/>
          <w:rtl/>
        </w:rPr>
        <w:t>פ</w:t>
      </w:r>
      <w:r w:rsidR="00D512D4" w:rsidRPr="008654C3">
        <w:rPr>
          <w:rFonts w:ascii="Century" w:hAnsi="Century"/>
          <w:sz w:val="22"/>
          <w:rtl/>
        </w:rPr>
        <w:t xml:space="preserve"> 6659/06 </w:t>
      </w:r>
      <w:r w:rsidR="00D512D4" w:rsidRPr="008654C3">
        <w:rPr>
          <w:rFonts w:ascii="Century" w:hAnsi="Century" w:cs="Miriam" w:hint="eastAsia"/>
          <w:b/>
          <w:spacing w:val="0"/>
          <w:sz w:val="22"/>
          <w:szCs w:val="24"/>
          <w:rtl/>
        </w:rPr>
        <w:t>פלוני</w:t>
      </w:r>
      <w:r w:rsidR="00D512D4" w:rsidRPr="008654C3">
        <w:rPr>
          <w:rFonts w:ascii="Century" w:hAnsi="Century" w:cs="Miriam"/>
          <w:b/>
          <w:spacing w:val="0"/>
          <w:sz w:val="22"/>
          <w:szCs w:val="24"/>
          <w:rtl/>
        </w:rPr>
        <w:t xml:space="preserve"> </w:t>
      </w:r>
      <w:r w:rsidR="00D512D4" w:rsidRPr="008654C3">
        <w:rPr>
          <w:rFonts w:ascii="Century" w:hAnsi="Century" w:cs="Miriam" w:hint="eastAsia"/>
          <w:b/>
          <w:spacing w:val="0"/>
          <w:sz w:val="22"/>
          <w:szCs w:val="24"/>
          <w:rtl/>
        </w:rPr>
        <w:t>נ</w:t>
      </w:r>
      <w:r w:rsidR="00D512D4" w:rsidRPr="008654C3">
        <w:rPr>
          <w:rFonts w:ascii="Century" w:hAnsi="Century" w:cs="Miriam"/>
          <w:b/>
          <w:spacing w:val="0"/>
          <w:sz w:val="22"/>
          <w:szCs w:val="24"/>
          <w:rtl/>
        </w:rPr>
        <w:t xml:space="preserve">' </w:t>
      </w:r>
      <w:r w:rsidR="00D512D4" w:rsidRPr="008654C3">
        <w:rPr>
          <w:rFonts w:ascii="Century" w:hAnsi="Century" w:cs="Miriam" w:hint="eastAsia"/>
          <w:b/>
          <w:spacing w:val="0"/>
          <w:sz w:val="22"/>
          <w:szCs w:val="24"/>
          <w:rtl/>
        </w:rPr>
        <w:t>מדינת</w:t>
      </w:r>
      <w:r w:rsidR="00D512D4" w:rsidRPr="008654C3">
        <w:rPr>
          <w:rFonts w:ascii="Century" w:hAnsi="Century" w:cs="Miriam"/>
          <w:b/>
          <w:spacing w:val="0"/>
          <w:sz w:val="22"/>
          <w:szCs w:val="24"/>
          <w:rtl/>
        </w:rPr>
        <w:t xml:space="preserve"> </w:t>
      </w:r>
      <w:r w:rsidR="00D512D4" w:rsidRPr="008654C3">
        <w:rPr>
          <w:rFonts w:ascii="Century" w:hAnsi="Century" w:cs="Miriam" w:hint="eastAsia"/>
          <w:b/>
          <w:spacing w:val="0"/>
          <w:sz w:val="22"/>
          <w:szCs w:val="24"/>
          <w:rtl/>
        </w:rPr>
        <w:t>ישראל</w:t>
      </w:r>
      <w:r w:rsidR="00D512D4" w:rsidRPr="008654C3">
        <w:rPr>
          <w:rFonts w:ascii="Century" w:hAnsi="Century"/>
          <w:sz w:val="22"/>
          <w:rtl/>
        </w:rPr>
        <w:t xml:space="preserve">, </w:t>
      </w:r>
      <w:r w:rsidR="00D512D4" w:rsidRPr="008654C3">
        <w:rPr>
          <w:rFonts w:ascii="Century" w:hAnsi="Century" w:hint="eastAsia"/>
          <w:sz w:val="22"/>
          <w:rtl/>
        </w:rPr>
        <w:t>פסקה</w:t>
      </w:r>
      <w:r w:rsidR="00D512D4" w:rsidRPr="008654C3">
        <w:rPr>
          <w:rFonts w:ascii="Century" w:hAnsi="Century"/>
          <w:sz w:val="22"/>
          <w:rtl/>
        </w:rPr>
        <w:t xml:space="preserve"> 11 (11.6.2008) (להלן</w:t>
      </w:r>
      <w:r w:rsidR="00D512D4" w:rsidRPr="008654C3">
        <w:rPr>
          <w:rFonts w:ascii="Century" w:hAnsi="Century" w:hint="cs"/>
          <w:sz w:val="22"/>
          <w:rtl/>
        </w:rPr>
        <w:t>:</w:t>
      </w:r>
      <w:r w:rsidR="00D512D4" w:rsidRPr="008654C3">
        <w:rPr>
          <w:rFonts w:ascii="Century" w:hAnsi="Century"/>
          <w:sz w:val="22"/>
          <w:rtl/>
        </w:rPr>
        <w:t xml:space="preserve"> </w:t>
      </w:r>
      <w:r w:rsidR="00D512D4" w:rsidRPr="008654C3">
        <w:rPr>
          <w:rFonts w:ascii="Century" w:hAnsi="Century" w:cs="Miriam" w:hint="eastAsia"/>
          <w:b/>
          <w:spacing w:val="0"/>
          <w:sz w:val="22"/>
          <w:szCs w:val="24"/>
          <w:rtl/>
        </w:rPr>
        <w:t>עניין</w:t>
      </w:r>
      <w:r w:rsidR="00D512D4" w:rsidRPr="008654C3">
        <w:rPr>
          <w:rFonts w:ascii="Century" w:hAnsi="Century" w:cs="Miriam"/>
          <w:b/>
          <w:spacing w:val="0"/>
          <w:sz w:val="22"/>
          <w:szCs w:val="24"/>
          <w:rtl/>
        </w:rPr>
        <w:t xml:space="preserve"> </w:t>
      </w:r>
      <w:r w:rsidR="00D512D4" w:rsidRPr="008654C3">
        <w:rPr>
          <w:rFonts w:ascii="Century" w:hAnsi="Century" w:cs="Miriam" w:hint="eastAsia"/>
          <w:b/>
          <w:spacing w:val="0"/>
          <w:sz w:val="22"/>
          <w:szCs w:val="24"/>
          <w:rtl/>
        </w:rPr>
        <w:t>פלוני</w:t>
      </w:r>
      <w:r w:rsidR="00D512D4" w:rsidRPr="008654C3">
        <w:rPr>
          <w:rFonts w:ascii="Century" w:hAnsi="Century"/>
          <w:sz w:val="22"/>
          <w:rtl/>
        </w:rPr>
        <w:t xml:space="preserve">); </w:t>
      </w:r>
      <w:r w:rsidR="00D512D4" w:rsidRPr="008654C3">
        <w:rPr>
          <w:rFonts w:ascii="Century" w:hAnsi="Century" w:hint="eastAsia"/>
          <w:sz w:val="22"/>
          <w:rtl/>
        </w:rPr>
        <w:t>בג</w:t>
      </w:r>
      <w:r w:rsidR="00D512D4" w:rsidRPr="008654C3">
        <w:rPr>
          <w:rFonts w:ascii="Century" w:hAnsi="Century"/>
          <w:sz w:val="22"/>
          <w:rtl/>
        </w:rPr>
        <w:t xml:space="preserve">"ץ 5693/18 </w:t>
      </w:r>
      <w:r w:rsidR="00D512D4" w:rsidRPr="008654C3">
        <w:rPr>
          <w:rFonts w:ascii="Century" w:hAnsi="Century" w:cs="Miriam" w:hint="eastAsia"/>
          <w:b/>
          <w:spacing w:val="0"/>
          <w:sz w:val="22"/>
          <w:szCs w:val="24"/>
          <w:rtl/>
        </w:rPr>
        <w:t>ציאם</w:t>
      </w:r>
      <w:r w:rsidR="00D512D4" w:rsidRPr="008654C3">
        <w:rPr>
          <w:rFonts w:ascii="Century" w:hAnsi="Century" w:cs="Miriam"/>
          <w:b/>
          <w:spacing w:val="0"/>
          <w:sz w:val="22"/>
          <w:szCs w:val="24"/>
          <w:rtl/>
        </w:rPr>
        <w:t xml:space="preserve"> </w:t>
      </w:r>
      <w:r w:rsidR="00D512D4" w:rsidRPr="008654C3">
        <w:rPr>
          <w:rFonts w:ascii="Century" w:hAnsi="Century" w:cs="Miriam" w:hint="eastAsia"/>
          <w:b/>
          <w:spacing w:val="0"/>
          <w:sz w:val="22"/>
          <w:szCs w:val="24"/>
          <w:rtl/>
        </w:rPr>
        <w:t>נ</w:t>
      </w:r>
      <w:r w:rsidR="00D512D4" w:rsidRPr="008654C3">
        <w:rPr>
          <w:rFonts w:ascii="Century" w:hAnsi="Century" w:cs="Miriam"/>
          <w:b/>
          <w:spacing w:val="0"/>
          <w:sz w:val="22"/>
          <w:szCs w:val="24"/>
          <w:rtl/>
        </w:rPr>
        <w:t xml:space="preserve">' </w:t>
      </w:r>
      <w:r w:rsidR="00D512D4" w:rsidRPr="008654C3">
        <w:rPr>
          <w:rFonts w:ascii="Century" w:hAnsi="Century" w:cs="Miriam" w:hint="eastAsia"/>
          <w:b/>
          <w:spacing w:val="0"/>
          <w:sz w:val="22"/>
          <w:szCs w:val="24"/>
          <w:rtl/>
        </w:rPr>
        <w:t>ראש</w:t>
      </w:r>
      <w:r w:rsidR="00D512D4" w:rsidRPr="008654C3">
        <w:rPr>
          <w:rFonts w:ascii="Century" w:hAnsi="Century" w:cs="Miriam"/>
          <w:b/>
          <w:spacing w:val="0"/>
          <w:sz w:val="22"/>
          <w:szCs w:val="24"/>
          <w:rtl/>
        </w:rPr>
        <w:t xml:space="preserve"> </w:t>
      </w:r>
      <w:r w:rsidR="00D512D4" w:rsidRPr="008654C3">
        <w:rPr>
          <w:rFonts w:ascii="Century" w:hAnsi="Century" w:cs="Miriam" w:hint="eastAsia"/>
          <w:b/>
          <w:spacing w:val="0"/>
          <w:sz w:val="22"/>
          <w:szCs w:val="24"/>
          <w:rtl/>
        </w:rPr>
        <w:t>הממשלה</w:t>
      </w:r>
      <w:r w:rsidR="00D512D4" w:rsidRPr="008654C3">
        <w:rPr>
          <w:rFonts w:ascii="Century" w:hAnsi="Century"/>
          <w:sz w:val="22"/>
          <w:rtl/>
        </w:rPr>
        <w:t>, פסקה 16 (26.8.2018)</w:t>
      </w:r>
      <w:r w:rsidR="00D512D4">
        <w:rPr>
          <w:rFonts w:ascii="Century" w:hAnsi="Century" w:hint="cs"/>
          <w:sz w:val="22"/>
          <w:rtl/>
        </w:rPr>
        <w:t xml:space="preserve"> (להלן: </w:t>
      </w:r>
      <w:r w:rsidR="00D512D4" w:rsidRPr="000D6DCA">
        <w:rPr>
          <w:rFonts w:ascii="Century" w:hAnsi="Century" w:cs="Miriam" w:hint="cs"/>
          <w:b/>
          <w:spacing w:val="0"/>
          <w:sz w:val="22"/>
          <w:szCs w:val="24"/>
          <w:rtl/>
        </w:rPr>
        <w:t>עניין</w:t>
      </w:r>
      <w:r w:rsidR="00D512D4" w:rsidRPr="00154174">
        <w:rPr>
          <w:rFonts w:ascii="Century" w:hAnsi="Century" w:hint="cs"/>
          <w:sz w:val="22"/>
          <w:rtl/>
        </w:rPr>
        <w:t xml:space="preserve"> </w:t>
      </w:r>
      <w:r w:rsidR="00D512D4" w:rsidRPr="008654C3">
        <w:rPr>
          <w:rFonts w:ascii="Century" w:hAnsi="Century" w:cs="Miriam" w:hint="cs"/>
          <w:b/>
          <w:spacing w:val="0"/>
          <w:sz w:val="22"/>
          <w:szCs w:val="24"/>
          <w:rtl/>
        </w:rPr>
        <w:t>ציאם</w:t>
      </w:r>
      <w:r w:rsidR="00D512D4">
        <w:rPr>
          <w:rFonts w:ascii="Century" w:hAnsi="Century" w:hint="cs"/>
          <w:sz w:val="22"/>
          <w:rtl/>
        </w:rPr>
        <w:t>)</w:t>
      </w:r>
      <w:r w:rsidR="00D512D4" w:rsidRPr="008654C3">
        <w:rPr>
          <w:rFonts w:ascii="Century" w:hAnsi="Century"/>
          <w:sz w:val="22"/>
          <w:rtl/>
        </w:rPr>
        <w:t xml:space="preserve">; בג"ץ 3003/18 </w:t>
      </w:r>
      <w:r w:rsidR="00D512D4" w:rsidRPr="008654C3">
        <w:rPr>
          <w:rFonts w:ascii="Century" w:hAnsi="Century" w:cs="Miriam" w:hint="eastAsia"/>
          <w:b/>
          <w:spacing w:val="0"/>
          <w:sz w:val="22"/>
          <w:szCs w:val="24"/>
          <w:rtl/>
        </w:rPr>
        <w:t>יש</w:t>
      </w:r>
      <w:r w:rsidR="00D512D4" w:rsidRPr="008654C3">
        <w:rPr>
          <w:rFonts w:ascii="Century" w:hAnsi="Century" w:cs="Miriam"/>
          <w:b/>
          <w:spacing w:val="0"/>
          <w:sz w:val="22"/>
          <w:szCs w:val="24"/>
          <w:rtl/>
        </w:rPr>
        <w:t xml:space="preserve"> </w:t>
      </w:r>
      <w:r w:rsidR="00D512D4" w:rsidRPr="008654C3">
        <w:rPr>
          <w:rFonts w:ascii="Century" w:hAnsi="Century" w:cs="Miriam" w:hint="eastAsia"/>
          <w:b/>
          <w:spacing w:val="0"/>
          <w:sz w:val="22"/>
          <w:szCs w:val="24"/>
          <w:rtl/>
        </w:rPr>
        <w:t>דין</w:t>
      </w:r>
      <w:r w:rsidR="00D512D4" w:rsidRPr="008654C3">
        <w:rPr>
          <w:rFonts w:ascii="Century" w:hAnsi="Century" w:cs="Miriam"/>
          <w:b/>
          <w:spacing w:val="0"/>
          <w:sz w:val="22"/>
          <w:szCs w:val="24"/>
          <w:rtl/>
        </w:rPr>
        <w:t xml:space="preserve"> </w:t>
      </w:r>
      <w:r w:rsidR="00D512D4" w:rsidRPr="008654C3">
        <w:rPr>
          <w:rFonts w:ascii="Century" w:hAnsi="Century" w:cs="Miriam" w:hint="eastAsia"/>
          <w:b/>
          <w:spacing w:val="0"/>
          <w:sz w:val="22"/>
          <w:szCs w:val="24"/>
          <w:rtl/>
        </w:rPr>
        <w:t>נ</w:t>
      </w:r>
      <w:r w:rsidR="00D512D4" w:rsidRPr="008654C3">
        <w:rPr>
          <w:rFonts w:ascii="Century" w:hAnsi="Century" w:cs="Miriam"/>
          <w:b/>
          <w:spacing w:val="0"/>
          <w:sz w:val="22"/>
          <w:szCs w:val="24"/>
          <w:rtl/>
        </w:rPr>
        <w:t xml:space="preserve">' </w:t>
      </w:r>
      <w:r w:rsidR="00D512D4" w:rsidRPr="008654C3">
        <w:rPr>
          <w:rFonts w:ascii="Century" w:hAnsi="Century" w:cs="Miriam" w:hint="eastAsia"/>
          <w:b/>
          <w:spacing w:val="0"/>
          <w:sz w:val="22"/>
          <w:szCs w:val="24"/>
          <w:rtl/>
        </w:rPr>
        <w:t>הרמטכ</w:t>
      </w:r>
      <w:r w:rsidR="00D512D4" w:rsidRPr="008654C3">
        <w:rPr>
          <w:rFonts w:ascii="Century" w:hAnsi="Century" w:cs="Miriam"/>
          <w:b/>
          <w:spacing w:val="0"/>
          <w:sz w:val="22"/>
          <w:szCs w:val="24"/>
          <w:rtl/>
        </w:rPr>
        <w:t>"</w:t>
      </w:r>
      <w:r w:rsidR="00D512D4" w:rsidRPr="008654C3">
        <w:rPr>
          <w:rFonts w:ascii="Century" w:hAnsi="Century" w:cs="Miriam" w:hint="eastAsia"/>
          <w:b/>
          <w:spacing w:val="0"/>
          <w:sz w:val="22"/>
          <w:szCs w:val="24"/>
          <w:rtl/>
        </w:rPr>
        <w:t>ל</w:t>
      </w:r>
      <w:r w:rsidR="00D512D4" w:rsidRPr="008654C3">
        <w:rPr>
          <w:rFonts w:ascii="Century" w:hAnsi="Century"/>
          <w:sz w:val="22"/>
          <w:rtl/>
        </w:rPr>
        <w:t xml:space="preserve">, </w:t>
      </w:r>
      <w:r w:rsidR="00D512D4" w:rsidRPr="008654C3">
        <w:rPr>
          <w:rFonts w:ascii="Century" w:hAnsi="Century" w:hint="eastAsia"/>
          <w:sz w:val="22"/>
          <w:rtl/>
        </w:rPr>
        <w:t>פסקה</w:t>
      </w:r>
      <w:r w:rsidR="00D512D4" w:rsidRPr="008654C3">
        <w:rPr>
          <w:rFonts w:ascii="Century" w:hAnsi="Century"/>
          <w:sz w:val="22"/>
          <w:rtl/>
        </w:rPr>
        <w:t xml:space="preserve"> 51 (24.5.2018) (</w:t>
      </w:r>
      <w:r w:rsidR="00D512D4" w:rsidRPr="008654C3">
        <w:rPr>
          <w:rFonts w:ascii="Century" w:hAnsi="Century" w:hint="eastAsia"/>
          <w:sz w:val="22"/>
          <w:rtl/>
        </w:rPr>
        <w:t>להלן</w:t>
      </w:r>
      <w:r w:rsidR="00D512D4" w:rsidRPr="008654C3">
        <w:rPr>
          <w:rFonts w:ascii="Century" w:hAnsi="Century" w:hint="cs"/>
          <w:sz w:val="22"/>
          <w:rtl/>
        </w:rPr>
        <w:t>:</w:t>
      </w:r>
      <w:r w:rsidR="00D512D4" w:rsidRPr="008654C3">
        <w:rPr>
          <w:rFonts w:ascii="Century" w:hAnsi="Century"/>
          <w:sz w:val="22"/>
          <w:rtl/>
        </w:rPr>
        <w:t xml:space="preserve"> </w:t>
      </w:r>
      <w:r w:rsidR="00D512D4" w:rsidRPr="008654C3">
        <w:rPr>
          <w:rFonts w:ascii="Century" w:hAnsi="Century" w:cs="Miriam" w:hint="eastAsia"/>
          <w:b/>
          <w:spacing w:val="0"/>
          <w:sz w:val="22"/>
          <w:szCs w:val="24"/>
          <w:rtl/>
        </w:rPr>
        <w:t>עניין</w:t>
      </w:r>
      <w:r w:rsidR="00D512D4" w:rsidRPr="008654C3">
        <w:rPr>
          <w:rFonts w:ascii="Century" w:hAnsi="Century" w:cs="Miriam"/>
          <w:b/>
          <w:spacing w:val="0"/>
          <w:sz w:val="22"/>
          <w:szCs w:val="24"/>
          <w:rtl/>
        </w:rPr>
        <w:t xml:space="preserve"> </w:t>
      </w:r>
      <w:r w:rsidR="00D512D4" w:rsidRPr="008654C3">
        <w:rPr>
          <w:rFonts w:ascii="Century" w:hAnsi="Century" w:cs="Miriam" w:hint="eastAsia"/>
          <w:b/>
          <w:spacing w:val="0"/>
          <w:sz w:val="22"/>
          <w:szCs w:val="24"/>
          <w:rtl/>
        </w:rPr>
        <w:t>יש</w:t>
      </w:r>
      <w:r w:rsidR="00D512D4" w:rsidRPr="008654C3">
        <w:rPr>
          <w:rFonts w:ascii="Century" w:hAnsi="Century" w:cs="Miriam"/>
          <w:b/>
          <w:spacing w:val="0"/>
          <w:sz w:val="22"/>
          <w:szCs w:val="24"/>
          <w:rtl/>
        </w:rPr>
        <w:t xml:space="preserve"> </w:t>
      </w:r>
      <w:r w:rsidR="00D512D4" w:rsidRPr="008654C3">
        <w:rPr>
          <w:rFonts w:ascii="Century" w:hAnsi="Century" w:cs="Miriam" w:hint="eastAsia"/>
          <w:b/>
          <w:spacing w:val="0"/>
          <w:sz w:val="22"/>
          <w:szCs w:val="24"/>
          <w:rtl/>
        </w:rPr>
        <w:t>דין</w:t>
      </w:r>
      <w:r w:rsidR="00D512D4" w:rsidRPr="008654C3">
        <w:rPr>
          <w:rFonts w:ascii="Century" w:hAnsi="Century"/>
          <w:sz w:val="22"/>
          <w:rtl/>
        </w:rPr>
        <w:t xml:space="preserve">); </w:t>
      </w:r>
      <w:r w:rsidR="00D512D4" w:rsidRPr="008654C3">
        <w:rPr>
          <w:rFonts w:ascii="Century" w:hAnsi="Century" w:hint="eastAsia"/>
          <w:sz w:val="22"/>
          <w:rtl/>
        </w:rPr>
        <w:t>לסקירה</w:t>
      </w:r>
      <w:r w:rsidR="00D512D4" w:rsidRPr="008654C3">
        <w:rPr>
          <w:rFonts w:ascii="Century" w:hAnsi="Century"/>
          <w:sz w:val="22"/>
          <w:rtl/>
        </w:rPr>
        <w:t xml:space="preserve"> מקיפה, ראו: רועי שיינדורף וערן שמיר-בורר, "(היעדר) התחולה של דיני התפיסה הלוחמתית באשר לרצועת עזה</w:t>
      </w:r>
      <w:r w:rsidR="00D512D4" w:rsidRPr="008654C3">
        <w:rPr>
          <w:rFonts w:ascii="Century" w:hAnsi="Century" w:hint="cs"/>
          <w:sz w:val="22"/>
          <w:rtl/>
        </w:rPr>
        <w:t>"</w:t>
      </w:r>
      <w:r w:rsidR="00D512D4" w:rsidRPr="008654C3">
        <w:rPr>
          <w:rFonts w:ascii="Century" w:hAnsi="Century"/>
          <w:sz w:val="22"/>
          <w:rtl/>
        </w:rPr>
        <w:t xml:space="preserve">, </w:t>
      </w:r>
      <w:r w:rsidR="00D512D4" w:rsidRPr="008654C3">
        <w:rPr>
          <w:rFonts w:ascii="Century" w:hAnsi="Century" w:cs="Miriam" w:hint="eastAsia"/>
          <w:b/>
          <w:spacing w:val="0"/>
          <w:sz w:val="22"/>
          <w:szCs w:val="24"/>
          <w:rtl/>
        </w:rPr>
        <w:t>עיוני</w:t>
      </w:r>
      <w:r w:rsidR="00D512D4" w:rsidRPr="008654C3">
        <w:rPr>
          <w:rFonts w:ascii="Century" w:hAnsi="Century" w:cs="Miriam"/>
          <w:b/>
          <w:spacing w:val="0"/>
          <w:sz w:val="22"/>
          <w:szCs w:val="24"/>
          <w:rtl/>
        </w:rPr>
        <w:t xml:space="preserve"> </w:t>
      </w:r>
      <w:r w:rsidR="00D512D4" w:rsidRPr="008654C3">
        <w:rPr>
          <w:rFonts w:ascii="Century" w:hAnsi="Century" w:cs="Miriam" w:hint="eastAsia"/>
          <w:b/>
          <w:spacing w:val="0"/>
          <w:sz w:val="22"/>
          <w:szCs w:val="24"/>
          <w:rtl/>
        </w:rPr>
        <w:t>משפט</w:t>
      </w:r>
      <w:r w:rsidR="00D512D4" w:rsidRPr="008654C3">
        <w:rPr>
          <w:rFonts w:ascii="Century" w:hAnsi="Century"/>
          <w:sz w:val="22"/>
          <w:rtl/>
        </w:rPr>
        <w:t xml:space="preserve"> </w:t>
      </w:r>
      <w:r w:rsidR="00D512D4" w:rsidRPr="008654C3">
        <w:rPr>
          <w:rFonts w:ascii="Century" w:hAnsi="Century" w:hint="eastAsia"/>
          <w:sz w:val="22"/>
          <w:rtl/>
        </w:rPr>
        <w:t>מג</w:t>
      </w:r>
      <w:r w:rsidR="00D512D4" w:rsidRPr="008654C3">
        <w:rPr>
          <w:rFonts w:ascii="Century" w:hAnsi="Century"/>
          <w:sz w:val="22"/>
          <w:rtl/>
        </w:rPr>
        <w:t>, 403 (2020) (להלן</w:t>
      </w:r>
      <w:r w:rsidR="00D512D4" w:rsidRPr="008654C3">
        <w:rPr>
          <w:rFonts w:ascii="Century" w:hAnsi="Century" w:hint="cs"/>
          <w:sz w:val="22"/>
          <w:rtl/>
        </w:rPr>
        <w:t>:</w:t>
      </w:r>
      <w:r w:rsidR="00D512D4" w:rsidRPr="008654C3">
        <w:rPr>
          <w:rFonts w:ascii="Century" w:hAnsi="Century"/>
          <w:sz w:val="22"/>
          <w:rtl/>
        </w:rPr>
        <w:t xml:space="preserve"> </w:t>
      </w:r>
      <w:r w:rsidR="00D512D4" w:rsidRPr="008654C3">
        <w:rPr>
          <w:rFonts w:ascii="Century" w:hAnsi="Century" w:cs="Miriam" w:hint="eastAsia"/>
          <w:b/>
          <w:spacing w:val="0"/>
          <w:sz w:val="22"/>
          <w:szCs w:val="24"/>
          <w:rtl/>
        </w:rPr>
        <w:t>שיינדורף</w:t>
      </w:r>
      <w:r w:rsidR="00D512D4" w:rsidRPr="008654C3">
        <w:rPr>
          <w:rFonts w:ascii="Century" w:hAnsi="Century" w:cs="Miriam"/>
          <w:b/>
          <w:spacing w:val="0"/>
          <w:sz w:val="22"/>
          <w:szCs w:val="24"/>
          <w:rtl/>
        </w:rPr>
        <w:t xml:space="preserve"> </w:t>
      </w:r>
      <w:r w:rsidR="00D512D4" w:rsidRPr="008654C3">
        <w:rPr>
          <w:rFonts w:ascii="Century" w:hAnsi="Century" w:cs="Miriam" w:hint="eastAsia"/>
          <w:b/>
          <w:spacing w:val="0"/>
          <w:sz w:val="22"/>
          <w:szCs w:val="24"/>
          <w:rtl/>
        </w:rPr>
        <w:t>ושמיר</w:t>
      </w:r>
      <w:r w:rsidR="00D512D4" w:rsidRPr="008654C3">
        <w:rPr>
          <w:rFonts w:ascii="Century" w:hAnsi="Century" w:cs="Miriam"/>
          <w:b/>
          <w:spacing w:val="0"/>
          <w:sz w:val="22"/>
          <w:szCs w:val="24"/>
          <w:rtl/>
        </w:rPr>
        <w:t>-</w:t>
      </w:r>
      <w:r w:rsidR="00D512D4" w:rsidRPr="008654C3">
        <w:rPr>
          <w:rFonts w:ascii="Century" w:hAnsi="Century" w:cs="Miriam" w:hint="eastAsia"/>
          <w:b/>
          <w:spacing w:val="0"/>
          <w:sz w:val="22"/>
          <w:szCs w:val="24"/>
          <w:rtl/>
        </w:rPr>
        <w:t>בורר</w:t>
      </w:r>
      <w:r w:rsidR="00D512D4" w:rsidRPr="008654C3">
        <w:rPr>
          <w:rFonts w:ascii="Century" w:hAnsi="Century"/>
          <w:sz w:val="22"/>
          <w:rtl/>
        </w:rPr>
        <w:t>)).</w:t>
      </w:r>
      <w:r w:rsidR="00D512D4" w:rsidRPr="008654C3">
        <w:rPr>
          <w:rFonts w:ascii="Century" w:hAnsi="Century" w:cs="Miriam"/>
          <w:b/>
          <w:spacing w:val="0"/>
          <w:szCs w:val="24"/>
          <w:rtl/>
        </w:rPr>
        <w:br/>
      </w:r>
    </w:p>
    <w:p w:rsidR="00D512D4" w:rsidRDefault="00D512D4" w:rsidP="008E185E">
      <w:pPr>
        <w:pStyle w:val="Ruller4"/>
        <w:rPr>
          <w:rtl/>
        </w:rPr>
      </w:pPr>
      <w:r>
        <w:rPr>
          <w:rFonts w:hint="cs"/>
          <w:rtl/>
        </w:rPr>
        <w:lastRenderedPageBreak/>
        <w:t xml:space="preserve">במהלך חודש יוני 2007, מספר חודשים </w:t>
      </w:r>
      <w:r w:rsidRPr="009651EA">
        <w:rPr>
          <w:rFonts w:ascii="Century" w:hAnsi="Century" w:cs="Miriam" w:hint="cs"/>
          <w:b/>
          <w:spacing w:val="0"/>
          <w:sz w:val="22"/>
          <w:szCs w:val="24"/>
          <w:rtl/>
        </w:rPr>
        <w:t>לאחר</w:t>
      </w:r>
      <w:r w:rsidRPr="009651EA">
        <w:rPr>
          <w:rFonts w:hint="cs"/>
          <w:rtl/>
        </w:rPr>
        <w:t xml:space="preserve"> </w:t>
      </w:r>
      <w:r>
        <w:rPr>
          <w:rFonts w:hint="cs"/>
          <w:rtl/>
        </w:rPr>
        <w:t xml:space="preserve">שניתן פסק-הדין בעניין </w:t>
      </w:r>
      <w:r w:rsidRPr="009651EA">
        <w:rPr>
          <w:rFonts w:ascii="Century" w:hAnsi="Century" w:cs="Miriam" w:hint="cs"/>
          <w:b/>
          <w:spacing w:val="0"/>
          <w:sz w:val="22"/>
          <w:szCs w:val="24"/>
          <w:rtl/>
        </w:rPr>
        <w:t>עדאלה</w:t>
      </w:r>
      <w:r>
        <w:rPr>
          <w:rFonts w:hint="cs"/>
          <w:rtl/>
        </w:rPr>
        <w:t xml:space="preserve">, השתלט ארגון הטרור חמאס, השתלטות אלימה, על רצועת עזה. בעקבות זאת, נתגברו פעולות הטרור העוינות נגד ישראל ואזרחיה; כמעט דבר יום ביומו. ירי תלול-מסלול של טילים ופצצות מרגמה, פיגועים וניסיונות פיגועים במעברי הגבול, לאורך גדר המערכת, ואף בתוככי ישראל; כל אלו ועוד, הפכו להיות נחלתם של אזרחי ישראל, ובפרט של תושבי 'עוטף עזה'. מציאות קשה ועגומה זו, הביאה את ועדת השרים לענייני ביטחון לאומי, ביום 19.9.2007, להכריז על רצועת עזה </w:t>
      </w:r>
      <w:r w:rsidRPr="00F82DBF">
        <w:rPr>
          <w:rFonts w:ascii="Century" w:hAnsi="Century" w:hint="eastAsia"/>
          <w:sz w:val="22"/>
          <w:rtl/>
        </w:rPr>
        <w:t>כעל</w:t>
      </w:r>
      <w:r w:rsidRPr="00536A80">
        <w:rPr>
          <w:rFonts w:ascii="Century" w:hAnsi="Century" w:cs="Miriam"/>
          <w:b/>
          <w:spacing w:val="0"/>
          <w:sz w:val="22"/>
          <w:szCs w:val="24"/>
          <w:rtl/>
        </w:rPr>
        <w:t xml:space="preserve"> </w:t>
      </w:r>
      <w:r w:rsidRPr="00C73820">
        <w:rPr>
          <w:rFonts w:ascii="Century" w:hAnsi="Century" w:cs="Miriam" w:hint="cs"/>
          <w:b/>
          <w:spacing w:val="0"/>
          <w:sz w:val="22"/>
          <w:szCs w:val="24"/>
          <w:rtl/>
        </w:rPr>
        <w:t>שטח עוין</w:t>
      </w:r>
      <w:r>
        <w:rPr>
          <w:rFonts w:hint="cs"/>
          <w:rtl/>
        </w:rPr>
        <w:t xml:space="preserve"> (החלטה ב/34 של ועדת השרים לענייני ביטחון לאומי </w:t>
      </w:r>
      <w:r w:rsidRPr="00F82DBF">
        <w:rPr>
          <w:rFonts w:ascii="Century" w:hAnsi="Century" w:cs="Miriam"/>
          <w:b/>
          <w:spacing w:val="0"/>
          <w:sz w:val="22"/>
          <w:szCs w:val="24"/>
          <w:rtl/>
        </w:rPr>
        <w:t>"</w:t>
      </w:r>
      <w:r w:rsidRPr="00F82DBF">
        <w:rPr>
          <w:rFonts w:ascii="Century" w:hAnsi="Century" w:cs="Miriam" w:hint="eastAsia"/>
          <w:b/>
          <w:spacing w:val="0"/>
          <w:sz w:val="22"/>
          <w:szCs w:val="24"/>
          <w:rtl/>
        </w:rPr>
        <w:t>מדיניות</w:t>
      </w:r>
      <w:r w:rsidRPr="00F82DBF">
        <w:rPr>
          <w:rFonts w:ascii="Century" w:hAnsi="Century" w:cs="Miriam"/>
          <w:b/>
          <w:spacing w:val="0"/>
          <w:sz w:val="22"/>
          <w:szCs w:val="24"/>
          <w:rtl/>
        </w:rPr>
        <w:t xml:space="preserve"> </w:t>
      </w:r>
      <w:r w:rsidRPr="00F82DBF">
        <w:rPr>
          <w:rFonts w:ascii="Century" w:hAnsi="Century" w:cs="Miriam" w:hint="eastAsia"/>
          <w:b/>
          <w:spacing w:val="0"/>
          <w:sz w:val="22"/>
          <w:szCs w:val="24"/>
          <w:rtl/>
        </w:rPr>
        <w:t>ישראל</w:t>
      </w:r>
      <w:r w:rsidRPr="00F82DBF">
        <w:rPr>
          <w:rFonts w:ascii="Century" w:hAnsi="Century" w:cs="Miriam"/>
          <w:b/>
          <w:spacing w:val="0"/>
          <w:sz w:val="22"/>
          <w:szCs w:val="24"/>
          <w:rtl/>
        </w:rPr>
        <w:t xml:space="preserve"> </w:t>
      </w:r>
      <w:r w:rsidRPr="00F82DBF">
        <w:rPr>
          <w:rFonts w:ascii="Century" w:hAnsi="Century" w:cs="Miriam" w:hint="eastAsia"/>
          <w:b/>
          <w:spacing w:val="0"/>
          <w:sz w:val="22"/>
          <w:szCs w:val="24"/>
          <w:rtl/>
        </w:rPr>
        <w:t>מול</w:t>
      </w:r>
      <w:r w:rsidRPr="00F82DBF">
        <w:rPr>
          <w:rFonts w:ascii="Century" w:hAnsi="Century" w:cs="Miriam"/>
          <w:b/>
          <w:spacing w:val="0"/>
          <w:sz w:val="22"/>
          <w:szCs w:val="24"/>
          <w:rtl/>
        </w:rPr>
        <w:t xml:space="preserve"> </w:t>
      </w:r>
      <w:r w:rsidRPr="00F82DBF">
        <w:rPr>
          <w:rFonts w:ascii="Century" w:hAnsi="Century" w:cs="Miriam" w:hint="eastAsia"/>
          <w:b/>
          <w:spacing w:val="0"/>
          <w:sz w:val="22"/>
          <w:szCs w:val="24"/>
          <w:rtl/>
        </w:rPr>
        <w:t>עזה</w:t>
      </w:r>
      <w:r w:rsidRPr="00F82DBF">
        <w:rPr>
          <w:rFonts w:ascii="Century" w:hAnsi="Century" w:cs="Miriam"/>
          <w:b/>
          <w:spacing w:val="0"/>
          <w:sz w:val="22"/>
          <w:szCs w:val="24"/>
          <w:rtl/>
        </w:rPr>
        <w:t xml:space="preserve"> (</w:t>
      </w:r>
      <w:r w:rsidRPr="00F82DBF">
        <w:rPr>
          <w:rFonts w:ascii="Century" w:hAnsi="Century" w:cs="Miriam" w:hint="eastAsia"/>
          <w:b/>
          <w:spacing w:val="0"/>
          <w:sz w:val="22"/>
          <w:szCs w:val="24"/>
          <w:rtl/>
        </w:rPr>
        <w:t>צבאי</w:t>
      </w:r>
      <w:r w:rsidRPr="00F82DBF">
        <w:rPr>
          <w:rFonts w:ascii="Century" w:hAnsi="Century" w:cs="Miriam"/>
          <w:b/>
          <w:spacing w:val="0"/>
          <w:sz w:val="22"/>
          <w:szCs w:val="24"/>
          <w:rtl/>
        </w:rPr>
        <w:t xml:space="preserve"> </w:t>
      </w:r>
      <w:r w:rsidRPr="00F82DBF">
        <w:rPr>
          <w:rFonts w:ascii="Century" w:hAnsi="Century" w:cs="Miriam" w:hint="eastAsia"/>
          <w:b/>
          <w:spacing w:val="0"/>
          <w:sz w:val="22"/>
          <w:szCs w:val="24"/>
          <w:rtl/>
        </w:rPr>
        <w:t>ואזרחי</w:t>
      </w:r>
      <w:r w:rsidRPr="00F82DBF">
        <w:rPr>
          <w:rFonts w:ascii="Century" w:hAnsi="Century" w:cs="Miriam"/>
          <w:b/>
          <w:spacing w:val="0"/>
          <w:sz w:val="22"/>
          <w:szCs w:val="24"/>
          <w:rtl/>
        </w:rPr>
        <w:t>)"</w:t>
      </w:r>
      <w:r>
        <w:rPr>
          <w:rFonts w:hint="cs"/>
          <w:rtl/>
        </w:rPr>
        <w:t xml:space="preserve">). בעקבות פעולות הטרור, נאלצה ישראל במשך השנים, לנהל כמה מערכות צבאיות, רחבות-היקף וממושכות, ברצועת עזה. כך, בדצמבר 2008, לאחר ירי מאסיבי של רקטות משטחי הרצועה, פתחה ישראל במבצע 'עופרת יצוקה', שבמהלכו נכנסו חיילי צה"ל </w:t>
      </w:r>
      <w:r w:rsidR="00786F8C">
        <w:rPr>
          <w:rFonts w:hint="cs"/>
          <w:rtl/>
        </w:rPr>
        <w:t xml:space="preserve">כניסה </w:t>
      </w:r>
      <w:r>
        <w:rPr>
          <w:rFonts w:hint="cs"/>
          <w:rtl/>
        </w:rPr>
        <w:t>קרקעי</w:t>
      </w:r>
      <w:r w:rsidR="00786F8C">
        <w:rPr>
          <w:rFonts w:hint="cs"/>
          <w:rtl/>
        </w:rPr>
        <w:t>ת</w:t>
      </w:r>
      <w:r>
        <w:rPr>
          <w:rFonts w:hint="cs"/>
          <w:rtl/>
        </w:rPr>
        <w:t xml:space="preserve"> לרצועה. כמו כן, במהלך חודש נובמבר 2012, לאחר ירי של למעלה מ-900 רקטות באותה שנה, פתחה ישראל במבצע 'עמוד ענן', שהתאפיין בעיקרו בהתקפות אוויריות על שטח הרצועה. בשנת 2014 התסריט חזר על עצמו, ובחודש יולי 2014, לאחר ירי של כ-4,500 רקטות ופגזי מרגמה אל עבר ישובי ישראל, החל מבצע אווירי וקרקעי ברצועת עזה, הוא מבצע 'צוק איתן'. </w:t>
      </w:r>
    </w:p>
    <w:p w:rsidR="00D512D4" w:rsidRPr="009651EA" w:rsidRDefault="00D512D4" w:rsidP="000B6AE3">
      <w:pPr>
        <w:pStyle w:val="Ruller41"/>
        <w:spacing w:line="240" w:lineRule="auto"/>
      </w:pPr>
    </w:p>
    <w:p w:rsidR="00D512D4" w:rsidRDefault="00D512D4" w:rsidP="00154174">
      <w:pPr>
        <w:pStyle w:val="Ruller4"/>
        <w:rPr>
          <w:rtl/>
        </w:rPr>
      </w:pPr>
      <w:r>
        <w:rPr>
          <w:rFonts w:hint="cs"/>
          <w:rtl/>
        </w:rPr>
        <w:t xml:space="preserve">בשנים שלאחר מבצע 'צוק איתן', </w:t>
      </w:r>
      <w:r w:rsidR="008E185E">
        <w:rPr>
          <w:rFonts w:hint="cs"/>
          <w:rtl/>
        </w:rPr>
        <w:t xml:space="preserve">לא פסק </w:t>
      </w:r>
      <w:r>
        <w:rPr>
          <w:rFonts w:hint="cs"/>
          <w:rtl/>
        </w:rPr>
        <w:t xml:space="preserve">הירי מכיוון הרצועה; רוחות המלחמה הוסיפו לנשב, ואף הלכו והתגברו מזמן לזמן. כך, הגם שחלה </w:t>
      </w:r>
      <w:r w:rsidR="00F14895">
        <w:rPr>
          <w:rFonts w:hint="cs"/>
          <w:rtl/>
        </w:rPr>
        <w:t xml:space="preserve">הפחתה </w:t>
      </w:r>
      <w:r>
        <w:rPr>
          <w:rFonts w:hint="cs"/>
          <w:rtl/>
        </w:rPr>
        <w:t xml:space="preserve">מסוימת בירי הרקטות לעבר ישראל בשנים שלאחר מבצע 'צוק איתן', ניתן לראות כי מאז שנת 2018 </w:t>
      </w:r>
      <w:r w:rsidR="0018333E">
        <w:rPr>
          <w:rFonts w:hint="cs"/>
          <w:rtl/>
        </w:rPr>
        <w:t>ואילך, גבר הירי במאוד מאוד, ו</w:t>
      </w:r>
      <w:r>
        <w:rPr>
          <w:rFonts w:hint="cs"/>
          <w:rtl/>
        </w:rPr>
        <w:t>ת</w:t>
      </w:r>
      <w:r w:rsidR="0018333E">
        <w:rPr>
          <w:rFonts w:hint="cs"/>
          <w:rtl/>
        </w:rPr>
        <w:t xml:space="preserve">ימלא הארץ </w:t>
      </w:r>
      <w:r>
        <w:rPr>
          <w:rFonts w:hint="cs"/>
          <w:rtl/>
        </w:rPr>
        <w:t>פעולות טרור. כך, בשנת 2018 לבדה, שוגרו כ-1,200 רקטות ופצצות מר</w:t>
      </w:r>
      <w:r w:rsidR="0018333E">
        <w:rPr>
          <w:rFonts w:hint="cs"/>
          <w:rtl/>
        </w:rPr>
        <w:t>ג</w:t>
      </w:r>
      <w:r>
        <w:rPr>
          <w:rFonts w:hint="cs"/>
          <w:rtl/>
        </w:rPr>
        <w:t>מה לעבר ישראל; מספר גבוה אף יותר של שיגורים בוצעו בשנת 2019. בחודש מאי 2021, על רקע ירי רקטות מאסיבי נוסף לעבר ישובים שונים בישראל,</w:t>
      </w:r>
      <w:r w:rsidRPr="00FB09C7">
        <w:rPr>
          <w:rFonts w:hint="cs"/>
          <w:rtl/>
        </w:rPr>
        <w:t xml:space="preserve"> </w:t>
      </w:r>
      <w:r>
        <w:rPr>
          <w:rFonts w:hint="cs"/>
          <w:rtl/>
        </w:rPr>
        <w:t xml:space="preserve">פתחה ישראל במבצע 'שומר החומות', שבמסגרתו שוגרו מרצועת עזה אלפי רקטות לעבר מדינת ישראל, כאשר </w:t>
      </w:r>
      <w:r w:rsidR="00F14895">
        <w:rPr>
          <w:rFonts w:hint="cs"/>
          <w:rtl/>
        </w:rPr>
        <w:t xml:space="preserve">המדינה, </w:t>
      </w:r>
      <w:r>
        <w:rPr>
          <w:rFonts w:hint="cs"/>
          <w:rtl/>
        </w:rPr>
        <w:t xml:space="preserve">מצדה, תקפה אלפי מטרות של ארגון הטרור חמאס ברצועה. לצד כל זאת נזכיר, כי במהלך שנות הסכסוך, מתמודדת ישראל </w:t>
      </w:r>
      <w:r>
        <w:rPr>
          <w:rFonts w:hint="cs"/>
          <w:rtl/>
        </w:rPr>
        <w:lastRenderedPageBreak/>
        <w:t>גם עם אירועים אלימים המוניים לאורך המכשול הביטחוני שבינה לבין שטח עזה,</w:t>
      </w:r>
      <w:r w:rsidRPr="004D4330">
        <w:rPr>
          <w:rFonts w:hint="cs"/>
          <w:rtl/>
        </w:rPr>
        <w:t xml:space="preserve"> </w:t>
      </w:r>
      <w:r>
        <w:rPr>
          <w:rFonts w:hint="cs"/>
          <w:rtl/>
        </w:rPr>
        <w:t xml:space="preserve">בעידודו ובניצוחו של החמאס (ראו: עניין </w:t>
      </w:r>
      <w:r w:rsidRPr="00AC3F38">
        <w:rPr>
          <w:rFonts w:ascii="Century" w:hAnsi="Century" w:cs="Miriam" w:hint="cs"/>
          <w:b/>
          <w:spacing w:val="0"/>
          <w:sz w:val="22"/>
          <w:szCs w:val="24"/>
          <w:rtl/>
        </w:rPr>
        <w:t>יש דין</w:t>
      </w:r>
      <w:r>
        <w:rPr>
          <w:rFonts w:hint="cs"/>
          <w:rtl/>
        </w:rPr>
        <w:t>).</w:t>
      </w:r>
    </w:p>
    <w:p w:rsidR="00D512D4" w:rsidRPr="00582796" w:rsidRDefault="00D512D4" w:rsidP="000B6AE3">
      <w:pPr>
        <w:pStyle w:val="Ruller41"/>
        <w:spacing w:line="240" w:lineRule="auto"/>
      </w:pPr>
    </w:p>
    <w:p w:rsidR="00D512D4" w:rsidRDefault="00D512D4" w:rsidP="00D512D4">
      <w:pPr>
        <w:pStyle w:val="Ruller4"/>
      </w:pPr>
      <w:r>
        <w:rPr>
          <w:rFonts w:hint="cs"/>
          <w:rtl/>
        </w:rPr>
        <w:t xml:space="preserve">המציאות העגומה השוררת בין ישראל לעזה, הניעה את המחוקק לפעולה. כאמור, מאז ביטול סעיף 5ג לחוק בעניין </w:t>
      </w:r>
      <w:r w:rsidRPr="00B13771">
        <w:rPr>
          <w:rFonts w:ascii="Century" w:hAnsi="Century" w:cs="Miriam" w:hint="cs"/>
          <w:b/>
          <w:spacing w:val="0"/>
          <w:sz w:val="22"/>
          <w:szCs w:val="24"/>
          <w:rtl/>
        </w:rPr>
        <w:t>עדאלה</w:t>
      </w:r>
      <w:r>
        <w:rPr>
          <w:rFonts w:hint="cs"/>
          <w:rtl/>
        </w:rPr>
        <w:t xml:space="preserve">, והסרת החסינות הנובעת ממנו, היתה המדינה חשופה לתביעות מצד תושבי רצועת עזה, אגב פעולות שביצעה שם, במסגרת העימות המזוין והמתמשך מול חמאס. המחוקק פעל אפוא לתיקון מצב דברים זה, שדעתו לא היתה נוחה הימנו. בהתאם, ביום 16.7.2012, התקבל בכנסת חוק הנזיקים האזרחיים (אחריות המדינה) (תיקון מספר 8), התשע"ב-2012. תיקון זה, הוא העומד במוקד הערעור דנן. במסגרת התיקון האמור, המבוסס על הצעת חוק שעלתה במחשבה עוד בשנת 2008, תוקן החוק בכמה היבטים. כך, בין היתר, תוקנה הגדרת 'פעולה מלחמתית' (סעיף 1 לחוק); נוספה הוראה הקובעת כי על בית המשפט להכריע בטענת המדינה לחסינות מכוח 'פעולה מלחמתית', </w:t>
      </w:r>
      <w:r w:rsidRPr="00157473">
        <w:rPr>
          <w:rFonts w:ascii="Century" w:hAnsi="Century" w:cs="Miriam"/>
          <w:b/>
          <w:spacing w:val="0"/>
          <w:sz w:val="22"/>
          <w:szCs w:val="24"/>
          <w:rtl/>
        </w:rPr>
        <w:t>"</w:t>
      </w:r>
      <w:r w:rsidRPr="00157473">
        <w:rPr>
          <w:rFonts w:ascii="Century" w:hAnsi="Century" w:cs="Miriam" w:hint="eastAsia"/>
          <w:b/>
          <w:spacing w:val="0"/>
          <w:sz w:val="22"/>
          <w:szCs w:val="24"/>
          <w:rtl/>
        </w:rPr>
        <w:t>לאלתר</w:t>
      </w:r>
      <w:r w:rsidRPr="00157473">
        <w:rPr>
          <w:rFonts w:ascii="Century" w:hAnsi="Century" w:cs="Miriam"/>
          <w:b/>
          <w:spacing w:val="0"/>
          <w:sz w:val="22"/>
          <w:szCs w:val="24"/>
          <w:rtl/>
        </w:rPr>
        <w:t>"</w:t>
      </w:r>
      <w:r>
        <w:rPr>
          <w:rFonts w:hint="cs"/>
          <w:rtl/>
        </w:rPr>
        <w:t xml:space="preserve"> (סעיף 5(ב) לחוק); ראו גם, מהעת האחרונה: </w:t>
      </w:r>
      <w:r w:rsidRPr="0098449F">
        <w:rPr>
          <w:rFonts w:hint="eastAsia"/>
          <w:rtl/>
        </w:rPr>
        <w:t>רע</w:t>
      </w:r>
      <w:r w:rsidRPr="0098449F">
        <w:rPr>
          <w:rtl/>
        </w:rPr>
        <w:t>"</w:t>
      </w:r>
      <w:r w:rsidRPr="0098449F">
        <w:rPr>
          <w:rFonts w:hint="eastAsia"/>
          <w:rtl/>
        </w:rPr>
        <w:t>א</w:t>
      </w:r>
      <w:r w:rsidRPr="0098449F">
        <w:rPr>
          <w:rtl/>
        </w:rPr>
        <w:t xml:space="preserve"> 3065</w:t>
      </w:r>
      <w:r>
        <w:rPr>
          <w:rFonts w:hint="cs"/>
          <w:rtl/>
        </w:rPr>
        <w:t>/</w:t>
      </w:r>
      <w:r w:rsidRPr="0098449F">
        <w:rPr>
          <w:rtl/>
        </w:rPr>
        <w:t xml:space="preserve">21 </w:t>
      </w:r>
      <w:r w:rsidRPr="00B13771">
        <w:rPr>
          <w:rFonts w:ascii="Century" w:hAnsi="Century" w:cs="Miriam" w:hint="eastAsia"/>
          <w:b/>
          <w:spacing w:val="0"/>
          <w:sz w:val="22"/>
          <w:szCs w:val="24"/>
          <w:rtl/>
        </w:rPr>
        <w:t>מדינת</w:t>
      </w:r>
      <w:r w:rsidRPr="00B13771">
        <w:rPr>
          <w:rFonts w:ascii="Century" w:hAnsi="Century" w:cs="Miriam"/>
          <w:b/>
          <w:spacing w:val="0"/>
          <w:sz w:val="22"/>
          <w:szCs w:val="24"/>
          <w:rtl/>
        </w:rPr>
        <w:t xml:space="preserve"> </w:t>
      </w:r>
      <w:r w:rsidRPr="00B13771">
        <w:rPr>
          <w:rFonts w:ascii="Century" w:hAnsi="Century" w:cs="Miriam" w:hint="eastAsia"/>
          <w:b/>
          <w:spacing w:val="0"/>
          <w:sz w:val="22"/>
          <w:szCs w:val="24"/>
          <w:rtl/>
        </w:rPr>
        <w:t>ישראל</w:t>
      </w:r>
      <w:r w:rsidRPr="00B13771">
        <w:rPr>
          <w:rFonts w:ascii="Century" w:hAnsi="Century" w:cs="Miriam"/>
          <w:b/>
          <w:spacing w:val="0"/>
          <w:sz w:val="22"/>
          <w:szCs w:val="24"/>
          <w:rtl/>
        </w:rPr>
        <w:t xml:space="preserve"> </w:t>
      </w:r>
      <w:r w:rsidRPr="00B13771">
        <w:rPr>
          <w:rFonts w:ascii="Century" w:hAnsi="Century" w:cs="Miriam" w:hint="eastAsia"/>
          <w:b/>
          <w:spacing w:val="0"/>
          <w:sz w:val="22"/>
          <w:szCs w:val="24"/>
          <w:rtl/>
        </w:rPr>
        <w:t>נ</w:t>
      </w:r>
      <w:r w:rsidRPr="00B13771">
        <w:rPr>
          <w:rFonts w:ascii="Century" w:hAnsi="Century" w:cs="Miriam"/>
          <w:b/>
          <w:spacing w:val="0"/>
          <w:sz w:val="22"/>
          <w:szCs w:val="24"/>
          <w:rtl/>
        </w:rPr>
        <w:t xml:space="preserve">' </w:t>
      </w:r>
      <w:r w:rsidRPr="00B13771">
        <w:rPr>
          <w:rFonts w:ascii="Century" w:hAnsi="Century" w:cs="Miriam" w:hint="eastAsia"/>
          <w:b/>
          <w:spacing w:val="0"/>
          <w:sz w:val="22"/>
          <w:szCs w:val="24"/>
          <w:rtl/>
        </w:rPr>
        <w:t>שואמרה</w:t>
      </w:r>
      <w:r>
        <w:rPr>
          <w:rFonts w:hint="cs"/>
          <w:rtl/>
        </w:rPr>
        <w:t xml:space="preserve"> (9.8.2021) (להלן: </w:t>
      </w:r>
      <w:r w:rsidRPr="00F63A8E">
        <w:rPr>
          <w:rFonts w:ascii="Century" w:hAnsi="Century" w:cs="Miriam" w:hint="cs"/>
          <w:b/>
          <w:spacing w:val="0"/>
          <w:sz w:val="22"/>
          <w:szCs w:val="24"/>
          <w:rtl/>
        </w:rPr>
        <w:t xml:space="preserve">עניין </w:t>
      </w:r>
      <w:r>
        <w:rPr>
          <w:rFonts w:ascii="Century" w:hAnsi="Century" w:cs="Miriam" w:hint="cs"/>
          <w:b/>
          <w:spacing w:val="0"/>
          <w:sz w:val="22"/>
          <w:szCs w:val="24"/>
          <w:rtl/>
        </w:rPr>
        <w:t>שוא</w:t>
      </w:r>
      <w:r w:rsidRPr="00F63A8E">
        <w:rPr>
          <w:rFonts w:ascii="Century" w:hAnsi="Century" w:cs="Miriam" w:hint="cs"/>
          <w:b/>
          <w:spacing w:val="0"/>
          <w:sz w:val="22"/>
          <w:szCs w:val="24"/>
          <w:rtl/>
        </w:rPr>
        <w:t>מ</w:t>
      </w:r>
      <w:r>
        <w:rPr>
          <w:rFonts w:ascii="Century" w:hAnsi="Century" w:cs="Miriam" w:hint="cs"/>
          <w:b/>
          <w:spacing w:val="0"/>
          <w:sz w:val="22"/>
          <w:szCs w:val="24"/>
          <w:rtl/>
        </w:rPr>
        <w:t>ר</w:t>
      </w:r>
      <w:r w:rsidRPr="00F63A8E">
        <w:rPr>
          <w:rFonts w:ascii="Century" w:hAnsi="Century" w:cs="Miriam" w:hint="cs"/>
          <w:b/>
          <w:spacing w:val="0"/>
          <w:sz w:val="22"/>
          <w:szCs w:val="24"/>
          <w:rtl/>
        </w:rPr>
        <w:t>ה</w:t>
      </w:r>
      <w:r>
        <w:rPr>
          <w:rFonts w:hint="cs"/>
          <w:rtl/>
        </w:rPr>
        <w:t xml:space="preserve">)); בוטל סעיף 5ג לחוק, בהתאם להלכה שנפסקה בעניין </w:t>
      </w:r>
      <w:r w:rsidRPr="00B13771">
        <w:rPr>
          <w:rFonts w:ascii="Century" w:hAnsi="Century" w:cs="Miriam" w:hint="cs"/>
          <w:b/>
          <w:spacing w:val="0"/>
          <w:sz w:val="22"/>
          <w:szCs w:val="24"/>
          <w:rtl/>
        </w:rPr>
        <w:t>עדאלה</w:t>
      </w:r>
      <w:r>
        <w:rPr>
          <w:rFonts w:hint="cs"/>
          <w:rtl/>
        </w:rPr>
        <w:t>, ועוד. לענייננו, רלבנטי תיקון סעיף 5ב(א)(1) לחוק, שבו הורחבה חסינות המדינה לסוג נוסף של תביעות, כדלהלן:</w:t>
      </w:r>
    </w:p>
    <w:p w:rsidR="00D512D4" w:rsidRDefault="00D512D4" w:rsidP="00EF7777">
      <w:pPr>
        <w:pStyle w:val="Ruller4"/>
        <w:numPr>
          <w:ilvl w:val="0"/>
          <w:numId w:val="0"/>
        </w:numPr>
        <w:spacing w:line="240" w:lineRule="auto"/>
        <w:rPr>
          <w:rtl/>
        </w:rPr>
      </w:pPr>
      <w:r>
        <w:rPr>
          <w:rFonts w:hint="cs"/>
          <w:rtl/>
        </w:rPr>
        <w:t xml:space="preserve"> </w:t>
      </w:r>
    </w:p>
    <w:p w:rsidR="00D512D4" w:rsidRDefault="00D512D4" w:rsidP="00916DB0">
      <w:pPr>
        <w:pStyle w:val="Ruller5"/>
        <w:spacing w:line="360" w:lineRule="auto"/>
        <w:rPr>
          <w:rFonts w:ascii="Century" w:hAnsi="Century" w:cs="Miriam"/>
          <w:b/>
          <w:spacing w:val="0"/>
          <w:szCs w:val="24"/>
          <w:rtl/>
        </w:rPr>
      </w:pPr>
      <w:r>
        <w:rPr>
          <w:rFonts w:ascii="Century" w:hAnsi="Century" w:cs="Miriam" w:hint="cs"/>
          <w:b/>
          <w:spacing w:val="0"/>
          <w:szCs w:val="24"/>
          <w:rtl/>
        </w:rPr>
        <w:t xml:space="preserve">"על אף האמור בכל דין, אין המדינה אחראית בנזיקים לנזק שנגרם למי שמפורט בפסקאות (1), (2) או (3), למעט נזק שנגרם בסוגי תביעות או לסוגי תובעים כאמור בתוספת הראשונה </w:t>
      </w:r>
      <w:r w:rsidRPr="00157473">
        <w:rPr>
          <w:rFonts w:ascii="Century" w:hAnsi="Century"/>
          <w:rtl/>
        </w:rPr>
        <w:t>–</w:t>
      </w:r>
      <w:r>
        <w:rPr>
          <w:rFonts w:ascii="Century" w:hAnsi="Century" w:cs="Miriam" w:hint="cs"/>
          <w:b/>
          <w:spacing w:val="0"/>
          <w:szCs w:val="24"/>
          <w:rtl/>
        </w:rPr>
        <w:t xml:space="preserve"> </w:t>
      </w:r>
    </w:p>
    <w:p w:rsidR="00D512D4" w:rsidRPr="00F6252A" w:rsidRDefault="00D512D4" w:rsidP="00916DB0">
      <w:pPr>
        <w:pStyle w:val="Ruller5"/>
        <w:spacing w:line="360" w:lineRule="auto"/>
        <w:rPr>
          <w:rFonts w:ascii="Century" w:hAnsi="Century" w:cs="Miriam"/>
          <w:b/>
          <w:spacing w:val="0"/>
          <w:szCs w:val="24"/>
        </w:rPr>
      </w:pPr>
      <w:r w:rsidRPr="00600B0C">
        <w:rPr>
          <w:rFonts w:ascii="Century" w:hAnsi="Century" w:cs="Miriam" w:hint="cs"/>
          <w:b/>
          <w:spacing w:val="0"/>
          <w:szCs w:val="24"/>
          <w:rtl/>
        </w:rPr>
        <w:t>(1</w:t>
      </w:r>
      <w:r>
        <w:rPr>
          <w:rFonts w:ascii="Century" w:hAnsi="Century" w:cs="Miriam" w:hint="eastAsia"/>
          <w:b/>
          <w:spacing w:val="0"/>
          <w:szCs w:val="24"/>
          <w:rtl/>
        </w:rPr>
        <w:t xml:space="preserve">) </w:t>
      </w:r>
      <w:r w:rsidRPr="00F6252A">
        <w:rPr>
          <w:rFonts w:ascii="Century" w:hAnsi="Century" w:cs="Miriam" w:hint="eastAsia"/>
          <w:b/>
          <w:spacing w:val="0"/>
          <w:szCs w:val="24"/>
          <w:rtl/>
        </w:rPr>
        <w:t>נתין</w:t>
      </w:r>
      <w:r w:rsidRPr="00F6252A">
        <w:rPr>
          <w:rFonts w:ascii="Century" w:hAnsi="Century" w:cs="Miriam"/>
          <w:b/>
          <w:spacing w:val="0"/>
          <w:szCs w:val="24"/>
          <w:rtl/>
        </w:rPr>
        <w:t xml:space="preserve"> </w:t>
      </w:r>
      <w:r w:rsidRPr="00F6252A">
        <w:rPr>
          <w:rFonts w:ascii="Century" w:hAnsi="Century" w:cs="Miriam" w:hint="eastAsia"/>
          <w:b/>
          <w:spacing w:val="0"/>
          <w:szCs w:val="24"/>
          <w:rtl/>
        </w:rPr>
        <w:t>של</w:t>
      </w:r>
      <w:r w:rsidRPr="00F6252A">
        <w:rPr>
          <w:rFonts w:ascii="Century" w:hAnsi="Century" w:cs="Miriam"/>
          <w:b/>
          <w:spacing w:val="0"/>
          <w:szCs w:val="24"/>
          <w:rtl/>
        </w:rPr>
        <w:t xml:space="preserve"> </w:t>
      </w:r>
      <w:r w:rsidRPr="00F6252A">
        <w:rPr>
          <w:rFonts w:ascii="Century" w:hAnsi="Century" w:cs="Miriam" w:hint="eastAsia"/>
          <w:b/>
          <w:spacing w:val="0"/>
          <w:szCs w:val="24"/>
          <w:rtl/>
        </w:rPr>
        <w:t>מדינה</w:t>
      </w:r>
      <w:r w:rsidRPr="00F6252A">
        <w:rPr>
          <w:rFonts w:ascii="Century" w:hAnsi="Century" w:cs="Miriam"/>
          <w:b/>
          <w:spacing w:val="0"/>
          <w:szCs w:val="24"/>
          <w:rtl/>
        </w:rPr>
        <w:t xml:space="preserve"> </w:t>
      </w:r>
      <w:r w:rsidRPr="00F6252A">
        <w:rPr>
          <w:rFonts w:ascii="Century" w:hAnsi="Century" w:cs="Miriam" w:hint="eastAsia"/>
          <w:b/>
          <w:spacing w:val="0"/>
          <w:szCs w:val="24"/>
          <w:rtl/>
        </w:rPr>
        <w:t>שהיא</w:t>
      </w:r>
      <w:r w:rsidRPr="00F6252A">
        <w:rPr>
          <w:rFonts w:ascii="Century" w:hAnsi="Century" w:cs="Miriam"/>
          <w:b/>
          <w:spacing w:val="0"/>
          <w:szCs w:val="24"/>
          <w:rtl/>
        </w:rPr>
        <w:t xml:space="preserve"> </w:t>
      </w:r>
      <w:r w:rsidRPr="00F6252A">
        <w:rPr>
          <w:rFonts w:ascii="Century" w:hAnsi="Century" w:cs="Miriam" w:hint="eastAsia"/>
          <w:b/>
          <w:spacing w:val="0"/>
          <w:szCs w:val="24"/>
          <w:rtl/>
        </w:rPr>
        <w:t>אויב</w:t>
      </w:r>
      <w:r w:rsidRPr="00F6252A">
        <w:rPr>
          <w:rFonts w:ascii="Century" w:hAnsi="Century" w:cs="Miriam"/>
          <w:b/>
          <w:spacing w:val="0"/>
          <w:szCs w:val="24"/>
          <w:rtl/>
        </w:rPr>
        <w:t xml:space="preserve"> </w:t>
      </w:r>
      <w:r w:rsidRPr="00F6252A">
        <w:rPr>
          <w:rFonts w:ascii="Century" w:hAnsi="Century" w:cs="Miriam" w:hint="eastAsia"/>
          <w:b/>
          <w:spacing w:val="0"/>
          <w:szCs w:val="24"/>
          <w:u w:val="single"/>
          <w:rtl/>
        </w:rPr>
        <w:t>או</w:t>
      </w:r>
      <w:r w:rsidRPr="00F6252A">
        <w:rPr>
          <w:rFonts w:ascii="Century" w:hAnsi="Century" w:cs="Miriam"/>
          <w:b/>
          <w:spacing w:val="0"/>
          <w:szCs w:val="24"/>
          <w:u w:val="single"/>
          <w:rtl/>
        </w:rPr>
        <w:t xml:space="preserve"> </w:t>
      </w:r>
      <w:r w:rsidRPr="00F6252A">
        <w:rPr>
          <w:rFonts w:ascii="Century" w:hAnsi="Century" w:cs="Miriam" w:hint="eastAsia"/>
          <w:b/>
          <w:spacing w:val="0"/>
          <w:szCs w:val="24"/>
          <w:u w:val="single"/>
          <w:rtl/>
        </w:rPr>
        <w:t>מי</w:t>
      </w:r>
      <w:r w:rsidRPr="00F6252A">
        <w:rPr>
          <w:rFonts w:ascii="Century" w:hAnsi="Century" w:cs="Miriam"/>
          <w:b/>
          <w:spacing w:val="0"/>
          <w:szCs w:val="24"/>
          <w:u w:val="single"/>
          <w:rtl/>
        </w:rPr>
        <w:t xml:space="preserve"> </w:t>
      </w:r>
      <w:r w:rsidRPr="00F6252A">
        <w:rPr>
          <w:rFonts w:ascii="Century" w:hAnsi="Century" w:cs="Miriam" w:hint="eastAsia"/>
          <w:b/>
          <w:spacing w:val="0"/>
          <w:szCs w:val="24"/>
          <w:u w:val="single"/>
          <w:rtl/>
        </w:rPr>
        <w:t>שאינו</w:t>
      </w:r>
      <w:r w:rsidRPr="00F6252A">
        <w:rPr>
          <w:rFonts w:ascii="Century" w:hAnsi="Century" w:cs="Miriam"/>
          <w:b/>
          <w:spacing w:val="0"/>
          <w:szCs w:val="24"/>
          <w:u w:val="single"/>
          <w:rtl/>
        </w:rPr>
        <w:t xml:space="preserve"> </w:t>
      </w:r>
      <w:r w:rsidRPr="00F6252A">
        <w:rPr>
          <w:rFonts w:ascii="Century" w:hAnsi="Century" w:cs="Miriam" w:hint="eastAsia"/>
          <w:b/>
          <w:spacing w:val="0"/>
          <w:szCs w:val="24"/>
          <w:u w:val="single"/>
          <w:rtl/>
        </w:rPr>
        <w:t>אזרח</w:t>
      </w:r>
      <w:r w:rsidRPr="00F6252A">
        <w:rPr>
          <w:rFonts w:ascii="Century" w:hAnsi="Century" w:cs="Miriam"/>
          <w:b/>
          <w:spacing w:val="0"/>
          <w:szCs w:val="24"/>
          <w:u w:val="single"/>
          <w:rtl/>
        </w:rPr>
        <w:t xml:space="preserve"> </w:t>
      </w:r>
      <w:r w:rsidRPr="00F6252A">
        <w:rPr>
          <w:rFonts w:ascii="Century" w:hAnsi="Century" w:cs="Miriam" w:hint="eastAsia"/>
          <w:b/>
          <w:spacing w:val="0"/>
          <w:szCs w:val="24"/>
          <w:u w:val="single"/>
          <w:rtl/>
        </w:rPr>
        <w:t>ישראלי</w:t>
      </w:r>
      <w:r w:rsidRPr="00F6252A">
        <w:rPr>
          <w:rFonts w:ascii="Century" w:hAnsi="Century" w:cs="Miriam"/>
          <w:b/>
          <w:spacing w:val="0"/>
          <w:szCs w:val="24"/>
          <w:u w:val="single"/>
          <w:rtl/>
        </w:rPr>
        <w:t xml:space="preserve">, </w:t>
      </w:r>
      <w:r w:rsidRPr="00F6252A">
        <w:rPr>
          <w:rFonts w:ascii="Century" w:hAnsi="Century" w:cs="Miriam" w:hint="eastAsia"/>
          <w:b/>
          <w:spacing w:val="0"/>
          <w:szCs w:val="24"/>
          <w:u w:val="single"/>
          <w:rtl/>
        </w:rPr>
        <w:t>שהוא</w:t>
      </w:r>
      <w:r w:rsidRPr="00F6252A">
        <w:rPr>
          <w:rFonts w:ascii="Century" w:hAnsi="Century" w:cs="Miriam"/>
          <w:b/>
          <w:spacing w:val="0"/>
          <w:szCs w:val="24"/>
          <w:u w:val="single"/>
          <w:rtl/>
        </w:rPr>
        <w:t xml:space="preserve"> </w:t>
      </w:r>
      <w:r w:rsidRPr="00F6252A">
        <w:rPr>
          <w:rFonts w:ascii="Century" w:hAnsi="Century" w:cs="Miriam" w:hint="eastAsia"/>
          <w:b/>
          <w:spacing w:val="0"/>
          <w:szCs w:val="24"/>
          <w:u w:val="single"/>
          <w:rtl/>
        </w:rPr>
        <w:t>תושב</w:t>
      </w:r>
      <w:r w:rsidRPr="00F6252A">
        <w:rPr>
          <w:rFonts w:ascii="Century" w:hAnsi="Century" w:cs="Miriam"/>
          <w:b/>
          <w:spacing w:val="0"/>
          <w:szCs w:val="24"/>
          <w:u w:val="single"/>
          <w:rtl/>
        </w:rPr>
        <w:t xml:space="preserve"> </w:t>
      </w:r>
      <w:r w:rsidRPr="00F6252A">
        <w:rPr>
          <w:rFonts w:ascii="Century" w:hAnsi="Century" w:cs="Miriam" w:hint="eastAsia"/>
          <w:b/>
          <w:spacing w:val="0"/>
          <w:szCs w:val="24"/>
          <w:u w:val="single"/>
          <w:rtl/>
        </w:rPr>
        <w:t>שטח</w:t>
      </w:r>
      <w:r w:rsidRPr="00F6252A">
        <w:rPr>
          <w:rFonts w:ascii="Century" w:hAnsi="Century" w:cs="Miriam"/>
          <w:b/>
          <w:spacing w:val="0"/>
          <w:szCs w:val="24"/>
          <w:u w:val="single"/>
          <w:rtl/>
        </w:rPr>
        <w:t xml:space="preserve"> </w:t>
      </w:r>
      <w:r w:rsidRPr="00F6252A">
        <w:rPr>
          <w:rFonts w:ascii="Century" w:hAnsi="Century" w:cs="Miriam" w:hint="eastAsia"/>
          <w:b/>
          <w:spacing w:val="0"/>
          <w:szCs w:val="24"/>
          <w:u w:val="single"/>
          <w:rtl/>
        </w:rPr>
        <w:t>מחוץ</w:t>
      </w:r>
      <w:r w:rsidRPr="00F6252A">
        <w:rPr>
          <w:rFonts w:ascii="Century" w:hAnsi="Century" w:cs="Miriam"/>
          <w:b/>
          <w:spacing w:val="0"/>
          <w:szCs w:val="24"/>
          <w:u w:val="single"/>
          <w:rtl/>
        </w:rPr>
        <w:t xml:space="preserve"> </w:t>
      </w:r>
      <w:r w:rsidRPr="00F6252A">
        <w:rPr>
          <w:rFonts w:ascii="Century" w:hAnsi="Century" w:cs="Miriam" w:hint="eastAsia"/>
          <w:b/>
          <w:spacing w:val="0"/>
          <w:szCs w:val="24"/>
          <w:u w:val="single"/>
          <w:rtl/>
        </w:rPr>
        <w:t>לישראל</w:t>
      </w:r>
      <w:r w:rsidRPr="00F6252A">
        <w:rPr>
          <w:rFonts w:ascii="Century" w:hAnsi="Century" w:cs="Miriam"/>
          <w:b/>
          <w:spacing w:val="0"/>
          <w:szCs w:val="24"/>
          <w:u w:val="single"/>
          <w:rtl/>
        </w:rPr>
        <w:t xml:space="preserve"> </w:t>
      </w:r>
      <w:r w:rsidRPr="00F6252A">
        <w:rPr>
          <w:rFonts w:ascii="Century" w:hAnsi="Century" w:cs="Miriam" w:hint="eastAsia"/>
          <w:b/>
          <w:spacing w:val="0"/>
          <w:szCs w:val="24"/>
          <w:u w:val="single"/>
          <w:rtl/>
        </w:rPr>
        <w:t>שהממשלה</w:t>
      </w:r>
      <w:r w:rsidRPr="00F6252A">
        <w:rPr>
          <w:rFonts w:ascii="Century" w:hAnsi="Century" w:cs="Miriam"/>
          <w:b/>
          <w:spacing w:val="0"/>
          <w:szCs w:val="24"/>
          <w:u w:val="single"/>
          <w:rtl/>
        </w:rPr>
        <w:t xml:space="preserve"> </w:t>
      </w:r>
      <w:r w:rsidRPr="00F6252A">
        <w:rPr>
          <w:rFonts w:ascii="Century" w:hAnsi="Century" w:cs="Miriam" w:hint="eastAsia"/>
          <w:b/>
          <w:spacing w:val="0"/>
          <w:szCs w:val="24"/>
          <w:u w:val="single"/>
          <w:rtl/>
        </w:rPr>
        <w:t>הכריזה</w:t>
      </w:r>
      <w:r w:rsidRPr="00F6252A">
        <w:rPr>
          <w:rFonts w:ascii="Century" w:hAnsi="Century" w:cs="Miriam"/>
          <w:b/>
          <w:spacing w:val="0"/>
          <w:szCs w:val="24"/>
          <w:u w:val="single"/>
          <w:rtl/>
        </w:rPr>
        <w:t xml:space="preserve"> </w:t>
      </w:r>
      <w:r w:rsidRPr="00F6252A">
        <w:rPr>
          <w:rFonts w:ascii="Century" w:hAnsi="Century" w:cs="Miriam" w:hint="eastAsia"/>
          <w:b/>
          <w:spacing w:val="0"/>
          <w:szCs w:val="24"/>
          <w:u w:val="single"/>
          <w:rtl/>
        </w:rPr>
        <w:t>עליו</w:t>
      </w:r>
      <w:r w:rsidRPr="00F6252A">
        <w:rPr>
          <w:rFonts w:ascii="Century" w:hAnsi="Century" w:cs="Miriam"/>
          <w:b/>
          <w:spacing w:val="0"/>
          <w:szCs w:val="24"/>
          <w:u w:val="single"/>
          <w:rtl/>
        </w:rPr>
        <w:t xml:space="preserve">, </w:t>
      </w:r>
      <w:r w:rsidRPr="00F6252A">
        <w:rPr>
          <w:rFonts w:ascii="Century" w:hAnsi="Century" w:cs="Miriam" w:hint="eastAsia"/>
          <w:b/>
          <w:spacing w:val="0"/>
          <w:szCs w:val="24"/>
          <w:u w:val="single"/>
          <w:rtl/>
        </w:rPr>
        <w:t>בצו</w:t>
      </w:r>
      <w:r w:rsidRPr="00F6252A">
        <w:rPr>
          <w:rFonts w:ascii="Century" w:hAnsi="Century" w:cs="Miriam"/>
          <w:b/>
          <w:spacing w:val="0"/>
          <w:szCs w:val="24"/>
          <w:u w:val="single"/>
          <w:rtl/>
        </w:rPr>
        <w:t xml:space="preserve">, </w:t>
      </w:r>
      <w:r w:rsidRPr="00F6252A">
        <w:rPr>
          <w:rFonts w:ascii="Century" w:hAnsi="Century" w:cs="Miriam" w:hint="eastAsia"/>
          <w:b/>
          <w:spacing w:val="0"/>
          <w:szCs w:val="24"/>
          <w:u w:val="single"/>
          <w:rtl/>
        </w:rPr>
        <w:t>כשטח</w:t>
      </w:r>
      <w:r w:rsidRPr="00F6252A">
        <w:rPr>
          <w:rFonts w:ascii="Century" w:hAnsi="Century" w:cs="Miriam"/>
          <w:b/>
          <w:spacing w:val="0"/>
          <w:szCs w:val="24"/>
          <w:u w:val="single"/>
          <w:rtl/>
        </w:rPr>
        <w:t xml:space="preserve"> </w:t>
      </w:r>
      <w:r w:rsidRPr="00F6252A">
        <w:rPr>
          <w:rFonts w:ascii="Century" w:hAnsi="Century" w:cs="Miriam" w:hint="eastAsia"/>
          <w:b/>
          <w:spacing w:val="0"/>
          <w:szCs w:val="24"/>
          <w:u w:val="single"/>
          <w:rtl/>
        </w:rPr>
        <w:t>אויב</w:t>
      </w:r>
      <w:r w:rsidRPr="00F6252A">
        <w:rPr>
          <w:rFonts w:ascii="Century" w:hAnsi="Century" w:cs="Miriam"/>
          <w:b/>
          <w:spacing w:val="0"/>
          <w:szCs w:val="24"/>
          <w:u w:val="single"/>
          <w:rtl/>
        </w:rPr>
        <w:t>,</w:t>
      </w:r>
      <w:r w:rsidRPr="00F6252A">
        <w:rPr>
          <w:rFonts w:ascii="Century" w:hAnsi="Century" w:cs="Miriam"/>
          <w:b/>
          <w:spacing w:val="0"/>
          <w:szCs w:val="24"/>
          <w:rtl/>
        </w:rPr>
        <w:t xml:space="preserve"> </w:t>
      </w:r>
      <w:r w:rsidRPr="00F6252A">
        <w:rPr>
          <w:rFonts w:ascii="Century" w:hAnsi="Century" w:cs="Miriam" w:hint="eastAsia"/>
          <w:b/>
          <w:spacing w:val="0"/>
          <w:szCs w:val="24"/>
          <w:rtl/>
        </w:rPr>
        <w:t>אלא</w:t>
      </w:r>
      <w:r w:rsidRPr="00F6252A">
        <w:rPr>
          <w:rFonts w:ascii="Century" w:hAnsi="Century" w:cs="Miriam"/>
          <w:b/>
          <w:spacing w:val="0"/>
          <w:szCs w:val="24"/>
          <w:rtl/>
        </w:rPr>
        <w:t xml:space="preserve"> </w:t>
      </w:r>
      <w:r w:rsidRPr="00F6252A">
        <w:rPr>
          <w:rFonts w:ascii="Century" w:hAnsi="Century" w:cs="Miriam" w:hint="eastAsia"/>
          <w:b/>
          <w:spacing w:val="0"/>
          <w:szCs w:val="24"/>
          <w:rtl/>
        </w:rPr>
        <w:t>אם</w:t>
      </w:r>
      <w:r w:rsidRPr="00F6252A">
        <w:rPr>
          <w:rFonts w:ascii="Century" w:hAnsi="Century" w:cs="Miriam"/>
          <w:b/>
          <w:spacing w:val="0"/>
          <w:szCs w:val="24"/>
          <w:rtl/>
        </w:rPr>
        <w:t xml:space="preserve"> </w:t>
      </w:r>
      <w:r w:rsidRPr="00F6252A">
        <w:rPr>
          <w:rFonts w:ascii="Century" w:hAnsi="Century" w:cs="Miriam" w:hint="eastAsia"/>
          <w:b/>
          <w:spacing w:val="0"/>
          <w:szCs w:val="24"/>
          <w:rtl/>
        </w:rPr>
        <w:t>כן</w:t>
      </w:r>
      <w:r w:rsidRPr="00F6252A">
        <w:rPr>
          <w:rFonts w:ascii="Century" w:hAnsi="Century" w:cs="Miriam"/>
          <w:b/>
          <w:spacing w:val="0"/>
          <w:szCs w:val="24"/>
          <w:rtl/>
        </w:rPr>
        <w:t xml:space="preserve"> </w:t>
      </w:r>
      <w:r w:rsidRPr="00F6252A">
        <w:rPr>
          <w:rFonts w:ascii="Century" w:hAnsi="Century" w:cs="Miriam" w:hint="eastAsia"/>
          <w:b/>
          <w:spacing w:val="0"/>
          <w:szCs w:val="24"/>
          <w:rtl/>
        </w:rPr>
        <w:t>הוא</w:t>
      </w:r>
      <w:r w:rsidRPr="00F6252A">
        <w:rPr>
          <w:rFonts w:ascii="Century" w:hAnsi="Century" w:cs="Miriam"/>
          <w:b/>
          <w:spacing w:val="0"/>
          <w:szCs w:val="24"/>
          <w:rtl/>
        </w:rPr>
        <w:t xml:space="preserve"> </w:t>
      </w:r>
      <w:r w:rsidRPr="00F6252A">
        <w:rPr>
          <w:rFonts w:ascii="Century" w:hAnsi="Century" w:cs="Miriam" w:hint="eastAsia"/>
          <w:b/>
          <w:spacing w:val="0"/>
          <w:szCs w:val="24"/>
          <w:rtl/>
        </w:rPr>
        <w:t>שוהה</w:t>
      </w:r>
      <w:r w:rsidRPr="00F6252A">
        <w:rPr>
          <w:rFonts w:ascii="Century" w:hAnsi="Century" w:cs="Miriam"/>
          <w:b/>
          <w:spacing w:val="0"/>
          <w:szCs w:val="24"/>
          <w:rtl/>
        </w:rPr>
        <w:t xml:space="preserve"> </w:t>
      </w:r>
      <w:r w:rsidRPr="00F6252A">
        <w:rPr>
          <w:rFonts w:ascii="Century" w:hAnsi="Century" w:cs="Miriam" w:hint="eastAsia"/>
          <w:b/>
          <w:spacing w:val="0"/>
          <w:szCs w:val="24"/>
          <w:rtl/>
        </w:rPr>
        <w:t>כדין</w:t>
      </w:r>
      <w:r w:rsidRPr="00F6252A">
        <w:rPr>
          <w:rFonts w:ascii="Century" w:hAnsi="Century" w:cs="Miriam"/>
          <w:b/>
          <w:spacing w:val="0"/>
          <w:szCs w:val="24"/>
          <w:rtl/>
        </w:rPr>
        <w:t xml:space="preserve"> </w:t>
      </w:r>
      <w:r w:rsidRPr="00F6252A">
        <w:rPr>
          <w:rFonts w:ascii="Century" w:hAnsi="Century" w:cs="Miriam" w:hint="eastAsia"/>
          <w:b/>
          <w:spacing w:val="0"/>
          <w:szCs w:val="24"/>
          <w:rtl/>
        </w:rPr>
        <w:t>בישראל</w:t>
      </w:r>
      <w:r>
        <w:rPr>
          <w:rFonts w:ascii="Century" w:hAnsi="Century" w:cs="Miriam" w:hint="cs"/>
          <w:b/>
          <w:spacing w:val="0"/>
          <w:szCs w:val="24"/>
          <w:rtl/>
        </w:rPr>
        <w:t>"</w:t>
      </w:r>
      <w:r>
        <w:rPr>
          <w:rFonts w:ascii="Century" w:hAnsi="Century" w:hint="cs"/>
          <w:rtl/>
        </w:rPr>
        <w:t xml:space="preserve"> (ההדגשה הוספה </w:t>
      </w:r>
      <w:r>
        <w:rPr>
          <w:rFonts w:ascii="Century" w:hAnsi="Century"/>
          <w:rtl/>
        </w:rPr>
        <w:t>–</w:t>
      </w:r>
      <w:r>
        <w:rPr>
          <w:rFonts w:ascii="Century" w:hAnsi="Century" w:hint="cs"/>
          <w:rtl/>
        </w:rPr>
        <w:t xml:space="preserve"> נ' ס')</w:t>
      </w:r>
      <w:r w:rsidRPr="00157473">
        <w:rPr>
          <w:rFonts w:ascii="Century" w:hAnsi="Century"/>
          <w:rtl/>
        </w:rPr>
        <w:t>.</w:t>
      </w:r>
    </w:p>
    <w:p w:rsidR="00D512D4" w:rsidRPr="00902063" w:rsidRDefault="00D512D4" w:rsidP="00653268">
      <w:pPr>
        <w:pStyle w:val="Ruller4"/>
        <w:numPr>
          <w:ilvl w:val="0"/>
          <w:numId w:val="0"/>
        </w:numPr>
      </w:pPr>
    </w:p>
    <w:p w:rsidR="00D512D4" w:rsidRDefault="00D512D4" w:rsidP="00F14895">
      <w:pPr>
        <w:pStyle w:val="Ruller4"/>
        <w:rPr>
          <w:rtl/>
        </w:rPr>
      </w:pPr>
      <w:r>
        <w:rPr>
          <w:rFonts w:hint="cs"/>
          <w:rtl/>
        </w:rPr>
        <w:lastRenderedPageBreak/>
        <w:t>ב</w:t>
      </w:r>
      <w:r w:rsidR="00F14895">
        <w:rPr>
          <w:rFonts w:hint="cs"/>
          <w:rtl/>
        </w:rPr>
        <w:t>חוקק</w:t>
      </w:r>
      <w:r>
        <w:rPr>
          <w:rFonts w:hint="cs"/>
          <w:rtl/>
        </w:rPr>
        <w:t>ו את סעיף 5ב(א)(1) לחוק, ראה המחוקק לנגד עיניו את העימות המזוין והמתמשך בין ישראל לרצועת עזה. הדברים נאמרו במפורש בדיוני ועדת חוקה, חוק ומשפט (ראו</w:t>
      </w:r>
      <w:r w:rsidRPr="008D4374">
        <w:rPr>
          <w:rFonts w:hint="cs"/>
          <w:rtl/>
        </w:rPr>
        <w:t>:</w:t>
      </w:r>
      <w:r>
        <w:rPr>
          <w:rFonts w:hint="cs"/>
          <w:rtl/>
        </w:rPr>
        <w:t xml:space="preserve"> פרוטוקול מספר 81 של ועדת חוקה, חוק ומשפט, מיום 19.10.2009, בעמוד 233), והם עולים בקנה אחד עם הוראת התחולה שנקבעה בסעיף זה, שלפיה, הוראותיו יחולו על מעשים שהתרחשו החל מיום 12.9.2005 </w:t>
      </w:r>
      <w:r>
        <w:rPr>
          <w:rtl/>
        </w:rPr>
        <w:t>–</w:t>
      </w:r>
      <w:r>
        <w:rPr>
          <w:rFonts w:hint="cs"/>
          <w:rtl/>
        </w:rPr>
        <w:t xml:space="preserve"> מועד יציאת ישראל מרצועת עזה (סעיף 9(א), לתיקון מספר 8).</w:t>
      </w:r>
    </w:p>
    <w:p w:rsidR="00D512D4" w:rsidRPr="00A34728" w:rsidRDefault="00D512D4" w:rsidP="000B6AE3">
      <w:pPr>
        <w:pStyle w:val="Ruller41"/>
        <w:spacing w:line="240" w:lineRule="auto"/>
      </w:pPr>
    </w:p>
    <w:p w:rsidR="00D512D4" w:rsidRDefault="00D512D4" w:rsidP="00D512D4">
      <w:pPr>
        <w:pStyle w:val="Ruller4"/>
        <w:rPr>
          <w:rtl/>
        </w:rPr>
      </w:pPr>
      <w:r>
        <w:rPr>
          <w:rFonts w:hint="cs"/>
          <w:rtl/>
        </w:rPr>
        <w:t xml:space="preserve">ביום 7.10.2014, כ-9 שנים לאחר ישום </w:t>
      </w:r>
      <w:r w:rsidR="0090281E">
        <w:rPr>
          <w:rFonts w:hint="cs"/>
          <w:rtl/>
        </w:rPr>
        <w:t>'</w:t>
      </w:r>
      <w:r>
        <w:rPr>
          <w:rFonts w:hint="cs"/>
          <w:rtl/>
        </w:rPr>
        <w:t>תכנית ההתנתקות</w:t>
      </w:r>
      <w:r w:rsidR="0090281E">
        <w:rPr>
          <w:rFonts w:hint="cs"/>
          <w:rtl/>
        </w:rPr>
        <w:t>'</w:t>
      </w:r>
      <w:r>
        <w:rPr>
          <w:rFonts w:hint="cs"/>
          <w:rtl/>
        </w:rPr>
        <w:t>, כשנתיים-ימים לאחר שהתקבל בכנסת תיקון מספר 8, וסמוך ל</w:t>
      </w:r>
      <w:r w:rsidR="0018333E">
        <w:rPr>
          <w:rFonts w:hint="cs"/>
          <w:rtl/>
        </w:rPr>
        <w:t>אחר מבצע 'צוק איתן', יצא תחת יד</w:t>
      </w:r>
      <w:r>
        <w:rPr>
          <w:rFonts w:hint="cs"/>
          <w:rtl/>
        </w:rPr>
        <w:t>ה של ממשלת ישראל</w:t>
      </w:r>
      <w:r w:rsidRPr="00E70CE4">
        <w:rPr>
          <w:rFonts w:hint="cs"/>
          <w:rtl/>
        </w:rPr>
        <w:t xml:space="preserve"> </w:t>
      </w:r>
      <w:r>
        <w:rPr>
          <w:rFonts w:hint="cs"/>
          <w:rtl/>
        </w:rPr>
        <w:t xml:space="preserve">צו הנזיקים האזרחיים, שבגדרו הוכרזה רצועת עזה כ'שטח אויב' לעניין חוק הנזיקים האזרחיים. לצו נקבעה תחולה רטרואקטיבית, החל מיום 7.7.2014; הוא המועד שבו יצאה ישראל למבצע 'צוק איתן'. ודוק: התחולה הרטרואקטיבית שנקבעה בצו (7.7.2014; מועד תחילת מבצע 'צוק איתן'), אינה חופפת לתחולה הרטרואקטיבית שנקבעה בהוראת התחולה שבתיקון מספר 8 (12.9.2005; מועד יציאת ישראל מעזה). כעולה מדברי ההסבר לצו הנזיקים האזרחיים, אין באמור בו כדי לגרוע מחובתה של מדינת ישראל לבדוק טענות בדבר הפרות של המשפט הבינלאומי, ביחס לפעולותיה בעזה. מטרתו היתה, להעניק ביטוי משפטי נוסף, לסכסוך המזוין המתמשך והחריף בינה לבין רצועת עזה. </w:t>
      </w:r>
    </w:p>
    <w:p w:rsidR="00D512D4" w:rsidRDefault="00D512D4" w:rsidP="000B6AE3">
      <w:pPr>
        <w:pStyle w:val="Ruller41"/>
        <w:spacing w:line="240" w:lineRule="auto"/>
        <w:rPr>
          <w:rtl/>
        </w:rPr>
      </w:pPr>
    </w:p>
    <w:p w:rsidR="00D512D4" w:rsidRPr="003E04C8" w:rsidRDefault="00D512D4" w:rsidP="00617DB6">
      <w:pPr>
        <w:pStyle w:val="Ruller4"/>
        <w:rPr>
          <w:rtl/>
        </w:rPr>
      </w:pPr>
      <w:r>
        <w:rPr>
          <w:rFonts w:hint="cs"/>
          <w:rtl/>
        </w:rPr>
        <w:t xml:space="preserve">לצד ההתפתחות החקיקתית בנוגע לחסינות המדינה בנזיקין, כאמור לעיל, חלה התפתחות נוספת בדין הישראלי, בכל הקשור לחסינות המדינה מפני תביעות נזיקין, שלה השלכה נוספת על ענייננו. זאת בעקבות פסק הדין שניתן בעניין </w:t>
      </w:r>
      <w:r w:rsidRPr="003E04C8">
        <w:rPr>
          <w:rFonts w:ascii="Century" w:hAnsi="Century" w:cs="Miriam" w:hint="cs"/>
          <w:b/>
          <w:spacing w:val="0"/>
          <w:sz w:val="22"/>
          <w:szCs w:val="24"/>
          <w:rtl/>
        </w:rPr>
        <w:t>דיראני</w:t>
      </w:r>
      <w:r w:rsidR="00617DB6">
        <w:rPr>
          <w:rFonts w:hint="cs"/>
          <w:rtl/>
        </w:rPr>
        <w:t>;</w:t>
      </w:r>
      <w:r>
        <w:rPr>
          <w:rFonts w:hint="cs"/>
          <w:rtl/>
        </w:rPr>
        <w:t xml:space="preserve"> להצגתו אפנה עתה. </w:t>
      </w:r>
    </w:p>
    <w:p w:rsidR="00D512D4" w:rsidRDefault="00D512D4" w:rsidP="00D512D4">
      <w:pPr>
        <w:pStyle w:val="Ruller4"/>
        <w:numPr>
          <w:ilvl w:val="0"/>
          <w:numId w:val="0"/>
        </w:numPr>
        <w:rPr>
          <w:rtl/>
        </w:rPr>
      </w:pPr>
    </w:p>
    <w:p w:rsidR="00D512D4" w:rsidRPr="001715F2" w:rsidRDefault="00D512D4" w:rsidP="00C04DC8">
      <w:pPr>
        <w:pStyle w:val="3"/>
      </w:pPr>
      <w:bookmarkStart w:id="26" w:name="_Toc107851292"/>
      <w:bookmarkStart w:id="27" w:name="_Toc107851347"/>
      <w:r>
        <w:rPr>
          <w:rFonts w:hint="cs"/>
          <w:rtl/>
        </w:rPr>
        <w:t xml:space="preserve">ד.2.1. </w:t>
      </w:r>
      <w:r w:rsidRPr="001715F2">
        <w:rPr>
          <w:rFonts w:hint="cs"/>
          <w:rtl/>
        </w:rPr>
        <w:t>פרשת דיראני</w:t>
      </w:r>
      <w:bookmarkEnd w:id="26"/>
      <w:bookmarkEnd w:id="27"/>
    </w:p>
    <w:p w:rsidR="00D512D4" w:rsidRDefault="00D512D4" w:rsidP="00617DB6">
      <w:pPr>
        <w:pStyle w:val="Ruller4"/>
      </w:pPr>
      <w:r>
        <w:rPr>
          <w:rFonts w:hint="cs"/>
          <w:rtl/>
        </w:rPr>
        <w:lastRenderedPageBreak/>
        <w:t xml:space="preserve">בפרשת </w:t>
      </w:r>
      <w:r w:rsidRPr="00E34E5E">
        <w:rPr>
          <w:rFonts w:ascii="Century" w:hAnsi="Century" w:cs="Miriam" w:hint="eastAsia"/>
          <w:b/>
          <w:spacing w:val="0"/>
          <w:sz w:val="22"/>
          <w:szCs w:val="24"/>
          <w:rtl/>
        </w:rPr>
        <w:t>דיראני</w:t>
      </w:r>
      <w:r>
        <w:rPr>
          <w:rFonts w:hint="cs"/>
          <w:rtl/>
        </w:rPr>
        <w:t>,</w:t>
      </w:r>
      <w:r w:rsidRPr="001715F2">
        <w:rPr>
          <w:rFonts w:hint="cs"/>
          <w:rtl/>
        </w:rPr>
        <w:t xml:space="preserve"> </w:t>
      </w:r>
      <w:r>
        <w:rPr>
          <w:rFonts w:hint="cs"/>
          <w:rtl/>
        </w:rPr>
        <w:t xml:space="preserve">נדונה תביעתו של מוסטפא דיראני, אזרח לבנוני, אשר ישב בכלא הישראלי בגין ביצוע עבירות טרור, ושוחרר ללבנון בשנת 2004, במסגרת עסקת חילופי שבויים. טרם שחרורו, הגיש דיראני תביעת נזיקין נגד מדינת ישראל, בטענה כי חוקריו הישראליים עינו אותו וביצעו </w:t>
      </w:r>
      <w:r w:rsidR="00617DB6">
        <w:rPr>
          <w:rFonts w:hint="cs"/>
          <w:rtl/>
        </w:rPr>
        <w:t xml:space="preserve">כלפיו </w:t>
      </w:r>
      <w:r>
        <w:rPr>
          <w:rFonts w:hint="cs"/>
          <w:rtl/>
        </w:rPr>
        <w:t>עבירות קשות, ב</w:t>
      </w:r>
      <w:r w:rsidR="00617DB6">
        <w:rPr>
          <w:rFonts w:hint="cs"/>
          <w:rtl/>
        </w:rPr>
        <w:t>ש</w:t>
      </w:r>
      <w:r>
        <w:rPr>
          <w:rFonts w:hint="cs"/>
          <w:rtl/>
        </w:rPr>
        <w:t>ע</w:t>
      </w:r>
      <w:r w:rsidR="00617DB6">
        <w:rPr>
          <w:rFonts w:hint="cs"/>
          <w:rtl/>
        </w:rPr>
        <w:t>ה</w:t>
      </w:r>
      <w:r>
        <w:rPr>
          <w:rFonts w:hint="cs"/>
          <w:rtl/>
        </w:rPr>
        <w:t xml:space="preserve"> שהוחזק במשמורת בישראל. בעוד תביעתו תלויה ועומדת, שוחרר דיראני מהכלא הישראלי, שב ללבנון, וחזר לעסוק בפעולות טרור, במסגרת ארגון הטרור חיזבאללה. המדינה, מצדה, הגישה בקשה לסילוק תביעתו של דיראני על הסף, על יסוד הכלל מהמשפט המקובל, שלפיו '</w:t>
      </w:r>
      <w:r w:rsidRPr="0053251C">
        <w:rPr>
          <w:rFonts w:ascii="Century" w:hAnsi="Century" w:cs="Miriam" w:hint="cs"/>
          <w:b/>
          <w:spacing w:val="0"/>
          <w:sz w:val="22"/>
          <w:szCs w:val="24"/>
          <w:rtl/>
        </w:rPr>
        <w:t>אין מבררים תביעת אויב'</w:t>
      </w:r>
      <w:r>
        <w:rPr>
          <w:rFonts w:hint="cs"/>
          <w:rtl/>
        </w:rPr>
        <w:t xml:space="preserve">. בקשה זו נדחתה על-ידי בית המשפט המחוזי, ובקשת רשות ערעור שהגישה המדינה </w:t>
      </w:r>
      <w:r>
        <w:rPr>
          <w:rtl/>
        </w:rPr>
        <w:t>–</w:t>
      </w:r>
      <w:r>
        <w:rPr>
          <w:rFonts w:hint="cs"/>
          <w:rtl/>
        </w:rPr>
        <w:t xml:space="preserve"> נדחתה אף היא, ברוב דעות (רע"א 993/06 </w:t>
      </w:r>
      <w:r w:rsidRPr="00E34E5E">
        <w:rPr>
          <w:rFonts w:ascii="Century" w:hAnsi="Century" w:cs="Miriam" w:hint="eastAsia"/>
          <w:b/>
          <w:spacing w:val="0"/>
          <w:sz w:val="22"/>
          <w:szCs w:val="24"/>
          <w:rtl/>
        </w:rPr>
        <w:t>מדינת</w:t>
      </w:r>
      <w:r w:rsidRPr="00E34E5E">
        <w:rPr>
          <w:rFonts w:ascii="Century" w:hAnsi="Century" w:cs="Miriam"/>
          <w:b/>
          <w:spacing w:val="0"/>
          <w:sz w:val="22"/>
          <w:szCs w:val="24"/>
          <w:rtl/>
        </w:rPr>
        <w:t xml:space="preserve"> </w:t>
      </w:r>
      <w:r w:rsidRPr="00E34E5E">
        <w:rPr>
          <w:rFonts w:ascii="Century" w:hAnsi="Century" w:cs="Miriam" w:hint="eastAsia"/>
          <w:b/>
          <w:spacing w:val="0"/>
          <w:sz w:val="22"/>
          <w:szCs w:val="24"/>
          <w:rtl/>
        </w:rPr>
        <w:t>ישראל</w:t>
      </w:r>
      <w:r w:rsidRPr="00E34E5E">
        <w:rPr>
          <w:rFonts w:ascii="Century" w:hAnsi="Century" w:cs="Miriam"/>
          <w:b/>
          <w:spacing w:val="0"/>
          <w:sz w:val="22"/>
          <w:szCs w:val="24"/>
          <w:rtl/>
        </w:rPr>
        <w:t xml:space="preserve"> </w:t>
      </w:r>
      <w:r w:rsidRPr="00E34E5E">
        <w:rPr>
          <w:rFonts w:ascii="Century" w:hAnsi="Century" w:cs="Miriam" w:hint="eastAsia"/>
          <w:b/>
          <w:spacing w:val="0"/>
          <w:sz w:val="22"/>
          <w:szCs w:val="24"/>
          <w:rtl/>
        </w:rPr>
        <w:t>נ</w:t>
      </w:r>
      <w:r w:rsidRPr="00E34E5E">
        <w:rPr>
          <w:rFonts w:ascii="Century" w:hAnsi="Century" w:cs="Miriam"/>
          <w:b/>
          <w:spacing w:val="0"/>
          <w:sz w:val="22"/>
          <w:szCs w:val="24"/>
          <w:rtl/>
        </w:rPr>
        <w:t xml:space="preserve">' </w:t>
      </w:r>
      <w:r w:rsidRPr="00E34E5E">
        <w:rPr>
          <w:rFonts w:ascii="Century" w:hAnsi="Century" w:cs="Miriam" w:hint="eastAsia"/>
          <w:b/>
          <w:spacing w:val="0"/>
          <w:sz w:val="22"/>
          <w:szCs w:val="24"/>
          <w:rtl/>
        </w:rPr>
        <w:t>דיראני</w:t>
      </w:r>
      <w:r w:rsidRPr="008D4374">
        <w:rPr>
          <w:rtl/>
        </w:rPr>
        <w:t xml:space="preserve"> (18.7.2011) (להלן: </w:t>
      </w:r>
      <w:r w:rsidRPr="00E34E5E">
        <w:rPr>
          <w:rFonts w:ascii="Century" w:hAnsi="Century" w:cs="Miriam" w:hint="eastAsia"/>
          <w:b/>
          <w:spacing w:val="0"/>
          <w:sz w:val="22"/>
          <w:szCs w:val="24"/>
          <w:rtl/>
        </w:rPr>
        <w:t>רע</w:t>
      </w:r>
      <w:r w:rsidRPr="00E34E5E">
        <w:rPr>
          <w:rFonts w:ascii="Century" w:hAnsi="Century" w:cs="Miriam"/>
          <w:b/>
          <w:spacing w:val="0"/>
          <w:sz w:val="22"/>
          <w:szCs w:val="24"/>
          <w:rtl/>
        </w:rPr>
        <w:t>"</w:t>
      </w:r>
      <w:r w:rsidRPr="00E34E5E">
        <w:rPr>
          <w:rFonts w:ascii="Century" w:hAnsi="Century" w:cs="Miriam" w:hint="eastAsia"/>
          <w:b/>
          <w:spacing w:val="0"/>
          <w:sz w:val="22"/>
          <w:szCs w:val="24"/>
          <w:rtl/>
        </w:rPr>
        <w:t>א</w:t>
      </w:r>
      <w:r w:rsidRPr="00E34E5E">
        <w:rPr>
          <w:rFonts w:ascii="Century" w:hAnsi="Century" w:cs="Miriam"/>
          <w:b/>
          <w:spacing w:val="0"/>
          <w:sz w:val="22"/>
          <w:szCs w:val="24"/>
          <w:rtl/>
        </w:rPr>
        <w:t xml:space="preserve"> </w:t>
      </w:r>
      <w:r w:rsidRPr="00E34E5E">
        <w:rPr>
          <w:rFonts w:ascii="Century" w:hAnsi="Century" w:cs="Miriam" w:hint="eastAsia"/>
          <w:b/>
          <w:spacing w:val="0"/>
          <w:sz w:val="22"/>
          <w:szCs w:val="24"/>
          <w:rtl/>
        </w:rPr>
        <w:t>דיראני</w:t>
      </w:r>
      <w:r>
        <w:rPr>
          <w:rFonts w:hint="cs"/>
          <w:rtl/>
        </w:rPr>
        <w:t xml:space="preserve">). </w:t>
      </w:r>
    </w:p>
    <w:p w:rsidR="00D512D4" w:rsidRPr="00995CD0" w:rsidRDefault="00D512D4" w:rsidP="000B6AE3">
      <w:pPr>
        <w:pStyle w:val="Ruller4"/>
        <w:numPr>
          <w:ilvl w:val="0"/>
          <w:numId w:val="0"/>
        </w:numPr>
        <w:spacing w:line="240" w:lineRule="auto"/>
        <w:rPr>
          <w:rtl/>
        </w:rPr>
      </w:pPr>
    </w:p>
    <w:p w:rsidR="00D512D4" w:rsidRDefault="00D512D4" w:rsidP="00617DB6">
      <w:pPr>
        <w:pStyle w:val="Ruller4"/>
        <w:rPr>
          <w:rtl/>
        </w:rPr>
      </w:pPr>
      <w:r w:rsidRPr="008D4374">
        <w:rPr>
          <w:rtl/>
        </w:rPr>
        <w:t xml:space="preserve">בדיון הנוסף </w:t>
      </w:r>
      <w:r w:rsidRPr="008D4374">
        <w:rPr>
          <w:rFonts w:hint="eastAsia"/>
          <w:rtl/>
        </w:rPr>
        <w:t>שהתקיים</w:t>
      </w:r>
      <w:r w:rsidRPr="008D4374">
        <w:rPr>
          <w:rtl/>
        </w:rPr>
        <w:t xml:space="preserve"> בעניין</w:t>
      </w:r>
      <w:r>
        <w:rPr>
          <w:rFonts w:ascii="Century" w:hAnsi="Century" w:cs="Miriam" w:hint="cs"/>
          <w:b/>
          <w:spacing w:val="0"/>
          <w:sz w:val="22"/>
          <w:szCs w:val="24"/>
          <w:rtl/>
        </w:rPr>
        <w:t xml:space="preserve"> </w:t>
      </w:r>
      <w:r w:rsidRPr="002576B2">
        <w:rPr>
          <w:rFonts w:ascii="Century" w:hAnsi="Century" w:cs="Miriam" w:hint="cs"/>
          <w:b/>
          <w:spacing w:val="0"/>
          <w:sz w:val="22"/>
          <w:szCs w:val="24"/>
          <w:rtl/>
        </w:rPr>
        <w:t>דיראני</w:t>
      </w:r>
      <w:r>
        <w:rPr>
          <w:rFonts w:hint="cs"/>
          <w:rtl/>
        </w:rPr>
        <w:t xml:space="preserve"> נהפכה תוצאה זו. נקבע, בהרכב מורחב, כי הכלל שלפיו </w:t>
      </w:r>
      <w:r w:rsidRPr="0053251C">
        <w:rPr>
          <w:rFonts w:ascii="Century" w:hAnsi="Century" w:cs="Miriam" w:hint="cs"/>
          <w:b/>
          <w:spacing w:val="0"/>
          <w:sz w:val="22"/>
          <w:szCs w:val="24"/>
          <w:rtl/>
        </w:rPr>
        <w:t>'אין מבררים תביעת אויב'</w:t>
      </w:r>
      <w:r w:rsidRPr="0053251C">
        <w:rPr>
          <w:rFonts w:hint="cs"/>
          <w:rtl/>
        </w:rPr>
        <w:t xml:space="preserve"> </w:t>
      </w:r>
      <w:r>
        <w:rPr>
          <w:rFonts w:hint="cs"/>
          <w:rtl/>
        </w:rPr>
        <w:t xml:space="preserve">שריר וקיים במדינות המשפט המקובל, יש לו שורשים עמוקים בשיטות משפט שונות, ולא נס </w:t>
      </w:r>
      <w:r w:rsidR="00617DB6">
        <w:rPr>
          <w:rFonts w:hint="cs"/>
          <w:rtl/>
        </w:rPr>
        <w:t xml:space="preserve">ליחו </w:t>
      </w:r>
      <w:r>
        <w:rPr>
          <w:rFonts w:hint="cs"/>
          <w:rtl/>
        </w:rPr>
        <w:t xml:space="preserve">עד ימינו-אנו (פסקאות 29-14 לפסק-דינו של הנשיא </w:t>
      </w:r>
      <w:r>
        <w:rPr>
          <w:rFonts w:ascii="Century" w:hAnsi="Century" w:cs="Miriam" w:hint="cs"/>
          <w:b/>
          <w:spacing w:val="0"/>
          <w:sz w:val="22"/>
          <w:szCs w:val="24"/>
          <w:rtl/>
        </w:rPr>
        <w:t xml:space="preserve">א' </w:t>
      </w:r>
      <w:r w:rsidRPr="008D4374">
        <w:rPr>
          <w:rFonts w:ascii="Century" w:hAnsi="Century" w:cs="Miriam" w:hint="eastAsia"/>
          <w:b/>
          <w:spacing w:val="0"/>
          <w:sz w:val="22"/>
          <w:szCs w:val="24"/>
          <w:rtl/>
        </w:rPr>
        <w:t>גרוניס</w:t>
      </w:r>
      <w:r>
        <w:rPr>
          <w:rFonts w:hint="cs"/>
          <w:rtl/>
        </w:rPr>
        <w:t xml:space="preserve">). </w:t>
      </w:r>
      <w:r w:rsidR="00EF7777">
        <w:rPr>
          <w:rFonts w:hint="cs"/>
          <w:rtl/>
        </w:rPr>
        <w:t xml:space="preserve">כמו </w:t>
      </w:r>
      <w:r>
        <w:rPr>
          <w:rFonts w:hint="cs"/>
          <w:rtl/>
        </w:rPr>
        <w:t>כן נקבע, כי כלל זה נקלט במשפט הישראלי לפני שנות-דור (</w:t>
      </w:r>
      <w:r w:rsidRPr="00F35A43">
        <w:rPr>
          <w:rFonts w:ascii="Century" w:hAnsi="Century" w:cs="Miriam" w:hint="cs"/>
          <w:b/>
          <w:spacing w:val="0"/>
          <w:sz w:val="22"/>
          <w:szCs w:val="24"/>
          <w:rtl/>
        </w:rPr>
        <w:t>שם</w:t>
      </w:r>
      <w:r>
        <w:rPr>
          <w:rFonts w:hint="cs"/>
          <w:rtl/>
        </w:rPr>
        <w:t>, פסקאות 42-30), וכי הוא עומד במבחני המידתיות הנהוגים בשיטתנו (</w:t>
      </w:r>
      <w:r w:rsidRPr="00BF2834">
        <w:rPr>
          <w:rFonts w:ascii="Century" w:hAnsi="Century" w:cs="Miriam" w:hint="cs"/>
          <w:b/>
          <w:spacing w:val="0"/>
          <w:sz w:val="22"/>
          <w:szCs w:val="24"/>
          <w:rtl/>
        </w:rPr>
        <w:t>שם</w:t>
      </w:r>
      <w:r>
        <w:rPr>
          <w:rFonts w:hint="cs"/>
          <w:rtl/>
        </w:rPr>
        <w:t xml:space="preserve">, פסקאות 83-68). יחד עם זאת, הנשיא </w:t>
      </w:r>
      <w:r w:rsidRPr="005D5276">
        <w:rPr>
          <w:rFonts w:ascii="Century" w:hAnsi="Century" w:cs="Miriam" w:hint="cs"/>
          <w:b/>
          <w:spacing w:val="0"/>
          <w:sz w:val="22"/>
          <w:szCs w:val="24"/>
          <w:rtl/>
        </w:rPr>
        <w:t>גרוניס</w:t>
      </w:r>
      <w:r w:rsidRPr="005D5276">
        <w:rPr>
          <w:rFonts w:hint="cs"/>
          <w:rtl/>
        </w:rPr>
        <w:t xml:space="preserve"> </w:t>
      </w:r>
      <w:r>
        <w:rPr>
          <w:rFonts w:hint="cs"/>
          <w:rtl/>
        </w:rPr>
        <w:t>הכיר בכך שיש להתאים ולפתח את הכלל האמור, הן בשים לב למציאות הלחימה בטרור בעת המודרנית, הן נוכח עליית היקף ההגנה על זכויות אדם במשפט הישראלי. כך, הגם שתחולת הכלל המקורי היתה מצומצמת למצבי מלחמה, במובנם הקלאסי, הרי שבעידן הנוכחי, יש להחילו גם על מצבי לחימה מול ארגוני טרור, שאינם טעונים 'הכרזת מלחמה' מפורשת. לצד זאת נקבע, כי בניגוד לכלל המסורתי, המוחל באופן גורף על כל נתיני מדינת האויב, על יסוד מקום מגוריהם בלבד, הרי שאת הכלל העדכני, המוכתב מן המציאות המודרנית, ניתן יהיה להחיל רק על המעורבים בפועל בסכסוך המזוין, פעילי ארגון הטרור, ולא על כל נתיני מדינת האויב שמשטחה פועל ארגון הטרור (</w:t>
      </w:r>
      <w:r w:rsidRPr="00B8533D">
        <w:rPr>
          <w:rFonts w:ascii="Century" w:hAnsi="Century" w:cs="Miriam" w:hint="cs"/>
          <w:b/>
          <w:spacing w:val="0"/>
          <w:sz w:val="22"/>
          <w:szCs w:val="24"/>
          <w:rtl/>
        </w:rPr>
        <w:t>שם</w:t>
      </w:r>
      <w:r>
        <w:rPr>
          <w:rFonts w:hint="cs"/>
          <w:rtl/>
        </w:rPr>
        <w:t xml:space="preserve">, </w:t>
      </w:r>
      <w:r>
        <w:rPr>
          <w:rFonts w:hint="cs"/>
          <w:rtl/>
        </w:rPr>
        <w:lastRenderedPageBreak/>
        <w:t xml:space="preserve">פסקאות 58-43). אשר לדיראני עצמו, בכיר בארגון טרור, נקבע כי קיימת הצדקה להחיל עליו את הכלל האמור, ולחסום את תביעתו, אף בהעדר מלחמה פורמאלית בין ישראל ללבנון.  </w:t>
      </w:r>
    </w:p>
    <w:p w:rsidR="00D512D4" w:rsidRPr="002576B2" w:rsidRDefault="00D512D4" w:rsidP="00653268">
      <w:pPr>
        <w:pStyle w:val="Ruller41"/>
        <w:spacing w:line="240" w:lineRule="auto"/>
      </w:pPr>
    </w:p>
    <w:p w:rsidR="00D512D4" w:rsidRDefault="00D512D4" w:rsidP="00A57217">
      <w:pPr>
        <w:pStyle w:val="Ruller4"/>
        <w:rPr>
          <w:rtl/>
        </w:rPr>
      </w:pPr>
      <w:r>
        <w:rPr>
          <w:rFonts w:hint="cs"/>
          <w:rtl/>
        </w:rPr>
        <w:t xml:space="preserve">אמנם, בעניין </w:t>
      </w:r>
      <w:r w:rsidRPr="00526634">
        <w:rPr>
          <w:rFonts w:ascii="Century" w:hAnsi="Century" w:cs="Miriam" w:hint="cs"/>
          <w:b/>
          <w:spacing w:val="0"/>
          <w:sz w:val="22"/>
          <w:szCs w:val="24"/>
          <w:rtl/>
        </w:rPr>
        <w:t>דיראני</w:t>
      </w:r>
      <w:r w:rsidRPr="00BC021C">
        <w:rPr>
          <w:rFonts w:hint="cs"/>
          <w:rtl/>
        </w:rPr>
        <w:t xml:space="preserve"> </w:t>
      </w:r>
      <w:r>
        <w:rPr>
          <w:rFonts w:hint="cs"/>
          <w:rtl/>
        </w:rPr>
        <w:t xml:space="preserve">לא נדונה חוקתיותו של סעיף 5ב(א)(1) לחוק, שכן המועד שבו בוצעה הפעולה הנזיקית, לטענת דיראני, קדם למועד תחולת הסעיף. ברם, תועלת רבה יש במלאכה שנעשתה בעניין </w:t>
      </w:r>
      <w:r w:rsidRPr="00526634">
        <w:rPr>
          <w:rFonts w:ascii="Century" w:hAnsi="Century" w:cs="Miriam" w:hint="cs"/>
          <w:b/>
          <w:spacing w:val="0"/>
          <w:sz w:val="22"/>
          <w:szCs w:val="24"/>
          <w:rtl/>
        </w:rPr>
        <w:t>דיראני</w:t>
      </w:r>
      <w:r>
        <w:rPr>
          <w:rFonts w:hint="cs"/>
          <w:rtl/>
        </w:rPr>
        <w:t>,</w:t>
      </w:r>
      <w:r w:rsidRPr="00BC021C">
        <w:rPr>
          <w:rFonts w:hint="cs"/>
          <w:rtl/>
        </w:rPr>
        <w:t xml:space="preserve"> </w:t>
      </w:r>
      <w:r>
        <w:rPr>
          <w:rFonts w:hint="cs"/>
          <w:rtl/>
        </w:rPr>
        <w:t xml:space="preserve">גם לענייננו. באותו עניין, ערך בית המשפט, בהרכב מורחב, ניתוח 'מעין-חוקתי' לכלל בדבר 'אי-בירור תביעת אויב', ולבסוף פסק, כי מדובר בכלל עתיק-יומין, המקובל במתוקנות שבמדינות העולם. והעיקר לענייננו </w:t>
      </w:r>
      <w:r>
        <w:rPr>
          <w:rtl/>
        </w:rPr>
        <w:t>–</w:t>
      </w:r>
      <w:r>
        <w:rPr>
          <w:rFonts w:hint="cs"/>
          <w:rtl/>
        </w:rPr>
        <w:t xml:space="preserve"> כי מדובר בכלל העומד במבחני המידתיות שבחוק היסוד. חרף השוני בין שני ההסדרים החוקיים, ניתן למצוא דמיון, אם לא למעלה מכך, ביסודות המשפטיים ובתכליות שבבסיס שני ההסדרים הללו; על כך בהמשך. </w:t>
      </w:r>
    </w:p>
    <w:p w:rsidR="00D512D4" w:rsidRPr="00526634" w:rsidRDefault="00D512D4" w:rsidP="00EF7777">
      <w:pPr>
        <w:pStyle w:val="Ruller41"/>
        <w:spacing w:line="240" w:lineRule="auto"/>
        <w:rPr>
          <w:rtl/>
        </w:rPr>
      </w:pPr>
    </w:p>
    <w:p w:rsidR="00D512D4" w:rsidRPr="009059AC" w:rsidRDefault="00D512D4" w:rsidP="00A57217">
      <w:pPr>
        <w:pStyle w:val="Ruller41"/>
        <w:rPr>
          <w:rtl/>
        </w:rPr>
      </w:pPr>
      <w:r>
        <w:rPr>
          <w:rtl/>
        </w:rPr>
        <w:tab/>
      </w:r>
      <w:r>
        <w:rPr>
          <w:rFonts w:hint="cs"/>
          <w:rtl/>
        </w:rPr>
        <w:t>משה</w:t>
      </w:r>
      <w:r w:rsidR="00A57217">
        <w:rPr>
          <w:rFonts w:hint="cs"/>
          <w:rtl/>
        </w:rPr>
        <w:t>ונח עד כה</w:t>
      </w:r>
      <w:r>
        <w:rPr>
          <w:rFonts w:hint="cs"/>
          <w:rtl/>
        </w:rPr>
        <w:t xml:space="preserve"> הרקע העובדתי והנורמטיבי הדרוש, </w:t>
      </w:r>
      <w:r w:rsidR="00A57217">
        <w:rPr>
          <w:rFonts w:hint="cs"/>
          <w:rtl/>
        </w:rPr>
        <w:t xml:space="preserve">אפנה </w:t>
      </w:r>
      <w:r>
        <w:rPr>
          <w:rFonts w:hint="cs"/>
          <w:rtl/>
        </w:rPr>
        <w:t>עתה לניתוח החוקתי. קודם לכן, הערה לגבי דרך הפעלת הביקורת השיפוטית בנסיבות העניין דנן; ב'תקיפה עקיפה'.</w:t>
      </w:r>
    </w:p>
    <w:p w:rsidR="00D512D4" w:rsidRPr="00AD44A8" w:rsidRDefault="00D512D4" w:rsidP="003906C7">
      <w:pPr>
        <w:pStyle w:val="Ruller41"/>
        <w:spacing w:line="240" w:lineRule="auto"/>
        <w:rPr>
          <w:rtl/>
        </w:rPr>
      </w:pPr>
    </w:p>
    <w:p w:rsidR="00D512D4" w:rsidRPr="005C65FE" w:rsidRDefault="00D512D4" w:rsidP="00C04DC8">
      <w:pPr>
        <w:pStyle w:val="2"/>
      </w:pPr>
      <w:bookmarkStart w:id="28" w:name="_Toc107851293"/>
      <w:bookmarkStart w:id="29" w:name="_Toc107851348"/>
      <w:r>
        <w:rPr>
          <w:rFonts w:hint="cs"/>
          <w:rtl/>
        </w:rPr>
        <w:t xml:space="preserve">ד.2. </w:t>
      </w:r>
      <w:r w:rsidRPr="005C65FE">
        <w:rPr>
          <w:rFonts w:hint="cs"/>
          <w:rtl/>
        </w:rPr>
        <w:t>תקיפה עקיפה</w:t>
      </w:r>
      <w:bookmarkEnd w:id="28"/>
      <w:bookmarkEnd w:id="29"/>
    </w:p>
    <w:p w:rsidR="00D512D4" w:rsidRPr="00C04EE8" w:rsidRDefault="00D512D4" w:rsidP="0053251C">
      <w:pPr>
        <w:pStyle w:val="Ruller4"/>
        <w:rPr>
          <w:rFonts w:ascii="FrankRuehl" w:hAnsi="FrankRuehl"/>
          <w:sz w:val="28"/>
        </w:rPr>
      </w:pPr>
      <w:r>
        <w:rPr>
          <w:rFonts w:hint="cs"/>
          <w:rtl/>
        </w:rPr>
        <w:t xml:space="preserve">הגם שבתי המשפט נעדרים סמכות עניינית לדון בחוקתיות סעיף חוק </w:t>
      </w:r>
      <w:r w:rsidRPr="00C04EE8">
        <w:rPr>
          <w:rFonts w:ascii="Century" w:hAnsi="Century" w:cs="Miriam" w:hint="cs"/>
          <w:b/>
          <w:spacing w:val="0"/>
          <w:sz w:val="22"/>
          <w:szCs w:val="24"/>
          <w:rtl/>
        </w:rPr>
        <w:t>ב'תקיפה ישירה'</w:t>
      </w:r>
      <w:r>
        <w:rPr>
          <w:rFonts w:hint="cs"/>
          <w:rtl/>
        </w:rPr>
        <w:t xml:space="preserve"> (</w:t>
      </w:r>
      <w:r>
        <w:rPr>
          <w:rFonts w:ascii="David" w:hAnsi="David" w:cs="David"/>
          <w:szCs w:val="24"/>
        </w:rPr>
        <w:t>Direct Attack</w:t>
      </w:r>
      <w:r>
        <w:rPr>
          <w:rFonts w:hint="cs"/>
          <w:rtl/>
        </w:rPr>
        <w:t xml:space="preserve">) </w:t>
      </w:r>
      <w:r>
        <w:rPr>
          <w:rtl/>
        </w:rPr>
        <w:t>–</w:t>
      </w:r>
      <w:r>
        <w:rPr>
          <w:rFonts w:hint="cs"/>
          <w:rtl/>
        </w:rPr>
        <w:t xml:space="preserve"> סמכות הנתונה לבית משפט זה בלבד, בשבתו כבית משפט גבוה לצדק (ראו: סעיף 15 לחוק יסוד: השפיטה וסעיף 5(1) לחוק בתי המשפט לעניינים מנהליים, התשס"ו-2006) </w:t>
      </w:r>
      <w:r>
        <w:rPr>
          <w:rtl/>
        </w:rPr>
        <w:t>–</w:t>
      </w:r>
      <w:r>
        <w:rPr>
          <w:rFonts w:hint="cs"/>
          <w:rtl/>
        </w:rPr>
        <w:t xml:space="preserve"> הרי ש</w:t>
      </w:r>
      <w:r w:rsidR="003B3ECA">
        <w:rPr>
          <w:rFonts w:hint="cs"/>
          <w:rtl/>
        </w:rPr>
        <w:t>נתונ</w:t>
      </w:r>
      <w:r w:rsidR="00A57217">
        <w:rPr>
          <w:rFonts w:hint="cs"/>
          <w:rtl/>
        </w:rPr>
        <w:t xml:space="preserve">ה </w:t>
      </w:r>
      <w:r>
        <w:rPr>
          <w:rFonts w:hint="cs"/>
          <w:rtl/>
        </w:rPr>
        <w:t>ביד</w:t>
      </w:r>
      <w:r w:rsidR="003B3ECA">
        <w:rPr>
          <w:rFonts w:hint="cs"/>
          <w:rtl/>
        </w:rPr>
        <w:t>ם</w:t>
      </w:r>
      <w:r>
        <w:rPr>
          <w:rFonts w:hint="cs"/>
          <w:rtl/>
        </w:rPr>
        <w:t xml:space="preserve"> סמכות, מבחינה עקרונית, לדון בחוקתיות החוק בדרך של </w:t>
      </w:r>
      <w:r w:rsidRPr="00C04EE8">
        <w:rPr>
          <w:rFonts w:ascii="Century" w:hAnsi="Century" w:cs="Miriam" w:hint="cs"/>
          <w:b/>
          <w:spacing w:val="0"/>
          <w:sz w:val="22"/>
          <w:szCs w:val="24"/>
          <w:rtl/>
        </w:rPr>
        <w:t>'תקיפה</w:t>
      </w:r>
      <w:r w:rsidRPr="007B65C2">
        <w:rPr>
          <w:rFonts w:hint="cs"/>
          <w:rtl/>
        </w:rPr>
        <w:t xml:space="preserve"> </w:t>
      </w:r>
      <w:r w:rsidRPr="00C04EE8">
        <w:rPr>
          <w:rFonts w:ascii="Century" w:hAnsi="Century" w:cs="Miriam" w:hint="cs"/>
          <w:b/>
          <w:spacing w:val="0"/>
          <w:sz w:val="22"/>
          <w:szCs w:val="24"/>
          <w:rtl/>
        </w:rPr>
        <w:t>עקיפה'</w:t>
      </w:r>
      <w:r>
        <w:rPr>
          <w:rFonts w:hint="cs"/>
          <w:rtl/>
        </w:rPr>
        <w:t xml:space="preserve"> </w:t>
      </w:r>
      <w:r>
        <w:rPr>
          <w:rFonts w:ascii="David" w:hAnsi="David" w:cs="David" w:hint="cs"/>
          <w:szCs w:val="24"/>
          <w:rtl/>
        </w:rPr>
        <w:t>(</w:t>
      </w:r>
      <w:r>
        <w:rPr>
          <w:rFonts w:ascii="David" w:hAnsi="David" w:cs="David"/>
          <w:szCs w:val="24"/>
        </w:rPr>
        <w:t>Collateral Attack</w:t>
      </w:r>
      <w:r>
        <w:rPr>
          <w:rFonts w:ascii="David" w:hAnsi="David" w:cs="David" w:hint="cs"/>
          <w:szCs w:val="24"/>
          <w:rtl/>
        </w:rPr>
        <w:t>)</w:t>
      </w:r>
      <w:r>
        <w:rPr>
          <w:rFonts w:hint="cs"/>
          <w:rtl/>
        </w:rPr>
        <w:t xml:space="preserve">. מקור הסמכות לכך </w:t>
      </w:r>
      <w:r w:rsidR="0053251C">
        <w:rPr>
          <w:rFonts w:hint="cs"/>
          <w:rtl/>
        </w:rPr>
        <w:t>נטוע</w:t>
      </w:r>
      <w:r>
        <w:rPr>
          <w:rFonts w:hint="cs"/>
          <w:rtl/>
        </w:rPr>
        <w:t xml:space="preserve"> </w:t>
      </w:r>
      <w:r w:rsidR="00A57217">
        <w:rPr>
          <w:rFonts w:hint="cs"/>
          <w:rtl/>
        </w:rPr>
        <w:t>ב</w:t>
      </w:r>
      <w:r>
        <w:rPr>
          <w:rFonts w:hint="cs"/>
          <w:rtl/>
        </w:rPr>
        <w:t xml:space="preserve">סעיף 76 לחוק בתי המשפט [נוסח משולב], התשמ"ד-1984 (להלן: </w:t>
      </w:r>
      <w:r w:rsidRPr="00977F5A">
        <w:rPr>
          <w:rFonts w:ascii="Century" w:hAnsi="Century" w:cs="Miriam" w:hint="eastAsia"/>
          <w:b/>
          <w:spacing w:val="0"/>
          <w:sz w:val="22"/>
          <w:szCs w:val="24"/>
          <w:rtl/>
        </w:rPr>
        <w:t>חוק</w:t>
      </w:r>
      <w:r w:rsidRPr="00977F5A">
        <w:rPr>
          <w:rFonts w:ascii="Century" w:hAnsi="Century" w:cs="Miriam"/>
          <w:b/>
          <w:spacing w:val="0"/>
          <w:sz w:val="22"/>
          <w:szCs w:val="24"/>
          <w:rtl/>
        </w:rPr>
        <w:t xml:space="preserve"> </w:t>
      </w:r>
      <w:r w:rsidRPr="00977F5A">
        <w:rPr>
          <w:rFonts w:ascii="Century" w:hAnsi="Century" w:cs="Miriam" w:hint="eastAsia"/>
          <w:b/>
          <w:spacing w:val="0"/>
          <w:sz w:val="22"/>
          <w:szCs w:val="24"/>
          <w:rtl/>
        </w:rPr>
        <w:t>בתי</w:t>
      </w:r>
      <w:r w:rsidRPr="00977F5A">
        <w:rPr>
          <w:rFonts w:ascii="Century" w:hAnsi="Century" w:cs="Miriam"/>
          <w:b/>
          <w:spacing w:val="0"/>
          <w:sz w:val="22"/>
          <w:szCs w:val="24"/>
          <w:rtl/>
        </w:rPr>
        <w:t xml:space="preserve"> </w:t>
      </w:r>
      <w:r w:rsidRPr="00977F5A">
        <w:rPr>
          <w:rFonts w:ascii="Century" w:hAnsi="Century" w:cs="Miriam" w:hint="eastAsia"/>
          <w:b/>
          <w:spacing w:val="0"/>
          <w:sz w:val="22"/>
          <w:szCs w:val="24"/>
          <w:rtl/>
        </w:rPr>
        <w:t>המשפט</w:t>
      </w:r>
      <w:r>
        <w:rPr>
          <w:rFonts w:hint="cs"/>
          <w:rtl/>
        </w:rPr>
        <w:t xml:space="preserve">), הקובע כך: </w:t>
      </w:r>
      <w:r w:rsidRPr="00C04EE8">
        <w:rPr>
          <w:rFonts w:ascii="Century" w:hAnsi="Century" w:cs="Miriam"/>
          <w:b/>
          <w:spacing w:val="0"/>
          <w:sz w:val="22"/>
          <w:szCs w:val="24"/>
          <w:rtl/>
        </w:rPr>
        <w:t>"</w:t>
      </w:r>
      <w:r w:rsidRPr="00C04EE8">
        <w:rPr>
          <w:rFonts w:ascii="Century" w:hAnsi="Century" w:cs="Miriam" w:hint="eastAsia"/>
          <w:b/>
          <w:spacing w:val="0"/>
          <w:sz w:val="22"/>
          <w:szCs w:val="24"/>
          <w:rtl/>
        </w:rPr>
        <w:t>הובא</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ענין</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כדין</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לפני</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בית</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משפט</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והתעוררה</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בו</w:t>
      </w:r>
      <w:r w:rsidRPr="00C04EE8">
        <w:rPr>
          <w:rFonts w:ascii="Century" w:hAnsi="Century" w:cs="Miriam"/>
          <w:b/>
          <w:spacing w:val="0"/>
          <w:sz w:val="22"/>
          <w:szCs w:val="24"/>
          <w:rtl/>
        </w:rPr>
        <w:t xml:space="preserve"> </w:t>
      </w:r>
      <w:r w:rsidRPr="00977F5A">
        <w:rPr>
          <w:rFonts w:ascii="Century" w:hAnsi="Century" w:cs="Miriam" w:hint="eastAsia"/>
          <w:b/>
          <w:spacing w:val="0"/>
          <w:sz w:val="22"/>
          <w:szCs w:val="24"/>
          <w:u w:val="single"/>
          <w:rtl/>
        </w:rPr>
        <w:t>דרך</w:t>
      </w:r>
      <w:r w:rsidRPr="00977F5A">
        <w:rPr>
          <w:rFonts w:ascii="Century" w:hAnsi="Century" w:cs="Miriam"/>
          <w:b/>
          <w:spacing w:val="0"/>
          <w:sz w:val="22"/>
          <w:szCs w:val="24"/>
          <w:u w:val="single"/>
          <w:rtl/>
        </w:rPr>
        <w:t xml:space="preserve"> </w:t>
      </w:r>
      <w:r w:rsidRPr="00977F5A">
        <w:rPr>
          <w:rFonts w:ascii="Century" w:hAnsi="Century" w:cs="Miriam" w:hint="eastAsia"/>
          <w:b/>
          <w:spacing w:val="0"/>
          <w:sz w:val="22"/>
          <w:szCs w:val="24"/>
          <w:u w:val="single"/>
          <w:rtl/>
        </w:rPr>
        <w:t>אגב</w:t>
      </w:r>
      <w:r w:rsidRPr="00C04EE8">
        <w:rPr>
          <w:rFonts w:ascii="Century" w:hAnsi="Century" w:cs="Miriam"/>
          <w:b/>
          <w:spacing w:val="0"/>
          <w:sz w:val="22"/>
          <w:szCs w:val="24"/>
          <w:rtl/>
        </w:rPr>
        <w:t xml:space="preserve"> </w:t>
      </w:r>
      <w:r w:rsidRPr="00977F5A">
        <w:rPr>
          <w:rFonts w:ascii="Century" w:hAnsi="Century" w:cs="Miriam" w:hint="eastAsia"/>
          <w:b/>
          <w:spacing w:val="0"/>
          <w:sz w:val="22"/>
          <w:szCs w:val="24"/>
          <w:u w:val="single"/>
          <w:rtl/>
        </w:rPr>
        <w:t>שאלה</w:t>
      </w:r>
      <w:r w:rsidRPr="00977F5A">
        <w:rPr>
          <w:rFonts w:ascii="Century" w:hAnsi="Century" w:cs="Miriam"/>
          <w:b/>
          <w:spacing w:val="0"/>
          <w:sz w:val="22"/>
          <w:szCs w:val="24"/>
          <w:u w:val="single"/>
          <w:rtl/>
        </w:rPr>
        <w:t xml:space="preserve"> </w:t>
      </w:r>
      <w:r w:rsidRPr="00977F5A">
        <w:rPr>
          <w:rFonts w:ascii="Century" w:hAnsi="Century" w:cs="Miriam" w:hint="eastAsia"/>
          <w:b/>
          <w:spacing w:val="0"/>
          <w:sz w:val="22"/>
          <w:szCs w:val="24"/>
          <w:u w:val="single"/>
          <w:rtl/>
        </w:rPr>
        <w:t>שהכרעתה</w:t>
      </w:r>
      <w:r w:rsidRPr="00977F5A">
        <w:rPr>
          <w:rFonts w:ascii="Century" w:hAnsi="Century" w:cs="Miriam"/>
          <w:b/>
          <w:spacing w:val="0"/>
          <w:sz w:val="22"/>
          <w:szCs w:val="24"/>
          <w:u w:val="single"/>
          <w:rtl/>
        </w:rPr>
        <w:t xml:space="preserve"> </w:t>
      </w:r>
      <w:r w:rsidRPr="00977F5A">
        <w:rPr>
          <w:rFonts w:ascii="Century" w:hAnsi="Century" w:cs="Miriam" w:hint="eastAsia"/>
          <w:b/>
          <w:spacing w:val="0"/>
          <w:sz w:val="22"/>
          <w:szCs w:val="24"/>
          <w:u w:val="single"/>
          <w:rtl/>
        </w:rPr>
        <w:t>דרושה</w:t>
      </w:r>
      <w:r w:rsidRPr="00977F5A">
        <w:rPr>
          <w:rFonts w:ascii="Century" w:hAnsi="Century" w:cs="Miriam"/>
          <w:b/>
          <w:spacing w:val="0"/>
          <w:sz w:val="22"/>
          <w:szCs w:val="24"/>
          <w:u w:val="single"/>
          <w:rtl/>
        </w:rPr>
        <w:t xml:space="preserve"> </w:t>
      </w:r>
      <w:r w:rsidRPr="00977F5A">
        <w:rPr>
          <w:rFonts w:ascii="Century" w:hAnsi="Century" w:cs="Miriam" w:hint="eastAsia"/>
          <w:b/>
          <w:spacing w:val="0"/>
          <w:sz w:val="22"/>
          <w:szCs w:val="24"/>
          <w:u w:val="single"/>
          <w:rtl/>
        </w:rPr>
        <w:t>לבירור</w:t>
      </w:r>
      <w:r w:rsidRPr="00977F5A">
        <w:rPr>
          <w:rFonts w:ascii="Century" w:hAnsi="Century" w:cs="Miriam"/>
          <w:b/>
          <w:spacing w:val="0"/>
          <w:sz w:val="22"/>
          <w:szCs w:val="24"/>
          <w:u w:val="single"/>
          <w:rtl/>
        </w:rPr>
        <w:t xml:space="preserve"> </w:t>
      </w:r>
      <w:r w:rsidRPr="00977F5A">
        <w:rPr>
          <w:rFonts w:ascii="Century" w:hAnsi="Century" w:cs="Miriam" w:hint="eastAsia"/>
          <w:b/>
          <w:spacing w:val="0"/>
          <w:sz w:val="22"/>
          <w:szCs w:val="24"/>
          <w:u w:val="single"/>
          <w:rtl/>
        </w:rPr>
        <w:t>הענין</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רשאי</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בית</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המשפט</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להכריע</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בה</w:t>
      </w:r>
      <w:r w:rsidRPr="00C04EE8">
        <w:rPr>
          <w:rFonts w:ascii="Century" w:hAnsi="Century" w:cs="Miriam"/>
          <w:b/>
          <w:spacing w:val="0"/>
          <w:sz w:val="22"/>
          <w:szCs w:val="24"/>
          <w:rtl/>
        </w:rPr>
        <w:t xml:space="preserve"> </w:t>
      </w:r>
      <w:r w:rsidRPr="00977F5A">
        <w:rPr>
          <w:rFonts w:ascii="Century" w:hAnsi="Century" w:cs="Miriam" w:hint="eastAsia"/>
          <w:b/>
          <w:spacing w:val="0"/>
          <w:sz w:val="22"/>
          <w:szCs w:val="24"/>
          <w:u w:val="single"/>
          <w:rtl/>
        </w:rPr>
        <w:t>לצורך</w:t>
      </w:r>
      <w:r w:rsidRPr="00977F5A">
        <w:rPr>
          <w:rFonts w:ascii="Century" w:hAnsi="Century" w:cs="Miriam"/>
          <w:b/>
          <w:spacing w:val="0"/>
          <w:sz w:val="22"/>
          <w:szCs w:val="24"/>
          <w:u w:val="single"/>
          <w:rtl/>
        </w:rPr>
        <w:t xml:space="preserve"> </w:t>
      </w:r>
      <w:r w:rsidRPr="00977F5A">
        <w:rPr>
          <w:rFonts w:ascii="Century" w:hAnsi="Century" w:cs="Miriam" w:hint="eastAsia"/>
          <w:b/>
          <w:spacing w:val="0"/>
          <w:sz w:val="22"/>
          <w:szCs w:val="24"/>
          <w:u w:val="single"/>
          <w:rtl/>
        </w:rPr>
        <w:t>אותו</w:t>
      </w:r>
      <w:r w:rsidRPr="00977F5A">
        <w:rPr>
          <w:rFonts w:ascii="Century" w:hAnsi="Century" w:cs="Miriam"/>
          <w:b/>
          <w:spacing w:val="0"/>
          <w:sz w:val="22"/>
          <w:szCs w:val="24"/>
          <w:u w:val="single"/>
          <w:rtl/>
        </w:rPr>
        <w:t xml:space="preserve"> </w:t>
      </w:r>
      <w:r w:rsidRPr="00977F5A">
        <w:rPr>
          <w:rFonts w:ascii="Century" w:hAnsi="Century" w:cs="Miriam" w:hint="eastAsia"/>
          <w:b/>
          <w:spacing w:val="0"/>
          <w:sz w:val="22"/>
          <w:szCs w:val="24"/>
          <w:u w:val="single"/>
          <w:rtl/>
        </w:rPr>
        <w:t>ענין</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אף</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אם</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הענין</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שבשאלה</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הוא</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בסמכותו</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הייחודית</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של</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בית</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משפט</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אחר</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או</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של</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בית</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דין</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אחר</w:t>
      </w:r>
      <w:r w:rsidRPr="00C04EE8">
        <w:rPr>
          <w:rFonts w:ascii="Century" w:hAnsi="Century" w:cs="Miriam"/>
          <w:b/>
          <w:spacing w:val="0"/>
          <w:sz w:val="22"/>
          <w:szCs w:val="24"/>
          <w:rtl/>
        </w:rPr>
        <w:t>"</w:t>
      </w:r>
      <w:r>
        <w:rPr>
          <w:rFonts w:hint="cs"/>
          <w:rtl/>
        </w:rPr>
        <w:t xml:space="preserve"> (ההדגשות הוספו </w:t>
      </w:r>
      <w:r>
        <w:rPr>
          <w:rtl/>
        </w:rPr>
        <w:t>–</w:t>
      </w:r>
      <w:r>
        <w:rPr>
          <w:rFonts w:hint="cs"/>
          <w:rtl/>
        </w:rPr>
        <w:t xml:space="preserve"> נ' ס'). סעיף 76 הנזכר, מעגן אפוא את סמכותו של בית משפט לדון ולהכריע, באופן אגבי, </w:t>
      </w:r>
      <w:r>
        <w:rPr>
          <w:rFonts w:hint="cs"/>
          <w:rtl/>
        </w:rPr>
        <w:lastRenderedPageBreak/>
        <w:t xml:space="preserve">בשאלה אינצידנטלית, הנתונה </w:t>
      </w:r>
      <w:r w:rsidRPr="00C04EE8">
        <w:rPr>
          <w:rFonts w:ascii="Century" w:hAnsi="Century" w:cs="Miriam" w:hint="cs"/>
          <w:b/>
          <w:spacing w:val="0"/>
          <w:sz w:val="22"/>
          <w:szCs w:val="24"/>
          <w:rtl/>
        </w:rPr>
        <w:t>לסמכות</w:t>
      </w:r>
      <w:r w:rsidR="00A57217">
        <w:rPr>
          <w:rFonts w:ascii="Century" w:hAnsi="Century" w:cs="Miriam" w:hint="cs"/>
          <w:b/>
          <w:spacing w:val="0"/>
          <w:sz w:val="22"/>
          <w:szCs w:val="24"/>
          <w:rtl/>
        </w:rPr>
        <w:t xml:space="preserve"> השיפוט</w:t>
      </w:r>
      <w:r w:rsidRPr="00C04EE8">
        <w:rPr>
          <w:rFonts w:ascii="Century" w:hAnsi="Century" w:cs="Miriam" w:hint="cs"/>
          <w:b/>
          <w:spacing w:val="0"/>
          <w:sz w:val="22"/>
          <w:szCs w:val="24"/>
          <w:rtl/>
        </w:rPr>
        <w:t xml:space="preserve"> העניינית של בית משפט אחר</w:t>
      </w:r>
      <w:r>
        <w:rPr>
          <w:rFonts w:hint="cs"/>
          <w:rtl/>
        </w:rPr>
        <w:t xml:space="preserve">, ובלבד שהכרעה בשאלה זו </w:t>
      </w:r>
      <w:r w:rsidRPr="00C04EE8">
        <w:rPr>
          <w:rFonts w:ascii="Century" w:hAnsi="Century" w:cs="Miriam" w:hint="cs"/>
          <w:b/>
          <w:spacing w:val="0"/>
          <w:sz w:val="22"/>
          <w:szCs w:val="24"/>
          <w:rtl/>
        </w:rPr>
        <w:t>דרושה לבירור עניין</w:t>
      </w:r>
      <w:r>
        <w:rPr>
          <w:rFonts w:hint="cs"/>
          <w:rtl/>
        </w:rPr>
        <w:t xml:space="preserve"> שהובא </w:t>
      </w:r>
      <w:r w:rsidRPr="00C04EE8">
        <w:rPr>
          <w:rFonts w:ascii="FrankRuehl" w:hAnsi="FrankRuehl"/>
          <w:b/>
          <w:spacing w:val="0"/>
          <w:sz w:val="28"/>
          <w:rtl/>
        </w:rPr>
        <w:t>כדין</w:t>
      </w:r>
      <w:r w:rsidRPr="00C04EE8">
        <w:rPr>
          <w:rFonts w:hint="cs"/>
          <w:rtl/>
        </w:rPr>
        <w:t xml:space="preserve"> </w:t>
      </w:r>
      <w:r>
        <w:rPr>
          <w:rFonts w:hint="cs"/>
          <w:rtl/>
        </w:rPr>
        <w:t xml:space="preserve">לפני בית המשפט. אולם, כידוע, סעיף זה משמיענו דבר-מה נוסף. לפי לשון הסעיף, ההכרעה הנגררת, כוחה יהא יפה רק </w:t>
      </w:r>
      <w:r w:rsidRPr="00C04EE8">
        <w:rPr>
          <w:rFonts w:ascii="Century" w:hAnsi="Century" w:cs="Miriam" w:hint="cs"/>
          <w:b/>
          <w:spacing w:val="0"/>
          <w:sz w:val="22"/>
          <w:szCs w:val="24"/>
          <w:rtl/>
        </w:rPr>
        <w:t>"לצורך אותו עניין"</w:t>
      </w:r>
      <w:r>
        <w:rPr>
          <w:rFonts w:hint="cs"/>
          <w:rtl/>
        </w:rPr>
        <w:t>. משמע, ההכרעות השיפוטיות מכוח הסמכות הנגררת, תהיינה מוגבלות ותחומות לדל"ת אמותיו של אותו הליך;</w:t>
      </w:r>
      <w:r w:rsidRPr="006A31C3">
        <w:rPr>
          <w:rFonts w:hint="cs"/>
          <w:rtl/>
        </w:rPr>
        <w:t xml:space="preserve"> </w:t>
      </w:r>
      <w:r>
        <w:rPr>
          <w:rFonts w:hint="cs"/>
          <w:rtl/>
        </w:rPr>
        <w:t xml:space="preserve">ויחייבו רק את הצדדים לו, לגבי אותו עניין בלבד (ראו: </w:t>
      </w:r>
      <w:r w:rsidRPr="000864C7">
        <w:rPr>
          <w:rFonts w:hint="eastAsia"/>
          <w:rtl/>
        </w:rPr>
        <w:t>ע</w:t>
      </w:r>
      <w:r w:rsidRPr="000864C7">
        <w:rPr>
          <w:rtl/>
        </w:rPr>
        <w:t>"</w:t>
      </w:r>
      <w:r w:rsidRPr="000864C7">
        <w:rPr>
          <w:rFonts w:hint="eastAsia"/>
          <w:rtl/>
        </w:rPr>
        <w:t>א</w:t>
      </w:r>
      <w:r w:rsidRPr="000864C7">
        <w:rPr>
          <w:rtl/>
        </w:rPr>
        <w:t xml:space="preserve"> 183/69 </w:t>
      </w:r>
      <w:r w:rsidRPr="00C04EE8">
        <w:rPr>
          <w:rFonts w:ascii="Century" w:hAnsi="Century" w:cs="Miriam" w:hint="eastAsia"/>
          <w:b/>
          <w:spacing w:val="0"/>
          <w:sz w:val="22"/>
          <w:szCs w:val="24"/>
          <w:rtl/>
        </w:rPr>
        <w:t>עיריית</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פתח</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תקווה</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נ</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טחן</w:t>
      </w:r>
      <w:r w:rsidRPr="000864C7">
        <w:rPr>
          <w:rtl/>
        </w:rPr>
        <w:t xml:space="preserve">, </w:t>
      </w:r>
      <w:r w:rsidRPr="000864C7">
        <w:rPr>
          <w:rFonts w:hint="eastAsia"/>
          <w:rtl/>
        </w:rPr>
        <w:t>פ</w:t>
      </w:r>
      <w:r w:rsidRPr="000864C7">
        <w:rPr>
          <w:rtl/>
        </w:rPr>
        <w:t>"</w:t>
      </w:r>
      <w:r w:rsidRPr="000864C7">
        <w:rPr>
          <w:rFonts w:hint="eastAsia"/>
          <w:rtl/>
        </w:rPr>
        <w:t>ד</w:t>
      </w:r>
      <w:r w:rsidRPr="000864C7">
        <w:rPr>
          <w:rtl/>
        </w:rPr>
        <w:t xml:space="preserve"> </w:t>
      </w:r>
      <w:r w:rsidRPr="000864C7">
        <w:rPr>
          <w:rFonts w:hint="eastAsia"/>
          <w:rtl/>
        </w:rPr>
        <w:t>כג</w:t>
      </w:r>
      <w:r w:rsidRPr="000864C7">
        <w:rPr>
          <w:rtl/>
        </w:rPr>
        <w:t>(2) 398, 405 (1969)</w:t>
      </w:r>
      <w:r>
        <w:rPr>
          <w:rFonts w:hint="cs"/>
          <w:rtl/>
        </w:rPr>
        <w:t xml:space="preserve">; </w:t>
      </w:r>
      <w:r w:rsidRPr="000864C7">
        <w:rPr>
          <w:rFonts w:hint="eastAsia"/>
          <w:rtl/>
        </w:rPr>
        <w:t>יצחק</w:t>
      </w:r>
      <w:r w:rsidRPr="000864C7">
        <w:rPr>
          <w:rtl/>
        </w:rPr>
        <w:t xml:space="preserve"> </w:t>
      </w:r>
      <w:r w:rsidRPr="000864C7">
        <w:rPr>
          <w:rFonts w:hint="eastAsia"/>
          <w:rtl/>
        </w:rPr>
        <w:t>זמיר</w:t>
      </w:r>
      <w:r w:rsidRPr="000864C7">
        <w:rPr>
          <w:rtl/>
        </w:rPr>
        <w:t xml:space="preserve">, </w:t>
      </w:r>
      <w:r w:rsidRPr="00C04EE8">
        <w:rPr>
          <w:rFonts w:ascii="Century" w:hAnsi="Century" w:cs="Miriam" w:hint="eastAsia"/>
          <w:b/>
          <w:spacing w:val="0"/>
          <w:sz w:val="22"/>
          <w:szCs w:val="24"/>
          <w:rtl/>
        </w:rPr>
        <w:t>השפיטה</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בעניינים</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המנהליים</w:t>
      </w:r>
      <w:r w:rsidRPr="000864C7">
        <w:rPr>
          <w:rtl/>
        </w:rPr>
        <w:t xml:space="preserve"> </w:t>
      </w:r>
      <w:r>
        <w:rPr>
          <w:rFonts w:hint="cs"/>
          <w:rtl/>
        </w:rPr>
        <w:t>48-47</w:t>
      </w:r>
      <w:r w:rsidRPr="000864C7">
        <w:rPr>
          <w:rtl/>
        </w:rPr>
        <w:t xml:space="preserve"> (1975)</w:t>
      </w:r>
      <w:r>
        <w:rPr>
          <w:rFonts w:hint="cs"/>
          <w:rtl/>
        </w:rPr>
        <w:t xml:space="preserve">; </w:t>
      </w:r>
      <w:r w:rsidRPr="000864C7">
        <w:rPr>
          <w:rFonts w:hint="eastAsia"/>
          <w:rtl/>
        </w:rPr>
        <w:t>דפנה</w:t>
      </w:r>
      <w:r w:rsidRPr="000864C7">
        <w:rPr>
          <w:rtl/>
        </w:rPr>
        <w:t xml:space="preserve"> </w:t>
      </w:r>
      <w:r w:rsidRPr="000864C7">
        <w:rPr>
          <w:rFonts w:hint="eastAsia"/>
          <w:rtl/>
        </w:rPr>
        <w:t>ברק</w:t>
      </w:r>
      <w:r w:rsidRPr="000864C7">
        <w:rPr>
          <w:rtl/>
        </w:rPr>
        <w:t>-</w:t>
      </w:r>
      <w:r w:rsidRPr="000864C7">
        <w:rPr>
          <w:rFonts w:hint="eastAsia"/>
          <w:rtl/>
        </w:rPr>
        <w:t>ארז</w:t>
      </w:r>
      <w:r w:rsidRPr="000864C7">
        <w:rPr>
          <w:rtl/>
        </w:rPr>
        <w:t xml:space="preserve">, </w:t>
      </w:r>
      <w:r w:rsidRPr="00C04EE8">
        <w:rPr>
          <w:rFonts w:ascii="Century" w:hAnsi="Century" w:cs="Miriam" w:hint="eastAsia"/>
          <w:b/>
          <w:spacing w:val="0"/>
          <w:sz w:val="22"/>
          <w:szCs w:val="24"/>
          <w:rtl/>
        </w:rPr>
        <w:t>משפט</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מנהלי</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דיוני</w:t>
      </w:r>
      <w:r w:rsidRPr="00977F5A">
        <w:rPr>
          <w:rFonts w:ascii="Century" w:hAnsi="Century"/>
          <w:sz w:val="22"/>
          <w:rtl/>
        </w:rPr>
        <w:t xml:space="preserve"> </w:t>
      </w:r>
      <w:r w:rsidRPr="00977F5A">
        <w:rPr>
          <w:rFonts w:ascii="Century" w:hAnsi="Century" w:hint="eastAsia"/>
          <w:sz w:val="22"/>
          <w:rtl/>
        </w:rPr>
        <w:t>ד</w:t>
      </w:r>
      <w:r w:rsidRPr="000864C7">
        <w:rPr>
          <w:rtl/>
        </w:rPr>
        <w:t xml:space="preserve">, </w:t>
      </w:r>
      <w:r>
        <w:rPr>
          <w:rFonts w:hint="cs"/>
          <w:rtl/>
        </w:rPr>
        <w:t>169-168</w:t>
      </w:r>
      <w:r w:rsidRPr="000864C7">
        <w:rPr>
          <w:rtl/>
        </w:rPr>
        <w:t xml:space="preserve"> (2017)</w:t>
      </w:r>
      <w:r>
        <w:rPr>
          <w:rFonts w:hint="cs"/>
          <w:rtl/>
        </w:rPr>
        <w:t xml:space="preserve">; נינה זלצמן, </w:t>
      </w:r>
      <w:r w:rsidRPr="003F3104">
        <w:rPr>
          <w:rFonts w:ascii="Century" w:hAnsi="Century" w:cs="Miriam" w:hint="cs"/>
          <w:b/>
          <w:spacing w:val="0"/>
          <w:sz w:val="22"/>
          <w:szCs w:val="24"/>
          <w:rtl/>
        </w:rPr>
        <w:t>מעשה בית-דין בהליך אזרחי</w:t>
      </w:r>
      <w:r>
        <w:rPr>
          <w:rFonts w:hint="cs"/>
          <w:rtl/>
        </w:rPr>
        <w:t>, 225 (1991)).</w:t>
      </w:r>
      <w:r w:rsidRPr="00C04EE8">
        <w:rPr>
          <w:rFonts w:ascii="FrankRuehl" w:hAnsi="FrankRuehl" w:hint="cs"/>
          <w:sz w:val="28"/>
          <w:rtl/>
        </w:rPr>
        <w:t xml:space="preserve"> ההסדר החוקי שבסעיף 76</w:t>
      </w:r>
      <w:r>
        <w:rPr>
          <w:rFonts w:ascii="FrankRuehl" w:hAnsi="FrankRuehl" w:hint="cs"/>
          <w:sz w:val="28"/>
          <w:rtl/>
        </w:rPr>
        <w:t xml:space="preserve">, נועד לאזן בין שני אינטרסים מערכתיים שונים: </w:t>
      </w:r>
      <w:r w:rsidRPr="00C04EE8">
        <w:rPr>
          <w:rFonts w:ascii="FrankRuehl" w:hAnsi="FrankRuehl" w:hint="cs"/>
          <w:sz w:val="28"/>
          <w:rtl/>
        </w:rPr>
        <w:t>בין 'יעילות הדיון' וה</w:t>
      </w:r>
      <w:r>
        <w:rPr>
          <w:rFonts w:ascii="FrankRuehl" w:hAnsi="FrankRuehl" w:hint="cs"/>
          <w:sz w:val="28"/>
          <w:rtl/>
        </w:rPr>
        <w:t>רצון</w:t>
      </w:r>
      <w:r w:rsidRPr="00C04EE8">
        <w:rPr>
          <w:rFonts w:ascii="FrankRuehl" w:hAnsi="FrankRuehl" w:hint="cs"/>
          <w:sz w:val="28"/>
          <w:rtl/>
        </w:rPr>
        <w:t xml:space="preserve"> להימנע מפיצול דיונים</w:t>
      </w:r>
      <w:r>
        <w:rPr>
          <w:rFonts w:ascii="FrankRuehl" w:hAnsi="FrankRuehl" w:hint="cs"/>
          <w:sz w:val="28"/>
          <w:rtl/>
        </w:rPr>
        <w:t>, מחד גיסא;</w:t>
      </w:r>
      <w:r w:rsidRPr="00C04EE8">
        <w:rPr>
          <w:rFonts w:ascii="FrankRuehl" w:hAnsi="FrankRuehl" w:hint="cs"/>
          <w:sz w:val="28"/>
          <w:rtl/>
        </w:rPr>
        <w:t xml:space="preserve"> לבין כיבוד כללי הסמכות בין הערכאות השונות</w:t>
      </w:r>
      <w:r>
        <w:rPr>
          <w:rFonts w:ascii="FrankRuehl" w:hAnsi="FrankRuehl" w:hint="cs"/>
          <w:sz w:val="28"/>
          <w:rtl/>
        </w:rPr>
        <w:t>, מאידך גיסא</w:t>
      </w:r>
      <w:r w:rsidRPr="00C04EE8">
        <w:rPr>
          <w:rFonts w:ascii="FrankRuehl" w:hAnsi="FrankRuehl" w:hint="cs"/>
          <w:sz w:val="28"/>
          <w:rtl/>
        </w:rPr>
        <w:t xml:space="preserve">: </w:t>
      </w:r>
      <w:r w:rsidRPr="00C04EE8">
        <w:rPr>
          <w:rFonts w:ascii="Century" w:hAnsi="Century" w:cs="Miriam" w:hint="cs"/>
          <w:b/>
          <w:spacing w:val="0"/>
          <w:sz w:val="22"/>
          <w:szCs w:val="24"/>
          <w:rtl/>
        </w:rPr>
        <w:t>"</w:t>
      </w:r>
      <w:r w:rsidRPr="00C04EE8">
        <w:rPr>
          <w:rFonts w:ascii="Century" w:hAnsi="Century" w:cs="Miriam" w:hint="eastAsia"/>
          <w:b/>
          <w:spacing w:val="0"/>
          <w:sz w:val="22"/>
          <w:szCs w:val="24"/>
          <w:rtl/>
        </w:rPr>
        <w:t>תכלית</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ההוראה</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גלויה</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על</w:t>
      </w:r>
      <w:r w:rsidRPr="00C04EE8">
        <w:rPr>
          <w:rFonts w:ascii="Century" w:hAnsi="Century" w:cs="Miriam"/>
          <w:b/>
          <w:spacing w:val="0"/>
          <w:sz w:val="22"/>
          <w:szCs w:val="24"/>
          <w:rtl/>
        </w:rPr>
        <w:t>-</w:t>
      </w:r>
      <w:r w:rsidRPr="00C04EE8">
        <w:rPr>
          <w:rFonts w:ascii="Century" w:hAnsi="Century" w:cs="Miriam" w:hint="eastAsia"/>
          <w:b/>
          <w:spacing w:val="0"/>
          <w:sz w:val="22"/>
          <w:szCs w:val="24"/>
          <w:rtl/>
        </w:rPr>
        <w:t>פניה</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מחד</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גיסא</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שלא</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להביא</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לפיצול</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בלתי</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ראוי</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של</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דיונים</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ומאידך</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גיסא</w:t>
      </w:r>
      <w:r w:rsidRPr="00C04EE8">
        <w:rPr>
          <w:rFonts w:ascii="Century" w:hAnsi="Century" w:cs="Miriam"/>
          <w:b/>
          <w:spacing w:val="0"/>
          <w:sz w:val="22"/>
          <w:szCs w:val="24"/>
          <w:rtl/>
        </w:rPr>
        <w:t xml:space="preserve"> </w:t>
      </w:r>
      <w:r w:rsidRPr="00977F5A">
        <w:rPr>
          <w:rFonts w:ascii="Century" w:hAnsi="Century"/>
          <w:sz w:val="22"/>
          <w:rtl/>
        </w:rPr>
        <w:t>–</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ובשל</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צמצום</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ההכרעה</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בשאלת</w:t>
      </w:r>
      <w:r w:rsidRPr="00C04EE8">
        <w:rPr>
          <w:rFonts w:ascii="Century" w:hAnsi="Century" w:cs="Miriam"/>
          <w:b/>
          <w:spacing w:val="0"/>
          <w:sz w:val="22"/>
          <w:szCs w:val="24"/>
          <w:rtl/>
        </w:rPr>
        <w:t>-</w:t>
      </w:r>
      <w:r w:rsidRPr="00C04EE8">
        <w:rPr>
          <w:rFonts w:ascii="Century" w:hAnsi="Century" w:cs="Miriam" w:hint="eastAsia"/>
          <w:b/>
          <w:spacing w:val="0"/>
          <w:sz w:val="22"/>
          <w:szCs w:val="24"/>
          <w:rtl/>
        </w:rPr>
        <w:t>האגב</w:t>
      </w:r>
      <w:r w:rsidRPr="00C04EE8">
        <w:rPr>
          <w:rFonts w:ascii="Century" w:hAnsi="Century" w:cs="Miriam"/>
          <w:b/>
          <w:spacing w:val="0"/>
          <w:sz w:val="22"/>
          <w:szCs w:val="24"/>
          <w:rtl/>
        </w:rPr>
        <w:t xml:space="preserve"> </w:t>
      </w:r>
      <w:r>
        <w:rPr>
          <w:rFonts w:ascii="Century" w:hAnsi="Century" w:cs="Miriam" w:hint="cs"/>
          <w:b/>
          <w:spacing w:val="0"/>
          <w:sz w:val="22"/>
          <w:szCs w:val="24"/>
          <w:rtl/>
        </w:rPr>
        <w:t>'</w:t>
      </w:r>
      <w:r w:rsidRPr="00C04EE8">
        <w:rPr>
          <w:rFonts w:ascii="Century" w:hAnsi="Century" w:cs="Miriam" w:hint="eastAsia"/>
          <w:b/>
          <w:spacing w:val="0"/>
          <w:sz w:val="22"/>
          <w:szCs w:val="24"/>
          <w:rtl/>
        </w:rPr>
        <w:t>לצורך</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אותו</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ענין</w:t>
      </w:r>
      <w:r>
        <w:rPr>
          <w:rFonts w:ascii="Century" w:hAnsi="Century" w:cs="Miriam" w:hint="cs"/>
          <w:b/>
          <w:spacing w:val="0"/>
          <w:sz w:val="22"/>
          <w:szCs w:val="24"/>
          <w:rtl/>
        </w:rPr>
        <w:t>'</w:t>
      </w:r>
      <w:r w:rsidRPr="00C04EE8">
        <w:rPr>
          <w:rFonts w:ascii="Century" w:hAnsi="Century" w:cs="Miriam"/>
          <w:b/>
          <w:spacing w:val="0"/>
          <w:sz w:val="22"/>
          <w:szCs w:val="24"/>
          <w:rtl/>
        </w:rPr>
        <w:t xml:space="preserve"> </w:t>
      </w:r>
      <w:r w:rsidRPr="00977F5A">
        <w:rPr>
          <w:rFonts w:ascii="Century" w:hAnsi="Century"/>
          <w:sz w:val="22"/>
          <w:rtl/>
        </w:rPr>
        <w:t>–</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לשמור</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כראוי</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על</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חלוקת</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הסמכויות</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בין</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גופי</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השפיטה</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כפי</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שנקבעה</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בחוק</w:t>
      </w:r>
      <w:r w:rsidRPr="00C04EE8">
        <w:rPr>
          <w:rFonts w:ascii="Century" w:hAnsi="Century" w:cs="Miriam" w:hint="cs"/>
          <w:b/>
          <w:spacing w:val="0"/>
          <w:sz w:val="22"/>
          <w:szCs w:val="24"/>
          <w:rtl/>
        </w:rPr>
        <w:t>"</w:t>
      </w:r>
      <w:r w:rsidRPr="00C04EE8">
        <w:rPr>
          <w:rFonts w:ascii="FrankRuehl" w:hAnsi="FrankRuehl" w:hint="cs"/>
          <w:sz w:val="28"/>
          <w:rtl/>
        </w:rPr>
        <w:t xml:space="preserve"> (</w:t>
      </w:r>
      <w:r w:rsidRPr="00C04EE8">
        <w:rPr>
          <w:rFonts w:ascii="FrankRuehl" w:hAnsi="FrankRuehl" w:hint="eastAsia"/>
          <w:sz w:val="28"/>
          <w:rtl/>
        </w:rPr>
        <w:t>בג</w:t>
      </w:r>
      <w:r w:rsidRPr="00C04EE8">
        <w:rPr>
          <w:rFonts w:ascii="FrankRuehl" w:hAnsi="FrankRuehl"/>
          <w:sz w:val="28"/>
          <w:rtl/>
        </w:rPr>
        <w:t>"</w:t>
      </w:r>
      <w:r w:rsidRPr="00C04EE8">
        <w:rPr>
          <w:rFonts w:ascii="FrankRuehl" w:hAnsi="FrankRuehl" w:hint="eastAsia"/>
          <w:sz w:val="28"/>
          <w:rtl/>
        </w:rPr>
        <w:t>ץ</w:t>
      </w:r>
      <w:r w:rsidRPr="00C04EE8">
        <w:rPr>
          <w:rFonts w:ascii="FrankRuehl" w:hAnsi="FrankRuehl"/>
          <w:sz w:val="28"/>
          <w:rtl/>
        </w:rPr>
        <w:t xml:space="preserve"> 1214</w:t>
      </w:r>
      <w:r>
        <w:rPr>
          <w:rFonts w:ascii="FrankRuehl" w:hAnsi="FrankRuehl" w:hint="cs"/>
          <w:sz w:val="28"/>
          <w:rtl/>
        </w:rPr>
        <w:t>/</w:t>
      </w:r>
      <w:r w:rsidRPr="00C04EE8">
        <w:rPr>
          <w:rFonts w:ascii="FrankRuehl" w:hAnsi="FrankRuehl"/>
          <w:sz w:val="28"/>
          <w:rtl/>
        </w:rPr>
        <w:t xml:space="preserve">97 </w:t>
      </w:r>
      <w:r w:rsidRPr="00C04EE8">
        <w:rPr>
          <w:rFonts w:ascii="Century" w:hAnsi="Century" w:cs="Miriam" w:hint="eastAsia"/>
          <w:b/>
          <w:spacing w:val="0"/>
          <w:sz w:val="22"/>
          <w:szCs w:val="24"/>
          <w:rtl/>
        </w:rPr>
        <w:t>חלמיש</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נ</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בית</w:t>
      </w:r>
      <w:r w:rsidRPr="00C04EE8">
        <w:rPr>
          <w:rFonts w:ascii="Century" w:hAnsi="Century" w:cs="Miriam"/>
          <w:b/>
          <w:spacing w:val="0"/>
          <w:sz w:val="22"/>
          <w:szCs w:val="24"/>
          <w:rtl/>
        </w:rPr>
        <w:t>-</w:t>
      </w:r>
      <w:r w:rsidRPr="00C04EE8">
        <w:rPr>
          <w:rFonts w:ascii="Century" w:hAnsi="Century" w:cs="Miriam" w:hint="eastAsia"/>
          <w:b/>
          <w:spacing w:val="0"/>
          <w:sz w:val="22"/>
          <w:szCs w:val="24"/>
          <w:rtl/>
        </w:rPr>
        <w:t>הדין</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הארצי</w:t>
      </w:r>
      <w:r w:rsidRPr="00C04EE8">
        <w:rPr>
          <w:rFonts w:ascii="Century" w:hAnsi="Century" w:cs="Miriam"/>
          <w:b/>
          <w:spacing w:val="0"/>
          <w:sz w:val="22"/>
          <w:szCs w:val="24"/>
          <w:rtl/>
        </w:rPr>
        <w:t xml:space="preserve"> </w:t>
      </w:r>
      <w:r w:rsidRPr="00C04EE8">
        <w:rPr>
          <w:rFonts w:ascii="Century" w:hAnsi="Century" w:cs="Miriam" w:hint="eastAsia"/>
          <w:b/>
          <w:spacing w:val="0"/>
          <w:sz w:val="22"/>
          <w:szCs w:val="24"/>
          <w:rtl/>
        </w:rPr>
        <w:t>לעבודה</w:t>
      </w:r>
      <w:r w:rsidRPr="00C04EE8">
        <w:rPr>
          <w:rFonts w:ascii="FrankRuehl" w:hAnsi="FrankRuehl"/>
          <w:sz w:val="28"/>
          <w:rtl/>
        </w:rPr>
        <w:t xml:space="preserve">, </w:t>
      </w:r>
      <w:r w:rsidRPr="00C04EE8">
        <w:rPr>
          <w:rFonts w:ascii="FrankRuehl" w:hAnsi="FrankRuehl" w:hint="eastAsia"/>
          <w:sz w:val="28"/>
          <w:rtl/>
        </w:rPr>
        <w:t>פ</w:t>
      </w:r>
      <w:r w:rsidRPr="00C04EE8">
        <w:rPr>
          <w:rFonts w:ascii="FrankRuehl" w:hAnsi="FrankRuehl"/>
          <w:sz w:val="28"/>
          <w:rtl/>
        </w:rPr>
        <w:t>"</w:t>
      </w:r>
      <w:r w:rsidRPr="00C04EE8">
        <w:rPr>
          <w:rFonts w:ascii="FrankRuehl" w:hAnsi="FrankRuehl" w:hint="eastAsia"/>
          <w:sz w:val="28"/>
          <w:rtl/>
        </w:rPr>
        <w:t>ד</w:t>
      </w:r>
      <w:r w:rsidRPr="00C04EE8">
        <w:rPr>
          <w:rFonts w:ascii="FrankRuehl" w:hAnsi="FrankRuehl"/>
          <w:sz w:val="28"/>
          <w:rtl/>
        </w:rPr>
        <w:t xml:space="preserve"> </w:t>
      </w:r>
      <w:r w:rsidRPr="00C04EE8">
        <w:rPr>
          <w:rFonts w:ascii="FrankRuehl" w:hAnsi="FrankRuehl" w:hint="eastAsia"/>
          <w:sz w:val="28"/>
          <w:rtl/>
        </w:rPr>
        <w:t>נג</w:t>
      </w:r>
      <w:r w:rsidRPr="00C04EE8">
        <w:rPr>
          <w:rFonts w:ascii="FrankRuehl" w:hAnsi="FrankRuehl"/>
          <w:sz w:val="28"/>
          <w:rtl/>
        </w:rPr>
        <w:t>(2) 647</w:t>
      </w:r>
      <w:r w:rsidR="00800590">
        <w:rPr>
          <w:rFonts w:ascii="FrankRuehl" w:hAnsi="FrankRuehl" w:hint="cs"/>
          <w:sz w:val="28"/>
          <w:rtl/>
        </w:rPr>
        <w:t>,</w:t>
      </w:r>
      <w:r w:rsidRPr="00C04EE8">
        <w:rPr>
          <w:rFonts w:ascii="FrankRuehl" w:hAnsi="FrankRuehl" w:hint="cs"/>
          <w:sz w:val="28"/>
          <w:rtl/>
        </w:rPr>
        <w:t xml:space="preserve"> 658 (1999)).</w:t>
      </w:r>
      <w:r>
        <w:rPr>
          <w:rFonts w:ascii="FrankRuehl" w:hAnsi="FrankRuehl" w:hint="cs"/>
          <w:sz w:val="28"/>
          <w:rtl/>
        </w:rPr>
        <w:t xml:space="preserve"> </w:t>
      </w:r>
      <w:r w:rsidRPr="00C04EE8">
        <w:rPr>
          <w:rFonts w:ascii="FrankRuehl" w:hAnsi="FrankRuehl"/>
          <w:sz w:val="28"/>
          <w:rtl/>
        </w:rPr>
        <w:br/>
      </w:r>
      <w:r>
        <w:rPr>
          <w:rFonts w:hint="cs"/>
          <w:rtl/>
        </w:rPr>
        <w:t xml:space="preserve"> </w:t>
      </w:r>
    </w:p>
    <w:p w:rsidR="00D512D4" w:rsidRPr="00E32D1C" w:rsidRDefault="00D512D4" w:rsidP="009944B1">
      <w:pPr>
        <w:pStyle w:val="Ruller4"/>
        <w:rPr>
          <w:rFonts w:ascii="FrankRuehl" w:hAnsi="FrankRuehl"/>
          <w:sz w:val="28"/>
          <w:rtl/>
        </w:rPr>
      </w:pPr>
      <w:r>
        <w:rPr>
          <w:rFonts w:hint="cs"/>
          <w:rtl/>
        </w:rPr>
        <w:t xml:space="preserve">עניין נוסף </w:t>
      </w:r>
      <w:r w:rsidR="009944B1">
        <w:rPr>
          <w:rFonts w:hint="cs"/>
          <w:rtl/>
        </w:rPr>
        <w:t>הנובע</w:t>
      </w:r>
      <w:r>
        <w:rPr>
          <w:rFonts w:hint="cs"/>
          <w:rtl/>
        </w:rPr>
        <w:t xml:space="preserve"> מלשון הסעיף האמור, נוגע ל</w:t>
      </w:r>
      <w:r w:rsidRPr="00D9521F">
        <w:rPr>
          <w:rFonts w:ascii="Century" w:hAnsi="Century" w:cs="Miriam" w:hint="cs"/>
          <w:b/>
          <w:spacing w:val="0"/>
          <w:sz w:val="22"/>
          <w:szCs w:val="24"/>
          <w:rtl/>
        </w:rPr>
        <w:t>טיב</w:t>
      </w:r>
      <w:r w:rsidRPr="00D9521F">
        <w:rPr>
          <w:rFonts w:hint="cs"/>
          <w:rtl/>
        </w:rPr>
        <w:t xml:space="preserve"> </w:t>
      </w:r>
      <w:r>
        <w:rPr>
          <w:rFonts w:hint="cs"/>
          <w:rtl/>
        </w:rPr>
        <w:t xml:space="preserve">הסמכות הנתונה לבית המשפט, בבואו להפעיל ביקורת שיפוטית עקיפה. סעיף 76 נוקט לשון </w:t>
      </w:r>
      <w:r>
        <w:rPr>
          <w:rFonts w:ascii="Century" w:hAnsi="Century" w:cs="Miriam" w:hint="cs"/>
          <w:b/>
          <w:spacing w:val="0"/>
          <w:sz w:val="22"/>
          <w:szCs w:val="24"/>
          <w:rtl/>
        </w:rPr>
        <w:t>"</w:t>
      </w:r>
      <w:r w:rsidRPr="00E32D1C">
        <w:rPr>
          <w:rFonts w:ascii="Century" w:hAnsi="Century" w:cs="Miriam" w:hint="cs"/>
          <w:b/>
          <w:spacing w:val="0"/>
          <w:sz w:val="22"/>
          <w:szCs w:val="24"/>
          <w:rtl/>
        </w:rPr>
        <w:t>רשאי</w:t>
      </w:r>
      <w:r>
        <w:rPr>
          <w:rFonts w:ascii="Century" w:hAnsi="Century" w:cs="Miriam" w:hint="cs"/>
          <w:b/>
          <w:spacing w:val="0"/>
          <w:sz w:val="22"/>
          <w:szCs w:val="24"/>
          <w:rtl/>
        </w:rPr>
        <w:t>"</w:t>
      </w:r>
      <w:r>
        <w:rPr>
          <w:rFonts w:hint="cs"/>
          <w:rtl/>
        </w:rPr>
        <w:t xml:space="preserve">; לפי פשוטו של מקרא, ב'סמכות רשות' הכתוב מדבר, הנתונה לשיקול דעתו של בית המשפט, ולא בסמכות חובה. התנסחות זו של המחוקק, בענייני סמכות עניינית, אינה דבר של מה בכך. על </w:t>
      </w:r>
      <w:r>
        <w:rPr>
          <w:rFonts w:ascii="FrankRuehl" w:hAnsi="FrankRuehl" w:hint="cs"/>
          <w:sz w:val="28"/>
          <w:rtl/>
        </w:rPr>
        <w:t xml:space="preserve">דרך הכלל, אין בית המשפט בן-חורין להימנע מדיון בעניין שהוא בגדרי סמכותו: </w:t>
      </w:r>
      <w:r w:rsidRPr="00E32D1C">
        <w:rPr>
          <w:rFonts w:ascii="Century" w:hAnsi="Century" w:cs="Miriam"/>
          <w:b/>
          <w:spacing w:val="0"/>
          <w:sz w:val="22"/>
          <w:szCs w:val="24"/>
          <w:rtl/>
        </w:rPr>
        <w:t>"סמכות לדון שניתנה לשופט על פי חוק, יש בה גם משום הטלת חובה</w:t>
      </w:r>
      <w:r w:rsidR="00EF7777">
        <w:rPr>
          <w:rFonts w:ascii="Century" w:hAnsi="Century" w:cs="Miriam" w:hint="cs"/>
          <w:b/>
          <w:spacing w:val="0"/>
          <w:sz w:val="22"/>
          <w:szCs w:val="24"/>
          <w:rtl/>
        </w:rPr>
        <w:t>.</w:t>
      </w:r>
      <w:r w:rsidRPr="00E32D1C">
        <w:rPr>
          <w:rFonts w:ascii="Century" w:hAnsi="Century" w:cs="Miriam"/>
          <w:b/>
          <w:spacing w:val="0"/>
          <w:sz w:val="22"/>
          <w:szCs w:val="24"/>
          <w:rtl/>
        </w:rPr>
        <w:t xml:space="preserve"> עליו למלא תפקידים אלה"</w:t>
      </w:r>
      <w:r>
        <w:rPr>
          <w:rFonts w:ascii="FrankRuehl" w:hAnsi="FrankRuehl" w:hint="cs"/>
          <w:sz w:val="28"/>
          <w:rtl/>
        </w:rPr>
        <w:t xml:space="preserve"> (</w:t>
      </w:r>
      <w:r w:rsidRPr="00E32D1C">
        <w:rPr>
          <w:rFonts w:ascii="FrankRuehl" w:hAnsi="FrankRuehl" w:hint="eastAsia"/>
          <w:sz w:val="28"/>
          <w:rtl/>
        </w:rPr>
        <w:t>אליהו</w:t>
      </w:r>
      <w:r w:rsidRPr="00E32D1C">
        <w:rPr>
          <w:rFonts w:ascii="FrankRuehl" w:hAnsi="FrankRuehl"/>
          <w:sz w:val="28"/>
          <w:rtl/>
        </w:rPr>
        <w:t xml:space="preserve"> </w:t>
      </w:r>
      <w:r w:rsidRPr="00E32D1C">
        <w:rPr>
          <w:rFonts w:ascii="FrankRuehl" w:hAnsi="FrankRuehl" w:hint="eastAsia"/>
          <w:sz w:val="28"/>
          <w:rtl/>
        </w:rPr>
        <w:t>הרנון</w:t>
      </w:r>
      <w:r w:rsidRPr="00E32D1C">
        <w:rPr>
          <w:rFonts w:ascii="FrankRuehl" w:hAnsi="FrankRuehl"/>
          <w:sz w:val="28"/>
          <w:rtl/>
        </w:rPr>
        <w:t xml:space="preserve"> "</w:t>
      </w:r>
      <w:r w:rsidRPr="00E32D1C">
        <w:rPr>
          <w:rFonts w:ascii="FrankRuehl" w:hAnsi="FrankRuehl" w:hint="eastAsia"/>
          <w:sz w:val="28"/>
          <w:rtl/>
        </w:rPr>
        <w:t>כיצד</w:t>
      </w:r>
      <w:r w:rsidRPr="00E32D1C">
        <w:rPr>
          <w:rFonts w:ascii="FrankRuehl" w:hAnsi="FrankRuehl"/>
          <w:sz w:val="28"/>
          <w:rtl/>
        </w:rPr>
        <w:t xml:space="preserve"> </w:t>
      </w:r>
      <w:r w:rsidRPr="00E32D1C">
        <w:rPr>
          <w:rFonts w:ascii="FrankRuehl" w:hAnsi="FrankRuehl" w:hint="eastAsia"/>
          <w:sz w:val="28"/>
          <w:rtl/>
        </w:rPr>
        <w:t>על</w:t>
      </w:r>
      <w:r w:rsidRPr="00E32D1C">
        <w:rPr>
          <w:rFonts w:ascii="FrankRuehl" w:hAnsi="FrankRuehl"/>
          <w:sz w:val="28"/>
          <w:rtl/>
        </w:rPr>
        <w:t xml:space="preserve"> </w:t>
      </w:r>
      <w:r w:rsidRPr="00E32D1C">
        <w:rPr>
          <w:rFonts w:ascii="FrankRuehl" w:hAnsi="FrankRuehl" w:hint="eastAsia"/>
          <w:sz w:val="28"/>
          <w:rtl/>
        </w:rPr>
        <w:t>שופט</w:t>
      </w:r>
      <w:r w:rsidRPr="00E32D1C">
        <w:rPr>
          <w:rFonts w:ascii="FrankRuehl" w:hAnsi="FrankRuehl"/>
          <w:sz w:val="28"/>
          <w:rtl/>
        </w:rPr>
        <w:t xml:space="preserve"> </w:t>
      </w:r>
      <w:r w:rsidRPr="00E32D1C">
        <w:rPr>
          <w:rFonts w:ascii="FrankRuehl" w:hAnsi="FrankRuehl" w:hint="eastAsia"/>
          <w:sz w:val="28"/>
          <w:rtl/>
        </w:rPr>
        <w:t>לנהוג</w:t>
      </w:r>
      <w:r w:rsidRPr="00E32D1C">
        <w:rPr>
          <w:rFonts w:ascii="FrankRuehl" w:hAnsi="FrankRuehl"/>
          <w:sz w:val="28"/>
          <w:rtl/>
        </w:rPr>
        <w:t xml:space="preserve"> </w:t>
      </w:r>
      <w:r w:rsidRPr="00E32D1C">
        <w:rPr>
          <w:rFonts w:ascii="FrankRuehl" w:hAnsi="FrankRuehl" w:hint="eastAsia"/>
          <w:sz w:val="28"/>
          <w:rtl/>
        </w:rPr>
        <w:t>כאשר</w:t>
      </w:r>
      <w:r w:rsidRPr="00E32D1C">
        <w:rPr>
          <w:rFonts w:ascii="FrankRuehl" w:hAnsi="FrankRuehl"/>
          <w:sz w:val="28"/>
          <w:rtl/>
        </w:rPr>
        <w:t xml:space="preserve"> </w:t>
      </w:r>
      <w:r w:rsidRPr="00E32D1C">
        <w:rPr>
          <w:rFonts w:ascii="FrankRuehl" w:hAnsi="FrankRuehl" w:hint="eastAsia"/>
          <w:sz w:val="28"/>
          <w:rtl/>
        </w:rPr>
        <w:t>אינו</w:t>
      </w:r>
      <w:r w:rsidRPr="00E32D1C">
        <w:rPr>
          <w:rFonts w:ascii="FrankRuehl" w:hAnsi="FrankRuehl"/>
          <w:sz w:val="28"/>
          <w:rtl/>
        </w:rPr>
        <w:t xml:space="preserve"> </w:t>
      </w:r>
      <w:r w:rsidRPr="00E32D1C">
        <w:rPr>
          <w:rFonts w:ascii="FrankRuehl" w:hAnsi="FrankRuehl" w:hint="eastAsia"/>
          <w:sz w:val="28"/>
          <w:rtl/>
        </w:rPr>
        <w:t>יודע</w:t>
      </w:r>
      <w:r w:rsidRPr="00E32D1C">
        <w:rPr>
          <w:rFonts w:ascii="FrankRuehl" w:hAnsi="FrankRuehl"/>
          <w:sz w:val="28"/>
          <w:rtl/>
        </w:rPr>
        <w:t xml:space="preserve"> </w:t>
      </w:r>
      <w:r w:rsidRPr="00E32D1C">
        <w:rPr>
          <w:rFonts w:ascii="FrankRuehl" w:hAnsi="FrankRuehl" w:hint="eastAsia"/>
          <w:sz w:val="28"/>
          <w:rtl/>
        </w:rPr>
        <w:t>אם</w:t>
      </w:r>
      <w:r w:rsidRPr="00E32D1C">
        <w:rPr>
          <w:rFonts w:ascii="FrankRuehl" w:hAnsi="FrankRuehl"/>
          <w:sz w:val="28"/>
          <w:rtl/>
        </w:rPr>
        <w:t xml:space="preserve"> </w:t>
      </w:r>
      <w:r w:rsidRPr="00E32D1C">
        <w:rPr>
          <w:rFonts w:ascii="FrankRuehl" w:hAnsi="FrankRuehl" w:hint="eastAsia"/>
          <w:sz w:val="28"/>
          <w:rtl/>
        </w:rPr>
        <w:t>להאמין</w:t>
      </w:r>
      <w:r w:rsidRPr="00E32D1C">
        <w:rPr>
          <w:rFonts w:ascii="FrankRuehl" w:hAnsi="FrankRuehl"/>
          <w:sz w:val="28"/>
          <w:rtl/>
        </w:rPr>
        <w:t xml:space="preserve"> </w:t>
      </w:r>
      <w:r w:rsidRPr="00E32D1C">
        <w:rPr>
          <w:rFonts w:ascii="FrankRuehl" w:hAnsi="FrankRuehl" w:hint="eastAsia"/>
          <w:sz w:val="28"/>
          <w:rtl/>
        </w:rPr>
        <w:t>לתובע</w:t>
      </w:r>
      <w:r w:rsidRPr="00E32D1C">
        <w:rPr>
          <w:rFonts w:ascii="FrankRuehl" w:hAnsi="FrankRuehl"/>
          <w:sz w:val="28"/>
          <w:rtl/>
        </w:rPr>
        <w:t xml:space="preserve"> </w:t>
      </w:r>
      <w:r w:rsidRPr="00E32D1C">
        <w:rPr>
          <w:rFonts w:ascii="FrankRuehl" w:hAnsi="FrankRuehl" w:hint="eastAsia"/>
          <w:sz w:val="28"/>
          <w:rtl/>
        </w:rPr>
        <w:t>או</w:t>
      </w:r>
      <w:r w:rsidRPr="00E32D1C">
        <w:rPr>
          <w:rFonts w:ascii="FrankRuehl" w:hAnsi="FrankRuehl"/>
          <w:sz w:val="28"/>
          <w:rtl/>
        </w:rPr>
        <w:t xml:space="preserve"> </w:t>
      </w:r>
      <w:r w:rsidRPr="00E32D1C">
        <w:rPr>
          <w:rFonts w:ascii="FrankRuehl" w:hAnsi="FrankRuehl" w:hint="eastAsia"/>
          <w:sz w:val="28"/>
          <w:rtl/>
        </w:rPr>
        <w:t>לנתבע</w:t>
      </w:r>
      <w:r w:rsidRPr="00E32D1C">
        <w:rPr>
          <w:rFonts w:ascii="FrankRuehl" w:hAnsi="FrankRuehl"/>
          <w:sz w:val="28"/>
          <w:rtl/>
        </w:rPr>
        <w:t xml:space="preserve">?" </w:t>
      </w:r>
      <w:r w:rsidRPr="00E32D1C">
        <w:rPr>
          <w:rFonts w:ascii="Century" w:hAnsi="Century" w:cs="Miriam" w:hint="eastAsia"/>
          <w:b/>
          <w:spacing w:val="0"/>
          <w:sz w:val="22"/>
          <w:szCs w:val="24"/>
          <w:rtl/>
        </w:rPr>
        <w:t>הפרקליט</w:t>
      </w:r>
      <w:r w:rsidRPr="00977F5A">
        <w:rPr>
          <w:rFonts w:ascii="Century" w:hAnsi="Century"/>
          <w:sz w:val="22"/>
          <w:rtl/>
        </w:rPr>
        <w:t xml:space="preserve"> </w:t>
      </w:r>
      <w:r w:rsidRPr="00977F5A">
        <w:rPr>
          <w:rFonts w:ascii="Century" w:hAnsi="Century" w:hint="eastAsia"/>
          <w:sz w:val="22"/>
          <w:rtl/>
        </w:rPr>
        <w:t>כא</w:t>
      </w:r>
      <w:r w:rsidRPr="00977F5A">
        <w:rPr>
          <w:rFonts w:ascii="Century" w:hAnsi="Century"/>
          <w:sz w:val="22"/>
          <w:rtl/>
        </w:rPr>
        <w:t xml:space="preserve"> 415</w:t>
      </w:r>
      <w:r w:rsidRPr="00E32D1C">
        <w:rPr>
          <w:rFonts w:ascii="FrankRuehl" w:hAnsi="FrankRuehl"/>
          <w:sz w:val="28"/>
          <w:rtl/>
        </w:rPr>
        <w:t>, 416 (</w:t>
      </w:r>
      <w:r w:rsidRPr="00E32D1C">
        <w:rPr>
          <w:rFonts w:ascii="FrankRuehl" w:hAnsi="FrankRuehl" w:hint="eastAsia"/>
          <w:sz w:val="28"/>
          <w:rtl/>
        </w:rPr>
        <w:t>התשכ</w:t>
      </w:r>
      <w:r w:rsidRPr="00E32D1C">
        <w:rPr>
          <w:rFonts w:ascii="FrankRuehl" w:hAnsi="FrankRuehl"/>
          <w:sz w:val="28"/>
          <w:rtl/>
        </w:rPr>
        <w:t>"</w:t>
      </w:r>
      <w:r w:rsidRPr="00E32D1C">
        <w:rPr>
          <w:rFonts w:ascii="FrankRuehl" w:hAnsi="FrankRuehl" w:hint="eastAsia"/>
          <w:sz w:val="28"/>
          <w:rtl/>
        </w:rPr>
        <w:t>ה</w:t>
      </w:r>
      <w:r w:rsidRPr="00E32D1C">
        <w:rPr>
          <w:rFonts w:ascii="FrankRuehl" w:hAnsi="FrankRuehl"/>
          <w:sz w:val="28"/>
          <w:rtl/>
        </w:rPr>
        <w:t>))</w:t>
      </w:r>
      <w:r>
        <w:rPr>
          <w:rFonts w:ascii="FrankRuehl" w:hAnsi="FrankRuehl" w:hint="cs"/>
          <w:sz w:val="28"/>
          <w:rtl/>
        </w:rPr>
        <w:t xml:space="preserve">, ובאופן כללי </w:t>
      </w:r>
      <w:r>
        <w:rPr>
          <w:rFonts w:ascii="FrankRuehl" w:hAnsi="FrankRuehl"/>
          <w:sz w:val="28"/>
          <w:rtl/>
        </w:rPr>
        <w:t>–</w:t>
      </w:r>
      <w:r>
        <w:rPr>
          <w:rFonts w:ascii="FrankRuehl" w:hAnsi="FrankRuehl" w:hint="cs"/>
          <w:sz w:val="28"/>
          <w:rtl/>
        </w:rPr>
        <w:t xml:space="preserve"> </w:t>
      </w:r>
      <w:r w:rsidRPr="00D9521F">
        <w:rPr>
          <w:rFonts w:ascii="Century" w:hAnsi="Century" w:cs="Miriam" w:hint="cs"/>
          <w:b/>
          <w:spacing w:val="0"/>
          <w:sz w:val="22"/>
          <w:szCs w:val="24"/>
          <w:rtl/>
        </w:rPr>
        <w:t>"</w:t>
      </w:r>
      <w:r w:rsidRPr="00D9521F">
        <w:rPr>
          <w:rFonts w:ascii="Century" w:hAnsi="Century" w:cs="Miriam" w:hint="eastAsia"/>
          <w:b/>
          <w:spacing w:val="0"/>
          <w:sz w:val="22"/>
          <w:szCs w:val="24"/>
          <w:rtl/>
        </w:rPr>
        <w:t>שופט</w:t>
      </w:r>
      <w:r>
        <w:rPr>
          <w:rFonts w:ascii="Century" w:hAnsi="Century" w:cs="Miriam" w:hint="cs"/>
          <w:b/>
          <w:spacing w:val="0"/>
          <w:sz w:val="22"/>
          <w:szCs w:val="24"/>
          <w:rtl/>
        </w:rPr>
        <w:t xml:space="preserve"> </w:t>
      </w:r>
      <w:r w:rsidRPr="00D9521F">
        <w:rPr>
          <w:rFonts w:ascii="Century" w:hAnsi="Century" w:cs="Miriam" w:hint="eastAsia"/>
          <w:b/>
          <w:spacing w:val="0"/>
          <w:sz w:val="22"/>
          <w:szCs w:val="24"/>
          <w:rtl/>
        </w:rPr>
        <w:t>אינו</w:t>
      </w:r>
      <w:r w:rsidRPr="00D9521F">
        <w:rPr>
          <w:rFonts w:ascii="Century" w:hAnsi="Century" w:cs="Miriam"/>
          <w:b/>
          <w:spacing w:val="0"/>
          <w:sz w:val="22"/>
          <w:szCs w:val="24"/>
          <w:rtl/>
        </w:rPr>
        <w:t xml:space="preserve"> </w:t>
      </w:r>
      <w:r w:rsidRPr="00D9521F">
        <w:rPr>
          <w:rFonts w:ascii="Century" w:hAnsi="Century" w:cs="Miriam" w:hint="eastAsia"/>
          <w:b/>
          <w:spacing w:val="0"/>
          <w:sz w:val="22"/>
          <w:szCs w:val="24"/>
          <w:rtl/>
        </w:rPr>
        <w:t>רשאי</w:t>
      </w:r>
      <w:r w:rsidRPr="00D9521F">
        <w:rPr>
          <w:rFonts w:ascii="Century" w:hAnsi="Century" w:cs="Miriam"/>
          <w:b/>
          <w:spacing w:val="0"/>
          <w:sz w:val="22"/>
          <w:szCs w:val="24"/>
          <w:rtl/>
        </w:rPr>
        <w:t xml:space="preserve"> </w:t>
      </w:r>
      <w:r w:rsidRPr="00D9521F">
        <w:rPr>
          <w:rFonts w:ascii="Century" w:hAnsi="Century" w:cs="Miriam" w:hint="eastAsia"/>
          <w:b/>
          <w:spacing w:val="0"/>
          <w:sz w:val="22"/>
          <w:szCs w:val="24"/>
          <w:rtl/>
        </w:rPr>
        <w:t>למשוך</w:t>
      </w:r>
      <w:r w:rsidRPr="00D9521F">
        <w:rPr>
          <w:rFonts w:ascii="Century" w:hAnsi="Century" w:cs="Miriam"/>
          <w:b/>
          <w:spacing w:val="0"/>
          <w:sz w:val="22"/>
          <w:szCs w:val="24"/>
          <w:rtl/>
        </w:rPr>
        <w:t xml:space="preserve"> </w:t>
      </w:r>
      <w:r w:rsidRPr="00D9521F">
        <w:rPr>
          <w:rFonts w:ascii="Century" w:hAnsi="Century" w:cs="Miriam" w:hint="eastAsia"/>
          <w:b/>
          <w:spacing w:val="0"/>
          <w:sz w:val="22"/>
          <w:szCs w:val="24"/>
          <w:rtl/>
        </w:rPr>
        <w:t>ידו</w:t>
      </w:r>
      <w:r w:rsidRPr="00D9521F">
        <w:rPr>
          <w:rFonts w:ascii="Century" w:hAnsi="Century" w:cs="Miriam"/>
          <w:b/>
          <w:spacing w:val="0"/>
          <w:sz w:val="22"/>
          <w:szCs w:val="24"/>
          <w:rtl/>
        </w:rPr>
        <w:t xml:space="preserve"> </w:t>
      </w:r>
      <w:r w:rsidRPr="00D9521F">
        <w:rPr>
          <w:rFonts w:ascii="Century" w:hAnsi="Century" w:cs="Miriam" w:hint="eastAsia"/>
          <w:b/>
          <w:spacing w:val="0"/>
          <w:sz w:val="22"/>
          <w:szCs w:val="24"/>
          <w:rtl/>
        </w:rPr>
        <w:t>ולהימנע</w:t>
      </w:r>
      <w:r w:rsidRPr="00D9521F">
        <w:rPr>
          <w:rFonts w:ascii="Century" w:hAnsi="Century" w:cs="Miriam"/>
          <w:b/>
          <w:spacing w:val="0"/>
          <w:sz w:val="22"/>
          <w:szCs w:val="24"/>
          <w:rtl/>
        </w:rPr>
        <w:t xml:space="preserve"> </w:t>
      </w:r>
      <w:r w:rsidRPr="00D9521F">
        <w:rPr>
          <w:rFonts w:ascii="Century" w:hAnsi="Century" w:cs="Miriam" w:hint="eastAsia"/>
          <w:b/>
          <w:spacing w:val="0"/>
          <w:sz w:val="22"/>
          <w:szCs w:val="24"/>
          <w:rtl/>
        </w:rPr>
        <w:t>מהכרעה</w:t>
      </w:r>
      <w:r w:rsidRPr="00D9521F">
        <w:rPr>
          <w:rFonts w:ascii="Century" w:hAnsi="Century" w:cs="Miriam" w:hint="cs"/>
          <w:b/>
          <w:spacing w:val="0"/>
          <w:sz w:val="22"/>
          <w:szCs w:val="24"/>
          <w:rtl/>
        </w:rPr>
        <w:t>"</w:t>
      </w:r>
      <w:r>
        <w:rPr>
          <w:rFonts w:ascii="FrankRuehl" w:hAnsi="FrankRuehl" w:hint="cs"/>
          <w:sz w:val="28"/>
          <w:rtl/>
        </w:rPr>
        <w:t xml:space="preserve"> (</w:t>
      </w:r>
      <w:r w:rsidRPr="00D9521F">
        <w:rPr>
          <w:rFonts w:ascii="FrankRuehl" w:hAnsi="FrankRuehl" w:hint="eastAsia"/>
          <w:sz w:val="28"/>
          <w:rtl/>
        </w:rPr>
        <w:t>ע</w:t>
      </w:r>
      <w:r w:rsidRPr="00D9521F">
        <w:rPr>
          <w:rFonts w:ascii="FrankRuehl" w:hAnsi="FrankRuehl"/>
          <w:sz w:val="28"/>
          <w:rtl/>
        </w:rPr>
        <w:t>"</w:t>
      </w:r>
      <w:r w:rsidRPr="00D9521F">
        <w:rPr>
          <w:rFonts w:ascii="FrankRuehl" w:hAnsi="FrankRuehl" w:hint="eastAsia"/>
          <w:sz w:val="28"/>
          <w:rtl/>
        </w:rPr>
        <w:t>א</w:t>
      </w:r>
      <w:r w:rsidRPr="00D9521F">
        <w:rPr>
          <w:rFonts w:ascii="FrankRuehl" w:hAnsi="FrankRuehl"/>
          <w:sz w:val="28"/>
          <w:rtl/>
        </w:rPr>
        <w:t xml:space="preserve"> 8713</w:t>
      </w:r>
      <w:r>
        <w:rPr>
          <w:rFonts w:ascii="FrankRuehl" w:hAnsi="FrankRuehl" w:hint="cs"/>
          <w:sz w:val="28"/>
          <w:rtl/>
        </w:rPr>
        <w:t>/</w:t>
      </w:r>
      <w:r w:rsidRPr="00D9521F">
        <w:rPr>
          <w:rFonts w:ascii="FrankRuehl" w:hAnsi="FrankRuehl"/>
          <w:sz w:val="28"/>
          <w:rtl/>
        </w:rPr>
        <w:t xml:space="preserve">11 </w:t>
      </w:r>
      <w:r w:rsidRPr="00D9521F">
        <w:rPr>
          <w:rFonts w:ascii="Century" w:hAnsi="Century" w:cs="Miriam" w:hint="eastAsia"/>
          <w:b/>
          <w:spacing w:val="0"/>
          <w:sz w:val="22"/>
          <w:szCs w:val="24"/>
          <w:rtl/>
        </w:rPr>
        <w:t>צאיג</w:t>
      </w:r>
      <w:r w:rsidRPr="00D9521F">
        <w:rPr>
          <w:rFonts w:ascii="Century" w:hAnsi="Century" w:cs="Miriam"/>
          <w:b/>
          <w:spacing w:val="0"/>
          <w:sz w:val="22"/>
          <w:szCs w:val="24"/>
          <w:rtl/>
        </w:rPr>
        <w:t xml:space="preserve"> </w:t>
      </w:r>
      <w:r w:rsidRPr="00D9521F">
        <w:rPr>
          <w:rFonts w:ascii="Century" w:hAnsi="Century" w:cs="Miriam" w:hint="eastAsia"/>
          <w:b/>
          <w:spacing w:val="0"/>
          <w:sz w:val="22"/>
          <w:szCs w:val="24"/>
          <w:rtl/>
        </w:rPr>
        <w:t>נ</w:t>
      </w:r>
      <w:r w:rsidRPr="00D9521F">
        <w:rPr>
          <w:rFonts w:ascii="Century" w:hAnsi="Century" w:cs="Miriam"/>
          <w:b/>
          <w:spacing w:val="0"/>
          <w:sz w:val="22"/>
          <w:szCs w:val="24"/>
          <w:rtl/>
        </w:rPr>
        <w:t xml:space="preserve">' </w:t>
      </w:r>
      <w:r w:rsidRPr="00D9521F">
        <w:rPr>
          <w:rFonts w:ascii="Century" w:hAnsi="Century" w:cs="Miriam" w:hint="eastAsia"/>
          <w:b/>
          <w:spacing w:val="0"/>
          <w:sz w:val="22"/>
          <w:szCs w:val="24"/>
          <w:rtl/>
        </w:rPr>
        <w:t>חברת</w:t>
      </w:r>
      <w:r w:rsidRPr="00D9521F">
        <w:rPr>
          <w:rFonts w:ascii="Century" w:hAnsi="Century" w:cs="Miriam"/>
          <w:b/>
          <w:spacing w:val="0"/>
          <w:sz w:val="22"/>
          <w:szCs w:val="24"/>
          <w:rtl/>
        </w:rPr>
        <w:t xml:space="preserve"> </w:t>
      </w:r>
      <w:r w:rsidRPr="00D9521F">
        <w:rPr>
          <w:rFonts w:ascii="Century" w:hAnsi="Century" w:cs="Miriam" w:hint="eastAsia"/>
          <w:b/>
          <w:spacing w:val="0"/>
          <w:sz w:val="22"/>
          <w:szCs w:val="24"/>
          <w:rtl/>
        </w:rPr>
        <w:t>ע</w:t>
      </w:r>
      <w:r w:rsidRPr="00D9521F">
        <w:rPr>
          <w:rFonts w:ascii="Century" w:hAnsi="Century" w:cs="Miriam"/>
          <w:b/>
          <w:spacing w:val="0"/>
          <w:sz w:val="22"/>
          <w:szCs w:val="24"/>
          <w:rtl/>
        </w:rPr>
        <w:t>.</w:t>
      </w:r>
      <w:r w:rsidRPr="00D9521F">
        <w:rPr>
          <w:rFonts w:ascii="Century" w:hAnsi="Century" w:cs="Miriam" w:hint="eastAsia"/>
          <w:b/>
          <w:spacing w:val="0"/>
          <w:sz w:val="22"/>
          <w:szCs w:val="24"/>
          <w:rtl/>
        </w:rPr>
        <w:t>לוזון</w:t>
      </w:r>
      <w:r w:rsidRPr="00D9521F">
        <w:rPr>
          <w:rFonts w:ascii="Century" w:hAnsi="Century" w:cs="Miriam"/>
          <w:b/>
          <w:spacing w:val="0"/>
          <w:sz w:val="22"/>
          <w:szCs w:val="24"/>
          <w:rtl/>
        </w:rPr>
        <w:t xml:space="preserve"> </w:t>
      </w:r>
      <w:r w:rsidRPr="00D9521F">
        <w:rPr>
          <w:rFonts w:ascii="Century" w:hAnsi="Century" w:cs="Miriam" w:hint="eastAsia"/>
          <w:b/>
          <w:spacing w:val="0"/>
          <w:sz w:val="22"/>
          <w:szCs w:val="24"/>
          <w:rtl/>
        </w:rPr>
        <w:t>נכסים</w:t>
      </w:r>
      <w:r w:rsidRPr="00D9521F">
        <w:rPr>
          <w:rFonts w:ascii="Century" w:hAnsi="Century" w:cs="Miriam"/>
          <w:b/>
          <w:spacing w:val="0"/>
          <w:sz w:val="22"/>
          <w:szCs w:val="24"/>
          <w:rtl/>
        </w:rPr>
        <w:t xml:space="preserve"> </w:t>
      </w:r>
      <w:r w:rsidRPr="00D9521F">
        <w:rPr>
          <w:rFonts w:ascii="Century" w:hAnsi="Century" w:cs="Miriam" w:hint="eastAsia"/>
          <w:b/>
          <w:spacing w:val="0"/>
          <w:sz w:val="22"/>
          <w:szCs w:val="24"/>
          <w:rtl/>
        </w:rPr>
        <w:t>והשקעות</w:t>
      </w:r>
      <w:r w:rsidRPr="00D9521F">
        <w:rPr>
          <w:rFonts w:ascii="Century" w:hAnsi="Century" w:cs="Miriam"/>
          <w:b/>
          <w:spacing w:val="0"/>
          <w:sz w:val="22"/>
          <w:szCs w:val="24"/>
          <w:rtl/>
        </w:rPr>
        <w:t xml:space="preserve"> </w:t>
      </w:r>
      <w:r w:rsidRPr="00D9521F">
        <w:rPr>
          <w:rFonts w:ascii="Century" w:hAnsi="Century" w:cs="Miriam" w:hint="eastAsia"/>
          <w:b/>
          <w:spacing w:val="0"/>
          <w:sz w:val="22"/>
          <w:szCs w:val="24"/>
          <w:rtl/>
        </w:rPr>
        <w:t>בע</w:t>
      </w:r>
      <w:r w:rsidRPr="00D9521F">
        <w:rPr>
          <w:rFonts w:ascii="Century" w:hAnsi="Century" w:cs="Miriam"/>
          <w:b/>
          <w:spacing w:val="0"/>
          <w:sz w:val="22"/>
          <w:szCs w:val="24"/>
          <w:rtl/>
        </w:rPr>
        <w:t>"</w:t>
      </w:r>
      <w:r w:rsidRPr="00D9521F">
        <w:rPr>
          <w:rFonts w:ascii="Century" w:hAnsi="Century" w:cs="Miriam" w:hint="eastAsia"/>
          <w:b/>
          <w:spacing w:val="0"/>
          <w:sz w:val="22"/>
          <w:szCs w:val="24"/>
          <w:rtl/>
        </w:rPr>
        <w:t>מ</w:t>
      </w:r>
      <w:r>
        <w:rPr>
          <w:rFonts w:ascii="FrankRuehl" w:hAnsi="FrankRuehl" w:hint="cs"/>
          <w:sz w:val="28"/>
          <w:rtl/>
        </w:rPr>
        <w:t>,</w:t>
      </w:r>
      <w:r w:rsidR="002E2B10">
        <w:rPr>
          <w:rFonts w:ascii="FrankRuehl" w:hAnsi="FrankRuehl" w:hint="cs"/>
          <w:sz w:val="28"/>
          <w:rtl/>
        </w:rPr>
        <w:t xml:space="preserve"> פסקה 5 לפסק דיני (20.8.2017); </w:t>
      </w:r>
      <w:r>
        <w:rPr>
          <w:rFonts w:ascii="FrankRuehl" w:hAnsi="FrankRuehl" w:hint="cs"/>
          <w:sz w:val="28"/>
          <w:rtl/>
        </w:rPr>
        <w:t xml:space="preserve">ראו התייחסותי לגישתו המיוחדת של המשפט העברי, בנוגע להסתלקות </w:t>
      </w:r>
      <w:r>
        <w:rPr>
          <w:rFonts w:ascii="FrankRuehl" w:hAnsi="FrankRuehl" w:hint="cs"/>
          <w:sz w:val="28"/>
          <w:rtl/>
        </w:rPr>
        <w:lastRenderedPageBreak/>
        <w:t xml:space="preserve">דיין מן הדין במקרה של 'דין מרומה', </w:t>
      </w:r>
      <w:r w:rsidRPr="00977F5A">
        <w:rPr>
          <w:rFonts w:ascii="Century" w:hAnsi="Century" w:cs="Miriam" w:hint="eastAsia"/>
          <w:b/>
          <w:spacing w:val="0"/>
          <w:sz w:val="22"/>
          <w:szCs w:val="24"/>
          <w:rtl/>
        </w:rPr>
        <w:t>שם</w:t>
      </w:r>
      <w:r>
        <w:rPr>
          <w:rFonts w:ascii="FrankRuehl" w:hAnsi="FrankRuehl" w:hint="cs"/>
          <w:sz w:val="28"/>
          <w:rtl/>
        </w:rPr>
        <w:t>, פסקאות 17-11).</w:t>
      </w:r>
      <w:r w:rsidRPr="00E32D1C">
        <w:rPr>
          <w:rFonts w:ascii="FrankRuehl" w:hAnsi="FrankRuehl"/>
          <w:sz w:val="28"/>
          <w:rtl/>
        </w:rPr>
        <w:t xml:space="preserve"> </w:t>
      </w:r>
      <w:r>
        <w:rPr>
          <w:rFonts w:ascii="FrankRuehl" w:hAnsi="FrankRuehl" w:hint="cs"/>
          <w:sz w:val="28"/>
          <w:rtl/>
        </w:rPr>
        <w:t xml:space="preserve">אכן, בהתאם, </w:t>
      </w:r>
      <w:r w:rsidR="007D6392">
        <w:rPr>
          <w:rFonts w:ascii="FrankRuehl" w:hAnsi="FrankRuehl" w:hint="cs"/>
          <w:sz w:val="28"/>
          <w:rtl/>
        </w:rPr>
        <w:t xml:space="preserve">נשמעה </w:t>
      </w:r>
      <w:r>
        <w:rPr>
          <w:rFonts w:ascii="FrankRuehl" w:hAnsi="FrankRuehl" w:hint="cs"/>
          <w:sz w:val="28"/>
          <w:rtl/>
        </w:rPr>
        <w:t xml:space="preserve">בפסיקה לא אחת הדעה, כי כאשר מתעוררת לפני בית משפט שאלה הדרושה לצורך הכרעה בעניין שהוא מוסמך לדון בו, באופן אגבי ובגררא, </w:t>
      </w:r>
      <w:r w:rsidRPr="00454766">
        <w:rPr>
          <w:rFonts w:ascii="Century" w:hAnsi="Century" w:cs="Miriam" w:hint="cs"/>
          <w:b/>
          <w:spacing w:val="0"/>
          <w:sz w:val="22"/>
          <w:szCs w:val="24"/>
          <w:rtl/>
        </w:rPr>
        <w:t xml:space="preserve">"לא זו בלבד שהוא </w:t>
      </w:r>
      <w:r>
        <w:rPr>
          <w:rFonts w:ascii="Century" w:hAnsi="Century" w:cs="Miriam" w:hint="cs"/>
          <w:b/>
          <w:spacing w:val="0"/>
          <w:sz w:val="22"/>
          <w:szCs w:val="24"/>
          <w:rtl/>
        </w:rPr>
        <w:t>'</w:t>
      </w:r>
      <w:r w:rsidRPr="00454766">
        <w:rPr>
          <w:rFonts w:ascii="Century" w:hAnsi="Century" w:cs="Miriam" w:hint="cs"/>
          <w:b/>
          <w:spacing w:val="0"/>
          <w:sz w:val="22"/>
          <w:szCs w:val="24"/>
          <w:rtl/>
        </w:rPr>
        <w:t>רשאי</w:t>
      </w:r>
      <w:r>
        <w:rPr>
          <w:rFonts w:ascii="Century" w:hAnsi="Century" w:cs="Miriam" w:hint="cs"/>
          <w:b/>
          <w:spacing w:val="0"/>
          <w:sz w:val="22"/>
          <w:szCs w:val="24"/>
          <w:rtl/>
        </w:rPr>
        <w:t>'</w:t>
      </w:r>
      <w:r w:rsidRPr="00454766">
        <w:rPr>
          <w:rFonts w:ascii="Century" w:hAnsi="Century" w:cs="Miriam" w:hint="cs"/>
          <w:b/>
          <w:spacing w:val="0"/>
          <w:sz w:val="22"/>
          <w:szCs w:val="24"/>
          <w:rtl/>
        </w:rPr>
        <w:t xml:space="preserve"> להכריע בה, אלא שהוא חייב לעשות כן"</w:t>
      </w:r>
      <w:r>
        <w:rPr>
          <w:rFonts w:hint="cs"/>
          <w:rtl/>
        </w:rPr>
        <w:t xml:space="preserve"> (</w:t>
      </w:r>
      <w:r w:rsidRPr="008B1779">
        <w:rPr>
          <w:rFonts w:hint="eastAsia"/>
          <w:rtl/>
        </w:rPr>
        <w:t>דנ</w:t>
      </w:r>
      <w:r w:rsidRPr="008B1779">
        <w:rPr>
          <w:rtl/>
        </w:rPr>
        <w:t>"</w:t>
      </w:r>
      <w:r w:rsidRPr="008B1779">
        <w:rPr>
          <w:rFonts w:hint="eastAsia"/>
          <w:rtl/>
        </w:rPr>
        <w:t>א</w:t>
      </w:r>
      <w:r w:rsidRPr="008B1779">
        <w:rPr>
          <w:rtl/>
        </w:rPr>
        <w:t xml:space="preserve"> 1099/13 </w:t>
      </w:r>
      <w:r w:rsidRPr="008B1779">
        <w:rPr>
          <w:rFonts w:ascii="Century" w:hAnsi="Century" w:cs="Miriam" w:hint="eastAsia"/>
          <w:b/>
          <w:spacing w:val="0"/>
          <w:sz w:val="22"/>
          <w:szCs w:val="24"/>
          <w:rtl/>
        </w:rPr>
        <w:t>מדינת</w:t>
      </w:r>
      <w:r w:rsidRPr="008B1779">
        <w:rPr>
          <w:rFonts w:ascii="Century" w:hAnsi="Century" w:cs="Miriam"/>
          <w:b/>
          <w:spacing w:val="0"/>
          <w:sz w:val="22"/>
          <w:szCs w:val="24"/>
          <w:rtl/>
        </w:rPr>
        <w:t xml:space="preserve"> </w:t>
      </w:r>
      <w:r w:rsidRPr="008B1779">
        <w:rPr>
          <w:rFonts w:ascii="Century" w:hAnsi="Century" w:cs="Miriam" w:hint="eastAsia"/>
          <w:b/>
          <w:spacing w:val="0"/>
          <w:sz w:val="22"/>
          <w:szCs w:val="24"/>
          <w:rtl/>
        </w:rPr>
        <w:t>ישראל</w:t>
      </w:r>
      <w:r w:rsidRPr="008B1779">
        <w:rPr>
          <w:rFonts w:ascii="Century" w:hAnsi="Century" w:cs="Miriam"/>
          <w:b/>
          <w:spacing w:val="0"/>
          <w:sz w:val="22"/>
          <w:szCs w:val="24"/>
          <w:rtl/>
        </w:rPr>
        <w:t xml:space="preserve"> </w:t>
      </w:r>
      <w:r w:rsidRPr="008B1779">
        <w:rPr>
          <w:rFonts w:ascii="Century" w:hAnsi="Century" w:cs="Miriam" w:hint="eastAsia"/>
          <w:b/>
          <w:spacing w:val="0"/>
          <w:sz w:val="22"/>
          <w:szCs w:val="24"/>
          <w:rtl/>
        </w:rPr>
        <w:t>נ</w:t>
      </w:r>
      <w:r w:rsidRPr="008B1779">
        <w:rPr>
          <w:rFonts w:ascii="Century" w:hAnsi="Century" w:cs="Miriam"/>
          <w:b/>
          <w:spacing w:val="0"/>
          <w:sz w:val="22"/>
          <w:szCs w:val="24"/>
          <w:rtl/>
        </w:rPr>
        <w:t xml:space="preserve">' </w:t>
      </w:r>
      <w:r w:rsidRPr="008B1779">
        <w:rPr>
          <w:rFonts w:ascii="Century" w:hAnsi="Century" w:cs="Miriam" w:hint="eastAsia"/>
          <w:b/>
          <w:spacing w:val="0"/>
          <w:sz w:val="22"/>
          <w:szCs w:val="24"/>
          <w:rtl/>
        </w:rPr>
        <w:t>אבו</w:t>
      </w:r>
      <w:r w:rsidRPr="008B1779">
        <w:rPr>
          <w:rFonts w:ascii="Century" w:hAnsi="Century" w:cs="Miriam"/>
          <w:b/>
          <w:spacing w:val="0"/>
          <w:sz w:val="22"/>
          <w:szCs w:val="24"/>
          <w:rtl/>
        </w:rPr>
        <w:t xml:space="preserve"> </w:t>
      </w:r>
      <w:r w:rsidRPr="008B1779">
        <w:rPr>
          <w:rFonts w:ascii="Century" w:hAnsi="Century" w:cs="Miriam" w:hint="eastAsia"/>
          <w:b/>
          <w:spacing w:val="0"/>
          <w:sz w:val="22"/>
          <w:szCs w:val="24"/>
          <w:rtl/>
        </w:rPr>
        <w:t>פריח</w:t>
      </w:r>
      <w:r>
        <w:rPr>
          <w:rFonts w:hint="cs"/>
          <w:rtl/>
        </w:rPr>
        <w:t xml:space="preserve">, פסקה 2 לחוות דעתה של השופטת </w:t>
      </w:r>
      <w:r w:rsidRPr="00977F5A">
        <w:rPr>
          <w:rFonts w:ascii="Century" w:hAnsi="Century" w:cs="Miriam" w:hint="eastAsia"/>
          <w:b/>
          <w:spacing w:val="0"/>
          <w:sz w:val="22"/>
          <w:szCs w:val="24"/>
          <w:rtl/>
        </w:rPr>
        <w:t>ד</w:t>
      </w:r>
      <w:r w:rsidRPr="00977F5A">
        <w:rPr>
          <w:rFonts w:ascii="Century" w:hAnsi="Century" w:cs="Miriam"/>
          <w:b/>
          <w:spacing w:val="0"/>
          <w:sz w:val="22"/>
          <w:szCs w:val="24"/>
          <w:rtl/>
        </w:rPr>
        <w:t xml:space="preserve">' </w:t>
      </w:r>
      <w:r w:rsidRPr="00977F5A">
        <w:rPr>
          <w:rFonts w:ascii="Century" w:hAnsi="Century" w:cs="Miriam" w:hint="eastAsia"/>
          <w:b/>
          <w:spacing w:val="0"/>
          <w:sz w:val="22"/>
          <w:szCs w:val="24"/>
          <w:rtl/>
        </w:rPr>
        <w:t>ברק</w:t>
      </w:r>
      <w:r w:rsidRPr="00977F5A">
        <w:rPr>
          <w:rFonts w:ascii="Century" w:hAnsi="Century" w:cs="Miriam"/>
          <w:b/>
          <w:spacing w:val="0"/>
          <w:sz w:val="22"/>
          <w:szCs w:val="24"/>
          <w:rtl/>
        </w:rPr>
        <w:t>-</w:t>
      </w:r>
      <w:r w:rsidRPr="00977F5A">
        <w:rPr>
          <w:rFonts w:ascii="Century" w:hAnsi="Century" w:cs="Miriam" w:hint="eastAsia"/>
          <w:b/>
          <w:spacing w:val="0"/>
          <w:sz w:val="22"/>
          <w:szCs w:val="24"/>
          <w:rtl/>
        </w:rPr>
        <w:t>ארז</w:t>
      </w:r>
      <w:r w:rsidRPr="000A3B98">
        <w:rPr>
          <w:rtl/>
        </w:rPr>
        <w:t xml:space="preserve"> </w:t>
      </w:r>
      <w:r w:rsidRPr="008B1779">
        <w:rPr>
          <w:rtl/>
        </w:rPr>
        <w:t>(12.4.</w:t>
      </w:r>
      <w:r>
        <w:rPr>
          <w:rFonts w:hint="cs"/>
          <w:rtl/>
        </w:rPr>
        <w:t>2015</w:t>
      </w:r>
      <w:r w:rsidRPr="008B1779">
        <w:rPr>
          <w:rtl/>
        </w:rPr>
        <w:t>)</w:t>
      </w:r>
      <w:r>
        <w:rPr>
          <w:rFonts w:hint="cs"/>
          <w:rtl/>
        </w:rPr>
        <w:t xml:space="preserve"> (להלן: </w:t>
      </w:r>
      <w:r>
        <w:rPr>
          <w:rFonts w:ascii="Century" w:hAnsi="Century" w:cs="Miriam" w:hint="cs"/>
          <w:b/>
          <w:spacing w:val="0"/>
          <w:sz w:val="22"/>
          <w:szCs w:val="24"/>
          <w:rtl/>
        </w:rPr>
        <w:t>עניין</w:t>
      </w:r>
      <w:r w:rsidRPr="006C3536">
        <w:rPr>
          <w:rFonts w:ascii="Century" w:hAnsi="Century" w:cs="Miriam" w:hint="cs"/>
          <w:b/>
          <w:spacing w:val="0"/>
          <w:sz w:val="22"/>
          <w:szCs w:val="24"/>
          <w:rtl/>
        </w:rPr>
        <w:t xml:space="preserve"> אבו פריח</w:t>
      </w:r>
      <w:r>
        <w:rPr>
          <w:rFonts w:hint="cs"/>
          <w:rtl/>
        </w:rPr>
        <w:t xml:space="preserve">); </w:t>
      </w:r>
      <w:r w:rsidRPr="00454766">
        <w:rPr>
          <w:rFonts w:hint="eastAsia"/>
          <w:rtl/>
        </w:rPr>
        <w:t>ע</w:t>
      </w:r>
      <w:r w:rsidRPr="00454766">
        <w:rPr>
          <w:rtl/>
        </w:rPr>
        <w:t>"</w:t>
      </w:r>
      <w:r w:rsidRPr="00454766">
        <w:rPr>
          <w:rFonts w:hint="eastAsia"/>
          <w:rtl/>
        </w:rPr>
        <w:t>א</w:t>
      </w:r>
      <w:r w:rsidRPr="00454766">
        <w:rPr>
          <w:rtl/>
        </w:rPr>
        <w:t xml:space="preserve"> 89/63 </w:t>
      </w:r>
      <w:r w:rsidRPr="00454766">
        <w:rPr>
          <w:rFonts w:ascii="Century" w:hAnsi="Century" w:cs="Miriam" w:hint="eastAsia"/>
          <w:b/>
          <w:spacing w:val="0"/>
          <w:sz w:val="22"/>
          <w:szCs w:val="24"/>
          <w:rtl/>
        </w:rPr>
        <w:t>סלונימסקי</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נ</w:t>
      </w:r>
      <w:r w:rsidRPr="00454766">
        <w:rPr>
          <w:rFonts w:ascii="Century" w:hAnsi="Century" w:cs="Miriam"/>
          <w:b/>
          <w:spacing w:val="0"/>
          <w:sz w:val="22"/>
          <w:szCs w:val="24"/>
          <w:rtl/>
        </w:rPr>
        <w:t>' "</w:t>
      </w:r>
      <w:r w:rsidRPr="00454766">
        <w:rPr>
          <w:rFonts w:ascii="Century" w:hAnsi="Century" w:cs="Miriam" w:hint="eastAsia"/>
          <w:b/>
          <w:spacing w:val="0"/>
          <w:sz w:val="22"/>
          <w:szCs w:val="24"/>
          <w:rtl/>
        </w:rPr>
        <w:t>מזור</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מושב</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עובדים</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בע</w:t>
      </w:r>
      <w:r w:rsidRPr="00454766">
        <w:rPr>
          <w:rFonts w:ascii="Century" w:hAnsi="Century" w:cs="Miriam"/>
          <w:b/>
          <w:spacing w:val="0"/>
          <w:sz w:val="22"/>
          <w:szCs w:val="24"/>
          <w:rtl/>
        </w:rPr>
        <w:t>"</w:t>
      </w:r>
      <w:r w:rsidRPr="00454766">
        <w:rPr>
          <w:rFonts w:ascii="Century" w:hAnsi="Century" w:cs="Miriam" w:hint="eastAsia"/>
          <w:b/>
          <w:spacing w:val="0"/>
          <w:sz w:val="22"/>
          <w:szCs w:val="24"/>
          <w:rtl/>
        </w:rPr>
        <w:t>מ</w:t>
      </w:r>
      <w:r w:rsidRPr="00454766">
        <w:rPr>
          <w:rtl/>
        </w:rPr>
        <w:t xml:space="preserve">, </w:t>
      </w:r>
      <w:r w:rsidRPr="00454766">
        <w:rPr>
          <w:rFonts w:hint="eastAsia"/>
          <w:rtl/>
        </w:rPr>
        <w:t>פ</w:t>
      </w:r>
      <w:r w:rsidRPr="00454766">
        <w:rPr>
          <w:rtl/>
        </w:rPr>
        <w:t>"</w:t>
      </w:r>
      <w:r w:rsidRPr="00454766">
        <w:rPr>
          <w:rFonts w:hint="eastAsia"/>
          <w:rtl/>
        </w:rPr>
        <w:t>ד</w:t>
      </w:r>
      <w:r w:rsidRPr="00454766">
        <w:rPr>
          <w:rtl/>
        </w:rPr>
        <w:t xml:space="preserve"> </w:t>
      </w:r>
      <w:r w:rsidRPr="00454766">
        <w:rPr>
          <w:rFonts w:hint="eastAsia"/>
          <w:rtl/>
        </w:rPr>
        <w:t>יז</w:t>
      </w:r>
      <w:r w:rsidRPr="00454766">
        <w:rPr>
          <w:rtl/>
        </w:rPr>
        <w:t xml:space="preserve"> 1471, 1477-1476 (1963)</w:t>
      </w:r>
      <w:r>
        <w:rPr>
          <w:rFonts w:hint="cs"/>
          <w:rtl/>
        </w:rPr>
        <w:t xml:space="preserve">; והשוו: </w:t>
      </w:r>
      <w:r w:rsidRPr="00C12DC4">
        <w:rPr>
          <w:rFonts w:hint="eastAsia"/>
          <w:rtl/>
        </w:rPr>
        <w:t>יצחק</w:t>
      </w:r>
      <w:r w:rsidRPr="00C12DC4">
        <w:rPr>
          <w:rtl/>
        </w:rPr>
        <w:t xml:space="preserve"> </w:t>
      </w:r>
      <w:r w:rsidRPr="00C12DC4">
        <w:rPr>
          <w:rFonts w:hint="eastAsia"/>
          <w:rtl/>
        </w:rPr>
        <w:t>זמיר</w:t>
      </w:r>
      <w:r>
        <w:rPr>
          <w:rFonts w:hint="cs"/>
          <w:rtl/>
        </w:rPr>
        <w:t>,</w:t>
      </w:r>
      <w:r w:rsidRPr="00C12DC4">
        <w:rPr>
          <w:rFonts w:ascii="Century" w:hAnsi="Century" w:cs="Miriam"/>
          <w:b/>
          <w:spacing w:val="0"/>
          <w:sz w:val="22"/>
          <w:szCs w:val="24"/>
          <w:rtl/>
        </w:rPr>
        <w:t xml:space="preserve"> </w:t>
      </w:r>
      <w:r w:rsidRPr="00C12DC4">
        <w:rPr>
          <w:rFonts w:ascii="Century" w:hAnsi="Century" w:cs="Miriam" w:hint="cs"/>
          <w:b/>
          <w:spacing w:val="0"/>
          <w:sz w:val="22"/>
          <w:szCs w:val="24"/>
          <w:rtl/>
        </w:rPr>
        <w:t>הסמכות המנהלית</w:t>
      </w:r>
      <w:r>
        <w:rPr>
          <w:rFonts w:ascii="Century" w:hAnsi="Century" w:cs="Miriam" w:hint="cs"/>
          <w:b/>
          <w:spacing w:val="0"/>
          <w:sz w:val="22"/>
          <w:szCs w:val="24"/>
          <w:rtl/>
        </w:rPr>
        <w:t xml:space="preserve"> </w:t>
      </w:r>
      <w:r w:rsidRPr="00977F5A">
        <w:rPr>
          <w:rFonts w:ascii="Century" w:hAnsi="Century"/>
          <w:sz w:val="22"/>
          <w:rtl/>
        </w:rPr>
        <w:t>–</w:t>
      </w:r>
      <w:r w:rsidRPr="000A3B98">
        <w:rPr>
          <w:rFonts w:ascii="Century" w:hAnsi="Century" w:cs="Miriam"/>
          <w:b/>
          <w:spacing w:val="0"/>
          <w:sz w:val="22"/>
          <w:szCs w:val="24"/>
          <w:rtl/>
        </w:rPr>
        <w:t xml:space="preserve"> </w:t>
      </w:r>
      <w:r w:rsidRPr="00C12DC4">
        <w:rPr>
          <w:rFonts w:ascii="Century" w:hAnsi="Century" w:cs="Miriam" w:hint="cs"/>
          <w:b/>
          <w:spacing w:val="0"/>
          <w:sz w:val="22"/>
          <w:szCs w:val="24"/>
          <w:rtl/>
        </w:rPr>
        <w:t>סדרי</w:t>
      </w:r>
      <w:r>
        <w:rPr>
          <w:rFonts w:ascii="Century" w:hAnsi="Century" w:cs="Miriam" w:hint="cs"/>
          <w:b/>
          <w:spacing w:val="0"/>
          <w:sz w:val="22"/>
          <w:szCs w:val="24"/>
          <w:rtl/>
        </w:rPr>
        <w:t xml:space="preserve"> </w:t>
      </w:r>
      <w:r w:rsidRPr="00C12DC4">
        <w:rPr>
          <w:rFonts w:ascii="Century" w:hAnsi="Century" w:cs="Miriam" w:hint="cs"/>
          <w:b/>
          <w:spacing w:val="0"/>
          <w:sz w:val="22"/>
          <w:szCs w:val="24"/>
          <w:rtl/>
        </w:rPr>
        <w:t>הביקורת השיפוטית</w:t>
      </w:r>
      <w:r>
        <w:rPr>
          <w:rFonts w:hint="cs"/>
          <w:rtl/>
        </w:rPr>
        <w:t xml:space="preserve"> ד</w:t>
      </w:r>
      <w:r w:rsidRPr="00C12DC4">
        <w:rPr>
          <w:rFonts w:hint="cs"/>
          <w:rtl/>
        </w:rPr>
        <w:t xml:space="preserve"> </w:t>
      </w:r>
      <w:r>
        <w:rPr>
          <w:rFonts w:hint="cs"/>
          <w:rtl/>
        </w:rPr>
        <w:t xml:space="preserve">2650-2648 </w:t>
      </w:r>
      <w:r w:rsidRPr="00C12DC4">
        <w:rPr>
          <w:rFonts w:hint="cs"/>
          <w:rtl/>
        </w:rPr>
        <w:t>(2017)</w:t>
      </w:r>
      <w:r>
        <w:rPr>
          <w:rFonts w:hint="cs"/>
          <w:rtl/>
        </w:rPr>
        <w:t xml:space="preserve"> (להלן: </w:t>
      </w:r>
      <w:r w:rsidRPr="00A604AD">
        <w:rPr>
          <w:rFonts w:ascii="Century" w:hAnsi="Century" w:cs="Miriam" w:hint="cs"/>
          <w:b/>
          <w:spacing w:val="0"/>
          <w:sz w:val="22"/>
          <w:szCs w:val="24"/>
          <w:rtl/>
        </w:rPr>
        <w:t>זמיר</w:t>
      </w:r>
      <w:r>
        <w:rPr>
          <w:rFonts w:hint="cs"/>
          <w:rtl/>
        </w:rPr>
        <w:t>)</w:t>
      </w:r>
      <w:r w:rsidR="00926AC0">
        <w:rPr>
          <w:rFonts w:hint="cs"/>
          <w:rtl/>
        </w:rPr>
        <w:t>)</w:t>
      </w:r>
      <w:r>
        <w:rPr>
          <w:rFonts w:hint="cs"/>
          <w:rtl/>
        </w:rPr>
        <w:t>.</w:t>
      </w:r>
      <w:r>
        <w:rPr>
          <w:rFonts w:ascii="FrankRuehl" w:hAnsi="FrankRuehl" w:hint="cs"/>
          <w:sz w:val="28"/>
          <w:rtl/>
        </w:rPr>
        <w:t xml:space="preserve"> מנגד, נשמעה גם דעה אחרת: </w:t>
      </w:r>
      <w:r w:rsidRPr="00454766">
        <w:rPr>
          <w:rFonts w:ascii="Century" w:hAnsi="Century" w:cs="Miriam" w:hint="cs"/>
          <w:b/>
          <w:spacing w:val="0"/>
          <w:sz w:val="22"/>
          <w:szCs w:val="24"/>
          <w:rtl/>
        </w:rPr>
        <w:t>"</w:t>
      </w:r>
      <w:r w:rsidRPr="00454766">
        <w:rPr>
          <w:rFonts w:ascii="Century" w:hAnsi="Century" w:cs="Miriam" w:hint="eastAsia"/>
          <w:b/>
          <w:spacing w:val="0"/>
          <w:sz w:val="22"/>
          <w:szCs w:val="24"/>
          <w:rtl/>
        </w:rPr>
        <w:t>מקיומה</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העקרוני</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של</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סמכות</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זו</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לא</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נובע</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בהכרח</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כי</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בית</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המשפט</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ייזקק</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לטענות</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מינהליות</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במסלול</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של</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תקיפה</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עקיפה</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כפי</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שהיה</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נזקק</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להן</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ל</w:t>
      </w:r>
      <w:r w:rsidRPr="00454766">
        <w:rPr>
          <w:rFonts w:ascii="Century" w:hAnsi="Century" w:cs="Miriam" w:hint="cs"/>
          <w:b/>
          <w:spacing w:val="0"/>
          <w:sz w:val="22"/>
          <w:szCs w:val="24"/>
          <w:rtl/>
        </w:rPr>
        <w:t>וּ</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הועלו</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בתקיפה</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ישירה</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בבית</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המשפט</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הגבוה</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לצדק</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או</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בבית</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המשפט</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לעניינים</w:t>
      </w:r>
      <w:r w:rsidRPr="00454766">
        <w:rPr>
          <w:rFonts w:ascii="Century" w:hAnsi="Century" w:cs="Miriam"/>
          <w:b/>
          <w:spacing w:val="0"/>
          <w:sz w:val="22"/>
          <w:szCs w:val="24"/>
          <w:rtl/>
        </w:rPr>
        <w:t xml:space="preserve"> </w:t>
      </w:r>
      <w:r w:rsidRPr="00454766">
        <w:rPr>
          <w:rFonts w:ascii="Century" w:hAnsi="Century" w:cs="Miriam" w:hint="eastAsia"/>
          <w:b/>
          <w:spacing w:val="0"/>
          <w:sz w:val="22"/>
          <w:szCs w:val="24"/>
          <w:rtl/>
        </w:rPr>
        <w:t>מינהליים</w:t>
      </w:r>
      <w:r w:rsidRPr="00454766">
        <w:rPr>
          <w:rFonts w:ascii="Century" w:hAnsi="Century" w:cs="Miriam" w:hint="cs"/>
          <w:b/>
          <w:spacing w:val="0"/>
          <w:sz w:val="22"/>
          <w:szCs w:val="24"/>
          <w:rtl/>
        </w:rPr>
        <w:t>"</w:t>
      </w:r>
      <w:r>
        <w:rPr>
          <w:rFonts w:ascii="FrankRuehl" w:hAnsi="FrankRuehl" w:hint="cs"/>
          <w:sz w:val="28"/>
          <w:rtl/>
        </w:rPr>
        <w:t xml:space="preserve"> (</w:t>
      </w:r>
      <w:r w:rsidRPr="00454766">
        <w:rPr>
          <w:rFonts w:ascii="Century" w:hAnsi="Century" w:cs="Miriam" w:hint="cs"/>
          <w:b/>
          <w:spacing w:val="0"/>
          <w:sz w:val="22"/>
          <w:szCs w:val="24"/>
          <w:rtl/>
        </w:rPr>
        <w:t>דנ"א אבו פריח</w:t>
      </w:r>
      <w:r>
        <w:rPr>
          <w:rFonts w:ascii="FrankRuehl" w:hAnsi="FrankRuehl" w:hint="cs"/>
          <w:sz w:val="28"/>
          <w:rtl/>
        </w:rPr>
        <w:t xml:space="preserve">, פסקה 8 לחוות דעתו של הנשיא </w:t>
      </w:r>
      <w:r w:rsidRPr="005D5276">
        <w:rPr>
          <w:rFonts w:ascii="Century" w:hAnsi="Century" w:cs="Miriam" w:hint="cs"/>
          <w:b/>
          <w:spacing w:val="0"/>
          <w:sz w:val="22"/>
          <w:szCs w:val="24"/>
          <w:rtl/>
        </w:rPr>
        <w:t>גרוניס</w:t>
      </w:r>
      <w:r>
        <w:rPr>
          <w:rFonts w:ascii="FrankRuehl" w:hAnsi="FrankRuehl" w:hint="cs"/>
          <w:sz w:val="28"/>
          <w:rtl/>
        </w:rPr>
        <w:t xml:space="preserve">). </w:t>
      </w:r>
    </w:p>
    <w:p w:rsidR="00D512D4" w:rsidRPr="00BF6AB3" w:rsidRDefault="00D512D4" w:rsidP="00653268">
      <w:pPr>
        <w:pStyle w:val="Ruller41"/>
        <w:spacing w:line="240" w:lineRule="auto"/>
      </w:pPr>
    </w:p>
    <w:p w:rsidR="00D512D4" w:rsidRDefault="00D512D4" w:rsidP="007D6392">
      <w:pPr>
        <w:pStyle w:val="Ruller4"/>
        <w:rPr>
          <w:rtl/>
        </w:rPr>
      </w:pPr>
      <w:r w:rsidRPr="00097484">
        <w:rPr>
          <w:rFonts w:hint="cs"/>
          <w:rtl/>
        </w:rPr>
        <w:t>במקום אחר, עמדתי על המגמות השונות בפסיקתו של בית משפט זה, באשר להיקף סמכותו הנגררת של בית משפט</w:t>
      </w:r>
      <w:r>
        <w:rPr>
          <w:rFonts w:hint="cs"/>
          <w:rtl/>
        </w:rPr>
        <w:t xml:space="preserve">, בכל הנוגע להפעלת </w:t>
      </w:r>
      <w:r w:rsidRPr="00097484">
        <w:rPr>
          <w:rFonts w:hint="cs"/>
          <w:rtl/>
        </w:rPr>
        <w:t>ביקורת שיפוטית בדרך של תקיפה עקיפה</w:t>
      </w:r>
      <w:r>
        <w:rPr>
          <w:rFonts w:hint="cs"/>
          <w:rtl/>
        </w:rPr>
        <w:t>.</w:t>
      </w:r>
      <w:r w:rsidRPr="00097484">
        <w:rPr>
          <w:rFonts w:hint="cs"/>
          <w:rtl/>
        </w:rPr>
        <w:t xml:space="preserve"> מן העבר האחד גישה מרחיבה</w:t>
      </w:r>
      <w:r>
        <w:rPr>
          <w:rFonts w:hint="cs"/>
          <w:rtl/>
        </w:rPr>
        <w:t>,</w:t>
      </w:r>
      <w:r w:rsidRPr="00097484">
        <w:rPr>
          <w:rFonts w:hint="cs"/>
          <w:rtl/>
        </w:rPr>
        <w:t xml:space="preserve"> מן העבר השני גישה מצמצמת, כשבתווך גישות נוספות (רע"א 2933/18 </w:t>
      </w:r>
      <w:r w:rsidRPr="00097484">
        <w:rPr>
          <w:rFonts w:ascii="Century" w:hAnsi="Century" w:cs="Miriam" w:hint="cs"/>
          <w:b/>
          <w:spacing w:val="0"/>
          <w:sz w:val="22"/>
          <w:szCs w:val="24"/>
          <w:rtl/>
        </w:rPr>
        <w:t>עיריית אור עקיבא נ' מקורות חברת מים בע"מ</w:t>
      </w:r>
      <w:r w:rsidRPr="00097484">
        <w:rPr>
          <w:rFonts w:hint="cs"/>
          <w:rtl/>
        </w:rPr>
        <w:t>, פסקאות 20-19 (1.8.2019) (להלן</w:t>
      </w:r>
      <w:r>
        <w:rPr>
          <w:rFonts w:hint="cs"/>
          <w:rtl/>
        </w:rPr>
        <w:t>:</w:t>
      </w:r>
      <w:r w:rsidRPr="00097484">
        <w:rPr>
          <w:rFonts w:hint="cs"/>
          <w:rtl/>
        </w:rPr>
        <w:t xml:space="preserve"> </w:t>
      </w:r>
      <w:r w:rsidRPr="00097484">
        <w:rPr>
          <w:rFonts w:ascii="Century" w:hAnsi="Century" w:cs="Miriam" w:hint="cs"/>
          <w:b/>
          <w:spacing w:val="0"/>
          <w:sz w:val="22"/>
          <w:szCs w:val="24"/>
          <w:rtl/>
        </w:rPr>
        <w:t>עניין אור עקיבא</w:t>
      </w:r>
      <w:r w:rsidRPr="00097484">
        <w:rPr>
          <w:rFonts w:hint="cs"/>
          <w:rtl/>
        </w:rPr>
        <w:t xml:space="preserve">)). </w:t>
      </w:r>
      <w:r>
        <w:rPr>
          <w:rFonts w:hint="cs"/>
          <w:rtl/>
        </w:rPr>
        <w:t xml:space="preserve">באותו עניין, ולמעשה בחלק ניכר מן הפסיקה העוסקת בהיקף הסמכות להפעיל ביקורת שיפוטית עקיפה, השאלה שעל הפרק נגעה לתקיפה של </w:t>
      </w:r>
      <w:r>
        <w:rPr>
          <w:rFonts w:ascii="Century" w:hAnsi="Century" w:cs="Miriam" w:hint="cs"/>
          <w:b/>
          <w:spacing w:val="0"/>
          <w:sz w:val="22"/>
          <w:szCs w:val="24"/>
          <w:rtl/>
        </w:rPr>
        <w:t xml:space="preserve">פעולות </w:t>
      </w:r>
      <w:r w:rsidRPr="00097484">
        <w:rPr>
          <w:rFonts w:ascii="Century" w:hAnsi="Century" w:cs="Miriam" w:hint="cs"/>
          <w:b/>
          <w:spacing w:val="0"/>
          <w:sz w:val="22"/>
          <w:szCs w:val="24"/>
          <w:rtl/>
        </w:rPr>
        <w:t>מ</w:t>
      </w:r>
      <w:r>
        <w:rPr>
          <w:rFonts w:ascii="Century" w:hAnsi="Century" w:cs="Miriam" w:hint="cs"/>
          <w:b/>
          <w:spacing w:val="0"/>
          <w:sz w:val="22"/>
          <w:szCs w:val="24"/>
          <w:rtl/>
        </w:rPr>
        <w:t>י</w:t>
      </w:r>
      <w:r w:rsidRPr="00097484">
        <w:rPr>
          <w:rFonts w:ascii="Century" w:hAnsi="Century" w:cs="Miriam" w:hint="cs"/>
          <w:b/>
          <w:spacing w:val="0"/>
          <w:sz w:val="22"/>
          <w:szCs w:val="24"/>
          <w:rtl/>
        </w:rPr>
        <w:t>נהלי</w:t>
      </w:r>
      <w:r>
        <w:rPr>
          <w:rFonts w:ascii="Century" w:hAnsi="Century" w:cs="Miriam" w:hint="cs"/>
          <w:b/>
          <w:spacing w:val="0"/>
          <w:sz w:val="22"/>
          <w:szCs w:val="24"/>
          <w:rtl/>
        </w:rPr>
        <w:t>ות</w:t>
      </w:r>
      <w:r>
        <w:rPr>
          <w:rFonts w:hint="cs"/>
          <w:rtl/>
        </w:rPr>
        <w:t xml:space="preserve"> או של </w:t>
      </w:r>
      <w:r w:rsidRPr="00097484">
        <w:rPr>
          <w:rFonts w:ascii="Century" w:hAnsi="Century" w:cs="Miriam" w:hint="cs"/>
          <w:b/>
          <w:spacing w:val="0"/>
          <w:sz w:val="22"/>
          <w:szCs w:val="24"/>
          <w:rtl/>
        </w:rPr>
        <w:t>חקיקת-משנה</w:t>
      </w:r>
      <w:r>
        <w:rPr>
          <w:rFonts w:hint="cs"/>
          <w:rtl/>
        </w:rPr>
        <w:t xml:space="preserve">. בענייננו, לעומת זאת, מדובר בתקיפה עקיפה של </w:t>
      </w:r>
      <w:r w:rsidRPr="00097484">
        <w:rPr>
          <w:rFonts w:ascii="Century" w:hAnsi="Century" w:cs="Miriam" w:hint="cs"/>
          <w:b/>
          <w:spacing w:val="0"/>
          <w:sz w:val="22"/>
          <w:szCs w:val="24"/>
          <w:rtl/>
        </w:rPr>
        <w:t>חקיקה ראשית</w:t>
      </w:r>
      <w:r w:rsidRPr="002A6F2B">
        <w:rPr>
          <w:rFonts w:hint="cs"/>
          <w:rtl/>
        </w:rPr>
        <w:t xml:space="preserve"> </w:t>
      </w:r>
      <w:r>
        <w:rPr>
          <w:rFonts w:hint="cs"/>
          <w:rtl/>
        </w:rPr>
        <w:t xml:space="preserve">של הכנסת. השאלה האם כל בית משפט רשאי לקבוע, בעקיפין, כי סעיף חוק ראשי של הכנסת איננו חוקתי </w:t>
      </w:r>
      <w:r>
        <w:rPr>
          <w:rtl/>
        </w:rPr>
        <w:t>–</w:t>
      </w:r>
      <w:r>
        <w:rPr>
          <w:rFonts w:hint="cs"/>
          <w:rtl/>
        </w:rPr>
        <w:t xml:space="preserve"> היא שאלה נכבדה, היורדת לשור</w:t>
      </w:r>
      <w:r w:rsidR="007D6392">
        <w:rPr>
          <w:rFonts w:hint="cs"/>
          <w:rtl/>
        </w:rPr>
        <w:t xml:space="preserve">שו של המשטר החוקתי בישראל. אמנם </w:t>
      </w:r>
      <w:r>
        <w:rPr>
          <w:rFonts w:hint="cs"/>
          <w:rtl/>
        </w:rPr>
        <w:t xml:space="preserve">כן, בעידן הנוכחי, קנתה לה שביתה התפיסה, שלפיה כוחה וגבורתה של כל ערכאה שיפוטית </w:t>
      </w:r>
      <w:r>
        <w:rPr>
          <w:rtl/>
        </w:rPr>
        <w:t>–</w:t>
      </w:r>
      <w:r>
        <w:rPr>
          <w:rFonts w:hint="cs"/>
          <w:rtl/>
        </w:rPr>
        <w:t xml:space="preserve"> באשר היא </w:t>
      </w:r>
      <w:r>
        <w:rPr>
          <w:rtl/>
        </w:rPr>
        <w:t>–</w:t>
      </w:r>
      <w:r>
        <w:rPr>
          <w:rFonts w:hint="cs"/>
          <w:rtl/>
        </w:rPr>
        <w:t xml:space="preserve"> בית משפט ובית דין כאחד, לסרוק במסרקות הביקורת השיפוטית, בעקיפין ובדרך אגב, דברי חקיקה של הכנסת, עד כדי הכרזה על בטלותם</w:t>
      </w:r>
      <w:r w:rsidRPr="004E458A">
        <w:rPr>
          <w:rFonts w:hint="eastAsia"/>
          <w:rtl/>
        </w:rPr>
        <w:t xml:space="preserve"> </w:t>
      </w:r>
      <w:r>
        <w:rPr>
          <w:rFonts w:hint="cs"/>
          <w:rtl/>
        </w:rPr>
        <w:t>(</w:t>
      </w:r>
      <w:r w:rsidRPr="004E458A">
        <w:rPr>
          <w:rFonts w:hint="eastAsia"/>
          <w:rtl/>
        </w:rPr>
        <w:t>ראו</w:t>
      </w:r>
      <w:r w:rsidRPr="004E458A">
        <w:rPr>
          <w:rtl/>
        </w:rPr>
        <w:t xml:space="preserve">, </w:t>
      </w:r>
      <w:r w:rsidRPr="004E458A">
        <w:rPr>
          <w:rFonts w:hint="eastAsia"/>
          <w:rtl/>
        </w:rPr>
        <w:t>למשל</w:t>
      </w:r>
      <w:r>
        <w:rPr>
          <w:rFonts w:hint="cs"/>
          <w:rtl/>
        </w:rPr>
        <w:t>:</w:t>
      </w:r>
      <w:r w:rsidRPr="004E458A">
        <w:rPr>
          <w:rtl/>
        </w:rPr>
        <w:t xml:space="preserve"> </w:t>
      </w:r>
      <w:r w:rsidRPr="004E458A">
        <w:rPr>
          <w:rFonts w:hint="eastAsia"/>
          <w:rtl/>
        </w:rPr>
        <w:t>בג</w:t>
      </w:r>
      <w:r w:rsidRPr="004E458A">
        <w:rPr>
          <w:rtl/>
        </w:rPr>
        <w:t>"</w:t>
      </w:r>
      <w:r w:rsidRPr="004E458A">
        <w:rPr>
          <w:rFonts w:hint="eastAsia"/>
          <w:rtl/>
        </w:rPr>
        <w:t>ץ</w:t>
      </w:r>
      <w:r w:rsidRPr="004E458A">
        <w:rPr>
          <w:rtl/>
        </w:rPr>
        <w:t xml:space="preserve"> 2311/11 </w:t>
      </w:r>
      <w:r w:rsidRPr="00097484">
        <w:rPr>
          <w:rFonts w:ascii="Century" w:hAnsi="Century" w:cs="Miriam" w:hint="eastAsia"/>
          <w:b/>
          <w:spacing w:val="0"/>
          <w:sz w:val="22"/>
          <w:szCs w:val="24"/>
          <w:rtl/>
        </w:rPr>
        <w:t>סבח</w:t>
      </w:r>
      <w:r w:rsidRPr="00097484">
        <w:rPr>
          <w:rFonts w:ascii="Century" w:hAnsi="Century" w:cs="Miriam"/>
          <w:b/>
          <w:spacing w:val="0"/>
          <w:sz w:val="22"/>
          <w:szCs w:val="24"/>
          <w:rtl/>
        </w:rPr>
        <w:t xml:space="preserve"> </w:t>
      </w:r>
      <w:r w:rsidRPr="00097484">
        <w:rPr>
          <w:rFonts w:ascii="Century" w:hAnsi="Century" w:cs="Miriam" w:hint="eastAsia"/>
          <w:b/>
          <w:spacing w:val="0"/>
          <w:sz w:val="22"/>
          <w:szCs w:val="24"/>
          <w:rtl/>
        </w:rPr>
        <w:t>נ</w:t>
      </w:r>
      <w:r w:rsidRPr="00097484">
        <w:rPr>
          <w:rFonts w:ascii="Century" w:hAnsi="Century" w:cs="Miriam"/>
          <w:b/>
          <w:spacing w:val="0"/>
          <w:sz w:val="22"/>
          <w:szCs w:val="24"/>
          <w:rtl/>
        </w:rPr>
        <w:t xml:space="preserve">' </w:t>
      </w:r>
      <w:r w:rsidRPr="00097484">
        <w:rPr>
          <w:rFonts w:ascii="Century" w:hAnsi="Century" w:cs="Miriam" w:hint="eastAsia"/>
          <w:b/>
          <w:spacing w:val="0"/>
          <w:sz w:val="22"/>
          <w:szCs w:val="24"/>
          <w:rtl/>
        </w:rPr>
        <w:t>הכנסת</w:t>
      </w:r>
      <w:r w:rsidRPr="004E458A">
        <w:rPr>
          <w:rtl/>
        </w:rPr>
        <w:t xml:space="preserve">, </w:t>
      </w:r>
      <w:r w:rsidRPr="004E458A">
        <w:rPr>
          <w:rFonts w:hint="eastAsia"/>
          <w:rtl/>
        </w:rPr>
        <w:t>פסקאות</w:t>
      </w:r>
      <w:r w:rsidRPr="004E458A">
        <w:rPr>
          <w:rtl/>
        </w:rPr>
        <w:t xml:space="preserve"> 23 </w:t>
      </w:r>
      <w:r w:rsidRPr="004E458A">
        <w:rPr>
          <w:rFonts w:hint="eastAsia"/>
          <w:rtl/>
        </w:rPr>
        <w:t>ו</w:t>
      </w:r>
      <w:r w:rsidRPr="004E458A">
        <w:rPr>
          <w:rtl/>
        </w:rPr>
        <w:t xml:space="preserve">-28 </w:t>
      </w:r>
      <w:r w:rsidRPr="004E458A">
        <w:rPr>
          <w:rFonts w:hint="eastAsia"/>
          <w:rtl/>
        </w:rPr>
        <w:t>לחוות</w:t>
      </w:r>
      <w:r w:rsidRPr="004E458A">
        <w:rPr>
          <w:rtl/>
        </w:rPr>
        <w:t xml:space="preserve"> </w:t>
      </w:r>
      <w:r w:rsidRPr="004E458A">
        <w:rPr>
          <w:rFonts w:hint="eastAsia"/>
          <w:rtl/>
        </w:rPr>
        <w:t>דעתו</w:t>
      </w:r>
      <w:r w:rsidRPr="004E458A">
        <w:rPr>
          <w:rtl/>
        </w:rPr>
        <w:t xml:space="preserve"> </w:t>
      </w:r>
      <w:r w:rsidRPr="004E458A">
        <w:rPr>
          <w:rFonts w:hint="eastAsia"/>
          <w:rtl/>
        </w:rPr>
        <w:t>של</w:t>
      </w:r>
      <w:r w:rsidRPr="004E458A">
        <w:rPr>
          <w:rtl/>
        </w:rPr>
        <w:t xml:space="preserve"> </w:t>
      </w:r>
      <w:r w:rsidRPr="004E458A">
        <w:rPr>
          <w:rFonts w:hint="eastAsia"/>
          <w:rtl/>
        </w:rPr>
        <w:t>הנשיא</w:t>
      </w:r>
      <w:r w:rsidRPr="004E458A">
        <w:rPr>
          <w:rtl/>
        </w:rPr>
        <w:t xml:space="preserve"> </w:t>
      </w:r>
      <w:r w:rsidRPr="00977F5A">
        <w:rPr>
          <w:rFonts w:ascii="Century" w:hAnsi="Century" w:cs="Miriam" w:hint="eastAsia"/>
          <w:b/>
          <w:spacing w:val="0"/>
          <w:sz w:val="22"/>
          <w:szCs w:val="24"/>
          <w:rtl/>
        </w:rPr>
        <w:t>גרוניס</w:t>
      </w:r>
      <w:r w:rsidRPr="006D77BA">
        <w:rPr>
          <w:rtl/>
        </w:rPr>
        <w:t xml:space="preserve"> </w:t>
      </w:r>
      <w:r w:rsidRPr="004E458A">
        <w:rPr>
          <w:rtl/>
        </w:rPr>
        <w:t xml:space="preserve">(17.9.2014); </w:t>
      </w:r>
      <w:r w:rsidRPr="004E458A">
        <w:rPr>
          <w:rFonts w:hint="eastAsia"/>
          <w:rtl/>
        </w:rPr>
        <w:t>בג</w:t>
      </w:r>
      <w:r w:rsidRPr="004E458A">
        <w:rPr>
          <w:rtl/>
        </w:rPr>
        <w:t>"</w:t>
      </w:r>
      <w:r w:rsidRPr="004E458A">
        <w:rPr>
          <w:rFonts w:hint="eastAsia"/>
          <w:rtl/>
        </w:rPr>
        <w:t>ץ</w:t>
      </w:r>
      <w:r w:rsidRPr="004E458A">
        <w:rPr>
          <w:rtl/>
        </w:rPr>
        <w:t xml:space="preserve"> 9369/19 </w:t>
      </w:r>
      <w:r w:rsidRPr="00097484">
        <w:rPr>
          <w:rFonts w:ascii="Century" w:hAnsi="Century" w:cs="Miriam" w:hint="eastAsia"/>
          <w:b/>
          <w:spacing w:val="0"/>
          <w:sz w:val="22"/>
          <w:szCs w:val="24"/>
          <w:rtl/>
        </w:rPr>
        <w:t>אה</w:t>
      </w:r>
      <w:r w:rsidRPr="00097484">
        <w:rPr>
          <w:rFonts w:ascii="Century" w:hAnsi="Century" w:cs="Miriam"/>
          <w:b/>
          <w:spacing w:val="0"/>
          <w:sz w:val="22"/>
          <w:szCs w:val="24"/>
          <w:rtl/>
        </w:rPr>
        <w:t>"</w:t>
      </w:r>
      <w:r w:rsidRPr="00097484">
        <w:rPr>
          <w:rFonts w:ascii="Century" w:hAnsi="Century" w:cs="Miriam" w:hint="eastAsia"/>
          <w:b/>
          <w:spacing w:val="0"/>
          <w:sz w:val="22"/>
          <w:szCs w:val="24"/>
          <w:rtl/>
        </w:rPr>
        <w:t>ל</w:t>
      </w:r>
      <w:r w:rsidRPr="00097484">
        <w:rPr>
          <w:rFonts w:ascii="Century" w:hAnsi="Century" w:cs="Miriam"/>
          <w:b/>
          <w:spacing w:val="0"/>
          <w:sz w:val="22"/>
          <w:szCs w:val="24"/>
          <w:rtl/>
        </w:rPr>
        <w:t xml:space="preserve"> </w:t>
      </w:r>
      <w:r w:rsidRPr="00097484">
        <w:rPr>
          <w:rFonts w:ascii="Century" w:hAnsi="Century" w:cs="Miriam" w:hint="eastAsia"/>
          <w:b/>
          <w:spacing w:val="0"/>
          <w:sz w:val="22"/>
          <w:szCs w:val="24"/>
          <w:rtl/>
        </w:rPr>
        <w:t>ארגון</w:t>
      </w:r>
      <w:r w:rsidRPr="00097484">
        <w:rPr>
          <w:rFonts w:ascii="Century" w:hAnsi="Century" w:cs="Miriam"/>
          <w:b/>
          <w:spacing w:val="0"/>
          <w:sz w:val="22"/>
          <w:szCs w:val="24"/>
          <w:rtl/>
        </w:rPr>
        <w:t xml:space="preserve"> </w:t>
      </w:r>
      <w:r w:rsidRPr="00097484">
        <w:rPr>
          <w:rFonts w:ascii="Century" w:hAnsi="Century" w:cs="Miriam" w:hint="eastAsia"/>
          <w:b/>
          <w:spacing w:val="0"/>
          <w:sz w:val="22"/>
          <w:szCs w:val="24"/>
          <w:rtl/>
        </w:rPr>
        <w:t>המתמחים</w:t>
      </w:r>
      <w:r w:rsidRPr="00097484">
        <w:rPr>
          <w:rFonts w:ascii="Century" w:hAnsi="Century" w:cs="Miriam"/>
          <w:b/>
          <w:spacing w:val="0"/>
          <w:sz w:val="22"/>
          <w:szCs w:val="24"/>
          <w:rtl/>
        </w:rPr>
        <w:t xml:space="preserve"> </w:t>
      </w:r>
      <w:r w:rsidRPr="00097484">
        <w:rPr>
          <w:rFonts w:ascii="Century" w:hAnsi="Century" w:cs="Miriam" w:hint="eastAsia"/>
          <w:b/>
          <w:spacing w:val="0"/>
          <w:sz w:val="22"/>
          <w:szCs w:val="24"/>
          <w:rtl/>
        </w:rPr>
        <w:t>לרפואה</w:t>
      </w:r>
      <w:r w:rsidRPr="00097484">
        <w:rPr>
          <w:rFonts w:ascii="Century" w:hAnsi="Century" w:cs="Miriam"/>
          <w:b/>
          <w:spacing w:val="0"/>
          <w:sz w:val="22"/>
          <w:szCs w:val="24"/>
          <w:rtl/>
        </w:rPr>
        <w:t xml:space="preserve"> </w:t>
      </w:r>
      <w:r w:rsidRPr="00097484">
        <w:rPr>
          <w:rFonts w:ascii="Century" w:hAnsi="Century" w:cs="Miriam" w:hint="eastAsia"/>
          <w:b/>
          <w:spacing w:val="0"/>
          <w:sz w:val="22"/>
          <w:szCs w:val="24"/>
          <w:rtl/>
        </w:rPr>
        <w:t>נ</w:t>
      </w:r>
      <w:r w:rsidRPr="00097484">
        <w:rPr>
          <w:rFonts w:ascii="Century" w:hAnsi="Century" w:cs="Miriam"/>
          <w:b/>
          <w:spacing w:val="0"/>
          <w:sz w:val="22"/>
          <w:szCs w:val="24"/>
          <w:rtl/>
        </w:rPr>
        <w:t xml:space="preserve">' </w:t>
      </w:r>
      <w:r w:rsidRPr="00097484">
        <w:rPr>
          <w:rFonts w:ascii="Century" w:hAnsi="Century" w:cs="Miriam" w:hint="eastAsia"/>
          <w:b/>
          <w:spacing w:val="0"/>
          <w:sz w:val="22"/>
          <w:szCs w:val="24"/>
          <w:rtl/>
        </w:rPr>
        <w:t>שר</w:t>
      </w:r>
      <w:r w:rsidRPr="00097484">
        <w:rPr>
          <w:rFonts w:ascii="Century" w:hAnsi="Century" w:cs="Miriam"/>
          <w:b/>
          <w:spacing w:val="0"/>
          <w:sz w:val="22"/>
          <w:szCs w:val="24"/>
          <w:rtl/>
        </w:rPr>
        <w:t xml:space="preserve"> </w:t>
      </w:r>
      <w:r w:rsidRPr="00097484">
        <w:rPr>
          <w:rFonts w:ascii="Century" w:hAnsi="Century" w:cs="Miriam" w:hint="eastAsia"/>
          <w:b/>
          <w:spacing w:val="0"/>
          <w:sz w:val="22"/>
          <w:szCs w:val="24"/>
          <w:rtl/>
        </w:rPr>
        <w:t>העבודה</w:t>
      </w:r>
      <w:r w:rsidRPr="00097484">
        <w:rPr>
          <w:rFonts w:ascii="Century" w:hAnsi="Century" w:cs="Miriam"/>
          <w:b/>
          <w:spacing w:val="0"/>
          <w:sz w:val="22"/>
          <w:szCs w:val="24"/>
          <w:rtl/>
        </w:rPr>
        <w:t xml:space="preserve"> </w:t>
      </w:r>
      <w:r w:rsidRPr="00097484">
        <w:rPr>
          <w:rFonts w:ascii="Century" w:hAnsi="Century" w:cs="Miriam" w:hint="eastAsia"/>
          <w:b/>
          <w:spacing w:val="0"/>
          <w:sz w:val="22"/>
          <w:szCs w:val="24"/>
          <w:rtl/>
        </w:rPr>
        <w:t>הרווחה</w:t>
      </w:r>
      <w:r w:rsidRPr="00097484">
        <w:rPr>
          <w:rFonts w:ascii="Century" w:hAnsi="Century" w:cs="Miriam"/>
          <w:b/>
          <w:spacing w:val="0"/>
          <w:sz w:val="22"/>
          <w:szCs w:val="24"/>
          <w:rtl/>
        </w:rPr>
        <w:t xml:space="preserve"> </w:t>
      </w:r>
      <w:r w:rsidRPr="00097484">
        <w:rPr>
          <w:rFonts w:ascii="Century" w:hAnsi="Century" w:cs="Miriam" w:hint="eastAsia"/>
          <w:b/>
          <w:spacing w:val="0"/>
          <w:sz w:val="22"/>
          <w:szCs w:val="24"/>
          <w:rtl/>
        </w:rPr>
        <w:lastRenderedPageBreak/>
        <w:t>והשירותים</w:t>
      </w:r>
      <w:r w:rsidRPr="00097484">
        <w:rPr>
          <w:rFonts w:ascii="Century" w:hAnsi="Century" w:cs="Miriam"/>
          <w:b/>
          <w:spacing w:val="0"/>
          <w:sz w:val="22"/>
          <w:szCs w:val="24"/>
          <w:rtl/>
        </w:rPr>
        <w:t xml:space="preserve"> </w:t>
      </w:r>
      <w:r w:rsidRPr="00097484">
        <w:rPr>
          <w:rFonts w:ascii="Century" w:hAnsi="Century" w:cs="Miriam" w:hint="eastAsia"/>
          <w:b/>
          <w:spacing w:val="0"/>
          <w:sz w:val="22"/>
          <w:szCs w:val="24"/>
          <w:rtl/>
        </w:rPr>
        <w:t>החברתיים</w:t>
      </w:r>
      <w:r w:rsidRPr="004E458A">
        <w:rPr>
          <w:rtl/>
        </w:rPr>
        <w:t xml:space="preserve">, </w:t>
      </w:r>
      <w:r w:rsidRPr="004E458A">
        <w:rPr>
          <w:rFonts w:hint="eastAsia"/>
          <w:rtl/>
        </w:rPr>
        <w:t>פסקה</w:t>
      </w:r>
      <w:r w:rsidRPr="004E458A">
        <w:rPr>
          <w:rtl/>
        </w:rPr>
        <w:t xml:space="preserve"> 10 (5.1.2017)</w:t>
      </w:r>
      <w:r>
        <w:rPr>
          <w:rFonts w:hint="cs"/>
          <w:rtl/>
        </w:rPr>
        <w:t xml:space="preserve">; </w:t>
      </w:r>
      <w:r w:rsidRPr="004E458A">
        <w:rPr>
          <w:rFonts w:hint="eastAsia"/>
          <w:rtl/>
        </w:rPr>
        <w:t>עע</w:t>
      </w:r>
      <w:r w:rsidRPr="004E458A">
        <w:rPr>
          <w:rtl/>
        </w:rPr>
        <w:t>"</w:t>
      </w:r>
      <w:r w:rsidRPr="004E458A">
        <w:rPr>
          <w:rFonts w:hint="eastAsia"/>
          <w:rtl/>
        </w:rPr>
        <w:t>מ</w:t>
      </w:r>
      <w:r>
        <w:rPr>
          <w:rFonts w:hint="cs"/>
          <w:rtl/>
        </w:rPr>
        <w:t xml:space="preserve"> </w:t>
      </w:r>
      <w:r w:rsidRPr="004E458A">
        <w:rPr>
          <w:rtl/>
        </w:rPr>
        <w:t>2966</w:t>
      </w:r>
      <w:r>
        <w:rPr>
          <w:rFonts w:hint="cs"/>
          <w:rtl/>
        </w:rPr>
        <w:t>/</w:t>
      </w:r>
      <w:r w:rsidRPr="0065236F">
        <w:rPr>
          <w:rtl/>
        </w:rPr>
        <w:t>19</w:t>
      </w:r>
      <w:r>
        <w:rPr>
          <w:rFonts w:hint="cs"/>
          <w:rtl/>
        </w:rPr>
        <w:t xml:space="preserve"> </w:t>
      </w:r>
      <w:r w:rsidRPr="002F424E">
        <w:rPr>
          <w:rFonts w:ascii="Century" w:hAnsi="Century" w:cs="Miriam"/>
          <w:spacing w:val="0"/>
          <w:sz w:val="18"/>
          <w:szCs w:val="20"/>
        </w:rPr>
        <w:t>HUMAN</w:t>
      </w:r>
      <w:r w:rsidRPr="006B64ED">
        <w:rPr>
          <w:rFonts w:ascii="Century" w:hAnsi="Century" w:cs="Miriam"/>
          <w:spacing w:val="0"/>
          <w:sz w:val="20"/>
          <w:szCs w:val="22"/>
        </w:rPr>
        <w:t xml:space="preserve"> </w:t>
      </w:r>
      <w:r w:rsidRPr="002F424E">
        <w:rPr>
          <w:rFonts w:ascii="Century" w:hAnsi="Century" w:cs="Miriam"/>
          <w:spacing w:val="0"/>
          <w:sz w:val="18"/>
          <w:szCs w:val="20"/>
        </w:rPr>
        <w:t>RIGHTS WATCH</w:t>
      </w:r>
      <w:r w:rsidRPr="00097484">
        <w:rPr>
          <w:rFonts w:ascii="Century" w:hAnsi="Century" w:cs="Miriam"/>
          <w:spacing w:val="0"/>
          <w:sz w:val="22"/>
          <w:szCs w:val="24"/>
          <w:rtl/>
        </w:rPr>
        <w:t xml:space="preserve"> </w:t>
      </w:r>
      <w:r w:rsidRPr="00097484">
        <w:rPr>
          <w:rFonts w:ascii="Century" w:hAnsi="Century" w:cs="Miriam" w:hint="eastAsia"/>
          <w:spacing w:val="0"/>
          <w:sz w:val="22"/>
          <w:szCs w:val="24"/>
          <w:rtl/>
        </w:rPr>
        <w:t>נ</w:t>
      </w:r>
      <w:r w:rsidRPr="00097484">
        <w:rPr>
          <w:rFonts w:ascii="Century" w:hAnsi="Century" w:cs="Miriam"/>
          <w:spacing w:val="0"/>
          <w:sz w:val="22"/>
          <w:szCs w:val="24"/>
          <w:rtl/>
        </w:rPr>
        <w:t xml:space="preserve">' </w:t>
      </w:r>
      <w:r w:rsidRPr="00097484">
        <w:rPr>
          <w:rFonts w:ascii="Century" w:hAnsi="Century" w:cs="Miriam" w:hint="eastAsia"/>
          <w:spacing w:val="0"/>
          <w:sz w:val="22"/>
          <w:szCs w:val="24"/>
          <w:rtl/>
        </w:rPr>
        <w:t>שר</w:t>
      </w:r>
      <w:r w:rsidRPr="00097484">
        <w:rPr>
          <w:rFonts w:ascii="Century" w:hAnsi="Century" w:cs="Miriam"/>
          <w:spacing w:val="0"/>
          <w:sz w:val="22"/>
          <w:szCs w:val="24"/>
          <w:rtl/>
        </w:rPr>
        <w:t xml:space="preserve"> </w:t>
      </w:r>
      <w:r w:rsidRPr="00097484">
        <w:rPr>
          <w:rFonts w:ascii="Century" w:hAnsi="Century" w:cs="Miriam" w:hint="eastAsia"/>
          <w:spacing w:val="0"/>
          <w:sz w:val="22"/>
          <w:szCs w:val="24"/>
          <w:rtl/>
        </w:rPr>
        <w:t>הפנים</w:t>
      </w:r>
      <w:r w:rsidRPr="0065236F">
        <w:rPr>
          <w:rFonts w:hint="cs"/>
          <w:rtl/>
        </w:rPr>
        <w:t>, פסקה 10 (5.11.2019) (להלן</w:t>
      </w:r>
      <w:r>
        <w:rPr>
          <w:rFonts w:hint="cs"/>
          <w:rtl/>
        </w:rPr>
        <w:t>:</w:t>
      </w:r>
      <w:r w:rsidRPr="0065236F">
        <w:rPr>
          <w:rFonts w:hint="cs"/>
          <w:rtl/>
        </w:rPr>
        <w:t xml:space="preserve"> </w:t>
      </w:r>
      <w:r w:rsidRPr="005D5276">
        <w:rPr>
          <w:rFonts w:ascii="Century" w:hAnsi="Century" w:cs="Miriam" w:hint="cs"/>
          <w:b/>
          <w:spacing w:val="0"/>
          <w:sz w:val="22"/>
          <w:szCs w:val="24"/>
          <w:rtl/>
        </w:rPr>
        <w:t>עניין</w:t>
      </w:r>
      <w:r w:rsidRPr="005D5276">
        <w:rPr>
          <w:rFonts w:ascii="Century" w:hAnsi="Century" w:cs="Miriam" w:hint="cs"/>
          <w:bCs/>
          <w:spacing w:val="0"/>
          <w:sz w:val="22"/>
          <w:szCs w:val="24"/>
          <w:rtl/>
        </w:rPr>
        <w:t xml:space="preserve"> </w:t>
      </w:r>
      <w:r w:rsidRPr="002F424E">
        <w:rPr>
          <w:rFonts w:ascii="Century" w:hAnsi="Century" w:cs="Miriam"/>
          <w:bCs/>
          <w:spacing w:val="0"/>
          <w:sz w:val="18"/>
          <w:szCs w:val="20"/>
        </w:rPr>
        <w:t>HUMAN RIGHTS WATCH</w:t>
      </w:r>
      <w:r w:rsidRPr="0065236F">
        <w:rPr>
          <w:rFonts w:hint="cs"/>
          <w:rtl/>
        </w:rPr>
        <w:t>).</w:t>
      </w:r>
      <w:r>
        <w:rPr>
          <w:rFonts w:hint="cs"/>
          <w:rtl/>
        </w:rPr>
        <w:t xml:space="preserve"> עם זאת, ראוי לציין, כי הדברים לא היו ברורים מאליהם בתחילת דרכו של המשפט החוקתי בישראל. כך, בפסק הדין התשתיתי, שבו הונחו יסודות המשפט החוקתי הישראלי, ע"א 6821/93 </w:t>
      </w:r>
      <w:r w:rsidRPr="00097484">
        <w:rPr>
          <w:rFonts w:ascii="Century" w:hAnsi="Century" w:cs="Miriam" w:hint="cs"/>
          <w:b/>
          <w:spacing w:val="0"/>
          <w:sz w:val="22"/>
          <w:szCs w:val="24"/>
          <w:rtl/>
        </w:rPr>
        <w:t>בנק המזרחי המאוחד בע"מ נ' מגדל כפר שיתופי</w:t>
      </w:r>
      <w:r>
        <w:rPr>
          <w:rFonts w:hint="cs"/>
          <w:rtl/>
        </w:rPr>
        <w:t xml:space="preserve">, פ"ד מט(4) 221, 568 (1995) (להלן: </w:t>
      </w:r>
      <w:r w:rsidRPr="00097484">
        <w:rPr>
          <w:rFonts w:ascii="Century" w:hAnsi="Century" w:cs="Miriam" w:hint="cs"/>
          <w:b/>
          <w:spacing w:val="0"/>
          <w:sz w:val="22"/>
          <w:szCs w:val="24"/>
          <w:rtl/>
        </w:rPr>
        <w:t>עניין בנק המזרחי</w:t>
      </w:r>
      <w:r>
        <w:rPr>
          <w:rFonts w:hint="cs"/>
          <w:rtl/>
        </w:rPr>
        <w:t xml:space="preserve">), ציין המשנה לנשיא </w:t>
      </w:r>
      <w:r w:rsidRPr="00527660">
        <w:rPr>
          <w:rFonts w:ascii="Century" w:hAnsi="Century" w:cs="Miriam" w:hint="cs"/>
          <w:b/>
          <w:spacing w:val="0"/>
          <w:sz w:val="22"/>
          <w:szCs w:val="24"/>
          <w:rtl/>
        </w:rPr>
        <w:t>מ' חשין</w:t>
      </w:r>
      <w:r>
        <w:rPr>
          <w:rFonts w:hint="cs"/>
          <w:rtl/>
        </w:rPr>
        <w:t xml:space="preserve"> כך: </w:t>
      </w:r>
    </w:p>
    <w:p w:rsidR="00D512D4" w:rsidRDefault="00D512D4" w:rsidP="00D512D4">
      <w:pPr>
        <w:pStyle w:val="Ruller41"/>
        <w:spacing w:line="276" w:lineRule="auto"/>
        <w:rPr>
          <w:rtl/>
        </w:rPr>
      </w:pPr>
    </w:p>
    <w:p w:rsidR="00D512D4" w:rsidRDefault="00D512D4" w:rsidP="00FA6FBB">
      <w:pPr>
        <w:pStyle w:val="Ruller5"/>
        <w:spacing w:line="360" w:lineRule="auto"/>
        <w:rPr>
          <w:rtl/>
        </w:rPr>
      </w:pPr>
      <w:r>
        <w:rPr>
          <w:rFonts w:ascii="Century" w:hAnsi="Century" w:cs="Miriam" w:hint="cs"/>
          <w:b/>
          <w:spacing w:val="0"/>
          <w:szCs w:val="24"/>
          <w:rtl/>
        </w:rPr>
        <w:t>"</w:t>
      </w:r>
      <w:r w:rsidRPr="00C572D0">
        <w:rPr>
          <w:rFonts w:ascii="Century" w:hAnsi="Century" w:cs="Miriam" w:hint="eastAsia"/>
          <w:b/>
          <w:spacing w:val="0"/>
          <w:szCs w:val="24"/>
          <w:rtl/>
        </w:rPr>
        <w:t>חבריי</w:t>
      </w:r>
      <w:r w:rsidRPr="00C572D0">
        <w:rPr>
          <w:rFonts w:ascii="Century" w:hAnsi="Century" w:cs="Miriam"/>
          <w:b/>
          <w:spacing w:val="0"/>
          <w:szCs w:val="24"/>
          <w:rtl/>
        </w:rPr>
        <w:t xml:space="preserve"> </w:t>
      </w:r>
      <w:r w:rsidRPr="00C572D0">
        <w:rPr>
          <w:rFonts w:ascii="Century" w:hAnsi="Century" w:cs="Miriam" w:hint="eastAsia"/>
          <w:b/>
          <w:spacing w:val="0"/>
          <w:szCs w:val="24"/>
          <w:rtl/>
        </w:rPr>
        <w:t>הניחו</w:t>
      </w:r>
      <w:r w:rsidRPr="00C572D0">
        <w:rPr>
          <w:rFonts w:ascii="Century" w:hAnsi="Century" w:cs="Miriam"/>
          <w:b/>
          <w:spacing w:val="0"/>
          <w:szCs w:val="24"/>
          <w:rtl/>
        </w:rPr>
        <w:t xml:space="preserve"> </w:t>
      </w:r>
      <w:r w:rsidRPr="00C572D0">
        <w:rPr>
          <w:rFonts w:ascii="Century" w:hAnsi="Century" w:cs="Miriam" w:hint="eastAsia"/>
          <w:b/>
          <w:spacing w:val="0"/>
          <w:szCs w:val="24"/>
          <w:rtl/>
        </w:rPr>
        <w:t>תשתית</w:t>
      </w:r>
      <w:r w:rsidRPr="00C572D0">
        <w:rPr>
          <w:rFonts w:ascii="Century" w:hAnsi="Century" w:cs="Miriam"/>
          <w:b/>
          <w:spacing w:val="0"/>
          <w:szCs w:val="24"/>
          <w:rtl/>
        </w:rPr>
        <w:t xml:space="preserve"> </w:t>
      </w:r>
      <w:r w:rsidRPr="00C572D0">
        <w:rPr>
          <w:rFonts w:ascii="Century" w:hAnsi="Century" w:cs="Miriam" w:hint="eastAsia"/>
          <w:b/>
          <w:spacing w:val="0"/>
          <w:szCs w:val="24"/>
          <w:rtl/>
        </w:rPr>
        <w:t>עיונית</w:t>
      </w:r>
      <w:r w:rsidRPr="00C572D0">
        <w:rPr>
          <w:rFonts w:ascii="Century" w:hAnsi="Century" w:cs="Miriam"/>
          <w:b/>
          <w:spacing w:val="0"/>
          <w:szCs w:val="24"/>
          <w:rtl/>
        </w:rPr>
        <w:t xml:space="preserve"> </w:t>
      </w:r>
      <w:r w:rsidRPr="00C572D0">
        <w:rPr>
          <w:rFonts w:ascii="Century" w:hAnsi="Century" w:cs="Miriam" w:hint="eastAsia"/>
          <w:b/>
          <w:spacing w:val="0"/>
          <w:szCs w:val="24"/>
          <w:rtl/>
        </w:rPr>
        <w:t>לסמכותו</w:t>
      </w:r>
      <w:r w:rsidRPr="00C572D0">
        <w:rPr>
          <w:rFonts w:ascii="Century" w:hAnsi="Century" w:cs="Miriam"/>
          <w:b/>
          <w:spacing w:val="0"/>
          <w:szCs w:val="24"/>
          <w:rtl/>
        </w:rPr>
        <w:t xml:space="preserve"> </w:t>
      </w:r>
      <w:r w:rsidRPr="00C572D0">
        <w:rPr>
          <w:rFonts w:ascii="Century" w:hAnsi="Century" w:cs="Miriam" w:hint="eastAsia"/>
          <w:b/>
          <w:spacing w:val="0"/>
          <w:szCs w:val="24"/>
          <w:rtl/>
        </w:rPr>
        <w:t>של</w:t>
      </w:r>
      <w:r w:rsidRPr="00C572D0">
        <w:rPr>
          <w:rFonts w:ascii="Century" w:hAnsi="Century" w:cs="Miriam"/>
          <w:b/>
          <w:spacing w:val="0"/>
          <w:szCs w:val="24"/>
          <w:rtl/>
        </w:rPr>
        <w:t xml:space="preserve"> </w:t>
      </w:r>
      <w:r w:rsidRPr="00C572D0">
        <w:rPr>
          <w:rFonts w:ascii="Century" w:hAnsi="Century" w:cs="Miriam" w:hint="eastAsia"/>
          <w:b/>
          <w:spacing w:val="0"/>
          <w:szCs w:val="24"/>
          <w:rtl/>
        </w:rPr>
        <w:t>בית</w:t>
      </w:r>
      <w:r w:rsidRPr="00C572D0">
        <w:rPr>
          <w:rFonts w:ascii="Century" w:hAnsi="Century" w:cs="Miriam"/>
          <w:b/>
          <w:spacing w:val="0"/>
          <w:szCs w:val="24"/>
          <w:rtl/>
        </w:rPr>
        <w:t>-</w:t>
      </w:r>
      <w:r w:rsidRPr="00C572D0">
        <w:rPr>
          <w:rFonts w:ascii="Century" w:hAnsi="Century" w:cs="Miriam" w:hint="eastAsia"/>
          <w:b/>
          <w:spacing w:val="0"/>
          <w:szCs w:val="24"/>
          <w:rtl/>
        </w:rPr>
        <w:t>משפט</w:t>
      </w:r>
      <w:r w:rsidRPr="00C572D0">
        <w:rPr>
          <w:rFonts w:ascii="Century" w:hAnsi="Century" w:cs="Miriam"/>
          <w:b/>
          <w:spacing w:val="0"/>
          <w:szCs w:val="24"/>
          <w:rtl/>
        </w:rPr>
        <w:t xml:space="preserve"> </w:t>
      </w:r>
      <w:r w:rsidRPr="00C572D0">
        <w:rPr>
          <w:rFonts w:ascii="Century" w:hAnsi="Century" w:cs="Miriam" w:hint="eastAsia"/>
          <w:b/>
          <w:spacing w:val="0"/>
          <w:szCs w:val="24"/>
          <w:rtl/>
        </w:rPr>
        <w:t>לפסילת</w:t>
      </w:r>
      <w:r w:rsidRPr="00C572D0">
        <w:rPr>
          <w:rFonts w:ascii="Century" w:hAnsi="Century" w:cs="Miriam"/>
          <w:b/>
          <w:spacing w:val="0"/>
          <w:szCs w:val="24"/>
          <w:rtl/>
        </w:rPr>
        <w:t xml:space="preserve"> </w:t>
      </w:r>
      <w:r w:rsidRPr="00C572D0">
        <w:rPr>
          <w:rFonts w:ascii="Century" w:hAnsi="Century" w:cs="Miriam" w:hint="eastAsia"/>
          <w:b/>
          <w:spacing w:val="0"/>
          <w:szCs w:val="24"/>
          <w:rtl/>
        </w:rPr>
        <w:t>חוקי</w:t>
      </w:r>
      <w:r w:rsidRPr="00C572D0">
        <w:rPr>
          <w:rFonts w:ascii="Century" w:hAnsi="Century" w:cs="Miriam"/>
          <w:b/>
          <w:spacing w:val="0"/>
          <w:szCs w:val="24"/>
          <w:rtl/>
        </w:rPr>
        <w:t xml:space="preserve"> </w:t>
      </w:r>
      <w:r w:rsidRPr="00C572D0">
        <w:rPr>
          <w:rFonts w:ascii="Century" w:hAnsi="Century" w:cs="Miriam" w:hint="eastAsia"/>
          <w:b/>
          <w:spacing w:val="0"/>
          <w:szCs w:val="24"/>
          <w:rtl/>
        </w:rPr>
        <w:t>כנסת</w:t>
      </w:r>
      <w:r w:rsidRPr="00C572D0">
        <w:rPr>
          <w:rFonts w:ascii="Century" w:hAnsi="Century" w:cs="Miriam"/>
          <w:b/>
          <w:spacing w:val="0"/>
          <w:szCs w:val="24"/>
          <w:rtl/>
        </w:rPr>
        <w:t xml:space="preserve">, </w:t>
      </w:r>
      <w:r w:rsidRPr="00C572D0">
        <w:rPr>
          <w:rFonts w:ascii="Century" w:hAnsi="Century" w:cs="Miriam" w:hint="eastAsia"/>
          <w:b/>
          <w:spacing w:val="0"/>
          <w:szCs w:val="24"/>
          <w:rtl/>
        </w:rPr>
        <w:t>ואנוכי</w:t>
      </w:r>
      <w:r w:rsidRPr="00C572D0">
        <w:rPr>
          <w:rFonts w:ascii="Century" w:hAnsi="Century" w:cs="Miriam"/>
          <w:b/>
          <w:spacing w:val="0"/>
          <w:szCs w:val="24"/>
          <w:rtl/>
        </w:rPr>
        <w:t xml:space="preserve"> </w:t>
      </w:r>
      <w:r w:rsidRPr="00C572D0">
        <w:rPr>
          <w:rFonts w:ascii="Century" w:hAnsi="Century" w:cs="Miriam" w:hint="eastAsia"/>
          <w:b/>
          <w:spacing w:val="0"/>
          <w:szCs w:val="24"/>
          <w:rtl/>
        </w:rPr>
        <w:t>הוספתי</w:t>
      </w:r>
      <w:r w:rsidRPr="00C572D0">
        <w:rPr>
          <w:rFonts w:ascii="Century" w:hAnsi="Century" w:cs="Miriam"/>
          <w:b/>
          <w:spacing w:val="0"/>
          <w:szCs w:val="24"/>
          <w:rtl/>
        </w:rPr>
        <w:t xml:space="preserve"> </w:t>
      </w:r>
      <w:r w:rsidRPr="00C572D0">
        <w:rPr>
          <w:rFonts w:ascii="Century" w:hAnsi="Century" w:cs="Miriam" w:hint="eastAsia"/>
          <w:b/>
          <w:spacing w:val="0"/>
          <w:szCs w:val="24"/>
          <w:rtl/>
        </w:rPr>
        <w:t>עליהם</w:t>
      </w:r>
      <w:r w:rsidRPr="00C572D0">
        <w:rPr>
          <w:rFonts w:ascii="Century" w:hAnsi="Century" w:cs="Miriam"/>
          <w:b/>
          <w:spacing w:val="0"/>
          <w:szCs w:val="24"/>
          <w:rtl/>
        </w:rPr>
        <w:t xml:space="preserve"> </w:t>
      </w:r>
      <w:r w:rsidRPr="00C572D0">
        <w:rPr>
          <w:rFonts w:ascii="Century" w:hAnsi="Century" w:cs="Miriam" w:hint="eastAsia"/>
          <w:b/>
          <w:spacing w:val="0"/>
          <w:szCs w:val="24"/>
          <w:rtl/>
        </w:rPr>
        <w:t>במקצת</w:t>
      </w:r>
      <w:r w:rsidRPr="00C572D0">
        <w:rPr>
          <w:rFonts w:ascii="Century" w:hAnsi="Century" w:cs="Miriam"/>
          <w:b/>
          <w:spacing w:val="0"/>
          <w:szCs w:val="24"/>
          <w:rtl/>
        </w:rPr>
        <w:t xml:space="preserve">. </w:t>
      </w:r>
      <w:r w:rsidRPr="00C572D0">
        <w:rPr>
          <w:rFonts w:ascii="Century" w:hAnsi="Century" w:cs="Miriam" w:hint="eastAsia"/>
          <w:b/>
          <w:spacing w:val="0"/>
          <w:szCs w:val="24"/>
          <w:rtl/>
        </w:rPr>
        <w:t>ועדיין</w:t>
      </w:r>
      <w:r w:rsidRPr="00C572D0">
        <w:rPr>
          <w:rFonts w:ascii="Century" w:hAnsi="Century" w:cs="Miriam"/>
          <w:b/>
          <w:spacing w:val="0"/>
          <w:szCs w:val="24"/>
          <w:rtl/>
        </w:rPr>
        <w:t xml:space="preserve"> </w:t>
      </w:r>
      <w:r w:rsidRPr="00C572D0">
        <w:rPr>
          <w:rFonts w:ascii="Century" w:hAnsi="Century" w:cs="Miriam" w:hint="eastAsia"/>
          <w:b/>
          <w:spacing w:val="0"/>
          <w:szCs w:val="24"/>
          <w:rtl/>
        </w:rPr>
        <w:t>תטרוד</w:t>
      </w:r>
      <w:r w:rsidRPr="00C572D0">
        <w:rPr>
          <w:rFonts w:ascii="Century" w:hAnsi="Century" w:cs="Miriam"/>
          <w:b/>
          <w:spacing w:val="0"/>
          <w:szCs w:val="24"/>
          <w:rtl/>
        </w:rPr>
        <w:t xml:space="preserve"> </w:t>
      </w:r>
      <w:r w:rsidRPr="00C572D0">
        <w:rPr>
          <w:rFonts w:ascii="Century" w:hAnsi="Century" w:cs="Miriam" w:hint="eastAsia"/>
          <w:b/>
          <w:spacing w:val="0"/>
          <w:szCs w:val="24"/>
          <w:rtl/>
        </w:rPr>
        <w:t>אותנו</w:t>
      </w:r>
      <w:r w:rsidRPr="00C572D0">
        <w:rPr>
          <w:rFonts w:ascii="Century" w:hAnsi="Century" w:cs="Miriam"/>
          <w:b/>
          <w:spacing w:val="0"/>
          <w:szCs w:val="24"/>
          <w:rtl/>
        </w:rPr>
        <w:t xml:space="preserve"> </w:t>
      </w:r>
      <w:r w:rsidRPr="00C572D0">
        <w:rPr>
          <w:rFonts w:ascii="Century" w:hAnsi="Century" w:cs="Miriam" w:hint="eastAsia"/>
          <w:b/>
          <w:spacing w:val="0"/>
          <w:szCs w:val="24"/>
          <w:rtl/>
        </w:rPr>
        <w:t>שאלה</w:t>
      </w:r>
      <w:r w:rsidRPr="00C572D0">
        <w:rPr>
          <w:rFonts w:ascii="Century" w:hAnsi="Century" w:cs="Miriam"/>
          <w:b/>
          <w:spacing w:val="0"/>
          <w:szCs w:val="24"/>
          <w:rtl/>
        </w:rPr>
        <w:t xml:space="preserve"> </w:t>
      </w:r>
      <w:r w:rsidRPr="00C572D0">
        <w:rPr>
          <w:rFonts w:ascii="Century" w:hAnsi="Century" w:cs="Miriam" w:hint="eastAsia"/>
          <w:b/>
          <w:spacing w:val="0"/>
          <w:szCs w:val="24"/>
          <w:rtl/>
        </w:rPr>
        <w:t>באשר</w:t>
      </w:r>
      <w:r w:rsidRPr="00C572D0">
        <w:rPr>
          <w:rFonts w:ascii="Century" w:hAnsi="Century" w:cs="Miriam"/>
          <w:b/>
          <w:spacing w:val="0"/>
          <w:szCs w:val="24"/>
          <w:rtl/>
        </w:rPr>
        <w:t xml:space="preserve"> </w:t>
      </w:r>
      <w:r w:rsidRPr="00C572D0">
        <w:rPr>
          <w:rFonts w:ascii="Century" w:hAnsi="Century" w:cs="Miriam" w:hint="eastAsia"/>
          <w:b/>
          <w:spacing w:val="0"/>
          <w:szCs w:val="24"/>
          <w:rtl/>
        </w:rPr>
        <w:t>למחזיקים</w:t>
      </w:r>
      <w:r w:rsidRPr="00C572D0">
        <w:rPr>
          <w:rFonts w:ascii="Century" w:hAnsi="Century" w:cs="Miriam"/>
          <w:b/>
          <w:spacing w:val="0"/>
          <w:szCs w:val="24"/>
          <w:rtl/>
        </w:rPr>
        <w:t xml:space="preserve"> </w:t>
      </w:r>
      <w:r w:rsidRPr="00C572D0">
        <w:rPr>
          <w:rFonts w:ascii="Century" w:hAnsi="Century" w:cs="Miriam" w:hint="eastAsia"/>
          <w:b/>
          <w:spacing w:val="0"/>
          <w:szCs w:val="24"/>
          <w:rtl/>
        </w:rPr>
        <w:t>בסמכות</w:t>
      </w:r>
      <w:r w:rsidRPr="00C572D0">
        <w:rPr>
          <w:rFonts w:ascii="Century" w:hAnsi="Century" w:cs="Miriam"/>
          <w:b/>
          <w:spacing w:val="0"/>
          <w:szCs w:val="24"/>
          <w:rtl/>
        </w:rPr>
        <w:t xml:space="preserve"> </w:t>
      </w:r>
      <w:r w:rsidRPr="00C572D0">
        <w:rPr>
          <w:rFonts w:ascii="Century" w:hAnsi="Century" w:cs="Miriam" w:hint="eastAsia"/>
          <w:b/>
          <w:spacing w:val="0"/>
          <w:szCs w:val="24"/>
          <w:rtl/>
        </w:rPr>
        <w:t>זו</w:t>
      </w:r>
      <w:r w:rsidRPr="00C572D0">
        <w:rPr>
          <w:rFonts w:ascii="Century" w:hAnsi="Century" w:cs="Miriam"/>
          <w:b/>
          <w:spacing w:val="0"/>
          <w:szCs w:val="24"/>
          <w:rtl/>
        </w:rPr>
        <w:t xml:space="preserve">: </w:t>
      </w:r>
      <w:r w:rsidRPr="00C572D0">
        <w:rPr>
          <w:rFonts w:ascii="Century" w:hAnsi="Century" w:cs="Miriam" w:hint="eastAsia"/>
          <w:b/>
          <w:spacing w:val="0"/>
          <w:szCs w:val="24"/>
          <w:rtl/>
        </w:rPr>
        <w:t>האם</w:t>
      </w:r>
      <w:r w:rsidRPr="00C572D0">
        <w:rPr>
          <w:rFonts w:ascii="Century" w:hAnsi="Century" w:cs="Miriam"/>
          <w:b/>
          <w:spacing w:val="0"/>
          <w:szCs w:val="24"/>
          <w:rtl/>
        </w:rPr>
        <w:t xml:space="preserve"> </w:t>
      </w:r>
      <w:r w:rsidRPr="00C572D0">
        <w:rPr>
          <w:rFonts w:ascii="Century" w:hAnsi="Century" w:cs="Miriam" w:hint="eastAsia"/>
          <w:b/>
          <w:spacing w:val="0"/>
          <w:szCs w:val="24"/>
          <w:rtl/>
        </w:rPr>
        <w:t>יהיו</w:t>
      </w:r>
      <w:r w:rsidRPr="00C572D0">
        <w:rPr>
          <w:rFonts w:ascii="Century" w:hAnsi="Century" w:cs="Miriam"/>
          <w:b/>
          <w:spacing w:val="0"/>
          <w:szCs w:val="24"/>
          <w:rtl/>
        </w:rPr>
        <w:t xml:space="preserve"> </w:t>
      </w:r>
      <w:r w:rsidRPr="00C572D0">
        <w:rPr>
          <w:rFonts w:ascii="Century" w:hAnsi="Century" w:cs="Miriam" w:hint="eastAsia"/>
          <w:b/>
          <w:spacing w:val="0"/>
          <w:szCs w:val="24"/>
          <w:rtl/>
        </w:rPr>
        <w:t>אלה</w:t>
      </w:r>
      <w:r w:rsidRPr="00C572D0">
        <w:rPr>
          <w:rFonts w:ascii="Century" w:hAnsi="Century" w:cs="Miriam"/>
          <w:b/>
          <w:spacing w:val="0"/>
          <w:szCs w:val="24"/>
          <w:rtl/>
        </w:rPr>
        <w:t xml:space="preserve"> </w:t>
      </w:r>
      <w:r w:rsidRPr="00C572D0">
        <w:rPr>
          <w:rFonts w:ascii="Century" w:hAnsi="Century" w:cs="Miriam" w:hint="eastAsia"/>
          <w:b/>
          <w:spacing w:val="0"/>
          <w:szCs w:val="24"/>
          <w:rtl/>
        </w:rPr>
        <w:t>כל</w:t>
      </w:r>
      <w:r w:rsidRPr="00C572D0">
        <w:rPr>
          <w:rFonts w:ascii="Century" w:hAnsi="Century" w:cs="Miriam"/>
          <w:b/>
          <w:spacing w:val="0"/>
          <w:szCs w:val="24"/>
          <w:rtl/>
        </w:rPr>
        <w:t xml:space="preserve"> </w:t>
      </w:r>
      <w:r w:rsidRPr="00C572D0">
        <w:rPr>
          <w:rFonts w:ascii="Century" w:hAnsi="Century" w:cs="Miriam" w:hint="eastAsia"/>
          <w:b/>
          <w:spacing w:val="0"/>
          <w:szCs w:val="24"/>
          <w:rtl/>
        </w:rPr>
        <w:t>בתי</w:t>
      </w:r>
      <w:r w:rsidRPr="00C572D0">
        <w:rPr>
          <w:rFonts w:ascii="Century" w:hAnsi="Century" w:cs="Miriam"/>
          <w:b/>
          <w:spacing w:val="0"/>
          <w:szCs w:val="24"/>
          <w:rtl/>
        </w:rPr>
        <w:t xml:space="preserve"> </w:t>
      </w:r>
      <w:r w:rsidRPr="00C572D0">
        <w:rPr>
          <w:rFonts w:ascii="Century" w:hAnsi="Century" w:cs="Miriam" w:hint="eastAsia"/>
          <w:b/>
          <w:spacing w:val="0"/>
          <w:szCs w:val="24"/>
          <w:rtl/>
        </w:rPr>
        <w:t>המשפט</w:t>
      </w:r>
      <w:r w:rsidRPr="00C572D0">
        <w:rPr>
          <w:rFonts w:ascii="Century" w:hAnsi="Century" w:cs="Miriam"/>
          <w:b/>
          <w:spacing w:val="0"/>
          <w:szCs w:val="24"/>
          <w:rtl/>
        </w:rPr>
        <w:t xml:space="preserve"> </w:t>
      </w:r>
      <w:r w:rsidRPr="00C572D0">
        <w:rPr>
          <w:rFonts w:ascii="Century" w:hAnsi="Century" w:cs="Miriam" w:hint="eastAsia"/>
          <w:b/>
          <w:spacing w:val="0"/>
          <w:szCs w:val="24"/>
          <w:rtl/>
        </w:rPr>
        <w:t>בארץ</w:t>
      </w:r>
      <w:r w:rsidRPr="00C572D0">
        <w:rPr>
          <w:rFonts w:ascii="Century" w:hAnsi="Century" w:cs="Miriam"/>
          <w:b/>
          <w:spacing w:val="0"/>
          <w:szCs w:val="24"/>
          <w:rtl/>
        </w:rPr>
        <w:t xml:space="preserve"> </w:t>
      </w:r>
      <w:r w:rsidRPr="00C572D0">
        <w:rPr>
          <w:rFonts w:ascii="Century" w:hAnsi="Century" w:cs="Miriam" w:hint="eastAsia"/>
          <w:b/>
          <w:spacing w:val="0"/>
          <w:szCs w:val="24"/>
          <w:rtl/>
        </w:rPr>
        <w:t>לערכאותיהם</w:t>
      </w:r>
      <w:r w:rsidRPr="00C572D0">
        <w:rPr>
          <w:rFonts w:ascii="Century" w:hAnsi="Century" w:cs="Miriam"/>
          <w:b/>
          <w:spacing w:val="0"/>
          <w:szCs w:val="24"/>
          <w:rtl/>
        </w:rPr>
        <w:t xml:space="preserve">, </w:t>
      </w:r>
      <w:r w:rsidRPr="00C572D0">
        <w:rPr>
          <w:rFonts w:ascii="Century" w:hAnsi="Century" w:cs="Miriam" w:hint="eastAsia"/>
          <w:b/>
          <w:spacing w:val="0"/>
          <w:szCs w:val="24"/>
          <w:rtl/>
        </w:rPr>
        <w:t>או</w:t>
      </w:r>
      <w:r w:rsidRPr="00C572D0">
        <w:rPr>
          <w:rFonts w:ascii="Century" w:hAnsi="Century" w:cs="Miriam"/>
          <w:b/>
          <w:spacing w:val="0"/>
          <w:szCs w:val="24"/>
          <w:rtl/>
        </w:rPr>
        <w:t xml:space="preserve"> </w:t>
      </w:r>
      <w:r w:rsidRPr="00C572D0">
        <w:rPr>
          <w:rFonts w:ascii="Century" w:hAnsi="Century" w:cs="Miriam" w:hint="eastAsia"/>
          <w:b/>
          <w:spacing w:val="0"/>
          <w:szCs w:val="24"/>
          <w:rtl/>
        </w:rPr>
        <w:t>שמא</w:t>
      </w:r>
      <w:r w:rsidRPr="00C572D0">
        <w:rPr>
          <w:rFonts w:ascii="Century" w:hAnsi="Century" w:cs="Miriam"/>
          <w:b/>
          <w:spacing w:val="0"/>
          <w:szCs w:val="24"/>
          <w:rtl/>
        </w:rPr>
        <w:t xml:space="preserve"> </w:t>
      </w:r>
      <w:r w:rsidRPr="00C572D0">
        <w:rPr>
          <w:rFonts w:ascii="Century" w:hAnsi="Century" w:cs="Miriam" w:hint="eastAsia"/>
          <w:b/>
          <w:spacing w:val="0"/>
          <w:szCs w:val="24"/>
          <w:rtl/>
        </w:rPr>
        <w:t>תיוחד</w:t>
      </w:r>
      <w:r w:rsidRPr="00C572D0">
        <w:rPr>
          <w:rFonts w:ascii="Century" w:hAnsi="Century" w:cs="Miriam"/>
          <w:b/>
          <w:spacing w:val="0"/>
          <w:szCs w:val="24"/>
          <w:rtl/>
        </w:rPr>
        <w:t xml:space="preserve"> </w:t>
      </w:r>
      <w:r w:rsidRPr="00C572D0">
        <w:rPr>
          <w:rFonts w:ascii="Century" w:hAnsi="Century" w:cs="Miriam" w:hint="eastAsia"/>
          <w:b/>
          <w:spacing w:val="0"/>
          <w:szCs w:val="24"/>
          <w:rtl/>
        </w:rPr>
        <w:t>הסמכות</w:t>
      </w:r>
      <w:r w:rsidRPr="00C572D0">
        <w:rPr>
          <w:rFonts w:ascii="Century" w:hAnsi="Century" w:cs="Miriam"/>
          <w:b/>
          <w:spacing w:val="0"/>
          <w:szCs w:val="24"/>
          <w:rtl/>
        </w:rPr>
        <w:t xml:space="preserve"> </w:t>
      </w:r>
      <w:r w:rsidRPr="00C572D0">
        <w:rPr>
          <w:rFonts w:ascii="Century" w:hAnsi="Century" w:cs="Miriam" w:hint="eastAsia"/>
          <w:b/>
          <w:spacing w:val="0"/>
          <w:szCs w:val="24"/>
          <w:rtl/>
        </w:rPr>
        <w:t>לבית</w:t>
      </w:r>
      <w:r w:rsidRPr="00C572D0">
        <w:rPr>
          <w:rFonts w:ascii="Century" w:hAnsi="Century" w:cs="Miriam"/>
          <w:b/>
          <w:spacing w:val="0"/>
          <w:szCs w:val="24"/>
          <w:rtl/>
        </w:rPr>
        <w:t xml:space="preserve"> </w:t>
      </w:r>
      <w:r w:rsidRPr="00C572D0">
        <w:rPr>
          <w:rFonts w:ascii="Century" w:hAnsi="Century" w:cs="Miriam" w:hint="eastAsia"/>
          <w:b/>
          <w:spacing w:val="0"/>
          <w:szCs w:val="24"/>
          <w:rtl/>
        </w:rPr>
        <w:t>המשפט</w:t>
      </w:r>
      <w:r w:rsidRPr="00C572D0">
        <w:rPr>
          <w:rFonts w:ascii="Century" w:hAnsi="Century" w:cs="Miriam"/>
          <w:b/>
          <w:spacing w:val="0"/>
          <w:szCs w:val="24"/>
          <w:rtl/>
        </w:rPr>
        <w:t xml:space="preserve"> </w:t>
      </w:r>
      <w:r w:rsidRPr="00C572D0">
        <w:rPr>
          <w:rFonts w:ascii="Century" w:hAnsi="Century" w:cs="Miriam" w:hint="eastAsia"/>
          <w:b/>
          <w:spacing w:val="0"/>
          <w:szCs w:val="24"/>
          <w:rtl/>
        </w:rPr>
        <w:t>העליון</w:t>
      </w:r>
      <w:r w:rsidRPr="00C572D0">
        <w:rPr>
          <w:rFonts w:ascii="Century" w:hAnsi="Century" w:cs="Miriam"/>
          <w:b/>
          <w:spacing w:val="0"/>
          <w:szCs w:val="24"/>
          <w:rtl/>
        </w:rPr>
        <w:t xml:space="preserve"> </w:t>
      </w:r>
      <w:r w:rsidRPr="00C572D0">
        <w:rPr>
          <w:rFonts w:ascii="Century" w:hAnsi="Century" w:cs="Miriam" w:hint="eastAsia"/>
          <w:b/>
          <w:spacing w:val="0"/>
          <w:szCs w:val="24"/>
          <w:rtl/>
        </w:rPr>
        <w:t>בלבד</w:t>
      </w:r>
      <w:r w:rsidRPr="00C572D0">
        <w:rPr>
          <w:rFonts w:ascii="Century" w:hAnsi="Century" w:cs="Miriam"/>
          <w:b/>
          <w:spacing w:val="0"/>
          <w:szCs w:val="24"/>
          <w:rtl/>
        </w:rPr>
        <w:t xml:space="preserve"> </w:t>
      </w:r>
      <w:r w:rsidRPr="00C572D0">
        <w:rPr>
          <w:rFonts w:ascii="Century" w:hAnsi="Century" w:cs="Miriam" w:hint="eastAsia"/>
          <w:b/>
          <w:spacing w:val="0"/>
          <w:szCs w:val="24"/>
          <w:rtl/>
        </w:rPr>
        <w:t>בשבתו</w:t>
      </w:r>
      <w:r w:rsidRPr="00C572D0">
        <w:rPr>
          <w:rFonts w:ascii="Century" w:hAnsi="Century" w:cs="Miriam"/>
          <w:b/>
          <w:spacing w:val="0"/>
          <w:szCs w:val="24"/>
          <w:rtl/>
        </w:rPr>
        <w:t xml:space="preserve"> </w:t>
      </w:r>
      <w:r w:rsidRPr="00C572D0">
        <w:rPr>
          <w:rFonts w:ascii="Century" w:hAnsi="Century" w:cs="Miriam" w:hint="eastAsia"/>
          <w:b/>
          <w:spacing w:val="0"/>
          <w:szCs w:val="24"/>
          <w:rtl/>
        </w:rPr>
        <w:t>כבית</w:t>
      </w:r>
      <w:r w:rsidRPr="00C572D0">
        <w:rPr>
          <w:rFonts w:ascii="Century" w:hAnsi="Century" w:cs="Miriam"/>
          <w:b/>
          <w:spacing w:val="0"/>
          <w:szCs w:val="24"/>
          <w:rtl/>
        </w:rPr>
        <w:t xml:space="preserve"> </w:t>
      </w:r>
      <w:r w:rsidRPr="00C572D0">
        <w:rPr>
          <w:rFonts w:ascii="Century" w:hAnsi="Century" w:cs="Miriam" w:hint="eastAsia"/>
          <w:b/>
          <w:spacing w:val="0"/>
          <w:szCs w:val="24"/>
          <w:rtl/>
        </w:rPr>
        <w:t>משפט</w:t>
      </w:r>
      <w:r w:rsidRPr="00C572D0">
        <w:rPr>
          <w:rFonts w:ascii="Century" w:hAnsi="Century" w:cs="Miriam"/>
          <w:b/>
          <w:spacing w:val="0"/>
          <w:szCs w:val="24"/>
          <w:rtl/>
        </w:rPr>
        <w:t xml:space="preserve"> </w:t>
      </w:r>
      <w:r w:rsidRPr="00C572D0">
        <w:rPr>
          <w:rFonts w:ascii="Century" w:hAnsi="Century" w:cs="Miriam" w:hint="eastAsia"/>
          <w:b/>
          <w:spacing w:val="0"/>
          <w:szCs w:val="24"/>
          <w:rtl/>
        </w:rPr>
        <w:t>גבוה</w:t>
      </w:r>
      <w:r w:rsidRPr="00C572D0">
        <w:rPr>
          <w:rFonts w:ascii="Century" w:hAnsi="Century" w:cs="Miriam"/>
          <w:b/>
          <w:spacing w:val="0"/>
          <w:szCs w:val="24"/>
          <w:rtl/>
        </w:rPr>
        <w:t xml:space="preserve"> </w:t>
      </w:r>
      <w:r w:rsidRPr="00C572D0">
        <w:rPr>
          <w:rFonts w:ascii="Century" w:hAnsi="Century" w:cs="Miriam" w:hint="eastAsia"/>
          <w:b/>
          <w:spacing w:val="0"/>
          <w:szCs w:val="24"/>
          <w:rtl/>
        </w:rPr>
        <w:t>לצדק</w:t>
      </w:r>
      <w:r w:rsidRPr="00C572D0">
        <w:rPr>
          <w:rFonts w:ascii="Century" w:hAnsi="Century" w:cs="Miriam"/>
          <w:b/>
          <w:spacing w:val="0"/>
          <w:szCs w:val="24"/>
          <w:rtl/>
        </w:rPr>
        <w:t xml:space="preserve">? </w:t>
      </w:r>
      <w:r>
        <w:rPr>
          <w:rFonts w:ascii="Century" w:hAnsi="Century" w:cs="Miriam" w:hint="cs"/>
          <w:b/>
          <w:spacing w:val="0"/>
          <w:szCs w:val="24"/>
          <w:rtl/>
        </w:rPr>
        <w:t xml:space="preserve">[...] </w:t>
      </w:r>
      <w:r w:rsidRPr="000E07D0">
        <w:rPr>
          <w:rFonts w:ascii="Century" w:hAnsi="Century" w:cs="Miriam" w:hint="eastAsia"/>
          <w:b/>
          <w:spacing w:val="0"/>
          <w:szCs w:val="24"/>
          <w:u w:val="single"/>
          <w:rtl/>
        </w:rPr>
        <w:t>אומר</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אך</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זאת</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שיש</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יסוד</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איתן</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להשקפה</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כי</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סמכות</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פסילתם</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של</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חוקי</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כנסת</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ראויה</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היא</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שתהיה</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שמורה</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אך</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לבית</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המשפט</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הגבוה</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לצדק</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לו</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בלבד</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להוציא</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כל</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בתי</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המשפט</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האחרים</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כולם</w:t>
      </w:r>
      <w:r>
        <w:rPr>
          <w:rFonts w:ascii="Century" w:hAnsi="Century" w:cs="Miriam" w:hint="cs"/>
          <w:b/>
          <w:spacing w:val="0"/>
          <w:szCs w:val="24"/>
          <w:rtl/>
        </w:rPr>
        <w:t xml:space="preserve"> [...] </w:t>
      </w:r>
      <w:r w:rsidRPr="00C572D0">
        <w:rPr>
          <w:rFonts w:ascii="Century" w:hAnsi="Century" w:cs="Miriam" w:hint="eastAsia"/>
          <w:b/>
          <w:spacing w:val="0"/>
          <w:szCs w:val="24"/>
          <w:rtl/>
        </w:rPr>
        <w:t>משהכרנו</w:t>
      </w:r>
      <w:r w:rsidRPr="00C572D0">
        <w:rPr>
          <w:rFonts w:ascii="Century" w:hAnsi="Century" w:cs="Miriam"/>
          <w:b/>
          <w:spacing w:val="0"/>
          <w:szCs w:val="24"/>
          <w:rtl/>
        </w:rPr>
        <w:t xml:space="preserve"> </w:t>
      </w:r>
      <w:r w:rsidRPr="00C572D0">
        <w:rPr>
          <w:rFonts w:ascii="Century" w:hAnsi="Century" w:cs="Miriam" w:hint="eastAsia"/>
          <w:b/>
          <w:spacing w:val="0"/>
          <w:szCs w:val="24"/>
          <w:rtl/>
        </w:rPr>
        <w:t>עתה</w:t>
      </w:r>
      <w:r w:rsidRPr="00C572D0">
        <w:rPr>
          <w:rFonts w:ascii="Century" w:hAnsi="Century" w:cs="Miriam"/>
          <w:b/>
          <w:spacing w:val="0"/>
          <w:szCs w:val="24"/>
          <w:rtl/>
        </w:rPr>
        <w:t xml:space="preserve"> </w:t>
      </w:r>
      <w:r w:rsidRPr="00C572D0">
        <w:rPr>
          <w:rFonts w:ascii="Century" w:hAnsi="Century" w:cs="Miriam" w:hint="eastAsia"/>
          <w:b/>
          <w:spacing w:val="0"/>
          <w:szCs w:val="24"/>
          <w:rtl/>
        </w:rPr>
        <w:t>לראשונה</w:t>
      </w:r>
      <w:r w:rsidRPr="00C572D0">
        <w:rPr>
          <w:rFonts w:ascii="Century" w:hAnsi="Century" w:cs="Miriam"/>
          <w:b/>
          <w:spacing w:val="0"/>
          <w:szCs w:val="24"/>
          <w:rtl/>
        </w:rPr>
        <w:t xml:space="preserve"> </w:t>
      </w:r>
      <w:r w:rsidRPr="00977F5A">
        <w:rPr>
          <w:rFonts w:ascii="Century" w:hAnsi="Century"/>
          <w:rtl/>
        </w:rPr>
        <w:t>–</w:t>
      </w:r>
      <w:r w:rsidRPr="00C572D0">
        <w:rPr>
          <w:rFonts w:ascii="Century" w:hAnsi="Century" w:cs="Miriam"/>
          <w:b/>
          <w:spacing w:val="0"/>
          <w:szCs w:val="24"/>
          <w:rtl/>
        </w:rPr>
        <w:t xml:space="preserve"> </w:t>
      </w:r>
      <w:r w:rsidRPr="00C572D0">
        <w:rPr>
          <w:rFonts w:ascii="Century" w:hAnsi="Century" w:cs="Miriam" w:hint="eastAsia"/>
          <w:b/>
          <w:spacing w:val="0"/>
          <w:szCs w:val="24"/>
          <w:rtl/>
        </w:rPr>
        <w:t>כדבר</w:t>
      </w:r>
      <w:r w:rsidRPr="00C572D0">
        <w:rPr>
          <w:rFonts w:ascii="Century" w:hAnsi="Century" w:cs="Miriam"/>
          <w:b/>
          <w:spacing w:val="0"/>
          <w:szCs w:val="24"/>
          <w:rtl/>
        </w:rPr>
        <w:t xml:space="preserve"> </w:t>
      </w:r>
      <w:r w:rsidRPr="00C572D0">
        <w:rPr>
          <w:rFonts w:ascii="Century" w:hAnsi="Century" w:cs="Miriam" w:hint="eastAsia"/>
          <w:b/>
          <w:spacing w:val="0"/>
          <w:szCs w:val="24"/>
          <w:rtl/>
        </w:rPr>
        <w:t>הלכה</w:t>
      </w:r>
      <w:r w:rsidRPr="00C572D0">
        <w:rPr>
          <w:rFonts w:ascii="Century" w:hAnsi="Century" w:cs="Miriam"/>
          <w:b/>
          <w:spacing w:val="0"/>
          <w:szCs w:val="24"/>
          <w:rtl/>
        </w:rPr>
        <w:t xml:space="preserve"> </w:t>
      </w:r>
      <w:r w:rsidRPr="00977F5A">
        <w:rPr>
          <w:rFonts w:ascii="Century" w:hAnsi="Century"/>
          <w:rtl/>
        </w:rPr>
        <w:t>–</w:t>
      </w:r>
      <w:r w:rsidRPr="00C572D0">
        <w:rPr>
          <w:rFonts w:ascii="Century" w:hAnsi="Century" w:cs="Miriam"/>
          <w:b/>
          <w:spacing w:val="0"/>
          <w:szCs w:val="24"/>
          <w:rtl/>
        </w:rPr>
        <w:t xml:space="preserve"> </w:t>
      </w:r>
      <w:r w:rsidRPr="00C572D0">
        <w:rPr>
          <w:rFonts w:ascii="Century" w:hAnsi="Century" w:cs="Miriam" w:hint="eastAsia"/>
          <w:b/>
          <w:spacing w:val="0"/>
          <w:szCs w:val="24"/>
          <w:rtl/>
        </w:rPr>
        <w:t>בסמכות</w:t>
      </w:r>
      <w:r w:rsidRPr="00C572D0">
        <w:rPr>
          <w:rFonts w:ascii="Century" w:hAnsi="Century" w:cs="Miriam"/>
          <w:b/>
          <w:spacing w:val="0"/>
          <w:szCs w:val="24"/>
          <w:rtl/>
        </w:rPr>
        <w:t xml:space="preserve"> </w:t>
      </w:r>
      <w:r w:rsidRPr="00C572D0">
        <w:rPr>
          <w:rFonts w:ascii="Century" w:hAnsi="Century" w:cs="Miriam" w:hint="eastAsia"/>
          <w:b/>
          <w:spacing w:val="0"/>
          <w:szCs w:val="24"/>
          <w:rtl/>
        </w:rPr>
        <w:t>של</w:t>
      </w:r>
      <w:r w:rsidRPr="00C572D0">
        <w:rPr>
          <w:rFonts w:ascii="Century" w:hAnsi="Century" w:cs="Miriam"/>
          <w:b/>
          <w:spacing w:val="0"/>
          <w:szCs w:val="24"/>
          <w:rtl/>
        </w:rPr>
        <w:t xml:space="preserve"> </w:t>
      </w:r>
      <w:r w:rsidRPr="00C572D0">
        <w:rPr>
          <w:rFonts w:ascii="Century" w:hAnsi="Century" w:cs="Miriam" w:hint="eastAsia"/>
          <w:b/>
          <w:spacing w:val="0"/>
          <w:szCs w:val="24"/>
          <w:rtl/>
        </w:rPr>
        <w:t>בתי</w:t>
      </w:r>
      <w:r w:rsidRPr="00C572D0">
        <w:rPr>
          <w:rFonts w:ascii="Century" w:hAnsi="Century" w:cs="Miriam"/>
          <w:b/>
          <w:spacing w:val="0"/>
          <w:szCs w:val="24"/>
          <w:rtl/>
        </w:rPr>
        <w:t>-</w:t>
      </w:r>
      <w:r w:rsidRPr="00C572D0">
        <w:rPr>
          <w:rFonts w:ascii="Century" w:hAnsi="Century" w:cs="Miriam" w:hint="eastAsia"/>
          <w:b/>
          <w:spacing w:val="0"/>
          <w:szCs w:val="24"/>
          <w:rtl/>
        </w:rPr>
        <w:t>משפט</w:t>
      </w:r>
      <w:r w:rsidRPr="00C572D0">
        <w:rPr>
          <w:rFonts w:ascii="Century" w:hAnsi="Century" w:cs="Miriam"/>
          <w:b/>
          <w:spacing w:val="0"/>
          <w:szCs w:val="24"/>
          <w:rtl/>
        </w:rPr>
        <w:t xml:space="preserve"> </w:t>
      </w:r>
      <w:r w:rsidRPr="00C572D0">
        <w:rPr>
          <w:rFonts w:ascii="Century" w:hAnsi="Century" w:cs="Miriam" w:hint="eastAsia"/>
          <w:b/>
          <w:spacing w:val="0"/>
          <w:szCs w:val="24"/>
          <w:rtl/>
        </w:rPr>
        <w:t>לפסול</w:t>
      </w:r>
      <w:r w:rsidRPr="00C572D0">
        <w:rPr>
          <w:rFonts w:ascii="Century" w:hAnsi="Century" w:cs="Miriam"/>
          <w:b/>
          <w:spacing w:val="0"/>
          <w:szCs w:val="24"/>
          <w:rtl/>
        </w:rPr>
        <w:t xml:space="preserve"> </w:t>
      </w:r>
      <w:r w:rsidRPr="00C572D0">
        <w:rPr>
          <w:rFonts w:ascii="Century" w:hAnsi="Century" w:cs="Miriam" w:hint="eastAsia"/>
          <w:b/>
          <w:spacing w:val="0"/>
          <w:szCs w:val="24"/>
          <w:rtl/>
        </w:rPr>
        <w:t>חוק</w:t>
      </w:r>
      <w:r w:rsidRPr="00C572D0">
        <w:rPr>
          <w:rFonts w:ascii="Century" w:hAnsi="Century" w:cs="Miriam"/>
          <w:b/>
          <w:spacing w:val="0"/>
          <w:szCs w:val="24"/>
          <w:rtl/>
        </w:rPr>
        <w:t xml:space="preserve"> </w:t>
      </w:r>
      <w:r w:rsidRPr="00C572D0">
        <w:rPr>
          <w:rFonts w:ascii="Century" w:hAnsi="Century" w:cs="Miriam" w:hint="eastAsia"/>
          <w:b/>
          <w:spacing w:val="0"/>
          <w:szCs w:val="24"/>
          <w:rtl/>
        </w:rPr>
        <w:t>של</w:t>
      </w:r>
      <w:r w:rsidRPr="00C572D0">
        <w:rPr>
          <w:rFonts w:ascii="Century" w:hAnsi="Century" w:cs="Miriam"/>
          <w:b/>
          <w:spacing w:val="0"/>
          <w:szCs w:val="24"/>
          <w:rtl/>
        </w:rPr>
        <w:t xml:space="preserve"> </w:t>
      </w:r>
      <w:r w:rsidRPr="00C572D0">
        <w:rPr>
          <w:rFonts w:ascii="Century" w:hAnsi="Century" w:cs="Miriam" w:hint="eastAsia"/>
          <w:b/>
          <w:spacing w:val="0"/>
          <w:szCs w:val="24"/>
          <w:rtl/>
        </w:rPr>
        <w:t>כנסת</w:t>
      </w:r>
      <w:r w:rsidRPr="00C572D0">
        <w:rPr>
          <w:rFonts w:ascii="Century" w:hAnsi="Century" w:cs="Miriam"/>
          <w:b/>
          <w:spacing w:val="0"/>
          <w:szCs w:val="24"/>
          <w:rtl/>
        </w:rPr>
        <w:t xml:space="preserve">, </w:t>
      </w:r>
      <w:r w:rsidRPr="00C572D0">
        <w:rPr>
          <w:rFonts w:ascii="Century" w:hAnsi="Century" w:cs="Miriam" w:hint="eastAsia"/>
          <w:b/>
          <w:spacing w:val="0"/>
          <w:szCs w:val="24"/>
          <w:rtl/>
        </w:rPr>
        <w:t>דומה</w:t>
      </w:r>
      <w:r w:rsidRPr="00C572D0">
        <w:rPr>
          <w:rFonts w:ascii="Century" w:hAnsi="Century" w:cs="Miriam"/>
          <w:b/>
          <w:spacing w:val="0"/>
          <w:szCs w:val="24"/>
          <w:rtl/>
        </w:rPr>
        <w:t xml:space="preserve"> </w:t>
      </w:r>
      <w:r w:rsidRPr="00C572D0">
        <w:rPr>
          <w:rFonts w:ascii="Century" w:hAnsi="Century" w:cs="Miriam" w:hint="eastAsia"/>
          <w:b/>
          <w:spacing w:val="0"/>
          <w:szCs w:val="24"/>
          <w:rtl/>
        </w:rPr>
        <w:t>כי</w:t>
      </w:r>
      <w:r w:rsidRPr="00C572D0">
        <w:rPr>
          <w:rFonts w:ascii="Century" w:hAnsi="Century" w:cs="Miriam"/>
          <w:b/>
          <w:spacing w:val="0"/>
          <w:szCs w:val="24"/>
          <w:rtl/>
        </w:rPr>
        <w:t xml:space="preserve"> </w:t>
      </w:r>
      <w:r w:rsidRPr="00C572D0">
        <w:rPr>
          <w:rFonts w:ascii="Century" w:hAnsi="Century" w:cs="Miriam" w:hint="eastAsia"/>
          <w:b/>
          <w:spacing w:val="0"/>
          <w:szCs w:val="24"/>
          <w:rtl/>
        </w:rPr>
        <w:t>זכאים</w:t>
      </w:r>
      <w:r w:rsidRPr="00C572D0">
        <w:rPr>
          <w:rFonts w:ascii="Century" w:hAnsi="Century" w:cs="Miriam"/>
          <w:b/>
          <w:spacing w:val="0"/>
          <w:szCs w:val="24"/>
          <w:rtl/>
        </w:rPr>
        <w:t xml:space="preserve"> </w:t>
      </w:r>
      <w:r w:rsidRPr="00C572D0">
        <w:rPr>
          <w:rFonts w:ascii="Century" w:hAnsi="Century" w:cs="Miriam" w:hint="eastAsia"/>
          <w:b/>
          <w:spacing w:val="0"/>
          <w:szCs w:val="24"/>
          <w:rtl/>
        </w:rPr>
        <w:t>אנו</w:t>
      </w:r>
      <w:r w:rsidRPr="00C572D0">
        <w:rPr>
          <w:rFonts w:ascii="Century" w:hAnsi="Century" w:cs="Miriam"/>
          <w:b/>
          <w:spacing w:val="0"/>
          <w:szCs w:val="24"/>
          <w:rtl/>
        </w:rPr>
        <w:t xml:space="preserve"> </w:t>
      </w:r>
      <w:r w:rsidRPr="00C572D0">
        <w:rPr>
          <w:rFonts w:ascii="Century" w:hAnsi="Century" w:cs="Miriam" w:hint="eastAsia"/>
          <w:b/>
          <w:spacing w:val="0"/>
          <w:szCs w:val="24"/>
          <w:rtl/>
        </w:rPr>
        <w:t>להוסיף</w:t>
      </w:r>
      <w:r w:rsidRPr="00C572D0">
        <w:rPr>
          <w:rFonts w:ascii="Century" w:hAnsi="Century" w:cs="Miriam"/>
          <w:b/>
          <w:spacing w:val="0"/>
          <w:szCs w:val="24"/>
          <w:rtl/>
        </w:rPr>
        <w:t xml:space="preserve"> </w:t>
      </w:r>
      <w:r w:rsidRPr="00C572D0">
        <w:rPr>
          <w:rFonts w:ascii="Century" w:hAnsi="Century" w:cs="Miriam" w:hint="eastAsia"/>
          <w:b/>
          <w:spacing w:val="0"/>
          <w:szCs w:val="24"/>
          <w:rtl/>
        </w:rPr>
        <w:t>ולקבוע</w:t>
      </w:r>
      <w:r w:rsidRPr="00C572D0">
        <w:rPr>
          <w:rFonts w:ascii="Century" w:hAnsi="Century" w:cs="Miriam"/>
          <w:b/>
          <w:spacing w:val="0"/>
          <w:szCs w:val="24"/>
          <w:rtl/>
        </w:rPr>
        <w:t xml:space="preserve"> </w:t>
      </w:r>
      <w:r w:rsidRPr="00C572D0">
        <w:rPr>
          <w:rFonts w:ascii="Century" w:hAnsi="Century" w:cs="Miriam" w:hint="eastAsia"/>
          <w:b/>
          <w:spacing w:val="0"/>
          <w:szCs w:val="24"/>
          <w:rtl/>
        </w:rPr>
        <w:t>איזו</w:t>
      </w:r>
      <w:r w:rsidRPr="00C572D0">
        <w:rPr>
          <w:rFonts w:ascii="Century" w:hAnsi="Century" w:cs="Miriam"/>
          <w:b/>
          <w:spacing w:val="0"/>
          <w:szCs w:val="24"/>
          <w:rtl/>
        </w:rPr>
        <w:t xml:space="preserve"> </w:t>
      </w:r>
      <w:r w:rsidRPr="00C572D0">
        <w:rPr>
          <w:rFonts w:ascii="Century" w:hAnsi="Century" w:cs="Miriam" w:hint="eastAsia"/>
          <w:b/>
          <w:spacing w:val="0"/>
          <w:szCs w:val="24"/>
          <w:rtl/>
        </w:rPr>
        <w:t>ערכאה</w:t>
      </w:r>
      <w:r w:rsidRPr="00C572D0">
        <w:rPr>
          <w:rFonts w:ascii="Century" w:hAnsi="Century" w:cs="Miriam"/>
          <w:b/>
          <w:spacing w:val="0"/>
          <w:szCs w:val="24"/>
          <w:rtl/>
        </w:rPr>
        <w:t xml:space="preserve"> </w:t>
      </w:r>
      <w:r w:rsidRPr="00C572D0">
        <w:rPr>
          <w:rFonts w:ascii="Century" w:hAnsi="Century" w:cs="Miriam" w:hint="eastAsia"/>
          <w:b/>
          <w:spacing w:val="0"/>
          <w:szCs w:val="24"/>
          <w:rtl/>
        </w:rPr>
        <w:t>תחזיק</w:t>
      </w:r>
      <w:r w:rsidRPr="00C572D0">
        <w:rPr>
          <w:rFonts w:ascii="Century" w:hAnsi="Century" w:cs="Miriam"/>
          <w:b/>
          <w:spacing w:val="0"/>
          <w:szCs w:val="24"/>
          <w:rtl/>
        </w:rPr>
        <w:t xml:space="preserve"> </w:t>
      </w:r>
      <w:r w:rsidRPr="00C572D0">
        <w:rPr>
          <w:rFonts w:ascii="Century" w:hAnsi="Century" w:cs="Miriam" w:hint="eastAsia"/>
          <w:b/>
          <w:spacing w:val="0"/>
          <w:szCs w:val="24"/>
          <w:rtl/>
        </w:rPr>
        <w:t>בסמכות</w:t>
      </w:r>
      <w:r w:rsidRPr="00C572D0">
        <w:rPr>
          <w:rFonts w:ascii="Century" w:hAnsi="Century" w:cs="Miriam"/>
          <w:b/>
          <w:spacing w:val="0"/>
          <w:szCs w:val="24"/>
          <w:rtl/>
        </w:rPr>
        <w:t xml:space="preserve"> </w:t>
      </w:r>
      <w:r w:rsidRPr="00C572D0">
        <w:rPr>
          <w:rFonts w:ascii="Century" w:hAnsi="Century" w:cs="Miriam" w:hint="eastAsia"/>
          <w:b/>
          <w:spacing w:val="0"/>
          <w:szCs w:val="24"/>
          <w:rtl/>
        </w:rPr>
        <w:t>של</w:t>
      </w:r>
      <w:r w:rsidRPr="00C572D0">
        <w:rPr>
          <w:rFonts w:ascii="Century" w:hAnsi="Century" w:cs="Miriam"/>
          <w:b/>
          <w:spacing w:val="0"/>
          <w:szCs w:val="24"/>
          <w:rtl/>
        </w:rPr>
        <w:t xml:space="preserve"> </w:t>
      </w:r>
      <w:r w:rsidRPr="00C572D0">
        <w:rPr>
          <w:rFonts w:ascii="Century" w:hAnsi="Century" w:cs="Miriam" w:hint="eastAsia"/>
          <w:b/>
          <w:spacing w:val="0"/>
          <w:szCs w:val="24"/>
          <w:rtl/>
        </w:rPr>
        <w:t>בדיקה</w:t>
      </w:r>
      <w:r w:rsidRPr="00C572D0">
        <w:rPr>
          <w:rFonts w:ascii="Century" w:hAnsi="Century" w:cs="Miriam"/>
          <w:b/>
          <w:spacing w:val="0"/>
          <w:szCs w:val="24"/>
          <w:rtl/>
        </w:rPr>
        <w:t xml:space="preserve"> </w:t>
      </w:r>
      <w:r w:rsidRPr="00C572D0">
        <w:rPr>
          <w:rFonts w:ascii="Century" w:hAnsi="Century" w:cs="Miriam" w:hint="eastAsia"/>
          <w:b/>
          <w:spacing w:val="0"/>
          <w:szCs w:val="24"/>
          <w:rtl/>
        </w:rPr>
        <w:t>ופסילה</w:t>
      </w:r>
      <w:r w:rsidRPr="00C572D0">
        <w:rPr>
          <w:rFonts w:ascii="Century" w:hAnsi="Century" w:cs="Miriam"/>
          <w:b/>
          <w:spacing w:val="0"/>
          <w:szCs w:val="24"/>
          <w:rtl/>
        </w:rPr>
        <w:t>.</w:t>
      </w:r>
      <w:r>
        <w:rPr>
          <w:rFonts w:ascii="Century" w:hAnsi="Century" w:cs="Miriam" w:hint="cs"/>
          <w:b/>
          <w:spacing w:val="0"/>
          <w:szCs w:val="24"/>
          <w:rtl/>
        </w:rPr>
        <w:t xml:space="preserve"> </w:t>
      </w:r>
      <w:r>
        <w:rPr>
          <w:rFonts w:ascii="Century" w:hAnsi="Century" w:cs="Miriam" w:hint="cs"/>
          <w:b/>
          <w:spacing w:val="0"/>
          <w:szCs w:val="24"/>
          <w:u w:val="single"/>
          <w:rtl/>
        </w:rPr>
        <w:t xml:space="preserve">[...] </w:t>
      </w:r>
      <w:r w:rsidRPr="000E07D0">
        <w:rPr>
          <w:rFonts w:ascii="Century" w:hAnsi="Century" w:cs="Miriam" w:hint="eastAsia"/>
          <w:b/>
          <w:spacing w:val="0"/>
          <w:szCs w:val="24"/>
          <w:u w:val="single"/>
          <w:rtl/>
        </w:rPr>
        <w:t>כשאני</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לעצמי</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דומה</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עליי</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כי</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טעמים</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כבדי</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משקל</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יתמכו</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בייחודה</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של</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הסמכות</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לבית</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המשפט</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הגבוה</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לצדק</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תוך</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קביעת</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סדרי</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דין</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מתאימים</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להעברתן</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של</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שאלות</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חוקה</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מבתי</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משפט</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אחרים</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לבית</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המשפט</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הגבוה</w:t>
      </w:r>
      <w:r w:rsidRPr="000E07D0">
        <w:rPr>
          <w:rFonts w:ascii="Century" w:hAnsi="Century" w:cs="Miriam"/>
          <w:b/>
          <w:spacing w:val="0"/>
          <w:szCs w:val="24"/>
          <w:u w:val="single"/>
          <w:rtl/>
        </w:rPr>
        <w:t xml:space="preserve"> </w:t>
      </w:r>
      <w:r w:rsidRPr="000E07D0">
        <w:rPr>
          <w:rFonts w:ascii="Century" w:hAnsi="Century" w:cs="Miriam" w:hint="eastAsia"/>
          <w:b/>
          <w:spacing w:val="0"/>
          <w:szCs w:val="24"/>
          <w:u w:val="single"/>
          <w:rtl/>
        </w:rPr>
        <w:t>לצדק</w:t>
      </w:r>
      <w:r w:rsidRPr="000E07D0">
        <w:rPr>
          <w:rFonts w:ascii="Century" w:hAnsi="Century" w:cs="Miriam"/>
          <w:b/>
          <w:spacing w:val="0"/>
          <w:szCs w:val="24"/>
          <w:u w:val="single"/>
          <w:rtl/>
        </w:rPr>
        <w:t>)</w:t>
      </w:r>
      <w:r w:rsidRPr="00C572D0">
        <w:rPr>
          <w:rFonts w:ascii="Century" w:hAnsi="Century" w:cs="Miriam"/>
          <w:b/>
          <w:spacing w:val="0"/>
          <w:szCs w:val="24"/>
          <w:rtl/>
        </w:rPr>
        <w:t>.</w:t>
      </w:r>
      <w:r>
        <w:rPr>
          <w:rFonts w:ascii="Century" w:hAnsi="Century" w:cs="Miriam" w:hint="cs"/>
          <w:b/>
          <w:spacing w:val="0"/>
          <w:szCs w:val="24"/>
          <w:rtl/>
        </w:rPr>
        <w:t xml:space="preserve"> </w:t>
      </w:r>
      <w:r w:rsidRPr="00C572D0">
        <w:rPr>
          <w:rFonts w:ascii="Century" w:hAnsi="Century" w:cs="Miriam" w:hint="eastAsia"/>
          <w:b/>
          <w:spacing w:val="0"/>
          <w:szCs w:val="24"/>
          <w:rtl/>
        </w:rPr>
        <w:t>בדרך</w:t>
      </w:r>
      <w:r w:rsidRPr="00C572D0">
        <w:rPr>
          <w:rFonts w:ascii="Century" w:hAnsi="Century" w:cs="Miriam"/>
          <w:b/>
          <w:spacing w:val="0"/>
          <w:szCs w:val="24"/>
          <w:rtl/>
        </w:rPr>
        <w:t xml:space="preserve"> </w:t>
      </w:r>
      <w:r w:rsidRPr="00C572D0">
        <w:rPr>
          <w:rFonts w:ascii="Century" w:hAnsi="Century" w:cs="Miriam" w:hint="eastAsia"/>
          <w:b/>
          <w:spacing w:val="0"/>
          <w:szCs w:val="24"/>
          <w:rtl/>
        </w:rPr>
        <w:t>זו</w:t>
      </w:r>
      <w:r w:rsidRPr="00C572D0">
        <w:rPr>
          <w:rFonts w:ascii="Century" w:hAnsi="Century" w:cs="Miriam"/>
          <w:b/>
          <w:spacing w:val="0"/>
          <w:szCs w:val="24"/>
          <w:rtl/>
        </w:rPr>
        <w:t xml:space="preserve"> </w:t>
      </w:r>
      <w:r w:rsidRPr="00C572D0">
        <w:rPr>
          <w:rFonts w:ascii="Century" w:hAnsi="Century" w:cs="Miriam" w:hint="eastAsia"/>
          <w:b/>
          <w:spacing w:val="0"/>
          <w:szCs w:val="24"/>
          <w:rtl/>
        </w:rPr>
        <w:t>אף</w:t>
      </w:r>
      <w:r w:rsidRPr="00C572D0">
        <w:rPr>
          <w:rFonts w:ascii="Century" w:hAnsi="Century" w:cs="Miriam"/>
          <w:b/>
          <w:spacing w:val="0"/>
          <w:szCs w:val="24"/>
          <w:rtl/>
        </w:rPr>
        <w:t xml:space="preserve"> </w:t>
      </w:r>
      <w:r w:rsidRPr="00C572D0">
        <w:rPr>
          <w:rFonts w:ascii="Century" w:hAnsi="Century" w:cs="Miriam" w:hint="eastAsia"/>
          <w:b/>
          <w:spacing w:val="0"/>
          <w:szCs w:val="24"/>
          <w:rtl/>
        </w:rPr>
        <w:t>יוכל</w:t>
      </w:r>
      <w:r w:rsidRPr="00C572D0">
        <w:rPr>
          <w:rFonts w:ascii="Century" w:hAnsi="Century" w:cs="Miriam"/>
          <w:b/>
          <w:spacing w:val="0"/>
          <w:szCs w:val="24"/>
          <w:rtl/>
        </w:rPr>
        <w:t xml:space="preserve"> </w:t>
      </w:r>
      <w:r w:rsidRPr="00C572D0">
        <w:rPr>
          <w:rFonts w:ascii="Century" w:hAnsi="Century" w:cs="Miriam" w:hint="eastAsia"/>
          <w:b/>
          <w:spacing w:val="0"/>
          <w:szCs w:val="24"/>
          <w:rtl/>
        </w:rPr>
        <w:t>בית</w:t>
      </w:r>
      <w:r w:rsidRPr="00C572D0">
        <w:rPr>
          <w:rFonts w:ascii="Century" w:hAnsi="Century" w:cs="Miriam"/>
          <w:b/>
          <w:spacing w:val="0"/>
          <w:szCs w:val="24"/>
          <w:rtl/>
        </w:rPr>
        <w:t xml:space="preserve"> </w:t>
      </w:r>
      <w:r w:rsidRPr="00C572D0">
        <w:rPr>
          <w:rFonts w:ascii="Century" w:hAnsi="Century" w:cs="Miriam" w:hint="eastAsia"/>
          <w:b/>
          <w:spacing w:val="0"/>
          <w:szCs w:val="24"/>
          <w:rtl/>
        </w:rPr>
        <w:t>המשפט</w:t>
      </w:r>
      <w:r w:rsidRPr="00C572D0">
        <w:rPr>
          <w:rFonts w:ascii="Century" w:hAnsi="Century" w:cs="Miriam"/>
          <w:b/>
          <w:spacing w:val="0"/>
          <w:szCs w:val="24"/>
          <w:rtl/>
        </w:rPr>
        <w:t xml:space="preserve"> </w:t>
      </w:r>
      <w:r w:rsidRPr="00C572D0">
        <w:rPr>
          <w:rFonts w:ascii="Century" w:hAnsi="Century" w:cs="Miriam" w:hint="eastAsia"/>
          <w:b/>
          <w:spacing w:val="0"/>
          <w:szCs w:val="24"/>
          <w:rtl/>
        </w:rPr>
        <w:t>גבוה</w:t>
      </w:r>
      <w:r w:rsidRPr="00C572D0">
        <w:rPr>
          <w:rFonts w:ascii="Century" w:hAnsi="Century" w:cs="Miriam"/>
          <w:b/>
          <w:spacing w:val="0"/>
          <w:szCs w:val="24"/>
          <w:rtl/>
        </w:rPr>
        <w:t xml:space="preserve"> </w:t>
      </w:r>
      <w:r w:rsidRPr="00C572D0">
        <w:rPr>
          <w:rFonts w:ascii="Century" w:hAnsi="Century" w:cs="Miriam" w:hint="eastAsia"/>
          <w:b/>
          <w:spacing w:val="0"/>
          <w:szCs w:val="24"/>
          <w:rtl/>
        </w:rPr>
        <w:t>לצדק</w:t>
      </w:r>
      <w:r w:rsidRPr="00C572D0">
        <w:rPr>
          <w:rFonts w:ascii="Century" w:hAnsi="Century" w:cs="Miriam"/>
          <w:b/>
          <w:spacing w:val="0"/>
          <w:szCs w:val="24"/>
          <w:rtl/>
        </w:rPr>
        <w:t xml:space="preserve"> </w:t>
      </w:r>
      <w:r w:rsidRPr="00C572D0">
        <w:rPr>
          <w:rFonts w:ascii="Century" w:hAnsi="Century" w:cs="Miriam" w:hint="eastAsia"/>
          <w:b/>
          <w:spacing w:val="0"/>
          <w:szCs w:val="24"/>
          <w:rtl/>
        </w:rPr>
        <w:t>לבור</w:t>
      </w:r>
      <w:r w:rsidRPr="00C572D0">
        <w:rPr>
          <w:rFonts w:ascii="Century" w:hAnsi="Century" w:cs="Miriam"/>
          <w:b/>
          <w:spacing w:val="0"/>
          <w:szCs w:val="24"/>
          <w:rtl/>
        </w:rPr>
        <w:t xml:space="preserve"> </w:t>
      </w:r>
      <w:r w:rsidRPr="00C572D0">
        <w:rPr>
          <w:rFonts w:ascii="Century" w:hAnsi="Century" w:cs="Miriam" w:hint="eastAsia"/>
          <w:b/>
          <w:spacing w:val="0"/>
          <w:szCs w:val="24"/>
          <w:rtl/>
        </w:rPr>
        <w:t>לעצמו</w:t>
      </w:r>
      <w:r w:rsidRPr="00C572D0">
        <w:rPr>
          <w:rFonts w:ascii="Century" w:hAnsi="Century" w:cs="Miriam"/>
          <w:b/>
          <w:spacing w:val="0"/>
          <w:szCs w:val="24"/>
          <w:rtl/>
        </w:rPr>
        <w:t xml:space="preserve"> </w:t>
      </w:r>
      <w:r w:rsidRPr="00C572D0">
        <w:rPr>
          <w:rFonts w:ascii="Century" w:hAnsi="Century" w:cs="Miriam" w:hint="eastAsia"/>
          <w:b/>
          <w:spacing w:val="0"/>
          <w:szCs w:val="24"/>
          <w:rtl/>
        </w:rPr>
        <w:t>שאלות</w:t>
      </w:r>
      <w:r w:rsidRPr="00C572D0">
        <w:rPr>
          <w:rFonts w:ascii="Century" w:hAnsi="Century" w:cs="Miriam"/>
          <w:b/>
          <w:spacing w:val="0"/>
          <w:szCs w:val="24"/>
          <w:rtl/>
        </w:rPr>
        <w:t xml:space="preserve"> </w:t>
      </w:r>
      <w:r w:rsidRPr="00C572D0">
        <w:rPr>
          <w:rFonts w:ascii="Century" w:hAnsi="Century" w:cs="Miriam" w:hint="eastAsia"/>
          <w:b/>
          <w:spacing w:val="0"/>
          <w:szCs w:val="24"/>
          <w:rtl/>
        </w:rPr>
        <w:t>הראויות</w:t>
      </w:r>
      <w:r w:rsidRPr="00C572D0">
        <w:rPr>
          <w:rFonts w:ascii="Century" w:hAnsi="Century" w:cs="Miriam"/>
          <w:b/>
          <w:spacing w:val="0"/>
          <w:szCs w:val="24"/>
          <w:rtl/>
        </w:rPr>
        <w:t xml:space="preserve">, </w:t>
      </w:r>
      <w:r w:rsidRPr="00C572D0">
        <w:rPr>
          <w:rFonts w:ascii="Century" w:hAnsi="Century" w:cs="Miriam" w:hint="eastAsia"/>
          <w:b/>
          <w:spacing w:val="0"/>
          <w:szCs w:val="24"/>
          <w:rtl/>
        </w:rPr>
        <w:t>לדעתו</w:t>
      </w:r>
      <w:r w:rsidRPr="00C572D0">
        <w:rPr>
          <w:rFonts w:ascii="Century" w:hAnsi="Century" w:cs="Miriam"/>
          <w:b/>
          <w:spacing w:val="0"/>
          <w:szCs w:val="24"/>
          <w:rtl/>
        </w:rPr>
        <w:t xml:space="preserve">, </w:t>
      </w:r>
      <w:r w:rsidRPr="00C572D0">
        <w:rPr>
          <w:rFonts w:ascii="Century" w:hAnsi="Century" w:cs="Miriam" w:hint="eastAsia"/>
          <w:b/>
          <w:spacing w:val="0"/>
          <w:szCs w:val="24"/>
          <w:rtl/>
        </w:rPr>
        <w:t>לדיון</w:t>
      </w:r>
      <w:r w:rsidRPr="00C572D0">
        <w:rPr>
          <w:rFonts w:ascii="Century" w:hAnsi="Century" w:cs="Miriam"/>
          <w:b/>
          <w:spacing w:val="0"/>
          <w:szCs w:val="24"/>
          <w:rtl/>
        </w:rPr>
        <w:t xml:space="preserve"> </w:t>
      </w:r>
      <w:r w:rsidRPr="00C572D0">
        <w:rPr>
          <w:rFonts w:ascii="Century" w:hAnsi="Century" w:cs="Miriam" w:hint="eastAsia"/>
          <w:b/>
          <w:spacing w:val="0"/>
          <w:szCs w:val="24"/>
          <w:rtl/>
        </w:rPr>
        <w:t>מיידי</w:t>
      </w:r>
      <w:r w:rsidRPr="00C572D0">
        <w:rPr>
          <w:rFonts w:ascii="Century" w:hAnsi="Century" w:cs="Miriam"/>
          <w:b/>
          <w:spacing w:val="0"/>
          <w:szCs w:val="24"/>
          <w:rtl/>
        </w:rPr>
        <w:t xml:space="preserve"> </w:t>
      </w:r>
      <w:r w:rsidRPr="00C572D0">
        <w:rPr>
          <w:rFonts w:ascii="Century" w:hAnsi="Century" w:cs="Miriam" w:hint="eastAsia"/>
          <w:b/>
          <w:spacing w:val="0"/>
          <w:szCs w:val="24"/>
          <w:rtl/>
        </w:rPr>
        <w:t>תוך</w:t>
      </w:r>
      <w:r w:rsidRPr="00C572D0">
        <w:rPr>
          <w:rFonts w:ascii="Century" w:hAnsi="Century" w:cs="Miriam"/>
          <w:b/>
          <w:spacing w:val="0"/>
          <w:szCs w:val="24"/>
          <w:rtl/>
        </w:rPr>
        <w:t xml:space="preserve"> </w:t>
      </w:r>
      <w:r w:rsidRPr="00C572D0">
        <w:rPr>
          <w:rFonts w:ascii="Century" w:hAnsi="Century" w:cs="Miriam" w:hint="eastAsia"/>
          <w:b/>
          <w:spacing w:val="0"/>
          <w:szCs w:val="24"/>
          <w:rtl/>
        </w:rPr>
        <w:t>דחיית</w:t>
      </w:r>
      <w:r w:rsidRPr="00C572D0">
        <w:rPr>
          <w:rFonts w:ascii="Century" w:hAnsi="Century" w:cs="Miriam"/>
          <w:b/>
          <w:spacing w:val="0"/>
          <w:szCs w:val="24"/>
          <w:rtl/>
        </w:rPr>
        <w:t xml:space="preserve"> </w:t>
      </w:r>
      <w:r w:rsidRPr="00C572D0">
        <w:rPr>
          <w:rFonts w:ascii="Century" w:hAnsi="Century" w:cs="Miriam" w:hint="eastAsia"/>
          <w:b/>
          <w:spacing w:val="0"/>
          <w:szCs w:val="24"/>
          <w:rtl/>
        </w:rPr>
        <w:t>נושאים</w:t>
      </w:r>
      <w:r w:rsidRPr="00C572D0">
        <w:rPr>
          <w:rFonts w:ascii="Century" w:hAnsi="Century" w:cs="Miriam"/>
          <w:b/>
          <w:spacing w:val="0"/>
          <w:szCs w:val="24"/>
          <w:rtl/>
        </w:rPr>
        <w:t xml:space="preserve"> </w:t>
      </w:r>
      <w:r w:rsidRPr="00C572D0">
        <w:rPr>
          <w:rFonts w:ascii="Century" w:hAnsi="Century" w:cs="Miriam" w:hint="eastAsia"/>
          <w:b/>
          <w:spacing w:val="0"/>
          <w:szCs w:val="24"/>
          <w:rtl/>
        </w:rPr>
        <w:t>אחרים</w:t>
      </w:r>
      <w:r w:rsidRPr="00C572D0">
        <w:rPr>
          <w:rFonts w:ascii="Century" w:hAnsi="Century" w:cs="Miriam"/>
          <w:b/>
          <w:spacing w:val="0"/>
          <w:szCs w:val="24"/>
          <w:rtl/>
        </w:rPr>
        <w:t xml:space="preserve"> </w:t>
      </w:r>
      <w:r w:rsidRPr="00C572D0">
        <w:rPr>
          <w:rFonts w:ascii="Century" w:hAnsi="Century" w:cs="Miriam" w:hint="eastAsia"/>
          <w:b/>
          <w:spacing w:val="0"/>
          <w:szCs w:val="24"/>
          <w:rtl/>
        </w:rPr>
        <w:t>לימים</w:t>
      </w:r>
      <w:r w:rsidRPr="00C572D0">
        <w:rPr>
          <w:rFonts w:ascii="Century" w:hAnsi="Century" w:cs="Miriam"/>
          <w:b/>
          <w:spacing w:val="0"/>
          <w:szCs w:val="24"/>
          <w:rtl/>
        </w:rPr>
        <w:t xml:space="preserve"> </w:t>
      </w:r>
      <w:r w:rsidRPr="00C572D0">
        <w:rPr>
          <w:rFonts w:ascii="Century" w:hAnsi="Century" w:cs="Miriam" w:hint="eastAsia"/>
          <w:b/>
          <w:spacing w:val="0"/>
          <w:szCs w:val="24"/>
          <w:rtl/>
        </w:rPr>
        <w:t>יבואו</w:t>
      </w:r>
      <w:r w:rsidRPr="00C572D0">
        <w:rPr>
          <w:rFonts w:ascii="Century" w:hAnsi="Century" w:cs="Miriam"/>
          <w:b/>
          <w:spacing w:val="0"/>
          <w:szCs w:val="24"/>
          <w:rtl/>
        </w:rPr>
        <w:t xml:space="preserve">. </w:t>
      </w:r>
      <w:r w:rsidRPr="00C572D0">
        <w:rPr>
          <w:rFonts w:ascii="Century" w:hAnsi="Century" w:cs="Miriam" w:hint="eastAsia"/>
          <w:b/>
          <w:spacing w:val="0"/>
          <w:szCs w:val="24"/>
          <w:rtl/>
        </w:rPr>
        <w:t>ועוד</w:t>
      </w:r>
      <w:r w:rsidRPr="00C572D0">
        <w:rPr>
          <w:rFonts w:ascii="Century" w:hAnsi="Century" w:cs="Miriam"/>
          <w:b/>
          <w:spacing w:val="0"/>
          <w:szCs w:val="24"/>
          <w:rtl/>
        </w:rPr>
        <w:t xml:space="preserve"> </w:t>
      </w:r>
      <w:r w:rsidRPr="00C572D0">
        <w:rPr>
          <w:rFonts w:ascii="Century" w:hAnsi="Century" w:cs="Miriam" w:hint="eastAsia"/>
          <w:b/>
          <w:spacing w:val="0"/>
          <w:szCs w:val="24"/>
          <w:rtl/>
        </w:rPr>
        <w:t>נכונו</w:t>
      </w:r>
      <w:r w:rsidRPr="00C572D0">
        <w:rPr>
          <w:rFonts w:ascii="Century" w:hAnsi="Century" w:cs="Miriam"/>
          <w:b/>
          <w:spacing w:val="0"/>
          <w:szCs w:val="24"/>
          <w:rtl/>
        </w:rPr>
        <w:t xml:space="preserve"> </w:t>
      </w:r>
      <w:r w:rsidRPr="00C572D0">
        <w:rPr>
          <w:rFonts w:ascii="Century" w:hAnsi="Century" w:cs="Miriam" w:hint="eastAsia"/>
          <w:b/>
          <w:spacing w:val="0"/>
          <w:szCs w:val="24"/>
          <w:rtl/>
        </w:rPr>
        <w:t>לנו</w:t>
      </w:r>
      <w:r w:rsidRPr="00C572D0">
        <w:rPr>
          <w:rFonts w:ascii="Century" w:hAnsi="Century" w:cs="Miriam"/>
          <w:b/>
          <w:spacing w:val="0"/>
          <w:szCs w:val="24"/>
          <w:rtl/>
        </w:rPr>
        <w:t xml:space="preserve"> </w:t>
      </w:r>
      <w:r w:rsidRPr="00C572D0">
        <w:rPr>
          <w:rFonts w:ascii="Century" w:hAnsi="Century" w:cs="Miriam" w:hint="eastAsia"/>
          <w:b/>
          <w:spacing w:val="0"/>
          <w:szCs w:val="24"/>
          <w:rtl/>
        </w:rPr>
        <w:t>עלילות</w:t>
      </w:r>
      <w:r>
        <w:rPr>
          <w:rFonts w:ascii="Century" w:hAnsi="Century" w:cs="Miriam" w:hint="cs"/>
          <w:b/>
          <w:spacing w:val="0"/>
          <w:szCs w:val="24"/>
          <w:rtl/>
        </w:rPr>
        <w:t>"</w:t>
      </w:r>
      <w:r>
        <w:rPr>
          <w:rFonts w:ascii="Century" w:hAnsi="Century" w:hint="cs"/>
          <w:rtl/>
        </w:rPr>
        <w:t xml:space="preserve"> </w:t>
      </w:r>
      <w:r w:rsidRPr="00237959">
        <w:rPr>
          <w:rFonts w:ascii="Century" w:hAnsi="Century"/>
          <w:rtl/>
        </w:rPr>
        <w:t>(</w:t>
      </w:r>
      <w:r w:rsidRPr="00237959">
        <w:rPr>
          <w:rFonts w:ascii="Century" w:hAnsi="Century" w:hint="eastAsia"/>
          <w:rtl/>
        </w:rPr>
        <w:t>ההדגשות</w:t>
      </w:r>
      <w:r w:rsidRPr="00237959">
        <w:rPr>
          <w:rFonts w:ascii="Century" w:hAnsi="Century"/>
          <w:rtl/>
        </w:rPr>
        <w:t xml:space="preserve"> </w:t>
      </w:r>
      <w:r w:rsidRPr="00237959">
        <w:rPr>
          <w:rFonts w:ascii="Century" w:hAnsi="Century" w:hint="eastAsia"/>
          <w:rtl/>
        </w:rPr>
        <w:t>הוספו</w:t>
      </w:r>
      <w:r w:rsidRPr="00237959">
        <w:rPr>
          <w:rFonts w:ascii="Century" w:hAnsi="Century"/>
          <w:rtl/>
        </w:rPr>
        <w:t xml:space="preserve"> – </w:t>
      </w:r>
      <w:r w:rsidRPr="00237959">
        <w:rPr>
          <w:rFonts w:ascii="Century" w:hAnsi="Century" w:hint="eastAsia"/>
          <w:rtl/>
        </w:rPr>
        <w:t>נ</w:t>
      </w:r>
      <w:r w:rsidRPr="00237959">
        <w:rPr>
          <w:rFonts w:ascii="Century" w:hAnsi="Century"/>
          <w:rtl/>
        </w:rPr>
        <w:t xml:space="preserve">' </w:t>
      </w:r>
      <w:r w:rsidRPr="00237959">
        <w:rPr>
          <w:rFonts w:ascii="Century" w:hAnsi="Century" w:hint="eastAsia"/>
          <w:rtl/>
        </w:rPr>
        <w:t>ס</w:t>
      </w:r>
      <w:r w:rsidRPr="00237959">
        <w:rPr>
          <w:rFonts w:ascii="Century" w:hAnsi="Century"/>
          <w:rtl/>
        </w:rPr>
        <w:t>')</w:t>
      </w:r>
      <w:r w:rsidRPr="00977F5A">
        <w:rPr>
          <w:rFonts w:ascii="Century" w:hAnsi="Century"/>
          <w:rtl/>
        </w:rPr>
        <w:t>.</w:t>
      </w:r>
      <w:r w:rsidRPr="006D77BA">
        <w:rPr>
          <w:rtl/>
        </w:rPr>
        <w:t xml:space="preserve"> </w:t>
      </w:r>
    </w:p>
    <w:p w:rsidR="00D512D4" w:rsidRPr="006D77BA" w:rsidRDefault="00D512D4" w:rsidP="00653268">
      <w:pPr>
        <w:pStyle w:val="Ruller41"/>
        <w:spacing w:line="240" w:lineRule="auto"/>
        <w:rPr>
          <w:rtl/>
        </w:rPr>
      </w:pPr>
    </w:p>
    <w:p w:rsidR="00D512D4" w:rsidRPr="0016511A" w:rsidRDefault="00D512D4" w:rsidP="00D512D4">
      <w:pPr>
        <w:pStyle w:val="Ruller4"/>
        <w:numPr>
          <w:ilvl w:val="0"/>
          <w:numId w:val="0"/>
        </w:numPr>
        <w:rPr>
          <w:rtl/>
        </w:rPr>
      </w:pPr>
      <w:r>
        <w:rPr>
          <w:rtl/>
        </w:rPr>
        <w:tab/>
      </w:r>
      <w:r>
        <w:rPr>
          <w:rFonts w:hint="cs"/>
          <w:rtl/>
        </w:rPr>
        <w:t xml:space="preserve">וראו גם: </w:t>
      </w:r>
      <w:r w:rsidRPr="0016511A">
        <w:rPr>
          <w:rFonts w:hint="eastAsia"/>
          <w:rtl/>
        </w:rPr>
        <w:t>אהרן</w:t>
      </w:r>
      <w:r w:rsidRPr="0016511A">
        <w:rPr>
          <w:rtl/>
        </w:rPr>
        <w:t xml:space="preserve"> </w:t>
      </w:r>
      <w:r w:rsidRPr="0016511A">
        <w:rPr>
          <w:rFonts w:hint="eastAsia"/>
          <w:rtl/>
        </w:rPr>
        <w:t>ברק</w:t>
      </w:r>
      <w:r w:rsidRPr="0016511A">
        <w:rPr>
          <w:rtl/>
        </w:rPr>
        <w:t>, "</w:t>
      </w:r>
      <w:r w:rsidRPr="0016511A">
        <w:rPr>
          <w:rFonts w:hint="eastAsia"/>
          <w:rtl/>
        </w:rPr>
        <w:t>ביקורת</w:t>
      </w:r>
      <w:r w:rsidRPr="0016511A">
        <w:rPr>
          <w:rtl/>
        </w:rPr>
        <w:t xml:space="preserve"> </w:t>
      </w:r>
      <w:r w:rsidRPr="0016511A">
        <w:rPr>
          <w:rFonts w:hint="eastAsia"/>
          <w:rtl/>
        </w:rPr>
        <w:t>שיפוטית</w:t>
      </w:r>
      <w:r w:rsidRPr="0016511A">
        <w:rPr>
          <w:rtl/>
        </w:rPr>
        <w:t xml:space="preserve"> </w:t>
      </w:r>
      <w:r w:rsidRPr="0016511A">
        <w:rPr>
          <w:rFonts w:hint="eastAsia"/>
          <w:rtl/>
        </w:rPr>
        <w:t>על</w:t>
      </w:r>
      <w:r w:rsidRPr="0016511A">
        <w:rPr>
          <w:rtl/>
        </w:rPr>
        <w:t xml:space="preserve"> </w:t>
      </w:r>
      <w:r w:rsidRPr="0016511A">
        <w:rPr>
          <w:rFonts w:hint="eastAsia"/>
          <w:rtl/>
        </w:rPr>
        <w:t>חוקיות</w:t>
      </w:r>
      <w:r w:rsidRPr="0016511A">
        <w:rPr>
          <w:rtl/>
        </w:rPr>
        <w:t xml:space="preserve"> </w:t>
      </w:r>
      <w:r w:rsidRPr="0016511A">
        <w:rPr>
          <w:rFonts w:hint="eastAsia"/>
          <w:rtl/>
        </w:rPr>
        <w:t>החוק</w:t>
      </w:r>
      <w:r w:rsidRPr="0016511A">
        <w:rPr>
          <w:rtl/>
        </w:rPr>
        <w:t xml:space="preserve">: </w:t>
      </w:r>
      <w:r w:rsidRPr="0016511A">
        <w:rPr>
          <w:rFonts w:hint="eastAsia"/>
          <w:rtl/>
        </w:rPr>
        <w:t>צנטרליסטית</w:t>
      </w:r>
      <w:r w:rsidRPr="0016511A">
        <w:rPr>
          <w:rtl/>
        </w:rPr>
        <w:t xml:space="preserve"> (</w:t>
      </w:r>
      <w:r w:rsidRPr="0016511A">
        <w:rPr>
          <w:rFonts w:hint="eastAsia"/>
          <w:rtl/>
        </w:rPr>
        <w:t>ריכוזית</w:t>
      </w:r>
      <w:r w:rsidRPr="0016511A">
        <w:rPr>
          <w:rtl/>
        </w:rPr>
        <w:t xml:space="preserve">) </w:t>
      </w:r>
      <w:r w:rsidRPr="0016511A">
        <w:rPr>
          <w:rFonts w:hint="eastAsia"/>
          <w:rtl/>
        </w:rPr>
        <w:t>או</w:t>
      </w:r>
      <w:r w:rsidRPr="0016511A">
        <w:rPr>
          <w:rtl/>
        </w:rPr>
        <w:t xml:space="preserve"> </w:t>
      </w:r>
      <w:r w:rsidRPr="0016511A">
        <w:rPr>
          <w:rFonts w:hint="eastAsia"/>
          <w:rtl/>
        </w:rPr>
        <w:t>דה</w:t>
      </w:r>
      <w:r w:rsidRPr="0016511A">
        <w:rPr>
          <w:rtl/>
        </w:rPr>
        <w:t xml:space="preserve"> </w:t>
      </w:r>
      <w:r w:rsidRPr="0016511A">
        <w:rPr>
          <w:rFonts w:hint="eastAsia"/>
          <w:rtl/>
        </w:rPr>
        <w:t>צנטרליסטית</w:t>
      </w:r>
      <w:r w:rsidRPr="0016511A">
        <w:rPr>
          <w:rtl/>
        </w:rPr>
        <w:t xml:space="preserve"> (</w:t>
      </w:r>
      <w:r w:rsidRPr="0016511A">
        <w:rPr>
          <w:rFonts w:hint="eastAsia"/>
          <w:rtl/>
        </w:rPr>
        <w:t>מבוזרת</w:t>
      </w:r>
      <w:r>
        <w:rPr>
          <w:rtl/>
        </w:rPr>
        <w:t>)"</w:t>
      </w:r>
      <w:r>
        <w:rPr>
          <w:rFonts w:hint="cs"/>
          <w:rtl/>
        </w:rPr>
        <w:t xml:space="preserve"> </w:t>
      </w:r>
      <w:r w:rsidRPr="0016511A">
        <w:rPr>
          <w:rFonts w:ascii="Century" w:hAnsi="Century" w:cs="Miriam" w:hint="cs"/>
          <w:b/>
          <w:spacing w:val="0"/>
          <w:szCs w:val="24"/>
          <w:rtl/>
        </w:rPr>
        <w:t>משפט וממשל</w:t>
      </w:r>
      <w:r w:rsidRPr="00977F5A">
        <w:rPr>
          <w:rFonts w:ascii="Century" w:hAnsi="Century"/>
          <w:sz w:val="22"/>
          <w:rtl/>
        </w:rPr>
        <w:t xml:space="preserve"> </w:t>
      </w:r>
      <w:r w:rsidRPr="00977F5A">
        <w:rPr>
          <w:rFonts w:ascii="Century" w:hAnsi="Century" w:hint="eastAsia"/>
          <w:sz w:val="22"/>
          <w:rtl/>
        </w:rPr>
        <w:t>ח</w:t>
      </w:r>
      <w:r w:rsidRPr="00977F5A">
        <w:rPr>
          <w:rFonts w:ascii="Century" w:hAnsi="Century"/>
          <w:sz w:val="22"/>
          <w:rtl/>
        </w:rPr>
        <w:t xml:space="preserve"> (</w:t>
      </w:r>
      <w:r>
        <w:rPr>
          <w:rFonts w:hint="cs"/>
          <w:rtl/>
        </w:rPr>
        <w:t xml:space="preserve">התשס"ה) (להלן: </w:t>
      </w:r>
      <w:r w:rsidRPr="00DF6E94">
        <w:rPr>
          <w:rFonts w:ascii="Century" w:hAnsi="Century" w:cs="Miriam" w:hint="cs"/>
          <w:b/>
          <w:spacing w:val="0"/>
          <w:szCs w:val="24"/>
          <w:rtl/>
        </w:rPr>
        <w:t>ברק, ביקורת שיפוטית</w:t>
      </w:r>
      <w:r>
        <w:rPr>
          <w:rFonts w:hint="cs"/>
          <w:rtl/>
        </w:rPr>
        <w:t>).</w:t>
      </w:r>
    </w:p>
    <w:p w:rsidR="00D512D4" w:rsidRPr="00BF4303" w:rsidRDefault="00D512D4" w:rsidP="003906C7">
      <w:pPr>
        <w:pStyle w:val="Ruller41"/>
        <w:spacing w:line="240" w:lineRule="auto"/>
      </w:pPr>
    </w:p>
    <w:p w:rsidR="00D512D4" w:rsidRDefault="00D512D4" w:rsidP="00F326AD">
      <w:pPr>
        <w:pStyle w:val="Ruller4"/>
        <w:rPr>
          <w:rtl/>
        </w:rPr>
      </w:pPr>
      <w:r>
        <w:rPr>
          <w:rFonts w:hint="cs"/>
          <w:rtl/>
        </w:rPr>
        <w:lastRenderedPageBreak/>
        <w:t xml:space="preserve">מכל מקום, בפרקטיקה הנוהגת, דנו הערכאות השונות בשאלת חוקתיותם של דברי חקיקה ראשיים של הכנסת, ואף הורו על בטלותם במקרים אחדים (ראו, למשל: </w:t>
      </w:r>
      <w:r w:rsidRPr="001968DC">
        <w:rPr>
          <w:rFonts w:hint="eastAsia"/>
          <w:rtl/>
        </w:rPr>
        <w:t>ע</w:t>
      </w:r>
      <w:r w:rsidRPr="001968DC">
        <w:rPr>
          <w:rtl/>
        </w:rPr>
        <w:t>"</w:t>
      </w:r>
      <w:r w:rsidRPr="001968DC">
        <w:rPr>
          <w:rFonts w:hint="eastAsia"/>
          <w:rtl/>
        </w:rPr>
        <w:t>פ</w:t>
      </w:r>
      <w:r w:rsidRPr="001968DC">
        <w:rPr>
          <w:rtl/>
        </w:rPr>
        <w:t xml:space="preserve"> 4424</w:t>
      </w:r>
      <w:r>
        <w:rPr>
          <w:rFonts w:hint="cs"/>
          <w:rtl/>
        </w:rPr>
        <w:t>/</w:t>
      </w:r>
      <w:r w:rsidRPr="001968DC">
        <w:rPr>
          <w:rtl/>
        </w:rPr>
        <w:t xml:space="preserve">98 </w:t>
      </w:r>
      <w:r w:rsidRPr="001968DC">
        <w:rPr>
          <w:rFonts w:ascii="Century" w:hAnsi="Century" w:cs="Miriam" w:hint="eastAsia"/>
          <w:b/>
          <w:spacing w:val="0"/>
          <w:sz w:val="22"/>
          <w:szCs w:val="24"/>
          <w:rtl/>
        </w:rPr>
        <w:t>סילגדו</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נ</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מדינת</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ישראל</w:t>
      </w:r>
      <w:r w:rsidRPr="001968DC">
        <w:rPr>
          <w:rtl/>
        </w:rPr>
        <w:t xml:space="preserve">, </w:t>
      </w:r>
      <w:r w:rsidRPr="001968DC">
        <w:rPr>
          <w:rFonts w:hint="eastAsia"/>
          <w:rtl/>
        </w:rPr>
        <w:t>פ</w:t>
      </w:r>
      <w:r w:rsidRPr="001968DC">
        <w:rPr>
          <w:rtl/>
        </w:rPr>
        <w:t>"</w:t>
      </w:r>
      <w:r w:rsidRPr="001968DC">
        <w:rPr>
          <w:rFonts w:hint="eastAsia"/>
          <w:rtl/>
        </w:rPr>
        <w:t>ד</w:t>
      </w:r>
      <w:r w:rsidRPr="001968DC">
        <w:rPr>
          <w:rtl/>
        </w:rPr>
        <w:t xml:space="preserve"> </w:t>
      </w:r>
      <w:r w:rsidRPr="001968DC">
        <w:rPr>
          <w:rFonts w:hint="eastAsia"/>
          <w:rtl/>
        </w:rPr>
        <w:t>נו</w:t>
      </w:r>
      <w:r w:rsidRPr="001968DC">
        <w:rPr>
          <w:rtl/>
        </w:rPr>
        <w:t>(5) 529</w:t>
      </w:r>
      <w:r>
        <w:rPr>
          <w:rFonts w:hint="cs"/>
          <w:rtl/>
        </w:rPr>
        <w:t xml:space="preserve"> (2002);</w:t>
      </w:r>
      <w:r w:rsidRPr="001968DC">
        <w:rPr>
          <w:rFonts w:hint="eastAsia"/>
          <w:rtl/>
        </w:rPr>
        <w:t xml:space="preserve"> </w:t>
      </w:r>
      <w:r w:rsidRPr="0016511A">
        <w:rPr>
          <w:rFonts w:hint="eastAsia"/>
          <w:rtl/>
        </w:rPr>
        <w:t>בש</w:t>
      </w:r>
      <w:r w:rsidRPr="0016511A">
        <w:rPr>
          <w:rtl/>
        </w:rPr>
        <w:t>"</w:t>
      </w:r>
      <w:r w:rsidRPr="0016511A">
        <w:rPr>
          <w:rFonts w:hint="eastAsia"/>
          <w:rtl/>
        </w:rPr>
        <w:t>פ</w:t>
      </w:r>
      <w:r w:rsidRPr="0016511A">
        <w:rPr>
          <w:rtl/>
        </w:rPr>
        <w:t xml:space="preserve"> 8823</w:t>
      </w:r>
      <w:r>
        <w:rPr>
          <w:rFonts w:hint="cs"/>
          <w:rtl/>
        </w:rPr>
        <w:t>/</w:t>
      </w:r>
      <w:r w:rsidRPr="0016511A">
        <w:rPr>
          <w:rtl/>
        </w:rPr>
        <w:t xml:space="preserve">07 </w:t>
      </w:r>
      <w:r w:rsidRPr="0016511A">
        <w:rPr>
          <w:rFonts w:ascii="Century" w:hAnsi="Century" w:cs="Miriam" w:hint="eastAsia"/>
          <w:b/>
          <w:spacing w:val="0"/>
          <w:sz w:val="22"/>
          <w:szCs w:val="24"/>
          <w:rtl/>
        </w:rPr>
        <w:t>פלוני</w:t>
      </w:r>
      <w:r w:rsidRPr="0016511A">
        <w:rPr>
          <w:rFonts w:ascii="Century" w:hAnsi="Century" w:cs="Miriam"/>
          <w:b/>
          <w:spacing w:val="0"/>
          <w:sz w:val="22"/>
          <w:szCs w:val="24"/>
          <w:rtl/>
        </w:rPr>
        <w:t xml:space="preserve"> </w:t>
      </w:r>
      <w:r w:rsidRPr="0016511A">
        <w:rPr>
          <w:rFonts w:ascii="Century" w:hAnsi="Century" w:cs="Miriam" w:hint="eastAsia"/>
          <w:b/>
          <w:spacing w:val="0"/>
          <w:sz w:val="22"/>
          <w:szCs w:val="24"/>
          <w:rtl/>
        </w:rPr>
        <w:t>נ</w:t>
      </w:r>
      <w:r w:rsidRPr="0016511A">
        <w:rPr>
          <w:rFonts w:ascii="Century" w:hAnsi="Century" w:cs="Miriam"/>
          <w:b/>
          <w:spacing w:val="0"/>
          <w:sz w:val="22"/>
          <w:szCs w:val="24"/>
          <w:rtl/>
        </w:rPr>
        <w:t xml:space="preserve">' </w:t>
      </w:r>
      <w:r w:rsidRPr="0016511A">
        <w:rPr>
          <w:rFonts w:ascii="Century" w:hAnsi="Century" w:cs="Miriam" w:hint="eastAsia"/>
          <w:b/>
          <w:spacing w:val="0"/>
          <w:sz w:val="22"/>
          <w:szCs w:val="24"/>
          <w:rtl/>
        </w:rPr>
        <w:t>מדינת</w:t>
      </w:r>
      <w:r w:rsidRPr="0016511A">
        <w:rPr>
          <w:rFonts w:ascii="Century" w:hAnsi="Century" w:cs="Miriam"/>
          <w:b/>
          <w:spacing w:val="0"/>
          <w:sz w:val="22"/>
          <w:szCs w:val="24"/>
          <w:rtl/>
        </w:rPr>
        <w:t xml:space="preserve"> </w:t>
      </w:r>
      <w:r w:rsidRPr="0016511A">
        <w:rPr>
          <w:rFonts w:ascii="Century" w:hAnsi="Century" w:cs="Miriam" w:hint="eastAsia"/>
          <w:b/>
          <w:spacing w:val="0"/>
          <w:sz w:val="22"/>
          <w:szCs w:val="24"/>
          <w:rtl/>
        </w:rPr>
        <w:t>ישראל</w:t>
      </w:r>
      <w:r w:rsidRPr="0016511A">
        <w:rPr>
          <w:rtl/>
        </w:rPr>
        <w:t xml:space="preserve">, </w:t>
      </w:r>
      <w:r w:rsidRPr="0016511A">
        <w:rPr>
          <w:rFonts w:hint="eastAsia"/>
          <w:rtl/>
        </w:rPr>
        <w:t>פ</w:t>
      </w:r>
      <w:r w:rsidRPr="0016511A">
        <w:rPr>
          <w:rtl/>
        </w:rPr>
        <w:t>"</w:t>
      </w:r>
      <w:r w:rsidRPr="0016511A">
        <w:rPr>
          <w:rFonts w:hint="eastAsia"/>
          <w:rtl/>
        </w:rPr>
        <w:t>ד</w:t>
      </w:r>
      <w:r w:rsidRPr="0016511A">
        <w:rPr>
          <w:rtl/>
        </w:rPr>
        <w:t xml:space="preserve"> </w:t>
      </w:r>
      <w:r w:rsidRPr="0016511A">
        <w:rPr>
          <w:rFonts w:hint="eastAsia"/>
          <w:rtl/>
        </w:rPr>
        <w:t>סג</w:t>
      </w:r>
      <w:r w:rsidRPr="0016511A">
        <w:rPr>
          <w:rtl/>
        </w:rPr>
        <w:t>(3) 500</w:t>
      </w:r>
      <w:r>
        <w:rPr>
          <w:rFonts w:hint="cs"/>
          <w:rtl/>
        </w:rPr>
        <w:t xml:space="preserve"> (2010) (להלן: </w:t>
      </w:r>
      <w:r w:rsidRPr="008616A5">
        <w:rPr>
          <w:rFonts w:ascii="Miriam" w:hAnsi="Miriam" w:cs="Miriam"/>
          <w:szCs w:val="24"/>
          <w:rtl/>
        </w:rPr>
        <w:t>בש"פ 8823/07</w:t>
      </w:r>
      <w:r>
        <w:rPr>
          <w:rFonts w:hint="cs"/>
          <w:rtl/>
        </w:rPr>
        <w:t>)</w:t>
      </w:r>
      <w:r w:rsidR="00F326AD">
        <w:rPr>
          <w:rFonts w:hint="cs"/>
          <w:rtl/>
        </w:rPr>
        <w:t>)</w:t>
      </w:r>
      <w:r>
        <w:rPr>
          <w:rFonts w:hint="cs"/>
          <w:rtl/>
        </w:rPr>
        <w:t xml:space="preserve">. למעשה, כבר בעניין </w:t>
      </w:r>
      <w:r w:rsidRPr="005D5276">
        <w:rPr>
          <w:rFonts w:ascii="Century" w:hAnsi="Century" w:cs="Miriam" w:hint="cs"/>
          <w:b/>
          <w:spacing w:val="0"/>
          <w:sz w:val="22"/>
          <w:szCs w:val="24"/>
          <w:rtl/>
        </w:rPr>
        <w:t>בנק המזרחי</w:t>
      </w:r>
      <w:r>
        <w:rPr>
          <w:rFonts w:hint="cs"/>
          <w:rtl/>
        </w:rPr>
        <w:t xml:space="preserve"> עצמו, דן בית המשפט בשאלת תוקפו של חוק, בדרך של 'תקיפה עקיפה', שכן מדובר היה, באותו עניין, בסכסוך אזרחי, שנתבקשו בו סעדים אזרחיים (וראו בהקשר זה דבריה של השופטת </w:t>
      </w:r>
      <w:r w:rsidRPr="00977F5A">
        <w:rPr>
          <w:rFonts w:ascii="Century" w:hAnsi="Century" w:cs="Miriam" w:hint="eastAsia"/>
          <w:b/>
          <w:spacing w:val="0"/>
          <w:sz w:val="22"/>
          <w:szCs w:val="24"/>
          <w:rtl/>
        </w:rPr>
        <w:t>ברק</w:t>
      </w:r>
      <w:r w:rsidRPr="00977F5A">
        <w:rPr>
          <w:rFonts w:ascii="Century" w:hAnsi="Century" w:cs="Miriam"/>
          <w:b/>
          <w:spacing w:val="0"/>
          <w:sz w:val="22"/>
          <w:szCs w:val="24"/>
          <w:rtl/>
        </w:rPr>
        <w:t>-</w:t>
      </w:r>
      <w:r w:rsidRPr="00977F5A">
        <w:rPr>
          <w:rFonts w:ascii="Century" w:hAnsi="Century" w:cs="Miriam" w:hint="eastAsia"/>
          <w:b/>
          <w:spacing w:val="0"/>
          <w:sz w:val="22"/>
          <w:szCs w:val="24"/>
          <w:rtl/>
        </w:rPr>
        <w:t>ארז</w:t>
      </w:r>
      <w:r>
        <w:rPr>
          <w:rFonts w:hint="cs"/>
          <w:rtl/>
        </w:rPr>
        <w:t xml:space="preserve"> בעניין</w:t>
      </w:r>
      <w:r w:rsidRPr="005D5276">
        <w:rPr>
          <w:rFonts w:ascii="Century" w:hAnsi="Century" w:cs="Miriam" w:hint="cs"/>
          <w:b/>
          <w:spacing w:val="0"/>
          <w:sz w:val="22"/>
          <w:szCs w:val="24"/>
          <w:rtl/>
        </w:rPr>
        <w:t xml:space="preserve"> אבו פריח</w:t>
      </w:r>
      <w:r>
        <w:rPr>
          <w:rFonts w:hint="cs"/>
          <w:rtl/>
        </w:rPr>
        <w:t xml:space="preserve">, פסקה 12). נראה אפוא, במישור </w:t>
      </w:r>
      <w:r w:rsidRPr="005D5276">
        <w:rPr>
          <w:rFonts w:ascii="Century" w:hAnsi="Century" w:cs="Miriam" w:hint="cs"/>
          <w:b/>
          <w:spacing w:val="0"/>
          <w:sz w:val="22"/>
          <w:szCs w:val="24"/>
          <w:rtl/>
        </w:rPr>
        <w:t>הסמכות</w:t>
      </w:r>
      <w:r>
        <w:rPr>
          <w:rFonts w:hint="cs"/>
          <w:rtl/>
        </w:rPr>
        <w:t xml:space="preserve">, כי בעניין דנן, נתונה היתה לבית המשפט המחוזי סמכות לדון בשאלת תוקפה של חקיקה ראשית </w:t>
      </w:r>
      <w:r>
        <w:rPr>
          <w:rtl/>
        </w:rPr>
        <w:t>–</w:t>
      </w:r>
      <w:r>
        <w:rPr>
          <w:rFonts w:hint="cs"/>
          <w:rtl/>
        </w:rPr>
        <w:t xml:space="preserve"> סעיף 5ב(א)(1) לחוק </w:t>
      </w:r>
      <w:r>
        <w:rPr>
          <w:rtl/>
        </w:rPr>
        <w:t>–</w:t>
      </w:r>
      <w:r>
        <w:rPr>
          <w:rFonts w:hint="cs"/>
          <w:rtl/>
        </w:rPr>
        <w:t xml:space="preserve"> אף שלא ניתנה לו סמכות לעשות כן, בדרך של תקיפה ישירה. </w:t>
      </w:r>
    </w:p>
    <w:p w:rsidR="00D512D4" w:rsidRPr="006E16B8" w:rsidRDefault="00D512D4" w:rsidP="003906C7">
      <w:pPr>
        <w:pStyle w:val="Ruller41"/>
        <w:spacing w:line="240" w:lineRule="auto"/>
      </w:pPr>
    </w:p>
    <w:p w:rsidR="00D512D4" w:rsidRDefault="00D512D4" w:rsidP="00452EDC">
      <w:pPr>
        <w:pStyle w:val="Ruller4"/>
        <w:rPr>
          <w:rtl/>
        </w:rPr>
      </w:pPr>
      <w:r>
        <w:rPr>
          <w:rFonts w:hint="cs"/>
          <w:rtl/>
        </w:rPr>
        <w:t xml:space="preserve">ואולם, כידוע, מישור הסמכות </w:t>
      </w:r>
      <w:r>
        <w:rPr>
          <w:rtl/>
        </w:rPr>
        <w:t>–</w:t>
      </w:r>
      <w:r>
        <w:rPr>
          <w:rFonts w:hint="cs"/>
          <w:rtl/>
        </w:rPr>
        <w:t xml:space="preserve"> לחוד, ומישור שיקול הדעת </w:t>
      </w:r>
      <w:r>
        <w:rPr>
          <w:rtl/>
        </w:rPr>
        <w:t>–</w:t>
      </w:r>
      <w:r>
        <w:rPr>
          <w:rFonts w:hint="cs"/>
          <w:rtl/>
        </w:rPr>
        <w:t xml:space="preserve"> לחוד. לגבי דידי, במישור</w:t>
      </w:r>
      <w:r w:rsidRPr="0065236F">
        <w:rPr>
          <w:rFonts w:hint="cs"/>
          <w:rtl/>
        </w:rPr>
        <w:t xml:space="preserve"> </w:t>
      </w:r>
      <w:r w:rsidRPr="008B1779">
        <w:rPr>
          <w:rFonts w:ascii="Century" w:hAnsi="Century" w:cs="Miriam" w:hint="cs"/>
          <w:b/>
          <w:spacing w:val="0"/>
          <w:sz w:val="22"/>
          <w:szCs w:val="24"/>
          <w:rtl/>
        </w:rPr>
        <w:t>שיקול הדעת</w:t>
      </w:r>
      <w:r w:rsidRPr="0065236F">
        <w:rPr>
          <w:rFonts w:hint="cs"/>
          <w:rtl/>
        </w:rPr>
        <w:t xml:space="preserve"> </w:t>
      </w:r>
      <w:r w:rsidRPr="0065236F">
        <w:rPr>
          <w:rtl/>
        </w:rPr>
        <w:t>–</w:t>
      </w:r>
      <w:r w:rsidRPr="0065236F">
        <w:rPr>
          <w:rFonts w:hint="cs"/>
          <w:rtl/>
        </w:rPr>
        <w:t xml:space="preserve"> הדברים מורכבים יותר</w:t>
      </w:r>
      <w:r>
        <w:rPr>
          <w:rFonts w:hint="cs"/>
          <w:rtl/>
        </w:rPr>
        <w:t>.</w:t>
      </w:r>
      <w:r w:rsidRPr="0065236F">
        <w:rPr>
          <w:rFonts w:hint="cs"/>
          <w:rtl/>
        </w:rPr>
        <w:t xml:space="preserve"> </w:t>
      </w:r>
      <w:r w:rsidR="007D6392">
        <w:rPr>
          <w:rFonts w:hint="cs"/>
          <w:sz w:val="28"/>
          <w:rtl/>
        </w:rPr>
        <w:t>סבורני, כי כ</w:t>
      </w:r>
      <w:r w:rsidRPr="008444D4">
        <w:rPr>
          <w:rFonts w:hint="cs"/>
          <w:sz w:val="28"/>
          <w:rtl/>
        </w:rPr>
        <w:t>שמד</w:t>
      </w:r>
      <w:r>
        <w:rPr>
          <w:rFonts w:hint="cs"/>
          <w:rtl/>
        </w:rPr>
        <w:t xml:space="preserve">ובר בתקיפה עקיפה של חקיקה ראשית של הכנסת, טעמים טובים שבמדיניות שיפוטית, מטים את הכף אל עבר צמצום היקף הסמכות, באמצעות מתן שיקול דעת רחב לבית המשפט הדן בדבר, לצורך הכרעה בשאלה אם עליו להיזקק לסמכותו-זו </w:t>
      </w:r>
      <w:r w:rsidRPr="0065236F">
        <w:rPr>
          <w:rFonts w:hint="cs"/>
          <w:rtl/>
        </w:rPr>
        <w:t xml:space="preserve">(ראו </w:t>
      </w:r>
      <w:r>
        <w:rPr>
          <w:rFonts w:hint="cs"/>
          <w:rtl/>
        </w:rPr>
        <w:t xml:space="preserve">והשוו: </w:t>
      </w:r>
      <w:r w:rsidRPr="0065236F">
        <w:rPr>
          <w:rFonts w:hint="cs"/>
          <w:rtl/>
        </w:rPr>
        <w:t>עניי</w:t>
      </w:r>
      <w:r w:rsidR="002F424E">
        <w:rPr>
          <w:rFonts w:hint="cs"/>
          <w:rtl/>
        </w:rPr>
        <w:t xml:space="preserve">ן </w:t>
      </w:r>
      <w:r w:rsidRPr="002F424E">
        <w:rPr>
          <w:rFonts w:ascii="Century" w:hAnsi="Century" w:cs="Miriam"/>
          <w:spacing w:val="0"/>
          <w:sz w:val="18"/>
          <w:szCs w:val="20"/>
        </w:rPr>
        <w:t>HUMAN RIGHTS</w:t>
      </w:r>
      <w:r w:rsidRPr="0065236F">
        <w:rPr>
          <w:rFonts w:ascii="Century" w:hAnsi="Century" w:cs="Miriam"/>
          <w:spacing w:val="0"/>
          <w:sz w:val="22"/>
          <w:szCs w:val="24"/>
        </w:rPr>
        <w:t xml:space="preserve"> </w:t>
      </w:r>
      <w:r w:rsidRPr="002F424E">
        <w:rPr>
          <w:rFonts w:ascii="Century" w:hAnsi="Century" w:cs="Miriam"/>
          <w:spacing w:val="0"/>
          <w:sz w:val="18"/>
          <w:szCs w:val="20"/>
        </w:rPr>
        <w:t>WATCH</w:t>
      </w:r>
      <w:r w:rsidRPr="00977F5A">
        <w:rPr>
          <w:rFonts w:ascii="Century" w:hAnsi="Century"/>
          <w:sz w:val="22"/>
          <w:rtl/>
        </w:rPr>
        <w:t xml:space="preserve">, </w:t>
      </w:r>
      <w:r w:rsidRPr="008444D4">
        <w:rPr>
          <w:rFonts w:ascii="FrankRuehl" w:hAnsi="FrankRuehl"/>
          <w:spacing w:val="0"/>
          <w:sz w:val="28"/>
          <w:rtl/>
        </w:rPr>
        <w:t>פסקה 11</w:t>
      </w:r>
      <w:r w:rsidRPr="008444D4">
        <w:rPr>
          <w:rFonts w:ascii="FrankRuehl" w:hAnsi="FrankRuehl" w:hint="cs"/>
          <w:spacing w:val="0"/>
          <w:sz w:val="28"/>
          <w:rtl/>
        </w:rPr>
        <w:t>)</w:t>
      </w:r>
      <w:r w:rsidRPr="008444D4">
        <w:rPr>
          <w:rFonts w:ascii="FrankRuehl" w:hAnsi="FrankRuehl"/>
          <w:sz w:val="28"/>
          <w:rtl/>
        </w:rPr>
        <w:t>.</w:t>
      </w:r>
      <w:r>
        <w:rPr>
          <w:rFonts w:hint="cs"/>
          <w:rtl/>
        </w:rPr>
        <w:t xml:space="preserve"> ביטול דבר חקיקה של הכנסת מחייב זהירות מיוחדת. 'דרך המלך' להרהר אחר חוקתיותו של דבר חקיקה ראשית, היא פניה בעתירה לבית משפט זה, בשבתו </w:t>
      </w:r>
      <w:r w:rsidR="00BD4AD1">
        <w:rPr>
          <w:rFonts w:hint="cs"/>
          <w:rtl/>
        </w:rPr>
        <w:t>כ</w:t>
      </w:r>
      <w:r>
        <w:rPr>
          <w:rFonts w:hint="cs"/>
          <w:rtl/>
        </w:rPr>
        <w:t>בית משפט גבוה לצדק, באשר הוא הגורם בעל המומחיות והמקצועיות לדבר (</w:t>
      </w:r>
      <w:r w:rsidRPr="00DF6E94">
        <w:rPr>
          <w:rFonts w:ascii="Century" w:hAnsi="Century" w:cs="Miriam" w:hint="cs"/>
          <w:b/>
          <w:spacing w:val="0"/>
          <w:sz w:val="22"/>
          <w:szCs w:val="24"/>
          <w:rtl/>
        </w:rPr>
        <w:t>ברק, ביקורת שיפוטית</w:t>
      </w:r>
      <w:r>
        <w:rPr>
          <w:rFonts w:hint="cs"/>
          <w:rtl/>
        </w:rPr>
        <w:t xml:space="preserve">, עמוד 20); כפי שציין השופט (כתוארו אז) </w:t>
      </w:r>
      <w:r w:rsidRPr="005D5276">
        <w:rPr>
          <w:rFonts w:ascii="Century" w:hAnsi="Century" w:cs="Miriam" w:hint="cs"/>
          <w:b/>
          <w:spacing w:val="0"/>
          <w:sz w:val="22"/>
          <w:szCs w:val="24"/>
          <w:rtl/>
        </w:rPr>
        <w:t>א' רובינשטיין</w:t>
      </w:r>
      <w:r>
        <w:rPr>
          <w:rFonts w:hint="cs"/>
          <w:rtl/>
        </w:rPr>
        <w:t xml:space="preserve">, בעניין </w:t>
      </w:r>
      <w:r w:rsidRPr="007C360A">
        <w:rPr>
          <w:rFonts w:ascii="Century" w:hAnsi="Century" w:cs="Miriam" w:hint="cs"/>
          <w:b/>
          <w:spacing w:val="0"/>
          <w:sz w:val="22"/>
          <w:szCs w:val="24"/>
          <w:rtl/>
        </w:rPr>
        <w:t>אבו פריח</w:t>
      </w:r>
      <w:r>
        <w:rPr>
          <w:rFonts w:hint="cs"/>
          <w:rtl/>
        </w:rPr>
        <w:t xml:space="preserve">: </w:t>
      </w:r>
      <w:r w:rsidRPr="001968DC">
        <w:rPr>
          <w:rFonts w:ascii="Century" w:hAnsi="Century" w:cs="Miriam" w:hint="cs"/>
          <w:b/>
          <w:spacing w:val="0"/>
          <w:sz w:val="22"/>
          <w:szCs w:val="24"/>
          <w:rtl/>
        </w:rPr>
        <w:t>"</w:t>
      </w:r>
      <w:r w:rsidRPr="001968DC">
        <w:rPr>
          <w:rFonts w:ascii="Century" w:hAnsi="Century" w:cs="Miriam" w:hint="eastAsia"/>
          <w:b/>
          <w:spacing w:val="0"/>
          <w:sz w:val="22"/>
          <w:szCs w:val="24"/>
          <w:rtl/>
        </w:rPr>
        <w:t>מבלי</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לפגוע</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חלילה</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כהוא</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זה</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בבתי</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המשפט</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האחרים</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תקיפה</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עקיפה</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משמעה</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דלת</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אחורית</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להכרעות</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שהמחוקק</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נתן</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בידי</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בית</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משפט</w:t>
      </w:r>
      <w:r w:rsidRPr="001968DC">
        <w:rPr>
          <w:rFonts w:ascii="Century" w:hAnsi="Century" w:cs="Miriam"/>
          <w:b/>
          <w:spacing w:val="0"/>
          <w:sz w:val="22"/>
          <w:szCs w:val="24"/>
          <w:rtl/>
        </w:rPr>
        <w:t xml:space="preserve"> </w:t>
      </w:r>
      <w:r w:rsidRPr="001968DC">
        <w:rPr>
          <w:rFonts w:ascii="Century" w:hAnsi="Century" w:cs="Miriam" w:hint="eastAsia"/>
          <w:b/>
          <w:spacing w:val="0"/>
          <w:sz w:val="22"/>
          <w:szCs w:val="24"/>
          <w:rtl/>
        </w:rPr>
        <w:t>זה</w:t>
      </w:r>
      <w:r w:rsidRPr="001968DC">
        <w:rPr>
          <w:rFonts w:ascii="Century" w:hAnsi="Century" w:cs="Miriam" w:hint="cs"/>
          <w:b/>
          <w:spacing w:val="0"/>
          <w:sz w:val="22"/>
          <w:szCs w:val="24"/>
          <w:rtl/>
        </w:rPr>
        <w:t>"</w:t>
      </w:r>
      <w:r>
        <w:rPr>
          <w:rFonts w:hint="cs"/>
          <w:rtl/>
        </w:rPr>
        <w:t xml:space="preserve"> (עניין</w:t>
      </w:r>
      <w:r w:rsidRPr="00977F5A">
        <w:rPr>
          <w:rtl/>
        </w:rPr>
        <w:t xml:space="preserve"> </w:t>
      </w:r>
      <w:r w:rsidRPr="001968DC">
        <w:rPr>
          <w:rFonts w:ascii="Century" w:hAnsi="Century" w:cs="Miriam" w:hint="cs"/>
          <w:b/>
          <w:spacing w:val="0"/>
          <w:sz w:val="22"/>
          <w:szCs w:val="24"/>
          <w:rtl/>
        </w:rPr>
        <w:t>אבו פריח</w:t>
      </w:r>
      <w:r w:rsidRPr="00977F5A">
        <w:rPr>
          <w:rtl/>
        </w:rPr>
        <w:t xml:space="preserve">, </w:t>
      </w:r>
      <w:r w:rsidRPr="00977F5A">
        <w:rPr>
          <w:rFonts w:hint="eastAsia"/>
          <w:rtl/>
        </w:rPr>
        <w:t>פסקה</w:t>
      </w:r>
      <w:r w:rsidRPr="00977F5A">
        <w:rPr>
          <w:rtl/>
        </w:rPr>
        <w:t xml:space="preserve"> </w:t>
      </w:r>
      <w:r w:rsidRPr="00977F5A">
        <w:rPr>
          <w:rFonts w:hint="eastAsia"/>
          <w:rtl/>
        </w:rPr>
        <w:t>ו</w:t>
      </w:r>
      <w:r w:rsidRPr="00977F5A">
        <w:rPr>
          <w:rtl/>
        </w:rPr>
        <w:t xml:space="preserve">' </w:t>
      </w:r>
      <w:r w:rsidRPr="00977F5A">
        <w:rPr>
          <w:rFonts w:hint="eastAsia"/>
          <w:rtl/>
        </w:rPr>
        <w:t>לפסק</w:t>
      </w:r>
      <w:r w:rsidRPr="00977F5A">
        <w:rPr>
          <w:rtl/>
        </w:rPr>
        <w:t xml:space="preserve"> </w:t>
      </w:r>
      <w:r>
        <w:rPr>
          <w:rFonts w:hint="cs"/>
          <w:rtl/>
        </w:rPr>
        <w:t>הדין</w:t>
      </w:r>
      <w:r w:rsidRPr="00977F5A">
        <w:rPr>
          <w:rtl/>
        </w:rPr>
        <w:t xml:space="preserve"> </w:t>
      </w:r>
      <w:r w:rsidRPr="00977F5A">
        <w:rPr>
          <w:rFonts w:hint="eastAsia"/>
          <w:rtl/>
        </w:rPr>
        <w:t>של</w:t>
      </w:r>
      <w:r w:rsidRPr="00977F5A">
        <w:rPr>
          <w:rtl/>
        </w:rPr>
        <w:t xml:space="preserve"> </w:t>
      </w:r>
      <w:r w:rsidRPr="00977F5A">
        <w:rPr>
          <w:rFonts w:hint="eastAsia"/>
          <w:rtl/>
        </w:rPr>
        <w:t>השופט</w:t>
      </w:r>
      <w:r w:rsidRPr="00977F5A">
        <w:rPr>
          <w:rtl/>
        </w:rPr>
        <w:t xml:space="preserve"> (כתוארו אז)</w:t>
      </w:r>
      <w:r w:rsidRPr="008444D4">
        <w:rPr>
          <w:rFonts w:ascii="FrankRuehl" w:hAnsi="FrankRuehl" w:hint="cs"/>
          <w:spacing w:val="0"/>
          <w:sz w:val="28"/>
          <w:rtl/>
        </w:rPr>
        <w:t xml:space="preserve"> </w:t>
      </w:r>
      <w:r w:rsidRPr="008444D4">
        <w:rPr>
          <w:rFonts w:ascii="Century" w:hAnsi="Century" w:cs="Miriam" w:hint="cs"/>
          <w:b/>
          <w:spacing w:val="0"/>
          <w:sz w:val="22"/>
          <w:szCs w:val="24"/>
          <w:rtl/>
        </w:rPr>
        <w:t>רובינשטיין</w:t>
      </w:r>
      <w:r>
        <w:rPr>
          <w:rFonts w:hint="cs"/>
          <w:rtl/>
        </w:rPr>
        <w:t>;</w:t>
      </w:r>
      <w:r w:rsidRPr="00D23B8E">
        <w:rPr>
          <w:rFonts w:hint="cs"/>
          <w:rtl/>
        </w:rPr>
        <w:t xml:space="preserve"> </w:t>
      </w:r>
      <w:r>
        <w:rPr>
          <w:rFonts w:hint="cs"/>
          <w:rtl/>
        </w:rPr>
        <w:t xml:space="preserve">לדעה דומה, ראו: זאב סגל, </w:t>
      </w:r>
      <w:r w:rsidRPr="00D23B8E">
        <w:rPr>
          <w:rtl/>
        </w:rPr>
        <w:t>"</w:t>
      </w:r>
      <w:r w:rsidRPr="00D23B8E">
        <w:rPr>
          <w:rFonts w:hint="eastAsia"/>
          <w:rtl/>
        </w:rPr>
        <w:t>הדרך</w:t>
      </w:r>
      <w:r w:rsidRPr="00D23B8E">
        <w:rPr>
          <w:rtl/>
        </w:rPr>
        <w:t xml:space="preserve"> </w:t>
      </w:r>
      <w:r w:rsidRPr="00D23B8E">
        <w:rPr>
          <w:rFonts w:hint="eastAsia"/>
          <w:rtl/>
        </w:rPr>
        <w:t>לביקורת</w:t>
      </w:r>
      <w:r w:rsidRPr="00D23B8E">
        <w:rPr>
          <w:rtl/>
        </w:rPr>
        <w:t xml:space="preserve"> </w:t>
      </w:r>
      <w:r w:rsidRPr="00D23B8E">
        <w:rPr>
          <w:rFonts w:hint="eastAsia"/>
          <w:rtl/>
        </w:rPr>
        <w:t>שיפוטית</w:t>
      </w:r>
      <w:r w:rsidRPr="00D23B8E">
        <w:rPr>
          <w:rtl/>
        </w:rPr>
        <w:t xml:space="preserve"> </w:t>
      </w:r>
      <w:r w:rsidRPr="00D23B8E">
        <w:rPr>
          <w:rFonts w:hint="eastAsia"/>
          <w:rtl/>
        </w:rPr>
        <w:t>על</w:t>
      </w:r>
      <w:r w:rsidRPr="00D23B8E">
        <w:rPr>
          <w:rtl/>
        </w:rPr>
        <w:t xml:space="preserve"> </w:t>
      </w:r>
      <w:r w:rsidRPr="00D23B8E">
        <w:rPr>
          <w:rFonts w:hint="eastAsia"/>
          <w:rtl/>
        </w:rPr>
        <w:t>חוקתיות</w:t>
      </w:r>
      <w:r w:rsidRPr="00D23B8E">
        <w:rPr>
          <w:rtl/>
        </w:rPr>
        <w:t xml:space="preserve"> </w:t>
      </w:r>
      <w:r w:rsidRPr="00D23B8E">
        <w:rPr>
          <w:rFonts w:hint="eastAsia"/>
          <w:rtl/>
        </w:rPr>
        <w:t>של</w:t>
      </w:r>
      <w:r w:rsidRPr="00D23B8E">
        <w:rPr>
          <w:rtl/>
        </w:rPr>
        <w:t xml:space="preserve"> </w:t>
      </w:r>
      <w:r w:rsidRPr="00D23B8E">
        <w:rPr>
          <w:rFonts w:hint="eastAsia"/>
          <w:rtl/>
        </w:rPr>
        <w:t>חוקים</w:t>
      </w:r>
      <w:r w:rsidRPr="00D23B8E">
        <w:rPr>
          <w:rtl/>
        </w:rPr>
        <w:t xml:space="preserve"> </w:t>
      </w:r>
      <w:r>
        <w:rPr>
          <w:rtl/>
        </w:rPr>
        <w:t>–</w:t>
      </w:r>
      <w:r w:rsidRPr="00D23B8E">
        <w:rPr>
          <w:rtl/>
        </w:rPr>
        <w:t xml:space="preserve"> </w:t>
      </w:r>
      <w:r w:rsidRPr="00D23B8E">
        <w:rPr>
          <w:rFonts w:hint="eastAsia"/>
          <w:rtl/>
        </w:rPr>
        <w:t>הסמכות</w:t>
      </w:r>
      <w:r w:rsidRPr="00D23B8E">
        <w:rPr>
          <w:rtl/>
        </w:rPr>
        <w:t xml:space="preserve"> </w:t>
      </w:r>
      <w:r w:rsidRPr="00D23B8E">
        <w:rPr>
          <w:rFonts w:hint="eastAsia"/>
          <w:rtl/>
        </w:rPr>
        <w:t>להכריז</w:t>
      </w:r>
      <w:r w:rsidRPr="00D23B8E">
        <w:rPr>
          <w:rtl/>
        </w:rPr>
        <w:t xml:space="preserve"> </w:t>
      </w:r>
      <w:r w:rsidRPr="00D23B8E">
        <w:rPr>
          <w:rFonts w:hint="eastAsia"/>
          <w:rtl/>
        </w:rPr>
        <w:t>על</w:t>
      </w:r>
      <w:r w:rsidRPr="00D23B8E">
        <w:rPr>
          <w:rtl/>
        </w:rPr>
        <w:t xml:space="preserve"> </w:t>
      </w:r>
      <w:r w:rsidRPr="00D23B8E">
        <w:rPr>
          <w:rFonts w:hint="eastAsia"/>
          <w:rtl/>
        </w:rPr>
        <w:t>אי</w:t>
      </w:r>
      <w:r w:rsidRPr="00D23B8E">
        <w:rPr>
          <w:rtl/>
        </w:rPr>
        <w:t>-</w:t>
      </w:r>
      <w:r w:rsidRPr="00D23B8E">
        <w:rPr>
          <w:rFonts w:hint="eastAsia"/>
          <w:rtl/>
        </w:rPr>
        <w:t>חוקתיות</w:t>
      </w:r>
      <w:r w:rsidRPr="00D23B8E">
        <w:rPr>
          <w:rtl/>
        </w:rPr>
        <w:t xml:space="preserve"> </w:t>
      </w:r>
      <w:r w:rsidRPr="00D23B8E">
        <w:rPr>
          <w:rFonts w:hint="eastAsia"/>
          <w:rtl/>
        </w:rPr>
        <w:t>חקיקה</w:t>
      </w:r>
      <w:r w:rsidRPr="00D23B8E">
        <w:rPr>
          <w:rtl/>
        </w:rPr>
        <w:t xml:space="preserve"> </w:t>
      </w:r>
      <w:r>
        <w:rPr>
          <w:rtl/>
        </w:rPr>
        <w:t>–</w:t>
      </w:r>
      <w:r w:rsidRPr="00D23B8E">
        <w:rPr>
          <w:rtl/>
        </w:rPr>
        <w:t xml:space="preserve"> </w:t>
      </w:r>
      <w:r w:rsidRPr="00D23B8E">
        <w:rPr>
          <w:rFonts w:hint="eastAsia"/>
          <w:rtl/>
        </w:rPr>
        <w:t>למי</w:t>
      </w:r>
      <w:r w:rsidRPr="00D23B8E">
        <w:rPr>
          <w:rtl/>
        </w:rPr>
        <w:t>?"</w:t>
      </w:r>
      <w:r>
        <w:rPr>
          <w:rFonts w:hint="cs"/>
          <w:rtl/>
        </w:rPr>
        <w:t xml:space="preserve">, </w:t>
      </w:r>
      <w:r w:rsidRPr="00D23B8E">
        <w:rPr>
          <w:rFonts w:ascii="Century" w:hAnsi="Century" w:cs="Miriam" w:hint="cs"/>
          <w:b/>
          <w:spacing w:val="0"/>
          <w:sz w:val="22"/>
          <w:szCs w:val="24"/>
          <w:rtl/>
        </w:rPr>
        <w:t>משפטים</w:t>
      </w:r>
      <w:r w:rsidRPr="00977F5A">
        <w:rPr>
          <w:rFonts w:ascii="Century" w:hAnsi="Century"/>
          <w:sz w:val="22"/>
          <w:rtl/>
        </w:rPr>
        <w:t xml:space="preserve"> </w:t>
      </w:r>
      <w:r w:rsidRPr="00977F5A">
        <w:rPr>
          <w:rFonts w:ascii="Century" w:hAnsi="Century" w:hint="eastAsia"/>
          <w:sz w:val="22"/>
          <w:rtl/>
        </w:rPr>
        <w:t>כח</w:t>
      </w:r>
      <w:r w:rsidRPr="00977F5A">
        <w:rPr>
          <w:rFonts w:ascii="Century" w:hAnsi="Century"/>
          <w:sz w:val="22"/>
          <w:rtl/>
        </w:rPr>
        <w:t>, 239</w:t>
      </w:r>
      <w:r w:rsidRPr="001E50B6">
        <w:rPr>
          <w:rtl/>
        </w:rPr>
        <w:t xml:space="preserve"> </w:t>
      </w:r>
      <w:r>
        <w:rPr>
          <w:rFonts w:hint="cs"/>
          <w:rtl/>
        </w:rPr>
        <w:t>(התשנ"ו)</w:t>
      </w:r>
      <w:r w:rsidR="00E77FCC">
        <w:rPr>
          <w:rFonts w:hint="cs"/>
          <w:rtl/>
        </w:rPr>
        <w:t xml:space="preserve">; יניב רוזנאי, </w:t>
      </w:r>
      <w:r w:rsidR="00E77FCC" w:rsidRPr="004137DD">
        <w:rPr>
          <w:rFonts w:ascii="Century" w:hAnsi="Century" w:cs="Miriam" w:hint="eastAsia"/>
          <w:b/>
          <w:spacing w:val="0"/>
          <w:sz w:val="22"/>
          <w:szCs w:val="24"/>
          <w:rtl/>
        </w:rPr>
        <w:t>ביקורת</w:t>
      </w:r>
      <w:r w:rsidR="00E77FCC" w:rsidRPr="004137DD">
        <w:rPr>
          <w:rFonts w:ascii="Century" w:hAnsi="Century" w:cs="Miriam"/>
          <w:b/>
          <w:spacing w:val="0"/>
          <w:sz w:val="22"/>
          <w:szCs w:val="24"/>
          <w:rtl/>
        </w:rPr>
        <w:t xml:space="preserve"> </w:t>
      </w:r>
      <w:r w:rsidR="00E77FCC" w:rsidRPr="004137DD">
        <w:rPr>
          <w:rFonts w:ascii="Century" w:hAnsi="Century" w:cs="Miriam" w:hint="eastAsia"/>
          <w:b/>
          <w:spacing w:val="0"/>
          <w:sz w:val="22"/>
          <w:szCs w:val="24"/>
          <w:rtl/>
        </w:rPr>
        <w:t>חוקתית</w:t>
      </w:r>
      <w:r w:rsidR="00E77FCC" w:rsidRPr="004137DD">
        <w:rPr>
          <w:rFonts w:ascii="Century" w:hAnsi="Century" w:cs="Miriam"/>
          <w:b/>
          <w:spacing w:val="0"/>
          <w:sz w:val="22"/>
          <w:szCs w:val="24"/>
          <w:rtl/>
        </w:rPr>
        <w:t xml:space="preserve"> </w:t>
      </w:r>
      <w:r w:rsidR="00E77FCC" w:rsidRPr="0001526B">
        <w:rPr>
          <w:rFonts w:ascii="Century" w:hAnsi="Century"/>
          <w:sz w:val="22"/>
          <w:rtl/>
        </w:rPr>
        <w:t>–</w:t>
      </w:r>
      <w:r w:rsidR="00E77FCC" w:rsidRPr="004137DD">
        <w:rPr>
          <w:rFonts w:ascii="Century" w:hAnsi="Century" w:cs="Miriam"/>
          <w:b/>
          <w:spacing w:val="0"/>
          <w:sz w:val="22"/>
          <w:szCs w:val="24"/>
          <w:rtl/>
        </w:rPr>
        <w:t xml:space="preserve"> </w:t>
      </w:r>
      <w:r w:rsidR="00E77FCC" w:rsidRPr="004137DD">
        <w:rPr>
          <w:rFonts w:ascii="Century" w:hAnsi="Century" w:cs="Miriam" w:hint="eastAsia"/>
          <w:b/>
          <w:spacing w:val="0"/>
          <w:sz w:val="22"/>
          <w:szCs w:val="24"/>
          <w:rtl/>
        </w:rPr>
        <w:t>התפתחות</w:t>
      </w:r>
      <w:r w:rsidR="00E77FCC" w:rsidRPr="004137DD">
        <w:rPr>
          <w:rFonts w:ascii="Century" w:hAnsi="Century" w:cs="Miriam"/>
          <w:b/>
          <w:spacing w:val="0"/>
          <w:sz w:val="22"/>
          <w:szCs w:val="24"/>
          <w:rtl/>
        </w:rPr>
        <w:t xml:space="preserve">, </w:t>
      </w:r>
      <w:r w:rsidR="00E77FCC" w:rsidRPr="004137DD">
        <w:rPr>
          <w:rFonts w:ascii="Century" w:hAnsi="Century" w:cs="Miriam" w:hint="eastAsia"/>
          <w:b/>
          <w:spacing w:val="0"/>
          <w:sz w:val="22"/>
          <w:szCs w:val="24"/>
          <w:rtl/>
        </w:rPr>
        <w:t>דגמים</w:t>
      </w:r>
      <w:r w:rsidR="00E77FCC" w:rsidRPr="004137DD">
        <w:rPr>
          <w:rFonts w:ascii="Century" w:hAnsi="Century" w:cs="Miriam"/>
          <w:b/>
          <w:spacing w:val="0"/>
          <w:sz w:val="22"/>
          <w:szCs w:val="24"/>
          <w:rtl/>
        </w:rPr>
        <w:t xml:space="preserve"> </w:t>
      </w:r>
      <w:r w:rsidR="00E77FCC" w:rsidRPr="004137DD">
        <w:rPr>
          <w:rFonts w:ascii="Century" w:hAnsi="Century" w:cs="Miriam" w:hint="eastAsia"/>
          <w:b/>
          <w:spacing w:val="0"/>
          <w:sz w:val="22"/>
          <w:szCs w:val="24"/>
          <w:rtl/>
        </w:rPr>
        <w:t>והצעה</w:t>
      </w:r>
      <w:r w:rsidR="00E77FCC" w:rsidRPr="004137DD">
        <w:rPr>
          <w:rFonts w:ascii="Century" w:hAnsi="Century" w:cs="Miriam"/>
          <w:b/>
          <w:spacing w:val="0"/>
          <w:sz w:val="22"/>
          <w:szCs w:val="24"/>
          <w:rtl/>
        </w:rPr>
        <w:t xml:space="preserve"> </w:t>
      </w:r>
      <w:r w:rsidR="00E77FCC" w:rsidRPr="004137DD">
        <w:rPr>
          <w:rFonts w:ascii="Century" w:hAnsi="Century" w:cs="Miriam" w:hint="eastAsia"/>
          <w:b/>
          <w:spacing w:val="0"/>
          <w:sz w:val="22"/>
          <w:szCs w:val="24"/>
          <w:rtl/>
        </w:rPr>
        <w:t>לעיגון</w:t>
      </w:r>
      <w:r w:rsidR="00E77FCC" w:rsidRPr="004137DD">
        <w:rPr>
          <w:rFonts w:ascii="Century" w:hAnsi="Century" w:cs="Miriam"/>
          <w:b/>
          <w:spacing w:val="0"/>
          <w:sz w:val="22"/>
          <w:szCs w:val="24"/>
          <w:rtl/>
        </w:rPr>
        <w:t xml:space="preserve"> </w:t>
      </w:r>
      <w:r w:rsidR="00E77FCC" w:rsidRPr="004137DD">
        <w:rPr>
          <w:rFonts w:ascii="Century" w:hAnsi="Century" w:cs="Miriam" w:hint="eastAsia"/>
          <w:b/>
          <w:spacing w:val="0"/>
          <w:sz w:val="22"/>
          <w:szCs w:val="24"/>
          <w:rtl/>
        </w:rPr>
        <w:t>הביקורת</w:t>
      </w:r>
      <w:r w:rsidR="00E77FCC" w:rsidRPr="004137DD">
        <w:rPr>
          <w:rFonts w:ascii="Century" w:hAnsi="Century" w:cs="Miriam"/>
          <w:b/>
          <w:spacing w:val="0"/>
          <w:sz w:val="22"/>
          <w:szCs w:val="24"/>
          <w:rtl/>
        </w:rPr>
        <w:t xml:space="preserve"> </w:t>
      </w:r>
      <w:r w:rsidR="00E77FCC" w:rsidRPr="004137DD">
        <w:rPr>
          <w:rFonts w:ascii="Century" w:hAnsi="Century" w:cs="Miriam" w:hint="eastAsia"/>
          <w:b/>
          <w:spacing w:val="0"/>
          <w:sz w:val="22"/>
          <w:szCs w:val="24"/>
          <w:rtl/>
        </w:rPr>
        <w:t>השיפוטית</w:t>
      </w:r>
      <w:r w:rsidR="00E77FCC" w:rsidRPr="004137DD">
        <w:rPr>
          <w:rFonts w:ascii="Century" w:hAnsi="Century" w:cs="Miriam"/>
          <w:b/>
          <w:spacing w:val="0"/>
          <w:sz w:val="22"/>
          <w:szCs w:val="24"/>
          <w:rtl/>
        </w:rPr>
        <w:t xml:space="preserve"> </w:t>
      </w:r>
      <w:r w:rsidR="00E77FCC" w:rsidRPr="004137DD">
        <w:rPr>
          <w:rFonts w:ascii="Century" w:hAnsi="Century" w:cs="Miriam" w:hint="eastAsia"/>
          <w:b/>
          <w:spacing w:val="0"/>
          <w:sz w:val="22"/>
          <w:szCs w:val="24"/>
          <w:rtl/>
        </w:rPr>
        <w:lastRenderedPageBreak/>
        <w:t>בישראל</w:t>
      </w:r>
      <w:r w:rsidR="00E77FCC">
        <w:rPr>
          <w:rFonts w:hint="cs"/>
          <w:rtl/>
        </w:rPr>
        <w:t xml:space="preserve"> 127-112 (מחקר מדיניות 154, המכון הישראלי לדמוקרטיה 2021).</w:t>
      </w:r>
      <w:r>
        <w:rPr>
          <w:rFonts w:hint="cs"/>
          <w:rtl/>
        </w:rPr>
        <w:t xml:space="preserve"> לגישה אחרת, הרואה יתרון דווקא בהתרת ביקורת שיפוטית עקיפה על דבר חקיקה ראשי, ראו: אורי אהרונסון, הטיעון הדמוקרטי בזכות ביקורת שיפוטית ביזורית, </w:t>
      </w:r>
      <w:r w:rsidRPr="00097484">
        <w:rPr>
          <w:rFonts w:ascii="Century" w:hAnsi="Century" w:cs="Miriam" w:hint="cs"/>
          <w:b/>
          <w:spacing w:val="0"/>
          <w:sz w:val="22"/>
          <w:szCs w:val="24"/>
          <w:rtl/>
        </w:rPr>
        <w:t>משפט וממשל</w:t>
      </w:r>
      <w:r w:rsidRPr="00E74384">
        <w:rPr>
          <w:rFonts w:ascii="Century" w:hAnsi="Century"/>
          <w:sz w:val="22"/>
          <w:rtl/>
        </w:rPr>
        <w:t xml:space="preserve"> </w:t>
      </w:r>
      <w:r w:rsidRPr="00E74384">
        <w:rPr>
          <w:rFonts w:ascii="Century" w:hAnsi="Century" w:hint="eastAsia"/>
          <w:sz w:val="22"/>
          <w:rtl/>
        </w:rPr>
        <w:t>טז</w:t>
      </w:r>
      <w:r w:rsidRPr="00E74384">
        <w:rPr>
          <w:rFonts w:ascii="Century" w:hAnsi="Century"/>
          <w:sz w:val="22"/>
          <w:rtl/>
        </w:rPr>
        <w:t>, 9 (</w:t>
      </w:r>
      <w:r>
        <w:rPr>
          <w:rFonts w:hint="cs"/>
          <w:rtl/>
        </w:rPr>
        <w:t xml:space="preserve">התשע"ה); עוד ראו: יואב דותן, "האם ישראל צריכה בית-משפט לחוקה?", </w:t>
      </w:r>
      <w:r w:rsidRPr="00D23B8E">
        <w:rPr>
          <w:rFonts w:ascii="Century" w:hAnsi="Century" w:cs="Miriam" w:hint="cs"/>
          <w:b/>
          <w:spacing w:val="0"/>
          <w:sz w:val="22"/>
          <w:szCs w:val="24"/>
          <w:rtl/>
        </w:rPr>
        <w:t>משפט וממשל</w:t>
      </w:r>
      <w:r w:rsidRPr="00E74384">
        <w:rPr>
          <w:rFonts w:ascii="Century" w:hAnsi="Century"/>
          <w:sz w:val="22"/>
          <w:rtl/>
        </w:rPr>
        <w:t xml:space="preserve"> </w:t>
      </w:r>
      <w:r w:rsidRPr="00E74384">
        <w:rPr>
          <w:rFonts w:ascii="Century" w:hAnsi="Century" w:hint="eastAsia"/>
          <w:sz w:val="22"/>
          <w:rtl/>
        </w:rPr>
        <w:t>ה</w:t>
      </w:r>
      <w:r w:rsidRPr="00E74384">
        <w:rPr>
          <w:rFonts w:ascii="Century" w:hAnsi="Century"/>
          <w:sz w:val="22"/>
          <w:rtl/>
        </w:rPr>
        <w:t xml:space="preserve"> (</w:t>
      </w:r>
      <w:r>
        <w:rPr>
          <w:rFonts w:hint="cs"/>
          <w:rtl/>
        </w:rPr>
        <w:t xml:space="preserve">התש"ס); רונן פוליאק, בשלות יחסית: ביקורת שיפוטית חוקתית יישומית או מופשטת, </w:t>
      </w:r>
      <w:r w:rsidRPr="001D760B">
        <w:rPr>
          <w:rFonts w:ascii="Century" w:hAnsi="Century" w:cs="Miriam" w:hint="cs"/>
          <w:b/>
          <w:spacing w:val="0"/>
          <w:sz w:val="22"/>
          <w:szCs w:val="24"/>
          <w:rtl/>
        </w:rPr>
        <w:t>עיוני משפט</w:t>
      </w:r>
      <w:r w:rsidRPr="00E74384">
        <w:rPr>
          <w:rFonts w:ascii="Century" w:hAnsi="Century"/>
          <w:sz w:val="22"/>
          <w:rtl/>
        </w:rPr>
        <w:t xml:space="preserve"> </w:t>
      </w:r>
      <w:r w:rsidRPr="00E74384">
        <w:rPr>
          <w:rFonts w:ascii="Century" w:hAnsi="Century" w:hint="eastAsia"/>
          <w:sz w:val="22"/>
          <w:rtl/>
        </w:rPr>
        <w:t>לז</w:t>
      </w:r>
      <w:r w:rsidRPr="00E74384">
        <w:rPr>
          <w:rFonts w:ascii="Century" w:hAnsi="Century"/>
          <w:sz w:val="22"/>
          <w:rtl/>
        </w:rPr>
        <w:t>,</w:t>
      </w:r>
      <w:r w:rsidRPr="001E50B6">
        <w:rPr>
          <w:rtl/>
        </w:rPr>
        <w:t xml:space="preserve"> </w:t>
      </w:r>
      <w:r>
        <w:rPr>
          <w:rFonts w:hint="cs"/>
          <w:rtl/>
        </w:rPr>
        <w:t>45 91-83 (2014)).</w:t>
      </w:r>
      <w:r w:rsidR="006D2A40">
        <w:rPr>
          <w:rFonts w:hint="cs"/>
          <w:rtl/>
        </w:rPr>
        <w:t xml:space="preserve"> אז</w:t>
      </w:r>
      <w:r>
        <w:rPr>
          <w:rFonts w:hint="cs"/>
          <w:rtl/>
        </w:rPr>
        <w:t>כ</w:t>
      </w:r>
      <w:r w:rsidR="006D2A40">
        <w:rPr>
          <w:rFonts w:hint="cs"/>
          <w:rtl/>
        </w:rPr>
        <w:t>י</w:t>
      </w:r>
      <w:r>
        <w:rPr>
          <w:rFonts w:hint="cs"/>
          <w:rtl/>
        </w:rPr>
        <w:t xml:space="preserve">ר, כי הכרעתו של בית משפט, בדרך אגבית, לגבי תוקפו של חוק, כאמור לעיל, תחומה למישור היחסים שבין הצדדים בלבד; </w:t>
      </w:r>
      <w:r w:rsidRPr="00DF6E94">
        <w:rPr>
          <w:rFonts w:ascii="Century" w:hAnsi="Century" w:cs="Miriam" w:hint="cs"/>
          <w:b/>
          <w:spacing w:val="0"/>
          <w:sz w:val="22"/>
          <w:szCs w:val="24"/>
          <w:rtl/>
        </w:rPr>
        <w:t>'לצורך אותו עניין'</w:t>
      </w:r>
      <w:r>
        <w:rPr>
          <w:rFonts w:hint="cs"/>
          <w:rtl/>
        </w:rPr>
        <w:t xml:space="preserve">. השפעתה של ביקורת שיפוטית עקיפה </w:t>
      </w:r>
      <w:r>
        <w:rPr>
          <w:rtl/>
        </w:rPr>
        <w:t>–</w:t>
      </w:r>
      <w:r>
        <w:rPr>
          <w:rFonts w:hint="cs"/>
          <w:rtl/>
        </w:rPr>
        <w:t xml:space="preserve"> צרה ויחסית היא; אין בה כדי להשליך כלפי כולי עלמא (ראו: </w:t>
      </w:r>
      <w:r w:rsidRPr="00E44F25">
        <w:rPr>
          <w:rFonts w:hint="eastAsia"/>
          <w:rtl/>
        </w:rPr>
        <w:t>אהרן</w:t>
      </w:r>
      <w:r w:rsidRPr="00E44F25">
        <w:rPr>
          <w:rtl/>
        </w:rPr>
        <w:t xml:space="preserve"> </w:t>
      </w:r>
      <w:r w:rsidRPr="00E44F25">
        <w:rPr>
          <w:rFonts w:hint="eastAsia"/>
          <w:rtl/>
        </w:rPr>
        <w:t>ברק</w:t>
      </w:r>
      <w:r w:rsidRPr="00E44F25">
        <w:rPr>
          <w:rtl/>
        </w:rPr>
        <w:t xml:space="preserve"> "</w:t>
      </w:r>
      <w:r w:rsidRPr="00E44F25">
        <w:rPr>
          <w:rFonts w:hint="eastAsia"/>
          <w:rtl/>
        </w:rPr>
        <w:t>ביקורת</w:t>
      </w:r>
      <w:r w:rsidRPr="00E44F25">
        <w:rPr>
          <w:rtl/>
        </w:rPr>
        <w:t xml:space="preserve"> </w:t>
      </w:r>
      <w:r w:rsidRPr="00E44F25">
        <w:rPr>
          <w:rFonts w:hint="eastAsia"/>
          <w:rtl/>
        </w:rPr>
        <w:t>שיפוטית</w:t>
      </w:r>
      <w:r w:rsidRPr="00E44F25">
        <w:rPr>
          <w:rtl/>
        </w:rPr>
        <w:t xml:space="preserve"> </w:t>
      </w:r>
      <w:r w:rsidRPr="00E44F25">
        <w:rPr>
          <w:rFonts w:hint="eastAsia"/>
          <w:rtl/>
        </w:rPr>
        <w:t>על</w:t>
      </w:r>
      <w:r w:rsidRPr="00E44F25">
        <w:rPr>
          <w:rtl/>
        </w:rPr>
        <w:t xml:space="preserve"> </w:t>
      </w:r>
      <w:r w:rsidRPr="00E44F25">
        <w:rPr>
          <w:rFonts w:hint="eastAsia"/>
          <w:rtl/>
        </w:rPr>
        <w:t>חוקתיות</w:t>
      </w:r>
      <w:r w:rsidRPr="00E44F25">
        <w:rPr>
          <w:rtl/>
        </w:rPr>
        <w:t xml:space="preserve"> </w:t>
      </w:r>
      <w:r w:rsidRPr="00E44F25">
        <w:rPr>
          <w:rFonts w:hint="eastAsia"/>
          <w:rtl/>
        </w:rPr>
        <w:t>החוק</w:t>
      </w:r>
      <w:r w:rsidRPr="00E44F25">
        <w:rPr>
          <w:rtl/>
        </w:rPr>
        <w:t xml:space="preserve"> </w:t>
      </w:r>
      <w:r w:rsidRPr="00E44F25">
        <w:rPr>
          <w:rFonts w:hint="eastAsia"/>
          <w:rtl/>
        </w:rPr>
        <w:t>ומעמד</w:t>
      </w:r>
      <w:r w:rsidRPr="00E44F25">
        <w:rPr>
          <w:rtl/>
        </w:rPr>
        <w:t xml:space="preserve"> </w:t>
      </w:r>
      <w:r w:rsidRPr="00E44F25">
        <w:rPr>
          <w:rFonts w:hint="eastAsia"/>
          <w:rtl/>
        </w:rPr>
        <w:t>הכנסת</w:t>
      </w:r>
      <w:r w:rsidRPr="00E44F25">
        <w:rPr>
          <w:rtl/>
        </w:rPr>
        <w:t xml:space="preserve">" </w:t>
      </w:r>
      <w:r w:rsidRPr="00E44F25">
        <w:rPr>
          <w:rFonts w:ascii="Century" w:hAnsi="Century" w:cs="Miriam" w:hint="eastAsia"/>
          <w:b/>
          <w:spacing w:val="0"/>
          <w:sz w:val="22"/>
          <w:szCs w:val="24"/>
          <w:rtl/>
        </w:rPr>
        <w:t>מבחר</w:t>
      </w:r>
      <w:r w:rsidRPr="00E44F25">
        <w:rPr>
          <w:rFonts w:ascii="Century" w:hAnsi="Century" w:cs="Miriam"/>
          <w:b/>
          <w:spacing w:val="0"/>
          <w:sz w:val="22"/>
          <w:szCs w:val="24"/>
          <w:rtl/>
        </w:rPr>
        <w:t xml:space="preserve"> </w:t>
      </w:r>
      <w:r w:rsidRPr="00E44F25">
        <w:rPr>
          <w:rFonts w:ascii="Century" w:hAnsi="Century" w:cs="Miriam" w:hint="eastAsia"/>
          <w:b/>
          <w:spacing w:val="0"/>
          <w:sz w:val="22"/>
          <w:szCs w:val="24"/>
          <w:rtl/>
        </w:rPr>
        <w:t>כתבים</w:t>
      </w:r>
      <w:r w:rsidRPr="00E44F25">
        <w:rPr>
          <w:rFonts w:ascii="Century" w:hAnsi="Century" w:cs="Miriam"/>
          <w:b/>
          <w:spacing w:val="0"/>
          <w:sz w:val="22"/>
          <w:szCs w:val="24"/>
          <w:rtl/>
        </w:rPr>
        <w:t xml:space="preserve">: </w:t>
      </w:r>
      <w:r w:rsidRPr="00E44F25">
        <w:rPr>
          <w:rFonts w:ascii="Century" w:hAnsi="Century" w:cs="Miriam" w:hint="eastAsia"/>
          <w:b/>
          <w:spacing w:val="0"/>
          <w:sz w:val="22"/>
          <w:szCs w:val="24"/>
          <w:rtl/>
        </w:rPr>
        <w:t>על</w:t>
      </w:r>
      <w:r w:rsidRPr="00E44F25">
        <w:rPr>
          <w:rFonts w:ascii="Century" w:hAnsi="Century" w:cs="Miriam"/>
          <w:b/>
          <w:spacing w:val="0"/>
          <w:sz w:val="22"/>
          <w:szCs w:val="24"/>
          <w:rtl/>
        </w:rPr>
        <w:t xml:space="preserve"> </w:t>
      </w:r>
      <w:r w:rsidRPr="00E44F25">
        <w:rPr>
          <w:rFonts w:ascii="Century" w:hAnsi="Century" w:cs="Miriam" w:hint="eastAsia"/>
          <w:b/>
          <w:spacing w:val="0"/>
          <w:sz w:val="22"/>
          <w:szCs w:val="24"/>
          <w:rtl/>
        </w:rPr>
        <w:t>בית</w:t>
      </w:r>
      <w:r w:rsidRPr="00E44F25">
        <w:rPr>
          <w:rFonts w:ascii="Century" w:hAnsi="Century" w:cs="Miriam"/>
          <w:b/>
          <w:spacing w:val="0"/>
          <w:sz w:val="22"/>
          <w:szCs w:val="24"/>
          <w:rtl/>
        </w:rPr>
        <w:t xml:space="preserve"> </w:t>
      </w:r>
      <w:r w:rsidRPr="00E44F25">
        <w:rPr>
          <w:rFonts w:ascii="Century" w:hAnsi="Century" w:cs="Miriam" w:hint="eastAsia"/>
          <w:b/>
          <w:spacing w:val="0"/>
          <w:sz w:val="22"/>
          <w:szCs w:val="24"/>
          <w:rtl/>
        </w:rPr>
        <w:t>המשפט</w:t>
      </w:r>
      <w:r w:rsidRPr="00E44F25">
        <w:rPr>
          <w:rFonts w:ascii="Century" w:hAnsi="Century" w:cs="Miriam"/>
          <w:b/>
          <w:spacing w:val="0"/>
          <w:sz w:val="22"/>
          <w:szCs w:val="24"/>
          <w:rtl/>
        </w:rPr>
        <w:t xml:space="preserve"> </w:t>
      </w:r>
      <w:r w:rsidRPr="00E44F25">
        <w:rPr>
          <w:rFonts w:ascii="Century" w:hAnsi="Century" w:cs="Miriam" w:hint="eastAsia"/>
          <w:b/>
          <w:spacing w:val="0"/>
          <w:sz w:val="22"/>
          <w:szCs w:val="24"/>
          <w:rtl/>
        </w:rPr>
        <w:t>ושופטיו</w:t>
      </w:r>
      <w:r w:rsidRPr="00E44F25">
        <w:rPr>
          <w:rtl/>
        </w:rPr>
        <w:t xml:space="preserve"> 71 (2017</w:t>
      </w:r>
      <w:r>
        <w:rPr>
          <w:rFonts w:hint="cs"/>
          <w:rtl/>
        </w:rPr>
        <w:t xml:space="preserve">); </w:t>
      </w:r>
      <w:r w:rsidRPr="00A604AD">
        <w:rPr>
          <w:rFonts w:ascii="Century" w:hAnsi="Century" w:cs="Miriam" w:hint="cs"/>
          <w:b/>
          <w:spacing w:val="0"/>
          <w:sz w:val="22"/>
          <w:szCs w:val="24"/>
          <w:rtl/>
        </w:rPr>
        <w:t>זמיר</w:t>
      </w:r>
      <w:r>
        <w:rPr>
          <w:rFonts w:hint="cs"/>
          <w:rtl/>
        </w:rPr>
        <w:t>, 2651-2650</w:t>
      </w:r>
      <w:r w:rsidRPr="00C12DC4">
        <w:rPr>
          <w:rFonts w:hint="cs"/>
          <w:rtl/>
        </w:rPr>
        <w:t>)</w:t>
      </w:r>
      <w:r>
        <w:rPr>
          <w:rFonts w:hint="cs"/>
          <w:rtl/>
        </w:rPr>
        <w:t xml:space="preserve">. בהיבט של יעילות, מצב דברים זה </w:t>
      </w:r>
      <w:r w:rsidR="006D2A40">
        <w:rPr>
          <w:rFonts w:hint="cs"/>
          <w:rtl/>
        </w:rPr>
        <w:t xml:space="preserve">יכול </w:t>
      </w:r>
      <w:r>
        <w:rPr>
          <w:rFonts w:hint="cs"/>
          <w:rtl/>
        </w:rPr>
        <w:t xml:space="preserve">להביא להכרעות סותרות, ולפגיעה בעקרונות-בסיס של ודאות ויציבות: </w:t>
      </w:r>
      <w:r w:rsidRPr="001968DC">
        <w:rPr>
          <w:rFonts w:ascii="Century" w:hAnsi="Century" w:cs="Miriam" w:hint="cs"/>
          <w:b/>
          <w:spacing w:val="0"/>
          <w:sz w:val="22"/>
          <w:szCs w:val="24"/>
          <w:rtl/>
        </w:rPr>
        <w:t>"</w:t>
      </w:r>
      <w:r w:rsidRPr="001968DC">
        <w:rPr>
          <w:rFonts w:ascii="Century" w:hAnsi="Century" w:cs="Miriam"/>
          <w:b/>
          <w:spacing w:val="0"/>
          <w:sz w:val="22"/>
          <w:szCs w:val="24"/>
          <w:rtl/>
        </w:rPr>
        <w:t>על בית משפט זה למנוע היו</w:t>
      </w:r>
      <w:r w:rsidR="00BD4AD1">
        <w:rPr>
          <w:rFonts w:ascii="Century" w:hAnsi="Century" w:cs="Miriam" w:hint="cs"/>
          <w:b/>
          <w:spacing w:val="0"/>
          <w:sz w:val="22"/>
          <w:szCs w:val="24"/>
          <w:rtl/>
        </w:rPr>
        <w:t>ו</w:t>
      </w:r>
      <w:r w:rsidRPr="001968DC">
        <w:rPr>
          <w:rFonts w:ascii="Century" w:hAnsi="Century" w:cs="Miriam"/>
          <w:b/>
          <w:spacing w:val="0"/>
          <w:sz w:val="22"/>
          <w:szCs w:val="24"/>
          <w:rtl/>
        </w:rPr>
        <w:t xml:space="preserve">צרותם של </w:t>
      </w:r>
      <w:r>
        <w:rPr>
          <w:rFonts w:ascii="Century" w:hAnsi="Century" w:cs="Miriam" w:hint="cs"/>
          <w:b/>
          <w:spacing w:val="0"/>
          <w:sz w:val="22"/>
          <w:szCs w:val="24"/>
          <w:rtl/>
        </w:rPr>
        <w:t>'</w:t>
      </w:r>
      <w:r w:rsidRPr="001968DC">
        <w:rPr>
          <w:rFonts w:ascii="Century" w:hAnsi="Century" w:cs="Miriam"/>
          <w:b/>
          <w:spacing w:val="0"/>
          <w:sz w:val="22"/>
          <w:szCs w:val="24"/>
          <w:rtl/>
        </w:rPr>
        <w:t>בתי שופטים</w:t>
      </w:r>
      <w:r>
        <w:rPr>
          <w:rFonts w:ascii="Century" w:hAnsi="Century" w:cs="Miriam" w:hint="cs"/>
          <w:b/>
          <w:spacing w:val="0"/>
          <w:sz w:val="22"/>
          <w:szCs w:val="24"/>
          <w:rtl/>
        </w:rPr>
        <w:t>'</w:t>
      </w:r>
      <w:r w:rsidRPr="001968DC">
        <w:rPr>
          <w:rFonts w:ascii="Century" w:hAnsi="Century" w:cs="Miriam"/>
          <w:b/>
          <w:spacing w:val="0"/>
          <w:sz w:val="22"/>
          <w:szCs w:val="24"/>
          <w:rtl/>
        </w:rPr>
        <w:t>, קרי, הכרעות סותרות בבתי המשפט השונים שימתינו ליישוב הסתירות בבית משפט זה בגדרי ערעור, מקום שניתן לחסוך זאת</w:t>
      </w:r>
      <w:r w:rsidRPr="001968DC">
        <w:rPr>
          <w:rFonts w:ascii="Century" w:hAnsi="Century" w:cs="Miriam" w:hint="cs"/>
          <w:b/>
          <w:spacing w:val="0"/>
          <w:sz w:val="22"/>
          <w:szCs w:val="24"/>
          <w:rtl/>
        </w:rPr>
        <w:t>"</w:t>
      </w:r>
      <w:r>
        <w:rPr>
          <w:rFonts w:hint="cs"/>
          <w:rtl/>
        </w:rPr>
        <w:t xml:space="preserve"> (עניין</w:t>
      </w:r>
      <w:r w:rsidRPr="001968DC">
        <w:rPr>
          <w:rFonts w:ascii="Century" w:hAnsi="Century" w:cs="Miriam" w:hint="cs"/>
          <w:b/>
          <w:spacing w:val="0"/>
          <w:sz w:val="22"/>
          <w:szCs w:val="24"/>
          <w:rtl/>
        </w:rPr>
        <w:t xml:space="preserve"> אבו פריח</w:t>
      </w:r>
      <w:r>
        <w:rPr>
          <w:rFonts w:hint="cs"/>
          <w:rtl/>
        </w:rPr>
        <w:t xml:space="preserve">, פסקה ו' לפסק הדין של השופט (כתוארו אז) </w:t>
      </w:r>
      <w:r w:rsidRPr="00401C5C">
        <w:rPr>
          <w:rFonts w:ascii="Century" w:hAnsi="Century" w:cs="Miriam" w:hint="cs"/>
          <w:b/>
          <w:spacing w:val="0"/>
          <w:sz w:val="22"/>
          <w:szCs w:val="24"/>
          <w:rtl/>
        </w:rPr>
        <w:t>רובינשטיין</w:t>
      </w:r>
      <w:r>
        <w:rPr>
          <w:rFonts w:hint="cs"/>
          <w:rtl/>
        </w:rPr>
        <w:t>); הדבר אף עשוי להעמיד צדדים שלישיים, שלא היו חלק מן ההליך השיפוטי, לרבות רשויות המדינה הנוגעות בדבר, בפני דילמה לא פשוטה, האם לכבד הכרעה 'אגבית' של ערכאה דיונית הפוסלת חוק, אף שזו, הלכה למ</w:t>
      </w:r>
      <w:r w:rsidR="006D2A40">
        <w:rPr>
          <w:rFonts w:hint="cs"/>
          <w:rtl/>
        </w:rPr>
        <w:t xml:space="preserve">עשה, כלל אינה מחייבת אותה. לשם </w:t>
      </w:r>
      <w:r>
        <w:rPr>
          <w:rFonts w:hint="cs"/>
          <w:rtl/>
        </w:rPr>
        <w:t>המחשה</w:t>
      </w:r>
      <w:r w:rsidR="006D2A40">
        <w:rPr>
          <w:rFonts w:hint="cs"/>
          <w:rtl/>
        </w:rPr>
        <w:t>, אלמלא היה מוגש הערעור דנן, הי</w:t>
      </w:r>
      <w:r>
        <w:rPr>
          <w:rFonts w:hint="cs"/>
          <w:rtl/>
        </w:rPr>
        <w:t xml:space="preserve">תה השפעתו של פסק-הדין מושא ערעור זה, מוגבלת למישור היחסים שבין הצדדים שלפנינו בלבד. כל דכפין וכל דצריך, רשאי היה לעורר את שאלת חוקתיות סעיף 5ב(א)(1) לחוק מחדש, פעם אחר פעם; אף המדינה לא היתה מחויבת להכרעה זו, כלפי מקרים אחרים. למותר לציין, כי תוצאה שכזו, סותרת עקרונות יסוד, של יעילות וסופיות הדיון. אכן כן, משעה שהוגש ערעור לבית משפט זה, תוכל ההכרעה האגבית והעקיפה, אף שחובשת היא לראשה אדרת של 'תקיפה עקיפה', לקבל כוח מחייב כלפי כולי עלמא, וזאת מכוח עקרון </w:t>
      </w:r>
      <w:r>
        <w:rPr>
          <w:rFonts w:ascii="Century" w:hAnsi="Century" w:cs="Miriam" w:hint="cs"/>
          <w:b/>
          <w:spacing w:val="0"/>
          <w:sz w:val="22"/>
          <w:szCs w:val="24"/>
          <w:rtl/>
        </w:rPr>
        <w:t>ה</w:t>
      </w:r>
      <w:r w:rsidRPr="00E44F25">
        <w:rPr>
          <w:rFonts w:ascii="Century" w:hAnsi="Century" w:cs="Miriam" w:hint="cs"/>
          <w:b/>
          <w:spacing w:val="0"/>
          <w:sz w:val="22"/>
          <w:szCs w:val="24"/>
          <w:rtl/>
        </w:rPr>
        <w:t xml:space="preserve">תקדים </w:t>
      </w:r>
      <w:r>
        <w:rPr>
          <w:rFonts w:ascii="Century" w:hAnsi="Century" w:cs="Miriam" w:hint="cs"/>
          <w:b/>
          <w:spacing w:val="0"/>
          <w:sz w:val="22"/>
          <w:szCs w:val="24"/>
          <w:rtl/>
        </w:rPr>
        <w:t>ה</w:t>
      </w:r>
      <w:r w:rsidRPr="00E44F25">
        <w:rPr>
          <w:rFonts w:ascii="Century" w:hAnsi="Century" w:cs="Miriam" w:hint="cs"/>
          <w:b/>
          <w:spacing w:val="0"/>
          <w:sz w:val="22"/>
          <w:szCs w:val="24"/>
          <w:rtl/>
        </w:rPr>
        <w:t>מחייב</w:t>
      </w:r>
      <w:r>
        <w:rPr>
          <w:rFonts w:hint="cs"/>
          <w:rtl/>
        </w:rPr>
        <w:t xml:space="preserve"> (סעיף 20(ב) לחוק יסוד: השפיטה</w:t>
      </w:r>
      <w:r w:rsidR="003140F3">
        <w:rPr>
          <w:rFonts w:hint="cs"/>
          <w:rtl/>
        </w:rPr>
        <w:t xml:space="preserve">; וראו: </w:t>
      </w:r>
      <w:r w:rsidRPr="008616A5">
        <w:rPr>
          <w:rFonts w:ascii="Miriam" w:hAnsi="Miriam" w:cs="Miriam"/>
          <w:szCs w:val="24"/>
          <w:rtl/>
        </w:rPr>
        <w:t>בש"פ 8823/07</w:t>
      </w:r>
      <w:r>
        <w:rPr>
          <w:rFonts w:hint="cs"/>
          <w:rtl/>
        </w:rPr>
        <w:t>, פסקה 11;</w:t>
      </w:r>
      <w:r w:rsidR="003140F3">
        <w:rPr>
          <w:rFonts w:hint="cs"/>
          <w:rtl/>
        </w:rPr>
        <w:t xml:space="preserve"> עניין</w:t>
      </w:r>
      <w:r w:rsidRPr="008E36D5">
        <w:rPr>
          <w:rFonts w:ascii="Century" w:hAnsi="Century" w:cs="Miriam" w:hint="cs"/>
          <w:b/>
          <w:spacing w:val="0"/>
          <w:sz w:val="22"/>
          <w:szCs w:val="24"/>
          <w:rtl/>
        </w:rPr>
        <w:t xml:space="preserve"> </w:t>
      </w:r>
      <w:r w:rsidRPr="002F424E">
        <w:rPr>
          <w:rFonts w:ascii="Century" w:hAnsi="Century" w:cs="Miriam"/>
          <w:spacing w:val="0"/>
          <w:sz w:val="18"/>
          <w:szCs w:val="20"/>
        </w:rPr>
        <w:t>HUMAN RIGHTS WATCH</w:t>
      </w:r>
      <w:r w:rsidRPr="005D5276">
        <w:rPr>
          <w:rFonts w:ascii="Century" w:hAnsi="Century"/>
          <w:sz w:val="22"/>
          <w:rtl/>
        </w:rPr>
        <w:t>, פסקה 13</w:t>
      </w:r>
      <w:r w:rsidR="003140F3">
        <w:rPr>
          <w:rFonts w:ascii="Century" w:hAnsi="Century" w:hint="cs"/>
          <w:sz w:val="22"/>
          <w:rtl/>
        </w:rPr>
        <w:t xml:space="preserve"> לחוות דעתו של חברי, השופט </w:t>
      </w:r>
      <w:r w:rsidR="003140F3">
        <w:rPr>
          <w:rFonts w:ascii="Century" w:hAnsi="Century" w:hint="cs"/>
          <w:sz w:val="22"/>
          <w:rtl/>
        </w:rPr>
        <w:lastRenderedPageBreak/>
        <w:t xml:space="preserve">(כתוארו אז) </w:t>
      </w:r>
      <w:r w:rsidR="003140F3" w:rsidRPr="003140F3">
        <w:rPr>
          <w:rFonts w:ascii="Century" w:hAnsi="Century" w:cs="Miriam" w:hint="cs"/>
          <w:b/>
          <w:spacing w:val="0"/>
          <w:sz w:val="22"/>
          <w:szCs w:val="24"/>
          <w:rtl/>
        </w:rPr>
        <w:t>הנדל</w:t>
      </w:r>
      <w:r w:rsidR="003140F3">
        <w:rPr>
          <w:rFonts w:ascii="Century" w:hAnsi="Century" w:hint="cs"/>
          <w:sz w:val="22"/>
          <w:rtl/>
        </w:rPr>
        <w:t xml:space="preserve">, </w:t>
      </w:r>
      <w:r w:rsidR="003140F3" w:rsidRPr="003140F3">
        <w:rPr>
          <w:rFonts w:hint="cs"/>
          <w:rtl/>
        </w:rPr>
        <w:t>שם עמד על כך שבמסלול התקיפה העקיפה, עשויה הסוגיה להגיע לפתחו של בית המשפט העליון</w:t>
      </w:r>
      <w:r w:rsidR="00452EDC">
        <w:rPr>
          <w:rFonts w:hint="cs"/>
          <w:rtl/>
        </w:rPr>
        <w:t xml:space="preserve"> בהליכי ערעור</w:t>
      </w:r>
      <w:r w:rsidR="003140F3" w:rsidRPr="003140F3">
        <w:rPr>
          <w:rFonts w:hint="cs"/>
          <w:rtl/>
        </w:rPr>
        <w:t xml:space="preserve"> </w:t>
      </w:r>
      <w:r w:rsidR="003140F3" w:rsidRPr="003140F3">
        <w:rPr>
          <w:rtl/>
        </w:rPr>
        <w:t>–</w:t>
      </w:r>
      <w:r w:rsidR="003140F3" w:rsidRPr="003140F3">
        <w:rPr>
          <w:rFonts w:hint="cs"/>
          <w:rtl/>
        </w:rPr>
        <w:t xml:space="preserve"> כפי שאֵרע בענייננו </w:t>
      </w:r>
      <w:r w:rsidR="003140F3" w:rsidRPr="003140F3">
        <w:rPr>
          <w:rtl/>
        </w:rPr>
        <w:t>–</w:t>
      </w:r>
      <w:r w:rsidR="003140F3">
        <w:rPr>
          <w:rFonts w:ascii="Century" w:hAnsi="Century" w:hint="cs"/>
          <w:sz w:val="22"/>
          <w:rtl/>
        </w:rPr>
        <w:t xml:space="preserve"> </w:t>
      </w:r>
      <w:r w:rsidR="003140F3" w:rsidRPr="003140F3">
        <w:rPr>
          <w:rFonts w:ascii="Century" w:hAnsi="Century" w:cs="Miriam" w:hint="cs"/>
          <w:b/>
          <w:spacing w:val="0"/>
          <w:sz w:val="22"/>
          <w:szCs w:val="24"/>
          <w:rtl/>
        </w:rPr>
        <w:t>"ובמקרה כזה, פסיקתו של בית המשפט העליון תיצור תקדים מחייב"</w:t>
      </w:r>
      <w:r w:rsidRPr="005D5276">
        <w:rPr>
          <w:rFonts w:ascii="Century" w:hAnsi="Century"/>
          <w:sz w:val="22"/>
          <w:rtl/>
        </w:rPr>
        <w:t>;</w:t>
      </w:r>
      <w:r w:rsidRPr="008E36D5">
        <w:rPr>
          <w:rFonts w:ascii="FrankRuehl" w:hAnsi="FrankRuehl"/>
          <w:b/>
          <w:spacing w:val="0"/>
          <w:sz w:val="28"/>
          <w:rtl/>
        </w:rPr>
        <w:t xml:space="preserve"> </w:t>
      </w:r>
      <w:r w:rsidRPr="00C21CBD">
        <w:rPr>
          <w:rFonts w:ascii="Century" w:hAnsi="Century" w:cs="Miriam" w:hint="cs"/>
          <w:b/>
          <w:spacing w:val="0"/>
          <w:sz w:val="22"/>
          <w:szCs w:val="24"/>
          <w:rtl/>
        </w:rPr>
        <w:t>זמיר</w:t>
      </w:r>
      <w:r>
        <w:rPr>
          <w:rFonts w:hint="cs"/>
          <w:rtl/>
        </w:rPr>
        <w:t xml:space="preserve">, 2653-2652; ראו גם: </w:t>
      </w:r>
      <w:r w:rsidRPr="008B1779">
        <w:rPr>
          <w:rFonts w:hint="eastAsia"/>
          <w:rtl/>
        </w:rPr>
        <w:t>ע</w:t>
      </w:r>
      <w:r w:rsidRPr="008B1779">
        <w:rPr>
          <w:rtl/>
        </w:rPr>
        <w:t>"</w:t>
      </w:r>
      <w:r w:rsidRPr="008B1779">
        <w:rPr>
          <w:rFonts w:hint="eastAsia"/>
          <w:rtl/>
        </w:rPr>
        <w:t>א</w:t>
      </w:r>
      <w:r w:rsidRPr="008B1779">
        <w:rPr>
          <w:rtl/>
        </w:rPr>
        <w:t xml:space="preserve"> 3202/11 </w:t>
      </w:r>
      <w:r w:rsidRPr="008B1779">
        <w:rPr>
          <w:rFonts w:ascii="Century" w:hAnsi="Century" w:cs="Miriam" w:hint="eastAsia"/>
          <w:b/>
          <w:spacing w:val="0"/>
          <w:sz w:val="22"/>
          <w:szCs w:val="24"/>
          <w:rtl/>
        </w:rPr>
        <w:t>אבו</w:t>
      </w:r>
      <w:r w:rsidRPr="008B1779">
        <w:rPr>
          <w:rFonts w:ascii="Century" w:hAnsi="Century" w:cs="Miriam"/>
          <w:b/>
          <w:spacing w:val="0"/>
          <w:sz w:val="22"/>
          <w:szCs w:val="24"/>
          <w:rtl/>
        </w:rPr>
        <w:t xml:space="preserve"> </w:t>
      </w:r>
      <w:r w:rsidRPr="008B1779">
        <w:rPr>
          <w:rFonts w:ascii="Century" w:hAnsi="Century" w:cs="Miriam" w:hint="eastAsia"/>
          <w:b/>
          <w:spacing w:val="0"/>
          <w:sz w:val="22"/>
          <w:szCs w:val="24"/>
          <w:rtl/>
        </w:rPr>
        <w:t>פריח</w:t>
      </w:r>
      <w:r w:rsidRPr="008B1779">
        <w:rPr>
          <w:rFonts w:ascii="Century" w:hAnsi="Century" w:cs="Miriam"/>
          <w:b/>
          <w:spacing w:val="0"/>
          <w:sz w:val="22"/>
          <w:szCs w:val="24"/>
          <w:rtl/>
        </w:rPr>
        <w:t xml:space="preserve"> </w:t>
      </w:r>
      <w:r w:rsidRPr="008B1779">
        <w:rPr>
          <w:rFonts w:ascii="Century" w:hAnsi="Century" w:cs="Miriam" w:hint="eastAsia"/>
          <w:b/>
          <w:spacing w:val="0"/>
          <w:sz w:val="22"/>
          <w:szCs w:val="24"/>
          <w:rtl/>
        </w:rPr>
        <w:t>נ</w:t>
      </w:r>
      <w:r w:rsidRPr="008B1779">
        <w:rPr>
          <w:rFonts w:ascii="Century" w:hAnsi="Century" w:cs="Miriam"/>
          <w:b/>
          <w:spacing w:val="0"/>
          <w:sz w:val="22"/>
          <w:szCs w:val="24"/>
          <w:rtl/>
        </w:rPr>
        <w:t xml:space="preserve">' </w:t>
      </w:r>
      <w:r w:rsidRPr="008B1779">
        <w:rPr>
          <w:rFonts w:ascii="Century" w:hAnsi="Century" w:cs="Miriam" w:hint="eastAsia"/>
          <w:b/>
          <w:spacing w:val="0"/>
          <w:sz w:val="22"/>
          <w:szCs w:val="24"/>
          <w:rtl/>
        </w:rPr>
        <w:t>מדינת</w:t>
      </w:r>
      <w:r w:rsidRPr="008B1779">
        <w:rPr>
          <w:rFonts w:ascii="Century" w:hAnsi="Century" w:cs="Miriam"/>
          <w:b/>
          <w:spacing w:val="0"/>
          <w:sz w:val="22"/>
          <w:szCs w:val="24"/>
          <w:rtl/>
        </w:rPr>
        <w:t xml:space="preserve"> </w:t>
      </w:r>
      <w:r w:rsidRPr="008B1779">
        <w:rPr>
          <w:rFonts w:ascii="Century" w:hAnsi="Century" w:cs="Miriam" w:hint="eastAsia"/>
          <w:b/>
          <w:spacing w:val="0"/>
          <w:sz w:val="22"/>
          <w:szCs w:val="24"/>
          <w:rtl/>
        </w:rPr>
        <w:t>ישראל</w:t>
      </w:r>
      <w:r>
        <w:rPr>
          <w:rFonts w:hint="cs"/>
          <w:rtl/>
        </w:rPr>
        <w:t xml:space="preserve">, פסקה 19 לפסק הדין של השופטת </w:t>
      </w:r>
      <w:r w:rsidRPr="005D5276">
        <w:rPr>
          <w:rFonts w:ascii="Century" w:hAnsi="Century" w:cs="Miriam" w:hint="cs"/>
          <w:b/>
          <w:spacing w:val="0"/>
          <w:sz w:val="22"/>
          <w:szCs w:val="24"/>
          <w:rtl/>
        </w:rPr>
        <w:t>ד' ברק ארז</w:t>
      </w:r>
      <w:r>
        <w:rPr>
          <w:rFonts w:hint="cs"/>
          <w:rtl/>
        </w:rPr>
        <w:t xml:space="preserve"> </w:t>
      </w:r>
      <w:r w:rsidRPr="008B1779">
        <w:rPr>
          <w:rtl/>
        </w:rPr>
        <w:t>(30.12.12)</w:t>
      </w:r>
      <w:r>
        <w:rPr>
          <w:rFonts w:hint="cs"/>
          <w:rtl/>
        </w:rPr>
        <w:t xml:space="preserve">). אמנם, כך אירע במקרה דנן, אך כידוע, לא כל הליך מסתיים בערעור לבית משפט זה, לא כל הכרעה חוקתית עקיפה זוכה בהמשך גם ל'כתר' התקדים המחייב; משכך, הקשיים האמורים בנוגע לדיונים חוקתיים ב'תקיפה עקיפה', נותרו עומדים על מכונם.    </w:t>
      </w:r>
    </w:p>
    <w:p w:rsidR="00D512D4" w:rsidRPr="00DF6E94" w:rsidRDefault="00D512D4" w:rsidP="000B6AE3">
      <w:pPr>
        <w:pStyle w:val="Ruller41"/>
        <w:spacing w:line="240" w:lineRule="auto"/>
      </w:pPr>
    </w:p>
    <w:p w:rsidR="00D512D4" w:rsidRDefault="00D512D4" w:rsidP="006D2A40">
      <w:pPr>
        <w:pStyle w:val="Ruller4"/>
      </w:pPr>
      <w:r>
        <w:rPr>
          <w:rFonts w:hint="cs"/>
          <w:rtl/>
        </w:rPr>
        <w:t>הארכ</w:t>
      </w:r>
      <w:r w:rsidR="006D2A40">
        <w:rPr>
          <w:rFonts w:hint="cs"/>
          <w:rtl/>
        </w:rPr>
        <w:t>תי</w:t>
      </w:r>
      <w:r>
        <w:rPr>
          <w:rFonts w:hint="cs"/>
          <w:rtl/>
        </w:rPr>
        <w:t xml:space="preserve"> לדון בנבכי התקיפה העקיפה, על שורשיה וענפיה. ומה באשר לענייננו-</w:t>
      </w:r>
      <w:r w:rsidR="006D2A40">
        <w:rPr>
          <w:rFonts w:hint="cs"/>
          <w:rtl/>
        </w:rPr>
        <w:t>של</w:t>
      </w:r>
      <w:r>
        <w:rPr>
          <w:rFonts w:hint="cs"/>
          <w:rtl/>
        </w:rPr>
        <w:t xml:space="preserve">נו? </w:t>
      </w:r>
    </w:p>
    <w:p w:rsidR="00D512D4" w:rsidRDefault="00D512D4" w:rsidP="00944FC1">
      <w:pPr>
        <w:pStyle w:val="Ruller4"/>
        <w:numPr>
          <w:ilvl w:val="0"/>
          <w:numId w:val="0"/>
        </w:numPr>
        <w:spacing w:line="240" w:lineRule="auto"/>
        <w:rPr>
          <w:rtl/>
        </w:rPr>
      </w:pPr>
      <w:r>
        <w:rPr>
          <w:rtl/>
        </w:rPr>
        <w:tab/>
      </w:r>
    </w:p>
    <w:p w:rsidR="00D512D4" w:rsidRDefault="00D512D4" w:rsidP="0052227B">
      <w:pPr>
        <w:pStyle w:val="Ruller4"/>
        <w:numPr>
          <w:ilvl w:val="0"/>
          <w:numId w:val="0"/>
        </w:numPr>
      </w:pPr>
      <w:r>
        <w:rPr>
          <w:rtl/>
        </w:rPr>
        <w:tab/>
      </w:r>
      <w:r>
        <w:rPr>
          <w:rFonts w:hint="cs"/>
          <w:rtl/>
        </w:rPr>
        <w:t xml:space="preserve">מחד גיסא, כמה נסיבות תומכות בפתיחת הדלת לתקיפה עקיפה. </w:t>
      </w:r>
      <w:r w:rsidRPr="00DB5FE1">
        <w:rPr>
          <w:rFonts w:ascii="Century" w:hAnsi="Century" w:cs="Miriam" w:hint="cs"/>
          <w:b/>
          <w:spacing w:val="0"/>
          <w:sz w:val="22"/>
          <w:szCs w:val="24"/>
          <w:rtl/>
        </w:rPr>
        <w:t>ראשית</w:t>
      </w:r>
      <w:r>
        <w:rPr>
          <w:rFonts w:hint="cs"/>
          <w:rtl/>
        </w:rPr>
        <w:t>, טענת החוקתיות אמנם הועלתה על-ידי יוזם ההליך, המערער, ולא על-ידי ה</w:t>
      </w:r>
      <w:r w:rsidR="006D2A40">
        <w:rPr>
          <w:rFonts w:hint="cs"/>
          <w:rtl/>
        </w:rPr>
        <w:t>מ</w:t>
      </w:r>
      <w:r w:rsidR="0052227B">
        <w:rPr>
          <w:rFonts w:hint="cs"/>
          <w:rtl/>
        </w:rPr>
        <w:t>שיב</w:t>
      </w:r>
      <w:r w:rsidR="006D2A40">
        <w:rPr>
          <w:rFonts w:hint="cs"/>
          <w:rtl/>
        </w:rPr>
        <w:t>ה</w:t>
      </w:r>
      <w:r>
        <w:rPr>
          <w:rFonts w:hint="cs"/>
          <w:rtl/>
        </w:rPr>
        <w:t xml:space="preserve">, אלא שטענה זו הועלתה, בנסיבות העניין דנן, כטענת התגוננות מפני בקשת המשיבה לסילוק התביעה כולה על הסף. משכך, ניתן לראות בה טענת 'מגן', ולא טענת 'חרב', שאז קיימת נטייה לאפשר את שמיעת הטענות </w:t>
      </w:r>
      <w:r w:rsidRPr="00A604AD">
        <w:rPr>
          <w:rFonts w:hint="cs"/>
          <w:rtl/>
        </w:rPr>
        <w:t>החוקתיות (</w:t>
      </w:r>
      <w:r w:rsidRPr="00A604AD">
        <w:rPr>
          <w:rFonts w:hint="eastAsia"/>
          <w:rtl/>
        </w:rPr>
        <w:t>רע</w:t>
      </w:r>
      <w:r w:rsidRPr="00A604AD">
        <w:rPr>
          <w:rtl/>
        </w:rPr>
        <w:t>"</w:t>
      </w:r>
      <w:r w:rsidRPr="00A604AD">
        <w:rPr>
          <w:rFonts w:hint="eastAsia"/>
          <w:rtl/>
        </w:rPr>
        <w:t>א</w:t>
      </w:r>
      <w:r w:rsidRPr="00A604AD">
        <w:rPr>
          <w:rtl/>
        </w:rPr>
        <w:t xml:space="preserve"> 2063</w:t>
      </w:r>
      <w:r w:rsidRPr="00A604AD">
        <w:rPr>
          <w:rFonts w:hint="cs"/>
          <w:rtl/>
        </w:rPr>
        <w:t>/</w:t>
      </w:r>
      <w:r w:rsidRPr="00A604AD">
        <w:rPr>
          <w:rtl/>
        </w:rPr>
        <w:t xml:space="preserve">16 </w:t>
      </w:r>
      <w:r w:rsidRPr="00A604AD">
        <w:rPr>
          <w:rFonts w:ascii="Century" w:hAnsi="Century" w:cs="Miriam" w:hint="eastAsia"/>
          <w:b/>
          <w:spacing w:val="0"/>
          <w:sz w:val="22"/>
          <w:szCs w:val="24"/>
          <w:rtl/>
        </w:rPr>
        <w:t>גליק</w:t>
      </w:r>
      <w:r w:rsidRPr="00A604AD">
        <w:rPr>
          <w:rFonts w:ascii="Century" w:hAnsi="Century" w:cs="Miriam"/>
          <w:b/>
          <w:spacing w:val="0"/>
          <w:sz w:val="22"/>
          <w:szCs w:val="24"/>
          <w:rtl/>
        </w:rPr>
        <w:t xml:space="preserve"> </w:t>
      </w:r>
      <w:r w:rsidRPr="00A604AD">
        <w:rPr>
          <w:rFonts w:ascii="Century" w:hAnsi="Century" w:cs="Miriam" w:hint="eastAsia"/>
          <w:b/>
          <w:spacing w:val="0"/>
          <w:sz w:val="22"/>
          <w:szCs w:val="24"/>
          <w:rtl/>
        </w:rPr>
        <w:t>נ</w:t>
      </w:r>
      <w:r w:rsidRPr="00A604AD">
        <w:rPr>
          <w:rFonts w:ascii="Century" w:hAnsi="Century" w:cs="Miriam"/>
          <w:b/>
          <w:spacing w:val="0"/>
          <w:sz w:val="22"/>
          <w:szCs w:val="24"/>
          <w:rtl/>
        </w:rPr>
        <w:t xml:space="preserve">' </w:t>
      </w:r>
      <w:r w:rsidRPr="00A604AD">
        <w:rPr>
          <w:rFonts w:ascii="Century" w:hAnsi="Century" w:cs="Miriam" w:hint="eastAsia"/>
          <w:b/>
          <w:spacing w:val="0"/>
          <w:sz w:val="22"/>
          <w:szCs w:val="24"/>
          <w:rtl/>
        </w:rPr>
        <w:t>משטרת</w:t>
      </w:r>
      <w:r w:rsidRPr="00A604AD">
        <w:rPr>
          <w:rFonts w:ascii="Century" w:hAnsi="Century" w:cs="Miriam"/>
          <w:b/>
          <w:spacing w:val="0"/>
          <w:sz w:val="22"/>
          <w:szCs w:val="24"/>
          <w:rtl/>
        </w:rPr>
        <w:t xml:space="preserve"> </w:t>
      </w:r>
      <w:r w:rsidRPr="00A604AD">
        <w:rPr>
          <w:rFonts w:ascii="Century" w:hAnsi="Century" w:cs="Miriam" w:hint="eastAsia"/>
          <w:b/>
          <w:spacing w:val="0"/>
          <w:sz w:val="22"/>
          <w:szCs w:val="24"/>
          <w:rtl/>
        </w:rPr>
        <w:t>ישראל</w:t>
      </w:r>
      <w:r w:rsidRPr="00A604AD">
        <w:rPr>
          <w:rFonts w:hint="cs"/>
          <w:rtl/>
        </w:rPr>
        <w:t xml:space="preserve">, פסקה 2 לחוות </w:t>
      </w:r>
      <w:r>
        <w:rPr>
          <w:rFonts w:hint="cs"/>
          <w:rtl/>
        </w:rPr>
        <w:t>ה</w:t>
      </w:r>
      <w:r w:rsidRPr="00A604AD">
        <w:rPr>
          <w:rFonts w:hint="cs"/>
          <w:rtl/>
        </w:rPr>
        <w:t xml:space="preserve">דעת של השופט </w:t>
      </w:r>
      <w:r w:rsidRPr="00B820FB">
        <w:rPr>
          <w:rFonts w:ascii="Century" w:hAnsi="Century" w:cs="Miriam" w:hint="eastAsia"/>
          <w:b/>
          <w:spacing w:val="0"/>
          <w:sz w:val="22"/>
          <w:szCs w:val="24"/>
          <w:rtl/>
        </w:rPr>
        <w:t>י</w:t>
      </w:r>
      <w:r w:rsidRPr="00B820FB">
        <w:rPr>
          <w:rFonts w:ascii="Century" w:hAnsi="Century" w:cs="Miriam"/>
          <w:b/>
          <w:spacing w:val="0"/>
          <w:sz w:val="22"/>
          <w:szCs w:val="24"/>
          <w:rtl/>
        </w:rPr>
        <w:t xml:space="preserve">' </w:t>
      </w:r>
      <w:r w:rsidRPr="00B820FB">
        <w:rPr>
          <w:rFonts w:ascii="Century" w:hAnsi="Century" w:cs="Miriam" w:hint="eastAsia"/>
          <w:b/>
          <w:spacing w:val="0"/>
          <w:sz w:val="22"/>
          <w:szCs w:val="24"/>
          <w:rtl/>
        </w:rPr>
        <w:t>עמית</w:t>
      </w:r>
      <w:r w:rsidRPr="009E59CA">
        <w:rPr>
          <w:rtl/>
        </w:rPr>
        <w:t xml:space="preserve"> </w:t>
      </w:r>
      <w:r w:rsidRPr="00A604AD">
        <w:rPr>
          <w:rFonts w:hint="cs"/>
          <w:rtl/>
        </w:rPr>
        <w:t>(19.1.2017)</w:t>
      </w:r>
      <w:r w:rsidR="00D053D3">
        <w:rPr>
          <w:rFonts w:hint="cs"/>
          <w:rtl/>
        </w:rPr>
        <w:t xml:space="preserve"> (להלן: </w:t>
      </w:r>
      <w:r w:rsidR="00D053D3" w:rsidRPr="00543584">
        <w:rPr>
          <w:rFonts w:ascii="Century" w:hAnsi="Century" w:cs="Miriam" w:hint="cs"/>
          <w:b/>
          <w:spacing w:val="0"/>
          <w:sz w:val="22"/>
          <w:szCs w:val="24"/>
          <w:rtl/>
        </w:rPr>
        <w:t>עניין גליק</w:t>
      </w:r>
      <w:r w:rsidR="00D053D3">
        <w:rPr>
          <w:rFonts w:hint="cs"/>
          <w:rtl/>
        </w:rPr>
        <w:t>)</w:t>
      </w:r>
      <w:r w:rsidRPr="00A604AD">
        <w:rPr>
          <w:rFonts w:hint="cs"/>
          <w:rtl/>
        </w:rPr>
        <w:t>; והשוו:</w:t>
      </w:r>
      <w:r w:rsidRPr="00A604AD">
        <w:rPr>
          <w:rFonts w:hint="eastAsia"/>
          <w:rtl/>
        </w:rPr>
        <w:t xml:space="preserve"> בג</w:t>
      </w:r>
      <w:r w:rsidRPr="00A604AD">
        <w:rPr>
          <w:rtl/>
        </w:rPr>
        <w:t>"</w:t>
      </w:r>
      <w:r w:rsidRPr="00A604AD">
        <w:rPr>
          <w:rFonts w:hint="eastAsia"/>
          <w:rtl/>
        </w:rPr>
        <w:t>ץ</w:t>
      </w:r>
      <w:r w:rsidRPr="00A604AD">
        <w:rPr>
          <w:rtl/>
        </w:rPr>
        <w:t xml:space="preserve"> 6090</w:t>
      </w:r>
      <w:r w:rsidRPr="00A604AD">
        <w:rPr>
          <w:rFonts w:hint="cs"/>
          <w:rtl/>
        </w:rPr>
        <w:t>/</w:t>
      </w:r>
      <w:r w:rsidRPr="00A604AD">
        <w:rPr>
          <w:rtl/>
        </w:rPr>
        <w:t xml:space="preserve">08 </w:t>
      </w:r>
      <w:r w:rsidRPr="00A604AD">
        <w:rPr>
          <w:rFonts w:ascii="Century" w:hAnsi="Century" w:cs="Miriam" w:hint="cs"/>
          <w:b/>
          <w:spacing w:val="0"/>
          <w:sz w:val="22"/>
          <w:szCs w:val="24"/>
          <w:rtl/>
        </w:rPr>
        <w:t>ב</w:t>
      </w:r>
      <w:r w:rsidRPr="00A604AD">
        <w:rPr>
          <w:rFonts w:ascii="Century" w:hAnsi="Century" w:cs="Miriam" w:hint="eastAsia"/>
          <w:b/>
          <w:spacing w:val="0"/>
          <w:sz w:val="22"/>
          <w:szCs w:val="24"/>
          <w:rtl/>
        </w:rPr>
        <w:t>רגר</w:t>
      </w:r>
      <w:r w:rsidRPr="00A604AD">
        <w:rPr>
          <w:rFonts w:ascii="Century" w:hAnsi="Century" w:cs="Miriam"/>
          <w:b/>
          <w:spacing w:val="0"/>
          <w:sz w:val="22"/>
          <w:szCs w:val="24"/>
          <w:rtl/>
        </w:rPr>
        <w:t xml:space="preserve"> </w:t>
      </w:r>
      <w:r w:rsidRPr="00A604AD">
        <w:rPr>
          <w:rFonts w:ascii="Century" w:hAnsi="Century" w:cs="Miriam" w:hint="eastAsia"/>
          <w:b/>
          <w:spacing w:val="0"/>
          <w:sz w:val="22"/>
          <w:szCs w:val="24"/>
          <w:rtl/>
        </w:rPr>
        <w:t>נ</w:t>
      </w:r>
      <w:r w:rsidRPr="00A604AD">
        <w:rPr>
          <w:rFonts w:ascii="Century" w:hAnsi="Century" w:cs="Miriam"/>
          <w:b/>
          <w:spacing w:val="0"/>
          <w:sz w:val="22"/>
          <w:szCs w:val="24"/>
          <w:rtl/>
        </w:rPr>
        <w:t xml:space="preserve">' </w:t>
      </w:r>
      <w:r w:rsidRPr="00A604AD">
        <w:rPr>
          <w:rFonts w:ascii="Century" w:hAnsi="Century" w:cs="Miriam" w:hint="eastAsia"/>
          <w:b/>
          <w:spacing w:val="0"/>
          <w:sz w:val="22"/>
          <w:szCs w:val="24"/>
          <w:rtl/>
        </w:rPr>
        <w:t>שר</w:t>
      </w:r>
      <w:r w:rsidRPr="00A604AD">
        <w:rPr>
          <w:rFonts w:ascii="Century" w:hAnsi="Century" w:cs="Miriam"/>
          <w:b/>
          <w:spacing w:val="0"/>
          <w:sz w:val="22"/>
          <w:szCs w:val="24"/>
          <w:rtl/>
        </w:rPr>
        <w:t xml:space="preserve"> </w:t>
      </w:r>
      <w:r w:rsidRPr="00A604AD">
        <w:rPr>
          <w:rFonts w:ascii="Century" w:hAnsi="Century" w:cs="Miriam" w:hint="eastAsia"/>
          <w:b/>
          <w:spacing w:val="0"/>
          <w:sz w:val="22"/>
          <w:szCs w:val="24"/>
          <w:rtl/>
        </w:rPr>
        <w:t>המשפטים</w:t>
      </w:r>
      <w:r w:rsidRPr="00A604AD">
        <w:rPr>
          <w:rFonts w:hint="cs"/>
          <w:rtl/>
        </w:rPr>
        <w:t>, פסקה 5 (11.8.2008);</w:t>
      </w:r>
      <w:r w:rsidRPr="00A604AD">
        <w:rPr>
          <w:rFonts w:hint="eastAsia"/>
          <w:rtl/>
        </w:rPr>
        <w:t xml:space="preserve"> </w:t>
      </w:r>
      <w:r w:rsidRPr="00A604AD">
        <w:rPr>
          <w:rFonts w:ascii="Century" w:hAnsi="Century" w:cs="Miriam" w:hint="eastAsia"/>
          <w:b/>
          <w:spacing w:val="0"/>
          <w:sz w:val="22"/>
          <w:szCs w:val="24"/>
          <w:rtl/>
        </w:rPr>
        <w:t>זמיר</w:t>
      </w:r>
      <w:r w:rsidRPr="00A604AD">
        <w:rPr>
          <w:rtl/>
        </w:rPr>
        <w:t>, 26</w:t>
      </w:r>
      <w:r w:rsidRPr="00A604AD">
        <w:rPr>
          <w:rFonts w:hint="cs"/>
          <w:rtl/>
        </w:rPr>
        <w:t>40);</w:t>
      </w:r>
      <w:r>
        <w:rPr>
          <w:rFonts w:hint="cs"/>
          <w:rtl/>
        </w:rPr>
        <w:t xml:space="preserve"> </w:t>
      </w:r>
      <w:r w:rsidRPr="00DB5FE1">
        <w:rPr>
          <w:rFonts w:ascii="Century" w:hAnsi="Century" w:cs="Miriam" w:hint="cs"/>
          <w:b/>
          <w:spacing w:val="0"/>
          <w:sz w:val="22"/>
          <w:szCs w:val="24"/>
          <w:rtl/>
        </w:rPr>
        <w:t>שנית</w:t>
      </w:r>
      <w:r>
        <w:rPr>
          <w:rFonts w:hint="cs"/>
          <w:rtl/>
        </w:rPr>
        <w:t xml:space="preserve">, התקיפה החוקתית העקיפה, בענייננו, מכוּונת כלפי נורמה חקיקתית כללית, ולא כלפי צו אישי שהוטל על המערער. כפי שנפסק בעבר, אין ציפייה מאדם מן הישוב, לתקוף נורמה כללית בבית המשפט, אלא במקרה שבו נמצא כי הוא נפגע ממנה באופן אישי </w:t>
      </w:r>
      <w:r>
        <w:rPr>
          <w:rtl/>
        </w:rPr>
        <w:t>–</w:t>
      </w:r>
      <w:r>
        <w:rPr>
          <w:rFonts w:hint="cs"/>
          <w:rtl/>
        </w:rPr>
        <w:t xml:space="preserve"> </w:t>
      </w:r>
      <w:r w:rsidRPr="00A27C90">
        <w:rPr>
          <w:rFonts w:ascii="Century" w:hAnsi="Century" w:cs="Miriam" w:hint="cs"/>
          <w:b/>
          <w:spacing w:val="0"/>
          <w:sz w:val="22"/>
          <w:szCs w:val="24"/>
          <w:rtl/>
        </w:rPr>
        <w:t>"יש</w:t>
      </w:r>
      <w:r w:rsidRPr="00A27C90">
        <w:rPr>
          <w:rFonts w:ascii="Century" w:hAnsi="Century" w:cs="Miriam" w:hint="eastAsia"/>
          <w:b/>
          <w:spacing w:val="0"/>
          <w:sz w:val="22"/>
          <w:szCs w:val="24"/>
          <w:rtl/>
        </w:rPr>
        <w:t xml:space="preserve"> בדרך</w:t>
      </w:r>
      <w:r w:rsidRPr="00A27C90">
        <w:rPr>
          <w:rFonts w:ascii="Century" w:hAnsi="Century" w:cs="Miriam"/>
          <w:b/>
          <w:spacing w:val="0"/>
          <w:sz w:val="22"/>
          <w:szCs w:val="24"/>
          <w:rtl/>
        </w:rPr>
        <w:t>-</w:t>
      </w:r>
      <w:r w:rsidRPr="00A27C90">
        <w:rPr>
          <w:rFonts w:ascii="Century" w:hAnsi="Century" w:cs="Miriam" w:hint="eastAsia"/>
          <w:b/>
          <w:spacing w:val="0"/>
          <w:sz w:val="22"/>
          <w:szCs w:val="24"/>
          <w:rtl/>
        </w:rPr>
        <w:t>כלל</w:t>
      </w:r>
      <w:r w:rsidRPr="00A27C90">
        <w:rPr>
          <w:rFonts w:ascii="Century" w:hAnsi="Century" w:cs="Miriam"/>
          <w:b/>
          <w:spacing w:val="0"/>
          <w:sz w:val="22"/>
          <w:szCs w:val="24"/>
          <w:rtl/>
        </w:rPr>
        <w:t xml:space="preserve"> </w:t>
      </w:r>
      <w:r w:rsidRPr="00A27C90">
        <w:rPr>
          <w:rFonts w:ascii="Century" w:hAnsi="Century" w:cs="Miriam" w:hint="eastAsia"/>
          <w:b/>
          <w:spacing w:val="0"/>
          <w:sz w:val="22"/>
          <w:szCs w:val="24"/>
          <w:rtl/>
        </w:rPr>
        <w:t>סיכוי</w:t>
      </w:r>
      <w:r w:rsidRPr="00A27C90">
        <w:rPr>
          <w:rFonts w:ascii="Century" w:hAnsi="Century" w:cs="Miriam"/>
          <w:b/>
          <w:spacing w:val="0"/>
          <w:sz w:val="22"/>
          <w:szCs w:val="24"/>
          <w:rtl/>
        </w:rPr>
        <w:t xml:space="preserve"> </w:t>
      </w:r>
      <w:r w:rsidRPr="00A27C90">
        <w:rPr>
          <w:rFonts w:ascii="Century" w:hAnsi="Century" w:cs="Miriam" w:hint="eastAsia"/>
          <w:b/>
          <w:spacing w:val="0"/>
          <w:sz w:val="22"/>
          <w:szCs w:val="24"/>
          <w:rtl/>
        </w:rPr>
        <w:t>טוב</w:t>
      </w:r>
      <w:r w:rsidRPr="00A27C90">
        <w:rPr>
          <w:rFonts w:ascii="Century" w:hAnsi="Century" w:cs="Miriam"/>
          <w:b/>
          <w:spacing w:val="0"/>
          <w:sz w:val="22"/>
          <w:szCs w:val="24"/>
          <w:rtl/>
        </w:rPr>
        <w:t xml:space="preserve"> </w:t>
      </w:r>
      <w:r w:rsidRPr="00A27C90">
        <w:rPr>
          <w:rFonts w:ascii="Century" w:hAnsi="Century" w:cs="Miriam" w:hint="eastAsia"/>
          <w:b/>
          <w:spacing w:val="0"/>
          <w:sz w:val="22"/>
          <w:szCs w:val="24"/>
          <w:rtl/>
        </w:rPr>
        <w:t>יותר</w:t>
      </w:r>
      <w:r w:rsidRPr="00A27C90">
        <w:rPr>
          <w:rFonts w:ascii="Century" w:hAnsi="Century" w:cs="Miriam"/>
          <w:b/>
          <w:spacing w:val="0"/>
          <w:sz w:val="22"/>
          <w:szCs w:val="24"/>
          <w:rtl/>
        </w:rPr>
        <w:t xml:space="preserve"> </w:t>
      </w:r>
      <w:r w:rsidRPr="00A27C90">
        <w:rPr>
          <w:rFonts w:ascii="Century" w:hAnsi="Century" w:cs="Miriam" w:hint="eastAsia"/>
          <w:b/>
          <w:spacing w:val="0"/>
          <w:sz w:val="22"/>
          <w:szCs w:val="24"/>
          <w:rtl/>
        </w:rPr>
        <w:t>לתקיפה</w:t>
      </w:r>
      <w:r w:rsidRPr="00A27C90">
        <w:rPr>
          <w:rFonts w:ascii="Century" w:hAnsi="Century" w:cs="Miriam"/>
          <w:b/>
          <w:spacing w:val="0"/>
          <w:sz w:val="22"/>
          <w:szCs w:val="24"/>
          <w:rtl/>
        </w:rPr>
        <w:t xml:space="preserve"> </w:t>
      </w:r>
      <w:r w:rsidRPr="00A27C90">
        <w:rPr>
          <w:rFonts w:ascii="Century" w:hAnsi="Century" w:cs="Miriam" w:hint="eastAsia"/>
          <w:b/>
          <w:spacing w:val="0"/>
          <w:sz w:val="22"/>
          <w:szCs w:val="24"/>
          <w:rtl/>
        </w:rPr>
        <w:t>עקיפה</w:t>
      </w:r>
      <w:r w:rsidRPr="00A27C90">
        <w:rPr>
          <w:rFonts w:ascii="Century" w:hAnsi="Century" w:cs="Miriam"/>
          <w:b/>
          <w:spacing w:val="0"/>
          <w:sz w:val="22"/>
          <w:szCs w:val="24"/>
          <w:rtl/>
        </w:rPr>
        <w:t xml:space="preserve"> </w:t>
      </w:r>
      <w:r w:rsidRPr="00A27C90">
        <w:rPr>
          <w:rFonts w:ascii="Century" w:hAnsi="Century" w:cs="Miriam" w:hint="eastAsia"/>
          <w:b/>
          <w:spacing w:val="0"/>
          <w:sz w:val="22"/>
          <w:szCs w:val="24"/>
          <w:rtl/>
        </w:rPr>
        <w:t>של</w:t>
      </w:r>
      <w:r w:rsidRPr="00A27C90">
        <w:rPr>
          <w:rFonts w:ascii="Century" w:hAnsi="Century" w:cs="Miriam"/>
          <w:b/>
          <w:spacing w:val="0"/>
          <w:sz w:val="22"/>
          <w:szCs w:val="24"/>
          <w:rtl/>
        </w:rPr>
        <w:t xml:space="preserve"> </w:t>
      </w:r>
      <w:r w:rsidRPr="00A27C90">
        <w:rPr>
          <w:rFonts w:ascii="Century" w:hAnsi="Century" w:cs="Miriam" w:hint="eastAsia"/>
          <w:b/>
          <w:spacing w:val="0"/>
          <w:sz w:val="22"/>
          <w:szCs w:val="24"/>
          <w:rtl/>
        </w:rPr>
        <w:t>תקנה</w:t>
      </w:r>
      <w:r w:rsidRPr="00A27C90">
        <w:rPr>
          <w:rFonts w:ascii="Century" w:hAnsi="Century" w:cs="Miriam"/>
          <w:b/>
          <w:spacing w:val="0"/>
          <w:sz w:val="22"/>
          <w:szCs w:val="24"/>
          <w:rtl/>
        </w:rPr>
        <w:t xml:space="preserve"> </w:t>
      </w:r>
      <w:r w:rsidRPr="00A27C90">
        <w:rPr>
          <w:rFonts w:ascii="Century" w:hAnsi="Century" w:cs="Miriam" w:hint="eastAsia"/>
          <w:b/>
          <w:spacing w:val="0"/>
          <w:sz w:val="22"/>
          <w:szCs w:val="24"/>
          <w:rtl/>
        </w:rPr>
        <w:t>כללית</w:t>
      </w:r>
      <w:r w:rsidRPr="00A27C90">
        <w:rPr>
          <w:rFonts w:ascii="Century" w:hAnsi="Century" w:cs="Miriam"/>
          <w:b/>
          <w:spacing w:val="0"/>
          <w:sz w:val="22"/>
          <w:szCs w:val="24"/>
          <w:rtl/>
        </w:rPr>
        <w:t xml:space="preserve"> </w:t>
      </w:r>
      <w:r w:rsidRPr="00A27C90">
        <w:rPr>
          <w:rFonts w:ascii="Century" w:hAnsi="Century" w:cs="Miriam" w:hint="eastAsia"/>
          <w:b/>
          <w:spacing w:val="0"/>
          <w:sz w:val="22"/>
          <w:szCs w:val="24"/>
          <w:rtl/>
        </w:rPr>
        <w:t>מאשר</w:t>
      </w:r>
      <w:r w:rsidRPr="00A27C90">
        <w:rPr>
          <w:rFonts w:ascii="Century" w:hAnsi="Century" w:cs="Miriam"/>
          <w:b/>
          <w:spacing w:val="0"/>
          <w:sz w:val="22"/>
          <w:szCs w:val="24"/>
          <w:rtl/>
        </w:rPr>
        <w:t xml:space="preserve"> </w:t>
      </w:r>
      <w:r w:rsidRPr="00A27C90">
        <w:rPr>
          <w:rFonts w:ascii="Century" w:hAnsi="Century" w:cs="Miriam" w:hint="eastAsia"/>
          <w:b/>
          <w:spacing w:val="0"/>
          <w:sz w:val="22"/>
          <w:szCs w:val="24"/>
          <w:rtl/>
        </w:rPr>
        <w:t>לתקיפה</w:t>
      </w:r>
      <w:r w:rsidRPr="00A27C90">
        <w:rPr>
          <w:rFonts w:ascii="Century" w:hAnsi="Century" w:cs="Miriam"/>
          <w:b/>
          <w:spacing w:val="0"/>
          <w:sz w:val="22"/>
          <w:szCs w:val="24"/>
          <w:rtl/>
        </w:rPr>
        <w:t xml:space="preserve"> </w:t>
      </w:r>
      <w:r w:rsidRPr="00A27C90">
        <w:rPr>
          <w:rFonts w:ascii="Century" w:hAnsi="Century" w:cs="Miriam" w:hint="eastAsia"/>
          <w:b/>
          <w:spacing w:val="0"/>
          <w:sz w:val="22"/>
          <w:szCs w:val="24"/>
          <w:rtl/>
        </w:rPr>
        <w:t>עקיפה</w:t>
      </w:r>
      <w:r w:rsidRPr="00A27C90">
        <w:rPr>
          <w:rFonts w:ascii="Century" w:hAnsi="Century" w:cs="Miriam"/>
          <w:b/>
          <w:spacing w:val="0"/>
          <w:sz w:val="22"/>
          <w:szCs w:val="24"/>
          <w:rtl/>
        </w:rPr>
        <w:t xml:space="preserve"> </w:t>
      </w:r>
      <w:r w:rsidRPr="00A27C90">
        <w:rPr>
          <w:rFonts w:ascii="Century" w:hAnsi="Century" w:cs="Miriam" w:hint="eastAsia"/>
          <w:b/>
          <w:spacing w:val="0"/>
          <w:sz w:val="22"/>
          <w:szCs w:val="24"/>
          <w:rtl/>
        </w:rPr>
        <w:t>של</w:t>
      </w:r>
      <w:r w:rsidRPr="00A27C90">
        <w:rPr>
          <w:rFonts w:ascii="Century" w:hAnsi="Century" w:cs="Miriam"/>
          <w:b/>
          <w:spacing w:val="0"/>
          <w:sz w:val="22"/>
          <w:szCs w:val="24"/>
          <w:rtl/>
        </w:rPr>
        <w:t xml:space="preserve"> </w:t>
      </w:r>
      <w:r w:rsidRPr="00A27C90">
        <w:rPr>
          <w:rFonts w:ascii="Century" w:hAnsi="Century" w:cs="Miriam" w:hint="eastAsia"/>
          <w:b/>
          <w:spacing w:val="0"/>
          <w:sz w:val="22"/>
          <w:szCs w:val="24"/>
          <w:rtl/>
        </w:rPr>
        <w:t>צו</w:t>
      </w:r>
      <w:r w:rsidRPr="00A27C90">
        <w:rPr>
          <w:rFonts w:ascii="Century" w:hAnsi="Century" w:cs="Miriam"/>
          <w:b/>
          <w:spacing w:val="0"/>
          <w:sz w:val="22"/>
          <w:szCs w:val="24"/>
          <w:rtl/>
        </w:rPr>
        <w:t xml:space="preserve"> </w:t>
      </w:r>
      <w:r w:rsidRPr="00A27C90">
        <w:rPr>
          <w:rFonts w:ascii="Century" w:hAnsi="Century" w:cs="Miriam" w:hint="eastAsia"/>
          <w:b/>
          <w:spacing w:val="0"/>
          <w:sz w:val="22"/>
          <w:szCs w:val="24"/>
          <w:rtl/>
        </w:rPr>
        <w:t>אישי</w:t>
      </w:r>
      <w:r>
        <w:rPr>
          <w:rFonts w:ascii="Century" w:hAnsi="Century" w:cs="Miriam" w:hint="cs"/>
          <w:b/>
          <w:spacing w:val="0"/>
          <w:sz w:val="22"/>
          <w:szCs w:val="24"/>
          <w:rtl/>
        </w:rPr>
        <w:t>" (</w:t>
      </w:r>
      <w:r w:rsidRPr="00C23E27">
        <w:rPr>
          <w:rFonts w:hint="eastAsia"/>
          <w:rtl/>
        </w:rPr>
        <w:t>רע</w:t>
      </w:r>
      <w:r w:rsidRPr="00C23E27">
        <w:rPr>
          <w:rtl/>
        </w:rPr>
        <w:t>"</w:t>
      </w:r>
      <w:r w:rsidRPr="00C23E27">
        <w:rPr>
          <w:rFonts w:hint="eastAsia"/>
          <w:rtl/>
        </w:rPr>
        <w:t>פ</w:t>
      </w:r>
      <w:r w:rsidRPr="00C23E27">
        <w:rPr>
          <w:rtl/>
        </w:rPr>
        <w:t xml:space="preserve"> 4398/99 </w:t>
      </w:r>
      <w:r w:rsidRPr="00C23E27">
        <w:rPr>
          <w:rFonts w:ascii="Century" w:hAnsi="Century" w:cs="Miriam" w:hint="eastAsia"/>
          <w:b/>
          <w:spacing w:val="0"/>
          <w:sz w:val="22"/>
          <w:szCs w:val="24"/>
          <w:rtl/>
        </w:rPr>
        <w:t>הראל</w:t>
      </w:r>
      <w:r w:rsidRPr="00C23E27">
        <w:rPr>
          <w:rFonts w:ascii="Century" w:hAnsi="Century" w:cs="Miriam"/>
          <w:b/>
          <w:spacing w:val="0"/>
          <w:sz w:val="22"/>
          <w:szCs w:val="24"/>
          <w:rtl/>
        </w:rPr>
        <w:t xml:space="preserve"> </w:t>
      </w:r>
      <w:r w:rsidRPr="00C23E27">
        <w:rPr>
          <w:rFonts w:ascii="Century" w:hAnsi="Century" w:cs="Miriam" w:hint="eastAsia"/>
          <w:b/>
          <w:spacing w:val="0"/>
          <w:sz w:val="22"/>
          <w:szCs w:val="24"/>
          <w:rtl/>
        </w:rPr>
        <w:t>נ</w:t>
      </w:r>
      <w:r w:rsidRPr="00C23E27">
        <w:rPr>
          <w:rFonts w:ascii="Century" w:hAnsi="Century" w:cs="Miriam"/>
          <w:b/>
          <w:spacing w:val="0"/>
          <w:sz w:val="22"/>
          <w:szCs w:val="24"/>
          <w:rtl/>
        </w:rPr>
        <w:t xml:space="preserve">' </w:t>
      </w:r>
      <w:r w:rsidRPr="00C23E27">
        <w:rPr>
          <w:rFonts w:ascii="Century" w:hAnsi="Century" w:cs="Miriam" w:hint="eastAsia"/>
          <w:b/>
          <w:spacing w:val="0"/>
          <w:sz w:val="22"/>
          <w:szCs w:val="24"/>
          <w:rtl/>
        </w:rPr>
        <w:t>מדינת</w:t>
      </w:r>
      <w:r w:rsidRPr="00C23E27">
        <w:rPr>
          <w:rFonts w:ascii="Century" w:hAnsi="Century" w:cs="Miriam"/>
          <w:b/>
          <w:spacing w:val="0"/>
          <w:sz w:val="22"/>
          <w:szCs w:val="24"/>
          <w:rtl/>
        </w:rPr>
        <w:t xml:space="preserve"> </w:t>
      </w:r>
      <w:r w:rsidRPr="00C23E27">
        <w:rPr>
          <w:rFonts w:ascii="Century" w:hAnsi="Century" w:cs="Miriam" w:hint="eastAsia"/>
          <w:b/>
          <w:spacing w:val="0"/>
          <w:sz w:val="22"/>
          <w:szCs w:val="24"/>
          <w:rtl/>
        </w:rPr>
        <w:t>ישראל</w:t>
      </w:r>
      <w:r w:rsidRPr="00C23E27">
        <w:rPr>
          <w:rtl/>
        </w:rPr>
        <w:t xml:space="preserve">, </w:t>
      </w:r>
      <w:r w:rsidRPr="00C23E27">
        <w:rPr>
          <w:rFonts w:hint="eastAsia"/>
          <w:rtl/>
        </w:rPr>
        <w:t>פ</w:t>
      </w:r>
      <w:r w:rsidRPr="00C23E27">
        <w:rPr>
          <w:rtl/>
        </w:rPr>
        <w:t>"</w:t>
      </w:r>
      <w:r w:rsidRPr="00C23E27">
        <w:rPr>
          <w:rFonts w:hint="eastAsia"/>
          <w:rtl/>
        </w:rPr>
        <w:t>ד</w:t>
      </w:r>
      <w:r w:rsidRPr="00C23E27">
        <w:rPr>
          <w:rtl/>
        </w:rPr>
        <w:t xml:space="preserve"> </w:t>
      </w:r>
      <w:r w:rsidRPr="00C23E27">
        <w:rPr>
          <w:rFonts w:hint="eastAsia"/>
          <w:rtl/>
        </w:rPr>
        <w:t>נד</w:t>
      </w:r>
      <w:r w:rsidRPr="00C23E27">
        <w:rPr>
          <w:rtl/>
        </w:rPr>
        <w:t>(3) 637</w:t>
      </w:r>
      <w:r>
        <w:rPr>
          <w:rFonts w:hint="cs"/>
          <w:rtl/>
        </w:rPr>
        <w:t>, 647-646</w:t>
      </w:r>
      <w:r w:rsidRPr="00C23E27">
        <w:rPr>
          <w:rtl/>
        </w:rPr>
        <w:t xml:space="preserve"> (2000)</w:t>
      </w:r>
      <w:r>
        <w:rPr>
          <w:rFonts w:hint="cs"/>
          <w:rtl/>
        </w:rPr>
        <w:t xml:space="preserve"> (להלן: </w:t>
      </w:r>
      <w:r w:rsidRPr="00B820FB">
        <w:rPr>
          <w:rFonts w:ascii="Century" w:hAnsi="Century" w:cs="Miriam" w:hint="eastAsia"/>
          <w:b/>
          <w:spacing w:val="0"/>
          <w:sz w:val="22"/>
          <w:szCs w:val="24"/>
          <w:rtl/>
        </w:rPr>
        <w:t>עניין</w:t>
      </w:r>
      <w:r w:rsidRPr="00B820FB">
        <w:rPr>
          <w:rFonts w:ascii="Century" w:hAnsi="Century" w:cs="Miriam"/>
          <w:b/>
          <w:spacing w:val="0"/>
          <w:sz w:val="22"/>
          <w:szCs w:val="24"/>
          <w:rtl/>
        </w:rPr>
        <w:t xml:space="preserve"> </w:t>
      </w:r>
      <w:r w:rsidRPr="009E59CA">
        <w:rPr>
          <w:rFonts w:ascii="Century" w:hAnsi="Century" w:cs="Miriam" w:hint="eastAsia"/>
          <w:b/>
          <w:spacing w:val="0"/>
          <w:sz w:val="22"/>
          <w:szCs w:val="24"/>
          <w:rtl/>
        </w:rPr>
        <w:t>הראל</w:t>
      </w:r>
      <w:r>
        <w:rPr>
          <w:rFonts w:hint="cs"/>
          <w:rtl/>
        </w:rPr>
        <w:t>); עניין</w:t>
      </w:r>
      <w:r>
        <w:rPr>
          <w:rFonts w:ascii="Century" w:hAnsi="Century" w:cs="Miriam" w:hint="cs"/>
          <w:b/>
          <w:spacing w:val="0"/>
          <w:sz w:val="22"/>
          <w:szCs w:val="24"/>
          <w:rtl/>
        </w:rPr>
        <w:t xml:space="preserve"> אבו </w:t>
      </w:r>
      <w:r w:rsidRPr="000D46E9">
        <w:rPr>
          <w:rFonts w:ascii="Century" w:hAnsi="Century" w:cs="Miriam" w:hint="cs"/>
          <w:b/>
          <w:spacing w:val="0"/>
          <w:sz w:val="22"/>
          <w:szCs w:val="24"/>
          <w:rtl/>
        </w:rPr>
        <w:t>פריח</w:t>
      </w:r>
      <w:r>
        <w:rPr>
          <w:rFonts w:hint="cs"/>
          <w:rtl/>
        </w:rPr>
        <w:t xml:space="preserve">, פסקה 9). </w:t>
      </w:r>
      <w:r w:rsidRPr="00672BD4">
        <w:rPr>
          <w:rFonts w:ascii="Century" w:hAnsi="Century" w:cs="Miriam" w:hint="cs"/>
          <w:b/>
          <w:spacing w:val="0"/>
          <w:sz w:val="22"/>
          <w:szCs w:val="24"/>
          <w:rtl/>
        </w:rPr>
        <w:t>שלישית</w:t>
      </w:r>
      <w:r>
        <w:rPr>
          <w:rFonts w:hint="cs"/>
          <w:rtl/>
        </w:rPr>
        <w:t>, ספק רב אם מסלול התקיפה הישירה עומד לו למערער, מבחינה מעשית, שעה שמדובר במי שאינו אזרח או תושב ישראל. אכן, כאשר מדובר בזרים, ספק</w:t>
      </w:r>
      <w:r w:rsidR="006D2A40">
        <w:rPr>
          <w:rFonts w:hint="cs"/>
          <w:rtl/>
        </w:rPr>
        <w:t xml:space="preserve"> רב</w:t>
      </w:r>
      <w:r>
        <w:rPr>
          <w:rFonts w:hint="cs"/>
          <w:rtl/>
        </w:rPr>
        <w:t xml:space="preserve"> אם ראוי להטיל עליהם את </w:t>
      </w:r>
      <w:r w:rsidRPr="00DB5FE1">
        <w:rPr>
          <w:rFonts w:ascii="Century" w:hAnsi="Century" w:cs="Miriam" w:hint="cs"/>
          <w:b/>
          <w:spacing w:val="0"/>
          <w:sz w:val="22"/>
          <w:szCs w:val="24"/>
          <w:rtl/>
        </w:rPr>
        <w:t>"נטל תיקון החקיקה המקומית"</w:t>
      </w:r>
      <w:r>
        <w:rPr>
          <w:rFonts w:hint="cs"/>
          <w:rtl/>
        </w:rPr>
        <w:t xml:space="preserve">, באמצעות תקיפה ישירה (ראו: עניין </w:t>
      </w:r>
      <w:r w:rsidRPr="002F424E">
        <w:rPr>
          <w:rFonts w:ascii="Century" w:hAnsi="Century" w:cs="Miriam"/>
          <w:spacing w:val="0"/>
          <w:sz w:val="18"/>
          <w:szCs w:val="20"/>
        </w:rPr>
        <w:lastRenderedPageBreak/>
        <w:t>HUMAN RIGHTS WATCH</w:t>
      </w:r>
      <w:r w:rsidRPr="00C65AE6">
        <w:rPr>
          <w:rFonts w:ascii="Century" w:hAnsi="Century"/>
          <w:sz w:val="22"/>
          <w:rtl/>
        </w:rPr>
        <w:t>, פסקה 10</w:t>
      </w:r>
      <w:r w:rsidRPr="00C65AE6">
        <w:rPr>
          <w:rFonts w:ascii="Century" w:hAnsi="Century" w:hint="cs"/>
          <w:sz w:val="22"/>
          <w:rtl/>
        </w:rPr>
        <w:t>;</w:t>
      </w:r>
      <w:r>
        <w:rPr>
          <w:rFonts w:ascii="FrankRuehl" w:hAnsi="FrankRuehl" w:hint="cs"/>
          <w:spacing w:val="0"/>
          <w:sz w:val="28"/>
          <w:rtl/>
        </w:rPr>
        <w:t xml:space="preserve"> </w:t>
      </w:r>
      <w:r w:rsidRPr="00BF5B38">
        <w:rPr>
          <w:rFonts w:hint="cs"/>
          <w:rtl/>
        </w:rPr>
        <w:t>ו</w:t>
      </w:r>
      <w:r>
        <w:rPr>
          <w:rFonts w:hint="cs"/>
          <w:rtl/>
        </w:rPr>
        <w:t xml:space="preserve">ראו: </w:t>
      </w:r>
      <w:r w:rsidRPr="00BF5B38">
        <w:rPr>
          <w:rFonts w:hint="eastAsia"/>
          <w:rtl/>
        </w:rPr>
        <w:t>רע</w:t>
      </w:r>
      <w:r w:rsidRPr="00BF5B38">
        <w:rPr>
          <w:rtl/>
        </w:rPr>
        <w:t>"</w:t>
      </w:r>
      <w:r w:rsidRPr="00BF5B38">
        <w:rPr>
          <w:rFonts w:hint="eastAsia"/>
          <w:rtl/>
        </w:rPr>
        <w:t>א</w:t>
      </w:r>
      <w:r w:rsidRPr="00BF5B38">
        <w:rPr>
          <w:rtl/>
        </w:rPr>
        <w:t xml:space="preserve"> 729/04 </w:t>
      </w:r>
      <w:r w:rsidRPr="00BF5B38">
        <w:rPr>
          <w:rFonts w:ascii="Century" w:hAnsi="Century" w:cs="Miriam" w:hint="eastAsia"/>
          <w:b/>
          <w:spacing w:val="0"/>
          <w:sz w:val="22"/>
          <w:szCs w:val="24"/>
          <w:rtl/>
        </w:rPr>
        <w:t>מדינת</w:t>
      </w:r>
      <w:r w:rsidRPr="00BF5B38">
        <w:rPr>
          <w:rFonts w:ascii="Century" w:hAnsi="Century" w:cs="Miriam"/>
          <w:b/>
          <w:spacing w:val="0"/>
          <w:sz w:val="22"/>
          <w:szCs w:val="24"/>
          <w:rtl/>
        </w:rPr>
        <w:t xml:space="preserve"> </w:t>
      </w:r>
      <w:r w:rsidRPr="00BF5B38">
        <w:rPr>
          <w:rFonts w:ascii="Century" w:hAnsi="Century" w:cs="Miriam" w:hint="eastAsia"/>
          <w:b/>
          <w:spacing w:val="0"/>
          <w:sz w:val="22"/>
          <w:szCs w:val="24"/>
          <w:rtl/>
        </w:rPr>
        <w:t>ישראל</w:t>
      </w:r>
      <w:r w:rsidRPr="00BF5B38">
        <w:rPr>
          <w:rFonts w:ascii="Century" w:hAnsi="Century" w:cs="Miriam"/>
          <w:b/>
          <w:spacing w:val="0"/>
          <w:sz w:val="22"/>
          <w:szCs w:val="24"/>
          <w:rtl/>
        </w:rPr>
        <w:t xml:space="preserve"> </w:t>
      </w:r>
      <w:r w:rsidRPr="00BF5B38">
        <w:rPr>
          <w:rFonts w:ascii="Century" w:hAnsi="Century" w:cs="Miriam" w:hint="eastAsia"/>
          <w:b/>
          <w:spacing w:val="0"/>
          <w:sz w:val="22"/>
          <w:szCs w:val="24"/>
          <w:rtl/>
        </w:rPr>
        <w:t>נ</w:t>
      </w:r>
      <w:r w:rsidRPr="00BF5B38">
        <w:rPr>
          <w:rFonts w:ascii="Century" w:hAnsi="Century" w:cs="Miriam"/>
          <w:b/>
          <w:spacing w:val="0"/>
          <w:sz w:val="22"/>
          <w:szCs w:val="24"/>
          <w:rtl/>
        </w:rPr>
        <w:t xml:space="preserve">' </w:t>
      </w:r>
      <w:r w:rsidRPr="00BF5B38">
        <w:rPr>
          <w:rFonts w:ascii="Century" w:hAnsi="Century" w:cs="Miriam" w:hint="eastAsia"/>
          <w:b/>
          <w:spacing w:val="0"/>
          <w:sz w:val="22"/>
          <w:szCs w:val="24"/>
          <w:rtl/>
        </w:rPr>
        <w:t>קו</w:t>
      </w:r>
      <w:r w:rsidRPr="00BF5B38">
        <w:rPr>
          <w:rFonts w:ascii="Century" w:hAnsi="Century" w:cs="Miriam"/>
          <w:b/>
          <w:spacing w:val="0"/>
          <w:sz w:val="22"/>
          <w:szCs w:val="24"/>
          <w:rtl/>
        </w:rPr>
        <w:t xml:space="preserve"> </w:t>
      </w:r>
      <w:r w:rsidRPr="00BF5B38">
        <w:rPr>
          <w:rFonts w:ascii="Century" w:hAnsi="Century" w:cs="Miriam" w:hint="eastAsia"/>
          <w:b/>
          <w:spacing w:val="0"/>
          <w:sz w:val="22"/>
          <w:szCs w:val="24"/>
          <w:rtl/>
        </w:rPr>
        <w:t>מחשבה</w:t>
      </w:r>
      <w:r w:rsidRPr="00BF5B38">
        <w:rPr>
          <w:rFonts w:ascii="Century" w:hAnsi="Century" w:cs="Miriam"/>
          <w:b/>
          <w:spacing w:val="0"/>
          <w:sz w:val="22"/>
          <w:szCs w:val="24"/>
          <w:rtl/>
        </w:rPr>
        <w:t xml:space="preserve"> </w:t>
      </w:r>
      <w:r w:rsidRPr="00BF5B38">
        <w:rPr>
          <w:rFonts w:ascii="Century" w:hAnsi="Century" w:cs="Miriam" w:hint="eastAsia"/>
          <w:b/>
          <w:spacing w:val="0"/>
          <w:sz w:val="22"/>
          <w:szCs w:val="24"/>
          <w:rtl/>
        </w:rPr>
        <w:t>בע</w:t>
      </w:r>
      <w:r w:rsidRPr="00BF5B38">
        <w:rPr>
          <w:rFonts w:ascii="Century" w:hAnsi="Century" w:cs="Miriam"/>
          <w:b/>
          <w:spacing w:val="0"/>
          <w:sz w:val="22"/>
          <w:szCs w:val="24"/>
          <w:rtl/>
        </w:rPr>
        <w:t>"</w:t>
      </w:r>
      <w:r w:rsidRPr="00BF5B38">
        <w:rPr>
          <w:rFonts w:ascii="Century" w:hAnsi="Century" w:cs="Miriam" w:hint="eastAsia"/>
          <w:b/>
          <w:spacing w:val="0"/>
          <w:sz w:val="22"/>
          <w:szCs w:val="24"/>
          <w:rtl/>
        </w:rPr>
        <w:t>מ</w:t>
      </w:r>
      <w:r w:rsidRPr="00C65AE6">
        <w:rPr>
          <w:rFonts w:ascii="Century" w:hAnsi="Century"/>
          <w:sz w:val="22"/>
          <w:rtl/>
        </w:rPr>
        <w:t xml:space="preserve">, </w:t>
      </w:r>
      <w:r w:rsidRPr="00C65AE6">
        <w:rPr>
          <w:rFonts w:ascii="Century" w:hAnsi="Century" w:hint="eastAsia"/>
          <w:sz w:val="22"/>
          <w:rtl/>
        </w:rPr>
        <w:t>פס</w:t>
      </w:r>
      <w:r w:rsidRPr="00C65AE6">
        <w:rPr>
          <w:rFonts w:ascii="Century" w:hAnsi="Century" w:hint="cs"/>
          <w:sz w:val="22"/>
          <w:rtl/>
        </w:rPr>
        <w:t>קה</w:t>
      </w:r>
      <w:r w:rsidRPr="00C65AE6">
        <w:rPr>
          <w:rFonts w:ascii="Century" w:hAnsi="Century"/>
          <w:sz w:val="22"/>
          <w:rtl/>
        </w:rPr>
        <w:t xml:space="preserve"> 17 (26.4.2010)</w:t>
      </w:r>
      <w:r w:rsidRPr="00C65AE6">
        <w:rPr>
          <w:rFonts w:ascii="Century" w:hAnsi="Century" w:hint="cs"/>
          <w:sz w:val="22"/>
          <w:rtl/>
        </w:rPr>
        <w:t>, שם נקבע</w:t>
      </w:r>
      <w:r>
        <w:rPr>
          <w:rFonts w:ascii="Century" w:hAnsi="Century" w:hint="cs"/>
          <w:sz w:val="22"/>
          <w:rtl/>
        </w:rPr>
        <w:t>,</w:t>
      </w:r>
      <w:r w:rsidRPr="00C65AE6">
        <w:rPr>
          <w:rFonts w:ascii="Century" w:hAnsi="Century" w:hint="cs"/>
          <w:sz w:val="22"/>
          <w:rtl/>
        </w:rPr>
        <w:t xml:space="preserve"> כי העדר יכולת מעשית </w:t>
      </w:r>
      <w:r>
        <w:rPr>
          <w:rFonts w:ascii="Century" w:hAnsi="Century" w:hint="cs"/>
          <w:sz w:val="22"/>
          <w:rtl/>
        </w:rPr>
        <w:t>לפנות ב</w:t>
      </w:r>
      <w:r w:rsidRPr="00C65AE6">
        <w:rPr>
          <w:rFonts w:ascii="Century" w:hAnsi="Century" w:hint="cs"/>
          <w:sz w:val="22"/>
          <w:rtl/>
        </w:rPr>
        <w:t>'תקיפה ישירה'</w:t>
      </w:r>
      <w:r>
        <w:rPr>
          <w:rFonts w:ascii="Century" w:hAnsi="Century" w:hint="cs"/>
          <w:sz w:val="22"/>
          <w:rtl/>
        </w:rPr>
        <w:t>,</w:t>
      </w:r>
      <w:r w:rsidRPr="00C65AE6">
        <w:rPr>
          <w:rFonts w:ascii="Century" w:hAnsi="Century" w:hint="cs"/>
          <w:sz w:val="22"/>
          <w:rtl/>
        </w:rPr>
        <w:t xml:space="preserve"> עשוי להצדיק 'תקיפה עקיפה'</w:t>
      </w:r>
      <w:r w:rsidRPr="00C65AE6">
        <w:rPr>
          <w:rFonts w:ascii="Century" w:hAnsi="Century"/>
          <w:sz w:val="22"/>
          <w:rtl/>
        </w:rPr>
        <w:t>)</w:t>
      </w:r>
      <w:r w:rsidRPr="00C65AE6">
        <w:rPr>
          <w:rFonts w:ascii="Century" w:hAnsi="Century" w:hint="cs"/>
          <w:sz w:val="22"/>
          <w:rtl/>
        </w:rPr>
        <w:t xml:space="preserve">. </w:t>
      </w:r>
      <w:r w:rsidRPr="00BF5B38">
        <w:rPr>
          <w:rFonts w:ascii="Century" w:hAnsi="Century" w:cs="Miriam" w:hint="cs"/>
          <w:b/>
          <w:spacing w:val="0"/>
          <w:sz w:val="22"/>
          <w:szCs w:val="24"/>
          <w:rtl/>
        </w:rPr>
        <w:t>לבסוף</w:t>
      </w:r>
      <w:r w:rsidRPr="00BF5B38">
        <w:rPr>
          <w:rFonts w:hint="cs"/>
          <w:rtl/>
        </w:rPr>
        <w:t xml:space="preserve">, </w:t>
      </w:r>
      <w:r>
        <w:rPr>
          <w:rFonts w:hint="cs"/>
          <w:rtl/>
        </w:rPr>
        <w:t xml:space="preserve">במקרה שלפנינו, לא מתקיימות </w:t>
      </w:r>
      <w:r w:rsidRPr="00BF5B38">
        <w:rPr>
          <w:rFonts w:hint="cs"/>
          <w:rtl/>
        </w:rPr>
        <w:t>נסיבות 'חשודות'</w:t>
      </w:r>
      <w:r>
        <w:rPr>
          <w:rFonts w:hint="cs"/>
          <w:rtl/>
        </w:rPr>
        <w:t>,</w:t>
      </w:r>
      <w:r w:rsidRPr="00BF5B38">
        <w:rPr>
          <w:rFonts w:hint="cs"/>
          <w:rtl/>
        </w:rPr>
        <w:t xml:space="preserve"> של עשיית דין עצמי או שיהוי, </w:t>
      </w:r>
      <w:r w:rsidR="006D2A40">
        <w:rPr>
          <w:rFonts w:hint="cs"/>
          <w:rtl/>
        </w:rPr>
        <w:t xml:space="preserve">אשר </w:t>
      </w:r>
      <w:r>
        <w:rPr>
          <w:rFonts w:hint="cs"/>
          <w:rtl/>
        </w:rPr>
        <w:t xml:space="preserve">עשויות להצדיק, </w:t>
      </w:r>
      <w:r w:rsidRPr="00BF5B38">
        <w:rPr>
          <w:rFonts w:hint="cs"/>
          <w:rtl/>
        </w:rPr>
        <w:t>בדרך כלל</w:t>
      </w:r>
      <w:r>
        <w:rPr>
          <w:rFonts w:hint="cs"/>
          <w:rtl/>
        </w:rPr>
        <w:t>,</w:t>
      </w:r>
      <w:r w:rsidRPr="00BF5B38">
        <w:rPr>
          <w:rFonts w:hint="cs"/>
          <w:rtl/>
        </w:rPr>
        <w:t xml:space="preserve"> </w:t>
      </w:r>
      <w:r>
        <w:rPr>
          <w:rFonts w:hint="cs"/>
          <w:rtl/>
        </w:rPr>
        <w:t xml:space="preserve">את </w:t>
      </w:r>
      <w:r w:rsidRPr="00BF5B38">
        <w:rPr>
          <w:rFonts w:hint="cs"/>
          <w:rtl/>
        </w:rPr>
        <w:t xml:space="preserve">דחיית </w:t>
      </w:r>
      <w:r>
        <w:rPr>
          <w:rFonts w:hint="cs"/>
          <w:rtl/>
        </w:rPr>
        <w:t xml:space="preserve">קיום </w:t>
      </w:r>
      <w:r w:rsidRPr="00BF5B38">
        <w:rPr>
          <w:rFonts w:hint="cs"/>
          <w:rtl/>
        </w:rPr>
        <w:t>הביקורת השיפוטית העקיפה</w:t>
      </w:r>
      <w:r>
        <w:rPr>
          <w:rFonts w:hint="cs"/>
          <w:rtl/>
        </w:rPr>
        <w:t>,</w:t>
      </w:r>
      <w:r w:rsidRPr="00BF5B38">
        <w:rPr>
          <w:rFonts w:hint="cs"/>
          <w:rtl/>
        </w:rPr>
        <w:t xml:space="preserve"> </w:t>
      </w:r>
      <w:r>
        <w:rPr>
          <w:rFonts w:hint="cs"/>
          <w:rtl/>
        </w:rPr>
        <w:t xml:space="preserve">כבר </w:t>
      </w:r>
      <w:r w:rsidRPr="00BF5B38">
        <w:rPr>
          <w:rFonts w:hint="cs"/>
          <w:rtl/>
        </w:rPr>
        <w:t xml:space="preserve">על הסף </w:t>
      </w:r>
      <w:r w:rsidRPr="00BF5B38">
        <w:rPr>
          <w:rtl/>
        </w:rPr>
        <w:t>(</w:t>
      </w:r>
      <w:r w:rsidRPr="00BF5B38">
        <w:rPr>
          <w:rFonts w:hint="cs"/>
          <w:rtl/>
        </w:rPr>
        <w:t xml:space="preserve">עניין </w:t>
      </w:r>
      <w:r w:rsidRPr="00BF5B38">
        <w:rPr>
          <w:rFonts w:ascii="Century" w:hAnsi="Century" w:cs="Miriam" w:hint="cs"/>
          <w:b/>
          <w:spacing w:val="0"/>
          <w:sz w:val="22"/>
          <w:szCs w:val="24"/>
          <w:rtl/>
        </w:rPr>
        <w:t>הראל</w:t>
      </w:r>
      <w:r w:rsidRPr="00BF5B38">
        <w:rPr>
          <w:rFonts w:hint="cs"/>
          <w:rtl/>
        </w:rPr>
        <w:t xml:space="preserve">, </w:t>
      </w:r>
      <w:r w:rsidRPr="00BF5B38">
        <w:rPr>
          <w:rFonts w:hint="eastAsia"/>
          <w:rtl/>
        </w:rPr>
        <w:t>פסקה</w:t>
      </w:r>
      <w:r w:rsidRPr="00BF5B38">
        <w:rPr>
          <w:rtl/>
        </w:rPr>
        <w:t xml:space="preserve"> 12</w:t>
      </w:r>
      <w:r w:rsidRPr="00BF5B38">
        <w:rPr>
          <w:rFonts w:hint="cs"/>
          <w:rtl/>
        </w:rPr>
        <w:t xml:space="preserve">; </w:t>
      </w:r>
      <w:r w:rsidRPr="00BF5B38">
        <w:rPr>
          <w:rFonts w:hint="eastAsia"/>
          <w:rtl/>
        </w:rPr>
        <w:t>ע</w:t>
      </w:r>
      <w:r w:rsidRPr="00BF5B38">
        <w:rPr>
          <w:rtl/>
        </w:rPr>
        <w:t>"</w:t>
      </w:r>
      <w:r w:rsidRPr="00BF5B38">
        <w:rPr>
          <w:rFonts w:hint="eastAsia"/>
          <w:rtl/>
        </w:rPr>
        <w:t>א</w:t>
      </w:r>
      <w:r w:rsidRPr="00BF5B38">
        <w:rPr>
          <w:rtl/>
        </w:rPr>
        <w:t xml:space="preserve"> 9569/04 </w:t>
      </w:r>
      <w:r w:rsidRPr="00BF5B38">
        <w:rPr>
          <w:rFonts w:ascii="Century" w:hAnsi="Century" w:cs="Miriam" w:hint="eastAsia"/>
          <w:b/>
          <w:spacing w:val="0"/>
          <w:sz w:val="22"/>
          <w:szCs w:val="24"/>
          <w:rtl/>
        </w:rPr>
        <w:t>עבידאת</w:t>
      </w:r>
      <w:r w:rsidRPr="00BF5B38">
        <w:rPr>
          <w:rFonts w:ascii="Century" w:hAnsi="Century" w:cs="Miriam"/>
          <w:b/>
          <w:spacing w:val="0"/>
          <w:sz w:val="22"/>
          <w:szCs w:val="24"/>
          <w:rtl/>
        </w:rPr>
        <w:t xml:space="preserve"> </w:t>
      </w:r>
      <w:r w:rsidRPr="00BF5B38">
        <w:rPr>
          <w:rFonts w:ascii="Century" w:hAnsi="Century" w:cs="Miriam" w:hint="eastAsia"/>
          <w:b/>
          <w:spacing w:val="0"/>
          <w:sz w:val="22"/>
          <w:szCs w:val="24"/>
          <w:rtl/>
        </w:rPr>
        <w:t>נ</w:t>
      </w:r>
      <w:r w:rsidRPr="00BF5B38">
        <w:rPr>
          <w:rFonts w:ascii="Century" w:hAnsi="Century" w:cs="Miriam"/>
          <w:b/>
          <w:spacing w:val="0"/>
          <w:sz w:val="22"/>
          <w:szCs w:val="24"/>
          <w:rtl/>
        </w:rPr>
        <w:t xml:space="preserve">' </w:t>
      </w:r>
      <w:r w:rsidRPr="00BF5B38">
        <w:rPr>
          <w:rFonts w:ascii="Century" w:hAnsi="Century" w:cs="Miriam" w:hint="eastAsia"/>
          <w:b/>
          <w:spacing w:val="0"/>
          <w:sz w:val="22"/>
          <w:szCs w:val="24"/>
          <w:rtl/>
        </w:rPr>
        <w:t>הועדה</w:t>
      </w:r>
      <w:r w:rsidRPr="00BF5B38">
        <w:rPr>
          <w:rFonts w:ascii="Century" w:hAnsi="Century" w:cs="Miriam"/>
          <w:b/>
          <w:spacing w:val="0"/>
          <w:sz w:val="22"/>
          <w:szCs w:val="24"/>
          <w:rtl/>
        </w:rPr>
        <w:t xml:space="preserve"> </w:t>
      </w:r>
      <w:r w:rsidRPr="00BF5B38">
        <w:rPr>
          <w:rFonts w:ascii="Century" w:hAnsi="Century" w:cs="Miriam" w:hint="eastAsia"/>
          <w:b/>
          <w:spacing w:val="0"/>
          <w:sz w:val="22"/>
          <w:szCs w:val="24"/>
          <w:rtl/>
        </w:rPr>
        <w:t>המקומית</w:t>
      </w:r>
      <w:r w:rsidRPr="00BF5B38">
        <w:rPr>
          <w:rFonts w:ascii="Century" w:hAnsi="Century" w:cs="Miriam"/>
          <w:b/>
          <w:spacing w:val="0"/>
          <w:sz w:val="22"/>
          <w:szCs w:val="24"/>
          <w:rtl/>
        </w:rPr>
        <w:t xml:space="preserve"> </w:t>
      </w:r>
      <w:r w:rsidRPr="00BF5B38">
        <w:rPr>
          <w:rFonts w:ascii="Century" w:hAnsi="Century" w:cs="Miriam" w:hint="eastAsia"/>
          <w:b/>
          <w:spacing w:val="0"/>
          <w:sz w:val="22"/>
          <w:szCs w:val="24"/>
          <w:rtl/>
        </w:rPr>
        <w:t>לתכנון</w:t>
      </w:r>
      <w:r w:rsidRPr="00BF5B38">
        <w:rPr>
          <w:rFonts w:ascii="Century" w:hAnsi="Century" w:cs="Miriam"/>
          <w:b/>
          <w:spacing w:val="0"/>
          <w:sz w:val="22"/>
          <w:szCs w:val="24"/>
          <w:rtl/>
        </w:rPr>
        <w:t xml:space="preserve"> </w:t>
      </w:r>
      <w:r w:rsidRPr="00BF5B38">
        <w:rPr>
          <w:rFonts w:ascii="Century" w:hAnsi="Century" w:cs="Miriam" w:hint="eastAsia"/>
          <w:b/>
          <w:spacing w:val="0"/>
          <w:sz w:val="22"/>
          <w:szCs w:val="24"/>
          <w:rtl/>
        </w:rPr>
        <w:t>ולבנייה</w:t>
      </w:r>
      <w:r w:rsidRPr="00BF5B38">
        <w:rPr>
          <w:rFonts w:ascii="Century" w:hAnsi="Century" w:cs="Miriam"/>
          <w:b/>
          <w:spacing w:val="0"/>
          <w:sz w:val="22"/>
          <w:szCs w:val="24"/>
          <w:rtl/>
        </w:rPr>
        <w:t xml:space="preserve"> </w:t>
      </w:r>
      <w:r w:rsidRPr="00BF5B38">
        <w:rPr>
          <w:rFonts w:ascii="Century" w:hAnsi="Century" w:cs="Miriam" w:hint="eastAsia"/>
          <w:b/>
          <w:spacing w:val="0"/>
          <w:sz w:val="22"/>
          <w:szCs w:val="24"/>
          <w:rtl/>
        </w:rPr>
        <w:t>ירושלים</w:t>
      </w:r>
      <w:r w:rsidRPr="00BF5B38">
        <w:rPr>
          <w:rtl/>
        </w:rPr>
        <w:t xml:space="preserve"> (14.2.2008)</w:t>
      </w:r>
      <w:r w:rsidRPr="00BF5B38">
        <w:rPr>
          <w:rFonts w:hint="cs"/>
          <w:rtl/>
        </w:rPr>
        <w:t>;</w:t>
      </w:r>
      <w:r w:rsidRPr="00BF5B38">
        <w:rPr>
          <w:rFonts w:hint="eastAsia"/>
          <w:rtl/>
        </w:rPr>
        <w:t xml:space="preserve"> ע</w:t>
      </w:r>
      <w:r w:rsidRPr="00BF5B38">
        <w:rPr>
          <w:rtl/>
        </w:rPr>
        <w:t>"</w:t>
      </w:r>
      <w:r w:rsidRPr="00BF5B38">
        <w:rPr>
          <w:rFonts w:hint="eastAsia"/>
          <w:rtl/>
        </w:rPr>
        <w:t>א</w:t>
      </w:r>
      <w:r w:rsidRPr="00BF5B38">
        <w:rPr>
          <w:rFonts w:hint="cs"/>
          <w:rtl/>
        </w:rPr>
        <w:t xml:space="preserve"> </w:t>
      </w:r>
      <w:r w:rsidRPr="00BF5B38">
        <w:rPr>
          <w:rtl/>
        </w:rPr>
        <w:t xml:space="preserve">7958/10 </w:t>
      </w:r>
      <w:r w:rsidRPr="00BF5B38">
        <w:rPr>
          <w:rFonts w:ascii="Century" w:hAnsi="Century" w:cs="Miriam" w:hint="eastAsia"/>
          <w:b/>
          <w:spacing w:val="0"/>
          <w:sz w:val="22"/>
          <w:szCs w:val="24"/>
          <w:rtl/>
        </w:rPr>
        <w:t>פלאפון</w:t>
      </w:r>
      <w:r w:rsidRPr="00BF5B38">
        <w:rPr>
          <w:rFonts w:ascii="Century" w:hAnsi="Century" w:cs="Miriam"/>
          <w:b/>
          <w:spacing w:val="0"/>
          <w:sz w:val="22"/>
          <w:szCs w:val="24"/>
          <w:rtl/>
        </w:rPr>
        <w:t xml:space="preserve"> </w:t>
      </w:r>
      <w:r w:rsidRPr="00BF5B38">
        <w:rPr>
          <w:rFonts w:ascii="Century" w:hAnsi="Century" w:cs="Miriam" w:hint="eastAsia"/>
          <w:b/>
          <w:spacing w:val="0"/>
          <w:sz w:val="22"/>
          <w:szCs w:val="24"/>
          <w:rtl/>
        </w:rPr>
        <w:t>תקשורת</w:t>
      </w:r>
      <w:r w:rsidRPr="00BF5B38">
        <w:rPr>
          <w:rFonts w:ascii="Century" w:hAnsi="Century" w:cs="Miriam"/>
          <w:b/>
          <w:spacing w:val="0"/>
          <w:sz w:val="22"/>
          <w:szCs w:val="24"/>
          <w:rtl/>
        </w:rPr>
        <w:t xml:space="preserve"> </w:t>
      </w:r>
      <w:r w:rsidRPr="00BF5B38">
        <w:rPr>
          <w:rFonts w:ascii="Century" w:hAnsi="Century" w:cs="Miriam" w:hint="eastAsia"/>
          <w:b/>
          <w:spacing w:val="0"/>
          <w:sz w:val="22"/>
          <w:szCs w:val="24"/>
          <w:rtl/>
        </w:rPr>
        <w:t>בע</w:t>
      </w:r>
      <w:r w:rsidRPr="00BF5B38">
        <w:rPr>
          <w:rFonts w:ascii="Century" w:hAnsi="Century" w:cs="Miriam"/>
          <w:b/>
          <w:spacing w:val="0"/>
          <w:sz w:val="22"/>
          <w:szCs w:val="24"/>
          <w:rtl/>
        </w:rPr>
        <w:t>"</w:t>
      </w:r>
      <w:r w:rsidRPr="00BF5B38">
        <w:rPr>
          <w:rFonts w:ascii="Century" w:hAnsi="Century" w:cs="Miriam" w:hint="eastAsia"/>
          <w:b/>
          <w:spacing w:val="0"/>
          <w:sz w:val="22"/>
          <w:szCs w:val="24"/>
          <w:rtl/>
        </w:rPr>
        <w:t>מ</w:t>
      </w:r>
      <w:r w:rsidRPr="00BF5B38">
        <w:rPr>
          <w:rFonts w:ascii="Century" w:hAnsi="Century" w:cs="Miriam" w:hint="cs"/>
          <w:b/>
          <w:spacing w:val="0"/>
          <w:sz w:val="22"/>
          <w:szCs w:val="24"/>
          <w:rtl/>
        </w:rPr>
        <w:t xml:space="preserve"> נ' מדינת ישראל</w:t>
      </w:r>
      <w:r w:rsidRPr="00BF5B38">
        <w:rPr>
          <w:rFonts w:hint="cs"/>
          <w:rtl/>
        </w:rPr>
        <w:t xml:space="preserve"> (1.8.2010)).</w:t>
      </w:r>
    </w:p>
    <w:p w:rsidR="00D512D4" w:rsidRPr="002F1373" w:rsidRDefault="00D512D4" w:rsidP="000B6AE3">
      <w:pPr>
        <w:pStyle w:val="Ruller41"/>
        <w:spacing w:line="240" w:lineRule="auto"/>
      </w:pPr>
      <w:r>
        <w:rPr>
          <w:rFonts w:hint="cs"/>
          <w:rtl/>
        </w:rPr>
        <w:t xml:space="preserve"> </w:t>
      </w:r>
      <w:r>
        <w:rPr>
          <w:rtl/>
        </w:rPr>
        <w:tab/>
      </w:r>
    </w:p>
    <w:p w:rsidR="00D512D4" w:rsidRDefault="00D512D4" w:rsidP="00944FC1">
      <w:pPr>
        <w:pStyle w:val="Ruller4"/>
        <w:numPr>
          <w:ilvl w:val="0"/>
          <w:numId w:val="0"/>
        </w:numPr>
        <w:rPr>
          <w:rtl/>
        </w:rPr>
      </w:pPr>
      <w:r>
        <w:rPr>
          <w:rtl/>
        </w:rPr>
        <w:tab/>
      </w:r>
      <w:r>
        <w:rPr>
          <w:rFonts w:hint="cs"/>
          <w:rtl/>
        </w:rPr>
        <w:t xml:space="preserve">מאידך גיסא, </w:t>
      </w:r>
      <w:r w:rsidR="006D2A40">
        <w:rPr>
          <w:rFonts w:hint="cs"/>
          <w:rtl/>
        </w:rPr>
        <w:t xml:space="preserve">ישנם </w:t>
      </w:r>
      <w:r>
        <w:rPr>
          <w:rFonts w:hint="cs"/>
          <w:rtl/>
        </w:rPr>
        <w:t xml:space="preserve">שיקולים התומכים דווקא בהימנעות משימוש בביקורת שיפוטית עקיפה: </w:t>
      </w:r>
      <w:r w:rsidRPr="004068DE">
        <w:rPr>
          <w:rFonts w:ascii="Century" w:hAnsi="Century" w:cs="Miriam" w:hint="cs"/>
          <w:b/>
          <w:spacing w:val="0"/>
          <w:sz w:val="22"/>
          <w:szCs w:val="24"/>
          <w:rtl/>
        </w:rPr>
        <w:t>ראשית</w:t>
      </w:r>
      <w:r>
        <w:rPr>
          <w:rFonts w:hint="cs"/>
          <w:rtl/>
        </w:rPr>
        <w:t>, יש לזכור כי מדובר בתקיפה עקיפה ש</w:t>
      </w:r>
      <w:r w:rsidRPr="00C65AE6">
        <w:rPr>
          <w:rFonts w:ascii="Century" w:hAnsi="Century" w:hint="cs"/>
          <w:sz w:val="22"/>
          <w:rtl/>
        </w:rPr>
        <w:t>ל חקיקה ראשית</w:t>
      </w:r>
      <w:r>
        <w:rPr>
          <w:rFonts w:ascii="Century" w:hAnsi="Century" w:hint="cs"/>
          <w:sz w:val="22"/>
          <w:rtl/>
        </w:rPr>
        <w:t>,</w:t>
      </w:r>
      <w:r w:rsidRPr="00C65AE6">
        <w:rPr>
          <w:rFonts w:ascii="Century" w:hAnsi="Century" w:hint="cs"/>
          <w:sz w:val="22"/>
          <w:rtl/>
        </w:rPr>
        <w:t xml:space="preserve"> </w:t>
      </w:r>
      <w:r>
        <w:rPr>
          <w:rFonts w:ascii="Century" w:hAnsi="Century" w:hint="cs"/>
          <w:sz w:val="22"/>
          <w:rtl/>
        </w:rPr>
        <w:t>א</w:t>
      </w:r>
      <w:r w:rsidRPr="00C65AE6">
        <w:rPr>
          <w:rFonts w:ascii="Century" w:hAnsi="Century" w:hint="cs"/>
          <w:sz w:val="22"/>
          <w:rtl/>
        </w:rPr>
        <w:t>ש</w:t>
      </w:r>
      <w:r>
        <w:rPr>
          <w:rFonts w:ascii="Century" w:hAnsi="Century" w:hint="cs"/>
          <w:sz w:val="22"/>
          <w:rtl/>
        </w:rPr>
        <w:t xml:space="preserve">ר </w:t>
      </w:r>
      <w:r w:rsidRPr="00C65AE6">
        <w:rPr>
          <w:rFonts w:ascii="Century" w:hAnsi="Century" w:hint="cs"/>
          <w:sz w:val="22"/>
          <w:rtl/>
        </w:rPr>
        <w:t xml:space="preserve">יצאה תחת ידה </w:t>
      </w:r>
      <w:r>
        <w:rPr>
          <w:rFonts w:hint="cs"/>
          <w:rtl/>
        </w:rPr>
        <w:t xml:space="preserve">של כנסת ישראל. בעניינים כגון דא, נדרשת זהירות יתרה. הדברים נכונים לגבי תקיפה ישירה, 'בדרך המלך' </w:t>
      </w:r>
      <w:r>
        <w:rPr>
          <w:rtl/>
        </w:rPr>
        <w:t>–</w:t>
      </w:r>
      <w:r>
        <w:rPr>
          <w:rFonts w:hint="cs"/>
          <w:rtl/>
        </w:rPr>
        <w:t xml:space="preserve"> </w:t>
      </w:r>
      <w:r w:rsidRPr="00EF3DB1">
        <w:rPr>
          <w:rFonts w:ascii="Century" w:hAnsi="Century" w:cs="Miriam" w:hint="cs"/>
          <w:b/>
          <w:spacing w:val="0"/>
          <w:sz w:val="22"/>
          <w:szCs w:val="24"/>
          <w:rtl/>
        </w:rPr>
        <w:t>"</w:t>
      </w:r>
      <w:r w:rsidRPr="00EF3DB1">
        <w:rPr>
          <w:rFonts w:ascii="Century" w:hAnsi="Century" w:cs="Miriam"/>
          <w:b/>
          <w:spacing w:val="0"/>
          <w:sz w:val="22"/>
          <w:szCs w:val="24"/>
          <w:rtl/>
        </w:rPr>
        <w:t>מעמדהּ של הכנסת מחייב אפוא איפוק וריסון בהפעלת ביקורת שיפוטית על פעילותה, וזהירות מפני פגיעה בעצמאותם של חברי הכנסת, בהיותם נציגיהם הנבחרים של אזרחי המדינה</w:t>
      </w:r>
      <w:r w:rsidRPr="00EF3DB1">
        <w:rPr>
          <w:rFonts w:ascii="Century" w:hAnsi="Century" w:cs="Miriam" w:hint="cs"/>
          <w:b/>
          <w:spacing w:val="0"/>
          <w:sz w:val="22"/>
          <w:szCs w:val="24"/>
          <w:rtl/>
        </w:rPr>
        <w:t>"</w:t>
      </w:r>
      <w:r>
        <w:rPr>
          <w:rFonts w:ascii="FrankRuehl" w:hAnsi="FrankRuehl" w:hint="cs"/>
          <w:color w:val="000000"/>
          <w:sz w:val="28"/>
          <w:rtl/>
        </w:rPr>
        <w:t xml:space="preserve"> (</w:t>
      </w:r>
      <w:r w:rsidRPr="00EF3DB1">
        <w:rPr>
          <w:rFonts w:ascii="FrankRuehl" w:hAnsi="FrankRuehl" w:hint="eastAsia"/>
          <w:color w:val="000000"/>
          <w:sz w:val="28"/>
          <w:rtl/>
        </w:rPr>
        <w:t>בג</w:t>
      </w:r>
      <w:r w:rsidRPr="00EF3DB1">
        <w:rPr>
          <w:rFonts w:ascii="FrankRuehl" w:hAnsi="FrankRuehl"/>
          <w:color w:val="000000"/>
          <w:sz w:val="28"/>
          <w:rtl/>
        </w:rPr>
        <w:t>"</w:t>
      </w:r>
      <w:r w:rsidRPr="00EF3DB1">
        <w:rPr>
          <w:rFonts w:ascii="FrankRuehl" w:hAnsi="FrankRuehl" w:hint="eastAsia"/>
          <w:color w:val="000000"/>
          <w:sz w:val="28"/>
          <w:rtl/>
        </w:rPr>
        <w:t>ץ</w:t>
      </w:r>
      <w:r w:rsidRPr="00EF3DB1">
        <w:rPr>
          <w:rFonts w:ascii="FrankRuehl" w:hAnsi="FrankRuehl"/>
          <w:color w:val="000000"/>
          <w:sz w:val="28"/>
          <w:rtl/>
        </w:rPr>
        <w:t xml:space="preserve"> 10042/16</w:t>
      </w:r>
      <w:r>
        <w:rPr>
          <w:rFonts w:ascii="FrankRuehl" w:hAnsi="FrankRuehl" w:hint="cs"/>
          <w:color w:val="000000"/>
          <w:sz w:val="28"/>
          <w:rtl/>
        </w:rPr>
        <w:t xml:space="preserve"> </w:t>
      </w:r>
      <w:r w:rsidRPr="00EF3DB1">
        <w:rPr>
          <w:rFonts w:ascii="Century" w:hAnsi="Century" w:cs="Miriam" w:hint="eastAsia"/>
          <w:b/>
          <w:spacing w:val="0"/>
          <w:sz w:val="22"/>
          <w:szCs w:val="24"/>
          <w:rtl/>
        </w:rPr>
        <w:t>קוונטינסקי</w:t>
      </w:r>
      <w:r w:rsidRPr="00EF3DB1">
        <w:rPr>
          <w:rFonts w:ascii="Century" w:hAnsi="Century" w:cs="Miriam" w:hint="cs"/>
          <w:b/>
          <w:spacing w:val="0"/>
          <w:sz w:val="22"/>
          <w:szCs w:val="24"/>
          <w:rtl/>
        </w:rPr>
        <w:t xml:space="preserve"> נ' כנסת ישראל</w:t>
      </w:r>
      <w:r>
        <w:rPr>
          <w:rFonts w:ascii="FrankRuehl" w:hAnsi="FrankRuehl" w:hint="cs"/>
          <w:color w:val="000000"/>
          <w:sz w:val="28"/>
          <w:rtl/>
        </w:rPr>
        <w:t>, פסקה 35 לפסק דיני (6.8.2017)</w:t>
      </w:r>
      <w:r w:rsidR="00D77987">
        <w:rPr>
          <w:rFonts w:ascii="FrankRuehl" w:hAnsi="FrankRuehl" w:hint="cs"/>
          <w:color w:val="000000"/>
          <w:sz w:val="28"/>
          <w:rtl/>
        </w:rPr>
        <w:t xml:space="preserve"> (להלן: </w:t>
      </w:r>
      <w:r w:rsidR="00D77987" w:rsidRPr="00D77987">
        <w:rPr>
          <w:rFonts w:ascii="Century" w:hAnsi="Century" w:cs="Miriam" w:hint="cs"/>
          <w:b/>
          <w:spacing w:val="0"/>
          <w:sz w:val="22"/>
          <w:szCs w:val="24"/>
          <w:rtl/>
        </w:rPr>
        <w:t>עניין קוונטינסקי</w:t>
      </w:r>
      <w:r>
        <w:rPr>
          <w:rFonts w:ascii="FrankRuehl" w:hAnsi="FrankRuehl" w:hint="cs"/>
          <w:color w:val="000000"/>
          <w:sz w:val="28"/>
          <w:rtl/>
        </w:rPr>
        <w:t>)</w:t>
      </w:r>
      <w:r w:rsidR="00D705BF">
        <w:rPr>
          <w:rFonts w:ascii="FrankRuehl" w:hAnsi="FrankRuehl" w:hint="cs"/>
          <w:color w:val="000000"/>
          <w:sz w:val="28"/>
          <w:rtl/>
        </w:rPr>
        <w:t>)</w:t>
      </w:r>
      <w:r w:rsidR="006D2A40">
        <w:rPr>
          <w:rFonts w:ascii="FrankRuehl" w:hAnsi="FrankRuehl" w:hint="cs"/>
          <w:color w:val="000000"/>
          <w:sz w:val="28"/>
          <w:rtl/>
        </w:rPr>
        <w:t>;</w:t>
      </w:r>
      <w:r>
        <w:rPr>
          <w:rFonts w:ascii="FrankRuehl" w:hAnsi="FrankRuehl" w:hint="cs"/>
          <w:color w:val="000000"/>
          <w:sz w:val="28"/>
          <w:rtl/>
        </w:rPr>
        <w:t xml:space="preserve"> וביתר שאת, מקום שבו עסקינן בתקיפה עקיפה</w:t>
      </w:r>
      <w:r>
        <w:rPr>
          <w:rFonts w:hint="cs"/>
          <w:rtl/>
        </w:rPr>
        <w:t xml:space="preserve"> </w:t>
      </w:r>
      <w:r>
        <w:rPr>
          <w:rtl/>
        </w:rPr>
        <w:t>–</w:t>
      </w:r>
      <w:r>
        <w:rPr>
          <w:rFonts w:hint="cs"/>
          <w:rtl/>
        </w:rPr>
        <w:t xml:space="preserve"> </w:t>
      </w:r>
      <w:r w:rsidRPr="004068DE">
        <w:rPr>
          <w:rFonts w:ascii="Century" w:hAnsi="Century" w:cs="Miriam" w:hint="cs"/>
          <w:b/>
          <w:spacing w:val="0"/>
          <w:sz w:val="22"/>
          <w:szCs w:val="24"/>
          <w:rtl/>
        </w:rPr>
        <w:t>"</w:t>
      </w:r>
      <w:r w:rsidRPr="004068DE">
        <w:rPr>
          <w:rFonts w:ascii="Century" w:hAnsi="Century" w:cs="Miriam" w:hint="eastAsia"/>
          <w:b/>
          <w:spacing w:val="0"/>
          <w:sz w:val="22"/>
          <w:szCs w:val="24"/>
          <w:rtl/>
        </w:rPr>
        <w:t>נדמה</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כי</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מבחינת</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הסוציולוגיה</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של</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המשפט</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יש</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ערך</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לכך</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שהסמכות</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לבטל</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חוקים</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בלתי</w:t>
      </w:r>
      <w:r w:rsidRPr="004068DE">
        <w:rPr>
          <w:rFonts w:ascii="Century" w:hAnsi="Century" w:cs="Miriam"/>
          <w:b/>
          <w:spacing w:val="0"/>
          <w:sz w:val="22"/>
          <w:szCs w:val="24"/>
          <w:rtl/>
        </w:rPr>
        <w:t>-</w:t>
      </w:r>
      <w:r w:rsidRPr="004068DE">
        <w:rPr>
          <w:rFonts w:ascii="Century" w:hAnsi="Century" w:cs="Miriam" w:hint="eastAsia"/>
          <w:b/>
          <w:spacing w:val="0"/>
          <w:sz w:val="22"/>
          <w:szCs w:val="24"/>
          <w:rtl/>
        </w:rPr>
        <w:t>חוקתיים</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תופעל</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בזהירות</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ובצורה</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ריכוזית</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הקהילייה</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המשפטית</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ואף</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הציבור</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הרחב</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תופסים</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סמכות</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זו</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כחידוש</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ובמדינת</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ישראל</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עודנו</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מצויים</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בשלבים</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הראשונים</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של</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גיבושה</w:t>
      </w:r>
      <w:r w:rsidRPr="004068DE">
        <w:rPr>
          <w:rFonts w:ascii="Century" w:hAnsi="Century" w:cs="Miriam"/>
          <w:b/>
          <w:spacing w:val="0"/>
          <w:sz w:val="22"/>
          <w:szCs w:val="24"/>
          <w:rtl/>
        </w:rPr>
        <w:t xml:space="preserve"> </w:t>
      </w:r>
      <w:r w:rsidRPr="00B93DE4">
        <w:rPr>
          <w:rFonts w:ascii="Century" w:hAnsi="Century"/>
          <w:sz w:val="22"/>
          <w:rtl/>
        </w:rPr>
        <w:t>–</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מה</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שמקרין</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גם</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על</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היחס</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הראוי</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לביטול</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חקיקה</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ראשית</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על</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ידי</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ערכאה</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שאינה</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בית</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המשפט</w:t>
      </w:r>
      <w:r w:rsidRPr="004068DE">
        <w:rPr>
          <w:rFonts w:ascii="Century" w:hAnsi="Century" w:cs="Miriam"/>
          <w:b/>
          <w:spacing w:val="0"/>
          <w:sz w:val="22"/>
          <w:szCs w:val="24"/>
          <w:rtl/>
        </w:rPr>
        <w:t xml:space="preserve"> </w:t>
      </w:r>
      <w:r w:rsidRPr="004068DE">
        <w:rPr>
          <w:rFonts w:ascii="Century" w:hAnsi="Century" w:cs="Miriam" w:hint="eastAsia"/>
          <w:b/>
          <w:spacing w:val="0"/>
          <w:sz w:val="22"/>
          <w:szCs w:val="24"/>
          <w:rtl/>
        </w:rPr>
        <w:t>העליון</w:t>
      </w:r>
      <w:r w:rsidRPr="004068DE">
        <w:rPr>
          <w:rFonts w:ascii="Century" w:hAnsi="Century" w:cs="Miriam" w:hint="cs"/>
          <w:b/>
          <w:spacing w:val="0"/>
          <w:sz w:val="22"/>
          <w:szCs w:val="24"/>
          <w:rtl/>
        </w:rPr>
        <w:t>"</w:t>
      </w:r>
      <w:r>
        <w:rPr>
          <w:rFonts w:hint="cs"/>
          <w:rtl/>
        </w:rPr>
        <w:t xml:space="preserve"> (חוות דעתו של חברי, השופט (כתוארו אז) </w:t>
      </w:r>
      <w:r w:rsidRPr="00C65AE6">
        <w:rPr>
          <w:rFonts w:ascii="Century" w:hAnsi="Century" w:cs="Miriam" w:hint="cs"/>
          <w:b/>
          <w:spacing w:val="0"/>
          <w:sz w:val="22"/>
          <w:szCs w:val="24"/>
          <w:rtl/>
        </w:rPr>
        <w:t>הנדל</w:t>
      </w:r>
      <w:r>
        <w:rPr>
          <w:rFonts w:hint="cs"/>
          <w:rtl/>
        </w:rPr>
        <w:t>, בעניי</w:t>
      </w:r>
      <w:r w:rsidR="002F424E">
        <w:rPr>
          <w:rFonts w:hint="cs"/>
          <w:rtl/>
        </w:rPr>
        <w:t>ן</w:t>
      </w:r>
      <w:r w:rsidR="002F424E">
        <w:rPr>
          <w:rFonts w:ascii="Century" w:hAnsi="Century" w:cs="Miriam"/>
          <w:spacing w:val="0"/>
          <w:sz w:val="18"/>
          <w:szCs w:val="20"/>
        </w:rPr>
        <w:t>H</w:t>
      </w:r>
      <w:r w:rsidRPr="002F424E">
        <w:rPr>
          <w:rFonts w:ascii="Century" w:hAnsi="Century" w:cs="Miriam"/>
          <w:spacing w:val="0"/>
          <w:sz w:val="18"/>
          <w:szCs w:val="20"/>
        </w:rPr>
        <w:t>UMAN RIGHTS WATCH</w:t>
      </w:r>
      <w:r>
        <w:rPr>
          <w:rFonts w:hint="cs"/>
          <w:rtl/>
        </w:rPr>
        <w:t xml:space="preserve">). </w:t>
      </w:r>
      <w:r w:rsidRPr="00CE3BF9">
        <w:rPr>
          <w:rFonts w:ascii="Century" w:hAnsi="Century" w:cs="Miriam" w:hint="cs"/>
          <w:b/>
          <w:spacing w:val="0"/>
          <w:sz w:val="22"/>
          <w:szCs w:val="24"/>
          <w:rtl/>
        </w:rPr>
        <w:t>שנית</w:t>
      </w:r>
      <w:r>
        <w:rPr>
          <w:rFonts w:hint="cs"/>
          <w:rtl/>
        </w:rPr>
        <w:t>, אין מדובר בהסדר חוקי זניח או צדדי; זהו עניין המעורר שאלה עקרונית, בעלת השלכ</w:t>
      </w:r>
      <w:r w:rsidR="004864D2">
        <w:rPr>
          <w:rFonts w:hint="cs"/>
          <w:rtl/>
        </w:rPr>
        <w:t>ו</w:t>
      </w:r>
      <w:r>
        <w:rPr>
          <w:rFonts w:hint="cs"/>
          <w:rtl/>
        </w:rPr>
        <w:t xml:space="preserve">ת רוחב על מתדיינים רבים נוספים, כמו גם על גורמי המדינה ומערכת בתי המשפט. בכגון דא, מחמת המורכבות והרגישות המובנת, יש מקום לצמצום סמכות הביקורת העקיפה, בערכאות הדיוניות (עניין </w:t>
      </w:r>
      <w:r w:rsidRPr="00DB5FE1">
        <w:rPr>
          <w:rFonts w:ascii="Century" w:hAnsi="Century" w:cs="Miriam" w:hint="cs"/>
          <w:b/>
          <w:spacing w:val="0"/>
          <w:sz w:val="22"/>
          <w:szCs w:val="24"/>
          <w:rtl/>
        </w:rPr>
        <w:t>אור עקיבא</w:t>
      </w:r>
      <w:r>
        <w:rPr>
          <w:rFonts w:hint="cs"/>
          <w:rtl/>
        </w:rPr>
        <w:t xml:space="preserve">, פסקה 20; </w:t>
      </w:r>
      <w:r w:rsidRPr="00DB5FE1">
        <w:rPr>
          <w:rFonts w:ascii="Century" w:hAnsi="Century" w:cs="Miriam" w:hint="cs"/>
          <w:b/>
          <w:spacing w:val="0"/>
          <w:sz w:val="22"/>
          <w:szCs w:val="24"/>
          <w:rtl/>
        </w:rPr>
        <w:t>זמיר</w:t>
      </w:r>
      <w:r>
        <w:rPr>
          <w:rFonts w:hint="cs"/>
          <w:rtl/>
        </w:rPr>
        <w:t xml:space="preserve">, עמוד 2688). </w:t>
      </w:r>
      <w:r w:rsidRPr="006E16B8">
        <w:rPr>
          <w:rFonts w:ascii="Century" w:hAnsi="Century" w:cs="Miriam" w:hint="cs"/>
          <w:b/>
          <w:spacing w:val="0"/>
          <w:sz w:val="22"/>
          <w:szCs w:val="24"/>
          <w:rtl/>
        </w:rPr>
        <w:t>שלישית</w:t>
      </w:r>
      <w:r>
        <w:rPr>
          <w:rFonts w:hint="cs"/>
          <w:rtl/>
        </w:rPr>
        <w:t xml:space="preserve">, הכרעה אגבית בשאלת חוקתיותו של סעיף 5ב(א)(1) לחוק, מחייבת, כאמור, אך ורק את הצדדים להליך, ורק ביחס לאותו עניין; מכאן החשש להכרעות סותרות, על כל המשתמע </w:t>
      </w:r>
      <w:r w:rsidRPr="00A604AD">
        <w:rPr>
          <w:rFonts w:hint="cs"/>
          <w:rtl/>
        </w:rPr>
        <w:t>מכך (עניין</w:t>
      </w:r>
      <w:r w:rsidRPr="00A604AD">
        <w:rPr>
          <w:rFonts w:ascii="Century" w:hAnsi="Century" w:cs="Miriam" w:hint="cs"/>
          <w:b/>
          <w:spacing w:val="0"/>
          <w:sz w:val="22"/>
          <w:szCs w:val="24"/>
          <w:rtl/>
        </w:rPr>
        <w:t xml:space="preserve"> אור עקיבא</w:t>
      </w:r>
      <w:r w:rsidRPr="00A604AD">
        <w:rPr>
          <w:rFonts w:hint="cs"/>
          <w:rtl/>
        </w:rPr>
        <w:t xml:space="preserve">, פסקה 23; </w:t>
      </w:r>
      <w:r w:rsidRPr="00A604AD">
        <w:rPr>
          <w:rFonts w:ascii="Century" w:hAnsi="Century" w:cs="Miriam" w:hint="cs"/>
          <w:b/>
          <w:spacing w:val="0"/>
          <w:sz w:val="22"/>
          <w:szCs w:val="24"/>
          <w:rtl/>
        </w:rPr>
        <w:t>זמיר</w:t>
      </w:r>
      <w:r w:rsidRPr="00A604AD">
        <w:rPr>
          <w:rFonts w:hint="cs"/>
          <w:rtl/>
        </w:rPr>
        <w:t>,</w:t>
      </w:r>
      <w:r>
        <w:rPr>
          <w:rFonts w:hint="cs"/>
          <w:rtl/>
        </w:rPr>
        <w:t xml:space="preserve"> </w:t>
      </w:r>
      <w:r>
        <w:rPr>
          <w:rFonts w:hint="cs"/>
          <w:rtl/>
        </w:rPr>
        <w:lastRenderedPageBreak/>
        <w:t>עמוד</w:t>
      </w:r>
      <w:r w:rsidRPr="00A604AD">
        <w:rPr>
          <w:rFonts w:hint="cs"/>
          <w:rtl/>
        </w:rPr>
        <w:t xml:space="preserve"> 2688-2688). אמת נכון הדבר, בענייננו ני</w:t>
      </w:r>
      <w:r>
        <w:rPr>
          <w:rFonts w:hint="cs"/>
          <w:rtl/>
        </w:rPr>
        <w:t xml:space="preserve">טל העוקץ במידת-מה משיקול זה, משעה שההכרעה בשאלה החוקתית התגלגלה לבסוף לבית משפט זה, במסגרת ערעור אזרחי </w:t>
      </w:r>
      <w:r>
        <w:rPr>
          <w:rtl/>
        </w:rPr>
        <w:t>–</w:t>
      </w:r>
      <w:r>
        <w:rPr>
          <w:rFonts w:hint="cs"/>
          <w:rtl/>
        </w:rPr>
        <w:t xml:space="preserve"> שאז מעמדה עשוי 'להשתדרג' לכדי תקדים מחייב. יחד עם זאת, בבואנו לבחון האם קיים חשש להכרעות סותרות, עלינו להרחיק מבטנו, אל מעבר לנסיבות התיק הפרטני שלפנינו. כאמור לעיל, בהחלט יתכנו מצבים שבהם תקיפה עקיפה שהחלה את דרכה בערכאה הדיונית, לא תעפיל לערכאת הערעור, שהרי הדבר תלוי בעיקרו של דבר במתדיינים עצמם; ברצותם </w:t>
      </w:r>
      <w:r>
        <w:rPr>
          <w:rtl/>
        </w:rPr>
        <w:t>–</w:t>
      </w:r>
      <w:r w:rsidR="00D705BF">
        <w:rPr>
          <w:rFonts w:hint="cs"/>
          <w:rtl/>
        </w:rPr>
        <w:t xml:space="preserve"> מערערים, </w:t>
      </w:r>
      <w:r>
        <w:rPr>
          <w:rFonts w:hint="cs"/>
          <w:rtl/>
        </w:rPr>
        <w:t xml:space="preserve">ברצותם </w:t>
      </w:r>
      <w:r>
        <w:rPr>
          <w:rtl/>
        </w:rPr>
        <w:t>–</w:t>
      </w:r>
      <w:r w:rsidR="006D2A40">
        <w:rPr>
          <w:rFonts w:hint="cs"/>
          <w:rtl/>
        </w:rPr>
        <w:t xml:space="preserve"> </w:t>
      </w:r>
      <w:r>
        <w:rPr>
          <w:rFonts w:hint="cs"/>
          <w:rtl/>
        </w:rPr>
        <w:t>משלימים</w:t>
      </w:r>
      <w:r w:rsidR="006D2A40">
        <w:rPr>
          <w:rFonts w:hint="cs"/>
          <w:rtl/>
        </w:rPr>
        <w:t xml:space="preserve"> (עם פסק הדין)</w:t>
      </w:r>
      <w:r>
        <w:rPr>
          <w:rFonts w:hint="cs"/>
          <w:rtl/>
        </w:rPr>
        <w:t xml:space="preserve">. על כן, במישור העקרוני, החשש מפני הכרעות סותרות </w:t>
      </w:r>
      <w:r>
        <w:rPr>
          <w:rtl/>
        </w:rPr>
        <w:t>–</w:t>
      </w:r>
      <w:r>
        <w:rPr>
          <w:rFonts w:hint="cs"/>
          <w:rtl/>
        </w:rPr>
        <w:t xml:space="preserve"> עודנו שריר וקיים. מעבר לכך, את השאלה האם לאפשר 'תקיפה עקיפה' של חוק ראשי של הכנסת, נדרש לעורר כבר מלכתחילה, בשלב בירור ההליך בערכאה הדיונית; כאשר כלל לא ידוע אם אכן יוגש ערעור בפועל. קביעה </w:t>
      </w:r>
      <w:r w:rsidR="006D2A40">
        <w:rPr>
          <w:rFonts w:hint="cs"/>
          <w:rtl/>
        </w:rPr>
        <w:t xml:space="preserve">לפיה </w:t>
      </w:r>
      <w:r>
        <w:rPr>
          <w:rFonts w:hint="cs"/>
          <w:rtl/>
        </w:rPr>
        <w:t xml:space="preserve">כביכול אין חשש מפני הכרעות סותרות, משום שקיים סיכוי שיוגש ערעור בעתיד </w:t>
      </w:r>
      <w:r>
        <w:rPr>
          <w:rtl/>
        </w:rPr>
        <w:t>–</w:t>
      </w:r>
      <w:r>
        <w:rPr>
          <w:rFonts w:hint="cs"/>
          <w:rtl/>
        </w:rPr>
        <w:t xml:space="preserve"> אינה אלא הנחת המבוקש </w:t>
      </w:r>
      <w:r w:rsidRPr="00C65AE6">
        <w:rPr>
          <w:rFonts w:ascii="Century" w:hAnsi="Century" w:hint="cs"/>
          <w:sz w:val="22"/>
          <w:rtl/>
        </w:rPr>
        <w:t>(אולם, ראו והשוו לדברי השופטת</w:t>
      </w:r>
      <w:r>
        <w:rPr>
          <w:rFonts w:hint="cs"/>
          <w:rtl/>
        </w:rPr>
        <w:t xml:space="preserve"> </w:t>
      </w:r>
      <w:r w:rsidRPr="00213861">
        <w:rPr>
          <w:rFonts w:ascii="Century" w:hAnsi="Century" w:cs="Miriam" w:hint="cs"/>
          <w:b/>
          <w:spacing w:val="0"/>
          <w:sz w:val="22"/>
          <w:szCs w:val="24"/>
          <w:rtl/>
        </w:rPr>
        <w:t>ד' ברק-ארז</w:t>
      </w:r>
      <w:r>
        <w:rPr>
          <w:rFonts w:hint="cs"/>
          <w:rtl/>
        </w:rPr>
        <w:t xml:space="preserve"> בעניין </w:t>
      </w:r>
      <w:r w:rsidRPr="00CD0EAA">
        <w:rPr>
          <w:rFonts w:ascii="Century" w:hAnsi="Century" w:cs="Miriam" w:hint="cs"/>
          <w:b/>
          <w:spacing w:val="0"/>
          <w:sz w:val="22"/>
          <w:szCs w:val="24"/>
          <w:rtl/>
        </w:rPr>
        <w:t>אבו פריח</w:t>
      </w:r>
      <w:r>
        <w:rPr>
          <w:rFonts w:hint="cs"/>
          <w:rtl/>
        </w:rPr>
        <w:t xml:space="preserve">, פסקה 19; מנגד, ראו ביקורתו של </w:t>
      </w:r>
      <w:r w:rsidRPr="00CD0EAA">
        <w:rPr>
          <w:rFonts w:ascii="Century" w:hAnsi="Century" w:cs="Miriam" w:hint="cs"/>
          <w:b/>
          <w:spacing w:val="0"/>
          <w:sz w:val="22"/>
          <w:szCs w:val="24"/>
          <w:rtl/>
        </w:rPr>
        <w:t>זמיר</w:t>
      </w:r>
      <w:r>
        <w:rPr>
          <w:rFonts w:hint="cs"/>
          <w:rtl/>
        </w:rPr>
        <w:t xml:space="preserve">, עמוד 2654, בעניין זה). </w:t>
      </w:r>
    </w:p>
    <w:p w:rsidR="00D512D4" w:rsidRPr="004068DE" w:rsidRDefault="00D512D4" w:rsidP="00944FC1">
      <w:pPr>
        <w:pStyle w:val="Ruller41"/>
        <w:spacing w:line="240" w:lineRule="auto"/>
      </w:pPr>
    </w:p>
    <w:p w:rsidR="00D512D4" w:rsidRDefault="00D512D4" w:rsidP="006D2A40">
      <w:pPr>
        <w:pStyle w:val="Ruller4"/>
        <w:rPr>
          <w:rtl/>
        </w:rPr>
      </w:pPr>
      <w:r>
        <w:rPr>
          <w:rFonts w:hint="cs"/>
          <w:rtl/>
        </w:rPr>
        <w:t>הנה</w:t>
      </w:r>
      <w:r w:rsidR="006D2A40">
        <w:rPr>
          <w:rFonts w:hint="cs"/>
          <w:rtl/>
        </w:rPr>
        <w:t xml:space="preserve"> </w:t>
      </w:r>
      <w:r>
        <w:rPr>
          <w:rFonts w:hint="cs"/>
          <w:rtl/>
        </w:rPr>
        <w:t>כי</w:t>
      </w:r>
      <w:r w:rsidR="006D2A40">
        <w:rPr>
          <w:rFonts w:hint="cs"/>
          <w:rtl/>
        </w:rPr>
        <w:t xml:space="preserve"> </w:t>
      </w:r>
      <w:r>
        <w:rPr>
          <w:rFonts w:hint="cs"/>
          <w:rtl/>
        </w:rPr>
        <w:t xml:space="preserve">כן, ההכרעה בענייננו אינה חד-משמעית. יחד עם זאת, שני שיקולים שטרם ציינתי, הובילוני למסקנה, כי אין מקום לחסום את דרכו של המערער, מלברר את טענתו החוקתית במקרה זה, במסגרת תקיפה עקיפה. הטעם הראשון נעוץ בכך שהמשיבות לא העלו בשום שלב </w:t>
      </w:r>
      <w:r>
        <w:rPr>
          <w:rtl/>
        </w:rPr>
        <w:t>–</w:t>
      </w:r>
      <w:r>
        <w:rPr>
          <w:rFonts w:hint="cs"/>
          <w:rtl/>
        </w:rPr>
        <w:t xml:space="preserve"> גם לא עתה, בהליך הערעור </w:t>
      </w:r>
      <w:r>
        <w:rPr>
          <w:rtl/>
        </w:rPr>
        <w:t>–</w:t>
      </w:r>
      <w:r>
        <w:rPr>
          <w:rFonts w:hint="cs"/>
          <w:rtl/>
        </w:rPr>
        <w:t xml:space="preserve"> את הטענה שלפיה אין מקום לקיים ביקורת שיפוטית עקיפה בחוקתיותו של סעיף 5ב(א)(1) לחוק. אמנם, מדובר בשאלה של סמכות, שאותה רשאי בית המשפט לעורר בעצמו; אך מקום שבו מדובר במקרה מורכב וגבולי, הטומן בחובו שיקולים לכאן ולכאן, ומשהמשיבות לא העלו טענה זו מיוזמת</w:t>
      </w:r>
      <w:r w:rsidR="006D2A40">
        <w:rPr>
          <w:rFonts w:hint="cs"/>
          <w:rtl/>
        </w:rPr>
        <w:t>ן</w:t>
      </w:r>
      <w:r>
        <w:rPr>
          <w:rFonts w:hint="cs"/>
          <w:rtl/>
        </w:rPr>
        <w:t xml:space="preserve">, לא מצאתי לנכון לקבוע כי זהו אחד מן המקרים החריגים, שבהם בית המשפט יטען זאת עבורן, בבחינת 'את פתח לו' (ראו: </w:t>
      </w:r>
      <w:r w:rsidRPr="007313CF">
        <w:rPr>
          <w:rFonts w:hint="eastAsia"/>
          <w:rtl/>
        </w:rPr>
        <w:t>רע</w:t>
      </w:r>
      <w:r w:rsidRPr="007313CF">
        <w:rPr>
          <w:rtl/>
        </w:rPr>
        <w:t>"</w:t>
      </w:r>
      <w:r w:rsidRPr="007313CF">
        <w:rPr>
          <w:rFonts w:hint="eastAsia"/>
          <w:rtl/>
        </w:rPr>
        <w:t>פ</w:t>
      </w:r>
      <w:r w:rsidRPr="007313CF">
        <w:rPr>
          <w:rtl/>
        </w:rPr>
        <w:t xml:space="preserve"> 7052</w:t>
      </w:r>
      <w:r>
        <w:rPr>
          <w:rFonts w:hint="cs"/>
          <w:rtl/>
        </w:rPr>
        <w:t>/</w:t>
      </w:r>
      <w:r w:rsidRPr="007313CF">
        <w:rPr>
          <w:rtl/>
        </w:rPr>
        <w:t xml:space="preserve">18 </w:t>
      </w:r>
      <w:r w:rsidRPr="007313CF">
        <w:rPr>
          <w:rFonts w:ascii="Century" w:hAnsi="Century" w:cs="Miriam" w:hint="eastAsia"/>
          <w:b/>
          <w:spacing w:val="0"/>
          <w:sz w:val="22"/>
          <w:szCs w:val="24"/>
          <w:rtl/>
        </w:rPr>
        <w:t>מדינת</w:t>
      </w:r>
      <w:r w:rsidRPr="007313CF">
        <w:rPr>
          <w:rFonts w:ascii="Century" w:hAnsi="Century" w:cs="Miriam"/>
          <w:b/>
          <w:spacing w:val="0"/>
          <w:sz w:val="22"/>
          <w:szCs w:val="24"/>
          <w:rtl/>
        </w:rPr>
        <w:t xml:space="preserve"> </w:t>
      </w:r>
      <w:r w:rsidRPr="007313CF">
        <w:rPr>
          <w:rFonts w:ascii="Century" w:hAnsi="Century" w:cs="Miriam" w:hint="eastAsia"/>
          <w:b/>
          <w:spacing w:val="0"/>
          <w:sz w:val="22"/>
          <w:szCs w:val="24"/>
          <w:rtl/>
        </w:rPr>
        <w:t>ישראל</w:t>
      </w:r>
      <w:r w:rsidRPr="007313CF">
        <w:rPr>
          <w:rFonts w:ascii="Century" w:hAnsi="Century" w:cs="Miriam"/>
          <w:b/>
          <w:spacing w:val="0"/>
          <w:sz w:val="22"/>
          <w:szCs w:val="24"/>
          <w:rtl/>
        </w:rPr>
        <w:t xml:space="preserve"> </w:t>
      </w:r>
      <w:r w:rsidRPr="007313CF">
        <w:rPr>
          <w:rFonts w:ascii="Century" w:hAnsi="Century" w:cs="Miriam" w:hint="eastAsia"/>
          <w:b/>
          <w:spacing w:val="0"/>
          <w:sz w:val="22"/>
          <w:szCs w:val="24"/>
          <w:rtl/>
        </w:rPr>
        <w:t>נ</w:t>
      </w:r>
      <w:r w:rsidRPr="007313CF">
        <w:rPr>
          <w:rFonts w:ascii="Century" w:hAnsi="Century" w:cs="Miriam"/>
          <w:b/>
          <w:spacing w:val="0"/>
          <w:sz w:val="22"/>
          <w:szCs w:val="24"/>
          <w:rtl/>
        </w:rPr>
        <w:t xml:space="preserve">' </w:t>
      </w:r>
      <w:r w:rsidRPr="007313CF">
        <w:rPr>
          <w:rFonts w:ascii="Century" w:hAnsi="Century" w:cs="Miriam" w:hint="eastAsia"/>
          <w:b/>
          <w:spacing w:val="0"/>
          <w:sz w:val="22"/>
          <w:szCs w:val="24"/>
          <w:rtl/>
        </w:rPr>
        <w:t>רותם</w:t>
      </w:r>
      <w:r>
        <w:rPr>
          <w:rFonts w:hint="cs"/>
          <w:rtl/>
        </w:rPr>
        <w:t xml:space="preserve">, פסקה 77 (5.5.2020); </w:t>
      </w:r>
      <w:r w:rsidRPr="00F54D17">
        <w:rPr>
          <w:rFonts w:hint="eastAsia"/>
          <w:rtl/>
        </w:rPr>
        <w:t>רע</w:t>
      </w:r>
      <w:r w:rsidRPr="00F54D17">
        <w:rPr>
          <w:rtl/>
        </w:rPr>
        <w:t>"</w:t>
      </w:r>
      <w:r w:rsidRPr="00F54D17">
        <w:rPr>
          <w:rFonts w:hint="eastAsia"/>
          <w:rtl/>
        </w:rPr>
        <w:t>א</w:t>
      </w:r>
      <w:r w:rsidRPr="00F54D17">
        <w:rPr>
          <w:rtl/>
        </w:rPr>
        <w:t xml:space="preserve"> 9138</w:t>
      </w:r>
      <w:r>
        <w:rPr>
          <w:rFonts w:hint="cs"/>
          <w:rtl/>
        </w:rPr>
        <w:t>/</w:t>
      </w:r>
      <w:r w:rsidRPr="00F54D17">
        <w:rPr>
          <w:rtl/>
        </w:rPr>
        <w:t xml:space="preserve">20 </w:t>
      </w:r>
      <w:r w:rsidRPr="00F54D17">
        <w:rPr>
          <w:rFonts w:ascii="Century" w:hAnsi="Century" w:cs="Miriam" w:hint="eastAsia"/>
          <w:b/>
          <w:spacing w:val="0"/>
          <w:sz w:val="22"/>
          <w:szCs w:val="24"/>
          <w:rtl/>
        </w:rPr>
        <w:t>פיסטול</w:t>
      </w:r>
      <w:r w:rsidRPr="00F54D17">
        <w:rPr>
          <w:rFonts w:ascii="Century" w:hAnsi="Century" w:cs="Miriam"/>
          <w:b/>
          <w:spacing w:val="0"/>
          <w:sz w:val="22"/>
          <w:szCs w:val="24"/>
          <w:rtl/>
        </w:rPr>
        <w:t xml:space="preserve"> </w:t>
      </w:r>
      <w:r w:rsidRPr="00F54D17">
        <w:rPr>
          <w:rFonts w:ascii="Century" w:hAnsi="Century" w:cs="Miriam" w:hint="eastAsia"/>
          <w:b/>
          <w:spacing w:val="0"/>
          <w:sz w:val="22"/>
          <w:szCs w:val="24"/>
          <w:rtl/>
        </w:rPr>
        <w:t>נ</w:t>
      </w:r>
      <w:r w:rsidRPr="00F54D17">
        <w:rPr>
          <w:rFonts w:ascii="Century" w:hAnsi="Century" w:cs="Miriam"/>
          <w:b/>
          <w:spacing w:val="0"/>
          <w:sz w:val="22"/>
          <w:szCs w:val="24"/>
          <w:rtl/>
        </w:rPr>
        <w:t xml:space="preserve">' </w:t>
      </w:r>
      <w:r w:rsidRPr="00F54D17">
        <w:rPr>
          <w:rFonts w:ascii="Century" w:hAnsi="Century" w:cs="Miriam" w:hint="eastAsia"/>
          <w:b/>
          <w:spacing w:val="0"/>
          <w:sz w:val="22"/>
          <w:szCs w:val="24"/>
          <w:rtl/>
        </w:rPr>
        <w:t>שמעון</w:t>
      </w:r>
      <w:r>
        <w:rPr>
          <w:rFonts w:hint="cs"/>
          <w:rtl/>
        </w:rPr>
        <w:t xml:space="preserve">, פסקאות 15-14 (7.2.2021)). הטעם השני, והוא עיקר, נוגע לדברי הנשיא </w:t>
      </w:r>
      <w:r w:rsidRPr="00C65AE6">
        <w:rPr>
          <w:rFonts w:ascii="Century" w:hAnsi="Century" w:cs="Miriam" w:hint="cs"/>
          <w:b/>
          <w:spacing w:val="0"/>
          <w:sz w:val="22"/>
          <w:szCs w:val="24"/>
          <w:rtl/>
        </w:rPr>
        <w:t>ברק</w:t>
      </w:r>
      <w:r>
        <w:rPr>
          <w:rFonts w:hint="cs"/>
          <w:rtl/>
        </w:rPr>
        <w:t xml:space="preserve"> בעניין </w:t>
      </w:r>
      <w:r w:rsidRPr="00F54D17">
        <w:rPr>
          <w:rFonts w:ascii="Century" w:hAnsi="Century" w:cs="Miriam" w:hint="cs"/>
          <w:b/>
          <w:spacing w:val="0"/>
          <w:sz w:val="22"/>
          <w:szCs w:val="24"/>
          <w:rtl/>
        </w:rPr>
        <w:t>עדאלה</w:t>
      </w:r>
      <w:r>
        <w:rPr>
          <w:rFonts w:hint="cs"/>
          <w:rtl/>
        </w:rPr>
        <w:t xml:space="preserve">; גם באותו עניין, נתבקש בית משפט זה לפסול את </w:t>
      </w:r>
      <w:r>
        <w:rPr>
          <w:rFonts w:hint="cs"/>
          <w:rtl/>
        </w:rPr>
        <w:lastRenderedPageBreak/>
        <w:t xml:space="preserve">סעיף 5ב לחוק, בנוסחו אז. הנשיא </w:t>
      </w:r>
      <w:r w:rsidRPr="00C65AE6">
        <w:rPr>
          <w:rFonts w:ascii="Century" w:hAnsi="Century" w:cs="Miriam" w:hint="cs"/>
          <w:b/>
          <w:spacing w:val="0"/>
          <w:sz w:val="22"/>
          <w:szCs w:val="24"/>
          <w:rtl/>
        </w:rPr>
        <w:t>ברק</w:t>
      </w:r>
      <w:r>
        <w:rPr>
          <w:rFonts w:hint="cs"/>
          <w:rtl/>
        </w:rPr>
        <w:t xml:space="preserve"> הותיר את ההכרעה בשאלה האמורה לעת מצוא, והוסיף וציין את הדברים הבאים: </w:t>
      </w:r>
    </w:p>
    <w:p w:rsidR="00D512D4" w:rsidRDefault="00D512D4" w:rsidP="00D512D4">
      <w:pPr>
        <w:pStyle w:val="Ruller41"/>
        <w:rPr>
          <w:rtl/>
        </w:rPr>
      </w:pPr>
    </w:p>
    <w:p w:rsidR="00D512D4" w:rsidRPr="00C65AE6" w:rsidRDefault="00D512D4" w:rsidP="00DC2820">
      <w:pPr>
        <w:pStyle w:val="Ruller5"/>
        <w:spacing w:line="360" w:lineRule="auto"/>
        <w:rPr>
          <w:rFonts w:ascii="FrankRuehl" w:hAnsi="FrankRuehl"/>
          <w:b/>
          <w:spacing w:val="0"/>
          <w:sz w:val="28"/>
          <w:rtl/>
        </w:rPr>
      </w:pPr>
      <w:r w:rsidRPr="00B93DE4">
        <w:rPr>
          <w:rFonts w:ascii="Century" w:hAnsi="Century" w:cs="Miriam"/>
          <w:b/>
          <w:spacing w:val="0"/>
          <w:szCs w:val="24"/>
          <w:rtl/>
        </w:rPr>
        <w:t>"שאלת חוקתיותו של </w:t>
      </w:r>
      <w:r w:rsidRPr="00DC2820">
        <w:rPr>
          <w:rFonts w:ascii="Century" w:hAnsi="Century" w:cs="Miriam"/>
          <w:spacing w:val="0"/>
          <w:szCs w:val="24"/>
          <w:rtl/>
        </w:rPr>
        <w:t>סעיף 5ב</w:t>
      </w:r>
      <w:r w:rsidRPr="00B93DE4">
        <w:rPr>
          <w:rFonts w:ascii="Century" w:hAnsi="Century" w:cs="Miriam"/>
          <w:b/>
          <w:spacing w:val="0"/>
          <w:szCs w:val="24"/>
        </w:rPr>
        <w:t> </w:t>
      </w:r>
      <w:r w:rsidRPr="00B93DE4">
        <w:rPr>
          <w:rFonts w:ascii="Century" w:hAnsi="Century" w:cs="Miriam"/>
          <w:b/>
          <w:spacing w:val="0"/>
          <w:szCs w:val="24"/>
          <w:rtl/>
        </w:rPr>
        <w:t>לתיקון מס' 7 עלתה בפנינו באופן שולי בלבד. הצדדים מיקדו עיקר טענותיהם בהוראותיו של סעיף 5ג. הם לא הרחיבו בעניינו של סעיף 5ב. לא הובאו בפנינו מקרים בהם התעוררה שאלת תחולתו. בכל אלה יש כדי להשליך על שאלת חוקתיותו של הסעיף. בנסיבות אלה, וכל עוד לא התלבנו שאלות אלה כל צרכן, טרם בשלה העת להכריע בחוקתיותו של סעיף 5ב. הרבה תלוי באופן יישומו ובפירוש שיוענק להוראות הסעיף. כך, למשל, לא שמענו טיעונים בשאלה האם פירושו הנכון של הסעיף כולל בחובו קשר סיבתי בין הפעילות והחברות בארגון המחבלים או בשליחותו לבין נזקם של הנפגעים. כמובן, שמורה זכותם של הצדדים להעלות טענותיהם לעניין חוקתיותו של </w:t>
      </w:r>
      <w:r w:rsidRPr="00DC2820">
        <w:rPr>
          <w:rFonts w:ascii="Century" w:hAnsi="Century" w:cs="Miriam"/>
          <w:spacing w:val="0"/>
          <w:szCs w:val="24"/>
          <w:rtl/>
        </w:rPr>
        <w:t>סעיף 5ב</w:t>
      </w:r>
      <w:r w:rsidRPr="00B93DE4">
        <w:rPr>
          <w:rFonts w:ascii="Century" w:hAnsi="Century" w:cs="Miriam"/>
          <w:b/>
          <w:spacing w:val="0"/>
          <w:szCs w:val="24"/>
        </w:rPr>
        <w:t> </w:t>
      </w:r>
      <w:r w:rsidRPr="00B93DE4">
        <w:rPr>
          <w:rFonts w:ascii="Century" w:hAnsi="Century" w:cs="Miriam"/>
          <w:b/>
          <w:spacing w:val="0"/>
          <w:szCs w:val="24"/>
          <w:rtl/>
        </w:rPr>
        <w:t xml:space="preserve">ככל שהיא תתעורר בהקשרם של מקרים ספציפיים. </w:t>
      </w:r>
      <w:r w:rsidRPr="00B93DE4">
        <w:rPr>
          <w:rFonts w:ascii="Century" w:hAnsi="Century" w:cs="Miriam"/>
          <w:b/>
          <w:spacing w:val="0"/>
          <w:sz w:val="24"/>
          <w:szCs w:val="24"/>
          <w:u w:val="single"/>
          <w:rtl/>
        </w:rPr>
        <w:t>בתי המשפט האזרחיים מוסמכים, במסגרתן של תביעות נזיקין ספציפיות, לבחון טענות כנגד חוקתיות הסעיף</w:t>
      </w:r>
      <w:r w:rsidRPr="00B93DE4">
        <w:rPr>
          <w:rFonts w:ascii="Century" w:hAnsi="Century" w:cs="Miriam"/>
          <w:b/>
          <w:spacing w:val="0"/>
          <w:szCs w:val="24"/>
          <w:rtl/>
        </w:rPr>
        <w:t>. בנסיבות העניין, לא ראינו מקום להכריע בשאלת חוקתיותו של </w:t>
      </w:r>
      <w:hyperlink w:history="1">
        <w:r w:rsidRPr="00B93DE4">
          <w:rPr>
            <w:rFonts w:ascii="Century" w:hAnsi="Century" w:cs="Miriam"/>
            <w:b/>
            <w:spacing w:val="0"/>
            <w:szCs w:val="24"/>
            <w:rtl/>
          </w:rPr>
          <w:t>סעיף 5ב</w:t>
        </w:r>
      </w:hyperlink>
      <w:r w:rsidRPr="00B93DE4">
        <w:rPr>
          <w:rFonts w:ascii="Century" w:hAnsi="Century" w:cs="Miriam"/>
          <w:b/>
          <w:spacing w:val="0"/>
          <w:szCs w:val="24"/>
        </w:rPr>
        <w:t> </w:t>
      </w:r>
      <w:r w:rsidRPr="00B93DE4">
        <w:rPr>
          <w:rFonts w:ascii="Century" w:hAnsi="Century" w:cs="Miriam"/>
          <w:b/>
          <w:spacing w:val="0"/>
          <w:szCs w:val="24"/>
          <w:rtl/>
        </w:rPr>
        <w:t>לתיקון מס' 7"</w:t>
      </w:r>
      <w:r w:rsidRPr="00B93DE4">
        <w:rPr>
          <w:rFonts w:ascii="Century" w:hAnsi="Century" w:cs="Miriam"/>
          <w:b/>
          <w:spacing w:val="0"/>
          <w:sz w:val="24"/>
          <w:szCs w:val="24"/>
          <w:rtl/>
        </w:rPr>
        <w:t xml:space="preserve"> </w:t>
      </w:r>
      <w:r w:rsidRPr="00B93DE4">
        <w:rPr>
          <w:rFonts w:ascii="Century" w:hAnsi="Century"/>
          <w:rtl/>
        </w:rPr>
        <w:t xml:space="preserve">(עניין </w:t>
      </w:r>
      <w:r w:rsidRPr="00237959">
        <w:rPr>
          <w:rFonts w:ascii="Century" w:hAnsi="Century" w:cs="Miriam" w:hint="eastAsia"/>
          <w:b/>
          <w:spacing w:val="0"/>
          <w:szCs w:val="24"/>
          <w:rtl/>
        </w:rPr>
        <w:t>עדאלה</w:t>
      </w:r>
      <w:r w:rsidRPr="00B93DE4">
        <w:rPr>
          <w:rFonts w:ascii="Century" w:hAnsi="Century"/>
          <w:rtl/>
        </w:rPr>
        <w:t>, פסקה 31) (ההדגשה הוספה – נ' ס')</w:t>
      </w:r>
      <w:r w:rsidRPr="00C65AE6">
        <w:rPr>
          <w:rFonts w:ascii="FrankRuehl" w:hAnsi="FrankRuehl"/>
          <w:b/>
          <w:spacing w:val="0"/>
          <w:sz w:val="28"/>
          <w:rtl/>
        </w:rPr>
        <w:t>.</w:t>
      </w:r>
    </w:p>
    <w:p w:rsidR="00D512D4" w:rsidRPr="00F54D17" w:rsidRDefault="00D512D4" w:rsidP="00653268">
      <w:pPr>
        <w:pStyle w:val="Ruller41"/>
        <w:spacing w:line="240" w:lineRule="auto"/>
      </w:pPr>
    </w:p>
    <w:p w:rsidR="00D512D4" w:rsidRDefault="00D512D4" w:rsidP="00D05D03">
      <w:pPr>
        <w:pStyle w:val="Ruller4"/>
        <w:rPr>
          <w:rtl/>
        </w:rPr>
      </w:pPr>
      <w:r>
        <w:rPr>
          <w:rFonts w:hint="cs"/>
          <w:rtl/>
        </w:rPr>
        <w:t xml:space="preserve">כאמור, כשלעצמי, הגם שבמישור העקרוני ניתנה רשות לכלל הערכאות השיפוטיות לקבוע, כי חוק ראשי של הכנסת אינו חוקתי, אם הדבר עלה במסגרת 'תקיפה עקיפה', הרי שבמישור שיקול הדעת הדברים סבוכים יותר (למקרים </w:t>
      </w:r>
      <w:r w:rsidRPr="00213861">
        <w:rPr>
          <w:rFonts w:hint="cs"/>
          <w:rtl/>
        </w:rPr>
        <w:t xml:space="preserve">אחרים, </w:t>
      </w:r>
      <w:r>
        <w:rPr>
          <w:rFonts w:hint="cs"/>
          <w:rtl/>
        </w:rPr>
        <w:t>ש</w:t>
      </w:r>
      <w:r w:rsidRPr="00213861">
        <w:rPr>
          <w:rFonts w:hint="cs"/>
          <w:rtl/>
        </w:rPr>
        <w:t xml:space="preserve">בהם הופנו עותרים למסלול של 'תקיפה </w:t>
      </w:r>
      <w:r w:rsidR="00D05D03">
        <w:rPr>
          <w:rFonts w:hint="cs"/>
          <w:rtl/>
        </w:rPr>
        <w:t>עקיפה</w:t>
      </w:r>
      <w:r w:rsidRPr="00213861">
        <w:rPr>
          <w:rFonts w:hint="cs"/>
          <w:rtl/>
        </w:rPr>
        <w:t>', ב</w:t>
      </w:r>
      <w:r>
        <w:rPr>
          <w:rFonts w:hint="cs"/>
          <w:rtl/>
        </w:rPr>
        <w:t xml:space="preserve">התייחס </w:t>
      </w:r>
      <w:r w:rsidRPr="00213861">
        <w:rPr>
          <w:rFonts w:hint="cs"/>
          <w:rtl/>
        </w:rPr>
        <w:t>לטענת אי-חוקתיות</w:t>
      </w:r>
      <w:r>
        <w:rPr>
          <w:rFonts w:hint="cs"/>
          <w:rtl/>
        </w:rPr>
        <w:t xml:space="preserve"> של חוק או תקנות שהועלתה על-ידם, ראו, למשל: </w:t>
      </w:r>
      <w:r w:rsidRPr="00840FE3">
        <w:rPr>
          <w:rFonts w:hint="eastAsia"/>
          <w:rtl/>
        </w:rPr>
        <w:t>בג</w:t>
      </w:r>
      <w:r w:rsidR="006D2A40">
        <w:rPr>
          <w:rFonts w:hint="cs"/>
          <w:rtl/>
        </w:rPr>
        <w:t>"</w:t>
      </w:r>
      <w:r w:rsidRPr="00840FE3">
        <w:rPr>
          <w:rFonts w:hint="eastAsia"/>
          <w:rtl/>
        </w:rPr>
        <w:t>ץ</w:t>
      </w:r>
      <w:r w:rsidRPr="00840FE3">
        <w:rPr>
          <w:rtl/>
        </w:rPr>
        <w:t xml:space="preserve"> 2055/02 </w:t>
      </w:r>
      <w:r w:rsidRPr="00840FE3">
        <w:rPr>
          <w:rFonts w:ascii="Century" w:hAnsi="Century" w:cs="Miriam" w:hint="eastAsia"/>
          <w:b/>
          <w:spacing w:val="0"/>
          <w:sz w:val="22"/>
          <w:szCs w:val="24"/>
          <w:rtl/>
        </w:rPr>
        <w:t>עבייד</w:t>
      </w:r>
      <w:r w:rsidRPr="00840FE3">
        <w:rPr>
          <w:rFonts w:ascii="Century" w:hAnsi="Century" w:cs="Miriam"/>
          <w:b/>
          <w:spacing w:val="0"/>
          <w:sz w:val="22"/>
          <w:szCs w:val="24"/>
          <w:rtl/>
        </w:rPr>
        <w:t xml:space="preserve"> </w:t>
      </w:r>
      <w:r w:rsidRPr="00840FE3">
        <w:rPr>
          <w:rFonts w:ascii="Century" w:hAnsi="Century" w:cs="Miriam" w:hint="eastAsia"/>
          <w:b/>
          <w:spacing w:val="0"/>
          <w:sz w:val="22"/>
          <w:szCs w:val="24"/>
          <w:rtl/>
        </w:rPr>
        <w:t>נ</w:t>
      </w:r>
      <w:r w:rsidRPr="00840FE3">
        <w:rPr>
          <w:rFonts w:ascii="Century" w:hAnsi="Century" w:cs="Miriam"/>
          <w:b/>
          <w:spacing w:val="0"/>
          <w:sz w:val="22"/>
          <w:szCs w:val="24"/>
          <w:rtl/>
        </w:rPr>
        <w:t xml:space="preserve">' </w:t>
      </w:r>
      <w:r w:rsidRPr="00840FE3">
        <w:rPr>
          <w:rFonts w:ascii="Century" w:hAnsi="Century" w:cs="Miriam" w:hint="eastAsia"/>
          <w:b/>
          <w:spacing w:val="0"/>
          <w:sz w:val="22"/>
          <w:szCs w:val="24"/>
          <w:rtl/>
        </w:rPr>
        <w:t>שר</w:t>
      </w:r>
      <w:r w:rsidRPr="00840FE3">
        <w:rPr>
          <w:rFonts w:ascii="Century" w:hAnsi="Century" w:cs="Miriam"/>
          <w:b/>
          <w:spacing w:val="0"/>
          <w:sz w:val="22"/>
          <w:szCs w:val="24"/>
          <w:rtl/>
        </w:rPr>
        <w:t xml:space="preserve"> </w:t>
      </w:r>
      <w:r w:rsidRPr="00840FE3">
        <w:rPr>
          <w:rFonts w:ascii="Century" w:hAnsi="Century" w:cs="Miriam" w:hint="eastAsia"/>
          <w:b/>
          <w:spacing w:val="0"/>
          <w:sz w:val="22"/>
          <w:szCs w:val="24"/>
          <w:rtl/>
        </w:rPr>
        <w:t>הבטחון</w:t>
      </w:r>
      <w:r>
        <w:rPr>
          <w:rFonts w:hint="cs"/>
          <w:rtl/>
        </w:rPr>
        <w:t xml:space="preserve"> (12.12.2002); בג"ץ 1431/05 </w:t>
      </w:r>
      <w:r w:rsidRPr="006E3DFD">
        <w:rPr>
          <w:rFonts w:ascii="Century" w:hAnsi="Century" w:cs="Miriam" w:hint="cs"/>
          <w:b/>
          <w:spacing w:val="0"/>
          <w:sz w:val="22"/>
          <w:szCs w:val="24"/>
          <w:rtl/>
        </w:rPr>
        <w:t>אוריאן נ' שר התחבורה</w:t>
      </w:r>
      <w:r>
        <w:rPr>
          <w:rFonts w:hint="cs"/>
          <w:rtl/>
        </w:rPr>
        <w:t xml:space="preserve"> (7.7.2005); בג"ץ 6090/08 </w:t>
      </w:r>
      <w:r w:rsidRPr="006E3DFD">
        <w:rPr>
          <w:rFonts w:ascii="Century" w:hAnsi="Century" w:cs="Miriam" w:hint="cs"/>
          <w:b/>
          <w:spacing w:val="0"/>
          <w:sz w:val="22"/>
          <w:szCs w:val="24"/>
          <w:rtl/>
        </w:rPr>
        <w:t>ברגר נ' שר המשפטים</w:t>
      </w:r>
      <w:r>
        <w:rPr>
          <w:rFonts w:hint="cs"/>
          <w:rtl/>
        </w:rPr>
        <w:t xml:space="preserve"> (11.8.2008); </w:t>
      </w:r>
      <w:r w:rsidRPr="0061199A">
        <w:rPr>
          <w:rFonts w:hint="eastAsia"/>
          <w:rtl/>
        </w:rPr>
        <w:t>בג</w:t>
      </w:r>
      <w:r w:rsidRPr="0061199A">
        <w:rPr>
          <w:rtl/>
        </w:rPr>
        <w:t>"</w:t>
      </w:r>
      <w:r w:rsidRPr="0061199A">
        <w:rPr>
          <w:rFonts w:hint="eastAsia"/>
          <w:rtl/>
        </w:rPr>
        <w:t>ץ</w:t>
      </w:r>
      <w:r w:rsidRPr="0061199A">
        <w:rPr>
          <w:rtl/>
        </w:rPr>
        <w:t xml:space="preserve"> 6972/07 </w:t>
      </w:r>
      <w:r w:rsidRPr="0061199A">
        <w:rPr>
          <w:rFonts w:ascii="Century" w:hAnsi="Century" w:cs="Miriam" w:hint="eastAsia"/>
          <w:b/>
          <w:spacing w:val="0"/>
          <w:sz w:val="22"/>
          <w:szCs w:val="24"/>
          <w:rtl/>
        </w:rPr>
        <w:t>לקסר</w:t>
      </w:r>
      <w:r w:rsidRPr="0061199A">
        <w:rPr>
          <w:rFonts w:ascii="Century" w:hAnsi="Century" w:cs="Miriam"/>
          <w:b/>
          <w:spacing w:val="0"/>
          <w:sz w:val="22"/>
          <w:szCs w:val="24"/>
          <w:rtl/>
        </w:rPr>
        <w:t xml:space="preserve"> </w:t>
      </w:r>
      <w:r w:rsidRPr="0061199A">
        <w:rPr>
          <w:rFonts w:ascii="Century" w:hAnsi="Century" w:cs="Miriam" w:hint="eastAsia"/>
          <w:b/>
          <w:spacing w:val="0"/>
          <w:sz w:val="22"/>
          <w:szCs w:val="24"/>
          <w:rtl/>
        </w:rPr>
        <w:t>נ</w:t>
      </w:r>
      <w:r w:rsidRPr="0061199A">
        <w:rPr>
          <w:rFonts w:ascii="Century" w:hAnsi="Century" w:cs="Miriam"/>
          <w:b/>
          <w:spacing w:val="0"/>
          <w:sz w:val="22"/>
          <w:szCs w:val="24"/>
          <w:rtl/>
        </w:rPr>
        <w:t xml:space="preserve">' </w:t>
      </w:r>
      <w:r w:rsidRPr="0061199A">
        <w:rPr>
          <w:rFonts w:ascii="Century" w:hAnsi="Century" w:cs="Miriam" w:hint="eastAsia"/>
          <w:b/>
          <w:spacing w:val="0"/>
          <w:sz w:val="22"/>
          <w:szCs w:val="24"/>
          <w:rtl/>
        </w:rPr>
        <w:t>שר</w:t>
      </w:r>
      <w:r w:rsidRPr="0061199A">
        <w:rPr>
          <w:rFonts w:ascii="Century" w:hAnsi="Century" w:cs="Miriam"/>
          <w:b/>
          <w:spacing w:val="0"/>
          <w:sz w:val="22"/>
          <w:szCs w:val="24"/>
          <w:rtl/>
        </w:rPr>
        <w:t xml:space="preserve"> </w:t>
      </w:r>
      <w:r w:rsidRPr="0061199A">
        <w:rPr>
          <w:rFonts w:ascii="Century" w:hAnsi="Century" w:cs="Miriam" w:hint="eastAsia"/>
          <w:b/>
          <w:spacing w:val="0"/>
          <w:sz w:val="22"/>
          <w:szCs w:val="24"/>
          <w:rtl/>
        </w:rPr>
        <w:t>האוצר</w:t>
      </w:r>
      <w:r>
        <w:rPr>
          <w:rFonts w:hint="cs"/>
          <w:rtl/>
        </w:rPr>
        <w:t xml:space="preserve">, פסקה 29 </w:t>
      </w:r>
      <w:r w:rsidRPr="0061199A">
        <w:rPr>
          <w:rtl/>
        </w:rPr>
        <w:lastRenderedPageBreak/>
        <w:t>(22.03.2009)</w:t>
      </w:r>
      <w:r>
        <w:rPr>
          <w:rFonts w:hint="cs"/>
          <w:rtl/>
        </w:rPr>
        <w:t>;</w:t>
      </w:r>
      <w:r w:rsidRPr="001D760B">
        <w:rPr>
          <w:rFonts w:hint="eastAsia"/>
          <w:rtl/>
        </w:rPr>
        <w:t xml:space="preserve"> בג</w:t>
      </w:r>
      <w:r w:rsidRPr="001D760B">
        <w:rPr>
          <w:rtl/>
        </w:rPr>
        <w:t>"</w:t>
      </w:r>
      <w:r w:rsidRPr="001D760B">
        <w:rPr>
          <w:rFonts w:hint="eastAsia"/>
          <w:rtl/>
        </w:rPr>
        <w:t>ץ</w:t>
      </w:r>
      <w:r w:rsidRPr="001D760B">
        <w:rPr>
          <w:rtl/>
        </w:rPr>
        <w:t xml:space="preserve"> 3429</w:t>
      </w:r>
      <w:r>
        <w:rPr>
          <w:rFonts w:hint="cs"/>
          <w:rtl/>
        </w:rPr>
        <w:t>/</w:t>
      </w:r>
      <w:r w:rsidRPr="001D760B">
        <w:rPr>
          <w:rtl/>
        </w:rPr>
        <w:t xml:space="preserve">11 </w:t>
      </w:r>
      <w:r w:rsidRPr="001D760B">
        <w:rPr>
          <w:rFonts w:ascii="Century" w:hAnsi="Century" w:cs="Miriam" w:hint="eastAsia"/>
          <w:b/>
          <w:spacing w:val="0"/>
          <w:sz w:val="22"/>
          <w:szCs w:val="24"/>
          <w:rtl/>
        </w:rPr>
        <w:t>בוגרי</w:t>
      </w:r>
      <w:r w:rsidRPr="001D760B">
        <w:rPr>
          <w:rFonts w:ascii="Century" w:hAnsi="Century" w:cs="Miriam"/>
          <w:b/>
          <w:spacing w:val="0"/>
          <w:sz w:val="22"/>
          <w:szCs w:val="24"/>
          <w:rtl/>
        </w:rPr>
        <w:t xml:space="preserve"> </w:t>
      </w:r>
      <w:r w:rsidRPr="001D760B">
        <w:rPr>
          <w:rFonts w:ascii="Century" w:hAnsi="Century" w:cs="Miriam" w:hint="eastAsia"/>
          <w:b/>
          <w:spacing w:val="0"/>
          <w:sz w:val="22"/>
          <w:szCs w:val="24"/>
          <w:rtl/>
        </w:rPr>
        <w:t>התיכון</w:t>
      </w:r>
      <w:r w:rsidRPr="001D760B">
        <w:rPr>
          <w:rFonts w:ascii="Century" w:hAnsi="Century" w:cs="Miriam"/>
          <w:b/>
          <w:spacing w:val="0"/>
          <w:sz w:val="22"/>
          <w:szCs w:val="24"/>
          <w:rtl/>
        </w:rPr>
        <w:t xml:space="preserve"> </w:t>
      </w:r>
      <w:r w:rsidRPr="001D760B">
        <w:rPr>
          <w:rFonts w:ascii="Century" w:hAnsi="Century" w:cs="Miriam" w:hint="eastAsia"/>
          <w:b/>
          <w:spacing w:val="0"/>
          <w:sz w:val="22"/>
          <w:szCs w:val="24"/>
          <w:rtl/>
        </w:rPr>
        <w:t>הערבי</w:t>
      </w:r>
      <w:r w:rsidRPr="001D760B">
        <w:rPr>
          <w:rFonts w:ascii="Century" w:hAnsi="Century" w:cs="Miriam"/>
          <w:b/>
          <w:spacing w:val="0"/>
          <w:sz w:val="22"/>
          <w:szCs w:val="24"/>
          <w:rtl/>
        </w:rPr>
        <w:t xml:space="preserve"> </w:t>
      </w:r>
      <w:r w:rsidRPr="001D760B">
        <w:rPr>
          <w:rFonts w:ascii="Century" w:hAnsi="Century" w:cs="Miriam" w:hint="eastAsia"/>
          <w:b/>
          <w:spacing w:val="0"/>
          <w:sz w:val="22"/>
          <w:szCs w:val="24"/>
          <w:rtl/>
        </w:rPr>
        <w:t>האורתודוקסי</w:t>
      </w:r>
      <w:r w:rsidRPr="001D760B">
        <w:rPr>
          <w:rFonts w:ascii="Century" w:hAnsi="Century" w:cs="Miriam"/>
          <w:b/>
          <w:spacing w:val="0"/>
          <w:sz w:val="22"/>
          <w:szCs w:val="24"/>
          <w:rtl/>
        </w:rPr>
        <w:t xml:space="preserve"> </w:t>
      </w:r>
      <w:r w:rsidRPr="001D760B">
        <w:rPr>
          <w:rFonts w:ascii="Century" w:hAnsi="Century" w:cs="Miriam" w:hint="eastAsia"/>
          <w:b/>
          <w:spacing w:val="0"/>
          <w:sz w:val="22"/>
          <w:szCs w:val="24"/>
          <w:rtl/>
        </w:rPr>
        <w:t>בחיפה</w:t>
      </w:r>
      <w:r w:rsidRPr="001D760B">
        <w:rPr>
          <w:rFonts w:ascii="Century" w:hAnsi="Century" w:cs="Miriam"/>
          <w:b/>
          <w:spacing w:val="0"/>
          <w:sz w:val="22"/>
          <w:szCs w:val="24"/>
          <w:rtl/>
        </w:rPr>
        <w:t xml:space="preserve"> </w:t>
      </w:r>
      <w:r w:rsidRPr="001D760B">
        <w:rPr>
          <w:rFonts w:ascii="Century" w:hAnsi="Century" w:cs="Miriam" w:hint="eastAsia"/>
          <w:b/>
          <w:spacing w:val="0"/>
          <w:sz w:val="22"/>
          <w:szCs w:val="24"/>
          <w:rtl/>
        </w:rPr>
        <w:t>נ</w:t>
      </w:r>
      <w:r w:rsidRPr="001D760B">
        <w:rPr>
          <w:rFonts w:ascii="Century" w:hAnsi="Century" w:cs="Miriam"/>
          <w:b/>
          <w:spacing w:val="0"/>
          <w:sz w:val="22"/>
          <w:szCs w:val="24"/>
          <w:rtl/>
        </w:rPr>
        <w:t xml:space="preserve">' </w:t>
      </w:r>
      <w:r w:rsidRPr="001D760B">
        <w:rPr>
          <w:rFonts w:ascii="Century" w:hAnsi="Century" w:cs="Miriam" w:hint="eastAsia"/>
          <w:b/>
          <w:spacing w:val="0"/>
          <w:sz w:val="22"/>
          <w:szCs w:val="24"/>
          <w:rtl/>
        </w:rPr>
        <w:t>שר</w:t>
      </w:r>
      <w:r w:rsidRPr="001D760B">
        <w:rPr>
          <w:rFonts w:ascii="Century" w:hAnsi="Century" w:cs="Miriam"/>
          <w:b/>
          <w:spacing w:val="0"/>
          <w:sz w:val="22"/>
          <w:szCs w:val="24"/>
          <w:rtl/>
        </w:rPr>
        <w:t xml:space="preserve"> </w:t>
      </w:r>
      <w:r w:rsidRPr="001D760B">
        <w:rPr>
          <w:rFonts w:ascii="Century" w:hAnsi="Century" w:cs="Miriam" w:hint="eastAsia"/>
          <w:b/>
          <w:spacing w:val="0"/>
          <w:sz w:val="22"/>
          <w:szCs w:val="24"/>
          <w:rtl/>
        </w:rPr>
        <w:t>האוצר</w:t>
      </w:r>
      <w:r>
        <w:rPr>
          <w:rFonts w:hint="cs"/>
          <w:rtl/>
        </w:rPr>
        <w:t>, פסקה 34 (5.1.2012);</w:t>
      </w:r>
      <w:r w:rsidRPr="00BD09D7">
        <w:rPr>
          <w:rFonts w:hint="eastAsia"/>
          <w:rtl/>
        </w:rPr>
        <w:t xml:space="preserve"> בג</w:t>
      </w:r>
      <w:r w:rsidRPr="00BD09D7">
        <w:rPr>
          <w:rtl/>
        </w:rPr>
        <w:t>"</w:t>
      </w:r>
      <w:r w:rsidRPr="00BD09D7">
        <w:rPr>
          <w:rFonts w:hint="eastAsia"/>
          <w:rtl/>
        </w:rPr>
        <w:t>ץ</w:t>
      </w:r>
      <w:r w:rsidRPr="00BD09D7">
        <w:rPr>
          <w:rtl/>
        </w:rPr>
        <w:t xml:space="preserve"> 7190</w:t>
      </w:r>
      <w:r>
        <w:rPr>
          <w:rFonts w:hint="cs"/>
          <w:rtl/>
        </w:rPr>
        <w:t>/</w:t>
      </w:r>
      <w:r w:rsidRPr="00BD09D7">
        <w:rPr>
          <w:rtl/>
        </w:rPr>
        <w:t xml:space="preserve">05 </w:t>
      </w:r>
      <w:r w:rsidRPr="00BD09D7">
        <w:rPr>
          <w:rFonts w:ascii="Century" w:hAnsi="Century" w:cs="Miriam" w:hint="eastAsia"/>
          <w:b/>
          <w:spacing w:val="0"/>
          <w:sz w:val="22"/>
          <w:szCs w:val="24"/>
          <w:rtl/>
        </w:rPr>
        <w:t>לובל</w:t>
      </w:r>
      <w:r w:rsidRPr="00BD09D7">
        <w:rPr>
          <w:rFonts w:ascii="Century" w:hAnsi="Century" w:cs="Miriam"/>
          <w:b/>
          <w:spacing w:val="0"/>
          <w:sz w:val="22"/>
          <w:szCs w:val="24"/>
          <w:rtl/>
        </w:rPr>
        <w:t xml:space="preserve"> </w:t>
      </w:r>
      <w:r w:rsidRPr="00BD09D7">
        <w:rPr>
          <w:rFonts w:ascii="Century" w:hAnsi="Century" w:cs="Miriam" w:hint="eastAsia"/>
          <w:b/>
          <w:spacing w:val="0"/>
          <w:sz w:val="22"/>
          <w:szCs w:val="24"/>
          <w:rtl/>
        </w:rPr>
        <w:t>נ</w:t>
      </w:r>
      <w:r w:rsidRPr="00BD09D7">
        <w:rPr>
          <w:rFonts w:ascii="Century" w:hAnsi="Century" w:cs="Miriam"/>
          <w:b/>
          <w:spacing w:val="0"/>
          <w:sz w:val="22"/>
          <w:szCs w:val="24"/>
          <w:rtl/>
        </w:rPr>
        <w:t xml:space="preserve">' </w:t>
      </w:r>
      <w:r w:rsidRPr="00BD09D7">
        <w:rPr>
          <w:rFonts w:ascii="Century" w:hAnsi="Century" w:cs="Miriam" w:hint="eastAsia"/>
          <w:b/>
          <w:spacing w:val="0"/>
          <w:sz w:val="22"/>
          <w:szCs w:val="24"/>
          <w:rtl/>
        </w:rPr>
        <w:t>ממשלת</w:t>
      </w:r>
      <w:r w:rsidRPr="00BD09D7">
        <w:rPr>
          <w:rFonts w:ascii="Century" w:hAnsi="Century" w:cs="Miriam"/>
          <w:b/>
          <w:spacing w:val="0"/>
          <w:sz w:val="22"/>
          <w:szCs w:val="24"/>
          <w:rtl/>
        </w:rPr>
        <w:t xml:space="preserve"> </w:t>
      </w:r>
      <w:r w:rsidRPr="00BD09D7">
        <w:rPr>
          <w:rFonts w:ascii="Century" w:hAnsi="Century" w:cs="Miriam" w:hint="eastAsia"/>
          <w:b/>
          <w:spacing w:val="0"/>
          <w:sz w:val="22"/>
          <w:szCs w:val="24"/>
          <w:rtl/>
        </w:rPr>
        <w:t>ישראל</w:t>
      </w:r>
      <w:r>
        <w:rPr>
          <w:rFonts w:hint="cs"/>
          <w:rtl/>
        </w:rPr>
        <w:t>, פסקה 12 (18.1.2006)). אולם, כך או אחרת, אין ספק שב</w:t>
      </w:r>
      <w:r w:rsidR="006D2A40">
        <w:rPr>
          <w:rFonts w:hint="cs"/>
          <w:rtl/>
        </w:rPr>
        <w:t>עניין ד</w:t>
      </w:r>
      <w:r>
        <w:rPr>
          <w:rFonts w:hint="cs"/>
          <w:rtl/>
        </w:rPr>
        <w:t xml:space="preserve">נן פעל המערער על-פי המסלול שהתווה בית משפט זה, בעניין </w:t>
      </w:r>
      <w:r w:rsidRPr="00101829">
        <w:rPr>
          <w:rFonts w:ascii="Century" w:hAnsi="Century" w:cs="Miriam" w:hint="cs"/>
          <w:b/>
          <w:spacing w:val="0"/>
          <w:sz w:val="22"/>
          <w:szCs w:val="24"/>
          <w:rtl/>
        </w:rPr>
        <w:t>עדאלה</w:t>
      </w:r>
      <w:r w:rsidRPr="006D2A40">
        <w:rPr>
          <w:rFonts w:ascii="Century" w:hAnsi="Century" w:hint="cs"/>
          <w:sz w:val="22"/>
          <w:rtl/>
        </w:rPr>
        <w:t xml:space="preserve">, </w:t>
      </w:r>
      <w:r>
        <w:rPr>
          <w:rFonts w:hint="cs"/>
          <w:rtl/>
        </w:rPr>
        <w:t>באופן ספציפי בהתייחס לשאלת חוק</w:t>
      </w:r>
      <w:r w:rsidR="006D2A40">
        <w:rPr>
          <w:rFonts w:hint="cs"/>
          <w:rtl/>
        </w:rPr>
        <w:t xml:space="preserve">תיותו של סעיף 5ב לחוק. על </w:t>
      </w:r>
      <w:r>
        <w:rPr>
          <w:rFonts w:hint="cs"/>
          <w:rtl/>
        </w:rPr>
        <w:t xml:space="preserve">כן, אין מנוס מן הקביעה, כי אכן, זכאי המערער להשמיע את טענותיו החוקתיות, גם בדרך של 'תקיפה עקיפה'.  </w:t>
      </w:r>
    </w:p>
    <w:p w:rsidR="00D512D4" w:rsidRPr="007E000E" w:rsidRDefault="00D512D4" w:rsidP="00653268">
      <w:pPr>
        <w:pStyle w:val="Ruller41"/>
        <w:spacing w:line="240" w:lineRule="auto"/>
      </w:pPr>
    </w:p>
    <w:p w:rsidR="00D512D4" w:rsidRDefault="00BC75EC" w:rsidP="00BC75EC">
      <w:pPr>
        <w:pStyle w:val="Ruller4"/>
        <w:rPr>
          <w:rtl/>
        </w:rPr>
      </w:pPr>
      <w:r>
        <w:rPr>
          <w:rFonts w:hint="cs"/>
          <w:rtl/>
        </w:rPr>
        <w:t>הפתח לבחינה חוקתית, נ</w:t>
      </w:r>
      <w:r w:rsidR="00D512D4">
        <w:rPr>
          <w:rFonts w:hint="cs"/>
          <w:rtl/>
        </w:rPr>
        <w:t xml:space="preserve">פתח </w:t>
      </w:r>
      <w:r>
        <w:rPr>
          <w:rFonts w:hint="cs"/>
          <w:rtl/>
        </w:rPr>
        <w:t>אפוא לפנ</w:t>
      </w:r>
      <w:r w:rsidR="00D512D4">
        <w:rPr>
          <w:rFonts w:hint="cs"/>
          <w:rtl/>
        </w:rPr>
        <w:t xml:space="preserve">י המערער. יחד עם זאת, מידותיו של הפתח </w:t>
      </w:r>
      <w:r w:rsidR="00D512D4">
        <w:rPr>
          <w:rtl/>
        </w:rPr>
        <w:t>–</w:t>
      </w:r>
      <w:r w:rsidR="00D512D4">
        <w:rPr>
          <w:rFonts w:hint="cs"/>
          <w:rtl/>
        </w:rPr>
        <w:t xml:space="preserve"> אם רחב כפתחו של אולם, אם צר כחו</w:t>
      </w:r>
      <w:r w:rsidR="00D705BF">
        <w:rPr>
          <w:rFonts w:hint="cs"/>
          <w:rtl/>
        </w:rPr>
        <w:t>ּ</w:t>
      </w:r>
      <w:r w:rsidR="00D512D4">
        <w:rPr>
          <w:rFonts w:hint="cs"/>
          <w:rtl/>
        </w:rPr>
        <w:t xml:space="preserve">דה של מחט </w:t>
      </w:r>
      <w:r w:rsidR="00D512D4">
        <w:rPr>
          <w:rtl/>
        </w:rPr>
        <w:t>–</w:t>
      </w:r>
      <w:r w:rsidR="00D512D4">
        <w:rPr>
          <w:rFonts w:hint="cs"/>
          <w:rtl/>
        </w:rPr>
        <w:t xml:space="preserve"> נובעות מן הדרך שנבחרה לכך. כידוע, </w:t>
      </w:r>
      <w:r w:rsidR="00D512D4" w:rsidRPr="00C23E27">
        <w:rPr>
          <w:rFonts w:ascii="Century" w:hAnsi="Century" w:cs="Miriam"/>
          <w:b/>
          <w:spacing w:val="0"/>
          <w:sz w:val="22"/>
          <w:szCs w:val="24"/>
          <w:rtl/>
        </w:rPr>
        <w:t>"</w:t>
      </w:r>
      <w:r w:rsidR="00D512D4" w:rsidRPr="00C23E27">
        <w:rPr>
          <w:rFonts w:ascii="Century" w:hAnsi="Century" w:cs="Miriam" w:hint="eastAsia"/>
          <w:b/>
          <w:spacing w:val="0"/>
          <w:sz w:val="22"/>
          <w:szCs w:val="24"/>
          <w:rtl/>
        </w:rPr>
        <w:t>דרך</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התקיפה</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עשויה</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להכתיב</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את</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תוצאת</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התקיפה</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תוצאה</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שהיה</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אפשר</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להגיע</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אליה</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בדרך</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של</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תקיפה</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ישירה</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יתכן</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שאי</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אפשר</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יהיה</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להגיע</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אליה</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בדרך</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של</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תקיפה</w:t>
      </w:r>
      <w:r w:rsidR="00D512D4" w:rsidRPr="00C23E27">
        <w:rPr>
          <w:rFonts w:ascii="Century" w:hAnsi="Century" w:cs="Miriam"/>
          <w:b/>
          <w:spacing w:val="0"/>
          <w:sz w:val="22"/>
          <w:szCs w:val="24"/>
          <w:rtl/>
        </w:rPr>
        <w:t xml:space="preserve"> </w:t>
      </w:r>
      <w:r w:rsidR="00D512D4" w:rsidRPr="00C23E27">
        <w:rPr>
          <w:rFonts w:ascii="Century" w:hAnsi="Century" w:cs="Miriam" w:hint="eastAsia"/>
          <w:b/>
          <w:spacing w:val="0"/>
          <w:sz w:val="22"/>
          <w:szCs w:val="24"/>
          <w:rtl/>
        </w:rPr>
        <w:t>עקיפה</w:t>
      </w:r>
      <w:r w:rsidR="00D512D4" w:rsidRPr="00C23E27">
        <w:rPr>
          <w:rFonts w:ascii="Century" w:hAnsi="Century" w:cs="Miriam" w:hint="cs"/>
          <w:b/>
          <w:spacing w:val="0"/>
          <w:sz w:val="22"/>
          <w:szCs w:val="24"/>
          <w:rtl/>
        </w:rPr>
        <w:t>"</w:t>
      </w:r>
      <w:r w:rsidR="00D512D4">
        <w:rPr>
          <w:rFonts w:hint="cs"/>
          <w:rtl/>
        </w:rPr>
        <w:t xml:space="preserve"> (עניין </w:t>
      </w:r>
      <w:r w:rsidR="00D512D4" w:rsidRPr="00AE5A7D">
        <w:rPr>
          <w:rFonts w:ascii="Century" w:hAnsi="Century" w:cs="Miriam" w:hint="cs"/>
          <w:b/>
          <w:spacing w:val="0"/>
          <w:sz w:val="22"/>
          <w:szCs w:val="24"/>
          <w:rtl/>
        </w:rPr>
        <w:t>הראל</w:t>
      </w:r>
      <w:r w:rsidR="00D512D4">
        <w:rPr>
          <w:rFonts w:hint="cs"/>
          <w:rtl/>
        </w:rPr>
        <w:t>, עמודים 647-</w:t>
      </w:r>
      <w:r>
        <w:rPr>
          <w:rFonts w:hint="cs"/>
          <w:rtl/>
        </w:rPr>
        <w:t xml:space="preserve">646). הדרך שנבחרה, משפיעה, בראש </w:t>
      </w:r>
      <w:r w:rsidR="00D512D4">
        <w:rPr>
          <w:rFonts w:hint="cs"/>
          <w:rtl/>
        </w:rPr>
        <w:t xml:space="preserve">ובראשונה, על גבולות הביקורת השיפוטית שתופעל על-ידי בית המשפט. כאמור, הסמכות להפעיל ביקורת שיפוטית עקיפה, מעוגנת בסעיף 76 לחוק בתי המשפט, והיא מתוחמת אך ורק לשאלות שההכרעה בהן דרושה </w:t>
      </w:r>
      <w:r w:rsidR="00D512D4">
        <w:rPr>
          <w:rFonts w:ascii="Century" w:hAnsi="Century" w:cs="Miriam" w:hint="cs"/>
          <w:b/>
          <w:spacing w:val="0"/>
          <w:sz w:val="22"/>
          <w:szCs w:val="24"/>
          <w:rtl/>
        </w:rPr>
        <w:t>"</w:t>
      </w:r>
      <w:r w:rsidR="00D512D4" w:rsidRPr="008E51E4">
        <w:rPr>
          <w:rFonts w:ascii="Century" w:hAnsi="Century" w:cs="Miriam" w:hint="cs"/>
          <w:b/>
          <w:spacing w:val="0"/>
          <w:sz w:val="22"/>
          <w:szCs w:val="24"/>
          <w:rtl/>
        </w:rPr>
        <w:t>לצורך אותו עניין</w:t>
      </w:r>
      <w:r w:rsidR="00D512D4">
        <w:rPr>
          <w:rFonts w:ascii="Century" w:hAnsi="Century" w:cs="Miriam" w:hint="cs"/>
          <w:b/>
          <w:spacing w:val="0"/>
          <w:sz w:val="22"/>
          <w:szCs w:val="24"/>
          <w:rtl/>
        </w:rPr>
        <w:t>"</w:t>
      </w:r>
      <w:r w:rsidR="00D512D4">
        <w:rPr>
          <w:rFonts w:hint="cs"/>
          <w:rtl/>
        </w:rPr>
        <w:t>; אין להרחיב את מוטת כנפיה של סמכות זו, לשאלות שאינן דורשות הכרעה בנסיבות הקונקרטיות. אם ניי</w:t>
      </w:r>
      <w:r>
        <w:rPr>
          <w:rFonts w:hint="cs"/>
          <w:rtl/>
        </w:rPr>
        <w:t>שם זאת לענייננו</w:t>
      </w:r>
      <w:r w:rsidR="00D512D4">
        <w:rPr>
          <w:rFonts w:hint="cs"/>
          <w:rtl/>
        </w:rPr>
        <w:t xml:space="preserve">, הרי שחלק מטענותיו של המערער </w:t>
      </w:r>
      <w:r w:rsidR="00D512D4">
        <w:rPr>
          <w:rtl/>
        </w:rPr>
        <w:t>–</w:t>
      </w:r>
      <w:r w:rsidR="00D512D4">
        <w:rPr>
          <w:rFonts w:hint="cs"/>
          <w:rtl/>
        </w:rPr>
        <w:t xml:space="preserve"> מתייתרות מאליהן. כך, הטענה כי סעיף 5ב(א)(1) לחוק, כמו גם הצו שהוצא מכוחו, לוקים ברטרואקטיביות, כלל אינה דרושה לצורך הכרעה בעניינו הספציפי של המערער, שכן האירוע מושא התביעה התרחש לאחר שנחקק תיקון מספר 8, ולאחר שהוּצא גם הצו שמכוחו. אם כן, משנמצא כי שאלה זו אינה דורשת הכרעה ביחס לנסיבות העניין דנן, לא קנה בית המשפט סמכות אגבית לדון בה. ניתן אפוא להסיר מעל השולחן, כבר בשלב זה, את טענותיו אלה של המערער.  </w:t>
      </w:r>
    </w:p>
    <w:p w:rsidR="00D512D4" w:rsidRPr="005923CB" w:rsidRDefault="00D512D4" w:rsidP="000B6AE3">
      <w:pPr>
        <w:pStyle w:val="Ruller41"/>
        <w:spacing w:line="240" w:lineRule="auto"/>
      </w:pPr>
    </w:p>
    <w:p w:rsidR="00D512D4" w:rsidRPr="00775165" w:rsidRDefault="00D512D4" w:rsidP="00D512D4">
      <w:pPr>
        <w:pStyle w:val="Ruller4"/>
        <w:rPr>
          <w:rtl/>
        </w:rPr>
      </w:pPr>
      <w:r w:rsidRPr="00775165">
        <w:rPr>
          <w:rFonts w:hint="cs"/>
          <w:rtl/>
        </w:rPr>
        <w:t xml:space="preserve">מטעמים דומים, סבורני כי אין מקום גם לדון, בדרך של 'תקיפה עקיפה', בטענה נוספת שהעלה המערער, כי אי-מידתיותו של סעיף 5ב(א)(1) לחוק, באה, בין היתר, לידי ביטוי, בכך שהוא איננו מוגבל לפעולות שנגרמו על-ידי </w:t>
      </w:r>
      <w:r w:rsidRPr="00775165">
        <w:rPr>
          <w:rFonts w:ascii="Century" w:hAnsi="Century" w:cs="Miriam" w:hint="cs"/>
          <w:b/>
          <w:spacing w:val="0"/>
          <w:sz w:val="22"/>
          <w:szCs w:val="24"/>
          <w:rtl/>
        </w:rPr>
        <w:t>כוחות הביטחון</w:t>
      </w:r>
      <w:r w:rsidRPr="00775165">
        <w:rPr>
          <w:rFonts w:hint="cs"/>
          <w:rtl/>
        </w:rPr>
        <w:t xml:space="preserve"> בלבד, משום שהוא משתרע לכאורה על כל </w:t>
      </w:r>
      <w:r w:rsidRPr="00775165">
        <w:rPr>
          <w:rFonts w:hint="cs"/>
          <w:rtl/>
        </w:rPr>
        <w:lastRenderedPageBreak/>
        <w:t>נזק שגרמה מדינת ישראל, על שלל זרועותיה. אין חולק כי הנזק הנטען, בנסיבותיו הספציפיות של המקרה דנן, נגרם על-ידי כוחות הביטחון; לא בכדי הוגשה התביעה נגד משרד הביטחון. מכאן, שגם טענה זו חורגת מנסיבות המקרה הקונקרטי, ואין מקום לדון בה בדרך של 'תקיפה עקיפה'.</w:t>
      </w:r>
    </w:p>
    <w:p w:rsidR="00D512D4" w:rsidRPr="00F00092" w:rsidRDefault="00D512D4" w:rsidP="00D512D4">
      <w:pPr>
        <w:pStyle w:val="Ruller41"/>
        <w:rPr>
          <w:highlight w:val="yellow"/>
        </w:rPr>
      </w:pPr>
    </w:p>
    <w:p w:rsidR="00D512D4" w:rsidRPr="008B0548" w:rsidRDefault="00D512D4" w:rsidP="00D255C8">
      <w:pPr>
        <w:pStyle w:val="Ruller4"/>
        <w:numPr>
          <w:ilvl w:val="0"/>
          <w:numId w:val="0"/>
        </w:numPr>
        <w:rPr>
          <w:rtl/>
        </w:rPr>
      </w:pPr>
      <w:r>
        <w:rPr>
          <w:rtl/>
        </w:rPr>
        <w:tab/>
      </w:r>
      <w:r>
        <w:rPr>
          <w:rFonts w:hint="cs"/>
          <w:rtl/>
        </w:rPr>
        <w:t>לאחר שהער</w:t>
      </w:r>
      <w:r w:rsidR="00D255C8">
        <w:rPr>
          <w:rFonts w:hint="cs"/>
          <w:rtl/>
        </w:rPr>
        <w:t>תי</w:t>
      </w:r>
      <w:r>
        <w:rPr>
          <w:rFonts w:hint="cs"/>
          <w:rtl/>
        </w:rPr>
        <w:t xml:space="preserve"> את </w:t>
      </w:r>
      <w:r w:rsidR="00D255C8">
        <w:rPr>
          <w:rFonts w:hint="cs"/>
          <w:rtl/>
        </w:rPr>
        <w:t xml:space="preserve">אשר </w:t>
      </w:r>
      <w:r>
        <w:rPr>
          <w:rFonts w:hint="cs"/>
          <w:rtl/>
        </w:rPr>
        <w:t>שהער</w:t>
      </w:r>
      <w:r w:rsidR="00D255C8">
        <w:rPr>
          <w:rFonts w:hint="cs"/>
          <w:rtl/>
        </w:rPr>
        <w:t>תי</w:t>
      </w:r>
      <w:r>
        <w:rPr>
          <w:rFonts w:hint="cs"/>
          <w:rtl/>
        </w:rPr>
        <w:t xml:space="preserve">, </w:t>
      </w:r>
      <w:r w:rsidR="00D255C8">
        <w:rPr>
          <w:rFonts w:hint="cs"/>
          <w:rtl/>
        </w:rPr>
        <w:t>א</w:t>
      </w:r>
      <w:r w:rsidRPr="008B0548">
        <w:rPr>
          <w:rFonts w:hint="cs"/>
          <w:rtl/>
        </w:rPr>
        <w:t>עבור עתה לשלבי הבחינה החוקתית.</w:t>
      </w:r>
    </w:p>
    <w:p w:rsidR="00D512D4" w:rsidRPr="00527660" w:rsidRDefault="00D512D4" w:rsidP="00D512D4">
      <w:pPr>
        <w:pStyle w:val="Ruller41"/>
        <w:rPr>
          <w:rtl/>
        </w:rPr>
      </w:pPr>
    </w:p>
    <w:p w:rsidR="00D512D4" w:rsidRPr="008B0548" w:rsidRDefault="00D512D4" w:rsidP="00C04DC8">
      <w:pPr>
        <w:pStyle w:val="2"/>
        <w:rPr>
          <w:rtl/>
        </w:rPr>
      </w:pPr>
      <w:bookmarkStart w:id="30" w:name="_Toc107851294"/>
      <w:bookmarkStart w:id="31" w:name="_Toc107851349"/>
      <w:r>
        <w:rPr>
          <w:rFonts w:hint="cs"/>
          <w:rtl/>
        </w:rPr>
        <w:t xml:space="preserve">ד.3. </w:t>
      </w:r>
      <w:r w:rsidRPr="008B0548">
        <w:rPr>
          <w:rFonts w:hint="cs"/>
          <w:rtl/>
        </w:rPr>
        <w:t>חוקתיות סעיף 5ב(א)(1) לחוק הנזיקים האזרחיים</w:t>
      </w:r>
      <w:bookmarkEnd w:id="30"/>
      <w:bookmarkEnd w:id="31"/>
    </w:p>
    <w:p w:rsidR="00D512D4" w:rsidRDefault="00D512D4" w:rsidP="00154174">
      <w:pPr>
        <w:pStyle w:val="Ruller4"/>
        <w:rPr>
          <w:rtl/>
        </w:rPr>
      </w:pPr>
      <w:r>
        <w:rPr>
          <w:rFonts w:hint="cs"/>
          <w:rtl/>
        </w:rPr>
        <w:t xml:space="preserve">סעיף 5ב(א)(1) לחוק הנזיקים האזרחיים, נחקק עלי-ספר, בחקיקה ראשית של כנסת ישראל. פעולה זו של הכנסת מבטאת את רצון העם, באמצעות נבחריו, ומחובתו של בית המשפט לכבד רצון זה. מדי דבּרֵנו בביטול דבר חקיקה, זכור נזכור, כי </w:t>
      </w:r>
      <w:r w:rsidRPr="00F05717">
        <w:rPr>
          <w:rFonts w:ascii="Century" w:hAnsi="Century" w:cs="Miriam"/>
          <w:b/>
          <w:spacing w:val="0"/>
          <w:sz w:val="22"/>
          <w:szCs w:val="24"/>
          <w:rtl/>
        </w:rPr>
        <w:t>"</w:t>
      </w:r>
      <w:r w:rsidRPr="00F05717">
        <w:rPr>
          <w:rFonts w:ascii="Century" w:hAnsi="Century" w:cs="Miriam" w:hint="eastAsia"/>
          <w:b/>
          <w:spacing w:val="0"/>
          <w:sz w:val="22"/>
          <w:szCs w:val="24"/>
          <w:rtl/>
        </w:rPr>
        <w:t>עניין</w:t>
      </w:r>
      <w:r w:rsidRPr="00F05717">
        <w:rPr>
          <w:rFonts w:ascii="Century" w:hAnsi="Century" w:cs="Miriam"/>
          <w:b/>
          <w:spacing w:val="0"/>
          <w:sz w:val="22"/>
          <w:szCs w:val="24"/>
          <w:rtl/>
        </w:rPr>
        <w:t xml:space="preserve"> </w:t>
      </w:r>
      <w:r w:rsidRPr="00F05717">
        <w:rPr>
          <w:rFonts w:ascii="Century" w:hAnsi="Century" w:cs="Miriam" w:hint="eastAsia"/>
          <w:b/>
          <w:spacing w:val="0"/>
          <w:sz w:val="22"/>
          <w:szCs w:val="24"/>
          <w:rtl/>
        </w:rPr>
        <w:t>לנו</w:t>
      </w:r>
      <w:r w:rsidRPr="00F05717">
        <w:rPr>
          <w:rFonts w:ascii="Century" w:hAnsi="Century" w:cs="Miriam"/>
          <w:b/>
          <w:spacing w:val="0"/>
          <w:sz w:val="22"/>
          <w:szCs w:val="24"/>
          <w:rtl/>
        </w:rPr>
        <w:t xml:space="preserve"> </w:t>
      </w:r>
      <w:r w:rsidRPr="00F05717">
        <w:rPr>
          <w:rFonts w:ascii="Century" w:hAnsi="Century" w:cs="Miriam" w:hint="eastAsia"/>
          <w:b/>
          <w:spacing w:val="0"/>
          <w:sz w:val="22"/>
          <w:szCs w:val="24"/>
          <w:rtl/>
        </w:rPr>
        <w:t>בביטול</w:t>
      </w:r>
      <w:r w:rsidRPr="00F05717">
        <w:rPr>
          <w:rFonts w:ascii="Century" w:hAnsi="Century" w:cs="Miriam"/>
          <w:b/>
          <w:spacing w:val="0"/>
          <w:sz w:val="22"/>
          <w:szCs w:val="24"/>
          <w:rtl/>
        </w:rPr>
        <w:t xml:space="preserve"> </w:t>
      </w:r>
      <w:r w:rsidRPr="00F05717">
        <w:rPr>
          <w:rFonts w:ascii="Century" w:hAnsi="Century" w:cs="Miriam" w:hint="eastAsia"/>
          <w:b/>
          <w:spacing w:val="0"/>
          <w:sz w:val="22"/>
          <w:szCs w:val="24"/>
          <w:rtl/>
        </w:rPr>
        <w:t>דבר</w:t>
      </w:r>
      <w:r w:rsidRPr="00F05717">
        <w:rPr>
          <w:rFonts w:ascii="Century" w:hAnsi="Century" w:cs="Miriam"/>
          <w:b/>
          <w:spacing w:val="0"/>
          <w:sz w:val="22"/>
          <w:szCs w:val="24"/>
          <w:rtl/>
        </w:rPr>
        <w:t xml:space="preserve"> </w:t>
      </w:r>
      <w:r w:rsidRPr="00F05717">
        <w:rPr>
          <w:rFonts w:ascii="Century" w:hAnsi="Century" w:cs="Miriam" w:hint="eastAsia"/>
          <w:b/>
          <w:spacing w:val="0"/>
          <w:sz w:val="22"/>
          <w:szCs w:val="24"/>
          <w:rtl/>
        </w:rPr>
        <w:t>חקיקה</w:t>
      </w:r>
      <w:r w:rsidRPr="00F05717">
        <w:rPr>
          <w:rFonts w:ascii="Century" w:hAnsi="Century" w:cs="Miriam"/>
          <w:b/>
          <w:spacing w:val="0"/>
          <w:sz w:val="22"/>
          <w:szCs w:val="24"/>
          <w:rtl/>
        </w:rPr>
        <w:t xml:space="preserve"> </w:t>
      </w:r>
      <w:r w:rsidRPr="00F05717">
        <w:rPr>
          <w:rFonts w:ascii="Century" w:hAnsi="Century" w:cs="Miriam" w:hint="eastAsia"/>
          <w:b/>
          <w:spacing w:val="0"/>
          <w:sz w:val="22"/>
          <w:szCs w:val="24"/>
          <w:rtl/>
        </w:rPr>
        <w:t>שנחקק</w:t>
      </w:r>
      <w:r w:rsidRPr="00F05717">
        <w:rPr>
          <w:rFonts w:ascii="Century" w:hAnsi="Century" w:cs="Miriam"/>
          <w:b/>
          <w:spacing w:val="0"/>
          <w:sz w:val="22"/>
          <w:szCs w:val="24"/>
          <w:rtl/>
        </w:rPr>
        <w:t xml:space="preserve"> </w:t>
      </w:r>
      <w:r w:rsidRPr="00F05717">
        <w:rPr>
          <w:rFonts w:ascii="Century" w:hAnsi="Century" w:cs="Miriam" w:hint="eastAsia"/>
          <w:b/>
          <w:spacing w:val="0"/>
          <w:sz w:val="22"/>
          <w:szCs w:val="24"/>
          <w:rtl/>
        </w:rPr>
        <w:t>על</w:t>
      </w:r>
      <w:r w:rsidRPr="00F05717">
        <w:rPr>
          <w:rFonts w:ascii="Century" w:hAnsi="Century" w:cs="Miriam"/>
          <w:b/>
          <w:spacing w:val="0"/>
          <w:sz w:val="22"/>
          <w:szCs w:val="24"/>
          <w:rtl/>
        </w:rPr>
        <w:t>-</w:t>
      </w:r>
      <w:r w:rsidRPr="00F05717">
        <w:rPr>
          <w:rFonts w:ascii="Century" w:hAnsi="Century" w:cs="Miriam" w:hint="eastAsia"/>
          <w:b/>
          <w:spacing w:val="0"/>
          <w:sz w:val="22"/>
          <w:szCs w:val="24"/>
          <w:rtl/>
        </w:rPr>
        <w:t>ידי</w:t>
      </w:r>
      <w:r w:rsidRPr="00F05717">
        <w:rPr>
          <w:rFonts w:ascii="Century" w:hAnsi="Century" w:cs="Miriam"/>
          <w:b/>
          <w:spacing w:val="0"/>
          <w:sz w:val="22"/>
          <w:szCs w:val="24"/>
          <w:rtl/>
        </w:rPr>
        <w:t xml:space="preserve"> </w:t>
      </w:r>
      <w:r w:rsidRPr="00F05717">
        <w:rPr>
          <w:rFonts w:ascii="Century" w:hAnsi="Century" w:cs="Miriam" w:hint="eastAsia"/>
          <w:b/>
          <w:spacing w:val="0"/>
          <w:sz w:val="22"/>
          <w:szCs w:val="24"/>
          <w:rtl/>
        </w:rPr>
        <w:t>גוף</w:t>
      </w:r>
      <w:r w:rsidRPr="00F05717">
        <w:rPr>
          <w:rFonts w:ascii="Century" w:hAnsi="Century" w:cs="Miriam"/>
          <w:b/>
          <w:spacing w:val="0"/>
          <w:sz w:val="22"/>
          <w:szCs w:val="24"/>
          <w:rtl/>
        </w:rPr>
        <w:t xml:space="preserve"> </w:t>
      </w:r>
      <w:r w:rsidRPr="00F05717">
        <w:rPr>
          <w:rFonts w:ascii="Century" w:hAnsi="Century" w:cs="Miriam" w:hint="eastAsia"/>
          <w:b/>
          <w:spacing w:val="0"/>
          <w:sz w:val="22"/>
          <w:szCs w:val="24"/>
          <w:rtl/>
        </w:rPr>
        <w:t>שנבחר</w:t>
      </w:r>
      <w:r w:rsidRPr="00F05717">
        <w:rPr>
          <w:rFonts w:ascii="Century" w:hAnsi="Century" w:cs="Miriam"/>
          <w:b/>
          <w:spacing w:val="0"/>
          <w:sz w:val="22"/>
          <w:szCs w:val="24"/>
          <w:rtl/>
        </w:rPr>
        <w:t xml:space="preserve"> </w:t>
      </w:r>
      <w:r w:rsidRPr="00F05717">
        <w:rPr>
          <w:rFonts w:ascii="Century" w:hAnsi="Century" w:cs="Miriam" w:hint="eastAsia"/>
          <w:b/>
          <w:spacing w:val="0"/>
          <w:sz w:val="22"/>
          <w:szCs w:val="24"/>
          <w:rtl/>
        </w:rPr>
        <w:t>על</w:t>
      </w:r>
      <w:r w:rsidRPr="00F05717">
        <w:rPr>
          <w:rFonts w:ascii="Century" w:hAnsi="Century" w:cs="Miriam"/>
          <w:b/>
          <w:spacing w:val="0"/>
          <w:sz w:val="22"/>
          <w:szCs w:val="24"/>
          <w:rtl/>
        </w:rPr>
        <w:t>-</w:t>
      </w:r>
      <w:r w:rsidRPr="00F05717">
        <w:rPr>
          <w:rFonts w:ascii="Century" w:hAnsi="Century" w:cs="Miriam" w:hint="eastAsia"/>
          <w:b/>
          <w:spacing w:val="0"/>
          <w:sz w:val="22"/>
          <w:szCs w:val="24"/>
          <w:rtl/>
        </w:rPr>
        <w:t>ידי</w:t>
      </w:r>
      <w:r w:rsidRPr="00F05717">
        <w:rPr>
          <w:rFonts w:ascii="Century" w:hAnsi="Century" w:cs="Miriam"/>
          <w:b/>
          <w:spacing w:val="0"/>
          <w:sz w:val="22"/>
          <w:szCs w:val="24"/>
          <w:rtl/>
        </w:rPr>
        <w:t xml:space="preserve"> </w:t>
      </w:r>
      <w:r w:rsidRPr="00F05717">
        <w:rPr>
          <w:rFonts w:ascii="Century" w:hAnsi="Century" w:cs="Miriam" w:hint="eastAsia"/>
          <w:b/>
          <w:spacing w:val="0"/>
          <w:sz w:val="22"/>
          <w:szCs w:val="24"/>
          <w:rtl/>
        </w:rPr>
        <w:t>העם</w:t>
      </w:r>
      <w:r w:rsidRPr="00F05717">
        <w:rPr>
          <w:rFonts w:ascii="Century" w:hAnsi="Century" w:cs="Miriam"/>
          <w:b/>
          <w:spacing w:val="0"/>
          <w:sz w:val="22"/>
          <w:szCs w:val="24"/>
          <w:rtl/>
        </w:rPr>
        <w:t>"</w:t>
      </w:r>
      <w:r w:rsidRPr="00F05717">
        <w:rPr>
          <w:rtl/>
        </w:rPr>
        <w:t xml:space="preserve"> (</w:t>
      </w:r>
      <w:r w:rsidR="00B11B98" w:rsidRPr="008B0548">
        <w:rPr>
          <w:rFonts w:hint="eastAsia"/>
          <w:rtl/>
        </w:rPr>
        <w:t>בג</w:t>
      </w:r>
      <w:r w:rsidR="00B11B98" w:rsidRPr="008B0548">
        <w:rPr>
          <w:rtl/>
        </w:rPr>
        <w:t>"</w:t>
      </w:r>
      <w:r w:rsidR="00B11B98" w:rsidRPr="008B0548">
        <w:rPr>
          <w:rFonts w:hint="eastAsia"/>
          <w:rtl/>
        </w:rPr>
        <w:t>ץ</w:t>
      </w:r>
      <w:r w:rsidR="00B11B98" w:rsidRPr="008B0548">
        <w:rPr>
          <w:rtl/>
        </w:rPr>
        <w:t xml:space="preserve"> 1661/05 </w:t>
      </w:r>
      <w:r w:rsidR="00B11B98" w:rsidRPr="00DD6B47">
        <w:rPr>
          <w:rFonts w:ascii="Century" w:hAnsi="Century" w:cs="Miriam" w:hint="eastAsia"/>
          <w:b/>
          <w:spacing w:val="0"/>
          <w:sz w:val="22"/>
          <w:szCs w:val="24"/>
          <w:rtl/>
        </w:rPr>
        <w:t>המועצה</w:t>
      </w:r>
      <w:r w:rsidR="00B11B98" w:rsidRPr="00DD6B47">
        <w:rPr>
          <w:rFonts w:ascii="Century" w:hAnsi="Century" w:cs="Miriam"/>
          <w:b/>
          <w:spacing w:val="0"/>
          <w:sz w:val="22"/>
          <w:szCs w:val="24"/>
          <w:rtl/>
        </w:rPr>
        <w:t xml:space="preserve"> </w:t>
      </w:r>
      <w:r w:rsidR="00B11B98" w:rsidRPr="00DD6B47">
        <w:rPr>
          <w:rFonts w:ascii="Century" w:hAnsi="Century" w:cs="Miriam" w:hint="eastAsia"/>
          <w:b/>
          <w:spacing w:val="0"/>
          <w:sz w:val="22"/>
          <w:szCs w:val="24"/>
          <w:rtl/>
        </w:rPr>
        <w:t>האזורית</w:t>
      </w:r>
      <w:r w:rsidR="00B11B98" w:rsidRPr="00DD6B47">
        <w:rPr>
          <w:rFonts w:ascii="Century" w:hAnsi="Century" w:cs="Miriam"/>
          <w:b/>
          <w:spacing w:val="0"/>
          <w:sz w:val="22"/>
          <w:szCs w:val="24"/>
          <w:rtl/>
        </w:rPr>
        <w:t xml:space="preserve"> </w:t>
      </w:r>
      <w:r w:rsidR="00B11B98" w:rsidRPr="00DD6B47">
        <w:rPr>
          <w:rFonts w:ascii="Century" w:hAnsi="Century" w:cs="Miriam" w:hint="eastAsia"/>
          <w:b/>
          <w:spacing w:val="0"/>
          <w:sz w:val="22"/>
          <w:szCs w:val="24"/>
          <w:rtl/>
        </w:rPr>
        <w:t>חוף</w:t>
      </w:r>
      <w:r w:rsidR="00B11B98" w:rsidRPr="00DD6B47">
        <w:rPr>
          <w:rFonts w:ascii="Century" w:hAnsi="Century" w:cs="Miriam"/>
          <w:b/>
          <w:spacing w:val="0"/>
          <w:sz w:val="22"/>
          <w:szCs w:val="24"/>
          <w:rtl/>
        </w:rPr>
        <w:t xml:space="preserve"> </w:t>
      </w:r>
      <w:r w:rsidR="00B11B98" w:rsidRPr="00DD6B47">
        <w:rPr>
          <w:rFonts w:ascii="Century" w:hAnsi="Century" w:cs="Miriam" w:hint="eastAsia"/>
          <w:b/>
          <w:spacing w:val="0"/>
          <w:sz w:val="22"/>
          <w:szCs w:val="24"/>
          <w:rtl/>
        </w:rPr>
        <w:t>עזה</w:t>
      </w:r>
      <w:r w:rsidR="00B11B98" w:rsidRPr="00DD6B47">
        <w:rPr>
          <w:rFonts w:ascii="Century" w:hAnsi="Century" w:cs="Miriam"/>
          <w:b/>
          <w:spacing w:val="0"/>
          <w:sz w:val="22"/>
          <w:szCs w:val="24"/>
          <w:rtl/>
        </w:rPr>
        <w:t xml:space="preserve"> </w:t>
      </w:r>
      <w:r w:rsidR="00B11B98" w:rsidRPr="00DD6B47">
        <w:rPr>
          <w:rFonts w:ascii="Century" w:hAnsi="Century" w:cs="Miriam" w:hint="eastAsia"/>
          <w:b/>
          <w:spacing w:val="0"/>
          <w:sz w:val="22"/>
          <w:szCs w:val="24"/>
          <w:rtl/>
        </w:rPr>
        <w:t>נ</w:t>
      </w:r>
      <w:r w:rsidR="00B11B98" w:rsidRPr="00DD6B47">
        <w:rPr>
          <w:rFonts w:ascii="Century" w:hAnsi="Century" w:cs="Miriam"/>
          <w:b/>
          <w:spacing w:val="0"/>
          <w:sz w:val="22"/>
          <w:szCs w:val="24"/>
          <w:rtl/>
        </w:rPr>
        <w:t xml:space="preserve">' </w:t>
      </w:r>
      <w:r w:rsidR="00B11B98" w:rsidRPr="00DD6B47">
        <w:rPr>
          <w:rFonts w:ascii="Century" w:hAnsi="Century" w:cs="Miriam" w:hint="eastAsia"/>
          <w:b/>
          <w:spacing w:val="0"/>
          <w:sz w:val="22"/>
          <w:szCs w:val="24"/>
          <w:rtl/>
        </w:rPr>
        <w:t>כנסת</w:t>
      </w:r>
      <w:r w:rsidR="00B11B98" w:rsidRPr="00DD6B47">
        <w:rPr>
          <w:rFonts w:ascii="Century" w:hAnsi="Century" w:cs="Miriam"/>
          <w:b/>
          <w:spacing w:val="0"/>
          <w:sz w:val="22"/>
          <w:szCs w:val="24"/>
          <w:rtl/>
        </w:rPr>
        <w:t xml:space="preserve"> </w:t>
      </w:r>
      <w:r w:rsidR="00B11B98" w:rsidRPr="00DD6B47">
        <w:rPr>
          <w:rFonts w:ascii="Century" w:hAnsi="Century" w:cs="Miriam" w:hint="eastAsia"/>
          <w:b/>
          <w:spacing w:val="0"/>
          <w:sz w:val="22"/>
          <w:szCs w:val="24"/>
          <w:rtl/>
        </w:rPr>
        <w:t>ישראל</w:t>
      </w:r>
      <w:r w:rsidR="00B11B98" w:rsidRPr="008B0548">
        <w:rPr>
          <w:rtl/>
        </w:rPr>
        <w:t xml:space="preserve">, </w:t>
      </w:r>
      <w:r w:rsidR="00B11B98" w:rsidRPr="008B0548">
        <w:rPr>
          <w:rFonts w:hint="eastAsia"/>
          <w:rtl/>
        </w:rPr>
        <w:t>פ</w:t>
      </w:r>
      <w:r w:rsidR="00B11B98" w:rsidRPr="008B0548">
        <w:rPr>
          <w:rtl/>
        </w:rPr>
        <w:t>"</w:t>
      </w:r>
      <w:r w:rsidR="00B11B98" w:rsidRPr="008B0548">
        <w:rPr>
          <w:rFonts w:hint="eastAsia"/>
          <w:rtl/>
        </w:rPr>
        <w:t>ד</w:t>
      </w:r>
      <w:r w:rsidR="00B11B98" w:rsidRPr="008B0548">
        <w:rPr>
          <w:rtl/>
        </w:rPr>
        <w:t xml:space="preserve"> </w:t>
      </w:r>
      <w:r w:rsidR="00B11B98" w:rsidRPr="008B0548">
        <w:rPr>
          <w:rFonts w:hint="eastAsia"/>
          <w:rtl/>
        </w:rPr>
        <w:t>מט</w:t>
      </w:r>
      <w:r w:rsidR="00B11B98" w:rsidRPr="008B0548">
        <w:rPr>
          <w:rtl/>
        </w:rPr>
        <w:t xml:space="preserve">(2) 481, </w:t>
      </w:r>
      <w:r w:rsidR="00B11B98">
        <w:rPr>
          <w:rFonts w:hint="cs"/>
          <w:rtl/>
        </w:rPr>
        <w:t>553</w:t>
      </w:r>
      <w:r w:rsidR="00B11B98" w:rsidRPr="008B0548">
        <w:rPr>
          <w:rFonts w:hint="cs"/>
          <w:rtl/>
        </w:rPr>
        <w:t xml:space="preserve"> (2005) (להלן</w:t>
      </w:r>
      <w:r w:rsidR="00B11B98">
        <w:rPr>
          <w:rFonts w:hint="cs"/>
          <w:rtl/>
        </w:rPr>
        <w:t>:</w:t>
      </w:r>
      <w:r w:rsidR="00B11B98" w:rsidRPr="008B0548">
        <w:rPr>
          <w:rFonts w:hint="cs"/>
          <w:rtl/>
        </w:rPr>
        <w:t xml:space="preserve"> </w:t>
      </w:r>
      <w:r w:rsidR="00B11B98" w:rsidRPr="00DD6B47">
        <w:rPr>
          <w:rFonts w:ascii="Century" w:hAnsi="Century" w:cs="Miriam" w:hint="eastAsia"/>
          <w:b/>
          <w:spacing w:val="0"/>
          <w:sz w:val="22"/>
          <w:szCs w:val="24"/>
          <w:rtl/>
        </w:rPr>
        <w:t>עניין</w:t>
      </w:r>
      <w:r w:rsidR="00B11B98" w:rsidRPr="00DD6B47">
        <w:rPr>
          <w:rFonts w:ascii="Century" w:hAnsi="Century" w:cs="Miriam"/>
          <w:b/>
          <w:spacing w:val="0"/>
          <w:sz w:val="22"/>
          <w:szCs w:val="24"/>
          <w:rtl/>
        </w:rPr>
        <w:t xml:space="preserve"> </w:t>
      </w:r>
      <w:r w:rsidR="00B11B98" w:rsidRPr="00DD6B47">
        <w:rPr>
          <w:rFonts w:ascii="Century" w:hAnsi="Century" w:cs="Miriam" w:hint="eastAsia"/>
          <w:b/>
          <w:spacing w:val="0"/>
          <w:sz w:val="22"/>
          <w:szCs w:val="24"/>
          <w:rtl/>
        </w:rPr>
        <w:t>חוף</w:t>
      </w:r>
      <w:r w:rsidR="00B11B98" w:rsidRPr="00DD6B47">
        <w:rPr>
          <w:rFonts w:ascii="Century" w:hAnsi="Century" w:cs="Miriam"/>
          <w:b/>
          <w:spacing w:val="0"/>
          <w:sz w:val="22"/>
          <w:szCs w:val="24"/>
          <w:rtl/>
        </w:rPr>
        <w:t xml:space="preserve"> </w:t>
      </w:r>
      <w:r w:rsidR="00B11B98" w:rsidRPr="00DD6B47">
        <w:rPr>
          <w:rFonts w:ascii="Century" w:hAnsi="Century" w:cs="Miriam" w:hint="eastAsia"/>
          <w:b/>
          <w:spacing w:val="0"/>
          <w:sz w:val="22"/>
          <w:szCs w:val="24"/>
          <w:rtl/>
        </w:rPr>
        <w:t>עזה</w:t>
      </w:r>
      <w:r w:rsidR="00B11B98" w:rsidRPr="008B0548">
        <w:rPr>
          <w:rFonts w:hint="cs"/>
          <w:rtl/>
        </w:rPr>
        <w:t>)</w:t>
      </w:r>
      <w:r>
        <w:rPr>
          <w:rFonts w:hint="cs"/>
          <w:rtl/>
        </w:rPr>
        <w:t xml:space="preserve">). לפיכך, </w:t>
      </w:r>
      <w:r w:rsidRPr="00CA1AC0">
        <w:rPr>
          <w:rFonts w:ascii="Century" w:hAnsi="Century" w:cs="Miriam" w:hint="cs"/>
          <w:b/>
          <w:spacing w:val="0"/>
          <w:sz w:val="22"/>
          <w:szCs w:val="24"/>
          <w:rtl/>
        </w:rPr>
        <w:t xml:space="preserve">"לא </w:t>
      </w:r>
      <w:r w:rsidRPr="00CA1AC0">
        <w:rPr>
          <w:rFonts w:ascii="Century" w:hAnsi="Century" w:cs="Miriam"/>
          <w:b/>
          <w:spacing w:val="0"/>
          <w:sz w:val="22"/>
          <w:szCs w:val="24"/>
          <w:rtl/>
        </w:rPr>
        <w:t>בנקל יקבע בית המשפט שחוק מסוים אינו חוקתי</w:t>
      </w:r>
      <w:r w:rsidRPr="00CA1AC0">
        <w:rPr>
          <w:rFonts w:ascii="Century" w:hAnsi="Century" w:cs="Miriam" w:hint="cs"/>
          <w:b/>
          <w:spacing w:val="0"/>
          <w:sz w:val="22"/>
          <w:szCs w:val="24"/>
          <w:rtl/>
        </w:rPr>
        <w:t>"</w:t>
      </w:r>
      <w:r>
        <w:rPr>
          <w:rFonts w:ascii="FrankRuehl" w:hAnsi="FrankRuehl" w:hint="cs"/>
          <w:color w:val="000000"/>
          <w:sz w:val="28"/>
          <w:rtl/>
        </w:rPr>
        <w:t xml:space="preserve"> (</w:t>
      </w:r>
      <w:r w:rsidRPr="00CA1AC0">
        <w:rPr>
          <w:rFonts w:ascii="FrankRuehl" w:hAnsi="FrankRuehl" w:hint="eastAsia"/>
          <w:color w:val="000000"/>
          <w:sz w:val="28"/>
          <w:rtl/>
        </w:rPr>
        <w:t>בג</w:t>
      </w:r>
      <w:r w:rsidRPr="00CA1AC0">
        <w:rPr>
          <w:rFonts w:ascii="FrankRuehl" w:hAnsi="FrankRuehl"/>
          <w:color w:val="000000"/>
          <w:sz w:val="28"/>
          <w:rtl/>
        </w:rPr>
        <w:t>"</w:t>
      </w:r>
      <w:r w:rsidRPr="00CA1AC0">
        <w:rPr>
          <w:rFonts w:ascii="FrankRuehl" w:hAnsi="FrankRuehl" w:hint="eastAsia"/>
          <w:color w:val="000000"/>
          <w:sz w:val="28"/>
          <w:rtl/>
        </w:rPr>
        <w:t>ץ</w:t>
      </w:r>
      <w:r w:rsidRPr="00CA1AC0">
        <w:rPr>
          <w:rFonts w:ascii="FrankRuehl" w:hAnsi="FrankRuehl"/>
          <w:color w:val="000000"/>
          <w:sz w:val="28"/>
          <w:rtl/>
        </w:rPr>
        <w:t xml:space="preserve"> 2605/05 </w:t>
      </w:r>
      <w:r w:rsidRPr="00CA1AC0">
        <w:rPr>
          <w:rFonts w:ascii="Century" w:hAnsi="Century" w:cs="Miriam" w:hint="eastAsia"/>
          <w:b/>
          <w:spacing w:val="0"/>
          <w:sz w:val="22"/>
          <w:szCs w:val="24"/>
          <w:rtl/>
        </w:rPr>
        <w:t>המרכז</w:t>
      </w:r>
      <w:r w:rsidRPr="00CA1AC0">
        <w:rPr>
          <w:rFonts w:ascii="Century" w:hAnsi="Century" w:cs="Miriam"/>
          <w:b/>
          <w:spacing w:val="0"/>
          <w:sz w:val="22"/>
          <w:szCs w:val="24"/>
          <w:rtl/>
        </w:rPr>
        <w:t xml:space="preserve"> </w:t>
      </w:r>
      <w:r w:rsidRPr="00CA1AC0">
        <w:rPr>
          <w:rFonts w:ascii="Century" w:hAnsi="Century" w:cs="Miriam" w:hint="eastAsia"/>
          <w:b/>
          <w:spacing w:val="0"/>
          <w:sz w:val="22"/>
          <w:szCs w:val="24"/>
          <w:rtl/>
        </w:rPr>
        <w:t>האקדמי</w:t>
      </w:r>
      <w:r w:rsidRPr="00CA1AC0">
        <w:rPr>
          <w:rFonts w:ascii="Century" w:hAnsi="Century" w:cs="Miriam"/>
          <w:b/>
          <w:spacing w:val="0"/>
          <w:sz w:val="22"/>
          <w:szCs w:val="24"/>
          <w:rtl/>
        </w:rPr>
        <w:t xml:space="preserve"> </w:t>
      </w:r>
      <w:r w:rsidRPr="00CA1AC0">
        <w:rPr>
          <w:rFonts w:ascii="Century" w:hAnsi="Century" w:cs="Miriam" w:hint="eastAsia"/>
          <w:b/>
          <w:spacing w:val="0"/>
          <w:sz w:val="22"/>
          <w:szCs w:val="24"/>
          <w:rtl/>
        </w:rPr>
        <w:t>למשפט</w:t>
      </w:r>
      <w:r w:rsidRPr="00CA1AC0">
        <w:rPr>
          <w:rFonts w:ascii="Century" w:hAnsi="Century" w:cs="Miriam"/>
          <w:b/>
          <w:spacing w:val="0"/>
          <w:sz w:val="22"/>
          <w:szCs w:val="24"/>
          <w:rtl/>
        </w:rPr>
        <w:t xml:space="preserve"> </w:t>
      </w:r>
      <w:r w:rsidRPr="00CA1AC0">
        <w:rPr>
          <w:rFonts w:ascii="Century" w:hAnsi="Century" w:cs="Miriam" w:hint="eastAsia"/>
          <w:b/>
          <w:spacing w:val="0"/>
          <w:sz w:val="22"/>
          <w:szCs w:val="24"/>
          <w:rtl/>
        </w:rPr>
        <w:t>ולעסקים</w:t>
      </w:r>
      <w:r w:rsidRPr="00CA1AC0">
        <w:rPr>
          <w:rFonts w:ascii="Century" w:hAnsi="Century" w:cs="Miriam"/>
          <w:b/>
          <w:spacing w:val="0"/>
          <w:sz w:val="22"/>
          <w:szCs w:val="24"/>
          <w:rtl/>
        </w:rPr>
        <w:t xml:space="preserve">, </w:t>
      </w:r>
      <w:r w:rsidRPr="00CA1AC0">
        <w:rPr>
          <w:rFonts w:ascii="Century" w:hAnsi="Century" w:cs="Miriam" w:hint="eastAsia"/>
          <w:b/>
          <w:spacing w:val="0"/>
          <w:sz w:val="22"/>
          <w:szCs w:val="24"/>
          <w:rtl/>
        </w:rPr>
        <w:t>חטיבת</w:t>
      </w:r>
      <w:r w:rsidRPr="00CA1AC0">
        <w:rPr>
          <w:rFonts w:ascii="Century" w:hAnsi="Century" w:cs="Miriam"/>
          <w:b/>
          <w:spacing w:val="0"/>
          <w:sz w:val="22"/>
          <w:szCs w:val="24"/>
          <w:rtl/>
        </w:rPr>
        <w:t xml:space="preserve"> </w:t>
      </w:r>
      <w:r w:rsidRPr="00CA1AC0">
        <w:rPr>
          <w:rFonts w:ascii="Century" w:hAnsi="Century" w:cs="Miriam" w:hint="eastAsia"/>
          <w:b/>
          <w:spacing w:val="0"/>
          <w:sz w:val="22"/>
          <w:szCs w:val="24"/>
          <w:rtl/>
        </w:rPr>
        <w:t>זכויות</w:t>
      </w:r>
      <w:r w:rsidRPr="00CA1AC0">
        <w:rPr>
          <w:rFonts w:ascii="Century" w:hAnsi="Century" w:cs="Miriam"/>
          <w:b/>
          <w:spacing w:val="0"/>
          <w:sz w:val="22"/>
          <w:szCs w:val="24"/>
          <w:rtl/>
        </w:rPr>
        <w:t xml:space="preserve"> </w:t>
      </w:r>
      <w:r w:rsidRPr="00CA1AC0">
        <w:rPr>
          <w:rFonts w:ascii="Century" w:hAnsi="Century" w:cs="Miriam" w:hint="eastAsia"/>
          <w:b/>
          <w:spacing w:val="0"/>
          <w:sz w:val="22"/>
          <w:szCs w:val="24"/>
          <w:rtl/>
        </w:rPr>
        <w:t>האדם</w:t>
      </w:r>
      <w:r w:rsidRPr="00CA1AC0">
        <w:rPr>
          <w:rFonts w:ascii="Century" w:hAnsi="Century" w:cs="Miriam"/>
          <w:b/>
          <w:spacing w:val="0"/>
          <w:sz w:val="22"/>
          <w:szCs w:val="24"/>
          <w:rtl/>
        </w:rPr>
        <w:t xml:space="preserve"> </w:t>
      </w:r>
      <w:r w:rsidRPr="00CA1AC0">
        <w:rPr>
          <w:rFonts w:ascii="Century" w:hAnsi="Century" w:cs="Miriam" w:hint="eastAsia"/>
          <w:b/>
          <w:spacing w:val="0"/>
          <w:sz w:val="22"/>
          <w:szCs w:val="24"/>
          <w:rtl/>
        </w:rPr>
        <w:t>נ</w:t>
      </w:r>
      <w:r w:rsidRPr="00CA1AC0">
        <w:rPr>
          <w:rFonts w:ascii="Century" w:hAnsi="Century" w:cs="Miriam"/>
          <w:b/>
          <w:spacing w:val="0"/>
          <w:sz w:val="22"/>
          <w:szCs w:val="24"/>
          <w:rtl/>
        </w:rPr>
        <w:t xml:space="preserve">' </w:t>
      </w:r>
      <w:r w:rsidRPr="00CA1AC0">
        <w:rPr>
          <w:rFonts w:ascii="Century" w:hAnsi="Century" w:cs="Miriam" w:hint="eastAsia"/>
          <w:b/>
          <w:spacing w:val="0"/>
          <w:sz w:val="22"/>
          <w:szCs w:val="24"/>
          <w:rtl/>
        </w:rPr>
        <w:t>שר</w:t>
      </w:r>
      <w:r w:rsidRPr="00CA1AC0">
        <w:rPr>
          <w:rFonts w:ascii="Century" w:hAnsi="Century" w:cs="Miriam"/>
          <w:b/>
          <w:spacing w:val="0"/>
          <w:sz w:val="22"/>
          <w:szCs w:val="24"/>
          <w:rtl/>
        </w:rPr>
        <w:t xml:space="preserve"> </w:t>
      </w:r>
      <w:r w:rsidRPr="00CA1AC0">
        <w:rPr>
          <w:rFonts w:ascii="Century" w:hAnsi="Century" w:cs="Miriam" w:hint="eastAsia"/>
          <w:b/>
          <w:spacing w:val="0"/>
          <w:sz w:val="22"/>
          <w:szCs w:val="24"/>
          <w:rtl/>
        </w:rPr>
        <w:t>האוצר</w:t>
      </w:r>
      <w:r w:rsidRPr="00CA1AC0">
        <w:rPr>
          <w:rFonts w:ascii="FrankRuehl" w:hAnsi="FrankRuehl"/>
          <w:color w:val="000000"/>
          <w:sz w:val="28"/>
          <w:rtl/>
        </w:rPr>
        <w:t xml:space="preserve">, </w:t>
      </w:r>
      <w:r w:rsidRPr="00CA1AC0">
        <w:rPr>
          <w:rFonts w:ascii="FrankRuehl" w:hAnsi="FrankRuehl" w:hint="eastAsia"/>
          <w:color w:val="000000"/>
          <w:sz w:val="28"/>
          <w:rtl/>
        </w:rPr>
        <w:t>פ</w:t>
      </w:r>
      <w:r w:rsidRPr="00CA1AC0">
        <w:rPr>
          <w:rFonts w:ascii="FrankRuehl" w:hAnsi="FrankRuehl"/>
          <w:color w:val="000000"/>
          <w:sz w:val="28"/>
          <w:rtl/>
        </w:rPr>
        <w:t>"</w:t>
      </w:r>
      <w:r w:rsidRPr="00CA1AC0">
        <w:rPr>
          <w:rFonts w:ascii="FrankRuehl" w:hAnsi="FrankRuehl" w:hint="eastAsia"/>
          <w:color w:val="000000"/>
          <w:sz w:val="28"/>
          <w:rtl/>
        </w:rPr>
        <w:t>ד</w:t>
      </w:r>
      <w:r w:rsidRPr="00CA1AC0">
        <w:rPr>
          <w:rFonts w:ascii="FrankRuehl" w:hAnsi="FrankRuehl"/>
          <w:color w:val="000000"/>
          <w:sz w:val="28"/>
          <w:rtl/>
        </w:rPr>
        <w:t xml:space="preserve"> </w:t>
      </w:r>
      <w:r w:rsidRPr="00CA1AC0">
        <w:rPr>
          <w:rFonts w:ascii="FrankRuehl" w:hAnsi="FrankRuehl" w:hint="eastAsia"/>
          <w:color w:val="000000"/>
          <w:sz w:val="28"/>
          <w:rtl/>
        </w:rPr>
        <w:t>סג</w:t>
      </w:r>
      <w:r w:rsidRPr="00CA1AC0">
        <w:rPr>
          <w:rFonts w:ascii="FrankRuehl" w:hAnsi="FrankRuehl"/>
          <w:color w:val="000000"/>
          <w:sz w:val="28"/>
          <w:rtl/>
        </w:rPr>
        <w:t>(2) 545, 568 (2009)</w:t>
      </w:r>
      <w:r>
        <w:rPr>
          <w:rFonts w:hint="cs"/>
          <w:rtl/>
        </w:rPr>
        <w:t xml:space="preserve"> (להלן: </w:t>
      </w:r>
      <w:r w:rsidRPr="00CA1AC0">
        <w:rPr>
          <w:rFonts w:ascii="Century" w:hAnsi="Century" w:cs="Miriam" w:hint="cs"/>
          <w:b/>
          <w:spacing w:val="0"/>
          <w:sz w:val="22"/>
          <w:szCs w:val="24"/>
          <w:rtl/>
        </w:rPr>
        <w:t>עניין הפרטת בתי הסוהר</w:t>
      </w:r>
      <w:r>
        <w:rPr>
          <w:rFonts w:hint="cs"/>
          <w:rtl/>
        </w:rPr>
        <w:t>)</w:t>
      </w:r>
      <w:r w:rsidR="00543584">
        <w:rPr>
          <w:rFonts w:hint="cs"/>
          <w:rtl/>
        </w:rPr>
        <w:t>)</w:t>
      </w:r>
      <w:r>
        <w:rPr>
          <w:rFonts w:hint="cs"/>
          <w:rtl/>
        </w:rPr>
        <w:t xml:space="preserve">. יש לתת את הדעת בכל עת, כי כאשר מופעלת ביקורת שיפוטית על חקיקת הכנסת, יש בכך משום פגיעה בעקרונות שלטון הרוב והפרדת הרשויות. </w:t>
      </w:r>
      <w:r w:rsidR="00D705BF" w:rsidRPr="00D705BF">
        <w:rPr>
          <w:rFonts w:ascii="Century" w:hAnsi="Century" w:cs="Miriam" w:hint="cs"/>
          <w:b/>
          <w:spacing w:val="0"/>
          <w:sz w:val="22"/>
          <w:szCs w:val="24"/>
          <w:rtl/>
        </w:rPr>
        <w:t>"שומה עלינו לגשת אל המלאכה בדחילו ורחימו, במתינות</w:t>
      </w:r>
      <w:r w:rsidR="00C94C06">
        <w:rPr>
          <w:rFonts w:ascii="Century" w:hAnsi="Century" w:cs="Miriam" w:hint="cs"/>
          <w:b/>
          <w:spacing w:val="0"/>
          <w:sz w:val="22"/>
          <w:szCs w:val="24"/>
          <w:rtl/>
        </w:rPr>
        <w:t>,</w:t>
      </w:r>
      <w:r w:rsidR="00D705BF" w:rsidRPr="00D705BF">
        <w:rPr>
          <w:rFonts w:ascii="Century" w:hAnsi="Century" w:cs="Miriam" w:hint="cs"/>
          <w:b/>
          <w:spacing w:val="0"/>
          <w:sz w:val="22"/>
          <w:szCs w:val="24"/>
          <w:rtl/>
        </w:rPr>
        <w:t xml:space="preserve"> בכבוד"</w:t>
      </w:r>
      <w:r w:rsidR="00D705BF">
        <w:rPr>
          <w:rFonts w:hint="cs"/>
          <w:rtl/>
        </w:rPr>
        <w:t xml:space="preserve"> </w:t>
      </w:r>
      <w:r w:rsidR="00EF7777">
        <w:rPr>
          <w:rFonts w:hint="cs"/>
          <w:rtl/>
        </w:rPr>
        <w:t>(</w:t>
      </w:r>
      <w:r w:rsidR="00D705BF">
        <w:rPr>
          <w:rFonts w:hint="cs"/>
          <w:rtl/>
        </w:rPr>
        <w:t>כך אמרתי ב</w:t>
      </w:r>
      <w:r w:rsidR="00D705BF" w:rsidRPr="00D705BF">
        <w:rPr>
          <w:rFonts w:ascii="Century" w:hAnsi="Century" w:cs="Miriam" w:hint="cs"/>
          <w:b/>
          <w:spacing w:val="0"/>
          <w:sz w:val="22"/>
          <w:szCs w:val="24"/>
          <w:rtl/>
        </w:rPr>
        <w:t>עניין קוונטינסקי</w:t>
      </w:r>
      <w:r w:rsidR="00C94C06">
        <w:rPr>
          <w:rFonts w:hint="cs"/>
          <w:rtl/>
        </w:rPr>
        <w:t>, פסקה 43</w:t>
      </w:r>
      <w:r w:rsidR="00D705BF">
        <w:rPr>
          <w:rFonts w:hint="cs"/>
          <w:rtl/>
        </w:rPr>
        <w:t xml:space="preserve">). </w:t>
      </w:r>
      <w:r>
        <w:rPr>
          <w:rFonts w:hint="cs"/>
          <w:rtl/>
        </w:rPr>
        <w:t xml:space="preserve">כזאת יֵעשה, רק מקום שבו קיימת הצדקה ממשית לכך. הצדקה שכזו קיימת, במישור העקרוני, אם נמצא כי הכנסת חרגה מכללי היסוד שקבעה היא עצמה, בכובעה כרשות מכוננת (ראו, למשל, </w:t>
      </w:r>
      <w:r w:rsidRPr="00CA1AC0">
        <w:rPr>
          <w:rFonts w:hint="eastAsia"/>
          <w:rtl/>
        </w:rPr>
        <w:t>בג</w:t>
      </w:r>
      <w:r w:rsidRPr="00CA1AC0">
        <w:rPr>
          <w:rtl/>
        </w:rPr>
        <w:t>"</w:t>
      </w:r>
      <w:r w:rsidRPr="00CA1AC0">
        <w:rPr>
          <w:rFonts w:hint="eastAsia"/>
          <w:rtl/>
        </w:rPr>
        <w:t>ץ</w:t>
      </w:r>
      <w:r w:rsidRPr="00CA1AC0">
        <w:rPr>
          <w:rtl/>
        </w:rPr>
        <w:t xml:space="preserve"> 3390/16 </w:t>
      </w:r>
      <w:r w:rsidRPr="00CA1AC0">
        <w:rPr>
          <w:rFonts w:ascii="Century" w:hAnsi="Century" w:cs="Miriam" w:hint="eastAsia"/>
          <w:b/>
          <w:spacing w:val="0"/>
          <w:sz w:val="22"/>
          <w:szCs w:val="24"/>
          <w:rtl/>
        </w:rPr>
        <w:t>עדאלה</w:t>
      </w:r>
      <w:r w:rsidRPr="00CA1AC0">
        <w:rPr>
          <w:rFonts w:ascii="Century" w:hAnsi="Century" w:cs="Miriam"/>
          <w:b/>
          <w:spacing w:val="0"/>
          <w:sz w:val="22"/>
          <w:szCs w:val="24"/>
          <w:rtl/>
        </w:rPr>
        <w:t xml:space="preserve"> </w:t>
      </w:r>
      <w:r w:rsidRPr="003C5473">
        <w:rPr>
          <w:rFonts w:ascii="Century" w:hAnsi="Century"/>
          <w:sz w:val="22"/>
          <w:rtl/>
        </w:rPr>
        <w:t>–</w:t>
      </w:r>
      <w:r w:rsidRPr="00CA1AC0">
        <w:rPr>
          <w:rFonts w:ascii="Century" w:hAnsi="Century" w:cs="Miriam"/>
          <w:b/>
          <w:spacing w:val="0"/>
          <w:sz w:val="22"/>
          <w:szCs w:val="24"/>
          <w:rtl/>
        </w:rPr>
        <w:t xml:space="preserve"> </w:t>
      </w:r>
      <w:r w:rsidRPr="00CA1AC0">
        <w:rPr>
          <w:rFonts w:ascii="Century" w:hAnsi="Century" w:cs="Miriam" w:hint="eastAsia"/>
          <w:b/>
          <w:spacing w:val="0"/>
          <w:sz w:val="22"/>
          <w:szCs w:val="24"/>
          <w:rtl/>
        </w:rPr>
        <w:t>המרכז</w:t>
      </w:r>
      <w:r w:rsidRPr="00CA1AC0">
        <w:rPr>
          <w:rFonts w:ascii="Century" w:hAnsi="Century" w:cs="Miriam"/>
          <w:b/>
          <w:spacing w:val="0"/>
          <w:sz w:val="22"/>
          <w:szCs w:val="24"/>
          <w:rtl/>
        </w:rPr>
        <w:t xml:space="preserve"> </w:t>
      </w:r>
      <w:r w:rsidRPr="00CA1AC0">
        <w:rPr>
          <w:rFonts w:ascii="Century" w:hAnsi="Century" w:cs="Miriam" w:hint="eastAsia"/>
          <w:b/>
          <w:spacing w:val="0"/>
          <w:sz w:val="22"/>
          <w:szCs w:val="24"/>
          <w:rtl/>
        </w:rPr>
        <w:t>המשפטי</w:t>
      </w:r>
      <w:r w:rsidRPr="00CA1AC0">
        <w:rPr>
          <w:rFonts w:ascii="Century" w:hAnsi="Century" w:cs="Miriam"/>
          <w:b/>
          <w:spacing w:val="0"/>
          <w:sz w:val="22"/>
          <w:szCs w:val="24"/>
          <w:rtl/>
        </w:rPr>
        <w:t xml:space="preserve"> </w:t>
      </w:r>
      <w:r w:rsidRPr="00CA1AC0">
        <w:rPr>
          <w:rFonts w:ascii="Century" w:hAnsi="Century" w:cs="Miriam" w:hint="eastAsia"/>
          <w:b/>
          <w:spacing w:val="0"/>
          <w:sz w:val="22"/>
          <w:szCs w:val="24"/>
          <w:rtl/>
        </w:rPr>
        <w:t>לזכויות</w:t>
      </w:r>
      <w:r w:rsidRPr="00CA1AC0">
        <w:rPr>
          <w:rFonts w:ascii="Century" w:hAnsi="Century" w:cs="Miriam"/>
          <w:b/>
          <w:spacing w:val="0"/>
          <w:sz w:val="22"/>
          <w:szCs w:val="24"/>
          <w:rtl/>
        </w:rPr>
        <w:t xml:space="preserve"> </w:t>
      </w:r>
      <w:r w:rsidRPr="00CA1AC0">
        <w:rPr>
          <w:rFonts w:ascii="Century" w:hAnsi="Century" w:cs="Miriam" w:hint="eastAsia"/>
          <w:b/>
          <w:spacing w:val="0"/>
          <w:sz w:val="22"/>
          <w:szCs w:val="24"/>
          <w:rtl/>
        </w:rPr>
        <w:t>המיעוט</w:t>
      </w:r>
      <w:r w:rsidRPr="00CA1AC0">
        <w:rPr>
          <w:rFonts w:ascii="Century" w:hAnsi="Century" w:cs="Miriam"/>
          <w:b/>
          <w:spacing w:val="0"/>
          <w:sz w:val="22"/>
          <w:szCs w:val="24"/>
          <w:rtl/>
        </w:rPr>
        <w:t xml:space="preserve"> </w:t>
      </w:r>
      <w:r w:rsidRPr="00CA1AC0">
        <w:rPr>
          <w:rFonts w:ascii="Century" w:hAnsi="Century" w:cs="Miriam" w:hint="eastAsia"/>
          <w:b/>
          <w:spacing w:val="0"/>
          <w:sz w:val="22"/>
          <w:szCs w:val="24"/>
          <w:rtl/>
        </w:rPr>
        <w:t>הערבי</w:t>
      </w:r>
      <w:r w:rsidRPr="00CA1AC0">
        <w:rPr>
          <w:rFonts w:ascii="Century" w:hAnsi="Century" w:cs="Miriam"/>
          <w:b/>
          <w:spacing w:val="0"/>
          <w:sz w:val="22"/>
          <w:szCs w:val="24"/>
          <w:rtl/>
        </w:rPr>
        <w:t xml:space="preserve"> </w:t>
      </w:r>
      <w:r w:rsidRPr="00CA1AC0">
        <w:rPr>
          <w:rFonts w:ascii="Century" w:hAnsi="Century" w:cs="Miriam" w:hint="eastAsia"/>
          <w:b/>
          <w:spacing w:val="0"/>
          <w:sz w:val="22"/>
          <w:szCs w:val="24"/>
          <w:rtl/>
        </w:rPr>
        <w:t>בישראל</w:t>
      </w:r>
      <w:r w:rsidRPr="00CA1AC0">
        <w:rPr>
          <w:rFonts w:ascii="Century" w:hAnsi="Century" w:cs="Miriam"/>
          <w:b/>
          <w:spacing w:val="0"/>
          <w:sz w:val="22"/>
          <w:szCs w:val="24"/>
          <w:rtl/>
        </w:rPr>
        <w:t xml:space="preserve"> </w:t>
      </w:r>
      <w:r w:rsidRPr="00CA1AC0">
        <w:rPr>
          <w:rFonts w:ascii="Century" w:hAnsi="Century" w:cs="Miriam" w:hint="eastAsia"/>
          <w:b/>
          <w:spacing w:val="0"/>
          <w:sz w:val="22"/>
          <w:szCs w:val="24"/>
          <w:rtl/>
        </w:rPr>
        <w:t>נ</w:t>
      </w:r>
      <w:r w:rsidRPr="00CA1AC0">
        <w:rPr>
          <w:rFonts w:ascii="Century" w:hAnsi="Century" w:cs="Miriam"/>
          <w:b/>
          <w:spacing w:val="0"/>
          <w:sz w:val="22"/>
          <w:szCs w:val="24"/>
          <w:rtl/>
        </w:rPr>
        <w:t xml:space="preserve">' </w:t>
      </w:r>
      <w:r w:rsidRPr="00CA1AC0">
        <w:rPr>
          <w:rFonts w:ascii="Century" w:hAnsi="Century" w:cs="Miriam" w:hint="eastAsia"/>
          <w:b/>
          <w:spacing w:val="0"/>
          <w:sz w:val="22"/>
          <w:szCs w:val="24"/>
          <w:rtl/>
        </w:rPr>
        <w:t>הכנסת</w:t>
      </w:r>
      <w:r>
        <w:rPr>
          <w:rFonts w:hint="cs"/>
          <w:rtl/>
        </w:rPr>
        <w:t xml:space="preserve">, פסקה 42 לפסק-דיני </w:t>
      </w:r>
      <w:r w:rsidRPr="00CA1AC0">
        <w:rPr>
          <w:rtl/>
        </w:rPr>
        <w:t>(8.7.2021)</w:t>
      </w:r>
      <w:r>
        <w:rPr>
          <w:rFonts w:hint="cs"/>
          <w:rtl/>
        </w:rPr>
        <w:t xml:space="preserve"> (להלן: </w:t>
      </w:r>
      <w:r w:rsidRPr="00CA1AC0">
        <w:rPr>
          <w:rFonts w:ascii="Century" w:hAnsi="Century" w:cs="Miriam" w:hint="cs"/>
          <w:b/>
          <w:spacing w:val="0"/>
          <w:sz w:val="22"/>
          <w:szCs w:val="24"/>
          <w:rtl/>
        </w:rPr>
        <w:t xml:space="preserve">עניין </w:t>
      </w:r>
      <w:r w:rsidR="00EA01D7">
        <w:rPr>
          <w:rFonts w:ascii="Century" w:hAnsi="Century" w:cs="Miriam" w:hint="cs"/>
          <w:b/>
          <w:spacing w:val="0"/>
          <w:sz w:val="22"/>
          <w:szCs w:val="24"/>
          <w:rtl/>
        </w:rPr>
        <w:t>שלילת הגמלאות</w:t>
      </w:r>
      <w:r>
        <w:rPr>
          <w:rFonts w:hint="cs"/>
          <w:rtl/>
        </w:rPr>
        <w:t xml:space="preserve">)). בעת שבית המשפט ניגש למלאכת הביקורת השיפוטית, המורכבת והרגישה, על חקיקת הכנסת, עליו להרחיק עצמו </w:t>
      </w:r>
      <w:r w:rsidRPr="0031165E">
        <w:rPr>
          <w:rFonts w:ascii="Century" w:hAnsi="Century" w:cs="Miriam" w:hint="cs"/>
          <w:b/>
          <w:spacing w:val="0"/>
          <w:sz w:val="22"/>
          <w:szCs w:val="24"/>
          <w:rtl/>
        </w:rPr>
        <w:t>"מעיצוב מחדש של המדיניות שנבחרה על ידי המחוקק"</w:t>
      </w:r>
      <w:r>
        <w:rPr>
          <w:rFonts w:hint="cs"/>
          <w:rtl/>
        </w:rPr>
        <w:t xml:space="preserve"> (עניין </w:t>
      </w:r>
      <w:r w:rsidRPr="00646401">
        <w:rPr>
          <w:rFonts w:ascii="Century" w:hAnsi="Century" w:cs="Miriam" w:hint="cs"/>
          <w:b/>
          <w:spacing w:val="0"/>
          <w:sz w:val="22"/>
          <w:szCs w:val="24"/>
          <w:rtl/>
        </w:rPr>
        <w:t>הפרטת בתי הסוהר</w:t>
      </w:r>
      <w:r>
        <w:rPr>
          <w:rFonts w:hint="cs"/>
          <w:rtl/>
        </w:rPr>
        <w:t xml:space="preserve">, עמוד 568; </w:t>
      </w:r>
      <w:r w:rsidRPr="00646401">
        <w:rPr>
          <w:rFonts w:hint="eastAsia"/>
          <w:rtl/>
        </w:rPr>
        <w:t>בג</w:t>
      </w:r>
      <w:r w:rsidRPr="00646401">
        <w:rPr>
          <w:rtl/>
        </w:rPr>
        <w:t>"</w:t>
      </w:r>
      <w:r w:rsidRPr="00646401">
        <w:rPr>
          <w:rFonts w:hint="eastAsia"/>
          <w:rtl/>
        </w:rPr>
        <w:t>ץ</w:t>
      </w:r>
      <w:r w:rsidRPr="00646401">
        <w:rPr>
          <w:rtl/>
        </w:rPr>
        <w:t xml:space="preserve"> 6411/16 </w:t>
      </w:r>
      <w:r w:rsidRPr="00646401">
        <w:rPr>
          <w:rFonts w:ascii="Century" w:hAnsi="Century" w:cs="Miriam" w:hint="eastAsia"/>
          <w:b/>
          <w:spacing w:val="0"/>
          <w:sz w:val="22"/>
          <w:szCs w:val="24"/>
          <w:rtl/>
        </w:rPr>
        <w:t>הועד</w:t>
      </w:r>
      <w:r w:rsidRPr="00646401">
        <w:rPr>
          <w:rFonts w:ascii="Century" w:hAnsi="Century" w:cs="Miriam"/>
          <w:b/>
          <w:spacing w:val="0"/>
          <w:sz w:val="22"/>
          <w:szCs w:val="24"/>
          <w:rtl/>
        </w:rPr>
        <w:t xml:space="preserve"> </w:t>
      </w:r>
      <w:r w:rsidRPr="00646401">
        <w:rPr>
          <w:rFonts w:ascii="Century" w:hAnsi="Century" w:cs="Miriam" w:hint="eastAsia"/>
          <w:b/>
          <w:spacing w:val="0"/>
          <w:sz w:val="22"/>
          <w:szCs w:val="24"/>
          <w:rtl/>
        </w:rPr>
        <w:t>הארצי</w:t>
      </w:r>
      <w:r w:rsidRPr="00646401">
        <w:rPr>
          <w:rFonts w:ascii="Century" w:hAnsi="Century" w:cs="Miriam"/>
          <w:b/>
          <w:spacing w:val="0"/>
          <w:sz w:val="22"/>
          <w:szCs w:val="24"/>
          <w:rtl/>
        </w:rPr>
        <w:t xml:space="preserve"> </w:t>
      </w:r>
      <w:r w:rsidRPr="00646401">
        <w:rPr>
          <w:rFonts w:ascii="Century" w:hAnsi="Century" w:cs="Miriam" w:hint="eastAsia"/>
          <w:b/>
          <w:spacing w:val="0"/>
          <w:sz w:val="22"/>
          <w:szCs w:val="24"/>
          <w:rtl/>
        </w:rPr>
        <w:t>לראשי</w:t>
      </w:r>
      <w:r w:rsidRPr="00646401">
        <w:rPr>
          <w:rFonts w:ascii="Century" w:hAnsi="Century" w:cs="Miriam"/>
          <w:b/>
          <w:spacing w:val="0"/>
          <w:sz w:val="22"/>
          <w:szCs w:val="24"/>
          <w:rtl/>
        </w:rPr>
        <w:t xml:space="preserve"> </w:t>
      </w:r>
      <w:r w:rsidRPr="00646401">
        <w:rPr>
          <w:rFonts w:ascii="Century" w:hAnsi="Century" w:cs="Miriam" w:hint="eastAsia"/>
          <w:b/>
          <w:spacing w:val="0"/>
          <w:sz w:val="22"/>
          <w:szCs w:val="24"/>
          <w:rtl/>
        </w:rPr>
        <w:t>הרשויות</w:t>
      </w:r>
      <w:r w:rsidRPr="00646401">
        <w:rPr>
          <w:rFonts w:ascii="Century" w:hAnsi="Century" w:cs="Miriam"/>
          <w:b/>
          <w:spacing w:val="0"/>
          <w:sz w:val="22"/>
          <w:szCs w:val="24"/>
          <w:rtl/>
        </w:rPr>
        <w:t xml:space="preserve"> </w:t>
      </w:r>
      <w:r w:rsidRPr="00646401">
        <w:rPr>
          <w:rFonts w:ascii="Century" w:hAnsi="Century" w:cs="Miriam" w:hint="eastAsia"/>
          <w:b/>
          <w:spacing w:val="0"/>
          <w:sz w:val="22"/>
          <w:szCs w:val="24"/>
          <w:rtl/>
        </w:rPr>
        <w:t>המקומיות</w:t>
      </w:r>
      <w:r w:rsidRPr="00646401">
        <w:rPr>
          <w:rFonts w:ascii="Century" w:hAnsi="Century" w:cs="Miriam"/>
          <w:b/>
          <w:spacing w:val="0"/>
          <w:sz w:val="22"/>
          <w:szCs w:val="24"/>
          <w:rtl/>
        </w:rPr>
        <w:t xml:space="preserve"> </w:t>
      </w:r>
      <w:r w:rsidRPr="00646401">
        <w:rPr>
          <w:rFonts w:ascii="Century" w:hAnsi="Century" w:cs="Miriam" w:hint="eastAsia"/>
          <w:b/>
          <w:spacing w:val="0"/>
          <w:sz w:val="22"/>
          <w:szCs w:val="24"/>
          <w:rtl/>
        </w:rPr>
        <w:t>נ</w:t>
      </w:r>
      <w:r w:rsidRPr="00646401">
        <w:rPr>
          <w:rFonts w:ascii="Century" w:hAnsi="Century" w:cs="Miriam"/>
          <w:b/>
          <w:spacing w:val="0"/>
          <w:sz w:val="22"/>
          <w:szCs w:val="24"/>
          <w:rtl/>
        </w:rPr>
        <w:t xml:space="preserve">' </w:t>
      </w:r>
      <w:r w:rsidRPr="00646401">
        <w:rPr>
          <w:rFonts w:ascii="Century" w:hAnsi="Century" w:cs="Miriam" w:hint="eastAsia"/>
          <w:b/>
          <w:spacing w:val="0"/>
          <w:sz w:val="22"/>
          <w:szCs w:val="24"/>
          <w:rtl/>
        </w:rPr>
        <w:t>כנסת</w:t>
      </w:r>
      <w:r w:rsidRPr="00646401">
        <w:rPr>
          <w:rFonts w:ascii="Century" w:hAnsi="Century" w:cs="Miriam"/>
          <w:b/>
          <w:spacing w:val="0"/>
          <w:sz w:val="22"/>
          <w:szCs w:val="24"/>
          <w:rtl/>
        </w:rPr>
        <w:t xml:space="preserve"> </w:t>
      </w:r>
      <w:r w:rsidRPr="00646401">
        <w:rPr>
          <w:rFonts w:ascii="Century" w:hAnsi="Century" w:cs="Miriam" w:hint="eastAsia"/>
          <w:b/>
          <w:spacing w:val="0"/>
          <w:sz w:val="22"/>
          <w:szCs w:val="24"/>
          <w:rtl/>
        </w:rPr>
        <w:t>ישראל</w:t>
      </w:r>
      <w:r>
        <w:rPr>
          <w:rtl/>
        </w:rPr>
        <w:t xml:space="preserve">, </w:t>
      </w:r>
      <w:r w:rsidRPr="00646401">
        <w:rPr>
          <w:rFonts w:hint="eastAsia"/>
          <w:rtl/>
        </w:rPr>
        <w:t>פסקה</w:t>
      </w:r>
      <w:r w:rsidRPr="00646401">
        <w:rPr>
          <w:rtl/>
        </w:rPr>
        <w:t xml:space="preserve"> 30 (19.6.2018))</w:t>
      </w:r>
      <w:r>
        <w:rPr>
          <w:rFonts w:hint="cs"/>
          <w:rtl/>
        </w:rPr>
        <w:t xml:space="preserve">. מילות המפתח </w:t>
      </w:r>
      <w:r>
        <w:rPr>
          <w:rFonts w:hint="cs"/>
          <w:rtl/>
        </w:rPr>
        <w:lastRenderedPageBreak/>
        <w:t xml:space="preserve">הן: כיבוד, איפוק, זהירות וריסון; לאורן נפסע במשעולי הביקורת החוקתית (ראו: </w:t>
      </w:r>
      <w:r w:rsidRPr="00F05717">
        <w:rPr>
          <w:rFonts w:hint="eastAsia"/>
          <w:rtl/>
        </w:rPr>
        <w:t>בג</w:t>
      </w:r>
      <w:r w:rsidRPr="00F05717">
        <w:rPr>
          <w:rtl/>
        </w:rPr>
        <w:t>"</w:t>
      </w:r>
      <w:r w:rsidRPr="00F05717">
        <w:rPr>
          <w:rFonts w:hint="eastAsia"/>
          <w:rtl/>
        </w:rPr>
        <w:t>ץ</w:t>
      </w:r>
      <w:r w:rsidRPr="00F05717">
        <w:rPr>
          <w:rtl/>
        </w:rPr>
        <w:t xml:space="preserve"> 4769/95 </w:t>
      </w:r>
      <w:r w:rsidRPr="00F05717">
        <w:rPr>
          <w:rFonts w:ascii="Century" w:hAnsi="Century" w:cs="Miriam" w:hint="eastAsia"/>
          <w:b/>
          <w:spacing w:val="0"/>
          <w:sz w:val="22"/>
          <w:szCs w:val="24"/>
          <w:rtl/>
        </w:rPr>
        <w:t>מנחם</w:t>
      </w:r>
      <w:r w:rsidRPr="00F05717">
        <w:rPr>
          <w:rFonts w:ascii="Century" w:hAnsi="Century" w:cs="Miriam"/>
          <w:b/>
          <w:spacing w:val="0"/>
          <w:sz w:val="22"/>
          <w:szCs w:val="24"/>
          <w:rtl/>
        </w:rPr>
        <w:t xml:space="preserve"> </w:t>
      </w:r>
      <w:r w:rsidRPr="00F05717">
        <w:rPr>
          <w:rFonts w:ascii="Century" w:hAnsi="Century" w:cs="Miriam" w:hint="eastAsia"/>
          <w:b/>
          <w:spacing w:val="0"/>
          <w:sz w:val="22"/>
          <w:szCs w:val="24"/>
          <w:rtl/>
        </w:rPr>
        <w:t>נ</w:t>
      </w:r>
      <w:r w:rsidRPr="00F05717">
        <w:rPr>
          <w:rFonts w:ascii="Century" w:hAnsi="Century" w:cs="Miriam"/>
          <w:b/>
          <w:spacing w:val="0"/>
          <w:sz w:val="22"/>
          <w:szCs w:val="24"/>
          <w:rtl/>
        </w:rPr>
        <w:t xml:space="preserve">' </w:t>
      </w:r>
      <w:r w:rsidRPr="00F05717">
        <w:rPr>
          <w:rFonts w:ascii="Century" w:hAnsi="Century" w:cs="Miriam" w:hint="eastAsia"/>
          <w:b/>
          <w:spacing w:val="0"/>
          <w:sz w:val="22"/>
          <w:szCs w:val="24"/>
          <w:rtl/>
        </w:rPr>
        <w:t>שר</w:t>
      </w:r>
      <w:r w:rsidRPr="00F05717">
        <w:rPr>
          <w:rFonts w:ascii="Century" w:hAnsi="Century" w:cs="Miriam"/>
          <w:b/>
          <w:spacing w:val="0"/>
          <w:sz w:val="22"/>
          <w:szCs w:val="24"/>
          <w:rtl/>
        </w:rPr>
        <w:t xml:space="preserve"> </w:t>
      </w:r>
      <w:r w:rsidRPr="00F05717">
        <w:rPr>
          <w:rFonts w:ascii="Century" w:hAnsi="Century" w:cs="Miriam" w:hint="eastAsia"/>
          <w:b/>
          <w:spacing w:val="0"/>
          <w:sz w:val="22"/>
          <w:szCs w:val="24"/>
          <w:rtl/>
        </w:rPr>
        <w:t>התחבורה</w:t>
      </w:r>
      <w:r w:rsidRPr="00F05717">
        <w:rPr>
          <w:rtl/>
        </w:rPr>
        <w:t xml:space="preserve">, </w:t>
      </w:r>
      <w:r w:rsidRPr="00F05717">
        <w:rPr>
          <w:rFonts w:hint="eastAsia"/>
          <w:rtl/>
        </w:rPr>
        <w:t>פ</w:t>
      </w:r>
      <w:r w:rsidRPr="00F05717">
        <w:rPr>
          <w:rtl/>
        </w:rPr>
        <w:t>"</w:t>
      </w:r>
      <w:r w:rsidRPr="00F05717">
        <w:rPr>
          <w:rFonts w:hint="eastAsia"/>
          <w:rtl/>
        </w:rPr>
        <w:t>ד</w:t>
      </w:r>
      <w:r w:rsidRPr="00F05717">
        <w:rPr>
          <w:rtl/>
        </w:rPr>
        <w:t xml:space="preserve"> </w:t>
      </w:r>
      <w:r w:rsidRPr="00F05717">
        <w:rPr>
          <w:rFonts w:hint="eastAsia"/>
          <w:rtl/>
        </w:rPr>
        <w:t>נז</w:t>
      </w:r>
      <w:r w:rsidRPr="00F05717">
        <w:rPr>
          <w:rtl/>
        </w:rPr>
        <w:t>(1) 235, 263 (2003</w:t>
      </w:r>
      <w:r>
        <w:rPr>
          <w:rFonts w:hint="cs"/>
          <w:rtl/>
        </w:rPr>
        <w:t xml:space="preserve">) (להלן: </w:t>
      </w:r>
      <w:r w:rsidRPr="002146DC">
        <w:rPr>
          <w:rFonts w:ascii="Century" w:hAnsi="Century" w:cs="Miriam" w:hint="cs"/>
          <w:b/>
          <w:spacing w:val="0"/>
          <w:sz w:val="22"/>
          <w:szCs w:val="24"/>
          <w:rtl/>
        </w:rPr>
        <w:t>עניין מנחם</w:t>
      </w:r>
      <w:r>
        <w:rPr>
          <w:rFonts w:hint="cs"/>
          <w:rtl/>
        </w:rPr>
        <w:t>)</w:t>
      </w:r>
      <w:r w:rsidRPr="00F05717">
        <w:rPr>
          <w:rtl/>
        </w:rPr>
        <w:t>)</w:t>
      </w:r>
      <w:r>
        <w:rPr>
          <w:rFonts w:hint="cs"/>
          <w:rtl/>
        </w:rPr>
        <w:t>.</w:t>
      </w:r>
    </w:p>
    <w:p w:rsidR="00D512D4" w:rsidRPr="00E54EBE" w:rsidRDefault="00D512D4" w:rsidP="000B6AE3">
      <w:pPr>
        <w:pStyle w:val="Ruller41"/>
        <w:spacing w:line="240" w:lineRule="auto"/>
      </w:pPr>
    </w:p>
    <w:p w:rsidR="00D512D4" w:rsidRPr="008B0548" w:rsidRDefault="00D512D4" w:rsidP="00154174">
      <w:pPr>
        <w:pStyle w:val="Ruller4"/>
        <w:rPr>
          <w:rtl/>
        </w:rPr>
      </w:pPr>
      <w:r>
        <w:rPr>
          <w:rFonts w:hint="cs"/>
          <w:rtl/>
        </w:rPr>
        <w:t xml:space="preserve">כידוע, </w:t>
      </w:r>
      <w:r w:rsidRPr="008B0548">
        <w:rPr>
          <w:rFonts w:hint="cs"/>
          <w:rtl/>
        </w:rPr>
        <w:t>בחינ</w:t>
      </w:r>
      <w:r>
        <w:rPr>
          <w:rFonts w:hint="cs"/>
          <w:rtl/>
        </w:rPr>
        <w:t>ת חוקתיותו של חוק</w:t>
      </w:r>
      <w:r w:rsidRPr="008B0548">
        <w:rPr>
          <w:rFonts w:hint="cs"/>
          <w:rtl/>
        </w:rPr>
        <w:t xml:space="preserve"> </w:t>
      </w:r>
      <w:r>
        <w:rPr>
          <w:rFonts w:hint="cs"/>
          <w:rtl/>
        </w:rPr>
        <w:t xml:space="preserve">נעשית </w:t>
      </w:r>
      <w:r w:rsidRPr="008B0548">
        <w:rPr>
          <w:rFonts w:hint="cs"/>
          <w:rtl/>
        </w:rPr>
        <w:t>ב</w:t>
      </w:r>
      <w:r>
        <w:rPr>
          <w:rFonts w:hint="cs"/>
          <w:rtl/>
        </w:rPr>
        <w:t xml:space="preserve">-3 </w:t>
      </w:r>
      <w:r w:rsidRPr="008B0548">
        <w:rPr>
          <w:rFonts w:hint="cs"/>
          <w:rtl/>
        </w:rPr>
        <w:t>שלבים (ראו</w:t>
      </w:r>
      <w:r>
        <w:rPr>
          <w:rFonts w:hint="cs"/>
          <w:rtl/>
        </w:rPr>
        <w:t>, למשל</w:t>
      </w:r>
      <w:r w:rsidRPr="008B0548">
        <w:rPr>
          <w:rFonts w:hint="cs"/>
          <w:rtl/>
        </w:rPr>
        <w:t xml:space="preserve">: עניין </w:t>
      </w:r>
      <w:r w:rsidRPr="00DD6B47">
        <w:rPr>
          <w:rFonts w:ascii="Century" w:hAnsi="Century" w:cs="Miriam" w:hint="eastAsia"/>
          <w:b/>
          <w:spacing w:val="0"/>
          <w:sz w:val="22"/>
          <w:szCs w:val="24"/>
          <w:rtl/>
        </w:rPr>
        <w:t>בנק</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המזרחי</w:t>
      </w:r>
      <w:r w:rsidRPr="008B0548">
        <w:rPr>
          <w:rFonts w:hint="cs"/>
          <w:rtl/>
        </w:rPr>
        <w:t>, עמ</w:t>
      </w:r>
      <w:r>
        <w:rPr>
          <w:rFonts w:hint="cs"/>
          <w:rtl/>
        </w:rPr>
        <w:t>וד</w:t>
      </w:r>
      <w:r w:rsidRPr="008B0548">
        <w:rPr>
          <w:rFonts w:hint="cs"/>
          <w:rtl/>
        </w:rPr>
        <w:t xml:space="preserve"> 428; </w:t>
      </w:r>
      <w:r w:rsidR="00B11B98">
        <w:rPr>
          <w:rFonts w:hint="cs"/>
          <w:rtl/>
        </w:rPr>
        <w:t>עניין</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חוף</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עזה</w:t>
      </w:r>
      <w:r w:rsidR="00B11B98">
        <w:rPr>
          <w:rFonts w:hint="cs"/>
          <w:rtl/>
        </w:rPr>
        <w:t>, 545-544</w:t>
      </w:r>
      <w:r w:rsidRPr="008B0548">
        <w:rPr>
          <w:rFonts w:hint="cs"/>
          <w:rtl/>
        </w:rPr>
        <w:t xml:space="preserve">); </w:t>
      </w:r>
      <w:r w:rsidRPr="008B0548">
        <w:rPr>
          <w:rFonts w:hint="eastAsia"/>
          <w:rtl/>
        </w:rPr>
        <w:t>בג</w:t>
      </w:r>
      <w:r w:rsidRPr="008B0548">
        <w:rPr>
          <w:rtl/>
        </w:rPr>
        <w:t>"</w:t>
      </w:r>
      <w:r w:rsidRPr="008B0548">
        <w:rPr>
          <w:rFonts w:hint="eastAsia"/>
          <w:rtl/>
        </w:rPr>
        <w:t>ץ</w:t>
      </w:r>
      <w:r w:rsidRPr="008B0548">
        <w:rPr>
          <w:rtl/>
        </w:rPr>
        <w:t xml:space="preserve"> 6427/02 </w:t>
      </w:r>
      <w:r w:rsidRPr="00DD6B47">
        <w:rPr>
          <w:rFonts w:ascii="Century" w:hAnsi="Century" w:cs="Miriam" w:hint="eastAsia"/>
          <w:b/>
          <w:spacing w:val="0"/>
          <w:sz w:val="22"/>
          <w:szCs w:val="24"/>
          <w:rtl/>
        </w:rPr>
        <w:t>התנועה</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לאיכות</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השלטון</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בישראל</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נ</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הכנסת</w:t>
      </w:r>
      <w:r w:rsidRPr="008B0548">
        <w:rPr>
          <w:rFonts w:hint="cs"/>
          <w:rtl/>
        </w:rPr>
        <w:t>, פסקה 20 לפסק</w:t>
      </w:r>
      <w:r>
        <w:rPr>
          <w:rFonts w:hint="cs"/>
          <w:rtl/>
        </w:rPr>
        <w:t xml:space="preserve"> הדין</w:t>
      </w:r>
      <w:r w:rsidRPr="008B0548">
        <w:rPr>
          <w:rFonts w:hint="cs"/>
          <w:rtl/>
        </w:rPr>
        <w:t xml:space="preserve"> של הנשיא </w:t>
      </w:r>
      <w:r w:rsidRPr="002146DC">
        <w:rPr>
          <w:rFonts w:ascii="Century" w:hAnsi="Century" w:cs="Miriam" w:hint="eastAsia"/>
          <w:b/>
          <w:spacing w:val="0"/>
          <w:sz w:val="22"/>
          <w:szCs w:val="24"/>
          <w:rtl/>
        </w:rPr>
        <w:t>ברק</w:t>
      </w:r>
      <w:r w:rsidRPr="001E2F6F">
        <w:rPr>
          <w:rtl/>
        </w:rPr>
        <w:t xml:space="preserve"> </w:t>
      </w:r>
      <w:r w:rsidRPr="008B0548">
        <w:rPr>
          <w:rFonts w:hint="cs"/>
          <w:rtl/>
        </w:rPr>
        <w:t>(11.5.2006) (להלן</w:t>
      </w:r>
      <w:r>
        <w:rPr>
          <w:rFonts w:hint="cs"/>
          <w:rtl/>
        </w:rPr>
        <w:t>:</w:t>
      </w:r>
      <w:r w:rsidRPr="008B0548">
        <w:rPr>
          <w:rFonts w:hint="cs"/>
          <w:rtl/>
        </w:rPr>
        <w:t xml:space="preserve"> </w:t>
      </w:r>
      <w:r w:rsidRPr="002146DC">
        <w:rPr>
          <w:rFonts w:ascii="Century" w:hAnsi="Century" w:cs="Miriam"/>
          <w:b/>
          <w:spacing w:val="0"/>
          <w:sz w:val="22"/>
          <w:szCs w:val="24"/>
          <w:rtl/>
        </w:rPr>
        <w:t>עניין</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חוק</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טל</w:t>
      </w:r>
      <w:r w:rsidRPr="008B0548">
        <w:rPr>
          <w:rFonts w:hint="cs"/>
          <w:rtl/>
        </w:rPr>
        <w:t xml:space="preserve">); </w:t>
      </w:r>
      <w:r w:rsidRPr="004272EA">
        <w:rPr>
          <w:rFonts w:hint="eastAsia"/>
          <w:rtl/>
        </w:rPr>
        <w:t>בג</w:t>
      </w:r>
      <w:r w:rsidRPr="004272EA">
        <w:rPr>
          <w:rtl/>
        </w:rPr>
        <w:t>"</w:t>
      </w:r>
      <w:r w:rsidRPr="004272EA">
        <w:rPr>
          <w:rFonts w:hint="eastAsia"/>
          <w:rtl/>
        </w:rPr>
        <w:t>ץ</w:t>
      </w:r>
      <w:r w:rsidRPr="004272EA">
        <w:rPr>
          <w:rtl/>
        </w:rPr>
        <w:t xml:space="preserve"> 10662</w:t>
      </w:r>
      <w:r>
        <w:rPr>
          <w:rFonts w:hint="cs"/>
          <w:rtl/>
        </w:rPr>
        <w:t>/</w:t>
      </w:r>
      <w:r w:rsidRPr="004272EA">
        <w:rPr>
          <w:rtl/>
        </w:rPr>
        <w:t xml:space="preserve">04 </w:t>
      </w:r>
      <w:r w:rsidRPr="00DD6B47">
        <w:rPr>
          <w:rFonts w:ascii="Century" w:hAnsi="Century" w:cs="Miriam" w:hint="eastAsia"/>
          <w:b/>
          <w:spacing w:val="0"/>
          <w:sz w:val="22"/>
          <w:szCs w:val="24"/>
          <w:rtl/>
        </w:rPr>
        <w:t>חסן</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נ</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המוסד</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לביטוח</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לאומי</w:t>
      </w:r>
      <w:r w:rsidRPr="004272EA">
        <w:rPr>
          <w:rtl/>
        </w:rPr>
        <w:t xml:space="preserve">, </w:t>
      </w:r>
      <w:r w:rsidRPr="004272EA">
        <w:rPr>
          <w:rFonts w:hint="eastAsia"/>
          <w:rtl/>
        </w:rPr>
        <w:t>פ</w:t>
      </w:r>
      <w:r w:rsidRPr="004272EA">
        <w:rPr>
          <w:rtl/>
        </w:rPr>
        <w:t>"</w:t>
      </w:r>
      <w:r w:rsidRPr="004272EA">
        <w:rPr>
          <w:rFonts w:hint="eastAsia"/>
          <w:rtl/>
        </w:rPr>
        <w:t>ד</w:t>
      </w:r>
      <w:r w:rsidRPr="004272EA">
        <w:rPr>
          <w:rtl/>
        </w:rPr>
        <w:t xml:space="preserve"> </w:t>
      </w:r>
      <w:r w:rsidRPr="004272EA">
        <w:rPr>
          <w:rFonts w:hint="eastAsia"/>
          <w:rtl/>
        </w:rPr>
        <w:t>סה</w:t>
      </w:r>
      <w:r w:rsidRPr="004272EA">
        <w:rPr>
          <w:rtl/>
        </w:rPr>
        <w:t>(1) 782</w:t>
      </w:r>
      <w:r>
        <w:rPr>
          <w:rFonts w:hint="cs"/>
          <w:rtl/>
        </w:rPr>
        <w:t xml:space="preserve">, פסקה 24 לפסק הדין של הנשיאה </w:t>
      </w:r>
      <w:r w:rsidRPr="002146DC">
        <w:rPr>
          <w:rFonts w:ascii="Century" w:hAnsi="Century" w:cs="Miriam" w:hint="eastAsia"/>
          <w:b/>
          <w:spacing w:val="0"/>
          <w:sz w:val="22"/>
          <w:szCs w:val="24"/>
          <w:rtl/>
        </w:rPr>
        <w:t>ביניש</w:t>
      </w:r>
      <w:r w:rsidRPr="001E2F6F">
        <w:rPr>
          <w:rtl/>
        </w:rPr>
        <w:t xml:space="preserve"> </w:t>
      </w:r>
      <w:r>
        <w:rPr>
          <w:rFonts w:hint="cs"/>
          <w:rtl/>
        </w:rPr>
        <w:t xml:space="preserve">(28.2.2012) (להלן: </w:t>
      </w:r>
      <w:r w:rsidRPr="00543584">
        <w:rPr>
          <w:rFonts w:ascii="Century" w:hAnsi="Century" w:cs="Miriam" w:hint="cs"/>
          <w:b/>
          <w:spacing w:val="0"/>
          <w:sz w:val="22"/>
          <w:szCs w:val="24"/>
          <w:rtl/>
        </w:rPr>
        <w:t>עניין</w:t>
      </w:r>
      <w:r w:rsidRPr="00154174">
        <w:rPr>
          <w:rFonts w:hint="cs"/>
          <w:rtl/>
        </w:rPr>
        <w:t xml:space="preserve"> </w:t>
      </w:r>
      <w:r w:rsidRPr="002146DC">
        <w:rPr>
          <w:rFonts w:ascii="Century" w:hAnsi="Century" w:cs="Miriam" w:hint="cs"/>
          <w:b/>
          <w:spacing w:val="0"/>
          <w:sz w:val="22"/>
          <w:szCs w:val="24"/>
          <w:rtl/>
        </w:rPr>
        <w:t>חסן</w:t>
      </w:r>
      <w:r>
        <w:rPr>
          <w:rFonts w:hint="cs"/>
          <w:rtl/>
        </w:rPr>
        <w:t xml:space="preserve">); </w:t>
      </w:r>
      <w:r w:rsidRPr="00DD6B47">
        <w:rPr>
          <w:rFonts w:ascii="Century" w:hAnsi="Century" w:hint="eastAsia"/>
          <w:sz w:val="22"/>
          <w:rtl/>
        </w:rPr>
        <w:t>עניין</w:t>
      </w:r>
      <w:r w:rsidRPr="00DD6B47">
        <w:rPr>
          <w:rFonts w:ascii="Century" w:hAnsi="Century"/>
          <w:sz w:val="22"/>
          <w:rtl/>
        </w:rPr>
        <w:t xml:space="preserve"> </w:t>
      </w:r>
      <w:r w:rsidR="00EA01D7">
        <w:rPr>
          <w:rFonts w:ascii="Century" w:hAnsi="Century" w:cs="Miriam" w:hint="cs"/>
          <w:b/>
          <w:spacing w:val="0"/>
          <w:sz w:val="22"/>
          <w:szCs w:val="24"/>
          <w:rtl/>
        </w:rPr>
        <w:t>שלילת הגמלאות</w:t>
      </w:r>
      <w:r w:rsidRPr="00DD6B47">
        <w:rPr>
          <w:rFonts w:ascii="Century" w:hAnsi="Century"/>
          <w:sz w:val="22"/>
          <w:rtl/>
        </w:rPr>
        <w:t xml:space="preserve">, </w:t>
      </w:r>
      <w:r>
        <w:rPr>
          <w:rFonts w:hint="cs"/>
          <w:rtl/>
        </w:rPr>
        <w:t>פסקה 43 לפסק-דיני;</w:t>
      </w:r>
      <w:r w:rsidRPr="00726B04">
        <w:rPr>
          <w:rFonts w:hint="eastAsia"/>
          <w:rtl/>
        </w:rPr>
        <w:t xml:space="preserve"> אהרן</w:t>
      </w:r>
      <w:r w:rsidRPr="00726B04">
        <w:rPr>
          <w:rtl/>
        </w:rPr>
        <w:t xml:space="preserve"> </w:t>
      </w:r>
      <w:r w:rsidRPr="00726B04">
        <w:rPr>
          <w:rFonts w:hint="eastAsia"/>
          <w:rtl/>
        </w:rPr>
        <w:t>ברק</w:t>
      </w:r>
      <w:r w:rsidRPr="00726B04">
        <w:rPr>
          <w:rtl/>
        </w:rPr>
        <w:t xml:space="preserve"> "</w:t>
      </w:r>
      <w:r w:rsidRPr="00726B04">
        <w:rPr>
          <w:rFonts w:hint="eastAsia"/>
          <w:rtl/>
        </w:rPr>
        <w:t>הזכות</w:t>
      </w:r>
      <w:r w:rsidRPr="00726B04">
        <w:rPr>
          <w:rtl/>
        </w:rPr>
        <w:t xml:space="preserve"> </w:t>
      </w:r>
      <w:r w:rsidRPr="00726B04">
        <w:rPr>
          <w:rFonts w:hint="eastAsia"/>
          <w:rtl/>
        </w:rPr>
        <w:t>החוקתית</w:t>
      </w:r>
      <w:r w:rsidRPr="00726B04">
        <w:rPr>
          <w:rtl/>
        </w:rPr>
        <w:t xml:space="preserve"> </w:t>
      </w:r>
      <w:r w:rsidRPr="00726B04">
        <w:rPr>
          <w:rFonts w:hint="eastAsia"/>
          <w:rtl/>
        </w:rPr>
        <w:t>והפגיעה</w:t>
      </w:r>
      <w:r w:rsidRPr="00726B04">
        <w:rPr>
          <w:rtl/>
        </w:rPr>
        <w:t xml:space="preserve"> </w:t>
      </w:r>
      <w:r w:rsidRPr="00726B04">
        <w:rPr>
          <w:rFonts w:hint="eastAsia"/>
          <w:rtl/>
        </w:rPr>
        <w:t>בה</w:t>
      </w:r>
      <w:r w:rsidRPr="00726B04">
        <w:rPr>
          <w:rtl/>
        </w:rPr>
        <w:t xml:space="preserve">: </w:t>
      </w:r>
      <w:r w:rsidRPr="00726B04">
        <w:rPr>
          <w:rFonts w:hint="eastAsia"/>
          <w:rtl/>
        </w:rPr>
        <w:t>תורת</w:t>
      </w:r>
      <w:r w:rsidRPr="00726B04">
        <w:rPr>
          <w:rtl/>
        </w:rPr>
        <w:t xml:space="preserve"> </w:t>
      </w:r>
      <w:r w:rsidRPr="00726B04">
        <w:rPr>
          <w:rFonts w:hint="eastAsia"/>
          <w:rtl/>
        </w:rPr>
        <w:t>שלושת</w:t>
      </w:r>
      <w:r w:rsidRPr="00726B04">
        <w:rPr>
          <w:rtl/>
        </w:rPr>
        <w:t xml:space="preserve"> </w:t>
      </w:r>
      <w:r w:rsidRPr="00726B04">
        <w:rPr>
          <w:rFonts w:hint="eastAsia"/>
          <w:rtl/>
        </w:rPr>
        <w:t>השלבים</w:t>
      </w:r>
      <w:r w:rsidRPr="00726B04">
        <w:rPr>
          <w:rtl/>
        </w:rPr>
        <w:t xml:space="preserve">" </w:t>
      </w:r>
      <w:r w:rsidRPr="00DD6B47">
        <w:rPr>
          <w:rFonts w:ascii="Century" w:hAnsi="Century" w:cs="Miriam" w:hint="eastAsia"/>
          <w:b/>
          <w:spacing w:val="0"/>
          <w:sz w:val="22"/>
          <w:szCs w:val="24"/>
          <w:rtl/>
        </w:rPr>
        <w:t>משפט</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וממשל</w:t>
      </w:r>
      <w:r w:rsidRPr="002146DC">
        <w:rPr>
          <w:rFonts w:ascii="Century" w:hAnsi="Century"/>
          <w:sz w:val="22"/>
          <w:rtl/>
        </w:rPr>
        <w:t xml:space="preserve"> </w:t>
      </w:r>
      <w:r w:rsidRPr="002146DC">
        <w:rPr>
          <w:rFonts w:ascii="Century" w:hAnsi="Century" w:hint="eastAsia"/>
          <w:sz w:val="22"/>
          <w:rtl/>
        </w:rPr>
        <w:t>יט</w:t>
      </w:r>
      <w:r w:rsidRPr="00BB65A1">
        <w:rPr>
          <w:rtl/>
        </w:rPr>
        <w:t xml:space="preserve"> </w:t>
      </w:r>
      <w:r w:rsidRPr="00726B04">
        <w:rPr>
          <w:rtl/>
        </w:rPr>
        <w:t>119 (2018)</w:t>
      </w:r>
      <w:r w:rsidR="00D255C8">
        <w:rPr>
          <w:rFonts w:hint="cs"/>
          <w:rtl/>
        </w:rPr>
        <w:t>; אהר</w:t>
      </w:r>
      <w:r>
        <w:rPr>
          <w:rFonts w:hint="cs"/>
          <w:rtl/>
        </w:rPr>
        <w:t xml:space="preserve">ן ברק, </w:t>
      </w:r>
      <w:r w:rsidRPr="002146DC">
        <w:rPr>
          <w:rFonts w:ascii="Century" w:hAnsi="Century" w:cs="Miriam" w:hint="eastAsia"/>
          <w:b/>
          <w:spacing w:val="0"/>
          <w:sz w:val="22"/>
          <w:szCs w:val="24"/>
          <w:rtl/>
        </w:rPr>
        <w:t>מידתיות</w:t>
      </w:r>
      <w:r w:rsidRPr="002146DC">
        <w:rPr>
          <w:rFonts w:ascii="Century" w:hAnsi="Century" w:cs="Miriam"/>
          <w:b/>
          <w:spacing w:val="0"/>
          <w:sz w:val="22"/>
          <w:szCs w:val="24"/>
          <w:rtl/>
        </w:rPr>
        <w:t xml:space="preserve"> </w:t>
      </w:r>
      <w:r w:rsidRPr="002146DC">
        <w:rPr>
          <w:rFonts w:ascii="Century" w:hAnsi="Century" w:cs="Miriam" w:hint="eastAsia"/>
          <w:b/>
          <w:spacing w:val="0"/>
          <w:sz w:val="22"/>
          <w:szCs w:val="24"/>
          <w:rtl/>
        </w:rPr>
        <w:t>במשפט</w:t>
      </w:r>
      <w:r>
        <w:rPr>
          <w:rFonts w:hint="cs"/>
          <w:rtl/>
        </w:rPr>
        <w:t xml:space="preserve">, 53-51 (2010) (להלן: </w:t>
      </w:r>
      <w:r w:rsidRPr="00DD6B47">
        <w:rPr>
          <w:rFonts w:ascii="Century" w:hAnsi="Century" w:cs="Miriam" w:hint="eastAsia"/>
          <w:b/>
          <w:spacing w:val="0"/>
          <w:sz w:val="22"/>
          <w:szCs w:val="24"/>
          <w:rtl/>
        </w:rPr>
        <w:t>ברק</w:t>
      </w:r>
      <w:r>
        <w:rPr>
          <w:rFonts w:ascii="Century" w:hAnsi="Century" w:cs="Miriam" w:hint="cs"/>
          <w:b/>
          <w:spacing w:val="0"/>
          <w:sz w:val="22"/>
          <w:szCs w:val="24"/>
          <w:rtl/>
        </w:rPr>
        <w:t xml:space="preserve"> </w:t>
      </w:r>
      <w:r w:rsidRPr="00E56062">
        <w:rPr>
          <w:rFonts w:ascii="FrankRuehl" w:hAnsi="FrankRuehl"/>
          <w:b/>
          <w:spacing w:val="0"/>
          <w:sz w:val="28"/>
          <w:rtl/>
        </w:rPr>
        <w:t>–</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מידתיות</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במשפט</w:t>
      </w:r>
      <w:r>
        <w:rPr>
          <w:rFonts w:hint="cs"/>
          <w:rtl/>
        </w:rPr>
        <w:t>))</w:t>
      </w:r>
      <w:r w:rsidRPr="008B0548">
        <w:rPr>
          <w:rFonts w:hint="cs"/>
          <w:rtl/>
        </w:rPr>
        <w:t>. בשלב הראשון, נבח</w:t>
      </w:r>
      <w:r>
        <w:rPr>
          <w:rFonts w:hint="cs"/>
          <w:rtl/>
        </w:rPr>
        <w:t>ן</w:t>
      </w:r>
      <w:r w:rsidRPr="008B0548">
        <w:rPr>
          <w:rFonts w:hint="cs"/>
          <w:rtl/>
        </w:rPr>
        <w:t xml:space="preserve"> </w:t>
      </w:r>
      <w:r>
        <w:rPr>
          <w:rFonts w:hint="cs"/>
          <w:rtl/>
        </w:rPr>
        <w:t>ה</w:t>
      </w:r>
      <w:r w:rsidRPr="008B0548">
        <w:rPr>
          <w:rFonts w:hint="cs"/>
          <w:rtl/>
        </w:rPr>
        <w:t xml:space="preserve">אם החוק </w:t>
      </w:r>
      <w:r>
        <w:rPr>
          <w:rFonts w:hint="cs"/>
          <w:rtl/>
        </w:rPr>
        <w:t>הנדון</w:t>
      </w:r>
      <w:r w:rsidRPr="008B0548">
        <w:rPr>
          <w:rFonts w:hint="cs"/>
          <w:rtl/>
        </w:rPr>
        <w:t xml:space="preserve"> פוגע בזכות אדם המעוגנת בחוק יסוד</w:t>
      </w:r>
      <w:r>
        <w:rPr>
          <w:rFonts w:hint="cs"/>
          <w:rtl/>
        </w:rPr>
        <w:t>, אם לאו</w:t>
      </w:r>
      <w:r w:rsidRPr="008B0548">
        <w:rPr>
          <w:rFonts w:hint="cs"/>
          <w:rtl/>
        </w:rPr>
        <w:t xml:space="preserve">. </w:t>
      </w:r>
      <w:r>
        <w:rPr>
          <w:rFonts w:hint="cs"/>
          <w:rtl/>
        </w:rPr>
        <w:t xml:space="preserve">לשם כך, לא די בהוכחת פגיעה כלשהי בזכות לא מוגדרת. נדרש להצביע על פגיעה דווקא </w:t>
      </w:r>
      <w:r w:rsidRPr="00DD6B47">
        <w:rPr>
          <w:rFonts w:ascii="Century" w:hAnsi="Century" w:cs="Miriam"/>
          <w:b/>
          <w:spacing w:val="0"/>
          <w:sz w:val="22"/>
          <w:szCs w:val="24"/>
          <w:rtl/>
        </w:rPr>
        <w:t>"</w:t>
      </w:r>
      <w:r w:rsidRPr="00DD6B47">
        <w:rPr>
          <w:rFonts w:ascii="Century" w:hAnsi="Century" w:cs="Miriam" w:hint="eastAsia"/>
          <w:b/>
          <w:spacing w:val="0"/>
          <w:sz w:val="22"/>
          <w:szCs w:val="24"/>
          <w:rtl/>
        </w:rPr>
        <w:t>בזכויות</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לפי</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חוק</w:t>
      </w:r>
      <w:r w:rsidRPr="00DD6B47">
        <w:rPr>
          <w:rFonts w:ascii="Century" w:hAnsi="Century" w:cs="Miriam"/>
          <w:b/>
          <w:spacing w:val="0"/>
          <w:sz w:val="22"/>
          <w:szCs w:val="24"/>
          <w:rtl/>
        </w:rPr>
        <w:t>-</w:t>
      </w:r>
      <w:r w:rsidRPr="00DD6B47">
        <w:rPr>
          <w:rFonts w:ascii="Century" w:hAnsi="Century" w:cs="Miriam" w:hint="eastAsia"/>
          <w:b/>
          <w:spacing w:val="0"/>
          <w:sz w:val="22"/>
          <w:szCs w:val="24"/>
          <w:rtl/>
        </w:rPr>
        <w:t>יסוד</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זה</w:t>
      </w:r>
      <w:r w:rsidRPr="00DD6B47">
        <w:rPr>
          <w:rFonts w:ascii="Century" w:hAnsi="Century" w:cs="Miriam"/>
          <w:b/>
          <w:spacing w:val="0"/>
          <w:sz w:val="22"/>
          <w:szCs w:val="24"/>
          <w:rtl/>
        </w:rPr>
        <w:t>"</w:t>
      </w:r>
      <w:r>
        <w:rPr>
          <w:rFonts w:hint="cs"/>
          <w:rtl/>
        </w:rPr>
        <w:t xml:space="preserve">; היינו, פגיעה בזכויות המוגנות והמעוגנות בחוק היסוד (ראו, למשל: </w:t>
      </w:r>
      <w:r w:rsidRPr="00105567">
        <w:rPr>
          <w:rFonts w:hint="eastAsia"/>
          <w:rtl/>
        </w:rPr>
        <w:t>בג</w:t>
      </w:r>
      <w:r w:rsidRPr="00105567">
        <w:rPr>
          <w:rtl/>
        </w:rPr>
        <w:t>"</w:t>
      </w:r>
      <w:r w:rsidRPr="00105567">
        <w:rPr>
          <w:rFonts w:hint="eastAsia"/>
          <w:rtl/>
        </w:rPr>
        <w:t>ץ</w:t>
      </w:r>
      <w:r w:rsidRPr="00105567">
        <w:rPr>
          <w:rtl/>
        </w:rPr>
        <w:t xml:space="preserve"> 4128</w:t>
      </w:r>
      <w:r>
        <w:rPr>
          <w:rFonts w:hint="cs"/>
          <w:rtl/>
        </w:rPr>
        <w:t>/</w:t>
      </w:r>
      <w:r w:rsidRPr="00105567">
        <w:rPr>
          <w:rtl/>
        </w:rPr>
        <w:t xml:space="preserve">02 </w:t>
      </w:r>
      <w:r w:rsidRPr="00DD6B47">
        <w:rPr>
          <w:rFonts w:ascii="Century" w:hAnsi="Century" w:cs="Miriam" w:hint="eastAsia"/>
          <w:b/>
          <w:spacing w:val="0"/>
          <w:sz w:val="22"/>
          <w:szCs w:val="24"/>
          <w:rtl/>
        </w:rPr>
        <w:t>אדם</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טבע</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ודין</w:t>
      </w:r>
      <w:r w:rsidRPr="00DD6B47">
        <w:rPr>
          <w:rFonts w:ascii="Century" w:hAnsi="Century" w:cs="Miriam"/>
          <w:b/>
          <w:spacing w:val="0"/>
          <w:sz w:val="22"/>
          <w:szCs w:val="24"/>
          <w:rtl/>
        </w:rPr>
        <w:t xml:space="preserve"> </w:t>
      </w:r>
      <w:r w:rsidRPr="002146DC">
        <w:rPr>
          <w:rFonts w:ascii="Century" w:hAnsi="Century"/>
          <w:sz w:val="22"/>
          <w:rtl/>
        </w:rPr>
        <w:t>–</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אגודה</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ישראלית</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להגנת</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הסביבה</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נ</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ראש</w:t>
      </w:r>
      <w:r w:rsidRPr="00DD6B47">
        <w:rPr>
          <w:rFonts w:ascii="Century" w:hAnsi="Century" w:cs="Miriam"/>
          <w:b/>
          <w:spacing w:val="0"/>
          <w:sz w:val="22"/>
          <w:szCs w:val="24"/>
          <w:rtl/>
        </w:rPr>
        <w:t>-</w:t>
      </w:r>
      <w:r w:rsidRPr="00DD6B47">
        <w:rPr>
          <w:rFonts w:ascii="Century" w:hAnsi="Century" w:cs="Miriam" w:hint="eastAsia"/>
          <w:b/>
          <w:spacing w:val="0"/>
          <w:sz w:val="22"/>
          <w:szCs w:val="24"/>
          <w:rtl/>
        </w:rPr>
        <w:t>ממשלת</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ישראל</w:t>
      </w:r>
      <w:r w:rsidRPr="00105567">
        <w:rPr>
          <w:rtl/>
        </w:rPr>
        <w:t xml:space="preserve">, </w:t>
      </w:r>
      <w:r w:rsidRPr="00105567">
        <w:rPr>
          <w:rFonts w:hint="eastAsia"/>
          <w:rtl/>
        </w:rPr>
        <w:t>פ</w:t>
      </w:r>
      <w:r w:rsidRPr="00105567">
        <w:rPr>
          <w:rtl/>
        </w:rPr>
        <w:t>"</w:t>
      </w:r>
      <w:r w:rsidRPr="00105567">
        <w:rPr>
          <w:rFonts w:hint="eastAsia"/>
          <w:rtl/>
        </w:rPr>
        <w:t>ד</w:t>
      </w:r>
      <w:r w:rsidRPr="00105567">
        <w:rPr>
          <w:rtl/>
        </w:rPr>
        <w:t xml:space="preserve"> </w:t>
      </w:r>
      <w:r w:rsidRPr="00105567">
        <w:rPr>
          <w:rFonts w:hint="eastAsia"/>
          <w:rtl/>
        </w:rPr>
        <w:t>נח</w:t>
      </w:r>
      <w:r w:rsidRPr="00105567">
        <w:rPr>
          <w:rtl/>
        </w:rPr>
        <w:t>(3) 503</w:t>
      </w:r>
      <w:r>
        <w:rPr>
          <w:rFonts w:hint="cs"/>
          <w:rtl/>
        </w:rPr>
        <w:t xml:space="preserve">, 518 (16.3.2004); עניין </w:t>
      </w:r>
      <w:r w:rsidRPr="00DD6B47">
        <w:rPr>
          <w:rFonts w:ascii="Century" w:hAnsi="Century" w:cs="Miriam" w:hint="eastAsia"/>
          <w:b/>
          <w:spacing w:val="0"/>
          <w:sz w:val="22"/>
          <w:szCs w:val="24"/>
          <w:rtl/>
        </w:rPr>
        <w:t>עדאלה</w:t>
      </w:r>
      <w:r w:rsidRPr="00DD6B47">
        <w:rPr>
          <w:rFonts w:ascii="Century" w:hAnsi="Century" w:cs="Miriam"/>
          <w:b/>
          <w:spacing w:val="0"/>
          <w:sz w:val="22"/>
          <w:szCs w:val="24"/>
          <w:rtl/>
        </w:rPr>
        <w:t xml:space="preserve"> </w:t>
      </w:r>
      <w:r w:rsidRPr="002146DC">
        <w:rPr>
          <w:rFonts w:ascii="Century" w:hAnsi="Century"/>
          <w:sz w:val="22"/>
          <w:rtl/>
        </w:rPr>
        <w:t>–</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איחוד</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משפחות</w:t>
      </w:r>
      <w:r>
        <w:rPr>
          <w:rFonts w:hint="cs"/>
          <w:rtl/>
        </w:rPr>
        <w:t xml:space="preserve">, פסקה 18; </w:t>
      </w:r>
      <w:r w:rsidRPr="00B34C2C">
        <w:rPr>
          <w:rFonts w:hint="eastAsia"/>
          <w:rtl/>
        </w:rPr>
        <w:t>בג</w:t>
      </w:r>
      <w:r w:rsidRPr="00B34C2C">
        <w:rPr>
          <w:rtl/>
        </w:rPr>
        <w:t>"</w:t>
      </w:r>
      <w:r w:rsidRPr="00B34C2C">
        <w:rPr>
          <w:rFonts w:hint="eastAsia"/>
          <w:rtl/>
        </w:rPr>
        <w:t>ץ</w:t>
      </w:r>
      <w:r w:rsidRPr="00B34C2C">
        <w:rPr>
          <w:rtl/>
        </w:rPr>
        <w:t xml:space="preserve"> 466</w:t>
      </w:r>
      <w:r>
        <w:rPr>
          <w:rFonts w:hint="cs"/>
          <w:rtl/>
        </w:rPr>
        <w:t>/</w:t>
      </w:r>
      <w:r w:rsidRPr="00B34C2C">
        <w:rPr>
          <w:rtl/>
        </w:rPr>
        <w:t xml:space="preserve">07 </w:t>
      </w:r>
      <w:r w:rsidRPr="00DD6B47">
        <w:rPr>
          <w:rFonts w:ascii="Century" w:hAnsi="Century" w:cs="Miriam" w:hint="eastAsia"/>
          <w:b/>
          <w:spacing w:val="0"/>
          <w:sz w:val="22"/>
          <w:szCs w:val="24"/>
          <w:rtl/>
        </w:rPr>
        <w:t>ח</w:t>
      </w:r>
      <w:r w:rsidRPr="00DD6B47">
        <w:rPr>
          <w:rFonts w:ascii="Century" w:hAnsi="Century" w:cs="Miriam"/>
          <w:b/>
          <w:spacing w:val="0"/>
          <w:sz w:val="22"/>
          <w:szCs w:val="24"/>
          <w:rtl/>
        </w:rPr>
        <w:t>"</w:t>
      </w:r>
      <w:r w:rsidRPr="00DD6B47">
        <w:rPr>
          <w:rFonts w:ascii="Century" w:hAnsi="Century" w:cs="Miriam" w:hint="eastAsia"/>
          <w:b/>
          <w:spacing w:val="0"/>
          <w:sz w:val="22"/>
          <w:szCs w:val="24"/>
          <w:rtl/>
        </w:rPr>
        <w:t>כ</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זהבה</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גלאון</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מר</w:t>
      </w:r>
      <w:r w:rsidRPr="00DD6B47">
        <w:rPr>
          <w:rFonts w:ascii="Century" w:hAnsi="Century" w:cs="Miriam"/>
          <w:b/>
          <w:spacing w:val="0"/>
          <w:sz w:val="22"/>
          <w:szCs w:val="24"/>
          <w:rtl/>
        </w:rPr>
        <w:t>"</w:t>
      </w:r>
      <w:r w:rsidRPr="00DD6B47">
        <w:rPr>
          <w:rFonts w:ascii="Century" w:hAnsi="Century" w:cs="Miriam" w:hint="eastAsia"/>
          <w:b/>
          <w:spacing w:val="0"/>
          <w:sz w:val="22"/>
          <w:szCs w:val="24"/>
          <w:rtl/>
        </w:rPr>
        <w:t>צ</w:t>
      </w:r>
      <w:r w:rsidRPr="00DD6B47">
        <w:rPr>
          <w:rFonts w:ascii="Century" w:hAnsi="Century" w:cs="Miriam"/>
          <w:b/>
          <w:spacing w:val="0"/>
          <w:sz w:val="22"/>
          <w:szCs w:val="24"/>
          <w:rtl/>
        </w:rPr>
        <w:t>-</w:t>
      </w:r>
      <w:r w:rsidRPr="00DD6B47">
        <w:rPr>
          <w:rFonts w:ascii="Century" w:hAnsi="Century" w:cs="Miriam" w:hint="eastAsia"/>
          <w:b/>
          <w:spacing w:val="0"/>
          <w:sz w:val="22"/>
          <w:szCs w:val="24"/>
          <w:rtl/>
        </w:rPr>
        <w:t>יחד</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נ</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היועץ</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המשפטי</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לממשלה</w:t>
      </w:r>
      <w:r w:rsidRPr="00B34C2C">
        <w:rPr>
          <w:rtl/>
        </w:rPr>
        <w:t xml:space="preserve">, </w:t>
      </w:r>
      <w:r w:rsidRPr="00B34C2C">
        <w:rPr>
          <w:rFonts w:hint="eastAsia"/>
          <w:rtl/>
        </w:rPr>
        <w:t>פ</w:t>
      </w:r>
      <w:r>
        <w:rPr>
          <w:rFonts w:hint="cs"/>
          <w:rtl/>
        </w:rPr>
        <w:t xml:space="preserve">סקה ה' לפסק-דינו של השופט (כתוארו אז) </w:t>
      </w:r>
      <w:r w:rsidRPr="00DD6B47">
        <w:rPr>
          <w:rFonts w:ascii="Century" w:hAnsi="Century" w:cs="Miriam" w:hint="eastAsia"/>
          <w:b/>
          <w:spacing w:val="0"/>
          <w:sz w:val="22"/>
          <w:szCs w:val="24"/>
          <w:rtl/>
        </w:rPr>
        <w:t>רובינשטיין</w:t>
      </w:r>
      <w:r w:rsidRPr="0004091F">
        <w:rPr>
          <w:rFonts w:hint="cs"/>
          <w:rtl/>
        </w:rPr>
        <w:t xml:space="preserve"> </w:t>
      </w:r>
      <w:r>
        <w:rPr>
          <w:rFonts w:hint="cs"/>
          <w:rtl/>
        </w:rPr>
        <w:t xml:space="preserve">(11.1.2012) (להלן: </w:t>
      </w:r>
      <w:r w:rsidRPr="00DD6B47">
        <w:rPr>
          <w:rFonts w:ascii="Century" w:hAnsi="Century" w:cs="Miriam" w:hint="eastAsia"/>
          <w:b/>
          <w:spacing w:val="0"/>
          <w:sz w:val="22"/>
          <w:szCs w:val="24"/>
          <w:rtl/>
        </w:rPr>
        <w:t>עניין</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איחוד</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משפחות</w:t>
      </w:r>
      <w:r w:rsidRPr="00DD6B47">
        <w:rPr>
          <w:rFonts w:ascii="Century" w:hAnsi="Century" w:cs="Miriam"/>
          <w:b/>
          <w:spacing w:val="0"/>
          <w:sz w:val="22"/>
          <w:szCs w:val="24"/>
          <w:rtl/>
        </w:rPr>
        <w:t xml:space="preserve"> 2</w:t>
      </w:r>
      <w:r>
        <w:rPr>
          <w:rFonts w:hint="cs"/>
          <w:rtl/>
        </w:rPr>
        <w:t>)</w:t>
      </w:r>
      <w:r w:rsidR="00EA01D7">
        <w:rPr>
          <w:rFonts w:hint="cs"/>
          <w:rtl/>
        </w:rPr>
        <w:t>)</w:t>
      </w:r>
      <w:r>
        <w:rPr>
          <w:rFonts w:hint="cs"/>
          <w:rtl/>
        </w:rPr>
        <w:t xml:space="preserve">. </w:t>
      </w:r>
      <w:r w:rsidRPr="008B0548">
        <w:rPr>
          <w:rFonts w:hint="cs"/>
          <w:rtl/>
        </w:rPr>
        <w:t xml:space="preserve">הנטל להראות </w:t>
      </w:r>
      <w:r>
        <w:rPr>
          <w:rFonts w:hint="cs"/>
          <w:rtl/>
        </w:rPr>
        <w:t xml:space="preserve">כי אכן נוצרה </w:t>
      </w:r>
      <w:r w:rsidRPr="008B0548">
        <w:rPr>
          <w:rFonts w:hint="cs"/>
          <w:rtl/>
        </w:rPr>
        <w:t>פגיעה בזכות אדם חוקתית</w:t>
      </w:r>
      <w:r>
        <w:rPr>
          <w:rFonts w:hint="cs"/>
          <w:rtl/>
        </w:rPr>
        <w:t>,</w:t>
      </w:r>
      <w:r w:rsidRPr="008B0548">
        <w:rPr>
          <w:rFonts w:hint="cs"/>
          <w:rtl/>
        </w:rPr>
        <w:t xml:space="preserve"> מוטל על הטוען זאת (עניין </w:t>
      </w:r>
      <w:r w:rsidRPr="00DD6B47">
        <w:rPr>
          <w:rFonts w:ascii="Century" w:hAnsi="Century" w:cs="Miriam" w:hint="eastAsia"/>
          <w:b/>
          <w:spacing w:val="0"/>
          <w:sz w:val="22"/>
          <w:szCs w:val="24"/>
          <w:rtl/>
        </w:rPr>
        <w:t>בנק</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המזרחי</w:t>
      </w:r>
      <w:r w:rsidRPr="008B0548">
        <w:rPr>
          <w:rFonts w:hint="cs"/>
          <w:rtl/>
        </w:rPr>
        <w:t>, עמ</w:t>
      </w:r>
      <w:r>
        <w:rPr>
          <w:rFonts w:hint="cs"/>
          <w:rtl/>
        </w:rPr>
        <w:t>וד</w:t>
      </w:r>
      <w:r w:rsidRPr="008B0548">
        <w:rPr>
          <w:rFonts w:hint="cs"/>
          <w:rtl/>
        </w:rPr>
        <w:t xml:space="preserve"> 428; עניין</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חוק</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טל</w:t>
      </w:r>
      <w:r>
        <w:rPr>
          <w:rFonts w:hint="cs"/>
          <w:rtl/>
        </w:rPr>
        <w:t xml:space="preserve">, פסקה </w:t>
      </w:r>
      <w:r w:rsidRPr="008B0548">
        <w:rPr>
          <w:rFonts w:hint="cs"/>
          <w:rtl/>
        </w:rPr>
        <w:t>21</w:t>
      </w:r>
      <w:r>
        <w:rPr>
          <w:rFonts w:hint="cs"/>
          <w:rtl/>
        </w:rPr>
        <w:t xml:space="preserve">; אהרון ברק, </w:t>
      </w:r>
      <w:r w:rsidRPr="00DD6B47">
        <w:rPr>
          <w:rFonts w:ascii="Century" w:hAnsi="Century" w:cs="Miriam" w:hint="eastAsia"/>
          <w:b/>
          <w:spacing w:val="0"/>
          <w:sz w:val="22"/>
          <w:szCs w:val="24"/>
          <w:rtl/>
        </w:rPr>
        <w:t>פרשנות</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במשפט</w:t>
      </w:r>
      <w:r w:rsidRPr="00DD6B47">
        <w:rPr>
          <w:rFonts w:ascii="Century" w:hAnsi="Century" w:cs="Miriam"/>
          <w:b/>
          <w:spacing w:val="0"/>
          <w:sz w:val="22"/>
          <w:szCs w:val="24"/>
          <w:rtl/>
        </w:rPr>
        <w:t xml:space="preserve"> </w:t>
      </w:r>
      <w:r w:rsidRPr="002146DC">
        <w:rPr>
          <w:rFonts w:ascii="Century" w:hAnsi="Century"/>
          <w:sz w:val="22"/>
          <w:rtl/>
        </w:rPr>
        <w:t>–</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פרשנות</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חוקתית</w:t>
      </w:r>
      <w:r>
        <w:rPr>
          <w:rFonts w:hint="cs"/>
          <w:rtl/>
        </w:rPr>
        <w:t xml:space="preserve">, 374-373 (1994) (להלן: </w:t>
      </w:r>
      <w:r w:rsidRPr="00DD6B47">
        <w:rPr>
          <w:rFonts w:ascii="Century" w:hAnsi="Century" w:cs="Miriam" w:hint="eastAsia"/>
          <w:b/>
          <w:spacing w:val="0"/>
          <w:sz w:val="22"/>
          <w:szCs w:val="24"/>
          <w:rtl/>
        </w:rPr>
        <w:t>ברק</w:t>
      </w:r>
      <w:r w:rsidRPr="00DD6B47">
        <w:rPr>
          <w:rFonts w:ascii="Century" w:hAnsi="Century" w:cs="Miriam"/>
          <w:b/>
          <w:spacing w:val="0"/>
          <w:sz w:val="22"/>
          <w:szCs w:val="24"/>
          <w:rtl/>
        </w:rPr>
        <w:t xml:space="preserve"> </w:t>
      </w:r>
      <w:r w:rsidRPr="002146DC">
        <w:rPr>
          <w:rFonts w:ascii="Century" w:hAnsi="Century"/>
          <w:sz w:val="22"/>
          <w:rtl/>
        </w:rPr>
        <w:t>–</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פרשנות</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חוקתית</w:t>
      </w:r>
      <w:r w:rsidRPr="008B0548">
        <w:rPr>
          <w:rFonts w:hint="cs"/>
          <w:rtl/>
        </w:rPr>
        <w:t>)</w:t>
      </w:r>
      <w:r>
        <w:rPr>
          <w:rFonts w:hint="cs"/>
          <w:rtl/>
        </w:rPr>
        <w:t>).</w:t>
      </w:r>
      <w:r w:rsidRPr="008B0548">
        <w:rPr>
          <w:rFonts w:hint="cs"/>
          <w:rtl/>
        </w:rPr>
        <w:t xml:space="preserve"> </w:t>
      </w:r>
      <w:r>
        <w:rPr>
          <w:rFonts w:hint="cs"/>
          <w:rtl/>
        </w:rPr>
        <w:t xml:space="preserve">שאלה נוספת בהקשר זה, היא האם הפגיעה משמעותית דיה, האם מידת חומרתה מצדיקה הפעלת ביקורת שיפוטית (ראו, למשל: </w:t>
      </w:r>
      <w:r w:rsidRPr="00DD6B47">
        <w:rPr>
          <w:rFonts w:hint="eastAsia"/>
          <w:rtl/>
        </w:rPr>
        <w:t>בג</w:t>
      </w:r>
      <w:r>
        <w:rPr>
          <w:rFonts w:hint="cs"/>
          <w:rtl/>
        </w:rPr>
        <w:t>"</w:t>
      </w:r>
      <w:r w:rsidRPr="00DD6B47">
        <w:rPr>
          <w:rFonts w:hint="eastAsia"/>
          <w:rtl/>
        </w:rPr>
        <w:t>ץ</w:t>
      </w:r>
      <w:r w:rsidRPr="00DD6B47">
        <w:rPr>
          <w:rtl/>
        </w:rPr>
        <w:t xml:space="preserve"> 145/21 </w:t>
      </w:r>
      <w:r w:rsidRPr="002146DC">
        <w:rPr>
          <w:rFonts w:ascii="Century" w:hAnsi="Century" w:cs="Miriam" w:hint="eastAsia"/>
          <w:b/>
          <w:spacing w:val="0"/>
          <w:sz w:val="22"/>
          <w:szCs w:val="24"/>
          <w:rtl/>
        </w:rPr>
        <w:t>לוי</w:t>
      </w:r>
      <w:r w:rsidRPr="002146DC">
        <w:rPr>
          <w:rFonts w:ascii="Century" w:hAnsi="Century" w:cs="Miriam"/>
          <w:b/>
          <w:spacing w:val="0"/>
          <w:sz w:val="22"/>
          <w:szCs w:val="24"/>
          <w:rtl/>
        </w:rPr>
        <w:t xml:space="preserve"> </w:t>
      </w:r>
      <w:r w:rsidRPr="002146DC">
        <w:rPr>
          <w:rFonts w:ascii="Century" w:hAnsi="Century" w:cs="Miriam" w:hint="eastAsia"/>
          <w:b/>
          <w:spacing w:val="0"/>
          <w:sz w:val="22"/>
          <w:szCs w:val="24"/>
          <w:rtl/>
        </w:rPr>
        <w:t>נ</w:t>
      </w:r>
      <w:r w:rsidRPr="002146DC">
        <w:rPr>
          <w:rFonts w:ascii="Century" w:hAnsi="Century" w:cs="Miriam"/>
          <w:b/>
          <w:spacing w:val="0"/>
          <w:sz w:val="22"/>
          <w:szCs w:val="24"/>
          <w:rtl/>
        </w:rPr>
        <w:t xml:space="preserve">' </w:t>
      </w:r>
      <w:r w:rsidRPr="002146DC">
        <w:rPr>
          <w:rFonts w:ascii="Century" w:hAnsi="Century" w:cs="Miriam" w:hint="eastAsia"/>
          <w:b/>
          <w:spacing w:val="0"/>
          <w:sz w:val="22"/>
          <w:szCs w:val="24"/>
          <w:rtl/>
        </w:rPr>
        <w:t>היועץ</w:t>
      </w:r>
      <w:r w:rsidRPr="002146DC">
        <w:rPr>
          <w:rFonts w:ascii="Century" w:hAnsi="Century" w:cs="Miriam"/>
          <w:b/>
          <w:spacing w:val="0"/>
          <w:sz w:val="22"/>
          <w:szCs w:val="24"/>
          <w:rtl/>
        </w:rPr>
        <w:t xml:space="preserve"> </w:t>
      </w:r>
      <w:r w:rsidRPr="002146DC">
        <w:rPr>
          <w:rFonts w:ascii="Century" w:hAnsi="Century" w:cs="Miriam" w:hint="eastAsia"/>
          <w:b/>
          <w:spacing w:val="0"/>
          <w:sz w:val="22"/>
          <w:szCs w:val="24"/>
          <w:rtl/>
        </w:rPr>
        <w:t>המשפטי</w:t>
      </w:r>
      <w:r w:rsidRPr="002146DC">
        <w:rPr>
          <w:rFonts w:ascii="Century" w:hAnsi="Century" w:cs="Miriam"/>
          <w:b/>
          <w:spacing w:val="0"/>
          <w:sz w:val="22"/>
          <w:szCs w:val="24"/>
          <w:rtl/>
        </w:rPr>
        <w:t xml:space="preserve"> </w:t>
      </w:r>
      <w:r w:rsidRPr="002146DC">
        <w:rPr>
          <w:rFonts w:ascii="Century" w:hAnsi="Century" w:cs="Miriam" w:hint="eastAsia"/>
          <w:b/>
          <w:spacing w:val="0"/>
          <w:sz w:val="22"/>
          <w:szCs w:val="24"/>
          <w:rtl/>
        </w:rPr>
        <w:t>לממשלה</w:t>
      </w:r>
      <w:r w:rsidRPr="002146DC">
        <w:rPr>
          <w:rFonts w:ascii="Century" w:hAnsi="Century" w:cs="Miriam"/>
          <w:b/>
          <w:spacing w:val="0"/>
          <w:sz w:val="22"/>
          <w:szCs w:val="24"/>
          <w:rtl/>
        </w:rPr>
        <w:t xml:space="preserve"> </w:t>
      </w:r>
      <w:r w:rsidRPr="002146DC">
        <w:rPr>
          <w:rFonts w:ascii="Century" w:hAnsi="Century"/>
          <w:sz w:val="22"/>
          <w:rtl/>
        </w:rPr>
        <w:t>–</w:t>
      </w:r>
      <w:r w:rsidRPr="002146DC">
        <w:rPr>
          <w:rFonts w:ascii="Century" w:hAnsi="Century" w:cs="Miriam"/>
          <w:b/>
          <w:spacing w:val="0"/>
          <w:sz w:val="22"/>
          <w:szCs w:val="24"/>
          <w:rtl/>
        </w:rPr>
        <w:t xml:space="preserve"> </w:t>
      </w:r>
      <w:r w:rsidRPr="002146DC">
        <w:rPr>
          <w:rFonts w:ascii="Century" w:hAnsi="Century" w:cs="Miriam" w:hint="eastAsia"/>
          <w:b/>
          <w:spacing w:val="0"/>
          <w:sz w:val="22"/>
          <w:szCs w:val="24"/>
          <w:rtl/>
        </w:rPr>
        <w:t>מדינת</w:t>
      </w:r>
      <w:r w:rsidRPr="002146DC">
        <w:rPr>
          <w:rFonts w:ascii="Century" w:hAnsi="Century" w:cs="Miriam"/>
          <w:b/>
          <w:spacing w:val="0"/>
          <w:sz w:val="22"/>
          <w:szCs w:val="24"/>
          <w:rtl/>
        </w:rPr>
        <w:t xml:space="preserve"> </w:t>
      </w:r>
      <w:r w:rsidRPr="002146DC">
        <w:rPr>
          <w:rFonts w:ascii="Century" w:hAnsi="Century" w:cs="Miriam" w:hint="eastAsia"/>
          <w:b/>
          <w:spacing w:val="0"/>
          <w:sz w:val="22"/>
          <w:szCs w:val="24"/>
          <w:rtl/>
        </w:rPr>
        <w:t>ישראל</w:t>
      </w:r>
      <w:r w:rsidRPr="00DD6B47">
        <w:rPr>
          <w:rFonts w:hint="eastAsia"/>
          <w:rtl/>
        </w:rPr>
        <w:t>‏</w:t>
      </w:r>
      <w:r>
        <w:rPr>
          <w:rFonts w:hint="cs"/>
          <w:rtl/>
        </w:rPr>
        <w:t xml:space="preserve">, פסקאות 16-12 לפסק-דיני (17.2.2021)). אם </w:t>
      </w:r>
      <w:r w:rsidRPr="008B0548">
        <w:rPr>
          <w:rFonts w:hint="cs"/>
          <w:rtl/>
        </w:rPr>
        <w:t>ה</w:t>
      </w:r>
      <w:r>
        <w:rPr>
          <w:rFonts w:hint="cs"/>
          <w:rtl/>
        </w:rPr>
        <w:t>שאלה הראשונה ת</w:t>
      </w:r>
      <w:r w:rsidR="00D255C8">
        <w:rPr>
          <w:rFonts w:hint="cs"/>
          <w:rtl/>
        </w:rPr>
        <w:t>ֵ</w:t>
      </w:r>
      <w:r>
        <w:rPr>
          <w:rFonts w:hint="cs"/>
          <w:rtl/>
        </w:rPr>
        <w:t xml:space="preserve">ענה בשלילה </w:t>
      </w:r>
      <w:r>
        <w:rPr>
          <w:rtl/>
        </w:rPr>
        <w:t>–</w:t>
      </w:r>
      <w:r>
        <w:rPr>
          <w:rFonts w:hint="cs"/>
          <w:rtl/>
        </w:rPr>
        <w:t xml:space="preserve"> תמה הבחינה החוקתית; לעומת זאת, אם התשובה תהא </w:t>
      </w:r>
      <w:r w:rsidRPr="008B0548">
        <w:rPr>
          <w:rFonts w:hint="cs"/>
          <w:rtl/>
        </w:rPr>
        <w:t xml:space="preserve">חיובית, </w:t>
      </w:r>
      <w:r>
        <w:rPr>
          <w:rFonts w:hint="cs"/>
          <w:rtl/>
        </w:rPr>
        <w:t xml:space="preserve">או אז ניתן יהיה לעבור </w:t>
      </w:r>
      <w:r w:rsidRPr="008B0548">
        <w:rPr>
          <w:rFonts w:hint="cs"/>
          <w:rtl/>
        </w:rPr>
        <w:t>לשלב השני</w:t>
      </w:r>
      <w:r>
        <w:rPr>
          <w:rFonts w:hint="cs"/>
          <w:rtl/>
        </w:rPr>
        <w:t xml:space="preserve">, שבמסגרתו תיבחן </w:t>
      </w:r>
      <w:r w:rsidRPr="008B0548">
        <w:rPr>
          <w:rFonts w:hint="cs"/>
          <w:rtl/>
        </w:rPr>
        <w:t>השאלה</w:t>
      </w:r>
      <w:r>
        <w:rPr>
          <w:rFonts w:hint="cs"/>
          <w:rtl/>
        </w:rPr>
        <w:t>,</w:t>
      </w:r>
      <w:r w:rsidRPr="008B0548">
        <w:rPr>
          <w:rFonts w:hint="cs"/>
          <w:rtl/>
        </w:rPr>
        <w:t xml:space="preserve"> </w:t>
      </w:r>
      <w:r>
        <w:rPr>
          <w:rFonts w:hint="cs"/>
          <w:rtl/>
        </w:rPr>
        <w:t>ה</w:t>
      </w:r>
      <w:r w:rsidRPr="008B0548">
        <w:rPr>
          <w:rFonts w:hint="cs"/>
          <w:rtl/>
        </w:rPr>
        <w:t xml:space="preserve">אם החוק הנדון </w:t>
      </w:r>
      <w:r>
        <w:rPr>
          <w:rFonts w:hint="cs"/>
          <w:rtl/>
        </w:rPr>
        <w:t xml:space="preserve">צולח את </w:t>
      </w:r>
      <w:r w:rsidRPr="008B0548">
        <w:rPr>
          <w:rFonts w:hint="cs"/>
          <w:rtl/>
        </w:rPr>
        <w:t>מבחני פסקת ההגבלה</w:t>
      </w:r>
      <w:r>
        <w:rPr>
          <w:rFonts w:hint="cs"/>
          <w:rtl/>
        </w:rPr>
        <w:t xml:space="preserve"> (ראו, למשל, </w:t>
      </w:r>
      <w:r w:rsidRPr="00857656">
        <w:rPr>
          <w:rFonts w:hint="eastAsia"/>
          <w:rtl/>
        </w:rPr>
        <w:t>בג</w:t>
      </w:r>
      <w:r w:rsidRPr="00857656">
        <w:rPr>
          <w:rtl/>
        </w:rPr>
        <w:t>"</w:t>
      </w:r>
      <w:r w:rsidRPr="00857656">
        <w:rPr>
          <w:rFonts w:hint="eastAsia"/>
          <w:rtl/>
        </w:rPr>
        <w:t>ץ</w:t>
      </w:r>
      <w:r w:rsidRPr="00857656">
        <w:rPr>
          <w:rtl/>
        </w:rPr>
        <w:t xml:space="preserve"> 366/03 </w:t>
      </w:r>
      <w:r w:rsidRPr="00DD6B47">
        <w:rPr>
          <w:rFonts w:ascii="Century" w:hAnsi="Century" w:cs="Miriam" w:hint="eastAsia"/>
          <w:b/>
          <w:spacing w:val="0"/>
          <w:sz w:val="22"/>
          <w:szCs w:val="24"/>
          <w:rtl/>
        </w:rPr>
        <w:lastRenderedPageBreak/>
        <w:t>עמותת</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מחויבות</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לשלום</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וצדק</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חברתי</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נ</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שר</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האוצר</w:t>
      </w:r>
      <w:r>
        <w:rPr>
          <w:rFonts w:hint="cs"/>
          <w:rtl/>
        </w:rPr>
        <w:t>,</w:t>
      </w:r>
      <w:r w:rsidR="004864D2">
        <w:rPr>
          <w:rFonts w:hint="cs"/>
          <w:rtl/>
        </w:rPr>
        <w:t xml:space="preserve"> פ"ד</w:t>
      </w:r>
      <w:r>
        <w:rPr>
          <w:rFonts w:hint="cs"/>
          <w:rtl/>
        </w:rPr>
        <w:t xml:space="preserve"> ס(3) 464 (2005); עניין </w:t>
      </w:r>
      <w:r w:rsidRPr="00DD6B47">
        <w:rPr>
          <w:rFonts w:ascii="Century" w:hAnsi="Century" w:cs="Miriam" w:hint="eastAsia"/>
          <w:b/>
          <w:spacing w:val="0"/>
          <w:sz w:val="22"/>
          <w:szCs w:val="24"/>
          <w:rtl/>
        </w:rPr>
        <w:t>חוק</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טל</w:t>
      </w:r>
      <w:r>
        <w:rPr>
          <w:rFonts w:hint="cs"/>
          <w:rtl/>
        </w:rPr>
        <w:t>, פסקה 20). זכויות חוקתיות, ברובן המכריע, אינן מוחלטות; הן יחסיות (</w:t>
      </w:r>
      <w:r w:rsidRPr="00DD6B47">
        <w:rPr>
          <w:rFonts w:ascii="Century" w:hAnsi="Century" w:cs="Miriam" w:hint="eastAsia"/>
          <w:b/>
          <w:spacing w:val="0"/>
          <w:sz w:val="22"/>
          <w:szCs w:val="24"/>
          <w:rtl/>
        </w:rPr>
        <w:t>ברק</w:t>
      </w:r>
      <w:r>
        <w:rPr>
          <w:rFonts w:ascii="Century" w:hAnsi="Century" w:cs="Miriam" w:hint="cs"/>
          <w:b/>
          <w:spacing w:val="0"/>
          <w:sz w:val="22"/>
          <w:szCs w:val="24"/>
          <w:rtl/>
        </w:rPr>
        <w:t xml:space="preserve"> </w:t>
      </w:r>
      <w:r w:rsidRPr="00E56062">
        <w:rPr>
          <w:rFonts w:ascii="FrankRuehl" w:hAnsi="FrankRuehl"/>
          <w:b/>
          <w:spacing w:val="0"/>
          <w:sz w:val="28"/>
          <w:rtl/>
        </w:rPr>
        <w:t>–</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מידתיות</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במשפט</w:t>
      </w:r>
      <w:r>
        <w:rPr>
          <w:rFonts w:hint="cs"/>
          <w:rtl/>
        </w:rPr>
        <w:t xml:space="preserve">, 57-53). </w:t>
      </w:r>
      <w:r w:rsidRPr="008B0548">
        <w:rPr>
          <w:rFonts w:hint="cs"/>
          <w:rtl/>
        </w:rPr>
        <w:t>פגיעה בזכות אדם חוקתית</w:t>
      </w:r>
      <w:r>
        <w:rPr>
          <w:rFonts w:hint="cs"/>
          <w:rtl/>
        </w:rPr>
        <w:t>,</w:t>
      </w:r>
      <w:r w:rsidRPr="008B0548">
        <w:rPr>
          <w:rFonts w:hint="cs"/>
          <w:rtl/>
        </w:rPr>
        <w:t xml:space="preserve"> </w:t>
      </w:r>
      <w:r>
        <w:rPr>
          <w:rFonts w:hint="cs"/>
          <w:rtl/>
        </w:rPr>
        <w:t>עשויה לה</w:t>
      </w:r>
      <w:r w:rsidR="00D255C8">
        <w:rPr>
          <w:rFonts w:hint="cs"/>
          <w:rtl/>
        </w:rPr>
        <w:t>ֵ</w:t>
      </w:r>
      <w:r>
        <w:rPr>
          <w:rFonts w:hint="cs"/>
          <w:rtl/>
        </w:rPr>
        <w:t xml:space="preserve">חשב ל'פגיעה </w:t>
      </w:r>
      <w:r w:rsidRPr="008B0548">
        <w:rPr>
          <w:rFonts w:hint="cs"/>
          <w:rtl/>
        </w:rPr>
        <w:t>כדין</w:t>
      </w:r>
      <w:r>
        <w:rPr>
          <w:rFonts w:hint="cs"/>
          <w:rtl/>
        </w:rPr>
        <w:t>'</w:t>
      </w:r>
      <w:r w:rsidRPr="008B0548">
        <w:rPr>
          <w:rFonts w:hint="cs"/>
          <w:rtl/>
        </w:rPr>
        <w:t xml:space="preserve">, </w:t>
      </w:r>
      <w:r>
        <w:rPr>
          <w:rFonts w:hint="cs"/>
          <w:rtl/>
        </w:rPr>
        <w:t xml:space="preserve">אם עלה בידיה לצלוח את </w:t>
      </w:r>
      <w:r w:rsidRPr="008B0548">
        <w:rPr>
          <w:rFonts w:hint="cs"/>
          <w:rtl/>
        </w:rPr>
        <w:t>מבחני</w:t>
      </w:r>
      <w:r>
        <w:rPr>
          <w:rFonts w:hint="cs"/>
          <w:rtl/>
        </w:rPr>
        <w:t xml:space="preserve"> </w:t>
      </w:r>
      <w:r w:rsidRPr="008B0548">
        <w:rPr>
          <w:rFonts w:hint="cs"/>
          <w:rtl/>
        </w:rPr>
        <w:t>פסקת ההגבלה</w:t>
      </w:r>
      <w:r>
        <w:rPr>
          <w:rFonts w:hint="cs"/>
          <w:rtl/>
        </w:rPr>
        <w:t xml:space="preserve"> (ראו, למשל: </w:t>
      </w:r>
      <w:r w:rsidRPr="00B374D0">
        <w:rPr>
          <w:rFonts w:hint="eastAsia"/>
          <w:rtl/>
        </w:rPr>
        <w:t>בג</w:t>
      </w:r>
      <w:r w:rsidRPr="00B374D0">
        <w:rPr>
          <w:rtl/>
        </w:rPr>
        <w:t>"</w:t>
      </w:r>
      <w:r w:rsidRPr="00B374D0">
        <w:rPr>
          <w:rFonts w:hint="eastAsia"/>
          <w:rtl/>
        </w:rPr>
        <w:t>ץ</w:t>
      </w:r>
      <w:r w:rsidRPr="00B374D0">
        <w:rPr>
          <w:rtl/>
        </w:rPr>
        <w:t xml:space="preserve"> 2334/02 </w:t>
      </w:r>
      <w:r w:rsidRPr="00DD6B47">
        <w:rPr>
          <w:rFonts w:ascii="Century" w:hAnsi="Century" w:cs="Miriam" w:hint="eastAsia"/>
          <w:b/>
          <w:spacing w:val="0"/>
          <w:sz w:val="22"/>
          <w:szCs w:val="24"/>
          <w:rtl/>
        </w:rPr>
        <w:t>שטנגר</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נ</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יושב</w:t>
      </w:r>
      <w:r w:rsidRPr="00DD6B47">
        <w:rPr>
          <w:rFonts w:ascii="Century" w:hAnsi="Century" w:cs="Miriam"/>
          <w:b/>
          <w:spacing w:val="0"/>
          <w:sz w:val="22"/>
          <w:szCs w:val="24"/>
          <w:rtl/>
        </w:rPr>
        <w:t>-</w:t>
      </w:r>
      <w:r w:rsidRPr="00DD6B47">
        <w:rPr>
          <w:rFonts w:ascii="Century" w:hAnsi="Century" w:cs="Miriam" w:hint="eastAsia"/>
          <w:b/>
          <w:spacing w:val="0"/>
          <w:sz w:val="22"/>
          <w:szCs w:val="24"/>
          <w:rtl/>
        </w:rPr>
        <w:t>ראש</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הכנסת</w:t>
      </w:r>
      <w:r w:rsidRPr="00B374D0">
        <w:rPr>
          <w:rtl/>
        </w:rPr>
        <w:t xml:space="preserve">, </w:t>
      </w:r>
      <w:r w:rsidRPr="00B374D0">
        <w:rPr>
          <w:rFonts w:hint="eastAsia"/>
          <w:rtl/>
        </w:rPr>
        <w:t>פ</w:t>
      </w:r>
      <w:r w:rsidRPr="00B374D0">
        <w:rPr>
          <w:rtl/>
        </w:rPr>
        <w:t>"</w:t>
      </w:r>
      <w:r w:rsidRPr="00B374D0">
        <w:rPr>
          <w:rFonts w:hint="eastAsia"/>
          <w:rtl/>
        </w:rPr>
        <w:t>ד</w:t>
      </w:r>
      <w:r w:rsidRPr="00B374D0">
        <w:rPr>
          <w:rtl/>
        </w:rPr>
        <w:t xml:space="preserve"> </w:t>
      </w:r>
      <w:r w:rsidRPr="00B374D0">
        <w:rPr>
          <w:rFonts w:hint="eastAsia"/>
          <w:rtl/>
        </w:rPr>
        <w:t>נח</w:t>
      </w:r>
      <w:r>
        <w:rPr>
          <w:rtl/>
        </w:rPr>
        <w:t>(1) 786</w:t>
      </w:r>
      <w:r>
        <w:rPr>
          <w:rFonts w:hint="cs"/>
          <w:rtl/>
        </w:rPr>
        <w:t>, 792 (2003))</w:t>
      </w:r>
      <w:r w:rsidRPr="008B0548">
        <w:rPr>
          <w:rFonts w:hint="cs"/>
          <w:rtl/>
        </w:rPr>
        <w:t xml:space="preserve">. </w:t>
      </w:r>
      <w:r>
        <w:rPr>
          <w:rFonts w:hint="cs"/>
          <w:rtl/>
        </w:rPr>
        <w:t xml:space="preserve">בתום בירור השלב השני, ואם נמצא כי </w:t>
      </w:r>
      <w:r w:rsidRPr="008B0548">
        <w:rPr>
          <w:rFonts w:hint="cs"/>
          <w:rtl/>
        </w:rPr>
        <w:t>הפגיעה אינה עומדת במבחני</w:t>
      </w:r>
      <w:r>
        <w:rPr>
          <w:rFonts w:hint="cs"/>
          <w:rtl/>
        </w:rPr>
        <w:t>ם הללו</w:t>
      </w:r>
      <w:r w:rsidRPr="008B0548">
        <w:rPr>
          <w:rFonts w:hint="cs"/>
          <w:rtl/>
        </w:rPr>
        <w:t xml:space="preserve">, </w:t>
      </w:r>
      <w:r>
        <w:rPr>
          <w:rFonts w:hint="cs"/>
          <w:rtl/>
        </w:rPr>
        <w:t xml:space="preserve">אזי </w:t>
      </w:r>
      <w:r w:rsidRPr="008B0548">
        <w:rPr>
          <w:rFonts w:hint="cs"/>
          <w:rtl/>
        </w:rPr>
        <w:t xml:space="preserve">באים אנו לשלב השלישי והאחרון </w:t>
      </w:r>
      <w:r w:rsidRPr="008B0548">
        <w:rPr>
          <w:rtl/>
        </w:rPr>
        <w:t>–</w:t>
      </w:r>
      <w:r>
        <w:rPr>
          <w:rFonts w:hint="cs"/>
          <w:rtl/>
        </w:rPr>
        <w:t xml:space="preserve"> קביעת הסעד</w:t>
      </w:r>
      <w:r w:rsidRPr="008B0548">
        <w:rPr>
          <w:rFonts w:hint="cs"/>
          <w:rtl/>
        </w:rPr>
        <w:t xml:space="preserve">. בשלב זה, </w:t>
      </w:r>
      <w:r>
        <w:rPr>
          <w:rFonts w:hint="cs"/>
          <w:rtl/>
        </w:rPr>
        <w:t xml:space="preserve">נדרש </w:t>
      </w:r>
      <w:r w:rsidRPr="008B0548">
        <w:rPr>
          <w:rFonts w:hint="cs"/>
          <w:rtl/>
        </w:rPr>
        <w:t>בית המשפט לקבוע מה</w:t>
      </w:r>
      <w:r>
        <w:rPr>
          <w:rFonts w:hint="cs"/>
          <w:rtl/>
        </w:rPr>
        <w:t>ן תוצאותיה של אי-החוקתיות; מהו</w:t>
      </w:r>
      <w:r w:rsidRPr="008B0548">
        <w:rPr>
          <w:rFonts w:hint="cs"/>
          <w:rtl/>
        </w:rPr>
        <w:t xml:space="preserve"> הסעד ההולם בנסיבות העניין (</w:t>
      </w:r>
      <w:r w:rsidRPr="00E54EBE">
        <w:rPr>
          <w:rFonts w:hint="eastAsia"/>
          <w:rtl/>
        </w:rPr>
        <w:t>בג</w:t>
      </w:r>
      <w:r w:rsidRPr="00E54EBE">
        <w:rPr>
          <w:rtl/>
        </w:rPr>
        <w:t>"</w:t>
      </w:r>
      <w:r w:rsidRPr="00E54EBE">
        <w:rPr>
          <w:rFonts w:hint="eastAsia"/>
          <w:rtl/>
        </w:rPr>
        <w:t>ץ</w:t>
      </w:r>
      <w:r w:rsidRPr="00E54EBE">
        <w:rPr>
          <w:rtl/>
        </w:rPr>
        <w:t xml:space="preserve"> 7505/98 </w:t>
      </w:r>
      <w:r w:rsidRPr="00DD6B47">
        <w:rPr>
          <w:rFonts w:ascii="Century" w:hAnsi="Century" w:cs="Miriam" w:hint="eastAsia"/>
          <w:b/>
          <w:spacing w:val="0"/>
          <w:sz w:val="22"/>
          <w:szCs w:val="24"/>
          <w:rtl/>
        </w:rPr>
        <w:t>קורינאלדי</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נ</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לשכת</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עורכי</w:t>
      </w:r>
      <w:r w:rsidRPr="00DD6B47">
        <w:rPr>
          <w:rFonts w:ascii="Century" w:hAnsi="Century" w:cs="Miriam"/>
          <w:b/>
          <w:spacing w:val="0"/>
          <w:sz w:val="22"/>
          <w:szCs w:val="24"/>
          <w:rtl/>
        </w:rPr>
        <w:t>-</w:t>
      </w:r>
      <w:r w:rsidRPr="00DD6B47">
        <w:rPr>
          <w:rFonts w:ascii="Century" w:hAnsi="Century" w:cs="Miriam" w:hint="eastAsia"/>
          <w:b/>
          <w:spacing w:val="0"/>
          <w:sz w:val="22"/>
          <w:szCs w:val="24"/>
          <w:rtl/>
        </w:rPr>
        <w:t>הדין</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בישראל</w:t>
      </w:r>
      <w:r w:rsidRPr="00E54EBE">
        <w:rPr>
          <w:rtl/>
        </w:rPr>
        <w:t xml:space="preserve">, </w:t>
      </w:r>
      <w:r w:rsidRPr="00E54EBE">
        <w:rPr>
          <w:rFonts w:hint="eastAsia"/>
          <w:rtl/>
        </w:rPr>
        <w:t>פ</w:t>
      </w:r>
      <w:r w:rsidRPr="00E54EBE">
        <w:rPr>
          <w:rtl/>
        </w:rPr>
        <w:t>"</w:t>
      </w:r>
      <w:r w:rsidRPr="00E54EBE">
        <w:rPr>
          <w:rFonts w:hint="eastAsia"/>
          <w:rtl/>
        </w:rPr>
        <w:t>ד</w:t>
      </w:r>
      <w:r w:rsidRPr="00E54EBE">
        <w:rPr>
          <w:rtl/>
        </w:rPr>
        <w:t xml:space="preserve"> </w:t>
      </w:r>
      <w:r w:rsidRPr="00E54EBE">
        <w:rPr>
          <w:rFonts w:hint="eastAsia"/>
          <w:rtl/>
        </w:rPr>
        <w:t>נג</w:t>
      </w:r>
      <w:r w:rsidRPr="00E54EBE">
        <w:rPr>
          <w:rtl/>
        </w:rPr>
        <w:t>(1) 153, 163-162 (1999)</w:t>
      </w:r>
      <w:r>
        <w:rPr>
          <w:rFonts w:hint="cs"/>
          <w:rtl/>
        </w:rPr>
        <w:t xml:space="preserve">; עניין </w:t>
      </w:r>
      <w:r w:rsidRPr="00DD6B47">
        <w:rPr>
          <w:rFonts w:ascii="Century" w:hAnsi="Century" w:cs="Miriam" w:hint="eastAsia"/>
          <w:b/>
          <w:spacing w:val="0"/>
          <w:sz w:val="22"/>
          <w:szCs w:val="24"/>
          <w:rtl/>
        </w:rPr>
        <w:t>חוף</w:t>
      </w:r>
      <w:r w:rsidRPr="00DD6B47">
        <w:rPr>
          <w:rFonts w:ascii="Century" w:hAnsi="Century" w:cs="Miriam"/>
          <w:b/>
          <w:spacing w:val="0"/>
          <w:sz w:val="22"/>
          <w:szCs w:val="24"/>
          <w:rtl/>
        </w:rPr>
        <w:t xml:space="preserve"> </w:t>
      </w:r>
      <w:r w:rsidRPr="00DD6B47">
        <w:rPr>
          <w:rFonts w:ascii="Century" w:hAnsi="Century" w:cs="Miriam" w:hint="eastAsia"/>
          <w:b/>
          <w:spacing w:val="0"/>
          <w:sz w:val="22"/>
          <w:szCs w:val="24"/>
          <w:rtl/>
        </w:rPr>
        <w:t>עזה</w:t>
      </w:r>
      <w:r>
        <w:rPr>
          <w:rFonts w:hint="cs"/>
          <w:rtl/>
        </w:rPr>
        <w:t>, עמוד 552)</w:t>
      </w:r>
      <w:r w:rsidRPr="008B0548">
        <w:rPr>
          <w:rFonts w:hint="cs"/>
          <w:rtl/>
        </w:rPr>
        <w:t xml:space="preserve">. </w:t>
      </w:r>
      <w:r>
        <w:rPr>
          <w:rFonts w:hint="cs"/>
          <w:rtl/>
        </w:rPr>
        <w:t xml:space="preserve">לאחר הצגת תנאֵי המסגרת, אגש לגוף הדברים, לבחינת השלב הראשון </w:t>
      </w:r>
      <w:r>
        <w:rPr>
          <w:rtl/>
        </w:rPr>
        <w:t>–</w:t>
      </w:r>
      <w:r>
        <w:rPr>
          <w:rFonts w:hint="cs"/>
          <w:rtl/>
        </w:rPr>
        <w:t xml:space="preserve"> שאלת הפגיעה בזכות החוקתית </w:t>
      </w:r>
      <w:r>
        <w:rPr>
          <w:rtl/>
        </w:rPr>
        <w:t>–</w:t>
      </w:r>
      <w:r>
        <w:rPr>
          <w:rFonts w:hint="cs"/>
          <w:rtl/>
        </w:rPr>
        <w:t xml:space="preserve"> ביחס לנסיבות העניין דנן.</w:t>
      </w:r>
      <w:r w:rsidRPr="008B0548">
        <w:rPr>
          <w:rFonts w:hint="cs"/>
          <w:rtl/>
        </w:rPr>
        <w:t xml:space="preserve">  </w:t>
      </w:r>
    </w:p>
    <w:p w:rsidR="00D512D4" w:rsidRPr="00F00092" w:rsidRDefault="00D512D4" w:rsidP="00D512D4">
      <w:pPr>
        <w:pStyle w:val="Ruller41"/>
        <w:rPr>
          <w:highlight w:val="yellow"/>
          <w:rtl/>
        </w:rPr>
      </w:pPr>
    </w:p>
    <w:p w:rsidR="00D512D4" w:rsidRDefault="000067AF" w:rsidP="00C04DC8">
      <w:pPr>
        <w:pStyle w:val="3"/>
        <w:rPr>
          <w:rtl/>
        </w:rPr>
      </w:pPr>
      <w:bookmarkStart w:id="32" w:name="_Toc107851295"/>
      <w:bookmarkStart w:id="33" w:name="_Toc107851350"/>
      <w:r>
        <w:rPr>
          <w:rFonts w:hint="cs"/>
          <w:rtl/>
        </w:rPr>
        <w:t>ד.1.3.</w:t>
      </w:r>
      <w:r w:rsidR="00D512D4">
        <w:rPr>
          <w:rFonts w:hint="cs"/>
          <w:rtl/>
        </w:rPr>
        <w:t xml:space="preserve"> שלב א': פגיעה בזכות חוקתית</w:t>
      </w:r>
      <w:bookmarkEnd w:id="32"/>
      <w:bookmarkEnd w:id="33"/>
    </w:p>
    <w:p w:rsidR="00D512D4" w:rsidRDefault="00D512D4" w:rsidP="00154174">
      <w:pPr>
        <w:pStyle w:val="Ruller4"/>
        <w:rPr>
          <w:rtl/>
        </w:rPr>
      </w:pPr>
      <w:r>
        <w:rPr>
          <w:rFonts w:hint="cs"/>
          <w:rtl/>
        </w:rPr>
        <w:t xml:space="preserve">בעניין </w:t>
      </w:r>
      <w:r w:rsidR="00EA01D7">
        <w:rPr>
          <w:rFonts w:ascii="Century" w:hAnsi="Century" w:cs="Miriam" w:hint="cs"/>
          <w:b/>
          <w:spacing w:val="0"/>
          <w:sz w:val="22"/>
          <w:szCs w:val="24"/>
          <w:rtl/>
        </w:rPr>
        <w:t>שלילת הגמלאות</w:t>
      </w:r>
      <w:r>
        <w:rPr>
          <w:rFonts w:hint="cs"/>
          <w:rtl/>
        </w:rPr>
        <w:t xml:space="preserve">, ציינתי כך: </w:t>
      </w:r>
      <w:r w:rsidRPr="0038148C">
        <w:rPr>
          <w:rFonts w:ascii="Century" w:hAnsi="Century" w:cs="Miriam" w:hint="cs"/>
          <w:b/>
          <w:spacing w:val="0"/>
          <w:sz w:val="22"/>
          <w:szCs w:val="24"/>
          <w:rtl/>
        </w:rPr>
        <w:t xml:space="preserve">"השלב הראשון של הבחינה החוקתית </w:t>
      </w:r>
      <w:r w:rsidRPr="003C5473">
        <w:rPr>
          <w:rFonts w:ascii="Century" w:hAnsi="Century" w:hint="eastAsia"/>
          <w:sz w:val="22"/>
          <w:rtl/>
        </w:rPr>
        <w:t>–</w:t>
      </w:r>
      <w:r w:rsidRPr="00504D3B">
        <w:rPr>
          <w:rFonts w:ascii="Century" w:hAnsi="Century" w:cs="Miriam"/>
          <w:b/>
          <w:spacing w:val="0"/>
          <w:sz w:val="22"/>
          <w:szCs w:val="24"/>
          <w:rtl/>
        </w:rPr>
        <w:t xml:space="preserve"> </w:t>
      </w:r>
      <w:r w:rsidRPr="0038148C">
        <w:rPr>
          <w:rFonts w:ascii="Century" w:hAnsi="Century" w:cs="Miriam" w:hint="cs"/>
          <w:b/>
          <w:spacing w:val="0"/>
          <w:sz w:val="22"/>
          <w:szCs w:val="24"/>
          <w:rtl/>
        </w:rPr>
        <w:t xml:space="preserve">בחינת הפגיעה בזכות החוקתית </w:t>
      </w:r>
      <w:r w:rsidRPr="003C5473">
        <w:rPr>
          <w:rFonts w:ascii="Century" w:hAnsi="Century" w:hint="eastAsia"/>
          <w:sz w:val="22"/>
          <w:rtl/>
        </w:rPr>
        <w:t>–</w:t>
      </w:r>
      <w:r w:rsidRPr="0038148C">
        <w:rPr>
          <w:rFonts w:ascii="Century" w:hAnsi="Century" w:cs="Miriam" w:hint="cs"/>
          <w:b/>
          <w:spacing w:val="0"/>
          <w:sz w:val="22"/>
          <w:szCs w:val="24"/>
          <w:rtl/>
        </w:rPr>
        <w:t xml:space="preserve"> אין ערוך לחשיבותו; בגדרו אנו נדרשים ללבן ולברר במדויק את גדריהן של אותן הזכויות אשר כנסת ישראל, בכובעהּ כרשות מכוננת, החליטה להעניק להן הגנה מיוחדת. לא לכל אינטרס או זכות </w:t>
      </w:r>
      <w:r w:rsidRPr="003C5473">
        <w:rPr>
          <w:rFonts w:ascii="Century" w:hAnsi="Century" w:hint="eastAsia"/>
          <w:sz w:val="22"/>
          <w:rtl/>
        </w:rPr>
        <w:t>–</w:t>
      </w:r>
      <w:r w:rsidRPr="0038148C">
        <w:rPr>
          <w:rFonts w:ascii="Century" w:hAnsi="Century" w:cs="Miriam" w:hint="cs"/>
          <w:b/>
          <w:spacing w:val="0"/>
          <w:sz w:val="22"/>
          <w:szCs w:val="24"/>
          <w:rtl/>
        </w:rPr>
        <w:t xml:space="preserve"> נעלים, ראויים ומוצדקים ככל שיהיו </w:t>
      </w:r>
      <w:r w:rsidRPr="003C5473">
        <w:rPr>
          <w:rFonts w:ascii="Century" w:hAnsi="Century" w:hint="eastAsia"/>
          <w:sz w:val="22"/>
          <w:rtl/>
        </w:rPr>
        <w:t>–</w:t>
      </w:r>
      <w:r w:rsidRPr="0038148C">
        <w:rPr>
          <w:rFonts w:ascii="Century" w:hAnsi="Century" w:cs="Miriam" w:hint="cs"/>
          <w:b/>
          <w:spacing w:val="0"/>
          <w:sz w:val="22"/>
          <w:szCs w:val="24"/>
          <w:rtl/>
        </w:rPr>
        <w:t xml:space="preserve"> נודע מעמד של זכות חוקתית על-חוקית; לא כל זכות משפטית היא גם זכות חוקתית"</w:t>
      </w:r>
      <w:r>
        <w:rPr>
          <w:rFonts w:hint="cs"/>
          <w:rtl/>
        </w:rPr>
        <w:t xml:space="preserve">. באותו עניין הרחבתי על אודות חשיבות שלב זה, של בירור הפגיעה בזכות החוקתית, ועל הטעמים העומדים בבסיסו; הרוצה להרחיב </w:t>
      </w:r>
      <w:r>
        <w:rPr>
          <w:rtl/>
        </w:rPr>
        <w:t>–</w:t>
      </w:r>
      <w:r>
        <w:rPr>
          <w:rFonts w:hint="cs"/>
          <w:rtl/>
        </w:rPr>
        <w:t xml:space="preserve"> יעיין שם (</w:t>
      </w:r>
      <w:r w:rsidRPr="0008591E">
        <w:rPr>
          <w:rFonts w:ascii="Century" w:hAnsi="Century" w:cs="Miriam" w:hint="cs"/>
          <w:b/>
          <w:spacing w:val="0"/>
          <w:sz w:val="22"/>
          <w:szCs w:val="24"/>
          <w:rtl/>
        </w:rPr>
        <w:t>שם</w:t>
      </w:r>
      <w:r>
        <w:rPr>
          <w:rFonts w:hint="cs"/>
          <w:rtl/>
        </w:rPr>
        <w:t xml:space="preserve">, פסקאות 48-44 לפסק-דיני; ראו גם: עניין </w:t>
      </w:r>
      <w:r w:rsidRPr="0038148C">
        <w:rPr>
          <w:rFonts w:ascii="Century" w:hAnsi="Century" w:cs="Miriam" w:hint="cs"/>
          <w:b/>
          <w:spacing w:val="0"/>
          <w:sz w:val="22"/>
          <w:szCs w:val="24"/>
          <w:rtl/>
        </w:rPr>
        <w:t>איחוד משפחות</w:t>
      </w:r>
      <w:r>
        <w:rPr>
          <w:rFonts w:hint="cs"/>
          <w:rtl/>
        </w:rPr>
        <w:t xml:space="preserve">, עמודים 396-295; עניין </w:t>
      </w:r>
      <w:r w:rsidRPr="0038148C">
        <w:rPr>
          <w:rFonts w:ascii="Century" w:hAnsi="Century" w:cs="Miriam" w:hint="cs"/>
          <w:b/>
          <w:spacing w:val="0"/>
          <w:sz w:val="22"/>
          <w:szCs w:val="24"/>
          <w:rtl/>
        </w:rPr>
        <w:t>חסן</w:t>
      </w:r>
      <w:r>
        <w:rPr>
          <w:rFonts w:hint="cs"/>
          <w:rtl/>
        </w:rPr>
        <w:t xml:space="preserve">, עמוד 854; </w:t>
      </w:r>
      <w:r w:rsidRPr="00914F0E">
        <w:rPr>
          <w:rFonts w:hint="eastAsia"/>
          <w:rtl/>
        </w:rPr>
        <w:t>נעם</w:t>
      </w:r>
      <w:r w:rsidRPr="00914F0E">
        <w:rPr>
          <w:rtl/>
        </w:rPr>
        <w:t xml:space="preserve"> </w:t>
      </w:r>
      <w:r w:rsidRPr="00914F0E">
        <w:rPr>
          <w:rFonts w:hint="eastAsia"/>
          <w:rtl/>
        </w:rPr>
        <w:t>סולברג</w:t>
      </w:r>
      <w:r w:rsidRPr="00914F0E">
        <w:rPr>
          <w:rtl/>
        </w:rPr>
        <w:t xml:space="preserve"> "</w:t>
      </w:r>
      <w:r w:rsidRPr="00914F0E">
        <w:rPr>
          <w:rFonts w:hint="eastAsia"/>
          <w:rtl/>
        </w:rPr>
        <w:t>שמרו</w:t>
      </w:r>
      <w:r w:rsidRPr="00914F0E">
        <w:rPr>
          <w:rtl/>
        </w:rPr>
        <w:t xml:space="preserve"> </w:t>
      </w:r>
      <w:r w:rsidRPr="00914F0E">
        <w:rPr>
          <w:rFonts w:hint="eastAsia"/>
          <w:rtl/>
        </w:rPr>
        <w:t>משפט</w:t>
      </w:r>
      <w:r w:rsidRPr="00914F0E">
        <w:rPr>
          <w:rtl/>
        </w:rPr>
        <w:t xml:space="preserve"> </w:t>
      </w:r>
      <w:r w:rsidRPr="00914F0E">
        <w:rPr>
          <w:rFonts w:hint="eastAsia"/>
          <w:rtl/>
        </w:rPr>
        <w:t>ועשו</w:t>
      </w:r>
      <w:r w:rsidRPr="00914F0E">
        <w:rPr>
          <w:rtl/>
        </w:rPr>
        <w:t xml:space="preserve"> </w:t>
      </w:r>
      <w:r w:rsidRPr="00914F0E">
        <w:rPr>
          <w:rFonts w:hint="eastAsia"/>
          <w:rtl/>
        </w:rPr>
        <w:t>צדקה</w:t>
      </w:r>
      <w:r w:rsidRPr="00914F0E">
        <w:rPr>
          <w:rtl/>
        </w:rPr>
        <w:t xml:space="preserve">" </w:t>
      </w:r>
      <w:r w:rsidRPr="0038148C">
        <w:rPr>
          <w:rFonts w:ascii="Century" w:hAnsi="Century" w:cs="Miriam" w:hint="eastAsia"/>
          <w:b/>
          <w:spacing w:val="0"/>
          <w:sz w:val="22"/>
          <w:szCs w:val="24"/>
          <w:rtl/>
        </w:rPr>
        <w:t>דין</w:t>
      </w:r>
      <w:r w:rsidRPr="0038148C">
        <w:rPr>
          <w:rFonts w:ascii="Century" w:hAnsi="Century" w:cs="Miriam"/>
          <w:b/>
          <w:spacing w:val="0"/>
          <w:sz w:val="22"/>
          <w:szCs w:val="24"/>
          <w:rtl/>
        </w:rPr>
        <w:t xml:space="preserve"> </w:t>
      </w:r>
      <w:r w:rsidRPr="0038148C">
        <w:rPr>
          <w:rFonts w:ascii="Century" w:hAnsi="Century" w:cs="Miriam" w:hint="eastAsia"/>
          <w:b/>
          <w:spacing w:val="0"/>
          <w:sz w:val="22"/>
          <w:szCs w:val="24"/>
          <w:rtl/>
        </w:rPr>
        <w:t>ודברים</w:t>
      </w:r>
      <w:r w:rsidRPr="003C5473">
        <w:rPr>
          <w:rFonts w:ascii="Century" w:hAnsi="Century"/>
          <w:sz w:val="22"/>
          <w:rtl/>
        </w:rPr>
        <w:t xml:space="preserve"> </w:t>
      </w:r>
      <w:r w:rsidRPr="003C5473">
        <w:rPr>
          <w:rFonts w:ascii="Century" w:hAnsi="Century" w:hint="eastAsia"/>
          <w:sz w:val="22"/>
          <w:rtl/>
        </w:rPr>
        <w:t>ח</w:t>
      </w:r>
      <w:r w:rsidRPr="003C5473">
        <w:rPr>
          <w:rFonts w:ascii="Century" w:hAnsi="Century"/>
          <w:sz w:val="22"/>
          <w:rtl/>
        </w:rPr>
        <w:t xml:space="preserve"> 13</w:t>
      </w:r>
      <w:r w:rsidRPr="00914F0E">
        <w:rPr>
          <w:rtl/>
        </w:rPr>
        <w:t>, 22 (</w:t>
      </w:r>
      <w:r w:rsidRPr="00914F0E">
        <w:rPr>
          <w:rFonts w:hint="eastAsia"/>
          <w:rtl/>
        </w:rPr>
        <w:t>התשע</w:t>
      </w:r>
      <w:r w:rsidRPr="00914F0E">
        <w:rPr>
          <w:rtl/>
        </w:rPr>
        <w:t>"</w:t>
      </w:r>
      <w:r w:rsidRPr="00914F0E">
        <w:rPr>
          <w:rFonts w:hint="eastAsia"/>
          <w:rtl/>
        </w:rPr>
        <w:t>ד</w:t>
      </w:r>
      <w:r w:rsidRPr="00914F0E">
        <w:rPr>
          <w:rtl/>
        </w:rPr>
        <w:t>)</w:t>
      </w:r>
      <w:r>
        <w:rPr>
          <w:rFonts w:hint="cs"/>
          <w:rtl/>
        </w:rPr>
        <w:t>;</w:t>
      </w:r>
      <w:r w:rsidRPr="0038148C">
        <w:rPr>
          <w:rFonts w:hint="eastAsia"/>
          <w:rtl/>
        </w:rPr>
        <w:t xml:space="preserve"> סיגל</w:t>
      </w:r>
      <w:r w:rsidRPr="0038148C">
        <w:rPr>
          <w:rtl/>
        </w:rPr>
        <w:t xml:space="preserve"> </w:t>
      </w:r>
      <w:r w:rsidRPr="0038148C">
        <w:rPr>
          <w:rFonts w:hint="eastAsia"/>
          <w:rtl/>
        </w:rPr>
        <w:t>קוגוט</w:t>
      </w:r>
      <w:r w:rsidRPr="0038148C">
        <w:rPr>
          <w:rtl/>
        </w:rPr>
        <w:t xml:space="preserve"> </w:t>
      </w:r>
      <w:r w:rsidRPr="0038148C">
        <w:rPr>
          <w:rFonts w:hint="eastAsia"/>
          <w:rtl/>
        </w:rPr>
        <w:t>ואפרת</w:t>
      </w:r>
      <w:r w:rsidRPr="0038148C">
        <w:rPr>
          <w:rtl/>
        </w:rPr>
        <w:t xml:space="preserve"> </w:t>
      </w:r>
      <w:r w:rsidRPr="0038148C">
        <w:rPr>
          <w:rFonts w:hint="eastAsia"/>
          <w:rtl/>
        </w:rPr>
        <w:t>חקאק</w:t>
      </w:r>
      <w:r>
        <w:rPr>
          <w:rFonts w:hint="cs"/>
          <w:rtl/>
        </w:rPr>
        <w:t xml:space="preserve">, </w:t>
      </w:r>
      <w:r>
        <w:rPr>
          <w:rFonts w:hint="eastAsia"/>
          <w:rtl/>
        </w:rPr>
        <w:t>הא</w:t>
      </w:r>
      <w:r>
        <w:rPr>
          <w:rFonts w:hint="cs"/>
          <w:rtl/>
        </w:rPr>
        <w:t>ם</w:t>
      </w:r>
      <w:r>
        <w:rPr>
          <w:rtl/>
        </w:rPr>
        <w:t xml:space="preserve"> </w:t>
      </w:r>
      <w:r>
        <w:rPr>
          <w:rFonts w:hint="eastAsia"/>
          <w:rtl/>
        </w:rPr>
        <w:t>נפגעה</w:t>
      </w:r>
      <w:r>
        <w:rPr>
          <w:rtl/>
        </w:rPr>
        <w:t xml:space="preserve"> </w:t>
      </w:r>
      <w:r>
        <w:rPr>
          <w:rFonts w:hint="eastAsia"/>
          <w:rtl/>
        </w:rPr>
        <w:t>זכות</w:t>
      </w:r>
      <w:r>
        <w:rPr>
          <w:rtl/>
        </w:rPr>
        <w:t xml:space="preserve"> </w:t>
      </w:r>
      <w:r>
        <w:rPr>
          <w:rFonts w:hint="eastAsia"/>
          <w:rtl/>
        </w:rPr>
        <w:t>חוקתית</w:t>
      </w:r>
      <w:r>
        <w:rPr>
          <w:rtl/>
        </w:rPr>
        <w:t xml:space="preserve">? </w:t>
      </w:r>
      <w:r>
        <w:rPr>
          <w:rFonts w:hint="eastAsia"/>
          <w:rtl/>
        </w:rPr>
        <w:t>הצור</w:t>
      </w:r>
      <w:r>
        <w:rPr>
          <w:rFonts w:hint="cs"/>
          <w:rtl/>
        </w:rPr>
        <w:t>ך</w:t>
      </w:r>
      <w:r>
        <w:rPr>
          <w:rtl/>
        </w:rPr>
        <w:t xml:space="preserve"> </w:t>
      </w:r>
      <w:r>
        <w:rPr>
          <w:rFonts w:hint="eastAsia"/>
          <w:rtl/>
        </w:rPr>
        <w:t>בקביעת</w:t>
      </w:r>
      <w:r>
        <w:rPr>
          <w:rtl/>
        </w:rPr>
        <w:t xml:space="preserve"> </w:t>
      </w:r>
      <w:r>
        <w:rPr>
          <w:rFonts w:hint="eastAsia"/>
          <w:rtl/>
        </w:rPr>
        <w:t>גדרי</w:t>
      </w:r>
      <w:r>
        <w:rPr>
          <w:rFonts w:hint="cs"/>
          <w:rtl/>
        </w:rPr>
        <w:t>ם</w:t>
      </w:r>
      <w:r>
        <w:rPr>
          <w:rtl/>
        </w:rPr>
        <w:t xml:space="preserve"> </w:t>
      </w:r>
      <w:r>
        <w:rPr>
          <w:rFonts w:hint="eastAsia"/>
          <w:rtl/>
        </w:rPr>
        <w:t>ברורי</w:t>
      </w:r>
      <w:r>
        <w:rPr>
          <w:rFonts w:hint="cs"/>
          <w:rtl/>
        </w:rPr>
        <w:t>ם</w:t>
      </w:r>
      <w:r>
        <w:rPr>
          <w:rtl/>
        </w:rPr>
        <w:t xml:space="preserve"> </w:t>
      </w:r>
      <w:r>
        <w:rPr>
          <w:rFonts w:hint="eastAsia"/>
          <w:rtl/>
        </w:rPr>
        <w:t>לזכות</w:t>
      </w:r>
      <w:r>
        <w:rPr>
          <w:rtl/>
        </w:rPr>
        <w:t xml:space="preserve"> </w:t>
      </w:r>
      <w:r>
        <w:rPr>
          <w:rFonts w:hint="eastAsia"/>
          <w:rtl/>
        </w:rPr>
        <w:t>חוקתית</w:t>
      </w:r>
      <w:r>
        <w:rPr>
          <w:rtl/>
        </w:rPr>
        <w:t xml:space="preserve"> – </w:t>
      </w:r>
      <w:r>
        <w:rPr>
          <w:rFonts w:hint="eastAsia"/>
          <w:rtl/>
        </w:rPr>
        <w:t>הזכות</w:t>
      </w:r>
      <w:r>
        <w:rPr>
          <w:rtl/>
        </w:rPr>
        <w:t xml:space="preserve"> </w:t>
      </w:r>
      <w:r>
        <w:rPr>
          <w:rFonts w:hint="eastAsia"/>
          <w:rtl/>
        </w:rPr>
        <w:t>החוקתית</w:t>
      </w:r>
      <w:r>
        <w:rPr>
          <w:rtl/>
        </w:rPr>
        <w:t xml:space="preserve"> </w:t>
      </w:r>
      <w:r>
        <w:rPr>
          <w:rFonts w:hint="eastAsia"/>
          <w:rtl/>
        </w:rPr>
        <w:t>לשוויו</w:t>
      </w:r>
      <w:r>
        <w:rPr>
          <w:rFonts w:hint="cs"/>
          <w:rtl/>
        </w:rPr>
        <w:t>ן</w:t>
      </w:r>
      <w:r>
        <w:rPr>
          <w:rtl/>
        </w:rPr>
        <w:t xml:space="preserve"> </w:t>
      </w:r>
      <w:r>
        <w:rPr>
          <w:rFonts w:hint="eastAsia"/>
          <w:rtl/>
        </w:rPr>
        <w:t>כמשל</w:t>
      </w:r>
      <w:r>
        <w:rPr>
          <w:rFonts w:hint="cs"/>
          <w:rtl/>
        </w:rPr>
        <w:t xml:space="preserve">, </w:t>
      </w:r>
      <w:r w:rsidRPr="0038148C">
        <w:rPr>
          <w:rFonts w:ascii="Century" w:hAnsi="Century" w:cs="Miriam" w:hint="cs"/>
          <w:b/>
          <w:spacing w:val="0"/>
          <w:sz w:val="22"/>
          <w:szCs w:val="24"/>
          <w:rtl/>
        </w:rPr>
        <w:t>שערי משפט</w:t>
      </w:r>
      <w:r w:rsidRPr="003C5473">
        <w:rPr>
          <w:rFonts w:ascii="Century" w:hAnsi="Century"/>
          <w:sz w:val="22"/>
          <w:rtl/>
        </w:rPr>
        <w:t xml:space="preserve"> </w:t>
      </w:r>
      <w:r w:rsidRPr="003C5473">
        <w:rPr>
          <w:rFonts w:ascii="Century" w:hAnsi="Century" w:hint="eastAsia"/>
          <w:sz w:val="22"/>
          <w:rtl/>
        </w:rPr>
        <w:t>ז</w:t>
      </w:r>
      <w:r w:rsidRPr="003C5473">
        <w:rPr>
          <w:rFonts w:ascii="Century" w:hAnsi="Century"/>
          <w:sz w:val="22"/>
          <w:rtl/>
        </w:rPr>
        <w:t xml:space="preserve"> (</w:t>
      </w:r>
      <w:r>
        <w:rPr>
          <w:rFonts w:hint="cs"/>
          <w:rtl/>
        </w:rPr>
        <w:t xml:space="preserve">התשע"ד)). </w:t>
      </w:r>
    </w:p>
    <w:p w:rsidR="00D512D4" w:rsidRDefault="00D512D4" w:rsidP="000B6AE3">
      <w:pPr>
        <w:pStyle w:val="Ruller41"/>
        <w:spacing w:line="240" w:lineRule="auto"/>
        <w:rPr>
          <w:rtl/>
        </w:rPr>
      </w:pPr>
    </w:p>
    <w:p w:rsidR="00D512D4" w:rsidRPr="00CC5FB7" w:rsidRDefault="00D512D4" w:rsidP="00811B3D">
      <w:pPr>
        <w:pStyle w:val="Ruller4"/>
        <w:rPr>
          <w:rtl/>
        </w:rPr>
      </w:pPr>
      <w:r>
        <w:rPr>
          <w:rFonts w:hint="cs"/>
          <w:rtl/>
        </w:rPr>
        <w:lastRenderedPageBreak/>
        <w:t xml:space="preserve">לפנינו שתי סוגיות הראויות לבירור וחידוד בשלב זה של הבחינה החוקתית </w:t>
      </w:r>
      <w:r>
        <w:rPr>
          <w:rtl/>
        </w:rPr>
        <w:t>–</w:t>
      </w:r>
      <w:r>
        <w:rPr>
          <w:rFonts w:hint="cs"/>
          <w:rtl/>
        </w:rPr>
        <w:t xml:space="preserve"> הוא שלב בירור הפגיעה. </w:t>
      </w:r>
      <w:r w:rsidRPr="00293547">
        <w:rPr>
          <w:rFonts w:ascii="Century" w:hAnsi="Century" w:cs="Miriam" w:hint="cs"/>
          <w:b/>
          <w:spacing w:val="0"/>
          <w:sz w:val="22"/>
          <w:szCs w:val="24"/>
          <w:rtl/>
        </w:rPr>
        <w:t>ראשית</w:t>
      </w:r>
      <w:r>
        <w:rPr>
          <w:rFonts w:hint="cs"/>
          <w:rtl/>
        </w:rPr>
        <w:t xml:space="preserve">, האם זכות שמקורה במשפט הבינלאומי עשויה להשליך על הבחינה החוקתית? </w:t>
      </w:r>
      <w:r w:rsidRPr="00293547">
        <w:rPr>
          <w:rFonts w:ascii="Century" w:hAnsi="Century" w:cs="Miriam" w:hint="cs"/>
          <w:b/>
          <w:spacing w:val="0"/>
          <w:sz w:val="22"/>
          <w:szCs w:val="24"/>
          <w:rtl/>
        </w:rPr>
        <w:t>שנית</w:t>
      </w:r>
      <w:r>
        <w:rPr>
          <w:rFonts w:hint="cs"/>
          <w:rtl/>
        </w:rPr>
        <w:t>, מהי המשמעות שיש ליתן, בשלב הפגיעה בזכות החוקתית, לעובדה שהמבקש את הגנת חוקי-היסוד, איננו אזרח או תושב ישראל, כי אם תושב של שטח שהוכרז על-ידי ממשלת ישראל כשטח אויב? אדון בשתי סוגיות אלה כסדרן; ראשון ראשון, אחרון אחרון.</w:t>
      </w:r>
    </w:p>
    <w:p w:rsidR="00D512D4" w:rsidRDefault="00D512D4" w:rsidP="00D512D4">
      <w:pPr>
        <w:pStyle w:val="Ruller41"/>
        <w:rPr>
          <w:rFonts w:ascii="Century" w:hAnsi="Century" w:cs="Miriam"/>
          <w:b/>
          <w:spacing w:val="0"/>
          <w:szCs w:val="24"/>
          <w:rtl/>
        </w:rPr>
      </w:pPr>
    </w:p>
    <w:p w:rsidR="00D512D4" w:rsidRPr="00C04DC8" w:rsidRDefault="00D512D4" w:rsidP="00C04DC8">
      <w:pPr>
        <w:pStyle w:val="4"/>
      </w:pPr>
      <w:bookmarkStart w:id="34" w:name="_Toc107851296"/>
      <w:bookmarkStart w:id="35" w:name="_Toc107851351"/>
      <w:r w:rsidRPr="00C04DC8">
        <w:rPr>
          <w:rFonts w:hint="cs"/>
          <w:rtl/>
        </w:rPr>
        <w:t>ד.1.1.3. פגיעה בזכות שמקורה בדין הבינלאומי</w:t>
      </w:r>
      <w:bookmarkEnd w:id="34"/>
      <w:bookmarkEnd w:id="35"/>
    </w:p>
    <w:p w:rsidR="00D512D4" w:rsidRDefault="00D512D4" w:rsidP="00D512D4">
      <w:pPr>
        <w:pStyle w:val="Ruller4"/>
        <w:rPr>
          <w:rtl/>
        </w:rPr>
      </w:pPr>
      <w:r>
        <w:rPr>
          <w:rFonts w:hint="cs"/>
          <w:rtl/>
        </w:rPr>
        <w:t>תחילה, אתייחס למקומו של המשפט הבינלאומי בניתוח החוקתי. הצדדים הרבו עלינו טענות, א</w:t>
      </w:r>
      <w:r w:rsidR="00EF7777">
        <w:rPr>
          <w:rFonts w:hint="cs"/>
          <w:rtl/>
        </w:rPr>
        <w:t>לה בכה ואלה בכ</w:t>
      </w:r>
      <w:r>
        <w:rPr>
          <w:rFonts w:hint="cs"/>
          <w:rtl/>
        </w:rPr>
        <w:t xml:space="preserve">ה, באשר לשאלה אם יש בכוחו של המשפט הבינלאומי כדי להקים עילת תביעה נזיקית </w:t>
      </w:r>
      <w:r w:rsidRPr="00975189">
        <w:rPr>
          <w:rFonts w:ascii="Century" w:hAnsi="Century" w:cs="Miriam" w:hint="cs"/>
          <w:b/>
          <w:spacing w:val="0"/>
          <w:sz w:val="22"/>
          <w:szCs w:val="24"/>
          <w:rtl/>
        </w:rPr>
        <w:t>ל</w:t>
      </w:r>
      <w:r>
        <w:rPr>
          <w:rFonts w:ascii="Century" w:hAnsi="Century" w:cs="Miriam" w:hint="cs"/>
          <w:b/>
          <w:spacing w:val="0"/>
          <w:sz w:val="22"/>
          <w:szCs w:val="24"/>
          <w:rtl/>
        </w:rPr>
        <w:t xml:space="preserve">אדם </w:t>
      </w:r>
      <w:r w:rsidRPr="00975189">
        <w:rPr>
          <w:rFonts w:ascii="Century" w:hAnsi="Century" w:cs="Miriam" w:hint="cs"/>
          <w:b/>
          <w:spacing w:val="0"/>
          <w:sz w:val="22"/>
          <w:szCs w:val="24"/>
          <w:rtl/>
        </w:rPr>
        <w:t>פרט</w:t>
      </w:r>
      <w:r>
        <w:rPr>
          <w:rFonts w:ascii="Century" w:hAnsi="Century" w:cs="Miriam" w:hint="cs"/>
          <w:b/>
          <w:spacing w:val="0"/>
          <w:sz w:val="22"/>
          <w:szCs w:val="24"/>
          <w:rtl/>
        </w:rPr>
        <w:t>י</w:t>
      </w:r>
      <w:r>
        <w:rPr>
          <w:rFonts w:hint="cs"/>
          <w:rtl/>
        </w:rPr>
        <w:t xml:space="preserve">, בגין הפרה של דיני המלחמה. כך, סיכומי המערער שזורים לאורכם ולרוחבם, כשתי וערב, בטענה כי סעיף 5ב(א)(1) לחוק, השולל עילת תביעה נזיקית מתושב שטח שהוכרז כשטח אויב, סותר עקרונות-יסוד שנקבעו במשפט הבינלאומי. המערער תומך יתדותיו בהקשר זה, בהוראות שונות מהמשפט הבינלאומי ההומניטרי, אמנת האג ואמנות ז'נבה, וכן באמנות שונות ממשפט זכויות האדם; לעמדתו, </w:t>
      </w:r>
      <w:r w:rsidR="00D255C8">
        <w:rPr>
          <w:rFonts w:hint="cs"/>
          <w:rtl/>
        </w:rPr>
        <w:t>ההוראות שבאמנות הללו, סותרות מכ</w:t>
      </w:r>
      <w:r>
        <w:rPr>
          <w:rFonts w:hint="cs"/>
          <w:rtl/>
        </w:rPr>
        <w:t>ל</w:t>
      </w:r>
      <w:r w:rsidR="00D255C8">
        <w:rPr>
          <w:rFonts w:hint="cs"/>
          <w:rtl/>
        </w:rPr>
        <w:t xml:space="preserve"> וכ</w:t>
      </w:r>
      <w:r>
        <w:rPr>
          <w:rFonts w:hint="cs"/>
          <w:rtl/>
        </w:rPr>
        <w:t xml:space="preserve">ל את ההסדר שנקבע בסעיף 5ב(א)(1) לחוק, המבוסס, כך המערער, על תכלית גזענית, שנועדה לשלול באופן גורף את זכות התביעה של קבוצה מסוימת, על בסיס אתני, טריטוריאלי או לאומי. לטענת המערער, החובה המוטלת על צד לסכסוך מזוין, לפצות בגין נזק שגרם ל'אזרחים מוגנים', מבוססת היטב במשפט הבינלאומי ההומניטרי-מנהגי. מנגד, המדינה טוענת כי סעיף 5ב(א)(1) לחוק אינו מפר את הוראות המשפט הבינלאומי, משום שאין בדין הבינלאומי הרלבנטי לענייננו </w:t>
      </w:r>
      <w:r>
        <w:rPr>
          <w:rtl/>
        </w:rPr>
        <w:t>–</w:t>
      </w:r>
      <w:r>
        <w:rPr>
          <w:rFonts w:hint="cs"/>
          <w:rtl/>
        </w:rPr>
        <w:t xml:space="preserve"> דיני הלחימה </w:t>
      </w:r>
      <w:r>
        <w:rPr>
          <w:rtl/>
        </w:rPr>
        <w:t>–</w:t>
      </w:r>
      <w:r>
        <w:rPr>
          <w:rFonts w:hint="cs"/>
          <w:rtl/>
        </w:rPr>
        <w:t xml:space="preserve"> זכות תביעה </w:t>
      </w:r>
      <w:r w:rsidRPr="00022485">
        <w:rPr>
          <w:rFonts w:ascii="Century" w:hAnsi="Century" w:cs="Miriam" w:hint="cs"/>
          <w:b/>
          <w:spacing w:val="0"/>
          <w:sz w:val="22"/>
          <w:szCs w:val="24"/>
          <w:rtl/>
        </w:rPr>
        <w:t>אישית</w:t>
      </w:r>
      <w:r w:rsidRPr="00022485">
        <w:rPr>
          <w:rFonts w:hint="cs"/>
          <w:rtl/>
        </w:rPr>
        <w:t xml:space="preserve"> </w:t>
      </w:r>
      <w:r>
        <w:rPr>
          <w:rFonts w:hint="cs"/>
          <w:rtl/>
        </w:rPr>
        <w:t xml:space="preserve">למי שנפגע במהלך סכסוך מזוין.   </w:t>
      </w:r>
    </w:p>
    <w:p w:rsidR="00D512D4" w:rsidRPr="00AA7DE1" w:rsidRDefault="00D512D4" w:rsidP="000B6AE3">
      <w:pPr>
        <w:pStyle w:val="Ruller41"/>
        <w:spacing w:line="240" w:lineRule="auto"/>
      </w:pPr>
    </w:p>
    <w:p w:rsidR="00D512D4" w:rsidRDefault="00D512D4" w:rsidP="00EF7777">
      <w:pPr>
        <w:pStyle w:val="Ruller4"/>
      </w:pPr>
      <w:r>
        <w:rPr>
          <w:rFonts w:hint="cs"/>
          <w:rtl/>
        </w:rPr>
        <w:t xml:space="preserve">הנה כי כן, לפנינו מחלוקת עקרונית, ביחס לתחולת הדין הבינלאומי, לגבי קיומה של עילת תביעה אישית-נזיקית, בגין נזק שגרמה מדינה, שהיא צד לסכסוך מזוין. מחלוקת זו, כשלעצמה, </w:t>
      </w:r>
      <w:r>
        <w:rPr>
          <w:rFonts w:hint="cs"/>
          <w:rtl/>
        </w:rPr>
        <w:lastRenderedPageBreak/>
        <w:t xml:space="preserve">עם כל חשיבותה, איננה מעוררת 'בעיה חוקתית' בנוגע לסעיף 5ב(א)(1) לחוק. כפי שנפסק לא אחת, פגיעה בזכויות אדם, שמקורה במשפט הבינלאומי הפומבי, על-ידי דבר חקיקה ישראלי מפורש, אינה מקימה עילה לביקורת שיפוטית חוקתית. בהתנגשות שבין המשפט הבינלאומי הפומבי לבין חקיקה מפורשת של הכנסת, ידה של </w:t>
      </w:r>
      <w:r w:rsidR="00285A59">
        <w:rPr>
          <w:rFonts w:hint="cs"/>
          <w:rtl/>
        </w:rPr>
        <w:t>כנסת ישראל</w:t>
      </w:r>
      <w:r>
        <w:rPr>
          <w:rFonts w:hint="cs"/>
          <w:rtl/>
        </w:rPr>
        <w:t xml:space="preserve"> </w:t>
      </w:r>
      <w:r w:rsidR="00EF7777">
        <w:rPr>
          <w:rFonts w:hint="cs"/>
          <w:rtl/>
        </w:rPr>
        <w:t>על העליונה</w:t>
      </w:r>
      <w:r>
        <w:rPr>
          <w:rFonts w:hint="cs"/>
          <w:rtl/>
        </w:rPr>
        <w:t>:</w:t>
      </w:r>
    </w:p>
    <w:p w:rsidR="00D512D4" w:rsidRPr="00EB5B00" w:rsidRDefault="00D512D4" w:rsidP="00D512D4">
      <w:pPr>
        <w:pStyle w:val="Ruller4"/>
        <w:numPr>
          <w:ilvl w:val="0"/>
          <w:numId w:val="0"/>
        </w:numPr>
        <w:rPr>
          <w:rtl/>
        </w:rPr>
      </w:pPr>
    </w:p>
    <w:p w:rsidR="00D512D4" w:rsidRDefault="00D512D4" w:rsidP="00811B3D">
      <w:pPr>
        <w:pStyle w:val="Ruller5"/>
        <w:spacing w:line="360" w:lineRule="auto"/>
        <w:rPr>
          <w:rFonts w:ascii="FrankRuehl" w:hAnsi="FrankRuehl"/>
          <w:b/>
          <w:spacing w:val="0"/>
          <w:sz w:val="28"/>
          <w:rtl/>
        </w:rPr>
      </w:pPr>
      <w:r>
        <w:rPr>
          <w:rFonts w:ascii="Century" w:hAnsi="Century" w:cs="Miriam" w:hint="cs"/>
          <w:b/>
          <w:spacing w:val="0"/>
          <w:szCs w:val="24"/>
          <w:rtl/>
        </w:rPr>
        <w:t>"</w:t>
      </w:r>
      <w:r w:rsidRPr="006C79D3">
        <w:rPr>
          <w:rFonts w:ascii="Century" w:hAnsi="Century" w:cs="Miriam"/>
          <w:b/>
          <w:spacing w:val="0"/>
          <w:szCs w:val="24"/>
          <w:rtl/>
        </w:rPr>
        <w:t xml:space="preserve">אכן, אפילו נפגעו זכויותיו של הזר על פי דיני זכויות האדם הבינלאומי ודיני זכויות האדם ההומניטריים </w:t>
      </w:r>
      <w:r w:rsidRPr="00B6322B">
        <w:rPr>
          <w:rFonts w:ascii="Century" w:hAnsi="Century"/>
          <w:rtl/>
        </w:rPr>
        <w:t>–</w:t>
      </w:r>
      <w:r w:rsidRPr="006C79D3">
        <w:rPr>
          <w:rFonts w:ascii="Century" w:hAnsi="Century" w:cs="Miriam"/>
          <w:b/>
          <w:spacing w:val="0"/>
          <w:szCs w:val="24"/>
          <w:rtl/>
        </w:rPr>
        <w:t xml:space="preserve"> ואפילו נפגעו זכויותיו של הישראלי עד כמה שהן מעוגנות רק בדינים אלה </w:t>
      </w:r>
      <w:r w:rsidRPr="00B6322B">
        <w:rPr>
          <w:rFonts w:ascii="Century" w:hAnsi="Century"/>
          <w:rtl/>
        </w:rPr>
        <w:t>–</w:t>
      </w:r>
      <w:r w:rsidRPr="006C79D3">
        <w:rPr>
          <w:rFonts w:ascii="Century" w:hAnsi="Century" w:cs="Miriam"/>
          <w:b/>
          <w:spacing w:val="0"/>
          <w:szCs w:val="24"/>
          <w:rtl/>
        </w:rPr>
        <w:t xml:space="preserve"> ואיננו נוקטים בשאלות אלה כל עמדה </w:t>
      </w:r>
      <w:r w:rsidRPr="00B6322B">
        <w:rPr>
          <w:rFonts w:ascii="Century" w:hAnsi="Century"/>
          <w:rtl/>
        </w:rPr>
        <w:t>–</w:t>
      </w:r>
      <w:r w:rsidRPr="006C79D3">
        <w:rPr>
          <w:rFonts w:ascii="Century" w:hAnsi="Century" w:cs="Miriam"/>
          <w:b/>
          <w:spacing w:val="0"/>
          <w:szCs w:val="24"/>
          <w:rtl/>
        </w:rPr>
        <w:t xml:space="preserve"> פגיעה זו נעשתה </w:t>
      </w:r>
      <w:r w:rsidR="00811B3D">
        <w:rPr>
          <w:rFonts w:ascii="Century" w:hAnsi="Century" w:cs="Miriam" w:hint="cs"/>
          <w:b/>
          <w:spacing w:val="0"/>
          <w:szCs w:val="24"/>
          <w:rtl/>
        </w:rPr>
        <w:t xml:space="preserve">      </w:t>
      </w:r>
      <w:r w:rsidRPr="006C79D3">
        <w:rPr>
          <w:rFonts w:ascii="Century" w:hAnsi="Century" w:cs="Miriam"/>
          <w:b/>
          <w:spacing w:val="0"/>
          <w:szCs w:val="24"/>
          <w:rtl/>
        </w:rPr>
        <w:t>מכוח חוק</w:t>
      </w:r>
      <w:r>
        <w:rPr>
          <w:rFonts w:ascii="Century" w:hAnsi="Century" w:cs="Miriam" w:hint="cs"/>
          <w:b/>
          <w:spacing w:val="0"/>
          <w:szCs w:val="24"/>
          <w:rtl/>
        </w:rPr>
        <w:t xml:space="preserve"> </w:t>
      </w:r>
      <w:r w:rsidRPr="006C79D3">
        <w:rPr>
          <w:rFonts w:ascii="Century" w:hAnsi="Century" w:cs="Miriam"/>
          <w:b/>
          <w:spacing w:val="0"/>
          <w:szCs w:val="24"/>
          <w:rtl/>
        </w:rPr>
        <w:t>האזרחות והכניסה לישראל</w:t>
      </w:r>
      <w:r>
        <w:rPr>
          <w:rFonts w:ascii="Century" w:hAnsi="Century" w:cs="Miriam" w:hint="cs"/>
          <w:b/>
          <w:spacing w:val="0"/>
          <w:szCs w:val="24"/>
          <w:rtl/>
        </w:rPr>
        <w:t>. ח</w:t>
      </w:r>
      <w:r w:rsidRPr="006C79D3">
        <w:rPr>
          <w:rFonts w:ascii="Century" w:hAnsi="Century" w:cs="Miriam"/>
          <w:b/>
          <w:spacing w:val="0"/>
          <w:szCs w:val="24"/>
          <w:rtl/>
        </w:rPr>
        <w:t>קיקה מקומית</w:t>
      </w:r>
      <w:r w:rsidR="00811B3D">
        <w:rPr>
          <w:rFonts w:ascii="Century" w:hAnsi="Century" w:cs="Miriam" w:hint="cs"/>
          <w:b/>
          <w:spacing w:val="0"/>
          <w:szCs w:val="24"/>
          <w:rtl/>
        </w:rPr>
        <w:t xml:space="preserve"> </w:t>
      </w:r>
      <w:r w:rsidRPr="006C79D3">
        <w:rPr>
          <w:rFonts w:ascii="Century" w:hAnsi="Century" w:cs="Miriam"/>
          <w:b/>
          <w:spacing w:val="0"/>
          <w:szCs w:val="24"/>
          <w:rtl/>
        </w:rPr>
        <w:t>מפורשת יש בכוחה, מנקודת המבט הישראלית הפנימית, לפגוע בזכויות המוענקות בדין הבינלאומי. עד כמה שדין אחרון זה מהווה משפט בינלאומי מינהגי, אין בכוחו להתגבר על דבר חקיקה ישראלי הפוגע בו במפורש</w:t>
      </w:r>
      <w:r>
        <w:rPr>
          <w:rFonts w:ascii="Century" w:hAnsi="Century" w:cs="Miriam" w:hint="cs"/>
          <w:b/>
          <w:spacing w:val="0"/>
          <w:szCs w:val="24"/>
          <w:rtl/>
        </w:rPr>
        <w:t>"</w:t>
      </w:r>
      <w:r w:rsidRPr="00B6322B">
        <w:rPr>
          <w:rFonts w:ascii="Century" w:hAnsi="Century"/>
          <w:rtl/>
        </w:rPr>
        <w:t xml:space="preserve"> </w:t>
      </w:r>
      <w:r>
        <w:rPr>
          <w:rFonts w:ascii="Century" w:hAnsi="Century" w:hint="cs"/>
          <w:rtl/>
        </w:rPr>
        <w:t xml:space="preserve">(עניין </w:t>
      </w:r>
      <w:r w:rsidRPr="00272863">
        <w:rPr>
          <w:rFonts w:ascii="Century" w:hAnsi="Century" w:cs="Miriam" w:hint="cs"/>
          <w:b/>
          <w:spacing w:val="0"/>
          <w:szCs w:val="24"/>
          <w:rtl/>
        </w:rPr>
        <w:t>איחוד משפחות</w:t>
      </w:r>
      <w:r>
        <w:rPr>
          <w:rFonts w:ascii="Century" w:hAnsi="Century" w:hint="cs"/>
          <w:rtl/>
        </w:rPr>
        <w:t>,</w:t>
      </w:r>
      <w:r w:rsidRPr="00272863">
        <w:rPr>
          <w:rFonts w:ascii="Century" w:hAnsi="Century"/>
          <w:rtl/>
        </w:rPr>
        <w:t xml:space="preserve"> פסקה 17 לפסק-דינו של הנשיא</w:t>
      </w:r>
      <w:r w:rsidRPr="0011382E">
        <w:rPr>
          <w:rFonts w:ascii="FrankRuehl" w:hAnsi="FrankRuehl"/>
          <w:b/>
          <w:spacing w:val="0"/>
          <w:sz w:val="28"/>
          <w:rtl/>
        </w:rPr>
        <w:t xml:space="preserve"> </w:t>
      </w:r>
      <w:r w:rsidRPr="00272863">
        <w:rPr>
          <w:rFonts w:ascii="Century" w:hAnsi="Century" w:cs="Miriam" w:hint="eastAsia"/>
          <w:b/>
          <w:spacing w:val="0"/>
          <w:szCs w:val="24"/>
          <w:rtl/>
        </w:rPr>
        <w:t>ברק</w:t>
      </w:r>
      <w:r w:rsidRPr="00272863">
        <w:rPr>
          <w:rFonts w:ascii="Century" w:hAnsi="Century"/>
          <w:rtl/>
        </w:rPr>
        <w:t>).</w:t>
      </w:r>
      <w:r w:rsidRPr="0011382E">
        <w:rPr>
          <w:rFonts w:ascii="FrankRuehl" w:hAnsi="FrankRuehl"/>
          <w:b/>
          <w:spacing w:val="0"/>
          <w:sz w:val="28"/>
          <w:rtl/>
        </w:rPr>
        <w:t xml:space="preserve"> </w:t>
      </w:r>
    </w:p>
    <w:p w:rsidR="00D512D4" w:rsidRPr="00272863" w:rsidRDefault="00D512D4" w:rsidP="00D512D4">
      <w:pPr>
        <w:pStyle w:val="Ruller4"/>
        <w:numPr>
          <w:ilvl w:val="0"/>
          <w:numId w:val="0"/>
        </w:numPr>
        <w:rPr>
          <w:rtl/>
        </w:rPr>
      </w:pPr>
    </w:p>
    <w:p w:rsidR="00D512D4" w:rsidRPr="0018055C" w:rsidRDefault="00D512D4" w:rsidP="001D1965">
      <w:pPr>
        <w:pStyle w:val="Ruller4"/>
        <w:numPr>
          <w:ilvl w:val="0"/>
          <w:numId w:val="0"/>
        </w:numPr>
        <w:rPr>
          <w:rFonts w:ascii="Century" w:hAnsi="Century" w:cs="Miriam"/>
          <w:b/>
          <w:spacing w:val="0"/>
          <w:szCs w:val="24"/>
          <w:rtl/>
        </w:rPr>
      </w:pPr>
      <w:r>
        <w:rPr>
          <w:rFonts w:ascii="Century" w:hAnsi="Century"/>
          <w:sz w:val="22"/>
          <w:rtl/>
        </w:rPr>
        <w:tab/>
      </w:r>
      <w:r w:rsidRPr="00272863">
        <w:rPr>
          <w:rFonts w:ascii="Century" w:hAnsi="Century" w:hint="eastAsia"/>
          <w:sz w:val="22"/>
          <w:rtl/>
        </w:rPr>
        <w:t>עוד</w:t>
      </w:r>
      <w:r w:rsidRPr="00272863">
        <w:rPr>
          <w:rFonts w:ascii="Century" w:hAnsi="Century"/>
          <w:sz w:val="22"/>
          <w:rtl/>
        </w:rPr>
        <w:t xml:space="preserve"> </w:t>
      </w:r>
      <w:r w:rsidRPr="00272863">
        <w:rPr>
          <w:rFonts w:ascii="Century" w:hAnsi="Century" w:hint="eastAsia"/>
          <w:sz w:val="22"/>
          <w:rtl/>
        </w:rPr>
        <w:t>ראו</w:t>
      </w:r>
      <w:r w:rsidRPr="00272863">
        <w:rPr>
          <w:rFonts w:ascii="Century" w:hAnsi="Century"/>
          <w:sz w:val="22"/>
          <w:rtl/>
        </w:rPr>
        <w:t>: ע"פ</w:t>
      </w:r>
      <w:r w:rsidRPr="0011382E">
        <w:rPr>
          <w:rFonts w:ascii="FrankRuehl" w:hAnsi="FrankRuehl"/>
          <w:b/>
          <w:spacing w:val="0"/>
          <w:sz w:val="28"/>
          <w:rtl/>
        </w:rPr>
        <w:t xml:space="preserve"> </w:t>
      </w:r>
      <w:r>
        <w:rPr>
          <w:rFonts w:ascii="FrankRuehl" w:hAnsi="FrankRuehl" w:hint="cs"/>
          <w:b/>
          <w:spacing w:val="0"/>
          <w:sz w:val="28"/>
          <w:rtl/>
        </w:rPr>
        <w:t xml:space="preserve">336/61 </w:t>
      </w:r>
      <w:r w:rsidRPr="00EE5D65">
        <w:rPr>
          <w:rFonts w:ascii="Century" w:hAnsi="Century" w:cs="Miriam" w:hint="cs"/>
          <w:b/>
          <w:spacing w:val="0"/>
          <w:szCs w:val="24"/>
          <w:rtl/>
        </w:rPr>
        <w:t>אייכמן נ' היועץ המשפטי לממשלה</w:t>
      </w:r>
      <w:r w:rsidRPr="00272863">
        <w:rPr>
          <w:rFonts w:ascii="Century" w:hAnsi="Century"/>
          <w:sz w:val="22"/>
          <w:rtl/>
        </w:rPr>
        <w:t xml:space="preserve">, </w:t>
      </w:r>
      <w:r w:rsidRPr="00272863">
        <w:rPr>
          <w:rFonts w:ascii="Century" w:hAnsi="Century" w:hint="eastAsia"/>
          <w:sz w:val="22"/>
          <w:rtl/>
        </w:rPr>
        <w:t>פ</w:t>
      </w:r>
      <w:r w:rsidRPr="00272863">
        <w:rPr>
          <w:rFonts w:ascii="Century" w:hAnsi="Century"/>
          <w:sz w:val="22"/>
          <w:rtl/>
        </w:rPr>
        <w:t xml:space="preserve">"ד </w:t>
      </w:r>
      <w:r w:rsidRPr="00272863">
        <w:rPr>
          <w:rFonts w:ascii="Century" w:hAnsi="Century" w:hint="eastAsia"/>
          <w:sz w:val="22"/>
          <w:rtl/>
        </w:rPr>
        <w:t>טז</w:t>
      </w:r>
      <w:r w:rsidRPr="00272863">
        <w:rPr>
          <w:rFonts w:ascii="Century" w:hAnsi="Century"/>
          <w:sz w:val="22"/>
          <w:rtl/>
        </w:rPr>
        <w:t>(5), 2033, 204</w:t>
      </w:r>
      <w:r>
        <w:rPr>
          <w:rFonts w:ascii="Century" w:hAnsi="Century" w:hint="cs"/>
          <w:sz w:val="22"/>
          <w:rtl/>
        </w:rPr>
        <w:t>1</w:t>
      </w:r>
      <w:r w:rsidRPr="00272863">
        <w:rPr>
          <w:rFonts w:ascii="Century" w:hAnsi="Century"/>
          <w:sz w:val="22"/>
          <w:rtl/>
        </w:rPr>
        <w:t>-204</w:t>
      </w:r>
      <w:r>
        <w:rPr>
          <w:rFonts w:ascii="Century" w:hAnsi="Century" w:hint="cs"/>
          <w:sz w:val="22"/>
          <w:rtl/>
        </w:rPr>
        <w:t>0</w:t>
      </w:r>
      <w:r w:rsidRPr="00272863">
        <w:rPr>
          <w:rFonts w:ascii="Century" w:hAnsi="Century"/>
          <w:sz w:val="22"/>
          <w:rtl/>
        </w:rPr>
        <w:t xml:space="preserve"> (1962); </w:t>
      </w:r>
      <w:r w:rsidRPr="00272863">
        <w:rPr>
          <w:rFonts w:ascii="Century" w:hAnsi="Century" w:hint="eastAsia"/>
          <w:sz w:val="22"/>
          <w:rtl/>
        </w:rPr>
        <w:t>בג</w:t>
      </w:r>
      <w:r w:rsidRPr="00272863">
        <w:rPr>
          <w:rFonts w:ascii="Century" w:hAnsi="Century"/>
          <w:sz w:val="22"/>
          <w:rtl/>
        </w:rPr>
        <w:t>"ץ 253/88</w:t>
      </w:r>
      <w:r w:rsidRPr="0011382E">
        <w:rPr>
          <w:rFonts w:ascii="FrankRuehl" w:hAnsi="FrankRuehl"/>
          <w:b/>
          <w:spacing w:val="0"/>
          <w:sz w:val="28"/>
          <w:rtl/>
        </w:rPr>
        <w:t xml:space="preserve"> </w:t>
      </w:r>
      <w:r w:rsidRPr="00E05DC6">
        <w:rPr>
          <w:rFonts w:ascii="Century" w:hAnsi="Century" w:cs="Miriam" w:hint="cs"/>
          <w:b/>
          <w:spacing w:val="0"/>
          <w:szCs w:val="24"/>
          <w:rtl/>
        </w:rPr>
        <w:t>סג'דיה נ' שר הביטחון</w:t>
      </w:r>
      <w:r w:rsidRPr="00272863">
        <w:rPr>
          <w:rFonts w:ascii="Century" w:hAnsi="Century"/>
          <w:sz w:val="22"/>
          <w:rtl/>
        </w:rPr>
        <w:t xml:space="preserve">, </w:t>
      </w:r>
      <w:r w:rsidRPr="00272863">
        <w:rPr>
          <w:rFonts w:ascii="Century" w:hAnsi="Century" w:hint="eastAsia"/>
          <w:sz w:val="22"/>
          <w:rtl/>
        </w:rPr>
        <w:t>פ</w:t>
      </w:r>
      <w:r w:rsidRPr="00272863">
        <w:rPr>
          <w:rFonts w:ascii="Century" w:hAnsi="Century"/>
          <w:sz w:val="22"/>
          <w:rtl/>
        </w:rPr>
        <w:t xml:space="preserve">"ד </w:t>
      </w:r>
      <w:r w:rsidRPr="00272863">
        <w:rPr>
          <w:rFonts w:ascii="Century" w:hAnsi="Century" w:hint="eastAsia"/>
          <w:sz w:val="22"/>
          <w:rtl/>
        </w:rPr>
        <w:t>מב</w:t>
      </w:r>
      <w:r w:rsidRPr="00272863">
        <w:rPr>
          <w:rFonts w:ascii="Century" w:hAnsi="Century"/>
          <w:sz w:val="22"/>
          <w:rtl/>
        </w:rPr>
        <w:t xml:space="preserve">(3) 801, 815 (1988); </w:t>
      </w:r>
      <w:r w:rsidRPr="00272863">
        <w:rPr>
          <w:rFonts w:ascii="Century" w:hAnsi="Century" w:hint="eastAsia"/>
          <w:sz w:val="22"/>
          <w:rtl/>
        </w:rPr>
        <w:t>בג</w:t>
      </w:r>
      <w:r w:rsidRPr="00272863">
        <w:rPr>
          <w:rFonts w:ascii="Century" w:hAnsi="Century"/>
          <w:sz w:val="22"/>
          <w:rtl/>
        </w:rPr>
        <w:t>"ץ 256/01</w:t>
      </w:r>
      <w:r w:rsidRPr="0011382E">
        <w:rPr>
          <w:rFonts w:ascii="FrankRuehl" w:hAnsi="FrankRuehl"/>
          <w:b/>
          <w:spacing w:val="0"/>
          <w:sz w:val="28"/>
          <w:rtl/>
        </w:rPr>
        <w:t xml:space="preserve"> </w:t>
      </w:r>
      <w:r w:rsidRPr="00E05DC6">
        <w:rPr>
          <w:rFonts w:ascii="Century" w:hAnsi="Century" w:cs="Miriam" w:hint="cs"/>
          <w:b/>
          <w:spacing w:val="0"/>
          <w:szCs w:val="24"/>
          <w:rtl/>
        </w:rPr>
        <w:t>רבאח נ' בית המשפט לעניינים מקומיים</w:t>
      </w:r>
      <w:r w:rsidRPr="00272863">
        <w:rPr>
          <w:rFonts w:ascii="Century" w:hAnsi="Century"/>
          <w:sz w:val="22"/>
          <w:rtl/>
        </w:rPr>
        <w:t xml:space="preserve">, פ"ד נו(2) 930, 935-934 (2002); </w:t>
      </w:r>
      <w:r w:rsidRPr="00272863">
        <w:rPr>
          <w:rFonts w:ascii="Century" w:hAnsi="Century" w:hint="eastAsia"/>
          <w:sz w:val="22"/>
          <w:rtl/>
        </w:rPr>
        <w:t>עניין</w:t>
      </w:r>
      <w:r w:rsidRPr="0011382E">
        <w:rPr>
          <w:rFonts w:ascii="FrankRuehl" w:hAnsi="FrankRuehl"/>
          <w:b/>
          <w:spacing w:val="0"/>
          <w:sz w:val="28"/>
          <w:rtl/>
        </w:rPr>
        <w:t xml:space="preserve"> </w:t>
      </w:r>
      <w:r w:rsidRPr="00EE5D65">
        <w:rPr>
          <w:rFonts w:ascii="Century" w:hAnsi="Century" w:cs="Miriam" w:hint="cs"/>
          <w:b/>
          <w:spacing w:val="0"/>
          <w:szCs w:val="24"/>
          <w:rtl/>
        </w:rPr>
        <w:t>חוף עזה</w:t>
      </w:r>
      <w:r w:rsidRPr="00272863">
        <w:rPr>
          <w:rFonts w:ascii="Century" w:hAnsi="Century"/>
          <w:sz w:val="22"/>
          <w:rtl/>
        </w:rPr>
        <w:t xml:space="preserve">, </w:t>
      </w:r>
      <w:r w:rsidRPr="00272863">
        <w:rPr>
          <w:rFonts w:ascii="Century" w:hAnsi="Century" w:hint="eastAsia"/>
          <w:sz w:val="22"/>
          <w:rtl/>
        </w:rPr>
        <w:t>בעמ</w:t>
      </w:r>
      <w:r w:rsidRPr="00272863">
        <w:rPr>
          <w:rFonts w:ascii="Century" w:hAnsi="Century"/>
          <w:sz w:val="22"/>
          <w:rtl/>
        </w:rPr>
        <w:t xml:space="preserve">' 544; </w:t>
      </w:r>
      <w:r w:rsidRPr="00272863">
        <w:rPr>
          <w:rFonts w:ascii="Century" w:hAnsi="Century" w:hint="eastAsia"/>
          <w:sz w:val="22"/>
          <w:rtl/>
        </w:rPr>
        <w:t>בג</w:t>
      </w:r>
      <w:r w:rsidRPr="00272863">
        <w:rPr>
          <w:rFonts w:ascii="Century" w:hAnsi="Century"/>
          <w:sz w:val="22"/>
          <w:rtl/>
        </w:rPr>
        <w:t>"</w:t>
      </w:r>
      <w:r w:rsidRPr="00272863">
        <w:rPr>
          <w:rFonts w:ascii="Century" w:hAnsi="Century" w:hint="eastAsia"/>
          <w:sz w:val="22"/>
          <w:rtl/>
        </w:rPr>
        <w:t>ץ</w:t>
      </w:r>
      <w:r w:rsidRPr="00272863">
        <w:rPr>
          <w:rFonts w:ascii="Century" w:hAnsi="Century"/>
          <w:sz w:val="22"/>
          <w:rtl/>
        </w:rPr>
        <w:t xml:space="preserve"> 2690/09</w:t>
      </w:r>
      <w:r w:rsidRPr="0011382E">
        <w:rPr>
          <w:rFonts w:ascii="FrankRuehl" w:hAnsi="FrankRuehl"/>
          <w:b/>
          <w:spacing w:val="0"/>
          <w:sz w:val="28"/>
          <w:rtl/>
        </w:rPr>
        <w:t xml:space="preserve"> </w:t>
      </w:r>
      <w:r w:rsidRPr="00832037">
        <w:rPr>
          <w:rFonts w:ascii="Century" w:hAnsi="Century" w:cs="Miriam"/>
          <w:b/>
          <w:spacing w:val="0"/>
          <w:szCs w:val="24"/>
          <w:rtl/>
        </w:rPr>
        <w:t>"</w:t>
      </w:r>
      <w:r w:rsidRPr="00832037">
        <w:rPr>
          <w:rFonts w:ascii="Century" w:hAnsi="Century" w:cs="Miriam" w:hint="eastAsia"/>
          <w:b/>
          <w:spacing w:val="0"/>
          <w:szCs w:val="24"/>
          <w:rtl/>
        </w:rPr>
        <w:t>יש</w:t>
      </w:r>
      <w:r w:rsidRPr="00832037">
        <w:rPr>
          <w:rFonts w:ascii="Century" w:hAnsi="Century" w:cs="Miriam"/>
          <w:b/>
          <w:spacing w:val="0"/>
          <w:szCs w:val="24"/>
          <w:rtl/>
        </w:rPr>
        <w:t xml:space="preserve"> </w:t>
      </w:r>
      <w:r w:rsidRPr="00832037">
        <w:rPr>
          <w:rFonts w:ascii="Century" w:hAnsi="Century" w:cs="Miriam" w:hint="eastAsia"/>
          <w:b/>
          <w:spacing w:val="0"/>
          <w:szCs w:val="24"/>
          <w:rtl/>
        </w:rPr>
        <w:t>דין</w:t>
      </w:r>
      <w:r w:rsidRPr="00832037">
        <w:rPr>
          <w:rFonts w:ascii="Century" w:hAnsi="Century" w:cs="Miriam"/>
          <w:b/>
          <w:spacing w:val="0"/>
          <w:szCs w:val="24"/>
          <w:rtl/>
        </w:rPr>
        <w:t xml:space="preserve">" </w:t>
      </w:r>
      <w:r w:rsidRPr="00D26974">
        <w:rPr>
          <w:rFonts w:ascii="Century" w:hAnsi="Century"/>
          <w:sz w:val="22"/>
          <w:rtl/>
        </w:rPr>
        <w:t>–</w:t>
      </w:r>
      <w:r w:rsidRPr="00832037">
        <w:rPr>
          <w:rFonts w:ascii="Century" w:hAnsi="Century" w:cs="Miriam"/>
          <w:b/>
          <w:spacing w:val="0"/>
          <w:szCs w:val="24"/>
          <w:rtl/>
        </w:rPr>
        <w:t xml:space="preserve"> </w:t>
      </w:r>
      <w:r w:rsidRPr="00832037">
        <w:rPr>
          <w:rFonts w:ascii="Century" w:hAnsi="Century" w:cs="Miriam" w:hint="eastAsia"/>
          <w:b/>
          <w:spacing w:val="0"/>
          <w:szCs w:val="24"/>
          <w:rtl/>
        </w:rPr>
        <w:t>ארגון</w:t>
      </w:r>
      <w:r w:rsidRPr="00832037">
        <w:rPr>
          <w:rFonts w:ascii="Century" w:hAnsi="Century" w:cs="Miriam"/>
          <w:b/>
          <w:spacing w:val="0"/>
          <w:szCs w:val="24"/>
          <w:rtl/>
        </w:rPr>
        <w:t xml:space="preserve"> </w:t>
      </w:r>
      <w:r w:rsidRPr="00832037">
        <w:rPr>
          <w:rFonts w:ascii="Century" w:hAnsi="Century" w:cs="Miriam" w:hint="eastAsia"/>
          <w:b/>
          <w:spacing w:val="0"/>
          <w:szCs w:val="24"/>
          <w:rtl/>
        </w:rPr>
        <w:t>מתנדבים</w:t>
      </w:r>
      <w:r w:rsidRPr="00832037">
        <w:rPr>
          <w:rFonts w:ascii="Century" w:hAnsi="Century" w:cs="Miriam"/>
          <w:b/>
          <w:spacing w:val="0"/>
          <w:szCs w:val="24"/>
          <w:rtl/>
        </w:rPr>
        <w:t xml:space="preserve"> </w:t>
      </w:r>
      <w:r w:rsidRPr="00832037">
        <w:rPr>
          <w:rFonts w:ascii="Century" w:hAnsi="Century" w:cs="Miriam" w:hint="eastAsia"/>
          <w:b/>
          <w:spacing w:val="0"/>
          <w:szCs w:val="24"/>
          <w:rtl/>
        </w:rPr>
        <w:t>לזכויות</w:t>
      </w:r>
      <w:r w:rsidRPr="00832037">
        <w:rPr>
          <w:rFonts w:ascii="Century" w:hAnsi="Century" w:cs="Miriam"/>
          <w:b/>
          <w:spacing w:val="0"/>
          <w:szCs w:val="24"/>
          <w:rtl/>
        </w:rPr>
        <w:t xml:space="preserve"> </w:t>
      </w:r>
      <w:r w:rsidRPr="00832037">
        <w:rPr>
          <w:rFonts w:ascii="Century" w:hAnsi="Century" w:cs="Miriam" w:hint="eastAsia"/>
          <w:b/>
          <w:spacing w:val="0"/>
          <w:szCs w:val="24"/>
          <w:rtl/>
        </w:rPr>
        <w:t>אדם</w:t>
      </w:r>
      <w:r w:rsidRPr="00832037">
        <w:rPr>
          <w:rFonts w:ascii="Century" w:hAnsi="Century" w:cs="Miriam"/>
          <w:b/>
          <w:spacing w:val="0"/>
          <w:szCs w:val="24"/>
          <w:rtl/>
        </w:rPr>
        <w:t xml:space="preserve"> </w:t>
      </w:r>
      <w:r w:rsidRPr="00832037">
        <w:rPr>
          <w:rFonts w:ascii="Century" w:hAnsi="Century" w:cs="Miriam" w:hint="eastAsia"/>
          <w:b/>
          <w:spacing w:val="0"/>
          <w:szCs w:val="24"/>
          <w:rtl/>
        </w:rPr>
        <w:t>ואחרים</w:t>
      </w:r>
      <w:r w:rsidRPr="00832037">
        <w:rPr>
          <w:rFonts w:ascii="Century" w:hAnsi="Century" w:cs="Miriam"/>
          <w:b/>
          <w:spacing w:val="0"/>
          <w:szCs w:val="24"/>
          <w:rtl/>
        </w:rPr>
        <w:t xml:space="preserve"> </w:t>
      </w:r>
      <w:r w:rsidRPr="00832037">
        <w:rPr>
          <w:rFonts w:ascii="Century" w:hAnsi="Century" w:cs="Miriam" w:hint="eastAsia"/>
          <w:b/>
          <w:spacing w:val="0"/>
          <w:szCs w:val="24"/>
          <w:rtl/>
        </w:rPr>
        <w:t>נ</w:t>
      </w:r>
      <w:r w:rsidRPr="00832037">
        <w:rPr>
          <w:rFonts w:ascii="Century" w:hAnsi="Century" w:cs="Miriam"/>
          <w:b/>
          <w:spacing w:val="0"/>
          <w:szCs w:val="24"/>
          <w:rtl/>
        </w:rPr>
        <w:t xml:space="preserve">' </w:t>
      </w:r>
      <w:r w:rsidRPr="00832037">
        <w:rPr>
          <w:rFonts w:ascii="Century" w:hAnsi="Century" w:cs="Miriam" w:hint="eastAsia"/>
          <w:b/>
          <w:spacing w:val="0"/>
          <w:szCs w:val="24"/>
          <w:rtl/>
        </w:rPr>
        <w:t>מפקד</w:t>
      </w:r>
      <w:r w:rsidRPr="00832037">
        <w:rPr>
          <w:rFonts w:ascii="Century" w:hAnsi="Century" w:cs="Miriam"/>
          <w:b/>
          <w:spacing w:val="0"/>
          <w:szCs w:val="24"/>
          <w:rtl/>
        </w:rPr>
        <w:t xml:space="preserve"> </w:t>
      </w:r>
      <w:r w:rsidRPr="00832037">
        <w:rPr>
          <w:rFonts w:ascii="Century" w:hAnsi="Century" w:cs="Miriam" w:hint="eastAsia"/>
          <w:b/>
          <w:spacing w:val="0"/>
          <w:szCs w:val="24"/>
          <w:rtl/>
        </w:rPr>
        <w:t>כוחות</w:t>
      </w:r>
      <w:r w:rsidRPr="00832037">
        <w:rPr>
          <w:rFonts w:ascii="Century" w:hAnsi="Century" w:cs="Miriam"/>
          <w:b/>
          <w:spacing w:val="0"/>
          <w:szCs w:val="24"/>
          <w:rtl/>
        </w:rPr>
        <w:t xml:space="preserve"> </w:t>
      </w:r>
      <w:r w:rsidRPr="00832037">
        <w:rPr>
          <w:rFonts w:ascii="Century" w:hAnsi="Century" w:cs="Miriam" w:hint="eastAsia"/>
          <w:b/>
          <w:spacing w:val="0"/>
          <w:szCs w:val="24"/>
          <w:rtl/>
        </w:rPr>
        <w:t>צה</w:t>
      </w:r>
      <w:r w:rsidRPr="00832037">
        <w:rPr>
          <w:rFonts w:ascii="Century" w:hAnsi="Century" w:cs="Miriam"/>
          <w:b/>
          <w:spacing w:val="0"/>
          <w:szCs w:val="24"/>
          <w:rtl/>
        </w:rPr>
        <w:t>"</w:t>
      </w:r>
      <w:r w:rsidRPr="00832037">
        <w:rPr>
          <w:rFonts w:ascii="Century" w:hAnsi="Century" w:cs="Miriam" w:hint="eastAsia"/>
          <w:b/>
          <w:spacing w:val="0"/>
          <w:szCs w:val="24"/>
          <w:rtl/>
        </w:rPr>
        <w:t>ל</w:t>
      </w:r>
      <w:r w:rsidRPr="00832037">
        <w:rPr>
          <w:rFonts w:ascii="Century" w:hAnsi="Century" w:cs="Miriam"/>
          <w:b/>
          <w:spacing w:val="0"/>
          <w:szCs w:val="24"/>
          <w:rtl/>
        </w:rPr>
        <w:t xml:space="preserve"> </w:t>
      </w:r>
      <w:r w:rsidRPr="00832037">
        <w:rPr>
          <w:rFonts w:ascii="Century" w:hAnsi="Century" w:cs="Miriam" w:hint="eastAsia"/>
          <w:b/>
          <w:spacing w:val="0"/>
          <w:szCs w:val="24"/>
          <w:rtl/>
        </w:rPr>
        <w:t>בגדה</w:t>
      </w:r>
      <w:r w:rsidRPr="00832037">
        <w:rPr>
          <w:rFonts w:ascii="Century" w:hAnsi="Century" w:cs="Miriam"/>
          <w:b/>
          <w:spacing w:val="0"/>
          <w:szCs w:val="24"/>
          <w:rtl/>
        </w:rPr>
        <w:t xml:space="preserve"> </w:t>
      </w:r>
      <w:r w:rsidRPr="00832037">
        <w:rPr>
          <w:rFonts w:ascii="Century" w:hAnsi="Century" w:cs="Miriam" w:hint="eastAsia"/>
          <w:b/>
          <w:spacing w:val="0"/>
          <w:szCs w:val="24"/>
          <w:rtl/>
        </w:rPr>
        <w:t>המערבית</w:t>
      </w:r>
      <w:r w:rsidRPr="00272863">
        <w:rPr>
          <w:rFonts w:ascii="Century" w:hAnsi="Century"/>
          <w:sz w:val="22"/>
          <w:rtl/>
        </w:rPr>
        <w:t>, פסקה 6 (28.3.2010);</w:t>
      </w:r>
      <w:r w:rsidR="001D1965" w:rsidRPr="001D1965">
        <w:rPr>
          <w:rFonts w:ascii="Century" w:hAnsi="Century"/>
          <w:rtl/>
        </w:rPr>
        <w:t xml:space="preserve"> </w:t>
      </w:r>
      <w:r w:rsidR="001D1965" w:rsidRPr="00272863">
        <w:rPr>
          <w:rFonts w:ascii="Century" w:hAnsi="Century"/>
          <w:rtl/>
        </w:rPr>
        <w:t>ע"א 6982/12</w:t>
      </w:r>
      <w:r w:rsidR="001D1965" w:rsidRPr="0011382E">
        <w:rPr>
          <w:rFonts w:ascii="Century" w:hAnsi="Century" w:cs="Miriam"/>
          <w:b/>
          <w:spacing w:val="0"/>
          <w:szCs w:val="24"/>
          <w:rtl/>
        </w:rPr>
        <w:t xml:space="preserve"> </w:t>
      </w:r>
      <w:r w:rsidR="001D1965" w:rsidRPr="0018055C">
        <w:rPr>
          <w:rFonts w:ascii="Century" w:hAnsi="Century" w:cs="Miriam" w:hint="eastAsia"/>
          <w:b/>
          <w:spacing w:val="0"/>
          <w:szCs w:val="24"/>
          <w:rtl/>
        </w:rPr>
        <w:t>עזבון</w:t>
      </w:r>
      <w:r w:rsidR="001D1965" w:rsidRPr="0018055C">
        <w:rPr>
          <w:rFonts w:ascii="Century" w:hAnsi="Century" w:cs="Miriam"/>
          <w:b/>
          <w:spacing w:val="0"/>
          <w:szCs w:val="24"/>
          <w:rtl/>
        </w:rPr>
        <w:t xml:space="preserve"> </w:t>
      </w:r>
      <w:r w:rsidR="001D1965" w:rsidRPr="0018055C">
        <w:rPr>
          <w:rFonts w:ascii="Century" w:hAnsi="Century" w:cs="Miriam" w:hint="eastAsia"/>
          <w:b/>
          <w:spacing w:val="0"/>
          <w:szCs w:val="24"/>
          <w:rtl/>
        </w:rPr>
        <w:t>המנוחה</w:t>
      </w:r>
      <w:r w:rsidR="001D1965" w:rsidRPr="0018055C">
        <w:rPr>
          <w:rFonts w:ascii="Century" w:hAnsi="Century" w:cs="Miriam"/>
          <w:b/>
          <w:spacing w:val="0"/>
          <w:szCs w:val="24"/>
          <w:rtl/>
        </w:rPr>
        <w:t xml:space="preserve"> </w:t>
      </w:r>
      <w:r w:rsidR="001D1965" w:rsidRPr="00B63E91">
        <w:rPr>
          <w:rFonts w:ascii="Century" w:hAnsi="Century" w:cs="Miriam"/>
          <w:bCs/>
          <w:spacing w:val="0"/>
          <w:szCs w:val="26"/>
        </w:rPr>
        <w:t>Rachel Aliene Corrie</w:t>
      </w:r>
      <w:r w:rsidR="001D1965" w:rsidRPr="0018055C">
        <w:rPr>
          <w:rFonts w:ascii="Century" w:hAnsi="Century" w:cs="Miriam"/>
          <w:b/>
          <w:spacing w:val="0"/>
          <w:szCs w:val="24"/>
          <w:rtl/>
        </w:rPr>
        <w:t xml:space="preserve"> </w:t>
      </w:r>
      <w:r w:rsidR="001D1965" w:rsidRPr="0018055C">
        <w:rPr>
          <w:rFonts w:ascii="Century" w:hAnsi="Century" w:cs="Miriam" w:hint="eastAsia"/>
          <w:b/>
          <w:spacing w:val="0"/>
          <w:szCs w:val="24"/>
          <w:rtl/>
        </w:rPr>
        <w:t>ז</w:t>
      </w:r>
      <w:r w:rsidR="001D1965" w:rsidRPr="0018055C">
        <w:rPr>
          <w:rFonts w:ascii="Century" w:hAnsi="Century" w:cs="Miriam"/>
          <w:b/>
          <w:spacing w:val="0"/>
          <w:szCs w:val="24"/>
          <w:rtl/>
        </w:rPr>
        <w:t>"</w:t>
      </w:r>
      <w:r w:rsidR="001D1965" w:rsidRPr="0018055C">
        <w:rPr>
          <w:rFonts w:ascii="Century" w:hAnsi="Century" w:cs="Miriam" w:hint="eastAsia"/>
          <w:b/>
          <w:spacing w:val="0"/>
          <w:szCs w:val="24"/>
          <w:rtl/>
        </w:rPr>
        <w:t>ל</w:t>
      </w:r>
      <w:r w:rsidR="001D1965" w:rsidRPr="0018055C">
        <w:rPr>
          <w:rFonts w:ascii="Century" w:hAnsi="Century" w:cs="Miriam"/>
          <w:b/>
          <w:spacing w:val="0"/>
          <w:szCs w:val="24"/>
          <w:rtl/>
        </w:rPr>
        <w:t xml:space="preserve"> </w:t>
      </w:r>
      <w:r w:rsidR="001D1965" w:rsidRPr="0018055C">
        <w:rPr>
          <w:rFonts w:ascii="Century" w:hAnsi="Century" w:cs="Miriam" w:hint="eastAsia"/>
          <w:b/>
          <w:spacing w:val="0"/>
          <w:szCs w:val="24"/>
          <w:rtl/>
        </w:rPr>
        <w:t>נ</w:t>
      </w:r>
      <w:r w:rsidR="001D1965" w:rsidRPr="0018055C">
        <w:rPr>
          <w:rFonts w:ascii="Century" w:hAnsi="Century" w:cs="Miriam"/>
          <w:b/>
          <w:spacing w:val="0"/>
          <w:szCs w:val="24"/>
          <w:rtl/>
        </w:rPr>
        <w:t xml:space="preserve">' </w:t>
      </w:r>
      <w:r w:rsidR="001D1965" w:rsidRPr="0018055C">
        <w:rPr>
          <w:rFonts w:ascii="Century" w:hAnsi="Century" w:cs="Miriam" w:hint="eastAsia"/>
          <w:b/>
          <w:spacing w:val="0"/>
          <w:szCs w:val="24"/>
          <w:rtl/>
        </w:rPr>
        <w:t>מדינת</w:t>
      </w:r>
      <w:r w:rsidR="001D1965" w:rsidRPr="0018055C">
        <w:rPr>
          <w:rFonts w:ascii="Century" w:hAnsi="Century" w:cs="Miriam"/>
          <w:b/>
          <w:spacing w:val="0"/>
          <w:szCs w:val="24"/>
          <w:rtl/>
        </w:rPr>
        <w:t xml:space="preserve"> </w:t>
      </w:r>
      <w:r w:rsidR="001D1965" w:rsidRPr="0018055C">
        <w:rPr>
          <w:rFonts w:ascii="Century" w:hAnsi="Century" w:cs="Miriam" w:hint="eastAsia"/>
          <w:b/>
          <w:spacing w:val="0"/>
          <w:szCs w:val="24"/>
          <w:rtl/>
        </w:rPr>
        <w:t>ישראל</w:t>
      </w:r>
      <w:r w:rsidR="001D1965" w:rsidRPr="0018055C">
        <w:rPr>
          <w:rFonts w:ascii="Century" w:hAnsi="Century" w:cs="Miriam"/>
          <w:b/>
          <w:spacing w:val="0"/>
          <w:szCs w:val="24"/>
          <w:rtl/>
        </w:rPr>
        <w:t xml:space="preserve">, </w:t>
      </w:r>
      <w:r w:rsidR="001D1965" w:rsidRPr="0018055C">
        <w:rPr>
          <w:rFonts w:ascii="Century" w:hAnsi="Century" w:cs="Miriam" w:hint="eastAsia"/>
          <w:b/>
          <w:spacing w:val="0"/>
          <w:szCs w:val="24"/>
          <w:rtl/>
        </w:rPr>
        <w:t>משרד</w:t>
      </w:r>
      <w:r w:rsidR="001D1965" w:rsidRPr="0018055C">
        <w:rPr>
          <w:rFonts w:ascii="Century" w:hAnsi="Century" w:cs="Miriam"/>
          <w:b/>
          <w:spacing w:val="0"/>
          <w:szCs w:val="24"/>
          <w:rtl/>
        </w:rPr>
        <w:t xml:space="preserve"> </w:t>
      </w:r>
      <w:r w:rsidR="001D1965" w:rsidRPr="0018055C">
        <w:rPr>
          <w:rFonts w:ascii="Century" w:hAnsi="Century" w:cs="Miriam" w:hint="eastAsia"/>
          <w:b/>
          <w:spacing w:val="0"/>
          <w:szCs w:val="24"/>
          <w:rtl/>
        </w:rPr>
        <w:t>הביטחון</w:t>
      </w:r>
      <w:r w:rsidR="001D1965" w:rsidRPr="00272863">
        <w:rPr>
          <w:rFonts w:ascii="Century" w:hAnsi="Century"/>
          <w:rtl/>
        </w:rPr>
        <w:t>, פסקה 17 (</w:t>
      </w:r>
      <w:r w:rsidR="001D1965">
        <w:rPr>
          <w:rFonts w:ascii="Century" w:hAnsi="Century" w:hint="cs"/>
          <w:rtl/>
        </w:rPr>
        <w:t>12.2.</w:t>
      </w:r>
      <w:r w:rsidR="001D1965" w:rsidRPr="00272863">
        <w:rPr>
          <w:rFonts w:ascii="Century" w:hAnsi="Century"/>
          <w:rtl/>
        </w:rPr>
        <w:t>2015)</w:t>
      </w:r>
      <w:r w:rsidR="00811B3D">
        <w:rPr>
          <w:rFonts w:ascii="Century" w:hAnsi="Century" w:hint="cs"/>
          <w:sz w:val="22"/>
          <w:rtl/>
        </w:rPr>
        <w:t>;</w:t>
      </w:r>
      <w:r w:rsidRPr="00272863">
        <w:rPr>
          <w:rFonts w:ascii="Century" w:hAnsi="Century"/>
          <w:sz w:val="22"/>
          <w:rtl/>
        </w:rPr>
        <w:t xml:space="preserve"> </w:t>
      </w:r>
      <w:r w:rsidRPr="00272863">
        <w:rPr>
          <w:rFonts w:ascii="Century" w:hAnsi="Century" w:hint="eastAsia"/>
          <w:sz w:val="22"/>
          <w:rtl/>
        </w:rPr>
        <w:t>כן</w:t>
      </w:r>
      <w:r w:rsidRPr="00272863">
        <w:rPr>
          <w:rFonts w:ascii="Century" w:hAnsi="Century"/>
          <w:sz w:val="22"/>
          <w:rtl/>
        </w:rPr>
        <w:t xml:space="preserve"> </w:t>
      </w:r>
      <w:r w:rsidRPr="00272863">
        <w:rPr>
          <w:rFonts w:ascii="Century" w:hAnsi="Century" w:hint="eastAsia"/>
          <w:sz w:val="22"/>
          <w:rtl/>
        </w:rPr>
        <w:t>ראו</w:t>
      </w:r>
      <w:r w:rsidRPr="00272863">
        <w:rPr>
          <w:rFonts w:ascii="Century" w:hAnsi="Century"/>
          <w:sz w:val="22"/>
          <w:rtl/>
        </w:rPr>
        <w:t xml:space="preserve">: </w:t>
      </w:r>
      <w:r w:rsidRPr="00272863">
        <w:rPr>
          <w:rFonts w:ascii="Century" w:hAnsi="Century" w:hint="eastAsia"/>
          <w:sz w:val="22"/>
          <w:rtl/>
        </w:rPr>
        <w:t>יורם</w:t>
      </w:r>
      <w:r w:rsidRPr="00272863">
        <w:rPr>
          <w:rFonts w:ascii="Century" w:hAnsi="Century"/>
          <w:sz w:val="22"/>
          <w:rtl/>
        </w:rPr>
        <w:t xml:space="preserve"> </w:t>
      </w:r>
      <w:r w:rsidRPr="00272863">
        <w:rPr>
          <w:rFonts w:ascii="Century" w:hAnsi="Century" w:hint="eastAsia"/>
          <w:sz w:val="22"/>
          <w:rtl/>
        </w:rPr>
        <w:t>דינשטיין</w:t>
      </w:r>
      <w:r w:rsidRPr="00272863">
        <w:rPr>
          <w:rFonts w:ascii="Century" w:hAnsi="Century"/>
          <w:sz w:val="22"/>
          <w:rtl/>
        </w:rPr>
        <w:t>,</w:t>
      </w:r>
      <w:r w:rsidRPr="0011382E">
        <w:rPr>
          <w:rFonts w:ascii="FrankRuehl" w:hAnsi="FrankRuehl"/>
          <w:b/>
          <w:spacing w:val="0"/>
          <w:sz w:val="28"/>
          <w:rtl/>
        </w:rPr>
        <w:t xml:space="preserve"> </w:t>
      </w:r>
      <w:r w:rsidRPr="00EE5D65">
        <w:rPr>
          <w:rFonts w:ascii="Century" w:hAnsi="Century" w:cs="Miriam" w:hint="cs"/>
          <w:b/>
          <w:spacing w:val="0"/>
          <w:szCs w:val="24"/>
          <w:rtl/>
        </w:rPr>
        <w:t>המשפט הבינלאומי והמדינה</w:t>
      </w:r>
      <w:r w:rsidRPr="00272863">
        <w:rPr>
          <w:rFonts w:ascii="Century" w:hAnsi="Century"/>
          <w:sz w:val="22"/>
          <w:rtl/>
        </w:rPr>
        <w:t xml:space="preserve">, </w:t>
      </w:r>
      <w:r w:rsidRPr="00272863">
        <w:rPr>
          <w:rFonts w:ascii="Century" w:hAnsi="Century" w:hint="eastAsia"/>
          <w:sz w:val="22"/>
          <w:rtl/>
        </w:rPr>
        <w:t>עמ</w:t>
      </w:r>
      <w:r>
        <w:rPr>
          <w:rFonts w:ascii="Century" w:hAnsi="Century" w:hint="cs"/>
          <w:sz w:val="22"/>
          <w:rtl/>
        </w:rPr>
        <w:t>וד</w:t>
      </w:r>
      <w:r w:rsidRPr="00272863">
        <w:rPr>
          <w:rFonts w:ascii="Century" w:hAnsi="Century"/>
          <w:sz w:val="22"/>
          <w:rtl/>
        </w:rPr>
        <w:t xml:space="preserve"> 128 (הוצאת שוקן, 1971)). </w:t>
      </w:r>
    </w:p>
    <w:p w:rsidR="00D512D4" w:rsidRPr="00855093" w:rsidRDefault="00D512D4" w:rsidP="00D512D4">
      <w:pPr>
        <w:pStyle w:val="Ruller5"/>
        <w:spacing w:line="360" w:lineRule="auto"/>
        <w:rPr>
          <w:rFonts w:ascii="Century" w:hAnsi="Century" w:cs="Miriam"/>
          <w:b/>
          <w:spacing w:val="0"/>
          <w:szCs w:val="24"/>
          <w:rtl/>
        </w:rPr>
      </w:pPr>
    </w:p>
    <w:p w:rsidR="00D512D4" w:rsidRDefault="00D512D4" w:rsidP="00154174">
      <w:pPr>
        <w:pStyle w:val="Ruller4"/>
        <w:rPr>
          <w:rtl/>
        </w:rPr>
      </w:pPr>
      <w:r>
        <w:rPr>
          <w:rFonts w:hint="cs"/>
          <w:rtl/>
        </w:rPr>
        <w:lastRenderedPageBreak/>
        <w:t xml:space="preserve">בנדון דידן, כלל לא מתעוררת </w:t>
      </w:r>
      <w:r w:rsidRPr="00EB5B00">
        <w:rPr>
          <w:rFonts w:ascii="Century" w:hAnsi="Century" w:cs="Miriam" w:hint="cs"/>
          <w:b/>
          <w:spacing w:val="0"/>
          <w:sz w:val="22"/>
          <w:szCs w:val="24"/>
          <w:rtl/>
        </w:rPr>
        <w:t>שאלה</w:t>
      </w:r>
      <w:r w:rsidRPr="00EB5B00">
        <w:rPr>
          <w:rFonts w:hint="cs"/>
          <w:rtl/>
        </w:rPr>
        <w:t xml:space="preserve"> </w:t>
      </w:r>
      <w:r w:rsidRPr="00EB5B00">
        <w:rPr>
          <w:rFonts w:ascii="Century" w:hAnsi="Century" w:cs="Miriam" w:hint="cs"/>
          <w:b/>
          <w:spacing w:val="0"/>
          <w:sz w:val="22"/>
          <w:szCs w:val="24"/>
          <w:rtl/>
        </w:rPr>
        <w:t>פרשנית</w:t>
      </w:r>
      <w:r>
        <w:rPr>
          <w:rFonts w:hint="cs"/>
          <w:rtl/>
        </w:rPr>
        <w:t>,</w:t>
      </w:r>
      <w:r w:rsidRPr="00EB5B00">
        <w:rPr>
          <w:rFonts w:hint="cs"/>
          <w:rtl/>
        </w:rPr>
        <w:t xml:space="preserve"> </w:t>
      </w:r>
      <w:r>
        <w:rPr>
          <w:rFonts w:hint="cs"/>
          <w:rtl/>
        </w:rPr>
        <w:t>כזו או אחרת, ביחס להוראות חוק הנזיקים האזרחיים, שאז יכול שהיה מקום להידרש ל'חזקת ההתאמה הפרשנית', ולבחון אם היא מתקיימת בנסיבות העניין דנן. על-פי חזקה זו, על בית המשפט לפרש דבר חקיקה ישראלי, ככל הניתן, באופן שיעלה בקנה אחד עם נורמות משפט בינלאומיות שמדינת ישראל מחויבת בהן (</w:t>
      </w:r>
      <w:r w:rsidRPr="00EB5B00">
        <w:rPr>
          <w:rFonts w:hint="eastAsia"/>
          <w:rtl/>
        </w:rPr>
        <w:t>בג</w:t>
      </w:r>
      <w:r w:rsidRPr="00EB5B00">
        <w:rPr>
          <w:rtl/>
        </w:rPr>
        <w:t>"</w:t>
      </w:r>
      <w:r w:rsidRPr="00EB5B00">
        <w:rPr>
          <w:rFonts w:hint="eastAsia"/>
          <w:rtl/>
        </w:rPr>
        <w:t>ץ</w:t>
      </w:r>
      <w:r w:rsidRPr="00EB5B00">
        <w:rPr>
          <w:rtl/>
        </w:rPr>
        <w:t xml:space="preserve"> 4542/02 </w:t>
      </w:r>
      <w:r w:rsidRPr="00EB5B00">
        <w:rPr>
          <w:rFonts w:ascii="Century" w:hAnsi="Century" w:cs="Miriam" w:hint="eastAsia"/>
          <w:b/>
          <w:spacing w:val="0"/>
          <w:sz w:val="22"/>
          <w:szCs w:val="24"/>
          <w:rtl/>
        </w:rPr>
        <w:t>עמותת</w:t>
      </w:r>
      <w:r w:rsidRPr="00EB5B00">
        <w:rPr>
          <w:rFonts w:ascii="Century" w:hAnsi="Century" w:cs="Miriam"/>
          <w:b/>
          <w:spacing w:val="0"/>
          <w:sz w:val="22"/>
          <w:szCs w:val="24"/>
          <w:rtl/>
        </w:rPr>
        <w:t xml:space="preserve"> "</w:t>
      </w:r>
      <w:r w:rsidRPr="00EB5B00">
        <w:rPr>
          <w:rFonts w:ascii="Century" w:hAnsi="Century" w:cs="Miriam" w:hint="eastAsia"/>
          <w:b/>
          <w:spacing w:val="0"/>
          <w:sz w:val="22"/>
          <w:szCs w:val="24"/>
          <w:rtl/>
        </w:rPr>
        <w:t>קו</w:t>
      </w:r>
      <w:r w:rsidRPr="00EB5B00">
        <w:rPr>
          <w:rFonts w:ascii="Century" w:hAnsi="Century" w:cs="Miriam"/>
          <w:b/>
          <w:spacing w:val="0"/>
          <w:sz w:val="22"/>
          <w:szCs w:val="24"/>
          <w:rtl/>
        </w:rPr>
        <w:t xml:space="preserve"> </w:t>
      </w:r>
      <w:r w:rsidRPr="00EB5B00">
        <w:rPr>
          <w:rFonts w:ascii="Century" w:hAnsi="Century" w:cs="Miriam" w:hint="eastAsia"/>
          <w:b/>
          <w:spacing w:val="0"/>
          <w:sz w:val="22"/>
          <w:szCs w:val="24"/>
          <w:rtl/>
        </w:rPr>
        <w:t>לעובד</w:t>
      </w:r>
      <w:r w:rsidRPr="00EB5B00">
        <w:rPr>
          <w:rFonts w:ascii="Century" w:hAnsi="Century" w:cs="Miriam"/>
          <w:b/>
          <w:spacing w:val="0"/>
          <w:sz w:val="22"/>
          <w:szCs w:val="24"/>
          <w:rtl/>
        </w:rPr>
        <w:t xml:space="preserve">" </w:t>
      </w:r>
      <w:r w:rsidRPr="00EB5B00">
        <w:rPr>
          <w:rFonts w:ascii="Century" w:hAnsi="Century" w:cs="Miriam" w:hint="eastAsia"/>
          <w:b/>
          <w:spacing w:val="0"/>
          <w:sz w:val="22"/>
          <w:szCs w:val="24"/>
          <w:rtl/>
        </w:rPr>
        <w:t>נ</w:t>
      </w:r>
      <w:r w:rsidRPr="00EB5B00">
        <w:rPr>
          <w:rFonts w:ascii="Century" w:hAnsi="Century" w:cs="Miriam"/>
          <w:b/>
          <w:spacing w:val="0"/>
          <w:sz w:val="22"/>
          <w:szCs w:val="24"/>
          <w:rtl/>
        </w:rPr>
        <w:t xml:space="preserve">' </w:t>
      </w:r>
      <w:r w:rsidRPr="00EB5B00">
        <w:rPr>
          <w:rFonts w:ascii="Century" w:hAnsi="Century" w:cs="Miriam" w:hint="eastAsia"/>
          <w:b/>
          <w:spacing w:val="0"/>
          <w:sz w:val="22"/>
          <w:szCs w:val="24"/>
          <w:rtl/>
        </w:rPr>
        <w:t>ממשלת</w:t>
      </w:r>
      <w:r w:rsidRPr="00EB5B00">
        <w:rPr>
          <w:rFonts w:ascii="Century" w:hAnsi="Century" w:cs="Miriam"/>
          <w:b/>
          <w:spacing w:val="0"/>
          <w:sz w:val="22"/>
          <w:szCs w:val="24"/>
          <w:rtl/>
        </w:rPr>
        <w:t xml:space="preserve"> </w:t>
      </w:r>
      <w:r w:rsidRPr="00EB5B00">
        <w:rPr>
          <w:rFonts w:ascii="Century" w:hAnsi="Century" w:cs="Miriam" w:hint="eastAsia"/>
          <w:b/>
          <w:spacing w:val="0"/>
          <w:sz w:val="22"/>
          <w:szCs w:val="24"/>
          <w:rtl/>
        </w:rPr>
        <w:t>ישראל</w:t>
      </w:r>
      <w:r>
        <w:rPr>
          <w:rFonts w:hint="cs"/>
          <w:rtl/>
        </w:rPr>
        <w:t xml:space="preserve">, פסקה 37 לפסק-דינו של השופט </w:t>
      </w:r>
      <w:r w:rsidRPr="00022485">
        <w:rPr>
          <w:rFonts w:ascii="Century" w:hAnsi="Century" w:cs="Miriam" w:hint="cs"/>
          <w:b/>
          <w:spacing w:val="0"/>
          <w:sz w:val="22"/>
          <w:szCs w:val="24"/>
          <w:rtl/>
        </w:rPr>
        <w:t>א'</w:t>
      </w:r>
      <w:r>
        <w:rPr>
          <w:rFonts w:ascii="Century" w:hAnsi="Century" w:cs="Miriam" w:hint="cs"/>
          <w:b/>
          <w:spacing w:val="0"/>
          <w:sz w:val="22"/>
          <w:szCs w:val="24"/>
          <w:rtl/>
        </w:rPr>
        <w:t xml:space="preserve"> א'</w:t>
      </w:r>
      <w:r w:rsidRPr="00022485">
        <w:rPr>
          <w:rFonts w:ascii="Century" w:hAnsi="Century" w:cs="Miriam" w:hint="cs"/>
          <w:b/>
          <w:spacing w:val="0"/>
          <w:sz w:val="22"/>
          <w:szCs w:val="24"/>
          <w:rtl/>
        </w:rPr>
        <w:t xml:space="preserve"> לוי</w:t>
      </w:r>
      <w:r>
        <w:rPr>
          <w:rFonts w:hint="cs"/>
          <w:rtl/>
        </w:rPr>
        <w:t>, והאסמכתאות שם (</w:t>
      </w:r>
      <w:r w:rsidRPr="00EB5B00">
        <w:rPr>
          <w:rtl/>
        </w:rPr>
        <w:t>30.3.2006)</w:t>
      </w:r>
      <w:r>
        <w:rPr>
          <w:rFonts w:hint="cs"/>
          <w:rtl/>
        </w:rPr>
        <w:t xml:space="preserve">; </w:t>
      </w:r>
      <w:r w:rsidRPr="00EB5B00">
        <w:rPr>
          <w:rFonts w:hint="eastAsia"/>
          <w:rtl/>
        </w:rPr>
        <w:t>דנג</w:t>
      </w:r>
      <w:r w:rsidRPr="00EB5B00">
        <w:rPr>
          <w:rtl/>
        </w:rPr>
        <w:t>"</w:t>
      </w:r>
      <w:r w:rsidRPr="00EB5B00">
        <w:rPr>
          <w:rFonts w:hint="eastAsia"/>
          <w:rtl/>
        </w:rPr>
        <w:t>ץ</w:t>
      </w:r>
      <w:r w:rsidRPr="00EB5B00">
        <w:rPr>
          <w:rtl/>
        </w:rPr>
        <w:t xml:space="preserve"> 10190/17 </w:t>
      </w:r>
      <w:r w:rsidRPr="00EB5B00">
        <w:rPr>
          <w:rFonts w:ascii="Century" w:hAnsi="Century" w:cs="Miriam" w:hint="eastAsia"/>
          <w:b/>
          <w:spacing w:val="0"/>
          <w:sz w:val="22"/>
          <w:szCs w:val="24"/>
          <w:rtl/>
        </w:rPr>
        <w:t>מפקד</w:t>
      </w:r>
      <w:r w:rsidRPr="00EB5B00">
        <w:rPr>
          <w:rFonts w:ascii="Century" w:hAnsi="Century" w:cs="Miriam"/>
          <w:b/>
          <w:spacing w:val="0"/>
          <w:sz w:val="22"/>
          <w:szCs w:val="24"/>
          <w:rtl/>
        </w:rPr>
        <w:t xml:space="preserve"> </w:t>
      </w:r>
      <w:r w:rsidRPr="00EB5B00">
        <w:rPr>
          <w:rFonts w:ascii="Century" w:hAnsi="Century" w:cs="Miriam" w:hint="eastAsia"/>
          <w:b/>
          <w:spacing w:val="0"/>
          <w:sz w:val="22"/>
          <w:szCs w:val="24"/>
          <w:rtl/>
        </w:rPr>
        <w:t>כוחות</w:t>
      </w:r>
      <w:r w:rsidRPr="00EB5B00">
        <w:rPr>
          <w:rFonts w:ascii="Century" w:hAnsi="Century" w:cs="Miriam"/>
          <w:b/>
          <w:spacing w:val="0"/>
          <w:sz w:val="22"/>
          <w:szCs w:val="24"/>
          <w:rtl/>
        </w:rPr>
        <w:t xml:space="preserve"> </w:t>
      </w:r>
      <w:r w:rsidRPr="00EB5B00">
        <w:rPr>
          <w:rFonts w:ascii="Century" w:hAnsi="Century" w:cs="Miriam" w:hint="eastAsia"/>
          <w:b/>
          <w:spacing w:val="0"/>
          <w:sz w:val="22"/>
          <w:szCs w:val="24"/>
          <w:rtl/>
        </w:rPr>
        <w:t>צה</w:t>
      </w:r>
      <w:r w:rsidRPr="00EB5B00">
        <w:rPr>
          <w:rFonts w:ascii="Century" w:hAnsi="Century" w:cs="Miriam"/>
          <w:b/>
          <w:spacing w:val="0"/>
          <w:sz w:val="22"/>
          <w:szCs w:val="24"/>
          <w:rtl/>
        </w:rPr>
        <w:t>"</w:t>
      </w:r>
      <w:r w:rsidRPr="00EB5B00">
        <w:rPr>
          <w:rFonts w:ascii="Century" w:hAnsi="Century" w:cs="Miriam" w:hint="eastAsia"/>
          <w:b/>
          <w:spacing w:val="0"/>
          <w:sz w:val="22"/>
          <w:szCs w:val="24"/>
          <w:rtl/>
        </w:rPr>
        <w:t>ל</w:t>
      </w:r>
      <w:r w:rsidRPr="00EB5B00">
        <w:rPr>
          <w:rFonts w:ascii="Century" w:hAnsi="Century" w:cs="Miriam"/>
          <w:b/>
          <w:spacing w:val="0"/>
          <w:sz w:val="22"/>
          <w:szCs w:val="24"/>
          <w:rtl/>
        </w:rPr>
        <w:t xml:space="preserve"> </w:t>
      </w:r>
      <w:r w:rsidRPr="00EB5B00">
        <w:rPr>
          <w:rFonts w:ascii="Century" w:hAnsi="Century" w:cs="Miriam" w:hint="eastAsia"/>
          <w:b/>
          <w:spacing w:val="0"/>
          <w:sz w:val="22"/>
          <w:szCs w:val="24"/>
          <w:rtl/>
        </w:rPr>
        <w:t>באזור</w:t>
      </w:r>
      <w:r w:rsidRPr="00EB5B00">
        <w:rPr>
          <w:rFonts w:ascii="Century" w:hAnsi="Century" w:cs="Miriam"/>
          <w:b/>
          <w:spacing w:val="0"/>
          <w:sz w:val="22"/>
          <w:szCs w:val="24"/>
          <w:rtl/>
        </w:rPr>
        <w:t xml:space="preserve"> </w:t>
      </w:r>
      <w:r w:rsidRPr="00EB5B00">
        <w:rPr>
          <w:rFonts w:ascii="Century" w:hAnsi="Century" w:cs="Miriam" w:hint="eastAsia"/>
          <w:b/>
          <w:spacing w:val="0"/>
          <w:sz w:val="22"/>
          <w:szCs w:val="24"/>
          <w:rtl/>
        </w:rPr>
        <w:t>יהודה</w:t>
      </w:r>
      <w:r w:rsidRPr="00EB5B00">
        <w:rPr>
          <w:rFonts w:ascii="Century" w:hAnsi="Century" w:cs="Miriam"/>
          <w:b/>
          <w:spacing w:val="0"/>
          <w:sz w:val="22"/>
          <w:szCs w:val="24"/>
          <w:rtl/>
        </w:rPr>
        <w:t xml:space="preserve"> </w:t>
      </w:r>
      <w:r w:rsidRPr="00EB5B00">
        <w:rPr>
          <w:rFonts w:ascii="Century" w:hAnsi="Century" w:cs="Miriam" w:hint="eastAsia"/>
          <w:b/>
          <w:spacing w:val="0"/>
          <w:sz w:val="22"/>
          <w:szCs w:val="24"/>
          <w:rtl/>
        </w:rPr>
        <w:t>והשומרון</w:t>
      </w:r>
      <w:r w:rsidRPr="00EB5B00">
        <w:rPr>
          <w:rFonts w:ascii="Century" w:hAnsi="Century" w:cs="Miriam"/>
          <w:b/>
          <w:spacing w:val="0"/>
          <w:sz w:val="22"/>
          <w:szCs w:val="24"/>
          <w:rtl/>
        </w:rPr>
        <w:t xml:space="preserve"> </w:t>
      </w:r>
      <w:r w:rsidRPr="00EB5B00">
        <w:rPr>
          <w:rFonts w:ascii="Century" w:hAnsi="Century" w:cs="Miriam" w:hint="eastAsia"/>
          <w:b/>
          <w:spacing w:val="0"/>
          <w:sz w:val="22"/>
          <w:szCs w:val="24"/>
          <w:rtl/>
        </w:rPr>
        <w:t>נ</w:t>
      </w:r>
      <w:r w:rsidRPr="00EB5B00">
        <w:rPr>
          <w:rFonts w:ascii="Century" w:hAnsi="Century" w:cs="Miriam"/>
          <w:b/>
          <w:spacing w:val="0"/>
          <w:sz w:val="22"/>
          <w:szCs w:val="24"/>
          <w:rtl/>
        </w:rPr>
        <w:t xml:space="preserve">' </w:t>
      </w:r>
      <w:r w:rsidRPr="00EB5B00">
        <w:rPr>
          <w:rFonts w:ascii="Century" w:hAnsi="Century" w:cs="Miriam" w:hint="eastAsia"/>
          <w:b/>
          <w:spacing w:val="0"/>
          <w:sz w:val="22"/>
          <w:szCs w:val="24"/>
          <w:rtl/>
        </w:rPr>
        <w:t>עליאן</w:t>
      </w:r>
      <w:r>
        <w:rPr>
          <w:rFonts w:hint="cs"/>
          <w:rtl/>
        </w:rPr>
        <w:t xml:space="preserve">, פסקה 34 לפסק-דינה של הנשיאה </w:t>
      </w:r>
      <w:r w:rsidRPr="00272863">
        <w:rPr>
          <w:rFonts w:ascii="Century" w:hAnsi="Century" w:cs="Miriam" w:hint="eastAsia"/>
          <w:b/>
          <w:spacing w:val="0"/>
          <w:sz w:val="22"/>
          <w:szCs w:val="24"/>
          <w:rtl/>
        </w:rPr>
        <w:t>חיות</w:t>
      </w:r>
      <w:r w:rsidRPr="00DE4ED2">
        <w:rPr>
          <w:rtl/>
        </w:rPr>
        <w:t xml:space="preserve"> </w:t>
      </w:r>
      <w:r w:rsidRPr="00EB5B00">
        <w:rPr>
          <w:rtl/>
        </w:rPr>
        <w:t>(</w:t>
      </w:r>
      <w:r>
        <w:rPr>
          <w:rFonts w:hint="cs"/>
          <w:rtl/>
        </w:rPr>
        <w:t>9.9</w:t>
      </w:r>
      <w:r w:rsidRPr="00EB5B00">
        <w:rPr>
          <w:rtl/>
        </w:rPr>
        <w:t>.2019)</w:t>
      </w:r>
      <w:r>
        <w:rPr>
          <w:rFonts w:hint="cs"/>
          <w:rtl/>
        </w:rPr>
        <w:t xml:space="preserve"> (להלן: </w:t>
      </w:r>
      <w:r w:rsidRPr="00AB17CB">
        <w:rPr>
          <w:rFonts w:ascii="Century" w:hAnsi="Century" w:cs="Miriam" w:hint="cs"/>
          <w:b/>
          <w:spacing w:val="0"/>
          <w:sz w:val="22"/>
          <w:szCs w:val="24"/>
          <w:rtl/>
        </w:rPr>
        <w:t>עניין עליאן</w:t>
      </w:r>
      <w:r>
        <w:rPr>
          <w:rFonts w:hint="cs"/>
          <w:rtl/>
        </w:rPr>
        <w:t xml:space="preserve">); א' ברק, </w:t>
      </w:r>
      <w:r w:rsidRPr="00EB5B00">
        <w:rPr>
          <w:rFonts w:ascii="Century" w:hAnsi="Century" w:cs="Miriam" w:hint="cs"/>
          <w:b/>
          <w:spacing w:val="0"/>
          <w:sz w:val="22"/>
          <w:szCs w:val="24"/>
          <w:rtl/>
        </w:rPr>
        <w:t>פרשנות תכליתית במשפט</w:t>
      </w:r>
      <w:r>
        <w:rPr>
          <w:rFonts w:hint="cs"/>
          <w:rtl/>
        </w:rPr>
        <w:t xml:space="preserve">, עמוד 224 (2003)). המערער לא העלה לפנינו שאלה של פרשנות חוק. טענתו היא לאי-חוקתיות סעיף 5ב(א)(1) לחוק. על כן, בהתאם לשלבי הבחינה החוקתית הנהוגה עמנו, על המערער להצביע, תחילה, על </w:t>
      </w:r>
      <w:r w:rsidRPr="0031165E">
        <w:rPr>
          <w:rFonts w:ascii="Century" w:hAnsi="Century" w:cs="Miriam" w:hint="cs"/>
          <w:b/>
          <w:spacing w:val="0"/>
          <w:sz w:val="22"/>
          <w:szCs w:val="24"/>
          <w:rtl/>
        </w:rPr>
        <w:t>זכות</w:t>
      </w:r>
      <w:r w:rsidRPr="0031165E">
        <w:rPr>
          <w:rFonts w:hint="cs"/>
          <w:rtl/>
        </w:rPr>
        <w:t xml:space="preserve"> </w:t>
      </w:r>
      <w:r w:rsidRPr="0031165E">
        <w:rPr>
          <w:rFonts w:ascii="Century" w:hAnsi="Century" w:cs="Miriam" w:hint="cs"/>
          <w:b/>
          <w:spacing w:val="0"/>
          <w:sz w:val="22"/>
          <w:szCs w:val="24"/>
          <w:rtl/>
        </w:rPr>
        <w:t>חוקתית</w:t>
      </w:r>
      <w:r w:rsidRPr="0031165E">
        <w:rPr>
          <w:rFonts w:hint="cs"/>
          <w:rtl/>
        </w:rPr>
        <w:t xml:space="preserve"> </w:t>
      </w:r>
      <w:r>
        <w:rPr>
          <w:rFonts w:hint="cs"/>
          <w:rtl/>
        </w:rPr>
        <w:t>שנפגעה. זכות חוקתית ה</w:t>
      </w:r>
      <w:r w:rsidR="00E357B0">
        <w:rPr>
          <w:rFonts w:hint="cs"/>
          <w:rtl/>
        </w:rPr>
        <w:t>יא זכות שמקורה בחוקי-</w:t>
      </w:r>
      <w:r>
        <w:rPr>
          <w:rFonts w:hint="cs"/>
          <w:rtl/>
        </w:rPr>
        <w:t>היסוד. על מנת שבית משפט יקנה סמכות לדון בחוקתיות דבר חקיקה של הכנסת, מוטל על הפונה אליו להראות כי נפגעה זכות יסוד שלו, שעוגנה על-ידי הרשות המכונ</w:t>
      </w:r>
      <w:r w:rsidR="00E357B0">
        <w:rPr>
          <w:rFonts w:hint="cs"/>
          <w:rtl/>
        </w:rPr>
        <w:t>נת במי מחוקי היסוד שכוננו על-יד</w:t>
      </w:r>
      <w:r w:rsidR="007D5A67">
        <w:rPr>
          <w:rFonts w:hint="cs"/>
          <w:rtl/>
        </w:rPr>
        <w:t>ה;</w:t>
      </w:r>
      <w:r>
        <w:rPr>
          <w:rFonts w:hint="cs"/>
          <w:rtl/>
        </w:rPr>
        <w:t xml:space="preserve"> שכן הסמכות לבטל דבר-חקיקה </w:t>
      </w:r>
      <w:r w:rsidR="00E357B0" w:rsidRPr="00543584">
        <w:rPr>
          <w:rFonts w:ascii="Century" w:hAnsi="Century"/>
          <w:sz w:val="22"/>
          <w:rtl/>
        </w:rPr>
        <w:t>–</w:t>
      </w:r>
      <w:r w:rsidR="00E357B0" w:rsidRPr="00154174">
        <w:rPr>
          <w:rFonts w:ascii="Century" w:hAnsi="Century" w:cs="Miriam" w:hint="cs"/>
          <w:b/>
          <w:spacing w:val="0"/>
          <w:sz w:val="22"/>
          <w:szCs w:val="24"/>
          <w:rtl/>
        </w:rPr>
        <w:t xml:space="preserve"> </w:t>
      </w:r>
      <w:r w:rsidRPr="00EA29B1">
        <w:rPr>
          <w:rFonts w:ascii="Century" w:hAnsi="Century" w:cs="Miriam" w:hint="cs"/>
          <w:b/>
          <w:spacing w:val="0"/>
          <w:sz w:val="22"/>
          <w:szCs w:val="24"/>
          <w:rtl/>
        </w:rPr>
        <w:t xml:space="preserve">"מתאפשרת </w:t>
      </w:r>
      <w:r w:rsidRPr="00EA29B1">
        <w:rPr>
          <w:rFonts w:ascii="Century" w:hAnsi="Century" w:cs="Miriam" w:hint="eastAsia"/>
          <w:b/>
          <w:spacing w:val="0"/>
          <w:sz w:val="22"/>
          <w:szCs w:val="24"/>
          <w:rtl/>
        </w:rPr>
        <w:t>אך</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מכוח</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הגבלות</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שהטילה</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הכנסת</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ב</w:t>
      </w:r>
      <w:r w:rsidRPr="00EA29B1">
        <w:rPr>
          <w:rFonts w:ascii="Century" w:hAnsi="Century" w:cs="Miriam"/>
          <w:b/>
          <w:spacing w:val="0"/>
          <w:sz w:val="22"/>
          <w:szCs w:val="24"/>
          <w:rtl/>
        </w:rPr>
        <w:t>'</w:t>
      </w:r>
      <w:r w:rsidRPr="00EA29B1">
        <w:rPr>
          <w:rFonts w:ascii="Century" w:hAnsi="Century" w:cs="Miriam" w:hint="eastAsia"/>
          <w:b/>
          <w:spacing w:val="0"/>
          <w:sz w:val="22"/>
          <w:szCs w:val="24"/>
          <w:rtl/>
        </w:rPr>
        <w:t>כובעה</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כרשות</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מכוננת</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על</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תפקודה</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ב</w:t>
      </w:r>
      <w:r w:rsidRPr="00EA29B1">
        <w:rPr>
          <w:rFonts w:ascii="Century" w:hAnsi="Century" w:cs="Miriam"/>
          <w:b/>
          <w:spacing w:val="0"/>
          <w:sz w:val="22"/>
          <w:szCs w:val="24"/>
          <w:rtl/>
        </w:rPr>
        <w:t>'</w:t>
      </w:r>
      <w:r w:rsidRPr="00EA29B1">
        <w:rPr>
          <w:rFonts w:ascii="Century" w:hAnsi="Century" w:cs="Miriam" w:hint="eastAsia"/>
          <w:b/>
          <w:spacing w:val="0"/>
          <w:sz w:val="22"/>
          <w:szCs w:val="24"/>
          <w:rtl/>
        </w:rPr>
        <w:t>כובעה</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האחר</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כרשות</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מחוקק</w:t>
      </w:r>
      <w:r w:rsidRPr="00EA29B1">
        <w:rPr>
          <w:rFonts w:ascii="Century" w:hAnsi="Century" w:cs="Miriam" w:hint="cs"/>
          <w:b/>
          <w:spacing w:val="0"/>
          <w:sz w:val="22"/>
          <w:szCs w:val="24"/>
          <w:rtl/>
        </w:rPr>
        <w:t xml:space="preserve">ת </w:t>
      </w:r>
      <w:r w:rsidR="00FC4AAD">
        <w:rPr>
          <w:rFonts w:ascii="Century" w:hAnsi="Century" w:cs="Miriam" w:hint="cs"/>
          <w:b/>
          <w:spacing w:val="0"/>
          <w:sz w:val="22"/>
          <w:szCs w:val="24"/>
          <w:rtl/>
        </w:rPr>
        <w:t>[...]</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הרשות</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המכוננת</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העניקה</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מעמד</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נורמטיבי</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רם</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ונישא</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לחוקי</w:t>
      </w:r>
      <w:r w:rsidRPr="00EA29B1">
        <w:rPr>
          <w:rFonts w:ascii="Century" w:hAnsi="Century" w:cs="Miriam"/>
          <w:b/>
          <w:spacing w:val="0"/>
          <w:sz w:val="22"/>
          <w:szCs w:val="24"/>
          <w:rtl/>
        </w:rPr>
        <w:t>-</w:t>
      </w:r>
      <w:r w:rsidRPr="00EA29B1">
        <w:rPr>
          <w:rFonts w:ascii="Century" w:hAnsi="Century" w:cs="Miriam" w:hint="eastAsia"/>
          <w:b/>
          <w:spacing w:val="0"/>
          <w:sz w:val="22"/>
          <w:szCs w:val="24"/>
          <w:rtl/>
        </w:rPr>
        <w:t>היסוד</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ולגבי</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חלקם</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אף</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הוסיפה</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וקבעה</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הוראות</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המגבילות</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את</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אפשרות</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הפגיעה</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בהם</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כמו</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גם</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הוראות</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המקשות</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על</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שינוי</w:t>
      </w:r>
      <w:r>
        <w:rPr>
          <w:rFonts w:ascii="Century" w:hAnsi="Century" w:cs="Miriam" w:hint="cs"/>
          <w:b/>
          <w:spacing w:val="0"/>
          <w:sz w:val="22"/>
          <w:szCs w:val="24"/>
          <w:rtl/>
        </w:rPr>
        <w:t>ָ</w:t>
      </w:r>
      <w:r w:rsidRPr="00EA29B1">
        <w:rPr>
          <w:rFonts w:ascii="Century" w:hAnsi="Century" w:cs="Miriam" w:hint="eastAsia"/>
          <w:b/>
          <w:spacing w:val="0"/>
          <w:sz w:val="22"/>
          <w:szCs w:val="24"/>
          <w:rtl/>
        </w:rPr>
        <w:t>ם</w:t>
      </w:r>
      <w:r>
        <w:rPr>
          <w:rFonts w:ascii="Century" w:hAnsi="Century" w:cs="Miriam" w:hint="cs"/>
          <w:b/>
          <w:spacing w:val="0"/>
          <w:sz w:val="22"/>
          <w:szCs w:val="24"/>
          <w:rtl/>
        </w:rPr>
        <w:t xml:space="preserve"> [...]. </w:t>
      </w:r>
      <w:r w:rsidRPr="00EA29B1">
        <w:rPr>
          <w:rFonts w:ascii="Century" w:hAnsi="Century" w:cs="Miriam" w:hint="eastAsia"/>
          <w:b/>
          <w:spacing w:val="0"/>
          <w:sz w:val="22"/>
          <w:szCs w:val="24"/>
          <w:rtl/>
        </w:rPr>
        <w:t>יסודה</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של</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ביקורת</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שיפוטית</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על</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חקיקה</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ראשית</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נסמכת</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אפוא</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על</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מִדרג</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נורמטיבי</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על</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קיומן</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של</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נורמות</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גבוהות</w:t>
      </w:r>
      <w:r w:rsidRPr="00EA29B1">
        <w:rPr>
          <w:rFonts w:ascii="Century" w:hAnsi="Century" w:cs="Miriam"/>
          <w:b/>
          <w:spacing w:val="0"/>
          <w:sz w:val="22"/>
          <w:szCs w:val="24"/>
          <w:rtl/>
        </w:rPr>
        <w:t xml:space="preserve"> </w:t>
      </w:r>
      <w:r w:rsidRPr="00EA29B1">
        <w:rPr>
          <w:rFonts w:ascii="Century" w:hAnsi="Century" w:cs="Miriam" w:hint="eastAsia"/>
          <w:b/>
          <w:spacing w:val="0"/>
          <w:sz w:val="22"/>
          <w:szCs w:val="24"/>
          <w:rtl/>
        </w:rPr>
        <w:t>מחברותיהן</w:t>
      </w:r>
      <w:r w:rsidRPr="00EA29B1">
        <w:rPr>
          <w:rFonts w:ascii="Century" w:hAnsi="Century" w:cs="Miriam" w:hint="cs"/>
          <w:b/>
          <w:spacing w:val="0"/>
          <w:sz w:val="22"/>
          <w:szCs w:val="24"/>
          <w:rtl/>
        </w:rPr>
        <w:t>"</w:t>
      </w:r>
      <w:r>
        <w:rPr>
          <w:rFonts w:hint="cs"/>
          <w:rtl/>
        </w:rPr>
        <w:t xml:space="preserve"> (בג"ץ 5555/18 </w:t>
      </w:r>
      <w:r w:rsidRPr="00352C4C">
        <w:rPr>
          <w:rFonts w:ascii="Century" w:hAnsi="Century" w:cs="Miriam" w:hint="cs"/>
          <w:b/>
          <w:spacing w:val="0"/>
          <w:sz w:val="22"/>
          <w:szCs w:val="24"/>
          <w:rtl/>
        </w:rPr>
        <w:t>חסון נ' כנסת ישראל</w:t>
      </w:r>
      <w:r>
        <w:rPr>
          <w:rFonts w:hint="cs"/>
          <w:rtl/>
        </w:rPr>
        <w:t xml:space="preserve">, פסקאות 7-6 לפסק דיני (8.7.2021) (להלן: </w:t>
      </w:r>
      <w:r>
        <w:rPr>
          <w:rFonts w:ascii="Century" w:hAnsi="Century" w:cs="Miriam" w:hint="cs"/>
          <w:b/>
          <w:spacing w:val="0"/>
          <w:sz w:val="22"/>
          <w:szCs w:val="24"/>
          <w:rtl/>
        </w:rPr>
        <w:t xml:space="preserve">עניין </w:t>
      </w:r>
      <w:r w:rsidRPr="00352C4C">
        <w:rPr>
          <w:rFonts w:ascii="Century" w:hAnsi="Century" w:cs="Miriam" w:hint="cs"/>
          <w:b/>
          <w:spacing w:val="0"/>
          <w:sz w:val="22"/>
          <w:szCs w:val="24"/>
          <w:rtl/>
        </w:rPr>
        <w:t>חוק הלאום</w:t>
      </w:r>
      <w:r>
        <w:rPr>
          <w:rFonts w:hint="cs"/>
          <w:rtl/>
        </w:rPr>
        <w:t xml:space="preserve">)). לפיכך, אין די בהצבעה על פגיעה בזכות שמקורה במשפט הבינלאומי, עם כל חשיבותה, כדי להביאנו אל טרקלין הבחינה החוקתית. אם כן, דין טענותיו של המערער, ככל שהן נסמכות </w:t>
      </w:r>
      <w:r w:rsidRPr="00CA24AB">
        <w:rPr>
          <w:rFonts w:ascii="Century" w:hAnsi="Century" w:cs="Miriam" w:hint="cs"/>
          <w:b/>
          <w:spacing w:val="0"/>
          <w:sz w:val="22"/>
          <w:szCs w:val="24"/>
          <w:rtl/>
        </w:rPr>
        <w:t xml:space="preserve">באופן </w:t>
      </w:r>
      <w:r>
        <w:rPr>
          <w:rFonts w:ascii="Century" w:hAnsi="Century" w:cs="Miriam" w:hint="cs"/>
          <w:b/>
          <w:spacing w:val="0"/>
          <w:sz w:val="22"/>
          <w:szCs w:val="24"/>
          <w:rtl/>
        </w:rPr>
        <w:t xml:space="preserve">בלעדי </w:t>
      </w:r>
      <w:r>
        <w:rPr>
          <w:rFonts w:hint="cs"/>
          <w:rtl/>
        </w:rPr>
        <w:t xml:space="preserve">על פגיעה בזכויות הנתונות לו מכוח המשפט הבינלאומי </w:t>
      </w:r>
      <w:r>
        <w:rPr>
          <w:rtl/>
        </w:rPr>
        <w:t>–</w:t>
      </w:r>
      <w:r>
        <w:rPr>
          <w:rFonts w:hint="cs"/>
          <w:rtl/>
        </w:rPr>
        <w:t xml:space="preserve"> להידחות.  </w:t>
      </w:r>
    </w:p>
    <w:p w:rsidR="00D512D4" w:rsidRDefault="00D512D4" w:rsidP="00D512D4">
      <w:pPr>
        <w:pStyle w:val="Ruller41"/>
        <w:rPr>
          <w:rtl/>
        </w:rPr>
      </w:pPr>
    </w:p>
    <w:p w:rsidR="00D512D4" w:rsidRPr="00775165" w:rsidRDefault="00D512D4" w:rsidP="00C04DC8">
      <w:pPr>
        <w:pStyle w:val="4"/>
        <w:rPr>
          <w:rtl/>
        </w:rPr>
      </w:pPr>
      <w:bookmarkStart w:id="36" w:name="_Toc107851297"/>
      <w:bookmarkStart w:id="37" w:name="_Toc107851352"/>
      <w:r w:rsidRPr="00775165">
        <w:rPr>
          <w:rFonts w:hint="cs"/>
          <w:rtl/>
        </w:rPr>
        <w:t>ד.2.1.</w:t>
      </w:r>
      <w:r>
        <w:rPr>
          <w:rFonts w:hint="cs"/>
          <w:rtl/>
        </w:rPr>
        <w:t>3</w:t>
      </w:r>
      <w:r w:rsidRPr="00775165">
        <w:rPr>
          <w:rFonts w:hint="cs"/>
          <w:rtl/>
        </w:rPr>
        <w:t>.</w:t>
      </w:r>
      <w:r>
        <w:rPr>
          <w:rFonts w:hint="cs"/>
          <w:rtl/>
        </w:rPr>
        <w:t xml:space="preserve"> עילת תביעה אישית לפי המשפט הבינלאומי?</w:t>
      </w:r>
      <w:bookmarkEnd w:id="36"/>
      <w:bookmarkEnd w:id="37"/>
    </w:p>
    <w:p w:rsidR="00D512D4" w:rsidRDefault="00D512D4" w:rsidP="00B63E91">
      <w:pPr>
        <w:pStyle w:val="Ruller4"/>
        <w:rPr>
          <w:rtl/>
        </w:rPr>
      </w:pPr>
      <w:r>
        <w:rPr>
          <w:rFonts w:hint="cs"/>
          <w:rtl/>
        </w:rPr>
        <w:lastRenderedPageBreak/>
        <w:t>למעלה מן הדרוש, עיינתי באסמכתאות הרבות שהובאו על-ידי הצדדים, מזה ומזה, ושוכנעתי, כי הדין עם המשיבות; כי 'דיני העימות המזוין</w:t>
      </w:r>
      <w:r w:rsidR="00B63E91" w:rsidRPr="00B63E91">
        <w:rPr>
          <w:rFonts w:ascii="Century" w:hAnsi="Century" w:hint="cs"/>
          <w:sz w:val="22"/>
          <w:rtl/>
        </w:rPr>
        <w:t>'</w:t>
      </w:r>
      <w:r>
        <w:rPr>
          <w:rFonts w:hint="cs"/>
        </w:rPr>
        <w:t>L</w:t>
      </w:r>
      <w:r>
        <w:t>aws of Arme</w:t>
      </w:r>
      <w:r w:rsidR="00B63E91">
        <w:t>d</w:t>
      </w:r>
      <w:r w:rsidR="00B63E91" w:rsidRPr="00B63E91">
        <w:rPr>
          <w:rFonts w:ascii="Century" w:hAnsi="Century"/>
          <w:sz w:val="22"/>
        </w:rPr>
        <w:t>)</w:t>
      </w:r>
      <w:r w:rsidR="00B63E91">
        <w:t xml:space="preserve"> </w:t>
      </w:r>
      <w:r>
        <w:t>Conflict</w:t>
      </w:r>
      <w:r>
        <w:rPr>
          <w:rFonts w:hint="cs"/>
          <w:rtl/>
        </w:rPr>
        <w:t xml:space="preserve">), החלים בענייננו, אינם מקימים עילת תביעה אישית בגין נזק שנגרם לפרטים, אגב עימות מזוין. נראה אפוא, כי בניגוד לטענת המערער, סעיף 5ב(א)(1) לחוק אינו נוגד את הדין הבינלאומי. </w:t>
      </w:r>
    </w:p>
    <w:p w:rsidR="00D512D4" w:rsidRPr="005C5D17" w:rsidRDefault="00D512D4" w:rsidP="00944FC1">
      <w:pPr>
        <w:pStyle w:val="Ruller41"/>
        <w:spacing w:line="240" w:lineRule="auto"/>
      </w:pPr>
    </w:p>
    <w:p w:rsidR="00D512D4" w:rsidRDefault="00D512D4" w:rsidP="008640BE">
      <w:pPr>
        <w:pStyle w:val="Ruller4"/>
      </w:pPr>
      <w:r>
        <w:rPr>
          <w:rFonts w:hint="cs"/>
          <w:rtl/>
        </w:rPr>
        <w:t>בדבריו, ביקש המערער להסתמך על תקנה 3 לתקנות בדבר הדינים והמנהגים של מלחמה ביבשה, הנספחות לאמנת האג הרביעית משנת 1907</w:t>
      </w:r>
      <w:r>
        <w:t>The Hagu</w:t>
      </w:r>
      <w:r w:rsidR="008640BE">
        <w:t>e</w:t>
      </w:r>
      <w:r w:rsidR="008640BE" w:rsidRPr="008640BE">
        <w:rPr>
          <w:rFonts w:ascii="Century" w:hAnsi="Century"/>
          <w:sz w:val="22"/>
        </w:rPr>
        <w:t>)</w:t>
      </w:r>
      <w:r>
        <w:t xml:space="preserve"> </w:t>
      </w:r>
      <w:r w:rsidRPr="00384A38">
        <w:t>Convention (IV) respecting the</w:t>
      </w:r>
      <w:r>
        <w:t xml:space="preserve"> </w:t>
      </w:r>
      <w:r w:rsidRPr="00384A38">
        <w:t xml:space="preserve">Laws and Customs of War on Land and its </w:t>
      </w:r>
      <w:r>
        <w:t>A</w:t>
      </w:r>
      <w:r w:rsidRPr="00384A38">
        <w:t xml:space="preserve">nnex: Regulations </w:t>
      </w:r>
      <w:r>
        <w:t>C</w:t>
      </w:r>
      <w:r w:rsidRPr="00384A38">
        <w:t xml:space="preserve">oncerning the </w:t>
      </w:r>
      <w:r>
        <w:t>Laws and Customs of War on Land (</w:t>
      </w:r>
      <w:r w:rsidRPr="00384A38">
        <w:t>18 October 1907</w:t>
      </w:r>
      <w:r>
        <w:t>)</w:t>
      </w:r>
      <w:r>
        <w:rPr>
          <w:rFonts w:hint="cs"/>
          <w:rtl/>
        </w:rPr>
        <w:t xml:space="preserve"> </w:t>
      </w:r>
      <w:r w:rsidRPr="00F62AF5">
        <w:rPr>
          <w:rtl/>
        </w:rPr>
        <w:t>(</w:t>
      </w:r>
      <w:r w:rsidRPr="00F62AF5">
        <w:rPr>
          <w:rFonts w:hint="eastAsia"/>
          <w:rtl/>
        </w:rPr>
        <w:t>להלן</w:t>
      </w:r>
      <w:r w:rsidRPr="00F62AF5">
        <w:rPr>
          <w:rtl/>
        </w:rPr>
        <w:t xml:space="preserve">: </w:t>
      </w:r>
      <w:r w:rsidRPr="00F62AF5">
        <w:rPr>
          <w:rFonts w:ascii="Century" w:hAnsi="Century" w:cs="Miriam" w:hint="eastAsia"/>
          <w:b/>
          <w:spacing w:val="0"/>
          <w:sz w:val="22"/>
          <w:szCs w:val="24"/>
          <w:rtl/>
        </w:rPr>
        <w:t>תקנות</w:t>
      </w:r>
      <w:r w:rsidRPr="00F62AF5">
        <w:rPr>
          <w:rFonts w:ascii="Century" w:hAnsi="Century" w:cs="Miriam"/>
          <w:b/>
          <w:spacing w:val="0"/>
          <w:sz w:val="22"/>
          <w:szCs w:val="24"/>
          <w:rtl/>
        </w:rPr>
        <w:t xml:space="preserve"> </w:t>
      </w:r>
      <w:r w:rsidRPr="00F62AF5">
        <w:rPr>
          <w:rFonts w:ascii="Century" w:hAnsi="Century" w:cs="Miriam" w:hint="eastAsia"/>
          <w:b/>
          <w:spacing w:val="0"/>
          <w:sz w:val="22"/>
          <w:szCs w:val="24"/>
          <w:rtl/>
        </w:rPr>
        <w:t>האג</w:t>
      </w:r>
      <w:r w:rsidRPr="00F62AF5">
        <w:rPr>
          <w:rtl/>
        </w:rPr>
        <w:t>)</w:t>
      </w:r>
      <w:r w:rsidR="00404A7B">
        <w:rPr>
          <w:rFonts w:hint="cs"/>
          <w:rtl/>
        </w:rPr>
        <w:t>)</w:t>
      </w:r>
      <w:r>
        <w:rPr>
          <w:rFonts w:hint="cs"/>
          <w:rtl/>
        </w:rPr>
        <w:t>. הוראות תקנות אלה, נושאות עמן אופי מנהגי, ומהוות חלק ממשפטה של ישראל (</w:t>
      </w:r>
      <w:r>
        <w:rPr>
          <w:rFonts w:ascii="FrankRuehl" w:hAnsi="FrankRuehl" w:hint="cs"/>
          <w:color w:val="000000"/>
          <w:sz w:val="28"/>
          <w:rtl/>
        </w:rPr>
        <w:t xml:space="preserve">ראו למשל: </w:t>
      </w:r>
      <w:r w:rsidRPr="00640578">
        <w:rPr>
          <w:rFonts w:ascii="FrankRuehl" w:hAnsi="FrankRuehl" w:hint="eastAsia"/>
          <w:color w:val="000000"/>
          <w:sz w:val="28"/>
          <w:rtl/>
        </w:rPr>
        <w:t>בג</w:t>
      </w:r>
      <w:r w:rsidRPr="00640578">
        <w:rPr>
          <w:rFonts w:ascii="FrankRuehl" w:hAnsi="FrankRuehl"/>
          <w:color w:val="000000"/>
          <w:sz w:val="28"/>
          <w:rtl/>
        </w:rPr>
        <w:t>"</w:t>
      </w:r>
      <w:r w:rsidRPr="00640578">
        <w:rPr>
          <w:rFonts w:ascii="FrankRuehl" w:hAnsi="FrankRuehl" w:hint="eastAsia"/>
          <w:color w:val="000000"/>
          <w:sz w:val="28"/>
          <w:rtl/>
        </w:rPr>
        <w:t>ץ</w:t>
      </w:r>
      <w:r w:rsidRPr="00640578">
        <w:rPr>
          <w:rFonts w:ascii="FrankRuehl" w:hAnsi="FrankRuehl"/>
          <w:color w:val="000000"/>
          <w:sz w:val="28"/>
          <w:rtl/>
        </w:rPr>
        <w:t xml:space="preserve"> 698/80 </w:t>
      </w:r>
      <w:r w:rsidRPr="00640578">
        <w:rPr>
          <w:rFonts w:ascii="Century" w:hAnsi="Century" w:cs="Miriam" w:hint="eastAsia"/>
          <w:b/>
          <w:spacing w:val="0"/>
          <w:sz w:val="22"/>
          <w:szCs w:val="24"/>
          <w:rtl/>
        </w:rPr>
        <w:t>קוואסמה</w:t>
      </w:r>
      <w:r w:rsidRPr="00640578">
        <w:rPr>
          <w:rFonts w:ascii="Century" w:hAnsi="Century" w:cs="Miriam"/>
          <w:b/>
          <w:spacing w:val="0"/>
          <w:sz w:val="22"/>
          <w:szCs w:val="24"/>
          <w:rtl/>
        </w:rPr>
        <w:t xml:space="preserve"> </w:t>
      </w:r>
      <w:r w:rsidRPr="00640578">
        <w:rPr>
          <w:rFonts w:ascii="Century" w:hAnsi="Century" w:cs="Miriam" w:hint="eastAsia"/>
          <w:b/>
          <w:spacing w:val="0"/>
          <w:sz w:val="22"/>
          <w:szCs w:val="24"/>
          <w:rtl/>
        </w:rPr>
        <w:t>נ</w:t>
      </w:r>
      <w:r w:rsidRPr="00640578">
        <w:rPr>
          <w:rFonts w:ascii="Century" w:hAnsi="Century" w:cs="Miriam"/>
          <w:b/>
          <w:spacing w:val="0"/>
          <w:sz w:val="22"/>
          <w:szCs w:val="24"/>
          <w:rtl/>
        </w:rPr>
        <w:t xml:space="preserve">' </w:t>
      </w:r>
      <w:r w:rsidRPr="00640578">
        <w:rPr>
          <w:rFonts w:ascii="Century" w:hAnsi="Century" w:cs="Miriam" w:hint="eastAsia"/>
          <w:b/>
          <w:spacing w:val="0"/>
          <w:sz w:val="22"/>
          <w:szCs w:val="24"/>
          <w:rtl/>
        </w:rPr>
        <w:t>שר</w:t>
      </w:r>
      <w:r w:rsidRPr="00640578">
        <w:rPr>
          <w:rFonts w:ascii="Century" w:hAnsi="Century" w:cs="Miriam"/>
          <w:b/>
          <w:spacing w:val="0"/>
          <w:sz w:val="22"/>
          <w:szCs w:val="24"/>
          <w:rtl/>
        </w:rPr>
        <w:t xml:space="preserve"> </w:t>
      </w:r>
      <w:r w:rsidRPr="00640578">
        <w:rPr>
          <w:rFonts w:ascii="Century" w:hAnsi="Century" w:cs="Miriam" w:hint="eastAsia"/>
          <w:b/>
          <w:spacing w:val="0"/>
          <w:sz w:val="22"/>
          <w:szCs w:val="24"/>
          <w:rtl/>
        </w:rPr>
        <w:t>הביטחון</w:t>
      </w:r>
      <w:r w:rsidRPr="00640578">
        <w:rPr>
          <w:rFonts w:ascii="FrankRuehl" w:hAnsi="FrankRuehl"/>
          <w:color w:val="000000"/>
          <w:sz w:val="28"/>
          <w:rtl/>
        </w:rPr>
        <w:t xml:space="preserve">, </w:t>
      </w:r>
      <w:r w:rsidRPr="00640578">
        <w:rPr>
          <w:rFonts w:ascii="FrankRuehl" w:hAnsi="FrankRuehl" w:hint="eastAsia"/>
          <w:color w:val="000000"/>
          <w:sz w:val="28"/>
          <w:rtl/>
        </w:rPr>
        <w:t>פ</w:t>
      </w:r>
      <w:r w:rsidRPr="00640578">
        <w:rPr>
          <w:rFonts w:ascii="FrankRuehl" w:hAnsi="FrankRuehl"/>
          <w:color w:val="000000"/>
          <w:sz w:val="28"/>
          <w:rtl/>
        </w:rPr>
        <w:t>"</w:t>
      </w:r>
      <w:r w:rsidRPr="00640578">
        <w:rPr>
          <w:rFonts w:ascii="FrankRuehl" w:hAnsi="FrankRuehl" w:hint="eastAsia"/>
          <w:color w:val="000000"/>
          <w:sz w:val="28"/>
          <w:rtl/>
        </w:rPr>
        <w:t>ד</w:t>
      </w:r>
      <w:r w:rsidRPr="00640578">
        <w:rPr>
          <w:rFonts w:ascii="FrankRuehl" w:hAnsi="FrankRuehl"/>
          <w:color w:val="000000"/>
          <w:sz w:val="28"/>
          <w:rtl/>
        </w:rPr>
        <w:t xml:space="preserve"> </w:t>
      </w:r>
      <w:r w:rsidRPr="00640578">
        <w:rPr>
          <w:rFonts w:ascii="FrankRuehl" w:hAnsi="FrankRuehl" w:hint="eastAsia"/>
          <w:color w:val="000000"/>
          <w:sz w:val="28"/>
          <w:rtl/>
        </w:rPr>
        <w:t>לה</w:t>
      </w:r>
      <w:r w:rsidRPr="00640578">
        <w:rPr>
          <w:rFonts w:ascii="FrankRuehl" w:hAnsi="FrankRuehl"/>
          <w:color w:val="000000"/>
          <w:sz w:val="28"/>
          <w:rtl/>
        </w:rPr>
        <w:t>(1) 617, 638</w:t>
      </w:r>
      <w:r>
        <w:rPr>
          <w:rFonts w:ascii="FrankRuehl" w:hAnsi="FrankRuehl" w:hint="cs"/>
          <w:color w:val="000000"/>
          <w:sz w:val="28"/>
          <w:rtl/>
        </w:rPr>
        <w:t xml:space="preserve">; </w:t>
      </w:r>
      <w:r>
        <w:rPr>
          <w:rFonts w:hint="cs"/>
          <w:rtl/>
        </w:rPr>
        <w:t>בג"ץ</w:t>
      </w:r>
      <w:r w:rsidRPr="003A0D41">
        <w:rPr>
          <w:rtl/>
        </w:rPr>
        <w:t xml:space="preserve"> 393/82 </w:t>
      </w:r>
      <w:r w:rsidRPr="002F1373">
        <w:rPr>
          <w:rFonts w:ascii="Century" w:hAnsi="Century" w:cs="Miriam" w:hint="eastAsia"/>
          <w:b/>
          <w:spacing w:val="0"/>
          <w:sz w:val="22"/>
          <w:szCs w:val="24"/>
          <w:rtl/>
        </w:rPr>
        <w:t>אסכאן</w:t>
      </w:r>
      <w:r w:rsidRPr="00A34300">
        <w:rPr>
          <w:rFonts w:ascii="Century" w:hAnsi="Century" w:cs="Miriam"/>
          <w:b/>
          <w:spacing w:val="0"/>
          <w:sz w:val="22"/>
          <w:szCs w:val="24"/>
          <w:rtl/>
        </w:rPr>
        <w:t xml:space="preserve"> </w:t>
      </w:r>
      <w:r w:rsidRPr="00A34300">
        <w:rPr>
          <w:rFonts w:ascii="Century" w:hAnsi="Century" w:cs="Miriam" w:hint="eastAsia"/>
          <w:b/>
          <w:spacing w:val="0"/>
          <w:sz w:val="22"/>
          <w:szCs w:val="24"/>
          <w:rtl/>
        </w:rPr>
        <w:t>נ</w:t>
      </w:r>
      <w:r w:rsidRPr="00A34300">
        <w:rPr>
          <w:rFonts w:ascii="Century" w:hAnsi="Century" w:cs="Miriam"/>
          <w:b/>
          <w:spacing w:val="0"/>
          <w:sz w:val="22"/>
          <w:szCs w:val="24"/>
          <w:rtl/>
        </w:rPr>
        <w:t xml:space="preserve">' </w:t>
      </w:r>
      <w:r w:rsidRPr="00A34300">
        <w:rPr>
          <w:rFonts w:ascii="Century" w:hAnsi="Century" w:cs="Miriam" w:hint="eastAsia"/>
          <w:b/>
          <w:spacing w:val="0"/>
          <w:sz w:val="22"/>
          <w:szCs w:val="24"/>
          <w:rtl/>
        </w:rPr>
        <w:t>מפקד</w:t>
      </w:r>
      <w:r w:rsidRPr="00A34300">
        <w:rPr>
          <w:rFonts w:ascii="Century" w:hAnsi="Century" w:cs="Miriam"/>
          <w:b/>
          <w:spacing w:val="0"/>
          <w:sz w:val="22"/>
          <w:szCs w:val="24"/>
          <w:rtl/>
        </w:rPr>
        <w:t xml:space="preserve"> </w:t>
      </w:r>
      <w:r w:rsidRPr="00A34300">
        <w:rPr>
          <w:rFonts w:ascii="Century" w:hAnsi="Century" w:cs="Miriam" w:hint="eastAsia"/>
          <w:b/>
          <w:spacing w:val="0"/>
          <w:sz w:val="22"/>
          <w:szCs w:val="24"/>
          <w:rtl/>
        </w:rPr>
        <w:t>כוחות</w:t>
      </w:r>
      <w:r w:rsidRPr="00A34300">
        <w:rPr>
          <w:rFonts w:ascii="Century" w:hAnsi="Century" w:cs="Miriam"/>
          <w:b/>
          <w:spacing w:val="0"/>
          <w:sz w:val="22"/>
          <w:szCs w:val="24"/>
          <w:rtl/>
        </w:rPr>
        <w:t xml:space="preserve"> </w:t>
      </w:r>
      <w:r w:rsidRPr="00A34300">
        <w:rPr>
          <w:rFonts w:ascii="Century" w:hAnsi="Century" w:cs="Miriam" w:hint="eastAsia"/>
          <w:b/>
          <w:spacing w:val="0"/>
          <w:sz w:val="22"/>
          <w:szCs w:val="24"/>
          <w:rtl/>
        </w:rPr>
        <w:t>צה</w:t>
      </w:r>
      <w:r w:rsidRPr="00A34300">
        <w:rPr>
          <w:rFonts w:ascii="Century" w:hAnsi="Century" w:cs="Miriam"/>
          <w:b/>
          <w:spacing w:val="0"/>
          <w:sz w:val="22"/>
          <w:szCs w:val="24"/>
          <w:rtl/>
        </w:rPr>
        <w:t>"</w:t>
      </w:r>
      <w:r w:rsidRPr="00A34300">
        <w:rPr>
          <w:rFonts w:ascii="Century" w:hAnsi="Century" w:cs="Miriam" w:hint="eastAsia"/>
          <w:b/>
          <w:spacing w:val="0"/>
          <w:sz w:val="22"/>
          <w:szCs w:val="24"/>
          <w:rtl/>
        </w:rPr>
        <w:t>ל</w:t>
      </w:r>
      <w:r w:rsidRPr="00A34300">
        <w:rPr>
          <w:rFonts w:ascii="Century" w:hAnsi="Century" w:cs="Miriam"/>
          <w:b/>
          <w:spacing w:val="0"/>
          <w:sz w:val="22"/>
          <w:szCs w:val="24"/>
          <w:rtl/>
        </w:rPr>
        <w:t xml:space="preserve"> </w:t>
      </w:r>
      <w:r w:rsidRPr="00A34300">
        <w:rPr>
          <w:rFonts w:ascii="Century" w:hAnsi="Century" w:cs="Miriam" w:hint="eastAsia"/>
          <w:b/>
          <w:spacing w:val="0"/>
          <w:sz w:val="22"/>
          <w:szCs w:val="24"/>
          <w:rtl/>
        </w:rPr>
        <w:t>באזור</w:t>
      </w:r>
      <w:r w:rsidRPr="00A34300">
        <w:rPr>
          <w:rFonts w:ascii="Century" w:hAnsi="Century" w:cs="Miriam"/>
          <w:b/>
          <w:spacing w:val="0"/>
          <w:sz w:val="22"/>
          <w:szCs w:val="24"/>
          <w:rtl/>
        </w:rPr>
        <w:t xml:space="preserve"> </w:t>
      </w:r>
      <w:r w:rsidRPr="00A34300">
        <w:rPr>
          <w:rFonts w:ascii="Century" w:hAnsi="Century" w:cs="Miriam" w:hint="eastAsia"/>
          <w:b/>
          <w:spacing w:val="0"/>
          <w:sz w:val="22"/>
          <w:szCs w:val="24"/>
          <w:rtl/>
        </w:rPr>
        <w:t>יהודה</w:t>
      </w:r>
      <w:r w:rsidRPr="00A34300">
        <w:rPr>
          <w:rFonts w:ascii="Century" w:hAnsi="Century" w:cs="Miriam"/>
          <w:b/>
          <w:spacing w:val="0"/>
          <w:sz w:val="22"/>
          <w:szCs w:val="24"/>
          <w:rtl/>
        </w:rPr>
        <w:t xml:space="preserve"> </w:t>
      </w:r>
      <w:r w:rsidRPr="00A34300">
        <w:rPr>
          <w:rFonts w:ascii="Century" w:hAnsi="Century" w:cs="Miriam" w:hint="eastAsia"/>
          <w:b/>
          <w:spacing w:val="0"/>
          <w:sz w:val="22"/>
          <w:szCs w:val="24"/>
          <w:rtl/>
        </w:rPr>
        <w:t>והשומרון</w:t>
      </w:r>
      <w:r>
        <w:rPr>
          <w:rFonts w:hint="cs"/>
          <w:rtl/>
        </w:rPr>
        <w:t>, פ"ד לז(4), 785, 793 (1983)</w:t>
      </w:r>
      <w:r>
        <w:rPr>
          <w:rFonts w:ascii="FrankRuehl" w:hAnsi="FrankRuehl" w:hint="cs"/>
          <w:color w:val="000000"/>
          <w:sz w:val="28"/>
          <w:rtl/>
        </w:rPr>
        <w:t xml:space="preserve"> (להלן: עניין </w:t>
      </w:r>
      <w:r w:rsidRPr="0001560C">
        <w:rPr>
          <w:rFonts w:ascii="Miriam" w:hAnsi="Miriam" w:cs="Miriam"/>
          <w:color w:val="000000"/>
          <w:szCs w:val="24"/>
          <w:rtl/>
        </w:rPr>
        <w:t>אסכאן</w:t>
      </w:r>
      <w:r>
        <w:rPr>
          <w:rFonts w:ascii="FrankRuehl" w:hAnsi="FrankRuehl" w:hint="cs"/>
          <w:color w:val="000000"/>
          <w:sz w:val="28"/>
          <w:rtl/>
        </w:rPr>
        <w:t xml:space="preserve">); </w:t>
      </w:r>
      <w:r>
        <w:rPr>
          <w:rFonts w:ascii="FrankRuehl" w:hAnsi="FrankRuehl"/>
          <w:color w:val="000000"/>
          <w:sz w:val="28"/>
          <w:rtl/>
        </w:rPr>
        <w:t>עניין </w:t>
      </w:r>
      <w:r w:rsidRPr="00323619">
        <w:rPr>
          <w:rFonts w:ascii="Century" w:hAnsi="Century" w:cs="Miriam"/>
          <w:b/>
          <w:spacing w:val="0"/>
          <w:sz w:val="22"/>
          <w:szCs w:val="24"/>
          <w:rtl/>
        </w:rPr>
        <w:t>חוף עזה</w:t>
      </w:r>
      <w:r>
        <w:rPr>
          <w:rFonts w:ascii="FrankRuehl" w:hAnsi="FrankRuehl" w:hint="cs"/>
          <w:color w:val="000000"/>
          <w:sz w:val="28"/>
          <w:rtl/>
        </w:rPr>
        <w:t xml:space="preserve">, עמוד </w:t>
      </w:r>
      <w:r>
        <w:rPr>
          <w:rFonts w:ascii="FrankRuehl" w:hAnsi="FrankRuehl"/>
          <w:color w:val="000000"/>
          <w:sz w:val="28"/>
          <w:rtl/>
        </w:rPr>
        <w:t>584</w:t>
      </w:r>
      <w:r>
        <w:rPr>
          <w:rFonts w:ascii="FrankRuehl" w:hAnsi="FrankRuehl" w:hint="cs"/>
          <w:color w:val="000000"/>
          <w:sz w:val="28"/>
          <w:rtl/>
        </w:rPr>
        <w:t>;</w:t>
      </w:r>
      <w:r w:rsidRPr="0086124D">
        <w:rPr>
          <w:caps/>
          <w:color w:val="000000"/>
        </w:rPr>
        <w:t xml:space="preserve"> </w:t>
      </w:r>
      <w:r>
        <w:rPr>
          <w:color w:val="000000"/>
        </w:rPr>
        <w:t>Yoram Dinstein, The International Law of Belligerent Occupation</w:t>
      </w:r>
      <w:r>
        <w:t>, 5 (2009)</w:t>
      </w:r>
      <w:r>
        <w:rPr>
          <w:rFonts w:hint="cs"/>
          <w:rtl/>
        </w:rPr>
        <w:t>). תקנה 3 לתקנות האג קובעת כך:</w:t>
      </w:r>
    </w:p>
    <w:p w:rsidR="00D512D4" w:rsidRPr="00F62AF5" w:rsidRDefault="00D512D4" w:rsidP="007D5A67">
      <w:pPr>
        <w:pStyle w:val="Ruller4"/>
        <w:numPr>
          <w:ilvl w:val="0"/>
          <w:numId w:val="0"/>
        </w:numPr>
        <w:spacing w:line="240" w:lineRule="auto"/>
        <w:rPr>
          <w:rtl/>
        </w:rPr>
      </w:pPr>
    </w:p>
    <w:p w:rsidR="00D512D4" w:rsidRPr="00F62AF5" w:rsidRDefault="00D512D4" w:rsidP="00DC2820">
      <w:pPr>
        <w:pStyle w:val="Ruller5"/>
        <w:bidi w:val="0"/>
        <w:spacing w:line="360" w:lineRule="auto"/>
        <w:ind w:left="1440"/>
        <w:rPr>
          <w:rFonts w:ascii="Century" w:hAnsi="Century"/>
          <w:szCs w:val="22"/>
        </w:rPr>
      </w:pPr>
      <w:r w:rsidRPr="00F62AF5">
        <w:rPr>
          <w:rFonts w:ascii="Century" w:hAnsi="Century"/>
          <w:szCs w:val="22"/>
        </w:rPr>
        <w:t>"A belligerent party which violates the provisions of the said Regulations shall, if the case demands, be liable to pay compensation. It shall be responsible for all acts committed by persons forming part of its armed forces".</w:t>
      </w:r>
    </w:p>
    <w:p w:rsidR="00D512D4" w:rsidRDefault="00D512D4" w:rsidP="000B6AE3">
      <w:pPr>
        <w:pStyle w:val="Ruller41"/>
        <w:spacing w:line="480" w:lineRule="auto"/>
        <w:rPr>
          <w:rtl/>
        </w:rPr>
      </w:pPr>
    </w:p>
    <w:p w:rsidR="00D512D4" w:rsidRDefault="00D512D4" w:rsidP="00967B1F">
      <w:pPr>
        <w:pStyle w:val="Ruller4"/>
        <w:rPr>
          <w:rtl/>
        </w:rPr>
      </w:pPr>
      <w:r>
        <w:rPr>
          <w:rFonts w:hint="cs"/>
          <w:rtl/>
        </w:rPr>
        <w:t xml:space="preserve">עוד נסמך המערער, על סעיף 91 לפרוטוקול הנוסף הראשון, משנת 1977, של אמנת ג'נבה הרביעית משנת 1948 </w:t>
      </w:r>
      <w:r w:rsidRPr="00982DC1">
        <w:t>Protocol Additional to the Geneva</w:t>
      </w:r>
      <w:r>
        <w:t xml:space="preserve"> </w:t>
      </w:r>
      <w:r w:rsidRPr="00982DC1">
        <w:t>Convention</w:t>
      </w:r>
      <w:r w:rsidR="00967B1F">
        <w:t>s</w:t>
      </w:r>
      <w:r w:rsidR="00967B1F" w:rsidRPr="00967B1F">
        <w:rPr>
          <w:rFonts w:ascii="Century" w:hAnsi="Century"/>
          <w:sz w:val="22"/>
        </w:rPr>
        <w:t>)</w:t>
      </w:r>
      <w:r w:rsidR="00967B1F">
        <w:rPr>
          <w:rFonts w:hint="cs"/>
          <w:rtl/>
        </w:rPr>
        <w:t xml:space="preserve"> </w:t>
      </w:r>
      <w:r w:rsidRPr="00982DC1">
        <w:t>of 12 August 1949</w:t>
      </w:r>
      <w:r>
        <w:t>, and</w:t>
      </w:r>
      <w:r w:rsidRPr="00982DC1">
        <w:t xml:space="preserve"> Relating to the Protection of Victims of International Armed Conflicts (Protocol I), </w:t>
      </w:r>
      <w:r w:rsidRPr="00982DC1">
        <w:lastRenderedPageBreak/>
        <w:t>1977</w:t>
      </w:r>
      <w:r>
        <w:rPr>
          <w:rFonts w:hint="cs"/>
          <w:rtl/>
        </w:rPr>
        <w:t xml:space="preserve">; (להלן בהתאמה: </w:t>
      </w:r>
      <w:r w:rsidRPr="00982DC1">
        <w:rPr>
          <w:rFonts w:ascii="Century" w:hAnsi="Century" w:cs="Miriam" w:hint="cs"/>
          <w:b/>
          <w:spacing w:val="0"/>
          <w:sz w:val="22"/>
          <w:szCs w:val="24"/>
          <w:rtl/>
        </w:rPr>
        <w:t>אמנת ג'נבה הרביעית</w:t>
      </w:r>
      <w:r>
        <w:rPr>
          <w:rFonts w:hint="cs"/>
          <w:rtl/>
        </w:rPr>
        <w:t xml:space="preserve"> ו-</w:t>
      </w:r>
      <w:r w:rsidRPr="00982DC1">
        <w:rPr>
          <w:rFonts w:ascii="Century" w:hAnsi="Century" w:cs="Miriam" w:hint="cs"/>
          <w:b/>
          <w:spacing w:val="0"/>
          <w:sz w:val="22"/>
          <w:szCs w:val="24"/>
          <w:rtl/>
        </w:rPr>
        <w:t xml:space="preserve">הפרוטוקול </w:t>
      </w:r>
      <w:r>
        <w:rPr>
          <w:rFonts w:ascii="Century" w:hAnsi="Century" w:cs="Miriam" w:hint="cs"/>
          <w:b/>
          <w:spacing w:val="0"/>
          <w:sz w:val="22"/>
          <w:szCs w:val="24"/>
          <w:rtl/>
        </w:rPr>
        <w:t xml:space="preserve">הנוסף </w:t>
      </w:r>
      <w:r w:rsidRPr="00982DC1">
        <w:rPr>
          <w:rFonts w:ascii="Century" w:hAnsi="Century" w:cs="Miriam" w:hint="cs"/>
          <w:b/>
          <w:spacing w:val="0"/>
          <w:sz w:val="22"/>
          <w:szCs w:val="24"/>
          <w:rtl/>
        </w:rPr>
        <w:t>הראשון</w:t>
      </w:r>
      <w:r>
        <w:rPr>
          <w:rFonts w:hint="cs"/>
          <w:rtl/>
        </w:rPr>
        <w:t xml:space="preserve">), הקובע הוראה דומה לזו שבתקנה 3 לתקנות האג: </w:t>
      </w:r>
    </w:p>
    <w:p w:rsidR="00D512D4" w:rsidRPr="00FD5F47" w:rsidRDefault="00D512D4" w:rsidP="00D512D4">
      <w:pPr>
        <w:pStyle w:val="Ruller41"/>
        <w:rPr>
          <w:rtl/>
        </w:rPr>
      </w:pPr>
    </w:p>
    <w:p w:rsidR="00D512D4" w:rsidRPr="00D11C51" w:rsidRDefault="00D512D4" w:rsidP="0068123B">
      <w:pPr>
        <w:pStyle w:val="Ruller5"/>
        <w:bidi w:val="0"/>
        <w:spacing w:line="360" w:lineRule="auto"/>
        <w:ind w:left="1440"/>
        <w:rPr>
          <w:rFonts w:ascii="Century" w:hAnsi="Century"/>
          <w:szCs w:val="22"/>
        </w:rPr>
      </w:pPr>
      <w:r w:rsidRPr="00D11C51">
        <w:rPr>
          <w:rFonts w:ascii="Century" w:hAnsi="Century"/>
          <w:szCs w:val="22"/>
        </w:rPr>
        <w:t>"A Party to the conflict which violates the provisions of the Conventions or of this Protocol shall, if the case demands, be liable to pay compensation. It shall be responsible for all acts committed by persons forming part of its armed forces"</w:t>
      </w:r>
      <w:r>
        <w:rPr>
          <w:rFonts w:ascii="Century" w:hAnsi="Century"/>
          <w:szCs w:val="22"/>
        </w:rPr>
        <w:t>.</w:t>
      </w:r>
    </w:p>
    <w:p w:rsidR="00D512D4" w:rsidRPr="00D11C51" w:rsidRDefault="00D512D4" w:rsidP="00D512D4">
      <w:pPr>
        <w:pStyle w:val="Ruller41"/>
        <w:rPr>
          <w:rtl/>
        </w:rPr>
      </w:pPr>
    </w:p>
    <w:p w:rsidR="00D512D4" w:rsidRDefault="00D512D4" w:rsidP="00E357B0">
      <w:pPr>
        <w:pStyle w:val="Ruller4"/>
        <w:rPr>
          <w:rtl/>
        </w:rPr>
      </w:pPr>
      <w:r>
        <w:rPr>
          <w:rFonts w:hint="cs"/>
          <w:rtl/>
        </w:rPr>
        <w:t xml:space="preserve">ישראל, כידוע, איננה צד לפרוטוקול הנוסף הראשון, אך היא רואה עצמה מחויבת להוראותיו 'המנהגיות'. בענייננו, לא ראיתי מקום להידרש לשאלה האם סעיף 91 הנ"ל משקף נורמה מנהגית (לעניין זה, ראו: </w:t>
      </w:r>
      <w:r w:rsidRPr="00902597">
        <w:rPr>
          <w:rFonts w:hint="eastAsia"/>
          <w:rtl/>
        </w:rPr>
        <w:t>בג</w:t>
      </w:r>
      <w:r>
        <w:rPr>
          <w:rFonts w:hint="cs"/>
          <w:rtl/>
        </w:rPr>
        <w:t>"</w:t>
      </w:r>
      <w:r w:rsidRPr="00902597">
        <w:rPr>
          <w:rFonts w:hint="eastAsia"/>
          <w:rtl/>
        </w:rPr>
        <w:t>ץ</w:t>
      </w:r>
      <w:r w:rsidRPr="00902597">
        <w:rPr>
          <w:rtl/>
        </w:rPr>
        <w:t xml:space="preserve"> 769/02‏</w:t>
      </w:r>
      <w:r>
        <w:rPr>
          <w:rFonts w:hint="cs"/>
          <w:rtl/>
        </w:rPr>
        <w:t xml:space="preserve"> </w:t>
      </w:r>
      <w:r w:rsidRPr="00902597">
        <w:rPr>
          <w:rFonts w:ascii="Century" w:hAnsi="Century" w:cs="Miriam" w:hint="eastAsia"/>
          <w:b/>
          <w:spacing w:val="0"/>
          <w:sz w:val="22"/>
          <w:szCs w:val="24"/>
          <w:rtl/>
        </w:rPr>
        <w:t>ה</w:t>
      </w:r>
      <w:r>
        <w:rPr>
          <w:rFonts w:ascii="Century" w:hAnsi="Century" w:cs="Miriam" w:hint="cs"/>
          <w:b/>
          <w:spacing w:val="0"/>
          <w:sz w:val="22"/>
          <w:szCs w:val="24"/>
          <w:rtl/>
        </w:rPr>
        <w:t>ו</w:t>
      </w:r>
      <w:r w:rsidRPr="00902597">
        <w:rPr>
          <w:rFonts w:ascii="Century" w:hAnsi="Century" w:cs="Miriam" w:hint="eastAsia"/>
          <w:b/>
          <w:spacing w:val="0"/>
          <w:sz w:val="22"/>
          <w:szCs w:val="24"/>
          <w:rtl/>
        </w:rPr>
        <w:t>ועד</w:t>
      </w:r>
      <w:r w:rsidRPr="00902597">
        <w:rPr>
          <w:rFonts w:ascii="Century" w:hAnsi="Century" w:cs="Miriam"/>
          <w:b/>
          <w:spacing w:val="0"/>
          <w:sz w:val="22"/>
          <w:szCs w:val="24"/>
          <w:rtl/>
        </w:rPr>
        <w:t xml:space="preserve"> </w:t>
      </w:r>
      <w:r w:rsidRPr="00902597">
        <w:rPr>
          <w:rFonts w:ascii="Century" w:hAnsi="Century" w:cs="Miriam" w:hint="eastAsia"/>
          <w:b/>
          <w:spacing w:val="0"/>
          <w:sz w:val="22"/>
          <w:szCs w:val="24"/>
          <w:rtl/>
        </w:rPr>
        <w:t>הציבורי</w:t>
      </w:r>
      <w:r w:rsidRPr="00902597">
        <w:rPr>
          <w:rFonts w:ascii="Century" w:hAnsi="Century" w:cs="Miriam"/>
          <w:b/>
          <w:spacing w:val="0"/>
          <w:sz w:val="22"/>
          <w:szCs w:val="24"/>
          <w:rtl/>
        </w:rPr>
        <w:t xml:space="preserve"> </w:t>
      </w:r>
      <w:r w:rsidRPr="00902597">
        <w:rPr>
          <w:rFonts w:ascii="Century" w:hAnsi="Century" w:cs="Miriam" w:hint="eastAsia"/>
          <w:b/>
          <w:spacing w:val="0"/>
          <w:sz w:val="22"/>
          <w:szCs w:val="24"/>
          <w:rtl/>
        </w:rPr>
        <w:t>נגד</w:t>
      </w:r>
      <w:r w:rsidRPr="00902597">
        <w:rPr>
          <w:rFonts w:ascii="Century" w:hAnsi="Century" w:cs="Miriam"/>
          <w:b/>
          <w:spacing w:val="0"/>
          <w:sz w:val="22"/>
          <w:szCs w:val="24"/>
          <w:rtl/>
        </w:rPr>
        <w:t xml:space="preserve"> </w:t>
      </w:r>
      <w:r w:rsidRPr="00902597">
        <w:rPr>
          <w:rFonts w:ascii="Century" w:hAnsi="Century" w:cs="Miriam" w:hint="eastAsia"/>
          <w:b/>
          <w:spacing w:val="0"/>
          <w:sz w:val="22"/>
          <w:szCs w:val="24"/>
          <w:rtl/>
        </w:rPr>
        <w:t>העינויים</w:t>
      </w:r>
      <w:r w:rsidRPr="00902597">
        <w:rPr>
          <w:rFonts w:ascii="Century" w:hAnsi="Century" w:cs="Miriam"/>
          <w:b/>
          <w:spacing w:val="0"/>
          <w:sz w:val="22"/>
          <w:szCs w:val="24"/>
          <w:rtl/>
        </w:rPr>
        <w:t xml:space="preserve"> </w:t>
      </w:r>
      <w:r w:rsidRPr="00902597">
        <w:rPr>
          <w:rFonts w:ascii="Century" w:hAnsi="Century" w:cs="Miriam" w:hint="eastAsia"/>
          <w:b/>
          <w:spacing w:val="0"/>
          <w:sz w:val="22"/>
          <w:szCs w:val="24"/>
          <w:rtl/>
        </w:rPr>
        <w:t>בישראל</w:t>
      </w:r>
      <w:r w:rsidRPr="00902597">
        <w:rPr>
          <w:rFonts w:ascii="Century" w:hAnsi="Century" w:cs="Miriam"/>
          <w:b/>
          <w:spacing w:val="0"/>
          <w:sz w:val="22"/>
          <w:szCs w:val="24"/>
          <w:rtl/>
        </w:rPr>
        <w:t xml:space="preserve"> </w:t>
      </w:r>
      <w:r w:rsidRPr="00902597">
        <w:rPr>
          <w:rFonts w:ascii="Century" w:hAnsi="Century" w:cs="Miriam" w:hint="eastAsia"/>
          <w:b/>
          <w:spacing w:val="0"/>
          <w:sz w:val="22"/>
          <w:szCs w:val="24"/>
          <w:rtl/>
        </w:rPr>
        <w:t>נ</w:t>
      </w:r>
      <w:r w:rsidRPr="00902597">
        <w:rPr>
          <w:rFonts w:ascii="Century" w:hAnsi="Century" w:cs="Miriam"/>
          <w:b/>
          <w:spacing w:val="0"/>
          <w:sz w:val="22"/>
          <w:szCs w:val="24"/>
          <w:rtl/>
        </w:rPr>
        <w:t xml:space="preserve">' </w:t>
      </w:r>
      <w:r w:rsidRPr="00902597">
        <w:rPr>
          <w:rFonts w:ascii="Century" w:hAnsi="Century" w:cs="Miriam" w:hint="eastAsia"/>
          <w:b/>
          <w:spacing w:val="0"/>
          <w:sz w:val="22"/>
          <w:szCs w:val="24"/>
          <w:rtl/>
        </w:rPr>
        <w:t>ממשלת</w:t>
      </w:r>
      <w:r w:rsidRPr="00902597">
        <w:rPr>
          <w:rFonts w:ascii="Century" w:hAnsi="Century" w:cs="Miriam"/>
          <w:b/>
          <w:spacing w:val="0"/>
          <w:sz w:val="22"/>
          <w:szCs w:val="24"/>
          <w:rtl/>
        </w:rPr>
        <w:t xml:space="preserve"> </w:t>
      </w:r>
      <w:r w:rsidRPr="00902597">
        <w:rPr>
          <w:rFonts w:ascii="Century" w:hAnsi="Century" w:cs="Miriam" w:hint="eastAsia"/>
          <w:b/>
          <w:spacing w:val="0"/>
          <w:sz w:val="22"/>
          <w:szCs w:val="24"/>
          <w:rtl/>
        </w:rPr>
        <w:t>ישראל</w:t>
      </w:r>
      <w:r w:rsidRPr="00902597">
        <w:rPr>
          <w:rtl/>
        </w:rPr>
        <w:t xml:space="preserve">, </w:t>
      </w:r>
      <w:r w:rsidRPr="00902597">
        <w:rPr>
          <w:rFonts w:hint="eastAsia"/>
          <w:rtl/>
        </w:rPr>
        <w:t>פ</w:t>
      </w:r>
      <w:r w:rsidRPr="00902597">
        <w:rPr>
          <w:rtl/>
        </w:rPr>
        <w:t>''</w:t>
      </w:r>
      <w:r w:rsidRPr="00902597">
        <w:rPr>
          <w:rFonts w:hint="eastAsia"/>
          <w:rtl/>
        </w:rPr>
        <w:t>ד</w:t>
      </w:r>
      <w:r w:rsidRPr="00902597">
        <w:rPr>
          <w:rtl/>
        </w:rPr>
        <w:t xml:space="preserve"> </w:t>
      </w:r>
      <w:r w:rsidRPr="00902597">
        <w:rPr>
          <w:rFonts w:hint="eastAsia"/>
          <w:rtl/>
        </w:rPr>
        <w:t>סב</w:t>
      </w:r>
      <w:r w:rsidRPr="00902597">
        <w:rPr>
          <w:rtl/>
        </w:rPr>
        <w:t>(1) 507</w:t>
      </w:r>
      <w:r>
        <w:rPr>
          <w:rFonts w:hint="cs"/>
          <w:rtl/>
        </w:rPr>
        <w:t>, 573 (2006)</w:t>
      </w:r>
      <w:r w:rsidR="00D506E2">
        <w:rPr>
          <w:rFonts w:hint="cs"/>
          <w:rtl/>
        </w:rPr>
        <w:t xml:space="preserve"> (להלן: </w:t>
      </w:r>
      <w:r w:rsidR="00D506E2" w:rsidRPr="00543584">
        <w:rPr>
          <w:rFonts w:ascii="Century" w:hAnsi="Century" w:cs="Miriam" w:hint="cs"/>
          <w:b/>
          <w:spacing w:val="0"/>
          <w:sz w:val="22"/>
          <w:szCs w:val="24"/>
          <w:rtl/>
        </w:rPr>
        <w:t>עניין הוועד הציבורי נגד עינויים</w:t>
      </w:r>
      <w:r w:rsidR="00D506E2">
        <w:rPr>
          <w:rFonts w:hint="cs"/>
          <w:rtl/>
        </w:rPr>
        <w:t>)</w:t>
      </w:r>
      <w:r>
        <w:rPr>
          <w:rFonts w:hint="cs"/>
          <w:rtl/>
        </w:rPr>
        <w:t xml:space="preserve">; </w:t>
      </w:r>
      <w:r w:rsidRPr="000855BC">
        <w:rPr>
          <w:rFonts w:hint="eastAsia"/>
          <w:rtl/>
        </w:rPr>
        <w:t>רות</w:t>
      </w:r>
      <w:r w:rsidRPr="000855BC">
        <w:rPr>
          <w:rtl/>
        </w:rPr>
        <w:t xml:space="preserve"> </w:t>
      </w:r>
      <w:r w:rsidRPr="000855BC">
        <w:rPr>
          <w:rFonts w:hint="eastAsia"/>
          <w:rtl/>
        </w:rPr>
        <w:t>לפידות</w:t>
      </w:r>
      <w:r w:rsidRPr="000855BC">
        <w:rPr>
          <w:rtl/>
        </w:rPr>
        <w:t xml:space="preserve">, </w:t>
      </w:r>
      <w:r w:rsidRPr="000855BC">
        <w:rPr>
          <w:rFonts w:hint="eastAsia"/>
          <w:rtl/>
        </w:rPr>
        <w:t>יובל</w:t>
      </w:r>
      <w:r w:rsidRPr="000855BC">
        <w:rPr>
          <w:rtl/>
        </w:rPr>
        <w:t xml:space="preserve"> </w:t>
      </w:r>
      <w:r w:rsidRPr="000855BC">
        <w:rPr>
          <w:rFonts w:hint="eastAsia"/>
          <w:rtl/>
        </w:rPr>
        <w:t>שני</w:t>
      </w:r>
      <w:r w:rsidRPr="000855BC">
        <w:rPr>
          <w:rtl/>
        </w:rPr>
        <w:t xml:space="preserve"> </w:t>
      </w:r>
      <w:r w:rsidRPr="000855BC">
        <w:rPr>
          <w:rFonts w:hint="eastAsia"/>
          <w:rtl/>
        </w:rPr>
        <w:t>ועדו</w:t>
      </w:r>
      <w:r w:rsidRPr="000855BC">
        <w:rPr>
          <w:rtl/>
        </w:rPr>
        <w:t xml:space="preserve"> </w:t>
      </w:r>
      <w:r w:rsidRPr="000855BC">
        <w:rPr>
          <w:rFonts w:hint="eastAsia"/>
          <w:rtl/>
        </w:rPr>
        <w:t>רוזנצוייג</w:t>
      </w:r>
      <w:r>
        <w:rPr>
          <w:rFonts w:hint="cs"/>
          <w:rtl/>
        </w:rPr>
        <w:t>,</w:t>
      </w:r>
      <w:r w:rsidRPr="000855BC">
        <w:rPr>
          <w:rtl/>
        </w:rPr>
        <w:t xml:space="preserve"> </w:t>
      </w:r>
      <w:r w:rsidRPr="000855BC">
        <w:rPr>
          <w:rFonts w:ascii="Century" w:hAnsi="Century" w:cs="Miriam" w:hint="eastAsia"/>
          <w:b/>
          <w:spacing w:val="0"/>
          <w:sz w:val="22"/>
          <w:szCs w:val="24"/>
          <w:rtl/>
        </w:rPr>
        <w:t>ישראל</w:t>
      </w:r>
      <w:r w:rsidRPr="000855BC">
        <w:rPr>
          <w:rFonts w:ascii="Century" w:hAnsi="Century" w:cs="Miriam"/>
          <w:b/>
          <w:spacing w:val="0"/>
          <w:sz w:val="22"/>
          <w:szCs w:val="24"/>
          <w:rtl/>
        </w:rPr>
        <w:t xml:space="preserve"> </w:t>
      </w:r>
      <w:r w:rsidRPr="000855BC">
        <w:rPr>
          <w:rFonts w:ascii="Century" w:hAnsi="Century" w:cs="Miriam" w:hint="eastAsia"/>
          <w:b/>
          <w:spacing w:val="0"/>
          <w:sz w:val="22"/>
          <w:szCs w:val="24"/>
          <w:rtl/>
        </w:rPr>
        <w:t>ושני</w:t>
      </w:r>
      <w:r w:rsidRPr="000855BC">
        <w:rPr>
          <w:rFonts w:ascii="Century" w:hAnsi="Century" w:cs="Miriam"/>
          <w:b/>
          <w:spacing w:val="0"/>
          <w:sz w:val="22"/>
          <w:szCs w:val="24"/>
          <w:rtl/>
        </w:rPr>
        <w:t xml:space="preserve"> </w:t>
      </w:r>
      <w:r w:rsidRPr="000855BC">
        <w:rPr>
          <w:rFonts w:ascii="Century" w:hAnsi="Century" w:cs="Miriam" w:hint="eastAsia"/>
          <w:b/>
          <w:spacing w:val="0"/>
          <w:sz w:val="22"/>
          <w:szCs w:val="24"/>
          <w:rtl/>
        </w:rPr>
        <w:t>הפרוטוקולים</w:t>
      </w:r>
      <w:r w:rsidRPr="000855BC">
        <w:rPr>
          <w:rFonts w:ascii="Century" w:hAnsi="Century" w:cs="Miriam"/>
          <w:b/>
          <w:spacing w:val="0"/>
          <w:sz w:val="22"/>
          <w:szCs w:val="24"/>
          <w:rtl/>
        </w:rPr>
        <w:t xml:space="preserve"> </w:t>
      </w:r>
      <w:r w:rsidRPr="000855BC">
        <w:rPr>
          <w:rFonts w:ascii="Century" w:hAnsi="Century" w:cs="Miriam" w:hint="eastAsia"/>
          <w:b/>
          <w:spacing w:val="0"/>
          <w:sz w:val="22"/>
          <w:szCs w:val="24"/>
          <w:rtl/>
        </w:rPr>
        <w:t>הנוספים</w:t>
      </w:r>
      <w:r w:rsidRPr="000855BC">
        <w:rPr>
          <w:rFonts w:ascii="Century" w:hAnsi="Century" w:cs="Miriam"/>
          <w:b/>
          <w:spacing w:val="0"/>
          <w:sz w:val="22"/>
          <w:szCs w:val="24"/>
          <w:rtl/>
        </w:rPr>
        <w:t xml:space="preserve"> </w:t>
      </w:r>
      <w:r w:rsidRPr="000855BC">
        <w:rPr>
          <w:rFonts w:ascii="Century" w:hAnsi="Century" w:cs="Miriam" w:hint="eastAsia"/>
          <w:b/>
          <w:spacing w:val="0"/>
          <w:sz w:val="22"/>
          <w:szCs w:val="24"/>
          <w:rtl/>
        </w:rPr>
        <w:t>לאמנות</w:t>
      </w:r>
      <w:r w:rsidRPr="000855BC">
        <w:rPr>
          <w:rFonts w:ascii="Century" w:hAnsi="Century" w:cs="Miriam"/>
          <w:b/>
          <w:spacing w:val="0"/>
          <w:sz w:val="22"/>
          <w:szCs w:val="24"/>
          <w:rtl/>
        </w:rPr>
        <w:t xml:space="preserve"> </w:t>
      </w:r>
      <w:r w:rsidRPr="000855BC">
        <w:rPr>
          <w:rFonts w:ascii="Century" w:hAnsi="Century" w:cs="Miriam" w:hint="eastAsia"/>
          <w:b/>
          <w:spacing w:val="0"/>
          <w:sz w:val="22"/>
          <w:szCs w:val="24"/>
          <w:rtl/>
        </w:rPr>
        <w:t>ז</w:t>
      </w:r>
      <w:r w:rsidRPr="000855BC">
        <w:rPr>
          <w:rFonts w:ascii="Century" w:hAnsi="Century" w:cs="Miriam"/>
          <w:b/>
          <w:spacing w:val="0"/>
          <w:sz w:val="22"/>
          <w:szCs w:val="24"/>
          <w:rtl/>
        </w:rPr>
        <w:t>'</w:t>
      </w:r>
      <w:r w:rsidRPr="000855BC">
        <w:rPr>
          <w:rFonts w:ascii="Century" w:hAnsi="Century" w:cs="Miriam" w:hint="eastAsia"/>
          <w:b/>
          <w:spacing w:val="0"/>
          <w:sz w:val="22"/>
          <w:szCs w:val="24"/>
          <w:rtl/>
        </w:rPr>
        <w:t>נבה</w:t>
      </w:r>
      <w:r w:rsidRPr="000855BC">
        <w:rPr>
          <w:rtl/>
        </w:rPr>
        <w:t xml:space="preserve"> </w:t>
      </w:r>
      <w:r>
        <w:rPr>
          <w:rFonts w:hint="cs"/>
          <w:rtl/>
        </w:rPr>
        <w:t>57</w:t>
      </w:r>
      <w:r w:rsidRPr="000855BC">
        <w:rPr>
          <w:rtl/>
        </w:rPr>
        <w:t xml:space="preserve"> (</w:t>
      </w:r>
      <w:r w:rsidRPr="000855BC">
        <w:rPr>
          <w:rFonts w:hint="eastAsia"/>
          <w:rtl/>
        </w:rPr>
        <w:t>מחקר</w:t>
      </w:r>
      <w:r w:rsidRPr="000855BC">
        <w:rPr>
          <w:rtl/>
        </w:rPr>
        <w:t xml:space="preserve"> </w:t>
      </w:r>
      <w:r w:rsidRPr="000855BC">
        <w:rPr>
          <w:rFonts w:hint="eastAsia"/>
          <w:rtl/>
        </w:rPr>
        <w:t>מדיניות</w:t>
      </w:r>
      <w:r w:rsidRPr="000855BC">
        <w:rPr>
          <w:rtl/>
        </w:rPr>
        <w:t xml:space="preserve"> 92, </w:t>
      </w:r>
      <w:r w:rsidRPr="000855BC">
        <w:rPr>
          <w:rFonts w:hint="eastAsia"/>
          <w:rtl/>
        </w:rPr>
        <w:t>המכון</w:t>
      </w:r>
      <w:r w:rsidRPr="000855BC">
        <w:rPr>
          <w:rtl/>
        </w:rPr>
        <w:t xml:space="preserve"> </w:t>
      </w:r>
      <w:r w:rsidRPr="000855BC">
        <w:rPr>
          <w:rFonts w:hint="eastAsia"/>
          <w:rtl/>
        </w:rPr>
        <w:t>הישראלי</w:t>
      </w:r>
      <w:r w:rsidRPr="000855BC">
        <w:rPr>
          <w:rtl/>
        </w:rPr>
        <w:t xml:space="preserve"> </w:t>
      </w:r>
      <w:r w:rsidRPr="000855BC">
        <w:rPr>
          <w:rFonts w:hint="eastAsia"/>
          <w:rtl/>
        </w:rPr>
        <w:t>לדמוקרטיה</w:t>
      </w:r>
      <w:r w:rsidRPr="000855BC">
        <w:rPr>
          <w:rtl/>
        </w:rPr>
        <w:t>, 2011)</w:t>
      </w:r>
      <w:r>
        <w:rPr>
          <w:rFonts w:hint="cs"/>
          <w:rtl/>
        </w:rPr>
        <w:t>. זאת,</w:t>
      </w:r>
      <w:r w:rsidRPr="000855BC">
        <w:rPr>
          <w:rFonts w:hint="cs"/>
          <w:rtl/>
        </w:rPr>
        <w:t xml:space="preserve"> </w:t>
      </w:r>
      <w:r>
        <w:rPr>
          <w:rFonts w:hint="cs"/>
          <w:rtl/>
        </w:rPr>
        <w:t>שכן כפי שיפורט להלן, סעיף זה ממילא איננו מבסס עילת פיצוי אישית לאדם פרטי.</w:t>
      </w:r>
    </w:p>
    <w:p w:rsidR="00D512D4" w:rsidRPr="00CB3578" w:rsidRDefault="00D512D4" w:rsidP="000B6AE3">
      <w:pPr>
        <w:pStyle w:val="Ruller41"/>
        <w:spacing w:line="240" w:lineRule="auto"/>
      </w:pPr>
    </w:p>
    <w:p w:rsidR="00D512D4" w:rsidRPr="00775165" w:rsidRDefault="00D512D4" w:rsidP="00811B3D">
      <w:pPr>
        <w:pStyle w:val="Ruller4"/>
        <w:rPr>
          <w:sz w:val="22"/>
          <w:szCs w:val="22"/>
          <w:rtl/>
        </w:rPr>
      </w:pPr>
      <w:r>
        <w:rPr>
          <w:rFonts w:hint="cs"/>
          <w:rtl/>
        </w:rPr>
        <w:t xml:space="preserve">לעניין זה, הפרשנות המקובלת במשפטן של אומות העולם, היא שההוראות האמורות, אינן מבססות </w:t>
      </w:r>
      <w:r w:rsidRPr="003E3F66">
        <w:rPr>
          <w:rFonts w:ascii="Century" w:hAnsi="Century" w:cs="Miriam" w:hint="cs"/>
          <w:b/>
          <w:spacing w:val="0"/>
          <w:sz w:val="22"/>
          <w:szCs w:val="24"/>
          <w:rtl/>
        </w:rPr>
        <w:t>זכות תביעה אישית</w:t>
      </w:r>
      <w:r w:rsidRPr="003E3F66">
        <w:rPr>
          <w:rFonts w:hint="cs"/>
          <w:rtl/>
        </w:rPr>
        <w:t xml:space="preserve"> </w:t>
      </w:r>
      <w:r>
        <w:rPr>
          <w:rFonts w:hint="cs"/>
          <w:rtl/>
        </w:rPr>
        <w:t xml:space="preserve">לפרט; הן מטילות חובת פיצוי </w:t>
      </w:r>
      <w:r w:rsidRPr="003E3F66">
        <w:rPr>
          <w:rFonts w:ascii="Century" w:hAnsi="Century" w:cs="Miriam" w:hint="cs"/>
          <w:b/>
          <w:spacing w:val="0"/>
          <w:sz w:val="22"/>
          <w:szCs w:val="24"/>
          <w:rtl/>
        </w:rPr>
        <w:t>במישור המדינתי</w:t>
      </w:r>
      <w:r>
        <w:rPr>
          <w:rFonts w:hint="cs"/>
          <w:rtl/>
        </w:rPr>
        <w:t xml:space="preserve"> בלבד. כך למשל, בפסק דין אמריקאי שניתן על-ידי בית המשפט הפדרלי לערעורים במחוז קולומביה </w:t>
      </w:r>
      <w:r>
        <w:rPr>
          <w:rtl/>
        </w:rPr>
        <w:t>–</w:t>
      </w:r>
      <w:r w:rsidRPr="00CB3578">
        <w:rPr>
          <w:sz w:val="22"/>
          <w:szCs w:val="22"/>
        </w:rPr>
        <w:t xml:space="preserve">Tel-Oren v. Libyan Arab Republic, 726 F.2d 774, 810 (D.C. Cir. </w:t>
      </w:r>
      <w:r w:rsidRPr="00CB3578">
        <w:rPr>
          <w:rFonts w:ascii="Century" w:hAnsi="Century"/>
          <w:sz w:val="22"/>
          <w:szCs w:val="22"/>
        </w:rPr>
        <w:t xml:space="preserve">1984) </w:t>
      </w:r>
      <w:r w:rsidRPr="00CB3578">
        <w:rPr>
          <w:rFonts w:ascii="Century" w:hAnsi="Century"/>
          <w:szCs w:val="24"/>
          <w:rtl/>
        </w:rPr>
        <w:t xml:space="preserve"> </w:t>
      </w:r>
      <w:r>
        <w:rPr>
          <w:rtl/>
        </w:rPr>
        <w:t>–</w:t>
      </w:r>
      <w:r>
        <w:rPr>
          <w:rFonts w:hint="cs"/>
          <w:rtl/>
        </w:rPr>
        <w:t xml:space="preserve"> נפסק בחוות הדעת של השופט </w:t>
      </w:r>
      <w:r w:rsidRPr="00775165">
        <w:rPr>
          <w:rFonts w:ascii="Century" w:hAnsi="Century" w:cs="Miriam" w:hint="cs"/>
          <w:b/>
          <w:spacing w:val="0"/>
          <w:sz w:val="22"/>
          <w:szCs w:val="24"/>
          <w:rtl/>
        </w:rPr>
        <w:t>בורק</w:t>
      </w:r>
      <w:r w:rsidRPr="00775165">
        <w:rPr>
          <w:rFonts w:hint="cs"/>
          <w:rtl/>
        </w:rPr>
        <w:t xml:space="preserve"> </w:t>
      </w:r>
      <w:r w:rsidRPr="00CB3578">
        <w:rPr>
          <w:szCs w:val="24"/>
          <w:rtl/>
        </w:rPr>
        <w:t>(</w:t>
      </w:r>
      <w:r w:rsidRPr="00CB3578">
        <w:rPr>
          <w:szCs w:val="24"/>
        </w:rPr>
        <w:t>Judge Bork</w:t>
      </w:r>
      <w:r w:rsidRPr="00CB3578">
        <w:rPr>
          <w:szCs w:val="24"/>
          <w:rtl/>
        </w:rPr>
        <w:t>)</w:t>
      </w:r>
      <w:r>
        <w:rPr>
          <w:rFonts w:hint="cs"/>
          <w:rtl/>
        </w:rPr>
        <w:t xml:space="preserve">, כי הוראות אמנת האג, כשלעצמן, אינן מקימות עילת תביעה לפרט: </w:t>
      </w:r>
      <w:r w:rsidRPr="00D11C51">
        <w:rPr>
          <w:rFonts w:ascii="Century" w:hAnsi="Century"/>
          <w:sz w:val="22"/>
          <w:szCs w:val="22"/>
        </w:rPr>
        <w:t>"The Hague Conventions similarly cannot be construed to afford individuals the right to judicial enforcement […] The Hague Conventions are not self-executing"</w:t>
      </w:r>
      <w:r w:rsidRPr="00CB3578">
        <w:rPr>
          <w:szCs w:val="24"/>
          <w:rtl/>
        </w:rPr>
        <w:t xml:space="preserve">  (</w:t>
      </w:r>
      <w:r w:rsidRPr="00CB3578">
        <w:rPr>
          <w:rFonts w:cs="Miriam"/>
          <w:b/>
          <w:spacing w:val="0"/>
          <w:szCs w:val="24"/>
          <w:rtl/>
        </w:rPr>
        <w:t>שם</w:t>
      </w:r>
      <w:r w:rsidRPr="00CB3578">
        <w:rPr>
          <w:szCs w:val="24"/>
          <w:rtl/>
        </w:rPr>
        <w:t>,</w:t>
      </w:r>
      <w:r>
        <w:rPr>
          <w:rFonts w:hint="cs"/>
          <w:rtl/>
        </w:rPr>
        <w:t xml:space="preserve"> עמוד 810). </w:t>
      </w:r>
      <w:r w:rsidRPr="00775165">
        <w:rPr>
          <w:rFonts w:hint="cs"/>
          <w:rtl/>
        </w:rPr>
        <w:lastRenderedPageBreak/>
        <w:t xml:space="preserve">המערער, מצדו, אמנם טען כי עמדת השופט בורק היא </w:t>
      </w:r>
      <w:r w:rsidRPr="00775165">
        <w:rPr>
          <w:rFonts w:ascii="Century" w:hAnsi="Century" w:cs="Miriam" w:hint="cs"/>
          <w:b/>
          <w:spacing w:val="0"/>
          <w:sz w:val="22"/>
          <w:szCs w:val="24"/>
          <w:rtl/>
        </w:rPr>
        <w:t>"דעת שופט יחיד"</w:t>
      </w:r>
      <w:r w:rsidRPr="00775165">
        <w:rPr>
          <w:rFonts w:hint="cs"/>
          <w:rtl/>
        </w:rPr>
        <w:t>, אך לא הצביע על פסקי דין אמריקאים הקובעים אחרת</w:t>
      </w:r>
      <w:r>
        <w:rPr>
          <w:rFonts w:hint="cs"/>
          <w:rtl/>
        </w:rPr>
        <w:t>.</w:t>
      </w:r>
      <w:r w:rsidRPr="00775165">
        <w:rPr>
          <w:rFonts w:hint="cs"/>
          <w:rtl/>
        </w:rPr>
        <w:t xml:space="preserve"> </w:t>
      </w:r>
      <w:r>
        <w:rPr>
          <w:rFonts w:hint="cs"/>
          <w:rtl/>
        </w:rPr>
        <w:t>למעשה,</w:t>
      </w:r>
      <w:r w:rsidRPr="00775165">
        <w:rPr>
          <w:rFonts w:hint="cs"/>
          <w:rtl/>
        </w:rPr>
        <w:t xml:space="preserve"> קביע</w:t>
      </w:r>
      <w:r>
        <w:rPr>
          <w:rFonts w:hint="cs"/>
          <w:rtl/>
        </w:rPr>
        <w:t xml:space="preserve">תו של השופט </w:t>
      </w:r>
      <w:r w:rsidRPr="00775165">
        <w:rPr>
          <w:rFonts w:ascii="Century" w:hAnsi="Century" w:cs="Miriam" w:hint="cs"/>
          <w:b/>
          <w:spacing w:val="0"/>
          <w:sz w:val="22"/>
          <w:szCs w:val="24"/>
          <w:rtl/>
        </w:rPr>
        <w:t>בורק</w:t>
      </w:r>
      <w:r w:rsidRPr="00775165">
        <w:rPr>
          <w:rFonts w:hint="cs"/>
          <w:rtl/>
        </w:rPr>
        <w:t xml:space="preserve"> חזרה על עצמה במספר</w:t>
      </w:r>
      <w:r>
        <w:rPr>
          <w:rFonts w:hint="cs"/>
          <w:rtl/>
        </w:rPr>
        <w:t xml:space="preserve"> פסקי דין נוספים (</w:t>
      </w:r>
      <w:r w:rsidR="00404A7B">
        <w:rPr>
          <w:rFonts w:hint="cs"/>
          <w:rtl/>
        </w:rPr>
        <w:t>ראו:</w:t>
      </w:r>
      <w:r w:rsidRPr="00775165">
        <w:rPr>
          <w:sz w:val="22"/>
          <w:szCs w:val="22"/>
        </w:rPr>
        <w:t>Handel v. Artkucovic 601 F. supp. 1421, 1425 (1985)</w:t>
      </w:r>
      <w:r w:rsidRPr="00775165">
        <w:rPr>
          <w:sz w:val="22"/>
          <w:szCs w:val="22"/>
          <w:rtl/>
        </w:rPr>
        <w:t xml:space="preserve">; </w:t>
      </w:r>
      <w:r w:rsidRPr="00775165">
        <w:rPr>
          <w:color w:val="212529"/>
          <w:sz w:val="22"/>
          <w:szCs w:val="22"/>
          <w:shd w:val="clear" w:color="auto" w:fill="FFFFFF"/>
        </w:rPr>
        <w:t>Goldstar</w:t>
      </w:r>
      <w:r w:rsidRPr="00775165">
        <w:rPr>
          <w:sz w:val="22"/>
          <w:szCs w:val="22"/>
        </w:rPr>
        <w:t xml:space="preserve"> </w:t>
      </w:r>
      <w:r w:rsidRPr="00775165">
        <w:rPr>
          <w:color w:val="212529"/>
          <w:sz w:val="22"/>
          <w:szCs w:val="22"/>
          <w:shd w:val="clear" w:color="auto" w:fill="FFFFFF"/>
        </w:rPr>
        <w:t>(PANAMA) v. United State of America, 967 F.2d 965 (4th Cir. 1992)</w:t>
      </w:r>
      <w:r w:rsidRPr="00775165">
        <w:rPr>
          <w:rFonts w:hint="cs"/>
          <w:sz w:val="22"/>
          <w:szCs w:val="22"/>
          <w:rtl/>
        </w:rPr>
        <w:t>)</w:t>
      </w:r>
      <w:r w:rsidRPr="00775165">
        <w:rPr>
          <w:sz w:val="22"/>
          <w:szCs w:val="22"/>
          <w:rtl/>
        </w:rPr>
        <w:t>,</w:t>
      </w:r>
      <w:r w:rsidRPr="00775165">
        <w:rPr>
          <w:szCs w:val="24"/>
          <w:rtl/>
        </w:rPr>
        <w:t xml:space="preserve"> </w:t>
      </w:r>
      <w:r>
        <w:rPr>
          <w:rFonts w:hint="cs"/>
          <w:rtl/>
        </w:rPr>
        <w:t xml:space="preserve">שבו נקבע כי: </w:t>
      </w:r>
      <w:r w:rsidRPr="00775165">
        <w:rPr>
          <w:rFonts w:ascii="Century" w:hAnsi="Century"/>
          <w:sz w:val="22"/>
          <w:szCs w:val="22"/>
        </w:rPr>
        <w:t>"In sum, we hold that the Hague Convention is not self-executing and, therefore, does not, by itself, create a private right of action for its breach"</w:t>
      </w:r>
      <w:r w:rsidRPr="00775165">
        <w:rPr>
          <w:rFonts w:ascii="Century" w:hAnsi="Century"/>
          <w:rtl/>
        </w:rPr>
        <w:t>;</w:t>
      </w:r>
      <w:r>
        <w:rPr>
          <w:rFonts w:hint="cs"/>
          <w:rtl/>
        </w:rPr>
        <w:t xml:space="preserve"> עוד ראו: </w:t>
      </w:r>
      <w:r w:rsidRPr="00775165">
        <w:rPr>
          <w:sz w:val="22"/>
          <w:szCs w:val="22"/>
        </w:rPr>
        <w:t>Princz v. Federal Republic of Germany, 26 F.3d 1166 (D.C. Cir. 1994)</w:t>
      </w:r>
      <w:r w:rsidRPr="00CB3578">
        <w:rPr>
          <w:rtl/>
        </w:rPr>
        <w:t>)</w:t>
      </w:r>
      <w:r>
        <w:rPr>
          <w:rFonts w:hint="cs"/>
          <w:rtl/>
        </w:rPr>
        <w:t xml:space="preserve">. </w:t>
      </w:r>
      <w:r w:rsidR="00811B3D">
        <w:rPr>
          <w:rFonts w:hint="cs"/>
          <w:rtl/>
        </w:rPr>
        <w:t>אבהי</w:t>
      </w:r>
      <w:r>
        <w:rPr>
          <w:rFonts w:hint="cs"/>
          <w:rtl/>
        </w:rPr>
        <w:t xml:space="preserve">ר, כי לבד מפסקי הדין שצוטטו, הרי שגם כללי החסינות הרחבים הנוהגים בארה"ב, אינם מאפשרים לפרט, מבחינה פרקטית, לתבוע את ממשלת ארה"ב בנזיקין כאמור. כך למשל, המשפט האמריקאי מכיר בחריג 'הפעולה המלחמתית' באופן רחב ביותר (ראו: </w:t>
      </w:r>
      <w:r w:rsidRPr="00775165">
        <w:rPr>
          <w:sz w:val="22"/>
          <w:szCs w:val="22"/>
        </w:rPr>
        <w:t>The Federal Tort Claims Act;</w:t>
      </w:r>
      <w:r w:rsidRPr="00775165">
        <w:rPr>
          <w:color w:val="000000"/>
          <w:sz w:val="22"/>
          <w:szCs w:val="22"/>
        </w:rPr>
        <w:t xml:space="preserve"> 28 U.S. Code § 2680(j)</w:t>
      </w:r>
      <w:r w:rsidRPr="00775165">
        <w:rPr>
          <w:rFonts w:hint="cs"/>
          <w:color w:val="000000"/>
          <w:sz w:val="28"/>
          <w:rtl/>
        </w:rPr>
        <w:t xml:space="preserve">; וראו לעניין זה: </w:t>
      </w:r>
      <w:r w:rsidRPr="00775165">
        <w:rPr>
          <w:color w:val="000000"/>
          <w:sz w:val="22"/>
          <w:szCs w:val="22"/>
        </w:rPr>
        <w:t>Koohi v. United State, 976 F.2d 1328 (1992)</w:t>
      </w:r>
      <w:r w:rsidRPr="00775165">
        <w:rPr>
          <w:rFonts w:hint="cs"/>
          <w:color w:val="000000"/>
          <w:sz w:val="28"/>
          <w:rtl/>
        </w:rPr>
        <w:t>)</w:t>
      </w:r>
      <w:r>
        <w:rPr>
          <w:rFonts w:hint="cs"/>
          <w:rtl/>
        </w:rPr>
        <w:t>, ואף מכיר בחסינות העומדת לממשל, בגין פעולות-חוץ שבוצעו על-ידו (</w:t>
      </w:r>
      <w:r w:rsidRPr="00775165">
        <w:rPr>
          <w:color w:val="000000"/>
          <w:sz w:val="22"/>
          <w:szCs w:val="22"/>
        </w:rPr>
        <w:t>28 U.S. Code § 2680(k)</w:t>
      </w:r>
      <w:r>
        <w:rPr>
          <w:rFonts w:hint="cs"/>
          <w:rtl/>
        </w:rPr>
        <w:t xml:space="preserve">; וראו לעניין זה: </w:t>
      </w:r>
      <w:r w:rsidRPr="00775165">
        <w:rPr>
          <w:sz w:val="22"/>
          <w:szCs w:val="22"/>
        </w:rPr>
        <w:t>Sosa v. Alvarez-Machain, 542 U.S. 692 (2004)</w:t>
      </w:r>
      <w:r>
        <w:rPr>
          <w:rFonts w:hint="cs"/>
          <w:rtl/>
        </w:rPr>
        <w:t xml:space="preserve">, שם נקבע, נוכח חריג זה, כי </w:t>
      </w:r>
      <w:r w:rsidRPr="00775165">
        <w:rPr>
          <w:rFonts w:ascii="Century" w:hAnsi="Century" w:cs="Miriam" w:hint="eastAsia"/>
          <w:b/>
          <w:spacing w:val="0"/>
          <w:sz w:val="22"/>
          <w:szCs w:val="24"/>
          <w:rtl/>
        </w:rPr>
        <w:t>אדם</w:t>
      </w:r>
      <w:r w:rsidRPr="00775165">
        <w:rPr>
          <w:rFonts w:ascii="Century" w:hAnsi="Century" w:cs="Miriam"/>
          <w:b/>
          <w:spacing w:val="0"/>
          <w:sz w:val="22"/>
          <w:szCs w:val="24"/>
          <w:rtl/>
        </w:rPr>
        <w:t xml:space="preserve"> </w:t>
      </w:r>
      <w:r w:rsidRPr="00775165">
        <w:rPr>
          <w:rFonts w:ascii="Century" w:hAnsi="Century" w:cs="Miriam" w:hint="eastAsia"/>
          <w:b/>
          <w:spacing w:val="0"/>
          <w:sz w:val="22"/>
          <w:szCs w:val="24"/>
          <w:rtl/>
        </w:rPr>
        <w:t>פרטי</w:t>
      </w:r>
      <w:r w:rsidRPr="002667E8">
        <w:rPr>
          <w:rtl/>
        </w:rPr>
        <w:t xml:space="preserve"> </w:t>
      </w:r>
      <w:r>
        <w:rPr>
          <w:rFonts w:hint="cs"/>
          <w:rtl/>
        </w:rPr>
        <w:t xml:space="preserve">אינו רשאי </w:t>
      </w:r>
      <w:r w:rsidR="002C549D">
        <w:rPr>
          <w:rFonts w:hint="cs"/>
          <w:rtl/>
        </w:rPr>
        <w:t>לתבוע ב</w:t>
      </w:r>
      <w:r>
        <w:rPr>
          <w:rFonts w:hint="cs"/>
          <w:rtl/>
        </w:rPr>
        <w:t xml:space="preserve">נזיקין </w:t>
      </w:r>
      <w:r w:rsidR="002C549D">
        <w:rPr>
          <w:rFonts w:hint="cs"/>
          <w:rtl/>
        </w:rPr>
        <w:t xml:space="preserve">את </w:t>
      </w:r>
      <w:r>
        <w:rPr>
          <w:rFonts w:hint="cs"/>
          <w:rtl/>
        </w:rPr>
        <w:t xml:space="preserve">ממשלת ארה"ב, בגין חטיפה של אזרח מקסיקני, ממקסיקו לארה"ב, על ידי הרשות ללוחמה בסמים; זאת, להבדיל מתביעות נזיקין המוגשות נגד </w:t>
      </w:r>
      <w:r w:rsidR="002C549D">
        <w:rPr>
          <w:rFonts w:ascii="Century" w:hAnsi="Century" w:cs="Miriam" w:hint="cs"/>
          <w:b/>
          <w:spacing w:val="0"/>
          <w:sz w:val="22"/>
          <w:szCs w:val="24"/>
          <w:rtl/>
        </w:rPr>
        <w:t>זרים</w:t>
      </w:r>
      <w:r w:rsidRPr="002667E8">
        <w:rPr>
          <w:rtl/>
        </w:rPr>
        <w:t xml:space="preserve"> </w:t>
      </w:r>
      <w:r>
        <w:rPr>
          <w:rtl/>
        </w:rPr>
        <w:t>–</w:t>
      </w:r>
      <w:r>
        <w:rPr>
          <w:rFonts w:hint="cs"/>
          <w:rtl/>
        </w:rPr>
        <w:t xml:space="preserve"> לפי ה</w:t>
      </w:r>
      <w:r w:rsidRPr="00775165">
        <w:rPr>
          <w:szCs w:val="24"/>
          <w:rtl/>
        </w:rPr>
        <w:t>-</w:t>
      </w:r>
      <w:r w:rsidRPr="00775165">
        <w:rPr>
          <w:sz w:val="22"/>
          <w:szCs w:val="22"/>
        </w:rPr>
        <w:t>Alien Tort Statute; 28 U.S.C 1350</w:t>
      </w:r>
      <w:r>
        <w:rPr>
          <w:rFonts w:hint="cs"/>
          <w:rtl/>
        </w:rPr>
        <w:t xml:space="preserve"> </w:t>
      </w:r>
      <w:r>
        <w:rPr>
          <w:rtl/>
        </w:rPr>
        <w:t>–</w:t>
      </w:r>
      <w:r>
        <w:rPr>
          <w:rFonts w:hint="cs"/>
          <w:rtl/>
        </w:rPr>
        <w:t xml:space="preserve"> שניתנות לבירור בערכאות בארה"ב</w:t>
      </w:r>
      <w:r w:rsidR="002C549D">
        <w:rPr>
          <w:rFonts w:hint="cs"/>
          <w:rtl/>
        </w:rPr>
        <w:t>, במקרים מסוימים</w:t>
      </w:r>
      <w:r>
        <w:rPr>
          <w:rFonts w:hint="cs"/>
          <w:rtl/>
        </w:rPr>
        <w:t xml:space="preserve">; עוד בעניין זה, ראו: </w:t>
      </w:r>
      <w:r w:rsidRPr="00775165">
        <w:rPr>
          <w:sz w:val="22"/>
          <w:szCs w:val="22"/>
        </w:rPr>
        <w:t xml:space="preserve">Kenneth Bullock, United States Tort Liability for War Crimes Abroad: An Assessment and Recommendation, 58(1) </w:t>
      </w:r>
      <w:r w:rsidRPr="00775165">
        <w:rPr>
          <w:rFonts w:cs="Miriam"/>
          <w:bCs/>
          <w:spacing w:val="0"/>
          <w:sz w:val="22"/>
          <w:szCs w:val="22"/>
        </w:rPr>
        <w:t>Law and Contemporary Problems</w:t>
      </w:r>
      <w:r w:rsidRPr="00775165">
        <w:rPr>
          <w:sz w:val="22"/>
          <w:szCs w:val="22"/>
        </w:rPr>
        <w:t xml:space="preserve"> 139, 147-156 (1995)</w:t>
      </w:r>
      <w:r w:rsidRPr="00775165">
        <w:rPr>
          <w:sz w:val="28"/>
          <w:rtl/>
        </w:rPr>
        <w:t>).</w:t>
      </w:r>
      <w:r w:rsidR="002C549D">
        <w:rPr>
          <w:rFonts w:hint="cs"/>
          <w:sz w:val="22"/>
          <w:szCs w:val="22"/>
          <w:rtl/>
        </w:rPr>
        <w:t xml:space="preserve"> </w:t>
      </w:r>
      <w:r w:rsidRPr="00775165">
        <w:rPr>
          <w:sz w:val="22"/>
          <w:szCs w:val="22"/>
          <w:rtl/>
        </w:rPr>
        <w:t xml:space="preserve">  </w:t>
      </w:r>
      <w:r w:rsidRPr="00775165">
        <w:rPr>
          <w:rFonts w:hint="cs"/>
          <w:sz w:val="22"/>
          <w:szCs w:val="22"/>
          <w:rtl/>
        </w:rPr>
        <w:t xml:space="preserve"> </w:t>
      </w:r>
    </w:p>
    <w:p w:rsidR="00D512D4" w:rsidRPr="00D66980" w:rsidRDefault="00D512D4" w:rsidP="00653268">
      <w:pPr>
        <w:pStyle w:val="Ruller41"/>
        <w:spacing w:line="240" w:lineRule="auto"/>
      </w:pPr>
    </w:p>
    <w:p w:rsidR="00D512D4" w:rsidRPr="00D00A97" w:rsidRDefault="00D512D4" w:rsidP="00154174">
      <w:pPr>
        <w:pStyle w:val="Ruller4"/>
        <w:rPr>
          <w:rtl/>
        </w:rPr>
      </w:pPr>
      <w:r>
        <w:rPr>
          <w:rFonts w:hint="cs"/>
          <w:rtl/>
        </w:rPr>
        <w:t>פרשנות זו, לסעיפים אלו שבאמנת האג, מקובלת גם במשפט הגרמני. דוגמה לכך, היא פרשת גשר וורוורין (</w:t>
      </w:r>
      <w:r w:rsidRPr="00382EC0">
        <w:rPr>
          <w:szCs w:val="24"/>
        </w:rPr>
        <w:t>Varvarin</w:t>
      </w:r>
      <w:r w:rsidRPr="00216325">
        <w:rPr>
          <w:sz w:val="22"/>
          <w:szCs w:val="22"/>
        </w:rPr>
        <w:t xml:space="preserve"> </w:t>
      </w:r>
      <w:r w:rsidRPr="00382EC0">
        <w:rPr>
          <w:szCs w:val="24"/>
        </w:rPr>
        <w:t>Bridge</w:t>
      </w:r>
      <w:r w:rsidRPr="00216325">
        <w:rPr>
          <w:sz w:val="22"/>
          <w:szCs w:val="22"/>
        </w:rPr>
        <w:t xml:space="preserve"> </w:t>
      </w:r>
      <w:r w:rsidRPr="00382EC0">
        <w:rPr>
          <w:szCs w:val="24"/>
        </w:rPr>
        <w:t>Case</w:t>
      </w:r>
      <w:r>
        <w:rPr>
          <w:rFonts w:hint="cs"/>
          <w:rtl/>
        </w:rPr>
        <w:t>).</w:t>
      </w:r>
      <w:r w:rsidRPr="00A83427">
        <w:rPr>
          <w:rFonts w:hint="cs"/>
          <w:rtl/>
        </w:rPr>
        <w:t xml:space="preserve"> </w:t>
      </w:r>
      <w:r>
        <w:rPr>
          <w:rFonts w:hint="cs"/>
          <w:rtl/>
        </w:rPr>
        <w:t>במרכזה של פרשה זו, עמדה הפצצת גשר בעיירה וורוורין שבסרביה, בשנת 1999, על ידי כוחות נאט"ו (</w:t>
      </w:r>
      <w:r>
        <w:rPr>
          <w:rFonts w:hint="cs"/>
        </w:rPr>
        <w:t>NATO</w:t>
      </w:r>
      <w:r>
        <w:rPr>
          <w:rFonts w:hint="cs"/>
          <w:rtl/>
        </w:rPr>
        <w:t xml:space="preserve">). תביעות אישיות שהגישו נפגעי אותה הפצצה נגד גרמניה </w:t>
      </w:r>
      <w:r>
        <w:rPr>
          <w:rtl/>
        </w:rPr>
        <w:t>–</w:t>
      </w:r>
      <w:r>
        <w:rPr>
          <w:rFonts w:hint="cs"/>
          <w:rtl/>
        </w:rPr>
        <w:t xml:space="preserve"> נדחו על-ידי 3 ערכאות אזרחיות (ראו: </w:t>
      </w:r>
      <w:r w:rsidRPr="00382EC0">
        <w:rPr>
          <w:szCs w:val="24"/>
        </w:rPr>
        <w:t>Bundesgerichtshof</w:t>
      </w:r>
      <w:r w:rsidRPr="00DA3233">
        <w:rPr>
          <w:sz w:val="22"/>
          <w:szCs w:val="22"/>
        </w:rPr>
        <w:t xml:space="preserve"> </w:t>
      </w:r>
      <w:r>
        <w:rPr>
          <w:sz w:val="22"/>
          <w:szCs w:val="22"/>
        </w:rPr>
        <w:t xml:space="preserve">[BGH] </w:t>
      </w:r>
      <w:r>
        <w:rPr>
          <w:sz w:val="22"/>
          <w:szCs w:val="22"/>
        </w:rPr>
        <w:lastRenderedPageBreak/>
        <w:t>[</w:t>
      </w:r>
      <w:r w:rsidRPr="00382EC0">
        <w:rPr>
          <w:szCs w:val="24"/>
        </w:rPr>
        <w:t>Germany</w:t>
      </w:r>
      <w:r w:rsidRPr="00216325">
        <w:rPr>
          <w:sz w:val="22"/>
          <w:szCs w:val="22"/>
        </w:rPr>
        <w:t xml:space="preserve"> </w:t>
      </w:r>
      <w:r w:rsidRPr="00382EC0">
        <w:rPr>
          <w:szCs w:val="24"/>
        </w:rPr>
        <w:t>Federal</w:t>
      </w:r>
      <w:r w:rsidRPr="00216325">
        <w:rPr>
          <w:sz w:val="22"/>
          <w:szCs w:val="22"/>
        </w:rPr>
        <w:t xml:space="preserve"> </w:t>
      </w:r>
      <w:r w:rsidRPr="00382EC0">
        <w:rPr>
          <w:szCs w:val="24"/>
        </w:rPr>
        <w:t>Court</w:t>
      </w:r>
      <w:r w:rsidRPr="00216325">
        <w:rPr>
          <w:sz w:val="22"/>
          <w:szCs w:val="22"/>
        </w:rPr>
        <w:t xml:space="preserve"> </w:t>
      </w:r>
      <w:r w:rsidRPr="00382EC0">
        <w:rPr>
          <w:szCs w:val="24"/>
        </w:rPr>
        <w:t>of Justice</w:t>
      </w:r>
      <w:r>
        <w:rPr>
          <w:sz w:val="22"/>
          <w:szCs w:val="22"/>
        </w:rPr>
        <w:t>]</w:t>
      </w:r>
      <w:r w:rsidRPr="00216325">
        <w:rPr>
          <w:sz w:val="22"/>
          <w:szCs w:val="22"/>
        </w:rPr>
        <w:t xml:space="preserve">, 35 </w:t>
      </w:r>
      <w:r w:rsidRPr="00382EC0">
        <w:rPr>
          <w:szCs w:val="24"/>
        </w:rPr>
        <w:t>citizens of the Former Federal Republic of Yugoslavia v Germany,</w:t>
      </w:r>
      <w:r w:rsidRPr="00216325">
        <w:rPr>
          <w:sz w:val="22"/>
          <w:szCs w:val="22"/>
        </w:rPr>
        <w:t xml:space="preserve"> III ZR 190/05, BGHZ 166 (2.11.2006)</w:t>
      </w:r>
      <w:r>
        <w:rPr>
          <w:rFonts w:hint="cs"/>
          <w:rtl/>
        </w:rPr>
        <w:t xml:space="preserve">). נוכח זאת, פנו הנפגעים בעתירה לבית המשפט החוקתי של גרמניה, אשר </w:t>
      </w:r>
      <w:r w:rsidR="00E357B0">
        <w:rPr>
          <w:rFonts w:hint="cs"/>
          <w:rtl/>
        </w:rPr>
        <w:t xml:space="preserve">אישרר, </w:t>
      </w:r>
      <w:r>
        <w:rPr>
          <w:rFonts w:hint="cs"/>
          <w:rtl/>
        </w:rPr>
        <w:t xml:space="preserve">בפסק דין משנת 2013, </w:t>
      </w:r>
      <w:r w:rsidR="00E357B0">
        <w:rPr>
          <w:rFonts w:hint="cs"/>
          <w:rtl/>
        </w:rPr>
        <w:t>את קביעות הערכאות האזרחיות, בק</w:t>
      </w:r>
      <w:r>
        <w:rPr>
          <w:rFonts w:hint="cs"/>
          <w:rtl/>
        </w:rPr>
        <w:t xml:space="preserve">בעו כי המשפט הבינלאומי ההומניטרי אינו מבסס עילת תביעה אישית, כי אם מדינתית: </w:t>
      </w:r>
      <w:r w:rsidR="00466B5B">
        <w:rPr>
          <w:rFonts w:ascii="Century" w:hAnsi="Century"/>
          <w:sz w:val="22"/>
          <w:szCs w:val="22"/>
        </w:rPr>
        <w:t>"</w:t>
      </w:r>
      <w:r w:rsidRPr="00D11C51">
        <w:rPr>
          <w:rFonts w:ascii="Century" w:hAnsi="Century"/>
          <w:sz w:val="22"/>
          <w:szCs w:val="22"/>
        </w:rPr>
        <w:t>Article 3 of the Hague Convention (IV) and Article 91 of Additional Protocol I do not create direct individual rights to compensation in connection with breaches of international humanitarian law</w:t>
      </w:r>
      <w:r w:rsidRPr="00705BEB">
        <w:rPr>
          <w:sz w:val="22"/>
          <w:szCs w:val="22"/>
        </w:rPr>
        <w:t xml:space="preserve">" ([Germany </w:t>
      </w:r>
      <w:r w:rsidRPr="00382EC0">
        <w:rPr>
          <w:szCs w:val="24"/>
        </w:rPr>
        <w:t>Federal Constitutional Court [BVerfG] 35 citizens of the Former Federal Republic of Yugoslavia v. Germany</w:t>
      </w:r>
      <w:r w:rsidRPr="00705BEB">
        <w:rPr>
          <w:sz w:val="22"/>
          <w:szCs w:val="22"/>
        </w:rPr>
        <w:t>, 2 BvR 2660/06, 2 BvR 487/07 (13.8.2013)</w:t>
      </w:r>
      <w:r>
        <w:rPr>
          <w:rFonts w:hint="cs"/>
          <w:rtl/>
        </w:rPr>
        <w:t>;</w:t>
      </w:r>
      <w:r w:rsidRPr="006960BA">
        <w:rPr>
          <w:rFonts w:hint="cs"/>
          <w:rtl/>
        </w:rPr>
        <w:t xml:space="preserve"> </w:t>
      </w:r>
      <w:r>
        <w:rPr>
          <w:rFonts w:hint="cs"/>
          <w:rtl/>
        </w:rPr>
        <w:t>הציטוט לקוח מהתקציר באנגלית המופיע באתר הרשמי של בית המשפט החוקתי בגרמניה). קביעה זו אושררה גם בפרשת 'קונדוז' (</w:t>
      </w:r>
      <w:r w:rsidRPr="009D3654">
        <w:rPr>
          <w:szCs w:val="24"/>
        </w:rPr>
        <w:t>Kunduz incident case</w:t>
      </w:r>
      <w:r>
        <w:rPr>
          <w:rFonts w:hint="cs"/>
          <w:rtl/>
        </w:rPr>
        <w:t>). באותה פרשה, דוּב</w:t>
      </w:r>
      <w:r w:rsidR="00E357B0">
        <w:rPr>
          <w:rFonts w:hint="cs"/>
          <w:rtl/>
        </w:rPr>
        <w:t>ּ</w:t>
      </w:r>
      <w:r>
        <w:rPr>
          <w:rFonts w:hint="cs"/>
          <w:rtl/>
        </w:rPr>
        <w:t>ר בתקיפה אווירית קטלנית של כוחות נאט"ו, במחוז קונדוז באפגניסטן, אשר בוצעה בשנת 2009, ועליה פיקד קצין צבא גרמני. אזרחים אפגניים, קרוביהם של ההרוגים, הגישו תביעת פיצויים נגד גרמניה, וזו נדחתה על-ידי בית המשפט הפדראלי לצדק, לאחר שנקבע, בין היתר, כי לא קמה לתובעים עילת תביעה אישית, על-פי המשפט הבינלאומי ההומניטרי (</w:t>
      </w:r>
      <w:r w:rsidRPr="009D3654">
        <w:rPr>
          <w:szCs w:val="24"/>
        </w:rPr>
        <w:t>Germany Federal Court of Justice</w:t>
      </w:r>
      <w:r w:rsidRPr="00DA3233">
        <w:rPr>
          <w:sz w:val="22"/>
          <w:szCs w:val="22"/>
        </w:rPr>
        <w:t xml:space="preserve"> </w:t>
      </w:r>
      <w:r>
        <w:rPr>
          <w:sz w:val="22"/>
          <w:szCs w:val="22"/>
        </w:rPr>
        <w:t>[BGH]</w:t>
      </w:r>
      <w:r w:rsidRPr="00956DE9">
        <w:rPr>
          <w:sz w:val="22"/>
          <w:szCs w:val="22"/>
        </w:rPr>
        <w:t xml:space="preserve"> III ZR 140/15 (6.10.2016)</w:t>
      </w:r>
      <w:r>
        <w:rPr>
          <w:rFonts w:hint="cs"/>
          <w:rtl/>
        </w:rPr>
        <w:t>). גם כאן, בית המשפט החוקתי הפדראלי בגרמניה בחר שלא להתערב בפסיקה</w:t>
      </w:r>
      <w:r w:rsidR="00967B1F">
        <w:rPr>
          <w:rFonts w:hint="cs"/>
          <w:rtl/>
        </w:rPr>
        <w:t xml:space="preserve"> זו</w:t>
      </w:r>
      <w:r w:rsidRPr="009D3654">
        <w:rPr>
          <w:szCs w:val="24"/>
        </w:rPr>
        <w:t>Germany</w:t>
      </w:r>
      <w:r w:rsidRPr="00956DE9">
        <w:rPr>
          <w:sz w:val="22"/>
          <w:szCs w:val="22"/>
        </w:rPr>
        <w:t xml:space="preserve"> </w:t>
      </w:r>
      <w:r w:rsidRPr="009D3654">
        <w:rPr>
          <w:szCs w:val="24"/>
        </w:rPr>
        <w:t>Federa</w:t>
      </w:r>
      <w:r w:rsidR="009D3654" w:rsidRPr="009D3654">
        <w:rPr>
          <w:szCs w:val="24"/>
        </w:rPr>
        <w:t>l</w:t>
      </w:r>
      <w:r w:rsidR="009D3654" w:rsidRPr="009D3654">
        <w:rPr>
          <w:rFonts w:ascii="Century" w:hAnsi="Century"/>
          <w:szCs w:val="30"/>
        </w:rPr>
        <w:t>)</w:t>
      </w:r>
      <w:r w:rsidRPr="009D3654">
        <w:rPr>
          <w:szCs w:val="24"/>
        </w:rPr>
        <w:t xml:space="preserve"> Constitutional Court</w:t>
      </w:r>
      <w:r>
        <w:t xml:space="preserve"> </w:t>
      </w:r>
      <w:r w:rsidRPr="00705BEB">
        <w:t>[BVerfG]</w:t>
      </w:r>
      <w:r w:rsidRPr="00956DE9">
        <w:rPr>
          <w:sz w:val="22"/>
          <w:szCs w:val="22"/>
        </w:rPr>
        <w:t xml:space="preserve"> 2 BvR 477/17 (18.11.2020)</w:t>
      </w:r>
      <w:r>
        <w:rPr>
          <w:rFonts w:hint="cs"/>
          <w:rtl/>
        </w:rPr>
        <w:t xml:space="preserve">); להשלמת התמונה </w:t>
      </w:r>
      <w:r w:rsidR="00967B1F">
        <w:rPr>
          <w:rFonts w:hint="cs"/>
          <w:rtl/>
        </w:rPr>
        <w:t xml:space="preserve">אציין, </w:t>
      </w:r>
      <w:r>
        <w:rPr>
          <w:rFonts w:hint="cs"/>
          <w:rtl/>
        </w:rPr>
        <w:t>כי ביום 16.2.2021 קבע בית הדין האירופי לזכויות אדם, בהקשר זה, כי גרמניה לא הפרה את הוראות האמנה האירופית לזכויות אדם (</w:t>
      </w:r>
      <w:r w:rsidRPr="00956DE9">
        <w:rPr>
          <w:sz w:val="22"/>
          <w:szCs w:val="22"/>
        </w:rPr>
        <w:t>European Court of Human Rights, Grand Camber, Hanan v. Germany (application no. 4871/16 (16.2.2021)</w:t>
      </w:r>
      <w:r>
        <w:rPr>
          <w:rFonts w:hint="cs"/>
          <w:rtl/>
        </w:rPr>
        <w:t>). דומה, כי זוהי הפרשנות המקובלת גם באיטלי</w:t>
      </w:r>
      <w:r w:rsidR="002F424E">
        <w:rPr>
          <w:rFonts w:hint="cs"/>
          <w:rtl/>
        </w:rPr>
        <w:t>ה</w:t>
      </w:r>
      <w:r w:rsidRPr="0053033F">
        <w:rPr>
          <w:sz w:val="22"/>
          <w:szCs w:val="22"/>
        </w:rPr>
        <w:t>Corte di Cassazione [Italy]</w:t>
      </w:r>
      <w:r>
        <w:rPr>
          <w:sz w:val="22"/>
          <w:szCs w:val="22"/>
        </w:rPr>
        <w:t xml:space="preserve">, </w:t>
      </w:r>
      <w:r w:rsidRPr="0053033F">
        <w:rPr>
          <w:sz w:val="22"/>
          <w:szCs w:val="22"/>
        </w:rPr>
        <w:t xml:space="preserve">Consiglio Ministri </w:t>
      </w:r>
      <w:r w:rsidR="002F424E">
        <w:rPr>
          <w:sz w:val="22"/>
          <w:szCs w:val="22"/>
        </w:rPr>
        <w:t>v.</w:t>
      </w:r>
      <w:r w:rsidR="002F424E" w:rsidRPr="002F424E">
        <w:rPr>
          <w:rFonts w:ascii="Century" w:hAnsi="Century"/>
          <w:sz w:val="22"/>
        </w:rPr>
        <w:t>)</w:t>
      </w:r>
      <w:r w:rsidRPr="0053033F">
        <w:rPr>
          <w:sz w:val="22"/>
          <w:szCs w:val="22"/>
        </w:rPr>
        <w:t xml:space="preserve"> Markovic, </w:t>
      </w:r>
      <w:r w:rsidRPr="002F424E">
        <w:rPr>
          <w:sz w:val="20"/>
          <w:szCs w:val="20"/>
        </w:rPr>
        <w:t>RDI</w:t>
      </w:r>
      <w:r w:rsidRPr="0053033F">
        <w:rPr>
          <w:sz w:val="22"/>
          <w:szCs w:val="22"/>
        </w:rPr>
        <w:t xml:space="preserve"> 85 (2002), 799; European Court of Human Rights, Grand Camber, Markovi</w:t>
      </w:r>
      <w:r>
        <w:rPr>
          <w:rFonts w:ascii="Calibri" w:hAnsi="Calibri" w:cs="Calibri"/>
          <w:sz w:val="22"/>
          <w:szCs w:val="22"/>
        </w:rPr>
        <w:t>c</w:t>
      </w:r>
      <w:r w:rsidRPr="0053033F">
        <w:rPr>
          <w:sz w:val="22"/>
          <w:szCs w:val="22"/>
        </w:rPr>
        <w:t xml:space="preserve"> v. Italy (application no. 1398/03 (14.12.2006)</w:t>
      </w:r>
      <w:r w:rsidRPr="002F424E">
        <w:rPr>
          <w:rFonts w:ascii="Century" w:hAnsi="Century"/>
          <w:sz w:val="22"/>
        </w:rPr>
        <w:t>)</w:t>
      </w:r>
      <w:r w:rsidRPr="0053033F">
        <w:rPr>
          <w:rFonts w:hint="cs"/>
          <w:rtl/>
        </w:rPr>
        <w:t>; עוד ראו:</w:t>
      </w:r>
      <w:r w:rsidRPr="0053033F">
        <w:rPr>
          <w:sz w:val="22"/>
          <w:szCs w:val="22"/>
        </w:rPr>
        <w:t>Jean-Marie Henckaerts &amp; Louise Doswald-Beck, Customary International Humanitarian Law (Vol. I, 2005), p. 544-545</w:t>
      </w:r>
      <w:r w:rsidRPr="0053033F">
        <w:rPr>
          <w:rFonts w:hint="cs"/>
          <w:rtl/>
        </w:rPr>
        <w:t>)</w:t>
      </w:r>
      <w:r w:rsidR="002F424E">
        <w:rPr>
          <w:rFonts w:hint="cs"/>
          <w:rtl/>
        </w:rPr>
        <w:t>)</w:t>
      </w:r>
      <w:r w:rsidRPr="0053033F">
        <w:rPr>
          <w:rFonts w:hint="cs"/>
          <w:rtl/>
        </w:rPr>
        <w:t>.</w:t>
      </w:r>
      <w:r>
        <w:rPr>
          <w:rFonts w:hint="cs"/>
          <w:rtl/>
        </w:rPr>
        <w:t xml:space="preserve"> </w:t>
      </w:r>
    </w:p>
    <w:p w:rsidR="00D512D4" w:rsidRPr="00323619" w:rsidRDefault="00D512D4" w:rsidP="00653268">
      <w:pPr>
        <w:pStyle w:val="Ruller41"/>
        <w:spacing w:line="240" w:lineRule="auto"/>
        <w:rPr>
          <w:rtl/>
        </w:rPr>
      </w:pPr>
    </w:p>
    <w:p w:rsidR="00D512D4" w:rsidRPr="002017F6" w:rsidRDefault="00C65D6C" w:rsidP="00967B1F">
      <w:pPr>
        <w:pStyle w:val="Ruller4"/>
        <w:rPr>
          <w:sz w:val="22"/>
          <w:szCs w:val="22"/>
        </w:rPr>
      </w:pPr>
      <w:r>
        <w:rPr>
          <w:rFonts w:hint="cs"/>
          <w:rtl/>
        </w:rPr>
        <w:t xml:space="preserve">אכן, אין לכחד, מתקיים שיח ער </w:t>
      </w:r>
      <w:r w:rsidR="00D512D4">
        <w:rPr>
          <w:rFonts w:hint="cs"/>
          <w:rtl/>
        </w:rPr>
        <w:t>בסוגיה זו, בין מלומדי-משפט שונים, בפרט בשנים האחרונות, בשאלת קיומה של זכות אישית לדרוש פיצויי נזיקין בבתי המשפט המדינתיים, בגין הפרות דיני העימות המזוין; המדינה עמדה על כך במסגרת סיכומיה. ברם, נראה כי העמדה הדומיננטית בקרב מלומדי המשפט היא, שדיני העימות המזוין, החלים כיום, אינם מקימים עילת תביעה אישית לפרט; גם אלו המבקשים להצעיד את המשפט הבינלאומי אל עבר ביסוס עילת תביעה אישית לפרטים, מודים, כי הדבר מהווה שינוי מן הדין המצוי, כפי שהוא מיושם בערכאות המדינתיות השונות (ראו, למשל</w:t>
      </w:r>
      <w:r w:rsidR="00D512D4" w:rsidRPr="002017F6">
        <w:rPr>
          <w:szCs w:val="24"/>
          <w:rtl/>
        </w:rPr>
        <w:t>:</w:t>
      </w:r>
      <w:r w:rsidR="00D512D4" w:rsidRPr="002017F6">
        <w:rPr>
          <w:szCs w:val="24"/>
        </w:rPr>
        <w:t xml:space="preserve"> </w:t>
      </w:r>
      <w:r w:rsidR="00D512D4" w:rsidRPr="00423EB4">
        <w:rPr>
          <w:sz w:val="22"/>
          <w:szCs w:val="22"/>
        </w:rPr>
        <w:t>Marco Sassòli, "State responsibility for violations of international humanitarian law",</w:t>
      </w:r>
      <w:r w:rsidR="00D512D4">
        <w:rPr>
          <w:sz w:val="22"/>
          <w:szCs w:val="22"/>
        </w:rPr>
        <w:t xml:space="preserve"> </w:t>
      </w:r>
      <w:r w:rsidR="00D512D4" w:rsidRPr="002F424E">
        <w:rPr>
          <w:sz w:val="20"/>
          <w:szCs w:val="20"/>
        </w:rPr>
        <w:t>IRRC</w:t>
      </w:r>
      <w:r w:rsidR="00D512D4" w:rsidRPr="00423EB4">
        <w:rPr>
          <w:sz w:val="22"/>
          <w:szCs w:val="22"/>
        </w:rPr>
        <w:t xml:space="preserve"> </w:t>
      </w:r>
      <w:r w:rsidR="00D512D4">
        <w:rPr>
          <w:sz w:val="22"/>
          <w:szCs w:val="22"/>
        </w:rPr>
        <w:t xml:space="preserve">Vol. </w:t>
      </w:r>
      <w:r w:rsidR="00D512D4" w:rsidRPr="00423EB4">
        <w:rPr>
          <w:sz w:val="22"/>
          <w:szCs w:val="22"/>
        </w:rPr>
        <w:t>84</w:t>
      </w:r>
      <w:r w:rsidR="00D512D4">
        <w:rPr>
          <w:sz w:val="22"/>
          <w:szCs w:val="22"/>
        </w:rPr>
        <w:t>, No 846,</w:t>
      </w:r>
      <w:r w:rsidR="00D512D4" w:rsidRPr="00423EB4">
        <w:rPr>
          <w:sz w:val="22"/>
          <w:szCs w:val="22"/>
        </w:rPr>
        <w:t xml:space="preserve"> </w:t>
      </w:r>
      <w:r w:rsidR="00D512D4">
        <w:rPr>
          <w:sz w:val="22"/>
          <w:szCs w:val="22"/>
        </w:rPr>
        <w:t>p.</w:t>
      </w:r>
      <w:r w:rsidR="00D512D4" w:rsidRPr="00423EB4">
        <w:rPr>
          <w:sz w:val="22"/>
          <w:szCs w:val="22"/>
        </w:rPr>
        <w:t xml:space="preserve"> 401,</w:t>
      </w:r>
      <w:r w:rsidR="00D512D4">
        <w:rPr>
          <w:sz w:val="22"/>
          <w:szCs w:val="22"/>
        </w:rPr>
        <w:t xml:space="preserve"> </w:t>
      </w:r>
      <w:r w:rsidR="00D512D4" w:rsidRPr="00423EB4">
        <w:rPr>
          <w:sz w:val="22"/>
          <w:szCs w:val="22"/>
        </w:rPr>
        <w:t>418-419 (2002)</w:t>
      </w:r>
      <w:r w:rsidR="00D512D4">
        <w:rPr>
          <w:sz w:val="22"/>
          <w:szCs w:val="22"/>
        </w:rPr>
        <w:t xml:space="preserve">; </w:t>
      </w:r>
      <w:r w:rsidR="00D512D4" w:rsidRPr="00423EB4">
        <w:rPr>
          <w:sz w:val="22"/>
          <w:szCs w:val="22"/>
        </w:rPr>
        <w:t xml:space="preserve">Liesbeth Zegveld, </w:t>
      </w:r>
      <w:r w:rsidR="00D512D4">
        <w:rPr>
          <w:sz w:val="22"/>
          <w:szCs w:val="22"/>
        </w:rPr>
        <w:t>"</w:t>
      </w:r>
      <w:r w:rsidR="00D512D4" w:rsidRPr="00423EB4">
        <w:rPr>
          <w:sz w:val="22"/>
          <w:szCs w:val="22"/>
        </w:rPr>
        <w:t>Remedies for victims of violations of international humanitarian law",</w:t>
      </w:r>
      <w:r w:rsidR="00D512D4">
        <w:rPr>
          <w:sz w:val="22"/>
          <w:szCs w:val="22"/>
        </w:rPr>
        <w:t xml:space="preserve"> </w:t>
      </w:r>
      <w:r w:rsidR="00D512D4" w:rsidRPr="002F424E">
        <w:rPr>
          <w:sz w:val="20"/>
          <w:szCs w:val="20"/>
        </w:rPr>
        <w:t>IRRC</w:t>
      </w:r>
      <w:r w:rsidR="00D512D4">
        <w:rPr>
          <w:sz w:val="22"/>
          <w:szCs w:val="22"/>
        </w:rPr>
        <w:t xml:space="preserve"> vol. </w:t>
      </w:r>
      <w:r w:rsidR="00D512D4" w:rsidRPr="00423EB4">
        <w:rPr>
          <w:sz w:val="22"/>
          <w:szCs w:val="22"/>
        </w:rPr>
        <w:t>85</w:t>
      </w:r>
      <w:r w:rsidR="00D512D4">
        <w:rPr>
          <w:sz w:val="22"/>
          <w:szCs w:val="22"/>
        </w:rPr>
        <w:t xml:space="preserve"> p. No 851, p. </w:t>
      </w:r>
      <w:r w:rsidR="00D512D4" w:rsidRPr="00423EB4">
        <w:rPr>
          <w:sz w:val="22"/>
          <w:szCs w:val="22"/>
        </w:rPr>
        <w:t>497, 507 (200</w:t>
      </w:r>
      <w:r w:rsidR="00D512D4">
        <w:rPr>
          <w:sz w:val="22"/>
          <w:szCs w:val="22"/>
        </w:rPr>
        <w:t>3</w:t>
      </w:r>
      <w:r w:rsidR="00D512D4" w:rsidRPr="00423EB4">
        <w:rPr>
          <w:sz w:val="22"/>
          <w:szCs w:val="22"/>
        </w:rPr>
        <w:t>); Christian Tomuschat, "Darfur</w:t>
      </w:r>
      <w:r w:rsidR="00D512D4">
        <w:rPr>
          <w:sz w:val="22"/>
          <w:szCs w:val="22"/>
        </w:rPr>
        <w:t xml:space="preserve"> - </w:t>
      </w:r>
      <w:r w:rsidR="00D512D4" w:rsidRPr="00423EB4">
        <w:rPr>
          <w:sz w:val="22"/>
          <w:szCs w:val="22"/>
        </w:rPr>
        <w:t xml:space="preserve">Compensation for the Victims", 3 j </w:t>
      </w:r>
      <w:r w:rsidR="00D512D4">
        <w:rPr>
          <w:sz w:val="22"/>
          <w:szCs w:val="22"/>
        </w:rPr>
        <w:t>of</w:t>
      </w:r>
      <w:r w:rsidR="00D512D4" w:rsidRPr="00423EB4">
        <w:rPr>
          <w:sz w:val="22"/>
          <w:szCs w:val="22"/>
        </w:rPr>
        <w:t xml:space="preserve"> Int'l Crim. Justice,</w:t>
      </w:r>
      <w:r w:rsidR="00D512D4">
        <w:rPr>
          <w:sz w:val="22"/>
          <w:szCs w:val="22"/>
        </w:rPr>
        <w:t xml:space="preserve"> p.</w:t>
      </w:r>
      <w:r w:rsidR="00D512D4" w:rsidRPr="00423EB4">
        <w:rPr>
          <w:sz w:val="22"/>
          <w:szCs w:val="22"/>
        </w:rPr>
        <w:t xml:space="preserve"> 579, 582 (2005)</w:t>
      </w:r>
      <w:r w:rsidR="00D512D4">
        <w:rPr>
          <w:sz w:val="22"/>
          <w:szCs w:val="22"/>
        </w:rPr>
        <w:t>;</w:t>
      </w:r>
      <w:r w:rsidR="00D512D4" w:rsidRPr="00423EB4">
        <w:rPr>
          <w:sz w:val="22"/>
          <w:szCs w:val="22"/>
        </w:rPr>
        <w:t xml:space="preserve"> </w:t>
      </w:r>
      <w:r w:rsidR="00D512D4">
        <w:rPr>
          <w:sz w:val="22"/>
          <w:szCs w:val="22"/>
        </w:rPr>
        <w:t>E</w:t>
      </w:r>
      <w:r w:rsidR="00D512D4" w:rsidRPr="00423EB4">
        <w:rPr>
          <w:sz w:val="22"/>
          <w:szCs w:val="22"/>
        </w:rPr>
        <w:t xml:space="preserve">lke Schwager, </w:t>
      </w:r>
      <w:r w:rsidR="00D512D4">
        <w:rPr>
          <w:sz w:val="22"/>
          <w:szCs w:val="22"/>
        </w:rPr>
        <w:t>"</w:t>
      </w:r>
      <w:r w:rsidR="00D512D4" w:rsidRPr="00423EB4">
        <w:rPr>
          <w:sz w:val="22"/>
          <w:szCs w:val="22"/>
        </w:rPr>
        <w:t>The Right to Compensation for Victims of an Armed Conflict</w:t>
      </w:r>
      <w:r w:rsidR="00D512D4">
        <w:rPr>
          <w:sz w:val="22"/>
          <w:szCs w:val="22"/>
        </w:rPr>
        <w:t>"</w:t>
      </w:r>
      <w:r w:rsidR="00D512D4" w:rsidRPr="00423EB4">
        <w:rPr>
          <w:sz w:val="22"/>
          <w:szCs w:val="22"/>
        </w:rPr>
        <w:t>, Chinese Journal of International Law,</w:t>
      </w:r>
      <w:r w:rsidR="00D512D4">
        <w:rPr>
          <w:sz w:val="22"/>
          <w:szCs w:val="22"/>
        </w:rPr>
        <w:t xml:space="preserve"> 4(2), p.</w:t>
      </w:r>
      <w:r w:rsidR="00D512D4" w:rsidRPr="00423EB4">
        <w:rPr>
          <w:sz w:val="22"/>
          <w:szCs w:val="22"/>
        </w:rPr>
        <w:t xml:space="preserve"> 417, 424-422</w:t>
      </w:r>
      <w:r w:rsidR="00D512D4">
        <w:rPr>
          <w:sz w:val="22"/>
          <w:szCs w:val="22"/>
        </w:rPr>
        <w:t xml:space="preserve"> (2005);</w:t>
      </w:r>
      <w:r w:rsidR="00D512D4" w:rsidRPr="00423EB4">
        <w:rPr>
          <w:sz w:val="22"/>
          <w:szCs w:val="22"/>
        </w:rPr>
        <w:t xml:space="preserve"> Charles</w:t>
      </w:r>
      <w:r w:rsidR="00D512D4" w:rsidRPr="002017F6">
        <w:rPr>
          <w:sz w:val="22"/>
          <w:szCs w:val="22"/>
        </w:rPr>
        <w:t xml:space="preserve"> Garraway, "State Responsibility", in Routledge Handbook of the Law of Armed Conflict,</w:t>
      </w:r>
      <w:r w:rsidR="00D512D4">
        <w:rPr>
          <w:sz w:val="22"/>
          <w:szCs w:val="22"/>
        </w:rPr>
        <w:t xml:space="preserve"> p.</w:t>
      </w:r>
      <w:r w:rsidR="00D512D4" w:rsidRPr="002017F6">
        <w:rPr>
          <w:sz w:val="22"/>
          <w:szCs w:val="22"/>
        </w:rPr>
        <w:t xml:space="preserve"> 506,</w:t>
      </w:r>
      <w:r w:rsidR="00D512D4">
        <w:rPr>
          <w:sz w:val="22"/>
          <w:szCs w:val="22"/>
        </w:rPr>
        <w:t xml:space="preserve"> </w:t>
      </w:r>
      <w:r w:rsidR="00D512D4" w:rsidRPr="002017F6">
        <w:rPr>
          <w:sz w:val="22"/>
          <w:szCs w:val="22"/>
        </w:rPr>
        <w:t>519 (Rain Liivoja</w:t>
      </w:r>
      <w:r w:rsidR="00D512D4">
        <w:rPr>
          <w:sz w:val="22"/>
          <w:szCs w:val="22"/>
        </w:rPr>
        <w:t xml:space="preserve"> and</w:t>
      </w:r>
      <w:r w:rsidR="00D512D4" w:rsidRPr="002017F6">
        <w:rPr>
          <w:sz w:val="22"/>
          <w:szCs w:val="22"/>
        </w:rPr>
        <w:t xml:space="preserve"> Tim McCormack eds., 2016)</w:t>
      </w:r>
      <w:r w:rsidR="00D512D4" w:rsidRPr="0002160A">
        <w:rPr>
          <w:sz w:val="22"/>
          <w:szCs w:val="22"/>
        </w:rPr>
        <w:t>; R. Hofmann, "Compensation for Personal Damages Suffered During World War II", in:</w:t>
      </w:r>
      <w:r w:rsidR="00D512D4" w:rsidRPr="00AD5644">
        <w:rPr>
          <w:sz w:val="22"/>
          <w:szCs w:val="22"/>
        </w:rPr>
        <w:t xml:space="preserve"> </w:t>
      </w:r>
      <w:r w:rsidR="00D512D4" w:rsidRPr="0002160A">
        <w:rPr>
          <w:sz w:val="22"/>
          <w:szCs w:val="22"/>
        </w:rPr>
        <w:t>The Law of Armed Conflict and the Use of Force</w:t>
      </w:r>
      <w:r w:rsidR="00D512D4">
        <w:rPr>
          <w:sz w:val="22"/>
          <w:szCs w:val="22"/>
        </w:rPr>
        <w:t>:</w:t>
      </w:r>
      <w:r w:rsidR="00D512D4" w:rsidRPr="0002160A">
        <w:rPr>
          <w:sz w:val="22"/>
          <w:szCs w:val="22"/>
        </w:rPr>
        <w:t xml:space="preserve"> </w:t>
      </w:r>
      <w:r w:rsidR="00D512D4">
        <w:rPr>
          <w:sz w:val="22"/>
          <w:szCs w:val="22"/>
        </w:rPr>
        <w:t xml:space="preserve">The </w:t>
      </w:r>
      <w:r w:rsidR="00D512D4" w:rsidRPr="0002160A">
        <w:rPr>
          <w:sz w:val="22"/>
          <w:szCs w:val="22"/>
        </w:rPr>
        <w:t>Max Planck Encyclopedia of Public International Law</w:t>
      </w:r>
      <w:r w:rsidR="00D512D4">
        <w:rPr>
          <w:sz w:val="22"/>
          <w:szCs w:val="22"/>
        </w:rPr>
        <w:t>, p. 277-288</w:t>
      </w:r>
      <w:r w:rsidR="00D512D4" w:rsidRPr="0002160A">
        <w:rPr>
          <w:sz w:val="22"/>
          <w:szCs w:val="22"/>
        </w:rPr>
        <w:t xml:space="preserve"> (R. Wolfrum (ed.)</w:t>
      </w:r>
      <w:r w:rsidR="00D512D4">
        <w:rPr>
          <w:sz w:val="22"/>
          <w:szCs w:val="22"/>
        </w:rPr>
        <w:t xml:space="preserve">, </w:t>
      </w:r>
      <w:r w:rsidR="00D512D4" w:rsidRPr="0002160A">
        <w:rPr>
          <w:sz w:val="22"/>
          <w:szCs w:val="22"/>
        </w:rPr>
        <w:t>Oxford</w:t>
      </w:r>
      <w:r w:rsidR="00D512D4">
        <w:rPr>
          <w:sz w:val="22"/>
          <w:szCs w:val="22"/>
        </w:rPr>
        <w:t>,</w:t>
      </w:r>
      <w:r w:rsidR="00D512D4" w:rsidRPr="0002160A">
        <w:rPr>
          <w:sz w:val="22"/>
          <w:szCs w:val="22"/>
        </w:rPr>
        <w:t xml:space="preserve"> 2017); Leander Beinlich, "Access Granted, Access Barred? Exploring the Interplay of Human Rights and States' Domestic Liability Regimes in the Context of Individual Reparation Claims", in: Reparation for Victims of Armed Conflict: Impulses </w:t>
      </w:r>
      <w:proofErr w:type="gramStart"/>
      <w:r w:rsidR="00D512D4" w:rsidRPr="0002160A">
        <w:rPr>
          <w:sz w:val="22"/>
          <w:szCs w:val="22"/>
        </w:rPr>
        <w:t>From</w:t>
      </w:r>
      <w:proofErr w:type="gramEnd"/>
      <w:r w:rsidR="00D512D4" w:rsidRPr="0002160A">
        <w:rPr>
          <w:sz w:val="22"/>
          <w:szCs w:val="22"/>
        </w:rPr>
        <w:t xml:space="preserve"> the Max Planck Trialogues,</w:t>
      </w:r>
      <w:r w:rsidR="00D512D4">
        <w:rPr>
          <w:sz w:val="22"/>
          <w:szCs w:val="22"/>
        </w:rPr>
        <w:t xml:space="preserve"> p. 625-628</w:t>
      </w:r>
      <w:r w:rsidR="00D512D4" w:rsidRPr="0002160A">
        <w:rPr>
          <w:sz w:val="22"/>
          <w:szCs w:val="22"/>
        </w:rPr>
        <w:t xml:space="preserve"> </w:t>
      </w:r>
      <w:r w:rsidR="00D512D4">
        <w:rPr>
          <w:sz w:val="22"/>
          <w:szCs w:val="22"/>
        </w:rPr>
        <w:t>(</w:t>
      </w:r>
      <w:r w:rsidR="00D512D4" w:rsidRPr="0002160A">
        <w:rPr>
          <w:sz w:val="22"/>
          <w:szCs w:val="22"/>
        </w:rPr>
        <w:t>Christian Marxsen</w:t>
      </w:r>
      <w:r w:rsidR="00D512D4">
        <w:rPr>
          <w:sz w:val="22"/>
          <w:szCs w:val="22"/>
        </w:rPr>
        <w:t xml:space="preserve"> and</w:t>
      </w:r>
      <w:r w:rsidR="00D512D4" w:rsidRPr="0002160A">
        <w:rPr>
          <w:sz w:val="22"/>
          <w:szCs w:val="22"/>
        </w:rPr>
        <w:t xml:space="preserve"> Anne Peters (eds),</w:t>
      </w:r>
      <w:r w:rsidR="00D512D4">
        <w:rPr>
          <w:sz w:val="22"/>
          <w:szCs w:val="22"/>
        </w:rPr>
        <w:t xml:space="preserve"> </w:t>
      </w:r>
      <w:r w:rsidR="00D512D4" w:rsidRPr="0002160A">
        <w:rPr>
          <w:sz w:val="22"/>
          <w:szCs w:val="22"/>
        </w:rPr>
        <w:t>2018)</w:t>
      </w:r>
      <w:r w:rsidR="00D512D4">
        <w:rPr>
          <w:rFonts w:hint="cs"/>
          <w:sz w:val="28"/>
          <w:rtl/>
        </w:rPr>
        <w:t>).</w:t>
      </w:r>
      <w:r w:rsidR="00D512D4" w:rsidRPr="00B35188">
        <w:rPr>
          <w:rFonts w:hint="cs"/>
          <w:sz w:val="28"/>
          <w:rtl/>
        </w:rPr>
        <w:t xml:space="preserve"> לא מצאתי באסמכתאות שהביא המערער </w:t>
      </w:r>
      <w:r w:rsidR="00D512D4">
        <w:rPr>
          <w:rFonts w:hint="cs"/>
          <w:sz w:val="28"/>
          <w:rtl/>
        </w:rPr>
        <w:t xml:space="preserve">בהקשר זה, </w:t>
      </w:r>
      <w:r w:rsidR="00967B1F">
        <w:rPr>
          <w:rFonts w:hint="cs"/>
          <w:sz w:val="28"/>
          <w:rtl/>
        </w:rPr>
        <w:t xml:space="preserve">הצדקה לביסוס </w:t>
      </w:r>
      <w:r w:rsidR="00D512D4" w:rsidRPr="00B35188">
        <w:rPr>
          <w:rFonts w:hint="cs"/>
          <w:sz w:val="28"/>
          <w:rtl/>
        </w:rPr>
        <w:t>מסקנה אחרת.</w:t>
      </w:r>
      <w:r w:rsidR="00D512D4">
        <w:rPr>
          <w:rFonts w:hint="cs"/>
          <w:sz w:val="22"/>
          <w:szCs w:val="22"/>
          <w:rtl/>
        </w:rPr>
        <w:t xml:space="preserve"> </w:t>
      </w:r>
    </w:p>
    <w:p w:rsidR="00D512D4" w:rsidRPr="00956DE9" w:rsidRDefault="00D512D4" w:rsidP="00653268">
      <w:pPr>
        <w:pStyle w:val="Ruller4"/>
        <w:numPr>
          <w:ilvl w:val="0"/>
          <w:numId w:val="0"/>
        </w:numPr>
        <w:spacing w:line="240" w:lineRule="auto"/>
      </w:pPr>
    </w:p>
    <w:p w:rsidR="00D512D4" w:rsidRDefault="00D512D4" w:rsidP="00811B3D">
      <w:pPr>
        <w:pStyle w:val="Ruller4"/>
      </w:pPr>
      <w:r>
        <w:rPr>
          <w:rFonts w:hint="cs"/>
          <w:rtl/>
        </w:rPr>
        <w:lastRenderedPageBreak/>
        <w:t xml:space="preserve">המערער מפנה לפסק הדין האנגלי </w:t>
      </w:r>
      <w:r>
        <w:rPr>
          <w:rtl/>
        </w:rPr>
        <w:t>–</w:t>
      </w:r>
      <w:r>
        <w:rPr>
          <w:rFonts w:hint="cs"/>
          <w:rtl/>
        </w:rPr>
        <w:t xml:space="preserve"> </w:t>
      </w:r>
      <w:r w:rsidRPr="00B35188">
        <w:t xml:space="preserve">Bici v. Ministry of Defence, </w:t>
      </w:r>
      <w:r w:rsidRPr="00C65D6C">
        <w:rPr>
          <w:sz w:val="22"/>
          <w:szCs w:val="26"/>
        </w:rPr>
        <w:t>EWHC</w:t>
      </w:r>
      <w:r w:rsidRPr="00B35188">
        <w:t xml:space="preserve"> 786</w:t>
      </w:r>
      <w:r>
        <w:t xml:space="preserve"> [2004]</w:t>
      </w:r>
      <w:r>
        <w:rPr>
          <w:rFonts w:hint="cs"/>
          <w:rtl/>
        </w:rPr>
        <w:t xml:space="preserve"> </w:t>
      </w:r>
      <w:r>
        <w:rPr>
          <w:rtl/>
        </w:rPr>
        <w:t>–</w:t>
      </w:r>
      <w:r>
        <w:rPr>
          <w:rFonts w:hint="cs"/>
          <w:rtl/>
        </w:rPr>
        <w:t xml:space="preserve"> שבו התקבלה, בערכאה מדינתית באנגליה, תביעה נזיקית של אזרחים אלבנים, תושבי קוסובו, שנפגעו מירי חיילים בריטים ששהו במקום, במסגרת כוח נאט"ו שהוצב שם. באותו עניין, נדחתה טענת ממשלת אנגליה, לקיומה של חסינות, בהיות האירוע 'פעולה מלחמתית'. דומני, על רקע הסקירה שלעיל, וכפי שציין גם בית המשפט </w:t>
      </w:r>
      <w:r w:rsidR="00C65D6C">
        <w:rPr>
          <w:rFonts w:hint="cs"/>
          <w:rtl/>
        </w:rPr>
        <w:t xml:space="preserve">המחוזי, כי פסק דין זה אכן עומד </w:t>
      </w:r>
      <w:r>
        <w:rPr>
          <w:rFonts w:hint="cs"/>
          <w:rtl/>
        </w:rPr>
        <w:t>ב</w:t>
      </w:r>
      <w:r w:rsidR="00C65D6C">
        <w:rPr>
          <w:rFonts w:hint="cs"/>
          <w:rtl/>
        </w:rPr>
        <w:t>'</w:t>
      </w:r>
      <w:r>
        <w:rPr>
          <w:rFonts w:hint="cs"/>
          <w:rtl/>
        </w:rPr>
        <w:t xml:space="preserve">בדידות מזהרת'; כי אין בו כדי ללמד על הכלל. בנוסף, בעניין </w:t>
      </w:r>
      <w:r>
        <w:t>Bici</w:t>
      </w:r>
      <w:r>
        <w:rPr>
          <w:rFonts w:hint="cs"/>
          <w:rtl/>
        </w:rPr>
        <w:t>, האירוע הנזיקי התרחש בשטח שבו עיקר פעילותו של הכוח הצבאי הייתה פעילות 'שיטורית', ובית המשפט אף דימה את האירוע ל'הפרת סדר ברחוב' (</w:t>
      </w:r>
      <w:r w:rsidRPr="00F672D5">
        <w:rPr>
          <w:rFonts w:ascii="Miriam" w:hAnsi="Miriam" w:cs="Miriam"/>
          <w:szCs w:val="24"/>
          <w:rtl/>
        </w:rPr>
        <w:t>שם</w:t>
      </w:r>
      <w:r>
        <w:rPr>
          <w:rFonts w:hint="cs"/>
          <w:rtl/>
        </w:rPr>
        <w:t xml:space="preserve">, פסקה 102); גם מטעם זה </w:t>
      </w:r>
      <w:r>
        <w:rPr>
          <w:rtl/>
        </w:rPr>
        <w:t>–</w:t>
      </w:r>
      <w:r>
        <w:rPr>
          <w:rFonts w:hint="cs"/>
          <w:rtl/>
        </w:rPr>
        <w:t xml:space="preserve"> אין הנדון דומה לראיה (אמנם, מקרה זה דומה במידת-מה לאשר נדון בעניין </w:t>
      </w:r>
      <w:r w:rsidRPr="00F52540">
        <w:rPr>
          <w:rFonts w:ascii="Century" w:hAnsi="Century" w:cs="Miriam" w:hint="eastAsia"/>
          <w:b/>
          <w:spacing w:val="0"/>
          <w:sz w:val="22"/>
          <w:szCs w:val="24"/>
          <w:rtl/>
        </w:rPr>
        <w:t>עדאלה</w:t>
      </w:r>
      <w:r>
        <w:rPr>
          <w:rFonts w:hint="cs"/>
          <w:rtl/>
        </w:rPr>
        <w:t xml:space="preserve">, אך כפי שאפרט להלן, נסיבות עניין </w:t>
      </w:r>
      <w:r w:rsidRPr="00D11C51">
        <w:rPr>
          <w:rFonts w:ascii="Century" w:hAnsi="Century" w:cs="Miriam" w:hint="eastAsia"/>
          <w:b/>
          <w:spacing w:val="0"/>
          <w:sz w:val="22"/>
          <w:szCs w:val="24"/>
          <w:rtl/>
        </w:rPr>
        <w:t>עדאלה</w:t>
      </w:r>
      <w:r>
        <w:rPr>
          <w:rFonts w:hint="cs"/>
          <w:rtl/>
        </w:rPr>
        <w:t xml:space="preserve">, אינן דומות לנסיבות העניין דנן). זאת ועוד, כלל לא ברור כי ניתן לחלץ מסקנה ברורה מפסק הדין בעניין </w:t>
      </w:r>
      <w:r>
        <w:t>Bici</w:t>
      </w:r>
      <w:r>
        <w:rPr>
          <w:rFonts w:hint="cs"/>
          <w:rtl/>
        </w:rPr>
        <w:t xml:space="preserve">, לגבי גישת המשפט האנגלי באשר לחסינות המדינה מפני תביעות נזיקין בגין פעולות מלחמתיות. קריאה בוחנת של פסק הדין שם מעלה, </w:t>
      </w:r>
      <w:r w:rsidR="00C65D6C">
        <w:rPr>
          <w:rFonts w:hint="cs"/>
          <w:rtl/>
        </w:rPr>
        <w:t>כי באותו עניין, לא בחן בית המשפט</w:t>
      </w:r>
      <w:r>
        <w:rPr>
          <w:rFonts w:hint="cs"/>
          <w:rtl/>
        </w:rPr>
        <w:t xml:space="preserve"> את הדוקטרינה המוכרת מן המשפט האנגלי, בדבר 'מעשה מדינה' </w:t>
      </w:r>
      <w:r w:rsidR="00466B5B">
        <w:t>(</w:t>
      </w:r>
      <w:r w:rsidRPr="00154174">
        <w:rPr>
          <w:rFonts w:cs="Arial TUR"/>
          <w:color w:val="000000"/>
          <w:sz w:val="22"/>
          <w:szCs w:val="22"/>
        </w:rPr>
        <w:t>Ac</w:t>
      </w:r>
      <w:r w:rsidR="002F424E" w:rsidRPr="00154174">
        <w:rPr>
          <w:rFonts w:cs="Arial TUR"/>
          <w:color w:val="000000"/>
          <w:sz w:val="22"/>
          <w:szCs w:val="22"/>
        </w:rPr>
        <w:t>t</w:t>
      </w:r>
      <w:r w:rsidRPr="00154174">
        <w:rPr>
          <w:rFonts w:cs="Arial TUR"/>
          <w:color w:val="000000"/>
          <w:sz w:val="22"/>
          <w:szCs w:val="22"/>
        </w:rPr>
        <w:t xml:space="preserve"> of State</w:t>
      </w:r>
      <w:r w:rsidR="00466B5B" w:rsidRPr="00543584">
        <w:rPr>
          <w:sz w:val="22"/>
        </w:rPr>
        <w:t>)</w:t>
      </w:r>
      <w:r w:rsidRPr="00543584">
        <w:rPr>
          <w:rtl/>
        </w:rPr>
        <w:t xml:space="preserve"> </w:t>
      </w:r>
      <w:r>
        <w:rPr>
          <w:rtl/>
        </w:rPr>
        <w:t>–</w:t>
      </w:r>
      <w:r>
        <w:rPr>
          <w:rFonts w:hint="cs"/>
          <w:rtl/>
        </w:rPr>
        <w:t xml:space="preserve"> דוקטרינה המעניקה חסינות רחבת-היקף, בכל הנוגע לפעולותיה של ממשלת אנגליה, מחוץ לגבולותיה </w:t>
      </w:r>
      <w:r>
        <w:rPr>
          <w:rtl/>
        </w:rPr>
        <w:t>–</w:t>
      </w:r>
      <w:r>
        <w:rPr>
          <w:rFonts w:hint="cs"/>
          <w:rtl/>
        </w:rPr>
        <w:t xml:space="preserve"> והיא למעשה כלל לא נדונה, משום שממשלת בריטניה ויתרה על העלאתה (</w:t>
      </w:r>
      <w:r w:rsidRPr="00DD7178">
        <w:rPr>
          <w:rFonts w:ascii="Century" w:hAnsi="Century" w:cs="Miriam" w:hint="cs"/>
          <w:b/>
          <w:spacing w:val="0"/>
          <w:sz w:val="22"/>
          <w:szCs w:val="24"/>
          <w:rtl/>
        </w:rPr>
        <w:t>שם</w:t>
      </w:r>
      <w:r>
        <w:rPr>
          <w:rFonts w:hint="cs"/>
          <w:rtl/>
        </w:rPr>
        <w:t xml:space="preserve">, פסקאות 89-88) (לעניין קליטת דוקטרינה זו במשפט הישראלי, ראו: פסקאות 7-6 לפסק-דינו של השופט (כתוארו אז) </w:t>
      </w:r>
      <w:r w:rsidRPr="00DD7178">
        <w:rPr>
          <w:rFonts w:ascii="Century" w:hAnsi="Century" w:cs="Miriam" w:hint="cs"/>
          <w:b/>
          <w:spacing w:val="0"/>
          <w:sz w:val="22"/>
          <w:szCs w:val="24"/>
          <w:rtl/>
        </w:rPr>
        <w:t>גרוניס</w:t>
      </w:r>
      <w:r>
        <w:rPr>
          <w:rFonts w:hint="cs"/>
          <w:rtl/>
        </w:rPr>
        <w:t>,</w:t>
      </w:r>
      <w:r w:rsidRPr="00DD7178">
        <w:rPr>
          <w:rFonts w:hint="cs"/>
          <w:rtl/>
        </w:rPr>
        <w:t xml:space="preserve"> </w:t>
      </w:r>
      <w:r>
        <w:rPr>
          <w:rFonts w:hint="cs"/>
          <w:rtl/>
        </w:rPr>
        <w:t xml:space="preserve">בעניין </w:t>
      </w:r>
      <w:r w:rsidRPr="00DD7178">
        <w:rPr>
          <w:rFonts w:ascii="Century" w:hAnsi="Century" w:cs="Miriam" w:hint="cs"/>
          <w:b/>
          <w:spacing w:val="0"/>
          <w:sz w:val="22"/>
          <w:szCs w:val="24"/>
          <w:rtl/>
        </w:rPr>
        <w:t>עדאלה</w:t>
      </w:r>
      <w:r>
        <w:rPr>
          <w:rFonts w:hint="cs"/>
          <w:rtl/>
        </w:rPr>
        <w:t xml:space="preserve">; עניין </w:t>
      </w:r>
      <w:r w:rsidRPr="00DD7178">
        <w:rPr>
          <w:rFonts w:ascii="Century" w:hAnsi="Century" w:cs="Miriam" w:hint="cs"/>
          <w:b/>
          <w:spacing w:val="0"/>
          <w:sz w:val="22"/>
          <w:szCs w:val="24"/>
          <w:rtl/>
        </w:rPr>
        <w:t>בני עודה</w:t>
      </w:r>
      <w:r>
        <w:rPr>
          <w:rFonts w:hint="cs"/>
          <w:rtl/>
        </w:rPr>
        <w:t xml:space="preserve">, פסקה 9; בג"ץ 1730/96 </w:t>
      </w:r>
      <w:r w:rsidRPr="00DD7178">
        <w:rPr>
          <w:rFonts w:ascii="Century" w:hAnsi="Century" w:cs="Miriam" w:hint="cs"/>
          <w:b/>
          <w:spacing w:val="0"/>
          <w:sz w:val="22"/>
          <w:szCs w:val="24"/>
          <w:rtl/>
        </w:rPr>
        <w:t>סביח נ' מפקד כוחות צה"ל באזור יהודה ושומרון</w:t>
      </w:r>
      <w:r w:rsidR="00C65D6C">
        <w:rPr>
          <w:rFonts w:hint="cs"/>
          <w:rtl/>
        </w:rPr>
        <w:t>, פ"ד נ(1) 353, 368 (1996)); אצי</w:t>
      </w:r>
      <w:r>
        <w:rPr>
          <w:rFonts w:hint="cs"/>
          <w:rtl/>
        </w:rPr>
        <w:t xml:space="preserve">ין עוד, כי דוקטרינה זו, דומה במהותה לחסינות שהוכרה במשפט האמריקאי, על-פי סעיף </w:t>
      </w:r>
      <w:r w:rsidRPr="00DD7178">
        <w:rPr>
          <w:color w:val="000000"/>
          <w:sz w:val="22"/>
          <w:szCs w:val="22"/>
        </w:rPr>
        <w:t>28 U.S. Code § 2680(k)</w:t>
      </w:r>
      <w:r>
        <w:rPr>
          <w:rFonts w:hint="cs"/>
          <w:rtl/>
        </w:rPr>
        <w:t xml:space="preserve">, שהוזכר לעיל. </w:t>
      </w:r>
    </w:p>
    <w:p w:rsidR="00D512D4" w:rsidRPr="00B666B6" w:rsidRDefault="00D512D4" w:rsidP="00944FC1">
      <w:pPr>
        <w:pStyle w:val="Ruller41"/>
        <w:spacing w:line="240" w:lineRule="auto"/>
      </w:pPr>
    </w:p>
    <w:p w:rsidR="00D512D4" w:rsidRPr="00244BC6" w:rsidRDefault="00D512D4" w:rsidP="00811B3D">
      <w:pPr>
        <w:pStyle w:val="Ruller4"/>
        <w:rPr>
          <w:rtl/>
        </w:rPr>
      </w:pPr>
      <w:r>
        <w:rPr>
          <w:rFonts w:hint="cs"/>
          <w:rtl/>
        </w:rPr>
        <w:t>כאן המקום לצ</w:t>
      </w:r>
      <w:r w:rsidRPr="00244BC6">
        <w:rPr>
          <w:rFonts w:hint="cs"/>
          <w:rtl/>
        </w:rPr>
        <w:t>יין, כי לא מצאתי ממש בטענת המערער, שלפיה עמדת המשיבות נוגדת את המִזְכָּר של היועץ המשפטי לממשלה, בנוגע לסמכותו של בית הדין הפלילי בהא</w:t>
      </w:r>
      <w:r w:rsidR="001470CF">
        <w:rPr>
          <w:rFonts w:hint="cs"/>
          <w:rtl/>
        </w:rPr>
        <w:t>ג</w:t>
      </w:r>
      <w:r w:rsidR="00466B5B">
        <w:rPr>
          <w:rFonts w:hint="cs"/>
          <w:rtl/>
        </w:rPr>
        <w:t xml:space="preserve"> (</w:t>
      </w:r>
      <w:r w:rsidRPr="00244BC6">
        <w:t xml:space="preserve">The Attorney General, "The International Criminal Court’s Lack </w:t>
      </w:r>
      <w:r w:rsidR="001470CF">
        <w:t>of</w:t>
      </w:r>
      <w:r w:rsidRPr="00244BC6">
        <w:t xml:space="preserve"> Jurisdiction Over the So called </w:t>
      </w:r>
      <w:r w:rsidRPr="00244BC6">
        <w:lastRenderedPageBreak/>
        <w:t>“Situation in Palestine” (20.12.2019)</w:t>
      </w:r>
      <w:r w:rsidRPr="00244BC6">
        <w:rPr>
          <w:rFonts w:hint="cs"/>
          <w:rtl/>
        </w:rPr>
        <w:t>). מזכר זה עוסק, בעיקרו של דבר, בשאלת קיומה של מדינה פלסטינית כבסיס להקניית סמכות שיפוט לבית הדין הפלילי בהאג. אמנם, במזכר נכתב כי מערכת המשפט הישראלית אינה נעולה וסגורה בפני טענות 'פלסטיניות' ביחס למילוי החובות הבינלאומיות של ישראל, אך כפי ש</w:t>
      </w:r>
      <w:r w:rsidR="00C65D6C">
        <w:rPr>
          <w:rFonts w:hint="cs"/>
          <w:rtl/>
        </w:rPr>
        <w:t>א</w:t>
      </w:r>
      <w:r>
        <w:rPr>
          <w:rFonts w:hint="cs"/>
          <w:rtl/>
        </w:rPr>
        <w:t>ציין להלן</w:t>
      </w:r>
      <w:r w:rsidRPr="00244BC6">
        <w:rPr>
          <w:rFonts w:hint="cs"/>
          <w:rtl/>
        </w:rPr>
        <w:t xml:space="preserve">, ישנם אפיקים מסוימים הפתוחים לפני </w:t>
      </w:r>
      <w:r>
        <w:rPr>
          <w:rFonts w:hint="cs"/>
          <w:rtl/>
        </w:rPr>
        <w:t xml:space="preserve">תושבי </w:t>
      </w:r>
      <w:r w:rsidRPr="00244BC6">
        <w:rPr>
          <w:rFonts w:hint="cs"/>
          <w:rtl/>
        </w:rPr>
        <w:t xml:space="preserve">חבל עזה, בהם גם אפיקים משפטיים. כך או אחרת, לא נקבע במסמך זה דבר וחצי דבר באשר לזכותם של תושבי עזה לתבוע את מדינת ישראל בנזיקין. </w:t>
      </w:r>
    </w:p>
    <w:p w:rsidR="00D512D4" w:rsidRDefault="00D512D4" w:rsidP="00653268">
      <w:pPr>
        <w:pStyle w:val="Ruller4"/>
        <w:numPr>
          <w:ilvl w:val="0"/>
          <w:numId w:val="0"/>
        </w:numPr>
        <w:spacing w:line="240" w:lineRule="auto"/>
      </w:pPr>
      <w:r>
        <w:rPr>
          <w:rFonts w:hint="cs"/>
          <w:rtl/>
        </w:rPr>
        <w:t xml:space="preserve"> </w:t>
      </w:r>
    </w:p>
    <w:p w:rsidR="00D512D4" w:rsidRPr="00A4759E" w:rsidRDefault="00D512D4" w:rsidP="00811B3D">
      <w:pPr>
        <w:pStyle w:val="Ruller4"/>
        <w:rPr>
          <w:rFonts w:ascii="Century" w:hAnsi="Century"/>
          <w:sz w:val="22"/>
          <w:rtl/>
        </w:rPr>
      </w:pPr>
      <w:r w:rsidRPr="00A4759E">
        <w:rPr>
          <w:rFonts w:hint="cs"/>
          <w:rtl/>
        </w:rPr>
        <w:t>צא ולמד, כי לבד מ</w:t>
      </w:r>
      <w:r w:rsidR="00C65D6C">
        <w:rPr>
          <w:rFonts w:hint="cs"/>
          <w:rtl/>
        </w:rPr>
        <w:t xml:space="preserve">ן </w:t>
      </w:r>
      <w:r w:rsidRPr="00A4759E">
        <w:rPr>
          <w:rFonts w:hint="cs"/>
          <w:rtl/>
        </w:rPr>
        <w:t xml:space="preserve">העובדה שאין בכוחו של המשפט הבינלאומי לגבור על הוראת חוק מפורשת, הרי שגם במשפט הבינלאומי, אין בנמצא כלל הסותר את ההסדר שבסעיף 5ב(א)(1) לחוק. </w:t>
      </w:r>
      <w:r w:rsidRPr="00A4759E">
        <w:rPr>
          <w:rFonts w:ascii="Century" w:hAnsi="Century" w:hint="cs"/>
          <w:sz w:val="22"/>
          <w:rtl/>
        </w:rPr>
        <w:t xml:space="preserve">ואולם, המערער אינו מסתפק בהשלכת יהבו על זכויות מכוח המשפט הבינלאומי. לדידו, סעיף 5ב(א)(1) לחוק, פוגע גם בזכויותיו </w:t>
      </w:r>
      <w:r w:rsidRPr="00A4759E">
        <w:rPr>
          <w:rFonts w:ascii="Century" w:hAnsi="Century" w:cs="Miriam" w:hint="cs"/>
          <w:b/>
          <w:spacing w:val="0"/>
          <w:sz w:val="22"/>
          <w:szCs w:val="24"/>
          <w:rtl/>
        </w:rPr>
        <w:t>החוקתיות</w:t>
      </w:r>
      <w:r w:rsidRPr="00A4759E">
        <w:rPr>
          <w:rFonts w:ascii="Century" w:hAnsi="Century" w:hint="cs"/>
          <w:sz w:val="22"/>
          <w:rtl/>
        </w:rPr>
        <w:t>, המעוגנות בחוק היסוד. האמנם כן? כפי שאראה להלן, סבורני כי התשובה לשאלה זו אינה פשוטה כלל ועיקר, אך קודם לכן, אציין בקצרה את מה שבעינ</w:t>
      </w:r>
      <w:r w:rsidR="00811B3D">
        <w:rPr>
          <w:rFonts w:ascii="Century" w:hAnsi="Century" w:hint="cs"/>
          <w:sz w:val="22"/>
          <w:rtl/>
        </w:rPr>
        <w:t>ַ</w:t>
      </w:r>
      <w:r w:rsidRPr="00A4759E">
        <w:rPr>
          <w:rFonts w:ascii="Century" w:hAnsi="Century" w:hint="cs"/>
          <w:sz w:val="22"/>
          <w:rtl/>
        </w:rPr>
        <w:t>י הוא מובן מאליו: סעיף 5ב(א)(1) לחוק, שמכוחו נשללת הזכות להגיש תביעת נזיקין נגד המדינה, אכן מביא לפגיעה בזכויות אדם.</w:t>
      </w:r>
    </w:p>
    <w:p w:rsidR="00D512D4" w:rsidRDefault="00D512D4" w:rsidP="00D512D4">
      <w:pPr>
        <w:pStyle w:val="Ruller41"/>
        <w:rPr>
          <w:rtl/>
        </w:rPr>
      </w:pPr>
    </w:p>
    <w:p w:rsidR="00D512D4" w:rsidRDefault="00D512D4" w:rsidP="00C04DC8">
      <w:pPr>
        <w:pStyle w:val="4"/>
        <w:rPr>
          <w:rtl/>
        </w:rPr>
      </w:pPr>
      <w:bookmarkStart w:id="38" w:name="_Toc107851298"/>
      <w:bookmarkStart w:id="39" w:name="_Toc107851353"/>
      <w:r>
        <w:rPr>
          <w:rFonts w:hint="cs"/>
          <w:rtl/>
        </w:rPr>
        <w:t>ד.3.1.3.</w:t>
      </w:r>
      <w:r w:rsidRPr="00975189">
        <w:rPr>
          <w:rFonts w:hint="cs"/>
          <w:rtl/>
        </w:rPr>
        <w:t xml:space="preserve"> </w:t>
      </w:r>
      <w:r>
        <w:rPr>
          <w:rFonts w:hint="cs"/>
          <w:rtl/>
        </w:rPr>
        <w:t>הזכויות הנפגעות</w:t>
      </w:r>
      <w:bookmarkEnd w:id="38"/>
      <w:bookmarkEnd w:id="39"/>
    </w:p>
    <w:p w:rsidR="00D512D4" w:rsidRDefault="00D512D4" w:rsidP="00154174">
      <w:pPr>
        <w:pStyle w:val="Ruller4"/>
        <w:rPr>
          <w:rtl/>
        </w:rPr>
      </w:pPr>
      <w:r>
        <w:rPr>
          <w:rFonts w:hint="cs"/>
          <w:rtl/>
        </w:rPr>
        <w:t xml:space="preserve">תמים-דעים אני עם קביעתו של בית המשפט המחוזי, כי שלילת זכותו של המערער להגיש תביעת נזיקין, אכן פוגעת, באופן עקרוני, בכמה מזכויותיו. דיני הנזיקין </w:t>
      </w:r>
      <w:r w:rsidRPr="003E5F36">
        <w:rPr>
          <w:rFonts w:hint="eastAsia"/>
          <w:rtl/>
        </w:rPr>
        <w:t>הֵגֵנּוּ</w:t>
      </w:r>
      <w:r w:rsidRPr="003E5F36">
        <w:rPr>
          <w:rFonts w:hint="cs"/>
          <w:rtl/>
        </w:rPr>
        <w:t xml:space="preserve"> </w:t>
      </w:r>
      <w:r>
        <w:rPr>
          <w:rFonts w:hint="cs"/>
          <w:rtl/>
        </w:rPr>
        <w:t xml:space="preserve">מאז ומעולם, ועודם </w:t>
      </w:r>
      <w:r w:rsidRPr="003E5F36">
        <w:rPr>
          <w:rFonts w:hint="eastAsia"/>
          <w:rtl/>
        </w:rPr>
        <w:t>מְגִנִּים</w:t>
      </w:r>
      <w:r w:rsidRPr="003E5F36">
        <w:rPr>
          <w:rFonts w:hint="cs"/>
          <w:rtl/>
        </w:rPr>
        <w:t xml:space="preserve"> </w:t>
      </w:r>
      <w:r>
        <w:rPr>
          <w:rFonts w:hint="cs"/>
          <w:rtl/>
        </w:rPr>
        <w:t xml:space="preserve">בפועל, על זכויות אדם (דפנה ברק-ארז וישראל גלעד, "זכויות אדם בדיני החוזים ובדיני הנזיקין: המהפכה השקטה", </w:t>
      </w:r>
      <w:r w:rsidRPr="00272FFB">
        <w:rPr>
          <w:rFonts w:ascii="Century" w:hAnsi="Century" w:cs="Miriam" w:hint="cs"/>
          <w:b/>
          <w:spacing w:val="0"/>
          <w:sz w:val="22"/>
          <w:szCs w:val="24"/>
          <w:rtl/>
        </w:rPr>
        <w:t>קרית המשפט</w:t>
      </w:r>
      <w:r w:rsidRPr="003B795B">
        <w:rPr>
          <w:rFonts w:ascii="Century" w:hAnsi="Century"/>
          <w:sz w:val="22"/>
          <w:rtl/>
        </w:rPr>
        <w:t xml:space="preserve"> </w:t>
      </w:r>
      <w:r w:rsidRPr="003B795B">
        <w:rPr>
          <w:rFonts w:ascii="Century" w:hAnsi="Century" w:hint="eastAsia"/>
          <w:sz w:val="22"/>
          <w:rtl/>
        </w:rPr>
        <w:t>ח</w:t>
      </w:r>
      <w:r w:rsidRPr="003B795B">
        <w:rPr>
          <w:rFonts w:ascii="Century" w:hAnsi="Century"/>
          <w:sz w:val="22"/>
          <w:rtl/>
        </w:rPr>
        <w:t>,</w:t>
      </w:r>
      <w:r w:rsidRPr="00D8095C">
        <w:rPr>
          <w:rtl/>
        </w:rPr>
        <w:t xml:space="preserve"> </w:t>
      </w:r>
      <w:r>
        <w:rPr>
          <w:rFonts w:hint="cs"/>
          <w:rtl/>
        </w:rPr>
        <w:t xml:space="preserve">11 (תשס"ט) (להלן: </w:t>
      </w:r>
      <w:r w:rsidRPr="00963274">
        <w:rPr>
          <w:rFonts w:ascii="Century" w:hAnsi="Century" w:cs="Miriam" w:hint="cs"/>
          <w:b/>
          <w:spacing w:val="0"/>
          <w:sz w:val="22"/>
          <w:szCs w:val="24"/>
          <w:rtl/>
        </w:rPr>
        <w:t>ברק-ארז וגלעד</w:t>
      </w:r>
      <w:r>
        <w:rPr>
          <w:rFonts w:hint="cs"/>
          <w:rtl/>
        </w:rPr>
        <w:t xml:space="preserve">)). כך, חלק מהעוולות הפרטיקולריות </w:t>
      </w:r>
      <w:r w:rsidRPr="003E5F36">
        <w:rPr>
          <w:rFonts w:hint="eastAsia"/>
          <w:rtl/>
        </w:rPr>
        <w:t>מְגִנּוֹת</w:t>
      </w:r>
      <w:r w:rsidRPr="003E5F36">
        <w:rPr>
          <w:rFonts w:hint="cs"/>
          <w:rtl/>
        </w:rPr>
        <w:t xml:space="preserve"> </w:t>
      </w:r>
      <w:r>
        <w:rPr>
          <w:rFonts w:hint="cs"/>
          <w:rtl/>
        </w:rPr>
        <w:t xml:space="preserve">על הזכות לשלמות הגוף ולחירות (למשל, עוולות התקיפה וכליאת השווא), חלקן </w:t>
      </w:r>
      <w:r w:rsidRPr="003E5F36">
        <w:rPr>
          <w:rFonts w:hint="eastAsia"/>
          <w:rtl/>
        </w:rPr>
        <w:t>מְגִנּוֹת</w:t>
      </w:r>
      <w:r w:rsidRPr="003E5F36">
        <w:rPr>
          <w:rFonts w:hint="cs"/>
          <w:rtl/>
        </w:rPr>
        <w:t xml:space="preserve"> </w:t>
      </w:r>
      <w:r>
        <w:rPr>
          <w:rFonts w:hint="cs"/>
          <w:rtl/>
        </w:rPr>
        <w:t>על זכות הקניין (למשל, עוולות המטרד, הסגת הגבול וגניבת העין), וישנן נוספות ה</w:t>
      </w:r>
      <w:r w:rsidRPr="003E5F36">
        <w:rPr>
          <w:rFonts w:hint="eastAsia"/>
          <w:rtl/>
        </w:rPr>
        <w:t>מְגִנּוֹת</w:t>
      </w:r>
      <w:r w:rsidRPr="003E5F36">
        <w:rPr>
          <w:rFonts w:hint="cs"/>
          <w:rtl/>
        </w:rPr>
        <w:t xml:space="preserve"> </w:t>
      </w:r>
      <w:r>
        <w:rPr>
          <w:rFonts w:hint="cs"/>
          <w:rtl/>
        </w:rPr>
        <w:t>על היבטים שו</w:t>
      </w:r>
      <w:r w:rsidR="00C65D6C">
        <w:rPr>
          <w:rFonts w:hint="cs"/>
          <w:rtl/>
        </w:rPr>
        <w:t>נים הנגזרים מערך כבוד האדם (</w:t>
      </w:r>
      <w:r>
        <w:rPr>
          <w:rFonts w:hint="cs"/>
          <w:rtl/>
        </w:rPr>
        <w:t xml:space="preserve">למשל, </w:t>
      </w:r>
      <w:r w:rsidR="00466B5B">
        <w:rPr>
          <w:rFonts w:hint="cs"/>
          <w:rtl/>
        </w:rPr>
        <w:t xml:space="preserve">העוולות </w:t>
      </w:r>
      <w:r>
        <w:rPr>
          <w:rFonts w:hint="cs"/>
          <w:rtl/>
        </w:rPr>
        <w:t xml:space="preserve">שנקבעו בחוק איסור </w:t>
      </w:r>
      <w:r>
        <w:rPr>
          <w:rFonts w:hint="cs"/>
          <w:rtl/>
        </w:rPr>
        <w:lastRenderedPageBreak/>
        <w:t>לשון הרע, התשכ"ה-19</w:t>
      </w:r>
      <w:r w:rsidR="00C65D6C">
        <w:rPr>
          <w:rFonts w:hint="cs"/>
          <w:rtl/>
        </w:rPr>
        <w:t>6</w:t>
      </w:r>
      <w:r>
        <w:rPr>
          <w:rFonts w:hint="cs"/>
          <w:rtl/>
        </w:rPr>
        <w:t>5, ובחוק הגנת הפרטיות, התשמ"א-1981).</w:t>
      </w:r>
      <w:r w:rsidRPr="00963274">
        <w:rPr>
          <w:rFonts w:hint="cs"/>
          <w:rtl/>
        </w:rPr>
        <w:t xml:space="preserve"> </w:t>
      </w:r>
      <w:r>
        <w:rPr>
          <w:rFonts w:hint="cs"/>
          <w:rtl/>
        </w:rPr>
        <w:t xml:space="preserve">דיני הנזיקין </w:t>
      </w:r>
      <w:r w:rsidRPr="003E5F36">
        <w:rPr>
          <w:rFonts w:hint="eastAsia"/>
          <w:rtl/>
        </w:rPr>
        <w:t>מְגִנִּים</w:t>
      </w:r>
      <w:r w:rsidRPr="003E5F36">
        <w:rPr>
          <w:rtl/>
        </w:rPr>
        <w:t xml:space="preserve"> </w:t>
      </w:r>
      <w:r>
        <w:rPr>
          <w:rFonts w:hint="cs"/>
          <w:rtl/>
        </w:rPr>
        <w:t xml:space="preserve">על הזכויות הללו, בעיקר באמצעות מתן פיצוי על פגיעה במי מהן. הזכות לפיצויים נזיקיים משמשת אפוא בשיטתנו המשפטית, ככלי מרכזי לשמירה על זכויות חוקתיות בסיסיות: </w:t>
      </w:r>
      <w:r w:rsidRPr="00E55AF4">
        <w:rPr>
          <w:rFonts w:ascii="Century" w:hAnsi="Century" w:cs="Miriam"/>
          <w:b/>
          <w:spacing w:val="0"/>
          <w:sz w:val="22"/>
          <w:szCs w:val="24"/>
          <w:rtl/>
        </w:rPr>
        <w:t>"</w:t>
      </w:r>
      <w:r w:rsidRPr="00E55AF4">
        <w:rPr>
          <w:rFonts w:ascii="Century" w:hAnsi="Century" w:cs="Miriam" w:hint="eastAsia"/>
          <w:b/>
          <w:spacing w:val="0"/>
          <w:sz w:val="22"/>
          <w:szCs w:val="24"/>
          <w:rtl/>
        </w:rPr>
        <w:t>זכות</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הפיצויים</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הבסיסית</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של</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אדם</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הנפגע</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על</w:t>
      </w:r>
      <w:r w:rsidRPr="00E55AF4">
        <w:rPr>
          <w:rFonts w:ascii="Century" w:hAnsi="Century" w:cs="Miriam"/>
          <w:b/>
          <w:spacing w:val="0"/>
          <w:sz w:val="22"/>
          <w:szCs w:val="24"/>
          <w:rtl/>
        </w:rPr>
        <w:t>-</w:t>
      </w:r>
      <w:r w:rsidRPr="00E55AF4">
        <w:rPr>
          <w:rFonts w:ascii="Century" w:hAnsi="Century" w:cs="Miriam" w:hint="eastAsia"/>
          <w:b/>
          <w:spacing w:val="0"/>
          <w:sz w:val="22"/>
          <w:szCs w:val="24"/>
          <w:rtl/>
        </w:rPr>
        <w:t>ידי</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מעשה</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עוולה</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היא</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זכות</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חוקתית</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העולה</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מן</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ההגנה</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על</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חייו</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גופו</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ועל</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קניינו</w:t>
      </w:r>
      <w:r>
        <w:rPr>
          <w:rFonts w:ascii="Century" w:hAnsi="Century" w:cs="Miriam" w:hint="cs"/>
          <w:b/>
          <w:spacing w:val="0"/>
          <w:sz w:val="22"/>
          <w:szCs w:val="24"/>
          <w:rtl/>
        </w:rPr>
        <w:t>.</w:t>
      </w:r>
      <w:r w:rsidRPr="00E55AF4">
        <w:rPr>
          <w:rFonts w:ascii="Century" w:hAnsi="Century" w:cs="Miriam"/>
          <w:b/>
          <w:spacing w:val="0"/>
          <w:sz w:val="22"/>
          <w:szCs w:val="24"/>
          <w:rtl/>
        </w:rPr>
        <w:t xml:space="preserve"> </w:t>
      </w:r>
      <w:r>
        <w:rPr>
          <w:rFonts w:ascii="Century" w:hAnsi="Century" w:cs="Miriam" w:hint="cs"/>
          <w:b/>
          <w:spacing w:val="0"/>
          <w:sz w:val="22"/>
          <w:szCs w:val="24"/>
          <w:rtl/>
        </w:rPr>
        <w:t>[</w:t>
      </w:r>
      <w:r w:rsidRPr="00E55AF4">
        <w:rPr>
          <w:rFonts w:ascii="Century" w:hAnsi="Century" w:cs="Miriam"/>
          <w:b/>
          <w:spacing w:val="0"/>
          <w:sz w:val="22"/>
          <w:szCs w:val="24"/>
          <w:rtl/>
        </w:rPr>
        <w:t>...</w:t>
      </w:r>
      <w:r>
        <w:rPr>
          <w:rFonts w:ascii="Century" w:hAnsi="Century" w:cs="Miriam" w:hint="cs"/>
          <w:b/>
          <w:spacing w:val="0"/>
          <w:sz w:val="22"/>
          <w:szCs w:val="24"/>
          <w:rtl/>
        </w:rPr>
        <w:t>]</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כל</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הגבלה</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של</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הזכות</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לפיצויים</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בגין</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מעשה</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עוולה</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חייבת</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לעמוד</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במבחן</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החוקתי</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של</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תכלית</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ראויה</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ושל</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מידה</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שאינה</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עולה</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על</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הנדרש</w:t>
      </w:r>
      <w:r w:rsidRPr="00E55AF4">
        <w:rPr>
          <w:rFonts w:ascii="Century" w:hAnsi="Century" w:cs="Miriam"/>
          <w:b/>
          <w:spacing w:val="0"/>
          <w:sz w:val="22"/>
          <w:szCs w:val="24"/>
          <w:rtl/>
        </w:rPr>
        <w:t>"</w:t>
      </w:r>
      <w:r w:rsidRPr="00E55AF4">
        <w:rPr>
          <w:rtl/>
        </w:rPr>
        <w:t xml:space="preserve"> (</w:t>
      </w:r>
      <w:r w:rsidRPr="00E55AF4">
        <w:rPr>
          <w:rFonts w:hint="eastAsia"/>
          <w:rtl/>
        </w:rPr>
        <w:t>י</w:t>
      </w:r>
      <w:r w:rsidRPr="00E55AF4">
        <w:rPr>
          <w:rtl/>
        </w:rPr>
        <w:t xml:space="preserve">' </w:t>
      </w:r>
      <w:r w:rsidRPr="00E55AF4">
        <w:rPr>
          <w:rFonts w:hint="eastAsia"/>
          <w:rtl/>
        </w:rPr>
        <w:t>אנגלרד</w:t>
      </w:r>
      <w:r w:rsidRPr="00E55AF4">
        <w:rPr>
          <w:rtl/>
        </w:rPr>
        <w:t xml:space="preserve">, </w:t>
      </w:r>
      <w:r w:rsidRPr="00E55AF4">
        <w:rPr>
          <w:rFonts w:ascii="Century" w:hAnsi="Century" w:cs="Miriam" w:hint="eastAsia"/>
          <w:b/>
          <w:spacing w:val="0"/>
          <w:sz w:val="22"/>
          <w:szCs w:val="24"/>
          <w:rtl/>
        </w:rPr>
        <w:t>פיצויים</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לנפגעי</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תאונות</w:t>
      </w:r>
      <w:r w:rsidRPr="00E55AF4">
        <w:rPr>
          <w:rFonts w:ascii="Century" w:hAnsi="Century" w:cs="Miriam"/>
          <w:b/>
          <w:spacing w:val="0"/>
          <w:sz w:val="22"/>
          <w:szCs w:val="24"/>
          <w:rtl/>
        </w:rPr>
        <w:t xml:space="preserve"> </w:t>
      </w:r>
      <w:r w:rsidRPr="00E55AF4">
        <w:rPr>
          <w:rFonts w:ascii="Century" w:hAnsi="Century" w:cs="Miriam" w:hint="eastAsia"/>
          <w:b/>
          <w:spacing w:val="0"/>
          <w:sz w:val="22"/>
          <w:szCs w:val="24"/>
          <w:rtl/>
        </w:rPr>
        <w:t>דרכים</w:t>
      </w:r>
      <w:r w:rsidRPr="00E55AF4">
        <w:rPr>
          <w:rtl/>
        </w:rPr>
        <w:t xml:space="preserve">, </w:t>
      </w:r>
      <w:r>
        <w:rPr>
          <w:rFonts w:hint="cs"/>
          <w:rtl/>
        </w:rPr>
        <w:t xml:space="preserve">עמוד 9, </w:t>
      </w:r>
      <w:r w:rsidRPr="00E55AF4">
        <w:rPr>
          <w:rFonts w:hint="eastAsia"/>
          <w:rtl/>
        </w:rPr>
        <w:t>מהדורה</w:t>
      </w:r>
      <w:r w:rsidRPr="00E55AF4">
        <w:rPr>
          <w:rtl/>
        </w:rPr>
        <w:t xml:space="preserve"> </w:t>
      </w:r>
      <w:r w:rsidRPr="00E55AF4">
        <w:rPr>
          <w:rFonts w:hint="eastAsia"/>
          <w:rtl/>
        </w:rPr>
        <w:t>שלישית</w:t>
      </w:r>
      <w:r w:rsidRPr="00E55AF4">
        <w:rPr>
          <w:rtl/>
        </w:rPr>
        <w:t xml:space="preserve"> (</w:t>
      </w:r>
      <w:r>
        <w:rPr>
          <w:rFonts w:hint="cs"/>
          <w:rtl/>
        </w:rPr>
        <w:t>ה</w:t>
      </w:r>
      <w:r w:rsidRPr="00E55AF4">
        <w:rPr>
          <w:rFonts w:hint="eastAsia"/>
          <w:rtl/>
        </w:rPr>
        <w:t>תשס</w:t>
      </w:r>
      <w:r w:rsidRPr="00E55AF4">
        <w:rPr>
          <w:rtl/>
        </w:rPr>
        <w:t>"</w:t>
      </w:r>
      <w:r w:rsidRPr="00E55AF4">
        <w:rPr>
          <w:rFonts w:hint="eastAsia"/>
          <w:rtl/>
        </w:rPr>
        <w:t>ה</w:t>
      </w:r>
      <w:r w:rsidRPr="00E55AF4">
        <w:rPr>
          <w:rtl/>
        </w:rPr>
        <w:t>)).</w:t>
      </w:r>
      <w:r>
        <w:rPr>
          <w:rFonts w:hint="cs"/>
          <w:rtl/>
        </w:rPr>
        <w:t xml:space="preserve"> בין היתר, דיני הנזיקין </w:t>
      </w:r>
      <w:r w:rsidRPr="003E5F36">
        <w:rPr>
          <w:rFonts w:hint="eastAsia"/>
          <w:rtl/>
        </w:rPr>
        <w:t>מְגִנִּים</w:t>
      </w:r>
      <w:r w:rsidRPr="003E5F36">
        <w:rPr>
          <w:rtl/>
        </w:rPr>
        <w:t xml:space="preserve"> </w:t>
      </w:r>
      <w:r>
        <w:rPr>
          <w:rFonts w:hint="cs"/>
          <w:rtl/>
        </w:rPr>
        <w:t xml:space="preserve">על זכותו של הניזוק </w:t>
      </w:r>
      <w:r w:rsidRPr="004D3647">
        <w:rPr>
          <w:rFonts w:ascii="Century" w:hAnsi="Century" w:cs="Miriam" w:hint="cs"/>
          <w:b/>
          <w:spacing w:val="0"/>
          <w:sz w:val="22"/>
          <w:szCs w:val="24"/>
          <w:rtl/>
        </w:rPr>
        <w:t>לחיים, לשלמות הגוף, לכבוד ולחירות</w:t>
      </w:r>
      <w:r>
        <w:rPr>
          <w:rFonts w:hint="cs"/>
          <w:rtl/>
        </w:rPr>
        <w:t xml:space="preserve">. בנוסף, שלילת האחריות הנזיקית פוגעת גם </w:t>
      </w:r>
      <w:r w:rsidRPr="004D3647">
        <w:rPr>
          <w:rFonts w:ascii="Century" w:hAnsi="Century" w:cs="Miriam" w:hint="cs"/>
          <w:b/>
          <w:spacing w:val="0"/>
          <w:sz w:val="22"/>
          <w:szCs w:val="24"/>
          <w:rtl/>
        </w:rPr>
        <w:t>בזכות הקניין</w:t>
      </w:r>
      <w:r>
        <w:rPr>
          <w:rFonts w:hint="cs"/>
          <w:rtl/>
        </w:rPr>
        <w:t xml:space="preserve">, המעוגנת אף היא בחוק היסוד. כידוע, הדיבֵּר </w:t>
      </w:r>
      <w:r w:rsidRPr="004D3647">
        <w:rPr>
          <w:rFonts w:ascii="Century" w:hAnsi="Century" w:cs="Miriam" w:hint="cs"/>
          <w:b/>
          <w:spacing w:val="0"/>
          <w:sz w:val="22"/>
          <w:szCs w:val="24"/>
          <w:rtl/>
        </w:rPr>
        <w:t>"אין פוגעים בקניינו של אדם"</w:t>
      </w:r>
      <w:r>
        <w:rPr>
          <w:rFonts w:hint="cs"/>
          <w:rtl/>
        </w:rPr>
        <w:t xml:space="preserve">, שבסעיף 3 לחוק היסוד, אינו מוגבל אך לזכויות קנייניות 'קלאסיות' מתוך 'רשימה סגורה'; ההגנה על זכות הקניין שבחוק היסוד, מתפרשת על פני כל הזכויות הרכושיות הנתונות לו לאדם; קנייניות ואובליגטוריות כאחת. לפיכך, ברי כי שלילת הזכות לפיצויים הריהי פגיעה בזכויות אדם (ראו עוד: עניין </w:t>
      </w:r>
      <w:r w:rsidRPr="00942570">
        <w:rPr>
          <w:rFonts w:ascii="Century" w:hAnsi="Century" w:cs="Miriam" w:hint="cs"/>
          <w:b/>
          <w:spacing w:val="0"/>
          <w:sz w:val="22"/>
          <w:szCs w:val="24"/>
          <w:rtl/>
        </w:rPr>
        <w:t>בנק המזרחי</w:t>
      </w:r>
      <w:r>
        <w:rPr>
          <w:rFonts w:hint="cs"/>
          <w:rtl/>
        </w:rPr>
        <w:t xml:space="preserve">, עמודים 431 ו-572; </w:t>
      </w:r>
      <w:r w:rsidRPr="00942570">
        <w:rPr>
          <w:rFonts w:hint="eastAsia"/>
          <w:rtl/>
        </w:rPr>
        <w:t>בג</w:t>
      </w:r>
      <w:r w:rsidRPr="00942570">
        <w:rPr>
          <w:rtl/>
        </w:rPr>
        <w:t>"</w:t>
      </w:r>
      <w:r w:rsidRPr="00942570">
        <w:rPr>
          <w:rFonts w:hint="eastAsia"/>
          <w:rtl/>
        </w:rPr>
        <w:t>ץ</w:t>
      </w:r>
      <w:r w:rsidRPr="00942570">
        <w:rPr>
          <w:rtl/>
        </w:rPr>
        <w:t xml:space="preserve"> 2390/96 </w:t>
      </w:r>
      <w:r w:rsidRPr="00942570">
        <w:rPr>
          <w:rFonts w:ascii="Century" w:hAnsi="Century" w:cs="Miriam" w:hint="eastAsia"/>
          <w:b/>
          <w:spacing w:val="0"/>
          <w:sz w:val="22"/>
          <w:szCs w:val="24"/>
          <w:rtl/>
        </w:rPr>
        <w:t>קרסיק</w:t>
      </w:r>
      <w:r w:rsidRPr="00942570">
        <w:rPr>
          <w:rFonts w:ascii="Century" w:hAnsi="Century" w:cs="Miriam"/>
          <w:b/>
          <w:spacing w:val="0"/>
          <w:sz w:val="22"/>
          <w:szCs w:val="24"/>
          <w:rtl/>
        </w:rPr>
        <w:t xml:space="preserve"> </w:t>
      </w:r>
      <w:r w:rsidRPr="00942570">
        <w:rPr>
          <w:rFonts w:ascii="Century" w:hAnsi="Century" w:cs="Miriam" w:hint="eastAsia"/>
          <w:b/>
          <w:spacing w:val="0"/>
          <w:sz w:val="22"/>
          <w:szCs w:val="24"/>
          <w:rtl/>
        </w:rPr>
        <w:t>נ</w:t>
      </w:r>
      <w:r w:rsidRPr="00942570">
        <w:rPr>
          <w:rFonts w:ascii="Century" w:hAnsi="Century" w:cs="Miriam"/>
          <w:b/>
          <w:spacing w:val="0"/>
          <w:sz w:val="22"/>
          <w:szCs w:val="24"/>
          <w:rtl/>
        </w:rPr>
        <w:t xml:space="preserve">' </w:t>
      </w:r>
      <w:r w:rsidRPr="00942570">
        <w:rPr>
          <w:rFonts w:ascii="Century" w:hAnsi="Century" w:cs="Miriam" w:hint="eastAsia"/>
          <w:b/>
          <w:spacing w:val="0"/>
          <w:sz w:val="22"/>
          <w:szCs w:val="24"/>
          <w:rtl/>
        </w:rPr>
        <w:t>מדינת</w:t>
      </w:r>
      <w:r w:rsidRPr="00942570">
        <w:rPr>
          <w:rFonts w:ascii="Century" w:hAnsi="Century" w:cs="Miriam"/>
          <w:b/>
          <w:spacing w:val="0"/>
          <w:sz w:val="22"/>
          <w:szCs w:val="24"/>
          <w:rtl/>
        </w:rPr>
        <w:t xml:space="preserve"> </w:t>
      </w:r>
      <w:r w:rsidRPr="00942570">
        <w:rPr>
          <w:rFonts w:ascii="Century" w:hAnsi="Century" w:cs="Miriam" w:hint="eastAsia"/>
          <w:b/>
          <w:spacing w:val="0"/>
          <w:sz w:val="22"/>
          <w:szCs w:val="24"/>
          <w:rtl/>
        </w:rPr>
        <w:t>ישראל</w:t>
      </w:r>
      <w:r w:rsidRPr="00942570">
        <w:rPr>
          <w:rtl/>
        </w:rPr>
        <w:t xml:space="preserve">, </w:t>
      </w:r>
      <w:r w:rsidRPr="00942570">
        <w:rPr>
          <w:rFonts w:hint="eastAsia"/>
          <w:rtl/>
        </w:rPr>
        <w:t>פ</w:t>
      </w:r>
      <w:r w:rsidRPr="00942570">
        <w:rPr>
          <w:rtl/>
        </w:rPr>
        <w:t>"</w:t>
      </w:r>
      <w:r w:rsidRPr="00942570">
        <w:rPr>
          <w:rFonts w:hint="eastAsia"/>
          <w:rtl/>
        </w:rPr>
        <w:t>ד</w:t>
      </w:r>
      <w:r w:rsidRPr="00942570">
        <w:rPr>
          <w:rtl/>
        </w:rPr>
        <w:t xml:space="preserve"> </w:t>
      </w:r>
      <w:r w:rsidRPr="00942570">
        <w:rPr>
          <w:rFonts w:hint="eastAsia"/>
          <w:rtl/>
        </w:rPr>
        <w:t>נה</w:t>
      </w:r>
      <w:r w:rsidRPr="00942570">
        <w:rPr>
          <w:rtl/>
        </w:rPr>
        <w:t>(2) 625</w:t>
      </w:r>
      <w:r>
        <w:rPr>
          <w:rFonts w:hint="cs"/>
          <w:rtl/>
        </w:rPr>
        <w:t xml:space="preserve"> (2001)</w:t>
      </w:r>
      <w:r w:rsidRPr="00942570">
        <w:rPr>
          <w:rtl/>
        </w:rPr>
        <w:t xml:space="preserve">; </w:t>
      </w:r>
      <w:r w:rsidRPr="00942570">
        <w:rPr>
          <w:rFonts w:hint="eastAsia"/>
          <w:rtl/>
        </w:rPr>
        <w:t>ע</w:t>
      </w:r>
      <w:r w:rsidRPr="00942570">
        <w:rPr>
          <w:rtl/>
        </w:rPr>
        <w:t>"</w:t>
      </w:r>
      <w:r w:rsidRPr="00942570">
        <w:rPr>
          <w:rFonts w:hint="eastAsia"/>
          <w:rtl/>
        </w:rPr>
        <w:t>א</w:t>
      </w:r>
      <w:r w:rsidRPr="00942570">
        <w:rPr>
          <w:rtl/>
        </w:rPr>
        <w:t xml:space="preserve"> 2781/93 </w:t>
      </w:r>
      <w:r w:rsidRPr="00942570">
        <w:rPr>
          <w:rFonts w:ascii="Century" w:hAnsi="Century" w:cs="Miriam" w:hint="eastAsia"/>
          <w:b/>
          <w:spacing w:val="0"/>
          <w:sz w:val="22"/>
          <w:szCs w:val="24"/>
          <w:rtl/>
        </w:rPr>
        <w:t>דעקה</w:t>
      </w:r>
      <w:r w:rsidRPr="00942570">
        <w:rPr>
          <w:rFonts w:ascii="Century" w:hAnsi="Century" w:cs="Miriam"/>
          <w:b/>
          <w:spacing w:val="0"/>
          <w:sz w:val="22"/>
          <w:szCs w:val="24"/>
          <w:rtl/>
        </w:rPr>
        <w:t xml:space="preserve"> </w:t>
      </w:r>
      <w:r w:rsidRPr="00942570">
        <w:rPr>
          <w:rFonts w:ascii="Century" w:hAnsi="Century" w:cs="Miriam" w:hint="eastAsia"/>
          <w:b/>
          <w:spacing w:val="0"/>
          <w:sz w:val="22"/>
          <w:szCs w:val="24"/>
          <w:rtl/>
        </w:rPr>
        <w:t>נ</w:t>
      </w:r>
      <w:r w:rsidRPr="00942570">
        <w:rPr>
          <w:rFonts w:ascii="Century" w:hAnsi="Century" w:cs="Miriam"/>
          <w:b/>
          <w:spacing w:val="0"/>
          <w:sz w:val="22"/>
          <w:szCs w:val="24"/>
          <w:rtl/>
        </w:rPr>
        <w:t xml:space="preserve">' </w:t>
      </w:r>
      <w:r w:rsidRPr="00942570">
        <w:rPr>
          <w:rFonts w:ascii="Century" w:hAnsi="Century" w:cs="Miriam" w:hint="eastAsia"/>
          <w:b/>
          <w:spacing w:val="0"/>
          <w:sz w:val="22"/>
          <w:szCs w:val="24"/>
          <w:rtl/>
        </w:rPr>
        <w:t>בית</w:t>
      </w:r>
      <w:r w:rsidRPr="00942570">
        <w:rPr>
          <w:rFonts w:ascii="Century" w:hAnsi="Century" w:cs="Miriam"/>
          <w:b/>
          <w:spacing w:val="0"/>
          <w:sz w:val="22"/>
          <w:szCs w:val="24"/>
          <w:rtl/>
        </w:rPr>
        <w:t xml:space="preserve"> </w:t>
      </w:r>
      <w:r w:rsidRPr="00942570">
        <w:rPr>
          <w:rFonts w:ascii="Century" w:hAnsi="Century" w:cs="Miriam" w:hint="eastAsia"/>
          <w:b/>
          <w:spacing w:val="0"/>
          <w:sz w:val="22"/>
          <w:szCs w:val="24"/>
          <w:rtl/>
        </w:rPr>
        <w:t>החולים</w:t>
      </w:r>
      <w:r w:rsidRPr="00942570">
        <w:rPr>
          <w:rFonts w:ascii="Century" w:hAnsi="Century" w:cs="Miriam"/>
          <w:b/>
          <w:spacing w:val="0"/>
          <w:sz w:val="22"/>
          <w:szCs w:val="24"/>
          <w:rtl/>
        </w:rPr>
        <w:t xml:space="preserve"> "</w:t>
      </w:r>
      <w:r w:rsidRPr="00942570">
        <w:rPr>
          <w:rFonts w:ascii="Century" w:hAnsi="Century" w:cs="Miriam" w:hint="eastAsia"/>
          <w:b/>
          <w:spacing w:val="0"/>
          <w:sz w:val="22"/>
          <w:szCs w:val="24"/>
          <w:rtl/>
        </w:rPr>
        <w:t>כרמל</w:t>
      </w:r>
      <w:r w:rsidRPr="00942570">
        <w:rPr>
          <w:rFonts w:ascii="Century" w:hAnsi="Century" w:cs="Miriam"/>
          <w:b/>
          <w:spacing w:val="0"/>
          <w:sz w:val="22"/>
          <w:szCs w:val="24"/>
          <w:rtl/>
        </w:rPr>
        <w:t>"</w:t>
      </w:r>
      <w:r w:rsidRPr="00942570">
        <w:rPr>
          <w:rtl/>
        </w:rPr>
        <w:t xml:space="preserve">, </w:t>
      </w:r>
      <w:r w:rsidRPr="00942570">
        <w:rPr>
          <w:rFonts w:hint="eastAsia"/>
          <w:rtl/>
        </w:rPr>
        <w:t>פ</w:t>
      </w:r>
      <w:r w:rsidRPr="00942570">
        <w:rPr>
          <w:rtl/>
        </w:rPr>
        <w:t>"</w:t>
      </w:r>
      <w:r w:rsidRPr="00942570">
        <w:rPr>
          <w:rFonts w:hint="eastAsia"/>
          <w:rtl/>
        </w:rPr>
        <w:t>ד</w:t>
      </w:r>
      <w:r w:rsidRPr="00942570">
        <w:rPr>
          <w:rtl/>
        </w:rPr>
        <w:t xml:space="preserve"> </w:t>
      </w:r>
      <w:r w:rsidRPr="00942570">
        <w:rPr>
          <w:rFonts w:hint="eastAsia"/>
          <w:rtl/>
        </w:rPr>
        <w:t>נז</w:t>
      </w:r>
      <w:r w:rsidRPr="00942570">
        <w:rPr>
          <w:rtl/>
        </w:rPr>
        <w:t>(4) 526</w:t>
      </w:r>
      <w:r>
        <w:rPr>
          <w:rFonts w:hint="cs"/>
          <w:rtl/>
        </w:rPr>
        <w:t xml:space="preserve"> (1999); עניין </w:t>
      </w:r>
      <w:r w:rsidRPr="00942570">
        <w:rPr>
          <w:rFonts w:ascii="Century" w:hAnsi="Century" w:cs="Miriam" w:hint="cs"/>
          <w:b/>
          <w:spacing w:val="0"/>
          <w:sz w:val="22"/>
          <w:szCs w:val="24"/>
          <w:rtl/>
        </w:rPr>
        <w:t>חוף עזה</w:t>
      </w:r>
      <w:r>
        <w:rPr>
          <w:rFonts w:hint="cs"/>
          <w:rtl/>
        </w:rPr>
        <w:t xml:space="preserve">, עמוד 583; עניין </w:t>
      </w:r>
      <w:r w:rsidRPr="00963274">
        <w:rPr>
          <w:rFonts w:ascii="Century" w:hAnsi="Century" w:cs="Miriam" w:hint="cs"/>
          <w:b/>
          <w:spacing w:val="0"/>
          <w:sz w:val="22"/>
          <w:szCs w:val="24"/>
          <w:rtl/>
        </w:rPr>
        <w:t>עדאלה</w:t>
      </w:r>
      <w:r>
        <w:rPr>
          <w:rFonts w:hint="cs"/>
          <w:rtl/>
        </w:rPr>
        <w:t>, פסקה 25;</w:t>
      </w:r>
      <w:r w:rsidRPr="009C2968">
        <w:rPr>
          <w:rFonts w:hint="cs"/>
          <w:rtl/>
        </w:rPr>
        <w:t xml:space="preserve"> </w:t>
      </w:r>
      <w:r w:rsidRPr="00726B04">
        <w:rPr>
          <w:rFonts w:hint="eastAsia"/>
          <w:rtl/>
        </w:rPr>
        <w:t>בג</w:t>
      </w:r>
      <w:r w:rsidRPr="00726B04">
        <w:rPr>
          <w:rtl/>
        </w:rPr>
        <w:t>"</w:t>
      </w:r>
      <w:r w:rsidRPr="00726B04">
        <w:rPr>
          <w:rFonts w:hint="eastAsia"/>
          <w:rtl/>
        </w:rPr>
        <w:t>ץ</w:t>
      </w:r>
      <w:r w:rsidRPr="00726B04">
        <w:rPr>
          <w:rtl/>
        </w:rPr>
        <w:t xml:space="preserve"> 2293/17 </w:t>
      </w:r>
      <w:r>
        <w:rPr>
          <w:rFonts w:ascii="Century" w:hAnsi="Century" w:cs="Miriam" w:hint="cs"/>
          <w:b/>
          <w:spacing w:val="0"/>
          <w:sz w:val="22"/>
          <w:szCs w:val="24"/>
          <w:rtl/>
        </w:rPr>
        <w:t>ג</w:t>
      </w:r>
      <w:r w:rsidRPr="00726B04">
        <w:rPr>
          <w:rFonts w:ascii="Century" w:hAnsi="Century" w:cs="Miriam" w:hint="eastAsia"/>
          <w:b/>
          <w:spacing w:val="0"/>
          <w:sz w:val="22"/>
          <w:szCs w:val="24"/>
          <w:rtl/>
        </w:rPr>
        <w:t>רסגהר</w:t>
      </w:r>
      <w:r w:rsidRPr="00726B04">
        <w:rPr>
          <w:rFonts w:ascii="Century" w:hAnsi="Century" w:cs="Miriam"/>
          <w:b/>
          <w:spacing w:val="0"/>
          <w:sz w:val="22"/>
          <w:szCs w:val="24"/>
          <w:rtl/>
        </w:rPr>
        <w:t xml:space="preserve"> </w:t>
      </w:r>
      <w:r w:rsidRPr="00726B04">
        <w:rPr>
          <w:rFonts w:ascii="Century" w:hAnsi="Century" w:cs="Miriam" w:hint="eastAsia"/>
          <w:b/>
          <w:spacing w:val="0"/>
          <w:sz w:val="22"/>
          <w:szCs w:val="24"/>
          <w:rtl/>
        </w:rPr>
        <w:t>נ</w:t>
      </w:r>
      <w:r w:rsidRPr="00726B04">
        <w:rPr>
          <w:rFonts w:ascii="Century" w:hAnsi="Century" w:cs="Miriam"/>
          <w:b/>
          <w:spacing w:val="0"/>
          <w:sz w:val="22"/>
          <w:szCs w:val="24"/>
          <w:rtl/>
        </w:rPr>
        <w:t xml:space="preserve">' </w:t>
      </w:r>
      <w:r w:rsidRPr="00726B04">
        <w:rPr>
          <w:rFonts w:ascii="Century" w:hAnsi="Century" w:cs="Miriam" w:hint="eastAsia"/>
          <w:b/>
          <w:spacing w:val="0"/>
          <w:sz w:val="22"/>
          <w:szCs w:val="24"/>
          <w:rtl/>
        </w:rPr>
        <w:t>כנסת</w:t>
      </w:r>
      <w:r>
        <w:rPr>
          <w:rFonts w:hint="cs"/>
          <w:rtl/>
        </w:rPr>
        <w:t xml:space="preserve">, פסקה 24 לפסק-דינה של הנשיאה </w:t>
      </w:r>
      <w:r w:rsidRPr="00022485">
        <w:rPr>
          <w:rFonts w:ascii="Century" w:hAnsi="Century" w:cs="Miriam" w:hint="cs"/>
          <w:b/>
          <w:spacing w:val="0"/>
          <w:sz w:val="22"/>
          <w:szCs w:val="24"/>
          <w:rtl/>
        </w:rPr>
        <w:t>חיות</w:t>
      </w:r>
      <w:r>
        <w:rPr>
          <w:rFonts w:hint="cs"/>
          <w:rtl/>
        </w:rPr>
        <w:t xml:space="preserve"> </w:t>
      </w:r>
      <w:r w:rsidRPr="00726B04">
        <w:rPr>
          <w:rtl/>
        </w:rPr>
        <w:t>(23.4.2020)</w:t>
      </w:r>
      <w:r w:rsidR="00370A7A">
        <w:rPr>
          <w:rFonts w:hint="cs"/>
          <w:rtl/>
        </w:rPr>
        <w:t xml:space="preserve"> (להלן: </w:t>
      </w:r>
      <w:r w:rsidR="00370A7A" w:rsidRPr="00543584">
        <w:rPr>
          <w:rFonts w:ascii="Century" w:hAnsi="Century" w:cs="Miriam" w:hint="cs"/>
          <w:b/>
          <w:spacing w:val="0"/>
          <w:sz w:val="22"/>
          <w:szCs w:val="24"/>
          <w:rtl/>
        </w:rPr>
        <w:t>עניין גרסגהר</w:t>
      </w:r>
      <w:r w:rsidR="00370A7A">
        <w:rPr>
          <w:rFonts w:hint="cs"/>
          <w:rtl/>
        </w:rPr>
        <w:t>)</w:t>
      </w:r>
      <w:r>
        <w:rPr>
          <w:rFonts w:hint="cs"/>
          <w:rtl/>
        </w:rPr>
        <w:t xml:space="preserve">; יהושע ויסמן, "הגנה חוקתית לקניין", </w:t>
      </w:r>
      <w:r w:rsidRPr="00942570">
        <w:rPr>
          <w:rFonts w:ascii="Century" w:hAnsi="Century" w:cs="Miriam" w:hint="cs"/>
          <w:b/>
          <w:spacing w:val="0"/>
          <w:sz w:val="22"/>
          <w:szCs w:val="24"/>
          <w:rtl/>
        </w:rPr>
        <w:t>הפרקליט</w:t>
      </w:r>
      <w:r w:rsidRPr="003B795B">
        <w:rPr>
          <w:rFonts w:ascii="Century" w:hAnsi="Century"/>
          <w:sz w:val="22"/>
          <w:rtl/>
        </w:rPr>
        <w:t xml:space="preserve"> </w:t>
      </w:r>
      <w:r w:rsidRPr="003B795B">
        <w:rPr>
          <w:rFonts w:ascii="Century" w:hAnsi="Century" w:hint="eastAsia"/>
          <w:sz w:val="22"/>
          <w:rtl/>
        </w:rPr>
        <w:t>מב</w:t>
      </w:r>
      <w:r w:rsidRPr="003B795B">
        <w:rPr>
          <w:rFonts w:ascii="Century" w:hAnsi="Century"/>
          <w:sz w:val="22"/>
          <w:rtl/>
        </w:rPr>
        <w:t xml:space="preserve"> 258</w:t>
      </w:r>
      <w:r>
        <w:rPr>
          <w:rFonts w:hint="cs"/>
          <w:rtl/>
        </w:rPr>
        <w:t xml:space="preserve">, 266 (1995)). לבסוף, שלילת האחריות הנזיקית, וחסימת הניזוק מן האפשרות לתבוע את נזקיו ולזכות בפיצוי, פוגעת גם </w:t>
      </w:r>
      <w:r w:rsidRPr="00D57611">
        <w:rPr>
          <w:rFonts w:ascii="Century" w:hAnsi="Century" w:cs="Miriam" w:hint="cs"/>
          <w:b/>
          <w:spacing w:val="0"/>
          <w:sz w:val="22"/>
          <w:szCs w:val="24"/>
          <w:rtl/>
        </w:rPr>
        <w:t>בזכות הגישה לערכאות</w:t>
      </w:r>
      <w:r>
        <w:rPr>
          <w:rFonts w:hint="cs"/>
          <w:rtl/>
        </w:rPr>
        <w:t>. אמנם, קיימות גישות שונות ביחס למעמדה הנורמטיבי של זכות זו,</w:t>
      </w:r>
      <w:r w:rsidRPr="00842974">
        <w:rPr>
          <w:rFonts w:hint="cs"/>
          <w:rtl/>
        </w:rPr>
        <w:t xml:space="preserve"> </w:t>
      </w:r>
      <w:r w:rsidR="00967B1F">
        <w:rPr>
          <w:rFonts w:hint="cs"/>
          <w:rtl/>
        </w:rPr>
        <w:t xml:space="preserve">אך אין מחלוקת על </w:t>
      </w:r>
      <w:r>
        <w:rPr>
          <w:rFonts w:hint="cs"/>
          <w:rtl/>
        </w:rPr>
        <w:t>דבר היותה זכות בסיסית, שלא בנקל תישלל</w:t>
      </w:r>
      <w:r w:rsidRPr="00D10A2A">
        <w:rPr>
          <w:rFonts w:hint="cs"/>
          <w:rtl/>
        </w:rPr>
        <w:t xml:space="preserve"> </w:t>
      </w:r>
      <w:r>
        <w:rPr>
          <w:rFonts w:hint="cs"/>
          <w:rtl/>
        </w:rPr>
        <w:t xml:space="preserve">(לעניין מעמדה הנורמטיבי של זכות הגישה לערכאות, ראו: ע"א 733/95 </w:t>
      </w:r>
      <w:r w:rsidRPr="00321C56">
        <w:rPr>
          <w:rFonts w:ascii="Century" w:hAnsi="Century" w:cs="Miriam" w:hint="cs"/>
          <w:b/>
          <w:spacing w:val="0"/>
          <w:sz w:val="22"/>
          <w:szCs w:val="24"/>
          <w:rtl/>
        </w:rPr>
        <w:t>ארפל אלומיניום בע"מ נ' קליל תעשיות בע"מ</w:t>
      </w:r>
      <w:r>
        <w:rPr>
          <w:rFonts w:hint="cs"/>
          <w:rtl/>
        </w:rPr>
        <w:t>, פ"ד נא(3) 577 (1997); עניין</w:t>
      </w:r>
      <w:r w:rsidRPr="00321C56">
        <w:rPr>
          <w:rFonts w:ascii="Century" w:hAnsi="Century" w:cs="Miriam" w:hint="cs"/>
          <w:b/>
          <w:spacing w:val="0"/>
          <w:sz w:val="22"/>
          <w:szCs w:val="24"/>
          <w:rtl/>
        </w:rPr>
        <w:t xml:space="preserve"> דיראני</w:t>
      </w:r>
      <w:r>
        <w:rPr>
          <w:rFonts w:hint="cs"/>
          <w:rtl/>
        </w:rPr>
        <w:t xml:space="preserve">, פסקה 60 לפסק-דינו של הנשיא </w:t>
      </w:r>
      <w:r w:rsidRPr="00022485">
        <w:rPr>
          <w:rFonts w:ascii="Century" w:hAnsi="Century" w:cs="Miriam" w:hint="cs"/>
          <w:b/>
          <w:spacing w:val="0"/>
          <w:sz w:val="22"/>
          <w:szCs w:val="24"/>
          <w:rtl/>
        </w:rPr>
        <w:t>גרוניס</w:t>
      </w:r>
      <w:r>
        <w:rPr>
          <w:rFonts w:hint="cs"/>
          <w:rtl/>
        </w:rPr>
        <w:t xml:space="preserve"> ופסקה 14 לפסק-דינו של השופט (כתוארו אז) </w:t>
      </w:r>
      <w:r w:rsidRPr="00022485">
        <w:rPr>
          <w:rFonts w:ascii="Century" w:hAnsi="Century" w:cs="Miriam" w:hint="cs"/>
          <w:b/>
          <w:spacing w:val="0"/>
          <w:sz w:val="22"/>
          <w:szCs w:val="24"/>
          <w:rtl/>
        </w:rPr>
        <w:t>ח' מלצר</w:t>
      </w:r>
      <w:r>
        <w:rPr>
          <w:rFonts w:hint="cs"/>
          <w:rtl/>
        </w:rPr>
        <w:t xml:space="preserve">; </w:t>
      </w:r>
      <w:r w:rsidRPr="00321C56">
        <w:rPr>
          <w:rFonts w:ascii="Century" w:hAnsi="Century" w:cs="Miriam" w:hint="cs"/>
          <w:b/>
          <w:spacing w:val="0"/>
          <w:sz w:val="22"/>
          <w:szCs w:val="24"/>
          <w:rtl/>
        </w:rPr>
        <w:t>רע"א דיראני</w:t>
      </w:r>
      <w:r>
        <w:rPr>
          <w:rFonts w:hint="cs"/>
          <w:rtl/>
        </w:rPr>
        <w:t xml:space="preserve">, פסקה 26-21 לפסק הדין של השופטת </w:t>
      </w:r>
      <w:r w:rsidRPr="00022485">
        <w:rPr>
          <w:rFonts w:ascii="Century" w:hAnsi="Century" w:cs="Miriam" w:hint="cs"/>
          <w:b/>
          <w:spacing w:val="0"/>
          <w:sz w:val="22"/>
          <w:szCs w:val="24"/>
          <w:rtl/>
        </w:rPr>
        <w:t>א' פרוקצ'יה</w:t>
      </w:r>
      <w:r>
        <w:rPr>
          <w:rFonts w:hint="cs"/>
          <w:rtl/>
        </w:rPr>
        <w:t xml:space="preserve">; יורם רבין, "זכות הגישה לערכאות: מזכות רגילה לזכות חוקתית (בעקבות ע"א 733/95 </w:t>
      </w:r>
      <w:r w:rsidRPr="00C65D6C">
        <w:rPr>
          <w:rFonts w:ascii="Century" w:hAnsi="Century" w:cs="Miriam" w:hint="cs"/>
          <w:b/>
          <w:spacing w:val="0"/>
          <w:sz w:val="22"/>
          <w:szCs w:val="24"/>
          <w:rtl/>
        </w:rPr>
        <w:t xml:space="preserve">ארפל אלומיניום בע"מ </w:t>
      </w:r>
      <w:r w:rsidRPr="00C65D6C">
        <w:rPr>
          <w:rFonts w:ascii="Century" w:hAnsi="Century" w:cs="Miriam" w:hint="cs"/>
          <w:b/>
          <w:spacing w:val="0"/>
          <w:sz w:val="22"/>
          <w:szCs w:val="24"/>
          <w:rtl/>
        </w:rPr>
        <w:lastRenderedPageBreak/>
        <w:t>נ' קליל תעשיות בע"מ</w:t>
      </w:r>
      <w:r>
        <w:rPr>
          <w:rFonts w:hint="cs"/>
          <w:rtl/>
        </w:rPr>
        <w:t xml:space="preserve">)" </w:t>
      </w:r>
      <w:r w:rsidRPr="0057296B">
        <w:rPr>
          <w:rFonts w:ascii="Century" w:hAnsi="Century" w:cs="Miriam" w:hint="cs"/>
          <w:b/>
          <w:spacing w:val="0"/>
          <w:sz w:val="22"/>
          <w:szCs w:val="24"/>
          <w:rtl/>
        </w:rPr>
        <w:t>המשפט</w:t>
      </w:r>
      <w:r w:rsidRPr="003B795B">
        <w:rPr>
          <w:rFonts w:ascii="Century" w:hAnsi="Century"/>
          <w:sz w:val="22"/>
          <w:rtl/>
        </w:rPr>
        <w:t xml:space="preserve"> </w:t>
      </w:r>
      <w:r w:rsidRPr="003B795B">
        <w:rPr>
          <w:rFonts w:ascii="Century" w:hAnsi="Century" w:hint="eastAsia"/>
          <w:sz w:val="22"/>
          <w:rtl/>
        </w:rPr>
        <w:t>ה</w:t>
      </w:r>
      <w:r w:rsidRPr="003B795B">
        <w:rPr>
          <w:rFonts w:ascii="Century" w:hAnsi="Century"/>
          <w:sz w:val="22"/>
          <w:rtl/>
        </w:rPr>
        <w:t xml:space="preserve"> 217</w:t>
      </w:r>
      <w:r w:rsidRPr="003E5F36">
        <w:rPr>
          <w:rtl/>
        </w:rPr>
        <w:t xml:space="preserve"> </w:t>
      </w:r>
      <w:r>
        <w:rPr>
          <w:rFonts w:hint="cs"/>
          <w:rtl/>
        </w:rPr>
        <w:t xml:space="preserve">(2001); אהרן ברק, "זכות הגישה למערכת השיפוטית" </w:t>
      </w:r>
      <w:r w:rsidRPr="00321C56">
        <w:rPr>
          <w:rFonts w:ascii="Century" w:hAnsi="Century" w:cs="Miriam" w:hint="cs"/>
          <w:b/>
          <w:spacing w:val="0"/>
          <w:sz w:val="22"/>
          <w:szCs w:val="24"/>
          <w:rtl/>
        </w:rPr>
        <w:t>ספר שלמה לוין</w:t>
      </w:r>
      <w:r w:rsidRPr="00321C56">
        <w:rPr>
          <w:rFonts w:hint="cs"/>
          <w:rtl/>
        </w:rPr>
        <w:t xml:space="preserve"> </w:t>
      </w:r>
      <w:r>
        <w:rPr>
          <w:rFonts w:hint="cs"/>
          <w:rtl/>
        </w:rPr>
        <w:t xml:space="preserve">31 (2013)).  </w:t>
      </w:r>
    </w:p>
    <w:p w:rsidR="00D512D4" w:rsidRPr="00931477" w:rsidRDefault="00D512D4" w:rsidP="000B6AE3">
      <w:pPr>
        <w:pStyle w:val="Ruller41"/>
        <w:spacing w:line="240" w:lineRule="auto"/>
      </w:pPr>
    </w:p>
    <w:p w:rsidR="00D512D4" w:rsidRDefault="00C65D6C" w:rsidP="00811B3D">
      <w:pPr>
        <w:pStyle w:val="Ruller4"/>
        <w:rPr>
          <w:rtl/>
        </w:rPr>
      </w:pPr>
      <w:r>
        <w:rPr>
          <w:rFonts w:hint="cs"/>
          <w:rtl/>
        </w:rPr>
        <w:t xml:space="preserve">הנה כי </w:t>
      </w:r>
      <w:r w:rsidR="00D512D4">
        <w:rPr>
          <w:rFonts w:hint="cs"/>
          <w:rtl/>
        </w:rPr>
        <w:t>כן, שלילת הזכות ל</w:t>
      </w:r>
      <w:r>
        <w:rPr>
          <w:rFonts w:hint="cs"/>
          <w:rtl/>
        </w:rPr>
        <w:t xml:space="preserve">הגיש </w:t>
      </w:r>
      <w:r w:rsidR="00D512D4">
        <w:rPr>
          <w:rFonts w:hint="cs"/>
          <w:rtl/>
        </w:rPr>
        <w:t xml:space="preserve">תביעת נזיקין, פוגעת, במישור העקרוני, במספר זכויות. עיון בטענות המשיבות מעלה, כי אף הן מסכימות, ששלילת האחריות הנזיקית של המדינה מפעולותיה ברצועת עזה, אכן פוגעת במערער עצמו, וכמוהו גם בכלל תושבי רצועת עזה. ברם, השאלה שלפנינו היא אחרת: האם שלילת הזכות להגשת תביעה נזיקית </w:t>
      </w:r>
      <w:r w:rsidR="00D512D4">
        <w:rPr>
          <w:rtl/>
        </w:rPr>
        <w:t>–</w:t>
      </w:r>
      <w:r w:rsidR="00D512D4">
        <w:rPr>
          <w:rFonts w:hint="cs"/>
          <w:rtl/>
        </w:rPr>
        <w:t xml:space="preserve"> מנתיני אויב ותושבי שטח אויב </w:t>
      </w:r>
      <w:r w:rsidR="00D512D4">
        <w:rPr>
          <w:rtl/>
        </w:rPr>
        <w:t>–</w:t>
      </w:r>
      <w:r w:rsidR="00D512D4">
        <w:rPr>
          <w:rFonts w:hint="cs"/>
          <w:rtl/>
        </w:rPr>
        <w:t xml:space="preserve"> מהווה פגיעה בזכויות </w:t>
      </w:r>
      <w:r w:rsidR="00D512D4" w:rsidRPr="00C45D5B">
        <w:rPr>
          <w:rFonts w:ascii="Century" w:hAnsi="Century" w:cs="Miriam" w:hint="cs"/>
          <w:b/>
          <w:spacing w:val="0"/>
          <w:sz w:val="22"/>
          <w:szCs w:val="24"/>
          <w:rtl/>
        </w:rPr>
        <w:t>חוקתי</w:t>
      </w:r>
      <w:r w:rsidR="00D512D4">
        <w:rPr>
          <w:rFonts w:ascii="Century" w:hAnsi="Century" w:cs="Miriam" w:hint="cs"/>
          <w:b/>
          <w:spacing w:val="0"/>
          <w:sz w:val="22"/>
          <w:szCs w:val="24"/>
          <w:rtl/>
        </w:rPr>
        <w:t>ו</w:t>
      </w:r>
      <w:r w:rsidR="00D512D4" w:rsidRPr="00C45D5B">
        <w:rPr>
          <w:rFonts w:ascii="Century" w:hAnsi="Century" w:cs="Miriam" w:hint="cs"/>
          <w:b/>
          <w:spacing w:val="0"/>
          <w:sz w:val="22"/>
          <w:szCs w:val="24"/>
          <w:rtl/>
        </w:rPr>
        <w:t>ת</w:t>
      </w:r>
      <w:r w:rsidR="00967B1F">
        <w:rPr>
          <w:rFonts w:hint="cs"/>
          <w:rtl/>
        </w:rPr>
        <w:t xml:space="preserve">? </w:t>
      </w:r>
      <w:r w:rsidR="00D512D4">
        <w:rPr>
          <w:rFonts w:hint="cs"/>
          <w:rtl/>
        </w:rPr>
        <w:t xml:space="preserve">במילים אחרות </w:t>
      </w:r>
      <w:r w:rsidR="00D512D4">
        <w:rPr>
          <w:rtl/>
        </w:rPr>
        <w:t>–</w:t>
      </w:r>
      <w:r w:rsidR="00D512D4">
        <w:rPr>
          <w:rFonts w:hint="cs"/>
          <w:rtl/>
        </w:rPr>
        <w:t xml:space="preserve"> האם לנתיני מדינת אויב נתונות זכויות </w:t>
      </w:r>
      <w:r w:rsidR="00D512D4" w:rsidRPr="00D10A2A">
        <w:rPr>
          <w:rFonts w:ascii="Century" w:hAnsi="Century" w:cs="Miriam" w:hint="cs"/>
          <w:b/>
          <w:spacing w:val="0"/>
          <w:sz w:val="22"/>
          <w:szCs w:val="24"/>
          <w:rtl/>
        </w:rPr>
        <w:t>חוקתיות</w:t>
      </w:r>
      <w:r w:rsidR="00D512D4" w:rsidRPr="00D10A2A">
        <w:rPr>
          <w:rFonts w:hint="cs"/>
          <w:rtl/>
        </w:rPr>
        <w:t xml:space="preserve"> </w:t>
      </w:r>
      <w:r w:rsidR="00D512D4">
        <w:rPr>
          <w:rFonts w:hint="cs"/>
          <w:rtl/>
        </w:rPr>
        <w:t>על-פי חוקי היסוד בישראל? אם כן, עיקר השאלה בהקשר זה, נוגע להיקף פרישתם ותחולתם של חוקי היסוד של מדינת ישראל; עד אנה משגת ידם? האם לחוקי היסוד תחולה אקסטרה-טריטוריאלית, מחוץ לגבולות ישראל? ואם כן, האם תחולה זו נכונה גם לפעולות שביצעה ישראל במדינות אויב? לדיון בשאלות אלו אעבור עתה.</w:t>
      </w:r>
    </w:p>
    <w:p w:rsidR="00D512D4" w:rsidRPr="00942570" w:rsidRDefault="00D512D4" w:rsidP="00D512D4">
      <w:pPr>
        <w:pStyle w:val="Ruller41"/>
      </w:pPr>
    </w:p>
    <w:p w:rsidR="00D512D4" w:rsidRDefault="00D512D4" w:rsidP="00C04DC8">
      <w:pPr>
        <w:pStyle w:val="4"/>
        <w:rPr>
          <w:rtl/>
        </w:rPr>
      </w:pPr>
      <w:bookmarkStart w:id="40" w:name="_Toc107851299"/>
      <w:bookmarkStart w:id="41" w:name="_Toc107851354"/>
      <w:r>
        <w:rPr>
          <w:rFonts w:hint="cs"/>
          <w:rtl/>
        </w:rPr>
        <w:t>ד.4.1.3.</w:t>
      </w:r>
      <w:r w:rsidRPr="00E14586">
        <w:rPr>
          <w:rFonts w:hint="cs"/>
          <w:rtl/>
        </w:rPr>
        <w:t xml:space="preserve"> </w:t>
      </w:r>
      <w:r>
        <w:rPr>
          <w:rFonts w:hint="cs"/>
          <w:rtl/>
        </w:rPr>
        <w:t>שאלת התחולה האקסטרה-טריטוריאלית של חוקי היסוד בשטח אויב</w:t>
      </w:r>
      <w:bookmarkEnd w:id="40"/>
      <w:bookmarkEnd w:id="41"/>
    </w:p>
    <w:p w:rsidR="00D512D4" w:rsidRDefault="00D512D4" w:rsidP="00AF25D2">
      <w:pPr>
        <w:pStyle w:val="Ruller4"/>
        <w:rPr>
          <w:rtl/>
        </w:rPr>
      </w:pPr>
      <w:r>
        <w:rPr>
          <w:rFonts w:hint="cs"/>
          <w:rtl/>
        </w:rPr>
        <w:t>לטענת המשיבות, השאלה האם חוק היסוד חל על המערער ושכמותו, היא שאלה מורכבת ביותר, הדורשת בירור מעמיק, שכן שאלת התחולה האקסטרה-טריטוריאלית של חוקי-היסוד, מעולם לא הוכרעה על-ידי בית משפט זה. יחד עם זאת, לעמדתן, משעה שסעיף 5ב(א)(1) לחוק עומד, כך או כך, במבחני פסקת ההגבלה,</w:t>
      </w:r>
      <w:r w:rsidRPr="007B1995">
        <w:rPr>
          <w:rFonts w:hint="cs"/>
          <w:rtl/>
        </w:rPr>
        <w:t xml:space="preserve"> </w:t>
      </w:r>
      <w:r>
        <w:rPr>
          <w:rFonts w:hint="cs"/>
          <w:rtl/>
        </w:rPr>
        <w:t xml:space="preserve">ניתן להותיר שאלה זו בצריך עיון. המערער מצדו, מפנה לעניין </w:t>
      </w:r>
      <w:r w:rsidRPr="003B2F73">
        <w:rPr>
          <w:rFonts w:ascii="Century" w:hAnsi="Century" w:cs="Miriam" w:hint="cs"/>
          <w:b/>
          <w:spacing w:val="0"/>
          <w:sz w:val="22"/>
          <w:szCs w:val="24"/>
          <w:rtl/>
        </w:rPr>
        <w:t>עדאלה</w:t>
      </w:r>
      <w:r>
        <w:rPr>
          <w:rFonts w:hint="cs"/>
          <w:rtl/>
        </w:rPr>
        <w:t xml:space="preserve">, שם נקבע, על-ידי הנשיא </w:t>
      </w:r>
      <w:r w:rsidRPr="003B795B">
        <w:rPr>
          <w:rFonts w:ascii="Century" w:hAnsi="Century" w:cs="Miriam" w:hint="eastAsia"/>
          <w:b/>
          <w:spacing w:val="0"/>
          <w:sz w:val="22"/>
          <w:szCs w:val="24"/>
          <w:rtl/>
        </w:rPr>
        <w:t>ברק</w:t>
      </w:r>
      <w:r>
        <w:rPr>
          <w:rFonts w:hint="cs"/>
          <w:rtl/>
        </w:rPr>
        <w:t>, כי הזכות של תושבי ה</w:t>
      </w:r>
      <w:r w:rsidR="00AF25D2">
        <w:rPr>
          <w:rFonts w:hint="cs"/>
          <w:rtl/>
        </w:rPr>
        <w:t>'</w:t>
      </w:r>
      <w:r>
        <w:rPr>
          <w:rFonts w:hint="cs"/>
          <w:rtl/>
        </w:rPr>
        <w:t xml:space="preserve">אזור' להגיש תביעת נזיקין, נתונה להם </w:t>
      </w:r>
      <w:r w:rsidRPr="003B2F73">
        <w:rPr>
          <w:rFonts w:ascii="Century" w:hAnsi="Century" w:cs="Miriam" w:hint="cs"/>
          <w:b/>
          <w:spacing w:val="0"/>
          <w:sz w:val="22"/>
          <w:szCs w:val="24"/>
          <w:rtl/>
        </w:rPr>
        <w:t>בישראל</w:t>
      </w:r>
      <w:r w:rsidR="00995FA7">
        <w:rPr>
          <w:rFonts w:hint="cs"/>
          <w:rtl/>
        </w:rPr>
        <w:t xml:space="preserve">, ועל </w:t>
      </w:r>
      <w:r>
        <w:rPr>
          <w:rFonts w:hint="cs"/>
          <w:rtl/>
        </w:rPr>
        <w:t xml:space="preserve">כן, שאלת התחולה האקסטרה-טריטוריאלית </w:t>
      </w:r>
      <w:r>
        <w:rPr>
          <w:rtl/>
        </w:rPr>
        <w:t>–</w:t>
      </w:r>
      <w:r>
        <w:rPr>
          <w:rFonts w:hint="cs"/>
          <w:rtl/>
        </w:rPr>
        <w:t xml:space="preserve"> כלל אינה מתעוררת; לשיטת המערער, קביעה זו יפה גם בענייננו. </w:t>
      </w:r>
    </w:p>
    <w:p w:rsidR="00D512D4" w:rsidRDefault="00D512D4" w:rsidP="00653268">
      <w:pPr>
        <w:pStyle w:val="Ruller4"/>
        <w:numPr>
          <w:ilvl w:val="0"/>
          <w:numId w:val="0"/>
        </w:numPr>
        <w:spacing w:line="240" w:lineRule="auto"/>
      </w:pPr>
    </w:p>
    <w:p w:rsidR="00D512D4" w:rsidRDefault="00D512D4" w:rsidP="00154174">
      <w:pPr>
        <w:pStyle w:val="Ruller4"/>
      </w:pPr>
      <w:r>
        <w:rPr>
          <w:rFonts w:hint="cs"/>
          <w:rtl/>
        </w:rPr>
        <w:lastRenderedPageBreak/>
        <w:t>כפי שהקדמתי לומר, סבורני כי סעיף 5ב(א)(1</w:t>
      </w:r>
      <w:r w:rsidR="00AF25D2">
        <w:rPr>
          <w:rFonts w:hint="cs"/>
          <w:rtl/>
        </w:rPr>
        <w:t xml:space="preserve">) לחוק צולח את המבחן החוקתי. על </w:t>
      </w:r>
      <w:r>
        <w:rPr>
          <w:rFonts w:hint="cs"/>
          <w:rtl/>
        </w:rPr>
        <w:t>כן, אלך גם אני בדרך שבה הלכו קודמַי, ואותיר שאלה סבוכה זו בצריך עיון, מבלי לטעת מסמרות בשאלת התחולה הא</w:t>
      </w:r>
      <w:r w:rsidR="00AF25D2">
        <w:rPr>
          <w:rFonts w:hint="cs"/>
          <w:rtl/>
        </w:rPr>
        <w:t>קסטרה-טריטוריאלית של חוקי היסוד;</w:t>
      </w:r>
      <w:r>
        <w:rPr>
          <w:rFonts w:hint="cs"/>
          <w:rtl/>
        </w:rPr>
        <w:t xml:space="preserve"> לא ביחס לתחולתם באיו"</w:t>
      </w:r>
      <w:r w:rsidR="00AF25D2">
        <w:rPr>
          <w:rFonts w:hint="cs"/>
          <w:rtl/>
        </w:rPr>
        <w:t xml:space="preserve">ש, ולא ביחס לתחולתם במדינת אויב, </w:t>
      </w:r>
      <w:r>
        <w:rPr>
          <w:rFonts w:hint="cs"/>
          <w:rtl/>
        </w:rPr>
        <w:t xml:space="preserve">או בשטח שהוכרז בצו כשטח אויב. </w:t>
      </w:r>
      <w:r w:rsidR="0054150C">
        <w:rPr>
          <w:rFonts w:hint="cs"/>
          <w:rtl/>
        </w:rPr>
        <w:t>לצד זאת, אעיר כמה הערות</w:t>
      </w:r>
      <w:r w:rsidR="00995FA7">
        <w:rPr>
          <w:rFonts w:hint="cs"/>
          <w:rtl/>
        </w:rPr>
        <w:t>.</w:t>
      </w:r>
    </w:p>
    <w:p w:rsidR="00D512D4" w:rsidRPr="002B0099" w:rsidRDefault="00D512D4" w:rsidP="00653268">
      <w:pPr>
        <w:pStyle w:val="Ruller4"/>
        <w:numPr>
          <w:ilvl w:val="0"/>
          <w:numId w:val="0"/>
        </w:numPr>
        <w:spacing w:line="240" w:lineRule="auto"/>
      </w:pPr>
    </w:p>
    <w:p w:rsidR="00D512D4" w:rsidRDefault="00D512D4" w:rsidP="00D512D4">
      <w:pPr>
        <w:pStyle w:val="Ruller4"/>
      </w:pPr>
      <w:r>
        <w:rPr>
          <w:rFonts w:hint="cs"/>
          <w:rtl/>
        </w:rPr>
        <w:t xml:space="preserve">בעניין </w:t>
      </w:r>
      <w:r w:rsidRPr="00C046E8">
        <w:rPr>
          <w:rFonts w:ascii="Century" w:hAnsi="Century" w:cs="Miriam" w:hint="cs"/>
          <w:b/>
          <w:spacing w:val="0"/>
          <w:sz w:val="22"/>
          <w:szCs w:val="24"/>
          <w:rtl/>
        </w:rPr>
        <w:t>עדאלה</w:t>
      </w:r>
      <w:r w:rsidRPr="00C046E8">
        <w:rPr>
          <w:rFonts w:hint="cs"/>
          <w:rtl/>
        </w:rPr>
        <w:t xml:space="preserve"> </w:t>
      </w:r>
      <w:r>
        <w:rPr>
          <w:rFonts w:hint="cs"/>
          <w:rtl/>
        </w:rPr>
        <w:t xml:space="preserve">קבע הנשיא </w:t>
      </w:r>
      <w:r w:rsidRPr="00CF429C">
        <w:rPr>
          <w:rFonts w:ascii="Century" w:hAnsi="Century" w:cs="Miriam" w:hint="cs"/>
          <w:b/>
          <w:spacing w:val="0"/>
          <w:sz w:val="22"/>
          <w:szCs w:val="24"/>
          <w:rtl/>
        </w:rPr>
        <w:t>ברק</w:t>
      </w:r>
      <w:r>
        <w:rPr>
          <w:rFonts w:hint="cs"/>
          <w:rtl/>
        </w:rPr>
        <w:t>, ביחס לסעיף 5ג לחוק, כך:</w:t>
      </w:r>
    </w:p>
    <w:p w:rsidR="00D512D4" w:rsidRDefault="00D512D4" w:rsidP="00D512D4">
      <w:pPr>
        <w:pStyle w:val="Ruller4"/>
        <w:numPr>
          <w:ilvl w:val="0"/>
          <w:numId w:val="0"/>
        </w:numPr>
        <w:rPr>
          <w:rtl/>
        </w:rPr>
      </w:pPr>
      <w:r>
        <w:rPr>
          <w:rFonts w:hint="cs"/>
          <w:rtl/>
        </w:rPr>
        <w:t xml:space="preserve"> </w:t>
      </w:r>
    </w:p>
    <w:p w:rsidR="00D512D4" w:rsidRPr="00D26974" w:rsidRDefault="00D512D4" w:rsidP="00167470">
      <w:pPr>
        <w:pStyle w:val="Ruller5"/>
        <w:spacing w:line="360" w:lineRule="auto"/>
        <w:rPr>
          <w:rFonts w:ascii="Century" w:hAnsi="Century"/>
          <w:rtl/>
        </w:rPr>
      </w:pPr>
      <w:r>
        <w:rPr>
          <w:rFonts w:ascii="Century" w:hAnsi="Century" w:cs="Miriam" w:hint="cs"/>
          <w:b/>
          <w:spacing w:val="0"/>
          <w:szCs w:val="24"/>
          <w:rtl/>
        </w:rPr>
        <w:t xml:space="preserve">"[...] </w:t>
      </w:r>
      <w:r w:rsidRPr="00C046E8">
        <w:rPr>
          <w:rFonts w:ascii="Century" w:hAnsi="Century" w:cs="Miriam" w:hint="eastAsia"/>
          <w:b/>
          <w:spacing w:val="0"/>
          <w:szCs w:val="24"/>
          <w:rtl/>
        </w:rPr>
        <w:t>סעיף</w:t>
      </w:r>
      <w:r w:rsidRPr="00C046E8">
        <w:rPr>
          <w:rFonts w:ascii="Century" w:hAnsi="Century" w:cs="Miriam"/>
          <w:b/>
          <w:spacing w:val="0"/>
          <w:szCs w:val="24"/>
          <w:rtl/>
        </w:rPr>
        <w:t xml:space="preserve"> 5</w:t>
      </w:r>
      <w:r w:rsidRPr="00C046E8">
        <w:rPr>
          <w:rFonts w:ascii="Century" w:hAnsi="Century" w:cs="Miriam" w:hint="eastAsia"/>
          <w:b/>
          <w:spacing w:val="0"/>
          <w:szCs w:val="24"/>
          <w:rtl/>
        </w:rPr>
        <w:t>ג</w:t>
      </w:r>
      <w:r w:rsidRPr="00C046E8">
        <w:rPr>
          <w:rFonts w:ascii="Century" w:hAnsi="Century" w:cs="Miriam"/>
          <w:b/>
          <w:spacing w:val="0"/>
          <w:szCs w:val="24"/>
          <w:rtl/>
        </w:rPr>
        <w:t xml:space="preserve"> </w:t>
      </w:r>
      <w:r w:rsidRPr="00C046E8">
        <w:rPr>
          <w:rFonts w:ascii="Century" w:hAnsi="Century" w:cs="Miriam" w:hint="eastAsia"/>
          <w:b/>
          <w:spacing w:val="0"/>
          <w:szCs w:val="24"/>
          <w:rtl/>
        </w:rPr>
        <w:t>לתיקון</w:t>
      </w:r>
      <w:r w:rsidRPr="00C046E8">
        <w:rPr>
          <w:rFonts w:ascii="Century" w:hAnsi="Century" w:cs="Miriam"/>
          <w:b/>
          <w:spacing w:val="0"/>
          <w:szCs w:val="24"/>
          <w:rtl/>
        </w:rPr>
        <w:t xml:space="preserve"> </w:t>
      </w:r>
      <w:r w:rsidRPr="00C046E8">
        <w:rPr>
          <w:rFonts w:ascii="Century" w:hAnsi="Century" w:cs="Miriam" w:hint="eastAsia"/>
          <w:b/>
          <w:spacing w:val="0"/>
          <w:szCs w:val="24"/>
          <w:rtl/>
        </w:rPr>
        <w:t>מס</w:t>
      </w:r>
      <w:r w:rsidRPr="00C046E8">
        <w:rPr>
          <w:rFonts w:ascii="Century" w:hAnsi="Century" w:cs="Miriam"/>
          <w:b/>
          <w:spacing w:val="0"/>
          <w:szCs w:val="24"/>
          <w:rtl/>
        </w:rPr>
        <w:t xml:space="preserve">' 7 </w:t>
      </w:r>
      <w:r w:rsidRPr="00C046E8">
        <w:rPr>
          <w:rFonts w:ascii="Century" w:hAnsi="Century" w:cs="Miriam" w:hint="eastAsia"/>
          <w:b/>
          <w:spacing w:val="0"/>
          <w:szCs w:val="24"/>
          <w:rtl/>
        </w:rPr>
        <w:t>קובע</w:t>
      </w:r>
      <w:r w:rsidRPr="00C046E8">
        <w:rPr>
          <w:rFonts w:ascii="Century" w:hAnsi="Century" w:cs="Miriam"/>
          <w:b/>
          <w:spacing w:val="0"/>
          <w:szCs w:val="24"/>
          <w:rtl/>
        </w:rPr>
        <w:t xml:space="preserve"> </w:t>
      </w:r>
      <w:r w:rsidRPr="00C046E8">
        <w:rPr>
          <w:rFonts w:ascii="Century" w:hAnsi="Century" w:cs="Miriam" w:hint="eastAsia"/>
          <w:b/>
          <w:spacing w:val="0"/>
          <w:szCs w:val="24"/>
          <w:rtl/>
        </w:rPr>
        <w:t>כי</w:t>
      </w:r>
      <w:r w:rsidRPr="00C046E8">
        <w:rPr>
          <w:rFonts w:ascii="Century" w:hAnsi="Century" w:cs="Miriam"/>
          <w:b/>
          <w:spacing w:val="0"/>
          <w:szCs w:val="24"/>
          <w:rtl/>
        </w:rPr>
        <w:t xml:space="preserve"> </w:t>
      </w:r>
      <w:r>
        <w:rPr>
          <w:rFonts w:ascii="Century" w:hAnsi="Century" w:cs="Miriam" w:hint="cs"/>
          <w:b/>
          <w:spacing w:val="0"/>
          <w:szCs w:val="24"/>
          <w:rtl/>
        </w:rPr>
        <w:t>'</w:t>
      </w:r>
      <w:r w:rsidRPr="00C046E8">
        <w:rPr>
          <w:rFonts w:ascii="Century" w:hAnsi="Century" w:cs="Miriam" w:hint="eastAsia"/>
          <w:b/>
          <w:spacing w:val="0"/>
          <w:szCs w:val="24"/>
          <w:rtl/>
        </w:rPr>
        <w:t>אין</w:t>
      </w:r>
      <w:r w:rsidRPr="00C046E8">
        <w:rPr>
          <w:rFonts w:ascii="Century" w:hAnsi="Century" w:cs="Miriam"/>
          <w:b/>
          <w:spacing w:val="0"/>
          <w:szCs w:val="24"/>
          <w:rtl/>
        </w:rPr>
        <w:t xml:space="preserve"> </w:t>
      </w:r>
      <w:r w:rsidRPr="00C046E8">
        <w:rPr>
          <w:rFonts w:ascii="Century" w:hAnsi="Century" w:cs="Miriam" w:hint="eastAsia"/>
          <w:b/>
          <w:spacing w:val="0"/>
          <w:szCs w:val="24"/>
          <w:rtl/>
        </w:rPr>
        <w:t>המדינה</w:t>
      </w:r>
      <w:r w:rsidRPr="00C046E8">
        <w:rPr>
          <w:rFonts w:ascii="Century" w:hAnsi="Century" w:cs="Miriam"/>
          <w:b/>
          <w:spacing w:val="0"/>
          <w:szCs w:val="24"/>
          <w:rtl/>
        </w:rPr>
        <w:t xml:space="preserve"> </w:t>
      </w:r>
      <w:r w:rsidRPr="00C046E8">
        <w:rPr>
          <w:rFonts w:ascii="Century" w:hAnsi="Century" w:cs="Miriam" w:hint="eastAsia"/>
          <w:b/>
          <w:spacing w:val="0"/>
          <w:szCs w:val="24"/>
          <w:rtl/>
        </w:rPr>
        <w:t>אחראית</w:t>
      </w:r>
      <w:r w:rsidRPr="00C046E8">
        <w:rPr>
          <w:rFonts w:ascii="Century" w:hAnsi="Century" w:cs="Miriam"/>
          <w:b/>
          <w:spacing w:val="0"/>
          <w:szCs w:val="24"/>
          <w:rtl/>
        </w:rPr>
        <w:t xml:space="preserve"> </w:t>
      </w:r>
      <w:r w:rsidRPr="00C046E8">
        <w:rPr>
          <w:rFonts w:ascii="Century" w:hAnsi="Century" w:cs="Miriam" w:hint="eastAsia"/>
          <w:b/>
          <w:spacing w:val="0"/>
          <w:szCs w:val="24"/>
          <w:rtl/>
        </w:rPr>
        <w:t>בנזיקין</w:t>
      </w:r>
      <w:r w:rsidRPr="00C046E8">
        <w:rPr>
          <w:rFonts w:ascii="Century" w:hAnsi="Century" w:cs="Miriam"/>
          <w:b/>
          <w:spacing w:val="0"/>
          <w:szCs w:val="24"/>
          <w:rtl/>
        </w:rPr>
        <w:t xml:space="preserve"> </w:t>
      </w:r>
      <w:r w:rsidRPr="00C046E8">
        <w:rPr>
          <w:rFonts w:ascii="Century" w:hAnsi="Century" w:cs="Miriam" w:hint="eastAsia"/>
          <w:b/>
          <w:spacing w:val="0"/>
          <w:szCs w:val="24"/>
          <w:rtl/>
        </w:rPr>
        <w:t>לנזק</w:t>
      </w:r>
      <w:r w:rsidRPr="00C046E8">
        <w:rPr>
          <w:rFonts w:ascii="Century" w:hAnsi="Century" w:cs="Miriam"/>
          <w:b/>
          <w:spacing w:val="0"/>
          <w:szCs w:val="24"/>
          <w:rtl/>
        </w:rPr>
        <w:t xml:space="preserve"> </w:t>
      </w:r>
      <w:r w:rsidRPr="00C046E8">
        <w:rPr>
          <w:rFonts w:ascii="Century" w:hAnsi="Century" w:cs="Miriam" w:hint="eastAsia"/>
          <w:b/>
          <w:spacing w:val="0"/>
          <w:szCs w:val="24"/>
          <w:rtl/>
        </w:rPr>
        <w:t>שנגרם</w:t>
      </w:r>
      <w:r w:rsidRPr="00C046E8">
        <w:rPr>
          <w:rFonts w:ascii="Century" w:hAnsi="Century" w:cs="Miriam"/>
          <w:b/>
          <w:spacing w:val="0"/>
          <w:szCs w:val="24"/>
          <w:rtl/>
        </w:rPr>
        <w:t xml:space="preserve"> </w:t>
      </w:r>
      <w:r w:rsidRPr="00C046E8">
        <w:rPr>
          <w:rFonts w:ascii="Century" w:hAnsi="Century" w:cs="Miriam" w:hint="eastAsia"/>
          <w:b/>
          <w:spacing w:val="0"/>
          <w:szCs w:val="24"/>
          <w:rtl/>
        </w:rPr>
        <w:t>באזור</w:t>
      </w:r>
      <w:r w:rsidRPr="00C046E8">
        <w:rPr>
          <w:rFonts w:ascii="Century" w:hAnsi="Century" w:cs="Miriam"/>
          <w:b/>
          <w:spacing w:val="0"/>
          <w:szCs w:val="24"/>
          <w:rtl/>
        </w:rPr>
        <w:t xml:space="preserve"> </w:t>
      </w:r>
      <w:r w:rsidRPr="00C046E8">
        <w:rPr>
          <w:rFonts w:ascii="Century" w:hAnsi="Century" w:cs="Miriam" w:hint="eastAsia"/>
          <w:b/>
          <w:spacing w:val="0"/>
          <w:szCs w:val="24"/>
          <w:rtl/>
        </w:rPr>
        <w:t>עימות</w:t>
      </w:r>
      <w:r w:rsidRPr="00C046E8">
        <w:rPr>
          <w:rFonts w:ascii="Century" w:hAnsi="Century" w:cs="Miriam"/>
          <w:b/>
          <w:spacing w:val="0"/>
          <w:szCs w:val="24"/>
          <w:rtl/>
        </w:rPr>
        <w:t xml:space="preserve"> </w:t>
      </w:r>
      <w:r w:rsidRPr="00C046E8">
        <w:rPr>
          <w:rFonts w:ascii="Century" w:hAnsi="Century" w:cs="Miriam" w:hint="eastAsia"/>
          <w:b/>
          <w:spacing w:val="0"/>
          <w:szCs w:val="24"/>
          <w:rtl/>
        </w:rPr>
        <w:t>בשל</w:t>
      </w:r>
      <w:r w:rsidRPr="00C046E8">
        <w:rPr>
          <w:rFonts w:ascii="Century" w:hAnsi="Century" w:cs="Miriam"/>
          <w:b/>
          <w:spacing w:val="0"/>
          <w:szCs w:val="24"/>
          <w:rtl/>
        </w:rPr>
        <w:t xml:space="preserve"> </w:t>
      </w:r>
      <w:r w:rsidRPr="00C046E8">
        <w:rPr>
          <w:rFonts w:ascii="Century" w:hAnsi="Century" w:cs="Miriam" w:hint="eastAsia"/>
          <w:b/>
          <w:spacing w:val="0"/>
          <w:szCs w:val="24"/>
          <w:rtl/>
        </w:rPr>
        <w:t>מעשה</w:t>
      </w:r>
      <w:r w:rsidRPr="00C046E8">
        <w:rPr>
          <w:rFonts w:ascii="Century" w:hAnsi="Century" w:cs="Miriam"/>
          <w:b/>
          <w:spacing w:val="0"/>
          <w:szCs w:val="24"/>
          <w:rtl/>
        </w:rPr>
        <w:t xml:space="preserve"> </w:t>
      </w:r>
      <w:r w:rsidRPr="00C046E8">
        <w:rPr>
          <w:rFonts w:ascii="Century" w:hAnsi="Century" w:cs="Miriam" w:hint="eastAsia"/>
          <w:b/>
          <w:spacing w:val="0"/>
          <w:szCs w:val="24"/>
          <w:rtl/>
        </w:rPr>
        <w:t>שביצעו</w:t>
      </w:r>
      <w:r w:rsidRPr="00C046E8">
        <w:rPr>
          <w:rFonts w:ascii="Century" w:hAnsi="Century" w:cs="Miriam"/>
          <w:b/>
          <w:spacing w:val="0"/>
          <w:szCs w:val="24"/>
          <w:rtl/>
        </w:rPr>
        <w:t xml:space="preserve"> </w:t>
      </w:r>
      <w:r w:rsidRPr="00C046E8">
        <w:rPr>
          <w:rFonts w:ascii="Century" w:hAnsi="Century" w:cs="Miriam" w:hint="eastAsia"/>
          <w:b/>
          <w:spacing w:val="0"/>
          <w:szCs w:val="24"/>
          <w:rtl/>
        </w:rPr>
        <w:t>כוחות</w:t>
      </w:r>
      <w:r w:rsidRPr="00C046E8">
        <w:rPr>
          <w:rFonts w:ascii="Century" w:hAnsi="Century" w:cs="Miriam"/>
          <w:b/>
          <w:spacing w:val="0"/>
          <w:szCs w:val="24"/>
          <w:rtl/>
        </w:rPr>
        <w:t xml:space="preserve"> </w:t>
      </w:r>
      <w:r w:rsidRPr="00C046E8">
        <w:rPr>
          <w:rFonts w:ascii="Century" w:hAnsi="Century" w:cs="Miriam" w:hint="eastAsia"/>
          <w:b/>
          <w:spacing w:val="0"/>
          <w:szCs w:val="24"/>
          <w:rtl/>
        </w:rPr>
        <w:t>הביטחון</w:t>
      </w:r>
      <w:r>
        <w:rPr>
          <w:rFonts w:ascii="Century" w:hAnsi="Century" w:cs="Miriam" w:hint="cs"/>
          <w:b/>
          <w:spacing w:val="0"/>
          <w:szCs w:val="24"/>
          <w:rtl/>
        </w:rPr>
        <w:t>'</w:t>
      </w:r>
      <w:r w:rsidRPr="00C046E8">
        <w:rPr>
          <w:rFonts w:ascii="Century" w:hAnsi="Century" w:cs="Miriam"/>
          <w:b/>
          <w:spacing w:val="0"/>
          <w:szCs w:val="24"/>
          <w:rtl/>
        </w:rPr>
        <w:t xml:space="preserve">. </w:t>
      </w:r>
      <w:r>
        <w:rPr>
          <w:rFonts w:ascii="Century" w:hAnsi="Century" w:cs="Miriam" w:hint="cs"/>
          <w:b/>
          <w:spacing w:val="0"/>
          <w:szCs w:val="24"/>
          <w:rtl/>
        </w:rPr>
        <w:t>'</w:t>
      </w:r>
      <w:r w:rsidRPr="00C046E8">
        <w:rPr>
          <w:rFonts w:ascii="Century" w:hAnsi="Century" w:cs="Miriam" w:hint="eastAsia"/>
          <w:b/>
          <w:spacing w:val="0"/>
          <w:szCs w:val="24"/>
          <w:rtl/>
        </w:rPr>
        <w:t>אזור</w:t>
      </w:r>
      <w:r w:rsidRPr="00C046E8">
        <w:rPr>
          <w:rFonts w:ascii="Century" w:hAnsi="Century" w:cs="Miriam"/>
          <w:b/>
          <w:spacing w:val="0"/>
          <w:szCs w:val="24"/>
          <w:rtl/>
        </w:rPr>
        <w:t xml:space="preserve"> </w:t>
      </w:r>
      <w:r w:rsidRPr="00C046E8">
        <w:rPr>
          <w:rFonts w:ascii="Century" w:hAnsi="Century" w:cs="Miriam" w:hint="eastAsia"/>
          <w:b/>
          <w:spacing w:val="0"/>
          <w:szCs w:val="24"/>
          <w:rtl/>
        </w:rPr>
        <w:t>עימות</w:t>
      </w:r>
      <w:r>
        <w:rPr>
          <w:rFonts w:ascii="Century" w:hAnsi="Century" w:cs="Miriam" w:hint="cs"/>
          <w:b/>
          <w:spacing w:val="0"/>
          <w:szCs w:val="24"/>
          <w:rtl/>
        </w:rPr>
        <w:t>'</w:t>
      </w:r>
      <w:r w:rsidRPr="00C046E8">
        <w:rPr>
          <w:rFonts w:ascii="Century" w:hAnsi="Century" w:cs="Miriam"/>
          <w:b/>
          <w:spacing w:val="0"/>
          <w:szCs w:val="24"/>
          <w:rtl/>
        </w:rPr>
        <w:t xml:space="preserve"> </w:t>
      </w:r>
      <w:r w:rsidRPr="00C046E8">
        <w:rPr>
          <w:rFonts w:ascii="Century" w:hAnsi="Century" w:cs="Miriam" w:hint="eastAsia"/>
          <w:b/>
          <w:spacing w:val="0"/>
          <w:szCs w:val="24"/>
          <w:rtl/>
        </w:rPr>
        <w:t>הוא</w:t>
      </w:r>
      <w:r w:rsidRPr="00C046E8">
        <w:rPr>
          <w:rFonts w:ascii="Century" w:hAnsi="Century" w:cs="Miriam"/>
          <w:b/>
          <w:spacing w:val="0"/>
          <w:szCs w:val="24"/>
          <w:rtl/>
        </w:rPr>
        <w:t xml:space="preserve"> </w:t>
      </w:r>
      <w:r w:rsidRPr="00C046E8">
        <w:rPr>
          <w:rFonts w:ascii="Century" w:hAnsi="Century" w:cs="Miriam" w:hint="eastAsia"/>
          <w:b/>
          <w:spacing w:val="0"/>
          <w:szCs w:val="24"/>
          <w:rtl/>
        </w:rPr>
        <w:t>מחוץ</w:t>
      </w:r>
      <w:r w:rsidRPr="00C046E8">
        <w:rPr>
          <w:rFonts w:ascii="Century" w:hAnsi="Century" w:cs="Miriam"/>
          <w:b/>
          <w:spacing w:val="0"/>
          <w:szCs w:val="24"/>
          <w:rtl/>
        </w:rPr>
        <w:t xml:space="preserve"> </w:t>
      </w:r>
      <w:r w:rsidRPr="00C046E8">
        <w:rPr>
          <w:rFonts w:ascii="Century" w:hAnsi="Century" w:cs="Miriam" w:hint="eastAsia"/>
          <w:b/>
          <w:spacing w:val="0"/>
          <w:szCs w:val="24"/>
          <w:rtl/>
        </w:rPr>
        <w:t>לישראל</w:t>
      </w:r>
      <w:r w:rsidRPr="00C046E8">
        <w:rPr>
          <w:rFonts w:ascii="Century" w:hAnsi="Century" w:cs="Miriam"/>
          <w:b/>
          <w:spacing w:val="0"/>
          <w:szCs w:val="24"/>
          <w:rtl/>
        </w:rPr>
        <w:t xml:space="preserve">. </w:t>
      </w:r>
      <w:r w:rsidRPr="00C046E8">
        <w:rPr>
          <w:rFonts w:ascii="Century" w:hAnsi="Century" w:cs="Miriam" w:hint="eastAsia"/>
          <w:b/>
          <w:spacing w:val="0"/>
          <w:szCs w:val="24"/>
          <w:rtl/>
        </w:rPr>
        <w:t>האם</w:t>
      </w:r>
      <w:r w:rsidRPr="00C046E8">
        <w:rPr>
          <w:rFonts w:ascii="Century" w:hAnsi="Century" w:cs="Miriam"/>
          <w:b/>
          <w:spacing w:val="0"/>
          <w:szCs w:val="24"/>
          <w:rtl/>
        </w:rPr>
        <w:t xml:space="preserve"> </w:t>
      </w:r>
      <w:r w:rsidRPr="00C046E8">
        <w:rPr>
          <w:rFonts w:ascii="Century" w:hAnsi="Century" w:cs="Miriam" w:hint="eastAsia"/>
          <w:b/>
          <w:spacing w:val="0"/>
          <w:szCs w:val="24"/>
          <w:rtl/>
        </w:rPr>
        <w:t>שאלת</w:t>
      </w:r>
      <w:r w:rsidRPr="00C046E8">
        <w:rPr>
          <w:rFonts w:ascii="Century" w:hAnsi="Century" w:cs="Miriam"/>
          <w:b/>
          <w:spacing w:val="0"/>
          <w:szCs w:val="24"/>
          <w:rtl/>
        </w:rPr>
        <w:t xml:space="preserve"> </w:t>
      </w:r>
      <w:r w:rsidRPr="00C046E8">
        <w:rPr>
          <w:rFonts w:ascii="Century" w:hAnsi="Century" w:cs="Miriam" w:hint="eastAsia"/>
          <w:b/>
          <w:spacing w:val="0"/>
          <w:szCs w:val="24"/>
          <w:rtl/>
        </w:rPr>
        <w:t>תחולתו</w:t>
      </w:r>
      <w:r w:rsidRPr="00C046E8">
        <w:rPr>
          <w:rFonts w:ascii="Century" w:hAnsi="Century" w:cs="Miriam"/>
          <w:b/>
          <w:spacing w:val="0"/>
          <w:szCs w:val="24"/>
          <w:rtl/>
        </w:rPr>
        <w:t xml:space="preserve"> </w:t>
      </w:r>
      <w:r w:rsidRPr="00C046E8">
        <w:rPr>
          <w:rFonts w:ascii="Century" w:hAnsi="Century" w:cs="Miriam" w:hint="eastAsia"/>
          <w:b/>
          <w:spacing w:val="0"/>
          <w:szCs w:val="24"/>
          <w:rtl/>
        </w:rPr>
        <w:t>של</w:t>
      </w:r>
      <w:r w:rsidRPr="00C046E8">
        <w:rPr>
          <w:rFonts w:ascii="Century" w:hAnsi="Century" w:cs="Miriam"/>
          <w:b/>
          <w:spacing w:val="0"/>
          <w:szCs w:val="24"/>
          <w:rtl/>
        </w:rPr>
        <w:t xml:space="preserve"> </w:t>
      </w:r>
      <w:r w:rsidRPr="00C046E8">
        <w:rPr>
          <w:rFonts w:ascii="Century" w:hAnsi="Century" w:cs="Miriam" w:hint="eastAsia"/>
          <w:b/>
          <w:spacing w:val="0"/>
          <w:szCs w:val="24"/>
          <w:rtl/>
        </w:rPr>
        <w:t>חוק</w:t>
      </w:r>
      <w:r w:rsidRPr="00C046E8">
        <w:rPr>
          <w:rFonts w:ascii="Century" w:hAnsi="Century" w:cs="Miriam"/>
          <w:b/>
          <w:spacing w:val="0"/>
          <w:szCs w:val="24"/>
          <w:rtl/>
        </w:rPr>
        <w:t>-</w:t>
      </w:r>
      <w:r w:rsidRPr="00C046E8">
        <w:rPr>
          <w:rFonts w:ascii="Century" w:hAnsi="Century" w:cs="Miriam" w:hint="eastAsia"/>
          <w:b/>
          <w:spacing w:val="0"/>
          <w:szCs w:val="24"/>
          <w:rtl/>
        </w:rPr>
        <w:t>יסוד</w:t>
      </w:r>
      <w:r w:rsidRPr="00C046E8">
        <w:rPr>
          <w:rFonts w:ascii="Century" w:hAnsi="Century" w:cs="Miriam"/>
          <w:b/>
          <w:spacing w:val="0"/>
          <w:szCs w:val="24"/>
          <w:rtl/>
        </w:rPr>
        <w:t xml:space="preserve">: </w:t>
      </w:r>
      <w:r w:rsidRPr="00C046E8">
        <w:rPr>
          <w:rFonts w:ascii="Century" w:hAnsi="Century" w:cs="Miriam" w:hint="eastAsia"/>
          <w:b/>
          <w:spacing w:val="0"/>
          <w:szCs w:val="24"/>
          <w:rtl/>
        </w:rPr>
        <w:t>כבוד</w:t>
      </w:r>
      <w:r w:rsidRPr="00C046E8">
        <w:rPr>
          <w:rFonts w:ascii="Century" w:hAnsi="Century" w:cs="Miriam"/>
          <w:b/>
          <w:spacing w:val="0"/>
          <w:szCs w:val="24"/>
          <w:rtl/>
        </w:rPr>
        <w:t xml:space="preserve"> </w:t>
      </w:r>
      <w:r w:rsidRPr="00C046E8">
        <w:rPr>
          <w:rFonts w:ascii="Century" w:hAnsi="Century" w:cs="Miriam" w:hint="eastAsia"/>
          <w:b/>
          <w:spacing w:val="0"/>
          <w:szCs w:val="24"/>
          <w:rtl/>
        </w:rPr>
        <w:t>האדם</w:t>
      </w:r>
      <w:r w:rsidRPr="00C046E8">
        <w:rPr>
          <w:rFonts w:ascii="Century" w:hAnsi="Century" w:cs="Miriam"/>
          <w:b/>
          <w:spacing w:val="0"/>
          <w:szCs w:val="24"/>
          <w:rtl/>
        </w:rPr>
        <w:t xml:space="preserve"> </w:t>
      </w:r>
      <w:r w:rsidRPr="00C046E8">
        <w:rPr>
          <w:rFonts w:ascii="Century" w:hAnsi="Century" w:cs="Miriam" w:hint="eastAsia"/>
          <w:b/>
          <w:spacing w:val="0"/>
          <w:szCs w:val="24"/>
          <w:rtl/>
        </w:rPr>
        <w:t>וחירותו</w:t>
      </w:r>
      <w:r w:rsidRPr="00C046E8">
        <w:rPr>
          <w:rFonts w:ascii="Century" w:hAnsi="Century" w:cs="Miriam"/>
          <w:b/>
          <w:spacing w:val="0"/>
          <w:szCs w:val="24"/>
          <w:rtl/>
        </w:rPr>
        <w:t xml:space="preserve"> </w:t>
      </w:r>
      <w:r w:rsidRPr="00C046E8">
        <w:rPr>
          <w:rFonts w:ascii="Century" w:hAnsi="Century" w:cs="Miriam" w:hint="eastAsia"/>
          <w:b/>
          <w:spacing w:val="0"/>
          <w:szCs w:val="24"/>
          <w:rtl/>
        </w:rPr>
        <w:t>מחוץ</w:t>
      </w:r>
      <w:r w:rsidRPr="00C046E8">
        <w:rPr>
          <w:rFonts w:ascii="Century" w:hAnsi="Century" w:cs="Miriam"/>
          <w:b/>
          <w:spacing w:val="0"/>
          <w:szCs w:val="24"/>
          <w:rtl/>
        </w:rPr>
        <w:t xml:space="preserve"> </w:t>
      </w:r>
      <w:r w:rsidRPr="00C046E8">
        <w:rPr>
          <w:rFonts w:ascii="Century" w:hAnsi="Century" w:cs="Miriam" w:hint="eastAsia"/>
          <w:b/>
          <w:spacing w:val="0"/>
          <w:szCs w:val="24"/>
          <w:rtl/>
        </w:rPr>
        <w:t>לישראל</w:t>
      </w:r>
      <w:r w:rsidRPr="00C046E8">
        <w:rPr>
          <w:rFonts w:ascii="Century" w:hAnsi="Century" w:cs="Miriam"/>
          <w:b/>
          <w:spacing w:val="0"/>
          <w:szCs w:val="24"/>
          <w:rtl/>
        </w:rPr>
        <w:t xml:space="preserve"> </w:t>
      </w:r>
      <w:r w:rsidRPr="00C046E8">
        <w:rPr>
          <w:rFonts w:ascii="Century" w:hAnsi="Century" w:cs="Miriam" w:hint="eastAsia"/>
          <w:b/>
          <w:spacing w:val="0"/>
          <w:szCs w:val="24"/>
          <w:rtl/>
        </w:rPr>
        <w:t>מתעוררת</w:t>
      </w:r>
      <w:r w:rsidRPr="00C046E8">
        <w:rPr>
          <w:rFonts w:ascii="Century" w:hAnsi="Century" w:cs="Miriam"/>
          <w:b/>
          <w:spacing w:val="0"/>
          <w:szCs w:val="24"/>
          <w:rtl/>
        </w:rPr>
        <w:t xml:space="preserve"> </w:t>
      </w:r>
      <w:r w:rsidRPr="00C046E8">
        <w:rPr>
          <w:rFonts w:ascii="Century" w:hAnsi="Century" w:cs="Miriam" w:hint="eastAsia"/>
          <w:b/>
          <w:spacing w:val="0"/>
          <w:szCs w:val="24"/>
          <w:rtl/>
        </w:rPr>
        <w:t>לעניינה</w:t>
      </w:r>
      <w:r w:rsidRPr="00C046E8">
        <w:rPr>
          <w:rFonts w:ascii="Century" w:hAnsi="Century" w:cs="Miriam"/>
          <w:b/>
          <w:spacing w:val="0"/>
          <w:szCs w:val="24"/>
          <w:rtl/>
        </w:rPr>
        <w:t xml:space="preserve"> </w:t>
      </w:r>
      <w:r w:rsidRPr="00C046E8">
        <w:rPr>
          <w:rFonts w:ascii="Century" w:hAnsi="Century" w:cs="Miriam" w:hint="eastAsia"/>
          <w:b/>
          <w:spacing w:val="0"/>
          <w:szCs w:val="24"/>
          <w:rtl/>
        </w:rPr>
        <w:t>של</w:t>
      </w:r>
      <w:r w:rsidRPr="00C046E8">
        <w:rPr>
          <w:rFonts w:ascii="Century" w:hAnsi="Century" w:cs="Miriam"/>
          <w:b/>
          <w:spacing w:val="0"/>
          <w:szCs w:val="24"/>
          <w:rtl/>
        </w:rPr>
        <w:t xml:space="preserve"> </w:t>
      </w:r>
      <w:r w:rsidRPr="00C046E8">
        <w:rPr>
          <w:rFonts w:ascii="Century" w:hAnsi="Century" w:cs="Miriam" w:hint="eastAsia"/>
          <w:b/>
          <w:spacing w:val="0"/>
          <w:szCs w:val="24"/>
          <w:rtl/>
        </w:rPr>
        <w:t>הוראה</w:t>
      </w:r>
      <w:r w:rsidRPr="00C046E8">
        <w:rPr>
          <w:rFonts w:ascii="Century" w:hAnsi="Century" w:cs="Miriam"/>
          <w:b/>
          <w:spacing w:val="0"/>
          <w:szCs w:val="24"/>
          <w:rtl/>
        </w:rPr>
        <w:t xml:space="preserve"> </w:t>
      </w:r>
      <w:r w:rsidRPr="00C046E8">
        <w:rPr>
          <w:rFonts w:ascii="Century" w:hAnsi="Century" w:cs="Miriam" w:hint="eastAsia"/>
          <w:b/>
          <w:spacing w:val="0"/>
          <w:szCs w:val="24"/>
          <w:rtl/>
        </w:rPr>
        <w:t>זו</w:t>
      </w:r>
      <w:r w:rsidRPr="00C046E8">
        <w:rPr>
          <w:rFonts w:ascii="Century" w:hAnsi="Century" w:cs="Miriam"/>
          <w:b/>
          <w:spacing w:val="0"/>
          <w:szCs w:val="24"/>
          <w:rtl/>
        </w:rPr>
        <w:t xml:space="preserve">? </w:t>
      </w:r>
      <w:r w:rsidRPr="00C046E8">
        <w:rPr>
          <w:rFonts w:ascii="Century" w:hAnsi="Century" w:cs="Miriam" w:hint="eastAsia"/>
          <w:b/>
          <w:spacing w:val="0"/>
          <w:szCs w:val="24"/>
          <w:rtl/>
        </w:rPr>
        <w:t>תשובתי</w:t>
      </w:r>
      <w:r w:rsidRPr="00C046E8">
        <w:rPr>
          <w:rFonts w:ascii="Century" w:hAnsi="Century" w:cs="Miriam"/>
          <w:b/>
          <w:spacing w:val="0"/>
          <w:szCs w:val="24"/>
          <w:rtl/>
        </w:rPr>
        <w:t xml:space="preserve"> </w:t>
      </w:r>
      <w:r w:rsidRPr="00C046E8">
        <w:rPr>
          <w:rFonts w:ascii="Century" w:hAnsi="Century" w:cs="Miriam" w:hint="eastAsia"/>
          <w:b/>
          <w:spacing w:val="0"/>
          <w:szCs w:val="24"/>
          <w:rtl/>
        </w:rPr>
        <w:t>היא</w:t>
      </w:r>
      <w:r w:rsidRPr="00C046E8">
        <w:rPr>
          <w:rFonts w:ascii="Century" w:hAnsi="Century" w:cs="Miriam"/>
          <w:b/>
          <w:spacing w:val="0"/>
          <w:szCs w:val="24"/>
          <w:rtl/>
        </w:rPr>
        <w:t xml:space="preserve"> </w:t>
      </w:r>
      <w:r w:rsidRPr="00C046E8">
        <w:rPr>
          <w:rFonts w:ascii="Century" w:hAnsi="Century" w:cs="Miriam" w:hint="eastAsia"/>
          <w:b/>
          <w:spacing w:val="0"/>
          <w:szCs w:val="24"/>
          <w:rtl/>
        </w:rPr>
        <w:t>בשלילה</w:t>
      </w:r>
      <w:r w:rsidRPr="00C046E8">
        <w:rPr>
          <w:rFonts w:ascii="Century" w:hAnsi="Century" w:cs="Miriam"/>
          <w:b/>
          <w:spacing w:val="0"/>
          <w:szCs w:val="24"/>
          <w:rtl/>
        </w:rPr>
        <w:t xml:space="preserve">. </w:t>
      </w:r>
      <w:r w:rsidRPr="00C046E8">
        <w:rPr>
          <w:rFonts w:ascii="Century" w:hAnsi="Century" w:cs="Miriam" w:hint="eastAsia"/>
          <w:b/>
          <w:spacing w:val="0"/>
          <w:szCs w:val="24"/>
          <w:u w:val="single"/>
          <w:rtl/>
        </w:rPr>
        <w:t>הזכויות</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של</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תושבי</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האזור</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אשר</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תיקון</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מס</w:t>
      </w:r>
      <w:r w:rsidRPr="00C046E8">
        <w:rPr>
          <w:rFonts w:ascii="Century" w:hAnsi="Century" w:cs="Miriam"/>
          <w:b/>
          <w:spacing w:val="0"/>
          <w:szCs w:val="24"/>
          <w:u w:val="single"/>
          <w:rtl/>
        </w:rPr>
        <w:t xml:space="preserve">' 7 </w:t>
      </w:r>
      <w:r w:rsidRPr="00C046E8">
        <w:rPr>
          <w:rFonts w:ascii="Century" w:hAnsi="Century" w:cs="Miriam" w:hint="eastAsia"/>
          <w:b/>
          <w:spacing w:val="0"/>
          <w:szCs w:val="24"/>
          <w:u w:val="single"/>
          <w:rtl/>
        </w:rPr>
        <w:t>פוגע</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בהן</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הן</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זכויות</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המוקנות</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להם</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בישראל</w:t>
      </w:r>
      <w:r w:rsidRPr="00C046E8">
        <w:rPr>
          <w:rFonts w:ascii="Century" w:hAnsi="Century" w:cs="Miriam"/>
          <w:b/>
          <w:spacing w:val="0"/>
          <w:szCs w:val="24"/>
          <w:rtl/>
        </w:rPr>
        <w:t xml:space="preserve">. </w:t>
      </w:r>
      <w:r w:rsidRPr="00C046E8">
        <w:rPr>
          <w:rFonts w:ascii="Century" w:hAnsi="Century" w:cs="Miriam" w:hint="eastAsia"/>
          <w:b/>
          <w:spacing w:val="0"/>
          <w:szCs w:val="24"/>
          <w:rtl/>
        </w:rPr>
        <w:t>אלה</w:t>
      </w:r>
      <w:r w:rsidRPr="00C046E8">
        <w:rPr>
          <w:rFonts w:ascii="Century" w:hAnsi="Century" w:cs="Miriam"/>
          <w:b/>
          <w:spacing w:val="0"/>
          <w:szCs w:val="24"/>
          <w:rtl/>
        </w:rPr>
        <w:t xml:space="preserve"> </w:t>
      </w:r>
      <w:r w:rsidRPr="00C046E8">
        <w:rPr>
          <w:rFonts w:ascii="Century" w:hAnsi="Century" w:cs="Miriam" w:hint="eastAsia"/>
          <w:b/>
          <w:spacing w:val="0"/>
          <w:szCs w:val="24"/>
          <w:rtl/>
        </w:rPr>
        <w:t>הם</w:t>
      </w:r>
      <w:r w:rsidRPr="00C046E8">
        <w:rPr>
          <w:rFonts w:ascii="Century" w:hAnsi="Century" w:cs="Miriam"/>
          <w:b/>
          <w:spacing w:val="0"/>
          <w:szCs w:val="24"/>
          <w:rtl/>
        </w:rPr>
        <w:t xml:space="preserve"> </w:t>
      </w:r>
      <w:r w:rsidRPr="00C046E8">
        <w:rPr>
          <w:rFonts w:ascii="Century" w:hAnsi="Century" w:cs="Miriam" w:hint="eastAsia"/>
          <w:b/>
          <w:spacing w:val="0"/>
          <w:szCs w:val="24"/>
          <w:rtl/>
        </w:rPr>
        <w:t>זכויותיהם</w:t>
      </w:r>
      <w:r w:rsidRPr="00C046E8">
        <w:rPr>
          <w:rFonts w:ascii="Century" w:hAnsi="Century" w:cs="Miriam"/>
          <w:b/>
          <w:spacing w:val="0"/>
          <w:szCs w:val="24"/>
          <w:rtl/>
        </w:rPr>
        <w:t xml:space="preserve">, </w:t>
      </w:r>
      <w:r w:rsidRPr="00C046E8">
        <w:rPr>
          <w:rFonts w:ascii="Century" w:hAnsi="Century" w:cs="Miriam" w:hint="eastAsia"/>
          <w:b/>
          <w:spacing w:val="0"/>
          <w:szCs w:val="24"/>
          <w:rtl/>
        </w:rPr>
        <w:t>על</w:t>
      </w:r>
      <w:r w:rsidRPr="00C046E8">
        <w:rPr>
          <w:rFonts w:ascii="Century" w:hAnsi="Century" w:cs="Miriam"/>
          <w:b/>
          <w:spacing w:val="0"/>
          <w:szCs w:val="24"/>
          <w:rtl/>
        </w:rPr>
        <w:t xml:space="preserve"> </w:t>
      </w:r>
      <w:r w:rsidRPr="00C046E8">
        <w:rPr>
          <w:rFonts w:ascii="Century" w:hAnsi="Century" w:cs="Miriam" w:hint="eastAsia"/>
          <w:b/>
          <w:spacing w:val="0"/>
          <w:szCs w:val="24"/>
          <w:rtl/>
        </w:rPr>
        <w:t>פי</w:t>
      </w:r>
      <w:r w:rsidRPr="00C046E8">
        <w:rPr>
          <w:rFonts w:ascii="Century" w:hAnsi="Century" w:cs="Miriam"/>
          <w:b/>
          <w:spacing w:val="0"/>
          <w:szCs w:val="24"/>
          <w:rtl/>
        </w:rPr>
        <w:t xml:space="preserve"> </w:t>
      </w:r>
      <w:r w:rsidRPr="00C046E8">
        <w:rPr>
          <w:rFonts w:ascii="Century" w:hAnsi="Century" w:cs="Miriam" w:hint="eastAsia"/>
          <w:b/>
          <w:spacing w:val="0"/>
          <w:szCs w:val="24"/>
          <w:rtl/>
        </w:rPr>
        <w:t>המשפט</w:t>
      </w:r>
      <w:r w:rsidRPr="00C046E8">
        <w:rPr>
          <w:rFonts w:ascii="Century" w:hAnsi="Century" w:cs="Miriam"/>
          <w:b/>
          <w:spacing w:val="0"/>
          <w:szCs w:val="24"/>
          <w:rtl/>
        </w:rPr>
        <w:t xml:space="preserve"> </w:t>
      </w:r>
      <w:r w:rsidRPr="00C046E8">
        <w:rPr>
          <w:rFonts w:ascii="Century" w:hAnsi="Century" w:cs="Miriam" w:hint="eastAsia"/>
          <w:b/>
          <w:spacing w:val="0"/>
          <w:szCs w:val="24"/>
          <w:rtl/>
        </w:rPr>
        <w:t>הבינלאומי</w:t>
      </w:r>
      <w:r w:rsidRPr="00C046E8">
        <w:rPr>
          <w:rFonts w:ascii="Century" w:hAnsi="Century" w:cs="Miriam"/>
          <w:b/>
          <w:spacing w:val="0"/>
          <w:szCs w:val="24"/>
          <w:rtl/>
        </w:rPr>
        <w:t xml:space="preserve"> </w:t>
      </w:r>
      <w:r w:rsidRPr="00C046E8">
        <w:rPr>
          <w:rFonts w:ascii="Century" w:hAnsi="Century" w:cs="Miriam" w:hint="eastAsia"/>
          <w:b/>
          <w:spacing w:val="0"/>
          <w:szCs w:val="24"/>
          <w:rtl/>
        </w:rPr>
        <w:t>הפרטי</w:t>
      </w:r>
      <w:r w:rsidRPr="00C046E8">
        <w:rPr>
          <w:rFonts w:ascii="Century" w:hAnsi="Century" w:cs="Miriam"/>
          <w:b/>
          <w:spacing w:val="0"/>
          <w:szCs w:val="24"/>
          <w:rtl/>
        </w:rPr>
        <w:t xml:space="preserve"> </w:t>
      </w:r>
      <w:r w:rsidRPr="00C046E8">
        <w:rPr>
          <w:rFonts w:ascii="Century" w:hAnsi="Century" w:cs="Miriam" w:hint="eastAsia"/>
          <w:b/>
          <w:spacing w:val="0"/>
          <w:szCs w:val="24"/>
          <w:rtl/>
        </w:rPr>
        <w:t>הישראלי</w:t>
      </w:r>
      <w:r w:rsidRPr="00C046E8">
        <w:rPr>
          <w:rFonts w:ascii="Century" w:hAnsi="Century" w:cs="Miriam"/>
          <w:b/>
          <w:spacing w:val="0"/>
          <w:szCs w:val="24"/>
          <w:rtl/>
        </w:rPr>
        <w:t xml:space="preserve">. </w:t>
      </w:r>
      <w:r w:rsidRPr="00C046E8">
        <w:rPr>
          <w:rFonts w:ascii="Century" w:hAnsi="Century" w:cs="Miriam" w:hint="eastAsia"/>
          <w:b/>
          <w:spacing w:val="0"/>
          <w:szCs w:val="24"/>
          <w:rtl/>
        </w:rPr>
        <w:t>לפיו</w:t>
      </w:r>
      <w:r w:rsidRPr="00C046E8">
        <w:rPr>
          <w:rFonts w:ascii="Century" w:hAnsi="Century" w:cs="Miriam"/>
          <w:b/>
          <w:spacing w:val="0"/>
          <w:szCs w:val="24"/>
          <w:rtl/>
        </w:rPr>
        <w:t xml:space="preserve">, </w:t>
      </w:r>
      <w:r w:rsidRPr="00C046E8">
        <w:rPr>
          <w:rFonts w:ascii="Century" w:hAnsi="Century" w:cs="Miriam" w:hint="eastAsia"/>
          <w:b/>
          <w:spacing w:val="0"/>
          <w:szCs w:val="24"/>
          <w:rtl/>
        </w:rPr>
        <w:t>בהתקיים</w:t>
      </w:r>
      <w:r w:rsidRPr="00C046E8">
        <w:rPr>
          <w:rFonts w:ascii="Century" w:hAnsi="Century" w:cs="Miriam"/>
          <w:b/>
          <w:spacing w:val="0"/>
          <w:szCs w:val="24"/>
          <w:rtl/>
        </w:rPr>
        <w:t xml:space="preserve"> </w:t>
      </w:r>
      <w:r w:rsidRPr="00C046E8">
        <w:rPr>
          <w:rFonts w:ascii="Century" w:hAnsi="Century" w:cs="Miriam" w:hint="eastAsia"/>
          <w:b/>
          <w:spacing w:val="0"/>
          <w:szCs w:val="24"/>
          <w:rtl/>
        </w:rPr>
        <w:t>הנסיבות</w:t>
      </w:r>
      <w:r w:rsidRPr="00C046E8">
        <w:rPr>
          <w:rFonts w:ascii="Century" w:hAnsi="Century" w:cs="Miriam"/>
          <w:b/>
          <w:spacing w:val="0"/>
          <w:szCs w:val="24"/>
          <w:rtl/>
        </w:rPr>
        <w:t xml:space="preserve"> </w:t>
      </w:r>
      <w:r w:rsidRPr="00C046E8">
        <w:rPr>
          <w:rFonts w:ascii="Century" w:hAnsi="Century" w:cs="Miriam" w:hint="eastAsia"/>
          <w:b/>
          <w:spacing w:val="0"/>
          <w:szCs w:val="24"/>
          <w:rtl/>
        </w:rPr>
        <w:t>המתאימות</w:t>
      </w:r>
      <w:r w:rsidRPr="00C046E8">
        <w:rPr>
          <w:rFonts w:ascii="Century" w:hAnsi="Century" w:cs="Miriam"/>
          <w:b/>
          <w:spacing w:val="0"/>
          <w:szCs w:val="24"/>
          <w:rtl/>
        </w:rPr>
        <w:t xml:space="preserve">, </w:t>
      </w:r>
      <w:r w:rsidRPr="00C046E8">
        <w:rPr>
          <w:rFonts w:ascii="Century" w:hAnsi="Century" w:cs="Miriam" w:hint="eastAsia"/>
          <w:b/>
          <w:spacing w:val="0"/>
          <w:szCs w:val="24"/>
          <w:rtl/>
        </w:rPr>
        <w:t>ניתן</w:t>
      </w:r>
      <w:r w:rsidRPr="00C046E8">
        <w:rPr>
          <w:rFonts w:ascii="Century" w:hAnsi="Century" w:cs="Miriam"/>
          <w:b/>
          <w:spacing w:val="0"/>
          <w:szCs w:val="24"/>
          <w:rtl/>
        </w:rPr>
        <w:t xml:space="preserve"> </w:t>
      </w:r>
      <w:r w:rsidRPr="00C046E8">
        <w:rPr>
          <w:rFonts w:ascii="Century" w:hAnsi="Century" w:cs="Miriam" w:hint="eastAsia"/>
          <w:b/>
          <w:spacing w:val="0"/>
          <w:szCs w:val="24"/>
          <w:rtl/>
        </w:rPr>
        <w:t>לתבוע</w:t>
      </w:r>
      <w:r w:rsidRPr="00C046E8">
        <w:rPr>
          <w:rFonts w:ascii="Century" w:hAnsi="Century" w:cs="Miriam"/>
          <w:b/>
          <w:spacing w:val="0"/>
          <w:szCs w:val="24"/>
          <w:rtl/>
        </w:rPr>
        <w:t xml:space="preserve"> </w:t>
      </w:r>
      <w:r w:rsidRPr="00C046E8">
        <w:rPr>
          <w:rFonts w:ascii="Century" w:hAnsi="Century" w:cs="Miriam" w:hint="eastAsia"/>
          <w:b/>
          <w:spacing w:val="0"/>
          <w:szCs w:val="24"/>
          <w:rtl/>
        </w:rPr>
        <w:t>בישראל</w:t>
      </w:r>
      <w:r w:rsidRPr="00C046E8">
        <w:rPr>
          <w:rFonts w:ascii="Century" w:hAnsi="Century" w:cs="Miriam"/>
          <w:b/>
          <w:spacing w:val="0"/>
          <w:szCs w:val="24"/>
          <w:rtl/>
        </w:rPr>
        <w:t xml:space="preserve">, </w:t>
      </w:r>
      <w:r w:rsidRPr="00C046E8">
        <w:rPr>
          <w:rFonts w:ascii="Century" w:hAnsi="Century" w:cs="Miriam" w:hint="eastAsia"/>
          <w:b/>
          <w:spacing w:val="0"/>
          <w:szCs w:val="24"/>
          <w:rtl/>
        </w:rPr>
        <w:t>ועל</w:t>
      </w:r>
      <w:r w:rsidRPr="00C046E8">
        <w:rPr>
          <w:rFonts w:ascii="Century" w:hAnsi="Century" w:cs="Miriam"/>
          <w:b/>
          <w:spacing w:val="0"/>
          <w:szCs w:val="24"/>
          <w:rtl/>
        </w:rPr>
        <w:t>-</w:t>
      </w:r>
      <w:r w:rsidRPr="00C046E8">
        <w:rPr>
          <w:rFonts w:ascii="Century" w:hAnsi="Century" w:cs="Miriam" w:hint="eastAsia"/>
          <w:b/>
          <w:spacing w:val="0"/>
          <w:szCs w:val="24"/>
          <w:rtl/>
        </w:rPr>
        <w:t>פי</w:t>
      </w:r>
      <w:r w:rsidRPr="00C046E8">
        <w:rPr>
          <w:rFonts w:ascii="Century" w:hAnsi="Century" w:cs="Miriam"/>
          <w:b/>
          <w:spacing w:val="0"/>
          <w:szCs w:val="24"/>
          <w:rtl/>
        </w:rPr>
        <w:t xml:space="preserve"> </w:t>
      </w:r>
      <w:r w:rsidRPr="00C046E8">
        <w:rPr>
          <w:rFonts w:ascii="Century" w:hAnsi="Century" w:cs="Miriam" w:hint="eastAsia"/>
          <w:b/>
          <w:spacing w:val="0"/>
          <w:szCs w:val="24"/>
          <w:rtl/>
        </w:rPr>
        <w:t>דיני</w:t>
      </w:r>
      <w:r w:rsidRPr="00C046E8">
        <w:rPr>
          <w:rFonts w:ascii="Century" w:hAnsi="Century" w:cs="Miriam"/>
          <w:b/>
          <w:spacing w:val="0"/>
          <w:szCs w:val="24"/>
          <w:rtl/>
        </w:rPr>
        <w:t xml:space="preserve"> </w:t>
      </w:r>
      <w:r w:rsidRPr="00C046E8">
        <w:rPr>
          <w:rFonts w:ascii="Century" w:hAnsi="Century" w:cs="Miriam" w:hint="eastAsia"/>
          <w:b/>
          <w:spacing w:val="0"/>
          <w:szCs w:val="24"/>
          <w:rtl/>
        </w:rPr>
        <w:t>הנזיקין</w:t>
      </w:r>
      <w:r w:rsidRPr="00C046E8">
        <w:rPr>
          <w:rFonts w:ascii="Century" w:hAnsi="Century" w:cs="Miriam"/>
          <w:b/>
          <w:spacing w:val="0"/>
          <w:szCs w:val="24"/>
          <w:rtl/>
        </w:rPr>
        <w:t xml:space="preserve"> </w:t>
      </w:r>
      <w:r w:rsidRPr="00C046E8">
        <w:rPr>
          <w:rFonts w:ascii="Century" w:hAnsi="Century" w:cs="Miriam" w:hint="eastAsia"/>
          <w:b/>
          <w:spacing w:val="0"/>
          <w:szCs w:val="24"/>
          <w:rtl/>
        </w:rPr>
        <w:t>הישראליים</w:t>
      </w:r>
      <w:r w:rsidRPr="00C046E8">
        <w:rPr>
          <w:rFonts w:ascii="Century" w:hAnsi="Century" w:cs="Miriam"/>
          <w:b/>
          <w:spacing w:val="0"/>
          <w:szCs w:val="24"/>
          <w:rtl/>
        </w:rPr>
        <w:t xml:space="preserve">, </w:t>
      </w:r>
      <w:r w:rsidRPr="00C046E8">
        <w:rPr>
          <w:rFonts w:ascii="Century" w:hAnsi="Century" w:cs="Miriam" w:hint="eastAsia"/>
          <w:b/>
          <w:spacing w:val="0"/>
          <w:szCs w:val="24"/>
          <w:rtl/>
        </w:rPr>
        <w:t>גם</w:t>
      </w:r>
      <w:r w:rsidRPr="00C046E8">
        <w:rPr>
          <w:rFonts w:ascii="Century" w:hAnsi="Century" w:cs="Miriam" w:hint="cs"/>
          <w:b/>
          <w:spacing w:val="0"/>
          <w:szCs w:val="24"/>
        </w:rPr>
        <w:t xml:space="preserve"> </w:t>
      </w:r>
      <w:r w:rsidRPr="00C046E8">
        <w:rPr>
          <w:rFonts w:ascii="Century" w:hAnsi="Century" w:cs="Miriam" w:hint="eastAsia"/>
          <w:b/>
          <w:spacing w:val="0"/>
          <w:szCs w:val="24"/>
          <w:rtl/>
        </w:rPr>
        <w:t>בגין</w:t>
      </w:r>
      <w:r w:rsidRPr="00C046E8">
        <w:rPr>
          <w:rFonts w:ascii="Century" w:hAnsi="Century" w:cs="Miriam"/>
          <w:b/>
          <w:spacing w:val="0"/>
          <w:szCs w:val="24"/>
          <w:rtl/>
        </w:rPr>
        <w:t xml:space="preserve"> </w:t>
      </w:r>
      <w:r w:rsidRPr="00C046E8">
        <w:rPr>
          <w:rFonts w:ascii="Century" w:hAnsi="Century" w:cs="Miriam" w:hint="eastAsia"/>
          <w:b/>
          <w:spacing w:val="0"/>
          <w:szCs w:val="24"/>
          <w:rtl/>
        </w:rPr>
        <w:t>עוולה</w:t>
      </w:r>
      <w:r w:rsidRPr="00C046E8">
        <w:rPr>
          <w:rFonts w:ascii="Century" w:hAnsi="Century" w:cs="Miriam"/>
          <w:b/>
          <w:spacing w:val="0"/>
          <w:szCs w:val="24"/>
          <w:rtl/>
        </w:rPr>
        <w:t xml:space="preserve"> </w:t>
      </w:r>
      <w:r w:rsidRPr="00C046E8">
        <w:rPr>
          <w:rFonts w:ascii="Century" w:hAnsi="Century" w:cs="Miriam" w:hint="eastAsia"/>
          <w:b/>
          <w:spacing w:val="0"/>
          <w:szCs w:val="24"/>
          <w:rtl/>
        </w:rPr>
        <w:t>אשר</w:t>
      </w:r>
      <w:r w:rsidRPr="00C046E8">
        <w:rPr>
          <w:rFonts w:ascii="Century" w:hAnsi="Century" w:cs="Miriam"/>
          <w:b/>
          <w:spacing w:val="0"/>
          <w:szCs w:val="24"/>
          <w:rtl/>
        </w:rPr>
        <w:t xml:space="preserve"> </w:t>
      </w:r>
      <w:r w:rsidRPr="00C046E8">
        <w:rPr>
          <w:rFonts w:ascii="Century" w:hAnsi="Century" w:cs="Miriam" w:hint="eastAsia"/>
          <w:b/>
          <w:spacing w:val="0"/>
          <w:szCs w:val="24"/>
          <w:rtl/>
        </w:rPr>
        <w:t>בוצעה</w:t>
      </w:r>
      <w:r w:rsidRPr="00C046E8">
        <w:rPr>
          <w:rFonts w:ascii="Century" w:hAnsi="Century" w:cs="Miriam"/>
          <w:b/>
          <w:spacing w:val="0"/>
          <w:szCs w:val="24"/>
          <w:rtl/>
        </w:rPr>
        <w:t xml:space="preserve"> </w:t>
      </w:r>
      <w:r w:rsidRPr="00C046E8">
        <w:rPr>
          <w:rFonts w:ascii="Century" w:hAnsi="Century" w:cs="Miriam" w:hint="eastAsia"/>
          <w:b/>
          <w:spacing w:val="0"/>
          <w:szCs w:val="24"/>
          <w:rtl/>
        </w:rPr>
        <w:t>מחוץ</w:t>
      </w:r>
      <w:r w:rsidRPr="00C046E8">
        <w:rPr>
          <w:rFonts w:ascii="Century" w:hAnsi="Century" w:cs="Miriam"/>
          <w:b/>
          <w:spacing w:val="0"/>
          <w:szCs w:val="24"/>
          <w:rtl/>
        </w:rPr>
        <w:t xml:space="preserve"> </w:t>
      </w:r>
      <w:r w:rsidRPr="00C046E8">
        <w:rPr>
          <w:rFonts w:ascii="Century" w:hAnsi="Century" w:cs="Miriam" w:hint="eastAsia"/>
          <w:b/>
          <w:spacing w:val="0"/>
          <w:szCs w:val="24"/>
          <w:rtl/>
        </w:rPr>
        <w:t>לישראל</w:t>
      </w:r>
      <w:r w:rsidRPr="00C046E8">
        <w:rPr>
          <w:rFonts w:ascii="Century" w:hAnsi="Century" w:cs="Miriam"/>
          <w:b/>
          <w:spacing w:val="0"/>
          <w:szCs w:val="24"/>
          <w:rtl/>
        </w:rPr>
        <w:t xml:space="preserve">. </w:t>
      </w:r>
      <w:r w:rsidRPr="00C046E8">
        <w:rPr>
          <w:rFonts w:ascii="Century" w:hAnsi="Century" w:cs="Miriam" w:hint="eastAsia"/>
          <w:b/>
          <w:spacing w:val="0"/>
          <w:szCs w:val="24"/>
          <w:u w:val="single"/>
          <w:rtl/>
        </w:rPr>
        <w:t>פעולתו</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של</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תיקון</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מס</w:t>
      </w:r>
      <w:r w:rsidRPr="00C046E8">
        <w:rPr>
          <w:rFonts w:ascii="Century" w:hAnsi="Century" w:cs="Miriam"/>
          <w:b/>
          <w:spacing w:val="0"/>
          <w:szCs w:val="24"/>
          <w:u w:val="single"/>
          <w:rtl/>
        </w:rPr>
        <w:t xml:space="preserve">' 7 </w:t>
      </w:r>
      <w:r w:rsidRPr="00C046E8">
        <w:rPr>
          <w:rFonts w:ascii="Century" w:hAnsi="Century" w:cs="Miriam" w:hint="eastAsia"/>
          <w:b/>
          <w:spacing w:val="0"/>
          <w:szCs w:val="24"/>
          <w:u w:val="single"/>
          <w:rtl/>
        </w:rPr>
        <w:t>הינה</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איפוא</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בישראל</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הוא</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פוגע</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בזכויות</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שהיו</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לניזוקים</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מהאזור</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בישראל</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לעניין</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שלילת</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זכויות</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אלה</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חל</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עקרונית</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חוק</w:t>
      </w:r>
      <w:r w:rsidRPr="00C046E8">
        <w:rPr>
          <w:rFonts w:ascii="Century" w:hAnsi="Century" w:cs="Miriam"/>
          <w:b/>
          <w:spacing w:val="0"/>
          <w:szCs w:val="24"/>
          <w:u w:val="single"/>
          <w:rtl/>
        </w:rPr>
        <w:t>-</w:t>
      </w:r>
      <w:r w:rsidRPr="00C046E8">
        <w:rPr>
          <w:rFonts w:ascii="Century" w:hAnsi="Century" w:cs="Miriam" w:hint="eastAsia"/>
          <w:b/>
          <w:spacing w:val="0"/>
          <w:szCs w:val="24"/>
          <w:u w:val="single"/>
          <w:rtl/>
        </w:rPr>
        <w:t>יסוד</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כבוד</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האדם</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וחירותו</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תחולה</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זו</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אינה</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אקסטרה</w:t>
      </w:r>
      <w:r w:rsidRPr="00C046E8">
        <w:rPr>
          <w:rFonts w:ascii="Century" w:hAnsi="Century" w:cs="Miriam"/>
          <w:b/>
          <w:spacing w:val="0"/>
          <w:szCs w:val="24"/>
          <w:u w:val="single"/>
          <w:rtl/>
        </w:rPr>
        <w:t>-</w:t>
      </w:r>
      <w:r w:rsidRPr="00C046E8">
        <w:rPr>
          <w:rFonts w:ascii="Century" w:hAnsi="Century" w:cs="Miriam" w:hint="eastAsia"/>
          <w:b/>
          <w:spacing w:val="0"/>
          <w:szCs w:val="24"/>
          <w:u w:val="single"/>
          <w:rtl/>
        </w:rPr>
        <w:t>טריטוריאלית</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תחולתו</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הינה</w:t>
      </w:r>
      <w:r w:rsidRPr="00C046E8">
        <w:rPr>
          <w:rFonts w:ascii="Century" w:hAnsi="Century" w:cs="Miriam"/>
          <w:b/>
          <w:spacing w:val="0"/>
          <w:szCs w:val="24"/>
          <w:u w:val="single"/>
          <w:rtl/>
        </w:rPr>
        <w:t xml:space="preserve"> </w:t>
      </w:r>
      <w:r w:rsidRPr="00C046E8">
        <w:rPr>
          <w:rFonts w:ascii="Century" w:hAnsi="Century" w:cs="Miriam" w:hint="eastAsia"/>
          <w:b/>
          <w:spacing w:val="0"/>
          <w:szCs w:val="24"/>
          <w:u w:val="single"/>
          <w:rtl/>
        </w:rPr>
        <w:t>טריטוריאלית</w:t>
      </w:r>
      <w:r>
        <w:rPr>
          <w:rFonts w:ascii="Century" w:hAnsi="Century" w:cs="Miriam" w:hint="cs"/>
          <w:b/>
          <w:spacing w:val="0"/>
          <w:szCs w:val="24"/>
          <w:rtl/>
        </w:rPr>
        <w:t xml:space="preserve">" </w:t>
      </w:r>
      <w:r w:rsidRPr="00DE54CC">
        <w:rPr>
          <w:rFonts w:ascii="Century" w:hAnsi="Century"/>
          <w:rtl/>
        </w:rPr>
        <w:t>(</w:t>
      </w:r>
      <w:r w:rsidRPr="00CC66D5">
        <w:rPr>
          <w:rFonts w:ascii="Century" w:hAnsi="Century" w:cs="Miriam" w:hint="eastAsia"/>
          <w:b/>
          <w:spacing w:val="0"/>
          <w:szCs w:val="24"/>
          <w:rtl/>
        </w:rPr>
        <w:t>שם</w:t>
      </w:r>
      <w:r w:rsidRPr="00DE54CC">
        <w:rPr>
          <w:rFonts w:ascii="Century" w:hAnsi="Century"/>
          <w:rtl/>
        </w:rPr>
        <w:t xml:space="preserve">, </w:t>
      </w:r>
      <w:r w:rsidRPr="00DE54CC">
        <w:rPr>
          <w:rFonts w:ascii="Century" w:hAnsi="Century" w:hint="eastAsia"/>
          <w:rtl/>
        </w:rPr>
        <w:t>פסק</w:t>
      </w:r>
      <w:r>
        <w:rPr>
          <w:rFonts w:ascii="Century" w:hAnsi="Century" w:hint="cs"/>
          <w:rtl/>
        </w:rPr>
        <w:t>אות</w:t>
      </w:r>
      <w:r w:rsidRPr="00DE54CC">
        <w:rPr>
          <w:rFonts w:ascii="Century" w:hAnsi="Century"/>
          <w:rtl/>
        </w:rPr>
        <w:t xml:space="preserve"> 23-22)</w:t>
      </w:r>
      <w:r>
        <w:rPr>
          <w:rFonts w:ascii="Century" w:hAnsi="Century" w:hint="cs"/>
          <w:rtl/>
        </w:rPr>
        <w:t xml:space="preserve"> (ההדגשות הוספו </w:t>
      </w:r>
      <w:r>
        <w:rPr>
          <w:rFonts w:ascii="Century" w:hAnsi="Century"/>
          <w:rtl/>
        </w:rPr>
        <w:t>–</w:t>
      </w:r>
      <w:r>
        <w:rPr>
          <w:rFonts w:ascii="Century" w:hAnsi="Century" w:hint="cs"/>
          <w:rtl/>
        </w:rPr>
        <w:t xml:space="preserve"> נ' ס')</w:t>
      </w:r>
      <w:r w:rsidRPr="00D26974">
        <w:rPr>
          <w:rFonts w:ascii="Century" w:hAnsi="Century"/>
          <w:rtl/>
        </w:rPr>
        <w:t xml:space="preserve">. </w:t>
      </w:r>
    </w:p>
    <w:p w:rsidR="00D512D4" w:rsidRPr="00C046E8" w:rsidRDefault="00D512D4" w:rsidP="00944FC1">
      <w:pPr>
        <w:pStyle w:val="Ruller5"/>
        <w:rPr>
          <w:rFonts w:ascii="Century" w:hAnsi="Century" w:cs="Miriam"/>
          <w:b/>
          <w:spacing w:val="0"/>
          <w:szCs w:val="24"/>
        </w:rPr>
      </w:pPr>
    </w:p>
    <w:p w:rsidR="00D512D4" w:rsidRDefault="00D512D4" w:rsidP="00D512D4">
      <w:pPr>
        <w:pStyle w:val="Ruller4"/>
      </w:pPr>
      <w:r>
        <w:rPr>
          <w:rFonts w:hint="cs"/>
          <w:rtl/>
        </w:rPr>
        <w:t>על דברים אלו, כאמור, נסמך המערער. גם בית המשפט המחוזי קבע לבסוף כי מדובר בהלכה מחייבת, שלפיה</w:t>
      </w:r>
      <w:r w:rsidRPr="00D7133C">
        <w:rPr>
          <w:rFonts w:hint="cs"/>
          <w:rtl/>
        </w:rPr>
        <w:t xml:space="preserve"> </w:t>
      </w:r>
      <w:r w:rsidRPr="006C4EF7">
        <w:rPr>
          <w:rFonts w:ascii="Century" w:hAnsi="Century" w:cs="Miriam"/>
          <w:b/>
          <w:spacing w:val="0"/>
          <w:sz w:val="22"/>
          <w:szCs w:val="24"/>
          <w:rtl/>
        </w:rPr>
        <w:t>"</w:t>
      </w:r>
      <w:r w:rsidRPr="006C4EF7">
        <w:rPr>
          <w:rFonts w:ascii="Century" w:hAnsi="Century" w:cs="Miriam" w:hint="eastAsia"/>
          <w:b/>
          <w:spacing w:val="0"/>
          <w:sz w:val="22"/>
          <w:szCs w:val="24"/>
          <w:rtl/>
        </w:rPr>
        <w:t>חוק</w:t>
      </w:r>
      <w:r w:rsidRPr="006C4EF7">
        <w:rPr>
          <w:rFonts w:ascii="Century" w:hAnsi="Century" w:cs="Miriam"/>
          <w:b/>
          <w:spacing w:val="0"/>
          <w:sz w:val="22"/>
          <w:szCs w:val="24"/>
          <w:rtl/>
        </w:rPr>
        <w:t xml:space="preserve"> </w:t>
      </w:r>
      <w:r w:rsidRPr="006C4EF7">
        <w:rPr>
          <w:rFonts w:ascii="Century" w:hAnsi="Century" w:cs="Miriam" w:hint="eastAsia"/>
          <w:b/>
          <w:spacing w:val="0"/>
          <w:sz w:val="22"/>
          <w:szCs w:val="24"/>
          <w:rtl/>
        </w:rPr>
        <w:t>היסוד</w:t>
      </w:r>
      <w:r w:rsidRPr="006C4EF7">
        <w:rPr>
          <w:rFonts w:ascii="Century" w:hAnsi="Century" w:cs="Miriam"/>
          <w:b/>
          <w:spacing w:val="0"/>
          <w:sz w:val="22"/>
          <w:szCs w:val="24"/>
          <w:rtl/>
        </w:rPr>
        <w:t xml:space="preserve"> </w:t>
      </w:r>
      <w:r w:rsidRPr="006C4EF7">
        <w:rPr>
          <w:rFonts w:ascii="Century" w:hAnsi="Century" w:cs="Miriam" w:hint="eastAsia"/>
          <w:b/>
          <w:spacing w:val="0"/>
          <w:sz w:val="22"/>
          <w:szCs w:val="24"/>
          <w:rtl/>
        </w:rPr>
        <w:t>חל</w:t>
      </w:r>
      <w:r w:rsidRPr="006C4EF7">
        <w:rPr>
          <w:rFonts w:ascii="Century" w:hAnsi="Century" w:cs="Miriam"/>
          <w:b/>
          <w:spacing w:val="0"/>
          <w:sz w:val="22"/>
          <w:szCs w:val="24"/>
          <w:rtl/>
        </w:rPr>
        <w:t xml:space="preserve"> </w:t>
      </w:r>
      <w:r w:rsidRPr="006C4EF7">
        <w:rPr>
          <w:rFonts w:ascii="Century" w:hAnsi="Century" w:cs="Miriam" w:hint="eastAsia"/>
          <w:b/>
          <w:spacing w:val="0"/>
          <w:sz w:val="22"/>
          <w:szCs w:val="24"/>
          <w:rtl/>
        </w:rPr>
        <w:t>גם</w:t>
      </w:r>
      <w:r w:rsidRPr="006C4EF7">
        <w:rPr>
          <w:rFonts w:ascii="Century" w:hAnsi="Century" w:cs="Miriam"/>
          <w:b/>
          <w:spacing w:val="0"/>
          <w:sz w:val="22"/>
          <w:szCs w:val="24"/>
          <w:rtl/>
        </w:rPr>
        <w:t xml:space="preserve"> </w:t>
      </w:r>
      <w:r w:rsidRPr="006C4EF7">
        <w:rPr>
          <w:rFonts w:ascii="Century" w:hAnsi="Century" w:cs="Miriam" w:hint="eastAsia"/>
          <w:b/>
          <w:spacing w:val="0"/>
          <w:sz w:val="22"/>
          <w:szCs w:val="24"/>
          <w:rtl/>
        </w:rPr>
        <w:t>על</w:t>
      </w:r>
      <w:r w:rsidRPr="006C4EF7">
        <w:rPr>
          <w:rFonts w:ascii="Century" w:hAnsi="Century" w:cs="Miriam"/>
          <w:b/>
          <w:spacing w:val="0"/>
          <w:sz w:val="22"/>
          <w:szCs w:val="24"/>
          <w:rtl/>
        </w:rPr>
        <w:t xml:space="preserve"> </w:t>
      </w:r>
      <w:r w:rsidRPr="006C4EF7">
        <w:rPr>
          <w:rFonts w:ascii="Century" w:hAnsi="Century" w:cs="Miriam" w:hint="eastAsia"/>
          <w:b/>
          <w:spacing w:val="0"/>
          <w:sz w:val="22"/>
          <w:szCs w:val="24"/>
          <w:rtl/>
        </w:rPr>
        <w:t>תביעות</w:t>
      </w:r>
      <w:r w:rsidRPr="006C4EF7">
        <w:rPr>
          <w:rFonts w:ascii="Century" w:hAnsi="Century" w:cs="Miriam"/>
          <w:b/>
          <w:spacing w:val="0"/>
          <w:sz w:val="22"/>
          <w:szCs w:val="24"/>
          <w:rtl/>
        </w:rPr>
        <w:t xml:space="preserve"> </w:t>
      </w:r>
      <w:r w:rsidRPr="006C4EF7">
        <w:rPr>
          <w:rFonts w:ascii="Century" w:hAnsi="Century" w:cs="Miriam" w:hint="eastAsia"/>
          <w:b/>
          <w:spacing w:val="0"/>
          <w:sz w:val="22"/>
          <w:szCs w:val="24"/>
          <w:rtl/>
        </w:rPr>
        <w:t>נתיני</w:t>
      </w:r>
      <w:r w:rsidRPr="006C4EF7">
        <w:rPr>
          <w:rFonts w:ascii="Century" w:hAnsi="Century" w:cs="Miriam"/>
          <w:b/>
          <w:spacing w:val="0"/>
          <w:sz w:val="22"/>
          <w:szCs w:val="24"/>
          <w:rtl/>
        </w:rPr>
        <w:t xml:space="preserve"> </w:t>
      </w:r>
      <w:r w:rsidRPr="006C4EF7">
        <w:rPr>
          <w:rFonts w:ascii="Century" w:hAnsi="Century" w:cs="Miriam" w:hint="eastAsia"/>
          <w:b/>
          <w:spacing w:val="0"/>
          <w:sz w:val="22"/>
          <w:szCs w:val="24"/>
          <w:rtl/>
        </w:rPr>
        <w:t>אויב</w:t>
      </w:r>
      <w:r w:rsidRPr="006C4EF7">
        <w:rPr>
          <w:rFonts w:ascii="Century" w:hAnsi="Century" w:cs="Miriam"/>
          <w:b/>
          <w:spacing w:val="0"/>
          <w:sz w:val="22"/>
          <w:szCs w:val="24"/>
          <w:rtl/>
        </w:rPr>
        <w:t xml:space="preserve"> </w:t>
      </w:r>
      <w:r w:rsidRPr="006C4EF7">
        <w:rPr>
          <w:rFonts w:ascii="Century" w:hAnsi="Century" w:cs="Miriam" w:hint="eastAsia"/>
          <w:b/>
          <w:spacing w:val="0"/>
          <w:sz w:val="22"/>
          <w:szCs w:val="24"/>
          <w:rtl/>
        </w:rPr>
        <w:t>ותושבי</w:t>
      </w:r>
      <w:r w:rsidRPr="006C4EF7">
        <w:rPr>
          <w:rFonts w:ascii="Century" w:hAnsi="Century" w:cs="Miriam"/>
          <w:b/>
          <w:spacing w:val="0"/>
          <w:sz w:val="22"/>
          <w:szCs w:val="24"/>
          <w:rtl/>
        </w:rPr>
        <w:t xml:space="preserve"> </w:t>
      </w:r>
      <w:r w:rsidRPr="006C4EF7">
        <w:rPr>
          <w:rFonts w:ascii="Century" w:hAnsi="Century" w:cs="Miriam" w:hint="eastAsia"/>
          <w:b/>
          <w:spacing w:val="0"/>
          <w:sz w:val="22"/>
          <w:szCs w:val="24"/>
          <w:rtl/>
        </w:rPr>
        <w:t>שטח</w:t>
      </w:r>
      <w:r w:rsidRPr="006C4EF7">
        <w:rPr>
          <w:rFonts w:ascii="Century" w:hAnsi="Century" w:cs="Miriam"/>
          <w:b/>
          <w:spacing w:val="0"/>
          <w:sz w:val="22"/>
          <w:szCs w:val="24"/>
          <w:rtl/>
        </w:rPr>
        <w:t xml:space="preserve"> </w:t>
      </w:r>
      <w:r w:rsidRPr="006C4EF7">
        <w:rPr>
          <w:rFonts w:ascii="Century" w:hAnsi="Century" w:cs="Miriam" w:hint="eastAsia"/>
          <w:b/>
          <w:spacing w:val="0"/>
          <w:sz w:val="22"/>
          <w:szCs w:val="24"/>
          <w:rtl/>
        </w:rPr>
        <w:t>אויב</w:t>
      </w:r>
      <w:r w:rsidRPr="006C4EF7">
        <w:rPr>
          <w:rFonts w:ascii="Century" w:hAnsi="Century" w:cs="Miriam"/>
          <w:b/>
          <w:spacing w:val="0"/>
          <w:sz w:val="22"/>
          <w:szCs w:val="24"/>
          <w:rtl/>
        </w:rPr>
        <w:t>"</w:t>
      </w:r>
      <w:r>
        <w:rPr>
          <w:rFonts w:hint="cs"/>
          <w:rtl/>
        </w:rPr>
        <w:t xml:space="preserve"> (פסקה 24 לפסק הדין של בית המשפט המחוזי), הגם שציין כי גישתו של הנשיא </w:t>
      </w:r>
      <w:r w:rsidRPr="00DE54CC">
        <w:rPr>
          <w:rFonts w:ascii="Century" w:hAnsi="Century" w:cs="Miriam" w:hint="eastAsia"/>
          <w:b/>
          <w:spacing w:val="0"/>
          <w:sz w:val="22"/>
          <w:szCs w:val="24"/>
          <w:rtl/>
        </w:rPr>
        <w:t>ברק</w:t>
      </w:r>
      <w:r w:rsidRPr="006C4EF7">
        <w:rPr>
          <w:rtl/>
        </w:rPr>
        <w:t xml:space="preserve"> </w:t>
      </w:r>
      <w:r w:rsidRPr="006C4EF7">
        <w:rPr>
          <w:rFonts w:ascii="Century" w:hAnsi="Century" w:cs="Miriam"/>
          <w:b/>
          <w:spacing w:val="0"/>
          <w:sz w:val="22"/>
          <w:szCs w:val="24"/>
          <w:rtl/>
        </w:rPr>
        <w:t>"</w:t>
      </w:r>
      <w:r w:rsidRPr="006C4EF7">
        <w:rPr>
          <w:rFonts w:ascii="Century" w:hAnsi="Century" w:cs="Miriam" w:hint="eastAsia"/>
          <w:b/>
          <w:spacing w:val="0"/>
          <w:sz w:val="22"/>
          <w:szCs w:val="24"/>
          <w:rtl/>
        </w:rPr>
        <w:t>מעוררת</w:t>
      </w:r>
      <w:r w:rsidRPr="006C4EF7">
        <w:rPr>
          <w:rFonts w:ascii="Century" w:hAnsi="Century" w:cs="Miriam"/>
          <w:b/>
          <w:spacing w:val="0"/>
          <w:sz w:val="22"/>
          <w:szCs w:val="24"/>
          <w:rtl/>
        </w:rPr>
        <w:t xml:space="preserve"> </w:t>
      </w:r>
      <w:r w:rsidRPr="006C4EF7">
        <w:rPr>
          <w:rFonts w:ascii="Century" w:hAnsi="Century" w:cs="Miriam" w:hint="eastAsia"/>
          <w:b/>
          <w:spacing w:val="0"/>
          <w:sz w:val="22"/>
          <w:szCs w:val="24"/>
          <w:rtl/>
        </w:rPr>
        <w:t>קושי</w:t>
      </w:r>
      <w:r w:rsidRPr="006C4EF7">
        <w:rPr>
          <w:rFonts w:ascii="Century" w:hAnsi="Century" w:cs="Miriam"/>
          <w:b/>
          <w:spacing w:val="0"/>
          <w:sz w:val="22"/>
          <w:szCs w:val="24"/>
          <w:rtl/>
        </w:rPr>
        <w:t>"</w:t>
      </w:r>
      <w:r>
        <w:rPr>
          <w:rFonts w:hint="cs"/>
          <w:rtl/>
        </w:rPr>
        <w:t xml:space="preserve">. </w:t>
      </w:r>
    </w:p>
    <w:p w:rsidR="00D512D4" w:rsidRDefault="00D512D4" w:rsidP="00944FC1">
      <w:pPr>
        <w:pStyle w:val="Ruller4"/>
        <w:numPr>
          <w:ilvl w:val="0"/>
          <w:numId w:val="0"/>
        </w:numPr>
        <w:spacing w:line="240" w:lineRule="auto"/>
        <w:rPr>
          <w:rtl/>
        </w:rPr>
      </w:pPr>
    </w:p>
    <w:p w:rsidR="00D512D4" w:rsidRDefault="00D512D4" w:rsidP="00D512D4">
      <w:pPr>
        <w:pStyle w:val="Ruller4"/>
        <w:numPr>
          <w:ilvl w:val="0"/>
          <w:numId w:val="0"/>
        </w:numPr>
        <w:rPr>
          <w:rtl/>
        </w:rPr>
      </w:pPr>
      <w:r>
        <w:rPr>
          <w:rtl/>
        </w:rPr>
        <w:lastRenderedPageBreak/>
        <w:tab/>
      </w:r>
      <w:r>
        <w:rPr>
          <w:rFonts w:hint="cs"/>
          <w:rtl/>
        </w:rPr>
        <w:t xml:space="preserve">בעניין זה </w:t>
      </w:r>
      <w:r>
        <w:rPr>
          <w:rtl/>
        </w:rPr>
        <w:t>–</w:t>
      </w:r>
      <w:r>
        <w:rPr>
          <w:rFonts w:hint="cs"/>
          <w:rtl/>
        </w:rPr>
        <w:t xml:space="preserve"> דעתי שונה. לגבי דידי, אין להקיש מדברי הנשיא</w:t>
      </w:r>
      <w:r w:rsidRPr="00794D66">
        <w:rPr>
          <w:rFonts w:ascii="Century" w:hAnsi="Century" w:cs="Miriam" w:hint="cs"/>
          <w:b/>
          <w:spacing w:val="0"/>
          <w:sz w:val="22"/>
          <w:szCs w:val="24"/>
          <w:rtl/>
        </w:rPr>
        <w:t xml:space="preserve"> ברק</w:t>
      </w:r>
      <w:r>
        <w:rPr>
          <w:rFonts w:hint="cs"/>
          <w:rtl/>
        </w:rPr>
        <w:t xml:space="preserve"> בעניין </w:t>
      </w:r>
      <w:r w:rsidRPr="004E0F52">
        <w:rPr>
          <w:rFonts w:ascii="Century" w:hAnsi="Century" w:cs="Miriam" w:hint="cs"/>
          <w:b/>
          <w:spacing w:val="0"/>
          <w:sz w:val="22"/>
          <w:szCs w:val="24"/>
          <w:rtl/>
        </w:rPr>
        <w:t>עדאלה</w:t>
      </w:r>
      <w:r>
        <w:rPr>
          <w:rFonts w:hint="cs"/>
          <w:rtl/>
        </w:rPr>
        <w:t xml:space="preserve">, לעניין שלפנינו. </w:t>
      </w:r>
    </w:p>
    <w:p w:rsidR="00D512D4" w:rsidRPr="00072D15" w:rsidRDefault="00D512D4" w:rsidP="009F054C">
      <w:pPr>
        <w:pStyle w:val="Ruller41"/>
        <w:spacing w:line="240" w:lineRule="auto"/>
      </w:pPr>
    </w:p>
    <w:p w:rsidR="00D512D4" w:rsidRDefault="00D512D4" w:rsidP="00D512D4">
      <w:pPr>
        <w:pStyle w:val="Ruller4"/>
        <w:rPr>
          <w:rtl/>
        </w:rPr>
      </w:pPr>
      <w:r w:rsidRPr="00072D15">
        <w:rPr>
          <w:rFonts w:ascii="Century" w:hAnsi="Century" w:cs="Miriam" w:hint="cs"/>
          <w:b/>
          <w:spacing w:val="0"/>
          <w:sz w:val="22"/>
          <w:szCs w:val="24"/>
          <w:rtl/>
        </w:rPr>
        <w:t>ראשית</w:t>
      </w:r>
      <w:r>
        <w:rPr>
          <w:rFonts w:hint="cs"/>
          <w:rtl/>
        </w:rPr>
        <w:t xml:space="preserve">, שותף אני לעמדתו החולקת של השופט (כתוארו אז) </w:t>
      </w:r>
      <w:r w:rsidRPr="00794D66">
        <w:rPr>
          <w:rFonts w:ascii="Century" w:hAnsi="Century" w:cs="Miriam" w:hint="cs"/>
          <w:b/>
          <w:spacing w:val="0"/>
          <w:sz w:val="22"/>
          <w:szCs w:val="24"/>
          <w:rtl/>
        </w:rPr>
        <w:t>גרוניס</w:t>
      </w:r>
      <w:r>
        <w:rPr>
          <w:rFonts w:hint="cs"/>
          <w:rtl/>
        </w:rPr>
        <w:t xml:space="preserve">, בעניין </w:t>
      </w:r>
      <w:r w:rsidRPr="00CF6CFC">
        <w:rPr>
          <w:rFonts w:ascii="Century" w:hAnsi="Century" w:cs="Miriam" w:hint="cs"/>
          <w:b/>
          <w:spacing w:val="0"/>
          <w:sz w:val="22"/>
          <w:szCs w:val="24"/>
          <w:rtl/>
        </w:rPr>
        <w:t>עדאלה</w:t>
      </w:r>
      <w:r>
        <w:rPr>
          <w:rFonts w:hint="cs"/>
          <w:rtl/>
        </w:rPr>
        <w:t xml:space="preserve">, ביחס לקביעתו זו של הנשיא </w:t>
      </w:r>
      <w:r w:rsidRPr="00DE54CC">
        <w:rPr>
          <w:rFonts w:ascii="Century" w:hAnsi="Century" w:cs="Miriam" w:hint="eastAsia"/>
          <w:b/>
          <w:spacing w:val="0"/>
          <w:sz w:val="22"/>
          <w:szCs w:val="24"/>
          <w:rtl/>
        </w:rPr>
        <w:t>ברק</w:t>
      </w:r>
      <w:r>
        <w:rPr>
          <w:rFonts w:hint="cs"/>
          <w:rtl/>
        </w:rPr>
        <w:t>. בעניין זה ציין השופט</w:t>
      </w:r>
      <w:r w:rsidRPr="00794D66">
        <w:rPr>
          <w:rFonts w:ascii="Century" w:hAnsi="Century" w:cs="Miriam" w:hint="cs"/>
          <w:b/>
          <w:spacing w:val="0"/>
          <w:sz w:val="22"/>
          <w:szCs w:val="24"/>
          <w:rtl/>
        </w:rPr>
        <w:t xml:space="preserve"> </w:t>
      </w:r>
      <w:r w:rsidRPr="00DE54CC">
        <w:rPr>
          <w:rFonts w:ascii="Century" w:hAnsi="Century"/>
          <w:sz w:val="22"/>
          <w:rtl/>
        </w:rPr>
        <w:t>(</w:t>
      </w:r>
      <w:r>
        <w:rPr>
          <w:rFonts w:ascii="Century" w:hAnsi="Century" w:hint="cs"/>
          <w:sz w:val="22"/>
          <w:rtl/>
        </w:rPr>
        <w:t>כתוארו אז</w:t>
      </w:r>
      <w:r w:rsidRPr="00DE54CC">
        <w:rPr>
          <w:rFonts w:ascii="Century" w:hAnsi="Century"/>
          <w:sz w:val="22"/>
          <w:rtl/>
        </w:rPr>
        <w:t>)</w:t>
      </w:r>
      <w:r>
        <w:rPr>
          <w:rFonts w:ascii="Century" w:hAnsi="Century" w:hint="cs"/>
          <w:sz w:val="22"/>
          <w:rtl/>
        </w:rPr>
        <w:t xml:space="preserve"> </w:t>
      </w:r>
      <w:r w:rsidRPr="00794D66">
        <w:rPr>
          <w:rFonts w:ascii="Century" w:hAnsi="Century" w:cs="Miriam" w:hint="cs"/>
          <w:b/>
          <w:spacing w:val="0"/>
          <w:sz w:val="22"/>
          <w:szCs w:val="24"/>
          <w:rtl/>
        </w:rPr>
        <w:t>גרוניס</w:t>
      </w:r>
      <w:r>
        <w:rPr>
          <w:rFonts w:hint="cs"/>
          <w:rtl/>
        </w:rPr>
        <w:t>, כדברים האלה:</w:t>
      </w:r>
    </w:p>
    <w:p w:rsidR="00D512D4" w:rsidRPr="00CF6CFC" w:rsidRDefault="00D512D4" w:rsidP="009F054C">
      <w:pPr>
        <w:pStyle w:val="Ruller41"/>
        <w:spacing w:line="240" w:lineRule="auto"/>
      </w:pPr>
    </w:p>
    <w:p w:rsidR="00D512D4" w:rsidRDefault="00D512D4" w:rsidP="008E5E18">
      <w:pPr>
        <w:pStyle w:val="Ruller5"/>
        <w:spacing w:line="360" w:lineRule="auto"/>
        <w:rPr>
          <w:rFonts w:ascii="FrankRuehl" w:hAnsi="FrankRuehl"/>
          <w:b/>
          <w:spacing w:val="0"/>
          <w:sz w:val="28"/>
          <w:rtl/>
        </w:rPr>
      </w:pPr>
      <w:r w:rsidRPr="00CF6CFC">
        <w:rPr>
          <w:rFonts w:ascii="Century" w:hAnsi="Century" w:cs="Miriam" w:hint="cs"/>
          <w:b/>
          <w:spacing w:val="0"/>
          <w:szCs w:val="24"/>
          <w:rtl/>
        </w:rPr>
        <w:t>"</w:t>
      </w:r>
      <w:r w:rsidRPr="00CF6CFC">
        <w:rPr>
          <w:rFonts w:ascii="Century" w:hAnsi="Century" w:cs="Miriam" w:hint="eastAsia"/>
          <w:b/>
          <w:spacing w:val="0"/>
          <w:szCs w:val="24"/>
          <w:rtl/>
        </w:rPr>
        <w:t>עסקינן</w:t>
      </w:r>
      <w:r w:rsidRPr="00CF6CFC">
        <w:rPr>
          <w:rFonts w:ascii="Century" w:hAnsi="Century" w:cs="Miriam"/>
          <w:b/>
          <w:spacing w:val="0"/>
          <w:szCs w:val="24"/>
          <w:rtl/>
        </w:rPr>
        <w:t xml:space="preserve"> </w:t>
      </w:r>
      <w:r w:rsidRPr="00CF6CFC">
        <w:rPr>
          <w:rFonts w:ascii="Century" w:hAnsi="Century" w:cs="Miriam" w:hint="eastAsia"/>
          <w:b/>
          <w:spacing w:val="0"/>
          <w:szCs w:val="24"/>
          <w:rtl/>
        </w:rPr>
        <w:t>באירועים</w:t>
      </w:r>
      <w:r w:rsidRPr="00CF6CFC">
        <w:rPr>
          <w:rFonts w:ascii="Century" w:hAnsi="Century" w:cs="Miriam"/>
          <w:b/>
          <w:spacing w:val="0"/>
          <w:szCs w:val="24"/>
          <w:rtl/>
        </w:rPr>
        <w:t xml:space="preserve"> </w:t>
      </w:r>
      <w:r w:rsidRPr="00CF6CFC">
        <w:rPr>
          <w:rFonts w:ascii="Century" w:hAnsi="Century" w:cs="Miriam" w:hint="eastAsia"/>
          <w:b/>
          <w:spacing w:val="0"/>
          <w:szCs w:val="24"/>
          <w:rtl/>
        </w:rPr>
        <w:t>שהתרחשו</w:t>
      </w:r>
      <w:r w:rsidRPr="00CF6CFC">
        <w:rPr>
          <w:rFonts w:ascii="Century" w:hAnsi="Century" w:cs="Miriam"/>
          <w:b/>
          <w:spacing w:val="0"/>
          <w:szCs w:val="24"/>
          <w:rtl/>
        </w:rPr>
        <w:t xml:space="preserve"> </w:t>
      </w:r>
      <w:r w:rsidRPr="00CF6CFC">
        <w:rPr>
          <w:rFonts w:ascii="Century" w:hAnsi="Century" w:cs="Miriam" w:hint="eastAsia"/>
          <w:b/>
          <w:spacing w:val="0"/>
          <w:szCs w:val="24"/>
          <w:rtl/>
        </w:rPr>
        <w:t>מחוץ</w:t>
      </w:r>
      <w:r w:rsidRPr="00CF6CFC">
        <w:rPr>
          <w:rFonts w:ascii="Century" w:hAnsi="Century" w:cs="Miriam"/>
          <w:b/>
          <w:spacing w:val="0"/>
          <w:szCs w:val="24"/>
          <w:rtl/>
        </w:rPr>
        <w:t xml:space="preserve"> </w:t>
      </w:r>
      <w:r w:rsidRPr="00CF6CFC">
        <w:rPr>
          <w:rFonts w:ascii="Century" w:hAnsi="Century" w:cs="Miriam" w:hint="eastAsia"/>
          <w:b/>
          <w:spacing w:val="0"/>
          <w:szCs w:val="24"/>
          <w:rtl/>
        </w:rPr>
        <w:t>לתחומי</w:t>
      </w:r>
      <w:r w:rsidRPr="00CF6CFC">
        <w:rPr>
          <w:rFonts w:ascii="Century" w:hAnsi="Century" w:cs="Miriam"/>
          <w:b/>
          <w:spacing w:val="0"/>
          <w:szCs w:val="24"/>
          <w:rtl/>
        </w:rPr>
        <w:t xml:space="preserve"> </w:t>
      </w:r>
      <w:r w:rsidRPr="00CF6CFC">
        <w:rPr>
          <w:rFonts w:ascii="Century" w:hAnsi="Century" w:cs="Miriam" w:hint="eastAsia"/>
          <w:b/>
          <w:spacing w:val="0"/>
          <w:szCs w:val="24"/>
          <w:rtl/>
        </w:rPr>
        <w:t>ישראל</w:t>
      </w:r>
      <w:r w:rsidRPr="00CF6CFC">
        <w:rPr>
          <w:rFonts w:ascii="Century" w:hAnsi="Century" w:cs="Miriam"/>
          <w:b/>
          <w:spacing w:val="0"/>
          <w:szCs w:val="24"/>
          <w:rtl/>
        </w:rPr>
        <w:t xml:space="preserve">. </w:t>
      </w:r>
      <w:r w:rsidRPr="00CF6CFC">
        <w:rPr>
          <w:rFonts w:ascii="Century" w:hAnsi="Century" w:cs="Miriam" w:hint="eastAsia"/>
          <w:b/>
          <w:spacing w:val="0"/>
          <w:szCs w:val="24"/>
          <w:rtl/>
        </w:rPr>
        <w:t>אף</w:t>
      </w:r>
      <w:r w:rsidRPr="00CF6CFC">
        <w:rPr>
          <w:rFonts w:ascii="Century" w:hAnsi="Century" w:cs="Miriam"/>
          <w:b/>
          <w:spacing w:val="0"/>
          <w:szCs w:val="24"/>
          <w:rtl/>
        </w:rPr>
        <w:t xml:space="preserve"> </w:t>
      </w:r>
      <w:r w:rsidRPr="00CF6CFC">
        <w:rPr>
          <w:rFonts w:ascii="Century" w:hAnsi="Century" w:cs="Miriam" w:hint="eastAsia"/>
          <w:b/>
          <w:spacing w:val="0"/>
          <w:szCs w:val="24"/>
          <w:rtl/>
        </w:rPr>
        <w:t>אם</w:t>
      </w:r>
      <w:r w:rsidRPr="00CF6CFC">
        <w:rPr>
          <w:rFonts w:ascii="Century" w:hAnsi="Century" w:cs="Miriam"/>
          <w:b/>
          <w:spacing w:val="0"/>
          <w:szCs w:val="24"/>
          <w:rtl/>
        </w:rPr>
        <w:t xml:space="preserve"> </w:t>
      </w:r>
      <w:r w:rsidRPr="00CF6CFC">
        <w:rPr>
          <w:rFonts w:ascii="Century" w:hAnsi="Century" w:cs="Miriam" w:hint="eastAsia"/>
          <w:b/>
          <w:spacing w:val="0"/>
          <w:szCs w:val="24"/>
          <w:rtl/>
        </w:rPr>
        <w:t>כללי</w:t>
      </w:r>
      <w:r w:rsidRPr="00CF6CFC">
        <w:rPr>
          <w:rFonts w:ascii="Century" w:hAnsi="Century" w:cs="Miriam"/>
          <w:b/>
          <w:spacing w:val="0"/>
          <w:szCs w:val="24"/>
          <w:rtl/>
        </w:rPr>
        <w:t xml:space="preserve"> </w:t>
      </w:r>
      <w:r w:rsidRPr="00CF6CFC">
        <w:rPr>
          <w:rFonts w:ascii="Century" w:hAnsi="Century" w:cs="Miriam" w:hint="eastAsia"/>
          <w:b/>
          <w:spacing w:val="0"/>
          <w:szCs w:val="24"/>
          <w:rtl/>
        </w:rPr>
        <w:t>ברירת</w:t>
      </w:r>
      <w:r w:rsidRPr="00CF6CFC">
        <w:rPr>
          <w:rFonts w:ascii="Century" w:hAnsi="Century" w:cs="Miriam"/>
          <w:b/>
          <w:spacing w:val="0"/>
          <w:szCs w:val="24"/>
          <w:rtl/>
        </w:rPr>
        <w:t xml:space="preserve"> </w:t>
      </w:r>
      <w:r w:rsidRPr="00CF6CFC">
        <w:rPr>
          <w:rFonts w:ascii="Century" w:hAnsi="Century" w:cs="Miriam" w:hint="eastAsia"/>
          <w:b/>
          <w:spacing w:val="0"/>
          <w:szCs w:val="24"/>
          <w:rtl/>
        </w:rPr>
        <w:t>הדין</w:t>
      </w:r>
      <w:r w:rsidRPr="00CF6CFC">
        <w:rPr>
          <w:rFonts w:ascii="Century" w:hAnsi="Century" w:cs="Miriam"/>
          <w:b/>
          <w:spacing w:val="0"/>
          <w:szCs w:val="24"/>
          <w:rtl/>
        </w:rPr>
        <w:t xml:space="preserve"> </w:t>
      </w:r>
      <w:r w:rsidRPr="00CF6CFC">
        <w:rPr>
          <w:rFonts w:ascii="Century" w:hAnsi="Century" w:cs="Miriam" w:hint="eastAsia"/>
          <w:b/>
          <w:spacing w:val="0"/>
          <w:szCs w:val="24"/>
          <w:rtl/>
        </w:rPr>
        <w:t>מחילים</w:t>
      </w:r>
      <w:r w:rsidRPr="00CF6CFC">
        <w:rPr>
          <w:rFonts w:ascii="Century" w:hAnsi="Century" w:cs="Miriam"/>
          <w:b/>
          <w:spacing w:val="0"/>
          <w:szCs w:val="24"/>
          <w:rtl/>
        </w:rPr>
        <w:t xml:space="preserve"> </w:t>
      </w:r>
      <w:r w:rsidRPr="00CF6CFC">
        <w:rPr>
          <w:rFonts w:ascii="Century" w:hAnsi="Century" w:cs="Miriam" w:hint="eastAsia"/>
          <w:b/>
          <w:spacing w:val="0"/>
          <w:szCs w:val="24"/>
          <w:rtl/>
        </w:rPr>
        <w:t>לגבי</w:t>
      </w:r>
      <w:r w:rsidRPr="00CF6CFC">
        <w:rPr>
          <w:rFonts w:ascii="Century" w:hAnsi="Century" w:cs="Miriam"/>
          <w:b/>
          <w:spacing w:val="0"/>
          <w:szCs w:val="24"/>
          <w:rtl/>
        </w:rPr>
        <w:t xml:space="preserve"> </w:t>
      </w:r>
      <w:r w:rsidRPr="00CF6CFC">
        <w:rPr>
          <w:rFonts w:ascii="Century" w:hAnsi="Century" w:cs="Miriam" w:hint="eastAsia"/>
          <w:b/>
          <w:spacing w:val="0"/>
          <w:szCs w:val="24"/>
          <w:rtl/>
        </w:rPr>
        <w:t>אותם</w:t>
      </w:r>
      <w:r w:rsidRPr="00CF6CFC">
        <w:rPr>
          <w:rFonts w:ascii="Century" w:hAnsi="Century" w:cs="Miriam"/>
          <w:b/>
          <w:spacing w:val="0"/>
          <w:szCs w:val="24"/>
          <w:rtl/>
        </w:rPr>
        <w:t xml:space="preserve"> </w:t>
      </w:r>
      <w:r w:rsidRPr="00CF6CFC">
        <w:rPr>
          <w:rFonts w:ascii="Century" w:hAnsi="Century" w:cs="Miriam" w:hint="eastAsia"/>
          <w:b/>
          <w:spacing w:val="0"/>
          <w:szCs w:val="24"/>
          <w:rtl/>
        </w:rPr>
        <w:t>אירועים</w:t>
      </w:r>
      <w:r w:rsidRPr="00CF6CFC">
        <w:rPr>
          <w:rFonts w:ascii="Century" w:hAnsi="Century" w:cs="Miriam"/>
          <w:b/>
          <w:spacing w:val="0"/>
          <w:szCs w:val="24"/>
          <w:rtl/>
        </w:rPr>
        <w:t xml:space="preserve"> </w:t>
      </w:r>
      <w:r w:rsidRPr="00CF6CFC">
        <w:rPr>
          <w:rFonts w:ascii="Century" w:hAnsi="Century" w:cs="Miriam" w:hint="eastAsia"/>
          <w:b/>
          <w:spacing w:val="0"/>
          <w:szCs w:val="24"/>
          <w:rtl/>
        </w:rPr>
        <w:t>את</w:t>
      </w:r>
      <w:r w:rsidRPr="00CF6CFC">
        <w:rPr>
          <w:rFonts w:ascii="Century" w:hAnsi="Century" w:cs="Miriam"/>
          <w:b/>
          <w:spacing w:val="0"/>
          <w:szCs w:val="24"/>
          <w:rtl/>
        </w:rPr>
        <w:t xml:space="preserve"> </w:t>
      </w:r>
      <w:r w:rsidRPr="00CF6CFC">
        <w:rPr>
          <w:rFonts w:ascii="Century" w:hAnsi="Century" w:cs="Miriam" w:hint="eastAsia"/>
          <w:b/>
          <w:spacing w:val="0"/>
          <w:szCs w:val="24"/>
          <w:rtl/>
        </w:rPr>
        <w:t>דין</w:t>
      </w:r>
      <w:r w:rsidRPr="00CF6CFC">
        <w:rPr>
          <w:rFonts w:ascii="Century" w:hAnsi="Century" w:cs="Miriam"/>
          <w:b/>
          <w:spacing w:val="0"/>
          <w:szCs w:val="24"/>
          <w:rtl/>
        </w:rPr>
        <w:t xml:space="preserve"> </w:t>
      </w:r>
      <w:r w:rsidRPr="00CF6CFC">
        <w:rPr>
          <w:rFonts w:ascii="Century" w:hAnsi="Century" w:cs="Miriam" w:hint="eastAsia"/>
          <w:b/>
          <w:spacing w:val="0"/>
          <w:szCs w:val="24"/>
          <w:rtl/>
        </w:rPr>
        <w:t>הנזיקין</w:t>
      </w:r>
      <w:r w:rsidRPr="00CF6CFC">
        <w:rPr>
          <w:rFonts w:ascii="Century" w:hAnsi="Century" w:cs="Miriam"/>
          <w:b/>
          <w:spacing w:val="0"/>
          <w:szCs w:val="24"/>
          <w:rtl/>
        </w:rPr>
        <w:t xml:space="preserve"> </w:t>
      </w:r>
      <w:r w:rsidRPr="00CF6CFC">
        <w:rPr>
          <w:rFonts w:ascii="Century" w:hAnsi="Century" w:cs="Miriam" w:hint="eastAsia"/>
          <w:b/>
          <w:spacing w:val="0"/>
          <w:szCs w:val="24"/>
          <w:rtl/>
        </w:rPr>
        <w:t>הישראלי</w:t>
      </w:r>
      <w:r w:rsidRPr="00CF6CFC">
        <w:rPr>
          <w:rFonts w:ascii="Century" w:hAnsi="Century" w:cs="Miriam"/>
          <w:b/>
          <w:spacing w:val="0"/>
          <w:szCs w:val="24"/>
          <w:rtl/>
        </w:rPr>
        <w:t xml:space="preserve">, </w:t>
      </w:r>
      <w:r w:rsidRPr="00CF6CFC">
        <w:rPr>
          <w:rFonts w:ascii="Century" w:hAnsi="Century" w:cs="Miriam" w:hint="eastAsia"/>
          <w:b/>
          <w:spacing w:val="0"/>
          <w:szCs w:val="24"/>
          <w:rtl/>
        </w:rPr>
        <w:t>אין</w:t>
      </w:r>
      <w:r w:rsidRPr="00CF6CFC">
        <w:rPr>
          <w:rFonts w:ascii="Century" w:hAnsi="Century" w:cs="Miriam"/>
          <w:b/>
          <w:spacing w:val="0"/>
          <w:szCs w:val="24"/>
          <w:rtl/>
        </w:rPr>
        <w:t xml:space="preserve"> </w:t>
      </w:r>
      <w:r w:rsidRPr="00CF6CFC">
        <w:rPr>
          <w:rFonts w:ascii="Century" w:hAnsi="Century" w:cs="Miriam" w:hint="eastAsia"/>
          <w:b/>
          <w:spacing w:val="0"/>
          <w:szCs w:val="24"/>
          <w:rtl/>
        </w:rPr>
        <w:t>בכך</w:t>
      </w:r>
      <w:r w:rsidRPr="00CF6CFC">
        <w:rPr>
          <w:rFonts w:ascii="Century" w:hAnsi="Century" w:cs="Miriam"/>
          <w:b/>
          <w:spacing w:val="0"/>
          <w:szCs w:val="24"/>
          <w:rtl/>
        </w:rPr>
        <w:t xml:space="preserve"> </w:t>
      </w:r>
      <w:r w:rsidRPr="00CF6CFC">
        <w:rPr>
          <w:rFonts w:ascii="Century" w:hAnsi="Century" w:cs="Miriam" w:hint="eastAsia"/>
          <w:b/>
          <w:spacing w:val="0"/>
          <w:szCs w:val="24"/>
          <w:rtl/>
        </w:rPr>
        <w:t>כדי</w:t>
      </w:r>
      <w:r w:rsidRPr="00CF6CFC">
        <w:rPr>
          <w:rFonts w:ascii="Century" w:hAnsi="Century" w:cs="Miriam"/>
          <w:b/>
          <w:spacing w:val="0"/>
          <w:szCs w:val="24"/>
          <w:rtl/>
        </w:rPr>
        <w:t xml:space="preserve"> </w:t>
      </w:r>
      <w:r w:rsidRPr="00CF6CFC">
        <w:rPr>
          <w:rFonts w:ascii="Century" w:hAnsi="Century" w:cs="Miriam" w:hint="eastAsia"/>
          <w:b/>
          <w:spacing w:val="0"/>
          <w:szCs w:val="24"/>
          <w:rtl/>
        </w:rPr>
        <w:t>לשנות</w:t>
      </w:r>
      <w:r w:rsidRPr="00CF6CFC">
        <w:rPr>
          <w:rFonts w:ascii="Century" w:hAnsi="Century" w:cs="Miriam"/>
          <w:b/>
          <w:spacing w:val="0"/>
          <w:szCs w:val="24"/>
          <w:rtl/>
        </w:rPr>
        <w:t xml:space="preserve"> </w:t>
      </w:r>
      <w:r w:rsidRPr="00CF6CFC">
        <w:rPr>
          <w:rFonts w:ascii="Century" w:hAnsi="Century" w:cs="Miriam" w:hint="eastAsia"/>
          <w:b/>
          <w:spacing w:val="0"/>
          <w:szCs w:val="24"/>
          <w:rtl/>
        </w:rPr>
        <w:t>את</w:t>
      </w:r>
      <w:r w:rsidRPr="00CF6CFC">
        <w:rPr>
          <w:rFonts w:ascii="Century" w:hAnsi="Century" w:cs="Miriam"/>
          <w:b/>
          <w:spacing w:val="0"/>
          <w:szCs w:val="24"/>
          <w:rtl/>
        </w:rPr>
        <w:t xml:space="preserve"> </w:t>
      </w:r>
      <w:r w:rsidRPr="00CF6CFC">
        <w:rPr>
          <w:rFonts w:ascii="Century" w:hAnsi="Century" w:cs="Miriam" w:hint="eastAsia"/>
          <w:b/>
          <w:spacing w:val="0"/>
          <w:szCs w:val="24"/>
          <w:rtl/>
        </w:rPr>
        <w:t>הנתון</w:t>
      </w:r>
      <w:r w:rsidRPr="00CF6CFC">
        <w:rPr>
          <w:rFonts w:ascii="Century" w:hAnsi="Century" w:cs="Miriam"/>
          <w:b/>
          <w:spacing w:val="0"/>
          <w:szCs w:val="24"/>
          <w:rtl/>
        </w:rPr>
        <w:t xml:space="preserve"> </w:t>
      </w:r>
      <w:r w:rsidRPr="00CF6CFC">
        <w:rPr>
          <w:rFonts w:ascii="Century" w:hAnsi="Century" w:cs="Miriam" w:hint="eastAsia"/>
          <w:b/>
          <w:spacing w:val="0"/>
          <w:szCs w:val="24"/>
          <w:rtl/>
        </w:rPr>
        <w:t>העובדתי</w:t>
      </w:r>
      <w:r w:rsidRPr="00CF6CFC">
        <w:rPr>
          <w:rFonts w:ascii="Century" w:hAnsi="Century" w:cs="Miriam"/>
          <w:b/>
          <w:spacing w:val="0"/>
          <w:szCs w:val="24"/>
          <w:rtl/>
        </w:rPr>
        <w:t xml:space="preserve"> </w:t>
      </w:r>
      <w:r w:rsidRPr="00CF6CFC">
        <w:rPr>
          <w:rFonts w:ascii="Century" w:hAnsi="Century" w:cs="Miriam" w:hint="eastAsia"/>
          <w:b/>
          <w:spacing w:val="0"/>
          <w:szCs w:val="24"/>
          <w:rtl/>
        </w:rPr>
        <w:t>באשר</w:t>
      </w:r>
      <w:r w:rsidRPr="00CF6CFC">
        <w:rPr>
          <w:rFonts w:ascii="Century" w:hAnsi="Century" w:cs="Miriam"/>
          <w:b/>
          <w:spacing w:val="0"/>
          <w:szCs w:val="24"/>
          <w:rtl/>
        </w:rPr>
        <w:t xml:space="preserve"> </w:t>
      </w:r>
      <w:r w:rsidRPr="00CF6CFC">
        <w:rPr>
          <w:rFonts w:ascii="Century" w:hAnsi="Century" w:cs="Miriam" w:hint="eastAsia"/>
          <w:b/>
          <w:spacing w:val="0"/>
          <w:szCs w:val="24"/>
          <w:rtl/>
        </w:rPr>
        <w:t>למקום</w:t>
      </w:r>
      <w:r w:rsidRPr="00CF6CFC">
        <w:rPr>
          <w:rFonts w:ascii="Century" w:hAnsi="Century" w:cs="Miriam"/>
          <w:b/>
          <w:spacing w:val="0"/>
          <w:szCs w:val="24"/>
          <w:rtl/>
        </w:rPr>
        <w:t xml:space="preserve"> </w:t>
      </w:r>
      <w:r w:rsidRPr="00CF6CFC">
        <w:rPr>
          <w:rFonts w:ascii="Century" w:hAnsi="Century" w:cs="Miriam" w:hint="eastAsia"/>
          <w:b/>
          <w:spacing w:val="0"/>
          <w:szCs w:val="24"/>
          <w:rtl/>
        </w:rPr>
        <w:t>ביצוע</w:t>
      </w:r>
      <w:r w:rsidRPr="00CF6CFC">
        <w:rPr>
          <w:rFonts w:ascii="Century" w:hAnsi="Century" w:cs="Miriam"/>
          <w:b/>
          <w:spacing w:val="0"/>
          <w:szCs w:val="24"/>
          <w:rtl/>
        </w:rPr>
        <w:t xml:space="preserve"> </w:t>
      </w:r>
      <w:r w:rsidRPr="00CF6CFC">
        <w:rPr>
          <w:rFonts w:ascii="Century" w:hAnsi="Century" w:cs="Miriam" w:hint="eastAsia"/>
          <w:b/>
          <w:spacing w:val="0"/>
          <w:szCs w:val="24"/>
          <w:rtl/>
        </w:rPr>
        <w:t>העוולה</w:t>
      </w:r>
      <w:r w:rsidRPr="00CF6CFC">
        <w:rPr>
          <w:rFonts w:ascii="Century" w:hAnsi="Century" w:cs="Miriam"/>
          <w:b/>
          <w:spacing w:val="0"/>
          <w:szCs w:val="24"/>
          <w:rtl/>
        </w:rPr>
        <w:t xml:space="preserve">. </w:t>
      </w:r>
      <w:r w:rsidRPr="00CF6CFC">
        <w:rPr>
          <w:rFonts w:ascii="Century" w:hAnsi="Century" w:cs="Miriam" w:hint="eastAsia"/>
          <w:b/>
          <w:spacing w:val="0"/>
          <w:szCs w:val="24"/>
          <w:rtl/>
        </w:rPr>
        <w:t>החלת</w:t>
      </w:r>
      <w:r w:rsidRPr="00CF6CFC">
        <w:rPr>
          <w:rFonts w:ascii="Century" w:hAnsi="Century" w:cs="Miriam"/>
          <w:b/>
          <w:spacing w:val="0"/>
          <w:szCs w:val="24"/>
          <w:rtl/>
        </w:rPr>
        <w:t xml:space="preserve"> </w:t>
      </w:r>
      <w:r w:rsidRPr="00CF6CFC">
        <w:rPr>
          <w:rFonts w:ascii="Century" w:hAnsi="Century" w:cs="Miriam" w:hint="eastAsia"/>
          <w:b/>
          <w:spacing w:val="0"/>
          <w:szCs w:val="24"/>
          <w:rtl/>
        </w:rPr>
        <w:t>דין</w:t>
      </w:r>
      <w:r w:rsidRPr="00CF6CFC">
        <w:rPr>
          <w:rFonts w:ascii="Century" w:hAnsi="Century" w:cs="Miriam"/>
          <w:b/>
          <w:spacing w:val="0"/>
          <w:szCs w:val="24"/>
          <w:rtl/>
        </w:rPr>
        <w:t xml:space="preserve"> </w:t>
      </w:r>
      <w:r w:rsidRPr="00CF6CFC">
        <w:rPr>
          <w:rFonts w:ascii="Century" w:hAnsi="Century" w:cs="Miriam" w:hint="eastAsia"/>
          <w:b/>
          <w:spacing w:val="0"/>
          <w:szCs w:val="24"/>
          <w:rtl/>
        </w:rPr>
        <w:t>הנזיקין</w:t>
      </w:r>
      <w:r w:rsidRPr="00CF6CFC">
        <w:rPr>
          <w:rFonts w:ascii="Century" w:hAnsi="Century" w:cs="Miriam"/>
          <w:b/>
          <w:spacing w:val="0"/>
          <w:szCs w:val="24"/>
          <w:rtl/>
        </w:rPr>
        <w:t xml:space="preserve"> </w:t>
      </w:r>
      <w:r w:rsidRPr="00CF6CFC">
        <w:rPr>
          <w:rFonts w:ascii="Century" w:hAnsi="Century" w:cs="Miriam" w:hint="eastAsia"/>
          <w:b/>
          <w:spacing w:val="0"/>
          <w:szCs w:val="24"/>
          <w:rtl/>
        </w:rPr>
        <w:t>הישראלי</w:t>
      </w:r>
      <w:r w:rsidRPr="00CF6CFC">
        <w:rPr>
          <w:rFonts w:ascii="Century" w:hAnsi="Century" w:cs="Miriam"/>
          <w:b/>
          <w:spacing w:val="0"/>
          <w:szCs w:val="24"/>
          <w:rtl/>
        </w:rPr>
        <w:t xml:space="preserve"> </w:t>
      </w:r>
      <w:r w:rsidRPr="00CF6CFC">
        <w:rPr>
          <w:rFonts w:ascii="Century" w:hAnsi="Century" w:cs="Miriam" w:hint="eastAsia"/>
          <w:b/>
          <w:spacing w:val="0"/>
          <w:szCs w:val="24"/>
          <w:rtl/>
        </w:rPr>
        <w:t>אינה</w:t>
      </w:r>
      <w:r w:rsidRPr="00CF6CFC">
        <w:rPr>
          <w:rFonts w:ascii="Century" w:hAnsi="Century" w:cs="Miriam"/>
          <w:b/>
          <w:spacing w:val="0"/>
          <w:szCs w:val="24"/>
          <w:rtl/>
        </w:rPr>
        <w:t xml:space="preserve"> </w:t>
      </w:r>
      <w:r w:rsidRPr="00CF6CFC">
        <w:rPr>
          <w:rFonts w:ascii="Century" w:hAnsi="Century" w:cs="Miriam" w:hint="eastAsia"/>
          <w:b/>
          <w:spacing w:val="0"/>
          <w:szCs w:val="24"/>
          <w:rtl/>
        </w:rPr>
        <w:t>יוצרת</w:t>
      </w:r>
      <w:r w:rsidRPr="00CF6CFC">
        <w:rPr>
          <w:rFonts w:ascii="Century" w:hAnsi="Century" w:cs="Miriam"/>
          <w:b/>
          <w:spacing w:val="0"/>
          <w:szCs w:val="24"/>
          <w:rtl/>
        </w:rPr>
        <w:t xml:space="preserve"> </w:t>
      </w:r>
      <w:r w:rsidRPr="00CF6CFC">
        <w:rPr>
          <w:rFonts w:ascii="Century" w:hAnsi="Century" w:cs="Miriam" w:hint="eastAsia"/>
          <w:b/>
          <w:spacing w:val="0"/>
          <w:szCs w:val="24"/>
          <w:rtl/>
        </w:rPr>
        <w:t>פיקציה</w:t>
      </w:r>
      <w:r w:rsidRPr="00CF6CFC">
        <w:rPr>
          <w:rFonts w:ascii="Century" w:hAnsi="Century" w:cs="Miriam"/>
          <w:b/>
          <w:spacing w:val="0"/>
          <w:szCs w:val="24"/>
          <w:rtl/>
        </w:rPr>
        <w:t xml:space="preserve"> </w:t>
      </w:r>
      <w:r w:rsidRPr="00CF6CFC">
        <w:rPr>
          <w:rFonts w:ascii="Century" w:hAnsi="Century" w:cs="Miriam" w:hint="eastAsia"/>
          <w:b/>
          <w:spacing w:val="0"/>
          <w:szCs w:val="24"/>
          <w:rtl/>
        </w:rPr>
        <w:t>לפיה</w:t>
      </w:r>
      <w:r w:rsidRPr="00CF6CFC">
        <w:rPr>
          <w:rFonts w:ascii="Century" w:hAnsi="Century" w:cs="Miriam"/>
          <w:b/>
          <w:spacing w:val="0"/>
          <w:szCs w:val="24"/>
          <w:rtl/>
        </w:rPr>
        <w:t xml:space="preserve"> </w:t>
      </w:r>
      <w:r w:rsidRPr="00CF6CFC">
        <w:rPr>
          <w:rFonts w:ascii="Century" w:hAnsi="Century" w:cs="Miriam" w:hint="eastAsia"/>
          <w:b/>
          <w:spacing w:val="0"/>
          <w:szCs w:val="24"/>
          <w:rtl/>
        </w:rPr>
        <w:t>ההתרחשות</w:t>
      </w:r>
      <w:r w:rsidRPr="00CF6CFC">
        <w:rPr>
          <w:rFonts w:ascii="Century" w:hAnsi="Century" w:cs="Miriam"/>
          <w:b/>
          <w:spacing w:val="0"/>
          <w:szCs w:val="24"/>
          <w:rtl/>
        </w:rPr>
        <w:t xml:space="preserve"> </w:t>
      </w:r>
      <w:r w:rsidRPr="00CF6CFC">
        <w:rPr>
          <w:rFonts w:ascii="Century" w:hAnsi="Century" w:cs="Miriam" w:hint="eastAsia"/>
          <w:b/>
          <w:spacing w:val="0"/>
          <w:szCs w:val="24"/>
          <w:rtl/>
        </w:rPr>
        <w:t>אירעה</w:t>
      </w:r>
      <w:r w:rsidRPr="00CF6CFC">
        <w:rPr>
          <w:rFonts w:ascii="Century" w:hAnsi="Century" w:cs="Miriam"/>
          <w:b/>
          <w:spacing w:val="0"/>
          <w:szCs w:val="24"/>
          <w:rtl/>
        </w:rPr>
        <w:t xml:space="preserve"> </w:t>
      </w:r>
      <w:r w:rsidRPr="00CF6CFC">
        <w:rPr>
          <w:rFonts w:ascii="Century" w:hAnsi="Century" w:cs="Miriam" w:hint="eastAsia"/>
          <w:b/>
          <w:spacing w:val="0"/>
          <w:szCs w:val="24"/>
          <w:rtl/>
        </w:rPr>
        <w:t>בישראל</w:t>
      </w:r>
      <w:r w:rsidRPr="00CF6CFC">
        <w:rPr>
          <w:rFonts w:ascii="Century" w:hAnsi="Century" w:cs="Miriam"/>
          <w:b/>
          <w:spacing w:val="0"/>
          <w:szCs w:val="24"/>
          <w:rtl/>
        </w:rPr>
        <w:t xml:space="preserve">. </w:t>
      </w:r>
      <w:r w:rsidRPr="00CF6CFC">
        <w:rPr>
          <w:rFonts w:ascii="Century" w:hAnsi="Century" w:cs="Miriam" w:hint="eastAsia"/>
          <w:b/>
          <w:spacing w:val="0"/>
          <w:szCs w:val="24"/>
          <w:rtl/>
        </w:rPr>
        <w:t>עצם</w:t>
      </w:r>
      <w:r w:rsidRPr="00CF6CFC">
        <w:rPr>
          <w:rFonts w:ascii="Century" w:hAnsi="Century" w:cs="Miriam"/>
          <w:b/>
          <w:spacing w:val="0"/>
          <w:szCs w:val="24"/>
          <w:rtl/>
        </w:rPr>
        <w:t xml:space="preserve"> </w:t>
      </w:r>
      <w:r w:rsidRPr="00CF6CFC">
        <w:rPr>
          <w:rFonts w:ascii="Century" w:hAnsi="Century" w:cs="Miriam" w:hint="eastAsia"/>
          <w:b/>
          <w:spacing w:val="0"/>
          <w:szCs w:val="24"/>
          <w:rtl/>
        </w:rPr>
        <w:t>העובדה</w:t>
      </w:r>
      <w:r w:rsidRPr="00CF6CFC">
        <w:rPr>
          <w:rFonts w:ascii="Century" w:hAnsi="Century" w:cs="Miriam"/>
          <w:b/>
          <w:spacing w:val="0"/>
          <w:szCs w:val="24"/>
          <w:rtl/>
        </w:rPr>
        <w:t xml:space="preserve"> </w:t>
      </w:r>
      <w:r w:rsidRPr="00CF6CFC">
        <w:rPr>
          <w:rFonts w:ascii="Century" w:hAnsi="Century" w:cs="Miriam" w:hint="eastAsia"/>
          <w:b/>
          <w:spacing w:val="0"/>
          <w:szCs w:val="24"/>
          <w:rtl/>
        </w:rPr>
        <w:t>שהעניין</w:t>
      </w:r>
      <w:r w:rsidRPr="00CF6CFC">
        <w:rPr>
          <w:rFonts w:ascii="Century" w:hAnsi="Century" w:cs="Miriam"/>
          <w:b/>
          <w:spacing w:val="0"/>
          <w:szCs w:val="24"/>
          <w:rtl/>
        </w:rPr>
        <w:t xml:space="preserve"> </w:t>
      </w:r>
      <w:r w:rsidRPr="00CF6CFC">
        <w:rPr>
          <w:rFonts w:ascii="Century" w:hAnsi="Century" w:cs="Miriam" w:hint="eastAsia"/>
          <w:b/>
          <w:spacing w:val="0"/>
          <w:szCs w:val="24"/>
          <w:rtl/>
        </w:rPr>
        <w:t>נדון</w:t>
      </w:r>
      <w:r w:rsidRPr="00CF6CFC">
        <w:rPr>
          <w:rFonts w:ascii="Century" w:hAnsi="Century" w:cs="Miriam"/>
          <w:b/>
          <w:spacing w:val="0"/>
          <w:szCs w:val="24"/>
          <w:rtl/>
        </w:rPr>
        <w:t xml:space="preserve"> </w:t>
      </w:r>
      <w:r w:rsidRPr="00CF6CFC">
        <w:rPr>
          <w:rFonts w:ascii="Century" w:hAnsi="Century" w:cs="Miriam" w:hint="eastAsia"/>
          <w:b/>
          <w:spacing w:val="0"/>
          <w:szCs w:val="24"/>
          <w:rtl/>
        </w:rPr>
        <w:t>בפני</w:t>
      </w:r>
      <w:r w:rsidRPr="00CF6CFC">
        <w:rPr>
          <w:rFonts w:ascii="Century" w:hAnsi="Century" w:cs="Miriam"/>
          <w:b/>
          <w:spacing w:val="0"/>
          <w:szCs w:val="24"/>
          <w:rtl/>
        </w:rPr>
        <w:t xml:space="preserve"> </w:t>
      </w:r>
      <w:r w:rsidRPr="00CF6CFC">
        <w:rPr>
          <w:rFonts w:ascii="Century" w:hAnsi="Century" w:cs="Miriam" w:hint="eastAsia"/>
          <w:b/>
          <w:spacing w:val="0"/>
          <w:szCs w:val="24"/>
          <w:rtl/>
        </w:rPr>
        <w:t>בית</w:t>
      </w:r>
      <w:r w:rsidRPr="00CF6CFC">
        <w:rPr>
          <w:rFonts w:ascii="Century" w:hAnsi="Century" w:cs="Miriam"/>
          <w:b/>
          <w:spacing w:val="0"/>
          <w:szCs w:val="24"/>
          <w:rtl/>
        </w:rPr>
        <w:t xml:space="preserve"> </w:t>
      </w:r>
      <w:r w:rsidRPr="00CF6CFC">
        <w:rPr>
          <w:rFonts w:ascii="Century" w:hAnsi="Century" w:cs="Miriam" w:hint="eastAsia"/>
          <w:b/>
          <w:spacing w:val="0"/>
          <w:szCs w:val="24"/>
          <w:rtl/>
        </w:rPr>
        <w:t>משפט</w:t>
      </w:r>
      <w:r w:rsidRPr="00CF6CFC">
        <w:rPr>
          <w:rFonts w:ascii="Century" w:hAnsi="Century" w:cs="Miriam"/>
          <w:b/>
          <w:spacing w:val="0"/>
          <w:szCs w:val="24"/>
          <w:rtl/>
        </w:rPr>
        <w:t xml:space="preserve"> </w:t>
      </w:r>
      <w:r w:rsidRPr="00CF6CFC">
        <w:rPr>
          <w:rFonts w:ascii="Century" w:hAnsi="Century" w:cs="Miriam" w:hint="eastAsia"/>
          <w:b/>
          <w:spacing w:val="0"/>
          <w:szCs w:val="24"/>
          <w:rtl/>
        </w:rPr>
        <w:t>ישראלי</w:t>
      </w:r>
      <w:r w:rsidRPr="00CF6CFC">
        <w:rPr>
          <w:rFonts w:ascii="Century" w:hAnsi="Century" w:cs="Miriam"/>
          <w:b/>
          <w:spacing w:val="0"/>
          <w:szCs w:val="24"/>
          <w:rtl/>
        </w:rPr>
        <w:t xml:space="preserve">, </w:t>
      </w:r>
      <w:r w:rsidRPr="00CF6CFC">
        <w:rPr>
          <w:rFonts w:ascii="Century" w:hAnsi="Century" w:cs="Miriam" w:hint="eastAsia"/>
          <w:b/>
          <w:spacing w:val="0"/>
          <w:szCs w:val="24"/>
          <w:rtl/>
        </w:rPr>
        <w:t>על</w:t>
      </w:r>
      <w:r w:rsidRPr="00CF6CFC">
        <w:rPr>
          <w:rFonts w:ascii="Century" w:hAnsi="Century" w:cs="Miriam"/>
          <w:b/>
          <w:spacing w:val="0"/>
          <w:szCs w:val="24"/>
          <w:rtl/>
        </w:rPr>
        <w:t xml:space="preserve"> </w:t>
      </w:r>
      <w:r w:rsidRPr="00CF6CFC">
        <w:rPr>
          <w:rFonts w:ascii="Century" w:hAnsi="Century" w:cs="Miriam" w:hint="eastAsia"/>
          <w:b/>
          <w:spacing w:val="0"/>
          <w:szCs w:val="24"/>
          <w:rtl/>
        </w:rPr>
        <w:t>פי</w:t>
      </w:r>
      <w:r w:rsidRPr="00CF6CFC">
        <w:rPr>
          <w:rFonts w:ascii="Century" w:hAnsi="Century" w:cs="Miriam"/>
          <w:b/>
          <w:spacing w:val="0"/>
          <w:szCs w:val="24"/>
          <w:rtl/>
        </w:rPr>
        <w:t xml:space="preserve"> </w:t>
      </w:r>
      <w:r w:rsidRPr="00CF6CFC">
        <w:rPr>
          <w:rFonts w:ascii="Century" w:hAnsi="Century" w:cs="Miriam" w:hint="eastAsia"/>
          <w:b/>
          <w:spacing w:val="0"/>
          <w:szCs w:val="24"/>
          <w:rtl/>
        </w:rPr>
        <w:t>הדין</w:t>
      </w:r>
      <w:r w:rsidRPr="00CF6CFC">
        <w:rPr>
          <w:rFonts w:ascii="Century" w:hAnsi="Century" w:cs="Miriam"/>
          <w:b/>
          <w:spacing w:val="0"/>
          <w:szCs w:val="24"/>
          <w:rtl/>
        </w:rPr>
        <w:t xml:space="preserve"> </w:t>
      </w:r>
      <w:r w:rsidRPr="00CF6CFC">
        <w:rPr>
          <w:rFonts w:ascii="Century" w:hAnsi="Century" w:cs="Miriam" w:hint="eastAsia"/>
          <w:b/>
          <w:spacing w:val="0"/>
          <w:szCs w:val="24"/>
          <w:rtl/>
        </w:rPr>
        <w:t>הישראלי</w:t>
      </w:r>
      <w:r w:rsidRPr="00CF6CFC">
        <w:rPr>
          <w:rFonts w:ascii="Century" w:hAnsi="Century" w:cs="Miriam"/>
          <w:b/>
          <w:spacing w:val="0"/>
          <w:szCs w:val="24"/>
          <w:rtl/>
        </w:rPr>
        <w:t xml:space="preserve">, </w:t>
      </w:r>
      <w:r w:rsidRPr="00CF6CFC">
        <w:rPr>
          <w:rFonts w:ascii="Century" w:hAnsi="Century" w:cs="Miriam" w:hint="eastAsia"/>
          <w:b/>
          <w:spacing w:val="0"/>
          <w:szCs w:val="24"/>
          <w:rtl/>
        </w:rPr>
        <w:t>אינה</w:t>
      </w:r>
      <w:r w:rsidRPr="00CF6CFC">
        <w:rPr>
          <w:rFonts w:ascii="Century" w:hAnsi="Century" w:cs="Miriam"/>
          <w:b/>
          <w:spacing w:val="0"/>
          <w:szCs w:val="24"/>
          <w:rtl/>
        </w:rPr>
        <w:t xml:space="preserve"> </w:t>
      </w:r>
      <w:r w:rsidRPr="00CF6CFC">
        <w:rPr>
          <w:rFonts w:ascii="Century" w:hAnsi="Century" w:cs="Miriam" w:hint="eastAsia"/>
          <w:b/>
          <w:spacing w:val="0"/>
          <w:szCs w:val="24"/>
          <w:rtl/>
        </w:rPr>
        <w:t>יכולה</w:t>
      </w:r>
      <w:r w:rsidRPr="00CF6CFC">
        <w:rPr>
          <w:rFonts w:ascii="Century" w:hAnsi="Century" w:cs="Miriam"/>
          <w:b/>
          <w:spacing w:val="0"/>
          <w:szCs w:val="24"/>
          <w:rtl/>
        </w:rPr>
        <w:t xml:space="preserve"> </w:t>
      </w:r>
      <w:r w:rsidRPr="00CF6CFC">
        <w:rPr>
          <w:rFonts w:ascii="Century" w:hAnsi="Century" w:cs="Miriam" w:hint="eastAsia"/>
          <w:b/>
          <w:spacing w:val="0"/>
          <w:szCs w:val="24"/>
          <w:rtl/>
        </w:rPr>
        <w:t>להוביל</w:t>
      </w:r>
      <w:r w:rsidRPr="00CF6CFC">
        <w:rPr>
          <w:rFonts w:ascii="Century" w:hAnsi="Century" w:cs="Miriam"/>
          <w:b/>
          <w:spacing w:val="0"/>
          <w:szCs w:val="24"/>
          <w:rtl/>
        </w:rPr>
        <w:t xml:space="preserve"> </w:t>
      </w:r>
      <w:r w:rsidRPr="00CF6CFC">
        <w:rPr>
          <w:rFonts w:ascii="Century" w:hAnsi="Century" w:cs="Miriam" w:hint="eastAsia"/>
          <w:b/>
          <w:spacing w:val="0"/>
          <w:szCs w:val="24"/>
          <w:rtl/>
        </w:rPr>
        <w:t>למסקנה</w:t>
      </w:r>
      <w:r w:rsidRPr="00CF6CFC">
        <w:rPr>
          <w:rFonts w:ascii="Century" w:hAnsi="Century" w:cs="Miriam"/>
          <w:b/>
          <w:spacing w:val="0"/>
          <w:szCs w:val="24"/>
          <w:rtl/>
        </w:rPr>
        <w:t xml:space="preserve"> </w:t>
      </w:r>
      <w:r w:rsidRPr="00CF6CFC">
        <w:rPr>
          <w:rFonts w:ascii="Century" w:hAnsi="Century" w:cs="Miriam" w:hint="eastAsia"/>
          <w:b/>
          <w:spacing w:val="0"/>
          <w:szCs w:val="24"/>
          <w:rtl/>
        </w:rPr>
        <w:t>שהזכויות</w:t>
      </w:r>
      <w:r w:rsidRPr="00CF6CFC">
        <w:rPr>
          <w:rFonts w:ascii="Century" w:hAnsi="Century" w:cs="Miriam"/>
          <w:b/>
          <w:spacing w:val="0"/>
          <w:szCs w:val="24"/>
          <w:rtl/>
        </w:rPr>
        <w:t xml:space="preserve"> </w:t>
      </w:r>
      <w:r w:rsidRPr="00CF6CFC">
        <w:rPr>
          <w:rFonts w:ascii="Century" w:hAnsi="Century" w:cs="Miriam" w:hint="eastAsia"/>
          <w:b/>
          <w:spacing w:val="0"/>
          <w:szCs w:val="24"/>
          <w:rtl/>
        </w:rPr>
        <w:t>נתונות</w:t>
      </w:r>
      <w:r w:rsidRPr="00CF6CFC">
        <w:rPr>
          <w:rFonts w:ascii="Century" w:hAnsi="Century" w:cs="Miriam"/>
          <w:b/>
          <w:spacing w:val="0"/>
          <w:szCs w:val="24"/>
          <w:rtl/>
        </w:rPr>
        <w:t xml:space="preserve"> </w:t>
      </w:r>
      <w:r w:rsidRPr="00CF6CFC">
        <w:rPr>
          <w:rFonts w:ascii="Century" w:hAnsi="Century" w:cs="Miriam" w:hint="eastAsia"/>
          <w:b/>
          <w:spacing w:val="0"/>
          <w:szCs w:val="24"/>
          <w:rtl/>
        </w:rPr>
        <w:t>לנפגעים</w:t>
      </w:r>
      <w:r w:rsidRPr="00CF6CFC">
        <w:rPr>
          <w:rFonts w:ascii="Century" w:hAnsi="Century" w:cs="Miriam"/>
          <w:b/>
          <w:spacing w:val="0"/>
          <w:szCs w:val="24"/>
          <w:rtl/>
        </w:rPr>
        <w:t xml:space="preserve"> </w:t>
      </w:r>
      <w:r w:rsidRPr="00CF6CFC">
        <w:rPr>
          <w:rFonts w:ascii="Century" w:hAnsi="Century" w:cs="Miriam" w:hint="eastAsia"/>
          <w:b/>
          <w:spacing w:val="0"/>
          <w:szCs w:val="24"/>
          <w:rtl/>
        </w:rPr>
        <w:t>בישראל</w:t>
      </w:r>
      <w:r w:rsidRPr="00CF6CFC">
        <w:rPr>
          <w:rFonts w:ascii="Century" w:hAnsi="Century" w:cs="Miriam"/>
          <w:b/>
          <w:spacing w:val="0"/>
          <w:szCs w:val="24"/>
          <w:rtl/>
        </w:rPr>
        <w:t xml:space="preserve">. </w:t>
      </w:r>
      <w:r w:rsidRPr="00CF6CFC">
        <w:rPr>
          <w:rFonts w:ascii="Century" w:hAnsi="Century" w:cs="Miriam" w:hint="eastAsia"/>
          <w:b/>
          <w:spacing w:val="0"/>
          <w:szCs w:val="24"/>
          <w:rtl/>
        </w:rPr>
        <w:t>שהרי</w:t>
      </w:r>
      <w:r w:rsidRPr="00CF6CFC">
        <w:rPr>
          <w:rFonts w:ascii="Century" w:hAnsi="Century" w:cs="Miriam"/>
          <w:b/>
          <w:spacing w:val="0"/>
          <w:szCs w:val="24"/>
          <w:rtl/>
        </w:rPr>
        <w:t xml:space="preserve"> </w:t>
      </w:r>
      <w:r w:rsidRPr="00CF6CFC">
        <w:rPr>
          <w:rFonts w:ascii="Century" w:hAnsi="Century" w:cs="Miriam" w:hint="eastAsia"/>
          <w:b/>
          <w:spacing w:val="0"/>
          <w:szCs w:val="24"/>
          <w:rtl/>
        </w:rPr>
        <w:t>אם</w:t>
      </w:r>
      <w:r w:rsidRPr="00CF6CFC">
        <w:rPr>
          <w:rFonts w:ascii="Century" w:hAnsi="Century" w:cs="Miriam"/>
          <w:b/>
          <w:spacing w:val="0"/>
          <w:szCs w:val="24"/>
          <w:rtl/>
        </w:rPr>
        <w:t xml:space="preserve"> </w:t>
      </w:r>
      <w:r w:rsidRPr="00CF6CFC">
        <w:rPr>
          <w:rFonts w:ascii="Century" w:hAnsi="Century" w:cs="Miriam" w:hint="eastAsia"/>
          <w:b/>
          <w:spacing w:val="0"/>
          <w:szCs w:val="24"/>
          <w:rtl/>
        </w:rPr>
        <w:t>תאמר</w:t>
      </w:r>
      <w:r w:rsidRPr="00CF6CFC">
        <w:rPr>
          <w:rFonts w:ascii="Century" w:hAnsi="Century" w:cs="Miriam"/>
          <w:b/>
          <w:spacing w:val="0"/>
          <w:szCs w:val="24"/>
          <w:rtl/>
        </w:rPr>
        <w:t xml:space="preserve"> </w:t>
      </w:r>
      <w:r w:rsidRPr="00CF6CFC">
        <w:rPr>
          <w:rFonts w:ascii="Century" w:hAnsi="Century" w:cs="Miriam" w:hint="eastAsia"/>
          <w:b/>
          <w:spacing w:val="0"/>
          <w:szCs w:val="24"/>
          <w:rtl/>
        </w:rPr>
        <w:t>כן</w:t>
      </w:r>
      <w:r w:rsidRPr="00CF6CFC">
        <w:rPr>
          <w:rFonts w:ascii="Century" w:hAnsi="Century" w:cs="Miriam"/>
          <w:b/>
          <w:spacing w:val="0"/>
          <w:szCs w:val="24"/>
          <w:rtl/>
        </w:rPr>
        <w:t xml:space="preserve">, </w:t>
      </w:r>
      <w:r w:rsidRPr="00CF6CFC">
        <w:rPr>
          <w:rFonts w:ascii="Century" w:hAnsi="Century" w:cs="Miriam" w:hint="eastAsia"/>
          <w:b/>
          <w:spacing w:val="0"/>
          <w:szCs w:val="24"/>
          <w:rtl/>
        </w:rPr>
        <w:t>תנבע</w:t>
      </w:r>
      <w:r w:rsidRPr="00CF6CFC">
        <w:rPr>
          <w:rFonts w:ascii="Century" w:hAnsi="Century" w:cs="Miriam"/>
          <w:b/>
          <w:spacing w:val="0"/>
          <w:szCs w:val="24"/>
          <w:rtl/>
        </w:rPr>
        <w:t xml:space="preserve"> </w:t>
      </w:r>
      <w:r w:rsidRPr="00CF6CFC">
        <w:rPr>
          <w:rFonts w:ascii="Century" w:hAnsi="Century" w:cs="Miriam" w:hint="eastAsia"/>
          <w:b/>
          <w:spacing w:val="0"/>
          <w:szCs w:val="24"/>
          <w:rtl/>
        </w:rPr>
        <w:t>מסקנה</w:t>
      </w:r>
      <w:r w:rsidRPr="00CF6CFC">
        <w:rPr>
          <w:rFonts w:ascii="Century" w:hAnsi="Century" w:cs="Miriam"/>
          <w:b/>
          <w:spacing w:val="0"/>
          <w:szCs w:val="24"/>
          <w:rtl/>
        </w:rPr>
        <w:t xml:space="preserve"> </w:t>
      </w:r>
      <w:r w:rsidRPr="00CF6CFC">
        <w:rPr>
          <w:rFonts w:ascii="Century" w:hAnsi="Century" w:cs="Miriam" w:hint="eastAsia"/>
          <w:b/>
          <w:spacing w:val="0"/>
          <w:szCs w:val="24"/>
          <w:rtl/>
        </w:rPr>
        <w:t>מרחיקת</w:t>
      </w:r>
      <w:r w:rsidRPr="00CF6CFC">
        <w:rPr>
          <w:rFonts w:ascii="Century" w:hAnsi="Century" w:cs="Miriam"/>
          <w:b/>
          <w:spacing w:val="0"/>
          <w:szCs w:val="24"/>
          <w:rtl/>
        </w:rPr>
        <w:t xml:space="preserve"> </w:t>
      </w:r>
      <w:r w:rsidRPr="00CF6CFC">
        <w:rPr>
          <w:rFonts w:ascii="Century" w:hAnsi="Century" w:cs="Miriam" w:hint="eastAsia"/>
          <w:b/>
          <w:spacing w:val="0"/>
          <w:szCs w:val="24"/>
          <w:rtl/>
        </w:rPr>
        <w:t>לכת</w:t>
      </w:r>
      <w:r w:rsidRPr="00CF6CFC">
        <w:rPr>
          <w:rFonts w:ascii="Century" w:hAnsi="Century" w:cs="Miriam"/>
          <w:b/>
          <w:spacing w:val="0"/>
          <w:szCs w:val="24"/>
          <w:rtl/>
        </w:rPr>
        <w:t xml:space="preserve"> </w:t>
      </w:r>
      <w:r w:rsidRPr="00CF6CFC">
        <w:rPr>
          <w:rFonts w:ascii="Century" w:hAnsi="Century" w:cs="Miriam" w:hint="eastAsia"/>
          <w:b/>
          <w:spacing w:val="0"/>
          <w:szCs w:val="24"/>
          <w:rtl/>
        </w:rPr>
        <w:t>לפיה</w:t>
      </w:r>
      <w:r w:rsidRPr="00CF6CFC">
        <w:rPr>
          <w:rFonts w:ascii="Century" w:hAnsi="Century" w:cs="Miriam"/>
          <w:b/>
          <w:spacing w:val="0"/>
          <w:szCs w:val="24"/>
          <w:rtl/>
        </w:rPr>
        <w:t xml:space="preserve"> </w:t>
      </w:r>
      <w:r w:rsidRPr="00CF6CFC">
        <w:rPr>
          <w:rFonts w:ascii="Century" w:hAnsi="Century" w:cs="Miriam" w:hint="eastAsia"/>
          <w:b/>
          <w:spacing w:val="0"/>
          <w:szCs w:val="24"/>
          <w:rtl/>
        </w:rPr>
        <w:t>חוקי</w:t>
      </w:r>
      <w:r w:rsidRPr="00CF6CFC">
        <w:rPr>
          <w:rFonts w:ascii="Century" w:hAnsi="Century" w:cs="Miriam"/>
          <w:b/>
          <w:spacing w:val="0"/>
          <w:szCs w:val="24"/>
          <w:rtl/>
        </w:rPr>
        <w:t xml:space="preserve"> </w:t>
      </w:r>
      <w:r w:rsidRPr="00CF6CFC">
        <w:rPr>
          <w:rFonts w:ascii="Century" w:hAnsi="Century" w:cs="Miriam" w:hint="eastAsia"/>
          <w:b/>
          <w:spacing w:val="0"/>
          <w:szCs w:val="24"/>
          <w:rtl/>
        </w:rPr>
        <w:t>היסוד</w:t>
      </w:r>
      <w:r w:rsidRPr="00CF6CFC">
        <w:rPr>
          <w:rFonts w:ascii="Century" w:hAnsi="Century" w:cs="Miriam"/>
          <w:b/>
          <w:spacing w:val="0"/>
          <w:szCs w:val="24"/>
          <w:rtl/>
        </w:rPr>
        <w:t xml:space="preserve"> </w:t>
      </w:r>
      <w:r w:rsidRPr="00CF6CFC">
        <w:rPr>
          <w:rFonts w:ascii="Century" w:hAnsi="Century" w:cs="Miriam" w:hint="eastAsia"/>
          <w:b/>
          <w:spacing w:val="0"/>
          <w:szCs w:val="24"/>
          <w:rtl/>
        </w:rPr>
        <w:t>יחולו</w:t>
      </w:r>
      <w:r w:rsidRPr="00CF6CFC">
        <w:rPr>
          <w:rFonts w:ascii="Century" w:hAnsi="Century" w:cs="Miriam"/>
          <w:b/>
          <w:spacing w:val="0"/>
          <w:szCs w:val="24"/>
          <w:rtl/>
        </w:rPr>
        <w:t xml:space="preserve"> </w:t>
      </w:r>
      <w:r w:rsidRPr="00CF6CFC">
        <w:rPr>
          <w:rFonts w:ascii="Century" w:hAnsi="Century" w:cs="Miriam" w:hint="eastAsia"/>
          <w:b/>
          <w:spacing w:val="0"/>
          <w:szCs w:val="24"/>
          <w:rtl/>
        </w:rPr>
        <w:t>לגבי</w:t>
      </w:r>
      <w:r w:rsidRPr="00CF6CFC">
        <w:rPr>
          <w:rFonts w:ascii="Century" w:hAnsi="Century" w:cs="Miriam"/>
          <w:b/>
          <w:spacing w:val="0"/>
          <w:szCs w:val="24"/>
          <w:rtl/>
        </w:rPr>
        <w:t xml:space="preserve"> </w:t>
      </w:r>
      <w:r w:rsidRPr="00CF6CFC">
        <w:rPr>
          <w:rFonts w:ascii="Century" w:hAnsi="Century" w:cs="Miriam" w:hint="eastAsia"/>
          <w:b/>
          <w:spacing w:val="0"/>
          <w:szCs w:val="24"/>
          <w:rtl/>
        </w:rPr>
        <w:t>כל</w:t>
      </w:r>
      <w:r w:rsidRPr="00CF6CFC">
        <w:rPr>
          <w:rFonts w:ascii="Century" w:hAnsi="Century" w:cs="Miriam"/>
          <w:b/>
          <w:spacing w:val="0"/>
          <w:szCs w:val="24"/>
          <w:rtl/>
        </w:rPr>
        <w:t xml:space="preserve"> </w:t>
      </w:r>
      <w:r w:rsidRPr="00CF6CFC">
        <w:rPr>
          <w:rFonts w:ascii="Century" w:hAnsi="Century" w:cs="Miriam" w:hint="eastAsia"/>
          <w:b/>
          <w:spacing w:val="0"/>
          <w:szCs w:val="24"/>
          <w:rtl/>
        </w:rPr>
        <w:t>הליך</w:t>
      </w:r>
      <w:r w:rsidRPr="00CF6CFC">
        <w:rPr>
          <w:rFonts w:ascii="Century" w:hAnsi="Century" w:cs="Miriam"/>
          <w:b/>
          <w:spacing w:val="0"/>
          <w:szCs w:val="24"/>
          <w:rtl/>
        </w:rPr>
        <w:t xml:space="preserve"> </w:t>
      </w:r>
      <w:r w:rsidRPr="00CF6CFC">
        <w:rPr>
          <w:rFonts w:ascii="Century" w:hAnsi="Century" w:cs="Miriam" w:hint="eastAsia"/>
          <w:b/>
          <w:spacing w:val="0"/>
          <w:szCs w:val="24"/>
          <w:rtl/>
        </w:rPr>
        <w:t>המתנהל</w:t>
      </w:r>
      <w:r w:rsidRPr="00CF6CFC">
        <w:rPr>
          <w:rFonts w:ascii="Century" w:hAnsi="Century" w:cs="Miriam"/>
          <w:b/>
          <w:spacing w:val="0"/>
          <w:szCs w:val="24"/>
          <w:rtl/>
        </w:rPr>
        <w:t xml:space="preserve"> </w:t>
      </w:r>
      <w:r w:rsidRPr="00CF6CFC">
        <w:rPr>
          <w:rFonts w:ascii="Century" w:hAnsi="Century" w:cs="Miriam" w:hint="eastAsia"/>
          <w:b/>
          <w:spacing w:val="0"/>
          <w:szCs w:val="24"/>
          <w:rtl/>
        </w:rPr>
        <w:t>בבית</w:t>
      </w:r>
      <w:r w:rsidRPr="00CF6CFC">
        <w:rPr>
          <w:rFonts w:ascii="Century" w:hAnsi="Century" w:cs="Miriam"/>
          <w:b/>
          <w:spacing w:val="0"/>
          <w:szCs w:val="24"/>
          <w:rtl/>
        </w:rPr>
        <w:t xml:space="preserve"> </w:t>
      </w:r>
      <w:r w:rsidRPr="00CF6CFC">
        <w:rPr>
          <w:rFonts w:ascii="Century" w:hAnsi="Century" w:cs="Miriam" w:hint="eastAsia"/>
          <w:b/>
          <w:spacing w:val="0"/>
          <w:szCs w:val="24"/>
          <w:rtl/>
        </w:rPr>
        <w:t>משפט</w:t>
      </w:r>
      <w:r w:rsidRPr="00CF6CFC">
        <w:rPr>
          <w:rFonts w:ascii="Century" w:hAnsi="Century" w:cs="Miriam"/>
          <w:b/>
          <w:spacing w:val="0"/>
          <w:szCs w:val="24"/>
          <w:rtl/>
        </w:rPr>
        <w:t xml:space="preserve"> </w:t>
      </w:r>
      <w:r w:rsidRPr="00CF6CFC">
        <w:rPr>
          <w:rFonts w:ascii="Century" w:hAnsi="Century" w:cs="Miriam" w:hint="eastAsia"/>
          <w:b/>
          <w:spacing w:val="0"/>
          <w:szCs w:val="24"/>
          <w:rtl/>
        </w:rPr>
        <w:t>ישראלי</w:t>
      </w:r>
      <w:r w:rsidRPr="00CF6CFC">
        <w:rPr>
          <w:rFonts w:ascii="Century" w:hAnsi="Century" w:cs="Miriam"/>
          <w:b/>
          <w:spacing w:val="0"/>
          <w:szCs w:val="24"/>
          <w:rtl/>
        </w:rPr>
        <w:t xml:space="preserve"> </w:t>
      </w:r>
      <w:r w:rsidRPr="00CF6CFC">
        <w:rPr>
          <w:rFonts w:ascii="Century" w:hAnsi="Century" w:cs="Miriam" w:hint="eastAsia"/>
          <w:b/>
          <w:spacing w:val="0"/>
          <w:szCs w:val="24"/>
          <w:rtl/>
        </w:rPr>
        <w:t>שלעניינו</w:t>
      </w:r>
      <w:r w:rsidRPr="00CF6CFC">
        <w:rPr>
          <w:rFonts w:ascii="Century" w:hAnsi="Century" w:cs="Miriam"/>
          <w:b/>
          <w:spacing w:val="0"/>
          <w:szCs w:val="24"/>
          <w:rtl/>
        </w:rPr>
        <w:t xml:space="preserve"> </w:t>
      </w:r>
      <w:r w:rsidRPr="00CF6CFC">
        <w:rPr>
          <w:rFonts w:ascii="Century" w:hAnsi="Century" w:cs="Miriam" w:hint="eastAsia"/>
          <w:b/>
          <w:spacing w:val="0"/>
          <w:szCs w:val="24"/>
          <w:rtl/>
        </w:rPr>
        <w:t>מפנים</w:t>
      </w:r>
      <w:r w:rsidRPr="00CF6CFC">
        <w:rPr>
          <w:rFonts w:ascii="Century" w:hAnsi="Century" w:cs="Miriam"/>
          <w:b/>
          <w:spacing w:val="0"/>
          <w:szCs w:val="24"/>
          <w:rtl/>
        </w:rPr>
        <w:t xml:space="preserve"> </w:t>
      </w:r>
      <w:r w:rsidRPr="00CF6CFC">
        <w:rPr>
          <w:rFonts w:ascii="Century" w:hAnsi="Century" w:cs="Miriam" w:hint="eastAsia"/>
          <w:b/>
          <w:spacing w:val="0"/>
          <w:szCs w:val="24"/>
          <w:rtl/>
        </w:rPr>
        <w:t>כללי</w:t>
      </w:r>
      <w:r w:rsidRPr="00CF6CFC">
        <w:rPr>
          <w:rFonts w:ascii="Century" w:hAnsi="Century" w:cs="Miriam"/>
          <w:b/>
          <w:spacing w:val="0"/>
          <w:szCs w:val="24"/>
          <w:rtl/>
        </w:rPr>
        <w:t xml:space="preserve"> </w:t>
      </w:r>
      <w:r w:rsidRPr="00CF6CFC">
        <w:rPr>
          <w:rFonts w:ascii="Century" w:hAnsi="Century" w:cs="Miriam" w:hint="eastAsia"/>
          <w:b/>
          <w:spacing w:val="0"/>
          <w:szCs w:val="24"/>
          <w:rtl/>
        </w:rPr>
        <w:t>ברירת</w:t>
      </w:r>
      <w:r w:rsidRPr="00CF6CFC">
        <w:rPr>
          <w:rFonts w:ascii="Century" w:hAnsi="Century" w:cs="Miriam"/>
          <w:b/>
          <w:spacing w:val="0"/>
          <w:szCs w:val="24"/>
          <w:rtl/>
        </w:rPr>
        <w:t xml:space="preserve"> </w:t>
      </w:r>
      <w:r w:rsidRPr="00CF6CFC">
        <w:rPr>
          <w:rFonts w:ascii="Century" w:hAnsi="Century" w:cs="Miriam" w:hint="eastAsia"/>
          <w:b/>
          <w:spacing w:val="0"/>
          <w:szCs w:val="24"/>
          <w:rtl/>
        </w:rPr>
        <w:t>הדין</w:t>
      </w:r>
      <w:r w:rsidRPr="00CF6CFC">
        <w:rPr>
          <w:rFonts w:ascii="Century" w:hAnsi="Century" w:cs="Miriam"/>
          <w:b/>
          <w:spacing w:val="0"/>
          <w:szCs w:val="24"/>
          <w:rtl/>
        </w:rPr>
        <w:t xml:space="preserve"> </w:t>
      </w:r>
      <w:r w:rsidRPr="00CF6CFC">
        <w:rPr>
          <w:rFonts w:ascii="Century" w:hAnsi="Century" w:cs="Miriam" w:hint="eastAsia"/>
          <w:b/>
          <w:spacing w:val="0"/>
          <w:szCs w:val="24"/>
          <w:rtl/>
        </w:rPr>
        <w:t>לדין</w:t>
      </w:r>
      <w:r w:rsidRPr="00CF6CFC">
        <w:rPr>
          <w:rFonts w:ascii="Century" w:hAnsi="Century" w:cs="Miriam"/>
          <w:b/>
          <w:spacing w:val="0"/>
          <w:szCs w:val="24"/>
          <w:rtl/>
        </w:rPr>
        <w:t xml:space="preserve"> </w:t>
      </w:r>
      <w:r w:rsidRPr="00CF6CFC">
        <w:rPr>
          <w:rFonts w:ascii="Century" w:hAnsi="Century" w:cs="Miriam" w:hint="eastAsia"/>
          <w:b/>
          <w:spacing w:val="0"/>
          <w:szCs w:val="24"/>
          <w:rtl/>
        </w:rPr>
        <w:t>הישראלי</w:t>
      </w:r>
      <w:r w:rsidRPr="00CF6CFC">
        <w:rPr>
          <w:rFonts w:ascii="Century" w:hAnsi="Century" w:cs="Miriam"/>
          <w:b/>
          <w:spacing w:val="0"/>
          <w:szCs w:val="24"/>
          <w:rtl/>
        </w:rPr>
        <w:t xml:space="preserve">. </w:t>
      </w:r>
      <w:r w:rsidRPr="00CF6CFC">
        <w:rPr>
          <w:rFonts w:ascii="Century" w:hAnsi="Century" w:cs="Miriam" w:hint="eastAsia"/>
          <w:b/>
          <w:spacing w:val="0"/>
          <w:szCs w:val="24"/>
          <w:rtl/>
        </w:rPr>
        <w:t>אין</w:t>
      </w:r>
      <w:r w:rsidRPr="00CF6CFC">
        <w:rPr>
          <w:rFonts w:ascii="Century" w:hAnsi="Century" w:cs="Miriam"/>
          <w:b/>
          <w:spacing w:val="0"/>
          <w:szCs w:val="24"/>
          <w:rtl/>
        </w:rPr>
        <w:t xml:space="preserve"> </w:t>
      </w:r>
      <w:r w:rsidRPr="00CF6CFC">
        <w:rPr>
          <w:rFonts w:ascii="Century" w:hAnsi="Century" w:cs="Miriam" w:hint="eastAsia"/>
          <w:b/>
          <w:spacing w:val="0"/>
          <w:szCs w:val="24"/>
          <w:rtl/>
        </w:rPr>
        <w:t>לקשור</w:t>
      </w:r>
      <w:r w:rsidRPr="00CF6CFC">
        <w:rPr>
          <w:rFonts w:ascii="Century" w:hAnsi="Century" w:cs="Miriam"/>
          <w:b/>
          <w:spacing w:val="0"/>
          <w:szCs w:val="24"/>
          <w:rtl/>
        </w:rPr>
        <w:t xml:space="preserve"> </w:t>
      </w:r>
      <w:r w:rsidRPr="00CF6CFC">
        <w:rPr>
          <w:rFonts w:ascii="Century" w:hAnsi="Century" w:cs="Miriam" w:hint="eastAsia"/>
          <w:b/>
          <w:spacing w:val="0"/>
          <w:szCs w:val="24"/>
          <w:rtl/>
        </w:rPr>
        <w:t>בין</w:t>
      </w:r>
      <w:r w:rsidRPr="00CF6CFC">
        <w:rPr>
          <w:rFonts w:ascii="Century" w:hAnsi="Century" w:cs="Miriam"/>
          <w:b/>
          <w:spacing w:val="0"/>
          <w:szCs w:val="24"/>
          <w:rtl/>
        </w:rPr>
        <w:t xml:space="preserve"> </w:t>
      </w:r>
      <w:r w:rsidRPr="00CF6CFC">
        <w:rPr>
          <w:rFonts w:ascii="Century" w:hAnsi="Century" w:cs="Miriam" w:hint="eastAsia"/>
          <w:b/>
          <w:spacing w:val="0"/>
          <w:szCs w:val="24"/>
          <w:rtl/>
        </w:rPr>
        <w:t>כללי</w:t>
      </w:r>
      <w:r w:rsidRPr="00CF6CFC">
        <w:rPr>
          <w:rFonts w:ascii="Century" w:hAnsi="Century" w:cs="Miriam"/>
          <w:b/>
          <w:spacing w:val="0"/>
          <w:szCs w:val="24"/>
          <w:rtl/>
        </w:rPr>
        <w:t xml:space="preserve"> </w:t>
      </w:r>
      <w:r w:rsidRPr="00CF6CFC">
        <w:rPr>
          <w:rFonts w:ascii="Century" w:hAnsi="Century" w:cs="Miriam" w:hint="eastAsia"/>
          <w:b/>
          <w:spacing w:val="0"/>
          <w:szCs w:val="24"/>
          <w:rtl/>
        </w:rPr>
        <w:t>המשפט</w:t>
      </w:r>
      <w:r w:rsidRPr="00CF6CFC">
        <w:rPr>
          <w:rFonts w:ascii="Century" w:hAnsi="Century" w:cs="Miriam"/>
          <w:b/>
          <w:spacing w:val="0"/>
          <w:szCs w:val="24"/>
          <w:rtl/>
        </w:rPr>
        <w:t xml:space="preserve"> </w:t>
      </w:r>
      <w:r w:rsidRPr="00CF6CFC">
        <w:rPr>
          <w:rFonts w:ascii="Century" w:hAnsi="Century" w:cs="Miriam" w:hint="eastAsia"/>
          <w:b/>
          <w:spacing w:val="0"/>
          <w:szCs w:val="24"/>
          <w:rtl/>
        </w:rPr>
        <w:t>הבינלאומי</w:t>
      </w:r>
      <w:r w:rsidRPr="00CF6CFC">
        <w:rPr>
          <w:rFonts w:ascii="Century" w:hAnsi="Century" w:cs="Miriam"/>
          <w:b/>
          <w:spacing w:val="0"/>
          <w:szCs w:val="24"/>
          <w:rtl/>
        </w:rPr>
        <w:t xml:space="preserve"> </w:t>
      </w:r>
      <w:r w:rsidRPr="00CF6CFC">
        <w:rPr>
          <w:rFonts w:ascii="Century" w:hAnsi="Century" w:cs="Miriam" w:hint="eastAsia"/>
          <w:b/>
          <w:spacing w:val="0"/>
          <w:szCs w:val="24"/>
          <w:rtl/>
        </w:rPr>
        <w:t>הפרטי</w:t>
      </w:r>
      <w:r w:rsidRPr="00CF6CFC">
        <w:rPr>
          <w:rFonts w:ascii="Century" w:hAnsi="Century" w:cs="Miriam"/>
          <w:b/>
          <w:spacing w:val="0"/>
          <w:szCs w:val="24"/>
          <w:rtl/>
        </w:rPr>
        <w:t xml:space="preserve"> </w:t>
      </w:r>
      <w:r w:rsidRPr="00CF6CFC">
        <w:rPr>
          <w:rFonts w:ascii="Century" w:hAnsi="Century" w:cs="Miriam" w:hint="eastAsia"/>
          <w:b/>
          <w:spacing w:val="0"/>
          <w:szCs w:val="24"/>
          <w:rtl/>
        </w:rPr>
        <w:t>הישראלי</w:t>
      </w:r>
      <w:r w:rsidRPr="00CF6CFC">
        <w:rPr>
          <w:rFonts w:ascii="Century" w:hAnsi="Century" w:cs="Miriam"/>
          <w:b/>
          <w:spacing w:val="0"/>
          <w:szCs w:val="24"/>
          <w:rtl/>
        </w:rPr>
        <w:t xml:space="preserve"> </w:t>
      </w:r>
      <w:r w:rsidRPr="00CF6CFC">
        <w:rPr>
          <w:rFonts w:ascii="Century" w:hAnsi="Century" w:cs="Miriam" w:hint="eastAsia"/>
          <w:b/>
          <w:spacing w:val="0"/>
          <w:szCs w:val="24"/>
          <w:rtl/>
        </w:rPr>
        <w:t>לבין</w:t>
      </w:r>
      <w:r w:rsidRPr="00CF6CFC">
        <w:rPr>
          <w:rFonts w:ascii="Century" w:hAnsi="Century" w:cs="Miriam"/>
          <w:b/>
          <w:spacing w:val="0"/>
          <w:szCs w:val="24"/>
          <w:rtl/>
        </w:rPr>
        <w:t xml:space="preserve"> </w:t>
      </w:r>
      <w:r w:rsidRPr="00CF6CFC">
        <w:rPr>
          <w:rFonts w:ascii="Century" w:hAnsi="Century" w:cs="Miriam" w:hint="eastAsia"/>
          <w:b/>
          <w:spacing w:val="0"/>
          <w:szCs w:val="24"/>
          <w:rtl/>
        </w:rPr>
        <w:t>גדר</w:t>
      </w:r>
      <w:r w:rsidRPr="00CF6CFC">
        <w:rPr>
          <w:rFonts w:ascii="Century" w:hAnsi="Century" w:cs="Miriam"/>
          <w:b/>
          <w:spacing w:val="0"/>
          <w:szCs w:val="24"/>
          <w:rtl/>
        </w:rPr>
        <w:t xml:space="preserve"> </w:t>
      </w:r>
      <w:r w:rsidRPr="00CF6CFC">
        <w:rPr>
          <w:rFonts w:ascii="Century" w:hAnsi="Century" w:cs="Miriam" w:hint="eastAsia"/>
          <w:b/>
          <w:spacing w:val="0"/>
          <w:szCs w:val="24"/>
          <w:rtl/>
        </w:rPr>
        <w:t>תחולתם</w:t>
      </w:r>
      <w:r w:rsidRPr="00CF6CFC">
        <w:rPr>
          <w:rFonts w:ascii="Century" w:hAnsi="Century" w:cs="Miriam"/>
          <w:b/>
          <w:spacing w:val="0"/>
          <w:szCs w:val="24"/>
          <w:rtl/>
        </w:rPr>
        <w:t xml:space="preserve"> </w:t>
      </w:r>
      <w:r w:rsidRPr="00CF6CFC">
        <w:rPr>
          <w:rFonts w:ascii="Century" w:hAnsi="Century" w:cs="Miriam" w:hint="eastAsia"/>
          <w:b/>
          <w:spacing w:val="0"/>
          <w:szCs w:val="24"/>
          <w:rtl/>
        </w:rPr>
        <w:t>של</w:t>
      </w:r>
      <w:r w:rsidRPr="00CF6CFC">
        <w:rPr>
          <w:rFonts w:ascii="Century" w:hAnsi="Century" w:cs="Miriam"/>
          <w:b/>
          <w:spacing w:val="0"/>
          <w:szCs w:val="24"/>
          <w:rtl/>
        </w:rPr>
        <w:t xml:space="preserve"> </w:t>
      </w:r>
      <w:r w:rsidRPr="00CF6CFC">
        <w:rPr>
          <w:rFonts w:ascii="Century" w:hAnsi="Century" w:cs="Miriam" w:hint="eastAsia"/>
          <w:b/>
          <w:spacing w:val="0"/>
          <w:szCs w:val="24"/>
          <w:rtl/>
        </w:rPr>
        <w:t>חוקי</w:t>
      </w:r>
      <w:r w:rsidRPr="00CF6CFC">
        <w:rPr>
          <w:rFonts w:ascii="Century" w:hAnsi="Century" w:cs="Miriam"/>
          <w:b/>
          <w:spacing w:val="0"/>
          <w:szCs w:val="24"/>
          <w:rtl/>
        </w:rPr>
        <w:t xml:space="preserve"> </w:t>
      </w:r>
      <w:r w:rsidRPr="00CF6CFC">
        <w:rPr>
          <w:rFonts w:ascii="Century" w:hAnsi="Century" w:cs="Miriam" w:hint="eastAsia"/>
          <w:b/>
          <w:spacing w:val="0"/>
          <w:szCs w:val="24"/>
          <w:rtl/>
        </w:rPr>
        <w:t>היסוד</w:t>
      </w:r>
      <w:r w:rsidRPr="00CF6CFC">
        <w:rPr>
          <w:rFonts w:ascii="Century" w:hAnsi="Century" w:cs="Miriam"/>
          <w:b/>
          <w:spacing w:val="0"/>
          <w:szCs w:val="24"/>
          <w:rtl/>
        </w:rPr>
        <w:t xml:space="preserve">. </w:t>
      </w:r>
      <w:r w:rsidRPr="00CF6CFC">
        <w:rPr>
          <w:rFonts w:ascii="Century" w:hAnsi="Century" w:cs="Miriam" w:hint="eastAsia"/>
          <w:b/>
          <w:spacing w:val="0"/>
          <w:szCs w:val="24"/>
          <w:rtl/>
        </w:rPr>
        <w:t>לפיכך</w:t>
      </w:r>
      <w:r w:rsidRPr="00CF6CFC">
        <w:rPr>
          <w:rFonts w:ascii="Century" w:hAnsi="Century" w:cs="Miriam"/>
          <w:b/>
          <w:spacing w:val="0"/>
          <w:szCs w:val="24"/>
          <w:rtl/>
        </w:rPr>
        <w:t xml:space="preserve"> </w:t>
      </w:r>
      <w:r w:rsidRPr="00CF6CFC">
        <w:rPr>
          <w:rFonts w:ascii="Century" w:hAnsi="Century" w:cs="Miriam" w:hint="eastAsia"/>
          <w:b/>
          <w:spacing w:val="0"/>
          <w:szCs w:val="24"/>
          <w:rtl/>
        </w:rPr>
        <w:t>נראה</w:t>
      </w:r>
      <w:r w:rsidRPr="00CF6CFC">
        <w:rPr>
          <w:rFonts w:ascii="Century" w:hAnsi="Century" w:cs="Miriam"/>
          <w:b/>
          <w:spacing w:val="0"/>
          <w:szCs w:val="24"/>
          <w:rtl/>
        </w:rPr>
        <w:t xml:space="preserve">, </w:t>
      </w:r>
      <w:r w:rsidRPr="00CF6CFC">
        <w:rPr>
          <w:rFonts w:ascii="Century" w:hAnsi="Century" w:cs="Miriam" w:hint="eastAsia"/>
          <w:b/>
          <w:spacing w:val="0"/>
          <w:szCs w:val="24"/>
          <w:rtl/>
        </w:rPr>
        <w:t>כי</w:t>
      </w:r>
      <w:r w:rsidRPr="00CF6CFC">
        <w:rPr>
          <w:rFonts w:ascii="Century" w:hAnsi="Century" w:cs="Miriam"/>
          <w:b/>
          <w:spacing w:val="0"/>
          <w:szCs w:val="24"/>
          <w:rtl/>
        </w:rPr>
        <w:t xml:space="preserve"> </w:t>
      </w:r>
      <w:r w:rsidRPr="00CF6CFC">
        <w:rPr>
          <w:rFonts w:ascii="Century" w:hAnsi="Century" w:cs="Miriam" w:hint="eastAsia"/>
          <w:b/>
          <w:spacing w:val="0"/>
          <w:szCs w:val="24"/>
          <w:rtl/>
        </w:rPr>
        <w:t>סדר</w:t>
      </w:r>
      <w:r w:rsidRPr="00CF6CFC">
        <w:rPr>
          <w:rFonts w:ascii="Century" w:hAnsi="Century" w:cs="Miriam"/>
          <w:b/>
          <w:spacing w:val="0"/>
          <w:szCs w:val="24"/>
          <w:rtl/>
        </w:rPr>
        <w:t xml:space="preserve"> </w:t>
      </w:r>
      <w:r w:rsidRPr="00CF6CFC">
        <w:rPr>
          <w:rFonts w:ascii="Century" w:hAnsi="Century" w:cs="Miriam" w:hint="eastAsia"/>
          <w:b/>
          <w:spacing w:val="0"/>
          <w:szCs w:val="24"/>
          <w:rtl/>
        </w:rPr>
        <w:t>הדיון</w:t>
      </w:r>
      <w:r w:rsidRPr="00CF6CFC">
        <w:rPr>
          <w:rFonts w:ascii="Century" w:hAnsi="Century" w:cs="Miriam"/>
          <w:b/>
          <w:spacing w:val="0"/>
          <w:szCs w:val="24"/>
          <w:rtl/>
        </w:rPr>
        <w:t xml:space="preserve"> </w:t>
      </w:r>
      <w:r w:rsidRPr="00CF6CFC">
        <w:rPr>
          <w:rFonts w:ascii="Century" w:hAnsi="Century" w:cs="Miriam" w:hint="eastAsia"/>
          <w:b/>
          <w:spacing w:val="0"/>
          <w:szCs w:val="24"/>
          <w:rtl/>
        </w:rPr>
        <w:t>היה</w:t>
      </w:r>
      <w:r w:rsidRPr="00CF6CFC">
        <w:rPr>
          <w:rFonts w:ascii="Century" w:hAnsi="Century" w:cs="Miriam"/>
          <w:b/>
          <w:spacing w:val="0"/>
          <w:szCs w:val="24"/>
          <w:rtl/>
        </w:rPr>
        <w:t xml:space="preserve"> </w:t>
      </w:r>
      <w:r w:rsidRPr="00CF6CFC">
        <w:rPr>
          <w:rFonts w:ascii="Century" w:hAnsi="Century" w:cs="Miriam" w:hint="eastAsia"/>
          <w:b/>
          <w:spacing w:val="0"/>
          <w:szCs w:val="24"/>
          <w:rtl/>
        </w:rPr>
        <w:t>מחייב</w:t>
      </w:r>
      <w:r w:rsidRPr="00CF6CFC">
        <w:rPr>
          <w:rFonts w:ascii="Century" w:hAnsi="Century" w:cs="Miriam"/>
          <w:b/>
          <w:spacing w:val="0"/>
          <w:szCs w:val="24"/>
          <w:rtl/>
        </w:rPr>
        <w:t xml:space="preserve"> </w:t>
      </w:r>
      <w:r w:rsidRPr="00CF6CFC">
        <w:rPr>
          <w:rFonts w:ascii="Century" w:hAnsi="Century" w:cs="Miriam" w:hint="eastAsia"/>
          <w:b/>
          <w:spacing w:val="0"/>
          <w:szCs w:val="24"/>
          <w:rtl/>
        </w:rPr>
        <w:t>הכרעה</w:t>
      </w:r>
      <w:r w:rsidRPr="00CF6CFC">
        <w:rPr>
          <w:rFonts w:ascii="Century" w:hAnsi="Century" w:cs="Miriam"/>
          <w:b/>
          <w:spacing w:val="0"/>
          <w:szCs w:val="24"/>
          <w:rtl/>
        </w:rPr>
        <w:t xml:space="preserve"> </w:t>
      </w:r>
      <w:r w:rsidRPr="00CF6CFC">
        <w:rPr>
          <w:rFonts w:ascii="Century" w:hAnsi="Century" w:cs="Miriam" w:hint="eastAsia"/>
          <w:b/>
          <w:spacing w:val="0"/>
          <w:szCs w:val="24"/>
          <w:rtl/>
        </w:rPr>
        <w:t>בשאלת</w:t>
      </w:r>
      <w:r w:rsidRPr="00CF6CFC">
        <w:rPr>
          <w:rFonts w:ascii="Century" w:hAnsi="Century" w:cs="Miriam"/>
          <w:b/>
          <w:spacing w:val="0"/>
          <w:szCs w:val="24"/>
          <w:rtl/>
        </w:rPr>
        <w:t xml:space="preserve"> </w:t>
      </w:r>
      <w:r w:rsidRPr="00CF6CFC">
        <w:rPr>
          <w:rFonts w:ascii="Century" w:hAnsi="Century" w:cs="Miriam" w:hint="eastAsia"/>
          <w:b/>
          <w:spacing w:val="0"/>
          <w:szCs w:val="24"/>
          <w:rtl/>
        </w:rPr>
        <w:t>תחולתו</w:t>
      </w:r>
      <w:r w:rsidRPr="00CF6CFC">
        <w:rPr>
          <w:rFonts w:ascii="Century" w:hAnsi="Century" w:cs="Miriam"/>
          <w:b/>
          <w:spacing w:val="0"/>
          <w:szCs w:val="24"/>
          <w:rtl/>
        </w:rPr>
        <w:t xml:space="preserve"> </w:t>
      </w:r>
      <w:r w:rsidRPr="00CF6CFC">
        <w:rPr>
          <w:rFonts w:ascii="Century" w:hAnsi="Century" w:cs="Miriam" w:hint="eastAsia"/>
          <w:b/>
          <w:spacing w:val="0"/>
          <w:szCs w:val="24"/>
          <w:rtl/>
        </w:rPr>
        <w:t>האקסטרא</w:t>
      </w:r>
      <w:r w:rsidRPr="00CF6CFC">
        <w:rPr>
          <w:rFonts w:ascii="Century" w:hAnsi="Century" w:cs="Miriam"/>
          <w:b/>
          <w:spacing w:val="0"/>
          <w:szCs w:val="24"/>
          <w:rtl/>
        </w:rPr>
        <w:t>-</w:t>
      </w:r>
      <w:r w:rsidRPr="00CF6CFC">
        <w:rPr>
          <w:rFonts w:ascii="Century" w:hAnsi="Century" w:cs="Miriam" w:hint="eastAsia"/>
          <w:b/>
          <w:spacing w:val="0"/>
          <w:szCs w:val="24"/>
          <w:rtl/>
        </w:rPr>
        <w:t>טריטוריאלית</w:t>
      </w:r>
      <w:r w:rsidRPr="00CF6CFC">
        <w:rPr>
          <w:rFonts w:ascii="Century" w:hAnsi="Century" w:cs="Miriam"/>
          <w:b/>
          <w:spacing w:val="0"/>
          <w:szCs w:val="24"/>
          <w:rtl/>
        </w:rPr>
        <w:t xml:space="preserve"> </w:t>
      </w:r>
      <w:r w:rsidRPr="00CF6CFC">
        <w:rPr>
          <w:rFonts w:ascii="Century" w:hAnsi="Century" w:cs="Miriam" w:hint="eastAsia"/>
          <w:b/>
          <w:spacing w:val="0"/>
          <w:szCs w:val="24"/>
          <w:rtl/>
        </w:rPr>
        <w:t>של</w:t>
      </w:r>
      <w:r w:rsidRPr="00CF6CFC">
        <w:rPr>
          <w:rFonts w:ascii="Century" w:hAnsi="Century" w:cs="Miriam"/>
          <w:b/>
          <w:spacing w:val="0"/>
          <w:szCs w:val="24"/>
          <w:rtl/>
        </w:rPr>
        <w:t xml:space="preserve"> </w:t>
      </w:r>
      <w:r w:rsidRPr="00CF6CFC">
        <w:rPr>
          <w:rFonts w:ascii="Century" w:hAnsi="Century" w:cs="Miriam" w:hint="eastAsia"/>
          <w:b/>
          <w:spacing w:val="0"/>
          <w:szCs w:val="24"/>
          <w:rtl/>
        </w:rPr>
        <w:t>חוק</w:t>
      </w:r>
      <w:r w:rsidRPr="00CF6CFC">
        <w:rPr>
          <w:rFonts w:ascii="Century" w:hAnsi="Century" w:cs="Miriam"/>
          <w:b/>
          <w:spacing w:val="0"/>
          <w:szCs w:val="24"/>
          <w:rtl/>
        </w:rPr>
        <w:t xml:space="preserve"> </w:t>
      </w:r>
      <w:r w:rsidRPr="00CF6CFC">
        <w:rPr>
          <w:rFonts w:ascii="Century" w:hAnsi="Century" w:cs="Miriam" w:hint="eastAsia"/>
          <w:b/>
          <w:spacing w:val="0"/>
          <w:szCs w:val="24"/>
          <w:rtl/>
        </w:rPr>
        <w:t>יסוד</w:t>
      </w:r>
      <w:r w:rsidRPr="00CF6CFC">
        <w:rPr>
          <w:rFonts w:ascii="Century" w:hAnsi="Century" w:cs="Miriam"/>
          <w:b/>
          <w:spacing w:val="0"/>
          <w:szCs w:val="24"/>
          <w:rtl/>
        </w:rPr>
        <w:t xml:space="preserve">: </w:t>
      </w:r>
      <w:r w:rsidRPr="00CF6CFC">
        <w:rPr>
          <w:rFonts w:ascii="Century" w:hAnsi="Century" w:cs="Miriam" w:hint="eastAsia"/>
          <w:b/>
          <w:spacing w:val="0"/>
          <w:szCs w:val="24"/>
          <w:rtl/>
        </w:rPr>
        <w:t>כבוד</w:t>
      </w:r>
      <w:r w:rsidRPr="00CF6CFC">
        <w:rPr>
          <w:rFonts w:ascii="Century" w:hAnsi="Century" w:cs="Miriam"/>
          <w:b/>
          <w:spacing w:val="0"/>
          <w:szCs w:val="24"/>
          <w:rtl/>
        </w:rPr>
        <w:t xml:space="preserve"> </w:t>
      </w:r>
      <w:r w:rsidRPr="00CF6CFC">
        <w:rPr>
          <w:rFonts w:ascii="Century" w:hAnsi="Century" w:cs="Miriam" w:hint="eastAsia"/>
          <w:b/>
          <w:spacing w:val="0"/>
          <w:szCs w:val="24"/>
          <w:rtl/>
        </w:rPr>
        <w:t>האדם</w:t>
      </w:r>
      <w:r w:rsidRPr="00CF6CFC">
        <w:rPr>
          <w:rFonts w:ascii="Century" w:hAnsi="Century" w:cs="Miriam"/>
          <w:b/>
          <w:spacing w:val="0"/>
          <w:szCs w:val="24"/>
          <w:rtl/>
        </w:rPr>
        <w:t xml:space="preserve"> </w:t>
      </w:r>
      <w:r w:rsidRPr="00CF6CFC">
        <w:rPr>
          <w:rFonts w:ascii="Century" w:hAnsi="Century" w:cs="Miriam" w:hint="eastAsia"/>
          <w:b/>
          <w:spacing w:val="0"/>
          <w:szCs w:val="24"/>
          <w:rtl/>
        </w:rPr>
        <w:t>וחירותו</w:t>
      </w:r>
      <w:r w:rsidRPr="00CF6CFC">
        <w:rPr>
          <w:rFonts w:ascii="Century" w:hAnsi="Century" w:cs="Miriam" w:hint="cs"/>
          <w:b/>
          <w:spacing w:val="0"/>
          <w:szCs w:val="24"/>
          <w:rtl/>
        </w:rPr>
        <w:t>"</w:t>
      </w:r>
      <w:r>
        <w:rPr>
          <w:rFonts w:ascii="FrankRuehl" w:hAnsi="FrankRuehl" w:hint="cs"/>
          <w:b/>
          <w:spacing w:val="0"/>
          <w:sz w:val="28"/>
          <w:rtl/>
        </w:rPr>
        <w:t xml:space="preserve"> </w:t>
      </w:r>
      <w:r w:rsidRPr="00DE54CC">
        <w:rPr>
          <w:rFonts w:ascii="Century" w:hAnsi="Century"/>
          <w:rtl/>
        </w:rPr>
        <w:t>(</w:t>
      </w:r>
      <w:r w:rsidRPr="00DE54CC">
        <w:rPr>
          <w:rFonts w:ascii="Century" w:hAnsi="Century" w:cs="Miriam"/>
          <w:b/>
          <w:spacing w:val="0"/>
          <w:szCs w:val="24"/>
          <w:rtl/>
        </w:rPr>
        <w:t>שם</w:t>
      </w:r>
      <w:r w:rsidRPr="00DE54CC">
        <w:rPr>
          <w:rFonts w:ascii="Century" w:hAnsi="Century"/>
          <w:rtl/>
        </w:rPr>
        <w:t>, פסקה 3).</w:t>
      </w:r>
      <w:r w:rsidRPr="006C4EF7">
        <w:rPr>
          <w:rFonts w:ascii="FrankRuehl" w:hAnsi="FrankRuehl"/>
          <w:b/>
          <w:spacing w:val="0"/>
          <w:sz w:val="28"/>
          <w:rtl/>
        </w:rPr>
        <w:t xml:space="preserve"> </w:t>
      </w:r>
    </w:p>
    <w:p w:rsidR="00D512D4" w:rsidRDefault="00D512D4" w:rsidP="009F054C">
      <w:pPr>
        <w:pStyle w:val="Ruller4"/>
        <w:numPr>
          <w:ilvl w:val="0"/>
          <w:numId w:val="0"/>
        </w:numPr>
        <w:spacing w:line="240" w:lineRule="auto"/>
        <w:rPr>
          <w:rFonts w:ascii="FrankRuehl" w:hAnsi="FrankRuehl"/>
          <w:b/>
          <w:spacing w:val="0"/>
          <w:sz w:val="28"/>
          <w:rtl/>
        </w:rPr>
      </w:pPr>
    </w:p>
    <w:p w:rsidR="00D512D4" w:rsidRPr="00DE54CC" w:rsidRDefault="00D512D4" w:rsidP="00D512D4">
      <w:pPr>
        <w:pStyle w:val="Ruller4"/>
        <w:numPr>
          <w:ilvl w:val="0"/>
          <w:numId w:val="0"/>
        </w:numPr>
      </w:pPr>
      <w:r>
        <w:rPr>
          <w:rFonts w:ascii="FrankRuehl" w:hAnsi="FrankRuehl"/>
          <w:b/>
          <w:spacing w:val="0"/>
          <w:sz w:val="28"/>
          <w:rtl/>
        </w:rPr>
        <w:tab/>
      </w:r>
      <w:r w:rsidRPr="00DE54CC">
        <w:rPr>
          <w:rFonts w:hint="eastAsia"/>
          <w:rtl/>
        </w:rPr>
        <w:t>לביקורת</w:t>
      </w:r>
      <w:r w:rsidRPr="00DE54CC">
        <w:rPr>
          <w:rtl/>
        </w:rPr>
        <w:t xml:space="preserve"> </w:t>
      </w:r>
      <w:r w:rsidRPr="00DE54CC">
        <w:rPr>
          <w:rFonts w:hint="eastAsia"/>
          <w:rtl/>
        </w:rPr>
        <w:t>דומה</w:t>
      </w:r>
      <w:r w:rsidRPr="00DE54CC">
        <w:rPr>
          <w:rtl/>
        </w:rPr>
        <w:t xml:space="preserve">, </w:t>
      </w:r>
      <w:r w:rsidRPr="00DE54CC">
        <w:rPr>
          <w:rFonts w:hint="eastAsia"/>
          <w:rtl/>
        </w:rPr>
        <w:t>ראו</w:t>
      </w:r>
      <w:r>
        <w:rPr>
          <w:rFonts w:hint="cs"/>
          <w:rtl/>
        </w:rPr>
        <w:t xml:space="preserve"> גם</w:t>
      </w:r>
      <w:r w:rsidRPr="00DE54CC">
        <w:rPr>
          <w:rtl/>
        </w:rPr>
        <w:t>: ליאב אורגד, חוקה של מי ובעבור מי? על היקף תחולתם של חוקי היסוד,</w:t>
      </w:r>
      <w:r w:rsidRPr="00CF6CFC">
        <w:rPr>
          <w:rFonts w:ascii="FrankRuehl" w:hAnsi="FrankRuehl"/>
          <w:b/>
          <w:spacing w:val="0"/>
          <w:sz w:val="28"/>
          <w:rtl/>
        </w:rPr>
        <w:t xml:space="preserve"> </w:t>
      </w:r>
      <w:r w:rsidRPr="00CF6CFC">
        <w:rPr>
          <w:rFonts w:ascii="Century" w:hAnsi="Century" w:cs="Miriam"/>
          <w:b/>
          <w:spacing w:val="0"/>
          <w:szCs w:val="24"/>
          <w:rtl/>
        </w:rPr>
        <w:t>משפט וממשל</w:t>
      </w:r>
      <w:r w:rsidRPr="00DE54CC">
        <w:rPr>
          <w:rtl/>
        </w:rPr>
        <w:t xml:space="preserve"> </w:t>
      </w:r>
      <w:r w:rsidRPr="00DE54CC">
        <w:rPr>
          <w:rFonts w:hint="eastAsia"/>
          <w:rtl/>
        </w:rPr>
        <w:t>יב</w:t>
      </w:r>
      <w:r w:rsidRPr="00DE54CC">
        <w:rPr>
          <w:rtl/>
        </w:rPr>
        <w:t>, 145, 168(</w:t>
      </w:r>
      <w:r>
        <w:rPr>
          <w:rFonts w:hint="cs"/>
          <w:rtl/>
        </w:rPr>
        <w:t>ה</w:t>
      </w:r>
      <w:r w:rsidRPr="00DE54CC">
        <w:rPr>
          <w:rFonts w:hint="eastAsia"/>
          <w:rtl/>
        </w:rPr>
        <w:t>תש</w:t>
      </w:r>
      <w:r w:rsidRPr="00DE54CC">
        <w:rPr>
          <w:rtl/>
        </w:rPr>
        <w:t>"ע) (להלן</w:t>
      </w:r>
      <w:r>
        <w:rPr>
          <w:rFonts w:hint="cs"/>
          <w:rtl/>
        </w:rPr>
        <w:t>:</w:t>
      </w:r>
      <w:r>
        <w:rPr>
          <w:rFonts w:ascii="FrankRuehl" w:hAnsi="FrankRuehl" w:hint="cs"/>
          <w:b/>
          <w:spacing w:val="0"/>
          <w:sz w:val="28"/>
          <w:rtl/>
        </w:rPr>
        <w:t xml:space="preserve"> </w:t>
      </w:r>
      <w:r w:rsidRPr="002B7504">
        <w:rPr>
          <w:rFonts w:ascii="Century" w:hAnsi="Century" w:cs="Miriam" w:hint="cs"/>
          <w:b/>
          <w:spacing w:val="0"/>
          <w:szCs w:val="24"/>
          <w:rtl/>
        </w:rPr>
        <w:t>אורגד</w:t>
      </w:r>
      <w:r w:rsidRPr="00DE54CC">
        <w:rPr>
          <w:rtl/>
        </w:rPr>
        <w:t xml:space="preserve">); ברק מדינה, </w:t>
      </w:r>
      <w:r w:rsidRPr="006C4EF7">
        <w:rPr>
          <w:rFonts w:ascii="Century" w:hAnsi="Century" w:cs="Miriam" w:hint="eastAsia"/>
          <w:b/>
          <w:spacing w:val="0"/>
          <w:sz w:val="22"/>
          <w:szCs w:val="24"/>
          <w:rtl/>
        </w:rPr>
        <w:t>דיני</w:t>
      </w:r>
      <w:r w:rsidRPr="006C4EF7">
        <w:rPr>
          <w:rFonts w:ascii="Century" w:hAnsi="Century" w:cs="Miriam"/>
          <w:b/>
          <w:spacing w:val="0"/>
          <w:sz w:val="22"/>
          <w:szCs w:val="24"/>
          <w:rtl/>
        </w:rPr>
        <w:t xml:space="preserve"> </w:t>
      </w:r>
      <w:r w:rsidRPr="006C4EF7">
        <w:rPr>
          <w:rFonts w:ascii="Century" w:hAnsi="Century" w:cs="Miriam" w:hint="eastAsia"/>
          <w:b/>
          <w:spacing w:val="0"/>
          <w:sz w:val="22"/>
          <w:szCs w:val="24"/>
          <w:rtl/>
        </w:rPr>
        <w:t>זכויות</w:t>
      </w:r>
      <w:r w:rsidRPr="006C4EF7">
        <w:rPr>
          <w:rFonts w:ascii="Century" w:hAnsi="Century" w:cs="Miriam"/>
          <w:b/>
          <w:spacing w:val="0"/>
          <w:sz w:val="22"/>
          <w:szCs w:val="24"/>
          <w:rtl/>
        </w:rPr>
        <w:t xml:space="preserve"> </w:t>
      </w:r>
      <w:r w:rsidRPr="006C4EF7">
        <w:rPr>
          <w:rFonts w:ascii="Century" w:hAnsi="Century" w:cs="Miriam" w:hint="eastAsia"/>
          <w:b/>
          <w:spacing w:val="0"/>
          <w:sz w:val="22"/>
          <w:szCs w:val="24"/>
          <w:rtl/>
        </w:rPr>
        <w:t>האדם</w:t>
      </w:r>
      <w:r w:rsidRPr="006C4EF7">
        <w:rPr>
          <w:rFonts w:ascii="Century" w:hAnsi="Century" w:cs="Miriam"/>
          <w:b/>
          <w:spacing w:val="0"/>
          <w:sz w:val="22"/>
          <w:szCs w:val="24"/>
          <w:rtl/>
        </w:rPr>
        <w:t xml:space="preserve"> </w:t>
      </w:r>
      <w:r w:rsidRPr="006C4EF7">
        <w:rPr>
          <w:rFonts w:ascii="Century" w:hAnsi="Century" w:cs="Miriam" w:hint="eastAsia"/>
          <w:b/>
          <w:spacing w:val="0"/>
          <w:sz w:val="22"/>
          <w:szCs w:val="24"/>
          <w:rtl/>
        </w:rPr>
        <w:t>בישראל</w:t>
      </w:r>
      <w:r w:rsidRPr="00DE54CC">
        <w:rPr>
          <w:rtl/>
        </w:rPr>
        <w:t>, 73 (2016) (להלן</w:t>
      </w:r>
      <w:r>
        <w:rPr>
          <w:rFonts w:hint="cs"/>
          <w:rtl/>
        </w:rPr>
        <w:t>:</w:t>
      </w:r>
      <w:r w:rsidRPr="00DE54CC">
        <w:rPr>
          <w:rtl/>
        </w:rPr>
        <w:t xml:space="preserve"> </w:t>
      </w:r>
      <w:r w:rsidRPr="006C4EF7">
        <w:rPr>
          <w:rFonts w:ascii="Century" w:hAnsi="Century" w:cs="Miriam" w:hint="eastAsia"/>
          <w:b/>
          <w:spacing w:val="0"/>
          <w:sz w:val="22"/>
          <w:szCs w:val="24"/>
          <w:rtl/>
        </w:rPr>
        <w:t>מדינה</w:t>
      </w:r>
      <w:r w:rsidRPr="00DE54CC">
        <w:rPr>
          <w:rtl/>
        </w:rPr>
        <w:t>).</w:t>
      </w:r>
    </w:p>
    <w:p w:rsidR="00D512D4" w:rsidRDefault="00D512D4" w:rsidP="00944FC1">
      <w:pPr>
        <w:pStyle w:val="Ruller4"/>
        <w:numPr>
          <w:ilvl w:val="0"/>
          <w:numId w:val="0"/>
        </w:numPr>
        <w:spacing w:line="240" w:lineRule="auto"/>
      </w:pPr>
    </w:p>
    <w:p w:rsidR="00D512D4" w:rsidRDefault="00D512D4" w:rsidP="008F5060">
      <w:pPr>
        <w:pStyle w:val="Ruller4"/>
        <w:rPr>
          <w:rtl/>
        </w:rPr>
      </w:pPr>
      <w:r w:rsidRPr="00A67078">
        <w:rPr>
          <w:rFonts w:ascii="Century" w:hAnsi="Century" w:cs="Miriam" w:hint="cs"/>
          <w:b/>
          <w:spacing w:val="0"/>
          <w:sz w:val="22"/>
          <w:szCs w:val="24"/>
          <w:rtl/>
        </w:rPr>
        <w:t>שנית</w:t>
      </w:r>
      <w:r>
        <w:rPr>
          <w:rFonts w:hint="cs"/>
          <w:rtl/>
        </w:rPr>
        <w:t xml:space="preserve">, גם אם אקבל את גישתו של הנשיא </w:t>
      </w:r>
      <w:r w:rsidRPr="00CF429C">
        <w:rPr>
          <w:rFonts w:ascii="Century" w:hAnsi="Century" w:cs="Miriam" w:hint="cs"/>
          <w:b/>
          <w:spacing w:val="0"/>
          <w:sz w:val="22"/>
          <w:szCs w:val="24"/>
          <w:rtl/>
        </w:rPr>
        <w:t>ברק</w:t>
      </w:r>
      <w:r w:rsidRPr="00CF429C">
        <w:rPr>
          <w:rFonts w:hint="cs"/>
          <w:rtl/>
        </w:rPr>
        <w:t xml:space="preserve"> </w:t>
      </w:r>
      <w:r>
        <w:rPr>
          <w:rFonts w:hint="cs"/>
          <w:rtl/>
        </w:rPr>
        <w:t xml:space="preserve">בעניין </w:t>
      </w:r>
      <w:r w:rsidRPr="00A67078">
        <w:rPr>
          <w:rFonts w:ascii="Century" w:hAnsi="Century" w:cs="Miriam" w:hint="cs"/>
          <w:b/>
          <w:spacing w:val="0"/>
          <w:sz w:val="22"/>
          <w:szCs w:val="24"/>
          <w:rtl/>
        </w:rPr>
        <w:t>עדאלה</w:t>
      </w:r>
      <w:r>
        <w:rPr>
          <w:rFonts w:hint="cs"/>
          <w:rtl/>
        </w:rPr>
        <w:t>, סבורני, כי אין ל</w:t>
      </w:r>
      <w:r w:rsidR="00FE4AC7">
        <w:rPr>
          <w:rFonts w:hint="cs"/>
          <w:rtl/>
        </w:rPr>
        <w:t xml:space="preserve">גזור </w:t>
      </w:r>
      <w:r>
        <w:rPr>
          <w:rFonts w:hint="cs"/>
          <w:rtl/>
        </w:rPr>
        <w:t xml:space="preserve">ממנה גזירה שווה לענייננו; אין הנדון דומה לראיה. הכיצד? פסק הדין בעניין </w:t>
      </w:r>
      <w:r w:rsidRPr="00B75EBD">
        <w:rPr>
          <w:rFonts w:ascii="Century" w:hAnsi="Century" w:cs="Miriam" w:hint="cs"/>
          <w:b/>
          <w:spacing w:val="0"/>
          <w:sz w:val="22"/>
          <w:szCs w:val="24"/>
          <w:rtl/>
        </w:rPr>
        <w:t>עדאלה</w:t>
      </w:r>
      <w:r w:rsidRPr="00B75EBD">
        <w:rPr>
          <w:rFonts w:hint="cs"/>
          <w:rtl/>
        </w:rPr>
        <w:t xml:space="preserve"> </w:t>
      </w:r>
      <w:r>
        <w:rPr>
          <w:rFonts w:hint="cs"/>
          <w:rtl/>
        </w:rPr>
        <w:t xml:space="preserve">עסק בשלילת זכותם של תושבי </w:t>
      </w:r>
      <w:r w:rsidRPr="00B75EBD">
        <w:rPr>
          <w:rFonts w:ascii="Century" w:hAnsi="Century" w:cs="Miriam" w:hint="cs"/>
          <w:b/>
          <w:spacing w:val="0"/>
          <w:sz w:val="22"/>
          <w:szCs w:val="24"/>
          <w:rtl/>
        </w:rPr>
        <w:t>שטח עימות</w:t>
      </w:r>
      <w:r>
        <w:rPr>
          <w:rFonts w:hint="cs"/>
          <w:rtl/>
        </w:rPr>
        <w:t xml:space="preserve"> להגיש תביעת נזיקין נגד המדינה, בעוד שאנו נדרשים להכריע בשלילת </w:t>
      </w:r>
      <w:r>
        <w:rPr>
          <w:rFonts w:hint="cs"/>
          <w:rtl/>
        </w:rPr>
        <w:lastRenderedPageBreak/>
        <w:t>אותה זכות, אך בשונה משם, מדובר הפעם ב</w:t>
      </w:r>
      <w:r w:rsidRPr="00B75EBD">
        <w:rPr>
          <w:rFonts w:ascii="Century" w:hAnsi="Century" w:cs="Miriam" w:hint="cs"/>
          <w:b/>
          <w:spacing w:val="0"/>
          <w:sz w:val="22"/>
          <w:szCs w:val="24"/>
          <w:rtl/>
        </w:rPr>
        <w:t>נתיני מדינת אויב או תושבי שטח אויב</w:t>
      </w:r>
      <w:r>
        <w:rPr>
          <w:rFonts w:hint="cs"/>
          <w:rtl/>
        </w:rPr>
        <w:t xml:space="preserve">. ספק בעינַי, אם ניתן להחיל את קביעתו של הנשיא </w:t>
      </w:r>
      <w:r w:rsidRPr="00CF429C">
        <w:rPr>
          <w:rFonts w:ascii="Century" w:hAnsi="Century" w:cs="Miriam" w:hint="cs"/>
          <w:b/>
          <w:spacing w:val="0"/>
          <w:sz w:val="22"/>
          <w:szCs w:val="24"/>
          <w:rtl/>
        </w:rPr>
        <w:t>ברק</w:t>
      </w:r>
      <w:r>
        <w:rPr>
          <w:rFonts w:hint="cs"/>
          <w:rtl/>
        </w:rPr>
        <w:t>, שנקבעה ביחס לתושבי ה</w:t>
      </w:r>
      <w:r w:rsidR="008F5060">
        <w:rPr>
          <w:rFonts w:hint="cs"/>
          <w:rtl/>
        </w:rPr>
        <w:t>'</w:t>
      </w:r>
      <w:r>
        <w:rPr>
          <w:rFonts w:hint="cs"/>
          <w:rtl/>
        </w:rPr>
        <w:t xml:space="preserve">אזור', תושבים מוגנים, גם על תושבי מדינת אויב או תושבי שטח אויב. אסביר. </w:t>
      </w:r>
    </w:p>
    <w:p w:rsidR="00D512D4" w:rsidRPr="002F1373" w:rsidRDefault="00D512D4" w:rsidP="009F054C">
      <w:pPr>
        <w:pStyle w:val="Ruller41"/>
        <w:spacing w:line="240" w:lineRule="auto"/>
      </w:pPr>
    </w:p>
    <w:p w:rsidR="00D512D4" w:rsidRPr="00FD4C56" w:rsidRDefault="00D512D4" w:rsidP="008F5060">
      <w:pPr>
        <w:pStyle w:val="Ruller4"/>
      </w:pPr>
      <w:r w:rsidRPr="00FD4C56">
        <w:rPr>
          <w:rFonts w:hint="cs"/>
          <w:rtl/>
        </w:rPr>
        <w:t xml:space="preserve">קביעתו של הנשיא </w:t>
      </w:r>
      <w:r w:rsidRPr="00FD4C56">
        <w:rPr>
          <w:rFonts w:ascii="Century" w:hAnsi="Century" w:cs="Miriam" w:hint="eastAsia"/>
          <w:b/>
          <w:spacing w:val="0"/>
          <w:sz w:val="22"/>
          <w:szCs w:val="24"/>
          <w:rtl/>
        </w:rPr>
        <w:t>ברק</w:t>
      </w:r>
      <w:r w:rsidRPr="00FD4C56">
        <w:rPr>
          <w:rFonts w:hint="cs"/>
          <w:rtl/>
        </w:rPr>
        <w:t xml:space="preserve"> מבוססת על הנחת המוצא, שלפיה תיקון מספר 7 (שבגדרו חוּקק סעיף 5ג לחוק, ולימים בוטל במסגרת עניין </w:t>
      </w:r>
      <w:r w:rsidRPr="00FD4C56">
        <w:rPr>
          <w:rFonts w:ascii="Century" w:hAnsi="Century" w:cs="Miriam" w:hint="cs"/>
          <w:b/>
          <w:spacing w:val="0"/>
          <w:sz w:val="22"/>
          <w:szCs w:val="24"/>
          <w:rtl/>
        </w:rPr>
        <w:t>עדאלה</w:t>
      </w:r>
      <w:r w:rsidRPr="00FD4C56">
        <w:rPr>
          <w:rFonts w:hint="cs"/>
          <w:rtl/>
        </w:rPr>
        <w:t>), שלל זכות תביעה בנזיקין, שהיתה נתונה לתושבי ה</w:t>
      </w:r>
      <w:r w:rsidR="008F5060">
        <w:rPr>
          <w:rFonts w:hint="cs"/>
          <w:rtl/>
        </w:rPr>
        <w:t>'</w:t>
      </w:r>
      <w:r w:rsidRPr="00FD4C56">
        <w:rPr>
          <w:rFonts w:hint="cs"/>
          <w:rtl/>
        </w:rPr>
        <w:t xml:space="preserve">אזור', הן על-פי המשפט הבינלאומי הפרטי, הן מכוח דיני הנזיקין הישראליים: </w:t>
      </w:r>
      <w:r w:rsidRPr="00FD4C56">
        <w:rPr>
          <w:rFonts w:ascii="Century" w:hAnsi="Century" w:cs="Miriam"/>
          <w:b/>
          <w:spacing w:val="0"/>
          <w:sz w:val="22"/>
          <w:szCs w:val="24"/>
          <w:rtl/>
        </w:rPr>
        <w:t>"</w:t>
      </w:r>
      <w:r w:rsidRPr="00FD4C56">
        <w:rPr>
          <w:rFonts w:ascii="Century" w:hAnsi="Century" w:cs="Miriam" w:hint="eastAsia"/>
          <w:b/>
          <w:spacing w:val="0"/>
          <w:szCs w:val="24"/>
          <w:rtl/>
        </w:rPr>
        <w:t>כך</w:t>
      </w:r>
      <w:r w:rsidRPr="00FD4C56">
        <w:rPr>
          <w:rFonts w:ascii="Century" w:hAnsi="Century" w:cs="Miriam"/>
          <w:b/>
          <w:spacing w:val="0"/>
          <w:szCs w:val="24"/>
          <w:rtl/>
        </w:rPr>
        <w:t xml:space="preserve"> </w:t>
      </w:r>
      <w:r w:rsidRPr="00FD4C56">
        <w:rPr>
          <w:rFonts w:ascii="Century" w:hAnsi="Century" w:cs="Miriam" w:hint="eastAsia"/>
          <w:b/>
          <w:spacing w:val="0"/>
          <w:szCs w:val="24"/>
          <w:rtl/>
        </w:rPr>
        <w:t>היה</w:t>
      </w:r>
      <w:r w:rsidRPr="00FD4C56">
        <w:rPr>
          <w:rFonts w:ascii="Century" w:hAnsi="Century" w:cs="Miriam"/>
          <w:b/>
          <w:spacing w:val="0"/>
          <w:szCs w:val="24"/>
          <w:rtl/>
        </w:rPr>
        <w:t xml:space="preserve"> </w:t>
      </w:r>
      <w:r w:rsidRPr="00FD4C56">
        <w:rPr>
          <w:rFonts w:ascii="Century" w:hAnsi="Century" w:cs="Miriam" w:hint="eastAsia"/>
          <w:b/>
          <w:spacing w:val="0"/>
          <w:szCs w:val="24"/>
          <w:rtl/>
        </w:rPr>
        <w:t>המצב</w:t>
      </w:r>
      <w:r w:rsidRPr="00FD4C56">
        <w:rPr>
          <w:rFonts w:ascii="Century" w:hAnsi="Century" w:cs="Miriam"/>
          <w:b/>
          <w:spacing w:val="0"/>
          <w:szCs w:val="24"/>
          <w:rtl/>
        </w:rPr>
        <w:t xml:space="preserve"> </w:t>
      </w:r>
      <w:r w:rsidRPr="00FD4C56">
        <w:rPr>
          <w:rFonts w:ascii="Century" w:hAnsi="Century" w:cs="Miriam" w:hint="eastAsia"/>
          <w:b/>
          <w:spacing w:val="0"/>
          <w:szCs w:val="24"/>
          <w:rtl/>
        </w:rPr>
        <w:t>לפני</w:t>
      </w:r>
      <w:r w:rsidRPr="00FD4C56">
        <w:rPr>
          <w:rFonts w:ascii="Century" w:hAnsi="Century" w:cs="Miriam"/>
          <w:b/>
          <w:spacing w:val="0"/>
          <w:szCs w:val="24"/>
          <w:rtl/>
        </w:rPr>
        <w:t xml:space="preserve"> </w:t>
      </w:r>
      <w:r w:rsidRPr="00FD4C56">
        <w:rPr>
          <w:rFonts w:ascii="Century" w:hAnsi="Century" w:cs="Miriam" w:hint="eastAsia"/>
          <w:b/>
          <w:spacing w:val="0"/>
          <w:szCs w:val="24"/>
          <w:rtl/>
        </w:rPr>
        <w:t>תיקון</w:t>
      </w:r>
      <w:r w:rsidRPr="00FD4C56">
        <w:rPr>
          <w:rFonts w:ascii="Century" w:hAnsi="Century" w:cs="Miriam"/>
          <w:b/>
          <w:spacing w:val="0"/>
          <w:szCs w:val="24"/>
          <w:rtl/>
        </w:rPr>
        <w:t xml:space="preserve"> </w:t>
      </w:r>
      <w:r w:rsidRPr="00FD4C56">
        <w:rPr>
          <w:rFonts w:ascii="Century" w:hAnsi="Century" w:cs="Miriam" w:hint="eastAsia"/>
          <w:b/>
          <w:spacing w:val="0"/>
          <w:szCs w:val="24"/>
          <w:rtl/>
        </w:rPr>
        <w:t>מס</w:t>
      </w:r>
      <w:r w:rsidRPr="00FD4C56">
        <w:rPr>
          <w:rFonts w:ascii="Century" w:hAnsi="Century" w:cs="Miriam"/>
          <w:b/>
          <w:spacing w:val="0"/>
          <w:szCs w:val="24"/>
          <w:rtl/>
        </w:rPr>
        <w:t xml:space="preserve">' 7. </w:t>
      </w:r>
      <w:r w:rsidRPr="00FD4C56">
        <w:rPr>
          <w:rFonts w:ascii="Century" w:hAnsi="Century" w:cs="Miriam" w:hint="eastAsia"/>
          <w:b/>
          <w:spacing w:val="0"/>
          <w:szCs w:val="24"/>
          <w:rtl/>
        </w:rPr>
        <w:t>מצב</w:t>
      </w:r>
      <w:r w:rsidRPr="00FD4C56">
        <w:rPr>
          <w:rFonts w:ascii="Century" w:hAnsi="Century" w:cs="Miriam"/>
          <w:b/>
          <w:spacing w:val="0"/>
          <w:szCs w:val="24"/>
          <w:rtl/>
        </w:rPr>
        <w:t xml:space="preserve"> </w:t>
      </w:r>
      <w:r w:rsidRPr="00FD4C56">
        <w:rPr>
          <w:rFonts w:ascii="Century" w:hAnsi="Century" w:cs="Miriam" w:hint="eastAsia"/>
          <w:b/>
          <w:spacing w:val="0"/>
          <w:szCs w:val="24"/>
          <w:rtl/>
        </w:rPr>
        <w:t>זה</w:t>
      </w:r>
      <w:r w:rsidRPr="00FD4C56">
        <w:rPr>
          <w:rFonts w:ascii="Century" w:hAnsi="Century" w:cs="Miriam"/>
          <w:b/>
          <w:spacing w:val="0"/>
          <w:szCs w:val="24"/>
          <w:rtl/>
        </w:rPr>
        <w:t xml:space="preserve"> </w:t>
      </w:r>
      <w:r w:rsidRPr="00FD4C56">
        <w:rPr>
          <w:rFonts w:ascii="Century" w:hAnsi="Century" w:cs="Miriam" w:hint="eastAsia"/>
          <w:b/>
          <w:spacing w:val="0"/>
          <w:szCs w:val="24"/>
          <w:rtl/>
        </w:rPr>
        <w:t>שונה</w:t>
      </w:r>
      <w:r w:rsidRPr="00FD4C56">
        <w:rPr>
          <w:rFonts w:ascii="Century" w:hAnsi="Century" w:cs="Miriam"/>
          <w:b/>
          <w:spacing w:val="0"/>
          <w:szCs w:val="24"/>
          <w:rtl/>
        </w:rPr>
        <w:t xml:space="preserve"> </w:t>
      </w:r>
      <w:r w:rsidRPr="00FD4C56">
        <w:rPr>
          <w:rFonts w:ascii="Century" w:hAnsi="Century" w:cs="Miriam" w:hint="eastAsia"/>
          <w:b/>
          <w:spacing w:val="0"/>
          <w:szCs w:val="24"/>
          <w:rtl/>
        </w:rPr>
        <w:t>על</w:t>
      </w:r>
      <w:r w:rsidRPr="00FD4C56">
        <w:rPr>
          <w:rFonts w:ascii="Century" w:hAnsi="Century" w:cs="Miriam"/>
          <w:b/>
          <w:spacing w:val="0"/>
          <w:szCs w:val="24"/>
          <w:rtl/>
        </w:rPr>
        <w:t xml:space="preserve"> </w:t>
      </w:r>
      <w:r w:rsidRPr="00FD4C56">
        <w:rPr>
          <w:rFonts w:ascii="Century" w:hAnsi="Century" w:cs="Miriam" w:hint="eastAsia"/>
          <w:b/>
          <w:spacing w:val="0"/>
          <w:szCs w:val="24"/>
          <w:rtl/>
        </w:rPr>
        <w:t>ידי</w:t>
      </w:r>
      <w:r w:rsidRPr="00FD4C56">
        <w:rPr>
          <w:rFonts w:ascii="Century" w:hAnsi="Century" w:cs="Miriam"/>
          <w:b/>
          <w:spacing w:val="0"/>
          <w:szCs w:val="24"/>
          <w:rtl/>
        </w:rPr>
        <w:t xml:space="preserve"> </w:t>
      </w:r>
      <w:r w:rsidRPr="00FD4C56">
        <w:rPr>
          <w:rFonts w:ascii="Century" w:hAnsi="Century" w:cs="Miriam" w:hint="eastAsia"/>
          <w:b/>
          <w:spacing w:val="0"/>
          <w:szCs w:val="24"/>
          <w:rtl/>
        </w:rPr>
        <w:t>סעיף</w:t>
      </w:r>
      <w:r w:rsidRPr="00FD4C56">
        <w:rPr>
          <w:rFonts w:ascii="Century" w:hAnsi="Century" w:cs="Miriam"/>
          <w:b/>
          <w:spacing w:val="0"/>
          <w:szCs w:val="24"/>
          <w:rtl/>
        </w:rPr>
        <w:t xml:space="preserve"> 5</w:t>
      </w:r>
      <w:r w:rsidRPr="00FD4C56">
        <w:rPr>
          <w:rFonts w:ascii="Century" w:hAnsi="Century" w:cs="Miriam" w:hint="eastAsia"/>
          <w:b/>
          <w:spacing w:val="0"/>
          <w:szCs w:val="24"/>
          <w:rtl/>
        </w:rPr>
        <w:t>ג</w:t>
      </w:r>
      <w:r w:rsidRPr="00FD4C56">
        <w:rPr>
          <w:rFonts w:ascii="Century" w:hAnsi="Century" w:cs="Miriam"/>
          <w:b/>
          <w:spacing w:val="0"/>
          <w:szCs w:val="24"/>
          <w:rtl/>
        </w:rPr>
        <w:t xml:space="preserve"> </w:t>
      </w:r>
      <w:r w:rsidRPr="00FD4C56">
        <w:rPr>
          <w:rFonts w:ascii="Century" w:hAnsi="Century" w:cs="Miriam" w:hint="eastAsia"/>
          <w:b/>
          <w:spacing w:val="0"/>
          <w:szCs w:val="24"/>
          <w:rtl/>
        </w:rPr>
        <w:t>לתיקון</w:t>
      </w:r>
      <w:r w:rsidRPr="00FD4C56">
        <w:rPr>
          <w:rFonts w:ascii="Century" w:hAnsi="Century" w:cs="Miriam"/>
          <w:b/>
          <w:spacing w:val="0"/>
          <w:szCs w:val="24"/>
          <w:rtl/>
        </w:rPr>
        <w:t xml:space="preserve"> </w:t>
      </w:r>
      <w:r w:rsidRPr="00FD4C56">
        <w:rPr>
          <w:rFonts w:ascii="Century" w:hAnsi="Century" w:cs="Miriam" w:hint="eastAsia"/>
          <w:b/>
          <w:spacing w:val="0"/>
          <w:szCs w:val="24"/>
          <w:rtl/>
        </w:rPr>
        <w:t>מס</w:t>
      </w:r>
      <w:r w:rsidRPr="00FD4C56">
        <w:rPr>
          <w:rFonts w:ascii="Century" w:hAnsi="Century" w:cs="Miriam"/>
          <w:b/>
          <w:spacing w:val="0"/>
          <w:szCs w:val="24"/>
          <w:rtl/>
        </w:rPr>
        <w:t xml:space="preserve">' 7. </w:t>
      </w:r>
      <w:r w:rsidRPr="00FD4C56">
        <w:rPr>
          <w:rFonts w:ascii="Century" w:hAnsi="Century" w:cs="Miriam" w:hint="eastAsia"/>
          <w:b/>
          <w:spacing w:val="0"/>
          <w:szCs w:val="24"/>
          <w:rtl/>
        </w:rPr>
        <w:t>הזכויות</w:t>
      </w:r>
      <w:r w:rsidRPr="00FD4C56">
        <w:rPr>
          <w:rFonts w:ascii="Century" w:hAnsi="Century" w:cs="Miriam"/>
          <w:b/>
          <w:spacing w:val="0"/>
          <w:szCs w:val="24"/>
          <w:rtl/>
        </w:rPr>
        <w:t xml:space="preserve"> </w:t>
      </w:r>
      <w:r w:rsidRPr="00FD4C56">
        <w:rPr>
          <w:rFonts w:ascii="Century" w:hAnsi="Century" w:cs="Miriam" w:hint="eastAsia"/>
          <w:b/>
          <w:spacing w:val="0"/>
          <w:szCs w:val="24"/>
          <w:rtl/>
        </w:rPr>
        <w:t>בנזיקין</w:t>
      </w:r>
      <w:r w:rsidRPr="00FD4C56">
        <w:rPr>
          <w:rFonts w:ascii="Century" w:hAnsi="Century" w:cs="Miriam"/>
          <w:b/>
          <w:spacing w:val="0"/>
          <w:szCs w:val="24"/>
          <w:rtl/>
        </w:rPr>
        <w:t xml:space="preserve"> </w:t>
      </w:r>
      <w:r w:rsidRPr="00FD4C56">
        <w:rPr>
          <w:rFonts w:ascii="Century" w:hAnsi="Century" w:cs="Miriam" w:hint="eastAsia"/>
          <w:b/>
          <w:spacing w:val="0"/>
          <w:szCs w:val="24"/>
          <w:rtl/>
        </w:rPr>
        <w:t>בישראל</w:t>
      </w:r>
      <w:r w:rsidRPr="00FD4C56">
        <w:rPr>
          <w:rFonts w:ascii="Century" w:hAnsi="Century" w:cs="Miriam"/>
          <w:b/>
          <w:spacing w:val="0"/>
          <w:szCs w:val="24"/>
          <w:rtl/>
        </w:rPr>
        <w:t xml:space="preserve"> </w:t>
      </w:r>
      <w:r w:rsidRPr="00FD4C56">
        <w:rPr>
          <w:rFonts w:ascii="Century" w:hAnsi="Century" w:cs="Miriam" w:hint="eastAsia"/>
          <w:b/>
          <w:spacing w:val="0"/>
          <w:szCs w:val="24"/>
          <w:rtl/>
        </w:rPr>
        <w:t>נשללו</w:t>
      </w:r>
      <w:r w:rsidRPr="00FD4C56">
        <w:rPr>
          <w:rFonts w:ascii="Century" w:hAnsi="Century" w:cs="Miriam"/>
          <w:b/>
          <w:spacing w:val="0"/>
          <w:szCs w:val="24"/>
          <w:rtl/>
        </w:rPr>
        <w:t xml:space="preserve"> </w:t>
      </w:r>
      <w:r w:rsidRPr="00FD4C56">
        <w:rPr>
          <w:rFonts w:ascii="Century" w:hAnsi="Century" w:cs="Miriam" w:hint="eastAsia"/>
          <w:b/>
          <w:spacing w:val="0"/>
          <w:szCs w:val="24"/>
          <w:rtl/>
        </w:rPr>
        <w:t>מתושבי</w:t>
      </w:r>
      <w:r w:rsidRPr="00FD4C56">
        <w:rPr>
          <w:rFonts w:ascii="Century" w:hAnsi="Century" w:cs="Miriam"/>
          <w:b/>
          <w:spacing w:val="0"/>
          <w:szCs w:val="24"/>
          <w:rtl/>
        </w:rPr>
        <w:t xml:space="preserve"> </w:t>
      </w:r>
      <w:r w:rsidRPr="00FD4C56">
        <w:rPr>
          <w:rFonts w:ascii="Century" w:hAnsi="Century" w:cs="Miriam" w:hint="eastAsia"/>
          <w:b/>
          <w:spacing w:val="0"/>
          <w:szCs w:val="24"/>
          <w:rtl/>
        </w:rPr>
        <w:t>האזור</w:t>
      </w:r>
      <w:r w:rsidRPr="00FD4C56">
        <w:rPr>
          <w:rFonts w:ascii="Century" w:hAnsi="Century" w:cs="Miriam"/>
          <w:b/>
          <w:spacing w:val="0"/>
          <w:szCs w:val="24"/>
          <w:rtl/>
        </w:rPr>
        <w:t xml:space="preserve"> </w:t>
      </w:r>
      <w:r w:rsidRPr="00FD4C56">
        <w:rPr>
          <w:rFonts w:ascii="Century" w:hAnsi="Century" w:cs="Miriam" w:hint="eastAsia"/>
          <w:b/>
          <w:spacing w:val="0"/>
          <w:szCs w:val="24"/>
          <w:rtl/>
        </w:rPr>
        <w:t>לעניין</w:t>
      </w:r>
      <w:r w:rsidRPr="00FD4C56">
        <w:rPr>
          <w:rFonts w:ascii="Century" w:hAnsi="Century" w:cs="Miriam"/>
          <w:b/>
          <w:spacing w:val="0"/>
          <w:szCs w:val="24"/>
          <w:rtl/>
        </w:rPr>
        <w:t xml:space="preserve"> </w:t>
      </w:r>
      <w:r w:rsidRPr="00FD4C56">
        <w:rPr>
          <w:rFonts w:ascii="Century" w:hAnsi="Century" w:cs="Miriam" w:hint="eastAsia"/>
          <w:b/>
          <w:spacing w:val="0"/>
          <w:szCs w:val="24"/>
          <w:rtl/>
        </w:rPr>
        <w:t>מעשי</w:t>
      </w:r>
      <w:r w:rsidRPr="00FD4C56">
        <w:rPr>
          <w:rFonts w:ascii="Century" w:hAnsi="Century" w:cs="Miriam"/>
          <w:b/>
          <w:spacing w:val="0"/>
          <w:szCs w:val="24"/>
          <w:rtl/>
        </w:rPr>
        <w:t xml:space="preserve"> </w:t>
      </w:r>
      <w:r w:rsidRPr="00FD4C56">
        <w:rPr>
          <w:rFonts w:ascii="Century" w:hAnsi="Century" w:cs="Miriam" w:hint="eastAsia"/>
          <w:b/>
          <w:spacing w:val="0"/>
          <w:szCs w:val="24"/>
          <w:rtl/>
        </w:rPr>
        <w:t>נזיקין</w:t>
      </w:r>
      <w:r w:rsidRPr="00FD4C56">
        <w:rPr>
          <w:rFonts w:ascii="Century" w:hAnsi="Century" w:cs="Miriam"/>
          <w:b/>
          <w:spacing w:val="0"/>
          <w:szCs w:val="24"/>
          <w:rtl/>
        </w:rPr>
        <w:t xml:space="preserve"> </w:t>
      </w:r>
      <w:r w:rsidRPr="00FD4C56">
        <w:rPr>
          <w:rFonts w:ascii="Century" w:hAnsi="Century" w:cs="Miriam" w:hint="eastAsia"/>
          <w:b/>
          <w:spacing w:val="0"/>
          <w:szCs w:val="24"/>
          <w:rtl/>
        </w:rPr>
        <w:t>שבוצעו</w:t>
      </w:r>
      <w:r w:rsidRPr="00FD4C56">
        <w:rPr>
          <w:rFonts w:ascii="Century" w:hAnsi="Century" w:cs="Miriam"/>
          <w:b/>
          <w:spacing w:val="0"/>
          <w:szCs w:val="24"/>
          <w:rtl/>
        </w:rPr>
        <w:t xml:space="preserve"> </w:t>
      </w:r>
      <w:r w:rsidRPr="00FD4C56">
        <w:rPr>
          <w:rFonts w:ascii="Century" w:hAnsi="Century" w:cs="Miriam" w:hint="eastAsia"/>
          <w:b/>
          <w:spacing w:val="0"/>
          <w:szCs w:val="24"/>
          <w:rtl/>
        </w:rPr>
        <w:t>על</w:t>
      </w:r>
      <w:r w:rsidRPr="00FD4C56">
        <w:rPr>
          <w:rFonts w:ascii="Century" w:hAnsi="Century" w:cs="Miriam"/>
          <w:b/>
          <w:spacing w:val="0"/>
          <w:szCs w:val="24"/>
          <w:rtl/>
        </w:rPr>
        <w:t xml:space="preserve"> </w:t>
      </w:r>
      <w:r w:rsidRPr="00FD4C56">
        <w:rPr>
          <w:rFonts w:ascii="Century" w:hAnsi="Century" w:cs="Miriam" w:hint="eastAsia"/>
          <w:b/>
          <w:spacing w:val="0"/>
          <w:szCs w:val="24"/>
          <w:rtl/>
        </w:rPr>
        <w:t>ידי</w:t>
      </w:r>
      <w:r w:rsidRPr="00FD4C56">
        <w:rPr>
          <w:rFonts w:ascii="Century" w:hAnsi="Century" w:cs="Miriam"/>
          <w:b/>
          <w:spacing w:val="0"/>
          <w:szCs w:val="24"/>
          <w:rtl/>
        </w:rPr>
        <w:t xml:space="preserve"> </w:t>
      </w:r>
      <w:r w:rsidRPr="00FD4C56">
        <w:rPr>
          <w:rFonts w:ascii="Century" w:hAnsi="Century" w:cs="Miriam" w:hint="eastAsia"/>
          <w:b/>
          <w:spacing w:val="0"/>
          <w:szCs w:val="24"/>
          <w:rtl/>
        </w:rPr>
        <w:t>כוחות</w:t>
      </w:r>
      <w:r w:rsidRPr="00FD4C56">
        <w:rPr>
          <w:rFonts w:ascii="Century" w:hAnsi="Century" w:cs="Miriam"/>
          <w:b/>
          <w:spacing w:val="0"/>
          <w:szCs w:val="24"/>
          <w:rtl/>
        </w:rPr>
        <w:t xml:space="preserve"> </w:t>
      </w:r>
      <w:r w:rsidRPr="00FD4C56">
        <w:rPr>
          <w:rFonts w:ascii="Century" w:hAnsi="Century" w:cs="Miriam" w:hint="eastAsia"/>
          <w:b/>
          <w:spacing w:val="0"/>
          <w:szCs w:val="24"/>
          <w:rtl/>
        </w:rPr>
        <w:t>הביטחון</w:t>
      </w:r>
      <w:r w:rsidRPr="00FD4C56">
        <w:rPr>
          <w:rFonts w:ascii="Century" w:hAnsi="Century" w:cs="Miriam"/>
          <w:b/>
          <w:spacing w:val="0"/>
          <w:szCs w:val="24"/>
          <w:rtl/>
        </w:rPr>
        <w:t xml:space="preserve"> </w:t>
      </w:r>
      <w:r w:rsidRPr="00FD4C56">
        <w:rPr>
          <w:rFonts w:ascii="Century" w:hAnsi="Century" w:cs="Miriam" w:hint="eastAsia"/>
          <w:b/>
          <w:spacing w:val="0"/>
          <w:szCs w:val="24"/>
          <w:rtl/>
        </w:rPr>
        <w:t>באזור</w:t>
      </w:r>
      <w:r w:rsidRPr="00FD4C56">
        <w:rPr>
          <w:rFonts w:ascii="Century" w:hAnsi="Century" w:cs="Miriam"/>
          <w:b/>
          <w:spacing w:val="0"/>
          <w:szCs w:val="24"/>
          <w:rtl/>
        </w:rPr>
        <w:t xml:space="preserve"> </w:t>
      </w:r>
      <w:r w:rsidRPr="00FD4C56">
        <w:rPr>
          <w:rFonts w:ascii="Century" w:hAnsi="Century" w:cs="Miriam" w:hint="eastAsia"/>
          <w:b/>
          <w:spacing w:val="0"/>
          <w:szCs w:val="24"/>
          <w:rtl/>
        </w:rPr>
        <w:t>עימות</w:t>
      </w:r>
      <w:r w:rsidRPr="00FD4C56">
        <w:rPr>
          <w:rFonts w:ascii="Century" w:hAnsi="Century" w:cs="Miriam"/>
          <w:b/>
          <w:spacing w:val="0"/>
          <w:sz w:val="22"/>
          <w:szCs w:val="24"/>
          <w:rtl/>
        </w:rPr>
        <w:t>"</w:t>
      </w:r>
      <w:r w:rsidRPr="00FD4C56">
        <w:rPr>
          <w:rFonts w:hint="cs"/>
          <w:rtl/>
        </w:rPr>
        <w:t>. נמצא אפוא, כי סעיף 5ג</w:t>
      </w:r>
      <w:r w:rsidR="008F5060">
        <w:rPr>
          <w:rFonts w:hint="cs"/>
          <w:rtl/>
        </w:rPr>
        <w:t xml:space="preserve"> שלל זכות שהיתה נתונה לתושבי </w:t>
      </w:r>
      <w:r w:rsidRPr="00FD4C56">
        <w:rPr>
          <w:rFonts w:hint="cs"/>
          <w:rtl/>
        </w:rPr>
        <w:t>ה</w:t>
      </w:r>
      <w:r w:rsidR="008F5060">
        <w:rPr>
          <w:rFonts w:hint="cs"/>
          <w:rtl/>
        </w:rPr>
        <w:t>'</w:t>
      </w:r>
      <w:r w:rsidRPr="00FD4C56">
        <w:rPr>
          <w:rFonts w:hint="cs"/>
          <w:rtl/>
        </w:rPr>
        <w:t xml:space="preserve">אזור' </w:t>
      </w:r>
      <w:r w:rsidRPr="00FD4C56">
        <w:rPr>
          <w:rFonts w:ascii="Century" w:hAnsi="Century" w:cs="Miriam"/>
          <w:b/>
          <w:spacing w:val="0"/>
          <w:sz w:val="22"/>
          <w:szCs w:val="24"/>
          <w:rtl/>
        </w:rPr>
        <w:t>בישראל</w:t>
      </w:r>
      <w:r w:rsidRPr="00FD4C56">
        <w:rPr>
          <w:rFonts w:hint="cs"/>
          <w:rtl/>
        </w:rPr>
        <w:t xml:space="preserve">. לעומת זאת, דין שונה יש לנהוג, לכאורה, בתושבי רצועת עזה, שהם </w:t>
      </w:r>
      <w:r w:rsidRPr="00FD4C56">
        <w:rPr>
          <w:rFonts w:ascii="Century" w:hAnsi="Century" w:cs="Miriam" w:hint="eastAsia"/>
          <w:b/>
          <w:spacing w:val="0"/>
          <w:sz w:val="22"/>
          <w:szCs w:val="24"/>
          <w:rtl/>
        </w:rPr>
        <w:t>נתיני</w:t>
      </w:r>
      <w:r w:rsidRPr="00FD4C56">
        <w:rPr>
          <w:rFonts w:ascii="Century" w:hAnsi="Century" w:cs="Miriam"/>
          <w:b/>
          <w:spacing w:val="0"/>
          <w:sz w:val="22"/>
          <w:szCs w:val="24"/>
          <w:rtl/>
        </w:rPr>
        <w:t xml:space="preserve"> </w:t>
      </w:r>
      <w:r w:rsidRPr="00FD4C56">
        <w:rPr>
          <w:rFonts w:ascii="Century" w:hAnsi="Century" w:cs="Miriam" w:hint="eastAsia"/>
          <w:b/>
          <w:spacing w:val="0"/>
          <w:sz w:val="22"/>
          <w:szCs w:val="24"/>
          <w:rtl/>
        </w:rPr>
        <w:t>מדינת</w:t>
      </w:r>
      <w:r w:rsidRPr="00FD4C56">
        <w:rPr>
          <w:rFonts w:ascii="Century" w:hAnsi="Century" w:cs="Miriam"/>
          <w:b/>
          <w:spacing w:val="0"/>
          <w:sz w:val="22"/>
          <w:szCs w:val="24"/>
          <w:rtl/>
        </w:rPr>
        <w:t xml:space="preserve"> </w:t>
      </w:r>
      <w:r w:rsidRPr="00FD4C56">
        <w:rPr>
          <w:rFonts w:ascii="Century" w:hAnsi="Century" w:cs="Miriam" w:hint="eastAsia"/>
          <w:b/>
          <w:spacing w:val="0"/>
          <w:sz w:val="22"/>
          <w:szCs w:val="24"/>
          <w:rtl/>
        </w:rPr>
        <w:t>אויב</w:t>
      </w:r>
      <w:r w:rsidRPr="00FD4C56">
        <w:rPr>
          <w:rFonts w:ascii="Century" w:hAnsi="Century" w:cs="Miriam"/>
          <w:b/>
          <w:spacing w:val="0"/>
          <w:sz w:val="22"/>
          <w:szCs w:val="24"/>
          <w:rtl/>
        </w:rPr>
        <w:t xml:space="preserve"> </w:t>
      </w:r>
      <w:r w:rsidRPr="00FD4C56">
        <w:rPr>
          <w:rFonts w:ascii="Century" w:hAnsi="Century" w:cs="Miriam" w:hint="eastAsia"/>
          <w:b/>
          <w:spacing w:val="0"/>
          <w:sz w:val="22"/>
          <w:szCs w:val="24"/>
          <w:rtl/>
        </w:rPr>
        <w:t>ותושבי</w:t>
      </w:r>
      <w:r w:rsidRPr="00FD4C56">
        <w:rPr>
          <w:rFonts w:ascii="Century" w:hAnsi="Century" w:cs="Miriam"/>
          <w:b/>
          <w:spacing w:val="0"/>
          <w:sz w:val="22"/>
          <w:szCs w:val="24"/>
          <w:rtl/>
        </w:rPr>
        <w:t xml:space="preserve"> </w:t>
      </w:r>
      <w:r w:rsidRPr="00FD4C56">
        <w:rPr>
          <w:rFonts w:ascii="Century" w:hAnsi="Century" w:cs="Miriam" w:hint="eastAsia"/>
          <w:b/>
          <w:spacing w:val="0"/>
          <w:sz w:val="22"/>
          <w:szCs w:val="24"/>
          <w:rtl/>
        </w:rPr>
        <w:t>שטח</w:t>
      </w:r>
      <w:r w:rsidRPr="00FD4C56">
        <w:rPr>
          <w:rFonts w:ascii="Century" w:hAnsi="Century" w:cs="Miriam"/>
          <w:b/>
          <w:spacing w:val="0"/>
          <w:sz w:val="22"/>
          <w:szCs w:val="24"/>
          <w:rtl/>
        </w:rPr>
        <w:t xml:space="preserve"> </w:t>
      </w:r>
      <w:r w:rsidRPr="00FD4C56">
        <w:rPr>
          <w:rFonts w:ascii="Century" w:hAnsi="Century" w:cs="Miriam" w:hint="eastAsia"/>
          <w:b/>
          <w:spacing w:val="0"/>
          <w:sz w:val="22"/>
          <w:szCs w:val="24"/>
          <w:rtl/>
        </w:rPr>
        <w:t>אויב</w:t>
      </w:r>
      <w:r w:rsidRPr="00FD4C56">
        <w:rPr>
          <w:rFonts w:hint="cs"/>
          <w:rtl/>
        </w:rPr>
        <w:t xml:space="preserve">. כפי שתואר לעיל, משעה שהחל סכסוך מזוין בין ישראל לעזה, לאחר התנתקות ישראל ותפיסת מושכות השלטון בידי החמאס, יחסי הצדדים השתנו לבלי הכר, הן עובדתית הן משפטית: במישור העובדתי </w:t>
      </w:r>
      <w:r w:rsidRPr="00FD4C56">
        <w:rPr>
          <w:rtl/>
        </w:rPr>
        <w:t>–</w:t>
      </w:r>
      <w:r w:rsidRPr="00FD4C56">
        <w:rPr>
          <w:rFonts w:hint="cs"/>
          <w:rtl/>
        </w:rPr>
        <w:t xml:space="preserve"> מנוכחות ביטחונית ושליטה אפקטיבית, עברה המדינה לניתוק פיזי, מוחשי, משטח הרצועה; במישור המשפטי </w:t>
      </w:r>
      <w:r w:rsidRPr="00FD4C56">
        <w:rPr>
          <w:rtl/>
        </w:rPr>
        <w:t>–</w:t>
      </w:r>
      <w:r w:rsidRPr="00FD4C56">
        <w:rPr>
          <w:rFonts w:hint="cs"/>
          <w:rtl/>
        </w:rPr>
        <w:t xml:space="preserve"> מהפעלת דיני התפיסה הלוחמתית, עברה המדינה להפעלת דיני המלחמה וכללי המשפט הציבורי (</w:t>
      </w:r>
      <w:r w:rsidRPr="00FD4C56">
        <w:rPr>
          <w:rFonts w:ascii="Century" w:hAnsi="Century" w:cs="Miriam" w:hint="cs"/>
          <w:b/>
          <w:spacing w:val="0"/>
          <w:sz w:val="22"/>
          <w:szCs w:val="24"/>
          <w:rtl/>
        </w:rPr>
        <w:t>שיינדורף ושמיר-בורר</w:t>
      </w:r>
      <w:r w:rsidRPr="00FD4C56">
        <w:rPr>
          <w:rFonts w:hint="cs"/>
          <w:rtl/>
        </w:rPr>
        <w:t xml:space="preserve">, 421-408). על כן, בהינתן הסכסוך המזוין הרוחש בין רצועת עזה לישראל, אשר למגינת הלב החל </w:t>
      </w:r>
      <w:r w:rsidR="00130D02">
        <w:rPr>
          <w:rFonts w:hint="cs"/>
          <w:rtl/>
        </w:rPr>
        <w:t xml:space="preserve">עוד </w:t>
      </w:r>
      <w:r w:rsidRPr="00FD4C56">
        <w:rPr>
          <w:rFonts w:hint="cs"/>
          <w:rtl/>
        </w:rPr>
        <w:t xml:space="preserve">זמן רב קודם לתיקון מספר 8, יש בהחלט מקום לתהות, אם היו תושבי הרצועה זכאים, לפי הדין, להגיש תביעות נזיקין נגד מדינת ישראל, בגין אירועים נזיקיים שהתרחשו לאחר השתלטות החמאס על הרצועה, והחרפת המצב הביטחוני בין הניצים. זאת, בשים לב לכלל הידוע, שלפיו </w:t>
      </w:r>
      <w:r w:rsidRPr="00FD4C56">
        <w:rPr>
          <w:rFonts w:ascii="Century" w:hAnsi="Century" w:cs="Miriam"/>
          <w:b/>
          <w:spacing w:val="0"/>
          <w:sz w:val="22"/>
          <w:szCs w:val="24"/>
          <w:rtl/>
        </w:rPr>
        <w:t>'</w:t>
      </w:r>
      <w:r w:rsidRPr="00FD4C56">
        <w:rPr>
          <w:rFonts w:ascii="Century" w:hAnsi="Century" w:cs="Miriam" w:hint="eastAsia"/>
          <w:b/>
          <w:spacing w:val="0"/>
          <w:sz w:val="22"/>
          <w:szCs w:val="24"/>
          <w:rtl/>
        </w:rPr>
        <w:t>אין</w:t>
      </w:r>
      <w:r w:rsidRPr="00FD4C56">
        <w:rPr>
          <w:rFonts w:ascii="Century" w:hAnsi="Century" w:cs="Miriam"/>
          <w:b/>
          <w:spacing w:val="0"/>
          <w:sz w:val="22"/>
          <w:szCs w:val="24"/>
          <w:rtl/>
        </w:rPr>
        <w:t xml:space="preserve"> </w:t>
      </w:r>
      <w:r w:rsidRPr="00FD4C56">
        <w:rPr>
          <w:rFonts w:ascii="Century" w:hAnsi="Century" w:cs="Miriam" w:hint="eastAsia"/>
          <w:b/>
          <w:spacing w:val="0"/>
          <w:sz w:val="22"/>
          <w:szCs w:val="24"/>
          <w:rtl/>
        </w:rPr>
        <w:t>מבררים</w:t>
      </w:r>
      <w:r w:rsidRPr="00FD4C56">
        <w:rPr>
          <w:rFonts w:ascii="Century" w:hAnsi="Century" w:cs="Miriam"/>
          <w:b/>
          <w:spacing w:val="0"/>
          <w:sz w:val="22"/>
          <w:szCs w:val="24"/>
          <w:rtl/>
        </w:rPr>
        <w:t xml:space="preserve"> </w:t>
      </w:r>
      <w:r w:rsidRPr="00FD4C56">
        <w:rPr>
          <w:rFonts w:ascii="Century" w:hAnsi="Century" w:cs="Miriam" w:hint="eastAsia"/>
          <w:b/>
          <w:spacing w:val="0"/>
          <w:sz w:val="22"/>
          <w:szCs w:val="24"/>
          <w:rtl/>
        </w:rPr>
        <w:t>תביעת</w:t>
      </w:r>
      <w:r w:rsidRPr="00FD4C56">
        <w:rPr>
          <w:rFonts w:ascii="Century" w:hAnsi="Century" w:cs="Miriam"/>
          <w:b/>
          <w:spacing w:val="0"/>
          <w:sz w:val="22"/>
          <w:szCs w:val="24"/>
          <w:rtl/>
        </w:rPr>
        <w:t xml:space="preserve"> </w:t>
      </w:r>
      <w:r w:rsidRPr="00FD4C56">
        <w:rPr>
          <w:rFonts w:ascii="Century" w:hAnsi="Century" w:cs="Miriam" w:hint="eastAsia"/>
          <w:b/>
          <w:spacing w:val="0"/>
          <w:sz w:val="22"/>
          <w:szCs w:val="24"/>
          <w:rtl/>
        </w:rPr>
        <w:t>אויב</w:t>
      </w:r>
      <w:r w:rsidRPr="00FD4C56">
        <w:rPr>
          <w:rFonts w:ascii="Century" w:hAnsi="Century" w:cs="Miriam"/>
          <w:b/>
          <w:spacing w:val="0"/>
          <w:sz w:val="22"/>
          <w:szCs w:val="24"/>
          <w:rtl/>
        </w:rPr>
        <w:t>'</w:t>
      </w:r>
      <w:r w:rsidRPr="00FD4C56">
        <w:rPr>
          <w:rFonts w:hint="cs"/>
          <w:rtl/>
        </w:rPr>
        <w:t xml:space="preserve">; כלל שנקלט כאמור במשפט הישראלי, ואף זכה לגושפנקה בעניין </w:t>
      </w:r>
      <w:r w:rsidRPr="00FD4C56">
        <w:rPr>
          <w:rFonts w:ascii="Century" w:hAnsi="Century" w:cs="Miriam" w:hint="eastAsia"/>
          <w:b/>
          <w:spacing w:val="0"/>
          <w:sz w:val="22"/>
          <w:szCs w:val="24"/>
          <w:rtl/>
        </w:rPr>
        <w:t>דיראני</w:t>
      </w:r>
      <w:r w:rsidRPr="00FD4C56">
        <w:rPr>
          <w:rFonts w:hint="cs"/>
          <w:rtl/>
        </w:rPr>
        <w:t xml:space="preserve">. כלל זה, בגרסתו המסורתית, חל על כל נתיני מדינת האויב, מבלי שנדרשת בחינה אינדיבידואלית של מסוכנות או עוינות מצד נתין האויב התובע (עניין </w:t>
      </w:r>
      <w:r w:rsidRPr="00FD4C56">
        <w:rPr>
          <w:rFonts w:ascii="Century" w:hAnsi="Century" w:cs="Miriam" w:hint="eastAsia"/>
          <w:b/>
          <w:spacing w:val="0"/>
          <w:sz w:val="22"/>
          <w:szCs w:val="24"/>
          <w:rtl/>
        </w:rPr>
        <w:t>דיראני</w:t>
      </w:r>
      <w:r w:rsidRPr="00FD4C56">
        <w:rPr>
          <w:rFonts w:hint="cs"/>
          <w:rtl/>
        </w:rPr>
        <w:t xml:space="preserve">, פסקה 47). הכלל מהמשפט המקובל אמנם הותאם למצבי לחימה מול הטרור, באופן שתחולתו צומצמה לפעילים לוחמים בלבד, אך כפי שאפרט בהמשך, בנסיבות העימות המזוין המתמשך עם רצועת </w:t>
      </w:r>
      <w:r w:rsidRPr="00FD4C56">
        <w:rPr>
          <w:rFonts w:hint="cs"/>
          <w:rtl/>
        </w:rPr>
        <w:lastRenderedPageBreak/>
        <w:t xml:space="preserve">עזה, דומה בעינַי, כי גם לפי אמות המידה שנקבעו בעניין </w:t>
      </w:r>
      <w:r w:rsidRPr="00FD4C56">
        <w:rPr>
          <w:rFonts w:ascii="Century" w:hAnsi="Century" w:cs="Miriam" w:hint="eastAsia"/>
          <w:b/>
          <w:spacing w:val="0"/>
          <w:sz w:val="22"/>
          <w:szCs w:val="24"/>
          <w:rtl/>
        </w:rPr>
        <w:t>דיראני</w:t>
      </w:r>
      <w:r w:rsidRPr="00FD4C56">
        <w:rPr>
          <w:rFonts w:hint="cs"/>
          <w:rtl/>
        </w:rPr>
        <w:t xml:space="preserve">, יש מקום להחיל את הכלל האמור, ביחס לכלל תושבי הרצועה. </w:t>
      </w:r>
      <w:r w:rsidRPr="00FD4C56">
        <w:rPr>
          <w:rFonts w:hint="eastAsia"/>
          <w:rtl/>
        </w:rPr>
        <w:t>בנוסף</w:t>
      </w:r>
      <w:r w:rsidRPr="00FD4C56">
        <w:rPr>
          <w:rtl/>
        </w:rPr>
        <w:t xml:space="preserve">, </w:t>
      </w:r>
      <w:r w:rsidRPr="00FD4C56">
        <w:rPr>
          <w:rFonts w:hint="eastAsia"/>
          <w:rtl/>
        </w:rPr>
        <w:t>דומה</w:t>
      </w:r>
      <w:r w:rsidRPr="00FD4C56">
        <w:rPr>
          <w:rtl/>
        </w:rPr>
        <w:t xml:space="preserve"> </w:t>
      </w:r>
      <w:r w:rsidRPr="00FD4C56">
        <w:rPr>
          <w:rFonts w:hint="eastAsia"/>
          <w:rtl/>
        </w:rPr>
        <w:t>כי</w:t>
      </w:r>
      <w:r w:rsidRPr="00FD4C56">
        <w:rPr>
          <w:rtl/>
        </w:rPr>
        <w:t xml:space="preserve"> </w:t>
      </w:r>
      <w:r w:rsidRPr="00FD4C56">
        <w:rPr>
          <w:rFonts w:hint="eastAsia"/>
          <w:rtl/>
        </w:rPr>
        <w:t>לכל</w:t>
      </w:r>
      <w:r w:rsidRPr="00FD4C56">
        <w:rPr>
          <w:rtl/>
        </w:rPr>
        <w:t xml:space="preserve"> </w:t>
      </w:r>
      <w:r w:rsidRPr="00FD4C56">
        <w:rPr>
          <w:rFonts w:hint="eastAsia"/>
          <w:rtl/>
        </w:rPr>
        <w:t>הפחות</w:t>
      </w:r>
      <w:r w:rsidRPr="00FD4C56">
        <w:rPr>
          <w:rtl/>
        </w:rPr>
        <w:t xml:space="preserve"> </w:t>
      </w:r>
      <w:r w:rsidRPr="00FD4C56">
        <w:rPr>
          <w:rFonts w:hint="eastAsia"/>
          <w:rtl/>
        </w:rPr>
        <w:t>קיים</w:t>
      </w:r>
      <w:r w:rsidRPr="00FD4C56">
        <w:rPr>
          <w:rtl/>
        </w:rPr>
        <w:t xml:space="preserve"> </w:t>
      </w:r>
      <w:r w:rsidRPr="00FD4C56">
        <w:rPr>
          <w:rFonts w:hint="eastAsia"/>
          <w:rtl/>
        </w:rPr>
        <w:t>ספק</w:t>
      </w:r>
      <w:r w:rsidRPr="00FD4C56">
        <w:rPr>
          <w:rtl/>
        </w:rPr>
        <w:t xml:space="preserve"> </w:t>
      </w:r>
      <w:r w:rsidRPr="00FD4C56">
        <w:rPr>
          <w:rFonts w:hint="eastAsia"/>
          <w:rtl/>
        </w:rPr>
        <w:t>פרשני</w:t>
      </w:r>
      <w:r w:rsidRPr="00FD4C56">
        <w:rPr>
          <w:rtl/>
        </w:rPr>
        <w:t xml:space="preserve">, </w:t>
      </w:r>
      <w:r w:rsidRPr="00FD4C56">
        <w:rPr>
          <w:rFonts w:hint="eastAsia"/>
          <w:rtl/>
        </w:rPr>
        <w:t>לגבי</w:t>
      </w:r>
      <w:r w:rsidRPr="00FD4C56">
        <w:rPr>
          <w:rtl/>
        </w:rPr>
        <w:t xml:space="preserve"> </w:t>
      </w:r>
      <w:r w:rsidRPr="00FD4C56">
        <w:rPr>
          <w:rFonts w:hint="eastAsia"/>
          <w:rtl/>
        </w:rPr>
        <w:t>השאלה</w:t>
      </w:r>
      <w:r w:rsidRPr="00FD4C56">
        <w:rPr>
          <w:rtl/>
        </w:rPr>
        <w:t xml:space="preserve"> </w:t>
      </w:r>
      <w:r w:rsidRPr="00FD4C56">
        <w:rPr>
          <w:rFonts w:hint="eastAsia"/>
          <w:rtl/>
        </w:rPr>
        <w:t>אם</w:t>
      </w:r>
      <w:r w:rsidRPr="00FD4C56">
        <w:rPr>
          <w:rtl/>
        </w:rPr>
        <w:t xml:space="preserve"> </w:t>
      </w:r>
      <w:r w:rsidRPr="00FD4C56">
        <w:rPr>
          <w:rFonts w:hint="eastAsia"/>
          <w:rtl/>
        </w:rPr>
        <w:t>לאחר</w:t>
      </w:r>
      <w:r w:rsidRPr="00FD4C56">
        <w:rPr>
          <w:rtl/>
        </w:rPr>
        <w:t xml:space="preserve"> </w:t>
      </w:r>
      <w:r w:rsidRPr="00FD4C56">
        <w:rPr>
          <w:rFonts w:hint="eastAsia"/>
          <w:rtl/>
        </w:rPr>
        <w:t>השתלטות</w:t>
      </w:r>
      <w:r w:rsidRPr="00FD4C56">
        <w:rPr>
          <w:rtl/>
        </w:rPr>
        <w:t xml:space="preserve"> </w:t>
      </w:r>
      <w:r w:rsidRPr="00FD4C56">
        <w:rPr>
          <w:rFonts w:hint="eastAsia"/>
          <w:rtl/>
        </w:rPr>
        <w:t>החמאס</w:t>
      </w:r>
      <w:r w:rsidRPr="00FD4C56">
        <w:rPr>
          <w:rtl/>
        </w:rPr>
        <w:t xml:space="preserve"> </w:t>
      </w:r>
      <w:r w:rsidRPr="00FD4C56">
        <w:rPr>
          <w:rFonts w:hint="eastAsia"/>
          <w:rtl/>
        </w:rPr>
        <w:t>על</w:t>
      </w:r>
      <w:r w:rsidRPr="00FD4C56">
        <w:rPr>
          <w:rtl/>
        </w:rPr>
        <w:t xml:space="preserve"> </w:t>
      </w:r>
      <w:r w:rsidRPr="00FD4C56">
        <w:rPr>
          <w:rFonts w:hint="eastAsia"/>
          <w:rtl/>
        </w:rPr>
        <w:t>רצועת</w:t>
      </w:r>
      <w:r w:rsidRPr="00FD4C56">
        <w:rPr>
          <w:rtl/>
        </w:rPr>
        <w:t xml:space="preserve"> </w:t>
      </w:r>
      <w:r w:rsidRPr="00FD4C56">
        <w:rPr>
          <w:rFonts w:hint="eastAsia"/>
          <w:rtl/>
        </w:rPr>
        <w:t>עזה</w:t>
      </w:r>
      <w:r w:rsidRPr="00FD4C56">
        <w:rPr>
          <w:rtl/>
        </w:rPr>
        <w:t xml:space="preserve">, </w:t>
      </w:r>
      <w:r w:rsidRPr="00FD4C56">
        <w:rPr>
          <w:rFonts w:hint="eastAsia"/>
          <w:rtl/>
        </w:rPr>
        <w:t>והפיכתה</w:t>
      </w:r>
      <w:r w:rsidRPr="00FD4C56">
        <w:rPr>
          <w:rtl/>
        </w:rPr>
        <w:t xml:space="preserve"> </w:t>
      </w:r>
      <w:r w:rsidRPr="00FD4C56">
        <w:rPr>
          <w:rFonts w:hint="eastAsia"/>
          <w:rtl/>
        </w:rPr>
        <w:t>לישות</w:t>
      </w:r>
      <w:r w:rsidRPr="00FD4C56">
        <w:rPr>
          <w:rtl/>
        </w:rPr>
        <w:t xml:space="preserve"> </w:t>
      </w:r>
      <w:r w:rsidRPr="00FD4C56">
        <w:rPr>
          <w:rFonts w:hint="eastAsia"/>
          <w:rtl/>
        </w:rPr>
        <w:t>עוינת</w:t>
      </w:r>
      <w:r w:rsidRPr="00FD4C56">
        <w:rPr>
          <w:rtl/>
        </w:rPr>
        <w:t xml:space="preserve"> </w:t>
      </w:r>
      <w:r w:rsidRPr="00FD4C56">
        <w:rPr>
          <w:rFonts w:hint="eastAsia"/>
          <w:rtl/>
        </w:rPr>
        <w:t>לישראל</w:t>
      </w:r>
      <w:r w:rsidRPr="00FD4C56">
        <w:rPr>
          <w:rtl/>
        </w:rPr>
        <w:t xml:space="preserve">, </w:t>
      </w:r>
      <w:r w:rsidRPr="00FD4C56">
        <w:rPr>
          <w:rFonts w:hint="eastAsia"/>
          <w:rtl/>
        </w:rPr>
        <w:t>לא</w:t>
      </w:r>
      <w:r w:rsidRPr="00FD4C56">
        <w:rPr>
          <w:rtl/>
        </w:rPr>
        <w:t xml:space="preserve"> </w:t>
      </w:r>
      <w:r w:rsidRPr="00FD4C56">
        <w:rPr>
          <w:rFonts w:hint="eastAsia"/>
          <w:rtl/>
        </w:rPr>
        <w:t>היו</w:t>
      </w:r>
      <w:r w:rsidRPr="00FD4C56">
        <w:rPr>
          <w:rtl/>
        </w:rPr>
        <w:t xml:space="preserve"> </w:t>
      </w:r>
      <w:r w:rsidRPr="00FD4C56">
        <w:rPr>
          <w:rFonts w:hint="eastAsia"/>
          <w:rtl/>
        </w:rPr>
        <w:t>תושביה</w:t>
      </w:r>
      <w:r w:rsidRPr="00FD4C56">
        <w:rPr>
          <w:rtl/>
        </w:rPr>
        <w:t xml:space="preserve"> </w:t>
      </w:r>
      <w:r w:rsidRPr="00FD4C56">
        <w:rPr>
          <w:rFonts w:hint="eastAsia"/>
          <w:rtl/>
        </w:rPr>
        <w:t>באים</w:t>
      </w:r>
      <w:r w:rsidRPr="00FD4C56">
        <w:rPr>
          <w:rtl/>
        </w:rPr>
        <w:t xml:space="preserve"> </w:t>
      </w:r>
      <w:r w:rsidRPr="00FD4C56">
        <w:rPr>
          <w:rFonts w:hint="eastAsia"/>
          <w:rtl/>
        </w:rPr>
        <w:t>ממילא</w:t>
      </w:r>
      <w:r w:rsidRPr="00FD4C56">
        <w:rPr>
          <w:rtl/>
        </w:rPr>
        <w:t xml:space="preserve"> </w:t>
      </w:r>
      <w:r w:rsidRPr="00FD4C56">
        <w:rPr>
          <w:rFonts w:hint="eastAsia"/>
          <w:rtl/>
        </w:rPr>
        <w:t>בגדר</w:t>
      </w:r>
      <w:r w:rsidRPr="00FD4C56">
        <w:rPr>
          <w:rtl/>
        </w:rPr>
        <w:t xml:space="preserve"> </w:t>
      </w:r>
      <w:r w:rsidRPr="00FD4C56">
        <w:rPr>
          <w:rFonts w:hint="eastAsia"/>
          <w:rtl/>
        </w:rPr>
        <w:t>הרישא</w:t>
      </w:r>
      <w:r w:rsidRPr="00FD4C56">
        <w:rPr>
          <w:rtl/>
        </w:rPr>
        <w:t xml:space="preserve"> </w:t>
      </w:r>
      <w:r w:rsidRPr="00FD4C56">
        <w:rPr>
          <w:rFonts w:hint="eastAsia"/>
          <w:rtl/>
        </w:rPr>
        <w:t>של</w:t>
      </w:r>
      <w:r w:rsidRPr="00FD4C56">
        <w:rPr>
          <w:rtl/>
        </w:rPr>
        <w:t xml:space="preserve"> </w:t>
      </w:r>
      <w:r w:rsidRPr="00FD4C56">
        <w:rPr>
          <w:rFonts w:hint="eastAsia"/>
          <w:rtl/>
        </w:rPr>
        <w:t>סעיף</w:t>
      </w:r>
      <w:r w:rsidRPr="00FD4C56">
        <w:rPr>
          <w:rtl/>
        </w:rPr>
        <w:t xml:space="preserve"> 5</w:t>
      </w:r>
      <w:r w:rsidRPr="00FD4C56">
        <w:rPr>
          <w:rFonts w:hint="eastAsia"/>
          <w:rtl/>
        </w:rPr>
        <w:t>ב</w:t>
      </w:r>
      <w:r w:rsidRPr="00FD4C56">
        <w:rPr>
          <w:rtl/>
        </w:rPr>
        <w:t xml:space="preserve"> – </w:t>
      </w:r>
      <w:r w:rsidRPr="00FD4C56">
        <w:rPr>
          <w:rFonts w:ascii="Century" w:hAnsi="Century" w:cs="Miriam"/>
          <w:b/>
          <w:spacing w:val="0"/>
          <w:sz w:val="22"/>
          <w:szCs w:val="24"/>
          <w:rtl/>
        </w:rPr>
        <w:t>"</w:t>
      </w:r>
      <w:r w:rsidRPr="00FD4C56">
        <w:rPr>
          <w:rFonts w:ascii="Century" w:hAnsi="Century" w:cs="Miriam" w:hint="eastAsia"/>
          <w:b/>
          <w:spacing w:val="0"/>
          <w:sz w:val="22"/>
          <w:szCs w:val="24"/>
          <w:rtl/>
        </w:rPr>
        <w:t>נתין</w:t>
      </w:r>
      <w:r w:rsidRPr="00FD4C56">
        <w:rPr>
          <w:rFonts w:ascii="Century" w:hAnsi="Century" w:cs="Miriam"/>
          <w:b/>
          <w:spacing w:val="0"/>
          <w:sz w:val="22"/>
          <w:szCs w:val="24"/>
          <w:rtl/>
        </w:rPr>
        <w:t xml:space="preserve"> </w:t>
      </w:r>
      <w:r w:rsidRPr="00FD4C56">
        <w:rPr>
          <w:rFonts w:ascii="Century" w:hAnsi="Century" w:cs="Miriam" w:hint="eastAsia"/>
          <w:b/>
          <w:spacing w:val="0"/>
          <w:sz w:val="22"/>
          <w:szCs w:val="24"/>
          <w:rtl/>
        </w:rPr>
        <w:t>של</w:t>
      </w:r>
      <w:r w:rsidRPr="00FD4C56">
        <w:rPr>
          <w:rFonts w:ascii="Century" w:hAnsi="Century" w:cs="Miriam"/>
          <w:b/>
          <w:spacing w:val="0"/>
          <w:sz w:val="22"/>
          <w:szCs w:val="24"/>
          <w:rtl/>
        </w:rPr>
        <w:t xml:space="preserve"> </w:t>
      </w:r>
      <w:r w:rsidRPr="00FD4C56">
        <w:rPr>
          <w:rFonts w:ascii="Century" w:hAnsi="Century" w:cs="Miriam" w:hint="eastAsia"/>
          <w:b/>
          <w:spacing w:val="0"/>
          <w:sz w:val="22"/>
          <w:szCs w:val="24"/>
          <w:rtl/>
        </w:rPr>
        <w:t>מדינה</w:t>
      </w:r>
      <w:r w:rsidRPr="00FD4C56">
        <w:rPr>
          <w:rFonts w:ascii="Century" w:hAnsi="Century" w:cs="Miriam"/>
          <w:b/>
          <w:spacing w:val="0"/>
          <w:sz w:val="22"/>
          <w:szCs w:val="24"/>
          <w:rtl/>
        </w:rPr>
        <w:t xml:space="preserve"> </w:t>
      </w:r>
      <w:r w:rsidRPr="00FD4C56">
        <w:rPr>
          <w:rFonts w:ascii="Century" w:hAnsi="Century" w:cs="Miriam" w:hint="eastAsia"/>
          <w:b/>
          <w:spacing w:val="0"/>
          <w:sz w:val="22"/>
          <w:szCs w:val="24"/>
          <w:rtl/>
        </w:rPr>
        <w:t>שהיא</w:t>
      </w:r>
      <w:r w:rsidRPr="00FD4C56">
        <w:rPr>
          <w:rFonts w:ascii="Century" w:hAnsi="Century" w:cs="Miriam"/>
          <w:b/>
          <w:spacing w:val="0"/>
          <w:sz w:val="22"/>
          <w:szCs w:val="24"/>
          <w:rtl/>
        </w:rPr>
        <w:t xml:space="preserve"> </w:t>
      </w:r>
      <w:r w:rsidRPr="00FD4C56">
        <w:rPr>
          <w:rFonts w:ascii="Century" w:hAnsi="Century" w:cs="Miriam" w:hint="eastAsia"/>
          <w:b/>
          <w:spacing w:val="0"/>
          <w:sz w:val="22"/>
          <w:szCs w:val="24"/>
          <w:rtl/>
        </w:rPr>
        <w:t>אויב</w:t>
      </w:r>
      <w:r w:rsidRPr="00FD4C56">
        <w:rPr>
          <w:rFonts w:ascii="Century" w:hAnsi="Century" w:cs="Miriam"/>
          <w:b/>
          <w:spacing w:val="0"/>
          <w:sz w:val="22"/>
          <w:szCs w:val="24"/>
          <w:rtl/>
        </w:rPr>
        <w:t>"</w:t>
      </w:r>
      <w:r w:rsidRPr="00FD4C56">
        <w:rPr>
          <w:rtl/>
        </w:rPr>
        <w:t xml:space="preserve"> – </w:t>
      </w:r>
      <w:r w:rsidRPr="00FD4C56">
        <w:rPr>
          <w:rFonts w:hint="eastAsia"/>
          <w:rtl/>
        </w:rPr>
        <w:t>באמצעות</w:t>
      </w:r>
      <w:r w:rsidRPr="00FD4C56">
        <w:rPr>
          <w:rtl/>
        </w:rPr>
        <w:t xml:space="preserve"> </w:t>
      </w:r>
      <w:r w:rsidRPr="00FD4C56">
        <w:rPr>
          <w:rFonts w:hint="eastAsia"/>
          <w:rtl/>
        </w:rPr>
        <w:t>פרשנות</w:t>
      </w:r>
      <w:r w:rsidRPr="00FD4C56">
        <w:rPr>
          <w:rtl/>
        </w:rPr>
        <w:t xml:space="preserve"> </w:t>
      </w:r>
      <w:r w:rsidRPr="00FD4C56">
        <w:rPr>
          <w:rFonts w:hint="eastAsia"/>
          <w:rtl/>
        </w:rPr>
        <w:t>תכליתית</w:t>
      </w:r>
      <w:r w:rsidRPr="00FD4C56">
        <w:rPr>
          <w:rtl/>
        </w:rPr>
        <w:t xml:space="preserve"> </w:t>
      </w:r>
      <w:r w:rsidRPr="00FD4C56">
        <w:rPr>
          <w:rFonts w:hint="eastAsia"/>
          <w:rtl/>
        </w:rPr>
        <w:t>למונח</w:t>
      </w:r>
      <w:r w:rsidRPr="00FD4C56">
        <w:rPr>
          <w:rtl/>
        </w:rPr>
        <w:t xml:space="preserve"> '</w:t>
      </w:r>
      <w:r w:rsidRPr="00FD4C56">
        <w:rPr>
          <w:rFonts w:hint="eastAsia"/>
          <w:rtl/>
        </w:rPr>
        <w:t>מדינה</w:t>
      </w:r>
      <w:r w:rsidRPr="00FD4C56">
        <w:rPr>
          <w:rtl/>
        </w:rPr>
        <w:t xml:space="preserve">', </w:t>
      </w:r>
      <w:r w:rsidRPr="00FD4C56">
        <w:rPr>
          <w:rFonts w:hint="eastAsia"/>
          <w:rtl/>
        </w:rPr>
        <w:t>ביחס</w:t>
      </w:r>
      <w:r w:rsidRPr="00FD4C56">
        <w:rPr>
          <w:rtl/>
        </w:rPr>
        <w:t xml:space="preserve"> </w:t>
      </w:r>
      <w:r w:rsidRPr="00FD4C56">
        <w:rPr>
          <w:rFonts w:hint="eastAsia"/>
          <w:rtl/>
        </w:rPr>
        <w:t>להקשר</w:t>
      </w:r>
      <w:r w:rsidRPr="00FD4C56">
        <w:rPr>
          <w:rtl/>
        </w:rPr>
        <w:t xml:space="preserve"> </w:t>
      </w:r>
      <w:r w:rsidRPr="00FD4C56">
        <w:rPr>
          <w:rFonts w:hint="eastAsia"/>
          <w:rtl/>
        </w:rPr>
        <w:t>ספציפי</w:t>
      </w:r>
      <w:r w:rsidRPr="00FD4C56">
        <w:rPr>
          <w:rtl/>
        </w:rPr>
        <w:t xml:space="preserve"> </w:t>
      </w:r>
      <w:r w:rsidRPr="00FD4C56">
        <w:rPr>
          <w:rFonts w:hint="eastAsia"/>
          <w:rtl/>
        </w:rPr>
        <w:t>זה</w:t>
      </w:r>
      <w:r w:rsidRPr="00FD4C56">
        <w:rPr>
          <w:rtl/>
        </w:rPr>
        <w:t xml:space="preserve"> (</w:t>
      </w:r>
      <w:r w:rsidRPr="00FD4C56">
        <w:rPr>
          <w:rFonts w:hint="eastAsia"/>
          <w:rtl/>
        </w:rPr>
        <w:t>זאת</w:t>
      </w:r>
      <w:r w:rsidRPr="00FD4C56">
        <w:rPr>
          <w:rtl/>
        </w:rPr>
        <w:t xml:space="preserve"> </w:t>
      </w:r>
      <w:r w:rsidRPr="00FD4C56">
        <w:rPr>
          <w:rFonts w:hint="eastAsia"/>
          <w:rtl/>
        </w:rPr>
        <w:t>חרף</w:t>
      </w:r>
      <w:r w:rsidRPr="00FD4C56">
        <w:rPr>
          <w:rtl/>
        </w:rPr>
        <w:t xml:space="preserve"> </w:t>
      </w:r>
      <w:r w:rsidRPr="00FD4C56">
        <w:rPr>
          <w:rFonts w:hint="eastAsia"/>
          <w:rtl/>
        </w:rPr>
        <w:t>העובדה</w:t>
      </w:r>
      <w:r w:rsidRPr="00FD4C56">
        <w:rPr>
          <w:rtl/>
        </w:rPr>
        <w:t xml:space="preserve"> </w:t>
      </w:r>
      <w:r w:rsidRPr="00FD4C56">
        <w:rPr>
          <w:rFonts w:hint="eastAsia"/>
          <w:rtl/>
        </w:rPr>
        <w:t>כי</w:t>
      </w:r>
      <w:r w:rsidRPr="00FD4C56">
        <w:rPr>
          <w:rtl/>
        </w:rPr>
        <w:t xml:space="preserve"> </w:t>
      </w:r>
      <w:r w:rsidRPr="00FD4C56">
        <w:rPr>
          <w:rFonts w:hint="eastAsia"/>
          <w:rtl/>
        </w:rPr>
        <w:t>הרצועה</w:t>
      </w:r>
      <w:r w:rsidRPr="00FD4C56">
        <w:rPr>
          <w:rtl/>
        </w:rPr>
        <w:t xml:space="preserve"> </w:t>
      </w:r>
      <w:r w:rsidRPr="00FD4C56">
        <w:rPr>
          <w:rFonts w:hint="eastAsia"/>
          <w:rtl/>
        </w:rPr>
        <w:t>אינה</w:t>
      </w:r>
      <w:r w:rsidRPr="00FD4C56">
        <w:rPr>
          <w:rtl/>
        </w:rPr>
        <w:t xml:space="preserve"> </w:t>
      </w:r>
      <w:r w:rsidRPr="00FD4C56">
        <w:rPr>
          <w:rFonts w:hint="eastAsia"/>
          <w:rtl/>
        </w:rPr>
        <w:t>מוגדרת</w:t>
      </w:r>
      <w:r w:rsidRPr="00FD4C56">
        <w:rPr>
          <w:rtl/>
        </w:rPr>
        <w:t xml:space="preserve"> '</w:t>
      </w:r>
      <w:r w:rsidRPr="00FD4C56">
        <w:rPr>
          <w:rFonts w:hint="eastAsia"/>
          <w:rtl/>
        </w:rPr>
        <w:t>מדינה</w:t>
      </w:r>
      <w:r w:rsidRPr="00FD4C56">
        <w:rPr>
          <w:rtl/>
        </w:rPr>
        <w:t>'</w:t>
      </w:r>
      <w:r w:rsidRPr="00FD4C56">
        <w:rPr>
          <w:rFonts w:hint="cs"/>
          <w:rtl/>
        </w:rPr>
        <w:t>).</w:t>
      </w:r>
    </w:p>
    <w:p w:rsidR="00D512D4" w:rsidRDefault="00D512D4" w:rsidP="000B6AE3">
      <w:pPr>
        <w:pStyle w:val="Ruller4"/>
        <w:numPr>
          <w:ilvl w:val="0"/>
          <w:numId w:val="0"/>
        </w:numPr>
        <w:spacing w:line="240" w:lineRule="auto"/>
      </w:pPr>
      <w:r>
        <w:rPr>
          <w:rFonts w:hint="cs"/>
          <w:rtl/>
        </w:rPr>
        <w:t xml:space="preserve"> </w:t>
      </w:r>
    </w:p>
    <w:p w:rsidR="00D512D4" w:rsidRDefault="00D512D4" w:rsidP="000D6DCA">
      <w:pPr>
        <w:pStyle w:val="Ruller4"/>
        <w:rPr>
          <w:rtl/>
        </w:rPr>
      </w:pPr>
      <w:r>
        <w:rPr>
          <w:rFonts w:hint="cs"/>
          <w:rtl/>
        </w:rPr>
        <w:t xml:space="preserve">אם כן, הטענה שלפיה תיקון מספר 8, שולל מתושבי עזה זכות שהיתה בידם, להגשת תביעת נזיקין </w:t>
      </w:r>
      <w:r>
        <w:rPr>
          <w:rtl/>
        </w:rPr>
        <w:t>–</w:t>
      </w:r>
      <w:r>
        <w:rPr>
          <w:rFonts w:hint="cs"/>
          <w:rtl/>
        </w:rPr>
        <w:t xml:space="preserve"> כלל אינה נקייה מספקות; היא לוקה בהנחת המבוקש. אמנם, </w:t>
      </w:r>
      <w:r w:rsidRPr="00E3022C">
        <w:rPr>
          <w:rFonts w:ascii="Century" w:hAnsi="Century" w:cs="Miriam" w:hint="cs"/>
          <w:b/>
          <w:spacing w:val="0"/>
          <w:sz w:val="22"/>
          <w:szCs w:val="24"/>
          <w:rtl/>
        </w:rPr>
        <w:t>מבחינה מעשית</w:t>
      </w:r>
      <w:r>
        <w:rPr>
          <w:rFonts w:hint="cs"/>
          <w:rtl/>
        </w:rPr>
        <w:t xml:space="preserve">, ערב תיקון מספר 8, הוגשו תביעות נזיקין על-ידי תושבי רצועת עזה בערכאות ישראליות, והמדינה-הנתבעת לא טענה כי ערוץ זה חסום </w:t>
      </w:r>
      <w:r w:rsidR="0054150C">
        <w:rPr>
          <w:rFonts w:hint="cs"/>
          <w:rtl/>
        </w:rPr>
        <w:t>בפניהם</w:t>
      </w:r>
      <w:r>
        <w:rPr>
          <w:rFonts w:hint="cs"/>
          <w:rtl/>
        </w:rPr>
        <w:t xml:space="preserve">. לא זו אף זו: באותה עת אף נקבע נוהל לתיאום כניסת תושבי עזה לתחומי ישראל, לצורך בירור תביעותיהם (ראו למשל: </w:t>
      </w:r>
      <w:r w:rsidR="009557A8" w:rsidRPr="00543584">
        <w:rPr>
          <w:rFonts w:ascii="Century" w:hAnsi="Century" w:hint="cs"/>
          <w:sz w:val="22"/>
          <w:rtl/>
        </w:rPr>
        <w:t>עניין</w:t>
      </w:r>
      <w:r w:rsidR="009557A8" w:rsidRPr="00543584">
        <w:rPr>
          <w:rFonts w:hint="cs"/>
          <w:rtl/>
        </w:rPr>
        <w:t xml:space="preserve"> </w:t>
      </w:r>
      <w:r w:rsidR="009557A8" w:rsidRPr="00543584">
        <w:rPr>
          <w:rFonts w:ascii="Century" w:hAnsi="Century" w:cs="Miriam" w:hint="cs"/>
          <w:b/>
          <w:spacing w:val="0"/>
          <w:sz w:val="22"/>
          <w:szCs w:val="24"/>
          <w:rtl/>
        </w:rPr>
        <w:t>אבו דקה</w:t>
      </w:r>
      <w:r>
        <w:rPr>
          <w:rFonts w:hint="cs"/>
          <w:rtl/>
        </w:rPr>
        <w:t>)</w:t>
      </w:r>
      <w:r w:rsidRPr="0068796F">
        <w:rPr>
          <w:rtl/>
        </w:rPr>
        <w:t>‏</w:t>
      </w:r>
      <w:r>
        <w:rPr>
          <w:rFonts w:hint="cs"/>
          <w:rtl/>
        </w:rPr>
        <w:t xml:space="preserve">. יחד עם זאת, המוקד איננו בשאלה אם מבחינה מעשית אכן הוגשו תביעות נזיקין נגד המדינה, כי אם בשאלה האם הדין הישראלי המהותי העניק להם זכות שכזו, אם לאו. בהקשר זה, ניתן להשקיף על תיקון מספר 8 כ'תיקון מבהיר', ולא כ'תיקון משַׁנֶה' (ראו והשוו: </w:t>
      </w:r>
      <w:r w:rsidRPr="00E3022C">
        <w:rPr>
          <w:rFonts w:ascii="Century" w:hAnsi="Century" w:cs="Miriam" w:hint="cs"/>
          <w:b/>
          <w:spacing w:val="0"/>
          <w:sz w:val="22"/>
          <w:szCs w:val="24"/>
          <w:rtl/>
        </w:rPr>
        <w:t>רע"א</w:t>
      </w:r>
      <w:r>
        <w:rPr>
          <w:rFonts w:hint="cs"/>
          <w:rtl/>
        </w:rPr>
        <w:t xml:space="preserve"> </w:t>
      </w:r>
      <w:r w:rsidRPr="00E3022C">
        <w:rPr>
          <w:rFonts w:ascii="Century" w:hAnsi="Century" w:cs="Miriam" w:hint="cs"/>
          <w:b/>
          <w:spacing w:val="0"/>
          <w:sz w:val="22"/>
          <w:szCs w:val="24"/>
          <w:rtl/>
        </w:rPr>
        <w:t>דיראני</w:t>
      </w:r>
      <w:r>
        <w:rPr>
          <w:rFonts w:hint="cs"/>
          <w:rtl/>
        </w:rPr>
        <w:t xml:space="preserve">, פסקה 78 לפסק-דינה של השופטת </w:t>
      </w:r>
      <w:r w:rsidRPr="007767FA">
        <w:rPr>
          <w:rFonts w:ascii="Century" w:hAnsi="Century" w:cs="Miriam" w:hint="eastAsia"/>
          <w:b/>
          <w:spacing w:val="0"/>
          <w:sz w:val="22"/>
          <w:szCs w:val="24"/>
          <w:rtl/>
        </w:rPr>
        <w:t>פרוקצ</w:t>
      </w:r>
      <w:r w:rsidRPr="007767FA">
        <w:rPr>
          <w:rFonts w:ascii="Century" w:hAnsi="Century" w:cs="Miriam"/>
          <w:b/>
          <w:spacing w:val="0"/>
          <w:sz w:val="22"/>
          <w:szCs w:val="24"/>
          <w:rtl/>
        </w:rPr>
        <w:t>'</w:t>
      </w:r>
      <w:r w:rsidRPr="007767FA">
        <w:rPr>
          <w:rFonts w:ascii="Century" w:hAnsi="Century" w:cs="Miriam" w:hint="eastAsia"/>
          <w:b/>
          <w:spacing w:val="0"/>
          <w:sz w:val="22"/>
          <w:szCs w:val="24"/>
          <w:rtl/>
        </w:rPr>
        <w:t>יה</w:t>
      </w:r>
      <w:r>
        <w:rPr>
          <w:rFonts w:hint="cs"/>
          <w:rtl/>
        </w:rPr>
        <w:t xml:space="preserve">; </w:t>
      </w:r>
      <w:r w:rsidR="00A802BA" w:rsidRPr="00505120">
        <w:rPr>
          <w:rFonts w:ascii="Century" w:hAnsi="Century" w:hint="cs"/>
          <w:sz w:val="22"/>
          <w:rtl/>
        </w:rPr>
        <w:t>עניין</w:t>
      </w:r>
      <w:r w:rsidRPr="000D6DCA">
        <w:rPr>
          <w:rFonts w:ascii="Century" w:hAnsi="Century" w:cs="Miriam"/>
          <w:b/>
          <w:spacing w:val="0"/>
          <w:sz w:val="22"/>
          <w:szCs w:val="24"/>
          <w:rtl/>
        </w:rPr>
        <w:t xml:space="preserve"> </w:t>
      </w:r>
      <w:r w:rsidRPr="002F1373">
        <w:rPr>
          <w:rFonts w:ascii="Century" w:hAnsi="Century" w:cs="Miriam" w:hint="cs"/>
          <w:b/>
          <w:spacing w:val="0"/>
          <w:sz w:val="22"/>
          <w:szCs w:val="24"/>
          <w:rtl/>
        </w:rPr>
        <w:t>דיראני</w:t>
      </w:r>
      <w:r>
        <w:rPr>
          <w:rFonts w:hint="cs"/>
          <w:rtl/>
        </w:rPr>
        <w:t xml:space="preserve">, פסקאות 91-84; ראו גם: </w:t>
      </w:r>
      <w:r w:rsidRPr="002D1AC2">
        <w:rPr>
          <w:rFonts w:hint="eastAsia"/>
          <w:rtl/>
        </w:rPr>
        <w:t>ת</w:t>
      </w:r>
      <w:r w:rsidRPr="002D1AC2">
        <w:rPr>
          <w:rtl/>
        </w:rPr>
        <w:t>"</w:t>
      </w:r>
      <w:r w:rsidRPr="002D1AC2">
        <w:rPr>
          <w:rFonts w:hint="eastAsia"/>
          <w:rtl/>
        </w:rPr>
        <w:t>א</w:t>
      </w:r>
      <w:r w:rsidRPr="002D1AC2">
        <w:rPr>
          <w:rtl/>
        </w:rPr>
        <w:t xml:space="preserve"> 5193-08 </w:t>
      </w:r>
      <w:r w:rsidRPr="00E3022C">
        <w:rPr>
          <w:rFonts w:ascii="Century" w:hAnsi="Century" w:cs="Miriam" w:hint="eastAsia"/>
          <w:b/>
          <w:spacing w:val="0"/>
          <w:sz w:val="22"/>
          <w:szCs w:val="24"/>
          <w:rtl/>
        </w:rPr>
        <w:t>חברת</w:t>
      </w:r>
      <w:r w:rsidRPr="00E3022C">
        <w:rPr>
          <w:rFonts w:ascii="Century" w:hAnsi="Century" w:cs="Miriam"/>
          <w:b/>
          <w:spacing w:val="0"/>
          <w:sz w:val="22"/>
          <w:szCs w:val="24"/>
          <w:rtl/>
        </w:rPr>
        <w:t xml:space="preserve"> </w:t>
      </w:r>
      <w:r w:rsidRPr="00E3022C">
        <w:rPr>
          <w:rFonts w:ascii="Century" w:hAnsi="Century" w:cs="Miriam" w:hint="eastAsia"/>
          <w:b/>
          <w:spacing w:val="0"/>
          <w:sz w:val="22"/>
          <w:szCs w:val="24"/>
          <w:rtl/>
        </w:rPr>
        <w:t>מסרי</w:t>
      </w:r>
      <w:r w:rsidRPr="00E3022C">
        <w:rPr>
          <w:rFonts w:ascii="Century" w:hAnsi="Century" w:cs="Miriam"/>
          <w:b/>
          <w:spacing w:val="0"/>
          <w:sz w:val="22"/>
          <w:szCs w:val="24"/>
          <w:rtl/>
        </w:rPr>
        <w:t xml:space="preserve"> </w:t>
      </w:r>
      <w:r w:rsidRPr="00E3022C">
        <w:rPr>
          <w:rFonts w:ascii="Century" w:hAnsi="Century" w:cs="Miriam" w:hint="eastAsia"/>
          <w:b/>
          <w:spacing w:val="0"/>
          <w:sz w:val="22"/>
          <w:szCs w:val="24"/>
          <w:rtl/>
        </w:rPr>
        <w:t>גבון</w:t>
      </w:r>
      <w:r w:rsidRPr="00E3022C">
        <w:rPr>
          <w:rFonts w:ascii="Century" w:hAnsi="Century" w:cs="Miriam"/>
          <w:b/>
          <w:spacing w:val="0"/>
          <w:sz w:val="22"/>
          <w:szCs w:val="24"/>
          <w:rtl/>
        </w:rPr>
        <w:t xml:space="preserve"> </w:t>
      </w:r>
      <w:r w:rsidRPr="00E3022C">
        <w:rPr>
          <w:rFonts w:ascii="Century" w:hAnsi="Century" w:cs="Miriam" w:hint="eastAsia"/>
          <w:b/>
          <w:spacing w:val="0"/>
          <w:sz w:val="22"/>
          <w:szCs w:val="24"/>
          <w:rtl/>
        </w:rPr>
        <w:t>בע</w:t>
      </w:r>
      <w:r w:rsidRPr="00E3022C">
        <w:rPr>
          <w:rFonts w:ascii="Century" w:hAnsi="Century" w:cs="Miriam"/>
          <w:b/>
          <w:spacing w:val="0"/>
          <w:sz w:val="22"/>
          <w:szCs w:val="24"/>
          <w:rtl/>
        </w:rPr>
        <w:t>"</w:t>
      </w:r>
      <w:r w:rsidRPr="00E3022C">
        <w:rPr>
          <w:rFonts w:ascii="Century" w:hAnsi="Century" w:cs="Miriam" w:hint="eastAsia"/>
          <w:b/>
          <w:spacing w:val="0"/>
          <w:sz w:val="22"/>
          <w:szCs w:val="24"/>
          <w:rtl/>
        </w:rPr>
        <w:t>מ</w:t>
      </w:r>
      <w:r w:rsidRPr="00E3022C">
        <w:rPr>
          <w:rFonts w:ascii="Century" w:hAnsi="Century" w:cs="Miriam"/>
          <w:b/>
          <w:spacing w:val="0"/>
          <w:sz w:val="22"/>
          <w:szCs w:val="24"/>
          <w:rtl/>
        </w:rPr>
        <w:t xml:space="preserve"> </w:t>
      </w:r>
      <w:r w:rsidRPr="00E3022C">
        <w:rPr>
          <w:rFonts w:ascii="Century" w:hAnsi="Century" w:cs="Miriam" w:hint="eastAsia"/>
          <w:b/>
          <w:spacing w:val="0"/>
          <w:sz w:val="22"/>
          <w:szCs w:val="24"/>
          <w:rtl/>
        </w:rPr>
        <w:t>נ</w:t>
      </w:r>
      <w:r w:rsidRPr="00E3022C">
        <w:rPr>
          <w:rFonts w:ascii="Century" w:hAnsi="Century" w:cs="Miriam"/>
          <w:b/>
          <w:spacing w:val="0"/>
          <w:sz w:val="22"/>
          <w:szCs w:val="24"/>
          <w:rtl/>
        </w:rPr>
        <w:t xml:space="preserve">' </w:t>
      </w:r>
      <w:r w:rsidRPr="00E3022C">
        <w:rPr>
          <w:rFonts w:ascii="Century" w:hAnsi="Century" w:cs="Miriam" w:hint="eastAsia"/>
          <w:b/>
          <w:spacing w:val="0"/>
          <w:sz w:val="22"/>
          <w:szCs w:val="24"/>
          <w:rtl/>
        </w:rPr>
        <w:t>מדינת</w:t>
      </w:r>
      <w:r w:rsidRPr="00E3022C">
        <w:rPr>
          <w:rFonts w:ascii="Century" w:hAnsi="Century" w:cs="Miriam" w:hint="cs"/>
          <w:b/>
          <w:spacing w:val="0"/>
          <w:sz w:val="22"/>
          <w:szCs w:val="24"/>
          <w:rtl/>
        </w:rPr>
        <w:t xml:space="preserve"> ישראל</w:t>
      </w:r>
      <w:r>
        <w:rPr>
          <w:rFonts w:hint="cs"/>
          <w:rtl/>
        </w:rPr>
        <w:t xml:space="preserve">, פסקה 68 (15.4.2012); פסקה 49 לפסק הדין מושא הערעור). </w:t>
      </w:r>
      <w:r w:rsidR="00251B76">
        <w:rPr>
          <w:rFonts w:hint="cs"/>
          <w:rtl/>
        </w:rPr>
        <w:t>אעיר</w:t>
      </w:r>
      <w:r>
        <w:rPr>
          <w:rFonts w:hint="cs"/>
          <w:rtl/>
        </w:rPr>
        <w:t xml:space="preserve"> בהקשר זה, כי </w:t>
      </w:r>
      <w:r w:rsidRPr="00BF052A">
        <w:rPr>
          <w:rFonts w:ascii="Century" w:hAnsi="Century" w:cs="Miriam" w:hint="cs"/>
          <w:b/>
          <w:spacing w:val="0"/>
          <w:sz w:val="22"/>
          <w:szCs w:val="24"/>
          <w:rtl/>
        </w:rPr>
        <w:t>עצם הזכאות</w:t>
      </w:r>
      <w:r>
        <w:rPr>
          <w:rFonts w:hint="cs"/>
          <w:rtl/>
        </w:rPr>
        <w:t xml:space="preserve"> של תושבי רצועת עזה להגיש תביעות נזיקין נגד המדינה, </w:t>
      </w:r>
      <w:r>
        <w:rPr>
          <w:rFonts w:ascii="Century" w:hAnsi="Century" w:cs="Miriam" w:hint="cs"/>
          <w:b/>
          <w:spacing w:val="0"/>
          <w:sz w:val="22"/>
          <w:szCs w:val="24"/>
          <w:rtl/>
        </w:rPr>
        <w:t xml:space="preserve">קודם </w:t>
      </w:r>
      <w:r>
        <w:rPr>
          <w:rFonts w:hint="cs"/>
          <w:rtl/>
        </w:rPr>
        <w:t xml:space="preserve">לתיקון מספר 8, בשלב שלאחר השתלטות ארגון החמאס על הרצועה, לא עמדה לבחינה שיפוטית, לפחות לא במפורש. הנה כי כן, לבד מהספקות שהובעו ביחס לתוכן קביעתו של הנשיא </w:t>
      </w:r>
      <w:r w:rsidRPr="007767FA">
        <w:rPr>
          <w:rFonts w:ascii="Century" w:hAnsi="Century" w:cs="Miriam" w:hint="eastAsia"/>
          <w:b/>
          <w:spacing w:val="0"/>
          <w:sz w:val="22"/>
          <w:szCs w:val="24"/>
          <w:rtl/>
        </w:rPr>
        <w:t>ברק</w:t>
      </w:r>
      <w:r>
        <w:rPr>
          <w:rFonts w:hint="cs"/>
          <w:rtl/>
        </w:rPr>
        <w:t xml:space="preserve"> בעניין </w:t>
      </w:r>
      <w:r w:rsidRPr="00BF052A">
        <w:rPr>
          <w:rFonts w:ascii="Century" w:hAnsi="Century" w:cs="Miriam" w:hint="cs"/>
          <w:b/>
          <w:spacing w:val="0"/>
          <w:sz w:val="22"/>
          <w:szCs w:val="24"/>
          <w:rtl/>
        </w:rPr>
        <w:t>עדאלה</w:t>
      </w:r>
      <w:r>
        <w:rPr>
          <w:rFonts w:hint="cs"/>
          <w:rtl/>
        </w:rPr>
        <w:t xml:space="preserve">, יש לקרוא אותה בהקשר שבו ניתנה, ובהקשר זה בלבד </w:t>
      </w:r>
      <w:r>
        <w:rPr>
          <w:rtl/>
        </w:rPr>
        <w:t>–</w:t>
      </w:r>
      <w:r>
        <w:rPr>
          <w:rFonts w:hint="cs"/>
          <w:rtl/>
        </w:rPr>
        <w:t xml:space="preserve"> פגיעה בזכות התביעה של 'תושבים מוגנים', המתגוררים בשטח המוחזק בתפיסה לוחמתית על-ידי ישראל. לעומת זאת, בנדון דידן, עסקינן בשלילת זכות התביעה של </w:t>
      </w:r>
      <w:r w:rsidRPr="00BF052A">
        <w:rPr>
          <w:rFonts w:ascii="Century" w:hAnsi="Century" w:cs="Miriam" w:hint="cs"/>
          <w:b/>
          <w:spacing w:val="0"/>
          <w:sz w:val="22"/>
          <w:szCs w:val="24"/>
          <w:rtl/>
        </w:rPr>
        <w:t>תושבי מדינת אויב או שטח אויב</w:t>
      </w:r>
      <w:r>
        <w:rPr>
          <w:rFonts w:hint="cs"/>
          <w:rtl/>
        </w:rPr>
        <w:t>; מצב דברים שונה בעליל. אין להקיש, אפוא, מהתם להכא.</w:t>
      </w:r>
    </w:p>
    <w:p w:rsidR="00D512D4" w:rsidRPr="000A6536" w:rsidRDefault="00D512D4" w:rsidP="009F054C">
      <w:pPr>
        <w:pStyle w:val="Ruller41"/>
        <w:spacing w:line="240" w:lineRule="auto"/>
      </w:pPr>
    </w:p>
    <w:p w:rsidR="00D512D4" w:rsidRDefault="00D512D4" w:rsidP="00D512D4">
      <w:pPr>
        <w:pStyle w:val="Ruller4"/>
      </w:pPr>
      <w:r>
        <w:rPr>
          <w:rFonts w:hint="cs"/>
          <w:rtl/>
        </w:rPr>
        <w:t xml:space="preserve">אם כן, משעניין </w:t>
      </w:r>
      <w:r w:rsidRPr="00855366">
        <w:rPr>
          <w:rFonts w:ascii="Century" w:hAnsi="Century" w:cs="Miriam" w:hint="eastAsia"/>
          <w:b/>
          <w:spacing w:val="0"/>
          <w:sz w:val="22"/>
          <w:szCs w:val="24"/>
          <w:rtl/>
        </w:rPr>
        <w:t>עדאלה</w:t>
      </w:r>
      <w:r w:rsidRPr="002F1373">
        <w:rPr>
          <w:rFonts w:hint="cs"/>
          <w:rtl/>
        </w:rPr>
        <w:t xml:space="preserve"> </w:t>
      </w:r>
      <w:r>
        <w:rPr>
          <w:rFonts w:hint="cs"/>
          <w:rtl/>
        </w:rPr>
        <w:t xml:space="preserve">אינו מסייע, הדרא קושיא לדוכתא: האם לחוקי היסוד תחולה אקסטרה-טריטוריאלית על תושבי רצועת עזה, ובכללם על המערער? </w:t>
      </w:r>
    </w:p>
    <w:p w:rsidR="00D512D4" w:rsidRPr="000B6AE3" w:rsidRDefault="00D512D4" w:rsidP="000B6AE3">
      <w:pPr>
        <w:pStyle w:val="Ruller4"/>
        <w:numPr>
          <w:ilvl w:val="0"/>
          <w:numId w:val="0"/>
        </w:numPr>
        <w:spacing w:line="240" w:lineRule="auto"/>
      </w:pPr>
    </w:p>
    <w:p w:rsidR="00D512D4" w:rsidRDefault="00D512D4" w:rsidP="00135867">
      <w:pPr>
        <w:pStyle w:val="Ruller4"/>
        <w:numPr>
          <w:ilvl w:val="0"/>
          <w:numId w:val="0"/>
        </w:numPr>
      </w:pPr>
      <w:r>
        <w:rPr>
          <w:rtl/>
        </w:rPr>
        <w:tab/>
      </w:r>
      <w:r>
        <w:rPr>
          <w:rFonts w:hint="cs"/>
          <w:rtl/>
        </w:rPr>
        <w:t>שאלה זו, מעולם לא הוכרעה באופן מפורש על-ידי בית משפט זה (</w:t>
      </w:r>
      <w:r w:rsidRPr="002B7504">
        <w:rPr>
          <w:rFonts w:ascii="Century" w:hAnsi="Century" w:cs="Miriam" w:hint="cs"/>
          <w:b/>
          <w:spacing w:val="0"/>
          <w:sz w:val="22"/>
          <w:szCs w:val="24"/>
          <w:rtl/>
        </w:rPr>
        <w:t>אורגד</w:t>
      </w:r>
      <w:r>
        <w:rPr>
          <w:rFonts w:hint="cs"/>
          <w:rtl/>
        </w:rPr>
        <w:t>, עמוד 165). כאמור לעיל, אף אני לא אטע מסמרות, שלא לצורך, בשאלה זו, שאינה נחוצה להכרעה בנסיבות העניין דנן; א</w:t>
      </w:r>
      <w:r w:rsidR="0014344D">
        <w:rPr>
          <w:rFonts w:hint="cs"/>
          <w:rtl/>
        </w:rPr>
        <w:t>סתפק ב</w:t>
      </w:r>
      <w:r>
        <w:rPr>
          <w:rFonts w:hint="cs"/>
          <w:rtl/>
        </w:rPr>
        <w:t xml:space="preserve">'אבני-דרך' </w:t>
      </w:r>
      <w:r w:rsidR="0014344D">
        <w:rPr>
          <w:rFonts w:hint="cs"/>
          <w:rtl/>
        </w:rPr>
        <w:t xml:space="preserve">אחדות </w:t>
      </w:r>
      <w:r>
        <w:rPr>
          <w:rFonts w:hint="cs"/>
          <w:rtl/>
        </w:rPr>
        <w:t xml:space="preserve">בסוגיה כבדת-משקל זו. </w:t>
      </w:r>
    </w:p>
    <w:p w:rsidR="00D512D4" w:rsidRDefault="00D512D4" w:rsidP="00D512D4">
      <w:pPr>
        <w:pStyle w:val="Ruller4"/>
        <w:numPr>
          <w:ilvl w:val="0"/>
          <w:numId w:val="0"/>
        </w:numPr>
        <w:rPr>
          <w:rtl/>
        </w:rPr>
      </w:pPr>
    </w:p>
    <w:p w:rsidR="00D512D4" w:rsidRDefault="00D512D4" w:rsidP="00C04DC8">
      <w:pPr>
        <w:pStyle w:val="4"/>
        <w:rPr>
          <w:rtl/>
        </w:rPr>
      </w:pPr>
      <w:bookmarkStart w:id="42" w:name="_Toc107851300"/>
      <w:bookmarkStart w:id="43" w:name="_Toc107851355"/>
      <w:r>
        <w:rPr>
          <w:rFonts w:hint="cs"/>
          <w:rtl/>
        </w:rPr>
        <w:t>ד.5.1.3. הפסיקה בשאלת</w:t>
      </w:r>
      <w:r w:rsidRPr="00293547">
        <w:rPr>
          <w:rFonts w:hint="cs"/>
          <w:rtl/>
        </w:rPr>
        <w:t xml:space="preserve"> </w:t>
      </w:r>
      <w:r>
        <w:rPr>
          <w:rFonts w:hint="cs"/>
          <w:rtl/>
        </w:rPr>
        <w:t>ה</w:t>
      </w:r>
      <w:r w:rsidRPr="00293547">
        <w:rPr>
          <w:rFonts w:hint="cs"/>
          <w:rtl/>
        </w:rPr>
        <w:t xml:space="preserve">תחולה </w:t>
      </w:r>
      <w:r>
        <w:rPr>
          <w:rFonts w:hint="cs"/>
          <w:rtl/>
        </w:rPr>
        <w:t>'הגיאוגרפית'</w:t>
      </w:r>
      <w:r w:rsidRPr="00293547">
        <w:rPr>
          <w:rFonts w:hint="cs"/>
          <w:rtl/>
        </w:rPr>
        <w:t xml:space="preserve"> של חוקי היסוד</w:t>
      </w:r>
      <w:bookmarkEnd w:id="42"/>
      <w:bookmarkEnd w:id="43"/>
    </w:p>
    <w:p w:rsidR="00D512D4" w:rsidRDefault="00D512D4" w:rsidP="002F66DA">
      <w:pPr>
        <w:pStyle w:val="Ruller4"/>
        <w:rPr>
          <w:rtl/>
        </w:rPr>
      </w:pPr>
      <w:r>
        <w:rPr>
          <w:rFonts w:hint="cs"/>
          <w:rtl/>
        </w:rPr>
        <w:t xml:space="preserve">נהרות של דיו נשפכו, קולמוסים רבים נשתברו, בשאלת התחולה של חוקי היסוד במרחב הגיאוגרפי. שופטים ומלומדים, בארץ ובעולם, מצאו בסוגיה זו בקעה להתגדר בה (ראו, על קצה המזלג, מאמרו של </w:t>
      </w:r>
      <w:r w:rsidRPr="00120E64">
        <w:rPr>
          <w:rFonts w:ascii="Century" w:hAnsi="Century" w:cs="Miriam" w:hint="cs"/>
          <w:b/>
          <w:spacing w:val="0"/>
          <w:sz w:val="22"/>
          <w:szCs w:val="24"/>
          <w:rtl/>
        </w:rPr>
        <w:t>אורגד</w:t>
      </w:r>
      <w:r w:rsidRPr="00E811DD">
        <w:rPr>
          <w:rFonts w:hint="cs"/>
          <w:rtl/>
        </w:rPr>
        <w:t xml:space="preserve"> </w:t>
      </w:r>
      <w:r>
        <w:rPr>
          <w:rFonts w:hint="cs"/>
          <w:rtl/>
        </w:rPr>
        <w:t xml:space="preserve">הנ"ל; </w:t>
      </w:r>
      <w:r w:rsidRPr="003A0D41">
        <w:rPr>
          <w:rFonts w:hint="eastAsia"/>
          <w:rtl/>
        </w:rPr>
        <w:t>יעל</w:t>
      </w:r>
      <w:r w:rsidRPr="003A0D41">
        <w:rPr>
          <w:rtl/>
        </w:rPr>
        <w:t xml:space="preserve"> </w:t>
      </w:r>
      <w:r w:rsidRPr="003A0D41">
        <w:rPr>
          <w:rFonts w:hint="eastAsia"/>
          <w:rtl/>
        </w:rPr>
        <w:t>רונן</w:t>
      </w:r>
      <w:r>
        <w:rPr>
          <w:rFonts w:hint="cs"/>
          <w:rtl/>
        </w:rPr>
        <w:t>,</w:t>
      </w:r>
      <w:r w:rsidRPr="003A0D41">
        <w:rPr>
          <w:rtl/>
        </w:rPr>
        <w:t xml:space="preserve"> "</w:t>
      </w:r>
      <w:r w:rsidRPr="003A0D41">
        <w:rPr>
          <w:rFonts w:hint="eastAsia"/>
          <w:rtl/>
        </w:rPr>
        <w:t>תחולתו</w:t>
      </w:r>
      <w:r w:rsidRPr="003A0D41">
        <w:rPr>
          <w:rtl/>
        </w:rPr>
        <w:t xml:space="preserve"> </w:t>
      </w:r>
      <w:r w:rsidRPr="003A0D41">
        <w:rPr>
          <w:rFonts w:hint="eastAsia"/>
          <w:rtl/>
        </w:rPr>
        <w:t>של</w:t>
      </w:r>
      <w:r w:rsidRPr="003A0D41">
        <w:rPr>
          <w:rtl/>
        </w:rPr>
        <w:t xml:space="preserve"> </w:t>
      </w:r>
      <w:r w:rsidRPr="003A0D41">
        <w:rPr>
          <w:rFonts w:hint="eastAsia"/>
          <w:rtl/>
        </w:rPr>
        <w:t>חוק</w:t>
      </w:r>
      <w:r w:rsidRPr="003A0D41">
        <w:rPr>
          <w:rtl/>
        </w:rPr>
        <w:t xml:space="preserve"> </w:t>
      </w:r>
      <w:r w:rsidRPr="003A0D41">
        <w:rPr>
          <w:rFonts w:hint="eastAsia"/>
          <w:rtl/>
        </w:rPr>
        <w:t>יסוד</w:t>
      </w:r>
      <w:r w:rsidRPr="003A0D41">
        <w:rPr>
          <w:rtl/>
        </w:rPr>
        <w:t xml:space="preserve">: </w:t>
      </w:r>
      <w:r w:rsidRPr="003A0D41">
        <w:rPr>
          <w:rFonts w:hint="eastAsia"/>
          <w:rtl/>
        </w:rPr>
        <w:t>כבוד</w:t>
      </w:r>
      <w:r w:rsidRPr="003A0D41">
        <w:rPr>
          <w:rtl/>
        </w:rPr>
        <w:t xml:space="preserve"> </w:t>
      </w:r>
      <w:r w:rsidRPr="003A0D41">
        <w:rPr>
          <w:rFonts w:hint="eastAsia"/>
          <w:rtl/>
        </w:rPr>
        <w:t>האדם</w:t>
      </w:r>
      <w:r w:rsidRPr="003A0D41">
        <w:rPr>
          <w:rtl/>
        </w:rPr>
        <w:t xml:space="preserve"> </w:t>
      </w:r>
      <w:r w:rsidRPr="003A0D41">
        <w:rPr>
          <w:rFonts w:hint="eastAsia"/>
          <w:rtl/>
        </w:rPr>
        <w:t>וחירותו</w:t>
      </w:r>
      <w:r w:rsidRPr="003A0D41">
        <w:rPr>
          <w:rtl/>
        </w:rPr>
        <w:t xml:space="preserve"> </w:t>
      </w:r>
      <w:r w:rsidRPr="003A0D41">
        <w:rPr>
          <w:rFonts w:hint="eastAsia"/>
          <w:rtl/>
        </w:rPr>
        <w:t>בגדה</w:t>
      </w:r>
      <w:r w:rsidRPr="003A0D41">
        <w:rPr>
          <w:rtl/>
        </w:rPr>
        <w:t xml:space="preserve"> </w:t>
      </w:r>
      <w:r w:rsidRPr="003A0D41">
        <w:rPr>
          <w:rFonts w:hint="eastAsia"/>
          <w:rtl/>
        </w:rPr>
        <w:t>המערבית</w:t>
      </w:r>
      <w:r w:rsidRPr="003A0D41">
        <w:rPr>
          <w:rtl/>
        </w:rPr>
        <w:t xml:space="preserve">" </w:t>
      </w:r>
      <w:r w:rsidRPr="00120E64">
        <w:rPr>
          <w:rFonts w:ascii="Century" w:hAnsi="Century" w:cs="Miriam" w:hint="eastAsia"/>
          <w:b/>
          <w:spacing w:val="0"/>
          <w:sz w:val="22"/>
          <w:szCs w:val="24"/>
          <w:rtl/>
        </w:rPr>
        <w:t>שערי</w:t>
      </w:r>
      <w:r w:rsidRPr="00120E64">
        <w:rPr>
          <w:rFonts w:ascii="Century" w:hAnsi="Century" w:cs="Miriam"/>
          <w:b/>
          <w:spacing w:val="0"/>
          <w:sz w:val="22"/>
          <w:szCs w:val="24"/>
          <w:rtl/>
        </w:rPr>
        <w:t xml:space="preserve"> </w:t>
      </w:r>
      <w:r w:rsidRPr="00120E64">
        <w:rPr>
          <w:rFonts w:ascii="Century" w:hAnsi="Century" w:cs="Miriam" w:hint="eastAsia"/>
          <w:b/>
          <w:spacing w:val="0"/>
          <w:sz w:val="22"/>
          <w:szCs w:val="24"/>
          <w:rtl/>
        </w:rPr>
        <w:t>משפט</w:t>
      </w:r>
      <w:r w:rsidRPr="00855366">
        <w:rPr>
          <w:rFonts w:ascii="Century" w:hAnsi="Century"/>
          <w:sz w:val="22"/>
          <w:rtl/>
        </w:rPr>
        <w:t xml:space="preserve"> </w:t>
      </w:r>
      <w:r w:rsidRPr="00855366">
        <w:rPr>
          <w:rFonts w:ascii="Century" w:hAnsi="Century" w:hint="eastAsia"/>
          <w:sz w:val="22"/>
          <w:rtl/>
        </w:rPr>
        <w:t>ז</w:t>
      </w:r>
      <w:r w:rsidRPr="00855366">
        <w:rPr>
          <w:rFonts w:ascii="Century" w:hAnsi="Century"/>
          <w:sz w:val="22"/>
          <w:rtl/>
        </w:rPr>
        <w:t xml:space="preserve"> 149</w:t>
      </w:r>
      <w:r w:rsidRPr="002F1373">
        <w:rPr>
          <w:rtl/>
        </w:rPr>
        <w:t xml:space="preserve"> </w:t>
      </w:r>
      <w:r w:rsidRPr="003A0D41">
        <w:rPr>
          <w:rtl/>
        </w:rPr>
        <w:t>(2014)</w:t>
      </w:r>
      <w:r>
        <w:rPr>
          <w:rFonts w:hint="cs"/>
          <w:rtl/>
        </w:rPr>
        <w:t xml:space="preserve"> (להלן: </w:t>
      </w:r>
      <w:r w:rsidRPr="00120E64">
        <w:rPr>
          <w:rFonts w:ascii="Century" w:hAnsi="Century" w:cs="Miriam" w:hint="cs"/>
          <w:b/>
          <w:spacing w:val="0"/>
          <w:sz w:val="22"/>
          <w:szCs w:val="24"/>
          <w:rtl/>
        </w:rPr>
        <w:t>רונן</w:t>
      </w:r>
      <w:r>
        <w:rPr>
          <w:rFonts w:hint="cs"/>
          <w:rtl/>
        </w:rPr>
        <w:t xml:space="preserve">); אייל בנבנישתי, "מדוע עקרונות כבוד האדם והדמוקרטיה שוללים את סמכות הכנסת לחוקק מעבר לגבולות המדינה </w:t>
      </w:r>
      <w:r>
        <w:rPr>
          <w:rtl/>
        </w:rPr>
        <w:t>–</w:t>
      </w:r>
      <w:r>
        <w:rPr>
          <w:rFonts w:hint="cs"/>
          <w:rtl/>
        </w:rPr>
        <w:t xml:space="preserve"> הדיון שלא התקיים בבג"ץ חוק ההסדרה", </w:t>
      </w:r>
      <w:r w:rsidRPr="00120E64">
        <w:rPr>
          <w:rFonts w:ascii="Century" w:hAnsi="Century" w:cs="Miriam" w:hint="cs"/>
          <w:b/>
          <w:spacing w:val="0"/>
          <w:sz w:val="22"/>
          <w:szCs w:val="24"/>
          <w:rtl/>
        </w:rPr>
        <w:t xml:space="preserve">פורום עיוני משפט </w:t>
      </w:r>
      <w:r w:rsidRPr="00855366">
        <w:rPr>
          <w:rFonts w:ascii="Century" w:hAnsi="Century" w:hint="eastAsia"/>
          <w:sz w:val="22"/>
          <w:rtl/>
        </w:rPr>
        <w:t>מה</w:t>
      </w:r>
      <w:r w:rsidRPr="00855366">
        <w:rPr>
          <w:rFonts w:ascii="Century" w:hAnsi="Century"/>
          <w:sz w:val="22"/>
          <w:rtl/>
        </w:rPr>
        <w:t xml:space="preserve"> (</w:t>
      </w:r>
      <w:r>
        <w:rPr>
          <w:rFonts w:hint="cs"/>
          <w:rtl/>
        </w:rPr>
        <w:t xml:space="preserve">2021), עמוד 5, ה"ש 14, והאסמכתאות הרבות שם (להלן: </w:t>
      </w:r>
      <w:r w:rsidRPr="00120E64">
        <w:rPr>
          <w:rFonts w:ascii="Century" w:hAnsi="Century" w:cs="Miriam" w:hint="cs"/>
          <w:b/>
          <w:spacing w:val="0"/>
          <w:sz w:val="22"/>
          <w:szCs w:val="24"/>
          <w:rtl/>
        </w:rPr>
        <w:t>בנבנישתי</w:t>
      </w:r>
      <w:r>
        <w:rPr>
          <w:rFonts w:hint="cs"/>
          <w:rtl/>
        </w:rPr>
        <w:t xml:space="preserve">); </w:t>
      </w:r>
      <w:r w:rsidRPr="00400A2E">
        <w:rPr>
          <w:sz w:val="22"/>
          <w:szCs w:val="22"/>
        </w:rPr>
        <w:t xml:space="preserve">Roosevelt, Kermit III, "Guantanamo and the Conflict of Laws: Rasul and Beyond" 153 U. Pa. L. Rev. 2017 (2005); </w:t>
      </w:r>
      <w:r w:rsidRPr="00400A2E">
        <w:rPr>
          <w:sz w:val="22"/>
          <w:szCs w:val="22"/>
          <w:shd w:val="clear" w:color="auto" w:fill="FFFFFF"/>
        </w:rPr>
        <w:t>Shinar, Adam, "Israel's External Constitution: Friends, Enemies, and the Constitutional/Administrative Law Distinction", 57 VA.J. INT’L L. 735 (2018)</w:t>
      </w:r>
      <w:r w:rsidRPr="00855366">
        <w:rPr>
          <w:rFonts w:hint="cs"/>
          <w:sz w:val="28"/>
          <w:rtl/>
        </w:rPr>
        <w:t>).</w:t>
      </w:r>
      <w:r>
        <w:rPr>
          <w:rFonts w:hint="cs"/>
          <w:rtl/>
        </w:rPr>
        <w:t xml:space="preserve"> נקודת המוצא לדיון בשאלת תחולתם הגיאוגרפית של חוקי המדינה, היא </w:t>
      </w:r>
      <w:r w:rsidRPr="00261EC7">
        <w:rPr>
          <w:rFonts w:ascii="Century" w:hAnsi="Century" w:cs="Miriam" w:hint="cs"/>
          <w:b/>
          <w:spacing w:val="0"/>
          <w:sz w:val="22"/>
          <w:szCs w:val="24"/>
          <w:rtl/>
        </w:rPr>
        <w:t>'חזקת הטריטוריאליות'</w:t>
      </w:r>
      <w:r>
        <w:rPr>
          <w:rFonts w:hint="cs"/>
          <w:rtl/>
        </w:rPr>
        <w:t>. על-פי חזקה זו, ובהעדר הוראה מפורשת אחרת, קובץ החקיקה הישראלי</w:t>
      </w:r>
      <w:r w:rsidR="002F66DA">
        <w:rPr>
          <w:rFonts w:hint="cs"/>
          <w:rtl/>
        </w:rPr>
        <w:t xml:space="preserve"> אינו חל אלא בתחומי מדינת ישראל;</w:t>
      </w:r>
      <w:r>
        <w:rPr>
          <w:rFonts w:hint="cs"/>
          <w:rtl/>
        </w:rPr>
        <w:t xml:space="preserve"> לא מחוצה לה. כוחה של חזקה זו, כך נפסק, יפה גם ל</w:t>
      </w:r>
      <w:r w:rsidR="002F66DA">
        <w:rPr>
          <w:rFonts w:hint="cs"/>
          <w:rtl/>
        </w:rPr>
        <w:t>גב</w:t>
      </w:r>
      <w:r>
        <w:rPr>
          <w:rFonts w:hint="cs"/>
          <w:rtl/>
        </w:rPr>
        <w:t xml:space="preserve">י תחולת חוקי היסוד (עניין </w:t>
      </w:r>
      <w:r w:rsidRPr="00120E64">
        <w:rPr>
          <w:rFonts w:ascii="Century" w:hAnsi="Century" w:cs="Miriam" w:hint="cs"/>
          <w:b/>
          <w:spacing w:val="0"/>
          <w:sz w:val="22"/>
          <w:szCs w:val="24"/>
          <w:rtl/>
        </w:rPr>
        <w:t>עדאלה</w:t>
      </w:r>
      <w:r>
        <w:rPr>
          <w:rFonts w:hint="cs"/>
          <w:rtl/>
        </w:rPr>
        <w:t xml:space="preserve">, פסקה 22; </w:t>
      </w:r>
      <w:r w:rsidRPr="00120E64">
        <w:rPr>
          <w:rFonts w:ascii="Century" w:hAnsi="Century" w:cs="Miriam" w:hint="cs"/>
          <w:b/>
          <w:spacing w:val="0"/>
          <w:sz w:val="22"/>
          <w:szCs w:val="24"/>
          <w:rtl/>
        </w:rPr>
        <w:t>אורגד</w:t>
      </w:r>
      <w:r>
        <w:rPr>
          <w:rFonts w:hint="cs"/>
          <w:rtl/>
        </w:rPr>
        <w:t xml:space="preserve">, עמוד 165). חזקה זו נוגעת </w:t>
      </w:r>
      <w:r w:rsidRPr="00120E64">
        <w:rPr>
          <w:rFonts w:ascii="Century" w:hAnsi="Century" w:cs="Miriam" w:hint="cs"/>
          <w:b/>
          <w:spacing w:val="0"/>
          <w:sz w:val="22"/>
          <w:szCs w:val="24"/>
          <w:rtl/>
        </w:rPr>
        <w:t xml:space="preserve">"הן בשיקולים של שלטון החוק </w:t>
      </w:r>
      <w:r w:rsidRPr="00855366">
        <w:rPr>
          <w:rFonts w:ascii="Century" w:hAnsi="Century"/>
          <w:sz w:val="22"/>
          <w:rtl/>
        </w:rPr>
        <w:t>–</w:t>
      </w:r>
      <w:r w:rsidRPr="00120E64">
        <w:rPr>
          <w:rFonts w:ascii="Century" w:hAnsi="Century" w:cs="Miriam" w:hint="cs"/>
          <w:b/>
          <w:spacing w:val="0"/>
          <w:sz w:val="22"/>
          <w:szCs w:val="24"/>
          <w:rtl/>
        </w:rPr>
        <w:t xml:space="preserve"> הריבונות הישראלית חלה על ישראל, ואין זה ראוי למחוקק הישראלי לחוקק חוקים אשר יחולו בתחומו של מחוקק זר </w:t>
      </w:r>
      <w:r w:rsidRPr="00855366">
        <w:rPr>
          <w:rFonts w:ascii="Century" w:hAnsi="Century"/>
          <w:sz w:val="22"/>
          <w:rtl/>
        </w:rPr>
        <w:t>–</w:t>
      </w:r>
      <w:r w:rsidRPr="00120E64">
        <w:rPr>
          <w:rFonts w:ascii="Century" w:hAnsi="Century" w:cs="Miriam" w:hint="cs"/>
          <w:b/>
          <w:spacing w:val="0"/>
          <w:sz w:val="22"/>
          <w:szCs w:val="24"/>
          <w:rtl/>
        </w:rPr>
        <w:t xml:space="preserve"> והן בשיקולים של יחסים תקינים בין מדינות. בחיים בצוותא בין מדינות בנות-תרבות ראוי </w:t>
      </w:r>
      <w:r w:rsidRPr="00120E64">
        <w:rPr>
          <w:rFonts w:ascii="Century" w:hAnsi="Century" w:cs="Miriam" w:hint="cs"/>
          <w:b/>
          <w:spacing w:val="0"/>
          <w:sz w:val="22"/>
          <w:szCs w:val="24"/>
          <w:rtl/>
        </w:rPr>
        <w:lastRenderedPageBreak/>
        <w:t>שכל מדינה תיתן לחוקיה תחולה מקומית בלבד"</w:t>
      </w:r>
      <w:r>
        <w:rPr>
          <w:rFonts w:hint="cs"/>
          <w:rtl/>
        </w:rPr>
        <w:t xml:space="preserve"> (אהרון ברק, </w:t>
      </w:r>
      <w:r w:rsidRPr="00120E64">
        <w:rPr>
          <w:rFonts w:ascii="Century" w:hAnsi="Century" w:cs="Miriam" w:hint="cs"/>
          <w:b/>
          <w:spacing w:val="0"/>
          <w:sz w:val="22"/>
          <w:szCs w:val="24"/>
          <w:rtl/>
        </w:rPr>
        <w:t xml:space="preserve">כבוד האדם </w:t>
      </w:r>
      <w:r w:rsidRPr="00855366">
        <w:rPr>
          <w:rFonts w:ascii="Century" w:hAnsi="Century"/>
          <w:sz w:val="22"/>
          <w:rtl/>
        </w:rPr>
        <w:t>–</w:t>
      </w:r>
      <w:r w:rsidRPr="00120E64">
        <w:rPr>
          <w:rFonts w:ascii="Century" w:hAnsi="Century" w:cs="Miriam" w:hint="cs"/>
          <w:b/>
          <w:spacing w:val="0"/>
          <w:sz w:val="22"/>
          <w:szCs w:val="24"/>
          <w:rtl/>
        </w:rPr>
        <w:t xml:space="preserve"> הזכות החוקתית ובנותיה</w:t>
      </w:r>
      <w:r>
        <w:rPr>
          <w:rFonts w:hint="cs"/>
          <w:rtl/>
        </w:rPr>
        <w:t xml:space="preserve">, 401 (2014) </w:t>
      </w:r>
      <w:r w:rsidRPr="00D26974">
        <w:rPr>
          <w:rFonts w:hint="cs"/>
          <w:rtl/>
        </w:rPr>
        <w:t xml:space="preserve">(להלן: </w:t>
      </w:r>
      <w:r w:rsidRPr="00D26974">
        <w:rPr>
          <w:rFonts w:ascii="Century" w:hAnsi="Century" w:cs="Miriam" w:hint="cs"/>
          <w:b/>
          <w:spacing w:val="0"/>
          <w:sz w:val="22"/>
          <w:szCs w:val="24"/>
          <w:rtl/>
        </w:rPr>
        <w:t xml:space="preserve">ברק </w:t>
      </w:r>
      <w:r w:rsidRPr="00D26974">
        <w:rPr>
          <w:rFonts w:ascii="Century" w:hAnsi="Century"/>
          <w:sz w:val="22"/>
          <w:rtl/>
        </w:rPr>
        <w:t>–</w:t>
      </w:r>
      <w:r w:rsidRPr="00D26974">
        <w:rPr>
          <w:rFonts w:ascii="Century" w:hAnsi="Century" w:cs="Miriam" w:hint="cs"/>
          <w:b/>
          <w:spacing w:val="0"/>
          <w:sz w:val="22"/>
          <w:szCs w:val="24"/>
          <w:rtl/>
        </w:rPr>
        <w:t xml:space="preserve"> הזכות החוקתית ובנותיה</w:t>
      </w:r>
      <w:r w:rsidRPr="00D26974">
        <w:rPr>
          <w:rFonts w:hint="cs"/>
          <w:rtl/>
        </w:rPr>
        <w:t>)</w:t>
      </w:r>
      <w:r>
        <w:rPr>
          <w:rFonts w:hint="cs"/>
          <w:rtl/>
        </w:rPr>
        <w:t xml:space="preserve">; ראו גם: </w:t>
      </w:r>
      <w:r w:rsidRPr="00120E64">
        <w:rPr>
          <w:rFonts w:ascii="Century" w:hAnsi="Century" w:cs="Miriam" w:hint="cs"/>
          <w:b/>
          <w:spacing w:val="0"/>
          <w:sz w:val="22"/>
          <w:szCs w:val="24"/>
          <w:rtl/>
        </w:rPr>
        <w:t>ברק</w:t>
      </w:r>
      <w:r>
        <w:rPr>
          <w:rFonts w:ascii="Century" w:hAnsi="Century" w:cs="Miriam" w:hint="cs"/>
          <w:b/>
          <w:spacing w:val="0"/>
          <w:sz w:val="22"/>
          <w:szCs w:val="24"/>
          <w:rtl/>
        </w:rPr>
        <w:t xml:space="preserve"> </w:t>
      </w:r>
      <w:r w:rsidRPr="00855366">
        <w:rPr>
          <w:rFonts w:ascii="Century" w:hAnsi="Century"/>
          <w:sz w:val="22"/>
          <w:rtl/>
        </w:rPr>
        <w:t>–</w:t>
      </w:r>
      <w:r>
        <w:rPr>
          <w:rFonts w:ascii="Century" w:hAnsi="Century" w:cs="Miriam" w:hint="cs"/>
          <w:b/>
          <w:spacing w:val="0"/>
          <w:sz w:val="22"/>
          <w:szCs w:val="24"/>
          <w:rtl/>
        </w:rPr>
        <w:t xml:space="preserve"> </w:t>
      </w:r>
      <w:r w:rsidRPr="00120E64">
        <w:rPr>
          <w:rFonts w:ascii="Century" w:hAnsi="Century" w:cs="Miriam" w:hint="cs"/>
          <w:b/>
          <w:spacing w:val="0"/>
          <w:sz w:val="22"/>
          <w:szCs w:val="24"/>
          <w:rtl/>
        </w:rPr>
        <w:t>פרשנות חוקתית</w:t>
      </w:r>
      <w:r>
        <w:rPr>
          <w:rFonts w:hint="cs"/>
          <w:rtl/>
        </w:rPr>
        <w:t xml:space="preserve">, עמוד 461-460). עיקרון הטריטוריאליות עשוי להשתמע גם מסעיף 1 לחוק היסוד, המדבר על </w:t>
      </w:r>
      <w:r w:rsidRPr="00120E64">
        <w:rPr>
          <w:rFonts w:ascii="Century" w:hAnsi="Century" w:cs="Miriam" w:hint="cs"/>
          <w:b/>
          <w:spacing w:val="0"/>
          <w:sz w:val="22"/>
          <w:szCs w:val="24"/>
          <w:rtl/>
        </w:rPr>
        <w:t xml:space="preserve">"זכויות היסוד של האדם </w:t>
      </w:r>
      <w:r w:rsidRPr="00120E64">
        <w:rPr>
          <w:rFonts w:ascii="Century" w:hAnsi="Century" w:cs="Miriam" w:hint="cs"/>
          <w:b/>
          <w:spacing w:val="0"/>
          <w:sz w:val="22"/>
          <w:szCs w:val="24"/>
          <w:u w:val="single"/>
          <w:rtl/>
        </w:rPr>
        <w:t>בישראל</w:t>
      </w:r>
      <w:r w:rsidRPr="00120E64">
        <w:rPr>
          <w:rFonts w:ascii="Century" w:hAnsi="Century" w:cs="Miriam" w:hint="cs"/>
          <w:b/>
          <w:spacing w:val="0"/>
          <w:sz w:val="22"/>
          <w:szCs w:val="24"/>
          <w:rtl/>
        </w:rPr>
        <w:t>"</w:t>
      </w:r>
      <w:r>
        <w:rPr>
          <w:rFonts w:hint="cs"/>
          <w:rtl/>
        </w:rPr>
        <w:t xml:space="preserve"> (ההדגשה הוספה </w:t>
      </w:r>
      <w:r>
        <w:rPr>
          <w:rtl/>
        </w:rPr>
        <w:t>–</w:t>
      </w:r>
      <w:r>
        <w:rPr>
          <w:rFonts w:hint="cs"/>
          <w:rtl/>
        </w:rPr>
        <w:t xml:space="preserve"> נ' ס'); משמע, כי מצודתו של חוק היסוד פרושה </w:t>
      </w:r>
      <w:r w:rsidR="002F66DA">
        <w:rPr>
          <w:rFonts w:hint="cs"/>
          <w:rtl/>
        </w:rPr>
        <w:t>ע</w:t>
      </w:r>
      <w:r>
        <w:rPr>
          <w:rFonts w:hint="cs"/>
          <w:rtl/>
        </w:rPr>
        <w:t>ל</w:t>
      </w:r>
      <w:r w:rsidR="002F66DA">
        <w:rPr>
          <w:rFonts w:hint="cs"/>
          <w:rtl/>
        </w:rPr>
        <w:t xml:space="preserve"> </w:t>
      </w:r>
      <w:r>
        <w:rPr>
          <w:rFonts w:hint="cs"/>
          <w:rtl/>
        </w:rPr>
        <w:t xml:space="preserve">תחומי מדינת ישראל בלבד. דומה כי גם במשפט העמים, נקודת המוצא היא תחולה חוקתית טריטוריאלית (להרחבה בעניין זה, ראו: </w:t>
      </w:r>
      <w:r w:rsidRPr="00120E64">
        <w:rPr>
          <w:rFonts w:ascii="Century" w:hAnsi="Century" w:cs="Miriam" w:hint="cs"/>
          <w:b/>
          <w:spacing w:val="0"/>
          <w:sz w:val="22"/>
          <w:szCs w:val="24"/>
          <w:rtl/>
        </w:rPr>
        <w:t>אורגד</w:t>
      </w:r>
      <w:r>
        <w:rPr>
          <w:rFonts w:hint="cs"/>
          <w:rtl/>
        </w:rPr>
        <w:t>, עמודים</w:t>
      </w:r>
      <w:r w:rsidR="00167470">
        <w:rPr>
          <w:rFonts w:hint="cs"/>
          <w:rtl/>
        </w:rPr>
        <w:t xml:space="preserve"> </w:t>
      </w:r>
      <w:r>
        <w:rPr>
          <w:rFonts w:hint="cs"/>
          <w:rtl/>
        </w:rPr>
        <w:t>157-149).</w:t>
      </w:r>
      <w:r>
        <w:t xml:space="preserve"> </w:t>
      </w:r>
      <w:r>
        <w:rPr>
          <w:rFonts w:hint="cs"/>
          <w:rtl/>
        </w:rPr>
        <w:t xml:space="preserve">לצד האמור, חזקת הטריטוריאליות אינה מוחלטת, והיא ניתנת לסתירה. כפי שכבר נרמז, במהלך השנים סטה בית המשפט </w:t>
      </w:r>
      <w:r w:rsidR="0045571B">
        <w:rPr>
          <w:rFonts w:hint="cs"/>
          <w:rtl/>
        </w:rPr>
        <w:t>מחזקה זו, בכל הנוגע לתחולת חוקי-</w:t>
      </w:r>
      <w:r>
        <w:rPr>
          <w:rFonts w:hint="cs"/>
          <w:rtl/>
        </w:rPr>
        <w:t xml:space="preserve">היסוד. על כך להלן. </w:t>
      </w:r>
    </w:p>
    <w:p w:rsidR="00D512D4" w:rsidRPr="00120E64" w:rsidRDefault="00D512D4" w:rsidP="00944FC1">
      <w:pPr>
        <w:pStyle w:val="Ruller41"/>
        <w:spacing w:line="240" w:lineRule="auto"/>
      </w:pPr>
    </w:p>
    <w:p w:rsidR="00D512D4" w:rsidRDefault="00D512D4" w:rsidP="00154174">
      <w:pPr>
        <w:pStyle w:val="Ruller4"/>
        <w:rPr>
          <w:rtl/>
        </w:rPr>
      </w:pPr>
      <w:r>
        <w:rPr>
          <w:rFonts w:hint="cs"/>
          <w:rtl/>
        </w:rPr>
        <w:t xml:space="preserve">חריג מוכר לחזקת הטריטוריאליות, חל בעניינם של </w:t>
      </w:r>
      <w:r w:rsidRPr="00120E64">
        <w:rPr>
          <w:rFonts w:ascii="Century" w:hAnsi="Century" w:cs="Miriam" w:hint="cs"/>
          <w:b/>
          <w:spacing w:val="0"/>
          <w:sz w:val="22"/>
          <w:szCs w:val="24"/>
          <w:rtl/>
        </w:rPr>
        <w:t>התושבים הישראלים</w:t>
      </w:r>
      <w:r w:rsidRPr="007E6B98">
        <w:rPr>
          <w:rFonts w:hint="cs"/>
          <w:rtl/>
        </w:rPr>
        <w:t xml:space="preserve"> </w:t>
      </w:r>
      <w:r>
        <w:rPr>
          <w:rFonts w:hint="cs"/>
          <w:rtl/>
        </w:rPr>
        <w:t xml:space="preserve">המתגוררים ביהודה, שומרון, ובעבר גם בחבל עזה. חריג זה הוחל תחילה ביחס לחקיקה 'רגילה', במה שזכה בעבר לכינוי 'משפט המובלעות' (ראו, למשל, לגבי החלת הדין הנזיקי הישראלי על תושבים ישראלים: </w:t>
      </w:r>
      <w:r w:rsidRPr="00FE60EE">
        <w:rPr>
          <w:rFonts w:hint="eastAsia"/>
          <w:rtl/>
        </w:rPr>
        <w:t>ע</w:t>
      </w:r>
      <w:r w:rsidRPr="00FE60EE">
        <w:rPr>
          <w:rtl/>
        </w:rPr>
        <w:t>"</w:t>
      </w:r>
      <w:r w:rsidRPr="00FE60EE">
        <w:rPr>
          <w:rFonts w:hint="eastAsia"/>
          <w:rtl/>
        </w:rPr>
        <w:t>א</w:t>
      </w:r>
      <w:r w:rsidRPr="00FE60EE">
        <w:rPr>
          <w:rtl/>
        </w:rPr>
        <w:t xml:space="preserve"> 1432/03 </w:t>
      </w:r>
      <w:r w:rsidRPr="00120E64">
        <w:rPr>
          <w:rFonts w:ascii="Century" w:hAnsi="Century" w:cs="Miriam" w:hint="eastAsia"/>
          <w:b/>
          <w:spacing w:val="0"/>
          <w:sz w:val="22"/>
          <w:szCs w:val="24"/>
          <w:rtl/>
        </w:rPr>
        <w:t>ינון</w:t>
      </w:r>
      <w:r w:rsidRPr="00120E64">
        <w:rPr>
          <w:rFonts w:ascii="Century" w:hAnsi="Century" w:cs="Miriam"/>
          <w:b/>
          <w:spacing w:val="0"/>
          <w:sz w:val="22"/>
          <w:szCs w:val="24"/>
          <w:rtl/>
        </w:rPr>
        <w:t xml:space="preserve"> </w:t>
      </w:r>
      <w:r w:rsidRPr="00120E64">
        <w:rPr>
          <w:rFonts w:ascii="Century" w:hAnsi="Century" w:cs="Miriam" w:hint="eastAsia"/>
          <w:b/>
          <w:spacing w:val="0"/>
          <w:sz w:val="22"/>
          <w:szCs w:val="24"/>
          <w:rtl/>
        </w:rPr>
        <w:t>ייצור</w:t>
      </w:r>
      <w:r w:rsidRPr="00120E64">
        <w:rPr>
          <w:rFonts w:ascii="Century" w:hAnsi="Century" w:cs="Miriam"/>
          <w:b/>
          <w:spacing w:val="0"/>
          <w:sz w:val="22"/>
          <w:szCs w:val="24"/>
          <w:rtl/>
        </w:rPr>
        <w:t xml:space="preserve"> </w:t>
      </w:r>
      <w:r w:rsidRPr="00120E64">
        <w:rPr>
          <w:rFonts w:ascii="Century" w:hAnsi="Century" w:cs="Miriam" w:hint="eastAsia"/>
          <w:b/>
          <w:spacing w:val="0"/>
          <w:sz w:val="22"/>
          <w:szCs w:val="24"/>
          <w:rtl/>
        </w:rPr>
        <w:t>ושיווק</w:t>
      </w:r>
      <w:r w:rsidRPr="00120E64">
        <w:rPr>
          <w:rFonts w:ascii="Century" w:hAnsi="Century" w:cs="Miriam"/>
          <w:b/>
          <w:spacing w:val="0"/>
          <w:sz w:val="22"/>
          <w:szCs w:val="24"/>
          <w:rtl/>
        </w:rPr>
        <w:t xml:space="preserve"> </w:t>
      </w:r>
      <w:r w:rsidRPr="00120E64">
        <w:rPr>
          <w:rFonts w:ascii="Century" w:hAnsi="Century" w:cs="Miriam" w:hint="eastAsia"/>
          <w:b/>
          <w:spacing w:val="0"/>
          <w:sz w:val="22"/>
          <w:szCs w:val="24"/>
          <w:rtl/>
        </w:rPr>
        <w:t>מוצרי</w:t>
      </w:r>
      <w:r w:rsidRPr="00120E64">
        <w:rPr>
          <w:rFonts w:ascii="Century" w:hAnsi="Century" w:cs="Miriam"/>
          <w:b/>
          <w:spacing w:val="0"/>
          <w:sz w:val="22"/>
          <w:szCs w:val="24"/>
          <w:rtl/>
        </w:rPr>
        <w:t xml:space="preserve"> </w:t>
      </w:r>
      <w:r w:rsidRPr="00120E64">
        <w:rPr>
          <w:rFonts w:ascii="Century" w:hAnsi="Century" w:cs="Miriam" w:hint="eastAsia"/>
          <w:b/>
          <w:spacing w:val="0"/>
          <w:sz w:val="22"/>
          <w:szCs w:val="24"/>
          <w:rtl/>
        </w:rPr>
        <w:t>מזון</w:t>
      </w:r>
      <w:r w:rsidRPr="00120E64">
        <w:rPr>
          <w:rFonts w:ascii="Century" w:hAnsi="Century" w:cs="Miriam"/>
          <w:b/>
          <w:spacing w:val="0"/>
          <w:sz w:val="22"/>
          <w:szCs w:val="24"/>
          <w:rtl/>
        </w:rPr>
        <w:t xml:space="preserve"> </w:t>
      </w:r>
      <w:r w:rsidRPr="00120E64">
        <w:rPr>
          <w:rFonts w:ascii="Century" w:hAnsi="Century" w:cs="Miriam" w:hint="eastAsia"/>
          <w:b/>
          <w:spacing w:val="0"/>
          <w:sz w:val="22"/>
          <w:szCs w:val="24"/>
          <w:rtl/>
        </w:rPr>
        <w:t>בע</w:t>
      </w:r>
      <w:r w:rsidRPr="00120E64">
        <w:rPr>
          <w:rFonts w:ascii="Century" w:hAnsi="Century" w:cs="Miriam"/>
          <w:b/>
          <w:spacing w:val="0"/>
          <w:sz w:val="22"/>
          <w:szCs w:val="24"/>
          <w:rtl/>
        </w:rPr>
        <w:t>"</w:t>
      </w:r>
      <w:r w:rsidRPr="00120E64">
        <w:rPr>
          <w:rFonts w:ascii="Century" w:hAnsi="Century" w:cs="Miriam" w:hint="eastAsia"/>
          <w:b/>
          <w:spacing w:val="0"/>
          <w:sz w:val="22"/>
          <w:szCs w:val="24"/>
          <w:rtl/>
        </w:rPr>
        <w:t>מ</w:t>
      </w:r>
      <w:r w:rsidRPr="00120E64">
        <w:rPr>
          <w:rFonts w:ascii="Century" w:hAnsi="Century" w:cs="Miriam"/>
          <w:b/>
          <w:spacing w:val="0"/>
          <w:sz w:val="22"/>
          <w:szCs w:val="24"/>
          <w:rtl/>
        </w:rPr>
        <w:t xml:space="preserve"> </w:t>
      </w:r>
      <w:r w:rsidRPr="00120E64">
        <w:rPr>
          <w:rFonts w:ascii="Century" w:hAnsi="Century" w:cs="Miriam" w:hint="eastAsia"/>
          <w:b/>
          <w:spacing w:val="0"/>
          <w:sz w:val="22"/>
          <w:szCs w:val="24"/>
          <w:rtl/>
        </w:rPr>
        <w:t>נ</w:t>
      </w:r>
      <w:r w:rsidRPr="00120E64">
        <w:rPr>
          <w:rFonts w:ascii="Century" w:hAnsi="Century" w:cs="Miriam"/>
          <w:b/>
          <w:spacing w:val="0"/>
          <w:sz w:val="22"/>
          <w:szCs w:val="24"/>
          <w:rtl/>
        </w:rPr>
        <w:t xml:space="preserve">' </w:t>
      </w:r>
      <w:r w:rsidRPr="00120E64">
        <w:rPr>
          <w:rFonts w:ascii="Century" w:hAnsi="Century" w:cs="Miriam" w:hint="eastAsia"/>
          <w:b/>
          <w:spacing w:val="0"/>
          <w:sz w:val="22"/>
          <w:szCs w:val="24"/>
          <w:rtl/>
        </w:rPr>
        <w:t>קרעאן</w:t>
      </w:r>
      <w:r>
        <w:rPr>
          <w:rFonts w:hint="cs"/>
          <w:rtl/>
        </w:rPr>
        <w:t>,</w:t>
      </w:r>
      <w:r w:rsidRPr="00FE60EE">
        <w:rPr>
          <w:rtl/>
        </w:rPr>
        <w:t xml:space="preserve"> </w:t>
      </w:r>
      <w:r w:rsidRPr="00120E64">
        <w:rPr>
          <w:rFonts w:ascii="Century" w:hAnsi="Century" w:hint="eastAsia"/>
          <w:sz w:val="22"/>
          <w:rtl/>
        </w:rPr>
        <w:t>פ</w:t>
      </w:r>
      <w:r w:rsidRPr="00120E64">
        <w:rPr>
          <w:rFonts w:ascii="Century" w:hAnsi="Century"/>
          <w:sz w:val="22"/>
          <w:rtl/>
        </w:rPr>
        <w:t>"</w:t>
      </w:r>
      <w:r w:rsidRPr="00120E64">
        <w:rPr>
          <w:rFonts w:ascii="Century" w:hAnsi="Century" w:hint="eastAsia"/>
          <w:sz w:val="22"/>
          <w:rtl/>
        </w:rPr>
        <w:t>ד</w:t>
      </w:r>
      <w:r w:rsidRPr="00120E64">
        <w:rPr>
          <w:rFonts w:ascii="Century" w:hAnsi="Century"/>
          <w:sz w:val="22"/>
          <w:rtl/>
        </w:rPr>
        <w:t xml:space="preserve"> </w:t>
      </w:r>
      <w:r w:rsidRPr="00120E64">
        <w:rPr>
          <w:rFonts w:ascii="Century" w:hAnsi="Century" w:hint="eastAsia"/>
          <w:sz w:val="22"/>
          <w:rtl/>
        </w:rPr>
        <w:t>נט</w:t>
      </w:r>
      <w:r w:rsidRPr="00120E64">
        <w:rPr>
          <w:rFonts w:ascii="Century" w:hAnsi="Century"/>
          <w:sz w:val="22"/>
          <w:rtl/>
        </w:rPr>
        <w:t>(1) 345, 356 (2004)</w:t>
      </w:r>
      <w:r>
        <w:rPr>
          <w:rFonts w:ascii="Century" w:hAnsi="Century" w:hint="cs"/>
          <w:sz w:val="22"/>
          <w:rtl/>
        </w:rPr>
        <w:t>;</w:t>
      </w:r>
      <w:r>
        <w:rPr>
          <w:rFonts w:hint="cs"/>
          <w:rtl/>
        </w:rPr>
        <w:t xml:space="preserve"> כן ראו:</w:t>
      </w:r>
      <w:r w:rsidRPr="00B6322B">
        <w:rPr>
          <w:rFonts w:hint="eastAsia"/>
          <w:rtl/>
        </w:rPr>
        <w:t xml:space="preserve"> אמנון</w:t>
      </w:r>
      <w:r w:rsidRPr="00B6322B">
        <w:rPr>
          <w:rtl/>
        </w:rPr>
        <w:t xml:space="preserve"> </w:t>
      </w:r>
      <w:r w:rsidRPr="00B6322B">
        <w:rPr>
          <w:rFonts w:hint="eastAsia"/>
          <w:rtl/>
        </w:rPr>
        <w:t>רובינשטיין</w:t>
      </w:r>
      <w:r w:rsidRPr="00B6322B">
        <w:rPr>
          <w:rtl/>
        </w:rPr>
        <w:t xml:space="preserve"> "</w:t>
      </w:r>
      <w:r w:rsidRPr="00B6322B">
        <w:rPr>
          <w:rFonts w:hint="eastAsia"/>
          <w:rtl/>
        </w:rPr>
        <w:t>מעמדם</w:t>
      </w:r>
      <w:r w:rsidRPr="00B6322B">
        <w:rPr>
          <w:rtl/>
        </w:rPr>
        <w:t xml:space="preserve"> </w:t>
      </w:r>
      <w:r w:rsidRPr="00B6322B">
        <w:rPr>
          <w:rFonts w:hint="eastAsia"/>
          <w:rtl/>
        </w:rPr>
        <w:t>המשתנה</w:t>
      </w:r>
      <w:r w:rsidRPr="00B6322B">
        <w:rPr>
          <w:rtl/>
        </w:rPr>
        <w:t xml:space="preserve"> </w:t>
      </w:r>
      <w:r w:rsidRPr="00B6322B">
        <w:rPr>
          <w:rFonts w:hint="eastAsia"/>
          <w:rtl/>
        </w:rPr>
        <w:t>של</w:t>
      </w:r>
      <w:r w:rsidRPr="00B6322B">
        <w:rPr>
          <w:rtl/>
        </w:rPr>
        <w:t xml:space="preserve"> </w:t>
      </w:r>
      <w:r w:rsidRPr="00B6322B">
        <w:rPr>
          <w:rFonts w:hint="eastAsia"/>
          <w:rtl/>
        </w:rPr>
        <w:t>ה</w:t>
      </w:r>
      <w:r w:rsidRPr="00B6322B">
        <w:rPr>
          <w:rtl/>
        </w:rPr>
        <w:t>'</w:t>
      </w:r>
      <w:r w:rsidRPr="00B6322B">
        <w:rPr>
          <w:rFonts w:hint="eastAsia"/>
          <w:rtl/>
        </w:rPr>
        <w:t>שטחים</w:t>
      </w:r>
      <w:r w:rsidRPr="00B6322B">
        <w:rPr>
          <w:rtl/>
        </w:rPr>
        <w:t xml:space="preserve">' – </w:t>
      </w:r>
      <w:r w:rsidRPr="00B6322B">
        <w:rPr>
          <w:rFonts w:hint="eastAsia"/>
          <w:rtl/>
        </w:rPr>
        <w:t>מפקדון</w:t>
      </w:r>
      <w:r w:rsidRPr="00B6322B">
        <w:rPr>
          <w:rtl/>
        </w:rPr>
        <w:t xml:space="preserve"> </w:t>
      </w:r>
      <w:r w:rsidRPr="00B6322B">
        <w:rPr>
          <w:rFonts w:hint="eastAsia"/>
          <w:rtl/>
        </w:rPr>
        <w:t>מוחזק</w:t>
      </w:r>
      <w:r w:rsidRPr="00B6322B">
        <w:rPr>
          <w:rtl/>
        </w:rPr>
        <w:t xml:space="preserve"> </w:t>
      </w:r>
      <w:r w:rsidRPr="00B6322B">
        <w:rPr>
          <w:rFonts w:hint="eastAsia"/>
          <w:rtl/>
        </w:rPr>
        <w:t>לייצור</w:t>
      </w:r>
      <w:r w:rsidRPr="00B6322B">
        <w:rPr>
          <w:rtl/>
        </w:rPr>
        <w:t xml:space="preserve"> </w:t>
      </w:r>
      <w:r w:rsidRPr="00B6322B">
        <w:rPr>
          <w:rFonts w:hint="eastAsia"/>
          <w:rtl/>
        </w:rPr>
        <w:t>כלאיים</w:t>
      </w:r>
      <w:r w:rsidRPr="00B6322B">
        <w:rPr>
          <w:rtl/>
        </w:rPr>
        <w:t xml:space="preserve"> </w:t>
      </w:r>
      <w:r w:rsidRPr="00B6322B">
        <w:rPr>
          <w:rFonts w:hint="eastAsia"/>
          <w:rtl/>
        </w:rPr>
        <w:t>משפטי</w:t>
      </w:r>
      <w:r w:rsidRPr="00B6322B">
        <w:rPr>
          <w:rtl/>
        </w:rPr>
        <w:t>"</w:t>
      </w:r>
      <w:r>
        <w:rPr>
          <w:rFonts w:hint="cs"/>
          <w:rtl/>
        </w:rPr>
        <w:t>,</w:t>
      </w:r>
      <w:r w:rsidRPr="00B6322B">
        <w:rPr>
          <w:rtl/>
        </w:rPr>
        <w:t xml:space="preserve"> </w:t>
      </w:r>
      <w:r w:rsidRPr="00CD67A0">
        <w:rPr>
          <w:rFonts w:ascii="Century" w:hAnsi="Century" w:cs="Miriam" w:hint="eastAsia"/>
          <w:b/>
          <w:spacing w:val="0"/>
          <w:sz w:val="22"/>
          <w:szCs w:val="24"/>
          <w:rtl/>
        </w:rPr>
        <w:t>עיוני</w:t>
      </w:r>
      <w:r w:rsidRPr="00CD67A0">
        <w:rPr>
          <w:rFonts w:ascii="Century" w:hAnsi="Century" w:cs="Miriam"/>
          <w:b/>
          <w:spacing w:val="0"/>
          <w:sz w:val="22"/>
          <w:szCs w:val="24"/>
          <w:rtl/>
        </w:rPr>
        <w:t xml:space="preserve"> </w:t>
      </w:r>
      <w:r w:rsidRPr="00CD67A0">
        <w:rPr>
          <w:rFonts w:ascii="Century" w:hAnsi="Century" w:cs="Miriam" w:hint="eastAsia"/>
          <w:b/>
          <w:spacing w:val="0"/>
          <w:sz w:val="22"/>
          <w:szCs w:val="24"/>
          <w:rtl/>
        </w:rPr>
        <w:t>משפט</w:t>
      </w:r>
      <w:r w:rsidRPr="00B6322B">
        <w:rPr>
          <w:rtl/>
        </w:rPr>
        <w:t xml:space="preserve"> </w:t>
      </w:r>
      <w:r w:rsidRPr="00B6322B">
        <w:rPr>
          <w:rFonts w:hint="eastAsia"/>
          <w:rtl/>
        </w:rPr>
        <w:t>יא</w:t>
      </w:r>
      <w:r w:rsidRPr="00B6322B">
        <w:rPr>
          <w:rtl/>
        </w:rPr>
        <w:t xml:space="preserve"> 439, 450 (1987)</w:t>
      </w:r>
      <w:r w:rsidRPr="00120E64">
        <w:rPr>
          <w:rFonts w:ascii="Century" w:hAnsi="Century" w:hint="cs"/>
          <w:sz w:val="22"/>
          <w:rtl/>
        </w:rPr>
        <w:t>), ומאוחר יות</w:t>
      </w:r>
      <w:r>
        <w:rPr>
          <w:rFonts w:hint="cs"/>
          <w:rtl/>
        </w:rPr>
        <w:t xml:space="preserve">ר, בעניין </w:t>
      </w:r>
      <w:r w:rsidRPr="00120E64">
        <w:rPr>
          <w:rFonts w:ascii="Century" w:hAnsi="Century" w:cs="Miriam" w:hint="cs"/>
          <w:b/>
          <w:spacing w:val="0"/>
          <w:sz w:val="22"/>
          <w:szCs w:val="24"/>
          <w:rtl/>
        </w:rPr>
        <w:t>חוף עזה</w:t>
      </w:r>
      <w:r w:rsidR="00D81F98">
        <w:rPr>
          <w:rFonts w:hint="cs"/>
          <w:rtl/>
        </w:rPr>
        <w:t>, גם ביחס להחלת חוקי-</w:t>
      </w:r>
      <w:r>
        <w:rPr>
          <w:rFonts w:hint="cs"/>
          <w:rtl/>
        </w:rPr>
        <w:t xml:space="preserve">היסוד. בעניין </w:t>
      </w:r>
      <w:r w:rsidRPr="00120E64">
        <w:rPr>
          <w:rFonts w:ascii="Century" w:hAnsi="Century" w:cs="Miriam" w:hint="cs"/>
          <w:b/>
          <w:spacing w:val="0"/>
          <w:sz w:val="22"/>
          <w:szCs w:val="24"/>
          <w:rtl/>
        </w:rPr>
        <w:t>חוף עזה</w:t>
      </w:r>
      <w:r>
        <w:rPr>
          <w:rFonts w:hint="cs"/>
          <w:rtl/>
        </w:rPr>
        <w:t xml:space="preserve"> </w:t>
      </w:r>
      <w:r>
        <w:rPr>
          <w:rtl/>
        </w:rPr>
        <w:t>–</w:t>
      </w:r>
      <w:r>
        <w:rPr>
          <w:rFonts w:hint="cs"/>
          <w:rtl/>
        </w:rPr>
        <w:t xml:space="preserve"> שם נדונה חוקתיות חוק ישום תכנית ההתנתקות, התשס"ה-2005 </w:t>
      </w:r>
      <w:r>
        <w:rPr>
          <w:rtl/>
        </w:rPr>
        <w:t>–</w:t>
      </w:r>
      <w:r>
        <w:rPr>
          <w:rFonts w:hint="cs"/>
          <w:rtl/>
        </w:rPr>
        <w:t xml:space="preserve"> נפסק, כי לחוקי</w:t>
      </w:r>
      <w:r w:rsidR="00DC767D">
        <w:rPr>
          <w:rFonts w:hint="cs"/>
          <w:rtl/>
        </w:rPr>
        <w:t>-</w:t>
      </w:r>
      <w:r>
        <w:rPr>
          <w:rFonts w:hint="cs"/>
          <w:rtl/>
        </w:rPr>
        <w:t xml:space="preserve">היסוד יש </w:t>
      </w:r>
      <w:r>
        <w:rPr>
          <w:rFonts w:ascii="Century" w:hAnsi="Century" w:cs="Miriam" w:hint="cs"/>
          <w:b/>
          <w:spacing w:val="0"/>
          <w:sz w:val="22"/>
          <w:szCs w:val="24"/>
          <w:rtl/>
        </w:rPr>
        <w:t>"</w:t>
      </w:r>
      <w:r w:rsidRPr="00261EC7">
        <w:rPr>
          <w:rFonts w:ascii="Century" w:hAnsi="Century" w:cs="Miriam" w:hint="cs"/>
          <w:b/>
          <w:spacing w:val="0"/>
          <w:sz w:val="22"/>
          <w:szCs w:val="24"/>
          <w:rtl/>
        </w:rPr>
        <w:t>תחולה</w:t>
      </w:r>
      <w:r>
        <w:rPr>
          <w:rFonts w:hint="cs"/>
          <w:rtl/>
        </w:rPr>
        <w:t xml:space="preserve"> </w:t>
      </w:r>
      <w:r w:rsidRPr="00120E64">
        <w:rPr>
          <w:rFonts w:ascii="Century" w:hAnsi="Century" w:cs="Miriam" w:hint="cs"/>
          <w:b/>
          <w:spacing w:val="0"/>
          <w:sz w:val="22"/>
          <w:szCs w:val="24"/>
          <w:rtl/>
        </w:rPr>
        <w:t>פרסונלית</w:t>
      </w:r>
      <w:r>
        <w:rPr>
          <w:rFonts w:ascii="Century" w:hAnsi="Century" w:cs="Miriam" w:hint="cs"/>
          <w:b/>
          <w:spacing w:val="0"/>
          <w:sz w:val="22"/>
          <w:szCs w:val="24"/>
          <w:rtl/>
        </w:rPr>
        <w:t>"</w:t>
      </w:r>
      <w:r>
        <w:rPr>
          <w:rFonts w:hint="cs"/>
          <w:rtl/>
        </w:rPr>
        <w:t xml:space="preserve">, גם על אזרחים ישראלים המתגוררים מחוץ לשטח המדינה, אם הם מצויים באזור הנתון לשליטתה האפקטיבית, בדרך של תפיסה לוחמתית: </w:t>
      </w:r>
      <w:r w:rsidRPr="00120E64">
        <w:rPr>
          <w:rFonts w:ascii="Century" w:hAnsi="Century" w:cs="Miriam" w:hint="cs"/>
          <w:b/>
          <w:spacing w:val="0"/>
          <w:sz w:val="22"/>
          <w:szCs w:val="24"/>
          <w:rtl/>
        </w:rPr>
        <w:t>"לדעתנו, מעניקים חוקי-היסוד זכויות לכל מתיישב ישראלי בשטח המפונה. תחולה זו היא אישית. היא נגזרת משליטתה של מדינת ישראל על השטח המפונה. היא פרי התפיסה כי על ישראלים המצויים מחוץ למדינה אך באזור הנתון לשליטתה בדרך של תפיסה לוחמתית חלים חוקי-היסוד של המדינה באשר לזכויות האדם"</w:t>
      </w:r>
      <w:r>
        <w:rPr>
          <w:rFonts w:hint="cs"/>
          <w:rtl/>
        </w:rPr>
        <w:t xml:space="preserve"> (עניין </w:t>
      </w:r>
      <w:r w:rsidRPr="00120E64">
        <w:rPr>
          <w:rFonts w:ascii="Century" w:hAnsi="Century" w:cs="Miriam" w:hint="cs"/>
          <w:b/>
          <w:spacing w:val="0"/>
          <w:sz w:val="22"/>
          <w:szCs w:val="24"/>
          <w:rtl/>
        </w:rPr>
        <w:t>חוף עזה</w:t>
      </w:r>
      <w:r>
        <w:rPr>
          <w:rFonts w:hint="cs"/>
          <w:rtl/>
        </w:rPr>
        <w:t xml:space="preserve">, עמוד 560; ראו גם: בג"ץ 7957/04 </w:t>
      </w:r>
      <w:r w:rsidRPr="00120E64">
        <w:rPr>
          <w:rFonts w:ascii="Century" w:hAnsi="Century" w:cs="Miriam" w:hint="cs"/>
          <w:b/>
          <w:spacing w:val="0"/>
          <w:sz w:val="22"/>
          <w:szCs w:val="24"/>
          <w:rtl/>
        </w:rPr>
        <w:t>מראעבה נ' ראש הממשלה</w:t>
      </w:r>
      <w:r>
        <w:rPr>
          <w:rFonts w:hint="cs"/>
          <w:rtl/>
        </w:rPr>
        <w:t xml:space="preserve">, פסקה 21 (15.9.2005)). לצד זאת, שאלת התחולה האקסטרה-טריטוריאלית של חוקי היסוד על מי </w:t>
      </w:r>
      <w:r w:rsidRPr="00120E64">
        <w:rPr>
          <w:rFonts w:ascii="Century" w:hAnsi="Century" w:cs="Miriam" w:hint="cs"/>
          <w:b/>
          <w:spacing w:val="0"/>
          <w:sz w:val="22"/>
          <w:szCs w:val="24"/>
          <w:rtl/>
        </w:rPr>
        <w:t>שאינם</w:t>
      </w:r>
      <w:r w:rsidRPr="005B2F81">
        <w:rPr>
          <w:rFonts w:hint="cs"/>
          <w:rtl/>
        </w:rPr>
        <w:t xml:space="preserve"> </w:t>
      </w:r>
      <w:r>
        <w:rPr>
          <w:rFonts w:hint="cs"/>
          <w:rtl/>
        </w:rPr>
        <w:t>ישראלים, המצויים בשטח הנתון לתפיסה לוחמתית, הושארה שם בצריך עיון (חריג לכך ניתן למצוא בהחלת משפט העבודה הישראלי על פלסטינים המועסקים על-ידי מעבידים ישראלים, בישובים ישראלים באיו"ש:</w:t>
      </w:r>
      <w:r w:rsidRPr="003F614E">
        <w:rPr>
          <w:rFonts w:hint="eastAsia"/>
          <w:rtl/>
        </w:rPr>
        <w:t xml:space="preserve"> בג</w:t>
      </w:r>
      <w:r w:rsidRPr="003F614E">
        <w:rPr>
          <w:rtl/>
        </w:rPr>
        <w:t>"</w:t>
      </w:r>
      <w:r w:rsidRPr="003F614E">
        <w:rPr>
          <w:rFonts w:hint="eastAsia"/>
          <w:rtl/>
        </w:rPr>
        <w:t>ץ</w:t>
      </w:r>
      <w:r w:rsidRPr="003F614E">
        <w:rPr>
          <w:rtl/>
        </w:rPr>
        <w:t xml:space="preserve"> 5666</w:t>
      </w:r>
      <w:r>
        <w:rPr>
          <w:rFonts w:hint="cs"/>
          <w:rtl/>
        </w:rPr>
        <w:t>/</w:t>
      </w:r>
      <w:r w:rsidRPr="003F614E">
        <w:rPr>
          <w:rtl/>
        </w:rPr>
        <w:t xml:space="preserve">03 </w:t>
      </w:r>
      <w:r w:rsidRPr="00120E64">
        <w:rPr>
          <w:rFonts w:ascii="Century" w:hAnsi="Century" w:cs="Miriam" w:hint="eastAsia"/>
          <w:b/>
          <w:spacing w:val="0"/>
          <w:sz w:val="22"/>
          <w:szCs w:val="24"/>
          <w:rtl/>
        </w:rPr>
        <w:t>עמותת</w:t>
      </w:r>
      <w:r w:rsidRPr="00120E64">
        <w:rPr>
          <w:rFonts w:ascii="Century" w:hAnsi="Century" w:cs="Miriam"/>
          <w:b/>
          <w:spacing w:val="0"/>
          <w:sz w:val="22"/>
          <w:szCs w:val="24"/>
          <w:rtl/>
        </w:rPr>
        <w:t xml:space="preserve"> </w:t>
      </w:r>
      <w:r w:rsidRPr="00120E64">
        <w:rPr>
          <w:rFonts w:ascii="Century" w:hAnsi="Century" w:cs="Miriam" w:hint="eastAsia"/>
          <w:b/>
          <w:spacing w:val="0"/>
          <w:sz w:val="22"/>
          <w:szCs w:val="24"/>
          <w:rtl/>
        </w:rPr>
        <w:t>קו</w:t>
      </w:r>
      <w:r w:rsidRPr="00120E64">
        <w:rPr>
          <w:rFonts w:ascii="Century" w:hAnsi="Century" w:cs="Miriam"/>
          <w:b/>
          <w:spacing w:val="0"/>
          <w:sz w:val="22"/>
          <w:szCs w:val="24"/>
          <w:rtl/>
        </w:rPr>
        <w:t xml:space="preserve"> </w:t>
      </w:r>
      <w:r w:rsidRPr="00120E64">
        <w:rPr>
          <w:rFonts w:ascii="Century" w:hAnsi="Century" w:cs="Miriam" w:hint="eastAsia"/>
          <w:b/>
          <w:spacing w:val="0"/>
          <w:sz w:val="22"/>
          <w:szCs w:val="24"/>
          <w:rtl/>
        </w:rPr>
        <w:t>לעובד</w:t>
      </w:r>
      <w:r w:rsidRPr="00120E64">
        <w:rPr>
          <w:rFonts w:ascii="Century" w:hAnsi="Century" w:cs="Miriam"/>
          <w:b/>
          <w:spacing w:val="0"/>
          <w:sz w:val="22"/>
          <w:szCs w:val="24"/>
          <w:rtl/>
        </w:rPr>
        <w:t xml:space="preserve"> </w:t>
      </w:r>
      <w:r w:rsidRPr="00120E64">
        <w:rPr>
          <w:rFonts w:ascii="Century" w:hAnsi="Century" w:cs="Miriam" w:hint="eastAsia"/>
          <w:b/>
          <w:spacing w:val="0"/>
          <w:sz w:val="22"/>
          <w:szCs w:val="24"/>
          <w:rtl/>
        </w:rPr>
        <w:t>נ</w:t>
      </w:r>
      <w:r w:rsidRPr="00120E64">
        <w:rPr>
          <w:rFonts w:ascii="Century" w:hAnsi="Century" w:cs="Miriam"/>
          <w:b/>
          <w:spacing w:val="0"/>
          <w:sz w:val="22"/>
          <w:szCs w:val="24"/>
          <w:rtl/>
        </w:rPr>
        <w:t xml:space="preserve">' </w:t>
      </w:r>
      <w:r w:rsidRPr="00120E64">
        <w:rPr>
          <w:rFonts w:ascii="Century" w:hAnsi="Century" w:cs="Miriam" w:hint="eastAsia"/>
          <w:b/>
          <w:spacing w:val="0"/>
          <w:sz w:val="22"/>
          <w:szCs w:val="24"/>
          <w:rtl/>
        </w:rPr>
        <w:t>בית</w:t>
      </w:r>
      <w:r w:rsidRPr="00120E64">
        <w:rPr>
          <w:rFonts w:ascii="Century" w:hAnsi="Century" w:cs="Miriam"/>
          <w:b/>
          <w:spacing w:val="0"/>
          <w:sz w:val="22"/>
          <w:szCs w:val="24"/>
          <w:rtl/>
        </w:rPr>
        <w:t xml:space="preserve"> </w:t>
      </w:r>
      <w:r w:rsidRPr="00120E64">
        <w:rPr>
          <w:rFonts w:ascii="Century" w:hAnsi="Century" w:cs="Miriam" w:hint="eastAsia"/>
          <w:b/>
          <w:spacing w:val="0"/>
          <w:sz w:val="22"/>
          <w:szCs w:val="24"/>
          <w:rtl/>
        </w:rPr>
        <w:t>הדין</w:t>
      </w:r>
      <w:r w:rsidRPr="00120E64">
        <w:rPr>
          <w:rFonts w:ascii="Century" w:hAnsi="Century" w:cs="Miriam"/>
          <w:b/>
          <w:spacing w:val="0"/>
          <w:sz w:val="22"/>
          <w:szCs w:val="24"/>
          <w:rtl/>
        </w:rPr>
        <w:t xml:space="preserve"> </w:t>
      </w:r>
      <w:r w:rsidRPr="00120E64">
        <w:rPr>
          <w:rFonts w:ascii="Century" w:hAnsi="Century" w:cs="Miriam" w:hint="eastAsia"/>
          <w:b/>
          <w:spacing w:val="0"/>
          <w:sz w:val="22"/>
          <w:szCs w:val="24"/>
          <w:rtl/>
        </w:rPr>
        <w:t>הארצי</w:t>
      </w:r>
      <w:r w:rsidRPr="00120E64">
        <w:rPr>
          <w:rFonts w:ascii="Century" w:hAnsi="Century" w:cs="Miriam"/>
          <w:b/>
          <w:spacing w:val="0"/>
          <w:sz w:val="22"/>
          <w:szCs w:val="24"/>
          <w:rtl/>
        </w:rPr>
        <w:t xml:space="preserve"> </w:t>
      </w:r>
      <w:r w:rsidRPr="00120E64">
        <w:rPr>
          <w:rFonts w:ascii="Century" w:hAnsi="Century" w:cs="Miriam" w:hint="eastAsia"/>
          <w:b/>
          <w:spacing w:val="0"/>
          <w:sz w:val="22"/>
          <w:szCs w:val="24"/>
          <w:rtl/>
        </w:rPr>
        <w:t>לעבודה</w:t>
      </w:r>
      <w:r w:rsidRPr="00120E64">
        <w:rPr>
          <w:rFonts w:ascii="Century" w:hAnsi="Century" w:cs="Miriam"/>
          <w:b/>
          <w:spacing w:val="0"/>
          <w:sz w:val="22"/>
          <w:szCs w:val="24"/>
          <w:rtl/>
        </w:rPr>
        <w:t xml:space="preserve"> </w:t>
      </w:r>
      <w:r w:rsidRPr="00120E64">
        <w:rPr>
          <w:rFonts w:ascii="Century" w:hAnsi="Century" w:cs="Miriam" w:hint="eastAsia"/>
          <w:b/>
          <w:spacing w:val="0"/>
          <w:sz w:val="22"/>
          <w:szCs w:val="24"/>
          <w:rtl/>
        </w:rPr>
        <w:t>בירושלים</w:t>
      </w:r>
      <w:r w:rsidRPr="003F614E">
        <w:rPr>
          <w:rtl/>
        </w:rPr>
        <w:t>,</w:t>
      </w:r>
      <w:r>
        <w:rPr>
          <w:rFonts w:hint="cs"/>
          <w:rtl/>
        </w:rPr>
        <w:t xml:space="preserve"> </w:t>
      </w:r>
      <w:r w:rsidRPr="003F614E">
        <w:rPr>
          <w:rFonts w:hint="eastAsia"/>
          <w:rtl/>
        </w:rPr>
        <w:t>פ</w:t>
      </w:r>
      <w:r w:rsidRPr="003F614E">
        <w:rPr>
          <w:rtl/>
        </w:rPr>
        <w:t>"</w:t>
      </w:r>
      <w:r w:rsidRPr="003F614E">
        <w:rPr>
          <w:rFonts w:hint="eastAsia"/>
          <w:rtl/>
        </w:rPr>
        <w:t>ד</w:t>
      </w:r>
      <w:r w:rsidRPr="003F614E">
        <w:rPr>
          <w:rtl/>
        </w:rPr>
        <w:t xml:space="preserve"> </w:t>
      </w:r>
      <w:r w:rsidRPr="003F614E">
        <w:rPr>
          <w:rFonts w:hint="eastAsia"/>
          <w:rtl/>
        </w:rPr>
        <w:t>סב</w:t>
      </w:r>
      <w:r w:rsidRPr="003F614E">
        <w:rPr>
          <w:rtl/>
        </w:rPr>
        <w:t>(3) 264</w:t>
      </w:r>
      <w:r>
        <w:rPr>
          <w:rFonts w:hint="cs"/>
          <w:rtl/>
        </w:rPr>
        <w:t xml:space="preserve"> (2007)).  </w:t>
      </w:r>
    </w:p>
    <w:p w:rsidR="00D512D4" w:rsidRPr="00754C93" w:rsidRDefault="00D512D4" w:rsidP="00944FC1">
      <w:pPr>
        <w:pStyle w:val="Ruller41"/>
        <w:spacing w:line="240" w:lineRule="auto"/>
      </w:pPr>
    </w:p>
    <w:p w:rsidR="00D512D4" w:rsidRDefault="00D512D4" w:rsidP="002F66DA">
      <w:pPr>
        <w:pStyle w:val="Ruller4"/>
        <w:rPr>
          <w:rtl/>
        </w:rPr>
      </w:pPr>
      <w:r>
        <w:rPr>
          <w:rFonts w:hint="cs"/>
          <w:rtl/>
        </w:rPr>
        <w:t>בעניין</w:t>
      </w:r>
      <w:r>
        <w:rPr>
          <w:rFonts w:ascii="Century" w:hAnsi="Century" w:cs="Miriam" w:hint="cs"/>
          <w:b/>
          <w:spacing w:val="0"/>
          <w:sz w:val="22"/>
          <w:szCs w:val="24"/>
          <w:rtl/>
        </w:rPr>
        <w:t xml:space="preserve"> </w:t>
      </w:r>
      <w:r w:rsidRPr="00AA6F20">
        <w:rPr>
          <w:rFonts w:ascii="Century" w:hAnsi="Century" w:cs="Miriam" w:hint="cs"/>
          <w:b/>
          <w:spacing w:val="0"/>
          <w:sz w:val="22"/>
          <w:szCs w:val="24"/>
          <w:rtl/>
        </w:rPr>
        <w:t>איחוד משפחות</w:t>
      </w:r>
      <w:r>
        <w:rPr>
          <w:rFonts w:hint="cs"/>
          <w:rtl/>
        </w:rPr>
        <w:t xml:space="preserve">, נדונה חוקתיותו של חוק האזרחות והכניסה לישראל (הוראת שעה), התשס"ג-2003 (להלן: </w:t>
      </w:r>
      <w:r w:rsidRPr="00466C34">
        <w:rPr>
          <w:rFonts w:ascii="Century" w:hAnsi="Century" w:cs="Miriam" w:hint="eastAsia"/>
          <w:b/>
          <w:spacing w:val="0"/>
          <w:sz w:val="22"/>
          <w:szCs w:val="24"/>
          <w:rtl/>
        </w:rPr>
        <w:t>חוק</w:t>
      </w:r>
      <w:r w:rsidRPr="00466C34">
        <w:rPr>
          <w:rFonts w:ascii="Century" w:hAnsi="Century" w:cs="Miriam"/>
          <w:b/>
          <w:spacing w:val="0"/>
          <w:sz w:val="22"/>
          <w:szCs w:val="24"/>
          <w:rtl/>
        </w:rPr>
        <w:t xml:space="preserve"> </w:t>
      </w:r>
      <w:r w:rsidRPr="00466C34">
        <w:rPr>
          <w:rFonts w:ascii="Century" w:hAnsi="Century" w:cs="Miriam" w:hint="eastAsia"/>
          <w:b/>
          <w:spacing w:val="0"/>
          <w:sz w:val="22"/>
          <w:szCs w:val="24"/>
          <w:rtl/>
        </w:rPr>
        <w:t>הוראת</w:t>
      </w:r>
      <w:r w:rsidRPr="00466C34">
        <w:rPr>
          <w:rFonts w:ascii="Century" w:hAnsi="Century" w:cs="Miriam"/>
          <w:b/>
          <w:spacing w:val="0"/>
          <w:sz w:val="22"/>
          <w:szCs w:val="24"/>
          <w:rtl/>
        </w:rPr>
        <w:t xml:space="preserve"> </w:t>
      </w:r>
      <w:r w:rsidRPr="00466C34">
        <w:rPr>
          <w:rFonts w:ascii="Century" w:hAnsi="Century" w:cs="Miriam" w:hint="eastAsia"/>
          <w:b/>
          <w:spacing w:val="0"/>
          <w:sz w:val="22"/>
          <w:szCs w:val="24"/>
          <w:rtl/>
        </w:rPr>
        <w:t>השעה</w:t>
      </w:r>
      <w:r>
        <w:rPr>
          <w:rFonts w:hint="cs"/>
          <w:rtl/>
        </w:rPr>
        <w:t xml:space="preserve">). בחוק זה, נאסרה כניסת תושבי יהודה, שומרון וחבל עזה, שאינם אזרחי או תושבי מדינת ישראל, המבקשים להתאחד עם בני משפחותיהם הישראלים, לתחומי ישראל, למעט חריגים מסוימים. באותו עניין, קבע הנשיא </w:t>
      </w:r>
      <w:r w:rsidRPr="00794D66">
        <w:rPr>
          <w:rFonts w:ascii="Century" w:hAnsi="Century" w:cs="Miriam" w:hint="cs"/>
          <w:b/>
          <w:spacing w:val="0"/>
          <w:sz w:val="22"/>
          <w:szCs w:val="24"/>
          <w:rtl/>
        </w:rPr>
        <w:t>ברק</w:t>
      </w:r>
      <w:r>
        <w:rPr>
          <w:rFonts w:hint="cs"/>
          <w:rtl/>
        </w:rPr>
        <w:t>, כי הבחינה החוקתית נע</w:t>
      </w:r>
      <w:r w:rsidR="00DC767D">
        <w:rPr>
          <w:rFonts w:hint="cs"/>
          <w:rtl/>
        </w:rPr>
        <w:t>שית</w:t>
      </w:r>
      <w:r>
        <w:rPr>
          <w:rFonts w:hint="cs"/>
          <w:rtl/>
        </w:rPr>
        <w:t xml:space="preserve"> מנקודת המבט של הפגיעה </w:t>
      </w:r>
      <w:r w:rsidRPr="00AA6F20">
        <w:rPr>
          <w:rFonts w:ascii="Century" w:hAnsi="Century" w:cs="Miriam" w:hint="cs"/>
          <w:b/>
          <w:spacing w:val="0"/>
          <w:sz w:val="22"/>
          <w:szCs w:val="24"/>
          <w:rtl/>
        </w:rPr>
        <w:t>בבן-הזוג הישראלי</w:t>
      </w:r>
      <w:r>
        <w:rPr>
          <w:rFonts w:hint="cs"/>
          <w:rtl/>
        </w:rPr>
        <w:t xml:space="preserve">, אשר נושא עמו זכות </w:t>
      </w:r>
      <w:r w:rsidRPr="00AA6F20">
        <w:rPr>
          <w:rFonts w:ascii="Century" w:hAnsi="Century" w:cs="Miriam" w:hint="cs"/>
          <w:b/>
          <w:spacing w:val="0"/>
          <w:sz w:val="22"/>
          <w:szCs w:val="24"/>
          <w:rtl/>
        </w:rPr>
        <w:t>חוקתית</w:t>
      </w:r>
      <w:r>
        <w:rPr>
          <w:rFonts w:hint="cs"/>
          <w:rtl/>
        </w:rPr>
        <w:t xml:space="preserve"> לקיום חיי משפחה. לעומת זאת, נפסק, כי הפגיעה בזכות לחיי משפחה, של בן-הזוג הלא-ישראלי </w:t>
      </w:r>
      <w:r>
        <w:rPr>
          <w:rtl/>
        </w:rPr>
        <w:t>–</w:t>
      </w:r>
      <w:r w:rsidR="00BD5665">
        <w:rPr>
          <w:rFonts w:hint="cs"/>
          <w:rtl/>
        </w:rPr>
        <w:t xml:space="preserve"> ככל שהי</w:t>
      </w:r>
      <w:r>
        <w:rPr>
          <w:rFonts w:hint="cs"/>
          <w:rtl/>
        </w:rPr>
        <w:t xml:space="preserve">תה נבחנת באופן עצמאי </w:t>
      </w:r>
      <w:r>
        <w:rPr>
          <w:rtl/>
        </w:rPr>
        <w:t>–</w:t>
      </w:r>
      <w:r>
        <w:rPr>
          <w:rFonts w:hint="cs"/>
          <w:rtl/>
        </w:rPr>
        <w:t xml:space="preserve"> לא היתה מעוררת קושי חוקתי (שם, פסקה 17 לפסק-דינו של הנשיא </w:t>
      </w:r>
      <w:r w:rsidRPr="00794D66">
        <w:rPr>
          <w:rFonts w:ascii="Century" w:hAnsi="Century" w:cs="Miriam" w:hint="cs"/>
          <w:b/>
          <w:spacing w:val="0"/>
          <w:sz w:val="22"/>
          <w:szCs w:val="24"/>
          <w:rtl/>
        </w:rPr>
        <w:t>ברק</w:t>
      </w:r>
      <w:r>
        <w:rPr>
          <w:rFonts w:hint="cs"/>
          <w:rtl/>
        </w:rPr>
        <w:t>). מן האמור משתמע, לכאורה, כי לחוקי היסוד אין תחולה אקסטרה-טריטוריאלית על תושבי ה</w:t>
      </w:r>
      <w:r w:rsidR="008F5060">
        <w:rPr>
          <w:rFonts w:hint="cs"/>
          <w:rtl/>
        </w:rPr>
        <w:t>'</w:t>
      </w:r>
      <w:r>
        <w:rPr>
          <w:rFonts w:hint="cs"/>
          <w:rtl/>
        </w:rPr>
        <w:t>אזור', שאינם אזרחים ישראליים. שאחרת, היה מקום לבחון את חוקתיות החוק, למצער גם, בשים לב לפגיעה החוקתית בבן הזוג הלא-ישראלי.</w:t>
      </w:r>
      <w:r w:rsidRPr="009F7372">
        <w:rPr>
          <w:rFonts w:hint="cs"/>
          <w:rtl/>
        </w:rPr>
        <w:t xml:space="preserve"> </w:t>
      </w:r>
      <w:r>
        <w:rPr>
          <w:rFonts w:hint="cs"/>
          <w:rtl/>
        </w:rPr>
        <w:t xml:space="preserve">ראוי לציין, כי אף לא אחד מחברי ההרכב בעניין </w:t>
      </w:r>
      <w:r w:rsidRPr="00AA6F20">
        <w:rPr>
          <w:rFonts w:ascii="Century" w:hAnsi="Century" w:cs="Miriam" w:hint="cs"/>
          <w:b/>
          <w:spacing w:val="0"/>
          <w:sz w:val="22"/>
          <w:szCs w:val="24"/>
          <w:rtl/>
        </w:rPr>
        <w:t>איחוד משפחות</w:t>
      </w:r>
      <w:r>
        <w:rPr>
          <w:rFonts w:hint="cs"/>
          <w:rtl/>
        </w:rPr>
        <w:t>, לא ראה מקום לבחון את הפגיעה החוקתית מנקודת מבטו של בן הזוג הזר; לא שופטי הרוב</w:t>
      </w:r>
      <w:r w:rsidR="002F66DA">
        <w:rPr>
          <w:rFonts w:hint="cs"/>
          <w:rtl/>
        </w:rPr>
        <w:t>,</w:t>
      </w:r>
      <w:r>
        <w:rPr>
          <w:rFonts w:hint="cs"/>
          <w:rtl/>
        </w:rPr>
        <w:t xml:space="preserve"> לא שופטי המיעוט. עמדתו של המשנה לנשיא </w:t>
      </w:r>
      <w:r w:rsidRPr="00794D66">
        <w:rPr>
          <w:rFonts w:ascii="Century" w:hAnsi="Century" w:cs="Miriam" w:hint="cs"/>
          <w:b/>
          <w:spacing w:val="0"/>
          <w:sz w:val="22"/>
          <w:szCs w:val="24"/>
          <w:rtl/>
        </w:rPr>
        <w:t>מ' חשין</w:t>
      </w:r>
      <w:r>
        <w:rPr>
          <w:rFonts w:hint="cs"/>
          <w:rtl/>
        </w:rPr>
        <w:t xml:space="preserve"> באותו עניין, היתה נחרצת אף יותר: </w:t>
      </w:r>
      <w:r w:rsidRPr="00AA6F20">
        <w:rPr>
          <w:rFonts w:ascii="Century" w:hAnsi="Century" w:cs="Miriam" w:hint="cs"/>
          <w:b/>
          <w:spacing w:val="0"/>
          <w:sz w:val="22"/>
          <w:szCs w:val="24"/>
          <w:rtl/>
        </w:rPr>
        <w:t>"</w:t>
      </w:r>
      <w:r w:rsidRPr="00AA6F20">
        <w:rPr>
          <w:rFonts w:ascii="Century" w:hAnsi="Century" w:cs="Miriam"/>
          <w:b/>
          <w:spacing w:val="0"/>
          <w:sz w:val="22"/>
          <w:szCs w:val="24"/>
          <w:rtl/>
        </w:rPr>
        <w:t xml:space="preserve">חוקה נוצרה, בראש ובראשונה, לבני הארץ ולהסדר חיים לתושבי הארץ ולאזרחיה, ביניהם לבין-עצמם. חוקת אמריקה היא לאמריקאים, חוקת גרמניה היא לגרמנים וחוק-היסוד בישראל הוא לישראלים ולוויסות היחסים ביניהם לבין המדינה וביניהם לבין עצמם. ואולם משבא יסוד זר במערכת </w:t>
      </w:r>
      <w:r w:rsidRPr="008616A5">
        <w:rPr>
          <w:rFonts w:ascii="Century" w:hAnsi="Century"/>
          <w:sz w:val="22"/>
          <w:rtl/>
        </w:rPr>
        <w:t>–</w:t>
      </w:r>
      <w:r w:rsidRPr="00AA6F20">
        <w:rPr>
          <w:rFonts w:ascii="Century" w:hAnsi="Century" w:cs="Miriam"/>
          <w:b/>
          <w:spacing w:val="0"/>
          <w:sz w:val="22"/>
          <w:szCs w:val="24"/>
          <w:rtl/>
        </w:rPr>
        <w:t xml:space="preserve"> בענייננו: בן-זוג זר </w:t>
      </w:r>
      <w:r w:rsidRPr="00466C34">
        <w:rPr>
          <w:rFonts w:ascii="Century" w:hAnsi="Century"/>
          <w:sz w:val="22"/>
          <w:rtl/>
        </w:rPr>
        <w:t>–</w:t>
      </w:r>
      <w:r w:rsidRPr="00AA6F20">
        <w:rPr>
          <w:rFonts w:ascii="Century" w:hAnsi="Century" w:cs="Miriam"/>
          <w:b/>
          <w:spacing w:val="0"/>
          <w:sz w:val="22"/>
          <w:szCs w:val="24"/>
          <w:rtl/>
        </w:rPr>
        <w:t xml:space="preserve"> ספק אם חוקי היסוד, מעיקרם, נועדו להקנות זכויות יסוד ליחיד תוך השפעת-מישרין על היחידים האחרים במדינה ועל דמותה של החברה. ספק גדול בעיניי"</w:t>
      </w:r>
      <w:r>
        <w:rPr>
          <w:rFonts w:hint="cs"/>
          <w:rtl/>
        </w:rPr>
        <w:t xml:space="preserve"> (</w:t>
      </w:r>
      <w:r w:rsidRPr="001223BA">
        <w:rPr>
          <w:rFonts w:ascii="Century" w:hAnsi="Century" w:cs="Miriam" w:hint="cs"/>
          <w:b/>
          <w:spacing w:val="0"/>
          <w:sz w:val="22"/>
          <w:szCs w:val="24"/>
          <w:rtl/>
        </w:rPr>
        <w:t>שם</w:t>
      </w:r>
      <w:r>
        <w:rPr>
          <w:rFonts w:hint="cs"/>
          <w:rtl/>
        </w:rPr>
        <w:t xml:space="preserve">, פסקה 62 לפסק-דינו של המשנה לנשיא </w:t>
      </w:r>
      <w:r w:rsidRPr="00794D66">
        <w:rPr>
          <w:rFonts w:ascii="Century" w:hAnsi="Century" w:cs="Miriam" w:hint="cs"/>
          <w:b/>
          <w:spacing w:val="0"/>
          <w:sz w:val="22"/>
          <w:szCs w:val="24"/>
          <w:rtl/>
        </w:rPr>
        <w:t>חשין</w:t>
      </w:r>
      <w:r>
        <w:rPr>
          <w:rFonts w:hint="cs"/>
          <w:rtl/>
        </w:rPr>
        <w:t xml:space="preserve">; למהלך דומה, של החלה פרסונלית של החוקה האמריקאית על אזרחים אמריקאים בלבד, בהתבסס על הביטוי </w:t>
      </w:r>
      <w:r w:rsidRPr="00400A2E">
        <w:rPr>
          <w:rFonts w:ascii="Century" w:hAnsi="Century"/>
          <w:sz w:val="22"/>
          <w:szCs w:val="22"/>
        </w:rPr>
        <w:t>"We the people"</w:t>
      </w:r>
      <w:r>
        <w:rPr>
          <w:rFonts w:hint="cs"/>
          <w:rtl/>
        </w:rPr>
        <w:t xml:space="preserve"> הפותח את החוקה האמריקאית, ראו והשוו: </w:t>
      </w:r>
      <w:r w:rsidRPr="00400A2E">
        <w:rPr>
          <w:sz w:val="22"/>
          <w:szCs w:val="22"/>
        </w:rPr>
        <w:t>United States v. Curtiss-Wright Export Corp., 299 U.S. 304 (1936)</w:t>
      </w:r>
      <w:r w:rsidRPr="00400A2E">
        <w:rPr>
          <w:sz w:val="22"/>
          <w:szCs w:val="22"/>
          <w:rtl/>
        </w:rPr>
        <w:t xml:space="preserve">; </w:t>
      </w:r>
      <w:r w:rsidRPr="00400A2E">
        <w:rPr>
          <w:sz w:val="22"/>
          <w:szCs w:val="22"/>
        </w:rPr>
        <w:t>United States v. Verdugo-Urquidez, 494 U.S. 259 (1990)</w:t>
      </w:r>
      <w:r>
        <w:rPr>
          <w:rFonts w:hint="cs"/>
          <w:rtl/>
        </w:rPr>
        <w:t xml:space="preserve">; </w:t>
      </w:r>
      <w:r w:rsidRPr="00794D66">
        <w:rPr>
          <w:rFonts w:ascii="Century" w:hAnsi="Century" w:cs="Miriam" w:hint="cs"/>
          <w:b/>
          <w:spacing w:val="0"/>
          <w:sz w:val="22"/>
          <w:szCs w:val="24"/>
          <w:rtl/>
        </w:rPr>
        <w:t>אורגד</w:t>
      </w:r>
      <w:r>
        <w:rPr>
          <w:rFonts w:hint="cs"/>
          <w:rtl/>
        </w:rPr>
        <w:t xml:space="preserve">, עמוד 158-157).  </w:t>
      </w:r>
    </w:p>
    <w:p w:rsidR="00D512D4" w:rsidRDefault="00D512D4" w:rsidP="00944FC1">
      <w:pPr>
        <w:pStyle w:val="Ruller41"/>
        <w:spacing w:line="240" w:lineRule="auto"/>
        <w:rPr>
          <w:rtl/>
        </w:rPr>
      </w:pPr>
    </w:p>
    <w:p w:rsidR="00D512D4" w:rsidRDefault="00D512D4" w:rsidP="00154174">
      <w:pPr>
        <w:pStyle w:val="Ruller4"/>
        <w:rPr>
          <w:rtl/>
        </w:rPr>
      </w:pPr>
      <w:r>
        <w:rPr>
          <w:rFonts w:hint="cs"/>
          <w:rtl/>
        </w:rPr>
        <w:t xml:space="preserve">לצד זאת, בפסיקה קיימת גם גישה המרחיבה את גבולות תחולתם של חוקי-היסוד, אף על זכויות </w:t>
      </w:r>
      <w:r w:rsidRPr="00B50470">
        <w:rPr>
          <w:rFonts w:ascii="Century" w:hAnsi="Century" w:cs="Miriam" w:hint="eastAsia"/>
          <w:b/>
          <w:spacing w:val="0"/>
          <w:sz w:val="22"/>
          <w:szCs w:val="24"/>
          <w:rtl/>
        </w:rPr>
        <w:t>חוקתי</w:t>
      </w:r>
      <w:r w:rsidRPr="008616A5">
        <w:rPr>
          <w:rFonts w:ascii="Century" w:hAnsi="Century" w:cs="Miriam" w:hint="eastAsia"/>
          <w:b/>
          <w:spacing w:val="0"/>
          <w:sz w:val="22"/>
          <w:szCs w:val="24"/>
          <w:rtl/>
        </w:rPr>
        <w:t>ות</w:t>
      </w:r>
      <w:r w:rsidRPr="008E4D78">
        <w:rPr>
          <w:rFonts w:hint="cs"/>
          <w:rtl/>
        </w:rPr>
        <w:t xml:space="preserve"> </w:t>
      </w:r>
      <w:r w:rsidR="00154174">
        <w:rPr>
          <w:rFonts w:hint="cs"/>
          <w:rtl/>
        </w:rPr>
        <w:t xml:space="preserve">בסיסיות </w:t>
      </w:r>
      <w:r>
        <w:rPr>
          <w:rFonts w:hint="cs"/>
          <w:rtl/>
        </w:rPr>
        <w:t xml:space="preserve">של מי שאינם אזרחי המדינה או תושביה, דוגמת מסתננים ופליטים. על-פי גישה זו, נפסלו לא אחת גם דברי חקיקה של הכנסת (בג"ץ 7146/12 </w:t>
      </w:r>
      <w:r w:rsidRPr="000F4081">
        <w:rPr>
          <w:rFonts w:ascii="Century" w:hAnsi="Century" w:cs="Miriam" w:hint="cs"/>
          <w:b/>
          <w:spacing w:val="0"/>
          <w:sz w:val="22"/>
          <w:szCs w:val="24"/>
          <w:rtl/>
        </w:rPr>
        <w:t>אדם נ' הכנסת</w:t>
      </w:r>
      <w:r>
        <w:rPr>
          <w:rFonts w:hint="cs"/>
          <w:rtl/>
        </w:rPr>
        <w:t xml:space="preserve"> (16.9.2013) (להלן: </w:t>
      </w:r>
      <w:r w:rsidRPr="00466C34">
        <w:rPr>
          <w:rFonts w:ascii="Century" w:hAnsi="Century" w:cs="Miriam" w:hint="eastAsia"/>
          <w:b/>
          <w:spacing w:val="0"/>
          <w:sz w:val="22"/>
          <w:szCs w:val="24"/>
          <w:rtl/>
        </w:rPr>
        <w:t>עניין</w:t>
      </w:r>
      <w:r w:rsidRPr="00466C34">
        <w:rPr>
          <w:rFonts w:ascii="Century" w:hAnsi="Century" w:cs="Miriam"/>
          <w:b/>
          <w:spacing w:val="0"/>
          <w:sz w:val="22"/>
          <w:szCs w:val="24"/>
          <w:rtl/>
        </w:rPr>
        <w:t xml:space="preserve"> </w:t>
      </w:r>
      <w:r w:rsidRPr="00466C34">
        <w:rPr>
          <w:rFonts w:ascii="Century" w:hAnsi="Century" w:cs="Miriam" w:hint="eastAsia"/>
          <w:b/>
          <w:spacing w:val="0"/>
          <w:sz w:val="22"/>
          <w:szCs w:val="24"/>
          <w:rtl/>
        </w:rPr>
        <w:t>אדם</w:t>
      </w:r>
      <w:r>
        <w:rPr>
          <w:rFonts w:hint="cs"/>
          <w:rtl/>
        </w:rPr>
        <w:t xml:space="preserve">); בג"ץ 7385/13 </w:t>
      </w:r>
      <w:r w:rsidRPr="000F4081">
        <w:rPr>
          <w:rFonts w:ascii="Century" w:hAnsi="Century" w:cs="Miriam" w:hint="cs"/>
          <w:b/>
          <w:spacing w:val="0"/>
          <w:sz w:val="22"/>
          <w:szCs w:val="24"/>
          <w:rtl/>
        </w:rPr>
        <w:t>איתן מדיניות הגירה ישראלית נ' ממשלת ישראל</w:t>
      </w:r>
      <w:r>
        <w:rPr>
          <w:rFonts w:hint="cs"/>
          <w:rtl/>
        </w:rPr>
        <w:t xml:space="preserve"> (2014) (להלן: </w:t>
      </w:r>
      <w:r w:rsidRPr="00466C34">
        <w:rPr>
          <w:rFonts w:ascii="Century" w:hAnsi="Century" w:cs="Miriam" w:hint="eastAsia"/>
          <w:b/>
          <w:spacing w:val="0"/>
          <w:sz w:val="22"/>
          <w:szCs w:val="24"/>
          <w:rtl/>
        </w:rPr>
        <w:t>עניין</w:t>
      </w:r>
      <w:r w:rsidRPr="00466C34">
        <w:rPr>
          <w:rFonts w:ascii="Century" w:hAnsi="Century" w:cs="Miriam"/>
          <w:b/>
          <w:spacing w:val="0"/>
          <w:sz w:val="22"/>
          <w:szCs w:val="24"/>
          <w:rtl/>
        </w:rPr>
        <w:t xml:space="preserve"> </w:t>
      </w:r>
      <w:r w:rsidRPr="00466C34">
        <w:rPr>
          <w:rFonts w:ascii="Century" w:hAnsi="Century" w:cs="Miriam" w:hint="eastAsia"/>
          <w:b/>
          <w:spacing w:val="0"/>
          <w:sz w:val="22"/>
          <w:szCs w:val="24"/>
          <w:rtl/>
        </w:rPr>
        <w:t>איתן</w:t>
      </w:r>
      <w:r>
        <w:rPr>
          <w:rFonts w:hint="cs"/>
          <w:rtl/>
        </w:rPr>
        <w:t xml:space="preserve">); בג"ץ 8665/14 </w:t>
      </w:r>
      <w:r w:rsidRPr="000F4081">
        <w:rPr>
          <w:rFonts w:ascii="Century" w:hAnsi="Century" w:cs="Miriam" w:hint="cs"/>
          <w:b/>
          <w:spacing w:val="0"/>
          <w:sz w:val="22"/>
          <w:szCs w:val="24"/>
          <w:rtl/>
        </w:rPr>
        <w:t>דסטה נ' הכנסת</w:t>
      </w:r>
      <w:r>
        <w:rPr>
          <w:rFonts w:hint="cs"/>
          <w:rtl/>
        </w:rPr>
        <w:t xml:space="preserve"> (11.8.2015)</w:t>
      </w:r>
      <w:r w:rsidR="00370A7A">
        <w:rPr>
          <w:rFonts w:hint="cs"/>
          <w:rtl/>
        </w:rPr>
        <w:t>;</w:t>
      </w:r>
      <w:r w:rsidR="00370A7A" w:rsidRPr="00370A7A">
        <w:rPr>
          <w:rFonts w:hint="cs"/>
          <w:rtl/>
        </w:rPr>
        <w:t xml:space="preserve"> </w:t>
      </w:r>
      <w:r w:rsidR="00370A7A">
        <w:rPr>
          <w:rFonts w:hint="cs"/>
          <w:rtl/>
        </w:rPr>
        <w:t xml:space="preserve">עניין </w:t>
      </w:r>
      <w:r w:rsidR="00370A7A" w:rsidRPr="000D3BB6">
        <w:rPr>
          <w:rFonts w:ascii="Century" w:hAnsi="Century" w:cs="Miriam" w:hint="eastAsia"/>
          <w:b/>
          <w:spacing w:val="0"/>
          <w:sz w:val="22"/>
          <w:szCs w:val="24"/>
          <w:rtl/>
        </w:rPr>
        <w:t>גרסגהר</w:t>
      </w:r>
      <w:r w:rsidR="00370A7A">
        <w:rPr>
          <w:rFonts w:hint="cs"/>
          <w:rtl/>
        </w:rPr>
        <w:t xml:space="preserve">; ראו גם: עמרי בן צבי, הקהילה החוקתית: על הקשר בין מעמד אזרחי לחוקי יסוד, </w:t>
      </w:r>
      <w:r w:rsidR="00370A7A" w:rsidRPr="000D3BB6">
        <w:rPr>
          <w:rFonts w:ascii="Century" w:hAnsi="Century" w:cs="Miriam" w:hint="eastAsia"/>
          <w:b/>
          <w:spacing w:val="0"/>
          <w:sz w:val="22"/>
          <w:szCs w:val="24"/>
          <w:rtl/>
        </w:rPr>
        <w:t>משפטים</w:t>
      </w:r>
      <w:r w:rsidR="00370A7A" w:rsidRPr="00ED4436">
        <w:rPr>
          <w:rtl/>
        </w:rPr>
        <w:t xml:space="preserve"> </w:t>
      </w:r>
      <w:r w:rsidR="00370A7A">
        <w:rPr>
          <w:rFonts w:hint="cs"/>
          <w:rtl/>
        </w:rPr>
        <w:t>נ, 471 תש"ף (2020)</w:t>
      </w:r>
      <w:r>
        <w:rPr>
          <w:rFonts w:hint="cs"/>
          <w:rtl/>
        </w:rPr>
        <w:t xml:space="preserve">). בפסקי הדין הללו, חוזרת על עצמה הקביעה שלפיה הזכויות המוקנות לאדם לפי חוק היסוד </w:t>
      </w:r>
      <w:r>
        <w:rPr>
          <w:rtl/>
        </w:rPr>
        <w:t>–</w:t>
      </w:r>
      <w:r>
        <w:rPr>
          <w:rFonts w:hint="cs"/>
          <w:rtl/>
        </w:rPr>
        <w:t xml:space="preserve"> באותן פרשות דוּב</w:t>
      </w:r>
      <w:r w:rsidR="00DC767D">
        <w:rPr>
          <w:rFonts w:hint="cs"/>
          <w:rtl/>
        </w:rPr>
        <w:t>ּ</w:t>
      </w:r>
      <w:r>
        <w:rPr>
          <w:rFonts w:hint="cs"/>
          <w:rtl/>
        </w:rPr>
        <w:t xml:space="preserve">ר בזכות החוקתית לחירות אישית </w:t>
      </w:r>
      <w:r>
        <w:rPr>
          <w:rtl/>
        </w:rPr>
        <w:t>–</w:t>
      </w:r>
      <w:r>
        <w:rPr>
          <w:rFonts w:hint="cs"/>
          <w:rtl/>
        </w:rPr>
        <w:t xml:space="preserve"> נתונות </w:t>
      </w:r>
      <w:r w:rsidRPr="000F4081">
        <w:rPr>
          <w:rFonts w:ascii="Century" w:hAnsi="Century" w:cs="Miriam" w:hint="cs"/>
          <w:b/>
          <w:spacing w:val="0"/>
          <w:sz w:val="22"/>
          <w:szCs w:val="24"/>
          <w:rtl/>
        </w:rPr>
        <w:t>"לאדם באשר הוא אדם"</w:t>
      </w:r>
      <w:r>
        <w:rPr>
          <w:rFonts w:hint="cs"/>
          <w:rtl/>
        </w:rPr>
        <w:t xml:space="preserve"> (ראו, למשל: עניין </w:t>
      </w:r>
      <w:r w:rsidRPr="000F4081">
        <w:rPr>
          <w:rFonts w:ascii="Century" w:hAnsi="Century" w:cs="Miriam" w:hint="cs"/>
          <w:b/>
          <w:spacing w:val="0"/>
          <w:sz w:val="22"/>
          <w:szCs w:val="24"/>
          <w:rtl/>
        </w:rPr>
        <w:t>אדם</w:t>
      </w:r>
      <w:r>
        <w:rPr>
          <w:rFonts w:hint="cs"/>
          <w:rtl/>
        </w:rPr>
        <w:t xml:space="preserve">, פסקה 72 לפסק הדין של השופטת </w:t>
      </w:r>
      <w:r>
        <w:rPr>
          <w:rFonts w:ascii="Century" w:hAnsi="Century" w:cs="Miriam" w:hint="cs"/>
          <w:b/>
          <w:spacing w:val="0"/>
          <w:sz w:val="22"/>
          <w:szCs w:val="24"/>
          <w:rtl/>
        </w:rPr>
        <w:t xml:space="preserve">ע' </w:t>
      </w:r>
      <w:r w:rsidRPr="00794D66">
        <w:rPr>
          <w:rFonts w:ascii="Century" w:hAnsi="Century" w:cs="Miriam" w:hint="cs"/>
          <w:b/>
          <w:spacing w:val="0"/>
          <w:sz w:val="22"/>
          <w:szCs w:val="24"/>
          <w:rtl/>
        </w:rPr>
        <w:t>ארבל</w:t>
      </w:r>
      <w:r>
        <w:rPr>
          <w:rFonts w:hint="cs"/>
          <w:rtl/>
        </w:rPr>
        <w:t xml:space="preserve">; עניין </w:t>
      </w:r>
      <w:r w:rsidRPr="000F4081">
        <w:rPr>
          <w:rFonts w:ascii="Century" w:hAnsi="Century" w:cs="Miriam" w:hint="cs"/>
          <w:b/>
          <w:spacing w:val="0"/>
          <w:sz w:val="22"/>
          <w:szCs w:val="24"/>
          <w:rtl/>
        </w:rPr>
        <w:t>איתן</w:t>
      </w:r>
      <w:r>
        <w:rPr>
          <w:rFonts w:hint="cs"/>
          <w:rtl/>
        </w:rPr>
        <w:t xml:space="preserve">, פסקאות 45, 123-122 לפסק הדין של השופט </w:t>
      </w:r>
      <w:r w:rsidRPr="00794D66">
        <w:rPr>
          <w:rFonts w:ascii="Century" w:hAnsi="Century" w:cs="Miriam" w:hint="cs"/>
          <w:b/>
          <w:spacing w:val="0"/>
          <w:sz w:val="22"/>
          <w:szCs w:val="24"/>
          <w:rtl/>
        </w:rPr>
        <w:t>ע' פוגלמן</w:t>
      </w:r>
      <w:r>
        <w:rPr>
          <w:rFonts w:hint="cs"/>
          <w:rtl/>
        </w:rPr>
        <w:t xml:space="preserve">; </w:t>
      </w:r>
      <w:r w:rsidRPr="00466C34">
        <w:rPr>
          <w:rFonts w:ascii="Miriam" w:hAnsi="Miriam" w:cs="Miriam"/>
          <w:szCs w:val="24"/>
          <w:rtl/>
        </w:rPr>
        <w:t>מדינה</w:t>
      </w:r>
      <w:r>
        <w:rPr>
          <w:rFonts w:hint="cs"/>
          <w:rtl/>
        </w:rPr>
        <w:t>, עמודים 69-68)</w:t>
      </w:r>
      <w:r w:rsidR="00496FE5">
        <w:rPr>
          <w:rFonts w:hint="cs"/>
          <w:rtl/>
        </w:rPr>
        <w:t>)</w:t>
      </w:r>
      <w:r>
        <w:rPr>
          <w:rFonts w:hint="cs"/>
          <w:rtl/>
        </w:rPr>
        <w:t xml:space="preserve">. יחד עם זאת, דומה כי אין להסיק דבר-מה מקביעות אלה, לגבי תחולה אקסטרה-טריטוריאלית של חוקי היסוד, ביחס לנתיני אויב </w:t>
      </w:r>
      <w:r w:rsidRPr="00466C34">
        <w:rPr>
          <w:rFonts w:ascii="Century" w:hAnsi="Century" w:hint="eastAsia"/>
          <w:sz w:val="22"/>
          <w:rtl/>
        </w:rPr>
        <w:t>המצויים</w:t>
      </w:r>
      <w:r w:rsidRPr="002F1373">
        <w:rPr>
          <w:rFonts w:ascii="Century" w:hAnsi="Century" w:cs="Miriam" w:hint="cs"/>
          <w:b/>
          <w:spacing w:val="0"/>
          <w:sz w:val="22"/>
          <w:szCs w:val="24"/>
          <w:rtl/>
        </w:rPr>
        <w:t xml:space="preserve"> </w:t>
      </w:r>
      <w:r w:rsidRPr="00261EC7">
        <w:rPr>
          <w:rFonts w:ascii="Century" w:hAnsi="Century" w:cs="Miriam" w:hint="cs"/>
          <w:b/>
          <w:spacing w:val="0"/>
          <w:sz w:val="22"/>
          <w:szCs w:val="24"/>
          <w:rtl/>
        </w:rPr>
        <w:t>מחוץ</w:t>
      </w:r>
      <w:r w:rsidRPr="00261EC7">
        <w:rPr>
          <w:rFonts w:hint="cs"/>
          <w:rtl/>
        </w:rPr>
        <w:t xml:space="preserve"> </w:t>
      </w:r>
      <w:r>
        <w:rPr>
          <w:rFonts w:hint="cs"/>
          <w:rtl/>
        </w:rPr>
        <w:t xml:space="preserve">לישראל. באותן פרשות, מדובר היה בפגיעה בזכויותיהם של פרטים השוהים </w:t>
      </w:r>
      <w:r w:rsidRPr="000F4081">
        <w:rPr>
          <w:rFonts w:ascii="Century" w:hAnsi="Century" w:cs="Miriam" w:hint="cs"/>
          <w:b/>
          <w:spacing w:val="0"/>
          <w:sz w:val="22"/>
          <w:szCs w:val="24"/>
          <w:rtl/>
        </w:rPr>
        <w:t>בישראל</w:t>
      </w:r>
      <w:r>
        <w:rPr>
          <w:rFonts w:hint="cs"/>
          <w:rtl/>
        </w:rPr>
        <w:t xml:space="preserve"> (גם אם באופן בלתי חוקי); לא מחוצה לה. נסיבות אלו דומות, במידת-מה, לחריג המצוי בתוספת הראשונה לחוק הנזיקים האזרחיים, שלפיו הסייג לאחריות המדינה אינו חל לגבי נזק שנגרם לאדם </w:t>
      </w:r>
      <w:r w:rsidRPr="000F4081">
        <w:rPr>
          <w:rFonts w:ascii="Century" w:hAnsi="Century" w:cs="Miriam" w:hint="cs"/>
          <w:b/>
          <w:spacing w:val="0"/>
          <w:sz w:val="22"/>
          <w:szCs w:val="24"/>
          <w:rtl/>
        </w:rPr>
        <w:t>"בעת שהיה מצוי במשמורת של מדינת ישראל כעצור או כאסיר"</w:t>
      </w:r>
      <w:r>
        <w:rPr>
          <w:rFonts w:hint="cs"/>
          <w:rtl/>
        </w:rPr>
        <w:t xml:space="preserve">; גם כאשר מדובר במר שבאויבי ישראל. באופן דומה, בעניין </w:t>
      </w:r>
      <w:r w:rsidRPr="000F4081">
        <w:rPr>
          <w:rFonts w:ascii="Century" w:hAnsi="Century" w:cs="Miriam" w:hint="cs"/>
          <w:b/>
          <w:spacing w:val="0"/>
          <w:sz w:val="22"/>
          <w:szCs w:val="24"/>
          <w:rtl/>
        </w:rPr>
        <w:t>פלוני</w:t>
      </w:r>
      <w:r>
        <w:rPr>
          <w:rFonts w:hint="cs"/>
          <w:rtl/>
        </w:rPr>
        <w:t>, התעוררה שאלת חו</w:t>
      </w:r>
      <w:r w:rsidR="007D6198">
        <w:rPr>
          <w:rFonts w:hint="cs"/>
          <w:rtl/>
        </w:rPr>
        <w:t>קתיות חוק כליאתם של לוחמים בלתי-</w:t>
      </w:r>
      <w:r>
        <w:rPr>
          <w:rFonts w:hint="cs"/>
          <w:rtl/>
        </w:rPr>
        <w:t>חוקיים, התשס"ב-2002, תוך שצוין שם, ל</w:t>
      </w:r>
      <w:r w:rsidR="007D6198">
        <w:rPr>
          <w:rFonts w:hint="cs"/>
          <w:rtl/>
        </w:rPr>
        <w:t xml:space="preserve">גבי </w:t>
      </w:r>
      <w:r>
        <w:rPr>
          <w:rFonts w:hint="cs"/>
          <w:rtl/>
        </w:rPr>
        <w:t xml:space="preserve">הצורך לערוך ביקורת שיפוטית חוקתית: </w:t>
      </w:r>
      <w:r w:rsidRPr="000F4081">
        <w:rPr>
          <w:rFonts w:ascii="Century" w:hAnsi="Century" w:cs="Miriam" w:hint="cs"/>
          <w:b/>
          <w:spacing w:val="0"/>
          <w:sz w:val="22"/>
          <w:szCs w:val="24"/>
          <w:rtl/>
        </w:rPr>
        <w:t>"</w:t>
      </w:r>
      <w:r w:rsidRPr="000F4081">
        <w:rPr>
          <w:rFonts w:ascii="Century" w:hAnsi="Century" w:cs="Miriam" w:hint="eastAsia"/>
          <w:b/>
          <w:spacing w:val="0"/>
          <w:sz w:val="22"/>
          <w:szCs w:val="24"/>
          <w:rtl/>
        </w:rPr>
        <w:t>יובהר</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כי</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חוק</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כליאתם</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של</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לוחמים</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בלתי</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חוקיים</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נועד</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אמנם</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לחול</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על</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גורם</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u w:val="single"/>
          <w:rtl/>
        </w:rPr>
        <w:t>חוץ</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המשתייך</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לארגון</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טרור</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שפועל</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נגד</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בטחון</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המדינה</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ראו</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פסקה</w:t>
      </w:r>
      <w:r w:rsidRPr="000F4081">
        <w:rPr>
          <w:rFonts w:ascii="Century" w:hAnsi="Century" w:cs="Miriam"/>
          <w:b/>
          <w:spacing w:val="0"/>
          <w:sz w:val="22"/>
          <w:szCs w:val="24"/>
          <w:rtl/>
        </w:rPr>
        <w:t xml:space="preserve"> 11 </w:t>
      </w:r>
      <w:r w:rsidRPr="000F4081">
        <w:rPr>
          <w:rFonts w:ascii="Century" w:hAnsi="Century" w:cs="Miriam" w:hint="eastAsia"/>
          <w:b/>
          <w:spacing w:val="0"/>
          <w:sz w:val="22"/>
          <w:szCs w:val="24"/>
          <w:rtl/>
        </w:rPr>
        <w:t>לעיל</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עם</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זאת</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מעצרם</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של</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הלוחמים</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הבלתי</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חוקיים</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u w:val="single"/>
          <w:rtl/>
        </w:rPr>
        <w:t>נעשה</w:t>
      </w:r>
      <w:r w:rsidRPr="000F4081">
        <w:rPr>
          <w:rFonts w:ascii="Century" w:hAnsi="Century" w:cs="Miriam"/>
          <w:b/>
          <w:spacing w:val="0"/>
          <w:sz w:val="22"/>
          <w:szCs w:val="24"/>
          <w:u w:val="single"/>
          <w:rtl/>
        </w:rPr>
        <w:t xml:space="preserve"> </w:t>
      </w:r>
      <w:r w:rsidRPr="000F4081">
        <w:rPr>
          <w:rFonts w:ascii="Century" w:hAnsi="Century" w:cs="Miriam" w:hint="eastAsia"/>
          <w:b/>
          <w:spacing w:val="0"/>
          <w:sz w:val="22"/>
          <w:szCs w:val="24"/>
          <w:u w:val="single"/>
          <w:rtl/>
        </w:rPr>
        <w:t>בישראל</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על</w:t>
      </w:r>
      <w:r w:rsidRPr="000F4081">
        <w:rPr>
          <w:rFonts w:ascii="Century" w:hAnsi="Century" w:cs="Miriam"/>
          <w:b/>
          <w:spacing w:val="0"/>
          <w:sz w:val="22"/>
          <w:szCs w:val="24"/>
          <w:rtl/>
        </w:rPr>
        <w:t>-</w:t>
      </w:r>
      <w:r w:rsidRPr="000F4081">
        <w:rPr>
          <w:rFonts w:ascii="Century" w:hAnsi="Century" w:cs="Miriam" w:hint="eastAsia"/>
          <w:b/>
          <w:spacing w:val="0"/>
          <w:sz w:val="22"/>
          <w:szCs w:val="24"/>
          <w:rtl/>
        </w:rPr>
        <w:t>ידי</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רשויות</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השלטון</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המחויבות</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לכבד</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את</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הזכויות</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המעוגנות</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בחוק</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היסוד</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ביחס</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לכל</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אדם</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ראו</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סעיפים</w:t>
      </w:r>
      <w:r w:rsidRPr="000F4081">
        <w:rPr>
          <w:rFonts w:ascii="Century" w:hAnsi="Century" w:cs="Miriam"/>
          <w:b/>
          <w:spacing w:val="0"/>
          <w:sz w:val="22"/>
          <w:szCs w:val="24"/>
          <w:rtl/>
        </w:rPr>
        <w:t xml:space="preserve"> 1 </w:t>
      </w:r>
      <w:r w:rsidRPr="000F4081">
        <w:rPr>
          <w:rFonts w:ascii="Century" w:hAnsi="Century" w:cs="Miriam" w:hint="eastAsia"/>
          <w:b/>
          <w:spacing w:val="0"/>
          <w:sz w:val="22"/>
          <w:szCs w:val="24"/>
          <w:rtl/>
        </w:rPr>
        <w:t>ו</w:t>
      </w:r>
      <w:r w:rsidRPr="000F4081">
        <w:rPr>
          <w:rFonts w:ascii="Century" w:hAnsi="Century" w:cs="Miriam"/>
          <w:b/>
          <w:spacing w:val="0"/>
          <w:sz w:val="22"/>
          <w:szCs w:val="24"/>
          <w:rtl/>
        </w:rPr>
        <w:t xml:space="preserve">-11 </w:t>
      </w:r>
      <w:r w:rsidRPr="000F4081">
        <w:rPr>
          <w:rFonts w:ascii="Century" w:hAnsi="Century" w:cs="Miriam" w:hint="eastAsia"/>
          <w:b/>
          <w:spacing w:val="0"/>
          <w:sz w:val="22"/>
          <w:szCs w:val="24"/>
          <w:rtl/>
        </w:rPr>
        <w:t>לחוק</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היסוד</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בהתאם</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לכך</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יש</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לבחון</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את</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הפגיעה</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הטמונה</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בהסדריו</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של</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חוק</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כליאתם</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של</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לוחמים</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בלתי</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חוקיים</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בהתאם</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למבחניו</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של</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חוק</w:t>
      </w:r>
      <w:r w:rsidRPr="000F4081">
        <w:rPr>
          <w:rFonts w:ascii="Century" w:hAnsi="Century" w:cs="Miriam"/>
          <w:b/>
          <w:spacing w:val="0"/>
          <w:sz w:val="22"/>
          <w:szCs w:val="24"/>
          <w:rtl/>
        </w:rPr>
        <w:t xml:space="preserve"> </w:t>
      </w:r>
      <w:r w:rsidRPr="000F4081">
        <w:rPr>
          <w:rFonts w:ascii="Century" w:hAnsi="Century" w:cs="Miriam" w:hint="eastAsia"/>
          <w:b/>
          <w:spacing w:val="0"/>
          <w:sz w:val="22"/>
          <w:szCs w:val="24"/>
          <w:rtl/>
        </w:rPr>
        <w:t>היסוד</w:t>
      </w:r>
      <w:r w:rsidRPr="000F4081">
        <w:rPr>
          <w:rFonts w:ascii="Century" w:hAnsi="Century" w:cs="Miriam" w:hint="cs"/>
          <w:b/>
          <w:spacing w:val="0"/>
          <w:sz w:val="22"/>
          <w:szCs w:val="24"/>
          <w:rtl/>
        </w:rPr>
        <w:t>"</w:t>
      </w:r>
      <w:r>
        <w:rPr>
          <w:rFonts w:hint="cs"/>
          <w:rtl/>
        </w:rPr>
        <w:t xml:space="preserve"> (ההדגשות הו</w:t>
      </w:r>
      <w:r w:rsidRPr="008616A5">
        <w:rPr>
          <w:rFonts w:ascii="Century" w:hAnsi="Century" w:hint="eastAsia"/>
          <w:sz w:val="22"/>
          <w:rtl/>
        </w:rPr>
        <w:t>ספו</w:t>
      </w:r>
      <w:r w:rsidRPr="008616A5">
        <w:rPr>
          <w:rFonts w:ascii="Century" w:hAnsi="Century"/>
          <w:sz w:val="22"/>
          <w:rtl/>
        </w:rPr>
        <w:t xml:space="preserve"> – </w:t>
      </w:r>
      <w:r w:rsidRPr="008616A5">
        <w:rPr>
          <w:rFonts w:ascii="Century" w:hAnsi="Century" w:hint="eastAsia"/>
          <w:sz w:val="22"/>
          <w:rtl/>
        </w:rPr>
        <w:t>נ</w:t>
      </w:r>
      <w:r w:rsidRPr="008616A5">
        <w:rPr>
          <w:rFonts w:ascii="Century" w:hAnsi="Century"/>
          <w:sz w:val="22"/>
          <w:rtl/>
        </w:rPr>
        <w:t xml:space="preserve">' </w:t>
      </w:r>
      <w:r w:rsidRPr="008616A5">
        <w:rPr>
          <w:rFonts w:ascii="Century" w:hAnsi="Century" w:hint="eastAsia"/>
          <w:sz w:val="22"/>
          <w:rtl/>
        </w:rPr>
        <w:t>ס</w:t>
      </w:r>
      <w:r w:rsidRPr="008616A5">
        <w:rPr>
          <w:rFonts w:ascii="Century" w:hAnsi="Century"/>
          <w:sz w:val="22"/>
          <w:rtl/>
        </w:rPr>
        <w:t>').</w:t>
      </w:r>
      <w:r>
        <w:rPr>
          <w:rFonts w:hint="cs"/>
          <w:rtl/>
        </w:rPr>
        <w:t xml:space="preserve"> אם כן, ברי כי לא ניתן להקיש מן המקרים האמורים, שבהם הוענקה הגנת חוק היסוד למי שמצוי בישראל, או נתון בה במעצר או משמורת, לענייננו. </w:t>
      </w:r>
      <w:r w:rsidR="007D6198">
        <w:rPr>
          <w:rFonts w:hint="cs"/>
          <w:rtl/>
        </w:rPr>
        <w:t>אציין עוד</w:t>
      </w:r>
      <w:r>
        <w:rPr>
          <w:rFonts w:hint="cs"/>
          <w:rtl/>
        </w:rPr>
        <w:t>, כי שאלת התחולה האקסטרה-טריטוריאלית של חוקי-היסוד נותרה בצריך עיון גם במקרים נוספים (ראו, למשל, עניין</w:t>
      </w:r>
      <w:r w:rsidRPr="000F4081">
        <w:rPr>
          <w:rFonts w:ascii="Century" w:hAnsi="Century" w:cs="Miriam" w:hint="cs"/>
          <w:b/>
          <w:spacing w:val="0"/>
          <w:sz w:val="22"/>
          <w:szCs w:val="24"/>
          <w:rtl/>
        </w:rPr>
        <w:t xml:space="preserve"> דיראני</w:t>
      </w:r>
      <w:r>
        <w:rPr>
          <w:rFonts w:hint="cs"/>
          <w:rtl/>
        </w:rPr>
        <w:t xml:space="preserve">, פסקה 41; בג"ץ 3278/02 </w:t>
      </w:r>
      <w:r w:rsidRPr="0052668C">
        <w:rPr>
          <w:rFonts w:ascii="Century" w:hAnsi="Century" w:cs="Miriam" w:hint="cs"/>
          <w:b/>
          <w:spacing w:val="0"/>
          <w:sz w:val="22"/>
          <w:szCs w:val="24"/>
          <w:rtl/>
        </w:rPr>
        <w:t>המוקד להגנת הפרט מיסודה של ד"ר לוטה זלצברגר נ' מפקד כוחות צה"ל באזור הגדה המערבית</w:t>
      </w:r>
      <w:r>
        <w:rPr>
          <w:rFonts w:hint="cs"/>
          <w:rtl/>
        </w:rPr>
        <w:t>, פ"ד נז(1) 385, 396 (2002)).</w:t>
      </w:r>
    </w:p>
    <w:p w:rsidR="00D512D4" w:rsidRPr="00AA6F20" w:rsidRDefault="00D512D4" w:rsidP="000B6AE3">
      <w:pPr>
        <w:pStyle w:val="Ruller41"/>
        <w:spacing w:line="240" w:lineRule="auto"/>
      </w:pPr>
    </w:p>
    <w:p w:rsidR="00D512D4" w:rsidRDefault="00D512D4" w:rsidP="00154174">
      <w:pPr>
        <w:pStyle w:val="Ruller4"/>
        <w:tabs>
          <w:tab w:val="clear" w:pos="907"/>
        </w:tabs>
      </w:pPr>
      <w:r>
        <w:rPr>
          <w:rFonts w:hint="cs"/>
          <w:rtl/>
        </w:rPr>
        <w:t xml:space="preserve">אף ששאלת התחולה לא הוכרעה עד כה באופן מפורש, ניתן למצוא בפסיקה רבת-השנים הד לגישה מרחיבה, שלפיה 'עקרונות המשפט החוקתי' חלים על כלל פעולותיה של מדינת ישראל, ועל הפועלים מטעמה, 'באשר הם שם' (ראו, למשל: בג"ץ 5100/94 </w:t>
      </w:r>
      <w:r w:rsidRPr="0052668C">
        <w:rPr>
          <w:rFonts w:ascii="Century" w:hAnsi="Century" w:cs="Miriam" w:hint="cs"/>
          <w:b/>
          <w:spacing w:val="0"/>
          <w:sz w:val="22"/>
          <w:szCs w:val="24"/>
          <w:rtl/>
        </w:rPr>
        <w:t>הוועד הציבורי נגד עינויים בישראל נ' ממשלת ישראל</w:t>
      </w:r>
      <w:r>
        <w:rPr>
          <w:rFonts w:hint="cs"/>
          <w:rtl/>
        </w:rPr>
        <w:t xml:space="preserve">, פ"ד נג(4) 817, 834 ו-846 (1999) </w:t>
      </w:r>
      <w:r>
        <w:rPr>
          <w:rtl/>
        </w:rPr>
        <w:t>–</w:t>
      </w:r>
      <w:r>
        <w:rPr>
          <w:rFonts w:hint="cs"/>
          <w:rtl/>
        </w:rPr>
        <w:t xml:space="preserve"> שם דוּב</w:t>
      </w:r>
      <w:r w:rsidR="00AB35BE">
        <w:rPr>
          <w:rFonts w:hint="cs"/>
          <w:rtl/>
        </w:rPr>
        <w:t>ּ</w:t>
      </w:r>
      <w:r>
        <w:rPr>
          <w:rFonts w:hint="cs"/>
          <w:rtl/>
        </w:rPr>
        <w:t xml:space="preserve">ר בשיטות חקירה של השב"כ, אשר נטען כי </w:t>
      </w:r>
      <w:r w:rsidR="007D6198">
        <w:rPr>
          <w:rFonts w:hint="cs"/>
          <w:rtl/>
        </w:rPr>
        <w:t xml:space="preserve">הן </w:t>
      </w:r>
      <w:r>
        <w:rPr>
          <w:rFonts w:hint="cs"/>
          <w:rtl/>
        </w:rPr>
        <w:t xml:space="preserve">פוגעות בזכות לחיים ולשלמות הגוף, ובית המשפט קבע כי יש להגבילן, אף אם הן נעשות מחוץ לישראל; בג"ץ 3799/02 </w:t>
      </w:r>
      <w:r w:rsidRPr="0052668C">
        <w:rPr>
          <w:rFonts w:ascii="Century" w:hAnsi="Century" w:cs="Miriam" w:hint="cs"/>
          <w:b/>
          <w:spacing w:val="0"/>
          <w:sz w:val="22"/>
          <w:szCs w:val="24"/>
          <w:rtl/>
        </w:rPr>
        <w:t>עדאלה, המרכז המשפטי לזכויות המיעוט הערבי בישראל נ' אלוף פיקוד מרכז בצה"ל</w:t>
      </w:r>
      <w:r>
        <w:rPr>
          <w:rFonts w:hint="cs"/>
          <w:rtl/>
        </w:rPr>
        <w:t>, פ"ד ס(3) 67, 85 ו-87 (2005), אשר עסק בעניין הפגיעה ב</w:t>
      </w:r>
      <w:r w:rsidRPr="0052668C">
        <w:rPr>
          <w:rFonts w:ascii="Century" w:hAnsi="Century" w:cs="Miriam" w:hint="cs"/>
          <w:b/>
          <w:spacing w:val="0"/>
          <w:sz w:val="22"/>
          <w:szCs w:val="24"/>
          <w:rtl/>
        </w:rPr>
        <w:t>"עקרונות החוקתיים של שיטתנו המשפטית"</w:t>
      </w:r>
      <w:r>
        <w:rPr>
          <w:rFonts w:hint="cs"/>
          <w:rtl/>
        </w:rPr>
        <w:t xml:space="preserve">, הנובעת מהפעלת 'נוהל שכן' באיו"ש; בג"ץ 10356/02 </w:t>
      </w:r>
      <w:r w:rsidRPr="0052668C">
        <w:rPr>
          <w:rFonts w:ascii="Century" w:hAnsi="Century" w:cs="Miriam" w:hint="cs"/>
          <w:b/>
          <w:spacing w:val="0"/>
          <w:sz w:val="22"/>
          <w:szCs w:val="24"/>
          <w:rtl/>
        </w:rPr>
        <w:t>הס נ' מפקד כוחות צה"ל בגדה המערבית אלוף פיקוד מרכז</w:t>
      </w:r>
      <w:r>
        <w:rPr>
          <w:rFonts w:hint="cs"/>
          <w:rtl/>
        </w:rPr>
        <w:t xml:space="preserve">, פ"ד נח(3) 443, 464-460 (2004), ובג"ץ 9593/04 </w:t>
      </w:r>
      <w:r w:rsidRPr="0052668C">
        <w:rPr>
          <w:rFonts w:ascii="Century" w:hAnsi="Century" w:cs="Miriam" w:hint="cs"/>
          <w:b/>
          <w:spacing w:val="0"/>
          <w:sz w:val="22"/>
          <w:szCs w:val="24"/>
          <w:rtl/>
        </w:rPr>
        <w:t>מוראר נ' מפקד כוחות צה"ל ביהודה ושומרון</w:t>
      </w:r>
      <w:r>
        <w:rPr>
          <w:rFonts w:hint="cs"/>
          <w:rtl/>
        </w:rPr>
        <w:t xml:space="preserve">, פסקה 14 לפסק הדין של השופטת (כתוארה אז) </w:t>
      </w:r>
      <w:r w:rsidRPr="008616A5">
        <w:rPr>
          <w:rFonts w:ascii="Century" w:hAnsi="Century" w:cs="Miriam" w:hint="eastAsia"/>
          <w:b/>
          <w:spacing w:val="0"/>
          <w:sz w:val="22"/>
          <w:szCs w:val="24"/>
          <w:rtl/>
        </w:rPr>
        <w:t>ביניש</w:t>
      </w:r>
      <w:r w:rsidRPr="002F1373">
        <w:rPr>
          <w:rFonts w:hint="cs"/>
          <w:rtl/>
        </w:rPr>
        <w:t xml:space="preserve"> </w:t>
      </w:r>
      <w:r>
        <w:rPr>
          <w:rFonts w:hint="cs"/>
          <w:rtl/>
        </w:rPr>
        <w:t>(26.6.2006), אשר עסקו שניהם בהחלטת המפקד הצבאי לסגור או לתפוס שטחים מסוימים באיו"ש, תוך פגיעה בחופש התנועה ובזכות הקניין של התושבים הפלסטינ</w:t>
      </w:r>
      <w:r w:rsidR="00180A78">
        <w:rPr>
          <w:rFonts w:hint="cs"/>
          <w:rtl/>
        </w:rPr>
        <w:t xml:space="preserve">ים). אם נשתמש במשל </w:t>
      </w:r>
      <w:r>
        <w:rPr>
          <w:rFonts w:hint="cs"/>
          <w:rtl/>
        </w:rPr>
        <w:t>ה</w:t>
      </w:r>
      <w:r w:rsidR="00180A78">
        <w:rPr>
          <w:rFonts w:hint="cs"/>
          <w:rtl/>
        </w:rPr>
        <w:t>'</w:t>
      </w:r>
      <w:r>
        <w:rPr>
          <w:rFonts w:hint="cs"/>
          <w:rtl/>
        </w:rPr>
        <w:t>תרמיל' הידוע, שלפיו:</w:t>
      </w:r>
      <w:r w:rsidRPr="00927E3F">
        <w:rPr>
          <w:rFonts w:ascii="Century" w:hAnsi="Century" w:cs="Miriam" w:hint="cs"/>
          <w:b/>
          <w:spacing w:val="0"/>
          <w:sz w:val="22"/>
          <w:szCs w:val="24"/>
          <w:rtl/>
        </w:rPr>
        <w:t xml:space="preserve"> </w:t>
      </w:r>
      <w:r w:rsidRPr="0052668C">
        <w:rPr>
          <w:rFonts w:ascii="Century" w:hAnsi="Century" w:cs="Miriam" w:hint="cs"/>
          <w:b/>
          <w:spacing w:val="0"/>
          <w:sz w:val="22"/>
          <w:szCs w:val="24"/>
          <w:rtl/>
        </w:rPr>
        <w:t>"כל חייל ישראל</w:t>
      </w:r>
      <w:r w:rsidR="00167470">
        <w:rPr>
          <w:rFonts w:ascii="Century" w:hAnsi="Century" w:cs="Miriam" w:hint="cs"/>
          <w:b/>
          <w:spacing w:val="0"/>
          <w:sz w:val="22"/>
          <w:szCs w:val="24"/>
          <w:rtl/>
        </w:rPr>
        <w:t>י</w:t>
      </w:r>
      <w:r w:rsidRPr="0052668C">
        <w:rPr>
          <w:rFonts w:ascii="Century" w:hAnsi="Century" w:cs="Miriam" w:hint="cs"/>
          <w:b/>
          <w:spacing w:val="0"/>
          <w:sz w:val="22"/>
          <w:szCs w:val="24"/>
          <w:rtl/>
        </w:rPr>
        <w:t xml:space="preserve"> נושא עמו בתרמילו את כללי המשפט הבינלאומי הפומבי והמנהגי, שעניינם דיני המלחמה ואת כללי היסוד של המשפט המנהלי הישראלי"</w:t>
      </w:r>
      <w:r>
        <w:rPr>
          <w:rFonts w:hint="cs"/>
          <w:rtl/>
        </w:rPr>
        <w:t xml:space="preserve"> (</w:t>
      </w:r>
      <w:r w:rsidR="00AA0084" w:rsidRPr="00505120">
        <w:rPr>
          <w:rFonts w:ascii="Century" w:hAnsi="Century" w:hint="cs"/>
          <w:sz w:val="22"/>
          <w:rtl/>
        </w:rPr>
        <w:t>עניין</w:t>
      </w:r>
      <w:r w:rsidRPr="00154174">
        <w:rPr>
          <w:rFonts w:ascii="Century" w:hAnsi="Century" w:cs="Miriam" w:hint="cs"/>
          <w:b/>
          <w:spacing w:val="0"/>
          <w:sz w:val="22"/>
          <w:szCs w:val="24"/>
          <w:rtl/>
        </w:rPr>
        <w:t xml:space="preserve"> </w:t>
      </w:r>
      <w:r w:rsidRPr="0052668C">
        <w:rPr>
          <w:rFonts w:ascii="Century" w:hAnsi="Century" w:cs="Miriam" w:hint="cs"/>
          <w:b/>
          <w:spacing w:val="0"/>
          <w:sz w:val="22"/>
          <w:szCs w:val="24"/>
          <w:rtl/>
        </w:rPr>
        <w:t>בית סוריק</w:t>
      </w:r>
      <w:r>
        <w:rPr>
          <w:rFonts w:hint="cs"/>
          <w:rtl/>
        </w:rPr>
        <w:t xml:space="preserve">, </w:t>
      </w:r>
      <w:r w:rsidR="00AA0084">
        <w:rPr>
          <w:rFonts w:hint="cs"/>
          <w:rtl/>
        </w:rPr>
        <w:t xml:space="preserve">עמוד </w:t>
      </w:r>
      <w:r>
        <w:rPr>
          <w:rFonts w:hint="cs"/>
          <w:rtl/>
        </w:rPr>
        <w:t xml:space="preserve">828), הרי שלפי גישה זו, המכונה לעיתים בספרות גישת </w:t>
      </w:r>
      <w:r>
        <w:rPr>
          <w:rFonts w:ascii="Century" w:hAnsi="Century" w:cs="Miriam" w:hint="cs"/>
          <w:b/>
          <w:spacing w:val="0"/>
          <w:sz w:val="22"/>
          <w:szCs w:val="24"/>
          <w:rtl/>
        </w:rPr>
        <w:t>'ה</w:t>
      </w:r>
      <w:r w:rsidRPr="0052668C">
        <w:rPr>
          <w:rFonts w:ascii="Century" w:hAnsi="Century" w:cs="Miriam" w:hint="cs"/>
          <w:b/>
          <w:spacing w:val="0"/>
          <w:sz w:val="22"/>
          <w:szCs w:val="24"/>
          <w:rtl/>
        </w:rPr>
        <w:t xml:space="preserve">תחולה </w:t>
      </w:r>
      <w:r>
        <w:rPr>
          <w:rFonts w:ascii="Century" w:hAnsi="Century" w:cs="Miriam" w:hint="cs"/>
          <w:b/>
          <w:spacing w:val="0"/>
          <w:sz w:val="22"/>
          <w:szCs w:val="24"/>
          <w:rtl/>
        </w:rPr>
        <w:t>ה</w:t>
      </w:r>
      <w:r w:rsidRPr="0052668C">
        <w:rPr>
          <w:rFonts w:ascii="Century" w:hAnsi="Century" w:cs="Miriam" w:hint="cs"/>
          <w:b/>
          <w:spacing w:val="0"/>
          <w:sz w:val="22"/>
          <w:szCs w:val="24"/>
          <w:rtl/>
        </w:rPr>
        <w:t>אוניברסלית</w:t>
      </w:r>
      <w:r>
        <w:rPr>
          <w:rFonts w:ascii="Century" w:hAnsi="Century" w:cs="Miriam" w:hint="cs"/>
          <w:b/>
          <w:spacing w:val="0"/>
          <w:sz w:val="22"/>
          <w:szCs w:val="24"/>
          <w:rtl/>
        </w:rPr>
        <w:t>'</w:t>
      </w:r>
      <w:r>
        <w:rPr>
          <w:rFonts w:hint="cs"/>
          <w:rtl/>
        </w:rPr>
        <w:t>, יש להוסיף ל'תרמיל' גם את 'עקרונות המשפט החוקתי'. על-פי גישה זו, ההדגשה אינה ניתנת ל</w:t>
      </w:r>
      <w:r w:rsidRPr="001223BA">
        <w:rPr>
          <w:rFonts w:ascii="Century" w:hAnsi="Century" w:cs="Miriam" w:hint="cs"/>
          <w:b/>
          <w:spacing w:val="0"/>
          <w:sz w:val="22"/>
          <w:szCs w:val="24"/>
          <w:rtl/>
        </w:rPr>
        <w:t>מקום</w:t>
      </w:r>
      <w:r w:rsidRPr="001223BA">
        <w:rPr>
          <w:rFonts w:hint="cs"/>
          <w:rtl/>
        </w:rPr>
        <w:t xml:space="preserve"> </w:t>
      </w:r>
      <w:r>
        <w:rPr>
          <w:rFonts w:hint="cs"/>
          <w:rtl/>
        </w:rPr>
        <w:t>שבו הופרה הזכות, אלא ל</w:t>
      </w:r>
      <w:r w:rsidRPr="001223BA">
        <w:rPr>
          <w:rFonts w:ascii="Century" w:hAnsi="Century" w:cs="Miriam" w:hint="cs"/>
          <w:b/>
          <w:spacing w:val="0"/>
          <w:sz w:val="22"/>
          <w:szCs w:val="24"/>
          <w:rtl/>
        </w:rPr>
        <w:t>זהות</w:t>
      </w:r>
      <w:r w:rsidRPr="001223BA">
        <w:rPr>
          <w:rFonts w:hint="cs"/>
          <w:rtl/>
        </w:rPr>
        <w:t xml:space="preserve"> </w:t>
      </w:r>
      <w:r>
        <w:rPr>
          <w:rFonts w:hint="cs"/>
          <w:rtl/>
        </w:rPr>
        <w:t xml:space="preserve">הגורם המפר. ככל שהגורם שהפר את זכות היסוד </w:t>
      </w:r>
      <w:r w:rsidR="007D6198">
        <w:rPr>
          <w:rFonts w:hint="cs"/>
          <w:rtl/>
        </w:rPr>
        <w:t>הוא גורם שלטוני, אזי יחולו חוקי-</w:t>
      </w:r>
      <w:r>
        <w:rPr>
          <w:rFonts w:hint="cs"/>
          <w:rtl/>
        </w:rPr>
        <w:t xml:space="preserve">היסוד, גם אם פעולותיו נעשו מחוץ לטריטוריה הישראלית. גישה זו מקבלת חיזוק, מלשון 'פסקת הכיבוד' שבסעיף 11 לחוק היסוד, שלפיה </w:t>
      </w:r>
      <w:r w:rsidRPr="0052668C">
        <w:rPr>
          <w:rFonts w:ascii="Century" w:hAnsi="Century" w:cs="Miriam" w:hint="cs"/>
          <w:b/>
          <w:spacing w:val="0"/>
          <w:sz w:val="22"/>
          <w:szCs w:val="24"/>
          <w:rtl/>
        </w:rPr>
        <w:t>"כל רשות מרשויות השלטון חייבת לכבד את הזכויות שלפי חוק-יסוד זה"</w:t>
      </w:r>
      <w:r>
        <w:rPr>
          <w:rFonts w:hint="cs"/>
          <w:rtl/>
        </w:rPr>
        <w:t xml:space="preserve">, מבלי לסייג חובה זו באופן טריטוריאלי (ראו: </w:t>
      </w:r>
      <w:r w:rsidRPr="0052668C">
        <w:rPr>
          <w:rFonts w:ascii="Century" w:hAnsi="Century" w:cs="Miriam" w:hint="cs"/>
          <w:b/>
          <w:spacing w:val="0"/>
          <w:sz w:val="22"/>
          <w:szCs w:val="24"/>
          <w:rtl/>
        </w:rPr>
        <w:t>אורגד</w:t>
      </w:r>
      <w:r>
        <w:rPr>
          <w:rFonts w:hint="cs"/>
          <w:rtl/>
        </w:rPr>
        <w:t xml:space="preserve">, עמוד 171; </w:t>
      </w:r>
      <w:r w:rsidRPr="0052668C">
        <w:rPr>
          <w:rFonts w:ascii="Century" w:hAnsi="Century" w:cs="Miriam" w:hint="cs"/>
          <w:b/>
          <w:spacing w:val="0"/>
          <w:sz w:val="22"/>
          <w:szCs w:val="24"/>
          <w:rtl/>
        </w:rPr>
        <w:t>ברק</w:t>
      </w:r>
      <w:r>
        <w:rPr>
          <w:rFonts w:ascii="Century" w:hAnsi="Century" w:cs="Miriam" w:hint="cs"/>
          <w:b/>
          <w:spacing w:val="0"/>
          <w:sz w:val="22"/>
          <w:szCs w:val="24"/>
          <w:rtl/>
        </w:rPr>
        <w:t xml:space="preserve"> </w:t>
      </w:r>
      <w:r w:rsidRPr="008616A5">
        <w:rPr>
          <w:rFonts w:ascii="Century" w:hAnsi="Century"/>
          <w:sz w:val="22"/>
          <w:rtl/>
        </w:rPr>
        <w:t>–</w:t>
      </w:r>
      <w:r>
        <w:rPr>
          <w:rFonts w:ascii="Century" w:hAnsi="Century" w:cs="Miriam" w:hint="cs"/>
          <w:b/>
          <w:spacing w:val="0"/>
          <w:sz w:val="22"/>
          <w:szCs w:val="24"/>
          <w:rtl/>
        </w:rPr>
        <w:t xml:space="preserve"> </w:t>
      </w:r>
      <w:r w:rsidRPr="0052668C">
        <w:rPr>
          <w:rFonts w:ascii="Century" w:hAnsi="Century" w:cs="Miriam" w:hint="cs"/>
          <w:b/>
          <w:spacing w:val="0"/>
          <w:sz w:val="22"/>
          <w:szCs w:val="24"/>
          <w:rtl/>
        </w:rPr>
        <w:t>הזכות החוקתית ובנותיה</w:t>
      </w:r>
      <w:r>
        <w:rPr>
          <w:rFonts w:hint="cs"/>
          <w:rtl/>
        </w:rPr>
        <w:t xml:space="preserve">, עמודים 403-402). </w:t>
      </w:r>
    </w:p>
    <w:p w:rsidR="00D512D4" w:rsidRDefault="00D512D4" w:rsidP="000B6AE3">
      <w:pPr>
        <w:pStyle w:val="Ruller4"/>
        <w:numPr>
          <w:ilvl w:val="0"/>
          <w:numId w:val="0"/>
        </w:numPr>
        <w:spacing w:line="240" w:lineRule="auto"/>
        <w:rPr>
          <w:rtl/>
        </w:rPr>
      </w:pPr>
      <w:r>
        <w:rPr>
          <w:rtl/>
        </w:rPr>
        <w:tab/>
      </w:r>
      <w:r>
        <w:rPr>
          <w:rFonts w:hint="cs"/>
          <w:rtl/>
        </w:rPr>
        <w:t xml:space="preserve"> </w:t>
      </w:r>
    </w:p>
    <w:p w:rsidR="00D512D4" w:rsidRDefault="00D512D4" w:rsidP="00D512D4">
      <w:pPr>
        <w:pStyle w:val="Ruller4"/>
        <w:numPr>
          <w:ilvl w:val="0"/>
          <w:numId w:val="0"/>
        </w:numPr>
        <w:rPr>
          <w:rtl/>
        </w:rPr>
      </w:pPr>
      <w:r>
        <w:rPr>
          <w:rtl/>
        </w:rPr>
        <w:tab/>
      </w:r>
      <w:r>
        <w:rPr>
          <w:rFonts w:hint="cs"/>
          <w:rtl/>
        </w:rPr>
        <w:t xml:space="preserve">ועדיין, לא ברור לחלוטין, בוודאי שלא הוכרע עד כה, האם המשמעות המעשית של 'תחולה אוניברסלית', כמתואר, משמעה פתיחת הדלת לביקורת שיפוטית-חוקתית על חקיקה ראשית של הכנסת, בגין פגיעה בזכויות של זרים שנפגעו </w:t>
      </w:r>
      <w:r w:rsidRPr="001223BA">
        <w:rPr>
          <w:rFonts w:ascii="Century" w:hAnsi="Century" w:cs="Miriam" w:hint="cs"/>
          <w:b/>
          <w:spacing w:val="0"/>
          <w:sz w:val="22"/>
          <w:szCs w:val="24"/>
          <w:rtl/>
        </w:rPr>
        <w:t>מחוץ</w:t>
      </w:r>
      <w:r w:rsidRPr="001223BA">
        <w:rPr>
          <w:rFonts w:hint="cs"/>
          <w:rtl/>
        </w:rPr>
        <w:t xml:space="preserve"> </w:t>
      </w:r>
      <w:r>
        <w:rPr>
          <w:rFonts w:hint="cs"/>
          <w:rtl/>
        </w:rPr>
        <w:t xml:space="preserve">לישראל. כך למשל, במקום אחד נפסק, כי: </w:t>
      </w:r>
      <w:r w:rsidRPr="008616A5">
        <w:rPr>
          <w:rFonts w:ascii="Century" w:hAnsi="Century" w:cs="Miriam"/>
          <w:b/>
          <w:spacing w:val="0"/>
          <w:sz w:val="22"/>
          <w:szCs w:val="24"/>
          <w:rtl/>
        </w:rPr>
        <w:t>"הדין שלפיו כל חייל ישראל</w:t>
      </w:r>
      <w:r w:rsidR="00836582">
        <w:rPr>
          <w:rFonts w:ascii="Century" w:hAnsi="Century" w:cs="Miriam" w:hint="cs"/>
          <w:b/>
          <w:spacing w:val="0"/>
          <w:sz w:val="22"/>
          <w:szCs w:val="24"/>
          <w:rtl/>
        </w:rPr>
        <w:t>י</w:t>
      </w:r>
      <w:r w:rsidRPr="008616A5">
        <w:rPr>
          <w:rFonts w:ascii="Century" w:hAnsi="Century" w:cs="Miriam"/>
          <w:b/>
          <w:spacing w:val="0"/>
          <w:sz w:val="22"/>
          <w:szCs w:val="24"/>
          <w:rtl/>
        </w:rPr>
        <w:t xml:space="preserve"> בשטח המפונה נוטל עמו בצקלונו את ערכי היסוד של המשפט המינהלי הישראלי, אין בכוחו להתגבר על חוק של הכנסת"</w:t>
      </w:r>
      <w:r w:rsidRPr="002F1373">
        <w:rPr>
          <w:rFonts w:hint="cs"/>
          <w:rtl/>
        </w:rPr>
        <w:t xml:space="preserve"> </w:t>
      </w:r>
      <w:r>
        <w:rPr>
          <w:rFonts w:hint="cs"/>
          <w:rtl/>
        </w:rPr>
        <w:t xml:space="preserve">(עניין </w:t>
      </w:r>
      <w:r w:rsidRPr="00794D66">
        <w:rPr>
          <w:rFonts w:ascii="Century" w:hAnsi="Century" w:cs="Miriam" w:hint="cs"/>
          <w:b/>
          <w:spacing w:val="0"/>
          <w:sz w:val="22"/>
          <w:szCs w:val="24"/>
          <w:rtl/>
        </w:rPr>
        <w:t>חוף עזה</w:t>
      </w:r>
      <w:r>
        <w:rPr>
          <w:rFonts w:hint="cs"/>
          <w:rtl/>
        </w:rPr>
        <w:t>, עמוד 560; כן ראו:</w:t>
      </w:r>
      <w:r>
        <w:rPr>
          <w:rFonts w:ascii="Century" w:hAnsi="Century" w:cs="Miriam" w:hint="cs"/>
          <w:b/>
          <w:spacing w:val="0"/>
          <w:sz w:val="22"/>
          <w:szCs w:val="24"/>
          <w:rtl/>
        </w:rPr>
        <w:t xml:space="preserve"> </w:t>
      </w:r>
      <w:r w:rsidRPr="00971EED">
        <w:rPr>
          <w:rFonts w:ascii="Century" w:hAnsi="Century" w:cs="Miriam" w:hint="eastAsia"/>
          <w:b/>
          <w:spacing w:val="0"/>
          <w:sz w:val="22"/>
          <w:szCs w:val="24"/>
          <w:rtl/>
        </w:rPr>
        <w:t>רונן</w:t>
      </w:r>
      <w:r>
        <w:rPr>
          <w:rFonts w:hint="cs"/>
          <w:rtl/>
        </w:rPr>
        <w:t>,</w:t>
      </w:r>
      <w:r w:rsidRPr="003A0D41">
        <w:rPr>
          <w:rtl/>
        </w:rPr>
        <w:t xml:space="preserve"> </w:t>
      </w:r>
      <w:r>
        <w:rPr>
          <w:rFonts w:hint="cs"/>
          <w:rtl/>
        </w:rPr>
        <w:t xml:space="preserve">עמודים 154-153). </w:t>
      </w:r>
    </w:p>
    <w:p w:rsidR="00D512D4" w:rsidRDefault="00D512D4" w:rsidP="000B6AE3">
      <w:pPr>
        <w:pStyle w:val="Ruller4"/>
        <w:numPr>
          <w:ilvl w:val="0"/>
          <w:numId w:val="0"/>
        </w:numPr>
        <w:spacing w:line="240" w:lineRule="auto"/>
        <w:rPr>
          <w:rtl/>
        </w:rPr>
      </w:pPr>
    </w:p>
    <w:p w:rsidR="00D512D4" w:rsidRDefault="00D512D4" w:rsidP="00811B3D">
      <w:pPr>
        <w:pStyle w:val="Ruller4"/>
        <w:rPr>
          <w:rtl/>
        </w:rPr>
      </w:pPr>
      <w:r>
        <w:rPr>
          <w:rFonts w:hint="cs"/>
          <w:rtl/>
        </w:rPr>
        <w:t xml:space="preserve">כאן המקום להבהיר, כי ביחס לחלק ניכר מן </w:t>
      </w:r>
      <w:r w:rsidRPr="00794D66">
        <w:rPr>
          <w:rFonts w:ascii="Century" w:hAnsi="Century" w:cs="Miriam" w:hint="cs"/>
          <w:b/>
          <w:spacing w:val="0"/>
          <w:sz w:val="22"/>
          <w:szCs w:val="24"/>
          <w:rtl/>
        </w:rPr>
        <w:t>הפעולות המ</w:t>
      </w:r>
      <w:r>
        <w:rPr>
          <w:rFonts w:ascii="Century" w:hAnsi="Century" w:cs="Miriam" w:hint="cs"/>
          <w:b/>
          <w:spacing w:val="0"/>
          <w:sz w:val="22"/>
          <w:szCs w:val="24"/>
          <w:rtl/>
        </w:rPr>
        <w:t>י</w:t>
      </w:r>
      <w:r w:rsidRPr="00794D66">
        <w:rPr>
          <w:rFonts w:ascii="Century" w:hAnsi="Century" w:cs="Miriam" w:hint="cs"/>
          <w:b/>
          <w:spacing w:val="0"/>
          <w:sz w:val="22"/>
          <w:szCs w:val="24"/>
          <w:rtl/>
        </w:rPr>
        <w:t>נהליות</w:t>
      </w:r>
      <w:r>
        <w:rPr>
          <w:rFonts w:hint="cs"/>
          <w:rtl/>
        </w:rPr>
        <w:t xml:space="preserve"> שנוקטות רשויות המדינה, הן בתוככי ישראל</w:t>
      </w:r>
      <w:r w:rsidR="007D6198">
        <w:rPr>
          <w:rFonts w:hint="cs"/>
          <w:rtl/>
        </w:rPr>
        <w:t>,</w:t>
      </w:r>
      <w:r>
        <w:rPr>
          <w:rFonts w:hint="cs"/>
          <w:rtl/>
        </w:rPr>
        <w:t xml:space="preserve"> הן מחוצה לה, כלל אין צורך לעסוק בשאלת התחולה האקסטרה-טריטוריאלית של חוקי-היסוד. זאת, שכן בדרך כלל, הזכויות הנפגעות ממילא זוכות לכיבוד על-פי </w:t>
      </w:r>
      <w:r w:rsidRPr="0052668C">
        <w:rPr>
          <w:rFonts w:ascii="Century" w:hAnsi="Century" w:cs="Miriam" w:hint="cs"/>
          <w:b/>
          <w:spacing w:val="0"/>
          <w:sz w:val="22"/>
          <w:szCs w:val="24"/>
          <w:rtl/>
        </w:rPr>
        <w:t>הדין המ</w:t>
      </w:r>
      <w:r>
        <w:rPr>
          <w:rFonts w:ascii="Century" w:hAnsi="Century" w:cs="Miriam" w:hint="cs"/>
          <w:b/>
          <w:spacing w:val="0"/>
          <w:sz w:val="22"/>
          <w:szCs w:val="24"/>
          <w:rtl/>
        </w:rPr>
        <w:t>י</w:t>
      </w:r>
      <w:r w:rsidRPr="0052668C">
        <w:rPr>
          <w:rFonts w:ascii="Century" w:hAnsi="Century" w:cs="Miriam" w:hint="cs"/>
          <w:b/>
          <w:spacing w:val="0"/>
          <w:sz w:val="22"/>
          <w:szCs w:val="24"/>
          <w:rtl/>
        </w:rPr>
        <w:t>נהלי</w:t>
      </w:r>
      <w:r>
        <w:rPr>
          <w:rFonts w:hint="cs"/>
          <w:rtl/>
        </w:rPr>
        <w:t xml:space="preserve"> הישראלי, או </w:t>
      </w:r>
      <w:r w:rsidRPr="00D03CF1">
        <w:rPr>
          <w:rFonts w:ascii="Century" w:hAnsi="Century" w:cs="Miriam" w:hint="cs"/>
          <w:b/>
          <w:spacing w:val="0"/>
          <w:sz w:val="22"/>
          <w:szCs w:val="24"/>
          <w:rtl/>
        </w:rPr>
        <w:t>הדין הבינלאומי</w:t>
      </w:r>
      <w:r>
        <w:rPr>
          <w:rFonts w:hint="cs"/>
          <w:rtl/>
        </w:rPr>
        <w:t>, אשר חלים שניהם באופן א-טריטוריאלי, ומחייבים את רשויות השלטון בפעולותיהם, בכל מקום שהוא (ראו, למשל: עניין</w:t>
      </w:r>
      <w:r w:rsidRPr="003A0D41">
        <w:rPr>
          <w:rtl/>
        </w:rPr>
        <w:t xml:space="preserve"> </w:t>
      </w:r>
      <w:r w:rsidRPr="002F1373">
        <w:rPr>
          <w:rFonts w:ascii="Century" w:hAnsi="Century" w:cs="Miriam" w:hint="eastAsia"/>
          <w:b/>
          <w:spacing w:val="0"/>
          <w:sz w:val="22"/>
          <w:szCs w:val="24"/>
          <w:rtl/>
        </w:rPr>
        <w:t>אסכאן</w:t>
      </w:r>
      <w:r>
        <w:rPr>
          <w:rFonts w:hint="cs"/>
          <w:rtl/>
        </w:rPr>
        <w:t xml:space="preserve">, עמודים 793-792; בג"ץ 4764/04 </w:t>
      </w:r>
      <w:r w:rsidRPr="002F1373">
        <w:rPr>
          <w:rFonts w:ascii="Century" w:hAnsi="Century" w:cs="Miriam" w:hint="cs"/>
          <w:b/>
          <w:spacing w:val="0"/>
          <w:sz w:val="22"/>
          <w:szCs w:val="24"/>
          <w:rtl/>
        </w:rPr>
        <w:t>רופאים לזכויות אדם נ' מפקד כוחות צה"ל בעזה</w:t>
      </w:r>
      <w:r>
        <w:rPr>
          <w:rFonts w:hint="cs"/>
          <w:rtl/>
        </w:rPr>
        <w:t xml:space="preserve">, פ"ד נח(5) 385 (2004); בג"ץ 3451/02 </w:t>
      </w:r>
      <w:r w:rsidRPr="002F1373">
        <w:rPr>
          <w:rFonts w:ascii="Century" w:hAnsi="Century" w:cs="Miriam" w:hint="cs"/>
          <w:b/>
          <w:spacing w:val="0"/>
          <w:sz w:val="22"/>
          <w:szCs w:val="24"/>
          <w:rtl/>
        </w:rPr>
        <w:t>אלמדני נ' שר הביטחון</w:t>
      </w:r>
      <w:r>
        <w:rPr>
          <w:rFonts w:hint="cs"/>
          <w:rtl/>
        </w:rPr>
        <w:t>, פ"ד נו(3) 30 (2002);</w:t>
      </w:r>
      <w:r w:rsidRPr="007A15BA">
        <w:rPr>
          <w:rFonts w:hint="cs"/>
          <w:rtl/>
        </w:rPr>
        <w:t xml:space="preserve"> </w:t>
      </w:r>
      <w:r>
        <w:rPr>
          <w:rFonts w:hint="cs"/>
          <w:rtl/>
        </w:rPr>
        <w:t xml:space="preserve">בג"ץ 1890/03 </w:t>
      </w:r>
      <w:r w:rsidRPr="002F1373">
        <w:rPr>
          <w:rFonts w:ascii="Century" w:hAnsi="Century" w:cs="Miriam" w:hint="cs"/>
          <w:b/>
          <w:spacing w:val="0"/>
          <w:sz w:val="22"/>
          <w:szCs w:val="24"/>
          <w:rtl/>
        </w:rPr>
        <w:t>עיריית בית לחם נ' מדינת ישראל</w:t>
      </w:r>
      <w:r>
        <w:rPr>
          <w:rFonts w:hint="cs"/>
          <w:rtl/>
        </w:rPr>
        <w:t>, פ"ד נט(4) 736</w:t>
      </w:r>
      <w:r w:rsidRPr="00794D66">
        <w:rPr>
          <w:rFonts w:hint="cs"/>
          <w:rtl/>
        </w:rPr>
        <w:t xml:space="preserve"> </w:t>
      </w:r>
      <w:r w:rsidR="00836582">
        <w:rPr>
          <w:rFonts w:hint="cs"/>
          <w:rtl/>
        </w:rPr>
        <w:t>(2005)). שאלת התחולה של חוקי-</w:t>
      </w:r>
      <w:r>
        <w:rPr>
          <w:rFonts w:hint="cs"/>
          <w:rtl/>
        </w:rPr>
        <w:t xml:space="preserve">היסוד מתעוררת אפוא, במקום שבו הפגיעה הנטענת נובעת מהוראת </w:t>
      </w:r>
      <w:r w:rsidRPr="002F1373">
        <w:rPr>
          <w:rFonts w:ascii="Century" w:hAnsi="Century" w:cs="Miriam" w:hint="cs"/>
          <w:b/>
          <w:spacing w:val="0"/>
          <w:sz w:val="22"/>
          <w:szCs w:val="24"/>
          <w:rtl/>
        </w:rPr>
        <w:t>חוק ראשי</w:t>
      </w:r>
      <w:r>
        <w:rPr>
          <w:rFonts w:hint="cs"/>
          <w:rtl/>
        </w:rPr>
        <w:t xml:space="preserve"> של הכנסת; לא מפעולה מינהלית גרידא. במקרה כזה, המבקש לעורר 'סוגיה חוקתית', אינו יכול להסתפק עוד בנשק קונבנציונלי </w:t>
      </w:r>
      <w:r>
        <w:rPr>
          <w:rtl/>
        </w:rPr>
        <w:t>–</w:t>
      </w:r>
      <w:r>
        <w:rPr>
          <w:rFonts w:hint="cs"/>
          <w:rtl/>
        </w:rPr>
        <w:t xml:space="preserve"> כללי המשפט המינהלי ודיני המשפט הבינלאומי; עליו לאחוז בידו נשק בלתי-קונבנציונלי </w:t>
      </w:r>
      <w:r>
        <w:rPr>
          <w:rtl/>
        </w:rPr>
        <w:t>–</w:t>
      </w:r>
      <w:r>
        <w:rPr>
          <w:rFonts w:hint="cs"/>
          <w:rtl/>
        </w:rPr>
        <w:t xml:space="preserve"> טענה להפרת זכות חוקתית. עוד </w:t>
      </w:r>
      <w:r w:rsidR="00811B3D">
        <w:rPr>
          <w:rFonts w:hint="cs"/>
          <w:rtl/>
        </w:rPr>
        <w:t>אז</w:t>
      </w:r>
      <w:r>
        <w:rPr>
          <w:rFonts w:hint="cs"/>
          <w:rtl/>
        </w:rPr>
        <w:t>כ</w:t>
      </w:r>
      <w:r w:rsidR="00811B3D">
        <w:rPr>
          <w:rFonts w:hint="cs"/>
          <w:rtl/>
        </w:rPr>
        <w:t>י</w:t>
      </w:r>
      <w:r>
        <w:rPr>
          <w:rFonts w:hint="cs"/>
          <w:rtl/>
        </w:rPr>
        <w:t xml:space="preserve">ר, כי במקרים רבים, כאשר מדובר בחוק 'ישן', כלל לא ניתן לחצות את מפתן הטרקלין החוקתי, נוכח סעיף 'שמירת הדינים' שבסעיף 10 לחוק היסוד (ראו למשל: דנ"פ 7048/97 </w:t>
      </w:r>
      <w:r w:rsidRPr="002F1373">
        <w:rPr>
          <w:rFonts w:ascii="Century" w:hAnsi="Century" w:cs="Miriam" w:hint="cs"/>
          <w:b/>
          <w:spacing w:val="0"/>
          <w:sz w:val="22"/>
          <w:szCs w:val="24"/>
          <w:rtl/>
        </w:rPr>
        <w:t>פלונים נ' שר הביטחון</w:t>
      </w:r>
      <w:r>
        <w:rPr>
          <w:rFonts w:hint="cs"/>
          <w:rtl/>
        </w:rPr>
        <w:t xml:space="preserve">, פ"ד נד(1) 721, 742 (2000); בג"ץ 6826/20 </w:t>
      </w:r>
      <w:r w:rsidRPr="002F1373">
        <w:rPr>
          <w:rFonts w:ascii="Century" w:hAnsi="Century" w:cs="Miriam" w:hint="cs"/>
          <w:b/>
          <w:spacing w:val="0"/>
          <w:sz w:val="22"/>
          <w:szCs w:val="24"/>
          <w:rtl/>
        </w:rPr>
        <w:t>דויקאת נ' מפקד כוחות צה"ל באזור יהודה ושומרון</w:t>
      </w:r>
      <w:r>
        <w:rPr>
          <w:rFonts w:hint="cs"/>
          <w:rtl/>
        </w:rPr>
        <w:t xml:space="preserve">, פסקה 26 לפסק-דיני (25.10.2020); </w:t>
      </w:r>
      <w:r w:rsidR="00D506E2">
        <w:rPr>
          <w:rFonts w:hint="cs"/>
          <w:rtl/>
        </w:rPr>
        <w:t>עניין</w:t>
      </w:r>
      <w:r w:rsidRPr="00A34300">
        <w:rPr>
          <w:rFonts w:ascii="Century" w:hAnsi="Century" w:cs="Miriam"/>
          <w:b/>
          <w:spacing w:val="0"/>
          <w:sz w:val="22"/>
          <w:szCs w:val="24"/>
          <w:rtl/>
        </w:rPr>
        <w:t xml:space="preserve"> </w:t>
      </w:r>
      <w:r w:rsidRPr="00A34300">
        <w:rPr>
          <w:rFonts w:ascii="Century" w:hAnsi="Century" w:cs="Miriam" w:hint="eastAsia"/>
          <w:b/>
          <w:spacing w:val="0"/>
          <w:sz w:val="22"/>
          <w:szCs w:val="24"/>
          <w:rtl/>
        </w:rPr>
        <w:t>עליאן</w:t>
      </w:r>
      <w:r>
        <w:rPr>
          <w:rFonts w:hint="cs"/>
          <w:rtl/>
        </w:rPr>
        <w:t xml:space="preserve">, פסקה 14 לפסק-דינה של הנשיאה </w:t>
      </w:r>
      <w:r w:rsidRPr="0001560C">
        <w:rPr>
          <w:rFonts w:ascii="Century" w:hAnsi="Century" w:cs="Miriam" w:hint="eastAsia"/>
          <w:b/>
          <w:spacing w:val="0"/>
          <w:sz w:val="22"/>
          <w:szCs w:val="24"/>
          <w:rtl/>
        </w:rPr>
        <w:t>חיות</w:t>
      </w:r>
      <w:r>
        <w:rPr>
          <w:rFonts w:hint="cs"/>
          <w:rtl/>
        </w:rPr>
        <w:t xml:space="preserve">). צא ולמד, כי שאלת תחולתם האקסטרה-טריטוריאלית של חוקי היסוד אינה מתעוררת לעיתים קרובות. עדיין, יתכנו מקרים שכאלו, וכזו היתה פרשת </w:t>
      </w:r>
      <w:r w:rsidRPr="002F1373">
        <w:rPr>
          <w:rFonts w:ascii="Century" w:hAnsi="Century" w:cs="Miriam" w:hint="cs"/>
          <w:b/>
          <w:spacing w:val="0"/>
          <w:sz w:val="22"/>
          <w:szCs w:val="24"/>
          <w:rtl/>
        </w:rPr>
        <w:t>חוק ההסדרה</w:t>
      </w:r>
      <w:r>
        <w:rPr>
          <w:rFonts w:hint="cs"/>
          <w:rtl/>
        </w:rPr>
        <w:t>, שבה נדונה חוקתיותו של חוק 'חדש', אשר נטען לגביו, כי הוא מפר זכויות חוקתיות של מי שאינם תושבי ישראל.</w:t>
      </w:r>
    </w:p>
    <w:p w:rsidR="00D512D4" w:rsidRPr="00527941" w:rsidRDefault="00D512D4" w:rsidP="00944FC1">
      <w:pPr>
        <w:pStyle w:val="Ruller4"/>
        <w:numPr>
          <w:ilvl w:val="0"/>
          <w:numId w:val="0"/>
        </w:numPr>
        <w:spacing w:line="240" w:lineRule="auto"/>
      </w:pPr>
    </w:p>
    <w:p w:rsidR="00D512D4" w:rsidRDefault="00D512D4" w:rsidP="00811B3D">
      <w:pPr>
        <w:pStyle w:val="Ruller4"/>
        <w:rPr>
          <w:rtl/>
        </w:rPr>
      </w:pPr>
      <w:r>
        <w:rPr>
          <w:rFonts w:hint="cs"/>
          <w:rtl/>
        </w:rPr>
        <w:t xml:space="preserve">בפרשה </w:t>
      </w:r>
      <w:r w:rsidRPr="0001560C">
        <w:rPr>
          <w:rFonts w:ascii="Century" w:hAnsi="Century" w:hint="eastAsia"/>
          <w:sz w:val="22"/>
          <w:rtl/>
        </w:rPr>
        <w:t>זו</w:t>
      </w:r>
      <w:r w:rsidRPr="002F1373">
        <w:rPr>
          <w:rFonts w:ascii="Century" w:hAnsi="Century" w:cs="Miriam" w:hint="cs"/>
          <w:b/>
          <w:spacing w:val="0"/>
          <w:sz w:val="22"/>
          <w:szCs w:val="24"/>
          <w:rtl/>
        </w:rPr>
        <w:t xml:space="preserve"> </w:t>
      </w:r>
      <w:r>
        <w:rPr>
          <w:rFonts w:hint="cs"/>
          <w:rtl/>
        </w:rPr>
        <w:t xml:space="preserve">(בג"ץ 1308/17 </w:t>
      </w:r>
      <w:r w:rsidRPr="003A0D41">
        <w:rPr>
          <w:rFonts w:ascii="Century" w:hAnsi="Century" w:cs="Miriam" w:hint="cs"/>
          <w:b/>
          <w:spacing w:val="0"/>
          <w:sz w:val="22"/>
          <w:szCs w:val="24"/>
          <w:rtl/>
        </w:rPr>
        <w:t>עיריית סילוואד נ' הכנסת</w:t>
      </w:r>
      <w:r>
        <w:rPr>
          <w:rFonts w:hint="cs"/>
          <w:rtl/>
        </w:rPr>
        <w:t xml:space="preserve"> (9.6.2020) (להלן: </w:t>
      </w:r>
      <w:r w:rsidRPr="0001560C">
        <w:rPr>
          <w:rFonts w:ascii="Century" w:hAnsi="Century" w:cs="Miriam" w:hint="eastAsia"/>
          <w:b/>
          <w:spacing w:val="0"/>
          <w:sz w:val="22"/>
          <w:szCs w:val="24"/>
          <w:rtl/>
        </w:rPr>
        <w:t>פרשת</w:t>
      </w:r>
      <w:r w:rsidRPr="0001560C">
        <w:rPr>
          <w:rFonts w:ascii="Century" w:hAnsi="Century" w:cs="Miriam"/>
          <w:b/>
          <w:spacing w:val="0"/>
          <w:sz w:val="22"/>
          <w:szCs w:val="24"/>
          <w:rtl/>
        </w:rPr>
        <w:t xml:space="preserve"> </w:t>
      </w:r>
      <w:r w:rsidRPr="0001560C">
        <w:rPr>
          <w:rFonts w:ascii="Century" w:hAnsi="Century" w:cs="Miriam" w:hint="eastAsia"/>
          <w:b/>
          <w:spacing w:val="0"/>
          <w:sz w:val="22"/>
          <w:szCs w:val="24"/>
          <w:rtl/>
        </w:rPr>
        <w:t>חוק</w:t>
      </w:r>
      <w:r w:rsidRPr="0001560C">
        <w:rPr>
          <w:rFonts w:ascii="Century" w:hAnsi="Century" w:cs="Miriam"/>
          <w:b/>
          <w:spacing w:val="0"/>
          <w:sz w:val="22"/>
          <w:szCs w:val="24"/>
          <w:rtl/>
        </w:rPr>
        <w:t xml:space="preserve"> </w:t>
      </w:r>
      <w:r w:rsidRPr="0001560C">
        <w:rPr>
          <w:rFonts w:ascii="Century" w:hAnsi="Century" w:cs="Miriam" w:hint="eastAsia"/>
          <w:b/>
          <w:spacing w:val="0"/>
          <w:sz w:val="22"/>
          <w:szCs w:val="24"/>
          <w:rtl/>
        </w:rPr>
        <w:t>ההסדרה</w:t>
      </w:r>
      <w:r>
        <w:rPr>
          <w:rFonts w:hint="cs"/>
          <w:rtl/>
        </w:rPr>
        <w:t xml:space="preserve">)), נדונה חוקתיותו של </w:t>
      </w:r>
      <w:r w:rsidRPr="0079791C">
        <w:rPr>
          <w:rFonts w:hint="eastAsia"/>
          <w:rtl/>
        </w:rPr>
        <w:t>החוק</w:t>
      </w:r>
      <w:r w:rsidRPr="0079791C">
        <w:rPr>
          <w:rtl/>
        </w:rPr>
        <w:t xml:space="preserve"> </w:t>
      </w:r>
      <w:r w:rsidRPr="0079791C">
        <w:rPr>
          <w:rFonts w:hint="eastAsia"/>
          <w:rtl/>
        </w:rPr>
        <w:t>להסדרת</w:t>
      </w:r>
      <w:r w:rsidRPr="0079791C">
        <w:rPr>
          <w:rtl/>
        </w:rPr>
        <w:t xml:space="preserve"> </w:t>
      </w:r>
      <w:r w:rsidRPr="0079791C">
        <w:rPr>
          <w:rFonts w:hint="eastAsia"/>
          <w:rtl/>
        </w:rPr>
        <w:t>ההתיישבות</w:t>
      </w:r>
      <w:r w:rsidRPr="0079791C">
        <w:rPr>
          <w:rtl/>
        </w:rPr>
        <w:t xml:space="preserve"> </w:t>
      </w:r>
      <w:r w:rsidRPr="0079791C">
        <w:rPr>
          <w:rFonts w:hint="eastAsia"/>
          <w:rtl/>
        </w:rPr>
        <w:t>ביהודה</w:t>
      </w:r>
      <w:r w:rsidRPr="0079791C">
        <w:rPr>
          <w:rtl/>
        </w:rPr>
        <w:t xml:space="preserve"> </w:t>
      </w:r>
      <w:r w:rsidRPr="0079791C">
        <w:rPr>
          <w:rFonts w:hint="eastAsia"/>
          <w:rtl/>
        </w:rPr>
        <w:t>והשומרון</w:t>
      </w:r>
      <w:r w:rsidRPr="0079791C">
        <w:rPr>
          <w:rtl/>
        </w:rPr>
        <w:t xml:space="preserve">, </w:t>
      </w:r>
      <w:r w:rsidRPr="0079791C">
        <w:rPr>
          <w:rFonts w:hint="eastAsia"/>
          <w:rtl/>
        </w:rPr>
        <w:t>התשע</w:t>
      </w:r>
      <w:r w:rsidRPr="0079791C">
        <w:rPr>
          <w:rtl/>
        </w:rPr>
        <w:t>"</w:t>
      </w:r>
      <w:r w:rsidRPr="0079791C">
        <w:rPr>
          <w:rFonts w:hint="eastAsia"/>
          <w:rtl/>
        </w:rPr>
        <w:t>ז</w:t>
      </w:r>
      <w:r w:rsidRPr="0079791C">
        <w:rPr>
          <w:rtl/>
        </w:rPr>
        <w:t>-2017</w:t>
      </w:r>
      <w:r>
        <w:rPr>
          <w:rFonts w:hint="cs"/>
          <w:rtl/>
        </w:rPr>
        <w:t xml:space="preserve">. באותו עניין, עלתה שאלת סמכותה של הכנסת לחוקק חוק, שיהא בעל תחולה ישירה על תחומי איו"ש, וכן שאלת תחולתו של חוק היסוד, על האוכלוסיה הפלסטינית המתגוררת באיו"ש. בסופו של </w:t>
      </w:r>
      <w:r w:rsidR="00836582">
        <w:rPr>
          <w:rFonts w:hint="cs"/>
          <w:rtl/>
        </w:rPr>
        <w:t>דבר</w:t>
      </w:r>
      <w:r>
        <w:rPr>
          <w:rFonts w:hint="cs"/>
          <w:rtl/>
        </w:rPr>
        <w:t xml:space="preserve">, נוכח עמדות הצדדים באותו הליך, הותיר בית המשפט שאלות כבדות משקל אלו </w:t>
      </w:r>
      <w:r>
        <w:rPr>
          <w:rtl/>
        </w:rPr>
        <w:t>–</w:t>
      </w:r>
      <w:r>
        <w:rPr>
          <w:rFonts w:hint="cs"/>
          <w:rtl/>
        </w:rPr>
        <w:t xml:space="preserve"> לעת מצוא. לצד זאת, צוין בפסק-דינה של הנשיאה </w:t>
      </w:r>
      <w:r w:rsidRPr="00A76DAA">
        <w:rPr>
          <w:rFonts w:ascii="Century" w:hAnsi="Century" w:cs="Miriam" w:hint="cs"/>
          <w:b/>
          <w:spacing w:val="0"/>
          <w:sz w:val="22"/>
          <w:szCs w:val="24"/>
          <w:rtl/>
        </w:rPr>
        <w:t>חיות</w:t>
      </w:r>
      <w:r>
        <w:rPr>
          <w:rFonts w:hint="cs"/>
          <w:rtl/>
        </w:rPr>
        <w:t>,</w:t>
      </w:r>
      <w:r w:rsidRPr="00A76DAA">
        <w:rPr>
          <w:rFonts w:hint="cs"/>
          <w:rtl/>
        </w:rPr>
        <w:t xml:space="preserve"> </w:t>
      </w:r>
      <w:r>
        <w:rPr>
          <w:rFonts w:hint="cs"/>
          <w:rtl/>
        </w:rPr>
        <w:t xml:space="preserve">כך: </w:t>
      </w:r>
      <w:r w:rsidRPr="003A0D41">
        <w:rPr>
          <w:rFonts w:ascii="Century" w:hAnsi="Century" w:cs="Miriam" w:hint="cs"/>
          <w:b/>
          <w:spacing w:val="0"/>
          <w:sz w:val="22"/>
          <w:szCs w:val="24"/>
          <w:rtl/>
        </w:rPr>
        <w:t>"</w:t>
      </w:r>
      <w:r w:rsidRPr="003A0D41">
        <w:rPr>
          <w:rFonts w:ascii="Century" w:hAnsi="Century" w:cs="Miriam" w:hint="eastAsia"/>
          <w:b/>
          <w:spacing w:val="0"/>
          <w:sz w:val="22"/>
          <w:szCs w:val="24"/>
          <w:rtl/>
        </w:rPr>
        <w:t>ממה</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נפשך</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מחד</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גיסא</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ככל</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שהכנסת</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נטולת</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סמכות</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לחוקק</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את</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חוק</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ההסדרה</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דינו</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להתבטל</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מטעם</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זה</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בלבד</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והדיון</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בעילת</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חוקתיותו</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של</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החוק</w:t>
      </w:r>
      <w:r w:rsidRPr="003A0D41">
        <w:rPr>
          <w:rFonts w:ascii="Century" w:hAnsi="Century" w:cs="Miriam"/>
          <w:b/>
          <w:spacing w:val="0"/>
          <w:sz w:val="22"/>
          <w:szCs w:val="24"/>
          <w:rtl/>
        </w:rPr>
        <w:t xml:space="preserve"> </w:t>
      </w:r>
      <w:r w:rsidRPr="0001560C">
        <w:rPr>
          <w:rFonts w:ascii="Century" w:hAnsi="Century"/>
          <w:sz w:val="22"/>
          <w:rtl/>
        </w:rPr>
        <w:t>–</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מתייתר</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מאידך</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גיסא</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ככל</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שלכנסת</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קיימת</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סמכות</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לחוקק</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את</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חוק</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ההסדרה</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קשה</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להלום</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כי</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רשויות</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השלטון</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והכנסת</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בכללן</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תוכלנה</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לפעול</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בשטחי</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האזור</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כשהן</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משוחררות</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מערכי</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היסוד</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המיועדים</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להגנה</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על</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זכויות</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אדם</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כל</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אדם</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ומן</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הבלמים</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והאיזונים</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הקבועים</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בהקשר</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זה</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בחוקי</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היסוד</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לשון</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rtl/>
        </w:rPr>
        <w:t>אחר</w:t>
      </w:r>
      <w:r w:rsidRPr="003A0D41">
        <w:rPr>
          <w:rFonts w:ascii="Century" w:hAnsi="Century" w:cs="Miriam"/>
          <w:b/>
          <w:spacing w:val="0"/>
          <w:sz w:val="22"/>
          <w:szCs w:val="24"/>
          <w:rtl/>
        </w:rPr>
        <w:t xml:space="preserve">, </w:t>
      </w:r>
      <w:r w:rsidRPr="003A0D41">
        <w:rPr>
          <w:rFonts w:ascii="Century" w:hAnsi="Century" w:cs="Miriam" w:hint="eastAsia"/>
          <w:b/>
          <w:spacing w:val="0"/>
          <w:sz w:val="22"/>
          <w:szCs w:val="24"/>
          <w:u w:val="single"/>
          <w:rtl/>
        </w:rPr>
        <w:t>כוחה</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של</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הכנסת</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לחוקק</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מותווה</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ומוגבל</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על</w:t>
      </w:r>
      <w:r w:rsidRPr="003A0D41">
        <w:rPr>
          <w:rFonts w:ascii="Century" w:hAnsi="Century" w:cs="Miriam"/>
          <w:b/>
          <w:spacing w:val="0"/>
          <w:sz w:val="22"/>
          <w:szCs w:val="24"/>
          <w:u w:val="single"/>
          <w:rtl/>
        </w:rPr>
        <w:t>-</w:t>
      </w:r>
      <w:r w:rsidRPr="003A0D41">
        <w:rPr>
          <w:rFonts w:ascii="Century" w:hAnsi="Century" w:cs="Miriam" w:hint="eastAsia"/>
          <w:b/>
          <w:spacing w:val="0"/>
          <w:sz w:val="22"/>
          <w:szCs w:val="24"/>
          <w:u w:val="single"/>
          <w:rtl/>
        </w:rPr>
        <w:t>ידי</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חוקי</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היסוד</w:t>
      </w:r>
      <w:r w:rsidRPr="003A0D41">
        <w:rPr>
          <w:rFonts w:ascii="Century" w:hAnsi="Century" w:cs="Miriam"/>
          <w:b/>
          <w:spacing w:val="0"/>
          <w:sz w:val="22"/>
          <w:szCs w:val="24"/>
          <w:u w:val="single"/>
          <w:rtl/>
        </w:rPr>
        <w:t xml:space="preserve"> </w:t>
      </w:r>
      <w:r w:rsidR="00811B3D">
        <w:rPr>
          <w:rFonts w:ascii="Century" w:hAnsi="Century" w:cs="Miriam" w:hint="cs"/>
          <w:b/>
          <w:spacing w:val="0"/>
          <w:sz w:val="22"/>
          <w:szCs w:val="24"/>
          <w:u w:val="single"/>
          <w:rtl/>
        </w:rPr>
        <w:t>[...]</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החוקה</w:t>
      </w:r>
      <w:r w:rsidRPr="003A0D41">
        <w:rPr>
          <w:rFonts w:ascii="Century" w:hAnsi="Century" w:cs="Miriam"/>
          <w:b/>
          <w:spacing w:val="0"/>
          <w:sz w:val="22"/>
          <w:szCs w:val="24"/>
          <w:u w:val="single"/>
          <w:rtl/>
        </w:rPr>
        <w:t xml:space="preserve"> </w:t>
      </w:r>
      <w:r w:rsidRPr="0001560C">
        <w:rPr>
          <w:rFonts w:ascii="Century" w:hAnsi="Century"/>
          <w:sz w:val="22"/>
          <w:u w:val="single"/>
          <w:rtl/>
        </w:rPr>
        <w:t>–</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אותה</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נורמה</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חוקתית</w:t>
      </w:r>
      <w:r w:rsidRPr="003A0D41">
        <w:rPr>
          <w:rFonts w:ascii="Century" w:hAnsi="Century" w:cs="Miriam"/>
          <w:b/>
          <w:spacing w:val="0"/>
          <w:sz w:val="22"/>
          <w:szCs w:val="24"/>
          <w:u w:val="single"/>
          <w:rtl/>
        </w:rPr>
        <w:t>-</w:t>
      </w:r>
      <w:r w:rsidRPr="003A0D41">
        <w:rPr>
          <w:rFonts w:ascii="Century" w:hAnsi="Century" w:cs="Miriam" w:hint="eastAsia"/>
          <w:b/>
          <w:spacing w:val="0"/>
          <w:sz w:val="22"/>
          <w:szCs w:val="24"/>
          <w:u w:val="single"/>
          <w:rtl/>
        </w:rPr>
        <w:t>על</w:t>
      </w:r>
      <w:r w:rsidRPr="003A0D41">
        <w:rPr>
          <w:rFonts w:ascii="Century" w:hAnsi="Century" w:cs="Miriam"/>
          <w:b/>
          <w:spacing w:val="0"/>
          <w:sz w:val="22"/>
          <w:szCs w:val="24"/>
          <w:u w:val="single"/>
          <w:rtl/>
        </w:rPr>
        <w:t>-</w:t>
      </w:r>
      <w:r w:rsidRPr="003A0D41">
        <w:rPr>
          <w:rFonts w:ascii="Century" w:hAnsi="Century" w:cs="Miriam" w:hint="eastAsia"/>
          <w:b/>
          <w:spacing w:val="0"/>
          <w:sz w:val="22"/>
          <w:szCs w:val="24"/>
          <w:u w:val="single"/>
          <w:rtl/>
        </w:rPr>
        <w:t>חוקית</w:t>
      </w:r>
      <w:r w:rsidRPr="003A0D41">
        <w:rPr>
          <w:rFonts w:ascii="Century" w:hAnsi="Century" w:cs="Miriam"/>
          <w:b/>
          <w:spacing w:val="0"/>
          <w:sz w:val="22"/>
          <w:szCs w:val="24"/>
          <w:u w:val="single"/>
          <w:rtl/>
        </w:rPr>
        <w:t xml:space="preserve"> </w:t>
      </w:r>
      <w:r w:rsidRPr="0001560C">
        <w:rPr>
          <w:rFonts w:ascii="Century" w:hAnsi="Century"/>
          <w:sz w:val="22"/>
          <w:u w:val="single"/>
          <w:rtl/>
        </w:rPr>
        <w:t>–</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מטילה</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על</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המחוקק</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חובה</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לחוקק</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חוקים</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העולים</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בקנה</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אחד</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עם</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עקרונות</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שלטון</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החוק</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הפורמלי</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והמהותי</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ובכלל</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זה</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שלא</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לפגוע</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בזכויות</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אדם</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בלא</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שאפשר</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להצדיק</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פגיעה</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זו</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באיזון</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שבין</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זכותו</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של</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הפרט</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וצרכי</w:t>
      </w:r>
      <w:r w:rsidRPr="003A0D41">
        <w:rPr>
          <w:rFonts w:ascii="Century" w:hAnsi="Century" w:cs="Miriam"/>
          <w:b/>
          <w:spacing w:val="0"/>
          <w:sz w:val="22"/>
          <w:szCs w:val="24"/>
          <w:u w:val="single"/>
          <w:rtl/>
        </w:rPr>
        <w:t xml:space="preserve"> </w:t>
      </w:r>
      <w:r w:rsidRPr="003A0D41">
        <w:rPr>
          <w:rFonts w:ascii="Century" w:hAnsi="Century" w:cs="Miriam" w:hint="eastAsia"/>
          <w:b/>
          <w:spacing w:val="0"/>
          <w:sz w:val="22"/>
          <w:szCs w:val="24"/>
          <w:u w:val="single"/>
          <w:rtl/>
        </w:rPr>
        <w:t>הכלל</w:t>
      </w:r>
      <w:r>
        <w:rPr>
          <w:rFonts w:hint="cs"/>
          <w:rtl/>
        </w:rPr>
        <w:t>" (</w:t>
      </w:r>
      <w:r w:rsidRPr="0001560C">
        <w:rPr>
          <w:rFonts w:ascii="Century" w:hAnsi="Century" w:cs="Miriam" w:hint="eastAsia"/>
          <w:b/>
          <w:spacing w:val="0"/>
          <w:sz w:val="22"/>
          <w:szCs w:val="24"/>
          <w:rtl/>
        </w:rPr>
        <w:t>שם</w:t>
      </w:r>
      <w:r>
        <w:rPr>
          <w:rFonts w:hint="cs"/>
          <w:rtl/>
        </w:rPr>
        <w:t xml:space="preserve">, פסקה 32) (ההדגשות שלי </w:t>
      </w:r>
      <w:r w:rsidRPr="0001560C">
        <w:rPr>
          <w:rFonts w:ascii="Century" w:hAnsi="Century"/>
          <w:sz w:val="22"/>
          <w:rtl/>
        </w:rPr>
        <w:t xml:space="preserve">– </w:t>
      </w:r>
      <w:r w:rsidRPr="0001560C">
        <w:rPr>
          <w:rFonts w:ascii="Century" w:hAnsi="Century" w:hint="eastAsia"/>
          <w:sz w:val="22"/>
          <w:rtl/>
        </w:rPr>
        <w:t>נ</w:t>
      </w:r>
      <w:r w:rsidRPr="0001560C">
        <w:rPr>
          <w:rFonts w:ascii="Century" w:hAnsi="Century"/>
          <w:sz w:val="22"/>
          <w:rtl/>
        </w:rPr>
        <w:t xml:space="preserve">' </w:t>
      </w:r>
      <w:r w:rsidRPr="0001560C">
        <w:rPr>
          <w:rFonts w:ascii="Century" w:hAnsi="Century" w:hint="eastAsia"/>
          <w:sz w:val="22"/>
          <w:rtl/>
        </w:rPr>
        <w:t>ס</w:t>
      </w:r>
      <w:r w:rsidRPr="0001560C">
        <w:rPr>
          <w:rFonts w:ascii="Century" w:hAnsi="Century"/>
          <w:sz w:val="22"/>
          <w:rtl/>
        </w:rPr>
        <w:t>').</w:t>
      </w:r>
      <w:r w:rsidRPr="002F1373">
        <w:rPr>
          <w:rFonts w:hint="cs"/>
          <w:rtl/>
        </w:rPr>
        <w:t xml:space="preserve"> </w:t>
      </w:r>
      <w:r>
        <w:rPr>
          <w:rFonts w:hint="cs"/>
          <w:rtl/>
        </w:rPr>
        <w:t xml:space="preserve">בהתייחס לקביעה זו </w:t>
      </w:r>
      <w:r w:rsidR="00836582">
        <w:rPr>
          <w:rFonts w:hint="cs"/>
          <w:rtl/>
        </w:rPr>
        <w:t xml:space="preserve">בחוות דעתה של הנשיאה, ציינתי אף </w:t>
      </w:r>
      <w:r>
        <w:rPr>
          <w:rFonts w:hint="cs"/>
          <w:rtl/>
        </w:rPr>
        <w:t xml:space="preserve">אני: </w:t>
      </w:r>
      <w:r w:rsidRPr="00A819C2">
        <w:rPr>
          <w:rFonts w:ascii="Century" w:hAnsi="Century" w:cs="Miriam" w:hint="cs"/>
          <w:b/>
          <w:spacing w:val="0"/>
          <w:sz w:val="22"/>
          <w:szCs w:val="24"/>
          <w:rtl/>
        </w:rPr>
        <w:t>"</w:t>
      </w:r>
      <w:r w:rsidRPr="00A819C2">
        <w:rPr>
          <w:rFonts w:ascii="Century" w:hAnsi="Century" w:cs="Miriam" w:hint="eastAsia"/>
          <w:b/>
          <w:spacing w:val="0"/>
          <w:sz w:val="22"/>
          <w:szCs w:val="24"/>
          <w:rtl/>
        </w:rPr>
        <w:t>בהמשך</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לקו</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הזהיר</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שנקטה</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הפסיקה</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בהקשר</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זה</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עד</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כה</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גם</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אנו</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איננו</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צריכים</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לטעת</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מסמרות</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באופן</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גורף</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דיינו</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באשר</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מונח</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לפנינו</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ודומני</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כי</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ההכרעה</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כמעט</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ברורה</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מאליה</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אם</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מבקשות</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הכנסת</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והממשלה</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לטעון</w:t>
      </w:r>
      <w:r w:rsidRPr="00A819C2">
        <w:rPr>
          <w:rFonts w:ascii="Century" w:hAnsi="Century" w:cs="Miriam"/>
          <w:b/>
          <w:spacing w:val="0"/>
          <w:sz w:val="22"/>
          <w:szCs w:val="24"/>
          <w:rtl/>
        </w:rPr>
        <w:t xml:space="preserve"> </w:t>
      </w:r>
      <w:r w:rsidRPr="0001560C">
        <w:rPr>
          <w:rFonts w:ascii="Century" w:hAnsi="Century"/>
          <w:sz w:val="22"/>
          <w:rtl/>
        </w:rPr>
        <w:t>–</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וכאמור</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טענה</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זו</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מקובלת</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עלי</w:t>
      </w:r>
      <w:r w:rsidRPr="00A819C2">
        <w:rPr>
          <w:rFonts w:ascii="Century" w:hAnsi="Century" w:cs="Miriam"/>
          <w:b/>
          <w:spacing w:val="0"/>
          <w:sz w:val="22"/>
          <w:szCs w:val="24"/>
          <w:rtl/>
        </w:rPr>
        <w:t xml:space="preserve"> </w:t>
      </w:r>
      <w:r w:rsidRPr="0001560C">
        <w:rPr>
          <w:rFonts w:ascii="Century" w:hAnsi="Century"/>
          <w:sz w:val="22"/>
          <w:rtl/>
        </w:rPr>
        <w:t>–</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כי</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כוחה</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וגבורתה</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של</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הכנסת</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לחוקק</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מלא</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עולם</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וכי</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חקיקה</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זו</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לעולם</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גוברת</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על</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הוראות</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הדין</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הבינלאומי</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אזי</w:t>
      </w:r>
      <w:r w:rsidRPr="00A819C2">
        <w:rPr>
          <w:rFonts w:ascii="Century" w:hAnsi="Century" w:cs="Miriam"/>
          <w:b/>
          <w:spacing w:val="0"/>
          <w:sz w:val="22"/>
          <w:szCs w:val="24"/>
          <w:rtl/>
        </w:rPr>
        <w:t xml:space="preserve"> </w:t>
      </w:r>
      <w:r w:rsidRPr="00D415C2">
        <w:rPr>
          <w:rFonts w:ascii="Century" w:hAnsi="Century" w:cs="Miriam" w:hint="eastAsia"/>
          <w:b/>
          <w:spacing w:val="0"/>
          <w:sz w:val="22"/>
          <w:szCs w:val="24"/>
          <w:u w:val="single"/>
          <w:rtl/>
        </w:rPr>
        <w:t>המסקנה</w:t>
      </w:r>
      <w:r w:rsidRPr="00D415C2">
        <w:rPr>
          <w:rFonts w:ascii="Century" w:hAnsi="Century" w:cs="Miriam"/>
          <w:b/>
          <w:spacing w:val="0"/>
          <w:sz w:val="22"/>
          <w:szCs w:val="24"/>
          <w:u w:val="single"/>
          <w:rtl/>
        </w:rPr>
        <w:t xml:space="preserve"> </w:t>
      </w:r>
      <w:r w:rsidRPr="00D415C2">
        <w:rPr>
          <w:rFonts w:ascii="Century" w:hAnsi="Century" w:cs="Miriam" w:hint="eastAsia"/>
          <w:b/>
          <w:spacing w:val="0"/>
          <w:sz w:val="22"/>
          <w:szCs w:val="24"/>
          <w:u w:val="single"/>
          <w:rtl/>
        </w:rPr>
        <w:t>המתחייבת</w:t>
      </w:r>
      <w:r w:rsidRPr="00D415C2">
        <w:rPr>
          <w:rFonts w:ascii="Century" w:hAnsi="Century" w:cs="Miriam"/>
          <w:b/>
          <w:spacing w:val="0"/>
          <w:sz w:val="22"/>
          <w:szCs w:val="24"/>
          <w:u w:val="single"/>
          <w:rtl/>
        </w:rPr>
        <w:t xml:space="preserve"> </w:t>
      </w:r>
      <w:r w:rsidRPr="00D415C2">
        <w:rPr>
          <w:rFonts w:ascii="Century" w:hAnsi="Century" w:cs="Miriam" w:hint="eastAsia"/>
          <w:b/>
          <w:spacing w:val="0"/>
          <w:sz w:val="22"/>
          <w:szCs w:val="24"/>
          <w:u w:val="single"/>
          <w:rtl/>
        </w:rPr>
        <w:t>היא</w:t>
      </w:r>
      <w:r w:rsidRPr="00D415C2">
        <w:rPr>
          <w:rFonts w:ascii="Century" w:hAnsi="Century" w:cs="Miriam"/>
          <w:b/>
          <w:spacing w:val="0"/>
          <w:sz w:val="22"/>
          <w:szCs w:val="24"/>
          <w:u w:val="single"/>
          <w:rtl/>
        </w:rPr>
        <w:t xml:space="preserve"> </w:t>
      </w:r>
      <w:r w:rsidRPr="00D415C2">
        <w:rPr>
          <w:rFonts w:ascii="Century" w:hAnsi="Century" w:cs="Miriam" w:hint="eastAsia"/>
          <w:b/>
          <w:spacing w:val="0"/>
          <w:sz w:val="22"/>
          <w:szCs w:val="24"/>
          <w:u w:val="single"/>
          <w:rtl/>
        </w:rPr>
        <w:t>כי</w:t>
      </w:r>
      <w:r w:rsidRPr="00D415C2">
        <w:rPr>
          <w:rFonts w:ascii="Century" w:hAnsi="Century" w:cs="Miriam"/>
          <w:b/>
          <w:spacing w:val="0"/>
          <w:sz w:val="22"/>
          <w:szCs w:val="24"/>
          <w:u w:val="single"/>
          <w:rtl/>
        </w:rPr>
        <w:t xml:space="preserve"> </w:t>
      </w:r>
      <w:r w:rsidRPr="00D415C2">
        <w:rPr>
          <w:rFonts w:ascii="Century" w:hAnsi="Century" w:cs="Miriam" w:hint="eastAsia"/>
          <w:b/>
          <w:spacing w:val="0"/>
          <w:sz w:val="22"/>
          <w:szCs w:val="24"/>
          <w:u w:val="single"/>
          <w:rtl/>
        </w:rPr>
        <w:t>חוקיה</w:t>
      </w:r>
      <w:r w:rsidRPr="00D415C2">
        <w:rPr>
          <w:rFonts w:ascii="Century" w:hAnsi="Century" w:cs="Miriam"/>
          <w:b/>
          <w:spacing w:val="0"/>
          <w:sz w:val="22"/>
          <w:szCs w:val="24"/>
          <w:u w:val="single"/>
          <w:rtl/>
        </w:rPr>
        <w:t xml:space="preserve"> </w:t>
      </w:r>
      <w:r w:rsidRPr="00D415C2">
        <w:rPr>
          <w:rFonts w:ascii="Century" w:hAnsi="Century" w:cs="Miriam" w:hint="eastAsia"/>
          <w:b/>
          <w:spacing w:val="0"/>
          <w:sz w:val="22"/>
          <w:szCs w:val="24"/>
          <w:u w:val="single"/>
          <w:rtl/>
        </w:rPr>
        <w:t>של</w:t>
      </w:r>
      <w:r w:rsidRPr="00D415C2">
        <w:rPr>
          <w:rFonts w:ascii="Century" w:hAnsi="Century" w:cs="Miriam"/>
          <w:b/>
          <w:spacing w:val="0"/>
          <w:sz w:val="22"/>
          <w:szCs w:val="24"/>
          <w:u w:val="single"/>
          <w:rtl/>
        </w:rPr>
        <w:t xml:space="preserve"> </w:t>
      </w:r>
      <w:r w:rsidRPr="00D415C2">
        <w:rPr>
          <w:rFonts w:ascii="Century" w:hAnsi="Century" w:cs="Miriam" w:hint="eastAsia"/>
          <w:b/>
          <w:spacing w:val="0"/>
          <w:sz w:val="22"/>
          <w:szCs w:val="24"/>
          <w:u w:val="single"/>
          <w:rtl/>
        </w:rPr>
        <w:t>הכנסת</w:t>
      </w:r>
      <w:r w:rsidRPr="00D415C2">
        <w:rPr>
          <w:rFonts w:ascii="Century" w:hAnsi="Century" w:cs="Miriam"/>
          <w:b/>
          <w:spacing w:val="0"/>
          <w:sz w:val="22"/>
          <w:szCs w:val="24"/>
          <w:u w:val="single"/>
          <w:rtl/>
        </w:rPr>
        <w:t xml:space="preserve">, </w:t>
      </w:r>
      <w:r w:rsidRPr="00D415C2">
        <w:rPr>
          <w:rFonts w:ascii="Century" w:hAnsi="Century" w:cs="Miriam" w:hint="eastAsia"/>
          <w:b/>
          <w:spacing w:val="0"/>
          <w:sz w:val="22"/>
          <w:szCs w:val="24"/>
          <w:u w:val="single"/>
          <w:rtl/>
        </w:rPr>
        <w:t>בכל</w:t>
      </w:r>
      <w:r w:rsidRPr="00D415C2">
        <w:rPr>
          <w:rFonts w:ascii="Century" w:hAnsi="Century" w:cs="Miriam"/>
          <w:b/>
          <w:spacing w:val="0"/>
          <w:sz w:val="22"/>
          <w:szCs w:val="24"/>
          <w:u w:val="single"/>
          <w:rtl/>
        </w:rPr>
        <w:t xml:space="preserve"> </w:t>
      </w:r>
      <w:r w:rsidRPr="00D415C2">
        <w:rPr>
          <w:rFonts w:ascii="Century" w:hAnsi="Century" w:cs="Miriam" w:hint="eastAsia"/>
          <w:b/>
          <w:spacing w:val="0"/>
          <w:sz w:val="22"/>
          <w:szCs w:val="24"/>
          <w:u w:val="single"/>
          <w:rtl/>
        </w:rPr>
        <w:t>מקום</w:t>
      </w:r>
      <w:r w:rsidRPr="00D415C2">
        <w:rPr>
          <w:rFonts w:ascii="Century" w:hAnsi="Century" w:cs="Miriam"/>
          <w:b/>
          <w:spacing w:val="0"/>
          <w:sz w:val="22"/>
          <w:szCs w:val="24"/>
          <w:u w:val="single"/>
          <w:rtl/>
        </w:rPr>
        <w:t xml:space="preserve"> </w:t>
      </w:r>
      <w:r w:rsidRPr="00D415C2">
        <w:rPr>
          <w:rFonts w:ascii="Century" w:hAnsi="Century" w:cs="Miriam" w:hint="eastAsia"/>
          <w:b/>
          <w:spacing w:val="0"/>
          <w:sz w:val="22"/>
          <w:szCs w:val="24"/>
          <w:u w:val="single"/>
          <w:rtl/>
        </w:rPr>
        <w:t>שהם</w:t>
      </w:r>
      <w:r w:rsidRPr="00D415C2">
        <w:rPr>
          <w:rFonts w:ascii="Century" w:hAnsi="Century" w:cs="Miriam"/>
          <w:b/>
          <w:spacing w:val="0"/>
          <w:sz w:val="22"/>
          <w:szCs w:val="24"/>
          <w:u w:val="single"/>
          <w:rtl/>
        </w:rPr>
        <w:t xml:space="preserve">, </w:t>
      </w:r>
      <w:r w:rsidRPr="00D415C2">
        <w:rPr>
          <w:rFonts w:ascii="Century" w:hAnsi="Century" w:cs="Miriam" w:hint="eastAsia"/>
          <w:b/>
          <w:spacing w:val="0"/>
          <w:sz w:val="22"/>
          <w:szCs w:val="24"/>
          <w:u w:val="single"/>
          <w:rtl/>
        </w:rPr>
        <w:t>כפופים</w:t>
      </w:r>
      <w:r w:rsidRPr="00D415C2">
        <w:rPr>
          <w:rFonts w:ascii="Century" w:hAnsi="Century" w:cs="Miriam"/>
          <w:b/>
          <w:spacing w:val="0"/>
          <w:sz w:val="22"/>
          <w:szCs w:val="24"/>
          <w:u w:val="single"/>
          <w:rtl/>
        </w:rPr>
        <w:t xml:space="preserve"> </w:t>
      </w:r>
      <w:r w:rsidRPr="00D415C2">
        <w:rPr>
          <w:rFonts w:ascii="Century" w:hAnsi="Century" w:cs="Miriam" w:hint="eastAsia"/>
          <w:b/>
          <w:spacing w:val="0"/>
          <w:sz w:val="22"/>
          <w:szCs w:val="24"/>
          <w:u w:val="single"/>
          <w:rtl/>
        </w:rPr>
        <w:t>לחוקי</w:t>
      </w:r>
      <w:r w:rsidRPr="00D415C2">
        <w:rPr>
          <w:rFonts w:ascii="Century" w:hAnsi="Century" w:cs="Miriam"/>
          <w:b/>
          <w:spacing w:val="0"/>
          <w:sz w:val="22"/>
          <w:szCs w:val="24"/>
          <w:u w:val="single"/>
          <w:rtl/>
        </w:rPr>
        <w:t>-</w:t>
      </w:r>
      <w:r w:rsidRPr="00D415C2">
        <w:rPr>
          <w:rFonts w:ascii="Century" w:hAnsi="Century" w:cs="Miriam" w:hint="eastAsia"/>
          <w:b/>
          <w:spacing w:val="0"/>
          <w:sz w:val="22"/>
          <w:szCs w:val="24"/>
          <w:u w:val="single"/>
          <w:rtl/>
        </w:rPr>
        <w:t>היסוד</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אין</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זה</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מתקבל</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על</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הדעת</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כי</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הכנסת</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תהא</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משוחררת</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מכל</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חסם</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נורמטיבי</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דווקא</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ביחס</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לאזור</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יהודה</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ושומרון</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המוחזק</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על</w:t>
      </w:r>
      <w:r w:rsidRPr="00A819C2">
        <w:rPr>
          <w:rFonts w:ascii="Century" w:hAnsi="Century" w:cs="Miriam"/>
          <w:b/>
          <w:spacing w:val="0"/>
          <w:sz w:val="22"/>
          <w:szCs w:val="24"/>
          <w:rtl/>
        </w:rPr>
        <w:t>-</w:t>
      </w:r>
      <w:r w:rsidRPr="00A819C2">
        <w:rPr>
          <w:rFonts w:ascii="Century" w:hAnsi="Century" w:cs="Miriam" w:hint="eastAsia"/>
          <w:b/>
          <w:spacing w:val="0"/>
          <w:sz w:val="22"/>
          <w:szCs w:val="24"/>
          <w:rtl/>
        </w:rPr>
        <w:t>ידי</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מדינת</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ישראל</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בתפיסה</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לוחמתית</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אדרבה</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ואדרבה</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הסמכות</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לחוקק</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גוררת</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עמה</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כ</w:t>
      </w:r>
      <w:r w:rsidRPr="00A819C2">
        <w:rPr>
          <w:rFonts w:ascii="Century" w:hAnsi="Century" w:cs="Miriam"/>
          <w:b/>
          <w:spacing w:val="0"/>
          <w:sz w:val="22"/>
          <w:szCs w:val="24"/>
          <w:rtl/>
        </w:rPr>
        <w:t>'</w:t>
      </w:r>
      <w:r w:rsidRPr="00A819C2">
        <w:rPr>
          <w:rFonts w:ascii="Century" w:hAnsi="Century" w:cs="Miriam" w:hint="eastAsia"/>
          <w:b/>
          <w:spacing w:val="0"/>
          <w:sz w:val="22"/>
          <w:szCs w:val="24"/>
          <w:rtl/>
        </w:rPr>
        <w:t>משקולת</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מיניה</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וביה</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את</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חוקי</w:t>
      </w:r>
      <w:r w:rsidRPr="00A819C2">
        <w:rPr>
          <w:rFonts w:ascii="Century" w:hAnsi="Century" w:cs="Miriam"/>
          <w:b/>
          <w:spacing w:val="0"/>
          <w:sz w:val="22"/>
          <w:szCs w:val="24"/>
          <w:rtl/>
        </w:rPr>
        <w:t>-</w:t>
      </w:r>
      <w:r w:rsidRPr="00A819C2">
        <w:rPr>
          <w:rFonts w:ascii="Century" w:hAnsi="Century" w:cs="Miriam" w:hint="eastAsia"/>
          <w:b/>
          <w:spacing w:val="0"/>
          <w:sz w:val="22"/>
          <w:szCs w:val="24"/>
          <w:rtl/>
        </w:rPr>
        <w:t>היסוד</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ובאשר</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ילך</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החוק</w:t>
      </w:r>
      <w:r w:rsidRPr="00A819C2">
        <w:rPr>
          <w:rFonts w:ascii="Century" w:hAnsi="Century" w:cs="Miriam"/>
          <w:b/>
          <w:spacing w:val="0"/>
          <w:sz w:val="22"/>
          <w:szCs w:val="24"/>
          <w:rtl/>
        </w:rPr>
        <w:t xml:space="preserve"> </w:t>
      </w:r>
      <w:r w:rsidRPr="0001560C">
        <w:rPr>
          <w:rFonts w:ascii="Century" w:hAnsi="Century"/>
          <w:sz w:val="22"/>
          <w:rtl/>
        </w:rPr>
        <w:t>–</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ילכו</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גם</w:t>
      </w:r>
      <w:r w:rsidRPr="00A819C2">
        <w:rPr>
          <w:rFonts w:ascii="Century" w:hAnsi="Century" w:cs="Miriam"/>
          <w:b/>
          <w:spacing w:val="0"/>
          <w:sz w:val="22"/>
          <w:szCs w:val="24"/>
          <w:rtl/>
        </w:rPr>
        <w:t xml:space="preserve"> </w:t>
      </w:r>
      <w:r w:rsidRPr="00A819C2">
        <w:rPr>
          <w:rFonts w:ascii="Century" w:hAnsi="Century" w:cs="Miriam" w:hint="eastAsia"/>
          <w:b/>
          <w:spacing w:val="0"/>
          <w:sz w:val="22"/>
          <w:szCs w:val="24"/>
          <w:rtl/>
        </w:rPr>
        <w:t>חוקי</w:t>
      </w:r>
      <w:r w:rsidRPr="00A819C2">
        <w:rPr>
          <w:rFonts w:ascii="Century" w:hAnsi="Century" w:cs="Miriam"/>
          <w:b/>
          <w:spacing w:val="0"/>
          <w:sz w:val="22"/>
          <w:szCs w:val="24"/>
          <w:rtl/>
        </w:rPr>
        <w:t>-</w:t>
      </w:r>
      <w:r w:rsidRPr="00A819C2">
        <w:rPr>
          <w:rFonts w:ascii="Century" w:hAnsi="Century" w:cs="Miriam" w:hint="eastAsia"/>
          <w:b/>
          <w:spacing w:val="0"/>
          <w:sz w:val="22"/>
          <w:szCs w:val="24"/>
          <w:rtl/>
        </w:rPr>
        <w:t>היסוד</w:t>
      </w:r>
      <w:r w:rsidRPr="00A819C2">
        <w:rPr>
          <w:rFonts w:ascii="Century" w:hAnsi="Century" w:cs="Miriam"/>
          <w:b/>
          <w:spacing w:val="0"/>
          <w:sz w:val="22"/>
          <w:szCs w:val="24"/>
          <w:rtl/>
        </w:rPr>
        <w:t>"</w:t>
      </w:r>
      <w:r>
        <w:rPr>
          <w:rFonts w:hint="cs"/>
          <w:rtl/>
        </w:rPr>
        <w:t xml:space="preserve">.  </w:t>
      </w:r>
    </w:p>
    <w:p w:rsidR="00D512D4" w:rsidRPr="000E52D8" w:rsidRDefault="00D512D4" w:rsidP="000B6AE3">
      <w:pPr>
        <w:pStyle w:val="Ruller41"/>
        <w:spacing w:line="240" w:lineRule="auto"/>
      </w:pPr>
    </w:p>
    <w:p w:rsidR="00D512D4" w:rsidRDefault="00D512D4" w:rsidP="00D512D4">
      <w:pPr>
        <w:pStyle w:val="Ruller4"/>
        <w:rPr>
          <w:rtl/>
        </w:rPr>
      </w:pPr>
      <w:r>
        <w:rPr>
          <w:rFonts w:hint="cs"/>
          <w:rtl/>
        </w:rPr>
        <w:t xml:space="preserve">הדברים האמורים, הן של הנשיאה, הן שלי, תומכים במסקנה שלפיה </w:t>
      </w:r>
      <w:r w:rsidRPr="00A819C2">
        <w:rPr>
          <w:rFonts w:ascii="Century" w:hAnsi="Century" w:cs="Miriam" w:hint="cs"/>
          <w:b/>
          <w:spacing w:val="0"/>
          <w:sz w:val="22"/>
          <w:szCs w:val="24"/>
          <w:rtl/>
        </w:rPr>
        <w:t>כל</w:t>
      </w:r>
      <w:r w:rsidRPr="00A819C2">
        <w:rPr>
          <w:rFonts w:hint="cs"/>
          <w:rtl/>
        </w:rPr>
        <w:t xml:space="preserve"> </w:t>
      </w:r>
      <w:r>
        <w:rPr>
          <w:rFonts w:hint="cs"/>
          <w:rtl/>
        </w:rPr>
        <w:t xml:space="preserve">חקיקה של הכנסת, ללא קשר לתחולתה במרחב הגיאוגרפי, נדרשת לעמוד באמות המידה הנורמטיביות שהוצבו ועוצבו על-ידי חוקי היסוד. מסקנה זו, היא פועל יוצא של עקרון המדרג הנורמטיבי, שלפיו חוק 'רגיל' נסוג מפני חוק יסוד (ראו למשל: עניין </w:t>
      </w:r>
      <w:r w:rsidRPr="00352C4C">
        <w:rPr>
          <w:rFonts w:ascii="Century" w:hAnsi="Century" w:cs="Miriam" w:hint="cs"/>
          <w:b/>
          <w:spacing w:val="0"/>
          <w:sz w:val="22"/>
          <w:szCs w:val="24"/>
          <w:rtl/>
        </w:rPr>
        <w:t>חוק הלאום</w:t>
      </w:r>
      <w:r>
        <w:rPr>
          <w:rFonts w:hint="cs"/>
          <w:rtl/>
        </w:rPr>
        <w:t xml:space="preserve">, פסקאות 4-2 לפסק-דיני). במובן זה, משמעות המונח </w:t>
      </w:r>
      <w:r w:rsidRPr="00F731EF">
        <w:rPr>
          <w:rFonts w:ascii="Century" w:hAnsi="Century" w:cs="Miriam" w:hint="cs"/>
          <w:b/>
          <w:spacing w:val="0"/>
          <w:sz w:val="22"/>
          <w:szCs w:val="24"/>
          <w:rtl/>
        </w:rPr>
        <w:t xml:space="preserve">"זכויות היסוד של האדם </w:t>
      </w:r>
      <w:r w:rsidRPr="00F731EF">
        <w:rPr>
          <w:rFonts w:ascii="Century" w:hAnsi="Century" w:cs="Miriam" w:hint="cs"/>
          <w:b/>
          <w:spacing w:val="0"/>
          <w:sz w:val="22"/>
          <w:szCs w:val="24"/>
          <w:u w:val="single"/>
          <w:rtl/>
        </w:rPr>
        <w:t>בישראל</w:t>
      </w:r>
      <w:r w:rsidRPr="00F731EF">
        <w:rPr>
          <w:rFonts w:ascii="Century" w:hAnsi="Century" w:cs="Miriam" w:hint="cs"/>
          <w:b/>
          <w:spacing w:val="0"/>
          <w:sz w:val="22"/>
          <w:szCs w:val="24"/>
          <w:rtl/>
        </w:rPr>
        <w:t>"</w:t>
      </w:r>
      <w:r>
        <w:rPr>
          <w:rFonts w:hint="cs"/>
          <w:rtl/>
        </w:rPr>
        <w:t xml:space="preserve"> (ההדגשה הוספה </w:t>
      </w:r>
      <w:r>
        <w:rPr>
          <w:rtl/>
        </w:rPr>
        <w:t>–</w:t>
      </w:r>
      <w:r>
        <w:rPr>
          <w:rFonts w:hint="cs"/>
          <w:rtl/>
        </w:rPr>
        <w:t xml:space="preserve"> נ' ס'), שבסעיף 1 לחוק היסוד, איננה טריטוריאלית; תיבה זו אינה תוחמת את תחולת חוק היסוד לגבולותיה הגיאוגרפיים של מדינת ישראל.</w:t>
      </w:r>
      <w:r w:rsidRPr="00D415C2">
        <w:rPr>
          <w:rFonts w:hint="cs"/>
          <w:rtl/>
        </w:rPr>
        <w:t xml:space="preserve"> </w:t>
      </w:r>
      <w:r>
        <w:rPr>
          <w:rFonts w:hint="cs"/>
          <w:rtl/>
        </w:rPr>
        <w:t xml:space="preserve">עלינו לקרוא את הכתוב בסעיף 1 לחוק היסוד, משל היה כתוב בו כך: </w:t>
      </w:r>
      <w:r w:rsidRPr="0070469A">
        <w:rPr>
          <w:rFonts w:ascii="Century" w:hAnsi="Century" w:cs="Miriam" w:hint="cs"/>
          <w:b/>
          <w:spacing w:val="0"/>
          <w:sz w:val="22"/>
          <w:szCs w:val="24"/>
          <w:rtl/>
        </w:rPr>
        <w:t xml:space="preserve">"זכויות היסוד של האדם </w:t>
      </w:r>
      <w:r>
        <w:rPr>
          <w:rFonts w:ascii="Century" w:hAnsi="Century" w:cs="Miriam" w:hint="cs"/>
          <w:b/>
          <w:spacing w:val="0"/>
          <w:sz w:val="22"/>
          <w:szCs w:val="24"/>
          <w:rtl/>
        </w:rPr>
        <w:t>ב</w:t>
      </w:r>
      <w:r w:rsidRPr="0070469A">
        <w:rPr>
          <w:rFonts w:ascii="Century" w:hAnsi="Century" w:cs="Miriam" w:hint="cs"/>
          <w:b/>
          <w:spacing w:val="0"/>
          <w:sz w:val="22"/>
          <w:szCs w:val="24"/>
          <w:rtl/>
        </w:rPr>
        <w:t>[שיטת המשפט</w:t>
      </w:r>
      <w:r>
        <w:rPr>
          <w:rFonts w:ascii="Century" w:hAnsi="Century" w:cs="Miriam" w:hint="cs"/>
          <w:b/>
          <w:spacing w:val="0"/>
          <w:sz w:val="22"/>
          <w:szCs w:val="24"/>
          <w:rtl/>
        </w:rPr>
        <w:t xml:space="preserve"> ב</w:t>
      </w:r>
      <w:r w:rsidRPr="0070469A">
        <w:rPr>
          <w:rFonts w:ascii="Century" w:hAnsi="Century" w:cs="Miriam" w:hint="cs"/>
          <w:b/>
          <w:spacing w:val="0"/>
          <w:sz w:val="22"/>
          <w:szCs w:val="24"/>
          <w:rtl/>
        </w:rPr>
        <w:t>]ישראל"</w:t>
      </w:r>
      <w:r>
        <w:rPr>
          <w:rFonts w:hint="cs"/>
          <w:rtl/>
        </w:rPr>
        <w:t xml:space="preserve">. (ראו והשוו: </w:t>
      </w:r>
      <w:r w:rsidRPr="00ED5264">
        <w:rPr>
          <w:rFonts w:ascii="Century" w:hAnsi="Century" w:cs="Miriam" w:hint="cs"/>
          <w:b/>
          <w:spacing w:val="0"/>
          <w:sz w:val="22"/>
          <w:szCs w:val="24"/>
          <w:rtl/>
        </w:rPr>
        <w:t>בנבנישתי</w:t>
      </w:r>
      <w:r>
        <w:rPr>
          <w:rFonts w:hint="cs"/>
          <w:rtl/>
        </w:rPr>
        <w:t xml:space="preserve">, עמוד 12 </w:t>
      </w:r>
      <w:r>
        <w:rPr>
          <w:rtl/>
        </w:rPr>
        <w:t>–</w:t>
      </w:r>
      <w:r>
        <w:rPr>
          <w:rFonts w:hint="cs"/>
          <w:rtl/>
        </w:rPr>
        <w:t xml:space="preserve"> מאמר המבקר את גישתי בעניין </w:t>
      </w:r>
      <w:r w:rsidRPr="00D415C2">
        <w:rPr>
          <w:rFonts w:ascii="Century" w:hAnsi="Century" w:cs="Miriam" w:hint="cs"/>
          <w:b/>
          <w:spacing w:val="0"/>
          <w:sz w:val="22"/>
          <w:szCs w:val="24"/>
          <w:rtl/>
        </w:rPr>
        <w:t>חוק ההסדרה</w:t>
      </w:r>
      <w:r>
        <w:rPr>
          <w:rFonts w:hint="cs"/>
          <w:rtl/>
        </w:rPr>
        <w:t>). המסקנה הנגזרת מן האמור היא, כי עקרון המדרג הנורמטיבי, מחייב כי כל דבר חקיקה של הכנסת יעמוד באמות המידה החוקתיות; כך גם סעיף 5ב(א)(1) לחוק, על תיקוניו.</w:t>
      </w:r>
      <w:r w:rsidRPr="00510665">
        <w:rPr>
          <w:rFonts w:hint="cs"/>
          <w:rtl/>
        </w:rPr>
        <w:t xml:space="preserve"> </w:t>
      </w:r>
      <w:r>
        <w:rPr>
          <w:rFonts w:hint="cs"/>
          <w:rtl/>
        </w:rPr>
        <w:t>מסקנה זו, אינה נגזרת מהכרעה בשאלה הסבוכה בדבר התח</w:t>
      </w:r>
      <w:r w:rsidR="00B24662">
        <w:rPr>
          <w:rFonts w:hint="cs"/>
          <w:rtl/>
        </w:rPr>
        <w:t>ולה האקסטרה-טריטוריאלית של חוקי-</w:t>
      </w:r>
      <w:r>
        <w:rPr>
          <w:rFonts w:hint="cs"/>
          <w:rtl/>
        </w:rPr>
        <w:t>היסוד. היא נגזרת מעקרון המדרג הנורמטיבי, כמפורט לעיל.</w:t>
      </w:r>
    </w:p>
    <w:p w:rsidR="00D512D4" w:rsidRPr="0070469A" w:rsidRDefault="00D512D4" w:rsidP="009F054C">
      <w:pPr>
        <w:pStyle w:val="Ruller41"/>
        <w:spacing w:line="240" w:lineRule="auto"/>
      </w:pPr>
    </w:p>
    <w:p w:rsidR="00EE1233" w:rsidRDefault="00D512D4" w:rsidP="000D6DCA">
      <w:pPr>
        <w:pStyle w:val="Ruller4"/>
      </w:pPr>
      <w:r>
        <w:rPr>
          <w:rFonts w:hint="cs"/>
          <w:rtl/>
        </w:rPr>
        <w:t>יחד עם זאת, הגם שדברי החקיקה של הכנסת נ</w:t>
      </w:r>
      <w:r w:rsidR="00B24662">
        <w:rPr>
          <w:rFonts w:hint="cs"/>
          <w:rtl/>
        </w:rPr>
        <w:t>דרשים לעמוד באמות המידה של חוקי-</w:t>
      </w:r>
      <w:r>
        <w:rPr>
          <w:rFonts w:hint="cs"/>
          <w:rtl/>
        </w:rPr>
        <w:t xml:space="preserve">היסוד, אין משמעות הדבר כי כל זכות הנפגעת מחמת חוק מסוים, תזכה למידה זהה של הגנה חוקתית. בהקשר זה </w:t>
      </w:r>
      <w:r w:rsidR="00B24662">
        <w:rPr>
          <w:rFonts w:hint="cs"/>
          <w:rtl/>
        </w:rPr>
        <w:t>מן הראוי ל</w:t>
      </w:r>
      <w:r>
        <w:rPr>
          <w:rFonts w:hint="cs"/>
          <w:rtl/>
        </w:rPr>
        <w:t>ציין גישה נוספת שהוזכרה בספ</w:t>
      </w:r>
      <w:r w:rsidR="00B24662">
        <w:rPr>
          <w:rFonts w:hint="cs"/>
          <w:rtl/>
        </w:rPr>
        <w:t>רות, אגב הדיון בשאלת תחולת חוקי-</w:t>
      </w:r>
      <w:r>
        <w:rPr>
          <w:rFonts w:hint="cs"/>
          <w:rtl/>
        </w:rPr>
        <w:t xml:space="preserve">היסוד במרחב. גישה זו, היא הגישה </w:t>
      </w:r>
      <w:r>
        <w:rPr>
          <w:rFonts w:ascii="Century" w:hAnsi="Century" w:cs="Miriam" w:hint="cs"/>
          <w:b/>
          <w:spacing w:val="0"/>
          <w:sz w:val="22"/>
          <w:szCs w:val="24"/>
          <w:rtl/>
        </w:rPr>
        <w:t>ה</w:t>
      </w:r>
      <w:r w:rsidRPr="00794D66">
        <w:rPr>
          <w:rFonts w:ascii="Century" w:hAnsi="Century" w:cs="Miriam" w:hint="cs"/>
          <w:b/>
          <w:spacing w:val="0"/>
          <w:sz w:val="22"/>
          <w:szCs w:val="24"/>
          <w:rtl/>
        </w:rPr>
        <w:t>פונקציונאלית</w:t>
      </w:r>
      <w:r>
        <w:rPr>
          <w:rFonts w:hint="cs"/>
          <w:rtl/>
        </w:rPr>
        <w:t>, ולפיה, לחוקי</w:t>
      </w:r>
      <w:r w:rsidR="00EE0DD8">
        <w:rPr>
          <w:rFonts w:hint="cs"/>
          <w:rtl/>
        </w:rPr>
        <w:t>-</w:t>
      </w:r>
      <w:r>
        <w:rPr>
          <w:rFonts w:hint="cs"/>
          <w:rtl/>
        </w:rPr>
        <w:t>היסוד אכן יש תחולה על כל פעולה של רשויות השלטון, ללא קשר למקום שבו היא מתבצעת. ברם, מידת ההגנה על-פי גישה זו, עשויה להשתנות בהתאם לנסיבות. תחולת חוקי</w:t>
      </w:r>
      <w:r w:rsidR="00EE0DD8">
        <w:rPr>
          <w:rFonts w:hint="cs"/>
          <w:rtl/>
        </w:rPr>
        <w:t>-</w:t>
      </w:r>
      <w:r>
        <w:rPr>
          <w:rFonts w:hint="cs"/>
          <w:rtl/>
        </w:rPr>
        <w:t xml:space="preserve">היסוד </w:t>
      </w:r>
      <w:r>
        <w:rPr>
          <w:rtl/>
        </w:rPr>
        <w:t>–</w:t>
      </w:r>
      <w:r w:rsidR="00180A78">
        <w:rPr>
          <w:rFonts w:hint="cs"/>
          <w:rtl/>
        </w:rPr>
        <w:t xml:space="preserve"> לחוד,</w:t>
      </w:r>
      <w:r>
        <w:rPr>
          <w:rFonts w:hint="cs"/>
          <w:rtl/>
        </w:rPr>
        <w:t xml:space="preserve"> והיקף ההגנה שתינתן מכוחם </w:t>
      </w:r>
      <w:r>
        <w:rPr>
          <w:rtl/>
        </w:rPr>
        <w:t>–</w:t>
      </w:r>
      <w:r>
        <w:rPr>
          <w:rFonts w:hint="cs"/>
          <w:rtl/>
        </w:rPr>
        <w:t xml:space="preserve"> לחוד (</w:t>
      </w:r>
      <w:r w:rsidRPr="00794D66">
        <w:rPr>
          <w:rFonts w:ascii="Century" w:hAnsi="Century" w:cs="Miriam" w:hint="cs"/>
          <w:b/>
          <w:spacing w:val="0"/>
          <w:sz w:val="22"/>
          <w:szCs w:val="24"/>
          <w:rtl/>
        </w:rPr>
        <w:t>אורגד</w:t>
      </w:r>
      <w:r>
        <w:rPr>
          <w:rFonts w:hint="cs"/>
          <w:rtl/>
        </w:rPr>
        <w:t xml:space="preserve">, 188-174). כך, </w:t>
      </w:r>
      <w:r w:rsidRPr="00400A2E">
        <w:rPr>
          <w:rFonts w:hint="cs"/>
          <w:rtl/>
        </w:rPr>
        <w:t xml:space="preserve">השאלה שעלתה בפרשת </w:t>
      </w:r>
      <w:r w:rsidRPr="006749E5">
        <w:rPr>
          <w:rFonts w:ascii="Century" w:hAnsi="Century" w:cs="Miriam" w:hint="cs"/>
          <w:b/>
          <w:spacing w:val="0"/>
          <w:sz w:val="22"/>
          <w:szCs w:val="24"/>
          <w:rtl/>
        </w:rPr>
        <w:t>חוק ההסדרה</w:t>
      </w:r>
      <w:r w:rsidRPr="00400A2E">
        <w:rPr>
          <w:rFonts w:hint="cs"/>
          <w:rtl/>
        </w:rPr>
        <w:t xml:space="preserve">, נגעה לתחולת חוקי-היסוד על תושבים פלסטינים המתגוררים ביהודה ושומרון; אזור הנתון </w:t>
      </w:r>
      <w:r w:rsidRPr="006749E5">
        <w:rPr>
          <w:rFonts w:ascii="Century" w:hAnsi="Century" w:cs="Miriam" w:hint="eastAsia"/>
          <w:b/>
          <w:spacing w:val="0"/>
          <w:sz w:val="22"/>
          <w:szCs w:val="24"/>
          <w:rtl/>
        </w:rPr>
        <w:t>לתפיסה</w:t>
      </w:r>
      <w:r w:rsidRPr="006749E5">
        <w:rPr>
          <w:rFonts w:ascii="Century" w:hAnsi="Century" w:cs="Miriam"/>
          <w:b/>
          <w:spacing w:val="0"/>
          <w:sz w:val="22"/>
          <w:szCs w:val="24"/>
          <w:rtl/>
        </w:rPr>
        <w:t xml:space="preserve"> </w:t>
      </w:r>
      <w:r w:rsidRPr="006749E5">
        <w:rPr>
          <w:rFonts w:ascii="Century" w:hAnsi="Century" w:cs="Miriam" w:hint="eastAsia"/>
          <w:b/>
          <w:spacing w:val="0"/>
          <w:sz w:val="22"/>
          <w:szCs w:val="24"/>
          <w:rtl/>
        </w:rPr>
        <w:t>לוחמתית</w:t>
      </w:r>
      <w:r w:rsidRPr="00400A2E">
        <w:rPr>
          <w:rFonts w:hint="cs"/>
          <w:rtl/>
        </w:rPr>
        <w:t xml:space="preserve">. לעומת זאת, בנדון דידן עסקינן </w:t>
      </w:r>
      <w:r w:rsidRPr="006749E5">
        <w:rPr>
          <w:rFonts w:ascii="Century" w:hAnsi="Century" w:cs="Miriam" w:hint="cs"/>
          <w:b/>
          <w:spacing w:val="0"/>
          <w:sz w:val="22"/>
          <w:szCs w:val="24"/>
          <w:rtl/>
        </w:rPr>
        <w:t>בנתיני מדינת אויב או תושבי שטח אויב</w:t>
      </w:r>
      <w:r w:rsidRPr="00400A2E">
        <w:rPr>
          <w:rFonts w:hint="cs"/>
          <w:rtl/>
        </w:rPr>
        <w:t xml:space="preserve">, שאינם 'תושבים מוגנים'. נשאל אפוא, האם מידת ההגנה החוקתית על שתי קבוצות אלו אמורה להיות זהה? לטעמי, התשובה לשאלה זו היא בשלילה. לא ראי זה כראי זה. גם אם הנחת המוצא היא שקיימת </w:t>
      </w:r>
      <w:r w:rsidR="00EE0DD8">
        <w:rPr>
          <w:rFonts w:hint="cs"/>
          <w:rtl/>
        </w:rPr>
        <w:t>תחולה עקרונית של חוקי-</w:t>
      </w:r>
      <w:r w:rsidRPr="00400A2E">
        <w:rPr>
          <w:rFonts w:hint="cs"/>
          <w:rtl/>
        </w:rPr>
        <w:t>היסוד, על כל דבר חקיקה שיצא מלפנ</w:t>
      </w:r>
      <w:r w:rsidR="00EE0DD8">
        <w:rPr>
          <w:rFonts w:hint="cs"/>
          <w:rtl/>
        </w:rPr>
        <w:t xml:space="preserve">י כנסת ישראל, בין </w:t>
      </w:r>
      <w:r w:rsidR="00180A78">
        <w:rPr>
          <w:rFonts w:hint="cs"/>
          <w:rtl/>
        </w:rPr>
        <w:t xml:space="preserve">אם </w:t>
      </w:r>
      <w:r w:rsidR="00EE0DD8">
        <w:rPr>
          <w:rFonts w:hint="cs"/>
          <w:rtl/>
        </w:rPr>
        <w:t xml:space="preserve">תחולתו בארץ, </w:t>
      </w:r>
      <w:r w:rsidRPr="00400A2E">
        <w:rPr>
          <w:rFonts w:hint="cs"/>
          <w:rtl/>
        </w:rPr>
        <w:t>בין אם מעבר לים, הר</w:t>
      </w:r>
      <w:r w:rsidR="00EE0DD8">
        <w:rPr>
          <w:rFonts w:hint="cs"/>
          <w:rtl/>
        </w:rPr>
        <w:t>י שהיקף ההגנה הניתנת על-ידי חוק-</w:t>
      </w:r>
      <w:r w:rsidRPr="00400A2E">
        <w:rPr>
          <w:rFonts w:hint="cs"/>
          <w:rtl/>
        </w:rPr>
        <w:t xml:space="preserve">היסוד, בכל אחד מן המקרים הללו </w:t>
      </w:r>
      <w:r w:rsidRPr="00400A2E">
        <w:rPr>
          <w:rtl/>
        </w:rPr>
        <w:t>–</w:t>
      </w:r>
      <w:r w:rsidRPr="00400A2E">
        <w:rPr>
          <w:rFonts w:hint="cs"/>
          <w:rtl/>
        </w:rPr>
        <w:t xml:space="preserve"> עשוי לה</w:t>
      </w:r>
      <w:r w:rsidR="00EE0DD8">
        <w:rPr>
          <w:rFonts w:hint="cs"/>
          <w:rtl/>
        </w:rPr>
        <w:t>שתנות. ניתן להחיל את חוקי-</w:t>
      </w:r>
      <w:r w:rsidRPr="00400A2E">
        <w:rPr>
          <w:rFonts w:hint="cs"/>
          <w:rtl/>
        </w:rPr>
        <w:t>היסוד, אפוא, באופן פונקציונאלי. קיים בסיס להב</w:t>
      </w:r>
      <w:r w:rsidR="008D624A">
        <w:rPr>
          <w:rFonts w:hint="cs"/>
          <w:rtl/>
        </w:rPr>
        <w:t>חנה בין היקף ההגנה שיעניקו חוקי-</w:t>
      </w:r>
      <w:r w:rsidRPr="00400A2E">
        <w:rPr>
          <w:rFonts w:hint="cs"/>
          <w:rtl/>
        </w:rPr>
        <w:t xml:space="preserve">היסוד לתושבים מוגנים המתגוררים באזור הנתון לתפיסה לוחמתית, לבין זו שתינתן לתושבי שטח אויב. גם אם אין בכוחה של הבחנה זו להביא לביטול מוחלט של תחולת חוקי-היסוד ביחס לתושבי שטח האויב, הרי שיש בכוחה </w:t>
      </w:r>
      <w:r w:rsidRPr="006749E5">
        <w:rPr>
          <w:rFonts w:ascii="Century" w:hAnsi="Century" w:cs="Miriam" w:hint="cs"/>
          <w:b/>
          <w:spacing w:val="0"/>
          <w:sz w:val="22"/>
          <w:szCs w:val="24"/>
          <w:rtl/>
        </w:rPr>
        <w:t>לצמצם את מידת ההגנה</w:t>
      </w:r>
      <w:r w:rsidRPr="00400A2E">
        <w:rPr>
          <w:rFonts w:hint="cs"/>
          <w:rtl/>
        </w:rPr>
        <w:t xml:space="preserve"> שתינתן על-ידם (ראו: </w:t>
      </w:r>
      <w:r w:rsidRPr="006749E5">
        <w:rPr>
          <w:rFonts w:ascii="Century" w:hAnsi="Century" w:cs="Miriam" w:hint="cs"/>
          <w:b/>
          <w:spacing w:val="0"/>
          <w:sz w:val="22"/>
          <w:szCs w:val="24"/>
          <w:rtl/>
        </w:rPr>
        <w:t>אורגד</w:t>
      </w:r>
      <w:r w:rsidRPr="00400A2E">
        <w:rPr>
          <w:rFonts w:hint="cs"/>
          <w:rtl/>
        </w:rPr>
        <w:t>, עמוד 183).</w:t>
      </w:r>
    </w:p>
    <w:p w:rsidR="00D512D4" w:rsidRDefault="00D512D4" w:rsidP="000B6AE3">
      <w:pPr>
        <w:pStyle w:val="Ruller4"/>
        <w:numPr>
          <w:ilvl w:val="0"/>
          <w:numId w:val="0"/>
        </w:numPr>
        <w:spacing w:line="240" w:lineRule="auto"/>
        <w:rPr>
          <w:rtl/>
        </w:rPr>
      </w:pPr>
      <w:r>
        <w:rPr>
          <w:rtl/>
        </w:rPr>
        <w:tab/>
      </w:r>
    </w:p>
    <w:p w:rsidR="00D512D4" w:rsidRPr="00B87F58" w:rsidRDefault="00D512D4" w:rsidP="00811B3D">
      <w:pPr>
        <w:pStyle w:val="Ruller4"/>
        <w:rPr>
          <w:rFonts w:ascii="Century" w:hAnsi="Century"/>
          <w:sz w:val="22"/>
          <w:rtl/>
        </w:rPr>
      </w:pPr>
      <w:r>
        <w:rPr>
          <w:rFonts w:hint="cs"/>
          <w:rtl/>
        </w:rPr>
        <w:t xml:space="preserve">שיקול נוסף המשליך על היקף ההגנה החוקתית, נעוץ במימד הזמן. </w:t>
      </w:r>
      <w:r w:rsidRPr="005A6C85">
        <w:rPr>
          <w:rFonts w:ascii="Century" w:hAnsi="Century" w:cs="Miriam" w:hint="cs"/>
          <w:b/>
          <w:spacing w:val="0"/>
          <w:sz w:val="22"/>
          <w:szCs w:val="24"/>
          <w:rtl/>
        </w:rPr>
        <w:t>"לכל זמן ועת לכל-חפץ, תחת השמים</w:t>
      </w:r>
      <w:r>
        <w:rPr>
          <w:rFonts w:ascii="Century" w:hAnsi="Century" w:cs="Miriam" w:hint="cs"/>
          <w:b/>
          <w:spacing w:val="0"/>
          <w:sz w:val="22"/>
          <w:szCs w:val="24"/>
          <w:rtl/>
        </w:rPr>
        <w:t xml:space="preserve"> [</w:t>
      </w:r>
      <w:r w:rsidRPr="005A6C85">
        <w:rPr>
          <w:rFonts w:ascii="Century" w:hAnsi="Century" w:cs="Miriam" w:hint="cs"/>
          <w:b/>
          <w:spacing w:val="0"/>
          <w:sz w:val="22"/>
          <w:szCs w:val="24"/>
          <w:rtl/>
        </w:rPr>
        <w:t>...</w:t>
      </w:r>
      <w:r>
        <w:rPr>
          <w:rFonts w:ascii="Century" w:hAnsi="Century" w:cs="Miriam" w:hint="cs"/>
          <w:b/>
          <w:spacing w:val="0"/>
          <w:sz w:val="22"/>
          <w:szCs w:val="24"/>
          <w:rtl/>
        </w:rPr>
        <w:t>]</w:t>
      </w:r>
      <w:r w:rsidRPr="005A6C85">
        <w:rPr>
          <w:rFonts w:ascii="Century" w:hAnsi="Century" w:cs="Miriam" w:hint="cs"/>
          <w:b/>
          <w:spacing w:val="0"/>
          <w:sz w:val="22"/>
          <w:szCs w:val="24"/>
          <w:rtl/>
        </w:rPr>
        <w:t xml:space="preserve"> עת מלחמה ועת שלום"</w:t>
      </w:r>
      <w:r>
        <w:rPr>
          <w:rFonts w:hint="cs"/>
          <w:rtl/>
        </w:rPr>
        <w:t xml:space="preserve"> </w:t>
      </w:r>
      <w:r w:rsidRPr="0001560C">
        <w:rPr>
          <w:rFonts w:ascii="Century" w:hAnsi="Century"/>
          <w:sz w:val="22"/>
          <w:rtl/>
        </w:rPr>
        <w:t>(</w:t>
      </w:r>
      <w:r w:rsidRPr="0001560C">
        <w:rPr>
          <w:rFonts w:ascii="Century" w:hAnsi="Century" w:hint="eastAsia"/>
          <w:sz w:val="22"/>
          <w:rtl/>
        </w:rPr>
        <w:t>קהלת</w:t>
      </w:r>
      <w:r w:rsidRPr="002F1373">
        <w:rPr>
          <w:rFonts w:hint="cs"/>
          <w:rtl/>
        </w:rPr>
        <w:t xml:space="preserve"> </w:t>
      </w:r>
      <w:r>
        <w:rPr>
          <w:rFonts w:hint="cs"/>
          <w:rtl/>
        </w:rPr>
        <w:t>ג, א-ח); אין להשוות בין מידת ההגנה החוקתית המוענקת בזמן מלחמה, או עימות מזוין מתמשך, לבין מידת ההגנה שתחול בעיתות שלום (</w:t>
      </w:r>
      <w:r w:rsidRPr="00B850FE">
        <w:rPr>
          <w:rFonts w:ascii="Century" w:hAnsi="Century" w:cs="Miriam" w:hint="cs"/>
          <w:b/>
          <w:spacing w:val="0"/>
          <w:sz w:val="22"/>
          <w:szCs w:val="24"/>
          <w:rtl/>
        </w:rPr>
        <w:t>אורגד</w:t>
      </w:r>
      <w:r>
        <w:rPr>
          <w:rFonts w:hint="cs"/>
          <w:rtl/>
        </w:rPr>
        <w:t xml:space="preserve">, עמודים 187-186; אהרון ברק, </w:t>
      </w:r>
      <w:r w:rsidRPr="00B850FE">
        <w:rPr>
          <w:rFonts w:ascii="Century" w:hAnsi="Century" w:cs="Miriam" w:hint="cs"/>
          <w:b/>
          <w:spacing w:val="0"/>
          <w:sz w:val="22"/>
          <w:szCs w:val="24"/>
          <w:rtl/>
        </w:rPr>
        <w:t>שופט בחברה דמוקרטית</w:t>
      </w:r>
      <w:r>
        <w:rPr>
          <w:rFonts w:hint="cs"/>
          <w:rtl/>
        </w:rPr>
        <w:t xml:space="preserve">, 148-147 (2004)); אין מקום להשוואה בין שני המצבים הללו. אמנם, </w:t>
      </w:r>
      <w:r w:rsidR="00180A78">
        <w:rPr>
          <w:rFonts w:hint="cs"/>
          <w:rtl/>
        </w:rPr>
        <w:t xml:space="preserve">אני </w:t>
      </w:r>
      <w:r>
        <w:rPr>
          <w:rFonts w:hint="cs"/>
          <w:rtl/>
        </w:rPr>
        <w:t xml:space="preserve">מסכים עם העמדה העקרונית, שהובעה פעם אחר פעם בפסיקתו של בית משפט זה, כי </w:t>
      </w:r>
      <w:r w:rsidRPr="00971EED">
        <w:rPr>
          <w:rFonts w:ascii="Century" w:hAnsi="Century" w:cs="Miriam" w:hint="cs"/>
          <w:b/>
          <w:spacing w:val="0"/>
          <w:sz w:val="22"/>
          <w:szCs w:val="24"/>
          <w:rtl/>
        </w:rPr>
        <w:t>"</w:t>
      </w:r>
      <w:r w:rsidRPr="00971EED">
        <w:rPr>
          <w:rFonts w:ascii="Century" w:hAnsi="Century" w:cs="Miriam" w:hint="eastAsia"/>
          <w:b/>
          <w:spacing w:val="0"/>
          <w:sz w:val="22"/>
          <w:szCs w:val="24"/>
          <w:rtl/>
        </w:rPr>
        <w:t>איננו</w:t>
      </w:r>
      <w:r w:rsidRPr="00971EED">
        <w:rPr>
          <w:rFonts w:ascii="Century" w:hAnsi="Century" w:cs="Miriam"/>
          <w:b/>
          <w:spacing w:val="0"/>
          <w:sz w:val="22"/>
          <w:szCs w:val="24"/>
          <w:rtl/>
        </w:rPr>
        <w:t xml:space="preserve"> </w:t>
      </w:r>
      <w:r w:rsidRPr="00971EED">
        <w:rPr>
          <w:rFonts w:ascii="Century" w:hAnsi="Century" w:cs="Miriam" w:hint="eastAsia"/>
          <w:b/>
          <w:spacing w:val="0"/>
          <w:sz w:val="22"/>
          <w:szCs w:val="24"/>
          <w:rtl/>
        </w:rPr>
        <w:t>מנהלים</w:t>
      </w:r>
      <w:r w:rsidRPr="00971EED">
        <w:rPr>
          <w:rFonts w:ascii="Century" w:hAnsi="Century" w:cs="Miriam"/>
          <w:b/>
          <w:spacing w:val="0"/>
          <w:sz w:val="22"/>
          <w:szCs w:val="24"/>
          <w:rtl/>
        </w:rPr>
        <w:t xml:space="preserve"> </w:t>
      </w:r>
      <w:r w:rsidRPr="00971EED">
        <w:rPr>
          <w:rFonts w:ascii="Century" w:hAnsi="Century" w:cs="Miriam" w:hint="eastAsia"/>
          <w:b/>
          <w:spacing w:val="0"/>
          <w:sz w:val="22"/>
          <w:szCs w:val="24"/>
          <w:rtl/>
        </w:rPr>
        <w:t>שתי</w:t>
      </w:r>
      <w:r w:rsidRPr="00971EED">
        <w:rPr>
          <w:rFonts w:ascii="Century" w:hAnsi="Century" w:cs="Miriam"/>
          <w:b/>
          <w:spacing w:val="0"/>
          <w:sz w:val="22"/>
          <w:szCs w:val="24"/>
          <w:rtl/>
        </w:rPr>
        <w:t xml:space="preserve"> </w:t>
      </w:r>
      <w:r w:rsidRPr="00971EED">
        <w:rPr>
          <w:rFonts w:ascii="Century" w:hAnsi="Century" w:cs="Miriam" w:hint="eastAsia"/>
          <w:b/>
          <w:spacing w:val="0"/>
          <w:sz w:val="22"/>
          <w:szCs w:val="24"/>
          <w:rtl/>
        </w:rPr>
        <w:t>מערכות</w:t>
      </w:r>
      <w:r w:rsidRPr="00971EED">
        <w:rPr>
          <w:rFonts w:ascii="Century" w:hAnsi="Century" w:cs="Miriam"/>
          <w:b/>
          <w:spacing w:val="0"/>
          <w:sz w:val="22"/>
          <w:szCs w:val="24"/>
          <w:rtl/>
        </w:rPr>
        <w:t xml:space="preserve"> </w:t>
      </w:r>
      <w:r w:rsidRPr="00971EED">
        <w:rPr>
          <w:rFonts w:ascii="Century" w:hAnsi="Century" w:cs="Miriam" w:hint="eastAsia"/>
          <w:b/>
          <w:spacing w:val="0"/>
          <w:sz w:val="22"/>
          <w:szCs w:val="24"/>
          <w:rtl/>
        </w:rPr>
        <w:t>של</w:t>
      </w:r>
      <w:r w:rsidRPr="00971EED">
        <w:rPr>
          <w:rFonts w:ascii="Century" w:hAnsi="Century" w:cs="Miriam"/>
          <w:b/>
          <w:spacing w:val="0"/>
          <w:sz w:val="22"/>
          <w:szCs w:val="24"/>
          <w:rtl/>
        </w:rPr>
        <w:t xml:space="preserve"> </w:t>
      </w:r>
      <w:r w:rsidRPr="00971EED">
        <w:rPr>
          <w:rFonts w:ascii="Century" w:hAnsi="Century" w:cs="Miriam" w:hint="eastAsia"/>
          <w:b/>
          <w:spacing w:val="0"/>
          <w:sz w:val="22"/>
          <w:szCs w:val="24"/>
          <w:rtl/>
        </w:rPr>
        <w:t>דינים</w:t>
      </w:r>
      <w:r w:rsidRPr="00971EED">
        <w:rPr>
          <w:rFonts w:ascii="Century" w:hAnsi="Century" w:cs="Miriam"/>
          <w:b/>
          <w:spacing w:val="0"/>
          <w:sz w:val="22"/>
          <w:szCs w:val="24"/>
          <w:rtl/>
        </w:rPr>
        <w:t xml:space="preserve"> </w:t>
      </w:r>
      <w:r w:rsidRPr="00971EED">
        <w:rPr>
          <w:rFonts w:ascii="Century" w:hAnsi="Century" w:cs="Miriam" w:hint="eastAsia"/>
          <w:b/>
          <w:spacing w:val="0"/>
          <w:sz w:val="22"/>
          <w:szCs w:val="24"/>
          <w:rtl/>
        </w:rPr>
        <w:t>או</w:t>
      </w:r>
      <w:r w:rsidRPr="00971EED">
        <w:rPr>
          <w:rFonts w:ascii="Century" w:hAnsi="Century" w:cs="Miriam"/>
          <w:b/>
          <w:spacing w:val="0"/>
          <w:sz w:val="22"/>
          <w:szCs w:val="24"/>
          <w:rtl/>
        </w:rPr>
        <w:t xml:space="preserve"> </w:t>
      </w:r>
      <w:r w:rsidRPr="00971EED">
        <w:rPr>
          <w:rFonts w:ascii="Century" w:hAnsi="Century" w:cs="Miriam" w:hint="eastAsia"/>
          <w:b/>
          <w:spacing w:val="0"/>
          <w:sz w:val="22"/>
          <w:szCs w:val="24"/>
          <w:rtl/>
        </w:rPr>
        <w:t>איזונים</w:t>
      </w:r>
      <w:r w:rsidRPr="00971EED">
        <w:rPr>
          <w:rFonts w:ascii="Century" w:hAnsi="Century" w:cs="Miriam"/>
          <w:b/>
          <w:spacing w:val="0"/>
          <w:sz w:val="22"/>
          <w:szCs w:val="24"/>
          <w:rtl/>
        </w:rPr>
        <w:t xml:space="preserve">, </w:t>
      </w:r>
      <w:r w:rsidRPr="00971EED">
        <w:rPr>
          <w:rFonts w:ascii="Century" w:hAnsi="Century" w:cs="Miriam" w:hint="eastAsia"/>
          <w:b/>
          <w:spacing w:val="0"/>
          <w:sz w:val="22"/>
          <w:szCs w:val="24"/>
          <w:rtl/>
        </w:rPr>
        <w:t>האחת</w:t>
      </w:r>
      <w:r w:rsidRPr="00971EED">
        <w:rPr>
          <w:rFonts w:ascii="Century" w:hAnsi="Century" w:cs="Miriam"/>
          <w:b/>
          <w:spacing w:val="0"/>
          <w:sz w:val="22"/>
          <w:szCs w:val="24"/>
          <w:rtl/>
        </w:rPr>
        <w:t xml:space="preserve"> </w:t>
      </w:r>
      <w:r w:rsidRPr="00971EED">
        <w:rPr>
          <w:rFonts w:ascii="Century" w:hAnsi="Century" w:cs="Miriam" w:hint="eastAsia"/>
          <w:b/>
          <w:spacing w:val="0"/>
          <w:sz w:val="22"/>
          <w:szCs w:val="24"/>
          <w:rtl/>
        </w:rPr>
        <w:t>לתקופת</w:t>
      </w:r>
      <w:r w:rsidRPr="00971EED">
        <w:rPr>
          <w:rFonts w:ascii="Century" w:hAnsi="Century" w:cs="Miriam"/>
          <w:b/>
          <w:spacing w:val="0"/>
          <w:sz w:val="22"/>
          <w:szCs w:val="24"/>
          <w:rtl/>
        </w:rPr>
        <w:t xml:space="preserve"> </w:t>
      </w:r>
      <w:r w:rsidRPr="00971EED">
        <w:rPr>
          <w:rFonts w:ascii="Century" w:hAnsi="Century" w:cs="Miriam" w:hint="eastAsia"/>
          <w:b/>
          <w:spacing w:val="0"/>
          <w:sz w:val="22"/>
          <w:szCs w:val="24"/>
          <w:rtl/>
        </w:rPr>
        <w:t>רגיעה</w:t>
      </w:r>
      <w:r w:rsidRPr="00971EED">
        <w:rPr>
          <w:rFonts w:ascii="Century" w:hAnsi="Century" w:cs="Miriam"/>
          <w:b/>
          <w:spacing w:val="0"/>
          <w:sz w:val="22"/>
          <w:szCs w:val="24"/>
          <w:rtl/>
        </w:rPr>
        <w:t xml:space="preserve"> </w:t>
      </w:r>
      <w:r w:rsidRPr="00971EED">
        <w:rPr>
          <w:rFonts w:ascii="Century" w:hAnsi="Century" w:cs="Miriam" w:hint="eastAsia"/>
          <w:b/>
          <w:spacing w:val="0"/>
          <w:sz w:val="22"/>
          <w:szCs w:val="24"/>
          <w:rtl/>
        </w:rPr>
        <w:t>והאחרת</w:t>
      </w:r>
      <w:r w:rsidRPr="00971EED">
        <w:rPr>
          <w:rFonts w:ascii="Century" w:hAnsi="Century" w:cs="Miriam"/>
          <w:b/>
          <w:spacing w:val="0"/>
          <w:sz w:val="22"/>
          <w:szCs w:val="24"/>
          <w:rtl/>
        </w:rPr>
        <w:t xml:space="preserve"> </w:t>
      </w:r>
      <w:r w:rsidRPr="00971EED">
        <w:rPr>
          <w:rFonts w:ascii="Century" w:hAnsi="Century" w:cs="Miriam" w:hint="eastAsia"/>
          <w:b/>
          <w:spacing w:val="0"/>
          <w:sz w:val="22"/>
          <w:szCs w:val="24"/>
          <w:rtl/>
        </w:rPr>
        <w:t>לימי</w:t>
      </w:r>
      <w:r w:rsidRPr="00971EED">
        <w:rPr>
          <w:rFonts w:ascii="Century" w:hAnsi="Century" w:cs="Miriam"/>
          <w:b/>
          <w:spacing w:val="0"/>
          <w:sz w:val="22"/>
          <w:szCs w:val="24"/>
          <w:rtl/>
        </w:rPr>
        <w:t xml:space="preserve"> </w:t>
      </w:r>
      <w:r w:rsidRPr="00971EED">
        <w:rPr>
          <w:rFonts w:ascii="Century" w:hAnsi="Century" w:cs="Miriam" w:hint="eastAsia"/>
          <w:b/>
          <w:spacing w:val="0"/>
          <w:sz w:val="22"/>
          <w:szCs w:val="24"/>
          <w:rtl/>
        </w:rPr>
        <w:t>טרור</w:t>
      </w:r>
      <w:r w:rsidRPr="00971EED">
        <w:rPr>
          <w:rFonts w:ascii="Century" w:hAnsi="Century" w:cs="Miriam" w:hint="cs"/>
          <w:b/>
          <w:spacing w:val="0"/>
          <w:sz w:val="22"/>
          <w:szCs w:val="24"/>
          <w:rtl/>
        </w:rPr>
        <w:t>"</w:t>
      </w:r>
      <w:r>
        <w:rPr>
          <w:rFonts w:hint="cs"/>
          <w:rtl/>
        </w:rPr>
        <w:t xml:space="preserve"> (עניין </w:t>
      </w:r>
      <w:r w:rsidRPr="00971EED">
        <w:rPr>
          <w:rFonts w:ascii="Century" w:hAnsi="Century" w:cs="Miriam" w:hint="cs"/>
          <w:b/>
          <w:spacing w:val="0"/>
          <w:sz w:val="22"/>
          <w:szCs w:val="24"/>
          <w:rtl/>
        </w:rPr>
        <w:t>איחוד משפחות</w:t>
      </w:r>
      <w:r>
        <w:rPr>
          <w:rFonts w:hint="cs"/>
          <w:rtl/>
        </w:rPr>
        <w:t xml:space="preserve">, פסקה 20 לפסק הדין של הנשיא </w:t>
      </w:r>
      <w:r w:rsidRPr="00A76DAA">
        <w:rPr>
          <w:rFonts w:ascii="Century" w:hAnsi="Century" w:cs="Miriam" w:hint="cs"/>
          <w:b/>
          <w:spacing w:val="0"/>
          <w:sz w:val="22"/>
          <w:szCs w:val="24"/>
          <w:rtl/>
        </w:rPr>
        <w:t>ברק</w:t>
      </w:r>
      <w:r>
        <w:rPr>
          <w:rFonts w:hint="cs"/>
          <w:rtl/>
        </w:rPr>
        <w:t xml:space="preserve">), אך גם אם מערכת דינים אחת לנו, אופן ישומה עשוי להשתנות בהתאם לנסיבות. כפי שקבע המשנה לנשיא </w:t>
      </w:r>
      <w:r w:rsidRPr="00A76DAA">
        <w:rPr>
          <w:rFonts w:ascii="Century" w:hAnsi="Century" w:cs="Miriam" w:hint="cs"/>
          <w:b/>
          <w:spacing w:val="0"/>
          <w:sz w:val="22"/>
          <w:szCs w:val="24"/>
          <w:rtl/>
        </w:rPr>
        <w:t>חשין</w:t>
      </w:r>
      <w:r>
        <w:rPr>
          <w:rFonts w:hint="cs"/>
          <w:rtl/>
        </w:rPr>
        <w:t xml:space="preserve"> בעניין </w:t>
      </w:r>
      <w:r w:rsidRPr="00471E7C">
        <w:rPr>
          <w:rFonts w:ascii="Century" w:hAnsi="Century" w:cs="Miriam" w:hint="cs"/>
          <w:b/>
          <w:spacing w:val="0"/>
          <w:sz w:val="22"/>
          <w:szCs w:val="24"/>
          <w:rtl/>
        </w:rPr>
        <w:t>איחוד משפחות</w:t>
      </w:r>
      <w:r w:rsidRPr="00B87F58">
        <w:rPr>
          <w:rFonts w:ascii="Century" w:hAnsi="Century"/>
          <w:sz w:val="22"/>
          <w:rtl/>
        </w:rPr>
        <w:t xml:space="preserve">: </w:t>
      </w:r>
    </w:p>
    <w:p w:rsidR="00D512D4" w:rsidRDefault="00D512D4" w:rsidP="00653268">
      <w:pPr>
        <w:pStyle w:val="Ruller41"/>
        <w:rPr>
          <w:rtl/>
        </w:rPr>
      </w:pPr>
    </w:p>
    <w:p w:rsidR="00D512D4" w:rsidRPr="00471E7C" w:rsidRDefault="00D512D4" w:rsidP="008E5E18">
      <w:pPr>
        <w:pStyle w:val="Ruller5"/>
        <w:spacing w:line="360" w:lineRule="auto"/>
        <w:rPr>
          <w:rFonts w:ascii="Century" w:hAnsi="Century" w:cs="Miriam"/>
          <w:b/>
          <w:spacing w:val="0"/>
          <w:szCs w:val="24"/>
          <w:rtl/>
        </w:rPr>
      </w:pPr>
      <w:r w:rsidRPr="00471E7C">
        <w:rPr>
          <w:rFonts w:ascii="Century" w:hAnsi="Century" w:cs="Miriam"/>
          <w:b/>
          <w:spacing w:val="0"/>
          <w:szCs w:val="24"/>
          <w:rtl/>
        </w:rPr>
        <w:t>"</w:t>
      </w:r>
      <w:r w:rsidRPr="00471E7C">
        <w:rPr>
          <w:rFonts w:ascii="Century" w:hAnsi="Century" w:cs="Miriam" w:hint="eastAsia"/>
          <w:b/>
          <w:spacing w:val="0"/>
          <w:szCs w:val="24"/>
          <w:rtl/>
        </w:rPr>
        <w:t>הנחת</w:t>
      </w:r>
      <w:r w:rsidRPr="00471E7C">
        <w:rPr>
          <w:rFonts w:ascii="Century" w:hAnsi="Century" w:cs="Miriam"/>
          <w:b/>
          <w:spacing w:val="0"/>
          <w:szCs w:val="24"/>
          <w:rtl/>
        </w:rPr>
        <w:t xml:space="preserve"> </w:t>
      </w:r>
      <w:r w:rsidRPr="00471E7C">
        <w:rPr>
          <w:rFonts w:ascii="Century" w:hAnsi="Century" w:cs="Miriam" w:hint="eastAsia"/>
          <w:b/>
          <w:spacing w:val="0"/>
          <w:szCs w:val="24"/>
          <w:rtl/>
        </w:rPr>
        <w:t>המוצא</w:t>
      </w:r>
      <w:r w:rsidRPr="00471E7C">
        <w:rPr>
          <w:rFonts w:ascii="Century" w:hAnsi="Century" w:cs="Miriam"/>
          <w:b/>
          <w:spacing w:val="0"/>
          <w:szCs w:val="24"/>
          <w:rtl/>
        </w:rPr>
        <w:t xml:space="preserve"> </w:t>
      </w:r>
      <w:r w:rsidRPr="00471E7C">
        <w:rPr>
          <w:rFonts w:ascii="Century" w:hAnsi="Century" w:cs="Miriam" w:hint="eastAsia"/>
          <w:b/>
          <w:spacing w:val="0"/>
          <w:szCs w:val="24"/>
          <w:rtl/>
        </w:rPr>
        <w:t>במשפט</w:t>
      </w:r>
      <w:r w:rsidRPr="00471E7C">
        <w:rPr>
          <w:rFonts w:ascii="Century" w:hAnsi="Century" w:cs="Miriam"/>
          <w:b/>
          <w:spacing w:val="0"/>
          <w:szCs w:val="24"/>
          <w:rtl/>
        </w:rPr>
        <w:t xml:space="preserve"> </w:t>
      </w:r>
      <w:r w:rsidRPr="00471E7C">
        <w:rPr>
          <w:rFonts w:ascii="Century" w:hAnsi="Century" w:cs="Miriam" w:hint="eastAsia"/>
          <w:b/>
          <w:spacing w:val="0"/>
          <w:szCs w:val="24"/>
          <w:rtl/>
        </w:rPr>
        <w:t>הבינלאומי</w:t>
      </w:r>
      <w:r w:rsidRPr="00471E7C">
        <w:rPr>
          <w:rFonts w:ascii="Century" w:hAnsi="Century" w:cs="Miriam"/>
          <w:b/>
          <w:spacing w:val="0"/>
          <w:szCs w:val="24"/>
          <w:rtl/>
        </w:rPr>
        <w:t xml:space="preserve"> </w:t>
      </w:r>
      <w:r w:rsidRPr="00471E7C">
        <w:rPr>
          <w:rFonts w:ascii="Century" w:hAnsi="Century" w:cs="Miriam" w:hint="eastAsia"/>
          <w:b/>
          <w:spacing w:val="0"/>
          <w:szCs w:val="24"/>
          <w:rtl/>
        </w:rPr>
        <w:t>היא</w:t>
      </w:r>
      <w:r w:rsidRPr="00471E7C">
        <w:rPr>
          <w:rFonts w:ascii="Century" w:hAnsi="Century" w:cs="Miriam"/>
          <w:b/>
          <w:spacing w:val="0"/>
          <w:szCs w:val="24"/>
          <w:rtl/>
        </w:rPr>
        <w:t xml:space="preserve">, </w:t>
      </w:r>
      <w:r w:rsidRPr="00471E7C">
        <w:rPr>
          <w:rFonts w:ascii="Century" w:hAnsi="Century" w:cs="Miriam" w:hint="eastAsia"/>
          <w:b/>
          <w:spacing w:val="0"/>
          <w:szCs w:val="24"/>
          <w:rtl/>
        </w:rPr>
        <w:t>כי</w:t>
      </w:r>
      <w:r w:rsidRPr="00471E7C">
        <w:rPr>
          <w:rFonts w:ascii="Century" w:hAnsi="Century" w:cs="Miriam"/>
          <w:b/>
          <w:spacing w:val="0"/>
          <w:szCs w:val="24"/>
          <w:rtl/>
        </w:rPr>
        <w:t xml:space="preserve"> </w:t>
      </w:r>
      <w:r w:rsidRPr="00471E7C">
        <w:rPr>
          <w:rFonts w:ascii="Century" w:hAnsi="Century" w:cs="Miriam" w:hint="eastAsia"/>
          <w:b/>
          <w:spacing w:val="0"/>
          <w:szCs w:val="24"/>
          <w:rtl/>
        </w:rPr>
        <w:t>בעת</w:t>
      </w:r>
      <w:r w:rsidRPr="00471E7C">
        <w:rPr>
          <w:rFonts w:ascii="Century" w:hAnsi="Century" w:cs="Miriam"/>
          <w:b/>
          <w:spacing w:val="0"/>
          <w:szCs w:val="24"/>
          <w:rtl/>
        </w:rPr>
        <w:t xml:space="preserve"> </w:t>
      </w:r>
      <w:r w:rsidRPr="00471E7C">
        <w:rPr>
          <w:rFonts w:ascii="Century" w:hAnsi="Century" w:cs="Miriam" w:hint="eastAsia"/>
          <w:b/>
          <w:spacing w:val="0"/>
          <w:szCs w:val="24"/>
          <w:rtl/>
        </w:rPr>
        <w:t>מלחמה</w:t>
      </w:r>
      <w:r w:rsidRPr="00471E7C">
        <w:rPr>
          <w:rFonts w:ascii="Century" w:hAnsi="Century" w:cs="Miriam"/>
          <w:b/>
          <w:spacing w:val="0"/>
          <w:szCs w:val="24"/>
          <w:rtl/>
        </w:rPr>
        <w:t xml:space="preserve"> </w:t>
      </w:r>
      <w:r w:rsidRPr="00471E7C">
        <w:rPr>
          <w:rFonts w:ascii="Century" w:hAnsi="Century" w:cs="Miriam" w:hint="eastAsia"/>
          <w:b/>
          <w:spacing w:val="0"/>
          <w:szCs w:val="24"/>
          <w:rtl/>
        </w:rPr>
        <w:t>הופכים</w:t>
      </w:r>
      <w:r w:rsidRPr="00471E7C">
        <w:rPr>
          <w:rFonts w:ascii="Century" w:hAnsi="Century" w:cs="Miriam"/>
          <w:b/>
          <w:spacing w:val="0"/>
          <w:szCs w:val="24"/>
          <w:rtl/>
        </w:rPr>
        <w:t xml:space="preserve"> </w:t>
      </w:r>
      <w:r w:rsidRPr="00471E7C">
        <w:rPr>
          <w:rFonts w:ascii="Century" w:hAnsi="Century" w:cs="Miriam" w:hint="eastAsia"/>
          <w:b/>
          <w:spacing w:val="0"/>
          <w:szCs w:val="24"/>
          <w:rtl/>
        </w:rPr>
        <w:t>נתיני</w:t>
      </w:r>
      <w:r w:rsidRPr="00471E7C">
        <w:rPr>
          <w:rFonts w:ascii="Century" w:hAnsi="Century" w:cs="Miriam"/>
          <w:b/>
          <w:spacing w:val="0"/>
          <w:szCs w:val="24"/>
          <w:rtl/>
        </w:rPr>
        <w:t xml:space="preserve"> </w:t>
      </w:r>
      <w:r w:rsidRPr="00471E7C">
        <w:rPr>
          <w:rFonts w:ascii="Century" w:hAnsi="Century" w:cs="Miriam" w:hint="eastAsia"/>
          <w:b/>
          <w:spacing w:val="0"/>
          <w:szCs w:val="24"/>
          <w:rtl/>
        </w:rPr>
        <w:t>המדינות</w:t>
      </w:r>
      <w:r w:rsidRPr="00471E7C">
        <w:rPr>
          <w:rFonts w:ascii="Century" w:hAnsi="Century" w:cs="Miriam"/>
          <w:b/>
          <w:spacing w:val="0"/>
          <w:szCs w:val="24"/>
          <w:rtl/>
        </w:rPr>
        <w:t xml:space="preserve"> </w:t>
      </w:r>
      <w:r w:rsidRPr="00471E7C">
        <w:rPr>
          <w:rFonts w:ascii="Century" w:hAnsi="Century" w:cs="Miriam" w:hint="eastAsia"/>
          <w:b/>
          <w:spacing w:val="0"/>
          <w:szCs w:val="24"/>
          <w:rtl/>
        </w:rPr>
        <w:t>היריבות</w:t>
      </w:r>
      <w:r w:rsidRPr="00471E7C">
        <w:rPr>
          <w:rFonts w:ascii="Century" w:hAnsi="Century" w:cs="Miriam"/>
          <w:b/>
          <w:spacing w:val="0"/>
          <w:szCs w:val="24"/>
          <w:rtl/>
        </w:rPr>
        <w:t xml:space="preserve"> </w:t>
      </w:r>
      <w:r w:rsidRPr="00471E7C">
        <w:rPr>
          <w:rFonts w:ascii="Century" w:hAnsi="Century" w:cs="Miriam" w:hint="eastAsia"/>
          <w:b/>
          <w:spacing w:val="0"/>
          <w:szCs w:val="24"/>
          <w:rtl/>
        </w:rPr>
        <w:t>אויבים</w:t>
      </w:r>
      <w:r w:rsidRPr="00471E7C">
        <w:rPr>
          <w:rFonts w:ascii="Century" w:hAnsi="Century" w:cs="Miriam"/>
          <w:b/>
          <w:spacing w:val="0"/>
          <w:szCs w:val="24"/>
          <w:rtl/>
        </w:rPr>
        <w:t xml:space="preserve"> </w:t>
      </w:r>
      <w:r w:rsidRPr="00471E7C">
        <w:rPr>
          <w:rFonts w:ascii="Century" w:hAnsi="Century" w:cs="Miriam" w:hint="eastAsia"/>
          <w:b/>
          <w:spacing w:val="0"/>
          <w:szCs w:val="24"/>
          <w:rtl/>
        </w:rPr>
        <w:t>אלה</w:t>
      </w:r>
      <w:r w:rsidRPr="00471E7C">
        <w:rPr>
          <w:rFonts w:ascii="Century" w:hAnsi="Century" w:cs="Miriam"/>
          <w:b/>
          <w:spacing w:val="0"/>
          <w:szCs w:val="24"/>
          <w:rtl/>
        </w:rPr>
        <w:t xml:space="preserve"> </w:t>
      </w:r>
      <w:r w:rsidRPr="00471E7C">
        <w:rPr>
          <w:rFonts w:ascii="Century" w:hAnsi="Century" w:cs="Miriam" w:hint="eastAsia"/>
          <w:b/>
          <w:spacing w:val="0"/>
          <w:szCs w:val="24"/>
          <w:rtl/>
        </w:rPr>
        <w:t>לאלה</w:t>
      </w:r>
      <w:r w:rsidRPr="00471E7C">
        <w:rPr>
          <w:rFonts w:ascii="Century" w:hAnsi="Century" w:cs="Miriam"/>
          <w:b/>
          <w:spacing w:val="0"/>
          <w:szCs w:val="24"/>
          <w:rtl/>
        </w:rPr>
        <w:t xml:space="preserve">, </w:t>
      </w:r>
      <w:r w:rsidRPr="00471E7C">
        <w:rPr>
          <w:rFonts w:ascii="Century" w:hAnsi="Century" w:cs="Miriam" w:hint="eastAsia"/>
          <w:b/>
          <w:spacing w:val="0"/>
          <w:szCs w:val="24"/>
          <w:rtl/>
        </w:rPr>
        <w:t>וכי</w:t>
      </w:r>
      <w:r w:rsidRPr="00471E7C">
        <w:rPr>
          <w:rFonts w:ascii="Century" w:hAnsi="Century" w:cs="Miriam"/>
          <w:b/>
          <w:spacing w:val="0"/>
          <w:szCs w:val="24"/>
          <w:rtl/>
        </w:rPr>
        <w:t xml:space="preserve"> </w:t>
      </w:r>
      <w:r w:rsidRPr="00471E7C">
        <w:rPr>
          <w:rFonts w:ascii="Century" w:hAnsi="Century" w:cs="Miriam" w:hint="eastAsia"/>
          <w:b/>
          <w:spacing w:val="0"/>
          <w:szCs w:val="24"/>
          <w:rtl/>
        </w:rPr>
        <w:t>כל</w:t>
      </w:r>
      <w:r w:rsidRPr="00471E7C">
        <w:rPr>
          <w:rFonts w:ascii="Century" w:hAnsi="Century" w:cs="Miriam"/>
          <w:b/>
          <w:spacing w:val="0"/>
          <w:szCs w:val="24"/>
          <w:rtl/>
        </w:rPr>
        <w:t xml:space="preserve"> </w:t>
      </w:r>
      <w:r w:rsidRPr="00471E7C">
        <w:rPr>
          <w:rFonts w:ascii="Century" w:hAnsi="Century" w:cs="Miriam" w:hint="eastAsia"/>
          <w:b/>
          <w:spacing w:val="0"/>
          <w:szCs w:val="24"/>
          <w:rtl/>
        </w:rPr>
        <w:t>אזרח</w:t>
      </w:r>
      <w:r w:rsidRPr="00471E7C">
        <w:rPr>
          <w:rFonts w:ascii="Century" w:hAnsi="Century" w:cs="Miriam"/>
          <w:b/>
          <w:spacing w:val="0"/>
          <w:szCs w:val="24"/>
          <w:rtl/>
        </w:rPr>
        <w:t xml:space="preserve"> </w:t>
      </w:r>
      <w:r w:rsidRPr="00471E7C">
        <w:rPr>
          <w:rFonts w:ascii="Century" w:hAnsi="Century" w:cs="Miriam" w:hint="eastAsia"/>
          <w:b/>
          <w:spacing w:val="0"/>
          <w:szCs w:val="24"/>
          <w:rtl/>
        </w:rPr>
        <w:t>יראה</w:t>
      </w:r>
      <w:r w:rsidRPr="00471E7C">
        <w:rPr>
          <w:rFonts w:ascii="Century" w:hAnsi="Century" w:cs="Miriam"/>
          <w:b/>
          <w:spacing w:val="0"/>
          <w:szCs w:val="24"/>
          <w:rtl/>
        </w:rPr>
        <w:t xml:space="preserve"> </w:t>
      </w:r>
      <w:r w:rsidRPr="00471E7C">
        <w:rPr>
          <w:rFonts w:ascii="Century" w:hAnsi="Century" w:cs="Miriam" w:hint="eastAsia"/>
          <w:b/>
          <w:spacing w:val="0"/>
          <w:szCs w:val="24"/>
          <w:rtl/>
        </w:rPr>
        <w:t>עצמו</w:t>
      </w:r>
      <w:r w:rsidRPr="00471E7C">
        <w:rPr>
          <w:rFonts w:ascii="Century" w:hAnsi="Century" w:cs="Miriam"/>
          <w:b/>
          <w:spacing w:val="0"/>
          <w:szCs w:val="24"/>
          <w:rtl/>
        </w:rPr>
        <w:t xml:space="preserve"> </w:t>
      </w:r>
      <w:r w:rsidRPr="00471E7C">
        <w:rPr>
          <w:rFonts w:ascii="Century" w:hAnsi="Century" w:cs="Miriam" w:hint="eastAsia"/>
          <w:b/>
          <w:spacing w:val="0"/>
          <w:szCs w:val="24"/>
          <w:rtl/>
        </w:rPr>
        <w:t>נאמן</w:t>
      </w:r>
      <w:r w:rsidRPr="00471E7C">
        <w:rPr>
          <w:rFonts w:ascii="Century" w:hAnsi="Century" w:cs="Miriam"/>
          <w:b/>
          <w:spacing w:val="0"/>
          <w:szCs w:val="24"/>
          <w:rtl/>
        </w:rPr>
        <w:t xml:space="preserve"> </w:t>
      </w:r>
      <w:r w:rsidRPr="00471E7C">
        <w:rPr>
          <w:rFonts w:ascii="Century" w:hAnsi="Century" w:cs="Miriam" w:hint="eastAsia"/>
          <w:b/>
          <w:spacing w:val="0"/>
          <w:szCs w:val="24"/>
          <w:rtl/>
        </w:rPr>
        <w:t>לארצו</w:t>
      </w:r>
      <w:r w:rsidRPr="00471E7C">
        <w:rPr>
          <w:rFonts w:ascii="Century" w:hAnsi="Century" w:cs="Miriam"/>
          <w:b/>
          <w:spacing w:val="0"/>
          <w:szCs w:val="24"/>
          <w:rtl/>
        </w:rPr>
        <w:t xml:space="preserve"> </w:t>
      </w:r>
      <w:r w:rsidRPr="00471E7C">
        <w:rPr>
          <w:rFonts w:ascii="Century" w:hAnsi="Century" w:cs="Miriam" w:hint="eastAsia"/>
          <w:b/>
          <w:spacing w:val="0"/>
          <w:szCs w:val="24"/>
          <w:rtl/>
        </w:rPr>
        <w:t>ולמולדתו</w:t>
      </w:r>
      <w:r w:rsidRPr="00471E7C">
        <w:rPr>
          <w:rFonts w:ascii="Century" w:hAnsi="Century" w:cs="Miriam"/>
          <w:b/>
          <w:spacing w:val="0"/>
          <w:szCs w:val="24"/>
          <w:rtl/>
        </w:rPr>
        <w:t xml:space="preserve"> </w:t>
      </w:r>
      <w:r w:rsidRPr="00471E7C">
        <w:rPr>
          <w:rFonts w:ascii="Century" w:hAnsi="Century" w:cs="Miriam" w:hint="eastAsia"/>
          <w:b/>
          <w:spacing w:val="0"/>
          <w:szCs w:val="24"/>
          <w:rtl/>
        </w:rPr>
        <w:t>ועוין</w:t>
      </w:r>
      <w:r w:rsidRPr="00471E7C">
        <w:rPr>
          <w:rFonts w:ascii="Century" w:hAnsi="Century" w:cs="Miriam"/>
          <w:b/>
          <w:spacing w:val="0"/>
          <w:szCs w:val="24"/>
          <w:rtl/>
        </w:rPr>
        <w:t xml:space="preserve"> </w:t>
      </w:r>
      <w:r w:rsidRPr="00471E7C">
        <w:rPr>
          <w:rFonts w:ascii="Century" w:hAnsi="Century" w:cs="Miriam" w:hint="eastAsia"/>
          <w:b/>
          <w:spacing w:val="0"/>
          <w:szCs w:val="24"/>
          <w:rtl/>
        </w:rPr>
        <w:t>לאויבי</w:t>
      </w:r>
      <w:r w:rsidRPr="00471E7C">
        <w:rPr>
          <w:rFonts w:ascii="Century" w:hAnsi="Century" w:cs="Miriam"/>
          <w:b/>
          <w:spacing w:val="0"/>
          <w:szCs w:val="24"/>
          <w:rtl/>
        </w:rPr>
        <w:t xml:space="preserve"> </w:t>
      </w:r>
      <w:r w:rsidRPr="00471E7C">
        <w:rPr>
          <w:rFonts w:ascii="Century" w:hAnsi="Century" w:cs="Miriam" w:hint="eastAsia"/>
          <w:b/>
          <w:spacing w:val="0"/>
          <w:szCs w:val="24"/>
          <w:rtl/>
        </w:rPr>
        <w:t>המולדת</w:t>
      </w:r>
      <w:r w:rsidRPr="00471E7C">
        <w:rPr>
          <w:rFonts w:ascii="Century" w:hAnsi="Century" w:cs="Miriam"/>
          <w:b/>
          <w:spacing w:val="0"/>
          <w:szCs w:val="24"/>
          <w:rtl/>
        </w:rPr>
        <w:t xml:space="preserve">. </w:t>
      </w:r>
      <w:r w:rsidRPr="00471E7C">
        <w:rPr>
          <w:rFonts w:ascii="Century" w:hAnsi="Century" w:cs="Miriam" w:hint="eastAsia"/>
          <w:b/>
          <w:spacing w:val="0"/>
          <w:szCs w:val="24"/>
          <w:rtl/>
        </w:rPr>
        <w:t>מטבע</w:t>
      </w:r>
      <w:r w:rsidRPr="00471E7C">
        <w:rPr>
          <w:rFonts w:ascii="Century" w:hAnsi="Century" w:cs="Miriam"/>
          <w:b/>
          <w:spacing w:val="0"/>
          <w:szCs w:val="24"/>
          <w:rtl/>
        </w:rPr>
        <w:t xml:space="preserve"> </w:t>
      </w:r>
      <w:r w:rsidRPr="00471E7C">
        <w:rPr>
          <w:rFonts w:ascii="Century" w:hAnsi="Century" w:cs="Miriam" w:hint="eastAsia"/>
          <w:b/>
          <w:spacing w:val="0"/>
          <w:szCs w:val="24"/>
          <w:rtl/>
        </w:rPr>
        <w:t>הדברים</w:t>
      </w:r>
      <w:r w:rsidRPr="00471E7C">
        <w:rPr>
          <w:rFonts w:ascii="Century" w:hAnsi="Century" w:cs="Miriam"/>
          <w:b/>
          <w:spacing w:val="0"/>
          <w:szCs w:val="24"/>
          <w:rtl/>
        </w:rPr>
        <w:t xml:space="preserve">, </w:t>
      </w:r>
      <w:r w:rsidRPr="00471E7C">
        <w:rPr>
          <w:rFonts w:ascii="Century" w:hAnsi="Century" w:cs="Miriam" w:hint="eastAsia"/>
          <w:b/>
          <w:spacing w:val="0"/>
          <w:szCs w:val="24"/>
          <w:rtl/>
        </w:rPr>
        <w:t>אפוא</w:t>
      </w:r>
      <w:r w:rsidRPr="00471E7C">
        <w:rPr>
          <w:rFonts w:ascii="Century" w:hAnsi="Century" w:cs="Miriam"/>
          <w:b/>
          <w:spacing w:val="0"/>
          <w:szCs w:val="24"/>
          <w:rtl/>
        </w:rPr>
        <w:t xml:space="preserve">, </w:t>
      </w:r>
      <w:r w:rsidRPr="00471E7C">
        <w:rPr>
          <w:rFonts w:ascii="Century" w:hAnsi="Century" w:cs="Miriam" w:hint="eastAsia"/>
          <w:b/>
          <w:spacing w:val="0"/>
          <w:szCs w:val="24"/>
          <w:rtl/>
        </w:rPr>
        <w:t>רשאית</w:t>
      </w:r>
      <w:r w:rsidRPr="00471E7C">
        <w:rPr>
          <w:rFonts w:ascii="Century" w:hAnsi="Century" w:cs="Miriam"/>
          <w:b/>
          <w:spacing w:val="0"/>
          <w:szCs w:val="24"/>
          <w:rtl/>
        </w:rPr>
        <w:t xml:space="preserve"> </w:t>
      </w:r>
      <w:r w:rsidRPr="00471E7C">
        <w:rPr>
          <w:rFonts w:ascii="Century" w:hAnsi="Century" w:cs="Miriam" w:hint="eastAsia"/>
          <w:b/>
          <w:spacing w:val="0"/>
          <w:szCs w:val="24"/>
          <w:rtl/>
        </w:rPr>
        <w:t>היא</w:t>
      </w:r>
      <w:r w:rsidRPr="00471E7C">
        <w:rPr>
          <w:rFonts w:ascii="Century" w:hAnsi="Century" w:cs="Miriam"/>
          <w:b/>
          <w:spacing w:val="0"/>
          <w:szCs w:val="24"/>
          <w:rtl/>
        </w:rPr>
        <w:t xml:space="preserve"> </w:t>
      </w:r>
      <w:r w:rsidRPr="00471E7C">
        <w:rPr>
          <w:rFonts w:ascii="Century" w:hAnsi="Century" w:cs="Miriam" w:hint="eastAsia"/>
          <w:b/>
          <w:spacing w:val="0"/>
          <w:szCs w:val="24"/>
          <w:rtl/>
        </w:rPr>
        <w:t>מדינה</w:t>
      </w:r>
      <w:r w:rsidRPr="00471E7C">
        <w:rPr>
          <w:rFonts w:ascii="Century" w:hAnsi="Century" w:cs="Miriam"/>
          <w:b/>
          <w:spacing w:val="0"/>
          <w:szCs w:val="24"/>
          <w:rtl/>
        </w:rPr>
        <w:t xml:space="preserve"> </w:t>
      </w:r>
      <w:r w:rsidRPr="00471E7C">
        <w:rPr>
          <w:rFonts w:ascii="Century" w:hAnsi="Century" w:cs="Miriam" w:hint="eastAsia"/>
          <w:b/>
          <w:spacing w:val="0"/>
          <w:szCs w:val="24"/>
          <w:rtl/>
        </w:rPr>
        <w:t>המצויה</w:t>
      </w:r>
      <w:r w:rsidRPr="00471E7C">
        <w:rPr>
          <w:rFonts w:ascii="Century" w:hAnsi="Century" w:cs="Miriam"/>
          <w:b/>
          <w:spacing w:val="0"/>
          <w:szCs w:val="24"/>
          <w:rtl/>
        </w:rPr>
        <w:t xml:space="preserve"> </w:t>
      </w:r>
      <w:r w:rsidRPr="00471E7C">
        <w:rPr>
          <w:rFonts w:ascii="Century" w:hAnsi="Century" w:cs="Miriam" w:hint="eastAsia"/>
          <w:b/>
          <w:spacing w:val="0"/>
          <w:szCs w:val="24"/>
          <w:rtl/>
        </w:rPr>
        <w:t>במצב</w:t>
      </w:r>
      <w:r w:rsidRPr="00471E7C">
        <w:rPr>
          <w:rFonts w:ascii="Century" w:hAnsi="Century" w:cs="Miriam"/>
          <w:b/>
          <w:spacing w:val="0"/>
          <w:szCs w:val="24"/>
          <w:rtl/>
        </w:rPr>
        <w:t xml:space="preserve"> </w:t>
      </w:r>
      <w:r w:rsidRPr="00471E7C">
        <w:rPr>
          <w:rFonts w:ascii="Century" w:hAnsi="Century" w:cs="Miriam" w:hint="eastAsia"/>
          <w:b/>
          <w:spacing w:val="0"/>
          <w:szCs w:val="24"/>
          <w:rtl/>
        </w:rPr>
        <w:t>של</w:t>
      </w:r>
      <w:r w:rsidRPr="00471E7C">
        <w:rPr>
          <w:rFonts w:ascii="Century" w:hAnsi="Century" w:cs="Miriam"/>
          <w:b/>
          <w:spacing w:val="0"/>
          <w:szCs w:val="24"/>
          <w:rtl/>
        </w:rPr>
        <w:t xml:space="preserve"> </w:t>
      </w:r>
      <w:r w:rsidRPr="00471E7C">
        <w:rPr>
          <w:rFonts w:ascii="Century" w:hAnsi="Century" w:cs="Miriam" w:hint="eastAsia"/>
          <w:b/>
          <w:spacing w:val="0"/>
          <w:szCs w:val="24"/>
          <w:rtl/>
        </w:rPr>
        <w:t>עימות</w:t>
      </w:r>
      <w:r w:rsidRPr="00471E7C">
        <w:rPr>
          <w:rFonts w:ascii="Century" w:hAnsi="Century" w:cs="Miriam"/>
          <w:b/>
          <w:spacing w:val="0"/>
          <w:szCs w:val="24"/>
          <w:rtl/>
        </w:rPr>
        <w:t xml:space="preserve"> </w:t>
      </w:r>
      <w:r w:rsidRPr="00471E7C">
        <w:rPr>
          <w:rFonts w:ascii="Century" w:hAnsi="Century" w:cs="Miriam" w:hint="eastAsia"/>
          <w:b/>
          <w:spacing w:val="0"/>
          <w:szCs w:val="24"/>
          <w:rtl/>
        </w:rPr>
        <w:t>לקבוע</w:t>
      </w:r>
      <w:r w:rsidRPr="00471E7C">
        <w:rPr>
          <w:rFonts w:ascii="Century" w:hAnsi="Century" w:cs="Miriam"/>
          <w:b/>
          <w:spacing w:val="0"/>
          <w:szCs w:val="24"/>
          <w:rtl/>
        </w:rPr>
        <w:t xml:space="preserve"> </w:t>
      </w:r>
      <w:r w:rsidRPr="00471E7C">
        <w:rPr>
          <w:rFonts w:ascii="Century" w:hAnsi="Century" w:cs="Miriam" w:hint="eastAsia"/>
          <w:b/>
          <w:spacing w:val="0"/>
          <w:szCs w:val="24"/>
          <w:rtl/>
        </w:rPr>
        <w:t>הסדרים</w:t>
      </w:r>
      <w:r w:rsidRPr="00471E7C">
        <w:rPr>
          <w:rFonts w:ascii="Century" w:hAnsi="Century" w:cs="Miriam"/>
          <w:b/>
          <w:spacing w:val="0"/>
          <w:szCs w:val="24"/>
          <w:rtl/>
        </w:rPr>
        <w:t xml:space="preserve"> </w:t>
      </w:r>
      <w:r w:rsidRPr="00471E7C">
        <w:rPr>
          <w:rFonts w:ascii="Century" w:hAnsi="Century" w:cs="Miriam" w:hint="eastAsia"/>
          <w:b/>
          <w:spacing w:val="0"/>
          <w:szCs w:val="24"/>
          <w:rtl/>
        </w:rPr>
        <w:t>מיוחדים</w:t>
      </w:r>
      <w:r w:rsidRPr="00471E7C">
        <w:rPr>
          <w:rFonts w:ascii="Century" w:hAnsi="Century" w:cs="Miriam"/>
          <w:b/>
          <w:spacing w:val="0"/>
          <w:szCs w:val="24"/>
          <w:rtl/>
        </w:rPr>
        <w:t xml:space="preserve"> </w:t>
      </w:r>
      <w:r w:rsidRPr="00471E7C">
        <w:rPr>
          <w:rFonts w:ascii="Century" w:hAnsi="Century" w:cs="Miriam" w:hint="eastAsia"/>
          <w:b/>
          <w:spacing w:val="0"/>
          <w:szCs w:val="24"/>
          <w:rtl/>
        </w:rPr>
        <w:t>בעניינם</w:t>
      </w:r>
      <w:r w:rsidRPr="00471E7C">
        <w:rPr>
          <w:rFonts w:ascii="Century" w:hAnsi="Century" w:cs="Miriam"/>
          <w:b/>
          <w:spacing w:val="0"/>
          <w:szCs w:val="24"/>
          <w:rtl/>
        </w:rPr>
        <w:t xml:space="preserve"> </w:t>
      </w:r>
      <w:r w:rsidRPr="00471E7C">
        <w:rPr>
          <w:rFonts w:ascii="Century" w:hAnsi="Century" w:cs="Miriam" w:hint="eastAsia"/>
          <w:b/>
          <w:spacing w:val="0"/>
          <w:szCs w:val="24"/>
          <w:rtl/>
        </w:rPr>
        <w:t>של</w:t>
      </w:r>
      <w:r w:rsidRPr="00471E7C">
        <w:rPr>
          <w:rFonts w:ascii="Century" w:hAnsi="Century" w:cs="Miriam"/>
          <w:b/>
          <w:spacing w:val="0"/>
          <w:szCs w:val="24"/>
          <w:rtl/>
        </w:rPr>
        <w:t xml:space="preserve"> </w:t>
      </w:r>
      <w:r w:rsidRPr="00471E7C">
        <w:rPr>
          <w:rFonts w:ascii="Century" w:hAnsi="Century" w:cs="Miriam" w:hint="eastAsia"/>
          <w:b/>
          <w:spacing w:val="0"/>
          <w:szCs w:val="24"/>
          <w:rtl/>
        </w:rPr>
        <w:t>נתיני</w:t>
      </w:r>
      <w:r w:rsidRPr="00471E7C">
        <w:rPr>
          <w:rFonts w:ascii="Century" w:hAnsi="Century" w:cs="Miriam"/>
          <w:b/>
          <w:spacing w:val="0"/>
          <w:szCs w:val="24"/>
          <w:rtl/>
        </w:rPr>
        <w:t xml:space="preserve"> </w:t>
      </w:r>
      <w:r w:rsidRPr="00471E7C">
        <w:rPr>
          <w:rFonts w:ascii="Century" w:hAnsi="Century" w:cs="Miriam" w:hint="eastAsia"/>
          <w:b/>
          <w:spacing w:val="0"/>
          <w:szCs w:val="24"/>
          <w:rtl/>
        </w:rPr>
        <w:t>האויב</w:t>
      </w:r>
      <w:r w:rsidRPr="00471E7C">
        <w:rPr>
          <w:rFonts w:ascii="Century" w:hAnsi="Century" w:cs="Miriam" w:hint="cs"/>
          <w:b/>
          <w:spacing w:val="0"/>
          <w:szCs w:val="24"/>
          <w:rtl/>
        </w:rPr>
        <w:t xml:space="preserve"> [...]</w:t>
      </w:r>
      <w:r>
        <w:rPr>
          <w:rFonts w:ascii="Century" w:hAnsi="Century" w:cs="Miriam" w:hint="cs"/>
          <w:b/>
          <w:spacing w:val="0"/>
          <w:szCs w:val="24"/>
          <w:rtl/>
        </w:rPr>
        <w:t xml:space="preserve">. </w:t>
      </w:r>
      <w:r w:rsidRPr="00471E7C">
        <w:rPr>
          <w:rFonts w:ascii="Century" w:hAnsi="Century" w:cs="Miriam" w:hint="eastAsia"/>
          <w:b/>
          <w:spacing w:val="0"/>
          <w:szCs w:val="24"/>
          <w:rtl/>
        </w:rPr>
        <w:t>כללים</w:t>
      </w:r>
      <w:r w:rsidRPr="00471E7C">
        <w:rPr>
          <w:rFonts w:ascii="Century" w:hAnsi="Century" w:cs="Miriam"/>
          <w:b/>
          <w:spacing w:val="0"/>
          <w:szCs w:val="24"/>
          <w:rtl/>
        </w:rPr>
        <w:t xml:space="preserve"> </w:t>
      </w:r>
      <w:r w:rsidRPr="00471E7C">
        <w:rPr>
          <w:rFonts w:ascii="Century" w:hAnsi="Century" w:cs="Miriam" w:hint="eastAsia"/>
          <w:b/>
          <w:spacing w:val="0"/>
          <w:szCs w:val="24"/>
          <w:rtl/>
        </w:rPr>
        <w:t>ועיקרים</w:t>
      </w:r>
      <w:r w:rsidRPr="00471E7C">
        <w:rPr>
          <w:rFonts w:ascii="Century" w:hAnsi="Century" w:cs="Miriam"/>
          <w:b/>
          <w:spacing w:val="0"/>
          <w:szCs w:val="24"/>
          <w:rtl/>
        </w:rPr>
        <w:t xml:space="preserve"> </w:t>
      </w:r>
      <w:r w:rsidRPr="00471E7C">
        <w:rPr>
          <w:rFonts w:ascii="Century" w:hAnsi="Century" w:cs="Miriam" w:hint="eastAsia"/>
          <w:b/>
          <w:spacing w:val="0"/>
          <w:szCs w:val="24"/>
          <w:rtl/>
        </w:rPr>
        <w:t>שנועדו</w:t>
      </w:r>
      <w:r w:rsidRPr="00471E7C">
        <w:rPr>
          <w:rFonts w:ascii="Century" w:hAnsi="Century" w:cs="Miriam"/>
          <w:b/>
          <w:spacing w:val="0"/>
          <w:szCs w:val="24"/>
          <w:rtl/>
        </w:rPr>
        <w:t xml:space="preserve"> </w:t>
      </w:r>
      <w:r w:rsidRPr="00471E7C">
        <w:rPr>
          <w:rFonts w:ascii="Century" w:hAnsi="Century" w:cs="Miriam" w:hint="eastAsia"/>
          <w:b/>
          <w:spacing w:val="0"/>
          <w:szCs w:val="24"/>
          <w:rtl/>
        </w:rPr>
        <w:t>להגן</w:t>
      </w:r>
      <w:r w:rsidRPr="00471E7C">
        <w:rPr>
          <w:rFonts w:ascii="Century" w:hAnsi="Century" w:cs="Miriam"/>
          <w:b/>
          <w:spacing w:val="0"/>
          <w:szCs w:val="24"/>
          <w:rtl/>
        </w:rPr>
        <w:t xml:space="preserve"> </w:t>
      </w:r>
      <w:r w:rsidRPr="00471E7C">
        <w:rPr>
          <w:rFonts w:ascii="Century" w:hAnsi="Century" w:cs="Miriam" w:hint="eastAsia"/>
          <w:b/>
          <w:spacing w:val="0"/>
          <w:szCs w:val="24"/>
          <w:rtl/>
        </w:rPr>
        <w:t>על</w:t>
      </w:r>
      <w:r w:rsidRPr="00471E7C">
        <w:rPr>
          <w:rFonts w:ascii="Century" w:hAnsi="Century" w:cs="Miriam"/>
          <w:b/>
          <w:spacing w:val="0"/>
          <w:szCs w:val="24"/>
          <w:rtl/>
        </w:rPr>
        <w:t xml:space="preserve"> </w:t>
      </w:r>
      <w:r w:rsidRPr="00471E7C">
        <w:rPr>
          <w:rFonts w:ascii="Century" w:hAnsi="Century" w:cs="Miriam" w:hint="eastAsia"/>
          <w:b/>
          <w:spacing w:val="0"/>
          <w:szCs w:val="24"/>
          <w:rtl/>
        </w:rPr>
        <w:t>אזרחי</w:t>
      </w:r>
      <w:r w:rsidRPr="00471E7C">
        <w:rPr>
          <w:rFonts w:ascii="Century" w:hAnsi="Century" w:cs="Miriam"/>
          <w:b/>
          <w:spacing w:val="0"/>
          <w:szCs w:val="24"/>
          <w:rtl/>
        </w:rPr>
        <w:t xml:space="preserve"> </w:t>
      </w:r>
      <w:r w:rsidRPr="00471E7C">
        <w:rPr>
          <w:rFonts w:ascii="Century" w:hAnsi="Century" w:cs="Miriam" w:hint="eastAsia"/>
          <w:b/>
          <w:spacing w:val="0"/>
          <w:szCs w:val="24"/>
          <w:rtl/>
        </w:rPr>
        <w:t>המדינה</w:t>
      </w:r>
      <w:r w:rsidRPr="00471E7C">
        <w:rPr>
          <w:rFonts w:ascii="Century" w:hAnsi="Century" w:cs="Miriam"/>
          <w:b/>
          <w:spacing w:val="0"/>
          <w:szCs w:val="24"/>
          <w:rtl/>
        </w:rPr>
        <w:t xml:space="preserve"> </w:t>
      </w:r>
      <w:r w:rsidRPr="00471E7C">
        <w:rPr>
          <w:rFonts w:ascii="Century" w:hAnsi="Century" w:cs="Miriam" w:hint="eastAsia"/>
          <w:b/>
          <w:spacing w:val="0"/>
          <w:szCs w:val="24"/>
          <w:rtl/>
        </w:rPr>
        <w:t>ותושביה</w:t>
      </w:r>
      <w:r w:rsidRPr="00471E7C">
        <w:rPr>
          <w:rFonts w:ascii="Century" w:hAnsi="Century" w:cs="Miriam"/>
          <w:b/>
          <w:spacing w:val="0"/>
          <w:szCs w:val="24"/>
          <w:rtl/>
        </w:rPr>
        <w:t xml:space="preserve">, </w:t>
      </w:r>
      <w:r w:rsidRPr="00471E7C">
        <w:rPr>
          <w:rFonts w:ascii="Century" w:hAnsi="Century" w:cs="Miriam" w:hint="eastAsia"/>
          <w:b/>
          <w:spacing w:val="0"/>
          <w:szCs w:val="24"/>
          <w:rtl/>
        </w:rPr>
        <w:t>כוחם</w:t>
      </w:r>
      <w:r w:rsidRPr="00471E7C">
        <w:rPr>
          <w:rFonts w:ascii="Century" w:hAnsi="Century" w:cs="Miriam"/>
          <w:b/>
          <w:spacing w:val="0"/>
          <w:szCs w:val="24"/>
          <w:rtl/>
        </w:rPr>
        <w:t xml:space="preserve"> </w:t>
      </w:r>
      <w:r w:rsidRPr="00471E7C">
        <w:rPr>
          <w:rFonts w:ascii="Century" w:hAnsi="Century" w:cs="Miriam" w:hint="eastAsia"/>
          <w:b/>
          <w:spacing w:val="0"/>
          <w:szCs w:val="24"/>
          <w:rtl/>
        </w:rPr>
        <w:t>והגיונם</w:t>
      </w:r>
      <w:r w:rsidRPr="00471E7C">
        <w:rPr>
          <w:rFonts w:ascii="Century" w:hAnsi="Century" w:cs="Miriam"/>
          <w:b/>
          <w:spacing w:val="0"/>
          <w:szCs w:val="24"/>
          <w:rtl/>
        </w:rPr>
        <w:t xml:space="preserve"> </w:t>
      </w:r>
      <w:r w:rsidRPr="00471E7C">
        <w:rPr>
          <w:rFonts w:ascii="Century" w:hAnsi="Century" w:cs="Miriam" w:hint="eastAsia"/>
          <w:b/>
          <w:spacing w:val="0"/>
          <w:szCs w:val="24"/>
          <w:rtl/>
        </w:rPr>
        <w:t>יפה</w:t>
      </w:r>
      <w:r w:rsidRPr="00471E7C">
        <w:rPr>
          <w:rFonts w:ascii="Century" w:hAnsi="Century" w:cs="Miriam"/>
          <w:b/>
          <w:spacing w:val="0"/>
          <w:szCs w:val="24"/>
          <w:rtl/>
        </w:rPr>
        <w:t xml:space="preserve"> </w:t>
      </w:r>
      <w:r w:rsidRPr="00471E7C">
        <w:rPr>
          <w:rFonts w:ascii="Century" w:hAnsi="Century" w:cs="Miriam" w:hint="eastAsia"/>
          <w:b/>
          <w:spacing w:val="0"/>
          <w:szCs w:val="24"/>
          <w:rtl/>
        </w:rPr>
        <w:t>גם</w:t>
      </w:r>
      <w:r w:rsidRPr="00471E7C">
        <w:rPr>
          <w:rFonts w:ascii="Century" w:hAnsi="Century" w:cs="Miriam"/>
          <w:b/>
          <w:spacing w:val="0"/>
          <w:szCs w:val="24"/>
          <w:rtl/>
        </w:rPr>
        <w:t xml:space="preserve"> </w:t>
      </w:r>
      <w:r w:rsidRPr="00471E7C">
        <w:rPr>
          <w:rFonts w:ascii="Century" w:hAnsi="Century" w:cs="Miriam" w:hint="eastAsia"/>
          <w:b/>
          <w:spacing w:val="0"/>
          <w:szCs w:val="24"/>
          <w:rtl/>
        </w:rPr>
        <w:t>במקום</w:t>
      </w:r>
      <w:r w:rsidRPr="00471E7C">
        <w:rPr>
          <w:rFonts w:ascii="Century" w:hAnsi="Century" w:cs="Miriam"/>
          <w:b/>
          <w:spacing w:val="0"/>
          <w:szCs w:val="24"/>
          <w:rtl/>
        </w:rPr>
        <w:t xml:space="preserve"> </w:t>
      </w:r>
      <w:r w:rsidRPr="00471E7C">
        <w:rPr>
          <w:rFonts w:ascii="Century" w:hAnsi="Century" w:cs="Miriam" w:hint="eastAsia"/>
          <w:b/>
          <w:spacing w:val="0"/>
          <w:szCs w:val="24"/>
          <w:rtl/>
        </w:rPr>
        <w:t>שבו</w:t>
      </w:r>
      <w:r w:rsidRPr="00471E7C">
        <w:rPr>
          <w:rFonts w:ascii="Century" w:hAnsi="Century" w:cs="Miriam"/>
          <w:b/>
          <w:spacing w:val="0"/>
          <w:szCs w:val="24"/>
          <w:rtl/>
        </w:rPr>
        <w:t xml:space="preserve"> </w:t>
      </w:r>
      <w:r w:rsidRPr="00471E7C">
        <w:rPr>
          <w:rFonts w:ascii="Century" w:hAnsi="Century" w:cs="Miriam" w:hint="eastAsia"/>
          <w:b/>
          <w:spacing w:val="0"/>
          <w:szCs w:val="24"/>
          <w:rtl/>
        </w:rPr>
        <w:t>מתנהל</w:t>
      </w:r>
      <w:r w:rsidRPr="00471E7C">
        <w:rPr>
          <w:rFonts w:ascii="Century" w:hAnsi="Century" w:cs="Miriam"/>
          <w:b/>
          <w:spacing w:val="0"/>
          <w:szCs w:val="24"/>
          <w:rtl/>
        </w:rPr>
        <w:t xml:space="preserve"> </w:t>
      </w:r>
      <w:r w:rsidRPr="00471E7C">
        <w:rPr>
          <w:rFonts w:ascii="Century" w:hAnsi="Century" w:cs="Miriam" w:hint="eastAsia"/>
          <w:b/>
          <w:spacing w:val="0"/>
          <w:szCs w:val="24"/>
          <w:rtl/>
        </w:rPr>
        <w:t>עימות</w:t>
      </w:r>
      <w:r w:rsidRPr="00471E7C">
        <w:rPr>
          <w:rFonts w:ascii="Century" w:hAnsi="Century" w:cs="Miriam"/>
          <w:b/>
          <w:spacing w:val="0"/>
          <w:szCs w:val="24"/>
          <w:rtl/>
        </w:rPr>
        <w:t xml:space="preserve"> </w:t>
      </w:r>
      <w:r w:rsidRPr="00471E7C">
        <w:rPr>
          <w:rFonts w:ascii="Century" w:hAnsi="Century" w:cs="Miriam" w:hint="eastAsia"/>
          <w:b/>
          <w:spacing w:val="0"/>
          <w:szCs w:val="24"/>
          <w:rtl/>
        </w:rPr>
        <w:t>מזוין</w:t>
      </w:r>
      <w:r w:rsidRPr="00471E7C">
        <w:rPr>
          <w:rFonts w:ascii="Century" w:hAnsi="Century" w:cs="Miriam"/>
          <w:b/>
          <w:spacing w:val="0"/>
          <w:szCs w:val="24"/>
          <w:rtl/>
        </w:rPr>
        <w:t xml:space="preserve"> </w:t>
      </w:r>
      <w:r w:rsidRPr="00471E7C">
        <w:rPr>
          <w:rFonts w:ascii="Century" w:hAnsi="Century" w:cs="Miriam" w:hint="eastAsia"/>
          <w:b/>
          <w:spacing w:val="0"/>
          <w:szCs w:val="24"/>
          <w:rtl/>
        </w:rPr>
        <w:t>לא</w:t>
      </w:r>
      <w:r w:rsidRPr="00471E7C">
        <w:rPr>
          <w:rFonts w:ascii="Century" w:hAnsi="Century" w:cs="Miriam"/>
          <w:b/>
          <w:spacing w:val="0"/>
          <w:szCs w:val="24"/>
          <w:rtl/>
        </w:rPr>
        <w:t xml:space="preserve"> </w:t>
      </w:r>
      <w:r w:rsidRPr="00471E7C">
        <w:rPr>
          <w:rFonts w:ascii="Century" w:hAnsi="Century" w:cs="Miriam" w:hint="eastAsia"/>
          <w:b/>
          <w:spacing w:val="0"/>
          <w:szCs w:val="24"/>
          <w:rtl/>
        </w:rPr>
        <w:t>בין</w:t>
      </w:r>
      <w:r w:rsidRPr="00471E7C">
        <w:rPr>
          <w:rFonts w:ascii="Century" w:hAnsi="Century" w:cs="Miriam"/>
          <w:b/>
          <w:spacing w:val="0"/>
          <w:szCs w:val="24"/>
          <w:rtl/>
        </w:rPr>
        <w:t xml:space="preserve"> </w:t>
      </w:r>
      <w:r w:rsidRPr="00471E7C">
        <w:rPr>
          <w:rFonts w:ascii="Century" w:hAnsi="Century" w:cs="Miriam" w:hint="eastAsia"/>
          <w:b/>
          <w:spacing w:val="0"/>
          <w:szCs w:val="24"/>
          <w:rtl/>
        </w:rPr>
        <w:t>מדינות</w:t>
      </w:r>
      <w:r w:rsidRPr="00471E7C">
        <w:rPr>
          <w:rFonts w:ascii="Century" w:hAnsi="Century" w:cs="Miriam"/>
          <w:b/>
          <w:spacing w:val="0"/>
          <w:szCs w:val="24"/>
          <w:rtl/>
        </w:rPr>
        <w:t xml:space="preserve"> </w:t>
      </w:r>
      <w:r w:rsidRPr="00471E7C">
        <w:rPr>
          <w:rFonts w:ascii="Century" w:hAnsi="Century" w:cs="Miriam" w:hint="eastAsia"/>
          <w:b/>
          <w:spacing w:val="0"/>
          <w:szCs w:val="24"/>
          <w:rtl/>
        </w:rPr>
        <w:t>אלא</w:t>
      </w:r>
      <w:r w:rsidRPr="00471E7C">
        <w:rPr>
          <w:rFonts w:ascii="Century" w:hAnsi="Century" w:cs="Miriam"/>
          <w:b/>
          <w:spacing w:val="0"/>
          <w:szCs w:val="24"/>
          <w:rtl/>
        </w:rPr>
        <w:t xml:space="preserve"> </w:t>
      </w:r>
      <w:r w:rsidRPr="00471E7C">
        <w:rPr>
          <w:rFonts w:ascii="Century" w:hAnsi="Century" w:cs="Miriam" w:hint="eastAsia"/>
          <w:b/>
          <w:spacing w:val="0"/>
          <w:szCs w:val="24"/>
          <w:rtl/>
        </w:rPr>
        <w:t>בין</w:t>
      </w:r>
      <w:r w:rsidRPr="00471E7C">
        <w:rPr>
          <w:rFonts w:ascii="Century" w:hAnsi="Century" w:cs="Miriam"/>
          <w:b/>
          <w:spacing w:val="0"/>
          <w:szCs w:val="24"/>
          <w:rtl/>
        </w:rPr>
        <w:t xml:space="preserve"> </w:t>
      </w:r>
      <w:r w:rsidRPr="00471E7C">
        <w:rPr>
          <w:rFonts w:ascii="Century" w:hAnsi="Century" w:cs="Miriam" w:hint="eastAsia"/>
          <w:b/>
          <w:spacing w:val="0"/>
          <w:szCs w:val="24"/>
          <w:rtl/>
        </w:rPr>
        <w:t>מדינה</w:t>
      </w:r>
      <w:r w:rsidRPr="00471E7C">
        <w:rPr>
          <w:rFonts w:ascii="Century" w:hAnsi="Century" w:cs="Miriam"/>
          <w:b/>
          <w:spacing w:val="0"/>
          <w:szCs w:val="24"/>
          <w:rtl/>
        </w:rPr>
        <w:t xml:space="preserve"> </w:t>
      </w:r>
      <w:r w:rsidRPr="00471E7C">
        <w:rPr>
          <w:rFonts w:ascii="Century" w:hAnsi="Century" w:cs="Miriam" w:hint="eastAsia"/>
          <w:b/>
          <w:spacing w:val="0"/>
          <w:szCs w:val="24"/>
          <w:rtl/>
        </w:rPr>
        <w:t>לבין</w:t>
      </w:r>
      <w:r w:rsidRPr="00471E7C">
        <w:rPr>
          <w:rFonts w:ascii="Century" w:hAnsi="Century" w:cs="Miriam"/>
          <w:b/>
          <w:spacing w:val="0"/>
          <w:szCs w:val="24"/>
          <w:rtl/>
        </w:rPr>
        <w:t xml:space="preserve"> </w:t>
      </w:r>
      <w:r w:rsidRPr="00471E7C">
        <w:rPr>
          <w:rFonts w:ascii="Century" w:hAnsi="Century" w:cs="Miriam" w:hint="eastAsia"/>
          <w:b/>
          <w:spacing w:val="0"/>
          <w:szCs w:val="24"/>
          <w:rtl/>
        </w:rPr>
        <w:t>ישות</w:t>
      </w:r>
      <w:r w:rsidRPr="00471E7C">
        <w:rPr>
          <w:rFonts w:ascii="Century" w:hAnsi="Century" w:cs="Miriam"/>
          <w:b/>
          <w:spacing w:val="0"/>
          <w:szCs w:val="24"/>
          <w:rtl/>
        </w:rPr>
        <w:t xml:space="preserve"> </w:t>
      </w:r>
      <w:r w:rsidRPr="00D26974">
        <w:rPr>
          <w:rFonts w:ascii="Century" w:hAnsi="Century"/>
          <w:rtl/>
        </w:rPr>
        <w:t>–</w:t>
      </w:r>
      <w:r w:rsidRPr="00471E7C">
        <w:rPr>
          <w:rFonts w:ascii="Century" w:hAnsi="Century" w:cs="Miriam"/>
          <w:b/>
          <w:spacing w:val="0"/>
          <w:szCs w:val="24"/>
          <w:rtl/>
        </w:rPr>
        <w:t xml:space="preserve"> </w:t>
      </w:r>
      <w:r w:rsidRPr="00471E7C">
        <w:rPr>
          <w:rFonts w:ascii="Century" w:hAnsi="Century" w:cs="Miriam" w:hint="eastAsia"/>
          <w:b/>
          <w:spacing w:val="0"/>
          <w:szCs w:val="24"/>
          <w:rtl/>
        </w:rPr>
        <w:t>כרשות</w:t>
      </w:r>
      <w:r w:rsidRPr="00471E7C">
        <w:rPr>
          <w:rFonts w:ascii="Century" w:hAnsi="Century" w:cs="Miriam"/>
          <w:b/>
          <w:spacing w:val="0"/>
          <w:szCs w:val="24"/>
          <w:rtl/>
        </w:rPr>
        <w:t xml:space="preserve"> </w:t>
      </w:r>
      <w:r w:rsidRPr="00471E7C">
        <w:rPr>
          <w:rFonts w:ascii="Century" w:hAnsi="Century" w:cs="Miriam" w:hint="eastAsia"/>
          <w:b/>
          <w:spacing w:val="0"/>
          <w:szCs w:val="24"/>
          <w:rtl/>
        </w:rPr>
        <w:t>הפלסטינית</w:t>
      </w:r>
      <w:r w:rsidRPr="00471E7C">
        <w:rPr>
          <w:rFonts w:ascii="Century" w:hAnsi="Century" w:cs="Miriam"/>
          <w:b/>
          <w:spacing w:val="0"/>
          <w:szCs w:val="24"/>
          <w:rtl/>
        </w:rPr>
        <w:t xml:space="preserve"> </w:t>
      </w:r>
      <w:r w:rsidRPr="00D26974">
        <w:rPr>
          <w:rFonts w:ascii="Century" w:hAnsi="Century"/>
          <w:rtl/>
        </w:rPr>
        <w:t>–</w:t>
      </w:r>
      <w:r w:rsidRPr="00471E7C">
        <w:rPr>
          <w:rFonts w:ascii="Century" w:hAnsi="Century" w:cs="Miriam"/>
          <w:b/>
          <w:spacing w:val="0"/>
          <w:szCs w:val="24"/>
          <w:rtl/>
        </w:rPr>
        <w:t xml:space="preserve"> </w:t>
      </w:r>
      <w:r w:rsidRPr="00471E7C">
        <w:rPr>
          <w:rFonts w:ascii="Century" w:hAnsi="Century" w:cs="Miriam" w:hint="eastAsia"/>
          <w:b/>
          <w:spacing w:val="0"/>
          <w:szCs w:val="24"/>
          <w:rtl/>
        </w:rPr>
        <w:t>שאינה</w:t>
      </w:r>
      <w:r w:rsidRPr="00471E7C">
        <w:rPr>
          <w:rFonts w:ascii="Century" w:hAnsi="Century" w:cs="Miriam"/>
          <w:b/>
          <w:spacing w:val="0"/>
          <w:szCs w:val="24"/>
          <w:rtl/>
        </w:rPr>
        <w:t xml:space="preserve"> </w:t>
      </w:r>
      <w:r w:rsidRPr="00471E7C">
        <w:rPr>
          <w:rFonts w:ascii="Century" w:hAnsi="Century" w:cs="Miriam" w:hint="eastAsia"/>
          <w:b/>
          <w:spacing w:val="0"/>
          <w:szCs w:val="24"/>
          <w:rtl/>
        </w:rPr>
        <w:t>מדינה</w:t>
      </w:r>
      <w:r w:rsidRPr="00471E7C">
        <w:rPr>
          <w:rFonts w:ascii="Century" w:hAnsi="Century" w:cs="Miriam"/>
          <w:b/>
          <w:spacing w:val="0"/>
          <w:szCs w:val="24"/>
          <w:rtl/>
        </w:rPr>
        <w:t xml:space="preserve">. </w:t>
      </w:r>
      <w:r w:rsidRPr="00471E7C">
        <w:rPr>
          <w:rFonts w:ascii="Century" w:hAnsi="Century" w:cs="Miriam" w:hint="eastAsia"/>
          <w:b/>
          <w:spacing w:val="0"/>
          <w:szCs w:val="24"/>
          <w:rtl/>
        </w:rPr>
        <w:t>במצבים</w:t>
      </w:r>
      <w:r w:rsidRPr="00471E7C">
        <w:rPr>
          <w:rFonts w:ascii="Century" w:hAnsi="Century" w:cs="Miriam"/>
          <w:b/>
          <w:spacing w:val="0"/>
          <w:szCs w:val="24"/>
          <w:rtl/>
        </w:rPr>
        <w:t xml:space="preserve"> </w:t>
      </w:r>
      <w:r w:rsidRPr="00471E7C">
        <w:rPr>
          <w:rFonts w:ascii="Century" w:hAnsi="Century" w:cs="Miriam" w:hint="eastAsia"/>
          <w:b/>
          <w:spacing w:val="0"/>
          <w:szCs w:val="24"/>
          <w:rtl/>
        </w:rPr>
        <w:t>אלה</w:t>
      </w:r>
      <w:r w:rsidRPr="00471E7C">
        <w:rPr>
          <w:rFonts w:ascii="Century" w:hAnsi="Century" w:cs="Miriam"/>
          <w:b/>
          <w:spacing w:val="0"/>
          <w:szCs w:val="24"/>
          <w:rtl/>
        </w:rPr>
        <w:t xml:space="preserve">, </w:t>
      </w:r>
      <w:r w:rsidRPr="00471E7C">
        <w:rPr>
          <w:rFonts w:ascii="Century" w:hAnsi="Century" w:cs="Miriam" w:hint="eastAsia"/>
          <w:b/>
          <w:spacing w:val="0"/>
          <w:szCs w:val="24"/>
          <w:rtl/>
        </w:rPr>
        <w:t>ובאחרים</w:t>
      </w:r>
      <w:r w:rsidRPr="00471E7C">
        <w:rPr>
          <w:rFonts w:ascii="Century" w:hAnsi="Century" w:cs="Miriam"/>
          <w:b/>
          <w:spacing w:val="0"/>
          <w:szCs w:val="24"/>
          <w:rtl/>
        </w:rPr>
        <w:t xml:space="preserve"> </w:t>
      </w:r>
      <w:r w:rsidRPr="00471E7C">
        <w:rPr>
          <w:rFonts w:ascii="Century" w:hAnsi="Century" w:cs="Miriam" w:hint="eastAsia"/>
          <w:b/>
          <w:spacing w:val="0"/>
          <w:szCs w:val="24"/>
          <w:rtl/>
        </w:rPr>
        <w:t>דוגמתם</w:t>
      </w:r>
      <w:r w:rsidRPr="00471E7C">
        <w:rPr>
          <w:rFonts w:ascii="Century" w:hAnsi="Century" w:cs="Miriam"/>
          <w:b/>
          <w:spacing w:val="0"/>
          <w:szCs w:val="24"/>
          <w:rtl/>
        </w:rPr>
        <w:t xml:space="preserve">, </w:t>
      </w:r>
      <w:r w:rsidRPr="00471E7C">
        <w:rPr>
          <w:rFonts w:ascii="Century" w:hAnsi="Century" w:cs="Miriam" w:hint="eastAsia"/>
          <w:b/>
          <w:spacing w:val="0"/>
          <w:szCs w:val="24"/>
          <w:rtl/>
        </w:rPr>
        <w:t>מתקיימת</w:t>
      </w:r>
      <w:r w:rsidRPr="00471E7C">
        <w:rPr>
          <w:rFonts w:ascii="Century" w:hAnsi="Century" w:cs="Miriam"/>
          <w:b/>
          <w:spacing w:val="0"/>
          <w:szCs w:val="24"/>
          <w:rtl/>
        </w:rPr>
        <w:t xml:space="preserve"> </w:t>
      </w:r>
      <w:r w:rsidRPr="00471E7C">
        <w:rPr>
          <w:rFonts w:ascii="Century" w:hAnsi="Century" w:cs="Miriam" w:hint="eastAsia"/>
          <w:b/>
          <w:spacing w:val="0"/>
          <w:szCs w:val="24"/>
          <w:rtl/>
        </w:rPr>
        <w:t>במלואה</w:t>
      </w:r>
      <w:r w:rsidRPr="00471E7C">
        <w:rPr>
          <w:rFonts w:ascii="Century" w:hAnsi="Century" w:cs="Miriam"/>
          <w:b/>
          <w:spacing w:val="0"/>
          <w:szCs w:val="24"/>
          <w:rtl/>
        </w:rPr>
        <w:t xml:space="preserve"> </w:t>
      </w:r>
      <w:r w:rsidRPr="00471E7C">
        <w:rPr>
          <w:rFonts w:ascii="Century" w:hAnsi="Century" w:cs="Miriam" w:hint="eastAsia"/>
          <w:b/>
          <w:spacing w:val="0"/>
          <w:szCs w:val="24"/>
          <w:rtl/>
        </w:rPr>
        <w:t>חזקת</w:t>
      </w:r>
      <w:r w:rsidRPr="00471E7C">
        <w:rPr>
          <w:rFonts w:ascii="Century" w:hAnsi="Century" w:cs="Miriam"/>
          <w:b/>
          <w:spacing w:val="0"/>
          <w:szCs w:val="24"/>
          <w:rtl/>
        </w:rPr>
        <w:t xml:space="preserve"> </w:t>
      </w:r>
      <w:r w:rsidRPr="00471E7C">
        <w:rPr>
          <w:rFonts w:ascii="Century" w:hAnsi="Century" w:cs="Miriam" w:hint="eastAsia"/>
          <w:b/>
          <w:spacing w:val="0"/>
          <w:szCs w:val="24"/>
          <w:rtl/>
        </w:rPr>
        <w:t>העוינות</w:t>
      </w:r>
      <w:r w:rsidRPr="00471E7C">
        <w:rPr>
          <w:rFonts w:ascii="Century" w:hAnsi="Century" w:cs="Miriam"/>
          <w:b/>
          <w:spacing w:val="0"/>
          <w:szCs w:val="24"/>
          <w:rtl/>
        </w:rPr>
        <w:t xml:space="preserve"> </w:t>
      </w:r>
      <w:r w:rsidRPr="00471E7C">
        <w:rPr>
          <w:rFonts w:ascii="Century" w:hAnsi="Century" w:cs="Miriam" w:hint="eastAsia"/>
          <w:b/>
          <w:spacing w:val="0"/>
          <w:szCs w:val="24"/>
          <w:rtl/>
        </w:rPr>
        <w:t>של</w:t>
      </w:r>
      <w:r w:rsidRPr="00471E7C">
        <w:rPr>
          <w:rFonts w:ascii="Century" w:hAnsi="Century" w:cs="Miriam"/>
          <w:b/>
          <w:spacing w:val="0"/>
          <w:szCs w:val="24"/>
          <w:rtl/>
        </w:rPr>
        <w:t xml:space="preserve"> </w:t>
      </w:r>
      <w:r w:rsidRPr="00471E7C">
        <w:rPr>
          <w:rFonts w:ascii="Century" w:hAnsi="Century" w:cs="Miriam" w:hint="eastAsia"/>
          <w:b/>
          <w:spacing w:val="0"/>
          <w:szCs w:val="24"/>
          <w:rtl/>
        </w:rPr>
        <w:t>נתיני</w:t>
      </w:r>
      <w:r w:rsidRPr="00471E7C">
        <w:rPr>
          <w:rFonts w:ascii="Century" w:hAnsi="Century" w:cs="Miriam"/>
          <w:b/>
          <w:spacing w:val="0"/>
          <w:szCs w:val="24"/>
          <w:rtl/>
        </w:rPr>
        <w:t xml:space="preserve"> </w:t>
      </w:r>
      <w:r w:rsidRPr="00471E7C">
        <w:rPr>
          <w:rFonts w:ascii="Century" w:hAnsi="Century" w:cs="Miriam" w:hint="eastAsia"/>
          <w:b/>
          <w:spacing w:val="0"/>
          <w:szCs w:val="24"/>
          <w:rtl/>
        </w:rPr>
        <w:t>האויב</w:t>
      </w:r>
      <w:r w:rsidRPr="00471E7C">
        <w:rPr>
          <w:rFonts w:ascii="Century" w:hAnsi="Century" w:cs="Miriam"/>
          <w:b/>
          <w:spacing w:val="0"/>
          <w:szCs w:val="24"/>
          <w:rtl/>
        </w:rPr>
        <w:t xml:space="preserve">, </w:t>
      </w:r>
      <w:r w:rsidRPr="00471E7C">
        <w:rPr>
          <w:rFonts w:ascii="Century" w:hAnsi="Century" w:cs="Miriam" w:hint="eastAsia"/>
          <w:b/>
          <w:spacing w:val="0"/>
          <w:szCs w:val="24"/>
          <w:rtl/>
        </w:rPr>
        <w:t>והסיכון</w:t>
      </w:r>
      <w:r w:rsidRPr="00471E7C">
        <w:rPr>
          <w:rFonts w:ascii="Century" w:hAnsi="Century" w:cs="Miriam"/>
          <w:b/>
          <w:spacing w:val="0"/>
          <w:szCs w:val="24"/>
          <w:rtl/>
        </w:rPr>
        <w:t xml:space="preserve"> </w:t>
      </w:r>
      <w:r w:rsidRPr="00471E7C">
        <w:rPr>
          <w:rFonts w:ascii="Century" w:hAnsi="Century" w:cs="Miriam" w:hint="eastAsia"/>
          <w:b/>
          <w:spacing w:val="0"/>
          <w:szCs w:val="24"/>
          <w:rtl/>
        </w:rPr>
        <w:t>לתושבי</w:t>
      </w:r>
      <w:r w:rsidRPr="00471E7C">
        <w:rPr>
          <w:rFonts w:ascii="Century" w:hAnsi="Century" w:cs="Miriam"/>
          <w:b/>
          <w:spacing w:val="0"/>
          <w:szCs w:val="24"/>
          <w:rtl/>
        </w:rPr>
        <w:t xml:space="preserve"> </w:t>
      </w:r>
      <w:r w:rsidRPr="00471E7C">
        <w:rPr>
          <w:rFonts w:ascii="Century" w:hAnsi="Century" w:cs="Miriam" w:hint="eastAsia"/>
          <w:b/>
          <w:spacing w:val="0"/>
          <w:szCs w:val="24"/>
          <w:rtl/>
        </w:rPr>
        <w:t>המדינה</w:t>
      </w:r>
      <w:r w:rsidRPr="00471E7C">
        <w:rPr>
          <w:rFonts w:ascii="Century" w:hAnsi="Century" w:cs="Miriam"/>
          <w:b/>
          <w:spacing w:val="0"/>
          <w:szCs w:val="24"/>
          <w:rtl/>
        </w:rPr>
        <w:t xml:space="preserve"> </w:t>
      </w:r>
      <w:r w:rsidRPr="00471E7C">
        <w:rPr>
          <w:rFonts w:ascii="Century" w:hAnsi="Century" w:cs="Miriam" w:hint="eastAsia"/>
          <w:b/>
          <w:spacing w:val="0"/>
          <w:szCs w:val="24"/>
          <w:rtl/>
        </w:rPr>
        <w:t>הקולטת</w:t>
      </w:r>
      <w:r w:rsidRPr="00471E7C">
        <w:rPr>
          <w:rFonts w:ascii="Century" w:hAnsi="Century" w:cs="Miriam"/>
          <w:b/>
          <w:spacing w:val="0"/>
          <w:szCs w:val="24"/>
          <w:rtl/>
        </w:rPr>
        <w:t xml:space="preserve"> </w:t>
      </w:r>
      <w:r w:rsidRPr="00471E7C">
        <w:rPr>
          <w:rFonts w:ascii="Century" w:hAnsi="Century" w:cs="Miriam" w:hint="eastAsia"/>
          <w:b/>
          <w:spacing w:val="0"/>
          <w:szCs w:val="24"/>
          <w:rtl/>
        </w:rPr>
        <w:t>אף</w:t>
      </w:r>
      <w:r w:rsidRPr="00471E7C">
        <w:rPr>
          <w:rFonts w:ascii="Century" w:hAnsi="Century" w:cs="Miriam"/>
          <w:b/>
          <w:spacing w:val="0"/>
          <w:szCs w:val="24"/>
          <w:rtl/>
        </w:rPr>
        <w:t xml:space="preserve"> </w:t>
      </w:r>
      <w:r w:rsidRPr="00471E7C">
        <w:rPr>
          <w:rFonts w:ascii="Century" w:hAnsi="Century" w:cs="Miriam" w:hint="eastAsia"/>
          <w:b/>
          <w:spacing w:val="0"/>
          <w:szCs w:val="24"/>
          <w:rtl/>
        </w:rPr>
        <w:t>הוא</w:t>
      </w:r>
      <w:r w:rsidRPr="00471E7C">
        <w:rPr>
          <w:rFonts w:ascii="Century" w:hAnsi="Century" w:cs="Miriam"/>
          <w:b/>
          <w:spacing w:val="0"/>
          <w:szCs w:val="24"/>
          <w:rtl/>
        </w:rPr>
        <w:t xml:space="preserve"> </w:t>
      </w:r>
      <w:r w:rsidRPr="00471E7C">
        <w:rPr>
          <w:rFonts w:ascii="Century" w:hAnsi="Century" w:cs="Miriam" w:hint="eastAsia"/>
          <w:b/>
          <w:spacing w:val="0"/>
          <w:szCs w:val="24"/>
          <w:rtl/>
        </w:rPr>
        <w:t>מתקיים</w:t>
      </w:r>
      <w:r w:rsidRPr="00471E7C">
        <w:rPr>
          <w:rFonts w:ascii="Century" w:hAnsi="Century" w:cs="Miriam"/>
          <w:b/>
          <w:spacing w:val="0"/>
          <w:szCs w:val="24"/>
          <w:rtl/>
        </w:rPr>
        <w:t xml:space="preserve"> </w:t>
      </w:r>
      <w:r w:rsidRPr="00471E7C">
        <w:rPr>
          <w:rFonts w:ascii="Century" w:hAnsi="Century" w:cs="Miriam" w:hint="eastAsia"/>
          <w:b/>
          <w:spacing w:val="0"/>
          <w:szCs w:val="24"/>
          <w:rtl/>
        </w:rPr>
        <w:t>במלוא</w:t>
      </w:r>
      <w:r w:rsidRPr="00471E7C">
        <w:rPr>
          <w:rFonts w:ascii="Century" w:hAnsi="Century" w:cs="Miriam"/>
          <w:b/>
          <w:spacing w:val="0"/>
          <w:szCs w:val="24"/>
          <w:rtl/>
        </w:rPr>
        <w:t xml:space="preserve"> </w:t>
      </w:r>
      <w:r w:rsidRPr="00471E7C">
        <w:rPr>
          <w:rFonts w:ascii="Century" w:hAnsi="Century" w:cs="Miriam" w:hint="eastAsia"/>
          <w:b/>
          <w:spacing w:val="0"/>
          <w:szCs w:val="24"/>
          <w:rtl/>
        </w:rPr>
        <w:t>עוצמתו</w:t>
      </w:r>
      <w:r>
        <w:rPr>
          <w:rFonts w:ascii="Century" w:hAnsi="Century" w:cs="Miriam" w:hint="cs"/>
          <w:b/>
          <w:spacing w:val="0"/>
          <w:szCs w:val="24"/>
          <w:rtl/>
        </w:rPr>
        <w:t>. [</w:t>
      </w:r>
      <w:r>
        <w:rPr>
          <w:rFonts w:ascii="Century" w:hAnsi="Century" w:cs="Miriam"/>
          <w:b/>
          <w:spacing w:val="0"/>
          <w:szCs w:val="24"/>
          <w:rtl/>
        </w:rPr>
        <w:t>...</w:t>
      </w:r>
      <w:r>
        <w:rPr>
          <w:rFonts w:ascii="Century" w:hAnsi="Century" w:cs="Miriam" w:hint="cs"/>
          <w:b/>
          <w:spacing w:val="0"/>
          <w:szCs w:val="24"/>
          <w:rtl/>
        </w:rPr>
        <w:t>]</w:t>
      </w:r>
      <w:r w:rsidRPr="00471E7C">
        <w:rPr>
          <w:rFonts w:ascii="Century" w:hAnsi="Century" w:cs="Miriam"/>
          <w:b/>
          <w:spacing w:val="0"/>
          <w:szCs w:val="24"/>
          <w:rtl/>
        </w:rPr>
        <w:t xml:space="preserve"> </w:t>
      </w:r>
      <w:r w:rsidRPr="00A76DAA">
        <w:rPr>
          <w:rFonts w:ascii="Century" w:hAnsi="Century" w:cs="Miriam" w:hint="eastAsia"/>
          <w:b/>
          <w:spacing w:val="0"/>
          <w:szCs w:val="24"/>
          <w:u w:val="single"/>
          <w:rtl/>
        </w:rPr>
        <w:t>אמת</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נכון</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הדבר</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לא</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כל</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נתיני</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האויב</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אכן</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אויבים</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הם</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ואולם</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בעיצומו</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של</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עימות</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מזוין</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קמה</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ונהיית</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מעין</w:t>
      </w:r>
      <w:r w:rsidRPr="00A76DAA">
        <w:rPr>
          <w:rFonts w:ascii="Century" w:hAnsi="Century" w:cs="Miriam"/>
          <w:b/>
          <w:spacing w:val="0"/>
          <w:szCs w:val="24"/>
          <w:u w:val="single"/>
          <w:rtl/>
        </w:rPr>
        <w:t>-</w:t>
      </w:r>
      <w:r w:rsidRPr="00A76DAA">
        <w:rPr>
          <w:rFonts w:ascii="Century" w:hAnsi="Century" w:cs="Miriam" w:hint="eastAsia"/>
          <w:b/>
          <w:spacing w:val="0"/>
          <w:szCs w:val="24"/>
          <w:u w:val="single"/>
          <w:rtl/>
        </w:rPr>
        <w:t>חזקה</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כי</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נתיני</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האויב</w:t>
      </w:r>
      <w:r w:rsidRPr="00A76DAA">
        <w:rPr>
          <w:rFonts w:ascii="Century" w:hAnsi="Century" w:cs="Miriam"/>
          <w:b/>
          <w:spacing w:val="0"/>
          <w:szCs w:val="24"/>
          <w:u w:val="single"/>
          <w:rtl/>
        </w:rPr>
        <w:t xml:space="preserve"> </w:t>
      </w:r>
      <w:r w:rsidRPr="00D26974">
        <w:rPr>
          <w:rFonts w:ascii="Century" w:hAnsi="Century"/>
          <w:u w:val="single"/>
          <w:rtl/>
        </w:rPr>
        <w:t>–</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כל</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נתיני</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האויב</w:t>
      </w:r>
      <w:r w:rsidRPr="00A76DAA">
        <w:rPr>
          <w:rFonts w:ascii="Century" w:hAnsi="Century" w:cs="Miriam"/>
          <w:b/>
          <w:spacing w:val="0"/>
          <w:szCs w:val="24"/>
          <w:u w:val="single"/>
          <w:rtl/>
        </w:rPr>
        <w:t xml:space="preserve"> </w:t>
      </w:r>
      <w:r w:rsidRPr="00D26974">
        <w:rPr>
          <w:rFonts w:ascii="Century" w:hAnsi="Century"/>
          <w:u w:val="single"/>
          <w:rtl/>
        </w:rPr>
        <w:t>–</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אויבים</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הם</w:t>
      </w:r>
      <w:r w:rsidRPr="00A76DAA">
        <w:rPr>
          <w:rFonts w:ascii="Century" w:hAnsi="Century" w:cs="Miriam"/>
          <w:b/>
          <w:spacing w:val="0"/>
          <w:szCs w:val="24"/>
          <w:u w:val="single"/>
          <w:rtl/>
        </w:rPr>
        <w:t xml:space="preserve"> </w:t>
      </w:r>
      <w:r w:rsidRPr="00A76DAA">
        <w:rPr>
          <w:rFonts w:ascii="Century" w:hAnsi="Century" w:cs="Miriam" w:hint="eastAsia"/>
          <w:b/>
          <w:spacing w:val="0"/>
          <w:szCs w:val="24"/>
          <w:u w:val="single"/>
          <w:rtl/>
        </w:rPr>
        <w:t>למדינה</w:t>
      </w:r>
      <w:r w:rsidRPr="00471E7C">
        <w:rPr>
          <w:rFonts w:ascii="Century" w:hAnsi="Century" w:cs="Miriam"/>
          <w:b/>
          <w:spacing w:val="0"/>
          <w:szCs w:val="24"/>
          <w:rtl/>
        </w:rPr>
        <w:t xml:space="preserve">, </w:t>
      </w:r>
      <w:r w:rsidRPr="00471E7C">
        <w:rPr>
          <w:rFonts w:ascii="Century" w:hAnsi="Century" w:cs="Miriam" w:hint="eastAsia"/>
          <w:b/>
          <w:spacing w:val="0"/>
          <w:szCs w:val="24"/>
          <w:rtl/>
        </w:rPr>
        <w:t>ואין</w:t>
      </w:r>
      <w:r w:rsidRPr="00471E7C">
        <w:rPr>
          <w:rFonts w:ascii="Century" w:hAnsi="Century" w:cs="Miriam"/>
          <w:b/>
          <w:spacing w:val="0"/>
          <w:szCs w:val="24"/>
          <w:rtl/>
        </w:rPr>
        <w:t xml:space="preserve"> </w:t>
      </w:r>
      <w:r w:rsidRPr="00471E7C">
        <w:rPr>
          <w:rFonts w:ascii="Century" w:hAnsi="Century" w:cs="Miriam" w:hint="eastAsia"/>
          <w:b/>
          <w:spacing w:val="0"/>
          <w:szCs w:val="24"/>
          <w:rtl/>
        </w:rPr>
        <w:t>מוטל</w:t>
      </w:r>
      <w:r w:rsidRPr="00471E7C">
        <w:rPr>
          <w:rFonts w:ascii="Century" w:hAnsi="Century" w:cs="Miriam"/>
          <w:b/>
          <w:spacing w:val="0"/>
          <w:szCs w:val="24"/>
          <w:rtl/>
        </w:rPr>
        <w:t xml:space="preserve"> </w:t>
      </w:r>
      <w:r w:rsidRPr="00471E7C">
        <w:rPr>
          <w:rFonts w:ascii="Century" w:hAnsi="Century" w:cs="Miriam" w:hint="eastAsia"/>
          <w:b/>
          <w:spacing w:val="0"/>
          <w:szCs w:val="24"/>
          <w:rtl/>
        </w:rPr>
        <w:t>על</w:t>
      </w:r>
      <w:r w:rsidRPr="00471E7C">
        <w:rPr>
          <w:rFonts w:ascii="Century" w:hAnsi="Century" w:cs="Miriam"/>
          <w:b/>
          <w:spacing w:val="0"/>
          <w:szCs w:val="24"/>
          <w:rtl/>
        </w:rPr>
        <w:t xml:space="preserve"> </w:t>
      </w:r>
      <w:r w:rsidRPr="00471E7C">
        <w:rPr>
          <w:rFonts w:ascii="Century" w:hAnsi="Century" w:cs="Miriam" w:hint="eastAsia"/>
          <w:b/>
          <w:spacing w:val="0"/>
          <w:szCs w:val="24"/>
          <w:rtl/>
        </w:rPr>
        <w:t>המדינה</w:t>
      </w:r>
      <w:r w:rsidRPr="00471E7C">
        <w:rPr>
          <w:rFonts w:ascii="Century" w:hAnsi="Century" w:cs="Miriam"/>
          <w:b/>
          <w:spacing w:val="0"/>
          <w:szCs w:val="24"/>
          <w:rtl/>
        </w:rPr>
        <w:t xml:space="preserve"> </w:t>
      </w:r>
      <w:r w:rsidRPr="00471E7C">
        <w:rPr>
          <w:rFonts w:ascii="Century" w:hAnsi="Century" w:cs="Miriam" w:hint="eastAsia"/>
          <w:b/>
          <w:spacing w:val="0"/>
          <w:szCs w:val="24"/>
          <w:rtl/>
        </w:rPr>
        <w:t>נטל</w:t>
      </w:r>
      <w:r w:rsidRPr="00471E7C">
        <w:rPr>
          <w:rFonts w:ascii="Century" w:hAnsi="Century" w:cs="Miriam"/>
          <w:b/>
          <w:spacing w:val="0"/>
          <w:szCs w:val="24"/>
          <w:rtl/>
        </w:rPr>
        <w:t xml:space="preserve"> </w:t>
      </w:r>
      <w:r w:rsidRPr="00471E7C">
        <w:rPr>
          <w:rFonts w:ascii="Century" w:hAnsi="Century" w:cs="Miriam" w:hint="eastAsia"/>
          <w:b/>
          <w:spacing w:val="0"/>
          <w:szCs w:val="24"/>
          <w:rtl/>
        </w:rPr>
        <w:t>משפטי</w:t>
      </w:r>
      <w:r w:rsidRPr="00471E7C">
        <w:rPr>
          <w:rFonts w:ascii="Century" w:hAnsi="Century" w:cs="Miriam"/>
          <w:b/>
          <w:spacing w:val="0"/>
          <w:szCs w:val="24"/>
          <w:rtl/>
        </w:rPr>
        <w:t xml:space="preserve"> </w:t>
      </w:r>
      <w:r w:rsidRPr="00471E7C">
        <w:rPr>
          <w:rFonts w:ascii="Century" w:hAnsi="Century" w:cs="Miriam" w:hint="eastAsia"/>
          <w:b/>
          <w:spacing w:val="0"/>
          <w:szCs w:val="24"/>
          <w:rtl/>
        </w:rPr>
        <w:t>להפריך</w:t>
      </w:r>
      <w:r w:rsidRPr="00471E7C">
        <w:rPr>
          <w:rFonts w:ascii="Century" w:hAnsi="Century" w:cs="Miriam"/>
          <w:b/>
          <w:spacing w:val="0"/>
          <w:szCs w:val="24"/>
          <w:rtl/>
        </w:rPr>
        <w:t xml:space="preserve"> </w:t>
      </w:r>
      <w:r w:rsidRPr="00471E7C">
        <w:rPr>
          <w:rFonts w:ascii="Century" w:hAnsi="Century" w:cs="Miriam" w:hint="eastAsia"/>
          <w:b/>
          <w:spacing w:val="0"/>
          <w:szCs w:val="24"/>
          <w:rtl/>
        </w:rPr>
        <w:t>את</w:t>
      </w:r>
      <w:r w:rsidRPr="00471E7C">
        <w:rPr>
          <w:rFonts w:ascii="Century" w:hAnsi="Century" w:cs="Miriam"/>
          <w:b/>
          <w:spacing w:val="0"/>
          <w:szCs w:val="24"/>
          <w:rtl/>
        </w:rPr>
        <w:t xml:space="preserve"> </w:t>
      </w:r>
      <w:r w:rsidRPr="00471E7C">
        <w:rPr>
          <w:rFonts w:ascii="Century" w:hAnsi="Century" w:cs="Miriam" w:hint="eastAsia"/>
          <w:b/>
          <w:spacing w:val="0"/>
          <w:szCs w:val="24"/>
          <w:rtl/>
        </w:rPr>
        <w:t>החזקה</w:t>
      </w:r>
      <w:r w:rsidRPr="00471E7C">
        <w:rPr>
          <w:rFonts w:ascii="Century" w:hAnsi="Century" w:cs="Miriam"/>
          <w:b/>
          <w:spacing w:val="0"/>
          <w:szCs w:val="24"/>
          <w:rtl/>
        </w:rPr>
        <w:t xml:space="preserve"> </w:t>
      </w:r>
      <w:r w:rsidRPr="00471E7C">
        <w:rPr>
          <w:rFonts w:ascii="Century" w:hAnsi="Century" w:cs="Miriam" w:hint="eastAsia"/>
          <w:b/>
          <w:spacing w:val="0"/>
          <w:szCs w:val="24"/>
          <w:rtl/>
        </w:rPr>
        <w:t>ולהבחין</w:t>
      </w:r>
      <w:r w:rsidRPr="00471E7C">
        <w:rPr>
          <w:rFonts w:ascii="Century" w:hAnsi="Century" w:cs="Miriam"/>
          <w:b/>
          <w:spacing w:val="0"/>
          <w:szCs w:val="24"/>
          <w:rtl/>
        </w:rPr>
        <w:t xml:space="preserve"> </w:t>
      </w:r>
      <w:r w:rsidRPr="00471E7C">
        <w:rPr>
          <w:rFonts w:ascii="Century" w:hAnsi="Century" w:cs="Miriam" w:hint="eastAsia"/>
          <w:b/>
          <w:spacing w:val="0"/>
          <w:szCs w:val="24"/>
          <w:rtl/>
        </w:rPr>
        <w:t>בין</w:t>
      </w:r>
      <w:r w:rsidRPr="00471E7C">
        <w:rPr>
          <w:rFonts w:ascii="Century" w:hAnsi="Century" w:cs="Miriam"/>
          <w:b/>
          <w:spacing w:val="0"/>
          <w:szCs w:val="24"/>
          <w:rtl/>
        </w:rPr>
        <w:t xml:space="preserve"> </w:t>
      </w:r>
      <w:r w:rsidRPr="00471E7C">
        <w:rPr>
          <w:rFonts w:ascii="Century" w:hAnsi="Century" w:cs="Miriam" w:hint="eastAsia"/>
          <w:b/>
          <w:spacing w:val="0"/>
          <w:szCs w:val="24"/>
          <w:rtl/>
        </w:rPr>
        <w:t>נתין</w:t>
      </w:r>
      <w:r w:rsidRPr="00471E7C">
        <w:rPr>
          <w:rFonts w:ascii="Century" w:hAnsi="Century" w:cs="Miriam"/>
          <w:b/>
          <w:spacing w:val="0"/>
          <w:szCs w:val="24"/>
          <w:rtl/>
        </w:rPr>
        <w:t xml:space="preserve"> </w:t>
      </w:r>
      <w:r w:rsidRPr="00471E7C">
        <w:rPr>
          <w:rFonts w:ascii="Century" w:hAnsi="Century" w:cs="Miriam" w:hint="eastAsia"/>
          <w:b/>
          <w:spacing w:val="0"/>
          <w:szCs w:val="24"/>
          <w:rtl/>
        </w:rPr>
        <w:t>אויב</w:t>
      </w:r>
      <w:r w:rsidRPr="00471E7C">
        <w:rPr>
          <w:rFonts w:ascii="Century" w:hAnsi="Century" w:cs="Miriam"/>
          <w:b/>
          <w:spacing w:val="0"/>
          <w:szCs w:val="24"/>
          <w:rtl/>
        </w:rPr>
        <w:t xml:space="preserve"> </w:t>
      </w:r>
      <w:r w:rsidRPr="00471E7C">
        <w:rPr>
          <w:rFonts w:ascii="Century" w:hAnsi="Century" w:cs="Miriam" w:hint="eastAsia"/>
          <w:b/>
          <w:spacing w:val="0"/>
          <w:szCs w:val="24"/>
          <w:rtl/>
        </w:rPr>
        <w:t>העלול</w:t>
      </w:r>
      <w:r w:rsidRPr="00471E7C">
        <w:rPr>
          <w:rFonts w:ascii="Century" w:hAnsi="Century" w:cs="Miriam"/>
          <w:b/>
          <w:spacing w:val="0"/>
          <w:szCs w:val="24"/>
          <w:rtl/>
        </w:rPr>
        <w:t xml:space="preserve"> </w:t>
      </w:r>
      <w:r w:rsidRPr="00471E7C">
        <w:rPr>
          <w:rFonts w:ascii="Century" w:hAnsi="Century" w:cs="Miriam" w:hint="eastAsia"/>
          <w:b/>
          <w:spacing w:val="0"/>
          <w:szCs w:val="24"/>
          <w:rtl/>
        </w:rPr>
        <w:t>לסכן</w:t>
      </w:r>
      <w:r w:rsidRPr="00471E7C">
        <w:rPr>
          <w:rFonts w:ascii="Century" w:hAnsi="Century" w:cs="Miriam"/>
          <w:b/>
          <w:spacing w:val="0"/>
          <w:szCs w:val="24"/>
          <w:rtl/>
        </w:rPr>
        <w:t xml:space="preserve"> </w:t>
      </w:r>
      <w:r w:rsidRPr="00471E7C">
        <w:rPr>
          <w:rFonts w:ascii="Century" w:hAnsi="Century" w:cs="Miriam" w:hint="eastAsia"/>
          <w:b/>
          <w:spacing w:val="0"/>
          <w:szCs w:val="24"/>
          <w:rtl/>
        </w:rPr>
        <w:t>את</w:t>
      </w:r>
      <w:r w:rsidRPr="00471E7C">
        <w:rPr>
          <w:rFonts w:ascii="Century" w:hAnsi="Century" w:cs="Miriam"/>
          <w:b/>
          <w:spacing w:val="0"/>
          <w:szCs w:val="24"/>
          <w:rtl/>
        </w:rPr>
        <w:t xml:space="preserve"> </w:t>
      </w:r>
      <w:r w:rsidRPr="00471E7C">
        <w:rPr>
          <w:rFonts w:ascii="Century" w:hAnsi="Century" w:cs="Miriam" w:hint="eastAsia"/>
          <w:b/>
          <w:spacing w:val="0"/>
          <w:szCs w:val="24"/>
          <w:rtl/>
        </w:rPr>
        <w:t>המדינה</w:t>
      </w:r>
      <w:r w:rsidRPr="00471E7C">
        <w:rPr>
          <w:rFonts w:ascii="Century" w:hAnsi="Century" w:cs="Miriam"/>
          <w:b/>
          <w:spacing w:val="0"/>
          <w:szCs w:val="24"/>
          <w:rtl/>
        </w:rPr>
        <w:t xml:space="preserve"> </w:t>
      </w:r>
      <w:r w:rsidRPr="00471E7C">
        <w:rPr>
          <w:rFonts w:ascii="Century" w:hAnsi="Century" w:cs="Miriam" w:hint="eastAsia"/>
          <w:b/>
          <w:spacing w:val="0"/>
          <w:szCs w:val="24"/>
          <w:rtl/>
        </w:rPr>
        <w:t>ותושביה</w:t>
      </w:r>
      <w:r w:rsidRPr="00471E7C">
        <w:rPr>
          <w:rFonts w:ascii="Century" w:hAnsi="Century" w:cs="Miriam"/>
          <w:b/>
          <w:spacing w:val="0"/>
          <w:szCs w:val="24"/>
          <w:rtl/>
        </w:rPr>
        <w:t xml:space="preserve"> </w:t>
      </w:r>
      <w:r w:rsidRPr="00471E7C">
        <w:rPr>
          <w:rFonts w:ascii="Century" w:hAnsi="Century" w:cs="Miriam" w:hint="eastAsia"/>
          <w:b/>
          <w:spacing w:val="0"/>
          <w:szCs w:val="24"/>
          <w:rtl/>
        </w:rPr>
        <w:t>לבין</w:t>
      </w:r>
      <w:r w:rsidRPr="00471E7C">
        <w:rPr>
          <w:rFonts w:ascii="Century" w:hAnsi="Century" w:cs="Miriam"/>
          <w:b/>
          <w:spacing w:val="0"/>
          <w:szCs w:val="24"/>
          <w:rtl/>
        </w:rPr>
        <w:t xml:space="preserve"> </w:t>
      </w:r>
      <w:r w:rsidRPr="00471E7C">
        <w:rPr>
          <w:rFonts w:ascii="Century" w:hAnsi="Century" w:cs="Miriam" w:hint="eastAsia"/>
          <w:b/>
          <w:spacing w:val="0"/>
          <w:szCs w:val="24"/>
          <w:rtl/>
        </w:rPr>
        <w:t>נתין</w:t>
      </w:r>
      <w:r w:rsidRPr="00471E7C">
        <w:rPr>
          <w:rFonts w:ascii="Century" w:hAnsi="Century" w:cs="Miriam"/>
          <w:b/>
          <w:spacing w:val="0"/>
          <w:szCs w:val="24"/>
          <w:rtl/>
        </w:rPr>
        <w:t xml:space="preserve"> </w:t>
      </w:r>
      <w:r w:rsidRPr="00471E7C">
        <w:rPr>
          <w:rFonts w:ascii="Century" w:hAnsi="Century" w:cs="Miriam" w:hint="eastAsia"/>
          <w:b/>
          <w:spacing w:val="0"/>
          <w:szCs w:val="24"/>
          <w:rtl/>
        </w:rPr>
        <w:t>אויב</w:t>
      </w:r>
      <w:r w:rsidRPr="00471E7C">
        <w:rPr>
          <w:rFonts w:ascii="Century" w:hAnsi="Century" w:cs="Miriam"/>
          <w:b/>
          <w:spacing w:val="0"/>
          <w:szCs w:val="24"/>
          <w:rtl/>
        </w:rPr>
        <w:t xml:space="preserve"> </w:t>
      </w:r>
      <w:r w:rsidRPr="00471E7C">
        <w:rPr>
          <w:rFonts w:ascii="Century" w:hAnsi="Century" w:cs="Miriam" w:hint="eastAsia"/>
          <w:b/>
          <w:spacing w:val="0"/>
          <w:szCs w:val="24"/>
          <w:rtl/>
        </w:rPr>
        <w:t>שאינו</w:t>
      </w:r>
      <w:r w:rsidRPr="00471E7C">
        <w:rPr>
          <w:rFonts w:ascii="Century" w:hAnsi="Century" w:cs="Miriam"/>
          <w:b/>
          <w:spacing w:val="0"/>
          <w:szCs w:val="24"/>
          <w:rtl/>
        </w:rPr>
        <w:t xml:space="preserve"> </w:t>
      </w:r>
      <w:r w:rsidRPr="00471E7C">
        <w:rPr>
          <w:rFonts w:ascii="Century" w:hAnsi="Century" w:cs="Miriam" w:hint="eastAsia"/>
          <w:b/>
          <w:spacing w:val="0"/>
          <w:szCs w:val="24"/>
          <w:rtl/>
        </w:rPr>
        <w:t>עלול</w:t>
      </w:r>
      <w:r w:rsidRPr="00471E7C">
        <w:rPr>
          <w:rFonts w:ascii="Century" w:hAnsi="Century" w:cs="Miriam"/>
          <w:b/>
          <w:spacing w:val="0"/>
          <w:szCs w:val="24"/>
          <w:rtl/>
        </w:rPr>
        <w:t xml:space="preserve"> </w:t>
      </w:r>
      <w:r w:rsidRPr="00471E7C">
        <w:rPr>
          <w:rFonts w:ascii="Century" w:hAnsi="Century" w:cs="Miriam" w:hint="eastAsia"/>
          <w:b/>
          <w:spacing w:val="0"/>
          <w:szCs w:val="24"/>
          <w:rtl/>
        </w:rPr>
        <w:t>לסכן</w:t>
      </w:r>
      <w:r w:rsidRPr="00471E7C">
        <w:rPr>
          <w:rFonts w:ascii="Century" w:hAnsi="Century" w:cs="Miriam"/>
          <w:b/>
          <w:spacing w:val="0"/>
          <w:szCs w:val="24"/>
          <w:rtl/>
        </w:rPr>
        <w:t xml:space="preserve"> </w:t>
      </w:r>
      <w:r w:rsidRPr="00471E7C">
        <w:rPr>
          <w:rFonts w:ascii="Century" w:hAnsi="Century" w:cs="Miriam" w:hint="eastAsia"/>
          <w:b/>
          <w:spacing w:val="0"/>
          <w:szCs w:val="24"/>
          <w:rtl/>
        </w:rPr>
        <w:t>את</w:t>
      </w:r>
      <w:r w:rsidRPr="00471E7C">
        <w:rPr>
          <w:rFonts w:ascii="Century" w:hAnsi="Century" w:cs="Miriam"/>
          <w:b/>
          <w:spacing w:val="0"/>
          <w:szCs w:val="24"/>
          <w:rtl/>
        </w:rPr>
        <w:t xml:space="preserve"> </w:t>
      </w:r>
      <w:r w:rsidRPr="00471E7C">
        <w:rPr>
          <w:rFonts w:ascii="Century" w:hAnsi="Century" w:cs="Miriam" w:hint="eastAsia"/>
          <w:b/>
          <w:spacing w:val="0"/>
          <w:szCs w:val="24"/>
          <w:rtl/>
        </w:rPr>
        <w:t>המדינה</w:t>
      </w:r>
      <w:r w:rsidRPr="00471E7C">
        <w:rPr>
          <w:rFonts w:ascii="Century" w:hAnsi="Century" w:cs="Miriam"/>
          <w:b/>
          <w:spacing w:val="0"/>
          <w:szCs w:val="24"/>
          <w:rtl/>
        </w:rPr>
        <w:t xml:space="preserve"> </w:t>
      </w:r>
      <w:r w:rsidRPr="00471E7C">
        <w:rPr>
          <w:rFonts w:ascii="Century" w:hAnsi="Century" w:cs="Miriam" w:hint="eastAsia"/>
          <w:b/>
          <w:spacing w:val="0"/>
          <w:szCs w:val="24"/>
          <w:rtl/>
        </w:rPr>
        <w:t>ותושביה</w:t>
      </w:r>
      <w:r>
        <w:rPr>
          <w:rFonts w:ascii="Century" w:hAnsi="Century" w:cs="Miriam" w:hint="cs"/>
          <w:b/>
          <w:spacing w:val="0"/>
          <w:szCs w:val="24"/>
          <w:rtl/>
        </w:rPr>
        <w:t xml:space="preserve">" </w:t>
      </w:r>
      <w:r>
        <w:rPr>
          <w:rFonts w:hint="cs"/>
          <w:rtl/>
        </w:rPr>
        <w:t>(</w:t>
      </w:r>
      <w:r w:rsidRPr="00A76DAA">
        <w:rPr>
          <w:rFonts w:ascii="Century" w:hAnsi="Century" w:cs="Miriam" w:hint="cs"/>
          <w:b/>
          <w:spacing w:val="0"/>
          <w:szCs w:val="24"/>
          <w:rtl/>
        </w:rPr>
        <w:t>שם</w:t>
      </w:r>
      <w:r w:rsidRPr="00B87F58">
        <w:rPr>
          <w:rFonts w:ascii="Century" w:hAnsi="Century"/>
          <w:rtl/>
        </w:rPr>
        <w:t xml:space="preserve">, </w:t>
      </w:r>
      <w:r w:rsidRPr="00B87F58">
        <w:rPr>
          <w:rFonts w:ascii="Century" w:hAnsi="Century" w:hint="eastAsia"/>
          <w:rtl/>
        </w:rPr>
        <w:t>פסק</w:t>
      </w:r>
      <w:r>
        <w:rPr>
          <w:rFonts w:ascii="Century" w:hAnsi="Century" w:hint="cs"/>
          <w:rtl/>
        </w:rPr>
        <w:t>אות</w:t>
      </w:r>
      <w:r w:rsidRPr="00B87F58">
        <w:rPr>
          <w:rFonts w:ascii="Century" w:hAnsi="Century"/>
          <w:rtl/>
        </w:rPr>
        <w:t xml:space="preserve"> 81-79) (</w:t>
      </w:r>
      <w:r w:rsidRPr="00B87F58">
        <w:rPr>
          <w:rFonts w:ascii="Century" w:hAnsi="Century" w:hint="eastAsia"/>
          <w:rtl/>
        </w:rPr>
        <w:t>ההדגשה</w:t>
      </w:r>
      <w:r w:rsidRPr="00B87F58">
        <w:rPr>
          <w:rFonts w:ascii="Century" w:hAnsi="Century"/>
          <w:rtl/>
        </w:rPr>
        <w:t xml:space="preserve"> </w:t>
      </w:r>
      <w:r w:rsidRPr="00B87F58">
        <w:rPr>
          <w:rFonts w:ascii="Century" w:hAnsi="Century" w:hint="eastAsia"/>
          <w:rtl/>
        </w:rPr>
        <w:t>הוספה</w:t>
      </w:r>
      <w:r w:rsidRPr="00B87F58">
        <w:rPr>
          <w:rFonts w:ascii="Century" w:hAnsi="Century"/>
          <w:rtl/>
        </w:rPr>
        <w:t xml:space="preserve"> – </w:t>
      </w:r>
      <w:r w:rsidRPr="00B87F58">
        <w:rPr>
          <w:rFonts w:ascii="Century" w:hAnsi="Century" w:hint="eastAsia"/>
          <w:rtl/>
        </w:rPr>
        <w:t>נ</w:t>
      </w:r>
      <w:r w:rsidRPr="00B87F58">
        <w:rPr>
          <w:rFonts w:ascii="Century" w:hAnsi="Century"/>
          <w:rtl/>
        </w:rPr>
        <w:t xml:space="preserve">' </w:t>
      </w:r>
      <w:r w:rsidRPr="00B87F58">
        <w:rPr>
          <w:rFonts w:ascii="Century" w:hAnsi="Century" w:hint="eastAsia"/>
          <w:rtl/>
        </w:rPr>
        <w:t>ס</w:t>
      </w:r>
      <w:r w:rsidRPr="00B87F58">
        <w:rPr>
          <w:rFonts w:ascii="Century" w:hAnsi="Century"/>
          <w:rtl/>
        </w:rPr>
        <w:t>').</w:t>
      </w:r>
    </w:p>
    <w:p w:rsidR="00A949B3" w:rsidRDefault="00A949B3" w:rsidP="00D512D4">
      <w:pPr>
        <w:pStyle w:val="Ruller4"/>
        <w:numPr>
          <w:ilvl w:val="0"/>
          <w:numId w:val="0"/>
        </w:numPr>
        <w:rPr>
          <w:rtl/>
        </w:rPr>
      </w:pPr>
    </w:p>
    <w:p w:rsidR="00D512D4" w:rsidRDefault="00D512D4" w:rsidP="00D512D4">
      <w:pPr>
        <w:pStyle w:val="Ruller4"/>
        <w:numPr>
          <w:ilvl w:val="0"/>
          <w:numId w:val="0"/>
        </w:numPr>
        <w:rPr>
          <w:rtl/>
        </w:rPr>
      </w:pPr>
      <w:r>
        <w:rPr>
          <w:rtl/>
        </w:rPr>
        <w:tab/>
      </w:r>
      <w:r>
        <w:rPr>
          <w:rFonts w:hint="cs"/>
          <w:rtl/>
        </w:rPr>
        <w:t xml:space="preserve">וראו גם דבריו של השופט </w:t>
      </w:r>
      <w:r w:rsidRPr="00720965">
        <w:rPr>
          <w:rFonts w:ascii="Century" w:hAnsi="Century" w:cs="Miriam" w:hint="cs"/>
          <w:b/>
          <w:spacing w:val="0"/>
          <w:sz w:val="22"/>
          <w:szCs w:val="24"/>
          <w:rtl/>
        </w:rPr>
        <w:t>ריבלין</w:t>
      </w:r>
      <w:r w:rsidRPr="00720965">
        <w:rPr>
          <w:rFonts w:hint="cs"/>
          <w:rtl/>
        </w:rPr>
        <w:t xml:space="preserve"> </w:t>
      </w:r>
      <w:r>
        <w:rPr>
          <w:rFonts w:hint="cs"/>
          <w:rtl/>
        </w:rPr>
        <w:t xml:space="preserve">(כתוארו אז) בעניין </w:t>
      </w:r>
      <w:r w:rsidRPr="005A5336">
        <w:rPr>
          <w:rFonts w:ascii="Century" w:hAnsi="Century" w:cs="Miriam" w:hint="cs"/>
          <w:b/>
          <w:spacing w:val="0"/>
          <w:sz w:val="22"/>
          <w:szCs w:val="24"/>
          <w:rtl/>
        </w:rPr>
        <w:t>איחוד משפחות</w:t>
      </w:r>
      <w:r>
        <w:rPr>
          <w:rFonts w:hint="cs"/>
          <w:rtl/>
        </w:rPr>
        <w:t>:</w:t>
      </w:r>
    </w:p>
    <w:p w:rsidR="00D512D4" w:rsidRDefault="00D512D4" w:rsidP="000B6AE3">
      <w:pPr>
        <w:pStyle w:val="Ruller5"/>
        <w:spacing w:line="360" w:lineRule="auto"/>
        <w:rPr>
          <w:rStyle w:val="Ruller42"/>
          <w:rFonts w:ascii="Century" w:hAnsi="Century" w:cs="Miriam"/>
          <w:b/>
          <w:spacing w:val="0"/>
          <w:szCs w:val="24"/>
          <w:rtl/>
        </w:rPr>
      </w:pPr>
    </w:p>
    <w:p w:rsidR="00D512D4" w:rsidRPr="005A5336" w:rsidRDefault="00D512D4" w:rsidP="009F054C">
      <w:pPr>
        <w:pStyle w:val="Ruller5"/>
        <w:spacing w:line="360" w:lineRule="auto"/>
        <w:rPr>
          <w:rFonts w:ascii="Century" w:hAnsi="Century" w:cs="Miriam"/>
          <w:b/>
          <w:spacing w:val="0"/>
          <w:szCs w:val="24"/>
          <w:rtl/>
        </w:rPr>
      </w:pPr>
      <w:r>
        <w:rPr>
          <w:rStyle w:val="Ruller42"/>
          <w:rFonts w:ascii="Century" w:hAnsi="Century" w:cs="Miriam" w:hint="cs"/>
          <w:b/>
          <w:spacing w:val="0"/>
          <w:szCs w:val="24"/>
          <w:rtl/>
        </w:rPr>
        <w:t>"</w:t>
      </w:r>
      <w:r w:rsidRPr="005A5336">
        <w:rPr>
          <w:rStyle w:val="Ruller42"/>
          <w:rFonts w:ascii="Century" w:hAnsi="Century" w:cs="Miriam" w:hint="cs"/>
          <w:b/>
          <w:spacing w:val="0"/>
          <w:szCs w:val="24"/>
          <w:rtl/>
        </w:rPr>
        <w:t xml:space="preserve">גם אני סבור, כי אין לערטל את השאלה החוקתית מן הלבוש המציאותי בו היא נתונה. אין להציב את השאלה בעולם שאינו קיים </w:t>
      </w:r>
      <w:r w:rsidRPr="00B87F58">
        <w:rPr>
          <w:rStyle w:val="Ruller42"/>
          <w:rFonts w:ascii="Century" w:hAnsi="Century"/>
          <w:rtl/>
        </w:rPr>
        <w:t>–</w:t>
      </w:r>
      <w:r w:rsidRPr="005A5336">
        <w:rPr>
          <w:rStyle w:val="Ruller42"/>
          <w:rFonts w:ascii="Century" w:hAnsi="Century" w:cs="Miriam" w:hint="cs"/>
          <w:b/>
          <w:spacing w:val="0"/>
          <w:szCs w:val="24"/>
          <w:rtl/>
        </w:rPr>
        <w:t xml:space="preserve"> ב</w:t>
      </w:r>
      <w:r w:rsidR="00DF0016">
        <w:rPr>
          <w:rStyle w:val="Ruller42"/>
          <w:rFonts w:ascii="Century" w:hAnsi="Century" w:cs="Miriam" w:hint="cs"/>
          <w:b/>
          <w:spacing w:val="0"/>
          <w:szCs w:val="24"/>
          <w:rtl/>
        </w:rPr>
        <w:t>'פלנטה'</w:t>
      </w:r>
      <w:r w:rsidRPr="005A5336">
        <w:rPr>
          <w:rStyle w:val="Ruller42"/>
          <w:rFonts w:ascii="Century" w:hAnsi="Century" w:cs="Miriam" w:hint="cs"/>
          <w:b/>
          <w:spacing w:val="0"/>
          <w:szCs w:val="24"/>
          <w:rtl/>
        </w:rPr>
        <w:t xml:space="preserve"> אחרת. השאלה החוקתית נדונה, עכשיו וכאן </w:t>
      </w:r>
      <w:r w:rsidRPr="00B87F58">
        <w:rPr>
          <w:rStyle w:val="Ruller42"/>
          <w:rFonts w:ascii="Century" w:hAnsi="Century"/>
          <w:rtl/>
        </w:rPr>
        <w:t>–</w:t>
      </w:r>
      <w:r w:rsidRPr="005A5336">
        <w:rPr>
          <w:rStyle w:val="Ruller42"/>
          <w:rFonts w:ascii="Century" w:hAnsi="Century" w:cs="Miriam" w:hint="cs"/>
          <w:b/>
          <w:spacing w:val="0"/>
          <w:szCs w:val="24"/>
          <w:rtl/>
        </w:rPr>
        <w:t xml:space="preserve"> במדינה כואבת המתקיימת על פיסת קרקע בוערת. המציאות היא מציאות כוללת שיקשה להציב בה מחיצות עיוניות</w:t>
      </w:r>
      <w:r>
        <w:rPr>
          <w:rStyle w:val="Ruller42"/>
          <w:rFonts w:ascii="Century" w:hAnsi="Century" w:cs="Miriam" w:hint="cs"/>
          <w:b/>
          <w:spacing w:val="0"/>
          <w:szCs w:val="24"/>
          <w:rtl/>
        </w:rPr>
        <w:t xml:space="preserve"> [...].</w:t>
      </w:r>
      <w:r w:rsidRPr="005A5336">
        <w:rPr>
          <w:rStyle w:val="Ruller42"/>
          <w:rFonts w:ascii="Century" w:hAnsi="Century" w:cs="Miriam" w:hint="cs"/>
          <w:b/>
          <w:spacing w:val="0"/>
          <w:szCs w:val="24"/>
          <w:rtl/>
        </w:rPr>
        <w:t xml:space="preserve"> אין לעצום עינינו מראות מי הוא הזר, לאיזו ישות מדינית הוא משתייך, מי הם מנהיגיו הנבחרים ומהן הנסיבות בהן מתברר עניינו. </w:t>
      </w:r>
      <w:r>
        <w:rPr>
          <w:rStyle w:val="Ruller42"/>
          <w:rFonts w:ascii="Century" w:hAnsi="Century" w:cs="Miriam" w:hint="cs"/>
          <w:b/>
          <w:spacing w:val="0"/>
          <w:szCs w:val="24"/>
          <w:rtl/>
        </w:rPr>
        <w:t xml:space="preserve">[...]. </w:t>
      </w:r>
      <w:r w:rsidRPr="00F5028C">
        <w:rPr>
          <w:rStyle w:val="Ruller42"/>
          <w:rFonts w:ascii="Century" w:hAnsi="Century" w:cs="Miriam" w:hint="eastAsia"/>
          <w:b/>
          <w:spacing w:val="0"/>
          <w:szCs w:val="24"/>
          <w:rtl/>
        </w:rPr>
        <w:t>המבחנים</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על</w:t>
      </w:r>
      <w:r w:rsidRPr="00F5028C">
        <w:rPr>
          <w:rStyle w:val="Ruller42"/>
          <w:rFonts w:ascii="Century" w:hAnsi="Century" w:cs="Miriam"/>
          <w:b/>
          <w:spacing w:val="0"/>
          <w:szCs w:val="24"/>
          <w:rtl/>
        </w:rPr>
        <w:t>-</w:t>
      </w:r>
      <w:r w:rsidRPr="00F5028C">
        <w:rPr>
          <w:rStyle w:val="Ruller42"/>
          <w:rFonts w:ascii="Century" w:hAnsi="Century" w:cs="Miriam" w:hint="eastAsia"/>
          <w:b/>
          <w:spacing w:val="0"/>
          <w:szCs w:val="24"/>
          <w:rtl/>
        </w:rPr>
        <w:t>פיהם</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בוחנים</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אנו</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הגבלות</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על</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זכויות</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האדם</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בשל</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סיבות</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מתחייבות</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הם</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מבחנים</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אחידים</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בכל</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עת</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המבחן</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הוא</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זהה</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אולם</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ראוי</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לזכור</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כי</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ישומו</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מושפע</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מן</w:t>
      </w:r>
      <w:r w:rsidRPr="00F5028C">
        <w:rPr>
          <w:rStyle w:val="Ruller42"/>
          <w:rFonts w:ascii="Century" w:hAnsi="Century" w:cs="Miriam"/>
          <w:b/>
          <w:spacing w:val="0"/>
          <w:szCs w:val="24"/>
          <w:rtl/>
        </w:rPr>
        <w:t xml:space="preserve"> </w:t>
      </w:r>
      <w:r w:rsidRPr="00F5028C">
        <w:rPr>
          <w:rStyle w:val="Ruller42"/>
          <w:rFonts w:ascii="Century" w:hAnsi="Century" w:cs="Miriam" w:hint="eastAsia"/>
          <w:b/>
          <w:spacing w:val="0"/>
          <w:szCs w:val="24"/>
          <w:rtl/>
        </w:rPr>
        <w:t>המציאות</w:t>
      </w:r>
      <w:r>
        <w:rPr>
          <w:rStyle w:val="Ruller42"/>
          <w:rFonts w:ascii="Century" w:hAnsi="Century" w:cs="Miriam" w:hint="cs"/>
          <w:b/>
          <w:spacing w:val="0"/>
          <w:szCs w:val="24"/>
          <w:rtl/>
        </w:rPr>
        <w:t>"</w:t>
      </w:r>
      <w:r>
        <w:rPr>
          <w:rFonts w:ascii="Century" w:hAnsi="Century" w:cs="Miriam" w:hint="cs"/>
          <w:b/>
          <w:spacing w:val="0"/>
          <w:szCs w:val="24"/>
          <w:rtl/>
        </w:rPr>
        <w:t xml:space="preserve"> </w:t>
      </w:r>
      <w:r w:rsidRPr="00E148FD">
        <w:rPr>
          <w:rFonts w:ascii="Century" w:hAnsi="Century"/>
          <w:rtl/>
        </w:rPr>
        <w:t>(</w:t>
      </w:r>
      <w:r w:rsidRPr="00B87F58">
        <w:rPr>
          <w:rFonts w:ascii="Century" w:hAnsi="Century" w:cs="Miriam" w:hint="eastAsia"/>
          <w:b/>
          <w:spacing w:val="0"/>
          <w:szCs w:val="24"/>
          <w:rtl/>
        </w:rPr>
        <w:t>שם</w:t>
      </w:r>
      <w:r>
        <w:rPr>
          <w:rFonts w:ascii="Century" w:hAnsi="Century" w:hint="cs"/>
          <w:rtl/>
        </w:rPr>
        <w:t xml:space="preserve">, </w:t>
      </w:r>
      <w:r>
        <w:rPr>
          <w:rFonts w:hint="cs"/>
          <w:rtl/>
        </w:rPr>
        <w:t xml:space="preserve">פסקה 8; </w:t>
      </w:r>
      <w:r w:rsidRPr="00E148FD">
        <w:rPr>
          <w:rFonts w:ascii="Century" w:hAnsi="Century"/>
          <w:rtl/>
        </w:rPr>
        <w:t>ע</w:t>
      </w:r>
      <w:r>
        <w:rPr>
          <w:rFonts w:ascii="Century" w:hAnsi="Century" w:hint="cs"/>
          <w:rtl/>
        </w:rPr>
        <w:t>ו</w:t>
      </w:r>
      <w:r w:rsidRPr="00E148FD">
        <w:rPr>
          <w:rFonts w:ascii="Century" w:hAnsi="Century"/>
          <w:rtl/>
        </w:rPr>
        <w:t>ד ראו</w:t>
      </w:r>
      <w:r>
        <w:rPr>
          <w:rFonts w:ascii="Century" w:hAnsi="Century" w:hint="cs"/>
          <w:rtl/>
        </w:rPr>
        <w:t>, את דבריו ב</w:t>
      </w:r>
      <w:r w:rsidRPr="00F5028C">
        <w:rPr>
          <w:rFonts w:ascii="Century" w:hAnsi="Century" w:cs="Miriam"/>
          <w:b/>
          <w:spacing w:val="0"/>
          <w:szCs w:val="24"/>
          <w:rtl/>
        </w:rPr>
        <w:t>עניין איחוד משפחות 2</w:t>
      </w:r>
      <w:r w:rsidRPr="00E148FD">
        <w:rPr>
          <w:rFonts w:ascii="Century" w:hAnsi="Century"/>
          <w:rtl/>
        </w:rPr>
        <w:t>, פסקה 29).</w:t>
      </w:r>
      <w:r w:rsidRPr="00E148FD">
        <w:rPr>
          <w:rFonts w:ascii="Century" w:hAnsi="Century"/>
          <w:rtl/>
        </w:rPr>
        <w:br/>
      </w:r>
    </w:p>
    <w:p w:rsidR="00D512D4" w:rsidRDefault="00D512D4" w:rsidP="00DF0016">
      <w:pPr>
        <w:pStyle w:val="Ruller4"/>
        <w:rPr>
          <w:rtl/>
        </w:rPr>
      </w:pPr>
      <w:r>
        <w:rPr>
          <w:rFonts w:hint="cs"/>
          <w:rtl/>
        </w:rPr>
        <w:t xml:space="preserve">הנה כי כן, הראינו כי קיימות מספר גישות לגבי שאלת התחולה של חוקי היסוד: טריטוריאלית, פרסונלית, אוניברסלית ופונקציונלית; </w:t>
      </w:r>
      <w:r w:rsidR="00EE0DD8">
        <w:rPr>
          <w:rFonts w:hint="cs"/>
          <w:rtl/>
        </w:rPr>
        <w:t xml:space="preserve">כמו </w:t>
      </w:r>
      <w:r>
        <w:rPr>
          <w:rFonts w:hint="cs"/>
          <w:rtl/>
        </w:rPr>
        <w:t xml:space="preserve">כן הזכרנו דברים שנפסקו בעניין </w:t>
      </w:r>
      <w:r w:rsidRPr="00794D66">
        <w:rPr>
          <w:rFonts w:ascii="Century" w:hAnsi="Century" w:cs="Miriam" w:hint="cs"/>
          <w:b/>
          <w:spacing w:val="0"/>
          <w:sz w:val="22"/>
          <w:szCs w:val="24"/>
          <w:rtl/>
        </w:rPr>
        <w:t>חוק ההסדרה</w:t>
      </w:r>
      <w:r>
        <w:rPr>
          <w:rFonts w:hint="cs"/>
          <w:rtl/>
        </w:rPr>
        <w:t>, כי כל דבר חקיקה של הכנסת נדרש לעמוד באמות המידה הנורמטיביות של חוקי היסוד, ללא קשר לשאלת התח</w:t>
      </w:r>
      <w:r w:rsidR="003D084B">
        <w:rPr>
          <w:rFonts w:hint="cs"/>
          <w:rtl/>
        </w:rPr>
        <w:t>ולה האקסטרה-טריטוריאלית של חוקי-היסוד. ברם, גם בהנחה שלחוקי-</w:t>
      </w:r>
      <w:r>
        <w:rPr>
          <w:rFonts w:hint="cs"/>
          <w:rtl/>
        </w:rPr>
        <w:t>היסוד עשויה להיות תחולה עקרונית מחוץ לשטח ישראל, שמא אף בשטח אויב, בהתאם ל</w:t>
      </w:r>
      <w:r w:rsidR="00DF0016">
        <w:rPr>
          <w:rFonts w:hint="cs"/>
          <w:rtl/>
        </w:rPr>
        <w:t>א</w:t>
      </w:r>
      <w:r>
        <w:rPr>
          <w:rFonts w:hint="cs"/>
          <w:rtl/>
        </w:rPr>
        <w:t>י</w:t>
      </w:r>
      <w:r w:rsidR="00DF0016">
        <w:rPr>
          <w:rFonts w:hint="cs"/>
          <w:rtl/>
        </w:rPr>
        <w:t>זו</w:t>
      </w:r>
      <w:r>
        <w:rPr>
          <w:rFonts w:hint="cs"/>
          <w:rtl/>
        </w:rPr>
        <w:t xml:space="preserve"> מן הגישות המצדדות בכך, לגבי דידי, אין משמעות הדבר כי כל דבר חקיקה הפוגע בזכויות אדם, יעבור באופן אוטומטי לשלב השני של הבחינה החוקתית; לבירור עמידתו בתנאי פסקת ההגבלה. ישנם מקרים שבהם הבחינה החוקתית תיעצר כבר בעת בירור שאלת קיומה של פגיעה בזכות חוקתית. הדבר תלוי בפרשנות הנתונה לזכות הנפגעת, ובהיקף ההגנה המסור לה, בשים לב למכלול נסיבות העניין. אפרט.</w:t>
      </w:r>
    </w:p>
    <w:p w:rsidR="00D512D4" w:rsidRPr="00794D66" w:rsidRDefault="00D512D4" w:rsidP="000B6AE3">
      <w:pPr>
        <w:pStyle w:val="Ruller41"/>
        <w:spacing w:line="240" w:lineRule="auto"/>
      </w:pPr>
    </w:p>
    <w:p w:rsidR="00D512D4" w:rsidRDefault="00D512D4" w:rsidP="00811B3D">
      <w:pPr>
        <w:pStyle w:val="Ruller4"/>
      </w:pPr>
      <w:r>
        <w:rPr>
          <w:rFonts w:hint="cs"/>
          <w:rtl/>
        </w:rPr>
        <w:t xml:space="preserve">בעניין </w:t>
      </w:r>
      <w:r w:rsidRPr="00794D66">
        <w:rPr>
          <w:rFonts w:ascii="Century" w:hAnsi="Century" w:cs="Miriam" w:hint="cs"/>
          <w:b/>
          <w:spacing w:val="0"/>
          <w:sz w:val="22"/>
          <w:szCs w:val="24"/>
          <w:rtl/>
        </w:rPr>
        <w:t>איחוד משפחות,</w:t>
      </w:r>
      <w:r>
        <w:rPr>
          <w:rFonts w:hint="cs"/>
          <w:rtl/>
        </w:rPr>
        <w:t xml:space="preserve"> קבעו חלק משופטי הרוב, כי הניתוח החוקתי נעצר כבר על המפתן, בעת בירור שאלת הפגיעה החוקתית. המשנה לנשיא </w:t>
      </w:r>
      <w:r w:rsidRPr="00794D66">
        <w:rPr>
          <w:rFonts w:ascii="Century" w:hAnsi="Century" w:cs="Miriam" w:hint="cs"/>
          <w:b/>
          <w:spacing w:val="0"/>
          <w:sz w:val="22"/>
          <w:szCs w:val="24"/>
          <w:rtl/>
        </w:rPr>
        <w:t>מ' חשין</w:t>
      </w:r>
      <w:r>
        <w:rPr>
          <w:rFonts w:hint="cs"/>
          <w:rtl/>
        </w:rPr>
        <w:t xml:space="preserve">, קבע באותו עניין, כי </w:t>
      </w:r>
      <w:r w:rsidRPr="00B87F58">
        <w:rPr>
          <w:rFonts w:ascii="Century" w:hAnsi="Century" w:cs="Miriam"/>
          <w:b/>
          <w:spacing w:val="0"/>
          <w:sz w:val="22"/>
          <w:szCs w:val="24"/>
          <w:rtl/>
        </w:rPr>
        <w:t xml:space="preserve">"בעת מלחמה לא קמה להם לאזרח ולתושב של ישראל </w:t>
      </w:r>
      <w:r w:rsidRPr="00B87F58">
        <w:rPr>
          <w:rFonts w:ascii="Century" w:hAnsi="Century" w:cs="Miriam"/>
          <w:b/>
          <w:spacing w:val="0"/>
          <w:sz w:val="22"/>
          <w:szCs w:val="24"/>
          <w:u w:val="single"/>
          <w:rtl/>
        </w:rPr>
        <w:t>זכות חוקתית</w:t>
      </w:r>
      <w:r w:rsidRPr="00B87F58">
        <w:rPr>
          <w:rFonts w:ascii="Century" w:hAnsi="Century" w:cs="Miriam"/>
          <w:b/>
          <w:spacing w:val="0"/>
          <w:sz w:val="22"/>
          <w:szCs w:val="24"/>
          <w:rtl/>
        </w:rPr>
        <w:t xml:space="preserve"> להביא לישראל בן-משפחה שהוא נתין הישות המצויה בעימות מזוין או במלחמה עם מדינת ישראל"</w:t>
      </w:r>
      <w:r>
        <w:rPr>
          <w:rFonts w:hint="cs"/>
          <w:rtl/>
        </w:rPr>
        <w:t xml:space="preserve"> (</w:t>
      </w:r>
      <w:r w:rsidRPr="00B87F58">
        <w:rPr>
          <w:rFonts w:ascii="Century" w:hAnsi="Century" w:cs="Miriam" w:hint="eastAsia"/>
          <w:b/>
          <w:spacing w:val="0"/>
          <w:sz w:val="22"/>
          <w:szCs w:val="24"/>
          <w:rtl/>
        </w:rPr>
        <w:t>שם</w:t>
      </w:r>
      <w:r>
        <w:rPr>
          <w:rFonts w:hint="cs"/>
          <w:rtl/>
        </w:rPr>
        <w:t xml:space="preserve">, פסקה 87) (ההדגשה הוספה </w:t>
      </w:r>
      <w:r>
        <w:rPr>
          <w:rtl/>
        </w:rPr>
        <w:t>–</w:t>
      </w:r>
      <w:r>
        <w:rPr>
          <w:rFonts w:hint="cs"/>
          <w:rtl/>
        </w:rPr>
        <w:t xml:space="preserve"> נ' ס'). נקבע שם, כי על אף שהחוק שנדון באותו עניין </w:t>
      </w:r>
      <w:r>
        <w:rPr>
          <w:rtl/>
        </w:rPr>
        <w:t>–</w:t>
      </w:r>
      <w:r>
        <w:rPr>
          <w:rFonts w:hint="cs"/>
          <w:rtl/>
        </w:rPr>
        <w:t xml:space="preserve"> חוק הוראת השעה </w:t>
      </w:r>
      <w:r>
        <w:rPr>
          <w:rtl/>
        </w:rPr>
        <w:t>–</w:t>
      </w:r>
      <w:r>
        <w:rPr>
          <w:rFonts w:hint="cs"/>
          <w:rtl/>
        </w:rPr>
        <w:t xml:space="preserve"> פוגע בזכויות יסוד, הרי שפגיעה זו אינה עולה כדי פגיעה </w:t>
      </w:r>
      <w:r w:rsidRPr="0004091F">
        <w:rPr>
          <w:rFonts w:ascii="Century" w:hAnsi="Century" w:cs="Miriam" w:hint="cs"/>
          <w:b/>
          <w:spacing w:val="0"/>
          <w:sz w:val="22"/>
          <w:szCs w:val="24"/>
          <w:rtl/>
        </w:rPr>
        <w:t>חוקתית</w:t>
      </w:r>
      <w:r>
        <w:rPr>
          <w:rFonts w:hint="cs"/>
          <w:rtl/>
        </w:rPr>
        <w:t xml:space="preserve">. נפסק, כי העיתוי </w:t>
      </w:r>
      <w:r>
        <w:rPr>
          <w:rtl/>
        </w:rPr>
        <w:t>–</w:t>
      </w:r>
      <w:r>
        <w:rPr>
          <w:rFonts w:hint="cs"/>
          <w:rtl/>
        </w:rPr>
        <w:t xml:space="preserve"> עת מלחמה, ומקום מגוריו של בן הזר </w:t>
      </w:r>
      <w:r>
        <w:rPr>
          <w:rtl/>
        </w:rPr>
        <w:t>–</w:t>
      </w:r>
      <w:r>
        <w:rPr>
          <w:rFonts w:hint="cs"/>
          <w:rtl/>
        </w:rPr>
        <w:t xml:space="preserve"> שטח י</w:t>
      </w:r>
      <w:r w:rsidR="007B5D21">
        <w:rPr>
          <w:rFonts w:hint="cs"/>
          <w:rtl/>
        </w:rPr>
        <w:t>שות עוינת, משפיעים על היקף פרישׂ</w:t>
      </w:r>
      <w:r>
        <w:rPr>
          <w:rFonts w:hint="cs"/>
          <w:rtl/>
        </w:rPr>
        <w:t xml:space="preserve">תה של הזכות החוקתית לחיי משפחה. ודוק: הגבלת הזכות נעשתה כבר בשלב בירור הפגיעה החוקתית, ולא בהמשך, בעת בחינת החוק על-פי תנאֵי פסקת ההגבלה (ראו </w:t>
      </w:r>
      <w:r w:rsidRPr="00B87F58">
        <w:rPr>
          <w:rFonts w:ascii="Century" w:hAnsi="Century" w:cs="Miriam" w:hint="eastAsia"/>
          <w:b/>
          <w:spacing w:val="0"/>
          <w:sz w:val="22"/>
          <w:szCs w:val="24"/>
          <w:rtl/>
        </w:rPr>
        <w:t>שם</w:t>
      </w:r>
      <w:r>
        <w:rPr>
          <w:rFonts w:hint="cs"/>
          <w:rtl/>
        </w:rPr>
        <w:t xml:space="preserve">, פסקאות 130-128 לפסק הדין של המשנה לנשיא </w:t>
      </w:r>
      <w:r w:rsidRPr="0004091F">
        <w:rPr>
          <w:rFonts w:ascii="Century" w:hAnsi="Century" w:cs="Miriam" w:hint="cs"/>
          <w:b/>
          <w:spacing w:val="0"/>
          <w:sz w:val="22"/>
          <w:szCs w:val="24"/>
          <w:rtl/>
        </w:rPr>
        <w:t>מ' חשין</w:t>
      </w:r>
      <w:r>
        <w:rPr>
          <w:rFonts w:hint="cs"/>
          <w:rtl/>
        </w:rPr>
        <w:t xml:space="preserve">; פסקאות 10-4 לפסק הדין של השופטת (כתוארה אז) </w:t>
      </w:r>
      <w:r w:rsidRPr="0004091F">
        <w:rPr>
          <w:rFonts w:ascii="Century" w:hAnsi="Century" w:cs="Miriam" w:hint="cs"/>
          <w:b/>
          <w:spacing w:val="0"/>
          <w:sz w:val="22"/>
          <w:szCs w:val="24"/>
          <w:rtl/>
        </w:rPr>
        <w:t>מ' נאור</w:t>
      </w:r>
      <w:r>
        <w:rPr>
          <w:rFonts w:hint="cs"/>
          <w:rtl/>
        </w:rPr>
        <w:t xml:space="preserve">). על עמדה זו, חזרו חלק משופטי הרוב גם במסגרת עניין </w:t>
      </w:r>
      <w:r w:rsidRPr="00794D66">
        <w:rPr>
          <w:rFonts w:ascii="Century" w:hAnsi="Century" w:cs="Miriam" w:hint="cs"/>
          <w:b/>
          <w:spacing w:val="0"/>
          <w:sz w:val="22"/>
          <w:szCs w:val="24"/>
          <w:rtl/>
        </w:rPr>
        <w:t>איחוד משפחות 2</w:t>
      </w:r>
      <w:r>
        <w:rPr>
          <w:rFonts w:hint="cs"/>
          <w:rtl/>
        </w:rPr>
        <w:t xml:space="preserve"> (ראו שם, פסקה כ"ח לפסק הדין של השופט (כתוארו אז) </w:t>
      </w:r>
      <w:r w:rsidRPr="0004091F">
        <w:rPr>
          <w:rFonts w:ascii="Century" w:hAnsi="Century" w:cs="Miriam" w:hint="cs"/>
          <w:b/>
          <w:spacing w:val="0"/>
          <w:sz w:val="22"/>
          <w:szCs w:val="24"/>
          <w:rtl/>
        </w:rPr>
        <w:t>א' רובינשטיין</w:t>
      </w:r>
      <w:r>
        <w:rPr>
          <w:rFonts w:hint="cs"/>
          <w:rtl/>
        </w:rPr>
        <w:t xml:space="preserve">; פסקאות 29-23 לפסק הדין של השופט (כתוארו אז) </w:t>
      </w:r>
      <w:r w:rsidRPr="0004091F">
        <w:rPr>
          <w:rFonts w:ascii="Century" w:hAnsi="Century" w:cs="Miriam" w:hint="cs"/>
          <w:b/>
          <w:spacing w:val="0"/>
          <w:sz w:val="22"/>
          <w:szCs w:val="24"/>
          <w:rtl/>
        </w:rPr>
        <w:t>ח' מלצר</w:t>
      </w:r>
      <w:r>
        <w:rPr>
          <w:rFonts w:hint="cs"/>
          <w:rtl/>
        </w:rPr>
        <w:t xml:space="preserve">; פסקאות 10-6 לפסק הדין של השופטת (כתוארה אז) </w:t>
      </w:r>
      <w:r w:rsidRPr="0004091F">
        <w:rPr>
          <w:rFonts w:ascii="Century" w:hAnsi="Century" w:cs="Miriam" w:hint="cs"/>
          <w:b/>
          <w:spacing w:val="0"/>
          <w:sz w:val="22"/>
          <w:szCs w:val="24"/>
          <w:rtl/>
        </w:rPr>
        <w:t>מ' נאור</w:t>
      </w:r>
      <w:r>
        <w:rPr>
          <w:rFonts w:hint="cs"/>
          <w:rtl/>
        </w:rPr>
        <w:t>). ניתן אפוא להגביל את היקף הזכויות החוקתיות, בהתאם לזמן ולמקום, כך שא</w:t>
      </w:r>
      <w:r w:rsidR="003D084B">
        <w:rPr>
          <w:rFonts w:hint="cs"/>
          <w:rtl/>
        </w:rPr>
        <w:t>ֵ</w:t>
      </w:r>
      <w:r w:rsidR="00E21A01">
        <w:rPr>
          <w:rFonts w:hint="cs"/>
          <w:rtl/>
        </w:rPr>
        <w:t>לו לא תתפרשׂ</w:t>
      </w:r>
      <w:r>
        <w:rPr>
          <w:rFonts w:hint="cs"/>
          <w:rtl/>
        </w:rPr>
        <w:t>נה למרחוק, עד כדי הגנה חוקתית על נתיני האויב</w:t>
      </w:r>
      <w:r w:rsidR="00811B3D">
        <w:rPr>
          <w:rFonts w:hint="cs"/>
          <w:rtl/>
        </w:rPr>
        <w:t>;</w:t>
      </w:r>
      <w:r>
        <w:rPr>
          <w:rFonts w:hint="cs"/>
          <w:rtl/>
        </w:rPr>
        <w:t xml:space="preserve"> בפרט לא בעת מלחמה. אמחיש זאת באמצעות שאלה רטורית, מעוררת תהייה וקושי, המבהירה היטב את המורכבות שבגישה האחרת: האם אזרח סורי, נתין של מדינת אויב, רשאי להגיש עתירה לבית המשפט הגבוה לצדק, בטענה כי חוק רמת הגולן, התשמ"ב-1981, פוגע בזכותו לקניין, ולפיכך איננו חוקתי (אם נתעלם לרגע מפסקת שמיר</w:t>
      </w:r>
      <w:r w:rsidR="007B5D21">
        <w:rPr>
          <w:rFonts w:hint="cs"/>
          <w:rtl/>
        </w:rPr>
        <w:t>ת הדינים שבחוק היסוד)? האם לא נ</w:t>
      </w:r>
      <w:r>
        <w:rPr>
          <w:rFonts w:hint="cs"/>
          <w:rtl/>
        </w:rPr>
        <w:t xml:space="preserve">אמר בכגון דא, כי הגם שחוק זה פוגע בזכות הקניין של אותו עותר פוטנציאלי </w:t>
      </w:r>
      <w:r>
        <w:rPr>
          <w:rtl/>
        </w:rPr>
        <w:t>–</w:t>
      </w:r>
      <w:r>
        <w:rPr>
          <w:rFonts w:hint="cs"/>
          <w:rtl/>
        </w:rPr>
        <w:t xml:space="preserve"> כעניין שבעובדה </w:t>
      </w:r>
      <w:r>
        <w:rPr>
          <w:rtl/>
        </w:rPr>
        <w:t>–</w:t>
      </w:r>
      <w:r>
        <w:rPr>
          <w:rFonts w:hint="cs"/>
          <w:rtl/>
        </w:rPr>
        <w:t xml:space="preserve"> אין משמעות הדבר כי תחום התפרשׂותה של זכות הקניין </w:t>
      </w:r>
      <w:r w:rsidRPr="0004091F">
        <w:rPr>
          <w:rFonts w:ascii="Century" w:hAnsi="Century" w:cs="Miriam" w:hint="cs"/>
          <w:b/>
          <w:spacing w:val="0"/>
          <w:sz w:val="22"/>
          <w:szCs w:val="24"/>
          <w:rtl/>
        </w:rPr>
        <w:t>החוקתית</w:t>
      </w:r>
      <w:r>
        <w:rPr>
          <w:rFonts w:hint="cs"/>
          <w:rtl/>
        </w:rPr>
        <w:t xml:space="preserve">, המעוגנת בחוק היסוד, יפרוץ את כל הגבולות, בפרט גבולות אויב? האם חוק היסוד, בדוגמה שהבאנו, </w:t>
      </w:r>
      <w:r w:rsidR="00E21A01">
        <w:rPr>
          <w:rFonts w:hint="cs"/>
          <w:rtl/>
        </w:rPr>
        <w:t xml:space="preserve">פורשׂ מצודתו </w:t>
      </w:r>
      <w:r>
        <w:rPr>
          <w:rFonts w:hint="cs"/>
          <w:rtl/>
        </w:rPr>
        <w:t>עד לדמשק? האם יש בכוחו לשבש את הסדר הציבורי במדינה, ואת המדיניות ויחסי-החוץ, ששורטטו על-ידי הממשלה והכנסת?</w:t>
      </w:r>
    </w:p>
    <w:p w:rsidR="00D512D4" w:rsidRDefault="00D512D4" w:rsidP="000B6AE3">
      <w:pPr>
        <w:pStyle w:val="Ruller4"/>
        <w:numPr>
          <w:ilvl w:val="0"/>
          <w:numId w:val="0"/>
        </w:numPr>
        <w:spacing w:line="240" w:lineRule="auto"/>
        <w:rPr>
          <w:rtl/>
        </w:rPr>
      </w:pPr>
      <w:r>
        <w:rPr>
          <w:rtl/>
        </w:rPr>
        <w:tab/>
      </w:r>
    </w:p>
    <w:p w:rsidR="00D512D4" w:rsidRDefault="00D512D4" w:rsidP="007B5D21">
      <w:pPr>
        <w:pStyle w:val="Ruller4"/>
        <w:rPr>
          <w:rtl/>
        </w:rPr>
      </w:pPr>
      <w:r>
        <w:rPr>
          <w:rFonts w:hint="cs"/>
          <w:rtl/>
        </w:rPr>
        <w:t>נחזור, א</w:t>
      </w:r>
      <w:r w:rsidR="007B5D21">
        <w:rPr>
          <w:rFonts w:hint="cs"/>
          <w:rtl/>
        </w:rPr>
        <w:t>ם כן, לשאלה שבה פתחנו: האם חוקי-</w:t>
      </w:r>
      <w:r>
        <w:rPr>
          <w:rFonts w:hint="cs"/>
          <w:rtl/>
        </w:rPr>
        <w:t xml:space="preserve">היסוד חלים בעניינו של המערער, תושב עזה? חככתי בדעתי, האם גם בענייננו, ניתן היה לעצור את הניתוח החוקתי כבר בשלב הפגיעה החוקתית, לאמור: אף שסעיף 5ב(א)(1) לחוק פוגע באופן עקרוני בזכויותיהם של תושבי עזה (כאמור, בזכות לכבוד, לקניין, לשלמות הגוף, ולגישה לערכאות), הרי שפרשנות ראויה של היקף זכויות היסוד, תביאנו למסקנה כי אף אם פגיעה בזכויות יסוד </w:t>
      </w:r>
      <w:r>
        <w:rPr>
          <w:rtl/>
        </w:rPr>
        <w:t>–</w:t>
      </w:r>
      <w:r>
        <w:rPr>
          <w:rFonts w:hint="cs"/>
          <w:rtl/>
        </w:rPr>
        <w:t xml:space="preserve"> יש כאן; פגיעה בזכויות חוקתיות </w:t>
      </w:r>
      <w:r>
        <w:rPr>
          <w:rtl/>
        </w:rPr>
        <w:t>–</w:t>
      </w:r>
      <w:r>
        <w:rPr>
          <w:rFonts w:hint="cs"/>
          <w:rtl/>
        </w:rPr>
        <w:t xml:space="preserve"> אין כאן. לבסוף, לא בלי התלבטות, מצאתי כי אין מקום לבלום את הבחינה החוקתית על הסף, כבר בשלב זה. למסקנה זו הגעתי משני טעמים: </w:t>
      </w:r>
      <w:r w:rsidRPr="007D499E">
        <w:rPr>
          <w:rFonts w:ascii="Century" w:hAnsi="Century" w:cs="Miriam" w:hint="cs"/>
          <w:b/>
          <w:spacing w:val="0"/>
          <w:sz w:val="22"/>
          <w:szCs w:val="24"/>
          <w:rtl/>
        </w:rPr>
        <w:t>ראשית</w:t>
      </w:r>
      <w:r>
        <w:rPr>
          <w:rFonts w:hint="cs"/>
          <w:rtl/>
        </w:rPr>
        <w:t>, לא נשמע טיעון מסודר וממצה בעניין זה על</w:t>
      </w:r>
      <w:r w:rsidR="00E06813">
        <w:rPr>
          <w:rFonts w:hint="cs"/>
          <w:rtl/>
        </w:rPr>
        <w:t>-</w:t>
      </w:r>
      <w:r>
        <w:rPr>
          <w:rFonts w:hint="cs"/>
          <w:rtl/>
        </w:rPr>
        <w:t xml:space="preserve"> ידי המשיבות, אשר בחרו לקצר, ולא להרחיב; </w:t>
      </w:r>
      <w:r w:rsidRPr="007D499E">
        <w:rPr>
          <w:rFonts w:ascii="Century" w:hAnsi="Century" w:cs="Miriam" w:hint="cs"/>
          <w:b/>
          <w:spacing w:val="0"/>
          <w:sz w:val="22"/>
          <w:szCs w:val="24"/>
          <w:rtl/>
        </w:rPr>
        <w:t>שנית</w:t>
      </w:r>
      <w:r>
        <w:rPr>
          <w:rFonts w:hint="cs"/>
          <w:rtl/>
        </w:rPr>
        <w:t xml:space="preserve">, שאלה זו עדיין לא התבררה די הצורך, ונמצאו אף גישות מרחיבות בעניין, גם אם ביחס לסיטואציות שונות מזו שלפנינו, כמפורט לעיל. מכל מקום, מחמת אי-הבהירות, והעדר כלל ברור בעניין, ראיתי מקום להניח, </w:t>
      </w:r>
      <w:r w:rsidR="007B5D21">
        <w:rPr>
          <w:rFonts w:hint="cs"/>
          <w:rtl/>
        </w:rPr>
        <w:t xml:space="preserve">הנחה שאינה מוכרחת כלל, רק </w:t>
      </w:r>
      <w:r>
        <w:rPr>
          <w:rFonts w:hint="cs"/>
          <w:rtl/>
        </w:rPr>
        <w:t>לצורך הדיון, כי פגיעה חוקתית אכן מתקיימת.</w:t>
      </w:r>
    </w:p>
    <w:p w:rsidR="00D512D4" w:rsidRPr="00D32348" w:rsidRDefault="00D512D4" w:rsidP="000B6AE3">
      <w:pPr>
        <w:pStyle w:val="Ruller41"/>
        <w:spacing w:line="240" w:lineRule="auto"/>
      </w:pPr>
    </w:p>
    <w:p w:rsidR="00D512D4" w:rsidRDefault="00D512D4" w:rsidP="007B5D21">
      <w:pPr>
        <w:pStyle w:val="Ruller4"/>
        <w:rPr>
          <w:rtl/>
        </w:rPr>
      </w:pPr>
      <w:r>
        <w:rPr>
          <w:rFonts w:hint="cs"/>
          <w:rtl/>
        </w:rPr>
        <w:t xml:space="preserve">לסיכומו של שלב זה, הנוגע לשאלת הפגיעה החוקתית </w:t>
      </w:r>
      <w:r>
        <w:rPr>
          <w:rtl/>
        </w:rPr>
        <w:t>–</w:t>
      </w:r>
      <w:r>
        <w:rPr>
          <w:rFonts w:hint="cs"/>
          <w:rtl/>
        </w:rPr>
        <w:t xml:space="preserve"> כפי שנהג בית משפט זה בעבר, בזהירות רבה, אנהג אף אני; לא אקבע מסמרות בשאלת התחולה האקסטרה-טריטוריאלית של חוקי-היסוד, ובנוסף, לא אקבע כי זכויותיו של המערער, שאין חולק כי נפגעו, אינן עולות כדי 'זכויות חוקתיות'. יחד עם זאת, הניתוח המשפטי דלעיל לא היה בבחינת 'תורה לשמה' בלבד. יש בו תועלת רבה גם לענייננו. מניתוח זה הראינו לדעת, כי יחסי ה'אויבוּת' שבין מדינת ישראל לרצועת עזה, ובפרט הסכסוך המזוין המתמשך ביניהן, משליכים באופן ישיר על מידת ההגנה החוקת</w:t>
      </w:r>
      <w:r w:rsidR="007B5D21">
        <w:rPr>
          <w:rFonts w:hint="cs"/>
          <w:rtl/>
        </w:rPr>
        <w:t>ית שתינתן לתושבי עזה, מכוח חוקי-</w:t>
      </w:r>
      <w:r>
        <w:rPr>
          <w:rFonts w:hint="cs"/>
          <w:rtl/>
        </w:rPr>
        <w:t>היסוד. אף אם אין בכך</w:t>
      </w:r>
      <w:r w:rsidR="007B5D21">
        <w:rPr>
          <w:rFonts w:hint="cs"/>
          <w:rtl/>
        </w:rPr>
        <w:t xml:space="preserve"> כדי לבטל לחלוטין את תחולת חוקי-</w:t>
      </w:r>
      <w:r>
        <w:rPr>
          <w:rFonts w:hint="cs"/>
          <w:rtl/>
        </w:rPr>
        <w:t xml:space="preserve">היסוד (וכאמור </w:t>
      </w:r>
      <w:r>
        <w:rPr>
          <w:rtl/>
        </w:rPr>
        <w:t>–</w:t>
      </w:r>
      <w:r>
        <w:rPr>
          <w:rFonts w:hint="cs"/>
          <w:rtl/>
        </w:rPr>
        <w:t xml:space="preserve"> אין אני מכריע בכך), יש באמור כדי להקרין על היקף ההגנה שתינתן מכוחם. לכך ימצֵא ביטוי בנוסחאות האיזון החוקתי שבפסקת ההגבלה, שאליהן אעבור עתה.   </w:t>
      </w:r>
    </w:p>
    <w:p w:rsidR="00D512D4" w:rsidRDefault="00D512D4" w:rsidP="00D512D4">
      <w:pPr>
        <w:pStyle w:val="Ruller41"/>
        <w:rPr>
          <w:rtl/>
        </w:rPr>
      </w:pPr>
    </w:p>
    <w:p w:rsidR="00D512D4" w:rsidRPr="005A6C85" w:rsidRDefault="00D512D4" w:rsidP="000067AF">
      <w:pPr>
        <w:pStyle w:val="3"/>
        <w:rPr>
          <w:rtl/>
        </w:rPr>
      </w:pPr>
      <w:bookmarkStart w:id="44" w:name="_Toc107851301"/>
      <w:bookmarkStart w:id="45" w:name="_Toc107851356"/>
      <w:r>
        <w:rPr>
          <w:rFonts w:hint="cs"/>
          <w:rtl/>
        </w:rPr>
        <w:t>ד.</w:t>
      </w:r>
      <w:r w:rsidR="000067AF">
        <w:rPr>
          <w:rFonts w:hint="cs"/>
          <w:rtl/>
        </w:rPr>
        <w:t>2.3.</w:t>
      </w:r>
      <w:r>
        <w:rPr>
          <w:rFonts w:hint="cs"/>
          <w:rtl/>
        </w:rPr>
        <w:t xml:space="preserve"> </w:t>
      </w:r>
      <w:r w:rsidRPr="005A6C85">
        <w:rPr>
          <w:rFonts w:hint="cs"/>
          <w:rtl/>
        </w:rPr>
        <w:t>שלב ב</w:t>
      </w:r>
      <w:r>
        <w:rPr>
          <w:rFonts w:hint="cs"/>
          <w:rtl/>
        </w:rPr>
        <w:t>':</w:t>
      </w:r>
      <w:r w:rsidRPr="005A6C85">
        <w:rPr>
          <w:rFonts w:hint="cs"/>
          <w:rtl/>
        </w:rPr>
        <w:t xml:space="preserve"> פסקת ההגבלה</w:t>
      </w:r>
      <w:bookmarkEnd w:id="44"/>
      <w:bookmarkEnd w:id="45"/>
    </w:p>
    <w:p w:rsidR="00D512D4" w:rsidRDefault="00D512D4" w:rsidP="00E06813">
      <w:pPr>
        <w:pStyle w:val="Ruller4"/>
        <w:rPr>
          <w:rtl/>
        </w:rPr>
      </w:pPr>
      <w:r>
        <w:rPr>
          <w:rFonts w:hint="cs"/>
          <w:rtl/>
        </w:rPr>
        <w:t xml:space="preserve">משקבענו כי סעיף 5ב(א)(1) לחוק פוגע בזכויות-יסוד, ולאור ההנחה הלכאורית כי חוקי-היסוד חלים בנסיבות העניין (מבלי שהכרענו בדבר), מועדות </w:t>
      </w:r>
      <w:r w:rsidR="00E06813">
        <w:rPr>
          <w:rFonts w:hint="cs"/>
          <w:rtl/>
        </w:rPr>
        <w:t xml:space="preserve">פנינו </w:t>
      </w:r>
      <w:r>
        <w:rPr>
          <w:rFonts w:hint="cs"/>
          <w:rtl/>
        </w:rPr>
        <w:t xml:space="preserve">עתה, לשאלה השניה מבין שלבי הניתוח החוקתי: האם הפגיעה נעשתה </w:t>
      </w:r>
      <w:r w:rsidRPr="00B304C0">
        <w:rPr>
          <w:rFonts w:ascii="Century" w:hAnsi="Century" w:cs="Miriam" w:hint="cs"/>
          <w:b/>
          <w:spacing w:val="0"/>
          <w:sz w:val="22"/>
          <w:szCs w:val="24"/>
          <w:rtl/>
        </w:rPr>
        <w:t>כדין</w:t>
      </w:r>
      <w:r w:rsidR="00E06813">
        <w:rPr>
          <w:rFonts w:hint="cs"/>
          <w:rtl/>
        </w:rPr>
        <w:t>?</w:t>
      </w:r>
      <w:r>
        <w:rPr>
          <w:rFonts w:hint="cs"/>
          <w:rtl/>
        </w:rPr>
        <w:t xml:space="preserve"> זאת על-פי פסקת ההגבלה שבסעיף 8 לחוק היסוד, שזו לשונה: </w:t>
      </w:r>
    </w:p>
    <w:p w:rsidR="00D512D4" w:rsidRDefault="00D512D4" w:rsidP="00D512D4">
      <w:pPr>
        <w:pStyle w:val="Ruller41"/>
        <w:rPr>
          <w:rtl/>
        </w:rPr>
      </w:pPr>
    </w:p>
    <w:p w:rsidR="00D512D4" w:rsidRPr="00EB0241" w:rsidRDefault="00D512D4" w:rsidP="008F3FC9">
      <w:pPr>
        <w:pStyle w:val="Ruller5"/>
        <w:spacing w:line="360" w:lineRule="auto"/>
        <w:rPr>
          <w:rFonts w:ascii="Century" w:hAnsi="Century" w:cs="Miriam"/>
          <w:b/>
          <w:spacing w:val="0"/>
          <w:szCs w:val="24"/>
          <w:rtl/>
        </w:rPr>
      </w:pPr>
      <w:r>
        <w:rPr>
          <w:rStyle w:val="default"/>
          <w:rFonts w:ascii="Century" w:hAnsi="Century" w:cs="Miriam" w:hint="cs"/>
          <w:b/>
          <w:spacing w:val="0"/>
          <w:szCs w:val="24"/>
          <w:rtl/>
        </w:rPr>
        <w:t>"</w:t>
      </w:r>
      <w:r w:rsidRPr="00EB0241">
        <w:rPr>
          <w:rStyle w:val="default"/>
          <w:rFonts w:ascii="Century" w:hAnsi="Century" w:cs="Miriam"/>
          <w:b/>
          <w:spacing w:val="0"/>
          <w:szCs w:val="24"/>
          <w:rtl/>
        </w:rPr>
        <w:t>אין פוגעים בזכויות שלפי חוק-יסוד זה אלא בחוק ההולם את ערכיה של מדינת ישראל, שנועד לתכלית ראויה, ובמידה שאינה עולה על הנדרש, או לפי חוק כאמור מכוח הסמכה מפורשת בו</w:t>
      </w:r>
      <w:r>
        <w:rPr>
          <w:rStyle w:val="default"/>
          <w:rFonts w:ascii="Century" w:hAnsi="Century" w:cs="Miriam" w:hint="cs"/>
          <w:b/>
          <w:spacing w:val="0"/>
          <w:szCs w:val="24"/>
          <w:rtl/>
        </w:rPr>
        <w:t>"</w:t>
      </w:r>
      <w:r w:rsidRPr="00D26974">
        <w:rPr>
          <w:rStyle w:val="default"/>
          <w:rFonts w:ascii="Century" w:hAnsi="Century"/>
          <w:rtl/>
        </w:rPr>
        <w:t>.</w:t>
      </w:r>
    </w:p>
    <w:p w:rsidR="00D512D4" w:rsidRPr="00EB0241" w:rsidRDefault="00D512D4" w:rsidP="00944FC1">
      <w:pPr>
        <w:pStyle w:val="Ruller41"/>
        <w:spacing w:line="240" w:lineRule="auto"/>
      </w:pPr>
    </w:p>
    <w:p w:rsidR="00D512D4" w:rsidRDefault="00D512D4" w:rsidP="00DC08A2">
      <w:pPr>
        <w:pStyle w:val="Ruller4"/>
        <w:rPr>
          <w:rtl/>
        </w:rPr>
      </w:pPr>
      <w:r>
        <w:rPr>
          <w:rFonts w:hint="cs"/>
          <w:rtl/>
        </w:rPr>
        <w:t>כידוע, פסקת ההגבלה מביאה לידי ביטוי את התפיסה החוקתית, שלפיה זכויות האדם שבחוק יסוד: כבוד האדם ו</w:t>
      </w:r>
      <w:r w:rsidR="00E06813">
        <w:rPr>
          <w:rFonts w:hint="cs"/>
          <w:rtl/>
        </w:rPr>
        <w:t>חירותו, אינן מוחלטות אלא יחסיות:</w:t>
      </w:r>
      <w:r>
        <w:rPr>
          <w:rFonts w:hint="cs"/>
          <w:rtl/>
        </w:rPr>
        <w:t xml:space="preserve"> </w:t>
      </w:r>
      <w:r w:rsidRPr="00A6451F">
        <w:rPr>
          <w:rFonts w:ascii="Century" w:hAnsi="Century" w:cs="Miriam" w:hint="cs"/>
          <w:b/>
          <w:spacing w:val="0"/>
          <w:sz w:val="22"/>
          <w:szCs w:val="24"/>
          <w:rtl/>
        </w:rPr>
        <w:t>"</w:t>
      </w:r>
      <w:r w:rsidRPr="00A6451F">
        <w:rPr>
          <w:rFonts w:ascii="Century" w:hAnsi="Century" w:cs="Miriam"/>
          <w:b/>
          <w:spacing w:val="0"/>
          <w:sz w:val="22"/>
          <w:szCs w:val="24"/>
          <w:rtl/>
        </w:rPr>
        <w:t>זכויות האדם אינן זוכות להגנת המשפט כדי מלוא היקפן; המבנה החוקתי אינו מאפשר את מימושן של זכויות האדם כדי מלוא פריסתן</w:t>
      </w:r>
      <w:r w:rsidRPr="00A6451F">
        <w:rPr>
          <w:rFonts w:ascii="Century" w:hAnsi="Century" w:cs="Miriam" w:hint="cs"/>
          <w:b/>
          <w:spacing w:val="0"/>
          <w:sz w:val="22"/>
          <w:szCs w:val="24"/>
          <w:rtl/>
        </w:rPr>
        <w:t>"</w:t>
      </w:r>
      <w:r>
        <w:rPr>
          <w:rFonts w:hint="cs"/>
          <w:rtl/>
        </w:rPr>
        <w:t xml:space="preserve"> (עניין </w:t>
      </w:r>
      <w:r w:rsidRPr="00A6451F">
        <w:rPr>
          <w:rFonts w:ascii="Century" w:hAnsi="Century" w:cs="Miriam" w:hint="cs"/>
          <w:b/>
          <w:spacing w:val="0"/>
          <w:sz w:val="22"/>
          <w:szCs w:val="24"/>
          <w:rtl/>
        </w:rPr>
        <w:t>עדאלה</w:t>
      </w:r>
      <w:r>
        <w:rPr>
          <w:rFonts w:hint="cs"/>
          <w:rtl/>
        </w:rPr>
        <w:t xml:space="preserve">, פסקה 26; כן ראו: עניין </w:t>
      </w:r>
      <w:r w:rsidRPr="00A6451F">
        <w:rPr>
          <w:rFonts w:ascii="Century" w:hAnsi="Century" w:cs="Miriam" w:hint="cs"/>
          <w:b/>
          <w:spacing w:val="0"/>
          <w:sz w:val="22"/>
          <w:szCs w:val="24"/>
          <w:rtl/>
        </w:rPr>
        <w:t>בנק המזרחי</w:t>
      </w:r>
      <w:r>
        <w:rPr>
          <w:rFonts w:hint="cs"/>
          <w:rtl/>
        </w:rPr>
        <w:t xml:space="preserve">, עמוד 433; עניין </w:t>
      </w:r>
      <w:r w:rsidRPr="00A6451F">
        <w:rPr>
          <w:rFonts w:ascii="Century" w:hAnsi="Century" w:cs="Miriam" w:hint="cs"/>
          <w:b/>
          <w:spacing w:val="0"/>
          <w:sz w:val="22"/>
          <w:szCs w:val="24"/>
          <w:rtl/>
        </w:rPr>
        <w:t>חוק טל</w:t>
      </w:r>
      <w:r>
        <w:rPr>
          <w:rFonts w:hint="cs"/>
          <w:rtl/>
        </w:rPr>
        <w:t xml:space="preserve">, פסקה 45 לפסק-דינו של הנשיא </w:t>
      </w:r>
      <w:r w:rsidRPr="000821BB">
        <w:rPr>
          <w:rFonts w:ascii="Century" w:hAnsi="Century" w:cs="Miriam" w:hint="eastAsia"/>
          <w:b/>
          <w:spacing w:val="0"/>
          <w:sz w:val="22"/>
          <w:szCs w:val="24"/>
          <w:rtl/>
        </w:rPr>
        <w:t>ברק</w:t>
      </w:r>
      <w:r>
        <w:rPr>
          <w:rFonts w:hint="cs"/>
          <w:rtl/>
        </w:rPr>
        <w:t xml:space="preserve">; עניין </w:t>
      </w:r>
      <w:r w:rsidRPr="00A6451F">
        <w:rPr>
          <w:rFonts w:ascii="Century" w:hAnsi="Century" w:cs="Miriam" w:hint="cs"/>
          <w:b/>
          <w:spacing w:val="0"/>
          <w:sz w:val="22"/>
          <w:szCs w:val="24"/>
          <w:rtl/>
        </w:rPr>
        <w:t>חסן</w:t>
      </w:r>
      <w:r>
        <w:rPr>
          <w:rFonts w:hint="cs"/>
          <w:rtl/>
        </w:rPr>
        <w:t xml:space="preserve">, פסקה 52; </w:t>
      </w:r>
      <w:r w:rsidRPr="009F2D66">
        <w:rPr>
          <w:rFonts w:ascii="Century" w:hAnsi="Century" w:cs="Miriam" w:hint="cs"/>
          <w:b/>
          <w:spacing w:val="0"/>
          <w:sz w:val="22"/>
          <w:szCs w:val="24"/>
          <w:rtl/>
        </w:rPr>
        <w:t>ברק</w:t>
      </w:r>
      <w:r>
        <w:rPr>
          <w:rFonts w:ascii="Century" w:hAnsi="Century" w:cs="Miriam" w:hint="cs"/>
          <w:b/>
          <w:spacing w:val="0"/>
          <w:sz w:val="22"/>
          <w:szCs w:val="24"/>
          <w:rtl/>
        </w:rPr>
        <w:t xml:space="preserve"> </w:t>
      </w:r>
      <w:r w:rsidRPr="000821BB">
        <w:rPr>
          <w:rFonts w:ascii="Century" w:hAnsi="Century"/>
          <w:sz w:val="22"/>
          <w:rtl/>
        </w:rPr>
        <w:t>–</w:t>
      </w:r>
      <w:r>
        <w:rPr>
          <w:rFonts w:ascii="Century" w:hAnsi="Century" w:cs="Miriam" w:hint="cs"/>
          <w:b/>
          <w:spacing w:val="0"/>
          <w:sz w:val="22"/>
          <w:szCs w:val="24"/>
          <w:rtl/>
        </w:rPr>
        <w:t xml:space="preserve"> </w:t>
      </w:r>
      <w:r w:rsidRPr="009F2D66">
        <w:rPr>
          <w:rFonts w:ascii="Century" w:hAnsi="Century" w:cs="Miriam" w:hint="cs"/>
          <w:b/>
          <w:spacing w:val="0"/>
          <w:sz w:val="22"/>
          <w:szCs w:val="24"/>
          <w:rtl/>
        </w:rPr>
        <w:t>פרשנות חוקתית</w:t>
      </w:r>
      <w:r>
        <w:rPr>
          <w:rFonts w:hint="cs"/>
          <w:rtl/>
        </w:rPr>
        <w:t xml:space="preserve">, עמודים 487-486). פסקת ההגבלה מעמידה 4 תנאים מצטברים: </w:t>
      </w:r>
      <w:r w:rsidRPr="00A6451F">
        <w:rPr>
          <w:rFonts w:ascii="FrankRuehl" w:hAnsi="FrankRuehl"/>
          <w:color w:val="000000"/>
          <w:sz w:val="28"/>
          <w:rtl/>
        </w:rPr>
        <w:t xml:space="preserve">(א) </w:t>
      </w:r>
      <w:r>
        <w:rPr>
          <w:rFonts w:ascii="FrankRuehl" w:hAnsi="FrankRuehl" w:hint="cs"/>
          <w:color w:val="000000"/>
          <w:sz w:val="28"/>
          <w:rtl/>
        </w:rPr>
        <w:t xml:space="preserve">כי </w:t>
      </w:r>
      <w:r w:rsidRPr="00A6451F">
        <w:rPr>
          <w:rFonts w:ascii="FrankRuehl" w:hAnsi="FrankRuehl"/>
          <w:color w:val="000000"/>
          <w:sz w:val="28"/>
          <w:rtl/>
        </w:rPr>
        <w:t xml:space="preserve">הפגיעה בזכות האדם </w:t>
      </w:r>
      <w:r>
        <w:rPr>
          <w:rFonts w:ascii="FrankRuehl" w:hAnsi="FrankRuehl" w:hint="cs"/>
          <w:color w:val="000000"/>
          <w:sz w:val="28"/>
          <w:rtl/>
        </w:rPr>
        <w:t xml:space="preserve">תֵעשה </w:t>
      </w:r>
      <w:r w:rsidRPr="00A6451F">
        <w:rPr>
          <w:rFonts w:ascii="FrankRuehl" w:hAnsi="FrankRuehl"/>
          <w:color w:val="000000"/>
          <w:sz w:val="28"/>
          <w:rtl/>
        </w:rPr>
        <w:t xml:space="preserve">בחוק או </w:t>
      </w:r>
      <w:r>
        <w:rPr>
          <w:rFonts w:ascii="FrankRuehl" w:hAnsi="FrankRuehl" w:hint="cs"/>
          <w:color w:val="000000"/>
          <w:sz w:val="28"/>
          <w:rtl/>
        </w:rPr>
        <w:t>ע</w:t>
      </w:r>
      <w:r w:rsidRPr="00A6451F">
        <w:rPr>
          <w:rFonts w:ascii="FrankRuehl" w:hAnsi="FrankRuehl"/>
          <w:color w:val="000000"/>
          <w:sz w:val="28"/>
          <w:rtl/>
        </w:rPr>
        <w:t>ל</w:t>
      </w:r>
      <w:r>
        <w:rPr>
          <w:rFonts w:ascii="FrankRuehl" w:hAnsi="FrankRuehl" w:hint="cs"/>
          <w:color w:val="000000"/>
          <w:sz w:val="28"/>
          <w:rtl/>
        </w:rPr>
        <w:t>-</w:t>
      </w:r>
      <w:r w:rsidRPr="00A6451F">
        <w:rPr>
          <w:rFonts w:ascii="FrankRuehl" w:hAnsi="FrankRuehl"/>
          <w:color w:val="000000"/>
          <w:sz w:val="28"/>
          <w:rtl/>
        </w:rPr>
        <w:t>פי</w:t>
      </w:r>
      <w:r>
        <w:rPr>
          <w:rFonts w:ascii="FrankRuehl" w:hAnsi="FrankRuehl" w:hint="cs"/>
          <w:color w:val="000000"/>
          <w:sz w:val="28"/>
          <w:rtl/>
        </w:rPr>
        <w:t>ו,</w:t>
      </w:r>
      <w:r w:rsidRPr="00A6451F">
        <w:rPr>
          <w:rFonts w:ascii="FrankRuehl" w:hAnsi="FrankRuehl"/>
          <w:color w:val="000000"/>
          <w:sz w:val="28"/>
          <w:rtl/>
        </w:rPr>
        <w:t xml:space="preserve"> ומכוח הסמכה מפורשת בו; (ב) </w:t>
      </w:r>
      <w:r>
        <w:rPr>
          <w:rFonts w:ascii="FrankRuehl" w:hAnsi="FrankRuehl" w:hint="cs"/>
          <w:color w:val="000000"/>
          <w:sz w:val="28"/>
          <w:rtl/>
        </w:rPr>
        <w:t xml:space="preserve">כי </w:t>
      </w:r>
      <w:r w:rsidRPr="00A6451F">
        <w:rPr>
          <w:rFonts w:ascii="FrankRuehl" w:hAnsi="FrankRuehl"/>
          <w:color w:val="000000"/>
          <w:sz w:val="28"/>
          <w:rtl/>
        </w:rPr>
        <w:t xml:space="preserve">החוק הפוגע </w:t>
      </w:r>
      <w:r>
        <w:rPr>
          <w:rFonts w:ascii="FrankRuehl" w:hAnsi="FrankRuehl" w:hint="cs"/>
          <w:color w:val="000000"/>
          <w:sz w:val="28"/>
          <w:rtl/>
        </w:rPr>
        <w:t>י</w:t>
      </w:r>
      <w:r w:rsidRPr="00A6451F">
        <w:rPr>
          <w:rFonts w:ascii="FrankRuehl" w:hAnsi="FrankRuehl"/>
          <w:color w:val="000000"/>
          <w:sz w:val="28"/>
          <w:rtl/>
        </w:rPr>
        <w:t xml:space="preserve">הלום את ערכיה של מדינת ישראל; (ג) </w:t>
      </w:r>
      <w:r>
        <w:rPr>
          <w:rFonts w:ascii="FrankRuehl" w:hAnsi="FrankRuehl" w:hint="cs"/>
          <w:color w:val="000000"/>
          <w:sz w:val="28"/>
          <w:rtl/>
        </w:rPr>
        <w:t xml:space="preserve">כי ישמש להשגת </w:t>
      </w:r>
      <w:r w:rsidRPr="00A6451F">
        <w:rPr>
          <w:rFonts w:ascii="FrankRuehl" w:hAnsi="FrankRuehl"/>
          <w:color w:val="000000"/>
          <w:sz w:val="28"/>
          <w:rtl/>
        </w:rPr>
        <w:t xml:space="preserve">תכלית ראויה; (ד) </w:t>
      </w:r>
      <w:r>
        <w:rPr>
          <w:rFonts w:ascii="FrankRuehl" w:hAnsi="FrankRuehl" w:hint="cs"/>
          <w:color w:val="000000"/>
          <w:sz w:val="28"/>
          <w:rtl/>
        </w:rPr>
        <w:t xml:space="preserve">כי פגיעתו </w:t>
      </w:r>
      <w:r w:rsidRPr="00A6451F">
        <w:rPr>
          <w:rFonts w:ascii="FrankRuehl" w:hAnsi="FrankRuehl"/>
          <w:color w:val="000000"/>
          <w:sz w:val="28"/>
          <w:rtl/>
        </w:rPr>
        <w:t xml:space="preserve">בזכות האדם </w:t>
      </w:r>
      <w:r>
        <w:rPr>
          <w:rFonts w:ascii="FrankRuehl" w:hAnsi="FrankRuehl" w:hint="cs"/>
          <w:color w:val="000000"/>
          <w:sz w:val="28"/>
          <w:rtl/>
        </w:rPr>
        <w:t xml:space="preserve">תהא </w:t>
      </w:r>
      <w:r w:rsidRPr="00A6451F">
        <w:rPr>
          <w:rFonts w:ascii="FrankRuehl" w:hAnsi="FrankRuehl"/>
          <w:color w:val="000000"/>
          <w:sz w:val="28"/>
          <w:rtl/>
        </w:rPr>
        <w:t>במידה שאינה עולה על הנדר</w:t>
      </w:r>
      <w:r w:rsidRPr="00A6451F">
        <w:rPr>
          <w:rFonts w:ascii="FrankRuehl" w:hAnsi="FrankRuehl" w:hint="cs"/>
          <w:color w:val="000000"/>
          <w:sz w:val="28"/>
          <w:rtl/>
        </w:rPr>
        <w:t>ש (ראו למשל</w:t>
      </w:r>
      <w:r>
        <w:rPr>
          <w:rFonts w:ascii="FrankRuehl" w:hAnsi="FrankRuehl" w:hint="cs"/>
          <w:color w:val="000000"/>
          <w:sz w:val="28"/>
          <w:rtl/>
        </w:rPr>
        <w:t>:</w:t>
      </w:r>
      <w:r w:rsidRPr="00A6451F">
        <w:rPr>
          <w:rFonts w:ascii="FrankRuehl" w:hAnsi="FrankRuehl" w:hint="cs"/>
          <w:color w:val="000000"/>
          <w:sz w:val="28"/>
          <w:rtl/>
        </w:rPr>
        <w:t xml:space="preserve"> ענין </w:t>
      </w:r>
      <w:r w:rsidRPr="00A6451F">
        <w:rPr>
          <w:rFonts w:ascii="Century" w:hAnsi="Century" w:cs="Miriam" w:hint="cs"/>
          <w:b/>
          <w:spacing w:val="0"/>
          <w:sz w:val="22"/>
          <w:szCs w:val="24"/>
          <w:rtl/>
        </w:rPr>
        <w:t>חוק טל</w:t>
      </w:r>
      <w:r w:rsidRPr="00A6451F">
        <w:rPr>
          <w:rFonts w:ascii="FrankRuehl" w:hAnsi="FrankRuehl" w:hint="cs"/>
          <w:color w:val="000000"/>
          <w:sz w:val="28"/>
          <w:rtl/>
        </w:rPr>
        <w:t>, פסקה 47</w:t>
      </w:r>
      <w:r>
        <w:rPr>
          <w:rFonts w:ascii="FrankRuehl" w:hAnsi="FrankRuehl" w:hint="cs"/>
          <w:color w:val="000000"/>
          <w:sz w:val="28"/>
          <w:rtl/>
        </w:rPr>
        <w:t xml:space="preserve">; </w:t>
      </w:r>
      <w:r w:rsidRPr="009F2D66">
        <w:rPr>
          <w:rFonts w:ascii="Century" w:hAnsi="Century" w:cs="Miriam" w:hint="cs"/>
          <w:b/>
          <w:spacing w:val="0"/>
          <w:sz w:val="22"/>
          <w:szCs w:val="24"/>
          <w:rtl/>
        </w:rPr>
        <w:t>ברק</w:t>
      </w:r>
      <w:r>
        <w:rPr>
          <w:rFonts w:ascii="Century" w:hAnsi="Century" w:cs="Miriam" w:hint="cs"/>
          <w:b/>
          <w:spacing w:val="0"/>
          <w:sz w:val="22"/>
          <w:szCs w:val="24"/>
          <w:rtl/>
        </w:rPr>
        <w:t xml:space="preserve"> </w:t>
      </w:r>
      <w:r w:rsidRPr="000821BB">
        <w:rPr>
          <w:rFonts w:ascii="Century" w:hAnsi="Century"/>
          <w:sz w:val="22"/>
          <w:rtl/>
        </w:rPr>
        <w:t>–</w:t>
      </w:r>
      <w:r>
        <w:rPr>
          <w:rFonts w:ascii="Century" w:hAnsi="Century" w:cs="Miriam" w:hint="cs"/>
          <w:b/>
          <w:spacing w:val="0"/>
          <w:sz w:val="22"/>
          <w:szCs w:val="24"/>
          <w:rtl/>
        </w:rPr>
        <w:t xml:space="preserve"> </w:t>
      </w:r>
      <w:r w:rsidRPr="009F2D66">
        <w:rPr>
          <w:rFonts w:ascii="Century" w:hAnsi="Century" w:cs="Miriam" w:hint="cs"/>
          <w:b/>
          <w:spacing w:val="0"/>
          <w:sz w:val="22"/>
          <w:szCs w:val="24"/>
          <w:rtl/>
        </w:rPr>
        <w:t>פרשנות חוקתית</w:t>
      </w:r>
      <w:r>
        <w:rPr>
          <w:rFonts w:hint="cs"/>
          <w:rtl/>
        </w:rPr>
        <w:t>, עמודים 489-488</w:t>
      </w:r>
      <w:r w:rsidRPr="009F2D66">
        <w:rPr>
          <w:rFonts w:ascii="FrankRuehl" w:hAnsi="FrankRuehl" w:hint="cs"/>
          <w:color w:val="000000"/>
          <w:sz w:val="28"/>
          <w:rtl/>
        </w:rPr>
        <w:t>).</w:t>
      </w:r>
      <w:r>
        <w:rPr>
          <w:rFonts w:hint="cs"/>
          <w:rtl/>
        </w:rPr>
        <w:t xml:space="preserve"> נבחן אפוא את הוראות סעיף החוק שבענייננו, על-פי 4 מבחנים אלו, כסדרם.</w:t>
      </w:r>
    </w:p>
    <w:p w:rsidR="00D512D4" w:rsidRDefault="00D512D4" w:rsidP="00944FC1">
      <w:pPr>
        <w:pStyle w:val="Ruller41"/>
        <w:spacing w:line="240" w:lineRule="auto"/>
        <w:rPr>
          <w:rtl/>
        </w:rPr>
      </w:pPr>
    </w:p>
    <w:p w:rsidR="00D512D4" w:rsidRDefault="00D512D4" w:rsidP="000067AF">
      <w:pPr>
        <w:pStyle w:val="4"/>
        <w:rPr>
          <w:rtl/>
        </w:rPr>
      </w:pPr>
      <w:bookmarkStart w:id="46" w:name="_Toc107851302"/>
      <w:bookmarkStart w:id="47" w:name="_Toc107851357"/>
      <w:r>
        <w:rPr>
          <w:rFonts w:hint="cs"/>
          <w:rtl/>
        </w:rPr>
        <w:t>ד.</w:t>
      </w:r>
      <w:r w:rsidR="000067AF">
        <w:rPr>
          <w:rFonts w:hint="cs"/>
          <w:rtl/>
        </w:rPr>
        <w:t xml:space="preserve">1.2.3. </w:t>
      </w:r>
      <w:r w:rsidRPr="007C3B69">
        <w:rPr>
          <w:rFonts w:hint="cs"/>
          <w:rtl/>
        </w:rPr>
        <w:t xml:space="preserve">הפגיעה </w:t>
      </w:r>
      <w:r>
        <w:rPr>
          <w:rFonts w:hint="cs"/>
          <w:rtl/>
        </w:rPr>
        <w:t xml:space="preserve">בזכות האדם </w:t>
      </w:r>
      <w:r w:rsidRPr="007C3B69">
        <w:rPr>
          <w:rFonts w:hint="cs"/>
          <w:rtl/>
        </w:rPr>
        <w:t>נעשת</w:t>
      </w:r>
      <w:r>
        <w:rPr>
          <w:rFonts w:hint="cs"/>
          <w:rtl/>
        </w:rPr>
        <w:t>ה</w:t>
      </w:r>
      <w:r w:rsidRPr="007C3B69">
        <w:rPr>
          <w:rFonts w:hint="cs"/>
          <w:rtl/>
        </w:rPr>
        <w:t xml:space="preserve"> בחוק</w:t>
      </w:r>
      <w:bookmarkEnd w:id="46"/>
      <w:bookmarkEnd w:id="47"/>
    </w:p>
    <w:p w:rsidR="00D512D4" w:rsidRDefault="00D512D4" w:rsidP="00811B3D">
      <w:pPr>
        <w:pStyle w:val="Ruller4"/>
      </w:pPr>
      <w:r>
        <w:rPr>
          <w:rFonts w:hint="cs"/>
          <w:rtl/>
        </w:rPr>
        <w:t xml:space="preserve">נקל להבחין, כי סעיף החוק דנן, צולח מבחן זה בקלות יתרה: סעיף 5ב(א)(1) לחוק, אשר </w:t>
      </w:r>
      <w:r w:rsidR="007B5D21">
        <w:rPr>
          <w:rFonts w:hint="cs"/>
          <w:rtl/>
        </w:rPr>
        <w:t xml:space="preserve">נחקק </w:t>
      </w:r>
      <w:r>
        <w:rPr>
          <w:rFonts w:hint="cs"/>
          <w:rtl/>
        </w:rPr>
        <w:t xml:space="preserve">במסגרת תיקון מספר 8 </w:t>
      </w:r>
      <w:r>
        <w:rPr>
          <w:rtl/>
        </w:rPr>
        <w:t>–</w:t>
      </w:r>
      <w:r>
        <w:rPr>
          <w:rFonts w:hint="cs"/>
          <w:rtl/>
        </w:rPr>
        <w:t xml:space="preserve"> </w:t>
      </w:r>
      <w:r w:rsidR="007B5D21">
        <w:rPr>
          <w:rFonts w:hint="cs"/>
          <w:rtl/>
        </w:rPr>
        <w:t xml:space="preserve">הריהו </w:t>
      </w:r>
      <w:r w:rsidRPr="00EB4D87">
        <w:rPr>
          <w:rFonts w:ascii="Century" w:hAnsi="Century" w:cs="Miriam" w:hint="cs"/>
          <w:b/>
          <w:spacing w:val="0"/>
          <w:sz w:val="22"/>
          <w:szCs w:val="24"/>
          <w:rtl/>
        </w:rPr>
        <w:t>חוק</w:t>
      </w:r>
      <w:r>
        <w:rPr>
          <w:rFonts w:hint="cs"/>
          <w:rtl/>
        </w:rPr>
        <w:t xml:space="preserve"> בישראל, כאשר גם צו הנזיקים האזרחיים, שהו</w:t>
      </w:r>
      <w:r w:rsidR="00167470">
        <w:rPr>
          <w:rFonts w:hint="cs"/>
          <w:rtl/>
        </w:rPr>
        <w:t>ּ</w:t>
      </w:r>
      <w:r>
        <w:rPr>
          <w:rFonts w:hint="cs"/>
          <w:rtl/>
        </w:rPr>
        <w:t xml:space="preserve">צא מכוחו </w:t>
      </w:r>
      <w:r>
        <w:rPr>
          <w:rtl/>
        </w:rPr>
        <w:t>–</w:t>
      </w:r>
      <w:r>
        <w:rPr>
          <w:rFonts w:hint="cs"/>
          <w:rtl/>
        </w:rPr>
        <w:t xml:space="preserve"> ניתן </w:t>
      </w:r>
      <w:r w:rsidRPr="00EB4D87">
        <w:rPr>
          <w:rFonts w:ascii="Century" w:hAnsi="Century" w:cs="Miriam" w:hint="cs"/>
          <w:b/>
          <w:spacing w:val="0"/>
          <w:sz w:val="22"/>
          <w:szCs w:val="24"/>
          <w:rtl/>
        </w:rPr>
        <w:t>"מכוח הסמכה מפורשת בו"</w:t>
      </w:r>
      <w:r>
        <w:rPr>
          <w:rFonts w:hint="cs"/>
          <w:rtl/>
        </w:rPr>
        <w:t xml:space="preserve">. כמו כן, התיקון האמור עבר </w:t>
      </w:r>
      <w:r w:rsidRPr="00EB4D87">
        <w:rPr>
          <w:rFonts w:ascii="Century" w:hAnsi="Century" w:cs="Miriam" w:hint="cs"/>
          <w:b/>
          <w:spacing w:val="0"/>
          <w:sz w:val="22"/>
          <w:szCs w:val="24"/>
          <w:rtl/>
        </w:rPr>
        <w:t>"</w:t>
      </w:r>
      <w:r w:rsidRPr="00EB4D87">
        <w:rPr>
          <w:rFonts w:ascii="Century" w:hAnsi="Century" w:cs="Miriam"/>
          <w:b/>
          <w:spacing w:val="0"/>
          <w:sz w:val="22"/>
          <w:szCs w:val="24"/>
          <w:rtl/>
        </w:rPr>
        <w:t>הליך ראוי וסדור של עיון ודיון, מחשבה, ויכוח והסכ</w:t>
      </w:r>
      <w:r w:rsidRPr="00EB4D87">
        <w:rPr>
          <w:rFonts w:ascii="Century" w:hAnsi="Century" w:cs="Miriam" w:hint="cs"/>
          <w:b/>
          <w:spacing w:val="0"/>
          <w:sz w:val="22"/>
          <w:szCs w:val="24"/>
          <w:rtl/>
        </w:rPr>
        <w:t>מה"</w:t>
      </w:r>
      <w:r w:rsidRPr="00EB4D87">
        <w:rPr>
          <w:rFonts w:ascii="FrankRuehl" w:hAnsi="FrankRuehl" w:hint="cs"/>
          <w:color w:val="000000"/>
          <w:sz w:val="28"/>
          <w:rtl/>
        </w:rPr>
        <w:t xml:space="preserve"> (עניין </w:t>
      </w:r>
      <w:r w:rsidRPr="00EB4D87">
        <w:rPr>
          <w:rFonts w:ascii="Century" w:hAnsi="Century" w:cs="Miriam" w:hint="cs"/>
          <w:b/>
          <w:spacing w:val="0"/>
          <w:sz w:val="22"/>
          <w:szCs w:val="24"/>
          <w:rtl/>
        </w:rPr>
        <w:t>קוונטינסקי</w:t>
      </w:r>
      <w:r w:rsidRPr="00EB4D87">
        <w:rPr>
          <w:rFonts w:ascii="FrankRuehl" w:hAnsi="FrankRuehl" w:hint="cs"/>
          <w:color w:val="000000"/>
          <w:sz w:val="28"/>
          <w:rtl/>
        </w:rPr>
        <w:t>, פסקה 38</w:t>
      </w:r>
      <w:r>
        <w:rPr>
          <w:rFonts w:ascii="FrankRuehl" w:hAnsi="FrankRuehl" w:hint="cs"/>
          <w:color w:val="000000"/>
          <w:sz w:val="28"/>
          <w:rtl/>
        </w:rPr>
        <w:t xml:space="preserve"> לפסק-דיני</w:t>
      </w:r>
      <w:r w:rsidRPr="00EB4D87">
        <w:rPr>
          <w:rFonts w:ascii="FrankRuehl" w:hAnsi="FrankRuehl" w:hint="cs"/>
          <w:color w:val="000000"/>
          <w:sz w:val="28"/>
          <w:rtl/>
        </w:rPr>
        <w:t xml:space="preserve">, והשוו לעניין </w:t>
      </w:r>
      <w:r>
        <w:rPr>
          <w:rFonts w:ascii="FrankRuehl" w:hAnsi="FrankRuehl" w:hint="cs"/>
          <w:color w:val="000000"/>
          <w:sz w:val="28"/>
          <w:rtl/>
        </w:rPr>
        <w:t>ה</w:t>
      </w:r>
      <w:r w:rsidRPr="00EB4D87">
        <w:rPr>
          <w:rFonts w:ascii="FrankRuehl" w:hAnsi="FrankRuehl" w:hint="cs"/>
          <w:color w:val="000000"/>
          <w:sz w:val="28"/>
          <w:rtl/>
        </w:rPr>
        <w:t>נדון שם)</w:t>
      </w:r>
      <w:r>
        <w:rPr>
          <w:rFonts w:hint="cs"/>
          <w:rtl/>
        </w:rPr>
        <w:t>. ועדת חוקה חוק ומשפט של כנסת ישראל ישבה על המדוכה, הקדישה לתיקון האמור 4 ישיבות ארוכות, לרוממו לגדלו ולפארו, ולדון בכל תגיו ופרטיו. מדובר בחוק כללי, פומבי, שפורסם כדבעי. אין לי אלא לתמוה על טענת המערער כי אין לפנינו חוק;</w:t>
      </w:r>
      <w:r w:rsidRPr="007222A2">
        <w:rPr>
          <w:rFonts w:hint="cs"/>
          <w:rtl/>
        </w:rPr>
        <w:t xml:space="preserve"> </w:t>
      </w:r>
      <w:r w:rsidRPr="00B053C8">
        <w:rPr>
          <w:rFonts w:ascii="Century" w:hAnsi="Century" w:cs="Miriam" w:hint="cs"/>
          <w:b/>
          <w:spacing w:val="0"/>
          <w:sz w:val="22"/>
          <w:szCs w:val="24"/>
          <w:rtl/>
        </w:rPr>
        <w:t>"אין מקרא יוצא מידי פשוטו"</w:t>
      </w:r>
      <w:r>
        <w:rPr>
          <w:rFonts w:hint="cs"/>
          <w:rtl/>
        </w:rPr>
        <w:t xml:space="preserve"> (</w:t>
      </w:r>
      <w:r>
        <w:rPr>
          <w:rFonts w:ascii="Century" w:hAnsi="Century" w:hint="cs"/>
          <w:sz w:val="22"/>
          <w:rtl/>
        </w:rPr>
        <w:t xml:space="preserve">בבלי, </w:t>
      </w:r>
      <w:r w:rsidRPr="000821BB">
        <w:rPr>
          <w:rFonts w:ascii="Century" w:hAnsi="Century" w:hint="eastAsia"/>
          <w:sz w:val="22"/>
          <w:rtl/>
        </w:rPr>
        <w:t>שבת</w:t>
      </w:r>
      <w:r w:rsidRPr="000821BB">
        <w:rPr>
          <w:rFonts w:ascii="Century" w:hAnsi="Century"/>
          <w:sz w:val="22"/>
          <w:rtl/>
        </w:rPr>
        <w:t xml:space="preserve"> </w:t>
      </w:r>
      <w:r w:rsidRPr="000821BB">
        <w:rPr>
          <w:rFonts w:ascii="Century" w:hAnsi="Century" w:hint="eastAsia"/>
          <w:sz w:val="22"/>
          <w:rtl/>
        </w:rPr>
        <w:t>סג</w:t>
      </w:r>
      <w:r>
        <w:rPr>
          <w:rFonts w:hint="cs"/>
          <w:rtl/>
        </w:rPr>
        <w:t xml:space="preserve">, ע"א). גם אם אניח שהחוק כוללני וגורף יתר על המידה, כטענת המערער, אין בכך כדי להוציאו מידי </w:t>
      </w:r>
      <w:r w:rsidRPr="00543584">
        <w:rPr>
          <w:rFonts w:ascii="Century" w:hAnsi="Century" w:hint="eastAsia"/>
          <w:sz w:val="22"/>
          <w:rtl/>
        </w:rPr>
        <w:t>חוק</w:t>
      </w:r>
      <w:r w:rsidRPr="00543584">
        <w:rPr>
          <w:rFonts w:ascii="Century" w:hAnsi="Century" w:hint="cs"/>
          <w:sz w:val="22"/>
          <w:rtl/>
        </w:rPr>
        <w:t>:</w:t>
      </w:r>
      <w:r>
        <w:rPr>
          <w:rFonts w:hint="cs"/>
          <w:rtl/>
        </w:rPr>
        <w:t xml:space="preserve"> </w:t>
      </w:r>
      <w:r w:rsidRPr="00EB4D87">
        <w:rPr>
          <w:rFonts w:ascii="Century" w:hAnsi="Century" w:cs="Miriam" w:hint="cs"/>
          <w:b/>
          <w:spacing w:val="0"/>
          <w:sz w:val="22"/>
          <w:szCs w:val="24"/>
          <w:rtl/>
        </w:rPr>
        <w:t xml:space="preserve">"אמת, המרכיב של </w:t>
      </w:r>
      <w:r>
        <w:rPr>
          <w:rFonts w:ascii="Century" w:hAnsi="Century" w:cs="Miriam" w:hint="cs"/>
          <w:b/>
          <w:spacing w:val="0"/>
          <w:sz w:val="22"/>
          <w:szCs w:val="24"/>
          <w:rtl/>
        </w:rPr>
        <w:t>'</w:t>
      </w:r>
      <w:r w:rsidRPr="00EB4D87">
        <w:rPr>
          <w:rFonts w:ascii="Century" w:hAnsi="Century" w:cs="Miriam" w:hint="cs"/>
          <w:b/>
          <w:spacing w:val="0"/>
          <w:sz w:val="22"/>
          <w:szCs w:val="24"/>
          <w:rtl/>
        </w:rPr>
        <w:t>בחוק</w:t>
      </w:r>
      <w:r>
        <w:rPr>
          <w:rFonts w:ascii="Century" w:hAnsi="Century" w:cs="Miriam" w:hint="cs"/>
          <w:b/>
          <w:spacing w:val="0"/>
          <w:sz w:val="22"/>
          <w:szCs w:val="24"/>
          <w:rtl/>
        </w:rPr>
        <w:t>'</w:t>
      </w:r>
      <w:r w:rsidRPr="00EB4D87">
        <w:rPr>
          <w:rFonts w:ascii="Century" w:hAnsi="Century" w:cs="Miriam" w:hint="cs"/>
          <w:b/>
          <w:spacing w:val="0"/>
          <w:sz w:val="22"/>
          <w:szCs w:val="24"/>
          <w:rtl/>
        </w:rPr>
        <w:t xml:space="preserve"> או </w:t>
      </w:r>
      <w:r>
        <w:rPr>
          <w:rFonts w:ascii="Century" w:hAnsi="Century" w:cs="Miriam" w:hint="cs"/>
          <w:b/>
          <w:spacing w:val="0"/>
          <w:sz w:val="22"/>
          <w:szCs w:val="24"/>
          <w:rtl/>
        </w:rPr>
        <w:t>'</w:t>
      </w:r>
      <w:r w:rsidRPr="00EB4D87">
        <w:rPr>
          <w:rFonts w:ascii="Century" w:hAnsi="Century" w:cs="Miriam" w:hint="cs"/>
          <w:b/>
          <w:spacing w:val="0"/>
          <w:sz w:val="22"/>
          <w:szCs w:val="24"/>
          <w:rtl/>
        </w:rPr>
        <w:t>לפי חוק</w:t>
      </w:r>
      <w:r>
        <w:rPr>
          <w:rFonts w:ascii="Century" w:hAnsi="Century" w:cs="Miriam" w:hint="cs"/>
          <w:b/>
          <w:spacing w:val="0"/>
          <w:sz w:val="22"/>
          <w:szCs w:val="24"/>
          <w:rtl/>
        </w:rPr>
        <w:t>'</w:t>
      </w:r>
      <w:r w:rsidRPr="00EB4D87">
        <w:rPr>
          <w:rFonts w:ascii="Century" w:hAnsi="Century" w:cs="Miriam" w:hint="cs"/>
          <w:b/>
          <w:spacing w:val="0"/>
          <w:sz w:val="22"/>
          <w:szCs w:val="24"/>
          <w:rtl/>
        </w:rPr>
        <w:t xml:space="preserve"> אינו מרכיב מהותי (מרחיב) ואין הוא קובע את הדרישות התוכניות המוטלות על כל חוק או חקיקת משנה המגבילים זכות אדם. לשם כך קיימים הרכיבים הנוספים של פסקת ההגבלה"</w:t>
      </w:r>
      <w:r>
        <w:rPr>
          <w:rFonts w:hint="cs"/>
          <w:rtl/>
        </w:rPr>
        <w:t xml:space="preserve"> (</w:t>
      </w:r>
      <w:r w:rsidRPr="00EB4D87">
        <w:rPr>
          <w:rFonts w:ascii="Century" w:hAnsi="Century" w:cs="Miriam" w:hint="cs"/>
          <w:b/>
          <w:spacing w:val="0"/>
          <w:sz w:val="22"/>
          <w:szCs w:val="24"/>
          <w:rtl/>
        </w:rPr>
        <w:t>ברק</w:t>
      </w:r>
      <w:r>
        <w:rPr>
          <w:rFonts w:ascii="Century" w:hAnsi="Century" w:cs="Miriam" w:hint="cs"/>
          <w:b/>
          <w:spacing w:val="0"/>
          <w:sz w:val="22"/>
          <w:szCs w:val="24"/>
          <w:rtl/>
        </w:rPr>
        <w:t xml:space="preserve"> </w:t>
      </w:r>
      <w:r w:rsidRPr="000821BB">
        <w:rPr>
          <w:rFonts w:ascii="Century" w:hAnsi="Century"/>
          <w:sz w:val="22"/>
          <w:rtl/>
        </w:rPr>
        <w:t>–</w:t>
      </w:r>
      <w:r>
        <w:rPr>
          <w:rFonts w:ascii="Century" w:hAnsi="Century" w:cs="Miriam" w:hint="cs"/>
          <w:b/>
          <w:spacing w:val="0"/>
          <w:sz w:val="22"/>
          <w:szCs w:val="24"/>
          <w:rtl/>
        </w:rPr>
        <w:t xml:space="preserve"> </w:t>
      </w:r>
      <w:r w:rsidRPr="00EB4D87">
        <w:rPr>
          <w:rFonts w:ascii="Century" w:hAnsi="Century" w:cs="Miriam" w:hint="cs"/>
          <w:b/>
          <w:spacing w:val="0"/>
          <w:sz w:val="22"/>
          <w:szCs w:val="24"/>
          <w:rtl/>
        </w:rPr>
        <w:t>פרשנות חוקתית</w:t>
      </w:r>
      <w:r>
        <w:rPr>
          <w:rFonts w:hint="cs"/>
          <w:rtl/>
        </w:rPr>
        <w:t xml:space="preserve">, עמוד 490). </w:t>
      </w:r>
      <w:r w:rsidR="007B5D21">
        <w:rPr>
          <w:rFonts w:hint="cs"/>
          <w:rtl/>
        </w:rPr>
        <w:t>א</w:t>
      </w:r>
      <w:r>
        <w:rPr>
          <w:rFonts w:hint="cs"/>
          <w:rtl/>
        </w:rPr>
        <w:t>צ</w:t>
      </w:r>
      <w:r w:rsidR="007B5D21">
        <w:rPr>
          <w:rFonts w:hint="cs"/>
          <w:rtl/>
        </w:rPr>
        <w:t>י</w:t>
      </w:r>
      <w:r>
        <w:rPr>
          <w:rFonts w:hint="cs"/>
          <w:rtl/>
        </w:rPr>
        <w:t xml:space="preserve">ין, כי גם בעניין </w:t>
      </w:r>
      <w:r w:rsidRPr="00EB4D87">
        <w:rPr>
          <w:rFonts w:ascii="Century" w:hAnsi="Century" w:cs="Miriam" w:hint="cs"/>
          <w:b/>
          <w:spacing w:val="0"/>
          <w:sz w:val="22"/>
          <w:szCs w:val="24"/>
          <w:rtl/>
        </w:rPr>
        <w:t>עדאלה</w:t>
      </w:r>
      <w:r>
        <w:rPr>
          <w:rFonts w:hint="cs"/>
          <w:rtl/>
        </w:rPr>
        <w:t>, לא נקבע בשום שלב כי הפגיעה לא נעשתה מכוח חוק; מקומה של טענת הכוללניות והכלליות, ראויה להישמע בעת הפעלת מבחני המידתיות</w:t>
      </w:r>
      <w:r w:rsidR="00811B3D">
        <w:rPr>
          <w:rFonts w:hint="cs"/>
          <w:rtl/>
        </w:rPr>
        <w:t>;</w:t>
      </w:r>
      <w:r>
        <w:rPr>
          <w:rFonts w:hint="cs"/>
          <w:rtl/>
        </w:rPr>
        <w:t xml:space="preserve"> לא קודם לכן. גם בעניין </w:t>
      </w:r>
      <w:r w:rsidRPr="00EB4D87">
        <w:rPr>
          <w:rFonts w:ascii="Century" w:hAnsi="Century" w:cs="Miriam" w:hint="cs"/>
          <w:b/>
          <w:spacing w:val="0"/>
          <w:sz w:val="22"/>
          <w:szCs w:val="24"/>
          <w:rtl/>
        </w:rPr>
        <w:t>דיראני</w:t>
      </w:r>
      <w:r w:rsidRPr="002E33AD">
        <w:rPr>
          <w:rFonts w:hint="cs"/>
          <w:rtl/>
        </w:rPr>
        <w:t xml:space="preserve"> </w:t>
      </w:r>
      <w:r>
        <w:rPr>
          <w:rtl/>
        </w:rPr>
        <w:t>–</w:t>
      </w:r>
      <w:r>
        <w:rPr>
          <w:rFonts w:hint="cs"/>
          <w:rtl/>
        </w:rPr>
        <w:t xml:space="preserve"> שם דוּב</w:t>
      </w:r>
      <w:r w:rsidR="001A3FA4">
        <w:rPr>
          <w:rFonts w:hint="cs"/>
          <w:rtl/>
        </w:rPr>
        <w:t>ּ</w:t>
      </w:r>
      <w:r>
        <w:rPr>
          <w:rFonts w:hint="cs"/>
          <w:rtl/>
        </w:rPr>
        <w:t xml:space="preserve">ר, כאמור, בכלל שנקלט מן המשפט המקובל </w:t>
      </w:r>
      <w:r>
        <w:rPr>
          <w:rtl/>
        </w:rPr>
        <w:t>–</w:t>
      </w:r>
      <w:r>
        <w:rPr>
          <w:rFonts w:hint="cs"/>
          <w:rtl/>
        </w:rPr>
        <w:t xml:space="preserve"> נקבע כי דרישת ההסמכה מתקיימת. הדברים יפים לענייננו, מכוח קל וחומר (עניין</w:t>
      </w:r>
      <w:r>
        <w:rPr>
          <w:rFonts w:ascii="Century" w:hAnsi="Century" w:cs="Miriam" w:hint="cs"/>
          <w:b/>
          <w:spacing w:val="0"/>
          <w:sz w:val="22"/>
          <w:szCs w:val="24"/>
          <w:rtl/>
        </w:rPr>
        <w:t xml:space="preserve"> </w:t>
      </w:r>
      <w:r w:rsidRPr="00EB4D87">
        <w:rPr>
          <w:rFonts w:ascii="Century" w:hAnsi="Century" w:cs="Miriam" w:hint="cs"/>
          <w:b/>
          <w:spacing w:val="0"/>
          <w:sz w:val="22"/>
          <w:szCs w:val="24"/>
          <w:rtl/>
        </w:rPr>
        <w:t>דיראני</w:t>
      </w:r>
      <w:r>
        <w:rPr>
          <w:rFonts w:hint="cs"/>
          <w:rtl/>
        </w:rPr>
        <w:t xml:space="preserve">, פסקה 69 לפסק הדין של הנשיא </w:t>
      </w:r>
      <w:r w:rsidRPr="00FF5B1D">
        <w:rPr>
          <w:rFonts w:ascii="Century" w:hAnsi="Century" w:cs="Miriam" w:hint="cs"/>
          <w:b/>
          <w:spacing w:val="0"/>
          <w:sz w:val="22"/>
          <w:szCs w:val="24"/>
          <w:rtl/>
        </w:rPr>
        <w:t>גרוניס</w:t>
      </w:r>
      <w:r>
        <w:rPr>
          <w:rFonts w:hint="cs"/>
          <w:rtl/>
        </w:rPr>
        <w:t xml:space="preserve">; והשוו לדעתו של השופט (כתוארו אז) </w:t>
      </w:r>
      <w:r w:rsidRPr="00FF5B1D">
        <w:rPr>
          <w:rFonts w:ascii="Century" w:hAnsi="Century" w:cs="Miriam" w:hint="cs"/>
          <w:b/>
          <w:spacing w:val="0"/>
          <w:sz w:val="22"/>
          <w:szCs w:val="24"/>
          <w:rtl/>
        </w:rPr>
        <w:t>ס' ג'ובראן</w:t>
      </w:r>
      <w:r>
        <w:rPr>
          <w:rFonts w:hint="cs"/>
          <w:rtl/>
        </w:rPr>
        <w:t>, בדעת מיעוט שם, פסקאות 14-8). דבר החקיקה מושא הערעור דנן, הוא מקרה שגרתי, של הוראת חוק הקובעת עקרון מסוים, ומסמיכה את הרשות המב</w:t>
      </w:r>
      <w:r w:rsidR="007B5D21">
        <w:rPr>
          <w:rFonts w:hint="cs"/>
          <w:rtl/>
        </w:rPr>
        <w:t>צעת לפעול ליישומו באמצעות חקיקת-</w:t>
      </w:r>
      <w:r>
        <w:rPr>
          <w:rFonts w:hint="cs"/>
          <w:rtl/>
        </w:rPr>
        <w:t xml:space="preserve">משנה (להוראות נוספות המסמיכות את הממשלה לקבוע מיהו 'אויב', ראו והשוו: סעיף 2 לפקודת המסחר עם האויב; סעיף 7א לחוק יסוד: הכנסת; וראו גם: עניין </w:t>
      </w:r>
      <w:r w:rsidRPr="00B96599">
        <w:rPr>
          <w:rFonts w:ascii="Century" w:hAnsi="Century" w:cs="Miriam" w:hint="cs"/>
          <w:b/>
          <w:spacing w:val="0"/>
          <w:sz w:val="22"/>
          <w:szCs w:val="24"/>
          <w:rtl/>
        </w:rPr>
        <w:t>דיראני</w:t>
      </w:r>
      <w:r>
        <w:rPr>
          <w:rFonts w:hint="cs"/>
          <w:rtl/>
        </w:rPr>
        <w:t xml:space="preserve">, פסקה 12 לפסק הדין של השופט (כתוארו אז) </w:t>
      </w:r>
      <w:r w:rsidRPr="00FF5B1D">
        <w:rPr>
          <w:rFonts w:ascii="Century" w:hAnsi="Century" w:cs="Miriam" w:hint="cs"/>
          <w:b/>
          <w:spacing w:val="0"/>
          <w:sz w:val="22"/>
          <w:szCs w:val="24"/>
          <w:rtl/>
        </w:rPr>
        <w:t>ח' מלצר</w:t>
      </w:r>
      <w:r>
        <w:rPr>
          <w:rFonts w:hint="cs"/>
          <w:rtl/>
        </w:rPr>
        <w:t xml:space="preserve">; ליאב אורגד ויורם רבין, "זכות הגישה לערכאות של נתיני אויב (בעקבות רע""א 993/06 מדינת ישראל נ' דיראני", </w:t>
      </w:r>
      <w:r w:rsidRPr="00B96599">
        <w:rPr>
          <w:rFonts w:ascii="Century" w:hAnsi="Century" w:cs="Miriam" w:hint="cs"/>
          <w:b/>
          <w:spacing w:val="0"/>
          <w:sz w:val="22"/>
          <w:szCs w:val="24"/>
          <w:rtl/>
        </w:rPr>
        <w:t>מחקרי משפט</w:t>
      </w:r>
      <w:r w:rsidRPr="000821BB">
        <w:rPr>
          <w:rFonts w:ascii="Century" w:hAnsi="Century"/>
          <w:sz w:val="22"/>
          <w:rtl/>
        </w:rPr>
        <w:t xml:space="preserve"> </w:t>
      </w:r>
      <w:r w:rsidRPr="000821BB">
        <w:rPr>
          <w:rFonts w:ascii="Century" w:hAnsi="Century" w:hint="eastAsia"/>
          <w:sz w:val="22"/>
          <w:rtl/>
        </w:rPr>
        <w:t>כט</w:t>
      </w:r>
      <w:r w:rsidRPr="000821BB">
        <w:rPr>
          <w:rFonts w:ascii="Century" w:hAnsi="Century"/>
          <w:sz w:val="22"/>
          <w:rtl/>
        </w:rPr>
        <w:t>, 478</w:t>
      </w:r>
      <w:r>
        <w:rPr>
          <w:rFonts w:hint="cs"/>
          <w:rtl/>
        </w:rPr>
        <w:t xml:space="preserve">-477 (2014) (להלן: </w:t>
      </w:r>
      <w:r w:rsidRPr="00766269">
        <w:rPr>
          <w:rFonts w:ascii="Century" w:hAnsi="Century" w:cs="Miriam" w:hint="cs"/>
          <w:b/>
          <w:spacing w:val="0"/>
          <w:sz w:val="22"/>
          <w:szCs w:val="24"/>
          <w:rtl/>
        </w:rPr>
        <w:t>אורגד ורבין</w:t>
      </w:r>
      <w:r>
        <w:rPr>
          <w:rFonts w:hint="cs"/>
          <w:rtl/>
        </w:rPr>
        <w:t xml:space="preserve">)). </w:t>
      </w:r>
    </w:p>
    <w:p w:rsidR="00D512D4" w:rsidRDefault="00D512D4" w:rsidP="0046240F">
      <w:pPr>
        <w:pStyle w:val="Ruller4"/>
        <w:numPr>
          <w:ilvl w:val="0"/>
          <w:numId w:val="0"/>
        </w:numPr>
        <w:spacing w:line="240" w:lineRule="auto"/>
      </w:pPr>
    </w:p>
    <w:p w:rsidR="00D512D4" w:rsidRDefault="00D512D4" w:rsidP="007B5D21">
      <w:pPr>
        <w:pStyle w:val="Ruller4"/>
        <w:rPr>
          <w:rtl/>
        </w:rPr>
      </w:pPr>
      <w:r>
        <w:rPr>
          <w:rFonts w:hint="cs"/>
          <w:rtl/>
        </w:rPr>
        <w:t xml:space="preserve">הטענה כי ממשלת ישראל יכולה להכריז על כל שטח, כשטח 'אויב', בכל עת ובכל שעה, ללא קשר למתרחש בו </w:t>
      </w:r>
      <w:r>
        <w:rPr>
          <w:rtl/>
        </w:rPr>
        <w:t>–</w:t>
      </w:r>
      <w:r>
        <w:rPr>
          <w:rFonts w:hint="cs"/>
          <w:rtl/>
        </w:rPr>
        <w:t xml:space="preserve"> נטענה בעלמא. סעיף 5ב(ב) לחוק מפנה להגדרת 'אויב', שבסעיף 91 לחוק העונשין, כמפורט לעיל. הגדרה זו עוסקת בגורם שיחסיו עם ישראל הם יחסי מלחמה או איבה. ברי אפוא, כי החלטת הממשלה אינה יכולה להינתן במנותק מהגדרה זו. לפנינו אם כן, הוראת חוק הקובעת </w:t>
      </w:r>
      <w:r w:rsidRPr="00FB5CF6">
        <w:rPr>
          <w:rFonts w:ascii="Century" w:hAnsi="Century" w:cs="Miriam" w:hint="cs"/>
          <w:b/>
          <w:spacing w:val="0"/>
          <w:sz w:val="22"/>
          <w:szCs w:val="24"/>
          <w:rtl/>
        </w:rPr>
        <w:t>"הנחיה כללית</w:t>
      </w:r>
      <w:r>
        <w:rPr>
          <w:rFonts w:ascii="Century" w:hAnsi="Century" w:cs="Miriam" w:hint="cs"/>
          <w:b/>
          <w:spacing w:val="0"/>
          <w:sz w:val="22"/>
          <w:szCs w:val="24"/>
          <w:rtl/>
        </w:rPr>
        <w:t xml:space="preserve"> [</w:t>
      </w:r>
      <w:r w:rsidRPr="00FB5CF6">
        <w:rPr>
          <w:rFonts w:ascii="Century" w:hAnsi="Century" w:cs="Miriam" w:hint="cs"/>
          <w:b/>
          <w:spacing w:val="0"/>
          <w:sz w:val="22"/>
          <w:szCs w:val="24"/>
          <w:rtl/>
        </w:rPr>
        <w:t>..</w:t>
      </w:r>
      <w:r>
        <w:rPr>
          <w:rFonts w:ascii="Century" w:hAnsi="Century" w:cs="Miriam" w:hint="cs"/>
          <w:b/>
          <w:spacing w:val="0"/>
          <w:sz w:val="22"/>
          <w:szCs w:val="24"/>
          <w:rtl/>
        </w:rPr>
        <w:t>.]</w:t>
      </w:r>
      <w:r w:rsidRPr="00FB5CF6">
        <w:rPr>
          <w:rFonts w:ascii="Century" w:hAnsi="Century" w:cs="Miriam" w:hint="cs"/>
          <w:b/>
          <w:spacing w:val="0"/>
          <w:sz w:val="22"/>
          <w:szCs w:val="24"/>
          <w:rtl/>
        </w:rPr>
        <w:t xml:space="preserve"> הניתנת להבנה ולהפעלה"</w:t>
      </w:r>
      <w:r>
        <w:rPr>
          <w:rFonts w:hint="cs"/>
          <w:rtl/>
        </w:rPr>
        <w:t xml:space="preserve"> (</w:t>
      </w:r>
      <w:r w:rsidRPr="00FB5CF6">
        <w:rPr>
          <w:rFonts w:ascii="Century" w:hAnsi="Century" w:cs="Miriam" w:hint="cs"/>
          <w:b/>
          <w:spacing w:val="0"/>
          <w:sz w:val="22"/>
          <w:szCs w:val="24"/>
          <w:rtl/>
        </w:rPr>
        <w:t>ברק</w:t>
      </w:r>
      <w:r>
        <w:rPr>
          <w:rFonts w:ascii="Century" w:hAnsi="Century" w:cs="Miriam" w:hint="cs"/>
          <w:b/>
          <w:spacing w:val="0"/>
          <w:sz w:val="22"/>
          <w:szCs w:val="24"/>
          <w:rtl/>
        </w:rPr>
        <w:t xml:space="preserve"> </w:t>
      </w:r>
      <w:r w:rsidRPr="000821BB">
        <w:rPr>
          <w:rFonts w:ascii="Century" w:hAnsi="Century"/>
          <w:sz w:val="22"/>
          <w:rtl/>
        </w:rPr>
        <w:t>–</w:t>
      </w:r>
      <w:r>
        <w:rPr>
          <w:rFonts w:ascii="Century" w:hAnsi="Century" w:cs="Miriam" w:hint="cs"/>
          <w:b/>
          <w:spacing w:val="0"/>
          <w:sz w:val="22"/>
          <w:szCs w:val="24"/>
          <w:rtl/>
        </w:rPr>
        <w:t xml:space="preserve"> </w:t>
      </w:r>
      <w:r w:rsidRPr="00FB5CF6">
        <w:rPr>
          <w:rFonts w:ascii="Century" w:hAnsi="Century" w:cs="Miriam" w:hint="cs"/>
          <w:b/>
          <w:spacing w:val="0"/>
          <w:sz w:val="22"/>
          <w:szCs w:val="24"/>
          <w:rtl/>
        </w:rPr>
        <w:t>פרשנות חוקתית</w:t>
      </w:r>
      <w:r>
        <w:rPr>
          <w:rFonts w:hint="cs"/>
          <w:rtl/>
        </w:rPr>
        <w:t xml:space="preserve">, עמוד 503). </w:t>
      </w:r>
      <w:r w:rsidRPr="00741DFA">
        <w:rPr>
          <w:rFonts w:hint="cs"/>
          <w:rtl/>
        </w:rPr>
        <w:t>אין מדובר ב</w:t>
      </w:r>
      <w:r>
        <w:rPr>
          <w:rFonts w:hint="cs"/>
          <w:rtl/>
        </w:rPr>
        <w:t>אחד מן המקרים החריגים, שבהם נחקק חוק ה</w:t>
      </w:r>
      <w:r w:rsidRPr="00741DFA">
        <w:rPr>
          <w:rFonts w:hint="cs"/>
          <w:rtl/>
        </w:rPr>
        <w:t>מעניק סמכות כוללנית לרשות המ</w:t>
      </w:r>
      <w:r>
        <w:rPr>
          <w:rFonts w:hint="cs"/>
          <w:rtl/>
        </w:rPr>
        <w:t>י</w:t>
      </w:r>
      <w:r w:rsidRPr="00741DFA">
        <w:rPr>
          <w:rFonts w:hint="cs"/>
          <w:rtl/>
        </w:rPr>
        <w:t>נהלית</w:t>
      </w:r>
      <w:r>
        <w:rPr>
          <w:rFonts w:hint="cs"/>
          <w:rtl/>
        </w:rPr>
        <w:t>;</w:t>
      </w:r>
      <w:r w:rsidRPr="00741DFA">
        <w:rPr>
          <w:rFonts w:hint="cs"/>
          <w:rtl/>
        </w:rPr>
        <w:t xml:space="preserve"> </w:t>
      </w:r>
      <w:r>
        <w:rPr>
          <w:rFonts w:hint="cs"/>
          <w:rtl/>
        </w:rPr>
        <w:t xml:space="preserve">אין מדובר גם </w:t>
      </w:r>
      <w:r w:rsidRPr="00741DFA">
        <w:rPr>
          <w:rFonts w:hint="cs"/>
          <w:rtl/>
        </w:rPr>
        <w:t>בחקיקה סתומה</w:t>
      </w:r>
      <w:r>
        <w:rPr>
          <w:rFonts w:hint="cs"/>
          <w:rtl/>
        </w:rPr>
        <w:t>, מעורפלת</w:t>
      </w:r>
      <w:r w:rsidRPr="00741DFA">
        <w:rPr>
          <w:rFonts w:hint="cs"/>
          <w:rtl/>
        </w:rPr>
        <w:t xml:space="preserve"> (</w:t>
      </w:r>
      <w:r>
        <w:t>V</w:t>
      </w:r>
      <w:r w:rsidRPr="00741DFA">
        <w:t>ague</w:t>
      </w:r>
      <w:r w:rsidRPr="00741DFA">
        <w:rPr>
          <w:rFonts w:hint="cs"/>
          <w:rtl/>
        </w:rPr>
        <w:t>)</w:t>
      </w:r>
      <w:r>
        <w:rPr>
          <w:rFonts w:hint="cs"/>
          <w:rtl/>
        </w:rPr>
        <w:t>,</w:t>
      </w:r>
      <w:r w:rsidRPr="00741DFA">
        <w:rPr>
          <w:rFonts w:hint="cs"/>
          <w:rtl/>
        </w:rPr>
        <w:t xml:space="preserve"> </w:t>
      </w:r>
      <w:r>
        <w:rPr>
          <w:rFonts w:hint="cs"/>
          <w:rtl/>
        </w:rPr>
        <w:t>המותירה לרשות המינהלית</w:t>
      </w:r>
      <w:r w:rsidRPr="00741DFA">
        <w:rPr>
          <w:rFonts w:hint="cs"/>
          <w:rtl/>
        </w:rPr>
        <w:t xml:space="preserve"> שיקול </w:t>
      </w:r>
      <w:r>
        <w:rPr>
          <w:rFonts w:hint="cs"/>
          <w:rtl/>
        </w:rPr>
        <w:t>דעת פרוץ</w:t>
      </w:r>
      <w:r w:rsidRPr="00741DFA">
        <w:rPr>
          <w:rFonts w:hint="cs"/>
          <w:rtl/>
        </w:rPr>
        <w:t xml:space="preserve"> </w:t>
      </w:r>
      <w:r>
        <w:rPr>
          <w:rFonts w:hint="cs"/>
          <w:rtl/>
        </w:rPr>
        <w:t xml:space="preserve">לרווחה </w:t>
      </w:r>
      <w:r w:rsidRPr="00741DFA">
        <w:rPr>
          <w:rFonts w:hint="cs"/>
          <w:rtl/>
        </w:rPr>
        <w:t xml:space="preserve">(ראו והשוו: </w:t>
      </w:r>
      <w:r w:rsidRPr="00741DFA">
        <w:rPr>
          <w:rFonts w:hint="eastAsia"/>
          <w:rtl/>
        </w:rPr>
        <w:t>בג</w:t>
      </w:r>
      <w:r w:rsidRPr="00741DFA">
        <w:rPr>
          <w:rtl/>
        </w:rPr>
        <w:t>"</w:t>
      </w:r>
      <w:r w:rsidRPr="00741DFA">
        <w:rPr>
          <w:rFonts w:hint="eastAsia"/>
          <w:rtl/>
        </w:rPr>
        <w:t>ץ</w:t>
      </w:r>
      <w:r w:rsidRPr="00741DFA">
        <w:rPr>
          <w:rtl/>
        </w:rPr>
        <w:t xml:space="preserve"> 7803</w:t>
      </w:r>
      <w:r w:rsidRPr="00741DFA">
        <w:rPr>
          <w:rFonts w:hint="cs"/>
          <w:rtl/>
        </w:rPr>
        <w:t>/</w:t>
      </w:r>
      <w:r w:rsidRPr="00741DFA">
        <w:rPr>
          <w:rtl/>
        </w:rPr>
        <w:t xml:space="preserve">06 </w:t>
      </w:r>
      <w:r w:rsidRPr="00741DFA">
        <w:rPr>
          <w:rFonts w:ascii="Century" w:hAnsi="Century" w:cs="Miriam" w:hint="eastAsia"/>
          <w:b/>
          <w:spacing w:val="0"/>
          <w:sz w:val="22"/>
          <w:szCs w:val="24"/>
          <w:rtl/>
        </w:rPr>
        <w:t>אבו</w:t>
      </w:r>
      <w:r w:rsidRPr="00741DFA">
        <w:rPr>
          <w:rFonts w:ascii="Century" w:hAnsi="Century" w:cs="Miriam"/>
          <w:b/>
          <w:spacing w:val="0"/>
          <w:sz w:val="22"/>
          <w:szCs w:val="24"/>
          <w:rtl/>
        </w:rPr>
        <w:t xml:space="preserve"> </w:t>
      </w:r>
      <w:r w:rsidRPr="00741DFA">
        <w:rPr>
          <w:rFonts w:ascii="Century" w:hAnsi="Century" w:cs="Miriam" w:hint="eastAsia"/>
          <w:b/>
          <w:spacing w:val="0"/>
          <w:sz w:val="22"/>
          <w:szCs w:val="24"/>
          <w:rtl/>
        </w:rPr>
        <w:t>ערפה</w:t>
      </w:r>
      <w:r w:rsidRPr="00741DFA">
        <w:rPr>
          <w:rFonts w:ascii="Century" w:hAnsi="Century" w:cs="Miriam"/>
          <w:b/>
          <w:spacing w:val="0"/>
          <w:sz w:val="22"/>
          <w:szCs w:val="24"/>
          <w:rtl/>
        </w:rPr>
        <w:t xml:space="preserve"> </w:t>
      </w:r>
      <w:r w:rsidRPr="00741DFA">
        <w:rPr>
          <w:rFonts w:ascii="Century" w:hAnsi="Century" w:cs="Miriam" w:hint="eastAsia"/>
          <w:b/>
          <w:spacing w:val="0"/>
          <w:sz w:val="22"/>
          <w:szCs w:val="24"/>
          <w:rtl/>
        </w:rPr>
        <w:t>נ</w:t>
      </w:r>
      <w:r w:rsidRPr="00741DFA">
        <w:rPr>
          <w:rFonts w:ascii="Century" w:hAnsi="Century" w:cs="Miriam"/>
          <w:b/>
          <w:spacing w:val="0"/>
          <w:sz w:val="22"/>
          <w:szCs w:val="24"/>
          <w:rtl/>
        </w:rPr>
        <w:t xml:space="preserve">' </w:t>
      </w:r>
      <w:r w:rsidRPr="00741DFA">
        <w:rPr>
          <w:rFonts w:ascii="Century" w:hAnsi="Century" w:cs="Miriam" w:hint="eastAsia"/>
          <w:b/>
          <w:spacing w:val="0"/>
          <w:sz w:val="22"/>
          <w:szCs w:val="24"/>
          <w:rtl/>
        </w:rPr>
        <w:t>שר</w:t>
      </w:r>
      <w:r w:rsidRPr="00741DFA">
        <w:rPr>
          <w:rFonts w:ascii="Century" w:hAnsi="Century" w:cs="Miriam"/>
          <w:b/>
          <w:spacing w:val="0"/>
          <w:sz w:val="22"/>
          <w:szCs w:val="24"/>
          <w:rtl/>
        </w:rPr>
        <w:t xml:space="preserve"> </w:t>
      </w:r>
      <w:r w:rsidRPr="00741DFA">
        <w:rPr>
          <w:rFonts w:ascii="Century" w:hAnsi="Century" w:cs="Miriam" w:hint="eastAsia"/>
          <w:b/>
          <w:spacing w:val="0"/>
          <w:sz w:val="22"/>
          <w:szCs w:val="24"/>
          <w:rtl/>
        </w:rPr>
        <w:t>הפנים</w:t>
      </w:r>
      <w:r w:rsidRPr="00741DFA">
        <w:rPr>
          <w:rFonts w:hint="cs"/>
          <w:rtl/>
        </w:rPr>
        <w:t>, פסקאות 54-52 לפסק</w:t>
      </w:r>
      <w:r>
        <w:rPr>
          <w:rFonts w:hint="cs"/>
          <w:rtl/>
        </w:rPr>
        <w:t xml:space="preserve"> הדין</w:t>
      </w:r>
      <w:r w:rsidRPr="00741DFA">
        <w:rPr>
          <w:rFonts w:hint="cs"/>
          <w:rtl/>
        </w:rPr>
        <w:t xml:space="preserve"> של השופט </w:t>
      </w:r>
      <w:r w:rsidRPr="000821BB">
        <w:rPr>
          <w:rFonts w:ascii="Century" w:hAnsi="Century" w:cs="Miriam" w:hint="eastAsia"/>
          <w:b/>
          <w:spacing w:val="0"/>
          <w:sz w:val="22"/>
          <w:szCs w:val="24"/>
          <w:rtl/>
        </w:rPr>
        <w:t>ע</w:t>
      </w:r>
      <w:r w:rsidRPr="000821BB">
        <w:rPr>
          <w:rFonts w:ascii="Century" w:hAnsi="Century" w:cs="Miriam"/>
          <w:b/>
          <w:spacing w:val="0"/>
          <w:sz w:val="22"/>
          <w:szCs w:val="24"/>
          <w:rtl/>
        </w:rPr>
        <w:t xml:space="preserve">' </w:t>
      </w:r>
      <w:r w:rsidRPr="000821BB">
        <w:rPr>
          <w:rFonts w:ascii="Century" w:hAnsi="Century" w:cs="Miriam" w:hint="eastAsia"/>
          <w:b/>
          <w:spacing w:val="0"/>
          <w:sz w:val="22"/>
          <w:szCs w:val="24"/>
          <w:rtl/>
        </w:rPr>
        <w:t>פוגלמן</w:t>
      </w:r>
      <w:r w:rsidRPr="00741DFA">
        <w:rPr>
          <w:rFonts w:hint="cs"/>
          <w:rtl/>
        </w:rPr>
        <w:t>, והשוו שם לפסקאות ח-ט לפסק דינו של השופט</w:t>
      </w:r>
      <w:r>
        <w:rPr>
          <w:rFonts w:hint="cs"/>
          <w:rtl/>
        </w:rPr>
        <w:t xml:space="preserve"> (כתוארו אז)</w:t>
      </w:r>
      <w:r w:rsidRPr="00741DFA">
        <w:rPr>
          <w:rFonts w:hint="cs"/>
          <w:rtl/>
        </w:rPr>
        <w:t xml:space="preserve"> </w:t>
      </w:r>
      <w:r w:rsidRPr="000821BB">
        <w:rPr>
          <w:rFonts w:ascii="Century" w:hAnsi="Century" w:cs="Miriam" w:hint="eastAsia"/>
          <w:b/>
          <w:spacing w:val="0"/>
          <w:sz w:val="22"/>
          <w:szCs w:val="24"/>
          <w:rtl/>
        </w:rPr>
        <w:t>א</w:t>
      </w:r>
      <w:r w:rsidRPr="000821BB">
        <w:rPr>
          <w:rFonts w:ascii="Century" w:hAnsi="Century" w:cs="Miriam"/>
          <w:b/>
          <w:spacing w:val="0"/>
          <w:sz w:val="22"/>
          <w:szCs w:val="24"/>
          <w:rtl/>
        </w:rPr>
        <w:t xml:space="preserve">' </w:t>
      </w:r>
      <w:r w:rsidRPr="000821BB">
        <w:rPr>
          <w:rFonts w:ascii="Century" w:hAnsi="Century" w:cs="Miriam" w:hint="eastAsia"/>
          <w:b/>
          <w:spacing w:val="0"/>
          <w:sz w:val="22"/>
          <w:szCs w:val="24"/>
          <w:rtl/>
        </w:rPr>
        <w:t>רובינשטיין</w:t>
      </w:r>
      <w:r w:rsidRPr="002F1373">
        <w:rPr>
          <w:rFonts w:hint="cs"/>
          <w:rtl/>
        </w:rPr>
        <w:t xml:space="preserve"> </w:t>
      </w:r>
      <w:r w:rsidRPr="00741DFA">
        <w:rPr>
          <w:rFonts w:hint="cs"/>
          <w:rtl/>
        </w:rPr>
        <w:t xml:space="preserve">(13.9.2017); עניין </w:t>
      </w:r>
      <w:r w:rsidRPr="00741DFA">
        <w:rPr>
          <w:rFonts w:ascii="Century" w:hAnsi="Century" w:cs="Miriam" w:hint="cs"/>
          <w:b/>
          <w:spacing w:val="0"/>
          <w:sz w:val="22"/>
          <w:szCs w:val="24"/>
          <w:rtl/>
        </w:rPr>
        <w:t>עליאן</w:t>
      </w:r>
      <w:r w:rsidRPr="00741DFA">
        <w:rPr>
          <w:rFonts w:hint="cs"/>
          <w:rtl/>
        </w:rPr>
        <w:t>, פסק</w:t>
      </w:r>
      <w:r>
        <w:rPr>
          <w:rFonts w:hint="cs"/>
          <w:rtl/>
        </w:rPr>
        <w:t>אות</w:t>
      </w:r>
      <w:r w:rsidRPr="00741DFA">
        <w:rPr>
          <w:rFonts w:hint="cs"/>
          <w:rtl/>
        </w:rPr>
        <w:t xml:space="preserve"> </w:t>
      </w:r>
      <w:r>
        <w:rPr>
          <w:rFonts w:hint="cs"/>
          <w:rtl/>
        </w:rPr>
        <w:t>14-13</w:t>
      </w:r>
      <w:r w:rsidRPr="00741DFA">
        <w:rPr>
          <w:rFonts w:hint="cs"/>
          <w:rtl/>
        </w:rPr>
        <w:t xml:space="preserve"> לפסק</w:t>
      </w:r>
      <w:r>
        <w:rPr>
          <w:rFonts w:hint="cs"/>
          <w:rtl/>
        </w:rPr>
        <w:t xml:space="preserve"> הדין</w:t>
      </w:r>
      <w:r w:rsidRPr="00741DFA">
        <w:rPr>
          <w:rFonts w:hint="cs"/>
          <w:rtl/>
        </w:rPr>
        <w:t xml:space="preserve"> של </w:t>
      </w:r>
      <w:r>
        <w:rPr>
          <w:rFonts w:hint="cs"/>
          <w:rtl/>
        </w:rPr>
        <w:t xml:space="preserve">הנשיאה </w:t>
      </w:r>
      <w:r w:rsidRPr="000821BB">
        <w:rPr>
          <w:rFonts w:ascii="Century" w:hAnsi="Century" w:cs="Miriam" w:hint="eastAsia"/>
          <w:b/>
          <w:spacing w:val="0"/>
          <w:sz w:val="22"/>
          <w:szCs w:val="24"/>
          <w:rtl/>
        </w:rPr>
        <w:t>חיות</w:t>
      </w:r>
      <w:r w:rsidRPr="00741DFA">
        <w:rPr>
          <w:rFonts w:hint="cs"/>
          <w:rtl/>
        </w:rPr>
        <w:t>)</w:t>
      </w:r>
      <w:r>
        <w:rPr>
          <w:rFonts w:hint="cs"/>
          <w:rtl/>
        </w:rPr>
        <w:t>.</w:t>
      </w:r>
      <w:r w:rsidRPr="00741DFA">
        <w:rPr>
          <w:rFonts w:hint="cs"/>
          <w:rtl/>
        </w:rPr>
        <w:t xml:space="preserve"> לטענת המערער, </w:t>
      </w:r>
      <w:r w:rsidRPr="00741DFA">
        <w:rPr>
          <w:rFonts w:ascii="Century" w:hAnsi="Century" w:cs="Miriam" w:hint="cs"/>
          <w:b/>
          <w:spacing w:val="0"/>
          <w:sz w:val="22"/>
          <w:szCs w:val="24"/>
          <w:rtl/>
        </w:rPr>
        <w:t>"גו</w:t>
      </w:r>
      <w:r>
        <w:rPr>
          <w:rFonts w:ascii="Century" w:hAnsi="Century" w:cs="Miriam" w:hint="cs"/>
          <w:b/>
          <w:spacing w:val="0"/>
          <w:sz w:val="22"/>
          <w:szCs w:val="24"/>
          <w:rtl/>
        </w:rPr>
        <w:t>ֹ</w:t>
      </w:r>
      <w:r w:rsidRPr="00741DFA">
        <w:rPr>
          <w:rFonts w:ascii="Century" w:hAnsi="Century" w:cs="Miriam" w:hint="cs"/>
          <w:b/>
          <w:spacing w:val="0"/>
          <w:sz w:val="22"/>
          <w:szCs w:val="24"/>
          <w:rtl/>
        </w:rPr>
        <w:t>רפו</w:t>
      </w:r>
      <w:r>
        <w:rPr>
          <w:rFonts w:ascii="Century" w:hAnsi="Century" w:cs="Miriam" w:hint="cs"/>
          <w:b/>
          <w:spacing w:val="0"/>
          <w:sz w:val="22"/>
          <w:szCs w:val="24"/>
          <w:rtl/>
        </w:rPr>
        <w:t>ּ</w:t>
      </w:r>
      <w:r w:rsidRPr="00741DFA">
        <w:rPr>
          <w:rFonts w:ascii="Century" w:hAnsi="Century" w:cs="Miriam" w:hint="cs"/>
          <w:b/>
          <w:spacing w:val="0"/>
          <w:sz w:val="22"/>
          <w:szCs w:val="24"/>
          <w:rtl/>
        </w:rPr>
        <w:t>ת שיקול הדעת</w:t>
      </w:r>
      <w:r w:rsidRPr="00CA1D9D">
        <w:rPr>
          <w:rFonts w:ascii="Century" w:hAnsi="Century" w:cs="Miriam" w:hint="cs"/>
          <w:b/>
          <w:spacing w:val="0"/>
          <w:sz w:val="22"/>
          <w:szCs w:val="24"/>
          <w:rtl/>
        </w:rPr>
        <w:t>"</w:t>
      </w:r>
      <w:r>
        <w:rPr>
          <w:rFonts w:hint="cs"/>
          <w:rtl/>
        </w:rPr>
        <w:t xml:space="preserve">, לפי סעיף 5ב(א)(1) לחוק, מאפשרת לממשלה להכריז על מקום מסוים כשטח אויב, </w:t>
      </w:r>
      <w:r w:rsidRPr="00CA1D9D">
        <w:rPr>
          <w:rFonts w:ascii="Century" w:hAnsi="Century" w:cs="Miriam" w:hint="cs"/>
          <w:b/>
          <w:spacing w:val="0"/>
          <w:sz w:val="22"/>
          <w:szCs w:val="24"/>
          <w:rtl/>
        </w:rPr>
        <w:t>"גם במצב אי מלחמה או אי עימות בפועל"</w:t>
      </w:r>
      <w:r>
        <w:rPr>
          <w:rFonts w:hint="cs"/>
          <w:rtl/>
        </w:rPr>
        <w:t>. דא עקא, טענה זו אינה מתייחסת אלא לאופן יש</w:t>
      </w:r>
      <w:r w:rsidR="00BB2ED2">
        <w:rPr>
          <w:rFonts w:hint="cs"/>
          <w:rtl/>
        </w:rPr>
        <w:t>ׂ</w:t>
      </w:r>
      <w:r>
        <w:rPr>
          <w:rFonts w:hint="cs"/>
          <w:rtl/>
        </w:rPr>
        <w:t xml:space="preserve">ום החוק; לא למידת חוקתיותו. בהקשר זה </w:t>
      </w:r>
      <w:r w:rsidR="00251B76">
        <w:rPr>
          <w:rFonts w:hint="cs"/>
          <w:rtl/>
        </w:rPr>
        <w:t>אעיר</w:t>
      </w:r>
      <w:r>
        <w:rPr>
          <w:rFonts w:hint="cs"/>
          <w:rtl/>
        </w:rPr>
        <w:t>, כי המשיבות</w:t>
      </w:r>
      <w:r w:rsidR="007B5D21">
        <w:rPr>
          <w:rFonts w:hint="cs"/>
          <w:rtl/>
        </w:rPr>
        <w:t xml:space="preserve"> אינן חולקות על כך שהוצאת צו על-</w:t>
      </w:r>
      <w:r>
        <w:rPr>
          <w:rFonts w:hint="cs"/>
          <w:rtl/>
        </w:rPr>
        <w:t xml:space="preserve">ידי הממשלה, כזה המכריז על מקום מסוים כשטח אויב </w:t>
      </w:r>
      <w:r>
        <w:rPr>
          <w:rtl/>
        </w:rPr>
        <w:t>–</w:t>
      </w:r>
      <w:r>
        <w:rPr>
          <w:rFonts w:hint="cs"/>
          <w:rtl/>
        </w:rPr>
        <w:t xml:space="preserve"> כפופה לביקורת שיפוטית </w:t>
      </w:r>
      <w:r>
        <w:rPr>
          <w:rtl/>
        </w:rPr>
        <w:t>–</w:t>
      </w:r>
      <w:r>
        <w:rPr>
          <w:rFonts w:hint="cs"/>
          <w:rtl/>
        </w:rPr>
        <w:t xml:space="preserve"> עובדה הממתנת את טענת </w:t>
      </w:r>
      <w:r w:rsidRPr="00273FA6">
        <w:rPr>
          <w:rFonts w:ascii="Century" w:hAnsi="Century" w:cs="Miriam" w:hint="cs"/>
          <w:b/>
          <w:spacing w:val="0"/>
          <w:sz w:val="22"/>
          <w:szCs w:val="24"/>
          <w:rtl/>
        </w:rPr>
        <w:t>"גו</w:t>
      </w:r>
      <w:r>
        <w:rPr>
          <w:rFonts w:ascii="Century" w:hAnsi="Century" w:cs="Miriam" w:hint="cs"/>
          <w:b/>
          <w:spacing w:val="0"/>
          <w:sz w:val="22"/>
          <w:szCs w:val="24"/>
          <w:rtl/>
        </w:rPr>
        <w:t>ֹ</w:t>
      </w:r>
      <w:r w:rsidRPr="00273FA6">
        <w:rPr>
          <w:rFonts w:ascii="Century" w:hAnsi="Century" w:cs="Miriam" w:hint="cs"/>
          <w:b/>
          <w:spacing w:val="0"/>
          <w:sz w:val="22"/>
          <w:szCs w:val="24"/>
          <w:rtl/>
        </w:rPr>
        <w:t>רפו</w:t>
      </w:r>
      <w:r>
        <w:rPr>
          <w:rFonts w:ascii="Century" w:hAnsi="Century" w:cs="Miriam" w:hint="cs"/>
          <w:b/>
          <w:spacing w:val="0"/>
          <w:sz w:val="22"/>
          <w:szCs w:val="24"/>
          <w:rtl/>
        </w:rPr>
        <w:t>ּ</w:t>
      </w:r>
      <w:r w:rsidRPr="00273FA6">
        <w:rPr>
          <w:rFonts w:ascii="Century" w:hAnsi="Century" w:cs="Miriam" w:hint="cs"/>
          <w:b/>
          <w:spacing w:val="0"/>
          <w:sz w:val="22"/>
          <w:szCs w:val="24"/>
          <w:rtl/>
        </w:rPr>
        <w:t>ת שיקול הדעת"</w:t>
      </w:r>
      <w:r>
        <w:rPr>
          <w:rFonts w:hint="cs"/>
          <w:rtl/>
        </w:rPr>
        <w:t xml:space="preserve">. אין יסוד, אפוא, לטענת המערער, כי הפגיעה נעשתה </w:t>
      </w:r>
      <w:r w:rsidRPr="00FB5CF6">
        <w:rPr>
          <w:rFonts w:ascii="Century" w:hAnsi="Century" w:cs="Miriam" w:hint="cs"/>
          <w:b/>
          <w:spacing w:val="0"/>
          <w:sz w:val="22"/>
          <w:szCs w:val="24"/>
          <w:rtl/>
        </w:rPr>
        <w:t>"שלא לפי חוק"</w:t>
      </w:r>
      <w:r>
        <w:rPr>
          <w:rFonts w:hint="cs"/>
          <w:rtl/>
        </w:rPr>
        <w:t xml:space="preserve">. </w:t>
      </w:r>
    </w:p>
    <w:p w:rsidR="00D512D4" w:rsidRPr="00EB4D87" w:rsidRDefault="00D512D4" w:rsidP="000B6AE3">
      <w:pPr>
        <w:pStyle w:val="Ruller41"/>
        <w:spacing w:line="240" w:lineRule="auto"/>
      </w:pPr>
    </w:p>
    <w:p w:rsidR="00D512D4" w:rsidRPr="00B82064" w:rsidRDefault="00D512D4" w:rsidP="00C94C06">
      <w:pPr>
        <w:pStyle w:val="Ruller4"/>
        <w:rPr>
          <w:rFonts w:ascii="Century" w:hAnsi="Century"/>
          <w:sz w:val="22"/>
          <w:rtl/>
        </w:rPr>
      </w:pPr>
      <w:r w:rsidRPr="00541692">
        <w:rPr>
          <w:rFonts w:ascii="Century" w:hAnsi="Century" w:hint="cs"/>
          <w:sz w:val="22"/>
          <w:rtl/>
        </w:rPr>
        <w:t>אשר ל</w:t>
      </w:r>
      <w:r>
        <w:rPr>
          <w:rFonts w:ascii="Century" w:hAnsi="Century" w:hint="cs"/>
          <w:sz w:val="22"/>
          <w:rtl/>
        </w:rPr>
        <w:t xml:space="preserve">טענה כי </w:t>
      </w:r>
      <w:r w:rsidRPr="00541692">
        <w:rPr>
          <w:rFonts w:ascii="Century" w:hAnsi="Century" w:hint="cs"/>
          <w:sz w:val="22"/>
          <w:rtl/>
        </w:rPr>
        <w:t xml:space="preserve">צו הנזיקים האזרחיים </w:t>
      </w:r>
      <w:r>
        <w:rPr>
          <w:rFonts w:ascii="Century" w:hAnsi="Century" w:hint="cs"/>
          <w:sz w:val="22"/>
          <w:rtl/>
        </w:rPr>
        <w:t xml:space="preserve">נתקן באופן רטרואקטיבי </w:t>
      </w:r>
      <w:r w:rsidRPr="00541692">
        <w:rPr>
          <w:rFonts w:ascii="Century" w:hAnsi="Century"/>
          <w:sz w:val="22"/>
          <w:rtl/>
        </w:rPr>
        <w:t>–</w:t>
      </w:r>
      <w:r w:rsidRPr="00541692">
        <w:rPr>
          <w:rFonts w:ascii="Century" w:hAnsi="Century" w:hint="cs"/>
          <w:sz w:val="22"/>
          <w:rtl/>
        </w:rPr>
        <w:t xml:space="preserve"> </w:t>
      </w:r>
      <w:r>
        <w:rPr>
          <w:rFonts w:ascii="Century" w:hAnsi="Century" w:hint="cs"/>
          <w:sz w:val="22"/>
          <w:rtl/>
        </w:rPr>
        <w:t>הרי ש</w:t>
      </w:r>
      <w:r w:rsidRPr="00541692">
        <w:rPr>
          <w:rFonts w:ascii="Century" w:hAnsi="Century" w:hint="cs"/>
          <w:sz w:val="22"/>
          <w:rtl/>
        </w:rPr>
        <w:t xml:space="preserve">טענה זו כבר נדחתה לעיל, </w:t>
      </w:r>
      <w:r>
        <w:rPr>
          <w:rFonts w:ascii="Century" w:hAnsi="Century" w:hint="cs"/>
          <w:sz w:val="22"/>
          <w:rtl/>
        </w:rPr>
        <w:t xml:space="preserve">משנמצא כי </w:t>
      </w:r>
      <w:r w:rsidR="007B5D21">
        <w:rPr>
          <w:rFonts w:ascii="Century" w:hAnsi="Century" w:hint="cs"/>
          <w:sz w:val="22"/>
          <w:rtl/>
        </w:rPr>
        <w:t>א</w:t>
      </w:r>
      <w:r w:rsidRPr="00541692">
        <w:rPr>
          <w:rFonts w:ascii="Century" w:hAnsi="Century" w:hint="cs"/>
          <w:sz w:val="22"/>
          <w:rtl/>
        </w:rPr>
        <w:t xml:space="preserve">ינה מתעוררת בעניינו </w:t>
      </w:r>
      <w:r>
        <w:rPr>
          <w:rFonts w:ascii="Century" w:hAnsi="Century" w:hint="cs"/>
          <w:sz w:val="22"/>
          <w:rtl/>
        </w:rPr>
        <w:t xml:space="preserve">הספציפי </w:t>
      </w:r>
      <w:r w:rsidRPr="00541692">
        <w:rPr>
          <w:rFonts w:ascii="Century" w:hAnsi="Century" w:hint="cs"/>
          <w:sz w:val="22"/>
          <w:rtl/>
        </w:rPr>
        <w:t>של המערער</w:t>
      </w:r>
      <w:r>
        <w:rPr>
          <w:rFonts w:ascii="Century" w:hAnsi="Century" w:hint="cs"/>
          <w:sz w:val="22"/>
          <w:rtl/>
        </w:rPr>
        <w:t>, ועל כן אינה מתאימה לבירור בדרך של תקיפה עקיפה</w:t>
      </w:r>
      <w:r w:rsidRPr="00541692">
        <w:rPr>
          <w:rFonts w:ascii="Century" w:hAnsi="Century" w:hint="cs"/>
          <w:sz w:val="22"/>
          <w:rtl/>
        </w:rPr>
        <w:t xml:space="preserve">. בקצירת האומר </w:t>
      </w:r>
      <w:r>
        <w:rPr>
          <w:rFonts w:ascii="Century" w:hAnsi="Century" w:hint="cs"/>
          <w:sz w:val="22"/>
          <w:rtl/>
        </w:rPr>
        <w:t>אוסיף</w:t>
      </w:r>
      <w:r w:rsidRPr="00541692">
        <w:rPr>
          <w:rFonts w:ascii="Century" w:hAnsi="Century" w:hint="cs"/>
          <w:sz w:val="22"/>
          <w:rtl/>
        </w:rPr>
        <w:t xml:space="preserve">, </w:t>
      </w:r>
      <w:r>
        <w:rPr>
          <w:rFonts w:ascii="Century" w:hAnsi="Century" w:hint="cs"/>
          <w:sz w:val="22"/>
          <w:rtl/>
        </w:rPr>
        <w:t xml:space="preserve">למעלה מן הצורך, </w:t>
      </w:r>
      <w:r w:rsidRPr="00541692">
        <w:rPr>
          <w:rFonts w:ascii="Century" w:hAnsi="Century" w:hint="cs"/>
          <w:sz w:val="22"/>
          <w:rtl/>
        </w:rPr>
        <w:t xml:space="preserve">כי גם לגוף הדברים </w:t>
      </w:r>
      <w:r w:rsidRPr="00541692">
        <w:rPr>
          <w:rFonts w:ascii="Century" w:hAnsi="Century"/>
          <w:sz w:val="22"/>
          <w:rtl/>
        </w:rPr>
        <w:t>–</w:t>
      </w:r>
      <w:r w:rsidRPr="00541692">
        <w:rPr>
          <w:rFonts w:ascii="Century" w:hAnsi="Century" w:hint="cs"/>
          <w:sz w:val="22"/>
          <w:rtl/>
        </w:rPr>
        <w:t xml:space="preserve"> דין טענה</w:t>
      </w:r>
      <w:r>
        <w:rPr>
          <w:rFonts w:ascii="Century" w:hAnsi="Century" w:hint="cs"/>
          <w:sz w:val="22"/>
          <w:rtl/>
        </w:rPr>
        <w:t xml:space="preserve"> זו </w:t>
      </w:r>
      <w:r w:rsidRPr="00541692">
        <w:rPr>
          <w:rFonts w:ascii="Century" w:hAnsi="Century" w:hint="cs"/>
          <w:sz w:val="22"/>
          <w:rtl/>
        </w:rPr>
        <w:t>להידחות. חקיקה אזרחית רטרואקטיבית, כשלעצמה, אי</w:t>
      </w:r>
      <w:r>
        <w:rPr>
          <w:rFonts w:ascii="Century" w:hAnsi="Century" w:hint="cs"/>
          <w:sz w:val="22"/>
          <w:rtl/>
        </w:rPr>
        <w:t>נ</w:t>
      </w:r>
      <w:r w:rsidRPr="00541692">
        <w:rPr>
          <w:rFonts w:ascii="Century" w:hAnsi="Century" w:hint="cs"/>
          <w:sz w:val="22"/>
          <w:rtl/>
        </w:rPr>
        <w:t>ה דבר פסול</w:t>
      </w:r>
      <w:r>
        <w:rPr>
          <w:rFonts w:ascii="Century" w:hAnsi="Century" w:hint="cs"/>
          <w:sz w:val="22"/>
          <w:rtl/>
        </w:rPr>
        <w:t>;</w:t>
      </w:r>
      <w:r w:rsidRPr="00541692">
        <w:rPr>
          <w:rFonts w:ascii="Century" w:hAnsi="Century" w:hint="cs"/>
          <w:sz w:val="22"/>
          <w:rtl/>
        </w:rPr>
        <w:t xml:space="preserve"> </w:t>
      </w:r>
      <w:r>
        <w:rPr>
          <w:rFonts w:ascii="Century" w:hAnsi="Century" w:hint="cs"/>
          <w:sz w:val="22"/>
          <w:rtl/>
        </w:rPr>
        <w:t xml:space="preserve">קביעתה בדרך זו, איננה </w:t>
      </w:r>
      <w:r w:rsidRPr="00541692">
        <w:rPr>
          <w:rFonts w:ascii="Century" w:hAnsi="Century" w:hint="cs"/>
          <w:sz w:val="22"/>
          <w:rtl/>
        </w:rPr>
        <w:t xml:space="preserve">מוגבלת על-ידי חוקי היסוד: </w:t>
      </w:r>
      <w:r w:rsidRPr="00541692">
        <w:rPr>
          <w:rFonts w:ascii="Century" w:hAnsi="Century" w:cs="Miriam" w:hint="cs"/>
          <w:b/>
          <w:spacing w:val="0"/>
          <w:sz w:val="22"/>
          <w:szCs w:val="24"/>
          <w:rtl/>
        </w:rPr>
        <w:t>"</w:t>
      </w:r>
      <w:r w:rsidRPr="00541692">
        <w:rPr>
          <w:rFonts w:ascii="Century" w:hAnsi="Century" w:cs="Miriam" w:hint="eastAsia"/>
          <w:b/>
          <w:spacing w:val="0"/>
          <w:sz w:val="22"/>
          <w:szCs w:val="24"/>
          <w:rtl/>
        </w:rPr>
        <w:t>אם</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רוצה</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הכנסת</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לחוקק</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חוק</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עם</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תוקף</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רטרואקטיבי</w:t>
      </w:r>
      <w:r w:rsidRPr="00541692">
        <w:rPr>
          <w:rFonts w:ascii="Century" w:hAnsi="Century" w:cs="Miriam" w:hint="cs"/>
          <w:b/>
          <w:spacing w:val="0"/>
          <w:sz w:val="22"/>
          <w:szCs w:val="24"/>
          <w:rtl/>
        </w:rPr>
        <w:t xml:space="preserve"> </w:t>
      </w:r>
      <w:r w:rsidRPr="00541692">
        <w:rPr>
          <w:rFonts w:ascii="Century" w:hAnsi="Century" w:cs="Miriam" w:hint="eastAsia"/>
          <w:b/>
          <w:spacing w:val="0"/>
          <w:sz w:val="22"/>
          <w:szCs w:val="24"/>
          <w:rtl/>
        </w:rPr>
        <w:t>זה</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עניינה</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ובית</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המשפט</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לא</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יכתיב</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לה</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את</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רצונו</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שלו</w:t>
      </w:r>
      <w:r w:rsidRPr="00541692">
        <w:rPr>
          <w:rFonts w:ascii="Century" w:hAnsi="Century" w:cs="Miriam"/>
          <w:b/>
          <w:spacing w:val="0"/>
          <w:sz w:val="22"/>
          <w:szCs w:val="24"/>
          <w:rtl/>
        </w:rPr>
        <w:t>"</w:t>
      </w:r>
      <w:r w:rsidRPr="00541692">
        <w:rPr>
          <w:rFonts w:ascii="Century" w:hAnsi="Century" w:cs="Miriam" w:hint="cs"/>
          <w:b/>
          <w:spacing w:val="0"/>
          <w:sz w:val="22"/>
          <w:szCs w:val="24"/>
          <w:rtl/>
        </w:rPr>
        <w:t xml:space="preserve"> </w:t>
      </w:r>
      <w:r w:rsidRPr="00541692">
        <w:rPr>
          <w:rFonts w:ascii="Century" w:hAnsi="Century"/>
          <w:sz w:val="22"/>
          <w:rtl/>
        </w:rPr>
        <w:t>(ע"א 1613</w:t>
      </w:r>
      <w:r w:rsidRPr="00541692">
        <w:rPr>
          <w:rFonts w:ascii="Century" w:hAnsi="Century" w:hint="cs"/>
          <w:sz w:val="22"/>
          <w:rtl/>
        </w:rPr>
        <w:t>/</w:t>
      </w:r>
      <w:r w:rsidRPr="00541692">
        <w:rPr>
          <w:rFonts w:ascii="Century" w:hAnsi="Century"/>
          <w:sz w:val="22"/>
          <w:rtl/>
        </w:rPr>
        <w:t xml:space="preserve">91 </w:t>
      </w:r>
      <w:r w:rsidRPr="00541692">
        <w:rPr>
          <w:rFonts w:ascii="Century" w:hAnsi="Century" w:cs="Miriam"/>
          <w:b/>
          <w:spacing w:val="0"/>
          <w:sz w:val="22"/>
          <w:szCs w:val="24"/>
          <w:rtl/>
        </w:rPr>
        <w:t>ארביב נ' מדינת ישראל</w:t>
      </w:r>
      <w:r w:rsidRPr="00541692">
        <w:rPr>
          <w:rFonts w:ascii="Century" w:hAnsi="Century"/>
          <w:sz w:val="22"/>
          <w:rtl/>
        </w:rPr>
        <w:t xml:space="preserve">, </w:t>
      </w:r>
      <w:r w:rsidR="00811B3D">
        <w:rPr>
          <w:rFonts w:ascii="Century" w:hAnsi="Century" w:hint="cs"/>
          <w:sz w:val="22"/>
          <w:rtl/>
        </w:rPr>
        <w:t xml:space="preserve">פ"ד </w:t>
      </w:r>
      <w:r w:rsidRPr="00541692">
        <w:rPr>
          <w:rFonts w:ascii="Century" w:hAnsi="Century"/>
          <w:sz w:val="22"/>
          <w:rtl/>
        </w:rPr>
        <w:t>מו(2) 765</w:t>
      </w:r>
      <w:r w:rsidRPr="00541692">
        <w:rPr>
          <w:rFonts w:ascii="Century" w:hAnsi="Century" w:hint="cs"/>
          <w:sz w:val="22"/>
          <w:rtl/>
        </w:rPr>
        <w:t xml:space="preserve">, 775 (1992); </w:t>
      </w:r>
      <w:r w:rsidRPr="00541692">
        <w:rPr>
          <w:rFonts w:ascii="Century" w:hAnsi="Century" w:hint="eastAsia"/>
          <w:sz w:val="22"/>
          <w:rtl/>
        </w:rPr>
        <w:t>בג</w:t>
      </w:r>
      <w:r w:rsidRPr="00541692">
        <w:rPr>
          <w:rFonts w:ascii="Century" w:hAnsi="Century" w:hint="cs"/>
          <w:sz w:val="22"/>
          <w:rtl/>
        </w:rPr>
        <w:t>"</w:t>
      </w:r>
      <w:r w:rsidRPr="00541692">
        <w:rPr>
          <w:rFonts w:ascii="Century" w:hAnsi="Century" w:hint="eastAsia"/>
          <w:sz w:val="22"/>
          <w:rtl/>
        </w:rPr>
        <w:t>ץ</w:t>
      </w:r>
      <w:r w:rsidRPr="00541692">
        <w:rPr>
          <w:rFonts w:ascii="Century" w:hAnsi="Century"/>
          <w:sz w:val="22"/>
          <w:rtl/>
        </w:rPr>
        <w:t xml:space="preserve"> 4562/92‏ </w:t>
      </w:r>
      <w:r w:rsidRPr="00541692">
        <w:rPr>
          <w:rFonts w:ascii="Century" w:hAnsi="Century" w:cs="Miriam" w:hint="eastAsia"/>
          <w:b/>
          <w:spacing w:val="0"/>
          <w:sz w:val="22"/>
          <w:szCs w:val="24"/>
          <w:rtl/>
        </w:rPr>
        <w:t>זנדברג</w:t>
      </w:r>
      <w:r w:rsidRPr="00541692">
        <w:rPr>
          <w:rFonts w:ascii="Century" w:hAnsi="Century" w:cs="Miriam" w:hint="eastAsia"/>
          <w:b/>
          <w:spacing w:val="0"/>
          <w:sz w:val="22"/>
          <w:szCs w:val="24"/>
          <w:cs/>
        </w:rPr>
        <w:t>‎</w:t>
      </w:r>
      <w:r w:rsidRPr="00541692">
        <w:rPr>
          <w:rFonts w:ascii="Century" w:hAnsi="Century" w:cs="Miriam"/>
          <w:b/>
          <w:spacing w:val="0"/>
          <w:sz w:val="22"/>
          <w:szCs w:val="24"/>
        </w:rPr>
        <w:t xml:space="preserve"> </w:t>
      </w:r>
      <w:r w:rsidRPr="00541692">
        <w:rPr>
          <w:rFonts w:ascii="Century" w:hAnsi="Century" w:cs="Miriam"/>
          <w:b/>
          <w:spacing w:val="0"/>
          <w:sz w:val="22"/>
          <w:szCs w:val="24"/>
          <w:cs/>
        </w:rPr>
        <w:t>‎</w:t>
      </w:r>
      <w:r w:rsidRPr="00541692">
        <w:rPr>
          <w:rFonts w:ascii="Century" w:hAnsi="Century" w:cs="Miriam" w:hint="eastAsia"/>
          <w:b/>
          <w:spacing w:val="0"/>
          <w:sz w:val="22"/>
          <w:szCs w:val="24"/>
          <w:rtl/>
        </w:rPr>
        <w:t>נ</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רשות</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השידור</w:t>
      </w:r>
      <w:r w:rsidRPr="00541692">
        <w:rPr>
          <w:rFonts w:ascii="Century" w:hAnsi="Century"/>
          <w:sz w:val="22"/>
          <w:rtl/>
        </w:rPr>
        <w:t xml:space="preserve">, </w:t>
      </w:r>
      <w:r w:rsidRPr="00541692">
        <w:rPr>
          <w:rFonts w:ascii="Century" w:hAnsi="Century" w:hint="eastAsia"/>
          <w:sz w:val="22"/>
          <w:rtl/>
        </w:rPr>
        <w:t>פ</w:t>
      </w:r>
      <w:r>
        <w:rPr>
          <w:rFonts w:ascii="Century" w:hAnsi="Century" w:hint="cs"/>
          <w:sz w:val="22"/>
          <w:rtl/>
        </w:rPr>
        <w:t>"</w:t>
      </w:r>
      <w:r w:rsidRPr="00541692">
        <w:rPr>
          <w:rFonts w:ascii="Century" w:hAnsi="Century" w:hint="eastAsia"/>
          <w:sz w:val="22"/>
          <w:rtl/>
        </w:rPr>
        <w:t>ד</w:t>
      </w:r>
      <w:r w:rsidRPr="00541692">
        <w:rPr>
          <w:rFonts w:ascii="Century" w:hAnsi="Century"/>
          <w:sz w:val="22"/>
          <w:rtl/>
        </w:rPr>
        <w:t xml:space="preserve"> </w:t>
      </w:r>
      <w:r w:rsidRPr="00541692">
        <w:rPr>
          <w:rFonts w:ascii="Century" w:hAnsi="Century" w:hint="eastAsia"/>
          <w:sz w:val="22"/>
          <w:rtl/>
        </w:rPr>
        <w:t>נ</w:t>
      </w:r>
      <w:r w:rsidRPr="00541692">
        <w:rPr>
          <w:rFonts w:ascii="Century" w:hAnsi="Century"/>
          <w:sz w:val="22"/>
          <w:rtl/>
        </w:rPr>
        <w:t>(2) 793</w:t>
      </w:r>
      <w:r w:rsidRPr="00541692">
        <w:rPr>
          <w:rFonts w:ascii="Century" w:hAnsi="Century" w:hint="cs"/>
          <w:sz w:val="22"/>
          <w:rtl/>
        </w:rPr>
        <w:t xml:space="preserve"> (1996)). אכן, חקיקה רטרואקטיבית </w:t>
      </w:r>
      <w:r>
        <w:rPr>
          <w:rFonts w:ascii="Century" w:hAnsi="Century" w:hint="cs"/>
          <w:sz w:val="22"/>
          <w:rtl/>
        </w:rPr>
        <w:t xml:space="preserve">עלולה </w:t>
      </w:r>
      <w:r w:rsidRPr="00541692">
        <w:rPr>
          <w:rFonts w:ascii="Century" w:hAnsi="Century" w:hint="cs"/>
          <w:sz w:val="22"/>
          <w:rtl/>
        </w:rPr>
        <w:t xml:space="preserve">לעורר קושי, בעיקר כאשר </w:t>
      </w:r>
      <w:r>
        <w:rPr>
          <w:rFonts w:ascii="Century" w:hAnsi="Century" w:hint="cs"/>
          <w:sz w:val="22"/>
          <w:rtl/>
        </w:rPr>
        <w:t>היא פוגעת ב</w:t>
      </w:r>
      <w:r w:rsidRPr="00541692">
        <w:rPr>
          <w:rFonts w:ascii="Century" w:hAnsi="Century" w:hint="cs"/>
          <w:sz w:val="22"/>
          <w:rtl/>
        </w:rPr>
        <w:t>אינטרס ההסתמכות</w:t>
      </w:r>
      <w:r>
        <w:rPr>
          <w:rFonts w:ascii="Century" w:hAnsi="Century" w:hint="cs"/>
          <w:sz w:val="22"/>
          <w:rtl/>
        </w:rPr>
        <w:t>,</w:t>
      </w:r>
      <w:r w:rsidRPr="00541692">
        <w:rPr>
          <w:rFonts w:ascii="Century" w:hAnsi="Century" w:hint="cs"/>
          <w:sz w:val="22"/>
          <w:rtl/>
        </w:rPr>
        <w:t xml:space="preserve"> ו</w:t>
      </w:r>
      <w:r>
        <w:rPr>
          <w:rFonts w:ascii="Century" w:hAnsi="Century" w:hint="cs"/>
          <w:sz w:val="22"/>
          <w:rtl/>
        </w:rPr>
        <w:t>ב</w:t>
      </w:r>
      <w:r w:rsidRPr="00541692">
        <w:rPr>
          <w:rFonts w:ascii="Century" w:hAnsi="Century" w:hint="cs"/>
          <w:sz w:val="22"/>
          <w:rtl/>
        </w:rPr>
        <w:t>צ</w:t>
      </w:r>
      <w:r>
        <w:rPr>
          <w:rFonts w:ascii="Century" w:hAnsi="Century" w:hint="cs"/>
          <w:sz w:val="22"/>
          <w:rtl/>
        </w:rPr>
        <w:t>י</w:t>
      </w:r>
      <w:r w:rsidRPr="00541692">
        <w:rPr>
          <w:rFonts w:ascii="Century" w:hAnsi="Century" w:hint="cs"/>
          <w:sz w:val="22"/>
          <w:rtl/>
        </w:rPr>
        <w:t xml:space="preserve">פיותיו של מי </w:t>
      </w:r>
      <w:r>
        <w:rPr>
          <w:rFonts w:ascii="Century" w:hAnsi="Century" w:hint="cs"/>
          <w:sz w:val="22"/>
          <w:rtl/>
        </w:rPr>
        <w:t xml:space="preserve">שהתבסס </w:t>
      </w:r>
      <w:r w:rsidRPr="00541692">
        <w:rPr>
          <w:rFonts w:ascii="Century" w:hAnsi="Century" w:hint="cs"/>
          <w:sz w:val="22"/>
          <w:rtl/>
        </w:rPr>
        <w:t xml:space="preserve">על המצב החוקי הקודם (דפנה ברק ארז, </w:t>
      </w:r>
      <w:r w:rsidRPr="00541692">
        <w:rPr>
          <w:rFonts w:ascii="Century" w:hAnsi="Century" w:cs="Miriam" w:hint="cs"/>
          <w:b/>
          <w:spacing w:val="0"/>
          <w:sz w:val="22"/>
          <w:szCs w:val="24"/>
          <w:rtl/>
        </w:rPr>
        <w:t>משפט מנהלי</w:t>
      </w:r>
      <w:r>
        <w:rPr>
          <w:rFonts w:ascii="Century" w:hAnsi="Century" w:hint="cs"/>
          <w:sz w:val="22"/>
          <w:rtl/>
        </w:rPr>
        <w:t xml:space="preserve"> </w:t>
      </w:r>
      <w:r w:rsidRPr="000821BB">
        <w:rPr>
          <w:rFonts w:ascii="Century" w:hAnsi="Century" w:hint="eastAsia"/>
          <w:sz w:val="22"/>
          <w:rtl/>
        </w:rPr>
        <w:t>א</w:t>
      </w:r>
      <w:r w:rsidRPr="002F1373">
        <w:rPr>
          <w:rFonts w:ascii="Century" w:hAnsi="Century" w:hint="cs"/>
          <w:sz w:val="22"/>
          <w:rtl/>
        </w:rPr>
        <w:t>,</w:t>
      </w:r>
      <w:r w:rsidRPr="005D52C1">
        <w:rPr>
          <w:rFonts w:ascii="Century" w:hAnsi="Century"/>
          <w:sz w:val="22"/>
          <w:rtl/>
        </w:rPr>
        <w:t xml:space="preserve"> </w:t>
      </w:r>
      <w:r w:rsidRPr="00541692">
        <w:rPr>
          <w:rFonts w:ascii="Century" w:hAnsi="Century" w:hint="cs"/>
          <w:sz w:val="22"/>
          <w:rtl/>
        </w:rPr>
        <w:t xml:space="preserve">358-357 (2010)). </w:t>
      </w:r>
      <w:r>
        <w:rPr>
          <w:rFonts w:ascii="Century" w:hAnsi="Century" w:hint="cs"/>
          <w:sz w:val="22"/>
          <w:rtl/>
        </w:rPr>
        <w:t>ברם, בכל הנוגע לדיני הנזיקין, ספק אם טענת הס</w:t>
      </w:r>
      <w:r w:rsidR="007B5D21">
        <w:rPr>
          <w:rFonts w:ascii="Century" w:hAnsi="Century" w:hint="cs"/>
          <w:sz w:val="22"/>
          <w:rtl/>
        </w:rPr>
        <w:t xml:space="preserve">תמכות היא טענה בעלת תוקף, ודאי </w:t>
      </w:r>
      <w:r>
        <w:rPr>
          <w:rFonts w:ascii="Century" w:hAnsi="Century" w:hint="cs"/>
          <w:sz w:val="22"/>
          <w:rtl/>
        </w:rPr>
        <w:t xml:space="preserve">כשהיא נשמעת מפי הניזוק (ראו: רע"א 8925/04 </w:t>
      </w:r>
      <w:r w:rsidRPr="00E32B3E">
        <w:rPr>
          <w:rFonts w:ascii="Century" w:hAnsi="Century" w:cs="Miriam" w:hint="cs"/>
          <w:b/>
          <w:spacing w:val="0"/>
          <w:sz w:val="22"/>
          <w:szCs w:val="24"/>
          <w:rtl/>
        </w:rPr>
        <w:t>סולל בונה נ' אלחמיד</w:t>
      </w:r>
      <w:r>
        <w:rPr>
          <w:rFonts w:ascii="Century" w:hAnsi="Century" w:hint="cs"/>
          <w:sz w:val="22"/>
          <w:rtl/>
        </w:rPr>
        <w:t xml:space="preserve">, פסקה 23 לפסק הדין של הנשיא </w:t>
      </w:r>
      <w:r w:rsidRPr="00E32B3E">
        <w:rPr>
          <w:rFonts w:ascii="Century" w:hAnsi="Century" w:cs="Miriam" w:hint="cs"/>
          <w:b/>
          <w:spacing w:val="0"/>
          <w:sz w:val="22"/>
          <w:szCs w:val="24"/>
          <w:rtl/>
        </w:rPr>
        <w:t>ברק</w:t>
      </w:r>
      <w:r w:rsidRPr="00E32B3E">
        <w:rPr>
          <w:rFonts w:ascii="Century" w:hAnsi="Century" w:hint="cs"/>
          <w:sz w:val="22"/>
          <w:rtl/>
        </w:rPr>
        <w:t xml:space="preserve"> </w:t>
      </w:r>
      <w:r>
        <w:rPr>
          <w:rFonts w:ascii="Century" w:hAnsi="Century" w:hint="cs"/>
          <w:sz w:val="22"/>
          <w:rtl/>
        </w:rPr>
        <w:t>(2006)</w:t>
      </w:r>
      <w:r w:rsidR="001A3FA4">
        <w:rPr>
          <w:rFonts w:ascii="Century" w:hAnsi="Century" w:hint="cs"/>
          <w:sz w:val="22"/>
          <w:rtl/>
        </w:rPr>
        <w:t>)</w:t>
      </w:r>
      <w:r>
        <w:rPr>
          <w:rFonts w:ascii="Century" w:hAnsi="Century" w:hint="cs"/>
          <w:sz w:val="22"/>
          <w:rtl/>
        </w:rPr>
        <w:t xml:space="preserve">. כך או כך, ממילא לא ניתן לטעון להסתמכות, </w:t>
      </w:r>
      <w:r w:rsidRPr="00541692">
        <w:rPr>
          <w:rFonts w:ascii="Century" w:hAnsi="Century" w:hint="cs"/>
          <w:sz w:val="22"/>
          <w:rtl/>
        </w:rPr>
        <w:t xml:space="preserve">מקום </w:t>
      </w:r>
      <w:r>
        <w:rPr>
          <w:rFonts w:ascii="Century" w:hAnsi="Century" w:hint="cs"/>
          <w:sz w:val="22"/>
          <w:rtl/>
        </w:rPr>
        <w:t>ש</w:t>
      </w:r>
      <w:r w:rsidRPr="00541692">
        <w:rPr>
          <w:rFonts w:ascii="Century" w:hAnsi="Century" w:hint="cs"/>
          <w:sz w:val="22"/>
          <w:rtl/>
        </w:rPr>
        <w:t xml:space="preserve">בו פציעת המערער </w:t>
      </w:r>
      <w:r>
        <w:rPr>
          <w:rFonts w:ascii="Century" w:hAnsi="Century" w:hint="cs"/>
          <w:sz w:val="22"/>
          <w:rtl/>
        </w:rPr>
        <w:t xml:space="preserve">נגרמה </w:t>
      </w:r>
      <w:r w:rsidRPr="000821BB">
        <w:rPr>
          <w:rFonts w:ascii="Century" w:hAnsi="Century" w:cs="Miriam" w:hint="eastAsia"/>
          <w:b/>
          <w:spacing w:val="0"/>
          <w:sz w:val="22"/>
          <w:szCs w:val="24"/>
          <w:rtl/>
        </w:rPr>
        <w:t>לאחר</w:t>
      </w:r>
      <w:r w:rsidRPr="000821BB">
        <w:rPr>
          <w:rFonts w:ascii="Century" w:hAnsi="Century" w:cs="Miriam"/>
          <w:b/>
          <w:spacing w:val="0"/>
          <w:sz w:val="22"/>
          <w:szCs w:val="24"/>
          <w:rtl/>
        </w:rPr>
        <w:t xml:space="preserve"> </w:t>
      </w:r>
      <w:r w:rsidRPr="00541692">
        <w:rPr>
          <w:rFonts w:ascii="Century" w:hAnsi="Century" w:hint="cs"/>
          <w:sz w:val="22"/>
          <w:rtl/>
        </w:rPr>
        <w:t>הוצאת צו הנזיקים האזרחיים</w:t>
      </w:r>
      <w:r>
        <w:rPr>
          <w:rFonts w:ascii="Century" w:hAnsi="Century" w:hint="cs"/>
          <w:sz w:val="22"/>
          <w:rtl/>
        </w:rPr>
        <w:t>, כך שגם קו-טיעון זה אינו יכול עוד לעמוד</w:t>
      </w:r>
      <w:r w:rsidRPr="00541692">
        <w:rPr>
          <w:rFonts w:ascii="Century" w:hAnsi="Century" w:hint="cs"/>
          <w:sz w:val="22"/>
          <w:rtl/>
        </w:rPr>
        <w:t xml:space="preserve">. בנוסף, אין בידי לקבל את טענת המערער, </w:t>
      </w:r>
      <w:r>
        <w:rPr>
          <w:rFonts w:ascii="Century" w:hAnsi="Century" w:hint="cs"/>
          <w:sz w:val="22"/>
          <w:rtl/>
        </w:rPr>
        <w:t>ש</w:t>
      </w:r>
      <w:r w:rsidRPr="00541692">
        <w:rPr>
          <w:rFonts w:ascii="Century" w:hAnsi="Century" w:hint="cs"/>
          <w:sz w:val="22"/>
          <w:rtl/>
        </w:rPr>
        <w:t xml:space="preserve">לפיה </w:t>
      </w:r>
      <w:r>
        <w:rPr>
          <w:rFonts w:ascii="Century" w:hAnsi="Century" w:hint="cs"/>
          <w:sz w:val="22"/>
          <w:rtl/>
        </w:rPr>
        <w:t xml:space="preserve">דבר החקיקה </w:t>
      </w:r>
      <w:r w:rsidRPr="00541692">
        <w:rPr>
          <w:rFonts w:ascii="Century" w:hAnsi="Century" w:hint="cs"/>
          <w:sz w:val="22"/>
          <w:rtl/>
        </w:rPr>
        <w:t xml:space="preserve">הראשי </w:t>
      </w:r>
      <w:r w:rsidRPr="00541692">
        <w:rPr>
          <w:rFonts w:ascii="Century" w:hAnsi="Century"/>
          <w:sz w:val="22"/>
          <w:rtl/>
        </w:rPr>
        <w:t>–</w:t>
      </w:r>
      <w:r w:rsidRPr="00541692">
        <w:rPr>
          <w:rFonts w:ascii="Century" w:hAnsi="Century" w:hint="cs"/>
          <w:sz w:val="22"/>
          <w:rtl/>
        </w:rPr>
        <w:t xml:space="preserve"> סעיף 5ב(א)(1) </w:t>
      </w:r>
      <w:r>
        <w:rPr>
          <w:rFonts w:ascii="Century" w:hAnsi="Century" w:hint="cs"/>
          <w:sz w:val="22"/>
          <w:rtl/>
        </w:rPr>
        <w:t xml:space="preserve">לחוק </w:t>
      </w:r>
      <w:r w:rsidRPr="00541692">
        <w:rPr>
          <w:rFonts w:ascii="Century" w:hAnsi="Century"/>
          <w:sz w:val="22"/>
          <w:rtl/>
        </w:rPr>
        <w:t>–</w:t>
      </w:r>
      <w:r w:rsidRPr="00541692">
        <w:rPr>
          <w:rFonts w:ascii="Century" w:hAnsi="Century" w:hint="cs"/>
          <w:sz w:val="22"/>
          <w:rtl/>
        </w:rPr>
        <w:t xml:space="preserve"> אינו מסמיך את הממשלה ליתן צו שתחולתו למפרע. טענה זו</w:t>
      </w:r>
      <w:r>
        <w:rPr>
          <w:rFonts w:ascii="Century" w:hAnsi="Century" w:hint="cs"/>
          <w:sz w:val="22"/>
          <w:rtl/>
        </w:rPr>
        <w:t>,</w:t>
      </w:r>
      <w:r w:rsidRPr="00541692">
        <w:rPr>
          <w:rFonts w:ascii="Century" w:hAnsi="Century" w:hint="cs"/>
          <w:sz w:val="22"/>
          <w:rtl/>
        </w:rPr>
        <w:t xml:space="preserve"> אינה עולה בקנה אחד עם סעיף התחולה </w:t>
      </w:r>
      <w:r>
        <w:rPr>
          <w:rFonts w:ascii="Century" w:hAnsi="Century" w:hint="cs"/>
          <w:sz w:val="22"/>
          <w:rtl/>
        </w:rPr>
        <w:t>שנקבע ב</w:t>
      </w:r>
      <w:r w:rsidRPr="00541692">
        <w:rPr>
          <w:rFonts w:ascii="Century" w:hAnsi="Century" w:hint="cs"/>
          <w:sz w:val="22"/>
          <w:rtl/>
        </w:rPr>
        <w:t xml:space="preserve">תיקון </w:t>
      </w:r>
      <w:r>
        <w:rPr>
          <w:rFonts w:ascii="Century" w:hAnsi="Century" w:hint="cs"/>
          <w:sz w:val="22"/>
          <w:rtl/>
        </w:rPr>
        <w:t xml:space="preserve">מספר </w:t>
      </w:r>
      <w:r w:rsidRPr="00541692">
        <w:rPr>
          <w:rFonts w:ascii="Century" w:hAnsi="Century" w:hint="cs"/>
          <w:sz w:val="22"/>
          <w:rtl/>
        </w:rPr>
        <w:t>8</w:t>
      </w:r>
      <w:r>
        <w:rPr>
          <w:rFonts w:ascii="Century" w:hAnsi="Century" w:hint="cs"/>
          <w:sz w:val="22"/>
          <w:rtl/>
        </w:rPr>
        <w:t>, שלפיו</w:t>
      </w:r>
      <w:r w:rsidRPr="00541692">
        <w:rPr>
          <w:rFonts w:ascii="Century" w:hAnsi="Century" w:hint="cs"/>
          <w:sz w:val="22"/>
          <w:rtl/>
        </w:rPr>
        <w:t>:</w:t>
      </w:r>
      <w:r w:rsidRPr="00541692">
        <w:rPr>
          <w:rFonts w:ascii="Century" w:hAnsi="Century" w:hint="eastAsia"/>
          <w:sz w:val="22"/>
          <w:rtl/>
        </w:rPr>
        <w:t xml:space="preserve"> </w:t>
      </w:r>
      <w:r w:rsidRPr="00541692">
        <w:rPr>
          <w:rFonts w:ascii="Century" w:hAnsi="Century" w:cs="Miriam" w:hint="cs"/>
          <w:b/>
          <w:spacing w:val="0"/>
          <w:sz w:val="22"/>
          <w:szCs w:val="24"/>
          <w:rtl/>
        </w:rPr>
        <w:t>"</w:t>
      </w:r>
      <w:r w:rsidRPr="00541692">
        <w:rPr>
          <w:rFonts w:ascii="Century" w:hAnsi="Century" w:cs="Miriam" w:hint="eastAsia"/>
          <w:b/>
          <w:spacing w:val="0"/>
          <w:sz w:val="22"/>
          <w:szCs w:val="24"/>
          <w:rtl/>
        </w:rPr>
        <w:t>הוראות</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סעיף</w:t>
      </w:r>
      <w:r w:rsidRPr="00541692">
        <w:rPr>
          <w:rFonts w:ascii="Century" w:hAnsi="Century" w:cs="Miriam" w:hint="cs"/>
          <w:b/>
          <w:spacing w:val="0"/>
          <w:sz w:val="22"/>
          <w:szCs w:val="24"/>
          <w:rtl/>
        </w:rPr>
        <w:t xml:space="preserve"> 5ב(א)(1) </w:t>
      </w:r>
      <w:r w:rsidRPr="00541692">
        <w:rPr>
          <w:rFonts w:ascii="Century" w:hAnsi="Century" w:cs="Miriam" w:hint="eastAsia"/>
          <w:b/>
          <w:spacing w:val="0"/>
          <w:sz w:val="22"/>
          <w:szCs w:val="24"/>
          <w:rtl/>
        </w:rPr>
        <w:t>לחוק</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העיקרי</w:t>
      </w:r>
      <w:r>
        <w:rPr>
          <w:rFonts w:ascii="Century" w:hAnsi="Century" w:cs="Miriam" w:hint="cs"/>
          <w:b/>
          <w:spacing w:val="0"/>
          <w:sz w:val="22"/>
          <w:szCs w:val="24"/>
          <w:rtl/>
        </w:rPr>
        <w:t xml:space="preserve"> [</w:t>
      </w:r>
      <w:r w:rsidRPr="00541692">
        <w:rPr>
          <w:rFonts w:ascii="Century" w:hAnsi="Century" w:cs="Miriam" w:hint="cs"/>
          <w:b/>
          <w:spacing w:val="0"/>
          <w:sz w:val="22"/>
          <w:szCs w:val="24"/>
          <w:rtl/>
        </w:rPr>
        <w:t>...</w:t>
      </w:r>
      <w:r>
        <w:rPr>
          <w:rFonts w:ascii="Century" w:hAnsi="Century" w:cs="Miriam" w:hint="cs"/>
          <w:b/>
          <w:spacing w:val="0"/>
          <w:sz w:val="22"/>
          <w:szCs w:val="24"/>
          <w:rtl/>
        </w:rPr>
        <w:t>]</w:t>
      </w:r>
      <w:r w:rsidRPr="00541692">
        <w:rPr>
          <w:rFonts w:ascii="Century" w:hAnsi="Century" w:cs="Miriam" w:hint="cs"/>
          <w:b/>
          <w:spacing w:val="0"/>
          <w:sz w:val="22"/>
          <w:szCs w:val="24"/>
          <w:rtl/>
        </w:rPr>
        <w:t xml:space="preserve"> </w:t>
      </w:r>
      <w:r w:rsidRPr="00541692">
        <w:rPr>
          <w:rFonts w:ascii="Century" w:hAnsi="Century" w:cs="Miriam" w:hint="eastAsia"/>
          <w:b/>
          <w:spacing w:val="0"/>
          <w:sz w:val="22"/>
          <w:szCs w:val="24"/>
          <w:rtl/>
        </w:rPr>
        <w:t>יחולו</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על</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מעשה</w:t>
      </w:r>
      <w:r w:rsidRPr="00541692">
        <w:rPr>
          <w:rFonts w:ascii="Century" w:hAnsi="Century" w:cs="Miriam" w:hint="cs"/>
          <w:b/>
          <w:spacing w:val="0"/>
          <w:sz w:val="22"/>
          <w:szCs w:val="24"/>
          <w:rtl/>
        </w:rPr>
        <w:t xml:space="preserve"> </w:t>
      </w:r>
      <w:r w:rsidRPr="00541692">
        <w:rPr>
          <w:rFonts w:ascii="Century" w:hAnsi="Century" w:cs="Miriam" w:hint="eastAsia"/>
          <w:b/>
          <w:spacing w:val="0"/>
          <w:sz w:val="22"/>
          <w:szCs w:val="24"/>
          <w:rtl/>
        </w:rPr>
        <w:t>שאירע</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אחרי</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יום</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ח</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באלול</w:t>
      </w:r>
      <w:r w:rsidRPr="00541692">
        <w:rPr>
          <w:rFonts w:ascii="Century" w:hAnsi="Century" w:cs="Miriam"/>
          <w:b/>
          <w:spacing w:val="0"/>
          <w:sz w:val="22"/>
          <w:szCs w:val="24"/>
          <w:rtl/>
        </w:rPr>
        <w:t xml:space="preserve"> </w:t>
      </w:r>
      <w:r w:rsidRPr="00541692">
        <w:rPr>
          <w:rFonts w:ascii="Century" w:hAnsi="Century" w:cs="Miriam" w:hint="eastAsia"/>
          <w:b/>
          <w:spacing w:val="0"/>
          <w:sz w:val="22"/>
          <w:szCs w:val="24"/>
          <w:rtl/>
        </w:rPr>
        <w:t>התשס</w:t>
      </w:r>
      <w:r w:rsidRPr="00541692">
        <w:rPr>
          <w:rFonts w:ascii="Century" w:hAnsi="Century" w:cs="Miriam"/>
          <w:b/>
          <w:spacing w:val="0"/>
          <w:sz w:val="22"/>
          <w:szCs w:val="24"/>
          <w:rtl/>
        </w:rPr>
        <w:t>"</w:t>
      </w:r>
      <w:r w:rsidRPr="00541692">
        <w:rPr>
          <w:rFonts w:ascii="Century" w:hAnsi="Century" w:cs="Miriam" w:hint="eastAsia"/>
          <w:b/>
          <w:spacing w:val="0"/>
          <w:sz w:val="22"/>
          <w:szCs w:val="24"/>
          <w:rtl/>
        </w:rPr>
        <w:t>ה</w:t>
      </w:r>
      <w:r w:rsidRPr="00541692">
        <w:rPr>
          <w:rFonts w:ascii="Century" w:hAnsi="Century" w:cs="Miriam"/>
          <w:b/>
          <w:spacing w:val="0"/>
          <w:sz w:val="22"/>
          <w:szCs w:val="24"/>
          <w:rtl/>
        </w:rPr>
        <w:t xml:space="preserve"> </w:t>
      </w:r>
      <w:r w:rsidRPr="00541692">
        <w:rPr>
          <w:rFonts w:ascii="Century" w:hAnsi="Century" w:cs="Miriam" w:hint="cs"/>
          <w:b/>
          <w:spacing w:val="0"/>
          <w:sz w:val="22"/>
          <w:szCs w:val="24"/>
          <w:rtl/>
        </w:rPr>
        <w:t>(</w:t>
      </w:r>
      <w:r w:rsidRPr="00541692">
        <w:rPr>
          <w:rFonts w:ascii="Century" w:hAnsi="Century" w:cs="Miriam"/>
          <w:b/>
          <w:spacing w:val="0"/>
          <w:sz w:val="22"/>
          <w:szCs w:val="24"/>
          <w:rtl/>
        </w:rPr>
        <w:t xml:space="preserve">12 </w:t>
      </w:r>
      <w:r w:rsidRPr="00541692">
        <w:rPr>
          <w:rFonts w:ascii="Century" w:hAnsi="Century" w:cs="Miriam" w:hint="eastAsia"/>
          <w:b/>
          <w:spacing w:val="0"/>
          <w:sz w:val="22"/>
          <w:szCs w:val="24"/>
          <w:rtl/>
        </w:rPr>
        <w:t>בספטמבר</w:t>
      </w:r>
      <w:r w:rsidRPr="00541692">
        <w:rPr>
          <w:rFonts w:ascii="Century" w:hAnsi="Century" w:cs="Miriam"/>
          <w:b/>
          <w:spacing w:val="0"/>
          <w:sz w:val="22"/>
          <w:szCs w:val="24"/>
          <w:rtl/>
        </w:rPr>
        <w:t xml:space="preserve"> 2005</w:t>
      </w:r>
      <w:r w:rsidRPr="00541692">
        <w:rPr>
          <w:rFonts w:ascii="Century" w:hAnsi="Century" w:cs="Miriam" w:hint="cs"/>
          <w:b/>
          <w:spacing w:val="0"/>
          <w:sz w:val="22"/>
          <w:szCs w:val="24"/>
          <w:rtl/>
        </w:rPr>
        <w:t>)"</w:t>
      </w:r>
      <w:r w:rsidRPr="00541692">
        <w:rPr>
          <w:rFonts w:ascii="Century" w:hAnsi="Century" w:hint="cs"/>
          <w:sz w:val="22"/>
          <w:rtl/>
        </w:rPr>
        <w:t xml:space="preserve">. </w:t>
      </w:r>
      <w:r>
        <w:rPr>
          <w:rFonts w:ascii="Century" w:hAnsi="Century" w:hint="cs"/>
          <w:sz w:val="22"/>
          <w:rtl/>
        </w:rPr>
        <w:t xml:space="preserve">מהוראה זו נמצאנו למדים, כי כבר מלכתחילה נקבע, כי סעיף זה, שמכוחו הוסמכה הממשלה להכריז על מקום מסוים, כעל שטח אויב, יוחל באופן רטרואקטיבי, </w:t>
      </w:r>
      <w:r w:rsidR="00C94C06">
        <w:rPr>
          <w:rFonts w:ascii="Century" w:hAnsi="Century" w:hint="cs"/>
          <w:sz w:val="22"/>
          <w:rtl/>
        </w:rPr>
        <w:t>למן</w:t>
      </w:r>
      <w:r>
        <w:rPr>
          <w:rFonts w:ascii="Century" w:hAnsi="Century" w:hint="cs"/>
          <w:sz w:val="22"/>
          <w:rtl/>
        </w:rPr>
        <w:t xml:space="preserve"> </w:t>
      </w:r>
      <w:r w:rsidRPr="00B82064">
        <w:rPr>
          <w:rFonts w:ascii="Century" w:hAnsi="Century" w:hint="cs"/>
          <w:sz w:val="22"/>
          <w:rtl/>
        </w:rPr>
        <w:t>מועד יציאת כוחות הביטחון מרצועת עזה</w:t>
      </w:r>
      <w:r>
        <w:rPr>
          <w:rFonts w:ascii="Century" w:hAnsi="Century" w:hint="cs"/>
          <w:sz w:val="22"/>
          <w:rtl/>
        </w:rPr>
        <w:t xml:space="preserve"> (12.9.2005)</w:t>
      </w:r>
      <w:r w:rsidRPr="00B82064">
        <w:rPr>
          <w:rFonts w:ascii="Century" w:hAnsi="Century" w:hint="cs"/>
          <w:sz w:val="22"/>
          <w:rtl/>
        </w:rPr>
        <w:t xml:space="preserve">. </w:t>
      </w:r>
      <w:r>
        <w:rPr>
          <w:rFonts w:ascii="Century" w:hAnsi="Century" w:hint="cs"/>
          <w:sz w:val="22"/>
          <w:rtl/>
        </w:rPr>
        <w:t>כאמור,</w:t>
      </w:r>
      <w:r w:rsidRPr="00B82064">
        <w:rPr>
          <w:rFonts w:ascii="Century" w:hAnsi="Century" w:hint="cs"/>
          <w:sz w:val="22"/>
          <w:rtl/>
        </w:rPr>
        <w:t xml:space="preserve"> החקיקה הרטרואקטיבית</w:t>
      </w:r>
      <w:r>
        <w:rPr>
          <w:rFonts w:ascii="Century" w:hAnsi="Century" w:hint="cs"/>
          <w:sz w:val="22"/>
          <w:rtl/>
        </w:rPr>
        <w:t>,</w:t>
      </w:r>
      <w:r w:rsidRPr="00B82064">
        <w:rPr>
          <w:rFonts w:ascii="Century" w:hAnsi="Century" w:hint="cs"/>
          <w:sz w:val="22"/>
          <w:rtl/>
        </w:rPr>
        <w:t xml:space="preserve"> </w:t>
      </w:r>
      <w:r>
        <w:rPr>
          <w:rFonts w:ascii="Century" w:hAnsi="Century" w:hint="cs"/>
          <w:sz w:val="22"/>
          <w:rtl/>
        </w:rPr>
        <w:t xml:space="preserve">נועדה </w:t>
      </w:r>
      <w:r w:rsidRPr="00B82064">
        <w:rPr>
          <w:rFonts w:ascii="Century" w:hAnsi="Century" w:hint="cs"/>
          <w:sz w:val="22"/>
          <w:rtl/>
        </w:rPr>
        <w:t>ל</w:t>
      </w:r>
      <w:r w:rsidR="00A13D40">
        <w:rPr>
          <w:rFonts w:ascii="Century" w:hAnsi="Century" w:hint="cs"/>
          <w:sz w:val="22"/>
          <w:rtl/>
        </w:rPr>
        <w:t>יתן ב</w:t>
      </w:r>
      <w:r w:rsidRPr="00B82064">
        <w:rPr>
          <w:rFonts w:ascii="Century" w:hAnsi="Century" w:hint="cs"/>
          <w:sz w:val="22"/>
          <w:rtl/>
        </w:rPr>
        <w:t xml:space="preserve">יטוי משפטי, בהקשר הנזיקי, לסכסוך המזוין </w:t>
      </w:r>
      <w:r>
        <w:rPr>
          <w:rFonts w:ascii="Century" w:hAnsi="Century" w:hint="cs"/>
          <w:sz w:val="22"/>
          <w:rtl/>
        </w:rPr>
        <w:t xml:space="preserve">המתחולל בחיי המעשה </w:t>
      </w:r>
      <w:r w:rsidRPr="00B82064">
        <w:rPr>
          <w:rFonts w:ascii="Century" w:hAnsi="Century" w:hint="cs"/>
          <w:sz w:val="22"/>
          <w:rtl/>
        </w:rPr>
        <w:t xml:space="preserve">בין </w:t>
      </w:r>
      <w:r w:rsidR="00A13D40">
        <w:rPr>
          <w:rFonts w:ascii="Century" w:hAnsi="Century" w:hint="cs"/>
          <w:sz w:val="22"/>
          <w:rtl/>
        </w:rPr>
        <w:t>עזה ל</w:t>
      </w:r>
      <w:r w:rsidRPr="00B82064">
        <w:rPr>
          <w:rFonts w:ascii="Century" w:hAnsi="Century" w:hint="cs"/>
          <w:sz w:val="22"/>
          <w:rtl/>
        </w:rPr>
        <w:t xml:space="preserve">ישראל. </w:t>
      </w:r>
      <w:r>
        <w:rPr>
          <w:rFonts w:ascii="Century" w:hAnsi="Century" w:hint="cs"/>
          <w:sz w:val="22"/>
          <w:rtl/>
        </w:rPr>
        <w:t xml:space="preserve">אם כן, משהמחוקק </w:t>
      </w:r>
      <w:r w:rsidRPr="00B82064">
        <w:rPr>
          <w:rFonts w:ascii="Century" w:hAnsi="Century" w:hint="cs"/>
          <w:sz w:val="22"/>
          <w:rtl/>
        </w:rPr>
        <w:t>עצמו</w:t>
      </w:r>
      <w:r>
        <w:rPr>
          <w:rFonts w:ascii="Century" w:hAnsi="Century" w:hint="cs"/>
          <w:sz w:val="22"/>
          <w:rtl/>
        </w:rPr>
        <w:t xml:space="preserve"> קבע כי ה</w:t>
      </w:r>
      <w:r w:rsidRPr="00B82064">
        <w:rPr>
          <w:rFonts w:ascii="Century" w:hAnsi="Century" w:hint="cs"/>
          <w:sz w:val="22"/>
          <w:rtl/>
        </w:rPr>
        <w:t xml:space="preserve">סעיף </w:t>
      </w:r>
      <w:r>
        <w:rPr>
          <w:rFonts w:ascii="Century" w:hAnsi="Century" w:hint="cs"/>
          <w:sz w:val="22"/>
          <w:rtl/>
        </w:rPr>
        <w:t xml:space="preserve">יחול </w:t>
      </w:r>
      <w:r w:rsidRPr="00B82064">
        <w:rPr>
          <w:rFonts w:ascii="Century" w:hAnsi="Century" w:hint="cs"/>
          <w:sz w:val="22"/>
          <w:rtl/>
        </w:rPr>
        <w:t xml:space="preserve">למפרע, </w:t>
      </w:r>
      <w:r>
        <w:rPr>
          <w:rFonts w:ascii="Century" w:hAnsi="Century" w:hint="cs"/>
          <w:sz w:val="22"/>
          <w:rtl/>
        </w:rPr>
        <w:t>ודאי שגם סמכות הממשלה, להתקנת הצו, ניתנה באותו אופן</w:t>
      </w:r>
      <w:r w:rsidRPr="00B82064">
        <w:rPr>
          <w:rFonts w:ascii="Century" w:hAnsi="Century" w:hint="cs"/>
          <w:sz w:val="22"/>
          <w:rtl/>
        </w:rPr>
        <w:t xml:space="preserve">.  </w:t>
      </w:r>
      <w:r w:rsidR="00A94AFC">
        <w:rPr>
          <w:rFonts w:ascii="Century" w:hAnsi="Century" w:hint="cs"/>
          <w:sz w:val="22"/>
          <w:rtl/>
        </w:rPr>
        <w:t xml:space="preserve"> </w:t>
      </w:r>
    </w:p>
    <w:p w:rsidR="00D512D4" w:rsidRDefault="00D512D4" w:rsidP="009F054C">
      <w:pPr>
        <w:pStyle w:val="Ruller41"/>
        <w:spacing w:line="240" w:lineRule="auto"/>
        <w:rPr>
          <w:rtl/>
        </w:rPr>
      </w:pPr>
    </w:p>
    <w:p w:rsidR="00D512D4" w:rsidRPr="006128FB" w:rsidRDefault="00D512D4" w:rsidP="00A13D40">
      <w:pPr>
        <w:pStyle w:val="Ruller4"/>
        <w:rPr>
          <w:rtl/>
        </w:rPr>
      </w:pPr>
      <w:r>
        <w:rPr>
          <w:rFonts w:hint="cs"/>
          <w:rtl/>
        </w:rPr>
        <w:t xml:space="preserve">המערער לא טען כי החוק אינו </w:t>
      </w:r>
      <w:r w:rsidRPr="000821BB">
        <w:rPr>
          <w:rFonts w:ascii="Century" w:hAnsi="Century" w:hint="eastAsia"/>
          <w:sz w:val="22"/>
          <w:rtl/>
        </w:rPr>
        <w:t>הולם</w:t>
      </w:r>
      <w:r w:rsidRPr="000821BB">
        <w:rPr>
          <w:rFonts w:ascii="Century" w:hAnsi="Century"/>
          <w:sz w:val="22"/>
          <w:rtl/>
        </w:rPr>
        <w:t xml:space="preserve"> </w:t>
      </w:r>
      <w:r w:rsidRPr="000821BB">
        <w:rPr>
          <w:rFonts w:ascii="Century" w:hAnsi="Century" w:hint="eastAsia"/>
          <w:sz w:val="22"/>
          <w:rtl/>
        </w:rPr>
        <w:t>את</w:t>
      </w:r>
      <w:r w:rsidRPr="000821BB">
        <w:rPr>
          <w:rFonts w:ascii="Century" w:hAnsi="Century"/>
          <w:sz w:val="22"/>
          <w:rtl/>
        </w:rPr>
        <w:t xml:space="preserve"> </w:t>
      </w:r>
      <w:r w:rsidRPr="000821BB">
        <w:rPr>
          <w:rFonts w:ascii="Century" w:hAnsi="Century" w:hint="eastAsia"/>
          <w:sz w:val="22"/>
          <w:rtl/>
        </w:rPr>
        <w:t>ערכיה</w:t>
      </w:r>
      <w:r w:rsidRPr="000821BB">
        <w:rPr>
          <w:rFonts w:ascii="Century" w:hAnsi="Century"/>
          <w:sz w:val="22"/>
          <w:rtl/>
        </w:rPr>
        <w:t xml:space="preserve"> </w:t>
      </w:r>
      <w:r w:rsidRPr="000821BB">
        <w:rPr>
          <w:rFonts w:ascii="Century" w:hAnsi="Century" w:hint="eastAsia"/>
          <w:sz w:val="22"/>
          <w:rtl/>
        </w:rPr>
        <w:t>של</w:t>
      </w:r>
      <w:r w:rsidRPr="000821BB">
        <w:rPr>
          <w:rFonts w:ascii="Century" w:hAnsi="Century"/>
          <w:sz w:val="22"/>
          <w:rtl/>
        </w:rPr>
        <w:t xml:space="preserve"> </w:t>
      </w:r>
      <w:r w:rsidRPr="000821BB">
        <w:rPr>
          <w:rFonts w:ascii="Century" w:hAnsi="Century" w:hint="eastAsia"/>
          <w:sz w:val="22"/>
          <w:rtl/>
        </w:rPr>
        <w:t>מדינת</w:t>
      </w:r>
      <w:r w:rsidRPr="000821BB">
        <w:rPr>
          <w:rFonts w:ascii="Century" w:hAnsi="Century"/>
          <w:sz w:val="22"/>
          <w:rtl/>
        </w:rPr>
        <w:t xml:space="preserve"> </w:t>
      </w:r>
      <w:r w:rsidRPr="000821BB">
        <w:rPr>
          <w:rFonts w:ascii="Century" w:hAnsi="Century" w:hint="eastAsia"/>
          <w:sz w:val="22"/>
          <w:rtl/>
        </w:rPr>
        <w:t>ישראל</w:t>
      </w:r>
      <w:r>
        <w:rPr>
          <w:rFonts w:hint="cs"/>
          <w:rtl/>
        </w:rPr>
        <w:t>, ולפיכך ניתן לדלג על בירור שאלה זו, ולבחון האם החוק עומד ביתר תנאֵי פסקת ההגבלה.</w:t>
      </w:r>
    </w:p>
    <w:p w:rsidR="00D512D4" w:rsidRPr="00A71283" w:rsidRDefault="00D512D4" w:rsidP="00D512D4">
      <w:pPr>
        <w:pStyle w:val="Ruller41"/>
      </w:pPr>
    </w:p>
    <w:p w:rsidR="00D512D4" w:rsidRPr="00BF4119" w:rsidRDefault="000067AF" w:rsidP="009C43F8">
      <w:pPr>
        <w:pStyle w:val="4"/>
      </w:pPr>
      <w:bookmarkStart w:id="48" w:name="_Toc107851303"/>
      <w:bookmarkStart w:id="49" w:name="_Toc107851358"/>
      <w:r>
        <w:rPr>
          <w:rFonts w:hint="cs"/>
          <w:rtl/>
        </w:rPr>
        <w:t xml:space="preserve">ד.2.2.3. </w:t>
      </w:r>
      <w:r w:rsidR="00D512D4" w:rsidRPr="00BF4119">
        <w:rPr>
          <w:rFonts w:hint="cs"/>
          <w:rtl/>
        </w:rPr>
        <w:t>החוק נועד לתכלית ראויה</w:t>
      </w:r>
      <w:bookmarkEnd w:id="48"/>
      <w:bookmarkEnd w:id="49"/>
    </w:p>
    <w:p w:rsidR="00D512D4" w:rsidRDefault="00D512D4" w:rsidP="00D512D4">
      <w:pPr>
        <w:pStyle w:val="Ruller4"/>
        <w:rPr>
          <w:rtl/>
        </w:rPr>
      </w:pPr>
      <w:r w:rsidRPr="00541692">
        <w:rPr>
          <w:rFonts w:ascii="Century" w:hAnsi="Century" w:hint="cs"/>
          <w:sz w:val="22"/>
          <w:rtl/>
        </w:rPr>
        <w:t xml:space="preserve">המשיבות </w:t>
      </w:r>
      <w:r>
        <w:rPr>
          <w:rFonts w:ascii="Century" w:hAnsi="Century" w:hint="cs"/>
          <w:sz w:val="22"/>
          <w:rtl/>
        </w:rPr>
        <w:t xml:space="preserve">טענו, כי </w:t>
      </w:r>
      <w:r w:rsidRPr="00541692">
        <w:rPr>
          <w:rFonts w:ascii="Century" w:hAnsi="Century" w:hint="cs"/>
          <w:sz w:val="22"/>
          <w:rtl/>
        </w:rPr>
        <w:t xml:space="preserve">שתי תכליות עומדות </w:t>
      </w:r>
      <w:r>
        <w:rPr>
          <w:rFonts w:ascii="Century" w:hAnsi="Century" w:hint="cs"/>
          <w:sz w:val="22"/>
          <w:rtl/>
        </w:rPr>
        <w:t xml:space="preserve">ביסוד </w:t>
      </w:r>
      <w:r w:rsidRPr="00541692">
        <w:rPr>
          <w:rFonts w:ascii="Century" w:hAnsi="Century" w:hint="cs"/>
          <w:sz w:val="22"/>
          <w:rtl/>
        </w:rPr>
        <w:t xml:space="preserve">סעיף 5ב(א)(1) לחוק, על תיקוניו. </w:t>
      </w:r>
      <w:r>
        <w:rPr>
          <w:rFonts w:ascii="Century" w:hAnsi="Century" w:cs="Miriam" w:hint="cs"/>
          <w:b/>
          <w:spacing w:val="0"/>
          <w:sz w:val="22"/>
          <w:szCs w:val="24"/>
          <w:rtl/>
        </w:rPr>
        <w:t>האחת</w:t>
      </w:r>
      <w:r w:rsidRPr="00541692">
        <w:rPr>
          <w:rFonts w:ascii="Century" w:hAnsi="Century" w:hint="cs"/>
          <w:sz w:val="22"/>
          <w:rtl/>
        </w:rPr>
        <w:t xml:space="preserve">, התאמת דיני הנזיקין למצב </w:t>
      </w:r>
      <w:r>
        <w:rPr>
          <w:rFonts w:ascii="Century" w:hAnsi="Century" w:hint="cs"/>
          <w:sz w:val="22"/>
          <w:rtl/>
        </w:rPr>
        <w:t>ה</w:t>
      </w:r>
      <w:r w:rsidRPr="00541692">
        <w:rPr>
          <w:rFonts w:ascii="Century" w:hAnsi="Century" w:hint="cs"/>
          <w:sz w:val="22"/>
          <w:rtl/>
        </w:rPr>
        <w:t>מלחמתי</w:t>
      </w:r>
      <w:r>
        <w:rPr>
          <w:rFonts w:ascii="Century" w:hAnsi="Century" w:hint="cs"/>
          <w:sz w:val="22"/>
          <w:rtl/>
        </w:rPr>
        <w:t xml:space="preserve"> בפועל, שעמו נאלצת המדינה להתמודד, מרחוק ומקרוב; </w:t>
      </w:r>
      <w:r w:rsidRPr="00982B9C">
        <w:rPr>
          <w:rFonts w:ascii="Century" w:hAnsi="Century" w:cs="Miriam" w:hint="cs"/>
          <w:b/>
          <w:spacing w:val="0"/>
          <w:sz w:val="22"/>
          <w:szCs w:val="24"/>
          <w:rtl/>
        </w:rPr>
        <w:t>ה</w:t>
      </w:r>
      <w:r>
        <w:rPr>
          <w:rFonts w:ascii="Century" w:hAnsi="Century" w:cs="Miriam" w:hint="cs"/>
          <w:b/>
          <w:spacing w:val="0"/>
          <w:sz w:val="22"/>
          <w:szCs w:val="24"/>
          <w:rtl/>
        </w:rPr>
        <w:t>שניה</w:t>
      </w:r>
      <w:r w:rsidRPr="00541692">
        <w:rPr>
          <w:rFonts w:ascii="Century" w:hAnsi="Century" w:hint="cs"/>
          <w:sz w:val="22"/>
          <w:rtl/>
        </w:rPr>
        <w:t>, מניעת סיוע כלכלי או מוראלי לאויב. המערער, מ</w:t>
      </w:r>
      <w:r>
        <w:rPr>
          <w:rFonts w:ascii="Century" w:hAnsi="Century" w:hint="cs"/>
          <w:sz w:val="22"/>
          <w:rtl/>
        </w:rPr>
        <w:t>נגד</w:t>
      </w:r>
      <w:r w:rsidRPr="00541692">
        <w:rPr>
          <w:rFonts w:ascii="Century" w:hAnsi="Century" w:hint="cs"/>
          <w:sz w:val="22"/>
          <w:rtl/>
        </w:rPr>
        <w:t>, טען כי החוק נועד לתכלית פסולה</w:t>
      </w:r>
      <w:r>
        <w:rPr>
          <w:rFonts w:ascii="Century" w:hAnsi="Century" w:hint="cs"/>
          <w:sz w:val="22"/>
          <w:rtl/>
        </w:rPr>
        <w:t xml:space="preserve"> וגזענית, הפוגעת בזכויות אדם באופן גורף, על בסיס שיוך לאומי, אתני או טריטוריאלי.</w:t>
      </w:r>
      <w:r w:rsidRPr="00541692">
        <w:rPr>
          <w:rFonts w:ascii="Century" w:hAnsi="Century" w:hint="cs"/>
          <w:sz w:val="22"/>
          <w:rtl/>
        </w:rPr>
        <w:t xml:space="preserve"> </w:t>
      </w:r>
    </w:p>
    <w:p w:rsidR="00D512D4" w:rsidRPr="00211C3B" w:rsidRDefault="00D512D4" w:rsidP="009F054C">
      <w:pPr>
        <w:pStyle w:val="Ruller41"/>
        <w:spacing w:line="240" w:lineRule="auto"/>
      </w:pPr>
    </w:p>
    <w:p w:rsidR="005E148B" w:rsidRDefault="00D512D4" w:rsidP="00154174">
      <w:pPr>
        <w:pStyle w:val="Ruller4"/>
        <w:rPr>
          <w:rtl/>
        </w:rPr>
      </w:pPr>
      <w:r>
        <w:rPr>
          <w:rFonts w:hint="cs"/>
          <w:rtl/>
        </w:rPr>
        <w:t>בנוגע ל</w:t>
      </w:r>
      <w:r w:rsidRPr="00541692">
        <w:rPr>
          <w:rFonts w:hint="cs"/>
          <w:rtl/>
        </w:rPr>
        <w:t xml:space="preserve">שאלה אם התכליות </w:t>
      </w:r>
      <w:r>
        <w:rPr>
          <w:rFonts w:hint="cs"/>
          <w:rtl/>
        </w:rPr>
        <w:t>שעליהן הצביעו</w:t>
      </w:r>
      <w:r w:rsidRPr="00541692">
        <w:rPr>
          <w:rFonts w:hint="cs"/>
          <w:rtl/>
        </w:rPr>
        <w:t xml:space="preserve"> המשיבות </w:t>
      </w:r>
      <w:r>
        <w:rPr>
          <w:rFonts w:hint="cs"/>
          <w:rtl/>
        </w:rPr>
        <w:t xml:space="preserve">הן אכן </w:t>
      </w:r>
      <w:r w:rsidRPr="00541692">
        <w:rPr>
          <w:rFonts w:hint="cs"/>
          <w:rtl/>
        </w:rPr>
        <w:t>ראויות</w:t>
      </w:r>
      <w:r>
        <w:rPr>
          <w:rFonts w:hint="cs"/>
          <w:rtl/>
        </w:rPr>
        <w:t xml:space="preserve">, דומה כי ניתן להשיב </w:t>
      </w:r>
      <w:r w:rsidR="00A21E18">
        <w:rPr>
          <w:rFonts w:hint="cs"/>
          <w:rtl/>
        </w:rPr>
        <w:t>ע</w:t>
      </w:r>
      <w:r>
        <w:rPr>
          <w:rFonts w:hint="cs"/>
          <w:rtl/>
        </w:rPr>
        <w:t>ל</w:t>
      </w:r>
      <w:r w:rsidR="00A21E18">
        <w:rPr>
          <w:rFonts w:hint="cs"/>
          <w:rtl/>
        </w:rPr>
        <w:t>י</w:t>
      </w:r>
      <w:r>
        <w:rPr>
          <w:rFonts w:hint="cs"/>
          <w:rtl/>
        </w:rPr>
        <w:t xml:space="preserve">ה בחיוב </w:t>
      </w:r>
      <w:r>
        <w:rPr>
          <w:rtl/>
        </w:rPr>
        <w:t>–</w:t>
      </w:r>
      <w:r>
        <w:rPr>
          <w:rFonts w:hint="cs"/>
          <w:rtl/>
        </w:rPr>
        <w:t xml:space="preserve"> ללא קושי.</w:t>
      </w:r>
      <w:r w:rsidRPr="00541692">
        <w:rPr>
          <w:rFonts w:hint="cs"/>
          <w:rtl/>
        </w:rPr>
        <w:t xml:space="preserve"> </w:t>
      </w:r>
      <w:r>
        <w:rPr>
          <w:rFonts w:hint="cs"/>
          <w:rtl/>
        </w:rPr>
        <w:t xml:space="preserve">אילנות גבוהים קדמו לי, והשיבו </w:t>
      </w:r>
      <w:r w:rsidR="00A21E18">
        <w:rPr>
          <w:rFonts w:hint="cs"/>
          <w:rtl/>
        </w:rPr>
        <w:t>ע</w:t>
      </w:r>
      <w:r>
        <w:rPr>
          <w:rFonts w:hint="cs"/>
          <w:rtl/>
        </w:rPr>
        <w:t>ל</w:t>
      </w:r>
      <w:r w:rsidR="00A21E18">
        <w:rPr>
          <w:rFonts w:hint="cs"/>
          <w:rtl/>
        </w:rPr>
        <w:t xml:space="preserve"> </w:t>
      </w:r>
      <w:r>
        <w:rPr>
          <w:rFonts w:hint="cs"/>
          <w:rtl/>
        </w:rPr>
        <w:t>שאלה זו בהן רבתי; די</w:t>
      </w:r>
      <w:r w:rsidR="00811B3D">
        <w:rPr>
          <w:rFonts w:hint="cs"/>
          <w:rtl/>
        </w:rPr>
        <w:t>יני</w:t>
      </w:r>
      <w:r>
        <w:rPr>
          <w:rFonts w:hint="cs"/>
          <w:rtl/>
        </w:rPr>
        <w:t xml:space="preserve"> אם אתלה בהם, ואשיב אף אני כמותם. למען הסדר הטוב, אפרט מעט על אודות התכליות האמורות, ואבהיר מדוע הן אכן ראויות, כטענת המשיבות. אפתח </w:t>
      </w:r>
      <w:r w:rsidRPr="006749E5">
        <w:rPr>
          <w:rFonts w:hint="cs"/>
          <w:rtl/>
        </w:rPr>
        <w:t>בטענה כי תכלית החוק נועדה להתאמת דיני הנזיקין למצב המלחמתי העדכני (ראו, לעניין זה</w:t>
      </w:r>
      <w:r>
        <w:rPr>
          <w:rFonts w:hint="cs"/>
          <w:rtl/>
        </w:rPr>
        <w:t>:</w:t>
      </w:r>
      <w:r w:rsidRPr="006749E5">
        <w:rPr>
          <w:rFonts w:hint="cs"/>
          <w:rtl/>
        </w:rPr>
        <w:t xml:space="preserve"> הצעת חוק הנזיקים האזרחיים (אחריות המדינה) (תיקון מספר 5) (הגשת תביעות נגד המדינה על ידי נתין אויב או תושב אזור עימות), התשס"ב-2002, עמוד 892)</w:t>
      </w:r>
      <w:r>
        <w:rPr>
          <w:rFonts w:hint="cs"/>
          <w:rtl/>
        </w:rPr>
        <w:t xml:space="preserve">. בעניין </w:t>
      </w:r>
      <w:r w:rsidRPr="003221A7">
        <w:rPr>
          <w:rFonts w:cs="Miriam" w:hint="cs"/>
          <w:b/>
          <w:spacing w:val="0"/>
          <w:szCs w:val="24"/>
          <w:rtl/>
        </w:rPr>
        <w:t>עדאלה</w:t>
      </w:r>
      <w:r w:rsidRPr="00541692">
        <w:rPr>
          <w:rFonts w:hint="cs"/>
          <w:rtl/>
        </w:rPr>
        <w:t xml:space="preserve"> </w:t>
      </w:r>
      <w:r>
        <w:rPr>
          <w:rFonts w:hint="cs"/>
          <w:rtl/>
        </w:rPr>
        <w:t xml:space="preserve">קבע הנשיא </w:t>
      </w:r>
      <w:r w:rsidRPr="00E32B3E">
        <w:rPr>
          <w:rFonts w:ascii="Century" w:hAnsi="Century" w:cs="Miriam" w:hint="cs"/>
          <w:b/>
          <w:spacing w:val="0"/>
          <w:sz w:val="22"/>
          <w:szCs w:val="24"/>
          <w:rtl/>
        </w:rPr>
        <w:t>ברק</w:t>
      </w:r>
      <w:r>
        <w:rPr>
          <w:rFonts w:hint="cs"/>
          <w:rtl/>
        </w:rPr>
        <w:t xml:space="preserve">, כי </w:t>
      </w:r>
      <w:r w:rsidRPr="003221A7">
        <w:rPr>
          <w:rFonts w:ascii="Century" w:hAnsi="Century" w:cs="Miriam" w:hint="cs"/>
          <w:b/>
          <w:spacing w:val="0"/>
          <w:sz w:val="22"/>
          <w:szCs w:val="24"/>
          <w:rtl/>
        </w:rPr>
        <w:t>"</w:t>
      </w:r>
      <w:r w:rsidRPr="003221A7">
        <w:rPr>
          <w:rFonts w:ascii="Century" w:hAnsi="Century" w:cs="Miriam" w:hint="eastAsia"/>
          <w:b/>
          <w:spacing w:val="0"/>
          <w:sz w:val="22"/>
          <w:szCs w:val="24"/>
          <w:rtl/>
        </w:rPr>
        <w:t>הסדר</w:t>
      </w:r>
      <w:r w:rsidRPr="003221A7">
        <w:rPr>
          <w:rFonts w:ascii="Century" w:hAnsi="Century" w:cs="Miriam"/>
          <w:b/>
          <w:spacing w:val="0"/>
          <w:sz w:val="22"/>
          <w:szCs w:val="24"/>
          <w:rtl/>
        </w:rPr>
        <w:t xml:space="preserve"> </w:t>
      </w:r>
      <w:r w:rsidRPr="003221A7">
        <w:rPr>
          <w:rFonts w:ascii="Century" w:hAnsi="Century" w:cs="Miriam" w:hint="eastAsia"/>
          <w:b/>
          <w:spacing w:val="0"/>
          <w:sz w:val="22"/>
          <w:szCs w:val="24"/>
          <w:rtl/>
        </w:rPr>
        <w:t>שמטרתו</w:t>
      </w:r>
      <w:r w:rsidRPr="003221A7">
        <w:rPr>
          <w:rFonts w:ascii="Century" w:hAnsi="Century" w:cs="Miriam"/>
          <w:b/>
          <w:spacing w:val="0"/>
          <w:sz w:val="22"/>
          <w:szCs w:val="24"/>
          <w:rtl/>
        </w:rPr>
        <w:t xml:space="preserve"> </w:t>
      </w:r>
      <w:r w:rsidRPr="003221A7">
        <w:rPr>
          <w:rFonts w:ascii="Century" w:hAnsi="Century" w:cs="Miriam" w:hint="eastAsia"/>
          <w:b/>
          <w:spacing w:val="0"/>
          <w:sz w:val="22"/>
          <w:szCs w:val="24"/>
          <w:rtl/>
        </w:rPr>
        <w:t>להתאים</w:t>
      </w:r>
      <w:r w:rsidRPr="003221A7">
        <w:rPr>
          <w:rFonts w:ascii="Century" w:hAnsi="Century" w:cs="Miriam"/>
          <w:b/>
          <w:spacing w:val="0"/>
          <w:sz w:val="22"/>
          <w:szCs w:val="24"/>
          <w:rtl/>
        </w:rPr>
        <w:t xml:space="preserve"> </w:t>
      </w:r>
      <w:r w:rsidRPr="003221A7">
        <w:rPr>
          <w:rFonts w:ascii="Century" w:hAnsi="Century" w:cs="Miriam" w:hint="eastAsia"/>
          <w:b/>
          <w:spacing w:val="0"/>
          <w:sz w:val="22"/>
          <w:szCs w:val="24"/>
          <w:rtl/>
        </w:rPr>
        <w:t>את</w:t>
      </w:r>
      <w:r w:rsidRPr="003221A7">
        <w:rPr>
          <w:rFonts w:ascii="Century" w:hAnsi="Century" w:cs="Miriam"/>
          <w:b/>
          <w:spacing w:val="0"/>
          <w:sz w:val="22"/>
          <w:szCs w:val="24"/>
          <w:rtl/>
        </w:rPr>
        <w:t xml:space="preserve"> </w:t>
      </w:r>
      <w:r w:rsidRPr="003221A7">
        <w:rPr>
          <w:rFonts w:ascii="Century" w:hAnsi="Century" w:cs="Miriam" w:hint="eastAsia"/>
          <w:b/>
          <w:spacing w:val="0"/>
          <w:sz w:val="22"/>
          <w:szCs w:val="24"/>
          <w:rtl/>
        </w:rPr>
        <w:t>דיני</w:t>
      </w:r>
      <w:r w:rsidRPr="003221A7">
        <w:rPr>
          <w:rFonts w:ascii="Century" w:hAnsi="Century" w:cs="Miriam"/>
          <w:b/>
          <w:spacing w:val="0"/>
          <w:sz w:val="22"/>
          <w:szCs w:val="24"/>
          <w:rtl/>
        </w:rPr>
        <w:t xml:space="preserve"> </w:t>
      </w:r>
      <w:r w:rsidRPr="003221A7">
        <w:rPr>
          <w:rFonts w:ascii="Century" w:hAnsi="Century" w:cs="Miriam" w:hint="eastAsia"/>
          <w:b/>
          <w:spacing w:val="0"/>
          <w:sz w:val="22"/>
          <w:szCs w:val="24"/>
          <w:rtl/>
        </w:rPr>
        <w:t>הנזיקין</w:t>
      </w:r>
      <w:r w:rsidRPr="003221A7">
        <w:rPr>
          <w:rFonts w:ascii="Century" w:hAnsi="Century" w:cs="Miriam"/>
          <w:b/>
          <w:spacing w:val="0"/>
          <w:sz w:val="22"/>
          <w:szCs w:val="24"/>
          <w:rtl/>
        </w:rPr>
        <w:t xml:space="preserve"> </w:t>
      </w:r>
      <w:r w:rsidRPr="003221A7">
        <w:rPr>
          <w:rFonts w:ascii="Century" w:hAnsi="Century" w:cs="Miriam" w:hint="eastAsia"/>
          <w:b/>
          <w:spacing w:val="0"/>
          <w:sz w:val="22"/>
          <w:szCs w:val="24"/>
          <w:rtl/>
        </w:rPr>
        <w:t>לתנאים</w:t>
      </w:r>
      <w:r w:rsidRPr="003221A7">
        <w:rPr>
          <w:rFonts w:ascii="Century" w:hAnsi="Century" w:cs="Miriam"/>
          <w:b/>
          <w:spacing w:val="0"/>
          <w:sz w:val="22"/>
          <w:szCs w:val="24"/>
          <w:rtl/>
        </w:rPr>
        <w:t xml:space="preserve"> </w:t>
      </w:r>
      <w:r w:rsidRPr="003221A7">
        <w:rPr>
          <w:rFonts w:ascii="Century" w:hAnsi="Century" w:cs="Miriam" w:hint="eastAsia"/>
          <w:b/>
          <w:spacing w:val="0"/>
          <w:sz w:val="22"/>
          <w:szCs w:val="24"/>
          <w:rtl/>
        </w:rPr>
        <w:t>המיוחדים</w:t>
      </w:r>
      <w:r w:rsidRPr="003221A7">
        <w:rPr>
          <w:rFonts w:ascii="Century" w:hAnsi="Century" w:cs="Miriam"/>
          <w:b/>
          <w:spacing w:val="0"/>
          <w:sz w:val="22"/>
          <w:szCs w:val="24"/>
          <w:rtl/>
        </w:rPr>
        <w:t xml:space="preserve"> </w:t>
      </w:r>
      <w:r w:rsidRPr="003221A7">
        <w:rPr>
          <w:rFonts w:ascii="Century" w:hAnsi="Century" w:cs="Miriam" w:hint="eastAsia"/>
          <w:b/>
          <w:spacing w:val="0"/>
          <w:sz w:val="22"/>
          <w:szCs w:val="24"/>
          <w:rtl/>
        </w:rPr>
        <w:t>השוררים</w:t>
      </w:r>
      <w:r w:rsidRPr="003221A7">
        <w:rPr>
          <w:rFonts w:ascii="Century" w:hAnsi="Century" w:cs="Miriam"/>
          <w:b/>
          <w:spacing w:val="0"/>
          <w:sz w:val="22"/>
          <w:szCs w:val="24"/>
          <w:rtl/>
        </w:rPr>
        <w:t xml:space="preserve"> </w:t>
      </w:r>
      <w:r w:rsidRPr="003221A7">
        <w:rPr>
          <w:rFonts w:ascii="Century" w:hAnsi="Century" w:cs="Miriam" w:hint="eastAsia"/>
          <w:b/>
          <w:spacing w:val="0"/>
          <w:sz w:val="22"/>
          <w:szCs w:val="24"/>
          <w:rtl/>
        </w:rPr>
        <w:t>בעת</w:t>
      </w:r>
      <w:r w:rsidRPr="003221A7">
        <w:rPr>
          <w:rFonts w:ascii="Century" w:hAnsi="Century" w:cs="Miriam"/>
          <w:b/>
          <w:spacing w:val="0"/>
          <w:sz w:val="22"/>
          <w:szCs w:val="24"/>
          <w:rtl/>
        </w:rPr>
        <w:t xml:space="preserve"> </w:t>
      </w:r>
      <w:r w:rsidRPr="003221A7">
        <w:rPr>
          <w:rFonts w:ascii="Century" w:hAnsi="Century" w:cs="Miriam" w:hint="eastAsia"/>
          <w:b/>
          <w:spacing w:val="0"/>
          <w:sz w:val="22"/>
          <w:szCs w:val="24"/>
          <w:rtl/>
        </w:rPr>
        <w:t>פעילות</w:t>
      </w:r>
      <w:r w:rsidRPr="003221A7">
        <w:rPr>
          <w:rFonts w:ascii="Century" w:hAnsi="Century" w:cs="Miriam"/>
          <w:b/>
          <w:spacing w:val="0"/>
          <w:sz w:val="22"/>
          <w:szCs w:val="24"/>
          <w:rtl/>
        </w:rPr>
        <w:t xml:space="preserve"> </w:t>
      </w:r>
      <w:r w:rsidRPr="003221A7">
        <w:rPr>
          <w:rFonts w:ascii="Century" w:hAnsi="Century" w:cs="Miriam" w:hint="eastAsia"/>
          <w:b/>
          <w:spacing w:val="0"/>
          <w:sz w:val="22"/>
          <w:szCs w:val="24"/>
          <w:rtl/>
        </w:rPr>
        <w:t>מלחמתית</w:t>
      </w:r>
      <w:r w:rsidRPr="003221A7">
        <w:rPr>
          <w:rFonts w:ascii="Century" w:hAnsi="Century" w:cs="Miriam"/>
          <w:b/>
          <w:spacing w:val="0"/>
          <w:sz w:val="22"/>
          <w:szCs w:val="24"/>
          <w:rtl/>
        </w:rPr>
        <w:t xml:space="preserve"> </w:t>
      </w:r>
      <w:r w:rsidRPr="003221A7">
        <w:rPr>
          <w:rFonts w:ascii="Century" w:hAnsi="Century" w:cs="Miriam" w:hint="eastAsia"/>
          <w:b/>
          <w:spacing w:val="0"/>
          <w:sz w:val="22"/>
          <w:szCs w:val="24"/>
          <w:rtl/>
        </w:rPr>
        <w:t>של</w:t>
      </w:r>
      <w:r w:rsidRPr="003221A7">
        <w:rPr>
          <w:rFonts w:ascii="Century" w:hAnsi="Century" w:cs="Miriam"/>
          <w:b/>
          <w:spacing w:val="0"/>
          <w:sz w:val="22"/>
          <w:szCs w:val="24"/>
          <w:rtl/>
        </w:rPr>
        <w:t xml:space="preserve"> </w:t>
      </w:r>
      <w:r w:rsidRPr="003221A7">
        <w:rPr>
          <w:rFonts w:ascii="Century" w:hAnsi="Century" w:cs="Miriam" w:hint="eastAsia"/>
          <w:b/>
          <w:spacing w:val="0"/>
          <w:sz w:val="22"/>
          <w:szCs w:val="24"/>
          <w:rtl/>
        </w:rPr>
        <w:t>כוחות</w:t>
      </w:r>
      <w:r w:rsidRPr="003221A7">
        <w:rPr>
          <w:rFonts w:ascii="Century" w:hAnsi="Century" w:cs="Miriam"/>
          <w:b/>
          <w:spacing w:val="0"/>
          <w:sz w:val="22"/>
          <w:szCs w:val="24"/>
          <w:rtl/>
        </w:rPr>
        <w:t xml:space="preserve"> </w:t>
      </w:r>
      <w:r w:rsidRPr="003221A7">
        <w:rPr>
          <w:rFonts w:ascii="Century" w:hAnsi="Century" w:cs="Miriam" w:hint="eastAsia"/>
          <w:b/>
          <w:spacing w:val="0"/>
          <w:sz w:val="22"/>
          <w:szCs w:val="24"/>
          <w:rtl/>
        </w:rPr>
        <w:t>הביטחון</w:t>
      </w:r>
      <w:r w:rsidRPr="003221A7">
        <w:rPr>
          <w:rFonts w:ascii="Century" w:hAnsi="Century" w:cs="Miriam"/>
          <w:b/>
          <w:spacing w:val="0"/>
          <w:sz w:val="22"/>
          <w:szCs w:val="24"/>
          <w:rtl/>
        </w:rPr>
        <w:t xml:space="preserve"> </w:t>
      </w:r>
      <w:r w:rsidRPr="003221A7">
        <w:rPr>
          <w:rFonts w:ascii="Century" w:hAnsi="Century" w:cs="Miriam" w:hint="eastAsia"/>
          <w:b/>
          <w:spacing w:val="0"/>
          <w:sz w:val="22"/>
          <w:szCs w:val="24"/>
          <w:rtl/>
        </w:rPr>
        <w:t>הינו</w:t>
      </w:r>
      <w:r w:rsidRPr="003221A7">
        <w:rPr>
          <w:rFonts w:ascii="Century" w:hAnsi="Century" w:cs="Miriam"/>
          <w:b/>
          <w:spacing w:val="0"/>
          <w:sz w:val="22"/>
          <w:szCs w:val="24"/>
          <w:rtl/>
        </w:rPr>
        <w:t xml:space="preserve"> </w:t>
      </w:r>
      <w:r w:rsidRPr="003221A7">
        <w:rPr>
          <w:rFonts w:ascii="Century" w:hAnsi="Century" w:cs="Miriam" w:hint="eastAsia"/>
          <w:b/>
          <w:spacing w:val="0"/>
          <w:sz w:val="22"/>
          <w:szCs w:val="24"/>
          <w:rtl/>
        </w:rPr>
        <w:t>הסדר</w:t>
      </w:r>
      <w:r w:rsidRPr="003221A7">
        <w:rPr>
          <w:rFonts w:ascii="Century" w:hAnsi="Century" w:cs="Miriam"/>
          <w:b/>
          <w:spacing w:val="0"/>
          <w:sz w:val="22"/>
          <w:szCs w:val="24"/>
          <w:rtl/>
        </w:rPr>
        <w:t xml:space="preserve"> </w:t>
      </w:r>
      <w:r w:rsidRPr="003221A7">
        <w:rPr>
          <w:rFonts w:ascii="Century" w:hAnsi="Century" w:cs="Miriam" w:hint="eastAsia"/>
          <w:b/>
          <w:spacing w:val="0"/>
          <w:sz w:val="22"/>
          <w:szCs w:val="24"/>
          <w:rtl/>
        </w:rPr>
        <w:t>שנועד</w:t>
      </w:r>
      <w:r w:rsidRPr="003221A7">
        <w:rPr>
          <w:rFonts w:ascii="Century" w:hAnsi="Century" w:cs="Miriam"/>
          <w:b/>
          <w:spacing w:val="0"/>
          <w:sz w:val="22"/>
          <w:szCs w:val="24"/>
          <w:rtl/>
        </w:rPr>
        <w:t xml:space="preserve"> </w:t>
      </w:r>
      <w:r w:rsidRPr="003221A7">
        <w:rPr>
          <w:rFonts w:ascii="Century" w:hAnsi="Century" w:cs="Miriam" w:hint="eastAsia"/>
          <w:b/>
          <w:spacing w:val="0"/>
          <w:sz w:val="22"/>
          <w:szCs w:val="24"/>
          <w:rtl/>
        </w:rPr>
        <w:t>לתכלית</w:t>
      </w:r>
      <w:r w:rsidRPr="003221A7">
        <w:rPr>
          <w:rFonts w:ascii="Century" w:hAnsi="Century" w:cs="Miriam"/>
          <w:b/>
          <w:spacing w:val="0"/>
          <w:sz w:val="22"/>
          <w:szCs w:val="24"/>
          <w:rtl/>
        </w:rPr>
        <w:t xml:space="preserve"> </w:t>
      </w:r>
      <w:r w:rsidRPr="003221A7">
        <w:rPr>
          <w:rFonts w:ascii="Century" w:hAnsi="Century" w:cs="Miriam" w:hint="eastAsia"/>
          <w:b/>
          <w:spacing w:val="0"/>
          <w:sz w:val="22"/>
          <w:szCs w:val="24"/>
          <w:rtl/>
        </w:rPr>
        <w:t>ראויה</w:t>
      </w:r>
      <w:r w:rsidRPr="003221A7">
        <w:rPr>
          <w:rFonts w:ascii="Century" w:hAnsi="Century" w:cs="Miriam" w:hint="cs"/>
          <w:b/>
          <w:spacing w:val="0"/>
          <w:sz w:val="22"/>
          <w:szCs w:val="24"/>
          <w:rtl/>
        </w:rPr>
        <w:t>"</w:t>
      </w:r>
      <w:r w:rsidRPr="003221A7">
        <w:rPr>
          <w:rFonts w:ascii="Century" w:hAnsi="Century" w:hint="cs"/>
          <w:sz w:val="22"/>
          <w:rtl/>
        </w:rPr>
        <w:t xml:space="preserve"> (</w:t>
      </w:r>
      <w:r w:rsidRPr="003221A7">
        <w:rPr>
          <w:rFonts w:ascii="Century" w:hAnsi="Century" w:cs="Miriam" w:hint="cs"/>
          <w:b/>
          <w:spacing w:val="0"/>
          <w:sz w:val="22"/>
          <w:szCs w:val="24"/>
          <w:rtl/>
        </w:rPr>
        <w:t>שם</w:t>
      </w:r>
      <w:r w:rsidRPr="003221A7">
        <w:rPr>
          <w:rFonts w:ascii="Century" w:hAnsi="Century" w:hint="cs"/>
          <w:sz w:val="22"/>
          <w:rtl/>
        </w:rPr>
        <w:t xml:space="preserve">, פסקה 33; ראו גם: עניין </w:t>
      </w:r>
      <w:r w:rsidRPr="003221A7">
        <w:rPr>
          <w:rFonts w:ascii="Century" w:hAnsi="Century" w:cs="Miriam" w:hint="cs"/>
          <w:b/>
          <w:spacing w:val="0"/>
          <w:sz w:val="22"/>
          <w:szCs w:val="24"/>
          <w:rtl/>
        </w:rPr>
        <w:t>בני עודה</w:t>
      </w:r>
      <w:r w:rsidRPr="003221A7">
        <w:rPr>
          <w:rFonts w:ascii="Century" w:hAnsi="Century" w:hint="cs"/>
          <w:sz w:val="22"/>
          <w:rtl/>
        </w:rPr>
        <w:t>, פסקה 9). אכן, כפי שנפסק לא אחת, דיני הנזיקין אינם הזירה המתאימה לטפל בתביעות נזיקין כאשר</w:t>
      </w:r>
      <w:r w:rsidRPr="003221A7">
        <w:rPr>
          <w:rFonts w:ascii="Century" w:hAnsi="Century" w:cs="Miriam" w:hint="cs"/>
          <w:b/>
          <w:spacing w:val="0"/>
          <w:sz w:val="22"/>
          <w:szCs w:val="24"/>
          <w:rtl/>
        </w:rPr>
        <w:t xml:space="preserve"> "קול מלחמה בארץ"</w:t>
      </w:r>
      <w:r w:rsidRPr="003221A7">
        <w:rPr>
          <w:rFonts w:ascii="Century" w:hAnsi="Century" w:hint="cs"/>
          <w:sz w:val="22"/>
          <w:rtl/>
        </w:rPr>
        <w:t xml:space="preserve"> (</w:t>
      </w:r>
      <w:r w:rsidRPr="00106D96">
        <w:rPr>
          <w:rFonts w:ascii="Century" w:hAnsi="Century" w:hint="eastAsia"/>
          <w:sz w:val="22"/>
          <w:rtl/>
        </w:rPr>
        <w:t>ירמיהו</w:t>
      </w:r>
      <w:r w:rsidRPr="002F1373">
        <w:rPr>
          <w:rFonts w:ascii="Century" w:hAnsi="Century" w:hint="cs"/>
          <w:sz w:val="22"/>
          <w:rtl/>
        </w:rPr>
        <w:t xml:space="preserve"> נ</w:t>
      </w:r>
      <w:r w:rsidRPr="003221A7">
        <w:rPr>
          <w:rFonts w:ascii="Century" w:hAnsi="Century" w:hint="cs"/>
          <w:sz w:val="22"/>
          <w:rtl/>
        </w:rPr>
        <w:t>, כב); לא מבחינת הדין המהותי</w:t>
      </w:r>
      <w:r w:rsidR="00A21E18">
        <w:rPr>
          <w:rFonts w:ascii="Century" w:hAnsi="Century" w:hint="cs"/>
          <w:sz w:val="22"/>
          <w:rtl/>
        </w:rPr>
        <w:t>,</w:t>
      </w:r>
      <w:r w:rsidRPr="003221A7">
        <w:rPr>
          <w:rFonts w:ascii="Century" w:hAnsi="Century" w:hint="cs"/>
          <w:sz w:val="22"/>
          <w:rtl/>
        </w:rPr>
        <w:t xml:space="preserve"> לא מבחינת דיני הראיות. במישור המהותי, </w:t>
      </w:r>
      <w:r>
        <w:rPr>
          <w:rFonts w:hint="cs"/>
          <w:rtl/>
        </w:rPr>
        <w:t>הטלת חובת פיצוי בגין נזקי מלחמה, זרה היא לדיני הנזיקין. '</w:t>
      </w:r>
      <w:r w:rsidR="0043453C">
        <w:rPr>
          <w:rFonts w:hint="cs"/>
          <w:rtl/>
        </w:rPr>
        <w:t>הסיכונים הקלאסיים', המטופלים על-</w:t>
      </w:r>
      <w:r>
        <w:rPr>
          <w:rFonts w:hint="cs"/>
          <w:rtl/>
        </w:rPr>
        <w:t>ידי דיני הנזיקין, שונים באופן מהותי מהסיכונים הקיימים בעת קרב (</w:t>
      </w:r>
      <w:r w:rsidR="003A7865" w:rsidRPr="00543584">
        <w:rPr>
          <w:rFonts w:ascii="Century" w:hAnsi="Century" w:hint="cs"/>
          <w:sz w:val="22"/>
          <w:rtl/>
        </w:rPr>
        <w:t>עניין</w:t>
      </w:r>
      <w:r w:rsidR="003A7865" w:rsidRPr="00154174">
        <w:rPr>
          <w:rFonts w:ascii="Century" w:hAnsi="Century" w:cs="Miriam" w:hint="cs"/>
          <w:b/>
          <w:spacing w:val="0"/>
          <w:sz w:val="22"/>
          <w:szCs w:val="24"/>
          <w:rtl/>
        </w:rPr>
        <w:t xml:space="preserve"> </w:t>
      </w:r>
      <w:r w:rsidRPr="00832037">
        <w:rPr>
          <w:rFonts w:ascii="Century" w:hAnsi="Century" w:cs="Miriam" w:hint="eastAsia"/>
          <w:b/>
          <w:spacing w:val="0"/>
          <w:sz w:val="22"/>
          <w:szCs w:val="24"/>
          <w:rtl/>
        </w:rPr>
        <w:t>אלמקוסי</w:t>
      </w:r>
      <w:r w:rsidR="003A7865">
        <w:rPr>
          <w:rFonts w:hint="cs"/>
          <w:rtl/>
        </w:rPr>
        <w:t>, פסקה 15</w:t>
      </w:r>
      <w:r>
        <w:rPr>
          <w:rFonts w:hint="cs"/>
          <w:rtl/>
        </w:rPr>
        <w:t>). פעולות שהיו נתפסות בעת שלום כעוולות מובהקות, כגון ירי מכוון וגרימת נזק באלימות ובכוח, נתפסות בשדה הקרב כהתנהגויות סבירות, לעיתים אף מצופות. בבסיס דיני הנזיקין עומדת ההנחה כי חיוב באחריות, עשוי לתמרץ אנשים לנהוג בזהיר</w:t>
      </w:r>
      <w:r w:rsidR="008700FC">
        <w:rPr>
          <w:rFonts w:hint="cs"/>
          <w:rtl/>
        </w:rPr>
        <w:t>ות ובמתינות. הנחה זו אינה תקפה ב</w:t>
      </w:r>
      <w:r>
        <w:rPr>
          <w:rFonts w:hint="cs"/>
          <w:rtl/>
        </w:rPr>
        <w:t>מצבי לחימה, שבהם מטרת הצדדים היא להסב נזק האחד למשנהו, בא</w:t>
      </w:r>
      <w:r w:rsidR="008700FC">
        <w:rPr>
          <w:rFonts w:hint="cs"/>
          <w:rtl/>
        </w:rPr>
        <w:t xml:space="preserve">ופן מכוון. נוסף לכך, היקף הנזק אשר </w:t>
      </w:r>
      <w:r>
        <w:rPr>
          <w:rFonts w:hint="cs"/>
          <w:rtl/>
        </w:rPr>
        <w:t xml:space="preserve">עשוי להיגרם לפרט ולכלל, פעמים תוך זמן לחימה קצר, עשוי להיות משמעותי ביותר. 'יום קרב' בודד, </w:t>
      </w:r>
      <w:r w:rsidR="0043453C">
        <w:rPr>
          <w:rFonts w:hint="cs"/>
          <w:rtl/>
        </w:rPr>
        <w:t xml:space="preserve">יכול </w:t>
      </w:r>
      <w:r>
        <w:rPr>
          <w:rFonts w:hint="cs"/>
          <w:rtl/>
        </w:rPr>
        <w:t>להביא לאלפי תביעות של ניזוקים, חלקם 'תמימים', שעשויים לסבור כי המדינה היריבה, זו שמנקודת מבטם פגעה בהם, הֵפֵרה כלפיהם את כללי העימות המזוין. החלת דיני הנזיקין בנסיבות אלו, עלולה אפוא לחשוף את המדינה להיקף נזק שהיא איננה מסוגלת לעמוד בו, ולהשלכות תקציביות אדירות. א</w:t>
      </w:r>
      <w:r w:rsidR="00D22039">
        <w:rPr>
          <w:rFonts w:hint="cs"/>
          <w:rtl/>
        </w:rPr>
        <w:t>ֵ</w:t>
      </w:r>
      <w:r>
        <w:rPr>
          <w:rFonts w:hint="cs"/>
          <w:rtl/>
        </w:rPr>
        <w:t xml:space="preserve">לו </w:t>
      </w:r>
      <w:r w:rsidR="00D22039">
        <w:rPr>
          <w:rFonts w:hint="cs"/>
          <w:rtl/>
        </w:rPr>
        <w:t xml:space="preserve">הם </w:t>
      </w:r>
      <w:r>
        <w:rPr>
          <w:rFonts w:hint="cs"/>
          <w:rtl/>
        </w:rPr>
        <w:t xml:space="preserve">סוגי נזקים השונים באופן מהותי, בטיבם ובהיקפם, מן הנזק הטיפוסי שאליו מכוונים דיני הנזיקין. גם מבחני הצפיות, שנקבעו לבירור תביעות נזיקין (כגון, בהקשר של עוולת הרשלנות, יסוד 'חובת הזהירות', ויסוד 'הקשר הסיבתי המשפטי') </w:t>
      </w:r>
      <w:r>
        <w:rPr>
          <w:rtl/>
        </w:rPr>
        <w:t>–</w:t>
      </w:r>
      <w:r>
        <w:rPr>
          <w:rFonts w:hint="cs"/>
          <w:rtl/>
        </w:rPr>
        <w:t xml:space="preserve"> אינם יש</w:t>
      </w:r>
      <w:r w:rsidR="00D22039">
        <w:rPr>
          <w:rFonts w:hint="cs"/>
          <w:rtl/>
        </w:rPr>
        <w:t>ׂ</w:t>
      </w:r>
      <w:r>
        <w:rPr>
          <w:rFonts w:hint="cs"/>
          <w:rtl/>
        </w:rPr>
        <w:t>ימים במידה זהה בע</w:t>
      </w:r>
      <w:r w:rsidR="00D22039">
        <w:rPr>
          <w:rFonts w:hint="cs"/>
          <w:rtl/>
        </w:rPr>
        <w:t>ִ</w:t>
      </w:r>
      <w:r>
        <w:rPr>
          <w:rFonts w:hint="cs"/>
          <w:rtl/>
        </w:rPr>
        <w:t>תות מלחמה; שהרי, בהשאלה מדבריו של הגנרל הפרוסי קרל פון-קלאוזוביץ</w:t>
      </w:r>
      <w:r w:rsidRPr="003221A7">
        <w:rPr>
          <w:rFonts w:ascii="Century" w:hAnsi="Century" w:cs="Miriam" w:hint="cs"/>
          <w:b/>
          <w:spacing w:val="0"/>
          <w:sz w:val="22"/>
          <w:szCs w:val="24"/>
          <w:rtl/>
        </w:rPr>
        <w:t xml:space="preserve"> </w:t>
      </w:r>
      <w:r w:rsidRPr="003221A7">
        <w:rPr>
          <w:rFonts w:ascii="FrankRuehl" w:hAnsi="FrankRuehl"/>
          <w:b/>
          <w:spacing w:val="0"/>
          <w:sz w:val="28"/>
          <w:rtl/>
        </w:rPr>
        <w:t>–</w:t>
      </w:r>
      <w:r w:rsidRPr="003221A7">
        <w:rPr>
          <w:rFonts w:ascii="Century" w:hAnsi="Century" w:cs="Miriam" w:hint="cs"/>
          <w:b/>
          <w:spacing w:val="0"/>
          <w:sz w:val="22"/>
          <w:szCs w:val="24"/>
          <w:rtl/>
        </w:rPr>
        <w:t xml:space="preserve"> "המלחמה היא ממלכת אי הוודאות"</w:t>
      </w:r>
      <w:r>
        <w:rPr>
          <w:rFonts w:hint="cs"/>
          <w:rtl/>
        </w:rPr>
        <w:t xml:space="preserve">. </w:t>
      </w:r>
    </w:p>
    <w:p w:rsidR="005E148B" w:rsidRPr="000D6DCA" w:rsidRDefault="005E148B" w:rsidP="009F054C">
      <w:pPr>
        <w:pStyle w:val="Ruller41"/>
        <w:spacing w:line="240" w:lineRule="auto"/>
      </w:pPr>
    </w:p>
    <w:p w:rsidR="00D512D4" w:rsidRDefault="00D512D4" w:rsidP="00154174">
      <w:pPr>
        <w:pStyle w:val="Ruller4"/>
        <w:rPr>
          <w:rtl/>
        </w:rPr>
      </w:pPr>
      <w:r>
        <w:rPr>
          <w:rFonts w:hint="cs"/>
          <w:rtl/>
        </w:rPr>
        <w:t xml:space="preserve">מעבר לכך, דומה כי תכלית-העל של דיני הנזיקין, 'השבת המצב לקדמותו', פעמים רבות אינה משקפת את תכליתן של תביעות המוגשות בגין אירועים מלחמתיים. לעיתים קרובות, ההליך השיפוטי משמש עבור התובעים-הניזוקים כלי תעמולתי או כלכלי, להמשך המאבק מול המדינה האויבת; לא השבת המצב לקדמותו בראש מעייניהם, אלא גרימת נזק, כלכלי או תדמיתי, למדינה היריבה. </w:t>
      </w:r>
      <w:r w:rsidRPr="00106D96">
        <w:rPr>
          <w:rFonts w:hint="cs"/>
          <w:rtl/>
        </w:rPr>
        <w:t xml:space="preserve">חשש נוסף בהחלת דיני הנזיקין על 'נזקי מלחמה', נוגע להשפעה שעשויה להיות לכך על הכוחות הלוחמים. אם יֵדע חייל שפעולה שביצע בשדה הקרב עשויה להביא בעקבותיה תביעת נזיקין, עלול הדבר להביא להססנות בקרב, וללחימה מתגוננת (ודוק: הגם שהמדינה היא הנתבעת, ולא החייל, עצם הבאתו למתן עדות, והסיכון להטלת דופי בהתנהגותו, עשויות להביא לאותו 'אפקט מצנן'). </w:t>
      </w:r>
      <w:r>
        <w:rPr>
          <w:rFonts w:hint="cs"/>
          <w:rtl/>
        </w:rPr>
        <w:t xml:space="preserve">לא בכדי, בסכסוכים מזוינים, ההנחה המקובלת היא שכל צד לסכסוך 'מלקק את פצעיו', דואג לאזרחיו, ונושא בנזקים שנגרמו להם כתוצאה מהעימות המזוין </w:t>
      </w:r>
      <w:r w:rsidRPr="003221A7">
        <w:rPr>
          <w:rFonts w:ascii="Century" w:hAnsi="Century" w:hint="cs"/>
          <w:sz w:val="22"/>
          <w:rtl/>
        </w:rPr>
        <w:t xml:space="preserve">(להרחבה, ראו: עניין </w:t>
      </w:r>
      <w:r w:rsidRPr="003221A7">
        <w:rPr>
          <w:rFonts w:ascii="Century" w:hAnsi="Century" w:cs="Miriam" w:hint="cs"/>
          <w:b/>
          <w:spacing w:val="0"/>
          <w:sz w:val="22"/>
          <w:szCs w:val="24"/>
          <w:rtl/>
        </w:rPr>
        <w:t>בני עודה</w:t>
      </w:r>
      <w:r w:rsidRPr="003221A7">
        <w:rPr>
          <w:rFonts w:ascii="Century" w:hAnsi="Century" w:hint="cs"/>
          <w:sz w:val="22"/>
          <w:rtl/>
        </w:rPr>
        <w:t xml:space="preserve">, פסקה 9; עניין </w:t>
      </w:r>
      <w:r w:rsidRPr="003221A7">
        <w:rPr>
          <w:rFonts w:ascii="Century" w:hAnsi="Century" w:cs="Miriam" w:hint="cs"/>
          <w:b/>
          <w:spacing w:val="0"/>
          <w:sz w:val="22"/>
          <w:szCs w:val="24"/>
          <w:rtl/>
        </w:rPr>
        <w:t>חרדאן</w:t>
      </w:r>
      <w:r w:rsidRPr="003221A7">
        <w:rPr>
          <w:rFonts w:ascii="Century" w:hAnsi="Century" w:hint="cs"/>
          <w:sz w:val="22"/>
          <w:rtl/>
        </w:rPr>
        <w:t>, פסקה 14;</w:t>
      </w:r>
      <w:r>
        <w:rPr>
          <w:rFonts w:ascii="Century" w:hAnsi="Century" w:hint="cs"/>
          <w:sz w:val="22"/>
          <w:rtl/>
        </w:rPr>
        <w:t xml:space="preserve"> ע"א 8279/12 </w:t>
      </w:r>
      <w:r w:rsidRPr="00755EB2">
        <w:rPr>
          <w:rFonts w:ascii="Century" w:hAnsi="Century" w:cs="Miriam" w:hint="cs"/>
          <w:b/>
          <w:spacing w:val="0"/>
          <w:sz w:val="22"/>
          <w:szCs w:val="24"/>
          <w:rtl/>
        </w:rPr>
        <w:t>אלדאיה נ' מדינת ישראל</w:t>
      </w:r>
      <w:r>
        <w:rPr>
          <w:rFonts w:ascii="Century" w:hAnsi="Century" w:hint="cs"/>
          <w:sz w:val="22"/>
          <w:rtl/>
        </w:rPr>
        <w:t xml:space="preserve">, פסק-דינו של השופט (כתוארו אז) </w:t>
      </w:r>
      <w:r w:rsidRPr="00755EB2">
        <w:rPr>
          <w:rFonts w:ascii="Century" w:hAnsi="Century" w:cs="Miriam" w:hint="cs"/>
          <w:b/>
          <w:spacing w:val="0"/>
          <w:sz w:val="22"/>
          <w:szCs w:val="24"/>
          <w:rtl/>
        </w:rPr>
        <w:t>ס' ג'ובראן</w:t>
      </w:r>
      <w:r>
        <w:rPr>
          <w:rFonts w:ascii="Century" w:hAnsi="Century" w:hint="cs"/>
          <w:sz w:val="22"/>
          <w:rtl/>
        </w:rPr>
        <w:t xml:space="preserve"> (29.6.2014) (להלן: </w:t>
      </w:r>
      <w:r w:rsidRPr="00BE1D4D">
        <w:rPr>
          <w:rFonts w:ascii="Century" w:hAnsi="Century" w:cs="Miriam" w:hint="cs"/>
          <w:b/>
          <w:spacing w:val="0"/>
          <w:sz w:val="22"/>
          <w:szCs w:val="24"/>
          <w:rtl/>
        </w:rPr>
        <w:t>עניין אלדאיה</w:t>
      </w:r>
      <w:r>
        <w:rPr>
          <w:rFonts w:ascii="Century" w:hAnsi="Century" w:hint="cs"/>
          <w:sz w:val="22"/>
          <w:rtl/>
        </w:rPr>
        <w:t>);</w:t>
      </w:r>
      <w:r w:rsidRPr="003221A7">
        <w:rPr>
          <w:rFonts w:ascii="Century" w:hAnsi="Century" w:hint="cs"/>
          <w:sz w:val="22"/>
          <w:rtl/>
        </w:rPr>
        <w:t xml:space="preserve"> </w:t>
      </w:r>
      <w:r w:rsidRPr="003221A7">
        <w:rPr>
          <w:rFonts w:ascii="Century" w:hAnsi="Century" w:cs="Miriam" w:hint="cs"/>
          <w:b/>
          <w:spacing w:val="0"/>
          <w:sz w:val="22"/>
          <w:szCs w:val="24"/>
          <w:rtl/>
        </w:rPr>
        <w:t>יעקב, חסינות תחת אש</w:t>
      </w:r>
      <w:r w:rsidRPr="003221A7">
        <w:rPr>
          <w:rFonts w:ascii="Century" w:hAnsi="Century" w:hint="cs"/>
          <w:sz w:val="22"/>
          <w:rtl/>
        </w:rPr>
        <w:t xml:space="preserve">, </w:t>
      </w:r>
      <w:r>
        <w:rPr>
          <w:rFonts w:ascii="Century" w:hAnsi="Century" w:hint="cs"/>
          <w:sz w:val="22"/>
          <w:rtl/>
        </w:rPr>
        <w:t xml:space="preserve">עמודים </w:t>
      </w:r>
      <w:r w:rsidRPr="003221A7">
        <w:rPr>
          <w:rFonts w:ascii="Century" w:hAnsi="Century" w:hint="cs"/>
          <w:sz w:val="22"/>
          <w:rtl/>
        </w:rPr>
        <w:t xml:space="preserve">140-138). </w:t>
      </w:r>
    </w:p>
    <w:p w:rsidR="00D512D4" w:rsidRPr="00E32B3E" w:rsidRDefault="00D512D4" w:rsidP="009F054C">
      <w:pPr>
        <w:pStyle w:val="Ruller41"/>
        <w:spacing w:line="240" w:lineRule="auto"/>
      </w:pPr>
    </w:p>
    <w:p w:rsidR="00D512D4" w:rsidRPr="00211C3B" w:rsidRDefault="00D512D4" w:rsidP="00944FC1">
      <w:pPr>
        <w:pStyle w:val="Ruller4"/>
        <w:rPr>
          <w:rtl/>
        </w:rPr>
      </w:pPr>
      <w:r w:rsidRPr="003221A7">
        <w:rPr>
          <w:rFonts w:ascii="Century" w:hAnsi="Century" w:hint="cs"/>
          <w:sz w:val="22"/>
          <w:rtl/>
        </w:rPr>
        <w:t>חוסר ההתאמה של דיני הנזיקין למצב מלחמתי מתבטא, באופן מובהק, גם במישור הראייתי. שדה הקרב מא</w:t>
      </w:r>
      <w:r>
        <w:rPr>
          <w:rFonts w:ascii="Century" w:hAnsi="Century" w:hint="cs"/>
          <w:sz w:val="22"/>
          <w:rtl/>
        </w:rPr>
        <w:t>ו</w:t>
      </w:r>
      <w:r w:rsidRPr="003221A7">
        <w:rPr>
          <w:rFonts w:ascii="Century" w:hAnsi="Century" w:hint="cs"/>
          <w:sz w:val="22"/>
          <w:rtl/>
        </w:rPr>
        <w:t xml:space="preserve">פיין </w:t>
      </w:r>
      <w:r>
        <w:rPr>
          <w:rFonts w:ascii="Century" w:hAnsi="Century" w:hint="cs"/>
          <w:sz w:val="22"/>
          <w:rtl/>
        </w:rPr>
        <w:t>ב</w:t>
      </w:r>
      <w:r w:rsidRPr="003221A7">
        <w:rPr>
          <w:rFonts w:ascii="Century" w:hAnsi="Century" w:hint="cs"/>
          <w:sz w:val="22"/>
          <w:rtl/>
        </w:rPr>
        <w:t>אירועים</w:t>
      </w:r>
      <w:r>
        <w:rPr>
          <w:rFonts w:ascii="Century" w:hAnsi="Century" w:hint="cs"/>
          <w:sz w:val="22"/>
          <w:rtl/>
        </w:rPr>
        <w:t xml:space="preserve"> אינטנסיביים</w:t>
      </w:r>
      <w:r w:rsidRPr="003221A7">
        <w:rPr>
          <w:rFonts w:ascii="Century" w:hAnsi="Century" w:hint="cs"/>
          <w:sz w:val="22"/>
          <w:rtl/>
        </w:rPr>
        <w:t>, באנדרלמוסיה, בתחלופת כוחות תדירה, בפיצוצי</w:t>
      </w:r>
      <w:r>
        <w:rPr>
          <w:rFonts w:ascii="Century" w:hAnsi="Century" w:hint="cs"/>
          <w:sz w:val="22"/>
          <w:rtl/>
        </w:rPr>
        <w:t>ם עזים</w:t>
      </w:r>
      <w:r w:rsidRPr="003221A7">
        <w:rPr>
          <w:rFonts w:ascii="Century" w:hAnsi="Century" w:hint="cs"/>
          <w:sz w:val="22"/>
          <w:rtl/>
        </w:rPr>
        <w:t xml:space="preserve"> ובשריקת כדורים. הדבר יוצר קשיים ראייתיים למכביר</w:t>
      </w:r>
      <w:r w:rsidR="00D22039">
        <w:rPr>
          <w:rFonts w:ascii="Century" w:hAnsi="Century" w:hint="cs"/>
          <w:sz w:val="22"/>
          <w:rtl/>
        </w:rPr>
        <w:t>;</w:t>
      </w:r>
      <w:r w:rsidRPr="003221A7">
        <w:rPr>
          <w:rFonts w:ascii="Century" w:hAnsi="Century" w:hint="cs"/>
          <w:sz w:val="22"/>
          <w:rtl/>
        </w:rPr>
        <w:t xml:space="preserve"> הן לתובעים</w:t>
      </w:r>
      <w:r w:rsidR="00D22039">
        <w:rPr>
          <w:rFonts w:ascii="Century" w:hAnsi="Century" w:hint="cs"/>
          <w:sz w:val="22"/>
          <w:rtl/>
        </w:rPr>
        <w:t>,</w:t>
      </w:r>
      <w:r w:rsidRPr="003221A7">
        <w:rPr>
          <w:rFonts w:ascii="Century" w:hAnsi="Century" w:hint="cs"/>
          <w:sz w:val="22"/>
          <w:rtl/>
        </w:rPr>
        <w:t xml:space="preserve"> הן למדינה הנתבעת. אלו כמו אלו, יתקשו באיתור ראיות חפציות, בשחזור האירועים, ובמציאת רישומים רפואיים רלבנטיים. אכן, התיעוד 'מזמן אמת'</w:t>
      </w:r>
      <w:r>
        <w:rPr>
          <w:rFonts w:ascii="Century" w:hAnsi="Century" w:hint="cs"/>
          <w:sz w:val="22"/>
          <w:rtl/>
        </w:rPr>
        <w:t>,</w:t>
      </w:r>
      <w:r w:rsidRPr="003221A7">
        <w:rPr>
          <w:rFonts w:ascii="Century" w:hAnsi="Century" w:hint="cs"/>
          <w:sz w:val="22"/>
          <w:rtl/>
        </w:rPr>
        <w:t xml:space="preserve"> דל </w:t>
      </w:r>
      <w:r>
        <w:rPr>
          <w:rFonts w:ascii="Century" w:hAnsi="Century" w:hint="cs"/>
          <w:sz w:val="22"/>
          <w:rtl/>
        </w:rPr>
        <w:t>וחסר</w:t>
      </w:r>
      <w:r w:rsidRPr="003221A7">
        <w:rPr>
          <w:rFonts w:ascii="Century" w:hAnsi="Century" w:hint="cs"/>
          <w:sz w:val="22"/>
          <w:rtl/>
        </w:rPr>
        <w:t xml:space="preserve">. </w:t>
      </w:r>
      <w:r w:rsidR="00811B3D">
        <w:rPr>
          <w:rFonts w:ascii="Century" w:hAnsi="Century" w:hint="cs"/>
          <w:sz w:val="22"/>
          <w:rtl/>
        </w:rPr>
        <w:t>ישנ</w:t>
      </w:r>
      <w:r>
        <w:rPr>
          <w:rFonts w:ascii="Century" w:hAnsi="Century" w:hint="cs"/>
          <w:sz w:val="22"/>
          <w:rtl/>
        </w:rPr>
        <w:t xml:space="preserve">ם גם </w:t>
      </w:r>
      <w:r w:rsidRPr="003221A7">
        <w:rPr>
          <w:rFonts w:ascii="Century" w:hAnsi="Century" w:hint="cs"/>
          <w:sz w:val="22"/>
          <w:rtl/>
        </w:rPr>
        <w:t>קשיים ראייתיים נוספים</w:t>
      </w:r>
      <w:r>
        <w:rPr>
          <w:rFonts w:ascii="Century" w:hAnsi="Century" w:hint="cs"/>
          <w:sz w:val="22"/>
          <w:rtl/>
        </w:rPr>
        <w:t>,</w:t>
      </w:r>
      <w:r w:rsidRPr="003221A7">
        <w:rPr>
          <w:rFonts w:ascii="Century" w:hAnsi="Century" w:hint="cs"/>
          <w:sz w:val="22"/>
          <w:rtl/>
        </w:rPr>
        <w:t xml:space="preserve"> </w:t>
      </w:r>
      <w:r w:rsidR="00D22039">
        <w:rPr>
          <w:rFonts w:ascii="Century" w:hAnsi="Century" w:hint="cs"/>
          <w:sz w:val="22"/>
          <w:rtl/>
        </w:rPr>
        <w:t xml:space="preserve">אשר </w:t>
      </w:r>
      <w:r w:rsidRPr="003221A7">
        <w:rPr>
          <w:rFonts w:ascii="Century" w:hAnsi="Century" w:hint="cs"/>
          <w:sz w:val="22"/>
          <w:rtl/>
        </w:rPr>
        <w:t xml:space="preserve">עלולים להקשות </w:t>
      </w:r>
      <w:r>
        <w:rPr>
          <w:rFonts w:ascii="Century" w:hAnsi="Century" w:hint="cs"/>
          <w:sz w:val="22"/>
          <w:rtl/>
        </w:rPr>
        <w:t xml:space="preserve">דווקא </w:t>
      </w:r>
      <w:r w:rsidRPr="003221A7">
        <w:rPr>
          <w:rFonts w:ascii="Century" w:hAnsi="Century" w:hint="cs"/>
          <w:sz w:val="22"/>
          <w:rtl/>
        </w:rPr>
        <w:t xml:space="preserve">על המדינה להתגונן מפני תביעות מסוג זה: חלק מחומר הראיות, מטבע הדברים, הוא חומר מודיעיני חסוי, שלא ניתן לחשיפה; האירוע הנזיקי, מתרחש, בדרך כלל, בשטח שלמדינה אין גישה אליו; </w:t>
      </w:r>
      <w:r>
        <w:rPr>
          <w:rFonts w:ascii="Century" w:hAnsi="Century" w:hint="cs"/>
          <w:sz w:val="22"/>
          <w:rtl/>
        </w:rPr>
        <w:t>ה</w:t>
      </w:r>
      <w:r w:rsidRPr="003221A7">
        <w:rPr>
          <w:rFonts w:ascii="Century" w:hAnsi="Century" w:hint="cs"/>
          <w:sz w:val="22"/>
          <w:rtl/>
        </w:rPr>
        <w:t>מתקנים הרפואיים שבהם ט</w:t>
      </w:r>
      <w:r>
        <w:rPr>
          <w:rFonts w:ascii="Century" w:hAnsi="Century" w:hint="cs"/>
          <w:sz w:val="22"/>
          <w:rtl/>
        </w:rPr>
        <w:t>ו</w:t>
      </w:r>
      <w:r w:rsidRPr="003221A7">
        <w:rPr>
          <w:rFonts w:ascii="Century" w:hAnsi="Century" w:hint="cs"/>
          <w:sz w:val="22"/>
          <w:rtl/>
        </w:rPr>
        <w:t xml:space="preserve">פל </w:t>
      </w:r>
      <w:r>
        <w:rPr>
          <w:rFonts w:ascii="Century" w:hAnsi="Century" w:hint="cs"/>
          <w:sz w:val="22"/>
          <w:rtl/>
        </w:rPr>
        <w:t>ה</w:t>
      </w:r>
      <w:r w:rsidRPr="003221A7">
        <w:rPr>
          <w:rFonts w:ascii="Century" w:hAnsi="Century" w:hint="cs"/>
          <w:sz w:val="22"/>
          <w:rtl/>
        </w:rPr>
        <w:t>ניזוק</w:t>
      </w:r>
      <w:r>
        <w:rPr>
          <w:rFonts w:ascii="Century" w:hAnsi="Century" w:hint="cs"/>
          <w:sz w:val="22"/>
          <w:rtl/>
        </w:rPr>
        <w:t>, ככלל,</w:t>
      </w:r>
      <w:r w:rsidRPr="003221A7">
        <w:rPr>
          <w:rFonts w:ascii="Century" w:hAnsi="Century" w:hint="cs"/>
          <w:sz w:val="22"/>
          <w:rtl/>
        </w:rPr>
        <w:t xml:space="preserve"> </w:t>
      </w:r>
      <w:r>
        <w:rPr>
          <w:rFonts w:ascii="Century" w:hAnsi="Century" w:hint="cs"/>
          <w:sz w:val="22"/>
          <w:rtl/>
        </w:rPr>
        <w:t>אינם נגישים</w:t>
      </w:r>
      <w:r w:rsidRPr="003221A7">
        <w:rPr>
          <w:rFonts w:ascii="Century" w:hAnsi="Century" w:hint="cs"/>
          <w:sz w:val="22"/>
          <w:rtl/>
        </w:rPr>
        <w:t>; קיים קושי</w:t>
      </w:r>
      <w:r>
        <w:rPr>
          <w:rFonts w:ascii="Century" w:hAnsi="Century" w:hint="cs"/>
          <w:sz w:val="22"/>
          <w:rtl/>
        </w:rPr>
        <w:t xml:space="preserve"> לא מבוטל</w:t>
      </w:r>
      <w:r w:rsidRPr="003221A7">
        <w:rPr>
          <w:rFonts w:ascii="Century" w:hAnsi="Century" w:hint="cs"/>
          <w:sz w:val="22"/>
          <w:rtl/>
        </w:rPr>
        <w:t xml:space="preserve"> באיתור ובהבאת חיילים לעדות לאחר </w:t>
      </w:r>
      <w:r>
        <w:rPr>
          <w:rFonts w:ascii="Century" w:hAnsi="Century" w:hint="cs"/>
          <w:sz w:val="22"/>
          <w:rtl/>
        </w:rPr>
        <w:t>שחרורם מהשירות הצבאי</w:t>
      </w:r>
      <w:r w:rsidRPr="003221A7">
        <w:rPr>
          <w:rFonts w:ascii="Century" w:hAnsi="Century" w:hint="cs"/>
          <w:sz w:val="22"/>
          <w:rtl/>
        </w:rPr>
        <w:t xml:space="preserve">. </w:t>
      </w:r>
      <w:r>
        <w:rPr>
          <w:rFonts w:ascii="Century" w:hAnsi="Century" w:hint="cs"/>
          <w:sz w:val="22"/>
          <w:rtl/>
        </w:rPr>
        <w:t xml:space="preserve">כמו כן, </w:t>
      </w:r>
      <w:r w:rsidRPr="003221A7">
        <w:rPr>
          <w:rFonts w:ascii="Century" w:hAnsi="Century" w:hint="cs"/>
          <w:sz w:val="22"/>
          <w:rtl/>
        </w:rPr>
        <w:t xml:space="preserve">נוכח יחסי האיבה והעוינות, גם מהימנות העדים שמביא כל צד לתמיכה בגרסתו </w:t>
      </w:r>
      <w:r w:rsidRPr="003221A7">
        <w:rPr>
          <w:rFonts w:ascii="Century" w:hAnsi="Century"/>
          <w:sz w:val="22"/>
          <w:rtl/>
        </w:rPr>
        <w:t>–</w:t>
      </w:r>
      <w:r w:rsidRPr="003221A7">
        <w:rPr>
          <w:rFonts w:ascii="Century" w:hAnsi="Century" w:hint="cs"/>
          <w:sz w:val="22"/>
          <w:rtl/>
        </w:rPr>
        <w:t xml:space="preserve"> מוטלת בספק.</w:t>
      </w:r>
      <w:r>
        <w:rPr>
          <w:rFonts w:ascii="Century" w:hAnsi="Century" w:hint="cs"/>
          <w:sz w:val="22"/>
          <w:rtl/>
        </w:rPr>
        <w:t xml:space="preserve"> </w:t>
      </w:r>
      <w:r w:rsidRPr="00211C3B">
        <w:rPr>
          <w:rFonts w:ascii="Century" w:hAnsi="Century" w:hint="cs"/>
          <w:sz w:val="22"/>
          <w:rtl/>
        </w:rPr>
        <w:t>הקשיים הראיית</w:t>
      </w:r>
      <w:r>
        <w:rPr>
          <w:rFonts w:ascii="Century" w:hAnsi="Century" w:hint="cs"/>
          <w:sz w:val="22"/>
          <w:rtl/>
        </w:rPr>
        <w:t>י</w:t>
      </w:r>
      <w:r w:rsidRPr="00211C3B">
        <w:rPr>
          <w:rFonts w:ascii="Century" w:hAnsi="Century" w:hint="cs"/>
          <w:sz w:val="22"/>
          <w:rtl/>
        </w:rPr>
        <w:t xml:space="preserve">ים מתעצמים, שעה שמדובר בעימות מזוין מול ארגון טרור, כארגון החמאס. פעילי הטרור אינם מכבדים את </w:t>
      </w:r>
      <w:r>
        <w:rPr>
          <w:rFonts w:ascii="Century" w:hAnsi="Century" w:hint="cs"/>
          <w:sz w:val="22"/>
          <w:rtl/>
        </w:rPr>
        <w:t>'</w:t>
      </w:r>
      <w:r w:rsidRPr="00211C3B">
        <w:rPr>
          <w:rFonts w:ascii="Century" w:hAnsi="Century" w:hint="cs"/>
          <w:sz w:val="22"/>
          <w:rtl/>
        </w:rPr>
        <w:t>עקרון ההבחנה</w:t>
      </w:r>
      <w:r>
        <w:rPr>
          <w:rFonts w:ascii="Century" w:hAnsi="Century" w:hint="cs"/>
          <w:sz w:val="22"/>
          <w:rtl/>
        </w:rPr>
        <w:t>'</w:t>
      </w:r>
      <w:r w:rsidRPr="00211C3B">
        <w:rPr>
          <w:rFonts w:ascii="Century" w:hAnsi="Century" w:hint="cs"/>
          <w:sz w:val="22"/>
          <w:rtl/>
        </w:rPr>
        <w:t xml:space="preserve"> בין לוחמים לאזרחים, שביסוד דיני העימות המזוין</w:t>
      </w:r>
      <w:r>
        <w:rPr>
          <w:rFonts w:ascii="Century" w:hAnsi="Century" w:hint="cs"/>
          <w:sz w:val="22"/>
          <w:rtl/>
        </w:rPr>
        <w:t>. הם</w:t>
      </w:r>
      <w:r w:rsidRPr="00211C3B">
        <w:rPr>
          <w:rFonts w:ascii="Century" w:hAnsi="Century" w:hint="cs"/>
          <w:sz w:val="22"/>
          <w:rtl/>
        </w:rPr>
        <w:t xml:space="preserve"> אינם נושאים נשק בגלוי, ובכוונת מכוון נטמעים באוכלוסיה אזרחית תמימה, תוך סיכונהּ (</w:t>
      </w:r>
      <w:r w:rsidRPr="00211C3B">
        <w:rPr>
          <w:rFonts w:ascii="Century" w:hAnsi="Century" w:hint="eastAsia"/>
          <w:sz w:val="22"/>
          <w:rtl/>
        </w:rPr>
        <w:t>בג</w:t>
      </w:r>
      <w:r w:rsidRPr="00211C3B">
        <w:rPr>
          <w:rFonts w:ascii="Century" w:hAnsi="Century"/>
          <w:sz w:val="22"/>
          <w:rtl/>
        </w:rPr>
        <w:t>"</w:t>
      </w:r>
      <w:r w:rsidRPr="00211C3B">
        <w:rPr>
          <w:rFonts w:ascii="Century" w:hAnsi="Century" w:hint="eastAsia"/>
          <w:sz w:val="22"/>
          <w:rtl/>
        </w:rPr>
        <w:t>ץ</w:t>
      </w:r>
      <w:r w:rsidRPr="00211C3B">
        <w:rPr>
          <w:rFonts w:ascii="Century" w:hAnsi="Century"/>
          <w:sz w:val="22"/>
          <w:rtl/>
        </w:rPr>
        <w:t xml:space="preserve"> 8091/14 </w:t>
      </w:r>
      <w:r w:rsidRPr="00211C3B">
        <w:rPr>
          <w:rFonts w:ascii="Century" w:hAnsi="Century" w:cs="Miriam" w:hint="eastAsia"/>
          <w:b/>
          <w:spacing w:val="0"/>
          <w:sz w:val="22"/>
          <w:szCs w:val="24"/>
          <w:rtl/>
        </w:rPr>
        <w:t>המוקד</w:t>
      </w:r>
      <w:r w:rsidRPr="00211C3B">
        <w:rPr>
          <w:rFonts w:ascii="Century" w:hAnsi="Century" w:cs="Miriam"/>
          <w:b/>
          <w:spacing w:val="0"/>
          <w:sz w:val="22"/>
          <w:szCs w:val="24"/>
          <w:rtl/>
        </w:rPr>
        <w:t xml:space="preserve"> </w:t>
      </w:r>
      <w:r w:rsidRPr="00211C3B">
        <w:rPr>
          <w:rFonts w:ascii="Century" w:hAnsi="Century" w:cs="Miriam" w:hint="eastAsia"/>
          <w:b/>
          <w:spacing w:val="0"/>
          <w:sz w:val="22"/>
          <w:szCs w:val="24"/>
          <w:rtl/>
        </w:rPr>
        <w:t>להגנת</w:t>
      </w:r>
      <w:r w:rsidRPr="00211C3B">
        <w:rPr>
          <w:rFonts w:ascii="Century" w:hAnsi="Century" w:cs="Miriam"/>
          <w:b/>
          <w:spacing w:val="0"/>
          <w:sz w:val="22"/>
          <w:szCs w:val="24"/>
          <w:rtl/>
        </w:rPr>
        <w:t xml:space="preserve"> </w:t>
      </w:r>
      <w:r w:rsidRPr="00211C3B">
        <w:rPr>
          <w:rFonts w:ascii="Century" w:hAnsi="Century" w:cs="Miriam" w:hint="eastAsia"/>
          <w:b/>
          <w:spacing w:val="0"/>
          <w:sz w:val="22"/>
          <w:szCs w:val="24"/>
          <w:rtl/>
        </w:rPr>
        <w:t>הפרט</w:t>
      </w:r>
      <w:r w:rsidRPr="00211C3B">
        <w:rPr>
          <w:rFonts w:ascii="Century" w:hAnsi="Century" w:cs="Miriam"/>
          <w:b/>
          <w:spacing w:val="0"/>
          <w:sz w:val="22"/>
          <w:szCs w:val="24"/>
          <w:rtl/>
        </w:rPr>
        <w:t xml:space="preserve"> </w:t>
      </w:r>
      <w:r w:rsidRPr="00211C3B">
        <w:rPr>
          <w:rFonts w:ascii="Century" w:hAnsi="Century" w:cs="Miriam" w:hint="eastAsia"/>
          <w:b/>
          <w:spacing w:val="0"/>
          <w:sz w:val="22"/>
          <w:szCs w:val="24"/>
          <w:rtl/>
        </w:rPr>
        <w:t>נ</w:t>
      </w:r>
      <w:r w:rsidRPr="00211C3B">
        <w:rPr>
          <w:rFonts w:ascii="Century" w:hAnsi="Century" w:cs="Miriam"/>
          <w:b/>
          <w:spacing w:val="0"/>
          <w:sz w:val="22"/>
          <w:szCs w:val="24"/>
          <w:rtl/>
        </w:rPr>
        <w:t xml:space="preserve">' </w:t>
      </w:r>
      <w:r w:rsidRPr="00211C3B">
        <w:rPr>
          <w:rFonts w:ascii="Century" w:hAnsi="Century" w:cs="Miriam" w:hint="eastAsia"/>
          <w:b/>
          <w:spacing w:val="0"/>
          <w:sz w:val="22"/>
          <w:szCs w:val="24"/>
          <w:rtl/>
        </w:rPr>
        <w:t>שר</w:t>
      </w:r>
      <w:r w:rsidRPr="00211C3B">
        <w:rPr>
          <w:rFonts w:ascii="Century" w:hAnsi="Century" w:cs="Miriam"/>
          <w:b/>
          <w:spacing w:val="0"/>
          <w:sz w:val="22"/>
          <w:szCs w:val="24"/>
          <w:rtl/>
        </w:rPr>
        <w:t xml:space="preserve"> </w:t>
      </w:r>
      <w:r w:rsidRPr="00211C3B">
        <w:rPr>
          <w:rFonts w:ascii="Century" w:hAnsi="Century" w:cs="Miriam" w:hint="eastAsia"/>
          <w:b/>
          <w:spacing w:val="0"/>
          <w:sz w:val="22"/>
          <w:szCs w:val="24"/>
          <w:rtl/>
        </w:rPr>
        <w:t>הבטחון</w:t>
      </w:r>
      <w:r w:rsidRPr="00211C3B">
        <w:rPr>
          <w:rFonts w:ascii="Century" w:hAnsi="Century"/>
          <w:sz w:val="22"/>
          <w:rtl/>
        </w:rPr>
        <w:t xml:space="preserve">, </w:t>
      </w:r>
      <w:r w:rsidRPr="00211C3B">
        <w:rPr>
          <w:rFonts w:ascii="Century" w:hAnsi="Century" w:hint="eastAsia"/>
          <w:sz w:val="22"/>
          <w:rtl/>
        </w:rPr>
        <w:t>פסקה</w:t>
      </w:r>
      <w:r w:rsidRPr="00211C3B">
        <w:rPr>
          <w:rFonts w:ascii="Century" w:hAnsi="Century"/>
          <w:sz w:val="22"/>
          <w:rtl/>
        </w:rPr>
        <w:t xml:space="preserve"> 2 </w:t>
      </w:r>
      <w:r w:rsidRPr="00211C3B">
        <w:rPr>
          <w:rFonts w:ascii="Century" w:hAnsi="Century" w:hint="eastAsia"/>
          <w:sz w:val="22"/>
          <w:rtl/>
        </w:rPr>
        <w:t>ל</w:t>
      </w:r>
      <w:r>
        <w:rPr>
          <w:rFonts w:ascii="Century" w:hAnsi="Century" w:hint="cs"/>
          <w:sz w:val="22"/>
          <w:rtl/>
        </w:rPr>
        <w:t>חוות דעתה</w:t>
      </w:r>
      <w:r w:rsidRPr="00211C3B">
        <w:rPr>
          <w:rFonts w:ascii="Century" w:hAnsi="Century" w:hint="cs"/>
          <w:sz w:val="22"/>
          <w:rtl/>
        </w:rPr>
        <w:t xml:space="preserve"> של השופטת</w:t>
      </w:r>
      <w:r>
        <w:rPr>
          <w:rFonts w:ascii="Century" w:hAnsi="Century" w:hint="cs"/>
          <w:sz w:val="22"/>
          <w:rtl/>
        </w:rPr>
        <w:t xml:space="preserve"> (כתוארה אז)</w:t>
      </w:r>
      <w:r w:rsidRPr="00211C3B">
        <w:rPr>
          <w:rFonts w:ascii="Century" w:hAnsi="Century" w:hint="cs"/>
          <w:sz w:val="22"/>
          <w:rtl/>
        </w:rPr>
        <w:t xml:space="preserve"> </w:t>
      </w:r>
      <w:r w:rsidRPr="008A2989">
        <w:rPr>
          <w:rFonts w:ascii="Century" w:hAnsi="Century" w:cs="Miriam" w:hint="cs"/>
          <w:b/>
          <w:spacing w:val="0"/>
          <w:sz w:val="22"/>
          <w:szCs w:val="24"/>
          <w:rtl/>
        </w:rPr>
        <w:t>א' חיות</w:t>
      </w:r>
      <w:r w:rsidRPr="00211C3B">
        <w:rPr>
          <w:rFonts w:ascii="Century" w:hAnsi="Century"/>
          <w:sz w:val="22"/>
          <w:rtl/>
        </w:rPr>
        <w:t xml:space="preserve"> (31.12.2014)</w:t>
      </w:r>
      <w:r w:rsidRPr="00211C3B">
        <w:rPr>
          <w:rFonts w:ascii="Century" w:hAnsi="Century" w:hint="cs"/>
          <w:sz w:val="22"/>
          <w:rtl/>
        </w:rPr>
        <w:t xml:space="preserve">; הילי מודריק-אבן חן, </w:t>
      </w:r>
      <w:r w:rsidRPr="00211C3B">
        <w:rPr>
          <w:rFonts w:ascii="Century" w:hAnsi="Century" w:cs="Miriam" w:hint="cs"/>
          <w:b/>
          <w:spacing w:val="0"/>
          <w:sz w:val="22"/>
          <w:szCs w:val="24"/>
          <w:rtl/>
        </w:rPr>
        <w:t>טרור ומשפט בין-לאומי הומניטרי</w:t>
      </w:r>
      <w:r w:rsidRPr="00211C3B">
        <w:rPr>
          <w:rFonts w:ascii="Century" w:hAnsi="Century" w:hint="cs"/>
          <w:sz w:val="22"/>
          <w:rtl/>
        </w:rPr>
        <w:t xml:space="preserve">, </w:t>
      </w:r>
      <w:r>
        <w:rPr>
          <w:rFonts w:ascii="Century" w:hAnsi="Century" w:hint="cs"/>
          <w:sz w:val="22"/>
          <w:rtl/>
        </w:rPr>
        <w:t xml:space="preserve">עמוד </w:t>
      </w:r>
      <w:r w:rsidRPr="00211C3B">
        <w:rPr>
          <w:rFonts w:ascii="Century" w:hAnsi="Century" w:hint="cs"/>
          <w:sz w:val="22"/>
          <w:rtl/>
        </w:rPr>
        <w:t xml:space="preserve">43 (2010)). מצב דברים זה, מקשה אף הוא במישור הראייתי, מגביר את הסיכוי לגרימת נזק לאזרחים </w:t>
      </w:r>
      <w:r>
        <w:rPr>
          <w:rFonts w:ascii="Century" w:hAnsi="Century" w:hint="cs"/>
          <w:sz w:val="22"/>
          <w:rtl/>
        </w:rPr>
        <w:t>'</w:t>
      </w:r>
      <w:r w:rsidRPr="00211C3B">
        <w:rPr>
          <w:rFonts w:ascii="Century" w:hAnsi="Century" w:hint="cs"/>
          <w:sz w:val="22"/>
          <w:rtl/>
        </w:rPr>
        <w:t>תמימים</w:t>
      </w:r>
      <w:r>
        <w:rPr>
          <w:rFonts w:ascii="Century" w:hAnsi="Century" w:hint="cs"/>
          <w:sz w:val="22"/>
          <w:rtl/>
        </w:rPr>
        <w:t>'</w:t>
      </w:r>
      <w:r w:rsidRPr="00211C3B">
        <w:rPr>
          <w:rFonts w:ascii="Century" w:hAnsi="Century" w:hint="cs"/>
          <w:sz w:val="22"/>
          <w:rtl/>
        </w:rPr>
        <w:t xml:space="preserve">, וכתוצאה מכך </w:t>
      </w:r>
      <w:r w:rsidRPr="00211C3B">
        <w:rPr>
          <w:rFonts w:ascii="Century" w:hAnsi="Century"/>
          <w:sz w:val="22"/>
          <w:rtl/>
        </w:rPr>
        <w:t>–</w:t>
      </w:r>
      <w:r w:rsidRPr="00211C3B">
        <w:rPr>
          <w:rFonts w:ascii="Century" w:hAnsi="Century" w:hint="cs"/>
          <w:sz w:val="22"/>
          <w:rtl/>
        </w:rPr>
        <w:t xml:space="preserve"> </w:t>
      </w:r>
      <w:r>
        <w:rPr>
          <w:rFonts w:ascii="Century" w:hAnsi="Century" w:hint="cs"/>
          <w:sz w:val="22"/>
          <w:rtl/>
        </w:rPr>
        <w:t xml:space="preserve">גם מרחיב את </w:t>
      </w:r>
      <w:r w:rsidRPr="00211C3B">
        <w:rPr>
          <w:rFonts w:ascii="Century" w:hAnsi="Century" w:hint="cs"/>
          <w:sz w:val="22"/>
          <w:rtl/>
        </w:rPr>
        <w:t xml:space="preserve">היקף התביעות הפוטנציאליות. קשיים </w:t>
      </w:r>
      <w:r>
        <w:rPr>
          <w:rFonts w:ascii="Century" w:hAnsi="Century" w:hint="cs"/>
          <w:sz w:val="22"/>
          <w:rtl/>
        </w:rPr>
        <w:t xml:space="preserve">אלו, </w:t>
      </w:r>
      <w:r w:rsidRPr="00211C3B">
        <w:rPr>
          <w:rFonts w:ascii="Century" w:hAnsi="Century" w:hint="cs"/>
          <w:sz w:val="22"/>
          <w:rtl/>
        </w:rPr>
        <w:t>ב</w:t>
      </w:r>
      <w:r>
        <w:rPr>
          <w:rFonts w:ascii="Century" w:hAnsi="Century" w:hint="cs"/>
          <w:sz w:val="22"/>
          <w:rtl/>
        </w:rPr>
        <w:t>יחס ל'נזקי</w:t>
      </w:r>
      <w:r w:rsidRPr="00211C3B">
        <w:rPr>
          <w:rFonts w:ascii="Century" w:hAnsi="Century" w:hint="cs"/>
          <w:sz w:val="22"/>
          <w:rtl/>
        </w:rPr>
        <w:t xml:space="preserve"> מלחמה</w:t>
      </w:r>
      <w:r>
        <w:rPr>
          <w:rFonts w:ascii="Century" w:hAnsi="Century" w:hint="cs"/>
          <w:sz w:val="22"/>
          <w:rtl/>
        </w:rPr>
        <w:t>'</w:t>
      </w:r>
      <w:r w:rsidRPr="00211C3B">
        <w:rPr>
          <w:rFonts w:ascii="Century" w:hAnsi="Century" w:hint="cs"/>
          <w:sz w:val="22"/>
          <w:rtl/>
        </w:rPr>
        <w:t xml:space="preserve">, </w:t>
      </w:r>
      <w:r>
        <w:rPr>
          <w:rFonts w:ascii="Century" w:hAnsi="Century" w:hint="cs"/>
          <w:sz w:val="22"/>
          <w:rtl/>
        </w:rPr>
        <w:t xml:space="preserve">עלולים </w:t>
      </w:r>
      <w:r w:rsidRPr="00211C3B">
        <w:rPr>
          <w:rFonts w:ascii="Century" w:hAnsi="Century" w:hint="cs"/>
          <w:sz w:val="22"/>
          <w:rtl/>
        </w:rPr>
        <w:t xml:space="preserve">לפגוע </w:t>
      </w:r>
      <w:r>
        <w:rPr>
          <w:rFonts w:ascii="Century" w:hAnsi="Century" w:hint="cs"/>
          <w:sz w:val="22"/>
          <w:rtl/>
        </w:rPr>
        <w:t xml:space="preserve">ביסוד </w:t>
      </w:r>
      <w:r w:rsidRPr="00211C3B">
        <w:rPr>
          <w:rFonts w:ascii="Century" w:hAnsi="Century" w:hint="cs"/>
          <w:sz w:val="22"/>
          <w:rtl/>
        </w:rPr>
        <w:t xml:space="preserve">הבסיסי של ההליך </w:t>
      </w:r>
      <w:r>
        <w:rPr>
          <w:rFonts w:ascii="Century" w:hAnsi="Century" w:hint="cs"/>
          <w:sz w:val="22"/>
          <w:rtl/>
        </w:rPr>
        <w:t>ה</w:t>
      </w:r>
      <w:r w:rsidRPr="00211C3B">
        <w:rPr>
          <w:rFonts w:ascii="Century" w:hAnsi="Century" w:hint="cs"/>
          <w:sz w:val="22"/>
          <w:rtl/>
        </w:rPr>
        <w:t xml:space="preserve">שיפוטי </w:t>
      </w:r>
      <w:r w:rsidRPr="00211C3B">
        <w:rPr>
          <w:rFonts w:ascii="Century" w:hAnsi="Century"/>
          <w:sz w:val="22"/>
          <w:rtl/>
        </w:rPr>
        <w:t>–</w:t>
      </w:r>
      <w:r w:rsidRPr="00211C3B">
        <w:rPr>
          <w:rFonts w:ascii="Century" w:hAnsi="Century" w:hint="cs"/>
          <w:sz w:val="22"/>
          <w:rtl/>
        </w:rPr>
        <w:t xml:space="preserve"> בירור האמת. </w:t>
      </w:r>
      <w:r w:rsidRPr="00211C3B">
        <w:rPr>
          <w:rFonts w:ascii="Century" w:hAnsi="Century" w:cs="Miriam" w:hint="cs"/>
          <w:b/>
          <w:spacing w:val="0"/>
          <w:sz w:val="22"/>
          <w:szCs w:val="24"/>
          <w:rtl/>
        </w:rPr>
        <w:t>"לא לשווא אימצו מדינות העולם כללים מיוחדים המקפיאים את תחולתם של דיני הנזיקין בעת קרב"</w:t>
      </w:r>
      <w:r w:rsidRPr="00211C3B">
        <w:rPr>
          <w:rFonts w:ascii="Century" w:hAnsi="Century" w:hint="cs"/>
          <w:sz w:val="22"/>
          <w:rtl/>
        </w:rPr>
        <w:t xml:space="preserve"> (</w:t>
      </w:r>
      <w:r w:rsidRPr="00211C3B">
        <w:rPr>
          <w:rFonts w:ascii="Century" w:hAnsi="Century" w:cs="Miriam" w:hint="cs"/>
          <w:b/>
          <w:spacing w:val="0"/>
          <w:sz w:val="22"/>
          <w:szCs w:val="24"/>
          <w:rtl/>
        </w:rPr>
        <w:t>יעקב, חסינות תחת אש</w:t>
      </w:r>
      <w:r w:rsidRPr="00211C3B">
        <w:rPr>
          <w:rFonts w:ascii="Century" w:hAnsi="Century" w:hint="cs"/>
          <w:sz w:val="22"/>
          <w:rtl/>
        </w:rPr>
        <w:t xml:space="preserve">, </w:t>
      </w:r>
      <w:r>
        <w:rPr>
          <w:rFonts w:ascii="Century" w:hAnsi="Century" w:hint="cs"/>
          <w:sz w:val="22"/>
          <w:rtl/>
        </w:rPr>
        <w:t xml:space="preserve">עמוד </w:t>
      </w:r>
      <w:r w:rsidRPr="00211C3B">
        <w:rPr>
          <w:rFonts w:ascii="Century" w:hAnsi="Century" w:hint="cs"/>
          <w:sz w:val="22"/>
          <w:rtl/>
        </w:rPr>
        <w:t xml:space="preserve">140). החלת </w:t>
      </w:r>
      <w:r>
        <w:rPr>
          <w:rFonts w:ascii="Century" w:hAnsi="Century" w:hint="cs"/>
          <w:sz w:val="22"/>
          <w:rtl/>
        </w:rPr>
        <w:t xml:space="preserve">דיני הנזיקין ביחס ל'נזקי </w:t>
      </w:r>
      <w:r w:rsidRPr="00211C3B">
        <w:rPr>
          <w:rFonts w:ascii="Century" w:hAnsi="Century" w:hint="cs"/>
          <w:sz w:val="22"/>
          <w:rtl/>
        </w:rPr>
        <w:t>מלחמה</w:t>
      </w:r>
      <w:r>
        <w:rPr>
          <w:rFonts w:ascii="Century" w:hAnsi="Century" w:hint="cs"/>
          <w:sz w:val="22"/>
          <w:rtl/>
        </w:rPr>
        <w:t xml:space="preserve">' </w:t>
      </w:r>
      <w:r>
        <w:rPr>
          <w:rFonts w:ascii="Century" w:hAnsi="Century"/>
          <w:sz w:val="22"/>
          <w:rtl/>
        </w:rPr>
        <w:t>–</w:t>
      </w:r>
      <w:r w:rsidRPr="00211C3B">
        <w:rPr>
          <w:rFonts w:ascii="Century" w:hAnsi="Century" w:hint="cs"/>
          <w:sz w:val="22"/>
          <w:rtl/>
        </w:rPr>
        <w:t xml:space="preserve"> </w:t>
      </w:r>
      <w:r w:rsidRPr="00211C3B">
        <w:rPr>
          <w:rFonts w:ascii="Century" w:hAnsi="Century" w:cs="Miriam" w:hint="cs"/>
          <w:b/>
          <w:spacing w:val="0"/>
          <w:sz w:val="22"/>
          <w:szCs w:val="24"/>
          <w:rtl/>
        </w:rPr>
        <w:t>"מקלקלת את השורה"</w:t>
      </w:r>
      <w:r w:rsidRPr="00211C3B">
        <w:rPr>
          <w:rFonts w:ascii="Century" w:hAnsi="Century" w:hint="cs"/>
          <w:sz w:val="22"/>
          <w:rtl/>
        </w:rPr>
        <w:t xml:space="preserve"> (עוד על הקשיים הראייתיים, ראו: דברי ההסבר להצעת חוק לטיפול בתביעות של פעולות כוחות הביטחון ביהודה ושומרון וחבל עזה, התשנ"ז-1997, מיום 23.7.1997</w:t>
      </w:r>
      <w:r>
        <w:rPr>
          <w:rFonts w:ascii="Century" w:hAnsi="Century" w:hint="cs"/>
          <w:sz w:val="22"/>
          <w:rtl/>
        </w:rPr>
        <w:t>, עמוד</w:t>
      </w:r>
      <w:r w:rsidR="00944FC1">
        <w:rPr>
          <w:rFonts w:ascii="Century" w:hAnsi="Century" w:hint="cs"/>
          <w:sz w:val="22"/>
          <w:rtl/>
        </w:rPr>
        <w:t xml:space="preserve"> </w:t>
      </w:r>
      <w:r w:rsidRPr="00211C3B">
        <w:rPr>
          <w:rFonts w:ascii="Century" w:hAnsi="Century" w:hint="cs"/>
          <w:sz w:val="22"/>
          <w:rtl/>
        </w:rPr>
        <w:t xml:space="preserve">497). </w:t>
      </w:r>
      <w:r>
        <w:rPr>
          <w:rFonts w:ascii="Century" w:hAnsi="Century" w:hint="cs"/>
          <w:sz w:val="22"/>
          <w:rtl/>
        </w:rPr>
        <w:t xml:space="preserve">ודוק: העדר תחולה לדיני הנזיקין, אין משמעה בהכרח שלילת פיצוי. העיקרון המקובל בעולם הוא, שכל מדינה קובעת הסדר פנימי לפיצוי </w:t>
      </w:r>
      <w:r w:rsidR="007724A1">
        <w:rPr>
          <w:rFonts w:ascii="Century" w:hAnsi="Century" w:hint="cs"/>
          <w:sz w:val="22"/>
          <w:rtl/>
        </w:rPr>
        <w:t xml:space="preserve">אזרחיה, אם נפגעו מנזקי המלחמה, </w:t>
      </w:r>
      <w:r>
        <w:rPr>
          <w:rFonts w:ascii="Century" w:hAnsi="Century" w:hint="cs"/>
          <w:sz w:val="22"/>
          <w:rtl/>
        </w:rPr>
        <w:t>דוגמת חקיקת התגמולים הענפה בישראל (למשל, חוק הנכים (תגמולים ושיקום), התשי"ט-1959; חוק משפחות חיילים שנספו במערכה (תגמולים ושיקום), התש"י-1950; חוק התגמולים לנפגעי פעולות האיבה, התש"ל-1970; חוק מס רכוש וקרן פיצויים, התשכ"א-1961). כמו כן, לעיתים</w:t>
      </w:r>
      <w:r w:rsidRPr="00B96BFE">
        <w:rPr>
          <w:rFonts w:ascii="Century" w:hAnsi="Century"/>
          <w:sz w:val="22"/>
          <w:rtl/>
        </w:rPr>
        <w:t xml:space="preserve">, </w:t>
      </w:r>
      <w:r w:rsidRPr="00B96BFE">
        <w:rPr>
          <w:rFonts w:ascii="Century" w:hAnsi="Century" w:hint="eastAsia"/>
          <w:sz w:val="22"/>
          <w:rtl/>
        </w:rPr>
        <w:t>בשוך</w:t>
      </w:r>
      <w:r w:rsidRPr="00B96BFE">
        <w:rPr>
          <w:rFonts w:ascii="Century" w:hAnsi="Century"/>
          <w:sz w:val="22"/>
          <w:rtl/>
        </w:rPr>
        <w:t xml:space="preserve"> </w:t>
      </w:r>
      <w:r w:rsidRPr="00B96BFE">
        <w:rPr>
          <w:rFonts w:ascii="Century" w:hAnsi="Century" w:hint="eastAsia"/>
          <w:sz w:val="22"/>
          <w:rtl/>
        </w:rPr>
        <w:t>הקרבות</w:t>
      </w:r>
      <w:r w:rsidRPr="00B96BFE">
        <w:rPr>
          <w:rFonts w:ascii="Century" w:hAnsi="Century"/>
          <w:sz w:val="22"/>
          <w:rtl/>
        </w:rPr>
        <w:t xml:space="preserve">, </w:t>
      </w:r>
      <w:r>
        <w:rPr>
          <w:rFonts w:ascii="Century" w:hAnsi="Century" w:hint="cs"/>
          <w:sz w:val="22"/>
          <w:rtl/>
        </w:rPr>
        <w:t>כ</w:t>
      </w:r>
      <w:r w:rsidRPr="00B96BFE">
        <w:rPr>
          <w:rFonts w:ascii="Century" w:hAnsi="Century" w:hint="eastAsia"/>
          <w:sz w:val="22"/>
          <w:rtl/>
        </w:rPr>
        <w:t>שהאבק</w:t>
      </w:r>
      <w:r w:rsidRPr="00B96BFE">
        <w:rPr>
          <w:rFonts w:ascii="Century" w:hAnsi="Century"/>
          <w:sz w:val="22"/>
          <w:rtl/>
        </w:rPr>
        <w:t xml:space="preserve"> </w:t>
      </w:r>
      <w:r w:rsidRPr="00B96BFE">
        <w:rPr>
          <w:rFonts w:ascii="Century" w:hAnsi="Century" w:hint="eastAsia"/>
          <w:sz w:val="22"/>
          <w:rtl/>
        </w:rPr>
        <w:t>שוקע</w:t>
      </w:r>
      <w:r w:rsidRPr="00B96BFE">
        <w:rPr>
          <w:rFonts w:ascii="Century" w:hAnsi="Century"/>
          <w:sz w:val="22"/>
          <w:rtl/>
        </w:rPr>
        <w:t xml:space="preserve"> </w:t>
      </w:r>
      <w:r w:rsidRPr="00B96BFE">
        <w:rPr>
          <w:rFonts w:ascii="Century" w:hAnsi="Century" w:hint="eastAsia"/>
          <w:sz w:val="22"/>
          <w:rtl/>
        </w:rPr>
        <w:t>וענני</w:t>
      </w:r>
      <w:r w:rsidRPr="00B96BFE">
        <w:rPr>
          <w:rFonts w:ascii="Century" w:hAnsi="Century"/>
          <w:sz w:val="22"/>
          <w:rtl/>
        </w:rPr>
        <w:t xml:space="preserve"> </w:t>
      </w:r>
      <w:r w:rsidRPr="00B96BFE">
        <w:rPr>
          <w:rFonts w:ascii="Century" w:hAnsi="Century" w:hint="eastAsia"/>
          <w:sz w:val="22"/>
          <w:rtl/>
        </w:rPr>
        <w:t>העשן</w:t>
      </w:r>
      <w:r w:rsidRPr="00B96BFE">
        <w:rPr>
          <w:rFonts w:ascii="Century" w:hAnsi="Century"/>
          <w:sz w:val="22"/>
          <w:rtl/>
        </w:rPr>
        <w:t xml:space="preserve"> </w:t>
      </w:r>
      <w:r w:rsidRPr="00B96BFE">
        <w:rPr>
          <w:rFonts w:ascii="Century" w:hAnsi="Century" w:hint="eastAsia"/>
          <w:sz w:val="22"/>
          <w:rtl/>
        </w:rPr>
        <w:t>מתפזרים</w:t>
      </w:r>
      <w:r w:rsidRPr="00B96BFE">
        <w:rPr>
          <w:rFonts w:ascii="Century" w:hAnsi="Century"/>
          <w:sz w:val="22"/>
          <w:rtl/>
        </w:rPr>
        <w:t xml:space="preserve">, </w:t>
      </w:r>
      <w:r>
        <w:rPr>
          <w:rFonts w:ascii="Century" w:hAnsi="Century" w:hint="cs"/>
          <w:sz w:val="22"/>
          <w:rtl/>
        </w:rPr>
        <w:t xml:space="preserve">עשויות </w:t>
      </w:r>
      <w:r w:rsidRPr="00B96BFE">
        <w:rPr>
          <w:rFonts w:ascii="Century" w:hAnsi="Century" w:hint="eastAsia"/>
          <w:sz w:val="22"/>
          <w:rtl/>
        </w:rPr>
        <w:t>המדינות</w:t>
      </w:r>
      <w:r w:rsidRPr="00B96BFE">
        <w:rPr>
          <w:rFonts w:ascii="Century" w:hAnsi="Century"/>
          <w:sz w:val="22"/>
          <w:rtl/>
        </w:rPr>
        <w:t xml:space="preserve"> </w:t>
      </w:r>
      <w:r>
        <w:rPr>
          <w:rFonts w:ascii="Century" w:hAnsi="Century" w:hint="cs"/>
          <w:sz w:val="22"/>
          <w:rtl/>
        </w:rPr>
        <w:t xml:space="preserve">היריבות להגיע להסכמה, לגבי </w:t>
      </w:r>
      <w:r w:rsidRPr="00B96BFE">
        <w:rPr>
          <w:rFonts w:ascii="Century" w:hAnsi="Century" w:hint="eastAsia"/>
          <w:sz w:val="22"/>
          <w:rtl/>
        </w:rPr>
        <w:t>הסדרי</w:t>
      </w:r>
      <w:r w:rsidRPr="00B96BFE">
        <w:rPr>
          <w:rFonts w:ascii="Century" w:hAnsi="Century"/>
          <w:sz w:val="22"/>
          <w:rtl/>
        </w:rPr>
        <w:t xml:space="preserve"> </w:t>
      </w:r>
      <w:r w:rsidRPr="00B96BFE">
        <w:rPr>
          <w:rFonts w:ascii="Century" w:hAnsi="Century" w:hint="eastAsia"/>
          <w:sz w:val="22"/>
          <w:rtl/>
        </w:rPr>
        <w:t>פיצויים</w:t>
      </w:r>
      <w:r w:rsidRPr="00B96BFE">
        <w:rPr>
          <w:rFonts w:ascii="Century" w:hAnsi="Century"/>
          <w:sz w:val="22"/>
          <w:rtl/>
        </w:rPr>
        <w:t xml:space="preserve"> </w:t>
      </w:r>
      <w:r w:rsidRPr="00B96BFE">
        <w:rPr>
          <w:rFonts w:ascii="Century" w:hAnsi="Century" w:hint="eastAsia"/>
          <w:sz w:val="22"/>
          <w:rtl/>
        </w:rPr>
        <w:t>קיבוציים</w:t>
      </w:r>
      <w:r w:rsidRPr="00B96BFE">
        <w:rPr>
          <w:rFonts w:ascii="Century" w:hAnsi="Century"/>
          <w:sz w:val="22"/>
          <w:rtl/>
        </w:rPr>
        <w:t xml:space="preserve"> </w:t>
      </w:r>
      <w:r w:rsidRPr="00B96BFE">
        <w:rPr>
          <w:rFonts w:ascii="Century" w:hAnsi="Century" w:hint="eastAsia"/>
          <w:sz w:val="22"/>
          <w:rtl/>
        </w:rPr>
        <w:t>ביניהן</w:t>
      </w:r>
      <w:r w:rsidRPr="00B96BFE">
        <w:rPr>
          <w:rFonts w:ascii="Century" w:hAnsi="Century"/>
          <w:sz w:val="22"/>
          <w:rtl/>
        </w:rPr>
        <w:t xml:space="preserve"> (</w:t>
      </w:r>
      <w:r w:rsidRPr="00B96BFE">
        <w:rPr>
          <w:rFonts w:ascii="Century" w:hAnsi="Century" w:cs="Miriam" w:hint="eastAsia"/>
          <w:b/>
          <w:spacing w:val="0"/>
          <w:sz w:val="22"/>
          <w:szCs w:val="24"/>
          <w:rtl/>
        </w:rPr>
        <w:t>יעקב</w:t>
      </w:r>
      <w:r w:rsidRPr="00B96BFE">
        <w:rPr>
          <w:rFonts w:ascii="Century" w:hAnsi="Century" w:cs="Miriam"/>
          <w:b/>
          <w:spacing w:val="0"/>
          <w:sz w:val="22"/>
          <w:szCs w:val="24"/>
          <w:rtl/>
        </w:rPr>
        <w:t xml:space="preserve">, </w:t>
      </w:r>
      <w:r w:rsidRPr="00B96BFE">
        <w:rPr>
          <w:rFonts w:ascii="Century" w:hAnsi="Century" w:cs="Miriam" w:hint="eastAsia"/>
          <w:b/>
          <w:spacing w:val="0"/>
          <w:sz w:val="22"/>
          <w:szCs w:val="24"/>
          <w:rtl/>
        </w:rPr>
        <w:t>חסינות</w:t>
      </w:r>
      <w:r w:rsidRPr="00B96BFE">
        <w:rPr>
          <w:rFonts w:ascii="Century" w:hAnsi="Century" w:cs="Miriam"/>
          <w:b/>
          <w:spacing w:val="0"/>
          <w:sz w:val="22"/>
          <w:szCs w:val="24"/>
          <w:rtl/>
        </w:rPr>
        <w:t xml:space="preserve"> </w:t>
      </w:r>
      <w:r w:rsidRPr="00B96BFE">
        <w:rPr>
          <w:rFonts w:ascii="Century" w:hAnsi="Century" w:cs="Miriam" w:hint="eastAsia"/>
          <w:b/>
          <w:spacing w:val="0"/>
          <w:sz w:val="22"/>
          <w:szCs w:val="24"/>
          <w:rtl/>
        </w:rPr>
        <w:t>תחת</w:t>
      </w:r>
      <w:r w:rsidRPr="00B96BFE">
        <w:rPr>
          <w:rFonts w:ascii="Century" w:hAnsi="Century" w:cs="Miriam"/>
          <w:b/>
          <w:spacing w:val="0"/>
          <w:sz w:val="22"/>
          <w:szCs w:val="24"/>
          <w:rtl/>
        </w:rPr>
        <w:t xml:space="preserve"> </w:t>
      </w:r>
      <w:r w:rsidRPr="00B96BFE">
        <w:rPr>
          <w:rFonts w:ascii="Century" w:hAnsi="Century" w:cs="Miriam" w:hint="eastAsia"/>
          <w:b/>
          <w:spacing w:val="0"/>
          <w:sz w:val="22"/>
          <w:szCs w:val="24"/>
          <w:rtl/>
        </w:rPr>
        <w:t>אש</w:t>
      </w:r>
      <w:r w:rsidRPr="00B96BFE">
        <w:rPr>
          <w:rFonts w:ascii="Century" w:hAnsi="Century"/>
          <w:sz w:val="22"/>
          <w:rtl/>
        </w:rPr>
        <w:t xml:space="preserve">, </w:t>
      </w:r>
      <w:r w:rsidRPr="00B96BFE">
        <w:rPr>
          <w:rFonts w:ascii="Century" w:hAnsi="Century" w:hint="eastAsia"/>
          <w:sz w:val="22"/>
          <w:rtl/>
        </w:rPr>
        <w:t>עמוד</w:t>
      </w:r>
      <w:r w:rsidRPr="00B96BFE">
        <w:rPr>
          <w:rFonts w:ascii="Century" w:hAnsi="Century"/>
          <w:sz w:val="22"/>
          <w:rtl/>
        </w:rPr>
        <w:t xml:space="preserve"> 148</w:t>
      </w:r>
      <w:r>
        <w:rPr>
          <w:rFonts w:ascii="Century" w:hAnsi="Century" w:hint="cs"/>
          <w:sz w:val="22"/>
          <w:rtl/>
        </w:rPr>
        <w:t>).</w:t>
      </w:r>
    </w:p>
    <w:p w:rsidR="00D512D4" w:rsidRPr="004275A5" w:rsidRDefault="00D512D4" w:rsidP="009F054C">
      <w:pPr>
        <w:pStyle w:val="Ruller41"/>
        <w:spacing w:line="240" w:lineRule="auto"/>
      </w:pPr>
    </w:p>
    <w:p w:rsidR="00D512D4" w:rsidRDefault="00D512D4" w:rsidP="00A92248">
      <w:pPr>
        <w:pStyle w:val="Ruller4"/>
        <w:rPr>
          <w:rtl/>
        </w:rPr>
      </w:pPr>
      <w:r>
        <w:rPr>
          <w:rFonts w:hint="cs"/>
          <w:rtl/>
        </w:rPr>
        <w:t xml:space="preserve">גם התכלית השניה </w:t>
      </w:r>
      <w:r>
        <w:rPr>
          <w:rtl/>
        </w:rPr>
        <w:t>–</w:t>
      </w:r>
      <w:r>
        <w:rPr>
          <w:rFonts w:hint="cs"/>
          <w:rtl/>
        </w:rPr>
        <w:t xml:space="preserve"> מניעת סיוע כלכלי ומוראלי לאויב </w:t>
      </w:r>
      <w:r>
        <w:rPr>
          <w:rtl/>
        </w:rPr>
        <w:t>–</w:t>
      </w:r>
      <w:r>
        <w:rPr>
          <w:rFonts w:hint="cs"/>
          <w:rtl/>
        </w:rPr>
        <w:t xml:space="preserve"> היא תכלית ראויה. אין צורך לה</w:t>
      </w:r>
      <w:r w:rsidR="00D22039">
        <w:rPr>
          <w:rFonts w:hint="cs"/>
          <w:rtl/>
        </w:rPr>
        <w:t xml:space="preserve">כביר מילים על </w:t>
      </w:r>
      <w:r>
        <w:rPr>
          <w:rFonts w:hint="cs"/>
          <w:rtl/>
        </w:rPr>
        <w:t>חשיבותה של תכלית זו; הדבר נדון בהרחבה בעניין</w:t>
      </w:r>
      <w:r>
        <w:rPr>
          <w:rFonts w:ascii="Century" w:hAnsi="Century" w:cs="Miriam" w:hint="cs"/>
          <w:b/>
          <w:spacing w:val="0"/>
          <w:sz w:val="22"/>
          <w:szCs w:val="24"/>
          <w:rtl/>
        </w:rPr>
        <w:t xml:space="preserve"> </w:t>
      </w:r>
      <w:r w:rsidRPr="00C47A73">
        <w:rPr>
          <w:rFonts w:ascii="Century" w:hAnsi="Century" w:cs="Miriam" w:hint="cs"/>
          <w:b/>
          <w:spacing w:val="0"/>
          <w:sz w:val="22"/>
          <w:szCs w:val="24"/>
          <w:rtl/>
        </w:rPr>
        <w:t>דיראני</w:t>
      </w:r>
      <w:r w:rsidR="00A92248">
        <w:rPr>
          <w:rFonts w:hint="cs"/>
          <w:rtl/>
        </w:rPr>
        <w:t>, שם נקבע</w:t>
      </w:r>
      <w:r>
        <w:rPr>
          <w:rFonts w:hint="cs"/>
          <w:rtl/>
        </w:rPr>
        <w:t xml:space="preserve">: </w:t>
      </w:r>
      <w:r w:rsidRPr="00C47A73">
        <w:rPr>
          <w:rFonts w:ascii="Century" w:hAnsi="Century" w:cs="Miriam" w:hint="cs"/>
          <w:b/>
          <w:spacing w:val="0"/>
          <w:sz w:val="22"/>
          <w:szCs w:val="24"/>
          <w:rtl/>
        </w:rPr>
        <w:t>"</w:t>
      </w:r>
      <w:r w:rsidRPr="00C47A73">
        <w:rPr>
          <w:rFonts w:ascii="Century" w:hAnsi="Century" w:cs="Miriam" w:hint="eastAsia"/>
          <w:b/>
          <w:spacing w:val="0"/>
          <w:sz w:val="22"/>
          <w:szCs w:val="24"/>
          <w:rtl/>
        </w:rPr>
        <w:t>נראה</w:t>
      </w:r>
      <w:r w:rsidRPr="00C47A73">
        <w:rPr>
          <w:rFonts w:ascii="Century" w:hAnsi="Century" w:cs="Miriam"/>
          <w:b/>
          <w:spacing w:val="0"/>
          <w:sz w:val="22"/>
          <w:szCs w:val="24"/>
          <w:rtl/>
        </w:rPr>
        <w:t xml:space="preserve"> </w:t>
      </w:r>
      <w:r w:rsidRPr="00C47A73">
        <w:rPr>
          <w:rFonts w:ascii="Century" w:hAnsi="Century" w:cs="Miriam" w:hint="eastAsia"/>
          <w:b/>
          <w:spacing w:val="0"/>
          <w:sz w:val="22"/>
          <w:szCs w:val="24"/>
          <w:rtl/>
        </w:rPr>
        <w:t>שאין</w:t>
      </w:r>
      <w:r w:rsidRPr="00C47A73">
        <w:rPr>
          <w:rFonts w:ascii="Century" w:hAnsi="Century" w:cs="Miriam"/>
          <w:b/>
          <w:spacing w:val="0"/>
          <w:sz w:val="22"/>
          <w:szCs w:val="24"/>
          <w:rtl/>
        </w:rPr>
        <w:t xml:space="preserve"> </w:t>
      </w:r>
      <w:r w:rsidRPr="00C47A73">
        <w:rPr>
          <w:rFonts w:ascii="Century" w:hAnsi="Century" w:cs="Miriam" w:hint="eastAsia"/>
          <w:b/>
          <w:spacing w:val="0"/>
          <w:sz w:val="22"/>
          <w:szCs w:val="24"/>
          <w:rtl/>
        </w:rPr>
        <w:t>חולק</w:t>
      </w:r>
      <w:r w:rsidRPr="00C47A73">
        <w:rPr>
          <w:rFonts w:ascii="Century" w:hAnsi="Century" w:cs="Miriam"/>
          <w:b/>
          <w:spacing w:val="0"/>
          <w:sz w:val="22"/>
          <w:szCs w:val="24"/>
          <w:rtl/>
        </w:rPr>
        <w:t xml:space="preserve"> </w:t>
      </w:r>
      <w:r w:rsidRPr="00C47A73">
        <w:rPr>
          <w:rFonts w:ascii="Century" w:hAnsi="Century" w:cs="Miriam" w:hint="eastAsia"/>
          <w:b/>
          <w:spacing w:val="0"/>
          <w:sz w:val="22"/>
          <w:szCs w:val="24"/>
          <w:rtl/>
        </w:rPr>
        <w:t>שתכליתו</w:t>
      </w:r>
      <w:r w:rsidRPr="00C47A73">
        <w:rPr>
          <w:rFonts w:ascii="Century" w:hAnsi="Century" w:cs="Miriam"/>
          <w:b/>
          <w:spacing w:val="0"/>
          <w:sz w:val="22"/>
          <w:szCs w:val="24"/>
          <w:rtl/>
        </w:rPr>
        <w:t xml:space="preserve"> </w:t>
      </w:r>
      <w:r w:rsidRPr="00C47A73">
        <w:rPr>
          <w:rFonts w:ascii="Century" w:hAnsi="Century" w:cs="Miriam" w:hint="eastAsia"/>
          <w:b/>
          <w:spacing w:val="0"/>
          <w:sz w:val="22"/>
          <w:szCs w:val="24"/>
          <w:rtl/>
        </w:rPr>
        <w:t>של</w:t>
      </w:r>
      <w:r w:rsidRPr="00C47A73">
        <w:rPr>
          <w:rFonts w:ascii="Century" w:hAnsi="Century" w:cs="Miriam"/>
          <w:b/>
          <w:spacing w:val="0"/>
          <w:sz w:val="22"/>
          <w:szCs w:val="24"/>
          <w:rtl/>
        </w:rPr>
        <w:t xml:space="preserve"> </w:t>
      </w:r>
      <w:r w:rsidRPr="00C47A73">
        <w:rPr>
          <w:rFonts w:ascii="Century" w:hAnsi="Century" w:cs="Miriam" w:hint="eastAsia"/>
          <w:b/>
          <w:spacing w:val="0"/>
          <w:sz w:val="22"/>
          <w:szCs w:val="24"/>
          <w:rtl/>
        </w:rPr>
        <w:t>הכלל</w:t>
      </w:r>
      <w:r w:rsidRPr="00C47A73">
        <w:rPr>
          <w:rFonts w:ascii="Century" w:hAnsi="Century" w:cs="Miriam"/>
          <w:b/>
          <w:spacing w:val="0"/>
          <w:sz w:val="22"/>
          <w:szCs w:val="24"/>
          <w:rtl/>
        </w:rPr>
        <w:t xml:space="preserve">, </w:t>
      </w:r>
      <w:r w:rsidRPr="00C47A73">
        <w:rPr>
          <w:rFonts w:ascii="Century" w:hAnsi="Century" w:cs="Miriam" w:hint="eastAsia"/>
          <w:b/>
          <w:spacing w:val="0"/>
          <w:sz w:val="22"/>
          <w:szCs w:val="24"/>
          <w:rtl/>
        </w:rPr>
        <w:t>מניעת</w:t>
      </w:r>
      <w:r w:rsidRPr="00C47A73">
        <w:rPr>
          <w:rFonts w:ascii="Century" w:hAnsi="Century" w:cs="Miriam"/>
          <w:b/>
          <w:spacing w:val="0"/>
          <w:sz w:val="22"/>
          <w:szCs w:val="24"/>
          <w:rtl/>
        </w:rPr>
        <w:t xml:space="preserve"> </w:t>
      </w:r>
      <w:r w:rsidRPr="00C47A73">
        <w:rPr>
          <w:rFonts w:ascii="Century" w:hAnsi="Century" w:cs="Miriam" w:hint="eastAsia"/>
          <w:b/>
          <w:spacing w:val="0"/>
          <w:sz w:val="22"/>
          <w:szCs w:val="24"/>
          <w:rtl/>
        </w:rPr>
        <w:t>סיוע</w:t>
      </w:r>
      <w:r w:rsidRPr="00C47A73">
        <w:rPr>
          <w:rFonts w:ascii="Century" w:hAnsi="Century" w:cs="Miriam"/>
          <w:b/>
          <w:spacing w:val="0"/>
          <w:sz w:val="22"/>
          <w:szCs w:val="24"/>
          <w:rtl/>
        </w:rPr>
        <w:t xml:space="preserve"> </w:t>
      </w:r>
      <w:r w:rsidRPr="00C47A73">
        <w:rPr>
          <w:rFonts w:ascii="Century" w:hAnsi="Century" w:cs="Miriam" w:hint="eastAsia"/>
          <w:b/>
          <w:spacing w:val="0"/>
          <w:sz w:val="22"/>
          <w:szCs w:val="24"/>
          <w:rtl/>
        </w:rPr>
        <w:t>לאויב</w:t>
      </w:r>
      <w:r w:rsidRPr="00C47A73">
        <w:rPr>
          <w:rFonts w:ascii="Century" w:hAnsi="Century" w:cs="Miriam"/>
          <w:b/>
          <w:spacing w:val="0"/>
          <w:sz w:val="22"/>
          <w:szCs w:val="24"/>
          <w:rtl/>
        </w:rPr>
        <w:t xml:space="preserve">, </w:t>
      </w:r>
      <w:r w:rsidRPr="00C47A73">
        <w:rPr>
          <w:rFonts w:ascii="Century" w:hAnsi="Century" w:cs="Miriam" w:hint="eastAsia"/>
          <w:b/>
          <w:spacing w:val="0"/>
          <w:sz w:val="22"/>
          <w:szCs w:val="24"/>
          <w:rtl/>
        </w:rPr>
        <w:t>מהווה</w:t>
      </w:r>
      <w:r w:rsidRPr="00C47A73">
        <w:rPr>
          <w:rFonts w:ascii="Century" w:hAnsi="Century" w:cs="Miriam"/>
          <w:b/>
          <w:spacing w:val="0"/>
          <w:sz w:val="22"/>
          <w:szCs w:val="24"/>
          <w:rtl/>
        </w:rPr>
        <w:t xml:space="preserve"> </w:t>
      </w:r>
      <w:r w:rsidRPr="00C47A73">
        <w:rPr>
          <w:rFonts w:ascii="Century" w:hAnsi="Century" w:cs="Miriam" w:hint="eastAsia"/>
          <w:b/>
          <w:spacing w:val="0"/>
          <w:sz w:val="22"/>
          <w:szCs w:val="24"/>
          <w:rtl/>
        </w:rPr>
        <w:t>תכלית</w:t>
      </w:r>
      <w:r w:rsidRPr="00C47A73">
        <w:rPr>
          <w:rFonts w:ascii="Century" w:hAnsi="Century" w:cs="Miriam"/>
          <w:b/>
          <w:spacing w:val="0"/>
          <w:sz w:val="22"/>
          <w:szCs w:val="24"/>
          <w:rtl/>
        </w:rPr>
        <w:t xml:space="preserve"> </w:t>
      </w:r>
      <w:r w:rsidRPr="00C47A73">
        <w:rPr>
          <w:rFonts w:ascii="Century" w:hAnsi="Century" w:cs="Miriam" w:hint="eastAsia"/>
          <w:b/>
          <w:spacing w:val="0"/>
          <w:sz w:val="22"/>
          <w:szCs w:val="24"/>
          <w:rtl/>
        </w:rPr>
        <w:t>ראויה</w:t>
      </w:r>
      <w:r w:rsidRPr="00C47A73">
        <w:rPr>
          <w:rFonts w:ascii="Century" w:hAnsi="Century" w:cs="Miriam" w:hint="cs"/>
          <w:b/>
          <w:spacing w:val="0"/>
          <w:sz w:val="22"/>
          <w:szCs w:val="24"/>
          <w:rtl/>
        </w:rPr>
        <w:t>"</w:t>
      </w:r>
      <w:r>
        <w:rPr>
          <w:rFonts w:hint="cs"/>
          <w:rtl/>
        </w:rPr>
        <w:t xml:space="preserve"> (עניין</w:t>
      </w:r>
      <w:r w:rsidRPr="00EA7D02">
        <w:rPr>
          <w:rFonts w:ascii="Century" w:hAnsi="Century" w:cs="Miriam"/>
          <w:b/>
          <w:spacing w:val="0"/>
          <w:sz w:val="22"/>
          <w:szCs w:val="24"/>
          <w:rtl/>
        </w:rPr>
        <w:t xml:space="preserve"> </w:t>
      </w:r>
      <w:r w:rsidRPr="00EB3A86">
        <w:rPr>
          <w:rFonts w:ascii="Century" w:hAnsi="Century" w:cs="Miriam" w:hint="eastAsia"/>
          <w:b/>
          <w:spacing w:val="0"/>
          <w:sz w:val="22"/>
          <w:szCs w:val="24"/>
          <w:rtl/>
        </w:rPr>
        <w:t>דיראני</w:t>
      </w:r>
      <w:r>
        <w:rPr>
          <w:rFonts w:hint="cs"/>
          <w:rtl/>
        </w:rPr>
        <w:t>, פסקה 69). אציין אפוא בתמצית, כי בית המשפט הכיר בכך ש</w:t>
      </w:r>
      <w:r w:rsidRPr="00C47A73">
        <w:rPr>
          <w:rFonts w:ascii="Century" w:hAnsi="Century" w:cs="Miriam" w:hint="cs"/>
          <w:b/>
          <w:spacing w:val="0"/>
          <w:sz w:val="22"/>
          <w:szCs w:val="24"/>
          <w:rtl/>
        </w:rPr>
        <w:t>"עצם קיומו של פסק דין לטובת האויב עשוי לסייע לו גם בלא מימושו</w:t>
      </w:r>
      <w:r>
        <w:rPr>
          <w:rFonts w:hint="cs"/>
          <w:rtl/>
        </w:rPr>
        <w:t xml:space="preserve">", וכי קיים </w:t>
      </w:r>
      <w:r w:rsidRPr="00C47A73">
        <w:rPr>
          <w:rFonts w:ascii="Century" w:hAnsi="Century" w:cs="Miriam" w:hint="cs"/>
          <w:b/>
          <w:spacing w:val="0"/>
          <w:sz w:val="22"/>
          <w:szCs w:val="24"/>
          <w:rtl/>
        </w:rPr>
        <w:t>"</w:t>
      </w:r>
      <w:r w:rsidRPr="00C47A73">
        <w:rPr>
          <w:rFonts w:ascii="Century" w:hAnsi="Century" w:cs="Miriam"/>
          <w:b/>
          <w:spacing w:val="0"/>
          <w:sz w:val="22"/>
          <w:szCs w:val="24"/>
          <w:rtl/>
        </w:rPr>
        <w:t>חשש כי האויב ינצל את בירור התביעה לצורכי תעמולה בניסיון לקצור הישגים תקשורתיים לטובתו, וגם בכך יש כדי לסייע לאויב בעת המלחמה או העימות המזוין</w:t>
      </w:r>
      <w:r>
        <w:rPr>
          <w:rFonts w:hint="cs"/>
          <w:rtl/>
        </w:rPr>
        <w:t>" (עניין</w:t>
      </w:r>
      <w:r w:rsidRPr="00C47A73">
        <w:rPr>
          <w:rFonts w:ascii="Century" w:hAnsi="Century" w:cs="Miriam" w:hint="cs"/>
          <w:b/>
          <w:spacing w:val="0"/>
          <w:sz w:val="22"/>
          <w:szCs w:val="24"/>
          <w:rtl/>
        </w:rPr>
        <w:t xml:space="preserve"> דיראני</w:t>
      </w:r>
      <w:r>
        <w:rPr>
          <w:rFonts w:hint="cs"/>
          <w:rtl/>
        </w:rPr>
        <w:t>, פסקה 73). אכן, פתיחת שערי בית המשפט בפני נתין מדינת אויב, מעלה חשש לניצול ההליך המשפטי לרעה; להגשת תביעות שתכליתן פגיעה במדינה ויצירת רווח לאויב; ולהצפת בתי המשפט בתביעות סרק (</w:t>
      </w:r>
      <w:r w:rsidRPr="00C47A73">
        <w:rPr>
          <w:rFonts w:ascii="Century" w:hAnsi="Century" w:cs="Miriam" w:hint="cs"/>
          <w:b/>
          <w:spacing w:val="0"/>
          <w:sz w:val="22"/>
          <w:szCs w:val="24"/>
          <w:rtl/>
        </w:rPr>
        <w:t>אורגד ורבין</w:t>
      </w:r>
      <w:r>
        <w:rPr>
          <w:rFonts w:hint="cs"/>
          <w:rtl/>
        </w:rPr>
        <w:t>, עמוד 476). חששות אלו, שרירים וקיימים גם ביחס לתביעות המוגשות על</w:t>
      </w:r>
      <w:r w:rsidR="00D22039">
        <w:rPr>
          <w:rFonts w:hint="cs"/>
          <w:rtl/>
        </w:rPr>
        <w:t>-</w:t>
      </w:r>
      <w:r>
        <w:rPr>
          <w:rFonts w:hint="cs"/>
          <w:rtl/>
        </w:rPr>
        <w:t>ידי תושבי שטח הנשלט על</w:t>
      </w:r>
      <w:r w:rsidR="00D22039">
        <w:rPr>
          <w:rFonts w:hint="cs"/>
          <w:rtl/>
        </w:rPr>
        <w:t>-</w:t>
      </w:r>
      <w:r>
        <w:rPr>
          <w:rFonts w:hint="cs"/>
          <w:rtl/>
        </w:rPr>
        <w:t>ידי ארגון טרור, דוגמת רצועת עזה. תכלית זו, לטעמי, מתעצמת, מקום שבו מתחולל מאבק מזוין בין המדינה, לארגון הטרור. מדינת ישראל היא הצד המתגונן מפני הפעולות הנפשעות של ארגון החמאס. שלא מרצון, נושאת ה</w:t>
      </w:r>
      <w:r w:rsidR="00D22039">
        <w:rPr>
          <w:rFonts w:hint="cs"/>
          <w:rtl/>
        </w:rPr>
        <w:t>מדינה</w:t>
      </w:r>
      <w:r>
        <w:rPr>
          <w:rFonts w:hint="cs"/>
          <w:rtl/>
        </w:rPr>
        <w:t xml:space="preserve"> במימון הוצאות הלחימה מול החמאס, ובמימון פיצויים על נזקים שנגרמו לחייליה ולאזרחיה. מצב דברים שלפיו יהא עליה לשאת גם בנזקיהם של תושבי רצועת עזה, שבה שולט הצד התוקפן, אינו מתקבל על הדעת. על תכלית זו, בנסיבותיה של רצועת עזה, עמד רמ"ד משפטי במחלקת הדין הבין-לאומי במשרד הביטחון, רס"ן גיל לימון: </w:t>
      </w:r>
      <w:r w:rsidRPr="00C47A73">
        <w:rPr>
          <w:rFonts w:ascii="Century" w:hAnsi="Century" w:cs="Miriam" w:hint="cs"/>
          <w:b/>
          <w:spacing w:val="0"/>
          <w:sz w:val="22"/>
          <w:szCs w:val="24"/>
          <w:rtl/>
        </w:rPr>
        <w:t>"הטעם שבסעיף [...] קשור ביחסים בין מדינה לבין מדינות אויב. ברור שבמצב של אויבות, מה שמקובל במשפט הבין-לאומי, אין יחסים כלכליים בין המדינות, וזה כולל, בגדר זה, גם תביעות של פרטים. הדבר הזה מקובל בכל מדינות העולם. הבעיה היא שאנחנו מתמודדים בשנים האחרונות עם מצב שבו יש לנו שטח, והכוונה היא לרצועת עזה, אפשר לומר את זה בצורה ברורה, שהוא לא בגדר מדינה, אבל עדיין, מבחינת הרציונלים</w:t>
      </w:r>
      <w:r>
        <w:rPr>
          <w:rFonts w:ascii="Century" w:hAnsi="Century" w:cs="Miriam" w:hint="cs"/>
          <w:b/>
          <w:spacing w:val="0"/>
          <w:sz w:val="22"/>
          <w:szCs w:val="24"/>
          <w:rtl/>
        </w:rPr>
        <w:t>,</w:t>
      </w:r>
      <w:r w:rsidRPr="00C47A73">
        <w:rPr>
          <w:rFonts w:ascii="Century" w:hAnsi="Century" w:cs="Miriam" w:hint="cs"/>
          <w:b/>
          <w:spacing w:val="0"/>
          <w:sz w:val="22"/>
          <w:szCs w:val="24"/>
          <w:rtl/>
        </w:rPr>
        <w:t xml:space="preserve"> </w:t>
      </w:r>
      <w:r>
        <w:rPr>
          <w:rFonts w:ascii="Century" w:hAnsi="Century" w:cs="Miriam" w:hint="cs"/>
          <w:b/>
          <w:spacing w:val="0"/>
          <w:sz w:val="22"/>
          <w:szCs w:val="24"/>
          <w:rtl/>
        </w:rPr>
        <w:t>ה</w:t>
      </w:r>
      <w:r w:rsidRPr="00C47A73">
        <w:rPr>
          <w:rFonts w:ascii="Century" w:hAnsi="Century" w:cs="Miriam" w:hint="cs"/>
          <w:b/>
          <w:spacing w:val="0"/>
          <w:sz w:val="22"/>
          <w:szCs w:val="24"/>
          <w:rtl/>
        </w:rPr>
        <w:t>יחסים בין מדינת ישראל לבין השטח הזה, הם זהים מבחינתנו ליחסים בין מדינת ישראל לבין מדינת אויב. הכוונה פה היא לאפשר מנגנון למדינת ישראל להחיל על אותו שטח את אותו רציונל"</w:t>
      </w:r>
      <w:r>
        <w:rPr>
          <w:rFonts w:hint="cs"/>
          <w:rtl/>
        </w:rPr>
        <w:t xml:space="preserve"> (פרוטוקול דיון מספר 81 מישיבת ועדת חוקה חוק ומשפט של הכנסת, מיום 19.10.2009, עמוד 233).  </w:t>
      </w:r>
    </w:p>
    <w:p w:rsidR="00D512D4" w:rsidRPr="00C47A73" w:rsidRDefault="00D512D4" w:rsidP="009F054C">
      <w:pPr>
        <w:pStyle w:val="Ruller41"/>
        <w:spacing w:line="240" w:lineRule="auto"/>
      </w:pPr>
    </w:p>
    <w:p w:rsidR="00D512D4" w:rsidRDefault="00D512D4" w:rsidP="00D512D4">
      <w:pPr>
        <w:pStyle w:val="Ruller4"/>
        <w:rPr>
          <w:rtl/>
        </w:rPr>
      </w:pPr>
      <w:r>
        <w:rPr>
          <w:rFonts w:hint="cs"/>
          <w:rtl/>
        </w:rPr>
        <w:t xml:space="preserve">אעיר, כי תכליות אלו </w:t>
      </w:r>
      <w:r>
        <w:rPr>
          <w:rtl/>
        </w:rPr>
        <w:t>–</w:t>
      </w:r>
      <w:r>
        <w:rPr>
          <w:rFonts w:hint="cs"/>
          <w:rtl/>
        </w:rPr>
        <w:t xml:space="preserve"> התאמת דיני הנזיקין ומניעת סיוע לאויב </w:t>
      </w:r>
      <w:r>
        <w:rPr>
          <w:rtl/>
        </w:rPr>
        <w:t>–</w:t>
      </w:r>
      <w:r>
        <w:rPr>
          <w:rFonts w:hint="cs"/>
          <w:rtl/>
        </w:rPr>
        <w:t xml:space="preserve"> אינן צרות זו לזו; שלובות הן אחת ברעותה, ואף מקיימות חפיפה ביניהן. כך, חלק מההצדקות שניתנו לכלל שלפיו </w:t>
      </w:r>
      <w:r w:rsidRPr="00C94C06">
        <w:rPr>
          <w:rFonts w:ascii="Century" w:hAnsi="Century" w:cs="Miriam" w:hint="cs"/>
          <w:b/>
          <w:spacing w:val="0"/>
          <w:sz w:val="22"/>
          <w:szCs w:val="24"/>
          <w:rtl/>
        </w:rPr>
        <w:t>'אין מבררים תביעת אויב'</w:t>
      </w:r>
      <w:r>
        <w:rPr>
          <w:rFonts w:hint="cs"/>
          <w:rtl/>
        </w:rPr>
        <w:t xml:space="preserve">, דומות במהותן, להצדקות הקשורות לתכלית התאמת דיני הנזיקין למצב המלחמתי שעמו מתמודדת ישראל, כגון הקושי הראייתי לערוך בירור עובדתי לאירוע שהתרחש בעת מלחמה, והחשש מפני הצפת בתי המשפט בתביעות סרק (ראו: </w:t>
      </w:r>
      <w:r w:rsidRPr="00C47A73">
        <w:rPr>
          <w:rFonts w:ascii="Century" w:hAnsi="Century" w:cs="Miriam" w:hint="cs"/>
          <w:b/>
          <w:spacing w:val="0"/>
          <w:sz w:val="22"/>
          <w:szCs w:val="24"/>
          <w:rtl/>
        </w:rPr>
        <w:t>אורגד ורבין</w:t>
      </w:r>
      <w:r>
        <w:rPr>
          <w:rFonts w:hint="cs"/>
          <w:rtl/>
        </w:rPr>
        <w:t xml:space="preserve">, עמוד 471). </w:t>
      </w:r>
    </w:p>
    <w:p w:rsidR="00D512D4" w:rsidRPr="00C47A73" w:rsidRDefault="00D512D4" w:rsidP="009F054C">
      <w:pPr>
        <w:pStyle w:val="Ruller41"/>
        <w:spacing w:line="240" w:lineRule="auto"/>
      </w:pPr>
    </w:p>
    <w:p w:rsidR="00D512D4" w:rsidRDefault="00D512D4" w:rsidP="00811B3D">
      <w:pPr>
        <w:pStyle w:val="Ruller4"/>
        <w:rPr>
          <w:rtl/>
        </w:rPr>
      </w:pPr>
      <w:r>
        <w:rPr>
          <w:rFonts w:hint="cs"/>
          <w:rtl/>
        </w:rPr>
        <w:t>לבסוף, בקצירת האומר, אתייחס גם לטענת המערער, כי בבסיס החוק תכלית גזענית, המפלה את תושבי עזה על בסיס לאומי, טריטוריאלי או אתני. טענה זו נטענה בעלמא, ללא כל ביסוס. ראשית, סעיף 5ב(א)(1) לחוק חל על כל תושבי רצועת עזה, ללא קשר לגזעם, לאומם או מוצאם. טענה זו של המערער, אינה מתיישבת גם עם ההסדר שנקבע בסעיף 5ב(א)(1) לחוק, אשר אינו חל, למשל, על תושבי יהודה ושומרון, על אף הזיקה האתנו-לאומית שבינם לבין תושבי עזה. היא גם אינה מתיישבת עם ההחרגה המפורשת של תביעות תושבי עזה המצויים במשמורת בישראל, חרף מוצאם האתנו-לאומי (ראו התוספת הראשונה לחוק הנזיקים האזרחיים). אציין, כי לא מצאתי ממש בהוראות מסוימות באמנות בינלאומיות שונות, שאליהן מפנה המערער, משאלה אינן עוסקות במישרין בשאלה המונחת לפתחנו, ואינן ממין העניין. אמנם, המערער טוען גם להפליה על רקע טריטוריאלי, אך לנוכח העימות המזוין שבין ישראל לעזה, הבחנה על בסיס טריטוריאלי, תוך התייחסות למקום המגורים של התובע, היא הבחנה רלבנטית בכגון דא, ואין לראות</w:t>
      </w:r>
      <w:r w:rsidR="00811B3D">
        <w:rPr>
          <w:rFonts w:hint="cs"/>
          <w:rtl/>
        </w:rPr>
        <w:t>ה</w:t>
      </w:r>
      <w:r>
        <w:rPr>
          <w:rFonts w:hint="cs"/>
          <w:rtl/>
        </w:rPr>
        <w:t xml:space="preserve"> </w:t>
      </w:r>
      <w:r w:rsidR="00811B3D">
        <w:rPr>
          <w:rFonts w:hint="cs"/>
          <w:rtl/>
        </w:rPr>
        <w:t>כ</w:t>
      </w:r>
      <w:r>
        <w:rPr>
          <w:rFonts w:hint="cs"/>
          <w:rtl/>
        </w:rPr>
        <w:t>הפליה על רקע גזעי או לאומי:</w:t>
      </w:r>
    </w:p>
    <w:p w:rsidR="00D512D4" w:rsidRPr="008B334C" w:rsidRDefault="00D512D4" w:rsidP="00944FC1">
      <w:pPr>
        <w:pStyle w:val="Ruller4"/>
        <w:numPr>
          <w:ilvl w:val="0"/>
          <w:numId w:val="0"/>
        </w:numPr>
        <w:spacing w:line="240" w:lineRule="auto"/>
        <w:rPr>
          <w:rtl/>
        </w:rPr>
      </w:pPr>
    </w:p>
    <w:p w:rsidR="00D512D4" w:rsidRPr="008F3FC9" w:rsidRDefault="00D512D4" w:rsidP="008F3FC9">
      <w:pPr>
        <w:pStyle w:val="Ruller5"/>
        <w:bidi w:val="0"/>
        <w:spacing w:line="360" w:lineRule="auto"/>
        <w:rPr>
          <w:rFonts w:ascii="Garamond" w:hAnsi="Garamond"/>
          <w:sz w:val="26"/>
          <w:szCs w:val="26"/>
        </w:rPr>
      </w:pPr>
      <w:r w:rsidRPr="008F3FC9">
        <w:rPr>
          <w:rFonts w:ascii="Century" w:hAnsi="Century"/>
          <w:bCs/>
          <w:spacing w:val="0"/>
          <w:sz w:val="24"/>
          <w:szCs w:val="24"/>
        </w:rPr>
        <w:t>"A distinction based on nationality also has some rational justification in terms of combating terrorism. It is not unreasonable to assume, that, with the possession of a passport from a certain country, the passport holder has a loyalty to that particular country. If such a state is a terrorist supporting state, or at least tolerant of terrorism against the United States, then people holding its passport are more likely to be supporting terrorist groups"</w:t>
      </w:r>
      <w:r w:rsidRPr="008F3FC9">
        <w:rPr>
          <w:rFonts w:ascii="Garamond" w:hAnsi="Garamond"/>
          <w:bCs/>
          <w:spacing w:val="0"/>
          <w:sz w:val="24"/>
          <w:szCs w:val="24"/>
        </w:rPr>
        <w:t xml:space="preserve"> </w:t>
      </w:r>
      <w:r w:rsidRPr="008F3FC9">
        <w:rPr>
          <w:rFonts w:ascii="Garamond" w:hAnsi="Garamond"/>
          <w:sz w:val="26"/>
          <w:szCs w:val="26"/>
        </w:rPr>
        <w:t>(Juliette Kayyem Philip B. Heymann, Protecting Liberty in an Age of Terror, 102 (Cambridge, 2005).</w:t>
      </w:r>
    </w:p>
    <w:p w:rsidR="00D512D4" w:rsidRPr="008F3FC9" w:rsidRDefault="00D512D4" w:rsidP="008F3FC9">
      <w:pPr>
        <w:pStyle w:val="Ruller4"/>
        <w:numPr>
          <w:ilvl w:val="0"/>
          <w:numId w:val="0"/>
        </w:numPr>
        <w:rPr>
          <w:sz w:val="26"/>
          <w:szCs w:val="30"/>
          <w:rtl/>
        </w:rPr>
      </w:pPr>
    </w:p>
    <w:p w:rsidR="00D512D4" w:rsidRPr="00726B7D" w:rsidRDefault="00D512D4" w:rsidP="00811B3D">
      <w:pPr>
        <w:pStyle w:val="Ruller4"/>
        <w:numPr>
          <w:ilvl w:val="0"/>
          <w:numId w:val="0"/>
        </w:numPr>
        <w:rPr>
          <w:rFonts w:ascii="FrankRuehl" w:hAnsi="FrankRuehl"/>
          <w:bCs/>
          <w:spacing w:val="0"/>
          <w:szCs w:val="24"/>
          <w:rtl/>
        </w:rPr>
      </w:pPr>
      <w:r>
        <w:rPr>
          <w:rFonts w:ascii="FrankRuehl" w:hAnsi="FrankRuehl"/>
          <w:sz w:val="28"/>
          <w:rtl/>
        </w:rPr>
        <w:tab/>
      </w:r>
      <w:r w:rsidR="00D0278F">
        <w:rPr>
          <w:rFonts w:ascii="FrankRuehl" w:hAnsi="FrankRuehl" w:hint="cs"/>
          <w:sz w:val="28"/>
          <w:rtl/>
        </w:rPr>
        <w:t>(</w:t>
      </w:r>
      <w:r w:rsidRPr="00B507D4">
        <w:rPr>
          <w:rFonts w:ascii="FrankRuehl" w:hAnsi="FrankRuehl" w:hint="cs"/>
          <w:sz w:val="28"/>
          <w:rtl/>
        </w:rPr>
        <w:t xml:space="preserve">ראו </w:t>
      </w:r>
      <w:r>
        <w:rPr>
          <w:rFonts w:ascii="FrankRuehl" w:hAnsi="FrankRuehl" w:hint="cs"/>
          <w:sz w:val="28"/>
          <w:rtl/>
        </w:rPr>
        <w:t>גם:</w:t>
      </w:r>
      <w:r w:rsidRPr="00B507D4">
        <w:rPr>
          <w:rFonts w:ascii="FrankRuehl" w:hAnsi="FrankRuehl" w:hint="cs"/>
          <w:sz w:val="28"/>
          <w:rtl/>
        </w:rPr>
        <w:t xml:space="preserve"> עניין </w:t>
      </w:r>
      <w:r w:rsidRPr="00C304C4">
        <w:rPr>
          <w:rFonts w:ascii="Century" w:hAnsi="Century" w:cs="Miriam" w:hint="cs"/>
          <w:b/>
          <w:spacing w:val="0"/>
          <w:szCs w:val="24"/>
          <w:rtl/>
        </w:rPr>
        <w:t>איחוד משפחות</w:t>
      </w:r>
      <w:r w:rsidRPr="00B507D4">
        <w:rPr>
          <w:rFonts w:ascii="FrankRuehl" w:hAnsi="FrankRuehl" w:hint="cs"/>
          <w:sz w:val="28"/>
          <w:rtl/>
        </w:rPr>
        <w:t xml:space="preserve">, </w:t>
      </w:r>
      <w:r>
        <w:rPr>
          <w:rFonts w:ascii="FrankRuehl" w:hAnsi="FrankRuehl" w:hint="cs"/>
          <w:sz w:val="28"/>
          <w:rtl/>
        </w:rPr>
        <w:t xml:space="preserve">פסקה 92 לפסק הדין של השופט (כתוארו אז) </w:t>
      </w:r>
      <w:r w:rsidRPr="00185FDF">
        <w:rPr>
          <w:rFonts w:ascii="Century" w:hAnsi="Century" w:cs="Miriam" w:hint="cs"/>
          <w:b/>
          <w:spacing w:val="0"/>
          <w:szCs w:val="24"/>
          <w:rtl/>
        </w:rPr>
        <w:t>מ' חשין</w:t>
      </w:r>
      <w:r>
        <w:rPr>
          <w:rFonts w:ascii="FrankRuehl" w:hAnsi="FrankRuehl" w:hint="cs"/>
          <w:sz w:val="28"/>
          <w:rtl/>
        </w:rPr>
        <w:t xml:space="preserve">; </w:t>
      </w:r>
      <w:r w:rsidRPr="00B507D4">
        <w:rPr>
          <w:rFonts w:ascii="FrankRuehl" w:hAnsi="FrankRuehl" w:hint="cs"/>
          <w:sz w:val="28"/>
          <w:rtl/>
        </w:rPr>
        <w:t>פסקה 12 לפסק</w:t>
      </w:r>
      <w:r>
        <w:rPr>
          <w:rFonts w:ascii="FrankRuehl" w:hAnsi="FrankRuehl" w:hint="cs"/>
          <w:sz w:val="28"/>
          <w:rtl/>
        </w:rPr>
        <w:t xml:space="preserve"> הדין</w:t>
      </w:r>
      <w:r w:rsidRPr="00B507D4">
        <w:rPr>
          <w:rFonts w:ascii="FrankRuehl" w:hAnsi="FrankRuehl" w:hint="cs"/>
          <w:sz w:val="28"/>
          <w:rtl/>
        </w:rPr>
        <w:t xml:space="preserve"> של השופטת</w:t>
      </w:r>
      <w:r>
        <w:rPr>
          <w:rFonts w:ascii="FrankRuehl" w:hAnsi="FrankRuehl" w:hint="cs"/>
          <w:sz w:val="28"/>
          <w:rtl/>
        </w:rPr>
        <w:t xml:space="preserve"> (כתוארה אז)</w:t>
      </w:r>
      <w:r w:rsidRPr="00B507D4">
        <w:rPr>
          <w:rFonts w:ascii="FrankRuehl" w:hAnsi="FrankRuehl" w:hint="cs"/>
          <w:sz w:val="28"/>
          <w:rtl/>
        </w:rPr>
        <w:t xml:space="preserve"> </w:t>
      </w:r>
      <w:r w:rsidRPr="00185FDF">
        <w:rPr>
          <w:rFonts w:ascii="Century" w:hAnsi="Century" w:cs="Miriam" w:hint="cs"/>
          <w:b/>
          <w:spacing w:val="0"/>
          <w:szCs w:val="24"/>
          <w:rtl/>
        </w:rPr>
        <w:t>מ' נאור</w:t>
      </w:r>
      <w:r>
        <w:rPr>
          <w:rFonts w:ascii="FrankRuehl" w:hAnsi="FrankRuehl" w:hint="cs"/>
          <w:sz w:val="28"/>
          <w:rtl/>
        </w:rPr>
        <w:t xml:space="preserve">; פסקה 4 לפסק הדין של השופט </w:t>
      </w:r>
      <w:r w:rsidRPr="00185FDF">
        <w:rPr>
          <w:rFonts w:ascii="Century" w:hAnsi="Century" w:cs="Miriam" w:hint="cs"/>
          <w:b/>
          <w:spacing w:val="0"/>
          <w:szCs w:val="24"/>
          <w:rtl/>
        </w:rPr>
        <w:t>י' עדיאל</w:t>
      </w:r>
      <w:r>
        <w:rPr>
          <w:rFonts w:ascii="FrankRuehl" w:hAnsi="FrankRuehl" w:hint="cs"/>
          <w:sz w:val="28"/>
          <w:rtl/>
        </w:rPr>
        <w:t xml:space="preserve">; עניין </w:t>
      </w:r>
      <w:r w:rsidRPr="00C304C4">
        <w:rPr>
          <w:rFonts w:ascii="Century" w:hAnsi="Century" w:cs="Miriam" w:hint="cs"/>
          <w:b/>
          <w:spacing w:val="0"/>
          <w:szCs w:val="24"/>
          <w:rtl/>
        </w:rPr>
        <w:t>איחוד משפחות 2</w:t>
      </w:r>
      <w:r>
        <w:rPr>
          <w:rFonts w:ascii="FrankRuehl" w:hAnsi="FrankRuehl" w:hint="cs"/>
          <w:sz w:val="28"/>
          <w:rtl/>
        </w:rPr>
        <w:t xml:space="preserve">, פסקאות כ"ה-כ"ו לפסק הדין של השופט (כתוארו אז) </w:t>
      </w:r>
      <w:r w:rsidRPr="00185FDF">
        <w:rPr>
          <w:rFonts w:ascii="Century" w:hAnsi="Century" w:cs="Miriam" w:hint="cs"/>
          <w:b/>
          <w:spacing w:val="0"/>
          <w:szCs w:val="24"/>
          <w:rtl/>
        </w:rPr>
        <w:t>א' רובינשטיין</w:t>
      </w:r>
      <w:r w:rsidR="00D0278F">
        <w:rPr>
          <w:rFonts w:ascii="FrankRuehl" w:hAnsi="FrankRuehl" w:hint="cs"/>
          <w:sz w:val="28"/>
          <w:rtl/>
        </w:rPr>
        <w:t>)</w:t>
      </w:r>
      <w:r w:rsidRPr="00B507D4">
        <w:rPr>
          <w:rFonts w:ascii="FrankRuehl" w:hAnsi="FrankRuehl" w:hint="cs"/>
          <w:sz w:val="28"/>
          <w:rtl/>
        </w:rPr>
        <w:t>.</w:t>
      </w:r>
    </w:p>
    <w:p w:rsidR="00D512D4" w:rsidRDefault="00D512D4" w:rsidP="00AA1CE0">
      <w:pPr>
        <w:pStyle w:val="Ruller4"/>
        <w:numPr>
          <w:ilvl w:val="0"/>
          <w:numId w:val="0"/>
        </w:numPr>
        <w:spacing w:line="240" w:lineRule="auto"/>
      </w:pPr>
    </w:p>
    <w:p w:rsidR="00D512D4" w:rsidRDefault="00D512D4" w:rsidP="00D512D4">
      <w:pPr>
        <w:pStyle w:val="Ruller4"/>
        <w:numPr>
          <w:ilvl w:val="0"/>
          <w:numId w:val="0"/>
        </w:numPr>
        <w:rPr>
          <w:rtl/>
        </w:rPr>
      </w:pPr>
      <w:r>
        <w:rPr>
          <w:rtl/>
        </w:rPr>
        <w:tab/>
      </w:r>
      <w:r>
        <w:rPr>
          <w:rFonts w:hint="cs"/>
          <w:rtl/>
        </w:rPr>
        <w:t xml:space="preserve">אין יסוד אפוא לטענה, כי תכלית סעיף 5ב(א)(1) לחוק </w:t>
      </w:r>
      <w:r>
        <w:rPr>
          <w:rtl/>
        </w:rPr>
        <w:t>–</w:t>
      </w:r>
      <w:r>
        <w:rPr>
          <w:rFonts w:hint="cs"/>
          <w:rtl/>
        </w:rPr>
        <w:t xml:space="preserve"> גזענית או מפלה.</w:t>
      </w:r>
    </w:p>
    <w:p w:rsidR="00D512D4" w:rsidRDefault="00D512D4" w:rsidP="000B6AE3">
      <w:pPr>
        <w:pStyle w:val="Ruller41"/>
        <w:spacing w:line="480" w:lineRule="auto"/>
        <w:rPr>
          <w:rtl/>
        </w:rPr>
      </w:pPr>
    </w:p>
    <w:p w:rsidR="00D512D4" w:rsidRPr="005D120B" w:rsidRDefault="00D512D4" w:rsidP="009C43F8">
      <w:pPr>
        <w:pStyle w:val="4"/>
      </w:pPr>
      <w:bookmarkStart w:id="50" w:name="_Toc107851304"/>
      <w:bookmarkStart w:id="51" w:name="_Toc107851359"/>
      <w:r>
        <w:rPr>
          <w:rFonts w:hint="cs"/>
          <w:rtl/>
        </w:rPr>
        <w:t>ד.</w:t>
      </w:r>
      <w:r w:rsidR="000067AF">
        <w:rPr>
          <w:rFonts w:hint="cs"/>
          <w:rtl/>
        </w:rPr>
        <w:t>3.2.3.</w:t>
      </w:r>
      <w:r>
        <w:rPr>
          <w:rFonts w:hint="cs"/>
          <w:rtl/>
        </w:rPr>
        <w:t xml:space="preserve"> האם הפגיעה מכוח החוק היא </w:t>
      </w:r>
      <w:r w:rsidRPr="005D120B">
        <w:rPr>
          <w:rFonts w:hint="cs"/>
          <w:rtl/>
        </w:rPr>
        <w:t>במידה שאינה עולה על הנדרש</w:t>
      </w:r>
      <w:r>
        <w:rPr>
          <w:rFonts w:hint="cs"/>
          <w:rtl/>
        </w:rPr>
        <w:t>?</w:t>
      </w:r>
      <w:bookmarkEnd w:id="50"/>
      <w:bookmarkEnd w:id="51"/>
    </w:p>
    <w:p w:rsidR="00D512D4" w:rsidRDefault="00D512D4" w:rsidP="00D512D4">
      <w:pPr>
        <w:pStyle w:val="Ruller4"/>
        <w:rPr>
          <w:rtl/>
        </w:rPr>
      </w:pPr>
      <w:r>
        <w:rPr>
          <w:rFonts w:hint="cs"/>
          <w:rtl/>
        </w:rPr>
        <w:t>עיקרון המידתיות שבפסקת ההגבלה, מבטא את התפיסה כי אף אם החוק נועד לתכלית ראויה, ההולמת את ערכי מדינת ישראל כמדינה יהודית ודמוקרטית, עדיין יש לבחון, האם האמצעים שנבחרו להגשמת התכלית אינם פוגעים בזכויות אדם</w:t>
      </w:r>
      <w:r w:rsidR="007B5D21">
        <w:rPr>
          <w:rFonts w:hint="cs"/>
          <w:rtl/>
        </w:rPr>
        <w:t xml:space="preserve"> יתר על המידה. את המובן מאליו נ</w:t>
      </w:r>
      <w:r>
        <w:rPr>
          <w:rFonts w:hint="cs"/>
          <w:rtl/>
        </w:rPr>
        <w:t xml:space="preserve">אמר, כי לא כל האמצעים כשרים להגשמת התכלית, וכל הממעיט בפגיעה בזכויות אדם </w:t>
      </w:r>
      <w:r>
        <w:rPr>
          <w:rtl/>
        </w:rPr>
        <w:t>–</w:t>
      </w:r>
      <w:r>
        <w:rPr>
          <w:rFonts w:hint="cs"/>
          <w:rtl/>
        </w:rPr>
        <w:t xml:space="preserve"> הרי זה משובח. כנגד 3 מבחני-משנה דיברה ההלכה הפסוקה: האחד </w:t>
      </w:r>
      <w:r>
        <w:rPr>
          <w:rtl/>
        </w:rPr>
        <w:t>–</w:t>
      </w:r>
      <w:r>
        <w:rPr>
          <w:rFonts w:hint="cs"/>
          <w:rtl/>
        </w:rPr>
        <w:t xml:space="preserve"> </w:t>
      </w:r>
      <w:r w:rsidRPr="00C94C06">
        <w:rPr>
          <w:rFonts w:ascii="Century" w:hAnsi="Century" w:cs="Miriam" w:hint="cs"/>
          <w:b/>
          <w:spacing w:val="0"/>
          <w:sz w:val="22"/>
          <w:szCs w:val="24"/>
          <w:rtl/>
        </w:rPr>
        <w:t>'מבחן הקשר הרציונלי'</w:t>
      </w:r>
      <w:r>
        <w:rPr>
          <w:rFonts w:hint="cs"/>
          <w:rtl/>
        </w:rPr>
        <w:t xml:space="preserve">, שבו תיבחן מידת ההתאמה בין תכלית החוק לאמצעי שנבחר להגשמתה; השני </w:t>
      </w:r>
      <w:r>
        <w:rPr>
          <w:rtl/>
        </w:rPr>
        <w:t>–</w:t>
      </w:r>
      <w:r>
        <w:rPr>
          <w:rFonts w:hint="cs"/>
          <w:rtl/>
        </w:rPr>
        <w:t xml:space="preserve"> מבחן </w:t>
      </w:r>
      <w:r w:rsidRPr="00C94C06">
        <w:rPr>
          <w:rFonts w:ascii="Century" w:hAnsi="Century" w:cs="Miriam" w:hint="cs"/>
          <w:b/>
          <w:spacing w:val="0"/>
          <w:sz w:val="22"/>
          <w:szCs w:val="24"/>
          <w:rtl/>
        </w:rPr>
        <w:t>'האמצעי שפגיעתו פחותה'</w:t>
      </w:r>
      <w:r>
        <w:rPr>
          <w:rFonts w:hint="cs"/>
          <w:rtl/>
        </w:rPr>
        <w:t>, שעל-פיו נבחן אם יש בנמצא אמצעים אחרים, פוגעניים פחות מאלו שנקבע</w:t>
      </w:r>
      <w:r w:rsidR="00F1197B">
        <w:rPr>
          <w:rFonts w:hint="cs"/>
          <w:rtl/>
        </w:rPr>
        <w:t xml:space="preserve">ו בחוק, העשויים גם הם להגשים </w:t>
      </w:r>
      <w:r>
        <w:rPr>
          <w:rFonts w:hint="cs"/>
          <w:rtl/>
        </w:rPr>
        <w:t xml:space="preserve">אותן מטרות, במידה שווה; השלישי </w:t>
      </w:r>
      <w:r>
        <w:rPr>
          <w:rtl/>
        </w:rPr>
        <w:t>–</w:t>
      </w:r>
      <w:r>
        <w:rPr>
          <w:rFonts w:hint="cs"/>
          <w:rtl/>
        </w:rPr>
        <w:t xml:space="preserve"> מבחן </w:t>
      </w:r>
      <w:r w:rsidRPr="00C94C06">
        <w:rPr>
          <w:rFonts w:ascii="Century" w:hAnsi="Century" w:cs="Miriam" w:hint="cs"/>
          <w:b/>
          <w:spacing w:val="0"/>
          <w:sz w:val="22"/>
          <w:szCs w:val="24"/>
          <w:rtl/>
        </w:rPr>
        <w:t>'המידתיות במובן הצר'</w:t>
      </w:r>
      <w:r>
        <w:rPr>
          <w:rFonts w:hint="cs"/>
          <w:rtl/>
        </w:rPr>
        <w:t xml:space="preserve">, שבגדרו בוחן בית המשפט אם מתקיים יחס סביר בין התועלת העתידה לצמוח מהגשמת התכלית, לבין הנזק והפגיעה בזכות החוקתית (ראו למשל: עניין </w:t>
      </w:r>
      <w:r w:rsidRPr="00DD5D05">
        <w:rPr>
          <w:rFonts w:ascii="Century" w:hAnsi="Century" w:cs="Miriam" w:hint="cs"/>
          <w:b/>
          <w:spacing w:val="0"/>
          <w:sz w:val="22"/>
          <w:szCs w:val="24"/>
          <w:rtl/>
        </w:rPr>
        <w:t>חוף עזה</w:t>
      </w:r>
      <w:r>
        <w:rPr>
          <w:rFonts w:hint="cs"/>
          <w:rtl/>
        </w:rPr>
        <w:t xml:space="preserve">, עמוד 550; עניין </w:t>
      </w:r>
      <w:r w:rsidRPr="00A66AB7">
        <w:rPr>
          <w:rFonts w:ascii="Century" w:hAnsi="Century" w:cs="Miriam" w:hint="cs"/>
          <w:b/>
          <w:spacing w:val="0"/>
          <w:sz w:val="22"/>
          <w:szCs w:val="24"/>
          <w:rtl/>
        </w:rPr>
        <w:t>חוק טל</w:t>
      </w:r>
      <w:r>
        <w:rPr>
          <w:rFonts w:hint="cs"/>
          <w:rtl/>
        </w:rPr>
        <w:t xml:space="preserve">, פסקה 60 לפסק הדין של הנשיא </w:t>
      </w:r>
      <w:r w:rsidRPr="00A66AB7">
        <w:rPr>
          <w:rFonts w:ascii="Century" w:hAnsi="Century" w:cs="Miriam" w:hint="cs"/>
          <w:b/>
          <w:spacing w:val="0"/>
          <w:sz w:val="22"/>
          <w:szCs w:val="24"/>
          <w:rtl/>
        </w:rPr>
        <w:t>ברק</w:t>
      </w:r>
      <w:r>
        <w:rPr>
          <w:rFonts w:hint="cs"/>
          <w:rtl/>
        </w:rPr>
        <w:t xml:space="preserve">). </w:t>
      </w:r>
    </w:p>
    <w:p w:rsidR="00D512D4" w:rsidRDefault="00D512D4" w:rsidP="000B6AE3">
      <w:pPr>
        <w:pStyle w:val="Ruller41"/>
        <w:spacing w:line="480" w:lineRule="auto"/>
        <w:rPr>
          <w:rtl/>
        </w:rPr>
      </w:pPr>
    </w:p>
    <w:p w:rsidR="00D512D4" w:rsidRPr="00E56062" w:rsidRDefault="00D512D4" w:rsidP="000067AF">
      <w:pPr>
        <w:pStyle w:val="5"/>
        <w:rPr>
          <w:rtl/>
        </w:rPr>
      </w:pPr>
      <w:bookmarkStart w:id="52" w:name="_Toc107851305"/>
      <w:bookmarkStart w:id="53" w:name="_Toc107851360"/>
      <w:r w:rsidRPr="00EA7D02">
        <w:rPr>
          <w:rFonts w:hint="cs"/>
          <w:rtl/>
        </w:rPr>
        <w:t>ד.1.3.</w:t>
      </w:r>
      <w:r w:rsidR="000067AF">
        <w:rPr>
          <w:rFonts w:hint="cs"/>
          <w:rtl/>
        </w:rPr>
        <w:t>2.3</w:t>
      </w:r>
      <w:r w:rsidRPr="00EA7D02">
        <w:rPr>
          <w:rFonts w:hint="cs"/>
          <w:rtl/>
        </w:rPr>
        <w:t>.</w:t>
      </w:r>
      <w:r>
        <w:rPr>
          <w:rFonts w:hint="cs"/>
          <w:rtl/>
        </w:rPr>
        <w:t xml:space="preserve"> הקשר הרציונלי</w:t>
      </w:r>
      <w:bookmarkEnd w:id="52"/>
      <w:bookmarkEnd w:id="53"/>
    </w:p>
    <w:p w:rsidR="00D512D4" w:rsidRDefault="00D512D4" w:rsidP="00C94C06">
      <w:pPr>
        <w:pStyle w:val="Ruller4"/>
        <w:rPr>
          <w:rtl/>
        </w:rPr>
      </w:pPr>
      <w:r>
        <w:rPr>
          <w:rFonts w:hint="cs"/>
          <w:rtl/>
        </w:rPr>
        <w:t xml:space="preserve">תחילה, לעניין מבחן הקשר הרציונלי, דומה </w:t>
      </w:r>
      <w:r w:rsidR="00F1197B">
        <w:rPr>
          <w:rFonts w:hint="cs"/>
          <w:rtl/>
        </w:rPr>
        <w:t xml:space="preserve">כי </w:t>
      </w:r>
      <w:r>
        <w:rPr>
          <w:rFonts w:hint="cs"/>
          <w:rtl/>
        </w:rPr>
        <w:t>ניתן לצלוח אותו, ולעבור ה</w:t>
      </w:r>
      <w:r w:rsidR="00C94C06">
        <w:rPr>
          <w:rFonts w:hint="cs"/>
          <w:rtl/>
        </w:rPr>
        <w:t>ַ</w:t>
      </w:r>
      <w:r>
        <w:rPr>
          <w:rFonts w:hint="cs"/>
          <w:rtl/>
        </w:rPr>
        <w:t>י</w:t>
      </w:r>
      <w:r w:rsidR="00C94C06">
        <w:rPr>
          <w:rFonts w:hint="cs"/>
          <w:rtl/>
        </w:rPr>
        <w:t>ְ</w:t>
      </w:r>
      <w:r>
        <w:rPr>
          <w:rFonts w:hint="cs"/>
          <w:rtl/>
        </w:rPr>
        <w:t>ש</w:t>
      </w:r>
      <w:r w:rsidR="00C94C06">
        <w:rPr>
          <w:rFonts w:hint="cs"/>
          <w:rtl/>
        </w:rPr>
        <w:t>ֵׁ</w:t>
      </w:r>
      <w:r>
        <w:rPr>
          <w:rFonts w:hint="cs"/>
          <w:rtl/>
        </w:rPr>
        <w:t xml:space="preserve">ר אל שני מבחני המידתיות הנותרים. זאת, שכן שאלה זו הוכרעה במפורש על-ידי הנשיא </w:t>
      </w:r>
      <w:r w:rsidRPr="00B12DDA">
        <w:rPr>
          <w:rFonts w:ascii="Century" w:hAnsi="Century" w:cs="Miriam" w:hint="eastAsia"/>
          <w:b/>
          <w:spacing w:val="0"/>
          <w:sz w:val="22"/>
          <w:szCs w:val="24"/>
          <w:rtl/>
        </w:rPr>
        <w:t>ברק</w:t>
      </w:r>
      <w:r>
        <w:rPr>
          <w:rFonts w:hint="cs"/>
          <w:rtl/>
        </w:rPr>
        <w:t xml:space="preserve">, במסגרת עניין </w:t>
      </w:r>
      <w:r w:rsidRPr="00B12DDA">
        <w:rPr>
          <w:rFonts w:ascii="Century" w:hAnsi="Century" w:cs="Miriam" w:hint="eastAsia"/>
          <w:b/>
          <w:spacing w:val="0"/>
          <w:sz w:val="22"/>
          <w:szCs w:val="24"/>
          <w:rtl/>
        </w:rPr>
        <w:t>עדאלה</w:t>
      </w:r>
      <w:r>
        <w:rPr>
          <w:rFonts w:hint="cs"/>
          <w:rtl/>
        </w:rPr>
        <w:t xml:space="preserve">. שם פסק הנשיא </w:t>
      </w:r>
      <w:r w:rsidRPr="00B12DDA">
        <w:rPr>
          <w:rFonts w:ascii="Century" w:hAnsi="Century" w:cs="Miriam" w:hint="cs"/>
          <w:b/>
          <w:spacing w:val="0"/>
          <w:sz w:val="22"/>
          <w:szCs w:val="24"/>
          <w:rtl/>
        </w:rPr>
        <w:t>ברק</w:t>
      </w:r>
      <w:r>
        <w:rPr>
          <w:rFonts w:hint="cs"/>
          <w:rtl/>
        </w:rPr>
        <w:t>, לגבי חסינות המדינה ב'אזור עימות', כי מבחן הקשר הרציונלי מתקיים</w:t>
      </w:r>
      <w:r w:rsidR="00F1197B">
        <w:rPr>
          <w:rFonts w:hint="cs"/>
          <w:rtl/>
        </w:rPr>
        <w:t>,</w:t>
      </w:r>
      <w:r>
        <w:rPr>
          <w:rFonts w:hint="cs"/>
          <w:rtl/>
        </w:rPr>
        <w:t xml:space="preserve"> שכן, </w:t>
      </w:r>
      <w:r w:rsidRPr="00B12DDA">
        <w:rPr>
          <w:rFonts w:ascii="Century" w:hAnsi="Century" w:cs="Miriam" w:hint="cs"/>
          <w:b/>
          <w:spacing w:val="0"/>
          <w:sz w:val="22"/>
          <w:szCs w:val="24"/>
          <w:rtl/>
        </w:rPr>
        <w:t>"</w:t>
      </w:r>
      <w:r w:rsidRPr="00B12DDA">
        <w:rPr>
          <w:rFonts w:ascii="Century" w:hAnsi="Century" w:cs="Miriam" w:hint="eastAsia"/>
          <w:b/>
          <w:spacing w:val="0"/>
          <w:sz w:val="22"/>
          <w:szCs w:val="24"/>
          <w:rtl/>
        </w:rPr>
        <w:t>שלילת</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האחריות</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בנזיקין</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הקבועה</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בסעיף</w:t>
      </w:r>
      <w:r w:rsidRPr="00B12DDA">
        <w:rPr>
          <w:rFonts w:ascii="Century" w:hAnsi="Century" w:cs="Miriam"/>
          <w:b/>
          <w:spacing w:val="0"/>
          <w:sz w:val="22"/>
          <w:szCs w:val="24"/>
          <w:rtl/>
        </w:rPr>
        <w:t xml:space="preserve"> 5</w:t>
      </w:r>
      <w:r w:rsidRPr="00B12DDA">
        <w:rPr>
          <w:rFonts w:ascii="Century" w:hAnsi="Century" w:cs="Miriam" w:hint="eastAsia"/>
          <w:b/>
          <w:spacing w:val="0"/>
          <w:sz w:val="22"/>
          <w:szCs w:val="24"/>
          <w:rtl/>
        </w:rPr>
        <w:t>ג</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לתיקון</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מס</w:t>
      </w:r>
      <w:r w:rsidRPr="00B12DDA">
        <w:rPr>
          <w:rFonts w:ascii="Century" w:hAnsi="Century" w:cs="Miriam"/>
          <w:b/>
          <w:spacing w:val="0"/>
          <w:sz w:val="22"/>
          <w:szCs w:val="24"/>
          <w:rtl/>
        </w:rPr>
        <w:t xml:space="preserve">' 7 </w:t>
      </w:r>
      <w:r w:rsidRPr="00B12DDA">
        <w:rPr>
          <w:rFonts w:ascii="Century" w:hAnsi="Century" w:cs="Miriam" w:hint="eastAsia"/>
          <w:b/>
          <w:spacing w:val="0"/>
          <w:sz w:val="22"/>
          <w:szCs w:val="24"/>
          <w:rtl/>
        </w:rPr>
        <w:t>מוציאה</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את</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הנזקים</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שכוחות</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הביטחון</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גורמים</w:t>
      </w:r>
      <w:r w:rsidRPr="00B12DDA">
        <w:rPr>
          <w:rFonts w:ascii="Century" w:hAnsi="Century" w:cs="Miriam" w:hint="cs"/>
          <w:b/>
          <w:spacing w:val="0"/>
          <w:sz w:val="22"/>
          <w:szCs w:val="24"/>
          <w:rtl/>
        </w:rPr>
        <w:t xml:space="preserve"> </w:t>
      </w:r>
      <w:r w:rsidRPr="00B12DDA">
        <w:rPr>
          <w:rFonts w:ascii="Century" w:hAnsi="Century" w:cs="Miriam" w:hint="eastAsia"/>
          <w:b/>
          <w:spacing w:val="0"/>
          <w:sz w:val="22"/>
          <w:szCs w:val="24"/>
          <w:rtl/>
        </w:rPr>
        <w:t>באזור</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עימות</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מתחום</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דיני</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הנזיקין</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הרגילים</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בכך</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מושגת</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התכלית</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הראויה</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שתיקון</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מס</w:t>
      </w:r>
      <w:r w:rsidRPr="00B12DDA">
        <w:rPr>
          <w:rFonts w:ascii="Century" w:hAnsi="Century" w:cs="Miriam"/>
          <w:b/>
          <w:spacing w:val="0"/>
          <w:sz w:val="22"/>
          <w:szCs w:val="24"/>
          <w:rtl/>
        </w:rPr>
        <w:t xml:space="preserve">' 7 </w:t>
      </w:r>
      <w:r w:rsidRPr="00B12DDA">
        <w:rPr>
          <w:rFonts w:ascii="Century" w:hAnsi="Century" w:cs="Miriam" w:hint="eastAsia"/>
          <w:b/>
          <w:spacing w:val="0"/>
          <w:sz w:val="22"/>
          <w:szCs w:val="24"/>
          <w:rtl/>
        </w:rPr>
        <w:t>ביקש</w:t>
      </w:r>
      <w:r w:rsidRPr="00B12DDA">
        <w:rPr>
          <w:rFonts w:ascii="Century" w:hAnsi="Century" w:cs="Miriam"/>
          <w:b/>
          <w:spacing w:val="0"/>
          <w:sz w:val="22"/>
          <w:szCs w:val="24"/>
          <w:rtl/>
        </w:rPr>
        <w:t xml:space="preserve"> </w:t>
      </w:r>
      <w:r w:rsidRPr="00B12DDA">
        <w:rPr>
          <w:rFonts w:ascii="Century" w:hAnsi="Century" w:cs="Miriam" w:hint="eastAsia"/>
          <w:b/>
          <w:spacing w:val="0"/>
          <w:sz w:val="22"/>
          <w:szCs w:val="24"/>
          <w:rtl/>
        </w:rPr>
        <w:t>להגשים</w:t>
      </w:r>
      <w:r w:rsidRPr="00B12DDA">
        <w:rPr>
          <w:rFonts w:ascii="Century" w:hAnsi="Century" w:cs="Miriam" w:hint="cs"/>
          <w:b/>
          <w:spacing w:val="0"/>
          <w:sz w:val="22"/>
          <w:szCs w:val="24"/>
          <w:rtl/>
        </w:rPr>
        <w:t>"</w:t>
      </w:r>
      <w:r>
        <w:rPr>
          <w:rFonts w:hint="cs"/>
          <w:rtl/>
        </w:rPr>
        <w:t xml:space="preserve"> (</w:t>
      </w:r>
      <w:r w:rsidRPr="00B12DDA">
        <w:rPr>
          <w:rFonts w:ascii="Century" w:hAnsi="Century" w:cs="Miriam" w:hint="eastAsia"/>
          <w:b/>
          <w:spacing w:val="0"/>
          <w:sz w:val="22"/>
          <w:szCs w:val="24"/>
          <w:rtl/>
        </w:rPr>
        <w:t>שם</w:t>
      </w:r>
      <w:r>
        <w:rPr>
          <w:rFonts w:hint="cs"/>
          <w:rtl/>
        </w:rPr>
        <w:t xml:space="preserve">, פסקה 34). קביעה זו יפה גם לענייננו. לכך אוסיף, כי מבחן הקשר הרציונלי מתקיים גם לגבי התכלית הנוספת שהוזכרה לעיל </w:t>
      </w:r>
      <w:r>
        <w:rPr>
          <w:rtl/>
        </w:rPr>
        <w:t>–</w:t>
      </w:r>
      <w:r>
        <w:rPr>
          <w:rFonts w:hint="cs"/>
          <w:rtl/>
        </w:rPr>
        <w:t xml:space="preserve"> מניעת סיוע כלכלי או מוראלי לאויב. בהקשר זה, ברי כי שלילת האחריות הנזיקית תמנע ממדינת האויב, או מהישות השולטת בשטח האויב, להפיק תועלת, כלכלית או תדמיתית, מתביעת נזיקין שיגיש אחד מנתיניה נגד המדינה היריבה (ראו גם: עניין </w:t>
      </w:r>
      <w:r w:rsidRPr="00B12DDA">
        <w:rPr>
          <w:rFonts w:ascii="Century" w:hAnsi="Century" w:cs="Miriam" w:hint="cs"/>
          <w:b/>
          <w:spacing w:val="0"/>
          <w:sz w:val="22"/>
          <w:szCs w:val="24"/>
          <w:rtl/>
        </w:rPr>
        <w:t>דיראני</w:t>
      </w:r>
      <w:r>
        <w:rPr>
          <w:rFonts w:hint="cs"/>
          <w:rtl/>
        </w:rPr>
        <w:t xml:space="preserve">, פסקה 72). נוכח קביעות חלוטות אלה, מתייתר הצורך לבחון פעם נוספת את שאלת קיומו של הקשר הרציונלי. </w:t>
      </w:r>
    </w:p>
    <w:p w:rsidR="00B12DDA" w:rsidRPr="00B12DDA" w:rsidRDefault="00B12DDA" w:rsidP="000B6AE3">
      <w:pPr>
        <w:pStyle w:val="Ruller41"/>
        <w:spacing w:line="480" w:lineRule="auto"/>
        <w:rPr>
          <w:rtl/>
        </w:rPr>
      </w:pPr>
    </w:p>
    <w:p w:rsidR="00D512D4" w:rsidRDefault="00D512D4" w:rsidP="000067AF">
      <w:pPr>
        <w:pStyle w:val="5"/>
        <w:rPr>
          <w:rtl/>
        </w:rPr>
      </w:pPr>
      <w:bookmarkStart w:id="54" w:name="_Toc107851306"/>
      <w:bookmarkStart w:id="55" w:name="_Toc107851361"/>
      <w:r>
        <w:rPr>
          <w:rFonts w:hint="cs"/>
          <w:rtl/>
        </w:rPr>
        <w:t>ד.2.3.</w:t>
      </w:r>
      <w:r w:rsidR="000067AF">
        <w:rPr>
          <w:rFonts w:hint="cs"/>
          <w:rtl/>
        </w:rPr>
        <w:t>2.3</w:t>
      </w:r>
      <w:r>
        <w:rPr>
          <w:rFonts w:hint="cs"/>
          <w:rtl/>
        </w:rPr>
        <w:t xml:space="preserve">. </w:t>
      </w:r>
      <w:r w:rsidRPr="00A64E01">
        <w:rPr>
          <w:rFonts w:hint="cs"/>
          <w:rtl/>
        </w:rPr>
        <w:t>האמצעי שפגיעתו פחותה</w:t>
      </w:r>
      <w:bookmarkEnd w:id="54"/>
      <w:bookmarkEnd w:id="55"/>
    </w:p>
    <w:p w:rsidR="00D512D4" w:rsidRDefault="00D512D4" w:rsidP="00811B3D">
      <w:pPr>
        <w:pStyle w:val="Ruller4"/>
        <w:rPr>
          <w:rtl/>
        </w:rPr>
      </w:pPr>
      <w:r>
        <w:rPr>
          <w:rFonts w:hint="cs"/>
          <w:rtl/>
        </w:rPr>
        <w:t xml:space="preserve">השאלה המרכזית שעלינו לבחון </w:t>
      </w:r>
      <w:r w:rsidR="00811B3D">
        <w:rPr>
          <w:rFonts w:hint="cs"/>
          <w:rtl/>
        </w:rPr>
        <w:t>לגבי</w:t>
      </w:r>
      <w:r>
        <w:rPr>
          <w:rFonts w:hint="cs"/>
          <w:rtl/>
        </w:rPr>
        <w:t xml:space="preserve"> מבחן זה, היא: האם לשם הגשמת תכליות החוק, לא ניתן להסתפק בבחינה אינדיבידואלית, חלף קביעת כלל גורף? </w:t>
      </w:r>
      <w:r w:rsidR="00C94C06">
        <w:rPr>
          <w:rFonts w:hint="cs"/>
          <w:rtl/>
        </w:rPr>
        <w:t>לשון אחר</w:t>
      </w:r>
      <w:r>
        <w:rPr>
          <w:rFonts w:hint="cs"/>
          <w:rtl/>
        </w:rPr>
        <w:t xml:space="preserve">, האם </w:t>
      </w:r>
      <w:r w:rsidR="00C94C06">
        <w:rPr>
          <w:rFonts w:hint="cs"/>
          <w:rtl/>
        </w:rPr>
        <w:t>אין</w:t>
      </w:r>
      <w:r>
        <w:rPr>
          <w:rFonts w:hint="cs"/>
          <w:rtl/>
        </w:rPr>
        <w:t xml:space="preserve"> די בבחינה פרטנית של אופי הפעולה שגרמה לנזק, ביחס לכל מקרה ומקרה, תוך הגשמת תכליות החוק, מבלי לקבוע כלל גורף של פטור מאחריות נזיקית, ביחס לכל פעולותיה של מדינת ישראל ברצועת עזה, ובכך לכלול, לכאורה, גם מעשים שאינם בגדר 'פעולה מלחמתית'? לטענת המערער, בדומה לאשר נקבע בעניין </w:t>
      </w:r>
      <w:r w:rsidRPr="00542E08">
        <w:rPr>
          <w:rFonts w:ascii="Century" w:hAnsi="Century" w:cs="Miriam" w:hint="cs"/>
          <w:b/>
          <w:spacing w:val="0"/>
          <w:sz w:val="22"/>
          <w:szCs w:val="24"/>
          <w:rtl/>
        </w:rPr>
        <w:t>עדאלה</w:t>
      </w:r>
      <w:r>
        <w:rPr>
          <w:rFonts w:hint="cs"/>
          <w:rtl/>
        </w:rPr>
        <w:t>, גם ב</w:t>
      </w:r>
      <w:r w:rsidR="00F1197B">
        <w:rPr>
          <w:rFonts w:hint="cs"/>
          <w:rtl/>
        </w:rPr>
        <w:t>ענייננו</w:t>
      </w:r>
      <w:r>
        <w:rPr>
          <w:rFonts w:hint="cs"/>
          <w:rtl/>
        </w:rPr>
        <w:t>, יש לקבו</w:t>
      </w:r>
      <w:r w:rsidR="00F1197B">
        <w:rPr>
          <w:rFonts w:hint="cs"/>
          <w:rtl/>
        </w:rPr>
        <w:t xml:space="preserve">ע כי אכן, בחינה פרטנית עדיפה על </w:t>
      </w:r>
      <w:r>
        <w:rPr>
          <w:rFonts w:hint="cs"/>
          <w:rtl/>
        </w:rPr>
        <w:t xml:space="preserve">פני קביעה גורפת, כי די בזו, כדי להשיג את תכליות החוק. דעתי בעניין זה </w:t>
      </w:r>
      <w:r>
        <w:rPr>
          <w:rtl/>
        </w:rPr>
        <w:t>–</w:t>
      </w:r>
      <w:r>
        <w:rPr>
          <w:rFonts w:hint="cs"/>
          <w:rtl/>
        </w:rPr>
        <w:t xml:space="preserve"> שונה. לגישתי, השאלה שעמדה על הפרק בעניין </w:t>
      </w:r>
      <w:r w:rsidRPr="00AC7FCA">
        <w:rPr>
          <w:rFonts w:ascii="Century" w:hAnsi="Century" w:cs="Miriam" w:hint="eastAsia"/>
          <w:b/>
          <w:spacing w:val="0"/>
          <w:sz w:val="22"/>
          <w:szCs w:val="24"/>
          <w:rtl/>
        </w:rPr>
        <w:t>עדאלה</w:t>
      </w:r>
      <w:r w:rsidRPr="002871AB">
        <w:rPr>
          <w:rFonts w:hint="cs"/>
          <w:rtl/>
        </w:rPr>
        <w:t xml:space="preserve"> </w:t>
      </w:r>
      <w:r>
        <w:rPr>
          <w:rFonts w:hint="cs"/>
          <w:rtl/>
        </w:rPr>
        <w:t xml:space="preserve">אינה זהה לשאלה המתעוררת בעניין דנן, והיא מצדיקה תוצאה משפטית אחרת. סבורני, כי כאשר מדובר במדינת אויב או בשטח אויב, ובוודאי כאשר עסקינן ברצועת עזה, על מורכבויותיה, הפתרון של 'בחינה אינדיבידואלית', אינו מגשים את תכלית החקיקה, ודאי לא </w:t>
      </w:r>
      <w:r w:rsidRPr="00E56062">
        <w:rPr>
          <w:rFonts w:hint="eastAsia"/>
          <w:rtl/>
        </w:rPr>
        <w:t>במידה</w:t>
      </w:r>
      <w:r w:rsidRPr="00E56062">
        <w:rPr>
          <w:rtl/>
        </w:rPr>
        <w:t xml:space="preserve"> </w:t>
      </w:r>
      <w:r w:rsidRPr="00E56062">
        <w:rPr>
          <w:rFonts w:hint="eastAsia"/>
          <w:rtl/>
        </w:rPr>
        <w:t>שוות</w:t>
      </w:r>
      <w:r>
        <w:rPr>
          <w:rFonts w:hint="cs"/>
          <w:rtl/>
        </w:rPr>
        <w:t>-</w:t>
      </w:r>
      <w:r w:rsidRPr="00E56062">
        <w:rPr>
          <w:rFonts w:hint="eastAsia"/>
          <w:rtl/>
        </w:rPr>
        <w:t>ערך</w:t>
      </w:r>
      <w:r w:rsidRPr="00111362">
        <w:rPr>
          <w:rFonts w:hint="cs"/>
          <w:rtl/>
        </w:rPr>
        <w:t xml:space="preserve"> </w:t>
      </w:r>
      <w:r>
        <w:rPr>
          <w:rFonts w:hint="cs"/>
          <w:rtl/>
        </w:rPr>
        <w:t xml:space="preserve">לכלל החסינות שנקבע בסעיף 5ב(א)(1) לחוק. </w:t>
      </w:r>
    </w:p>
    <w:p w:rsidR="00D512D4" w:rsidRPr="00311823" w:rsidRDefault="00D512D4" w:rsidP="00AA1CE0">
      <w:pPr>
        <w:pStyle w:val="Ruller41"/>
        <w:spacing w:line="240" w:lineRule="auto"/>
      </w:pPr>
    </w:p>
    <w:p w:rsidR="00D512D4" w:rsidRDefault="00D512D4" w:rsidP="00C94C06">
      <w:pPr>
        <w:pStyle w:val="Ruller4"/>
        <w:rPr>
          <w:rtl/>
        </w:rPr>
      </w:pPr>
      <w:r>
        <w:rPr>
          <w:rFonts w:hint="cs"/>
          <w:rtl/>
        </w:rPr>
        <w:t xml:space="preserve">כידוע, </w:t>
      </w:r>
      <w:r w:rsidRPr="00D8193D">
        <w:rPr>
          <w:rFonts w:hint="cs"/>
          <w:rtl/>
        </w:rPr>
        <w:t>מבחן 'האמצעי שפגיעתו פחותה' אינו קובע כלל</w:t>
      </w:r>
      <w:r>
        <w:rPr>
          <w:rFonts w:hint="cs"/>
          <w:rtl/>
        </w:rPr>
        <w:t>,</w:t>
      </w:r>
      <w:r w:rsidRPr="00D8193D">
        <w:rPr>
          <w:rFonts w:hint="cs"/>
          <w:rtl/>
        </w:rPr>
        <w:t xml:space="preserve"> </w:t>
      </w:r>
      <w:r>
        <w:rPr>
          <w:rFonts w:hint="cs"/>
          <w:rtl/>
        </w:rPr>
        <w:t>ש</w:t>
      </w:r>
      <w:r w:rsidRPr="00D8193D">
        <w:rPr>
          <w:rFonts w:hint="cs"/>
          <w:rtl/>
        </w:rPr>
        <w:t xml:space="preserve">לפיו על המחוקק לבחור את האמצעי </w:t>
      </w:r>
      <w:r>
        <w:rPr>
          <w:rFonts w:hint="cs"/>
          <w:rtl/>
        </w:rPr>
        <w:t>ש</w:t>
      </w:r>
      <w:r w:rsidRPr="00D8193D">
        <w:rPr>
          <w:rFonts w:hint="cs"/>
          <w:rtl/>
        </w:rPr>
        <w:t>פגיעתו</w:t>
      </w:r>
      <w:r>
        <w:rPr>
          <w:rFonts w:hint="cs"/>
          <w:rtl/>
        </w:rPr>
        <w:t>, באופן מוחלט, היא ה</w:t>
      </w:r>
      <w:r w:rsidRPr="00D8193D">
        <w:rPr>
          <w:rFonts w:hint="cs"/>
          <w:rtl/>
        </w:rPr>
        <w:t>פחותה</w:t>
      </w:r>
      <w:r>
        <w:rPr>
          <w:rFonts w:hint="cs"/>
          <w:rtl/>
        </w:rPr>
        <w:t xml:space="preserve"> ביותר</w:t>
      </w:r>
      <w:r w:rsidRPr="00D8193D">
        <w:rPr>
          <w:rFonts w:hint="cs"/>
          <w:rtl/>
        </w:rPr>
        <w:t>. עליו לבחור</w:t>
      </w:r>
      <w:r>
        <w:rPr>
          <w:rFonts w:hint="cs"/>
          <w:rtl/>
        </w:rPr>
        <w:t xml:space="preserve"> </w:t>
      </w:r>
      <w:r w:rsidRPr="00D8193D">
        <w:rPr>
          <w:rFonts w:hint="cs"/>
          <w:rtl/>
        </w:rPr>
        <w:t xml:space="preserve">את האמצעי </w:t>
      </w:r>
      <w:r>
        <w:rPr>
          <w:rFonts w:hint="cs"/>
          <w:rtl/>
        </w:rPr>
        <w:t>ה</w:t>
      </w:r>
      <w:r w:rsidRPr="00D8193D">
        <w:rPr>
          <w:rFonts w:hint="cs"/>
          <w:rtl/>
        </w:rPr>
        <w:t>פוגעני</w:t>
      </w:r>
      <w:r>
        <w:rPr>
          <w:rFonts w:hint="cs"/>
          <w:rtl/>
        </w:rPr>
        <w:t xml:space="preserve"> פחות</w:t>
      </w:r>
      <w:r w:rsidRPr="00D8193D">
        <w:rPr>
          <w:rFonts w:hint="cs"/>
          <w:rtl/>
        </w:rPr>
        <w:t xml:space="preserve">, אך </w:t>
      </w:r>
      <w:r>
        <w:rPr>
          <w:rFonts w:hint="cs"/>
          <w:rtl/>
        </w:rPr>
        <w:t xml:space="preserve">זאת, </w:t>
      </w:r>
      <w:r w:rsidRPr="00D8193D">
        <w:rPr>
          <w:rFonts w:hint="cs"/>
          <w:rtl/>
        </w:rPr>
        <w:t>רק מבין האמצעים המ</w:t>
      </w:r>
      <w:r>
        <w:rPr>
          <w:rFonts w:hint="cs"/>
          <w:rtl/>
        </w:rPr>
        <w:t xml:space="preserve">גשימים את </w:t>
      </w:r>
      <w:r w:rsidRPr="00D8193D">
        <w:rPr>
          <w:rFonts w:hint="cs"/>
          <w:rtl/>
        </w:rPr>
        <w:t>תכלית</w:t>
      </w:r>
      <w:r>
        <w:rPr>
          <w:rFonts w:hint="cs"/>
          <w:rtl/>
        </w:rPr>
        <w:t xml:space="preserve"> החקיקה </w:t>
      </w:r>
      <w:r w:rsidRPr="00E56062">
        <w:rPr>
          <w:rFonts w:ascii="Century" w:hAnsi="Century" w:hint="eastAsia"/>
          <w:sz w:val="22"/>
          <w:rtl/>
        </w:rPr>
        <w:t>באופן</w:t>
      </w:r>
      <w:r w:rsidRPr="00E56062">
        <w:rPr>
          <w:rFonts w:ascii="Century" w:hAnsi="Century"/>
          <w:sz w:val="22"/>
          <w:rtl/>
        </w:rPr>
        <w:t xml:space="preserve"> </w:t>
      </w:r>
      <w:r w:rsidRPr="00E56062">
        <w:rPr>
          <w:rFonts w:ascii="Century" w:hAnsi="Century" w:hint="eastAsia"/>
          <w:sz w:val="22"/>
          <w:rtl/>
        </w:rPr>
        <w:t>דומה</w:t>
      </w:r>
      <w:r w:rsidRPr="00E56062">
        <w:rPr>
          <w:rFonts w:ascii="Century" w:hAnsi="Century"/>
          <w:sz w:val="22"/>
          <w:rtl/>
        </w:rPr>
        <w:t>,</w:t>
      </w:r>
      <w:r w:rsidRPr="00DF4CB6">
        <w:rPr>
          <w:rFonts w:cs="Miriam"/>
          <w:b/>
          <w:spacing w:val="0"/>
          <w:szCs w:val="24"/>
          <w:rtl/>
        </w:rPr>
        <w:t xml:space="preserve"> </w:t>
      </w:r>
      <w:r>
        <w:rPr>
          <w:rFonts w:cs="Miriam" w:hint="cs"/>
          <w:b/>
          <w:spacing w:val="0"/>
          <w:szCs w:val="24"/>
          <w:rtl/>
        </w:rPr>
        <w:t>במידה שוות-ערך</w:t>
      </w:r>
      <w:r w:rsidRPr="00D8193D">
        <w:rPr>
          <w:rFonts w:hint="cs"/>
          <w:rtl/>
        </w:rPr>
        <w:t>. מבחן 'האמצעי שפגיעתו פחותה' מתקיים</w:t>
      </w:r>
      <w:r>
        <w:rPr>
          <w:rFonts w:hint="cs"/>
          <w:rtl/>
        </w:rPr>
        <w:t xml:space="preserve"> אפוא,</w:t>
      </w:r>
      <w:r w:rsidRPr="00D8193D">
        <w:rPr>
          <w:rFonts w:hint="cs"/>
          <w:rtl/>
        </w:rPr>
        <w:t xml:space="preserve"> </w:t>
      </w:r>
      <w:r>
        <w:rPr>
          <w:rFonts w:hint="cs"/>
          <w:rtl/>
        </w:rPr>
        <w:t xml:space="preserve">גם כאשר קיים </w:t>
      </w:r>
      <w:r w:rsidRPr="00D8193D">
        <w:rPr>
          <w:rFonts w:hint="cs"/>
          <w:rtl/>
        </w:rPr>
        <w:t>אמצעי אחר</w:t>
      </w:r>
      <w:r>
        <w:rPr>
          <w:rFonts w:hint="cs"/>
          <w:rtl/>
        </w:rPr>
        <w:t>,</w:t>
      </w:r>
      <w:r w:rsidRPr="00D8193D">
        <w:rPr>
          <w:rFonts w:hint="cs"/>
          <w:rtl/>
        </w:rPr>
        <w:t xml:space="preserve"> המגשים את תכלית החקיקה</w:t>
      </w:r>
      <w:r>
        <w:rPr>
          <w:rFonts w:hint="cs"/>
          <w:rtl/>
        </w:rPr>
        <w:t>,</w:t>
      </w:r>
      <w:r w:rsidRPr="00D8193D">
        <w:rPr>
          <w:rFonts w:hint="cs"/>
          <w:rtl/>
        </w:rPr>
        <w:t xml:space="preserve"> </w:t>
      </w:r>
      <w:r>
        <w:rPr>
          <w:rFonts w:hint="cs"/>
          <w:rtl/>
        </w:rPr>
        <w:t>ו</w:t>
      </w:r>
      <w:r w:rsidRPr="00D8193D">
        <w:rPr>
          <w:rFonts w:hint="cs"/>
          <w:rtl/>
        </w:rPr>
        <w:t xml:space="preserve">פגיעתו פחותה, </w:t>
      </w:r>
      <w:r>
        <w:rPr>
          <w:rFonts w:hint="cs"/>
          <w:rtl/>
        </w:rPr>
        <w:t>אך</w:t>
      </w:r>
      <w:r w:rsidRPr="00D8193D">
        <w:rPr>
          <w:rFonts w:hint="cs"/>
          <w:rtl/>
        </w:rPr>
        <w:t xml:space="preserve"> </w:t>
      </w:r>
      <w:r>
        <w:rPr>
          <w:rFonts w:hint="cs"/>
          <w:rtl/>
        </w:rPr>
        <w:t>מידת יעילותו</w:t>
      </w:r>
      <w:r w:rsidRPr="00D8193D">
        <w:rPr>
          <w:rFonts w:hint="cs"/>
          <w:rtl/>
        </w:rPr>
        <w:t xml:space="preserve"> </w:t>
      </w:r>
      <w:r>
        <w:rPr>
          <w:rFonts w:hint="cs"/>
          <w:rtl/>
        </w:rPr>
        <w:t>אינה שוות-ערך ל</w:t>
      </w:r>
      <w:r w:rsidRPr="00D8193D">
        <w:rPr>
          <w:rFonts w:hint="cs"/>
          <w:rtl/>
        </w:rPr>
        <w:t>אמצעי ש</w:t>
      </w:r>
      <w:r>
        <w:rPr>
          <w:rFonts w:hint="cs"/>
          <w:rtl/>
        </w:rPr>
        <w:t>בו בחר המחוקק:</w:t>
      </w:r>
      <w:r w:rsidRPr="00D8193D">
        <w:rPr>
          <w:rFonts w:hint="cs"/>
          <w:rtl/>
        </w:rPr>
        <w:t xml:space="preserve"> </w:t>
      </w:r>
      <w:r w:rsidRPr="00781DE4">
        <w:rPr>
          <w:rFonts w:ascii="Century" w:hAnsi="Century" w:cs="Miriam" w:hint="cs"/>
          <w:b/>
          <w:spacing w:val="0"/>
          <w:sz w:val="22"/>
          <w:szCs w:val="24"/>
          <w:rtl/>
        </w:rPr>
        <w:t>"</w:t>
      </w:r>
      <w:r w:rsidRPr="00781DE4">
        <w:rPr>
          <w:rFonts w:ascii="Century" w:hAnsi="Century" w:cs="Miriam"/>
          <w:b/>
          <w:spacing w:val="0"/>
          <w:sz w:val="22"/>
          <w:szCs w:val="24"/>
          <w:rtl/>
        </w:rPr>
        <w:t>אם האמצעי שפוגע פחות מגשים פחות מהתכלית הראויה, אין הוא אמצעי שהמחוקק חייב לנקוט בו</w:t>
      </w:r>
      <w:r w:rsidRPr="00781DE4">
        <w:rPr>
          <w:rFonts w:ascii="Century" w:hAnsi="Century" w:cs="Miriam" w:hint="cs"/>
          <w:b/>
          <w:spacing w:val="0"/>
          <w:sz w:val="22"/>
          <w:szCs w:val="24"/>
          <w:rtl/>
        </w:rPr>
        <w:t>"</w:t>
      </w:r>
      <w:r>
        <w:rPr>
          <w:rFonts w:ascii="FrankRuehl" w:hAnsi="FrankRuehl" w:hint="cs"/>
          <w:color w:val="000000"/>
          <w:sz w:val="28"/>
          <w:rtl/>
        </w:rPr>
        <w:t xml:space="preserve"> (עניין </w:t>
      </w:r>
      <w:r>
        <w:rPr>
          <w:rFonts w:ascii="Century" w:hAnsi="Century" w:cs="Miriam" w:hint="cs"/>
          <w:b/>
          <w:spacing w:val="0"/>
          <w:sz w:val="22"/>
          <w:szCs w:val="24"/>
          <w:rtl/>
        </w:rPr>
        <w:t>א</w:t>
      </w:r>
      <w:r w:rsidRPr="00781DE4">
        <w:rPr>
          <w:rFonts w:ascii="Century" w:hAnsi="Century" w:cs="Miriam" w:hint="cs"/>
          <w:b/>
          <w:spacing w:val="0"/>
          <w:sz w:val="22"/>
          <w:szCs w:val="24"/>
          <w:rtl/>
        </w:rPr>
        <w:t>יחוד משפחות</w:t>
      </w:r>
      <w:r>
        <w:rPr>
          <w:rFonts w:ascii="FrankRuehl" w:hAnsi="FrankRuehl" w:hint="cs"/>
          <w:color w:val="000000"/>
          <w:sz w:val="28"/>
          <w:rtl/>
        </w:rPr>
        <w:t xml:space="preserve">, פסקה 88 לפסק הדין של הנשיא </w:t>
      </w:r>
      <w:r w:rsidRPr="00111362">
        <w:rPr>
          <w:rFonts w:ascii="Century" w:hAnsi="Century" w:cs="Miriam" w:hint="cs"/>
          <w:b/>
          <w:spacing w:val="0"/>
          <w:sz w:val="22"/>
          <w:szCs w:val="24"/>
          <w:rtl/>
        </w:rPr>
        <w:t>ברק</w:t>
      </w:r>
      <w:r>
        <w:rPr>
          <w:rFonts w:ascii="FrankRuehl" w:hAnsi="FrankRuehl" w:hint="cs"/>
          <w:color w:val="000000"/>
          <w:sz w:val="28"/>
          <w:rtl/>
        </w:rPr>
        <w:t xml:space="preserve">). </w:t>
      </w:r>
      <w:r>
        <w:rPr>
          <w:rFonts w:hint="cs"/>
          <w:rtl/>
        </w:rPr>
        <w:t xml:space="preserve">ישום המבחן באופן זה הוא חיוני; </w:t>
      </w:r>
      <w:r w:rsidR="00C94C06">
        <w:rPr>
          <w:rFonts w:hint="cs"/>
          <w:rtl/>
        </w:rPr>
        <w:t>אם לא כן</w:t>
      </w:r>
      <w:r>
        <w:rPr>
          <w:rFonts w:hint="cs"/>
          <w:rtl/>
        </w:rPr>
        <w:t>, נמצא עצמנו פוגעים בערכים חשובים לאין ערוך:</w:t>
      </w:r>
      <w:r w:rsidRPr="00D8193D">
        <w:rPr>
          <w:rFonts w:hint="cs"/>
          <w:rtl/>
        </w:rPr>
        <w:t xml:space="preserve"> </w:t>
      </w:r>
      <w:r w:rsidRPr="00311823">
        <w:rPr>
          <w:rFonts w:cs="Miriam" w:hint="cs"/>
          <w:b/>
          <w:spacing w:val="0"/>
          <w:szCs w:val="24"/>
          <w:rtl/>
        </w:rPr>
        <w:t>"בה</w:t>
      </w:r>
      <w:r w:rsidRPr="00311823">
        <w:rPr>
          <w:rFonts w:cs="Miriam"/>
          <w:b/>
          <w:spacing w:val="0"/>
          <w:szCs w:val="24"/>
          <w:rtl/>
        </w:rPr>
        <w:t xml:space="preserve">חלת מיבחן המשנה השני של המידתיות, אין החוק חייב לבור לו בהכרח את האמצעי הפחוּת ביותר בפוֹגענוּתוֹ. לו אחרת אמרנו, כי-אז כמו היתרנו לבית-המשפט להכתיב למחוקק באיזה אמצעי יבחר, ובדרך זו היינו חותרים תחת שיקול דעתו של המחוקק ופוגמים קשות בעקרון הפרדת הרשויות וביזור הסמכויות </w:t>
      </w:r>
      <w:r w:rsidRPr="00D8193D">
        <w:rPr>
          <w:rtl/>
        </w:rPr>
        <w:t>(</w:t>
      </w:r>
      <w:r>
        <w:rPr>
          <w:rFonts w:hint="cs"/>
          <w:rtl/>
        </w:rPr>
        <w:t xml:space="preserve">עניין </w:t>
      </w:r>
      <w:r w:rsidRPr="00311823">
        <w:rPr>
          <w:rFonts w:cs="Miriam"/>
          <w:b/>
          <w:spacing w:val="0"/>
          <w:szCs w:val="24"/>
          <w:rtl/>
        </w:rPr>
        <w:t>איחוד משפחות</w:t>
      </w:r>
      <w:r w:rsidRPr="00D8193D">
        <w:rPr>
          <w:rtl/>
        </w:rPr>
        <w:t>, פסקה 10</w:t>
      </w:r>
      <w:r>
        <w:rPr>
          <w:rFonts w:hint="cs"/>
          <w:rtl/>
        </w:rPr>
        <w:t>4</w:t>
      </w:r>
      <w:r w:rsidRPr="00D8193D">
        <w:rPr>
          <w:rtl/>
        </w:rPr>
        <w:t xml:space="preserve"> לפסק</w:t>
      </w:r>
      <w:r>
        <w:rPr>
          <w:rFonts w:hint="cs"/>
          <w:rtl/>
        </w:rPr>
        <w:t xml:space="preserve"> הדין</w:t>
      </w:r>
      <w:r w:rsidRPr="00D8193D">
        <w:rPr>
          <w:rtl/>
        </w:rPr>
        <w:t xml:space="preserve"> של ה</w:t>
      </w:r>
      <w:r>
        <w:rPr>
          <w:rFonts w:hint="cs"/>
          <w:rtl/>
        </w:rPr>
        <w:t>משנה לנשיא</w:t>
      </w:r>
      <w:r w:rsidRPr="00D8193D">
        <w:rPr>
          <w:rtl/>
        </w:rPr>
        <w:t xml:space="preserve"> </w:t>
      </w:r>
      <w:r w:rsidRPr="00111362">
        <w:rPr>
          <w:rFonts w:ascii="Century" w:hAnsi="Century" w:cs="Miriam"/>
          <w:b/>
          <w:spacing w:val="0"/>
          <w:sz w:val="22"/>
          <w:szCs w:val="24"/>
          <w:rtl/>
        </w:rPr>
        <w:t>חשין</w:t>
      </w:r>
      <w:r w:rsidRPr="00D8193D">
        <w:rPr>
          <w:rtl/>
        </w:rPr>
        <w:t>;</w:t>
      </w:r>
      <w:r>
        <w:rPr>
          <w:rFonts w:hint="cs"/>
          <w:rtl/>
        </w:rPr>
        <w:t xml:space="preserve"> עוד ראו</w:t>
      </w:r>
      <w:r w:rsidRPr="00D8193D">
        <w:rPr>
          <w:rtl/>
        </w:rPr>
        <w:t xml:space="preserve">: בג"ץ 1715/97 </w:t>
      </w:r>
      <w:r w:rsidRPr="00311823">
        <w:rPr>
          <w:rFonts w:cs="Miriam"/>
          <w:b/>
          <w:spacing w:val="0"/>
          <w:szCs w:val="24"/>
          <w:rtl/>
        </w:rPr>
        <w:t>לשכת מנהלי ההשקעות בישראל נ' שר האוצר</w:t>
      </w:r>
      <w:r w:rsidRPr="00D8193D">
        <w:rPr>
          <w:rtl/>
        </w:rPr>
        <w:t>, פ"ד נא(4) 367, 38</w:t>
      </w:r>
      <w:r>
        <w:rPr>
          <w:rFonts w:hint="cs"/>
          <w:rtl/>
        </w:rPr>
        <w:t>9-387</w:t>
      </w:r>
      <w:r w:rsidRPr="00D8193D">
        <w:rPr>
          <w:rtl/>
        </w:rPr>
        <w:t xml:space="preserve"> (1997)</w:t>
      </w:r>
      <w:r>
        <w:rPr>
          <w:rFonts w:hint="cs"/>
          <w:rtl/>
        </w:rPr>
        <w:t>; עניין</w:t>
      </w:r>
      <w:r w:rsidRPr="00F05717">
        <w:rPr>
          <w:rtl/>
        </w:rPr>
        <w:t xml:space="preserve"> </w:t>
      </w:r>
      <w:r w:rsidRPr="00311823">
        <w:rPr>
          <w:rFonts w:cs="Miriam" w:hint="eastAsia"/>
          <w:b/>
          <w:spacing w:val="0"/>
          <w:szCs w:val="24"/>
          <w:rtl/>
        </w:rPr>
        <w:t>מנחם</w:t>
      </w:r>
      <w:r w:rsidRPr="00F05717">
        <w:rPr>
          <w:rtl/>
        </w:rPr>
        <w:t xml:space="preserve">, </w:t>
      </w:r>
      <w:r>
        <w:rPr>
          <w:rFonts w:hint="cs"/>
          <w:rtl/>
        </w:rPr>
        <w:t xml:space="preserve">עמוד 280; עניין </w:t>
      </w:r>
      <w:r w:rsidRPr="00111362">
        <w:rPr>
          <w:rFonts w:ascii="Century" w:hAnsi="Century" w:cs="Miriam" w:hint="cs"/>
          <w:b/>
          <w:spacing w:val="0"/>
          <w:sz w:val="22"/>
          <w:szCs w:val="24"/>
          <w:rtl/>
        </w:rPr>
        <w:t>חוף עזה</w:t>
      </w:r>
      <w:r>
        <w:rPr>
          <w:rFonts w:hint="cs"/>
          <w:rtl/>
        </w:rPr>
        <w:t xml:space="preserve">, עמוד 550; </w:t>
      </w:r>
      <w:r w:rsidRPr="00311823">
        <w:rPr>
          <w:rFonts w:cs="Miriam" w:hint="cs"/>
          <w:b/>
          <w:spacing w:val="0"/>
          <w:szCs w:val="24"/>
          <w:rtl/>
        </w:rPr>
        <w:t>ברק</w:t>
      </w:r>
      <w:r>
        <w:rPr>
          <w:rFonts w:cs="Miriam" w:hint="cs"/>
          <w:b/>
          <w:spacing w:val="0"/>
          <w:szCs w:val="24"/>
          <w:rtl/>
        </w:rPr>
        <w:t xml:space="preserve"> </w:t>
      </w:r>
      <w:r w:rsidRPr="00E56062">
        <w:rPr>
          <w:rFonts w:ascii="Century" w:hAnsi="Century"/>
          <w:sz w:val="22"/>
          <w:rtl/>
        </w:rPr>
        <w:t>–</w:t>
      </w:r>
      <w:r>
        <w:rPr>
          <w:rFonts w:cs="Miriam" w:hint="cs"/>
          <w:b/>
          <w:spacing w:val="0"/>
          <w:szCs w:val="24"/>
          <w:rtl/>
        </w:rPr>
        <w:t xml:space="preserve"> </w:t>
      </w:r>
      <w:r w:rsidRPr="00311823">
        <w:rPr>
          <w:rFonts w:cs="Miriam" w:hint="cs"/>
          <w:b/>
          <w:spacing w:val="0"/>
          <w:szCs w:val="24"/>
          <w:rtl/>
        </w:rPr>
        <w:t>מידתיות במשפט</w:t>
      </w:r>
      <w:r>
        <w:rPr>
          <w:rFonts w:hint="cs"/>
          <w:rtl/>
        </w:rPr>
        <w:t xml:space="preserve">, 399-395; גדעון ספיר, ישן מול חדש </w:t>
      </w:r>
      <w:r>
        <w:rPr>
          <w:rtl/>
        </w:rPr>
        <w:t>–</w:t>
      </w:r>
      <w:r>
        <w:rPr>
          <w:rFonts w:hint="cs"/>
          <w:rtl/>
        </w:rPr>
        <w:t xml:space="preserve"> על איזון אנכי ומידתיות, </w:t>
      </w:r>
      <w:r w:rsidRPr="00311823">
        <w:rPr>
          <w:rFonts w:cs="Miriam" w:hint="cs"/>
          <w:b/>
          <w:spacing w:val="0"/>
          <w:szCs w:val="24"/>
          <w:rtl/>
        </w:rPr>
        <w:t>מחקרי משפט</w:t>
      </w:r>
      <w:r w:rsidRPr="00371951">
        <w:rPr>
          <w:rFonts w:ascii="Century" w:hAnsi="Century"/>
          <w:sz w:val="22"/>
          <w:rtl/>
        </w:rPr>
        <w:t xml:space="preserve"> </w:t>
      </w:r>
      <w:r w:rsidRPr="00371951">
        <w:rPr>
          <w:rFonts w:ascii="Century" w:hAnsi="Century" w:hint="eastAsia"/>
          <w:sz w:val="22"/>
          <w:rtl/>
        </w:rPr>
        <w:t>כב</w:t>
      </w:r>
      <w:r w:rsidRPr="00371951">
        <w:rPr>
          <w:rFonts w:ascii="Century" w:hAnsi="Century"/>
          <w:sz w:val="22"/>
          <w:rtl/>
        </w:rPr>
        <w:t>,</w:t>
      </w:r>
      <w:r w:rsidRPr="00DF4CB6">
        <w:rPr>
          <w:rtl/>
        </w:rPr>
        <w:t xml:space="preserve"> </w:t>
      </w:r>
      <w:r>
        <w:rPr>
          <w:rFonts w:hint="cs"/>
          <w:rtl/>
        </w:rPr>
        <w:t xml:space="preserve">471, 478-477 (תשס"ו-2006); לדעה שונה, ראו: ברק מדינה ואייל סבן, </w:t>
      </w:r>
      <w:r w:rsidRPr="00311823">
        <w:rPr>
          <w:rFonts w:ascii="Century" w:hAnsi="Century"/>
          <w:sz w:val="22"/>
          <w:rtl/>
        </w:rPr>
        <w:t>"</w:t>
      </w:r>
      <w:r w:rsidRPr="00311823">
        <w:rPr>
          <w:rFonts w:ascii="Century" w:hAnsi="Century" w:hint="eastAsia"/>
          <w:sz w:val="22"/>
          <w:rtl/>
        </w:rPr>
        <w:t>זכויות</w:t>
      </w:r>
      <w:r w:rsidRPr="00311823">
        <w:rPr>
          <w:rFonts w:ascii="Century" w:hAnsi="Century"/>
          <w:sz w:val="22"/>
          <w:rtl/>
        </w:rPr>
        <w:t xml:space="preserve"> </w:t>
      </w:r>
      <w:r w:rsidRPr="00311823">
        <w:rPr>
          <w:rFonts w:ascii="Century" w:hAnsi="Century" w:hint="eastAsia"/>
          <w:sz w:val="22"/>
          <w:rtl/>
        </w:rPr>
        <w:t>האדם</w:t>
      </w:r>
      <w:r w:rsidRPr="00311823">
        <w:rPr>
          <w:rFonts w:ascii="Century" w:hAnsi="Century"/>
          <w:sz w:val="22"/>
          <w:rtl/>
        </w:rPr>
        <w:t xml:space="preserve"> </w:t>
      </w:r>
      <w:r w:rsidRPr="00311823">
        <w:rPr>
          <w:rFonts w:ascii="Century" w:hAnsi="Century" w:hint="eastAsia"/>
          <w:sz w:val="22"/>
          <w:rtl/>
        </w:rPr>
        <w:t>ונטילת</w:t>
      </w:r>
      <w:r w:rsidRPr="00311823">
        <w:rPr>
          <w:rFonts w:ascii="Century" w:hAnsi="Century"/>
          <w:sz w:val="22"/>
          <w:rtl/>
        </w:rPr>
        <w:t xml:space="preserve"> </w:t>
      </w:r>
      <w:r w:rsidRPr="00311823">
        <w:rPr>
          <w:rFonts w:ascii="Century" w:hAnsi="Century" w:hint="eastAsia"/>
          <w:sz w:val="22"/>
          <w:rtl/>
        </w:rPr>
        <w:t>סיכונים</w:t>
      </w:r>
      <w:r w:rsidRPr="00311823">
        <w:rPr>
          <w:rFonts w:ascii="Century" w:hAnsi="Century"/>
          <w:sz w:val="22"/>
          <w:rtl/>
        </w:rPr>
        <w:t xml:space="preserve">: </w:t>
      </w:r>
      <w:r w:rsidRPr="00311823">
        <w:rPr>
          <w:rFonts w:ascii="Century" w:hAnsi="Century" w:hint="eastAsia"/>
          <w:sz w:val="22"/>
          <w:rtl/>
        </w:rPr>
        <w:t>על</w:t>
      </w:r>
      <w:r w:rsidRPr="00311823">
        <w:rPr>
          <w:rFonts w:ascii="Century" w:hAnsi="Century"/>
          <w:sz w:val="22"/>
          <w:rtl/>
        </w:rPr>
        <w:t xml:space="preserve"> </w:t>
      </w:r>
      <w:r w:rsidRPr="00311823">
        <w:rPr>
          <w:rFonts w:ascii="Century" w:hAnsi="Century" w:hint="eastAsia"/>
          <w:sz w:val="22"/>
          <w:rtl/>
        </w:rPr>
        <w:t>דמוקרטיה</w:t>
      </w:r>
      <w:r w:rsidRPr="00311823">
        <w:rPr>
          <w:rFonts w:ascii="Century" w:hAnsi="Century"/>
          <w:sz w:val="22"/>
          <w:rtl/>
        </w:rPr>
        <w:t xml:space="preserve">, </w:t>
      </w:r>
      <w:r w:rsidRPr="00311823">
        <w:rPr>
          <w:rFonts w:ascii="Century" w:hAnsi="Century" w:hint="eastAsia"/>
          <w:sz w:val="22"/>
          <w:rtl/>
        </w:rPr>
        <w:t>״תיוג</w:t>
      </w:r>
      <w:r w:rsidRPr="00311823">
        <w:rPr>
          <w:rFonts w:ascii="Century" w:hAnsi="Century"/>
          <w:sz w:val="22"/>
          <w:rtl/>
        </w:rPr>
        <w:t xml:space="preserve"> ‏</w:t>
      </w:r>
      <w:r w:rsidRPr="00311823">
        <w:rPr>
          <w:rFonts w:ascii="Century" w:hAnsi="Century" w:hint="eastAsia"/>
          <w:sz w:val="22"/>
          <w:rtl/>
        </w:rPr>
        <w:t>אתני״</w:t>
      </w:r>
      <w:r w:rsidRPr="00311823">
        <w:rPr>
          <w:rFonts w:ascii="Century" w:hAnsi="Century"/>
          <w:sz w:val="22"/>
          <w:rtl/>
        </w:rPr>
        <w:t xml:space="preserve"> </w:t>
      </w:r>
      <w:r w:rsidRPr="00311823">
        <w:rPr>
          <w:rFonts w:ascii="Century" w:hAnsi="Century" w:hint="eastAsia"/>
          <w:sz w:val="22"/>
          <w:rtl/>
        </w:rPr>
        <w:t>ומבחני</w:t>
      </w:r>
      <w:r w:rsidRPr="00311823">
        <w:rPr>
          <w:rFonts w:ascii="Century" w:hAnsi="Century"/>
          <w:sz w:val="22"/>
          <w:rtl/>
        </w:rPr>
        <w:t xml:space="preserve"> </w:t>
      </w:r>
      <w:r w:rsidRPr="00311823">
        <w:rPr>
          <w:rFonts w:ascii="Century" w:hAnsi="Century" w:hint="eastAsia"/>
          <w:sz w:val="22"/>
          <w:rtl/>
        </w:rPr>
        <w:t>פסקת</w:t>
      </w:r>
      <w:r w:rsidRPr="00311823">
        <w:rPr>
          <w:rFonts w:ascii="Century" w:hAnsi="Century"/>
          <w:sz w:val="22"/>
          <w:rtl/>
        </w:rPr>
        <w:t xml:space="preserve"> </w:t>
      </w:r>
      <w:r w:rsidRPr="00311823">
        <w:rPr>
          <w:rFonts w:ascii="Century" w:hAnsi="Century" w:hint="eastAsia"/>
          <w:sz w:val="22"/>
          <w:rtl/>
        </w:rPr>
        <w:t>ההגבלה</w:t>
      </w:r>
      <w:r w:rsidRPr="00311823">
        <w:rPr>
          <w:rFonts w:ascii="Century" w:hAnsi="Century"/>
          <w:sz w:val="22"/>
          <w:rtl/>
        </w:rPr>
        <w:t xml:space="preserve"> (</w:t>
      </w:r>
      <w:r w:rsidRPr="00311823">
        <w:rPr>
          <w:rFonts w:ascii="Century" w:hAnsi="Century" w:hint="eastAsia"/>
          <w:sz w:val="22"/>
          <w:rtl/>
        </w:rPr>
        <w:t>בעקבות</w:t>
      </w:r>
      <w:r w:rsidRPr="00311823">
        <w:rPr>
          <w:rFonts w:ascii="Century" w:hAnsi="Century"/>
          <w:sz w:val="22"/>
          <w:rtl/>
        </w:rPr>
        <w:t xml:space="preserve"> </w:t>
      </w:r>
      <w:r w:rsidRPr="00311823">
        <w:rPr>
          <w:rFonts w:ascii="Century" w:hAnsi="Century" w:hint="eastAsia"/>
          <w:sz w:val="22"/>
          <w:rtl/>
        </w:rPr>
        <w:t>פסק</w:t>
      </w:r>
      <w:r w:rsidRPr="00311823">
        <w:rPr>
          <w:rFonts w:ascii="Century" w:hAnsi="Century"/>
          <w:sz w:val="22"/>
          <w:rtl/>
        </w:rPr>
        <w:t xml:space="preserve"> </w:t>
      </w:r>
      <w:r w:rsidRPr="00311823">
        <w:rPr>
          <w:rFonts w:ascii="Century" w:hAnsi="Century" w:hint="eastAsia"/>
          <w:sz w:val="22"/>
          <w:rtl/>
        </w:rPr>
        <w:t>דין</w:t>
      </w:r>
      <w:r w:rsidRPr="00311823">
        <w:rPr>
          <w:rFonts w:ascii="Century" w:hAnsi="Century"/>
          <w:sz w:val="22"/>
          <w:rtl/>
        </w:rPr>
        <w:t xml:space="preserve"> </w:t>
      </w:r>
      <w:r w:rsidRPr="00311823">
        <w:rPr>
          <w:rFonts w:ascii="Century" w:hAnsi="Century" w:hint="eastAsia"/>
          <w:sz w:val="22"/>
          <w:rtl/>
        </w:rPr>
        <w:t>חוק</w:t>
      </w:r>
      <w:r w:rsidRPr="00311823">
        <w:rPr>
          <w:rFonts w:ascii="Century" w:hAnsi="Century"/>
          <w:sz w:val="22"/>
          <w:rtl/>
        </w:rPr>
        <w:t xml:space="preserve"> ‏</w:t>
      </w:r>
      <w:r w:rsidRPr="00311823">
        <w:rPr>
          <w:rFonts w:ascii="Century" w:hAnsi="Century" w:hint="eastAsia"/>
          <w:sz w:val="22"/>
          <w:rtl/>
        </w:rPr>
        <w:t>האזרחות</w:t>
      </w:r>
      <w:r w:rsidRPr="00311823">
        <w:rPr>
          <w:rFonts w:ascii="Century" w:hAnsi="Century"/>
          <w:sz w:val="22"/>
          <w:rtl/>
        </w:rPr>
        <w:t xml:space="preserve"> </w:t>
      </w:r>
      <w:r w:rsidRPr="00311823">
        <w:rPr>
          <w:rFonts w:ascii="Century" w:hAnsi="Century" w:hint="eastAsia"/>
          <w:sz w:val="22"/>
          <w:rtl/>
        </w:rPr>
        <w:t>והכניסה</w:t>
      </w:r>
      <w:r w:rsidRPr="00311823">
        <w:rPr>
          <w:rFonts w:ascii="Century" w:hAnsi="Century"/>
          <w:sz w:val="22"/>
          <w:rtl/>
        </w:rPr>
        <w:t xml:space="preserve"> </w:t>
      </w:r>
      <w:r w:rsidRPr="00311823">
        <w:rPr>
          <w:rFonts w:ascii="Century" w:hAnsi="Century" w:hint="eastAsia"/>
          <w:sz w:val="22"/>
          <w:rtl/>
        </w:rPr>
        <w:t>לישראל</w:t>
      </w:r>
      <w:r w:rsidRPr="00311823">
        <w:rPr>
          <w:rFonts w:ascii="Century" w:hAnsi="Century"/>
          <w:sz w:val="22"/>
          <w:rtl/>
        </w:rPr>
        <w:t xml:space="preserve">)‏" </w:t>
      </w:r>
      <w:r w:rsidRPr="00311823">
        <w:rPr>
          <w:rFonts w:ascii="Century" w:hAnsi="Century" w:cs="Miriam" w:hint="cs"/>
          <w:b/>
          <w:spacing w:val="0"/>
          <w:sz w:val="22"/>
          <w:szCs w:val="24"/>
          <w:rtl/>
        </w:rPr>
        <w:t>משפטים</w:t>
      </w:r>
      <w:r w:rsidRPr="00371951">
        <w:rPr>
          <w:rFonts w:ascii="Century" w:hAnsi="Century"/>
          <w:sz w:val="22"/>
          <w:rtl/>
        </w:rPr>
        <w:t xml:space="preserve"> </w:t>
      </w:r>
      <w:r w:rsidRPr="00371951">
        <w:rPr>
          <w:rFonts w:ascii="Century" w:hAnsi="Century" w:hint="eastAsia"/>
          <w:sz w:val="22"/>
          <w:rtl/>
        </w:rPr>
        <w:t>לט</w:t>
      </w:r>
      <w:r w:rsidRPr="00DF4CB6">
        <w:rPr>
          <w:rFonts w:ascii="Century" w:hAnsi="Century"/>
          <w:sz w:val="22"/>
          <w:rtl/>
        </w:rPr>
        <w:t xml:space="preserve"> 47</w:t>
      </w:r>
      <w:r w:rsidRPr="00311823">
        <w:rPr>
          <w:rFonts w:ascii="Century" w:hAnsi="Century" w:hint="cs"/>
          <w:sz w:val="22"/>
          <w:rtl/>
        </w:rPr>
        <w:t>, 107-99 (</w:t>
      </w:r>
      <w:r>
        <w:rPr>
          <w:rFonts w:ascii="Century" w:hAnsi="Century" w:hint="cs"/>
          <w:sz w:val="22"/>
          <w:rtl/>
        </w:rPr>
        <w:t>ה</w:t>
      </w:r>
      <w:r w:rsidRPr="00311823">
        <w:rPr>
          <w:rFonts w:ascii="Century" w:hAnsi="Century" w:hint="cs"/>
          <w:sz w:val="22"/>
          <w:rtl/>
        </w:rPr>
        <w:t>תשס"ט-2009)</w:t>
      </w:r>
      <w:r w:rsidRPr="00D8193D">
        <w:rPr>
          <w:rtl/>
        </w:rPr>
        <w:t>).</w:t>
      </w:r>
      <w:r>
        <w:rPr>
          <w:rFonts w:hint="cs"/>
          <w:rtl/>
        </w:rPr>
        <w:t xml:space="preserve"> </w:t>
      </w:r>
    </w:p>
    <w:p w:rsidR="00D512D4" w:rsidRPr="002871AB" w:rsidRDefault="00D512D4" w:rsidP="0081590B">
      <w:pPr>
        <w:pStyle w:val="Ruller41"/>
        <w:spacing w:line="240" w:lineRule="auto"/>
      </w:pPr>
    </w:p>
    <w:p w:rsidR="00D512D4" w:rsidRPr="00111362" w:rsidRDefault="00D512D4" w:rsidP="00F1197B">
      <w:pPr>
        <w:pStyle w:val="Ruller4"/>
        <w:rPr>
          <w:rtl/>
        </w:rPr>
      </w:pPr>
      <w:r>
        <w:rPr>
          <w:rtl/>
        </w:rPr>
        <w:tab/>
      </w:r>
      <w:r w:rsidRPr="00111362">
        <w:rPr>
          <w:rFonts w:hint="cs"/>
          <w:rtl/>
        </w:rPr>
        <w:t xml:space="preserve">אם כן, השאלה בנדון </w:t>
      </w:r>
      <w:r>
        <w:rPr>
          <w:rFonts w:hint="cs"/>
          <w:rtl/>
        </w:rPr>
        <w:t>דידן</w:t>
      </w:r>
      <w:r w:rsidRPr="00111362">
        <w:rPr>
          <w:rFonts w:hint="cs"/>
          <w:rtl/>
        </w:rPr>
        <w:t>, אי</w:t>
      </w:r>
      <w:r>
        <w:rPr>
          <w:rFonts w:hint="cs"/>
          <w:rtl/>
        </w:rPr>
        <w:t>נ</w:t>
      </w:r>
      <w:r w:rsidRPr="00111362">
        <w:rPr>
          <w:rFonts w:hint="cs"/>
          <w:rtl/>
        </w:rPr>
        <w:t xml:space="preserve">נה האם 'בחינה אינדיבידואלית' היא פוגענית פחות מאשר קביעת 'כלל חסינות גורף'; ברי כי התשובה </w:t>
      </w:r>
      <w:r w:rsidR="00F1197B">
        <w:rPr>
          <w:rFonts w:hint="cs"/>
          <w:rtl/>
        </w:rPr>
        <w:t>ע</w:t>
      </w:r>
      <w:r w:rsidRPr="00111362">
        <w:rPr>
          <w:rFonts w:hint="cs"/>
          <w:rtl/>
        </w:rPr>
        <w:t>ל</w:t>
      </w:r>
      <w:r w:rsidR="00F1197B">
        <w:rPr>
          <w:rFonts w:hint="cs"/>
          <w:rtl/>
        </w:rPr>
        <w:t xml:space="preserve"> </w:t>
      </w:r>
      <w:r w:rsidRPr="00111362">
        <w:rPr>
          <w:rFonts w:hint="cs"/>
          <w:rtl/>
        </w:rPr>
        <w:t xml:space="preserve">שאלה זו </w:t>
      </w:r>
      <w:r w:rsidR="00F1197B">
        <w:rPr>
          <w:rtl/>
        </w:rPr>
        <w:t>–</w:t>
      </w:r>
      <w:r w:rsidR="00F1197B">
        <w:rPr>
          <w:rFonts w:hint="cs"/>
          <w:rtl/>
        </w:rPr>
        <w:t xml:space="preserve"> </w:t>
      </w:r>
      <w:r w:rsidRPr="00111362">
        <w:rPr>
          <w:rFonts w:hint="cs"/>
          <w:rtl/>
        </w:rPr>
        <w:t xml:space="preserve">חיובית. השאלה היא, האם בחינה אינדיבידואלית, שאין חולק כי פגיעתה פחותה, תגשים את תכלית החוק במידה </w:t>
      </w:r>
      <w:r w:rsidRPr="00111362">
        <w:rPr>
          <w:rFonts w:ascii="Century" w:hAnsi="Century" w:cs="Miriam" w:hint="cs"/>
          <w:b/>
          <w:spacing w:val="0"/>
          <w:sz w:val="22"/>
          <w:szCs w:val="24"/>
          <w:rtl/>
        </w:rPr>
        <w:t>שוות</w:t>
      </w:r>
      <w:r>
        <w:rPr>
          <w:rFonts w:ascii="Century" w:hAnsi="Century" w:cs="Miriam" w:hint="cs"/>
          <w:b/>
          <w:spacing w:val="0"/>
          <w:sz w:val="22"/>
          <w:szCs w:val="24"/>
          <w:rtl/>
        </w:rPr>
        <w:t>-</w:t>
      </w:r>
      <w:r w:rsidRPr="00111362">
        <w:rPr>
          <w:rFonts w:ascii="Century" w:hAnsi="Century" w:cs="Miriam" w:hint="cs"/>
          <w:b/>
          <w:spacing w:val="0"/>
          <w:sz w:val="22"/>
          <w:szCs w:val="24"/>
          <w:rtl/>
        </w:rPr>
        <w:t>ערך</w:t>
      </w:r>
      <w:r w:rsidRPr="00111362">
        <w:rPr>
          <w:rFonts w:hint="cs"/>
          <w:rtl/>
        </w:rPr>
        <w:t xml:space="preserve"> </w:t>
      </w:r>
      <w:r>
        <w:rPr>
          <w:rFonts w:hint="cs"/>
          <w:rtl/>
        </w:rPr>
        <w:t xml:space="preserve">לזו שתושג </w:t>
      </w:r>
      <w:r w:rsidRPr="00111362">
        <w:rPr>
          <w:rFonts w:hint="cs"/>
          <w:rtl/>
        </w:rPr>
        <w:t>באמצעות ההסדר שנקבע בסעיף 5ב(א)(1)</w:t>
      </w:r>
      <w:r>
        <w:rPr>
          <w:rFonts w:hint="cs"/>
          <w:rtl/>
        </w:rPr>
        <w:t xml:space="preserve"> לחוק</w:t>
      </w:r>
      <w:r w:rsidRPr="00111362">
        <w:rPr>
          <w:rFonts w:hint="cs"/>
          <w:rtl/>
        </w:rPr>
        <w:t xml:space="preserve">? כאמור, תשובתי לשאלה זו היא בשלילה. את ההסבר לכך אציג מתוך עיון בשתי הפרשות שברקע דיוננו </w:t>
      </w:r>
      <w:r w:rsidRPr="00111362">
        <w:rPr>
          <w:rtl/>
        </w:rPr>
        <w:t>–</w:t>
      </w:r>
      <w:r w:rsidRPr="00111362">
        <w:rPr>
          <w:rFonts w:hint="cs"/>
          <w:rtl/>
        </w:rPr>
        <w:t xml:space="preserve"> פרשת </w:t>
      </w:r>
      <w:r w:rsidRPr="00111362">
        <w:rPr>
          <w:rFonts w:ascii="Century" w:hAnsi="Century" w:cs="Miriam" w:hint="cs"/>
          <w:b/>
          <w:spacing w:val="0"/>
          <w:sz w:val="22"/>
          <w:szCs w:val="24"/>
          <w:rtl/>
        </w:rPr>
        <w:t>עדאלה</w:t>
      </w:r>
      <w:r w:rsidRPr="00111362">
        <w:rPr>
          <w:rFonts w:hint="cs"/>
          <w:rtl/>
        </w:rPr>
        <w:t xml:space="preserve"> ופרשת </w:t>
      </w:r>
      <w:r w:rsidRPr="00111362">
        <w:rPr>
          <w:rFonts w:ascii="Century" w:hAnsi="Century" w:cs="Miriam" w:hint="cs"/>
          <w:b/>
          <w:spacing w:val="0"/>
          <w:sz w:val="22"/>
          <w:szCs w:val="24"/>
          <w:rtl/>
        </w:rPr>
        <w:t>דיראני</w:t>
      </w:r>
      <w:r w:rsidRPr="00111362">
        <w:rPr>
          <w:rFonts w:hint="cs"/>
          <w:rtl/>
        </w:rPr>
        <w:t>. לבסוף, אציג את ההיבטים שלטעמי ממתנים את אופיו הגורף של סעיף 5ב(א)(1)</w:t>
      </w:r>
      <w:r>
        <w:rPr>
          <w:rFonts w:hint="cs"/>
          <w:rtl/>
        </w:rPr>
        <w:t xml:space="preserve"> לחוק</w:t>
      </w:r>
      <w:r w:rsidRPr="00111362">
        <w:rPr>
          <w:rFonts w:hint="cs"/>
          <w:rtl/>
        </w:rPr>
        <w:t xml:space="preserve">. </w:t>
      </w:r>
    </w:p>
    <w:p w:rsidR="00D512D4" w:rsidRDefault="00D512D4" w:rsidP="00D512D4">
      <w:pPr>
        <w:pStyle w:val="Ruller41"/>
        <w:rPr>
          <w:rtl/>
        </w:rPr>
      </w:pPr>
    </w:p>
    <w:p w:rsidR="00D512D4" w:rsidRPr="00306408" w:rsidRDefault="00D512D4" w:rsidP="000067AF">
      <w:pPr>
        <w:pStyle w:val="6"/>
        <w:rPr>
          <w:rtl/>
        </w:rPr>
      </w:pPr>
      <w:bookmarkStart w:id="56" w:name="_Toc107851362"/>
      <w:r w:rsidRPr="00306408">
        <w:rPr>
          <w:rFonts w:hint="cs"/>
          <w:rtl/>
        </w:rPr>
        <w:t xml:space="preserve">גזירה שווה </w:t>
      </w:r>
      <w:r w:rsidRPr="000067AF">
        <w:rPr>
          <w:rFonts w:hint="cs"/>
          <w:szCs w:val="22"/>
          <w:rtl/>
        </w:rPr>
        <w:t>מעניין</w:t>
      </w:r>
      <w:r w:rsidRPr="00306408">
        <w:rPr>
          <w:rFonts w:hint="cs"/>
          <w:rtl/>
        </w:rPr>
        <w:t xml:space="preserve"> עדאלה לענייננו-אנו?</w:t>
      </w:r>
      <w:bookmarkEnd w:id="56"/>
      <w:r w:rsidRPr="00306408">
        <w:rPr>
          <w:rFonts w:hint="cs"/>
          <w:rtl/>
        </w:rPr>
        <w:t xml:space="preserve"> </w:t>
      </w:r>
    </w:p>
    <w:p w:rsidR="00D512D4" w:rsidRDefault="00D512D4" w:rsidP="008F3FC9">
      <w:pPr>
        <w:pStyle w:val="Ruller4"/>
        <w:tabs>
          <w:tab w:val="left" w:pos="3209"/>
        </w:tabs>
        <w:rPr>
          <w:rtl/>
        </w:rPr>
      </w:pPr>
      <w:r w:rsidRPr="00CB4A93">
        <w:rPr>
          <w:rFonts w:ascii="Century" w:hAnsi="Century"/>
          <w:sz w:val="22"/>
          <w:rtl/>
        </w:rPr>
        <w:t xml:space="preserve">המערער סומך </w:t>
      </w:r>
      <w:r w:rsidR="002963BA">
        <w:rPr>
          <w:rFonts w:ascii="Century" w:hAnsi="Century" w:hint="cs"/>
          <w:sz w:val="22"/>
          <w:rtl/>
        </w:rPr>
        <w:t xml:space="preserve">שתי </w:t>
      </w:r>
      <w:r w:rsidRPr="00CB4A93">
        <w:rPr>
          <w:rFonts w:ascii="Century" w:hAnsi="Century"/>
          <w:sz w:val="22"/>
          <w:rtl/>
        </w:rPr>
        <w:t xml:space="preserve">ידיו על קביעותיו של בית משפט זה בעניין </w:t>
      </w:r>
      <w:r w:rsidRPr="00CB4A93">
        <w:rPr>
          <w:rFonts w:ascii="Century" w:hAnsi="Century" w:cs="Miriam"/>
          <w:b/>
          <w:spacing w:val="0"/>
          <w:sz w:val="22"/>
          <w:szCs w:val="24"/>
          <w:rtl/>
        </w:rPr>
        <w:t>עדאלה</w:t>
      </w:r>
      <w:r w:rsidRPr="00CB4A93">
        <w:rPr>
          <w:rFonts w:ascii="Century" w:hAnsi="Century"/>
          <w:sz w:val="22"/>
          <w:rtl/>
        </w:rPr>
        <w:t>, ש</w:t>
      </w:r>
      <w:r>
        <w:rPr>
          <w:rFonts w:ascii="Century" w:hAnsi="Century" w:hint="cs"/>
          <w:sz w:val="22"/>
          <w:rtl/>
        </w:rPr>
        <w:t>בו</w:t>
      </w:r>
      <w:r w:rsidRPr="00CB4A93">
        <w:rPr>
          <w:rFonts w:ascii="Century" w:hAnsi="Century"/>
          <w:sz w:val="22"/>
          <w:rtl/>
        </w:rPr>
        <w:t xml:space="preserve"> </w:t>
      </w:r>
      <w:r>
        <w:rPr>
          <w:rFonts w:ascii="Century" w:hAnsi="Century" w:hint="cs"/>
          <w:sz w:val="22"/>
          <w:rtl/>
        </w:rPr>
        <w:t xml:space="preserve">נפסק, </w:t>
      </w:r>
      <w:r w:rsidRPr="00CB4A93">
        <w:rPr>
          <w:rFonts w:ascii="Century" w:hAnsi="Century"/>
          <w:sz w:val="22"/>
          <w:rtl/>
        </w:rPr>
        <w:t xml:space="preserve">כי קביעת כלל חסינות גורף, אף לגבי מעשים שאינם באים </w:t>
      </w:r>
      <w:r>
        <w:rPr>
          <w:rFonts w:ascii="Century" w:hAnsi="Century" w:hint="cs"/>
          <w:sz w:val="22"/>
          <w:rtl/>
        </w:rPr>
        <w:t>בגדר</w:t>
      </w:r>
      <w:r w:rsidRPr="00CB4A93">
        <w:rPr>
          <w:rFonts w:ascii="Century" w:hAnsi="Century"/>
          <w:sz w:val="22"/>
          <w:rtl/>
        </w:rPr>
        <w:t xml:space="preserve"> 'פעול</w:t>
      </w:r>
      <w:r>
        <w:rPr>
          <w:rFonts w:ascii="Century" w:hAnsi="Century" w:hint="cs"/>
          <w:sz w:val="22"/>
          <w:rtl/>
        </w:rPr>
        <w:t>ה</w:t>
      </w:r>
      <w:r w:rsidRPr="00CB4A93">
        <w:rPr>
          <w:rFonts w:ascii="Century" w:hAnsi="Century"/>
          <w:sz w:val="22"/>
          <w:rtl/>
        </w:rPr>
        <w:t xml:space="preserve"> מלחמתית', אינה מידתית, </w:t>
      </w:r>
      <w:r>
        <w:rPr>
          <w:rFonts w:ascii="Century" w:hAnsi="Century" w:hint="cs"/>
          <w:sz w:val="22"/>
          <w:rtl/>
        </w:rPr>
        <w:t xml:space="preserve">משום שקיים </w:t>
      </w:r>
      <w:r w:rsidRPr="00CB4A93">
        <w:rPr>
          <w:rFonts w:ascii="Century" w:hAnsi="Century"/>
          <w:sz w:val="22"/>
          <w:rtl/>
        </w:rPr>
        <w:t xml:space="preserve">אמצעי פוגעני </w:t>
      </w:r>
      <w:r>
        <w:rPr>
          <w:rFonts w:ascii="Century" w:hAnsi="Century" w:hint="cs"/>
          <w:sz w:val="22"/>
          <w:rtl/>
        </w:rPr>
        <w:t xml:space="preserve">פחות </w:t>
      </w:r>
      <w:r>
        <w:rPr>
          <w:rFonts w:ascii="Century" w:hAnsi="Century"/>
          <w:sz w:val="22"/>
          <w:rtl/>
        </w:rPr>
        <w:t>–</w:t>
      </w:r>
      <w:r>
        <w:rPr>
          <w:rFonts w:ascii="Century" w:hAnsi="Century" w:hint="cs"/>
          <w:sz w:val="22"/>
          <w:rtl/>
        </w:rPr>
        <w:t xml:space="preserve"> </w:t>
      </w:r>
      <w:r w:rsidRPr="00CB4A93">
        <w:rPr>
          <w:rFonts w:ascii="Century" w:hAnsi="Century"/>
          <w:sz w:val="22"/>
          <w:rtl/>
        </w:rPr>
        <w:t>בחינה אינדיבידואלית</w:t>
      </w:r>
      <w:r>
        <w:rPr>
          <w:rFonts w:ascii="Century" w:hAnsi="Century" w:hint="cs"/>
          <w:sz w:val="22"/>
          <w:rtl/>
        </w:rPr>
        <w:t xml:space="preserve"> של נסיבות כל מקרה ומקרה</w:t>
      </w:r>
      <w:r w:rsidRPr="00CB4A93">
        <w:rPr>
          <w:rFonts w:ascii="Century" w:hAnsi="Century"/>
          <w:sz w:val="22"/>
          <w:rtl/>
        </w:rPr>
        <w:t>.</w:t>
      </w:r>
      <w:r>
        <w:rPr>
          <w:rFonts w:ascii="Century" w:hAnsi="Century" w:hint="cs"/>
          <w:sz w:val="22"/>
          <w:rtl/>
        </w:rPr>
        <w:t xml:space="preserve"> האם יש להקיש מעניין </w:t>
      </w:r>
      <w:r w:rsidRPr="00082DD6">
        <w:rPr>
          <w:rFonts w:ascii="Century" w:hAnsi="Century" w:cs="Miriam" w:hint="cs"/>
          <w:b/>
          <w:spacing w:val="0"/>
          <w:sz w:val="22"/>
          <w:szCs w:val="24"/>
          <w:rtl/>
        </w:rPr>
        <w:t>עדאלה</w:t>
      </w:r>
      <w:r w:rsidRPr="00082DD6">
        <w:rPr>
          <w:rFonts w:ascii="Century" w:hAnsi="Century" w:hint="cs"/>
          <w:sz w:val="22"/>
          <w:rtl/>
        </w:rPr>
        <w:t xml:space="preserve"> </w:t>
      </w:r>
      <w:r>
        <w:rPr>
          <w:rFonts w:ascii="Century" w:hAnsi="Century" w:hint="cs"/>
          <w:sz w:val="22"/>
          <w:rtl/>
        </w:rPr>
        <w:t>לענייננו? סבורני שלא.</w:t>
      </w:r>
    </w:p>
    <w:p w:rsidR="00D512D4" w:rsidRPr="00311946" w:rsidRDefault="00D512D4" w:rsidP="00AA1CE0">
      <w:pPr>
        <w:pStyle w:val="Ruller41"/>
        <w:spacing w:line="240" w:lineRule="auto"/>
      </w:pPr>
    </w:p>
    <w:p w:rsidR="00D512D4" w:rsidRDefault="00D512D4" w:rsidP="00C94C06">
      <w:pPr>
        <w:pStyle w:val="Ruller4"/>
        <w:rPr>
          <w:rtl/>
        </w:rPr>
      </w:pPr>
      <w:r>
        <w:rPr>
          <w:rFonts w:hint="cs"/>
          <w:rtl/>
        </w:rPr>
        <w:t>דומה כי ה</w:t>
      </w:r>
      <w:r w:rsidR="00C94C06">
        <w:rPr>
          <w:rFonts w:hint="cs"/>
          <w:rtl/>
        </w:rPr>
        <w:t>ה</w:t>
      </w:r>
      <w:r>
        <w:rPr>
          <w:rFonts w:hint="cs"/>
          <w:rtl/>
        </w:rPr>
        <w:t xml:space="preserve">בחנה המרכזית בין סעיף החוק מושא הדיון בעניין </w:t>
      </w:r>
      <w:r w:rsidRPr="00402EC9">
        <w:rPr>
          <w:rFonts w:ascii="Century" w:hAnsi="Century" w:cs="Miriam" w:hint="cs"/>
          <w:b/>
          <w:spacing w:val="0"/>
          <w:sz w:val="22"/>
          <w:szCs w:val="24"/>
          <w:rtl/>
        </w:rPr>
        <w:t>עדאלה</w:t>
      </w:r>
      <w:r>
        <w:rPr>
          <w:rFonts w:hint="cs"/>
          <w:rtl/>
        </w:rPr>
        <w:t>,</w:t>
      </w:r>
      <w:r w:rsidRPr="00402EC9">
        <w:rPr>
          <w:rFonts w:hint="cs"/>
          <w:rtl/>
        </w:rPr>
        <w:t xml:space="preserve"> </w:t>
      </w:r>
      <w:r>
        <w:rPr>
          <w:rFonts w:hint="cs"/>
          <w:rtl/>
        </w:rPr>
        <w:t xml:space="preserve">לבין סעיף החוק הנדון בעניין דנן, נוגעת לשוני המהותי שבין אזור הנתון לתפיסה לוחמתית, לבין </w:t>
      </w:r>
      <w:r w:rsidR="002963BA">
        <w:rPr>
          <w:rFonts w:hint="cs"/>
          <w:rtl/>
        </w:rPr>
        <w:t>שטח מדינת אויב, או שטח הנשלט על-</w:t>
      </w:r>
      <w:r>
        <w:rPr>
          <w:rFonts w:hint="cs"/>
          <w:rtl/>
        </w:rPr>
        <w:t xml:space="preserve">ידי אויב, שבו אין למדינה ולצבאה דריסת רגל. פסק הדין בעניין </w:t>
      </w:r>
      <w:r w:rsidRPr="00222224">
        <w:rPr>
          <w:rFonts w:ascii="Century" w:hAnsi="Century" w:cs="Miriam" w:hint="eastAsia"/>
          <w:b/>
          <w:spacing w:val="0"/>
          <w:sz w:val="22"/>
          <w:szCs w:val="24"/>
          <w:rtl/>
        </w:rPr>
        <w:t>עדאלה</w:t>
      </w:r>
      <w:r>
        <w:rPr>
          <w:rFonts w:hint="cs"/>
          <w:rtl/>
        </w:rPr>
        <w:t>,</w:t>
      </w:r>
      <w:r w:rsidRPr="00A75847">
        <w:rPr>
          <w:rFonts w:hint="cs"/>
          <w:rtl/>
        </w:rPr>
        <w:t xml:space="preserve"> </w:t>
      </w:r>
      <w:r>
        <w:rPr>
          <w:rFonts w:hint="cs"/>
          <w:rtl/>
        </w:rPr>
        <w:t xml:space="preserve">ניתן לגבי תביעות של תושבים המתגוררים בשטח הנתון לשליטתה האפקטיבית של ישראל, כאשר נקודת המוצא בהקשר זה היא, כי מעמד התובעים הפוטנציאליים, שגישתם לערכאות תֵחסם, הוא של 'תושבים מוגנים'. כפי שצוין שם: </w:t>
      </w:r>
      <w:r w:rsidRPr="00222224">
        <w:rPr>
          <w:rFonts w:ascii="Century" w:hAnsi="Century" w:cs="Miriam"/>
          <w:b/>
          <w:spacing w:val="0"/>
          <w:sz w:val="22"/>
          <w:szCs w:val="24"/>
          <w:rtl/>
        </w:rPr>
        <w:t>"</w:t>
      </w:r>
      <w:r w:rsidRPr="00222224">
        <w:rPr>
          <w:rFonts w:ascii="Century" w:hAnsi="Century" w:cs="Miriam" w:hint="eastAsia"/>
          <w:b/>
          <w:spacing w:val="0"/>
          <w:sz w:val="22"/>
          <w:szCs w:val="24"/>
          <w:rtl/>
        </w:rPr>
        <w:t>שלילת</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האחריות</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של</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המדינה</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בסעיף</w:t>
      </w:r>
      <w:r w:rsidRPr="00222224">
        <w:rPr>
          <w:rFonts w:ascii="Century" w:hAnsi="Century" w:cs="Miriam"/>
          <w:b/>
          <w:spacing w:val="0"/>
          <w:sz w:val="22"/>
          <w:szCs w:val="24"/>
          <w:rtl/>
        </w:rPr>
        <w:t xml:space="preserve"> 5</w:t>
      </w:r>
      <w:r w:rsidRPr="00222224">
        <w:rPr>
          <w:rFonts w:ascii="Century" w:hAnsi="Century" w:cs="Miriam" w:hint="eastAsia"/>
          <w:b/>
          <w:spacing w:val="0"/>
          <w:sz w:val="22"/>
          <w:szCs w:val="24"/>
          <w:rtl/>
        </w:rPr>
        <w:t>ג</w:t>
      </w:r>
      <w:r w:rsidRPr="00222224">
        <w:rPr>
          <w:rFonts w:ascii="Century" w:hAnsi="Century" w:cs="Miriam"/>
          <w:b/>
          <w:spacing w:val="0"/>
          <w:sz w:val="22"/>
          <w:szCs w:val="24"/>
          <w:rtl/>
        </w:rPr>
        <w:t xml:space="preserve"> [...] </w:t>
      </w:r>
      <w:r w:rsidRPr="00222224">
        <w:rPr>
          <w:rFonts w:ascii="Century" w:hAnsi="Century" w:cs="Miriam" w:hint="eastAsia"/>
          <w:b/>
          <w:spacing w:val="0"/>
          <w:sz w:val="22"/>
          <w:szCs w:val="24"/>
          <w:rtl/>
        </w:rPr>
        <w:t>אינה</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עולה</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בקנה</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אחד</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עם</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חובתה</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של</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ישראל</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כמי</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שמחזיקה</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ביהודה</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שומרון</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וחבל</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עזה</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u w:val="single"/>
          <w:rtl/>
        </w:rPr>
        <w:t>בתפיסה</w:t>
      </w:r>
      <w:r w:rsidRPr="00222224">
        <w:rPr>
          <w:rFonts w:ascii="Century" w:hAnsi="Century" w:cs="Miriam"/>
          <w:b/>
          <w:spacing w:val="0"/>
          <w:sz w:val="22"/>
          <w:szCs w:val="24"/>
          <w:u w:val="single"/>
          <w:rtl/>
        </w:rPr>
        <w:t xml:space="preserve"> </w:t>
      </w:r>
      <w:r w:rsidRPr="00222224">
        <w:rPr>
          <w:rFonts w:ascii="Century" w:hAnsi="Century" w:cs="Miriam" w:hint="eastAsia"/>
          <w:b/>
          <w:spacing w:val="0"/>
          <w:sz w:val="22"/>
          <w:szCs w:val="24"/>
          <w:u w:val="single"/>
          <w:rtl/>
        </w:rPr>
        <w:t>לוחמתית</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תפיסה</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זו</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מטילה</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על</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המדינה</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חובות</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מיוחדות</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על</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פי</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המשפט</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הבינלאומי</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ההומניטרי</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שאינן</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עולות</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בקנה</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אחד</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עם</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שחרור</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גורף</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מכל</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אחריות</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בנזיקין</w:t>
      </w:r>
      <w:r w:rsidRPr="00222224">
        <w:rPr>
          <w:rFonts w:ascii="Century" w:hAnsi="Century" w:cs="Miriam"/>
          <w:b/>
          <w:spacing w:val="0"/>
          <w:sz w:val="22"/>
          <w:szCs w:val="24"/>
          <w:rtl/>
        </w:rPr>
        <w:t>"</w:t>
      </w:r>
      <w:r>
        <w:rPr>
          <w:rFonts w:hint="cs"/>
          <w:rtl/>
        </w:rPr>
        <w:t xml:space="preserve"> (</w:t>
      </w:r>
      <w:r w:rsidRPr="00371951">
        <w:rPr>
          <w:rFonts w:ascii="Century" w:hAnsi="Century" w:cs="Miriam" w:hint="eastAsia"/>
          <w:b/>
          <w:spacing w:val="0"/>
          <w:sz w:val="22"/>
          <w:szCs w:val="24"/>
          <w:rtl/>
        </w:rPr>
        <w:t>שם</w:t>
      </w:r>
      <w:r>
        <w:rPr>
          <w:rFonts w:hint="cs"/>
          <w:rtl/>
        </w:rPr>
        <w:t xml:space="preserve">, פסקה 36). פסק הדין בעניין </w:t>
      </w:r>
      <w:r w:rsidRPr="00222224">
        <w:rPr>
          <w:rFonts w:ascii="Century" w:hAnsi="Century" w:cs="Miriam" w:hint="eastAsia"/>
          <w:b/>
          <w:spacing w:val="0"/>
          <w:sz w:val="22"/>
          <w:szCs w:val="24"/>
          <w:rtl/>
        </w:rPr>
        <w:t>עדאלה</w:t>
      </w:r>
      <w:r w:rsidRPr="00A75847">
        <w:rPr>
          <w:rFonts w:hint="cs"/>
          <w:rtl/>
        </w:rPr>
        <w:t xml:space="preserve"> </w:t>
      </w:r>
      <w:r>
        <w:rPr>
          <w:rFonts w:hint="cs"/>
          <w:rtl/>
        </w:rPr>
        <w:t xml:space="preserve">ניתן חודשים ספורים לאחר ישום תכנית ההתנתקות, בשלב שבו השלכותיה של התכנית לא היו ברורות דיין. כך, למשל, באותו שלב ארגון החמאס עדיין לא השתלט על רצועת עזה, וטרם הוחרף העימות החמוש בין ישראל לרצועה. על רקע זה, מובנים דברי בית המשפט, בהערת אגב, כי </w:t>
      </w:r>
      <w:r w:rsidRPr="00222224">
        <w:rPr>
          <w:rFonts w:ascii="Century" w:hAnsi="Century" w:cs="Miriam"/>
          <w:b/>
          <w:spacing w:val="0"/>
          <w:sz w:val="22"/>
          <w:szCs w:val="24"/>
          <w:rtl/>
        </w:rPr>
        <w:t>"</w:t>
      </w:r>
      <w:r w:rsidRPr="00222224">
        <w:rPr>
          <w:rFonts w:ascii="Century" w:hAnsi="Century" w:cs="Miriam" w:hint="eastAsia"/>
          <w:b/>
          <w:spacing w:val="0"/>
          <w:sz w:val="22"/>
          <w:szCs w:val="24"/>
          <w:rtl/>
        </w:rPr>
        <w:t>כמובן</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איננו</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קובעים</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דבר</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באשר</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למעמד</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המשפטי</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של</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חבל</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עזה</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לאחר</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ההתנתקות</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גם</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אם</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התפיסה</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הלוחמתית</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של</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ישראל</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בו</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נסתיימה</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כטענת</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המדינה</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אין</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צידוק</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לשחרור</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גורף</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מאחריותה</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בנזיקין</w:t>
      </w:r>
      <w:r w:rsidRPr="00222224">
        <w:rPr>
          <w:rFonts w:ascii="Century" w:hAnsi="Century" w:cs="Miriam"/>
          <w:b/>
          <w:spacing w:val="0"/>
          <w:sz w:val="22"/>
          <w:szCs w:val="24"/>
          <w:rtl/>
        </w:rPr>
        <w:t>"</w:t>
      </w:r>
      <w:r>
        <w:rPr>
          <w:rFonts w:hint="cs"/>
          <w:rtl/>
        </w:rPr>
        <w:t xml:space="preserve">. דומה, כי לוּ היתה עומדת לנגד עיני בית המשפט תמונת המצב הנוכחית </w:t>
      </w:r>
      <w:r>
        <w:rPr>
          <w:rtl/>
        </w:rPr>
        <w:t>–</w:t>
      </w:r>
      <w:r>
        <w:rPr>
          <w:rFonts w:hint="cs"/>
          <w:rtl/>
        </w:rPr>
        <w:t xml:space="preserve"> העימות המזוין, ארוך-השנים, בין ישראל לבין רצועת עזה </w:t>
      </w:r>
      <w:r>
        <w:rPr>
          <w:rtl/>
        </w:rPr>
        <w:t>–</w:t>
      </w:r>
      <w:r>
        <w:rPr>
          <w:rFonts w:hint="cs"/>
          <w:rtl/>
        </w:rPr>
        <w:t xml:space="preserve"> היה מגיע אף הוא למסקנה, כי מחמת שינוי מצבה של רצועת עזה לרעה, הרי שיש ליתן יחס שונה לתביעות תושבי עזה, בשונה מתושבי יהודה ושומרון. כידוע, שינוי נסיבות עשוי להצדיק שינוי בדין: </w:t>
      </w:r>
      <w:r w:rsidRPr="00222224">
        <w:rPr>
          <w:rFonts w:ascii="Century" w:hAnsi="Century" w:cs="Miriam"/>
          <w:b/>
          <w:spacing w:val="0"/>
          <w:sz w:val="22"/>
          <w:szCs w:val="24"/>
          <w:rtl/>
        </w:rPr>
        <w:t>"</w:t>
      </w:r>
      <w:r w:rsidRPr="00222224">
        <w:rPr>
          <w:rFonts w:ascii="Century" w:hAnsi="Century" w:cs="Miriam" w:hint="eastAsia"/>
          <w:b/>
          <w:spacing w:val="0"/>
          <w:sz w:val="22"/>
          <w:szCs w:val="24"/>
          <w:rtl/>
        </w:rPr>
        <w:t>המג</w:t>
      </w:r>
      <w:r w:rsidRPr="00222224">
        <w:rPr>
          <w:rFonts w:ascii="Century" w:hAnsi="Century" w:cs="Miriam"/>
          <w:b/>
          <w:spacing w:val="0"/>
          <w:sz w:val="22"/>
          <w:szCs w:val="24"/>
          <w:rtl/>
        </w:rPr>
        <w:t>'</w:t>
      </w:r>
      <w:r w:rsidRPr="00222224">
        <w:rPr>
          <w:rFonts w:ascii="Century" w:hAnsi="Century" w:cs="Miriam" w:hint="eastAsia"/>
          <w:b/>
          <w:spacing w:val="0"/>
          <w:sz w:val="22"/>
          <w:szCs w:val="24"/>
          <w:rtl/>
        </w:rPr>
        <w:t>לה</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החכמה</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לימדה</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אותנו</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בסעיף</w:t>
      </w:r>
      <w:r w:rsidRPr="00222224">
        <w:rPr>
          <w:rFonts w:ascii="Century" w:hAnsi="Century" w:cs="Miriam"/>
          <w:b/>
          <w:spacing w:val="0"/>
          <w:sz w:val="22"/>
          <w:szCs w:val="24"/>
          <w:rtl/>
        </w:rPr>
        <w:t xml:space="preserve"> 39 </w:t>
      </w:r>
      <w:r w:rsidRPr="00222224">
        <w:rPr>
          <w:rFonts w:ascii="Century" w:hAnsi="Century" w:cs="Miriam" w:hint="eastAsia"/>
          <w:b/>
          <w:spacing w:val="0"/>
          <w:sz w:val="22"/>
          <w:szCs w:val="24"/>
          <w:rtl/>
        </w:rPr>
        <w:t>בה</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כך</w:t>
      </w:r>
      <w:r w:rsidRPr="00222224">
        <w:rPr>
          <w:rFonts w:ascii="Century" w:hAnsi="Century" w:cs="Miriam"/>
          <w:b/>
          <w:spacing w:val="0"/>
          <w:sz w:val="22"/>
          <w:szCs w:val="24"/>
          <w:rtl/>
        </w:rPr>
        <w:t xml:space="preserve">: </w:t>
      </w:r>
      <w:r>
        <w:rPr>
          <w:rFonts w:ascii="Century" w:hAnsi="Century" w:cs="Miriam" w:hint="cs"/>
          <w:b/>
          <w:spacing w:val="0"/>
          <w:sz w:val="22"/>
          <w:szCs w:val="24"/>
          <w:rtl/>
        </w:rPr>
        <w:t>'</w:t>
      </w:r>
      <w:r w:rsidRPr="00222224">
        <w:rPr>
          <w:rFonts w:ascii="Century" w:hAnsi="Century" w:cs="Miriam" w:hint="eastAsia"/>
          <w:b/>
          <w:spacing w:val="0"/>
          <w:sz w:val="22"/>
          <w:szCs w:val="24"/>
          <w:rtl/>
        </w:rPr>
        <w:t>אין</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לכחד</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שעם</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שינוי</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העיתים</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משתנים</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אף</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הדינים</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עימהם</w:t>
      </w:r>
      <w:r>
        <w:rPr>
          <w:rFonts w:ascii="Century" w:hAnsi="Century" w:cs="Miriam" w:hint="cs"/>
          <w:b/>
          <w:spacing w:val="0"/>
          <w:sz w:val="22"/>
          <w:szCs w:val="24"/>
          <w:rtl/>
        </w:rPr>
        <w:t>'</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וכך</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אירע</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בענייננו</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העיתות</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נשתנו</w:t>
      </w:r>
      <w:r w:rsidRPr="00222224">
        <w:rPr>
          <w:rFonts w:ascii="Century" w:hAnsi="Century" w:cs="Miriam"/>
          <w:b/>
          <w:spacing w:val="0"/>
          <w:sz w:val="22"/>
          <w:szCs w:val="24"/>
          <w:rtl/>
        </w:rPr>
        <w:t xml:space="preserve"> </w:t>
      </w:r>
      <w:r w:rsidRPr="00D26974">
        <w:rPr>
          <w:rFonts w:ascii="Century" w:hAnsi="Century"/>
          <w:sz w:val="22"/>
          <w:rtl/>
        </w:rPr>
        <w:t>–</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ובאורח</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עמוק</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נשתנו</w:t>
      </w:r>
      <w:r w:rsidRPr="00222224">
        <w:rPr>
          <w:rFonts w:ascii="Century" w:hAnsi="Century" w:cs="Miriam"/>
          <w:b/>
          <w:spacing w:val="0"/>
          <w:sz w:val="22"/>
          <w:szCs w:val="24"/>
          <w:rtl/>
        </w:rPr>
        <w:t xml:space="preserve"> </w:t>
      </w:r>
      <w:r w:rsidRPr="00371951">
        <w:rPr>
          <w:rFonts w:ascii="Century" w:hAnsi="Century"/>
          <w:sz w:val="22"/>
          <w:rtl/>
        </w:rPr>
        <w:t>–</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ועל</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כן</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הוחלט</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על</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שינוי</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המדיניות</w:t>
      </w:r>
      <w:r w:rsidRPr="00222224">
        <w:rPr>
          <w:rFonts w:ascii="Century" w:hAnsi="Century" w:cs="Miriam"/>
          <w:b/>
          <w:spacing w:val="0"/>
          <w:sz w:val="22"/>
          <w:szCs w:val="24"/>
          <w:rtl/>
        </w:rPr>
        <w:t>"</w:t>
      </w:r>
      <w:r w:rsidRPr="00AF518D">
        <w:rPr>
          <w:rFonts w:hint="cs"/>
          <w:rtl/>
        </w:rPr>
        <w:t xml:space="preserve"> </w:t>
      </w:r>
      <w:r>
        <w:rPr>
          <w:rFonts w:hint="cs"/>
          <w:rtl/>
        </w:rPr>
        <w:t>(</w:t>
      </w:r>
      <w:r w:rsidRPr="00222224">
        <w:rPr>
          <w:rFonts w:ascii="Century" w:hAnsi="Century" w:cs="Miriam" w:hint="eastAsia"/>
          <w:b/>
          <w:spacing w:val="0"/>
          <w:sz w:val="22"/>
          <w:szCs w:val="24"/>
          <w:rtl/>
        </w:rPr>
        <w:t>איחוד</w:t>
      </w:r>
      <w:r w:rsidRPr="00222224">
        <w:rPr>
          <w:rFonts w:ascii="Century" w:hAnsi="Century" w:cs="Miriam"/>
          <w:b/>
          <w:spacing w:val="0"/>
          <w:sz w:val="22"/>
          <w:szCs w:val="24"/>
          <w:rtl/>
        </w:rPr>
        <w:t xml:space="preserve"> </w:t>
      </w:r>
      <w:r w:rsidRPr="00222224">
        <w:rPr>
          <w:rFonts w:ascii="Century" w:hAnsi="Century" w:cs="Miriam" w:hint="eastAsia"/>
          <w:b/>
          <w:spacing w:val="0"/>
          <w:sz w:val="22"/>
          <w:szCs w:val="24"/>
          <w:rtl/>
        </w:rPr>
        <w:t>משפחות</w:t>
      </w:r>
      <w:r>
        <w:rPr>
          <w:rFonts w:hint="cs"/>
          <w:rtl/>
        </w:rPr>
        <w:t xml:space="preserve">, פסקה 69 לפסק הדין של המשנה לנשיא </w:t>
      </w:r>
      <w:r w:rsidRPr="00222224">
        <w:rPr>
          <w:rFonts w:ascii="Century" w:hAnsi="Century" w:cs="Miriam" w:hint="eastAsia"/>
          <w:b/>
          <w:spacing w:val="0"/>
          <w:sz w:val="22"/>
          <w:szCs w:val="24"/>
          <w:rtl/>
        </w:rPr>
        <w:t>חשין</w:t>
      </w:r>
      <w:r>
        <w:rPr>
          <w:rFonts w:hint="cs"/>
          <w:rtl/>
        </w:rPr>
        <w:t xml:space="preserve">).  </w:t>
      </w:r>
    </w:p>
    <w:p w:rsidR="00D512D4" w:rsidRPr="00D8053C" w:rsidRDefault="00D512D4" w:rsidP="00AA1CE0">
      <w:pPr>
        <w:pStyle w:val="Ruller41"/>
        <w:spacing w:line="240" w:lineRule="auto"/>
        <w:rPr>
          <w:rtl/>
        </w:rPr>
      </w:pPr>
    </w:p>
    <w:p w:rsidR="00D512D4" w:rsidRDefault="00D512D4" w:rsidP="00FC5C00">
      <w:pPr>
        <w:pStyle w:val="Ruller4"/>
        <w:rPr>
          <w:rtl/>
        </w:rPr>
      </w:pPr>
      <w:r>
        <w:rPr>
          <w:rFonts w:hint="cs"/>
          <w:rtl/>
        </w:rPr>
        <w:t>כך או כך, לגישתי, הפסקת התפיסה הלוחמתית ברצועת עזה, מזה למעלה מ-16 שנים, כשלעצמה, מצדיקה איזון שונה מזה שנע</w:t>
      </w:r>
      <w:r w:rsidR="00FC5C00">
        <w:rPr>
          <w:rFonts w:hint="cs"/>
          <w:rtl/>
        </w:rPr>
        <w:t>שה</w:t>
      </w:r>
      <w:r>
        <w:rPr>
          <w:rFonts w:hint="cs"/>
          <w:rtl/>
        </w:rPr>
        <w:t xml:space="preserve"> בעניין </w:t>
      </w:r>
      <w:r w:rsidRPr="00D8053C">
        <w:rPr>
          <w:rFonts w:ascii="Century" w:hAnsi="Century" w:cs="Miriam" w:hint="cs"/>
          <w:b/>
          <w:spacing w:val="0"/>
          <w:sz w:val="22"/>
          <w:szCs w:val="24"/>
          <w:rtl/>
        </w:rPr>
        <w:t>עדאלה</w:t>
      </w:r>
      <w:r>
        <w:rPr>
          <w:rFonts w:hint="cs"/>
          <w:rtl/>
        </w:rPr>
        <w:t xml:space="preserve">. בשונה מן המתרחש בעזה, התפיסה הלוחמתית שעודה שרירה וקיימת ביחס לאזור יהודה ושומרון, משמעה חיכוך יום יומי של כוחות הביטחון עם תושבי האזור בכל מישורי החיים, לא רק במישור הביטחוני. כפי שתואר בעניין </w:t>
      </w:r>
      <w:r w:rsidRPr="00967633">
        <w:rPr>
          <w:rFonts w:ascii="Century" w:hAnsi="Century" w:cs="Miriam" w:hint="cs"/>
          <w:b/>
          <w:spacing w:val="0"/>
          <w:sz w:val="22"/>
          <w:szCs w:val="24"/>
          <w:rtl/>
        </w:rPr>
        <w:t>עדאלה</w:t>
      </w:r>
      <w:r>
        <w:rPr>
          <w:rFonts w:hint="cs"/>
          <w:rtl/>
        </w:rPr>
        <w:t>:</w:t>
      </w:r>
    </w:p>
    <w:p w:rsidR="00D512D4" w:rsidRPr="00463105" w:rsidRDefault="00D512D4" w:rsidP="00D512D4">
      <w:pPr>
        <w:pStyle w:val="Ruller41"/>
        <w:rPr>
          <w:rtl/>
        </w:rPr>
      </w:pPr>
    </w:p>
    <w:p w:rsidR="00D512D4" w:rsidRPr="00371951" w:rsidRDefault="00D512D4" w:rsidP="00C60BD6">
      <w:pPr>
        <w:pStyle w:val="Ruller5"/>
        <w:spacing w:line="360" w:lineRule="auto"/>
        <w:rPr>
          <w:rFonts w:ascii="Century" w:hAnsi="Century"/>
          <w:rtl/>
        </w:rPr>
      </w:pPr>
      <w:r>
        <w:rPr>
          <w:rFonts w:ascii="Century" w:hAnsi="Century" w:cs="Miriam" w:hint="cs"/>
          <w:b/>
          <w:spacing w:val="0"/>
          <w:szCs w:val="24"/>
          <w:rtl/>
        </w:rPr>
        <w:t>"</w:t>
      </w:r>
      <w:r w:rsidRPr="00EC3DAF">
        <w:rPr>
          <w:rFonts w:ascii="Century" w:hAnsi="Century" w:cs="Miriam" w:hint="eastAsia"/>
          <w:b/>
          <w:spacing w:val="0"/>
          <w:szCs w:val="24"/>
          <w:rtl/>
        </w:rPr>
        <w:t>עלינו</w:t>
      </w:r>
      <w:r w:rsidRPr="00EC3DAF">
        <w:rPr>
          <w:rFonts w:ascii="Century" w:hAnsi="Century" w:cs="Miriam"/>
          <w:b/>
          <w:spacing w:val="0"/>
          <w:szCs w:val="24"/>
          <w:rtl/>
        </w:rPr>
        <w:t xml:space="preserve"> </w:t>
      </w:r>
      <w:r w:rsidRPr="00EC3DAF">
        <w:rPr>
          <w:rFonts w:ascii="Century" w:hAnsi="Century" w:cs="Miriam" w:hint="eastAsia"/>
          <w:b/>
          <w:spacing w:val="0"/>
          <w:szCs w:val="24"/>
          <w:rtl/>
        </w:rPr>
        <w:t>לזכור</w:t>
      </w:r>
      <w:r w:rsidRPr="00EC3DAF">
        <w:rPr>
          <w:rFonts w:ascii="Century" w:hAnsi="Century" w:cs="Miriam"/>
          <w:b/>
          <w:spacing w:val="0"/>
          <w:szCs w:val="24"/>
          <w:rtl/>
        </w:rPr>
        <w:t xml:space="preserve"> </w:t>
      </w:r>
      <w:r w:rsidRPr="00EC3DAF">
        <w:rPr>
          <w:rFonts w:ascii="Century" w:hAnsi="Century" w:cs="Miriam" w:hint="eastAsia"/>
          <w:b/>
          <w:spacing w:val="0"/>
          <w:szCs w:val="24"/>
          <w:rtl/>
        </w:rPr>
        <w:t>כי</w:t>
      </w:r>
      <w:r w:rsidRPr="00EC3DAF">
        <w:rPr>
          <w:rFonts w:ascii="Century" w:hAnsi="Century" w:cs="Miriam"/>
          <w:b/>
          <w:spacing w:val="0"/>
          <w:szCs w:val="24"/>
          <w:rtl/>
        </w:rPr>
        <w:t xml:space="preserve"> </w:t>
      </w:r>
      <w:r w:rsidRPr="00EC3DAF">
        <w:rPr>
          <w:rFonts w:ascii="Century" w:hAnsi="Century" w:cs="Miriam" w:hint="eastAsia"/>
          <w:b/>
          <w:spacing w:val="0"/>
          <w:szCs w:val="24"/>
          <w:rtl/>
        </w:rPr>
        <w:t>שטחי</w:t>
      </w:r>
      <w:r w:rsidRPr="00EC3DAF">
        <w:rPr>
          <w:rFonts w:ascii="Century" w:hAnsi="Century" w:cs="Miriam"/>
          <w:b/>
          <w:spacing w:val="0"/>
          <w:szCs w:val="24"/>
          <w:rtl/>
        </w:rPr>
        <w:t xml:space="preserve"> </w:t>
      </w:r>
      <w:r w:rsidRPr="00EC3DAF">
        <w:rPr>
          <w:rFonts w:ascii="Century" w:hAnsi="Century" w:cs="Miriam" w:hint="eastAsia"/>
          <w:b/>
          <w:spacing w:val="0"/>
          <w:szCs w:val="24"/>
          <w:rtl/>
        </w:rPr>
        <w:t>יהודה</w:t>
      </w:r>
      <w:r w:rsidRPr="00EC3DAF">
        <w:rPr>
          <w:rFonts w:ascii="Century" w:hAnsi="Century" w:cs="Miriam"/>
          <w:b/>
          <w:spacing w:val="0"/>
          <w:szCs w:val="24"/>
          <w:rtl/>
        </w:rPr>
        <w:t xml:space="preserve"> </w:t>
      </w:r>
      <w:r w:rsidRPr="00EC3DAF">
        <w:rPr>
          <w:rFonts w:ascii="Century" w:hAnsi="Century" w:cs="Miriam" w:hint="eastAsia"/>
          <w:b/>
          <w:spacing w:val="0"/>
          <w:szCs w:val="24"/>
          <w:rtl/>
        </w:rPr>
        <w:t>והשומרון</w:t>
      </w:r>
      <w:r w:rsidRPr="00EC3DAF">
        <w:rPr>
          <w:rFonts w:ascii="Century" w:hAnsi="Century" w:cs="Miriam"/>
          <w:b/>
          <w:spacing w:val="0"/>
          <w:szCs w:val="24"/>
          <w:rtl/>
        </w:rPr>
        <w:t xml:space="preserve">, </w:t>
      </w:r>
      <w:r w:rsidRPr="00EC3DAF">
        <w:rPr>
          <w:rFonts w:ascii="Century" w:hAnsi="Century" w:cs="Miriam" w:hint="eastAsia"/>
          <w:b/>
          <w:spacing w:val="0"/>
          <w:szCs w:val="24"/>
          <w:rtl/>
        </w:rPr>
        <w:t>ועד</w:t>
      </w:r>
      <w:r w:rsidRPr="00EC3DAF">
        <w:rPr>
          <w:rFonts w:ascii="Century" w:hAnsi="Century" w:cs="Miriam"/>
          <w:b/>
          <w:spacing w:val="0"/>
          <w:szCs w:val="24"/>
          <w:rtl/>
        </w:rPr>
        <w:t xml:space="preserve"> </w:t>
      </w:r>
      <w:r w:rsidRPr="00EC3DAF">
        <w:rPr>
          <w:rFonts w:ascii="Century" w:hAnsi="Century" w:cs="Miriam" w:hint="eastAsia"/>
          <w:b/>
          <w:spacing w:val="0"/>
          <w:szCs w:val="24"/>
          <w:rtl/>
        </w:rPr>
        <w:t>לחודש</w:t>
      </w:r>
      <w:r w:rsidRPr="00EC3DAF">
        <w:rPr>
          <w:rFonts w:ascii="Century" w:hAnsi="Century" w:cs="Miriam"/>
          <w:b/>
          <w:spacing w:val="0"/>
          <w:szCs w:val="24"/>
          <w:rtl/>
        </w:rPr>
        <w:t xml:space="preserve"> </w:t>
      </w:r>
      <w:r w:rsidRPr="00EC3DAF">
        <w:rPr>
          <w:rFonts w:ascii="Century" w:hAnsi="Century" w:cs="Miriam" w:hint="eastAsia"/>
          <w:b/>
          <w:spacing w:val="0"/>
          <w:szCs w:val="24"/>
          <w:rtl/>
        </w:rPr>
        <w:t>אוגוסט</w:t>
      </w:r>
      <w:r w:rsidRPr="00EC3DAF">
        <w:rPr>
          <w:rFonts w:ascii="Century" w:hAnsi="Century" w:cs="Miriam"/>
          <w:b/>
          <w:spacing w:val="0"/>
          <w:szCs w:val="24"/>
          <w:rtl/>
        </w:rPr>
        <w:t xml:space="preserve"> 2005 </w:t>
      </w:r>
      <w:r w:rsidRPr="00EC3DAF">
        <w:rPr>
          <w:rFonts w:ascii="Century" w:hAnsi="Century" w:cs="Miriam" w:hint="eastAsia"/>
          <w:b/>
          <w:spacing w:val="0"/>
          <w:szCs w:val="24"/>
          <w:rtl/>
        </w:rPr>
        <w:t>גם</w:t>
      </w:r>
      <w:r w:rsidRPr="00EC3DAF">
        <w:rPr>
          <w:rFonts w:ascii="Century" w:hAnsi="Century" w:cs="Miriam"/>
          <w:b/>
          <w:spacing w:val="0"/>
          <w:szCs w:val="24"/>
          <w:rtl/>
        </w:rPr>
        <w:t xml:space="preserve"> </w:t>
      </w:r>
      <w:r w:rsidRPr="00EC3DAF">
        <w:rPr>
          <w:rFonts w:ascii="Century" w:hAnsi="Century" w:cs="Miriam" w:hint="eastAsia"/>
          <w:b/>
          <w:spacing w:val="0"/>
          <w:szCs w:val="24"/>
          <w:rtl/>
        </w:rPr>
        <w:t>שטחי</w:t>
      </w:r>
      <w:r w:rsidRPr="00EC3DAF">
        <w:rPr>
          <w:rFonts w:ascii="Century" w:hAnsi="Century" w:cs="Miriam"/>
          <w:b/>
          <w:spacing w:val="0"/>
          <w:szCs w:val="24"/>
          <w:rtl/>
        </w:rPr>
        <w:t xml:space="preserve"> </w:t>
      </w:r>
      <w:r w:rsidRPr="00EC3DAF">
        <w:rPr>
          <w:rFonts w:ascii="Century" w:hAnsi="Century" w:cs="Miriam" w:hint="eastAsia"/>
          <w:b/>
          <w:spacing w:val="0"/>
          <w:szCs w:val="24"/>
          <w:rtl/>
        </w:rPr>
        <w:t>רצועת</w:t>
      </w:r>
      <w:r w:rsidRPr="00EC3DAF">
        <w:rPr>
          <w:rFonts w:ascii="Century" w:hAnsi="Century" w:cs="Miriam"/>
          <w:b/>
          <w:spacing w:val="0"/>
          <w:szCs w:val="24"/>
          <w:rtl/>
        </w:rPr>
        <w:t xml:space="preserve"> </w:t>
      </w:r>
      <w:r w:rsidRPr="00EC3DAF">
        <w:rPr>
          <w:rFonts w:ascii="Century" w:hAnsi="Century" w:cs="Miriam" w:hint="eastAsia"/>
          <w:b/>
          <w:spacing w:val="0"/>
          <w:szCs w:val="24"/>
          <w:rtl/>
        </w:rPr>
        <w:t>עזה</w:t>
      </w:r>
      <w:r w:rsidRPr="00EC3DAF">
        <w:rPr>
          <w:rFonts w:ascii="Century" w:hAnsi="Century" w:cs="Miriam"/>
          <w:b/>
          <w:spacing w:val="0"/>
          <w:szCs w:val="24"/>
          <w:rtl/>
        </w:rPr>
        <w:t xml:space="preserve">, </w:t>
      </w:r>
      <w:r w:rsidRPr="00EC3DAF">
        <w:rPr>
          <w:rFonts w:ascii="Century" w:hAnsi="Century" w:cs="Miriam" w:hint="eastAsia"/>
          <w:b/>
          <w:spacing w:val="0"/>
          <w:szCs w:val="24"/>
          <w:rtl/>
        </w:rPr>
        <w:t>נתונים</w:t>
      </w:r>
      <w:r w:rsidRPr="00EC3DAF">
        <w:rPr>
          <w:rFonts w:ascii="Century" w:hAnsi="Century" w:cs="Miriam"/>
          <w:b/>
          <w:spacing w:val="0"/>
          <w:szCs w:val="24"/>
          <w:rtl/>
        </w:rPr>
        <w:t xml:space="preserve"> </w:t>
      </w:r>
      <w:r w:rsidRPr="00EC3DAF">
        <w:rPr>
          <w:rFonts w:ascii="Century" w:hAnsi="Century" w:cs="Miriam" w:hint="eastAsia"/>
          <w:b/>
          <w:spacing w:val="0"/>
          <w:szCs w:val="24"/>
          <w:rtl/>
        </w:rPr>
        <w:t>תחת</w:t>
      </w:r>
      <w:r w:rsidRPr="00EC3DAF">
        <w:rPr>
          <w:rFonts w:ascii="Century" w:hAnsi="Century" w:cs="Miriam"/>
          <w:b/>
          <w:spacing w:val="0"/>
          <w:szCs w:val="24"/>
          <w:rtl/>
        </w:rPr>
        <w:t xml:space="preserve"> </w:t>
      </w:r>
      <w:r w:rsidRPr="00EC3DAF">
        <w:rPr>
          <w:rFonts w:ascii="Century" w:hAnsi="Century" w:cs="Miriam" w:hint="eastAsia"/>
          <w:b/>
          <w:spacing w:val="0"/>
          <w:szCs w:val="24"/>
          <w:rtl/>
        </w:rPr>
        <w:t>תפיסה</w:t>
      </w:r>
      <w:r w:rsidRPr="00EC3DAF">
        <w:rPr>
          <w:rFonts w:ascii="Century" w:hAnsi="Century" w:cs="Miriam"/>
          <w:b/>
          <w:spacing w:val="0"/>
          <w:szCs w:val="24"/>
          <w:rtl/>
        </w:rPr>
        <w:t xml:space="preserve"> </w:t>
      </w:r>
      <w:r w:rsidRPr="00EC3DAF">
        <w:rPr>
          <w:rFonts w:ascii="Century" w:hAnsi="Century" w:cs="Miriam" w:hint="eastAsia"/>
          <w:b/>
          <w:spacing w:val="0"/>
          <w:szCs w:val="24"/>
          <w:rtl/>
        </w:rPr>
        <w:t>לוחמתית</w:t>
      </w:r>
      <w:r w:rsidRPr="00EC3DAF">
        <w:rPr>
          <w:rFonts w:ascii="Century" w:hAnsi="Century" w:cs="Miriam"/>
          <w:b/>
          <w:spacing w:val="0"/>
          <w:szCs w:val="24"/>
          <w:rtl/>
        </w:rPr>
        <w:t xml:space="preserve"> </w:t>
      </w:r>
      <w:r w:rsidRPr="00EC3DAF">
        <w:rPr>
          <w:rFonts w:ascii="Century" w:hAnsi="Century" w:cs="Miriam" w:hint="eastAsia"/>
          <w:b/>
          <w:spacing w:val="0"/>
          <w:szCs w:val="24"/>
          <w:rtl/>
        </w:rPr>
        <w:t>מזה</w:t>
      </w:r>
      <w:r w:rsidRPr="00EC3DAF">
        <w:rPr>
          <w:rFonts w:ascii="Century" w:hAnsi="Century" w:cs="Miriam"/>
          <w:b/>
          <w:spacing w:val="0"/>
          <w:szCs w:val="24"/>
          <w:rtl/>
        </w:rPr>
        <w:t xml:space="preserve"> </w:t>
      </w:r>
      <w:r w:rsidRPr="00EC3DAF">
        <w:rPr>
          <w:rFonts w:ascii="Century" w:hAnsi="Century" w:cs="Miriam" w:hint="eastAsia"/>
          <w:b/>
          <w:spacing w:val="0"/>
          <w:szCs w:val="24"/>
          <w:rtl/>
        </w:rPr>
        <w:t>קרוב</w:t>
      </w:r>
      <w:r w:rsidRPr="00EC3DAF">
        <w:rPr>
          <w:rFonts w:ascii="Century" w:hAnsi="Century" w:cs="Miriam"/>
          <w:b/>
          <w:spacing w:val="0"/>
          <w:szCs w:val="24"/>
          <w:rtl/>
        </w:rPr>
        <w:t xml:space="preserve"> </w:t>
      </w:r>
      <w:r w:rsidRPr="00EC3DAF">
        <w:rPr>
          <w:rFonts w:ascii="Century" w:hAnsi="Century" w:cs="Miriam" w:hint="eastAsia"/>
          <w:b/>
          <w:spacing w:val="0"/>
          <w:szCs w:val="24"/>
          <w:rtl/>
        </w:rPr>
        <w:t>לארבעים</w:t>
      </w:r>
      <w:r w:rsidRPr="00EC3DAF">
        <w:rPr>
          <w:rFonts w:ascii="Century" w:hAnsi="Century" w:cs="Miriam"/>
          <w:b/>
          <w:spacing w:val="0"/>
          <w:szCs w:val="24"/>
          <w:rtl/>
        </w:rPr>
        <w:t xml:space="preserve"> </w:t>
      </w:r>
      <w:r w:rsidRPr="00EC3DAF">
        <w:rPr>
          <w:rFonts w:ascii="Century" w:hAnsi="Century" w:cs="Miriam" w:hint="eastAsia"/>
          <w:b/>
          <w:spacing w:val="0"/>
          <w:szCs w:val="24"/>
          <w:rtl/>
        </w:rPr>
        <w:t>שנה</w:t>
      </w:r>
      <w:r w:rsidRPr="00EC3DAF">
        <w:rPr>
          <w:rFonts w:ascii="Century" w:hAnsi="Century" w:cs="Miriam"/>
          <w:b/>
          <w:spacing w:val="0"/>
          <w:szCs w:val="24"/>
          <w:rtl/>
        </w:rPr>
        <w:t xml:space="preserve">. </w:t>
      </w:r>
      <w:r w:rsidRPr="00EC3DAF">
        <w:rPr>
          <w:rFonts w:ascii="Century" w:hAnsi="Century" w:cs="Miriam" w:hint="eastAsia"/>
          <w:b/>
          <w:spacing w:val="0"/>
          <w:szCs w:val="24"/>
          <w:rtl/>
        </w:rPr>
        <w:t>במסגרת</w:t>
      </w:r>
      <w:r w:rsidRPr="00EC3DAF">
        <w:rPr>
          <w:rFonts w:ascii="Century" w:hAnsi="Century" w:cs="Miriam"/>
          <w:b/>
          <w:spacing w:val="0"/>
          <w:szCs w:val="24"/>
          <w:rtl/>
        </w:rPr>
        <w:t xml:space="preserve"> </w:t>
      </w:r>
      <w:r w:rsidRPr="00EC3DAF">
        <w:rPr>
          <w:rFonts w:ascii="Century" w:hAnsi="Century" w:cs="Miriam" w:hint="eastAsia"/>
          <w:b/>
          <w:spacing w:val="0"/>
          <w:szCs w:val="24"/>
          <w:rtl/>
        </w:rPr>
        <w:t>זו</w:t>
      </w:r>
      <w:r w:rsidRPr="00EC3DAF">
        <w:rPr>
          <w:rFonts w:ascii="Century" w:hAnsi="Century" w:cs="Miriam"/>
          <w:b/>
          <w:spacing w:val="0"/>
          <w:szCs w:val="24"/>
          <w:rtl/>
        </w:rPr>
        <w:t xml:space="preserve">, </w:t>
      </w:r>
      <w:r w:rsidRPr="00EC3DAF">
        <w:rPr>
          <w:rFonts w:ascii="Century" w:hAnsi="Century" w:cs="Miriam" w:hint="eastAsia"/>
          <w:b/>
          <w:spacing w:val="0"/>
          <w:szCs w:val="24"/>
          <w:rtl/>
        </w:rPr>
        <w:t>כוחות</w:t>
      </w:r>
      <w:r w:rsidRPr="00EC3DAF">
        <w:rPr>
          <w:rFonts w:ascii="Century" w:hAnsi="Century" w:cs="Miriam"/>
          <w:b/>
          <w:spacing w:val="0"/>
          <w:szCs w:val="24"/>
          <w:rtl/>
        </w:rPr>
        <w:t xml:space="preserve"> </w:t>
      </w:r>
      <w:r w:rsidRPr="00EC3DAF">
        <w:rPr>
          <w:rFonts w:ascii="Century" w:hAnsi="Century" w:cs="Miriam" w:hint="eastAsia"/>
          <w:b/>
          <w:spacing w:val="0"/>
          <w:szCs w:val="24"/>
          <w:rtl/>
        </w:rPr>
        <w:t>הביטחון</w:t>
      </w:r>
      <w:r w:rsidRPr="00EC3DAF">
        <w:rPr>
          <w:rFonts w:ascii="Century" w:hAnsi="Century" w:cs="Miriam"/>
          <w:b/>
          <w:spacing w:val="0"/>
          <w:szCs w:val="24"/>
          <w:rtl/>
        </w:rPr>
        <w:t xml:space="preserve"> </w:t>
      </w:r>
      <w:r w:rsidRPr="00EC3DAF">
        <w:rPr>
          <w:rFonts w:ascii="Century" w:hAnsi="Century" w:cs="Miriam" w:hint="eastAsia"/>
          <w:b/>
          <w:spacing w:val="0"/>
          <w:szCs w:val="24"/>
          <w:rtl/>
        </w:rPr>
        <w:t>הישראליים</w:t>
      </w:r>
      <w:r w:rsidRPr="00EC3DAF">
        <w:rPr>
          <w:rFonts w:ascii="Century" w:hAnsi="Century" w:cs="Miriam"/>
          <w:b/>
          <w:spacing w:val="0"/>
          <w:szCs w:val="24"/>
          <w:rtl/>
        </w:rPr>
        <w:t xml:space="preserve"> </w:t>
      </w:r>
      <w:r w:rsidRPr="00EC3DAF">
        <w:rPr>
          <w:rFonts w:ascii="Century" w:hAnsi="Century" w:cs="Miriam" w:hint="eastAsia"/>
          <w:b/>
          <w:spacing w:val="0"/>
          <w:szCs w:val="24"/>
          <w:rtl/>
        </w:rPr>
        <w:t>שוהים</w:t>
      </w:r>
      <w:r w:rsidRPr="00EC3DAF">
        <w:rPr>
          <w:rFonts w:ascii="Century" w:hAnsi="Century" w:cs="Miriam"/>
          <w:b/>
          <w:spacing w:val="0"/>
          <w:szCs w:val="24"/>
          <w:rtl/>
        </w:rPr>
        <w:t xml:space="preserve"> </w:t>
      </w:r>
      <w:r w:rsidRPr="00EC3DAF">
        <w:rPr>
          <w:rFonts w:ascii="Century" w:hAnsi="Century" w:cs="Miriam" w:hint="eastAsia"/>
          <w:b/>
          <w:spacing w:val="0"/>
          <w:szCs w:val="24"/>
          <w:rtl/>
        </w:rPr>
        <w:t>בתחומי</w:t>
      </w:r>
      <w:r w:rsidRPr="00EC3DAF">
        <w:rPr>
          <w:rFonts w:ascii="Century" w:hAnsi="Century" w:cs="Miriam"/>
          <w:b/>
          <w:spacing w:val="0"/>
          <w:szCs w:val="24"/>
          <w:rtl/>
        </w:rPr>
        <w:t xml:space="preserve"> </w:t>
      </w:r>
      <w:r w:rsidRPr="00EC3DAF">
        <w:rPr>
          <w:rFonts w:ascii="Century" w:hAnsi="Century" w:cs="Miriam" w:hint="eastAsia"/>
          <w:b/>
          <w:spacing w:val="0"/>
          <w:szCs w:val="24"/>
          <w:rtl/>
        </w:rPr>
        <w:t>האזור</w:t>
      </w:r>
      <w:r w:rsidRPr="00EC3DAF">
        <w:rPr>
          <w:rFonts w:ascii="Century" w:hAnsi="Century" w:cs="Miriam"/>
          <w:b/>
          <w:spacing w:val="0"/>
          <w:szCs w:val="24"/>
          <w:rtl/>
        </w:rPr>
        <w:t xml:space="preserve"> </w:t>
      </w:r>
      <w:r w:rsidRPr="00EC3DAF">
        <w:rPr>
          <w:rFonts w:ascii="Century" w:hAnsi="Century" w:cs="Miriam" w:hint="eastAsia"/>
          <w:b/>
          <w:spacing w:val="0"/>
          <w:szCs w:val="24"/>
          <w:rtl/>
        </w:rPr>
        <w:t>באופן</w:t>
      </w:r>
      <w:r w:rsidRPr="00EC3DAF">
        <w:rPr>
          <w:rFonts w:ascii="Century" w:hAnsi="Century" w:cs="Miriam"/>
          <w:b/>
          <w:spacing w:val="0"/>
          <w:szCs w:val="24"/>
          <w:rtl/>
        </w:rPr>
        <w:t xml:space="preserve"> </w:t>
      </w:r>
      <w:r w:rsidRPr="00EC3DAF">
        <w:rPr>
          <w:rFonts w:ascii="Century" w:hAnsi="Century" w:cs="Miriam" w:hint="eastAsia"/>
          <w:b/>
          <w:spacing w:val="0"/>
          <w:szCs w:val="24"/>
          <w:rtl/>
        </w:rPr>
        <w:t>קבוע</w:t>
      </w:r>
      <w:r w:rsidRPr="00EC3DAF">
        <w:rPr>
          <w:rFonts w:ascii="Century" w:hAnsi="Century" w:cs="Miriam"/>
          <w:b/>
          <w:spacing w:val="0"/>
          <w:szCs w:val="24"/>
          <w:rtl/>
        </w:rPr>
        <w:t xml:space="preserve"> </w:t>
      </w:r>
      <w:r w:rsidRPr="00EC3DAF">
        <w:rPr>
          <w:rFonts w:ascii="Century" w:hAnsi="Century" w:cs="Miriam" w:hint="eastAsia"/>
          <w:b/>
          <w:spacing w:val="0"/>
          <w:szCs w:val="24"/>
          <w:rtl/>
        </w:rPr>
        <w:t>ובהיקף</w:t>
      </w:r>
      <w:r w:rsidRPr="00EC3DAF">
        <w:rPr>
          <w:rFonts w:ascii="Century" w:hAnsi="Century" w:cs="Miriam"/>
          <w:b/>
          <w:spacing w:val="0"/>
          <w:szCs w:val="24"/>
          <w:rtl/>
        </w:rPr>
        <w:t xml:space="preserve"> </w:t>
      </w:r>
      <w:r w:rsidRPr="00EC3DAF">
        <w:rPr>
          <w:rFonts w:ascii="Century" w:hAnsi="Century" w:cs="Miriam" w:hint="eastAsia"/>
          <w:b/>
          <w:spacing w:val="0"/>
          <w:szCs w:val="24"/>
          <w:rtl/>
        </w:rPr>
        <w:t>נרחב</w:t>
      </w:r>
      <w:r w:rsidRPr="00EC3DAF">
        <w:rPr>
          <w:rFonts w:ascii="Century" w:hAnsi="Century" w:cs="Miriam"/>
          <w:b/>
          <w:spacing w:val="0"/>
          <w:szCs w:val="24"/>
          <w:rtl/>
        </w:rPr>
        <w:t xml:space="preserve">. </w:t>
      </w:r>
      <w:r w:rsidRPr="00EC3DAF">
        <w:rPr>
          <w:rFonts w:ascii="Century" w:hAnsi="Century" w:cs="Miriam" w:hint="eastAsia"/>
          <w:b/>
          <w:spacing w:val="0"/>
          <w:szCs w:val="24"/>
          <w:rtl/>
        </w:rPr>
        <w:t>תושבי</w:t>
      </w:r>
      <w:r w:rsidRPr="00EC3DAF">
        <w:rPr>
          <w:rFonts w:ascii="Century" w:hAnsi="Century" w:cs="Miriam"/>
          <w:b/>
          <w:spacing w:val="0"/>
          <w:szCs w:val="24"/>
          <w:rtl/>
        </w:rPr>
        <w:t xml:space="preserve"> </w:t>
      </w:r>
      <w:r w:rsidRPr="00EC3DAF">
        <w:rPr>
          <w:rFonts w:ascii="Century" w:hAnsi="Century" w:cs="Miriam" w:hint="eastAsia"/>
          <w:b/>
          <w:spacing w:val="0"/>
          <w:szCs w:val="24"/>
          <w:rtl/>
        </w:rPr>
        <w:t>האזור</w:t>
      </w:r>
      <w:r w:rsidRPr="00EC3DAF">
        <w:rPr>
          <w:rFonts w:ascii="Century" w:hAnsi="Century" w:cs="Miriam"/>
          <w:b/>
          <w:spacing w:val="0"/>
          <w:szCs w:val="24"/>
          <w:rtl/>
        </w:rPr>
        <w:t xml:space="preserve"> </w:t>
      </w:r>
      <w:r w:rsidRPr="00EC3DAF">
        <w:rPr>
          <w:rFonts w:ascii="Century" w:hAnsi="Century" w:cs="Miriam" w:hint="eastAsia"/>
          <w:b/>
          <w:spacing w:val="0"/>
          <w:szCs w:val="24"/>
          <w:rtl/>
        </w:rPr>
        <w:t>באים</w:t>
      </w:r>
      <w:r w:rsidRPr="00EC3DAF">
        <w:rPr>
          <w:rFonts w:ascii="Century" w:hAnsi="Century" w:cs="Miriam"/>
          <w:b/>
          <w:spacing w:val="0"/>
          <w:szCs w:val="24"/>
          <w:rtl/>
        </w:rPr>
        <w:t xml:space="preserve"> </w:t>
      </w:r>
      <w:r w:rsidRPr="00EC3DAF">
        <w:rPr>
          <w:rFonts w:ascii="Century" w:hAnsi="Century" w:cs="Miriam" w:hint="eastAsia"/>
          <w:b/>
          <w:spacing w:val="0"/>
          <w:szCs w:val="24"/>
          <w:rtl/>
        </w:rPr>
        <w:t>עמם</w:t>
      </w:r>
      <w:r w:rsidRPr="00EC3DAF">
        <w:rPr>
          <w:rFonts w:ascii="Century" w:hAnsi="Century" w:cs="Miriam"/>
          <w:b/>
          <w:spacing w:val="0"/>
          <w:szCs w:val="24"/>
          <w:rtl/>
        </w:rPr>
        <w:t xml:space="preserve"> </w:t>
      </w:r>
      <w:r w:rsidRPr="00EC3DAF">
        <w:rPr>
          <w:rFonts w:ascii="Century" w:hAnsi="Century" w:cs="Miriam" w:hint="eastAsia"/>
          <w:b/>
          <w:spacing w:val="0"/>
          <w:szCs w:val="24"/>
          <w:rtl/>
        </w:rPr>
        <w:t>במגע</w:t>
      </w:r>
      <w:r w:rsidRPr="00EC3DAF">
        <w:rPr>
          <w:rFonts w:ascii="Century" w:hAnsi="Century" w:cs="Miriam"/>
          <w:b/>
          <w:spacing w:val="0"/>
          <w:szCs w:val="24"/>
          <w:rtl/>
        </w:rPr>
        <w:t xml:space="preserve"> </w:t>
      </w:r>
      <w:r w:rsidRPr="00EC3DAF">
        <w:rPr>
          <w:rFonts w:ascii="Century" w:hAnsi="Century" w:cs="Miriam" w:hint="eastAsia"/>
          <w:b/>
          <w:spacing w:val="0"/>
          <w:szCs w:val="24"/>
          <w:rtl/>
        </w:rPr>
        <w:t>הדוק</w:t>
      </w:r>
      <w:r w:rsidRPr="00EC3DAF">
        <w:rPr>
          <w:rFonts w:ascii="Century" w:hAnsi="Century" w:cs="Miriam"/>
          <w:b/>
          <w:spacing w:val="0"/>
          <w:szCs w:val="24"/>
          <w:rtl/>
        </w:rPr>
        <w:t xml:space="preserve">, </w:t>
      </w:r>
      <w:r w:rsidRPr="00EC3DAF">
        <w:rPr>
          <w:rFonts w:ascii="Century" w:hAnsi="Century" w:cs="Miriam" w:hint="eastAsia"/>
          <w:b/>
          <w:spacing w:val="0"/>
          <w:szCs w:val="24"/>
          <w:rtl/>
        </w:rPr>
        <w:t>שוטף</w:t>
      </w:r>
      <w:r w:rsidRPr="00EC3DAF">
        <w:rPr>
          <w:rFonts w:ascii="Century" w:hAnsi="Century" w:cs="Miriam"/>
          <w:b/>
          <w:spacing w:val="0"/>
          <w:szCs w:val="24"/>
          <w:rtl/>
        </w:rPr>
        <w:t xml:space="preserve">, </w:t>
      </w:r>
      <w:r w:rsidRPr="00EC3DAF">
        <w:rPr>
          <w:rFonts w:ascii="Century" w:hAnsi="Century" w:cs="Miriam" w:hint="eastAsia"/>
          <w:b/>
          <w:spacing w:val="0"/>
          <w:szCs w:val="24"/>
          <w:rtl/>
        </w:rPr>
        <w:t>ויומיומי</w:t>
      </w:r>
      <w:r w:rsidRPr="00EC3DAF">
        <w:rPr>
          <w:rFonts w:ascii="Century" w:hAnsi="Century" w:cs="Miriam"/>
          <w:b/>
          <w:spacing w:val="0"/>
          <w:szCs w:val="24"/>
          <w:rtl/>
        </w:rPr>
        <w:t xml:space="preserve">, </w:t>
      </w:r>
      <w:r w:rsidRPr="00EC3DAF">
        <w:rPr>
          <w:rFonts w:ascii="Century" w:hAnsi="Century" w:cs="Miriam" w:hint="eastAsia"/>
          <w:b/>
          <w:spacing w:val="0"/>
          <w:szCs w:val="24"/>
          <w:rtl/>
        </w:rPr>
        <w:t>בצאתם</w:t>
      </w:r>
      <w:r w:rsidRPr="00EC3DAF">
        <w:rPr>
          <w:rFonts w:ascii="Century" w:hAnsi="Century" w:cs="Miriam"/>
          <w:b/>
          <w:spacing w:val="0"/>
          <w:szCs w:val="24"/>
          <w:rtl/>
        </w:rPr>
        <w:t xml:space="preserve"> </w:t>
      </w:r>
      <w:r w:rsidRPr="00EC3DAF">
        <w:rPr>
          <w:rFonts w:ascii="Century" w:hAnsi="Century" w:cs="Miriam" w:hint="eastAsia"/>
          <w:b/>
          <w:spacing w:val="0"/>
          <w:szCs w:val="24"/>
          <w:rtl/>
        </w:rPr>
        <w:t>ובבואם</w:t>
      </w:r>
      <w:r w:rsidRPr="00EC3DAF">
        <w:rPr>
          <w:rFonts w:ascii="Century" w:hAnsi="Century" w:cs="Miriam"/>
          <w:b/>
          <w:spacing w:val="0"/>
          <w:szCs w:val="24"/>
          <w:rtl/>
        </w:rPr>
        <w:t xml:space="preserve">, </w:t>
      </w:r>
      <w:r w:rsidRPr="00EC3DAF">
        <w:rPr>
          <w:rFonts w:ascii="Century" w:hAnsi="Century" w:cs="Miriam" w:hint="eastAsia"/>
          <w:b/>
          <w:spacing w:val="0"/>
          <w:szCs w:val="24"/>
          <w:rtl/>
        </w:rPr>
        <w:t>בדרכם</w:t>
      </w:r>
      <w:r w:rsidRPr="00EC3DAF">
        <w:rPr>
          <w:rFonts w:ascii="Century" w:hAnsi="Century" w:cs="Miriam"/>
          <w:b/>
          <w:spacing w:val="0"/>
          <w:szCs w:val="24"/>
          <w:rtl/>
        </w:rPr>
        <w:t xml:space="preserve"> </w:t>
      </w:r>
      <w:r w:rsidRPr="00EC3DAF">
        <w:rPr>
          <w:rFonts w:ascii="Century" w:hAnsi="Century" w:cs="Miriam" w:hint="eastAsia"/>
          <w:b/>
          <w:spacing w:val="0"/>
          <w:szCs w:val="24"/>
          <w:rtl/>
        </w:rPr>
        <w:t>לעבודה</w:t>
      </w:r>
      <w:r w:rsidRPr="00EC3DAF">
        <w:rPr>
          <w:rFonts w:ascii="Century" w:hAnsi="Century" w:cs="Miriam"/>
          <w:b/>
          <w:spacing w:val="0"/>
          <w:szCs w:val="24"/>
          <w:rtl/>
        </w:rPr>
        <w:t xml:space="preserve"> </w:t>
      </w:r>
      <w:r w:rsidRPr="00EC3DAF">
        <w:rPr>
          <w:rFonts w:ascii="Century" w:hAnsi="Century" w:cs="Miriam" w:hint="eastAsia"/>
          <w:b/>
          <w:spacing w:val="0"/>
          <w:szCs w:val="24"/>
          <w:rtl/>
        </w:rPr>
        <w:t>ולבתי</w:t>
      </w:r>
      <w:r w:rsidRPr="00EC3DAF">
        <w:rPr>
          <w:rFonts w:ascii="Century" w:hAnsi="Century" w:cs="Miriam"/>
          <w:b/>
          <w:spacing w:val="0"/>
          <w:szCs w:val="24"/>
          <w:rtl/>
        </w:rPr>
        <w:t xml:space="preserve"> </w:t>
      </w:r>
      <w:r w:rsidRPr="00EC3DAF">
        <w:rPr>
          <w:rFonts w:ascii="Century" w:hAnsi="Century" w:cs="Miriam" w:hint="eastAsia"/>
          <w:b/>
          <w:spacing w:val="0"/>
          <w:szCs w:val="24"/>
          <w:rtl/>
        </w:rPr>
        <w:t>הספר</w:t>
      </w:r>
      <w:r w:rsidRPr="00EC3DAF">
        <w:rPr>
          <w:rFonts w:ascii="Century" w:hAnsi="Century" w:cs="Miriam"/>
          <w:b/>
          <w:spacing w:val="0"/>
          <w:szCs w:val="24"/>
          <w:rtl/>
        </w:rPr>
        <w:t xml:space="preserve">, </w:t>
      </w:r>
      <w:r w:rsidRPr="00EC3DAF">
        <w:rPr>
          <w:rFonts w:ascii="Century" w:hAnsi="Century" w:cs="Miriam" w:hint="eastAsia"/>
          <w:b/>
          <w:spacing w:val="0"/>
          <w:szCs w:val="24"/>
          <w:rtl/>
        </w:rPr>
        <w:t>בנקודות</w:t>
      </w:r>
      <w:r w:rsidRPr="00EC3DAF">
        <w:rPr>
          <w:rFonts w:ascii="Century" w:hAnsi="Century" w:cs="Miriam"/>
          <w:b/>
          <w:spacing w:val="0"/>
          <w:szCs w:val="24"/>
          <w:rtl/>
        </w:rPr>
        <w:t xml:space="preserve"> </w:t>
      </w:r>
      <w:r w:rsidRPr="00EC3DAF">
        <w:rPr>
          <w:rFonts w:ascii="Century" w:hAnsi="Century" w:cs="Miriam" w:hint="eastAsia"/>
          <w:b/>
          <w:spacing w:val="0"/>
          <w:szCs w:val="24"/>
          <w:rtl/>
        </w:rPr>
        <w:t>ביקורת</w:t>
      </w:r>
      <w:r w:rsidRPr="00EC3DAF">
        <w:rPr>
          <w:rFonts w:ascii="Century" w:hAnsi="Century" w:cs="Miriam"/>
          <w:b/>
          <w:spacing w:val="0"/>
          <w:szCs w:val="24"/>
          <w:rtl/>
        </w:rPr>
        <w:t xml:space="preserve"> </w:t>
      </w:r>
      <w:r w:rsidRPr="00EC3DAF">
        <w:rPr>
          <w:rFonts w:ascii="Century" w:hAnsi="Century" w:cs="Miriam" w:hint="eastAsia"/>
          <w:b/>
          <w:spacing w:val="0"/>
          <w:szCs w:val="24"/>
          <w:rtl/>
        </w:rPr>
        <w:t>במחסומים</w:t>
      </w:r>
      <w:r w:rsidRPr="00EC3DAF">
        <w:rPr>
          <w:rFonts w:ascii="Century" w:hAnsi="Century" w:cs="Miriam"/>
          <w:b/>
          <w:spacing w:val="0"/>
          <w:szCs w:val="24"/>
          <w:rtl/>
        </w:rPr>
        <w:t xml:space="preserve"> </w:t>
      </w:r>
      <w:r w:rsidRPr="00EC3DAF">
        <w:rPr>
          <w:rFonts w:ascii="Century" w:hAnsi="Century" w:cs="Miriam" w:hint="eastAsia"/>
          <w:b/>
          <w:spacing w:val="0"/>
          <w:szCs w:val="24"/>
          <w:rtl/>
        </w:rPr>
        <w:t>שבתחומי</w:t>
      </w:r>
      <w:r w:rsidRPr="00EC3DAF">
        <w:rPr>
          <w:rFonts w:ascii="Century" w:hAnsi="Century" w:cs="Miriam"/>
          <w:b/>
          <w:spacing w:val="0"/>
          <w:szCs w:val="24"/>
          <w:rtl/>
        </w:rPr>
        <w:t xml:space="preserve"> </w:t>
      </w:r>
      <w:r w:rsidRPr="00EC3DAF">
        <w:rPr>
          <w:rFonts w:ascii="Century" w:hAnsi="Century" w:cs="Miriam" w:hint="eastAsia"/>
          <w:b/>
          <w:spacing w:val="0"/>
          <w:szCs w:val="24"/>
          <w:rtl/>
        </w:rPr>
        <w:t>האזור</w:t>
      </w:r>
      <w:r w:rsidRPr="00EC3DAF">
        <w:rPr>
          <w:rFonts w:ascii="Century" w:hAnsi="Century" w:cs="Miriam"/>
          <w:b/>
          <w:spacing w:val="0"/>
          <w:szCs w:val="24"/>
          <w:rtl/>
        </w:rPr>
        <w:t xml:space="preserve"> </w:t>
      </w:r>
      <w:r w:rsidRPr="00EC3DAF">
        <w:rPr>
          <w:rFonts w:ascii="Century" w:hAnsi="Century" w:cs="Miriam" w:hint="eastAsia"/>
          <w:b/>
          <w:spacing w:val="0"/>
          <w:szCs w:val="24"/>
          <w:rtl/>
        </w:rPr>
        <w:t>ובמעברים</w:t>
      </w:r>
      <w:r w:rsidRPr="00EC3DAF">
        <w:rPr>
          <w:rFonts w:ascii="Century" w:hAnsi="Century" w:cs="Miriam"/>
          <w:b/>
          <w:spacing w:val="0"/>
          <w:szCs w:val="24"/>
          <w:rtl/>
        </w:rPr>
        <w:t xml:space="preserve"> </w:t>
      </w:r>
      <w:r w:rsidRPr="00EC3DAF">
        <w:rPr>
          <w:rFonts w:ascii="Century" w:hAnsi="Century" w:cs="Miriam" w:hint="eastAsia"/>
          <w:b/>
          <w:spacing w:val="0"/>
          <w:szCs w:val="24"/>
          <w:rtl/>
        </w:rPr>
        <w:t>לישראל</w:t>
      </w:r>
      <w:r w:rsidRPr="00EC3DAF">
        <w:rPr>
          <w:rFonts w:ascii="Century" w:hAnsi="Century" w:cs="Miriam"/>
          <w:b/>
          <w:spacing w:val="0"/>
          <w:szCs w:val="24"/>
          <w:rtl/>
        </w:rPr>
        <w:t xml:space="preserve"> </w:t>
      </w:r>
      <w:r w:rsidRPr="00EC3DAF">
        <w:rPr>
          <w:rFonts w:ascii="Century" w:hAnsi="Century" w:cs="Miriam" w:hint="eastAsia"/>
          <w:b/>
          <w:spacing w:val="0"/>
          <w:szCs w:val="24"/>
          <w:rtl/>
        </w:rPr>
        <w:t>וממנה</w:t>
      </w:r>
      <w:r w:rsidRPr="00EC3DAF">
        <w:rPr>
          <w:rFonts w:ascii="Century" w:hAnsi="Century" w:cs="Miriam"/>
          <w:b/>
          <w:spacing w:val="0"/>
          <w:szCs w:val="24"/>
          <w:rtl/>
        </w:rPr>
        <w:t xml:space="preserve">. </w:t>
      </w:r>
      <w:r w:rsidRPr="00EC3DAF">
        <w:rPr>
          <w:rFonts w:ascii="Century" w:hAnsi="Century" w:cs="Miriam" w:hint="eastAsia"/>
          <w:b/>
          <w:spacing w:val="0"/>
          <w:szCs w:val="24"/>
          <w:rtl/>
        </w:rPr>
        <w:t>כוחות</w:t>
      </w:r>
      <w:r w:rsidRPr="00EC3DAF">
        <w:rPr>
          <w:rFonts w:ascii="Century" w:hAnsi="Century" w:cs="Miriam"/>
          <w:b/>
          <w:spacing w:val="0"/>
          <w:szCs w:val="24"/>
          <w:rtl/>
        </w:rPr>
        <w:t xml:space="preserve"> </w:t>
      </w:r>
      <w:r w:rsidRPr="00EC3DAF">
        <w:rPr>
          <w:rFonts w:ascii="Century" w:hAnsi="Century" w:cs="Miriam" w:hint="eastAsia"/>
          <w:b/>
          <w:spacing w:val="0"/>
          <w:szCs w:val="24"/>
          <w:rtl/>
        </w:rPr>
        <w:t>הביטחון</w:t>
      </w:r>
      <w:r w:rsidRPr="00EC3DAF">
        <w:rPr>
          <w:rFonts w:ascii="Century" w:hAnsi="Century" w:cs="Miriam"/>
          <w:b/>
          <w:spacing w:val="0"/>
          <w:szCs w:val="24"/>
          <w:rtl/>
        </w:rPr>
        <w:t xml:space="preserve"> </w:t>
      </w:r>
      <w:r w:rsidRPr="00EC3DAF">
        <w:rPr>
          <w:rFonts w:ascii="Century" w:hAnsi="Century" w:cs="Miriam" w:hint="eastAsia"/>
          <w:b/>
          <w:spacing w:val="0"/>
          <w:szCs w:val="24"/>
          <w:rtl/>
        </w:rPr>
        <w:t>מקיימים</w:t>
      </w:r>
      <w:r w:rsidRPr="00EC3DAF">
        <w:rPr>
          <w:rFonts w:ascii="Century" w:hAnsi="Century" w:cs="Miriam"/>
          <w:b/>
          <w:spacing w:val="0"/>
          <w:szCs w:val="24"/>
          <w:rtl/>
        </w:rPr>
        <w:t xml:space="preserve"> </w:t>
      </w:r>
      <w:r w:rsidRPr="00EC3DAF">
        <w:rPr>
          <w:rFonts w:ascii="Century" w:hAnsi="Century" w:cs="Miriam" w:hint="eastAsia"/>
          <w:b/>
          <w:spacing w:val="0"/>
          <w:szCs w:val="24"/>
          <w:rtl/>
        </w:rPr>
        <w:t>בתחומי</w:t>
      </w:r>
      <w:r w:rsidRPr="00EC3DAF">
        <w:rPr>
          <w:rFonts w:ascii="Century" w:hAnsi="Century" w:cs="Miriam"/>
          <w:b/>
          <w:spacing w:val="0"/>
          <w:szCs w:val="24"/>
          <w:rtl/>
        </w:rPr>
        <w:t xml:space="preserve"> </w:t>
      </w:r>
      <w:r w:rsidRPr="00EC3DAF">
        <w:rPr>
          <w:rFonts w:ascii="Century" w:hAnsi="Century" w:cs="Miriam" w:hint="eastAsia"/>
          <w:b/>
          <w:spacing w:val="0"/>
          <w:szCs w:val="24"/>
          <w:rtl/>
        </w:rPr>
        <w:t>האזור</w:t>
      </w:r>
      <w:r w:rsidRPr="00EC3DAF">
        <w:rPr>
          <w:rFonts w:ascii="Century" w:hAnsi="Century" w:cs="Miriam"/>
          <w:b/>
          <w:spacing w:val="0"/>
          <w:szCs w:val="24"/>
          <w:rtl/>
        </w:rPr>
        <w:t xml:space="preserve"> </w:t>
      </w:r>
      <w:r w:rsidRPr="00EC3DAF">
        <w:rPr>
          <w:rFonts w:ascii="Century" w:hAnsi="Century" w:cs="Miriam" w:hint="eastAsia"/>
          <w:b/>
          <w:spacing w:val="0"/>
          <w:szCs w:val="24"/>
          <w:rtl/>
        </w:rPr>
        <w:t>נוכחות</w:t>
      </w:r>
      <w:r w:rsidRPr="00EC3DAF">
        <w:rPr>
          <w:rFonts w:ascii="Century" w:hAnsi="Century" w:cs="Miriam"/>
          <w:b/>
          <w:spacing w:val="0"/>
          <w:szCs w:val="24"/>
          <w:rtl/>
        </w:rPr>
        <w:t xml:space="preserve"> </w:t>
      </w:r>
      <w:r w:rsidRPr="00EC3DAF">
        <w:rPr>
          <w:rFonts w:ascii="Century" w:hAnsi="Century" w:cs="Miriam" w:hint="eastAsia"/>
          <w:b/>
          <w:spacing w:val="0"/>
          <w:szCs w:val="24"/>
          <w:rtl/>
        </w:rPr>
        <w:t>קבועה</w:t>
      </w:r>
      <w:r w:rsidRPr="00EC3DAF">
        <w:rPr>
          <w:rFonts w:ascii="Century" w:hAnsi="Century" w:cs="Miriam"/>
          <w:b/>
          <w:spacing w:val="0"/>
          <w:szCs w:val="24"/>
          <w:rtl/>
        </w:rPr>
        <w:t xml:space="preserve"> </w:t>
      </w:r>
      <w:r w:rsidRPr="00EC3DAF">
        <w:rPr>
          <w:rFonts w:ascii="Century" w:hAnsi="Century" w:cs="Miriam" w:hint="eastAsia"/>
          <w:b/>
          <w:spacing w:val="0"/>
          <w:szCs w:val="24"/>
          <w:rtl/>
        </w:rPr>
        <w:t>ומתמשכת</w:t>
      </w:r>
      <w:r w:rsidRPr="00EC3DAF">
        <w:rPr>
          <w:rFonts w:ascii="Century" w:hAnsi="Century" w:cs="Miriam"/>
          <w:b/>
          <w:spacing w:val="0"/>
          <w:szCs w:val="24"/>
          <w:rtl/>
        </w:rPr>
        <w:t xml:space="preserve">. </w:t>
      </w:r>
      <w:r w:rsidRPr="00EC3DAF">
        <w:rPr>
          <w:rFonts w:ascii="Century" w:hAnsi="Century" w:cs="Miriam" w:hint="eastAsia"/>
          <w:b/>
          <w:spacing w:val="0"/>
          <w:szCs w:val="24"/>
          <w:rtl/>
        </w:rPr>
        <w:t>הם</w:t>
      </w:r>
      <w:r w:rsidRPr="00EC3DAF">
        <w:rPr>
          <w:rFonts w:ascii="Century" w:hAnsi="Century" w:cs="Miriam"/>
          <w:b/>
          <w:spacing w:val="0"/>
          <w:szCs w:val="24"/>
          <w:rtl/>
        </w:rPr>
        <w:t xml:space="preserve"> </w:t>
      </w:r>
      <w:r w:rsidRPr="00EC3DAF">
        <w:rPr>
          <w:rFonts w:ascii="Century" w:hAnsi="Century" w:cs="Miriam" w:hint="eastAsia"/>
          <w:b/>
          <w:spacing w:val="0"/>
          <w:szCs w:val="24"/>
          <w:rtl/>
        </w:rPr>
        <w:t>פרושים</w:t>
      </w:r>
      <w:r w:rsidRPr="00EC3DAF">
        <w:rPr>
          <w:rFonts w:ascii="Century" w:hAnsi="Century" w:cs="Miriam"/>
          <w:b/>
          <w:spacing w:val="0"/>
          <w:szCs w:val="24"/>
          <w:rtl/>
        </w:rPr>
        <w:t xml:space="preserve"> </w:t>
      </w:r>
      <w:r w:rsidRPr="00EC3DAF">
        <w:rPr>
          <w:rFonts w:ascii="Century" w:hAnsi="Century" w:cs="Miriam" w:hint="eastAsia"/>
          <w:b/>
          <w:spacing w:val="0"/>
          <w:szCs w:val="24"/>
          <w:rtl/>
        </w:rPr>
        <w:t>ופועלים</w:t>
      </w:r>
      <w:r w:rsidRPr="00EC3DAF">
        <w:rPr>
          <w:rFonts w:ascii="Century" w:hAnsi="Century" w:cs="Miriam"/>
          <w:b/>
          <w:spacing w:val="0"/>
          <w:szCs w:val="24"/>
          <w:rtl/>
        </w:rPr>
        <w:t xml:space="preserve"> </w:t>
      </w:r>
      <w:r w:rsidRPr="00EC3DAF">
        <w:rPr>
          <w:rFonts w:ascii="Century" w:hAnsi="Century" w:cs="Miriam" w:hint="eastAsia"/>
          <w:b/>
          <w:spacing w:val="0"/>
          <w:szCs w:val="24"/>
          <w:rtl/>
        </w:rPr>
        <w:t>בתחומי</w:t>
      </w:r>
      <w:r w:rsidRPr="00EC3DAF">
        <w:rPr>
          <w:rFonts w:ascii="Century" w:hAnsi="Century" w:cs="Miriam"/>
          <w:b/>
          <w:spacing w:val="0"/>
          <w:szCs w:val="24"/>
          <w:rtl/>
        </w:rPr>
        <w:t xml:space="preserve"> </w:t>
      </w:r>
      <w:r w:rsidRPr="00EC3DAF">
        <w:rPr>
          <w:rFonts w:ascii="Century" w:hAnsi="Century" w:cs="Miriam" w:hint="eastAsia"/>
          <w:b/>
          <w:spacing w:val="0"/>
          <w:szCs w:val="24"/>
          <w:rtl/>
        </w:rPr>
        <w:t>האזור</w:t>
      </w:r>
      <w:r w:rsidRPr="00EC3DAF">
        <w:rPr>
          <w:rFonts w:ascii="Century" w:hAnsi="Century" w:cs="Miriam"/>
          <w:b/>
          <w:spacing w:val="0"/>
          <w:szCs w:val="24"/>
          <w:rtl/>
        </w:rPr>
        <w:t xml:space="preserve"> </w:t>
      </w:r>
      <w:r w:rsidRPr="00EC3DAF">
        <w:rPr>
          <w:rFonts w:ascii="Century" w:hAnsi="Century" w:cs="Miriam" w:hint="eastAsia"/>
          <w:b/>
          <w:spacing w:val="0"/>
          <w:szCs w:val="24"/>
          <w:rtl/>
        </w:rPr>
        <w:t>הן</w:t>
      </w:r>
      <w:r w:rsidRPr="00EC3DAF">
        <w:rPr>
          <w:rFonts w:ascii="Century" w:hAnsi="Century" w:cs="Miriam"/>
          <w:b/>
          <w:spacing w:val="0"/>
          <w:szCs w:val="24"/>
          <w:rtl/>
        </w:rPr>
        <w:t xml:space="preserve"> </w:t>
      </w:r>
      <w:r w:rsidRPr="00EC3DAF">
        <w:rPr>
          <w:rFonts w:ascii="Century" w:hAnsi="Century" w:cs="Miriam" w:hint="eastAsia"/>
          <w:b/>
          <w:spacing w:val="0"/>
          <w:szCs w:val="24"/>
          <w:rtl/>
        </w:rPr>
        <w:t>במשימות</w:t>
      </w:r>
      <w:r w:rsidRPr="00EC3DAF">
        <w:rPr>
          <w:rFonts w:ascii="Century" w:hAnsi="Century" w:cs="Miriam"/>
          <w:b/>
          <w:spacing w:val="0"/>
          <w:szCs w:val="24"/>
          <w:rtl/>
        </w:rPr>
        <w:t xml:space="preserve"> </w:t>
      </w:r>
      <w:r w:rsidRPr="00EC3DAF">
        <w:rPr>
          <w:rFonts w:ascii="Century" w:hAnsi="Century" w:cs="Miriam" w:hint="eastAsia"/>
          <w:b/>
          <w:spacing w:val="0"/>
          <w:szCs w:val="24"/>
          <w:rtl/>
        </w:rPr>
        <w:t>לחימה</w:t>
      </w:r>
      <w:r w:rsidRPr="00EC3DAF">
        <w:rPr>
          <w:rFonts w:ascii="Century" w:hAnsi="Century" w:cs="Miriam"/>
          <w:b/>
          <w:spacing w:val="0"/>
          <w:szCs w:val="24"/>
          <w:rtl/>
        </w:rPr>
        <w:t xml:space="preserve">, </w:t>
      </w:r>
      <w:r w:rsidRPr="00EC3DAF">
        <w:rPr>
          <w:rFonts w:ascii="Century" w:hAnsi="Century" w:cs="Miriam" w:hint="eastAsia"/>
          <w:b/>
          <w:spacing w:val="0"/>
          <w:szCs w:val="24"/>
          <w:rtl/>
        </w:rPr>
        <w:t>והן</w:t>
      </w:r>
      <w:r w:rsidRPr="00EC3DAF">
        <w:rPr>
          <w:rFonts w:ascii="Century" w:hAnsi="Century" w:cs="Miriam"/>
          <w:b/>
          <w:spacing w:val="0"/>
          <w:szCs w:val="24"/>
          <w:rtl/>
        </w:rPr>
        <w:t xml:space="preserve"> </w:t>
      </w:r>
      <w:r w:rsidRPr="00EC3DAF">
        <w:rPr>
          <w:rFonts w:ascii="Century" w:hAnsi="Century" w:cs="Miriam" w:hint="eastAsia"/>
          <w:b/>
          <w:spacing w:val="0"/>
          <w:szCs w:val="24"/>
          <w:rtl/>
        </w:rPr>
        <w:t>בפעולות</w:t>
      </w:r>
      <w:r w:rsidRPr="00EC3DAF">
        <w:rPr>
          <w:rFonts w:ascii="Century" w:hAnsi="Century" w:cs="Miriam"/>
          <w:b/>
          <w:spacing w:val="0"/>
          <w:szCs w:val="24"/>
          <w:rtl/>
        </w:rPr>
        <w:t xml:space="preserve"> </w:t>
      </w:r>
      <w:r w:rsidRPr="00EC3DAF">
        <w:rPr>
          <w:rFonts w:ascii="Century" w:hAnsi="Century" w:cs="Miriam" w:hint="eastAsia"/>
          <w:b/>
          <w:spacing w:val="0"/>
          <w:szCs w:val="24"/>
          <w:rtl/>
        </w:rPr>
        <w:t>שיטוריות</w:t>
      </w:r>
      <w:r w:rsidRPr="00EC3DAF">
        <w:rPr>
          <w:rFonts w:ascii="Century" w:hAnsi="Century" w:cs="Miriam"/>
          <w:b/>
          <w:spacing w:val="0"/>
          <w:szCs w:val="24"/>
          <w:rtl/>
        </w:rPr>
        <w:t xml:space="preserve"> </w:t>
      </w:r>
      <w:r w:rsidRPr="00EC3DAF">
        <w:rPr>
          <w:rFonts w:ascii="Century" w:hAnsi="Century" w:cs="Miriam" w:hint="eastAsia"/>
          <w:b/>
          <w:spacing w:val="0"/>
          <w:szCs w:val="24"/>
          <w:rtl/>
        </w:rPr>
        <w:t>באופיין</w:t>
      </w:r>
      <w:r w:rsidRPr="00EC3DAF">
        <w:rPr>
          <w:rFonts w:ascii="Century" w:hAnsi="Century" w:cs="Miriam"/>
          <w:b/>
          <w:spacing w:val="0"/>
          <w:szCs w:val="24"/>
          <w:rtl/>
        </w:rPr>
        <w:t xml:space="preserve">; </w:t>
      </w:r>
      <w:r w:rsidRPr="00EC3DAF">
        <w:rPr>
          <w:rFonts w:ascii="Century" w:hAnsi="Century" w:cs="Miriam" w:hint="eastAsia"/>
          <w:b/>
          <w:spacing w:val="0"/>
          <w:szCs w:val="24"/>
          <w:rtl/>
        </w:rPr>
        <w:t>הן</w:t>
      </w:r>
      <w:r w:rsidRPr="00EC3DAF">
        <w:rPr>
          <w:rFonts w:ascii="Century" w:hAnsi="Century" w:cs="Miriam"/>
          <w:b/>
          <w:spacing w:val="0"/>
          <w:szCs w:val="24"/>
          <w:rtl/>
        </w:rPr>
        <w:t xml:space="preserve"> </w:t>
      </w:r>
      <w:r w:rsidRPr="00EC3DAF">
        <w:rPr>
          <w:rFonts w:ascii="Century" w:hAnsi="Century" w:cs="Miriam" w:hint="eastAsia"/>
          <w:b/>
          <w:spacing w:val="0"/>
          <w:szCs w:val="24"/>
          <w:rtl/>
        </w:rPr>
        <w:t>באזורים</w:t>
      </w:r>
      <w:r w:rsidRPr="00EC3DAF">
        <w:rPr>
          <w:rFonts w:ascii="Century" w:hAnsi="Century" w:cs="Miriam"/>
          <w:b/>
          <w:spacing w:val="0"/>
          <w:szCs w:val="24"/>
          <w:rtl/>
        </w:rPr>
        <w:t xml:space="preserve"> </w:t>
      </w:r>
      <w:r w:rsidRPr="00EC3DAF">
        <w:rPr>
          <w:rFonts w:ascii="Century" w:hAnsi="Century" w:cs="Miriam" w:hint="eastAsia"/>
          <w:b/>
          <w:spacing w:val="0"/>
          <w:szCs w:val="24"/>
          <w:rtl/>
        </w:rPr>
        <w:t>בהם</w:t>
      </w:r>
      <w:r w:rsidRPr="00EC3DAF">
        <w:rPr>
          <w:rFonts w:ascii="Century" w:hAnsi="Century" w:cs="Miriam"/>
          <w:b/>
          <w:spacing w:val="0"/>
          <w:szCs w:val="24"/>
          <w:rtl/>
        </w:rPr>
        <w:t xml:space="preserve"> </w:t>
      </w:r>
      <w:r w:rsidRPr="00EC3DAF">
        <w:rPr>
          <w:rFonts w:ascii="Century" w:hAnsi="Century" w:cs="Miriam" w:hint="eastAsia"/>
          <w:b/>
          <w:spacing w:val="0"/>
          <w:szCs w:val="24"/>
          <w:rtl/>
        </w:rPr>
        <w:t>מתקיימת</w:t>
      </w:r>
      <w:r w:rsidRPr="00EC3DAF">
        <w:rPr>
          <w:rFonts w:ascii="Century" w:hAnsi="Century" w:cs="Miriam"/>
          <w:b/>
          <w:spacing w:val="0"/>
          <w:szCs w:val="24"/>
          <w:rtl/>
        </w:rPr>
        <w:t xml:space="preserve"> </w:t>
      </w:r>
      <w:r w:rsidRPr="00EC3DAF">
        <w:rPr>
          <w:rFonts w:ascii="Century" w:hAnsi="Century" w:cs="Miriam" w:hint="eastAsia"/>
          <w:b/>
          <w:spacing w:val="0"/>
          <w:szCs w:val="24"/>
          <w:rtl/>
        </w:rPr>
        <w:t>פעילות</w:t>
      </w:r>
      <w:r w:rsidRPr="00EC3DAF">
        <w:rPr>
          <w:rFonts w:ascii="Century" w:hAnsi="Century" w:cs="Miriam"/>
          <w:b/>
          <w:spacing w:val="0"/>
          <w:szCs w:val="24"/>
          <w:rtl/>
        </w:rPr>
        <w:t xml:space="preserve"> </w:t>
      </w:r>
      <w:r w:rsidRPr="00EC3DAF">
        <w:rPr>
          <w:rFonts w:ascii="Century" w:hAnsi="Century" w:cs="Miriam" w:hint="eastAsia"/>
          <w:b/>
          <w:spacing w:val="0"/>
          <w:szCs w:val="24"/>
          <w:rtl/>
        </w:rPr>
        <w:t>חבלנית</w:t>
      </w:r>
      <w:r w:rsidRPr="00EC3DAF">
        <w:rPr>
          <w:rFonts w:ascii="Century" w:hAnsi="Century" w:cs="Miriam"/>
          <w:b/>
          <w:spacing w:val="0"/>
          <w:szCs w:val="24"/>
          <w:rtl/>
        </w:rPr>
        <w:t xml:space="preserve"> </w:t>
      </w:r>
      <w:r w:rsidRPr="00EC3DAF">
        <w:rPr>
          <w:rFonts w:ascii="Century" w:hAnsi="Century" w:cs="Miriam" w:hint="eastAsia"/>
          <w:b/>
          <w:spacing w:val="0"/>
          <w:szCs w:val="24"/>
          <w:rtl/>
        </w:rPr>
        <w:t>עוינת</w:t>
      </w:r>
      <w:r w:rsidRPr="00EC3DAF">
        <w:rPr>
          <w:rFonts w:ascii="Century" w:hAnsi="Century" w:cs="Miriam"/>
          <w:b/>
          <w:spacing w:val="0"/>
          <w:szCs w:val="24"/>
          <w:rtl/>
        </w:rPr>
        <w:t xml:space="preserve">, </w:t>
      </w:r>
      <w:r w:rsidRPr="00EC3DAF">
        <w:rPr>
          <w:rFonts w:ascii="Century" w:hAnsi="Century" w:cs="Miriam" w:hint="eastAsia"/>
          <w:b/>
          <w:spacing w:val="0"/>
          <w:szCs w:val="24"/>
          <w:rtl/>
        </w:rPr>
        <w:t>והן</w:t>
      </w:r>
      <w:r w:rsidRPr="00EC3DAF">
        <w:rPr>
          <w:rFonts w:ascii="Century" w:hAnsi="Century" w:cs="Miriam"/>
          <w:b/>
          <w:spacing w:val="0"/>
          <w:szCs w:val="24"/>
          <w:rtl/>
        </w:rPr>
        <w:t xml:space="preserve"> </w:t>
      </w:r>
      <w:r w:rsidRPr="00EC3DAF">
        <w:rPr>
          <w:rFonts w:ascii="Century" w:hAnsi="Century" w:cs="Miriam" w:hint="eastAsia"/>
          <w:b/>
          <w:spacing w:val="0"/>
          <w:szCs w:val="24"/>
          <w:rtl/>
        </w:rPr>
        <w:t>באזורים</w:t>
      </w:r>
      <w:r w:rsidRPr="00EC3DAF">
        <w:rPr>
          <w:rFonts w:ascii="Century" w:hAnsi="Century" w:cs="Miriam"/>
          <w:b/>
          <w:spacing w:val="0"/>
          <w:szCs w:val="24"/>
          <w:rtl/>
        </w:rPr>
        <w:t xml:space="preserve"> </w:t>
      </w:r>
      <w:r w:rsidRPr="00EC3DAF">
        <w:rPr>
          <w:rFonts w:ascii="Century" w:hAnsi="Century" w:cs="Miriam" w:hint="eastAsia"/>
          <w:b/>
          <w:spacing w:val="0"/>
          <w:szCs w:val="24"/>
          <w:rtl/>
        </w:rPr>
        <w:t>שקטים</w:t>
      </w:r>
      <w:r w:rsidRPr="00EC3DAF">
        <w:rPr>
          <w:rFonts w:ascii="Century" w:hAnsi="Century" w:cs="Miriam"/>
          <w:b/>
          <w:spacing w:val="0"/>
          <w:szCs w:val="24"/>
          <w:rtl/>
        </w:rPr>
        <w:t xml:space="preserve">; </w:t>
      </w:r>
      <w:r w:rsidRPr="00EC3DAF">
        <w:rPr>
          <w:rFonts w:ascii="Century" w:hAnsi="Century" w:cs="Miriam" w:hint="eastAsia"/>
          <w:b/>
          <w:spacing w:val="0"/>
          <w:szCs w:val="24"/>
          <w:rtl/>
        </w:rPr>
        <w:t>הן</w:t>
      </w:r>
      <w:r w:rsidRPr="00EC3DAF">
        <w:rPr>
          <w:rFonts w:ascii="Century" w:hAnsi="Century" w:cs="Miriam"/>
          <w:b/>
          <w:spacing w:val="0"/>
          <w:szCs w:val="24"/>
          <w:rtl/>
        </w:rPr>
        <w:t xml:space="preserve"> </w:t>
      </w:r>
      <w:r w:rsidRPr="00EC3DAF">
        <w:rPr>
          <w:rFonts w:ascii="Century" w:hAnsi="Century" w:cs="Miriam" w:hint="eastAsia"/>
          <w:b/>
          <w:spacing w:val="0"/>
          <w:szCs w:val="24"/>
          <w:rtl/>
        </w:rPr>
        <w:t>בתקופות</w:t>
      </w:r>
      <w:r w:rsidRPr="00EC3DAF">
        <w:rPr>
          <w:rFonts w:ascii="Century" w:hAnsi="Century" w:cs="Miriam"/>
          <w:b/>
          <w:spacing w:val="0"/>
          <w:szCs w:val="24"/>
          <w:rtl/>
        </w:rPr>
        <w:t xml:space="preserve"> </w:t>
      </w:r>
      <w:r w:rsidRPr="00EC3DAF">
        <w:rPr>
          <w:rFonts w:ascii="Century" w:hAnsi="Century" w:cs="Miriam" w:hint="eastAsia"/>
          <w:b/>
          <w:spacing w:val="0"/>
          <w:szCs w:val="24"/>
          <w:rtl/>
        </w:rPr>
        <w:t>עימות</w:t>
      </w:r>
      <w:r w:rsidRPr="00EC3DAF">
        <w:rPr>
          <w:rFonts w:ascii="Century" w:hAnsi="Century" w:cs="Miriam"/>
          <w:b/>
          <w:spacing w:val="0"/>
          <w:szCs w:val="24"/>
          <w:rtl/>
        </w:rPr>
        <w:t xml:space="preserve">, </w:t>
      </w:r>
      <w:r w:rsidRPr="00EC3DAF">
        <w:rPr>
          <w:rFonts w:ascii="Century" w:hAnsi="Century" w:cs="Miriam" w:hint="eastAsia"/>
          <w:b/>
          <w:spacing w:val="0"/>
          <w:szCs w:val="24"/>
          <w:rtl/>
        </w:rPr>
        <w:t>והן</w:t>
      </w:r>
      <w:r w:rsidRPr="00EC3DAF">
        <w:rPr>
          <w:rFonts w:ascii="Century" w:hAnsi="Century" w:cs="Miriam"/>
          <w:b/>
          <w:spacing w:val="0"/>
          <w:szCs w:val="24"/>
          <w:rtl/>
        </w:rPr>
        <w:t xml:space="preserve"> </w:t>
      </w:r>
      <w:r w:rsidRPr="00EC3DAF">
        <w:rPr>
          <w:rFonts w:ascii="Century" w:hAnsi="Century" w:cs="Miriam" w:hint="eastAsia"/>
          <w:b/>
          <w:spacing w:val="0"/>
          <w:szCs w:val="24"/>
          <w:rtl/>
        </w:rPr>
        <w:t>בתקופות</w:t>
      </w:r>
      <w:r w:rsidRPr="00EC3DAF">
        <w:rPr>
          <w:rFonts w:ascii="Century" w:hAnsi="Century" w:cs="Miriam"/>
          <w:b/>
          <w:spacing w:val="0"/>
          <w:szCs w:val="24"/>
          <w:rtl/>
        </w:rPr>
        <w:t xml:space="preserve"> </w:t>
      </w:r>
      <w:r w:rsidRPr="00EC3DAF">
        <w:rPr>
          <w:rFonts w:ascii="Century" w:hAnsi="Century" w:cs="Miriam" w:hint="eastAsia"/>
          <w:b/>
          <w:spacing w:val="0"/>
          <w:szCs w:val="24"/>
          <w:rtl/>
        </w:rPr>
        <w:t>רגיעה</w:t>
      </w:r>
      <w:r w:rsidRPr="00EC3DAF">
        <w:rPr>
          <w:rFonts w:ascii="Century" w:hAnsi="Century" w:cs="Miriam"/>
          <w:b/>
          <w:spacing w:val="0"/>
          <w:szCs w:val="24"/>
          <w:rtl/>
        </w:rPr>
        <w:t xml:space="preserve"> </w:t>
      </w:r>
      <w:r w:rsidRPr="00EC3DAF">
        <w:rPr>
          <w:rFonts w:ascii="Century" w:hAnsi="Century" w:cs="Miriam" w:hint="eastAsia"/>
          <w:b/>
          <w:spacing w:val="0"/>
          <w:szCs w:val="24"/>
          <w:rtl/>
        </w:rPr>
        <w:t>יחסית</w:t>
      </w:r>
      <w:r w:rsidRPr="00EC3DAF">
        <w:rPr>
          <w:rFonts w:ascii="Century" w:hAnsi="Century" w:cs="Miriam"/>
          <w:b/>
          <w:spacing w:val="0"/>
          <w:szCs w:val="24"/>
          <w:rtl/>
        </w:rPr>
        <w:t xml:space="preserve">. </w:t>
      </w:r>
      <w:r w:rsidRPr="00EC3DAF">
        <w:rPr>
          <w:rFonts w:ascii="Century" w:hAnsi="Century" w:cs="Miriam" w:hint="eastAsia"/>
          <w:b/>
          <w:spacing w:val="0"/>
          <w:szCs w:val="24"/>
          <w:rtl/>
        </w:rPr>
        <w:t>בנסיבות</w:t>
      </w:r>
      <w:r w:rsidRPr="00EC3DAF">
        <w:rPr>
          <w:rFonts w:ascii="Century" w:hAnsi="Century" w:cs="Miriam"/>
          <w:b/>
          <w:spacing w:val="0"/>
          <w:szCs w:val="24"/>
          <w:rtl/>
        </w:rPr>
        <w:t xml:space="preserve"> </w:t>
      </w:r>
      <w:r w:rsidRPr="00EC3DAF">
        <w:rPr>
          <w:rFonts w:ascii="Century" w:hAnsi="Century" w:cs="Miriam" w:hint="eastAsia"/>
          <w:b/>
          <w:spacing w:val="0"/>
          <w:szCs w:val="24"/>
          <w:rtl/>
        </w:rPr>
        <w:t>אלה</w:t>
      </w:r>
      <w:r w:rsidRPr="00EC3DAF">
        <w:rPr>
          <w:rFonts w:ascii="Century" w:hAnsi="Century" w:cs="Miriam"/>
          <w:b/>
          <w:spacing w:val="0"/>
          <w:szCs w:val="24"/>
          <w:rtl/>
        </w:rPr>
        <w:t xml:space="preserve">, </w:t>
      </w:r>
      <w:r w:rsidRPr="00EC3DAF">
        <w:rPr>
          <w:rFonts w:ascii="Century" w:hAnsi="Century" w:cs="Miriam" w:hint="eastAsia"/>
          <w:b/>
          <w:spacing w:val="0"/>
          <w:szCs w:val="24"/>
          <w:rtl/>
        </w:rPr>
        <w:t>חסינות</w:t>
      </w:r>
      <w:r w:rsidRPr="00EC3DAF">
        <w:rPr>
          <w:rFonts w:ascii="Century" w:hAnsi="Century" w:cs="Miriam"/>
          <w:b/>
          <w:spacing w:val="0"/>
          <w:szCs w:val="24"/>
          <w:rtl/>
        </w:rPr>
        <w:t xml:space="preserve"> </w:t>
      </w:r>
      <w:r w:rsidRPr="00EC3DAF">
        <w:rPr>
          <w:rFonts w:ascii="Century" w:hAnsi="Century" w:cs="Miriam" w:hint="eastAsia"/>
          <w:b/>
          <w:spacing w:val="0"/>
          <w:szCs w:val="24"/>
          <w:rtl/>
        </w:rPr>
        <w:t>גורפת</w:t>
      </w:r>
      <w:r w:rsidRPr="00EC3DAF">
        <w:rPr>
          <w:rFonts w:ascii="Century" w:hAnsi="Century" w:cs="Miriam"/>
          <w:b/>
          <w:spacing w:val="0"/>
          <w:szCs w:val="24"/>
          <w:rtl/>
        </w:rPr>
        <w:t xml:space="preserve"> </w:t>
      </w:r>
      <w:r w:rsidRPr="00EC3DAF">
        <w:rPr>
          <w:rFonts w:ascii="Century" w:hAnsi="Century" w:cs="Miriam" w:hint="eastAsia"/>
          <w:b/>
          <w:spacing w:val="0"/>
          <w:szCs w:val="24"/>
          <w:rtl/>
        </w:rPr>
        <w:t>מעין</w:t>
      </w:r>
      <w:r w:rsidRPr="00EC3DAF">
        <w:rPr>
          <w:rFonts w:ascii="Century" w:hAnsi="Century" w:cs="Miriam"/>
          <w:b/>
          <w:spacing w:val="0"/>
          <w:szCs w:val="24"/>
          <w:rtl/>
        </w:rPr>
        <w:t xml:space="preserve"> </w:t>
      </w:r>
      <w:r w:rsidRPr="00EC3DAF">
        <w:rPr>
          <w:rFonts w:ascii="Century" w:hAnsi="Century" w:cs="Miriam" w:hint="eastAsia"/>
          <w:b/>
          <w:spacing w:val="0"/>
          <w:szCs w:val="24"/>
          <w:rtl/>
        </w:rPr>
        <w:t>זו</w:t>
      </w:r>
      <w:r w:rsidRPr="00EC3DAF">
        <w:rPr>
          <w:rFonts w:ascii="Century" w:hAnsi="Century" w:cs="Miriam"/>
          <w:b/>
          <w:spacing w:val="0"/>
          <w:szCs w:val="24"/>
          <w:rtl/>
        </w:rPr>
        <w:t xml:space="preserve"> </w:t>
      </w:r>
      <w:r w:rsidRPr="00EC3DAF">
        <w:rPr>
          <w:rFonts w:ascii="Century" w:hAnsi="Century" w:cs="Miriam" w:hint="eastAsia"/>
          <w:b/>
          <w:spacing w:val="0"/>
          <w:szCs w:val="24"/>
          <w:rtl/>
        </w:rPr>
        <w:t>הניתנת</w:t>
      </w:r>
      <w:r w:rsidRPr="00EC3DAF">
        <w:rPr>
          <w:rFonts w:ascii="Century" w:hAnsi="Century" w:cs="Miriam"/>
          <w:b/>
          <w:spacing w:val="0"/>
          <w:szCs w:val="24"/>
          <w:rtl/>
        </w:rPr>
        <w:t xml:space="preserve"> </w:t>
      </w:r>
      <w:r w:rsidRPr="00EC3DAF">
        <w:rPr>
          <w:rFonts w:ascii="Century" w:hAnsi="Century" w:cs="Miriam" w:hint="eastAsia"/>
          <w:b/>
          <w:spacing w:val="0"/>
          <w:szCs w:val="24"/>
          <w:rtl/>
        </w:rPr>
        <w:t>למדינה</w:t>
      </w:r>
      <w:r w:rsidRPr="00EC3DAF">
        <w:rPr>
          <w:rFonts w:ascii="Century" w:hAnsi="Century" w:cs="Miriam"/>
          <w:b/>
          <w:spacing w:val="0"/>
          <w:szCs w:val="24"/>
          <w:rtl/>
        </w:rPr>
        <w:t xml:space="preserve"> </w:t>
      </w:r>
      <w:r w:rsidRPr="00EC3DAF">
        <w:rPr>
          <w:rFonts w:ascii="Century" w:hAnsi="Century" w:cs="Miriam" w:hint="eastAsia"/>
          <w:b/>
          <w:spacing w:val="0"/>
          <w:szCs w:val="24"/>
          <w:rtl/>
        </w:rPr>
        <w:t>מכוח</w:t>
      </w:r>
      <w:r w:rsidRPr="00EC3DAF">
        <w:rPr>
          <w:rFonts w:ascii="Century" w:hAnsi="Century" w:cs="Miriam"/>
          <w:b/>
          <w:spacing w:val="0"/>
          <w:szCs w:val="24"/>
          <w:rtl/>
        </w:rPr>
        <w:t xml:space="preserve"> </w:t>
      </w:r>
      <w:r w:rsidRPr="00EC3DAF">
        <w:rPr>
          <w:rFonts w:ascii="Century" w:hAnsi="Century" w:cs="Miriam" w:hint="eastAsia"/>
          <w:b/>
          <w:spacing w:val="0"/>
          <w:szCs w:val="24"/>
          <w:rtl/>
        </w:rPr>
        <w:t>סעיף</w:t>
      </w:r>
      <w:r w:rsidRPr="00EC3DAF">
        <w:rPr>
          <w:rFonts w:ascii="Century" w:hAnsi="Century" w:cs="Miriam"/>
          <w:b/>
          <w:spacing w:val="0"/>
          <w:szCs w:val="24"/>
          <w:rtl/>
        </w:rPr>
        <w:t xml:space="preserve"> 5</w:t>
      </w:r>
      <w:r w:rsidRPr="00EC3DAF">
        <w:rPr>
          <w:rFonts w:ascii="Century" w:hAnsi="Century" w:cs="Miriam" w:hint="eastAsia"/>
          <w:b/>
          <w:spacing w:val="0"/>
          <w:szCs w:val="24"/>
          <w:rtl/>
        </w:rPr>
        <w:t>ג</w:t>
      </w:r>
      <w:r w:rsidRPr="00EC3DAF">
        <w:rPr>
          <w:rFonts w:ascii="Century" w:hAnsi="Century" w:cs="Miriam"/>
          <w:b/>
          <w:spacing w:val="0"/>
          <w:szCs w:val="24"/>
          <w:rtl/>
        </w:rPr>
        <w:t xml:space="preserve"> </w:t>
      </w:r>
      <w:r w:rsidRPr="00EC3DAF">
        <w:rPr>
          <w:rFonts w:ascii="Century" w:hAnsi="Century" w:cs="Miriam" w:hint="eastAsia"/>
          <w:b/>
          <w:spacing w:val="0"/>
          <w:szCs w:val="24"/>
          <w:rtl/>
        </w:rPr>
        <w:t>לתיקון</w:t>
      </w:r>
      <w:r w:rsidRPr="00EC3DAF">
        <w:rPr>
          <w:rFonts w:ascii="Century" w:hAnsi="Century" w:cs="Miriam"/>
          <w:b/>
          <w:spacing w:val="0"/>
          <w:szCs w:val="24"/>
          <w:rtl/>
        </w:rPr>
        <w:t xml:space="preserve"> </w:t>
      </w:r>
      <w:r w:rsidRPr="00EC3DAF">
        <w:rPr>
          <w:rFonts w:ascii="Century" w:hAnsi="Century" w:cs="Miriam" w:hint="eastAsia"/>
          <w:b/>
          <w:spacing w:val="0"/>
          <w:szCs w:val="24"/>
          <w:rtl/>
        </w:rPr>
        <w:t>מס</w:t>
      </w:r>
      <w:r w:rsidRPr="00EC3DAF">
        <w:rPr>
          <w:rFonts w:ascii="Century" w:hAnsi="Century" w:cs="Miriam"/>
          <w:b/>
          <w:spacing w:val="0"/>
          <w:szCs w:val="24"/>
          <w:rtl/>
        </w:rPr>
        <w:t xml:space="preserve">' 7 </w:t>
      </w:r>
      <w:r w:rsidRPr="00EC3DAF">
        <w:rPr>
          <w:rFonts w:ascii="Century" w:hAnsi="Century" w:cs="Miriam" w:hint="eastAsia"/>
          <w:b/>
          <w:spacing w:val="0"/>
          <w:szCs w:val="24"/>
          <w:rtl/>
        </w:rPr>
        <w:t>משמעה</w:t>
      </w:r>
      <w:r w:rsidRPr="00EC3DAF">
        <w:rPr>
          <w:rFonts w:ascii="Century" w:hAnsi="Century" w:cs="Miriam"/>
          <w:b/>
          <w:spacing w:val="0"/>
          <w:szCs w:val="24"/>
          <w:rtl/>
        </w:rPr>
        <w:t xml:space="preserve"> </w:t>
      </w:r>
      <w:r w:rsidRPr="00EC3DAF">
        <w:rPr>
          <w:rFonts w:ascii="Century" w:hAnsi="Century" w:cs="Miriam" w:hint="eastAsia"/>
          <w:b/>
          <w:spacing w:val="0"/>
          <w:szCs w:val="24"/>
          <w:rtl/>
        </w:rPr>
        <w:t>מתן</w:t>
      </w:r>
      <w:r w:rsidRPr="00EC3DAF">
        <w:rPr>
          <w:rFonts w:ascii="Century" w:hAnsi="Century" w:cs="Miriam"/>
          <w:b/>
          <w:spacing w:val="0"/>
          <w:szCs w:val="24"/>
          <w:rtl/>
        </w:rPr>
        <w:t xml:space="preserve"> </w:t>
      </w:r>
      <w:r w:rsidRPr="00EC3DAF">
        <w:rPr>
          <w:rFonts w:ascii="Century" w:hAnsi="Century" w:cs="Miriam" w:hint="eastAsia"/>
          <w:b/>
          <w:spacing w:val="0"/>
          <w:szCs w:val="24"/>
          <w:rtl/>
        </w:rPr>
        <w:t>פטור</w:t>
      </w:r>
      <w:r w:rsidRPr="00EC3DAF">
        <w:rPr>
          <w:rFonts w:ascii="Century" w:hAnsi="Century" w:cs="Miriam"/>
          <w:b/>
          <w:spacing w:val="0"/>
          <w:szCs w:val="24"/>
          <w:rtl/>
        </w:rPr>
        <w:t xml:space="preserve"> </w:t>
      </w:r>
      <w:r w:rsidRPr="00EC3DAF">
        <w:rPr>
          <w:rFonts w:ascii="Century" w:hAnsi="Century" w:cs="Miriam" w:hint="eastAsia"/>
          <w:b/>
          <w:spacing w:val="0"/>
          <w:szCs w:val="24"/>
          <w:rtl/>
        </w:rPr>
        <w:t>למדינה</w:t>
      </w:r>
      <w:r w:rsidRPr="00EC3DAF">
        <w:rPr>
          <w:rFonts w:ascii="Century" w:hAnsi="Century" w:cs="Miriam"/>
          <w:b/>
          <w:spacing w:val="0"/>
          <w:szCs w:val="24"/>
          <w:rtl/>
        </w:rPr>
        <w:t xml:space="preserve"> </w:t>
      </w:r>
      <w:r w:rsidRPr="00EC3DAF">
        <w:rPr>
          <w:rFonts w:ascii="Century" w:hAnsi="Century" w:cs="Miriam" w:hint="eastAsia"/>
          <w:b/>
          <w:spacing w:val="0"/>
          <w:szCs w:val="24"/>
          <w:rtl/>
        </w:rPr>
        <w:t>מאחריות</w:t>
      </w:r>
      <w:r w:rsidRPr="00EC3DAF">
        <w:rPr>
          <w:rFonts w:ascii="Century" w:hAnsi="Century" w:cs="Miriam"/>
          <w:b/>
          <w:spacing w:val="0"/>
          <w:szCs w:val="24"/>
          <w:rtl/>
        </w:rPr>
        <w:t xml:space="preserve"> </w:t>
      </w:r>
      <w:r w:rsidRPr="00EC3DAF">
        <w:rPr>
          <w:rFonts w:ascii="Century" w:hAnsi="Century" w:cs="Miriam" w:hint="eastAsia"/>
          <w:b/>
          <w:spacing w:val="0"/>
          <w:szCs w:val="24"/>
          <w:rtl/>
        </w:rPr>
        <w:t>בנזיקין</w:t>
      </w:r>
      <w:r w:rsidRPr="00EC3DAF">
        <w:rPr>
          <w:rFonts w:ascii="Century" w:hAnsi="Century" w:cs="Miriam"/>
          <w:b/>
          <w:spacing w:val="0"/>
          <w:szCs w:val="24"/>
          <w:rtl/>
        </w:rPr>
        <w:t xml:space="preserve"> </w:t>
      </w:r>
      <w:r w:rsidRPr="00EC3DAF">
        <w:rPr>
          <w:rFonts w:ascii="Century" w:hAnsi="Century" w:cs="Miriam" w:hint="eastAsia"/>
          <w:b/>
          <w:spacing w:val="0"/>
          <w:szCs w:val="24"/>
          <w:rtl/>
        </w:rPr>
        <w:t>ביחס</w:t>
      </w:r>
      <w:r w:rsidRPr="00EC3DAF">
        <w:rPr>
          <w:rFonts w:ascii="Century" w:hAnsi="Century" w:cs="Miriam"/>
          <w:b/>
          <w:spacing w:val="0"/>
          <w:szCs w:val="24"/>
          <w:rtl/>
        </w:rPr>
        <w:t xml:space="preserve"> </w:t>
      </w:r>
      <w:r w:rsidRPr="00EC3DAF">
        <w:rPr>
          <w:rFonts w:ascii="Century" w:hAnsi="Century" w:cs="Miriam" w:hint="eastAsia"/>
          <w:b/>
          <w:spacing w:val="0"/>
          <w:szCs w:val="24"/>
          <w:rtl/>
        </w:rPr>
        <w:t>לתחומים</w:t>
      </w:r>
      <w:r w:rsidRPr="00EC3DAF">
        <w:rPr>
          <w:rFonts w:ascii="Century" w:hAnsi="Century" w:cs="Miriam"/>
          <w:b/>
          <w:spacing w:val="0"/>
          <w:szCs w:val="24"/>
          <w:rtl/>
        </w:rPr>
        <w:t xml:space="preserve"> </w:t>
      </w:r>
      <w:r w:rsidRPr="00EC3DAF">
        <w:rPr>
          <w:rFonts w:ascii="Century" w:hAnsi="Century" w:cs="Miriam" w:hint="eastAsia"/>
          <w:b/>
          <w:spacing w:val="0"/>
          <w:szCs w:val="24"/>
          <w:rtl/>
        </w:rPr>
        <w:t>נרחבים</w:t>
      </w:r>
      <w:r w:rsidRPr="00EC3DAF">
        <w:rPr>
          <w:rFonts w:ascii="Century" w:hAnsi="Century" w:cs="Miriam"/>
          <w:b/>
          <w:spacing w:val="0"/>
          <w:szCs w:val="24"/>
          <w:rtl/>
        </w:rPr>
        <w:t xml:space="preserve"> </w:t>
      </w:r>
      <w:r w:rsidRPr="00EC3DAF">
        <w:rPr>
          <w:rFonts w:ascii="Century" w:hAnsi="Century" w:cs="Miriam" w:hint="eastAsia"/>
          <w:b/>
          <w:spacing w:val="0"/>
          <w:szCs w:val="24"/>
          <w:rtl/>
        </w:rPr>
        <w:t>של</w:t>
      </w:r>
      <w:r w:rsidRPr="00EC3DAF">
        <w:rPr>
          <w:rFonts w:ascii="Century" w:hAnsi="Century" w:cs="Miriam"/>
          <w:b/>
          <w:spacing w:val="0"/>
          <w:szCs w:val="24"/>
          <w:rtl/>
        </w:rPr>
        <w:t xml:space="preserve"> </w:t>
      </w:r>
      <w:r w:rsidRPr="00EC3DAF">
        <w:rPr>
          <w:rFonts w:ascii="Century" w:hAnsi="Century" w:cs="Miriam" w:hint="eastAsia"/>
          <w:b/>
          <w:spacing w:val="0"/>
          <w:szCs w:val="24"/>
          <w:rtl/>
        </w:rPr>
        <w:t>פעולות</w:t>
      </w:r>
      <w:r w:rsidRPr="00EC3DAF">
        <w:rPr>
          <w:rFonts w:ascii="Century" w:hAnsi="Century" w:cs="Miriam"/>
          <w:b/>
          <w:spacing w:val="0"/>
          <w:szCs w:val="24"/>
          <w:rtl/>
        </w:rPr>
        <w:t xml:space="preserve"> </w:t>
      </w:r>
      <w:r w:rsidRPr="00EC3DAF">
        <w:rPr>
          <w:rFonts w:ascii="Century" w:hAnsi="Century" w:cs="Miriam" w:hint="eastAsia"/>
          <w:b/>
          <w:spacing w:val="0"/>
          <w:szCs w:val="24"/>
          <w:rtl/>
        </w:rPr>
        <w:t>שאינן</w:t>
      </w:r>
      <w:r w:rsidRPr="00EC3DAF">
        <w:rPr>
          <w:rFonts w:ascii="Century" w:hAnsi="Century" w:cs="Miriam"/>
          <w:b/>
          <w:spacing w:val="0"/>
          <w:szCs w:val="24"/>
          <w:rtl/>
        </w:rPr>
        <w:t xml:space="preserve"> </w:t>
      </w:r>
      <w:r w:rsidRPr="00EC3DAF">
        <w:rPr>
          <w:rFonts w:ascii="Century" w:hAnsi="Century" w:cs="Miriam" w:hint="eastAsia"/>
          <w:b/>
          <w:spacing w:val="0"/>
          <w:szCs w:val="24"/>
          <w:rtl/>
        </w:rPr>
        <w:t>פעולות</w:t>
      </w:r>
      <w:r w:rsidRPr="00EC3DAF">
        <w:rPr>
          <w:rFonts w:ascii="Century" w:hAnsi="Century" w:cs="Miriam"/>
          <w:b/>
          <w:spacing w:val="0"/>
          <w:szCs w:val="24"/>
          <w:rtl/>
        </w:rPr>
        <w:t xml:space="preserve"> </w:t>
      </w:r>
      <w:r w:rsidRPr="00EC3DAF">
        <w:rPr>
          <w:rFonts w:ascii="Century" w:hAnsi="Century" w:cs="Miriam" w:hint="eastAsia"/>
          <w:b/>
          <w:spacing w:val="0"/>
          <w:szCs w:val="24"/>
          <w:rtl/>
        </w:rPr>
        <w:t>מלחמתיות</w:t>
      </w:r>
      <w:r w:rsidRPr="00EC3DAF">
        <w:rPr>
          <w:rFonts w:ascii="Century" w:hAnsi="Century" w:cs="Miriam"/>
          <w:b/>
          <w:spacing w:val="0"/>
          <w:szCs w:val="24"/>
          <w:rtl/>
        </w:rPr>
        <w:t xml:space="preserve"> </w:t>
      </w:r>
      <w:r w:rsidRPr="00EC3DAF">
        <w:rPr>
          <w:rFonts w:ascii="Century" w:hAnsi="Century" w:cs="Miriam" w:hint="eastAsia"/>
          <w:b/>
          <w:spacing w:val="0"/>
          <w:szCs w:val="24"/>
          <w:rtl/>
        </w:rPr>
        <w:t>גם</w:t>
      </w:r>
      <w:r w:rsidRPr="00EC3DAF">
        <w:rPr>
          <w:rFonts w:ascii="Century" w:hAnsi="Century" w:cs="Miriam"/>
          <w:b/>
          <w:spacing w:val="0"/>
          <w:szCs w:val="24"/>
          <w:rtl/>
        </w:rPr>
        <w:t xml:space="preserve"> </w:t>
      </w:r>
      <w:r w:rsidRPr="00EC3DAF">
        <w:rPr>
          <w:rFonts w:ascii="Century" w:hAnsi="Century" w:cs="Miriam" w:hint="eastAsia"/>
          <w:b/>
          <w:spacing w:val="0"/>
          <w:szCs w:val="24"/>
          <w:rtl/>
        </w:rPr>
        <w:t>על</w:t>
      </w:r>
      <w:r w:rsidRPr="00EC3DAF">
        <w:rPr>
          <w:rFonts w:ascii="Century" w:hAnsi="Century" w:cs="Miriam"/>
          <w:b/>
          <w:spacing w:val="0"/>
          <w:szCs w:val="24"/>
          <w:rtl/>
        </w:rPr>
        <w:t>-</w:t>
      </w:r>
      <w:r w:rsidRPr="00EC3DAF">
        <w:rPr>
          <w:rFonts w:ascii="Century" w:hAnsi="Century" w:cs="Miriam" w:hint="eastAsia"/>
          <w:b/>
          <w:spacing w:val="0"/>
          <w:szCs w:val="24"/>
          <w:rtl/>
        </w:rPr>
        <w:t>פי</w:t>
      </w:r>
      <w:r w:rsidRPr="00EC3DAF">
        <w:rPr>
          <w:rFonts w:ascii="Century" w:hAnsi="Century" w:cs="Miriam"/>
          <w:b/>
          <w:spacing w:val="0"/>
          <w:szCs w:val="24"/>
          <w:rtl/>
        </w:rPr>
        <w:t xml:space="preserve"> </w:t>
      </w:r>
      <w:r w:rsidRPr="00EC3DAF">
        <w:rPr>
          <w:rFonts w:ascii="Century" w:hAnsi="Century" w:cs="Miriam" w:hint="eastAsia"/>
          <w:b/>
          <w:spacing w:val="0"/>
          <w:szCs w:val="24"/>
          <w:rtl/>
        </w:rPr>
        <w:t>הגדרתו</w:t>
      </w:r>
      <w:r w:rsidRPr="00EC3DAF">
        <w:rPr>
          <w:rFonts w:ascii="Century" w:hAnsi="Century" w:cs="Miriam"/>
          <w:b/>
          <w:spacing w:val="0"/>
          <w:szCs w:val="24"/>
          <w:rtl/>
        </w:rPr>
        <w:t xml:space="preserve"> </w:t>
      </w:r>
      <w:r w:rsidRPr="00EC3DAF">
        <w:rPr>
          <w:rFonts w:ascii="Century" w:hAnsi="Century" w:cs="Miriam" w:hint="eastAsia"/>
          <w:b/>
          <w:spacing w:val="0"/>
          <w:szCs w:val="24"/>
          <w:rtl/>
        </w:rPr>
        <w:t>הרחבה</w:t>
      </w:r>
      <w:r w:rsidRPr="00EC3DAF">
        <w:rPr>
          <w:rFonts w:ascii="Century" w:hAnsi="Century" w:cs="Miriam"/>
          <w:b/>
          <w:spacing w:val="0"/>
          <w:szCs w:val="24"/>
          <w:rtl/>
        </w:rPr>
        <w:t xml:space="preserve"> </w:t>
      </w:r>
      <w:r w:rsidRPr="00EC3DAF">
        <w:rPr>
          <w:rFonts w:ascii="Century" w:hAnsi="Century" w:cs="Miriam" w:hint="eastAsia"/>
          <w:b/>
          <w:spacing w:val="0"/>
          <w:szCs w:val="24"/>
          <w:rtl/>
        </w:rPr>
        <w:t>של</w:t>
      </w:r>
      <w:r w:rsidRPr="00EC3DAF">
        <w:rPr>
          <w:rFonts w:ascii="Century" w:hAnsi="Century" w:cs="Miriam"/>
          <w:b/>
          <w:spacing w:val="0"/>
          <w:szCs w:val="24"/>
          <w:rtl/>
        </w:rPr>
        <w:t xml:space="preserve"> </w:t>
      </w:r>
      <w:r w:rsidRPr="00EC3DAF">
        <w:rPr>
          <w:rFonts w:ascii="Century" w:hAnsi="Century" w:cs="Miriam" w:hint="eastAsia"/>
          <w:b/>
          <w:spacing w:val="0"/>
          <w:szCs w:val="24"/>
          <w:rtl/>
        </w:rPr>
        <w:t>ביטוי</w:t>
      </w:r>
      <w:r w:rsidRPr="00EC3DAF">
        <w:rPr>
          <w:rFonts w:ascii="Century" w:hAnsi="Century" w:cs="Miriam"/>
          <w:b/>
          <w:spacing w:val="0"/>
          <w:szCs w:val="24"/>
          <w:rtl/>
        </w:rPr>
        <w:t xml:space="preserve"> </w:t>
      </w:r>
      <w:r w:rsidRPr="00EC3DAF">
        <w:rPr>
          <w:rFonts w:ascii="Century" w:hAnsi="Century" w:cs="Miriam" w:hint="eastAsia"/>
          <w:b/>
          <w:spacing w:val="0"/>
          <w:szCs w:val="24"/>
          <w:rtl/>
        </w:rPr>
        <w:t>זה</w:t>
      </w:r>
      <w:r>
        <w:rPr>
          <w:rFonts w:ascii="Century" w:hAnsi="Century" w:cs="Miriam" w:hint="cs"/>
          <w:b/>
          <w:spacing w:val="0"/>
          <w:szCs w:val="24"/>
          <w:rtl/>
        </w:rPr>
        <w:t>"</w:t>
      </w:r>
      <w:r w:rsidRPr="00371951">
        <w:rPr>
          <w:rFonts w:ascii="Century" w:hAnsi="Century"/>
          <w:rtl/>
        </w:rPr>
        <w:t xml:space="preserve"> (</w:t>
      </w:r>
      <w:r w:rsidRPr="00371951">
        <w:rPr>
          <w:rFonts w:ascii="Miriam" w:hAnsi="Miriam" w:cs="Miriam"/>
          <w:sz w:val="24"/>
          <w:szCs w:val="24"/>
          <w:rtl/>
        </w:rPr>
        <w:t>שם</w:t>
      </w:r>
      <w:r w:rsidRPr="00371951">
        <w:rPr>
          <w:rFonts w:ascii="Century" w:hAnsi="Century"/>
          <w:rtl/>
        </w:rPr>
        <w:t xml:space="preserve">, </w:t>
      </w:r>
      <w:r w:rsidRPr="00371951">
        <w:rPr>
          <w:rFonts w:ascii="Century" w:hAnsi="Century" w:hint="eastAsia"/>
          <w:rtl/>
        </w:rPr>
        <w:t>פסקה</w:t>
      </w:r>
      <w:r w:rsidRPr="00371951">
        <w:rPr>
          <w:rFonts w:ascii="Century" w:hAnsi="Century"/>
          <w:rtl/>
        </w:rPr>
        <w:t xml:space="preserve"> 36).</w:t>
      </w:r>
    </w:p>
    <w:p w:rsidR="00D512D4" w:rsidRPr="00EC3DAF" w:rsidRDefault="00D512D4" w:rsidP="00AA1CE0">
      <w:pPr>
        <w:pStyle w:val="Ruller41"/>
        <w:spacing w:line="240" w:lineRule="auto"/>
      </w:pPr>
    </w:p>
    <w:p w:rsidR="00D512D4" w:rsidRDefault="00D512D4" w:rsidP="00811B3D">
      <w:pPr>
        <w:pStyle w:val="Ruller4"/>
      </w:pPr>
      <w:r>
        <w:rPr>
          <w:rFonts w:hint="cs"/>
          <w:rtl/>
        </w:rPr>
        <w:t xml:space="preserve">מצב הדברים ברצועת עזה דהאידנא </w:t>
      </w:r>
      <w:r>
        <w:rPr>
          <w:rtl/>
        </w:rPr>
        <w:t>–</w:t>
      </w:r>
      <w:r>
        <w:rPr>
          <w:rFonts w:hint="cs"/>
          <w:rtl/>
        </w:rPr>
        <w:t xml:space="preserve"> אינו דומה. יציאת ישראל מהרצועה הביאה להפסקת התפיסה הלוחמתית. כוחות צה"ל אינם נמצאים עוד באופן קבוע בשטחי עזה, וממילא לא מתקיים אותו חיכוך קבוע שבו דוּב</w:t>
      </w:r>
      <w:r w:rsidR="00C60BD6">
        <w:rPr>
          <w:rFonts w:hint="cs"/>
          <w:rtl/>
        </w:rPr>
        <w:t>ּ</w:t>
      </w:r>
      <w:r>
        <w:rPr>
          <w:rFonts w:hint="cs"/>
          <w:rtl/>
        </w:rPr>
        <w:t xml:space="preserve">ר בעניין </w:t>
      </w:r>
      <w:r w:rsidRPr="00371951">
        <w:rPr>
          <w:rFonts w:ascii="Century" w:hAnsi="Century" w:cs="Miriam" w:hint="eastAsia"/>
          <w:b/>
          <w:spacing w:val="0"/>
          <w:sz w:val="22"/>
          <w:szCs w:val="24"/>
          <w:rtl/>
        </w:rPr>
        <w:t>עדאלה</w:t>
      </w:r>
      <w:r>
        <w:rPr>
          <w:rFonts w:hint="cs"/>
          <w:rtl/>
        </w:rPr>
        <w:t xml:space="preserve">, </w:t>
      </w:r>
      <w:r w:rsidR="0062146A">
        <w:rPr>
          <w:rFonts w:hint="cs"/>
          <w:rtl/>
        </w:rPr>
        <w:t>בין כוחות הביטחון לבין האוכלוסי</w:t>
      </w:r>
      <w:r>
        <w:rPr>
          <w:rFonts w:hint="cs"/>
          <w:rtl/>
        </w:rPr>
        <w:t xml:space="preserve">ה המתגוררת ברצועה. ישראל אינה מבצעת מעצרים בעזה; חייליה פרוסים מסביב לרצועה, לא בתוכה; מצב הלחימה המתמשך מקרין על קשרי התיאום הדלים והמצומצמים מול ארגון החמאס, אם בכלל; ישראל אינה מבצעת פעולות אזרחיות בעזה; </w:t>
      </w:r>
      <w:r w:rsidR="00811B3D">
        <w:rPr>
          <w:rFonts w:hint="cs"/>
          <w:rtl/>
        </w:rPr>
        <w:t>ישראל</w:t>
      </w:r>
      <w:r>
        <w:rPr>
          <w:rFonts w:hint="cs"/>
          <w:rtl/>
        </w:rPr>
        <w:t xml:space="preserve"> אינה מנהלת את החיים האזרחיים שם, ומידת השפעתה על ניהול עניינים אלו, כמעט ואינה קיימת. מצב דברים זה, שונה באופן מהותי מן המתרחש בשטחי איו"ש. גם אם קיימת לישראל שליטה מסוימת על חלק ממעברי הגבול הסובבים ומקיפים את רצועת עזה, אין בכך כדי לקרב את מעמדה של עזה, למעמדם של שטחי יהודה ושומרון, שם נוכחות כוחות הביטחון היא יומיומית; ודאי שאין בכך כדי להגדיר את עזה כשטח הנתון לתפיסה לוחמתית. הלכה למעשה, ובכך עיקר, </w:t>
      </w:r>
      <w:r w:rsidRPr="006644DD">
        <w:rPr>
          <w:rFonts w:ascii="Century" w:hAnsi="Century" w:cs="Miriam" w:hint="eastAsia"/>
          <w:b/>
          <w:spacing w:val="0"/>
          <w:sz w:val="22"/>
          <w:szCs w:val="24"/>
          <w:rtl/>
        </w:rPr>
        <w:t>הממשק</w:t>
      </w:r>
      <w:r w:rsidRPr="006644DD">
        <w:rPr>
          <w:rFonts w:ascii="Century" w:hAnsi="Century" w:cs="Miriam"/>
          <w:b/>
          <w:spacing w:val="0"/>
          <w:sz w:val="22"/>
          <w:szCs w:val="24"/>
          <w:rtl/>
        </w:rPr>
        <w:t xml:space="preserve"> </w:t>
      </w:r>
      <w:r w:rsidRPr="006644DD">
        <w:rPr>
          <w:rFonts w:ascii="Century" w:hAnsi="Century" w:cs="Miriam" w:hint="eastAsia"/>
          <w:b/>
          <w:spacing w:val="0"/>
          <w:sz w:val="22"/>
          <w:szCs w:val="24"/>
          <w:rtl/>
        </w:rPr>
        <w:t>העיקרי</w:t>
      </w:r>
      <w:r w:rsidRPr="00371951">
        <w:rPr>
          <w:rtl/>
        </w:rPr>
        <w:t xml:space="preserve"> של ישראל עם עזה ותושביה, למרבה הצער, נובע מיחסי העוינות והאיבה שבין הצדדים.</w:t>
      </w:r>
      <w:r>
        <w:rPr>
          <w:rFonts w:hint="cs"/>
          <w:rtl/>
        </w:rPr>
        <w:t xml:space="preserve"> לפיכך, במקרים אלו קמה וגם ניצבה, מעין 'חזקה', שלפיה פעולותיה של ישראל ברצועת עזה, קשורות וכרוכות מיניה ו</w:t>
      </w:r>
      <w:r w:rsidR="0062146A">
        <w:rPr>
          <w:rFonts w:hint="cs"/>
          <w:rtl/>
        </w:rPr>
        <w:t>ביה, ב</w:t>
      </w:r>
      <w:r>
        <w:rPr>
          <w:rFonts w:hint="cs"/>
          <w:rtl/>
        </w:rPr>
        <w:t xml:space="preserve">מצב הלחימה השורר בין הצדדים. נוכח האמור, אין מקום, לשיטתי, לגזור גזירה-שווה מעניין </w:t>
      </w:r>
      <w:r w:rsidRPr="008633C3">
        <w:rPr>
          <w:rFonts w:ascii="Century" w:hAnsi="Century" w:cs="Miriam" w:hint="cs"/>
          <w:b/>
          <w:spacing w:val="0"/>
          <w:sz w:val="22"/>
          <w:szCs w:val="24"/>
          <w:rtl/>
        </w:rPr>
        <w:t>עדאלה</w:t>
      </w:r>
      <w:r>
        <w:rPr>
          <w:rFonts w:hint="cs"/>
          <w:rtl/>
        </w:rPr>
        <w:t xml:space="preserve">, </w:t>
      </w:r>
      <w:r w:rsidR="0062146A">
        <w:rPr>
          <w:rFonts w:hint="cs"/>
          <w:rtl/>
        </w:rPr>
        <w:t>לעניין דנן</w:t>
      </w:r>
      <w:r>
        <w:rPr>
          <w:rFonts w:hint="cs"/>
          <w:rtl/>
        </w:rPr>
        <w:t xml:space="preserve"> (למקרים נוספים שבהם השׁוֹנוּת בין יהודה ושומרון לרצועת עזה, הצדיקה תוצאה משפטית שונה, ראו: עניין </w:t>
      </w:r>
      <w:r w:rsidRPr="00B41EF5">
        <w:rPr>
          <w:rFonts w:ascii="Century" w:hAnsi="Century" w:cs="Miriam" w:hint="cs"/>
          <w:b/>
          <w:spacing w:val="0"/>
          <w:sz w:val="22"/>
          <w:szCs w:val="24"/>
          <w:rtl/>
        </w:rPr>
        <w:t>איחוד משפחות</w:t>
      </w:r>
      <w:r>
        <w:rPr>
          <w:rFonts w:ascii="Century" w:hAnsi="Century" w:cs="Miriam" w:hint="cs"/>
          <w:b/>
          <w:spacing w:val="0"/>
          <w:sz w:val="22"/>
          <w:szCs w:val="24"/>
          <w:rtl/>
        </w:rPr>
        <w:t xml:space="preserve"> 2</w:t>
      </w:r>
      <w:r>
        <w:rPr>
          <w:rFonts w:hint="cs"/>
          <w:rtl/>
        </w:rPr>
        <w:t xml:space="preserve">, פסקה 17 לפסק הדין של השופטת </w:t>
      </w:r>
      <w:r>
        <w:rPr>
          <w:rFonts w:ascii="Century" w:hAnsi="Century" w:cs="Miriam" w:hint="cs"/>
          <w:b/>
          <w:spacing w:val="0"/>
          <w:sz w:val="22"/>
          <w:szCs w:val="24"/>
          <w:rtl/>
        </w:rPr>
        <w:t xml:space="preserve">ע' </w:t>
      </w:r>
      <w:r w:rsidRPr="00B41EF5">
        <w:rPr>
          <w:rFonts w:ascii="Century" w:hAnsi="Century" w:cs="Miriam" w:hint="cs"/>
          <w:b/>
          <w:spacing w:val="0"/>
          <w:sz w:val="22"/>
          <w:szCs w:val="24"/>
          <w:rtl/>
        </w:rPr>
        <w:t>ארבל</w:t>
      </w:r>
      <w:r>
        <w:rPr>
          <w:rFonts w:hint="cs"/>
          <w:rtl/>
        </w:rPr>
        <w:t xml:space="preserve">; </w:t>
      </w:r>
      <w:r w:rsidRPr="00462E76">
        <w:rPr>
          <w:rFonts w:ascii="FrankRuehl" w:hAnsi="FrankRuehl"/>
          <w:b/>
          <w:spacing w:val="0"/>
          <w:sz w:val="28"/>
          <w:rtl/>
        </w:rPr>
        <w:t xml:space="preserve">עניין </w:t>
      </w:r>
      <w:r>
        <w:rPr>
          <w:rFonts w:ascii="Century" w:hAnsi="Century" w:cs="Miriam" w:hint="cs"/>
          <w:b/>
          <w:spacing w:val="0"/>
          <w:sz w:val="22"/>
          <w:szCs w:val="24"/>
          <w:rtl/>
        </w:rPr>
        <w:t>עליאן</w:t>
      </w:r>
      <w:r>
        <w:rPr>
          <w:rFonts w:hint="cs"/>
          <w:rtl/>
        </w:rPr>
        <w:t>, פסקאות</w:t>
      </w:r>
      <w:r w:rsidR="00C94C06">
        <w:rPr>
          <w:rFonts w:hint="cs"/>
          <w:rtl/>
        </w:rPr>
        <w:t xml:space="preserve">     </w:t>
      </w:r>
      <w:r>
        <w:rPr>
          <w:rFonts w:hint="cs"/>
          <w:rtl/>
        </w:rPr>
        <w:t xml:space="preserve"> 34-32 לפסק הדין של השופטת </w:t>
      </w:r>
      <w:r w:rsidRPr="007761E2">
        <w:rPr>
          <w:rFonts w:ascii="Century" w:hAnsi="Century" w:cs="Miriam" w:hint="cs"/>
          <w:b/>
          <w:spacing w:val="0"/>
          <w:sz w:val="22"/>
          <w:szCs w:val="24"/>
          <w:rtl/>
        </w:rPr>
        <w:t>ד' ברק</w:t>
      </w:r>
      <w:r>
        <w:rPr>
          <w:rFonts w:ascii="Century" w:hAnsi="Century" w:cs="Miriam" w:hint="cs"/>
          <w:b/>
          <w:spacing w:val="0"/>
          <w:sz w:val="22"/>
          <w:szCs w:val="24"/>
          <w:rtl/>
        </w:rPr>
        <w:t xml:space="preserve"> </w:t>
      </w:r>
      <w:r w:rsidRPr="007761E2">
        <w:rPr>
          <w:rFonts w:ascii="Century" w:hAnsi="Century" w:cs="Miriam" w:hint="cs"/>
          <w:b/>
          <w:spacing w:val="0"/>
          <w:sz w:val="22"/>
          <w:szCs w:val="24"/>
          <w:rtl/>
        </w:rPr>
        <w:t>ארז</w:t>
      </w:r>
      <w:r>
        <w:rPr>
          <w:rFonts w:hint="cs"/>
          <w:rtl/>
        </w:rPr>
        <w:t>).</w:t>
      </w:r>
    </w:p>
    <w:p w:rsidR="00D512D4" w:rsidRPr="00EC3DAF" w:rsidRDefault="00D512D4" w:rsidP="00AA1CE0">
      <w:pPr>
        <w:pStyle w:val="Ruller4"/>
        <w:numPr>
          <w:ilvl w:val="0"/>
          <w:numId w:val="0"/>
        </w:numPr>
        <w:spacing w:line="240" w:lineRule="auto"/>
      </w:pPr>
      <w:r>
        <w:rPr>
          <w:rFonts w:hint="cs"/>
          <w:rtl/>
        </w:rPr>
        <w:t xml:space="preserve"> </w:t>
      </w:r>
    </w:p>
    <w:p w:rsidR="00D512D4" w:rsidRDefault="00D512D4" w:rsidP="00811B3D">
      <w:pPr>
        <w:pStyle w:val="Ruller4"/>
      </w:pPr>
      <w:r>
        <w:rPr>
          <w:rFonts w:hint="cs"/>
          <w:rtl/>
        </w:rPr>
        <w:t xml:space="preserve">המערער יוצא חוצץ נגד אבחנה זו. לטענתו, לא אחת נקבע בפסיקה, כי ישראל חבה חובות מיוחדים כלפי תושבי רצועת עזה, וכי אלה </w:t>
      </w:r>
      <w:r w:rsidRPr="001446F7">
        <w:rPr>
          <w:rFonts w:ascii="Century" w:hAnsi="Century" w:cs="Miriam" w:hint="cs"/>
          <w:b/>
          <w:spacing w:val="0"/>
          <w:sz w:val="22"/>
          <w:szCs w:val="24"/>
          <w:rtl/>
        </w:rPr>
        <w:t>"מעולם לא איבדו מעמדם כאוכלוסייה מוגנת על פי המשפט הבינלאומי ההומניטרי"</w:t>
      </w:r>
      <w:r>
        <w:rPr>
          <w:rFonts w:hint="cs"/>
          <w:rtl/>
        </w:rPr>
        <w:t>. לפיכך נטען</w:t>
      </w:r>
      <w:r w:rsidR="0062146A">
        <w:rPr>
          <w:rFonts w:hint="cs"/>
          <w:rtl/>
        </w:rPr>
        <w:t>,</w:t>
      </w:r>
      <w:r>
        <w:rPr>
          <w:rFonts w:hint="cs"/>
          <w:rtl/>
        </w:rPr>
        <w:t xml:space="preserve"> כי יש להחיל את הוראות המשפט הבינלאומי, הקובעות חובת פיצוי על נ</w:t>
      </w:r>
      <w:r w:rsidR="0062146A">
        <w:rPr>
          <w:rFonts w:hint="cs"/>
          <w:rtl/>
        </w:rPr>
        <w:t>זקים שנגרמו ל'תושבים מוגנים' על-</w:t>
      </w:r>
      <w:r>
        <w:rPr>
          <w:rFonts w:hint="cs"/>
          <w:rtl/>
        </w:rPr>
        <w:t>ידי צד לסכסוך. אין בידי לקבל עמדה זו. לטעמי, עיון בפסיקתו של בית משפט זה, תוך הפעלת שכל ישר, אינו מותיר מקום לספק, כי היציאה הפיסית משטחי רצועת עזה, וביטולו של הממשל הצבאי שם, הביא</w:t>
      </w:r>
      <w:r w:rsidR="00811B3D">
        <w:rPr>
          <w:rFonts w:hint="cs"/>
          <w:rtl/>
        </w:rPr>
        <w:t>ו</w:t>
      </w:r>
      <w:r>
        <w:rPr>
          <w:rFonts w:hint="cs"/>
          <w:rtl/>
        </w:rPr>
        <w:t xml:space="preserve"> לסיום מצב התפיסה הלוחמתית ברצועת עזה על-פי הדין הבינלאומי; ובהתאמה הביא</w:t>
      </w:r>
      <w:r w:rsidR="00811B3D">
        <w:rPr>
          <w:rFonts w:hint="cs"/>
          <w:rtl/>
        </w:rPr>
        <w:t xml:space="preserve">ו </w:t>
      </w:r>
      <w:r>
        <w:rPr>
          <w:rFonts w:hint="cs"/>
          <w:rtl/>
        </w:rPr>
        <w:t xml:space="preserve">גם להפסקת התחולה של דיני התפיסה הלוחמתית, תוך שינוי מעמדם של תושבי רצועת עזה. כך נפסק על-ידי בית משפט זה (ראו למשל: עניין </w:t>
      </w:r>
      <w:r w:rsidRPr="001446F7">
        <w:rPr>
          <w:rFonts w:ascii="Century" w:hAnsi="Century" w:cs="Miriam" w:hint="cs"/>
          <w:b/>
          <w:spacing w:val="0"/>
          <w:sz w:val="22"/>
          <w:szCs w:val="24"/>
          <w:rtl/>
        </w:rPr>
        <w:t>אלבסיוני</w:t>
      </w:r>
      <w:r>
        <w:rPr>
          <w:rFonts w:hint="cs"/>
          <w:rtl/>
        </w:rPr>
        <w:t xml:space="preserve">; עניין </w:t>
      </w:r>
      <w:r w:rsidRPr="00D5605F">
        <w:rPr>
          <w:rFonts w:ascii="Century" w:hAnsi="Century" w:cs="Miriam" w:hint="cs"/>
          <w:b/>
          <w:spacing w:val="0"/>
          <w:sz w:val="22"/>
          <w:szCs w:val="24"/>
          <w:rtl/>
        </w:rPr>
        <w:t>רופאים לזכויות אדם</w:t>
      </w:r>
      <w:r>
        <w:rPr>
          <w:rFonts w:hint="cs"/>
          <w:rtl/>
        </w:rPr>
        <w:t xml:space="preserve">; עניין </w:t>
      </w:r>
      <w:r w:rsidRPr="001446F7">
        <w:rPr>
          <w:rFonts w:ascii="Century" w:hAnsi="Century" w:cs="Miriam" w:hint="cs"/>
          <w:b/>
          <w:spacing w:val="0"/>
          <w:sz w:val="22"/>
          <w:szCs w:val="24"/>
          <w:rtl/>
        </w:rPr>
        <w:t>יש-דין</w:t>
      </w:r>
      <w:r>
        <w:rPr>
          <w:rFonts w:hint="cs"/>
          <w:rtl/>
        </w:rPr>
        <w:t xml:space="preserve">; עניין </w:t>
      </w:r>
      <w:r w:rsidRPr="00164368">
        <w:rPr>
          <w:rFonts w:ascii="Century" w:hAnsi="Century" w:cs="Miriam" w:hint="cs"/>
          <w:b/>
          <w:spacing w:val="0"/>
          <w:sz w:val="22"/>
          <w:szCs w:val="24"/>
          <w:rtl/>
        </w:rPr>
        <w:t>פלוני</w:t>
      </w:r>
      <w:r>
        <w:rPr>
          <w:rFonts w:ascii="FrankRuehl" w:hAnsi="FrankRuehl" w:hint="cs"/>
          <w:b/>
          <w:spacing w:val="0"/>
          <w:sz w:val="28"/>
          <w:rtl/>
        </w:rPr>
        <w:t>;</w:t>
      </w:r>
      <w:r>
        <w:rPr>
          <w:rFonts w:ascii="FrankRuehl" w:hAnsi="FrankRuehl" w:hint="cs"/>
          <w:b/>
          <w:spacing w:val="0"/>
          <w:sz w:val="28"/>
        </w:rPr>
        <w:t xml:space="preserve"> </w:t>
      </w:r>
      <w:r w:rsidRPr="002260FA">
        <w:rPr>
          <w:rFonts w:ascii="FrankRuehl" w:hAnsi="FrankRuehl"/>
          <w:b/>
          <w:spacing w:val="0"/>
          <w:sz w:val="28"/>
          <w:rtl/>
        </w:rPr>
        <w:t>עניין</w:t>
      </w:r>
      <w:r>
        <w:rPr>
          <w:rFonts w:ascii="Century" w:hAnsi="Century" w:cs="Miriam" w:hint="cs"/>
          <w:b/>
          <w:spacing w:val="0"/>
          <w:sz w:val="22"/>
          <w:szCs w:val="24"/>
          <w:rtl/>
        </w:rPr>
        <w:t xml:space="preserve"> ציאם</w:t>
      </w:r>
      <w:r>
        <w:rPr>
          <w:rFonts w:hint="cs"/>
          <w:rtl/>
        </w:rPr>
        <w:t xml:space="preserve">), וזו גם התפיסה הרווחת </w:t>
      </w:r>
      <w:r w:rsidRPr="001446F7">
        <w:rPr>
          <w:rFonts w:ascii="Century" w:hAnsi="Century" w:cs="Miriam" w:hint="cs"/>
          <w:b/>
          <w:spacing w:val="0"/>
          <w:sz w:val="22"/>
          <w:szCs w:val="24"/>
          <w:rtl/>
        </w:rPr>
        <w:t>"בפרקטיקה הבין-לאומית והמדינתית כאחד כמו גם בכתבי המלומדים"</w:t>
      </w:r>
      <w:r>
        <w:rPr>
          <w:rFonts w:hint="cs"/>
          <w:rtl/>
        </w:rPr>
        <w:t xml:space="preserve"> (</w:t>
      </w:r>
      <w:r w:rsidRPr="001446F7">
        <w:rPr>
          <w:rFonts w:ascii="Century" w:hAnsi="Century" w:cs="Miriam" w:hint="cs"/>
          <w:b/>
          <w:spacing w:val="0"/>
          <w:sz w:val="22"/>
          <w:szCs w:val="24"/>
          <w:rtl/>
        </w:rPr>
        <w:t>שיינדורף ושמיר-בורר</w:t>
      </w:r>
      <w:r>
        <w:rPr>
          <w:rFonts w:hint="cs"/>
          <w:rtl/>
        </w:rPr>
        <w:t xml:space="preserve">, עמוד 413; עוד ראו: תקנה 42 לתקנות אמנת האג; </w:t>
      </w:r>
      <w:r w:rsidRPr="007A109A">
        <w:t xml:space="preserve">Yuval Shany, </w:t>
      </w:r>
      <w:r>
        <w:t>"</w:t>
      </w:r>
      <w:r w:rsidRPr="007A109A">
        <w:t>Faraway So Close, The Legal Status of Gaza after Israeli Disengagement</w:t>
      </w:r>
      <w:r>
        <w:t>"</w:t>
      </w:r>
      <w:r w:rsidRPr="007A109A">
        <w:t>, 8 Y.B.</w:t>
      </w:r>
      <w:r>
        <w:t xml:space="preserve"> </w:t>
      </w:r>
      <w:r w:rsidRPr="007A109A">
        <w:t>Int'l Humanitarian L. 359,</w:t>
      </w:r>
      <w:r>
        <w:t xml:space="preserve"> </w:t>
      </w:r>
      <w:r w:rsidRPr="007A109A">
        <w:t>379-383 (2005)</w:t>
      </w:r>
      <w:r>
        <w:t>; Yuval Shany, "</w:t>
      </w:r>
      <w:r w:rsidRPr="00472C9B">
        <w:t>Binary Law Meets Complex Reality: The Occupation of Gaza Debate</w:t>
      </w:r>
      <w:r>
        <w:t>", 41 Isr. L. Rev. 68 (2008)</w:t>
      </w:r>
      <w:r>
        <w:rPr>
          <w:rFonts w:hint="cs"/>
          <w:rtl/>
        </w:rPr>
        <w:t>);</w:t>
      </w:r>
      <w:r w:rsidRPr="00870FF3">
        <w:rPr>
          <w:rFonts w:hint="eastAsia"/>
          <w:rtl/>
        </w:rPr>
        <w:t xml:space="preserve"> </w:t>
      </w:r>
      <w:r>
        <w:rPr>
          <w:rFonts w:hint="cs"/>
          <w:rtl/>
        </w:rPr>
        <w:t xml:space="preserve">אריאל צמח, "מהן חובותיה המשפטיות של ישראל כלפי אוכלוסיית עזה?" </w:t>
      </w:r>
      <w:r w:rsidRPr="00870FF3">
        <w:rPr>
          <w:rFonts w:ascii="Century" w:hAnsi="Century" w:cs="Miriam" w:hint="cs"/>
          <w:b/>
          <w:spacing w:val="0"/>
          <w:sz w:val="22"/>
          <w:szCs w:val="24"/>
          <w:rtl/>
        </w:rPr>
        <w:t>משפט וממשל</w:t>
      </w:r>
      <w:r w:rsidRPr="00876993">
        <w:rPr>
          <w:rFonts w:ascii="Century" w:hAnsi="Century"/>
          <w:sz w:val="22"/>
          <w:rtl/>
        </w:rPr>
        <w:t xml:space="preserve"> </w:t>
      </w:r>
      <w:r w:rsidRPr="00876993">
        <w:rPr>
          <w:rFonts w:ascii="Century" w:hAnsi="Century" w:hint="eastAsia"/>
          <w:sz w:val="22"/>
          <w:rtl/>
        </w:rPr>
        <w:t>יב</w:t>
      </w:r>
      <w:r w:rsidRPr="00876993">
        <w:rPr>
          <w:rFonts w:ascii="Century" w:hAnsi="Century"/>
          <w:sz w:val="22"/>
          <w:rtl/>
        </w:rPr>
        <w:t xml:space="preserve"> </w:t>
      </w:r>
      <w:r>
        <w:rPr>
          <w:rFonts w:ascii="Century" w:hAnsi="Century" w:hint="cs"/>
          <w:sz w:val="22"/>
          <w:rtl/>
        </w:rPr>
        <w:t xml:space="preserve">86 </w:t>
      </w:r>
      <w:r>
        <w:rPr>
          <w:rFonts w:hint="cs"/>
          <w:rtl/>
        </w:rPr>
        <w:t>(התש"ע);</w:t>
      </w:r>
      <w:r w:rsidRPr="00207467">
        <w:rPr>
          <w:rFonts w:hint="eastAsia"/>
          <w:rtl/>
        </w:rPr>
        <w:t xml:space="preserve"> </w:t>
      </w:r>
      <w:r w:rsidRPr="00CC2DF6">
        <w:rPr>
          <w:rFonts w:hint="eastAsia"/>
          <w:rtl/>
        </w:rPr>
        <w:t>איל</w:t>
      </w:r>
      <w:r w:rsidRPr="00CC2DF6">
        <w:rPr>
          <w:rtl/>
        </w:rPr>
        <w:t xml:space="preserve"> </w:t>
      </w:r>
      <w:r w:rsidRPr="00CC2DF6">
        <w:rPr>
          <w:rFonts w:hint="eastAsia"/>
          <w:rtl/>
        </w:rPr>
        <w:t>בנבנישתי</w:t>
      </w:r>
      <w:r w:rsidRPr="00CC2DF6">
        <w:rPr>
          <w:rtl/>
        </w:rPr>
        <w:t>, "</w:t>
      </w:r>
      <w:r w:rsidRPr="00CC2DF6">
        <w:rPr>
          <w:rFonts w:hint="eastAsia"/>
          <w:rtl/>
        </w:rPr>
        <w:t>כי</w:t>
      </w:r>
      <w:r w:rsidRPr="00CC2DF6">
        <w:rPr>
          <w:rtl/>
        </w:rPr>
        <w:t xml:space="preserve"> </w:t>
      </w:r>
      <w:r w:rsidRPr="00CC2DF6">
        <w:rPr>
          <w:rFonts w:hint="eastAsia"/>
          <w:rtl/>
        </w:rPr>
        <w:t>תצור</w:t>
      </w:r>
      <w:r w:rsidRPr="00CC2DF6">
        <w:rPr>
          <w:rtl/>
        </w:rPr>
        <w:t xml:space="preserve"> </w:t>
      </w:r>
      <w:r w:rsidRPr="00CC2DF6">
        <w:rPr>
          <w:rFonts w:hint="eastAsia"/>
          <w:rtl/>
        </w:rPr>
        <w:t>אל</w:t>
      </w:r>
      <w:r w:rsidRPr="00CC2DF6">
        <w:rPr>
          <w:rtl/>
        </w:rPr>
        <w:t xml:space="preserve"> </w:t>
      </w:r>
      <w:r w:rsidRPr="00CC2DF6">
        <w:rPr>
          <w:rFonts w:hint="eastAsia"/>
          <w:rtl/>
        </w:rPr>
        <w:t>עיר</w:t>
      </w:r>
      <w:r w:rsidRPr="00CC2DF6">
        <w:rPr>
          <w:rtl/>
        </w:rPr>
        <w:t xml:space="preserve">... </w:t>
      </w:r>
      <w:r w:rsidRPr="00CC2DF6">
        <w:rPr>
          <w:rFonts w:hint="eastAsia"/>
          <w:rtl/>
        </w:rPr>
        <w:t>לא</w:t>
      </w:r>
      <w:r w:rsidRPr="00CC2DF6">
        <w:rPr>
          <w:rtl/>
        </w:rPr>
        <w:t xml:space="preserve"> </w:t>
      </w:r>
      <w:r w:rsidRPr="00CC2DF6">
        <w:rPr>
          <w:rFonts w:hint="eastAsia"/>
          <w:rtl/>
        </w:rPr>
        <w:t>תשחית</w:t>
      </w:r>
      <w:r w:rsidRPr="00CC2DF6">
        <w:rPr>
          <w:rtl/>
        </w:rPr>
        <w:t xml:space="preserve"> </w:t>
      </w:r>
      <w:r w:rsidRPr="00CC2DF6">
        <w:rPr>
          <w:rFonts w:hint="eastAsia"/>
          <w:rtl/>
        </w:rPr>
        <w:t>את</w:t>
      </w:r>
      <w:r w:rsidRPr="00CC2DF6">
        <w:rPr>
          <w:rtl/>
        </w:rPr>
        <w:t xml:space="preserve"> </w:t>
      </w:r>
      <w:r w:rsidRPr="00CC2DF6">
        <w:rPr>
          <w:rFonts w:hint="eastAsia"/>
          <w:rtl/>
        </w:rPr>
        <w:t>עצה</w:t>
      </w:r>
      <w:r w:rsidRPr="00CC2DF6">
        <w:rPr>
          <w:rtl/>
        </w:rPr>
        <w:t xml:space="preserve">" </w:t>
      </w:r>
      <w:r>
        <w:rPr>
          <w:rtl/>
        </w:rPr>
        <w:t>–</w:t>
      </w:r>
      <w:r w:rsidRPr="00CC2DF6">
        <w:rPr>
          <w:rtl/>
        </w:rPr>
        <w:t xml:space="preserve"> </w:t>
      </w:r>
      <w:r w:rsidRPr="00CC2DF6">
        <w:rPr>
          <w:rFonts w:hint="eastAsia"/>
          <w:rtl/>
        </w:rPr>
        <w:t>על</w:t>
      </w:r>
      <w:r w:rsidRPr="00CC2DF6">
        <w:rPr>
          <w:rtl/>
        </w:rPr>
        <w:t xml:space="preserve"> </w:t>
      </w:r>
      <w:r w:rsidRPr="00CC2DF6">
        <w:rPr>
          <w:rFonts w:hint="eastAsia"/>
          <w:rtl/>
        </w:rPr>
        <w:t>מידתיות</w:t>
      </w:r>
      <w:r w:rsidRPr="00CC2DF6">
        <w:rPr>
          <w:rtl/>
        </w:rPr>
        <w:t xml:space="preserve"> </w:t>
      </w:r>
      <w:r w:rsidRPr="00CC2DF6">
        <w:rPr>
          <w:rFonts w:hint="eastAsia"/>
          <w:rtl/>
        </w:rPr>
        <w:t>במצור</w:t>
      </w:r>
      <w:r w:rsidRPr="00CC2DF6">
        <w:rPr>
          <w:rtl/>
        </w:rPr>
        <w:t xml:space="preserve"> </w:t>
      </w:r>
      <w:r w:rsidRPr="00CC2DF6">
        <w:rPr>
          <w:rFonts w:hint="eastAsia"/>
          <w:rtl/>
        </w:rPr>
        <w:t>ארוך</w:t>
      </w:r>
      <w:r w:rsidRPr="00CC2DF6">
        <w:rPr>
          <w:rtl/>
        </w:rPr>
        <w:t xml:space="preserve"> </w:t>
      </w:r>
      <w:r w:rsidRPr="00CC2DF6">
        <w:rPr>
          <w:rFonts w:hint="eastAsia"/>
          <w:rtl/>
        </w:rPr>
        <w:t>טווח</w:t>
      </w:r>
      <w:r w:rsidRPr="00CC2DF6">
        <w:rPr>
          <w:rtl/>
        </w:rPr>
        <w:t xml:space="preserve">" </w:t>
      </w:r>
      <w:r w:rsidRPr="001446F7">
        <w:rPr>
          <w:rFonts w:ascii="Century" w:hAnsi="Century" w:cs="Miriam" w:hint="cs"/>
          <w:b/>
          <w:spacing w:val="0"/>
          <w:sz w:val="22"/>
          <w:szCs w:val="24"/>
          <w:rtl/>
        </w:rPr>
        <w:t>עיוני משפט</w:t>
      </w:r>
      <w:r w:rsidRPr="00876993">
        <w:rPr>
          <w:rFonts w:ascii="Century" w:hAnsi="Century"/>
          <w:sz w:val="22"/>
          <w:rtl/>
        </w:rPr>
        <w:t xml:space="preserve"> </w:t>
      </w:r>
      <w:r w:rsidRPr="00876993">
        <w:rPr>
          <w:rFonts w:ascii="Century" w:hAnsi="Century" w:hint="eastAsia"/>
          <w:sz w:val="22"/>
          <w:rtl/>
        </w:rPr>
        <w:t>מג</w:t>
      </w:r>
      <w:r w:rsidRPr="00876993">
        <w:rPr>
          <w:rFonts w:ascii="Century" w:hAnsi="Century"/>
          <w:sz w:val="22"/>
          <w:rtl/>
        </w:rPr>
        <w:t xml:space="preserve"> 461</w:t>
      </w:r>
      <w:r>
        <w:rPr>
          <w:rFonts w:hint="cs"/>
          <w:rtl/>
        </w:rPr>
        <w:t>, 462 (2020)). אכן, מרגע ש'נעלי הצבא' הצה"ליות אינן דורכות עוד בחולות עזה, תמה התפיסה הלוחמתית בה; כדברי בית הדין האירופי לזכויות אדם:</w:t>
      </w:r>
    </w:p>
    <w:p w:rsidR="00D512D4" w:rsidRDefault="00D512D4" w:rsidP="00AA1CE0">
      <w:pPr>
        <w:pStyle w:val="Ruller4"/>
        <w:numPr>
          <w:ilvl w:val="0"/>
          <w:numId w:val="0"/>
        </w:numPr>
        <w:spacing w:line="240" w:lineRule="auto"/>
        <w:rPr>
          <w:rtl/>
        </w:rPr>
      </w:pPr>
      <w:r>
        <w:rPr>
          <w:rFonts w:hint="cs"/>
          <w:rtl/>
        </w:rPr>
        <w:t xml:space="preserve">  </w:t>
      </w:r>
    </w:p>
    <w:p w:rsidR="00D512D4" w:rsidRPr="00876993" w:rsidRDefault="00D512D4" w:rsidP="00905E8C">
      <w:pPr>
        <w:pStyle w:val="Ruller5"/>
        <w:bidi w:val="0"/>
        <w:spacing w:line="360" w:lineRule="auto"/>
        <w:rPr>
          <w:rFonts w:ascii="Garamond" w:hAnsi="Garamond"/>
          <w:sz w:val="24"/>
          <w:szCs w:val="24"/>
        </w:rPr>
      </w:pPr>
      <w:r w:rsidRPr="00C60BD6">
        <w:rPr>
          <w:rFonts w:ascii="Century" w:hAnsi="Century"/>
          <w:bCs/>
          <w:spacing w:val="0"/>
          <w:szCs w:val="22"/>
        </w:rPr>
        <w:t>"According to widespread expert opinion physical presence of foreign troops is a sine qua non requirement of occupation, i.e. occupation is not conceivable without 'boots on the ground' "</w:t>
      </w:r>
      <w:r w:rsidRPr="00905E8C">
        <w:rPr>
          <w:rFonts w:ascii="Century" w:hAnsi="Century"/>
          <w:bCs/>
          <w:spacing w:val="0"/>
          <w:sz w:val="24"/>
          <w:szCs w:val="24"/>
        </w:rPr>
        <w:t xml:space="preserve"> </w:t>
      </w:r>
      <w:r w:rsidRPr="00C60BD6">
        <w:rPr>
          <w:rFonts w:ascii="Garamond" w:hAnsi="Garamond"/>
          <w:bCs/>
          <w:spacing w:val="0"/>
          <w:sz w:val="24"/>
          <w:szCs w:val="24"/>
        </w:rPr>
        <w:t>(Sargsyan v. Azerbaijan, App. No. 40167/06, Eur. Ct. H.R. 94 (2015)).</w:t>
      </w:r>
    </w:p>
    <w:p w:rsidR="00D512D4" w:rsidRDefault="00D512D4" w:rsidP="006F0E46">
      <w:pPr>
        <w:pStyle w:val="Ruller4"/>
        <w:numPr>
          <w:ilvl w:val="0"/>
          <w:numId w:val="0"/>
        </w:numPr>
        <w:spacing w:line="240" w:lineRule="auto"/>
      </w:pPr>
    </w:p>
    <w:p w:rsidR="00D512D4" w:rsidRDefault="00D512D4" w:rsidP="00D512D4">
      <w:pPr>
        <w:pStyle w:val="Ruller4"/>
        <w:rPr>
          <w:rtl/>
        </w:rPr>
      </w:pPr>
      <w:r>
        <w:rPr>
          <w:rFonts w:hint="cs"/>
          <w:rtl/>
        </w:rPr>
        <w:t xml:space="preserve">אמנם כן, בספרות נשמעות גם דעות אחרות, המבקשות </w:t>
      </w:r>
      <w:r w:rsidR="00811B3D">
        <w:rPr>
          <w:rFonts w:hint="cs"/>
          <w:rtl/>
        </w:rPr>
        <w:t>'</w:t>
      </w:r>
      <w:r>
        <w:rPr>
          <w:rFonts w:hint="cs"/>
          <w:rtl/>
        </w:rPr>
        <w:t>לתפור</w:t>
      </w:r>
      <w:r w:rsidR="00811B3D">
        <w:rPr>
          <w:rFonts w:hint="cs"/>
          <w:rtl/>
        </w:rPr>
        <w:t>'</w:t>
      </w:r>
      <w:r>
        <w:rPr>
          <w:rFonts w:hint="cs"/>
          <w:rtl/>
        </w:rPr>
        <w:t xml:space="preserve"> לרצועת עזה 'חליפה' מיוחדת, בכל הקשור לתחולת דיני התפיסה הלוחמתית (ראו והשוו:</w:t>
      </w:r>
      <w:r w:rsidRPr="008E3963">
        <w:rPr>
          <w:rFonts w:hint="eastAsia"/>
          <w:rtl/>
        </w:rPr>
        <w:t xml:space="preserve"> שרי</w:t>
      </w:r>
      <w:r w:rsidRPr="008E3963">
        <w:rPr>
          <w:rtl/>
        </w:rPr>
        <w:t xml:space="preserve"> </w:t>
      </w:r>
      <w:r w:rsidRPr="008E3963">
        <w:rPr>
          <w:rFonts w:hint="eastAsia"/>
          <w:rtl/>
        </w:rPr>
        <w:t>בשי</w:t>
      </w:r>
      <w:r w:rsidRPr="008E3963">
        <w:rPr>
          <w:rtl/>
        </w:rPr>
        <w:t xml:space="preserve"> </w:t>
      </w:r>
      <w:r>
        <w:rPr>
          <w:rFonts w:hint="cs"/>
          <w:rtl/>
        </w:rPr>
        <w:t>ו</w:t>
      </w:r>
      <w:r w:rsidRPr="008E3963">
        <w:rPr>
          <w:rFonts w:hint="eastAsia"/>
          <w:rtl/>
        </w:rPr>
        <w:t>קנת</w:t>
      </w:r>
      <w:r w:rsidRPr="008E3963">
        <w:rPr>
          <w:rtl/>
        </w:rPr>
        <w:t xml:space="preserve"> </w:t>
      </w:r>
      <w:r w:rsidRPr="008E3963">
        <w:rPr>
          <w:rFonts w:hint="eastAsia"/>
          <w:rtl/>
        </w:rPr>
        <w:t>מן</w:t>
      </w:r>
      <w:r w:rsidRPr="008E3963">
        <w:rPr>
          <w:rtl/>
        </w:rPr>
        <w:t>, "</w:t>
      </w:r>
      <w:r w:rsidRPr="008E3963">
        <w:rPr>
          <w:rFonts w:hint="eastAsia"/>
          <w:rtl/>
        </w:rPr>
        <w:t>שליטה</w:t>
      </w:r>
      <w:r w:rsidRPr="008E3963">
        <w:rPr>
          <w:rtl/>
        </w:rPr>
        <w:t xml:space="preserve"> </w:t>
      </w:r>
      <w:r w:rsidRPr="008E3963">
        <w:rPr>
          <w:rFonts w:hint="eastAsia"/>
          <w:rtl/>
        </w:rPr>
        <w:t>ואחריות</w:t>
      </w:r>
      <w:r w:rsidRPr="008E3963">
        <w:rPr>
          <w:rtl/>
        </w:rPr>
        <w:t xml:space="preserve">: </w:t>
      </w:r>
      <w:r w:rsidRPr="008E3963">
        <w:rPr>
          <w:rFonts w:hint="eastAsia"/>
          <w:rtl/>
        </w:rPr>
        <w:t>מעמדה</w:t>
      </w:r>
      <w:r w:rsidRPr="008E3963">
        <w:rPr>
          <w:rtl/>
        </w:rPr>
        <w:t xml:space="preserve"> </w:t>
      </w:r>
      <w:r w:rsidRPr="008E3963">
        <w:rPr>
          <w:rFonts w:hint="eastAsia"/>
          <w:rtl/>
        </w:rPr>
        <w:t>המשפטי</w:t>
      </w:r>
      <w:r w:rsidRPr="008E3963">
        <w:rPr>
          <w:rtl/>
        </w:rPr>
        <w:t xml:space="preserve"> </w:t>
      </w:r>
      <w:r w:rsidRPr="008E3963">
        <w:rPr>
          <w:rFonts w:hint="eastAsia"/>
          <w:rtl/>
        </w:rPr>
        <w:t>של</w:t>
      </w:r>
      <w:r w:rsidRPr="008E3963">
        <w:rPr>
          <w:rtl/>
        </w:rPr>
        <w:t xml:space="preserve"> </w:t>
      </w:r>
      <w:r w:rsidRPr="008E3963">
        <w:rPr>
          <w:rFonts w:hint="eastAsia"/>
          <w:rtl/>
        </w:rPr>
        <w:t>רצועת</w:t>
      </w:r>
      <w:r w:rsidRPr="008E3963">
        <w:rPr>
          <w:rtl/>
        </w:rPr>
        <w:t xml:space="preserve"> </w:t>
      </w:r>
      <w:r w:rsidRPr="008E3963">
        <w:rPr>
          <w:rFonts w:hint="eastAsia"/>
          <w:rtl/>
        </w:rPr>
        <w:t>עזה</w:t>
      </w:r>
      <w:r w:rsidRPr="008E3963">
        <w:rPr>
          <w:rtl/>
        </w:rPr>
        <w:t xml:space="preserve"> </w:t>
      </w:r>
      <w:r w:rsidRPr="008E3963">
        <w:rPr>
          <w:rFonts w:hint="eastAsia"/>
          <w:rtl/>
        </w:rPr>
        <w:t>לאחר</w:t>
      </w:r>
      <w:r w:rsidRPr="008E3963">
        <w:rPr>
          <w:rtl/>
        </w:rPr>
        <w:t xml:space="preserve"> "</w:t>
      </w:r>
      <w:r w:rsidRPr="008E3963">
        <w:rPr>
          <w:rFonts w:hint="eastAsia"/>
          <w:rtl/>
        </w:rPr>
        <w:t>ההתנתקות</w:t>
      </w:r>
      <w:r>
        <w:rPr>
          <w:rFonts w:hint="cs"/>
          <w:rtl/>
        </w:rPr>
        <w:t xml:space="preserve">", </w:t>
      </w:r>
      <w:r w:rsidRPr="008E3963">
        <w:rPr>
          <w:rFonts w:ascii="Century" w:hAnsi="Century" w:cs="Miriam" w:hint="cs"/>
          <w:b/>
          <w:spacing w:val="0"/>
          <w:sz w:val="22"/>
          <w:szCs w:val="24"/>
          <w:rtl/>
        </w:rPr>
        <w:t>המשפט</w:t>
      </w:r>
      <w:r w:rsidRPr="00876993">
        <w:rPr>
          <w:rFonts w:ascii="Century" w:hAnsi="Century"/>
          <w:sz w:val="22"/>
          <w:rtl/>
        </w:rPr>
        <w:t xml:space="preserve"> </w:t>
      </w:r>
      <w:r w:rsidRPr="00876993">
        <w:rPr>
          <w:rFonts w:ascii="Century" w:hAnsi="Century" w:hint="eastAsia"/>
          <w:sz w:val="22"/>
          <w:rtl/>
        </w:rPr>
        <w:t>יד</w:t>
      </w:r>
      <w:r w:rsidRPr="00876993">
        <w:rPr>
          <w:rFonts w:ascii="Century" w:hAnsi="Century"/>
          <w:sz w:val="22"/>
          <w:rtl/>
        </w:rPr>
        <w:t>,</w:t>
      </w:r>
      <w:r w:rsidRPr="00644B90">
        <w:rPr>
          <w:rtl/>
        </w:rPr>
        <w:t xml:space="preserve"> </w:t>
      </w:r>
      <w:r>
        <w:rPr>
          <w:rFonts w:hint="cs"/>
          <w:rtl/>
        </w:rPr>
        <w:t>35 (התשע"א);</w:t>
      </w:r>
      <w:r w:rsidRPr="00164368">
        <w:t xml:space="preserve"> </w:t>
      </w:r>
      <w:r>
        <w:t xml:space="preserve">Aeyal Gross, </w:t>
      </w:r>
      <w:r w:rsidRPr="00164368">
        <w:t>The Writing on the Wall: Rethinking the International Law of Occupation</w:t>
      </w:r>
      <w:r>
        <w:t>, 123-135 (2017); Yoram</w:t>
      </w:r>
      <w:r w:rsidRPr="007A109A">
        <w:t xml:space="preserve"> </w:t>
      </w:r>
      <w:r>
        <w:t>Dinstein,</w:t>
      </w:r>
      <w:r w:rsidRPr="007A109A">
        <w:t xml:space="preserve"> </w:t>
      </w:r>
      <w:r>
        <w:t>The</w:t>
      </w:r>
      <w:r w:rsidRPr="007A109A">
        <w:t xml:space="preserve"> </w:t>
      </w:r>
      <w:r>
        <w:t>International</w:t>
      </w:r>
      <w:r w:rsidRPr="007A109A">
        <w:t xml:space="preserve"> </w:t>
      </w:r>
      <w:r>
        <w:t>Law</w:t>
      </w:r>
      <w:r w:rsidRPr="007A109A">
        <w:t xml:space="preserve"> </w:t>
      </w:r>
      <w:r>
        <w:t>of</w:t>
      </w:r>
      <w:r w:rsidRPr="007A109A">
        <w:t xml:space="preserve"> </w:t>
      </w:r>
      <w:r>
        <w:t>Belligerent</w:t>
      </w:r>
      <w:r w:rsidRPr="007A109A">
        <w:t xml:space="preserve"> </w:t>
      </w:r>
      <w:r>
        <w:t>Occupation 297 (2019)</w:t>
      </w:r>
      <w:r>
        <w:rPr>
          <w:rFonts w:hint="cs"/>
          <w:rtl/>
        </w:rPr>
        <w:t xml:space="preserve">; </w:t>
      </w:r>
      <w:r>
        <w:rPr>
          <w:rFonts w:hint="eastAsia"/>
          <w:rtl/>
        </w:rPr>
        <w:t>אייל</w:t>
      </w:r>
      <w:r>
        <w:rPr>
          <w:rtl/>
        </w:rPr>
        <w:t xml:space="preserve"> </w:t>
      </w:r>
      <w:r>
        <w:rPr>
          <w:rFonts w:hint="eastAsia"/>
          <w:rtl/>
        </w:rPr>
        <w:t>גרוס</w:t>
      </w:r>
      <w:r>
        <w:rPr>
          <w:rFonts w:hint="cs"/>
          <w:rtl/>
        </w:rPr>
        <w:t xml:space="preserve">, </w:t>
      </w:r>
      <w:r>
        <w:rPr>
          <w:rFonts w:hint="eastAsia"/>
          <w:rtl/>
        </w:rPr>
        <w:t>״שלט</w:t>
      </w:r>
      <w:r>
        <w:rPr>
          <w:rtl/>
        </w:rPr>
        <w:t xml:space="preserve"> </w:t>
      </w:r>
      <w:r>
        <w:rPr>
          <w:rFonts w:hint="eastAsia"/>
          <w:rtl/>
        </w:rPr>
        <w:t>רחוק</w:t>
      </w:r>
      <w:r>
        <w:rPr>
          <w:rtl/>
        </w:rPr>
        <w:t xml:space="preserve">, </w:t>
      </w:r>
      <w:r>
        <w:rPr>
          <w:rFonts w:hint="eastAsia"/>
          <w:rtl/>
        </w:rPr>
        <w:t>שלט</w:t>
      </w:r>
      <w:r>
        <w:rPr>
          <w:rtl/>
        </w:rPr>
        <w:t xml:space="preserve"> </w:t>
      </w:r>
      <w:r>
        <w:rPr>
          <w:rFonts w:hint="eastAsia"/>
          <w:rtl/>
        </w:rPr>
        <w:t>קרוב</w:t>
      </w:r>
      <w:r>
        <w:rPr>
          <w:rtl/>
        </w:rPr>
        <w:t xml:space="preserve">: </w:t>
      </w:r>
      <w:r>
        <w:rPr>
          <w:rFonts w:hint="eastAsia"/>
          <w:rtl/>
        </w:rPr>
        <w:t>מעמדה</w:t>
      </w:r>
      <w:r>
        <w:rPr>
          <w:rtl/>
        </w:rPr>
        <w:t xml:space="preserve"> </w:t>
      </w:r>
      <w:r>
        <w:rPr>
          <w:rFonts w:hint="eastAsia"/>
          <w:rtl/>
        </w:rPr>
        <w:t>המשפטי</w:t>
      </w:r>
      <w:r>
        <w:rPr>
          <w:rtl/>
        </w:rPr>
        <w:t xml:space="preserve"> </w:t>
      </w:r>
      <w:r>
        <w:rPr>
          <w:rFonts w:hint="eastAsia"/>
          <w:rtl/>
        </w:rPr>
        <w:t>של</w:t>
      </w:r>
      <w:r>
        <w:rPr>
          <w:rtl/>
        </w:rPr>
        <w:t xml:space="preserve"> </w:t>
      </w:r>
      <w:r>
        <w:rPr>
          <w:rFonts w:hint="eastAsia"/>
          <w:rtl/>
        </w:rPr>
        <w:t>עזה</w:t>
      </w:r>
      <w:r>
        <w:rPr>
          <w:rtl/>
        </w:rPr>
        <w:t xml:space="preserve"> </w:t>
      </w:r>
      <w:r>
        <w:rPr>
          <w:rFonts w:hint="eastAsia"/>
          <w:rtl/>
        </w:rPr>
        <w:t>בגישה</w:t>
      </w:r>
      <w:r>
        <w:rPr>
          <w:rtl/>
        </w:rPr>
        <w:t xml:space="preserve"> </w:t>
      </w:r>
      <w:r>
        <w:rPr>
          <w:rFonts w:hint="eastAsia"/>
          <w:rtl/>
        </w:rPr>
        <w:t>פונקציונלית״</w:t>
      </w:r>
      <w:r>
        <w:rPr>
          <w:rtl/>
        </w:rPr>
        <w:t xml:space="preserve"> </w:t>
      </w:r>
      <w:r w:rsidRPr="001446F7">
        <w:rPr>
          <w:rFonts w:ascii="Century" w:hAnsi="Century" w:cs="Miriam" w:hint="eastAsia"/>
          <w:b/>
          <w:spacing w:val="0"/>
          <w:sz w:val="22"/>
          <w:szCs w:val="24"/>
          <w:rtl/>
        </w:rPr>
        <w:t>עיוני</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משפט</w:t>
      </w:r>
      <w:r w:rsidRPr="00876993">
        <w:rPr>
          <w:rFonts w:ascii="Century" w:hAnsi="Century"/>
          <w:sz w:val="22"/>
          <w:rtl/>
        </w:rPr>
        <w:t xml:space="preserve"> </w:t>
      </w:r>
      <w:r w:rsidRPr="00876993">
        <w:rPr>
          <w:rFonts w:ascii="Century" w:hAnsi="Century" w:hint="eastAsia"/>
          <w:sz w:val="22"/>
          <w:rtl/>
        </w:rPr>
        <w:t>מג</w:t>
      </w:r>
      <w:r w:rsidRPr="00876993">
        <w:rPr>
          <w:rFonts w:ascii="Century" w:hAnsi="Century"/>
          <w:sz w:val="22"/>
          <w:rtl/>
        </w:rPr>
        <w:t xml:space="preserve"> 375</w:t>
      </w:r>
      <w:r w:rsidRPr="00644B90">
        <w:rPr>
          <w:rtl/>
        </w:rPr>
        <w:t xml:space="preserve"> </w:t>
      </w:r>
      <w:r>
        <w:rPr>
          <w:rFonts w:hint="cs"/>
          <w:rtl/>
        </w:rPr>
        <w:t xml:space="preserve">(2020)). אולם, כפי שציינו </w:t>
      </w:r>
      <w:r w:rsidRPr="00397F24">
        <w:rPr>
          <w:rFonts w:ascii="Century" w:hAnsi="Century" w:cs="Miriam" w:hint="cs"/>
          <w:b/>
          <w:spacing w:val="0"/>
          <w:sz w:val="22"/>
          <w:szCs w:val="24"/>
          <w:rtl/>
        </w:rPr>
        <w:t>שיינדורף ושמיר-בורר</w:t>
      </w:r>
      <w:r>
        <w:rPr>
          <w:rFonts w:hint="cs"/>
          <w:rtl/>
        </w:rPr>
        <w:t xml:space="preserve">, דומה כי דעות אלו משקפות את עמדת הכותבים, בבחינת דין רצוי ולא דין מצוי: </w:t>
      </w:r>
      <w:r w:rsidRPr="001446F7">
        <w:rPr>
          <w:rFonts w:ascii="Century" w:hAnsi="Century" w:cs="Miriam" w:hint="cs"/>
          <w:b/>
          <w:spacing w:val="0"/>
          <w:sz w:val="22"/>
          <w:szCs w:val="24"/>
          <w:rtl/>
        </w:rPr>
        <w:t xml:space="preserve">"תזות אלו </w:t>
      </w:r>
      <w:r w:rsidRPr="001446F7">
        <w:rPr>
          <w:rFonts w:ascii="Century" w:hAnsi="Century" w:cs="Miriam" w:hint="eastAsia"/>
          <w:b/>
          <w:spacing w:val="0"/>
          <w:sz w:val="22"/>
          <w:szCs w:val="24"/>
          <w:rtl/>
        </w:rPr>
        <w:t>אינן</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עולות</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בקנה</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אחד</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עם</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הדין</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הקיים</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הן</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פורמות</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את</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האיזון</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העדין</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שקובעים</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דיני</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התפיסה</w:t>
      </w:r>
      <w:r w:rsidRPr="001446F7">
        <w:rPr>
          <w:rFonts w:ascii="Century" w:hAnsi="Century" w:cs="Miriam" w:hint="cs"/>
          <w:b/>
          <w:spacing w:val="0"/>
          <w:sz w:val="22"/>
          <w:szCs w:val="24"/>
          <w:rtl/>
        </w:rPr>
        <w:t xml:space="preserve"> </w:t>
      </w:r>
      <w:r w:rsidRPr="001446F7">
        <w:rPr>
          <w:rFonts w:ascii="Century" w:hAnsi="Century" w:cs="Miriam" w:hint="eastAsia"/>
          <w:b/>
          <w:spacing w:val="0"/>
          <w:sz w:val="22"/>
          <w:szCs w:val="24"/>
          <w:rtl/>
        </w:rPr>
        <w:t>הלוחמתית</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במערכת</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היחסים</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שבין</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הכוח</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הכובש</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והאוכלוסייה</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האזרחית</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בשטח</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הכבוש</w:t>
      </w:r>
      <w:r w:rsidRPr="001446F7">
        <w:rPr>
          <w:rFonts w:ascii="Century" w:hAnsi="Century" w:cs="Miriam"/>
          <w:b/>
          <w:spacing w:val="0"/>
          <w:sz w:val="22"/>
          <w:szCs w:val="24"/>
          <w:rtl/>
        </w:rPr>
        <w:t>,</w:t>
      </w:r>
      <w:r w:rsidRPr="001446F7">
        <w:rPr>
          <w:rFonts w:ascii="Century" w:hAnsi="Century" w:cs="Miriam" w:hint="cs"/>
          <w:b/>
          <w:spacing w:val="0"/>
          <w:sz w:val="22"/>
          <w:szCs w:val="24"/>
          <w:rtl/>
        </w:rPr>
        <w:t xml:space="preserve"> וה</w:t>
      </w:r>
      <w:r w:rsidRPr="001446F7">
        <w:rPr>
          <w:rFonts w:ascii="Century" w:hAnsi="Century" w:cs="Miriam" w:hint="eastAsia"/>
          <w:b/>
          <w:spacing w:val="0"/>
          <w:sz w:val="22"/>
          <w:szCs w:val="24"/>
          <w:rtl/>
        </w:rPr>
        <w:t>חלתן</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על</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המציאות</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העובדתית</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השוררת</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ברצועת</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עזה</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היא</w:t>
      </w:r>
      <w:r w:rsidRPr="001446F7">
        <w:rPr>
          <w:rFonts w:ascii="Century" w:hAnsi="Century" w:cs="Miriam"/>
          <w:b/>
          <w:spacing w:val="0"/>
          <w:sz w:val="22"/>
          <w:szCs w:val="24"/>
          <w:rtl/>
        </w:rPr>
        <w:t xml:space="preserve"> </w:t>
      </w:r>
      <w:r w:rsidRPr="001446F7">
        <w:rPr>
          <w:rFonts w:ascii="Century" w:hAnsi="Century" w:cs="Miriam" w:hint="eastAsia"/>
          <w:b/>
          <w:spacing w:val="0"/>
          <w:sz w:val="22"/>
          <w:szCs w:val="24"/>
          <w:rtl/>
        </w:rPr>
        <w:t>שגויה</w:t>
      </w:r>
      <w:r w:rsidRPr="001446F7">
        <w:rPr>
          <w:rFonts w:ascii="Century" w:hAnsi="Century" w:cs="Miriam" w:hint="cs"/>
          <w:b/>
          <w:spacing w:val="0"/>
          <w:sz w:val="22"/>
          <w:szCs w:val="24"/>
          <w:rtl/>
        </w:rPr>
        <w:t>"</w:t>
      </w:r>
      <w:r w:rsidRPr="001446F7">
        <w:rPr>
          <w:rFonts w:hint="cs"/>
          <w:rtl/>
        </w:rPr>
        <w:t xml:space="preserve"> </w:t>
      </w:r>
      <w:r>
        <w:rPr>
          <w:rFonts w:hint="cs"/>
          <w:rtl/>
        </w:rPr>
        <w:t>(</w:t>
      </w:r>
      <w:r w:rsidRPr="001446F7">
        <w:rPr>
          <w:rFonts w:ascii="Century" w:hAnsi="Century" w:cs="Miriam" w:hint="cs"/>
          <w:b/>
          <w:spacing w:val="0"/>
          <w:sz w:val="22"/>
          <w:szCs w:val="24"/>
          <w:rtl/>
        </w:rPr>
        <w:t>שיינדורף ושמיר-בורר</w:t>
      </w:r>
      <w:r>
        <w:rPr>
          <w:rFonts w:hint="cs"/>
          <w:rtl/>
        </w:rPr>
        <w:t>, עמודים 405, 428-421)).</w:t>
      </w:r>
    </w:p>
    <w:p w:rsidR="00D512D4" w:rsidRDefault="00D512D4" w:rsidP="0081590B">
      <w:pPr>
        <w:pStyle w:val="Ruller41"/>
        <w:spacing w:line="240" w:lineRule="auto"/>
        <w:rPr>
          <w:rtl/>
        </w:rPr>
      </w:pPr>
    </w:p>
    <w:p w:rsidR="00D512D4" w:rsidRDefault="00D512D4" w:rsidP="0012545B">
      <w:pPr>
        <w:pStyle w:val="Ruller4"/>
        <w:rPr>
          <w:rtl/>
        </w:rPr>
      </w:pPr>
      <w:r>
        <w:rPr>
          <w:rFonts w:hint="cs"/>
          <w:rtl/>
        </w:rPr>
        <w:t>אם כן, לסיכומה של נקודה זו, ל</w:t>
      </w:r>
      <w:r w:rsidR="0012545B">
        <w:rPr>
          <w:rFonts w:hint="cs"/>
          <w:rtl/>
        </w:rPr>
        <w:t>גב</w:t>
      </w:r>
      <w:r>
        <w:rPr>
          <w:rFonts w:hint="cs"/>
          <w:rtl/>
        </w:rPr>
        <w:t xml:space="preserve">י מבחן 'האמצעי שפגיעתו פחותה', אין להקיש מעניין </w:t>
      </w:r>
      <w:r w:rsidRPr="009136D6">
        <w:rPr>
          <w:rFonts w:ascii="Century" w:hAnsi="Century" w:cs="Miriam" w:hint="cs"/>
          <w:b/>
          <w:spacing w:val="0"/>
          <w:sz w:val="22"/>
          <w:szCs w:val="24"/>
          <w:rtl/>
        </w:rPr>
        <w:t>עדאלה</w:t>
      </w:r>
      <w:r w:rsidRPr="009136D6">
        <w:rPr>
          <w:rFonts w:hint="cs"/>
          <w:rtl/>
        </w:rPr>
        <w:t xml:space="preserve"> </w:t>
      </w:r>
      <w:r>
        <w:rPr>
          <w:rFonts w:hint="cs"/>
          <w:rtl/>
        </w:rPr>
        <w:t xml:space="preserve">לעניין דנן. אף שבעניין </w:t>
      </w:r>
      <w:r w:rsidRPr="007761E2">
        <w:rPr>
          <w:rFonts w:ascii="Century" w:hAnsi="Century" w:cs="Miriam" w:hint="cs"/>
          <w:b/>
          <w:spacing w:val="0"/>
          <w:sz w:val="22"/>
          <w:szCs w:val="24"/>
          <w:rtl/>
        </w:rPr>
        <w:t>עדאלה</w:t>
      </w:r>
      <w:r w:rsidRPr="007761E2">
        <w:rPr>
          <w:rFonts w:hint="cs"/>
          <w:rtl/>
        </w:rPr>
        <w:t xml:space="preserve"> </w:t>
      </w:r>
      <w:r>
        <w:rPr>
          <w:rFonts w:hint="cs"/>
          <w:rtl/>
        </w:rPr>
        <w:t xml:space="preserve">בוטל סעיף 5ג לחוק, בהתבסס על מבחן זה, אין הנדון דומה לראיה. בניגוד לעניין </w:t>
      </w:r>
      <w:r w:rsidRPr="007761E2">
        <w:rPr>
          <w:rFonts w:ascii="Century" w:hAnsi="Century" w:cs="Miriam" w:hint="cs"/>
          <w:b/>
          <w:spacing w:val="0"/>
          <w:sz w:val="22"/>
          <w:szCs w:val="24"/>
          <w:rtl/>
        </w:rPr>
        <w:t>עדאלה</w:t>
      </w:r>
      <w:r>
        <w:rPr>
          <w:rFonts w:hint="cs"/>
          <w:rtl/>
        </w:rPr>
        <w:t>, שבו נדונה הוראת חוק החלה בשטח הנתון לתפיסה לוחמתית, הרי שב</w:t>
      </w:r>
      <w:r w:rsidR="00F1197B">
        <w:rPr>
          <w:rFonts w:hint="cs"/>
          <w:rtl/>
        </w:rPr>
        <w:t>ענייננו</w:t>
      </w:r>
      <w:r>
        <w:rPr>
          <w:rFonts w:hint="cs"/>
          <w:rtl/>
        </w:rPr>
        <w:t xml:space="preserve">, משמדובר בתביעות של נתיני אויב או תושבי שטח אויב, מערך השיקולים משתנה, וקיימת הצדקה לקבוע חסינות גורפת, ולא לברר תביעות מסוג זה.  </w:t>
      </w:r>
    </w:p>
    <w:p w:rsidR="00D512D4" w:rsidRDefault="00D512D4" w:rsidP="00D512D4">
      <w:pPr>
        <w:pStyle w:val="Ruller41"/>
        <w:rPr>
          <w:rtl/>
        </w:rPr>
      </w:pPr>
    </w:p>
    <w:p w:rsidR="00D512D4" w:rsidRDefault="00D512D4" w:rsidP="000067AF">
      <w:pPr>
        <w:pStyle w:val="6"/>
        <w:rPr>
          <w:rtl/>
        </w:rPr>
      </w:pPr>
      <w:bookmarkStart w:id="57" w:name="_Toc107851363"/>
      <w:r>
        <w:rPr>
          <w:rFonts w:hint="cs"/>
          <w:rtl/>
        </w:rPr>
        <w:t xml:space="preserve">השפעת עניין </w:t>
      </w:r>
      <w:r w:rsidRPr="00CA0C4B">
        <w:rPr>
          <w:rFonts w:hint="cs"/>
          <w:rtl/>
        </w:rPr>
        <w:t xml:space="preserve">דיראני </w:t>
      </w:r>
      <w:r>
        <w:rPr>
          <w:rFonts w:hint="cs"/>
          <w:rtl/>
        </w:rPr>
        <w:t>על נסיבות העניין דנן</w:t>
      </w:r>
      <w:bookmarkEnd w:id="57"/>
    </w:p>
    <w:p w:rsidR="00D512D4" w:rsidRDefault="00D512D4" w:rsidP="00B006D6">
      <w:pPr>
        <w:pStyle w:val="Ruller4"/>
        <w:rPr>
          <w:rtl/>
        </w:rPr>
      </w:pPr>
      <w:r>
        <w:rPr>
          <w:rFonts w:hint="cs"/>
          <w:rtl/>
        </w:rPr>
        <w:t xml:space="preserve">מאז שניתן פסק הדין בעניין </w:t>
      </w:r>
      <w:r w:rsidRPr="00F15B72">
        <w:rPr>
          <w:rFonts w:ascii="Century" w:hAnsi="Century" w:cs="Miriam" w:hint="cs"/>
          <w:b/>
          <w:spacing w:val="0"/>
          <w:sz w:val="22"/>
          <w:szCs w:val="24"/>
          <w:rtl/>
        </w:rPr>
        <w:t>עדאלה</w:t>
      </w:r>
      <w:r>
        <w:rPr>
          <w:rFonts w:hint="cs"/>
          <w:rtl/>
        </w:rPr>
        <w:t xml:space="preserve">, חלה התפתחות משמעותית במשפט הישראלי, בכל הקשור לתביעות נזיקין של 'אויבים'. לגישתי, התפתחות זו משליכה במישרין על חוקתיות סעיף 5ב(א)(1) לחוק. כוונתי היא, כמובן, לעניין </w:t>
      </w:r>
      <w:r w:rsidRPr="00F15B72">
        <w:rPr>
          <w:rFonts w:ascii="Century" w:hAnsi="Century" w:cs="Miriam" w:hint="cs"/>
          <w:b/>
          <w:spacing w:val="0"/>
          <w:sz w:val="22"/>
          <w:szCs w:val="24"/>
          <w:rtl/>
        </w:rPr>
        <w:t>דיראני</w:t>
      </w:r>
      <w:r w:rsidRPr="009808CB">
        <w:rPr>
          <w:rFonts w:hint="cs"/>
          <w:rtl/>
        </w:rPr>
        <w:t xml:space="preserve"> </w:t>
      </w:r>
      <w:r>
        <w:rPr>
          <w:rFonts w:hint="cs"/>
          <w:rtl/>
        </w:rPr>
        <w:t xml:space="preserve">שהוזכר לעיל. </w:t>
      </w:r>
      <w:r w:rsidRPr="00F15B72">
        <w:rPr>
          <w:rFonts w:ascii="Century" w:hAnsi="Century" w:hint="eastAsia"/>
          <w:sz w:val="22"/>
          <w:rtl/>
        </w:rPr>
        <w:t>בעניין</w:t>
      </w:r>
      <w:r w:rsidRPr="00F15B72">
        <w:rPr>
          <w:rFonts w:ascii="Century" w:hAnsi="Century" w:cs="Miriam"/>
          <w:b/>
          <w:spacing w:val="0"/>
          <w:sz w:val="22"/>
          <w:szCs w:val="24"/>
          <w:rtl/>
        </w:rPr>
        <w:t xml:space="preserve"> </w:t>
      </w:r>
      <w:r w:rsidRPr="00F15B72">
        <w:rPr>
          <w:rFonts w:ascii="Century" w:hAnsi="Century" w:cs="Miriam" w:hint="cs"/>
          <w:b/>
          <w:spacing w:val="0"/>
          <w:sz w:val="22"/>
          <w:szCs w:val="24"/>
          <w:rtl/>
        </w:rPr>
        <w:t>דיראני</w:t>
      </w:r>
      <w:r>
        <w:rPr>
          <w:rFonts w:hint="cs"/>
          <w:rtl/>
        </w:rPr>
        <w:t>, פ</w:t>
      </w:r>
      <w:r w:rsidR="0012545B">
        <w:rPr>
          <w:rFonts w:hint="cs"/>
          <w:rtl/>
        </w:rPr>
        <w:t>ּ</w:t>
      </w:r>
      <w:r>
        <w:rPr>
          <w:rFonts w:hint="cs"/>
          <w:rtl/>
        </w:rPr>
        <w:t xml:space="preserve">וּתח והותאם הכלל הוותיק האמור, למציאות של לחימה מול ארגוני טרור. נקבע שם, כי נקודת האיזון הראויה, היא החלת הכלל נגד </w:t>
      </w:r>
      <w:r w:rsidRPr="00F15B72">
        <w:rPr>
          <w:rFonts w:ascii="Century" w:hAnsi="Century" w:cs="Miriam" w:hint="cs"/>
          <w:b/>
          <w:spacing w:val="0"/>
          <w:sz w:val="22"/>
          <w:szCs w:val="24"/>
          <w:rtl/>
        </w:rPr>
        <w:t>לוחמים פעילים בארגון טרור</w:t>
      </w:r>
      <w:r>
        <w:rPr>
          <w:rFonts w:hint="cs"/>
          <w:rtl/>
        </w:rPr>
        <w:t>. לעומת זאת, סעיף 5ב(א)(1) לחוק, חל על כל תושבי רצועת עזה, ללא הבחנה בין צדיק לרשע. לטענת המערער, מכך ניתן ללמוד, כי בית המשפט בעניין</w:t>
      </w:r>
      <w:r w:rsidRPr="00F15B72">
        <w:rPr>
          <w:rFonts w:ascii="Century" w:hAnsi="Century" w:cs="Miriam" w:hint="cs"/>
          <w:b/>
          <w:spacing w:val="0"/>
          <w:sz w:val="22"/>
          <w:szCs w:val="24"/>
          <w:rtl/>
        </w:rPr>
        <w:t xml:space="preserve"> דיראני</w:t>
      </w:r>
      <w:r>
        <w:rPr>
          <w:rFonts w:hint="cs"/>
          <w:rtl/>
        </w:rPr>
        <w:t xml:space="preserve">, דחה את העמדה שלפיה ניתן לקבוע כלל גורף ביחס לתביעות נתיני מדינת אויב. דומני, כי המערער לא דק פורתא בדברי בית המשפט שם. שלושה טעמים בדבר. </w:t>
      </w:r>
    </w:p>
    <w:p w:rsidR="00D512D4" w:rsidRPr="00463105" w:rsidRDefault="00D512D4" w:rsidP="0081590B">
      <w:pPr>
        <w:pStyle w:val="Ruller41"/>
        <w:spacing w:line="240" w:lineRule="auto"/>
      </w:pPr>
    </w:p>
    <w:p w:rsidR="00D512D4" w:rsidRDefault="00D512D4" w:rsidP="00B006D6">
      <w:pPr>
        <w:pStyle w:val="Ruller4"/>
      </w:pPr>
      <w:r w:rsidRPr="00F824BA">
        <w:rPr>
          <w:rFonts w:ascii="Century" w:hAnsi="Century" w:cs="Miriam" w:hint="cs"/>
          <w:b/>
          <w:spacing w:val="0"/>
          <w:sz w:val="22"/>
          <w:szCs w:val="24"/>
          <w:rtl/>
        </w:rPr>
        <w:t>ראשית</w:t>
      </w:r>
      <w:r>
        <w:rPr>
          <w:rFonts w:hint="cs"/>
          <w:rtl/>
        </w:rPr>
        <w:t>,</w:t>
      </w:r>
      <w:r w:rsidRPr="00613C23">
        <w:rPr>
          <w:rFonts w:hint="cs"/>
          <w:rtl/>
        </w:rPr>
        <w:t xml:space="preserve"> </w:t>
      </w:r>
      <w:r>
        <w:rPr>
          <w:rFonts w:hint="cs"/>
          <w:rtl/>
        </w:rPr>
        <w:t>פסק הדין בעניין</w:t>
      </w:r>
      <w:r>
        <w:rPr>
          <w:rFonts w:ascii="Century" w:hAnsi="Century" w:cs="Miriam" w:hint="cs"/>
          <w:b/>
          <w:spacing w:val="0"/>
          <w:sz w:val="22"/>
          <w:szCs w:val="24"/>
          <w:rtl/>
        </w:rPr>
        <w:t xml:space="preserve"> </w:t>
      </w:r>
      <w:r w:rsidRPr="00AB3BCF">
        <w:rPr>
          <w:rFonts w:ascii="Century" w:hAnsi="Century" w:cs="Miriam" w:hint="cs"/>
          <w:b/>
          <w:spacing w:val="0"/>
          <w:sz w:val="22"/>
          <w:szCs w:val="24"/>
          <w:rtl/>
        </w:rPr>
        <w:t>דיראני</w:t>
      </w:r>
      <w:r>
        <w:rPr>
          <w:rFonts w:hint="cs"/>
          <w:rtl/>
        </w:rPr>
        <w:t xml:space="preserve"> ניתן כ-10 שנים לאחר שהתקבל תיקון מספר 7 בכנסת, וכ-3 חודשים לאחר תיקון מספר 8. משכך, בית המשפט נדרש ליחס שבין שני ההסדרים</w:t>
      </w:r>
      <w:r w:rsidR="00B006D6">
        <w:rPr>
          <w:rFonts w:hint="cs"/>
          <w:rtl/>
        </w:rPr>
        <w:t>;</w:t>
      </w:r>
      <w:r>
        <w:rPr>
          <w:rFonts w:hint="cs"/>
          <w:rtl/>
        </w:rPr>
        <w:t xml:space="preserve"> הכלל הלקוח מן המשפט המקובל מזה</w:t>
      </w:r>
      <w:r w:rsidR="00B006D6">
        <w:rPr>
          <w:rFonts w:hint="cs"/>
          <w:rtl/>
        </w:rPr>
        <w:t xml:space="preserve">, וסעיף 5ב(א)(1) לחוק מזה. </w:t>
      </w:r>
      <w:r>
        <w:rPr>
          <w:rFonts w:hint="cs"/>
          <w:rtl/>
        </w:rPr>
        <w:t xml:space="preserve">אשר לכך נקבע, כי </w:t>
      </w:r>
      <w:r w:rsidRPr="00CC7361">
        <w:rPr>
          <w:rFonts w:ascii="Century" w:hAnsi="Century" w:cs="Miriam" w:hint="cs"/>
          <w:b/>
          <w:spacing w:val="0"/>
          <w:sz w:val="22"/>
          <w:szCs w:val="24"/>
          <w:rtl/>
        </w:rPr>
        <w:t>"א</w:t>
      </w:r>
      <w:r w:rsidRPr="00CC7361">
        <w:rPr>
          <w:rFonts w:ascii="Century" w:hAnsi="Century" w:cs="Miriam" w:hint="eastAsia"/>
          <w:b/>
          <w:spacing w:val="0"/>
          <w:sz w:val="22"/>
          <w:szCs w:val="24"/>
          <w:rtl/>
        </w:rPr>
        <w:t>ין</w:t>
      </w:r>
      <w:r w:rsidRPr="00CC7361">
        <w:rPr>
          <w:rFonts w:ascii="Century" w:hAnsi="Century" w:cs="Miriam"/>
          <w:b/>
          <w:spacing w:val="0"/>
          <w:sz w:val="22"/>
          <w:szCs w:val="24"/>
          <w:rtl/>
        </w:rPr>
        <w:t xml:space="preserve"> </w:t>
      </w:r>
      <w:r w:rsidRPr="00CC7361">
        <w:rPr>
          <w:rFonts w:ascii="Century" w:hAnsi="Century" w:cs="Miriam" w:hint="eastAsia"/>
          <w:b/>
          <w:spacing w:val="0"/>
          <w:sz w:val="22"/>
          <w:szCs w:val="24"/>
          <w:rtl/>
        </w:rPr>
        <w:t>בתיקון</w:t>
      </w:r>
      <w:r w:rsidRPr="00CC7361">
        <w:rPr>
          <w:rFonts w:ascii="Century" w:hAnsi="Century" w:cs="Miriam"/>
          <w:b/>
          <w:spacing w:val="0"/>
          <w:sz w:val="22"/>
          <w:szCs w:val="24"/>
          <w:rtl/>
        </w:rPr>
        <w:t xml:space="preserve"> </w:t>
      </w:r>
      <w:r w:rsidRPr="00CC7361">
        <w:rPr>
          <w:rFonts w:ascii="Century" w:hAnsi="Century" w:cs="Miriam" w:hint="eastAsia"/>
          <w:b/>
          <w:spacing w:val="0"/>
          <w:sz w:val="22"/>
          <w:szCs w:val="24"/>
          <w:rtl/>
        </w:rPr>
        <w:t>מס</w:t>
      </w:r>
      <w:r w:rsidRPr="00CC7361">
        <w:rPr>
          <w:rFonts w:ascii="Century" w:hAnsi="Century" w:cs="Miriam"/>
          <w:b/>
          <w:spacing w:val="0"/>
          <w:sz w:val="22"/>
          <w:szCs w:val="24"/>
          <w:rtl/>
        </w:rPr>
        <w:t xml:space="preserve">' 7 </w:t>
      </w:r>
      <w:r w:rsidRPr="00CC7361">
        <w:rPr>
          <w:rFonts w:ascii="Century" w:hAnsi="Century" w:cs="Miriam" w:hint="eastAsia"/>
          <w:b/>
          <w:spacing w:val="0"/>
          <w:sz w:val="22"/>
          <w:szCs w:val="24"/>
          <w:rtl/>
        </w:rPr>
        <w:t>כדי</w:t>
      </w:r>
      <w:r w:rsidRPr="00CC7361">
        <w:rPr>
          <w:rFonts w:ascii="Century" w:hAnsi="Century" w:cs="Miriam"/>
          <w:b/>
          <w:spacing w:val="0"/>
          <w:sz w:val="22"/>
          <w:szCs w:val="24"/>
          <w:rtl/>
        </w:rPr>
        <w:t xml:space="preserve"> </w:t>
      </w:r>
      <w:r w:rsidRPr="00CC7361">
        <w:rPr>
          <w:rFonts w:ascii="Century" w:hAnsi="Century" w:cs="Miriam" w:hint="eastAsia"/>
          <w:b/>
          <w:spacing w:val="0"/>
          <w:sz w:val="22"/>
          <w:szCs w:val="24"/>
          <w:rtl/>
        </w:rPr>
        <w:t>לשלול</w:t>
      </w:r>
      <w:r w:rsidRPr="00CC7361">
        <w:rPr>
          <w:rFonts w:ascii="Century" w:hAnsi="Century" w:cs="Miriam"/>
          <w:b/>
          <w:spacing w:val="0"/>
          <w:sz w:val="22"/>
          <w:szCs w:val="24"/>
          <w:rtl/>
        </w:rPr>
        <w:t xml:space="preserve"> </w:t>
      </w:r>
      <w:r w:rsidRPr="00CC7361">
        <w:rPr>
          <w:rFonts w:ascii="Century" w:hAnsi="Century" w:cs="Miriam" w:hint="eastAsia"/>
          <w:b/>
          <w:spacing w:val="0"/>
          <w:sz w:val="22"/>
          <w:szCs w:val="24"/>
          <w:rtl/>
        </w:rPr>
        <w:t>את</w:t>
      </w:r>
      <w:r w:rsidRPr="00CC7361">
        <w:rPr>
          <w:rFonts w:ascii="Century" w:hAnsi="Century" w:cs="Miriam"/>
          <w:b/>
          <w:spacing w:val="0"/>
          <w:sz w:val="22"/>
          <w:szCs w:val="24"/>
          <w:rtl/>
        </w:rPr>
        <w:t xml:space="preserve"> </w:t>
      </w:r>
      <w:r w:rsidRPr="00CC7361">
        <w:rPr>
          <w:rFonts w:ascii="Century" w:hAnsi="Century" w:cs="Miriam" w:hint="eastAsia"/>
          <w:b/>
          <w:spacing w:val="0"/>
          <w:sz w:val="22"/>
          <w:szCs w:val="24"/>
          <w:rtl/>
        </w:rPr>
        <w:t>המשך</w:t>
      </w:r>
      <w:r w:rsidRPr="00CC7361">
        <w:rPr>
          <w:rFonts w:ascii="Century" w:hAnsi="Century" w:cs="Miriam"/>
          <w:b/>
          <w:spacing w:val="0"/>
          <w:sz w:val="22"/>
          <w:szCs w:val="24"/>
          <w:rtl/>
        </w:rPr>
        <w:t xml:space="preserve"> </w:t>
      </w:r>
      <w:r w:rsidRPr="00CC7361">
        <w:rPr>
          <w:rFonts w:ascii="Century" w:hAnsi="Century" w:cs="Miriam" w:hint="eastAsia"/>
          <w:b/>
          <w:spacing w:val="0"/>
          <w:sz w:val="22"/>
          <w:szCs w:val="24"/>
          <w:rtl/>
        </w:rPr>
        <w:t>קיומו</w:t>
      </w:r>
      <w:r w:rsidRPr="00CC7361">
        <w:rPr>
          <w:rFonts w:ascii="Century" w:hAnsi="Century" w:cs="Miriam"/>
          <w:b/>
          <w:spacing w:val="0"/>
          <w:sz w:val="22"/>
          <w:szCs w:val="24"/>
          <w:rtl/>
        </w:rPr>
        <w:t xml:space="preserve"> </w:t>
      </w:r>
      <w:r w:rsidRPr="00CC7361">
        <w:rPr>
          <w:rFonts w:ascii="Century" w:hAnsi="Century" w:cs="Miriam" w:hint="eastAsia"/>
          <w:b/>
          <w:spacing w:val="0"/>
          <w:sz w:val="22"/>
          <w:szCs w:val="24"/>
          <w:rtl/>
        </w:rPr>
        <w:t>של</w:t>
      </w:r>
      <w:r w:rsidRPr="00CC7361">
        <w:rPr>
          <w:rFonts w:ascii="Century" w:hAnsi="Century" w:cs="Miriam"/>
          <w:b/>
          <w:spacing w:val="0"/>
          <w:sz w:val="22"/>
          <w:szCs w:val="24"/>
          <w:rtl/>
        </w:rPr>
        <w:t xml:space="preserve"> </w:t>
      </w:r>
      <w:r w:rsidRPr="00CC7361">
        <w:rPr>
          <w:rFonts w:ascii="Century" w:hAnsi="Century" w:cs="Miriam" w:hint="eastAsia"/>
          <w:b/>
          <w:spacing w:val="0"/>
          <w:sz w:val="22"/>
          <w:szCs w:val="24"/>
          <w:rtl/>
        </w:rPr>
        <w:t>הכלל</w:t>
      </w:r>
      <w:r w:rsidRPr="00CC7361">
        <w:rPr>
          <w:rFonts w:ascii="Century" w:hAnsi="Century" w:cs="Miriam"/>
          <w:b/>
          <w:spacing w:val="0"/>
          <w:sz w:val="22"/>
          <w:szCs w:val="24"/>
          <w:rtl/>
        </w:rPr>
        <w:t xml:space="preserve"> </w:t>
      </w:r>
      <w:r w:rsidRPr="00CC7361">
        <w:rPr>
          <w:rFonts w:ascii="Century" w:hAnsi="Century" w:cs="Miriam" w:hint="eastAsia"/>
          <w:b/>
          <w:spacing w:val="0"/>
          <w:sz w:val="22"/>
          <w:szCs w:val="24"/>
          <w:rtl/>
        </w:rPr>
        <w:t>במשפט</w:t>
      </w:r>
      <w:r w:rsidRPr="00CC7361">
        <w:rPr>
          <w:rFonts w:ascii="Century" w:hAnsi="Century" w:cs="Miriam"/>
          <w:b/>
          <w:spacing w:val="0"/>
          <w:sz w:val="22"/>
          <w:szCs w:val="24"/>
          <w:rtl/>
        </w:rPr>
        <w:t xml:space="preserve"> </w:t>
      </w:r>
      <w:r w:rsidRPr="00CC7361">
        <w:rPr>
          <w:rFonts w:ascii="Century" w:hAnsi="Century" w:cs="Miriam" w:hint="eastAsia"/>
          <w:b/>
          <w:spacing w:val="0"/>
          <w:sz w:val="22"/>
          <w:szCs w:val="24"/>
          <w:rtl/>
        </w:rPr>
        <w:t>המקובל</w:t>
      </w:r>
      <w:r w:rsidRPr="00CC7361">
        <w:rPr>
          <w:rFonts w:ascii="Century" w:hAnsi="Century" w:cs="Miriam" w:hint="cs"/>
          <w:b/>
          <w:spacing w:val="0"/>
          <w:sz w:val="22"/>
          <w:szCs w:val="24"/>
          <w:rtl/>
        </w:rPr>
        <w:t>"</w:t>
      </w:r>
      <w:r>
        <w:rPr>
          <w:rFonts w:hint="cs"/>
          <w:rtl/>
        </w:rPr>
        <w:t xml:space="preserve"> (</w:t>
      </w:r>
      <w:r w:rsidRPr="007761E2">
        <w:rPr>
          <w:rFonts w:ascii="Century" w:hAnsi="Century" w:cs="Miriam" w:hint="cs"/>
          <w:b/>
          <w:spacing w:val="0"/>
          <w:sz w:val="22"/>
          <w:szCs w:val="24"/>
          <w:rtl/>
        </w:rPr>
        <w:t>שם</w:t>
      </w:r>
      <w:r>
        <w:rPr>
          <w:rFonts w:hint="cs"/>
          <w:rtl/>
        </w:rPr>
        <w:t xml:space="preserve">, פסקה 88). </w:t>
      </w:r>
      <w:r w:rsidR="00C94C06">
        <w:rPr>
          <w:rFonts w:hint="cs"/>
          <w:rtl/>
        </w:rPr>
        <w:t xml:space="preserve">כמו </w:t>
      </w:r>
      <w:r>
        <w:rPr>
          <w:rFonts w:hint="cs"/>
          <w:rtl/>
        </w:rPr>
        <w:t xml:space="preserve">כן נקבע, כי הגם ששני ההסדרים מבוססים על אותו בסיס עיוני, אין ביניהם </w:t>
      </w:r>
      <w:r>
        <w:rPr>
          <w:rFonts w:ascii="Century" w:hAnsi="Century" w:cs="Miriam" w:hint="cs"/>
          <w:b/>
          <w:spacing w:val="0"/>
          <w:sz w:val="22"/>
          <w:szCs w:val="24"/>
          <w:rtl/>
        </w:rPr>
        <w:t>"</w:t>
      </w:r>
      <w:r w:rsidRPr="00CC7361">
        <w:rPr>
          <w:rFonts w:ascii="Century" w:hAnsi="Century" w:cs="Miriam" w:hint="cs"/>
          <w:b/>
          <w:spacing w:val="0"/>
          <w:sz w:val="22"/>
          <w:szCs w:val="24"/>
          <w:rtl/>
        </w:rPr>
        <w:t>חפיפה מלאה"</w:t>
      </w:r>
      <w:r>
        <w:rPr>
          <w:rFonts w:hint="cs"/>
          <w:rtl/>
        </w:rPr>
        <w:t xml:space="preserve">, שכן </w:t>
      </w:r>
      <w:r w:rsidRPr="002576B2">
        <w:rPr>
          <w:rFonts w:ascii="Century" w:hAnsi="Century" w:cs="Miriam" w:hint="cs"/>
          <w:b/>
          <w:spacing w:val="0"/>
          <w:sz w:val="22"/>
          <w:szCs w:val="24"/>
          <w:rtl/>
        </w:rPr>
        <w:t>"</w:t>
      </w:r>
      <w:r w:rsidRPr="002576B2">
        <w:rPr>
          <w:rFonts w:ascii="Century" w:hAnsi="Century" w:cs="Miriam" w:hint="eastAsia"/>
          <w:b/>
          <w:spacing w:val="0"/>
          <w:sz w:val="22"/>
          <w:szCs w:val="24"/>
          <w:rtl/>
        </w:rPr>
        <w:t>בעניינים</w:t>
      </w:r>
      <w:r w:rsidRPr="002576B2">
        <w:rPr>
          <w:rFonts w:ascii="Century" w:hAnsi="Century" w:cs="Miriam"/>
          <w:b/>
          <w:spacing w:val="0"/>
          <w:sz w:val="22"/>
          <w:szCs w:val="24"/>
          <w:rtl/>
        </w:rPr>
        <w:t xml:space="preserve"> </w:t>
      </w:r>
      <w:r w:rsidRPr="002576B2">
        <w:rPr>
          <w:rFonts w:ascii="Century" w:hAnsi="Century" w:cs="Miriam" w:hint="eastAsia"/>
          <w:b/>
          <w:spacing w:val="0"/>
          <w:sz w:val="22"/>
          <w:szCs w:val="24"/>
          <w:rtl/>
        </w:rPr>
        <w:t>מסוימים</w:t>
      </w:r>
      <w:r w:rsidRPr="002576B2">
        <w:rPr>
          <w:rFonts w:ascii="Century" w:hAnsi="Century" w:cs="Miriam"/>
          <w:b/>
          <w:spacing w:val="0"/>
          <w:sz w:val="22"/>
          <w:szCs w:val="24"/>
          <w:rtl/>
        </w:rPr>
        <w:t xml:space="preserve"> </w:t>
      </w:r>
      <w:r w:rsidRPr="002576B2">
        <w:rPr>
          <w:rFonts w:ascii="Century" w:hAnsi="Century" w:cs="Miriam" w:hint="eastAsia"/>
          <w:b/>
          <w:spacing w:val="0"/>
          <w:sz w:val="22"/>
          <w:szCs w:val="24"/>
          <w:rtl/>
        </w:rPr>
        <w:t>החוק</w:t>
      </w:r>
      <w:r w:rsidRPr="002576B2">
        <w:rPr>
          <w:rFonts w:ascii="Century" w:hAnsi="Century" w:cs="Miriam"/>
          <w:b/>
          <w:spacing w:val="0"/>
          <w:sz w:val="22"/>
          <w:szCs w:val="24"/>
          <w:rtl/>
        </w:rPr>
        <w:t xml:space="preserve"> </w:t>
      </w:r>
      <w:r w:rsidRPr="002576B2">
        <w:rPr>
          <w:rFonts w:ascii="Century" w:hAnsi="Century" w:cs="Miriam" w:hint="eastAsia"/>
          <w:b/>
          <w:spacing w:val="0"/>
          <w:sz w:val="22"/>
          <w:szCs w:val="24"/>
          <w:rtl/>
        </w:rPr>
        <w:t>קובע</w:t>
      </w:r>
      <w:r w:rsidRPr="002576B2">
        <w:rPr>
          <w:rFonts w:ascii="Century" w:hAnsi="Century" w:cs="Miriam"/>
          <w:b/>
          <w:spacing w:val="0"/>
          <w:sz w:val="22"/>
          <w:szCs w:val="24"/>
          <w:rtl/>
        </w:rPr>
        <w:t xml:space="preserve"> </w:t>
      </w:r>
      <w:r w:rsidRPr="002576B2">
        <w:rPr>
          <w:rFonts w:ascii="Century" w:hAnsi="Century" w:cs="Miriam" w:hint="eastAsia"/>
          <w:b/>
          <w:spacing w:val="0"/>
          <w:sz w:val="22"/>
          <w:szCs w:val="24"/>
          <w:rtl/>
        </w:rPr>
        <w:t>הסדר</w:t>
      </w:r>
      <w:r w:rsidRPr="002576B2">
        <w:rPr>
          <w:rFonts w:ascii="Century" w:hAnsi="Century" w:cs="Miriam"/>
          <w:b/>
          <w:spacing w:val="0"/>
          <w:sz w:val="22"/>
          <w:szCs w:val="24"/>
          <w:rtl/>
        </w:rPr>
        <w:t xml:space="preserve"> </w:t>
      </w:r>
      <w:r w:rsidRPr="002576B2">
        <w:rPr>
          <w:rFonts w:ascii="Century" w:hAnsi="Century" w:cs="Miriam" w:hint="eastAsia"/>
          <w:b/>
          <w:spacing w:val="0"/>
          <w:sz w:val="22"/>
          <w:szCs w:val="24"/>
          <w:rtl/>
        </w:rPr>
        <w:t>רחב</w:t>
      </w:r>
      <w:r w:rsidRPr="002576B2">
        <w:rPr>
          <w:rFonts w:ascii="Century" w:hAnsi="Century" w:cs="Miriam"/>
          <w:b/>
          <w:spacing w:val="0"/>
          <w:sz w:val="22"/>
          <w:szCs w:val="24"/>
          <w:rtl/>
        </w:rPr>
        <w:t xml:space="preserve"> </w:t>
      </w:r>
      <w:r w:rsidRPr="002576B2">
        <w:rPr>
          <w:rFonts w:ascii="Century" w:hAnsi="Century" w:cs="Miriam" w:hint="eastAsia"/>
          <w:b/>
          <w:spacing w:val="0"/>
          <w:sz w:val="22"/>
          <w:szCs w:val="24"/>
          <w:rtl/>
        </w:rPr>
        <w:t>יותר</w:t>
      </w:r>
      <w:r w:rsidRPr="002576B2">
        <w:rPr>
          <w:rFonts w:ascii="Century" w:hAnsi="Century" w:cs="Miriam"/>
          <w:b/>
          <w:spacing w:val="0"/>
          <w:sz w:val="22"/>
          <w:szCs w:val="24"/>
          <w:rtl/>
        </w:rPr>
        <w:t xml:space="preserve">, </w:t>
      </w:r>
      <w:r w:rsidRPr="002576B2">
        <w:rPr>
          <w:rFonts w:ascii="Century" w:hAnsi="Century" w:cs="Miriam" w:hint="eastAsia"/>
          <w:b/>
          <w:spacing w:val="0"/>
          <w:sz w:val="22"/>
          <w:szCs w:val="24"/>
          <w:rtl/>
        </w:rPr>
        <w:t>ובעניינים</w:t>
      </w:r>
      <w:r w:rsidRPr="002576B2">
        <w:rPr>
          <w:rFonts w:ascii="Century" w:hAnsi="Century" w:cs="Miriam"/>
          <w:b/>
          <w:spacing w:val="0"/>
          <w:sz w:val="22"/>
          <w:szCs w:val="24"/>
          <w:rtl/>
        </w:rPr>
        <w:t xml:space="preserve"> </w:t>
      </w:r>
      <w:r w:rsidRPr="002576B2">
        <w:rPr>
          <w:rFonts w:ascii="Century" w:hAnsi="Century" w:cs="Miriam" w:hint="eastAsia"/>
          <w:b/>
          <w:spacing w:val="0"/>
          <w:sz w:val="22"/>
          <w:szCs w:val="24"/>
          <w:rtl/>
        </w:rPr>
        <w:t>אחרים</w:t>
      </w:r>
      <w:r w:rsidRPr="002576B2">
        <w:rPr>
          <w:rFonts w:ascii="Century" w:hAnsi="Century" w:cs="Miriam"/>
          <w:b/>
          <w:spacing w:val="0"/>
          <w:sz w:val="22"/>
          <w:szCs w:val="24"/>
          <w:rtl/>
        </w:rPr>
        <w:t xml:space="preserve"> </w:t>
      </w:r>
      <w:r w:rsidRPr="002576B2">
        <w:rPr>
          <w:rFonts w:ascii="Century" w:hAnsi="Century" w:cs="Miriam" w:hint="eastAsia"/>
          <w:b/>
          <w:spacing w:val="0"/>
          <w:sz w:val="22"/>
          <w:szCs w:val="24"/>
          <w:rtl/>
        </w:rPr>
        <w:t>המשפט</w:t>
      </w:r>
      <w:r w:rsidRPr="002576B2">
        <w:rPr>
          <w:rFonts w:ascii="Century" w:hAnsi="Century" w:cs="Miriam"/>
          <w:b/>
          <w:spacing w:val="0"/>
          <w:sz w:val="22"/>
          <w:szCs w:val="24"/>
          <w:rtl/>
        </w:rPr>
        <w:t xml:space="preserve"> </w:t>
      </w:r>
      <w:r w:rsidRPr="002576B2">
        <w:rPr>
          <w:rFonts w:ascii="Century" w:hAnsi="Century" w:cs="Miriam" w:hint="eastAsia"/>
          <w:b/>
          <w:spacing w:val="0"/>
          <w:sz w:val="22"/>
          <w:szCs w:val="24"/>
          <w:rtl/>
        </w:rPr>
        <w:t>המקובל</w:t>
      </w:r>
      <w:r w:rsidRPr="002576B2">
        <w:rPr>
          <w:rFonts w:ascii="Century" w:hAnsi="Century" w:cs="Miriam"/>
          <w:b/>
          <w:spacing w:val="0"/>
          <w:sz w:val="22"/>
          <w:szCs w:val="24"/>
          <w:rtl/>
        </w:rPr>
        <w:t xml:space="preserve"> </w:t>
      </w:r>
      <w:r w:rsidRPr="002576B2">
        <w:rPr>
          <w:rFonts w:ascii="Century" w:hAnsi="Century" w:cs="Miriam" w:hint="eastAsia"/>
          <w:b/>
          <w:spacing w:val="0"/>
          <w:sz w:val="22"/>
          <w:szCs w:val="24"/>
          <w:rtl/>
        </w:rPr>
        <w:t>הוא</w:t>
      </w:r>
      <w:r w:rsidRPr="002576B2">
        <w:rPr>
          <w:rFonts w:ascii="Century" w:hAnsi="Century" w:cs="Miriam"/>
          <w:b/>
          <w:spacing w:val="0"/>
          <w:sz w:val="22"/>
          <w:szCs w:val="24"/>
          <w:rtl/>
        </w:rPr>
        <w:t xml:space="preserve"> </w:t>
      </w:r>
      <w:r w:rsidRPr="002576B2">
        <w:rPr>
          <w:rFonts w:ascii="Century" w:hAnsi="Century" w:cs="Miriam" w:hint="eastAsia"/>
          <w:b/>
          <w:spacing w:val="0"/>
          <w:sz w:val="22"/>
          <w:szCs w:val="24"/>
          <w:rtl/>
        </w:rPr>
        <w:t>שקובע</w:t>
      </w:r>
      <w:r w:rsidRPr="002576B2">
        <w:rPr>
          <w:rFonts w:ascii="Century" w:hAnsi="Century" w:cs="Miriam"/>
          <w:b/>
          <w:spacing w:val="0"/>
          <w:sz w:val="22"/>
          <w:szCs w:val="24"/>
          <w:rtl/>
        </w:rPr>
        <w:t xml:space="preserve"> </w:t>
      </w:r>
      <w:r w:rsidRPr="002576B2">
        <w:rPr>
          <w:rFonts w:ascii="Century" w:hAnsi="Century" w:cs="Miriam" w:hint="eastAsia"/>
          <w:b/>
          <w:spacing w:val="0"/>
          <w:sz w:val="22"/>
          <w:szCs w:val="24"/>
          <w:rtl/>
        </w:rPr>
        <w:t>הסדר</w:t>
      </w:r>
      <w:r w:rsidRPr="002576B2">
        <w:rPr>
          <w:rFonts w:ascii="Century" w:hAnsi="Century" w:cs="Miriam"/>
          <w:b/>
          <w:spacing w:val="0"/>
          <w:sz w:val="22"/>
          <w:szCs w:val="24"/>
          <w:rtl/>
        </w:rPr>
        <w:t xml:space="preserve"> </w:t>
      </w:r>
      <w:r w:rsidRPr="002576B2">
        <w:rPr>
          <w:rFonts w:ascii="Century" w:hAnsi="Century" w:cs="Miriam" w:hint="eastAsia"/>
          <w:b/>
          <w:spacing w:val="0"/>
          <w:sz w:val="22"/>
          <w:szCs w:val="24"/>
          <w:rtl/>
        </w:rPr>
        <w:t>רחב</w:t>
      </w:r>
      <w:r w:rsidRPr="002576B2">
        <w:rPr>
          <w:rFonts w:ascii="Century" w:hAnsi="Century" w:cs="Miriam"/>
          <w:b/>
          <w:spacing w:val="0"/>
          <w:sz w:val="22"/>
          <w:szCs w:val="24"/>
          <w:rtl/>
        </w:rPr>
        <w:t xml:space="preserve"> </w:t>
      </w:r>
      <w:r w:rsidRPr="002576B2">
        <w:rPr>
          <w:rFonts w:ascii="Century" w:hAnsi="Century" w:cs="Miriam" w:hint="eastAsia"/>
          <w:b/>
          <w:spacing w:val="0"/>
          <w:sz w:val="22"/>
          <w:szCs w:val="24"/>
          <w:rtl/>
        </w:rPr>
        <w:t>יותר</w:t>
      </w:r>
      <w:r w:rsidRPr="002576B2">
        <w:rPr>
          <w:rFonts w:ascii="Century" w:hAnsi="Century" w:cs="Miriam" w:hint="cs"/>
          <w:b/>
          <w:spacing w:val="0"/>
          <w:sz w:val="22"/>
          <w:szCs w:val="24"/>
          <w:rtl/>
        </w:rPr>
        <w:t>"</w:t>
      </w:r>
      <w:r>
        <w:rPr>
          <w:rFonts w:hint="cs"/>
          <w:rtl/>
        </w:rPr>
        <w:t xml:space="preserve"> (</w:t>
      </w:r>
      <w:r w:rsidRPr="00876993">
        <w:rPr>
          <w:rFonts w:ascii="Century" w:hAnsi="Century" w:cs="Miriam" w:hint="eastAsia"/>
          <w:b/>
          <w:spacing w:val="0"/>
          <w:sz w:val="22"/>
          <w:szCs w:val="24"/>
          <w:rtl/>
        </w:rPr>
        <w:t>שם</w:t>
      </w:r>
      <w:r>
        <w:rPr>
          <w:rFonts w:hint="cs"/>
          <w:rtl/>
        </w:rPr>
        <w:t>, פסקה 88)</w:t>
      </w:r>
      <w:r w:rsidRPr="002576B2">
        <w:rPr>
          <w:rtl/>
        </w:rPr>
        <w:t>.</w:t>
      </w:r>
      <w:r>
        <w:rPr>
          <w:rFonts w:hint="cs"/>
          <w:rtl/>
        </w:rPr>
        <w:t xml:space="preserve"> </w:t>
      </w:r>
      <w:r w:rsidR="00B006D6">
        <w:rPr>
          <w:rFonts w:hint="cs"/>
          <w:rtl/>
        </w:rPr>
        <w:t xml:space="preserve">אבהיר, </w:t>
      </w:r>
      <w:r>
        <w:rPr>
          <w:rFonts w:hint="cs"/>
          <w:rtl/>
        </w:rPr>
        <w:t xml:space="preserve">כי הכלל במשפט המקובל רחב מן ההסדר החוקי בשני היבטים: הוא חל לגבי תביעות נגד כל בעל דין, לא נגד המדינה בלבד; והוא חל ביחס לתביעות בתחומי משפט נוספים, לא רק לגבי תביעות נזיקין. מנגד, ההסדר שבחוק הנזיקים האזרחיים רחב יותר מן הכלל </w:t>
      </w:r>
      <w:r w:rsidR="00B006D6">
        <w:rPr>
          <w:rFonts w:hint="cs"/>
          <w:rtl/>
        </w:rPr>
        <w:t xml:space="preserve">הנובע מן </w:t>
      </w:r>
      <w:r>
        <w:rPr>
          <w:rFonts w:hint="cs"/>
          <w:rtl/>
        </w:rPr>
        <w:t>המשפט המקובל, בשני היבטים אחרים: חוק הנזיקים פוטר את המדינה מאחריות נזיקית, בעוד שהכלל מהמשפט המקובל משהה את בירור התביעה, עד לסיום יחסי האויבות; בנוסף, חוק הנזיקים, על-פי תיקון מספר 8, חל גם ללא הכרזה פורמאלית על מלחמה, וזאת</w:t>
      </w:r>
      <w:r w:rsidRPr="00BF2834">
        <w:rPr>
          <w:rFonts w:hint="cs"/>
          <w:rtl/>
        </w:rPr>
        <w:t xml:space="preserve"> </w:t>
      </w:r>
      <w:r>
        <w:rPr>
          <w:rFonts w:hint="cs"/>
          <w:rtl/>
        </w:rPr>
        <w:t>בשונה מן הכלל הלקוח מן המשפט המקובל, החל בנסיבות של הכרזת מלחמה בלבד</w:t>
      </w:r>
      <w:r w:rsidRPr="002A5A6D">
        <w:rPr>
          <w:color w:val="FF0000"/>
          <w:rtl/>
        </w:rPr>
        <w:t xml:space="preserve"> </w:t>
      </w:r>
      <w:r>
        <w:rPr>
          <w:rFonts w:hint="cs"/>
          <w:rtl/>
        </w:rPr>
        <w:t>(</w:t>
      </w:r>
      <w:r w:rsidRPr="007761E2">
        <w:rPr>
          <w:rFonts w:ascii="Century" w:hAnsi="Century" w:cs="Miriam" w:hint="cs"/>
          <w:b/>
          <w:spacing w:val="0"/>
          <w:sz w:val="22"/>
          <w:szCs w:val="24"/>
          <w:rtl/>
        </w:rPr>
        <w:t>שם</w:t>
      </w:r>
      <w:r>
        <w:rPr>
          <w:rFonts w:hint="cs"/>
          <w:rtl/>
        </w:rPr>
        <w:t xml:space="preserve">, פסקאות 91-88). בעניין </w:t>
      </w:r>
      <w:r w:rsidRPr="002A5A6D">
        <w:rPr>
          <w:rFonts w:ascii="Miriam" w:hAnsi="Miriam" w:cs="Miriam"/>
          <w:szCs w:val="24"/>
          <w:rtl/>
        </w:rPr>
        <w:t>דיראני</w:t>
      </w:r>
      <w:r>
        <w:rPr>
          <w:rFonts w:hint="cs"/>
          <w:rtl/>
        </w:rPr>
        <w:t xml:space="preserve"> סוכמו הדברים כך:</w:t>
      </w:r>
    </w:p>
    <w:p w:rsidR="00D512D4" w:rsidRPr="00BF2834" w:rsidRDefault="00D512D4" w:rsidP="00D512D4">
      <w:pPr>
        <w:pStyle w:val="Ruller4"/>
        <w:numPr>
          <w:ilvl w:val="0"/>
          <w:numId w:val="0"/>
        </w:numPr>
        <w:rPr>
          <w:rtl/>
        </w:rPr>
      </w:pPr>
    </w:p>
    <w:p w:rsidR="00D512D4" w:rsidRPr="002A5A6D" w:rsidRDefault="00D512D4" w:rsidP="00AA358D">
      <w:pPr>
        <w:pStyle w:val="Ruller5"/>
        <w:spacing w:line="360" w:lineRule="auto"/>
        <w:rPr>
          <w:rFonts w:ascii="Century" w:hAnsi="Century"/>
          <w:rtl/>
        </w:rPr>
      </w:pPr>
      <w:r w:rsidRPr="00FF1631">
        <w:rPr>
          <w:rFonts w:ascii="Century" w:hAnsi="Century" w:cs="Miriam"/>
          <w:b/>
          <w:spacing w:val="0"/>
          <w:szCs w:val="24"/>
          <w:rtl/>
        </w:rPr>
        <w:t>"</w:t>
      </w:r>
      <w:r w:rsidRPr="00FF1631">
        <w:rPr>
          <w:rFonts w:ascii="Century" w:hAnsi="Century" w:cs="Miriam" w:hint="eastAsia"/>
          <w:b/>
          <w:spacing w:val="0"/>
          <w:szCs w:val="24"/>
          <w:rtl/>
        </w:rPr>
        <w:t>המסקנה</w:t>
      </w:r>
      <w:r w:rsidRPr="00FF1631">
        <w:rPr>
          <w:rFonts w:ascii="Century" w:hAnsi="Century" w:cs="Miriam"/>
          <w:b/>
          <w:spacing w:val="0"/>
          <w:szCs w:val="24"/>
          <w:rtl/>
        </w:rPr>
        <w:t xml:space="preserve"> </w:t>
      </w:r>
      <w:r w:rsidRPr="00FF1631">
        <w:rPr>
          <w:rFonts w:ascii="Century" w:hAnsi="Century" w:cs="Miriam" w:hint="eastAsia"/>
          <w:b/>
          <w:spacing w:val="0"/>
          <w:szCs w:val="24"/>
          <w:rtl/>
        </w:rPr>
        <w:t>היא</w:t>
      </w:r>
      <w:r w:rsidRPr="00FF1631">
        <w:rPr>
          <w:rFonts w:ascii="Century" w:hAnsi="Century" w:cs="Miriam"/>
          <w:b/>
          <w:spacing w:val="0"/>
          <w:szCs w:val="24"/>
          <w:rtl/>
        </w:rPr>
        <w:t xml:space="preserve">, </w:t>
      </w:r>
      <w:r w:rsidRPr="00FF1631">
        <w:rPr>
          <w:rFonts w:ascii="Century" w:hAnsi="Century" w:cs="Miriam" w:hint="eastAsia"/>
          <w:b/>
          <w:spacing w:val="0"/>
          <w:szCs w:val="24"/>
          <w:rtl/>
        </w:rPr>
        <w:t>ששני</w:t>
      </w:r>
      <w:r w:rsidRPr="00FF1631">
        <w:rPr>
          <w:rFonts w:ascii="Century" w:hAnsi="Century" w:cs="Miriam"/>
          <w:b/>
          <w:spacing w:val="0"/>
          <w:szCs w:val="24"/>
          <w:rtl/>
        </w:rPr>
        <w:t xml:space="preserve"> </w:t>
      </w:r>
      <w:r w:rsidRPr="00FF1631">
        <w:rPr>
          <w:rFonts w:ascii="Century" w:hAnsi="Century" w:cs="Miriam" w:hint="eastAsia"/>
          <w:b/>
          <w:spacing w:val="0"/>
          <w:szCs w:val="24"/>
          <w:rtl/>
        </w:rPr>
        <w:t>ההסדרים</w:t>
      </w:r>
      <w:r w:rsidRPr="00FF1631">
        <w:rPr>
          <w:rFonts w:ascii="Century" w:hAnsi="Century" w:cs="Miriam"/>
          <w:b/>
          <w:spacing w:val="0"/>
          <w:szCs w:val="24"/>
          <w:rtl/>
        </w:rPr>
        <w:t xml:space="preserve">, </w:t>
      </w:r>
      <w:r w:rsidRPr="00FF1631">
        <w:rPr>
          <w:rFonts w:ascii="Century" w:hAnsi="Century" w:cs="Miriam" w:hint="eastAsia"/>
          <w:b/>
          <w:spacing w:val="0"/>
          <w:szCs w:val="24"/>
          <w:rtl/>
        </w:rPr>
        <w:t>זה</w:t>
      </w:r>
      <w:r w:rsidRPr="00FF1631">
        <w:rPr>
          <w:rFonts w:ascii="Century" w:hAnsi="Century" w:cs="Miriam"/>
          <w:b/>
          <w:spacing w:val="0"/>
          <w:szCs w:val="24"/>
          <w:rtl/>
        </w:rPr>
        <w:t xml:space="preserve"> </w:t>
      </w:r>
      <w:r w:rsidRPr="00FF1631">
        <w:rPr>
          <w:rFonts w:ascii="Century" w:hAnsi="Century" w:cs="Miriam" w:hint="eastAsia"/>
          <w:b/>
          <w:spacing w:val="0"/>
          <w:szCs w:val="24"/>
          <w:rtl/>
        </w:rPr>
        <w:t>הקבוע</w:t>
      </w:r>
      <w:r w:rsidRPr="00FF1631">
        <w:rPr>
          <w:rFonts w:ascii="Century" w:hAnsi="Century" w:cs="Miriam"/>
          <w:b/>
          <w:spacing w:val="0"/>
          <w:szCs w:val="24"/>
          <w:rtl/>
        </w:rPr>
        <w:t xml:space="preserve"> </w:t>
      </w:r>
      <w:r w:rsidRPr="00FF1631">
        <w:rPr>
          <w:rFonts w:ascii="Century" w:hAnsi="Century" w:cs="Miriam" w:hint="eastAsia"/>
          <w:b/>
          <w:spacing w:val="0"/>
          <w:szCs w:val="24"/>
          <w:rtl/>
        </w:rPr>
        <w:t>בחוק</w:t>
      </w:r>
      <w:r w:rsidRPr="00FF1631">
        <w:rPr>
          <w:rFonts w:ascii="Century" w:hAnsi="Century" w:cs="Miriam"/>
          <w:b/>
          <w:spacing w:val="0"/>
          <w:szCs w:val="24"/>
          <w:rtl/>
        </w:rPr>
        <w:t xml:space="preserve"> </w:t>
      </w:r>
      <w:r w:rsidRPr="00FF1631">
        <w:rPr>
          <w:rFonts w:ascii="Century" w:hAnsi="Century" w:cs="Miriam" w:hint="eastAsia"/>
          <w:b/>
          <w:spacing w:val="0"/>
          <w:szCs w:val="24"/>
          <w:rtl/>
        </w:rPr>
        <w:t>וזה</w:t>
      </w:r>
      <w:r w:rsidRPr="00FF1631">
        <w:rPr>
          <w:rFonts w:ascii="Century" w:hAnsi="Century" w:cs="Miriam"/>
          <w:b/>
          <w:spacing w:val="0"/>
          <w:szCs w:val="24"/>
          <w:rtl/>
        </w:rPr>
        <w:t xml:space="preserve"> </w:t>
      </w:r>
      <w:r w:rsidRPr="00FF1631">
        <w:rPr>
          <w:rFonts w:ascii="Century" w:hAnsi="Century" w:cs="Miriam" w:hint="eastAsia"/>
          <w:b/>
          <w:spacing w:val="0"/>
          <w:szCs w:val="24"/>
          <w:rtl/>
        </w:rPr>
        <w:t>הנוהג</w:t>
      </w:r>
      <w:r w:rsidRPr="00FF1631">
        <w:rPr>
          <w:rFonts w:ascii="Century" w:hAnsi="Century" w:cs="Miriam"/>
          <w:b/>
          <w:spacing w:val="0"/>
          <w:szCs w:val="24"/>
          <w:rtl/>
        </w:rPr>
        <w:t xml:space="preserve"> </w:t>
      </w:r>
      <w:r w:rsidRPr="00FF1631">
        <w:rPr>
          <w:rFonts w:ascii="Century" w:hAnsi="Century" w:cs="Miriam" w:hint="eastAsia"/>
          <w:b/>
          <w:spacing w:val="0"/>
          <w:szCs w:val="24"/>
          <w:rtl/>
        </w:rPr>
        <w:t>במשפט</w:t>
      </w:r>
      <w:r w:rsidRPr="00FF1631">
        <w:rPr>
          <w:rFonts w:ascii="Century" w:hAnsi="Century" w:cs="Miriam"/>
          <w:b/>
          <w:spacing w:val="0"/>
          <w:szCs w:val="24"/>
          <w:rtl/>
        </w:rPr>
        <w:t xml:space="preserve"> </w:t>
      </w:r>
      <w:r w:rsidRPr="00FF1631">
        <w:rPr>
          <w:rFonts w:ascii="Century" w:hAnsi="Century" w:cs="Miriam" w:hint="eastAsia"/>
          <w:b/>
          <w:spacing w:val="0"/>
          <w:szCs w:val="24"/>
          <w:rtl/>
        </w:rPr>
        <w:t>המקובל</w:t>
      </w:r>
      <w:r w:rsidRPr="00FF1631">
        <w:rPr>
          <w:rFonts w:ascii="Century" w:hAnsi="Century" w:cs="Miriam"/>
          <w:b/>
          <w:spacing w:val="0"/>
          <w:szCs w:val="24"/>
          <w:rtl/>
        </w:rPr>
        <w:t xml:space="preserve">, </w:t>
      </w:r>
      <w:r w:rsidRPr="00FF1631">
        <w:rPr>
          <w:rFonts w:ascii="Century" w:hAnsi="Century" w:cs="Miriam" w:hint="eastAsia"/>
          <w:b/>
          <w:spacing w:val="0"/>
          <w:szCs w:val="24"/>
          <w:rtl/>
        </w:rPr>
        <w:t>מתקיימים</w:t>
      </w:r>
      <w:r w:rsidRPr="00FF1631">
        <w:rPr>
          <w:rFonts w:ascii="Century" w:hAnsi="Century" w:cs="Miriam"/>
          <w:b/>
          <w:spacing w:val="0"/>
          <w:szCs w:val="24"/>
          <w:rtl/>
        </w:rPr>
        <w:t xml:space="preserve"> </w:t>
      </w:r>
      <w:r w:rsidRPr="00FF1631">
        <w:rPr>
          <w:rFonts w:ascii="Century" w:hAnsi="Century" w:cs="Miriam" w:hint="eastAsia"/>
          <w:b/>
          <w:spacing w:val="0"/>
          <w:szCs w:val="24"/>
          <w:rtl/>
        </w:rPr>
        <w:t>זה</w:t>
      </w:r>
      <w:r w:rsidRPr="00FF1631">
        <w:rPr>
          <w:rFonts w:ascii="Century" w:hAnsi="Century" w:cs="Miriam"/>
          <w:b/>
          <w:spacing w:val="0"/>
          <w:szCs w:val="24"/>
          <w:rtl/>
        </w:rPr>
        <w:t xml:space="preserve"> </w:t>
      </w:r>
      <w:r w:rsidRPr="00FF1631">
        <w:rPr>
          <w:rFonts w:ascii="Century" w:hAnsi="Century" w:cs="Miriam" w:hint="eastAsia"/>
          <w:b/>
          <w:spacing w:val="0"/>
          <w:szCs w:val="24"/>
          <w:rtl/>
        </w:rPr>
        <w:t>בצד</w:t>
      </w:r>
      <w:r w:rsidRPr="00FF1631">
        <w:rPr>
          <w:rFonts w:ascii="Century" w:hAnsi="Century" w:cs="Miriam"/>
          <w:b/>
          <w:spacing w:val="0"/>
          <w:szCs w:val="24"/>
          <w:rtl/>
        </w:rPr>
        <w:t xml:space="preserve"> </w:t>
      </w:r>
      <w:r w:rsidRPr="00FF1631">
        <w:rPr>
          <w:rFonts w:ascii="Century" w:hAnsi="Century" w:cs="Miriam" w:hint="eastAsia"/>
          <w:b/>
          <w:spacing w:val="0"/>
          <w:szCs w:val="24"/>
          <w:rtl/>
        </w:rPr>
        <w:t>זה</w:t>
      </w:r>
      <w:r w:rsidRPr="00FF1631">
        <w:rPr>
          <w:rFonts w:ascii="Century" w:hAnsi="Century" w:cs="Miriam"/>
          <w:b/>
          <w:spacing w:val="0"/>
          <w:szCs w:val="24"/>
          <w:rtl/>
        </w:rPr>
        <w:t xml:space="preserve">. </w:t>
      </w:r>
      <w:r w:rsidR="00AA358D">
        <w:rPr>
          <w:rFonts w:ascii="Century" w:hAnsi="Century" w:cs="Miriam" w:hint="cs"/>
          <w:b/>
          <w:spacing w:val="0"/>
          <w:szCs w:val="24"/>
          <w:rtl/>
        </w:rPr>
        <w:t>[...]</w:t>
      </w:r>
      <w:r w:rsidRPr="00FF1631">
        <w:rPr>
          <w:rFonts w:ascii="Century" w:hAnsi="Century" w:cs="Miriam"/>
          <w:b/>
          <w:spacing w:val="0"/>
          <w:szCs w:val="24"/>
          <w:rtl/>
        </w:rPr>
        <w:t xml:space="preserve"> </w:t>
      </w:r>
      <w:r w:rsidRPr="00FF1631">
        <w:rPr>
          <w:rFonts w:ascii="Century" w:hAnsi="Century" w:cs="Miriam" w:hint="eastAsia"/>
          <w:b/>
          <w:spacing w:val="0"/>
          <w:szCs w:val="24"/>
          <w:rtl/>
        </w:rPr>
        <w:t>ככל</w:t>
      </w:r>
      <w:r w:rsidRPr="00FF1631">
        <w:rPr>
          <w:rFonts w:ascii="Century" w:hAnsi="Century" w:cs="Miriam"/>
          <w:b/>
          <w:spacing w:val="0"/>
          <w:szCs w:val="24"/>
          <w:rtl/>
        </w:rPr>
        <w:t xml:space="preserve"> </w:t>
      </w:r>
      <w:r w:rsidRPr="00FF1631">
        <w:rPr>
          <w:rFonts w:ascii="Century" w:hAnsi="Century" w:cs="Miriam" w:hint="eastAsia"/>
          <w:b/>
          <w:spacing w:val="0"/>
          <w:szCs w:val="24"/>
          <w:rtl/>
        </w:rPr>
        <w:t>שמדובר</w:t>
      </w:r>
      <w:r w:rsidRPr="00FF1631">
        <w:rPr>
          <w:rFonts w:ascii="Century" w:hAnsi="Century" w:cs="Miriam"/>
          <w:b/>
          <w:spacing w:val="0"/>
          <w:szCs w:val="24"/>
          <w:rtl/>
        </w:rPr>
        <w:t xml:space="preserve"> </w:t>
      </w:r>
      <w:r w:rsidRPr="00FF1631">
        <w:rPr>
          <w:rFonts w:ascii="Century" w:hAnsi="Century" w:cs="Miriam" w:hint="eastAsia"/>
          <w:b/>
          <w:spacing w:val="0"/>
          <w:szCs w:val="24"/>
          <w:rtl/>
        </w:rPr>
        <w:t>בתביעה</w:t>
      </w:r>
      <w:r w:rsidRPr="00FF1631">
        <w:rPr>
          <w:rFonts w:ascii="Century" w:hAnsi="Century" w:cs="Miriam"/>
          <w:b/>
          <w:spacing w:val="0"/>
          <w:szCs w:val="24"/>
          <w:rtl/>
        </w:rPr>
        <w:t xml:space="preserve"> </w:t>
      </w:r>
      <w:r w:rsidRPr="00FF1631">
        <w:rPr>
          <w:rFonts w:ascii="Century" w:hAnsi="Century" w:cs="Miriam" w:hint="eastAsia"/>
          <w:b/>
          <w:spacing w:val="0"/>
          <w:szCs w:val="24"/>
          <w:rtl/>
        </w:rPr>
        <w:t>המוגשת</w:t>
      </w:r>
      <w:r w:rsidRPr="00FF1631">
        <w:rPr>
          <w:rFonts w:ascii="Century" w:hAnsi="Century" w:cs="Miriam"/>
          <w:b/>
          <w:spacing w:val="0"/>
          <w:szCs w:val="24"/>
          <w:rtl/>
        </w:rPr>
        <w:t xml:space="preserve"> </w:t>
      </w:r>
      <w:r w:rsidRPr="00FF1631">
        <w:rPr>
          <w:rFonts w:ascii="Century" w:hAnsi="Century" w:cs="Miriam" w:hint="eastAsia"/>
          <w:b/>
          <w:spacing w:val="0"/>
          <w:szCs w:val="24"/>
          <w:rtl/>
        </w:rPr>
        <w:t>נגד</w:t>
      </w:r>
      <w:r w:rsidRPr="00FF1631">
        <w:rPr>
          <w:rFonts w:ascii="Century" w:hAnsi="Century" w:cs="Miriam"/>
          <w:b/>
          <w:spacing w:val="0"/>
          <w:szCs w:val="24"/>
          <w:rtl/>
        </w:rPr>
        <w:t xml:space="preserve"> </w:t>
      </w:r>
      <w:r w:rsidRPr="00FF1631">
        <w:rPr>
          <w:rFonts w:ascii="Century" w:hAnsi="Century" w:cs="Miriam" w:hint="eastAsia"/>
          <w:b/>
          <w:spacing w:val="0"/>
          <w:szCs w:val="24"/>
          <w:rtl/>
        </w:rPr>
        <w:t>המדינה</w:t>
      </w:r>
      <w:r w:rsidRPr="00FF1631">
        <w:rPr>
          <w:rFonts w:ascii="Century" w:hAnsi="Century" w:cs="Miriam"/>
          <w:b/>
          <w:spacing w:val="0"/>
          <w:szCs w:val="24"/>
          <w:rtl/>
        </w:rPr>
        <w:t xml:space="preserve">, </w:t>
      </w:r>
      <w:r w:rsidRPr="00FF1631">
        <w:rPr>
          <w:rFonts w:ascii="Century" w:hAnsi="Century" w:cs="Miriam" w:hint="eastAsia"/>
          <w:b/>
          <w:spacing w:val="0"/>
          <w:szCs w:val="24"/>
          <w:rtl/>
        </w:rPr>
        <w:t>הרי</w:t>
      </w:r>
      <w:r w:rsidRPr="00FF1631">
        <w:rPr>
          <w:rFonts w:ascii="Century" w:hAnsi="Century" w:cs="Miriam"/>
          <w:b/>
          <w:spacing w:val="0"/>
          <w:szCs w:val="24"/>
          <w:rtl/>
        </w:rPr>
        <w:t xml:space="preserve"> </w:t>
      </w:r>
      <w:r w:rsidRPr="00FF1631">
        <w:rPr>
          <w:rFonts w:ascii="Century" w:hAnsi="Century" w:cs="Miriam" w:hint="eastAsia"/>
          <w:b/>
          <w:spacing w:val="0"/>
          <w:szCs w:val="24"/>
          <w:rtl/>
        </w:rPr>
        <w:t>שאם</w:t>
      </w:r>
      <w:r w:rsidRPr="00FF1631">
        <w:rPr>
          <w:rFonts w:ascii="Century" w:hAnsi="Century" w:cs="Miriam"/>
          <w:b/>
          <w:spacing w:val="0"/>
          <w:szCs w:val="24"/>
          <w:rtl/>
        </w:rPr>
        <w:t xml:space="preserve"> </w:t>
      </w:r>
      <w:r w:rsidRPr="00FF1631">
        <w:rPr>
          <w:rFonts w:ascii="Century" w:hAnsi="Century" w:cs="Miriam" w:hint="eastAsia"/>
          <w:b/>
          <w:spacing w:val="0"/>
          <w:szCs w:val="24"/>
          <w:rtl/>
        </w:rPr>
        <w:t>זו</w:t>
      </w:r>
      <w:r w:rsidRPr="00FF1631">
        <w:rPr>
          <w:rFonts w:ascii="Century" w:hAnsi="Century" w:cs="Miriam"/>
          <w:b/>
          <w:spacing w:val="0"/>
          <w:szCs w:val="24"/>
          <w:rtl/>
        </w:rPr>
        <w:t xml:space="preserve"> </w:t>
      </w:r>
      <w:r w:rsidRPr="00FF1631">
        <w:rPr>
          <w:rFonts w:ascii="Century" w:hAnsi="Century" w:cs="Miriam" w:hint="eastAsia"/>
          <w:b/>
          <w:spacing w:val="0"/>
          <w:szCs w:val="24"/>
          <w:rtl/>
        </w:rPr>
        <w:t>עוסקת</w:t>
      </w:r>
      <w:r w:rsidRPr="00FF1631">
        <w:rPr>
          <w:rFonts w:ascii="Century" w:hAnsi="Century" w:cs="Miriam"/>
          <w:b/>
          <w:spacing w:val="0"/>
          <w:szCs w:val="24"/>
          <w:rtl/>
        </w:rPr>
        <w:t xml:space="preserve"> </w:t>
      </w:r>
      <w:r w:rsidRPr="00FF1631">
        <w:rPr>
          <w:rFonts w:ascii="Century" w:hAnsi="Century" w:cs="Miriam" w:hint="eastAsia"/>
          <w:b/>
          <w:spacing w:val="0"/>
          <w:szCs w:val="24"/>
          <w:rtl/>
        </w:rPr>
        <w:t>במעשים</w:t>
      </w:r>
      <w:r w:rsidRPr="00FF1631">
        <w:rPr>
          <w:rFonts w:ascii="Century" w:hAnsi="Century" w:cs="Miriam"/>
          <w:b/>
          <w:spacing w:val="0"/>
          <w:szCs w:val="24"/>
          <w:rtl/>
        </w:rPr>
        <w:t xml:space="preserve"> </w:t>
      </w:r>
      <w:r w:rsidRPr="00FF1631">
        <w:rPr>
          <w:rFonts w:ascii="Century" w:hAnsi="Century" w:cs="Miriam" w:hint="eastAsia"/>
          <w:b/>
          <w:spacing w:val="0"/>
          <w:szCs w:val="24"/>
          <w:rtl/>
        </w:rPr>
        <w:t>שנעשו</w:t>
      </w:r>
      <w:r w:rsidRPr="00FF1631">
        <w:rPr>
          <w:rFonts w:ascii="Century" w:hAnsi="Century" w:cs="Miriam"/>
          <w:b/>
          <w:spacing w:val="0"/>
          <w:szCs w:val="24"/>
          <w:rtl/>
        </w:rPr>
        <w:t xml:space="preserve"> </w:t>
      </w:r>
      <w:r w:rsidRPr="00FF1631">
        <w:rPr>
          <w:rFonts w:ascii="Century" w:hAnsi="Century" w:cs="Miriam" w:hint="eastAsia"/>
          <w:b/>
          <w:spacing w:val="0"/>
          <w:szCs w:val="24"/>
          <w:rtl/>
        </w:rPr>
        <w:t>לפני</w:t>
      </w:r>
      <w:r w:rsidRPr="00FF1631">
        <w:rPr>
          <w:rFonts w:ascii="Century" w:hAnsi="Century" w:cs="Miriam"/>
          <w:b/>
          <w:spacing w:val="0"/>
          <w:szCs w:val="24"/>
          <w:rtl/>
        </w:rPr>
        <w:t xml:space="preserve"> </w:t>
      </w:r>
      <w:r w:rsidRPr="00FF1631">
        <w:rPr>
          <w:rFonts w:ascii="Century" w:hAnsi="Century" w:cs="Miriam" w:hint="eastAsia"/>
          <w:b/>
          <w:spacing w:val="0"/>
          <w:szCs w:val="24"/>
          <w:rtl/>
        </w:rPr>
        <w:t>המועד</w:t>
      </w:r>
      <w:r w:rsidRPr="00FF1631">
        <w:rPr>
          <w:rFonts w:ascii="Century" w:hAnsi="Century" w:cs="Miriam"/>
          <w:b/>
          <w:spacing w:val="0"/>
          <w:szCs w:val="24"/>
          <w:rtl/>
        </w:rPr>
        <w:t xml:space="preserve"> </w:t>
      </w:r>
      <w:r w:rsidRPr="00FF1631">
        <w:rPr>
          <w:rFonts w:ascii="Century" w:hAnsi="Century" w:cs="Miriam" w:hint="eastAsia"/>
          <w:b/>
          <w:spacing w:val="0"/>
          <w:szCs w:val="24"/>
          <w:rtl/>
        </w:rPr>
        <w:t>הקובע</w:t>
      </w:r>
      <w:r w:rsidRPr="00FF1631">
        <w:rPr>
          <w:rFonts w:ascii="Century" w:hAnsi="Century" w:cs="Miriam"/>
          <w:b/>
          <w:spacing w:val="0"/>
          <w:szCs w:val="24"/>
          <w:rtl/>
        </w:rPr>
        <w:t xml:space="preserve"> </w:t>
      </w:r>
      <w:r w:rsidRPr="00FF1631">
        <w:rPr>
          <w:rFonts w:ascii="Century" w:hAnsi="Century" w:cs="Miriam" w:hint="eastAsia"/>
          <w:b/>
          <w:spacing w:val="0"/>
          <w:szCs w:val="24"/>
          <w:rtl/>
        </w:rPr>
        <w:t>על</w:t>
      </w:r>
      <w:r w:rsidRPr="00FF1631">
        <w:rPr>
          <w:rFonts w:ascii="Century" w:hAnsi="Century" w:cs="Miriam"/>
          <w:b/>
          <w:spacing w:val="0"/>
          <w:szCs w:val="24"/>
          <w:rtl/>
        </w:rPr>
        <w:t>-</w:t>
      </w:r>
      <w:r w:rsidRPr="00FF1631">
        <w:rPr>
          <w:rFonts w:ascii="Century" w:hAnsi="Century" w:cs="Miriam" w:hint="eastAsia"/>
          <w:b/>
          <w:spacing w:val="0"/>
          <w:szCs w:val="24"/>
          <w:rtl/>
        </w:rPr>
        <w:t>פי</w:t>
      </w:r>
      <w:r w:rsidRPr="00FF1631">
        <w:rPr>
          <w:rFonts w:ascii="Century" w:hAnsi="Century" w:cs="Miriam"/>
          <w:b/>
          <w:spacing w:val="0"/>
          <w:szCs w:val="24"/>
          <w:rtl/>
        </w:rPr>
        <w:t xml:space="preserve"> </w:t>
      </w:r>
      <w:r w:rsidRPr="00FF1631">
        <w:rPr>
          <w:rFonts w:ascii="Century" w:hAnsi="Century" w:cs="Miriam" w:hint="eastAsia"/>
          <w:b/>
          <w:spacing w:val="0"/>
          <w:szCs w:val="24"/>
          <w:rtl/>
        </w:rPr>
        <w:t>תיקון</w:t>
      </w:r>
      <w:r w:rsidRPr="00FF1631">
        <w:rPr>
          <w:rFonts w:ascii="Century" w:hAnsi="Century" w:cs="Miriam"/>
          <w:b/>
          <w:spacing w:val="0"/>
          <w:szCs w:val="24"/>
          <w:rtl/>
        </w:rPr>
        <w:t xml:space="preserve"> </w:t>
      </w:r>
      <w:r w:rsidRPr="00FF1631">
        <w:rPr>
          <w:rFonts w:ascii="Century" w:hAnsi="Century" w:cs="Miriam" w:hint="eastAsia"/>
          <w:b/>
          <w:spacing w:val="0"/>
          <w:szCs w:val="24"/>
          <w:rtl/>
        </w:rPr>
        <w:t>מס</w:t>
      </w:r>
      <w:r w:rsidRPr="00FF1631">
        <w:rPr>
          <w:rFonts w:ascii="Century" w:hAnsi="Century" w:cs="Miriam"/>
          <w:b/>
          <w:spacing w:val="0"/>
          <w:szCs w:val="24"/>
          <w:rtl/>
        </w:rPr>
        <w:t xml:space="preserve">' 7 </w:t>
      </w:r>
      <w:r w:rsidRPr="00FF1631">
        <w:rPr>
          <w:rFonts w:ascii="Century" w:hAnsi="Century" w:cs="Miriam" w:hint="eastAsia"/>
          <w:b/>
          <w:spacing w:val="0"/>
          <w:szCs w:val="24"/>
          <w:rtl/>
        </w:rPr>
        <w:t>ותיקון</w:t>
      </w:r>
      <w:r w:rsidRPr="00FF1631">
        <w:rPr>
          <w:rFonts w:ascii="Century" w:hAnsi="Century" w:cs="Miriam"/>
          <w:b/>
          <w:spacing w:val="0"/>
          <w:szCs w:val="24"/>
          <w:rtl/>
        </w:rPr>
        <w:t xml:space="preserve"> </w:t>
      </w:r>
      <w:r w:rsidRPr="00FF1631">
        <w:rPr>
          <w:rFonts w:ascii="Century" w:hAnsi="Century" w:cs="Miriam" w:hint="eastAsia"/>
          <w:b/>
          <w:spacing w:val="0"/>
          <w:szCs w:val="24"/>
          <w:rtl/>
        </w:rPr>
        <w:t>מס</w:t>
      </w:r>
      <w:r w:rsidRPr="00FF1631">
        <w:rPr>
          <w:rFonts w:ascii="Century" w:hAnsi="Century" w:cs="Miriam"/>
          <w:b/>
          <w:spacing w:val="0"/>
          <w:szCs w:val="24"/>
          <w:rtl/>
        </w:rPr>
        <w:t xml:space="preserve">' 8 </w:t>
      </w:r>
      <w:r w:rsidRPr="00FF1631">
        <w:rPr>
          <w:rFonts w:ascii="Century" w:hAnsi="Century" w:cs="Miriam" w:hint="eastAsia"/>
          <w:b/>
          <w:spacing w:val="0"/>
          <w:szCs w:val="24"/>
          <w:rtl/>
        </w:rPr>
        <w:t>לחוק</w:t>
      </w:r>
      <w:r w:rsidRPr="00FF1631">
        <w:rPr>
          <w:rFonts w:ascii="Century" w:hAnsi="Century" w:cs="Miriam"/>
          <w:b/>
          <w:spacing w:val="0"/>
          <w:szCs w:val="24"/>
          <w:rtl/>
        </w:rPr>
        <w:t xml:space="preserve"> </w:t>
      </w:r>
      <w:r w:rsidRPr="00FF1631">
        <w:rPr>
          <w:rFonts w:ascii="Century" w:hAnsi="Century" w:cs="Miriam" w:hint="eastAsia"/>
          <w:b/>
          <w:spacing w:val="0"/>
          <w:szCs w:val="24"/>
          <w:rtl/>
        </w:rPr>
        <w:t>הנזיקים</w:t>
      </w:r>
      <w:r w:rsidRPr="00FF1631">
        <w:rPr>
          <w:rFonts w:ascii="Century" w:hAnsi="Century" w:cs="Miriam"/>
          <w:b/>
          <w:spacing w:val="0"/>
          <w:szCs w:val="24"/>
          <w:rtl/>
        </w:rPr>
        <w:t xml:space="preserve"> </w:t>
      </w:r>
      <w:r w:rsidRPr="00FF1631">
        <w:rPr>
          <w:rFonts w:ascii="Century" w:hAnsi="Century" w:cs="Miriam" w:hint="eastAsia"/>
          <w:b/>
          <w:spacing w:val="0"/>
          <w:szCs w:val="24"/>
          <w:rtl/>
        </w:rPr>
        <w:t>האזרחיים</w:t>
      </w:r>
      <w:r w:rsidRPr="00FF1631">
        <w:rPr>
          <w:rFonts w:ascii="Century" w:hAnsi="Century" w:cs="Miriam"/>
          <w:b/>
          <w:spacing w:val="0"/>
          <w:szCs w:val="24"/>
          <w:rtl/>
        </w:rPr>
        <w:t xml:space="preserve">, </w:t>
      </w:r>
      <w:r w:rsidRPr="00FF1631">
        <w:rPr>
          <w:rFonts w:ascii="Century" w:hAnsi="Century" w:cs="Miriam" w:hint="eastAsia"/>
          <w:b/>
          <w:spacing w:val="0"/>
          <w:szCs w:val="24"/>
          <w:rtl/>
        </w:rPr>
        <w:t>יחול</w:t>
      </w:r>
      <w:r w:rsidRPr="00FF1631">
        <w:rPr>
          <w:rFonts w:ascii="Century" w:hAnsi="Century" w:cs="Miriam"/>
          <w:b/>
          <w:spacing w:val="0"/>
          <w:szCs w:val="24"/>
          <w:rtl/>
        </w:rPr>
        <w:t xml:space="preserve"> </w:t>
      </w:r>
      <w:r w:rsidRPr="00FF1631">
        <w:rPr>
          <w:rFonts w:ascii="Century" w:hAnsi="Century" w:cs="Miriam" w:hint="eastAsia"/>
          <w:b/>
          <w:spacing w:val="0"/>
          <w:szCs w:val="24"/>
          <w:rtl/>
        </w:rPr>
        <w:t>לגביה</w:t>
      </w:r>
      <w:r w:rsidRPr="00FF1631">
        <w:rPr>
          <w:rFonts w:ascii="Century" w:hAnsi="Century" w:cs="Miriam"/>
          <w:b/>
          <w:spacing w:val="0"/>
          <w:szCs w:val="24"/>
          <w:rtl/>
        </w:rPr>
        <w:t xml:space="preserve"> </w:t>
      </w:r>
      <w:r w:rsidRPr="00FF1631">
        <w:rPr>
          <w:rFonts w:ascii="Century" w:hAnsi="Century" w:cs="Miriam" w:hint="eastAsia"/>
          <w:b/>
          <w:spacing w:val="0"/>
          <w:szCs w:val="24"/>
          <w:rtl/>
        </w:rPr>
        <w:t>הכלל</w:t>
      </w:r>
      <w:r w:rsidRPr="00FF1631">
        <w:rPr>
          <w:rFonts w:ascii="Century" w:hAnsi="Century" w:cs="Miriam"/>
          <w:b/>
          <w:spacing w:val="0"/>
          <w:szCs w:val="24"/>
          <w:rtl/>
        </w:rPr>
        <w:t xml:space="preserve"> </w:t>
      </w:r>
      <w:r w:rsidRPr="00FF1631">
        <w:rPr>
          <w:rFonts w:ascii="Century" w:hAnsi="Century" w:cs="Miriam" w:hint="eastAsia"/>
          <w:b/>
          <w:spacing w:val="0"/>
          <w:szCs w:val="24"/>
          <w:rtl/>
        </w:rPr>
        <w:t>הנוהג</w:t>
      </w:r>
      <w:r w:rsidRPr="00FF1631">
        <w:rPr>
          <w:rFonts w:ascii="Century" w:hAnsi="Century" w:cs="Miriam"/>
          <w:b/>
          <w:spacing w:val="0"/>
          <w:szCs w:val="24"/>
          <w:rtl/>
        </w:rPr>
        <w:t xml:space="preserve"> </w:t>
      </w:r>
      <w:r w:rsidRPr="00FF1631">
        <w:rPr>
          <w:rFonts w:ascii="Century" w:hAnsi="Century" w:cs="Miriam" w:hint="eastAsia"/>
          <w:b/>
          <w:spacing w:val="0"/>
          <w:szCs w:val="24"/>
          <w:rtl/>
        </w:rPr>
        <w:t>במשפט</w:t>
      </w:r>
      <w:r w:rsidRPr="00FF1631">
        <w:rPr>
          <w:rFonts w:ascii="Century" w:hAnsi="Century" w:cs="Miriam"/>
          <w:b/>
          <w:spacing w:val="0"/>
          <w:szCs w:val="24"/>
          <w:rtl/>
        </w:rPr>
        <w:t xml:space="preserve"> </w:t>
      </w:r>
      <w:r w:rsidRPr="00FF1631">
        <w:rPr>
          <w:rFonts w:ascii="Century" w:hAnsi="Century" w:cs="Miriam" w:hint="eastAsia"/>
          <w:b/>
          <w:spacing w:val="0"/>
          <w:szCs w:val="24"/>
          <w:rtl/>
        </w:rPr>
        <w:t>המקובל</w:t>
      </w:r>
      <w:r w:rsidRPr="00FF1631">
        <w:rPr>
          <w:rFonts w:ascii="Century" w:hAnsi="Century" w:cs="Miriam"/>
          <w:b/>
          <w:spacing w:val="0"/>
          <w:szCs w:val="24"/>
          <w:rtl/>
        </w:rPr>
        <w:t xml:space="preserve">. </w:t>
      </w:r>
      <w:r w:rsidRPr="00FF1631">
        <w:rPr>
          <w:rFonts w:ascii="Century" w:hAnsi="Century" w:cs="Miriam" w:hint="eastAsia"/>
          <w:b/>
          <w:spacing w:val="0"/>
          <w:szCs w:val="24"/>
          <w:rtl/>
        </w:rPr>
        <w:t>בירור</w:t>
      </w:r>
      <w:r w:rsidRPr="00FF1631">
        <w:rPr>
          <w:rFonts w:ascii="Century" w:hAnsi="Century" w:cs="Miriam"/>
          <w:b/>
          <w:spacing w:val="0"/>
          <w:szCs w:val="24"/>
          <w:rtl/>
        </w:rPr>
        <w:t xml:space="preserve"> </w:t>
      </w:r>
      <w:r w:rsidRPr="00FF1631">
        <w:rPr>
          <w:rFonts w:ascii="Century" w:hAnsi="Century" w:cs="Miriam" w:hint="eastAsia"/>
          <w:b/>
          <w:spacing w:val="0"/>
          <w:szCs w:val="24"/>
          <w:rtl/>
        </w:rPr>
        <w:t>התביעה</w:t>
      </w:r>
      <w:r w:rsidRPr="00FF1631">
        <w:rPr>
          <w:rFonts w:ascii="Century" w:hAnsi="Century" w:cs="Miriam"/>
          <w:b/>
          <w:spacing w:val="0"/>
          <w:szCs w:val="24"/>
          <w:rtl/>
        </w:rPr>
        <w:t xml:space="preserve"> </w:t>
      </w:r>
      <w:r w:rsidRPr="00FF1631">
        <w:rPr>
          <w:rFonts w:ascii="Century" w:hAnsi="Century" w:cs="Miriam" w:hint="eastAsia"/>
          <w:b/>
          <w:spacing w:val="0"/>
          <w:szCs w:val="24"/>
          <w:rtl/>
        </w:rPr>
        <w:t>עשוי</w:t>
      </w:r>
      <w:r w:rsidRPr="00FF1631">
        <w:rPr>
          <w:rFonts w:ascii="Century" w:hAnsi="Century" w:cs="Miriam"/>
          <w:b/>
          <w:spacing w:val="0"/>
          <w:szCs w:val="24"/>
          <w:rtl/>
        </w:rPr>
        <w:t xml:space="preserve"> </w:t>
      </w:r>
      <w:r w:rsidRPr="00FF1631">
        <w:rPr>
          <w:rFonts w:ascii="Century" w:hAnsi="Century" w:cs="Miriam" w:hint="eastAsia"/>
          <w:b/>
          <w:spacing w:val="0"/>
          <w:szCs w:val="24"/>
          <w:rtl/>
        </w:rPr>
        <w:t>להיות</w:t>
      </w:r>
      <w:r w:rsidRPr="00FF1631">
        <w:rPr>
          <w:rFonts w:ascii="Century" w:hAnsi="Century" w:cs="Miriam"/>
          <w:b/>
          <w:spacing w:val="0"/>
          <w:szCs w:val="24"/>
          <w:rtl/>
        </w:rPr>
        <w:t xml:space="preserve"> </w:t>
      </w:r>
      <w:r w:rsidRPr="00FF1631">
        <w:rPr>
          <w:rFonts w:ascii="Century" w:hAnsi="Century" w:cs="Miriam" w:hint="eastAsia"/>
          <w:b/>
          <w:spacing w:val="0"/>
          <w:szCs w:val="24"/>
          <w:rtl/>
        </w:rPr>
        <w:t>מושהה</w:t>
      </w:r>
      <w:r w:rsidRPr="00FF1631">
        <w:rPr>
          <w:rFonts w:ascii="Century" w:hAnsi="Century" w:cs="Miriam"/>
          <w:b/>
          <w:spacing w:val="0"/>
          <w:szCs w:val="24"/>
          <w:rtl/>
        </w:rPr>
        <w:t xml:space="preserve">, </w:t>
      </w:r>
      <w:r w:rsidRPr="00FF1631">
        <w:rPr>
          <w:rFonts w:ascii="Century" w:hAnsi="Century" w:cs="Miriam" w:hint="eastAsia"/>
          <w:b/>
          <w:spacing w:val="0"/>
          <w:szCs w:val="24"/>
          <w:rtl/>
        </w:rPr>
        <w:t>אם</w:t>
      </w:r>
      <w:r w:rsidRPr="00FF1631">
        <w:rPr>
          <w:rFonts w:ascii="Century" w:hAnsi="Century" w:cs="Miriam"/>
          <w:b/>
          <w:spacing w:val="0"/>
          <w:szCs w:val="24"/>
          <w:rtl/>
        </w:rPr>
        <w:t xml:space="preserve"> </w:t>
      </w:r>
      <w:r w:rsidRPr="00FF1631">
        <w:rPr>
          <w:rFonts w:ascii="Century" w:hAnsi="Century" w:cs="Miriam" w:hint="eastAsia"/>
          <w:b/>
          <w:spacing w:val="0"/>
          <w:szCs w:val="24"/>
          <w:rtl/>
        </w:rPr>
        <w:t>מתקיימים</w:t>
      </w:r>
      <w:r w:rsidRPr="00FF1631">
        <w:rPr>
          <w:rFonts w:ascii="Century" w:hAnsi="Century" w:cs="Miriam"/>
          <w:b/>
          <w:spacing w:val="0"/>
          <w:szCs w:val="24"/>
          <w:rtl/>
        </w:rPr>
        <w:t xml:space="preserve"> </w:t>
      </w:r>
      <w:r w:rsidRPr="00FF1631">
        <w:rPr>
          <w:rFonts w:ascii="Century" w:hAnsi="Century" w:cs="Miriam" w:hint="eastAsia"/>
          <w:b/>
          <w:spacing w:val="0"/>
          <w:szCs w:val="24"/>
          <w:rtl/>
        </w:rPr>
        <w:t>התנאים</w:t>
      </w:r>
      <w:r w:rsidRPr="00FF1631">
        <w:rPr>
          <w:rFonts w:ascii="Century" w:hAnsi="Century" w:cs="Miriam"/>
          <w:b/>
          <w:spacing w:val="0"/>
          <w:szCs w:val="24"/>
          <w:rtl/>
        </w:rPr>
        <w:t xml:space="preserve"> </w:t>
      </w:r>
      <w:r w:rsidRPr="00FF1631">
        <w:rPr>
          <w:rFonts w:ascii="Century" w:hAnsi="Century" w:cs="Miriam" w:hint="eastAsia"/>
          <w:b/>
          <w:spacing w:val="0"/>
          <w:szCs w:val="24"/>
          <w:rtl/>
        </w:rPr>
        <w:t>לכך</w:t>
      </w:r>
      <w:r w:rsidRPr="00FF1631">
        <w:rPr>
          <w:rFonts w:ascii="Century" w:hAnsi="Century" w:cs="Miriam"/>
          <w:b/>
          <w:spacing w:val="0"/>
          <w:szCs w:val="24"/>
          <w:rtl/>
        </w:rPr>
        <w:t xml:space="preserve"> </w:t>
      </w:r>
      <w:r w:rsidRPr="00FF1631">
        <w:rPr>
          <w:rFonts w:ascii="Century" w:hAnsi="Century" w:cs="Miriam" w:hint="eastAsia"/>
          <w:b/>
          <w:spacing w:val="0"/>
          <w:szCs w:val="24"/>
          <w:rtl/>
        </w:rPr>
        <w:t>בהתאם</w:t>
      </w:r>
      <w:r w:rsidRPr="00FF1631">
        <w:rPr>
          <w:rFonts w:ascii="Century" w:hAnsi="Century" w:cs="Miriam"/>
          <w:b/>
          <w:spacing w:val="0"/>
          <w:szCs w:val="24"/>
          <w:rtl/>
        </w:rPr>
        <w:t xml:space="preserve"> </w:t>
      </w:r>
      <w:r w:rsidRPr="00FF1631">
        <w:rPr>
          <w:rFonts w:ascii="Century" w:hAnsi="Century" w:cs="Miriam" w:hint="eastAsia"/>
          <w:b/>
          <w:spacing w:val="0"/>
          <w:szCs w:val="24"/>
          <w:rtl/>
        </w:rPr>
        <w:t>למשפט</w:t>
      </w:r>
      <w:r w:rsidRPr="00FF1631">
        <w:rPr>
          <w:rFonts w:ascii="Century" w:hAnsi="Century" w:cs="Miriam"/>
          <w:b/>
          <w:spacing w:val="0"/>
          <w:szCs w:val="24"/>
          <w:rtl/>
        </w:rPr>
        <w:t xml:space="preserve"> </w:t>
      </w:r>
      <w:r w:rsidRPr="00FF1631">
        <w:rPr>
          <w:rFonts w:ascii="Century" w:hAnsi="Century" w:cs="Miriam" w:hint="eastAsia"/>
          <w:b/>
          <w:spacing w:val="0"/>
          <w:szCs w:val="24"/>
          <w:rtl/>
        </w:rPr>
        <w:t>המקובל</w:t>
      </w:r>
      <w:r w:rsidRPr="00FF1631">
        <w:rPr>
          <w:rFonts w:ascii="Century" w:hAnsi="Century" w:cs="Miriam"/>
          <w:b/>
          <w:spacing w:val="0"/>
          <w:szCs w:val="24"/>
          <w:rtl/>
        </w:rPr>
        <w:t xml:space="preserve">. </w:t>
      </w:r>
      <w:r w:rsidRPr="00FF1631">
        <w:rPr>
          <w:rFonts w:ascii="Century" w:hAnsi="Century" w:cs="Miriam" w:hint="eastAsia"/>
          <w:b/>
          <w:spacing w:val="0"/>
          <w:szCs w:val="24"/>
          <w:u w:val="single"/>
          <w:rtl/>
        </w:rPr>
        <w:t>אם</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התביעה</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עוסקת</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במעשים</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שנעשו</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לאחר</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מכן</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יחול</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לגביה</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ההסדר</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הקבוע</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בחוק</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הנזיקים</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האזרחיים</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שלפיו</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המדינה</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אינה</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אחראית</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בנזיקים</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בהתקיימותם</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של</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תנאים</w:t>
      </w:r>
      <w:r w:rsidRPr="00FF1631">
        <w:rPr>
          <w:rFonts w:ascii="Century" w:hAnsi="Century" w:cs="Miriam"/>
          <w:b/>
          <w:spacing w:val="0"/>
          <w:szCs w:val="24"/>
          <w:u w:val="single"/>
          <w:rtl/>
        </w:rPr>
        <w:t xml:space="preserve"> </w:t>
      </w:r>
      <w:r w:rsidRPr="00FF1631">
        <w:rPr>
          <w:rFonts w:ascii="Century" w:hAnsi="Century" w:cs="Miriam" w:hint="eastAsia"/>
          <w:b/>
          <w:spacing w:val="0"/>
          <w:szCs w:val="24"/>
          <w:u w:val="single"/>
          <w:rtl/>
        </w:rPr>
        <w:t>מסוימים</w:t>
      </w:r>
      <w:r w:rsidRPr="00FF1631">
        <w:rPr>
          <w:rFonts w:ascii="Century" w:hAnsi="Century" w:cs="Miriam"/>
          <w:b/>
          <w:spacing w:val="0"/>
          <w:szCs w:val="24"/>
          <w:rtl/>
        </w:rPr>
        <w:t xml:space="preserve">" </w:t>
      </w:r>
      <w:r w:rsidRPr="002A5A6D">
        <w:rPr>
          <w:rFonts w:ascii="Century" w:hAnsi="Century"/>
          <w:rtl/>
        </w:rPr>
        <w:t>(</w:t>
      </w:r>
      <w:r w:rsidRPr="00FF1631">
        <w:rPr>
          <w:rFonts w:ascii="Century" w:hAnsi="Century" w:cs="Miriam" w:hint="eastAsia"/>
          <w:b/>
          <w:spacing w:val="0"/>
          <w:szCs w:val="24"/>
          <w:rtl/>
        </w:rPr>
        <w:t>שם</w:t>
      </w:r>
      <w:r w:rsidRPr="002A5A6D">
        <w:rPr>
          <w:rFonts w:ascii="Century" w:hAnsi="Century"/>
          <w:rtl/>
        </w:rPr>
        <w:t xml:space="preserve">, </w:t>
      </w:r>
      <w:r w:rsidRPr="002A5A6D">
        <w:rPr>
          <w:rFonts w:ascii="Century" w:hAnsi="Century" w:hint="eastAsia"/>
          <w:rtl/>
        </w:rPr>
        <w:t>פסקה</w:t>
      </w:r>
      <w:r w:rsidRPr="002A5A6D">
        <w:rPr>
          <w:rFonts w:ascii="Century" w:hAnsi="Century"/>
          <w:rtl/>
        </w:rPr>
        <w:t xml:space="preserve"> 91)</w:t>
      </w:r>
      <w:r>
        <w:rPr>
          <w:rFonts w:ascii="Century" w:hAnsi="Century" w:hint="cs"/>
          <w:rtl/>
        </w:rPr>
        <w:t xml:space="preserve"> (ההדגשה הוספה </w:t>
      </w:r>
      <w:r>
        <w:rPr>
          <w:rFonts w:ascii="Century" w:hAnsi="Century"/>
          <w:rtl/>
        </w:rPr>
        <w:t>–</w:t>
      </w:r>
      <w:r>
        <w:rPr>
          <w:rFonts w:ascii="Century" w:hAnsi="Century" w:hint="cs"/>
          <w:rtl/>
        </w:rPr>
        <w:t xml:space="preserve"> נ' ס')</w:t>
      </w:r>
      <w:r w:rsidRPr="002A5A6D">
        <w:rPr>
          <w:rFonts w:ascii="Century" w:hAnsi="Century"/>
          <w:rtl/>
        </w:rPr>
        <w:t>.</w:t>
      </w:r>
    </w:p>
    <w:p w:rsidR="00D512D4" w:rsidRPr="0020740F" w:rsidRDefault="00D512D4" w:rsidP="00D512D4">
      <w:pPr>
        <w:pStyle w:val="Ruller41"/>
      </w:pPr>
    </w:p>
    <w:p w:rsidR="00D512D4" w:rsidRDefault="00D512D4" w:rsidP="00075DD0">
      <w:pPr>
        <w:pStyle w:val="Ruller4"/>
        <w:numPr>
          <w:ilvl w:val="0"/>
          <w:numId w:val="0"/>
        </w:numPr>
      </w:pPr>
      <w:r>
        <w:rPr>
          <w:rtl/>
        </w:rPr>
        <w:tab/>
      </w:r>
      <w:r>
        <w:rPr>
          <w:rFonts w:hint="cs"/>
          <w:rtl/>
        </w:rPr>
        <w:t>גם מ</w:t>
      </w:r>
      <w:r w:rsidR="00075DD0">
        <w:rPr>
          <w:rFonts w:hint="cs"/>
          <w:rtl/>
        </w:rPr>
        <w:t xml:space="preserve">דברי שאר חברי המותב </w:t>
      </w:r>
      <w:r>
        <w:rPr>
          <w:rFonts w:hint="cs"/>
          <w:rtl/>
        </w:rPr>
        <w:t xml:space="preserve">בעניין </w:t>
      </w:r>
      <w:r w:rsidRPr="002A5A6D">
        <w:rPr>
          <w:rFonts w:ascii="Century" w:hAnsi="Century" w:cs="Miriam" w:hint="eastAsia"/>
          <w:b/>
          <w:spacing w:val="0"/>
          <w:sz w:val="22"/>
          <w:szCs w:val="24"/>
          <w:rtl/>
        </w:rPr>
        <w:t>דיראני</w:t>
      </w:r>
      <w:r>
        <w:rPr>
          <w:rFonts w:hint="cs"/>
          <w:rtl/>
        </w:rPr>
        <w:t>, ניתן ללמוד, כי משעה שהתקבלו בכנסת תיקונים 7 ו-8 לחוק הנזיקים האזרחיים,</w:t>
      </w:r>
      <w:r w:rsidRPr="000D6E6F">
        <w:rPr>
          <w:rFonts w:hint="cs"/>
          <w:rtl/>
        </w:rPr>
        <w:t xml:space="preserve"> </w:t>
      </w:r>
      <w:r>
        <w:rPr>
          <w:rFonts w:hint="cs"/>
          <w:rtl/>
        </w:rPr>
        <w:t xml:space="preserve">משמעות ההכרעה באותו עניין הפכה מצומצמת למדי (ראו פסקאות ב' ו-י"ט לפסק הדין של השופט (כתוארו אז) </w:t>
      </w:r>
      <w:r w:rsidRPr="007761E2">
        <w:rPr>
          <w:rFonts w:ascii="Century" w:hAnsi="Century" w:cs="Miriam" w:hint="cs"/>
          <w:b/>
          <w:spacing w:val="0"/>
          <w:sz w:val="22"/>
          <w:szCs w:val="24"/>
          <w:rtl/>
        </w:rPr>
        <w:t>א' רובינשטיין</w:t>
      </w:r>
      <w:r>
        <w:rPr>
          <w:rFonts w:hint="cs"/>
          <w:rtl/>
        </w:rPr>
        <w:t xml:space="preserve">; פסקאות 5-4 לפסק הדין של השופט (כתוארו אז) </w:t>
      </w:r>
      <w:r>
        <w:rPr>
          <w:rFonts w:ascii="Century" w:hAnsi="Century" w:cs="Miriam" w:hint="cs"/>
          <w:b/>
          <w:spacing w:val="0"/>
          <w:sz w:val="22"/>
          <w:szCs w:val="24"/>
          <w:rtl/>
        </w:rPr>
        <w:t xml:space="preserve">ס' </w:t>
      </w:r>
      <w:r w:rsidRPr="007761E2">
        <w:rPr>
          <w:rFonts w:ascii="Century" w:hAnsi="Century" w:cs="Miriam" w:hint="cs"/>
          <w:b/>
          <w:spacing w:val="0"/>
          <w:sz w:val="22"/>
          <w:szCs w:val="24"/>
          <w:rtl/>
        </w:rPr>
        <w:t>ג'ובראן</w:t>
      </w:r>
      <w:r>
        <w:rPr>
          <w:rFonts w:hint="cs"/>
          <w:rtl/>
        </w:rPr>
        <w:t xml:space="preserve">). גם חברי המשנה לנשיאה </w:t>
      </w:r>
      <w:r w:rsidR="00C94C06">
        <w:rPr>
          <w:rFonts w:ascii="Century" w:hAnsi="Century" w:cs="Miriam" w:hint="cs"/>
          <w:b/>
          <w:spacing w:val="0"/>
          <w:sz w:val="22"/>
          <w:szCs w:val="24"/>
          <w:rtl/>
        </w:rPr>
        <w:t xml:space="preserve">נ' </w:t>
      </w:r>
      <w:r w:rsidRPr="007761E2">
        <w:rPr>
          <w:rFonts w:ascii="Century" w:hAnsi="Century" w:cs="Miriam" w:hint="cs"/>
          <w:b/>
          <w:spacing w:val="0"/>
          <w:sz w:val="22"/>
          <w:szCs w:val="24"/>
          <w:rtl/>
        </w:rPr>
        <w:t>הנדל</w:t>
      </w:r>
      <w:r>
        <w:rPr>
          <w:rFonts w:hint="cs"/>
          <w:rtl/>
        </w:rPr>
        <w:t>, שבעניין</w:t>
      </w:r>
      <w:r w:rsidRPr="000D6E6F">
        <w:rPr>
          <w:rFonts w:ascii="Century" w:hAnsi="Century" w:cs="Miriam" w:hint="cs"/>
          <w:b/>
          <w:spacing w:val="0"/>
          <w:sz w:val="22"/>
          <w:szCs w:val="24"/>
          <w:rtl/>
        </w:rPr>
        <w:t xml:space="preserve"> דיראני</w:t>
      </w:r>
      <w:r>
        <w:rPr>
          <w:rFonts w:hint="cs"/>
          <w:rtl/>
        </w:rPr>
        <w:t xml:space="preserve"> נותר בדעת מיעוט לגבי התוצאה, ציין, ל</w:t>
      </w:r>
      <w:r w:rsidR="00075DD0">
        <w:rPr>
          <w:rFonts w:hint="cs"/>
          <w:rtl/>
        </w:rPr>
        <w:t>גב</w:t>
      </w:r>
      <w:r>
        <w:rPr>
          <w:rFonts w:hint="cs"/>
          <w:rtl/>
        </w:rPr>
        <w:t xml:space="preserve">י היחס שבין הכלל האנגלי לחוק הנזיקים האזרחיים, כדברים האלה: </w:t>
      </w:r>
    </w:p>
    <w:p w:rsidR="00D512D4" w:rsidRPr="00075DD0" w:rsidRDefault="00D512D4" w:rsidP="00D512D4">
      <w:pPr>
        <w:pStyle w:val="Ruller4"/>
        <w:numPr>
          <w:ilvl w:val="0"/>
          <w:numId w:val="0"/>
        </w:numPr>
        <w:rPr>
          <w:rtl/>
        </w:rPr>
      </w:pPr>
    </w:p>
    <w:p w:rsidR="00D512D4" w:rsidRPr="000D6E6F" w:rsidRDefault="00D512D4" w:rsidP="00905E8C">
      <w:pPr>
        <w:pStyle w:val="Ruller5"/>
        <w:spacing w:line="360" w:lineRule="auto"/>
        <w:rPr>
          <w:rFonts w:ascii="Century" w:hAnsi="Century" w:cs="Miriam"/>
          <w:b/>
          <w:spacing w:val="0"/>
          <w:szCs w:val="24"/>
        </w:rPr>
      </w:pPr>
      <w:r>
        <w:rPr>
          <w:rFonts w:ascii="Century" w:hAnsi="Century" w:cs="Miriam" w:hint="cs"/>
          <w:b/>
          <w:spacing w:val="0"/>
          <w:szCs w:val="24"/>
          <w:rtl/>
        </w:rPr>
        <w:t>"</w:t>
      </w:r>
      <w:r w:rsidRPr="000D6E6F">
        <w:rPr>
          <w:rFonts w:ascii="Century" w:hAnsi="Century" w:cs="Miriam"/>
          <w:b/>
          <w:spacing w:val="0"/>
          <w:szCs w:val="24"/>
          <w:rtl/>
        </w:rPr>
        <w:t xml:space="preserve">אינני מתעלם מכך שהכנסת העבירה את תיקון 7 לחוק </w:t>
      </w:r>
      <w:r>
        <w:rPr>
          <w:rFonts w:ascii="Century" w:hAnsi="Century" w:cs="Miriam" w:hint="cs"/>
          <w:b/>
          <w:spacing w:val="0"/>
          <w:szCs w:val="24"/>
          <w:rtl/>
        </w:rPr>
        <w:t>ה</w:t>
      </w:r>
      <w:r w:rsidRPr="000D6E6F">
        <w:rPr>
          <w:rFonts w:ascii="Century" w:hAnsi="Century" w:cs="Miriam"/>
          <w:b/>
          <w:spacing w:val="0"/>
          <w:szCs w:val="24"/>
          <w:rtl/>
        </w:rPr>
        <w:t xml:space="preserve">נזיקים האזרחיים, אשר מציג עמדה אחרת מזו שהצגתי. </w:t>
      </w:r>
      <w:r w:rsidRPr="000D6E6F">
        <w:rPr>
          <w:rFonts w:ascii="Century" w:hAnsi="Century" w:cs="Miriam"/>
          <w:b/>
          <w:spacing w:val="0"/>
          <w:szCs w:val="24"/>
          <w:u w:val="single"/>
          <w:rtl/>
        </w:rPr>
        <w:t>בראייה של הביקורת החוקתית ניתן לטעון שתיקון זה עובר את מסננת פסקת ההגבלה</w:t>
      </w:r>
      <w:r w:rsidRPr="000D6E6F">
        <w:rPr>
          <w:rFonts w:ascii="Century" w:hAnsi="Century" w:cs="Miriam"/>
          <w:b/>
          <w:spacing w:val="0"/>
          <w:szCs w:val="24"/>
          <w:rtl/>
        </w:rPr>
        <w:t xml:space="preserve">. אולם אין צורך להכריע בכך במסגרת חוות דעת זו. די לומר שלא זו השאלה העומדת לפתחנו. המקרה שבפנינו הקדים את התיקון לחוק. ההכרעה השיפוטית בעניין איננה מול הכנסת, אלא של בית המשפט פנימה. הכנסת רשאית לחוקק, ובית המשפט מוסמך לבקר את חוקיה מבחינה חוקתית. אלא ששיקול הדעת השיפוטי ומתחם הפעולה וההתערבות הוא שונה בהשוואה להליך פרשנות פנימי. גם אם בחינה חוקתית כזו הייתה מביאה לתוצאה אחרת, מלאכת ההכרעה בתיק זה היא שונה. כך שונה אף נקודת המוצא </w:t>
      </w:r>
      <w:r w:rsidRPr="00C93802">
        <w:rPr>
          <w:rFonts w:ascii="Century" w:hAnsi="Century"/>
          <w:rtl/>
        </w:rPr>
        <w:t>–</w:t>
      </w:r>
      <w:r w:rsidRPr="000D6E6F">
        <w:rPr>
          <w:rFonts w:ascii="Century" w:hAnsi="Century" w:cs="Miriam"/>
          <w:b/>
          <w:spacing w:val="0"/>
          <w:szCs w:val="24"/>
          <w:rtl/>
        </w:rPr>
        <w:t xml:space="preserve"> הכלל האנגלי אל מול </w:t>
      </w:r>
      <w:r w:rsidRPr="00905E8C">
        <w:rPr>
          <w:rFonts w:ascii="Century" w:hAnsi="Century" w:cs="Miriam"/>
          <w:spacing w:val="0"/>
          <w:szCs w:val="24"/>
          <w:rtl/>
        </w:rPr>
        <w:t>חוק הכנסת</w:t>
      </w:r>
      <w:r>
        <w:rPr>
          <w:rFonts w:ascii="Century" w:hAnsi="Century" w:cs="Miriam" w:hint="cs"/>
          <w:b/>
          <w:spacing w:val="0"/>
          <w:szCs w:val="24"/>
          <w:rtl/>
        </w:rPr>
        <w:t>. במ</w:t>
      </w:r>
      <w:r w:rsidRPr="000D6E6F">
        <w:rPr>
          <w:rFonts w:ascii="Century" w:hAnsi="Century" w:cs="Miriam"/>
          <w:b/>
          <w:spacing w:val="0"/>
          <w:szCs w:val="24"/>
          <w:rtl/>
        </w:rPr>
        <w:t>סגרת</w:t>
      </w:r>
      <w:r w:rsidRPr="000D6E6F">
        <w:rPr>
          <w:rFonts w:hint="eastAsia"/>
          <w:rtl/>
        </w:rPr>
        <w:t xml:space="preserve"> </w:t>
      </w:r>
      <w:r w:rsidRPr="000D6E6F">
        <w:rPr>
          <w:rFonts w:ascii="Century" w:hAnsi="Century" w:cs="Miriam" w:hint="eastAsia"/>
          <w:b/>
          <w:spacing w:val="0"/>
          <w:szCs w:val="24"/>
          <w:rtl/>
        </w:rPr>
        <w:t>הדיון</w:t>
      </w:r>
      <w:r w:rsidRPr="000D6E6F">
        <w:rPr>
          <w:rFonts w:ascii="Century" w:hAnsi="Century" w:cs="Miriam"/>
          <w:b/>
          <w:spacing w:val="0"/>
          <w:szCs w:val="24"/>
          <w:rtl/>
        </w:rPr>
        <w:t xml:space="preserve"> </w:t>
      </w:r>
      <w:r w:rsidRPr="000D6E6F">
        <w:rPr>
          <w:rFonts w:ascii="Century" w:hAnsi="Century" w:cs="Miriam" w:hint="eastAsia"/>
          <w:b/>
          <w:spacing w:val="0"/>
          <w:szCs w:val="24"/>
          <w:rtl/>
        </w:rPr>
        <w:t>הנוכחי</w:t>
      </w:r>
      <w:r w:rsidRPr="000D6E6F">
        <w:rPr>
          <w:rFonts w:ascii="Century" w:hAnsi="Century" w:cs="Miriam"/>
          <w:b/>
          <w:spacing w:val="0"/>
          <w:szCs w:val="24"/>
          <w:rtl/>
        </w:rPr>
        <w:t xml:space="preserve">, </w:t>
      </w:r>
      <w:r w:rsidRPr="000D6E6F">
        <w:rPr>
          <w:rFonts w:ascii="Century" w:hAnsi="Century" w:cs="Miriam" w:hint="eastAsia"/>
          <w:b/>
          <w:spacing w:val="0"/>
          <w:szCs w:val="24"/>
          <w:rtl/>
        </w:rPr>
        <w:t>בית</w:t>
      </w:r>
      <w:r w:rsidRPr="000D6E6F">
        <w:rPr>
          <w:rFonts w:ascii="Century" w:hAnsi="Century" w:cs="Miriam"/>
          <w:b/>
          <w:spacing w:val="0"/>
          <w:szCs w:val="24"/>
          <w:rtl/>
        </w:rPr>
        <w:t xml:space="preserve"> </w:t>
      </w:r>
      <w:r w:rsidRPr="000D6E6F">
        <w:rPr>
          <w:rFonts w:ascii="Century" w:hAnsi="Century" w:cs="Miriam" w:hint="eastAsia"/>
          <w:b/>
          <w:spacing w:val="0"/>
          <w:szCs w:val="24"/>
          <w:rtl/>
        </w:rPr>
        <w:t>המשפט</w:t>
      </w:r>
      <w:r w:rsidRPr="000D6E6F">
        <w:rPr>
          <w:rFonts w:ascii="Century" w:hAnsi="Century" w:cs="Miriam"/>
          <w:b/>
          <w:spacing w:val="0"/>
          <w:szCs w:val="24"/>
          <w:rtl/>
        </w:rPr>
        <w:t xml:space="preserve"> </w:t>
      </w:r>
      <w:r w:rsidRPr="000D6E6F">
        <w:rPr>
          <w:rFonts w:ascii="Century" w:hAnsi="Century" w:cs="Miriam" w:hint="eastAsia"/>
          <w:b/>
          <w:spacing w:val="0"/>
          <w:szCs w:val="24"/>
          <w:rtl/>
        </w:rPr>
        <w:t>מחוייב</w:t>
      </w:r>
      <w:r w:rsidRPr="000D6E6F">
        <w:rPr>
          <w:rFonts w:ascii="Century" w:hAnsi="Century" w:cs="Miriam"/>
          <w:b/>
          <w:spacing w:val="0"/>
          <w:szCs w:val="24"/>
          <w:rtl/>
        </w:rPr>
        <w:t xml:space="preserve"> </w:t>
      </w:r>
      <w:r w:rsidRPr="000D6E6F">
        <w:rPr>
          <w:rFonts w:ascii="Century" w:hAnsi="Century" w:cs="Miriam" w:hint="eastAsia"/>
          <w:b/>
          <w:spacing w:val="0"/>
          <w:szCs w:val="24"/>
          <w:rtl/>
        </w:rPr>
        <w:t>להכריע</w:t>
      </w:r>
      <w:r w:rsidRPr="000D6E6F">
        <w:rPr>
          <w:rFonts w:ascii="Century" w:hAnsi="Century" w:cs="Miriam"/>
          <w:b/>
          <w:spacing w:val="0"/>
          <w:szCs w:val="24"/>
          <w:rtl/>
        </w:rPr>
        <w:t xml:space="preserve"> </w:t>
      </w:r>
      <w:r w:rsidRPr="000D6E6F">
        <w:rPr>
          <w:rFonts w:ascii="Century" w:hAnsi="Century" w:cs="Miriam" w:hint="eastAsia"/>
          <w:b/>
          <w:spacing w:val="0"/>
          <w:szCs w:val="24"/>
          <w:rtl/>
        </w:rPr>
        <w:t>על</w:t>
      </w:r>
      <w:r w:rsidRPr="000D6E6F">
        <w:rPr>
          <w:rFonts w:ascii="Century" w:hAnsi="Century" w:cs="Miriam"/>
          <w:b/>
          <w:spacing w:val="0"/>
          <w:szCs w:val="24"/>
          <w:rtl/>
        </w:rPr>
        <w:t xml:space="preserve"> </w:t>
      </w:r>
      <w:r w:rsidRPr="000D6E6F">
        <w:rPr>
          <w:rFonts w:ascii="Century" w:hAnsi="Century" w:cs="Miriam" w:hint="eastAsia"/>
          <w:b/>
          <w:spacing w:val="0"/>
          <w:szCs w:val="24"/>
          <w:rtl/>
        </w:rPr>
        <w:t>פי</w:t>
      </w:r>
      <w:r w:rsidRPr="000D6E6F">
        <w:rPr>
          <w:rFonts w:ascii="Century" w:hAnsi="Century" w:cs="Miriam"/>
          <w:b/>
          <w:spacing w:val="0"/>
          <w:szCs w:val="24"/>
          <w:rtl/>
        </w:rPr>
        <w:t xml:space="preserve"> </w:t>
      </w:r>
      <w:r w:rsidRPr="000D6E6F">
        <w:rPr>
          <w:rFonts w:ascii="Century" w:hAnsi="Century" w:cs="Miriam" w:hint="eastAsia"/>
          <w:b/>
          <w:spacing w:val="0"/>
          <w:szCs w:val="24"/>
          <w:rtl/>
        </w:rPr>
        <w:t>הבנתו</w:t>
      </w:r>
      <w:r w:rsidRPr="000D6E6F">
        <w:rPr>
          <w:rFonts w:ascii="Century" w:hAnsi="Century" w:cs="Miriam"/>
          <w:b/>
          <w:spacing w:val="0"/>
          <w:szCs w:val="24"/>
          <w:rtl/>
        </w:rPr>
        <w:t xml:space="preserve"> </w:t>
      </w:r>
      <w:r w:rsidRPr="000D6E6F">
        <w:rPr>
          <w:rFonts w:ascii="Century" w:hAnsi="Century" w:cs="Miriam" w:hint="eastAsia"/>
          <w:b/>
          <w:spacing w:val="0"/>
          <w:szCs w:val="24"/>
          <w:rtl/>
        </w:rPr>
        <w:t>המשפטית</w:t>
      </w:r>
      <w:r w:rsidRPr="000D6E6F">
        <w:rPr>
          <w:rFonts w:ascii="Century" w:hAnsi="Century" w:cs="Miriam"/>
          <w:b/>
          <w:spacing w:val="0"/>
          <w:szCs w:val="24"/>
          <w:rtl/>
        </w:rPr>
        <w:t xml:space="preserve"> </w:t>
      </w:r>
      <w:r w:rsidRPr="000D6E6F">
        <w:rPr>
          <w:rFonts w:ascii="Century" w:hAnsi="Century" w:cs="Miriam" w:hint="eastAsia"/>
          <w:b/>
          <w:spacing w:val="0"/>
          <w:szCs w:val="24"/>
          <w:rtl/>
        </w:rPr>
        <w:t>מהי</w:t>
      </w:r>
      <w:r w:rsidRPr="000D6E6F">
        <w:rPr>
          <w:rFonts w:ascii="Century" w:hAnsi="Century" w:cs="Miriam"/>
          <w:b/>
          <w:spacing w:val="0"/>
          <w:szCs w:val="24"/>
          <w:rtl/>
        </w:rPr>
        <w:t xml:space="preserve"> </w:t>
      </w:r>
      <w:r w:rsidRPr="000D6E6F">
        <w:rPr>
          <w:rFonts w:ascii="Century" w:hAnsi="Century" w:cs="Miriam" w:hint="eastAsia"/>
          <w:b/>
          <w:spacing w:val="0"/>
          <w:szCs w:val="24"/>
          <w:rtl/>
        </w:rPr>
        <w:t>הפרשנות</w:t>
      </w:r>
      <w:r w:rsidRPr="000D6E6F">
        <w:rPr>
          <w:rFonts w:ascii="Century" w:hAnsi="Century" w:cs="Miriam"/>
          <w:b/>
          <w:spacing w:val="0"/>
          <w:szCs w:val="24"/>
          <w:rtl/>
        </w:rPr>
        <w:t xml:space="preserve"> </w:t>
      </w:r>
      <w:r w:rsidRPr="000D6E6F">
        <w:rPr>
          <w:rFonts w:ascii="Century" w:hAnsi="Century" w:cs="Miriam" w:hint="eastAsia"/>
          <w:b/>
          <w:spacing w:val="0"/>
          <w:szCs w:val="24"/>
          <w:rtl/>
        </w:rPr>
        <w:t>העדיפה</w:t>
      </w:r>
      <w:r w:rsidRPr="000D6E6F">
        <w:rPr>
          <w:rFonts w:ascii="Century" w:hAnsi="Century" w:cs="Miriam"/>
          <w:b/>
          <w:spacing w:val="0"/>
          <w:szCs w:val="24"/>
          <w:rtl/>
        </w:rPr>
        <w:t xml:space="preserve">, </w:t>
      </w:r>
      <w:r w:rsidRPr="000D6E6F">
        <w:rPr>
          <w:rFonts w:ascii="Century" w:hAnsi="Century" w:cs="Miriam" w:hint="eastAsia"/>
          <w:b/>
          <w:spacing w:val="0"/>
          <w:szCs w:val="24"/>
          <w:rtl/>
        </w:rPr>
        <w:t>ולא</w:t>
      </w:r>
      <w:r w:rsidRPr="000D6E6F">
        <w:rPr>
          <w:rFonts w:ascii="Century" w:hAnsi="Century" w:cs="Miriam"/>
          <w:b/>
          <w:spacing w:val="0"/>
          <w:szCs w:val="24"/>
          <w:rtl/>
        </w:rPr>
        <w:t xml:space="preserve"> </w:t>
      </w:r>
      <w:r w:rsidRPr="000D6E6F">
        <w:rPr>
          <w:rFonts w:ascii="Century" w:hAnsi="Century" w:cs="Miriam" w:hint="eastAsia"/>
          <w:b/>
          <w:spacing w:val="0"/>
          <w:szCs w:val="24"/>
          <w:rtl/>
        </w:rPr>
        <w:t>האם</w:t>
      </w:r>
      <w:r w:rsidRPr="000D6E6F">
        <w:rPr>
          <w:rFonts w:ascii="Century" w:hAnsi="Century" w:cs="Miriam"/>
          <w:b/>
          <w:spacing w:val="0"/>
          <w:szCs w:val="24"/>
          <w:rtl/>
        </w:rPr>
        <w:t xml:space="preserve"> </w:t>
      </w:r>
      <w:r w:rsidRPr="000D6E6F">
        <w:rPr>
          <w:rFonts w:ascii="Century" w:hAnsi="Century" w:cs="Miriam" w:hint="eastAsia"/>
          <w:b/>
          <w:spacing w:val="0"/>
          <w:szCs w:val="24"/>
          <w:rtl/>
        </w:rPr>
        <w:t>חוק</w:t>
      </w:r>
      <w:r w:rsidRPr="000D6E6F">
        <w:rPr>
          <w:rFonts w:ascii="Century" w:hAnsi="Century" w:cs="Miriam"/>
          <w:b/>
          <w:spacing w:val="0"/>
          <w:szCs w:val="24"/>
          <w:rtl/>
        </w:rPr>
        <w:t xml:space="preserve"> </w:t>
      </w:r>
      <w:r w:rsidRPr="000D6E6F">
        <w:rPr>
          <w:rFonts w:ascii="Century" w:hAnsi="Century" w:cs="Miriam" w:hint="eastAsia"/>
          <w:b/>
          <w:spacing w:val="0"/>
          <w:szCs w:val="24"/>
          <w:rtl/>
        </w:rPr>
        <w:t>מסוים</w:t>
      </w:r>
      <w:r w:rsidRPr="000D6E6F">
        <w:rPr>
          <w:rFonts w:ascii="Century" w:hAnsi="Century" w:cs="Miriam"/>
          <w:b/>
          <w:spacing w:val="0"/>
          <w:szCs w:val="24"/>
          <w:rtl/>
        </w:rPr>
        <w:t xml:space="preserve"> </w:t>
      </w:r>
      <w:r w:rsidRPr="000D6E6F">
        <w:rPr>
          <w:rFonts w:ascii="Century" w:hAnsi="Century" w:cs="Miriam" w:hint="eastAsia"/>
          <w:b/>
          <w:spacing w:val="0"/>
          <w:szCs w:val="24"/>
          <w:rtl/>
        </w:rPr>
        <w:t>של</w:t>
      </w:r>
      <w:r w:rsidRPr="000D6E6F">
        <w:rPr>
          <w:rFonts w:ascii="Century" w:hAnsi="Century" w:cs="Miriam"/>
          <w:b/>
          <w:spacing w:val="0"/>
          <w:szCs w:val="24"/>
          <w:rtl/>
        </w:rPr>
        <w:t xml:space="preserve"> </w:t>
      </w:r>
      <w:r w:rsidRPr="000D6E6F">
        <w:rPr>
          <w:rFonts w:ascii="Century" w:hAnsi="Century" w:cs="Miriam" w:hint="eastAsia"/>
          <w:b/>
          <w:spacing w:val="0"/>
          <w:szCs w:val="24"/>
          <w:rtl/>
        </w:rPr>
        <w:t>הכנסת</w:t>
      </w:r>
      <w:r w:rsidRPr="000D6E6F">
        <w:rPr>
          <w:rFonts w:ascii="Century" w:hAnsi="Century" w:cs="Miriam"/>
          <w:b/>
          <w:spacing w:val="0"/>
          <w:szCs w:val="24"/>
          <w:rtl/>
        </w:rPr>
        <w:t xml:space="preserve"> </w:t>
      </w:r>
      <w:r w:rsidRPr="000D6E6F">
        <w:rPr>
          <w:rFonts w:ascii="Century" w:hAnsi="Century" w:cs="Miriam" w:hint="eastAsia"/>
          <w:b/>
          <w:spacing w:val="0"/>
          <w:szCs w:val="24"/>
          <w:rtl/>
        </w:rPr>
        <w:t>מצוי</w:t>
      </w:r>
      <w:r w:rsidRPr="000D6E6F">
        <w:rPr>
          <w:rFonts w:ascii="Century" w:hAnsi="Century" w:cs="Miriam"/>
          <w:b/>
          <w:spacing w:val="0"/>
          <w:szCs w:val="24"/>
          <w:rtl/>
        </w:rPr>
        <w:t xml:space="preserve"> </w:t>
      </w:r>
      <w:r w:rsidRPr="000D6E6F">
        <w:rPr>
          <w:rFonts w:ascii="Century" w:hAnsi="Century" w:cs="Miriam" w:hint="eastAsia"/>
          <w:b/>
          <w:spacing w:val="0"/>
          <w:szCs w:val="24"/>
          <w:rtl/>
        </w:rPr>
        <w:t>במתחם</w:t>
      </w:r>
      <w:r w:rsidRPr="000D6E6F">
        <w:rPr>
          <w:rFonts w:ascii="Century" w:hAnsi="Century" w:cs="Miriam"/>
          <w:b/>
          <w:spacing w:val="0"/>
          <w:szCs w:val="24"/>
          <w:rtl/>
        </w:rPr>
        <w:t xml:space="preserve"> </w:t>
      </w:r>
      <w:r w:rsidRPr="000D6E6F">
        <w:rPr>
          <w:rFonts w:ascii="Century" w:hAnsi="Century" w:cs="Miriam" w:hint="eastAsia"/>
          <w:b/>
          <w:spacing w:val="0"/>
          <w:szCs w:val="24"/>
          <w:rtl/>
        </w:rPr>
        <w:t>החוקתי</w:t>
      </w:r>
      <w:r>
        <w:rPr>
          <w:rFonts w:ascii="Century" w:hAnsi="Century" w:cs="Miriam" w:hint="cs"/>
          <w:b/>
          <w:spacing w:val="0"/>
          <w:szCs w:val="24"/>
          <w:rtl/>
        </w:rPr>
        <w:t xml:space="preserve">" </w:t>
      </w:r>
      <w:r w:rsidRPr="00C93802">
        <w:rPr>
          <w:rFonts w:ascii="Century" w:hAnsi="Century"/>
          <w:rtl/>
        </w:rPr>
        <w:t>(</w:t>
      </w:r>
      <w:r w:rsidRPr="00D02869">
        <w:rPr>
          <w:rFonts w:ascii="Century" w:hAnsi="Century" w:cs="Miriam" w:hint="eastAsia"/>
          <w:b/>
          <w:spacing w:val="0"/>
          <w:szCs w:val="24"/>
          <w:rtl/>
        </w:rPr>
        <w:t>שם</w:t>
      </w:r>
      <w:r w:rsidRPr="00C93802">
        <w:rPr>
          <w:rFonts w:ascii="Century" w:hAnsi="Century"/>
          <w:rtl/>
        </w:rPr>
        <w:t xml:space="preserve">, </w:t>
      </w:r>
      <w:r w:rsidRPr="00C93802">
        <w:rPr>
          <w:rFonts w:ascii="Century" w:hAnsi="Century" w:hint="eastAsia"/>
          <w:rtl/>
        </w:rPr>
        <w:t>פסקה</w:t>
      </w:r>
      <w:r w:rsidRPr="00C93802">
        <w:rPr>
          <w:rFonts w:ascii="Century" w:hAnsi="Century"/>
          <w:rtl/>
        </w:rPr>
        <w:t xml:space="preserve"> 16)</w:t>
      </w:r>
      <w:r>
        <w:rPr>
          <w:rFonts w:ascii="Century" w:hAnsi="Century" w:hint="cs"/>
          <w:rtl/>
        </w:rPr>
        <w:t xml:space="preserve"> (ההדגשה הוספה </w:t>
      </w:r>
      <w:r>
        <w:rPr>
          <w:rFonts w:ascii="Century" w:hAnsi="Century"/>
          <w:rtl/>
        </w:rPr>
        <w:t>–</w:t>
      </w:r>
      <w:r>
        <w:rPr>
          <w:rFonts w:ascii="Century" w:hAnsi="Century" w:hint="cs"/>
          <w:rtl/>
        </w:rPr>
        <w:t xml:space="preserve"> נ' ס')</w:t>
      </w:r>
      <w:r w:rsidRPr="00C93802">
        <w:rPr>
          <w:rFonts w:ascii="Century" w:hAnsi="Century"/>
          <w:rtl/>
        </w:rPr>
        <w:t>.</w:t>
      </w:r>
    </w:p>
    <w:p w:rsidR="00D512D4" w:rsidRPr="0020740F" w:rsidRDefault="00D512D4" w:rsidP="00D512D4">
      <w:pPr>
        <w:pStyle w:val="Ruller41"/>
      </w:pPr>
    </w:p>
    <w:p w:rsidR="00D512D4" w:rsidRDefault="00D512D4" w:rsidP="00D512D4">
      <w:pPr>
        <w:pStyle w:val="Ruller4"/>
        <w:numPr>
          <w:ilvl w:val="0"/>
          <w:numId w:val="0"/>
        </w:numPr>
      </w:pPr>
      <w:r>
        <w:rPr>
          <w:rtl/>
        </w:rPr>
        <w:tab/>
      </w:r>
      <w:r>
        <w:rPr>
          <w:rFonts w:hint="cs"/>
          <w:rtl/>
        </w:rPr>
        <w:t xml:space="preserve">אמנם, בעניין </w:t>
      </w:r>
      <w:r w:rsidRPr="00BC021C">
        <w:rPr>
          <w:rFonts w:ascii="Century" w:hAnsi="Century" w:cs="Miriam" w:hint="cs"/>
          <w:b/>
          <w:spacing w:val="0"/>
          <w:sz w:val="22"/>
          <w:szCs w:val="24"/>
          <w:rtl/>
        </w:rPr>
        <w:t>דיראני</w:t>
      </w:r>
      <w:r w:rsidRPr="00BC021C">
        <w:rPr>
          <w:rFonts w:hint="cs"/>
          <w:rtl/>
        </w:rPr>
        <w:t xml:space="preserve"> </w:t>
      </w:r>
      <w:r>
        <w:rPr>
          <w:rFonts w:hint="cs"/>
          <w:rtl/>
        </w:rPr>
        <w:t xml:space="preserve">לא הועמדה במבחן חוקתיותו של סעיף 5ב(א)(1) לחוק. ברם, בניגוד לעמדת המערער, מהדברים שצוטטו לעיל ניתן ללמוד, כי בית המשפט הניח בעניין </w:t>
      </w:r>
      <w:r w:rsidRPr="00A817AC">
        <w:rPr>
          <w:rFonts w:ascii="Century" w:hAnsi="Century" w:cs="Miriam" w:hint="cs"/>
          <w:b/>
          <w:spacing w:val="0"/>
          <w:sz w:val="22"/>
          <w:szCs w:val="24"/>
          <w:rtl/>
        </w:rPr>
        <w:t>דיראני</w:t>
      </w:r>
      <w:r>
        <w:rPr>
          <w:rFonts w:hint="cs"/>
          <w:rtl/>
        </w:rPr>
        <w:t>,</w:t>
      </w:r>
      <w:r w:rsidRPr="00A817AC">
        <w:rPr>
          <w:rFonts w:hint="cs"/>
          <w:rtl/>
        </w:rPr>
        <w:t xml:space="preserve"> </w:t>
      </w:r>
      <w:r>
        <w:rPr>
          <w:rFonts w:hint="cs"/>
          <w:rtl/>
        </w:rPr>
        <w:t xml:space="preserve">כי הוראת סעיף 5ב(א)(1) לחוק, שרירה וקיימת, ובוודאי שלא קבע כי היא לוקה בפגם חוקתי, מחמת היותה גורפת וכוללנית. </w:t>
      </w:r>
    </w:p>
    <w:p w:rsidR="00D512D4" w:rsidRPr="00D02869" w:rsidRDefault="00D512D4" w:rsidP="0081590B">
      <w:pPr>
        <w:pStyle w:val="Ruller4"/>
        <w:numPr>
          <w:ilvl w:val="0"/>
          <w:numId w:val="0"/>
        </w:numPr>
        <w:spacing w:line="240" w:lineRule="auto"/>
      </w:pPr>
    </w:p>
    <w:p w:rsidR="00D512D4" w:rsidRDefault="00D512D4" w:rsidP="00413FA1">
      <w:pPr>
        <w:pStyle w:val="Ruller4"/>
        <w:rPr>
          <w:rtl/>
        </w:rPr>
      </w:pPr>
      <w:r w:rsidRPr="00F15B72">
        <w:rPr>
          <w:rFonts w:ascii="Century" w:hAnsi="Century" w:cs="Miriam" w:hint="cs"/>
          <w:b/>
          <w:spacing w:val="0"/>
          <w:sz w:val="22"/>
          <w:szCs w:val="24"/>
          <w:rtl/>
        </w:rPr>
        <w:t>שנית</w:t>
      </w:r>
      <w:r w:rsidRPr="00A04605">
        <w:rPr>
          <w:rFonts w:hint="cs"/>
          <w:rtl/>
        </w:rPr>
        <w:t xml:space="preserve">, אינני סבור כי בעניין </w:t>
      </w:r>
      <w:r w:rsidRPr="00F15B72">
        <w:rPr>
          <w:rFonts w:ascii="Century" w:hAnsi="Century" w:cs="Miriam" w:hint="cs"/>
          <w:b/>
          <w:spacing w:val="0"/>
          <w:sz w:val="22"/>
          <w:szCs w:val="24"/>
          <w:rtl/>
        </w:rPr>
        <w:t>דיראני</w:t>
      </w:r>
      <w:r w:rsidRPr="00A04605">
        <w:rPr>
          <w:rFonts w:hint="cs"/>
          <w:rtl/>
        </w:rPr>
        <w:t xml:space="preserve"> בוטלה תחולתו של הכלל המסורתי מהמשפט המקובל, שנקלט כאמור במשפט הישראלי. פסק הדין בעניין </w:t>
      </w:r>
      <w:r w:rsidRPr="00F15B72">
        <w:rPr>
          <w:rFonts w:ascii="Century" w:hAnsi="Century" w:cs="Miriam" w:hint="cs"/>
          <w:b/>
          <w:spacing w:val="0"/>
          <w:sz w:val="22"/>
          <w:szCs w:val="24"/>
          <w:rtl/>
        </w:rPr>
        <w:t>דיראני</w:t>
      </w:r>
      <w:r w:rsidRPr="00A04605">
        <w:rPr>
          <w:rFonts w:hint="cs"/>
          <w:rtl/>
        </w:rPr>
        <w:t xml:space="preserve">, ביקש </w:t>
      </w:r>
      <w:r>
        <w:rPr>
          <w:rFonts w:hint="cs"/>
          <w:rtl/>
        </w:rPr>
        <w:t xml:space="preserve">אמנם </w:t>
      </w:r>
      <w:r w:rsidRPr="00A04605">
        <w:rPr>
          <w:rFonts w:hint="cs"/>
          <w:rtl/>
        </w:rPr>
        <w:t xml:space="preserve">להתאים ולפתח את הכלל </w:t>
      </w:r>
      <w:r>
        <w:rPr>
          <w:rFonts w:hint="cs"/>
          <w:rtl/>
        </w:rPr>
        <w:t>האמור, ו</w:t>
      </w:r>
      <w:r w:rsidRPr="00A04605">
        <w:rPr>
          <w:rFonts w:hint="cs"/>
          <w:rtl/>
        </w:rPr>
        <w:t>להצעיד</w:t>
      </w:r>
      <w:r>
        <w:rPr>
          <w:rFonts w:hint="cs"/>
          <w:rtl/>
        </w:rPr>
        <w:t>ו</w:t>
      </w:r>
      <w:r w:rsidRPr="00A04605">
        <w:rPr>
          <w:rFonts w:hint="cs"/>
          <w:rtl/>
        </w:rPr>
        <w:t xml:space="preserve"> </w:t>
      </w:r>
      <w:r w:rsidRPr="00F15B72">
        <w:rPr>
          <w:rFonts w:ascii="Century" w:hAnsi="Century" w:cs="Miriam" w:hint="cs"/>
          <w:b/>
          <w:spacing w:val="0"/>
          <w:sz w:val="22"/>
          <w:szCs w:val="24"/>
          <w:rtl/>
        </w:rPr>
        <w:t>"צעד נוסף"</w:t>
      </w:r>
      <w:r w:rsidRPr="00A04605">
        <w:rPr>
          <w:rFonts w:hint="cs"/>
          <w:rtl/>
        </w:rPr>
        <w:t xml:space="preserve"> </w:t>
      </w:r>
      <w:r>
        <w:rPr>
          <w:rFonts w:hint="cs"/>
          <w:rtl/>
        </w:rPr>
        <w:t xml:space="preserve">אל עבר העידן הנוכחי, והאתגרים החדשים הבאים בעקבותיו </w:t>
      </w:r>
      <w:r w:rsidRPr="00A04605">
        <w:rPr>
          <w:rFonts w:hint="cs"/>
          <w:rtl/>
        </w:rPr>
        <w:t>(פסקה 54 לפסק</w:t>
      </w:r>
      <w:r>
        <w:rPr>
          <w:rFonts w:hint="cs"/>
          <w:rtl/>
        </w:rPr>
        <w:t xml:space="preserve"> הדין </w:t>
      </w:r>
      <w:r w:rsidRPr="00A04605">
        <w:rPr>
          <w:rFonts w:hint="cs"/>
          <w:rtl/>
        </w:rPr>
        <w:t xml:space="preserve">של הנשיא </w:t>
      </w:r>
      <w:r w:rsidRPr="00F15B72">
        <w:rPr>
          <w:rFonts w:ascii="Century" w:hAnsi="Century" w:cs="Miriam" w:hint="cs"/>
          <w:b/>
          <w:spacing w:val="0"/>
          <w:sz w:val="22"/>
          <w:szCs w:val="24"/>
          <w:rtl/>
        </w:rPr>
        <w:t>גרוניס</w:t>
      </w:r>
      <w:r w:rsidRPr="00A04605">
        <w:rPr>
          <w:rFonts w:hint="cs"/>
          <w:rtl/>
        </w:rPr>
        <w:t xml:space="preserve">). </w:t>
      </w:r>
      <w:r w:rsidR="00413FA1">
        <w:rPr>
          <w:rFonts w:hint="cs"/>
          <w:rtl/>
        </w:rPr>
        <w:t>ברם</w:t>
      </w:r>
      <w:r w:rsidRPr="00A04605">
        <w:rPr>
          <w:rFonts w:hint="cs"/>
          <w:rtl/>
        </w:rPr>
        <w:t xml:space="preserve">, </w:t>
      </w:r>
      <w:r>
        <w:rPr>
          <w:rFonts w:hint="cs"/>
          <w:rtl/>
        </w:rPr>
        <w:t xml:space="preserve">אגב זאת, </w:t>
      </w:r>
      <w:r w:rsidRPr="00A04605">
        <w:rPr>
          <w:rFonts w:hint="cs"/>
          <w:rtl/>
        </w:rPr>
        <w:t>לא ב</w:t>
      </w:r>
      <w:r>
        <w:rPr>
          <w:rFonts w:hint="cs"/>
          <w:rtl/>
        </w:rPr>
        <w:t>ו</w:t>
      </w:r>
      <w:r w:rsidRPr="00A04605">
        <w:rPr>
          <w:rFonts w:hint="cs"/>
          <w:rtl/>
        </w:rPr>
        <w:t>טל</w:t>
      </w:r>
      <w:r>
        <w:rPr>
          <w:rFonts w:hint="cs"/>
          <w:rtl/>
        </w:rPr>
        <w:t>ה</w:t>
      </w:r>
      <w:r w:rsidRPr="00A04605">
        <w:rPr>
          <w:rFonts w:hint="cs"/>
          <w:rtl/>
        </w:rPr>
        <w:t xml:space="preserve"> תחולת</w:t>
      </w:r>
      <w:r>
        <w:rPr>
          <w:rFonts w:hint="cs"/>
          <w:rtl/>
        </w:rPr>
        <w:t>ו</w:t>
      </w:r>
      <w:r w:rsidRPr="00A04605">
        <w:rPr>
          <w:rFonts w:hint="cs"/>
          <w:rtl/>
        </w:rPr>
        <w:t xml:space="preserve"> המסורתי</w:t>
      </w:r>
      <w:r>
        <w:rPr>
          <w:rFonts w:hint="cs"/>
          <w:rtl/>
        </w:rPr>
        <w:t xml:space="preserve">ת של הכלל </w:t>
      </w:r>
      <w:r w:rsidRPr="00A04605">
        <w:rPr>
          <w:rFonts w:hint="cs"/>
          <w:rtl/>
        </w:rPr>
        <w:t>בדין הישראלי</w:t>
      </w:r>
      <w:r>
        <w:rPr>
          <w:rFonts w:hint="cs"/>
          <w:rtl/>
        </w:rPr>
        <w:t>, כפי שפורשה בעבר</w:t>
      </w:r>
      <w:r w:rsidRPr="00A04605">
        <w:rPr>
          <w:rFonts w:hint="cs"/>
          <w:rtl/>
        </w:rPr>
        <w:t xml:space="preserve">. ודוק: הכלל המסורתי חל </w:t>
      </w:r>
      <w:r>
        <w:rPr>
          <w:rFonts w:hint="cs"/>
          <w:rtl/>
        </w:rPr>
        <w:t xml:space="preserve">אמנם רק </w:t>
      </w:r>
      <w:r w:rsidRPr="00A04605">
        <w:rPr>
          <w:rFonts w:hint="cs"/>
          <w:rtl/>
        </w:rPr>
        <w:t>במצב</w:t>
      </w:r>
      <w:r>
        <w:rPr>
          <w:rFonts w:hint="cs"/>
          <w:rtl/>
        </w:rPr>
        <w:t>ים</w:t>
      </w:r>
      <w:r w:rsidRPr="00A04605">
        <w:rPr>
          <w:rFonts w:hint="cs"/>
          <w:rtl/>
        </w:rPr>
        <w:t xml:space="preserve"> של </w:t>
      </w:r>
      <w:r>
        <w:rPr>
          <w:rFonts w:hint="cs"/>
          <w:rtl/>
        </w:rPr>
        <w:t>הכרזת מלחמה</w:t>
      </w:r>
      <w:r w:rsidRPr="00A04605">
        <w:rPr>
          <w:rFonts w:hint="cs"/>
          <w:rtl/>
        </w:rPr>
        <w:t xml:space="preserve">, אך </w:t>
      </w:r>
      <w:r>
        <w:rPr>
          <w:rFonts w:hint="cs"/>
          <w:rtl/>
        </w:rPr>
        <w:t xml:space="preserve">מצד </w:t>
      </w:r>
      <w:r w:rsidRPr="00F15B72">
        <w:rPr>
          <w:rFonts w:ascii="Century" w:hAnsi="Century" w:hint="eastAsia"/>
          <w:sz w:val="22"/>
          <w:rtl/>
        </w:rPr>
        <w:t>אופיו</w:t>
      </w:r>
      <w:r w:rsidRPr="00F15B72">
        <w:rPr>
          <w:rFonts w:ascii="Century" w:hAnsi="Century"/>
          <w:sz w:val="22"/>
          <w:rtl/>
        </w:rPr>
        <w:t xml:space="preserve"> </w:t>
      </w:r>
      <w:r w:rsidRPr="00F15B72">
        <w:rPr>
          <w:rFonts w:ascii="Century" w:hAnsi="Century" w:hint="cs"/>
          <w:sz w:val="22"/>
          <w:rtl/>
        </w:rPr>
        <w:t xml:space="preserve">הוא </w:t>
      </w:r>
      <w:r w:rsidRPr="00F15B72">
        <w:rPr>
          <w:rFonts w:ascii="Century" w:hAnsi="Century" w:hint="eastAsia"/>
          <w:sz w:val="22"/>
          <w:rtl/>
        </w:rPr>
        <w:t>גורף</w:t>
      </w:r>
      <w:r w:rsidRPr="00F15B72">
        <w:rPr>
          <w:rFonts w:ascii="Century" w:hAnsi="Century"/>
          <w:sz w:val="22"/>
          <w:rtl/>
        </w:rPr>
        <w:t xml:space="preserve"> </w:t>
      </w:r>
      <w:r w:rsidRPr="00F15B72">
        <w:rPr>
          <w:rFonts w:ascii="Century" w:hAnsi="Century" w:hint="eastAsia"/>
          <w:sz w:val="22"/>
          <w:rtl/>
        </w:rPr>
        <w:t>למדי</w:t>
      </w:r>
      <w:r w:rsidRPr="00A04605">
        <w:rPr>
          <w:rFonts w:hint="cs"/>
          <w:rtl/>
        </w:rPr>
        <w:t xml:space="preserve">; </w:t>
      </w:r>
      <w:r>
        <w:rPr>
          <w:rFonts w:hint="cs"/>
          <w:rtl/>
        </w:rPr>
        <w:t xml:space="preserve">כשאין מדובר בלחימה בארגוני טרור, כי אם במצב מלחמה קלאסי, יחול כלל זה, </w:t>
      </w:r>
      <w:r w:rsidRPr="00A04605">
        <w:rPr>
          <w:rFonts w:hint="cs"/>
          <w:rtl/>
        </w:rPr>
        <w:t xml:space="preserve">על </w:t>
      </w:r>
      <w:r w:rsidRPr="00F15B72">
        <w:rPr>
          <w:rFonts w:ascii="Century" w:hAnsi="Century" w:cs="Miriam" w:hint="cs"/>
          <w:b/>
          <w:spacing w:val="0"/>
          <w:sz w:val="22"/>
          <w:szCs w:val="24"/>
          <w:rtl/>
        </w:rPr>
        <w:t>כל</w:t>
      </w:r>
      <w:r w:rsidRPr="00A04605">
        <w:rPr>
          <w:rFonts w:hint="cs"/>
          <w:rtl/>
        </w:rPr>
        <w:t xml:space="preserve"> נתיני מדינת האויב, על בסיס מבחן טריטוריאלי</w:t>
      </w:r>
      <w:r>
        <w:rPr>
          <w:rFonts w:hint="cs"/>
          <w:rtl/>
        </w:rPr>
        <w:t>, מבלי צורך לערוך בחינה אינדיבידואלית, לגבי מסוכנותו או עוינותו של התובע</w:t>
      </w:r>
      <w:r w:rsidRPr="00A04605">
        <w:rPr>
          <w:rFonts w:hint="cs"/>
          <w:rtl/>
        </w:rPr>
        <w:t xml:space="preserve"> (ראו </w:t>
      </w:r>
      <w:r>
        <w:rPr>
          <w:rFonts w:hint="cs"/>
          <w:rtl/>
        </w:rPr>
        <w:t xml:space="preserve">דברי </w:t>
      </w:r>
      <w:r w:rsidRPr="00A04605">
        <w:rPr>
          <w:rFonts w:hint="cs"/>
          <w:rtl/>
        </w:rPr>
        <w:t xml:space="preserve">הנשיא </w:t>
      </w:r>
      <w:r w:rsidRPr="00F15B72">
        <w:rPr>
          <w:rFonts w:ascii="Century" w:hAnsi="Century" w:cs="Miriam" w:hint="eastAsia"/>
          <w:b/>
          <w:spacing w:val="0"/>
          <w:sz w:val="22"/>
          <w:szCs w:val="24"/>
          <w:rtl/>
        </w:rPr>
        <w:t>גרוניס</w:t>
      </w:r>
      <w:r w:rsidRPr="00A04605">
        <w:rPr>
          <w:rFonts w:hint="cs"/>
          <w:rtl/>
        </w:rPr>
        <w:t xml:space="preserve"> בעניין </w:t>
      </w:r>
      <w:r w:rsidRPr="00F15B72">
        <w:rPr>
          <w:rFonts w:ascii="Century" w:hAnsi="Century" w:cs="Miriam" w:hint="cs"/>
          <w:b/>
          <w:spacing w:val="0"/>
          <w:sz w:val="22"/>
          <w:szCs w:val="24"/>
          <w:rtl/>
        </w:rPr>
        <w:t>דיראני</w:t>
      </w:r>
      <w:r w:rsidRPr="00A04605">
        <w:rPr>
          <w:rFonts w:hint="cs"/>
          <w:rtl/>
        </w:rPr>
        <w:t xml:space="preserve">, פסקאות 29-14). ואכן, הנשיא </w:t>
      </w:r>
      <w:r w:rsidRPr="00F15B72">
        <w:rPr>
          <w:rFonts w:ascii="Century" w:hAnsi="Century" w:cs="Miriam" w:hint="cs"/>
          <w:b/>
          <w:spacing w:val="0"/>
          <w:sz w:val="22"/>
          <w:szCs w:val="24"/>
          <w:rtl/>
        </w:rPr>
        <w:t>גרוניס</w:t>
      </w:r>
      <w:r w:rsidRPr="007761E2">
        <w:rPr>
          <w:rFonts w:hint="cs"/>
          <w:rtl/>
        </w:rPr>
        <w:t xml:space="preserve"> </w:t>
      </w:r>
      <w:r w:rsidRPr="00A04605">
        <w:rPr>
          <w:rFonts w:hint="cs"/>
          <w:rtl/>
        </w:rPr>
        <w:t>קבע בסיכום פסק</w:t>
      </w:r>
      <w:r>
        <w:rPr>
          <w:rFonts w:hint="cs"/>
          <w:rtl/>
        </w:rPr>
        <w:t>-</w:t>
      </w:r>
      <w:r w:rsidRPr="00A04605">
        <w:rPr>
          <w:rFonts w:hint="cs"/>
          <w:rtl/>
        </w:rPr>
        <w:t>דינו</w:t>
      </w:r>
      <w:r>
        <w:rPr>
          <w:rFonts w:hint="cs"/>
          <w:rtl/>
        </w:rPr>
        <w:t>,</w:t>
      </w:r>
      <w:r w:rsidRPr="00A04605">
        <w:rPr>
          <w:rFonts w:hint="cs"/>
          <w:rtl/>
        </w:rPr>
        <w:t xml:space="preserve"> כי </w:t>
      </w:r>
      <w:r w:rsidRPr="00F15B72">
        <w:rPr>
          <w:rFonts w:ascii="Century" w:hAnsi="Century" w:cs="Miriam" w:hint="cs"/>
          <w:b/>
          <w:spacing w:val="0"/>
          <w:sz w:val="22"/>
          <w:szCs w:val="24"/>
          <w:rtl/>
        </w:rPr>
        <w:t>"</w:t>
      </w:r>
      <w:r w:rsidRPr="00F15B72">
        <w:rPr>
          <w:rFonts w:ascii="Century" w:hAnsi="Century" w:cs="Miriam" w:hint="eastAsia"/>
          <w:b/>
          <w:spacing w:val="0"/>
          <w:sz w:val="22"/>
          <w:szCs w:val="24"/>
          <w:rtl/>
        </w:rPr>
        <w:t>במדינות</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המשפט</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המקובל</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קיים</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זה</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מאות</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שנים</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הכלל</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שלפיו</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אין</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מבררים</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תביעה</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של</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אויב</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בעת</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מלחמה</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u w:val="single"/>
          <w:rtl/>
        </w:rPr>
        <w:t>כלל</w:t>
      </w:r>
      <w:r w:rsidRPr="00F15B72">
        <w:rPr>
          <w:rFonts w:ascii="Century" w:hAnsi="Century" w:cs="Miriam"/>
          <w:b/>
          <w:spacing w:val="0"/>
          <w:sz w:val="22"/>
          <w:szCs w:val="24"/>
          <w:u w:val="single"/>
          <w:rtl/>
        </w:rPr>
        <w:t xml:space="preserve"> </w:t>
      </w:r>
      <w:r w:rsidRPr="00F15B72">
        <w:rPr>
          <w:rFonts w:ascii="Century" w:hAnsi="Century" w:cs="Miriam" w:hint="eastAsia"/>
          <w:b/>
          <w:spacing w:val="0"/>
          <w:sz w:val="22"/>
          <w:szCs w:val="24"/>
          <w:u w:val="single"/>
          <w:rtl/>
        </w:rPr>
        <w:t>זה</w:t>
      </w:r>
      <w:r w:rsidRPr="00F15B72">
        <w:rPr>
          <w:rFonts w:ascii="Century" w:hAnsi="Century" w:cs="Miriam"/>
          <w:b/>
          <w:spacing w:val="0"/>
          <w:sz w:val="22"/>
          <w:szCs w:val="24"/>
          <w:u w:val="single"/>
          <w:rtl/>
        </w:rPr>
        <w:t xml:space="preserve"> </w:t>
      </w:r>
      <w:r w:rsidRPr="00F15B72">
        <w:rPr>
          <w:rFonts w:ascii="Century" w:hAnsi="Century" w:cs="Miriam" w:hint="eastAsia"/>
          <w:b/>
          <w:spacing w:val="0"/>
          <w:sz w:val="22"/>
          <w:szCs w:val="24"/>
          <w:u w:val="single"/>
          <w:rtl/>
        </w:rPr>
        <w:t>נקלט</w:t>
      </w:r>
      <w:r w:rsidRPr="00F15B72">
        <w:rPr>
          <w:rFonts w:ascii="Century" w:hAnsi="Century" w:cs="Miriam"/>
          <w:b/>
          <w:spacing w:val="0"/>
          <w:sz w:val="22"/>
          <w:szCs w:val="24"/>
          <w:u w:val="single"/>
          <w:rtl/>
        </w:rPr>
        <w:t xml:space="preserve"> </w:t>
      </w:r>
      <w:r w:rsidRPr="00F15B72">
        <w:rPr>
          <w:rFonts w:ascii="Century" w:hAnsi="Century" w:cs="Miriam" w:hint="eastAsia"/>
          <w:b/>
          <w:spacing w:val="0"/>
          <w:sz w:val="22"/>
          <w:szCs w:val="24"/>
          <w:u w:val="single"/>
          <w:rtl/>
        </w:rPr>
        <w:t>במשפט</w:t>
      </w:r>
      <w:r w:rsidRPr="00F15B72">
        <w:rPr>
          <w:rFonts w:ascii="Century" w:hAnsi="Century" w:cs="Miriam"/>
          <w:b/>
          <w:spacing w:val="0"/>
          <w:sz w:val="22"/>
          <w:szCs w:val="24"/>
          <w:u w:val="single"/>
          <w:rtl/>
        </w:rPr>
        <w:t xml:space="preserve"> </w:t>
      </w:r>
      <w:r w:rsidRPr="00F15B72">
        <w:rPr>
          <w:rFonts w:ascii="Century" w:hAnsi="Century" w:cs="Miriam" w:hint="eastAsia"/>
          <w:b/>
          <w:spacing w:val="0"/>
          <w:sz w:val="22"/>
          <w:szCs w:val="24"/>
          <w:u w:val="single"/>
          <w:rtl/>
        </w:rPr>
        <w:t>הישראלי</w:t>
      </w:r>
      <w:r w:rsidRPr="00F15B72">
        <w:rPr>
          <w:rFonts w:ascii="Century" w:hAnsi="Century" w:cs="Miriam" w:hint="cs"/>
          <w:b/>
          <w:spacing w:val="0"/>
          <w:sz w:val="22"/>
          <w:szCs w:val="24"/>
          <w:rtl/>
        </w:rPr>
        <w:t xml:space="preserve"> [...] </w:t>
      </w:r>
      <w:r w:rsidRPr="00F15B72">
        <w:rPr>
          <w:rFonts w:ascii="Century" w:hAnsi="Century" w:cs="Miriam" w:hint="eastAsia"/>
          <w:b/>
          <w:spacing w:val="0"/>
          <w:sz w:val="22"/>
          <w:szCs w:val="24"/>
          <w:rtl/>
        </w:rPr>
        <w:t>כפי</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שראינו</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יש</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לפתח</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כלל</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זה</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ולהתאימו</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למציאות</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המשתנה</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כך</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שמכוחו</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u w:val="single"/>
          <w:rtl/>
        </w:rPr>
        <w:t>גם</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אין</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לברר</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תביעה</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של</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פעיל</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בארגון</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טרור</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השוהה</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במדינה</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זרה</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כל</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עוד</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נמשך</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העימות</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המזוין</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עם</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ארגון</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הטרור</w:t>
      </w:r>
      <w:r w:rsidRPr="00F15B72">
        <w:rPr>
          <w:rFonts w:ascii="Century" w:hAnsi="Century" w:cs="Miriam" w:hint="cs"/>
          <w:b/>
          <w:spacing w:val="0"/>
          <w:sz w:val="22"/>
          <w:szCs w:val="24"/>
          <w:rtl/>
        </w:rPr>
        <w:t>"</w:t>
      </w:r>
      <w:r w:rsidRPr="00A04605">
        <w:rPr>
          <w:rFonts w:hint="cs"/>
          <w:rtl/>
        </w:rPr>
        <w:t xml:space="preserve"> (ההדגשה שלי</w:t>
      </w:r>
      <w:r w:rsidRPr="00F15B72">
        <w:rPr>
          <w:rFonts w:ascii="Century" w:hAnsi="Century"/>
          <w:sz w:val="22"/>
          <w:rtl/>
        </w:rPr>
        <w:t xml:space="preserve"> – </w:t>
      </w:r>
      <w:r w:rsidRPr="00F15B72">
        <w:rPr>
          <w:rFonts w:ascii="Century" w:hAnsi="Century" w:hint="eastAsia"/>
          <w:sz w:val="22"/>
          <w:rtl/>
        </w:rPr>
        <w:t>נ</w:t>
      </w:r>
      <w:r w:rsidRPr="00F15B72">
        <w:rPr>
          <w:rFonts w:ascii="Century" w:hAnsi="Century"/>
          <w:sz w:val="22"/>
          <w:rtl/>
        </w:rPr>
        <w:t xml:space="preserve">' </w:t>
      </w:r>
      <w:r w:rsidRPr="00F15B72">
        <w:rPr>
          <w:rFonts w:ascii="Century" w:hAnsi="Century" w:hint="eastAsia"/>
          <w:sz w:val="22"/>
          <w:rtl/>
        </w:rPr>
        <w:t>ס</w:t>
      </w:r>
      <w:r w:rsidRPr="00F15B72">
        <w:rPr>
          <w:rFonts w:ascii="Century" w:hAnsi="Century"/>
          <w:sz w:val="22"/>
          <w:rtl/>
        </w:rPr>
        <w:t>').</w:t>
      </w:r>
      <w:r w:rsidRPr="00366E23">
        <w:rPr>
          <w:rtl/>
        </w:rPr>
        <w:t xml:space="preserve"> </w:t>
      </w:r>
      <w:r w:rsidRPr="00A04605">
        <w:rPr>
          <w:rFonts w:hint="cs"/>
          <w:rtl/>
        </w:rPr>
        <w:t xml:space="preserve">כך, </w:t>
      </w:r>
      <w:r>
        <w:rPr>
          <w:rFonts w:hint="cs"/>
          <w:rtl/>
        </w:rPr>
        <w:t>גם חברי</w:t>
      </w:r>
      <w:r w:rsidR="00413FA1">
        <w:rPr>
          <w:rFonts w:hint="cs"/>
          <w:rtl/>
        </w:rPr>
        <w:t xml:space="preserve">, השופט (כתוארו אז) </w:t>
      </w:r>
      <w:r w:rsidR="00413FA1" w:rsidRPr="00413FA1">
        <w:rPr>
          <w:rFonts w:ascii="Century" w:hAnsi="Century" w:cs="Miriam" w:hint="cs"/>
          <w:b/>
          <w:spacing w:val="0"/>
          <w:sz w:val="22"/>
          <w:szCs w:val="24"/>
          <w:rtl/>
        </w:rPr>
        <w:t>נ' הנדל</w:t>
      </w:r>
      <w:r w:rsidR="00413FA1">
        <w:rPr>
          <w:rFonts w:hint="cs"/>
          <w:rtl/>
        </w:rPr>
        <w:t xml:space="preserve">, </w:t>
      </w:r>
      <w:r w:rsidRPr="00A04605">
        <w:rPr>
          <w:rFonts w:hint="cs"/>
          <w:rtl/>
        </w:rPr>
        <w:t>בהתייחסו לפסק</w:t>
      </w:r>
      <w:r>
        <w:rPr>
          <w:rFonts w:hint="cs"/>
          <w:rtl/>
        </w:rPr>
        <w:t>-</w:t>
      </w:r>
      <w:r w:rsidRPr="00A04605">
        <w:rPr>
          <w:rFonts w:hint="cs"/>
          <w:rtl/>
        </w:rPr>
        <w:t xml:space="preserve">דינו של הנשיא </w:t>
      </w:r>
      <w:r w:rsidRPr="00F15B72">
        <w:rPr>
          <w:rFonts w:ascii="Century" w:hAnsi="Century" w:cs="Miriam" w:hint="cs"/>
          <w:b/>
          <w:spacing w:val="0"/>
          <w:sz w:val="22"/>
          <w:szCs w:val="24"/>
          <w:rtl/>
        </w:rPr>
        <w:t>גרוניס</w:t>
      </w:r>
      <w:r w:rsidRPr="00A04605">
        <w:rPr>
          <w:rFonts w:hint="cs"/>
          <w:rtl/>
        </w:rPr>
        <w:t xml:space="preserve">, ציין: </w:t>
      </w:r>
      <w:r w:rsidRPr="00F15B72">
        <w:rPr>
          <w:rFonts w:ascii="Century" w:hAnsi="Century" w:cs="Miriam" w:hint="cs"/>
          <w:b/>
          <w:spacing w:val="0"/>
          <w:sz w:val="22"/>
          <w:szCs w:val="24"/>
          <w:rtl/>
        </w:rPr>
        <w:t>"</w:t>
      </w:r>
      <w:r w:rsidRPr="00F15B72">
        <w:rPr>
          <w:rFonts w:ascii="Century" w:hAnsi="Century" w:cs="Miriam" w:hint="eastAsia"/>
          <w:b/>
          <w:spacing w:val="0"/>
          <w:sz w:val="22"/>
          <w:szCs w:val="24"/>
          <w:rtl/>
        </w:rPr>
        <w:t>במסגרת</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הפרשנות</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המוצעת</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על</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ידי</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הנשיא</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לא</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הוצע</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לבטל</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את</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תחולת</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הכלל</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במתכונתו</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המקובלת</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אלא</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להוסיף</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מקרים</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בהם</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הכלל</w:t>
      </w:r>
      <w:r w:rsidRPr="00F15B72">
        <w:rPr>
          <w:rFonts w:ascii="Century" w:hAnsi="Century" w:cs="Miriam"/>
          <w:b/>
          <w:spacing w:val="0"/>
          <w:sz w:val="22"/>
          <w:szCs w:val="24"/>
          <w:rtl/>
        </w:rPr>
        <w:t xml:space="preserve"> </w:t>
      </w:r>
      <w:r w:rsidRPr="00F15B72">
        <w:rPr>
          <w:rFonts w:ascii="Century" w:hAnsi="Century" w:cs="Miriam" w:hint="eastAsia"/>
          <w:b/>
          <w:spacing w:val="0"/>
          <w:sz w:val="22"/>
          <w:szCs w:val="24"/>
          <w:rtl/>
        </w:rPr>
        <w:t>יחול</w:t>
      </w:r>
      <w:r w:rsidRPr="00A04605">
        <w:rPr>
          <w:rFonts w:hint="cs"/>
          <w:rtl/>
        </w:rPr>
        <w:t>" (</w:t>
      </w:r>
      <w:r>
        <w:rPr>
          <w:rFonts w:hint="cs"/>
          <w:rtl/>
        </w:rPr>
        <w:t xml:space="preserve">עניין </w:t>
      </w:r>
      <w:r w:rsidRPr="00F15B72">
        <w:rPr>
          <w:rFonts w:ascii="Century" w:hAnsi="Century" w:cs="Miriam" w:hint="eastAsia"/>
          <w:b/>
          <w:spacing w:val="0"/>
          <w:sz w:val="22"/>
          <w:szCs w:val="24"/>
          <w:rtl/>
        </w:rPr>
        <w:t>דיראני</w:t>
      </w:r>
      <w:r>
        <w:rPr>
          <w:rFonts w:hint="cs"/>
          <w:rtl/>
        </w:rPr>
        <w:t xml:space="preserve">, </w:t>
      </w:r>
      <w:r w:rsidRPr="00A04605">
        <w:rPr>
          <w:rFonts w:hint="cs"/>
          <w:rtl/>
        </w:rPr>
        <w:t>פסקה 12 לפסק</w:t>
      </w:r>
      <w:r>
        <w:rPr>
          <w:rFonts w:hint="cs"/>
          <w:rtl/>
        </w:rPr>
        <w:t xml:space="preserve"> הדין</w:t>
      </w:r>
      <w:r w:rsidR="00413FA1">
        <w:rPr>
          <w:rFonts w:hint="cs"/>
          <w:rtl/>
        </w:rPr>
        <w:t>).</w:t>
      </w:r>
      <w:r w:rsidRPr="00A04605">
        <w:rPr>
          <w:rFonts w:hint="cs"/>
          <w:rtl/>
        </w:rPr>
        <w:t xml:space="preserve"> </w:t>
      </w:r>
      <w:r>
        <w:rPr>
          <w:rFonts w:hint="cs"/>
          <w:rtl/>
        </w:rPr>
        <w:t xml:space="preserve">לכך אוסיף, כי </w:t>
      </w:r>
      <w:r w:rsidRPr="00A04605">
        <w:rPr>
          <w:rFonts w:hint="cs"/>
          <w:rtl/>
        </w:rPr>
        <w:t xml:space="preserve">גם מדבריהם של שופטים </w:t>
      </w:r>
      <w:r>
        <w:rPr>
          <w:rFonts w:hint="cs"/>
          <w:rtl/>
        </w:rPr>
        <w:t xml:space="preserve">נוספים אשר ישבו על המדוכה </w:t>
      </w:r>
      <w:r w:rsidRPr="00A04605">
        <w:rPr>
          <w:rFonts w:hint="cs"/>
          <w:rtl/>
        </w:rPr>
        <w:t xml:space="preserve">בעניין </w:t>
      </w:r>
      <w:r w:rsidRPr="00F15B72">
        <w:rPr>
          <w:rFonts w:ascii="Century" w:hAnsi="Century" w:cs="Miriam" w:hint="cs"/>
          <w:b/>
          <w:spacing w:val="0"/>
          <w:sz w:val="22"/>
          <w:szCs w:val="24"/>
          <w:rtl/>
        </w:rPr>
        <w:t>דיראני</w:t>
      </w:r>
      <w:r w:rsidRPr="00A04605">
        <w:rPr>
          <w:rFonts w:hint="cs"/>
          <w:rtl/>
        </w:rPr>
        <w:t xml:space="preserve">, אינני מסיק את מסקנתו של המערער, </w:t>
      </w:r>
      <w:r>
        <w:rPr>
          <w:rFonts w:hint="cs"/>
          <w:rtl/>
        </w:rPr>
        <w:t xml:space="preserve">כי כביכול </w:t>
      </w:r>
      <w:r w:rsidRPr="00A04605">
        <w:rPr>
          <w:rFonts w:hint="cs"/>
          <w:rtl/>
        </w:rPr>
        <w:t>הכלל מהמשפט המקובל</w:t>
      </w:r>
      <w:r>
        <w:rPr>
          <w:rFonts w:hint="cs"/>
          <w:rtl/>
        </w:rPr>
        <w:t>,</w:t>
      </w:r>
      <w:r w:rsidRPr="00A04605">
        <w:rPr>
          <w:rFonts w:hint="cs"/>
          <w:rtl/>
        </w:rPr>
        <w:t xml:space="preserve"> </w:t>
      </w:r>
      <w:r>
        <w:rPr>
          <w:rFonts w:hint="cs"/>
          <w:rtl/>
        </w:rPr>
        <w:t xml:space="preserve">מסייג עצמו, </w:t>
      </w:r>
      <w:r w:rsidRPr="00A04605">
        <w:rPr>
          <w:rFonts w:hint="cs"/>
          <w:rtl/>
        </w:rPr>
        <w:t>בכל סיטואציה</w:t>
      </w:r>
      <w:r>
        <w:rPr>
          <w:rFonts w:hint="cs"/>
          <w:rtl/>
        </w:rPr>
        <w:t xml:space="preserve"> שהיא,</w:t>
      </w:r>
      <w:r w:rsidRPr="00A04605">
        <w:rPr>
          <w:rFonts w:hint="cs"/>
          <w:rtl/>
        </w:rPr>
        <w:t xml:space="preserve"> אך ורק לפעילי </w:t>
      </w:r>
      <w:r>
        <w:rPr>
          <w:rFonts w:hint="cs"/>
          <w:rtl/>
        </w:rPr>
        <w:t>ה</w:t>
      </w:r>
      <w:r w:rsidRPr="00A04605">
        <w:rPr>
          <w:rFonts w:hint="cs"/>
          <w:rtl/>
        </w:rPr>
        <w:t>טרור</w:t>
      </w:r>
      <w:r>
        <w:rPr>
          <w:rFonts w:hint="cs"/>
          <w:rtl/>
        </w:rPr>
        <w:t xml:space="preserve"> עצמם</w:t>
      </w:r>
      <w:r w:rsidRPr="00A04605">
        <w:rPr>
          <w:rFonts w:hint="cs"/>
          <w:rtl/>
        </w:rPr>
        <w:t xml:space="preserve">, ואין מקרים שבהם ימשיך לחול הכלל </w:t>
      </w:r>
      <w:r>
        <w:rPr>
          <w:rFonts w:hint="cs"/>
          <w:rtl/>
        </w:rPr>
        <w:t xml:space="preserve">גם </w:t>
      </w:r>
      <w:r w:rsidRPr="00A04605">
        <w:rPr>
          <w:rFonts w:hint="cs"/>
          <w:rtl/>
        </w:rPr>
        <w:t xml:space="preserve">ביחס </w:t>
      </w:r>
      <w:r w:rsidRPr="00F15B72">
        <w:rPr>
          <w:rFonts w:ascii="Century" w:hAnsi="Century" w:cs="Miriam" w:hint="cs"/>
          <w:b/>
          <w:spacing w:val="0"/>
          <w:sz w:val="22"/>
          <w:szCs w:val="24"/>
          <w:rtl/>
        </w:rPr>
        <w:t>לכל</w:t>
      </w:r>
      <w:r w:rsidRPr="00A04605">
        <w:rPr>
          <w:rFonts w:hint="cs"/>
          <w:rtl/>
        </w:rPr>
        <w:t xml:space="preserve"> נתיני מדינת אויב. </w:t>
      </w:r>
    </w:p>
    <w:p w:rsidR="00D512D4" w:rsidRPr="00F15B72" w:rsidRDefault="00D512D4" w:rsidP="002A0AEF">
      <w:pPr>
        <w:pStyle w:val="Ruller41"/>
        <w:spacing w:line="240" w:lineRule="auto"/>
        <w:rPr>
          <w:rtl/>
        </w:rPr>
      </w:pPr>
    </w:p>
    <w:p w:rsidR="00D512D4" w:rsidRDefault="00D512D4" w:rsidP="000D6DCA">
      <w:pPr>
        <w:pStyle w:val="Ruller4"/>
        <w:rPr>
          <w:rtl/>
        </w:rPr>
      </w:pPr>
      <w:r w:rsidRPr="00F824BA">
        <w:rPr>
          <w:rFonts w:ascii="Century" w:hAnsi="Century" w:cs="Miriam" w:hint="cs"/>
          <w:b/>
          <w:spacing w:val="0"/>
          <w:sz w:val="22"/>
          <w:szCs w:val="24"/>
          <w:rtl/>
        </w:rPr>
        <w:t>ש</w:t>
      </w:r>
      <w:r>
        <w:rPr>
          <w:rFonts w:ascii="Century" w:hAnsi="Century" w:cs="Miriam" w:hint="cs"/>
          <w:b/>
          <w:spacing w:val="0"/>
          <w:sz w:val="22"/>
          <w:szCs w:val="24"/>
          <w:rtl/>
        </w:rPr>
        <w:t>ליש</w:t>
      </w:r>
      <w:r w:rsidRPr="00F824BA">
        <w:rPr>
          <w:rFonts w:ascii="Century" w:hAnsi="Century" w:cs="Miriam" w:hint="cs"/>
          <w:b/>
          <w:spacing w:val="0"/>
          <w:sz w:val="22"/>
          <w:szCs w:val="24"/>
          <w:rtl/>
        </w:rPr>
        <w:t>ית</w:t>
      </w:r>
      <w:r w:rsidR="00942895">
        <w:rPr>
          <w:rFonts w:hint="cs"/>
          <w:rtl/>
        </w:rPr>
        <w:t>, וזהו תורף העניין.</w:t>
      </w:r>
      <w:r>
        <w:rPr>
          <w:rFonts w:hint="cs"/>
          <w:rtl/>
        </w:rPr>
        <w:t xml:space="preserve"> עיון בפסק הדין בעניין</w:t>
      </w:r>
      <w:r w:rsidRPr="0050684D">
        <w:rPr>
          <w:rFonts w:ascii="Century" w:hAnsi="Century" w:cs="Miriam" w:hint="cs"/>
          <w:b/>
          <w:spacing w:val="0"/>
          <w:sz w:val="22"/>
          <w:szCs w:val="24"/>
          <w:rtl/>
        </w:rPr>
        <w:t xml:space="preserve"> דיראני</w:t>
      </w:r>
      <w:r w:rsidR="00942895">
        <w:rPr>
          <w:rFonts w:hint="cs"/>
          <w:rtl/>
        </w:rPr>
        <w:t xml:space="preserve"> </w:t>
      </w:r>
      <w:r>
        <w:rPr>
          <w:rFonts w:hint="cs"/>
          <w:rtl/>
        </w:rPr>
        <w:t xml:space="preserve">מעלה, כי המקרה שאליו כיוון בית המשפט, בבואו להתאים את הכלל מהמשפט המקובל למציאות המודרנית של לחימה בטרור, שונה בתכלית מן המתרחש ברצועת עזה. בעניין </w:t>
      </w:r>
      <w:r w:rsidRPr="00D003A5">
        <w:rPr>
          <w:rFonts w:ascii="Century" w:hAnsi="Century" w:cs="Miriam" w:hint="cs"/>
          <w:b/>
          <w:spacing w:val="0"/>
          <w:sz w:val="22"/>
          <w:szCs w:val="24"/>
          <w:rtl/>
        </w:rPr>
        <w:t>דיראני</w:t>
      </w:r>
      <w:r>
        <w:rPr>
          <w:rFonts w:hint="cs"/>
          <w:rtl/>
        </w:rPr>
        <w:t>,</w:t>
      </w:r>
      <w:r w:rsidRPr="00D003A5">
        <w:rPr>
          <w:rFonts w:hint="cs"/>
          <w:rtl/>
        </w:rPr>
        <w:t xml:space="preserve"> </w:t>
      </w:r>
      <w:r>
        <w:rPr>
          <w:rFonts w:hint="cs"/>
          <w:rtl/>
        </w:rPr>
        <w:t xml:space="preserve">הותאם הכלל לסיטואציה של </w:t>
      </w:r>
      <w:r w:rsidRPr="00C72F36">
        <w:rPr>
          <w:rFonts w:ascii="Century" w:hAnsi="Century" w:cs="Miriam" w:hint="cs"/>
          <w:b/>
          <w:spacing w:val="0"/>
          <w:sz w:val="22"/>
          <w:szCs w:val="24"/>
          <w:rtl/>
        </w:rPr>
        <w:t>ארגון טרור הפועל משטחה של מדינה זרה</w:t>
      </w:r>
      <w:r>
        <w:rPr>
          <w:rFonts w:hint="cs"/>
          <w:rtl/>
        </w:rPr>
        <w:t xml:space="preserve">; לא של ארגון טרור השולט ביד רמה ובזרוע נטויה, באופן כמעט מוחלט, בשטח שממנו הוא פועל. כפי שציין הנשיא </w:t>
      </w:r>
      <w:r w:rsidRPr="00C93802">
        <w:rPr>
          <w:rFonts w:ascii="Century" w:hAnsi="Century" w:cs="Miriam" w:hint="eastAsia"/>
          <w:b/>
          <w:spacing w:val="0"/>
          <w:sz w:val="22"/>
          <w:szCs w:val="24"/>
          <w:rtl/>
        </w:rPr>
        <w:t>גרוניס</w:t>
      </w:r>
      <w:r>
        <w:rPr>
          <w:rFonts w:hint="cs"/>
          <w:rtl/>
        </w:rPr>
        <w:t xml:space="preserve">: </w:t>
      </w:r>
      <w:r w:rsidRPr="00C72F36">
        <w:rPr>
          <w:rFonts w:ascii="Century" w:hAnsi="Century" w:cs="Miriam" w:hint="cs"/>
          <w:b/>
          <w:spacing w:val="0"/>
          <w:sz w:val="22"/>
          <w:szCs w:val="24"/>
          <w:rtl/>
        </w:rPr>
        <w:t>"</w:t>
      </w:r>
      <w:r w:rsidRPr="00C72F36">
        <w:rPr>
          <w:rFonts w:ascii="Century" w:hAnsi="Century" w:cs="Miriam" w:hint="eastAsia"/>
          <w:b/>
          <w:spacing w:val="0"/>
          <w:sz w:val="22"/>
          <w:szCs w:val="24"/>
          <w:rtl/>
        </w:rPr>
        <w:t>נראה</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שבעת</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עימות</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מזוין</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עם</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ארגוני</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טרור</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u w:val="single"/>
          <w:rtl/>
        </w:rPr>
        <w:t>הפועלים</w:t>
      </w:r>
      <w:r w:rsidRPr="00C72F36">
        <w:rPr>
          <w:rFonts w:ascii="Century" w:hAnsi="Century" w:cs="Miriam"/>
          <w:b/>
          <w:spacing w:val="0"/>
          <w:sz w:val="22"/>
          <w:szCs w:val="24"/>
          <w:u w:val="single"/>
          <w:rtl/>
        </w:rPr>
        <w:t xml:space="preserve"> </w:t>
      </w:r>
      <w:r w:rsidRPr="00C72F36">
        <w:rPr>
          <w:rFonts w:ascii="Century" w:hAnsi="Century" w:cs="Miriam" w:hint="eastAsia"/>
          <w:b/>
          <w:spacing w:val="0"/>
          <w:sz w:val="22"/>
          <w:szCs w:val="24"/>
          <w:u w:val="single"/>
          <w:rtl/>
        </w:rPr>
        <w:t>משטחה</w:t>
      </w:r>
      <w:r w:rsidRPr="00C72F36">
        <w:rPr>
          <w:rFonts w:ascii="Century" w:hAnsi="Century" w:cs="Miriam"/>
          <w:b/>
          <w:spacing w:val="0"/>
          <w:sz w:val="22"/>
          <w:szCs w:val="24"/>
          <w:u w:val="single"/>
          <w:rtl/>
        </w:rPr>
        <w:t xml:space="preserve"> </w:t>
      </w:r>
      <w:r w:rsidRPr="00C72F36">
        <w:rPr>
          <w:rFonts w:ascii="Century" w:hAnsi="Century" w:cs="Miriam" w:hint="eastAsia"/>
          <w:b/>
          <w:spacing w:val="0"/>
          <w:sz w:val="22"/>
          <w:szCs w:val="24"/>
          <w:u w:val="single"/>
          <w:rtl/>
        </w:rPr>
        <w:t>של</w:t>
      </w:r>
      <w:r w:rsidRPr="00C72F36">
        <w:rPr>
          <w:rFonts w:ascii="Century" w:hAnsi="Century" w:cs="Miriam"/>
          <w:b/>
          <w:spacing w:val="0"/>
          <w:sz w:val="22"/>
          <w:szCs w:val="24"/>
          <w:u w:val="single"/>
          <w:rtl/>
        </w:rPr>
        <w:t xml:space="preserve"> </w:t>
      </w:r>
      <w:r w:rsidRPr="00C72F36">
        <w:rPr>
          <w:rFonts w:ascii="Century" w:hAnsi="Century" w:cs="Miriam" w:hint="eastAsia"/>
          <w:b/>
          <w:spacing w:val="0"/>
          <w:sz w:val="22"/>
          <w:szCs w:val="24"/>
          <w:u w:val="single"/>
          <w:rtl/>
        </w:rPr>
        <w:t>מדינה</w:t>
      </w:r>
      <w:r w:rsidRPr="00C72F36">
        <w:rPr>
          <w:rFonts w:ascii="Century" w:hAnsi="Century" w:cs="Miriam"/>
          <w:b/>
          <w:spacing w:val="0"/>
          <w:sz w:val="22"/>
          <w:szCs w:val="24"/>
          <w:u w:val="single"/>
          <w:rtl/>
        </w:rPr>
        <w:t xml:space="preserve"> </w:t>
      </w:r>
      <w:r w:rsidRPr="00C72F36">
        <w:rPr>
          <w:rFonts w:ascii="Century" w:hAnsi="Century" w:cs="Miriam" w:hint="eastAsia"/>
          <w:b/>
          <w:spacing w:val="0"/>
          <w:sz w:val="22"/>
          <w:szCs w:val="24"/>
          <w:u w:val="single"/>
          <w:rtl/>
        </w:rPr>
        <w:t>זרה</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קיים</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קושי</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להחיל</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את</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הכלל</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שלפיו</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אין</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מבררים</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תביעתו</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של</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אויב</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באופן</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גורף</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על</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כל</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המתגוררים</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u w:val="single"/>
          <w:rtl/>
        </w:rPr>
        <w:t>במדינה</w:t>
      </w:r>
      <w:r w:rsidRPr="00C72F36">
        <w:rPr>
          <w:rFonts w:ascii="Century" w:hAnsi="Century" w:cs="Miriam"/>
          <w:b/>
          <w:spacing w:val="0"/>
          <w:sz w:val="22"/>
          <w:szCs w:val="24"/>
          <w:u w:val="single"/>
          <w:rtl/>
        </w:rPr>
        <w:t xml:space="preserve"> </w:t>
      </w:r>
      <w:r w:rsidRPr="00C72F36">
        <w:rPr>
          <w:rFonts w:ascii="Century" w:hAnsi="Century" w:cs="Miriam" w:hint="eastAsia"/>
          <w:b/>
          <w:spacing w:val="0"/>
          <w:sz w:val="22"/>
          <w:szCs w:val="24"/>
          <w:u w:val="single"/>
          <w:rtl/>
        </w:rPr>
        <w:t>שמשטחה</w:t>
      </w:r>
      <w:r w:rsidRPr="00C72F36">
        <w:rPr>
          <w:rFonts w:ascii="Century" w:hAnsi="Century" w:cs="Miriam"/>
          <w:b/>
          <w:spacing w:val="0"/>
          <w:sz w:val="22"/>
          <w:szCs w:val="24"/>
          <w:u w:val="single"/>
          <w:rtl/>
        </w:rPr>
        <w:t xml:space="preserve"> </w:t>
      </w:r>
      <w:r w:rsidRPr="00C72F36">
        <w:rPr>
          <w:rFonts w:ascii="Century" w:hAnsi="Century" w:cs="Miriam" w:hint="eastAsia"/>
          <w:b/>
          <w:spacing w:val="0"/>
          <w:sz w:val="22"/>
          <w:szCs w:val="24"/>
          <w:u w:val="single"/>
          <w:rtl/>
        </w:rPr>
        <w:t>פועל</w:t>
      </w:r>
      <w:r w:rsidRPr="00C72F36">
        <w:rPr>
          <w:rFonts w:ascii="Century" w:hAnsi="Century" w:cs="Miriam"/>
          <w:b/>
          <w:spacing w:val="0"/>
          <w:sz w:val="22"/>
          <w:szCs w:val="24"/>
          <w:u w:val="single"/>
          <w:rtl/>
        </w:rPr>
        <w:t xml:space="preserve"> </w:t>
      </w:r>
      <w:r w:rsidRPr="00C72F36">
        <w:rPr>
          <w:rFonts w:ascii="Century" w:hAnsi="Century" w:cs="Miriam" w:hint="eastAsia"/>
          <w:b/>
          <w:spacing w:val="0"/>
          <w:sz w:val="22"/>
          <w:szCs w:val="24"/>
          <w:u w:val="single"/>
          <w:rtl/>
        </w:rPr>
        <w:t>ארגון</w:t>
      </w:r>
      <w:r w:rsidRPr="00C72F36">
        <w:rPr>
          <w:rFonts w:ascii="Century" w:hAnsi="Century" w:cs="Miriam"/>
          <w:b/>
          <w:spacing w:val="0"/>
          <w:sz w:val="22"/>
          <w:szCs w:val="24"/>
          <w:u w:val="single"/>
          <w:rtl/>
        </w:rPr>
        <w:t xml:space="preserve"> </w:t>
      </w:r>
      <w:r w:rsidRPr="00C72F36">
        <w:rPr>
          <w:rFonts w:ascii="Century" w:hAnsi="Century" w:cs="Miriam" w:hint="eastAsia"/>
          <w:b/>
          <w:spacing w:val="0"/>
          <w:sz w:val="22"/>
          <w:szCs w:val="24"/>
          <w:u w:val="single"/>
          <w:rtl/>
        </w:rPr>
        <w:t>הטרור</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לרבות</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על</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גורמים</w:t>
      </w:r>
      <w:r w:rsidRPr="00C72F36">
        <w:rPr>
          <w:rFonts w:ascii="Century" w:hAnsi="Century" w:cs="Miriam"/>
          <w:b/>
          <w:spacing w:val="0"/>
          <w:sz w:val="22"/>
          <w:szCs w:val="24"/>
          <w:rtl/>
        </w:rPr>
        <w:t xml:space="preserve"> </w:t>
      </w:r>
      <w:r>
        <w:rPr>
          <w:rFonts w:ascii="Century" w:hAnsi="Century" w:cs="Miriam" w:hint="cs"/>
          <w:b/>
          <w:spacing w:val="0"/>
          <w:sz w:val="22"/>
          <w:szCs w:val="24"/>
          <w:rtl/>
        </w:rPr>
        <w:t>'</w:t>
      </w:r>
      <w:r w:rsidRPr="00C72F36">
        <w:rPr>
          <w:rFonts w:ascii="Century" w:hAnsi="Century" w:cs="Miriam" w:hint="eastAsia"/>
          <w:b/>
          <w:spacing w:val="0"/>
          <w:sz w:val="22"/>
          <w:szCs w:val="24"/>
          <w:rtl/>
        </w:rPr>
        <w:t>תמימים</w:t>
      </w:r>
      <w:r>
        <w:rPr>
          <w:rFonts w:ascii="Century" w:hAnsi="Century" w:cs="Miriam" w:hint="cs"/>
          <w:b/>
          <w:spacing w:val="0"/>
          <w:sz w:val="22"/>
          <w:szCs w:val="24"/>
          <w:rtl/>
        </w:rPr>
        <w:t>'</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כאשר</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אין</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לעימות</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זה</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סוף</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הנראה</w:t>
      </w:r>
      <w:r w:rsidRPr="00C72F36">
        <w:rPr>
          <w:rFonts w:ascii="Century" w:hAnsi="Century" w:cs="Miriam"/>
          <w:b/>
          <w:spacing w:val="0"/>
          <w:sz w:val="22"/>
          <w:szCs w:val="24"/>
          <w:rtl/>
        </w:rPr>
        <w:t xml:space="preserve"> </w:t>
      </w:r>
      <w:r w:rsidRPr="00C72F36">
        <w:rPr>
          <w:rFonts w:ascii="Century" w:hAnsi="Century" w:cs="Miriam" w:hint="eastAsia"/>
          <w:b/>
          <w:spacing w:val="0"/>
          <w:sz w:val="22"/>
          <w:szCs w:val="24"/>
          <w:rtl/>
        </w:rPr>
        <w:t>לעין</w:t>
      </w:r>
      <w:r>
        <w:rPr>
          <w:rFonts w:hint="cs"/>
          <w:rtl/>
        </w:rPr>
        <w:t>" (עניין</w:t>
      </w:r>
      <w:r w:rsidRPr="00C72F36">
        <w:rPr>
          <w:rFonts w:ascii="Century" w:hAnsi="Century" w:cs="Miriam" w:hint="cs"/>
          <w:b/>
          <w:spacing w:val="0"/>
          <w:sz w:val="22"/>
          <w:szCs w:val="24"/>
          <w:rtl/>
        </w:rPr>
        <w:t xml:space="preserve"> דיראני</w:t>
      </w:r>
      <w:r>
        <w:rPr>
          <w:rFonts w:hint="cs"/>
          <w:rtl/>
        </w:rPr>
        <w:t xml:space="preserve">, פסקה 55). המקרה של רצועת עזה כיום </w:t>
      </w:r>
      <w:r>
        <w:rPr>
          <w:rtl/>
        </w:rPr>
        <w:t>–</w:t>
      </w:r>
      <w:r>
        <w:rPr>
          <w:rFonts w:hint="cs"/>
          <w:rtl/>
        </w:rPr>
        <w:t xml:space="preserve"> שונה בהחלט. נראה כי נכון יהיה לדמוֹתוֹ, במציאות העכשווית, ל'מדינת אויב' ממש, ולא למדינה זרה, שאינה מנהלת עימות מזוין עם ישראל, ואשר משטחה פועל ארגון טרור. כ</w:t>
      </w:r>
      <w:r w:rsidR="00395244">
        <w:rPr>
          <w:rFonts w:hint="cs"/>
          <w:rtl/>
        </w:rPr>
        <w:t xml:space="preserve">אמור </w:t>
      </w:r>
      <w:r>
        <w:rPr>
          <w:rFonts w:hint="cs"/>
          <w:rtl/>
        </w:rPr>
        <w:t xml:space="preserve">לעיל, רצועת עזה נשלטת בידי ארגון הטרור חמאס, החל משנת 2007; היא מנהלת עימות מזוין עקוב מדם ומתמשך עם ישראל; שליטתו בעזה </w:t>
      </w:r>
      <w:r>
        <w:rPr>
          <w:rtl/>
        </w:rPr>
        <w:t>–</w:t>
      </w:r>
      <w:r>
        <w:rPr>
          <w:rFonts w:hint="cs"/>
          <w:rtl/>
        </w:rPr>
        <w:t xml:space="preserve"> הדוקה; והיא באה לידי ביטוי הן במישור הצבאי, הן במישור האזרחי. בהיבט זה, היחס לרצועת עזה שונה מהיחס למדינת לבנון, שמקרבה פועל ארגון הטרור חיזבאללה, מבלי לאחוז במושכות השלטון. הממשקים העיקריים בין ישראל לעזה, נכון להיום, כרוכים וקשורים, שלא בטובתנו, בעימות המזוין וביחסי האיבה שבין הצדדים. משכך, הרציונלים שבבסיס החסינות הניתנת למדינה מפני תביעות נזיקין של נתיני אויב, מתקיימים בנסיבות אלו במלוא תוקפם,</w:t>
      </w:r>
      <w:r w:rsidRPr="00A52EF8">
        <w:rPr>
          <w:rFonts w:hint="cs"/>
          <w:rtl/>
        </w:rPr>
        <w:t xml:space="preserve"> </w:t>
      </w:r>
      <w:r>
        <w:rPr>
          <w:rFonts w:hint="cs"/>
          <w:rtl/>
        </w:rPr>
        <w:t xml:space="preserve">גם בהעדר הכרזה פורמלית על מלחמה. העובדה שרצועת עזה אינה באה בגדר 'מדינה', אינה מעלה </w:t>
      </w:r>
      <w:r w:rsidR="009E25B2">
        <w:rPr>
          <w:rFonts w:hint="cs"/>
          <w:rtl/>
        </w:rPr>
        <w:t>ול</w:t>
      </w:r>
      <w:r>
        <w:rPr>
          <w:rFonts w:hint="cs"/>
          <w:rtl/>
        </w:rPr>
        <w:t>א מורידה בהקשר זה. למותר להוסיף, כי ארגון החמאס עונה להגדרת 'אויב' שבסעיף 91 לחוק העונשין (</w:t>
      </w:r>
      <w:r w:rsidRPr="00C72F36">
        <w:rPr>
          <w:rFonts w:ascii="Century" w:hAnsi="Century" w:cs="Miriam" w:hint="cs"/>
          <w:b/>
          <w:spacing w:val="0"/>
          <w:sz w:val="22"/>
          <w:szCs w:val="24"/>
          <w:rtl/>
        </w:rPr>
        <w:t>"מי שהוא צד לוחם או מקיים מצב מלחמה נגד ישראל</w:t>
      </w:r>
      <w:r>
        <w:rPr>
          <w:rFonts w:ascii="Century" w:hAnsi="Century" w:cs="Miriam" w:hint="cs"/>
          <w:b/>
          <w:spacing w:val="0"/>
          <w:sz w:val="22"/>
          <w:szCs w:val="24"/>
          <w:rtl/>
        </w:rPr>
        <w:t xml:space="preserve"> [</w:t>
      </w:r>
      <w:r w:rsidRPr="00C72F36">
        <w:rPr>
          <w:rFonts w:ascii="Century" w:hAnsi="Century" w:cs="Miriam" w:hint="cs"/>
          <w:b/>
          <w:spacing w:val="0"/>
          <w:sz w:val="22"/>
          <w:szCs w:val="24"/>
          <w:rtl/>
        </w:rPr>
        <w:t>...</w:t>
      </w:r>
      <w:r>
        <w:rPr>
          <w:rFonts w:ascii="Century" w:hAnsi="Century" w:cs="Miriam" w:hint="cs"/>
          <w:b/>
          <w:spacing w:val="0"/>
          <w:sz w:val="22"/>
          <w:szCs w:val="24"/>
          <w:rtl/>
        </w:rPr>
        <w:t>]</w:t>
      </w:r>
      <w:r w:rsidRPr="00C72F36">
        <w:rPr>
          <w:rFonts w:ascii="Century" w:hAnsi="Century" w:cs="Miriam" w:hint="cs"/>
          <w:b/>
          <w:spacing w:val="0"/>
          <w:sz w:val="22"/>
          <w:szCs w:val="24"/>
          <w:rtl/>
        </w:rPr>
        <w:t>"</w:t>
      </w:r>
      <w:r>
        <w:rPr>
          <w:rFonts w:ascii="Century" w:hAnsi="Century" w:cs="Miriam" w:hint="cs"/>
          <w:b/>
          <w:spacing w:val="0"/>
          <w:sz w:val="22"/>
          <w:szCs w:val="24"/>
          <w:rtl/>
        </w:rPr>
        <w:t>)</w:t>
      </w:r>
      <w:r>
        <w:rPr>
          <w:rFonts w:hint="cs"/>
          <w:rtl/>
        </w:rPr>
        <w:t xml:space="preserve">, וכבר נפסק כי: </w:t>
      </w:r>
      <w:r w:rsidRPr="00E36C45">
        <w:rPr>
          <w:rFonts w:ascii="Century" w:hAnsi="Century" w:cs="Miriam"/>
          <w:b/>
          <w:spacing w:val="0"/>
          <w:sz w:val="22"/>
          <w:szCs w:val="24"/>
          <w:rtl/>
        </w:rPr>
        <w:t>"</w:t>
      </w:r>
      <w:r w:rsidRPr="00E36C45">
        <w:rPr>
          <w:rFonts w:ascii="Century" w:hAnsi="Century" w:cs="Miriam" w:hint="eastAsia"/>
          <w:b/>
          <w:spacing w:val="0"/>
          <w:sz w:val="22"/>
          <w:szCs w:val="24"/>
          <w:rtl/>
        </w:rPr>
        <w:t>לחימתה</w:t>
      </w:r>
      <w:r w:rsidRPr="00E36C45">
        <w:rPr>
          <w:rFonts w:ascii="Century" w:hAnsi="Century" w:cs="Miriam"/>
          <w:b/>
          <w:spacing w:val="0"/>
          <w:sz w:val="22"/>
          <w:szCs w:val="24"/>
          <w:rtl/>
        </w:rPr>
        <w:t xml:space="preserve"> </w:t>
      </w:r>
      <w:r w:rsidRPr="00E36C45">
        <w:rPr>
          <w:rFonts w:ascii="Century" w:hAnsi="Century" w:cs="Miriam" w:hint="eastAsia"/>
          <w:b/>
          <w:spacing w:val="0"/>
          <w:sz w:val="22"/>
          <w:szCs w:val="24"/>
          <w:rtl/>
        </w:rPr>
        <w:t>של</w:t>
      </w:r>
      <w:r w:rsidRPr="00E36C45">
        <w:rPr>
          <w:rFonts w:ascii="Century" w:hAnsi="Century" w:cs="Miriam"/>
          <w:b/>
          <w:spacing w:val="0"/>
          <w:sz w:val="22"/>
          <w:szCs w:val="24"/>
          <w:rtl/>
        </w:rPr>
        <w:t xml:space="preserve"> </w:t>
      </w:r>
      <w:r w:rsidRPr="00E36C45">
        <w:rPr>
          <w:rFonts w:ascii="Century" w:hAnsi="Century" w:cs="Miriam" w:hint="eastAsia"/>
          <w:b/>
          <w:spacing w:val="0"/>
          <w:sz w:val="22"/>
          <w:szCs w:val="24"/>
          <w:rtl/>
        </w:rPr>
        <w:t>מדינה</w:t>
      </w:r>
      <w:r w:rsidRPr="00E36C45">
        <w:rPr>
          <w:rFonts w:ascii="Century" w:hAnsi="Century" w:cs="Miriam"/>
          <w:b/>
          <w:spacing w:val="0"/>
          <w:sz w:val="22"/>
          <w:szCs w:val="24"/>
          <w:rtl/>
        </w:rPr>
        <w:t xml:space="preserve"> </w:t>
      </w:r>
      <w:r w:rsidRPr="00E36C45">
        <w:rPr>
          <w:rFonts w:ascii="Century" w:hAnsi="Century" w:cs="Miriam" w:hint="eastAsia"/>
          <w:b/>
          <w:spacing w:val="0"/>
          <w:sz w:val="22"/>
          <w:szCs w:val="24"/>
          <w:rtl/>
        </w:rPr>
        <w:t>נגד</w:t>
      </w:r>
      <w:r w:rsidRPr="00E36C45">
        <w:rPr>
          <w:rFonts w:ascii="Century" w:hAnsi="Century" w:cs="Miriam"/>
          <w:b/>
          <w:spacing w:val="0"/>
          <w:sz w:val="22"/>
          <w:szCs w:val="24"/>
          <w:rtl/>
        </w:rPr>
        <w:t xml:space="preserve"> </w:t>
      </w:r>
      <w:r w:rsidRPr="00E36C45">
        <w:rPr>
          <w:rFonts w:ascii="Century" w:hAnsi="Century" w:cs="Miriam" w:hint="eastAsia"/>
          <w:b/>
          <w:spacing w:val="0"/>
          <w:sz w:val="22"/>
          <w:szCs w:val="24"/>
          <w:rtl/>
        </w:rPr>
        <w:t>הטרור</w:t>
      </w:r>
      <w:r w:rsidRPr="00E36C45">
        <w:rPr>
          <w:rFonts w:ascii="Century" w:hAnsi="Century" w:cs="Miriam"/>
          <w:b/>
          <w:spacing w:val="0"/>
          <w:sz w:val="22"/>
          <w:szCs w:val="24"/>
          <w:rtl/>
        </w:rPr>
        <w:t xml:space="preserve"> </w:t>
      </w:r>
      <w:r w:rsidRPr="00E36C45">
        <w:rPr>
          <w:rFonts w:ascii="Century" w:hAnsi="Century" w:cs="Miriam" w:hint="eastAsia"/>
          <w:b/>
          <w:spacing w:val="0"/>
          <w:sz w:val="22"/>
          <w:szCs w:val="24"/>
          <w:rtl/>
        </w:rPr>
        <w:t>היא</w:t>
      </w:r>
      <w:r w:rsidRPr="00E36C45">
        <w:rPr>
          <w:rFonts w:ascii="Century" w:hAnsi="Century" w:cs="Miriam"/>
          <w:b/>
          <w:spacing w:val="0"/>
          <w:sz w:val="22"/>
          <w:szCs w:val="24"/>
          <w:rtl/>
        </w:rPr>
        <w:t xml:space="preserve"> </w:t>
      </w:r>
      <w:r w:rsidRPr="00E36C45">
        <w:rPr>
          <w:rFonts w:ascii="Century" w:hAnsi="Century" w:cs="Miriam" w:hint="eastAsia"/>
          <w:b/>
          <w:spacing w:val="0"/>
          <w:sz w:val="22"/>
          <w:szCs w:val="24"/>
          <w:rtl/>
        </w:rPr>
        <w:t>לחימתה</w:t>
      </w:r>
      <w:r w:rsidRPr="00E36C45">
        <w:rPr>
          <w:rFonts w:ascii="Century" w:hAnsi="Century" w:cs="Miriam"/>
          <w:b/>
          <w:spacing w:val="0"/>
          <w:sz w:val="22"/>
          <w:szCs w:val="24"/>
          <w:rtl/>
        </w:rPr>
        <w:t xml:space="preserve"> </w:t>
      </w:r>
      <w:r w:rsidRPr="00E36C45">
        <w:rPr>
          <w:rFonts w:ascii="Century" w:hAnsi="Century" w:cs="Miriam" w:hint="eastAsia"/>
          <w:b/>
          <w:spacing w:val="0"/>
          <w:sz w:val="22"/>
          <w:szCs w:val="24"/>
          <w:rtl/>
        </w:rPr>
        <w:t>של</w:t>
      </w:r>
      <w:r w:rsidRPr="00E36C45">
        <w:rPr>
          <w:rFonts w:ascii="Century" w:hAnsi="Century" w:cs="Miriam"/>
          <w:b/>
          <w:spacing w:val="0"/>
          <w:sz w:val="22"/>
          <w:szCs w:val="24"/>
          <w:rtl/>
        </w:rPr>
        <w:t xml:space="preserve"> </w:t>
      </w:r>
      <w:r w:rsidRPr="00E36C45">
        <w:rPr>
          <w:rFonts w:ascii="Century" w:hAnsi="Century" w:cs="Miriam" w:hint="eastAsia"/>
          <w:b/>
          <w:spacing w:val="0"/>
          <w:sz w:val="22"/>
          <w:szCs w:val="24"/>
          <w:rtl/>
        </w:rPr>
        <w:t>המדינה</w:t>
      </w:r>
      <w:r w:rsidRPr="00E36C45">
        <w:rPr>
          <w:rFonts w:ascii="Century" w:hAnsi="Century" w:cs="Miriam"/>
          <w:b/>
          <w:spacing w:val="0"/>
          <w:sz w:val="22"/>
          <w:szCs w:val="24"/>
          <w:rtl/>
        </w:rPr>
        <w:t xml:space="preserve"> </w:t>
      </w:r>
      <w:r w:rsidRPr="00E36C45">
        <w:rPr>
          <w:rFonts w:ascii="Century" w:hAnsi="Century" w:cs="Miriam" w:hint="eastAsia"/>
          <w:b/>
          <w:spacing w:val="0"/>
          <w:sz w:val="22"/>
          <w:szCs w:val="24"/>
          <w:rtl/>
        </w:rPr>
        <w:t>נגד</w:t>
      </w:r>
      <w:r w:rsidRPr="00E36C45">
        <w:rPr>
          <w:rFonts w:ascii="Century" w:hAnsi="Century" w:cs="Miriam"/>
          <w:b/>
          <w:spacing w:val="0"/>
          <w:sz w:val="22"/>
          <w:szCs w:val="24"/>
          <w:rtl/>
        </w:rPr>
        <w:t xml:space="preserve"> </w:t>
      </w:r>
      <w:r w:rsidRPr="00E36C45">
        <w:rPr>
          <w:rFonts w:ascii="Century" w:hAnsi="Century" w:cs="Miriam" w:hint="eastAsia"/>
          <w:b/>
          <w:spacing w:val="0"/>
          <w:sz w:val="22"/>
          <w:szCs w:val="24"/>
          <w:rtl/>
        </w:rPr>
        <w:t>אויביה</w:t>
      </w:r>
      <w:r w:rsidRPr="00E36C45">
        <w:rPr>
          <w:rFonts w:ascii="Century" w:hAnsi="Century" w:cs="Miriam"/>
          <w:b/>
          <w:spacing w:val="0"/>
          <w:sz w:val="22"/>
          <w:szCs w:val="24"/>
          <w:rtl/>
        </w:rPr>
        <w:t>"</w:t>
      </w:r>
      <w:r>
        <w:rPr>
          <w:rFonts w:hint="cs"/>
          <w:rtl/>
        </w:rPr>
        <w:t xml:space="preserve"> (</w:t>
      </w:r>
      <w:r w:rsidRPr="00E36C45">
        <w:rPr>
          <w:rFonts w:hint="eastAsia"/>
          <w:rtl/>
        </w:rPr>
        <w:t>עניין</w:t>
      </w:r>
      <w:r w:rsidRPr="00E36C45">
        <w:rPr>
          <w:rtl/>
        </w:rPr>
        <w:t xml:space="preserve"> </w:t>
      </w:r>
      <w:r w:rsidRPr="00E36C45">
        <w:rPr>
          <w:rFonts w:ascii="Century" w:hAnsi="Century" w:cs="Miriam" w:hint="eastAsia"/>
          <w:b/>
          <w:spacing w:val="0"/>
          <w:sz w:val="22"/>
          <w:szCs w:val="24"/>
          <w:rtl/>
        </w:rPr>
        <w:t>הועד</w:t>
      </w:r>
      <w:r w:rsidRPr="00E36C45">
        <w:rPr>
          <w:rFonts w:ascii="Century" w:hAnsi="Century" w:cs="Miriam"/>
          <w:b/>
          <w:spacing w:val="0"/>
          <w:sz w:val="22"/>
          <w:szCs w:val="24"/>
          <w:rtl/>
        </w:rPr>
        <w:t xml:space="preserve"> </w:t>
      </w:r>
      <w:r w:rsidRPr="00E36C45">
        <w:rPr>
          <w:rFonts w:ascii="Century" w:hAnsi="Century" w:cs="Miriam" w:hint="eastAsia"/>
          <w:b/>
          <w:spacing w:val="0"/>
          <w:sz w:val="22"/>
          <w:szCs w:val="24"/>
          <w:rtl/>
        </w:rPr>
        <w:t>הציבורי</w:t>
      </w:r>
      <w:r w:rsidRPr="00E36C45">
        <w:rPr>
          <w:rFonts w:ascii="Century" w:hAnsi="Century" w:cs="Miriam"/>
          <w:b/>
          <w:spacing w:val="0"/>
          <w:sz w:val="22"/>
          <w:szCs w:val="24"/>
          <w:rtl/>
        </w:rPr>
        <w:t xml:space="preserve"> </w:t>
      </w:r>
      <w:r w:rsidRPr="00E36C45">
        <w:rPr>
          <w:rFonts w:ascii="Century" w:hAnsi="Century" w:cs="Miriam" w:hint="eastAsia"/>
          <w:b/>
          <w:spacing w:val="0"/>
          <w:sz w:val="22"/>
          <w:szCs w:val="24"/>
          <w:rtl/>
        </w:rPr>
        <w:t>נגד</w:t>
      </w:r>
      <w:r w:rsidRPr="00E36C45">
        <w:rPr>
          <w:rFonts w:ascii="Century" w:hAnsi="Century" w:cs="Miriam"/>
          <w:b/>
          <w:spacing w:val="0"/>
          <w:sz w:val="22"/>
          <w:szCs w:val="24"/>
          <w:rtl/>
        </w:rPr>
        <w:t xml:space="preserve"> </w:t>
      </w:r>
      <w:r w:rsidRPr="00E36C45">
        <w:rPr>
          <w:rFonts w:ascii="Century" w:hAnsi="Century" w:cs="Miriam" w:hint="eastAsia"/>
          <w:b/>
          <w:spacing w:val="0"/>
          <w:sz w:val="22"/>
          <w:szCs w:val="24"/>
          <w:rtl/>
        </w:rPr>
        <w:t>עינויים</w:t>
      </w:r>
      <w:r w:rsidRPr="00E36C45">
        <w:rPr>
          <w:rtl/>
        </w:rPr>
        <w:t xml:space="preserve">, </w:t>
      </w:r>
      <w:r>
        <w:rPr>
          <w:rFonts w:hint="cs"/>
          <w:rtl/>
        </w:rPr>
        <w:t xml:space="preserve">עמוד </w:t>
      </w:r>
      <w:r w:rsidRPr="00E36C45">
        <w:rPr>
          <w:rtl/>
        </w:rPr>
        <w:t>587</w:t>
      </w:r>
      <w:r>
        <w:rPr>
          <w:rFonts w:hint="cs"/>
          <w:rtl/>
        </w:rPr>
        <w:t xml:space="preserve">). סבורני, אם כן, כי בנסיבותיה של עזה כיום, התכלית של 'מניעת סיוע לאויב', העומדת ביסוד הכלל שלפיו </w:t>
      </w:r>
      <w:r w:rsidRPr="00C94C06">
        <w:rPr>
          <w:rFonts w:ascii="Century" w:hAnsi="Century" w:cs="Miriam" w:hint="cs"/>
          <w:b/>
          <w:spacing w:val="0"/>
          <w:sz w:val="22"/>
          <w:szCs w:val="24"/>
          <w:rtl/>
        </w:rPr>
        <w:t>'אין מבררים תביעת אויב'</w:t>
      </w:r>
      <w:r>
        <w:rPr>
          <w:rFonts w:hint="cs"/>
          <w:rtl/>
        </w:rPr>
        <w:t xml:space="preserve">, נכונה לגבי </w:t>
      </w:r>
      <w:r w:rsidRPr="00E661E5">
        <w:rPr>
          <w:rFonts w:ascii="Century" w:hAnsi="Century" w:cs="Miriam" w:hint="cs"/>
          <w:b/>
          <w:spacing w:val="0"/>
          <w:sz w:val="22"/>
          <w:szCs w:val="24"/>
          <w:rtl/>
        </w:rPr>
        <w:t>כל</w:t>
      </w:r>
      <w:r w:rsidRPr="00E661E5">
        <w:rPr>
          <w:rFonts w:hint="cs"/>
          <w:rtl/>
        </w:rPr>
        <w:t xml:space="preserve"> </w:t>
      </w:r>
      <w:r>
        <w:rPr>
          <w:rFonts w:hint="cs"/>
          <w:rtl/>
        </w:rPr>
        <w:t xml:space="preserve">תושביה, ולא רק כלפי פעילי הטרור עצמם. הגבלת הכלל האמור לפעילי הטרור בלבד, לא תגשים את התכלית שעליה עמדנו לעיל </w:t>
      </w:r>
      <w:r>
        <w:rPr>
          <w:rtl/>
        </w:rPr>
        <w:t>–</w:t>
      </w:r>
      <w:r w:rsidR="00811B3D">
        <w:rPr>
          <w:rFonts w:hint="cs"/>
          <w:rtl/>
        </w:rPr>
        <w:t xml:space="preserve"> </w:t>
      </w:r>
      <w:r w:rsidR="009E25B2">
        <w:rPr>
          <w:rFonts w:hint="cs"/>
          <w:rtl/>
        </w:rPr>
        <w:t>מנ</w:t>
      </w:r>
      <w:r>
        <w:rPr>
          <w:rFonts w:hint="cs"/>
          <w:rtl/>
        </w:rPr>
        <w:t xml:space="preserve">יעת סיוע כלכלי או מוראלי לאויב </w:t>
      </w:r>
      <w:r>
        <w:rPr>
          <w:rtl/>
        </w:rPr>
        <w:t>–</w:t>
      </w:r>
      <w:r>
        <w:rPr>
          <w:rFonts w:hint="cs"/>
          <w:rtl/>
        </w:rPr>
        <w:t xml:space="preserve"> ודאי </w:t>
      </w:r>
      <w:r w:rsidR="009E25B2">
        <w:rPr>
          <w:rFonts w:hint="cs"/>
          <w:rtl/>
        </w:rPr>
        <w:t>לא באותה מידת יעילות המוגשמת על-</w:t>
      </w:r>
      <w:r>
        <w:rPr>
          <w:rFonts w:hint="cs"/>
          <w:rtl/>
        </w:rPr>
        <w:t xml:space="preserve">ידי כלל החסינות הקטגורי, שנקבע בסעיף 5ב(א)(1) לחוק.  </w:t>
      </w:r>
    </w:p>
    <w:p w:rsidR="00D512D4" w:rsidRDefault="00D512D4" w:rsidP="002A0AEF">
      <w:pPr>
        <w:pStyle w:val="Ruller4"/>
        <w:numPr>
          <w:ilvl w:val="0"/>
          <w:numId w:val="0"/>
        </w:numPr>
        <w:spacing w:line="240" w:lineRule="auto"/>
        <w:rPr>
          <w:rtl/>
        </w:rPr>
      </w:pPr>
      <w:r>
        <w:rPr>
          <w:rtl/>
        </w:rPr>
        <w:tab/>
      </w:r>
    </w:p>
    <w:p w:rsidR="00D512D4" w:rsidRDefault="009E25B2" w:rsidP="00811B3D">
      <w:pPr>
        <w:pStyle w:val="Ruller4"/>
        <w:rPr>
          <w:rtl/>
        </w:rPr>
      </w:pPr>
      <w:r>
        <w:rPr>
          <w:rFonts w:hint="cs"/>
          <w:rtl/>
        </w:rPr>
        <w:t>גם אם נ</w:t>
      </w:r>
      <w:r w:rsidR="00D512D4">
        <w:rPr>
          <w:rFonts w:hint="cs"/>
          <w:rtl/>
        </w:rPr>
        <w:t xml:space="preserve">אמר שהתאמת הכלל בעניין </w:t>
      </w:r>
      <w:r w:rsidR="00D512D4" w:rsidRPr="00DB39FC">
        <w:rPr>
          <w:rFonts w:ascii="Century" w:hAnsi="Century" w:cs="Miriam" w:hint="cs"/>
          <w:b/>
          <w:spacing w:val="0"/>
          <w:sz w:val="22"/>
          <w:szCs w:val="24"/>
          <w:rtl/>
        </w:rPr>
        <w:t>דיראני</w:t>
      </w:r>
      <w:r w:rsidR="00D512D4" w:rsidRPr="00DB39FC">
        <w:rPr>
          <w:rFonts w:hint="cs"/>
          <w:rtl/>
        </w:rPr>
        <w:t xml:space="preserve"> </w:t>
      </w:r>
      <w:r w:rsidR="00D512D4">
        <w:rPr>
          <w:rFonts w:hint="cs"/>
          <w:rtl/>
        </w:rPr>
        <w:t xml:space="preserve">מבטאת הסתייגות מקביעת כלל גורף בכל מצב </w:t>
      </w:r>
      <w:r w:rsidR="00D512D4">
        <w:rPr>
          <w:rtl/>
        </w:rPr>
        <w:t>–</w:t>
      </w:r>
      <w:r w:rsidR="00D512D4">
        <w:rPr>
          <w:rFonts w:hint="cs"/>
          <w:rtl/>
        </w:rPr>
        <w:t xml:space="preserve"> הנחה שאי</w:t>
      </w:r>
      <w:r>
        <w:rPr>
          <w:rFonts w:hint="cs"/>
          <w:rtl/>
        </w:rPr>
        <w:t>נני</w:t>
      </w:r>
      <w:r w:rsidR="00D512D4">
        <w:rPr>
          <w:rFonts w:hint="cs"/>
          <w:rtl/>
        </w:rPr>
        <w:t xml:space="preserve"> מסכים לה </w:t>
      </w:r>
      <w:r w:rsidR="00D512D4">
        <w:rPr>
          <w:rtl/>
        </w:rPr>
        <w:t>–</w:t>
      </w:r>
      <w:r w:rsidR="00D512D4">
        <w:rPr>
          <w:rFonts w:hint="cs"/>
          <w:rtl/>
        </w:rPr>
        <w:t xml:space="preserve"> אין משמעות הדבר כי סעיף 5ב(א)(1) לחוק איננו מידתי. כאמור, בעניין </w:t>
      </w:r>
      <w:r w:rsidR="00D512D4" w:rsidRPr="006D6DF3">
        <w:rPr>
          <w:rFonts w:ascii="Century" w:hAnsi="Century" w:cs="Miriam" w:hint="cs"/>
          <w:b/>
          <w:spacing w:val="0"/>
          <w:sz w:val="22"/>
          <w:szCs w:val="24"/>
          <w:rtl/>
        </w:rPr>
        <w:t>דיראני</w:t>
      </w:r>
      <w:r w:rsidR="00D512D4" w:rsidRPr="006D6DF3">
        <w:rPr>
          <w:rFonts w:hint="cs"/>
          <w:rtl/>
        </w:rPr>
        <w:t xml:space="preserve"> </w:t>
      </w:r>
      <w:r w:rsidR="00D512D4">
        <w:rPr>
          <w:rFonts w:hint="cs"/>
          <w:rtl/>
        </w:rPr>
        <w:t xml:space="preserve">הותאם הכלל האמור, למציאות המודרנית, הנובעת מכורח המציאות של לחימה בטרור. לנגד עיניו של בית המשפט בעניין </w:t>
      </w:r>
      <w:r w:rsidR="00D512D4" w:rsidRPr="00A52EF8">
        <w:rPr>
          <w:rFonts w:ascii="Century" w:hAnsi="Century" w:cs="Miriam" w:hint="cs"/>
          <w:b/>
          <w:spacing w:val="0"/>
          <w:sz w:val="22"/>
          <w:szCs w:val="24"/>
          <w:rtl/>
        </w:rPr>
        <w:t>דיראני</w:t>
      </w:r>
      <w:r w:rsidR="00D512D4">
        <w:rPr>
          <w:rFonts w:hint="cs"/>
          <w:rtl/>
        </w:rPr>
        <w:t>,</w:t>
      </w:r>
      <w:r w:rsidR="00D512D4" w:rsidRPr="00A52EF8">
        <w:rPr>
          <w:rFonts w:hint="cs"/>
          <w:rtl/>
        </w:rPr>
        <w:t xml:space="preserve"> </w:t>
      </w:r>
      <w:r w:rsidR="00D512D4">
        <w:rPr>
          <w:rFonts w:hint="cs"/>
          <w:rtl/>
        </w:rPr>
        <w:t xml:space="preserve">עמד ארגון טרור לא-מדינתי, הפועל משטחה של מדינה זרה, ואינו שולט בה. בית המשפט פיתח אפוא את הכלל המסורתי מהמשפט המקובל, והתאים אותו למציאות ששררה אז בגבולה הצפוני של ישראל. סעיף 5ב(א)(1) לחוק, אינו </w:t>
      </w:r>
      <w:r w:rsidR="00D512D4" w:rsidRPr="00C93802">
        <w:rPr>
          <w:rFonts w:ascii="Century" w:hAnsi="Century" w:hint="eastAsia"/>
          <w:sz w:val="22"/>
          <w:rtl/>
        </w:rPr>
        <w:t>אלא</w:t>
      </w:r>
      <w:r w:rsidR="00D512D4" w:rsidRPr="00C93802">
        <w:rPr>
          <w:rFonts w:ascii="Century" w:hAnsi="Century"/>
          <w:sz w:val="22"/>
          <w:rtl/>
        </w:rPr>
        <w:t xml:space="preserve"> </w:t>
      </w:r>
      <w:r w:rsidR="00D512D4" w:rsidRPr="00C93802">
        <w:rPr>
          <w:rFonts w:ascii="Century" w:hAnsi="Century" w:hint="eastAsia"/>
          <w:sz w:val="22"/>
          <w:rtl/>
        </w:rPr>
        <w:t>פיתוח</w:t>
      </w:r>
      <w:r w:rsidR="00D512D4" w:rsidRPr="00C93802">
        <w:rPr>
          <w:rFonts w:ascii="Century" w:hAnsi="Century"/>
          <w:sz w:val="22"/>
          <w:rtl/>
        </w:rPr>
        <w:t xml:space="preserve"> </w:t>
      </w:r>
      <w:r w:rsidR="00D512D4" w:rsidRPr="00C93802">
        <w:rPr>
          <w:rFonts w:ascii="Century" w:hAnsi="Century" w:hint="eastAsia"/>
          <w:sz w:val="22"/>
          <w:rtl/>
        </w:rPr>
        <w:t>נוסף</w:t>
      </w:r>
      <w:r w:rsidR="00D512D4" w:rsidRPr="00C93802">
        <w:rPr>
          <w:rFonts w:ascii="Century" w:hAnsi="Century"/>
          <w:sz w:val="22"/>
          <w:rtl/>
        </w:rPr>
        <w:t xml:space="preserve">, </w:t>
      </w:r>
      <w:r w:rsidR="00D512D4" w:rsidRPr="00C93802">
        <w:rPr>
          <w:rFonts w:ascii="Century" w:hAnsi="Century" w:hint="eastAsia"/>
          <w:sz w:val="22"/>
          <w:rtl/>
        </w:rPr>
        <w:t>הגיוני</w:t>
      </w:r>
      <w:r w:rsidR="00D512D4" w:rsidRPr="00C93802">
        <w:rPr>
          <w:rFonts w:ascii="Century" w:hAnsi="Century"/>
          <w:sz w:val="22"/>
          <w:rtl/>
        </w:rPr>
        <w:t xml:space="preserve"> </w:t>
      </w:r>
      <w:r w:rsidR="00D512D4" w:rsidRPr="00C93802">
        <w:rPr>
          <w:rFonts w:ascii="Century" w:hAnsi="Century" w:hint="eastAsia"/>
          <w:sz w:val="22"/>
          <w:rtl/>
        </w:rPr>
        <w:t>ומתבקש</w:t>
      </w:r>
      <w:r w:rsidR="00D512D4" w:rsidRPr="00C93802">
        <w:rPr>
          <w:rFonts w:ascii="Century" w:hAnsi="Century"/>
          <w:sz w:val="22"/>
          <w:rtl/>
        </w:rPr>
        <w:t xml:space="preserve">, </w:t>
      </w:r>
      <w:r w:rsidR="00D512D4">
        <w:rPr>
          <w:rFonts w:ascii="Century" w:hAnsi="Century" w:hint="cs"/>
          <w:sz w:val="22"/>
          <w:rtl/>
        </w:rPr>
        <w:t>א</w:t>
      </w:r>
      <w:r w:rsidR="00D512D4" w:rsidRPr="00C93802">
        <w:rPr>
          <w:rFonts w:ascii="Century" w:hAnsi="Century" w:hint="eastAsia"/>
          <w:sz w:val="22"/>
          <w:rtl/>
        </w:rPr>
        <w:t>ש</w:t>
      </w:r>
      <w:r w:rsidR="00D512D4">
        <w:rPr>
          <w:rFonts w:ascii="Century" w:hAnsi="Century" w:hint="cs"/>
          <w:sz w:val="22"/>
          <w:rtl/>
        </w:rPr>
        <w:t xml:space="preserve">ר </w:t>
      </w:r>
      <w:r w:rsidR="00D512D4" w:rsidRPr="00C93802">
        <w:rPr>
          <w:rFonts w:ascii="Century" w:hAnsi="Century" w:hint="eastAsia"/>
          <w:sz w:val="22"/>
          <w:rtl/>
        </w:rPr>
        <w:t>נועד</w:t>
      </w:r>
      <w:r w:rsidR="00D512D4" w:rsidRPr="00C93802">
        <w:rPr>
          <w:rFonts w:ascii="Century" w:hAnsi="Century"/>
          <w:sz w:val="22"/>
          <w:rtl/>
        </w:rPr>
        <w:t xml:space="preserve"> </w:t>
      </w:r>
      <w:r w:rsidR="00D512D4" w:rsidRPr="00C93802">
        <w:rPr>
          <w:rFonts w:ascii="Century" w:hAnsi="Century" w:hint="eastAsia"/>
          <w:sz w:val="22"/>
          <w:rtl/>
        </w:rPr>
        <w:t>לתת</w:t>
      </w:r>
      <w:r w:rsidR="00D512D4" w:rsidRPr="00C93802">
        <w:rPr>
          <w:rFonts w:ascii="Century" w:hAnsi="Century"/>
          <w:sz w:val="22"/>
          <w:rtl/>
        </w:rPr>
        <w:t xml:space="preserve"> </w:t>
      </w:r>
      <w:r w:rsidR="00D512D4" w:rsidRPr="00C93802">
        <w:rPr>
          <w:rFonts w:ascii="Century" w:hAnsi="Century" w:hint="eastAsia"/>
          <w:sz w:val="22"/>
          <w:rtl/>
        </w:rPr>
        <w:t>מענה</w:t>
      </w:r>
      <w:r w:rsidR="00D512D4" w:rsidRPr="00C93802">
        <w:rPr>
          <w:rFonts w:ascii="Century" w:hAnsi="Century"/>
          <w:sz w:val="22"/>
          <w:rtl/>
        </w:rPr>
        <w:t xml:space="preserve"> </w:t>
      </w:r>
      <w:r w:rsidR="00D512D4" w:rsidRPr="00C93802">
        <w:rPr>
          <w:rFonts w:ascii="Century" w:hAnsi="Century" w:hint="eastAsia"/>
          <w:sz w:val="22"/>
          <w:rtl/>
        </w:rPr>
        <w:t>למציאות</w:t>
      </w:r>
      <w:r w:rsidR="00D512D4" w:rsidRPr="00C93802">
        <w:rPr>
          <w:rFonts w:ascii="Century" w:hAnsi="Century"/>
          <w:sz w:val="22"/>
          <w:rtl/>
        </w:rPr>
        <w:t xml:space="preserve"> </w:t>
      </w:r>
      <w:r w:rsidR="00D512D4" w:rsidRPr="00C93802">
        <w:rPr>
          <w:rFonts w:ascii="Century" w:hAnsi="Century" w:hint="eastAsia"/>
          <w:sz w:val="22"/>
          <w:rtl/>
        </w:rPr>
        <w:t>המורכבת</w:t>
      </w:r>
      <w:r w:rsidR="00D512D4" w:rsidRPr="00C93802">
        <w:rPr>
          <w:rFonts w:ascii="Century" w:hAnsi="Century"/>
          <w:sz w:val="22"/>
          <w:rtl/>
        </w:rPr>
        <w:t xml:space="preserve"> </w:t>
      </w:r>
      <w:r w:rsidR="00D512D4">
        <w:rPr>
          <w:rFonts w:ascii="Century" w:hAnsi="Century" w:hint="cs"/>
          <w:sz w:val="22"/>
          <w:rtl/>
        </w:rPr>
        <w:t xml:space="preserve">שהוסיפה והתפתחה מאז ימי </w:t>
      </w:r>
      <w:r w:rsidR="00D512D4" w:rsidRPr="00C93802">
        <w:rPr>
          <w:rFonts w:ascii="Century" w:hAnsi="Century" w:cs="Miriam" w:hint="eastAsia"/>
          <w:b/>
          <w:spacing w:val="0"/>
          <w:sz w:val="22"/>
          <w:szCs w:val="24"/>
          <w:rtl/>
        </w:rPr>
        <w:t>דיראני</w:t>
      </w:r>
      <w:r w:rsidR="00D512D4">
        <w:rPr>
          <w:rFonts w:ascii="Century" w:hAnsi="Century" w:hint="cs"/>
          <w:sz w:val="22"/>
          <w:rtl/>
        </w:rPr>
        <w:t xml:space="preserve">, </w:t>
      </w:r>
      <w:r w:rsidR="00D512D4" w:rsidRPr="00C93802">
        <w:rPr>
          <w:rFonts w:ascii="Century" w:hAnsi="Century" w:hint="eastAsia"/>
          <w:sz w:val="22"/>
          <w:rtl/>
        </w:rPr>
        <w:t>של</w:t>
      </w:r>
      <w:r w:rsidR="00D512D4" w:rsidRPr="00C93802">
        <w:rPr>
          <w:rFonts w:ascii="Century" w:hAnsi="Century"/>
          <w:sz w:val="22"/>
          <w:rtl/>
        </w:rPr>
        <w:t xml:space="preserve"> </w:t>
      </w:r>
      <w:r w:rsidR="00D512D4" w:rsidRPr="00C93802">
        <w:rPr>
          <w:rFonts w:ascii="Century" w:hAnsi="Century" w:hint="eastAsia"/>
          <w:sz w:val="22"/>
          <w:rtl/>
        </w:rPr>
        <w:t>לחימה</w:t>
      </w:r>
      <w:r w:rsidR="00D512D4" w:rsidRPr="00C93802">
        <w:rPr>
          <w:rFonts w:ascii="Century" w:hAnsi="Century"/>
          <w:sz w:val="22"/>
          <w:rtl/>
        </w:rPr>
        <w:t xml:space="preserve"> </w:t>
      </w:r>
      <w:r w:rsidR="00D512D4" w:rsidRPr="00C93802">
        <w:rPr>
          <w:rFonts w:ascii="Century" w:hAnsi="Century" w:hint="eastAsia"/>
          <w:sz w:val="22"/>
          <w:rtl/>
        </w:rPr>
        <w:t>מול</w:t>
      </w:r>
      <w:r w:rsidR="00D512D4" w:rsidRPr="00C93802">
        <w:rPr>
          <w:rFonts w:ascii="Century" w:hAnsi="Century"/>
          <w:sz w:val="22"/>
          <w:rtl/>
        </w:rPr>
        <w:t xml:space="preserve"> </w:t>
      </w:r>
      <w:r w:rsidR="00D512D4" w:rsidRPr="00C93802">
        <w:rPr>
          <w:rFonts w:ascii="Century" w:hAnsi="Century" w:hint="eastAsia"/>
          <w:sz w:val="22"/>
          <w:rtl/>
        </w:rPr>
        <w:t>ארגון</w:t>
      </w:r>
      <w:r w:rsidR="00D512D4" w:rsidRPr="00C93802">
        <w:rPr>
          <w:rFonts w:ascii="Century" w:hAnsi="Century"/>
          <w:sz w:val="22"/>
          <w:rtl/>
        </w:rPr>
        <w:t xml:space="preserve"> </w:t>
      </w:r>
      <w:r w:rsidR="00D512D4" w:rsidRPr="00C93802">
        <w:rPr>
          <w:rFonts w:ascii="Century" w:hAnsi="Century" w:hint="eastAsia"/>
          <w:sz w:val="22"/>
          <w:rtl/>
        </w:rPr>
        <w:t>החמאס</w:t>
      </w:r>
      <w:r w:rsidR="00D512D4">
        <w:rPr>
          <w:rFonts w:ascii="Century" w:hAnsi="Century" w:hint="cs"/>
          <w:sz w:val="22"/>
          <w:rtl/>
        </w:rPr>
        <w:t>,</w:t>
      </w:r>
      <w:r w:rsidR="00D512D4" w:rsidRPr="00C93802">
        <w:rPr>
          <w:rFonts w:ascii="Century" w:hAnsi="Century"/>
          <w:sz w:val="22"/>
          <w:rtl/>
        </w:rPr>
        <w:t xml:space="preserve"> </w:t>
      </w:r>
      <w:r w:rsidR="00D512D4" w:rsidRPr="00C93802">
        <w:rPr>
          <w:rFonts w:ascii="Century" w:hAnsi="Century" w:hint="eastAsia"/>
          <w:sz w:val="22"/>
          <w:rtl/>
        </w:rPr>
        <w:t>השולט</w:t>
      </w:r>
      <w:r w:rsidR="00D512D4" w:rsidRPr="00C93802">
        <w:rPr>
          <w:rFonts w:ascii="Century" w:hAnsi="Century"/>
          <w:sz w:val="22"/>
          <w:rtl/>
        </w:rPr>
        <w:t xml:space="preserve"> </w:t>
      </w:r>
      <w:r w:rsidR="00D512D4" w:rsidRPr="00C93802">
        <w:rPr>
          <w:rFonts w:ascii="Century" w:hAnsi="Century" w:hint="eastAsia"/>
          <w:sz w:val="22"/>
          <w:rtl/>
        </w:rPr>
        <w:t>שליטה</w:t>
      </w:r>
      <w:r w:rsidR="00D512D4" w:rsidRPr="00C93802">
        <w:rPr>
          <w:rFonts w:ascii="Century" w:hAnsi="Century"/>
          <w:sz w:val="22"/>
          <w:rtl/>
        </w:rPr>
        <w:t xml:space="preserve"> </w:t>
      </w:r>
      <w:r w:rsidR="00D512D4" w:rsidRPr="00C93802">
        <w:rPr>
          <w:rFonts w:ascii="Century" w:hAnsi="Century" w:hint="eastAsia"/>
          <w:sz w:val="22"/>
          <w:rtl/>
        </w:rPr>
        <w:t>אפקטיבית</w:t>
      </w:r>
      <w:r w:rsidR="00D512D4" w:rsidRPr="00C93802">
        <w:rPr>
          <w:rFonts w:ascii="Century" w:hAnsi="Century"/>
          <w:sz w:val="22"/>
          <w:rtl/>
        </w:rPr>
        <w:t xml:space="preserve"> </w:t>
      </w:r>
      <w:r w:rsidR="00D512D4" w:rsidRPr="00C93802">
        <w:rPr>
          <w:rFonts w:ascii="Century" w:hAnsi="Century" w:hint="eastAsia"/>
          <w:sz w:val="22"/>
          <w:rtl/>
        </w:rPr>
        <w:t>ברצועת</w:t>
      </w:r>
      <w:r w:rsidR="00D512D4" w:rsidRPr="00C93802">
        <w:rPr>
          <w:rFonts w:ascii="Century" w:hAnsi="Century"/>
          <w:sz w:val="22"/>
          <w:rtl/>
        </w:rPr>
        <w:t xml:space="preserve"> </w:t>
      </w:r>
      <w:r w:rsidR="00D512D4" w:rsidRPr="00C93802">
        <w:rPr>
          <w:rFonts w:ascii="Century" w:hAnsi="Century" w:hint="eastAsia"/>
          <w:sz w:val="22"/>
          <w:rtl/>
        </w:rPr>
        <w:t>עזה</w:t>
      </w:r>
      <w:r w:rsidR="00D512D4" w:rsidRPr="00C93802">
        <w:rPr>
          <w:rFonts w:ascii="Century" w:hAnsi="Century"/>
          <w:sz w:val="22"/>
          <w:rtl/>
        </w:rPr>
        <w:t>.</w:t>
      </w:r>
      <w:r w:rsidR="00D512D4" w:rsidRPr="00DE3B61">
        <w:rPr>
          <w:rtl/>
        </w:rPr>
        <w:t xml:space="preserve"> </w:t>
      </w:r>
      <w:r w:rsidR="00D512D4">
        <w:rPr>
          <w:rFonts w:hint="cs"/>
          <w:rtl/>
        </w:rPr>
        <w:t xml:space="preserve">כשם שבית משפט זה בעניין </w:t>
      </w:r>
      <w:r w:rsidR="00D512D4" w:rsidRPr="006D6DF3">
        <w:rPr>
          <w:rFonts w:ascii="Century" w:hAnsi="Century" w:cs="Miriam" w:hint="cs"/>
          <w:b/>
          <w:spacing w:val="0"/>
          <w:sz w:val="22"/>
          <w:szCs w:val="24"/>
          <w:rtl/>
        </w:rPr>
        <w:t>דיראני</w:t>
      </w:r>
      <w:r w:rsidR="00D512D4">
        <w:rPr>
          <w:rFonts w:hint="cs"/>
          <w:rtl/>
        </w:rPr>
        <w:t>, התאים את הכלל מהמשפט המקובל למצבי איבה ועוינות מול ארגון טרור, כך עשה גם המחוקק, ב</w:t>
      </w:r>
      <w:r>
        <w:rPr>
          <w:rFonts w:hint="cs"/>
          <w:rtl/>
        </w:rPr>
        <w:t xml:space="preserve">חוקקו </w:t>
      </w:r>
      <w:r w:rsidR="00D512D4">
        <w:rPr>
          <w:rFonts w:hint="cs"/>
          <w:rtl/>
        </w:rPr>
        <w:t xml:space="preserve">את סעיף 5ב(א)(1) לחוק, ביחס לעימות המזוין עם רצועת עזה. כפי שצוין כבר בעניין </w:t>
      </w:r>
      <w:r w:rsidR="00D512D4" w:rsidRPr="007A3EBE">
        <w:rPr>
          <w:rFonts w:ascii="Century" w:hAnsi="Century" w:cs="Miriam" w:hint="cs"/>
          <w:b/>
          <w:spacing w:val="0"/>
          <w:sz w:val="22"/>
          <w:szCs w:val="24"/>
          <w:rtl/>
        </w:rPr>
        <w:t>דיראני</w:t>
      </w:r>
      <w:r w:rsidR="00D512D4">
        <w:rPr>
          <w:rFonts w:hint="cs"/>
          <w:rtl/>
        </w:rPr>
        <w:t>, ההסדר החוקי ה</w:t>
      </w:r>
      <w:r>
        <w:rPr>
          <w:rFonts w:hint="cs"/>
          <w:rtl/>
        </w:rPr>
        <w:t xml:space="preserve">מעוגן </w:t>
      </w:r>
      <w:r w:rsidR="00D512D4">
        <w:rPr>
          <w:rFonts w:hint="cs"/>
          <w:rtl/>
        </w:rPr>
        <w:t>בחוק הנזיקים, איננו חופף ואינו זהה לכלל מהמשפט המקובל. פעמים שסעיף 5ב(א)(1) לחוק</w:t>
      </w:r>
      <w:r>
        <w:rPr>
          <w:rFonts w:hint="cs"/>
          <w:rtl/>
        </w:rPr>
        <w:t xml:space="preserve"> מחמיר, בעוד שהכלל המקובל מקל, </w:t>
      </w:r>
      <w:r w:rsidR="00D512D4">
        <w:rPr>
          <w:rFonts w:hint="cs"/>
          <w:rtl/>
        </w:rPr>
        <w:t xml:space="preserve">פעמים להיפך. ברם, עצם העובדה שסעיף 5ב(א)(1) לחוק אינו זהה, על </w:t>
      </w:r>
      <w:r>
        <w:rPr>
          <w:rFonts w:hint="cs"/>
          <w:rtl/>
        </w:rPr>
        <w:t xml:space="preserve">קרבו ועל </w:t>
      </w:r>
      <w:r w:rsidR="00D512D4">
        <w:rPr>
          <w:rFonts w:hint="cs"/>
          <w:rtl/>
        </w:rPr>
        <w:t>כרע</w:t>
      </w:r>
      <w:r>
        <w:rPr>
          <w:rFonts w:hint="cs"/>
          <w:rtl/>
        </w:rPr>
        <w:t>י</w:t>
      </w:r>
      <w:r w:rsidR="00D512D4">
        <w:rPr>
          <w:rFonts w:hint="cs"/>
          <w:rtl/>
        </w:rPr>
        <w:t>ו, לכלל מהמשפט המקובל, אינה הופכת אותו לבלתי</w:t>
      </w:r>
      <w:r w:rsidR="00C94C06">
        <w:rPr>
          <w:rFonts w:hint="cs"/>
          <w:rtl/>
        </w:rPr>
        <w:t>-</w:t>
      </w:r>
      <w:r w:rsidR="00D512D4">
        <w:rPr>
          <w:rFonts w:hint="cs"/>
          <w:rtl/>
        </w:rPr>
        <w:t>מידתי. לגבי דידי, קיומם של הבדלים בין שני ההסדרים החוקיים, חלקם לחומר</w:t>
      </w:r>
      <w:r>
        <w:rPr>
          <w:rFonts w:hint="cs"/>
          <w:rtl/>
        </w:rPr>
        <w:t>ה</w:t>
      </w:r>
      <w:r w:rsidR="00D512D4">
        <w:rPr>
          <w:rFonts w:hint="cs"/>
          <w:rtl/>
        </w:rPr>
        <w:t xml:space="preserve"> חלקם לקולא, מלמד דווקא על כך שהמחוקק הקפיד הקפדה יתרה, </w:t>
      </w:r>
      <w:r>
        <w:rPr>
          <w:rFonts w:hint="cs"/>
          <w:rtl/>
        </w:rPr>
        <w:t>על כך ש</w:t>
      </w:r>
      <w:r w:rsidR="00D512D4">
        <w:rPr>
          <w:rFonts w:hint="cs"/>
          <w:rtl/>
        </w:rPr>
        <w:t xml:space="preserve">התאמת כלל החסינות של המדינה מפני תביעות נזיקין של תושבי רצועת עזה, לא תפר את האיזון הכולל בין הערכים והאינטרסים הצריכים לעניין. לא מצאתי במדיניות זו של המחוקק כל פגם; היא </w:t>
      </w:r>
      <w:r>
        <w:rPr>
          <w:rFonts w:hint="cs"/>
          <w:rtl/>
        </w:rPr>
        <w:t xml:space="preserve">הגיונית </w:t>
      </w:r>
      <w:r w:rsidR="00D512D4">
        <w:rPr>
          <w:rFonts w:hint="cs"/>
          <w:rtl/>
        </w:rPr>
        <w:t>ומתבקשת, נוכח העימות המדמם, רב השנים.</w:t>
      </w:r>
      <w:r w:rsidR="001C67F5">
        <w:rPr>
          <w:rFonts w:hint="cs"/>
          <w:rtl/>
        </w:rPr>
        <w:t xml:space="preserve"> </w:t>
      </w:r>
      <w:r w:rsidR="00D512D4">
        <w:rPr>
          <w:rFonts w:hint="cs"/>
          <w:rtl/>
        </w:rPr>
        <w:t xml:space="preserve">  </w:t>
      </w:r>
    </w:p>
    <w:p w:rsidR="00D512D4" w:rsidRDefault="00D512D4" w:rsidP="002A0AEF">
      <w:pPr>
        <w:pStyle w:val="Ruller41"/>
        <w:spacing w:line="240" w:lineRule="auto"/>
        <w:rPr>
          <w:rtl/>
        </w:rPr>
      </w:pPr>
    </w:p>
    <w:p w:rsidR="00D512D4" w:rsidRDefault="00D512D4" w:rsidP="00811B3D">
      <w:pPr>
        <w:pStyle w:val="Ruller4"/>
        <w:rPr>
          <w:rtl/>
        </w:rPr>
      </w:pPr>
      <w:r>
        <w:rPr>
          <w:rFonts w:hint="cs"/>
          <w:rtl/>
        </w:rPr>
        <w:t>לסיכומה של נקודה זו</w:t>
      </w:r>
      <w:r w:rsidR="00811B3D">
        <w:rPr>
          <w:rFonts w:hint="cs"/>
          <w:rtl/>
        </w:rPr>
        <w:t>.</w:t>
      </w:r>
      <w:r>
        <w:rPr>
          <w:rFonts w:hint="cs"/>
          <w:rtl/>
        </w:rPr>
        <w:t xml:space="preserve"> לאחר פסק הדין בעניין </w:t>
      </w:r>
      <w:r w:rsidRPr="00805839">
        <w:rPr>
          <w:rFonts w:ascii="Century" w:hAnsi="Century" w:cs="Miriam" w:hint="cs"/>
          <w:b/>
          <w:spacing w:val="0"/>
          <w:sz w:val="22"/>
          <w:szCs w:val="24"/>
          <w:rtl/>
        </w:rPr>
        <w:t>עדאלה</w:t>
      </w:r>
      <w:r>
        <w:rPr>
          <w:rFonts w:hint="cs"/>
          <w:rtl/>
        </w:rPr>
        <w:t xml:space="preserve">, נקבעה הלכה נוספת בעניין </w:t>
      </w:r>
      <w:r w:rsidRPr="0099562D">
        <w:rPr>
          <w:rFonts w:ascii="Century" w:hAnsi="Century" w:cs="Miriam" w:hint="cs"/>
          <w:b/>
          <w:spacing w:val="0"/>
          <w:sz w:val="22"/>
          <w:szCs w:val="24"/>
          <w:rtl/>
        </w:rPr>
        <w:t>דיראני</w:t>
      </w:r>
      <w:r>
        <w:rPr>
          <w:rFonts w:hint="cs"/>
          <w:rtl/>
        </w:rPr>
        <w:t xml:space="preserve">, שלפיה, הכלל כי </w:t>
      </w:r>
      <w:r w:rsidRPr="00C94C06">
        <w:rPr>
          <w:rFonts w:ascii="Century" w:hAnsi="Century" w:cs="Miriam" w:hint="cs"/>
          <w:b/>
          <w:spacing w:val="0"/>
          <w:sz w:val="22"/>
          <w:szCs w:val="24"/>
          <w:rtl/>
        </w:rPr>
        <w:t>'אין מבררים תביעת אויב'</w:t>
      </w:r>
      <w:r w:rsidRPr="0099562D">
        <w:rPr>
          <w:rFonts w:hint="cs"/>
          <w:rtl/>
        </w:rPr>
        <w:t xml:space="preserve"> </w:t>
      </w:r>
      <w:r>
        <w:rPr>
          <w:rFonts w:hint="cs"/>
          <w:rtl/>
        </w:rPr>
        <w:t>הוא חלק מהמשפט הישראלי.</w:t>
      </w:r>
      <w:r w:rsidRPr="0099562D">
        <w:rPr>
          <w:rFonts w:hint="cs"/>
          <w:rtl/>
        </w:rPr>
        <w:t xml:space="preserve"> </w:t>
      </w:r>
      <w:r>
        <w:rPr>
          <w:rFonts w:hint="cs"/>
          <w:rtl/>
        </w:rPr>
        <w:t>אמנם נקבע</w:t>
      </w:r>
      <w:r w:rsidR="009E25B2">
        <w:rPr>
          <w:rFonts w:hint="cs"/>
          <w:rtl/>
        </w:rPr>
        <w:t>,</w:t>
      </w:r>
      <w:r>
        <w:rPr>
          <w:rFonts w:hint="cs"/>
          <w:rtl/>
        </w:rPr>
        <w:t xml:space="preserve"> כי יש להתאים את הכלל לעידן הנוכחי, לנסיבות של לחימה מול ארגון טרור הפועל משטחה של מדינה זרה, אך לצד זאת, תחולתו הגורפת ביחס </w:t>
      </w:r>
      <w:r w:rsidRPr="00E24F59">
        <w:rPr>
          <w:rFonts w:ascii="Century" w:hAnsi="Century" w:cs="Miriam" w:hint="cs"/>
          <w:b/>
          <w:spacing w:val="0"/>
          <w:sz w:val="22"/>
          <w:szCs w:val="24"/>
          <w:rtl/>
        </w:rPr>
        <w:t>לנתיני מדינת אויב</w:t>
      </w:r>
      <w:r w:rsidRPr="00E24F59">
        <w:rPr>
          <w:rFonts w:hint="cs"/>
          <w:rtl/>
        </w:rPr>
        <w:t xml:space="preserve"> </w:t>
      </w:r>
      <w:r>
        <w:rPr>
          <w:rtl/>
        </w:rPr>
        <w:t>–</w:t>
      </w:r>
      <w:r>
        <w:rPr>
          <w:rFonts w:hint="cs"/>
          <w:rtl/>
        </w:rPr>
        <w:t xml:space="preserve"> לא בוטלה, ובוודאי שלא נקבע שם, כי כלל גורף הוא פסול בכל סיטואציה. ביסוד הכלל האמור, עומדת תכלית ברורה, שלא להיטיב ולסייע לאויב או לישות העוינת. תכלית זו, מתקיימת גם בנסיבות של לחימה, אף ללא הכרזת מלחמה פורמאלית, מול ארגון טרור, האוחז בשליטה אפקטיבית, צבאית ואזרחית, על תא השטח שממנו הוא פועל. כפי שציינתי לעיל, סבורני כי מצב הדברים ברצועת עזה, לאחר הכרזתה כ'שטח אויב', דומה יותר, בהקשר זה, ללחימה מול 'מדינת אויב', ולא ללחימה מול ארגון טרור הפועל ממדינה זרה. לפיכך, קיימת הצדקה לקבוע כלל חסינות רחב, שימנע תביעות בנזיקין של תושביה נגד המדינה. ממילא, עמדתי היא כי לא נפל פגם חוקתי בתיקון מספר 8, אשר נועד להתאים את הכלל הארכאי למציאות חיינו; ללחימה מול אויבינו שבעזה.    </w:t>
      </w:r>
    </w:p>
    <w:p w:rsidR="00D512D4" w:rsidRDefault="00D512D4" w:rsidP="002A0AEF">
      <w:pPr>
        <w:pStyle w:val="Ruller41"/>
        <w:spacing w:line="240" w:lineRule="auto"/>
        <w:rPr>
          <w:rtl/>
        </w:rPr>
      </w:pPr>
    </w:p>
    <w:p w:rsidR="00B03137" w:rsidRDefault="00B03137" w:rsidP="002A0AEF">
      <w:pPr>
        <w:pStyle w:val="Ruller41"/>
        <w:spacing w:line="240" w:lineRule="auto"/>
        <w:rPr>
          <w:rtl/>
        </w:rPr>
      </w:pPr>
    </w:p>
    <w:p w:rsidR="00D512D4" w:rsidRPr="00DD7A20" w:rsidRDefault="00D512D4" w:rsidP="000067AF">
      <w:pPr>
        <w:pStyle w:val="6"/>
        <w:rPr>
          <w:rtl/>
        </w:rPr>
      </w:pPr>
      <w:bookmarkStart w:id="58" w:name="_Toc107851364"/>
      <w:r w:rsidRPr="00DD7A20">
        <w:rPr>
          <w:rFonts w:hint="cs"/>
          <w:rtl/>
        </w:rPr>
        <w:t xml:space="preserve">על </w:t>
      </w:r>
      <w:r>
        <w:rPr>
          <w:rFonts w:hint="cs"/>
          <w:rtl/>
        </w:rPr>
        <w:t xml:space="preserve">כוללניות </w:t>
      </w:r>
      <w:r w:rsidRPr="00DD7A20">
        <w:rPr>
          <w:rFonts w:hint="cs"/>
          <w:rtl/>
        </w:rPr>
        <w:t>ומידתיות</w:t>
      </w:r>
      <w:bookmarkEnd w:id="58"/>
    </w:p>
    <w:p w:rsidR="00D512D4" w:rsidRDefault="00D512D4" w:rsidP="009E25B2">
      <w:pPr>
        <w:pStyle w:val="Ruller4"/>
        <w:rPr>
          <w:rtl/>
        </w:rPr>
      </w:pPr>
      <w:r>
        <w:rPr>
          <w:rtl/>
        </w:rPr>
        <w:tab/>
      </w:r>
      <w:r>
        <w:rPr>
          <w:rFonts w:hint="cs"/>
          <w:rtl/>
        </w:rPr>
        <w:t>לטענת המערער, אופיו הגורף והכוללני של ההסדר ה</w:t>
      </w:r>
      <w:r w:rsidR="009E25B2">
        <w:rPr>
          <w:rFonts w:hint="cs"/>
          <w:rtl/>
        </w:rPr>
        <w:t xml:space="preserve">מעוגן </w:t>
      </w:r>
      <w:r>
        <w:rPr>
          <w:rFonts w:hint="cs"/>
          <w:rtl/>
        </w:rPr>
        <w:t xml:space="preserve">בסעיף 5ב(א)(1) לחוק, שאינו מבחין בין פעולה שנעשתה לצורך צבאי או מלחמתי, לבין פעולה שיטורית, אזרחית או אחרת </w:t>
      </w:r>
      <w:r>
        <w:rPr>
          <w:rtl/>
        </w:rPr>
        <w:t>–</w:t>
      </w:r>
      <w:r>
        <w:rPr>
          <w:rFonts w:hint="cs"/>
          <w:rtl/>
        </w:rPr>
        <w:t xml:space="preserve"> הוא כשלעצמו </w:t>
      </w:r>
      <w:r>
        <w:rPr>
          <w:rtl/>
        </w:rPr>
        <w:t>–</w:t>
      </w:r>
      <w:r>
        <w:rPr>
          <w:rFonts w:hint="cs"/>
          <w:rtl/>
        </w:rPr>
        <w:t xml:space="preserve"> הופך את סעיף 5ב(א)(1) לבלתי-חוקתי. אין בידי לקבל טענה זו. </w:t>
      </w:r>
    </w:p>
    <w:p w:rsidR="00D512D4" w:rsidRPr="000C393F" w:rsidRDefault="00D512D4" w:rsidP="002A0AEF">
      <w:pPr>
        <w:pStyle w:val="Ruller41"/>
        <w:spacing w:line="240" w:lineRule="auto"/>
        <w:rPr>
          <w:rtl/>
        </w:rPr>
      </w:pPr>
    </w:p>
    <w:p w:rsidR="00D512D4" w:rsidRDefault="00D512D4" w:rsidP="0093108D">
      <w:pPr>
        <w:pStyle w:val="Ruller41"/>
        <w:rPr>
          <w:rtl/>
        </w:rPr>
      </w:pPr>
      <w:r>
        <w:rPr>
          <w:rtl/>
        </w:rPr>
        <w:tab/>
      </w:r>
      <w:r>
        <w:rPr>
          <w:rFonts w:hint="cs"/>
          <w:rtl/>
        </w:rPr>
        <w:t>אמת נכון הדבר, קביעת כלל גורף, ללא חריגים, חלף בחינה אינדיבידואלית, עשויה בהחלט לעורר, בנסיבות מסוימות, חשד לחוסר מידתיות (</w:t>
      </w:r>
      <w:r w:rsidRPr="008E4811">
        <w:rPr>
          <w:rFonts w:hint="eastAsia"/>
          <w:rtl/>
        </w:rPr>
        <w:t>בג</w:t>
      </w:r>
      <w:r w:rsidRPr="008E4811">
        <w:rPr>
          <w:rtl/>
        </w:rPr>
        <w:t>"</w:t>
      </w:r>
      <w:r w:rsidRPr="008E4811">
        <w:rPr>
          <w:rFonts w:hint="eastAsia"/>
          <w:rtl/>
        </w:rPr>
        <w:t>ץ</w:t>
      </w:r>
      <w:r w:rsidRPr="008E4811">
        <w:rPr>
          <w:rtl/>
        </w:rPr>
        <w:t xml:space="preserve"> 5627/02 </w:t>
      </w:r>
      <w:r w:rsidRPr="008E4811">
        <w:rPr>
          <w:rFonts w:ascii="Century" w:hAnsi="Century" w:cs="Miriam" w:hint="eastAsia"/>
          <w:b/>
          <w:spacing w:val="0"/>
          <w:szCs w:val="24"/>
          <w:rtl/>
        </w:rPr>
        <w:t>סייף</w:t>
      </w:r>
      <w:r w:rsidRPr="008E4811">
        <w:rPr>
          <w:rFonts w:ascii="Century" w:hAnsi="Century" w:cs="Miriam"/>
          <w:b/>
          <w:spacing w:val="0"/>
          <w:szCs w:val="24"/>
          <w:rtl/>
        </w:rPr>
        <w:t xml:space="preserve"> </w:t>
      </w:r>
      <w:r w:rsidRPr="008E4811">
        <w:rPr>
          <w:rFonts w:ascii="Century" w:hAnsi="Century" w:cs="Miriam" w:hint="eastAsia"/>
          <w:b/>
          <w:spacing w:val="0"/>
          <w:szCs w:val="24"/>
          <w:rtl/>
        </w:rPr>
        <w:t>נ</w:t>
      </w:r>
      <w:r w:rsidRPr="008E4811">
        <w:rPr>
          <w:rFonts w:ascii="Century" w:hAnsi="Century" w:cs="Miriam"/>
          <w:b/>
          <w:spacing w:val="0"/>
          <w:szCs w:val="24"/>
          <w:rtl/>
        </w:rPr>
        <w:t xml:space="preserve">' </w:t>
      </w:r>
      <w:r w:rsidRPr="008E4811">
        <w:rPr>
          <w:rFonts w:ascii="Century" w:hAnsi="Century" w:cs="Miriam" w:hint="eastAsia"/>
          <w:b/>
          <w:spacing w:val="0"/>
          <w:szCs w:val="24"/>
          <w:rtl/>
        </w:rPr>
        <w:t>לשכת</w:t>
      </w:r>
      <w:r w:rsidRPr="008E4811">
        <w:rPr>
          <w:rFonts w:ascii="Century" w:hAnsi="Century" w:cs="Miriam"/>
          <w:b/>
          <w:spacing w:val="0"/>
          <w:szCs w:val="24"/>
          <w:rtl/>
        </w:rPr>
        <w:t xml:space="preserve"> </w:t>
      </w:r>
      <w:r w:rsidRPr="008E4811">
        <w:rPr>
          <w:rFonts w:ascii="Century" w:hAnsi="Century" w:cs="Miriam" w:hint="eastAsia"/>
          <w:b/>
          <w:spacing w:val="0"/>
          <w:szCs w:val="24"/>
          <w:rtl/>
        </w:rPr>
        <w:t>העיתונות</w:t>
      </w:r>
      <w:r w:rsidRPr="008E4811">
        <w:rPr>
          <w:rFonts w:ascii="Century" w:hAnsi="Century" w:cs="Miriam"/>
          <w:b/>
          <w:spacing w:val="0"/>
          <w:szCs w:val="24"/>
          <w:rtl/>
        </w:rPr>
        <w:t xml:space="preserve"> </w:t>
      </w:r>
      <w:r w:rsidRPr="008E4811">
        <w:rPr>
          <w:rFonts w:ascii="Century" w:hAnsi="Century" w:cs="Miriam" w:hint="eastAsia"/>
          <w:b/>
          <w:spacing w:val="0"/>
          <w:szCs w:val="24"/>
          <w:rtl/>
        </w:rPr>
        <w:t>הממשלתית</w:t>
      </w:r>
      <w:r w:rsidRPr="008E4811">
        <w:rPr>
          <w:rtl/>
        </w:rPr>
        <w:t xml:space="preserve">, </w:t>
      </w:r>
      <w:r w:rsidRPr="008E4811">
        <w:rPr>
          <w:rFonts w:hint="eastAsia"/>
          <w:rtl/>
        </w:rPr>
        <w:t>פ</w:t>
      </w:r>
      <w:r w:rsidRPr="008E4811">
        <w:rPr>
          <w:rtl/>
        </w:rPr>
        <w:t>"</w:t>
      </w:r>
      <w:r w:rsidRPr="008E4811">
        <w:rPr>
          <w:rFonts w:hint="eastAsia"/>
          <w:rtl/>
        </w:rPr>
        <w:t>ד</w:t>
      </w:r>
      <w:r w:rsidRPr="008E4811">
        <w:rPr>
          <w:rtl/>
        </w:rPr>
        <w:t xml:space="preserve"> </w:t>
      </w:r>
      <w:r w:rsidRPr="008E4811">
        <w:rPr>
          <w:rFonts w:hint="eastAsia"/>
          <w:rtl/>
        </w:rPr>
        <w:t>נח</w:t>
      </w:r>
      <w:r>
        <w:rPr>
          <w:rtl/>
        </w:rPr>
        <w:t>(5</w:t>
      </w:r>
      <w:r>
        <w:rPr>
          <w:rFonts w:hint="cs"/>
          <w:rtl/>
        </w:rPr>
        <w:t>), 70 77 (2004); עניין</w:t>
      </w:r>
      <w:r>
        <w:rPr>
          <w:rFonts w:ascii="Century" w:hAnsi="Century" w:cs="Miriam" w:hint="cs"/>
          <w:b/>
          <w:spacing w:val="0"/>
          <w:szCs w:val="24"/>
          <w:rtl/>
        </w:rPr>
        <w:t xml:space="preserve"> </w:t>
      </w:r>
      <w:r w:rsidRPr="008E4811">
        <w:rPr>
          <w:rFonts w:ascii="Century" w:hAnsi="Century" w:cs="Miriam" w:hint="cs"/>
          <w:b/>
          <w:spacing w:val="0"/>
          <w:szCs w:val="24"/>
          <w:rtl/>
        </w:rPr>
        <w:t>איחוד משפחות</w:t>
      </w:r>
      <w:r>
        <w:rPr>
          <w:rFonts w:hint="cs"/>
          <w:rtl/>
        </w:rPr>
        <w:t xml:space="preserve">, פסקה 70 לפסק הדין של הנשיא </w:t>
      </w:r>
      <w:r w:rsidRPr="008319BE">
        <w:rPr>
          <w:rFonts w:ascii="Century" w:hAnsi="Century" w:cs="Miriam" w:hint="cs"/>
          <w:b/>
          <w:spacing w:val="0"/>
          <w:szCs w:val="24"/>
          <w:rtl/>
        </w:rPr>
        <w:t>ברק</w:t>
      </w:r>
      <w:r w:rsidR="0093108D">
        <w:rPr>
          <w:rFonts w:hint="cs"/>
          <w:rtl/>
        </w:rPr>
        <w:t xml:space="preserve">; </w:t>
      </w:r>
      <w:r>
        <w:rPr>
          <w:rFonts w:hint="cs"/>
          <w:rtl/>
        </w:rPr>
        <w:t xml:space="preserve">פסקה 20 לפסק הדין של השופטת (כתוארה אז) </w:t>
      </w:r>
      <w:r w:rsidRPr="008319BE">
        <w:rPr>
          <w:rFonts w:ascii="Century" w:hAnsi="Century" w:cs="Miriam" w:hint="cs"/>
          <w:b/>
          <w:spacing w:val="0"/>
          <w:szCs w:val="24"/>
          <w:rtl/>
        </w:rPr>
        <w:t>מ' נאור</w:t>
      </w:r>
      <w:r>
        <w:rPr>
          <w:rFonts w:hint="cs"/>
          <w:rtl/>
        </w:rPr>
        <w:t xml:space="preserve">). יחד עם זאת, השאלה האם דבר חקיקה 'חוטא' בחוסר מידתיות, בהיותו גורף יתר על המידה, היא עניין הנתון לשיקול דעת שיפוטי. </w:t>
      </w:r>
      <w:r>
        <w:rPr>
          <w:rFonts w:ascii="FrankRuehl" w:hAnsi="FrankRuehl" w:hint="cs"/>
          <w:color w:val="000000"/>
          <w:sz w:val="28"/>
          <w:rtl/>
        </w:rPr>
        <w:t xml:space="preserve">אכן, </w:t>
      </w:r>
      <w:r w:rsidRPr="002A1F28">
        <w:rPr>
          <w:rFonts w:ascii="Century" w:hAnsi="Century" w:cs="Miriam" w:hint="cs"/>
          <w:b/>
          <w:spacing w:val="0"/>
          <w:szCs w:val="24"/>
          <w:rtl/>
        </w:rPr>
        <w:t>"</w:t>
      </w:r>
      <w:r w:rsidRPr="002A1F28">
        <w:rPr>
          <w:rFonts w:ascii="Century" w:hAnsi="Century" w:cs="Miriam" w:hint="eastAsia"/>
          <w:b/>
          <w:spacing w:val="0"/>
          <w:szCs w:val="24"/>
          <w:rtl/>
        </w:rPr>
        <w:t>לא</w:t>
      </w:r>
      <w:r w:rsidRPr="002A1F28">
        <w:rPr>
          <w:rFonts w:ascii="Century" w:hAnsi="Century" w:cs="Miriam"/>
          <w:b/>
          <w:spacing w:val="0"/>
          <w:szCs w:val="24"/>
          <w:rtl/>
        </w:rPr>
        <w:t xml:space="preserve"> </w:t>
      </w:r>
      <w:r w:rsidRPr="002A1F28">
        <w:rPr>
          <w:rFonts w:ascii="Century" w:hAnsi="Century" w:cs="Miriam" w:hint="eastAsia"/>
          <w:b/>
          <w:spacing w:val="0"/>
          <w:szCs w:val="24"/>
          <w:rtl/>
        </w:rPr>
        <w:t>כל</w:t>
      </w:r>
      <w:r w:rsidRPr="002A1F28">
        <w:rPr>
          <w:rFonts w:ascii="Century" w:hAnsi="Century" w:cs="Miriam"/>
          <w:b/>
          <w:spacing w:val="0"/>
          <w:szCs w:val="24"/>
          <w:rtl/>
        </w:rPr>
        <w:t xml:space="preserve"> </w:t>
      </w:r>
      <w:r w:rsidRPr="002A1F28">
        <w:rPr>
          <w:rFonts w:ascii="Century" w:hAnsi="Century" w:cs="Miriam" w:hint="eastAsia"/>
          <w:b/>
          <w:spacing w:val="0"/>
          <w:szCs w:val="24"/>
          <w:rtl/>
        </w:rPr>
        <w:t>הכללה</w:t>
      </w:r>
      <w:r w:rsidRPr="002A1F28">
        <w:rPr>
          <w:rFonts w:ascii="Century" w:hAnsi="Century" w:cs="Miriam"/>
          <w:b/>
          <w:spacing w:val="0"/>
          <w:szCs w:val="24"/>
          <w:rtl/>
        </w:rPr>
        <w:t xml:space="preserve"> </w:t>
      </w:r>
      <w:r w:rsidRPr="002A1F28">
        <w:rPr>
          <w:rFonts w:ascii="Century" w:hAnsi="Century" w:cs="Miriam" w:hint="eastAsia"/>
          <w:b/>
          <w:spacing w:val="0"/>
          <w:szCs w:val="24"/>
          <w:rtl/>
        </w:rPr>
        <w:t>אינה</w:t>
      </w:r>
      <w:r w:rsidRPr="002A1F28">
        <w:rPr>
          <w:rFonts w:ascii="Century" w:hAnsi="Century" w:cs="Miriam"/>
          <w:b/>
          <w:spacing w:val="0"/>
          <w:szCs w:val="24"/>
          <w:rtl/>
        </w:rPr>
        <w:t xml:space="preserve"> </w:t>
      </w:r>
      <w:r w:rsidRPr="002A1F28">
        <w:rPr>
          <w:rFonts w:ascii="Century" w:hAnsi="Century" w:cs="Miriam" w:hint="eastAsia"/>
          <w:b/>
          <w:spacing w:val="0"/>
          <w:szCs w:val="24"/>
          <w:rtl/>
        </w:rPr>
        <w:t>מוצדקת</w:t>
      </w:r>
      <w:r w:rsidRPr="002A1F28">
        <w:rPr>
          <w:rFonts w:ascii="Century" w:hAnsi="Century" w:cs="Miriam"/>
          <w:b/>
          <w:spacing w:val="0"/>
          <w:szCs w:val="24"/>
          <w:rtl/>
        </w:rPr>
        <w:t xml:space="preserve">. </w:t>
      </w:r>
      <w:r w:rsidRPr="002A1F28">
        <w:rPr>
          <w:rFonts w:ascii="Century" w:hAnsi="Century" w:cs="Miriam" w:hint="eastAsia"/>
          <w:b/>
          <w:spacing w:val="0"/>
          <w:szCs w:val="24"/>
          <w:rtl/>
        </w:rPr>
        <w:t>זהו</w:t>
      </w:r>
      <w:r w:rsidRPr="002A1F28">
        <w:rPr>
          <w:rFonts w:ascii="Century" w:hAnsi="Century" w:cs="Miriam"/>
          <w:b/>
          <w:spacing w:val="0"/>
          <w:szCs w:val="24"/>
          <w:rtl/>
        </w:rPr>
        <w:t xml:space="preserve"> </w:t>
      </w:r>
      <w:r w:rsidRPr="002A1F28">
        <w:rPr>
          <w:rFonts w:ascii="Century" w:hAnsi="Century" w:cs="Miriam" w:hint="eastAsia"/>
          <w:b/>
          <w:spacing w:val="0"/>
          <w:szCs w:val="24"/>
          <w:rtl/>
        </w:rPr>
        <w:t>עניין</w:t>
      </w:r>
      <w:r w:rsidRPr="002A1F28">
        <w:rPr>
          <w:rFonts w:ascii="Century" w:hAnsi="Century" w:cs="Miriam"/>
          <w:b/>
          <w:spacing w:val="0"/>
          <w:szCs w:val="24"/>
          <w:rtl/>
        </w:rPr>
        <w:t xml:space="preserve"> </w:t>
      </w:r>
      <w:r w:rsidRPr="002A1F28">
        <w:rPr>
          <w:rFonts w:ascii="Century" w:hAnsi="Century" w:cs="Miriam" w:hint="eastAsia"/>
          <w:b/>
          <w:spacing w:val="0"/>
          <w:szCs w:val="24"/>
          <w:rtl/>
        </w:rPr>
        <w:t>לשיקול</w:t>
      </w:r>
      <w:r w:rsidRPr="002A1F28">
        <w:rPr>
          <w:rFonts w:ascii="Century" w:hAnsi="Century" w:cs="Miriam"/>
          <w:b/>
          <w:spacing w:val="0"/>
          <w:szCs w:val="24"/>
          <w:rtl/>
        </w:rPr>
        <w:t xml:space="preserve"> </w:t>
      </w:r>
      <w:r w:rsidRPr="002A1F28">
        <w:rPr>
          <w:rFonts w:ascii="Century" w:hAnsi="Century" w:cs="Miriam" w:hint="eastAsia"/>
          <w:b/>
          <w:spacing w:val="0"/>
          <w:szCs w:val="24"/>
          <w:rtl/>
        </w:rPr>
        <w:t>דעת</w:t>
      </w:r>
      <w:r w:rsidRPr="002A1F28">
        <w:rPr>
          <w:rFonts w:ascii="Century" w:hAnsi="Century" w:cs="Miriam"/>
          <w:b/>
          <w:spacing w:val="0"/>
          <w:szCs w:val="24"/>
          <w:rtl/>
        </w:rPr>
        <w:t xml:space="preserve"> </w:t>
      </w:r>
      <w:r w:rsidRPr="002A1F28">
        <w:rPr>
          <w:rFonts w:ascii="Century" w:hAnsi="Century" w:cs="Miriam" w:hint="eastAsia"/>
          <w:b/>
          <w:spacing w:val="0"/>
          <w:szCs w:val="24"/>
          <w:rtl/>
        </w:rPr>
        <w:t>שיפוטי</w:t>
      </w:r>
      <w:r>
        <w:rPr>
          <w:rFonts w:ascii="Century" w:hAnsi="Century" w:cs="Miriam" w:hint="cs"/>
          <w:b/>
          <w:spacing w:val="0"/>
          <w:szCs w:val="24"/>
          <w:rtl/>
        </w:rPr>
        <w:t>"</w:t>
      </w:r>
      <w:r>
        <w:rPr>
          <w:rFonts w:ascii="FrankRuehl" w:hAnsi="FrankRuehl" w:hint="cs"/>
          <w:color w:val="000000"/>
          <w:sz w:val="28"/>
          <w:rtl/>
        </w:rPr>
        <w:t xml:space="preserve">; </w:t>
      </w:r>
      <w:r>
        <w:rPr>
          <w:rFonts w:hint="cs"/>
          <w:rtl/>
        </w:rPr>
        <w:t xml:space="preserve">כלל גורף עשוי להיות מוצדק בנסיבות מסוימות: </w:t>
      </w:r>
      <w:r w:rsidRPr="008E4811">
        <w:rPr>
          <w:rFonts w:ascii="Century" w:hAnsi="Century" w:cs="Miriam" w:hint="cs"/>
          <w:b/>
          <w:spacing w:val="0"/>
          <w:szCs w:val="24"/>
          <w:rtl/>
        </w:rPr>
        <w:t>"</w:t>
      </w:r>
      <w:r w:rsidRPr="008E4811">
        <w:rPr>
          <w:rFonts w:ascii="Century" w:hAnsi="Century" w:cs="Miriam"/>
          <w:b/>
          <w:spacing w:val="0"/>
          <w:szCs w:val="24"/>
          <w:rtl/>
        </w:rPr>
        <w:t>יתכנו מצבים בהם הבדיקה האינדיבידואלית לא תגשים את תכליתו הראויה של החוק, ויש לנקוט באיסור גורף</w:t>
      </w:r>
      <w:r w:rsidRPr="008E4811">
        <w:rPr>
          <w:rFonts w:ascii="Century" w:hAnsi="Century" w:cs="Miriam" w:hint="cs"/>
          <w:b/>
          <w:spacing w:val="0"/>
          <w:szCs w:val="24"/>
          <w:rtl/>
        </w:rPr>
        <w:t>"</w:t>
      </w:r>
      <w:r>
        <w:rPr>
          <w:rFonts w:ascii="FrankRuehl" w:hAnsi="FrankRuehl" w:hint="cs"/>
          <w:color w:val="000000"/>
          <w:sz w:val="28"/>
          <w:rtl/>
        </w:rPr>
        <w:t xml:space="preserve"> (עניין </w:t>
      </w:r>
      <w:r w:rsidRPr="008E4811">
        <w:rPr>
          <w:rFonts w:ascii="Century" w:hAnsi="Century" w:cs="Miriam" w:hint="cs"/>
          <w:b/>
          <w:spacing w:val="0"/>
          <w:szCs w:val="24"/>
          <w:rtl/>
        </w:rPr>
        <w:t>איחוד משפחות</w:t>
      </w:r>
      <w:r>
        <w:rPr>
          <w:rFonts w:ascii="FrankRuehl" w:hAnsi="FrankRuehl" w:hint="cs"/>
          <w:color w:val="000000"/>
          <w:sz w:val="28"/>
          <w:rtl/>
        </w:rPr>
        <w:t xml:space="preserve">, פסקה 69 לפסק הדין של הנשיא </w:t>
      </w:r>
      <w:r w:rsidRPr="00B51455">
        <w:rPr>
          <w:rFonts w:ascii="Century" w:hAnsi="Century" w:cs="Miriam" w:hint="cs"/>
          <w:b/>
          <w:spacing w:val="0"/>
          <w:szCs w:val="24"/>
          <w:rtl/>
        </w:rPr>
        <w:t>ברק</w:t>
      </w:r>
      <w:r>
        <w:rPr>
          <w:rFonts w:ascii="FrankRuehl" w:hAnsi="FrankRuehl" w:hint="cs"/>
          <w:color w:val="000000"/>
          <w:sz w:val="28"/>
          <w:rtl/>
        </w:rPr>
        <w:t xml:space="preserve">). </w:t>
      </w:r>
      <w:r>
        <w:rPr>
          <w:rFonts w:hint="cs"/>
          <w:rtl/>
        </w:rPr>
        <w:t xml:space="preserve">לשון אחר: הקביעה כי כלל גורף אינו מידתי </w:t>
      </w:r>
      <w:r>
        <w:rPr>
          <w:rtl/>
        </w:rPr>
        <w:t>–</w:t>
      </w:r>
      <w:r>
        <w:rPr>
          <w:rFonts w:hint="cs"/>
          <w:rtl/>
        </w:rPr>
        <w:t xml:space="preserve"> היא עצמה איננה קביעה גורפת. ההכרה במידתיות הכלל הגורף, מקום שבו התועלת ה</w:t>
      </w:r>
      <w:r w:rsidR="009E25B2">
        <w:rPr>
          <w:rFonts w:hint="cs"/>
          <w:rtl/>
        </w:rPr>
        <w:t>צומחת</w:t>
      </w:r>
      <w:r>
        <w:rPr>
          <w:rFonts w:hint="cs"/>
          <w:rtl/>
        </w:rPr>
        <w:t xml:space="preserve"> ממנו, </w:t>
      </w:r>
      <w:r w:rsidR="00C94C06">
        <w:rPr>
          <w:rFonts w:hint="cs"/>
          <w:rtl/>
        </w:rPr>
        <w:t>רבּ</w:t>
      </w:r>
      <w:r>
        <w:rPr>
          <w:rFonts w:hint="cs"/>
          <w:rtl/>
        </w:rPr>
        <w:t xml:space="preserve">ה מן הנזק שנגרם על-ידו (ועל כך </w:t>
      </w:r>
      <w:r w:rsidR="009E25B2">
        <w:rPr>
          <w:rFonts w:hint="cs"/>
          <w:rtl/>
        </w:rPr>
        <w:t>א</w:t>
      </w:r>
      <w:r>
        <w:rPr>
          <w:rFonts w:hint="cs"/>
          <w:rtl/>
        </w:rPr>
        <w:t xml:space="preserve">רחיב להלן, </w:t>
      </w:r>
      <w:r w:rsidR="009E25B2">
        <w:rPr>
          <w:rFonts w:hint="cs"/>
          <w:rtl/>
        </w:rPr>
        <w:t>בב</w:t>
      </w:r>
      <w:r>
        <w:rPr>
          <w:rFonts w:hint="cs"/>
          <w:rtl/>
        </w:rPr>
        <w:t>חינת קיומה של המידתיות במובנה הצר), מוכרת גם ביחס למקרים נוספים. המשפט מכיר בכך שלעיתים, הבירור האינדיבידואלי עשוי להיות כרוך בעלויות משמעותיות, אשר נזקן הכולל, יהא גבוה מן התועלת שהבדיקה הפרטנית תביא עמה:</w:t>
      </w:r>
    </w:p>
    <w:p w:rsidR="00D512D4" w:rsidRDefault="00D512D4" w:rsidP="00D512D4">
      <w:pPr>
        <w:pStyle w:val="Ruller41"/>
        <w:rPr>
          <w:rtl/>
        </w:rPr>
      </w:pPr>
    </w:p>
    <w:p w:rsidR="00D512D4" w:rsidRPr="00F63ECF" w:rsidRDefault="00D512D4" w:rsidP="00905E8C">
      <w:pPr>
        <w:pStyle w:val="Ruller5"/>
        <w:spacing w:line="360" w:lineRule="auto"/>
      </w:pPr>
      <w:r w:rsidRPr="000C393F">
        <w:rPr>
          <w:rFonts w:ascii="Century" w:hAnsi="Century" w:cs="Miriam"/>
          <w:b/>
          <w:spacing w:val="0"/>
          <w:szCs w:val="24"/>
          <w:rtl/>
        </w:rPr>
        <w:t>"</w:t>
      </w:r>
      <w:r w:rsidRPr="000C393F">
        <w:rPr>
          <w:rFonts w:ascii="Century" w:hAnsi="Century" w:cs="Miriam" w:hint="eastAsia"/>
          <w:b/>
          <w:spacing w:val="0"/>
          <w:szCs w:val="24"/>
          <w:rtl/>
        </w:rPr>
        <w:t>אין</w:t>
      </w:r>
      <w:r w:rsidRPr="000C393F">
        <w:rPr>
          <w:rFonts w:ascii="Century" w:hAnsi="Century" w:cs="Miriam"/>
          <w:b/>
          <w:spacing w:val="0"/>
          <w:szCs w:val="24"/>
          <w:rtl/>
        </w:rPr>
        <w:t xml:space="preserve"> </w:t>
      </w:r>
      <w:r w:rsidRPr="000C393F">
        <w:rPr>
          <w:rFonts w:ascii="Century" w:hAnsi="Century" w:cs="Miriam" w:hint="eastAsia"/>
          <w:b/>
          <w:spacing w:val="0"/>
          <w:szCs w:val="24"/>
          <w:rtl/>
        </w:rPr>
        <w:t>התורה</w:t>
      </w:r>
      <w:r w:rsidRPr="000C393F">
        <w:rPr>
          <w:rFonts w:ascii="Century" w:hAnsi="Century" w:cs="Miriam"/>
          <w:b/>
          <w:spacing w:val="0"/>
          <w:szCs w:val="24"/>
          <w:rtl/>
        </w:rPr>
        <w:t xml:space="preserve"> </w:t>
      </w:r>
      <w:r w:rsidRPr="000C393F">
        <w:rPr>
          <w:rFonts w:ascii="Century" w:hAnsi="Century" w:cs="Miriam" w:hint="eastAsia"/>
          <w:b/>
          <w:spacing w:val="0"/>
          <w:szCs w:val="24"/>
          <w:rtl/>
        </w:rPr>
        <w:t>מביטה</w:t>
      </w:r>
      <w:r w:rsidRPr="000C393F">
        <w:rPr>
          <w:rFonts w:ascii="Century" w:hAnsi="Century" w:cs="Miriam"/>
          <w:b/>
          <w:spacing w:val="0"/>
          <w:szCs w:val="24"/>
          <w:rtl/>
        </w:rPr>
        <w:t xml:space="preserve"> </w:t>
      </w:r>
      <w:r w:rsidRPr="000C393F">
        <w:rPr>
          <w:rFonts w:ascii="Century" w:hAnsi="Century" w:cs="Miriam" w:hint="eastAsia"/>
          <w:b/>
          <w:spacing w:val="0"/>
          <w:szCs w:val="24"/>
          <w:rtl/>
        </w:rPr>
        <w:t>על</w:t>
      </w:r>
      <w:r w:rsidRPr="000C393F">
        <w:rPr>
          <w:rFonts w:ascii="Century" w:hAnsi="Century" w:cs="Miriam"/>
          <w:b/>
          <w:spacing w:val="0"/>
          <w:szCs w:val="24"/>
          <w:rtl/>
        </w:rPr>
        <w:t xml:space="preserve"> </w:t>
      </w:r>
      <w:r w:rsidRPr="000C393F">
        <w:rPr>
          <w:rFonts w:ascii="Century" w:hAnsi="Century" w:cs="Miriam" w:hint="eastAsia"/>
          <w:b/>
          <w:spacing w:val="0"/>
          <w:szCs w:val="24"/>
          <w:rtl/>
        </w:rPr>
        <w:t>הבודד</w:t>
      </w:r>
      <w:r w:rsidRPr="000C393F">
        <w:rPr>
          <w:rFonts w:ascii="Century" w:hAnsi="Century" w:cs="Miriam"/>
          <w:b/>
          <w:spacing w:val="0"/>
          <w:szCs w:val="24"/>
          <w:rtl/>
        </w:rPr>
        <w:t xml:space="preserve">, </w:t>
      </w:r>
      <w:r w:rsidRPr="000C393F">
        <w:rPr>
          <w:rFonts w:ascii="Century" w:hAnsi="Century" w:cs="Miriam" w:hint="eastAsia"/>
          <w:b/>
          <w:spacing w:val="0"/>
          <w:szCs w:val="24"/>
          <w:rtl/>
        </w:rPr>
        <w:t>ולא</w:t>
      </w:r>
      <w:r w:rsidRPr="000C393F">
        <w:rPr>
          <w:rFonts w:ascii="Century" w:hAnsi="Century" w:cs="Miriam"/>
          <w:b/>
          <w:spacing w:val="0"/>
          <w:szCs w:val="24"/>
          <w:rtl/>
        </w:rPr>
        <w:t xml:space="preserve"> </w:t>
      </w:r>
      <w:r w:rsidRPr="000C393F">
        <w:rPr>
          <w:rFonts w:ascii="Century" w:hAnsi="Century" w:cs="Miriam" w:hint="eastAsia"/>
          <w:b/>
          <w:spacing w:val="0"/>
          <w:szCs w:val="24"/>
          <w:rtl/>
        </w:rPr>
        <w:t>יהיה</w:t>
      </w:r>
      <w:r w:rsidRPr="000C393F">
        <w:rPr>
          <w:rFonts w:ascii="Century" w:hAnsi="Century" w:cs="Miriam"/>
          <w:b/>
          <w:spacing w:val="0"/>
          <w:szCs w:val="24"/>
          <w:rtl/>
        </w:rPr>
        <w:t xml:space="preserve"> </w:t>
      </w:r>
      <w:r w:rsidRPr="000C393F">
        <w:rPr>
          <w:rFonts w:ascii="Century" w:hAnsi="Century" w:cs="Miriam" w:hint="eastAsia"/>
          <w:b/>
          <w:spacing w:val="0"/>
          <w:szCs w:val="24"/>
          <w:rtl/>
        </w:rPr>
        <w:t>הציווי</w:t>
      </w:r>
      <w:r w:rsidRPr="000C393F">
        <w:rPr>
          <w:rFonts w:ascii="Century" w:hAnsi="Century" w:cs="Miriam"/>
          <w:b/>
          <w:spacing w:val="0"/>
          <w:szCs w:val="24"/>
          <w:rtl/>
        </w:rPr>
        <w:t xml:space="preserve"> </w:t>
      </w:r>
      <w:r w:rsidRPr="000C393F">
        <w:rPr>
          <w:rFonts w:ascii="Century" w:hAnsi="Century" w:cs="Miriam" w:hint="eastAsia"/>
          <w:b/>
          <w:spacing w:val="0"/>
          <w:szCs w:val="24"/>
          <w:rtl/>
        </w:rPr>
        <w:t>כפי</w:t>
      </w:r>
      <w:r w:rsidRPr="000C393F">
        <w:rPr>
          <w:rFonts w:ascii="Century" w:hAnsi="Century" w:cs="Miriam"/>
          <w:b/>
          <w:spacing w:val="0"/>
          <w:szCs w:val="24"/>
          <w:rtl/>
        </w:rPr>
        <w:t xml:space="preserve"> </w:t>
      </w:r>
      <w:r w:rsidRPr="000C393F">
        <w:rPr>
          <w:rFonts w:ascii="Century" w:hAnsi="Century" w:cs="Miriam" w:hint="eastAsia"/>
          <w:b/>
          <w:spacing w:val="0"/>
          <w:szCs w:val="24"/>
          <w:rtl/>
        </w:rPr>
        <w:t>הדבר</w:t>
      </w:r>
      <w:r w:rsidRPr="000C393F">
        <w:rPr>
          <w:rFonts w:ascii="Century" w:hAnsi="Century" w:cs="Miriam"/>
          <w:b/>
          <w:spacing w:val="0"/>
          <w:szCs w:val="24"/>
          <w:rtl/>
        </w:rPr>
        <w:t xml:space="preserve"> </w:t>
      </w:r>
      <w:r w:rsidRPr="000C393F">
        <w:rPr>
          <w:rFonts w:ascii="Century" w:hAnsi="Century" w:cs="Miriam" w:hint="eastAsia"/>
          <w:b/>
          <w:spacing w:val="0"/>
          <w:szCs w:val="24"/>
          <w:rtl/>
        </w:rPr>
        <w:t>המועט</w:t>
      </w:r>
      <w:r w:rsidRPr="000C393F">
        <w:rPr>
          <w:rFonts w:ascii="Century" w:hAnsi="Century" w:cs="Miriam"/>
          <w:b/>
          <w:spacing w:val="0"/>
          <w:szCs w:val="24"/>
          <w:rtl/>
        </w:rPr>
        <w:t xml:space="preserve">, </w:t>
      </w:r>
      <w:r w:rsidRPr="000C393F">
        <w:rPr>
          <w:rFonts w:ascii="Century" w:hAnsi="Century" w:cs="Miriam" w:hint="eastAsia"/>
          <w:b/>
          <w:spacing w:val="0"/>
          <w:szCs w:val="24"/>
          <w:rtl/>
        </w:rPr>
        <w:t>אלא</w:t>
      </w:r>
      <w:r w:rsidRPr="000C393F">
        <w:rPr>
          <w:rFonts w:ascii="Century" w:hAnsi="Century" w:cs="Miriam"/>
          <w:b/>
          <w:spacing w:val="0"/>
          <w:szCs w:val="24"/>
          <w:rtl/>
        </w:rPr>
        <w:t xml:space="preserve"> </w:t>
      </w:r>
      <w:r w:rsidRPr="000C393F">
        <w:rPr>
          <w:rFonts w:ascii="Century" w:hAnsi="Century" w:cs="Miriam" w:hint="eastAsia"/>
          <w:b/>
          <w:spacing w:val="0"/>
          <w:szCs w:val="24"/>
          <w:rtl/>
        </w:rPr>
        <w:t>כל</w:t>
      </w:r>
      <w:r w:rsidRPr="000C393F">
        <w:rPr>
          <w:rFonts w:ascii="Century" w:hAnsi="Century" w:cs="Miriam"/>
          <w:b/>
          <w:spacing w:val="0"/>
          <w:szCs w:val="24"/>
          <w:rtl/>
        </w:rPr>
        <w:t xml:space="preserve"> </w:t>
      </w:r>
      <w:r w:rsidRPr="000C393F">
        <w:rPr>
          <w:rFonts w:ascii="Century" w:hAnsi="Century" w:cs="Miriam" w:hint="eastAsia"/>
          <w:b/>
          <w:spacing w:val="0"/>
          <w:szCs w:val="24"/>
          <w:rtl/>
        </w:rPr>
        <w:t>מה</w:t>
      </w:r>
      <w:r w:rsidRPr="000C393F">
        <w:rPr>
          <w:rFonts w:ascii="Century" w:hAnsi="Century" w:cs="Miriam"/>
          <w:b/>
          <w:spacing w:val="0"/>
          <w:szCs w:val="24"/>
          <w:rtl/>
        </w:rPr>
        <w:t xml:space="preserve"> </w:t>
      </w:r>
      <w:r w:rsidRPr="000C393F">
        <w:rPr>
          <w:rFonts w:ascii="Century" w:hAnsi="Century" w:cs="Miriam" w:hint="eastAsia"/>
          <w:b/>
          <w:spacing w:val="0"/>
          <w:szCs w:val="24"/>
          <w:rtl/>
        </w:rPr>
        <w:t>שרצוי</w:t>
      </w:r>
      <w:r w:rsidRPr="000C393F">
        <w:rPr>
          <w:rFonts w:ascii="Century" w:hAnsi="Century" w:cs="Miriam"/>
          <w:b/>
          <w:spacing w:val="0"/>
          <w:szCs w:val="24"/>
          <w:rtl/>
        </w:rPr>
        <w:t xml:space="preserve"> </w:t>
      </w:r>
      <w:r w:rsidRPr="000C393F">
        <w:rPr>
          <w:rFonts w:ascii="Century" w:hAnsi="Century" w:cs="Miriam" w:hint="eastAsia"/>
          <w:b/>
          <w:spacing w:val="0"/>
          <w:szCs w:val="24"/>
          <w:rtl/>
        </w:rPr>
        <w:t>להשיגו</w:t>
      </w:r>
      <w:r w:rsidRPr="000C393F">
        <w:rPr>
          <w:rFonts w:ascii="Century" w:hAnsi="Century" w:cs="Miriam"/>
          <w:b/>
          <w:spacing w:val="0"/>
          <w:szCs w:val="24"/>
          <w:rtl/>
        </w:rPr>
        <w:t xml:space="preserve">, </w:t>
      </w:r>
      <w:r w:rsidRPr="000C393F">
        <w:rPr>
          <w:rFonts w:ascii="Century" w:hAnsi="Century" w:cs="Miriam" w:hint="eastAsia"/>
          <w:b/>
          <w:spacing w:val="0"/>
          <w:szCs w:val="24"/>
          <w:rtl/>
        </w:rPr>
        <w:t>השקפה</w:t>
      </w:r>
      <w:r w:rsidRPr="000C393F">
        <w:rPr>
          <w:rFonts w:ascii="Century" w:hAnsi="Century" w:cs="Miriam"/>
          <w:b/>
          <w:spacing w:val="0"/>
          <w:szCs w:val="24"/>
          <w:rtl/>
        </w:rPr>
        <w:t xml:space="preserve"> </w:t>
      </w:r>
      <w:r w:rsidRPr="000C393F">
        <w:rPr>
          <w:rFonts w:ascii="Century" w:hAnsi="Century" w:cs="Miriam" w:hint="eastAsia"/>
          <w:b/>
          <w:spacing w:val="0"/>
          <w:szCs w:val="24"/>
          <w:rtl/>
        </w:rPr>
        <w:t>או</w:t>
      </w:r>
      <w:r w:rsidRPr="000C393F">
        <w:rPr>
          <w:rFonts w:ascii="Century" w:hAnsi="Century" w:cs="Miriam"/>
          <w:b/>
          <w:spacing w:val="0"/>
          <w:szCs w:val="24"/>
          <w:rtl/>
        </w:rPr>
        <w:t xml:space="preserve"> </w:t>
      </w:r>
      <w:r w:rsidRPr="000C393F">
        <w:rPr>
          <w:rFonts w:ascii="Century" w:hAnsi="Century" w:cs="Miriam" w:hint="eastAsia"/>
          <w:b/>
          <w:spacing w:val="0"/>
          <w:szCs w:val="24"/>
          <w:rtl/>
        </w:rPr>
        <w:t>מידה</w:t>
      </w:r>
      <w:r w:rsidRPr="000C393F">
        <w:rPr>
          <w:rFonts w:ascii="Century" w:hAnsi="Century" w:cs="Miriam"/>
          <w:b/>
          <w:spacing w:val="0"/>
          <w:szCs w:val="24"/>
          <w:rtl/>
        </w:rPr>
        <w:t xml:space="preserve"> </w:t>
      </w:r>
      <w:r w:rsidRPr="000C393F">
        <w:rPr>
          <w:rFonts w:ascii="Century" w:hAnsi="Century" w:cs="Miriam" w:hint="eastAsia"/>
          <w:b/>
          <w:spacing w:val="0"/>
          <w:szCs w:val="24"/>
          <w:rtl/>
        </w:rPr>
        <w:t>או</w:t>
      </w:r>
      <w:r w:rsidRPr="000C393F">
        <w:rPr>
          <w:rFonts w:ascii="Century" w:hAnsi="Century" w:cs="Miriam"/>
          <w:b/>
          <w:spacing w:val="0"/>
          <w:szCs w:val="24"/>
          <w:rtl/>
        </w:rPr>
        <w:t xml:space="preserve"> </w:t>
      </w:r>
      <w:r w:rsidRPr="000C393F">
        <w:rPr>
          <w:rFonts w:ascii="Century" w:hAnsi="Century" w:cs="Miriam" w:hint="eastAsia"/>
          <w:b/>
          <w:spacing w:val="0"/>
          <w:szCs w:val="24"/>
          <w:rtl/>
        </w:rPr>
        <w:t>מעשה</w:t>
      </w:r>
      <w:r w:rsidRPr="000C393F">
        <w:rPr>
          <w:rFonts w:ascii="Century" w:hAnsi="Century" w:cs="Miriam"/>
          <w:b/>
          <w:spacing w:val="0"/>
          <w:szCs w:val="24"/>
          <w:rtl/>
        </w:rPr>
        <w:t xml:space="preserve"> </w:t>
      </w:r>
      <w:r w:rsidRPr="000C393F">
        <w:rPr>
          <w:rFonts w:ascii="Century" w:hAnsi="Century" w:cs="Miriam" w:hint="eastAsia"/>
          <w:b/>
          <w:spacing w:val="0"/>
          <w:szCs w:val="24"/>
          <w:rtl/>
        </w:rPr>
        <w:t>מועיל</w:t>
      </w:r>
      <w:r w:rsidRPr="000C393F">
        <w:rPr>
          <w:rFonts w:ascii="Century" w:hAnsi="Century" w:cs="Miriam"/>
          <w:b/>
          <w:spacing w:val="0"/>
          <w:szCs w:val="24"/>
          <w:rtl/>
        </w:rPr>
        <w:t xml:space="preserve">, </w:t>
      </w:r>
      <w:r w:rsidRPr="000C393F">
        <w:rPr>
          <w:rFonts w:ascii="Century" w:hAnsi="Century" w:cs="Miriam" w:hint="eastAsia"/>
          <w:b/>
          <w:spacing w:val="0"/>
          <w:szCs w:val="24"/>
          <w:rtl/>
        </w:rPr>
        <w:t>אין</w:t>
      </w:r>
      <w:r w:rsidRPr="000C393F">
        <w:rPr>
          <w:rFonts w:ascii="Century" w:hAnsi="Century" w:cs="Miriam"/>
          <w:b/>
          <w:spacing w:val="0"/>
          <w:szCs w:val="24"/>
          <w:rtl/>
        </w:rPr>
        <w:t xml:space="preserve"> </w:t>
      </w:r>
      <w:r w:rsidRPr="000C393F">
        <w:rPr>
          <w:rFonts w:ascii="Century" w:hAnsi="Century" w:cs="Miriam" w:hint="eastAsia"/>
          <w:b/>
          <w:spacing w:val="0"/>
          <w:szCs w:val="24"/>
          <w:rtl/>
        </w:rPr>
        <w:t>מביטים</w:t>
      </w:r>
      <w:r w:rsidRPr="000C393F">
        <w:rPr>
          <w:rFonts w:ascii="Century" w:hAnsi="Century" w:cs="Miriam"/>
          <w:b/>
          <w:spacing w:val="0"/>
          <w:szCs w:val="24"/>
          <w:rtl/>
        </w:rPr>
        <w:t xml:space="preserve"> </w:t>
      </w:r>
      <w:r w:rsidRPr="000C393F">
        <w:rPr>
          <w:rFonts w:ascii="Century" w:hAnsi="Century" w:cs="Miriam" w:hint="eastAsia"/>
          <w:b/>
          <w:spacing w:val="0"/>
          <w:szCs w:val="24"/>
          <w:rtl/>
        </w:rPr>
        <w:t>בו</w:t>
      </w:r>
      <w:r w:rsidRPr="000C393F">
        <w:rPr>
          <w:rFonts w:ascii="Century" w:hAnsi="Century" w:cs="Miriam"/>
          <w:b/>
          <w:spacing w:val="0"/>
          <w:szCs w:val="24"/>
          <w:rtl/>
        </w:rPr>
        <w:t xml:space="preserve"> </w:t>
      </w:r>
      <w:r w:rsidRPr="000C393F">
        <w:rPr>
          <w:rFonts w:ascii="Century" w:hAnsi="Century" w:cs="Miriam" w:hint="eastAsia"/>
          <w:b/>
          <w:spacing w:val="0"/>
          <w:szCs w:val="24"/>
          <w:rtl/>
        </w:rPr>
        <w:t>אלא</w:t>
      </w:r>
      <w:r w:rsidRPr="000C393F">
        <w:rPr>
          <w:rFonts w:ascii="Century" w:hAnsi="Century" w:cs="Miriam"/>
          <w:b/>
          <w:spacing w:val="0"/>
          <w:szCs w:val="24"/>
          <w:rtl/>
        </w:rPr>
        <w:t xml:space="preserve"> </w:t>
      </w:r>
      <w:r w:rsidRPr="000C393F">
        <w:rPr>
          <w:rFonts w:ascii="Century" w:hAnsi="Century" w:cs="Miriam" w:hint="eastAsia"/>
          <w:b/>
          <w:spacing w:val="0"/>
          <w:szCs w:val="24"/>
          <w:rtl/>
        </w:rPr>
        <w:t>לדברים</w:t>
      </w:r>
      <w:r w:rsidRPr="000C393F">
        <w:rPr>
          <w:rFonts w:ascii="Century" w:hAnsi="Century" w:cs="Miriam"/>
          <w:b/>
          <w:spacing w:val="0"/>
          <w:szCs w:val="24"/>
          <w:rtl/>
        </w:rPr>
        <w:t xml:space="preserve"> </w:t>
      </w:r>
      <w:r w:rsidRPr="000C393F">
        <w:rPr>
          <w:rFonts w:ascii="Century" w:hAnsi="Century" w:cs="Miriam" w:hint="eastAsia"/>
          <w:b/>
          <w:spacing w:val="0"/>
          <w:szCs w:val="24"/>
          <w:rtl/>
        </w:rPr>
        <w:t>שהם</w:t>
      </w:r>
      <w:r w:rsidRPr="000C393F">
        <w:rPr>
          <w:rFonts w:ascii="Century" w:hAnsi="Century" w:cs="Miriam"/>
          <w:b/>
          <w:spacing w:val="0"/>
          <w:szCs w:val="24"/>
          <w:rtl/>
        </w:rPr>
        <w:t xml:space="preserve"> </w:t>
      </w:r>
      <w:r w:rsidRPr="000C393F">
        <w:rPr>
          <w:rFonts w:ascii="Century" w:hAnsi="Century" w:cs="Miriam" w:hint="eastAsia"/>
          <w:b/>
          <w:spacing w:val="0"/>
          <w:szCs w:val="24"/>
          <w:rtl/>
        </w:rPr>
        <w:t>הרוב</w:t>
      </w:r>
      <w:r w:rsidRPr="000C393F">
        <w:rPr>
          <w:rFonts w:ascii="Century" w:hAnsi="Century" w:cs="Miriam"/>
          <w:b/>
          <w:spacing w:val="0"/>
          <w:szCs w:val="24"/>
          <w:rtl/>
        </w:rPr>
        <w:t xml:space="preserve">. </w:t>
      </w:r>
      <w:r w:rsidRPr="000C393F">
        <w:rPr>
          <w:rFonts w:ascii="Century" w:hAnsi="Century" w:cs="Miriam" w:hint="eastAsia"/>
          <w:b/>
          <w:spacing w:val="0"/>
          <w:szCs w:val="24"/>
          <w:rtl/>
        </w:rPr>
        <w:t>ואין</w:t>
      </w:r>
      <w:r w:rsidRPr="000C393F">
        <w:rPr>
          <w:rFonts w:ascii="Century" w:hAnsi="Century" w:cs="Miriam"/>
          <w:b/>
          <w:spacing w:val="0"/>
          <w:szCs w:val="24"/>
          <w:rtl/>
        </w:rPr>
        <w:t xml:space="preserve"> </w:t>
      </w:r>
      <w:r w:rsidRPr="000C393F">
        <w:rPr>
          <w:rFonts w:ascii="Century" w:hAnsi="Century" w:cs="Miriam" w:hint="eastAsia"/>
          <w:b/>
          <w:spacing w:val="0"/>
          <w:szCs w:val="24"/>
          <w:rtl/>
        </w:rPr>
        <w:t>שמים</w:t>
      </w:r>
      <w:r w:rsidRPr="000C393F">
        <w:rPr>
          <w:rFonts w:ascii="Century" w:hAnsi="Century" w:cs="Miriam"/>
          <w:b/>
          <w:spacing w:val="0"/>
          <w:szCs w:val="24"/>
          <w:rtl/>
        </w:rPr>
        <w:t xml:space="preserve"> </w:t>
      </w:r>
      <w:r w:rsidRPr="000C393F">
        <w:rPr>
          <w:rFonts w:ascii="Century" w:hAnsi="Century" w:cs="Miriam" w:hint="eastAsia"/>
          <w:b/>
          <w:spacing w:val="0"/>
          <w:szCs w:val="24"/>
          <w:rtl/>
        </w:rPr>
        <w:t>לב</w:t>
      </w:r>
      <w:r w:rsidRPr="000C393F">
        <w:rPr>
          <w:rFonts w:ascii="Century" w:hAnsi="Century" w:cs="Miriam"/>
          <w:b/>
          <w:spacing w:val="0"/>
          <w:szCs w:val="24"/>
          <w:rtl/>
        </w:rPr>
        <w:t xml:space="preserve"> </w:t>
      </w:r>
      <w:r w:rsidRPr="000C393F">
        <w:rPr>
          <w:rFonts w:ascii="Century" w:hAnsi="Century" w:cs="Miriam" w:hint="eastAsia"/>
          <w:b/>
          <w:spacing w:val="0"/>
          <w:szCs w:val="24"/>
          <w:rtl/>
        </w:rPr>
        <w:t>לדבר</w:t>
      </w:r>
      <w:r w:rsidRPr="000C393F">
        <w:rPr>
          <w:rFonts w:ascii="Century" w:hAnsi="Century" w:cs="Miriam"/>
          <w:b/>
          <w:spacing w:val="0"/>
          <w:szCs w:val="24"/>
          <w:rtl/>
        </w:rPr>
        <w:t xml:space="preserve"> </w:t>
      </w:r>
      <w:r w:rsidRPr="000C393F">
        <w:rPr>
          <w:rFonts w:ascii="Century" w:hAnsi="Century" w:cs="Miriam" w:hint="eastAsia"/>
          <w:b/>
          <w:spacing w:val="0"/>
          <w:szCs w:val="24"/>
          <w:rtl/>
        </w:rPr>
        <w:t>מועט</w:t>
      </w:r>
      <w:r w:rsidRPr="000C393F">
        <w:rPr>
          <w:rFonts w:ascii="Century" w:hAnsi="Century" w:cs="Miriam"/>
          <w:b/>
          <w:spacing w:val="0"/>
          <w:szCs w:val="24"/>
          <w:rtl/>
        </w:rPr>
        <w:t xml:space="preserve"> </w:t>
      </w:r>
      <w:r w:rsidRPr="000C393F">
        <w:rPr>
          <w:rFonts w:ascii="Century" w:hAnsi="Century" w:cs="Miriam" w:hint="eastAsia"/>
          <w:b/>
          <w:spacing w:val="0"/>
          <w:szCs w:val="24"/>
          <w:rtl/>
        </w:rPr>
        <w:t>האירוע</w:t>
      </w:r>
      <w:r w:rsidRPr="000C393F">
        <w:rPr>
          <w:rFonts w:ascii="Century" w:hAnsi="Century" w:cs="Miriam"/>
          <w:b/>
          <w:spacing w:val="0"/>
          <w:szCs w:val="24"/>
          <w:rtl/>
        </w:rPr>
        <w:t xml:space="preserve">, </w:t>
      </w:r>
      <w:r w:rsidRPr="000C393F">
        <w:rPr>
          <w:rFonts w:ascii="Century" w:hAnsi="Century" w:cs="Miriam" w:hint="eastAsia"/>
          <w:b/>
          <w:spacing w:val="0"/>
          <w:szCs w:val="24"/>
          <w:rtl/>
        </w:rPr>
        <w:t>ולא</w:t>
      </w:r>
      <w:r w:rsidRPr="000C393F">
        <w:rPr>
          <w:rFonts w:ascii="Century" w:hAnsi="Century" w:cs="Miriam"/>
          <w:b/>
          <w:spacing w:val="0"/>
          <w:szCs w:val="24"/>
          <w:rtl/>
        </w:rPr>
        <w:t xml:space="preserve"> </w:t>
      </w:r>
      <w:r w:rsidRPr="000C393F">
        <w:rPr>
          <w:rFonts w:ascii="Century" w:hAnsi="Century" w:cs="Miriam" w:hint="eastAsia"/>
          <w:b/>
          <w:spacing w:val="0"/>
          <w:szCs w:val="24"/>
          <w:rtl/>
        </w:rPr>
        <w:t>לנזק</w:t>
      </w:r>
      <w:r w:rsidRPr="000C393F">
        <w:rPr>
          <w:rFonts w:ascii="Century" w:hAnsi="Century" w:cs="Miriam"/>
          <w:b/>
          <w:spacing w:val="0"/>
          <w:szCs w:val="24"/>
          <w:rtl/>
        </w:rPr>
        <w:t xml:space="preserve"> </w:t>
      </w:r>
      <w:r w:rsidRPr="000C393F">
        <w:rPr>
          <w:rFonts w:ascii="Century" w:hAnsi="Century" w:cs="Miriam" w:hint="eastAsia"/>
          <w:b/>
          <w:spacing w:val="0"/>
          <w:szCs w:val="24"/>
          <w:rtl/>
        </w:rPr>
        <w:t>שיהיה</w:t>
      </w:r>
      <w:r w:rsidRPr="000C393F">
        <w:rPr>
          <w:rFonts w:ascii="Century" w:hAnsi="Century" w:cs="Miriam"/>
          <w:b/>
          <w:spacing w:val="0"/>
          <w:szCs w:val="24"/>
          <w:rtl/>
        </w:rPr>
        <w:t xml:space="preserve"> </w:t>
      </w:r>
      <w:r w:rsidRPr="000C393F">
        <w:rPr>
          <w:rFonts w:ascii="Century" w:hAnsi="Century" w:cs="Miriam" w:hint="eastAsia"/>
          <w:b/>
          <w:spacing w:val="0"/>
          <w:szCs w:val="24"/>
          <w:rtl/>
        </w:rPr>
        <w:t>ליחיד</w:t>
      </w:r>
      <w:r w:rsidRPr="000C393F">
        <w:rPr>
          <w:rFonts w:ascii="Century" w:hAnsi="Century" w:cs="Miriam"/>
          <w:b/>
          <w:spacing w:val="0"/>
          <w:szCs w:val="24"/>
          <w:rtl/>
        </w:rPr>
        <w:t xml:space="preserve"> </w:t>
      </w:r>
      <w:r w:rsidRPr="000C393F">
        <w:rPr>
          <w:rFonts w:ascii="Century" w:hAnsi="Century" w:cs="Miriam" w:hint="eastAsia"/>
          <w:b/>
          <w:spacing w:val="0"/>
          <w:szCs w:val="24"/>
          <w:rtl/>
        </w:rPr>
        <w:t>מבני</w:t>
      </w:r>
      <w:r w:rsidRPr="000C393F">
        <w:rPr>
          <w:rFonts w:ascii="Century" w:hAnsi="Century" w:cs="Miriam"/>
          <w:b/>
          <w:spacing w:val="0"/>
          <w:szCs w:val="24"/>
          <w:rtl/>
        </w:rPr>
        <w:t xml:space="preserve"> </w:t>
      </w:r>
      <w:r w:rsidRPr="000C393F">
        <w:rPr>
          <w:rFonts w:ascii="Century" w:hAnsi="Century" w:cs="Miriam" w:hint="eastAsia"/>
          <w:b/>
          <w:spacing w:val="0"/>
          <w:szCs w:val="24"/>
          <w:rtl/>
        </w:rPr>
        <w:t>אדם</w:t>
      </w:r>
      <w:r w:rsidRPr="000C393F">
        <w:rPr>
          <w:rFonts w:ascii="Century" w:hAnsi="Century" w:cs="Miriam"/>
          <w:b/>
          <w:spacing w:val="0"/>
          <w:szCs w:val="24"/>
          <w:rtl/>
        </w:rPr>
        <w:t xml:space="preserve"> </w:t>
      </w:r>
      <w:r w:rsidRPr="000C393F">
        <w:rPr>
          <w:rFonts w:ascii="Century" w:hAnsi="Century" w:cs="Miriam" w:hint="eastAsia"/>
          <w:b/>
          <w:spacing w:val="0"/>
          <w:szCs w:val="24"/>
          <w:rtl/>
        </w:rPr>
        <w:t>בגלל</w:t>
      </w:r>
      <w:r w:rsidRPr="000C393F">
        <w:rPr>
          <w:rFonts w:ascii="Century" w:hAnsi="Century" w:cs="Miriam"/>
          <w:b/>
          <w:spacing w:val="0"/>
          <w:szCs w:val="24"/>
          <w:rtl/>
        </w:rPr>
        <w:t xml:space="preserve"> </w:t>
      </w:r>
      <w:r w:rsidRPr="000C393F">
        <w:rPr>
          <w:rFonts w:ascii="Century" w:hAnsi="Century" w:cs="Miriam" w:hint="eastAsia"/>
          <w:b/>
          <w:spacing w:val="0"/>
          <w:szCs w:val="24"/>
          <w:rtl/>
        </w:rPr>
        <w:t>אותה</w:t>
      </w:r>
      <w:r w:rsidRPr="000C393F">
        <w:rPr>
          <w:rFonts w:ascii="Century" w:hAnsi="Century" w:cs="Miriam"/>
          <w:b/>
          <w:spacing w:val="0"/>
          <w:szCs w:val="24"/>
          <w:rtl/>
        </w:rPr>
        <w:t xml:space="preserve"> </w:t>
      </w:r>
      <w:r w:rsidRPr="000C393F">
        <w:rPr>
          <w:rFonts w:ascii="Century" w:hAnsi="Century" w:cs="Miriam" w:hint="eastAsia"/>
          <w:b/>
          <w:spacing w:val="0"/>
          <w:szCs w:val="24"/>
          <w:rtl/>
        </w:rPr>
        <w:t>הגזרה</w:t>
      </w:r>
      <w:r w:rsidRPr="000C393F">
        <w:rPr>
          <w:rFonts w:ascii="Century" w:hAnsi="Century" w:cs="Miriam"/>
          <w:b/>
          <w:spacing w:val="0"/>
          <w:szCs w:val="24"/>
          <w:rtl/>
        </w:rPr>
        <w:t xml:space="preserve"> </w:t>
      </w:r>
      <w:r w:rsidRPr="000C393F">
        <w:rPr>
          <w:rFonts w:ascii="Century" w:hAnsi="Century" w:cs="Miriam" w:hint="eastAsia"/>
          <w:b/>
          <w:spacing w:val="0"/>
          <w:szCs w:val="24"/>
          <w:rtl/>
        </w:rPr>
        <w:t>וההנהגה</w:t>
      </w:r>
      <w:r w:rsidRPr="000C393F">
        <w:rPr>
          <w:rFonts w:ascii="Century" w:hAnsi="Century" w:cs="Miriam"/>
          <w:b/>
          <w:spacing w:val="0"/>
          <w:szCs w:val="24"/>
          <w:rtl/>
        </w:rPr>
        <w:t xml:space="preserve"> </w:t>
      </w:r>
      <w:r w:rsidRPr="000C393F">
        <w:rPr>
          <w:rFonts w:ascii="Century" w:hAnsi="Century" w:cs="Miriam" w:hint="eastAsia"/>
          <w:b/>
          <w:spacing w:val="0"/>
          <w:szCs w:val="24"/>
          <w:rtl/>
        </w:rPr>
        <w:t>התורתית</w:t>
      </w:r>
      <w:r w:rsidRPr="000C393F">
        <w:rPr>
          <w:rFonts w:ascii="Century" w:hAnsi="Century" w:cs="Miriam"/>
          <w:b/>
          <w:spacing w:val="0"/>
          <w:szCs w:val="24"/>
          <w:rtl/>
        </w:rPr>
        <w:t xml:space="preserve">. </w:t>
      </w:r>
      <w:r w:rsidRPr="000C393F">
        <w:rPr>
          <w:rFonts w:ascii="Century" w:hAnsi="Century" w:cs="Miriam" w:hint="eastAsia"/>
          <w:b/>
          <w:spacing w:val="0"/>
          <w:szCs w:val="24"/>
          <w:rtl/>
        </w:rPr>
        <w:t>כי</w:t>
      </w:r>
      <w:r w:rsidRPr="000C393F">
        <w:rPr>
          <w:rFonts w:ascii="Century" w:hAnsi="Century" w:cs="Miriam"/>
          <w:b/>
          <w:spacing w:val="0"/>
          <w:szCs w:val="24"/>
          <w:rtl/>
        </w:rPr>
        <w:t xml:space="preserve"> </w:t>
      </w:r>
      <w:r w:rsidRPr="000C393F">
        <w:rPr>
          <w:rFonts w:ascii="Century" w:hAnsi="Century" w:cs="Miriam" w:hint="eastAsia"/>
          <w:b/>
          <w:spacing w:val="0"/>
          <w:szCs w:val="24"/>
          <w:rtl/>
        </w:rPr>
        <w:t>התורה</w:t>
      </w:r>
      <w:r w:rsidRPr="000C393F">
        <w:rPr>
          <w:rFonts w:ascii="Century" w:hAnsi="Century" w:cs="Miriam"/>
          <w:b/>
          <w:spacing w:val="0"/>
          <w:szCs w:val="24"/>
          <w:rtl/>
        </w:rPr>
        <w:t xml:space="preserve"> </w:t>
      </w:r>
      <w:r w:rsidRPr="000C393F">
        <w:rPr>
          <w:rFonts w:ascii="Century" w:hAnsi="Century" w:cs="Miriam" w:hint="eastAsia"/>
          <w:b/>
          <w:spacing w:val="0"/>
          <w:szCs w:val="24"/>
          <w:rtl/>
        </w:rPr>
        <w:t>היא</w:t>
      </w:r>
      <w:r w:rsidRPr="000C393F">
        <w:rPr>
          <w:rFonts w:ascii="Century" w:hAnsi="Century" w:cs="Miriam"/>
          <w:b/>
          <w:spacing w:val="0"/>
          <w:szCs w:val="24"/>
          <w:rtl/>
        </w:rPr>
        <w:t xml:space="preserve"> </w:t>
      </w:r>
      <w:r w:rsidRPr="000C393F">
        <w:rPr>
          <w:rFonts w:ascii="Century" w:hAnsi="Century" w:cs="Miriam" w:hint="eastAsia"/>
          <w:b/>
          <w:spacing w:val="0"/>
          <w:szCs w:val="24"/>
          <w:rtl/>
        </w:rPr>
        <w:t>דבר</w:t>
      </w:r>
      <w:r w:rsidRPr="000C393F">
        <w:rPr>
          <w:rFonts w:ascii="Century" w:hAnsi="Century" w:cs="Miriam"/>
          <w:b/>
          <w:spacing w:val="0"/>
          <w:szCs w:val="24"/>
          <w:rtl/>
        </w:rPr>
        <w:t xml:space="preserve"> </w:t>
      </w:r>
      <w:r w:rsidRPr="000C393F">
        <w:rPr>
          <w:rFonts w:ascii="Century" w:hAnsi="Century" w:cs="Miriam" w:hint="eastAsia"/>
          <w:b/>
          <w:spacing w:val="0"/>
          <w:szCs w:val="24"/>
          <w:rtl/>
        </w:rPr>
        <w:t>א</w:t>
      </w:r>
      <w:r w:rsidR="009E25B2">
        <w:rPr>
          <w:rFonts w:ascii="Century" w:hAnsi="Century" w:cs="Miriam" w:hint="cs"/>
          <w:b/>
          <w:spacing w:val="0"/>
          <w:szCs w:val="24"/>
          <w:rtl/>
        </w:rPr>
        <w:t>-</w:t>
      </w:r>
      <w:r w:rsidRPr="000C393F">
        <w:rPr>
          <w:rFonts w:ascii="Century" w:hAnsi="Century" w:cs="Miriam" w:hint="eastAsia"/>
          <w:b/>
          <w:spacing w:val="0"/>
          <w:szCs w:val="24"/>
          <w:rtl/>
        </w:rPr>
        <w:t>לוהי</w:t>
      </w:r>
      <w:r w:rsidRPr="000C393F">
        <w:rPr>
          <w:rFonts w:ascii="Century" w:hAnsi="Century" w:cs="Miriam"/>
          <w:b/>
          <w:spacing w:val="0"/>
          <w:szCs w:val="24"/>
          <w:rtl/>
        </w:rPr>
        <w:t xml:space="preserve">, </w:t>
      </w:r>
      <w:r w:rsidRPr="000C393F">
        <w:rPr>
          <w:rFonts w:ascii="Century" w:hAnsi="Century" w:cs="Miriam" w:hint="eastAsia"/>
          <w:b/>
          <w:spacing w:val="0"/>
          <w:szCs w:val="24"/>
          <w:rtl/>
        </w:rPr>
        <w:t>ויש</w:t>
      </w:r>
      <w:r w:rsidRPr="000C393F">
        <w:rPr>
          <w:rFonts w:ascii="Century" w:hAnsi="Century" w:cs="Miriam"/>
          <w:b/>
          <w:spacing w:val="0"/>
          <w:szCs w:val="24"/>
          <w:rtl/>
        </w:rPr>
        <w:t xml:space="preserve"> </w:t>
      </w:r>
      <w:r w:rsidRPr="000C393F">
        <w:rPr>
          <w:rFonts w:ascii="Century" w:hAnsi="Century" w:cs="Miriam" w:hint="eastAsia"/>
          <w:b/>
          <w:spacing w:val="0"/>
          <w:szCs w:val="24"/>
          <w:rtl/>
        </w:rPr>
        <w:t>לך</w:t>
      </w:r>
      <w:r w:rsidRPr="000C393F">
        <w:rPr>
          <w:rFonts w:ascii="Century" w:hAnsi="Century" w:cs="Miriam"/>
          <w:b/>
          <w:spacing w:val="0"/>
          <w:szCs w:val="24"/>
          <w:rtl/>
        </w:rPr>
        <w:t xml:space="preserve"> </w:t>
      </w:r>
      <w:r w:rsidRPr="000C393F">
        <w:rPr>
          <w:rFonts w:ascii="Century" w:hAnsi="Century" w:cs="Miriam" w:hint="eastAsia"/>
          <w:b/>
          <w:spacing w:val="0"/>
          <w:szCs w:val="24"/>
          <w:rtl/>
        </w:rPr>
        <w:t>ללמוד</w:t>
      </w:r>
      <w:r w:rsidRPr="000C393F">
        <w:rPr>
          <w:rFonts w:ascii="Century" w:hAnsi="Century" w:cs="Miriam"/>
          <w:b/>
          <w:spacing w:val="0"/>
          <w:szCs w:val="24"/>
          <w:rtl/>
        </w:rPr>
        <w:t xml:space="preserve"> </w:t>
      </w:r>
      <w:r w:rsidRPr="000C393F">
        <w:rPr>
          <w:rFonts w:ascii="Century" w:hAnsi="Century" w:cs="Miriam" w:hint="eastAsia"/>
          <w:b/>
          <w:spacing w:val="0"/>
          <w:szCs w:val="24"/>
          <w:rtl/>
        </w:rPr>
        <w:t>מן</w:t>
      </w:r>
      <w:r w:rsidRPr="000C393F">
        <w:rPr>
          <w:rFonts w:ascii="Century" w:hAnsi="Century" w:cs="Miriam"/>
          <w:b/>
          <w:spacing w:val="0"/>
          <w:szCs w:val="24"/>
          <w:rtl/>
        </w:rPr>
        <w:t xml:space="preserve"> </w:t>
      </w:r>
      <w:r w:rsidRPr="000C393F">
        <w:rPr>
          <w:rFonts w:ascii="Century" w:hAnsi="Century" w:cs="Miriam" w:hint="eastAsia"/>
          <w:b/>
          <w:spacing w:val="0"/>
          <w:szCs w:val="24"/>
          <w:rtl/>
        </w:rPr>
        <w:t>הדברים</w:t>
      </w:r>
      <w:r w:rsidRPr="000C393F">
        <w:rPr>
          <w:rFonts w:ascii="Century" w:hAnsi="Century" w:cs="Miriam"/>
          <w:b/>
          <w:spacing w:val="0"/>
          <w:szCs w:val="24"/>
          <w:rtl/>
        </w:rPr>
        <w:t xml:space="preserve"> </w:t>
      </w:r>
      <w:r w:rsidRPr="000C393F">
        <w:rPr>
          <w:rFonts w:ascii="Century" w:hAnsi="Century" w:cs="Miriam" w:hint="eastAsia"/>
          <w:b/>
          <w:spacing w:val="0"/>
          <w:szCs w:val="24"/>
          <w:rtl/>
        </w:rPr>
        <w:t>הטבעיים</w:t>
      </w:r>
      <w:r w:rsidRPr="000C393F">
        <w:rPr>
          <w:rFonts w:ascii="Century" w:hAnsi="Century" w:cs="Miriam"/>
          <w:b/>
          <w:spacing w:val="0"/>
          <w:szCs w:val="24"/>
          <w:rtl/>
        </w:rPr>
        <w:t xml:space="preserve"> </w:t>
      </w:r>
      <w:r w:rsidRPr="000C393F">
        <w:rPr>
          <w:rFonts w:ascii="Century" w:hAnsi="Century" w:cs="Miriam" w:hint="eastAsia"/>
          <w:b/>
          <w:spacing w:val="0"/>
          <w:szCs w:val="24"/>
          <w:rtl/>
        </w:rPr>
        <w:t>אשר</w:t>
      </w:r>
      <w:r w:rsidRPr="000C393F">
        <w:rPr>
          <w:rFonts w:ascii="Century" w:hAnsi="Century" w:cs="Miriam"/>
          <w:b/>
          <w:spacing w:val="0"/>
          <w:szCs w:val="24"/>
          <w:rtl/>
        </w:rPr>
        <w:t xml:space="preserve"> </w:t>
      </w:r>
      <w:r w:rsidRPr="000C393F">
        <w:rPr>
          <w:rFonts w:ascii="Century" w:hAnsi="Century" w:cs="Miriam" w:hint="eastAsia"/>
          <w:b/>
          <w:spacing w:val="0"/>
          <w:szCs w:val="24"/>
          <w:rtl/>
        </w:rPr>
        <w:t>אותם</w:t>
      </w:r>
      <w:r w:rsidRPr="000C393F">
        <w:rPr>
          <w:rFonts w:ascii="Century" w:hAnsi="Century" w:cs="Miriam"/>
          <w:b/>
          <w:spacing w:val="0"/>
          <w:szCs w:val="24"/>
          <w:rtl/>
        </w:rPr>
        <w:t xml:space="preserve"> </w:t>
      </w:r>
      <w:r w:rsidRPr="000C393F">
        <w:rPr>
          <w:rFonts w:ascii="Century" w:hAnsi="Century" w:cs="Miriam" w:hint="eastAsia"/>
          <w:b/>
          <w:spacing w:val="0"/>
          <w:szCs w:val="24"/>
          <w:rtl/>
        </w:rPr>
        <w:t>התועליות</w:t>
      </w:r>
      <w:r w:rsidRPr="000C393F">
        <w:rPr>
          <w:rFonts w:ascii="Century" w:hAnsi="Century" w:cs="Miriam"/>
          <w:b/>
          <w:spacing w:val="0"/>
          <w:szCs w:val="24"/>
          <w:rtl/>
        </w:rPr>
        <w:t xml:space="preserve"> </w:t>
      </w:r>
      <w:r w:rsidRPr="000C393F">
        <w:rPr>
          <w:rFonts w:ascii="Century" w:hAnsi="Century" w:cs="Miriam" w:hint="eastAsia"/>
          <w:b/>
          <w:spacing w:val="0"/>
          <w:szCs w:val="24"/>
          <w:rtl/>
        </w:rPr>
        <w:t>הכלליות</w:t>
      </w:r>
      <w:r w:rsidRPr="000C393F">
        <w:rPr>
          <w:rFonts w:ascii="Century" w:hAnsi="Century" w:cs="Miriam"/>
          <w:b/>
          <w:spacing w:val="0"/>
          <w:szCs w:val="24"/>
          <w:rtl/>
        </w:rPr>
        <w:t xml:space="preserve"> </w:t>
      </w:r>
      <w:r w:rsidRPr="000C393F">
        <w:rPr>
          <w:rFonts w:ascii="Century" w:hAnsi="Century" w:cs="Miriam" w:hint="eastAsia"/>
          <w:b/>
          <w:spacing w:val="0"/>
          <w:szCs w:val="24"/>
          <w:rtl/>
        </w:rPr>
        <w:t>המצויות</w:t>
      </w:r>
      <w:r w:rsidRPr="000C393F">
        <w:rPr>
          <w:rFonts w:ascii="Century" w:hAnsi="Century" w:cs="Miriam"/>
          <w:b/>
          <w:spacing w:val="0"/>
          <w:szCs w:val="24"/>
          <w:rtl/>
        </w:rPr>
        <w:t xml:space="preserve"> </w:t>
      </w:r>
      <w:r w:rsidRPr="000C393F">
        <w:rPr>
          <w:rFonts w:ascii="Century" w:hAnsi="Century" w:cs="Miriam" w:hint="eastAsia"/>
          <w:b/>
          <w:spacing w:val="0"/>
          <w:szCs w:val="24"/>
          <w:rtl/>
        </w:rPr>
        <w:t>בהן</w:t>
      </w:r>
      <w:r w:rsidRPr="000C393F">
        <w:rPr>
          <w:rFonts w:ascii="Century" w:hAnsi="Century" w:cs="Miriam"/>
          <w:b/>
          <w:spacing w:val="0"/>
          <w:szCs w:val="24"/>
          <w:rtl/>
        </w:rPr>
        <w:t xml:space="preserve">, </w:t>
      </w:r>
      <w:r w:rsidRPr="000C393F">
        <w:rPr>
          <w:rFonts w:ascii="Century" w:hAnsi="Century" w:cs="Miriam" w:hint="eastAsia"/>
          <w:b/>
          <w:spacing w:val="0"/>
          <w:szCs w:val="24"/>
          <w:rtl/>
        </w:rPr>
        <w:t>יש</w:t>
      </w:r>
      <w:r w:rsidRPr="000C393F">
        <w:rPr>
          <w:rFonts w:ascii="Century" w:hAnsi="Century" w:cs="Miriam"/>
          <w:b/>
          <w:spacing w:val="0"/>
          <w:szCs w:val="24"/>
          <w:rtl/>
        </w:rPr>
        <w:t xml:space="preserve"> </w:t>
      </w:r>
      <w:r w:rsidRPr="000C393F">
        <w:rPr>
          <w:rFonts w:ascii="Century" w:hAnsi="Century" w:cs="Miriam" w:hint="eastAsia"/>
          <w:b/>
          <w:spacing w:val="0"/>
          <w:szCs w:val="24"/>
          <w:rtl/>
        </w:rPr>
        <w:t>בכללן</w:t>
      </w:r>
      <w:r w:rsidRPr="000C393F">
        <w:rPr>
          <w:rFonts w:ascii="Century" w:hAnsi="Century" w:cs="Miriam"/>
          <w:b/>
          <w:spacing w:val="0"/>
          <w:szCs w:val="24"/>
          <w:rtl/>
        </w:rPr>
        <w:t xml:space="preserve"> </w:t>
      </w:r>
      <w:r w:rsidRPr="000C393F">
        <w:rPr>
          <w:rFonts w:ascii="Century" w:hAnsi="Century" w:cs="Miriam" w:hint="eastAsia"/>
          <w:b/>
          <w:spacing w:val="0"/>
          <w:szCs w:val="24"/>
          <w:rtl/>
        </w:rPr>
        <w:t>ומתחייב</w:t>
      </w:r>
      <w:r w:rsidRPr="000C393F">
        <w:rPr>
          <w:rFonts w:ascii="Century" w:hAnsi="Century" w:cs="Miriam"/>
          <w:b/>
          <w:spacing w:val="0"/>
          <w:szCs w:val="24"/>
          <w:rtl/>
        </w:rPr>
        <w:t xml:space="preserve"> </w:t>
      </w:r>
      <w:r w:rsidRPr="000C393F">
        <w:rPr>
          <w:rFonts w:ascii="Century" w:hAnsi="Century" w:cs="Miriam" w:hint="eastAsia"/>
          <w:b/>
          <w:spacing w:val="0"/>
          <w:szCs w:val="24"/>
          <w:rtl/>
        </w:rPr>
        <w:t>מהן</w:t>
      </w:r>
      <w:r w:rsidRPr="000C393F">
        <w:rPr>
          <w:rFonts w:ascii="Century" w:hAnsi="Century" w:cs="Miriam"/>
          <w:b/>
          <w:spacing w:val="0"/>
          <w:szCs w:val="24"/>
          <w:rtl/>
        </w:rPr>
        <w:t xml:space="preserve"> </w:t>
      </w:r>
      <w:r w:rsidRPr="000C393F">
        <w:rPr>
          <w:rFonts w:ascii="Century" w:hAnsi="Century" w:cs="Miriam" w:hint="eastAsia"/>
          <w:b/>
          <w:spacing w:val="0"/>
          <w:szCs w:val="24"/>
          <w:rtl/>
        </w:rPr>
        <w:t>נזקים</w:t>
      </w:r>
      <w:r w:rsidRPr="000C393F">
        <w:rPr>
          <w:rFonts w:ascii="Century" w:hAnsi="Century" w:cs="Miriam"/>
          <w:b/>
          <w:spacing w:val="0"/>
          <w:szCs w:val="24"/>
          <w:rtl/>
        </w:rPr>
        <w:t xml:space="preserve"> </w:t>
      </w:r>
      <w:r w:rsidRPr="000C393F">
        <w:rPr>
          <w:rFonts w:ascii="Century" w:hAnsi="Century" w:cs="Miriam" w:hint="eastAsia"/>
          <w:b/>
          <w:spacing w:val="0"/>
          <w:szCs w:val="24"/>
          <w:rtl/>
        </w:rPr>
        <w:t>אישיים</w:t>
      </w:r>
      <w:r w:rsidRPr="000C393F">
        <w:rPr>
          <w:rFonts w:ascii="Century" w:hAnsi="Century" w:cs="Miriam"/>
          <w:b/>
          <w:spacing w:val="0"/>
          <w:szCs w:val="24"/>
          <w:rtl/>
        </w:rPr>
        <w:t>"</w:t>
      </w:r>
      <w:r>
        <w:rPr>
          <w:rFonts w:hint="cs"/>
          <w:rtl/>
        </w:rPr>
        <w:t xml:space="preserve"> </w:t>
      </w:r>
      <w:r w:rsidRPr="003B04CF">
        <w:rPr>
          <w:rFonts w:ascii="FrankRuehl" w:hAnsi="FrankRuehl"/>
          <w:sz w:val="28"/>
          <w:rtl/>
        </w:rPr>
        <w:t>(</w:t>
      </w:r>
      <w:r w:rsidRPr="003B04CF">
        <w:rPr>
          <w:rtl/>
        </w:rPr>
        <w:t>מורה נבוכים</w:t>
      </w:r>
      <w:r w:rsidRPr="003B04CF">
        <w:rPr>
          <w:rFonts w:ascii="FrankRuehl" w:hAnsi="FrankRuehl"/>
          <w:sz w:val="28"/>
          <w:rtl/>
        </w:rPr>
        <w:t xml:space="preserve"> ג, מד); וראו: יצחק אנגלרד, "על דרך הרוב" ובעיית היושר במשנתו של הרמב"ם,</w:t>
      </w:r>
      <w:r>
        <w:rPr>
          <w:rFonts w:hint="cs"/>
          <w:rtl/>
        </w:rPr>
        <w:t xml:space="preserve"> </w:t>
      </w:r>
      <w:r w:rsidRPr="000C393F">
        <w:rPr>
          <w:rFonts w:ascii="Century" w:hAnsi="Century" w:cs="Miriam" w:hint="eastAsia"/>
          <w:b/>
          <w:spacing w:val="0"/>
          <w:szCs w:val="24"/>
          <w:rtl/>
        </w:rPr>
        <w:t>שנתון</w:t>
      </w:r>
      <w:r w:rsidRPr="000C393F">
        <w:rPr>
          <w:rFonts w:ascii="Century" w:hAnsi="Century" w:cs="Miriam"/>
          <w:b/>
          <w:spacing w:val="0"/>
          <w:szCs w:val="24"/>
          <w:rtl/>
        </w:rPr>
        <w:t xml:space="preserve"> </w:t>
      </w:r>
      <w:r w:rsidRPr="000C393F">
        <w:rPr>
          <w:rFonts w:ascii="Century" w:hAnsi="Century" w:cs="Miriam" w:hint="eastAsia"/>
          <w:b/>
          <w:spacing w:val="0"/>
          <w:szCs w:val="24"/>
          <w:rtl/>
        </w:rPr>
        <w:t>המשפט</w:t>
      </w:r>
      <w:r w:rsidRPr="000C393F">
        <w:rPr>
          <w:rFonts w:ascii="Century" w:hAnsi="Century" w:cs="Miriam"/>
          <w:b/>
          <w:spacing w:val="0"/>
          <w:szCs w:val="24"/>
          <w:rtl/>
        </w:rPr>
        <w:t xml:space="preserve"> </w:t>
      </w:r>
      <w:r w:rsidRPr="000C393F">
        <w:rPr>
          <w:rFonts w:ascii="Century" w:hAnsi="Century" w:cs="Miriam" w:hint="eastAsia"/>
          <w:b/>
          <w:spacing w:val="0"/>
          <w:szCs w:val="24"/>
          <w:rtl/>
        </w:rPr>
        <w:t>העברי</w:t>
      </w:r>
      <w:r w:rsidRPr="00FA4A74">
        <w:rPr>
          <w:rtl/>
        </w:rPr>
        <w:t xml:space="preserve"> </w:t>
      </w:r>
      <w:r>
        <w:rPr>
          <w:rFonts w:hint="cs"/>
          <w:rtl/>
        </w:rPr>
        <w:t xml:space="preserve">יד-טו, 31 (התשמ"ח-התשמ"ט)). </w:t>
      </w:r>
    </w:p>
    <w:p w:rsidR="00D512D4" w:rsidRPr="00F63ECF" w:rsidRDefault="00D512D4" w:rsidP="00D512D4">
      <w:pPr>
        <w:pStyle w:val="Ruller41"/>
        <w:rPr>
          <w:rtl/>
        </w:rPr>
      </w:pPr>
    </w:p>
    <w:p w:rsidR="00D512D4" w:rsidRDefault="00D512D4" w:rsidP="009E25B2">
      <w:pPr>
        <w:pStyle w:val="Ruller4"/>
        <w:rPr>
          <w:rtl/>
        </w:rPr>
      </w:pPr>
      <w:r>
        <w:rPr>
          <w:rFonts w:hint="cs"/>
          <w:rtl/>
        </w:rPr>
        <w:t>בחזרה ל</w:t>
      </w:r>
      <w:r w:rsidR="009E25B2">
        <w:rPr>
          <w:rFonts w:hint="cs"/>
          <w:rtl/>
        </w:rPr>
        <w:t xml:space="preserve">עניין </w:t>
      </w:r>
      <w:r>
        <w:rPr>
          <w:rFonts w:hint="cs"/>
          <w:rtl/>
        </w:rPr>
        <w:t xml:space="preserve">שלפנינו: לגישתי, בדיקה אינדיבידואלית אינה יכולה להגשים את התכליות שבבסיס סעיף 5ב(א)(1) לחוק, במידה שוות-ערך. אסביר. </w:t>
      </w:r>
    </w:p>
    <w:p w:rsidR="00D512D4" w:rsidRDefault="00D512D4" w:rsidP="002A0AEF">
      <w:pPr>
        <w:pStyle w:val="Ruller41"/>
        <w:spacing w:line="240" w:lineRule="auto"/>
        <w:rPr>
          <w:rtl/>
        </w:rPr>
      </w:pPr>
    </w:p>
    <w:p w:rsidR="00D512D4" w:rsidRDefault="00D512D4" w:rsidP="00D512D4">
      <w:pPr>
        <w:pStyle w:val="Ruller4"/>
        <w:rPr>
          <w:rtl/>
        </w:rPr>
      </w:pPr>
      <w:r>
        <w:rPr>
          <w:rFonts w:hint="cs"/>
          <w:rtl/>
        </w:rPr>
        <w:t xml:space="preserve">על פני הדברים נראה, כי בחינה אינדיבידואלית, לגבי האופי המלחמתי של הפעולה המזיקה, כלל אינה מגשימה לפחות אחת מבין שתי התכליות המונחות בבסיס החוק </w:t>
      </w:r>
      <w:r>
        <w:rPr>
          <w:rtl/>
        </w:rPr>
        <w:t>–</w:t>
      </w:r>
      <w:r>
        <w:rPr>
          <w:rFonts w:hint="cs"/>
          <w:rtl/>
        </w:rPr>
        <w:t xml:space="preserve"> מניעת סיוע לאויב. תכלית זו, שרירה וקיימת גם כאשר המעשה הנזיקי אינו בא בגדר 'פעולה מלחמתית'. כאמור לעיל, הכלל שלפיו </w:t>
      </w:r>
      <w:r w:rsidRPr="0093108D">
        <w:rPr>
          <w:rFonts w:ascii="Century" w:hAnsi="Century" w:cs="Miriam" w:hint="cs"/>
          <w:b/>
          <w:spacing w:val="0"/>
          <w:sz w:val="22"/>
          <w:szCs w:val="24"/>
          <w:rtl/>
        </w:rPr>
        <w:t>'אין מבררים תביעת אויב'</w:t>
      </w:r>
      <w:r>
        <w:rPr>
          <w:rFonts w:hint="cs"/>
          <w:rtl/>
        </w:rPr>
        <w:t xml:space="preserve">, אינו גודר עצמו לתביעות הקשורות ל'פעולות מלחמתיות' בלבד. כלל זה </w:t>
      </w:r>
      <w:r>
        <w:rPr>
          <w:rtl/>
        </w:rPr>
        <w:t>–</w:t>
      </w:r>
      <w:r>
        <w:rPr>
          <w:rFonts w:hint="cs"/>
          <w:rtl/>
        </w:rPr>
        <w:t xml:space="preserve"> הן במתכונתו המסורתית (שעניינו תביעות נתיני מדינת אויב), הן במתכונתו החדשה והמותאמת (שעניינו תביעות של פעילי טרור) </w:t>
      </w:r>
      <w:r>
        <w:rPr>
          <w:rtl/>
        </w:rPr>
        <w:t>–</w:t>
      </w:r>
      <w:r>
        <w:rPr>
          <w:rFonts w:hint="cs"/>
          <w:rtl/>
        </w:rPr>
        <w:t xml:space="preserve"> חל על כל סוג של תביעה, יהא נושאה אשר יהא, מוצדקת ככל שתהיה. ביסוד הכלל האמור, עומדת ההנחה, כי בירור תביעות אויב גורם נזק למדינה היריבה-הנתבעת, ומשכך מוצדק לחסום אותן, לפחות עד שוך הקרבות. תכלית זו, העומדת, כאמור לעיל, גם בבסיס ההסדר שבסעיף 5ב(א)(1) לחוק </w:t>
      </w:r>
      <w:r>
        <w:rPr>
          <w:rtl/>
        </w:rPr>
        <w:t>–</w:t>
      </w:r>
      <w:r>
        <w:rPr>
          <w:rFonts w:hint="cs"/>
          <w:rtl/>
        </w:rPr>
        <w:t xml:space="preserve"> לא תוגשם באמצעות בחינה אינדיבידואלית. </w:t>
      </w:r>
    </w:p>
    <w:p w:rsidR="00D512D4" w:rsidRDefault="00D512D4" w:rsidP="002A0AEF">
      <w:pPr>
        <w:pStyle w:val="Ruller41"/>
        <w:spacing w:line="240" w:lineRule="auto"/>
        <w:rPr>
          <w:rtl/>
        </w:rPr>
      </w:pPr>
    </w:p>
    <w:p w:rsidR="00D512D4" w:rsidRDefault="00D512D4" w:rsidP="00154174">
      <w:pPr>
        <w:pStyle w:val="Ruller4"/>
        <w:rPr>
          <w:rtl/>
        </w:rPr>
      </w:pPr>
      <w:r>
        <w:rPr>
          <w:rFonts w:hint="cs"/>
          <w:rtl/>
        </w:rPr>
        <w:t xml:space="preserve">מעבר לכך, אינני סבור כי בדיקה פרטנית, תגשים גם את התכלית הנוספת שעליה עמדתי לעיל, בדבר התאמת דיני הנזיקין למצבי מלחמה, במידה שוות-ערך לזו </w:t>
      </w:r>
      <w:r w:rsidR="009E25B2">
        <w:rPr>
          <w:rFonts w:hint="cs"/>
          <w:rtl/>
        </w:rPr>
        <w:t xml:space="preserve">המושגת באמצעות קביעת כלל גורף. </w:t>
      </w:r>
      <w:r>
        <w:rPr>
          <w:rFonts w:hint="cs"/>
          <w:rtl/>
        </w:rPr>
        <w:t>כל כך למה? מפני שעצם בירור השאלה, אם מדובר בפעולה מלחמתית, אם לאו, פוגע כבר כשלעצמו בתכלית זו. השאלה האם פעולה באה בגדרי 'פעולה מלחמתית', היא שאלה שהתשובה לה,</w:t>
      </w:r>
      <w:r w:rsidRPr="00311946">
        <w:rPr>
          <w:rFonts w:hint="cs"/>
          <w:rtl/>
        </w:rPr>
        <w:t xml:space="preserve"> </w:t>
      </w:r>
      <w:r>
        <w:rPr>
          <w:rFonts w:hint="cs"/>
          <w:rtl/>
        </w:rPr>
        <w:t>לעיתים קרובות, אינה פשוטה כלל ועיקר. לצורך הכרעה בה, נדרש בית המשפט לבחון את כלל הנסיבות שאפפו את האירוע הנזיקי; את מטרת הפעולה; את המקום שבו בוצעה; את זהות הכוח המבצע; את עוצמת הכוח שהופעל; את משך הפעילות הנבחנת; ועוד. הכרעה זו, מצריכה בירור ראייתי מורכב. כפי שתואר לעיל, תחת פרק 'התכלית הראויה', בירור מעין זה, אמור להע</w:t>
      </w:r>
      <w:r w:rsidR="009E25B2">
        <w:rPr>
          <w:rFonts w:hint="cs"/>
          <w:rtl/>
        </w:rPr>
        <w:t>שות</w:t>
      </w:r>
      <w:r>
        <w:rPr>
          <w:rFonts w:hint="cs"/>
          <w:rtl/>
        </w:rPr>
        <w:t xml:space="preserve"> בתנאים כמעט בלתי</w:t>
      </w:r>
      <w:r w:rsidR="0093108D">
        <w:rPr>
          <w:rFonts w:hint="cs"/>
          <w:rtl/>
        </w:rPr>
        <w:t>-</w:t>
      </w:r>
      <w:r>
        <w:rPr>
          <w:rFonts w:hint="cs"/>
          <w:rtl/>
        </w:rPr>
        <w:t xml:space="preserve">אפשריים, והוא עלול להעמיד את המדינה בנחיתות ראייתית מובנית. מעבר לכך, עצם העדת העדים </w:t>
      </w:r>
      <w:r>
        <w:rPr>
          <w:rtl/>
        </w:rPr>
        <w:t>–</w:t>
      </w:r>
      <w:r>
        <w:rPr>
          <w:rFonts w:hint="cs"/>
          <w:rtl/>
        </w:rPr>
        <w:t xml:space="preserve"> החיילים הפועלים בשטח </w:t>
      </w:r>
      <w:r>
        <w:rPr>
          <w:rtl/>
        </w:rPr>
        <w:t>–</w:t>
      </w:r>
      <w:r>
        <w:rPr>
          <w:rFonts w:hint="cs"/>
          <w:rtl/>
        </w:rPr>
        <w:t xml:space="preserve"> עלולה לפגוע במוטיבציית הלחימה, ובפעולותיהם 'בזמן אמת', בשדה הקרב. אם כן, הקשיים הראייתיים והנוספים שעליהם עמדתי לעיל, </w:t>
      </w:r>
      <w:r w:rsidR="0093108D">
        <w:rPr>
          <w:rFonts w:hint="cs"/>
          <w:rtl/>
        </w:rPr>
        <w:t xml:space="preserve">אשר </w:t>
      </w:r>
      <w:r>
        <w:rPr>
          <w:rFonts w:hint="cs"/>
          <w:rtl/>
        </w:rPr>
        <w:t xml:space="preserve">מצדיקים מתן חסינות למדינה בגין 'נזקי מלחמה', שרירים וקיימים גם ביחס לבירור המקדמי של השאלה אם מדובר ב'פעולה מלחמתית'. אכן, </w:t>
      </w:r>
      <w:r w:rsidRPr="00501F03">
        <w:rPr>
          <w:rFonts w:ascii="Century" w:hAnsi="Century" w:cs="Miriam" w:hint="cs"/>
          <w:b/>
          <w:spacing w:val="0"/>
          <w:szCs w:val="24"/>
          <w:rtl/>
        </w:rPr>
        <w:t>"</w:t>
      </w:r>
      <w:r w:rsidRPr="00501F03">
        <w:rPr>
          <w:rFonts w:ascii="Century" w:hAnsi="Century" w:cs="Miriam"/>
          <w:b/>
          <w:spacing w:val="0"/>
          <w:szCs w:val="24"/>
          <w:rtl/>
        </w:rPr>
        <w:t>בירורה של טענה מקדמית בדבר סיווג פעולה כמלחמתית</w:t>
      </w:r>
      <w:r w:rsidRPr="00501F03">
        <w:rPr>
          <w:rFonts w:ascii="Century" w:hAnsi="Century" w:cs="Miriam" w:hint="cs"/>
          <w:b/>
          <w:spacing w:val="0"/>
          <w:szCs w:val="24"/>
          <w:rtl/>
        </w:rPr>
        <w:t xml:space="preserve"> [...] </w:t>
      </w:r>
      <w:r w:rsidRPr="00501F03">
        <w:rPr>
          <w:rFonts w:ascii="Century" w:hAnsi="Century" w:cs="Miriam"/>
          <w:b/>
          <w:spacing w:val="0"/>
          <w:szCs w:val="24"/>
          <w:rtl/>
        </w:rPr>
        <w:t>דורש בחינתן של ראיות הרלוונטיות גם לבירור התביעה העיקרית</w:t>
      </w:r>
      <w:r w:rsidRPr="00501F03">
        <w:rPr>
          <w:rFonts w:ascii="Century" w:hAnsi="Century" w:cs="Miriam" w:hint="cs"/>
          <w:b/>
          <w:spacing w:val="0"/>
          <w:szCs w:val="24"/>
          <w:rtl/>
        </w:rPr>
        <w:t>"</w:t>
      </w:r>
      <w:r>
        <w:rPr>
          <w:rFonts w:ascii="FrankRuehl" w:hAnsi="FrankRuehl" w:hint="cs"/>
          <w:color w:val="000000"/>
          <w:sz w:val="28"/>
          <w:rtl/>
        </w:rPr>
        <w:t xml:space="preserve"> (עניין </w:t>
      </w:r>
      <w:r w:rsidRPr="00501F03">
        <w:rPr>
          <w:rFonts w:ascii="Century" w:hAnsi="Century" w:cs="Miriam" w:hint="cs"/>
          <w:b/>
          <w:spacing w:val="0"/>
          <w:szCs w:val="24"/>
          <w:rtl/>
        </w:rPr>
        <w:t>שואמ</w:t>
      </w:r>
      <w:r w:rsidR="00564F64">
        <w:rPr>
          <w:rFonts w:ascii="Century" w:hAnsi="Century" w:cs="Miriam" w:hint="cs"/>
          <w:b/>
          <w:spacing w:val="0"/>
          <w:szCs w:val="24"/>
          <w:rtl/>
        </w:rPr>
        <w:t>ר</w:t>
      </w:r>
      <w:r w:rsidRPr="00501F03">
        <w:rPr>
          <w:rFonts w:ascii="Century" w:hAnsi="Century" w:cs="Miriam" w:hint="cs"/>
          <w:b/>
          <w:spacing w:val="0"/>
          <w:szCs w:val="24"/>
          <w:rtl/>
        </w:rPr>
        <w:t>ה</w:t>
      </w:r>
      <w:r>
        <w:rPr>
          <w:rFonts w:ascii="FrankRuehl" w:hAnsi="FrankRuehl" w:hint="cs"/>
          <w:color w:val="000000"/>
          <w:sz w:val="28"/>
          <w:rtl/>
        </w:rPr>
        <w:t xml:space="preserve">, פסקה 17). </w:t>
      </w:r>
      <w:r w:rsidR="009E25B2">
        <w:rPr>
          <w:rFonts w:ascii="FrankRuehl" w:hAnsi="FrankRuehl" w:hint="cs"/>
          <w:color w:val="000000"/>
          <w:sz w:val="28"/>
          <w:rtl/>
        </w:rPr>
        <w:t>אציין</w:t>
      </w:r>
      <w:r>
        <w:rPr>
          <w:rFonts w:hint="cs"/>
          <w:rtl/>
        </w:rPr>
        <w:t>, כי הטיעון האמור רלבנטי לגבי כל תביעת נזיקין המוגשת בגין 'פעולה מלחמתית', גם כזו העוסקת בפגיעה בתחומי איו"ש</w:t>
      </w:r>
      <w:r w:rsidR="009E25B2">
        <w:rPr>
          <w:rFonts w:hint="cs"/>
          <w:rtl/>
        </w:rPr>
        <w:t>,</w:t>
      </w:r>
      <w:r>
        <w:rPr>
          <w:rFonts w:hint="cs"/>
          <w:rtl/>
        </w:rPr>
        <w:t xml:space="preserve"> אלא שהוא זוכה למשנה תוקף, כאשר מדובר במדינת אויב, או בשטח הנשלט בידי ארגון טרור, ללא שליטה אפקטיבית של ישראל. </w:t>
      </w:r>
    </w:p>
    <w:p w:rsidR="00D512D4" w:rsidRDefault="00D512D4" w:rsidP="002A0AEF">
      <w:pPr>
        <w:pStyle w:val="Ruller41"/>
        <w:spacing w:line="240" w:lineRule="auto"/>
        <w:rPr>
          <w:rtl/>
        </w:rPr>
      </w:pPr>
    </w:p>
    <w:p w:rsidR="00D512D4" w:rsidRDefault="00D512D4" w:rsidP="000D6DCA">
      <w:pPr>
        <w:pStyle w:val="Ruller4"/>
        <w:rPr>
          <w:rtl/>
        </w:rPr>
      </w:pPr>
      <w:r>
        <w:rPr>
          <w:rFonts w:hint="cs"/>
          <w:rtl/>
        </w:rPr>
        <w:t xml:space="preserve">בנוסף, התועלת העיקרית הנובעת ממתן חסינות למדינה בגין 'פעולה מלחמתית', עוסקת במצבים שבהם אלמלא החסינות, היתה המדינה אכן חבה בנזיקין. משכך, הדעת נותנת, כי אם אכן </w:t>
      </w:r>
      <w:r w:rsidR="009E25B2">
        <w:rPr>
          <w:rFonts w:hint="cs"/>
          <w:rtl/>
        </w:rPr>
        <w:t xml:space="preserve">זכאית </w:t>
      </w:r>
      <w:r>
        <w:rPr>
          <w:rFonts w:hint="cs"/>
          <w:rtl/>
        </w:rPr>
        <w:t>המדינה לחסינות שכזו, אין כלל מקום לבחון את סבירות פעולתם של כוחות הביטחון, וניתן לדלג ה</w:t>
      </w:r>
      <w:r w:rsidR="0029592A">
        <w:rPr>
          <w:rFonts w:hint="cs"/>
          <w:rtl/>
        </w:rPr>
        <w:t>ַ</w:t>
      </w:r>
      <w:r>
        <w:rPr>
          <w:rFonts w:hint="cs"/>
          <w:rtl/>
        </w:rPr>
        <w:t>י</w:t>
      </w:r>
      <w:r w:rsidR="0029592A">
        <w:rPr>
          <w:rFonts w:hint="cs"/>
          <w:rtl/>
        </w:rPr>
        <w:t>ְ</w:t>
      </w:r>
      <w:r>
        <w:rPr>
          <w:rFonts w:hint="cs"/>
          <w:rtl/>
        </w:rPr>
        <w:t>ש</w:t>
      </w:r>
      <w:r w:rsidR="0029592A">
        <w:rPr>
          <w:rFonts w:hint="cs"/>
          <w:rtl/>
        </w:rPr>
        <w:t>ֵׁ</w:t>
      </w:r>
      <w:r>
        <w:rPr>
          <w:rFonts w:hint="cs"/>
          <w:rtl/>
        </w:rPr>
        <w:t xml:space="preserve">ר אל דחיית התביעה; אם לא כן </w:t>
      </w:r>
      <w:r>
        <w:rPr>
          <w:rtl/>
        </w:rPr>
        <w:t>–</w:t>
      </w:r>
      <w:r>
        <w:rPr>
          <w:rFonts w:hint="cs"/>
          <w:rtl/>
        </w:rPr>
        <w:t xml:space="preserve"> מה הועילו חכמים בתקנתם? לא בכדי נפסק, כי </w:t>
      </w:r>
      <w:r w:rsidRPr="009204FF">
        <w:rPr>
          <w:rFonts w:ascii="Century" w:hAnsi="Century" w:cs="Miriam" w:hint="cs"/>
          <w:b/>
          <w:spacing w:val="0"/>
          <w:szCs w:val="24"/>
          <w:rtl/>
        </w:rPr>
        <w:t>"</w:t>
      </w:r>
      <w:r w:rsidRPr="009204FF">
        <w:rPr>
          <w:rFonts w:ascii="Century" w:hAnsi="Century" w:cs="Miriam" w:hint="eastAsia"/>
          <w:b/>
          <w:spacing w:val="0"/>
          <w:szCs w:val="24"/>
          <w:rtl/>
        </w:rPr>
        <w:t>הכרה</w:t>
      </w:r>
      <w:r w:rsidRPr="009204FF">
        <w:rPr>
          <w:rFonts w:ascii="Century" w:hAnsi="Century" w:cs="Miriam"/>
          <w:b/>
          <w:spacing w:val="0"/>
          <w:szCs w:val="24"/>
          <w:rtl/>
        </w:rPr>
        <w:t xml:space="preserve"> </w:t>
      </w:r>
      <w:r w:rsidRPr="009204FF">
        <w:rPr>
          <w:rFonts w:ascii="Century" w:hAnsi="Century" w:cs="Miriam" w:hint="eastAsia"/>
          <w:b/>
          <w:spacing w:val="0"/>
          <w:szCs w:val="24"/>
          <w:rtl/>
        </w:rPr>
        <w:t>בחסינות</w:t>
      </w:r>
      <w:r w:rsidRPr="009204FF">
        <w:rPr>
          <w:rFonts w:ascii="Century" w:hAnsi="Century" w:cs="Miriam"/>
          <w:b/>
          <w:spacing w:val="0"/>
          <w:szCs w:val="24"/>
          <w:rtl/>
        </w:rPr>
        <w:t xml:space="preserve"> </w:t>
      </w:r>
      <w:r w:rsidRPr="009204FF">
        <w:rPr>
          <w:rFonts w:ascii="Century" w:hAnsi="Century" w:cs="Miriam" w:hint="eastAsia"/>
          <w:b/>
          <w:spacing w:val="0"/>
          <w:szCs w:val="24"/>
          <w:rtl/>
        </w:rPr>
        <w:t>משמעותה</w:t>
      </w:r>
      <w:r w:rsidRPr="009204FF">
        <w:rPr>
          <w:rFonts w:ascii="Century" w:hAnsi="Century" w:cs="Miriam"/>
          <w:b/>
          <w:spacing w:val="0"/>
          <w:szCs w:val="24"/>
          <w:rtl/>
        </w:rPr>
        <w:t xml:space="preserve">, </w:t>
      </w:r>
      <w:r w:rsidRPr="009204FF">
        <w:rPr>
          <w:rFonts w:ascii="Century" w:hAnsi="Century" w:cs="Miriam" w:hint="eastAsia"/>
          <w:b/>
          <w:spacing w:val="0"/>
          <w:szCs w:val="24"/>
          <w:rtl/>
        </w:rPr>
        <w:t>שבית</w:t>
      </w:r>
      <w:r w:rsidRPr="009204FF">
        <w:rPr>
          <w:rFonts w:ascii="Century" w:hAnsi="Century" w:cs="Miriam"/>
          <w:b/>
          <w:spacing w:val="0"/>
          <w:szCs w:val="24"/>
          <w:rtl/>
        </w:rPr>
        <w:t xml:space="preserve"> </w:t>
      </w:r>
      <w:r w:rsidRPr="009204FF">
        <w:rPr>
          <w:rFonts w:ascii="Century" w:hAnsi="Century" w:cs="Miriam" w:hint="eastAsia"/>
          <w:b/>
          <w:spacing w:val="0"/>
          <w:szCs w:val="24"/>
          <w:rtl/>
        </w:rPr>
        <w:t>המשפט</w:t>
      </w:r>
      <w:r w:rsidRPr="009204FF">
        <w:rPr>
          <w:rFonts w:ascii="Century" w:hAnsi="Century" w:cs="Miriam"/>
          <w:b/>
          <w:spacing w:val="0"/>
          <w:szCs w:val="24"/>
          <w:rtl/>
        </w:rPr>
        <w:t xml:space="preserve"> </w:t>
      </w:r>
      <w:r w:rsidRPr="009204FF">
        <w:rPr>
          <w:rFonts w:ascii="Century" w:hAnsi="Century" w:cs="Miriam" w:hint="eastAsia"/>
          <w:b/>
          <w:spacing w:val="0"/>
          <w:szCs w:val="24"/>
          <w:rtl/>
        </w:rPr>
        <w:t>לא</w:t>
      </w:r>
      <w:r w:rsidRPr="009204FF">
        <w:rPr>
          <w:rFonts w:ascii="Century" w:hAnsi="Century" w:cs="Miriam"/>
          <w:b/>
          <w:spacing w:val="0"/>
          <w:szCs w:val="24"/>
          <w:rtl/>
        </w:rPr>
        <w:t xml:space="preserve"> </w:t>
      </w:r>
      <w:r w:rsidRPr="009204FF">
        <w:rPr>
          <w:rFonts w:ascii="Century" w:hAnsi="Century" w:cs="Miriam" w:hint="eastAsia"/>
          <w:b/>
          <w:spacing w:val="0"/>
          <w:szCs w:val="24"/>
          <w:rtl/>
        </w:rPr>
        <w:t>צריך</w:t>
      </w:r>
      <w:r w:rsidRPr="009204FF">
        <w:rPr>
          <w:rFonts w:ascii="Century" w:hAnsi="Century" w:cs="Miriam"/>
          <w:b/>
          <w:spacing w:val="0"/>
          <w:szCs w:val="24"/>
          <w:rtl/>
        </w:rPr>
        <w:t xml:space="preserve"> </w:t>
      </w:r>
      <w:r w:rsidRPr="009204FF">
        <w:rPr>
          <w:rFonts w:ascii="Century" w:hAnsi="Century" w:cs="Miriam" w:hint="eastAsia"/>
          <w:b/>
          <w:spacing w:val="0"/>
          <w:szCs w:val="24"/>
          <w:rtl/>
        </w:rPr>
        <w:t>להידרש</w:t>
      </w:r>
      <w:r w:rsidRPr="009204FF">
        <w:rPr>
          <w:rFonts w:ascii="Century" w:hAnsi="Century" w:cs="Miriam"/>
          <w:b/>
          <w:spacing w:val="0"/>
          <w:szCs w:val="24"/>
          <w:rtl/>
        </w:rPr>
        <w:t xml:space="preserve"> </w:t>
      </w:r>
      <w:r w:rsidRPr="009204FF">
        <w:rPr>
          <w:rFonts w:ascii="Century" w:hAnsi="Century" w:cs="Miriam" w:hint="eastAsia"/>
          <w:b/>
          <w:spacing w:val="0"/>
          <w:szCs w:val="24"/>
          <w:rtl/>
        </w:rPr>
        <w:t>כלל</w:t>
      </w:r>
      <w:r w:rsidRPr="009204FF">
        <w:rPr>
          <w:rFonts w:ascii="Century" w:hAnsi="Century" w:cs="Miriam"/>
          <w:b/>
          <w:spacing w:val="0"/>
          <w:szCs w:val="24"/>
          <w:rtl/>
        </w:rPr>
        <w:t xml:space="preserve"> </w:t>
      </w:r>
      <w:r w:rsidRPr="009204FF">
        <w:rPr>
          <w:rFonts w:ascii="Century" w:hAnsi="Century" w:cs="Miriam" w:hint="eastAsia"/>
          <w:b/>
          <w:spacing w:val="0"/>
          <w:szCs w:val="24"/>
          <w:rtl/>
        </w:rPr>
        <w:t>לשאלה</w:t>
      </w:r>
      <w:r w:rsidRPr="009204FF">
        <w:rPr>
          <w:rFonts w:ascii="Century" w:hAnsi="Century" w:cs="Miriam"/>
          <w:b/>
          <w:spacing w:val="0"/>
          <w:szCs w:val="24"/>
          <w:rtl/>
        </w:rPr>
        <w:t xml:space="preserve"> </w:t>
      </w:r>
      <w:r w:rsidRPr="009204FF">
        <w:rPr>
          <w:rFonts w:ascii="Century" w:hAnsi="Century" w:cs="Miriam" w:hint="eastAsia"/>
          <w:b/>
          <w:spacing w:val="0"/>
          <w:szCs w:val="24"/>
          <w:rtl/>
        </w:rPr>
        <w:t>אם</w:t>
      </w:r>
      <w:r w:rsidRPr="009204FF">
        <w:rPr>
          <w:rFonts w:ascii="Century" w:hAnsi="Century" w:cs="Miriam"/>
          <w:b/>
          <w:spacing w:val="0"/>
          <w:szCs w:val="24"/>
          <w:rtl/>
        </w:rPr>
        <w:t xml:space="preserve"> </w:t>
      </w:r>
      <w:r w:rsidRPr="009204FF">
        <w:rPr>
          <w:rFonts w:ascii="Century" w:hAnsi="Century" w:cs="Miriam" w:hint="eastAsia"/>
          <w:b/>
          <w:spacing w:val="0"/>
          <w:szCs w:val="24"/>
          <w:rtl/>
        </w:rPr>
        <w:t>הצבא</w:t>
      </w:r>
      <w:r w:rsidRPr="009204FF">
        <w:rPr>
          <w:rFonts w:ascii="Century" w:hAnsi="Century" w:cs="Miriam"/>
          <w:b/>
          <w:spacing w:val="0"/>
          <w:szCs w:val="24"/>
          <w:rtl/>
        </w:rPr>
        <w:t xml:space="preserve"> </w:t>
      </w:r>
      <w:r w:rsidRPr="009204FF">
        <w:rPr>
          <w:rFonts w:ascii="Century" w:hAnsi="Century" w:cs="Miriam" w:hint="eastAsia"/>
          <w:b/>
          <w:spacing w:val="0"/>
          <w:szCs w:val="24"/>
          <w:rtl/>
        </w:rPr>
        <w:t>פעל</w:t>
      </w:r>
      <w:r w:rsidRPr="009204FF">
        <w:rPr>
          <w:rFonts w:ascii="Century" w:hAnsi="Century" w:cs="Miriam"/>
          <w:b/>
          <w:spacing w:val="0"/>
          <w:szCs w:val="24"/>
          <w:rtl/>
        </w:rPr>
        <w:t xml:space="preserve"> </w:t>
      </w:r>
      <w:r w:rsidRPr="009204FF">
        <w:rPr>
          <w:rFonts w:ascii="Century" w:hAnsi="Century" w:cs="Miriam" w:hint="eastAsia"/>
          <w:b/>
          <w:spacing w:val="0"/>
          <w:szCs w:val="24"/>
          <w:rtl/>
        </w:rPr>
        <w:t>ברשלנות</w:t>
      </w:r>
      <w:r w:rsidRPr="009204FF">
        <w:rPr>
          <w:rFonts w:ascii="Century" w:hAnsi="Century" w:cs="Miriam"/>
          <w:b/>
          <w:spacing w:val="0"/>
          <w:szCs w:val="24"/>
          <w:rtl/>
        </w:rPr>
        <w:t xml:space="preserve"> </w:t>
      </w:r>
      <w:r w:rsidRPr="009204FF">
        <w:rPr>
          <w:rFonts w:ascii="Century" w:hAnsi="Century" w:cs="Miriam" w:hint="eastAsia"/>
          <w:b/>
          <w:spacing w:val="0"/>
          <w:szCs w:val="24"/>
          <w:rtl/>
        </w:rPr>
        <w:t>אם</w:t>
      </w:r>
      <w:r w:rsidRPr="009204FF">
        <w:rPr>
          <w:rFonts w:ascii="Century" w:hAnsi="Century" w:cs="Miriam"/>
          <w:b/>
          <w:spacing w:val="0"/>
          <w:szCs w:val="24"/>
          <w:rtl/>
        </w:rPr>
        <w:t xml:space="preserve"> </w:t>
      </w:r>
      <w:r w:rsidRPr="009204FF">
        <w:rPr>
          <w:rFonts w:ascii="Century" w:hAnsi="Century" w:cs="Miriam" w:hint="eastAsia"/>
          <w:b/>
          <w:spacing w:val="0"/>
          <w:szCs w:val="24"/>
          <w:rtl/>
        </w:rPr>
        <w:t>לאו</w:t>
      </w:r>
      <w:r w:rsidRPr="009204FF">
        <w:rPr>
          <w:rFonts w:ascii="Century" w:hAnsi="Century" w:cs="Miriam"/>
          <w:b/>
          <w:spacing w:val="0"/>
          <w:szCs w:val="24"/>
          <w:rtl/>
        </w:rPr>
        <w:t xml:space="preserve">, </w:t>
      </w:r>
      <w:r w:rsidRPr="009204FF">
        <w:rPr>
          <w:rFonts w:ascii="Century" w:hAnsi="Century" w:cs="Miriam" w:hint="eastAsia"/>
          <w:b/>
          <w:spacing w:val="0"/>
          <w:szCs w:val="24"/>
          <w:rtl/>
        </w:rPr>
        <w:t>כך</w:t>
      </w:r>
      <w:r w:rsidRPr="009204FF">
        <w:rPr>
          <w:rFonts w:ascii="Century" w:hAnsi="Century" w:cs="Miriam"/>
          <w:b/>
          <w:spacing w:val="0"/>
          <w:szCs w:val="24"/>
          <w:rtl/>
        </w:rPr>
        <w:t xml:space="preserve"> </w:t>
      </w:r>
      <w:r w:rsidRPr="009204FF">
        <w:rPr>
          <w:rFonts w:ascii="Century" w:hAnsi="Century" w:cs="Miriam" w:hint="eastAsia"/>
          <w:b/>
          <w:spacing w:val="0"/>
          <w:szCs w:val="24"/>
          <w:rtl/>
        </w:rPr>
        <w:t>שמתייתר</w:t>
      </w:r>
      <w:r w:rsidRPr="009204FF">
        <w:rPr>
          <w:rFonts w:ascii="Century" w:hAnsi="Century" w:cs="Miriam"/>
          <w:b/>
          <w:spacing w:val="0"/>
          <w:szCs w:val="24"/>
          <w:rtl/>
        </w:rPr>
        <w:t xml:space="preserve"> </w:t>
      </w:r>
      <w:r w:rsidRPr="009204FF">
        <w:rPr>
          <w:rFonts w:ascii="Century" w:hAnsi="Century" w:cs="Miriam" w:hint="eastAsia"/>
          <w:b/>
          <w:spacing w:val="0"/>
          <w:szCs w:val="24"/>
          <w:rtl/>
        </w:rPr>
        <w:t>הדיון</w:t>
      </w:r>
      <w:r w:rsidRPr="009204FF">
        <w:rPr>
          <w:rFonts w:ascii="Century" w:hAnsi="Century" w:cs="Miriam"/>
          <w:b/>
          <w:spacing w:val="0"/>
          <w:szCs w:val="24"/>
          <w:rtl/>
        </w:rPr>
        <w:t xml:space="preserve"> </w:t>
      </w:r>
      <w:r w:rsidRPr="009204FF">
        <w:rPr>
          <w:rFonts w:ascii="Century" w:hAnsi="Century" w:cs="Miriam" w:hint="eastAsia"/>
          <w:b/>
          <w:spacing w:val="0"/>
          <w:szCs w:val="24"/>
          <w:rtl/>
        </w:rPr>
        <w:t>לגבי</w:t>
      </w:r>
      <w:r w:rsidRPr="009204FF">
        <w:rPr>
          <w:rFonts w:ascii="Century" w:hAnsi="Century" w:cs="Miriam"/>
          <w:b/>
          <w:spacing w:val="0"/>
          <w:szCs w:val="24"/>
          <w:rtl/>
        </w:rPr>
        <w:t xml:space="preserve"> </w:t>
      </w:r>
      <w:r w:rsidRPr="009204FF">
        <w:rPr>
          <w:rFonts w:ascii="Century" w:hAnsi="Century" w:cs="Miriam" w:hint="eastAsia"/>
          <w:b/>
          <w:spacing w:val="0"/>
          <w:szCs w:val="24"/>
          <w:rtl/>
        </w:rPr>
        <w:t>האופן</w:t>
      </w:r>
      <w:r w:rsidRPr="009204FF">
        <w:rPr>
          <w:rFonts w:ascii="Century" w:hAnsi="Century" w:cs="Miriam"/>
          <w:b/>
          <w:spacing w:val="0"/>
          <w:szCs w:val="24"/>
          <w:rtl/>
        </w:rPr>
        <w:t xml:space="preserve"> </w:t>
      </w:r>
      <w:r w:rsidRPr="009204FF">
        <w:rPr>
          <w:rFonts w:ascii="Century" w:hAnsi="Century" w:cs="Miriam" w:hint="eastAsia"/>
          <w:b/>
          <w:spacing w:val="0"/>
          <w:szCs w:val="24"/>
          <w:rtl/>
        </w:rPr>
        <w:t>והדרך</w:t>
      </w:r>
      <w:r w:rsidRPr="009204FF">
        <w:rPr>
          <w:rFonts w:ascii="Century" w:hAnsi="Century" w:cs="Miriam"/>
          <w:b/>
          <w:spacing w:val="0"/>
          <w:szCs w:val="24"/>
          <w:rtl/>
        </w:rPr>
        <w:t xml:space="preserve"> </w:t>
      </w:r>
      <w:r w:rsidRPr="009204FF">
        <w:rPr>
          <w:rFonts w:ascii="Century" w:hAnsi="Century" w:cs="Miriam" w:hint="eastAsia"/>
          <w:b/>
          <w:spacing w:val="0"/>
          <w:szCs w:val="24"/>
          <w:rtl/>
        </w:rPr>
        <w:t>בה</w:t>
      </w:r>
      <w:r w:rsidRPr="009204FF">
        <w:rPr>
          <w:rFonts w:ascii="Century" w:hAnsi="Century" w:cs="Miriam"/>
          <w:b/>
          <w:spacing w:val="0"/>
          <w:szCs w:val="24"/>
          <w:rtl/>
        </w:rPr>
        <w:t xml:space="preserve"> </w:t>
      </w:r>
      <w:r w:rsidRPr="009204FF">
        <w:rPr>
          <w:rFonts w:ascii="Century" w:hAnsi="Century" w:cs="Miriam" w:hint="eastAsia"/>
          <w:b/>
          <w:spacing w:val="0"/>
          <w:szCs w:val="24"/>
          <w:rtl/>
        </w:rPr>
        <w:t>התנהלה</w:t>
      </w:r>
      <w:r w:rsidRPr="009204FF">
        <w:rPr>
          <w:rFonts w:ascii="Century" w:hAnsi="Century" w:cs="Miriam"/>
          <w:b/>
          <w:spacing w:val="0"/>
          <w:szCs w:val="24"/>
          <w:rtl/>
        </w:rPr>
        <w:t xml:space="preserve"> </w:t>
      </w:r>
      <w:r w:rsidRPr="009204FF">
        <w:rPr>
          <w:rFonts w:ascii="Century" w:hAnsi="Century" w:cs="Miriam" w:hint="eastAsia"/>
          <w:b/>
          <w:spacing w:val="0"/>
          <w:szCs w:val="24"/>
          <w:rtl/>
        </w:rPr>
        <w:t>הפעולה</w:t>
      </w:r>
      <w:r w:rsidRPr="009204FF">
        <w:rPr>
          <w:rFonts w:ascii="Century" w:hAnsi="Century" w:cs="Miriam"/>
          <w:b/>
          <w:spacing w:val="0"/>
          <w:szCs w:val="24"/>
          <w:rtl/>
        </w:rPr>
        <w:t xml:space="preserve"> </w:t>
      </w:r>
      <w:r w:rsidRPr="009204FF">
        <w:rPr>
          <w:rFonts w:ascii="Century" w:hAnsi="Century" w:cs="Miriam" w:hint="eastAsia"/>
          <w:b/>
          <w:spacing w:val="0"/>
          <w:szCs w:val="24"/>
          <w:rtl/>
        </w:rPr>
        <w:t>המלחמתית</w:t>
      </w:r>
      <w:r w:rsidRPr="009204FF">
        <w:rPr>
          <w:rFonts w:ascii="Century" w:hAnsi="Century" w:cs="Miriam" w:hint="cs"/>
          <w:b/>
          <w:spacing w:val="0"/>
          <w:szCs w:val="24"/>
          <w:rtl/>
        </w:rPr>
        <w:t>"</w:t>
      </w:r>
      <w:r>
        <w:rPr>
          <w:rFonts w:hint="cs"/>
          <w:rtl/>
        </w:rPr>
        <w:t xml:space="preserve"> (עניין </w:t>
      </w:r>
      <w:r w:rsidRPr="009204FF">
        <w:rPr>
          <w:rFonts w:ascii="Century" w:hAnsi="Century" w:cs="Miriam" w:hint="cs"/>
          <w:b/>
          <w:spacing w:val="0"/>
          <w:szCs w:val="24"/>
          <w:rtl/>
        </w:rPr>
        <w:t>חרדאן</w:t>
      </w:r>
      <w:r>
        <w:rPr>
          <w:rFonts w:hint="cs"/>
          <w:rtl/>
        </w:rPr>
        <w:t xml:space="preserve">, פסקה 13; וראו סעיף 5(ב) לחוק הנזיקים). דא עקא, עיון בפסיקה מלמד, כי בעת בירור טענת חסינות בגין 'פעולה מלחמתית', נוהגים בתי המשפט לבחון גם את </w:t>
      </w:r>
      <w:r w:rsidRPr="003870B8">
        <w:rPr>
          <w:rFonts w:ascii="Century" w:hAnsi="Century" w:cs="Miriam" w:hint="cs"/>
          <w:b/>
          <w:spacing w:val="0"/>
          <w:szCs w:val="24"/>
          <w:rtl/>
        </w:rPr>
        <w:t>סבירות</w:t>
      </w:r>
      <w:r w:rsidRPr="003870B8">
        <w:rPr>
          <w:rFonts w:hint="cs"/>
          <w:rtl/>
        </w:rPr>
        <w:t xml:space="preserve"> </w:t>
      </w:r>
      <w:r>
        <w:rPr>
          <w:rFonts w:hint="cs"/>
          <w:rtl/>
        </w:rPr>
        <w:t xml:space="preserve">התנהגותם של כוחות הביטחון: </w:t>
      </w:r>
      <w:r w:rsidRPr="009204FF">
        <w:rPr>
          <w:rFonts w:ascii="Century" w:hAnsi="Century" w:cs="Miriam" w:hint="cs"/>
          <w:b/>
          <w:spacing w:val="0"/>
          <w:szCs w:val="24"/>
          <w:rtl/>
        </w:rPr>
        <w:t>"</w:t>
      </w:r>
      <w:r w:rsidRPr="009204FF">
        <w:rPr>
          <w:rFonts w:ascii="Century" w:hAnsi="Century" w:cs="Miriam"/>
          <w:b/>
          <w:spacing w:val="0"/>
          <w:szCs w:val="24"/>
          <w:rtl/>
        </w:rPr>
        <w:t>ברוב המקרים שבהם מבקש בית המשפט להימנע מהטלת אחריות הוא יעדיף לקבוע כי לא הייתה התרשלות מצד החיילים או מצד המד</w:t>
      </w:r>
      <w:r w:rsidRPr="009204FF">
        <w:rPr>
          <w:rFonts w:ascii="Century" w:hAnsi="Century" w:cs="Miriam" w:hint="cs"/>
          <w:b/>
          <w:spacing w:val="0"/>
          <w:szCs w:val="24"/>
          <w:rtl/>
        </w:rPr>
        <w:t>ינה"</w:t>
      </w:r>
      <w:r>
        <w:rPr>
          <w:rFonts w:hint="cs"/>
          <w:rtl/>
        </w:rPr>
        <w:t xml:space="preserve"> (תמר גדרון, "אחריות המדינה, גופים ציבוריים וממלאי תפקידים ציבוריים לנזק", </w:t>
      </w:r>
      <w:r w:rsidRPr="009204FF">
        <w:rPr>
          <w:rFonts w:ascii="Century" w:hAnsi="Century" w:cs="Miriam" w:hint="cs"/>
          <w:b/>
          <w:spacing w:val="0"/>
          <w:szCs w:val="24"/>
          <w:rtl/>
        </w:rPr>
        <w:t>הפרקליט</w:t>
      </w:r>
      <w:r w:rsidRPr="00C867C4">
        <w:rPr>
          <w:rFonts w:ascii="Century" w:hAnsi="Century"/>
          <w:sz w:val="22"/>
          <w:rtl/>
        </w:rPr>
        <w:t xml:space="preserve"> </w:t>
      </w:r>
      <w:r w:rsidRPr="00C867C4">
        <w:rPr>
          <w:rFonts w:ascii="Century" w:hAnsi="Century" w:hint="eastAsia"/>
          <w:sz w:val="22"/>
          <w:rtl/>
        </w:rPr>
        <w:t>נא</w:t>
      </w:r>
      <w:r w:rsidRPr="00C867C4">
        <w:rPr>
          <w:rFonts w:ascii="Century" w:hAnsi="Century"/>
          <w:sz w:val="22"/>
          <w:rtl/>
        </w:rPr>
        <w:t xml:space="preserve"> 443</w:t>
      </w:r>
      <w:r>
        <w:rPr>
          <w:rFonts w:hint="cs"/>
          <w:rtl/>
        </w:rPr>
        <w:t xml:space="preserve">, 477 (תשע"ב)). גם בעניין </w:t>
      </w:r>
      <w:r w:rsidRPr="00DF3D73">
        <w:rPr>
          <w:rFonts w:ascii="Century" w:hAnsi="Century" w:cs="Miriam" w:hint="cs"/>
          <w:b/>
          <w:spacing w:val="0"/>
          <w:sz w:val="22"/>
          <w:szCs w:val="24"/>
          <w:rtl/>
        </w:rPr>
        <w:t>חרדאן</w:t>
      </w:r>
      <w:r>
        <w:rPr>
          <w:rFonts w:hint="cs"/>
          <w:rtl/>
        </w:rPr>
        <w:t>, שצוטט לעיל, על אף שנקבע כי עומדת למדינה חסינות, לא עצר בית המשפט בכך, א</w:t>
      </w:r>
      <w:r w:rsidR="0029592A">
        <w:rPr>
          <w:rFonts w:hint="cs"/>
          <w:rtl/>
        </w:rPr>
        <w:t>לא</w:t>
      </w:r>
      <w:r>
        <w:rPr>
          <w:rFonts w:hint="cs"/>
          <w:rtl/>
        </w:rPr>
        <w:t xml:space="preserve"> הוסיף לבחון גם את סבירות פעולותיה. ביטוי מסכם לכך, ניתן למצוא ב</w:t>
      </w:r>
      <w:r w:rsidR="0051588B">
        <w:rPr>
          <w:rFonts w:hint="cs"/>
          <w:rtl/>
        </w:rPr>
        <w:t>דברים הבאים</w:t>
      </w:r>
      <w:r>
        <w:rPr>
          <w:rFonts w:hint="cs"/>
          <w:rtl/>
        </w:rPr>
        <w:t xml:space="preserve">: </w:t>
      </w:r>
    </w:p>
    <w:p w:rsidR="00D512D4" w:rsidRDefault="00D512D4" w:rsidP="002A0AEF">
      <w:pPr>
        <w:pStyle w:val="Ruller41"/>
        <w:spacing w:line="240" w:lineRule="auto"/>
        <w:rPr>
          <w:rtl/>
        </w:rPr>
      </w:pPr>
    </w:p>
    <w:p w:rsidR="00D512D4" w:rsidRPr="00C867C4" w:rsidRDefault="00D512D4" w:rsidP="00905E8C">
      <w:pPr>
        <w:pStyle w:val="Ruller5"/>
        <w:spacing w:line="360" w:lineRule="auto"/>
        <w:rPr>
          <w:rFonts w:ascii="Century" w:hAnsi="Century"/>
          <w:rtl/>
        </w:rPr>
      </w:pPr>
      <w:r w:rsidRPr="003870B8">
        <w:rPr>
          <w:rFonts w:ascii="Century" w:hAnsi="Century" w:cs="Miriam" w:hint="cs"/>
          <w:b/>
          <w:spacing w:val="0"/>
          <w:szCs w:val="24"/>
          <w:rtl/>
        </w:rPr>
        <w:t xml:space="preserve">"בדיקה של </w:t>
      </w:r>
      <w:r w:rsidRPr="00667B9B">
        <w:rPr>
          <w:rFonts w:ascii="Century" w:hAnsi="Century" w:cs="Miriam" w:hint="cs"/>
          <w:b/>
          <w:spacing w:val="0"/>
          <w:szCs w:val="24"/>
          <w:u w:val="single"/>
          <w:rtl/>
        </w:rPr>
        <w:t>כלל הפסיקה</w:t>
      </w:r>
      <w:r w:rsidRPr="003870B8">
        <w:rPr>
          <w:rFonts w:ascii="Century" w:hAnsi="Century" w:cs="Miriam" w:hint="cs"/>
          <w:b/>
          <w:spacing w:val="0"/>
          <w:szCs w:val="24"/>
          <w:rtl/>
        </w:rPr>
        <w:t xml:space="preserve"> שניתנה לאחר פסק הדין בעניין בני עודה ועד לשנת 2015 מעידה כי במספר רב של מקרים בחן בית המשפט הן את שאלת תחולתה של החסינות והן את </w:t>
      </w:r>
      <w:r w:rsidRPr="00667B9B">
        <w:rPr>
          <w:rFonts w:ascii="Century" w:hAnsi="Century" w:cs="Miriam" w:hint="cs"/>
          <w:b/>
          <w:spacing w:val="0"/>
          <w:szCs w:val="24"/>
          <w:u w:val="single"/>
          <w:rtl/>
        </w:rPr>
        <w:t>סבירות</w:t>
      </w:r>
      <w:r w:rsidRPr="003870B8">
        <w:rPr>
          <w:rFonts w:ascii="Century" w:hAnsi="Century" w:cs="Miriam" w:hint="cs"/>
          <w:b/>
          <w:spacing w:val="0"/>
          <w:szCs w:val="24"/>
          <w:rtl/>
        </w:rPr>
        <w:t xml:space="preserve"> התנהגותם של הכוחות. מתוך 48 פסקי דין כאמור, ב-27 נקבע כי החסינות חלה, וב-21 פסקי דין נדחתה החלת החסינות. מבין 27 המקרים שבהם קבע בית המשפט כי מדובר בפעולה מלחמתית, ב-26 מקרים נקבע כי התנהגות הכוחות הייתה ראויה, ולכן גם תחת דיני הרשלנות ה</w:t>
      </w:r>
      <w:r>
        <w:rPr>
          <w:rFonts w:ascii="Century" w:hAnsi="Century" w:cs="Miriam" w:hint="cs"/>
          <w:b/>
          <w:spacing w:val="0"/>
          <w:szCs w:val="24"/>
          <w:rtl/>
        </w:rPr>
        <w:t>'</w:t>
      </w:r>
      <w:r w:rsidRPr="003870B8">
        <w:rPr>
          <w:rFonts w:ascii="Century" w:hAnsi="Century" w:cs="Miriam" w:hint="cs"/>
          <w:b/>
          <w:spacing w:val="0"/>
          <w:szCs w:val="24"/>
          <w:rtl/>
        </w:rPr>
        <w:t>רגילים</w:t>
      </w:r>
      <w:r>
        <w:rPr>
          <w:rFonts w:ascii="Century" w:hAnsi="Century" w:cs="Miriam" w:hint="cs"/>
          <w:b/>
          <w:spacing w:val="0"/>
          <w:szCs w:val="24"/>
          <w:rtl/>
        </w:rPr>
        <w:t>'</w:t>
      </w:r>
      <w:r w:rsidRPr="003870B8">
        <w:rPr>
          <w:rFonts w:ascii="Century" w:hAnsi="Century" w:cs="Miriam" w:hint="cs"/>
          <w:b/>
          <w:spacing w:val="0"/>
          <w:szCs w:val="24"/>
          <w:rtl/>
        </w:rPr>
        <w:t xml:space="preserve"> לא זכאי התובע לפיצוי [...] נתונים אלה מציעים כי בתי המשפט, הלכה למעשה, צמצמו עד </w:t>
      </w:r>
      <w:r w:rsidR="00861ED0">
        <w:rPr>
          <w:rFonts w:ascii="Century" w:hAnsi="Century" w:cs="Miriam" w:hint="cs"/>
          <w:b/>
          <w:spacing w:val="0"/>
          <w:szCs w:val="24"/>
          <w:rtl/>
        </w:rPr>
        <w:t xml:space="preserve">מאוד </w:t>
      </w:r>
      <w:r w:rsidRPr="003870B8">
        <w:rPr>
          <w:rFonts w:ascii="Century" w:hAnsi="Century" w:cs="Miriam" w:hint="cs"/>
          <w:b/>
          <w:spacing w:val="0"/>
          <w:szCs w:val="24"/>
          <w:rtl/>
        </w:rPr>
        <w:t>את תחולתה ואת משמעותה של החסינות. אחריותה של המדינה בגין פעילות צה"ל בשטחים נקבעת לפי דיני הנזיקין ה</w:t>
      </w:r>
      <w:r>
        <w:rPr>
          <w:rFonts w:ascii="Century" w:hAnsi="Century" w:cs="Miriam" w:hint="cs"/>
          <w:b/>
          <w:spacing w:val="0"/>
          <w:szCs w:val="24"/>
          <w:rtl/>
        </w:rPr>
        <w:t>'</w:t>
      </w:r>
      <w:r w:rsidRPr="003870B8">
        <w:rPr>
          <w:rFonts w:ascii="Century" w:hAnsi="Century" w:cs="Miriam" w:hint="cs"/>
          <w:b/>
          <w:spacing w:val="0"/>
          <w:szCs w:val="24"/>
          <w:rtl/>
        </w:rPr>
        <w:t>רגילים</w:t>
      </w:r>
      <w:r>
        <w:rPr>
          <w:rFonts w:ascii="Century" w:hAnsi="Century" w:cs="Miriam" w:hint="cs"/>
          <w:b/>
          <w:spacing w:val="0"/>
          <w:szCs w:val="24"/>
          <w:rtl/>
        </w:rPr>
        <w:t>'</w:t>
      </w:r>
      <w:r w:rsidRPr="003870B8">
        <w:rPr>
          <w:rFonts w:ascii="Century" w:hAnsi="Century" w:cs="Miriam" w:hint="cs"/>
          <w:b/>
          <w:spacing w:val="0"/>
          <w:szCs w:val="24"/>
          <w:rtl/>
        </w:rPr>
        <w:t>, והמדינה ככלל אינה זוכה לחסינות במקרה של מעשה רשלני המתרחש אגב פעולות לחימה"</w:t>
      </w:r>
      <w:r w:rsidRPr="003870B8">
        <w:rPr>
          <w:rFonts w:ascii="FrankRuehl" w:hAnsi="FrankRuehl"/>
          <w:b/>
          <w:spacing w:val="0"/>
          <w:sz w:val="28"/>
          <w:rtl/>
        </w:rPr>
        <w:t xml:space="preserve"> </w:t>
      </w:r>
      <w:r w:rsidRPr="00C867C4">
        <w:rPr>
          <w:rFonts w:ascii="Century" w:hAnsi="Century"/>
          <w:rtl/>
        </w:rPr>
        <w:t xml:space="preserve">(אהוד גוטל, ליאת דאשט ויובל פרוקצ'יה, </w:t>
      </w:r>
      <w:r>
        <w:rPr>
          <w:rFonts w:ascii="Century" w:hAnsi="Century" w:hint="cs"/>
          <w:rtl/>
        </w:rPr>
        <w:t>"</w:t>
      </w:r>
      <w:r w:rsidRPr="00C867C4">
        <w:rPr>
          <w:rFonts w:ascii="Century" w:hAnsi="Century"/>
          <w:rtl/>
        </w:rPr>
        <w:t>מתואמים או משלימים? דיני הנזיקין והפסיקה בבג"ץ</w:t>
      </w:r>
      <w:r>
        <w:rPr>
          <w:rFonts w:ascii="Century" w:hAnsi="Century" w:hint="cs"/>
          <w:rtl/>
        </w:rPr>
        <w:t>"</w:t>
      </w:r>
      <w:r w:rsidRPr="00C867C4">
        <w:rPr>
          <w:rFonts w:ascii="Century" w:hAnsi="Century"/>
          <w:rtl/>
        </w:rPr>
        <w:t xml:space="preserve">, </w:t>
      </w:r>
      <w:r w:rsidRPr="00662530">
        <w:rPr>
          <w:rFonts w:ascii="Century" w:hAnsi="Century" w:cs="Miriam" w:hint="eastAsia"/>
          <w:b/>
          <w:spacing w:val="0"/>
          <w:szCs w:val="24"/>
          <w:rtl/>
        </w:rPr>
        <w:t>משפטים</w:t>
      </w:r>
      <w:r w:rsidRPr="00C867C4">
        <w:rPr>
          <w:rFonts w:ascii="Century" w:hAnsi="Century"/>
          <w:rtl/>
        </w:rPr>
        <w:t xml:space="preserve"> </w:t>
      </w:r>
      <w:r w:rsidRPr="00C867C4">
        <w:rPr>
          <w:rFonts w:ascii="Century" w:hAnsi="Century" w:hint="eastAsia"/>
          <w:rtl/>
        </w:rPr>
        <w:t>נ</w:t>
      </w:r>
      <w:r w:rsidRPr="00C867C4">
        <w:rPr>
          <w:rFonts w:ascii="Century" w:hAnsi="Century"/>
          <w:rtl/>
        </w:rPr>
        <w:t xml:space="preserve"> 713, 724 (</w:t>
      </w:r>
      <w:r>
        <w:rPr>
          <w:rFonts w:ascii="Century" w:hAnsi="Century" w:hint="cs"/>
          <w:rtl/>
        </w:rPr>
        <w:t>ה</w:t>
      </w:r>
      <w:r w:rsidRPr="00C867C4">
        <w:rPr>
          <w:rFonts w:ascii="Century" w:hAnsi="Century"/>
          <w:rtl/>
        </w:rPr>
        <w:t xml:space="preserve">תשפ"א); </w:t>
      </w:r>
      <w:r w:rsidRPr="00C867C4">
        <w:rPr>
          <w:rFonts w:ascii="Century" w:hAnsi="Century" w:hint="eastAsia"/>
          <w:rtl/>
        </w:rPr>
        <w:t>השוו</w:t>
      </w:r>
      <w:r w:rsidRPr="00C867C4">
        <w:rPr>
          <w:rFonts w:ascii="Century" w:hAnsi="Century"/>
          <w:rtl/>
        </w:rPr>
        <w:t xml:space="preserve"> </w:t>
      </w:r>
      <w:r>
        <w:rPr>
          <w:rFonts w:ascii="Century" w:hAnsi="Century" w:hint="cs"/>
          <w:rtl/>
        </w:rPr>
        <w:t xml:space="preserve">גם </w:t>
      </w:r>
      <w:r w:rsidRPr="00C867C4">
        <w:rPr>
          <w:rFonts w:ascii="Century" w:hAnsi="Century" w:hint="eastAsia"/>
          <w:rtl/>
        </w:rPr>
        <w:t>לעניין</w:t>
      </w:r>
      <w:r w:rsidRPr="00C867C4">
        <w:rPr>
          <w:rFonts w:ascii="Century" w:hAnsi="Century"/>
          <w:rtl/>
        </w:rPr>
        <w:t xml:space="preserve"> </w:t>
      </w:r>
      <w:r w:rsidRPr="00662530">
        <w:rPr>
          <w:rFonts w:ascii="Century" w:hAnsi="Century" w:cs="Miriam" w:hint="eastAsia"/>
          <w:b/>
          <w:spacing w:val="0"/>
          <w:szCs w:val="24"/>
          <w:rtl/>
        </w:rPr>
        <w:t>שואמרה</w:t>
      </w:r>
      <w:r w:rsidRPr="00C867C4">
        <w:rPr>
          <w:rFonts w:ascii="Century" w:hAnsi="Century"/>
          <w:rtl/>
        </w:rPr>
        <w:t xml:space="preserve">, </w:t>
      </w:r>
      <w:r w:rsidRPr="00C867C4">
        <w:rPr>
          <w:rFonts w:ascii="Century" w:hAnsi="Century" w:hint="eastAsia"/>
          <w:rtl/>
        </w:rPr>
        <w:t>פסקאות</w:t>
      </w:r>
      <w:r w:rsidRPr="00C867C4">
        <w:rPr>
          <w:rFonts w:ascii="Century" w:hAnsi="Century"/>
          <w:rtl/>
        </w:rPr>
        <w:t xml:space="preserve"> 21-16)</w:t>
      </w:r>
      <w:r>
        <w:rPr>
          <w:rFonts w:ascii="Century" w:hAnsi="Century" w:hint="cs"/>
          <w:rtl/>
        </w:rPr>
        <w:t xml:space="preserve"> (ההדגשות הוספו </w:t>
      </w:r>
      <w:r>
        <w:rPr>
          <w:rFonts w:ascii="Century" w:hAnsi="Century"/>
          <w:rtl/>
        </w:rPr>
        <w:t>–</w:t>
      </w:r>
      <w:r>
        <w:rPr>
          <w:rFonts w:ascii="Century" w:hAnsi="Century" w:hint="cs"/>
          <w:rtl/>
        </w:rPr>
        <w:t xml:space="preserve"> נ' ס')</w:t>
      </w:r>
      <w:r w:rsidRPr="00C867C4">
        <w:rPr>
          <w:rFonts w:ascii="Century" w:hAnsi="Century"/>
          <w:rtl/>
        </w:rPr>
        <w:t>.</w:t>
      </w:r>
    </w:p>
    <w:p w:rsidR="00D512D4" w:rsidRDefault="00D512D4" w:rsidP="002A0AEF">
      <w:pPr>
        <w:pStyle w:val="Ruller4"/>
        <w:numPr>
          <w:ilvl w:val="0"/>
          <w:numId w:val="0"/>
        </w:numPr>
        <w:spacing w:line="240" w:lineRule="auto"/>
      </w:pPr>
    </w:p>
    <w:p w:rsidR="00D512D4" w:rsidRDefault="00D512D4" w:rsidP="00D512D4">
      <w:pPr>
        <w:pStyle w:val="Ruller4"/>
        <w:numPr>
          <w:ilvl w:val="0"/>
          <w:numId w:val="0"/>
        </w:numPr>
        <w:rPr>
          <w:rtl/>
        </w:rPr>
      </w:pPr>
      <w:r>
        <w:rPr>
          <w:rtl/>
        </w:rPr>
        <w:tab/>
      </w:r>
      <w:r>
        <w:rPr>
          <w:rFonts w:hint="cs"/>
          <w:rtl/>
        </w:rPr>
        <w:t xml:space="preserve">על רקע האמור, נראה כי הסדר המברר באופן פרטני, אם פעולה שגרמה נזק לנתין אויב, או לתושב שטח אויב היא אכן 'פעולה מלחמתית', גורר אחריו גם בירור מקיף על אודות עצם סבירות פעולת כוחות הביטחון; למצער כך נעשה בפרקטיקה המקובלת. בנסיבות אלה, הסדר כאמור אינו מגשים </w:t>
      </w:r>
      <w:r>
        <w:rPr>
          <w:rtl/>
        </w:rPr>
        <w:t>–</w:t>
      </w:r>
      <w:r>
        <w:rPr>
          <w:rFonts w:hint="cs"/>
          <w:rtl/>
        </w:rPr>
        <w:t xml:space="preserve"> ודאי לא במידה בת-השוואה להסדר החוקי הקיים </w:t>
      </w:r>
      <w:r>
        <w:rPr>
          <w:rtl/>
        </w:rPr>
        <w:t>–</w:t>
      </w:r>
      <w:r>
        <w:rPr>
          <w:rFonts w:hint="cs"/>
          <w:rtl/>
        </w:rPr>
        <w:t xml:space="preserve"> את התכלית בדבר אי-בירור תביעות בגין 'נזקי מלחמה', באמצעות שימוש בכלֵי המשפט הנזיקי. </w:t>
      </w:r>
    </w:p>
    <w:p w:rsidR="00D512D4" w:rsidRPr="00CA0C4B" w:rsidRDefault="00D512D4" w:rsidP="002A0AEF">
      <w:pPr>
        <w:pStyle w:val="Ruller4"/>
        <w:numPr>
          <w:ilvl w:val="0"/>
          <w:numId w:val="0"/>
        </w:numPr>
        <w:spacing w:line="240" w:lineRule="auto"/>
        <w:rPr>
          <w:rtl/>
        </w:rPr>
      </w:pPr>
      <w:r>
        <w:rPr>
          <w:rFonts w:hint="cs"/>
          <w:rtl/>
        </w:rPr>
        <w:t xml:space="preserve"> </w:t>
      </w:r>
    </w:p>
    <w:p w:rsidR="00D512D4" w:rsidRDefault="001835AF" w:rsidP="00D512D4">
      <w:pPr>
        <w:pStyle w:val="Ruller4"/>
        <w:rPr>
          <w:rtl/>
        </w:rPr>
      </w:pPr>
      <w:r>
        <w:rPr>
          <w:rFonts w:hint="cs"/>
          <w:rtl/>
        </w:rPr>
        <w:t>א</w:t>
      </w:r>
      <w:r w:rsidR="00D512D4">
        <w:rPr>
          <w:rFonts w:hint="cs"/>
          <w:rtl/>
        </w:rPr>
        <w:t>ם נרחיב את שדה הראיה, מעבר להתבוננות צרה בהסדר שנקבע בסעיף 5ב(א)(1) לחוק, נִמָ</w:t>
      </w:r>
      <w:r w:rsidR="00242353">
        <w:rPr>
          <w:rFonts w:hint="cs"/>
          <w:rtl/>
        </w:rPr>
        <w:t>ּ</w:t>
      </w:r>
      <w:r w:rsidR="00D512D4">
        <w:rPr>
          <w:rFonts w:hint="cs"/>
          <w:rtl/>
        </w:rPr>
        <w:t>צֵא למדים, כי הוא אינו חוסם באופן גורף ומוחלט את גישתם של תושבי עזה לערכאות בישראל. ישנם אפיקים נוספים, שאינם חסומים בפניהם. ישנם גם חריגים לסעיף 5ב(א)(1) לחוק, המתקיימים כאשר התכליות שבבסיסו נחלשות. גם בכך יש כדי למתן את הפגיעה הנטענת מן ההסדר האמור. אפרט.</w:t>
      </w:r>
    </w:p>
    <w:p w:rsidR="00D512D4" w:rsidRPr="005E026E" w:rsidRDefault="00D512D4" w:rsidP="002A0AEF">
      <w:pPr>
        <w:pStyle w:val="Ruller41"/>
        <w:spacing w:line="240" w:lineRule="auto"/>
      </w:pPr>
    </w:p>
    <w:p w:rsidR="00D512D4" w:rsidRDefault="00D512D4" w:rsidP="00D512D4">
      <w:pPr>
        <w:pStyle w:val="Ruller4"/>
        <w:numPr>
          <w:ilvl w:val="0"/>
          <w:numId w:val="0"/>
        </w:numPr>
      </w:pPr>
      <w:r>
        <w:rPr>
          <w:rFonts w:ascii="Century" w:hAnsi="Century" w:cs="Miriam"/>
          <w:b/>
          <w:spacing w:val="0"/>
          <w:sz w:val="22"/>
          <w:szCs w:val="24"/>
          <w:rtl/>
        </w:rPr>
        <w:tab/>
      </w:r>
      <w:r w:rsidRPr="00E56327">
        <w:rPr>
          <w:rFonts w:ascii="Century" w:hAnsi="Century" w:cs="Miriam" w:hint="cs"/>
          <w:b/>
          <w:spacing w:val="0"/>
          <w:sz w:val="22"/>
          <w:szCs w:val="24"/>
          <w:rtl/>
        </w:rPr>
        <w:t>ראשית</w:t>
      </w:r>
      <w:r>
        <w:rPr>
          <w:rFonts w:hint="cs"/>
          <w:rtl/>
        </w:rPr>
        <w:t>, חסינות המדינה מתביעה נזיקית אינה חלה, באופן אוטומטי, לגבי כל נזק שנגרם בשטח שבו מתנהלת לחימה נגד ישראל; היא תלויה בהכרזה על המקום כעל 'שטח אויב'. הכרזה זו, כשלעצמה, נתונה לביקורת שיפוטית. כך למשל, הגם ש</w:t>
      </w:r>
      <w:r w:rsidRPr="00C867C4">
        <w:rPr>
          <w:rFonts w:ascii="Century" w:hAnsi="Century" w:cs="Miriam" w:hint="eastAsia"/>
          <w:b/>
          <w:spacing w:val="0"/>
          <w:sz w:val="22"/>
          <w:szCs w:val="24"/>
          <w:rtl/>
        </w:rPr>
        <w:t>העימות</w:t>
      </w:r>
      <w:r w:rsidRPr="00C867C4">
        <w:rPr>
          <w:rFonts w:ascii="Century" w:hAnsi="Century" w:cs="Miriam"/>
          <w:b/>
          <w:spacing w:val="0"/>
          <w:sz w:val="22"/>
          <w:szCs w:val="24"/>
          <w:rtl/>
        </w:rPr>
        <w:t xml:space="preserve"> </w:t>
      </w:r>
      <w:r w:rsidRPr="00C867C4">
        <w:rPr>
          <w:rFonts w:ascii="Century" w:hAnsi="Century" w:cs="Miriam" w:hint="eastAsia"/>
          <w:b/>
          <w:spacing w:val="0"/>
          <w:sz w:val="22"/>
          <w:szCs w:val="24"/>
          <w:rtl/>
        </w:rPr>
        <w:t>החמוש</w:t>
      </w:r>
      <w:r w:rsidRPr="00BB3759">
        <w:rPr>
          <w:rtl/>
        </w:rPr>
        <w:t xml:space="preserve"> </w:t>
      </w:r>
      <w:r>
        <w:rPr>
          <w:rFonts w:hint="cs"/>
          <w:rtl/>
        </w:rPr>
        <w:t>בין ישראל לרצועת עזה החל זמן רב קודם לשנת 2014, הרי שההכרזה על עזה כ</w:t>
      </w:r>
      <w:r w:rsidRPr="00C867C4">
        <w:rPr>
          <w:rFonts w:ascii="Century" w:hAnsi="Century" w:cs="Miriam" w:hint="eastAsia"/>
          <w:b/>
          <w:spacing w:val="0"/>
          <w:sz w:val="22"/>
          <w:szCs w:val="24"/>
          <w:rtl/>
        </w:rPr>
        <w:t>שטח</w:t>
      </w:r>
      <w:r w:rsidRPr="00C867C4">
        <w:rPr>
          <w:rFonts w:ascii="Century" w:hAnsi="Century" w:cs="Miriam"/>
          <w:b/>
          <w:spacing w:val="0"/>
          <w:sz w:val="22"/>
          <w:szCs w:val="24"/>
          <w:rtl/>
        </w:rPr>
        <w:t xml:space="preserve"> </w:t>
      </w:r>
      <w:r w:rsidRPr="00C867C4">
        <w:rPr>
          <w:rFonts w:ascii="Century" w:hAnsi="Century" w:cs="Miriam" w:hint="eastAsia"/>
          <w:b/>
          <w:spacing w:val="0"/>
          <w:sz w:val="22"/>
          <w:szCs w:val="24"/>
          <w:rtl/>
        </w:rPr>
        <w:t>אויב</w:t>
      </w:r>
      <w:r>
        <w:rPr>
          <w:rFonts w:hint="cs"/>
          <w:rtl/>
        </w:rPr>
        <w:t>, הוחלה רק משנה זו ואילך, רק לאחר שהממשלה מצאה כי התגברות העימות המזוין מצדיקה זאת.</w:t>
      </w:r>
    </w:p>
    <w:p w:rsidR="00D512D4" w:rsidRDefault="00D512D4" w:rsidP="002A0AEF">
      <w:pPr>
        <w:pStyle w:val="Ruller4"/>
        <w:numPr>
          <w:ilvl w:val="0"/>
          <w:numId w:val="0"/>
        </w:numPr>
        <w:spacing w:line="240" w:lineRule="auto"/>
      </w:pPr>
    </w:p>
    <w:p w:rsidR="00D512D4" w:rsidRDefault="00D512D4" w:rsidP="00900B12">
      <w:pPr>
        <w:pStyle w:val="Ruller4"/>
        <w:numPr>
          <w:ilvl w:val="0"/>
          <w:numId w:val="0"/>
        </w:numPr>
        <w:rPr>
          <w:rtl/>
        </w:rPr>
      </w:pPr>
      <w:r>
        <w:rPr>
          <w:rFonts w:ascii="Century" w:hAnsi="Century" w:cs="Miriam"/>
          <w:b/>
          <w:spacing w:val="0"/>
          <w:sz w:val="22"/>
          <w:szCs w:val="24"/>
          <w:rtl/>
        </w:rPr>
        <w:tab/>
      </w:r>
      <w:r w:rsidRPr="002C48A9">
        <w:rPr>
          <w:rFonts w:ascii="Century" w:hAnsi="Century" w:cs="Miriam" w:hint="cs"/>
          <w:b/>
          <w:spacing w:val="0"/>
          <w:sz w:val="22"/>
          <w:szCs w:val="24"/>
          <w:rtl/>
        </w:rPr>
        <w:t>שנית</w:t>
      </w:r>
      <w:r>
        <w:rPr>
          <w:rFonts w:hint="cs"/>
          <w:rtl/>
        </w:rPr>
        <w:t xml:space="preserve">, סעיף 5ב(א)(1) לחוק, חוסם את תושבי עזה מגישה לערכאות, אך ורק ביחס לתביעות </w:t>
      </w:r>
      <w:r w:rsidRPr="005613EB">
        <w:rPr>
          <w:rFonts w:ascii="Century" w:hAnsi="Century" w:cs="Miriam" w:hint="cs"/>
          <w:b/>
          <w:spacing w:val="0"/>
          <w:sz w:val="22"/>
          <w:szCs w:val="24"/>
          <w:rtl/>
        </w:rPr>
        <w:t>נזיקין</w:t>
      </w:r>
      <w:r>
        <w:rPr>
          <w:rFonts w:hint="cs"/>
          <w:rtl/>
        </w:rPr>
        <w:t xml:space="preserve">. הוא אינו חוסם את גישתם </w:t>
      </w:r>
      <w:r w:rsidRPr="00FC746F">
        <w:rPr>
          <w:rFonts w:ascii="Century" w:hAnsi="Century" w:cs="Miriam" w:hint="cs"/>
          <w:b/>
          <w:spacing w:val="0"/>
          <w:sz w:val="22"/>
          <w:szCs w:val="24"/>
          <w:rtl/>
        </w:rPr>
        <w:t>בתחומי משפט אחרים</w:t>
      </w:r>
      <w:r>
        <w:rPr>
          <w:rFonts w:hint="cs"/>
          <w:rtl/>
        </w:rPr>
        <w:t xml:space="preserve">. כך למשל, ההסדר האמור אינו חוסם את תושבי עזה מלפנות לערכאות בישראל, נגד רשויות המדינה, בעילות </w:t>
      </w:r>
      <w:r w:rsidR="001835AF">
        <w:rPr>
          <w:rFonts w:hint="cs"/>
          <w:rtl/>
        </w:rPr>
        <w:t>מ</w:t>
      </w:r>
      <w:r>
        <w:rPr>
          <w:rFonts w:hint="cs"/>
          <w:rtl/>
        </w:rPr>
        <w:t xml:space="preserve">ן המשפט הציבורי. יש בכך כדי למתן, באופן משמעותי, את הפגיעה הנגרמת מכוח החוק. זאת, שכן בחלק מן המקרים, ההליך המינהלי מגן על אותן זכויות או אינטרסים הזוכים להגנה גם בדין הנזיקי. אזכיר בהקשר זה כי המצב החוקי בישראל, שלפיו דלתות בתי המשפט פתוחות כמעט לפני כל אדם, בבחינת </w:t>
      </w:r>
      <w:r w:rsidRPr="00900B12">
        <w:rPr>
          <w:rFonts w:ascii="Century" w:hAnsi="Century" w:cs="Miriam" w:hint="cs"/>
          <w:b/>
          <w:spacing w:val="0"/>
          <w:sz w:val="22"/>
          <w:szCs w:val="24"/>
          <w:rtl/>
        </w:rPr>
        <w:t>'</w:t>
      </w:r>
      <w:r w:rsidRPr="00900B12">
        <w:rPr>
          <w:rFonts w:ascii="Century" w:hAnsi="Century" w:cs="Miriam" w:hint="eastAsia"/>
          <w:b/>
          <w:spacing w:val="0"/>
          <w:sz w:val="22"/>
          <w:szCs w:val="24"/>
          <w:rtl/>
        </w:rPr>
        <w:t>כָ</w:t>
      </w:r>
      <w:r w:rsidR="00900B12">
        <w:rPr>
          <w:rFonts w:ascii="Century" w:hAnsi="Century" w:cs="Miriam" w:hint="cs"/>
          <w:b/>
          <w:spacing w:val="0"/>
          <w:sz w:val="22"/>
          <w:szCs w:val="24"/>
          <w:rtl/>
        </w:rPr>
        <w:t>ּ</w:t>
      </w:r>
      <w:r w:rsidRPr="00900B12">
        <w:rPr>
          <w:rFonts w:ascii="Century" w:hAnsi="Century" w:cs="Miriam" w:hint="eastAsia"/>
          <w:b/>
          <w:spacing w:val="0"/>
          <w:sz w:val="22"/>
          <w:szCs w:val="24"/>
          <w:rtl/>
        </w:rPr>
        <w:t>ל</w:t>
      </w:r>
      <w:r w:rsidRPr="00900B12">
        <w:rPr>
          <w:rFonts w:ascii="Century" w:hAnsi="Century" w:cs="Miriam"/>
          <w:b/>
          <w:spacing w:val="0"/>
          <w:sz w:val="22"/>
          <w:szCs w:val="24"/>
          <w:rtl/>
        </w:rPr>
        <w:t xml:space="preserve"> </w:t>
      </w:r>
      <w:r w:rsidRPr="00900B12">
        <w:rPr>
          <w:rFonts w:ascii="Century" w:hAnsi="Century" w:cs="Miriam" w:hint="eastAsia"/>
          <w:b/>
          <w:spacing w:val="0"/>
          <w:sz w:val="22"/>
          <w:szCs w:val="24"/>
          <w:rtl/>
        </w:rPr>
        <w:t>בָּאֵי</w:t>
      </w:r>
      <w:r w:rsidRPr="00900B12">
        <w:rPr>
          <w:rFonts w:ascii="Century" w:hAnsi="Century" w:cs="Miriam"/>
          <w:b/>
          <w:spacing w:val="0"/>
          <w:sz w:val="22"/>
          <w:szCs w:val="24"/>
          <w:rtl/>
        </w:rPr>
        <w:t xml:space="preserve"> </w:t>
      </w:r>
      <w:r w:rsidRPr="00900B12">
        <w:rPr>
          <w:rFonts w:ascii="Century" w:hAnsi="Century" w:cs="Miriam" w:hint="eastAsia"/>
          <w:b/>
          <w:spacing w:val="0"/>
          <w:sz w:val="22"/>
          <w:szCs w:val="24"/>
          <w:rtl/>
        </w:rPr>
        <w:t>עוֹלָם</w:t>
      </w:r>
      <w:r w:rsidRPr="00900B12">
        <w:rPr>
          <w:rFonts w:ascii="Century" w:hAnsi="Century" w:cs="Miriam"/>
          <w:b/>
          <w:spacing w:val="0"/>
          <w:sz w:val="22"/>
          <w:szCs w:val="24"/>
          <w:rtl/>
        </w:rPr>
        <w:t xml:space="preserve"> </w:t>
      </w:r>
      <w:r w:rsidRPr="00900B12">
        <w:rPr>
          <w:rFonts w:ascii="Century" w:hAnsi="Century" w:cs="Miriam" w:hint="eastAsia"/>
          <w:b/>
          <w:spacing w:val="0"/>
          <w:sz w:val="22"/>
          <w:szCs w:val="24"/>
          <w:rtl/>
        </w:rPr>
        <w:t>יַעַבְרוּן</w:t>
      </w:r>
      <w:r w:rsidRPr="00900B12">
        <w:rPr>
          <w:rFonts w:ascii="Century" w:hAnsi="Century" w:cs="Miriam"/>
          <w:b/>
          <w:spacing w:val="0"/>
          <w:sz w:val="22"/>
          <w:szCs w:val="24"/>
          <w:rtl/>
        </w:rPr>
        <w:t xml:space="preserve"> </w:t>
      </w:r>
      <w:r w:rsidRPr="00900B12">
        <w:rPr>
          <w:rFonts w:ascii="Century" w:hAnsi="Century" w:cs="Miriam" w:hint="eastAsia"/>
          <w:b/>
          <w:spacing w:val="0"/>
          <w:sz w:val="22"/>
          <w:szCs w:val="24"/>
          <w:rtl/>
        </w:rPr>
        <w:t>לְפָנֶיךָ</w:t>
      </w:r>
      <w:r w:rsidRPr="00900B12">
        <w:rPr>
          <w:rFonts w:ascii="Century" w:hAnsi="Century" w:cs="Miriam" w:hint="cs"/>
          <w:b/>
          <w:spacing w:val="0"/>
          <w:sz w:val="22"/>
          <w:szCs w:val="24"/>
          <w:rtl/>
        </w:rPr>
        <w:t>'</w:t>
      </w:r>
      <w:r>
        <w:rPr>
          <w:rFonts w:hint="cs"/>
          <w:rtl/>
        </w:rPr>
        <w:t xml:space="preserve">, הוא כידוע, מרחיב ביותר, </w:t>
      </w:r>
      <w:r w:rsidR="0029592A">
        <w:rPr>
          <w:rFonts w:hint="cs"/>
          <w:rtl/>
        </w:rPr>
        <w:t xml:space="preserve">שמא מדי, </w:t>
      </w:r>
      <w:r>
        <w:rPr>
          <w:rFonts w:hint="cs"/>
          <w:rtl/>
        </w:rPr>
        <w:t xml:space="preserve">גם ביחס למדינות אחרות בעולם: </w:t>
      </w:r>
      <w:r w:rsidRPr="00E56327">
        <w:rPr>
          <w:rFonts w:ascii="Century" w:hAnsi="Century" w:cs="Miriam" w:hint="cs"/>
          <w:b/>
          <w:spacing w:val="0"/>
          <w:sz w:val="22"/>
          <w:szCs w:val="24"/>
          <w:rtl/>
        </w:rPr>
        <w:t>"</w:t>
      </w:r>
      <w:r w:rsidRPr="00E56327">
        <w:rPr>
          <w:rFonts w:ascii="Century" w:hAnsi="Century" w:cs="Miriam" w:hint="eastAsia"/>
          <w:b/>
          <w:spacing w:val="0"/>
          <w:sz w:val="22"/>
          <w:szCs w:val="24"/>
          <w:rtl/>
        </w:rPr>
        <w:t>ישראל</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הרחיקה</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כידוע</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הרבה</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מעבר</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לכך</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שהרי</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המשפט</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הנוהג</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אצלנו</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בהקשרים</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אלה</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u w:val="single"/>
          <w:rtl/>
        </w:rPr>
        <w:t>כמעט</w:t>
      </w:r>
      <w:r w:rsidRPr="00E56327">
        <w:rPr>
          <w:rFonts w:ascii="Century" w:hAnsi="Century" w:cs="Miriam"/>
          <w:b/>
          <w:spacing w:val="0"/>
          <w:sz w:val="22"/>
          <w:szCs w:val="24"/>
          <w:u w:val="single"/>
          <w:rtl/>
        </w:rPr>
        <w:t xml:space="preserve"> </w:t>
      </w:r>
      <w:r w:rsidRPr="00E56327">
        <w:rPr>
          <w:rFonts w:ascii="Century" w:hAnsi="Century" w:cs="Miriam" w:hint="eastAsia"/>
          <w:b/>
          <w:spacing w:val="0"/>
          <w:sz w:val="22"/>
          <w:szCs w:val="24"/>
          <w:u w:val="single"/>
          <w:rtl/>
        </w:rPr>
        <w:t>אין</w:t>
      </w:r>
      <w:r w:rsidRPr="00E56327">
        <w:rPr>
          <w:rFonts w:ascii="Century" w:hAnsi="Century" w:cs="Miriam"/>
          <w:b/>
          <w:spacing w:val="0"/>
          <w:sz w:val="22"/>
          <w:szCs w:val="24"/>
          <w:u w:val="single"/>
          <w:rtl/>
        </w:rPr>
        <w:t xml:space="preserve"> </w:t>
      </w:r>
      <w:r w:rsidRPr="00E56327">
        <w:rPr>
          <w:rFonts w:ascii="Century" w:hAnsi="Century" w:cs="Miriam" w:hint="eastAsia"/>
          <w:b/>
          <w:spacing w:val="0"/>
          <w:sz w:val="22"/>
          <w:szCs w:val="24"/>
          <w:u w:val="single"/>
          <w:rtl/>
        </w:rPr>
        <w:t>לו</w:t>
      </w:r>
      <w:r w:rsidRPr="00E56327">
        <w:rPr>
          <w:rFonts w:ascii="Century" w:hAnsi="Century" w:cs="Miriam"/>
          <w:b/>
          <w:spacing w:val="0"/>
          <w:sz w:val="22"/>
          <w:szCs w:val="24"/>
          <w:u w:val="single"/>
          <w:rtl/>
        </w:rPr>
        <w:t xml:space="preserve"> </w:t>
      </w:r>
      <w:r w:rsidRPr="00E56327">
        <w:rPr>
          <w:rFonts w:ascii="Century" w:hAnsi="Century" w:cs="Miriam" w:hint="eastAsia"/>
          <w:b/>
          <w:spacing w:val="0"/>
          <w:sz w:val="22"/>
          <w:szCs w:val="24"/>
          <w:u w:val="single"/>
          <w:rtl/>
        </w:rPr>
        <w:t>אח</w:t>
      </w:r>
      <w:r w:rsidRPr="00E56327">
        <w:rPr>
          <w:rFonts w:ascii="Century" w:hAnsi="Century" w:cs="Miriam"/>
          <w:b/>
          <w:spacing w:val="0"/>
          <w:sz w:val="22"/>
          <w:szCs w:val="24"/>
          <w:u w:val="single"/>
          <w:rtl/>
        </w:rPr>
        <w:t xml:space="preserve"> </w:t>
      </w:r>
      <w:r w:rsidRPr="00E56327">
        <w:rPr>
          <w:rFonts w:ascii="Century" w:hAnsi="Century" w:cs="Miriam" w:hint="eastAsia"/>
          <w:b/>
          <w:spacing w:val="0"/>
          <w:sz w:val="22"/>
          <w:szCs w:val="24"/>
          <w:u w:val="single"/>
          <w:rtl/>
        </w:rPr>
        <w:t>ורע</w:t>
      </w:r>
      <w:r w:rsidRPr="00E56327">
        <w:rPr>
          <w:rFonts w:ascii="Century" w:hAnsi="Century" w:cs="Miriam"/>
          <w:b/>
          <w:spacing w:val="0"/>
          <w:sz w:val="22"/>
          <w:szCs w:val="24"/>
          <w:u w:val="single"/>
          <w:rtl/>
        </w:rPr>
        <w:t xml:space="preserve"> </w:t>
      </w:r>
      <w:r w:rsidRPr="00E56327">
        <w:rPr>
          <w:rFonts w:ascii="Century" w:hAnsi="Century" w:cs="Miriam" w:hint="eastAsia"/>
          <w:b/>
          <w:spacing w:val="0"/>
          <w:sz w:val="22"/>
          <w:szCs w:val="24"/>
          <w:u w:val="single"/>
          <w:rtl/>
        </w:rPr>
        <w:t>במדינות</w:t>
      </w:r>
      <w:r w:rsidRPr="00E56327">
        <w:rPr>
          <w:rFonts w:ascii="Century" w:hAnsi="Century" w:cs="Miriam"/>
          <w:b/>
          <w:spacing w:val="0"/>
          <w:sz w:val="22"/>
          <w:szCs w:val="24"/>
          <w:u w:val="single"/>
          <w:rtl/>
        </w:rPr>
        <w:t xml:space="preserve"> </w:t>
      </w:r>
      <w:r w:rsidRPr="00E56327">
        <w:rPr>
          <w:rFonts w:ascii="Century" w:hAnsi="Century" w:cs="Miriam" w:hint="eastAsia"/>
          <w:b/>
          <w:spacing w:val="0"/>
          <w:sz w:val="22"/>
          <w:szCs w:val="24"/>
          <w:u w:val="single"/>
          <w:rtl/>
        </w:rPr>
        <w:t>אחרות</w:t>
      </w:r>
      <w:r w:rsidRPr="00E56327">
        <w:rPr>
          <w:rFonts w:ascii="Century" w:hAnsi="Century" w:cs="Miriam"/>
          <w:b/>
          <w:spacing w:val="0"/>
          <w:sz w:val="22"/>
          <w:szCs w:val="24"/>
          <w:u w:val="single"/>
          <w:rtl/>
        </w:rPr>
        <w:t xml:space="preserve"> </w:t>
      </w:r>
      <w:r w:rsidRPr="00E56327">
        <w:rPr>
          <w:rFonts w:ascii="Century" w:hAnsi="Century" w:cs="Miriam" w:hint="eastAsia"/>
          <w:b/>
          <w:spacing w:val="0"/>
          <w:sz w:val="22"/>
          <w:szCs w:val="24"/>
          <w:u w:val="single"/>
          <w:rtl/>
        </w:rPr>
        <w:t>בעולם</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שכן</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בישראל</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מאפשרים</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בפועל</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גם</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לפעילים</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של</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ארגוני</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טרור</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להגיש</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עתירות</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לבג</w:t>
      </w:r>
      <w:r w:rsidRPr="00E56327">
        <w:rPr>
          <w:rFonts w:ascii="Century" w:hAnsi="Century" w:cs="Miriam"/>
          <w:b/>
          <w:spacing w:val="0"/>
          <w:sz w:val="22"/>
          <w:szCs w:val="24"/>
          <w:rtl/>
        </w:rPr>
        <w:t>"</w:t>
      </w:r>
      <w:r w:rsidRPr="00E56327">
        <w:rPr>
          <w:rFonts w:ascii="Century" w:hAnsi="Century" w:cs="Miriam" w:hint="eastAsia"/>
          <w:b/>
          <w:spacing w:val="0"/>
          <w:sz w:val="22"/>
          <w:szCs w:val="24"/>
          <w:rtl/>
        </w:rPr>
        <w:t>צ</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כנגד</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רשויות</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המדינה</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ומפקדי</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הצבא</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בנושאים</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שונים</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בו</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בזמן</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שבארה</w:t>
      </w:r>
      <w:r w:rsidRPr="00E56327">
        <w:rPr>
          <w:rFonts w:ascii="Century" w:hAnsi="Century" w:cs="Miriam"/>
          <w:b/>
          <w:spacing w:val="0"/>
          <w:sz w:val="22"/>
          <w:szCs w:val="24"/>
          <w:rtl/>
        </w:rPr>
        <w:t>"</w:t>
      </w:r>
      <w:r w:rsidRPr="00E56327">
        <w:rPr>
          <w:rFonts w:ascii="Century" w:hAnsi="Century" w:cs="Miriam" w:hint="eastAsia"/>
          <w:b/>
          <w:spacing w:val="0"/>
          <w:sz w:val="22"/>
          <w:szCs w:val="24"/>
          <w:rtl/>
        </w:rPr>
        <w:t>ב</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למשל</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רק</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לאחרונה</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נפתח</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פתח</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צר</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לעשות</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כן</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וזאת</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רק</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בעתירות</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מסוג</w:t>
      </w:r>
      <w:r w:rsidRPr="00E56327">
        <w:rPr>
          <w:rFonts w:ascii="Century" w:hAnsi="Century" w:cs="Miriam"/>
          <w:b/>
          <w:spacing w:val="0"/>
          <w:sz w:val="22"/>
          <w:szCs w:val="24"/>
          <w:rtl/>
        </w:rPr>
        <w:t xml:space="preserve"> </w:t>
      </w:r>
      <w:r w:rsidRPr="00E56327">
        <w:rPr>
          <w:rFonts w:ascii="Century" w:hAnsi="Century" w:cs="Miriam" w:hint="eastAsia"/>
          <w:b/>
          <w:spacing w:val="0"/>
          <w:sz w:val="22"/>
          <w:szCs w:val="24"/>
          <w:rtl/>
        </w:rPr>
        <w:t>הביאס</w:t>
      </w:r>
      <w:r w:rsidRPr="00E56327">
        <w:rPr>
          <w:rFonts w:ascii="Century" w:hAnsi="Century" w:cs="Miriam"/>
          <w:b/>
          <w:spacing w:val="0"/>
          <w:sz w:val="22"/>
          <w:szCs w:val="24"/>
          <w:rtl/>
        </w:rPr>
        <w:t>-</w:t>
      </w:r>
      <w:r w:rsidRPr="00E56327">
        <w:rPr>
          <w:rFonts w:ascii="Century" w:hAnsi="Century" w:cs="Miriam" w:hint="eastAsia"/>
          <w:b/>
          <w:spacing w:val="0"/>
          <w:sz w:val="22"/>
          <w:szCs w:val="24"/>
          <w:rtl/>
        </w:rPr>
        <w:t>קורפוס</w:t>
      </w:r>
      <w:r>
        <w:rPr>
          <w:rFonts w:hint="cs"/>
          <w:rtl/>
        </w:rPr>
        <w:t xml:space="preserve">" (עניין </w:t>
      </w:r>
      <w:r w:rsidRPr="00E56327">
        <w:rPr>
          <w:rFonts w:ascii="Century" w:hAnsi="Century" w:cs="Miriam" w:hint="cs"/>
          <w:b/>
          <w:spacing w:val="0"/>
          <w:sz w:val="22"/>
          <w:szCs w:val="24"/>
          <w:rtl/>
        </w:rPr>
        <w:t>דיראני</w:t>
      </w:r>
      <w:r>
        <w:rPr>
          <w:rFonts w:hint="cs"/>
          <w:rtl/>
        </w:rPr>
        <w:t xml:space="preserve">, פסקה 20 לפסק הדין של השופט (כתוארו אז) </w:t>
      </w:r>
      <w:r w:rsidRPr="0001077D">
        <w:rPr>
          <w:rFonts w:ascii="Century" w:hAnsi="Century" w:cs="Miriam" w:hint="cs"/>
          <w:b/>
          <w:spacing w:val="0"/>
          <w:sz w:val="22"/>
          <w:szCs w:val="24"/>
          <w:rtl/>
        </w:rPr>
        <w:t>ח' מלצר</w:t>
      </w:r>
      <w:r>
        <w:rPr>
          <w:rFonts w:hint="cs"/>
          <w:rtl/>
        </w:rPr>
        <w:t xml:space="preserve">; </w:t>
      </w:r>
      <w:r w:rsidRPr="0001077D">
        <w:rPr>
          <w:rFonts w:hint="eastAsia"/>
          <w:rtl/>
        </w:rPr>
        <w:t>בג</w:t>
      </w:r>
      <w:r w:rsidRPr="0001077D">
        <w:rPr>
          <w:rtl/>
        </w:rPr>
        <w:t>"</w:t>
      </w:r>
      <w:r w:rsidRPr="0001077D">
        <w:rPr>
          <w:rFonts w:hint="eastAsia"/>
          <w:rtl/>
        </w:rPr>
        <w:t>ץ</w:t>
      </w:r>
      <w:r w:rsidRPr="0001077D">
        <w:rPr>
          <w:rtl/>
        </w:rPr>
        <w:t xml:space="preserve"> 320/80 </w:t>
      </w:r>
      <w:r w:rsidRPr="0001077D">
        <w:rPr>
          <w:rFonts w:ascii="Century" w:hAnsi="Century" w:cs="Miriam" w:hint="eastAsia"/>
          <w:b/>
          <w:spacing w:val="0"/>
          <w:sz w:val="22"/>
          <w:szCs w:val="24"/>
          <w:rtl/>
        </w:rPr>
        <w:t>קוואסמה</w:t>
      </w:r>
      <w:r w:rsidRPr="0001077D">
        <w:rPr>
          <w:rFonts w:ascii="Century" w:hAnsi="Century" w:cs="Miriam"/>
          <w:b/>
          <w:spacing w:val="0"/>
          <w:sz w:val="22"/>
          <w:szCs w:val="24"/>
          <w:rtl/>
        </w:rPr>
        <w:t xml:space="preserve"> </w:t>
      </w:r>
      <w:r w:rsidRPr="0001077D">
        <w:rPr>
          <w:rFonts w:ascii="Century" w:hAnsi="Century" w:cs="Miriam" w:hint="eastAsia"/>
          <w:b/>
          <w:spacing w:val="0"/>
          <w:sz w:val="22"/>
          <w:szCs w:val="24"/>
          <w:rtl/>
        </w:rPr>
        <w:t>נ</w:t>
      </w:r>
      <w:r w:rsidRPr="0001077D">
        <w:rPr>
          <w:rFonts w:ascii="Century" w:hAnsi="Century" w:cs="Miriam"/>
          <w:b/>
          <w:spacing w:val="0"/>
          <w:sz w:val="22"/>
          <w:szCs w:val="24"/>
          <w:rtl/>
        </w:rPr>
        <w:t xml:space="preserve">' </w:t>
      </w:r>
      <w:r w:rsidRPr="0001077D">
        <w:rPr>
          <w:rFonts w:ascii="Century" w:hAnsi="Century" w:cs="Miriam" w:hint="eastAsia"/>
          <w:b/>
          <w:spacing w:val="0"/>
          <w:sz w:val="22"/>
          <w:szCs w:val="24"/>
          <w:rtl/>
        </w:rPr>
        <w:t>שר</w:t>
      </w:r>
      <w:r w:rsidRPr="0001077D">
        <w:rPr>
          <w:rFonts w:ascii="Century" w:hAnsi="Century" w:cs="Miriam"/>
          <w:b/>
          <w:spacing w:val="0"/>
          <w:sz w:val="22"/>
          <w:szCs w:val="24"/>
          <w:rtl/>
        </w:rPr>
        <w:t xml:space="preserve"> </w:t>
      </w:r>
      <w:r w:rsidRPr="0001077D">
        <w:rPr>
          <w:rFonts w:ascii="Century" w:hAnsi="Century" w:cs="Miriam" w:hint="eastAsia"/>
          <w:b/>
          <w:spacing w:val="0"/>
          <w:sz w:val="22"/>
          <w:szCs w:val="24"/>
          <w:rtl/>
        </w:rPr>
        <w:t>הביטחון</w:t>
      </w:r>
      <w:r w:rsidRPr="0001077D">
        <w:rPr>
          <w:rtl/>
        </w:rPr>
        <w:t xml:space="preserve">, </w:t>
      </w:r>
      <w:r w:rsidR="00900B12">
        <w:rPr>
          <w:rFonts w:hint="cs"/>
          <w:rtl/>
        </w:rPr>
        <w:t xml:space="preserve">פ"ד </w:t>
      </w:r>
      <w:r w:rsidRPr="0001077D">
        <w:rPr>
          <w:rFonts w:hint="eastAsia"/>
          <w:rtl/>
        </w:rPr>
        <w:t>לה</w:t>
      </w:r>
      <w:r w:rsidRPr="0001077D">
        <w:rPr>
          <w:rtl/>
        </w:rPr>
        <w:t>(3) 113, 130, 132 (1980)</w:t>
      </w:r>
      <w:r>
        <w:rPr>
          <w:rFonts w:hint="cs"/>
          <w:rtl/>
        </w:rPr>
        <w:t xml:space="preserve">). </w:t>
      </w:r>
    </w:p>
    <w:p w:rsidR="00D512D4" w:rsidRPr="00FC746F" w:rsidRDefault="00D512D4" w:rsidP="00240E22">
      <w:pPr>
        <w:pStyle w:val="Ruller41"/>
        <w:spacing w:line="240" w:lineRule="auto"/>
        <w:rPr>
          <w:rtl/>
        </w:rPr>
      </w:pPr>
    </w:p>
    <w:p w:rsidR="00D512D4" w:rsidRDefault="00D512D4" w:rsidP="00D512D4">
      <w:pPr>
        <w:pStyle w:val="Ruller4"/>
        <w:numPr>
          <w:ilvl w:val="0"/>
          <w:numId w:val="0"/>
        </w:numPr>
        <w:rPr>
          <w:rtl/>
        </w:rPr>
      </w:pPr>
      <w:r>
        <w:rPr>
          <w:rFonts w:ascii="Century" w:hAnsi="Century" w:cs="Miriam"/>
          <w:b/>
          <w:spacing w:val="0"/>
          <w:sz w:val="22"/>
          <w:szCs w:val="24"/>
          <w:rtl/>
        </w:rPr>
        <w:tab/>
      </w:r>
      <w:r w:rsidRPr="00FC746F">
        <w:rPr>
          <w:rFonts w:ascii="Century" w:hAnsi="Century" w:cs="Miriam" w:hint="cs"/>
          <w:b/>
          <w:spacing w:val="0"/>
          <w:sz w:val="22"/>
          <w:szCs w:val="24"/>
          <w:rtl/>
        </w:rPr>
        <w:t>ש</w:t>
      </w:r>
      <w:r>
        <w:rPr>
          <w:rFonts w:ascii="Century" w:hAnsi="Century" w:cs="Miriam" w:hint="cs"/>
          <w:b/>
          <w:spacing w:val="0"/>
          <w:sz w:val="22"/>
          <w:szCs w:val="24"/>
          <w:rtl/>
        </w:rPr>
        <w:t>לישית</w:t>
      </w:r>
      <w:r>
        <w:rPr>
          <w:rFonts w:hint="cs"/>
          <w:rtl/>
        </w:rPr>
        <w:t xml:space="preserve">, החסינות שנקבעה בסעיף האמור, חלה רק ביחס לתביעות שהוגשו </w:t>
      </w:r>
      <w:r w:rsidRPr="005613EB">
        <w:rPr>
          <w:rFonts w:ascii="Century" w:hAnsi="Century" w:cs="Miriam" w:hint="cs"/>
          <w:b/>
          <w:spacing w:val="0"/>
          <w:sz w:val="22"/>
          <w:szCs w:val="24"/>
          <w:rtl/>
        </w:rPr>
        <w:t>נגד המדינה</w:t>
      </w:r>
      <w:r>
        <w:rPr>
          <w:rFonts w:hint="cs"/>
          <w:rtl/>
        </w:rPr>
        <w:t>. כאמור לעיל, ההנחה היא שהממשק בין המדינה לתושבי עזה, נוגע במישרין לעימות המזוין וליחסי האיבה והעוינות הקולקטיביים שבין הצדדים. הנחה זו, אינה מתחייבת ביחס ל</w:t>
      </w:r>
      <w:r w:rsidRPr="00D54F79">
        <w:rPr>
          <w:rFonts w:ascii="Century" w:hAnsi="Century" w:cs="Miriam" w:hint="cs"/>
          <w:b/>
          <w:spacing w:val="0"/>
          <w:sz w:val="22"/>
          <w:szCs w:val="24"/>
          <w:rtl/>
        </w:rPr>
        <w:t xml:space="preserve">תביעות </w:t>
      </w:r>
      <w:r>
        <w:rPr>
          <w:rFonts w:ascii="Century" w:hAnsi="Century" w:cs="Miriam" w:hint="cs"/>
          <w:b/>
          <w:spacing w:val="0"/>
          <w:sz w:val="22"/>
          <w:szCs w:val="24"/>
          <w:rtl/>
        </w:rPr>
        <w:t xml:space="preserve">נזיקין </w:t>
      </w:r>
      <w:r w:rsidRPr="00D54F79">
        <w:rPr>
          <w:rFonts w:ascii="Century" w:hAnsi="Century" w:cs="Miriam" w:hint="cs"/>
          <w:b/>
          <w:spacing w:val="0"/>
          <w:sz w:val="22"/>
          <w:szCs w:val="24"/>
          <w:rtl/>
        </w:rPr>
        <w:t>נגד אזרחי או תושבי ישראל</w:t>
      </w:r>
      <w:r>
        <w:rPr>
          <w:rFonts w:hint="cs"/>
          <w:rtl/>
        </w:rPr>
        <w:t xml:space="preserve">, ולכן הפטור לא חל במצבים אלו (בשונה מן הכלל הלקוח מן המשפט המקובל; ראו עניין </w:t>
      </w:r>
      <w:r w:rsidRPr="002A5A6D">
        <w:rPr>
          <w:rFonts w:ascii="Miriam" w:hAnsi="Miriam" w:cs="Miriam"/>
          <w:szCs w:val="24"/>
          <w:rtl/>
        </w:rPr>
        <w:t>דיראני</w:t>
      </w:r>
      <w:r>
        <w:rPr>
          <w:rFonts w:hint="cs"/>
          <w:rtl/>
        </w:rPr>
        <w:t xml:space="preserve">, פסקה 88). </w:t>
      </w:r>
    </w:p>
    <w:p w:rsidR="00D512D4" w:rsidRPr="00FC746F" w:rsidRDefault="00D512D4" w:rsidP="00240E22">
      <w:pPr>
        <w:pStyle w:val="Ruller41"/>
        <w:spacing w:line="240" w:lineRule="auto"/>
      </w:pPr>
    </w:p>
    <w:p w:rsidR="00D512D4" w:rsidRDefault="00D512D4" w:rsidP="00D512D4">
      <w:pPr>
        <w:pStyle w:val="Ruller4"/>
        <w:numPr>
          <w:ilvl w:val="0"/>
          <w:numId w:val="0"/>
        </w:numPr>
      </w:pPr>
      <w:r>
        <w:rPr>
          <w:rFonts w:ascii="Century" w:hAnsi="Century" w:cs="Miriam"/>
          <w:b/>
          <w:spacing w:val="0"/>
          <w:sz w:val="22"/>
          <w:szCs w:val="24"/>
          <w:rtl/>
        </w:rPr>
        <w:tab/>
      </w:r>
      <w:r>
        <w:rPr>
          <w:rFonts w:ascii="Century" w:hAnsi="Century" w:cs="Miriam" w:hint="cs"/>
          <w:b/>
          <w:spacing w:val="0"/>
          <w:sz w:val="22"/>
          <w:szCs w:val="24"/>
          <w:rtl/>
        </w:rPr>
        <w:t>רביע</w:t>
      </w:r>
      <w:r w:rsidRPr="00FC746F">
        <w:rPr>
          <w:rFonts w:ascii="Century" w:hAnsi="Century" w:cs="Miriam" w:hint="cs"/>
          <w:b/>
          <w:spacing w:val="0"/>
          <w:sz w:val="22"/>
          <w:szCs w:val="24"/>
          <w:rtl/>
        </w:rPr>
        <w:t>ית</w:t>
      </w:r>
      <w:r>
        <w:rPr>
          <w:rFonts w:hint="cs"/>
          <w:rtl/>
        </w:rPr>
        <w:t xml:space="preserve">, ההסדר האמור אינו חל כאשר התובע </w:t>
      </w:r>
      <w:r w:rsidRPr="00D54F79">
        <w:rPr>
          <w:rFonts w:ascii="Century" w:hAnsi="Century" w:cs="Miriam" w:hint="cs"/>
          <w:b/>
          <w:spacing w:val="0"/>
          <w:sz w:val="22"/>
          <w:szCs w:val="24"/>
          <w:rtl/>
        </w:rPr>
        <w:t>"שוהה כדין בישראל"</w:t>
      </w:r>
      <w:r>
        <w:rPr>
          <w:rFonts w:hint="cs"/>
          <w:rtl/>
        </w:rPr>
        <w:t>, שכן אז נחלשת הנחת היסוד האמורה, כי התביעה הוגשה בזיקה למצב מלחמתי דווקא.</w:t>
      </w:r>
    </w:p>
    <w:p w:rsidR="00D512D4" w:rsidRPr="00BE5E73" w:rsidRDefault="00D512D4" w:rsidP="002A0AEF">
      <w:pPr>
        <w:pStyle w:val="Ruller4"/>
        <w:numPr>
          <w:ilvl w:val="0"/>
          <w:numId w:val="0"/>
        </w:numPr>
        <w:spacing w:line="240" w:lineRule="auto"/>
      </w:pPr>
    </w:p>
    <w:p w:rsidR="00D512D4" w:rsidRDefault="00D512D4" w:rsidP="00811B3D">
      <w:pPr>
        <w:pStyle w:val="Ruller4"/>
        <w:numPr>
          <w:ilvl w:val="0"/>
          <w:numId w:val="0"/>
        </w:numPr>
        <w:rPr>
          <w:rtl/>
        </w:rPr>
      </w:pPr>
      <w:r>
        <w:rPr>
          <w:rFonts w:ascii="Century" w:hAnsi="Century" w:cs="Miriam"/>
          <w:b/>
          <w:spacing w:val="0"/>
          <w:sz w:val="22"/>
          <w:szCs w:val="24"/>
          <w:rtl/>
        </w:rPr>
        <w:tab/>
      </w:r>
      <w:r w:rsidRPr="002D6573">
        <w:rPr>
          <w:rFonts w:ascii="Century" w:hAnsi="Century" w:cs="Miriam" w:hint="cs"/>
          <w:b/>
          <w:spacing w:val="0"/>
          <w:sz w:val="22"/>
          <w:szCs w:val="24"/>
          <w:rtl/>
        </w:rPr>
        <w:t>חמישית</w:t>
      </w:r>
      <w:r w:rsidRPr="002D6573">
        <w:rPr>
          <w:rFonts w:hint="cs"/>
          <w:rtl/>
        </w:rPr>
        <w:t xml:space="preserve">, בסעיף 5ב(א)(1) </w:t>
      </w:r>
      <w:r>
        <w:rPr>
          <w:rFonts w:hint="cs"/>
          <w:rtl/>
        </w:rPr>
        <w:t xml:space="preserve">לחוק </w:t>
      </w:r>
      <w:r w:rsidRPr="002D6573">
        <w:rPr>
          <w:rFonts w:hint="cs"/>
          <w:rtl/>
        </w:rPr>
        <w:t xml:space="preserve">נקבע חריג, </w:t>
      </w:r>
      <w:r>
        <w:rPr>
          <w:rFonts w:hint="cs"/>
          <w:rtl/>
        </w:rPr>
        <w:t>ש</w:t>
      </w:r>
      <w:r w:rsidRPr="002D6573">
        <w:rPr>
          <w:rFonts w:hint="cs"/>
          <w:rtl/>
        </w:rPr>
        <w:t>לפיו</w:t>
      </w:r>
      <w:r>
        <w:rPr>
          <w:rFonts w:hint="cs"/>
          <w:rtl/>
        </w:rPr>
        <w:t>,</w:t>
      </w:r>
      <w:r w:rsidRPr="002D6573">
        <w:rPr>
          <w:rFonts w:hint="cs"/>
          <w:rtl/>
        </w:rPr>
        <w:t xml:space="preserve"> נזק שנגרם לנתין מדינת אויב או תושב שטח אויב בעת ששהה </w:t>
      </w:r>
      <w:r w:rsidRPr="002D6573">
        <w:rPr>
          <w:rFonts w:ascii="Century" w:hAnsi="Century" w:cs="Miriam" w:hint="cs"/>
          <w:b/>
          <w:spacing w:val="0"/>
          <w:sz w:val="22"/>
          <w:szCs w:val="24"/>
          <w:rtl/>
        </w:rPr>
        <w:t>במשמורת בישראל</w:t>
      </w:r>
      <w:r w:rsidRPr="002D6573">
        <w:rPr>
          <w:rFonts w:hint="cs"/>
          <w:rtl/>
        </w:rPr>
        <w:t xml:space="preserve">, הוא בר-תביעה, אלא אם כן </w:t>
      </w:r>
      <w:r>
        <w:rPr>
          <w:rFonts w:hint="cs"/>
          <w:rtl/>
        </w:rPr>
        <w:t xml:space="preserve">שב </w:t>
      </w:r>
      <w:r w:rsidRPr="002D6573">
        <w:rPr>
          <w:rFonts w:hint="cs"/>
          <w:rtl/>
        </w:rPr>
        <w:t xml:space="preserve">נתין האויב </w:t>
      </w:r>
      <w:r>
        <w:rPr>
          <w:rFonts w:hint="cs"/>
          <w:rtl/>
        </w:rPr>
        <w:t>לפעול במסגרת ארגון ה</w:t>
      </w:r>
      <w:r w:rsidRPr="002D6573">
        <w:rPr>
          <w:rFonts w:hint="cs"/>
          <w:rtl/>
        </w:rPr>
        <w:t>טרור</w:t>
      </w:r>
      <w:r>
        <w:rPr>
          <w:rFonts w:hint="cs"/>
          <w:rtl/>
        </w:rPr>
        <w:t>,</w:t>
      </w:r>
      <w:r w:rsidRPr="002D6573">
        <w:rPr>
          <w:rFonts w:hint="cs"/>
          <w:rtl/>
        </w:rPr>
        <w:t xml:space="preserve"> לאחר </w:t>
      </w:r>
      <w:r>
        <w:rPr>
          <w:rFonts w:hint="cs"/>
          <w:rtl/>
        </w:rPr>
        <w:t>שחרורו מ</w:t>
      </w:r>
      <w:r w:rsidRPr="002D6573">
        <w:rPr>
          <w:rFonts w:hint="cs"/>
          <w:rtl/>
        </w:rPr>
        <w:t>משמורת. חריג זה</w:t>
      </w:r>
      <w:r>
        <w:rPr>
          <w:rFonts w:hint="cs"/>
          <w:rtl/>
        </w:rPr>
        <w:t>,</w:t>
      </w:r>
      <w:r w:rsidRPr="002D6573">
        <w:rPr>
          <w:rFonts w:hint="cs"/>
          <w:rtl/>
        </w:rPr>
        <w:t xml:space="preserve"> מתיישב עם הרציונל </w:t>
      </w:r>
      <w:r>
        <w:rPr>
          <w:rFonts w:hint="cs"/>
          <w:rtl/>
        </w:rPr>
        <w:t xml:space="preserve">העומד ביסוד </w:t>
      </w:r>
      <w:r w:rsidRPr="002D6573">
        <w:rPr>
          <w:rFonts w:hint="cs"/>
          <w:rtl/>
        </w:rPr>
        <w:t>סעיף 5ב(א)(1)</w:t>
      </w:r>
      <w:r>
        <w:rPr>
          <w:rFonts w:hint="cs"/>
          <w:rtl/>
        </w:rPr>
        <w:t xml:space="preserve"> לחוק</w:t>
      </w:r>
      <w:r w:rsidRPr="002D6573">
        <w:rPr>
          <w:rFonts w:hint="cs"/>
          <w:rtl/>
        </w:rPr>
        <w:t xml:space="preserve">, שכן </w:t>
      </w:r>
      <w:r>
        <w:rPr>
          <w:rFonts w:hint="cs"/>
          <w:rtl/>
        </w:rPr>
        <w:t xml:space="preserve">מקום שבו </w:t>
      </w:r>
      <w:r w:rsidRPr="002D6573">
        <w:rPr>
          <w:rFonts w:hint="cs"/>
          <w:rtl/>
        </w:rPr>
        <w:t>הנזק הנתבע נגרם ב</w:t>
      </w:r>
      <w:r w:rsidR="00900B12">
        <w:rPr>
          <w:rFonts w:hint="cs"/>
          <w:rtl/>
        </w:rPr>
        <w:t>שעה ש</w:t>
      </w:r>
      <w:r>
        <w:rPr>
          <w:rFonts w:hint="cs"/>
          <w:rtl/>
        </w:rPr>
        <w:t xml:space="preserve">התובע מוחזק </w:t>
      </w:r>
      <w:r w:rsidRPr="002D6573">
        <w:rPr>
          <w:rFonts w:hint="cs"/>
          <w:rtl/>
        </w:rPr>
        <w:t xml:space="preserve">במשמורת בישראל, קיים יסוד מוצק </w:t>
      </w:r>
      <w:r>
        <w:rPr>
          <w:rFonts w:hint="cs"/>
          <w:rtl/>
        </w:rPr>
        <w:t xml:space="preserve">להנחה כי </w:t>
      </w:r>
      <w:r w:rsidRPr="002D6573">
        <w:rPr>
          <w:rFonts w:hint="cs"/>
          <w:rtl/>
        </w:rPr>
        <w:t xml:space="preserve">התביעה אינה קשורה קשר הדוק לעימות המזוין. אל </w:t>
      </w:r>
      <w:r>
        <w:rPr>
          <w:rFonts w:hint="cs"/>
          <w:rtl/>
        </w:rPr>
        <w:t>יהא חריג זה קל בעינינו, שכן</w:t>
      </w:r>
      <w:r w:rsidRPr="002D6573">
        <w:rPr>
          <w:rFonts w:hint="cs"/>
          <w:rtl/>
        </w:rPr>
        <w:t xml:space="preserve"> לא בכל מדינה יכול תושב מדינת אויב </w:t>
      </w:r>
      <w:r>
        <w:rPr>
          <w:rFonts w:hint="cs"/>
          <w:rtl/>
        </w:rPr>
        <w:t xml:space="preserve">לעבור את מפתן דלתו של </w:t>
      </w:r>
      <w:r w:rsidRPr="002D6573">
        <w:rPr>
          <w:rFonts w:hint="cs"/>
          <w:rtl/>
        </w:rPr>
        <w:t>בית המשפט</w:t>
      </w:r>
      <w:r>
        <w:rPr>
          <w:rFonts w:hint="cs"/>
          <w:rtl/>
        </w:rPr>
        <w:t>,</w:t>
      </w:r>
      <w:r w:rsidRPr="002D6573">
        <w:rPr>
          <w:rFonts w:hint="cs"/>
          <w:rtl/>
        </w:rPr>
        <w:t xml:space="preserve"> בתביעת פיצויים</w:t>
      </w:r>
      <w:r>
        <w:rPr>
          <w:rFonts w:hint="cs"/>
          <w:rtl/>
        </w:rPr>
        <w:t xml:space="preserve"> נגד המדינה.</w:t>
      </w:r>
      <w:r w:rsidRPr="002D6573">
        <w:rPr>
          <w:rFonts w:hint="cs"/>
          <w:rtl/>
        </w:rPr>
        <w:t xml:space="preserve"> </w:t>
      </w:r>
      <w:r>
        <w:rPr>
          <w:rFonts w:hint="cs"/>
          <w:rtl/>
        </w:rPr>
        <w:t xml:space="preserve">זאת גם במקרים שבהם טוען התובע כי הנזק נגרם לו בהיותו </w:t>
      </w:r>
      <w:r w:rsidR="00811B3D">
        <w:rPr>
          <w:rFonts w:hint="cs"/>
          <w:rtl/>
        </w:rPr>
        <w:t xml:space="preserve">נתון </w:t>
      </w:r>
      <w:r w:rsidR="0061561D">
        <w:rPr>
          <w:rFonts w:hint="cs"/>
          <w:rtl/>
        </w:rPr>
        <w:t>במ</w:t>
      </w:r>
      <w:r>
        <w:rPr>
          <w:rFonts w:hint="cs"/>
          <w:rtl/>
        </w:rPr>
        <w:t xml:space="preserve">עצר </w:t>
      </w:r>
      <w:r w:rsidR="0051588B">
        <w:rPr>
          <w:rFonts w:hint="cs"/>
          <w:rtl/>
        </w:rPr>
        <w:t>על-ידה</w:t>
      </w:r>
      <w:r w:rsidRPr="002D6573">
        <w:rPr>
          <w:rFonts w:hint="cs"/>
          <w:rtl/>
        </w:rPr>
        <w:t xml:space="preserve">. כך למשל, בארה"ב ישנה הוראת חוק </w:t>
      </w:r>
      <w:r>
        <w:rPr>
          <w:rFonts w:hint="cs"/>
          <w:rtl/>
        </w:rPr>
        <w:t xml:space="preserve">מפורשת, </w:t>
      </w:r>
      <w:r w:rsidRPr="002D6573">
        <w:rPr>
          <w:rFonts w:hint="cs"/>
          <w:rtl/>
        </w:rPr>
        <w:t>המונעת בירור של תביעות פיצויים שהגישו עצורים</w:t>
      </w:r>
      <w:r w:rsidR="0051588B">
        <w:rPr>
          <w:rFonts w:hint="cs"/>
          <w:rtl/>
        </w:rPr>
        <w:t>, נתיני אויב,</w:t>
      </w:r>
      <w:r w:rsidRPr="002D6573">
        <w:rPr>
          <w:rFonts w:hint="cs"/>
          <w:rtl/>
        </w:rPr>
        <w:t xml:space="preserve"> </w:t>
      </w:r>
      <w:r>
        <w:rPr>
          <w:rFonts w:hint="cs"/>
          <w:rtl/>
        </w:rPr>
        <w:t xml:space="preserve">על </w:t>
      </w:r>
      <w:r w:rsidRPr="002D6573">
        <w:rPr>
          <w:rFonts w:hint="cs"/>
          <w:rtl/>
        </w:rPr>
        <w:t xml:space="preserve">תנאי מעצרם </w:t>
      </w:r>
      <w:r w:rsidRPr="002D6573">
        <w:rPr>
          <w:rFonts w:ascii="Times New Roman" w:hAnsi="Times New Roman"/>
        </w:rPr>
        <w:t>28 U.S.C. § 2241(e)(2)</w:t>
      </w:r>
      <w:r>
        <w:rPr>
          <w:rFonts w:ascii="Times New Roman" w:hAnsi="Times New Roman"/>
        </w:rPr>
        <w:t>)</w:t>
      </w:r>
      <w:r w:rsidRPr="002D6573">
        <w:rPr>
          <w:rFonts w:ascii="Times New Roman" w:hAnsi="Times New Roman" w:hint="cs"/>
          <w:rtl/>
        </w:rPr>
        <w:t>)</w:t>
      </w:r>
      <w:r>
        <w:rPr>
          <w:rFonts w:hint="cs"/>
          <w:rtl/>
        </w:rPr>
        <w:t>.</w:t>
      </w:r>
      <w:r w:rsidRPr="002D6573">
        <w:rPr>
          <w:rFonts w:hint="cs"/>
          <w:rtl/>
        </w:rPr>
        <w:t xml:space="preserve"> </w:t>
      </w:r>
      <w:r>
        <w:rPr>
          <w:rFonts w:hint="cs"/>
          <w:rtl/>
        </w:rPr>
        <w:t>הפסיקה האמריקאית נדרשה ל</w:t>
      </w:r>
      <w:r w:rsidRPr="002D6573">
        <w:rPr>
          <w:rFonts w:hint="cs"/>
          <w:rtl/>
        </w:rPr>
        <w:t>הוראת חוק</w:t>
      </w:r>
      <w:r>
        <w:rPr>
          <w:rFonts w:hint="cs"/>
          <w:rtl/>
        </w:rPr>
        <w:t xml:space="preserve"> זו, וקבעה כי </w:t>
      </w:r>
      <w:r w:rsidRPr="002D6573">
        <w:rPr>
          <w:rFonts w:hint="cs"/>
          <w:rtl/>
        </w:rPr>
        <w:t xml:space="preserve">היא חוקתית </w:t>
      </w:r>
      <w:r w:rsidRPr="002D6573">
        <w:rPr>
          <w:rFonts w:ascii="Times New Roman" w:hAnsi="Times New Roman"/>
        </w:rPr>
        <w:t>(Hamad v. Gates, 732 F.3d 990, 996 (9th Cir. Wash. 2013)</w:t>
      </w:r>
      <w:r>
        <w:rPr>
          <w:rFonts w:ascii="Times New Roman" w:hAnsi="Times New Roman"/>
        </w:rPr>
        <w:t>;</w:t>
      </w:r>
      <w:r w:rsidRPr="00E159DF">
        <w:rPr>
          <w:rFonts w:ascii="Times New Roman" w:hAnsi="Times New Roman"/>
        </w:rPr>
        <w:t xml:space="preserve"> </w:t>
      </w:r>
      <w:r>
        <w:rPr>
          <w:rFonts w:ascii="Times New Roman" w:hAnsi="Times New Roman"/>
        </w:rPr>
        <w:t>Ameur v. Gates, 950 F. Supp. 2d 905, 911-912 (E.D. Va. 2013)</w:t>
      </w:r>
      <w:r>
        <w:rPr>
          <w:rFonts w:hint="cs"/>
          <w:rtl/>
        </w:rPr>
        <w:t xml:space="preserve">; וראו גם סקירתו של הנשיא </w:t>
      </w:r>
      <w:r w:rsidRPr="00C867C4">
        <w:rPr>
          <w:rFonts w:ascii="Century" w:hAnsi="Century" w:cs="Miriam" w:hint="eastAsia"/>
          <w:b/>
          <w:spacing w:val="0"/>
          <w:sz w:val="22"/>
          <w:szCs w:val="24"/>
          <w:rtl/>
        </w:rPr>
        <w:t>גרוניס</w:t>
      </w:r>
      <w:r w:rsidRPr="00BE5E73">
        <w:rPr>
          <w:rtl/>
        </w:rPr>
        <w:t xml:space="preserve"> </w:t>
      </w:r>
      <w:r>
        <w:rPr>
          <w:rFonts w:hint="cs"/>
          <w:rtl/>
        </w:rPr>
        <w:t xml:space="preserve">בעניין </w:t>
      </w:r>
      <w:r w:rsidRPr="002D6573">
        <w:rPr>
          <w:rFonts w:ascii="Century" w:hAnsi="Century" w:cs="Miriam" w:hint="cs"/>
          <w:b/>
          <w:spacing w:val="0"/>
          <w:sz w:val="22"/>
          <w:szCs w:val="24"/>
          <w:rtl/>
        </w:rPr>
        <w:t>דיראני</w:t>
      </w:r>
      <w:r>
        <w:rPr>
          <w:rFonts w:hint="cs"/>
          <w:rtl/>
        </w:rPr>
        <w:t xml:space="preserve">, פסקאות 27-25). דומה כי גם בכך יש כדי למתן את הפגיעה בזכויות הנדונות. </w:t>
      </w:r>
    </w:p>
    <w:p w:rsidR="00D512D4" w:rsidRPr="002C48A9" w:rsidRDefault="00D512D4" w:rsidP="002A0AEF">
      <w:pPr>
        <w:pStyle w:val="Ruller41"/>
        <w:spacing w:line="240" w:lineRule="auto"/>
      </w:pPr>
    </w:p>
    <w:p w:rsidR="00D512D4" w:rsidRDefault="00D512D4" w:rsidP="00D512D4">
      <w:pPr>
        <w:pStyle w:val="Ruller4"/>
        <w:numPr>
          <w:ilvl w:val="0"/>
          <w:numId w:val="0"/>
        </w:numPr>
        <w:rPr>
          <w:rtl/>
        </w:rPr>
      </w:pPr>
      <w:r>
        <w:rPr>
          <w:rtl/>
        </w:rPr>
        <w:tab/>
      </w:r>
      <w:r>
        <w:rPr>
          <w:rFonts w:hint="cs"/>
          <w:rtl/>
        </w:rPr>
        <w:t xml:space="preserve">חריגים אלו, מחזקים אפוא את העמדה, כי פגיעתו הנטענת של סעיף 5ב(א)(1) לחוק </w:t>
      </w:r>
      <w:r>
        <w:rPr>
          <w:rtl/>
        </w:rPr>
        <w:t>–</w:t>
      </w:r>
      <w:r>
        <w:rPr>
          <w:rFonts w:hint="cs"/>
          <w:rtl/>
        </w:rPr>
        <w:t xml:space="preserve"> היא מידתית. </w:t>
      </w:r>
    </w:p>
    <w:p w:rsidR="00D512D4" w:rsidRDefault="00D512D4" w:rsidP="002A0AEF">
      <w:pPr>
        <w:pStyle w:val="Ruller4"/>
        <w:numPr>
          <w:ilvl w:val="0"/>
          <w:numId w:val="0"/>
        </w:numPr>
        <w:spacing w:line="240" w:lineRule="auto"/>
        <w:rPr>
          <w:rtl/>
        </w:rPr>
      </w:pPr>
    </w:p>
    <w:p w:rsidR="00D512D4" w:rsidRPr="00A61E76" w:rsidRDefault="00D512D4" w:rsidP="0061561D">
      <w:pPr>
        <w:pStyle w:val="Ruller4"/>
      </w:pPr>
      <w:r w:rsidRPr="00E24F59">
        <w:rPr>
          <w:rFonts w:hint="cs"/>
          <w:rtl/>
        </w:rPr>
        <w:t xml:space="preserve">מצאנו, אם כן, כי יש לאבחן את עניין </w:t>
      </w:r>
      <w:r w:rsidRPr="00C55FA7">
        <w:rPr>
          <w:rFonts w:ascii="Century" w:hAnsi="Century" w:cs="Miriam" w:hint="cs"/>
          <w:b/>
          <w:spacing w:val="0"/>
          <w:sz w:val="22"/>
          <w:szCs w:val="24"/>
          <w:rtl/>
        </w:rPr>
        <w:t>עדאלה</w:t>
      </w:r>
      <w:r w:rsidRPr="00E24F59">
        <w:rPr>
          <w:rFonts w:hint="cs"/>
          <w:rtl/>
        </w:rPr>
        <w:t xml:space="preserve"> מענייננו; </w:t>
      </w:r>
      <w:r>
        <w:rPr>
          <w:rFonts w:hint="cs"/>
          <w:rtl/>
        </w:rPr>
        <w:t xml:space="preserve">כי </w:t>
      </w:r>
      <w:r w:rsidRPr="00E24F59">
        <w:rPr>
          <w:rFonts w:hint="cs"/>
          <w:rtl/>
        </w:rPr>
        <w:t>אין להקיש מהתם להכא. כ</w:t>
      </w:r>
      <w:r w:rsidR="0061561D">
        <w:rPr>
          <w:rFonts w:hint="cs"/>
          <w:rtl/>
        </w:rPr>
        <w:t>מו כ</w:t>
      </w:r>
      <w:r w:rsidRPr="00E24F59">
        <w:rPr>
          <w:rFonts w:hint="cs"/>
          <w:rtl/>
        </w:rPr>
        <w:t xml:space="preserve">ן מצאנו, כי </w:t>
      </w:r>
      <w:r>
        <w:rPr>
          <w:rFonts w:hint="cs"/>
          <w:rtl/>
        </w:rPr>
        <w:t xml:space="preserve">בעניין </w:t>
      </w:r>
      <w:r w:rsidRPr="00C55FA7">
        <w:rPr>
          <w:rFonts w:ascii="Century" w:hAnsi="Century" w:cs="Miriam" w:hint="cs"/>
          <w:b/>
          <w:spacing w:val="0"/>
          <w:sz w:val="22"/>
          <w:szCs w:val="24"/>
          <w:rtl/>
        </w:rPr>
        <w:t>דיראני</w:t>
      </w:r>
      <w:r w:rsidRPr="00E24F59">
        <w:rPr>
          <w:rFonts w:hint="cs"/>
          <w:rtl/>
        </w:rPr>
        <w:t xml:space="preserve"> התקבל הכלל </w:t>
      </w:r>
      <w:r>
        <w:rPr>
          <w:rFonts w:hint="cs"/>
          <w:rtl/>
        </w:rPr>
        <w:t>ש</w:t>
      </w:r>
      <w:r w:rsidRPr="00E24F59">
        <w:rPr>
          <w:rFonts w:hint="cs"/>
          <w:rtl/>
        </w:rPr>
        <w:t xml:space="preserve">לפיו </w:t>
      </w:r>
      <w:r w:rsidRPr="0029592A">
        <w:rPr>
          <w:rFonts w:ascii="Century" w:hAnsi="Century" w:cs="Miriam" w:hint="cs"/>
          <w:b/>
          <w:spacing w:val="0"/>
          <w:sz w:val="22"/>
          <w:szCs w:val="24"/>
          <w:rtl/>
        </w:rPr>
        <w:t>'אין מבררים תביעת אויב'</w:t>
      </w:r>
      <w:r w:rsidRPr="00E24F59">
        <w:rPr>
          <w:rFonts w:hint="cs"/>
          <w:rtl/>
        </w:rPr>
        <w:t>, הן בגרסתו המסורתית הגורפת והכוללנית, לגבי נתיני מדינת אויב</w:t>
      </w:r>
      <w:r w:rsidR="0061561D">
        <w:rPr>
          <w:rFonts w:hint="cs"/>
          <w:rtl/>
        </w:rPr>
        <w:t>,</w:t>
      </w:r>
      <w:r w:rsidRPr="00E24F59">
        <w:rPr>
          <w:rFonts w:hint="cs"/>
          <w:rtl/>
        </w:rPr>
        <w:t xml:space="preserve"> הן בגרסתו החדשה, לגבי פעילי ארגון טרור הפועלים משטחה של מדינה זרה</w:t>
      </w:r>
      <w:r>
        <w:rPr>
          <w:rFonts w:hint="cs"/>
          <w:rtl/>
        </w:rPr>
        <w:t xml:space="preserve">. עוד מצאנו באותו עניין, </w:t>
      </w:r>
      <w:r w:rsidRPr="00E24F59">
        <w:rPr>
          <w:rFonts w:hint="cs"/>
          <w:rtl/>
        </w:rPr>
        <w:t>כי הרציונלים שבכלל האמור</w:t>
      </w:r>
      <w:r>
        <w:rPr>
          <w:rFonts w:hint="cs"/>
          <w:rtl/>
        </w:rPr>
        <w:t>,</w:t>
      </w:r>
      <w:r w:rsidRPr="00E24F59">
        <w:rPr>
          <w:rFonts w:hint="cs"/>
          <w:rtl/>
        </w:rPr>
        <w:t xml:space="preserve"> מתקיימים גם לגבי תביעות של תושבי רצועת עזה, ואף ביתר שאת. לבסוף, הרא</w:t>
      </w:r>
      <w:r>
        <w:rPr>
          <w:rFonts w:hint="cs"/>
          <w:rtl/>
        </w:rPr>
        <w:t>י</w:t>
      </w:r>
      <w:r w:rsidRPr="00E24F59">
        <w:rPr>
          <w:rFonts w:hint="cs"/>
          <w:rtl/>
        </w:rPr>
        <w:t xml:space="preserve">נו </w:t>
      </w:r>
      <w:r>
        <w:rPr>
          <w:rFonts w:hint="cs"/>
          <w:rtl/>
        </w:rPr>
        <w:t xml:space="preserve">לדעת, </w:t>
      </w:r>
      <w:r w:rsidRPr="00E24F59">
        <w:rPr>
          <w:rFonts w:hint="cs"/>
          <w:rtl/>
        </w:rPr>
        <w:t>כי</w:t>
      </w:r>
      <w:r>
        <w:rPr>
          <w:rFonts w:hint="cs"/>
          <w:rtl/>
        </w:rPr>
        <w:t xml:space="preserve"> בחינה פרטנית לא תגשים </w:t>
      </w:r>
      <w:r>
        <w:rPr>
          <w:rtl/>
        </w:rPr>
        <w:t>–</w:t>
      </w:r>
      <w:r>
        <w:rPr>
          <w:rFonts w:hint="cs"/>
          <w:rtl/>
        </w:rPr>
        <w:t xml:space="preserve"> ודאי לא במידה שוות-ערך </w:t>
      </w:r>
      <w:r>
        <w:rPr>
          <w:rtl/>
        </w:rPr>
        <w:t>–</w:t>
      </w:r>
      <w:r>
        <w:rPr>
          <w:rFonts w:hint="cs"/>
          <w:rtl/>
        </w:rPr>
        <w:t xml:space="preserve"> את התכליות שאותן ביקש המחוקק להשיג. ובנוסף, כי קיימים היבטים הממתנים את הכוללניות, ואת ישומו הגורף של ההסדר האמור, באופן המקרין על מידתיותו. אשר על כן, נוכח כלל האמור, מסקנתי היא כי סעיף 5ב(א)(1) לחוק צולח גם את </w:t>
      </w:r>
      <w:r w:rsidRPr="0029592A">
        <w:rPr>
          <w:rFonts w:ascii="Century" w:hAnsi="Century" w:cs="Miriam" w:hint="cs"/>
          <w:b/>
          <w:spacing w:val="0"/>
          <w:sz w:val="22"/>
          <w:szCs w:val="24"/>
          <w:rtl/>
        </w:rPr>
        <w:t>מבחן 'האמצעי שפגיעתו פחותה'</w:t>
      </w:r>
      <w:r>
        <w:rPr>
          <w:rFonts w:hint="cs"/>
          <w:rtl/>
        </w:rPr>
        <w:t xml:space="preserve">. נעבור אפוא למבחן המשנה השלישי והאחרון </w:t>
      </w:r>
      <w:r>
        <w:rPr>
          <w:rtl/>
        </w:rPr>
        <w:t>–</w:t>
      </w:r>
      <w:r>
        <w:rPr>
          <w:rFonts w:hint="cs"/>
          <w:rtl/>
        </w:rPr>
        <w:t xml:space="preserve"> מידתיות ב</w:t>
      </w:r>
      <w:r w:rsidRPr="0029592A">
        <w:rPr>
          <w:rFonts w:ascii="Century" w:hAnsi="Century" w:cs="Miriam" w:hint="cs"/>
          <w:b/>
          <w:spacing w:val="0"/>
          <w:sz w:val="22"/>
          <w:szCs w:val="24"/>
          <w:rtl/>
        </w:rPr>
        <w:t>'מובן הצר'</w:t>
      </w:r>
      <w:r>
        <w:rPr>
          <w:rFonts w:hint="cs"/>
          <w:rtl/>
        </w:rPr>
        <w:t xml:space="preserve">. </w:t>
      </w:r>
    </w:p>
    <w:p w:rsidR="00D512D4" w:rsidRDefault="00D512D4" w:rsidP="00D512D4">
      <w:pPr>
        <w:pStyle w:val="Ruller41"/>
        <w:rPr>
          <w:rFonts w:ascii="Century" w:hAnsi="Century" w:cs="Miriam"/>
          <w:b/>
          <w:spacing w:val="0"/>
          <w:szCs w:val="24"/>
          <w:rtl/>
        </w:rPr>
      </w:pPr>
    </w:p>
    <w:p w:rsidR="00D512D4" w:rsidRDefault="00D512D4" w:rsidP="000067AF">
      <w:pPr>
        <w:pStyle w:val="5"/>
        <w:rPr>
          <w:rtl/>
        </w:rPr>
      </w:pPr>
      <w:bookmarkStart w:id="59" w:name="_Toc107851307"/>
      <w:bookmarkStart w:id="60" w:name="_Toc107851365"/>
      <w:r>
        <w:rPr>
          <w:rFonts w:hint="cs"/>
          <w:rtl/>
        </w:rPr>
        <w:t>ד.3.3.</w:t>
      </w:r>
      <w:r w:rsidR="000067AF">
        <w:rPr>
          <w:rFonts w:hint="cs"/>
          <w:rtl/>
        </w:rPr>
        <w:t>2.3</w:t>
      </w:r>
      <w:r>
        <w:rPr>
          <w:rFonts w:hint="cs"/>
          <w:rtl/>
        </w:rPr>
        <w:t>. מידתיות במובן הצר</w:t>
      </w:r>
      <w:bookmarkEnd w:id="59"/>
      <w:bookmarkEnd w:id="60"/>
    </w:p>
    <w:p w:rsidR="00D512D4" w:rsidRDefault="00D512D4" w:rsidP="0029592A">
      <w:pPr>
        <w:pStyle w:val="Ruller4"/>
      </w:pPr>
      <w:r>
        <w:rPr>
          <w:rFonts w:hint="cs"/>
          <w:rtl/>
        </w:rPr>
        <w:t xml:space="preserve">על-פי הפסיקה, בגדר מבחן זה, על בית המשפט לערוך איזון בין התועלת החברתית הצומחת מהחוק, לבין הפגיעה שעשויה להיגרם ממנו לפרט. על בית המשפט לבחון אם מתקיים יחס ראוי, נאות ושקול, בין הערכים השונים, והאינטרסים המתנגשים (אהרון ברק, </w:t>
      </w:r>
      <w:r>
        <w:rPr>
          <w:rtl/>
        </w:rPr>
        <w:t>איזון חוקתי עקרוני ומידתיות: ההיבט התורתי</w:t>
      </w:r>
      <w:r>
        <w:rPr>
          <w:rFonts w:hint="cs"/>
          <w:rtl/>
        </w:rPr>
        <w:t xml:space="preserve">, </w:t>
      </w:r>
      <w:r w:rsidRPr="005862AF">
        <w:rPr>
          <w:rFonts w:ascii="Century" w:hAnsi="Century" w:cs="Miriam" w:hint="cs"/>
          <w:b/>
          <w:spacing w:val="0"/>
          <w:sz w:val="22"/>
          <w:szCs w:val="24"/>
          <w:rtl/>
        </w:rPr>
        <w:t>ספר ברק</w:t>
      </w:r>
      <w:r>
        <w:rPr>
          <w:rFonts w:hint="cs"/>
          <w:rtl/>
        </w:rPr>
        <w:t xml:space="preserve"> 39, 49-48 (התשס"ט)). בפסיקה ניתן להבחין במגמה ברורה, של העברת עיקר כובד המשקל למבחן-המשנה השלישי </w:t>
      </w:r>
      <w:r>
        <w:rPr>
          <w:rtl/>
        </w:rPr>
        <w:t>–</w:t>
      </w:r>
      <w:r>
        <w:rPr>
          <w:rFonts w:hint="cs"/>
          <w:rtl/>
        </w:rPr>
        <w:t xml:space="preserve"> מידתיות 'במובן הצר' (ראו, למשל, </w:t>
      </w:r>
      <w:r w:rsidRPr="00E56062">
        <w:rPr>
          <w:rFonts w:ascii="Miriam" w:hAnsi="Miriam" w:cs="Miriam"/>
          <w:szCs w:val="24"/>
          <w:rtl/>
        </w:rPr>
        <w:t>ברק</w:t>
      </w:r>
      <w:r>
        <w:rPr>
          <w:rFonts w:hint="cs"/>
          <w:rtl/>
        </w:rPr>
        <w:t xml:space="preserve"> </w:t>
      </w:r>
      <w:r>
        <w:rPr>
          <w:rtl/>
        </w:rPr>
        <w:t>–</w:t>
      </w:r>
      <w:r>
        <w:rPr>
          <w:rFonts w:hint="cs"/>
          <w:rtl/>
        </w:rPr>
        <w:t xml:space="preserve"> </w:t>
      </w:r>
      <w:r w:rsidRPr="005862AF">
        <w:rPr>
          <w:rFonts w:ascii="Century" w:hAnsi="Century" w:cs="Miriam" w:hint="cs"/>
          <w:b/>
          <w:spacing w:val="0"/>
          <w:szCs w:val="24"/>
          <w:rtl/>
        </w:rPr>
        <w:t>מידתיות</w:t>
      </w:r>
      <w:r>
        <w:rPr>
          <w:rFonts w:ascii="Century" w:hAnsi="Century" w:cs="Miriam" w:hint="cs"/>
          <w:b/>
          <w:spacing w:val="0"/>
          <w:szCs w:val="24"/>
          <w:rtl/>
        </w:rPr>
        <w:t xml:space="preserve"> </w:t>
      </w:r>
      <w:r w:rsidRPr="005862AF">
        <w:rPr>
          <w:rFonts w:ascii="Century" w:hAnsi="Century" w:cs="Miriam" w:hint="cs"/>
          <w:b/>
          <w:spacing w:val="0"/>
          <w:szCs w:val="24"/>
          <w:rtl/>
        </w:rPr>
        <w:t>במשפט</w:t>
      </w:r>
      <w:r>
        <w:rPr>
          <w:rFonts w:hint="cs"/>
          <w:rtl/>
        </w:rPr>
        <w:t>, עמוד 420). על הסתייגותי ממגמה זו, בעיקר בשל האופי הערכי הטמון במבחן-המשנה השלישי, ועל ה</w:t>
      </w:r>
      <w:r w:rsidRPr="005862AF">
        <w:rPr>
          <w:rFonts w:ascii="Century" w:hAnsi="Century" w:cs="Miriam" w:hint="cs"/>
          <w:b/>
          <w:spacing w:val="0"/>
          <w:szCs w:val="24"/>
          <w:rtl/>
        </w:rPr>
        <w:t>"</w:t>
      </w:r>
      <w:r w:rsidRPr="005862AF">
        <w:rPr>
          <w:rFonts w:ascii="Century" w:hAnsi="Century" w:cs="Miriam" w:hint="eastAsia"/>
          <w:b/>
          <w:spacing w:val="0"/>
          <w:szCs w:val="24"/>
          <w:rtl/>
        </w:rPr>
        <w:t>משקל</w:t>
      </w:r>
      <w:r w:rsidRPr="005862AF">
        <w:rPr>
          <w:rFonts w:ascii="Century" w:hAnsi="Century" w:cs="Miriam"/>
          <w:b/>
          <w:spacing w:val="0"/>
          <w:szCs w:val="24"/>
          <w:rtl/>
        </w:rPr>
        <w:t xml:space="preserve"> </w:t>
      </w:r>
      <w:r w:rsidRPr="005862AF">
        <w:rPr>
          <w:rFonts w:ascii="Century" w:hAnsi="Century" w:cs="Miriam" w:hint="eastAsia"/>
          <w:b/>
          <w:spacing w:val="0"/>
          <w:szCs w:val="24"/>
          <w:rtl/>
        </w:rPr>
        <w:t>הלא</w:t>
      </w:r>
      <w:r w:rsidRPr="005862AF">
        <w:rPr>
          <w:rFonts w:ascii="Century" w:hAnsi="Century" w:cs="Miriam"/>
          <w:b/>
          <w:spacing w:val="0"/>
          <w:szCs w:val="24"/>
          <w:rtl/>
        </w:rPr>
        <w:t>-</w:t>
      </w:r>
      <w:r w:rsidRPr="005862AF">
        <w:rPr>
          <w:rFonts w:ascii="Century" w:hAnsi="Century" w:cs="Miriam" w:hint="eastAsia"/>
          <w:b/>
          <w:spacing w:val="0"/>
          <w:szCs w:val="24"/>
          <w:rtl/>
        </w:rPr>
        <w:t>מידתי</w:t>
      </w:r>
      <w:r w:rsidRPr="005862AF">
        <w:rPr>
          <w:rFonts w:ascii="Century" w:hAnsi="Century" w:cs="Miriam"/>
          <w:b/>
          <w:spacing w:val="0"/>
          <w:szCs w:val="24"/>
          <w:rtl/>
        </w:rPr>
        <w:t xml:space="preserve"> </w:t>
      </w:r>
      <w:r w:rsidRPr="005862AF">
        <w:rPr>
          <w:rFonts w:ascii="Century" w:hAnsi="Century" w:cs="Miriam" w:hint="eastAsia"/>
          <w:b/>
          <w:spacing w:val="0"/>
          <w:szCs w:val="24"/>
          <w:rtl/>
        </w:rPr>
        <w:t>שניתן</w:t>
      </w:r>
      <w:r w:rsidRPr="005862AF">
        <w:rPr>
          <w:rFonts w:ascii="Century" w:hAnsi="Century" w:cs="Miriam"/>
          <w:b/>
          <w:spacing w:val="0"/>
          <w:szCs w:val="24"/>
          <w:rtl/>
        </w:rPr>
        <w:t xml:space="preserve"> </w:t>
      </w:r>
      <w:r w:rsidRPr="005862AF">
        <w:rPr>
          <w:rFonts w:ascii="Century" w:hAnsi="Century" w:cs="Miriam" w:hint="eastAsia"/>
          <w:b/>
          <w:spacing w:val="0"/>
          <w:szCs w:val="24"/>
          <w:rtl/>
        </w:rPr>
        <w:t>למבחן</w:t>
      </w:r>
      <w:r w:rsidRPr="005862AF">
        <w:rPr>
          <w:rFonts w:ascii="Century" w:hAnsi="Century" w:cs="Miriam"/>
          <w:b/>
          <w:spacing w:val="0"/>
          <w:szCs w:val="24"/>
          <w:rtl/>
        </w:rPr>
        <w:t xml:space="preserve"> </w:t>
      </w:r>
      <w:r w:rsidRPr="005862AF">
        <w:rPr>
          <w:rFonts w:ascii="Century" w:hAnsi="Century" w:cs="Miriam" w:hint="eastAsia"/>
          <w:b/>
          <w:spacing w:val="0"/>
          <w:szCs w:val="24"/>
          <w:rtl/>
        </w:rPr>
        <w:t>המידתיות</w:t>
      </w:r>
      <w:r w:rsidRPr="005862AF">
        <w:rPr>
          <w:rFonts w:ascii="Century" w:hAnsi="Century" w:cs="Miriam"/>
          <w:b/>
          <w:spacing w:val="0"/>
          <w:szCs w:val="24"/>
          <w:rtl/>
        </w:rPr>
        <w:t xml:space="preserve"> </w:t>
      </w:r>
      <w:r w:rsidRPr="005862AF">
        <w:rPr>
          <w:rFonts w:ascii="Century" w:hAnsi="Century" w:cs="Miriam" w:hint="eastAsia"/>
          <w:b/>
          <w:spacing w:val="0"/>
          <w:szCs w:val="24"/>
          <w:rtl/>
        </w:rPr>
        <w:t>במובן</w:t>
      </w:r>
      <w:r w:rsidRPr="005862AF">
        <w:rPr>
          <w:rFonts w:ascii="Century" w:hAnsi="Century" w:cs="Miriam"/>
          <w:b/>
          <w:spacing w:val="0"/>
          <w:szCs w:val="24"/>
          <w:rtl/>
        </w:rPr>
        <w:t xml:space="preserve"> </w:t>
      </w:r>
      <w:r w:rsidRPr="005862AF">
        <w:rPr>
          <w:rFonts w:ascii="Century" w:hAnsi="Century" w:cs="Miriam" w:hint="eastAsia"/>
          <w:b/>
          <w:spacing w:val="0"/>
          <w:szCs w:val="24"/>
          <w:rtl/>
        </w:rPr>
        <w:t>הצר</w:t>
      </w:r>
      <w:r w:rsidRPr="005862AF">
        <w:rPr>
          <w:rFonts w:ascii="Century" w:hAnsi="Century" w:cs="Miriam"/>
          <w:b/>
          <w:spacing w:val="0"/>
          <w:szCs w:val="24"/>
          <w:rtl/>
        </w:rPr>
        <w:t xml:space="preserve"> (</w:t>
      </w:r>
      <w:r w:rsidRPr="005862AF">
        <w:rPr>
          <w:rFonts w:ascii="Century" w:hAnsi="Century" w:cs="Miriam" w:hint="eastAsia"/>
          <w:b/>
          <w:spacing w:val="0"/>
          <w:szCs w:val="24"/>
          <w:rtl/>
        </w:rPr>
        <w:t>שאינו</w:t>
      </w:r>
      <w:r w:rsidRPr="005862AF">
        <w:rPr>
          <w:rFonts w:ascii="Century" w:hAnsi="Century" w:cs="Miriam"/>
          <w:b/>
          <w:spacing w:val="0"/>
          <w:szCs w:val="24"/>
          <w:rtl/>
        </w:rPr>
        <w:t xml:space="preserve"> </w:t>
      </w:r>
      <w:r w:rsidRPr="005862AF">
        <w:rPr>
          <w:rFonts w:ascii="Century" w:hAnsi="Century" w:cs="Miriam" w:hint="eastAsia"/>
          <w:b/>
          <w:spacing w:val="0"/>
          <w:szCs w:val="24"/>
          <w:rtl/>
        </w:rPr>
        <w:t>אלא</w:t>
      </w:r>
      <w:r w:rsidRPr="005862AF">
        <w:rPr>
          <w:rFonts w:ascii="Century" w:hAnsi="Century" w:cs="Miriam"/>
          <w:b/>
          <w:spacing w:val="0"/>
          <w:szCs w:val="24"/>
          <w:rtl/>
        </w:rPr>
        <w:t xml:space="preserve"> </w:t>
      </w:r>
      <w:r w:rsidRPr="005862AF">
        <w:rPr>
          <w:rFonts w:ascii="Century" w:hAnsi="Century" w:cs="Miriam" w:hint="eastAsia"/>
          <w:b/>
          <w:spacing w:val="0"/>
          <w:szCs w:val="24"/>
          <w:rtl/>
        </w:rPr>
        <w:t>גרסה</w:t>
      </w:r>
      <w:r w:rsidRPr="005862AF">
        <w:rPr>
          <w:rFonts w:ascii="Century" w:hAnsi="Century" w:cs="Miriam"/>
          <w:b/>
          <w:spacing w:val="0"/>
          <w:szCs w:val="24"/>
          <w:rtl/>
        </w:rPr>
        <w:t xml:space="preserve"> </w:t>
      </w:r>
      <w:r w:rsidRPr="005862AF">
        <w:rPr>
          <w:rFonts w:ascii="Century" w:hAnsi="Century" w:cs="Miriam" w:hint="eastAsia"/>
          <w:b/>
          <w:spacing w:val="0"/>
          <w:szCs w:val="24"/>
          <w:rtl/>
        </w:rPr>
        <w:t>נוספת</w:t>
      </w:r>
      <w:r w:rsidRPr="005862AF">
        <w:rPr>
          <w:rFonts w:ascii="Century" w:hAnsi="Century" w:cs="Miriam"/>
          <w:b/>
          <w:spacing w:val="0"/>
          <w:szCs w:val="24"/>
          <w:rtl/>
        </w:rPr>
        <w:t xml:space="preserve"> </w:t>
      </w:r>
      <w:r w:rsidRPr="005862AF">
        <w:rPr>
          <w:rFonts w:ascii="Century" w:hAnsi="Century" w:cs="Miriam" w:hint="eastAsia"/>
          <w:b/>
          <w:spacing w:val="0"/>
          <w:szCs w:val="24"/>
          <w:rtl/>
        </w:rPr>
        <w:t>של</w:t>
      </w:r>
      <w:r w:rsidRPr="005862AF">
        <w:rPr>
          <w:rFonts w:ascii="Century" w:hAnsi="Century" w:cs="Miriam"/>
          <w:b/>
          <w:spacing w:val="0"/>
          <w:szCs w:val="24"/>
          <w:rtl/>
        </w:rPr>
        <w:t xml:space="preserve"> </w:t>
      </w:r>
      <w:r w:rsidRPr="005862AF">
        <w:rPr>
          <w:rFonts w:ascii="Century" w:hAnsi="Century" w:cs="Miriam" w:hint="eastAsia"/>
          <w:b/>
          <w:spacing w:val="0"/>
          <w:szCs w:val="24"/>
          <w:rtl/>
        </w:rPr>
        <w:t>עילת</w:t>
      </w:r>
      <w:r w:rsidRPr="005862AF">
        <w:rPr>
          <w:rFonts w:ascii="Century" w:hAnsi="Century" w:cs="Miriam"/>
          <w:b/>
          <w:spacing w:val="0"/>
          <w:szCs w:val="24"/>
          <w:rtl/>
        </w:rPr>
        <w:t xml:space="preserve"> </w:t>
      </w:r>
      <w:r w:rsidRPr="005862AF">
        <w:rPr>
          <w:rFonts w:ascii="Century" w:hAnsi="Century" w:cs="Miriam" w:hint="eastAsia"/>
          <w:b/>
          <w:spacing w:val="0"/>
          <w:szCs w:val="24"/>
          <w:rtl/>
        </w:rPr>
        <w:t>הסבירות</w:t>
      </w:r>
      <w:r w:rsidRPr="005862AF">
        <w:rPr>
          <w:rFonts w:ascii="Century" w:hAnsi="Century" w:cs="Miriam"/>
          <w:b/>
          <w:spacing w:val="0"/>
          <w:szCs w:val="24"/>
          <w:rtl/>
        </w:rPr>
        <w:t xml:space="preserve"> </w:t>
      </w:r>
      <w:r w:rsidRPr="005862AF">
        <w:rPr>
          <w:rFonts w:ascii="Century" w:hAnsi="Century" w:cs="Miriam" w:hint="eastAsia"/>
          <w:b/>
          <w:spacing w:val="0"/>
          <w:szCs w:val="24"/>
          <w:rtl/>
        </w:rPr>
        <w:t>המהותית</w:t>
      </w:r>
      <w:r w:rsidRPr="005862AF">
        <w:rPr>
          <w:rFonts w:ascii="Century" w:hAnsi="Century" w:cs="Miriam"/>
          <w:b/>
          <w:spacing w:val="0"/>
          <w:szCs w:val="24"/>
          <w:rtl/>
        </w:rPr>
        <w:t>)</w:t>
      </w:r>
      <w:r w:rsidRPr="005862AF">
        <w:rPr>
          <w:rFonts w:ascii="Century" w:hAnsi="Century" w:cs="Miriam" w:hint="cs"/>
          <w:b/>
          <w:spacing w:val="0"/>
          <w:szCs w:val="24"/>
          <w:rtl/>
        </w:rPr>
        <w:t>"</w:t>
      </w:r>
      <w:r>
        <w:rPr>
          <w:rFonts w:hint="cs"/>
          <w:rtl/>
        </w:rPr>
        <w:t xml:space="preserve"> </w:t>
      </w:r>
      <w:r>
        <w:rPr>
          <w:rtl/>
        </w:rPr>
        <w:t>–</w:t>
      </w:r>
      <w:r>
        <w:rPr>
          <w:rFonts w:hint="cs"/>
          <w:rtl/>
        </w:rPr>
        <w:t xml:space="preserve"> הערתי בכמה מקומות</w:t>
      </w:r>
      <w:r w:rsidRPr="005862AF">
        <w:rPr>
          <w:rFonts w:ascii="Century" w:hAnsi="Century" w:cs="Miriam" w:hint="cs"/>
          <w:b/>
          <w:spacing w:val="0"/>
          <w:szCs w:val="24"/>
          <w:rtl/>
        </w:rPr>
        <w:t xml:space="preserve"> (</w:t>
      </w:r>
      <w:r w:rsidR="0009515F">
        <w:rPr>
          <w:rFonts w:hint="cs"/>
          <w:rtl/>
        </w:rPr>
        <w:t>נֹ</w:t>
      </w:r>
      <w:r>
        <w:rPr>
          <w:rFonts w:hint="cs"/>
          <w:rtl/>
        </w:rPr>
        <w:t xml:space="preserve">עם סולברג, על ערכים סובייקטיבים ושופטים אובייקטיבים, </w:t>
      </w:r>
      <w:r w:rsidRPr="005862AF">
        <w:rPr>
          <w:rFonts w:ascii="Century" w:hAnsi="Century" w:cs="Miriam" w:hint="eastAsia"/>
          <w:b/>
          <w:spacing w:val="0"/>
          <w:szCs w:val="24"/>
          <w:rtl/>
        </w:rPr>
        <w:t>השילוח</w:t>
      </w:r>
      <w:r w:rsidRPr="00B10A5B">
        <w:rPr>
          <w:rtl/>
        </w:rPr>
        <w:t xml:space="preserve"> 18 37, </w:t>
      </w:r>
      <w:r>
        <w:rPr>
          <w:rFonts w:hint="cs"/>
          <w:rtl/>
        </w:rPr>
        <w:t>55</w:t>
      </w:r>
      <w:r w:rsidRPr="00B10A5B">
        <w:rPr>
          <w:rtl/>
        </w:rPr>
        <w:t xml:space="preserve"> (2019)</w:t>
      </w:r>
      <w:r>
        <w:rPr>
          <w:rFonts w:hint="cs"/>
          <w:rtl/>
        </w:rPr>
        <w:t xml:space="preserve">; עניין </w:t>
      </w:r>
      <w:r w:rsidRPr="005862AF">
        <w:rPr>
          <w:rFonts w:ascii="Century" w:hAnsi="Century" w:cs="Miriam" w:hint="cs"/>
          <w:b/>
          <w:spacing w:val="0"/>
          <w:szCs w:val="24"/>
          <w:rtl/>
        </w:rPr>
        <w:t>חוק ההסדרה</w:t>
      </w:r>
      <w:r>
        <w:rPr>
          <w:rFonts w:hint="cs"/>
          <w:rtl/>
        </w:rPr>
        <w:t xml:space="preserve">, פסקה 43 לפסק-דיני). </w:t>
      </w:r>
      <w:r w:rsidR="0009515F">
        <w:rPr>
          <w:rFonts w:hint="cs"/>
          <w:rtl/>
        </w:rPr>
        <w:t xml:space="preserve">דומני, </w:t>
      </w:r>
      <w:r>
        <w:rPr>
          <w:rFonts w:hint="cs"/>
          <w:rtl/>
        </w:rPr>
        <w:t xml:space="preserve">כי מבחן המידתיות 'במובן הצר', הוא </w:t>
      </w:r>
      <w:r w:rsidRPr="005862AF">
        <w:rPr>
          <w:rFonts w:ascii="Century" w:hAnsi="Century" w:cs="Miriam" w:hint="cs"/>
          <w:b/>
          <w:spacing w:val="0"/>
          <w:sz w:val="22"/>
          <w:szCs w:val="24"/>
          <w:rtl/>
        </w:rPr>
        <w:t>"מבחן קשה ליישום"</w:t>
      </w:r>
      <w:r>
        <w:rPr>
          <w:rFonts w:hint="cs"/>
          <w:rtl/>
        </w:rPr>
        <w:t xml:space="preserve"> (עניין </w:t>
      </w:r>
      <w:r w:rsidRPr="005862AF">
        <w:rPr>
          <w:rFonts w:ascii="Century" w:hAnsi="Century" w:cs="Miriam" w:hint="cs"/>
          <w:b/>
          <w:spacing w:val="0"/>
          <w:sz w:val="22"/>
          <w:szCs w:val="24"/>
          <w:rtl/>
        </w:rPr>
        <w:t>חוק ההסדרה</w:t>
      </w:r>
      <w:r>
        <w:rPr>
          <w:rFonts w:hint="cs"/>
          <w:rtl/>
        </w:rPr>
        <w:t xml:space="preserve">, פסקה 43). בניגוד לשני אֶחָיו, שני מבחני-המשנה הקודמים, מבחן זה הוא בעל אופי ערכי מובהק. כה מושרש הוא ההיבט הערכי של מבחן זה, עד שדבק בו הכינוי </w:t>
      </w:r>
      <w:r w:rsidRPr="005862AF">
        <w:rPr>
          <w:rFonts w:ascii="Century" w:hAnsi="Century" w:cs="Miriam" w:hint="cs"/>
          <w:b/>
          <w:spacing w:val="0"/>
          <w:sz w:val="22"/>
          <w:szCs w:val="24"/>
          <w:rtl/>
        </w:rPr>
        <w:t>"מבחן המידתיות 'במובנו הערכי'"</w:t>
      </w:r>
      <w:r>
        <w:rPr>
          <w:rFonts w:hint="cs"/>
          <w:rtl/>
        </w:rPr>
        <w:t xml:space="preserve"> (ראו למשל: עניין </w:t>
      </w:r>
      <w:r w:rsidRPr="005862AF">
        <w:rPr>
          <w:rFonts w:ascii="Century" w:hAnsi="Century" w:cs="Miriam" w:hint="cs"/>
          <w:b/>
          <w:spacing w:val="0"/>
          <w:sz w:val="22"/>
          <w:szCs w:val="24"/>
          <w:rtl/>
        </w:rPr>
        <w:t xml:space="preserve">איחוד משפחות, </w:t>
      </w:r>
      <w:r>
        <w:rPr>
          <w:rFonts w:hint="cs"/>
          <w:rtl/>
        </w:rPr>
        <w:t xml:space="preserve">פסקה 107 לפסק הדין של המשנה לנשיא </w:t>
      </w:r>
      <w:r w:rsidRPr="00D42AF8">
        <w:rPr>
          <w:rFonts w:ascii="Century" w:hAnsi="Century" w:cs="Miriam" w:hint="eastAsia"/>
          <w:b/>
          <w:spacing w:val="0"/>
          <w:sz w:val="22"/>
          <w:szCs w:val="24"/>
          <w:rtl/>
        </w:rPr>
        <w:t>חשין</w:t>
      </w:r>
      <w:r>
        <w:rPr>
          <w:rFonts w:hint="cs"/>
          <w:rtl/>
        </w:rPr>
        <w:t xml:space="preserve">; עניין </w:t>
      </w:r>
      <w:r w:rsidRPr="005862AF">
        <w:rPr>
          <w:rFonts w:ascii="Century" w:hAnsi="Century" w:cs="Miriam" w:hint="cs"/>
          <w:b/>
          <w:spacing w:val="0"/>
          <w:sz w:val="22"/>
          <w:szCs w:val="24"/>
          <w:rtl/>
        </w:rPr>
        <w:t>חוק טל</w:t>
      </w:r>
      <w:r>
        <w:rPr>
          <w:rFonts w:hint="cs"/>
          <w:rtl/>
        </w:rPr>
        <w:t xml:space="preserve">, פסקה 60 לפסק הדין של הנשיא </w:t>
      </w:r>
      <w:r w:rsidRPr="00D42AF8">
        <w:rPr>
          <w:rFonts w:ascii="Century" w:hAnsi="Century" w:cs="Miriam" w:hint="eastAsia"/>
          <w:b/>
          <w:spacing w:val="0"/>
          <w:sz w:val="22"/>
          <w:szCs w:val="24"/>
          <w:rtl/>
        </w:rPr>
        <w:t>ברק</w:t>
      </w:r>
      <w:r>
        <w:rPr>
          <w:rFonts w:hint="cs"/>
          <w:rtl/>
        </w:rPr>
        <w:t xml:space="preserve">; </w:t>
      </w:r>
      <w:r w:rsidRPr="00065181">
        <w:rPr>
          <w:rFonts w:hint="eastAsia"/>
          <w:rtl/>
        </w:rPr>
        <w:t>בג</w:t>
      </w:r>
      <w:r w:rsidR="007C0A4E">
        <w:rPr>
          <w:rFonts w:hint="cs"/>
          <w:rtl/>
        </w:rPr>
        <w:t>"</w:t>
      </w:r>
      <w:r w:rsidRPr="00065181">
        <w:rPr>
          <w:rFonts w:hint="eastAsia"/>
          <w:rtl/>
        </w:rPr>
        <w:t>ץ</w:t>
      </w:r>
      <w:r>
        <w:rPr>
          <w:rtl/>
        </w:rPr>
        <w:t xml:space="preserve"> 2887/04‏ </w:t>
      </w:r>
      <w:r w:rsidRPr="005862AF">
        <w:rPr>
          <w:rFonts w:ascii="Century" w:hAnsi="Century" w:cs="Miriam" w:hint="eastAsia"/>
          <w:b/>
          <w:spacing w:val="0"/>
          <w:sz w:val="22"/>
          <w:szCs w:val="24"/>
          <w:rtl/>
        </w:rPr>
        <w:t>אבו</w:t>
      </w:r>
      <w:r w:rsidRPr="005862AF">
        <w:rPr>
          <w:rFonts w:ascii="Century" w:hAnsi="Century" w:cs="Miriam"/>
          <w:b/>
          <w:spacing w:val="0"/>
          <w:sz w:val="22"/>
          <w:szCs w:val="24"/>
          <w:rtl/>
        </w:rPr>
        <w:t xml:space="preserve"> </w:t>
      </w:r>
      <w:r w:rsidRPr="005862AF">
        <w:rPr>
          <w:rFonts w:ascii="Century" w:hAnsi="Century" w:cs="Miriam" w:hint="eastAsia"/>
          <w:b/>
          <w:spacing w:val="0"/>
          <w:sz w:val="22"/>
          <w:szCs w:val="24"/>
          <w:rtl/>
        </w:rPr>
        <w:t>מדיגם</w:t>
      </w:r>
      <w:r w:rsidRPr="005862AF">
        <w:rPr>
          <w:rFonts w:ascii="Century" w:hAnsi="Century" w:cs="Miriam"/>
          <w:b/>
          <w:spacing w:val="0"/>
          <w:sz w:val="22"/>
          <w:szCs w:val="24"/>
          <w:rtl/>
        </w:rPr>
        <w:t xml:space="preserve"> </w:t>
      </w:r>
      <w:r w:rsidRPr="005862AF">
        <w:rPr>
          <w:rFonts w:ascii="Century" w:hAnsi="Century" w:cs="Miriam" w:hint="eastAsia"/>
          <w:b/>
          <w:spacing w:val="0"/>
          <w:sz w:val="22"/>
          <w:szCs w:val="24"/>
          <w:rtl/>
        </w:rPr>
        <w:t>נ</w:t>
      </w:r>
      <w:r w:rsidRPr="005862AF">
        <w:rPr>
          <w:rFonts w:ascii="Century" w:hAnsi="Century" w:cs="Miriam"/>
          <w:b/>
          <w:spacing w:val="0"/>
          <w:sz w:val="22"/>
          <w:szCs w:val="24"/>
          <w:rtl/>
        </w:rPr>
        <w:t xml:space="preserve">' </w:t>
      </w:r>
      <w:r w:rsidRPr="005862AF">
        <w:rPr>
          <w:rFonts w:ascii="Century" w:hAnsi="Century" w:cs="Miriam" w:hint="eastAsia"/>
          <w:b/>
          <w:spacing w:val="0"/>
          <w:sz w:val="22"/>
          <w:szCs w:val="24"/>
          <w:rtl/>
        </w:rPr>
        <w:t>מינהל</w:t>
      </w:r>
      <w:r w:rsidRPr="005862AF">
        <w:rPr>
          <w:rFonts w:ascii="Century" w:hAnsi="Century" w:cs="Miriam"/>
          <w:b/>
          <w:spacing w:val="0"/>
          <w:sz w:val="22"/>
          <w:szCs w:val="24"/>
          <w:rtl/>
        </w:rPr>
        <w:t xml:space="preserve"> </w:t>
      </w:r>
      <w:r w:rsidRPr="005862AF">
        <w:rPr>
          <w:rFonts w:ascii="Century" w:hAnsi="Century" w:cs="Miriam" w:hint="eastAsia"/>
          <w:b/>
          <w:spacing w:val="0"/>
          <w:sz w:val="22"/>
          <w:szCs w:val="24"/>
          <w:rtl/>
        </w:rPr>
        <w:t>מקרקעי</w:t>
      </w:r>
      <w:r w:rsidRPr="005862AF">
        <w:rPr>
          <w:rFonts w:ascii="Century" w:hAnsi="Century" w:cs="Miriam"/>
          <w:b/>
          <w:spacing w:val="0"/>
          <w:sz w:val="22"/>
          <w:szCs w:val="24"/>
          <w:rtl/>
        </w:rPr>
        <w:t xml:space="preserve"> </w:t>
      </w:r>
      <w:r w:rsidRPr="005862AF">
        <w:rPr>
          <w:rFonts w:ascii="Century" w:hAnsi="Century" w:cs="Miriam" w:hint="eastAsia"/>
          <w:b/>
          <w:spacing w:val="0"/>
          <w:sz w:val="22"/>
          <w:szCs w:val="24"/>
          <w:rtl/>
        </w:rPr>
        <w:t>ישראל</w:t>
      </w:r>
      <w:r w:rsidRPr="00065181">
        <w:rPr>
          <w:rtl/>
        </w:rPr>
        <w:t>,</w:t>
      </w:r>
      <w:r>
        <w:rPr>
          <w:rFonts w:hint="cs"/>
          <w:rtl/>
        </w:rPr>
        <w:t xml:space="preserve"> פסקה 42 לפסק הדין של השופטת </w:t>
      </w:r>
      <w:r w:rsidRPr="005862AF">
        <w:rPr>
          <w:rFonts w:ascii="Century" w:hAnsi="Century" w:cs="Miriam" w:hint="cs"/>
          <w:b/>
          <w:spacing w:val="0"/>
          <w:sz w:val="22"/>
          <w:szCs w:val="24"/>
          <w:rtl/>
        </w:rPr>
        <w:t>ע' ארבל</w:t>
      </w:r>
      <w:r>
        <w:rPr>
          <w:rFonts w:hint="cs"/>
          <w:rtl/>
        </w:rPr>
        <w:t xml:space="preserve"> (15.4.2007);</w:t>
      </w:r>
      <w:r w:rsidRPr="00065181">
        <w:rPr>
          <w:rFonts w:hint="eastAsia"/>
          <w:rtl/>
        </w:rPr>
        <w:t xml:space="preserve"> </w:t>
      </w:r>
      <w:r w:rsidRPr="008616A5">
        <w:rPr>
          <w:rFonts w:ascii="Miriam" w:hAnsi="Miriam" w:cs="Miriam"/>
          <w:szCs w:val="24"/>
          <w:rtl/>
        </w:rPr>
        <w:t>בש"פ 8823/07</w:t>
      </w:r>
      <w:r>
        <w:rPr>
          <w:rFonts w:hint="cs"/>
          <w:rtl/>
        </w:rPr>
        <w:t xml:space="preserve">, פסקה כ"ד לפסק הדין של השופט (כתוארו אז) </w:t>
      </w:r>
      <w:r w:rsidRPr="005862AF">
        <w:rPr>
          <w:rFonts w:ascii="Century" w:hAnsi="Century" w:cs="Miriam" w:hint="cs"/>
          <w:b/>
          <w:spacing w:val="0"/>
          <w:sz w:val="22"/>
          <w:szCs w:val="24"/>
          <w:rtl/>
        </w:rPr>
        <w:t>א' רובינשטיין</w:t>
      </w:r>
      <w:r>
        <w:rPr>
          <w:rFonts w:hint="cs"/>
          <w:rtl/>
        </w:rPr>
        <w:t xml:space="preserve"> (11.2.2010);</w:t>
      </w:r>
      <w:r w:rsidRPr="005862AF">
        <w:rPr>
          <w:rtl/>
        </w:rPr>
        <w:t xml:space="preserve"> </w:t>
      </w:r>
      <w:r>
        <w:rPr>
          <w:rtl/>
        </w:rPr>
        <w:t>אהרן ברק "מבחן המידתיות במובנו הערכי</w:t>
      </w:r>
      <w:r>
        <w:rPr>
          <w:rFonts w:hint="cs"/>
          <w:rtl/>
        </w:rPr>
        <w:t xml:space="preserve">", </w:t>
      </w:r>
      <w:r w:rsidRPr="005862AF">
        <w:rPr>
          <w:rFonts w:ascii="Century" w:hAnsi="Century" w:cs="Miriam" w:hint="cs"/>
          <w:b/>
          <w:spacing w:val="0"/>
          <w:sz w:val="22"/>
          <w:szCs w:val="24"/>
          <w:rtl/>
        </w:rPr>
        <w:t>ספר מישאל חשין</w:t>
      </w:r>
      <w:r>
        <w:rPr>
          <w:rFonts w:hint="cs"/>
          <w:rtl/>
        </w:rPr>
        <w:t xml:space="preserve"> 201 (2009)). בתמצית אציין, כי ישום מבחן 'המידתיות במובן הצר', לא כל שכן הרחבת השימוש בו, עלול לעורר את כל אותם קשיים שבהם לוקה עילת הסבירות המהותית (לעניין 'כשלי' עילת הסבירות המהותית, ראו:</w:t>
      </w:r>
      <w:r w:rsidRPr="001853F3">
        <w:rPr>
          <w:rtl/>
        </w:rPr>
        <w:t xml:space="preserve"> </w:t>
      </w:r>
      <w:r>
        <w:rPr>
          <w:rtl/>
        </w:rPr>
        <w:t xml:space="preserve">בג״ץ </w:t>
      </w:r>
      <w:r>
        <w:rPr>
          <w:rFonts w:hint="cs"/>
          <w:rtl/>
        </w:rPr>
        <w:t>5853/07</w:t>
      </w:r>
      <w:r>
        <w:rPr>
          <w:rtl/>
        </w:rPr>
        <w:t xml:space="preserve"> </w:t>
      </w:r>
      <w:r w:rsidRPr="001853F3">
        <w:rPr>
          <w:rFonts w:ascii="Century" w:hAnsi="Century" w:cs="Miriam"/>
          <w:b/>
          <w:spacing w:val="0"/>
          <w:sz w:val="22"/>
          <w:szCs w:val="24"/>
          <w:rtl/>
        </w:rPr>
        <w:t>אמונה נ׳ ראש הממשלה</w:t>
      </w:r>
      <w:r>
        <w:rPr>
          <w:rFonts w:hint="cs"/>
          <w:rtl/>
        </w:rPr>
        <w:t>, פסקאות 11-9 לפסק</w:t>
      </w:r>
      <w:r w:rsidR="008E6168">
        <w:rPr>
          <w:rFonts w:hint="cs"/>
          <w:rtl/>
        </w:rPr>
        <w:t xml:space="preserve"> הדין</w:t>
      </w:r>
      <w:r>
        <w:rPr>
          <w:rFonts w:hint="cs"/>
          <w:rtl/>
        </w:rPr>
        <w:t xml:space="preserve"> של השופט (כתוארו אז) </w:t>
      </w:r>
      <w:r w:rsidRPr="001853F3">
        <w:rPr>
          <w:rFonts w:ascii="Century" w:hAnsi="Century" w:cs="Miriam" w:hint="cs"/>
          <w:b/>
          <w:spacing w:val="0"/>
          <w:sz w:val="22"/>
          <w:szCs w:val="24"/>
          <w:rtl/>
        </w:rPr>
        <w:t>א' גרוניס</w:t>
      </w:r>
      <w:r>
        <w:rPr>
          <w:rFonts w:hint="cs"/>
          <w:rtl/>
        </w:rPr>
        <w:t xml:space="preserve"> (6.12.2007); </w:t>
      </w:r>
      <w:r w:rsidRPr="00D26974">
        <w:rPr>
          <w:rFonts w:ascii="Century" w:hAnsi="Century" w:hint="eastAsia"/>
          <w:sz w:val="22"/>
          <w:rtl/>
        </w:rPr>
        <w:t>מאמרי</w:t>
      </w:r>
      <w:r w:rsidRPr="00D26974">
        <w:rPr>
          <w:rFonts w:ascii="Century" w:hAnsi="Century"/>
          <w:sz w:val="22"/>
          <w:rtl/>
        </w:rPr>
        <w:t xml:space="preserve"> </w:t>
      </w:r>
      <w:r w:rsidRPr="00D26974">
        <w:rPr>
          <w:rFonts w:ascii="Century" w:hAnsi="Century" w:hint="eastAsia"/>
          <w:sz w:val="22"/>
          <w:rtl/>
        </w:rPr>
        <w:t>הנ</w:t>
      </w:r>
      <w:r w:rsidRPr="00D26974">
        <w:rPr>
          <w:rFonts w:ascii="Century" w:hAnsi="Century"/>
          <w:sz w:val="22"/>
          <w:rtl/>
        </w:rPr>
        <w:t>"</w:t>
      </w:r>
      <w:r w:rsidRPr="00D26974">
        <w:rPr>
          <w:rFonts w:ascii="Century" w:hAnsi="Century" w:hint="eastAsia"/>
          <w:sz w:val="22"/>
          <w:rtl/>
        </w:rPr>
        <w:t>ל</w:t>
      </w:r>
      <w:r w:rsidRPr="00D42AF8">
        <w:rPr>
          <w:rFonts w:ascii="Century" w:hAnsi="Century"/>
          <w:sz w:val="22"/>
          <w:rtl/>
        </w:rPr>
        <w:t>,</w:t>
      </w:r>
      <w:r>
        <w:rPr>
          <w:rFonts w:hint="cs"/>
          <w:rtl/>
        </w:rPr>
        <w:t xml:space="preserve"> עמודים 50-46). </w:t>
      </w:r>
    </w:p>
    <w:p w:rsidR="00D512D4" w:rsidRDefault="00D512D4" w:rsidP="00240E22">
      <w:pPr>
        <w:pStyle w:val="Ruller4"/>
        <w:numPr>
          <w:ilvl w:val="0"/>
          <w:numId w:val="0"/>
        </w:numPr>
        <w:spacing w:line="240" w:lineRule="auto"/>
        <w:rPr>
          <w:rtl/>
        </w:rPr>
      </w:pPr>
      <w:r>
        <w:rPr>
          <w:rtl/>
        </w:rPr>
        <w:tab/>
      </w:r>
    </w:p>
    <w:p w:rsidR="00D512D4" w:rsidRDefault="00D512D4" w:rsidP="007C0A4E">
      <w:pPr>
        <w:pStyle w:val="Ruller4"/>
        <w:rPr>
          <w:rtl/>
        </w:rPr>
      </w:pPr>
      <w:r>
        <w:rPr>
          <w:rFonts w:hint="cs"/>
          <w:rtl/>
        </w:rPr>
        <w:t xml:space="preserve">מכל מקום, גם לפי הגישה המעצימה את מקומו של מבחן </w:t>
      </w:r>
      <w:r w:rsidRPr="0029592A">
        <w:rPr>
          <w:rFonts w:ascii="Century" w:hAnsi="Century" w:cs="Miriam" w:hint="cs"/>
          <w:b/>
          <w:spacing w:val="0"/>
          <w:sz w:val="22"/>
          <w:szCs w:val="24"/>
          <w:rtl/>
        </w:rPr>
        <w:t>'המידתיות במובן הצר'</w:t>
      </w:r>
      <w:r>
        <w:rPr>
          <w:rFonts w:hint="cs"/>
          <w:rtl/>
        </w:rPr>
        <w:t>, הרי שב</w:t>
      </w:r>
      <w:r w:rsidR="00F1197B">
        <w:rPr>
          <w:rFonts w:hint="cs"/>
          <w:rtl/>
        </w:rPr>
        <w:t>ענייננו</w:t>
      </w:r>
      <w:r>
        <w:rPr>
          <w:rFonts w:hint="cs"/>
          <w:rtl/>
        </w:rPr>
        <w:t xml:space="preserve">, צולח ההסדר האמור גם מבחן זה. השאלה שעלינו לשאול עצמנו בהקשר זה היא: האם </w:t>
      </w:r>
      <w:r w:rsidRPr="005862AF">
        <w:rPr>
          <w:rFonts w:ascii="FrankRuehl" w:hAnsi="FrankRuehl"/>
          <w:color w:val="000000"/>
          <w:sz w:val="28"/>
          <w:rtl/>
        </w:rPr>
        <w:t>התועלת הצומחת לאינטרס הציבורי</w:t>
      </w:r>
      <w:r>
        <w:rPr>
          <w:rFonts w:ascii="FrankRuehl" w:hAnsi="FrankRuehl" w:hint="cs"/>
          <w:color w:val="000000"/>
          <w:sz w:val="28"/>
          <w:rtl/>
        </w:rPr>
        <w:t>,</w:t>
      </w:r>
      <w:r w:rsidRPr="005862AF">
        <w:rPr>
          <w:rFonts w:ascii="FrankRuehl" w:hAnsi="FrankRuehl"/>
          <w:color w:val="000000"/>
          <w:sz w:val="28"/>
          <w:rtl/>
        </w:rPr>
        <w:t xml:space="preserve"> </w:t>
      </w:r>
      <w:r>
        <w:rPr>
          <w:rFonts w:ascii="FrankRuehl" w:hAnsi="FrankRuehl" w:hint="cs"/>
          <w:color w:val="000000"/>
          <w:sz w:val="28"/>
          <w:rtl/>
        </w:rPr>
        <w:t xml:space="preserve">כתוצאה </w:t>
      </w:r>
      <w:r w:rsidRPr="005862AF">
        <w:rPr>
          <w:rFonts w:ascii="FrankRuehl" w:hAnsi="FrankRuehl"/>
          <w:color w:val="000000"/>
          <w:sz w:val="28"/>
          <w:rtl/>
        </w:rPr>
        <w:t>משליל</w:t>
      </w:r>
      <w:r w:rsidRPr="005862AF">
        <w:rPr>
          <w:rFonts w:ascii="FrankRuehl" w:hAnsi="FrankRuehl" w:hint="cs"/>
          <w:color w:val="000000"/>
          <w:sz w:val="28"/>
          <w:rtl/>
        </w:rPr>
        <w:t>ה</w:t>
      </w:r>
      <w:r w:rsidRPr="005862AF">
        <w:rPr>
          <w:rFonts w:ascii="FrankRuehl" w:hAnsi="FrankRuehl"/>
          <w:color w:val="000000"/>
          <w:sz w:val="28"/>
          <w:rtl/>
        </w:rPr>
        <w:t xml:space="preserve"> </w:t>
      </w:r>
      <w:r w:rsidRPr="005862AF">
        <w:rPr>
          <w:rFonts w:ascii="FrankRuehl" w:hAnsi="FrankRuehl" w:hint="cs"/>
          <w:color w:val="000000"/>
          <w:sz w:val="28"/>
          <w:rtl/>
        </w:rPr>
        <w:t xml:space="preserve">גורפת של </w:t>
      </w:r>
      <w:r w:rsidRPr="005862AF">
        <w:rPr>
          <w:rFonts w:ascii="FrankRuehl" w:hAnsi="FrankRuehl"/>
          <w:color w:val="000000"/>
          <w:sz w:val="28"/>
          <w:rtl/>
        </w:rPr>
        <w:t>אחריות המדינה</w:t>
      </w:r>
      <w:r>
        <w:rPr>
          <w:rFonts w:ascii="FrankRuehl" w:hAnsi="FrankRuehl" w:hint="cs"/>
          <w:color w:val="000000"/>
          <w:sz w:val="28"/>
          <w:rtl/>
        </w:rPr>
        <w:t>,</w:t>
      </w:r>
      <w:r w:rsidRPr="005862AF">
        <w:rPr>
          <w:rFonts w:ascii="FrankRuehl" w:hAnsi="FrankRuehl" w:hint="cs"/>
          <w:color w:val="000000"/>
          <w:sz w:val="28"/>
          <w:rtl/>
        </w:rPr>
        <w:t xml:space="preserve"> בגין נזקים שגר</w:t>
      </w:r>
      <w:r>
        <w:rPr>
          <w:rFonts w:ascii="FrankRuehl" w:hAnsi="FrankRuehl" w:hint="cs"/>
          <w:color w:val="000000"/>
          <w:sz w:val="28"/>
          <w:rtl/>
        </w:rPr>
        <w:t>מה</w:t>
      </w:r>
      <w:r w:rsidRPr="005862AF">
        <w:rPr>
          <w:rFonts w:ascii="FrankRuehl" w:hAnsi="FrankRuehl" w:hint="cs"/>
          <w:color w:val="000000"/>
          <w:sz w:val="28"/>
          <w:rtl/>
        </w:rPr>
        <w:t xml:space="preserve"> ברצועת עזה,</w:t>
      </w:r>
      <w:r w:rsidRPr="005862AF">
        <w:rPr>
          <w:rFonts w:ascii="FrankRuehl" w:hAnsi="FrankRuehl"/>
          <w:color w:val="000000"/>
          <w:sz w:val="28"/>
          <w:rtl/>
        </w:rPr>
        <w:t xml:space="preserve"> </w:t>
      </w:r>
      <w:r w:rsidRPr="005862AF">
        <w:rPr>
          <w:rFonts w:ascii="FrankRuehl" w:hAnsi="FrankRuehl" w:hint="cs"/>
          <w:color w:val="000000"/>
          <w:sz w:val="28"/>
          <w:rtl/>
        </w:rPr>
        <w:t xml:space="preserve">מקיימת יחס ראוי ושקול, לפגיעה </w:t>
      </w:r>
      <w:r>
        <w:rPr>
          <w:rFonts w:ascii="FrankRuehl" w:hAnsi="FrankRuehl" w:hint="cs"/>
          <w:color w:val="000000"/>
          <w:sz w:val="28"/>
          <w:rtl/>
        </w:rPr>
        <w:t xml:space="preserve">הנובעת מכך כלפי </w:t>
      </w:r>
      <w:r w:rsidRPr="005862AF">
        <w:rPr>
          <w:rFonts w:ascii="FrankRuehl" w:hAnsi="FrankRuehl"/>
          <w:color w:val="000000"/>
          <w:sz w:val="28"/>
          <w:rtl/>
        </w:rPr>
        <w:t>פרטים</w:t>
      </w:r>
      <w:r>
        <w:rPr>
          <w:rFonts w:ascii="FrankRuehl" w:hAnsi="FrankRuehl" w:hint="cs"/>
          <w:color w:val="000000"/>
          <w:sz w:val="28"/>
          <w:rtl/>
        </w:rPr>
        <w:t>,</w:t>
      </w:r>
      <w:r w:rsidRPr="005862AF">
        <w:rPr>
          <w:rFonts w:ascii="FrankRuehl" w:hAnsi="FrankRuehl" w:hint="cs"/>
          <w:color w:val="000000"/>
          <w:sz w:val="28"/>
          <w:rtl/>
        </w:rPr>
        <w:t xml:space="preserve"> תושבי עזה</w:t>
      </w:r>
      <w:r>
        <w:rPr>
          <w:rFonts w:ascii="FrankRuehl" w:hAnsi="FrankRuehl" w:hint="cs"/>
          <w:color w:val="000000"/>
          <w:sz w:val="28"/>
          <w:rtl/>
        </w:rPr>
        <w:t xml:space="preserve">? בתוך כך, יש לשקול גם את האפשרות, כי יכול שחסינות זו, תביא דה-פקטו, גם להגנה על פעולות שאינן עולות כדי </w:t>
      </w:r>
      <w:r w:rsidRPr="005862AF">
        <w:rPr>
          <w:rFonts w:ascii="FrankRuehl" w:hAnsi="FrankRuehl" w:hint="cs"/>
          <w:color w:val="000000"/>
          <w:sz w:val="28"/>
          <w:rtl/>
        </w:rPr>
        <w:t>'פעולות מלחמתיות'</w:t>
      </w:r>
      <w:r>
        <w:rPr>
          <w:rFonts w:ascii="FrankRuehl" w:hAnsi="FrankRuehl" w:hint="cs"/>
          <w:color w:val="000000"/>
          <w:sz w:val="28"/>
          <w:rtl/>
        </w:rPr>
        <w:t>.</w:t>
      </w:r>
      <w:r w:rsidRPr="005862AF">
        <w:rPr>
          <w:rFonts w:ascii="FrankRuehl" w:hAnsi="FrankRuehl" w:hint="cs"/>
          <w:color w:val="000000"/>
          <w:sz w:val="28"/>
          <w:rtl/>
        </w:rPr>
        <w:t xml:space="preserve"> </w:t>
      </w:r>
      <w:r>
        <w:rPr>
          <w:rFonts w:hint="cs"/>
          <w:rtl/>
        </w:rPr>
        <w:t xml:space="preserve">כזכור, בעניין </w:t>
      </w:r>
      <w:r w:rsidRPr="005862AF">
        <w:rPr>
          <w:rFonts w:ascii="Century" w:hAnsi="Century" w:cs="Miriam" w:hint="cs"/>
          <w:b/>
          <w:spacing w:val="0"/>
          <w:sz w:val="22"/>
          <w:szCs w:val="24"/>
          <w:rtl/>
        </w:rPr>
        <w:t>עדאלה</w:t>
      </w:r>
      <w:r>
        <w:rPr>
          <w:rFonts w:hint="cs"/>
          <w:rtl/>
        </w:rPr>
        <w:t xml:space="preserve"> נקבע, כי סעיף 5ג לחוק אינו עומד במבחן-משנה זה. נפסק, כי </w:t>
      </w:r>
      <w:r w:rsidRPr="005862AF">
        <w:rPr>
          <w:rFonts w:ascii="Century" w:hAnsi="Century" w:cs="Miriam" w:hint="cs"/>
          <w:b/>
          <w:spacing w:val="0"/>
          <w:sz w:val="22"/>
          <w:szCs w:val="24"/>
          <w:rtl/>
        </w:rPr>
        <w:t>"</w:t>
      </w:r>
      <w:r w:rsidRPr="005862AF">
        <w:rPr>
          <w:rFonts w:ascii="Century" w:hAnsi="Century" w:cs="Miriam"/>
          <w:b/>
          <w:spacing w:val="0"/>
          <w:sz w:val="22"/>
          <w:szCs w:val="24"/>
          <w:rtl/>
        </w:rPr>
        <w:t>עיקר התועלת</w:t>
      </w:r>
      <w:r w:rsidRPr="005862AF">
        <w:rPr>
          <w:rFonts w:ascii="Century" w:hAnsi="Century" w:cs="Miriam" w:hint="cs"/>
          <w:b/>
          <w:spacing w:val="0"/>
          <w:sz w:val="22"/>
          <w:szCs w:val="24"/>
          <w:rtl/>
        </w:rPr>
        <w:t xml:space="preserve"> [היא] </w:t>
      </w:r>
      <w:r w:rsidRPr="005862AF">
        <w:rPr>
          <w:rFonts w:ascii="Century" w:hAnsi="Century" w:cs="Miriam"/>
          <w:b/>
          <w:spacing w:val="0"/>
          <w:sz w:val="22"/>
          <w:szCs w:val="24"/>
          <w:rtl/>
        </w:rPr>
        <w:t xml:space="preserve">בשחרור המדינה מניהול הליכים משפטיים לבירור שאלת התקיימותה של </w:t>
      </w:r>
      <w:r w:rsidRPr="005862AF">
        <w:rPr>
          <w:rFonts w:ascii="Century" w:hAnsi="Century" w:cs="Miriam" w:hint="cs"/>
          <w:b/>
          <w:spacing w:val="0"/>
          <w:sz w:val="22"/>
          <w:szCs w:val="24"/>
          <w:rtl/>
        </w:rPr>
        <w:t>'</w:t>
      </w:r>
      <w:r w:rsidRPr="005862AF">
        <w:rPr>
          <w:rFonts w:ascii="Century" w:hAnsi="Century" w:cs="Miriam"/>
          <w:b/>
          <w:spacing w:val="0"/>
          <w:sz w:val="22"/>
          <w:szCs w:val="24"/>
          <w:rtl/>
        </w:rPr>
        <w:t>פעולה מלחמת</w:t>
      </w:r>
      <w:r w:rsidRPr="005862AF">
        <w:rPr>
          <w:rFonts w:ascii="Century" w:hAnsi="Century" w:cs="Miriam" w:hint="cs"/>
          <w:b/>
          <w:spacing w:val="0"/>
          <w:sz w:val="22"/>
          <w:szCs w:val="24"/>
          <w:rtl/>
        </w:rPr>
        <w:t>ית'"</w:t>
      </w:r>
      <w:r>
        <w:rPr>
          <w:rFonts w:hint="cs"/>
          <w:rtl/>
        </w:rPr>
        <w:t>, אלא ש</w:t>
      </w:r>
      <w:r w:rsidRPr="005862AF">
        <w:rPr>
          <w:rFonts w:ascii="Century" w:hAnsi="Century" w:cs="Miriam" w:hint="cs"/>
          <w:b/>
          <w:spacing w:val="0"/>
          <w:sz w:val="22"/>
          <w:szCs w:val="24"/>
          <w:rtl/>
        </w:rPr>
        <w:t>"</w:t>
      </w:r>
      <w:r w:rsidRPr="005862AF">
        <w:rPr>
          <w:rFonts w:ascii="Century" w:hAnsi="Century" w:cs="Miriam"/>
          <w:b/>
          <w:spacing w:val="0"/>
          <w:sz w:val="22"/>
          <w:szCs w:val="24"/>
          <w:rtl/>
        </w:rPr>
        <w:t xml:space="preserve">תועלת זו לאינטרס הציבורי </w:t>
      </w:r>
      <w:r w:rsidRPr="00D42AF8">
        <w:rPr>
          <w:rFonts w:ascii="Century" w:hAnsi="Century"/>
          <w:sz w:val="22"/>
          <w:rtl/>
        </w:rPr>
        <w:t>–</w:t>
      </w:r>
      <w:r w:rsidRPr="005862AF">
        <w:rPr>
          <w:rFonts w:ascii="Century" w:hAnsi="Century" w:cs="Miriam"/>
          <w:b/>
          <w:spacing w:val="0"/>
          <w:sz w:val="22"/>
          <w:szCs w:val="24"/>
          <w:rtl/>
        </w:rPr>
        <w:t xml:space="preserve"> תועלת שעיקרה חסכון במשאבים מינהליים </w:t>
      </w:r>
      <w:r w:rsidRPr="00D42AF8">
        <w:rPr>
          <w:rFonts w:ascii="Century" w:hAnsi="Century"/>
          <w:sz w:val="22"/>
          <w:rtl/>
        </w:rPr>
        <w:t>–</w:t>
      </w:r>
      <w:r w:rsidRPr="005862AF">
        <w:rPr>
          <w:rFonts w:ascii="Century" w:hAnsi="Century" w:cs="Miriam"/>
          <w:b/>
          <w:spacing w:val="0"/>
          <w:sz w:val="22"/>
          <w:szCs w:val="24"/>
          <w:rtl/>
        </w:rPr>
        <w:t xml:space="preserve"> אינה מידתית בהשוואה לנזק לפרטים השונים, שנגרם על ידי פעולות שאינן מלחמתיות</w:t>
      </w:r>
      <w:r w:rsidRPr="005862AF">
        <w:rPr>
          <w:rFonts w:ascii="Century" w:hAnsi="Century" w:cs="Miriam" w:hint="cs"/>
          <w:b/>
          <w:spacing w:val="0"/>
          <w:sz w:val="22"/>
          <w:szCs w:val="24"/>
          <w:rtl/>
        </w:rPr>
        <w:t>"</w:t>
      </w:r>
      <w:r>
        <w:rPr>
          <w:rFonts w:hint="cs"/>
          <w:rtl/>
        </w:rPr>
        <w:t xml:space="preserve"> (</w:t>
      </w:r>
      <w:r w:rsidRPr="005862AF">
        <w:rPr>
          <w:rFonts w:ascii="Century" w:hAnsi="Century" w:cs="Miriam" w:hint="cs"/>
          <w:b/>
          <w:spacing w:val="0"/>
          <w:sz w:val="22"/>
          <w:szCs w:val="24"/>
          <w:rtl/>
        </w:rPr>
        <w:t>שם</w:t>
      </w:r>
      <w:r>
        <w:rPr>
          <w:rFonts w:hint="cs"/>
          <w:rtl/>
        </w:rPr>
        <w:t>, פסקה 41).</w:t>
      </w:r>
    </w:p>
    <w:p w:rsidR="00D512D4" w:rsidRPr="00323318" w:rsidRDefault="00D512D4" w:rsidP="00240E22">
      <w:pPr>
        <w:pStyle w:val="Ruller41"/>
        <w:spacing w:line="240" w:lineRule="auto"/>
      </w:pPr>
    </w:p>
    <w:p w:rsidR="00D512D4" w:rsidRDefault="00D512D4" w:rsidP="004E3F52">
      <w:pPr>
        <w:pStyle w:val="Ruller4"/>
      </w:pPr>
      <w:r>
        <w:rPr>
          <w:rFonts w:hint="cs"/>
          <w:rtl/>
        </w:rPr>
        <w:t xml:space="preserve">כפי שצוין בהרחבה לעיל, השאלה שעלתה בעניין </w:t>
      </w:r>
      <w:r w:rsidRPr="00134A5C">
        <w:rPr>
          <w:rFonts w:ascii="Century" w:hAnsi="Century" w:cs="Miriam" w:hint="cs"/>
          <w:b/>
          <w:spacing w:val="0"/>
          <w:sz w:val="22"/>
          <w:szCs w:val="24"/>
          <w:rtl/>
        </w:rPr>
        <w:t>עדאלה</w:t>
      </w:r>
      <w:r>
        <w:rPr>
          <w:rFonts w:hint="cs"/>
          <w:rtl/>
        </w:rPr>
        <w:t>,</w:t>
      </w:r>
      <w:r w:rsidRPr="00134A5C">
        <w:rPr>
          <w:rFonts w:hint="cs"/>
          <w:rtl/>
        </w:rPr>
        <w:t xml:space="preserve"> </w:t>
      </w:r>
      <w:r>
        <w:rPr>
          <w:rFonts w:hint="cs"/>
          <w:rtl/>
        </w:rPr>
        <w:t>שונה מ</w:t>
      </w:r>
      <w:r w:rsidR="004E3F52">
        <w:rPr>
          <w:rFonts w:hint="cs"/>
          <w:rtl/>
        </w:rPr>
        <w:t>ן העניין דנן.</w:t>
      </w:r>
      <w:r>
        <w:rPr>
          <w:rFonts w:hint="cs"/>
          <w:rtl/>
        </w:rPr>
        <w:t xml:space="preserve"> לכן, לטעמי, בניגוד לעניין </w:t>
      </w:r>
      <w:r w:rsidRPr="00134A5C">
        <w:rPr>
          <w:rFonts w:ascii="Century" w:hAnsi="Century" w:cs="Miriam" w:hint="cs"/>
          <w:b/>
          <w:spacing w:val="0"/>
          <w:sz w:val="22"/>
          <w:szCs w:val="24"/>
          <w:rtl/>
        </w:rPr>
        <w:t>עדאלה</w:t>
      </w:r>
      <w:r w:rsidR="004E3F52">
        <w:rPr>
          <w:rFonts w:hint="cs"/>
          <w:rtl/>
        </w:rPr>
        <w:t xml:space="preserve">, בנסיבות </w:t>
      </w:r>
      <w:r>
        <w:rPr>
          <w:rFonts w:hint="cs"/>
          <w:rtl/>
        </w:rPr>
        <w:t>עניי</w:t>
      </w:r>
      <w:r w:rsidR="004E3F52">
        <w:rPr>
          <w:rFonts w:hint="cs"/>
          <w:rtl/>
        </w:rPr>
        <w:t>ננו</w:t>
      </w:r>
      <w:r>
        <w:rPr>
          <w:rFonts w:hint="cs"/>
          <w:rtl/>
        </w:rPr>
        <w:t xml:space="preserve">, יש לקבוע כי מבחן-המשנה השלישי מתקיים-גם-מתקיים; האיזון שעל-פי ההסדר החוקי </w:t>
      </w:r>
      <w:r>
        <w:rPr>
          <w:rtl/>
        </w:rPr>
        <w:t>–</w:t>
      </w:r>
      <w:r>
        <w:rPr>
          <w:rFonts w:hint="cs"/>
          <w:rtl/>
        </w:rPr>
        <w:t xml:space="preserve"> ראוי ושקול, והוא אינו חורג מ'מתחם המידתיות'. עיקרו של דבר הוא, כי כאשר מדובר בתביעות נזיקין </w:t>
      </w:r>
      <w:r w:rsidR="004E3F52">
        <w:rPr>
          <w:rFonts w:hint="cs"/>
          <w:rtl/>
        </w:rPr>
        <w:t xml:space="preserve">של </w:t>
      </w:r>
      <w:r>
        <w:rPr>
          <w:rFonts w:hint="cs"/>
          <w:rtl/>
        </w:rPr>
        <w:t xml:space="preserve">נתיני מדינת אויב, או תושבי מקום שהוכרז בצו כשטח אויב, דוגמת עזה, נקודת האיזון משתנה; המטוטלת 'זזה'. אם תרצו: עמודת 'הנזק' ב'גרף המידתיות' </w:t>
      </w:r>
      <w:r>
        <w:rPr>
          <w:rtl/>
        </w:rPr>
        <w:t>–</w:t>
      </w:r>
      <w:r>
        <w:rPr>
          <w:rFonts w:hint="cs"/>
          <w:rtl/>
        </w:rPr>
        <w:t xml:space="preserve"> יורדת, בעוד שעמודת 'התועלת' </w:t>
      </w:r>
      <w:r>
        <w:rPr>
          <w:rtl/>
        </w:rPr>
        <w:t>–</w:t>
      </w:r>
      <w:r>
        <w:rPr>
          <w:rFonts w:hint="cs"/>
          <w:rtl/>
        </w:rPr>
        <w:t xml:space="preserve"> עולה. כאמור, הממשק העיקרי בין ישראל לעזה, ולכל מדינת אויב אחרת, כרוך, מיניה וביה, ביחסי העוינות ובעימות המזוין שבין הצדדים. אם כן, מבלעדי נוכחות פיסית של כוחות הביטחון, או גורמי ממשל ישראלים אחרים ברצועת עזה, ההסתברות כי תביעה נזיקית נגד המדינה, תהא מנותקת ממצב הלחימה, ומיחסי העוינות בין הצדדים </w:t>
      </w:r>
      <w:r>
        <w:rPr>
          <w:rtl/>
        </w:rPr>
        <w:t>–</w:t>
      </w:r>
      <w:r>
        <w:rPr>
          <w:rFonts w:hint="cs"/>
          <w:rtl/>
        </w:rPr>
        <w:t xml:space="preserve"> היא זניחה ביותר. כמו כן, ההיתכנות </w:t>
      </w:r>
      <w:r w:rsidR="004E3F52">
        <w:rPr>
          <w:rFonts w:hint="cs"/>
          <w:rtl/>
        </w:rPr>
        <w:t xml:space="preserve">לכך </w:t>
      </w:r>
      <w:r>
        <w:rPr>
          <w:rFonts w:hint="cs"/>
          <w:rtl/>
        </w:rPr>
        <w:t xml:space="preserve">שפעולה של מדינת ישראל ברצועת עזה לא תבוא בגדר 'פעולה מלחמתית', על רקע העימות הצבאי בין הצדדים, נדמית בעינַי כאפשרות קלושה. מכאן נגזרת המסקנה, כי גם הנזק הפוטנציאלי המצטבר, כתוצאה מהענקת חסינות לפעולות שאינן מלחמתיות </w:t>
      </w:r>
      <w:r>
        <w:rPr>
          <w:rtl/>
        </w:rPr>
        <w:t>–</w:t>
      </w:r>
      <w:r>
        <w:rPr>
          <w:rFonts w:hint="cs"/>
          <w:rtl/>
        </w:rPr>
        <w:t xml:space="preserve"> נמוך עד מאוד. </w:t>
      </w:r>
    </w:p>
    <w:p w:rsidR="00D512D4" w:rsidRDefault="00D512D4" w:rsidP="00240E22">
      <w:pPr>
        <w:pStyle w:val="Ruller4"/>
        <w:numPr>
          <w:ilvl w:val="0"/>
          <w:numId w:val="0"/>
        </w:numPr>
        <w:spacing w:line="240" w:lineRule="auto"/>
        <w:rPr>
          <w:rtl/>
        </w:rPr>
      </w:pPr>
      <w:r>
        <w:rPr>
          <w:rtl/>
        </w:rPr>
        <w:tab/>
      </w:r>
    </w:p>
    <w:p w:rsidR="00D512D4" w:rsidRDefault="00D512D4" w:rsidP="0029592A">
      <w:pPr>
        <w:pStyle w:val="Ruller4"/>
        <w:rPr>
          <w:rtl/>
        </w:rPr>
      </w:pPr>
      <w:r>
        <w:rPr>
          <w:rFonts w:hint="cs"/>
          <w:rtl/>
        </w:rPr>
        <w:t xml:space="preserve">מנגד, התועלת הצומחת מסעיף 5ב(א)(1) לחוק, אינה מבוטלת כלל ועיקר. כאמור, ההסדר שנקבע בו, מגשים תכלית חשובה, רמת-מעלה </w:t>
      </w:r>
      <w:r>
        <w:rPr>
          <w:rtl/>
        </w:rPr>
        <w:t>–</w:t>
      </w:r>
      <w:r>
        <w:rPr>
          <w:rFonts w:hint="cs"/>
          <w:rtl/>
        </w:rPr>
        <w:t xml:space="preserve"> מניעת סיוע לאויב. תכלית זו, מושגת באמצעות חסימת הגישה של נתיני שטח האויב לערכאות בישראל, בהקשר הנזיקי. ניהול הליכים נזיקיים נגד המדינה, באשר הם, על-ידי נתיני האויב ותושביו, עלול לסייע לישות הנלחמת עם ישראל; בין אם מחמת קבלת פיצוי כספי, בין אם בהשגת הישגים תקשורתיים ותדמיתיים, כגון פגיעה בשמה של ישראל, וגרימת חבלה למעמדה הבינלאומי. אין לזלזל בכך; לא בכדי, מדינות רבות, מהמתוקנו</w:t>
      </w:r>
      <w:r w:rsidR="004E3F52">
        <w:rPr>
          <w:rFonts w:hint="cs"/>
          <w:rtl/>
        </w:rPr>
        <w:t>ת שבעולם, אימצו את הכלל בדבר אי-</w:t>
      </w:r>
      <w:r>
        <w:rPr>
          <w:rFonts w:hint="cs"/>
          <w:rtl/>
        </w:rPr>
        <w:t xml:space="preserve">בירור תביעת אויב (ראו: </w:t>
      </w:r>
      <w:r w:rsidRPr="00E159DF">
        <w:rPr>
          <w:rFonts w:ascii="Century" w:hAnsi="Century" w:cs="Miriam" w:hint="cs"/>
          <w:b/>
          <w:spacing w:val="0"/>
          <w:sz w:val="22"/>
          <w:szCs w:val="24"/>
          <w:rtl/>
        </w:rPr>
        <w:t>רע"א דיראני</w:t>
      </w:r>
      <w:r>
        <w:rPr>
          <w:rFonts w:hint="cs"/>
          <w:rtl/>
        </w:rPr>
        <w:t xml:space="preserve">, פסקה 33 לפסק הדין של השופט (כתוארו אז) </w:t>
      </w:r>
      <w:r w:rsidRPr="00E159DF">
        <w:rPr>
          <w:rFonts w:ascii="Century" w:hAnsi="Century" w:cs="Miriam" w:hint="cs"/>
          <w:b/>
          <w:spacing w:val="0"/>
          <w:sz w:val="22"/>
          <w:szCs w:val="24"/>
          <w:rtl/>
        </w:rPr>
        <w:t>ח' מלצר</w:t>
      </w:r>
      <w:r>
        <w:rPr>
          <w:rFonts w:hint="cs"/>
          <w:rtl/>
        </w:rPr>
        <w:t xml:space="preserve">; עניין </w:t>
      </w:r>
      <w:r w:rsidRPr="00E159DF">
        <w:rPr>
          <w:rFonts w:ascii="Century" w:hAnsi="Century" w:cs="Miriam" w:hint="cs"/>
          <w:b/>
          <w:spacing w:val="0"/>
          <w:sz w:val="22"/>
          <w:szCs w:val="24"/>
          <w:rtl/>
        </w:rPr>
        <w:t>דיראני</w:t>
      </w:r>
      <w:r>
        <w:rPr>
          <w:rFonts w:hint="cs"/>
          <w:rtl/>
        </w:rPr>
        <w:t xml:space="preserve">, פסקאות ה-ו לפסק הדין של השופט (כתוארו אז) </w:t>
      </w:r>
      <w:r w:rsidRPr="00E159DF">
        <w:rPr>
          <w:rFonts w:ascii="Century" w:hAnsi="Century" w:cs="Miriam" w:hint="cs"/>
          <w:b/>
          <w:spacing w:val="0"/>
          <w:sz w:val="22"/>
          <w:szCs w:val="24"/>
          <w:rtl/>
        </w:rPr>
        <w:t>א' רובינשטיין</w:t>
      </w:r>
      <w:r>
        <w:rPr>
          <w:rFonts w:hint="cs"/>
          <w:rtl/>
        </w:rPr>
        <w:t xml:space="preserve">). סעיף 5ב(א)(1) לחוק, מביא עמו תועלת רבה, גם בהגשמת התכלית בדבר התאמת דיני הנזיקין למצבי מלחמה ולעימותים מזוינים. כאמור לעיל, עצם בירור השאלה, אם פעולה שבוצעה על-ידי המדינה היא 'פעולה מלחמתית', מביא להגשמה פחוּתה של תכלית זו. זאת, שכן כבר בעת הדיון בשאלת החסינות </w:t>
      </w:r>
      <w:r>
        <w:rPr>
          <w:rtl/>
        </w:rPr>
        <w:t>–</w:t>
      </w:r>
      <w:r>
        <w:rPr>
          <w:rFonts w:hint="cs"/>
          <w:rtl/>
        </w:rPr>
        <w:t xml:space="preserve"> נדונה סבירות הפעולה המזיקה באמצעות שימוש בארגז הכלים הנזיקי, אף שזה אינו מתאים, כמפורט בהרחבה לעיל, לנזקים שנגרמו במסגרת סכסוכים מזוינים, ואף עלול לפגוע ביכולות הצבא, להנחיל הססנות</w:t>
      </w:r>
      <w:r w:rsidR="0029592A">
        <w:rPr>
          <w:rFonts w:hint="cs"/>
          <w:rtl/>
        </w:rPr>
        <w:t>,</w:t>
      </w:r>
      <w:r>
        <w:rPr>
          <w:rFonts w:hint="cs"/>
          <w:rtl/>
        </w:rPr>
        <w:t xml:space="preserve"> ו</w:t>
      </w:r>
      <w:r w:rsidR="0029592A">
        <w:rPr>
          <w:rFonts w:hint="cs"/>
          <w:rtl/>
        </w:rPr>
        <w:t xml:space="preserve">לצקת </w:t>
      </w:r>
      <w:r>
        <w:rPr>
          <w:rFonts w:hint="cs"/>
          <w:rtl/>
        </w:rPr>
        <w:t xml:space="preserve">חולשה לשדה הקרב. משכך, התועלת שבמתן חסינות גורפת, בהקשר של תכלית התאמת דיני הנזיקין למצבי מלחמה, אינה </w:t>
      </w:r>
      <w:r w:rsidRPr="00E159DF">
        <w:rPr>
          <w:rFonts w:hint="cs"/>
          <w:rtl/>
        </w:rPr>
        <w:t>מתמצית ב</w:t>
      </w:r>
      <w:r w:rsidRPr="00E159DF">
        <w:rPr>
          <w:rFonts w:ascii="Century" w:hAnsi="Century" w:cs="Miriam" w:hint="cs"/>
          <w:b/>
          <w:spacing w:val="0"/>
          <w:sz w:val="22"/>
          <w:szCs w:val="24"/>
          <w:rtl/>
        </w:rPr>
        <w:t>"חסכון במשאבים מנהליים"</w:t>
      </w:r>
      <w:r w:rsidRPr="00E159DF">
        <w:rPr>
          <w:rFonts w:hint="cs"/>
          <w:rtl/>
        </w:rPr>
        <w:t xml:space="preserve"> בלבד</w:t>
      </w:r>
      <w:r>
        <w:rPr>
          <w:rFonts w:hint="cs"/>
          <w:rtl/>
        </w:rPr>
        <w:t>; היא כוללת גם רכיבים מהותיים</w:t>
      </w:r>
      <w:r w:rsidRPr="00E159DF">
        <w:rPr>
          <w:rFonts w:hint="cs"/>
          <w:rtl/>
        </w:rPr>
        <w:t xml:space="preserve">. </w:t>
      </w:r>
    </w:p>
    <w:p w:rsidR="00D512D4" w:rsidRPr="00362715" w:rsidRDefault="00D512D4" w:rsidP="00240E22">
      <w:pPr>
        <w:pStyle w:val="Ruller41"/>
        <w:spacing w:line="240" w:lineRule="auto"/>
        <w:rPr>
          <w:rtl/>
        </w:rPr>
      </w:pPr>
    </w:p>
    <w:p w:rsidR="00D512D4" w:rsidRPr="00D06D24" w:rsidRDefault="00D512D4" w:rsidP="00A939AC">
      <w:pPr>
        <w:pStyle w:val="Ruller4"/>
      </w:pPr>
      <w:r w:rsidRPr="00D06D24">
        <w:rPr>
          <w:rFonts w:hint="cs"/>
          <w:rtl/>
        </w:rPr>
        <w:t xml:space="preserve">ודוק: כפי שהטעימו המשיבות, סעיף 5ב(א)(1) לחוק, אינו מפחית מחובתה של המדינה, לדרוש ולחקור, בכלים העומדים לרשותה, אם במקרים מסוימים, אכן ידינו </w:t>
      </w:r>
      <w:r w:rsidRPr="00D06D24">
        <w:rPr>
          <w:rFonts w:ascii="Century" w:hAnsi="Century" w:cs="Miriam"/>
          <w:b/>
          <w:spacing w:val="0"/>
          <w:sz w:val="22"/>
          <w:szCs w:val="24"/>
          <w:rtl/>
        </w:rPr>
        <w:t>"</w:t>
      </w:r>
      <w:r w:rsidRPr="00D06D24">
        <w:rPr>
          <w:rFonts w:ascii="Century" w:hAnsi="Century" w:cs="Miriam" w:hint="eastAsia"/>
          <w:b/>
          <w:spacing w:val="0"/>
          <w:sz w:val="22"/>
          <w:szCs w:val="24"/>
          <w:rtl/>
        </w:rPr>
        <w:t>שָׁפְכוּ</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אֶת</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הַדָּם</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הַזֶּה</w:t>
      </w:r>
      <w:r w:rsidRPr="00D06D24">
        <w:rPr>
          <w:rFonts w:ascii="Century" w:hAnsi="Century" w:cs="Miriam"/>
          <w:b/>
          <w:spacing w:val="0"/>
          <w:sz w:val="22"/>
          <w:szCs w:val="24"/>
          <w:rtl/>
        </w:rPr>
        <w:t>"</w:t>
      </w:r>
      <w:r w:rsidRPr="00D06D24">
        <w:rPr>
          <w:rFonts w:hint="cs"/>
          <w:rtl/>
        </w:rPr>
        <w:t xml:space="preserve"> </w:t>
      </w:r>
      <w:r w:rsidRPr="00D06D24">
        <w:rPr>
          <w:rFonts w:ascii="Century" w:hAnsi="Century"/>
          <w:sz w:val="22"/>
          <w:rtl/>
        </w:rPr>
        <w:t>(</w:t>
      </w:r>
      <w:r w:rsidRPr="00D06D24">
        <w:rPr>
          <w:rFonts w:ascii="Century" w:hAnsi="Century" w:hint="eastAsia"/>
          <w:sz w:val="22"/>
          <w:rtl/>
        </w:rPr>
        <w:t>דברים</w:t>
      </w:r>
      <w:r w:rsidRPr="00D06D24">
        <w:rPr>
          <w:rtl/>
        </w:rPr>
        <w:t xml:space="preserve"> </w:t>
      </w:r>
      <w:r w:rsidRPr="00D06D24">
        <w:rPr>
          <w:rFonts w:hint="cs"/>
          <w:rtl/>
        </w:rPr>
        <w:t xml:space="preserve">כא, ז). למעשה, ההסדר החוקי האמור, אף מגביר את החובה לעשות כן. </w:t>
      </w:r>
      <w:r w:rsidRPr="00D06D24">
        <w:rPr>
          <w:rFonts w:hint="eastAsia"/>
          <w:rtl/>
        </w:rPr>
        <w:t>לקראת</w:t>
      </w:r>
      <w:r w:rsidRPr="00D06D24">
        <w:rPr>
          <w:rtl/>
        </w:rPr>
        <w:t xml:space="preserve"> </w:t>
      </w:r>
      <w:r w:rsidRPr="00D06D24">
        <w:rPr>
          <w:rFonts w:hint="eastAsia"/>
          <w:rtl/>
        </w:rPr>
        <w:t>מפגשו</w:t>
      </w:r>
      <w:r w:rsidRPr="00D06D24">
        <w:rPr>
          <w:rtl/>
        </w:rPr>
        <w:t xml:space="preserve"> </w:t>
      </w:r>
      <w:r w:rsidRPr="00D06D24">
        <w:rPr>
          <w:rFonts w:hint="eastAsia"/>
          <w:rtl/>
        </w:rPr>
        <w:t>של</w:t>
      </w:r>
      <w:r w:rsidRPr="00D06D24">
        <w:rPr>
          <w:rtl/>
        </w:rPr>
        <w:t xml:space="preserve"> </w:t>
      </w:r>
      <w:r w:rsidRPr="00D06D24">
        <w:rPr>
          <w:rFonts w:hint="eastAsia"/>
          <w:rtl/>
        </w:rPr>
        <w:t>יעקב</w:t>
      </w:r>
      <w:r w:rsidRPr="00D06D24">
        <w:rPr>
          <w:rtl/>
        </w:rPr>
        <w:t xml:space="preserve"> </w:t>
      </w:r>
      <w:r w:rsidRPr="00D06D24">
        <w:rPr>
          <w:rFonts w:hint="eastAsia"/>
          <w:rtl/>
        </w:rPr>
        <w:t>עם</w:t>
      </w:r>
      <w:r w:rsidRPr="00D06D24">
        <w:rPr>
          <w:rtl/>
        </w:rPr>
        <w:t xml:space="preserve"> </w:t>
      </w:r>
      <w:r w:rsidRPr="00D06D24">
        <w:rPr>
          <w:rFonts w:hint="eastAsia"/>
          <w:rtl/>
        </w:rPr>
        <w:t>אחיו</w:t>
      </w:r>
      <w:r w:rsidRPr="00D06D24">
        <w:rPr>
          <w:rtl/>
        </w:rPr>
        <w:t xml:space="preserve"> </w:t>
      </w:r>
      <w:r w:rsidRPr="00D06D24">
        <w:rPr>
          <w:rFonts w:hint="eastAsia"/>
          <w:rtl/>
        </w:rPr>
        <w:t>עשו</w:t>
      </w:r>
      <w:r w:rsidRPr="00D06D24">
        <w:rPr>
          <w:rtl/>
        </w:rPr>
        <w:t xml:space="preserve">, </w:t>
      </w:r>
      <w:r w:rsidRPr="00D06D24">
        <w:rPr>
          <w:rFonts w:hint="eastAsia"/>
          <w:rtl/>
        </w:rPr>
        <w:t>מתאר</w:t>
      </w:r>
      <w:r w:rsidRPr="00D06D24">
        <w:rPr>
          <w:rtl/>
        </w:rPr>
        <w:t xml:space="preserve"> </w:t>
      </w:r>
      <w:r w:rsidRPr="00D06D24">
        <w:rPr>
          <w:rFonts w:hint="eastAsia"/>
          <w:rtl/>
        </w:rPr>
        <w:t>הפסוק</w:t>
      </w:r>
      <w:r w:rsidRPr="00D06D24">
        <w:rPr>
          <w:rtl/>
        </w:rPr>
        <w:t xml:space="preserve"> </w:t>
      </w:r>
      <w:r w:rsidRPr="00D06D24">
        <w:rPr>
          <w:rFonts w:hint="eastAsia"/>
          <w:rtl/>
        </w:rPr>
        <w:t>את</w:t>
      </w:r>
      <w:r w:rsidRPr="00D06D24">
        <w:rPr>
          <w:rtl/>
        </w:rPr>
        <w:t xml:space="preserve"> </w:t>
      </w:r>
      <w:r w:rsidRPr="00D06D24">
        <w:rPr>
          <w:rFonts w:hint="eastAsia"/>
          <w:rtl/>
        </w:rPr>
        <w:t>הלך</w:t>
      </w:r>
      <w:r w:rsidRPr="00D06D24">
        <w:rPr>
          <w:rtl/>
        </w:rPr>
        <w:t xml:space="preserve"> </w:t>
      </w:r>
      <w:r w:rsidRPr="00D06D24">
        <w:rPr>
          <w:rFonts w:hint="eastAsia"/>
          <w:rtl/>
        </w:rPr>
        <w:t>רוחו</w:t>
      </w:r>
      <w:r w:rsidRPr="00D06D24">
        <w:rPr>
          <w:rtl/>
        </w:rPr>
        <w:t xml:space="preserve"> </w:t>
      </w:r>
      <w:r w:rsidRPr="00D06D24">
        <w:rPr>
          <w:rFonts w:hint="eastAsia"/>
          <w:rtl/>
        </w:rPr>
        <w:t>של</w:t>
      </w:r>
      <w:r w:rsidRPr="00D06D24">
        <w:rPr>
          <w:rtl/>
        </w:rPr>
        <w:t xml:space="preserve"> </w:t>
      </w:r>
      <w:r w:rsidRPr="00D06D24">
        <w:rPr>
          <w:rFonts w:hint="eastAsia"/>
          <w:rtl/>
        </w:rPr>
        <w:t>יעקב</w:t>
      </w:r>
      <w:r w:rsidRPr="00D06D24">
        <w:rPr>
          <w:rtl/>
        </w:rPr>
        <w:t xml:space="preserve">: </w:t>
      </w:r>
      <w:r w:rsidRPr="00D06D24">
        <w:rPr>
          <w:rFonts w:ascii="Century" w:hAnsi="Century" w:cs="Miriam" w:hint="cs"/>
          <w:b/>
          <w:spacing w:val="0"/>
          <w:sz w:val="22"/>
          <w:szCs w:val="24"/>
          <w:rtl/>
        </w:rPr>
        <w:t>"</w:t>
      </w:r>
      <w:r w:rsidRPr="00D06D24">
        <w:rPr>
          <w:rFonts w:ascii="Century" w:hAnsi="Century" w:cs="Miriam" w:hint="eastAsia"/>
          <w:b/>
          <w:spacing w:val="0"/>
          <w:sz w:val="22"/>
          <w:szCs w:val="24"/>
          <w:rtl/>
        </w:rPr>
        <w:t>וַיִּירָא</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יַעֲקֹב</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מְאֹד</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וַיֵּצֶר</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לוֹ</w:t>
      </w:r>
      <w:r w:rsidRPr="00D06D24">
        <w:rPr>
          <w:rFonts w:ascii="Century" w:hAnsi="Century" w:cs="Miriam" w:hint="cs"/>
          <w:b/>
          <w:spacing w:val="0"/>
          <w:sz w:val="22"/>
          <w:szCs w:val="24"/>
          <w:rtl/>
        </w:rPr>
        <w:t>"</w:t>
      </w:r>
      <w:r w:rsidRPr="00D06D24">
        <w:rPr>
          <w:rtl/>
        </w:rPr>
        <w:t xml:space="preserve"> (</w:t>
      </w:r>
      <w:r w:rsidRPr="00D06D24">
        <w:rPr>
          <w:rFonts w:hint="eastAsia"/>
          <w:rtl/>
        </w:rPr>
        <w:t>בראשית</w:t>
      </w:r>
      <w:r w:rsidRPr="00D06D24">
        <w:rPr>
          <w:rtl/>
        </w:rPr>
        <w:t xml:space="preserve"> </w:t>
      </w:r>
      <w:r w:rsidRPr="00D06D24">
        <w:rPr>
          <w:rFonts w:hint="eastAsia"/>
          <w:rtl/>
        </w:rPr>
        <w:t>לב</w:t>
      </w:r>
      <w:r w:rsidRPr="00D06D24">
        <w:rPr>
          <w:rtl/>
        </w:rPr>
        <w:t xml:space="preserve">, </w:t>
      </w:r>
      <w:r w:rsidRPr="00D06D24">
        <w:rPr>
          <w:rFonts w:hint="eastAsia"/>
          <w:rtl/>
        </w:rPr>
        <w:t>ח</w:t>
      </w:r>
      <w:r w:rsidRPr="00D06D24">
        <w:rPr>
          <w:rtl/>
        </w:rPr>
        <w:t>)</w:t>
      </w:r>
      <w:r w:rsidRPr="00D06D24">
        <w:rPr>
          <w:rFonts w:hint="cs"/>
          <w:rtl/>
        </w:rPr>
        <w:t>.</w:t>
      </w:r>
      <w:r w:rsidRPr="00D06D24">
        <w:rPr>
          <w:rtl/>
        </w:rPr>
        <w:t xml:space="preserve"> </w:t>
      </w:r>
      <w:r w:rsidRPr="00D06D24">
        <w:rPr>
          <w:rFonts w:hint="cs"/>
          <w:rtl/>
        </w:rPr>
        <w:t>על יס</w:t>
      </w:r>
      <w:r>
        <w:rPr>
          <w:rFonts w:hint="cs"/>
          <w:rtl/>
        </w:rPr>
        <w:t>וד</w:t>
      </w:r>
      <w:r w:rsidRPr="00D06D24">
        <w:rPr>
          <w:rFonts w:hint="cs"/>
          <w:rtl/>
        </w:rPr>
        <w:t xml:space="preserve"> דברי ה</w:t>
      </w:r>
      <w:r w:rsidRPr="00D06D24">
        <w:rPr>
          <w:rFonts w:hint="eastAsia"/>
          <w:rtl/>
        </w:rPr>
        <w:t>מדר</w:t>
      </w:r>
      <w:r w:rsidRPr="00D06D24">
        <w:rPr>
          <w:rFonts w:hint="cs"/>
          <w:rtl/>
        </w:rPr>
        <w:t xml:space="preserve">ש </w:t>
      </w:r>
      <w:r>
        <w:rPr>
          <w:rFonts w:hint="cs"/>
          <w:rtl/>
        </w:rPr>
        <w:t xml:space="preserve">באותו עניין </w:t>
      </w:r>
      <w:r w:rsidRPr="00D06D24">
        <w:rPr>
          <w:rFonts w:hint="cs"/>
          <w:rtl/>
        </w:rPr>
        <w:t xml:space="preserve">(בראשית רבה עו, ב), מפרש </w:t>
      </w:r>
      <w:r>
        <w:rPr>
          <w:rFonts w:hint="cs"/>
          <w:rtl/>
        </w:rPr>
        <w:t xml:space="preserve">רש"י </w:t>
      </w:r>
      <w:r w:rsidRPr="00D06D24">
        <w:rPr>
          <w:rFonts w:hint="cs"/>
          <w:rtl/>
        </w:rPr>
        <w:t xml:space="preserve">את הפסוק </w:t>
      </w:r>
      <w:r>
        <w:rPr>
          <w:rFonts w:hint="cs"/>
          <w:rtl/>
        </w:rPr>
        <w:t>באופן הבא</w:t>
      </w:r>
      <w:r w:rsidRPr="00D06D24">
        <w:rPr>
          <w:rtl/>
        </w:rPr>
        <w:t xml:space="preserve">: </w:t>
      </w:r>
      <w:r w:rsidRPr="00D06D24">
        <w:rPr>
          <w:rFonts w:ascii="Century" w:hAnsi="Century" w:cs="Miriam"/>
          <w:b/>
          <w:spacing w:val="0"/>
          <w:sz w:val="22"/>
          <w:szCs w:val="24"/>
          <w:rtl/>
        </w:rPr>
        <w:t>"</w:t>
      </w:r>
      <w:r w:rsidRPr="00D06D24">
        <w:rPr>
          <w:rFonts w:ascii="Century" w:hAnsi="Century" w:cs="Miriam" w:hint="eastAsia"/>
          <w:b/>
          <w:spacing w:val="0"/>
          <w:sz w:val="22"/>
          <w:szCs w:val="24"/>
          <w:rtl/>
        </w:rPr>
        <w:t>ויירא</w:t>
      </w:r>
      <w:r w:rsidRPr="00D06D24">
        <w:rPr>
          <w:rFonts w:ascii="Century" w:hAnsi="Century" w:cs="Miriam"/>
          <w:b/>
          <w:spacing w:val="0"/>
          <w:sz w:val="22"/>
          <w:szCs w:val="24"/>
          <w:rtl/>
        </w:rPr>
        <w:t xml:space="preserve"> </w:t>
      </w:r>
      <w:r w:rsidRPr="00D06D24">
        <w:rPr>
          <w:rFonts w:ascii="FrankRuehl" w:hAnsi="FrankRuehl"/>
          <w:b/>
          <w:spacing w:val="0"/>
          <w:sz w:val="28"/>
          <w:rtl/>
        </w:rPr>
        <w:t>–</w:t>
      </w:r>
      <w:r w:rsidRPr="00D06D24">
        <w:rPr>
          <w:rFonts w:ascii="Century" w:hAnsi="Century" w:cs="Miriam" w:hint="cs"/>
          <w:b/>
          <w:spacing w:val="0"/>
          <w:sz w:val="22"/>
          <w:szCs w:val="24"/>
          <w:rtl/>
        </w:rPr>
        <w:t xml:space="preserve"> </w:t>
      </w:r>
      <w:r w:rsidRPr="00D06D24">
        <w:rPr>
          <w:rFonts w:ascii="Century" w:hAnsi="Century" w:cs="Miriam" w:hint="eastAsia"/>
          <w:b/>
          <w:spacing w:val="0"/>
          <w:sz w:val="22"/>
          <w:szCs w:val="24"/>
          <w:rtl/>
        </w:rPr>
        <w:t>שמא</w:t>
      </w:r>
      <w:r w:rsidRPr="00D06D24">
        <w:rPr>
          <w:rFonts w:ascii="Century" w:hAnsi="Century" w:cs="Miriam" w:hint="cs"/>
          <w:b/>
          <w:spacing w:val="0"/>
          <w:sz w:val="22"/>
          <w:szCs w:val="24"/>
          <w:rtl/>
        </w:rPr>
        <w:t xml:space="preserve"> </w:t>
      </w:r>
      <w:r w:rsidRPr="00D06D24">
        <w:rPr>
          <w:rFonts w:ascii="Century" w:hAnsi="Century" w:cs="Miriam" w:hint="eastAsia"/>
          <w:b/>
          <w:spacing w:val="0"/>
          <w:sz w:val="22"/>
          <w:szCs w:val="24"/>
          <w:rtl/>
        </w:rPr>
        <w:t>ייהרג</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ויצר</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לו</w:t>
      </w:r>
      <w:r w:rsidRPr="00D06D24">
        <w:rPr>
          <w:rFonts w:ascii="Century" w:hAnsi="Century" w:cs="Miriam" w:hint="cs"/>
          <w:b/>
          <w:spacing w:val="0"/>
          <w:sz w:val="22"/>
          <w:szCs w:val="24"/>
          <w:rtl/>
        </w:rPr>
        <w:t xml:space="preserve"> </w:t>
      </w:r>
      <w:r w:rsidRPr="00D06D24">
        <w:rPr>
          <w:rFonts w:ascii="FrankRuehl" w:hAnsi="FrankRuehl"/>
          <w:b/>
          <w:spacing w:val="0"/>
          <w:sz w:val="28"/>
          <w:rtl/>
        </w:rPr>
        <w:t>–</w:t>
      </w:r>
      <w:r w:rsidRPr="00D06D24">
        <w:rPr>
          <w:rFonts w:ascii="Century" w:hAnsi="Century" w:cs="Miriam" w:hint="cs"/>
          <w:b/>
          <w:spacing w:val="0"/>
          <w:sz w:val="22"/>
          <w:szCs w:val="24"/>
          <w:rtl/>
        </w:rPr>
        <w:t xml:space="preserve"> </w:t>
      </w:r>
      <w:r w:rsidRPr="00D06D24">
        <w:rPr>
          <w:rFonts w:ascii="Century" w:hAnsi="Century" w:cs="Miriam" w:hint="eastAsia"/>
          <w:b/>
          <w:spacing w:val="0"/>
          <w:sz w:val="22"/>
          <w:szCs w:val="24"/>
          <w:rtl/>
        </w:rPr>
        <w:t>שמא</w:t>
      </w:r>
      <w:r w:rsidRPr="00D06D24">
        <w:rPr>
          <w:rFonts w:ascii="Century" w:hAnsi="Century" w:cs="Miriam" w:hint="cs"/>
          <w:b/>
          <w:spacing w:val="0"/>
          <w:sz w:val="22"/>
          <w:szCs w:val="24"/>
          <w:rtl/>
        </w:rPr>
        <w:t xml:space="preserve"> </w:t>
      </w:r>
      <w:r w:rsidRPr="00D06D24">
        <w:rPr>
          <w:rFonts w:ascii="Century" w:hAnsi="Century" w:cs="Miriam" w:hint="eastAsia"/>
          <w:b/>
          <w:spacing w:val="0"/>
          <w:sz w:val="22"/>
          <w:szCs w:val="24"/>
          <w:rtl/>
        </w:rPr>
        <w:t>יהרוג</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אחרים</w:t>
      </w:r>
      <w:r w:rsidRPr="00D06D24">
        <w:rPr>
          <w:rFonts w:ascii="Century" w:hAnsi="Century" w:cs="Miriam"/>
          <w:b/>
          <w:spacing w:val="0"/>
          <w:sz w:val="22"/>
          <w:szCs w:val="24"/>
          <w:rtl/>
        </w:rPr>
        <w:t>"</w:t>
      </w:r>
      <w:r w:rsidRPr="00D06D24">
        <w:rPr>
          <w:rtl/>
        </w:rPr>
        <w:t xml:space="preserve">. </w:t>
      </w:r>
      <w:r w:rsidRPr="00D06D24">
        <w:rPr>
          <w:rFonts w:hint="cs"/>
          <w:rtl/>
        </w:rPr>
        <w:t xml:space="preserve">בהתייחס לכך, </w:t>
      </w:r>
      <w:r>
        <w:rPr>
          <w:rFonts w:hint="cs"/>
          <w:rtl/>
        </w:rPr>
        <w:t>מבאר</w:t>
      </w:r>
      <w:r w:rsidRPr="00D06D24">
        <w:rPr>
          <w:rFonts w:hint="cs"/>
          <w:rtl/>
        </w:rPr>
        <w:t xml:space="preserve"> </w:t>
      </w:r>
      <w:r w:rsidRPr="00D06D24">
        <w:rPr>
          <w:rFonts w:hint="eastAsia"/>
          <w:rtl/>
        </w:rPr>
        <w:t>הרב</w:t>
      </w:r>
      <w:r w:rsidRPr="00D06D24">
        <w:rPr>
          <w:rtl/>
        </w:rPr>
        <w:t xml:space="preserve"> </w:t>
      </w:r>
      <w:r w:rsidRPr="00D06D24">
        <w:rPr>
          <w:rFonts w:hint="eastAsia"/>
          <w:rtl/>
        </w:rPr>
        <w:t>אשר</w:t>
      </w:r>
      <w:r w:rsidRPr="00D06D24">
        <w:rPr>
          <w:rtl/>
        </w:rPr>
        <w:t xml:space="preserve"> </w:t>
      </w:r>
      <w:r w:rsidRPr="00D06D24">
        <w:rPr>
          <w:rFonts w:hint="eastAsia"/>
          <w:rtl/>
        </w:rPr>
        <w:t>וייס</w:t>
      </w:r>
      <w:r w:rsidRPr="00D06D24">
        <w:rPr>
          <w:rtl/>
        </w:rPr>
        <w:t xml:space="preserve">: </w:t>
      </w:r>
      <w:r w:rsidRPr="00D06D24">
        <w:rPr>
          <w:rFonts w:ascii="Century" w:hAnsi="Century" w:cs="Miriam"/>
          <w:b/>
          <w:spacing w:val="0"/>
          <w:sz w:val="22"/>
          <w:szCs w:val="24"/>
          <w:rtl/>
        </w:rPr>
        <w:t>"</w:t>
      </w:r>
      <w:r w:rsidRPr="00D06D24">
        <w:rPr>
          <w:rFonts w:ascii="Century" w:hAnsi="Century" w:cs="Miriam" w:hint="eastAsia"/>
          <w:b/>
          <w:spacing w:val="0"/>
          <w:sz w:val="22"/>
          <w:szCs w:val="24"/>
          <w:rtl/>
        </w:rPr>
        <w:t>דזה</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דרך</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המלחמה</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וכיון</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שמחנה</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עשו</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בא</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להלחם</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ביעקב</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מותר</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להשיב</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מלחמה</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שערה</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וכיון</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שניתן</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רשות</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להשמיד</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שוב</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אינו</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מבחין</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בין</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טוב</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לרע</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ואף</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אם</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יהרגו</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חפים</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מפשע</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הקולר</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תלוי</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על</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צוארי</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האויב</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ולא</w:t>
      </w:r>
      <w:r w:rsidRPr="00D06D24">
        <w:rPr>
          <w:rFonts w:ascii="Century" w:hAnsi="Century" w:cs="Miriam"/>
          <w:b/>
          <w:spacing w:val="0"/>
          <w:sz w:val="22"/>
          <w:szCs w:val="24"/>
          <w:rtl/>
        </w:rPr>
        <w:t xml:space="preserve"> </w:t>
      </w:r>
      <w:r w:rsidR="000D6939">
        <w:rPr>
          <w:rFonts w:ascii="Century" w:hAnsi="Century" w:cs="Miriam" w:hint="cs"/>
          <w:b/>
          <w:spacing w:val="0"/>
          <w:sz w:val="22"/>
          <w:szCs w:val="24"/>
          <w:rtl/>
        </w:rPr>
        <w:t xml:space="preserve">על </w:t>
      </w:r>
      <w:r w:rsidRPr="00D06D24">
        <w:rPr>
          <w:rFonts w:ascii="Century" w:hAnsi="Century" w:cs="Miriam" w:hint="eastAsia"/>
          <w:b/>
          <w:spacing w:val="0"/>
          <w:sz w:val="22"/>
          <w:szCs w:val="24"/>
          <w:rtl/>
        </w:rPr>
        <w:t>צוארי</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המתגונן</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להציל</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נפשו</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אך</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מכל</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מקום</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הצטער</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יעקב</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איש</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תם</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שמא</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יהרוג</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חפים</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מפשע</w:t>
      </w:r>
      <w:r w:rsidRPr="00D06D24">
        <w:rPr>
          <w:rFonts w:ascii="Century" w:hAnsi="Century" w:cs="Miriam"/>
          <w:b/>
          <w:spacing w:val="0"/>
          <w:sz w:val="22"/>
          <w:szCs w:val="24"/>
          <w:rtl/>
        </w:rPr>
        <w:t>"</w:t>
      </w:r>
      <w:r w:rsidRPr="00D06D24">
        <w:rPr>
          <w:rtl/>
        </w:rPr>
        <w:t xml:space="preserve"> (</w:t>
      </w:r>
      <w:r w:rsidRPr="00D06D24">
        <w:rPr>
          <w:rFonts w:hint="eastAsia"/>
          <w:rtl/>
        </w:rPr>
        <w:t>הרב</w:t>
      </w:r>
      <w:r w:rsidRPr="00D06D24">
        <w:rPr>
          <w:rtl/>
        </w:rPr>
        <w:t xml:space="preserve"> </w:t>
      </w:r>
      <w:r w:rsidRPr="00D06D24">
        <w:rPr>
          <w:rFonts w:hint="eastAsia"/>
          <w:rtl/>
        </w:rPr>
        <w:t>אשר</w:t>
      </w:r>
      <w:r w:rsidRPr="00D06D24">
        <w:rPr>
          <w:rtl/>
        </w:rPr>
        <w:t xml:space="preserve"> </w:t>
      </w:r>
      <w:r w:rsidRPr="00D06D24">
        <w:rPr>
          <w:rFonts w:hint="eastAsia"/>
          <w:rtl/>
        </w:rPr>
        <w:t>וייס</w:t>
      </w:r>
      <w:r>
        <w:rPr>
          <w:rFonts w:hint="cs"/>
          <w:rtl/>
        </w:rPr>
        <w:t>,</w:t>
      </w:r>
      <w:r w:rsidRPr="00D06D24">
        <w:rPr>
          <w:rtl/>
        </w:rPr>
        <w:t xml:space="preserve"> </w:t>
      </w:r>
      <w:r w:rsidRPr="00D06D24">
        <w:rPr>
          <w:rFonts w:ascii="Century" w:hAnsi="Century" w:cs="Miriam" w:hint="eastAsia"/>
          <w:b/>
          <w:spacing w:val="0"/>
          <w:sz w:val="22"/>
          <w:szCs w:val="24"/>
          <w:rtl/>
        </w:rPr>
        <w:t>מנחת</w:t>
      </w:r>
      <w:r w:rsidRPr="00D06D24">
        <w:rPr>
          <w:rFonts w:ascii="Century" w:hAnsi="Century" w:cs="Miriam"/>
          <w:b/>
          <w:spacing w:val="0"/>
          <w:sz w:val="22"/>
          <w:szCs w:val="24"/>
          <w:rtl/>
        </w:rPr>
        <w:t xml:space="preserve"> </w:t>
      </w:r>
      <w:r w:rsidRPr="00D06D24">
        <w:rPr>
          <w:rFonts w:ascii="Century" w:hAnsi="Century" w:cs="Miriam" w:hint="eastAsia"/>
          <w:b/>
          <w:spacing w:val="0"/>
          <w:sz w:val="22"/>
          <w:szCs w:val="24"/>
          <w:rtl/>
        </w:rPr>
        <w:t>אשר</w:t>
      </w:r>
      <w:r w:rsidRPr="00D06D24">
        <w:rPr>
          <w:rFonts w:ascii="Century" w:hAnsi="Century" w:cs="Miriam"/>
          <w:b/>
          <w:spacing w:val="0"/>
          <w:sz w:val="22"/>
          <w:szCs w:val="24"/>
          <w:rtl/>
        </w:rPr>
        <w:t xml:space="preserve"> </w:t>
      </w:r>
      <w:r w:rsidRPr="00E50C1A">
        <w:rPr>
          <w:rFonts w:ascii="FrankRuehl" w:hAnsi="FrankRuehl"/>
          <w:b/>
          <w:spacing w:val="0"/>
          <w:sz w:val="28"/>
          <w:rtl/>
        </w:rPr>
        <w:t>–</w:t>
      </w:r>
      <w:r w:rsidRPr="00D06D24">
        <w:rPr>
          <w:rFonts w:ascii="Century" w:hAnsi="Century" w:cs="Miriam"/>
          <w:b/>
          <w:spacing w:val="0"/>
          <w:sz w:val="22"/>
          <w:szCs w:val="24"/>
          <w:rtl/>
        </w:rPr>
        <w:t xml:space="preserve"> </w:t>
      </w:r>
      <w:r w:rsidRPr="00D06D24">
        <w:rPr>
          <w:rFonts w:ascii="Century" w:hAnsi="Century" w:cs="Miriam" w:hint="cs"/>
          <w:b/>
          <w:spacing w:val="0"/>
          <w:sz w:val="22"/>
          <w:szCs w:val="24"/>
          <w:rtl/>
        </w:rPr>
        <w:t>דברים</w:t>
      </w:r>
      <w:r w:rsidRPr="00D06D24">
        <w:rPr>
          <w:rtl/>
        </w:rPr>
        <w:t xml:space="preserve">, </w:t>
      </w:r>
      <w:r w:rsidR="00A939AC">
        <w:rPr>
          <w:rFonts w:hint="cs"/>
          <w:rtl/>
        </w:rPr>
        <w:t xml:space="preserve">פרשת שופטים, </w:t>
      </w:r>
      <w:r w:rsidRPr="00D06D24">
        <w:rPr>
          <w:rFonts w:hint="eastAsia"/>
          <w:rtl/>
        </w:rPr>
        <w:t>סימן</w:t>
      </w:r>
      <w:r w:rsidRPr="00D06D24">
        <w:rPr>
          <w:rtl/>
        </w:rPr>
        <w:t xml:space="preserve"> </w:t>
      </w:r>
      <w:r w:rsidRPr="00D06D24">
        <w:rPr>
          <w:rFonts w:hint="cs"/>
          <w:rtl/>
        </w:rPr>
        <w:t>לב</w:t>
      </w:r>
      <w:r w:rsidRPr="00D06D24">
        <w:rPr>
          <w:rtl/>
        </w:rPr>
        <w:t xml:space="preserve"> (</w:t>
      </w:r>
      <w:r>
        <w:rPr>
          <w:rFonts w:hint="cs"/>
          <w:rtl/>
        </w:rPr>
        <w:t>ה</w:t>
      </w:r>
      <w:r w:rsidRPr="00D06D24">
        <w:rPr>
          <w:rFonts w:hint="eastAsia"/>
          <w:rtl/>
        </w:rPr>
        <w:t>תש</w:t>
      </w:r>
      <w:r w:rsidR="00A939AC">
        <w:rPr>
          <w:rFonts w:hint="cs"/>
          <w:rtl/>
        </w:rPr>
        <w:t>"ע</w:t>
      </w:r>
      <w:r w:rsidRPr="00D06D24">
        <w:rPr>
          <w:rtl/>
        </w:rPr>
        <w:t>)</w:t>
      </w:r>
      <w:r w:rsidRPr="00D06D24">
        <w:rPr>
          <w:rFonts w:hint="cs"/>
          <w:rtl/>
        </w:rPr>
        <w:t>). אכן, יש להצר עד מאוד על פגיעה בחפים מפשע</w:t>
      </w:r>
      <w:r w:rsidR="000D6939">
        <w:rPr>
          <w:rFonts w:hint="cs"/>
          <w:rtl/>
        </w:rPr>
        <w:t>, ולנקוט כ</w:t>
      </w:r>
      <w:r>
        <w:rPr>
          <w:rFonts w:hint="cs"/>
          <w:rtl/>
        </w:rPr>
        <w:t>ל אמצעי אפשרי כדי לצמצם אותה פגיעה</w:t>
      </w:r>
      <w:r w:rsidRPr="00D06D24">
        <w:rPr>
          <w:rFonts w:hint="cs"/>
          <w:rtl/>
        </w:rPr>
        <w:t xml:space="preserve">. </w:t>
      </w:r>
      <w:r>
        <w:rPr>
          <w:rFonts w:hint="cs"/>
          <w:rtl/>
        </w:rPr>
        <w:t xml:space="preserve">כמו כן, </w:t>
      </w:r>
      <w:r w:rsidRPr="00D06D24">
        <w:rPr>
          <w:rFonts w:hint="cs"/>
          <w:rtl/>
        </w:rPr>
        <w:t>במקרים המתאימים והחריגים, יש לחקור, לדרוש, ולבצע את הפעולות הנדרשות לטיהור המחנה</w:t>
      </w:r>
      <w:r>
        <w:rPr>
          <w:rFonts w:hint="cs"/>
          <w:rtl/>
        </w:rPr>
        <w:t>, אם אירעה תקלה חמורה מעין זו</w:t>
      </w:r>
      <w:r w:rsidRPr="00D06D24">
        <w:rPr>
          <w:rFonts w:hint="cs"/>
          <w:rtl/>
        </w:rPr>
        <w:t xml:space="preserve">. אולם, </w:t>
      </w:r>
      <w:r>
        <w:rPr>
          <w:rFonts w:hint="cs"/>
          <w:rtl/>
        </w:rPr>
        <w:t xml:space="preserve">גם </w:t>
      </w:r>
      <w:r w:rsidRPr="00D06D24">
        <w:rPr>
          <w:rFonts w:hint="cs"/>
          <w:rtl/>
        </w:rPr>
        <w:t xml:space="preserve">דרישה וחקירה זו, במקרים חריגים של הפרות 'דיני המלחמה', לא תֵעשה באמצעות דיני הנזיקין, כי אם בשלל הכלים האחרים </w:t>
      </w:r>
      <w:r w:rsidRPr="00D06D24">
        <w:rPr>
          <w:rtl/>
        </w:rPr>
        <w:t>–</w:t>
      </w:r>
      <w:r w:rsidRPr="00D06D24">
        <w:rPr>
          <w:rFonts w:hint="cs"/>
          <w:rtl/>
        </w:rPr>
        <w:t xml:space="preserve"> תחקירים מבצעיים, </w:t>
      </w:r>
      <w:r w:rsidR="000D6939">
        <w:rPr>
          <w:rFonts w:hint="cs"/>
          <w:rtl/>
        </w:rPr>
        <w:t xml:space="preserve">סנקציות משמעתיות, </w:t>
      </w:r>
      <w:r w:rsidRPr="00D06D24">
        <w:rPr>
          <w:rFonts w:hint="cs"/>
          <w:rtl/>
        </w:rPr>
        <w:t xml:space="preserve">דין פלילי, וכיוצא באלה </w:t>
      </w:r>
      <w:r w:rsidRPr="00D06D24">
        <w:rPr>
          <w:rtl/>
        </w:rPr>
        <w:t>–</w:t>
      </w:r>
      <w:r w:rsidRPr="00D06D24">
        <w:rPr>
          <w:rFonts w:hint="cs"/>
          <w:rtl/>
        </w:rPr>
        <w:t xml:space="preserve"> הנתונים בידי הרשויות המוסמכות לכך. </w:t>
      </w:r>
    </w:p>
    <w:p w:rsidR="00D512D4" w:rsidRPr="00463105" w:rsidRDefault="00D512D4" w:rsidP="00240E22">
      <w:pPr>
        <w:pStyle w:val="Ruller41"/>
        <w:spacing w:line="240" w:lineRule="auto"/>
        <w:rPr>
          <w:rtl/>
        </w:rPr>
      </w:pPr>
    </w:p>
    <w:p w:rsidR="00D512D4" w:rsidRDefault="00D512D4" w:rsidP="000D6939">
      <w:pPr>
        <w:pStyle w:val="Ruller4"/>
        <w:rPr>
          <w:rtl/>
        </w:rPr>
      </w:pPr>
      <w:r>
        <w:rPr>
          <w:rFonts w:hint="cs"/>
          <w:rtl/>
        </w:rPr>
        <w:t>הנה כי כן, לאחר שהעמדתי ל</w:t>
      </w:r>
      <w:r w:rsidR="000D6939">
        <w:rPr>
          <w:rFonts w:hint="cs"/>
          <w:rtl/>
        </w:rPr>
        <w:t xml:space="preserve">נגד עינַי </w:t>
      </w:r>
      <w:r>
        <w:rPr>
          <w:rFonts w:hint="cs"/>
          <w:rtl/>
        </w:rPr>
        <w:t xml:space="preserve">את כלל הערכים והאינטרסים הדרושים לעניין, ולאחר שבחנתי ושקלתי אותם לכאן ולכאן, באתי לכלל מסקנה כי ההסדר שנקבע בסעיף 5ב(א)(1) לחוק הנזיקים האזרחיים </w:t>
      </w:r>
      <w:r>
        <w:rPr>
          <w:rtl/>
        </w:rPr>
        <w:t>–</w:t>
      </w:r>
      <w:r>
        <w:rPr>
          <w:rFonts w:hint="cs"/>
          <w:rtl/>
        </w:rPr>
        <w:t xml:space="preserve"> משקף יחס ראוי בין נזקו לתועלתו. לפיכך, עומד הוא גם במבחן המידתיות 'במובן הצר'. </w:t>
      </w:r>
      <w:r>
        <w:rPr>
          <w:rFonts w:ascii="Arial TUR" w:hAnsi="Arial TUR" w:hint="cs"/>
          <w:sz w:val="22"/>
          <w:rtl/>
        </w:rPr>
        <w:t xml:space="preserve">אמנם, קיימת בו מידה מסוימת של </w:t>
      </w:r>
      <w:r>
        <w:rPr>
          <w:rFonts w:hint="cs"/>
          <w:rtl/>
        </w:rPr>
        <w:t>פגיעה בזכויות, אך מצאתי כי זו מידתית ומתוחמת.</w:t>
      </w:r>
    </w:p>
    <w:p w:rsidR="00D512D4" w:rsidRDefault="00D512D4" w:rsidP="00240E22">
      <w:pPr>
        <w:pStyle w:val="Ruller41"/>
        <w:spacing w:line="240" w:lineRule="auto"/>
        <w:rPr>
          <w:rtl/>
        </w:rPr>
      </w:pPr>
    </w:p>
    <w:p w:rsidR="00D512D4" w:rsidRPr="00184BBF" w:rsidRDefault="00D512D4" w:rsidP="0029592A">
      <w:pPr>
        <w:pStyle w:val="Ruller4"/>
        <w:numPr>
          <w:ilvl w:val="0"/>
          <w:numId w:val="0"/>
        </w:numPr>
        <w:rPr>
          <w:rtl/>
        </w:rPr>
      </w:pPr>
      <w:r>
        <w:rPr>
          <w:rtl/>
        </w:rPr>
        <w:tab/>
      </w:r>
      <w:r>
        <w:rPr>
          <w:rFonts w:hint="cs"/>
          <w:rtl/>
        </w:rPr>
        <w:t xml:space="preserve">אשר על כן, יש לקבוע כי ההסדר החוקי </w:t>
      </w:r>
      <w:r>
        <w:rPr>
          <w:rtl/>
        </w:rPr>
        <w:t>–</w:t>
      </w:r>
      <w:r>
        <w:rPr>
          <w:rFonts w:hint="cs"/>
          <w:rtl/>
        </w:rPr>
        <w:t xml:space="preserve"> </w:t>
      </w:r>
      <w:r w:rsidR="0029592A">
        <w:rPr>
          <w:rFonts w:hint="cs"/>
          <w:rtl/>
        </w:rPr>
        <w:t xml:space="preserve">הריהו </w:t>
      </w:r>
      <w:r>
        <w:rPr>
          <w:rFonts w:hint="cs"/>
          <w:rtl/>
        </w:rPr>
        <w:t>חוקתי; משלא נמצאה עילה מבוררת להורות על בטלותו.</w:t>
      </w:r>
    </w:p>
    <w:p w:rsidR="00D512D4" w:rsidRPr="00184BBF" w:rsidRDefault="00D512D4" w:rsidP="006F0E46">
      <w:pPr>
        <w:pStyle w:val="Ruller41"/>
        <w:rPr>
          <w:rtl/>
        </w:rPr>
      </w:pPr>
    </w:p>
    <w:p w:rsidR="00D512D4" w:rsidRDefault="00E77FCC" w:rsidP="00154174">
      <w:pPr>
        <w:pStyle w:val="Ruller4"/>
        <w:rPr>
          <w:rtl/>
        </w:rPr>
      </w:pPr>
      <w:r>
        <w:rPr>
          <w:rFonts w:hint="cs"/>
          <w:rtl/>
        </w:rPr>
        <w:t xml:space="preserve">לסיום, אבקש להתייחס בקצרה למנגנון הפיצוי, שהוצע בפסק הדין של בית המשפט המחוזי. על-פי מתווה מוצע זה, במקרים נדירים של הפרות 'דיני המלחמה', תעמוד לתושבי עזה אפשרות לפנות במישרין לרשות, ולדרוש פיצוי על נזקם ב'מסלול מינהלי'. עוד על-פי המתווה, החלטה כאמור תוכל לעמוד לביקורת שיפוטית-מינהלית. לא ראיתי לטעת מסמרות בעניין זה. </w:t>
      </w:r>
      <w:r w:rsidRPr="003B5FE0">
        <w:rPr>
          <w:rFonts w:ascii="Century" w:hAnsi="Century" w:cs="Miriam" w:hint="cs"/>
          <w:b/>
          <w:spacing w:val="0"/>
          <w:sz w:val="22"/>
          <w:szCs w:val="24"/>
          <w:rtl/>
        </w:rPr>
        <w:t>ראשית</w:t>
      </w:r>
      <w:r>
        <w:rPr>
          <w:rFonts w:hint="cs"/>
          <w:rtl/>
        </w:rPr>
        <w:t xml:space="preserve">, אין בפסק דיני כדי למנוע מניזוקים ליזום פנייה לרשויות המוסמכות בבקשת פיצוי, באותם מקרים נדירים של הפרת נורמות מהמשפט הבינלאומי הפומבי; דומני כי אף בפסיקותיו של בית משפט זה אפשרות זו לא נחסמה כליל (ראו: </w:t>
      </w:r>
      <w:r w:rsidRPr="00CA299D">
        <w:rPr>
          <w:rFonts w:hint="eastAsia"/>
          <w:rtl/>
        </w:rPr>
        <w:t>רע</w:t>
      </w:r>
      <w:r>
        <w:rPr>
          <w:rFonts w:hint="cs"/>
          <w:rtl/>
        </w:rPr>
        <w:t>"</w:t>
      </w:r>
      <w:r w:rsidRPr="00CA299D">
        <w:rPr>
          <w:rFonts w:hint="eastAsia"/>
          <w:rtl/>
        </w:rPr>
        <w:t>א</w:t>
      </w:r>
      <w:r>
        <w:rPr>
          <w:rFonts w:hint="cs"/>
          <w:rtl/>
        </w:rPr>
        <w:t xml:space="preserve"> 3</w:t>
      </w:r>
      <w:r w:rsidRPr="00CA299D">
        <w:rPr>
          <w:rtl/>
        </w:rPr>
        <w:t xml:space="preserve">675/09 </w:t>
      </w:r>
      <w:r w:rsidRPr="003B5FE0">
        <w:rPr>
          <w:rFonts w:ascii="Century" w:hAnsi="Century" w:cs="Miriam" w:hint="cs"/>
          <w:b/>
          <w:spacing w:val="0"/>
          <w:sz w:val="22"/>
          <w:szCs w:val="24"/>
          <w:rtl/>
        </w:rPr>
        <w:t>מ</w:t>
      </w:r>
      <w:r w:rsidRPr="003B5FE0">
        <w:rPr>
          <w:rFonts w:ascii="Century" w:hAnsi="Century" w:cs="Miriam" w:hint="eastAsia"/>
          <w:b/>
          <w:spacing w:val="0"/>
          <w:sz w:val="22"/>
          <w:szCs w:val="24"/>
          <w:rtl/>
        </w:rPr>
        <w:t>דינת</w:t>
      </w:r>
      <w:r w:rsidRPr="003B5FE0">
        <w:rPr>
          <w:rFonts w:ascii="Century" w:hAnsi="Century" w:cs="Miriam"/>
          <w:b/>
          <w:spacing w:val="0"/>
          <w:sz w:val="22"/>
          <w:szCs w:val="24"/>
          <w:rtl/>
        </w:rPr>
        <w:t xml:space="preserve"> </w:t>
      </w:r>
      <w:r w:rsidRPr="003B5FE0">
        <w:rPr>
          <w:rFonts w:ascii="Century" w:hAnsi="Century" w:cs="Miriam" w:hint="eastAsia"/>
          <w:b/>
          <w:spacing w:val="0"/>
          <w:sz w:val="22"/>
          <w:szCs w:val="24"/>
          <w:rtl/>
        </w:rPr>
        <w:t>ישראל</w:t>
      </w:r>
      <w:r w:rsidRPr="003B5FE0">
        <w:rPr>
          <w:rFonts w:ascii="Century" w:hAnsi="Century" w:cs="Miriam"/>
          <w:b/>
          <w:spacing w:val="0"/>
          <w:sz w:val="22"/>
          <w:szCs w:val="24"/>
          <w:rtl/>
        </w:rPr>
        <w:t xml:space="preserve"> </w:t>
      </w:r>
      <w:r w:rsidRPr="003B5FE0">
        <w:rPr>
          <w:rFonts w:ascii="Century" w:hAnsi="Century" w:cs="Miriam" w:hint="eastAsia"/>
          <w:b/>
          <w:spacing w:val="0"/>
          <w:sz w:val="22"/>
          <w:szCs w:val="24"/>
          <w:rtl/>
        </w:rPr>
        <w:t>נ</w:t>
      </w:r>
      <w:r w:rsidRPr="003B5FE0">
        <w:rPr>
          <w:rFonts w:ascii="Century" w:hAnsi="Century" w:cs="Miriam"/>
          <w:b/>
          <w:spacing w:val="0"/>
          <w:sz w:val="22"/>
          <w:szCs w:val="24"/>
          <w:rtl/>
        </w:rPr>
        <w:t xml:space="preserve">' </w:t>
      </w:r>
      <w:r w:rsidRPr="003B5FE0">
        <w:rPr>
          <w:rFonts w:ascii="Century" w:hAnsi="Century" w:cs="Miriam" w:hint="eastAsia"/>
          <w:b/>
          <w:spacing w:val="0"/>
          <w:sz w:val="22"/>
          <w:szCs w:val="24"/>
          <w:rtl/>
        </w:rPr>
        <w:t>דאוד</w:t>
      </w:r>
      <w:r>
        <w:rPr>
          <w:rFonts w:hint="cs"/>
          <w:rtl/>
        </w:rPr>
        <w:t xml:space="preserve">, פסקה 15 (11.8.2011); </w:t>
      </w:r>
      <w:r w:rsidRPr="00C61EAD">
        <w:rPr>
          <w:rFonts w:hint="eastAsia"/>
          <w:rtl/>
        </w:rPr>
        <w:t>דנ</w:t>
      </w:r>
      <w:r>
        <w:rPr>
          <w:rFonts w:hint="cs"/>
          <w:rtl/>
        </w:rPr>
        <w:t>"</w:t>
      </w:r>
      <w:r w:rsidRPr="00C61EAD">
        <w:rPr>
          <w:rFonts w:hint="eastAsia"/>
          <w:rtl/>
        </w:rPr>
        <w:t>א</w:t>
      </w:r>
      <w:r w:rsidRPr="00C61EAD">
        <w:rPr>
          <w:rtl/>
        </w:rPr>
        <w:t xml:space="preserve"> 6665/11 </w:t>
      </w:r>
      <w:r w:rsidRPr="003B5FE0">
        <w:rPr>
          <w:rFonts w:ascii="Century" w:hAnsi="Century" w:cs="Miriam" w:hint="eastAsia"/>
          <w:b/>
          <w:spacing w:val="0"/>
          <w:sz w:val="22"/>
          <w:szCs w:val="24"/>
          <w:rtl/>
        </w:rPr>
        <w:t>דאוד</w:t>
      </w:r>
      <w:r w:rsidRPr="003B5FE0">
        <w:rPr>
          <w:rFonts w:ascii="Century" w:hAnsi="Century" w:cs="Miriam"/>
          <w:b/>
          <w:spacing w:val="0"/>
          <w:sz w:val="22"/>
          <w:szCs w:val="24"/>
          <w:rtl/>
        </w:rPr>
        <w:t xml:space="preserve"> </w:t>
      </w:r>
      <w:r w:rsidRPr="003B5FE0">
        <w:rPr>
          <w:rFonts w:ascii="Century" w:hAnsi="Century" w:cs="Miriam" w:hint="eastAsia"/>
          <w:b/>
          <w:spacing w:val="0"/>
          <w:sz w:val="22"/>
          <w:szCs w:val="24"/>
          <w:rtl/>
        </w:rPr>
        <w:t>נ</w:t>
      </w:r>
      <w:r w:rsidRPr="003B5FE0">
        <w:rPr>
          <w:rFonts w:ascii="Century" w:hAnsi="Century" w:cs="Miriam"/>
          <w:b/>
          <w:spacing w:val="0"/>
          <w:sz w:val="22"/>
          <w:szCs w:val="24"/>
          <w:rtl/>
        </w:rPr>
        <w:t xml:space="preserve">' </w:t>
      </w:r>
      <w:r w:rsidRPr="003B5FE0">
        <w:rPr>
          <w:rFonts w:ascii="Century" w:hAnsi="Century" w:cs="Miriam" w:hint="eastAsia"/>
          <w:b/>
          <w:spacing w:val="0"/>
          <w:sz w:val="22"/>
          <w:szCs w:val="24"/>
          <w:rtl/>
        </w:rPr>
        <w:t>מדינת</w:t>
      </w:r>
      <w:r w:rsidRPr="003B5FE0">
        <w:rPr>
          <w:rFonts w:ascii="Century" w:hAnsi="Century" w:cs="Miriam"/>
          <w:b/>
          <w:spacing w:val="0"/>
          <w:sz w:val="22"/>
          <w:szCs w:val="24"/>
          <w:rtl/>
        </w:rPr>
        <w:t xml:space="preserve"> </w:t>
      </w:r>
      <w:r w:rsidRPr="003B5FE0">
        <w:rPr>
          <w:rFonts w:ascii="Century" w:hAnsi="Century" w:cs="Miriam" w:hint="eastAsia"/>
          <w:b/>
          <w:spacing w:val="0"/>
          <w:sz w:val="22"/>
          <w:szCs w:val="24"/>
          <w:rtl/>
        </w:rPr>
        <w:t>ישראל</w:t>
      </w:r>
      <w:r>
        <w:rPr>
          <w:rFonts w:hint="cs"/>
          <w:rtl/>
        </w:rPr>
        <w:t xml:space="preserve">, פסקה 7 (26.2.2012); </w:t>
      </w:r>
      <w:r>
        <w:rPr>
          <w:rFonts w:hint="eastAsia"/>
          <w:rtl/>
        </w:rPr>
        <w:t>בג</w:t>
      </w:r>
      <w:r>
        <w:rPr>
          <w:rtl/>
        </w:rPr>
        <w:t>"</w:t>
      </w:r>
      <w:r>
        <w:rPr>
          <w:rFonts w:hint="eastAsia"/>
          <w:rtl/>
        </w:rPr>
        <w:t>ץ</w:t>
      </w:r>
      <w:r>
        <w:rPr>
          <w:rtl/>
        </w:rPr>
        <w:t xml:space="preserve"> 24</w:t>
      </w:r>
      <w:r>
        <w:rPr>
          <w:rFonts w:hint="cs"/>
          <w:rtl/>
        </w:rPr>
        <w:t>/</w:t>
      </w:r>
      <w:r>
        <w:rPr>
          <w:rtl/>
        </w:rPr>
        <w:t xml:space="preserve">91 </w:t>
      </w:r>
      <w:r w:rsidRPr="003B5FE0">
        <w:rPr>
          <w:rFonts w:ascii="Century" w:hAnsi="Century" w:cs="Miriam" w:hint="eastAsia"/>
          <w:b/>
          <w:spacing w:val="0"/>
          <w:sz w:val="22"/>
          <w:szCs w:val="24"/>
          <w:rtl/>
        </w:rPr>
        <w:t>תימרז</w:t>
      </w:r>
      <w:r w:rsidRPr="003B5FE0">
        <w:rPr>
          <w:rFonts w:ascii="Century" w:hAnsi="Century" w:cs="Miriam"/>
          <w:b/>
          <w:spacing w:val="0"/>
          <w:sz w:val="22"/>
          <w:szCs w:val="24"/>
          <w:rtl/>
        </w:rPr>
        <w:t xml:space="preserve"> </w:t>
      </w:r>
      <w:r w:rsidRPr="003B5FE0">
        <w:rPr>
          <w:rFonts w:ascii="Century" w:hAnsi="Century" w:cs="Miriam" w:hint="eastAsia"/>
          <w:b/>
          <w:spacing w:val="0"/>
          <w:sz w:val="22"/>
          <w:szCs w:val="24"/>
          <w:rtl/>
        </w:rPr>
        <w:t>נ</w:t>
      </w:r>
      <w:r w:rsidRPr="003B5FE0">
        <w:rPr>
          <w:rFonts w:ascii="Century" w:hAnsi="Century" w:cs="Miriam"/>
          <w:b/>
          <w:spacing w:val="0"/>
          <w:sz w:val="22"/>
          <w:szCs w:val="24"/>
          <w:rtl/>
        </w:rPr>
        <w:t xml:space="preserve">' </w:t>
      </w:r>
      <w:r w:rsidRPr="003B5FE0">
        <w:rPr>
          <w:rFonts w:ascii="Century" w:hAnsi="Century" w:cs="Miriam" w:hint="eastAsia"/>
          <w:b/>
          <w:spacing w:val="0"/>
          <w:sz w:val="22"/>
          <w:szCs w:val="24"/>
          <w:rtl/>
        </w:rPr>
        <w:t>מפקד</w:t>
      </w:r>
      <w:r w:rsidRPr="003B5FE0">
        <w:rPr>
          <w:rFonts w:ascii="Century" w:hAnsi="Century" w:cs="Miriam"/>
          <w:b/>
          <w:spacing w:val="0"/>
          <w:sz w:val="22"/>
          <w:szCs w:val="24"/>
          <w:rtl/>
        </w:rPr>
        <w:t xml:space="preserve"> </w:t>
      </w:r>
      <w:r w:rsidRPr="003B5FE0">
        <w:rPr>
          <w:rFonts w:ascii="Century" w:hAnsi="Century" w:cs="Miriam" w:hint="eastAsia"/>
          <w:b/>
          <w:spacing w:val="0"/>
          <w:sz w:val="22"/>
          <w:szCs w:val="24"/>
          <w:rtl/>
        </w:rPr>
        <w:t>כוחות</w:t>
      </w:r>
      <w:r w:rsidRPr="003B5FE0">
        <w:rPr>
          <w:rFonts w:ascii="Century" w:hAnsi="Century" w:cs="Miriam"/>
          <w:b/>
          <w:spacing w:val="0"/>
          <w:sz w:val="22"/>
          <w:szCs w:val="24"/>
          <w:rtl/>
        </w:rPr>
        <w:t xml:space="preserve"> </w:t>
      </w:r>
      <w:r w:rsidRPr="003B5FE0">
        <w:rPr>
          <w:rFonts w:ascii="Century" w:hAnsi="Century" w:cs="Miriam" w:hint="eastAsia"/>
          <w:b/>
          <w:spacing w:val="0"/>
          <w:sz w:val="22"/>
          <w:szCs w:val="24"/>
          <w:rtl/>
        </w:rPr>
        <w:t>צה</w:t>
      </w:r>
      <w:r w:rsidRPr="003B5FE0">
        <w:rPr>
          <w:rFonts w:ascii="Century" w:hAnsi="Century" w:cs="Miriam"/>
          <w:b/>
          <w:spacing w:val="0"/>
          <w:sz w:val="22"/>
          <w:szCs w:val="24"/>
          <w:rtl/>
        </w:rPr>
        <w:t>"</w:t>
      </w:r>
      <w:r w:rsidRPr="003B5FE0">
        <w:rPr>
          <w:rFonts w:ascii="Century" w:hAnsi="Century" w:cs="Miriam" w:hint="eastAsia"/>
          <w:b/>
          <w:spacing w:val="0"/>
          <w:sz w:val="22"/>
          <w:szCs w:val="24"/>
          <w:rtl/>
        </w:rPr>
        <w:t>ל</w:t>
      </w:r>
      <w:r w:rsidRPr="003B5FE0">
        <w:rPr>
          <w:rFonts w:ascii="Century" w:hAnsi="Century" w:cs="Miriam"/>
          <w:b/>
          <w:spacing w:val="0"/>
          <w:sz w:val="22"/>
          <w:szCs w:val="24"/>
          <w:rtl/>
        </w:rPr>
        <w:t xml:space="preserve"> </w:t>
      </w:r>
      <w:r w:rsidRPr="003B5FE0">
        <w:rPr>
          <w:rFonts w:ascii="Century" w:hAnsi="Century" w:cs="Miriam" w:hint="eastAsia"/>
          <w:b/>
          <w:spacing w:val="0"/>
          <w:sz w:val="22"/>
          <w:szCs w:val="24"/>
          <w:rtl/>
        </w:rPr>
        <w:t>באזור</w:t>
      </w:r>
      <w:r w:rsidRPr="003B5FE0">
        <w:rPr>
          <w:rFonts w:ascii="Century" w:hAnsi="Century" w:cs="Miriam"/>
          <w:b/>
          <w:spacing w:val="0"/>
          <w:sz w:val="22"/>
          <w:szCs w:val="24"/>
          <w:rtl/>
        </w:rPr>
        <w:t xml:space="preserve"> </w:t>
      </w:r>
      <w:r w:rsidRPr="003B5FE0">
        <w:rPr>
          <w:rFonts w:ascii="Century" w:hAnsi="Century" w:cs="Miriam" w:hint="eastAsia"/>
          <w:b/>
          <w:spacing w:val="0"/>
          <w:sz w:val="22"/>
          <w:szCs w:val="24"/>
          <w:rtl/>
        </w:rPr>
        <w:t>חבל</w:t>
      </w:r>
      <w:r w:rsidRPr="003B5FE0">
        <w:rPr>
          <w:rFonts w:ascii="Century" w:hAnsi="Century" w:cs="Miriam"/>
          <w:b/>
          <w:spacing w:val="0"/>
          <w:sz w:val="22"/>
          <w:szCs w:val="24"/>
          <w:rtl/>
        </w:rPr>
        <w:t xml:space="preserve"> </w:t>
      </w:r>
      <w:r w:rsidRPr="003B5FE0">
        <w:rPr>
          <w:rFonts w:ascii="Century" w:hAnsi="Century" w:cs="Miriam" w:hint="eastAsia"/>
          <w:b/>
          <w:spacing w:val="0"/>
          <w:sz w:val="22"/>
          <w:szCs w:val="24"/>
          <w:rtl/>
        </w:rPr>
        <w:t>עזה</w:t>
      </w:r>
      <w:r>
        <w:rPr>
          <w:rtl/>
        </w:rPr>
        <w:t xml:space="preserve">, </w:t>
      </w:r>
      <w:r>
        <w:rPr>
          <w:rFonts w:hint="cs"/>
          <w:rtl/>
        </w:rPr>
        <w:t xml:space="preserve">פ"ד </w:t>
      </w:r>
      <w:r>
        <w:rPr>
          <w:rFonts w:hint="eastAsia"/>
          <w:rtl/>
        </w:rPr>
        <w:t>מה</w:t>
      </w:r>
      <w:r>
        <w:rPr>
          <w:rtl/>
        </w:rPr>
        <w:t>(2) 325</w:t>
      </w:r>
      <w:r>
        <w:rPr>
          <w:rFonts w:hint="cs"/>
          <w:rtl/>
        </w:rPr>
        <w:t xml:space="preserve"> (1991); עניין </w:t>
      </w:r>
      <w:r w:rsidRPr="003B5FE0">
        <w:rPr>
          <w:rFonts w:ascii="Century" w:hAnsi="Century" w:cs="Miriam" w:hint="cs"/>
          <w:b/>
          <w:spacing w:val="0"/>
          <w:sz w:val="22"/>
          <w:szCs w:val="24"/>
          <w:rtl/>
        </w:rPr>
        <w:t>אלדאיה</w:t>
      </w:r>
      <w:r>
        <w:rPr>
          <w:rFonts w:hint="cs"/>
          <w:rtl/>
        </w:rPr>
        <w:t xml:space="preserve">, פסקה 6; </w:t>
      </w:r>
      <w:r w:rsidRPr="00BE1D4D">
        <w:rPr>
          <w:rFonts w:hint="eastAsia"/>
          <w:rtl/>
        </w:rPr>
        <w:t>ע</w:t>
      </w:r>
      <w:r>
        <w:rPr>
          <w:rFonts w:hint="cs"/>
          <w:rtl/>
        </w:rPr>
        <w:t>"</w:t>
      </w:r>
      <w:r w:rsidRPr="00BE1D4D">
        <w:rPr>
          <w:rFonts w:hint="eastAsia"/>
          <w:rtl/>
        </w:rPr>
        <w:t>א</w:t>
      </w:r>
      <w:r w:rsidRPr="00BE1D4D">
        <w:rPr>
          <w:rtl/>
        </w:rPr>
        <w:t xml:space="preserve"> 8148/13 </w:t>
      </w:r>
      <w:r w:rsidRPr="003B5FE0">
        <w:rPr>
          <w:rFonts w:ascii="Century" w:hAnsi="Century" w:cs="Miriam" w:hint="eastAsia"/>
          <w:b/>
          <w:spacing w:val="0"/>
          <w:sz w:val="22"/>
          <w:szCs w:val="24"/>
          <w:rtl/>
        </w:rPr>
        <w:t>שרקת</w:t>
      </w:r>
      <w:r w:rsidRPr="003B5FE0">
        <w:rPr>
          <w:rFonts w:ascii="Century" w:hAnsi="Century" w:cs="Miriam"/>
          <w:b/>
          <w:spacing w:val="0"/>
          <w:sz w:val="22"/>
          <w:szCs w:val="24"/>
          <w:rtl/>
        </w:rPr>
        <w:t xml:space="preserve"> </w:t>
      </w:r>
      <w:r w:rsidRPr="003B5FE0">
        <w:rPr>
          <w:rFonts w:ascii="Century" w:hAnsi="Century" w:cs="Miriam" w:hint="eastAsia"/>
          <w:b/>
          <w:spacing w:val="0"/>
          <w:sz w:val="22"/>
          <w:szCs w:val="24"/>
          <w:rtl/>
        </w:rPr>
        <w:t>נ</w:t>
      </w:r>
      <w:r w:rsidRPr="003B5FE0">
        <w:rPr>
          <w:rFonts w:ascii="Century" w:hAnsi="Century" w:cs="Miriam"/>
          <w:b/>
          <w:spacing w:val="0"/>
          <w:sz w:val="22"/>
          <w:szCs w:val="24"/>
          <w:rtl/>
        </w:rPr>
        <w:t xml:space="preserve">' </w:t>
      </w:r>
      <w:r w:rsidRPr="003B5FE0">
        <w:rPr>
          <w:rFonts w:ascii="Century" w:hAnsi="Century" w:cs="Miriam" w:hint="eastAsia"/>
          <w:b/>
          <w:spacing w:val="0"/>
          <w:sz w:val="22"/>
          <w:szCs w:val="24"/>
          <w:rtl/>
        </w:rPr>
        <w:t>שר</w:t>
      </w:r>
      <w:r w:rsidRPr="003B5FE0">
        <w:rPr>
          <w:rFonts w:ascii="Century" w:hAnsi="Century" w:cs="Miriam"/>
          <w:b/>
          <w:spacing w:val="0"/>
          <w:sz w:val="22"/>
          <w:szCs w:val="24"/>
          <w:rtl/>
        </w:rPr>
        <w:t xml:space="preserve"> </w:t>
      </w:r>
      <w:r w:rsidRPr="003B5FE0">
        <w:rPr>
          <w:rFonts w:ascii="Century" w:hAnsi="Century" w:cs="Miriam" w:hint="eastAsia"/>
          <w:b/>
          <w:spacing w:val="0"/>
          <w:sz w:val="22"/>
          <w:szCs w:val="24"/>
          <w:rtl/>
        </w:rPr>
        <w:t>הביטחון</w:t>
      </w:r>
      <w:r>
        <w:rPr>
          <w:rFonts w:hint="cs"/>
          <w:rtl/>
        </w:rPr>
        <w:t xml:space="preserve">, פסקה 6 (20.9.2015)). </w:t>
      </w:r>
      <w:r w:rsidRPr="003B5FE0">
        <w:rPr>
          <w:rFonts w:ascii="Century" w:hAnsi="Century" w:cs="Miriam" w:hint="cs"/>
          <w:b/>
          <w:spacing w:val="0"/>
          <w:sz w:val="22"/>
          <w:szCs w:val="24"/>
          <w:rtl/>
        </w:rPr>
        <w:t>שנית</w:t>
      </w:r>
      <w:r>
        <w:rPr>
          <w:rFonts w:hint="cs"/>
          <w:rtl/>
        </w:rPr>
        <w:t xml:space="preserve">, לא ראיתי מקום לטעת מסמרות בדבר היקפו של 'ערוץ מינהלי' לקבלת פיצוי כספי, כאמור, בדרך של 'חקיקה שיפוטית', שכן הדבר עלול להביא להצפת הגורמים המוסמכים לכך בדרישות מעין אלה, וזאת מבלי שיש בכוחו של בית המשפט לתת דעתו על השלכות הרוחב המשמעותיות, שעשויות להיגרם ממהלך שכזה. מעבר לכך, פסיקה שכזו, עלולה לחתור תחת כוונת המחוקק, שכן אותו פיצוי, שהוענקה למדינה חסינות מפניו, מוחדר עתה, באדרת אחרת, לקודקס החוקים הישראלי, על-ידי בית המשפט; בבחינת 'שמאל דוחה וימין מקרבת'. מהלך שכזה, עשוי לחתור תחת הלגיטימיות של המחוקק לחוקק, ומערב את בית המשפט בזירה לא לו </w:t>
      </w:r>
      <w:r>
        <w:rPr>
          <w:rtl/>
        </w:rPr>
        <w:t>–</w:t>
      </w:r>
      <w:r>
        <w:rPr>
          <w:rFonts w:hint="cs"/>
          <w:rtl/>
        </w:rPr>
        <w:t xml:space="preserve"> זירת קביעת המדיניות ועיצובהּ. </w:t>
      </w:r>
      <w:r w:rsidRPr="00BF0126">
        <w:rPr>
          <w:rFonts w:ascii="Century" w:hAnsi="Century" w:cs="Miriam" w:hint="cs"/>
          <w:b/>
          <w:spacing w:val="0"/>
          <w:sz w:val="22"/>
          <w:szCs w:val="24"/>
          <w:rtl/>
        </w:rPr>
        <w:t>שלישית</w:t>
      </w:r>
      <w:r>
        <w:rPr>
          <w:rFonts w:hint="cs"/>
          <w:rtl/>
        </w:rPr>
        <w:t>, מנגנון של פיצוי ב'מסלול מנהלי', עשוי לעורר סוגיות סבוכות, באשר ל</w:t>
      </w:r>
      <w:r w:rsidRPr="003B5FE0">
        <w:rPr>
          <w:rFonts w:ascii="Century" w:hAnsi="Century" w:cs="Miriam" w:hint="cs"/>
          <w:b/>
          <w:spacing w:val="0"/>
          <w:sz w:val="22"/>
          <w:szCs w:val="24"/>
          <w:shd w:val="clear" w:color="auto" w:fill="FFFFFF"/>
          <w:rtl/>
        </w:rPr>
        <w:t>"</w:t>
      </w:r>
      <w:r w:rsidRPr="003B5FE0">
        <w:rPr>
          <w:rFonts w:ascii="Century" w:hAnsi="Century" w:cs="Miriam"/>
          <w:b/>
          <w:spacing w:val="0"/>
          <w:sz w:val="22"/>
          <w:szCs w:val="24"/>
          <w:shd w:val="clear" w:color="auto" w:fill="FFFFFF"/>
          <w:rtl/>
        </w:rPr>
        <w:t>מורכבות התביעה ולשאלות החדשניות העשויות להתעורר בה, כגון היחס בין הפרת חובה מנהלית לבין הפרת חובת זהירות בנזיקין</w:t>
      </w:r>
      <w:r w:rsidRPr="003B5FE0">
        <w:rPr>
          <w:rFonts w:ascii="Century" w:hAnsi="Century" w:cs="Miriam" w:hint="cs"/>
          <w:b/>
          <w:spacing w:val="0"/>
          <w:sz w:val="22"/>
          <w:szCs w:val="24"/>
          <w:rtl/>
        </w:rPr>
        <w:t>"</w:t>
      </w:r>
      <w:r>
        <w:rPr>
          <w:rFonts w:hint="cs"/>
          <w:rtl/>
        </w:rPr>
        <w:t xml:space="preserve"> (</w:t>
      </w:r>
      <w:r w:rsidR="00D053D3">
        <w:rPr>
          <w:rFonts w:hint="cs"/>
          <w:rtl/>
        </w:rPr>
        <w:t>עניין</w:t>
      </w:r>
      <w:r w:rsidRPr="00FC672A">
        <w:rPr>
          <w:rtl/>
        </w:rPr>
        <w:t xml:space="preserve"> </w:t>
      </w:r>
      <w:r w:rsidRPr="003B5FE0">
        <w:rPr>
          <w:rFonts w:ascii="Century" w:hAnsi="Century" w:cs="Miriam" w:hint="eastAsia"/>
          <w:b/>
          <w:spacing w:val="0"/>
          <w:sz w:val="22"/>
          <w:szCs w:val="24"/>
          <w:rtl/>
        </w:rPr>
        <w:t>גליק</w:t>
      </w:r>
      <w:r>
        <w:rPr>
          <w:rFonts w:hint="cs"/>
          <w:rtl/>
        </w:rPr>
        <w:t xml:space="preserve">, פסקה 19 לפסק הדין של השופט </w:t>
      </w:r>
      <w:r w:rsidRPr="00BF0126">
        <w:rPr>
          <w:rFonts w:ascii="Century" w:hAnsi="Century" w:cs="Miriam" w:hint="cs"/>
          <w:b/>
          <w:spacing w:val="0"/>
          <w:sz w:val="22"/>
          <w:szCs w:val="24"/>
          <w:rtl/>
        </w:rPr>
        <w:t>י' עמית</w:t>
      </w:r>
      <w:r>
        <w:rPr>
          <w:rFonts w:hint="cs"/>
          <w:rtl/>
        </w:rPr>
        <w:t xml:space="preserve">). אינני סבור כי מקומן של שאלות אלה להתברר כאן, בפרט משמדובר בביקורת שיפוטית המופעלת בצורה של 'תקיפה עקיפה'; יכול שבעתיד ידרש לכך בית המשפט ביתר הרחבה. </w:t>
      </w:r>
      <w:r w:rsidRPr="003B5FE0">
        <w:rPr>
          <w:rFonts w:ascii="Century" w:hAnsi="Century" w:cs="Miriam" w:hint="cs"/>
          <w:b/>
          <w:spacing w:val="0"/>
          <w:sz w:val="22"/>
          <w:szCs w:val="24"/>
          <w:rtl/>
        </w:rPr>
        <w:t>לבסוף</w:t>
      </w:r>
      <w:r>
        <w:rPr>
          <w:rFonts w:hint="cs"/>
          <w:rtl/>
        </w:rPr>
        <w:t>,</w:t>
      </w:r>
      <w:r>
        <w:rPr>
          <w:rtl/>
        </w:rPr>
        <w:t xml:space="preserve"> </w:t>
      </w:r>
      <w:r>
        <w:rPr>
          <w:rFonts w:hint="cs"/>
          <w:rtl/>
        </w:rPr>
        <w:t xml:space="preserve">הצדדים לא הרחיבו על אודות הצעה זו, והמערער אף הביע התנגדות נחרצת לה; לדבריו, זוהי </w:t>
      </w:r>
      <w:r w:rsidRPr="003B5FE0">
        <w:rPr>
          <w:rFonts w:ascii="Century" w:hAnsi="Century" w:cs="Miriam" w:hint="cs"/>
          <w:b/>
          <w:spacing w:val="0"/>
          <w:sz w:val="22"/>
          <w:szCs w:val="24"/>
          <w:rtl/>
        </w:rPr>
        <w:t>"הצעה בלתי חוקית"</w:t>
      </w:r>
      <w:r>
        <w:rPr>
          <w:rFonts w:hint="cs"/>
          <w:rtl/>
        </w:rPr>
        <w:t xml:space="preserve">. גם מטעם זה, איני רואה לקבוע מסמרות בשאלה זו. אציין רק זאת: לשיטתי, קביעת מנגנוני פעולה, ועיצוב מדיניות, הם מסוג העניינים המסורים, ככלל, למחוקק ולרשות המבצעת, לפי העניין; לא לנו השופטים.  </w:t>
      </w:r>
    </w:p>
    <w:p w:rsidR="00E77FCC" w:rsidRPr="00E77FCC" w:rsidRDefault="00E77FCC" w:rsidP="006F0E46">
      <w:pPr>
        <w:pStyle w:val="Ruller41"/>
        <w:spacing w:line="480" w:lineRule="auto"/>
        <w:rPr>
          <w:rtl/>
        </w:rPr>
      </w:pPr>
    </w:p>
    <w:p w:rsidR="00D512D4" w:rsidRDefault="00D512D4" w:rsidP="00306408">
      <w:pPr>
        <w:pStyle w:val="1"/>
        <w:rPr>
          <w:rtl/>
        </w:rPr>
      </w:pPr>
      <w:bookmarkStart w:id="61" w:name="_Toc107851308"/>
      <w:bookmarkStart w:id="62" w:name="_Toc107851366"/>
      <w:r>
        <w:rPr>
          <w:rFonts w:hint="cs"/>
          <w:rtl/>
        </w:rPr>
        <w:t xml:space="preserve">ה. </w:t>
      </w:r>
      <w:r w:rsidRPr="00704A83">
        <w:rPr>
          <w:rFonts w:hint="cs"/>
          <w:rtl/>
        </w:rPr>
        <w:t>סיכום</w:t>
      </w:r>
      <w:bookmarkEnd w:id="61"/>
      <w:bookmarkEnd w:id="62"/>
      <w:r w:rsidRPr="00704A83">
        <w:rPr>
          <w:rFonts w:hint="cs"/>
          <w:rtl/>
        </w:rPr>
        <w:t xml:space="preserve"> </w:t>
      </w:r>
    </w:p>
    <w:p w:rsidR="00D512D4" w:rsidRPr="00843874" w:rsidRDefault="004B38DA" w:rsidP="0029592A">
      <w:pPr>
        <w:pStyle w:val="Ruller4"/>
        <w:rPr>
          <w:rFonts w:ascii="Century" w:hAnsi="Century" w:cs="Miriam"/>
          <w:b/>
          <w:spacing w:val="0"/>
          <w:szCs w:val="24"/>
          <w:rtl/>
        </w:rPr>
      </w:pPr>
      <w:r>
        <w:rPr>
          <w:rFonts w:hint="cs"/>
          <w:rtl/>
        </w:rPr>
        <w:t>המסע תם</w:t>
      </w:r>
      <w:r w:rsidR="00D512D4">
        <w:rPr>
          <w:rFonts w:hint="cs"/>
          <w:rtl/>
        </w:rPr>
        <w:t xml:space="preserve">. </w:t>
      </w:r>
      <w:r>
        <w:rPr>
          <w:rFonts w:hint="cs"/>
          <w:rtl/>
        </w:rPr>
        <w:t xml:space="preserve">כמה וכמה תחנות עברנו בדרכנו: </w:t>
      </w:r>
      <w:r w:rsidR="00D512D4">
        <w:rPr>
          <w:rFonts w:hint="cs"/>
          <w:rtl/>
        </w:rPr>
        <w:t xml:space="preserve">תחילה, </w:t>
      </w:r>
      <w:r>
        <w:rPr>
          <w:rFonts w:hint="cs"/>
          <w:rtl/>
        </w:rPr>
        <w:t xml:space="preserve">הגדרת </w:t>
      </w:r>
      <w:r w:rsidR="00D512D4">
        <w:rPr>
          <w:rFonts w:hint="cs"/>
          <w:rtl/>
        </w:rPr>
        <w:t>זירת הביקורת השיפוטית, 'תקיפה עקיפה', ותח</w:t>
      </w:r>
      <w:r>
        <w:rPr>
          <w:rFonts w:hint="cs"/>
          <w:rtl/>
        </w:rPr>
        <w:t>י</w:t>
      </w:r>
      <w:r w:rsidR="00D512D4">
        <w:rPr>
          <w:rFonts w:hint="cs"/>
          <w:rtl/>
        </w:rPr>
        <w:t>מ</w:t>
      </w:r>
      <w:r>
        <w:rPr>
          <w:rFonts w:hint="cs"/>
          <w:rtl/>
        </w:rPr>
        <w:t>ת</w:t>
      </w:r>
      <w:r w:rsidR="00D512D4">
        <w:rPr>
          <w:rFonts w:hint="cs"/>
          <w:rtl/>
        </w:rPr>
        <w:t xml:space="preserve"> גבולות ההכרעה הנדרשות בנסיבות העניין דנן. הבהר</w:t>
      </w:r>
      <w:r>
        <w:rPr>
          <w:rFonts w:hint="cs"/>
          <w:rtl/>
        </w:rPr>
        <w:t>תי</w:t>
      </w:r>
      <w:r w:rsidR="00D512D4">
        <w:rPr>
          <w:rFonts w:hint="cs"/>
          <w:rtl/>
        </w:rPr>
        <w:t xml:space="preserve">, כי חרף הנטייה שלא לקיים ביקורת שיפוטית על דבר חקיקה ראשי בתקיפה עקיפה, הרי שבנסיבות העניין היה מקום לאפשר זאת. לאחר מכן, </w:t>
      </w:r>
      <w:r>
        <w:rPr>
          <w:rFonts w:hint="cs"/>
          <w:rtl/>
        </w:rPr>
        <w:t xml:space="preserve">התעמקתי </w:t>
      </w:r>
      <w:r w:rsidR="008E6168">
        <w:rPr>
          <w:rFonts w:hint="cs"/>
          <w:rtl/>
        </w:rPr>
        <w:t>ב</w:t>
      </w:r>
      <w:r w:rsidR="00D512D4">
        <w:rPr>
          <w:rFonts w:hint="cs"/>
          <w:rtl/>
        </w:rPr>
        <w:t xml:space="preserve">בחינה החוקתית: בשלב הראשון, שלב הפגיעה בזכות חוקתית, </w:t>
      </w:r>
      <w:r>
        <w:rPr>
          <w:rFonts w:hint="cs"/>
          <w:rtl/>
        </w:rPr>
        <w:t>נ</w:t>
      </w:r>
      <w:r w:rsidR="00D512D4">
        <w:rPr>
          <w:rFonts w:hint="cs"/>
          <w:rtl/>
        </w:rPr>
        <w:t xml:space="preserve">קבע כי אין בהוראות הדין הבינלאומי כדי לעורר 'בעיה חוקתית' כלפי הוראת חוק מפורשת; </w:t>
      </w:r>
      <w:r w:rsidR="00D512D4" w:rsidRPr="005954A0">
        <w:rPr>
          <w:rFonts w:hint="cs"/>
          <w:rtl/>
        </w:rPr>
        <w:t>ביאר</w:t>
      </w:r>
      <w:r>
        <w:rPr>
          <w:rFonts w:hint="cs"/>
          <w:rtl/>
        </w:rPr>
        <w:t>תי</w:t>
      </w:r>
      <w:r w:rsidR="00D512D4" w:rsidRPr="005954A0">
        <w:rPr>
          <w:rFonts w:hint="cs"/>
          <w:rtl/>
        </w:rPr>
        <w:t xml:space="preserve"> בקצרה, כי ההסדר החוקי מושא הערעור אינו סותר את הוראות הדין הבינלאומי, ואף עולה בקנה אחד </w:t>
      </w:r>
      <w:r>
        <w:rPr>
          <w:rFonts w:hint="cs"/>
          <w:rtl/>
        </w:rPr>
        <w:t xml:space="preserve">עם </w:t>
      </w:r>
      <w:r w:rsidR="00D512D4" w:rsidRPr="005954A0">
        <w:rPr>
          <w:rFonts w:hint="cs"/>
          <w:rtl/>
        </w:rPr>
        <w:t>הפרקטיקה הנהוגה בשיט</w:t>
      </w:r>
      <w:r>
        <w:rPr>
          <w:rFonts w:hint="cs"/>
          <w:rtl/>
        </w:rPr>
        <w:t>ו</w:t>
      </w:r>
      <w:r w:rsidR="00D512D4" w:rsidRPr="005954A0">
        <w:rPr>
          <w:rFonts w:hint="cs"/>
          <w:rtl/>
        </w:rPr>
        <w:t>ת משפטן של מדינות נוספות.</w:t>
      </w:r>
      <w:r w:rsidR="00D512D4">
        <w:rPr>
          <w:rFonts w:hint="cs"/>
          <w:rtl/>
        </w:rPr>
        <w:t xml:space="preserve"> בהמשך, עיינו בשאלת התחולה האקסטרה-טריטוריאלית של חוקי היסוד </w:t>
      </w:r>
      <w:r w:rsidR="00D512D4">
        <w:rPr>
          <w:rtl/>
        </w:rPr>
        <w:t>–</w:t>
      </w:r>
      <w:r w:rsidR="00D512D4">
        <w:rPr>
          <w:rFonts w:hint="cs"/>
          <w:rtl/>
        </w:rPr>
        <w:t xml:space="preserve"> בכלל, ובעניינו של המערער </w:t>
      </w:r>
      <w:r w:rsidR="00D512D4">
        <w:rPr>
          <w:rtl/>
        </w:rPr>
        <w:t>–</w:t>
      </w:r>
      <w:r w:rsidR="00D512D4">
        <w:rPr>
          <w:rFonts w:hint="cs"/>
          <w:rtl/>
        </w:rPr>
        <w:t xml:space="preserve"> בפרט. לאחר מכן ציינ</w:t>
      </w:r>
      <w:r>
        <w:rPr>
          <w:rFonts w:hint="cs"/>
          <w:rtl/>
        </w:rPr>
        <w:t>תי</w:t>
      </w:r>
      <w:r w:rsidR="00D512D4">
        <w:rPr>
          <w:rFonts w:hint="cs"/>
          <w:rtl/>
        </w:rPr>
        <w:t>, מבלי לקבוע מסמרות בשא</w:t>
      </w:r>
      <w:r>
        <w:rPr>
          <w:rFonts w:hint="cs"/>
          <w:rtl/>
        </w:rPr>
        <w:t>לה זו, כי גם אם נניח שהגנת חוקי-</w:t>
      </w:r>
      <w:r w:rsidR="00D512D4">
        <w:rPr>
          <w:rFonts w:hint="cs"/>
          <w:rtl/>
        </w:rPr>
        <w:t>היסוד חלה באופן עקרוני על כל חקיקת</w:t>
      </w:r>
      <w:r w:rsidR="0029592A">
        <w:rPr>
          <w:rFonts w:hint="cs"/>
          <w:rtl/>
        </w:rPr>
        <w:t>-</w:t>
      </w:r>
      <w:r w:rsidR="00D512D4">
        <w:rPr>
          <w:rFonts w:hint="cs"/>
          <w:rtl/>
        </w:rPr>
        <w:t xml:space="preserve">הכנסת, הרי שהיקף ההגנה על זכויות המערער דנן </w:t>
      </w:r>
      <w:r w:rsidR="00D512D4">
        <w:rPr>
          <w:rtl/>
        </w:rPr>
        <w:t>–</w:t>
      </w:r>
      <w:r w:rsidR="00D512D4">
        <w:rPr>
          <w:rFonts w:hint="cs"/>
          <w:rtl/>
        </w:rPr>
        <w:t xml:space="preserve"> מצומצם יותר, נוכח מגוריו בשטח אויב. בשלב הבא, סרק</w:t>
      </w:r>
      <w:r>
        <w:rPr>
          <w:rFonts w:hint="cs"/>
          <w:rtl/>
        </w:rPr>
        <w:t>תי</w:t>
      </w:r>
      <w:r w:rsidR="00D512D4">
        <w:rPr>
          <w:rFonts w:hint="cs"/>
          <w:rtl/>
        </w:rPr>
        <w:t xml:space="preserve"> את סעיף 5ב(א)(1) לחוק, במסרקות 'פסקת ההגבלה', ומצא</w:t>
      </w:r>
      <w:r>
        <w:rPr>
          <w:rFonts w:hint="cs"/>
          <w:rtl/>
        </w:rPr>
        <w:t>תי</w:t>
      </w:r>
      <w:r w:rsidR="00D512D4">
        <w:rPr>
          <w:rFonts w:hint="cs"/>
          <w:rtl/>
        </w:rPr>
        <w:t xml:space="preserve"> כי הוא עומד בכל דרישותיה; הוא נועד לתכלית ראויה, ובכוחו לצלוח את שלושת מבחני-המשנה של המידתיות. </w:t>
      </w:r>
    </w:p>
    <w:p w:rsidR="00D512D4" w:rsidRPr="00843874" w:rsidRDefault="00D512D4" w:rsidP="006F0E46">
      <w:pPr>
        <w:pStyle w:val="Ruller41"/>
        <w:spacing w:line="480" w:lineRule="auto"/>
      </w:pPr>
    </w:p>
    <w:p w:rsidR="000734CB" w:rsidRDefault="00D512D4" w:rsidP="00D512D4">
      <w:pPr>
        <w:pStyle w:val="Ruller4"/>
        <w:rPr>
          <w:rFonts w:ascii="Century" w:hAnsi="Century" w:cs="Miriam"/>
          <w:b/>
          <w:spacing w:val="0"/>
          <w:szCs w:val="24"/>
          <w:rtl/>
        </w:rPr>
      </w:pPr>
      <w:r>
        <w:rPr>
          <w:rFonts w:hint="cs"/>
          <w:rtl/>
        </w:rPr>
        <w:t>כאמור, המערער הגיש תביעת נזיקין נגד המדינה, בגין פעולה שבוצעה, לטענתו, ברצועת עזה, שממנה נפגע ב</w:t>
      </w:r>
      <w:r w:rsidR="00830CD6">
        <w:rPr>
          <w:rFonts w:hint="cs"/>
          <w:rtl/>
        </w:rPr>
        <w:t>גופו. משעה שרצועת עזה הוכרזה על-</w:t>
      </w:r>
      <w:r>
        <w:rPr>
          <w:rFonts w:hint="cs"/>
          <w:rtl/>
        </w:rPr>
        <w:t xml:space="preserve">ידי הממשלה כ'שטח אויב' </w:t>
      </w:r>
      <w:r>
        <w:rPr>
          <w:rtl/>
        </w:rPr>
        <w:t>–</w:t>
      </w:r>
      <w:r>
        <w:rPr>
          <w:rFonts w:hint="cs"/>
          <w:rtl/>
        </w:rPr>
        <w:t xml:space="preserve"> על-פי סעיף 5ב(א)(1) לחוק, בצירוף צו הנזיקין האזרחיים שהוצא מכוחו </w:t>
      </w:r>
      <w:r>
        <w:rPr>
          <w:rtl/>
        </w:rPr>
        <w:t>–</w:t>
      </w:r>
      <w:r>
        <w:rPr>
          <w:rFonts w:hint="cs"/>
          <w:rtl/>
        </w:rPr>
        <w:t xml:space="preserve"> אין מנוס מלקבוע כי המדינה איננה אחראית בנזיקין בכגון דא, ועומדת לה חסינות מפני תביעת המערער. בצדק קבע אפוא בית המשפט המחוזי, כי דין תביעת המערער להידחות על הסף.   </w:t>
      </w:r>
    </w:p>
    <w:p w:rsidR="000734CB" w:rsidRDefault="000734CB" w:rsidP="006F0E46">
      <w:pPr>
        <w:pStyle w:val="Ruller41"/>
        <w:spacing w:line="240" w:lineRule="auto"/>
        <w:rPr>
          <w:rtl/>
        </w:rPr>
      </w:pPr>
    </w:p>
    <w:p w:rsidR="00703ADB" w:rsidRPr="00703ADB" w:rsidRDefault="00703ADB" w:rsidP="006F0E46">
      <w:pPr>
        <w:pStyle w:val="1"/>
        <w:spacing w:line="240" w:lineRule="auto"/>
      </w:pPr>
      <w:bookmarkStart w:id="63" w:name="_Toc107851309"/>
      <w:bookmarkStart w:id="64" w:name="_Toc107851367"/>
      <w:r w:rsidRPr="00703ADB">
        <w:rPr>
          <w:rFonts w:hint="cs"/>
          <w:rtl/>
        </w:rPr>
        <w:t>אחר הדברים האלה</w:t>
      </w:r>
      <w:bookmarkEnd w:id="63"/>
      <w:bookmarkEnd w:id="64"/>
    </w:p>
    <w:p w:rsidR="000734CB" w:rsidRDefault="000734CB" w:rsidP="000734CB">
      <w:pPr>
        <w:pStyle w:val="Ruller4"/>
        <w:rPr>
          <w:rtl/>
        </w:rPr>
      </w:pPr>
      <w:r>
        <w:rPr>
          <w:rFonts w:hint="cs"/>
          <w:rtl/>
        </w:rPr>
        <w:t xml:space="preserve">אחר הדברים האלה, עיינתי בחוות דעתו של חברי, השופט </w:t>
      </w:r>
      <w:r w:rsidRPr="00C54F69">
        <w:rPr>
          <w:rFonts w:ascii="Century" w:hAnsi="Century" w:cs="Miriam" w:hint="cs"/>
          <w:b/>
          <w:spacing w:val="0"/>
          <w:szCs w:val="24"/>
          <w:rtl/>
        </w:rPr>
        <w:t>ע' גרוסקופף</w:t>
      </w:r>
      <w:r>
        <w:rPr>
          <w:rFonts w:hint="cs"/>
          <w:rtl/>
        </w:rPr>
        <w:t xml:space="preserve">, אשר מצטרף למסקנתי, ולעיקרי נימוקַי. חברי מסכים, כי סעיף 5ב(א)(1) לחוק, וכמוהו גם צו הנזיקים שניתן מכוחו בהקשר של רצועת עזה, צולחים את מבחני החוקתיות, וזאת </w:t>
      </w:r>
      <w:r w:rsidRPr="00446BE0">
        <w:rPr>
          <w:rFonts w:ascii="Century" w:hAnsi="Century" w:cs="Miriam" w:hint="cs"/>
          <w:b/>
          <w:spacing w:val="0"/>
          <w:szCs w:val="24"/>
          <w:rtl/>
        </w:rPr>
        <w:t>"כאשר מדובר במקרה הקשור בקשר הדוק למצב העימות עם רצועת עזה"</w:t>
      </w:r>
      <w:r>
        <w:rPr>
          <w:rFonts w:hint="cs"/>
          <w:rtl/>
        </w:rPr>
        <w:t xml:space="preserve"> (פסקה 18 לחוות דעתו). לצד זאת, חברי מעלה ספקות באשר לחוקתיות ההסדר האמור במקרים שבהם הנזק הנטען </w:t>
      </w:r>
      <w:r w:rsidRPr="00446BE0">
        <w:rPr>
          <w:rFonts w:ascii="Century" w:hAnsi="Century" w:cs="Miriam" w:hint="cs"/>
          <w:b/>
          <w:spacing w:val="0"/>
          <w:szCs w:val="24"/>
          <w:rtl/>
        </w:rPr>
        <w:t>"אינו קשור בקשר הדוק לעימות"</w:t>
      </w:r>
      <w:r>
        <w:rPr>
          <w:rFonts w:hint="cs"/>
          <w:rtl/>
        </w:rPr>
        <w:t xml:space="preserve"> (פסקה 20 לחוות דעתו), אך אינו מכריע בכך, בהינתן ששאלה זו אינה דרושה להכרעה בענייננו, במסגרת תקיפה עקיפה.</w:t>
      </w:r>
    </w:p>
    <w:p w:rsidR="000734CB" w:rsidRDefault="000734CB" w:rsidP="00240E22">
      <w:pPr>
        <w:pStyle w:val="Ruller41"/>
        <w:spacing w:line="240" w:lineRule="auto"/>
        <w:rPr>
          <w:rtl/>
        </w:rPr>
      </w:pPr>
    </w:p>
    <w:p w:rsidR="000734CB" w:rsidRDefault="000734CB" w:rsidP="000D6DCA">
      <w:pPr>
        <w:pStyle w:val="Ruller4"/>
        <w:rPr>
          <w:rtl/>
        </w:rPr>
      </w:pPr>
      <w:r>
        <w:rPr>
          <w:rFonts w:hint="cs"/>
          <w:rtl/>
        </w:rPr>
        <w:t xml:space="preserve">אכן, כדברי חברי, וכפי שאף ציינתי אני לעיל (בפסקה </w:t>
      </w:r>
      <w:r w:rsidR="000D6DCA">
        <w:rPr>
          <w:rFonts w:hint="cs"/>
          <w:rtl/>
        </w:rPr>
        <w:t>49</w:t>
      </w:r>
      <w:r>
        <w:rPr>
          <w:rFonts w:hint="cs"/>
          <w:rtl/>
        </w:rPr>
        <w:t xml:space="preserve">), אין צורך להכריע בשאלה האם ההסדר הפוטר את המדינה מאחריות נזיקית בגין פעולותיה ברצועת עזה, חל גם במצבים שאין בינם לבין העימות מול רצועת עזה קשר כלשהו, משום שברי כי העניין שלפנינו </w:t>
      </w:r>
      <w:r>
        <w:rPr>
          <w:rtl/>
        </w:rPr>
        <w:t>–</w:t>
      </w:r>
      <w:r>
        <w:rPr>
          <w:rFonts w:hint="cs"/>
          <w:rtl/>
        </w:rPr>
        <w:t xml:space="preserve"> הנדון במסגרת תקיפה עקיפה </w:t>
      </w:r>
      <w:r>
        <w:rPr>
          <w:rtl/>
        </w:rPr>
        <w:t>–</w:t>
      </w:r>
      <w:r>
        <w:rPr>
          <w:rFonts w:hint="cs"/>
          <w:rtl/>
        </w:rPr>
        <w:t xml:space="preserve"> קשור במישרין לעימות המזוין. כשלעצמי, מסופקני אם כוונת המחוקק היתה להגביל את ההסדר החוקי רק לתביעות הקשורות בקשר הדוק לעימות, תוך הותרת פתח לבדיקה פרטנית, נוכח לשונו הרחבה של סעיף 5ב(א)(1) לחוק, והאבולוציה החקיקתית שקדמה לו (וראו גם: פסקאות</w:t>
      </w:r>
      <w:r w:rsidR="0029592A">
        <w:rPr>
          <w:rFonts w:hint="cs"/>
          <w:rtl/>
        </w:rPr>
        <w:t xml:space="preserve">      </w:t>
      </w:r>
      <w:r>
        <w:rPr>
          <w:rFonts w:hint="cs"/>
          <w:rtl/>
        </w:rPr>
        <w:t xml:space="preserve"> 125-121 לחוות דעתי). מכל מקום, כאמור, איננו נדרשים להכריע בכך.</w:t>
      </w:r>
      <w:r w:rsidR="00DE67E3">
        <w:rPr>
          <w:rFonts w:hint="cs"/>
          <w:rtl/>
        </w:rPr>
        <w:t xml:space="preserve"> </w:t>
      </w:r>
      <w:r>
        <w:rPr>
          <w:rFonts w:hint="cs"/>
          <w:rtl/>
        </w:rPr>
        <w:t xml:space="preserve"> </w:t>
      </w:r>
    </w:p>
    <w:p w:rsidR="00D512D4" w:rsidRDefault="00D512D4" w:rsidP="00240E22">
      <w:pPr>
        <w:pStyle w:val="Ruller41"/>
        <w:spacing w:line="240" w:lineRule="auto"/>
        <w:rPr>
          <w:rtl/>
        </w:rPr>
      </w:pPr>
    </w:p>
    <w:p w:rsidR="00D512D4" w:rsidRPr="00843874" w:rsidRDefault="00D512D4" w:rsidP="00B41899">
      <w:pPr>
        <w:pStyle w:val="Ruller41"/>
      </w:pPr>
      <w:r>
        <w:rPr>
          <w:rtl/>
        </w:rPr>
        <w:tab/>
      </w:r>
      <w:r>
        <w:rPr>
          <w:rFonts w:hint="cs"/>
          <w:rtl/>
        </w:rPr>
        <w:t xml:space="preserve">אשר על כן, אציע לחברַי לדחות את הערעור. </w:t>
      </w:r>
    </w:p>
    <w:p w:rsidR="00D556AE" w:rsidRDefault="00D556AE" w:rsidP="00240E22">
      <w:pPr>
        <w:pStyle w:val="Ruller41"/>
        <w:spacing w:line="240" w:lineRule="auto"/>
        <w:rPr>
          <w:rtl/>
        </w:rPr>
      </w:pPr>
    </w:p>
    <w:p w:rsidR="0081590B" w:rsidRDefault="0081590B" w:rsidP="00240E22">
      <w:pPr>
        <w:pStyle w:val="Ruller41"/>
        <w:spacing w:line="240" w:lineRule="auto"/>
        <w:rPr>
          <w:rtl/>
        </w:rPr>
      </w:pPr>
    </w:p>
    <w:p w:rsidR="00240E22" w:rsidRDefault="00240E22" w:rsidP="00240E22">
      <w:pPr>
        <w:pStyle w:val="Ruller41"/>
        <w:spacing w:line="240" w:lineRule="auto"/>
        <w:rPr>
          <w:rtl/>
        </w:rPr>
      </w:pPr>
    </w:p>
    <w:tbl>
      <w:tblPr>
        <w:bidiVisual/>
        <w:tblW w:w="0" w:type="auto"/>
        <w:tblLook w:val="01E0" w:firstRow="1" w:lastRow="1" w:firstColumn="1" w:lastColumn="1" w:noHBand="0" w:noVBand="0"/>
      </w:tblPr>
      <w:tblGrid>
        <w:gridCol w:w="2769"/>
        <w:gridCol w:w="2769"/>
        <w:gridCol w:w="2774"/>
      </w:tblGrid>
      <w:tr w:rsidR="0081590B">
        <w:tc>
          <w:tcPr>
            <w:tcW w:w="2842" w:type="dxa"/>
            <w:shd w:val="clear" w:color="auto" w:fill="auto"/>
          </w:tcPr>
          <w:p w:rsidR="0081590B" w:rsidRDefault="0081590B">
            <w:pPr>
              <w:pStyle w:val="Ruller41"/>
              <w:tabs>
                <w:tab w:val="clear" w:pos="800"/>
                <w:tab w:val="left" w:pos="3209"/>
                <w:tab w:val="left" w:pos="6753"/>
              </w:tabs>
              <w:jc w:val="left"/>
              <w:rPr>
                <w:rFonts w:ascii="Times New Roman" w:hAnsi="Times New Roman"/>
                <w:bCs/>
                <w:rtl/>
              </w:rPr>
            </w:pPr>
          </w:p>
        </w:tc>
        <w:tc>
          <w:tcPr>
            <w:tcW w:w="2843" w:type="dxa"/>
            <w:shd w:val="clear" w:color="auto" w:fill="auto"/>
          </w:tcPr>
          <w:p w:rsidR="0081590B" w:rsidRDefault="0081590B">
            <w:pPr>
              <w:pStyle w:val="Ruller41"/>
              <w:tabs>
                <w:tab w:val="clear" w:pos="800"/>
                <w:tab w:val="left" w:pos="3209"/>
                <w:tab w:val="left" w:pos="6753"/>
              </w:tabs>
              <w:jc w:val="center"/>
              <w:rPr>
                <w:rFonts w:ascii="Times New Roman" w:hAnsi="Times New Roman"/>
                <w:bCs/>
                <w:rtl/>
              </w:rPr>
            </w:pPr>
          </w:p>
        </w:tc>
        <w:tc>
          <w:tcPr>
            <w:tcW w:w="2843" w:type="dxa"/>
            <w:shd w:val="clear" w:color="auto" w:fill="auto"/>
          </w:tcPr>
          <w:p w:rsidR="0081590B" w:rsidRPr="00A60BAF" w:rsidRDefault="0081590B" w:rsidP="00331CB4">
            <w:pPr>
              <w:pStyle w:val="Ruller41"/>
              <w:tabs>
                <w:tab w:val="clear" w:pos="800"/>
                <w:tab w:val="left" w:pos="3209"/>
                <w:tab w:val="left" w:pos="6753"/>
              </w:tabs>
              <w:rPr>
                <w:rFonts w:ascii="Times New Roman" w:hAnsi="Times New Roman"/>
                <w:b/>
                <w:rtl/>
              </w:rPr>
            </w:pPr>
            <w:r>
              <w:rPr>
                <w:rFonts w:ascii="Times New Roman" w:hAnsi="Times New Roman" w:hint="cs"/>
                <w:b/>
                <w:rtl/>
              </w:rPr>
              <w:t xml:space="preserve">        </w:t>
            </w:r>
            <w:r w:rsidRPr="00A60BAF">
              <w:rPr>
                <w:rFonts w:ascii="Times New Roman" w:hAnsi="Times New Roman" w:hint="cs"/>
                <w:b/>
                <w:rtl/>
              </w:rPr>
              <w:t>ש ו פ ט</w:t>
            </w:r>
          </w:p>
        </w:tc>
      </w:tr>
    </w:tbl>
    <w:p w:rsidR="0081590B" w:rsidRDefault="0081590B" w:rsidP="00A51FAE">
      <w:pPr>
        <w:pStyle w:val="Ruller41"/>
        <w:rPr>
          <w:rtl/>
        </w:rPr>
      </w:pPr>
    </w:p>
    <w:p w:rsidR="00AA5003" w:rsidRDefault="009C43F8" w:rsidP="00AA5003">
      <w:pPr>
        <w:pStyle w:val="BODYVERDICT"/>
        <w:rPr>
          <w:rtl/>
        </w:rPr>
      </w:pPr>
      <w:r>
        <w:rPr>
          <w:rFonts w:ascii="Century" w:hAnsi="Century" w:cs="Miriam" w:hint="cs"/>
          <w:b/>
          <w:spacing w:val="0"/>
          <w:szCs w:val="24"/>
          <w:u w:val="single"/>
          <w:rtl/>
        </w:rPr>
        <w:t xml:space="preserve">השופט </w:t>
      </w:r>
      <w:r w:rsidR="00AA5003">
        <w:rPr>
          <w:rFonts w:ascii="Century" w:hAnsi="Century" w:cs="Miriam" w:hint="cs"/>
          <w:b/>
          <w:spacing w:val="0"/>
          <w:szCs w:val="24"/>
          <w:u w:val="single"/>
          <w:rtl/>
        </w:rPr>
        <w:t>ע' גרוסקופף</w:t>
      </w:r>
      <w:r w:rsidR="00AA5003">
        <w:rPr>
          <w:rFonts w:hint="cs"/>
          <w:rtl/>
        </w:rPr>
        <w:t>:</w:t>
      </w:r>
    </w:p>
    <w:p w:rsidR="00AA5003" w:rsidRDefault="00AA5003" w:rsidP="00A51FAE">
      <w:pPr>
        <w:pStyle w:val="Ruller41"/>
        <w:rPr>
          <w:rtl/>
        </w:rPr>
      </w:pPr>
    </w:p>
    <w:p w:rsidR="00745AC1" w:rsidRDefault="00745AC1" w:rsidP="00745AC1">
      <w:pPr>
        <w:pStyle w:val="Ruller41"/>
        <w:rPr>
          <w:rtl/>
        </w:rPr>
      </w:pPr>
      <w:r>
        <w:rPr>
          <w:rtl/>
        </w:rPr>
        <w:tab/>
      </w:r>
      <w:r>
        <w:rPr>
          <w:rFonts w:hint="cs"/>
          <w:rtl/>
        </w:rPr>
        <w:t xml:space="preserve">יריעה רחבה פרש חברי, השופט </w:t>
      </w:r>
      <w:r w:rsidRPr="0091669A">
        <w:rPr>
          <w:rFonts w:ascii="Century" w:hAnsi="Century" w:cs="Miriam" w:hint="cs"/>
          <w:b/>
          <w:spacing w:val="0"/>
          <w:szCs w:val="24"/>
          <w:rtl/>
        </w:rPr>
        <w:t>נעם</w:t>
      </w:r>
      <w:r w:rsidRPr="0091669A">
        <w:rPr>
          <w:rFonts w:ascii="Century" w:hAnsi="Century" w:cs="Miriam"/>
          <w:b/>
          <w:spacing w:val="0"/>
          <w:szCs w:val="24"/>
          <w:rtl/>
        </w:rPr>
        <w:t xml:space="preserve"> </w:t>
      </w:r>
      <w:r w:rsidRPr="0091669A">
        <w:rPr>
          <w:rFonts w:ascii="Century" w:hAnsi="Century" w:cs="Miriam" w:hint="cs"/>
          <w:b/>
          <w:spacing w:val="0"/>
          <w:szCs w:val="24"/>
          <w:rtl/>
        </w:rPr>
        <w:t>סולברג</w:t>
      </w:r>
      <w:r>
        <w:rPr>
          <w:rFonts w:hint="cs"/>
          <w:rtl/>
        </w:rPr>
        <w:t>, בחוות דעתו המקיפה, המעמיקה והיסודית. מקובלת עליי ה</w:t>
      </w:r>
      <w:r w:rsidRPr="007B6D54">
        <w:rPr>
          <w:rFonts w:hint="eastAsia"/>
          <w:rtl/>
        </w:rPr>
        <w:t>תוצאה</w:t>
      </w:r>
      <w:r w:rsidRPr="007B6D54">
        <w:rPr>
          <w:rtl/>
        </w:rPr>
        <w:t xml:space="preserve"> </w:t>
      </w:r>
      <w:r w:rsidRPr="007B6D54">
        <w:rPr>
          <w:rFonts w:hint="eastAsia"/>
          <w:rtl/>
        </w:rPr>
        <w:t>אליה</w:t>
      </w:r>
      <w:r w:rsidRPr="007B6D54">
        <w:rPr>
          <w:rtl/>
        </w:rPr>
        <w:t xml:space="preserve"> </w:t>
      </w:r>
      <w:r w:rsidRPr="007B6D54">
        <w:rPr>
          <w:rFonts w:hint="eastAsia"/>
          <w:rtl/>
        </w:rPr>
        <w:t>הגיע</w:t>
      </w:r>
      <w:r w:rsidRPr="007B6D54">
        <w:rPr>
          <w:rtl/>
        </w:rPr>
        <w:t xml:space="preserve"> </w:t>
      </w:r>
      <w:r w:rsidRPr="007B6D54">
        <w:rPr>
          <w:rFonts w:hint="eastAsia"/>
          <w:rtl/>
        </w:rPr>
        <w:t>חברי</w:t>
      </w:r>
      <w:r w:rsidRPr="007B6D54">
        <w:rPr>
          <w:rtl/>
        </w:rPr>
        <w:t xml:space="preserve">, </w:t>
      </w:r>
      <w:r w:rsidRPr="007B6D54">
        <w:rPr>
          <w:rFonts w:hint="eastAsia"/>
          <w:rtl/>
        </w:rPr>
        <w:t>לפיה</w:t>
      </w:r>
      <w:r w:rsidRPr="007B6D54">
        <w:rPr>
          <w:rtl/>
        </w:rPr>
        <w:t xml:space="preserve"> </w:t>
      </w:r>
      <w:r>
        <w:rPr>
          <w:rFonts w:hint="cs"/>
          <w:rtl/>
        </w:rPr>
        <w:t xml:space="preserve">דין הערעור להידחות. כן מקובלים עלי עיקר הנימוקים שהביאו אותו לתוצאה זו, וזאת בכפוף להערות שיובאו להלן. </w:t>
      </w:r>
    </w:p>
    <w:p w:rsidR="00745AC1" w:rsidRDefault="00745AC1" w:rsidP="00240E22">
      <w:pPr>
        <w:pStyle w:val="Ruller41"/>
        <w:spacing w:line="240" w:lineRule="auto"/>
        <w:rPr>
          <w:rtl/>
        </w:rPr>
      </w:pPr>
    </w:p>
    <w:p w:rsidR="00745AC1" w:rsidRDefault="00745AC1" w:rsidP="00326F04">
      <w:pPr>
        <w:pStyle w:val="Ruller4"/>
        <w:numPr>
          <w:ilvl w:val="0"/>
          <w:numId w:val="20"/>
        </w:numPr>
        <w:rPr>
          <w:rtl/>
        </w:rPr>
      </w:pPr>
      <w:r>
        <w:rPr>
          <w:rFonts w:hint="cs"/>
          <w:rtl/>
        </w:rPr>
        <w:t xml:space="preserve">המערער, תושב רצועת עזה, הגיש תביעת נזיקין נגד המשיבה 1, מדינת ישראל </w:t>
      </w:r>
      <w:r>
        <w:rPr>
          <w:rtl/>
        </w:rPr>
        <w:t>–</w:t>
      </w:r>
      <w:r>
        <w:rPr>
          <w:rFonts w:hint="cs"/>
          <w:rtl/>
        </w:rPr>
        <w:t xml:space="preserve"> משרד הביטחון (להלן: </w:t>
      </w:r>
      <w:r w:rsidRPr="00326F04">
        <w:rPr>
          <w:rFonts w:ascii="Century" w:hAnsi="Century" w:cs="Miriam" w:hint="cs"/>
          <w:b/>
          <w:spacing w:val="0"/>
          <w:szCs w:val="24"/>
          <w:rtl/>
        </w:rPr>
        <w:t>המדינה</w:t>
      </w:r>
      <w:r>
        <w:rPr>
          <w:rFonts w:hint="cs"/>
          <w:rtl/>
        </w:rPr>
        <w:t>). לפי הנטען בתובענה, נגרם למערער נזק גוף עת שהה בתחומי הרצועה, כתוצאה מירי שנורה לעברו על ידי כוחות צה"ל. המדינה ביקשה את דחיית התביעה על הסף לאור הוראת סעיף 5ב(א)(1) ל</w:t>
      </w:r>
      <w:r w:rsidRPr="00291D69">
        <w:rPr>
          <w:rFonts w:hint="eastAsia"/>
          <w:rtl/>
        </w:rPr>
        <w:t>חוק</w:t>
      </w:r>
      <w:r w:rsidRPr="00291D69">
        <w:rPr>
          <w:rtl/>
        </w:rPr>
        <w:t xml:space="preserve"> </w:t>
      </w:r>
      <w:r w:rsidRPr="00291D69">
        <w:rPr>
          <w:rFonts w:hint="eastAsia"/>
          <w:rtl/>
        </w:rPr>
        <w:t>הנזיקים</w:t>
      </w:r>
      <w:r w:rsidRPr="00291D69">
        <w:rPr>
          <w:rtl/>
        </w:rPr>
        <w:t xml:space="preserve"> </w:t>
      </w:r>
      <w:r w:rsidRPr="00291D69">
        <w:rPr>
          <w:rFonts w:hint="eastAsia"/>
          <w:rtl/>
        </w:rPr>
        <w:t>האזרחיים</w:t>
      </w:r>
      <w:r w:rsidRPr="00291D69">
        <w:rPr>
          <w:rtl/>
        </w:rPr>
        <w:t xml:space="preserve"> (</w:t>
      </w:r>
      <w:r w:rsidRPr="00291D69">
        <w:rPr>
          <w:rFonts w:hint="eastAsia"/>
          <w:rtl/>
        </w:rPr>
        <w:t>אחריות</w:t>
      </w:r>
      <w:r w:rsidRPr="00291D69">
        <w:rPr>
          <w:rtl/>
        </w:rPr>
        <w:t xml:space="preserve"> </w:t>
      </w:r>
      <w:r w:rsidRPr="00291D69">
        <w:rPr>
          <w:rFonts w:hint="eastAsia"/>
          <w:rtl/>
        </w:rPr>
        <w:t>המדינה</w:t>
      </w:r>
      <w:r w:rsidRPr="00291D69">
        <w:rPr>
          <w:rtl/>
        </w:rPr>
        <w:t xml:space="preserve">), </w:t>
      </w:r>
      <w:r>
        <w:rPr>
          <w:rFonts w:hint="cs"/>
          <w:rtl/>
        </w:rPr>
        <w:t>ה</w:t>
      </w:r>
      <w:r w:rsidRPr="00291D69">
        <w:rPr>
          <w:rFonts w:hint="eastAsia"/>
          <w:rtl/>
        </w:rPr>
        <w:t>תשי</w:t>
      </w:r>
      <w:r w:rsidRPr="00291D69">
        <w:rPr>
          <w:rtl/>
        </w:rPr>
        <w:t>"</w:t>
      </w:r>
      <w:r w:rsidRPr="00291D69">
        <w:rPr>
          <w:rFonts w:hint="eastAsia"/>
          <w:rtl/>
        </w:rPr>
        <w:t>ב</w:t>
      </w:r>
      <w:r w:rsidRPr="00291D69">
        <w:rPr>
          <w:rtl/>
        </w:rPr>
        <w:t>-1952</w:t>
      </w:r>
      <w:r>
        <w:rPr>
          <w:rFonts w:hint="cs"/>
          <w:rtl/>
        </w:rPr>
        <w:t xml:space="preserve"> (להלן: </w:t>
      </w:r>
      <w:r w:rsidRPr="00326F04">
        <w:rPr>
          <w:rFonts w:ascii="Century" w:hAnsi="Century" w:cs="Miriam" w:hint="cs"/>
          <w:b/>
          <w:spacing w:val="0"/>
          <w:szCs w:val="24"/>
          <w:rtl/>
        </w:rPr>
        <w:t>החוק</w:t>
      </w:r>
      <w:r>
        <w:rPr>
          <w:rFonts w:hint="cs"/>
          <w:rtl/>
        </w:rPr>
        <w:t>), כפי שתוקנה בתיקון מס' 8 לחוק משנת תשע"ב. הוראה זו מורה כי אין המדינה אחראית בנזיקין לנזק שנגרם ל"</w:t>
      </w:r>
      <w:r w:rsidRPr="00326F04">
        <w:rPr>
          <w:rFonts w:ascii="Century" w:hAnsi="Century" w:cs="Miriam" w:hint="eastAsia"/>
          <w:b/>
          <w:spacing w:val="0"/>
          <w:szCs w:val="24"/>
          <w:rtl/>
        </w:rPr>
        <w:t>מי</w:t>
      </w:r>
      <w:r w:rsidRPr="00326F04">
        <w:rPr>
          <w:rFonts w:ascii="Century" w:hAnsi="Century" w:cs="Miriam"/>
          <w:b/>
          <w:spacing w:val="0"/>
          <w:szCs w:val="24"/>
          <w:rtl/>
        </w:rPr>
        <w:t xml:space="preserve"> </w:t>
      </w:r>
      <w:r w:rsidRPr="00326F04">
        <w:rPr>
          <w:rFonts w:ascii="Century" w:hAnsi="Century" w:cs="Miriam" w:hint="eastAsia"/>
          <w:b/>
          <w:spacing w:val="0"/>
          <w:szCs w:val="24"/>
          <w:rtl/>
        </w:rPr>
        <w:t>שאינו</w:t>
      </w:r>
      <w:r w:rsidRPr="00326F04">
        <w:rPr>
          <w:rFonts w:ascii="Century" w:hAnsi="Century" w:cs="Miriam"/>
          <w:b/>
          <w:spacing w:val="0"/>
          <w:szCs w:val="24"/>
          <w:rtl/>
        </w:rPr>
        <w:t xml:space="preserve"> </w:t>
      </w:r>
      <w:r w:rsidRPr="00326F04">
        <w:rPr>
          <w:rFonts w:ascii="Century" w:hAnsi="Century" w:cs="Miriam" w:hint="eastAsia"/>
          <w:b/>
          <w:spacing w:val="0"/>
          <w:szCs w:val="24"/>
          <w:rtl/>
        </w:rPr>
        <w:t>אזרח</w:t>
      </w:r>
      <w:r w:rsidRPr="00326F04">
        <w:rPr>
          <w:rFonts w:ascii="Century" w:hAnsi="Century" w:cs="Miriam"/>
          <w:b/>
          <w:spacing w:val="0"/>
          <w:szCs w:val="24"/>
          <w:rtl/>
        </w:rPr>
        <w:t xml:space="preserve"> </w:t>
      </w:r>
      <w:r w:rsidRPr="00326F04">
        <w:rPr>
          <w:rFonts w:ascii="Century" w:hAnsi="Century" w:cs="Miriam" w:hint="eastAsia"/>
          <w:b/>
          <w:spacing w:val="0"/>
          <w:szCs w:val="24"/>
          <w:rtl/>
        </w:rPr>
        <w:t>ישראלי</w:t>
      </w:r>
      <w:r w:rsidRPr="00326F04">
        <w:rPr>
          <w:rFonts w:ascii="Century" w:hAnsi="Century" w:cs="Miriam"/>
          <w:b/>
          <w:spacing w:val="0"/>
          <w:szCs w:val="24"/>
          <w:rtl/>
        </w:rPr>
        <w:t xml:space="preserve">, </w:t>
      </w:r>
      <w:r w:rsidRPr="00326F04">
        <w:rPr>
          <w:rFonts w:ascii="Century" w:hAnsi="Century" w:cs="Miriam" w:hint="eastAsia"/>
          <w:b/>
          <w:spacing w:val="0"/>
          <w:szCs w:val="24"/>
          <w:rtl/>
        </w:rPr>
        <w:t>שהוא</w:t>
      </w:r>
      <w:r w:rsidRPr="00326F04">
        <w:rPr>
          <w:rFonts w:ascii="Century" w:hAnsi="Century" w:cs="Miriam"/>
          <w:b/>
          <w:spacing w:val="0"/>
          <w:szCs w:val="24"/>
          <w:rtl/>
        </w:rPr>
        <w:t xml:space="preserve"> </w:t>
      </w:r>
      <w:r w:rsidRPr="00326F04">
        <w:rPr>
          <w:rFonts w:ascii="Century" w:hAnsi="Century" w:cs="Miriam" w:hint="eastAsia"/>
          <w:b/>
          <w:spacing w:val="0"/>
          <w:szCs w:val="24"/>
          <w:rtl/>
        </w:rPr>
        <w:t>תושב</w:t>
      </w:r>
      <w:r w:rsidRPr="00326F04">
        <w:rPr>
          <w:rFonts w:ascii="Century" w:hAnsi="Century" w:cs="Miriam"/>
          <w:b/>
          <w:spacing w:val="0"/>
          <w:szCs w:val="24"/>
          <w:rtl/>
        </w:rPr>
        <w:t xml:space="preserve"> </w:t>
      </w:r>
      <w:r w:rsidRPr="00326F04">
        <w:rPr>
          <w:rFonts w:ascii="Century" w:hAnsi="Century" w:cs="Miriam" w:hint="eastAsia"/>
          <w:b/>
          <w:spacing w:val="0"/>
          <w:szCs w:val="24"/>
          <w:rtl/>
        </w:rPr>
        <w:t>שטח</w:t>
      </w:r>
      <w:r w:rsidRPr="00326F04">
        <w:rPr>
          <w:rFonts w:ascii="Century" w:hAnsi="Century" w:cs="Miriam"/>
          <w:b/>
          <w:spacing w:val="0"/>
          <w:szCs w:val="24"/>
          <w:rtl/>
        </w:rPr>
        <w:t xml:space="preserve"> </w:t>
      </w:r>
      <w:r w:rsidRPr="00326F04">
        <w:rPr>
          <w:rFonts w:ascii="Century" w:hAnsi="Century" w:cs="Miriam" w:hint="eastAsia"/>
          <w:b/>
          <w:spacing w:val="0"/>
          <w:szCs w:val="24"/>
          <w:rtl/>
        </w:rPr>
        <w:t>מחוץ</w:t>
      </w:r>
      <w:r w:rsidRPr="00326F04">
        <w:rPr>
          <w:rFonts w:ascii="Century" w:hAnsi="Century" w:cs="Miriam"/>
          <w:b/>
          <w:spacing w:val="0"/>
          <w:szCs w:val="24"/>
          <w:rtl/>
        </w:rPr>
        <w:t xml:space="preserve"> </w:t>
      </w:r>
      <w:r w:rsidRPr="00326F04">
        <w:rPr>
          <w:rFonts w:ascii="Century" w:hAnsi="Century" w:cs="Miriam" w:hint="eastAsia"/>
          <w:b/>
          <w:spacing w:val="0"/>
          <w:szCs w:val="24"/>
          <w:rtl/>
        </w:rPr>
        <w:t>לישראל</w:t>
      </w:r>
      <w:r w:rsidRPr="00326F04">
        <w:rPr>
          <w:rFonts w:ascii="Century" w:hAnsi="Century" w:cs="Miriam"/>
          <w:b/>
          <w:spacing w:val="0"/>
          <w:szCs w:val="24"/>
          <w:rtl/>
        </w:rPr>
        <w:t xml:space="preserve"> </w:t>
      </w:r>
      <w:r w:rsidRPr="00326F04">
        <w:rPr>
          <w:rFonts w:ascii="Century" w:hAnsi="Century" w:cs="Miriam" w:hint="eastAsia"/>
          <w:b/>
          <w:spacing w:val="0"/>
          <w:szCs w:val="24"/>
          <w:rtl/>
        </w:rPr>
        <w:t>שהממשלה</w:t>
      </w:r>
      <w:r w:rsidRPr="00326F04">
        <w:rPr>
          <w:rFonts w:ascii="Century" w:hAnsi="Century" w:cs="Miriam"/>
          <w:b/>
          <w:spacing w:val="0"/>
          <w:szCs w:val="24"/>
          <w:rtl/>
        </w:rPr>
        <w:t xml:space="preserve"> </w:t>
      </w:r>
      <w:r w:rsidRPr="00326F04">
        <w:rPr>
          <w:rFonts w:ascii="Century" w:hAnsi="Century" w:cs="Miriam" w:hint="eastAsia"/>
          <w:b/>
          <w:spacing w:val="0"/>
          <w:szCs w:val="24"/>
          <w:rtl/>
        </w:rPr>
        <w:t>הכריזה</w:t>
      </w:r>
      <w:r w:rsidRPr="00326F04">
        <w:rPr>
          <w:rFonts w:ascii="Century" w:hAnsi="Century" w:cs="Miriam"/>
          <w:b/>
          <w:spacing w:val="0"/>
          <w:szCs w:val="24"/>
          <w:rtl/>
        </w:rPr>
        <w:t xml:space="preserve"> </w:t>
      </w:r>
      <w:r w:rsidRPr="00326F04">
        <w:rPr>
          <w:rFonts w:ascii="Century" w:hAnsi="Century" w:cs="Miriam" w:hint="eastAsia"/>
          <w:b/>
          <w:spacing w:val="0"/>
          <w:szCs w:val="24"/>
          <w:rtl/>
        </w:rPr>
        <w:t>עליו</w:t>
      </w:r>
      <w:r w:rsidRPr="00326F04">
        <w:rPr>
          <w:rFonts w:ascii="Century" w:hAnsi="Century" w:cs="Miriam"/>
          <w:b/>
          <w:spacing w:val="0"/>
          <w:szCs w:val="24"/>
          <w:rtl/>
        </w:rPr>
        <w:t xml:space="preserve">, </w:t>
      </w:r>
      <w:r w:rsidRPr="00326F04">
        <w:rPr>
          <w:rFonts w:ascii="Century" w:hAnsi="Century" w:cs="Miriam" w:hint="eastAsia"/>
          <w:b/>
          <w:spacing w:val="0"/>
          <w:szCs w:val="24"/>
          <w:rtl/>
        </w:rPr>
        <w:t>בצו</w:t>
      </w:r>
      <w:r w:rsidRPr="00326F04">
        <w:rPr>
          <w:rFonts w:ascii="Century" w:hAnsi="Century" w:cs="Miriam"/>
          <w:b/>
          <w:spacing w:val="0"/>
          <w:szCs w:val="24"/>
          <w:rtl/>
        </w:rPr>
        <w:t xml:space="preserve">, </w:t>
      </w:r>
      <w:r w:rsidRPr="00326F04">
        <w:rPr>
          <w:rFonts w:ascii="Century" w:hAnsi="Century" w:cs="Miriam" w:hint="eastAsia"/>
          <w:b/>
          <w:spacing w:val="0"/>
          <w:szCs w:val="24"/>
          <w:rtl/>
        </w:rPr>
        <w:t>כשטח</w:t>
      </w:r>
      <w:r w:rsidRPr="00326F04">
        <w:rPr>
          <w:rFonts w:ascii="Century" w:hAnsi="Century" w:cs="Miriam"/>
          <w:b/>
          <w:spacing w:val="0"/>
          <w:szCs w:val="24"/>
          <w:rtl/>
        </w:rPr>
        <w:t xml:space="preserve"> </w:t>
      </w:r>
      <w:r w:rsidRPr="00326F04">
        <w:rPr>
          <w:rFonts w:ascii="Century" w:hAnsi="Century" w:cs="Miriam" w:hint="eastAsia"/>
          <w:b/>
          <w:spacing w:val="0"/>
          <w:szCs w:val="24"/>
          <w:rtl/>
        </w:rPr>
        <w:t>אויב</w:t>
      </w:r>
      <w:r w:rsidRPr="00326F04">
        <w:rPr>
          <w:rFonts w:ascii="Century" w:hAnsi="Century" w:cs="Miriam"/>
          <w:b/>
          <w:spacing w:val="0"/>
          <w:szCs w:val="24"/>
          <w:rtl/>
        </w:rPr>
        <w:t xml:space="preserve">, </w:t>
      </w:r>
      <w:r w:rsidRPr="00326F04">
        <w:rPr>
          <w:rFonts w:ascii="Century" w:hAnsi="Century" w:cs="Miriam" w:hint="eastAsia"/>
          <w:b/>
          <w:spacing w:val="0"/>
          <w:szCs w:val="24"/>
          <w:rtl/>
        </w:rPr>
        <w:t>אלא</w:t>
      </w:r>
      <w:r w:rsidRPr="00326F04">
        <w:rPr>
          <w:rFonts w:ascii="Century" w:hAnsi="Century" w:cs="Miriam"/>
          <w:b/>
          <w:spacing w:val="0"/>
          <w:szCs w:val="24"/>
          <w:rtl/>
        </w:rPr>
        <w:t xml:space="preserve"> </w:t>
      </w:r>
      <w:r w:rsidRPr="00326F04">
        <w:rPr>
          <w:rFonts w:ascii="Century" w:hAnsi="Century" w:cs="Miriam" w:hint="eastAsia"/>
          <w:b/>
          <w:spacing w:val="0"/>
          <w:szCs w:val="24"/>
          <w:rtl/>
        </w:rPr>
        <w:t>אם</w:t>
      </w:r>
      <w:r w:rsidRPr="00326F04">
        <w:rPr>
          <w:rFonts w:ascii="Century" w:hAnsi="Century" w:cs="Miriam"/>
          <w:b/>
          <w:spacing w:val="0"/>
          <w:szCs w:val="24"/>
          <w:rtl/>
        </w:rPr>
        <w:t xml:space="preserve"> </w:t>
      </w:r>
      <w:r w:rsidRPr="00326F04">
        <w:rPr>
          <w:rFonts w:ascii="Century" w:hAnsi="Century" w:cs="Miriam" w:hint="eastAsia"/>
          <w:b/>
          <w:spacing w:val="0"/>
          <w:szCs w:val="24"/>
          <w:rtl/>
        </w:rPr>
        <w:t>כן</w:t>
      </w:r>
      <w:r w:rsidRPr="00326F04">
        <w:rPr>
          <w:rFonts w:ascii="Century" w:hAnsi="Century" w:cs="Miriam"/>
          <w:b/>
          <w:spacing w:val="0"/>
          <w:szCs w:val="24"/>
          <w:rtl/>
        </w:rPr>
        <w:t xml:space="preserve"> </w:t>
      </w:r>
      <w:r w:rsidRPr="00326F04">
        <w:rPr>
          <w:rFonts w:ascii="Century" w:hAnsi="Century" w:cs="Miriam" w:hint="eastAsia"/>
          <w:b/>
          <w:spacing w:val="0"/>
          <w:szCs w:val="24"/>
          <w:rtl/>
        </w:rPr>
        <w:t>הוא</w:t>
      </w:r>
      <w:r w:rsidRPr="00326F04">
        <w:rPr>
          <w:rFonts w:ascii="Century" w:hAnsi="Century" w:cs="Miriam"/>
          <w:b/>
          <w:spacing w:val="0"/>
          <w:szCs w:val="24"/>
          <w:rtl/>
        </w:rPr>
        <w:t xml:space="preserve"> </w:t>
      </w:r>
      <w:r w:rsidRPr="00326F04">
        <w:rPr>
          <w:rFonts w:ascii="Century" w:hAnsi="Century" w:cs="Miriam" w:hint="eastAsia"/>
          <w:b/>
          <w:spacing w:val="0"/>
          <w:szCs w:val="24"/>
          <w:rtl/>
        </w:rPr>
        <w:t>שוהה</w:t>
      </w:r>
      <w:r w:rsidRPr="00326F04">
        <w:rPr>
          <w:rFonts w:ascii="Century" w:hAnsi="Century" w:cs="Miriam"/>
          <w:b/>
          <w:spacing w:val="0"/>
          <w:szCs w:val="24"/>
          <w:rtl/>
        </w:rPr>
        <w:t xml:space="preserve"> </w:t>
      </w:r>
      <w:r w:rsidRPr="00326F04">
        <w:rPr>
          <w:rFonts w:ascii="Century" w:hAnsi="Century" w:cs="Miriam" w:hint="eastAsia"/>
          <w:b/>
          <w:spacing w:val="0"/>
          <w:szCs w:val="24"/>
          <w:rtl/>
        </w:rPr>
        <w:t>כדין</w:t>
      </w:r>
      <w:r w:rsidRPr="00326F04">
        <w:rPr>
          <w:rFonts w:ascii="Century" w:hAnsi="Century" w:cs="Miriam"/>
          <w:b/>
          <w:spacing w:val="0"/>
          <w:szCs w:val="24"/>
          <w:rtl/>
        </w:rPr>
        <w:t xml:space="preserve"> </w:t>
      </w:r>
      <w:r w:rsidRPr="00326F04">
        <w:rPr>
          <w:rFonts w:ascii="Century" w:hAnsi="Century" w:cs="Miriam" w:hint="eastAsia"/>
          <w:b/>
          <w:spacing w:val="0"/>
          <w:szCs w:val="24"/>
          <w:rtl/>
        </w:rPr>
        <w:t>בישרא</w:t>
      </w:r>
      <w:r w:rsidRPr="00326F04">
        <w:rPr>
          <w:rFonts w:ascii="Century" w:hAnsi="Century" w:cs="Miriam" w:hint="cs"/>
          <w:b/>
          <w:spacing w:val="0"/>
          <w:szCs w:val="24"/>
          <w:rtl/>
        </w:rPr>
        <w:t>ל</w:t>
      </w:r>
      <w:r w:rsidRPr="00EC3565">
        <w:rPr>
          <w:rtl/>
        </w:rPr>
        <w:t>"</w:t>
      </w:r>
      <w:r>
        <w:rPr>
          <w:rFonts w:hint="cs"/>
          <w:rtl/>
        </w:rPr>
        <w:t xml:space="preserve">, כאשר רצועת עזה הוכרזה כ"שטח אויב" בצו הנזיקים האזרחיים (אחריות המדינה) (הכרזה על שטח אויב </w:t>
      </w:r>
      <w:r>
        <w:rPr>
          <w:rtl/>
        </w:rPr>
        <w:t>–</w:t>
      </w:r>
      <w:r>
        <w:rPr>
          <w:rFonts w:hint="cs"/>
          <w:rtl/>
        </w:rPr>
        <w:t xml:space="preserve"> רצועת עזה), התשע"ה</w:t>
      </w:r>
      <w:r>
        <w:rPr>
          <w:rtl/>
        </w:rPr>
        <w:t>–</w:t>
      </w:r>
      <w:r>
        <w:rPr>
          <w:rFonts w:hint="cs"/>
          <w:rtl/>
        </w:rPr>
        <w:t xml:space="preserve">2014 (להלן: </w:t>
      </w:r>
      <w:r w:rsidRPr="00326F04">
        <w:rPr>
          <w:rFonts w:ascii="Century" w:hAnsi="Century" w:cs="Miriam" w:hint="cs"/>
          <w:b/>
          <w:spacing w:val="0"/>
          <w:szCs w:val="24"/>
          <w:rtl/>
        </w:rPr>
        <w:t>הסדר הפטור מאחריות כלפי תושבי עזה</w:t>
      </w:r>
      <w:r>
        <w:rPr>
          <w:rFonts w:hint="cs"/>
          <w:rtl/>
        </w:rPr>
        <w:t xml:space="preserve">). תשובתו של המערער לבקשת הסילוק על הסף, התבססה רובה ככולה על הטענה כי הסדר הפטור מאחריות כלפי תושבי עזה אינו חוקתי, ולפיכך בטל. בית המשפט קמא לא קיבל טענה זו, והורה על דחיית התביעה על הסף. על פסק דין זה הוגש הערעור שלפנינו. </w:t>
      </w:r>
    </w:p>
    <w:p w:rsidR="00745AC1" w:rsidRDefault="00745AC1" w:rsidP="00240E22">
      <w:pPr>
        <w:pStyle w:val="Ruller41"/>
        <w:spacing w:line="240" w:lineRule="auto"/>
        <w:rPr>
          <w:rtl/>
        </w:rPr>
      </w:pPr>
    </w:p>
    <w:p w:rsidR="00745AC1" w:rsidRDefault="00745AC1" w:rsidP="00326F04">
      <w:pPr>
        <w:pStyle w:val="Ruller4"/>
        <w:rPr>
          <w:rtl/>
        </w:rPr>
      </w:pPr>
      <w:r>
        <w:rPr>
          <w:rFonts w:hint="cs"/>
          <w:rtl/>
        </w:rPr>
        <w:t xml:space="preserve">חברי השופט </w:t>
      </w:r>
      <w:r w:rsidRPr="0091669A">
        <w:rPr>
          <w:rFonts w:ascii="Century" w:hAnsi="Century" w:cs="Miriam" w:hint="cs"/>
          <w:b/>
          <w:spacing w:val="0"/>
          <w:szCs w:val="24"/>
          <w:rtl/>
        </w:rPr>
        <w:t>סולברג</w:t>
      </w:r>
      <w:r>
        <w:rPr>
          <w:rFonts w:hint="cs"/>
          <w:rtl/>
        </w:rPr>
        <w:t xml:space="preserve"> מנתח בחוות דעתו ביסודיות מספר סוגיות משפטיות חשובות, אשר היו עשויות להידרש לצורך ההכרעה במחלוקת שהונחה לפתחנו. ואלה הן שלוש הסוגיות המרכזיות בהן דן חברי: </w:t>
      </w:r>
      <w:r w:rsidRPr="000A2F9B">
        <w:rPr>
          <w:rFonts w:ascii="Century" w:hAnsi="Century" w:cs="Miriam" w:hint="cs"/>
          <w:b/>
          <w:spacing w:val="0"/>
          <w:szCs w:val="24"/>
          <w:rtl/>
        </w:rPr>
        <w:t>ראשית</w:t>
      </w:r>
      <w:r>
        <w:rPr>
          <w:rFonts w:hint="cs"/>
          <w:rtl/>
        </w:rPr>
        <w:t xml:space="preserve">, האפשרות להיזקק בתקיפת עקיפין לשאלת החוקתיות של חוק שיצא מתחת ידה של כנסת ישראל; </w:t>
      </w:r>
      <w:r w:rsidRPr="000A2F9B">
        <w:rPr>
          <w:rFonts w:ascii="Century" w:hAnsi="Century" w:cs="Miriam" w:hint="cs"/>
          <w:b/>
          <w:spacing w:val="0"/>
          <w:szCs w:val="24"/>
          <w:rtl/>
        </w:rPr>
        <w:t>שנית</w:t>
      </w:r>
      <w:r>
        <w:rPr>
          <w:rFonts w:hint="cs"/>
          <w:rtl/>
        </w:rPr>
        <w:t xml:space="preserve">, שאלת תחולתם האקסטרה-טריטוריאלית של חוקי היסוד (וזאת כחלק מהבחינה האם הסדר הפטור מאחריות כלפי תושבי עזה מגבש פגיעה בזכות חוקתית); </w:t>
      </w:r>
      <w:r w:rsidRPr="00AB4434">
        <w:rPr>
          <w:rFonts w:ascii="Century" w:hAnsi="Century" w:cs="Miriam" w:hint="cs"/>
          <w:b/>
          <w:spacing w:val="0"/>
          <w:szCs w:val="24"/>
          <w:rtl/>
        </w:rPr>
        <w:t>שלישית</w:t>
      </w:r>
      <w:r>
        <w:rPr>
          <w:rFonts w:hint="cs"/>
          <w:rtl/>
        </w:rPr>
        <w:t xml:space="preserve">, עמידתו של הסדר הפטור מאחריות כלפי תושבי עזה במבחני פסקת ההגבלה שבסעיף 8 לחוק יסוד: כבוד האדם וחירותו. </w:t>
      </w:r>
    </w:p>
    <w:p w:rsidR="00745AC1" w:rsidRDefault="00745AC1" w:rsidP="00240E22">
      <w:pPr>
        <w:pStyle w:val="Ruller41"/>
        <w:spacing w:line="240" w:lineRule="auto"/>
        <w:rPr>
          <w:rtl/>
        </w:rPr>
      </w:pPr>
    </w:p>
    <w:p w:rsidR="00745AC1" w:rsidRDefault="00745AC1" w:rsidP="00745AC1">
      <w:pPr>
        <w:pStyle w:val="Ruller41"/>
        <w:rPr>
          <w:rtl/>
        </w:rPr>
      </w:pPr>
      <w:r>
        <w:rPr>
          <w:rtl/>
        </w:rPr>
        <w:tab/>
      </w:r>
      <w:r>
        <w:rPr>
          <w:rFonts w:hint="cs"/>
          <w:rtl/>
        </w:rPr>
        <w:t xml:space="preserve">ביחס לשתי השאלות הראשונות, תקיפת עקיפין והיקף התחולה הטריטוריאלית של חוקי היסוד, מציג חברי בהרחבה את העמדות השונות, ומעיר את הערותיו כפי שמצא לנכון. ואולם, בסופו של דיון, נמנע הוא מלטעת מסמרות בסוגיות יסוד אלה, וזאת, בין השאר, לאור עמדת המדינה, אשר נמנעה, במקרה דנן, מלבסס את עמדתה על טענות אלה. לפיכך, הרציו של חוות דעתו הוא, שגם אם נקבל כי באפשרותו של המערער לתקוף בתקיפת עקיפין את חוקתיות הסדר הפטור מאחריות כלפי תושבי עזה, וגם אם נניח כי ההסדר פוגע בזכויות חוקתיות העומדות למערער, עדיין דין הערעור להידחות לאור הכרעתו בשאלה השלישית </w:t>
      </w:r>
      <w:r>
        <w:rPr>
          <w:rtl/>
        </w:rPr>
        <w:t>–</w:t>
      </w:r>
      <w:r>
        <w:rPr>
          <w:rFonts w:hint="cs"/>
          <w:rtl/>
        </w:rPr>
        <w:t xml:space="preserve"> דהיינו נוכח מסקנתו כי הסדר הפטור מאחריות כלפי תושבי עזה עומד במבחני פסקת ההגבלה שבסעיף 8 לחוק יסוד: כבוד האדם וחירותו. לאור האמור, אותיר אף אני בצריך עיון את שתי השאלות הראשונות, שאף בעיני הן נכבדות ומחייבות עיון והעמקה, ואתמקד אך ורק בשאלת חוקתיותו של הסדר הפטור האמור.</w:t>
      </w:r>
    </w:p>
    <w:p w:rsidR="00745AC1" w:rsidRDefault="00745AC1" w:rsidP="00745AC1">
      <w:pPr>
        <w:pStyle w:val="Ruller41"/>
        <w:rPr>
          <w:rtl/>
        </w:rPr>
      </w:pPr>
    </w:p>
    <w:p w:rsidR="00745AC1" w:rsidRDefault="00745AC1" w:rsidP="00240E22">
      <w:pPr>
        <w:pStyle w:val="Ruller41"/>
        <w:spacing w:line="240" w:lineRule="auto"/>
        <w:rPr>
          <w:rFonts w:ascii="Century" w:hAnsi="Century" w:cs="Miriam"/>
          <w:b/>
          <w:spacing w:val="0"/>
          <w:szCs w:val="24"/>
          <w:rtl/>
        </w:rPr>
      </w:pPr>
      <w:r w:rsidRPr="008D20A1">
        <w:rPr>
          <w:rFonts w:ascii="Century" w:hAnsi="Century" w:cs="Miriam" w:hint="cs"/>
          <w:b/>
          <w:spacing w:val="0"/>
          <w:szCs w:val="24"/>
          <w:rtl/>
        </w:rPr>
        <w:t>התכליות העומדות ביסוד הסדר הפטור מאחריות כלפי תושבי עזה</w:t>
      </w:r>
    </w:p>
    <w:p w:rsidR="00745AC1" w:rsidRPr="008D20A1" w:rsidRDefault="00745AC1" w:rsidP="00240E22">
      <w:pPr>
        <w:pStyle w:val="Ruller41"/>
        <w:spacing w:line="240" w:lineRule="auto"/>
        <w:rPr>
          <w:rFonts w:ascii="Century" w:hAnsi="Century" w:cs="Miriam"/>
          <w:b/>
          <w:spacing w:val="0"/>
          <w:szCs w:val="24"/>
          <w:rtl/>
        </w:rPr>
      </w:pPr>
    </w:p>
    <w:p w:rsidR="00745AC1" w:rsidRDefault="00745AC1" w:rsidP="00326F04">
      <w:pPr>
        <w:pStyle w:val="Ruller4"/>
        <w:rPr>
          <w:rtl/>
        </w:rPr>
      </w:pPr>
      <w:r>
        <w:rPr>
          <w:rFonts w:hint="cs"/>
          <w:rtl/>
        </w:rPr>
        <w:t>סעיף 5ב(א)(1) ל</w:t>
      </w:r>
      <w:r w:rsidRPr="00291D69">
        <w:rPr>
          <w:rFonts w:hint="eastAsia"/>
          <w:rtl/>
        </w:rPr>
        <w:t>חוק</w:t>
      </w:r>
      <w:r>
        <w:rPr>
          <w:rFonts w:hint="cs"/>
          <w:rtl/>
        </w:rPr>
        <w:t xml:space="preserve">, השולל את אחריות המדינה בנזיקין כלפי נתין של מדינה שהיא אויב או תושב שטח שהוכרז כשטח אויב, ואשר הסדר הפטור מאחריות כלפי תושבי עזה הוא מקרה פרטי שלו, יונק את חיותו משתי תכליות שונות, אשר שילובן הוא שמצדיק את קיומו: התכלית הראשונה נוגעת להתאמת דיני הנזיקין למצב מלחמתי; התכלית השנייה עניינה במניעת סיוע כלכלי או מוראלי לאויב. להלן אעמוד בקצרה על כל אחת מהתכליות הללו כשהיא עומדת בפני עצמה, ולאחר מכן אבהיר מדוע יש לראות בהסדר החוק האמור כמבוסס על שילוב בין שתי התכליות הללו. </w:t>
      </w:r>
    </w:p>
    <w:p w:rsidR="00745AC1" w:rsidRPr="00251DD9" w:rsidRDefault="00745AC1" w:rsidP="00745AC1">
      <w:pPr>
        <w:pStyle w:val="Ruller41"/>
        <w:rPr>
          <w:rtl/>
        </w:rPr>
      </w:pPr>
    </w:p>
    <w:p w:rsidR="00745AC1" w:rsidRPr="008636A7" w:rsidRDefault="00745AC1" w:rsidP="00240E22">
      <w:pPr>
        <w:pStyle w:val="Ruller41"/>
        <w:spacing w:line="240" w:lineRule="auto"/>
        <w:rPr>
          <w:rFonts w:ascii="Century" w:hAnsi="Century" w:cs="Miriam"/>
          <w:b/>
          <w:spacing w:val="0"/>
          <w:szCs w:val="24"/>
          <w:rtl/>
        </w:rPr>
      </w:pPr>
      <w:r w:rsidRPr="008636A7">
        <w:rPr>
          <w:rFonts w:ascii="Century" w:hAnsi="Century" w:cs="Miriam" w:hint="cs"/>
          <w:b/>
          <w:spacing w:val="0"/>
          <w:szCs w:val="24"/>
          <w:rtl/>
        </w:rPr>
        <w:t>התאמת דיני הנזיקין למצב מלחמתי</w:t>
      </w:r>
    </w:p>
    <w:p w:rsidR="00745AC1" w:rsidRDefault="00745AC1" w:rsidP="00240E22">
      <w:pPr>
        <w:pStyle w:val="Ruller41"/>
        <w:spacing w:line="240" w:lineRule="auto"/>
        <w:rPr>
          <w:rtl/>
        </w:rPr>
      </w:pPr>
    </w:p>
    <w:p w:rsidR="00745AC1" w:rsidRDefault="00745AC1" w:rsidP="00745AC1">
      <w:pPr>
        <w:pStyle w:val="Ruller4"/>
        <w:rPr>
          <w:rtl/>
        </w:rPr>
      </w:pPr>
      <w:r>
        <w:rPr>
          <w:rFonts w:hint="cs"/>
          <w:rtl/>
        </w:rPr>
        <w:t xml:space="preserve">ככלל, דיני הנזיקין נועדו להסדיר את מערכות היחסים שבין הפרטים בחברה, ובין הפרטים למדינה, בעתות שגרה, על הסיכונים המאפיינים עתות אלו. דינים אלו אינם מתאימים לתנאים המיוחדים השוררים בעת פעילות מלחמתית, וממילא אין ביכולתם להסדיר את הסיכונים הייחודים לפעילות מסוג זה. עמד על כך הנשיא </w:t>
      </w:r>
      <w:r w:rsidRPr="000D0E9E">
        <w:rPr>
          <w:rFonts w:ascii="Century" w:hAnsi="Century" w:cs="Miriam" w:hint="cs"/>
          <w:b/>
          <w:spacing w:val="0"/>
          <w:sz w:val="22"/>
          <w:szCs w:val="24"/>
          <w:rtl/>
        </w:rPr>
        <w:t>אהרן ברק</w:t>
      </w:r>
      <w:r w:rsidRPr="000D0E9E">
        <w:rPr>
          <w:rFonts w:hint="cs"/>
          <w:rtl/>
        </w:rPr>
        <w:t xml:space="preserve"> </w:t>
      </w:r>
      <w:r>
        <w:rPr>
          <w:rFonts w:hint="cs"/>
          <w:rtl/>
        </w:rPr>
        <w:t>ב</w:t>
      </w:r>
      <w:r w:rsidRPr="00C0098C">
        <w:rPr>
          <w:rFonts w:hint="eastAsia"/>
          <w:rtl/>
        </w:rPr>
        <w:t>ע</w:t>
      </w:r>
      <w:r w:rsidRPr="00C0098C">
        <w:rPr>
          <w:rtl/>
        </w:rPr>
        <w:t>"</w:t>
      </w:r>
      <w:r w:rsidRPr="00C0098C">
        <w:rPr>
          <w:rFonts w:hint="eastAsia"/>
          <w:rtl/>
        </w:rPr>
        <w:t>א</w:t>
      </w:r>
      <w:r w:rsidRPr="00C0098C">
        <w:rPr>
          <w:rtl/>
        </w:rPr>
        <w:t xml:space="preserve"> 5964</w:t>
      </w:r>
      <w:r>
        <w:rPr>
          <w:rFonts w:hint="cs"/>
          <w:rtl/>
        </w:rPr>
        <w:t>/</w:t>
      </w:r>
      <w:r w:rsidRPr="00C0098C">
        <w:rPr>
          <w:rtl/>
        </w:rPr>
        <w:t xml:space="preserve">92 </w:t>
      </w:r>
      <w:r w:rsidRPr="008636A7">
        <w:rPr>
          <w:rFonts w:ascii="Century" w:hAnsi="Century" w:cs="Miriam" w:hint="eastAsia"/>
          <w:b/>
          <w:spacing w:val="0"/>
          <w:sz w:val="22"/>
          <w:szCs w:val="24"/>
          <w:rtl/>
        </w:rPr>
        <w:t>בני</w:t>
      </w:r>
      <w:r w:rsidRPr="008636A7">
        <w:rPr>
          <w:rFonts w:ascii="Century" w:hAnsi="Century" w:cs="Miriam"/>
          <w:b/>
          <w:spacing w:val="0"/>
          <w:sz w:val="22"/>
          <w:szCs w:val="24"/>
          <w:rtl/>
        </w:rPr>
        <w:t xml:space="preserve"> </w:t>
      </w:r>
      <w:r w:rsidRPr="008636A7">
        <w:rPr>
          <w:rFonts w:ascii="Century" w:hAnsi="Century" w:cs="Miriam" w:hint="eastAsia"/>
          <w:b/>
          <w:spacing w:val="0"/>
          <w:sz w:val="22"/>
          <w:szCs w:val="24"/>
          <w:rtl/>
        </w:rPr>
        <w:t>עודה</w:t>
      </w:r>
      <w:r w:rsidRPr="008636A7">
        <w:rPr>
          <w:rFonts w:ascii="Century" w:hAnsi="Century" w:cs="Miriam"/>
          <w:b/>
          <w:spacing w:val="0"/>
          <w:sz w:val="22"/>
          <w:szCs w:val="24"/>
          <w:rtl/>
        </w:rPr>
        <w:t xml:space="preserve"> </w:t>
      </w:r>
      <w:r w:rsidRPr="008636A7">
        <w:rPr>
          <w:rFonts w:ascii="Century" w:hAnsi="Century" w:cs="Miriam" w:hint="eastAsia"/>
          <w:b/>
          <w:spacing w:val="0"/>
          <w:sz w:val="22"/>
          <w:szCs w:val="24"/>
          <w:rtl/>
        </w:rPr>
        <w:t>נ</w:t>
      </w:r>
      <w:r w:rsidRPr="008636A7">
        <w:rPr>
          <w:rFonts w:ascii="Century" w:hAnsi="Century" w:cs="Miriam"/>
          <w:b/>
          <w:spacing w:val="0"/>
          <w:sz w:val="22"/>
          <w:szCs w:val="24"/>
          <w:rtl/>
        </w:rPr>
        <w:t xml:space="preserve">' </w:t>
      </w:r>
      <w:r w:rsidRPr="008636A7">
        <w:rPr>
          <w:rFonts w:ascii="Century" w:hAnsi="Century" w:cs="Miriam" w:hint="eastAsia"/>
          <w:b/>
          <w:spacing w:val="0"/>
          <w:sz w:val="22"/>
          <w:szCs w:val="24"/>
          <w:rtl/>
        </w:rPr>
        <w:t>מדינת</w:t>
      </w:r>
      <w:r w:rsidRPr="008636A7">
        <w:rPr>
          <w:rFonts w:ascii="Century" w:hAnsi="Century" w:cs="Miriam"/>
          <w:b/>
          <w:spacing w:val="0"/>
          <w:sz w:val="22"/>
          <w:szCs w:val="24"/>
          <w:rtl/>
        </w:rPr>
        <w:t xml:space="preserve"> </w:t>
      </w:r>
      <w:r w:rsidRPr="008636A7">
        <w:rPr>
          <w:rFonts w:ascii="Century" w:hAnsi="Century" w:cs="Miriam" w:hint="eastAsia"/>
          <w:b/>
          <w:spacing w:val="0"/>
          <w:sz w:val="22"/>
          <w:szCs w:val="24"/>
          <w:rtl/>
        </w:rPr>
        <w:t>ישראל</w:t>
      </w:r>
      <w:r w:rsidRPr="00C0098C">
        <w:rPr>
          <w:rtl/>
        </w:rPr>
        <w:t xml:space="preserve">, </w:t>
      </w:r>
      <w:r w:rsidRPr="00C0098C">
        <w:rPr>
          <w:rFonts w:hint="eastAsia"/>
          <w:rtl/>
        </w:rPr>
        <w:t>פ</w:t>
      </w:r>
      <w:r w:rsidRPr="00C0098C">
        <w:rPr>
          <w:rtl/>
        </w:rPr>
        <w:t>"</w:t>
      </w:r>
      <w:r w:rsidRPr="00C0098C">
        <w:rPr>
          <w:rFonts w:hint="eastAsia"/>
          <w:rtl/>
        </w:rPr>
        <w:t>ד</w:t>
      </w:r>
      <w:r w:rsidRPr="00C0098C">
        <w:rPr>
          <w:rtl/>
        </w:rPr>
        <w:t xml:space="preserve"> </w:t>
      </w:r>
      <w:r w:rsidRPr="00C0098C">
        <w:rPr>
          <w:rFonts w:hint="eastAsia"/>
          <w:rtl/>
        </w:rPr>
        <w:t>נו</w:t>
      </w:r>
      <w:r w:rsidRPr="00C0098C">
        <w:rPr>
          <w:rtl/>
        </w:rPr>
        <w:t>(4) 1</w:t>
      </w:r>
      <w:r>
        <w:rPr>
          <w:rFonts w:hint="cs"/>
          <w:rtl/>
        </w:rPr>
        <w:t>, 7-6 (2002))</w:t>
      </w:r>
      <w:r>
        <w:t>:</w:t>
      </w:r>
    </w:p>
    <w:p w:rsidR="00745AC1" w:rsidRDefault="00745AC1" w:rsidP="00745AC1">
      <w:pPr>
        <w:pStyle w:val="Ruller5"/>
        <w:rPr>
          <w:rtl/>
        </w:rPr>
      </w:pPr>
    </w:p>
    <w:p w:rsidR="00745AC1" w:rsidRPr="00AC2672" w:rsidRDefault="00745AC1" w:rsidP="00745AC1">
      <w:pPr>
        <w:pStyle w:val="Ruller5"/>
        <w:rPr>
          <w:rtl/>
        </w:rPr>
      </w:pPr>
      <w:r w:rsidRPr="00DD11EF">
        <w:rPr>
          <w:rFonts w:hint="cs"/>
          <w:rtl/>
        </w:rPr>
        <w:t xml:space="preserve">פעולות מלחמתיות הגורמות נזק לפרט, אינן צריכות להיות מוכרעות על ידי דיני הנזיקין הרגילים. הטעם לכך הוא כי פעולות מלחמתיות יוצרות סיכונים מיוחדים אשר הטיפול בהם צריך להיות מחוץ לגדריה של האחריות הנזיקית הרגילה. ... פעולות מלחמתיות יוצרות, מעצם טיבן וטבען סיכונים, אשר מערכת הדינים ה'שיגרתית' לא נועדה להתמודד עמם. המטרות המונחות ביסוד דיני </w:t>
      </w:r>
      <w:r w:rsidRPr="00AC2672">
        <w:rPr>
          <w:rFonts w:hint="cs"/>
          <w:rtl/>
        </w:rPr>
        <w:t>הנזיקין הרגילים, אינן חלות כאשר הנזק נובע מפעולה מלחמתית שהמדינה מנהלת כנגד אויביה</w:t>
      </w:r>
      <w:r>
        <w:rPr>
          <w:rFonts w:hint="cs"/>
          <w:rtl/>
        </w:rPr>
        <w:t>.</w:t>
      </w:r>
    </w:p>
    <w:p w:rsidR="00745AC1" w:rsidRPr="00AC2672" w:rsidRDefault="00745AC1" w:rsidP="00240E22">
      <w:pPr>
        <w:pStyle w:val="Ruller41"/>
        <w:rPr>
          <w:rtl/>
        </w:rPr>
      </w:pPr>
    </w:p>
    <w:p w:rsidR="00745AC1" w:rsidRPr="00AC2672" w:rsidRDefault="00745AC1" w:rsidP="00745AC1">
      <w:pPr>
        <w:pStyle w:val="Ruller4"/>
        <w:numPr>
          <w:ilvl w:val="0"/>
          <w:numId w:val="0"/>
        </w:numPr>
        <w:rPr>
          <w:rtl/>
        </w:rPr>
      </w:pPr>
      <w:r>
        <w:rPr>
          <w:rtl/>
        </w:rPr>
        <w:tab/>
      </w:r>
      <w:r w:rsidRPr="00AC2672">
        <w:rPr>
          <w:rFonts w:hint="cs"/>
          <w:rtl/>
        </w:rPr>
        <w:t xml:space="preserve">(כן ראו: </w:t>
      </w:r>
      <w:r w:rsidRPr="008D63AC">
        <w:rPr>
          <w:rFonts w:hint="eastAsia"/>
          <w:rtl/>
        </w:rPr>
        <w:t>ע</w:t>
      </w:r>
      <w:r w:rsidRPr="008D63AC">
        <w:rPr>
          <w:rtl/>
        </w:rPr>
        <w:t>"</w:t>
      </w:r>
      <w:r w:rsidRPr="008D63AC">
        <w:rPr>
          <w:rFonts w:hint="eastAsia"/>
          <w:rtl/>
        </w:rPr>
        <w:t>א</w:t>
      </w:r>
      <w:r w:rsidRPr="008D63AC">
        <w:rPr>
          <w:rtl/>
        </w:rPr>
        <w:t xml:space="preserve"> 4112/09 </w:t>
      </w:r>
      <w:r w:rsidRPr="009B6D6A">
        <w:rPr>
          <w:rFonts w:ascii="Century" w:hAnsi="Century" w:cs="Miriam" w:hint="eastAsia"/>
          <w:b/>
          <w:spacing w:val="0"/>
          <w:sz w:val="22"/>
          <w:szCs w:val="24"/>
          <w:rtl/>
        </w:rPr>
        <w:t>זגייר</w:t>
      </w:r>
      <w:r w:rsidRPr="009B6D6A">
        <w:rPr>
          <w:rFonts w:ascii="Century" w:hAnsi="Century" w:cs="Miriam"/>
          <w:b/>
          <w:spacing w:val="0"/>
          <w:sz w:val="22"/>
          <w:szCs w:val="24"/>
          <w:rtl/>
        </w:rPr>
        <w:t xml:space="preserve"> </w:t>
      </w:r>
      <w:r w:rsidRPr="009B6D6A">
        <w:rPr>
          <w:rFonts w:ascii="Century" w:hAnsi="Century" w:cs="Miriam" w:hint="eastAsia"/>
          <w:b/>
          <w:spacing w:val="0"/>
          <w:sz w:val="22"/>
          <w:szCs w:val="24"/>
          <w:rtl/>
        </w:rPr>
        <w:t>נ</w:t>
      </w:r>
      <w:r w:rsidRPr="009B6D6A">
        <w:rPr>
          <w:rFonts w:ascii="Century" w:hAnsi="Century" w:cs="Miriam"/>
          <w:b/>
          <w:spacing w:val="0"/>
          <w:sz w:val="22"/>
          <w:szCs w:val="24"/>
          <w:rtl/>
        </w:rPr>
        <w:t xml:space="preserve">' </w:t>
      </w:r>
      <w:r w:rsidRPr="009B6D6A">
        <w:rPr>
          <w:rFonts w:ascii="Century" w:hAnsi="Century" w:cs="Miriam" w:hint="eastAsia"/>
          <w:b/>
          <w:spacing w:val="0"/>
          <w:sz w:val="22"/>
          <w:szCs w:val="24"/>
          <w:rtl/>
        </w:rPr>
        <w:t>המפקד</w:t>
      </w:r>
      <w:r w:rsidRPr="009B6D6A">
        <w:rPr>
          <w:rFonts w:ascii="Century" w:hAnsi="Century" w:cs="Miriam"/>
          <w:b/>
          <w:spacing w:val="0"/>
          <w:sz w:val="22"/>
          <w:szCs w:val="24"/>
          <w:rtl/>
        </w:rPr>
        <w:t xml:space="preserve"> </w:t>
      </w:r>
      <w:r w:rsidRPr="009B6D6A">
        <w:rPr>
          <w:rFonts w:ascii="Century" w:hAnsi="Century" w:cs="Miriam" w:hint="eastAsia"/>
          <w:b/>
          <w:spacing w:val="0"/>
          <w:sz w:val="22"/>
          <w:szCs w:val="24"/>
          <w:rtl/>
        </w:rPr>
        <w:t>הצבאי</w:t>
      </w:r>
      <w:r w:rsidRPr="009B6D6A">
        <w:rPr>
          <w:rFonts w:ascii="Century" w:hAnsi="Century" w:cs="Miriam"/>
          <w:b/>
          <w:spacing w:val="0"/>
          <w:sz w:val="22"/>
          <w:szCs w:val="24"/>
          <w:rtl/>
        </w:rPr>
        <w:t xml:space="preserve"> </w:t>
      </w:r>
      <w:r w:rsidRPr="009B6D6A">
        <w:rPr>
          <w:rFonts w:ascii="Century" w:hAnsi="Century" w:cs="Miriam" w:hint="eastAsia"/>
          <w:b/>
          <w:spacing w:val="0"/>
          <w:sz w:val="22"/>
          <w:szCs w:val="24"/>
          <w:rtl/>
        </w:rPr>
        <w:t>באיזור</w:t>
      </w:r>
      <w:r w:rsidRPr="009B6D6A">
        <w:rPr>
          <w:rFonts w:ascii="Century" w:hAnsi="Century" w:cs="Miriam"/>
          <w:b/>
          <w:spacing w:val="0"/>
          <w:sz w:val="22"/>
          <w:szCs w:val="24"/>
          <w:rtl/>
        </w:rPr>
        <w:t xml:space="preserve"> </w:t>
      </w:r>
      <w:r w:rsidRPr="009B6D6A">
        <w:rPr>
          <w:rFonts w:ascii="Century" w:hAnsi="Century" w:cs="Miriam" w:hint="eastAsia"/>
          <w:b/>
          <w:spacing w:val="0"/>
          <w:sz w:val="22"/>
          <w:szCs w:val="24"/>
          <w:rtl/>
        </w:rPr>
        <w:t>יהודה</w:t>
      </w:r>
      <w:r w:rsidRPr="009B6D6A">
        <w:rPr>
          <w:rFonts w:ascii="Century" w:hAnsi="Century" w:cs="Miriam"/>
          <w:b/>
          <w:spacing w:val="0"/>
          <w:sz w:val="22"/>
          <w:szCs w:val="24"/>
          <w:rtl/>
        </w:rPr>
        <w:t xml:space="preserve"> </w:t>
      </w:r>
      <w:r w:rsidRPr="009B6D6A">
        <w:rPr>
          <w:rFonts w:ascii="Century" w:hAnsi="Century" w:cs="Miriam" w:hint="eastAsia"/>
          <w:b/>
          <w:spacing w:val="0"/>
          <w:sz w:val="22"/>
          <w:szCs w:val="24"/>
          <w:rtl/>
        </w:rPr>
        <w:t>ושומרון</w:t>
      </w:r>
      <w:r w:rsidRPr="008D63AC">
        <w:rPr>
          <w:rtl/>
        </w:rPr>
        <w:t xml:space="preserve">, </w:t>
      </w:r>
      <w:r w:rsidRPr="008D63AC">
        <w:rPr>
          <w:rFonts w:hint="eastAsia"/>
          <w:rtl/>
        </w:rPr>
        <w:t>פסקה</w:t>
      </w:r>
      <w:r w:rsidRPr="008D63AC">
        <w:rPr>
          <w:rtl/>
        </w:rPr>
        <w:t xml:space="preserve"> 8 </w:t>
      </w:r>
      <w:r>
        <w:rPr>
          <w:rtl/>
        </w:rPr>
        <w:t>(3.1.2012)</w:t>
      </w:r>
      <w:r w:rsidRPr="008D63AC">
        <w:rPr>
          <w:rtl/>
        </w:rPr>
        <w:t xml:space="preserve">; </w:t>
      </w:r>
      <w:r w:rsidRPr="008D63AC">
        <w:rPr>
          <w:rFonts w:hint="eastAsia"/>
          <w:rtl/>
        </w:rPr>
        <w:t>רע</w:t>
      </w:r>
      <w:r w:rsidRPr="008D63AC">
        <w:rPr>
          <w:rtl/>
        </w:rPr>
        <w:t>"</w:t>
      </w:r>
      <w:r w:rsidRPr="008D63AC">
        <w:rPr>
          <w:rFonts w:hint="eastAsia"/>
          <w:rtl/>
        </w:rPr>
        <w:t>א</w:t>
      </w:r>
      <w:r w:rsidRPr="008D63AC">
        <w:rPr>
          <w:rtl/>
        </w:rPr>
        <w:t xml:space="preserve"> 3866/07 </w:t>
      </w:r>
      <w:r w:rsidRPr="009B6D6A">
        <w:rPr>
          <w:rFonts w:ascii="Century" w:hAnsi="Century" w:cs="Miriam" w:hint="eastAsia"/>
          <w:b/>
          <w:spacing w:val="0"/>
          <w:sz w:val="22"/>
          <w:szCs w:val="24"/>
          <w:rtl/>
        </w:rPr>
        <w:t>מדינת</w:t>
      </w:r>
      <w:r w:rsidRPr="009B6D6A">
        <w:rPr>
          <w:rFonts w:ascii="Century" w:hAnsi="Century" w:cs="Miriam"/>
          <w:b/>
          <w:spacing w:val="0"/>
          <w:sz w:val="22"/>
          <w:szCs w:val="24"/>
          <w:rtl/>
        </w:rPr>
        <w:t xml:space="preserve"> </w:t>
      </w:r>
      <w:r w:rsidRPr="009B6D6A">
        <w:rPr>
          <w:rFonts w:ascii="Century" w:hAnsi="Century" w:cs="Miriam" w:hint="eastAsia"/>
          <w:b/>
          <w:spacing w:val="0"/>
          <w:sz w:val="22"/>
          <w:szCs w:val="24"/>
          <w:rtl/>
        </w:rPr>
        <w:t>ישראל</w:t>
      </w:r>
      <w:r w:rsidRPr="009B6D6A">
        <w:rPr>
          <w:rFonts w:ascii="Century" w:hAnsi="Century" w:cs="Miriam"/>
          <w:b/>
          <w:spacing w:val="0"/>
          <w:sz w:val="22"/>
          <w:szCs w:val="24"/>
          <w:rtl/>
        </w:rPr>
        <w:t xml:space="preserve"> </w:t>
      </w:r>
      <w:r w:rsidRPr="009B6D6A">
        <w:rPr>
          <w:rFonts w:ascii="Century" w:hAnsi="Century" w:cs="Miriam" w:hint="eastAsia"/>
          <w:b/>
          <w:spacing w:val="0"/>
          <w:sz w:val="22"/>
          <w:szCs w:val="24"/>
          <w:rtl/>
        </w:rPr>
        <w:t>נ</w:t>
      </w:r>
      <w:r w:rsidRPr="009B6D6A">
        <w:rPr>
          <w:rFonts w:ascii="Century" w:hAnsi="Century" w:cs="Miriam"/>
          <w:b/>
          <w:spacing w:val="0"/>
          <w:sz w:val="22"/>
          <w:szCs w:val="24"/>
          <w:rtl/>
        </w:rPr>
        <w:t xml:space="preserve">' </w:t>
      </w:r>
      <w:r w:rsidRPr="009B6D6A">
        <w:rPr>
          <w:rFonts w:ascii="Century" w:hAnsi="Century" w:cs="Miriam" w:hint="eastAsia"/>
          <w:b/>
          <w:spacing w:val="0"/>
          <w:sz w:val="22"/>
          <w:szCs w:val="24"/>
          <w:rtl/>
        </w:rPr>
        <w:t>אלמקוסי</w:t>
      </w:r>
      <w:r w:rsidRPr="008D63AC">
        <w:rPr>
          <w:rtl/>
        </w:rPr>
        <w:t xml:space="preserve">, </w:t>
      </w:r>
      <w:r w:rsidRPr="008D63AC">
        <w:rPr>
          <w:rFonts w:hint="eastAsia"/>
          <w:rtl/>
        </w:rPr>
        <w:t>פסקה</w:t>
      </w:r>
      <w:r w:rsidRPr="008D63AC">
        <w:rPr>
          <w:rtl/>
        </w:rPr>
        <w:t xml:space="preserve"> 15 (21.3.2012)</w:t>
      </w:r>
      <w:r>
        <w:rPr>
          <w:rFonts w:hint="cs"/>
          <w:rtl/>
        </w:rPr>
        <w:t xml:space="preserve">; </w:t>
      </w:r>
      <w:r w:rsidRPr="00CB4880">
        <w:rPr>
          <w:rFonts w:hint="eastAsia"/>
          <w:rtl/>
        </w:rPr>
        <w:t>ע</w:t>
      </w:r>
      <w:r w:rsidRPr="00CB4880">
        <w:rPr>
          <w:rtl/>
        </w:rPr>
        <w:t>"</w:t>
      </w:r>
      <w:r w:rsidRPr="00CB4880">
        <w:rPr>
          <w:rFonts w:hint="eastAsia"/>
          <w:rtl/>
        </w:rPr>
        <w:t>א</w:t>
      </w:r>
      <w:r w:rsidRPr="00CB4880">
        <w:rPr>
          <w:rtl/>
        </w:rPr>
        <w:t xml:space="preserve"> 1459</w:t>
      </w:r>
      <w:r>
        <w:rPr>
          <w:rFonts w:hint="cs"/>
          <w:rtl/>
        </w:rPr>
        <w:t>/</w:t>
      </w:r>
      <w:r w:rsidRPr="00CB4880">
        <w:rPr>
          <w:rtl/>
        </w:rPr>
        <w:t xml:space="preserve">11 </w:t>
      </w:r>
      <w:r w:rsidRPr="006A0051">
        <w:rPr>
          <w:rFonts w:ascii="Century" w:hAnsi="Century" w:cs="Miriam" w:hint="eastAsia"/>
          <w:b/>
          <w:spacing w:val="0"/>
          <w:sz w:val="22"/>
          <w:szCs w:val="24"/>
          <w:rtl/>
        </w:rPr>
        <w:t>עזבון</w:t>
      </w:r>
      <w:r w:rsidRPr="006A0051">
        <w:rPr>
          <w:rFonts w:ascii="Century" w:hAnsi="Century" w:cs="Miriam"/>
          <w:b/>
          <w:spacing w:val="0"/>
          <w:sz w:val="22"/>
          <w:szCs w:val="24"/>
          <w:rtl/>
        </w:rPr>
        <w:t xml:space="preserve"> </w:t>
      </w:r>
      <w:r w:rsidRPr="006A0051">
        <w:rPr>
          <w:rFonts w:ascii="Century" w:hAnsi="Century" w:cs="Miriam" w:hint="eastAsia"/>
          <w:b/>
          <w:spacing w:val="0"/>
          <w:sz w:val="22"/>
          <w:szCs w:val="24"/>
          <w:rtl/>
        </w:rPr>
        <w:t>המנוח</w:t>
      </w:r>
      <w:r w:rsidRPr="006A0051">
        <w:rPr>
          <w:rFonts w:ascii="Century" w:hAnsi="Century" w:cs="Miriam"/>
          <w:b/>
          <w:spacing w:val="0"/>
          <w:sz w:val="22"/>
          <w:szCs w:val="24"/>
          <w:rtl/>
        </w:rPr>
        <w:t xml:space="preserve"> </w:t>
      </w:r>
      <w:r w:rsidRPr="006A0051">
        <w:rPr>
          <w:rFonts w:ascii="Century" w:hAnsi="Century" w:cs="Miriam" w:hint="eastAsia"/>
          <w:b/>
          <w:spacing w:val="0"/>
          <w:sz w:val="22"/>
          <w:szCs w:val="24"/>
          <w:rtl/>
        </w:rPr>
        <w:t>חרדאן</w:t>
      </w:r>
      <w:r w:rsidRPr="006A0051">
        <w:rPr>
          <w:rFonts w:ascii="Century" w:hAnsi="Century" w:cs="Miriam"/>
          <w:b/>
          <w:spacing w:val="0"/>
          <w:sz w:val="22"/>
          <w:szCs w:val="24"/>
          <w:rtl/>
        </w:rPr>
        <w:t xml:space="preserve"> </w:t>
      </w:r>
      <w:r w:rsidRPr="006A0051">
        <w:rPr>
          <w:rFonts w:ascii="Century" w:hAnsi="Century" w:cs="Miriam" w:hint="eastAsia"/>
          <w:b/>
          <w:spacing w:val="0"/>
          <w:sz w:val="22"/>
          <w:szCs w:val="24"/>
          <w:rtl/>
        </w:rPr>
        <w:t>ז</w:t>
      </w:r>
      <w:r w:rsidRPr="006A0051">
        <w:rPr>
          <w:rFonts w:ascii="Century" w:hAnsi="Century" w:cs="Miriam"/>
          <w:b/>
          <w:spacing w:val="0"/>
          <w:sz w:val="22"/>
          <w:szCs w:val="24"/>
          <w:rtl/>
        </w:rPr>
        <w:t>"</w:t>
      </w:r>
      <w:r w:rsidRPr="006A0051">
        <w:rPr>
          <w:rFonts w:ascii="Century" w:hAnsi="Century" w:cs="Miriam" w:hint="eastAsia"/>
          <w:b/>
          <w:spacing w:val="0"/>
          <w:sz w:val="22"/>
          <w:szCs w:val="24"/>
          <w:rtl/>
        </w:rPr>
        <w:t>ל</w:t>
      </w:r>
      <w:r w:rsidRPr="006A0051">
        <w:rPr>
          <w:rFonts w:ascii="Century" w:hAnsi="Century" w:cs="Miriam"/>
          <w:b/>
          <w:spacing w:val="0"/>
          <w:sz w:val="22"/>
          <w:szCs w:val="24"/>
          <w:rtl/>
        </w:rPr>
        <w:t xml:space="preserve"> </w:t>
      </w:r>
      <w:r w:rsidRPr="006A0051">
        <w:rPr>
          <w:rFonts w:ascii="Century" w:hAnsi="Century" w:cs="Miriam" w:hint="eastAsia"/>
          <w:b/>
          <w:spacing w:val="0"/>
          <w:sz w:val="22"/>
          <w:szCs w:val="24"/>
          <w:rtl/>
        </w:rPr>
        <w:t>נ</w:t>
      </w:r>
      <w:r w:rsidRPr="006A0051">
        <w:rPr>
          <w:rFonts w:ascii="Century" w:hAnsi="Century" w:cs="Miriam"/>
          <w:b/>
          <w:spacing w:val="0"/>
          <w:sz w:val="22"/>
          <w:szCs w:val="24"/>
          <w:rtl/>
        </w:rPr>
        <w:t xml:space="preserve">' </w:t>
      </w:r>
      <w:r w:rsidRPr="006A0051">
        <w:rPr>
          <w:rFonts w:ascii="Century" w:hAnsi="Century" w:cs="Miriam" w:hint="eastAsia"/>
          <w:b/>
          <w:spacing w:val="0"/>
          <w:sz w:val="22"/>
          <w:szCs w:val="24"/>
          <w:rtl/>
        </w:rPr>
        <w:t>מדינת</w:t>
      </w:r>
      <w:r w:rsidRPr="006A0051">
        <w:rPr>
          <w:rFonts w:ascii="Century" w:hAnsi="Century" w:cs="Miriam"/>
          <w:b/>
          <w:spacing w:val="0"/>
          <w:sz w:val="22"/>
          <w:szCs w:val="24"/>
          <w:rtl/>
        </w:rPr>
        <w:t xml:space="preserve"> </w:t>
      </w:r>
      <w:r w:rsidRPr="006A0051">
        <w:rPr>
          <w:rFonts w:ascii="Century" w:hAnsi="Century" w:cs="Miriam" w:hint="eastAsia"/>
          <w:b/>
          <w:spacing w:val="0"/>
          <w:sz w:val="22"/>
          <w:szCs w:val="24"/>
          <w:rtl/>
        </w:rPr>
        <w:t>ישראל</w:t>
      </w:r>
      <w:r w:rsidRPr="00CB4880">
        <w:rPr>
          <w:rtl/>
        </w:rPr>
        <w:t xml:space="preserve">, </w:t>
      </w:r>
      <w:r w:rsidRPr="006A0051">
        <w:rPr>
          <w:rFonts w:ascii="Century" w:hAnsi="Century" w:cs="Miriam" w:hint="eastAsia"/>
          <w:b/>
          <w:spacing w:val="0"/>
          <w:sz w:val="22"/>
          <w:szCs w:val="24"/>
          <w:rtl/>
        </w:rPr>
        <w:t>משרד</w:t>
      </w:r>
      <w:r w:rsidRPr="006A0051">
        <w:rPr>
          <w:rFonts w:ascii="Century" w:hAnsi="Century" w:cs="Miriam"/>
          <w:b/>
          <w:spacing w:val="0"/>
          <w:sz w:val="22"/>
          <w:szCs w:val="24"/>
          <w:rtl/>
        </w:rPr>
        <w:t xml:space="preserve"> </w:t>
      </w:r>
      <w:r w:rsidRPr="006A0051">
        <w:rPr>
          <w:rFonts w:ascii="Century" w:hAnsi="Century" w:cs="Miriam" w:hint="eastAsia"/>
          <w:b/>
          <w:spacing w:val="0"/>
          <w:sz w:val="22"/>
          <w:szCs w:val="24"/>
          <w:rtl/>
        </w:rPr>
        <w:t>הביטחון</w:t>
      </w:r>
      <w:r>
        <w:rPr>
          <w:rFonts w:hint="cs"/>
          <w:rtl/>
        </w:rPr>
        <w:t xml:space="preserve">, פסקה 14 (16.6.2013) (להלן: </w:t>
      </w:r>
      <w:r w:rsidRPr="00CA5638">
        <w:rPr>
          <w:rFonts w:ascii="Century" w:hAnsi="Century" w:cs="Miriam" w:hint="cs"/>
          <w:b/>
          <w:spacing w:val="0"/>
          <w:sz w:val="22"/>
          <w:szCs w:val="24"/>
          <w:rtl/>
        </w:rPr>
        <w:t>עניין חרדאן</w:t>
      </w:r>
      <w:r>
        <w:rPr>
          <w:rFonts w:hint="cs"/>
          <w:rtl/>
        </w:rPr>
        <w:t>)).</w:t>
      </w:r>
    </w:p>
    <w:p w:rsidR="00745AC1" w:rsidRPr="00AC2672" w:rsidRDefault="00745AC1" w:rsidP="00240E22">
      <w:pPr>
        <w:pStyle w:val="Ruller41"/>
        <w:spacing w:line="240" w:lineRule="auto"/>
      </w:pPr>
    </w:p>
    <w:p w:rsidR="00745AC1" w:rsidRPr="00072A33" w:rsidRDefault="00745AC1" w:rsidP="00326F04">
      <w:pPr>
        <w:pStyle w:val="Ruller4"/>
        <w:rPr>
          <w:color w:val="FF0000"/>
          <w:rtl/>
        </w:rPr>
      </w:pPr>
      <w:r>
        <w:rPr>
          <w:rFonts w:hint="cs"/>
          <w:rtl/>
        </w:rPr>
        <w:t>ואכן, ההצדקות אשר עומדות בבסיס דיני הנזיקין אינן מתקיימות בהכרח כאשר עסקינן בפעולה מלחמתית. כך, על פי התפיסה המקובלת, אחת מהתכליות המרכזיות של דיני הנזיקין היא לייצר הרתעה אשר תתמרץ אקס אנטה מזיקים פוטנציאליים לנקוט באמצעי זהירות סבירים על מנת למנוע נזק אפשרי לניזוק (</w:t>
      </w:r>
      <w:r w:rsidRPr="004D3EA9">
        <w:rPr>
          <w:rFonts w:hint="eastAsia"/>
          <w:rtl/>
        </w:rPr>
        <w:t>ע</w:t>
      </w:r>
      <w:r w:rsidRPr="004D3EA9">
        <w:rPr>
          <w:rtl/>
        </w:rPr>
        <w:t>"</w:t>
      </w:r>
      <w:r w:rsidRPr="004D3EA9">
        <w:rPr>
          <w:rFonts w:hint="eastAsia"/>
          <w:rtl/>
        </w:rPr>
        <w:t>א</w:t>
      </w:r>
      <w:r w:rsidRPr="004D3EA9">
        <w:rPr>
          <w:rtl/>
        </w:rPr>
        <w:t xml:space="preserve"> 140</w:t>
      </w:r>
      <w:r>
        <w:rPr>
          <w:rFonts w:hint="cs"/>
          <w:rtl/>
        </w:rPr>
        <w:t>/</w:t>
      </w:r>
      <w:r w:rsidRPr="004D3EA9">
        <w:rPr>
          <w:rtl/>
        </w:rPr>
        <w:t xml:space="preserve">00 </w:t>
      </w:r>
      <w:r w:rsidRPr="00072A33">
        <w:rPr>
          <w:rFonts w:ascii="Century" w:hAnsi="Century" w:cs="Miriam" w:hint="eastAsia"/>
          <w:b/>
          <w:spacing w:val="0"/>
          <w:sz w:val="22"/>
          <w:szCs w:val="24"/>
          <w:rtl/>
        </w:rPr>
        <w:t>עיזבון</w:t>
      </w:r>
      <w:r w:rsidRPr="00072A33">
        <w:rPr>
          <w:rFonts w:ascii="Century" w:hAnsi="Century" w:cs="Miriam"/>
          <w:b/>
          <w:spacing w:val="0"/>
          <w:sz w:val="22"/>
          <w:szCs w:val="24"/>
          <w:rtl/>
        </w:rPr>
        <w:t xml:space="preserve"> </w:t>
      </w:r>
      <w:r w:rsidRPr="00072A33">
        <w:rPr>
          <w:rFonts w:ascii="Century" w:hAnsi="Century" w:cs="Miriam" w:hint="eastAsia"/>
          <w:b/>
          <w:spacing w:val="0"/>
          <w:sz w:val="22"/>
          <w:szCs w:val="24"/>
          <w:rtl/>
        </w:rPr>
        <w:t>המנוח</w:t>
      </w:r>
      <w:r w:rsidRPr="00072A33">
        <w:rPr>
          <w:rFonts w:ascii="Century" w:hAnsi="Century" w:cs="Miriam"/>
          <w:b/>
          <w:spacing w:val="0"/>
          <w:sz w:val="22"/>
          <w:szCs w:val="24"/>
          <w:rtl/>
        </w:rPr>
        <w:t xml:space="preserve"> </w:t>
      </w:r>
      <w:r w:rsidRPr="00072A33">
        <w:rPr>
          <w:rFonts w:ascii="Century" w:hAnsi="Century" w:cs="Miriam" w:hint="eastAsia"/>
          <w:b/>
          <w:spacing w:val="0"/>
          <w:sz w:val="22"/>
          <w:szCs w:val="24"/>
          <w:rtl/>
        </w:rPr>
        <w:t>אטינגר</w:t>
      </w:r>
      <w:r w:rsidRPr="00072A33">
        <w:rPr>
          <w:rFonts w:ascii="Century" w:hAnsi="Century" w:cs="Miriam"/>
          <w:b/>
          <w:spacing w:val="0"/>
          <w:sz w:val="22"/>
          <w:szCs w:val="24"/>
          <w:rtl/>
        </w:rPr>
        <w:t xml:space="preserve"> </w:t>
      </w:r>
      <w:r w:rsidRPr="00072A33">
        <w:rPr>
          <w:rFonts w:ascii="Century" w:hAnsi="Century" w:cs="Miriam" w:hint="eastAsia"/>
          <w:b/>
          <w:spacing w:val="0"/>
          <w:sz w:val="22"/>
          <w:szCs w:val="24"/>
          <w:rtl/>
        </w:rPr>
        <w:t>ז</w:t>
      </w:r>
      <w:r w:rsidRPr="00072A33">
        <w:rPr>
          <w:rFonts w:ascii="Century" w:hAnsi="Century" w:cs="Miriam"/>
          <w:b/>
          <w:spacing w:val="0"/>
          <w:sz w:val="22"/>
          <w:szCs w:val="24"/>
          <w:rtl/>
        </w:rPr>
        <w:t>"</w:t>
      </w:r>
      <w:r w:rsidRPr="00072A33">
        <w:rPr>
          <w:rFonts w:ascii="Century" w:hAnsi="Century" w:cs="Miriam" w:hint="eastAsia"/>
          <w:b/>
          <w:spacing w:val="0"/>
          <w:sz w:val="22"/>
          <w:szCs w:val="24"/>
          <w:rtl/>
        </w:rPr>
        <w:t>ל</w:t>
      </w:r>
      <w:r w:rsidRPr="00072A33">
        <w:rPr>
          <w:rFonts w:ascii="Century" w:hAnsi="Century" w:cs="Miriam"/>
          <w:b/>
          <w:spacing w:val="0"/>
          <w:sz w:val="22"/>
          <w:szCs w:val="24"/>
          <w:rtl/>
        </w:rPr>
        <w:t xml:space="preserve"> </w:t>
      </w:r>
      <w:r w:rsidRPr="00072A33">
        <w:rPr>
          <w:rFonts w:ascii="Century" w:hAnsi="Century" w:cs="Miriam" w:hint="eastAsia"/>
          <w:b/>
          <w:spacing w:val="0"/>
          <w:sz w:val="22"/>
          <w:szCs w:val="24"/>
          <w:rtl/>
        </w:rPr>
        <w:t>נ</w:t>
      </w:r>
      <w:r w:rsidRPr="00072A33">
        <w:rPr>
          <w:rFonts w:ascii="Century" w:hAnsi="Century" w:cs="Miriam"/>
          <w:b/>
          <w:spacing w:val="0"/>
          <w:sz w:val="22"/>
          <w:szCs w:val="24"/>
          <w:rtl/>
        </w:rPr>
        <w:t xml:space="preserve">' </w:t>
      </w:r>
      <w:r w:rsidRPr="00072A33">
        <w:rPr>
          <w:rFonts w:ascii="Century" w:hAnsi="Century" w:cs="Miriam" w:hint="eastAsia"/>
          <w:b/>
          <w:spacing w:val="0"/>
          <w:sz w:val="22"/>
          <w:szCs w:val="24"/>
          <w:rtl/>
        </w:rPr>
        <w:t>החברה</w:t>
      </w:r>
      <w:r w:rsidRPr="00072A33">
        <w:rPr>
          <w:rFonts w:ascii="Century" w:hAnsi="Century" w:cs="Miriam"/>
          <w:b/>
          <w:spacing w:val="0"/>
          <w:sz w:val="22"/>
          <w:szCs w:val="24"/>
          <w:rtl/>
        </w:rPr>
        <w:t xml:space="preserve"> </w:t>
      </w:r>
      <w:r w:rsidRPr="00072A33">
        <w:rPr>
          <w:rFonts w:ascii="Century" w:hAnsi="Century" w:cs="Miriam" w:hint="eastAsia"/>
          <w:b/>
          <w:spacing w:val="0"/>
          <w:sz w:val="22"/>
          <w:szCs w:val="24"/>
          <w:rtl/>
        </w:rPr>
        <w:t>לשיקום</w:t>
      </w:r>
      <w:r w:rsidRPr="00072A33">
        <w:rPr>
          <w:rFonts w:ascii="Century" w:hAnsi="Century" w:cs="Miriam"/>
          <w:b/>
          <w:spacing w:val="0"/>
          <w:sz w:val="22"/>
          <w:szCs w:val="24"/>
          <w:rtl/>
        </w:rPr>
        <w:t xml:space="preserve"> </w:t>
      </w:r>
      <w:r w:rsidRPr="00072A33">
        <w:rPr>
          <w:rFonts w:ascii="Century" w:hAnsi="Century" w:cs="Miriam" w:hint="eastAsia"/>
          <w:b/>
          <w:spacing w:val="0"/>
          <w:sz w:val="22"/>
          <w:szCs w:val="24"/>
          <w:rtl/>
        </w:rPr>
        <w:t>ופיתוח</w:t>
      </w:r>
      <w:r w:rsidRPr="00072A33">
        <w:rPr>
          <w:rFonts w:ascii="Century" w:hAnsi="Century" w:cs="Miriam"/>
          <w:b/>
          <w:spacing w:val="0"/>
          <w:sz w:val="22"/>
          <w:szCs w:val="24"/>
          <w:rtl/>
        </w:rPr>
        <w:t xml:space="preserve"> </w:t>
      </w:r>
      <w:r w:rsidRPr="00072A33">
        <w:rPr>
          <w:rFonts w:ascii="Century" w:hAnsi="Century" w:cs="Miriam" w:hint="eastAsia"/>
          <w:b/>
          <w:spacing w:val="0"/>
          <w:sz w:val="22"/>
          <w:szCs w:val="24"/>
          <w:rtl/>
        </w:rPr>
        <w:t>הרובע</w:t>
      </w:r>
      <w:r w:rsidRPr="00072A33">
        <w:rPr>
          <w:rFonts w:ascii="Century" w:hAnsi="Century" w:cs="Miriam"/>
          <w:b/>
          <w:spacing w:val="0"/>
          <w:sz w:val="22"/>
          <w:szCs w:val="24"/>
          <w:rtl/>
        </w:rPr>
        <w:t xml:space="preserve"> </w:t>
      </w:r>
      <w:r w:rsidRPr="00072A33">
        <w:rPr>
          <w:rFonts w:ascii="Century" w:hAnsi="Century" w:cs="Miriam" w:hint="eastAsia"/>
          <w:b/>
          <w:spacing w:val="0"/>
          <w:sz w:val="22"/>
          <w:szCs w:val="24"/>
          <w:rtl/>
        </w:rPr>
        <w:t>היהודי</w:t>
      </w:r>
      <w:r w:rsidRPr="00072A33">
        <w:rPr>
          <w:rFonts w:ascii="Century" w:hAnsi="Century" w:cs="Miriam"/>
          <w:b/>
          <w:spacing w:val="0"/>
          <w:sz w:val="22"/>
          <w:szCs w:val="24"/>
          <w:rtl/>
        </w:rPr>
        <w:t xml:space="preserve"> </w:t>
      </w:r>
      <w:r w:rsidRPr="00072A33">
        <w:rPr>
          <w:rFonts w:ascii="Century" w:hAnsi="Century" w:cs="Miriam" w:hint="eastAsia"/>
          <w:b/>
          <w:spacing w:val="0"/>
          <w:sz w:val="22"/>
          <w:szCs w:val="24"/>
          <w:rtl/>
        </w:rPr>
        <w:t>בעיר</w:t>
      </w:r>
      <w:r w:rsidRPr="00072A33">
        <w:rPr>
          <w:rFonts w:ascii="Century" w:hAnsi="Century" w:cs="Miriam"/>
          <w:b/>
          <w:spacing w:val="0"/>
          <w:sz w:val="22"/>
          <w:szCs w:val="24"/>
          <w:rtl/>
        </w:rPr>
        <w:t xml:space="preserve"> </w:t>
      </w:r>
      <w:r w:rsidRPr="00072A33">
        <w:rPr>
          <w:rFonts w:ascii="Century" w:hAnsi="Century" w:cs="Miriam" w:hint="eastAsia"/>
          <w:b/>
          <w:spacing w:val="0"/>
          <w:sz w:val="22"/>
          <w:szCs w:val="24"/>
          <w:rtl/>
        </w:rPr>
        <w:t>העתיקה</w:t>
      </w:r>
      <w:r w:rsidRPr="00072A33">
        <w:rPr>
          <w:rFonts w:ascii="Century" w:hAnsi="Century" w:cs="Miriam"/>
          <w:b/>
          <w:spacing w:val="0"/>
          <w:sz w:val="22"/>
          <w:szCs w:val="24"/>
          <w:rtl/>
        </w:rPr>
        <w:t xml:space="preserve"> </w:t>
      </w:r>
      <w:r w:rsidRPr="00072A33">
        <w:rPr>
          <w:rFonts w:ascii="Century" w:hAnsi="Century" w:cs="Miriam" w:hint="eastAsia"/>
          <w:b/>
          <w:spacing w:val="0"/>
          <w:sz w:val="22"/>
          <w:szCs w:val="24"/>
          <w:rtl/>
        </w:rPr>
        <w:t>בירושלים</w:t>
      </w:r>
      <w:r w:rsidRPr="00072A33">
        <w:rPr>
          <w:rFonts w:ascii="Century" w:hAnsi="Century" w:cs="Miriam"/>
          <w:b/>
          <w:spacing w:val="0"/>
          <w:sz w:val="22"/>
          <w:szCs w:val="24"/>
          <w:rtl/>
        </w:rPr>
        <w:t xml:space="preserve"> </w:t>
      </w:r>
      <w:r w:rsidRPr="00072A33">
        <w:rPr>
          <w:rFonts w:ascii="Century" w:hAnsi="Century" w:cs="Miriam" w:hint="eastAsia"/>
          <w:b/>
          <w:spacing w:val="0"/>
          <w:sz w:val="22"/>
          <w:szCs w:val="24"/>
          <w:rtl/>
        </w:rPr>
        <w:t>בע</w:t>
      </w:r>
      <w:r w:rsidRPr="00072A33">
        <w:rPr>
          <w:rFonts w:ascii="Century" w:hAnsi="Century" w:cs="Miriam"/>
          <w:b/>
          <w:spacing w:val="0"/>
          <w:sz w:val="22"/>
          <w:szCs w:val="24"/>
          <w:rtl/>
        </w:rPr>
        <w:t>"</w:t>
      </w:r>
      <w:r w:rsidRPr="00072A33">
        <w:rPr>
          <w:rFonts w:ascii="Century" w:hAnsi="Century" w:cs="Miriam" w:hint="eastAsia"/>
          <w:b/>
          <w:spacing w:val="0"/>
          <w:sz w:val="22"/>
          <w:szCs w:val="24"/>
          <w:rtl/>
        </w:rPr>
        <w:t>מ</w:t>
      </w:r>
      <w:r w:rsidRPr="004D3EA9">
        <w:rPr>
          <w:rtl/>
        </w:rPr>
        <w:t xml:space="preserve">, </w:t>
      </w:r>
      <w:r>
        <w:rPr>
          <w:rFonts w:hint="cs"/>
          <w:rtl/>
        </w:rPr>
        <w:t xml:space="preserve">פ"ד </w:t>
      </w:r>
      <w:r w:rsidRPr="004D3EA9">
        <w:rPr>
          <w:rFonts w:hint="eastAsia"/>
          <w:rtl/>
        </w:rPr>
        <w:t>נח</w:t>
      </w:r>
      <w:r w:rsidRPr="004D3EA9">
        <w:rPr>
          <w:rtl/>
        </w:rPr>
        <w:t>(4) 486</w:t>
      </w:r>
      <w:r>
        <w:rPr>
          <w:rFonts w:hint="cs"/>
          <w:rtl/>
        </w:rPr>
        <w:t>, 516-515 (2004);</w:t>
      </w:r>
      <w:r w:rsidRPr="005351B1">
        <w:rPr>
          <w:rFonts w:hint="eastAsia"/>
          <w:rtl/>
        </w:rPr>
        <w:t xml:space="preserve"> ע</w:t>
      </w:r>
      <w:r w:rsidRPr="005351B1">
        <w:rPr>
          <w:rtl/>
        </w:rPr>
        <w:t>"</w:t>
      </w:r>
      <w:r w:rsidRPr="005351B1">
        <w:rPr>
          <w:rFonts w:hint="eastAsia"/>
          <w:rtl/>
        </w:rPr>
        <w:t>א</w:t>
      </w:r>
      <w:r w:rsidRPr="005351B1">
        <w:rPr>
          <w:rtl/>
        </w:rPr>
        <w:t xml:space="preserve"> 10064</w:t>
      </w:r>
      <w:r>
        <w:rPr>
          <w:rFonts w:hint="cs"/>
          <w:rtl/>
        </w:rPr>
        <w:t>/</w:t>
      </w:r>
      <w:r w:rsidRPr="005351B1">
        <w:rPr>
          <w:rtl/>
        </w:rPr>
        <w:t xml:space="preserve">02 </w:t>
      </w:r>
      <w:r w:rsidRPr="00072A33">
        <w:rPr>
          <w:rFonts w:ascii="Century" w:hAnsi="Century" w:cs="Miriam"/>
          <w:b/>
          <w:spacing w:val="0"/>
          <w:sz w:val="22"/>
          <w:szCs w:val="24"/>
          <w:rtl/>
        </w:rPr>
        <w:t>"</w:t>
      </w:r>
      <w:r w:rsidRPr="00072A33">
        <w:rPr>
          <w:rFonts w:ascii="Century" w:hAnsi="Century" w:cs="Miriam" w:hint="eastAsia"/>
          <w:b/>
          <w:spacing w:val="0"/>
          <w:sz w:val="22"/>
          <w:szCs w:val="24"/>
          <w:rtl/>
        </w:rPr>
        <w:t>מגדל</w:t>
      </w:r>
      <w:r w:rsidRPr="00072A33">
        <w:rPr>
          <w:rFonts w:ascii="Century" w:hAnsi="Century" w:cs="Miriam"/>
          <w:b/>
          <w:spacing w:val="0"/>
          <w:sz w:val="22"/>
          <w:szCs w:val="24"/>
          <w:rtl/>
        </w:rPr>
        <w:t xml:space="preserve">" </w:t>
      </w:r>
      <w:r w:rsidRPr="00072A33">
        <w:rPr>
          <w:rFonts w:ascii="Century" w:hAnsi="Century" w:cs="Miriam" w:hint="eastAsia"/>
          <w:b/>
          <w:spacing w:val="0"/>
          <w:sz w:val="22"/>
          <w:szCs w:val="24"/>
          <w:rtl/>
        </w:rPr>
        <w:t>חברה</w:t>
      </w:r>
      <w:r w:rsidRPr="00072A33">
        <w:rPr>
          <w:rFonts w:ascii="Century" w:hAnsi="Century" w:cs="Miriam"/>
          <w:b/>
          <w:spacing w:val="0"/>
          <w:sz w:val="22"/>
          <w:szCs w:val="24"/>
          <w:rtl/>
        </w:rPr>
        <w:t xml:space="preserve"> </w:t>
      </w:r>
      <w:r w:rsidRPr="00072A33">
        <w:rPr>
          <w:rFonts w:ascii="Century" w:hAnsi="Century" w:cs="Miriam" w:hint="eastAsia"/>
          <w:b/>
          <w:spacing w:val="0"/>
          <w:sz w:val="22"/>
          <w:szCs w:val="24"/>
          <w:rtl/>
        </w:rPr>
        <w:t>לביטוח</w:t>
      </w:r>
      <w:r w:rsidRPr="00072A33">
        <w:rPr>
          <w:rFonts w:ascii="Century" w:hAnsi="Century" w:cs="Miriam"/>
          <w:b/>
          <w:spacing w:val="0"/>
          <w:sz w:val="22"/>
          <w:szCs w:val="24"/>
          <w:rtl/>
        </w:rPr>
        <w:t xml:space="preserve"> </w:t>
      </w:r>
      <w:r w:rsidRPr="00072A33">
        <w:rPr>
          <w:rFonts w:ascii="Century" w:hAnsi="Century" w:cs="Miriam" w:hint="eastAsia"/>
          <w:b/>
          <w:spacing w:val="0"/>
          <w:sz w:val="22"/>
          <w:szCs w:val="24"/>
          <w:rtl/>
        </w:rPr>
        <w:t>בע</w:t>
      </w:r>
      <w:r w:rsidRPr="00072A33">
        <w:rPr>
          <w:rFonts w:ascii="Century" w:hAnsi="Century" w:cs="Miriam"/>
          <w:b/>
          <w:spacing w:val="0"/>
          <w:sz w:val="22"/>
          <w:szCs w:val="24"/>
          <w:rtl/>
        </w:rPr>
        <w:t>"</w:t>
      </w:r>
      <w:r w:rsidRPr="00072A33">
        <w:rPr>
          <w:rFonts w:ascii="Century" w:hAnsi="Century" w:cs="Miriam" w:hint="eastAsia"/>
          <w:b/>
          <w:spacing w:val="0"/>
          <w:sz w:val="22"/>
          <w:szCs w:val="24"/>
          <w:rtl/>
        </w:rPr>
        <w:t>מ</w:t>
      </w:r>
      <w:r w:rsidRPr="00072A33">
        <w:rPr>
          <w:rFonts w:ascii="Century" w:hAnsi="Century" w:cs="Miriam"/>
          <w:b/>
          <w:spacing w:val="0"/>
          <w:sz w:val="22"/>
          <w:szCs w:val="24"/>
          <w:rtl/>
        </w:rPr>
        <w:t xml:space="preserve"> </w:t>
      </w:r>
      <w:r w:rsidRPr="00072A33">
        <w:rPr>
          <w:rFonts w:ascii="Century" w:hAnsi="Century" w:cs="Miriam" w:hint="eastAsia"/>
          <w:b/>
          <w:spacing w:val="0"/>
          <w:sz w:val="22"/>
          <w:szCs w:val="24"/>
          <w:rtl/>
        </w:rPr>
        <w:t>נ</w:t>
      </w:r>
      <w:r w:rsidRPr="00072A33">
        <w:rPr>
          <w:rFonts w:ascii="Century" w:hAnsi="Century" w:cs="Miriam"/>
          <w:b/>
          <w:spacing w:val="0"/>
          <w:sz w:val="22"/>
          <w:szCs w:val="24"/>
          <w:rtl/>
        </w:rPr>
        <w:t xml:space="preserve">' </w:t>
      </w:r>
      <w:r w:rsidRPr="00072A33">
        <w:rPr>
          <w:rFonts w:ascii="Century" w:hAnsi="Century" w:cs="Miriam" w:hint="eastAsia"/>
          <w:b/>
          <w:spacing w:val="0"/>
          <w:sz w:val="22"/>
          <w:szCs w:val="24"/>
          <w:rtl/>
        </w:rPr>
        <w:t>אבו</w:t>
      </w:r>
      <w:r w:rsidRPr="00072A33">
        <w:rPr>
          <w:rFonts w:ascii="Century" w:hAnsi="Century" w:cs="Miriam"/>
          <w:b/>
          <w:spacing w:val="0"/>
          <w:sz w:val="22"/>
          <w:szCs w:val="24"/>
          <w:rtl/>
        </w:rPr>
        <w:t xml:space="preserve"> </w:t>
      </w:r>
      <w:r w:rsidRPr="00072A33">
        <w:rPr>
          <w:rFonts w:ascii="Century" w:hAnsi="Century" w:cs="Miriam" w:hint="eastAsia"/>
          <w:b/>
          <w:spacing w:val="0"/>
          <w:sz w:val="22"/>
          <w:szCs w:val="24"/>
          <w:rtl/>
        </w:rPr>
        <w:t>חנא</w:t>
      </w:r>
      <w:r w:rsidRPr="005351B1">
        <w:rPr>
          <w:rtl/>
        </w:rPr>
        <w:t xml:space="preserve">, </w:t>
      </w:r>
      <w:r w:rsidRPr="005351B1">
        <w:rPr>
          <w:rFonts w:hint="eastAsia"/>
          <w:rtl/>
        </w:rPr>
        <w:t>פ</w:t>
      </w:r>
      <w:r w:rsidRPr="005351B1">
        <w:rPr>
          <w:rtl/>
        </w:rPr>
        <w:t>"</w:t>
      </w:r>
      <w:r w:rsidRPr="005351B1">
        <w:rPr>
          <w:rFonts w:hint="eastAsia"/>
          <w:rtl/>
        </w:rPr>
        <w:t>ד</w:t>
      </w:r>
      <w:r w:rsidRPr="005351B1">
        <w:rPr>
          <w:rtl/>
        </w:rPr>
        <w:t xml:space="preserve"> </w:t>
      </w:r>
      <w:r w:rsidRPr="005351B1">
        <w:rPr>
          <w:rFonts w:hint="eastAsia"/>
          <w:rtl/>
        </w:rPr>
        <w:t>ס</w:t>
      </w:r>
      <w:r w:rsidRPr="005351B1">
        <w:rPr>
          <w:rtl/>
        </w:rPr>
        <w:t>(3) 13</w:t>
      </w:r>
      <w:r>
        <w:rPr>
          <w:rFonts w:hint="cs"/>
          <w:rtl/>
        </w:rPr>
        <w:t>, 56 (2005)). ברם, הנזק שנגרם מפעולה מלחמתית הוא, ברוב המקרים, נזק מכוון, ועל כן הכללים הנזיקיים, אשר על פי התפיסה המתוארת נועדו לתמרץ את המזיק למנוע את קרות הנזק, אינם רלוונטיים. בנוסף, הטלת אחריות על המדינה ביחס לנזקי פעולות מלחמתיות, בין אם אלו נגרמו באופן מכוון ובין אם כתוצאה מהתנהגות רשלנית, עלולה ליצור אפקט מצנן ולהגביל יתר על המידה את צעדיהם של כוחות הביטחון. זאת, דווקא באותם המקרים בהם יש מקום לאפשר להם חופש פעולה רחב יחסית, כך שיהיה ביכולתם לבצע את הפעולות הנדרשות לשם הגנה על אזרחי המדינה (</w:t>
      </w:r>
      <w:r w:rsidRPr="00072A33">
        <w:rPr>
          <w:rFonts w:asciiTheme="majorBidi" w:hAnsiTheme="majorBidi" w:cstheme="majorBidi"/>
        </w:rPr>
        <w:t>Koohi v. United States, 976 F.2d 1328, 1334-35 (9th Cir. 1992)</w:t>
      </w:r>
      <w:r>
        <w:rPr>
          <w:rFonts w:hint="cs"/>
          <w:rtl/>
        </w:rPr>
        <w:t xml:space="preserve"> (להלן: </w:t>
      </w:r>
      <w:r w:rsidRPr="00072A33">
        <w:rPr>
          <w:rFonts w:ascii="Century" w:hAnsi="Century" w:cs="Miriam" w:hint="cs"/>
          <w:b/>
          <w:spacing w:val="0"/>
          <w:sz w:val="22"/>
          <w:szCs w:val="24"/>
          <w:rtl/>
        </w:rPr>
        <w:t xml:space="preserve">עניין </w:t>
      </w:r>
      <w:r w:rsidRPr="00C5047E">
        <w:rPr>
          <w:rFonts w:asciiTheme="majorBidi" w:hAnsiTheme="majorBidi" w:cstheme="majorBidi"/>
          <w:bCs/>
          <w:spacing w:val="0"/>
          <w:szCs w:val="24"/>
        </w:rPr>
        <w:t>Koohi</w:t>
      </w:r>
      <w:r w:rsidRPr="00072A33">
        <w:rPr>
          <w:rFonts w:ascii="Century" w:hAnsi="Century" w:hint="cs"/>
          <w:rtl/>
        </w:rPr>
        <w:t>)</w:t>
      </w:r>
      <w:r>
        <w:rPr>
          <w:rFonts w:hint="cs"/>
          <w:rtl/>
        </w:rPr>
        <w:t xml:space="preserve">; </w:t>
      </w:r>
      <w:r w:rsidRPr="00072A33">
        <w:rPr>
          <w:rFonts w:asciiTheme="majorBidi" w:hAnsiTheme="majorBidi" w:cstheme="majorBidi"/>
        </w:rPr>
        <w:t xml:space="preserve">Michael Kutner, </w:t>
      </w:r>
      <w:r w:rsidRPr="00072A33">
        <w:rPr>
          <w:rFonts w:asciiTheme="majorBidi" w:hAnsiTheme="majorBidi" w:cstheme="majorBidi"/>
          <w:i/>
          <w:iCs/>
        </w:rPr>
        <w:t>The Battle over Combat: A Practical Application of the Combatant Activities Exception to the Federal Tort Claims Act</w:t>
      </w:r>
      <w:r w:rsidRPr="00072A33">
        <w:rPr>
          <w:rFonts w:asciiTheme="majorBidi" w:hAnsiTheme="majorBidi" w:cstheme="majorBidi"/>
        </w:rPr>
        <w:t xml:space="preserve">, 87 </w:t>
      </w:r>
      <w:r w:rsidRPr="00072A33">
        <w:rPr>
          <w:rFonts w:asciiTheme="majorBidi" w:hAnsiTheme="majorBidi" w:cstheme="majorBidi"/>
          <w:smallCaps/>
        </w:rPr>
        <w:t>St. John's L. R.</w:t>
      </w:r>
      <w:r w:rsidRPr="00072A33">
        <w:rPr>
          <w:rFonts w:asciiTheme="majorBidi" w:hAnsiTheme="majorBidi" w:cstheme="majorBidi"/>
        </w:rPr>
        <w:t xml:space="preserve"> 701, 701 (2013)</w:t>
      </w:r>
      <w:r>
        <w:rPr>
          <w:rFonts w:hint="cs"/>
          <w:rtl/>
        </w:rPr>
        <w:t xml:space="preserve">). כמו כן, תכלית נוספת של דיני הנזיקין היא השבת המצב לקדמותו, ואולם כלל לא ברור שפיצוי אינדיבידואלי אשר יינתן מכוח דיני הנזיקין למספר ניזוקים ספציפיים בגין אירוע מוגדר המהווה חלק ממארג שלם של אירועים והתרחשויות המאפיינים פעולות מלחמתיות, אכן יעשה צדק בין הצדדים וישיב את המצב לקדמותו </w:t>
      </w:r>
      <w:r w:rsidRPr="00072A33">
        <w:rPr>
          <w:rFonts w:ascii="Century" w:hAnsi="Century" w:hint="cs"/>
          <w:sz w:val="22"/>
          <w:rtl/>
        </w:rPr>
        <w:t xml:space="preserve">(עניין </w:t>
      </w:r>
      <w:r w:rsidRPr="00C5047E">
        <w:rPr>
          <w:rFonts w:asciiTheme="majorBidi" w:hAnsiTheme="majorBidi" w:cstheme="majorBidi"/>
          <w:bCs/>
          <w:spacing w:val="0"/>
          <w:szCs w:val="24"/>
        </w:rPr>
        <w:t>Koohi</w:t>
      </w:r>
      <w:r w:rsidRPr="00072A33">
        <w:rPr>
          <w:rFonts w:ascii="Century" w:hAnsi="Century" w:hint="cs"/>
          <w:sz w:val="22"/>
          <w:rtl/>
        </w:rPr>
        <w:t>, שם)</w:t>
      </w:r>
      <w:r>
        <w:rPr>
          <w:rFonts w:hint="cs"/>
          <w:rtl/>
        </w:rPr>
        <w:t xml:space="preserve">. לכן, התפיסה המקובלת היא כי על הפיצוי בגין נזקים שנגרמו כתוצאה מסכסוכים מזויינים להיות מטופל במסגרת הסדר מיוחד, מחוץ לגדר דיני הנזיקין הרגילים, ואולי גם מחוץ לתחומיו של המשפט המדינתי (עניין </w:t>
      </w:r>
      <w:r w:rsidRPr="00072A33">
        <w:rPr>
          <w:rFonts w:ascii="Century" w:hAnsi="Century" w:cs="Miriam" w:hint="cs"/>
          <w:b/>
          <w:spacing w:val="0"/>
          <w:sz w:val="22"/>
          <w:szCs w:val="24"/>
          <w:rtl/>
        </w:rPr>
        <w:t>בני עודה</w:t>
      </w:r>
      <w:r>
        <w:rPr>
          <w:rFonts w:hint="cs"/>
          <w:rtl/>
        </w:rPr>
        <w:t xml:space="preserve">, בעמ' 7). </w:t>
      </w:r>
    </w:p>
    <w:p w:rsidR="00745AC1" w:rsidRPr="005974A2" w:rsidRDefault="00745AC1" w:rsidP="00240E22">
      <w:pPr>
        <w:pStyle w:val="Ruller41"/>
        <w:spacing w:line="240" w:lineRule="auto"/>
        <w:rPr>
          <w:rtl/>
        </w:rPr>
      </w:pPr>
    </w:p>
    <w:p w:rsidR="00745AC1" w:rsidRDefault="00745AC1" w:rsidP="00745AC1">
      <w:pPr>
        <w:pStyle w:val="Ruller4"/>
        <w:rPr>
          <w:rtl/>
        </w:rPr>
      </w:pPr>
      <w:r w:rsidRPr="005974A2">
        <w:rPr>
          <w:rFonts w:hint="cs"/>
          <w:rtl/>
        </w:rPr>
        <w:t>חוסר ההתאמה המתואר של דיני הנזיקין להסדרתן של פעולות מלחמתיות</w:t>
      </w:r>
      <w:r>
        <w:rPr>
          <w:rFonts w:hint="cs"/>
          <w:rtl/>
        </w:rPr>
        <w:t>, והחשש כי החלתם</w:t>
      </w:r>
      <w:r w:rsidRPr="005974A2">
        <w:rPr>
          <w:rFonts w:hint="cs"/>
          <w:rtl/>
        </w:rPr>
        <w:t xml:space="preserve"> על פעולות מסוג זה עלולה לגרום לעיוותים משפטיים, הביאו </w:t>
      </w:r>
      <w:r>
        <w:rPr>
          <w:rFonts w:hint="cs"/>
          <w:rtl/>
        </w:rPr>
        <w:t xml:space="preserve">שיטות משפט רבות להכיר בחסינות של המדינה מפני תביעות בגין נזקים שנגרמו כתוצאה מפעולות מלחמתיות (ראו, </w:t>
      </w:r>
      <w:r w:rsidRPr="002575B2">
        <w:rPr>
          <w:rFonts w:hint="eastAsia"/>
          <w:rtl/>
        </w:rPr>
        <w:t>בג</w:t>
      </w:r>
      <w:r w:rsidRPr="002575B2">
        <w:rPr>
          <w:rtl/>
        </w:rPr>
        <w:t>"</w:t>
      </w:r>
      <w:r w:rsidRPr="002575B2">
        <w:rPr>
          <w:rFonts w:hint="eastAsia"/>
          <w:rtl/>
        </w:rPr>
        <w:t>ץ</w:t>
      </w:r>
      <w:r w:rsidRPr="002575B2">
        <w:rPr>
          <w:rtl/>
        </w:rPr>
        <w:t xml:space="preserve"> 8276</w:t>
      </w:r>
      <w:r>
        <w:rPr>
          <w:rFonts w:hint="cs"/>
          <w:rtl/>
        </w:rPr>
        <w:t>/</w:t>
      </w:r>
      <w:r w:rsidRPr="002575B2">
        <w:rPr>
          <w:rtl/>
        </w:rPr>
        <w:t xml:space="preserve">05 </w:t>
      </w:r>
      <w:r w:rsidRPr="00907FEC">
        <w:rPr>
          <w:rFonts w:ascii="Century" w:hAnsi="Century" w:cs="Miriam" w:hint="eastAsia"/>
          <w:b/>
          <w:spacing w:val="0"/>
          <w:sz w:val="22"/>
          <w:szCs w:val="24"/>
          <w:rtl/>
        </w:rPr>
        <w:t>עדאלה</w:t>
      </w:r>
      <w:r w:rsidRPr="00907FEC">
        <w:rPr>
          <w:rFonts w:ascii="Century" w:hAnsi="Century" w:cs="Miriam"/>
          <w:b/>
          <w:spacing w:val="0"/>
          <w:sz w:val="22"/>
          <w:szCs w:val="24"/>
          <w:rtl/>
        </w:rPr>
        <w:t xml:space="preserve"> - </w:t>
      </w:r>
      <w:r w:rsidRPr="00907FEC">
        <w:rPr>
          <w:rFonts w:ascii="Century" w:hAnsi="Century" w:cs="Miriam" w:hint="eastAsia"/>
          <w:b/>
          <w:spacing w:val="0"/>
          <w:sz w:val="22"/>
          <w:szCs w:val="24"/>
          <w:rtl/>
        </w:rPr>
        <w:t>המרכז</w:t>
      </w:r>
      <w:r w:rsidRPr="00907FEC">
        <w:rPr>
          <w:rFonts w:ascii="Century" w:hAnsi="Century" w:cs="Miriam"/>
          <w:b/>
          <w:spacing w:val="0"/>
          <w:sz w:val="22"/>
          <w:szCs w:val="24"/>
          <w:rtl/>
        </w:rPr>
        <w:t xml:space="preserve"> </w:t>
      </w:r>
      <w:r w:rsidRPr="00907FEC">
        <w:rPr>
          <w:rFonts w:ascii="Century" w:hAnsi="Century" w:cs="Miriam" w:hint="eastAsia"/>
          <w:b/>
          <w:spacing w:val="0"/>
          <w:sz w:val="22"/>
          <w:szCs w:val="24"/>
          <w:rtl/>
        </w:rPr>
        <w:t>המשפטי</w:t>
      </w:r>
      <w:r w:rsidRPr="00907FEC">
        <w:rPr>
          <w:rFonts w:ascii="Century" w:hAnsi="Century" w:cs="Miriam"/>
          <w:b/>
          <w:spacing w:val="0"/>
          <w:sz w:val="22"/>
          <w:szCs w:val="24"/>
          <w:rtl/>
        </w:rPr>
        <w:t xml:space="preserve"> </w:t>
      </w:r>
      <w:r w:rsidRPr="00907FEC">
        <w:rPr>
          <w:rFonts w:ascii="Century" w:hAnsi="Century" w:cs="Miriam" w:hint="eastAsia"/>
          <w:b/>
          <w:spacing w:val="0"/>
          <w:sz w:val="22"/>
          <w:szCs w:val="24"/>
          <w:rtl/>
        </w:rPr>
        <w:t>לזכויות</w:t>
      </w:r>
      <w:r w:rsidRPr="00907FEC">
        <w:rPr>
          <w:rFonts w:ascii="Century" w:hAnsi="Century" w:cs="Miriam"/>
          <w:b/>
          <w:spacing w:val="0"/>
          <w:sz w:val="22"/>
          <w:szCs w:val="24"/>
          <w:rtl/>
        </w:rPr>
        <w:t xml:space="preserve"> </w:t>
      </w:r>
      <w:r w:rsidRPr="00907FEC">
        <w:rPr>
          <w:rFonts w:ascii="Century" w:hAnsi="Century" w:cs="Miriam" w:hint="eastAsia"/>
          <w:b/>
          <w:spacing w:val="0"/>
          <w:sz w:val="22"/>
          <w:szCs w:val="24"/>
          <w:rtl/>
        </w:rPr>
        <w:t>המיעוט</w:t>
      </w:r>
      <w:r w:rsidRPr="00907FEC">
        <w:rPr>
          <w:rFonts w:ascii="Century" w:hAnsi="Century" w:cs="Miriam"/>
          <w:b/>
          <w:spacing w:val="0"/>
          <w:sz w:val="22"/>
          <w:szCs w:val="24"/>
          <w:rtl/>
        </w:rPr>
        <w:t xml:space="preserve"> </w:t>
      </w:r>
      <w:r w:rsidRPr="00907FEC">
        <w:rPr>
          <w:rFonts w:ascii="Century" w:hAnsi="Century" w:cs="Miriam" w:hint="eastAsia"/>
          <w:b/>
          <w:spacing w:val="0"/>
          <w:sz w:val="22"/>
          <w:szCs w:val="24"/>
          <w:rtl/>
        </w:rPr>
        <w:t>הערב</w:t>
      </w:r>
      <w:r w:rsidRPr="00907FEC">
        <w:rPr>
          <w:rFonts w:ascii="Century" w:hAnsi="Century" w:cs="Miriam"/>
          <w:b/>
          <w:spacing w:val="0"/>
          <w:sz w:val="22"/>
          <w:szCs w:val="24"/>
          <w:rtl/>
        </w:rPr>
        <w:t xml:space="preserve"> </w:t>
      </w:r>
      <w:r w:rsidRPr="00907FEC">
        <w:rPr>
          <w:rFonts w:ascii="Century" w:hAnsi="Century" w:cs="Miriam" w:hint="eastAsia"/>
          <w:b/>
          <w:spacing w:val="0"/>
          <w:sz w:val="22"/>
          <w:szCs w:val="24"/>
          <w:rtl/>
        </w:rPr>
        <w:t>נ</w:t>
      </w:r>
      <w:r w:rsidRPr="00907FEC">
        <w:rPr>
          <w:rFonts w:ascii="Century" w:hAnsi="Century" w:cs="Miriam"/>
          <w:b/>
          <w:spacing w:val="0"/>
          <w:sz w:val="22"/>
          <w:szCs w:val="24"/>
          <w:rtl/>
        </w:rPr>
        <w:t xml:space="preserve">' </w:t>
      </w:r>
      <w:r w:rsidRPr="00907FEC">
        <w:rPr>
          <w:rFonts w:ascii="Century" w:hAnsi="Century" w:cs="Miriam" w:hint="eastAsia"/>
          <w:b/>
          <w:spacing w:val="0"/>
          <w:sz w:val="22"/>
          <w:szCs w:val="24"/>
          <w:rtl/>
        </w:rPr>
        <w:t>שר</w:t>
      </w:r>
      <w:r w:rsidRPr="00907FEC">
        <w:rPr>
          <w:rFonts w:ascii="Century" w:hAnsi="Century" w:cs="Miriam"/>
          <w:b/>
          <w:spacing w:val="0"/>
          <w:sz w:val="22"/>
          <w:szCs w:val="24"/>
          <w:rtl/>
        </w:rPr>
        <w:t xml:space="preserve"> </w:t>
      </w:r>
      <w:r w:rsidRPr="00907FEC">
        <w:rPr>
          <w:rFonts w:ascii="Century" w:hAnsi="Century" w:cs="Miriam" w:hint="eastAsia"/>
          <w:b/>
          <w:spacing w:val="0"/>
          <w:sz w:val="22"/>
          <w:szCs w:val="24"/>
          <w:rtl/>
        </w:rPr>
        <w:t>הביטחון</w:t>
      </w:r>
      <w:r w:rsidRPr="002575B2">
        <w:rPr>
          <w:rtl/>
        </w:rPr>
        <w:t xml:space="preserve">, </w:t>
      </w:r>
      <w:r w:rsidRPr="002575B2">
        <w:rPr>
          <w:rFonts w:hint="eastAsia"/>
          <w:rtl/>
        </w:rPr>
        <w:t>פ</w:t>
      </w:r>
      <w:r w:rsidRPr="002575B2">
        <w:rPr>
          <w:rtl/>
        </w:rPr>
        <w:t>"</w:t>
      </w:r>
      <w:r w:rsidRPr="002575B2">
        <w:rPr>
          <w:rFonts w:hint="eastAsia"/>
          <w:rtl/>
        </w:rPr>
        <w:t>ד</w:t>
      </w:r>
      <w:r w:rsidRPr="002575B2">
        <w:rPr>
          <w:rtl/>
        </w:rPr>
        <w:t xml:space="preserve"> </w:t>
      </w:r>
      <w:r w:rsidRPr="002575B2">
        <w:rPr>
          <w:rFonts w:hint="eastAsia"/>
          <w:rtl/>
        </w:rPr>
        <w:t>סב</w:t>
      </w:r>
      <w:r w:rsidRPr="002575B2">
        <w:rPr>
          <w:rtl/>
        </w:rPr>
        <w:t>(1) 1</w:t>
      </w:r>
      <w:r>
        <w:rPr>
          <w:rFonts w:hint="cs"/>
          <w:rtl/>
        </w:rPr>
        <w:t xml:space="preserve">, 34-32 (2006) (להלן: </w:t>
      </w:r>
      <w:r w:rsidRPr="00907FEC">
        <w:rPr>
          <w:rFonts w:ascii="Century" w:hAnsi="Century" w:cs="Miriam" w:hint="cs"/>
          <w:b/>
          <w:spacing w:val="0"/>
          <w:sz w:val="22"/>
          <w:szCs w:val="24"/>
          <w:rtl/>
        </w:rPr>
        <w:t>עניין עדאלה</w:t>
      </w:r>
      <w:r>
        <w:rPr>
          <w:rFonts w:hint="cs"/>
          <w:rtl/>
        </w:rPr>
        <w:t xml:space="preserve">)). כך, בארצות הברית, סעיף </w:t>
      </w:r>
      <w:r w:rsidRPr="00D02435">
        <w:rPr>
          <w:rFonts w:asciiTheme="majorBidi" w:hAnsiTheme="majorBidi" w:cstheme="majorBidi"/>
          <w:szCs w:val="24"/>
        </w:rPr>
        <w:t>2680(j)</w:t>
      </w:r>
      <w:r>
        <w:rPr>
          <w:rFonts w:hint="cs"/>
          <w:rtl/>
        </w:rPr>
        <w:t xml:space="preserve"> ל-</w:t>
      </w:r>
      <w:r w:rsidRPr="00907FEC">
        <w:rPr>
          <w:sz w:val="28"/>
          <w:szCs w:val="32"/>
        </w:rPr>
        <w:t xml:space="preserve"> </w:t>
      </w:r>
      <w:r w:rsidRPr="00907FEC">
        <w:rPr>
          <w:rFonts w:asciiTheme="majorBidi" w:hAnsiTheme="majorBidi" w:cstheme="majorBidi"/>
          <w:szCs w:val="24"/>
        </w:rPr>
        <w:t>Federal Tort Claims Act</w:t>
      </w:r>
      <w:r>
        <w:rPr>
          <w:rFonts w:hint="cs"/>
          <w:rtl/>
        </w:rPr>
        <w:t>מעניק לממשל הפדרלי חסינות מפני תביעות נזיקין בגין פעולות לחימה (</w:t>
      </w:r>
      <w:r w:rsidRPr="00907FEC">
        <w:rPr>
          <w:rFonts w:asciiTheme="majorBidi" w:hAnsiTheme="majorBidi" w:cstheme="majorBidi"/>
        </w:rPr>
        <w:t>combatant activities</w:t>
      </w:r>
      <w:r>
        <w:rPr>
          <w:rFonts w:hint="cs"/>
          <w:rtl/>
        </w:rPr>
        <w:t>) שנעשו בעת מלחמה (</w:t>
      </w:r>
      <w:r w:rsidRPr="00907FEC">
        <w:rPr>
          <w:rFonts w:asciiTheme="majorBidi" w:hAnsiTheme="majorBidi" w:cstheme="majorBidi"/>
        </w:rPr>
        <w:t>time of war</w:t>
      </w:r>
      <w:r>
        <w:rPr>
          <w:rFonts w:hint="cs"/>
          <w:rtl/>
        </w:rPr>
        <w:t>)</w:t>
      </w:r>
      <w:r w:rsidRPr="00C47E4A">
        <w:rPr>
          <w:rtl/>
        </w:rPr>
        <w:t>.</w:t>
      </w:r>
      <w:r>
        <w:rPr>
          <w:rFonts w:hint="cs"/>
          <w:rtl/>
        </w:rPr>
        <w:t xml:space="preserve"> </w:t>
      </w:r>
      <w:r w:rsidRPr="005D51A7">
        <w:rPr>
          <w:rFonts w:hint="cs"/>
          <w:rtl/>
        </w:rPr>
        <w:t xml:space="preserve">כמו כן, גם במשפט האנגלי הוענקה למדינה חסינות מפני תביעות בגין נזקים שנגרמו במסגרת פעילות מלחמתית (ראו, </w:t>
      </w:r>
      <w:r w:rsidRPr="00C5047E">
        <w:rPr>
          <w:rFonts w:asciiTheme="majorBidi" w:hAnsiTheme="majorBidi" w:cstheme="majorBidi"/>
        </w:rPr>
        <w:t>War Damage Act 1965, c.18</w:t>
      </w:r>
      <w:r>
        <w:rPr>
          <w:rFonts w:hint="cs"/>
          <w:rtl/>
        </w:rPr>
        <w:t>)</w:t>
      </w:r>
      <w:r w:rsidRPr="005D51A7">
        <w:rPr>
          <w:rFonts w:hint="cs"/>
          <w:rtl/>
        </w:rPr>
        <w:t xml:space="preserve">. </w:t>
      </w:r>
      <w:r>
        <w:rPr>
          <w:rFonts w:hint="cs"/>
          <w:rtl/>
        </w:rPr>
        <w:t xml:space="preserve">בנוסף, בקנדה, </w:t>
      </w:r>
      <w:r w:rsidRPr="00090D61">
        <w:rPr>
          <w:rFonts w:hint="eastAsia"/>
          <w:rtl/>
        </w:rPr>
        <w:t>סעיף</w:t>
      </w:r>
      <w:r w:rsidRPr="00090D61">
        <w:rPr>
          <w:rtl/>
        </w:rPr>
        <w:t xml:space="preserve"> 8 </w:t>
      </w:r>
      <w:r w:rsidRPr="00090D61">
        <w:rPr>
          <w:rFonts w:hint="eastAsia"/>
          <w:rtl/>
        </w:rPr>
        <w:t>ל</w:t>
      </w:r>
      <w:r w:rsidRPr="00090D61">
        <w:rPr>
          <w:rtl/>
        </w:rPr>
        <w:t>-</w:t>
      </w:r>
      <w:r w:rsidRPr="00907FEC">
        <w:rPr>
          <w:rFonts w:asciiTheme="majorBidi" w:hAnsiTheme="majorBidi" w:cstheme="majorBidi"/>
        </w:rPr>
        <w:t>Crown Liability and Proceedings Act, R.S.C., 1985, c. C-50</w:t>
      </w:r>
      <w:r>
        <w:rPr>
          <w:rFonts w:hint="cs"/>
          <w:rtl/>
        </w:rPr>
        <w:t xml:space="preserve"> שולל את אחריות המדינה ביחס לנזקים שנגרמו על ידי כוחות הצבא הקנדי, בזמן מלחמה או בזמן שלום, בין אם אלו נעשו מתוך מטרה להגן על קנדה או במסגרת פעולות אימון של הכוחות הקנדיים. </w:t>
      </w:r>
    </w:p>
    <w:p w:rsidR="00745AC1" w:rsidRPr="00911F54" w:rsidRDefault="00745AC1" w:rsidP="00240E22">
      <w:pPr>
        <w:pStyle w:val="Ruller41"/>
        <w:spacing w:line="240" w:lineRule="auto"/>
        <w:rPr>
          <w:color w:val="FF0000"/>
          <w:rtl/>
        </w:rPr>
      </w:pPr>
    </w:p>
    <w:p w:rsidR="00745AC1" w:rsidRDefault="00745AC1" w:rsidP="00326F04">
      <w:pPr>
        <w:pStyle w:val="Ruller4"/>
        <w:rPr>
          <w:rtl/>
        </w:rPr>
      </w:pPr>
      <w:r>
        <w:rPr>
          <w:rFonts w:hint="cs"/>
          <w:rtl/>
        </w:rPr>
        <w:t>באופן דומה, גם המחוקק הישראלי מצא לנכון להעניק למדינה חסינות מפני תביעות נזיקיות בגין פעולות מלחמתיות. חסינות זו מעוגנת בסעיף 5(א) לחוק אשר קובע כי "</w:t>
      </w:r>
      <w:r w:rsidRPr="00CB4880">
        <w:rPr>
          <w:rFonts w:ascii="Century" w:hAnsi="Century" w:cs="Miriam" w:hint="eastAsia"/>
          <w:b/>
          <w:spacing w:val="0"/>
          <w:sz w:val="22"/>
          <w:szCs w:val="24"/>
          <w:rtl/>
        </w:rPr>
        <w:t>אין</w:t>
      </w:r>
      <w:r w:rsidRPr="00CB4880">
        <w:rPr>
          <w:rFonts w:ascii="Century" w:hAnsi="Century" w:cs="Miriam"/>
          <w:b/>
          <w:spacing w:val="0"/>
          <w:sz w:val="22"/>
          <w:szCs w:val="24"/>
          <w:rtl/>
        </w:rPr>
        <w:t xml:space="preserve"> </w:t>
      </w:r>
      <w:r w:rsidRPr="00CB4880">
        <w:rPr>
          <w:rFonts w:ascii="Century" w:hAnsi="Century" w:cs="Miriam" w:hint="eastAsia"/>
          <w:b/>
          <w:spacing w:val="0"/>
          <w:sz w:val="22"/>
          <w:szCs w:val="24"/>
          <w:rtl/>
        </w:rPr>
        <w:t>המדינה</w:t>
      </w:r>
      <w:r w:rsidRPr="00CB4880">
        <w:rPr>
          <w:rFonts w:ascii="Century" w:hAnsi="Century" w:cs="Miriam"/>
          <w:b/>
          <w:spacing w:val="0"/>
          <w:sz w:val="22"/>
          <w:szCs w:val="24"/>
          <w:rtl/>
        </w:rPr>
        <w:t xml:space="preserve"> </w:t>
      </w:r>
      <w:r w:rsidRPr="00CB4880">
        <w:rPr>
          <w:rFonts w:ascii="Century" w:hAnsi="Century" w:cs="Miriam" w:hint="eastAsia"/>
          <w:b/>
          <w:spacing w:val="0"/>
          <w:sz w:val="22"/>
          <w:szCs w:val="24"/>
          <w:rtl/>
        </w:rPr>
        <w:t>אחראית</w:t>
      </w:r>
      <w:r w:rsidRPr="00CB4880">
        <w:rPr>
          <w:rFonts w:ascii="Century" w:hAnsi="Century" w:cs="Miriam"/>
          <w:b/>
          <w:spacing w:val="0"/>
          <w:sz w:val="22"/>
          <w:szCs w:val="24"/>
          <w:rtl/>
        </w:rPr>
        <w:t xml:space="preserve"> </w:t>
      </w:r>
      <w:r w:rsidRPr="00CB4880">
        <w:rPr>
          <w:rFonts w:ascii="Century" w:hAnsi="Century" w:cs="Miriam" w:hint="eastAsia"/>
          <w:b/>
          <w:spacing w:val="0"/>
          <w:sz w:val="22"/>
          <w:szCs w:val="24"/>
          <w:rtl/>
        </w:rPr>
        <w:t>בנזיקים</w:t>
      </w:r>
      <w:r w:rsidRPr="00CB4880">
        <w:rPr>
          <w:rFonts w:ascii="Century" w:hAnsi="Century" w:cs="Miriam"/>
          <w:b/>
          <w:spacing w:val="0"/>
          <w:sz w:val="22"/>
          <w:szCs w:val="24"/>
          <w:rtl/>
        </w:rPr>
        <w:t xml:space="preserve"> </w:t>
      </w:r>
      <w:r w:rsidRPr="00CB4880">
        <w:rPr>
          <w:rFonts w:ascii="Century" w:hAnsi="Century" w:cs="Miriam" w:hint="eastAsia"/>
          <w:b/>
          <w:spacing w:val="0"/>
          <w:sz w:val="22"/>
          <w:szCs w:val="24"/>
          <w:rtl/>
        </w:rPr>
        <w:t>על</w:t>
      </w:r>
      <w:r w:rsidRPr="00CB4880">
        <w:rPr>
          <w:rFonts w:ascii="Century" w:hAnsi="Century" w:cs="Miriam"/>
          <w:b/>
          <w:spacing w:val="0"/>
          <w:sz w:val="22"/>
          <w:szCs w:val="24"/>
          <w:rtl/>
        </w:rPr>
        <w:t xml:space="preserve"> </w:t>
      </w:r>
      <w:r w:rsidRPr="00CB4880">
        <w:rPr>
          <w:rFonts w:ascii="Century" w:hAnsi="Century" w:cs="Miriam" w:hint="eastAsia"/>
          <w:b/>
          <w:spacing w:val="0"/>
          <w:sz w:val="22"/>
          <w:szCs w:val="24"/>
          <w:rtl/>
        </w:rPr>
        <w:t>מעשה</w:t>
      </w:r>
      <w:r w:rsidRPr="00CB4880">
        <w:rPr>
          <w:rFonts w:ascii="Century" w:hAnsi="Century" w:cs="Miriam"/>
          <w:b/>
          <w:spacing w:val="0"/>
          <w:sz w:val="22"/>
          <w:szCs w:val="24"/>
          <w:rtl/>
        </w:rPr>
        <w:t xml:space="preserve"> </w:t>
      </w:r>
      <w:r w:rsidRPr="00CB4880">
        <w:rPr>
          <w:rFonts w:ascii="Century" w:hAnsi="Century" w:cs="Miriam" w:hint="eastAsia"/>
          <w:b/>
          <w:spacing w:val="0"/>
          <w:sz w:val="22"/>
          <w:szCs w:val="24"/>
          <w:rtl/>
        </w:rPr>
        <w:t>שנעשה</w:t>
      </w:r>
      <w:r w:rsidRPr="00CB4880">
        <w:rPr>
          <w:rFonts w:ascii="Century" w:hAnsi="Century" w:cs="Miriam"/>
          <w:b/>
          <w:spacing w:val="0"/>
          <w:sz w:val="22"/>
          <w:szCs w:val="24"/>
          <w:rtl/>
        </w:rPr>
        <w:t xml:space="preserve"> </w:t>
      </w:r>
      <w:r w:rsidRPr="00CB4880">
        <w:rPr>
          <w:rFonts w:ascii="Century" w:hAnsi="Century" w:cs="Miriam" w:hint="eastAsia"/>
          <w:b/>
          <w:spacing w:val="0"/>
          <w:sz w:val="22"/>
          <w:szCs w:val="24"/>
          <w:rtl/>
        </w:rPr>
        <w:t>על</w:t>
      </w:r>
      <w:r w:rsidRPr="00CB4880">
        <w:rPr>
          <w:rFonts w:ascii="Century" w:hAnsi="Century" w:cs="Miriam"/>
          <w:b/>
          <w:spacing w:val="0"/>
          <w:sz w:val="22"/>
          <w:szCs w:val="24"/>
          <w:rtl/>
        </w:rPr>
        <w:t xml:space="preserve"> </w:t>
      </w:r>
      <w:r w:rsidRPr="00CB4880">
        <w:rPr>
          <w:rFonts w:ascii="Century" w:hAnsi="Century" w:cs="Miriam" w:hint="eastAsia"/>
          <w:b/>
          <w:spacing w:val="0"/>
          <w:sz w:val="22"/>
          <w:szCs w:val="24"/>
          <w:rtl/>
        </w:rPr>
        <w:t>ידי</w:t>
      </w:r>
      <w:r w:rsidRPr="00CB4880">
        <w:rPr>
          <w:rFonts w:ascii="Century" w:hAnsi="Century" w:cs="Miriam"/>
          <w:b/>
          <w:spacing w:val="0"/>
          <w:sz w:val="22"/>
          <w:szCs w:val="24"/>
          <w:rtl/>
        </w:rPr>
        <w:t xml:space="preserve"> </w:t>
      </w:r>
      <w:r w:rsidRPr="00CB4880">
        <w:rPr>
          <w:rFonts w:ascii="Century" w:hAnsi="Century" w:cs="Miriam" w:hint="eastAsia"/>
          <w:b/>
          <w:spacing w:val="0"/>
          <w:sz w:val="22"/>
          <w:szCs w:val="24"/>
          <w:rtl/>
        </w:rPr>
        <w:t>פעולה</w:t>
      </w:r>
      <w:r w:rsidRPr="00CB4880">
        <w:rPr>
          <w:rFonts w:ascii="Century" w:hAnsi="Century" w:cs="Miriam"/>
          <w:b/>
          <w:spacing w:val="0"/>
          <w:sz w:val="22"/>
          <w:szCs w:val="24"/>
          <w:rtl/>
        </w:rPr>
        <w:t xml:space="preserve"> </w:t>
      </w:r>
      <w:r w:rsidRPr="00CB4880">
        <w:rPr>
          <w:rFonts w:ascii="Century" w:hAnsi="Century" w:cs="Miriam" w:hint="eastAsia"/>
          <w:b/>
          <w:spacing w:val="0"/>
          <w:sz w:val="22"/>
          <w:szCs w:val="24"/>
          <w:rtl/>
        </w:rPr>
        <w:t>מלחמתית</w:t>
      </w:r>
      <w:r w:rsidRPr="00CB4880">
        <w:rPr>
          <w:rFonts w:ascii="Century" w:hAnsi="Century" w:cs="Miriam"/>
          <w:b/>
          <w:spacing w:val="0"/>
          <w:sz w:val="22"/>
          <w:szCs w:val="24"/>
          <w:rtl/>
        </w:rPr>
        <w:t xml:space="preserve"> </w:t>
      </w:r>
      <w:r w:rsidRPr="00CB4880">
        <w:rPr>
          <w:rFonts w:ascii="Century" w:hAnsi="Century" w:cs="Miriam" w:hint="eastAsia"/>
          <w:b/>
          <w:spacing w:val="0"/>
          <w:sz w:val="22"/>
          <w:szCs w:val="24"/>
          <w:rtl/>
        </w:rPr>
        <w:t>של</w:t>
      </w:r>
      <w:r w:rsidRPr="00CB4880">
        <w:rPr>
          <w:rFonts w:ascii="Century" w:hAnsi="Century" w:cs="Miriam"/>
          <w:b/>
          <w:spacing w:val="0"/>
          <w:sz w:val="22"/>
          <w:szCs w:val="24"/>
          <w:rtl/>
        </w:rPr>
        <w:t xml:space="preserve"> </w:t>
      </w:r>
      <w:r w:rsidRPr="00CB4880">
        <w:rPr>
          <w:rFonts w:ascii="Century" w:hAnsi="Century" w:cs="Miriam" w:hint="eastAsia"/>
          <w:b/>
          <w:spacing w:val="0"/>
          <w:sz w:val="22"/>
          <w:szCs w:val="24"/>
          <w:rtl/>
        </w:rPr>
        <w:t>צבא</w:t>
      </w:r>
      <w:r w:rsidRPr="00CB4880">
        <w:rPr>
          <w:rFonts w:ascii="Century" w:hAnsi="Century" w:cs="Miriam"/>
          <w:b/>
          <w:spacing w:val="0"/>
          <w:sz w:val="22"/>
          <w:szCs w:val="24"/>
          <w:rtl/>
        </w:rPr>
        <w:t>-</w:t>
      </w:r>
      <w:r w:rsidRPr="00CB4880">
        <w:rPr>
          <w:rFonts w:ascii="Century" w:hAnsi="Century" w:cs="Miriam" w:hint="eastAsia"/>
          <w:b/>
          <w:spacing w:val="0"/>
          <w:sz w:val="22"/>
          <w:szCs w:val="24"/>
          <w:rtl/>
        </w:rPr>
        <w:t>הגנה</w:t>
      </w:r>
      <w:r w:rsidRPr="00CB4880">
        <w:rPr>
          <w:rFonts w:ascii="Century" w:hAnsi="Century" w:cs="Miriam"/>
          <w:b/>
          <w:spacing w:val="0"/>
          <w:sz w:val="22"/>
          <w:szCs w:val="24"/>
          <w:rtl/>
        </w:rPr>
        <w:t xml:space="preserve"> </w:t>
      </w:r>
      <w:r w:rsidRPr="00CB4880">
        <w:rPr>
          <w:rFonts w:ascii="Century" w:hAnsi="Century" w:cs="Miriam" w:hint="eastAsia"/>
          <w:b/>
          <w:spacing w:val="0"/>
          <w:sz w:val="22"/>
          <w:szCs w:val="24"/>
          <w:rtl/>
        </w:rPr>
        <w:t>לישראל</w:t>
      </w:r>
      <w:r>
        <w:rPr>
          <w:rFonts w:hint="cs"/>
          <w:rtl/>
        </w:rPr>
        <w:t xml:space="preserve">". משמעותה של חסינות זו היא כי ביחס לנזקים שנגרמו כתוצאה מפעולה מלחמתית, בית המשפט כלל לא יידרש לשאלה האם הצבא פעל ברשלנות אם לאו, וממילא לא ידון בשאלות הנוגעות לאופן ולדרך בה התנהלה הפעולה המלחמתית (עניין </w:t>
      </w:r>
      <w:r w:rsidRPr="00B52F33">
        <w:rPr>
          <w:rFonts w:ascii="Century" w:hAnsi="Century" w:cs="Miriam" w:hint="cs"/>
          <w:b/>
          <w:spacing w:val="0"/>
          <w:sz w:val="22"/>
          <w:szCs w:val="24"/>
          <w:rtl/>
        </w:rPr>
        <w:t>חרדאן</w:t>
      </w:r>
      <w:r>
        <w:rPr>
          <w:rFonts w:hint="cs"/>
          <w:rtl/>
        </w:rPr>
        <w:t>, פסקה 13). כלומר, משעה שנקבע ביחס ל</w:t>
      </w:r>
      <w:r w:rsidRPr="00EB7B36">
        <w:rPr>
          <w:rFonts w:ascii="Century" w:hAnsi="Century" w:cs="Miriam" w:hint="cs"/>
          <w:b/>
          <w:spacing w:val="0"/>
          <w:sz w:val="22"/>
          <w:szCs w:val="24"/>
          <w:rtl/>
        </w:rPr>
        <w:t xml:space="preserve">אופי </w:t>
      </w:r>
      <w:r>
        <w:rPr>
          <w:rFonts w:hint="cs"/>
          <w:rtl/>
        </w:rPr>
        <w:t xml:space="preserve">הפעילות המזיקה כי המדובר בפעילות מלחמתית, כהגדרתה בסעיף 5(א) לחוק, בית המשפט ימנע מלבחון את פעולות המדינה </w:t>
      </w:r>
      <w:r w:rsidRPr="00953801">
        <w:rPr>
          <w:rFonts w:ascii="Century" w:hAnsi="Century" w:cs="Miriam" w:hint="cs"/>
          <w:b/>
          <w:spacing w:val="0"/>
          <w:sz w:val="22"/>
          <w:szCs w:val="24"/>
          <w:rtl/>
        </w:rPr>
        <w:t>לגופן</w:t>
      </w:r>
      <w:r>
        <w:rPr>
          <w:rFonts w:hint="cs"/>
          <w:rtl/>
        </w:rPr>
        <w:t xml:space="preserve">. </w:t>
      </w:r>
    </w:p>
    <w:p w:rsidR="00745AC1" w:rsidRPr="009659EF" w:rsidRDefault="00745AC1" w:rsidP="00745AC1">
      <w:pPr>
        <w:pStyle w:val="Ruller41"/>
        <w:rPr>
          <w:rtl/>
        </w:rPr>
      </w:pPr>
    </w:p>
    <w:p w:rsidR="00745AC1" w:rsidRPr="00032A4A" w:rsidRDefault="00745AC1" w:rsidP="00240E22">
      <w:pPr>
        <w:pStyle w:val="Ruller41"/>
        <w:spacing w:line="240" w:lineRule="auto"/>
        <w:rPr>
          <w:rFonts w:ascii="Century" w:hAnsi="Century" w:cs="Miriam"/>
          <w:b/>
          <w:spacing w:val="0"/>
          <w:szCs w:val="24"/>
          <w:rtl/>
        </w:rPr>
      </w:pPr>
      <w:r w:rsidRPr="00032A4A">
        <w:rPr>
          <w:rFonts w:ascii="Century" w:hAnsi="Century" w:cs="Miriam" w:hint="cs"/>
          <w:b/>
          <w:spacing w:val="0"/>
          <w:szCs w:val="24"/>
          <w:rtl/>
        </w:rPr>
        <w:t>מניעת סיוע כלכלי ומוראלי מהאויב</w:t>
      </w:r>
      <w:r>
        <w:rPr>
          <w:rFonts w:ascii="Century" w:hAnsi="Century" w:cs="Miriam" w:hint="cs"/>
          <w:b/>
          <w:spacing w:val="0"/>
          <w:szCs w:val="24"/>
          <w:rtl/>
        </w:rPr>
        <w:t xml:space="preserve"> </w:t>
      </w:r>
    </w:p>
    <w:p w:rsidR="00745AC1" w:rsidRDefault="00745AC1" w:rsidP="00240E22">
      <w:pPr>
        <w:pStyle w:val="Ruller41"/>
        <w:spacing w:line="240" w:lineRule="auto"/>
        <w:rPr>
          <w:rtl/>
        </w:rPr>
      </w:pPr>
    </w:p>
    <w:p w:rsidR="00745AC1" w:rsidRDefault="00745AC1" w:rsidP="00745AC1">
      <w:pPr>
        <w:pStyle w:val="Ruller4"/>
      </w:pPr>
      <w:r>
        <w:rPr>
          <w:rFonts w:hint="cs"/>
          <w:rtl/>
        </w:rPr>
        <w:t xml:space="preserve">התכלית השנייה העומדת ביסודו של סעיף 5ב(א)(1) לחוק היא מניעת סיוע כלכלי ומוראלי מהאויב. רציונל זה גם עומד בבסיסו של הכלל במשפט המקובל לפיו "אין מבררים תביעות אויב" (להלן: </w:t>
      </w:r>
      <w:r w:rsidRPr="00F90C51">
        <w:rPr>
          <w:rFonts w:ascii="Century" w:hAnsi="Century" w:cs="Miriam" w:hint="cs"/>
          <w:b/>
          <w:spacing w:val="0"/>
          <w:sz w:val="22"/>
          <w:szCs w:val="24"/>
          <w:rtl/>
        </w:rPr>
        <w:t xml:space="preserve">הכלל לפיו אין מבררים תביעת אויב </w:t>
      </w:r>
      <w:r w:rsidRPr="00F90C51">
        <w:rPr>
          <w:rFonts w:ascii="Century" w:hAnsi="Century" w:hint="cs"/>
          <w:sz w:val="22"/>
          <w:rtl/>
        </w:rPr>
        <w:t>או</w:t>
      </w:r>
      <w:r w:rsidRPr="00F90C51">
        <w:rPr>
          <w:rFonts w:ascii="Century" w:hAnsi="Century" w:cs="Miriam" w:hint="cs"/>
          <w:b/>
          <w:spacing w:val="0"/>
          <w:sz w:val="22"/>
          <w:szCs w:val="24"/>
          <w:rtl/>
        </w:rPr>
        <w:t xml:space="preserve"> הכלל מהמשפט המקובל</w:t>
      </w:r>
      <w:r>
        <w:rPr>
          <w:rFonts w:hint="cs"/>
          <w:rtl/>
        </w:rPr>
        <w:t xml:space="preserve">). הכלל </w:t>
      </w:r>
      <w:r w:rsidRPr="00976BB0">
        <w:rPr>
          <w:rFonts w:hint="eastAsia"/>
          <w:rtl/>
        </w:rPr>
        <w:t>האמור</w:t>
      </w:r>
      <w:r>
        <w:rPr>
          <w:rFonts w:hint="cs"/>
          <w:rtl/>
        </w:rPr>
        <w:t>,</w:t>
      </w:r>
      <w:r w:rsidRPr="00976BB0">
        <w:rPr>
          <w:rtl/>
        </w:rPr>
        <w:t xml:space="preserve"> </w:t>
      </w:r>
      <w:r w:rsidRPr="00976BB0">
        <w:rPr>
          <w:rFonts w:hint="eastAsia"/>
          <w:rtl/>
        </w:rPr>
        <w:t>אשר</w:t>
      </w:r>
      <w:r w:rsidRPr="00976BB0">
        <w:rPr>
          <w:rtl/>
        </w:rPr>
        <w:t xml:space="preserve"> </w:t>
      </w:r>
      <w:r w:rsidRPr="00976BB0">
        <w:rPr>
          <w:rFonts w:hint="eastAsia"/>
          <w:rtl/>
        </w:rPr>
        <w:t>החל</w:t>
      </w:r>
      <w:r w:rsidRPr="00976BB0">
        <w:rPr>
          <w:rtl/>
        </w:rPr>
        <w:t xml:space="preserve"> </w:t>
      </w:r>
      <w:r w:rsidRPr="00976BB0">
        <w:rPr>
          <w:rFonts w:hint="eastAsia"/>
          <w:rtl/>
        </w:rPr>
        <w:t>להתפתח</w:t>
      </w:r>
      <w:r w:rsidRPr="00976BB0">
        <w:rPr>
          <w:rtl/>
        </w:rPr>
        <w:t xml:space="preserve"> </w:t>
      </w:r>
      <w:r w:rsidRPr="00976BB0">
        <w:rPr>
          <w:rFonts w:hint="eastAsia"/>
          <w:rtl/>
        </w:rPr>
        <w:t>במשפט</w:t>
      </w:r>
      <w:r w:rsidRPr="00976BB0">
        <w:rPr>
          <w:rtl/>
        </w:rPr>
        <w:t xml:space="preserve"> </w:t>
      </w:r>
      <w:r>
        <w:rPr>
          <w:rFonts w:hint="eastAsia"/>
          <w:rtl/>
        </w:rPr>
        <w:t>ה</w:t>
      </w:r>
      <w:r>
        <w:rPr>
          <w:rFonts w:hint="cs"/>
          <w:rtl/>
        </w:rPr>
        <w:t>אנגלי</w:t>
      </w:r>
      <w:r w:rsidRPr="00976BB0">
        <w:rPr>
          <w:rtl/>
        </w:rPr>
        <w:t xml:space="preserve"> </w:t>
      </w:r>
      <w:r w:rsidRPr="00976BB0">
        <w:rPr>
          <w:rFonts w:hint="eastAsia"/>
          <w:rtl/>
        </w:rPr>
        <w:t>במאה</w:t>
      </w:r>
      <w:r w:rsidRPr="00976BB0">
        <w:rPr>
          <w:rtl/>
        </w:rPr>
        <w:t xml:space="preserve"> </w:t>
      </w:r>
      <w:r w:rsidRPr="00976BB0">
        <w:rPr>
          <w:rFonts w:hint="eastAsia"/>
          <w:rtl/>
        </w:rPr>
        <w:t>ה</w:t>
      </w:r>
      <w:r w:rsidRPr="00976BB0">
        <w:rPr>
          <w:rtl/>
        </w:rPr>
        <w:t xml:space="preserve">-17, </w:t>
      </w:r>
      <w:r w:rsidRPr="00976BB0">
        <w:rPr>
          <w:rFonts w:hint="eastAsia"/>
          <w:rtl/>
        </w:rPr>
        <w:t>קובע</w:t>
      </w:r>
      <w:r w:rsidRPr="00976BB0">
        <w:rPr>
          <w:rtl/>
        </w:rPr>
        <w:t xml:space="preserve"> </w:t>
      </w:r>
      <w:r w:rsidRPr="00976BB0">
        <w:rPr>
          <w:rFonts w:hint="eastAsia"/>
          <w:rtl/>
        </w:rPr>
        <w:t>כי</w:t>
      </w:r>
      <w:r w:rsidRPr="00976BB0">
        <w:rPr>
          <w:rtl/>
        </w:rPr>
        <w:t xml:space="preserve"> </w:t>
      </w:r>
      <w:r w:rsidRPr="00976BB0">
        <w:rPr>
          <w:rFonts w:hint="eastAsia"/>
          <w:rtl/>
        </w:rPr>
        <w:t>בזמן</w:t>
      </w:r>
      <w:r w:rsidRPr="00976BB0">
        <w:rPr>
          <w:rtl/>
        </w:rPr>
        <w:t xml:space="preserve"> </w:t>
      </w:r>
      <w:r>
        <w:rPr>
          <w:rFonts w:hint="cs"/>
          <w:rtl/>
        </w:rPr>
        <w:t>'</w:t>
      </w:r>
      <w:r w:rsidRPr="00976BB0">
        <w:rPr>
          <w:rFonts w:hint="eastAsia"/>
          <w:rtl/>
        </w:rPr>
        <w:t>מלחמה</w:t>
      </w:r>
      <w:r w:rsidRPr="00976BB0">
        <w:rPr>
          <w:rtl/>
        </w:rPr>
        <w:t xml:space="preserve"> </w:t>
      </w:r>
      <w:r w:rsidRPr="00976BB0">
        <w:rPr>
          <w:rFonts w:hint="eastAsia"/>
          <w:rtl/>
        </w:rPr>
        <w:t>פורמלית</w:t>
      </w:r>
      <w:r>
        <w:rPr>
          <w:rFonts w:hint="cs"/>
          <w:rtl/>
        </w:rPr>
        <w:t>'</w:t>
      </w:r>
      <w:r w:rsidRPr="00976BB0">
        <w:rPr>
          <w:rtl/>
        </w:rPr>
        <w:t xml:space="preserve">, </w:t>
      </w:r>
      <w:r w:rsidRPr="00976BB0">
        <w:rPr>
          <w:rFonts w:hint="eastAsia"/>
          <w:rtl/>
        </w:rPr>
        <w:t>קרי</w:t>
      </w:r>
      <w:r w:rsidRPr="00976BB0">
        <w:rPr>
          <w:rtl/>
        </w:rPr>
        <w:t xml:space="preserve"> </w:t>
      </w:r>
      <w:r w:rsidRPr="00976BB0">
        <w:rPr>
          <w:rFonts w:hint="eastAsia"/>
          <w:rtl/>
        </w:rPr>
        <w:t>מלחמה</w:t>
      </w:r>
      <w:r w:rsidRPr="00976BB0">
        <w:rPr>
          <w:rtl/>
        </w:rPr>
        <w:t xml:space="preserve"> </w:t>
      </w:r>
      <w:r w:rsidRPr="00976BB0">
        <w:rPr>
          <w:rFonts w:hint="eastAsia"/>
          <w:rtl/>
        </w:rPr>
        <w:t>אשר</w:t>
      </w:r>
      <w:r w:rsidRPr="00976BB0">
        <w:rPr>
          <w:rtl/>
        </w:rPr>
        <w:t xml:space="preserve"> </w:t>
      </w:r>
      <w:r w:rsidRPr="00976BB0">
        <w:rPr>
          <w:rFonts w:hint="eastAsia"/>
          <w:rtl/>
        </w:rPr>
        <w:t>הוכרזה</w:t>
      </w:r>
      <w:r w:rsidRPr="00976BB0">
        <w:rPr>
          <w:rtl/>
        </w:rPr>
        <w:t xml:space="preserve"> </w:t>
      </w:r>
      <w:r w:rsidRPr="00976BB0">
        <w:rPr>
          <w:rFonts w:hint="eastAsia"/>
          <w:rtl/>
        </w:rPr>
        <w:t>על</w:t>
      </w:r>
      <w:r w:rsidRPr="00976BB0">
        <w:rPr>
          <w:rtl/>
        </w:rPr>
        <w:t xml:space="preserve"> </w:t>
      </w:r>
      <w:r w:rsidRPr="00976BB0">
        <w:rPr>
          <w:rFonts w:hint="eastAsia"/>
          <w:rtl/>
        </w:rPr>
        <w:t>ידי</w:t>
      </w:r>
      <w:r w:rsidRPr="00976BB0">
        <w:rPr>
          <w:rtl/>
        </w:rPr>
        <w:t xml:space="preserve"> </w:t>
      </w:r>
      <w:r w:rsidRPr="00976BB0">
        <w:rPr>
          <w:rFonts w:hint="eastAsia"/>
          <w:rtl/>
        </w:rPr>
        <w:t>הגורמים</w:t>
      </w:r>
      <w:r w:rsidRPr="00976BB0">
        <w:rPr>
          <w:rtl/>
        </w:rPr>
        <w:t xml:space="preserve"> </w:t>
      </w:r>
      <w:r w:rsidRPr="00976BB0">
        <w:rPr>
          <w:rFonts w:hint="eastAsia"/>
          <w:rtl/>
        </w:rPr>
        <w:t>המוסמכים</w:t>
      </w:r>
      <w:r w:rsidRPr="00976BB0">
        <w:rPr>
          <w:rtl/>
        </w:rPr>
        <w:t xml:space="preserve"> </w:t>
      </w:r>
      <w:r w:rsidRPr="00976BB0">
        <w:rPr>
          <w:rFonts w:hint="eastAsia"/>
          <w:rtl/>
        </w:rPr>
        <w:t>לכך</w:t>
      </w:r>
      <w:r w:rsidRPr="00976BB0">
        <w:rPr>
          <w:rtl/>
        </w:rPr>
        <w:t xml:space="preserve"> </w:t>
      </w:r>
      <w:r w:rsidRPr="00976BB0">
        <w:rPr>
          <w:rFonts w:hint="eastAsia"/>
          <w:rtl/>
        </w:rPr>
        <w:t>במדינה</w:t>
      </w:r>
      <w:r w:rsidRPr="00976BB0">
        <w:rPr>
          <w:rtl/>
        </w:rPr>
        <w:t xml:space="preserve">, </w:t>
      </w:r>
      <w:r w:rsidRPr="00976BB0">
        <w:rPr>
          <w:rFonts w:hint="eastAsia"/>
          <w:rtl/>
        </w:rPr>
        <w:t>לא</w:t>
      </w:r>
      <w:r w:rsidRPr="00976BB0">
        <w:rPr>
          <w:rtl/>
        </w:rPr>
        <w:t xml:space="preserve"> </w:t>
      </w:r>
      <w:r w:rsidRPr="00976BB0">
        <w:rPr>
          <w:rFonts w:hint="eastAsia"/>
          <w:rtl/>
        </w:rPr>
        <w:t>תידון</w:t>
      </w:r>
      <w:r w:rsidRPr="00976BB0">
        <w:rPr>
          <w:rtl/>
        </w:rPr>
        <w:t xml:space="preserve"> </w:t>
      </w:r>
      <w:r>
        <w:rPr>
          <w:rFonts w:hint="cs"/>
          <w:rtl/>
        </w:rPr>
        <w:t xml:space="preserve">כל תביעה </w:t>
      </w:r>
      <w:r w:rsidRPr="00976BB0">
        <w:rPr>
          <w:rFonts w:hint="eastAsia"/>
          <w:rtl/>
        </w:rPr>
        <w:t>של</w:t>
      </w:r>
      <w:r w:rsidRPr="00976BB0">
        <w:rPr>
          <w:rtl/>
        </w:rPr>
        <w:t xml:space="preserve"> </w:t>
      </w:r>
      <w:r w:rsidRPr="00976BB0">
        <w:rPr>
          <w:rFonts w:hint="eastAsia"/>
          <w:rtl/>
        </w:rPr>
        <w:t>נתין</w:t>
      </w:r>
      <w:r w:rsidRPr="00976BB0">
        <w:rPr>
          <w:rtl/>
        </w:rPr>
        <w:t xml:space="preserve"> </w:t>
      </w:r>
      <w:r w:rsidRPr="00976BB0">
        <w:rPr>
          <w:rFonts w:hint="eastAsia"/>
          <w:rtl/>
        </w:rPr>
        <w:t>מדינת</w:t>
      </w:r>
      <w:r w:rsidRPr="00976BB0">
        <w:rPr>
          <w:rtl/>
        </w:rPr>
        <w:t xml:space="preserve"> </w:t>
      </w:r>
      <w:r w:rsidRPr="00976BB0">
        <w:rPr>
          <w:rFonts w:hint="eastAsia"/>
          <w:rtl/>
        </w:rPr>
        <w:t>אויב</w:t>
      </w:r>
      <w:r>
        <w:rPr>
          <w:rFonts w:hint="cs"/>
          <w:rtl/>
        </w:rPr>
        <w:t>, נגד כל גורם, ובכלל זאת המדינה (</w:t>
      </w:r>
      <w:r w:rsidRPr="00F90C51">
        <w:rPr>
          <w:rFonts w:asciiTheme="majorBidi" w:hAnsiTheme="majorBidi" w:cstheme="majorBidi"/>
        </w:rPr>
        <w:t>Porter v Freudenberg, [1915] 1 K.B. 857, 880</w:t>
      </w:r>
      <w:r w:rsidRPr="00F90C51">
        <w:rPr>
          <w:rFonts w:asciiTheme="majorBidi" w:hAnsiTheme="majorBidi" w:cstheme="majorBidi" w:hint="cs"/>
          <w:rtl/>
        </w:rPr>
        <w:t xml:space="preserve"> </w:t>
      </w:r>
      <w:r w:rsidRPr="00F90C51">
        <w:rPr>
          <w:rFonts w:ascii="Century" w:hAnsi="Century" w:hint="cs"/>
          <w:sz w:val="22"/>
          <w:rtl/>
        </w:rPr>
        <w:t xml:space="preserve">(להלן: </w:t>
      </w:r>
      <w:r w:rsidRPr="00F90C51">
        <w:rPr>
          <w:rFonts w:ascii="Century" w:hAnsi="Century" w:cs="Miriam" w:hint="cs"/>
          <w:b/>
          <w:spacing w:val="0"/>
          <w:sz w:val="22"/>
          <w:szCs w:val="24"/>
          <w:rtl/>
        </w:rPr>
        <w:t xml:space="preserve">עניין </w:t>
      </w:r>
      <w:r w:rsidRPr="00C5047E">
        <w:rPr>
          <w:rFonts w:asciiTheme="majorBidi" w:hAnsiTheme="majorBidi" w:cstheme="majorBidi"/>
          <w:bCs/>
          <w:spacing w:val="0"/>
          <w:szCs w:val="24"/>
        </w:rPr>
        <w:t>Porter</w:t>
      </w:r>
      <w:r w:rsidRPr="00F90C51">
        <w:rPr>
          <w:rFonts w:ascii="Century" w:hAnsi="Century" w:hint="cs"/>
          <w:sz w:val="22"/>
          <w:rtl/>
        </w:rPr>
        <w:t>)</w:t>
      </w:r>
      <w:r w:rsidRPr="00F90C51">
        <w:rPr>
          <w:rFonts w:asciiTheme="majorBidi" w:hAnsiTheme="majorBidi" w:cstheme="majorBidi" w:hint="cs"/>
          <w:rtl/>
        </w:rPr>
        <w:t xml:space="preserve">; </w:t>
      </w:r>
      <w:r w:rsidRPr="00F90C51">
        <w:rPr>
          <w:rFonts w:asciiTheme="majorBidi" w:hAnsiTheme="majorBidi" w:cstheme="majorBidi"/>
          <w:smallCaps/>
        </w:rPr>
        <w:t>Chitty on Contracts</w:t>
      </w:r>
      <w:r w:rsidRPr="00F90C51">
        <w:rPr>
          <w:rFonts w:asciiTheme="majorBidi" w:hAnsiTheme="majorBidi" w:cstheme="majorBidi"/>
        </w:rPr>
        <w:t xml:space="preserve"> 809-10 (13 ed. 2012)</w:t>
      </w:r>
      <w:r>
        <w:rPr>
          <w:rFonts w:hint="cs"/>
          <w:rtl/>
        </w:rPr>
        <w:t>). תכליתו של כלל זה היא למנוע כל הטבה אפשרית ממדינת האויב בתקופת המלחמה, וזאת בהתבסס על ההנחה שניהול התביעה, ובפרט הכרעה ופסיקת פיצוים לטובת נתין מדינת אויב, עשוי להטיב עם מדינת האויב (</w:t>
      </w:r>
      <w:r w:rsidRPr="00DB51B0">
        <w:rPr>
          <w:rFonts w:hint="eastAsia"/>
          <w:rtl/>
        </w:rPr>
        <w:t>דנ</w:t>
      </w:r>
      <w:r w:rsidRPr="00DB51B0">
        <w:rPr>
          <w:rtl/>
        </w:rPr>
        <w:t>"</w:t>
      </w:r>
      <w:r w:rsidRPr="00DB51B0">
        <w:rPr>
          <w:rFonts w:hint="eastAsia"/>
          <w:rtl/>
        </w:rPr>
        <w:t>א</w:t>
      </w:r>
      <w:r w:rsidRPr="00DB51B0">
        <w:rPr>
          <w:rtl/>
        </w:rPr>
        <w:t xml:space="preserve"> 5698/11 </w:t>
      </w:r>
      <w:r w:rsidRPr="00F90C51">
        <w:rPr>
          <w:rFonts w:ascii="Century" w:hAnsi="Century" w:cs="Miriam" w:hint="eastAsia"/>
          <w:b/>
          <w:spacing w:val="0"/>
          <w:sz w:val="22"/>
          <w:szCs w:val="24"/>
          <w:rtl/>
        </w:rPr>
        <w:t>מדינת</w:t>
      </w:r>
      <w:r w:rsidRPr="00F90C51">
        <w:rPr>
          <w:rFonts w:ascii="Century" w:hAnsi="Century" w:cs="Miriam"/>
          <w:b/>
          <w:spacing w:val="0"/>
          <w:sz w:val="22"/>
          <w:szCs w:val="24"/>
          <w:rtl/>
        </w:rPr>
        <w:t xml:space="preserve"> </w:t>
      </w:r>
      <w:r w:rsidRPr="00F90C51">
        <w:rPr>
          <w:rFonts w:ascii="Century" w:hAnsi="Century" w:cs="Miriam" w:hint="eastAsia"/>
          <w:b/>
          <w:spacing w:val="0"/>
          <w:sz w:val="22"/>
          <w:szCs w:val="24"/>
          <w:rtl/>
        </w:rPr>
        <w:t>ישראל</w:t>
      </w:r>
      <w:r w:rsidRPr="00F90C51">
        <w:rPr>
          <w:rFonts w:ascii="Century" w:hAnsi="Century" w:cs="Miriam"/>
          <w:b/>
          <w:spacing w:val="0"/>
          <w:sz w:val="22"/>
          <w:szCs w:val="24"/>
          <w:rtl/>
        </w:rPr>
        <w:t xml:space="preserve"> </w:t>
      </w:r>
      <w:r w:rsidRPr="00F90C51">
        <w:rPr>
          <w:rFonts w:ascii="Century" w:hAnsi="Century" w:cs="Miriam" w:hint="eastAsia"/>
          <w:b/>
          <w:spacing w:val="0"/>
          <w:sz w:val="22"/>
          <w:szCs w:val="24"/>
          <w:rtl/>
        </w:rPr>
        <w:t>נ</w:t>
      </w:r>
      <w:r w:rsidRPr="00F90C51">
        <w:rPr>
          <w:rFonts w:ascii="Century" w:hAnsi="Century" w:cs="Miriam"/>
          <w:b/>
          <w:spacing w:val="0"/>
          <w:sz w:val="22"/>
          <w:szCs w:val="24"/>
          <w:rtl/>
        </w:rPr>
        <w:t xml:space="preserve">' </w:t>
      </w:r>
      <w:r w:rsidRPr="00F90C51">
        <w:rPr>
          <w:rFonts w:ascii="Century" w:hAnsi="Century" w:cs="Miriam" w:hint="eastAsia"/>
          <w:b/>
          <w:spacing w:val="0"/>
          <w:sz w:val="22"/>
          <w:szCs w:val="24"/>
          <w:rtl/>
        </w:rPr>
        <w:t>דיראני</w:t>
      </w:r>
      <w:r w:rsidRPr="00DB51B0">
        <w:rPr>
          <w:rtl/>
        </w:rPr>
        <w:t xml:space="preserve">, </w:t>
      </w:r>
      <w:r w:rsidRPr="00DB51B0">
        <w:rPr>
          <w:rFonts w:hint="eastAsia"/>
          <w:rtl/>
        </w:rPr>
        <w:t>פסקה</w:t>
      </w:r>
      <w:r w:rsidRPr="00DB51B0">
        <w:rPr>
          <w:rtl/>
        </w:rPr>
        <w:t xml:space="preserve"> </w:t>
      </w:r>
      <w:r>
        <w:rPr>
          <w:rFonts w:hint="cs"/>
          <w:rtl/>
        </w:rPr>
        <w:t>16</w:t>
      </w:r>
      <w:r w:rsidRPr="00DB51B0">
        <w:rPr>
          <w:rtl/>
        </w:rPr>
        <w:t xml:space="preserve"> (15.1.2015)</w:t>
      </w:r>
      <w:r>
        <w:rPr>
          <w:rFonts w:hint="cs"/>
          <w:rtl/>
        </w:rPr>
        <w:t xml:space="preserve"> (להלן: </w:t>
      </w:r>
      <w:r w:rsidRPr="00F677C4">
        <w:rPr>
          <w:rFonts w:ascii="Century" w:hAnsi="Century" w:cs="Miriam" w:hint="cs"/>
          <w:b/>
          <w:spacing w:val="0"/>
          <w:sz w:val="22"/>
          <w:szCs w:val="24"/>
          <w:rtl/>
        </w:rPr>
        <w:t>עניין דיראני</w:t>
      </w:r>
      <w:r>
        <w:rPr>
          <w:rFonts w:hint="cs"/>
          <w:rtl/>
        </w:rPr>
        <w:t xml:space="preserve">); </w:t>
      </w:r>
      <w:r w:rsidRPr="00F90C51">
        <w:rPr>
          <w:rFonts w:ascii="Century" w:hAnsi="Century" w:hint="cs"/>
          <w:sz w:val="22"/>
          <w:rtl/>
        </w:rPr>
        <w:t>עניין</w:t>
      </w:r>
      <w:r w:rsidRPr="00F90C51">
        <w:rPr>
          <w:rFonts w:ascii="Century" w:hAnsi="Century" w:cs="Miriam" w:hint="cs"/>
          <w:b/>
          <w:spacing w:val="0"/>
          <w:sz w:val="22"/>
          <w:szCs w:val="24"/>
          <w:rtl/>
        </w:rPr>
        <w:t xml:space="preserve"> </w:t>
      </w:r>
      <w:r w:rsidRPr="00C5047E">
        <w:rPr>
          <w:rFonts w:asciiTheme="majorBidi" w:hAnsiTheme="majorBidi" w:cstheme="majorBidi"/>
          <w:bCs/>
          <w:spacing w:val="0"/>
          <w:sz w:val="22"/>
          <w:szCs w:val="24"/>
        </w:rPr>
        <w:t>Porter</w:t>
      </w:r>
      <w:r w:rsidRPr="00BA78EE">
        <w:rPr>
          <w:rFonts w:ascii="Century" w:hAnsi="Century" w:hint="cs"/>
          <w:sz w:val="22"/>
          <w:rtl/>
        </w:rPr>
        <w:t>,</w:t>
      </w:r>
      <w:r w:rsidRPr="00F90C51">
        <w:rPr>
          <w:rFonts w:ascii="Century" w:hAnsi="Century" w:cs="Miriam" w:hint="cs"/>
          <w:b/>
          <w:spacing w:val="0"/>
          <w:sz w:val="22"/>
          <w:szCs w:val="24"/>
          <w:rtl/>
        </w:rPr>
        <w:t xml:space="preserve"> </w:t>
      </w:r>
      <w:r w:rsidRPr="00BA78EE">
        <w:rPr>
          <w:rFonts w:ascii="Century" w:hAnsi="Century" w:hint="cs"/>
          <w:sz w:val="22"/>
          <w:rtl/>
        </w:rPr>
        <w:t>בעמ' 868</w:t>
      </w:r>
      <w:r w:rsidRPr="00F90C51">
        <w:rPr>
          <w:rFonts w:ascii="Century" w:hAnsi="Century" w:cs="Miriam" w:hint="cs"/>
          <w:b/>
          <w:spacing w:val="0"/>
          <w:sz w:val="22"/>
          <w:szCs w:val="24"/>
          <w:rtl/>
        </w:rPr>
        <w:t xml:space="preserve">; </w:t>
      </w:r>
      <w:r w:rsidRPr="00C5047E">
        <w:rPr>
          <w:rFonts w:asciiTheme="majorBidi" w:hAnsiTheme="majorBidi" w:cstheme="majorBidi"/>
          <w:szCs w:val="24"/>
        </w:rPr>
        <w:t>Sovfracht (V/O) v Van Udens Scheepvaart en Agentuur Maatschappij (NV</w:t>
      </w:r>
      <w:r w:rsidRPr="00F90C51">
        <w:rPr>
          <w:rFonts w:asciiTheme="majorBidi" w:hAnsiTheme="majorBidi" w:cstheme="majorBidi"/>
          <w:sz w:val="22"/>
        </w:rPr>
        <w:t xml:space="preserve"> </w:t>
      </w:r>
      <w:r w:rsidRPr="00C5047E">
        <w:rPr>
          <w:rFonts w:asciiTheme="majorBidi" w:hAnsiTheme="majorBidi" w:cstheme="majorBidi"/>
          <w:szCs w:val="24"/>
        </w:rPr>
        <w:t>Gebr), [1943] A.C. 203, 212</w:t>
      </w:r>
      <w:r>
        <w:rPr>
          <w:rFonts w:hint="cs"/>
          <w:rtl/>
        </w:rPr>
        <w:t>). כלל זה נוהג במספר מדינות, ובכללן אנגליה, ארה"ב וקנדה (</w:t>
      </w:r>
      <w:r w:rsidRPr="00F90C51">
        <w:rPr>
          <w:rFonts w:asciiTheme="majorBidi" w:hAnsiTheme="majorBidi" w:cstheme="majorBidi"/>
        </w:rPr>
        <w:t xml:space="preserve">Karen Knop, </w:t>
      </w:r>
      <w:r w:rsidRPr="00F90C51">
        <w:rPr>
          <w:rFonts w:asciiTheme="majorBidi" w:hAnsiTheme="majorBidi" w:cstheme="majorBidi"/>
          <w:i/>
          <w:iCs/>
        </w:rPr>
        <w:t>Citizenship, Public and Private</w:t>
      </w:r>
      <w:r w:rsidRPr="00F90C51">
        <w:rPr>
          <w:rFonts w:asciiTheme="majorBidi" w:hAnsiTheme="majorBidi" w:cstheme="majorBidi"/>
        </w:rPr>
        <w:t xml:space="preserve">, 71 </w:t>
      </w:r>
      <w:r w:rsidRPr="00F90C51">
        <w:rPr>
          <w:rFonts w:asciiTheme="majorBidi" w:hAnsiTheme="majorBidi" w:cstheme="majorBidi"/>
          <w:smallCaps/>
        </w:rPr>
        <w:t>L. &amp; Contemp. Prob.</w:t>
      </w:r>
      <w:r w:rsidRPr="00F90C51">
        <w:rPr>
          <w:rFonts w:asciiTheme="majorBidi" w:hAnsiTheme="majorBidi" w:cstheme="majorBidi"/>
        </w:rPr>
        <w:t xml:space="preserve"> 309, 322 (2008);</w:t>
      </w:r>
      <w:r w:rsidRPr="00F90C51">
        <w:rPr>
          <w:color w:val="FF0000"/>
        </w:rPr>
        <w:t xml:space="preserve"> </w:t>
      </w:r>
      <w:r w:rsidRPr="00F90C51">
        <w:rPr>
          <w:rFonts w:ascii="Times New Roman" w:hAnsi="Times New Roman"/>
        </w:rPr>
        <w:t xml:space="preserve">Andrew Kent, </w:t>
      </w:r>
      <w:r w:rsidRPr="00F90C51">
        <w:rPr>
          <w:rFonts w:ascii="Times New Roman" w:hAnsi="Times New Roman"/>
          <w:i/>
          <w:iCs/>
        </w:rPr>
        <w:t>Judicial Review for Enemy Fighters: The Court's Fateful Turn in Ex parte Quirin, the Nazi Saboteur Case</w:t>
      </w:r>
      <w:r w:rsidRPr="00F90C51">
        <w:rPr>
          <w:rFonts w:ascii="Times New Roman" w:hAnsi="Times New Roman"/>
        </w:rPr>
        <w:t xml:space="preserve">, </w:t>
      </w:r>
      <w:proofErr w:type="gramStart"/>
      <w:r w:rsidRPr="00F90C51">
        <w:rPr>
          <w:rFonts w:ascii="Times New Roman" w:hAnsi="Times New Roman"/>
        </w:rPr>
        <w:t>66</w:t>
      </w:r>
      <w:proofErr w:type="gramEnd"/>
      <w:r w:rsidRPr="00F90C51">
        <w:rPr>
          <w:rFonts w:ascii="Times New Roman" w:hAnsi="Times New Roman"/>
        </w:rPr>
        <w:t xml:space="preserve"> </w:t>
      </w:r>
      <w:r w:rsidRPr="00F90C51">
        <w:rPr>
          <w:rFonts w:ascii="Times New Roman" w:hAnsi="Times New Roman"/>
          <w:smallCaps/>
        </w:rPr>
        <w:t>Vand. L. Rev.</w:t>
      </w:r>
      <w:r w:rsidRPr="00F90C51">
        <w:rPr>
          <w:rFonts w:ascii="Times New Roman" w:hAnsi="Times New Roman"/>
        </w:rPr>
        <w:t xml:space="preserve"> 153, 188 (2013)</w:t>
      </w:r>
      <w:r w:rsidRPr="00F90C51">
        <w:rPr>
          <w:rFonts w:ascii="Times New Roman" w:hAnsi="Times New Roman" w:cs="Times New Roman" w:hint="cs"/>
          <w:szCs w:val="24"/>
          <w:rtl/>
        </w:rPr>
        <w:t>)</w:t>
      </w:r>
      <w:r>
        <w:rPr>
          <w:rFonts w:hint="cs"/>
          <w:rtl/>
        </w:rPr>
        <w:t xml:space="preserve">. </w:t>
      </w:r>
    </w:p>
    <w:p w:rsidR="00745AC1" w:rsidRDefault="00745AC1" w:rsidP="00240E22">
      <w:pPr>
        <w:pStyle w:val="Ruller4"/>
        <w:numPr>
          <w:ilvl w:val="0"/>
          <w:numId w:val="0"/>
        </w:numPr>
        <w:spacing w:line="240" w:lineRule="auto"/>
      </w:pPr>
    </w:p>
    <w:p w:rsidR="00745AC1" w:rsidRDefault="00745AC1" w:rsidP="00326F04">
      <w:pPr>
        <w:pStyle w:val="Ruller4"/>
      </w:pPr>
      <w:r>
        <w:rPr>
          <w:rFonts w:hint="cs"/>
          <w:rtl/>
        </w:rPr>
        <w:t xml:space="preserve">בהקשר זה יודגש כי אופיו הגורף של הכלל מהמשפט המקובל, במסגרתו נחסם כליל הדיון בתביעות של כל תושבי מדינת האויב, מתאזן לנוכח הדרישה הדווקנית הנזכרת מעלה לקיומה של 'מלחמה פורמלית' כתנאי בלעדיו אין לצורך חסימת הדיון בתביעות אלו. עמד על כך הנשיא </w:t>
      </w:r>
      <w:r w:rsidRPr="000457FA">
        <w:rPr>
          <w:rFonts w:ascii="Century" w:hAnsi="Century" w:cs="Miriam" w:hint="cs"/>
          <w:b/>
          <w:spacing w:val="0"/>
          <w:sz w:val="22"/>
          <w:szCs w:val="24"/>
          <w:rtl/>
        </w:rPr>
        <w:t>אשר גרוניס</w:t>
      </w:r>
      <w:r w:rsidRPr="000457FA">
        <w:rPr>
          <w:rFonts w:hint="cs"/>
          <w:rtl/>
        </w:rPr>
        <w:t xml:space="preserve"> </w:t>
      </w:r>
      <w:r>
        <w:rPr>
          <w:rFonts w:hint="cs"/>
          <w:rtl/>
        </w:rPr>
        <w:t xml:space="preserve">בעניין </w:t>
      </w:r>
      <w:r w:rsidRPr="005F79EC">
        <w:rPr>
          <w:rFonts w:ascii="Century" w:hAnsi="Century" w:cs="Miriam" w:hint="cs"/>
          <w:b/>
          <w:spacing w:val="0"/>
          <w:sz w:val="22"/>
          <w:szCs w:val="24"/>
          <w:rtl/>
        </w:rPr>
        <w:t>דיראני</w:t>
      </w:r>
      <w:r>
        <w:rPr>
          <w:rFonts w:hint="cs"/>
          <w:rtl/>
        </w:rPr>
        <w:t xml:space="preserve">, </w:t>
      </w:r>
      <w:r w:rsidRPr="00BD003D">
        <w:rPr>
          <w:rFonts w:ascii="Century" w:hAnsi="Century" w:hint="cs"/>
          <w:sz w:val="22"/>
          <w:rtl/>
        </w:rPr>
        <w:t xml:space="preserve">פסקה </w:t>
      </w:r>
      <w:r>
        <w:rPr>
          <w:rFonts w:ascii="Century" w:hAnsi="Century" w:hint="cs"/>
          <w:sz w:val="22"/>
          <w:rtl/>
        </w:rPr>
        <w:t>55,</w:t>
      </w:r>
      <w:r w:rsidRPr="00BD003D">
        <w:rPr>
          <w:rFonts w:ascii="Century" w:hAnsi="Century" w:hint="cs"/>
          <w:sz w:val="22"/>
          <w:rtl/>
        </w:rPr>
        <w:t xml:space="preserve"> </w:t>
      </w:r>
      <w:r>
        <w:rPr>
          <w:rFonts w:ascii="Century" w:hAnsi="Century" w:hint="cs"/>
          <w:sz w:val="22"/>
          <w:rtl/>
        </w:rPr>
        <w:t>בציינו כי:</w:t>
      </w:r>
      <w:r w:rsidRPr="00BD003D">
        <w:rPr>
          <w:rFonts w:ascii="Century" w:hAnsi="Century" w:cs="Miriam" w:hint="cs"/>
          <w:b/>
          <w:spacing w:val="0"/>
          <w:sz w:val="22"/>
          <w:szCs w:val="24"/>
          <w:rtl/>
        </w:rPr>
        <w:t xml:space="preserve"> </w:t>
      </w:r>
    </w:p>
    <w:p w:rsidR="00745AC1" w:rsidRDefault="00745AC1" w:rsidP="00745AC1">
      <w:pPr>
        <w:pStyle w:val="Ruller5"/>
        <w:rPr>
          <w:rtl/>
        </w:rPr>
      </w:pPr>
    </w:p>
    <w:p w:rsidR="00745AC1" w:rsidRDefault="00745AC1" w:rsidP="00745AC1">
      <w:pPr>
        <w:pStyle w:val="Ruller5"/>
        <w:rPr>
          <w:rtl/>
        </w:rPr>
      </w:pPr>
      <w:r w:rsidRPr="000457FA">
        <w:rPr>
          <w:rFonts w:hint="cs"/>
          <w:rtl/>
        </w:rPr>
        <w:t>בגדר הכלל הנוהג זה מאות שנים במשפט המקובל לפיו אין מבררים תביעתו של אויב, ישנו "שיווי משקל" בין התנאי הקשיח הנדרש להפעלתו של הכלל –</w:t>
      </w:r>
      <w:r>
        <w:rPr>
          <w:rFonts w:hint="cs"/>
          <w:rtl/>
        </w:rPr>
        <w:t xml:space="preserve"> </w:t>
      </w:r>
      <w:r w:rsidRPr="000457FA">
        <w:rPr>
          <w:rFonts w:hint="cs"/>
          <w:rtl/>
        </w:rPr>
        <w:t>קיומה של מלחמה פורמלית בין המדינות, התוחם את תחולתו של הכלל בזמן – לבין יישומו הגורף של הכלל – החלתו על כל תושביה של מדינת האויב, בהתאם למקום מגוריהם הטריטוריאלי, וללא בחינה ספציפית של עוינותם. התחולה הגורפת של הכלל על כל יושביה של מדינת האויב ממותנת בתחימתו המוגבלת בזמן למשך תקופתה של המלחמה.</w:t>
      </w:r>
    </w:p>
    <w:p w:rsidR="00745AC1" w:rsidRDefault="00745AC1" w:rsidP="00240E22">
      <w:pPr>
        <w:pStyle w:val="Ruller5"/>
        <w:spacing w:line="360" w:lineRule="auto"/>
      </w:pPr>
    </w:p>
    <w:p w:rsidR="00745AC1" w:rsidRDefault="00745AC1" w:rsidP="00745AC1">
      <w:pPr>
        <w:pStyle w:val="Ruller4"/>
        <w:numPr>
          <w:ilvl w:val="0"/>
          <w:numId w:val="0"/>
        </w:numPr>
        <w:rPr>
          <w:rtl/>
        </w:rPr>
      </w:pPr>
      <w:r>
        <w:rPr>
          <w:rtl/>
        </w:rPr>
        <w:tab/>
      </w:r>
      <w:r>
        <w:rPr>
          <w:rFonts w:hint="cs"/>
          <w:rtl/>
        </w:rPr>
        <w:t xml:space="preserve">אם כן, על פי הכלל מהמשפט המקובל, בהעדר הכרזה פורמלית בדבר מלחמה, לא ניתן למנוע את בירור תביעת האויב. כך, למשל, בעניין </w:t>
      </w:r>
      <w:r w:rsidRPr="00312E35">
        <w:rPr>
          <w:rFonts w:asciiTheme="majorBidi" w:hAnsiTheme="majorBidi" w:cstheme="majorBidi"/>
        </w:rPr>
        <w:t>Amin v Brown, [2005] EWHC 1670 (Ch)</w:t>
      </w:r>
      <w:r>
        <w:rPr>
          <w:rFonts w:hint="cs"/>
          <w:rtl/>
        </w:rPr>
        <w:t xml:space="preserve"> סירב בית משפט בבריטניה להחיל את הכלל האמור על תביעה שהגישה תושבת עיראק בבריטניה, כיוון שבין בריטניה לבין עיראק לא מתקיימת מלחמה פורמלית, אלא עימות מזוין בלבד (</w:t>
      </w:r>
      <w:r w:rsidRPr="00312E35">
        <w:rPr>
          <w:rFonts w:asciiTheme="majorBidi" w:hAnsiTheme="majorBidi" w:cstheme="majorBidi"/>
        </w:rPr>
        <w:t>Armed conflict</w:t>
      </w:r>
      <w:r>
        <w:rPr>
          <w:rFonts w:hint="cs"/>
          <w:rtl/>
        </w:rPr>
        <w:t xml:space="preserve">), ומשכך נקבע כי אין מקום לחסום את הדיון בתביעה. משמעות הדברים, בהקשר הישראלי, היא שלצורך תחולת הכלל לפיו אין מבררים תביעת אויב, נדרש כי תתקבל החלטת ממשלה לפי סעיף 40 לחוק יסוד: הממשלה המכריזה באופן פורמלי על קיומה של מלחמה (ראו, עניין </w:t>
      </w:r>
      <w:r w:rsidRPr="00D91957">
        <w:rPr>
          <w:rFonts w:ascii="Century" w:hAnsi="Century" w:cs="Miriam" w:hint="cs"/>
          <w:b/>
          <w:spacing w:val="0"/>
          <w:sz w:val="22"/>
          <w:szCs w:val="24"/>
          <w:rtl/>
        </w:rPr>
        <w:t>דיראני</w:t>
      </w:r>
      <w:r>
        <w:rPr>
          <w:rFonts w:hint="cs"/>
          <w:rtl/>
        </w:rPr>
        <w:t>, פסקה 48).</w:t>
      </w:r>
    </w:p>
    <w:p w:rsidR="00745AC1" w:rsidRPr="00312E35" w:rsidRDefault="00745AC1" w:rsidP="00240E22">
      <w:pPr>
        <w:pStyle w:val="Ruller41"/>
        <w:spacing w:line="240" w:lineRule="auto"/>
      </w:pPr>
    </w:p>
    <w:p w:rsidR="00745AC1" w:rsidRDefault="00745AC1" w:rsidP="00745AC1">
      <w:pPr>
        <w:pStyle w:val="Ruller4"/>
      </w:pPr>
      <w:r>
        <w:rPr>
          <w:rFonts w:hint="cs"/>
          <w:rtl/>
        </w:rPr>
        <w:t>בנוסף, יודגש כי בהתאם לתכלית של הכלל מהמשפט המקובל, קרי מניעה של הטבות מן האויב בזמן הלחימה, התביעות של תושבי מדינת האויב אינן נחסמות לצמיתות, אלא הדיון בהן מושהה אך למשך המלחמה הפורמלית שהוכרזה, ועם סיומה, ניתן לשוב ולדון בתביעותיהם של נתיני מדינת האויב (</w:t>
      </w:r>
      <w:r w:rsidRPr="00BA78EE">
        <w:rPr>
          <w:rFonts w:hint="eastAsia"/>
          <w:rtl/>
        </w:rPr>
        <w:t>עניין</w:t>
      </w:r>
      <w:r w:rsidRPr="00BA78EE">
        <w:rPr>
          <w:rtl/>
        </w:rPr>
        <w:t xml:space="preserve"> </w:t>
      </w:r>
      <w:r w:rsidRPr="00C5047E">
        <w:rPr>
          <w:rFonts w:asciiTheme="majorBidi" w:hAnsiTheme="majorBidi" w:cstheme="majorBidi"/>
          <w:bCs/>
          <w:spacing w:val="0"/>
          <w:szCs w:val="24"/>
        </w:rPr>
        <w:t>Porter</w:t>
      </w:r>
      <w:r w:rsidRPr="00BA78EE">
        <w:rPr>
          <w:rtl/>
        </w:rPr>
        <w:t xml:space="preserve">, </w:t>
      </w:r>
      <w:r w:rsidRPr="00BA78EE">
        <w:rPr>
          <w:rFonts w:hint="eastAsia"/>
          <w:rtl/>
        </w:rPr>
        <w:t>בעמ</w:t>
      </w:r>
      <w:r w:rsidRPr="00BA78EE">
        <w:rPr>
          <w:rtl/>
        </w:rPr>
        <w:t xml:space="preserve">' </w:t>
      </w:r>
      <w:r w:rsidRPr="00BA78EE">
        <w:rPr>
          <w:rFonts w:ascii="Century" w:hAnsi="Century"/>
          <w:sz w:val="22"/>
          <w:rtl/>
        </w:rPr>
        <w:t>8</w:t>
      </w:r>
      <w:r w:rsidRPr="00BA78EE">
        <w:rPr>
          <w:rFonts w:ascii="Century" w:hAnsi="Century" w:hint="cs"/>
          <w:sz w:val="22"/>
          <w:rtl/>
        </w:rPr>
        <w:t>80</w:t>
      </w:r>
      <w:r>
        <w:rPr>
          <w:rFonts w:hint="cs"/>
          <w:rtl/>
        </w:rPr>
        <w:t>).</w:t>
      </w:r>
    </w:p>
    <w:p w:rsidR="00745AC1" w:rsidRDefault="00745AC1" w:rsidP="00240E22">
      <w:pPr>
        <w:pStyle w:val="Ruller4"/>
        <w:numPr>
          <w:ilvl w:val="0"/>
          <w:numId w:val="0"/>
        </w:numPr>
        <w:spacing w:line="240" w:lineRule="auto"/>
      </w:pPr>
    </w:p>
    <w:p w:rsidR="00745AC1" w:rsidRDefault="00745AC1" w:rsidP="00745AC1">
      <w:pPr>
        <w:pStyle w:val="Ruller4"/>
        <w:rPr>
          <w:rtl/>
        </w:rPr>
      </w:pPr>
      <w:r>
        <w:rPr>
          <w:rFonts w:hint="cs"/>
          <w:rtl/>
        </w:rPr>
        <w:t xml:space="preserve">בעניין </w:t>
      </w:r>
      <w:r w:rsidRPr="00EE5484">
        <w:rPr>
          <w:rFonts w:ascii="Century" w:hAnsi="Century" w:cs="Miriam" w:hint="cs"/>
          <w:b/>
          <w:spacing w:val="0"/>
          <w:sz w:val="22"/>
          <w:szCs w:val="24"/>
          <w:rtl/>
        </w:rPr>
        <w:t>דיראני</w:t>
      </w:r>
      <w:r>
        <w:rPr>
          <w:rFonts w:hint="cs"/>
          <w:rtl/>
        </w:rPr>
        <w:t xml:space="preserve"> </w:t>
      </w:r>
      <w:r w:rsidRPr="00BD003D">
        <w:rPr>
          <w:rFonts w:ascii="Century" w:hAnsi="Century" w:hint="cs"/>
          <w:sz w:val="22"/>
          <w:rtl/>
        </w:rPr>
        <w:t>נקבע כי הכלל לפיו אין מבררים תביעות אויב נקלט זה מכבר במשפט הישראלי</w:t>
      </w:r>
      <w:r>
        <w:rPr>
          <w:rFonts w:ascii="Century" w:hAnsi="Century" w:hint="cs"/>
          <w:sz w:val="22"/>
          <w:rtl/>
        </w:rPr>
        <w:t>,</w:t>
      </w:r>
      <w:r w:rsidRPr="00BD003D">
        <w:rPr>
          <w:rFonts w:ascii="Century" w:hAnsi="Century" w:hint="cs"/>
          <w:sz w:val="22"/>
          <w:rtl/>
        </w:rPr>
        <w:t xml:space="preserve"> מכוח סימן 46 לדבר המלך במועצה על ארץ ישראל, 1922</w:t>
      </w:r>
      <w:r>
        <w:rPr>
          <w:rFonts w:ascii="Century" w:hAnsi="Century" w:hint="cs"/>
          <w:sz w:val="22"/>
          <w:rtl/>
        </w:rPr>
        <w:t xml:space="preserve"> (שם, פסקה 39)</w:t>
      </w:r>
      <w:r w:rsidRPr="00BD003D">
        <w:rPr>
          <w:rFonts w:ascii="Century" w:hAnsi="Century" w:hint="cs"/>
          <w:sz w:val="22"/>
          <w:rtl/>
        </w:rPr>
        <w:t xml:space="preserve">. </w:t>
      </w:r>
      <w:r>
        <w:rPr>
          <w:rFonts w:ascii="Century" w:hAnsi="Century" w:hint="cs"/>
          <w:sz w:val="22"/>
          <w:rtl/>
        </w:rPr>
        <w:t xml:space="preserve">כמו כן, באותו עניין נפסק כי לאור ההתפתחויות והשינויים שחלו במאפייני הסכסוכים המזויינים בימנו אנו, </w:t>
      </w:r>
      <w:r w:rsidRPr="00BD003D">
        <w:rPr>
          <w:rFonts w:ascii="Century" w:hAnsi="Century" w:hint="cs"/>
          <w:sz w:val="22"/>
          <w:rtl/>
        </w:rPr>
        <w:t xml:space="preserve">יש מקום להתאים את הכלל </w:t>
      </w:r>
      <w:r>
        <w:rPr>
          <w:rFonts w:ascii="Century" w:hAnsi="Century" w:hint="cs"/>
          <w:sz w:val="22"/>
          <w:rtl/>
        </w:rPr>
        <w:t xml:space="preserve">מהמשפט המקובל </w:t>
      </w:r>
      <w:r w:rsidRPr="00BD003D">
        <w:rPr>
          <w:rFonts w:ascii="Century" w:hAnsi="Century" w:hint="cs"/>
          <w:sz w:val="22"/>
          <w:rtl/>
        </w:rPr>
        <w:t>ל</w:t>
      </w:r>
      <w:r>
        <w:rPr>
          <w:rFonts w:ascii="Century" w:hAnsi="Century" w:hint="cs"/>
          <w:sz w:val="22"/>
          <w:rtl/>
        </w:rPr>
        <w:t>מציאות העכשווית</w:t>
      </w:r>
      <w:r w:rsidRPr="00BD003D">
        <w:rPr>
          <w:rFonts w:ascii="Century" w:hAnsi="Century" w:hint="cs"/>
          <w:sz w:val="22"/>
          <w:rtl/>
        </w:rPr>
        <w:t xml:space="preserve">, ובכלל זאת </w:t>
      </w:r>
      <w:r>
        <w:rPr>
          <w:rFonts w:ascii="Century" w:hAnsi="Century" w:hint="cs"/>
          <w:sz w:val="22"/>
          <w:rtl/>
        </w:rPr>
        <w:t>ל</w:t>
      </w:r>
      <w:r w:rsidRPr="00BD003D">
        <w:rPr>
          <w:rFonts w:ascii="Century" w:hAnsi="Century" w:hint="cs"/>
          <w:sz w:val="22"/>
          <w:rtl/>
        </w:rPr>
        <w:t>מעבר ממלחמה במובנה הקלאסי והפורמלי הנערכת בין שתי מדינות</w:t>
      </w:r>
      <w:r>
        <w:rPr>
          <w:rFonts w:ascii="Century" w:hAnsi="Century" w:hint="cs"/>
          <w:sz w:val="22"/>
          <w:rtl/>
        </w:rPr>
        <w:t>,</w:t>
      </w:r>
      <w:r w:rsidRPr="00BD003D">
        <w:rPr>
          <w:rFonts w:ascii="Century" w:hAnsi="Century" w:hint="cs"/>
          <w:sz w:val="22"/>
          <w:rtl/>
        </w:rPr>
        <w:t xml:space="preserve"> ללוחמה מול ארגוני טרור</w:t>
      </w:r>
      <w:r>
        <w:rPr>
          <w:rFonts w:ascii="Century" w:hAnsi="Century" w:hint="cs"/>
          <w:sz w:val="22"/>
          <w:rtl/>
        </w:rPr>
        <w:t>, אשר לרוב אינה מופנית נגד מדינות, ואשר בדרך כלל נפרסת על פני זמן ארוך יותר ובלתי מוגדר</w:t>
      </w:r>
      <w:r w:rsidRPr="00BD003D">
        <w:rPr>
          <w:rFonts w:ascii="Century" w:hAnsi="Century" w:hint="cs"/>
          <w:sz w:val="22"/>
          <w:rtl/>
        </w:rPr>
        <w:t xml:space="preserve">. </w:t>
      </w:r>
      <w:r>
        <w:rPr>
          <w:rFonts w:ascii="Century" w:hAnsi="Century" w:hint="cs"/>
          <w:sz w:val="22"/>
          <w:rtl/>
        </w:rPr>
        <w:t xml:space="preserve">משכך, הוחלט באותו עניין כי ביחס ללוחמה מול ארגוני טרור, הכלל לפיו אין מבררים תביעות אויב יחול גם בהעדר הכרזה פורמלית על קיומה של מלחמה. ואולם, על מנת לשמור על מערכת האיזונים שאפיינה את הכלל המסורתי, נקבע כי תחולתו של הכלל תצומצם אך לתביעות של פעילים בארגוני טרור, וזאת להבדיל מתביעות של אזרחים תמימים המתגוררים באותה הטריטוריה ממנה פועל ארגון הטרור (להלן: </w:t>
      </w:r>
      <w:r w:rsidRPr="005508FD">
        <w:rPr>
          <w:rFonts w:ascii="Century" w:hAnsi="Century" w:cs="Miriam" w:hint="cs"/>
          <w:b/>
          <w:spacing w:val="0"/>
          <w:sz w:val="22"/>
          <w:szCs w:val="24"/>
          <w:rtl/>
        </w:rPr>
        <w:t>כלל דיראני</w:t>
      </w:r>
      <w:r>
        <w:rPr>
          <w:rFonts w:ascii="Century" w:hAnsi="Century" w:hint="cs"/>
          <w:sz w:val="22"/>
          <w:rtl/>
        </w:rPr>
        <w:t>)</w:t>
      </w:r>
      <w:r>
        <w:rPr>
          <w:rFonts w:hint="cs"/>
          <w:rtl/>
        </w:rPr>
        <w:t xml:space="preserve">. וכדברי הנשיא </w:t>
      </w:r>
      <w:r w:rsidRPr="000E657C">
        <w:rPr>
          <w:rFonts w:ascii="Century" w:hAnsi="Century" w:cs="Miriam" w:hint="cs"/>
          <w:b/>
          <w:spacing w:val="0"/>
          <w:sz w:val="22"/>
          <w:szCs w:val="24"/>
          <w:rtl/>
        </w:rPr>
        <w:t>אשר גרוניס</w:t>
      </w:r>
      <w:r w:rsidRPr="000E657C">
        <w:rPr>
          <w:rFonts w:hint="cs"/>
          <w:rtl/>
        </w:rPr>
        <w:t xml:space="preserve"> </w:t>
      </w:r>
      <w:r>
        <w:rPr>
          <w:rFonts w:hint="cs"/>
          <w:rtl/>
        </w:rPr>
        <w:t>בעניין</w:t>
      </w:r>
      <w:r w:rsidRPr="000E657C">
        <w:rPr>
          <w:rFonts w:ascii="Century" w:hAnsi="Century" w:cs="Miriam" w:hint="cs"/>
          <w:b/>
          <w:spacing w:val="0"/>
          <w:sz w:val="22"/>
          <w:szCs w:val="24"/>
          <w:rtl/>
        </w:rPr>
        <w:t xml:space="preserve"> דיראני</w:t>
      </w:r>
      <w:r>
        <w:rPr>
          <w:rFonts w:hint="cs"/>
          <w:rtl/>
        </w:rPr>
        <w:t>, פסקה 56:</w:t>
      </w:r>
      <w:r w:rsidRPr="000E657C">
        <w:rPr>
          <w:rFonts w:hint="cs"/>
          <w:rtl/>
        </w:rPr>
        <w:t xml:space="preserve"> </w:t>
      </w:r>
    </w:p>
    <w:p w:rsidR="00745AC1" w:rsidRDefault="00745AC1" w:rsidP="00745AC1">
      <w:pPr>
        <w:pStyle w:val="Ruller5"/>
        <w:rPr>
          <w:rtl/>
        </w:rPr>
      </w:pPr>
    </w:p>
    <w:p w:rsidR="00745AC1" w:rsidRDefault="00745AC1" w:rsidP="00745AC1">
      <w:pPr>
        <w:pStyle w:val="Ruller5"/>
      </w:pPr>
      <w:r>
        <w:rPr>
          <w:rFonts w:hint="eastAsia"/>
          <w:rtl/>
        </w:rPr>
        <w:t>כאשר</w:t>
      </w:r>
      <w:r>
        <w:rPr>
          <w:rtl/>
        </w:rPr>
        <w:t xml:space="preserve"> </w:t>
      </w:r>
      <w:r>
        <w:rPr>
          <w:rFonts w:hint="eastAsia"/>
          <w:rtl/>
        </w:rPr>
        <w:t>מדובר</w:t>
      </w:r>
      <w:r>
        <w:rPr>
          <w:rtl/>
        </w:rPr>
        <w:t xml:space="preserve"> </w:t>
      </w:r>
      <w:r>
        <w:rPr>
          <w:rFonts w:hint="eastAsia"/>
          <w:rtl/>
        </w:rPr>
        <w:t>בעימות</w:t>
      </w:r>
      <w:r>
        <w:rPr>
          <w:rtl/>
        </w:rPr>
        <w:t xml:space="preserve"> </w:t>
      </w:r>
      <w:r>
        <w:rPr>
          <w:rFonts w:hint="eastAsia"/>
          <w:rtl/>
        </w:rPr>
        <w:t>מזוין</w:t>
      </w:r>
      <w:r>
        <w:rPr>
          <w:rtl/>
        </w:rPr>
        <w:t xml:space="preserve"> </w:t>
      </w:r>
      <w:r>
        <w:rPr>
          <w:rFonts w:hint="eastAsia"/>
          <w:rtl/>
        </w:rPr>
        <w:t>עם</w:t>
      </w:r>
      <w:r>
        <w:rPr>
          <w:rtl/>
        </w:rPr>
        <w:t xml:space="preserve"> </w:t>
      </w:r>
      <w:r>
        <w:rPr>
          <w:rFonts w:hint="eastAsia"/>
          <w:rtl/>
        </w:rPr>
        <w:t>ארגון</w:t>
      </w:r>
      <w:r>
        <w:rPr>
          <w:rtl/>
        </w:rPr>
        <w:t xml:space="preserve"> </w:t>
      </w:r>
      <w:r>
        <w:rPr>
          <w:rFonts w:hint="eastAsia"/>
          <w:rtl/>
        </w:rPr>
        <w:t>טרור</w:t>
      </w:r>
      <w:r>
        <w:rPr>
          <w:rtl/>
        </w:rPr>
        <w:t xml:space="preserve"> </w:t>
      </w:r>
      <w:r>
        <w:rPr>
          <w:rFonts w:hint="eastAsia"/>
          <w:rtl/>
        </w:rPr>
        <w:t>הפועל</w:t>
      </w:r>
      <w:r>
        <w:rPr>
          <w:rtl/>
        </w:rPr>
        <w:t xml:space="preserve"> </w:t>
      </w:r>
      <w:r>
        <w:rPr>
          <w:rFonts w:hint="eastAsia"/>
          <w:rtl/>
        </w:rPr>
        <w:t>ממדינה</w:t>
      </w:r>
      <w:r>
        <w:rPr>
          <w:rtl/>
        </w:rPr>
        <w:t xml:space="preserve"> </w:t>
      </w:r>
      <w:r>
        <w:rPr>
          <w:rFonts w:hint="eastAsia"/>
          <w:rtl/>
        </w:rPr>
        <w:t>זרה</w:t>
      </w:r>
      <w:r>
        <w:rPr>
          <w:rtl/>
        </w:rPr>
        <w:t xml:space="preserve">, </w:t>
      </w:r>
      <w:r>
        <w:rPr>
          <w:rFonts w:hint="eastAsia"/>
          <w:rtl/>
        </w:rPr>
        <w:t>שאינו</w:t>
      </w:r>
      <w:r>
        <w:rPr>
          <w:rtl/>
        </w:rPr>
        <w:t xml:space="preserve"> </w:t>
      </w:r>
      <w:r>
        <w:rPr>
          <w:rFonts w:hint="eastAsia"/>
          <w:rtl/>
        </w:rPr>
        <w:t>עולה</w:t>
      </w:r>
      <w:r>
        <w:rPr>
          <w:rtl/>
        </w:rPr>
        <w:t xml:space="preserve"> </w:t>
      </w:r>
      <w:r>
        <w:rPr>
          <w:rFonts w:hint="eastAsia"/>
          <w:rtl/>
        </w:rPr>
        <w:t>לכדי</w:t>
      </w:r>
      <w:r>
        <w:rPr>
          <w:rtl/>
        </w:rPr>
        <w:t xml:space="preserve"> </w:t>
      </w:r>
      <w:r>
        <w:rPr>
          <w:rFonts w:hint="eastAsia"/>
          <w:rtl/>
        </w:rPr>
        <w:t>קיומה</w:t>
      </w:r>
      <w:r>
        <w:rPr>
          <w:rtl/>
        </w:rPr>
        <w:t xml:space="preserve"> </w:t>
      </w:r>
      <w:r>
        <w:rPr>
          <w:rFonts w:hint="eastAsia"/>
          <w:rtl/>
        </w:rPr>
        <w:t>של</w:t>
      </w:r>
      <w:r>
        <w:rPr>
          <w:rtl/>
        </w:rPr>
        <w:t xml:space="preserve"> </w:t>
      </w:r>
      <w:r>
        <w:rPr>
          <w:rFonts w:hint="eastAsia"/>
          <w:rtl/>
        </w:rPr>
        <w:t>מלחמה</w:t>
      </w:r>
      <w:r>
        <w:rPr>
          <w:rtl/>
        </w:rPr>
        <w:t xml:space="preserve"> </w:t>
      </w:r>
      <w:r>
        <w:rPr>
          <w:rFonts w:hint="eastAsia"/>
          <w:rtl/>
        </w:rPr>
        <w:t>פורמלית</w:t>
      </w:r>
      <w:r>
        <w:rPr>
          <w:rtl/>
        </w:rPr>
        <w:t xml:space="preserve"> </w:t>
      </w:r>
      <w:r>
        <w:rPr>
          <w:rFonts w:hint="eastAsia"/>
          <w:rtl/>
        </w:rPr>
        <w:t>בין</w:t>
      </w:r>
      <w:r>
        <w:rPr>
          <w:rtl/>
        </w:rPr>
        <w:t xml:space="preserve"> </w:t>
      </w:r>
      <w:r>
        <w:rPr>
          <w:rFonts w:hint="eastAsia"/>
          <w:rtl/>
        </w:rPr>
        <w:t>מדינות</w:t>
      </w:r>
      <w:r>
        <w:rPr>
          <w:rtl/>
        </w:rPr>
        <w:t xml:space="preserve">, </w:t>
      </w:r>
      <w:r>
        <w:rPr>
          <w:rFonts w:hint="eastAsia"/>
          <w:rtl/>
        </w:rPr>
        <w:t>יחול</w:t>
      </w:r>
      <w:r>
        <w:rPr>
          <w:rtl/>
        </w:rPr>
        <w:t xml:space="preserve"> </w:t>
      </w:r>
      <w:r>
        <w:rPr>
          <w:rFonts w:hint="eastAsia"/>
          <w:rtl/>
        </w:rPr>
        <w:t>הכלל</w:t>
      </w:r>
      <w:r>
        <w:rPr>
          <w:rtl/>
        </w:rPr>
        <w:t xml:space="preserve"> </w:t>
      </w:r>
      <w:r>
        <w:rPr>
          <w:rFonts w:hint="eastAsia"/>
          <w:rtl/>
        </w:rPr>
        <w:t>שלפיו</w:t>
      </w:r>
      <w:r>
        <w:rPr>
          <w:rtl/>
        </w:rPr>
        <w:t xml:space="preserve"> </w:t>
      </w:r>
      <w:r>
        <w:rPr>
          <w:rFonts w:hint="eastAsia"/>
          <w:rtl/>
        </w:rPr>
        <w:t>אין</w:t>
      </w:r>
      <w:r>
        <w:rPr>
          <w:rtl/>
        </w:rPr>
        <w:t xml:space="preserve"> </w:t>
      </w:r>
      <w:r>
        <w:rPr>
          <w:rFonts w:hint="eastAsia"/>
          <w:rtl/>
        </w:rPr>
        <w:t>מבררים</w:t>
      </w:r>
      <w:r>
        <w:rPr>
          <w:rtl/>
        </w:rPr>
        <w:t xml:space="preserve"> </w:t>
      </w:r>
      <w:r>
        <w:rPr>
          <w:rFonts w:hint="eastAsia"/>
          <w:rtl/>
        </w:rPr>
        <w:t>תביעתו</w:t>
      </w:r>
      <w:r>
        <w:rPr>
          <w:rtl/>
        </w:rPr>
        <w:t xml:space="preserve"> </w:t>
      </w:r>
      <w:r>
        <w:rPr>
          <w:rFonts w:hint="eastAsia"/>
          <w:rtl/>
        </w:rPr>
        <w:t>של</w:t>
      </w:r>
      <w:r>
        <w:rPr>
          <w:rtl/>
        </w:rPr>
        <w:t xml:space="preserve"> </w:t>
      </w:r>
      <w:r>
        <w:rPr>
          <w:rFonts w:hint="eastAsia"/>
          <w:rtl/>
        </w:rPr>
        <w:t>אויב</w:t>
      </w:r>
      <w:r>
        <w:rPr>
          <w:rtl/>
        </w:rPr>
        <w:t xml:space="preserve"> </w:t>
      </w:r>
      <w:r>
        <w:rPr>
          <w:rFonts w:hint="eastAsia"/>
          <w:rtl/>
        </w:rPr>
        <w:t>על</w:t>
      </w:r>
      <w:r>
        <w:rPr>
          <w:rtl/>
        </w:rPr>
        <w:t xml:space="preserve"> </w:t>
      </w:r>
      <w:r>
        <w:rPr>
          <w:rFonts w:hint="eastAsia"/>
          <w:rtl/>
        </w:rPr>
        <w:t>תובעים</w:t>
      </w:r>
      <w:r>
        <w:rPr>
          <w:rtl/>
        </w:rPr>
        <w:t xml:space="preserve"> </w:t>
      </w:r>
      <w:r>
        <w:rPr>
          <w:rFonts w:hint="eastAsia"/>
          <w:rtl/>
        </w:rPr>
        <w:t>הנמצאים</w:t>
      </w:r>
      <w:r>
        <w:rPr>
          <w:rtl/>
        </w:rPr>
        <w:t xml:space="preserve"> </w:t>
      </w:r>
      <w:r>
        <w:rPr>
          <w:rFonts w:hint="eastAsia"/>
          <w:rtl/>
        </w:rPr>
        <w:t>במדינה</w:t>
      </w:r>
      <w:r>
        <w:rPr>
          <w:rtl/>
        </w:rPr>
        <w:t xml:space="preserve"> </w:t>
      </w:r>
      <w:r>
        <w:rPr>
          <w:rFonts w:hint="eastAsia"/>
          <w:rtl/>
        </w:rPr>
        <w:t>הזרה</w:t>
      </w:r>
      <w:r>
        <w:rPr>
          <w:rtl/>
        </w:rPr>
        <w:t xml:space="preserve"> </w:t>
      </w:r>
      <w:r>
        <w:rPr>
          <w:rFonts w:hint="eastAsia"/>
          <w:rtl/>
        </w:rPr>
        <w:t>שהינם</w:t>
      </w:r>
      <w:r>
        <w:rPr>
          <w:rtl/>
        </w:rPr>
        <w:t xml:space="preserve"> </w:t>
      </w:r>
      <w:r>
        <w:rPr>
          <w:rFonts w:hint="eastAsia"/>
          <w:rtl/>
        </w:rPr>
        <w:t>פעילים</w:t>
      </w:r>
      <w:r>
        <w:rPr>
          <w:rtl/>
        </w:rPr>
        <w:t xml:space="preserve"> </w:t>
      </w:r>
      <w:r>
        <w:rPr>
          <w:rFonts w:hint="eastAsia"/>
          <w:rtl/>
        </w:rPr>
        <w:t>בארגון</w:t>
      </w:r>
      <w:r>
        <w:rPr>
          <w:rtl/>
        </w:rPr>
        <w:t xml:space="preserve"> </w:t>
      </w:r>
      <w:r>
        <w:rPr>
          <w:rFonts w:hint="eastAsia"/>
          <w:rtl/>
        </w:rPr>
        <w:t>הטרור</w:t>
      </w:r>
      <w:r>
        <w:rPr>
          <w:rtl/>
        </w:rPr>
        <w:t xml:space="preserve">. </w:t>
      </w:r>
      <w:r>
        <w:rPr>
          <w:rFonts w:hint="eastAsia"/>
          <w:rtl/>
        </w:rPr>
        <w:t>צמצום</w:t>
      </w:r>
      <w:r>
        <w:rPr>
          <w:rtl/>
        </w:rPr>
        <w:t xml:space="preserve"> </w:t>
      </w:r>
      <w:r>
        <w:rPr>
          <w:rFonts w:hint="eastAsia"/>
          <w:rtl/>
        </w:rPr>
        <w:t>זה</w:t>
      </w:r>
      <w:r>
        <w:rPr>
          <w:rtl/>
        </w:rPr>
        <w:t xml:space="preserve"> </w:t>
      </w:r>
      <w:r>
        <w:rPr>
          <w:rFonts w:hint="eastAsia"/>
          <w:rtl/>
        </w:rPr>
        <w:t>של</w:t>
      </w:r>
      <w:r>
        <w:rPr>
          <w:rtl/>
        </w:rPr>
        <w:t xml:space="preserve"> </w:t>
      </w:r>
      <w:r>
        <w:rPr>
          <w:rFonts w:hint="eastAsia"/>
          <w:rtl/>
        </w:rPr>
        <w:t>תחולת</w:t>
      </w:r>
      <w:r>
        <w:rPr>
          <w:rtl/>
        </w:rPr>
        <w:t xml:space="preserve"> </w:t>
      </w:r>
      <w:r>
        <w:rPr>
          <w:rFonts w:hint="eastAsia"/>
          <w:rtl/>
        </w:rPr>
        <w:t>הכלל</w:t>
      </w:r>
      <w:r>
        <w:rPr>
          <w:rtl/>
        </w:rPr>
        <w:t xml:space="preserve"> </w:t>
      </w:r>
      <w:r>
        <w:rPr>
          <w:rFonts w:hint="eastAsia"/>
          <w:rtl/>
        </w:rPr>
        <w:t>נדרש</w:t>
      </w:r>
      <w:r>
        <w:rPr>
          <w:rtl/>
        </w:rPr>
        <w:t xml:space="preserve"> </w:t>
      </w:r>
      <w:r>
        <w:rPr>
          <w:rFonts w:hint="eastAsia"/>
          <w:rtl/>
        </w:rPr>
        <w:t>לטעמי</w:t>
      </w:r>
      <w:r>
        <w:rPr>
          <w:rtl/>
        </w:rPr>
        <w:t xml:space="preserve"> </w:t>
      </w:r>
      <w:r>
        <w:rPr>
          <w:rFonts w:hint="eastAsia"/>
          <w:rtl/>
        </w:rPr>
        <w:t>נוכח</w:t>
      </w:r>
      <w:r>
        <w:rPr>
          <w:rtl/>
        </w:rPr>
        <w:t xml:space="preserve"> </w:t>
      </w:r>
      <w:r>
        <w:rPr>
          <w:rFonts w:hint="eastAsia"/>
          <w:rtl/>
        </w:rPr>
        <w:t>מאפייניה</w:t>
      </w:r>
      <w:r>
        <w:rPr>
          <w:rtl/>
        </w:rPr>
        <w:t xml:space="preserve"> </w:t>
      </w:r>
      <w:r>
        <w:rPr>
          <w:rFonts w:hint="eastAsia"/>
          <w:rtl/>
        </w:rPr>
        <w:t>של</w:t>
      </w:r>
      <w:r>
        <w:rPr>
          <w:rtl/>
        </w:rPr>
        <w:t xml:space="preserve"> </w:t>
      </w:r>
      <w:r>
        <w:rPr>
          <w:rFonts w:hint="eastAsia"/>
          <w:rtl/>
        </w:rPr>
        <w:t>הלחימה</w:t>
      </w:r>
      <w:r>
        <w:rPr>
          <w:rtl/>
        </w:rPr>
        <w:t xml:space="preserve"> </w:t>
      </w:r>
      <w:r>
        <w:rPr>
          <w:rFonts w:hint="eastAsia"/>
          <w:rtl/>
        </w:rPr>
        <w:t>בטרור</w:t>
      </w:r>
      <w:r>
        <w:rPr>
          <w:rtl/>
        </w:rPr>
        <w:t xml:space="preserve">, </w:t>
      </w:r>
      <w:r>
        <w:rPr>
          <w:rFonts w:hint="eastAsia"/>
          <w:rtl/>
        </w:rPr>
        <w:t>שהיא</w:t>
      </w:r>
      <w:r>
        <w:rPr>
          <w:rtl/>
        </w:rPr>
        <w:t xml:space="preserve"> </w:t>
      </w:r>
      <w:r>
        <w:rPr>
          <w:rFonts w:hint="eastAsia"/>
          <w:rtl/>
        </w:rPr>
        <w:t>לחימה</w:t>
      </w:r>
      <w:r>
        <w:rPr>
          <w:rtl/>
        </w:rPr>
        <w:t xml:space="preserve"> </w:t>
      </w:r>
      <w:r>
        <w:rPr>
          <w:rFonts w:hint="eastAsia"/>
          <w:rtl/>
        </w:rPr>
        <w:t>נמשכת</w:t>
      </w:r>
      <w:r>
        <w:rPr>
          <w:rtl/>
        </w:rPr>
        <w:t xml:space="preserve"> </w:t>
      </w:r>
      <w:r>
        <w:rPr>
          <w:rFonts w:hint="eastAsia"/>
          <w:rtl/>
        </w:rPr>
        <w:t>בלא</w:t>
      </w:r>
      <w:r>
        <w:rPr>
          <w:rtl/>
        </w:rPr>
        <w:t xml:space="preserve"> </w:t>
      </w:r>
      <w:r>
        <w:rPr>
          <w:rFonts w:hint="eastAsia"/>
          <w:rtl/>
        </w:rPr>
        <w:t>סוף</w:t>
      </w:r>
      <w:r>
        <w:rPr>
          <w:rtl/>
        </w:rPr>
        <w:t xml:space="preserve"> </w:t>
      </w:r>
      <w:r>
        <w:rPr>
          <w:rFonts w:hint="eastAsia"/>
          <w:rtl/>
        </w:rPr>
        <w:t>מוגדר</w:t>
      </w:r>
      <w:r>
        <w:rPr>
          <w:rtl/>
        </w:rPr>
        <w:t xml:space="preserve">, </w:t>
      </w:r>
      <w:r>
        <w:rPr>
          <w:rFonts w:hint="eastAsia"/>
          <w:rtl/>
        </w:rPr>
        <w:t>המכוונת</w:t>
      </w:r>
      <w:r>
        <w:rPr>
          <w:rtl/>
        </w:rPr>
        <w:t xml:space="preserve"> </w:t>
      </w:r>
      <w:r>
        <w:rPr>
          <w:rFonts w:hint="eastAsia"/>
          <w:rtl/>
        </w:rPr>
        <w:t>נגד</w:t>
      </w:r>
      <w:r>
        <w:rPr>
          <w:rtl/>
        </w:rPr>
        <w:t xml:space="preserve"> </w:t>
      </w:r>
      <w:r>
        <w:rPr>
          <w:rFonts w:hint="eastAsia"/>
          <w:rtl/>
        </w:rPr>
        <w:t>ארגון</w:t>
      </w:r>
      <w:r>
        <w:rPr>
          <w:rtl/>
        </w:rPr>
        <w:t xml:space="preserve"> </w:t>
      </w:r>
      <w:r>
        <w:rPr>
          <w:rFonts w:hint="eastAsia"/>
          <w:rtl/>
        </w:rPr>
        <w:t>טרור</w:t>
      </w:r>
      <w:r>
        <w:rPr>
          <w:rtl/>
        </w:rPr>
        <w:t xml:space="preserve"> </w:t>
      </w:r>
      <w:r>
        <w:rPr>
          <w:rFonts w:hint="eastAsia"/>
          <w:rtl/>
        </w:rPr>
        <w:t>ולא</w:t>
      </w:r>
      <w:r>
        <w:rPr>
          <w:rtl/>
        </w:rPr>
        <w:t xml:space="preserve"> </w:t>
      </w:r>
      <w:r>
        <w:rPr>
          <w:rFonts w:hint="eastAsia"/>
          <w:rtl/>
        </w:rPr>
        <w:t>נגד</w:t>
      </w:r>
      <w:r>
        <w:rPr>
          <w:rtl/>
        </w:rPr>
        <w:t xml:space="preserve"> </w:t>
      </w:r>
      <w:r>
        <w:rPr>
          <w:rFonts w:hint="eastAsia"/>
          <w:rtl/>
        </w:rPr>
        <w:t>מדינה</w:t>
      </w:r>
      <w:r>
        <w:rPr>
          <w:rtl/>
        </w:rPr>
        <w:t xml:space="preserve">. </w:t>
      </w:r>
      <w:r>
        <w:rPr>
          <w:rFonts w:hint="eastAsia"/>
          <w:rtl/>
        </w:rPr>
        <w:t>זהו</w:t>
      </w:r>
      <w:r>
        <w:rPr>
          <w:rtl/>
        </w:rPr>
        <w:t xml:space="preserve"> </w:t>
      </w:r>
      <w:r>
        <w:rPr>
          <w:rFonts w:hint="eastAsia"/>
          <w:rtl/>
        </w:rPr>
        <w:t>שיווי</w:t>
      </w:r>
      <w:r>
        <w:rPr>
          <w:rtl/>
        </w:rPr>
        <w:t xml:space="preserve"> </w:t>
      </w:r>
      <w:r>
        <w:rPr>
          <w:rFonts w:hint="eastAsia"/>
          <w:rtl/>
        </w:rPr>
        <w:t>משקל</w:t>
      </w:r>
      <w:r>
        <w:rPr>
          <w:rtl/>
        </w:rPr>
        <w:t xml:space="preserve"> </w:t>
      </w:r>
      <w:r>
        <w:rPr>
          <w:rFonts w:hint="eastAsia"/>
          <w:rtl/>
        </w:rPr>
        <w:t>המתאים</w:t>
      </w:r>
      <w:r>
        <w:rPr>
          <w:rtl/>
        </w:rPr>
        <w:t xml:space="preserve"> </w:t>
      </w:r>
      <w:r>
        <w:rPr>
          <w:rFonts w:hint="eastAsia"/>
          <w:rtl/>
        </w:rPr>
        <w:t>למאפייניה</w:t>
      </w:r>
      <w:r>
        <w:rPr>
          <w:rtl/>
        </w:rPr>
        <w:t xml:space="preserve"> </w:t>
      </w:r>
      <w:r>
        <w:rPr>
          <w:rFonts w:hint="eastAsia"/>
          <w:rtl/>
        </w:rPr>
        <w:t>של</w:t>
      </w:r>
      <w:r>
        <w:rPr>
          <w:rtl/>
        </w:rPr>
        <w:t xml:space="preserve"> </w:t>
      </w:r>
      <w:r>
        <w:rPr>
          <w:rFonts w:hint="eastAsia"/>
          <w:rtl/>
        </w:rPr>
        <w:t>הלוחמה</w:t>
      </w:r>
      <w:r>
        <w:rPr>
          <w:rtl/>
        </w:rPr>
        <w:t xml:space="preserve"> </w:t>
      </w:r>
      <w:r>
        <w:rPr>
          <w:rFonts w:hint="eastAsia"/>
          <w:rtl/>
        </w:rPr>
        <w:t>בטרור</w:t>
      </w:r>
      <w:r>
        <w:rPr>
          <w:rtl/>
        </w:rPr>
        <w:t xml:space="preserve"> </w:t>
      </w:r>
      <w:r>
        <w:rPr>
          <w:rFonts w:hint="eastAsia"/>
          <w:rtl/>
        </w:rPr>
        <w:t>בעת</w:t>
      </w:r>
      <w:r>
        <w:rPr>
          <w:rtl/>
        </w:rPr>
        <w:t xml:space="preserve"> </w:t>
      </w:r>
      <w:r>
        <w:rPr>
          <w:rFonts w:hint="eastAsia"/>
          <w:rtl/>
        </w:rPr>
        <w:t>המודרנית</w:t>
      </w:r>
      <w:r>
        <w:rPr>
          <w:rtl/>
        </w:rPr>
        <w:t>.</w:t>
      </w:r>
    </w:p>
    <w:p w:rsidR="00745AC1" w:rsidRDefault="00745AC1" w:rsidP="004A6E48">
      <w:pPr>
        <w:pStyle w:val="Ruller4"/>
        <w:numPr>
          <w:ilvl w:val="0"/>
          <w:numId w:val="0"/>
        </w:numPr>
        <w:spacing w:line="480" w:lineRule="auto"/>
        <w:rPr>
          <w:rtl/>
        </w:rPr>
      </w:pPr>
    </w:p>
    <w:p w:rsidR="00745AC1" w:rsidRDefault="00745AC1" w:rsidP="00745AC1">
      <w:pPr>
        <w:pStyle w:val="Ruller4"/>
        <w:numPr>
          <w:ilvl w:val="0"/>
          <w:numId w:val="0"/>
        </w:numPr>
        <w:rPr>
          <w:rtl/>
        </w:rPr>
      </w:pPr>
      <w:r>
        <w:rPr>
          <w:rtl/>
        </w:rPr>
        <w:tab/>
      </w:r>
      <w:r>
        <w:rPr>
          <w:rFonts w:hint="cs"/>
          <w:rtl/>
        </w:rPr>
        <w:t xml:space="preserve">עוד נקבע בעניין </w:t>
      </w:r>
      <w:r w:rsidRPr="001D573F">
        <w:rPr>
          <w:rFonts w:ascii="Century" w:hAnsi="Century" w:cs="Miriam" w:hint="cs"/>
          <w:b/>
          <w:spacing w:val="0"/>
          <w:sz w:val="22"/>
          <w:szCs w:val="24"/>
          <w:rtl/>
        </w:rPr>
        <w:t>דיראני</w:t>
      </w:r>
      <w:r>
        <w:rPr>
          <w:rFonts w:hint="cs"/>
          <w:rtl/>
        </w:rPr>
        <w:t xml:space="preserve"> כי בדומה לכלל מהמשפט המקובל, גם תחת כלל דיראני ניתן יהיה לחדש את בירור התביעות של פעילי הטרור לשעבר עם סיומו של העימות המזוין למול ארגון הטרור. </w:t>
      </w:r>
    </w:p>
    <w:p w:rsidR="00745AC1" w:rsidRPr="005508FD" w:rsidRDefault="00745AC1" w:rsidP="004A6E48">
      <w:pPr>
        <w:pStyle w:val="Ruller41"/>
        <w:spacing w:line="240" w:lineRule="auto"/>
      </w:pPr>
    </w:p>
    <w:p w:rsidR="00745AC1" w:rsidRDefault="00745AC1" w:rsidP="00745AC1">
      <w:pPr>
        <w:pStyle w:val="Ruller4"/>
        <w:rPr>
          <w:rtl/>
        </w:rPr>
      </w:pPr>
      <w:r>
        <w:rPr>
          <w:rFonts w:hint="cs"/>
          <w:rtl/>
        </w:rPr>
        <w:t xml:space="preserve">הנה כי כן, בנוסף לסעיף 5ב(א)(1) לחוק, ישנן שתי מסגרות דוקטרינריות במשפט הישראלי המאפשרות להימנע מבירורן של תביעות אויב </w:t>
      </w:r>
      <w:r>
        <w:rPr>
          <w:rtl/>
        </w:rPr>
        <w:t>–</w:t>
      </w:r>
      <w:r>
        <w:rPr>
          <w:rFonts w:hint="cs"/>
          <w:rtl/>
        </w:rPr>
        <w:t xml:space="preserve"> </w:t>
      </w:r>
      <w:r w:rsidRPr="007A00DF">
        <w:rPr>
          <w:rFonts w:ascii="Century" w:hAnsi="Century" w:cs="Miriam" w:hint="cs"/>
          <w:b/>
          <w:spacing w:val="0"/>
          <w:sz w:val="22"/>
          <w:szCs w:val="24"/>
          <w:rtl/>
        </w:rPr>
        <w:t>הראשונה</w:t>
      </w:r>
      <w:r>
        <w:rPr>
          <w:rFonts w:hint="cs"/>
          <w:rtl/>
        </w:rPr>
        <w:t>, מכוח הכלל מהמשפט המקובל, החל על כלל אזרחי מדינת האויב, ובלבד שהממשלה הכריזה באופן פורמלי, בהתאם לסמכותה מכוח סעיף 40 לחוק יסוד: הממשלה, על מלחמה בין אותה המדינה לבין מדינת ישראל; ו</w:t>
      </w:r>
      <w:r w:rsidRPr="007A00DF">
        <w:rPr>
          <w:rFonts w:ascii="Century" w:hAnsi="Century" w:cs="Miriam" w:hint="cs"/>
          <w:b/>
          <w:spacing w:val="0"/>
          <w:sz w:val="22"/>
          <w:szCs w:val="24"/>
          <w:rtl/>
        </w:rPr>
        <w:t>השנייה</w:t>
      </w:r>
      <w:r>
        <w:rPr>
          <w:rFonts w:hint="cs"/>
          <w:rtl/>
        </w:rPr>
        <w:t>, מכוח כלל דיראני לפיו ניתן להימנע מלדון בתביעות של פעילים בארגוני טרור, ושלהם בלבד, אף בהעדר הכרזה פורמלית על מלחמה בין אותם הארגונים לבין מדינת ישראל. שתי מסגרות דוקטרינריות אלה כוללות בתוכן מערך איזונים עדין אשר מאפשר להגשים את התכלית שעומדת בבסיסן והיא מניעת סיוע לאויב בזמן לחימה, ואולם במקביל מונע פגיעה רחבה יתר על המידה בזכויותיהם של נתיני מדינת האויב (או השטח ממנו פועל ארגון הטרור).</w:t>
      </w:r>
    </w:p>
    <w:p w:rsidR="00745AC1" w:rsidRDefault="00745AC1" w:rsidP="006F0E46">
      <w:pPr>
        <w:pStyle w:val="Ruller41"/>
        <w:rPr>
          <w:rtl/>
        </w:rPr>
      </w:pPr>
    </w:p>
    <w:p w:rsidR="00745AC1" w:rsidRPr="00076C53" w:rsidRDefault="00745AC1" w:rsidP="004A6E48">
      <w:pPr>
        <w:pStyle w:val="Ruller41"/>
        <w:spacing w:line="240" w:lineRule="auto"/>
        <w:rPr>
          <w:rFonts w:ascii="Century" w:hAnsi="Century" w:cs="Miriam"/>
          <w:b/>
          <w:spacing w:val="0"/>
          <w:szCs w:val="24"/>
          <w:rtl/>
        </w:rPr>
      </w:pPr>
      <w:r>
        <w:rPr>
          <w:rFonts w:ascii="Century" w:hAnsi="Century" w:cs="Miriam" w:hint="cs"/>
          <w:b/>
          <w:spacing w:val="0"/>
          <w:szCs w:val="24"/>
          <w:rtl/>
        </w:rPr>
        <w:t xml:space="preserve">שילוב התכליות </w:t>
      </w:r>
      <w:r w:rsidRPr="00AA536B">
        <w:rPr>
          <w:rFonts w:ascii="Century" w:hAnsi="Century" w:cs="Miriam" w:hint="cs"/>
          <w:b/>
          <w:spacing w:val="0"/>
          <w:szCs w:val="24"/>
          <w:rtl/>
        </w:rPr>
        <w:t>בהסדר הפטור מאחריות כלפי תושבי עזה</w:t>
      </w:r>
      <w:r w:rsidRPr="00076C53">
        <w:rPr>
          <w:rFonts w:ascii="Century" w:hAnsi="Century" w:cs="Miriam" w:hint="cs"/>
          <w:b/>
          <w:spacing w:val="0"/>
          <w:szCs w:val="24"/>
          <w:rtl/>
        </w:rPr>
        <w:t xml:space="preserve"> </w:t>
      </w:r>
    </w:p>
    <w:p w:rsidR="00745AC1" w:rsidRDefault="00745AC1" w:rsidP="004A6E48">
      <w:pPr>
        <w:pStyle w:val="Ruller41"/>
        <w:spacing w:line="240" w:lineRule="auto"/>
        <w:rPr>
          <w:rtl/>
        </w:rPr>
      </w:pPr>
    </w:p>
    <w:p w:rsidR="00745AC1" w:rsidRDefault="00745AC1" w:rsidP="00745AC1">
      <w:pPr>
        <w:pStyle w:val="Ruller4"/>
        <w:rPr>
          <w:rtl/>
        </w:rPr>
      </w:pPr>
      <w:r>
        <w:rPr>
          <w:rFonts w:hint="cs"/>
          <w:rtl/>
        </w:rPr>
        <w:t xml:space="preserve">ההצדקה לחקיקתו של סעיף 5ב(א)(1) לחוק מצויה בשילוב שבין שתי התכליות הללו: התכלית של התאמת דיני הנזיקין למצב מלחמתי, מהצד האחד; והתכלית של מניעת סיוע כלכלי ומוראלי מהאויב, מהצד השני. זאת, בהקשר הקונקרטי של תביעות אשר מוגשות על ידי נתינים של מדינת אויב או על ידי תושבי שטחים אשר הוכרזו על ידי הממשלה </w:t>
      </w:r>
      <w:r w:rsidRPr="00E831B2">
        <w:rPr>
          <w:rFonts w:ascii="Century" w:hAnsi="Century" w:hint="cs"/>
          <w:sz w:val="22"/>
          <w:rtl/>
        </w:rPr>
        <w:t>בצו כשטח אויב</w:t>
      </w:r>
      <w:r>
        <w:rPr>
          <w:rFonts w:hint="cs"/>
          <w:rtl/>
        </w:rPr>
        <w:t xml:space="preserve">. סעיף זה עושה כן באמצעות הרחבה של ההגנה הניתנת למדינה מפני תביעות נזיקיות בהשוואה לזו המוענקת לה מכוח ההסדרים המשפטיים הנוספים שתוארו לעיל </w:t>
      </w:r>
      <w:r>
        <w:rPr>
          <w:rtl/>
        </w:rPr>
        <w:t>–</w:t>
      </w:r>
      <w:r>
        <w:rPr>
          <w:rFonts w:hint="cs"/>
          <w:rtl/>
        </w:rPr>
        <w:t xml:space="preserve"> הסדר הפטור מאחריות בגין פעילות מלחמתית (סעיף 5(א) לחוק) מזה, והכללים לפיהם אין מבררים תביעות אויב (הכלל מהמשפט המקובל וכלל דיראני) מזה. הסיבות המצדיקות הרחבה זו יבוררו להלן, ואולם כיוון שבמסגרת ערעור זה, נתקף אך החלק בסעיף העוסק בתביעותיהם של תושבי שטחים אשר הוכרזו בצו כשטח אויב, הדיון מעתה ואילך יעשה בראי מצב דברים זה בלבד (דהיינו, תביעה בנזיקין נגד המדינה על ידי תושב שטח אויב). </w:t>
      </w:r>
    </w:p>
    <w:p w:rsidR="00745AC1" w:rsidRDefault="00745AC1" w:rsidP="006F0E46">
      <w:pPr>
        <w:pStyle w:val="Ruller4"/>
        <w:numPr>
          <w:ilvl w:val="0"/>
          <w:numId w:val="0"/>
        </w:numPr>
        <w:spacing w:line="240" w:lineRule="auto"/>
        <w:rPr>
          <w:rtl/>
        </w:rPr>
      </w:pPr>
    </w:p>
    <w:p w:rsidR="00745AC1" w:rsidRDefault="00745AC1" w:rsidP="00745AC1">
      <w:pPr>
        <w:pStyle w:val="Ruller4"/>
        <w:rPr>
          <w:rtl/>
        </w:rPr>
      </w:pPr>
      <w:r w:rsidRPr="006E5105">
        <w:rPr>
          <w:rFonts w:ascii="Century" w:hAnsi="Century" w:cs="Miriam" w:hint="cs"/>
          <w:b/>
          <w:spacing w:val="0"/>
          <w:sz w:val="22"/>
          <w:szCs w:val="24"/>
          <w:rtl/>
        </w:rPr>
        <w:t>ראשית</w:t>
      </w:r>
      <w:r>
        <w:rPr>
          <w:rFonts w:hint="cs"/>
          <w:rtl/>
        </w:rPr>
        <w:t xml:space="preserve">, ביחס לתכלית של התאמת דיני הנזיקין למצב מלחמתי, ההנחה היא שאזור אשר הוגדר על ידי הממשלה בצו "כשטח אויב", איננו מצוי תחת ריבונות ישראלית, ואף לא תחת תפיסה של מדינת ישראל. משכך, הרי שהמדינה לא מפעילה בשטח זה את סמכויותיה השלטוניות, ובכלל זאת כוחות הביטחון הישראליים אינם מפעילים בו סמכויות שיטוריות. כפועל יוצא, ולאור העובדה שגם יחסי ידידות לא מתקיימים בין מדינת ישראל לבין הריבון השולט באותם האזורים (שכן אלו הוכרזו כשטח אויב), דומה שהממשק המרכזי בין מדינת ישראל לבין תושבי שטח האויב, נובע מאותן הפעמים בהם המדינה מוצאת לנכון לבצע בשטח האויב פעולות מלחמתיות, הנכנסות לגדר סעיף 5(א) לחוק. משכך, התאמת דיני הנזיקין למצב הנוהג באותם האזורים עשויה לתמוך במסקנה כי קיימת הצדקה </w:t>
      </w:r>
      <w:r w:rsidRPr="00E25948">
        <w:rPr>
          <w:rFonts w:hint="eastAsia"/>
          <w:rtl/>
        </w:rPr>
        <w:t>להרחיב</w:t>
      </w:r>
      <w:r w:rsidRPr="00E25948">
        <w:rPr>
          <w:rtl/>
        </w:rPr>
        <w:t xml:space="preserve"> </w:t>
      </w:r>
      <w:r w:rsidRPr="00E25948">
        <w:rPr>
          <w:rFonts w:hint="eastAsia"/>
          <w:rtl/>
        </w:rPr>
        <w:t>את</w:t>
      </w:r>
      <w:r w:rsidRPr="00E25948">
        <w:rPr>
          <w:rtl/>
        </w:rPr>
        <w:t xml:space="preserve"> </w:t>
      </w:r>
      <w:r w:rsidRPr="00E25948">
        <w:rPr>
          <w:rFonts w:hint="eastAsia"/>
          <w:rtl/>
        </w:rPr>
        <w:t>החסינות</w:t>
      </w:r>
      <w:r w:rsidRPr="00E25948">
        <w:rPr>
          <w:rtl/>
        </w:rPr>
        <w:t xml:space="preserve"> </w:t>
      </w:r>
      <w:r w:rsidRPr="00E25948">
        <w:rPr>
          <w:rFonts w:hint="eastAsia"/>
          <w:rtl/>
        </w:rPr>
        <w:t>המוענקת</w:t>
      </w:r>
      <w:r w:rsidRPr="00E25948">
        <w:rPr>
          <w:rtl/>
        </w:rPr>
        <w:t xml:space="preserve"> </w:t>
      </w:r>
      <w:r w:rsidRPr="00E25948">
        <w:rPr>
          <w:rFonts w:hint="eastAsia"/>
          <w:rtl/>
        </w:rPr>
        <w:t>למדינה</w:t>
      </w:r>
      <w:r w:rsidRPr="00E25948">
        <w:rPr>
          <w:rtl/>
        </w:rPr>
        <w:t xml:space="preserve"> </w:t>
      </w:r>
      <w:r w:rsidRPr="00E25948">
        <w:rPr>
          <w:rFonts w:hint="eastAsia"/>
          <w:rtl/>
        </w:rPr>
        <w:t>ביחס</w:t>
      </w:r>
      <w:r w:rsidRPr="00E25948">
        <w:rPr>
          <w:rtl/>
        </w:rPr>
        <w:t xml:space="preserve"> </w:t>
      </w:r>
      <w:r w:rsidRPr="00E25948">
        <w:rPr>
          <w:rFonts w:hint="eastAsia"/>
          <w:rtl/>
        </w:rPr>
        <w:t>לפעולות</w:t>
      </w:r>
      <w:r w:rsidRPr="00E25948">
        <w:rPr>
          <w:rtl/>
        </w:rPr>
        <w:t xml:space="preserve"> </w:t>
      </w:r>
      <w:r w:rsidRPr="00E25948">
        <w:rPr>
          <w:rFonts w:hint="eastAsia"/>
          <w:rtl/>
        </w:rPr>
        <w:t>שזו</w:t>
      </w:r>
      <w:r w:rsidRPr="00E25948">
        <w:rPr>
          <w:rtl/>
        </w:rPr>
        <w:t xml:space="preserve"> </w:t>
      </w:r>
      <w:r w:rsidRPr="00E25948">
        <w:rPr>
          <w:rFonts w:hint="eastAsia"/>
          <w:rtl/>
        </w:rPr>
        <w:t>מבצעת</w:t>
      </w:r>
      <w:r w:rsidRPr="00E25948">
        <w:rPr>
          <w:rtl/>
        </w:rPr>
        <w:t xml:space="preserve"> </w:t>
      </w:r>
      <w:r w:rsidRPr="00E25948">
        <w:rPr>
          <w:rFonts w:hint="eastAsia"/>
          <w:rtl/>
        </w:rPr>
        <w:t>בשטח</w:t>
      </w:r>
      <w:r w:rsidRPr="00E25948">
        <w:rPr>
          <w:rtl/>
        </w:rPr>
        <w:t xml:space="preserve"> </w:t>
      </w:r>
      <w:r>
        <w:rPr>
          <w:rFonts w:hint="cs"/>
          <w:rtl/>
        </w:rPr>
        <w:t>אויב</w:t>
      </w:r>
      <w:r w:rsidRPr="00E25948">
        <w:rPr>
          <w:rtl/>
        </w:rPr>
        <w:t xml:space="preserve">, </w:t>
      </w:r>
      <w:r w:rsidRPr="00E25948">
        <w:rPr>
          <w:rFonts w:hint="eastAsia"/>
          <w:rtl/>
        </w:rPr>
        <w:t>כך</w:t>
      </w:r>
      <w:r w:rsidRPr="00E25948">
        <w:rPr>
          <w:rtl/>
        </w:rPr>
        <w:t xml:space="preserve"> </w:t>
      </w:r>
      <w:r w:rsidRPr="00E25948">
        <w:rPr>
          <w:rFonts w:hint="eastAsia"/>
          <w:rtl/>
        </w:rPr>
        <w:t>שהתנאי</w:t>
      </w:r>
      <w:r w:rsidRPr="00E25948">
        <w:rPr>
          <w:rtl/>
        </w:rPr>
        <w:t xml:space="preserve"> </w:t>
      </w:r>
      <w:r w:rsidRPr="00E25948">
        <w:rPr>
          <w:rFonts w:hint="eastAsia"/>
          <w:rtl/>
        </w:rPr>
        <w:t>המשפטי</w:t>
      </w:r>
      <w:r w:rsidRPr="00E25948">
        <w:rPr>
          <w:rtl/>
        </w:rPr>
        <w:t xml:space="preserve"> </w:t>
      </w:r>
      <w:r w:rsidRPr="00E25948">
        <w:rPr>
          <w:rFonts w:hint="eastAsia"/>
          <w:rtl/>
        </w:rPr>
        <w:t>להחלתה</w:t>
      </w:r>
      <w:r w:rsidRPr="00E25948">
        <w:rPr>
          <w:rtl/>
        </w:rPr>
        <w:t xml:space="preserve"> </w:t>
      </w:r>
      <w:r w:rsidRPr="00E25948">
        <w:rPr>
          <w:rFonts w:hint="eastAsia"/>
          <w:rtl/>
        </w:rPr>
        <w:t>לא</w:t>
      </w:r>
      <w:r w:rsidRPr="00E25948">
        <w:rPr>
          <w:rtl/>
        </w:rPr>
        <w:t xml:space="preserve"> </w:t>
      </w:r>
      <w:r w:rsidRPr="00E25948">
        <w:rPr>
          <w:rFonts w:hint="eastAsia"/>
          <w:rtl/>
        </w:rPr>
        <w:t>יהיה</w:t>
      </w:r>
      <w:r w:rsidRPr="00E25948">
        <w:rPr>
          <w:rtl/>
        </w:rPr>
        <w:t xml:space="preserve"> </w:t>
      </w:r>
      <w:r w:rsidRPr="00E25948">
        <w:rPr>
          <w:rFonts w:hint="eastAsia"/>
          <w:rtl/>
        </w:rPr>
        <w:t>עוד</w:t>
      </w:r>
      <w:r w:rsidRPr="00E25948">
        <w:rPr>
          <w:rtl/>
        </w:rPr>
        <w:t xml:space="preserve"> </w:t>
      </w:r>
      <w:r w:rsidRPr="00E25948">
        <w:rPr>
          <w:rFonts w:hint="eastAsia"/>
          <w:rtl/>
        </w:rPr>
        <w:t>בגדר</w:t>
      </w:r>
      <w:r w:rsidRPr="00E25948">
        <w:rPr>
          <w:rtl/>
        </w:rPr>
        <w:t xml:space="preserve"> </w:t>
      </w:r>
      <w:r w:rsidRPr="00E25948">
        <w:rPr>
          <w:rFonts w:hint="eastAsia"/>
          <w:rtl/>
        </w:rPr>
        <w:t>בחינה</w:t>
      </w:r>
      <w:r w:rsidRPr="00E25948">
        <w:rPr>
          <w:rtl/>
        </w:rPr>
        <w:t xml:space="preserve"> </w:t>
      </w:r>
      <w:r w:rsidRPr="00E25948">
        <w:rPr>
          <w:rFonts w:hint="eastAsia"/>
          <w:rtl/>
        </w:rPr>
        <w:t>אד</w:t>
      </w:r>
      <w:r w:rsidRPr="00E25948">
        <w:rPr>
          <w:rtl/>
        </w:rPr>
        <w:t>-</w:t>
      </w:r>
      <w:r w:rsidRPr="00E25948">
        <w:rPr>
          <w:rFonts w:hint="eastAsia"/>
          <w:rtl/>
        </w:rPr>
        <w:t>הוקית</w:t>
      </w:r>
      <w:r w:rsidRPr="00E25948">
        <w:rPr>
          <w:rtl/>
        </w:rPr>
        <w:t xml:space="preserve"> </w:t>
      </w:r>
      <w:r w:rsidRPr="00E25948">
        <w:rPr>
          <w:rFonts w:hint="eastAsia"/>
          <w:rtl/>
        </w:rPr>
        <w:t>של</w:t>
      </w:r>
      <w:r w:rsidRPr="00E25948">
        <w:rPr>
          <w:rtl/>
        </w:rPr>
        <w:t xml:space="preserve"> </w:t>
      </w:r>
      <w:r w:rsidRPr="00E25948">
        <w:rPr>
          <w:rFonts w:hint="eastAsia"/>
          <w:rtl/>
        </w:rPr>
        <w:t>כל</w:t>
      </w:r>
      <w:r w:rsidRPr="00E25948">
        <w:rPr>
          <w:rtl/>
        </w:rPr>
        <w:t xml:space="preserve"> </w:t>
      </w:r>
      <w:r w:rsidRPr="00E25948">
        <w:rPr>
          <w:rFonts w:hint="eastAsia"/>
          <w:rtl/>
        </w:rPr>
        <w:t>מקרה</w:t>
      </w:r>
      <w:r w:rsidRPr="00E25948">
        <w:rPr>
          <w:rtl/>
        </w:rPr>
        <w:t xml:space="preserve"> </w:t>
      </w:r>
      <w:r w:rsidRPr="00E25948">
        <w:rPr>
          <w:rFonts w:hint="eastAsia"/>
          <w:rtl/>
        </w:rPr>
        <w:t>לגופו</w:t>
      </w:r>
      <w:r w:rsidRPr="00E25948">
        <w:rPr>
          <w:rtl/>
        </w:rPr>
        <w:t xml:space="preserve"> </w:t>
      </w:r>
      <w:r w:rsidRPr="00E25948">
        <w:rPr>
          <w:rFonts w:hint="eastAsia"/>
          <w:rtl/>
        </w:rPr>
        <w:t>בהתאם</w:t>
      </w:r>
      <w:r w:rsidRPr="00E25948">
        <w:rPr>
          <w:rtl/>
        </w:rPr>
        <w:t xml:space="preserve"> </w:t>
      </w:r>
      <w:r w:rsidRPr="00E25948">
        <w:rPr>
          <w:rFonts w:hint="eastAsia"/>
          <w:rtl/>
        </w:rPr>
        <w:t>לסטנדרט</w:t>
      </w:r>
      <w:r w:rsidRPr="00E25948">
        <w:rPr>
          <w:rtl/>
        </w:rPr>
        <w:t xml:space="preserve"> </w:t>
      </w:r>
      <w:r>
        <w:rPr>
          <w:rFonts w:hint="cs"/>
          <w:rtl/>
        </w:rPr>
        <w:t xml:space="preserve">של </w:t>
      </w:r>
      <w:r w:rsidRPr="00E25948">
        <w:rPr>
          <w:rFonts w:hint="eastAsia"/>
          <w:rtl/>
        </w:rPr>
        <w:t>פעולה</w:t>
      </w:r>
      <w:r w:rsidRPr="00E25948">
        <w:rPr>
          <w:rtl/>
        </w:rPr>
        <w:t xml:space="preserve"> </w:t>
      </w:r>
      <w:r w:rsidRPr="00E25948">
        <w:rPr>
          <w:rFonts w:hint="eastAsia"/>
          <w:rtl/>
        </w:rPr>
        <w:t>מלחמתית</w:t>
      </w:r>
      <w:r>
        <w:rPr>
          <w:rFonts w:hint="cs"/>
          <w:rtl/>
        </w:rPr>
        <w:t>,</w:t>
      </w:r>
      <w:r w:rsidRPr="00E25948">
        <w:rPr>
          <w:rtl/>
        </w:rPr>
        <w:t xml:space="preserve"> </w:t>
      </w:r>
      <w:r w:rsidRPr="00E25948">
        <w:rPr>
          <w:rFonts w:hint="eastAsia"/>
          <w:rtl/>
        </w:rPr>
        <w:t>אלא</w:t>
      </w:r>
      <w:r w:rsidRPr="00E25948">
        <w:rPr>
          <w:rtl/>
        </w:rPr>
        <w:t xml:space="preserve"> </w:t>
      </w:r>
      <w:r w:rsidRPr="00E25948">
        <w:rPr>
          <w:rFonts w:hint="eastAsia"/>
          <w:rtl/>
        </w:rPr>
        <w:t>בגדר</w:t>
      </w:r>
      <w:r w:rsidRPr="00E25948">
        <w:rPr>
          <w:rtl/>
        </w:rPr>
        <w:t xml:space="preserve"> </w:t>
      </w:r>
      <w:r w:rsidRPr="00E25948">
        <w:rPr>
          <w:rFonts w:hint="eastAsia"/>
          <w:rtl/>
        </w:rPr>
        <w:t>בחינה</w:t>
      </w:r>
      <w:r w:rsidRPr="00E25948">
        <w:rPr>
          <w:rtl/>
        </w:rPr>
        <w:t xml:space="preserve"> </w:t>
      </w:r>
      <w:r w:rsidRPr="00E25948">
        <w:rPr>
          <w:rFonts w:hint="eastAsia"/>
          <w:rtl/>
        </w:rPr>
        <w:t>גיאוגרפית</w:t>
      </w:r>
      <w:r w:rsidRPr="00E25948">
        <w:rPr>
          <w:rtl/>
        </w:rPr>
        <w:t xml:space="preserve"> </w:t>
      </w:r>
      <w:r w:rsidRPr="00E25948">
        <w:rPr>
          <w:rFonts w:hint="eastAsia"/>
          <w:rtl/>
        </w:rPr>
        <w:t>רוחבית</w:t>
      </w:r>
      <w:r w:rsidRPr="00E25948">
        <w:rPr>
          <w:rtl/>
        </w:rPr>
        <w:t xml:space="preserve">, </w:t>
      </w:r>
      <w:r w:rsidRPr="00E25948">
        <w:rPr>
          <w:rFonts w:hint="eastAsia"/>
          <w:rtl/>
        </w:rPr>
        <w:t>אשר</w:t>
      </w:r>
      <w:r w:rsidRPr="00E25948">
        <w:rPr>
          <w:rtl/>
        </w:rPr>
        <w:t xml:space="preserve"> </w:t>
      </w:r>
      <w:r w:rsidRPr="00E25948">
        <w:rPr>
          <w:rFonts w:hint="eastAsia"/>
          <w:rtl/>
        </w:rPr>
        <w:t>מקנה</w:t>
      </w:r>
      <w:r w:rsidRPr="00E25948">
        <w:rPr>
          <w:rtl/>
        </w:rPr>
        <w:t xml:space="preserve"> </w:t>
      </w:r>
      <w:r w:rsidRPr="00E25948">
        <w:rPr>
          <w:rFonts w:hint="eastAsia"/>
          <w:rtl/>
        </w:rPr>
        <w:t>למדינה</w:t>
      </w:r>
      <w:r w:rsidRPr="00E25948">
        <w:rPr>
          <w:rtl/>
        </w:rPr>
        <w:t xml:space="preserve"> </w:t>
      </w:r>
      <w:r w:rsidRPr="00E25948">
        <w:rPr>
          <w:rFonts w:hint="eastAsia"/>
          <w:rtl/>
        </w:rPr>
        <w:t>חסינות</w:t>
      </w:r>
      <w:r w:rsidRPr="00E25948">
        <w:rPr>
          <w:rtl/>
        </w:rPr>
        <w:t xml:space="preserve"> </w:t>
      </w:r>
      <w:r w:rsidRPr="00E25948">
        <w:rPr>
          <w:rFonts w:hint="eastAsia"/>
          <w:rtl/>
        </w:rPr>
        <w:t>ביחס</w:t>
      </w:r>
      <w:r w:rsidRPr="00E25948">
        <w:rPr>
          <w:rtl/>
        </w:rPr>
        <w:t xml:space="preserve"> </w:t>
      </w:r>
      <w:r w:rsidRPr="00E25948">
        <w:rPr>
          <w:rFonts w:hint="eastAsia"/>
          <w:rtl/>
        </w:rPr>
        <w:t>לכל</w:t>
      </w:r>
      <w:r w:rsidRPr="00E25948">
        <w:rPr>
          <w:rtl/>
        </w:rPr>
        <w:t xml:space="preserve"> </w:t>
      </w:r>
      <w:r w:rsidRPr="00E25948">
        <w:rPr>
          <w:rFonts w:hint="eastAsia"/>
          <w:rtl/>
        </w:rPr>
        <w:t>הפעולות</w:t>
      </w:r>
      <w:r w:rsidRPr="00E25948">
        <w:rPr>
          <w:rtl/>
        </w:rPr>
        <w:t xml:space="preserve"> </w:t>
      </w:r>
      <w:r w:rsidRPr="00E25948">
        <w:rPr>
          <w:rFonts w:hint="eastAsia"/>
          <w:rtl/>
        </w:rPr>
        <w:t>שביצעה</w:t>
      </w:r>
      <w:r w:rsidRPr="00E25948">
        <w:rPr>
          <w:rtl/>
        </w:rPr>
        <w:t xml:space="preserve"> </w:t>
      </w:r>
      <w:r w:rsidRPr="00E25948">
        <w:rPr>
          <w:rFonts w:hint="eastAsia"/>
          <w:rtl/>
        </w:rPr>
        <w:t>בשטח</w:t>
      </w:r>
      <w:r w:rsidRPr="00E25948">
        <w:rPr>
          <w:rtl/>
        </w:rPr>
        <w:t xml:space="preserve"> </w:t>
      </w:r>
      <w:r>
        <w:rPr>
          <w:rFonts w:hint="cs"/>
          <w:rtl/>
        </w:rPr>
        <w:t>האויב</w:t>
      </w:r>
      <w:r w:rsidRPr="00E25948">
        <w:rPr>
          <w:rtl/>
        </w:rPr>
        <w:t>.</w:t>
      </w:r>
      <w:r>
        <w:rPr>
          <w:rFonts w:hint="cs"/>
          <w:rtl/>
        </w:rPr>
        <w:t xml:space="preserve"> אכן, כאשר מוגשת תביעה נזיקית נגד המדינה על ידי תושב שטח אויב אין במקרה הרגיל טעם בניהול התדיינות ארוכה, יקרה ומורכבת בשאלה האם הנזק שנגרם לאותו תושב הינו תוצר של פעולה מלחמתית אם לאו. חריג לאמור, ועליו ארחיב בהמשך, עשוי להיות כאשר התביעה הנזיקית מקורה בעוולה אשר לא מתקיימת זיקה הדוקה בינה לבין הסכסוך למול האויב, ומשכך על פני הדברים אין היא תוצר של פעולה מלחמתית. </w:t>
      </w:r>
    </w:p>
    <w:p w:rsidR="00745AC1" w:rsidRDefault="00745AC1" w:rsidP="004A6E48">
      <w:pPr>
        <w:pStyle w:val="Ruller41"/>
        <w:spacing w:line="240" w:lineRule="auto"/>
        <w:rPr>
          <w:rtl/>
        </w:rPr>
      </w:pPr>
    </w:p>
    <w:p w:rsidR="00745AC1" w:rsidRPr="00B3147A" w:rsidRDefault="00745AC1" w:rsidP="00745AC1">
      <w:pPr>
        <w:pStyle w:val="Ruller4"/>
        <w:rPr>
          <w:rtl/>
        </w:rPr>
      </w:pPr>
      <w:r w:rsidRPr="00085B7F">
        <w:rPr>
          <w:rFonts w:ascii="Century" w:hAnsi="Century" w:cs="Miriam" w:hint="cs"/>
          <w:b/>
          <w:spacing w:val="0"/>
          <w:sz w:val="22"/>
          <w:szCs w:val="24"/>
          <w:rtl/>
        </w:rPr>
        <w:t>שנית</w:t>
      </w:r>
      <w:r>
        <w:rPr>
          <w:rFonts w:hint="cs"/>
          <w:rtl/>
        </w:rPr>
        <w:t xml:space="preserve">, ביחס לתכלית של מניעת סיוע כלכלי ומוראלי מהאויב, הסדר הפטור שבסעיף 5ב(א)(1) לחוק חוסם לחלוטין את האפשרות של כלל התושבים בשטח האויב לנהל תביעות נזיקיות בישראל נגד המדינה. בכך, הסעיף מרחיב את ההגנה הניתנת למדינה מכוח הכלל מהמשפט המקובל אשר תוחם את משך חסימת הדיון בתביעות האויב לתקופת המלחמה הפורמלית בלבד, וכן מרחיב את ההגנה הניתנת למדינה מכוח כלל דיראני אשר חוסם דיון בתביעותיהם של פעילי טרור בלבד (עם זאת, יוער כי הכלל מהמשפט המקובל וכלל דיראני חוסמים תביעות נגד כל גורם בכל עילות המשפט האזרחי, בעוד שההסדר דנן חוסם אך תביעות נזיקיות נגד המדינה). החסימה של תביעותיהם הנזיקיות של תושבי שטח האויב נגד המדינה מכוח הסעיף מונעת הזרמה של כספי פיצויים מקופת מדינת ישראל לשטח זה </w:t>
      </w:r>
      <w:r>
        <w:rPr>
          <w:rtl/>
        </w:rPr>
        <w:t>–</w:t>
      </w:r>
      <w:r>
        <w:rPr>
          <w:rFonts w:hint="cs"/>
          <w:rtl/>
        </w:rPr>
        <w:t xml:space="preserve"> כספים העשויים לשמש כזריקת עידוד לכלכלה המקומית בשטח האויב. כן היא מונעת מארגוני הטרור את האפשרות לנצל לרעה את מערכת המשפט הישראלית, על מנת להשיג ניצחונות במאבק התדמיתי והתקשורתי. בכך הסעיף נותן ביטוי משמעותי יותר לתכלית של מניעת סיוע כלכלי ומוראלי מהאויב בהשוואה לכלל מהמשפט המקובל ולכלל דיראני, שכן תחולתו אינה תחומה לתקופה מוגדרת ואינה מוגבלת אך לגורמים ספציפיים. יחד עם זאת, ספק אם חסימה מוחלטת זו של תביעות, אך מהטעם הזה, היא מידתית. ועל כך </w:t>
      </w:r>
      <w:r>
        <w:rPr>
          <w:rtl/>
        </w:rPr>
        <w:t>–</w:t>
      </w:r>
      <w:r>
        <w:rPr>
          <w:rFonts w:hint="cs"/>
          <w:rtl/>
        </w:rPr>
        <w:t xml:space="preserve"> בהמשך. </w:t>
      </w:r>
    </w:p>
    <w:p w:rsidR="00745AC1" w:rsidRDefault="00745AC1" w:rsidP="004A6E48">
      <w:pPr>
        <w:pStyle w:val="Ruller41"/>
        <w:spacing w:line="240" w:lineRule="auto"/>
        <w:rPr>
          <w:rtl/>
        </w:rPr>
      </w:pPr>
    </w:p>
    <w:p w:rsidR="00745AC1" w:rsidRPr="008226B0" w:rsidRDefault="00745AC1" w:rsidP="00745AC1">
      <w:pPr>
        <w:pStyle w:val="Ruller4"/>
        <w:rPr>
          <w:rtl/>
        </w:rPr>
      </w:pPr>
      <w:r>
        <w:rPr>
          <w:rFonts w:hint="cs"/>
          <w:rtl/>
        </w:rPr>
        <w:t xml:space="preserve">אם ניישם את הדברים האמורים בהקשר של רצועת עזה </w:t>
      </w:r>
      <w:r>
        <w:rPr>
          <w:rtl/>
        </w:rPr>
        <w:t>–</w:t>
      </w:r>
      <w:r>
        <w:rPr>
          <w:rFonts w:hint="cs"/>
          <w:rtl/>
        </w:rPr>
        <w:t xml:space="preserve"> היא השטח היחיד נכון לעת הזו אשר הוכרז בצו כשטח אויב, וזאת מכוח </w:t>
      </w:r>
      <w:r w:rsidRPr="00712152">
        <w:rPr>
          <w:rFonts w:hint="eastAsia"/>
          <w:rtl/>
        </w:rPr>
        <w:t>החלטת</w:t>
      </w:r>
      <w:r w:rsidRPr="00712152">
        <w:rPr>
          <w:rtl/>
        </w:rPr>
        <w:t xml:space="preserve"> </w:t>
      </w:r>
      <w:r w:rsidRPr="00712152">
        <w:rPr>
          <w:rFonts w:hint="eastAsia"/>
          <w:rtl/>
        </w:rPr>
        <w:t>הממשלה</w:t>
      </w:r>
      <w:r w:rsidRPr="00712152">
        <w:rPr>
          <w:rtl/>
        </w:rPr>
        <w:t xml:space="preserve"> </w:t>
      </w:r>
      <w:r w:rsidRPr="00712152">
        <w:rPr>
          <w:rFonts w:hint="eastAsia"/>
          <w:rtl/>
        </w:rPr>
        <w:t>מיום</w:t>
      </w:r>
      <w:r w:rsidRPr="00712152">
        <w:rPr>
          <w:rtl/>
        </w:rPr>
        <w:t xml:space="preserve"> 7.10.2014</w:t>
      </w:r>
      <w:r>
        <w:rPr>
          <w:rFonts w:hint="cs"/>
          <w:rtl/>
        </w:rPr>
        <w:t>, וכן היא המקום בו מתגורר המערער בהליך דנן,</w:t>
      </w:r>
      <w:r w:rsidRPr="00891076">
        <w:rPr>
          <w:rFonts w:hint="eastAsia"/>
          <w:rtl/>
        </w:rPr>
        <w:t xml:space="preserve"> עטייה</w:t>
      </w:r>
      <w:r w:rsidRPr="00891076">
        <w:rPr>
          <w:rtl/>
        </w:rPr>
        <w:t xml:space="preserve"> </w:t>
      </w:r>
      <w:r w:rsidRPr="00891076">
        <w:rPr>
          <w:rFonts w:hint="eastAsia"/>
          <w:rtl/>
        </w:rPr>
        <w:t>פתחי</w:t>
      </w:r>
      <w:r w:rsidRPr="00891076">
        <w:rPr>
          <w:rtl/>
        </w:rPr>
        <w:t xml:space="preserve"> </w:t>
      </w:r>
      <w:r w:rsidRPr="00891076">
        <w:rPr>
          <w:rFonts w:hint="eastAsia"/>
          <w:rtl/>
        </w:rPr>
        <w:t>נבאהין</w:t>
      </w:r>
      <w:r>
        <w:rPr>
          <w:rFonts w:hint="cs"/>
          <w:rtl/>
        </w:rPr>
        <w:t xml:space="preserve"> (להלן: </w:t>
      </w:r>
      <w:r w:rsidRPr="00250372">
        <w:rPr>
          <w:rFonts w:ascii="Century" w:hAnsi="Century" w:cs="Miriam" w:hint="cs"/>
          <w:b/>
          <w:spacing w:val="0"/>
          <w:sz w:val="22"/>
          <w:szCs w:val="24"/>
          <w:rtl/>
        </w:rPr>
        <w:t>המערער</w:t>
      </w:r>
      <w:r>
        <w:rPr>
          <w:rFonts w:hint="cs"/>
          <w:rtl/>
        </w:rPr>
        <w:t xml:space="preserve">) </w:t>
      </w:r>
      <w:r>
        <w:rPr>
          <w:rtl/>
        </w:rPr>
        <w:t>–</w:t>
      </w:r>
      <w:r>
        <w:rPr>
          <w:rFonts w:hint="cs"/>
          <w:rtl/>
        </w:rPr>
        <w:t xml:space="preserve"> הרי שהסדר הפטור מאחריות כלפי תושבי עזה </w:t>
      </w:r>
      <w:r w:rsidRPr="00712152">
        <w:rPr>
          <w:rFonts w:hint="eastAsia"/>
          <w:rtl/>
        </w:rPr>
        <w:t>מאפשר</w:t>
      </w:r>
      <w:r w:rsidRPr="00712152">
        <w:rPr>
          <w:rtl/>
        </w:rPr>
        <w:t xml:space="preserve"> </w:t>
      </w:r>
      <w:r w:rsidRPr="00712152">
        <w:rPr>
          <w:rFonts w:hint="eastAsia"/>
          <w:rtl/>
        </w:rPr>
        <w:t>להתאים</w:t>
      </w:r>
      <w:r w:rsidRPr="00712152">
        <w:rPr>
          <w:rtl/>
        </w:rPr>
        <w:t xml:space="preserve"> </w:t>
      </w:r>
      <w:r w:rsidRPr="00712152">
        <w:rPr>
          <w:rFonts w:hint="eastAsia"/>
          <w:rtl/>
        </w:rPr>
        <w:t>את</w:t>
      </w:r>
      <w:r w:rsidRPr="00712152">
        <w:rPr>
          <w:rtl/>
        </w:rPr>
        <w:t xml:space="preserve"> </w:t>
      </w:r>
      <w:r w:rsidRPr="00712152">
        <w:rPr>
          <w:rFonts w:hint="eastAsia"/>
          <w:rtl/>
        </w:rPr>
        <w:t>דיני</w:t>
      </w:r>
      <w:r w:rsidRPr="00712152">
        <w:rPr>
          <w:rtl/>
        </w:rPr>
        <w:t xml:space="preserve"> </w:t>
      </w:r>
      <w:r w:rsidRPr="00712152">
        <w:rPr>
          <w:rFonts w:hint="eastAsia"/>
          <w:rtl/>
        </w:rPr>
        <w:t>הנזיקין</w:t>
      </w:r>
      <w:r w:rsidRPr="00712152">
        <w:rPr>
          <w:rtl/>
        </w:rPr>
        <w:t xml:space="preserve"> </w:t>
      </w:r>
      <w:r w:rsidRPr="00712152">
        <w:rPr>
          <w:rFonts w:hint="eastAsia"/>
          <w:rtl/>
        </w:rPr>
        <w:t>למצב</w:t>
      </w:r>
      <w:r w:rsidRPr="00712152">
        <w:rPr>
          <w:rtl/>
        </w:rPr>
        <w:t xml:space="preserve"> </w:t>
      </w:r>
      <w:r w:rsidRPr="00712152">
        <w:rPr>
          <w:rFonts w:hint="eastAsia"/>
          <w:rtl/>
        </w:rPr>
        <w:t>המלחמתי</w:t>
      </w:r>
      <w:r w:rsidRPr="00712152">
        <w:rPr>
          <w:rtl/>
        </w:rPr>
        <w:t xml:space="preserve"> </w:t>
      </w:r>
      <w:r w:rsidRPr="00712152">
        <w:rPr>
          <w:rFonts w:hint="eastAsia"/>
          <w:rtl/>
        </w:rPr>
        <w:t>השורר</w:t>
      </w:r>
      <w:r w:rsidRPr="00712152">
        <w:rPr>
          <w:rtl/>
        </w:rPr>
        <w:t xml:space="preserve"> </w:t>
      </w:r>
      <w:r>
        <w:rPr>
          <w:rFonts w:hint="cs"/>
          <w:rtl/>
        </w:rPr>
        <w:t>לעת הזו מול רצועת עזה</w:t>
      </w:r>
      <w:r w:rsidRPr="00712152">
        <w:rPr>
          <w:rtl/>
        </w:rPr>
        <w:t xml:space="preserve">. </w:t>
      </w:r>
      <w:r w:rsidRPr="00712152">
        <w:rPr>
          <w:rFonts w:hint="eastAsia"/>
          <w:rtl/>
        </w:rPr>
        <w:t>כיום</w:t>
      </w:r>
      <w:r w:rsidRPr="00712152">
        <w:rPr>
          <w:rtl/>
        </w:rPr>
        <w:t xml:space="preserve">, </w:t>
      </w:r>
      <w:r w:rsidRPr="00712152">
        <w:rPr>
          <w:rFonts w:hint="eastAsia"/>
          <w:rtl/>
        </w:rPr>
        <w:t>ומאז</w:t>
      </w:r>
      <w:r w:rsidRPr="00712152">
        <w:rPr>
          <w:rtl/>
        </w:rPr>
        <w:t xml:space="preserve"> </w:t>
      </w:r>
      <w:r w:rsidRPr="00712152">
        <w:rPr>
          <w:rFonts w:hint="eastAsia"/>
          <w:rtl/>
        </w:rPr>
        <w:t>ההינתקות</w:t>
      </w:r>
      <w:r w:rsidRPr="00712152">
        <w:rPr>
          <w:rtl/>
        </w:rPr>
        <w:t xml:space="preserve"> </w:t>
      </w:r>
      <w:r w:rsidRPr="00712152">
        <w:rPr>
          <w:rFonts w:hint="eastAsia"/>
          <w:rtl/>
        </w:rPr>
        <w:t>אשר</w:t>
      </w:r>
      <w:r w:rsidRPr="00712152">
        <w:rPr>
          <w:rtl/>
        </w:rPr>
        <w:t xml:space="preserve"> </w:t>
      </w:r>
      <w:r w:rsidRPr="00712152">
        <w:rPr>
          <w:rFonts w:hint="eastAsia"/>
          <w:rtl/>
        </w:rPr>
        <w:t>התרחשה</w:t>
      </w:r>
      <w:r w:rsidRPr="00712152">
        <w:rPr>
          <w:rtl/>
        </w:rPr>
        <w:t xml:space="preserve"> </w:t>
      </w:r>
      <w:r w:rsidRPr="00712152">
        <w:rPr>
          <w:rFonts w:hint="eastAsia"/>
          <w:rtl/>
        </w:rPr>
        <w:t>בשנת</w:t>
      </w:r>
      <w:r w:rsidRPr="00712152">
        <w:rPr>
          <w:rtl/>
        </w:rPr>
        <w:t xml:space="preserve"> 2005, </w:t>
      </w:r>
      <w:r w:rsidRPr="00712152">
        <w:rPr>
          <w:rFonts w:hint="eastAsia"/>
          <w:rtl/>
        </w:rPr>
        <w:t>וביתר</w:t>
      </w:r>
      <w:r w:rsidRPr="00712152">
        <w:rPr>
          <w:rtl/>
        </w:rPr>
        <w:t xml:space="preserve"> </w:t>
      </w:r>
      <w:r w:rsidRPr="00712152">
        <w:rPr>
          <w:rFonts w:hint="eastAsia"/>
          <w:rtl/>
        </w:rPr>
        <w:t>שאת</w:t>
      </w:r>
      <w:r w:rsidRPr="00712152">
        <w:rPr>
          <w:rtl/>
        </w:rPr>
        <w:t xml:space="preserve"> </w:t>
      </w:r>
      <w:r w:rsidRPr="00712152">
        <w:rPr>
          <w:rFonts w:hint="eastAsia"/>
          <w:rtl/>
        </w:rPr>
        <w:t>מאז</w:t>
      </w:r>
      <w:r w:rsidRPr="00712152">
        <w:rPr>
          <w:rtl/>
        </w:rPr>
        <w:t xml:space="preserve"> </w:t>
      </w:r>
      <w:r w:rsidRPr="00712152">
        <w:rPr>
          <w:rFonts w:hint="eastAsia"/>
          <w:rtl/>
        </w:rPr>
        <w:t>השתלטות</w:t>
      </w:r>
      <w:r w:rsidRPr="00712152">
        <w:rPr>
          <w:rtl/>
        </w:rPr>
        <w:t xml:space="preserve"> </w:t>
      </w:r>
      <w:r w:rsidRPr="00712152">
        <w:rPr>
          <w:rFonts w:hint="eastAsia"/>
          <w:rtl/>
        </w:rPr>
        <w:t>חמאס</w:t>
      </w:r>
      <w:r w:rsidRPr="00712152">
        <w:rPr>
          <w:rtl/>
        </w:rPr>
        <w:t xml:space="preserve"> </w:t>
      </w:r>
      <w:r w:rsidRPr="00712152">
        <w:rPr>
          <w:rFonts w:hint="eastAsia"/>
          <w:rtl/>
        </w:rPr>
        <w:t>על</w:t>
      </w:r>
      <w:r w:rsidRPr="00712152">
        <w:rPr>
          <w:rtl/>
        </w:rPr>
        <w:t xml:space="preserve"> </w:t>
      </w:r>
      <w:r w:rsidRPr="00712152">
        <w:rPr>
          <w:rFonts w:hint="eastAsia"/>
          <w:rtl/>
        </w:rPr>
        <w:t>הרצועה</w:t>
      </w:r>
      <w:r w:rsidRPr="00712152">
        <w:rPr>
          <w:rtl/>
        </w:rPr>
        <w:t xml:space="preserve"> </w:t>
      </w:r>
      <w:r w:rsidRPr="00712152">
        <w:rPr>
          <w:rFonts w:hint="eastAsia"/>
          <w:rtl/>
        </w:rPr>
        <w:t>בשנת</w:t>
      </w:r>
      <w:r w:rsidRPr="00712152">
        <w:rPr>
          <w:rtl/>
        </w:rPr>
        <w:t xml:space="preserve"> 2007, </w:t>
      </w:r>
      <w:r w:rsidRPr="00712152">
        <w:rPr>
          <w:rFonts w:hint="eastAsia"/>
          <w:rtl/>
        </w:rPr>
        <w:t>לכוחות</w:t>
      </w:r>
      <w:r w:rsidRPr="00712152">
        <w:rPr>
          <w:rtl/>
        </w:rPr>
        <w:t xml:space="preserve"> </w:t>
      </w:r>
      <w:r w:rsidRPr="00712152">
        <w:rPr>
          <w:rFonts w:hint="eastAsia"/>
          <w:rtl/>
        </w:rPr>
        <w:t>הביטחון</w:t>
      </w:r>
      <w:r w:rsidRPr="00712152">
        <w:rPr>
          <w:rtl/>
        </w:rPr>
        <w:t xml:space="preserve"> </w:t>
      </w:r>
      <w:r w:rsidRPr="00712152">
        <w:rPr>
          <w:rFonts w:hint="eastAsia"/>
          <w:rtl/>
        </w:rPr>
        <w:t>הישראליים</w:t>
      </w:r>
      <w:r w:rsidRPr="00712152">
        <w:rPr>
          <w:rtl/>
        </w:rPr>
        <w:t xml:space="preserve"> </w:t>
      </w:r>
      <w:r w:rsidRPr="00712152">
        <w:rPr>
          <w:rFonts w:hint="eastAsia"/>
          <w:rtl/>
        </w:rPr>
        <w:t>אין</w:t>
      </w:r>
      <w:r w:rsidRPr="00712152">
        <w:rPr>
          <w:rtl/>
        </w:rPr>
        <w:t xml:space="preserve"> </w:t>
      </w:r>
      <w:r w:rsidRPr="00712152">
        <w:rPr>
          <w:rFonts w:hint="eastAsia"/>
          <w:rtl/>
        </w:rPr>
        <w:t>עוד</w:t>
      </w:r>
      <w:r w:rsidRPr="00712152">
        <w:rPr>
          <w:rtl/>
        </w:rPr>
        <w:t xml:space="preserve"> </w:t>
      </w:r>
      <w:r w:rsidRPr="00712152">
        <w:rPr>
          <w:rFonts w:hint="eastAsia"/>
          <w:rtl/>
        </w:rPr>
        <w:t>שליטה</w:t>
      </w:r>
      <w:r w:rsidRPr="00712152">
        <w:rPr>
          <w:rtl/>
        </w:rPr>
        <w:t xml:space="preserve"> </w:t>
      </w:r>
      <w:r w:rsidRPr="00712152">
        <w:rPr>
          <w:rFonts w:hint="eastAsia"/>
          <w:rtl/>
        </w:rPr>
        <w:t>על</w:t>
      </w:r>
      <w:r w:rsidRPr="00712152">
        <w:rPr>
          <w:rtl/>
        </w:rPr>
        <w:t xml:space="preserve"> </w:t>
      </w:r>
      <w:r w:rsidRPr="00712152">
        <w:rPr>
          <w:rFonts w:hint="eastAsia"/>
          <w:rtl/>
        </w:rPr>
        <w:t>הנעשה</w:t>
      </w:r>
      <w:r w:rsidRPr="00712152">
        <w:rPr>
          <w:rtl/>
        </w:rPr>
        <w:t xml:space="preserve"> </w:t>
      </w:r>
      <w:r w:rsidRPr="00712152">
        <w:rPr>
          <w:rFonts w:hint="eastAsia"/>
          <w:rtl/>
        </w:rPr>
        <w:t>בתוך</w:t>
      </w:r>
      <w:r w:rsidRPr="00712152">
        <w:rPr>
          <w:rtl/>
        </w:rPr>
        <w:t xml:space="preserve"> </w:t>
      </w:r>
      <w:r w:rsidRPr="00712152">
        <w:rPr>
          <w:rFonts w:hint="eastAsia"/>
          <w:rtl/>
        </w:rPr>
        <w:t>שטח</w:t>
      </w:r>
      <w:r w:rsidRPr="00712152">
        <w:rPr>
          <w:rtl/>
        </w:rPr>
        <w:t xml:space="preserve"> </w:t>
      </w:r>
      <w:r>
        <w:rPr>
          <w:rFonts w:hint="cs"/>
          <w:rtl/>
        </w:rPr>
        <w:t>עזה</w:t>
      </w:r>
      <w:r w:rsidRPr="00712152">
        <w:rPr>
          <w:rtl/>
        </w:rPr>
        <w:t xml:space="preserve">, </w:t>
      </w:r>
      <w:r>
        <w:rPr>
          <w:rFonts w:hint="cs"/>
          <w:rtl/>
        </w:rPr>
        <w:t>וה</w:t>
      </w:r>
      <w:r w:rsidRPr="00712152">
        <w:rPr>
          <w:rFonts w:hint="eastAsia"/>
          <w:rtl/>
        </w:rPr>
        <w:t>ם</w:t>
      </w:r>
      <w:r w:rsidRPr="00712152">
        <w:rPr>
          <w:rtl/>
        </w:rPr>
        <w:t xml:space="preserve"> </w:t>
      </w:r>
      <w:r w:rsidRPr="00712152">
        <w:rPr>
          <w:rFonts w:hint="eastAsia"/>
          <w:rtl/>
        </w:rPr>
        <w:t>אינם</w:t>
      </w:r>
      <w:r w:rsidRPr="00712152">
        <w:rPr>
          <w:rtl/>
        </w:rPr>
        <w:t xml:space="preserve"> </w:t>
      </w:r>
      <w:r w:rsidRPr="00712152">
        <w:rPr>
          <w:rFonts w:hint="eastAsia"/>
          <w:rtl/>
        </w:rPr>
        <w:t>מבצעים</w:t>
      </w:r>
      <w:r w:rsidRPr="00712152">
        <w:rPr>
          <w:rtl/>
        </w:rPr>
        <w:t xml:space="preserve"> </w:t>
      </w:r>
      <w:r>
        <w:rPr>
          <w:rFonts w:hint="cs"/>
          <w:rtl/>
        </w:rPr>
        <w:t xml:space="preserve">בשטח זה </w:t>
      </w:r>
      <w:r w:rsidRPr="00712152">
        <w:rPr>
          <w:rFonts w:hint="eastAsia"/>
          <w:rtl/>
        </w:rPr>
        <w:t>תפקידי</w:t>
      </w:r>
      <w:r w:rsidRPr="00712152">
        <w:rPr>
          <w:rtl/>
        </w:rPr>
        <w:t xml:space="preserve"> </w:t>
      </w:r>
      <w:r w:rsidRPr="00712152">
        <w:rPr>
          <w:rFonts w:hint="eastAsia"/>
          <w:rtl/>
        </w:rPr>
        <w:t>שיטור</w:t>
      </w:r>
      <w:r w:rsidRPr="00712152">
        <w:rPr>
          <w:rtl/>
        </w:rPr>
        <w:t xml:space="preserve">. </w:t>
      </w:r>
      <w:r w:rsidRPr="00712152">
        <w:rPr>
          <w:rFonts w:hint="eastAsia"/>
          <w:rtl/>
        </w:rPr>
        <w:t>משכך</w:t>
      </w:r>
      <w:r w:rsidRPr="00712152">
        <w:rPr>
          <w:rtl/>
        </w:rPr>
        <w:t>,</w:t>
      </w:r>
      <w:r>
        <w:rPr>
          <w:rFonts w:hint="cs"/>
          <w:rtl/>
        </w:rPr>
        <w:t xml:space="preserve"> ובניגוד לאזור יהודה ושומרון בו המדינה עודנה מפעילה סמכויות שיטוריות (ראו: עניין </w:t>
      </w:r>
      <w:r w:rsidRPr="00250372">
        <w:rPr>
          <w:rFonts w:ascii="Century" w:hAnsi="Century" w:cs="Miriam" w:hint="cs"/>
          <w:b/>
          <w:spacing w:val="0"/>
          <w:sz w:val="22"/>
          <w:szCs w:val="24"/>
          <w:rtl/>
        </w:rPr>
        <w:t>עדאלה</w:t>
      </w:r>
      <w:r>
        <w:rPr>
          <w:rFonts w:hint="cs"/>
          <w:rtl/>
        </w:rPr>
        <w:t>),</w:t>
      </w:r>
      <w:r w:rsidRPr="00712152">
        <w:rPr>
          <w:rtl/>
        </w:rPr>
        <w:t xml:space="preserve"> </w:t>
      </w:r>
      <w:r>
        <w:rPr>
          <w:rFonts w:hint="cs"/>
          <w:rtl/>
        </w:rPr>
        <w:t xml:space="preserve">קיים טעם שלא לבחון במסגרת כל הליך נזיקי המוגש על ידי תושב הרצועה נגד המדינה, בגין אירוע הקשור באופן הדוק לעימות, האם הנזק לו הוא טוען נגרם כתוצאה מפעולה מלחמתית. הטעם לכך הוא שבדומה לאמור מעלה, כל עוד רצועת עזה היא בגדר שטח אויב, עיקר </w:t>
      </w:r>
      <w:r w:rsidRPr="00712152">
        <w:rPr>
          <w:rFonts w:hint="eastAsia"/>
          <w:rtl/>
        </w:rPr>
        <w:t>הממשקים</w:t>
      </w:r>
      <w:r w:rsidRPr="00712152">
        <w:rPr>
          <w:rtl/>
        </w:rPr>
        <w:t xml:space="preserve"> </w:t>
      </w:r>
      <w:r w:rsidRPr="00712152">
        <w:rPr>
          <w:rFonts w:hint="eastAsia"/>
          <w:rtl/>
        </w:rPr>
        <w:t>בין</w:t>
      </w:r>
      <w:r w:rsidRPr="00712152">
        <w:rPr>
          <w:rtl/>
        </w:rPr>
        <w:t xml:space="preserve"> </w:t>
      </w:r>
      <w:r w:rsidRPr="00712152">
        <w:rPr>
          <w:rFonts w:hint="eastAsia"/>
          <w:rtl/>
        </w:rPr>
        <w:t>המדינה</w:t>
      </w:r>
      <w:r w:rsidRPr="00712152">
        <w:rPr>
          <w:rtl/>
        </w:rPr>
        <w:t xml:space="preserve"> </w:t>
      </w:r>
      <w:r w:rsidRPr="00712152">
        <w:rPr>
          <w:rFonts w:hint="eastAsia"/>
          <w:rtl/>
        </w:rPr>
        <w:t>לבין</w:t>
      </w:r>
      <w:r w:rsidRPr="00712152">
        <w:rPr>
          <w:rtl/>
        </w:rPr>
        <w:t xml:space="preserve"> </w:t>
      </w:r>
      <w:r w:rsidRPr="00712152">
        <w:rPr>
          <w:rFonts w:hint="eastAsia"/>
          <w:rtl/>
        </w:rPr>
        <w:t>תושבי</w:t>
      </w:r>
      <w:r w:rsidRPr="00712152">
        <w:rPr>
          <w:rtl/>
        </w:rPr>
        <w:t xml:space="preserve"> </w:t>
      </w:r>
      <w:r w:rsidRPr="00712152">
        <w:rPr>
          <w:rFonts w:hint="eastAsia"/>
          <w:rtl/>
        </w:rPr>
        <w:t>הרצועה</w:t>
      </w:r>
      <w:r w:rsidRPr="00712152">
        <w:rPr>
          <w:rtl/>
        </w:rPr>
        <w:t xml:space="preserve"> </w:t>
      </w:r>
      <w:r w:rsidRPr="00712152">
        <w:rPr>
          <w:rFonts w:hint="eastAsia"/>
          <w:rtl/>
        </w:rPr>
        <w:t>הינם</w:t>
      </w:r>
      <w:r w:rsidRPr="00712152">
        <w:rPr>
          <w:rtl/>
        </w:rPr>
        <w:t xml:space="preserve"> </w:t>
      </w:r>
      <w:r w:rsidRPr="00712152">
        <w:rPr>
          <w:rFonts w:hint="eastAsia"/>
          <w:rtl/>
        </w:rPr>
        <w:t>תוצר</w:t>
      </w:r>
      <w:r w:rsidRPr="00712152">
        <w:rPr>
          <w:rtl/>
        </w:rPr>
        <w:t xml:space="preserve"> </w:t>
      </w:r>
      <w:r w:rsidRPr="00712152">
        <w:rPr>
          <w:rFonts w:hint="eastAsia"/>
          <w:rtl/>
        </w:rPr>
        <w:t>של</w:t>
      </w:r>
      <w:r w:rsidRPr="00712152">
        <w:rPr>
          <w:rtl/>
        </w:rPr>
        <w:t xml:space="preserve"> </w:t>
      </w:r>
      <w:r w:rsidRPr="00712152">
        <w:rPr>
          <w:rFonts w:hint="eastAsia"/>
          <w:rtl/>
        </w:rPr>
        <w:t>פעולות</w:t>
      </w:r>
      <w:r w:rsidRPr="00712152">
        <w:rPr>
          <w:rtl/>
        </w:rPr>
        <w:t xml:space="preserve"> </w:t>
      </w:r>
      <w:r w:rsidRPr="00712152">
        <w:rPr>
          <w:rFonts w:hint="eastAsia"/>
          <w:rtl/>
        </w:rPr>
        <w:t>מלחמתיות</w:t>
      </w:r>
      <w:r>
        <w:rPr>
          <w:rFonts w:hint="cs"/>
          <w:rtl/>
        </w:rPr>
        <w:t>, ולכן כל עוד הנזק הנטען נגרם בקשר לעימות עם ארגוני הטרור הפועלים ברצועה, התשובה לשאלה האם אותו הנזק נגרם כתוצאה מפעילות מלחמתית, צפויה להיות חיובית.</w:t>
      </w:r>
      <w:r w:rsidRPr="00712152">
        <w:rPr>
          <w:rtl/>
        </w:rPr>
        <w:t xml:space="preserve"> </w:t>
      </w:r>
      <w:r w:rsidRPr="00712152">
        <w:rPr>
          <w:rFonts w:hint="eastAsia"/>
          <w:rtl/>
        </w:rPr>
        <w:t>כמו</w:t>
      </w:r>
      <w:r w:rsidRPr="00712152">
        <w:rPr>
          <w:rtl/>
        </w:rPr>
        <w:t xml:space="preserve"> </w:t>
      </w:r>
      <w:r w:rsidRPr="00712152">
        <w:rPr>
          <w:rFonts w:hint="eastAsia"/>
          <w:rtl/>
        </w:rPr>
        <w:t>כן</w:t>
      </w:r>
      <w:r w:rsidRPr="00712152">
        <w:rPr>
          <w:rtl/>
        </w:rPr>
        <w:t xml:space="preserve">, </w:t>
      </w:r>
      <w:r>
        <w:rPr>
          <w:rFonts w:hint="cs"/>
          <w:rtl/>
        </w:rPr>
        <w:t>יש טעם בצמצום של הזרמת כספים לשטח הרצועה כיוון ש</w:t>
      </w:r>
      <w:r w:rsidRPr="00712152">
        <w:rPr>
          <w:rFonts w:hint="eastAsia"/>
          <w:rtl/>
        </w:rPr>
        <w:t>כספים</w:t>
      </w:r>
      <w:r>
        <w:rPr>
          <w:rFonts w:hint="cs"/>
          <w:rtl/>
        </w:rPr>
        <w:t xml:space="preserve"> אלו עלולים להטיב, באופן ישיר או באופן עקיף, גם עם ארגוני הטרור הפועלים ברצועה, ולתת רוח גבית למאמצי ההתחמשות ותהליכי בניין הכוח שלהם במלחמתם נגד מדינת ישראל. השילוב שבין שתי התכליות </w:t>
      </w:r>
      <w:r>
        <w:rPr>
          <w:rtl/>
        </w:rPr>
        <w:t>–</w:t>
      </w:r>
      <w:r>
        <w:rPr>
          <w:rFonts w:hint="cs"/>
          <w:rtl/>
        </w:rPr>
        <w:t xml:space="preserve"> </w:t>
      </w:r>
      <w:r w:rsidRPr="00250372">
        <w:rPr>
          <w:rFonts w:ascii="Century" w:hAnsi="Century" w:cs="Miriam" w:hint="cs"/>
          <w:b/>
          <w:spacing w:val="0"/>
          <w:szCs w:val="24"/>
          <w:rtl/>
        </w:rPr>
        <w:t>התאמת דיני הנזיקין למצב מלחמתי</w:t>
      </w:r>
      <w:r>
        <w:rPr>
          <w:rFonts w:hint="cs"/>
          <w:rtl/>
        </w:rPr>
        <w:t xml:space="preserve"> ו</w:t>
      </w:r>
      <w:r w:rsidRPr="00250372">
        <w:rPr>
          <w:rFonts w:ascii="Century" w:hAnsi="Century" w:cs="Miriam" w:hint="cs"/>
          <w:b/>
          <w:spacing w:val="0"/>
          <w:szCs w:val="24"/>
          <w:rtl/>
        </w:rPr>
        <w:t>-מניעת סיוע כלכלי ומוראלי מהאויב</w:t>
      </w:r>
      <w:r>
        <w:rPr>
          <w:rFonts w:hint="cs"/>
          <w:rtl/>
        </w:rPr>
        <w:t xml:space="preserve"> </w:t>
      </w:r>
      <w:r>
        <w:rPr>
          <w:rtl/>
        </w:rPr>
        <w:t>–</w:t>
      </w:r>
      <w:r>
        <w:rPr>
          <w:rFonts w:hint="cs"/>
          <w:rtl/>
        </w:rPr>
        <w:t xml:space="preserve"> הוא שהצדיק, איפוא, הרחבה של הכללים המשפטיים הקיימים (הסדר הפטור ביחס לפעולת מלחמה והכללים לפיהם אין מבררים תביעות אויב), תוך הכרה בקיומו של כלל המשלב את שתי התכליות השונות שעמדו ביסודם. למסגרת אנליטית זו ראוי להבנתי להכניס את סעיף 5ב(א)(1) לחוק, ולפיכך על בסיסה יש לבחון את חוקתיותו של הסדר הפטור מאחריות כלפי תושבי עזה.</w:t>
      </w:r>
    </w:p>
    <w:p w:rsidR="00745AC1" w:rsidRPr="00076C53" w:rsidRDefault="00745AC1" w:rsidP="00745AC1">
      <w:pPr>
        <w:pStyle w:val="Ruller41"/>
        <w:rPr>
          <w:rtl/>
        </w:rPr>
      </w:pPr>
    </w:p>
    <w:p w:rsidR="00745AC1" w:rsidRPr="00BA1D04" w:rsidRDefault="00745AC1" w:rsidP="004A6E48">
      <w:pPr>
        <w:pStyle w:val="Ruller41"/>
        <w:spacing w:line="240" w:lineRule="auto"/>
        <w:rPr>
          <w:rFonts w:ascii="Century" w:hAnsi="Century" w:cs="Miriam"/>
          <w:b/>
          <w:spacing w:val="0"/>
          <w:szCs w:val="24"/>
          <w:rtl/>
        </w:rPr>
      </w:pPr>
      <w:r w:rsidRPr="00BA1D04">
        <w:rPr>
          <w:rFonts w:ascii="Century" w:hAnsi="Century" w:cs="Miriam" w:hint="cs"/>
          <w:b/>
          <w:spacing w:val="0"/>
          <w:szCs w:val="24"/>
          <w:rtl/>
        </w:rPr>
        <w:t xml:space="preserve">חוקתיות </w:t>
      </w:r>
      <w:r w:rsidRPr="00250372">
        <w:rPr>
          <w:rFonts w:ascii="Century" w:hAnsi="Century" w:cs="Miriam" w:hint="cs"/>
          <w:b/>
          <w:spacing w:val="0"/>
          <w:szCs w:val="24"/>
          <w:rtl/>
        </w:rPr>
        <w:t>הסדר הפטור מאחריות כלפי תושבי עזה</w:t>
      </w:r>
    </w:p>
    <w:p w:rsidR="00745AC1" w:rsidRDefault="00745AC1" w:rsidP="004A6E48">
      <w:pPr>
        <w:pStyle w:val="Ruller41"/>
        <w:spacing w:line="240" w:lineRule="auto"/>
        <w:rPr>
          <w:rtl/>
        </w:rPr>
      </w:pPr>
    </w:p>
    <w:p w:rsidR="00745AC1" w:rsidRDefault="00745AC1" w:rsidP="00745AC1">
      <w:pPr>
        <w:pStyle w:val="Ruller4"/>
        <w:rPr>
          <w:rtl/>
        </w:rPr>
      </w:pPr>
      <w:r>
        <w:rPr>
          <w:rFonts w:hint="cs"/>
          <w:rtl/>
        </w:rPr>
        <w:t xml:space="preserve">כפי שפירט חברי, השופט </w:t>
      </w:r>
      <w:r w:rsidRPr="00673BBF">
        <w:rPr>
          <w:rFonts w:ascii="Century" w:hAnsi="Century" w:cs="Miriam" w:hint="cs"/>
          <w:b/>
          <w:spacing w:val="0"/>
          <w:sz w:val="22"/>
          <w:szCs w:val="24"/>
          <w:rtl/>
        </w:rPr>
        <w:t>סולברג</w:t>
      </w:r>
      <w:r>
        <w:rPr>
          <w:rFonts w:hint="cs"/>
          <w:rtl/>
        </w:rPr>
        <w:t xml:space="preserve">, לצורך הדיון בענייננו, יש לצאת מנקודת הנחה כי הסדר הפטור מאחריות כלפי תושבי עזה פוגע בזכויות יסוד המוגנות בחוק יסוד: כבוד האדם וחירותו, וזאת בהינתן עמדת המדינה, ומבלי להכריע לגופה בשאלת תחולתם של חוקי היסוד במקרה דנן. עוד מסכים אני כי שתי התכליות המתוארות, דהיינו התאמת דיני הנזיקין למצב מלחמתי ומניעת סיוע כלכלי ומוראלי מהאויב, הן, כל אחת מהן כשלעצמה, ובוודאי שתיהן במשולב, תכליות ראויות במונחי סעיף 8 לחוק יסוד: כבוד האדם וחירותו. ואולם, כידוע, על מנת שניתן יהיה לקבוע כי הסדר הפטור מאחריות כלפי תושבי עזה הוא חוקתי, עליו לצלוח גם את מבחני המידתיות כפי שאלו פותחו בפסיקתו של בית משפט זה (ראו: עניין </w:t>
      </w:r>
      <w:r w:rsidRPr="00673BBF">
        <w:rPr>
          <w:rFonts w:ascii="Century" w:hAnsi="Century" w:cs="Miriam" w:hint="cs"/>
          <w:b/>
          <w:spacing w:val="0"/>
          <w:sz w:val="22"/>
          <w:szCs w:val="24"/>
          <w:rtl/>
        </w:rPr>
        <w:t>עדאלה</w:t>
      </w:r>
      <w:r>
        <w:rPr>
          <w:rFonts w:hint="cs"/>
          <w:rtl/>
        </w:rPr>
        <w:t>, בעמ' 25;</w:t>
      </w:r>
      <w:r w:rsidRPr="00B5287F">
        <w:rPr>
          <w:rFonts w:hint="eastAsia"/>
          <w:rtl/>
        </w:rPr>
        <w:t xml:space="preserve"> בג</w:t>
      </w:r>
      <w:r w:rsidRPr="00B5287F">
        <w:rPr>
          <w:rtl/>
        </w:rPr>
        <w:t>"</w:t>
      </w:r>
      <w:r w:rsidRPr="00B5287F">
        <w:rPr>
          <w:rFonts w:hint="eastAsia"/>
          <w:rtl/>
        </w:rPr>
        <w:t>ץ</w:t>
      </w:r>
      <w:r w:rsidRPr="00B5287F">
        <w:rPr>
          <w:rtl/>
        </w:rPr>
        <w:t xml:space="preserve"> 1030</w:t>
      </w:r>
      <w:r>
        <w:rPr>
          <w:rFonts w:hint="cs"/>
          <w:rtl/>
        </w:rPr>
        <w:t>/</w:t>
      </w:r>
      <w:r w:rsidRPr="00B5287F">
        <w:rPr>
          <w:rtl/>
        </w:rPr>
        <w:t xml:space="preserve">99 </w:t>
      </w:r>
      <w:r w:rsidRPr="00673BBF">
        <w:rPr>
          <w:rFonts w:ascii="Century" w:hAnsi="Century" w:cs="Miriam" w:hint="eastAsia"/>
          <w:b/>
          <w:spacing w:val="0"/>
          <w:sz w:val="22"/>
          <w:szCs w:val="24"/>
          <w:rtl/>
        </w:rPr>
        <w:t>חבר</w:t>
      </w:r>
      <w:r w:rsidRPr="00673BBF">
        <w:rPr>
          <w:rFonts w:ascii="Century" w:hAnsi="Century" w:cs="Miriam"/>
          <w:b/>
          <w:spacing w:val="0"/>
          <w:sz w:val="22"/>
          <w:szCs w:val="24"/>
          <w:rtl/>
        </w:rPr>
        <w:t>-</w:t>
      </w:r>
      <w:r w:rsidRPr="00673BBF">
        <w:rPr>
          <w:rFonts w:ascii="Century" w:hAnsi="Century" w:cs="Miriam" w:hint="eastAsia"/>
          <w:b/>
          <w:spacing w:val="0"/>
          <w:sz w:val="22"/>
          <w:szCs w:val="24"/>
          <w:rtl/>
        </w:rPr>
        <w:t>הכנסת</w:t>
      </w:r>
      <w:r w:rsidRPr="00673BBF">
        <w:rPr>
          <w:rFonts w:ascii="Century" w:hAnsi="Century" w:cs="Miriam"/>
          <w:b/>
          <w:spacing w:val="0"/>
          <w:sz w:val="22"/>
          <w:szCs w:val="24"/>
          <w:rtl/>
        </w:rPr>
        <w:t xml:space="preserve"> </w:t>
      </w:r>
      <w:r w:rsidRPr="00673BBF">
        <w:rPr>
          <w:rFonts w:ascii="Century" w:hAnsi="Century" w:cs="Miriam" w:hint="eastAsia"/>
          <w:b/>
          <w:spacing w:val="0"/>
          <w:sz w:val="22"/>
          <w:szCs w:val="24"/>
          <w:rtl/>
        </w:rPr>
        <w:t>אורון</w:t>
      </w:r>
      <w:r w:rsidRPr="00673BBF">
        <w:rPr>
          <w:rFonts w:ascii="Century" w:hAnsi="Century" w:cs="Miriam"/>
          <w:b/>
          <w:spacing w:val="0"/>
          <w:sz w:val="22"/>
          <w:szCs w:val="24"/>
          <w:rtl/>
        </w:rPr>
        <w:t xml:space="preserve"> </w:t>
      </w:r>
      <w:r w:rsidRPr="00673BBF">
        <w:rPr>
          <w:rFonts w:ascii="Century" w:hAnsi="Century" w:cs="Miriam" w:hint="eastAsia"/>
          <w:b/>
          <w:spacing w:val="0"/>
          <w:sz w:val="22"/>
          <w:szCs w:val="24"/>
          <w:rtl/>
        </w:rPr>
        <w:t>נ</w:t>
      </w:r>
      <w:r w:rsidRPr="00673BBF">
        <w:rPr>
          <w:rFonts w:ascii="Century" w:hAnsi="Century" w:cs="Miriam"/>
          <w:b/>
          <w:spacing w:val="0"/>
          <w:sz w:val="22"/>
          <w:szCs w:val="24"/>
          <w:rtl/>
        </w:rPr>
        <w:t xml:space="preserve">' </w:t>
      </w:r>
      <w:r w:rsidRPr="00673BBF">
        <w:rPr>
          <w:rFonts w:ascii="Century" w:hAnsi="Century" w:cs="Miriam" w:hint="eastAsia"/>
          <w:b/>
          <w:spacing w:val="0"/>
          <w:sz w:val="22"/>
          <w:szCs w:val="24"/>
          <w:rtl/>
        </w:rPr>
        <w:t>יושב</w:t>
      </w:r>
      <w:r w:rsidRPr="00673BBF">
        <w:rPr>
          <w:rFonts w:ascii="Century" w:hAnsi="Century" w:cs="Miriam"/>
          <w:b/>
          <w:spacing w:val="0"/>
          <w:sz w:val="22"/>
          <w:szCs w:val="24"/>
          <w:rtl/>
        </w:rPr>
        <w:t>-</w:t>
      </w:r>
      <w:r w:rsidRPr="00673BBF">
        <w:rPr>
          <w:rFonts w:ascii="Century" w:hAnsi="Century" w:cs="Miriam" w:hint="eastAsia"/>
          <w:b/>
          <w:spacing w:val="0"/>
          <w:sz w:val="22"/>
          <w:szCs w:val="24"/>
          <w:rtl/>
        </w:rPr>
        <w:t>ראש</w:t>
      </w:r>
      <w:r w:rsidRPr="00673BBF">
        <w:rPr>
          <w:rFonts w:ascii="Century" w:hAnsi="Century" w:cs="Miriam"/>
          <w:b/>
          <w:spacing w:val="0"/>
          <w:sz w:val="22"/>
          <w:szCs w:val="24"/>
          <w:rtl/>
        </w:rPr>
        <w:t xml:space="preserve"> </w:t>
      </w:r>
      <w:r w:rsidRPr="00673BBF">
        <w:rPr>
          <w:rFonts w:ascii="Century" w:hAnsi="Century" w:cs="Miriam" w:hint="eastAsia"/>
          <w:b/>
          <w:spacing w:val="0"/>
          <w:sz w:val="22"/>
          <w:szCs w:val="24"/>
          <w:rtl/>
        </w:rPr>
        <w:t>הכנסת</w:t>
      </w:r>
      <w:r w:rsidRPr="00673BBF">
        <w:rPr>
          <w:rFonts w:ascii="Century" w:hAnsi="Century" w:cs="Miriam"/>
          <w:b/>
          <w:spacing w:val="0"/>
          <w:sz w:val="22"/>
          <w:szCs w:val="24"/>
          <w:rtl/>
        </w:rPr>
        <w:t xml:space="preserve"> </w:t>
      </w:r>
      <w:r w:rsidRPr="00673BBF">
        <w:rPr>
          <w:rFonts w:ascii="Century" w:hAnsi="Century" w:cs="Miriam" w:hint="eastAsia"/>
          <w:b/>
          <w:spacing w:val="0"/>
          <w:sz w:val="22"/>
          <w:szCs w:val="24"/>
          <w:rtl/>
        </w:rPr>
        <w:t>חבר</w:t>
      </w:r>
      <w:r w:rsidRPr="00673BBF">
        <w:rPr>
          <w:rFonts w:ascii="Century" w:hAnsi="Century" w:cs="Miriam"/>
          <w:b/>
          <w:spacing w:val="0"/>
          <w:sz w:val="22"/>
          <w:szCs w:val="24"/>
          <w:rtl/>
        </w:rPr>
        <w:t>-</w:t>
      </w:r>
      <w:r w:rsidRPr="00673BBF">
        <w:rPr>
          <w:rFonts w:ascii="Century" w:hAnsi="Century" w:cs="Miriam" w:hint="eastAsia"/>
          <w:b/>
          <w:spacing w:val="0"/>
          <w:sz w:val="22"/>
          <w:szCs w:val="24"/>
          <w:rtl/>
        </w:rPr>
        <w:t>הכנסת</w:t>
      </w:r>
      <w:r w:rsidRPr="00673BBF">
        <w:rPr>
          <w:rFonts w:ascii="Century" w:hAnsi="Century" w:cs="Miriam"/>
          <w:b/>
          <w:spacing w:val="0"/>
          <w:sz w:val="22"/>
          <w:szCs w:val="24"/>
          <w:rtl/>
        </w:rPr>
        <w:t xml:space="preserve"> </w:t>
      </w:r>
      <w:r w:rsidRPr="00673BBF">
        <w:rPr>
          <w:rFonts w:ascii="Century" w:hAnsi="Century" w:cs="Miriam" w:hint="eastAsia"/>
          <w:b/>
          <w:spacing w:val="0"/>
          <w:sz w:val="22"/>
          <w:szCs w:val="24"/>
          <w:rtl/>
        </w:rPr>
        <w:t>תיכון</w:t>
      </w:r>
      <w:r w:rsidRPr="00B5287F">
        <w:rPr>
          <w:rtl/>
        </w:rPr>
        <w:t xml:space="preserve">, </w:t>
      </w:r>
      <w:r w:rsidRPr="00B5287F">
        <w:rPr>
          <w:rFonts w:hint="eastAsia"/>
          <w:rtl/>
        </w:rPr>
        <w:t>פ</w:t>
      </w:r>
      <w:r w:rsidRPr="00B5287F">
        <w:rPr>
          <w:rtl/>
        </w:rPr>
        <w:t>"</w:t>
      </w:r>
      <w:r w:rsidRPr="00B5287F">
        <w:rPr>
          <w:rFonts w:hint="eastAsia"/>
          <w:rtl/>
        </w:rPr>
        <w:t>ד</w:t>
      </w:r>
      <w:r w:rsidRPr="00B5287F">
        <w:rPr>
          <w:rtl/>
        </w:rPr>
        <w:t xml:space="preserve"> </w:t>
      </w:r>
      <w:r w:rsidRPr="00B5287F">
        <w:rPr>
          <w:rFonts w:hint="eastAsia"/>
          <w:rtl/>
        </w:rPr>
        <w:t>נו</w:t>
      </w:r>
      <w:r w:rsidRPr="00B5287F">
        <w:rPr>
          <w:rtl/>
        </w:rPr>
        <w:t>(3) 640</w:t>
      </w:r>
      <w:r>
        <w:rPr>
          <w:rFonts w:hint="cs"/>
          <w:rtl/>
        </w:rPr>
        <w:t xml:space="preserve">, 665 (2002); </w:t>
      </w:r>
      <w:r w:rsidRPr="00570819">
        <w:rPr>
          <w:rFonts w:hint="eastAsia"/>
          <w:rtl/>
        </w:rPr>
        <w:t>בג</w:t>
      </w:r>
      <w:r w:rsidRPr="00570819">
        <w:rPr>
          <w:rtl/>
        </w:rPr>
        <w:t>"</w:t>
      </w:r>
      <w:r w:rsidRPr="00570819">
        <w:rPr>
          <w:rFonts w:hint="eastAsia"/>
          <w:rtl/>
        </w:rPr>
        <w:t>ץ</w:t>
      </w:r>
      <w:r w:rsidRPr="00570819">
        <w:rPr>
          <w:rtl/>
        </w:rPr>
        <w:t xml:space="preserve"> 6427</w:t>
      </w:r>
      <w:r>
        <w:rPr>
          <w:rFonts w:hint="cs"/>
          <w:rtl/>
        </w:rPr>
        <w:t>/</w:t>
      </w:r>
      <w:r w:rsidRPr="00570819">
        <w:rPr>
          <w:rtl/>
        </w:rPr>
        <w:t xml:space="preserve">02 </w:t>
      </w:r>
      <w:r w:rsidRPr="00673BBF">
        <w:rPr>
          <w:rFonts w:ascii="Century" w:hAnsi="Century" w:cs="Miriam" w:hint="eastAsia"/>
          <w:b/>
          <w:spacing w:val="0"/>
          <w:sz w:val="22"/>
          <w:szCs w:val="24"/>
          <w:rtl/>
        </w:rPr>
        <w:t>התנועה</w:t>
      </w:r>
      <w:r w:rsidRPr="00673BBF">
        <w:rPr>
          <w:rFonts w:ascii="Century" w:hAnsi="Century" w:cs="Miriam"/>
          <w:b/>
          <w:spacing w:val="0"/>
          <w:sz w:val="22"/>
          <w:szCs w:val="24"/>
          <w:rtl/>
        </w:rPr>
        <w:t xml:space="preserve"> </w:t>
      </w:r>
      <w:r w:rsidRPr="00673BBF">
        <w:rPr>
          <w:rFonts w:ascii="Century" w:hAnsi="Century" w:cs="Miriam" w:hint="eastAsia"/>
          <w:b/>
          <w:spacing w:val="0"/>
          <w:sz w:val="22"/>
          <w:szCs w:val="24"/>
          <w:rtl/>
        </w:rPr>
        <w:t>לאיכות</w:t>
      </w:r>
      <w:r w:rsidRPr="00673BBF">
        <w:rPr>
          <w:rFonts w:ascii="Century" w:hAnsi="Century" w:cs="Miriam"/>
          <w:b/>
          <w:spacing w:val="0"/>
          <w:sz w:val="22"/>
          <w:szCs w:val="24"/>
          <w:rtl/>
        </w:rPr>
        <w:t xml:space="preserve"> </w:t>
      </w:r>
      <w:r w:rsidRPr="00673BBF">
        <w:rPr>
          <w:rFonts w:ascii="Century" w:hAnsi="Century" w:cs="Miriam" w:hint="eastAsia"/>
          <w:b/>
          <w:spacing w:val="0"/>
          <w:sz w:val="22"/>
          <w:szCs w:val="24"/>
          <w:rtl/>
        </w:rPr>
        <w:t>השלטון</w:t>
      </w:r>
      <w:r w:rsidRPr="00673BBF">
        <w:rPr>
          <w:rFonts w:ascii="Century" w:hAnsi="Century" w:cs="Miriam"/>
          <w:b/>
          <w:spacing w:val="0"/>
          <w:sz w:val="22"/>
          <w:szCs w:val="24"/>
          <w:rtl/>
        </w:rPr>
        <w:t xml:space="preserve"> </w:t>
      </w:r>
      <w:r w:rsidRPr="00673BBF">
        <w:rPr>
          <w:rFonts w:ascii="Century" w:hAnsi="Century" w:cs="Miriam" w:hint="eastAsia"/>
          <w:b/>
          <w:spacing w:val="0"/>
          <w:sz w:val="22"/>
          <w:szCs w:val="24"/>
          <w:rtl/>
        </w:rPr>
        <w:t>בישראל</w:t>
      </w:r>
      <w:r w:rsidRPr="00673BBF">
        <w:rPr>
          <w:rFonts w:ascii="Century" w:hAnsi="Century" w:cs="Miriam"/>
          <w:b/>
          <w:spacing w:val="0"/>
          <w:sz w:val="22"/>
          <w:szCs w:val="24"/>
          <w:rtl/>
        </w:rPr>
        <w:t xml:space="preserve"> </w:t>
      </w:r>
      <w:r w:rsidRPr="00673BBF">
        <w:rPr>
          <w:rFonts w:ascii="Century" w:hAnsi="Century" w:cs="Miriam" w:hint="eastAsia"/>
          <w:b/>
          <w:spacing w:val="0"/>
          <w:sz w:val="22"/>
          <w:szCs w:val="24"/>
          <w:rtl/>
        </w:rPr>
        <w:t>נ</w:t>
      </w:r>
      <w:r w:rsidRPr="00673BBF">
        <w:rPr>
          <w:rFonts w:ascii="Century" w:hAnsi="Century" w:cs="Miriam"/>
          <w:b/>
          <w:spacing w:val="0"/>
          <w:sz w:val="22"/>
          <w:szCs w:val="24"/>
          <w:rtl/>
        </w:rPr>
        <w:t xml:space="preserve">' </w:t>
      </w:r>
      <w:r w:rsidRPr="00673BBF">
        <w:rPr>
          <w:rFonts w:ascii="Century" w:hAnsi="Century" w:cs="Miriam" w:hint="eastAsia"/>
          <w:b/>
          <w:spacing w:val="0"/>
          <w:sz w:val="22"/>
          <w:szCs w:val="24"/>
          <w:rtl/>
        </w:rPr>
        <w:t>הכנסת</w:t>
      </w:r>
      <w:r w:rsidRPr="00570819">
        <w:rPr>
          <w:rtl/>
        </w:rPr>
        <w:t xml:space="preserve">, </w:t>
      </w:r>
      <w:r w:rsidRPr="00570819">
        <w:rPr>
          <w:rFonts w:hint="eastAsia"/>
          <w:rtl/>
        </w:rPr>
        <w:t>פ</w:t>
      </w:r>
      <w:r w:rsidRPr="00570819">
        <w:rPr>
          <w:rtl/>
        </w:rPr>
        <w:t>"</w:t>
      </w:r>
      <w:r w:rsidRPr="00570819">
        <w:rPr>
          <w:rFonts w:hint="eastAsia"/>
          <w:rtl/>
        </w:rPr>
        <w:t>ד</w:t>
      </w:r>
      <w:r w:rsidRPr="00570819">
        <w:rPr>
          <w:rtl/>
        </w:rPr>
        <w:t xml:space="preserve"> </w:t>
      </w:r>
      <w:r w:rsidRPr="00570819">
        <w:rPr>
          <w:rFonts w:hint="eastAsia"/>
          <w:rtl/>
        </w:rPr>
        <w:t>סא</w:t>
      </w:r>
      <w:r w:rsidRPr="00570819">
        <w:rPr>
          <w:rtl/>
        </w:rPr>
        <w:t>(1) 619</w:t>
      </w:r>
      <w:r>
        <w:rPr>
          <w:rFonts w:hint="cs"/>
          <w:rtl/>
        </w:rPr>
        <w:t>, 708-705</w:t>
      </w:r>
      <w:r w:rsidRPr="00570819">
        <w:rPr>
          <w:rFonts w:hint="cs"/>
          <w:rtl/>
        </w:rPr>
        <w:t xml:space="preserve"> </w:t>
      </w:r>
      <w:r>
        <w:rPr>
          <w:rFonts w:hint="cs"/>
          <w:rtl/>
        </w:rPr>
        <w:t xml:space="preserve">(2006)). </w:t>
      </w:r>
    </w:p>
    <w:p w:rsidR="00745AC1" w:rsidRPr="001A1A67" w:rsidRDefault="00745AC1" w:rsidP="004A6E48">
      <w:pPr>
        <w:pStyle w:val="Ruller41"/>
        <w:spacing w:line="240" w:lineRule="auto"/>
      </w:pPr>
    </w:p>
    <w:p w:rsidR="00745AC1" w:rsidRDefault="00745AC1" w:rsidP="00745AC1">
      <w:pPr>
        <w:pStyle w:val="Ruller4"/>
        <w:rPr>
          <w:rtl/>
        </w:rPr>
      </w:pPr>
      <w:r>
        <w:rPr>
          <w:rFonts w:hint="cs"/>
          <w:rtl/>
        </w:rPr>
        <w:t xml:space="preserve">כאשר מדובר במקרה הקשור בקשר הדוק למצב העימות עם רצועת עזה, סבורני כי ניתן להצדיק את קיומו של הסדר הפטור מאחריות כלפי תושבי עזה במבחני המידתיות. זאת בעיקר בהינתן השיקולים הבאים: ההסתברות הגבוהה כי הפעילות בגינה נגרם הנזק היא בעלת מאפיינים דומים לאלה המצדיקים את הענקת הפטור בגין פעילות מלחמתית; הקושי הניכר בבירור מכלול הנסיבות במסגרתן נגרם הנזק; הסיכוי הממשי כי תביעה נגד ישראל תנוצל לצרכים תדמיתיים, ואולי גם כספיים, במסגרת המאבק המלחמתי נגדה. טלו למשל הפגנה נגד ישראל המתקיימת ברצועת עזה בסמוך לגדר הגבול. אילו הפגנה מקבילה הייתה מתקיימת באזורי יהודה ושומרון שבשליטת ישראל, ובמהלכה היה נגרם נזק לאחד המשתתפים, היה מקום לדרוש מהמדינה כי תאפשר בירור פרטני של נסיבות המקרה במסגרת תביעת נזיקין, וזאת בהינתן אופייה השיטורי של פעילות כוחות הביטחון ביחס להפגנות מסוג זה; היכולת של כוחות הביטחון לאסוף מידע על האירוע; והחשש המוגבל כי התביעה תשמש כאמצעי תדמיתי במאמץ המלחמתי נגד ישראל. לעומת זאת, כשהפגנה כזו מתקיימת בתוך רצועת עזה, הרי שהגורם השולט בנעשה, ומטבע הדברים אף מכווין אותו, הם גורמי הטרור השולטים ברצועת עזה. לפיכך אף אם מדובר בהפגנה אזרחית לכאורה, היא מהווה חלק מהעימות בין מדינת ישראל לבין רצועת עזה. כנגזר מכך, מתקיימים לגביה מאפיינים המצדיקים שלא לאפשר לתושבי עזה להגיש תביעת נזיקין בישראל בגין תוצאותיה: מעורבות כוחות הביטחון הישראליים אינה ככוח שיטור, אלא ככוח צבאי השומר על גבולות המדינה; יכולת המדינה לקבל מידע על שהתרחש בצד העזתי מוגבלת; והחשש שהתביעה תנוצל לטובת המאמץ המלחמתי נגד ישראל, ולו באופן תדמיתי, גבוה. מכאן שבעוד שאין הצדקה להענקת פטור למדינה מאחריות בנזיקין ביחס להפגנות נגד ישראל הנערכות בתחומי יהודה ושומרון, כפי שנקבע בעניין </w:t>
      </w:r>
      <w:r w:rsidRPr="00242BE2">
        <w:rPr>
          <w:rFonts w:ascii="Century" w:hAnsi="Century" w:cs="Miriam" w:hint="cs"/>
          <w:b/>
          <w:spacing w:val="0"/>
          <w:sz w:val="22"/>
          <w:szCs w:val="24"/>
          <w:rtl/>
        </w:rPr>
        <w:t>עדאלה</w:t>
      </w:r>
      <w:r>
        <w:rPr>
          <w:rFonts w:hint="cs"/>
          <w:rtl/>
        </w:rPr>
        <w:t xml:space="preserve">, קיימת הצדקה גם במבחני המידתיות להכרה בפטור רחב יותר של המדינה מאחריות בנזיקין, כמשתקף בהסדר הפטור מאחריות כלפי תושבי עזה, ביחס להפגנות נגד ישראל המתרחשות בשטח רצועת עזה. </w:t>
      </w:r>
    </w:p>
    <w:p w:rsidR="00745AC1" w:rsidRPr="00CB71AD" w:rsidRDefault="00745AC1" w:rsidP="004A6E48">
      <w:pPr>
        <w:pStyle w:val="Ruller41"/>
        <w:spacing w:line="240" w:lineRule="auto"/>
      </w:pPr>
    </w:p>
    <w:p w:rsidR="00745AC1" w:rsidRDefault="00745AC1" w:rsidP="00745AC1">
      <w:pPr>
        <w:pStyle w:val="Ruller4"/>
        <w:rPr>
          <w:rtl/>
        </w:rPr>
      </w:pPr>
      <w:r>
        <w:rPr>
          <w:rFonts w:hint="cs"/>
          <w:rtl/>
        </w:rPr>
        <w:t xml:space="preserve">לעומת זאת, ספק בעיני אם הסדר הפטור מאחריות כלפי תושבי עזה יכול לצלוח את מבחני המידתיות כאשר מתקיימת רק אחת מהתכליות האמורות, ולא שילוב שלהן. כך, מהטעם שכל אחת מהתכליות הללו מתמצה, בעיקרה, בכללים המשפטיים המוכרים (הפטור מאחריות בגין פעילות מלחמתית, מזה, והדוקטרינות המונעות תביעת אויב, מזה), וספק אם יש הצדקה מספיקה להרחיבם במקרה מעין זה. על כן, קיים קושי משמעותי בעיני בחסימת האפשרות של תושב רצועת עזה להגיש תביעה נזיקית נגד מדינת ישראל בגין עוולה אשר נעשתה כלפיו על ידי המדינה, כאשר לעוולה זו אין קשר הדוק למצב העימות בין מדינת ישראל לבין רצועת עזה. טלו, למשל, תביעה בגין נזק שגרמה המדינה לנכס מקרקעין המצוי בצפון ישראל, והשייך לתושב רצועת עזה. שלילת האפשרות להגיש תביעה בגין עוולה נגד המדינה בנסיבות אלה אינה מגשימה את התכלית של התאמת דיני הנזיקין למצב מלחמתי, שכן התאמה זו כלל לא נדרשת ביחס להתרחשות מסוג זה. ההצדקה היחידה לחסימת התביעה האמורה היא התכלית של מניעת סיוע כלכלי ומוראלי מהאויב. ואולם, כפי שפורט בהרחבה לעיל, מלבד הסדר הפטור מאחריות כלפי תושבי עזה, ישנן שתי דוקטרינות נוספות במשפט הישראלי אשר ביכולתן להגשים את התכלית של מניעת סיוע כלכלי ומוראלי מהאויב </w:t>
      </w:r>
      <w:r>
        <w:rPr>
          <w:rtl/>
        </w:rPr>
        <w:t>–</w:t>
      </w:r>
      <w:r>
        <w:rPr>
          <w:rFonts w:hint="cs"/>
          <w:rtl/>
        </w:rPr>
        <w:t xml:space="preserve"> הכלל מהמשפט המקובל וכלל דיראני. דוקטרינות אלו כוללות בתוכן מערך של איזונים, אשר מבקש מחד גיסא להגשים את התכלית האמורה, ומאידך גיסא למנוע פגיעה מופרזת בזכויות של תושבי שטחי אויב. הסדר הפטור מאחריות כלפי תושבי עזה מרחיב בצורה משמעותית את ההגנה המשפטית המוענקת למדינה ביחס לזו המסורה לה מכוח דוקטרינות אלו, אך הוא חסר את אותן הוראות ממתנות הקיימות באותן הדוקטרינות. משכך, וככל שהמדינה תבחר לעשות שימוש בהסדר הפטור מאחריות כלפי תושבי עזה כדי לחסום תביעות מהסוג המתואר, עלול הדבר לעורר שאלות קשות בדבר מידתיות ההסדר המעוגן בסעיף 5ב(א)(1) לחוק. זאת, כמובהר, בהינתן קיומן של דוקטרינות משפטיות חלופיות המגשימות את אותה התכלית תוך פגיעה פחותה בזכויות תושבי שטח האויב.</w:t>
      </w:r>
    </w:p>
    <w:p w:rsidR="00745AC1" w:rsidRPr="001A1A67" w:rsidRDefault="00745AC1" w:rsidP="004A6E48">
      <w:pPr>
        <w:pStyle w:val="Ruller41"/>
        <w:spacing w:line="240" w:lineRule="auto"/>
      </w:pPr>
    </w:p>
    <w:p w:rsidR="00745AC1" w:rsidRDefault="00745AC1" w:rsidP="00745AC1">
      <w:pPr>
        <w:pStyle w:val="Ruller4"/>
        <w:rPr>
          <w:rtl/>
        </w:rPr>
      </w:pPr>
      <w:r>
        <w:rPr>
          <w:rFonts w:hint="cs"/>
          <w:rtl/>
        </w:rPr>
        <w:t xml:space="preserve">עם זאת, השאלה האמורה, דהיינו עמידת הסדר הפטור מאחריות כלפי תושבי עזה בדרישת המידתיות כאשר עניינה של התביעה באירוע שאינו קשור בקשר הדוק לעימות מול ארגוני הטרור השולטים ברצועת עזה, אינה נדרשת לצורך הכרעה במקרה דנן. החוקתיות של סעיף 5ב(א)(1) לחוק בכלל, ושל הסדר הפטור מאחריות כלפי תושבי עזה בפרט, נתקפת במסגרת הליך זה בתקיפת עקיפין, ומשכך וכפי שפורט בהרחבה בפסק דינו של חברי, השופט </w:t>
      </w:r>
      <w:r w:rsidRPr="00A26AF9">
        <w:rPr>
          <w:rFonts w:ascii="Century" w:hAnsi="Century" w:cs="Miriam" w:hint="cs"/>
          <w:b/>
          <w:spacing w:val="0"/>
          <w:sz w:val="22"/>
          <w:szCs w:val="24"/>
          <w:rtl/>
        </w:rPr>
        <w:t>סולברג</w:t>
      </w:r>
      <w:r>
        <w:rPr>
          <w:rFonts w:hint="cs"/>
          <w:rtl/>
        </w:rPr>
        <w:t>, אין מקום לבחון את חוקתיות הסעיף בראי מכלול היבטיו והשלכותיו הרוחביות, אלא עלינו לצמצם את הבחינה החוקתית אך לאותם אספקטים חוקתיים הרלוונטיים למקרה שלפנינו (ראו: סעיף 76 ל</w:t>
      </w:r>
      <w:r w:rsidRPr="00AE5531">
        <w:rPr>
          <w:rFonts w:hint="eastAsia"/>
          <w:rtl/>
        </w:rPr>
        <w:t>חוק</w:t>
      </w:r>
      <w:r w:rsidRPr="00AE5531">
        <w:rPr>
          <w:rtl/>
        </w:rPr>
        <w:t xml:space="preserve"> </w:t>
      </w:r>
      <w:r w:rsidRPr="00AE5531">
        <w:rPr>
          <w:rFonts w:hint="eastAsia"/>
          <w:rtl/>
        </w:rPr>
        <w:t>בתי</w:t>
      </w:r>
      <w:r w:rsidRPr="00AE5531">
        <w:rPr>
          <w:rtl/>
        </w:rPr>
        <w:t xml:space="preserve"> </w:t>
      </w:r>
      <w:r w:rsidRPr="00AE5531">
        <w:rPr>
          <w:rFonts w:hint="eastAsia"/>
          <w:rtl/>
        </w:rPr>
        <w:t>המשפט</w:t>
      </w:r>
      <w:r w:rsidRPr="00AE5531">
        <w:rPr>
          <w:rtl/>
        </w:rPr>
        <w:t xml:space="preserve"> [</w:t>
      </w:r>
      <w:r w:rsidRPr="00AE5531">
        <w:rPr>
          <w:rFonts w:hint="eastAsia"/>
          <w:rtl/>
        </w:rPr>
        <w:t>נוסח</w:t>
      </w:r>
      <w:r w:rsidRPr="00AE5531">
        <w:rPr>
          <w:rtl/>
        </w:rPr>
        <w:t xml:space="preserve"> </w:t>
      </w:r>
      <w:r w:rsidRPr="00AE5531">
        <w:rPr>
          <w:rFonts w:hint="eastAsia"/>
          <w:rtl/>
        </w:rPr>
        <w:t>משולב</w:t>
      </w:r>
      <w:r w:rsidRPr="00AE5531">
        <w:rPr>
          <w:rtl/>
        </w:rPr>
        <w:t xml:space="preserve">], </w:t>
      </w:r>
      <w:r w:rsidRPr="00AE5531">
        <w:rPr>
          <w:rFonts w:hint="eastAsia"/>
          <w:rtl/>
        </w:rPr>
        <w:t>תשמ</w:t>
      </w:r>
      <w:r w:rsidRPr="00AE5531">
        <w:rPr>
          <w:rtl/>
        </w:rPr>
        <w:t>"</w:t>
      </w:r>
      <w:r w:rsidRPr="00AE5531">
        <w:rPr>
          <w:rFonts w:hint="eastAsia"/>
          <w:rtl/>
        </w:rPr>
        <w:t>ד</w:t>
      </w:r>
      <w:r w:rsidRPr="00AE5531">
        <w:rPr>
          <w:rtl/>
        </w:rPr>
        <w:t>-1984</w:t>
      </w:r>
      <w:r>
        <w:rPr>
          <w:rFonts w:hint="cs"/>
          <w:rtl/>
        </w:rPr>
        <w:t>). בענייננו, הסדר הפטור מאחריות כלפי תושבי עזה נטען על ידי המדינה, והופעל על ידי בית המשפט, בקשר למקרה בו מתקיימות באופן מובהק שתי התכליות הנזכרות, שכן נסיבות האירוע קשורות קשר הדוק לעימות בגינו הוכרזה רצועת עזה כשטח אויב (מדובר כזכור בפציעה שנגרמה בעקבות ירי של כוח צה"ל לעבר המערער, שהיה אותה עת בתחום הרצועה, בסמיכות לגדר הגבול). משכך, ולאור העובדה שמדינת ישראל אינה מפעילה עוד סמכויות שיטור בשטח הרצועה, אין הצדקה לניהול התדיינות ארוכה בהליך דנן לצורך בחינת השאלה האם הירי הנטען בוצע כחלק מפעולה מלחמתית, שכן נכון לעת הזו, עיקר הממשקים בין כוחות הביטחון של מדינת ישראל לבין תושבי רצועת עזה הנמצאים בשטח הרצועה, קשורים לעימות, וקרובים במהותם לפעילות מלחמתית. מטבע הדברים, גם היכולת של כוחות הביטחון הישראליים לאסוף מידע ביחס לאירוע מסוג זה עשויה להיות מוגבלת, מאחר שהפציעה התרחשה בשטח המצוי בשליטת אויב. כמו כן, כאמור, הגשת תביעה בישראל, והזרמת כספי הפיצוי ככל שיפסקו לטובת המערער, עשויים היו לסייע בסופו של דבר למאמץ המלחמתי של ארגוני הטרור נגד ישראל. משכך חסימת תביעתו של המערער מגשימה גם את התכלית של מניעת סיוע כלכלי ומוראלי מהאויב. ממילא, השאלה האם הסדר הפטור מאחריות כלפי תושבי עזה הוא מידתי גם ככל שהאירוע בו מדובר אינו קשור בקשר הדוק לעימות אינה מתעוררת במקרה דנן, ועל כן איננו נדרשים להכריע בה.</w:t>
      </w:r>
    </w:p>
    <w:p w:rsidR="00745AC1" w:rsidRDefault="00745AC1" w:rsidP="004A6E48">
      <w:pPr>
        <w:pStyle w:val="Ruller41"/>
        <w:spacing w:line="240" w:lineRule="auto"/>
        <w:rPr>
          <w:rtl/>
        </w:rPr>
      </w:pPr>
    </w:p>
    <w:p w:rsidR="00745AC1" w:rsidRDefault="00745AC1" w:rsidP="00745AC1">
      <w:pPr>
        <w:pStyle w:val="Ruller4"/>
        <w:rPr>
          <w:rtl/>
        </w:rPr>
      </w:pPr>
      <w:r>
        <w:rPr>
          <w:rFonts w:ascii="Century" w:hAnsi="Century" w:hint="cs"/>
          <w:sz w:val="22"/>
          <w:rtl/>
        </w:rPr>
        <w:t xml:space="preserve">זאת ועוד, </w:t>
      </w:r>
      <w:r>
        <w:rPr>
          <w:rFonts w:hint="cs"/>
          <w:rtl/>
        </w:rPr>
        <w:t xml:space="preserve">אינני משוכנע כלל ועיקר כי סעיף 5ב(א)(1) לחוק בנוסחו הנוכחי חל על מקרים שבהם התכלית של התאמת דיני הנזיקין למצב מלחמתי אינה מתקיימת, קרי אותם המקרים שבהם אין קשר הדוק בין הנזק שנגרם לתושב רצועת עזה לבין העימות מול מדינת ישראל. בנוסף, איננו יודעים אם בכוונת המדינה להתבסס על הסעיף גם בנסיבות מסוג זה, וכנגזר מכך אין כל וודאות כי צפויה להתעורר מחלוקת פרשנית בסוגיה זו. אסביר. </w:t>
      </w:r>
    </w:p>
    <w:p w:rsidR="00745AC1" w:rsidRDefault="00745AC1" w:rsidP="004A6E48">
      <w:pPr>
        <w:pStyle w:val="Ruller41"/>
        <w:spacing w:line="240" w:lineRule="auto"/>
        <w:rPr>
          <w:rtl/>
        </w:rPr>
      </w:pPr>
    </w:p>
    <w:p w:rsidR="00745AC1" w:rsidRDefault="00745AC1" w:rsidP="00745AC1">
      <w:pPr>
        <w:pStyle w:val="Ruller4"/>
      </w:pPr>
      <w:r>
        <w:rPr>
          <w:rFonts w:hint="cs"/>
          <w:rtl/>
        </w:rPr>
        <w:t>סעיף 5ב(א)(1) לחוק מעניק למדינה חסינות מפני כל תביעה של תושב שטח אויב, ואולם הסיפא של הסעיף קובעת סייג לחסינות זו באותם המקרים שבהם התושב "</w:t>
      </w:r>
      <w:r w:rsidRPr="00BB2952">
        <w:rPr>
          <w:rFonts w:ascii="Century" w:hAnsi="Century" w:cs="Miriam" w:hint="cs"/>
          <w:b/>
          <w:spacing w:val="0"/>
          <w:sz w:val="22"/>
          <w:szCs w:val="24"/>
          <w:rtl/>
        </w:rPr>
        <w:t>שוהה כדין בישראל</w:t>
      </w:r>
      <w:r>
        <w:rPr>
          <w:rFonts w:hint="cs"/>
          <w:rtl/>
        </w:rPr>
        <w:t>". המדינה בסיכומיה הסבירה כי "</w:t>
      </w:r>
      <w:r w:rsidRPr="00BB2952">
        <w:rPr>
          <w:rFonts w:ascii="Century" w:hAnsi="Century" w:cs="Miriam" w:hint="cs"/>
          <w:b/>
          <w:spacing w:val="0"/>
          <w:sz w:val="22"/>
          <w:szCs w:val="24"/>
          <w:rtl/>
        </w:rPr>
        <w:t>סייג זה מקיים את הרציונל לפיו כאשר הממשק בין המדינה לבין נתין האויב הוא כבר לא בעיקרו ממשק הקשור ל"מלחמה", אין להגביל את זכות תביעתו</w:t>
      </w:r>
      <w:r>
        <w:rPr>
          <w:rFonts w:hint="cs"/>
          <w:rtl/>
        </w:rPr>
        <w:t xml:space="preserve">". הנה כי כן, מדברי המדינה עולה כי לשיטתה שלה, </w:t>
      </w:r>
      <w:r w:rsidRPr="00151498">
        <w:rPr>
          <w:rFonts w:hint="eastAsia"/>
          <w:rtl/>
        </w:rPr>
        <w:t>הסיבה</w:t>
      </w:r>
      <w:r w:rsidRPr="00151498">
        <w:rPr>
          <w:rtl/>
        </w:rPr>
        <w:t xml:space="preserve"> </w:t>
      </w:r>
      <w:r w:rsidRPr="00151498">
        <w:rPr>
          <w:rFonts w:hint="eastAsia"/>
          <w:rtl/>
        </w:rPr>
        <w:t>לכך</w:t>
      </w:r>
      <w:r w:rsidRPr="00151498">
        <w:rPr>
          <w:rtl/>
        </w:rPr>
        <w:t xml:space="preserve"> </w:t>
      </w:r>
      <w:r w:rsidRPr="00151498">
        <w:rPr>
          <w:rFonts w:hint="eastAsia"/>
          <w:rtl/>
        </w:rPr>
        <w:t>שהמחוקק</w:t>
      </w:r>
      <w:r w:rsidRPr="00151498">
        <w:rPr>
          <w:rtl/>
        </w:rPr>
        <w:t xml:space="preserve"> </w:t>
      </w:r>
      <w:r w:rsidRPr="00151498">
        <w:rPr>
          <w:rFonts w:hint="eastAsia"/>
          <w:rtl/>
        </w:rPr>
        <w:t>מצא</w:t>
      </w:r>
      <w:r w:rsidRPr="00151498">
        <w:rPr>
          <w:rtl/>
        </w:rPr>
        <w:t xml:space="preserve"> </w:t>
      </w:r>
      <w:r w:rsidRPr="00151498">
        <w:rPr>
          <w:rFonts w:hint="eastAsia"/>
          <w:rtl/>
        </w:rPr>
        <w:t>לנכון</w:t>
      </w:r>
      <w:r w:rsidRPr="00151498">
        <w:rPr>
          <w:rtl/>
        </w:rPr>
        <w:t xml:space="preserve"> </w:t>
      </w:r>
      <w:r w:rsidRPr="00151498">
        <w:rPr>
          <w:rFonts w:hint="eastAsia"/>
          <w:rtl/>
        </w:rPr>
        <w:t>להחריג</w:t>
      </w:r>
      <w:r w:rsidRPr="00151498">
        <w:rPr>
          <w:rtl/>
        </w:rPr>
        <w:t xml:space="preserve"> </w:t>
      </w:r>
      <w:r w:rsidRPr="00151498">
        <w:rPr>
          <w:rFonts w:hint="eastAsia"/>
          <w:rtl/>
        </w:rPr>
        <w:t>מתחולת</w:t>
      </w:r>
      <w:r w:rsidRPr="00151498">
        <w:rPr>
          <w:rtl/>
        </w:rPr>
        <w:t xml:space="preserve"> </w:t>
      </w:r>
      <w:r w:rsidRPr="00151498">
        <w:rPr>
          <w:rFonts w:hint="eastAsia"/>
          <w:rtl/>
        </w:rPr>
        <w:t>הסעיף</w:t>
      </w:r>
      <w:r w:rsidRPr="00151498">
        <w:rPr>
          <w:rtl/>
        </w:rPr>
        <w:t xml:space="preserve"> </w:t>
      </w:r>
      <w:r w:rsidRPr="00151498">
        <w:rPr>
          <w:rFonts w:hint="eastAsia"/>
          <w:rtl/>
        </w:rPr>
        <w:t>נזקים</w:t>
      </w:r>
      <w:r w:rsidRPr="00151498">
        <w:rPr>
          <w:rtl/>
        </w:rPr>
        <w:t xml:space="preserve"> </w:t>
      </w:r>
      <w:r w:rsidRPr="00151498">
        <w:rPr>
          <w:rFonts w:hint="eastAsia"/>
          <w:rtl/>
        </w:rPr>
        <w:t>שנגר</w:t>
      </w:r>
      <w:r>
        <w:rPr>
          <w:rFonts w:hint="cs"/>
          <w:rtl/>
        </w:rPr>
        <w:t>מ</w:t>
      </w:r>
      <w:r w:rsidRPr="00151498">
        <w:rPr>
          <w:rFonts w:hint="eastAsia"/>
          <w:rtl/>
        </w:rPr>
        <w:t>ו</w:t>
      </w:r>
      <w:r w:rsidRPr="00151498">
        <w:rPr>
          <w:rtl/>
        </w:rPr>
        <w:t xml:space="preserve"> </w:t>
      </w:r>
      <w:r w:rsidRPr="00151498">
        <w:rPr>
          <w:rFonts w:hint="eastAsia"/>
          <w:rtl/>
        </w:rPr>
        <w:t>לתושב</w:t>
      </w:r>
      <w:r w:rsidRPr="00151498">
        <w:rPr>
          <w:rtl/>
        </w:rPr>
        <w:t xml:space="preserve"> </w:t>
      </w:r>
      <w:r w:rsidRPr="00151498">
        <w:rPr>
          <w:rFonts w:hint="eastAsia"/>
          <w:rtl/>
        </w:rPr>
        <w:t>שטח</w:t>
      </w:r>
      <w:r w:rsidRPr="00151498">
        <w:rPr>
          <w:rtl/>
        </w:rPr>
        <w:t xml:space="preserve"> </w:t>
      </w:r>
      <w:r w:rsidRPr="00151498">
        <w:rPr>
          <w:rFonts w:hint="eastAsia"/>
          <w:rtl/>
        </w:rPr>
        <w:t>האויב</w:t>
      </w:r>
      <w:r w:rsidRPr="00151498">
        <w:rPr>
          <w:rtl/>
        </w:rPr>
        <w:t xml:space="preserve"> </w:t>
      </w:r>
      <w:r w:rsidRPr="00151498">
        <w:rPr>
          <w:rFonts w:hint="eastAsia"/>
          <w:rtl/>
        </w:rPr>
        <w:t>בעת</w:t>
      </w:r>
      <w:r w:rsidRPr="00151498">
        <w:rPr>
          <w:rtl/>
        </w:rPr>
        <w:t xml:space="preserve"> </w:t>
      </w:r>
      <w:r w:rsidRPr="00151498">
        <w:rPr>
          <w:rFonts w:hint="eastAsia"/>
          <w:rtl/>
        </w:rPr>
        <w:t>שהותו</w:t>
      </w:r>
      <w:r w:rsidRPr="00151498">
        <w:rPr>
          <w:rtl/>
        </w:rPr>
        <w:t xml:space="preserve"> </w:t>
      </w:r>
      <w:r w:rsidRPr="00151498">
        <w:rPr>
          <w:rFonts w:hint="eastAsia"/>
          <w:rtl/>
        </w:rPr>
        <w:t>בישראל</w:t>
      </w:r>
      <w:r w:rsidRPr="00151498">
        <w:rPr>
          <w:rtl/>
        </w:rPr>
        <w:t xml:space="preserve"> </w:t>
      </w:r>
      <w:r w:rsidRPr="00151498">
        <w:rPr>
          <w:rFonts w:hint="eastAsia"/>
          <w:rtl/>
        </w:rPr>
        <w:t>היא</w:t>
      </w:r>
      <w:r w:rsidRPr="00151498">
        <w:rPr>
          <w:rtl/>
        </w:rPr>
        <w:t xml:space="preserve"> </w:t>
      </w:r>
      <w:r w:rsidRPr="00151498">
        <w:rPr>
          <w:rFonts w:hint="eastAsia"/>
          <w:rtl/>
        </w:rPr>
        <w:t>שבמקרים</w:t>
      </w:r>
      <w:r w:rsidRPr="00151498">
        <w:rPr>
          <w:rtl/>
        </w:rPr>
        <w:t xml:space="preserve"> </w:t>
      </w:r>
      <w:r w:rsidRPr="00151498">
        <w:rPr>
          <w:rFonts w:hint="eastAsia"/>
          <w:rtl/>
        </w:rPr>
        <w:t>מסוג</w:t>
      </w:r>
      <w:r w:rsidRPr="00151498">
        <w:rPr>
          <w:rtl/>
        </w:rPr>
        <w:t xml:space="preserve"> </w:t>
      </w:r>
      <w:r w:rsidRPr="00151498">
        <w:rPr>
          <w:rFonts w:hint="eastAsia"/>
          <w:rtl/>
        </w:rPr>
        <w:t>זה</w:t>
      </w:r>
      <w:r w:rsidRPr="00151498">
        <w:rPr>
          <w:rtl/>
        </w:rPr>
        <w:t xml:space="preserve"> </w:t>
      </w:r>
      <w:r w:rsidRPr="00151498">
        <w:rPr>
          <w:rFonts w:hint="eastAsia"/>
          <w:rtl/>
        </w:rPr>
        <w:t>הממשק</w:t>
      </w:r>
      <w:r w:rsidRPr="00151498">
        <w:rPr>
          <w:rtl/>
        </w:rPr>
        <w:t xml:space="preserve"> </w:t>
      </w:r>
      <w:r w:rsidRPr="00151498">
        <w:rPr>
          <w:rFonts w:hint="eastAsia"/>
          <w:rtl/>
        </w:rPr>
        <w:t>האפשרי</w:t>
      </w:r>
      <w:r w:rsidRPr="00151498">
        <w:rPr>
          <w:rtl/>
        </w:rPr>
        <w:t xml:space="preserve"> </w:t>
      </w:r>
      <w:r w:rsidRPr="00151498">
        <w:rPr>
          <w:rFonts w:hint="eastAsia"/>
          <w:rtl/>
        </w:rPr>
        <w:t>בין</w:t>
      </w:r>
      <w:r w:rsidRPr="00151498">
        <w:rPr>
          <w:rtl/>
        </w:rPr>
        <w:t xml:space="preserve"> </w:t>
      </w:r>
      <w:r w:rsidRPr="00151498">
        <w:rPr>
          <w:rFonts w:hint="eastAsia"/>
          <w:rtl/>
        </w:rPr>
        <w:t>המדינה</w:t>
      </w:r>
      <w:r w:rsidRPr="00151498">
        <w:rPr>
          <w:rtl/>
        </w:rPr>
        <w:t xml:space="preserve"> </w:t>
      </w:r>
      <w:r w:rsidRPr="00151498">
        <w:rPr>
          <w:rFonts w:hint="eastAsia"/>
          <w:rtl/>
        </w:rPr>
        <w:t>לבין</w:t>
      </w:r>
      <w:r w:rsidRPr="00151498">
        <w:rPr>
          <w:rtl/>
        </w:rPr>
        <w:t xml:space="preserve"> </w:t>
      </w:r>
      <w:r w:rsidRPr="00151498">
        <w:rPr>
          <w:rFonts w:hint="eastAsia"/>
          <w:rtl/>
        </w:rPr>
        <w:t>אותו</w:t>
      </w:r>
      <w:r w:rsidRPr="00151498">
        <w:rPr>
          <w:rtl/>
        </w:rPr>
        <w:t xml:space="preserve"> </w:t>
      </w:r>
      <w:r w:rsidRPr="00151498">
        <w:rPr>
          <w:rFonts w:hint="eastAsia"/>
          <w:rtl/>
        </w:rPr>
        <w:t>תושב</w:t>
      </w:r>
      <w:r w:rsidRPr="00151498">
        <w:rPr>
          <w:rtl/>
        </w:rPr>
        <w:t xml:space="preserve"> </w:t>
      </w:r>
      <w:r w:rsidRPr="00151498">
        <w:rPr>
          <w:rFonts w:hint="eastAsia"/>
          <w:rtl/>
        </w:rPr>
        <w:t>חורג</w:t>
      </w:r>
      <w:r w:rsidRPr="00151498">
        <w:rPr>
          <w:rtl/>
        </w:rPr>
        <w:t xml:space="preserve"> </w:t>
      </w:r>
      <w:r w:rsidRPr="00151498">
        <w:rPr>
          <w:rFonts w:hint="eastAsia"/>
          <w:rtl/>
        </w:rPr>
        <w:t>מזה</w:t>
      </w:r>
      <w:r w:rsidRPr="00151498">
        <w:rPr>
          <w:rtl/>
        </w:rPr>
        <w:t xml:space="preserve"> </w:t>
      </w:r>
      <w:r w:rsidRPr="00151498">
        <w:rPr>
          <w:rFonts w:hint="eastAsia"/>
          <w:rtl/>
        </w:rPr>
        <w:t>של</w:t>
      </w:r>
      <w:r w:rsidRPr="00151498">
        <w:rPr>
          <w:rtl/>
        </w:rPr>
        <w:t xml:space="preserve"> </w:t>
      </w:r>
      <w:r w:rsidRPr="00151498">
        <w:rPr>
          <w:rFonts w:hint="eastAsia"/>
          <w:rtl/>
        </w:rPr>
        <w:t>פעולה</w:t>
      </w:r>
      <w:r w:rsidRPr="00151498">
        <w:rPr>
          <w:rtl/>
        </w:rPr>
        <w:t xml:space="preserve"> </w:t>
      </w:r>
      <w:r w:rsidRPr="00151498">
        <w:rPr>
          <w:rFonts w:hint="eastAsia"/>
          <w:rtl/>
        </w:rPr>
        <w:t>מלחמתית</w:t>
      </w:r>
      <w:r w:rsidRPr="00151498">
        <w:rPr>
          <w:rtl/>
        </w:rPr>
        <w:t xml:space="preserve"> </w:t>
      </w:r>
      <w:r w:rsidRPr="00151498">
        <w:rPr>
          <w:rFonts w:hint="eastAsia"/>
          <w:rtl/>
        </w:rPr>
        <w:t>בלבד</w:t>
      </w:r>
      <w:r w:rsidRPr="00151498">
        <w:rPr>
          <w:rtl/>
        </w:rPr>
        <w:t xml:space="preserve">, </w:t>
      </w:r>
      <w:r w:rsidRPr="00151498">
        <w:rPr>
          <w:rFonts w:hint="eastAsia"/>
          <w:rtl/>
        </w:rPr>
        <w:t>ו</w:t>
      </w:r>
      <w:r>
        <w:rPr>
          <w:rFonts w:hint="cs"/>
          <w:rtl/>
        </w:rPr>
        <w:t>במקרים אלו, לגישת המדינה,</w:t>
      </w:r>
      <w:r w:rsidRPr="00151498">
        <w:rPr>
          <w:rtl/>
        </w:rPr>
        <w:t xml:space="preserve"> </w:t>
      </w:r>
      <w:r w:rsidRPr="00151498">
        <w:rPr>
          <w:rFonts w:hint="eastAsia"/>
          <w:rtl/>
        </w:rPr>
        <w:t>אין</w:t>
      </w:r>
      <w:r w:rsidRPr="00151498">
        <w:rPr>
          <w:rtl/>
        </w:rPr>
        <w:t xml:space="preserve"> </w:t>
      </w:r>
      <w:r w:rsidRPr="00151498">
        <w:rPr>
          <w:rFonts w:hint="eastAsia"/>
          <w:rtl/>
        </w:rPr>
        <w:t>הצדקה</w:t>
      </w:r>
      <w:r w:rsidRPr="00151498">
        <w:rPr>
          <w:rtl/>
        </w:rPr>
        <w:t xml:space="preserve"> </w:t>
      </w:r>
      <w:r w:rsidRPr="00151498">
        <w:rPr>
          <w:rFonts w:hint="eastAsia"/>
          <w:rtl/>
        </w:rPr>
        <w:t>להגבלת</w:t>
      </w:r>
      <w:r w:rsidRPr="00151498">
        <w:rPr>
          <w:rtl/>
        </w:rPr>
        <w:t xml:space="preserve"> </w:t>
      </w:r>
      <w:r>
        <w:rPr>
          <w:rFonts w:hint="cs"/>
          <w:rtl/>
        </w:rPr>
        <w:t>זכות התביעה של תושב שטח האויב (והשוו גם לסייג הקבוע בסיפא של סעיף 5ב(א) לחוק ובתוספת הראשונה, השולל את תחולת הפטור ביחס לנזק שנגרם לתושב אויב "</w:t>
      </w:r>
      <w:r w:rsidRPr="00BB2952">
        <w:rPr>
          <w:rFonts w:ascii="Century" w:hAnsi="Century" w:cs="Miriam"/>
          <w:b/>
          <w:spacing w:val="0"/>
          <w:sz w:val="22"/>
          <w:szCs w:val="24"/>
          <w:rtl/>
        </w:rPr>
        <w:t>עת שהיה מצוי במשמורת של מדינת ישראל כעצור או כאסיר ואשר לאחר שהותו במשמורת לא חזר להיות פעיל או חבר בארגון מחבלים או לפעול מטעמו או בשליחותו של מי מהם</w:t>
      </w:r>
      <w:r>
        <w:rPr>
          <w:rFonts w:hint="cs"/>
          <w:rtl/>
        </w:rPr>
        <w:t>"). מכאן ניתן להסיק כי התכלית של סעיף 5ב(א)(1) לחוק בכללותו היא להגביל את אפשרות התביעה ביחס לאותם אירועים בהם מתקיימת זיקה הדוקה לעימות מול מדינת ישראל. אי לכך, פרשנות אפשרית של סעיף 5ב(א)(1) לחוק בהתאם לתכלית זו, המעוגנת, כאמור, בעמדת המדינה בתיק דנן, יכולה להביא למסקנה כי אין בסעיף זה כדי לחסום את תביעתו של תושב שטח אויב במקרים שבהם הנזק הנטען נגרם כתוצאה מממשק אחר, שאינו קשור לעימות, בין תושב עזה לבין המדינה. בנוסף, עמדת המדינה עשויה לשמש אינדיקציה לכך שאין בכוונתה כלל לטעון לתחולת הפטור בנסיבות אירוע נזיקי שאינו קשור בקשר הדוק לעימות. מכל מקום, סוגיה זו איננה מתעוררת במקרה דנן, ומשכך אין צורך להכריע בפרשנות סעיף 5ב(א)(1) לחוק במסגרת הליך זה.</w:t>
      </w:r>
    </w:p>
    <w:p w:rsidR="00745AC1" w:rsidRDefault="00745AC1" w:rsidP="004A6E48">
      <w:pPr>
        <w:pStyle w:val="Ruller4"/>
        <w:numPr>
          <w:ilvl w:val="0"/>
          <w:numId w:val="0"/>
        </w:numPr>
        <w:spacing w:line="240" w:lineRule="auto"/>
      </w:pPr>
      <w:r>
        <w:rPr>
          <w:rFonts w:hint="cs"/>
          <w:rtl/>
        </w:rPr>
        <w:t xml:space="preserve"> </w:t>
      </w:r>
    </w:p>
    <w:p w:rsidR="00745AC1" w:rsidRPr="009364B6" w:rsidRDefault="00745AC1" w:rsidP="00745AC1">
      <w:pPr>
        <w:pStyle w:val="Ruller4"/>
      </w:pPr>
      <w:r w:rsidRPr="00B24385">
        <w:rPr>
          <w:rFonts w:ascii="Century" w:hAnsi="Century" w:cs="Miriam" w:hint="cs"/>
          <w:b/>
          <w:spacing w:val="0"/>
          <w:sz w:val="22"/>
          <w:szCs w:val="24"/>
          <w:rtl/>
        </w:rPr>
        <w:t>סוף דבר</w:t>
      </w:r>
      <w:r>
        <w:rPr>
          <w:rFonts w:hint="cs"/>
          <w:rtl/>
        </w:rPr>
        <w:t xml:space="preserve">: אף לשיטתי דין הערעור שלפנינו להידחות, שכן כאשר מדובר בתביעה נזיקית של תושב עזה נגד מדינת ישראל, המתייחסת לאירוע המקיים זיקה הדוקה לעימות מול רצועת עזה, כפי שהדבר במקרה בו עסקינן, מקובלת עלי מסקנתו של חברי, השופט </w:t>
      </w:r>
      <w:r w:rsidRPr="00BB2952">
        <w:rPr>
          <w:rFonts w:ascii="Century" w:hAnsi="Century" w:cs="Miriam" w:hint="cs"/>
          <w:b/>
          <w:spacing w:val="0"/>
          <w:sz w:val="22"/>
          <w:szCs w:val="24"/>
          <w:rtl/>
        </w:rPr>
        <w:t>סולברג</w:t>
      </w:r>
      <w:r>
        <w:rPr>
          <w:rFonts w:hint="cs"/>
          <w:rtl/>
        </w:rPr>
        <w:t xml:space="preserve">, כי הסדר הפטור מאחריות כלפי תושבי עזה, המעוגן בסעיף 5ב(א)(1) לחוק, עומד במבחני פסקת ההגבלה שבחוק יסוד: כבוד האדם וחירותו. בהינתן שתוקפו של הסדר זה נבחן בענייננו במסגרת תקיפת עקיפין בלבד, אין מקום שנדרש לשאלת החוקתיות של הסדר הפטור מאחריות כלפי תושבי עזה בנסיבות אחרות, שאינן מקיימות את דרישת הזיקה ההדוקה לעימות. </w:t>
      </w:r>
    </w:p>
    <w:p w:rsidR="00745AC1" w:rsidRDefault="00745AC1" w:rsidP="00745AC1">
      <w:pPr>
        <w:pStyle w:val="Ruller41"/>
        <w:rPr>
          <w:rtl/>
        </w:rPr>
      </w:pPr>
    </w:p>
    <w:p w:rsidR="002A0AEF" w:rsidRPr="00E01574" w:rsidRDefault="002A0AEF" w:rsidP="004A6E48">
      <w:pPr>
        <w:pStyle w:val="Ruller41"/>
        <w:spacing w:line="240" w:lineRule="auto"/>
        <w:rPr>
          <w:rtl/>
        </w:rPr>
      </w:pPr>
    </w:p>
    <w:tbl>
      <w:tblPr>
        <w:bidiVisual/>
        <w:tblW w:w="0" w:type="auto"/>
        <w:tblLook w:val="01E0" w:firstRow="1" w:lastRow="1" w:firstColumn="1" w:lastColumn="1" w:noHBand="0" w:noVBand="0"/>
      </w:tblPr>
      <w:tblGrid>
        <w:gridCol w:w="2769"/>
        <w:gridCol w:w="2769"/>
        <w:gridCol w:w="2774"/>
      </w:tblGrid>
      <w:tr w:rsidR="00AA5003" w:rsidTr="002A0AEF">
        <w:tc>
          <w:tcPr>
            <w:tcW w:w="2769" w:type="dxa"/>
            <w:shd w:val="clear" w:color="auto" w:fill="auto"/>
          </w:tcPr>
          <w:p w:rsidR="00AA5003" w:rsidRDefault="00AA5003">
            <w:pPr>
              <w:pStyle w:val="Ruller41"/>
              <w:tabs>
                <w:tab w:val="clear" w:pos="800"/>
                <w:tab w:val="left" w:pos="3209"/>
                <w:tab w:val="left" w:pos="6753"/>
              </w:tabs>
              <w:jc w:val="left"/>
              <w:rPr>
                <w:rFonts w:ascii="Times New Roman" w:hAnsi="Times New Roman"/>
                <w:bCs/>
                <w:rtl/>
              </w:rPr>
            </w:pPr>
          </w:p>
        </w:tc>
        <w:tc>
          <w:tcPr>
            <w:tcW w:w="2769" w:type="dxa"/>
            <w:shd w:val="clear" w:color="auto" w:fill="auto"/>
          </w:tcPr>
          <w:p w:rsidR="00AA5003" w:rsidRDefault="00AA5003">
            <w:pPr>
              <w:pStyle w:val="Ruller41"/>
              <w:tabs>
                <w:tab w:val="clear" w:pos="800"/>
                <w:tab w:val="left" w:pos="3209"/>
                <w:tab w:val="left" w:pos="6753"/>
              </w:tabs>
              <w:jc w:val="center"/>
              <w:rPr>
                <w:rFonts w:ascii="Times New Roman" w:hAnsi="Times New Roman"/>
                <w:bCs/>
                <w:rtl/>
              </w:rPr>
            </w:pPr>
          </w:p>
        </w:tc>
        <w:tc>
          <w:tcPr>
            <w:tcW w:w="2774" w:type="dxa"/>
            <w:shd w:val="clear" w:color="auto" w:fill="auto"/>
          </w:tcPr>
          <w:p w:rsidR="00AA5003" w:rsidRPr="00A60BAF" w:rsidRDefault="00AA5003" w:rsidP="00331CB4">
            <w:pPr>
              <w:pStyle w:val="Ruller41"/>
              <w:tabs>
                <w:tab w:val="clear" w:pos="800"/>
                <w:tab w:val="left" w:pos="3209"/>
                <w:tab w:val="left" w:pos="6753"/>
              </w:tabs>
              <w:rPr>
                <w:rFonts w:ascii="Times New Roman" w:hAnsi="Times New Roman"/>
                <w:b/>
                <w:rtl/>
              </w:rPr>
            </w:pPr>
            <w:r>
              <w:rPr>
                <w:rFonts w:ascii="Times New Roman" w:hAnsi="Times New Roman" w:hint="cs"/>
                <w:b/>
                <w:rtl/>
              </w:rPr>
              <w:t xml:space="preserve">        </w:t>
            </w:r>
            <w:r w:rsidRPr="00A60BAF">
              <w:rPr>
                <w:rFonts w:ascii="Times New Roman" w:hAnsi="Times New Roman" w:hint="cs"/>
                <w:b/>
                <w:rtl/>
              </w:rPr>
              <w:t>ש ו פ ט</w:t>
            </w:r>
          </w:p>
        </w:tc>
      </w:tr>
    </w:tbl>
    <w:p w:rsidR="00AA5003" w:rsidRDefault="00AA5003" w:rsidP="006F0E46">
      <w:pPr>
        <w:pStyle w:val="Ruller41"/>
        <w:spacing w:line="480" w:lineRule="auto"/>
        <w:rPr>
          <w:rtl/>
        </w:rPr>
      </w:pPr>
    </w:p>
    <w:p w:rsidR="002A0AEF" w:rsidRDefault="002A0AEF" w:rsidP="002A0AEF">
      <w:pPr>
        <w:pStyle w:val="Ruller41"/>
        <w:rPr>
          <w:rtl/>
        </w:rPr>
      </w:pPr>
      <w:r w:rsidRPr="009E5AA8">
        <w:rPr>
          <w:rFonts w:ascii="Century" w:hAnsi="Century" w:cs="Miriam" w:hint="cs"/>
          <w:b/>
          <w:spacing w:val="0"/>
          <w:szCs w:val="24"/>
          <w:u w:val="single"/>
          <w:rtl/>
        </w:rPr>
        <w:t>המשנה לנשיאה (בדימוס) נ' הנדל</w:t>
      </w:r>
      <w:r>
        <w:rPr>
          <w:rFonts w:hint="cs"/>
          <w:rtl/>
        </w:rPr>
        <w:t>:</w:t>
      </w:r>
    </w:p>
    <w:p w:rsidR="002A0AEF" w:rsidRDefault="002A0AEF" w:rsidP="002A0AEF">
      <w:pPr>
        <w:pStyle w:val="Ruller41"/>
        <w:rPr>
          <w:rtl/>
        </w:rPr>
      </w:pPr>
    </w:p>
    <w:p w:rsidR="002A0AEF" w:rsidRDefault="002A0AEF" w:rsidP="002A0AEF">
      <w:pPr>
        <w:pStyle w:val="Ruller41"/>
        <w:rPr>
          <w:rtl/>
        </w:rPr>
      </w:pPr>
      <w:r>
        <w:rPr>
          <w:rtl/>
        </w:rPr>
        <w:tab/>
      </w:r>
      <w:r>
        <w:rPr>
          <w:rFonts w:hint="cs"/>
          <w:rtl/>
        </w:rPr>
        <w:t xml:space="preserve">אני מסכים עם חברי, השופט </w:t>
      </w:r>
      <w:r w:rsidRPr="00ED64C0">
        <w:rPr>
          <w:rFonts w:ascii="Century" w:hAnsi="Century" w:cs="Miriam" w:hint="cs"/>
          <w:b/>
          <w:spacing w:val="0"/>
          <w:szCs w:val="24"/>
          <w:rtl/>
        </w:rPr>
        <w:t>נ' סולברג</w:t>
      </w:r>
      <w:r>
        <w:rPr>
          <w:rFonts w:hint="cs"/>
          <w:rtl/>
        </w:rPr>
        <w:t>, כי דין הערעור להידחות.</w:t>
      </w:r>
    </w:p>
    <w:p w:rsidR="002A0AEF" w:rsidRDefault="002A0AEF" w:rsidP="002A0AEF">
      <w:pPr>
        <w:pStyle w:val="Ruller41"/>
        <w:rPr>
          <w:rtl/>
        </w:rPr>
      </w:pPr>
    </w:p>
    <w:p w:rsidR="002A0AEF" w:rsidRDefault="002A0AEF" w:rsidP="002A0AEF">
      <w:pPr>
        <w:pStyle w:val="Ruller41"/>
        <w:rPr>
          <w:rtl/>
        </w:rPr>
      </w:pPr>
      <w:r>
        <w:rPr>
          <w:rtl/>
        </w:rPr>
        <w:tab/>
      </w:r>
      <w:r>
        <w:rPr>
          <w:rFonts w:hint="cs"/>
          <w:rtl/>
        </w:rPr>
        <w:t xml:space="preserve">שיקול מרכזי הוא כי עסקינן בתקיפה עקיפה, כפי שהשופט </w:t>
      </w:r>
      <w:r w:rsidRPr="00ED64C0">
        <w:rPr>
          <w:rFonts w:ascii="Century" w:hAnsi="Century" w:cs="Miriam" w:hint="cs"/>
          <w:b/>
          <w:spacing w:val="0"/>
          <w:szCs w:val="24"/>
          <w:rtl/>
        </w:rPr>
        <w:t>סולברג</w:t>
      </w:r>
      <w:r w:rsidRPr="00ED64C0">
        <w:rPr>
          <w:rFonts w:hint="cs"/>
          <w:rtl/>
        </w:rPr>
        <w:t xml:space="preserve"> </w:t>
      </w:r>
      <w:r>
        <w:rPr>
          <w:rFonts w:hint="cs"/>
          <w:rtl/>
        </w:rPr>
        <w:t xml:space="preserve">ציין. ברם, הייתי מדגיש גם את עובדות המקרה, כפי שעולות מהחומר, לרבות כתב התביעה שהוגש לבית משפט קמא, והמסגור </w:t>
      </w:r>
      <w:r w:rsidRPr="00ED64C0">
        <w:rPr>
          <w:rFonts w:ascii="Century" w:hAnsi="Century" w:hint="cs"/>
          <w:rtl/>
        </w:rPr>
        <w:t>(</w:t>
      </w:r>
      <w:r w:rsidRPr="00ED64C0">
        <w:rPr>
          <w:rFonts w:ascii="Century" w:hAnsi="Century"/>
        </w:rPr>
        <w:t>framing</w:t>
      </w:r>
      <w:r w:rsidRPr="00ED64C0">
        <w:rPr>
          <w:rFonts w:ascii="Century" w:hAnsi="Century" w:hint="cs"/>
          <w:rtl/>
        </w:rPr>
        <w:t xml:space="preserve">) </w:t>
      </w:r>
      <w:r>
        <w:rPr>
          <w:rFonts w:hint="cs"/>
          <w:rtl/>
        </w:rPr>
        <w:t xml:space="preserve">של הסוגיות המשפטיות שהיו מקובלות על ידי משיבי המדינה, כדי לבסס את תוצאת הדחייה. ברצוני להוסיף ולהדגיש כי אני מסכים להערות חברי השופט </w:t>
      </w:r>
      <w:r w:rsidRPr="00ED64C0">
        <w:rPr>
          <w:rFonts w:ascii="Century" w:hAnsi="Century" w:cs="Miriam" w:hint="cs"/>
          <w:b/>
          <w:spacing w:val="0"/>
          <w:szCs w:val="24"/>
          <w:rtl/>
        </w:rPr>
        <w:t>ע' גרוסקופף</w:t>
      </w:r>
      <w:r>
        <w:rPr>
          <w:rFonts w:hint="cs"/>
          <w:rtl/>
        </w:rPr>
        <w:t xml:space="preserve"> תוך שימת דגש על האמור בפסקאות 23-19 לחוות דעתו. דהיינו, חברי השופט </w:t>
      </w:r>
      <w:r w:rsidRPr="00B42BA3">
        <w:rPr>
          <w:rFonts w:ascii="Century" w:hAnsi="Century" w:cs="Miriam" w:hint="cs"/>
          <w:b/>
          <w:spacing w:val="0"/>
          <w:szCs w:val="24"/>
          <w:rtl/>
        </w:rPr>
        <w:t>גרוסקופף</w:t>
      </w:r>
      <w:r w:rsidRPr="00B42BA3">
        <w:rPr>
          <w:rFonts w:hint="cs"/>
          <w:rtl/>
        </w:rPr>
        <w:t xml:space="preserve"> </w:t>
      </w:r>
      <w:r>
        <w:rPr>
          <w:rFonts w:hint="cs"/>
          <w:rtl/>
        </w:rPr>
        <w:t>שם על השולחן והתייחס לתחולתו של סעיף 5ב(א)(1) לחוק הנזיקים האזרחיים</w:t>
      </w:r>
      <w:r>
        <w:rPr>
          <w:rtl/>
        </w:rPr>
        <w:t xml:space="preserve"> (אחריות המדינה)</w:t>
      </w:r>
      <w:r>
        <w:rPr>
          <w:rFonts w:hint="cs"/>
          <w:rtl/>
        </w:rPr>
        <w:t>,</w:t>
      </w:r>
      <w:r w:rsidRPr="004101C5">
        <w:rPr>
          <w:rtl/>
        </w:rPr>
        <w:t xml:space="preserve"> תשי"ב-1952</w:t>
      </w:r>
      <w:r>
        <w:rPr>
          <w:rFonts w:hint="cs"/>
          <w:rtl/>
        </w:rPr>
        <w:t xml:space="preserve">, על קשת רחבה של מקרים מסוגים שונים. ניתן אפוא להכריע בתיק זה מבלי להידרש לשאלות החוקתיות שמעלה התחולה על כלל המקרים. ואחרון, הייתי מבהיר כי להשקפתי, אין בתוצאה של דחיית ערעור זה כדי להביע עמדה, לכאן או לכאן, אם יוגש הליך של תקיפה ישירה נגד החוק הרלוונטי </w:t>
      </w:r>
      <w:r>
        <w:rPr>
          <w:rtl/>
        </w:rPr>
        <w:t>–</w:t>
      </w:r>
      <w:r>
        <w:rPr>
          <w:rFonts w:hint="cs"/>
          <w:rtl/>
        </w:rPr>
        <w:t xml:space="preserve"> ואף אם יהיה שינוי בתשתית העובדתית, במקרים פרטניים בעתיד.</w:t>
      </w:r>
    </w:p>
    <w:p w:rsidR="002A0AEF" w:rsidRDefault="002A0AEF" w:rsidP="002A0AEF">
      <w:pPr>
        <w:pStyle w:val="Ruller41"/>
        <w:rPr>
          <w:rtl/>
        </w:rPr>
      </w:pPr>
    </w:p>
    <w:p w:rsidR="002A0AEF" w:rsidRDefault="002A0AEF" w:rsidP="002A0AEF">
      <w:pPr>
        <w:pStyle w:val="Ruller41"/>
        <w:rPr>
          <w:rtl/>
        </w:rPr>
      </w:pPr>
      <w:r>
        <w:rPr>
          <w:rtl/>
        </w:rPr>
        <w:tab/>
      </w:r>
      <w:r>
        <w:rPr>
          <w:rFonts w:hint="cs"/>
          <w:rtl/>
        </w:rPr>
        <w:t xml:space="preserve">בהתאם, סבורני כי דין הערעור להידחות. </w:t>
      </w:r>
      <w:r w:rsidRPr="00FF2819">
        <w:rPr>
          <w:rFonts w:hint="eastAsia"/>
          <w:rtl/>
        </w:rPr>
        <w:t>לטעמי</w:t>
      </w:r>
      <w:r w:rsidRPr="00FF2819">
        <w:rPr>
          <w:rtl/>
        </w:rPr>
        <w:t xml:space="preserve">, </w:t>
      </w:r>
      <w:r w:rsidRPr="00FF2819">
        <w:rPr>
          <w:rFonts w:hint="eastAsia"/>
          <w:rtl/>
        </w:rPr>
        <w:t>אין</w:t>
      </w:r>
      <w:r w:rsidRPr="00FF2819">
        <w:rPr>
          <w:rtl/>
        </w:rPr>
        <w:t xml:space="preserve"> </w:t>
      </w:r>
      <w:r w:rsidRPr="00FF2819">
        <w:rPr>
          <w:rFonts w:hint="eastAsia"/>
          <w:rtl/>
        </w:rPr>
        <w:t>מקום</w:t>
      </w:r>
      <w:r w:rsidRPr="00FF2819">
        <w:rPr>
          <w:rtl/>
        </w:rPr>
        <w:t xml:space="preserve"> </w:t>
      </w:r>
      <w:r w:rsidRPr="00FF2819">
        <w:rPr>
          <w:rFonts w:hint="eastAsia"/>
          <w:rtl/>
        </w:rPr>
        <w:t>להטלת</w:t>
      </w:r>
      <w:r w:rsidRPr="00FF2819">
        <w:rPr>
          <w:rtl/>
        </w:rPr>
        <w:t xml:space="preserve"> </w:t>
      </w:r>
      <w:r w:rsidRPr="00FF2819">
        <w:rPr>
          <w:rFonts w:hint="eastAsia"/>
          <w:rtl/>
        </w:rPr>
        <w:t>הוצאות</w:t>
      </w:r>
      <w:r>
        <w:rPr>
          <w:rFonts w:hint="cs"/>
          <w:rtl/>
        </w:rPr>
        <w:t xml:space="preserve"> לנוכח הדיון הראשוני והעקרוני בסעיף האמור.</w:t>
      </w:r>
    </w:p>
    <w:p w:rsidR="002A0AEF" w:rsidRDefault="002A0AEF" w:rsidP="006F0E46">
      <w:pPr>
        <w:pStyle w:val="Ruller41"/>
        <w:spacing w:line="240" w:lineRule="auto"/>
        <w:rPr>
          <w:rtl/>
        </w:rPr>
      </w:pPr>
    </w:p>
    <w:p w:rsidR="002A0AEF" w:rsidRDefault="002A0AEF" w:rsidP="002A0AEF">
      <w:pPr>
        <w:pStyle w:val="Ruller41"/>
        <w:rPr>
          <w:rtl/>
        </w:rPr>
      </w:pPr>
    </w:p>
    <w:tbl>
      <w:tblPr>
        <w:bidiVisual/>
        <w:tblW w:w="0" w:type="auto"/>
        <w:tblLook w:val="01E0" w:firstRow="1" w:lastRow="1" w:firstColumn="1" w:lastColumn="1" w:noHBand="0" w:noVBand="0"/>
      </w:tblPr>
      <w:tblGrid>
        <w:gridCol w:w="2761"/>
        <w:gridCol w:w="2762"/>
        <w:gridCol w:w="2789"/>
      </w:tblGrid>
      <w:tr w:rsidR="002A0AEF" w:rsidTr="00331CB4">
        <w:tc>
          <w:tcPr>
            <w:tcW w:w="2842" w:type="dxa"/>
            <w:shd w:val="clear" w:color="auto" w:fill="auto"/>
          </w:tcPr>
          <w:p w:rsidR="002A0AEF" w:rsidRDefault="002A0AEF" w:rsidP="00331CB4">
            <w:pPr>
              <w:pStyle w:val="Ruller41"/>
              <w:tabs>
                <w:tab w:val="clear" w:pos="800"/>
                <w:tab w:val="left" w:pos="3209"/>
                <w:tab w:val="left" w:pos="6753"/>
              </w:tabs>
              <w:jc w:val="left"/>
              <w:rPr>
                <w:rFonts w:ascii="Times New Roman" w:hAnsi="Times New Roman"/>
                <w:bCs/>
                <w:rtl/>
              </w:rPr>
            </w:pPr>
          </w:p>
        </w:tc>
        <w:tc>
          <w:tcPr>
            <w:tcW w:w="2843" w:type="dxa"/>
            <w:shd w:val="clear" w:color="auto" w:fill="auto"/>
          </w:tcPr>
          <w:p w:rsidR="002A0AEF" w:rsidRDefault="002A0AEF" w:rsidP="00331CB4">
            <w:pPr>
              <w:pStyle w:val="Ruller41"/>
              <w:tabs>
                <w:tab w:val="clear" w:pos="800"/>
                <w:tab w:val="left" w:pos="3209"/>
                <w:tab w:val="left" w:pos="6753"/>
              </w:tabs>
              <w:jc w:val="center"/>
              <w:rPr>
                <w:rFonts w:ascii="Times New Roman" w:hAnsi="Times New Roman"/>
                <w:bCs/>
                <w:rtl/>
              </w:rPr>
            </w:pPr>
          </w:p>
        </w:tc>
        <w:tc>
          <w:tcPr>
            <w:tcW w:w="2843" w:type="dxa"/>
            <w:shd w:val="clear" w:color="auto" w:fill="auto"/>
          </w:tcPr>
          <w:p w:rsidR="002A0AEF" w:rsidRPr="00A60BAF" w:rsidRDefault="002A0AEF" w:rsidP="00331CB4">
            <w:pPr>
              <w:pStyle w:val="Ruller41"/>
              <w:tabs>
                <w:tab w:val="clear" w:pos="800"/>
                <w:tab w:val="left" w:pos="3209"/>
                <w:tab w:val="left" w:pos="6753"/>
              </w:tabs>
              <w:rPr>
                <w:rFonts w:ascii="Times New Roman" w:hAnsi="Times New Roman"/>
                <w:b/>
                <w:rtl/>
              </w:rPr>
            </w:pPr>
            <w:r>
              <w:rPr>
                <w:rFonts w:ascii="Times New Roman" w:hAnsi="Times New Roman" w:hint="cs"/>
                <w:b/>
                <w:rtl/>
              </w:rPr>
              <w:t>המשנה לנשיאה (בדימוס)</w:t>
            </w:r>
          </w:p>
        </w:tc>
      </w:tr>
    </w:tbl>
    <w:p w:rsidR="002A0AEF" w:rsidRDefault="002A0AEF" w:rsidP="002A0AEF">
      <w:pPr>
        <w:pStyle w:val="Ruller41"/>
        <w:rPr>
          <w:rtl/>
        </w:rPr>
      </w:pPr>
    </w:p>
    <w:p w:rsidR="002A0AEF" w:rsidRDefault="002A0AEF" w:rsidP="00A51FAE">
      <w:pPr>
        <w:pStyle w:val="Ruller41"/>
        <w:rPr>
          <w:rtl/>
        </w:rPr>
      </w:pPr>
    </w:p>
    <w:p w:rsidR="00AA5003" w:rsidRDefault="00AA5003" w:rsidP="001C2C91">
      <w:pPr>
        <w:pStyle w:val="Ruller41"/>
        <w:rPr>
          <w:rtl/>
        </w:rPr>
      </w:pPr>
      <w:r>
        <w:rPr>
          <w:rtl/>
        </w:rPr>
        <w:tab/>
      </w:r>
      <w:r>
        <w:rPr>
          <w:rFonts w:hint="cs"/>
          <w:rtl/>
        </w:rPr>
        <w:t xml:space="preserve">לפיכך הוחלט </w:t>
      </w:r>
      <w:r w:rsidR="00DF4189">
        <w:rPr>
          <w:rFonts w:hint="cs"/>
          <w:rtl/>
        </w:rPr>
        <w:t xml:space="preserve">על דחיית הערעור </w:t>
      </w:r>
      <w:r>
        <w:rPr>
          <w:rFonts w:hint="cs"/>
          <w:rtl/>
        </w:rPr>
        <w:t xml:space="preserve">כאמור בפסק הדין של השופט </w:t>
      </w:r>
      <w:r w:rsidRPr="00C573AC">
        <w:rPr>
          <w:rFonts w:ascii="Century" w:hAnsi="Century" w:cs="Miriam" w:hint="cs"/>
          <w:b/>
          <w:spacing w:val="0"/>
          <w:szCs w:val="24"/>
          <w:rtl/>
        </w:rPr>
        <w:t>נעם סולברג</w:t>
      </w:r>
      <w:r>
        <w:rPr>
          <w:rFonts w:hint="cs"/>
          <w:rtl/>
        </w:rPr>
        <w:t xml:space="preserve">. </w:t>
      </w:r>
    </w:p>
    <w:p w:rsidR="00AA5003" w:rsidRDefault="00AA5003" w:rsidP="00331CB4">
      <w:pPr>
        <w:pStyle w:val="Ruller41"/>
        <w:rPr>
          <w:rtl/>
        </w:rPr>
      </w:pPr>
    </w:p>
    <w:p w:rsidR="001C2C91" w:rsidRDefault="001C2C91" w:rsidP="001C2C91">
      <w:pPr>
        <w:pStyle w:val="Ruller41"/>
        <w:rPr>
          <w:rtl/>
        </w:rPr>
      </w:pPr>
      <w:r>
        <w:rPr>
          <w:rtl/>
        </w:rPr>
        <w:tab/>
      </w:r>
      <w:r>
        <w:rPr>
          <w:rFonts w:hint="cs"/>
          <w:rtl/>
        </w:rPr>
        <w:t xml:space="preserve">אין צו להוצאות. </w:t>
      </w:r>
    </w:p>
    <w:p w:rsidR="001C2C91" w:rsidRDefault="001C2C91" w:rsidP="00331CB4">
      <w:pPr>
        <w:pStyle w:val="Ruller41"/>
        <w:rPr>
          <w:rtl/>
        </w:rPr>
      </w:pPr>
    </w:p>
    <w:p w:rsidR="00AA5003" w:rsidRDefault="00AA5003" w:rsidP="001C2C91">
      <w:pPr>
        <w:pStyle w:val="Ruller41"/>
        <w:rPr>
          <w:rtl/>
        </w:rPr>
      </w:pPr>
      <w:r>
        <w:rPr>
          <w:rtl/>
        </w:rPr>
        <w:tab/>
      </w:r>
      <w:r w:rsidR="001C2C91">
        <w:rPr>
          <w:rFonts w:hint="eastAsia"/>
          <w:rtl/>
        </w:rPr>
        <w:t>נית</w:t>
      </w:r>
      <w:r w:rsidR="001C2C91">
        <w:rPr>
          <w:rFonts w:hint="cs"/>
          <w:rtl/>
        </w:rPr>
        <w:t xml:space="preserve">ן </w:t>
      </w:r>
      <w:r w:rsidR="001C2C91">
        <w:rPr>
          <w:rFonts w:hint="eastAsia"/>
          <w:rtl/>
        </w:rPr>
        <w:t>היום</w:t>
      </w:r>
      <w:r w:rsidR="001C2C91">
        <w:rPr>
          <w:rtl/>
        </w:rPr>
        <w:t xml:space="preserve">, </w:t>
      </w:r>
      <w:r w:rsidR="001C2C91">
        <w:rPr>
          <w:rFonts w:hint="eastAsia"/>
          <w:rtl/>
        </w:rPr>
        <w:t>‏ו</w:t>
      </w:r>
      <w:r w:rsidR="001C2C91">
        <w:rPr>
          <w:rtl/>
        </w:rPr>
        <w:t xml:space="preserve">' </w:t>
      </w:r>
      <w:r w:rsidR="001C2C91">
        <w:rPr>
          <w:rFonts w:hint="eastAsia"/>
          <w:rtl/>
        </w:rPr>
        <w:t>בתמוז</w:t>
      </w:r>
      <w:r w:rsidR="001C2C91">
        <w:rPr>
          <w:rtl/>
        </w:rPr>
        <w:t xml:space="preserve"> </w:t>
      </w:r>
      <w:r w:rsidR="001C2C91">
        <w:rPr>
          <w:rFonts w:hint="eastAsia"/>
          <w:rtl/>
        </w:rPr>
        <w:t>התשפ</w:t>
      </w:r>
      <w:r w:rsidR="001C2C91">
        <w:rPr>
          <w:rtl/>
        </w:rPr>
        <w:t>"</w:t>
      </w:r>
      <w:r w:rsidR="001C2C91">
        <w:rPr>
          <w:rFonts w:hint="eastAsia"/>
          <w:rtl/>
        </w:rPr>
        <w:t>ב</w:t>
      </w:r>
      <w:r w:rsidR="001C2C91">
        <w:rPr>
          <w:rtl/>
        </w:rPr>
        <w:t xml:space="preserve"> (</w:t>
      </w:r>
      <w:r w:rsidR="001C2C91">
        <w:rPr>
          <w:rFonts w:hint="eastAsia"/>
          <w:rtl/>
        </w:rPr>
        <w:t>‏</w:t>
      </w:r>
      <w:r w:rsidR="001C2C91">
        <w:rPr>
          <w:rtl/>
        </w:rPr>
        <w:t>5.7.2022).</w:t>
      </w:r>
    </w:p>
    <w:p w:rsidR="001C2C91" w:rsidRPr="001C2C91" w:rsidRDefault="001C2C91" w:rsidP="001C2C91">
      <w:pPr>
        <w:pStyle w:val="Ruller41"/>
        <w:rPr>
          <w:rFonts w:ascii="Century" w:hAnsi="Century" w:cs="Miriam"/>
          <w:b/>
          <w:spacing w:val="0"/>
          <w:szCs w:val="24"/>
          <w:rtl/>
        </w:rPr>
      </w:pPr>
    </w:p>
    <w:p w:rsidR="00AA5003" w:rsidRDefault="00AA5003" w:rsidP="00331CB4">
      <w:pPr>
        <w:pStyle w:val="Ruller41"/>
        <w:rPr>
          <w:rtl/>
        </w:rPr>
      </w:pPr>
    </w:p>
    <w:p w:rsidR="003E66FE" w:rsidRPr="00C573AC" w:rsidRDefault="003E66FE" w:rsidP="00331CB4">
      <w:pPr>
        <w:pStyle w:val="Ruller41"/>
        <w:rPr>
          <w:rtl/>
        </w:rPr>
      </w:pPr>
    </w:p>
    <w:p w:rsidR="00AA5003" w:rsidRDefault="00AA5003" w:rsidP="00A51FAE">
      <w:pPr>
        <w:pStyle w:val="Ruller41"/>
        <w:rPr>
          <w:rtl/>
        </w:rPr>
      </w:pPr>
    </w:p>
    <w:tbl>
      <w:tblPr>
        <w:bidiVisual/>
        <w:tblW w:w="0" w:type="auto"/>
        <w:tblLook w:val="01E0" w:firstRow="1" w:lastRow="1" w:firstColumn="1" w:lastColumn="1" w:noHBand="0" w:noVBand="0"/>
      </w:tblPr>
      <w:tblGrid>
        <w:gridCol w:w="2786"/>
        <w:gridCol w:w="2763"/>
        <w:gridCol w:w="2763"/>
      </w:tblGrid>
      <w:tr w:rsidR="00AA5003">
        <w:tc>
          <w:tcPr>
            <w:tcW w:w="2842" w:type="dxa"/>
            <w:shd w:val="clear" w:color="auto" w:fill="auto"/>
          </w:tcPr>
          <w:p w:rsidR="00AA5003" w:rsidRDefault="00AA5003">
            <w:pPr>
              <w:pStyle w:val="Ruller41"/>
              <w:tabs>
                <w:tab w:val="clear" w:pos="800"/>
                <w:tab w:val="left" w:pos="3209"/>
                <w:tab w:val="left" w:pos="6753"/>
              </w:tabs>
              <w:jc w:val="left"/>
              <w:rPr>
                <w:rFonts w:ascii="Times New Roman" w:hAnsi="Times New Roman"/>
                <w:bCs/>
                <w:rtl/>
              </w:rPr>
            </w:pPr>
            <w:r>
              <w:rPr>
                <w:rFonts w:ascii="Times New Roman" w:hAnsi="Times New Roman" w:hint="cs"/>
                <w:b/>
                <w:rtl/>
              </w:rPr>
              <w:t>המשנה לנשיאה (בדימוס)</w:t>
            </w:r>
          </w:p>
        </w:tc>
        <w:tc>
          <w:tcPr>
            <w:tcW w:w="2843" w:type="dxa"/>
            <w:shd w:val="clear" w:color="auto" w:fill="auto"/>
          </w:tcPr>
          <w:p w:rsidR="00AA5003" w:rsidRPr="00AA5003" w:rsidRDefault="00AA5003">
            <w:pPr>
              <w:pStyle w:val="Ruller41"/>
              <w:tabs>
                <w:tab w:val="clear" w:pos="800"/>
                <w:tab w:val="left" w:pos="3209"/>
                <w:tab w:val="left" w:pos="6753"/>
              </w:tabs>
              <w:jc w:val="center"/>
              <w:rPr>
                <w:rFonts w:ascii="Times New Roman" w:hAnsi="Times New Roman"/>
                <w:b/>
                <w:rtl/>
              </w:rPr>
            </w:pPr>
            <w:r w:rsidRPr="00AA5003">
              <w:rPr>
                <w:rFonts w:ascii="Times New Roman" w:hAnsi="Times New Roman" w:hint="cs"/>
                <w:b/>
                <w:rtl/>
              </w:rPr>
              <w:t>ש ו פ ט</w:t>
            </w:r>
          </w:p>
        </w:tc>
        <w:tc>
          <w:tcPr>
            <w:tcW w:w="2843" w:type="dxa"/>
            <w:shd w:val="clear" w:color="auto" w:fill="auto"/>
          </w:tcPr>
          <w:p w:rsidR="00AA5003" w:rsidRPr="00A60BAF" w:rsidRDefault="00AA5003" w:rsidP="00AA5003">
            <w:pPr>
              <w:pStyle w:val="Ruller41"/>
              <w:tabs>
                <w:tab w:val="clear" w:pos="800"/>
                <w:tab w:val="left" w:pos="597"/>
                <w:tab w:val="left" w:pos="3209"/>
                <w:tab w:val="left" w:pos="6753"/>
              </w:tabs>
              <w:rPr>
                <w:rFonts w:ascii="Times New Roman" w:hAnsi="Times New Roman"/>
                <w:b/>
                <w:rtl/>
              </w:rPr>
            </w:pPr>
            <w:r>
              <w:rPr>
                <w:rFonts w:ascii="Times New Roman" w:hAnsi="Times New Roman" w:hint="cs"/>
                <w:b/>
                <w:rtl/>
              </w:rPr>
              <w:t xml:space="preserve">        ש ו פ ט</w:t>
            </w:r>
          </w:p>
        </w:tc>
      </w:tr>
    </w:tbl>
    <w:p w:rsidR="00AA5003" w:rsidRPr="00D512D4" w:rsidRDefault="00AA5003" w:rsidP="00A51FAE">
      <w:pPr>
        <w:pStyle w:val="Ruller41"/>
        <w:rPr>
          <w:rtl/>
        </w:rPr>
      </w:pPr>
    </w:p>
    <w:p w:rsidR="00916FF8" w:rsidRDefault="00916FF8">
      <w:pPr>
        <w:rPr>
          <w:szCs w:val="16"/>
          <w:rtl/>
        </w:rPr>
      </w:pPr>
      <w:r>
        <w:rPr>
          <w:szCs w:val="16"/>
          <w:rtl/>
        </w:rPr>
        <w:t>_________________</w:t>
      </w:r>
      <w:r w:rsidR="00A12E0F">
        <w:rPr>
          <w:rFonts w:hint="cs"/>
          <w:szCs w:val="16"/>
          <w:rtl/>
        </w:rPr>
        <w:t>________</w:t>
      </w:r>
    </w:p>
    <w:p w:rsidR="00916FF8" w:rsidRDefault="00591983" w:rsidP="00B009CC">
      <w:pPr>
        <w:pStyle w:val="Ruller38"/>
        <w:rPr>
          <w:rtl/>
        </w:rPr>
      </w:pPr>
      <w:r>
        <w:rPr>
          <w:sz w:val="16"/>
        </w:rPr>
        <w:t xml:space="preserve"> </w:t>
      </w:r>
      <w:r w:rsidR="00A12E0F">
        <w:rPr>
          <w:sz w:val="16"/>
        </w:rPr>
        <w:t xml:space="preserve">  </w:t>
      </w:r>
      <w:r w:rsidR="002661C8">
        <w:rPr>
          <w:sz w:val="16"/>
        </w:rPr>
        <w:t xml:space="preserve">19009930_O14.docx   </w:t>
      </w:r>
      <w:r w:rsidR="00D512D4">
        <w:rPr>
          <w:rFonts w:hint="cs"/>
          <w:sz w:val="16"/>
          <w:rtl/>
        </w:rPr>
        <w:t>במ</w:t>
      </w:r>
    </w:p>
    <w:p w:rsidR="003F1F97" w:rsidRPr="00782291" w:rsidRDefault="00591983" w:rsidP="00782291">
      <w:pPr>
        <w:pStyle w:val="Ruller38"/>
        <w:rPr>
          <w:rtl/>
        </w:rPr>
      </w:pPr>
      <w:r>
        <w:rPr>
          <w:rtl/>
        </w:rPr>
        <w:t>מרכז מידע, טל'</w:t>
      </w:r>
      <w:r>
        <w:rPr>
          <w:rFonts w:hint="cs"/>
          <w:rtl/>
        </w:rPr>
        <w:t xml:space="preserve"> </w:t>
      </w:r>
      <w:r w:rsidR="00B63343">
        <w:rPr>
          <w:rFonts w:hint="cs"/>
          <w:rtl/>
        </w:rPr>
        <w:t>077</w:t>
      </w:r>
      <w:r>
        <w:rPr>
          <w:rFonts w:hint="cs"/>
          <w:rtl/>
        </w:rPr>
        <w:t>-</w:t>
      </w:r>
      <w:r w:rsidR="00B63343">
        <w:rPr>
          <w:rFonts w:hint="cs"/>
          <w:rtl/>
        </w:rPr>
        <w:t>270</w:t>
      </w:r>
      <w:r w:rsidR="00E21CA9">
        <w:rPr>
          <w:rFonts w:hint="cs"/>
          <w:rtl/>
        </w:rPr>
        <w:t>3</w:t>
      </w:r>
      <w:r w:rsidR="009B38DA">
        <w:rPr>
          <w:rFonts w:hint="cs"/>
          <w:rtl/>
        </w:rPr>
        <w:t>333</w:t>
      </w:r>
      <w:r w:rsidR="000C0A71">
        <w:rPr>
          <w:rFonts w:hint="cs"/>
          <w:rtl/>
        </w:rPr>
        <w:t>, 3852*</w:t>
      </w:r>
      <w:r>
        <w:rPr>
          <w:rFonts w:hint="cs"/>
          <w:rtl/>
        </w:rPr>
        <w:t xml:space="preserve"> ; אתר אינטרנט,  </w:t>
      </w:r>
      <w:hyperlink r:id="rId9" w:history="1">
        <w:r w:rsidR="00782291" w:rsidRPr="00BB4C68">
          <w:rPr>
            <w:rStyle w:val="Hyperlink"/>
            <w:sz w:val="16"/>
          </w:rPr>
          <w:t>https://supreme.court.gov.il</w:t>
        </w:r>
      </w:hyperlink>
    </w:p>
    <w:sectPr w:rsidR="003F1F97" w:rsidRPr="00782291" w:rsidSect="00591983">
      <w:headerReference w:type="even" r:id="rId10"/>
      <w:headerReference w:type="default" r:id="rId11"/>
      <w:footerReference w:type="even" r:id="rId12"/>
      <w:headerReference w:type="first" r:id="rId13"/>
      <w:footerReference w:type="first" r:id="rId14"/>
      <w:endnotePr>
        <w:numFmt w:val="lowerLetter"/>
      </w:endnotePr>
      <w:pgSz w:w="11906" w:h="16838" w:code="9"/>
      <w:pgMar w:top="1134" w:right="1797" w:bottom="1440" w:left="1797" w:header="567" w:footer="397" w:gutter="0"/>
      <w:cols w:space="720"/>
      <w:titlePg/>
      <w:bidi/>
      <w:rtlGutter/>
    </w:sectPr>
  </w:body>
</w:document>
</file>

<file path=word/customizations.xml><?xml version="1.0" encoding="utf-8"?>
<wne:tcg xmlns:r="http://schemas.openxmlformats.org/officeDocument/2006/relationships" xmlns:wne="http://schemas.microsoft.com/office/word/2006/wordml">
  <wne:keymaps>
    <wne:keymap wne:kcmPrimary="0433">
      <wne:acd wne:acdName="acd0"/>
    </wne:keymap>
    <wne:keymap wne:kcmPrimary="0434">
      <wne:acd wne:acdName="acd1"/>
    </wne:keymap>
    <wne:keymap wne:kcmPrimary="0435">
      <wne:acd wne:acdName="acd2"/>
    </wne:keymap>
  </wne:keymaps>
  <wne:toolbars>
    <wne:acdManifest>
      <wne:acdEntry wne:acdName="acd0"/>
      <wne:acdEntry wne:acdName="acd1"/>
      <wne:acdEntry wne:acdName="acd2"/>
    </wne:acdManifest>
    <wne:toolbarData r:id="rId1"/>
  </wne:toolbars>
  <wne:acds>
    <wne:acd wne:argValue="AgBSAHUAbABsAGUAcgAgADMA" wne:acdName="acd0" wne:fciIndexBasedOn="0065"/>
    <wne:acd wne:argValue="AgBSAHUAbABsAGUAcgA0AA==" wne:acdName="acd1" wne:fciIndexBasedOn="0065"/>
    <wne:acd wne:argValue="AgBSAHUAbABsAGUAcgA1A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FC1" w:rsidRDefault="00944FC1">
      <w:r>
        <w:separator/>
      </w:r>
    </w:p>
  </w:endnote>
  <w:endnote w:type="continuationSeparator" w:id="0">
    <w:p w:rsidR="00944FC1" w:rsidRDefault="00944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Arial TUR">
    <w:charset w:val="00"/>
    <w:family w:val="swiss"/>
    <w:pitch w:val="variable"/>
    <w:sig w:usb0="E0002EFF" w:usb1="C000785B" w:usb2="00000009" w:usb3="00000000" w:csb0="000001FF" w:csb1="00000000"/>
  </w:font>
  <w:font w:name="DavidFix">
    <w:charset w:val="B1"/>
    <w:family w:val="auto"/>
    <w:pitch w:val="variable"/>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FC1" w:rsidRDefault="00944FC1">
    <w:pPr>
      <w:pStyle w:val="a3"/>
      <w:framePr w:wrap="around" w:vAnchor="text" w:hAnchor="margin" w:xAlign="center" w:y="1"/>
      <w:rPr>
        <w:rStyle w:val="a5"/>
        <w:rtl/>
      </w:rPr>
    </w:pPr>
    <w:r>
      <w:rPr>
        <w:rStyle w:val="a5"/>
        <w:rtl/>
      </w:rPr>
      <w:fldChar w:fldCharType="begin"/>
    </w:r>
    <w:r>
      <w:rPr>
        <w:rStyle w:val="a5"/>
      </w:rPr>
      <w:instrText xml:space="preserve">PAGE  </w:instrText>
    </w:r>
    <w:r>
      <w:rPr>
        <w:rStyle w:val="a5"/>
        <w:rtl/>
      </w:rPr>
      <w:fldChar w:fldCharType="separate"/>
    </w:r>
    <w:r>
      <w:rPr>
        <w:rStyle w:val="a5"/>
        <w:noProof/>
        <w:rtl/>
      </w:rPr>
      <w:t>1</w:t>
    </w:r>
    <w:r>
      <w:rPr>
        <w:rStyle w:val="a5"/>
        <w:rtl/>
      </w:rPr>
      <w:fldChar w:fldCharType="end"/>
    </w:r>
  </w:p>
  <w:p w:rsidR="00944FC1" w:rsidRDefault="00944FC1">
    <w:pPr>
      <w:pStyle w:val="a3"/>
      <w:rPr>
        <w:rtl/>
      </w:rPr>
    </w:pPr>
  </w:p>
  <w:p w:rsidR="00944FC1" w:rsidRDefault="00944FC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FC1" w:rsidRPr="00F959DB" w:rsidRDefault="00944FC1" w:rsidP="00914156">
    <w:pPr>
      <w:pStyle w:val="a3"/>
      <w:bidi w:val="0"/>
      <w:jc w:val="right"/>
      <w:rPr>
        <w:sz w:val="16"/>
        <w:szCs w:val="16"/>
      </w:rPr>
    </w:pPr>
    <w:bookmarkStart w:id="65" w:name="footer_line"/>
    <w:bookmarkEnd w:id="65"/>
  </w:p>
  <w:p w:rsidR="00944FC1" w:rsidRDefault="00944FC1">
    <w:pPr>
      <w:pStyle w:val="a3"/>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FC1" w:rsidRDefault="00944FC1">
      <w:r>
        <w:separator/>
      </w:r>
    </w:p>
  </w:footnote>
  <w:footnote w:type="continuationSeparator" w:id="0">
    <w:p w:rsidR="00944FC1" w:rsidRDefault="00944F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FC1" w:rsidRDefault="00944FC1">
    <w:pPr>
      <w:pStyle w:val="a6"/>
      <w:framePr w:wrap="around" w:vAnchor="text" w:hAnchor="margin" w:xAlign="center" w:y="1"/>
      <w:rPr>
        <w:rStyle w:val="a5"/>
        <w:rtl/>
      </w:rPr>
    </w:pPr>
    <w:r>
      <w:rPr>
        <w:rStyle w:val="a5"/>
        <w:rtl/>
      </w:rPr>
      <w:fldChar w:fldCharType="begin"/>
    </w:r>
    <w:r>
      <w:rPr>
        <w:rStyle w:val="a5"/>
      </w:rPr>
      <w:instrText xml:space="preserve">PAGE  </w:instrText>
    </w:r>
    <w:r>
      <w:rPr>
        <w:rStyle w:val="a5"/>
        <w:rtl/>
      </w:rPr>
      <w:fldChar w:fldCharType="separate"/>
    </w:r>
    <w:r>
      <w:rPr>
        <w:rStyle w:val="a5"/>
        <w:noProof/>
        <w:rtl/>
      </w:rPr>
      <w:t>1</w:t>
    </w:r>
    <w:r>
      <w:rPr>
        <w:rStyle w:val="a5"/>
        <w:rtl/>
      </w:rPr>
      <w:fldChar w:fldCharType="end"/>
    </w:r>
  </w:p>
  <w:p w:rsidR="00944FC1" w:rsidRDefault="00944FC1">
    <w:pPr>
      <w:pStyle w:val="a6"/>
      <w:rPr>
        <w:rtl/>
      </w:rPr>
    </w:pPr>
  </w:p>
  <w:p w:rsidR="00944FC1" w:rsidRDefault="00944FC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FC1" w:rsidRDefault="00944FC1">
    <w:pPr>
      <w:pStyle w:val="a6"/>
      <w:framePr w:wrap="around" w:vAnchor="text" w:hAnchor="margin" w:xAlign="center" w:y="1"/>
      <w:rPr>
        <w:rStyle w:val="a5"/>
        <w:rtl/>
      </w:rPr>
    </w:pPr>
    <w:r>
      <w:rPr>
        <w:rStyle w:val="a5"/>
        <w:rtl/>
      </w:rPr>
      <w:fldChar w:fldCharType="begin"/>
    </w:r>
    <w:r>
      <w:rPr>
        <w:rStyle w:val="a5"/>
      </w:rPr>
      <w:instrText xml:space="preserve">PAGE  </w:instrText>
    </w:r>
    <w:r>
      <w:rPr>
        <w:rStyle w:val="a5"/>
        <w:rtl/>
      </w:rPr>
      <w:fldChar w:fldCharType="separate"/>
    </w:r>
    <w:r w:rsidR="00017461">
      <w:rPr>
        <w:rStyle w:val="a5"/>
        <w:noProof/>
        <w:rtl/>
      </w:rPr>
      <w:t>28</w:t>
    </w:r>
    <w:r>
      <w:rPr>
        <w:rStyle w:val="a5"/>
        <w:rtl/>
      </w:rPr>
      <w:fldChar w:fldCharType="end"/>
    </w:r>
  </w:p>
  <w:p w:rsidR="00944FC1" w:rsidRDefault="00944FC1">
    <w:pPr>
      <w:pStyle w:val="a6"/>
      <w:rPr>
        <w:rtl/>
      </w:rPr>
    </w:pPr>
  </w:p>
  <w:p w:rsidR="00944FC1" w:rsidRDefault="00944FC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0" w:type="auto"/>
      <w:tblLook w:val="01E0" w:firstRow="1" w:lastRow="1" w:firstColumn="1" w:lastColumn="1" w:noHBand="0" w:noVBand="0"/>
    </w:tblPr>
    <w:tblGrid>
      <w:gridCol w:w="8312"/>
    </w:tblGrid>
    <w:tr w:rsidR="00944FC1" w:rsidTr="00A56585">
      <w:tc>
        <w:tcPr>
          <w:tcW w:w="8312" w:type="dxa"/>
          <w:shd w:val="clear" w:color="auto" w:fill="auto"/>
        </w:tcPr>
        <w:p w:rsidR="00944FC1" w:rsidRDefault="00944FC1" w:rsidP="00FA21B3">
          <w:pPr>
            <w:pStyle w:val="a6"/>
            <w:jc w:val="center"/>
            <w:rPr>
              <w:rtl/>
            </w:rPr>
          </w:pPr>
          <w:r w:rsidRPr="00D745E1">
            <w:rPr>
              <w:b/>
              <w:bCs/>
              <w:noProof/>
              <w:sz w:val="16"/>
              <w:szCs w:val="18"/>
              <w:rtl/>
            </w:rPr>
            <w:drawing>
              <wp:inline distT="0" distB="0" distL="0" distR="0" wp14:anchorId="29F7886E" wp14:editId="1839AA9F">
                <wp:extent cx="464820" cy="449580"/>
                <wp:effectExtent l="0" t="0" r="0" b="762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820" cy="449580"/>
                        </a:xfrm>
                        <a:prstGeom prst="rect">
                          <a:avLst/>
                        </a:prstGeom>
                        <a:noFill/>
                        <a:ln>
                          <a:noFill/>
                        </a:ln>
                      </pic:spPr>
                    </pic:pic>
                  </a:graphicData>
                </a:graphic>
              </wp:inline>
            </w:drawing>
          </w:r>
        </w:p>
      </w:tc>
    </w:tr>
  </w:tbl>
  <w:p w:rsidR="00944FC1" w:rsidRPr="00B9564F" w:rsidRDefault="00944FC1" w:rsidP="00FA21B3">
    <w:pPr>
      <w:pStyle w:val="a6"/>
      <w:jc w:val="cent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77A4F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EB8EE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485F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3003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0465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CCE6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264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1A09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046C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B800B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35CC3"/>
    <w:multiLevelType w:val="hybridMultilevel"/>
    <w:tmpl w:val="AB3A7E3A"/>
    <w:lvl w:ilvl="0" w:tplc="221CFFEC">
      <w:start w:val="1"/>
      <w:numFmt w:val="decimal"/>
      <w:lvlText w:val="(%1)"/>
      <w:lvlJc w:val="left"/>
      <w:pPr>
        <w:ind w:left="2004" w:hanging="360"/>
      </w:pPr>
      <w:rPr>
        <w:rFonts w:hint="default"/>
        <w:sz w:val="24"/>
      </w:rPr>
    </w:lvl>
    <w:lvl w:ilvl="1" w:tplc="C7C09564" w:tentative="1">
      <w:start w:val="1"/>
      <w:numFmt w:val="lowerLetter"/>
      <w:lvlText w:val="%2."/>
      <w:lvlJc w:val="left"/>
      <w:pPr>
        <w:ind w:left="2724" w:hanging="360"/>
      </w:pPr>
    </w:lvl>
    <w:lvl w:ilvl="2" w:tplc="C54EF3BA" w:tentative="1">
      <w:start w:val="1"/>
      <w:numFmt w:val="lowerRoman"/>
      <w:lvlText w:val="%3."/>
      <w:lvlJc w:val="right"/>
      <w:pPr>
        <w:ind w:left="3444" w:hanging="180"/>
      </w:pPr>
    </w:lvl>
    <w:lvl w:ilvl="3" w:tplc="C30402B2" w:tentative="1">
      <w:start w:val="1"/>
      <w:numFmt w:val="decimal"/>
      <w:lvlText w:val="%4."/>
      <w:lvlJc w:val="left"/>
      <w:pPr>
        <w:ind w:left="4164" w:hanging="360"/>
      </w:pPr>
    </w:lvl>
    <w:lvl w:ilvl="4" w:tplc="B9A4511C" w:tentative="1">
      <w:start w:val="1"/>
      <w:numFmt w:val="lowerLetter"/>
      <w:lvlText w:val="%5."/>
      <w:lvlJc w:val="left"/>
      <w:pPr>
        <w:ind w:left="4884" w:hanging="360"/>
      </w:pPr>
    </w:lvl>
    <w:lvl w:ilvl="5" w:tplc="03AC57A6" w:tentative="1">
      <w:start w:val="1"/>
      <w:numFmt w:val="lowerRoman"/>
      <w:lvlText w:val="%6."/>
      <w:lvlJc w:val="right"/>
      <w:pPr>
        <w:ind w:left="5604" w:hanging="180"/>
      </w:pPr>
    </w:lvl>
    <w:lvl w:ilvl="6" w:tplc="094A9CB2" w:tentative="1">
      <w:start w:val="1"/>
      <w:numFmt w:val="decimal"/>
      <w:lvlText w:val="%7."/>
      <w:lvlJc w:val="left"/>
      <w:pPr>
        <w:ind w:left="6324" w:hanging="360"/>
      </w:pPr>
    </w:lvl>
    <w:lvl w:ilvl="7" w:tplc="EDEAF08A" w:tentative="1">
      <w:start w:val="1"/>
      <w:numFmt w:val="lowerLetter"/>
      <w:lvlText w:val="%8."/>
      <w:lvlJc w:val="left"/>
      <w:pPr>
        <w:ind w:left="7044" w:hanging="360"/>
      </w:pPr>
    </w:lvl>
    <w:lvl w:ilvl="8" w:tplc="A18637BC" w:tentative="1">
      <w:start w:val="1"/>
      <w:numFmt w:val="lowerRoman"/>
      <w:lvlText w:val="%9."/>
      <w:lvlJc w:val="right"/>
      <w:pPr>
        <w:ind w:left="7764" w:hanging="180"/>
      </w:pPr>
    </w:lvl>
  </w:abstractNum>
  <w:abstractNum w:abstractNumId="11" w15:restartNumberingAfterBreak="0">
    <w:nsid w:val="08A6001B"/>
    <w:multiLevelType w:val="hybridMultilevel"/>
    <w:tmpl w:val="C4E4F802"/>
    <w:lvl w:ilvl="0" w:tplc="3068960C">
      <w:start w:val="1"/>
      <w:numFmt w:val="decimal"/>
      <w:pStyle w:val="Ruller4"/>
      <w:lvlText w:val="%1."/>
      <w:lvlJc w:val="left"/>
      <w:pPr>
        <w:tabs>
          <w:tab w:val="num" w:pos="907"/>
        </w:tabs>
        <w:ind w:left="0" w:firstLine="0"/>
      </w:pPr>
      <w:rPr>
        <w:rFonts w:ascii="Century" w:hAnsi="Century" w:cs="FrankRuehl" w:hint="default"/>
        <w:b w:val="0"/>
        <w:bCs w:val="0"/>
        <w:i w:val="0"/>
        <w:iCs w:val="0"/>
        <w:caps w:val="0"/>
        <w:smallCaps w:val="0"/>
        <w:strike w:val="0"/>
        <w:dstrike w:val="0"/>
        <w:outline w:val="0"/>
        <w:shadow w:val="0"/>
        <w:emboss w:val="0"/>
        <w:imprint w:val="0"/>
        <w:vanish w:val="0"/>
        <w:color w:val="auto"/>
        <w:spacing w:val="10"/>
        <w:w w:val="100"/>
        <w:kern w:val="0"/>
        <w:position w:val="0"/>
        <w:sz w:val="22"/>
        <w:szCs w:val="28"/>
        <w:u w:val="none"/>
        <w:effect w:val="none"/>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C7511B1"/>
    <w:multiLevelType w:val="hybridMultilevel"/>
    <w:tmpl w:val="86922774"/>
    <w:lvl w:ilvl="0" w:tplc="A05A15FC">
      <w:start w:val="1"/>
      <w:numFmt w:val="hebrew1"/>
      <w:lvlText w:val="(%1)"/>
      <w:lvlJc w:val="left"/>
      <w:pPr>
        <w:ind w:left="720" w:hanging="360"/>
      </w:pPr>
      <w:rPr>
        <w:rFonts w:hint="default"/>
      </w:rPr>
    </w:lvl>
    <w:lvl w:ilvl="1" w:tplc="BE7ABDBC" w:tentative="1">
      <w:start w:val="1"/>
      <w:numFmt w:val="lowerLetter"/>
      <w:lvlText w:val="%2."/>
      <w:lvlJc w:val="left"/>
      <w:pPr>
        <w:ind w:left="1440" w:hanging="360"/>
      </w:pPr>
    </w:lvl>
    <w:lvl w:ilvl="2" w:tplc="5AB8D538" w:tentative="1">
      <w:start w:val="1"/>
      <w:numFmt w:val="lowerRoman"/>
      <w:lvlText w:val="%3."/>
      <w:lvlJc w:val="right"/>
      <w:pPr>
        <w:ind w:left="2160" w:hanging="180"/>
      </w:pPr>
    </w:lvl>
    <w:lvl w:ilvl="3" w:tplc="68E23E06" w:tentative="1">
      <w:start w:val="1"/>
      <w:numFmt w:val="decimal"/>
      <w:lvlText w:val="%4."/>
      <w:lvlJc w:val="left"/>
      <w:pPr>
        <w:ind w:left="2880" w:hanging="360"/>
      </w:pPr>
    </w:lvl>
    <w:lvl w:ilvl="4" w:tplc="B8E60584" w:tentative="1">
      <w:start w:val="1"/>
      <w:numFmt w:val="lowerLetter"/>
      <w:lvlText w:val="%5."/>
      <w:lvlJc w:val="left"/>
      <w:pPr>
        <w:ind w:left="3600" w:hanging="360"/>
      </w:pPr>
    </w:lvl>
    <w:lvl w:ilvl="5" w:tplc="EA4ADDBA" w:tentative="1">
      <w:start w:val="1"/>
      <w:numFmt w:val="lowerRoman"/>
      <w:lvlText w:val="%6."/>
      <w:lvlJc w:val="right"/>
      <w:pPr>
        <w:ind w:left="4320" w:hanging="180"/>
      </w:pPr>
    </w:lvl>
    <w:lvl w:ilvl="6" w:tplc="E1A05484" w:tentative="1">
      <w:start w:val="1"/>
      <w:numFmt w:val="decimal"/>
      <w:lvlText w:val="%7."/>
      <w:lvlJc w:val="left"/>
      <w:pPr>
        <w:ind w:left="5040" w:hanging="360"/>
      </w:pPr>
    </w:lvl>
    <w:lvl w:ilvl="7" w:tplc="B4629DD8" w:tentative="1">
      <w:start w:val="1"/>
      <w:numFmt w:val="lowerLetter"/>
      <w:lvlText w:val="%8."/>
      <w:lvlJc w:val="left"/>
      <w:pPr>
        <w:ind w:left="5760" w:hanging="360"/>
      </w:pPr>
    </w:lvl>
    <w:lvl w:ilvl="8" w:tplc="05C486DC" w:tentative="1">
      <w:start w:val="1"/>
      <w:numFmt w:val="lowerRoman"/>
      <w:lvlText w:val="%9."/>
      <w:lvlJc w:val="right"/>
      <w:pPr>
        <w:ind w:left="6480" w:hanging="180"/>
      </w:pPr>
    </w:lvl>
  </w:abstractNum>
  <w:abstractNum w:abstractNumId="13" w15:restartNumberingAfterBreak="0">
    <w:nsid w:val="0F7F1C39"/>
    <w:multiLevelType w:val="hybridMultilevel"/>
    <w:tmpl w:val="333CE2C4"/>
    <w:lvl w:ilvl="0" w:tplc="3A3092DA">
      <w:start w:val="1"/>
      <w:numFmt w:val="upperRoman"/>
      <w:lvlText w:val="%1."/>
      <w:lvlJc w:val="left"/>
      <w:pPr>
        <w:ind w:left="1520" w:hanging="720"/>
      </w:pPr>
      <w:rPr>
        <w:rFonts w:hint="default"/>
        <w:b w:val="0"/>
        <w:sz w:val="22"/>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14" w15:restartNumberingAfterBreak="0">
    <w:nsid w:val="128A7ED1"/>
    <w:multiLevelType w:val="hybridMultilevel"/>
    <w:tmpl w:val="2884CA3C"/>
    <w:lvl w:ilvl="0" w:tplc="1D34DB26">
      <w:start w:val="1"/>
      <w:numFmt w:val="upperRoman"/>
      <w:pStyle w:val="6"/>
      <w:lvlText w:val="%1."/>
      <w:lvlJc w:val="left"/>
      <w:pPr>
        <w:ind w:left="1146" w:hanging="720"/>
      </w:pPr>
      <w:rPr>
        <w:rFonts w:hint="default"/>
        <w:b w:val="0"/>
        <w:bCs/>
        <w:sz w:val="22"/>
      </w:rPr>
    </w:lvl>
    <w:lvl w:ilvl="1" w:tplc="DCBA547A" w:tentative="1">
      <w:start w:val="1"/>
      <w:numFmt w:val="lowerLetter"/>
      <w:lvlText w:val="%2."/>
      <w:lvlJc w:val="left"/>
      <w:pPr>
        <w:ind w:left="1440" w:hanging="360"/>
      </w:pPr>
    </w:lvl>
    <w:lvl w:ilvl="2" w:tplc="35BE33F6" w:tentative="1">
      <w:start w:val="1"/>
      <w:numFmt w:val="lowerRoman"/>
      <w:lvlText w:val="%3."/>
      <w:lvlJc w:val="right"/>
      <w:pPr>
        <w:ind w:left="2160" w:hanging="180"/>
      </w:pPr>
    </w:lvl>
    <w:lvl w:ilvl="3" w:tplc="D5D002C2" w:tentative="1">
      <w:start w:val="1"/>
      <w:numFmt w:val="decimal"/>
      <w:lvlText w:val="%4."/>
      <w:lvlJc w:val="left"/>
      <w:pPr>
        <w:ind w:left="2880" w:hanging="360"/>
      </w:pPr>
    </w:lvl>
    <w:lvl w:ilvl="4" w:tplc="501A72CE" w:tentative="1">
      <w:start w:val="1"/>
      <w:numFmt w:val="lowerLetter"/>
      <w:lvlText w:val="%5."/>
      <w:lvlJc w:val="left"/>
      <w:pPr>
        <w:ind w:left="3600" w:hanging="360"/>
      </w:pPr>
    </w:lvl>
    <w:lvl w:ilvl="5" w:tplc="C8747F96" w:tentative="1">
      <w:start w:val="1"/>
      <w:numFmt w:val="lowerRoman"/>
      <w:lvlText w:val="%6."/>
      <w:lvlJc w:val="right"/>
      <w:pPr>
        <w:ind w:left="4320" w:hanging="180"/>
      </w:pPr>
    </w:lvl>
    <w:lvl w:ilvl="6" w:tplc="044875FC" w:tentative="1">
      <w:start w:val="1"/>
      <w:numFmt w:val="decimal"/>
      <w:lvlText w:val="%7."/>
      <w:lvlJc w:val="left"/>
      <w:pPr>
        <w:ind w:left="5040" w:hanging="360"/>
      </w:pPr>
    </w:lvl>
    <w:lvl w:ilvl="7" w:tplc="D47C5714" w:tentative="1">
      <w:start w:val="1"/>
      <w:numFmt w:val="lowerLetter"/>
      <w:lvlText w:val="%8."/>
      <w:lvlJc w:val="left"/>
      <w:pPr>
        <w:ind w:left="5760" w:hanging="360"/>
      </w:pPr>
    </w:lvl>
    <w:lvl w:ilvl="8" w:tplc="2A7C5954" w:tentative="1">
      <w:start w:val="1"/>
      <w:numFmt w:val="lowerRoman"/>
      <w:lvlText w:val="%9."/>
      <w:lvlJc w:val="right"/>
      <w:pPr>
        <w:ind w:left="6480" w:hanging="180"/>
      </w:pPr>
    </w:lvl>
  </w:abstractNum>
  <w:abstractNum w:abstractNumId="15" w15:restartNumberingAfterBreak="0">
    <w:nsid w:val="2BF635C8"/>
    <w:multiLevelType w:val="hybridMultilevel"/>
    <w:tmpl w:val="4DE6EE34"/>
    <w:lvl w:ilvl="0" w:tplc="0D96A080">
      <w:start w:val="1"/>
      <w:numFmt w:val="decimal"/>
      <w:lvlText w:val="%1."/>
      <w:lvlJc w:val="left"/>
      <w:pPr>
        <w:ind w:left="720" w:hanging="360"/>
      </w:pPr>
      <w:rPr>
        <w:rFonts w:hint="default"/>
      </w:rPr>
    </w:lvl>
    <w:lvl w:ilvl="1" w:tplc="D1A67CF6" w:tentative="1">
      <w:start w:val="1"/>
      <w:numFmt w:val="lowerLetter"/>
      <w:lvlText w:val="%2."/>
      <w:lvlJc w:val="left"/>
      <w:pPr>
        <w:ind w:left="1440" w:hanging="360"/>
      </w:pPr>
    </w:lvl>
    <w:lvl w:ilvl="2" w:tplc="580C6068" w:tentative="1">
      <w:start w:val="1"/>
      <w:numFmt w:val="lowerRoman"/>
      <w:lvlText w:val="%3."/>
      <w:lvlJc w:val="right"/>
      <w:pPr>
        <w:ind w:left="2160" w:hanging="180"/>
      </w:pPr>
    </w:lvl>
    <w:lvl w:ilvl="3" w:tplc="FB629FAC" w:tentative="1">
      <w:start w:val="1"/>
      <w:numFmt w:val="decimal"/>
      <w:lvlText w:val="%4."/>
      <w:lvlJc w:val="left"/>
      <w:pPr>
        <w:ind w:left="2880" w:hanging="360"/>
      </w:pPr>
    </w:lvl>
    <w:lvl w:ilvl="4" w:tplc="035AE36A" w:tentative="1">
      <w:start w:val="1"/>
      <w:numFmt w:val="lowerLetter"/>
      <w:lvlText w:val="%5."/>
      <w:lvlJc w:val="left"/>
      <w:pPr>
        <w:ind w:left="3600" w:hanging="360"/>
      </w:pPr>
    </w:lvl>
    <w:lvl w:ilvl="5" w:tplc="02EC8F70" w:tentative="1">
      <w:start w:val="1"/>
      <w:numFmt w:val="lowerRoman"/>
      <w:lvlText w:val="%6."/>
      <w:lvlJc w:val="right"/>
      <w:pPr>
        <w:ind w:left="4320" w:hanging="180"/>
      </w:pPr>
    </w:lvl>
    <w:lvl w:ilvl="6" w:tplc="41466E9C" w:tentative="1">
      <w:start w:val="1"/>
      <w:numFmt w:val="decimal"/>
      <w:lvlText w:val="%7."/>
      <w:lvlJc w:val="left"/>
      <w:pPr>
        <w:ind w:left="5040" w:hanging="360"/>
      </w:pPr>
    </w:lvl>
    <w:lvl w:ilvl="7" w:tplc="DF985050" w:tentative="1">
      <w:start w:val="1"/>
      <w:numFmt w:val="lowerLetter"/>
      <w:lvlText w:val="%8."/>
      <w:lvlJc w:val="left"/>
      <w:pPr>
        <w:ind w:left="5760" w:hanging="360"/>
      </w:pPr>
    </w:lvl>
    <w:lvl w:ilvl="8" w:tplc="92B6F7FA" w:tentative="1">
      <w:start w:val="1"/>
      <w:numFmt w:val="lowerRoman"/>
      <w:lvlText w:val="%9."/>
      <w:lvlJc w:val="right"/>
      <w:pPr>
        <w:ind w:left="6480" w:hanging="180"/>
      </w:pPr>
    </w:lvl>
  </w:abstractNum>
  <w:abstractNum w:abstractNumId="16" w15:restartNumberingAfterBreak="0">
    <w:nsid w:val="34BF47CC"/>
    <w:multiLevelType w:val="hybridMultilevel"/>
    <w:tmpl w:val="17B6F8F8"/>
    <w:lvl w:ilvl="0" w:tplc="08C85BA8">
      <w:start w:val="1"/>
      <w:numFmt w:val="hebrew1"/>
      <w:lvlText w:val="%1."/>
      <w:lvlJc w:val="left"/>
      <w:pPr>
        <w:ind w:left="720" w:hanging="360"/>
      </w:pPr>
      <w:rPr>
        <w:rFonts w:hint="default"/>
        <w:sz w:val="24"/>
      </w:rPr>
    </w:lvl>
    <w:lvl w:ilvl="1" w:tplc="D5080A18" w:tentative="1">
      <w:start w:val="1"/>
      <w:numFmt w:val="lowerLetter"/>
      <w:lvlText w:val="%2."/>
      <w:lvlJc w:val="left"/>
      <w:pPr>
        <w:ind w:left="1440" w:hanging="360"/>
      </w:pPr>
    </w:lvl>
    <w:lvl w:ilvl="2" w:tplc="9126F852" w:tentative="1">
      <w:start w:val="1"/>
      <w:numFmt w:val="lowerRoman"/>
      <w:lvlText w:val="%3."/>
      <w:lvlJc w:val="right"/>
      <w:pPr>
        <w:ind w:left="2160" w:hanging="180"/>
      </w:pPr>
    </w:lvl>
    <w:lvl w:ilvl="3" w:tplc="1152B3DA" w:tentative="1">
      <w:start w:val="1"/>
      <w:numFmt w:val="decimal"/>
      <w:lvlText w:val="%4."/>
      <w:lvlJc w:val="left"/>
      <w:pPr>
        <w:ind w:left="2880" w:hanging="360"/>
      </w:pPr>
    </w:lvl>
    <w:lvl w:ilvl="4" w:tplc="5680042E" w:tentative="1">
      <w:start w:val="1"/>
      <w:numFmt w:val="lowerLetter"/>
      <w:lvlText w:val="%5."/>
      <w:lvlJc w:val="left"/>
      <w:pPr>
        <w:ind w:left="3600" w:hanging="360"/>
      </w:pPr>
    </w:lvl>
    <w:lvl w:ilvl="5" w:tplc="9A88F642" w:tentative="1">
      <w:start w:val="1"/>
      <w:numFmt w:val="lowerRoman"/>
      <w:lvlText w:val="%6."/>
      <w:lvlJc w:val="right"/>
      <w:pPr>
        <w:ind w:left="4320" w:hanging="180"/>
      </w:pPr>
    </w:lvl>
    <w:lvl w:ilvl="6" w:tplc="EEDC2496" w:tentative="1">
      <w:start w:val="1"/>
      <w:numFmt w:val="decimal"/>
      <w:lvlText w:val="%7."/>
      <w:lvlJc w:val="left"/>
      <w:pPr>
        <w:ind w:left="5040" w:hanging="360"/>
      </w:pPr>
    </w:lvl>
    <w:lvl w:ilvl="7" w:tplc="E6363240" w:tentative="1">
      <w:start w:val="1"/>
      <w:numFmt w:val="lowerLetter"/>
      <w:lvlText w:val="%8."/>
      <w:lvlJc w:val="left"/>
      <w:pPr>
        <w:ind w:left="5760" w:hanging="360"/>
      </w:pPr>
    </w:lvl>
    <w:lvl w:ilvl="8" w:tplc="1A84C256" w:tentative="1">
      <w:start w:val="1"/>
      <w:numFmt w:val="lowerRoman"/>
      <w:lvlText w:val="%9."/>
      <w:lvlJc w:val="right"/>
      <w:pPr>
        <w:ind w:left="6480" w:hanging="180"/>
      </w:pPr>
    </w:lvl>
  </w:abstractNum>
  <w:abstractNum w:abstractNumId="17" w15:restartNumberingAfterBreak="0">
    <w:nsid w:val="4FE70B62"/>
    <w:multiLevelType w:val="hybridMultilevel"/>
    <w:tmpl w:val="ADA8711E"/>
    <w:lvl w:ilvl="0" w:tplc="DBB0A036">
      <w:start w:val="1"/>
      <w:numFmt w:val="hebrew1"/>
      <w:pStyle w:val="Ruller40"/>
      <w:lvlText w:val="%1."/>
      <w:lvlJc w:val="left"/>
      <w:pPr>
        <w:tabs>
          <w:tab w:val="num" w:pos="90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1"/>
  </w:num>
  <w:num w:numId="12">
    <w:abstractNumId w:val="17"/>
  </w:num>
  <w:num w:numId="13">
    <w:abstractNumId w:val="16"/>
  </w:num>
  <w:num w:numId="14">
    <w:abstractNumId w:val="10"/>
  </w:num>
  <w:num w:numId="15">
    <w:abstractNumId w:val="15"/>
  </w:num>
  <w:num w:numId="16">
    <w:abstractNumId w:val="12"/>
  </w:num>
  <w:num w:numId="17">
    <w:abstractNumId w:val="14"/>
  </w:num>
  <w:num w:numId="18">
    <w:abstractNumId w:val="13"/>
  </w:num>
  <w:num w:numId="19">
    <w:abstractNumId w:val="11"/>
    <w:lvlOverride w:ilvl="0">
      <w:startOverride w:val="1"/>
    </w:lvlOverride>
  </w:num>
  <w:num w:numId="20">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227"/>
    <w:rsid w:val="000067AF"/>
    <w:rsid w:val="00007777"/>
    <w:rsid w:val="0001526B"/>
    <w:rsid w:val="00016EF1"/>
    <w:rsid w:val="00017461"/>
    <w:rsid w:val="00032036"/>
    <w:rsid w:val="00036227"/>
    <w:rsid w:val="0004067D"/>
    <w:rsid w:val="00044953"/>
    <w:rsid w:val="00045B4D"/>
    <w:rsid w:val="00067B5F"/>
    <w:rsid w:val="00072AD2"/>
    <w:rsid w:val="000734CB"/>
    <w:rsid w:val="00075DD0"/>
    <w:rsid w:val="0009515F"/>
    <w:rsid w:val="000B0377"/>
    <w:rsid w:val="000B1478"/>
    <w:rsid w:val="000B261B"/>
    <w:rsid w:val="000B6AE3"/>
    <w:rsid w:val="000C0A71"/>
    <w:rsid w:val="000C4690"/>
    <w:rsid w:val="000D25C4"/>
    <w:rsid w:val="000D6939"/>
    <w:rsid w:val="000D6DCA"/>
    <w:rsid w:val="000E3B8B"/>
    <w:rsid w:val="00110DA7"/>
    <w:rsid w:val="00112C51"/>
    <w:rsid w:val="0012545B"/>
    <w:rsid w:val="00130D02"/>
    <w:rsid w:val="00134A67"/>
    <w:rsid w:val="00134EB4"/>
    <w:rsid w:val="00135867"/>
    <w:rsid w:val="0014344D"/>
    <w:rsid w:val="001470CF"/>
    <w:rsid w:val="00154174"/>
    <w:rsid w:val="00167470"/>
    <w:rsid w:val="00173C9C"/>
    <w:rsid w:val="001747AA"/>
    <w:rsid w:val="00180A78"/>
    <w:rsid w:val="0018333E"/>
    <w:rsid w:val="001835AF"/>
    <w:rsid w:val="0019225F"/>
    <w:rsid w:val="001A0164"/>
    <w:rsid w:val="001A2D1D"/>
    <w:rsid w:val="001A3FA4"/>
    <w:rsid w:val="001B7206"/>
    <w:rsid w:val="001C2C91"/>
    <w:rsid w:val="001C67F5"/>
    <w:rsid w:val="001D1965"/>
    <w:rsid w:val="001D3210"/>
    <w:rsid w:val="00200D6B"/>
    <w:rsid w:val="00205086"/>
    <w:rsid w:val="00207CF2"/>
    <w:rsid w:val="00215D3B"/>
    <w:rsid w:val="002325D5"/>
    <w:rsid w:val="00240E22"/>
    <w:rsid w:val="00242353"/>
    <w:rsid w:val="00251B76"/>
    <w:rsid w:val="00261326"/>
    <w:rsid w:val="00265F6E"/>
    <w:rsid w:val="002661C8"/>
    <w:rsid w:val="00270FCF"/>
    <w:rsid w:val="00285A59"/>
    <w:rsid w:val="002876BF"/>
    <w:rsid w:val="0029592A"/>
    <w:rsid w:val="002963BA"/>
    <w:rsid w:val="0029695A"/>
    <w:rsid w:val="002973B9"/>
    <w:rsid w:val="002A0AEF"/>
    <w:rsid w:val="002A4A7A"/>
    <w:rsid w:val="002A4BF3"/>
    <w:rsid w:val="002C549D"/>
    <w:rsid w:val="002D421B"/>
    <w:rsid w:val="002E2B10"/>
    <w:rsid w:val="002F424E"/>
    <w:rsid w:val="002F66DA"/>
    <w:rsid w:val="002F7BB6"/>
    <w:rsid w:val="00306408"/>
    <w:rsid w:val="003140F3"/>
    <w:rsid w:val="003148C8"/>
    <w:rsid w:val="00326F04"/>
    <w:rsid w:val="00331CB4"/>
    <w:rsid w:val="003448B2"/>
    <w:rsid w:val="00350246"/>
    <w:rsid w:val="00361DB2"/>
    <w:rsid w:val="00362912"/>
    <w:rsid w:val="0036594D"/>
    <w:rsid w:val="00370A7A"/>
    <w:rsid w:val="0037486F"/>
    <w:rsid w:val="0037622E"/>
    <w:rsid w:val="00377102"/>
    <w:rsid w:val="00382EC0"/>
    <w:rsid w:val="003906C7"/>
    <w:rsid w:val="00395244"/>
    <w:rsid w:val="0039709B"/>
    <w:rsid w:val="003A7865"/>
    <w:rsid w:val="003B3ECA"/>
    <w:rsid w:val="003C0786"/>
    <w:rsid w:val="003D084B"/>
    <w:rsid w:val="003D2BA5"/>
    <w:rsid w:val="003D72DA"/>
    <w:rsid w:val="003E66FE"/>
    <w:rsid w:val="003F1F97"/>
    <w:rsid w:val="003F4B80"/>
    <w:rsid w:val="00404A7B"/>
    <w:rsid w:val="0041048F"/>
    <w:rsid w:val="00413FA1"/>
    <w:rsid w:val="0042185D"/>
    <w:rsid w:val="00430C51"/>
    <w:rsid w:val="0043453C"/>
    <w:rsid w:val="00443EBF"/>
    <w:rsid w:val="00451803"/>
    <w:rsid w:val="00452EDC"/>
    <w:rsid w:val="0045571B"/>
    <w:rsid w:val="004610A4"/>
    <w:rsid w:val="0046240F"/>
    <w:rsid w:val="00466B5B"/>
    <w:rsid w:val="004864D2"/>
    <w:rsid w:val="00496FE5"/>
    <w:rsid w:val="004A46F0"/>
    <w:rsid w:val="004A6E48"/>
    <w:rsid w:val="004B29FF"/>
    <w:rsid w:val="004B38DA"/>
    <w:rsid w:val="004C3302"/>
    <w:rsid w:val="004C7868"/>
    <w:rsid w:val="004D191B"/>
    <w:rsid w:val="004D55D9"/>
    <w:rsid w:val="004E3F52"/>
    <w:rsid w:val="00503A3E"/>
    <w:rsid w:val="00505120"/>
    <w:rsid w:val="0051588B"/>
    <w:rsid w:val="00517E69"/>
    <w:rsid w:val="0052227B"/>
    <w:rsid w:val="00523686"/>
    <w:rsid w:val="00527F02"/>
    <w:rsid w:val="0053251C"/>
    <w:rsid w:val="0054150C"/>
    <w:rsid w:val="00543584"/>
    <w:rsid w:val="005511B6"/>
    <w:rsid w:val="00564F64"/>
    <w:rsid w:val="00580058"/>
    <w:rsid w:val="0058440A"/>
    <w:rsid w:val="00591983"/>
    <w:rsid w:val="00593941"/>
    <w:rsid w:val="005E148B"/>
    <w:rsid w:val="00603F95"/>
    <w:rsid w:val="0061561D"/>
    <w:rsid w:val="00617DB6"/>
    <w:rsid w:val="0062146A"/>
    <w:rsid w:val="00624A42"/>
    <w:rsid w:val="0063734A"/>
    <w:rsid w:val="00645DB2"/>
    <w:rsid w:val="00653268"/>
    <w:rsid w:val="0065522F"/>
    <w:rsid w:val="00660E14"/>
    <w:rsid w:val="00661711"/>
    <w:rsid w:val="00673C28"/>
    <w:rsid w:val="0068123B"/>
    <w:rsid w:val="006A30F7"/>
    <w:rsid w:val="006B64ED"/>
    <w:rsid w:val="006C42AD"/>
    <w:rsid w:val="006D2A40"/>
    <w:rsid w:val="006F0E46"/>
    <w:rsid w:val="00703ADB"/>
    <w:rsid w:val="00720965"/>
    <w:rsid w:val="00741CC0"/>
    <w:rsid w:val="00742E51"/>
    <w:rsid w:val="00745AC1"/>
    <w:rsid w:val="007724A1"/>
    <w:rsid w:val="00782291"/>
    <w:rsid w:val="00786F8C"/>
    <w:rsid w:val="00792F99"/>
    <w:rsid w:val="007A399F"/>
    <w:rsid w:val="007A4D72"/>
    <w:rsid w:val="007B512F"/>
    <w:rsid w:val="007B5D21"/>
    <w:rsid w:val="007C0A4E"/>
    <w:rsid w:val="007C0C26"/>
    <w:rsid w:val="007D5A67"/>
    <w:rsid w:val="007D6198"/>
    <w:rsid w:val="007D6392"/>
    <w:rsid w:val="007E1809"/>
    <w:rsid w:val="007F7512"/>
    <w:rsid w:val="00800590"/>
    <w:rsid w:val="0080257E"/>
    <w:rsid w:val="00810894"/>
    <w:rsid w:val="00811B3D"/>
    <w:rsid w:val="008143AB"/>
    <w:rsid w:val="0081590B"/>
    <w:rsid w:val="00815C3F"/>
    <w:rsid w:val="00830CD6"/>
    <w:rsid w:val="00836582"/>
    <w:rsid w:val="00836667"/>
    <w:rsid w:val="00861ED0"/>
    <w:rsid w:val="008640BE"/>
    <w:rsid w:val="008700FC"/>
    <w:rsid w:val="00874663"/>
    <w:rsid w:val="00891967"/>
    <w:rsid w:val="008C2F11"/>
    <w:rsid w:val="008D5CFC"/>
    <w:rsid w:val="008D624A"/>
    <w:rsid w:val="008D78B9"/>
    <w:rsid w:val="008E185E"/>
    <w:rsid w:val="008E3F85"/>
    <w:rsid w:val="008E5E18"/>
    <w:rsid w:val="008E6168"/>
    <w:rsid w:val="008F3FC9"/>
    <w:rsid w:val="008F5060"/>
    <w:rsid w:val="00900B12"/>
    <w:rsid w:val="0090281E"/>
    <w:rsid w:val="009051E8"/>
    <w:rsid w:val="00905E8C"/>
    <w:rsid w:val="00914156"/>
    <w:rsid w:val="00916DB0"/>
    <w:rsid w:val="00916FF8"/>
    <w:rsid w:val="009207FF"/>
    <w:rsid w:val="00922093"/>
    <w:rsid w:val="00926AC0"/>
    <w:rsid w:val="00930C85"/>
    <w:rsid w:val="0093108D"/>
    <w:rsid w:val="00942895"/>
    <w:rsid w:val="00944FC1"/>
    <w:rsid w:val="009557A8"/>
    <w:rsid w:val="00967B1F"/>
    <w:rsid w:val="009944B1"/>
    <w:rsid w:val="00995FA7"/>
    <w:rsid w:val="009975AA"/>
    <w:rsid w:val="009B38DA"/>
    <w:rsid w:val="009C43F8"/>
    <w:rsid w:val="009D3654"/>
    <w:rsid w:val="009E25B2"/>
    <w:rsid w:val="009E5AA8"/>
    <w:rsid w:val="009F054C"/>
    <w:rsid w:val="009F2F53"/>
    <w:rsid w:val="009F4187"/>
    <w:rsid w:val="00A12E0F"/>
    <w:rsid w:val="00A135C1"/>
    <w:rsid w:val="00A13D40"/>
    <w:rsid w:val="00A21E18"/>
    <w:rsid w:val="00A301C6"/>
    <w:rsid w:val="00A37CDA"/>
    <w:rsid w:val="00A51FAE"/>
    <w:rsid w:val="00A56585"/>
    <w:rsid w:val="00A57217"/>
    <w:rsid w:val="00A802BA"/>
    <w:rsid w:val="00A821BF"/>
    <w:rsid w:val="00A92248"/>
    <w:rsid w:val="00A939AC"/>
    <w:rsid w:val="00A949B3"/>
    <w:rsid w:val="00A94AFC"/>
    <w:rsid w:val="00AA0084"/>
    <w:rsid w:val="00AA1CE0"/>
    <w:rsid w:val="00AA358D"/>
    <w:rsid w:val="00AA5003"/>
    <w:rsid w:val="00AB35BE"/>
    <w:rsid w:val="00AB69F7"/>
    <w:rsid w:val="00AD097B"/>
    <w:rsid w:val="00AD22AE"/>
    <w:rsid w:val="00AD64B9"/>
    <w:rsid w:val="00AE022B"/>
    <w:rsid w:val="00AF25D2"/>
    <w:rsid w:val="00B006D6"/>
    <w:rsid w:val="00B009CC"/>
    <w:rsid w:val="00B03137"/>
    <w:rsid w:val="00B0782A"/>
    <w:rsid w:val="00B11B98"/>
    <w:rsid w:val="00B1249A"/>
    <w:rsid w:val="00B12DDA"/>
    <w:rsid w:val="00B24662"/>
    <w:rsid w:val="00B41899"/>
    <w:rsid w:val="00B62B8C"/>
    <w:rsid w:val="00B63343"/>
    <w:rsid w:val="00B63E91"/>
    <w:rsid w:val="00BA0B08"/>
    <w:rsid w:val="00BB2ED2"/>
    <w:rsid w:val="00BC0E82"/>
    <w:rsid w:val="00BC75EC"/>
    <w:rsid w:val="00BD40F9"/>
    <w:rsid w:val="00BD4AD1"/>
    <w:rsid w:val="00BD5665"/>
    <w:rsid w:val="00C04DC8"/>
    <w:rsid w:val="00C41C86"/>
    <w:rsid w:val="00C528AC"/>
    <w:rsid w:val="00C60BD6"/>
    <w:rsid w:val="00C63A6C"/>
    <w:rsid w:val="00C65D6C"/>
    <w:rsid w:val="00C94C06"/>
    <w:rsid w:val="00CA13AF"/>
    <w:rsid w:val="00CA1444"/>
    <w:rsid w:val="00CB1590"/>
    <w:rsid w:val="00CB7600"/>
    <w:rsid w:val="00CC19E5"/>
    <w:rsid w:val="00CC3639"/>
    <w:rsid w:val="00CF449E"/>
    <w:rsid w:val="00D00B1D"/>
    <w:rsid w:val="00D0278F"/>
    <w:rsid w:val="00D053D3"/>
    <w:rsid w:val="00D05D03"/>
    <w:rsid w:val="00D20D68"/>
    <w:rsid w:val="00D22039"/>
    <w:rsid w:val="00D255C8"/>
    <w:rsid w:val="00D25F16"/>
    <w:rsid w:val="00D46EE3"/>
    <w:rsid w:val="00D506E2"/>
    <w:rsid w:val="00D512D4"/>
    <w:rsid w:val="00D556AE"/>
    <w:rsid w:val="00D61FAB"/>
    <w:rsid w:val="00D64E12"/>
    <w:rsid w:val="00D65DB0"/>
    <w:rsid w:val="00D66346"/>
    <w:rsid w:val="00D705BF"/>
    <w:rsid w:val="00D75CE1"/>
    <w:rsid w:val="00D77987"/>
    <w:rsid w:val="00D81F98"/>
    <w:rsid w:val="00DC08A2"/>
    <w:rsid w:val="00DC2820"/>
    <w:rsid w:val="00DC4DF4"/>
    <w:rsid w:val="00DC71B6"/>
    <w:rsid w:val="00DC767D"/>
    <w:rsid w:val="00DE67E3"/>
    <w:rsid w:val="00DE71BF"/>
    <w:rsid w:val="00DF0016"/>
    <w:rsid w:val="00DF4189"/>
    <w:rsid w:val="00E06813"/>
    <w:rsid w:val="00E21A01"/>
    <w:rsid w:val="00E21CA9"/>
    <w:rsid w:val="00E31063"/>
    <w:rsid w:val="00E357B0"/>
    <w:rsid w:val="00E36FE9"/>
    <w:rsid w:val="00E462A7"/>
    <w:rsid w:val="00E66A11"/>
    <w:rsid w:val="00E73E98"/>
    <w:rsid w:val="00E74CCB"/>
    <w:rsid w:val="00E77FCC"/>
    <w:rsid w:val="00E90D72"/>
    <w:rsid w:val="00EA01D7"/>
    <w:rsid w:val="00EA7A24"/>
    <w:rsid w:val="00EB3384"/>
    <w:rsid w:val="00EB6CA7"/>
    <w:rsid w:val="00EC23AC"/>
    <w:rsid w:val="00ED46A4"/>
    <w:rsid w:val="00ED6FD9"/>
    <w:rsid w:val="00EE0DD8"/>
    <w:rsid w:val="00EE1233"/>
    <w:rsid w:val="00EE3810"/>
    <w:rsid w:val="00EF7777"/>
    <w:rsid w:val="00F1197B"/>
    <w:rsid w:val="00F14895"/>
    <w:rsid w:val="00F326AD"/>
    <w:rsid w:val="00F63C3B"/>
    <w:rsid w:val="00F959DB"/>
    <w:rsid w:val="00FA21B3"/>
    <w:rsid w:val="00FA6FBB"/>
    <w:rsid w:val="00FC4AAD"/>
    <w:rsid w:val="00FC5C00"/>
    <w:rsid w:val="00FE4AC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BDE0268-949E-4096-BD79-C1E327740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bidi/>
      <w:adjustRightInd w:val="0"/>
      <w:textAlignment w:val="baseline"/>
    </w:pPr>
    <w:rPr>
      <w:rFonts w:cs="David"/>
      <w:szCs w:val="24"/>
    </w:rPr>
  </w:style>
  <w:style w:type="paragraph" w:styleId="1">
    <w:name w:val="heading 1"/>
    <w:basedOn w:val="Ruller41"/>
    <w:next w:val="a"/>
    <w:link w:val="10"/>
    <w:qFormat/>
    <w:rsid w:val="00C04DC8"/>
    <w:pPr>
      <w:outlineLvl w:val="0"/>
    </w:pPr>
    <w:rPr>
      <w:rFonts w:ascii="Century" w:hAnsi="Century" w:cs="Miriam"/>
      <w:b/>
      <w:spacing w:val="0"/>
      <w:szCs w:val="24"/>
    </w:rPr>
  </w:style>
  <w:style w:type="paragraph" w:styleId="2">
    <w:name w:val="heading 2"/>
    <w:basedOn w:val="Ruller41"/>
    <w:next w:val="a"/>
    <w:link w:val="20"/>
    <w:unhideWhenUsed/>
    <w:qFormat/>
    <w:rsid w:val="00C04DC8"/>
    <w:pPr>
      <w:outlineLvl w:val="1"/>
    </w:pPr>
    <w:rPr>
      <w:rFonts w:ascii="Century" w:hAnsi="Century" w:cs="Miriam"/>
      <w:b/>
      <w:spacing w:val="0"/>
      <w:szCs w:val="24"/>
    </w:rPr>
  </w:style>
  <w:style w:type="paragraph" w:styleId="3">
    <w:name w:val="heading 3"/>
    <w:basedOn w:val="2"/>
    <w:next w:val="a"/>
    <w:link w:val="30"/>
    <w:unhideWhenUsed/>
    <w:qFormat/>
    <w:rsid w:val="00C04DC8"/>
    <w:pPr>
      <w:outlineLvl w:val="2"/>
    </w:pPr>
  </w:style>
  <w:style w:type="paragraph" w:styleId="4">
    <w:name w:val="heading 4"/>
    <w:basedOn w:val="Ruller41"/>
    <w:next w:val="a"/>
    <w:link w:val="40"/>
    <w:unhideWhenUsed/>
    <w:qFormat/>
    <w:rsid w:val="00C04DC8"/>
    <w:pPr>
      <w:outlineLvl w:val="3"/>
    </w:pPr>
    <w:rPr>
      <w:rFonts w:ascii="Century" w:hAnsi="Century" w:cs="Miriam"/>
      <w:b/>
      <w:spacing w:val="0"/>
      <w:szCs w:val="24"/>
    </w:rPr>
  </w:style>
  <w:style w:type="paragraph" w:styleId="5">
    <w:name w:val="heading 5"/>
    <w:basedOn w:val="4"/>
    <w:next w:val="a"/>
    <w:link w:val="50"/>
    <w:unhideWhenUsed/>
    <w:qFormat/>
    <w:rsid w:val="000067AF"/>
    <w:pPr>
      <w:outlineLvl w:val="4"/>
    </w:pPr>
  </w:style>
  <w:style w:type="paragraph" w:styleId="6">
    <w:name w:val="heading 6"/>
    <w:basedOn w:val="5"/>
    <w:next w:val="a"/>
    <w:link w:val="60"/>
    <w:unhideWhenUsed/>
    <w:qFormat/>
    <w:rsid w:val="000067AF"/>
    <w:pPr>
      <w:numPr>
        <w:numId w:val="17"/>
      </w:numPr>
      <w:outlineLvl w:val="5"/>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uller3">
    <w:name w:val="Ruller 3"/>
    <w:basedOn w:val="a"/>
    <w:rsid w:val="00A51FAE"/>
    <w:pPr>
      <w:tabs>
        <w:tab w:val="left" w:pos="3210"/>
        <w:tab w:val="left" w:pos="6753"/>
      </w:tabs>
      <w:spacing w:line="360" w:lineRule="auto"/>
    </w:pPr>
    <w:rPr>
      <w:rFonts w:cs="FrankRuehl"/>
      <w:spacing w:val="10"/>
      <w:sz w:val="22"/>
      <w:szCs w:val="28"/>
    </w:rPr>
  </w:style>
  <w:style w:type="paragraph" w:customStyle="1" w:styleId="Pskdinhead">
    <w:name w:val="Pskdin head"/>
    <w:basedOn w:val="a"/>
    <w:pPr>
      <w:spacing w:line="360" w:lineRule="auto"/>
    </w:pPr>
    <w:rPr>
      <w:b/>
      <w:bCs/>
      <w:u w:val="single"/>
    </w:rPr>
  </w:style>
  <w:style w:type="paragraph" w:customStyle="1" w:styleId="FileNumber">
    <w:name w:val="File Number"/>
    <w:basedOn w:val="a"/>
    <w:pPr>
      <w:spacing w:line="360" w:lineRule="auto"/>
      <w:jc w:val="right"/>
    </w:pPr>
    <w:rPr>
      <w:bCs/>
    </w:rPr>
  </w:style>
  <w:style w:type="paragraph" w:customStyle="1" w:styleId="FirstpagestylePsakdin">
    <w:name w:val="First page style Psak din"/>
    <w:basedOn w:val="Ruller3"/>
    <w:pPr>
      <w:tabs>
        <w:tab w:val="clear" w:pos="3210"/>
        <w:tab w:val="left" w:pos="3209"/>
      </w:tabs>
    </w:pPr>
    <w:rPr>
      <w:bCs/>
    </w:rPr>
  </w:style>
  <w:style w:type="paragraph" w:customStyle="1" w:styleId="TyutaDate">
    <w:name w:val="Tyuta Date"/>
    <w:basedOn w:val="a"/>
    <w:pPr>
      <w:jc w:val="center"/>
    </w:pPr>
    <w:rPr>
      <w:b/>
      <w:bCs/>
      <w:i/>
      <w:iCs/>
      <w:sz w:val="28"/>
      <w:szCs w:val="28"/>
    </w:rPr>
  </w:style>
  <w:style w:type="paragraph" w:customStyle="1" w:styleId="DocumentHead">
    <w:name w:val="Document Head"/>
    <w:basedOn w:val="a"/>
    <w:pPr>
      <w:spacing w:line="360" w:lineRule="auto"/>
      <w:jc w:val="center"/>
    </w:pPr>
    <w:rPr>
      <w:bCs/>
      <w:spacing w:val="30"/>
      <w:szCs w:val="28"/>
      <w:u w:val="single"/>
    </w:rPr>
  </w:style>
  <w:style w:type="paragraph" w:customStyle="1" w:styleId="TfutzaList">
    <w:name w:val="Tfutza List"/>
    <w:basedOn w:val="a"/>
    <w:rPr>
      <w:i/>
      <w:iCs/>
    </w:rPr>
  </w:style>
  <w:style w:type="paragraph" w:customStyle="1" w:styleId="Ruller41">
    <w:name w:val="Ruller4"/>
    <w:basedOn w:val="a"/>
    <w:rsid w:val="00A51FAE"/>
    <w:pPr>
      <w:tabs>
        <w:tab w:val="left" w:pos="800"/>
      </w:tabs>
      <w:spacing w:line="360" w:lineRule="auto"/>
      <w:jc w:val="both"/>
    </w:pPr>
    <w:rPr>
      <w:rFonts w:ascii="Arial TUR" w:hAnsi="Arial TUR" w:cs="FrankRuehl"/>
      <w:spacing w:val="10"/>
      <w:sz w:val="22"/>
      <w:szCs w:val="28"/>
    </w:rPr>
  </w:style>
  <w:style w:type="paragraph" w:customStyle="1" w:styleId="Ruller5">
    <w:name w:val="Ruller5"/>
    <w:basedOn w:val="a"/>
    <w:rsid w:val="00A51FAE"/>
    <w:pPr>
      <w:ind w:left="1642" w:right="1282"/>
      <w:jc w:val="both"/>
    </w:pPr>
    <w:rPr>
      <w:rFonts w:ascii="Arial TUR" w:hAnsi="Arial TUR" w:cs="FrankRuehl"/>
      <w:spacing w:val="10"/>
      <w:sz w:val="22"/>
      <w:szCs w:val="28"/>
    </w:rPr>
  </w:style>
  <w:style w:type="paragraph" w:customStyle="1" w:styleId="Ruller6">
    <w:name w:val="Ruller6"/>
    <w:basedOn w:val="a"/>
    <w:rsid w:val="00A51FAE"/>
    <w:pPr>
      <w:tabs>
        <w:tab w:val="left" w:pos="794"/>
        <w:tab w:val="left" w:pos="2268"/>
        <w:tab w:val="left" w:pos="5783"/>
        <w:tab w:val="left" w:pos="7371"/>
      </w:tabs>
    </w:pPr>
    <w:rPr>
      <w:rFonts w:ascii="Arial TUR" w:hAnsi="Arial TUR" w:cs="DavidFix"/>
      <w:spacing w:val="10"/>
      <w:sz w:val="22"/>
      <w:szCs w:val="20"/>
    </w:rPr>
  </w:style>
  <w:style w:type="character" w:customStyle="1" w:styleId="Delete">
    <w:name w:val="Delete"/>
    <w:rPr>
      <w:strike/>
    </w:rPr>
  </w:style>
  <w:style w:type="paragraph" w:customStyle="1" w:styleId="WriterName">
    <w:name w:val="Writer Name"/>
    <w:basedOn w:val="Ruller41"/>
    <w:next w:val="Ruller41"/>
    <w:rPr>
      <w:rFonts w:cs="David"/>
      <w:b/>
      <w:bCs/>
      <w:u w:val="single"/>
    </w:rPr>
  </w:style>
  <w:style w:type="character" w:customStyle="1" w:styleId="Hand">
    <w:name w:val="Hand"/>
    <w:rPr>
      <w:rFonts w:cs="Guttman Yad"/>
    </w:rPr>
  </w:style>
  <w:style w:type="paragraph" w:styleId="a3">
    <w:name w:val="footer"/>
    <w:basedOn w:val="a"/>
    <w:link w:val="a4"/>
    <w:pPr>
      <w:tabs>
        <w:tab w:val="center" w:pos="4153"/>
        <w:tab w:val="right" w:pos="8306"/>
      </w:tabs>
    </w:pPr>
  </w:style>
  <w:style w:type="character" w:styleId="a5">
    <w:name w:val="page number"/>
    <w:basedOn w:val="a0"/>
  </w:style>
  <w:style w:type="paragraph" w:styleId="a6">
    <w:name w:val="header"/>
    <w:basedOn w:val="a"/>
    <w:link w:val="a7"/>
    <w:pPr>
      <w:tabs>
        <w:tab w:val="center" w:pos="4153"/>
        <w:tab w:val="right" w:pos="8306"/>
      </w:tabs>
    </w:pPr>
  </w:style>
  <w:style w:type="paragraph" w:customStyle="1" w:styleId="21">
    <w:name w:val="ñâðåï2"/>
    <w:basedOn w:val="a"/>
    <w:pPr>
      <w:overflowPunct/>
      <w:textAlignment w:val="auto"/>
    </w:pPr>
    <w:rPr>
      <w:rFonts w:cs="Times New Roman"/>
    </w:rPr>
  </w:style>
  <w:style w:type="paragraph" w:customStyle="1" w:styleId="Casenameintextbody">
    <w:name w:val="Case name in text body"/>
    <w:basedOn w:val="a"/>
    <w:pPr>
      <w:overflowPunct/>
      <w:jc w:val="right"/>
      <w:textAlignment w:val="auto"/>
    </w:pPr>
    <w:rPr>
      <w:rFonts w:cs="Times New Roman"/>
      <w:b/>
      <w:bCs/>
      <w:u w:val="single"/>
    </w:rPr>
  </w:style>
  <w:style w:type="paragraph" w:customStyle="1" w:styleId="precasestyle">
    <w:name w:val="pre_case style"/>
    <w:basedOn w:val="a"/>
    <w:pPr>
      <w:tabs>
        <w:tab w:val="left" w:pos="2552"/>
      </w:tabs>
      <w:overflowPunct/>
      <w:ind w:right="2549"/>
      <w:textAlignment w:val="auto"/>
    </w:pPr>
    <w:rPr>
      <w:rFonts w:cs="Times New Roman"/>
    </w:rPr>
  </w:style>
  <w:style w:type="paragraph" w:customStyle="1" w:styleId="BodyRuller">
    <w:name w:val="Body Ruller"/>
    <w:basedOn w:val="a"/>
    <w:rPr>
      <w:sz w:val="22"/>
      <w:szCs w:val="28"/>
    </w:rPr>
  </w:style>
  <w:style w:type="paragraph" w:customStyle="1" w:styleId="Ruller38">
    <w:name w:val="סגנון Ruller 3 + (מורכב) ‏8 נק"/>
    <w:basedOn w:val="BodyRuller"/>
    <w:rPr>
      <w:szCs w:val="16"/>
    </w:rPr>
  </w:style>
  <w:style w:type="character" w:customStyle="1" w:styleId="Ruller30">
    <w:name w:val="Ruller 3 תו"/>
    <w:rPr>
      <w:rFonts w:cs="FrankRuehl"/>
      <w:sz w:val="22"/>
      <w:szCs w:val="28"/>
      <w:lang w:val="en-US" w:eastAsia="en-US" w:bidi="he-IL"/>
    </w:rPr>
  </w:style>
  <w:style w:type="character" w:customStyle="1" w:styleId="BodyRuller0">
    <w:name w:val="Body Ruller תו"/>
    <w:rPr>
      <w:rFonts w:cs="David"/>
      <w:sz w:val="22"/>
      <w:szCs w:val="28"/>
      <w:lang w:val="en-US" w:eastAsia="en-US" w:bidi="he-IL"/>
    </w:rPr>
  </w:style>
  <w:style w:type="character" w:customStyle="1" w:styleId="Ruller380">
    <w:name w:val="סגנון Ruller 3 + (מורכב) ‏8 נק תו"/>
    <w:rPr>
      <w:rFonts w:cs="David"/>
      <w:sz w:val="22"/>
      <w:szCs w:val="16"/>
      <w:lang w:val="en-US" w:eastAsia="en-US" w:bidi="he-IL"/>
    </w:rPr>
  </w:style>
  <w:style w:type="paragraph" w:customStyle="1" w:styleId="FileNumber0">
    <w:name w:val="סגנון File Number + ימין"/>
    <w:basedOn w:val="FileNumber"/>
    <w:rsid w:val="004C7868"/>
    <w:pPr>
      <w:jc w:val="left"/>
    </w:pPr>
    <w:rPr>
      <w:szCs w:val="28"/>
    </w:rPr>
  </w:style>
  <w:style w:type="paragraph" w:customStyle="1" w:styleId="BODYVERDICT">
    <w:name w:val="BODY VERDICT"/>
    <w:basedOn w:val="a"/>
    <w:rsid w:val="00036227"/>
    <w:rPr>
      <w:rFonts w:cs="FrankRuehl"/>
      <w:spacing w:val="10"/>
      <w:sz w:val="22"/>
      <w:szCs w:val="28"/>
    </w:rPr>
  </w:style>
  <w:style w:type="character" w:styleId="Hyperlink">
    <w:name w:val="Hyperlink"/>
    <w:uiPriority w:val="99"/>
    <w:rsid w:val="003F1F97"/>
    <w:rPr>
      <w:color w:val="0000FF"/>
      <w:u w:val="single"/>
    </w:rPr>
  </w:style>
  <w:style w:type="table" w:styleId="a8">
    <w:name w:val="Table Grid"/>
    <w:basedOn w:val="a1"/>
    <w:rsid w:val="003F1F97"/>
    <w:pPr>
      <w:overflowPunct w:val="0"/>
      <w:autoSpaceDE w:val="0"/>
      <w:autoSpaceDN w:val="0"/>
      <w:bidi/>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a0"/>
    <w:rsid w:val="0058440A"/>
    <w:rPr>
      <w:color w:val="954F72" w:themeColor="followedHyperlink"/>
      <w:u w:val="single"/>
    </w:rPr>
  </w:style>
  <w:style w:type="character" w:styleId="a9">
    <w:name w:val="annotation reference"/>
    <w:basedOn w:val="a0"/>
    <w:rsid w:val="00D00B1D"/>
    <w:rPr>
      <w:sz w:val="16"/>
      <w:szCs w:val="16"/>
    </w:rPr>
  </w:style>
  <w:style w:type="paragraph" w:styleId="aa">
    <w:name w:val="annotation text"/>
    <w:basedOn w:val="a"/>
    <w:link w:val="ab"/>
    <w:rsid w:val="00D00B1D"/>
    <w:rPr>
      <w:szCs w:val="20"/>
    </w:rPr>
  </w:style>
  <w:style w:type="character" w:customStyle="1" w:styleId="ab">
    <w:name w:val="טקסט הערה תו"/>
    <w:basedOn w:val="a0"/>
    <w:link w:val="aa"/>
    <w:rsid w:val="00D00B1D"/>
    <w:rPr>
      <w:rFonts w:cs="David"/>
    </w:rPr>
  </w:style>
  <w:style w:type="paragraph" w:styleId="ac">
    <w:name w:val="annotation subject"/>
    <w:basedOn w:val="aa"/>
    <w:next w:val="aa"/>
    <w:link w:val="ad"/>
    <w:rsid w:val="00D00B1D"/>
    <w:rPr>
      <w:b/>
      <w:bCs/>
    </w:rPr>
  </w:style>
  <w:style w:type="character" w:customStyle="1" w:styleId="ad">
    <w:name w:val="נושא הערה תו"/>
    <w:basedOn w:val="ab"/>
    <w:link w:val="ac"/>
    <w:rsid w:val="00D00B1D"/>
    <w:rPr>
      <w:rFonts w:cs="David"/>
      <w:b/>
      <w:bCs/>
    </w:rPr>
  </w:style>
  <w:style w:type="paragraph" w:styleId="ae">
    <w:name w:val="Balloon Text"/>
    <w:basedOn w:val="a"/>
    <w:link w:val="af"/>
    <w:rsid w:val="00D00B1D"/>
    <w:rPr>
      <w:rFonts w:ascii="Tahoma" w:hAnsi="Tahoma" w:cs="Tahoma"/>
      <w:sz w:val="18"/>
      <w:szCs w:val="18"/>
    </w:rPr>
  </w:style>
  <w:style w:type="character" w:customStyle="1" w:styleId="af">
    <w:name w:val="טקסט בלונים תו"/>
    <w:basedOn w:val="a0"/>
    <w:link w:val="ae"/>
    <w:rsid w:val="00D00B1D"/>
    <w:rPr>
      <w:rFonts w:ascii="Tahoma" w:hAnsi="Tahoma" w:cs="Tahoma"/>
      <w:sz w:val="18"/>
      <w:szCs w:val="18"/>
    </w:rPr>
  </w:style>
  <w:style w:type="character" w:customStyle="1" w:styleId="a4">
    <w:name w:val="כותרת תחתונה תו"/>
    <w:basedOn w:val="a0"/>
    <w:link w:val="a3"/>
    <w:rsid w:val="00D512D4"/>
    <w:rPr>
      <w:rFonts w:cs="David"/>
      <w:szCs w:val="24"/>
    </w:rPr>
  </w:style>
  <w:style w:type="character" w:customStyle="1" w:styleId="a7">
    <w:name w:val="כותרת עליונה תו"/>
    <w:basedOn w:val="a0"/>
    <w:link w:val="a6"/>
    <w:rsid w:val="00D512D4"/>
    <w:rPr>
      <w:rFonts w:cs="David"/>
      <w:szCs w:val="24"/>
    </w:rPr>
  </w:style>
  <w:style w:type="paragraph" w:customStyle="1" w:styleId="Ruller4">
    <w:name w:val="Ruller 4 ממוספר"/>
    <w:basedOn w:val="Ruller41"/>
    <w:next w:val="Ruller41"/>
    <w:rsid w:val="00D512D4"/>
    <w:pPr>
      <w:numPr>
        <w:numId w:val="11"/>
      </w:numPr>
    </w:pPr>
    <w:rPr>
      <w:rFonts w:ascii="Garamond" w:hAnsi="Garamond"/>
      <w:sz w:val="24"/>
    </w:rPr>
  </w:style>
  <w:style w:type="paragraph" w:customStyle="1" w:styleId="Ruller40">
    <w:name w:val="Ruller4 אלפביתי"/>
    <w:basedOn w:val="Ruller41"/>
    <w:next w:val="Ruller41"/>
    <w:rsid w:val="00D512D4"/>
    <w:pPr>
      <w:numPr>
        <w:numId w:val="12"/>
      </w:numPr>
    </w:pPr>
  </w:style>
  <w:style w:type="character" w:customStyle="1" w:styleId="Ruller42">
    <w:name w:val="Ruller4 תו"/>
    <w:rsid w:val="00D512D4"/>
    <w:rPr>
      <w:rFonts w:ascii="Arial TUR" w:hAnsi="Arial TUR" w:cs="FrankRuehl"/>
      <w:spacing w:val="10"/>
      <w:sz w:val="22"/>
      <w:szCs w:val="28"/>
      <w:lang w:val="en-US" w:eastAsia="en-US" w:bidi="he-IL"/>
    </w:rPr>
  </w:style>
  <w:style w:type="character" w:customStyle="1" w:styleId="default">
    <w:name w:val="default"/>
    <w:basedOn w:val="a0"/>
    <w:rsid w:val="00D512D4"/>
  </w:style>
  <w:style w:type="character" w:customStyle="1" w:styleId="10">
    <w:name w:val="כותרת 1 תו"/>
    <w:basedOn w:val="a0"/>
    <w:link w:val="1"/>
    <w:rsid w:val="00C04DC8"/>
    <w:rPr>
      <w:rFonts w:ascii="Century" w:hAnsi="Century" w:cs="Miriam"/>
      <w:b/>
      <w:sz w:val="22"/>
      <w:szCs w:val="24"/>
    </w:rPr>
  </w:style>
  <w:style w:type="character" w:customStyle="1" w:styleId="20">
    <w:name w:val="כותרת 2 תו"/>
    <w:basedOn w:val="a0"/>
    <w:link w:val="2"/>
    <w:rsid w:val="00C04DC8"/>
    <w:rPr>
      <w:rFonts w:ascii="Century" w:hAnsi="Century" w:cs="Miriam"/>
      <w:b/>
      <w:sz w:val="22"/>
      <w:szCs w:val="24"/>
    </w:rPr>
  </w:style>
  <w:style w:type="character" w:customStyle="1" w:styleId="30">
    <w:name w:val="כותרת 3 תו"/>
    <w:basedOn w:val="a0"/>
    <w:link w:val="3"/>
    <w:rsid w:val="00C04DC8"/>
    <w:rPr>
      <w:rFonts w:ascii="Century" w:hAnsi="Century" w:cs="Miriam"/>
      <w:b/>
      <w:sz w:val="22"/>
      <w:szCs w:val="24"/>
    </w:rPr>
  </w:style>
  <w:style w:type="character" w:customStyle="1" w:styleId="40">
    <w:name w:val="כותרת 4 תו"/>
    <w:basedOn w:val="a0"/>
    <w:link w:val="4"/>
    <w:rsid w:val="00C04DC8"/>
    <w:rPr>
      <w:rFonts w:ascii="Century" w:hAnsi="Century" w:cs="Miriam"/>
      <w:b/>
      <w:sz w:val="22"/>
      <w:szCs w:val="24"/>
    </w:rPr>
  </w:style>
  <w:style w:type="character" w:customStyle="1" w:styleId="50">
    <w:name w:val="כותרת 5 תו"/>
    <w:basedOn w:val="a0"/>
    <w:link w:val="5"/>
    <w:rsid w:val="000067AF"/>
    <w:rPr>
      <w:rFonts w:ascii="Century" w:hAnsi="Century" w:cs="Miriam"/>
      <w:b/>
      <w:sz w:val="22"/>
      <w:szCs w:val="24"/>
    </w:rPr>
  </w:style>
  <w:style w:type="paragraph" w:styleId="af0">
    <w:name w:val="TOC Heading"/>
    <w:basedOn w:val="1"/>
    <w:next w:val="a"/>
    <w:uiPriority w:val="39"/>
    <w:unhideWhenUsed/>
    <w:qFormat/>
    <w:rsid w:val="00215D3B"/>
    <w:pPr>
      <w:keepNext/>
      <w:keepLines/>
      <w:tabs>
        <w:tab w:val="clear" w:pos="800"/>
      </w:tabs>
      <w:overflowPunct/>
      <w:autoSpaceDE/>
      <w:autoSpaceDN/>
      <w:adjustRightInd/>
      <w:spacing w:before="240" w:line="259" w:lineRule="auto"/>
      <w:jc w:val="left"/>
      <w:textAlignment w:val="auto"/>
      <w:outlineLvl w:val="9"/>
    </w:pPr>
    <w:rPr>
      <w:rFonts w:asciiTheme="majorHAnsi" w:eastAsiaTheme="majorEastAsia" w:hAnsiTheme="majorHAnsi" w:cstheme="majorBidi"/>
      <w:b w:val="0"/>
      <w:color w:val="2E74B5" w:themeColor="accent1" w:themeShade="BF"/>
      <w:sz w:val="32"/>
      <w:szCs w:val="32"/>
      <w:rtl/>
      <w:cs/>
    </w:rPr>
  </w:style>
  <w:style w:type="paragraph" w:styleId="TOC1">
    <w:name w:val="toc 1"/>
    <w:basedOn w:val="a"/>
    <w:next w:val="a"/>
    <w:autoRedefine/>
    <w:uiPriority w:val="39"/>
    <w:rsid w:val="00215D3B"/>
    <w:pPr>
      <w:spacing w:after="100"/>
    </w:pPr>
  </w:style>
  <w:style w:type="paragraph" w:styleId="TOC2">
    <w:name w:val="toc 2"/>
    <w:basedOn w:val="a"/>
    <w:next w:val="a"/>
    <w:autoRedefine/>
    <w:uiPriority w:val="39"/>
    <w:rsid w:val="00215D3B"/>
    <w:pPr>
      <w:spacing w:after="100"/>
      <w:ind w:left="200"/>
    </w:pPr>
  </w:style>
  <w:style w:type="paragraph" w:styleId="TOC3">
    <w:name w:val="toc 3"/>
    <w:basedOn w:val="a"/>
    <w:next w:val="a"/>
    <w:autoRedefine/>
    <w:uiPriority w:val="39"/>
    <w:rsid w:val="00215D3B"/>
    <w:pPr>
      <w:spacing w:after="100"/>
      <w:ind w:left="400"/>
    </w:pPr>
  </w:style>
  <w:style w:type="paragraph" w:styleId="TOC4">
    <w:name w:val="toc 4"/>
    <w:basedOn w:val="a"/>
    <w:next w:val="a"/>
    <w:autoRedefine/>
    <w:uiPriority w:val="39"/>
    <w:rsid w:val="00660E14"/>
    <w:pPr>
      <w:spacing w:after="100"/>
      <w:ind w:left="600"/>
    </w:pPr>
  </w:style>
  <w:style w:type="paragraph" w:styleId="TOC5">
    <w:name w:val="toc 5"/>
    <w:basedOn w:val="a"/>
    <w:next w:val="a"/>
    <w:autoRedefine/>
    <w:uiPriority w:val="39"/>
    <w:rsid w:val="00660E14"/>
    <w:pPr>
      <w:spacing w:after="100"/>
      <w:ind w:left="800"/>
    </w:pPr>
  </w:style>
  <w:style w:type="character" w:customStyle="1" w:styleId="60">
    <w:name w:val="כותרת 6 תו"/>
    <w:basedOn w:val="a0"/>
    <w:link w:val="6"/>
    <w:rsid w:val="000067AF"/>
    <w:rPr>
      <w:rFonts w:ascii="Century" w:hAnsi="Century" w:cs="Miriam"/>
      <w:b/>
      <w:sz w:val="22"/>
      <w:szCs w:val="24"/>
    </w:rPr>
  </w:style>
  <w:style w:type="paragraph" w:styleId="TOC6">
    <w:name w:val="toc 6"/>
    <w:basedOn w:val="a"/>
    <w:next w:val="a"/>
    <w:autoRedefine/>
    <w:uiPriority w:val="39"/>
    <w:rsid w:val="009C43F8"/>
    <w:pPr>
      <w:spacing w:after="100"/>
      <w:ind w:left="10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786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supreme.court.gov.il/"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DD42F-5852-4A28-BCCF-A1626047A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33345</Words>
  <Characters>166730</Characters>
  <Application>Microsoft Office Word</Application>
  <DocSecurity>4</DocSecurity>
  <Lines>1389</Lines>
  <Paragraphs>399</Paragraphs>
  <ScaleCrop>false</ScaleCrop>
  <HeadingPairs>
    <vt:vector size="2" baseType="variant">
      <vt:variant>
        <vt:lpstr>שם</vt:lpstr>
      </vt:variant>
      <vt:variant>
        <vt:i4>1</vt:i4>
      </vt:variant>
    </vt:vector>
  </HeadingPairs>
  <TitlesOfParts>
    <vt:vector size="1" baseType="lpstr">
      <vt:lpstr>פסק-דין בתיק ע"א  993/19</vt:lpstr>
    </vt:vector>
  </TitlesOfParts>
  <Company>supreme court of israel</Company>
  <LinksUpToDate>false</LinksUpToDate>
  <CharactersWithSpaces>199676</CharactersWithSpaces>
  <SharedDoc>false</SharedDoc>
  <HLinks>
    <vt:vector size="6" baseType="variant">
      <vt:variant>
        <vt:i4>1966158</vt:i4>
      </vt:variant>
      <vt:variant>
        <vt:i4>12</vt:i4>
      </vt:variant>
      <vt:variant>
        <vt:i4>0</vt:i4>
      </vt:variant>
      <vt:variant>
        <vt:i4>5</vt:i4>
      </vt:variant>
      <vt:variant>
        <vt:lpwstr>http://www.court.gov.il/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פסק-דין בתיק ע"א  993/19</dc:title>
  <dc:subject/>
  <dc:creator>Administrator</dc:creator>
  <cp:keywords/>
  <dc:description/>
  <cp:lastModifiedBy>הדס לרנר</cp:lastModifiedBy>
  <cp:revision>2</cp:revision>
  <cp:lastPrinted>2022-07-05T09:24:00Z</cp:lastPrinted>
  <dcterms:created xsi:type="dcterms:W3CDTF">2022-07-05T09:58:00Z</dcterms:created>
  <dcterms:modified xsi:type="dcterms:W3CDTF">2022-07-05T09:58:00Z</dcterms:modified>
</cp:coreProperties>
</file>