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68A" w:rsidRPr="00CF489C" w:rsidRDefault="0080668A" w:rsidP="00CF489C">
      <w:pPr>
        <w:tabs>
          <w:tab w:val="left" w:pos="800"/>
        </w:tabs>
        <w:jc w:val="center"/>
        <w:rPr>
          <w:rFonts w:ascii="Arial TUR" w:hAnsi="Arial TUR" w:cs="David"/>
          <w:b/>
          <w:bCs/>
          <w:color w:val="000080"/>
          <w:sz w:val="28"/>
          <w:szCs w:val="32"/>
          <w:rtl/>
        </w:rPr>
      </w:pPr>
      <w:r w:rsidRPr="008110BA">
        <w:rPr>
          <w:rFonts w:ascii="Arial TUR" w:hAnsi="Arial TUR" w:cs="David" w:hint="cs"/>
          <w:b/>
          <w:bCs/>
          <w:color w:val="000080"/>
          <w:sz w:val="28"/>
          <w:szCs w:val="32"/>
          <w:rtl/>
        </w:rPr>
        <w:t>בית המשפט העליון</w:t>
      </w:r>
    </w:p>
    <w:p w:rsidR="00356A9D" w:rsidRPr="00356A9D" w:rsidRDefault="00356A9D" w:rsidP="00356A9D">
      <w:pPr>
        <w:pStyle w:val="Ruller41"/>
        <w:jc w:val="center"/>
        <w:rPr>
          <w:rFonts w:ascii="Century" w:hAnsi="Century"/>
          <w:b/>
          <w:bCs/>
          <w:u w:val="single"/>
          <w:rtl/>
        </w:rPr>
      </w:pPr>
      <w:r w:rsidRPr="00356A9D">
        <w:rPr>
          <w:rFonts w:ascii="Century" w:hAnsi="Century" w:hint="cs"/>
          <w:b/>
          <w:bCs/>
          <w:u w:val="single"/>
          <w:rtl/>
        </w:rPr>
        <w:t xml:space="preserve">ע"א 993/19 פלוני נ' מדינת ישראל </w:t>
      </w:r>
      <w:r w:rsidRPr="00356A9D">
        <w:rPr>
          <w:rFonts w:ascii="Century" w:hAnsi="Century"/>
          <w:b/>
          <w:bCs/>
          <w:u w:val="single"/>
          <w:rtl/>
        </w:rPr>
        <w:t>–</w:t>
      </w:r>
      <w:r w:rsidRPr="00356A9D">
        <w:rPr>
          <w:rFonts w:ascii="Century" w:hAnsi="Century" w:hint="cs"/>
          <w:b/>
          <w:bCs/>
          <w:u w:val="single"/>
          <w:rtl/>
        </w:rPr>
        <w:t xml:space="preserve"> משרד הביטחון </w:t>
      </w:r>
    </w:p>
    <w:p w:rsidR="00356A9D" w:rsidRDefault="00356A9D" w:rsidP="00356A9D">
      <w:pPr>
        <w:pStyle w:val="Ruller41"/>
        <w:rPr>
          <w:rtl/>
        </w:rPr>
      </w:pPr>
    </w:p>
    <w:p w:rsidR="00356A9D" w:rsidRDefault="00356A9D" w:rsidP="00063435">
      <w:pPr>
        <w:pStyle w:val="Ruller41"/>
        <w:rPr>
          <w:rtl/>
        </w:rPr>
      </w:pPr>
      <w:r w:rsidRPr="00356A9D">
        <w:rPr>
          <w:b/>
          <w:bCs/>
          <w:u w:val="single"/>
          <w:rtl/>
        </w:rPr>
        <w:t>תאריך מתן פסק הדין</w:t>
      </w:r>
      <w:r>
        <w:rPr>
          <w:rtl/>
        </w:rPr>
        <w:t xml:space="preserve">: </w:t>
      </w:r>
      <w:r w:rsidR="00063435">
        <w:rPr>
          <w:rFonts w:hint="cs"/>
          <w:rtl/>
        </w:rPr>
        <w:t>ו</w:t>
      </w:r>
      <w:r>
        <w:rPr>
          <w:rtl/>
        </w:rPr>
        <w:t xml:space="preserve">' בתמוז </w:t>
      </w:r>
      <w:proofErr w:type="spellStart"/>
      <w:r>
        <w:rPr>
          <w:rtl/>
        </w:rPr>
        <w:t>התשפ"ב</w:t>
      </w:r>
      <w:proofErr w:type="spellEnd"/>
      <w:r>
        <w:rPr>
          <w:rtl/>
        </w:rPr>
        <w:t xml:space="preserve"> (</w:t>
      </w:r>
      <w:r w:rsidR="00063435">
        <w:rPr>
          <w:rFonts w:hint="cs"/>
          <w:rtl/>
        </w:rPr>
        <w:t>5</w:t>
      </w:r>
      <w:r w:rsidR="009A6089">
        <w:rPr>
          <w:rFonts w:hint="cs"/>
          <w:rtl/>
        </w:rPr>
        <w:t>.7.2022)</w:t>
      </w:r>
      <w:r>
        <w:t xml:space="preserve"> </w:t>
      </w:r>
    </w:p>
    <w:p w:rsidR="00356A9D" w:rsidRDefault="00356A9D" w:rsidP="00356A9D">
      <w:pPr>
        <w:pStyle w:val="Ruller41"/>
        <w:rPr>
          <w:rtl/>
        </w:rPr>
      </w:pPr>
    </w:p>
    <w:p w:rsidR="00356A9D" w:rsidRPr="002D6AB3" w:rsidRDefault="00356A9D" w:rsidP="00356A9D">
      <w:pPr>
        <w:pStyle w:val="Ruller41"/>
        <w:rPr>
          <w:rtl/>
        </w:rPr>
      </w:pPr>
      <w:r w:rsidRPr="002D6AB3">
        <w:rPr>
          <w:b/>
          <w:bCs/>
          <w:u w:val="single"/>
          <w:rtl/>
        </w:rPr>
        <w:t>הרכב השופטים</w:t>
      </w:r>
      <w:r w:rsidRPr="002D6AB3">
        <w:rPr>
          <w:rtl/>
        </w:rPr>
        <w:t>: ה</w:t>
      </w:r>
      <w:r w:rsidRPr="002D6AB3">
        <w:rPr>
          <w:rFonts w:hint="cs"/>
          <w:rtl/>
        </w:rPr>
        <w:t>משנה ל</w:t>
      </w:r>
      <w:r w:rsidRPr="002D6AB3">
        <w:rPr>
          <w:rtl/>
        </w:rPr>
        <w:t xml:space="preserve">נשיאה </w:t>
      </w:r>
      <w:r w:rsidRPr="002D6AB3">
        <w:rPr>
          <w:rFonts w:hint="cs"/>
          <w:rtl/>
        </w:rPr>
        <w:t>(</w:t>
      </w:r>
      <w:proofErr w:type="spellStart"/>
      <w:r w:rsidRPr="002D6AB3">
        <w:rPr>
          <w:rFonts w:hint="cs"/>
          <w:rtl/>
        </w:rPr>
        <w:t>בדימ</w:t>
      </w:r>
      <w:proofErr w:type="spellEnd"/>
      <w:r w:rsidRPr="002D6AB3">
        <w:rPr>
          <w:rFonts w:hint="cs"/>
          <w:rtl/>
        </w:rPr>
        <w:t>') נ</w:t>
      </w:r>
      <w:r w:rsidRPr="002D6AB3">
        <w:rPr>
          <w:rtl/>
        </w:rPr>
        <w:t xml:space="preserve">' </w:t>
      </w:r>
      <w:r w:rsidRPr="002D6AB3">
        <w:rPr>
          <w:rFonts w:hint="cs"/>
          <w:rtl/>
        </w:rPr>
        <w:t>הנדל</w:t>
      </w:r>
      <w:r w:rsidRPr="002D6AB3">
        <w:rPr>
          <w:rtl/>
        </w:rPr>
        <w:t>, ה</w:t>
      </w:r>
      <w:r w:rsidRPr="002D6AB3">
        <w:rPr>
          <w:rFonts w:hint="cs"/>
          <w:rtl/>
        </w:rPr>
        <w:t xml:space="preserve">שופט נ' </w:t>
      </w:r>
      <w:proofErr w:type="spellStart"/>
      <w:r w:rsidRPr="002D6AB3">
        <w:rPr>
          <w:rFonts w:hint="cs"/>
          <w:rtl/>
        </w:rPr>
        <w:t>סולברג</w:t>
      </w:r>
      <w:proofErr w:type="spellEnd"/>
      <w:r w:rsidRPr="002D6AB3">
        <w:rPr>
          <w:rFonts w:hint="cs"/>
          <w:rtl/>
        </w:rPr>
        <w:t xml:space="preserve"> והשופט ע' גרוסקופף</w:t>
      </w:r>
      <w:r w:rsidRPr="002D6AB3">
        <w:t>.</w:t>
      </w:r>
    </w:p>
    <w:p w:rsidR="00356A9D" w:rsidRPr="00356A9D" w:rsidRDefault="00356A9D" w:rsidP="00356A9D">
      <w:pPr>
        <w:pStyle w:val="Ruller41"/>
        <w:rPr>
          <w:rtl/>
        </w:rPr>
      </w:pPr>
    </w:p>
    <w:p w:rsidR="00356A9D" w:rsidRDefault="00356A9D" w:rsidP="001D0F2B">
      <w:pPr>
        <w:pStyle w:val="Ruller41"/>
        <w:rPr>
          <w:rtl/>
        </w:rPr>
      </w:pPr>
      <w:r>
        <w:rPr>
          <w:rtl/>
        </w:rPr>
        <w:tab/>
      </w:r>
      <w:bookmarkStart w:id="0" w:name="_GoBack"/>
      <w:r w:rsidR="00E21912">
        <w:rPr>
          <w:rFonts w:hint="cs"/>
          <w:rtl/>
        </w:rPr>
        <w:t>עניינו של פסק הדין</w:t>
      </w:r>
      <w:r>
        <w:rPr>
          <w:rFonts w:hint="cs"/>
          <w:rtl/>
        </w:rPr>
        <w:t xml:space="preserve"> בשאלת </w:t>
      </w:r>
      <w:proofErr w:type="spellStart"/>
      <w:r>
        <w:rPr>
          <w:rFonts w:hint="cs"/>
          <w:rtl/>
        </w:rPr>
        <w:t>חוקתיותו</w:t>
      </w:r>
      <w:proofErr w:type="spellEnd"/>
      <w:r>
        <w:rPr>
          <w:rFonts w:hint="cs"/>
          <w:rtl/>
        </w:rPr>
        <w:t xml:space="preserve"> של ההסדר הפוטר את המדינה מאחריות נזיקית, על נזקים הנגרמים על-ידה לתושבי רצועת עזה. </w:t>
      </w:r>
      <w:r w:rsidR="00614DE1" w:rsidRPr="00614DE1">
        <w:rPr>
          <w:rFonts w:hint="eastAsia"/>
          <w:rtl/>
        </w:rPr>
        <w:t>הערעור</w:t>
      </w:r>
      <w:r w:rsidR="00614DE1" w:rsidRPr="00614DE1">
        <w:rPr>
          <w:rtl/>
        </w:rPr>
        <w:t xml:space="preserve"> </w:t>
      </w:r>
      <w:r w:rsidR="00614DE1" w:rsidRPr="00614DE1">
        <w:rPr>
          <w:rFonts w:hint="eastAsia"/>
          <w:rtl/>
        </w:rPr>
        <w:t>נדחה</w:t>
      </w:r>
      <w:r w:rsidR="00614DE1" w:rsidRPr="00614DE1">
        <w:rPr>
          <w:rtl/>
        </w:rPr>
        <w:t xml:space="preserve">, </w:t>
      </w:r>
      <w:r w:rsidR="00614DE1" w:rsidRPr="00614DE1">
        <w:rPr>
          <w:rFonts w:hint="eastAsia"/>
          <w:rtl/>
        </w:rPr>
        <w:t>תוך</w:t>
      </w:r>
      <w:r w:rsidR="00614DE1" w:rsidRPr="00614DE1">
        <w:rPr>
          <w:rtl/>
        </w:rPr>
        <w:t xml:space="preserve"> </w:t>
      </w:r>
      <w:r w:rsidR="00614DE1" w:rsidRPr="00614DE1">
        <w:rPr>
          <w:rFonts w:hint="eastAsia"/>
          <w:rtl/>
        </w:rPr>
        <w:t>שנקבע</w:t>
      </w:r>
      <w:r w:rsidR="00614DE1" w:rsidRPr="00614DE1">
        <w:rPr>
          <w:rtl/>
        </w:rPr>
        <w:t xml:space="preserve"> </w:t>
      </w:r>
      <w:r w:rsidR="00614DE1" w:rsidRPr="00614DE1">
        <w:rPr>
          <w:rFonts w:hint="eastAsia"/>
          <w:rtl/>
        </w:rPr>
        <w:t>כי</w:t>
      </w:r>
      <w:r w:rsidR="00614DE1" w:rsidRPr="00614DE1">
        <w:rPr>
          <w:rtl/>
        </w:rPr>
        <w:t xml:space="preserve"> </w:t>
      </w:r>
      <w:r w:rsidR="00614DE1" w:rsidRPr="00614DE1">
        <w:rPr>
          <w:rFonts w:hint="eastAsia"/>
          <w:rtl/>
        </w:rPr>
        <w:t>ההסדר</w:t>
      </w:r>
      <w:r w:rsidR="00614DE1" w:rsidRPr="00614DE1">
        <w:rPr>
          <w:rtl/>
        </w:rPr>
        <w:t xml:space="preserve"> </w:t>
      </w:r>
      <w:r w:rsidR="00614DE1" w:rsidRPr="00614DE1">
        <w:rPr>
          <w:rFonts w:hint="eastAsia"/>
          <w:rtl/>
        </w:rPr>
        <w:t>הפוטר</w:t>
      </w:r>
      <w:r w:rsidR="00614DE1" w:rsidRPr="00614DE1">
        <w:rPr>
          <w:rtl/>
        </w:rPr>
        <w:t xml:space="preserve"> </w:t>
      </w:r>
      <w:r w:rsidR="00614DE1" w:rsidRPr="00614DE1">
        <w:rPr>
          <w:rFonts w:hint="eastAsia"/>
          <w:rtl/>
        </w:rPr>
        <w:t>את</w:t>
      </w:r>
      <w:r w:rsidR="00614DE1" w:rsidRPr="00614DE1">
        <w:rPr>
          <w:rtl/>
        </w:rPr>
        <w:t xml:space="preserve"> </w:t>
      </w:r>
      <w:r w:rsidR="00614DE1" w:rsidRPr="00614DE1">
        <w:rPr>
          <w:rFonts w:hint="eastAsia"/>
          <w:rtl/>
        </w:rPr>
        <w:t>המדינה</w:t>
      </w:r>
      <w:r w:rsidR="00614DE1" w:rsidRPr="00614DE1">
        <w:rPr>
          <w:rtl/>
        </w:rPr>
        <w:t xml:space="preserve"> </w:t>
      </w:r>
      <w:r w:rsidR="00614DE1" w:rsidRPr="00614DE1">
        <w:rPr>
          <w:rFonts w:hint="eastAsia"/>
          <w:rtl/>
        </w:rPr>
        <w:t>מאחריות</w:t>
      </w:r>
      <w:r w:rsidR="00614DE1" w:rsidRPr="00614DE1">
        <w:rPr>
          <w:rtl/>
        </w:rPr>
        <w:t xml:space="preserve"> </w:t>
      </w:r>
      <w:r w:rsidR="00614DE1" w:rsidRPr="00614DE1">
        <w:rPr>
          <w:rFonts w:hint="eastAsia"/>
          <w:rtl/>
        </w:rPr>
        <w:t>נזיקית</w:t>
      </w:r>
      <w:r w:rsidR="00614DE1" w:rsidRPr="00614DE1">
        <w:rPr>
          <w:rtl/>
        </w:rPr>
        <w:t xml:space="preserve"> </w:t>
      </w:r>
      <w:r w:rsidR="00614DE1" w:rsidRPr="00614DE1">
        <w:rPr>
          <w:rFonts w:hint="eastAsia"/>
          <w:rtl/>
        </w:rPr>
        <w:t>כלפי</w:t>
      </w:r>
      <w:r w:rsidR="00614DE1" w:rsidRPr="00614DE1">
        <w:rPr>
          <w:rtl/>
        </w:rPr>
        <w:t xml:space="preserve"> </w:t>
      </w:r>
      <w:r w:rsidR="00614DE1" w:rsidRPr="00614DE1">
        <w:rPr>
          <w:rFonts w:hint="eastAsia"/>
          <w:rtl/>
        </w:rPr>
        <w:t>תושבי</w:t>
      </w:r>
      <w:r w:rsidR="00614DE1" w:rsidRPr="00614DE1">
        <w:rPr>
          <w:rtl/>
        </w:rPr>
        <w:t xml:space="preserve"> </w:t>
      </w:r>
      <w:r w:rsidR="00614DE1" w:rsidRPr="00614DE1">
        <w:rPr>
          <w:rFonts w:hint="eastAsia"/>
          <w:rtl/>
        </w:rPr>
        <w:t>רצועת</w:t>
      </w:r>
      <w:r w:rsidR="00614DE1" w:rsidRPr="00614DE1">
        <w:rPr>
          <w:rtl/>
        </w:rPr>
        <w:t xml:space="preserve"> </w:t>
      </w:r>
      <w:r w:rsidR="00614DE1" w:rsidRPr="00614DE1">
        <w:rPr>
          <w:rFonts w:hint="eastAsia"/>
          <w:rtl/>
        </w:rPr>
        <w:t>עזה</w:t>
      </w:r>
      <w:r w:rsidR="00614DE1" w:rsidRPr="00614DE1">
        <w:rPr>
          <w:rtl/>
        </w:rPr>
        <w:t xml:space="preserve"> </w:t>
      </w:r>
      <w:r w:rsidR="00614DE1" w:rsidRPr="00614DE1">
        <w:rPr>
          <w:rFonts w:hint="eastAsia"/>
          <w:rtl/>
        </w:rPr>
        <w:t>הוא</w:t>
      </w:r>
      <w:r w:rsidR="00614DE1" w:rsidRPr="00614DE1">
        <w:rPr>
          <w:rtl/>
        </w:rPr>
        <w:t xml:space="preserve"> </w:t>
      </w:r>
      <w:r w:rsidR="00614DE1" w:rsidRPr="00614DE1">
        <w:rPr>
          <w:rFonts w:hint="eastAsia"/>
          <w:rtl/>
        </w:rPr>
        <w:t>חוקתי</w:t>
      </w:r>
      <w:r w:rsidR="001D0F2B">
        <w:rPr>
          <w:rFonts w:hint="cs"/>
          <w:rtl/>
        </w:rPr>
        <w:t xml:space="preserve"> בעניין הנדון</w:t>
      </w:r>
      <w:r w:rsidR="00614DE1" w:rsidRPr="00614DE1">
        <w:rPr>
          <w:rtl/>
        </w:rPr>
        <w:t>.</w:t>
      </w:r>
      <w:bookmarkEnd w:id="0"/>
    </w:p>
    <w:p w:rsidR="00356A9D" w:rsidRDefault="00356A9D" w:rsidP="00356A9D">
      <w:pPr>
        <w:pStyle w:val="Ruller41"/>
        <w:rPr>
          <w:rtl/>
        </w:rPr>
      </w:pPr>
    </w:p>
    <w:p w:rsidR="00356A9D" w:rsidRDefault="00356A9D" w:rsidP="008112D7">
      <w:pPr>
        <w:pStyle w:val="Ruller41"/>
        <w:rPr>
          <w:rtl/>
        </w:rPr>
      </w:pPr>
      <w:r>
        <w:rPr>
          <w:rtl/>
        </w:rPr>
        <w:tab/>
      </w:r>
      <w:r>
        <w:rPr>
          <w:rFonts w:hint="cs"/>
          <w:rtl/>
        </w:rPr>
        <w:t xml:space="preserve">המערער הגיש תביעת נזיקין לבית המשפט המחוזי בבאר שבע, </w:t>
      </w:r>
      <w:r w:rsidR="00B72AC1">
        <w:rPr>
          <w:rFonts w:hint="cs"/>
          <w:rtl/>
        </w:rPr>
        <w:t>בטענה</w:t>
      </w:r>
      <w:r>
        <w:rPr>
          <w:rFonts w:hint="cs"/>
          <w:rtl/>
        </w:rPr>
        <w:t xml:space="preserve"> כי נפגע מירי צה"ל, בעת ששהה סמוך לגדר המערכת שבין ישראל לרצועת עזה. המדינה הגישה בקשה לסילוק התביעה על הסף, נוכח האמור בסעיף 5ב(א)(1) לחוק </w:t>
      </w:r>
      <w:proofErr w:type="spellStart"/>
      <w:r>
        <w:rPr>
          <w:rFonts w:hint="cs"/>
          <w:rtl/>
        </w:rPr>
        <w:t>הנזיקים</w:t>
      </w:r>
      <w:proofErr w:type="spellEnd"/>
      <w:r>
        <w:rPr>
          <w:rFonts w:hint="cs"/>
          <w:rtl/>
        </w:rPr>
        <w:t xml:space="preserve"> האזרחיים (אחריות המדינה), התשי"ב-1952, </w:t>
      </w:r>
      <w:r w:rsidR="00B72AC1">
        <w:rPr>
          <w:rFonts w:hint="cs"/>
          <w:rtl/>
        </w:rPr>
        <w:t>על כך ש</w:t>
      </w:r>
      <w:r>
        <w:rPr>
          <w:rFonts w:hint="cs"/>
          <w:rtl/>
        </w:rPr>
        <w:t xml:space="preserve">המדינה אינה אחראית </w:t>
      </w:r>
      <w:proofErr w:type="spellStart"/>
      <w:r>
        <w:rPr>
          <w:rFonts w:hint="cs"/>
          <w:rtl/>
        </w:rPr>
        <w:t>בנזיקין</w:t>
      </w:r>
      <w:proofErr w:type="spellEnd"/>
      <w:r>
        <w:rPr>
          <w:rFonts w:hint="cs"/>
          <w:rtl/>
        </w:rPr>
        <w:t xml:space="preserve"> לנזק שנגרם </w:t>
      </w:r>
      <w:r w:rsidR="00B72AC1">
        <w:rPr>
          <w:rFonts w:hint="cs"/>
          <w:rtl/>
        </w:rPr>
        <w:t>ל</w:t>
      </w:r>
      <w:r w:rsidRPr="00ED46A5">
        <w:rPr>
          <w:rFonts w:ascii="Century" w:hAnsi="Century" w:cs="Miriam" w:hint="cs"/>
          <w:b/>
          <w:spacing w:val="0"/>
          <w:szCs w:val="24"/>
          <w:rtl/>
        </w:rPr>
        <w:t>"תושב שטח שמחוץ לישראל שהממשלה הכריזה עליו, בצו, כשטח אויב"</w:t>
      </w:r>
      <w:r>
        <w:rPr>
          <w:rFonts w:hint="cs"/>
          <w:rtl/>
        </w:rPr>
        <w:t xml:space="preserve">, ובהינתן צו </w:t>
      </w:r>
      <w:proofErr w:type="spellStart"/>
      <w:r>
        <w:rPr>
          <w:rFonts w:hint="cs"/>
          <w:rtl/>
        </w:rPr>
        <w:t>הנזיקים</w:t>
      </w:r>
      <w:proofErr w:type="spellEnd"/>
      <w:r>
        <w:rPr>
          <w:rFonts w:hint="cs"/>
          <w:rtl/>
        </w:rPr>
        <w:t xml:space="preserve"> האזרחיים (אחריות המדינה) (הכרזה על שטח אויב</w:t>
      </w:r>
      <w:r w:rsidR="009A6089">
        <w:rPr>
          <w:rFonts w:hint="cs"/>
          <w:rtl/>
        </w:rPr>
        <w:t xml:space="preserve"> </w:t>
      </w:r>
      <w:r w:rsidR="009A6089">
        <w:rPr>
          <w:rtl/>
        </w:rPr>
        <w:t>–</w:t>
      </w:r>
      <w:r w:rsidR="009A6089">
        <w:rPr>
          <w:rFonts w:hint="cs"/>
          <w:rtl/>
        </w:rPr>
        <w:t xml:space="preserve"> </w:t>
      </w:r>
      <w:r>
        <w:rPr>
          <w:rFonts w:hint="cs"/>
          <w:rtl/>
        </w:rPr>
        <w:t>רצועת עזה), התשע"ה-2014, שעל-פיו הכריזה הממשלה על רצועת עזה כעל 'שטח אויב'. המערער התנגד לסילוק התביעה, וטען</w:t>
      </w:r>
      <w:r w:rsidR="00E21912">
        <w:rPr>
          <w:rFonts w:hint="cs"/>
          <w:rtl/>
        </w:rPr>
        <w:t xml:space="preserve"> </w:t>
      </w:r>
      <w:r>
        <w:rPr>
          <w:rFonts w:hint="cs"/>
          <w:rtl/>
        </w:rPr>
        <w:t xml:space="preserve">כי ההסדר המעוגן בחוק </w:t>
      </w:r>
      <w:r>
        <w:rPr>
          <w:rtl/>
        </w:rPr>
        <w:t>–</w:t>
      </w:r>
      <w:r>
        <w:rPr>
          <w:rFonts w:hint="cs"/>
          <w:rtl/>
        </w:rPr>
        <w:t xml:space="preserve"> איננו חוקתי. בית המשפט המחוזי </w:t>
      </w:r>
      <w:r w:rsidR="00E21912">
        <w:rPr>
          <w:rFonts w:hint="cs"/>
          <w:rtl/>
        </w:rPr>
        <w:t>נעתר</w:t>
      </w:r>
      <w:r>
        <w:rPr>
          <w:rFonts w:hint="cs"/>
          <w:rtl/>
        </w:rPr>
        <w:t xml:space="preserve"> </w:t>
      </w:r>
      <w:r w:rsidR="00E21912">
        <w:rPr>
          <w:rFonts w:hint="cs"/>
          <w:rtl/>
        </w:rPr>
        <w:t>ל</w:t>
      </w:r>
      <w:r>
        <w:rPr>
          <w:rFonts w:hint="cs"/>
          <w:rtl/>
        </w:rPr>
        <w:t xml:space="preserve">בקשת המדינה, הורה על סילוק התביעה על הסף, ובתוך כך גם דחה את טענת המערער לאי-חוקתיות ההסדר. </w:t>
      </w:r>
    </w:p>
    <w:p w:rsidR="00356A9D" w:rsidRDefault="00356A9D" w:rsidP="00356A9D">
      <w:pPr>
        <w:pStyle w:val="Ruller41"/>
        <w:rPr>
          <w:rtl/>
        </w:rPr>
      </w:pPr>
    </w:p>
    <w:p w:rsidR="00356A9D" w:rsidRDefault="00356A9D" w:rsidP="00012332">
      <w:pPr>
        <w:pStyle w:val="Ruller41"/>
        <w:rPr>
          <w:rtl/>
        </w:rPr>
      </w:pPr>
      <w:r>
        <w:rPr>
          <w:rtl/>
        </w:rPr>
        <w:tab/>
      </w:r>
      <w:r>
        <w:rPr>
          <w:rFonts w:hint="cs"/>
          <w:rtl/>
        </w:rPr>
        <w:t xml:space="preserve">השופט </w:t>
      </w:r>
      <w:r w:rsidR="009A6089" w:rsidRPr="00C03BC7">
        <w:rPr>
          <w:rFonts w:hint="cs"/>
          <w:rtl/>
        </w:rPr>
        <w:t>נ</w:t>
      </w:r>
      <w:r w:rsidRPr="00C03BC7">
        <w:rPr>
          <w:rFonts w:hint="cs"/>
          <w:rtl/>
        </w:rPr>
        <w:t xml:space="preserve">עם </w:t>
      </w:r>
      <w:proofErr w:type="spellStart"/>
      <w:r w:rsidRPr="00C03BC7">
        <w:rPr>
          <w:rFonts w:hint="cs"/>
          <w:rtl/>
        </w:rPr>
        <w:t>סולברג</w:t>
      </w:r>
      <w:proofErr w:type="spellEnd"/>
      <w:r w:rsidR="00050D6A">
        <w:rPr>
          <w:rFonts w:hint="cs"/>
          <w:rtl/>
        </w:rPr>
        <w:t xml:space="preserve">, שכתב את פסק הדין המרכזי, </w:t>
      </w:r>
      <w:r>
        <w:rPr>
          <w:rFonts w:hint="cs"/>
          <w:rtl/>
        </w:rPr>
        <w:t>דחה את הערעור</w:t>
      </w:r>
      <w:r w:rsidR="00C03BC7">
        <w:rPr>
          <w:rFonts w:hint="cs"/>
          <w:rtl/>
        </w:rPr>
        <w:t>, ואל מסקנתו הצטרפו המשנה לנשיאה (בדימוס) ניל הנדל והשופט עופר גרוסקופף</w:t>
      </w:r>
      <w:r>
        <w:rPr>
          <w:rFonts w:hint="cs"/>
          <w:rtl/>
        </w:rPr>
        <w:t xml:space="preserve">. תחילה, סקר </w:t>
      </w:r>
      <w:r w:rsidR="00C03BC7">
        <w:rPr>
          <w:rFonts w:hint="cs"/>
          <w:rtl/>
        </w:rPr>
        <w:t xml:space="preserve">השופט </w:t>
      </w:r>
      <w:proofErr w:type="spellStart"/>
      <w:r w:rsidR="00C03BC7">
        <w:rPr>
          <w:rFonts w:hint="cs"/>
          <w:rtl/>
        </w:rPr>
        <w:t>סולברג</w:t>
      </w:r>
      <w:proofErr w:type="spellEnd"/>
      <w:r w:rsidR="00C03BC7">
        <w:rPr>
          <w:rFonts w:hint="cs"/>
          <w:rtl/>
        </w:rPr>
        <w:t xml:space="preserve"> </w:t>
      </w:r>
      <w:r>
        <w:rPr>
          <w:rFonts w:hint="cs"/>
          <w:rtl/>
        </w:rPr>
        <w:t xml:space="preserve">את </w:t>
      </w:r>
      <w:r>
        <w:rPr>
          <w:rFonts w:hint="cs"/>
          <w:rtl/>
        </w:rPr>
        <w:lastRenderedPageBreak/>
        <w:t xml:space="preserve">הרקע העובדתי אשר הביא לחקיקת הסדר זה, הפוטר את המדינה מאחריות נזיקית בגין 'נזקי מלחמה', על גלגוליו השונים, ואת התיקונים שנעשו בו </w:t>
      </w:r>
      <w:r w:rsidR="00B72AC1">
        <w:rPr>
          <w:rFonts w:hint="cs"/>
          <w:rtl/>
        </w:rPr>
        <w:t>במהל</w:t>
      </w:r>
      <w:r>
        <w:rPr>
          <w:rFonts w:hint="cs"/>
          <w:rtl/>
        </w:rPr>
        <w:t>ך השנים. לאחר מכן, בחן את האפשרות להפעיל ביקורת שיפוטית-חוקתית 'עקיפה' על חוק ראשי של הכנסת,</w:t>
      </w:r>
      <w:r w:rsidRPr="00E24DE7">
        <w:rPr>
          <w:rFonts w:hint="cs"/>
          <w:rtl/>
        </w:rPr>
        <w:t xml:space="preserve"> </w:t>
      </w:r>
      <w:r>
        <w:rPr>
          <w:rFonts w:hint="cs"/>
          <w:rtl/>
        </w:rPr>
        <w:t xml:space="preserve">אגב תביעה אזרחית, ולא במישרין, </w:t>
      </w:r>
      <w:r w:rsidR="00B72AC1">
        <w:rPr>
          <w:rFonts w:hint="cs"/>
          <w:rtl/>
        </w:rPr>
        <w:t>ב</w:t>
      </w:r>
      <w:r>
        <w:rPr>
          <w:rFonts w:hint="cs"/>
          <w:rtl/>
        </w:rPr>
        <w:t xml:space="preserve">עתירה לבית המשפט הגבוה לצדק. נקבע, כי חרף הנטייה לצמצם ביקורת שיפוטית בדרך זו, הרי שבמקרה הנדון היה מקום לאפשר זאת. לאחר מכן, פנה השופט </w:t>
      </w:r>
      <w:proofErr w:type="spellStart"/>
      <w:r w:rsidRPr="009A6089">
        <w:rPr>
          <w:rFonts w:hint="cs"/>
          <w:rtl/>
        </w:rPr>
        <w:t>סולברג</w:t>
      </w:r>
      <w:proofErr w:type="spellEnd"/>
      <w:r w:rsidRPr="002C1476">
        <w:rPr>
          <w:rFonts w:hint="cs"/>
          <w:rtl/>
        </w:rPr>
        <w:t xml:space="preserve"> </w:t>
      </w:r>
      <w:r>
        <w:rPr>
          <w:rFonts w:hint="cs"/>
          <w:rtl/>
        </w:rPr>
        <w:t xml:space="preserve">לניתוח החוקתי. כמקובל, בשלב ראשון בחן אם אכן קמה פגיעה בזכות חוקתית, ולעניין זה קבע, כי ההסדר החוקי אינו סותר את הדין הבינלאומי, ואף עולה בקנה אחד עם הפרקטיקה המקובלת בשיטות משפט מקבילות בעולם. עוד </w:t>
      </w:r>
      <w:r w:rsidR="00B72AC1">
        <w:rPr>
          <w:rFonts w:hint="cs"/>
          <w:rtl/>
        </w:rPr>
        <w:t>נ</w:t>
      </w:r>
      <w:r>
        <w:rPr>
          <w:rFonts w:hint="cs"/>
          <w:rtl/>
        </w:rPr>
        <w:t xml:space="preserve">קבע, כי אף אם </w:t>
      </w:r>
      <w:proofErr w:type="spellStart"/>
      <w:r>
        <w:rPr>
          <w:rFonts w:hint="cs"/>
          <w:rtl/>
        </w:rPr>
        <w:t>היתה</w:t>
      </w:r>
      <w:proofErr w:type="spellEnd"/>
      <w:r>
        <w:rPr>
          <w:rFonts w:hint="cs"/>
          <w:rtl/>
        </w:rPr>
        <w:t xml:space="preserve"> נמצאת סתירה שכזו, אין בכך כדי להביא לביטול ההסדר, שכן חקיקה ראשית ומפורשת של הכנסת, יש בכוחה לגבור על כללי המשפט הבינלאומי. לצד זאת נקבע, כי ההסדר החוקי, החוסם את דרכם של תושבי עזה מהגשת תביעות נזיקיות נגד מדינת ישראל, אכן פוגע </w:t>
      </w:r>
      <w:r w:rsidR="00012332">
        <w:rPr>
          <w:rFonts w:hint="cs"/>
          <w:rtl/>
        </w:rPr>
        <w:t>ב</w:t>
      </w:r>
      <w:r>
        <w:rPr>
          <w:rFonts w:hint="cs"/>
          <w:rtl/>
        </w:rPr>
        <w:t xml:space="preserve">זכויות-יסוד: הזכות לחיים, לשלמות הגוף, לכבוד, לחירות, לקניין ולזכות הגישה לערכאות. בהקשר זה, נדרש השופט </w:t>
      </w:r>
      <w:proofErr w:type="spellStart"/>
      <w:r w:rsidRPr="00E21912">
        <w:rPr>
          <w:rFonts w:hint="cs"/>
          <w:rtl/>
        </w:rPr>
        <w:t>סולברג</w:t>
      </w:r>
      <w:proofErr w:type="spellEnd"/>
      <w:r w:rsidRPr="00737873">
        <w:rPr>
          <w:rFonts w:hint="cs"/>
          <w:rtl/>
        </w:rPr>
        <w:t xml:space="preserve"> </w:t>
      </w:r>
      <w:r>
        <w:rPr>
          <w:rFonts w:hint="cs"/>
          <w:rtl/>
        </w:rPr>
        <w:t xml:space="preserve">לשאלה עקרונית, מקדמית, האם לחוקי-היסוד תחולה אקסטרה-טריטוריאלית, לגבי מקום שהוכרז כשטח אויב. לאחר עיון מעמיק, ומבלי לקבוע מסמרות בסוגיה כבדת-משקל זו, הובהר כי היקף ההגנה על זכויות היסוד של המערער, נוכח מקום מושבו, רצועת עזה, שהוכרזה כשטח אויב </w:t>
      </w:r>
      <w:r>
        <w:rPr>
          <w:rtl/>
        </w:rPr>
        <w:t>–</w:t>
      </w:r>
      <w:r>
        <w:rPr>
          <w:rFonts w:hint="cs"/>
          <w:rtl/>
        </w:rPr>
        <w:t xml:space="preserve"> הוא מצומצם בהיקפו. אחר זאת, משנקבע כי קיימת פגיעה מסוימת, עבר השופט </w:t>
      </w:r>
      <w:proofErr w:type="spellStart"/>
      <w:r w:rsidRPr="00E21912">
        <w:rPr>
          <w:rFonts w:hint="eastAsia"/>
          <w:rtl/>
        </w:rPr>
        <w:t>סולברג</w:t>
      </w:r>
      <w:proofErr w:type="spellEnd"/>
      <w:r>
        <w:rPr>
          <w:rFonts w:hint="cs"/>
          <w:rtl/>
        </w:rPr>
        <w:t xml:space="preserve"> לשלב השני של הבחינה החוקתית </w:t>
      </w:r>
      <w:r>
        <w:rPr>
          <w:rtl/>
        </w:rPr>
        <w:t>–</w:t>
      </w:r>
      <w:r>
        <w:rPr>
          <w:rFonts w:hint="cs"/>
          <w:rtl/>
        </w:rPr>
        <w:t xml:space="preserve"> מבחני החוקתיות שבפסקת ההגבלה </w:t>
      </w:r>
      <w:r>
        <w:rPr>
          <w:rtl/>
        </w:rPr>
        <w:t>–</w:t>
      </w:r>
      <w:r>
        <w:rPr>
          <w:rFonts w:hint="cs"/>
          <w:rtl/>
        </w:rPr>
        <w:t xml:space="preserve"> ולגביהם קבע,</w:t>
      </w:r>
      <w:r w:rsidRPr="00737873">
        <w:rPr>
          <w:rFonts w:hint="cs"/>
          <w:rtl/>
        </w:rPr>
        <w:t xml:space="preserve"> </w:t>
      </w:r>
      <w:r>
        <w:rPr>
          <w:rFonts w:hint="cs"/>
          <w:rtl/>
        </w:rPr>
        <w:t>כי ההסדר האמור עומד במבחנים הללו</w:t>
      </w:r>
      <w:r w:rsidR="00B72AC1">
        <w:rPr>
          <w:rFonts w:hint="cs"/>
          <w:rtl/>
        </w:rPr>
        <w:t>, וכי</w:t>
      </w:r>
      <w:r>
        <w:rPr>
          <w:rFonts w:hint="cs"/>
          <w:rtl/>
        </w:rPr>
        <w:t xml:space="preserve"> בבסיס ההסדר החוקי עומדות תכליות ראויות, רמות ונכבדות: מניעת סיוע כלכלי או מוראלי לאויב, והתאמת דיני </w:t>
      </w:r>
      <w:proofErr w:type="spellStart"/>
      <w:r>
        <w:rPr>
          <w:rFonts w:hint="cs"/>
          <w:rtl/>
        </w:rPr>
        <w:t>הנזיקין</w:t>
      </w:r>
      <w:proofErr w:type="spellEnd"/>
      <w:r>
        <w:rPr>
          <w:rFonts w:hint="cs"/>
          <w:rtl/>
        </w:rPr>
        <w:t xml:space="preserve"> למצבי מלחמה. בהמשך קבע השופט </w:t>
      </w:r>
      <w:proofErr w:type="spellStart"/>
      <w:r w:rsidRPr="00E21912">
        <w:rPr>
          <w:rFonts w:hint="cs"/>
          <w:rtl/>
        </w:rPr>
        <w:t>סולברג</w:t>
      </w:r>
      <w:proofErr w:type="spellEnd"/>
      <w:r>
        <w:rPr>
          <w:rFonts w:hint="cs"/>
          <w:rtl/>
        </w:rPr>
        <w:t>,</w:t>
      </w:r>
      <w:r w:rsidRPr="00873EA4">
        <w:rPr>
          <w:rFonts w:hint="cs"/>
          <w:rtl/>
        </w:rPr>
        <w:t xml:space="preserve"> </w:t>
      </w:r>
      <w:r>
        <w:rPr>
          <w:rFonts w:hint="cs"/>
          <w:rtl/>
        </w:rPr>
        <w:t>כי ההסדר גם עומד במבחני המידתיות. ראשית, ההסדר החוקי מקיים את מבחן 'הקשר הרציונלי', כפי שגם נקבע בפסיקה קודמת. שנית, גם מבחן 'האמצעי שפגיעתו פחותה' מתקיים</w:t>
      </w:r>
      <w:r w:rsidR="00C03BC7">
        <w:rPr>
          <w:rFonts w:hint="cs"/>
          <w:rtl/>
        </w:rPr>
        <w:t>. אין</w:t>
      </w:r>
      <w:r>
        <w:rPr>
          <w:rFonts w:hint="cs"/>
          <w:rtl/>
        </w:rPr>
        <w:t xml:space="preserve"> חלופה הולמת להסדר שנקבע, שכן מבחן אלטרנטיבי, בדמות בדיקה אינדיבידואלית של אופי הפעולה שגרמה לנזק, ביחס לכל מקרה ומקרה, אין בכוחו להגשים את התכליות שבבסיס ההסדר החוקי, במידה שוות-ערך </w:t>
      </w:r>
      <w:r>
        <w:rPr>
          <w:rFonts w:hint="cs"/>
          <w:rtl/>
        </w:rPr>
        <w:lastRenderedPageBreak/>
        <w:t xml:space="preserve">לכלל שנקבע בהסדר, הפוטר את המדינה מאחריות נזיקית באופן גורף, בגין פעולות שביצעה ברצועת עזה. </w:t>
      </w:r>
      <w:r w:rsidR="00B72AC1">
        <w:rPr>
          <w:rFonts w:hint="cs"/>
          <w:rtl/>
        </w:rPr>
        <w:t>עוד</w:t>
      </w:r>
      <w:r>
        <w:rPr>
          <w:rFonts w:hint="cs"/>
          <w:rtl/>
        </w:rPr>
        <w:t xml:space="preserve"> נקבע, כי להסדר החוקי ישנם כמה חריגים, הממתנים את הפגיעה בזכויות</w:t>
      </w:r>
      <w:r w:rsidR="00B72AC1">
        <w:rPr>
          <w:rFonts w:hint="cs"/>
          <w:rtl/>
        </w:rPr>
        <w:t>,</w:t>
      </w:r>
      <w:r>
        <w:rPr>
          <w:rFonts w:hint="cs"/>
          <w:rtl/>
        </w:rPr>
        <w:t xml:space="preserve"> </w:t>
      </w:r>
      <w:r w:rsidR="00B72AC1">
        <w:rPr>
          <w:rFonts w:hint="cs"/>
          <w:rtl/>
        </w:rPr>
        <w:t xml:space="preserve">וכי </w:t>
      </w:r>
      <w:r>
        <w:rPr>
          <w:rFonts w:hint="cs"/>
          <w:rtl/>
        </w:rPr>
        <w:t xml:space="preserve"> תועלתו של </w:t>
      </w:r>
      <w:r w:rsidR="00614DE1" w:rsidRPr="00614DE1">
        <w:rPr>
          <w:rFonts w:hint="eastAsia"/>
          <w:rtl/>
        </w:rPr>
        <w:t>ההסדר</w:t>
      </w:r>
      <w:r w:rsidR="00614DE1" w:rsidRPr="00614DE1">
        <w:rPr>
          <w:rtl/>
        </w:rPr>
        <w:t xml:space="preserve"> </w:t>
      </w:r>
      <w:r>
        <w:rPr>
          <w:rFonts w:hint="cs"/>
          <w:rtl/>
        </w:rPr>
        <w:t xml:space="preserve">עולה על נזקו, ולפיכך הוא צולח גם את מבחן 'המידתיות במובן הצר'. </w:t>
      </w:r>
    </w:p>
    <w:p w:rsidR="00356A9D" w:rsidRDefault="00356A9D" w:rsidP="00356A9D">
      <w:pPr>
        <w:pStyle w:val="Ruller41"/>
        <w:rPr>
          <w:rtl/>
        </w:rPr>
      </w:pPr>
      <w:r>
        <w:rPr>
          <w:rtl/>
        </w:rPr>
        <w:tab/>
      </w:r>
    </w:p>
    <w:p w:rsidR="003A4EEF" w:rsidRDefault="003A4EEF" w:rsidP="005F4714">
      <w:pPr>
        <w:pStyle w:val="Ruller41"/>
        <w:rPr>
          <w:rtl/>
        </w:rPr>
      </w:pPr>
      <w:r>
        <w:rPr>
          <w:rtl/>
        </w:rPr>
        <w:tab/>
      </w:r>
      <w:r>
        <w:rPr>
          <w:rFonts w:hint="cs"/>
          <w:rtl/>
        </w:rPr>
        <w:t xml:space="preserve">השופט </w:t>
      </w:r>
      <w:r w:rsidRPr="005C1396">
        <w:rPr>
          <w:rFonts w:ascii="Century" w:hAnsi="Century" w:cs="Miriam" w:hint="cs"/>
          <w:b/>
          <w:spacing w:val="0"/>
          <w:szCs w:val="24"/>
          <w:rtl/>
        </w:rPr>
        <w:t>ע</w:t>
      </w:r>
      <w:r w:rsidR="003816F7">
        <w:rPr>
          <w:rFonts w:ascii="Century" w:hAnsi="Century" w:cs="Miriam" w:hint="cs"/>
          <w:b/>
          <w:spacing w:val="0"/>
          <w:szCs w:val="24"/>
          <w:rtl/>
        </w:rPr>
        <w:t>ו</w:t>
      </w:r>
      <w:r w:rsidRPr="005C1396">
        <w:rPr>
          <w:rFonts w:ascii="Century" w:hAnsi="Century" w:cs="Miriam" w:hint="cs"/>
          <w:b/>
          <w:spacing w:val="0"/>
          <w:szCs w:val="24"/>
          <w:rtl/>
        </w:rPr>
        <w:t>פר</w:t>
      </w:r>
      <w:r w:rsidRPr="005C1396">
        <w:rPr>
          <w:rFonts w:hint="cs"/>
          <w:rtl/>
        </w:rPr>
        <w:t xml:space="preserve"> </w:t>
      </w:r>
      <w:r w:rsidRPr="00282273">
        <w:rPr>
          <w:rFonts w:ascii="Century" w:hAnsi="Century" w:cs="Miriam" w:hint="cs"/>
          <w:b/>
          <w:spacing w:val="0"/>
          <w:szCs w:val="24"/>
          <w:rtl/>
        </w:rPr>
        <w:t>גרוסקופף</w:t>
      </w:r>
      <w:r>
        <w:rPr>
          <w:rFonts w:hint="cs"/>
          <w:rtl/>
        </w:rPr>
        <w:t xml:space="preserve"> הצטרף למסקנתו </w:t>
      </w:r>
      <w:r w:rsidR="00C03BC7">
        <w:rPr>
          <w:rFonts w:hint="cs"/>
          <w:rtl/>
        </w:rPr>
        <w:t xml:space="preserve">ולעיקרי נימוקיו </w:t>
      </w:r>
      <w:r>
        <w:rPr>
          <w:rFonts w:hint="cs"/>
          <w:rtl/>
        </w:rPr>
        <w:t xml:space="preserve">של השופט </w:t>
      </w:r>
      <w:proofErr w:type="spellStart"/>
      <w:r w:rsidRPr="00282273">
        <w:rPr>
          <w:rFonts w:ascii="Century" w:hAnsi="Century" w:cs="Miriam" w:hint="cs"/>
          <w:b/>
          <w:spacing w:val="0"/>
          <w:szCs w:val="24"/>
          <w:rtl/>
        </w:rPr>
        <w:t>סולברג</w:t>
      </w:r>
      <w:proofErr w:type="spellEnd"/>
      <w:r>
        <w:rPr>
          <w:rFonts w:hint="cs"/>
          <w:rtl/>
        </w:rPr>
        <w:t xml:space="preserve"> כי דין הערעור להידחות,</w:t>
      </w:r>
      <w:r w:rsidR="00C03BC7">
        <w:rPr>
          <w:rFonts w:hint="cs"/>
          <w:rtl/>
        </w:rPr>
        <w:t xml:space="preserve"> משום ש</w:t>
      </w:r>
      <w:r>
        <w:rPr>
          <w:rFonts w:hint="cs"/>
          <w:rtl/>
        </w:rPr>
        <w:t xml:space="preserve">מדובר בתביעה נזיקית </w:t>
      </w:r>
      <w:r w:rsidR="00C03BC7">
        <w:rPr>
          <w:rFonts w:hint="cs"/>
          <w:rtl/>
        </w:rPr>
        <w:t xml:space="preserve">לגבי </w:t>
      </w:r>
      <w:r>
        <w:rPr>
          <w:rFonts w:hint="cs"/>
          <w:rtl/>
        </w:rPr>
        <w:t xml:space="preserve">אירוע הקשור בזיקה הדוקה לעימות מול רצועת עזה. השופט </w:t>
      </w:r>
      <w:r w:rsidRPr="00282273">
        <w:rPr>
          <w:rFonts w:ascii="Century" w:hAnsi="Century" w:cs="Miriam" w:hint="cs"/>
          <w:b/>
          <w:spacing w:val="0"/>
          <w:szCs w:val="24"/>
          <w:rtl/>
        </w:rPr>
        <w:t>גרוסקופף</w:t>
      </w:r>
      <w:r>
        <w:rPr>
          <w:rFonts w:hint="cs"/>
          <w:rtl/>
        </w:rPr>
        <w:t xml:space="preserve"> עמד על כך שההצדקה לחקיקתו של הסדר הפטור מאחריות כלפי תושבי עזה מצויה בשילוב שבין שתי תכליות: התכלית של התאמת דיני </w:t>
      </w:r>
      <w:proofErr w:type="spellStart"/>
      <w:r>
        <w:rPr>
          <w:rFonts w:hint="cs"/>
          <w:rtl/>
        </w:rPr>
        <w:t>הנזיקין</w:t>
      </w:r>
      <w:proofErr w:type="spellEnd"/>
      <w:r>
        <w:rPr>
          <w:rFonts w:hint="cs"/>
          <w:rtl/>
        </w:rPr>
        <w:t xml:space="preserve"> למצב מלחמתי, מהצד האחד; והתכלית של מניעת סיוע כלכלי ומוראלי מהאויב, מהצד השני. כאשר שתי התכליות הללו מתקיימות ניתן להצדיק את ההסדר במבחני המידתיות אשר בחוק יסוד: כבוד האדם וחירותו, ככל שהוא חל. כאשר מדובר במקרה הקשור בקשר הדוק למצב העימות עם רצועת עזה, מתקיימות שתי התכליות האמורות, וניתן להצדיק את הרחבת הפטור של המדינה מאחריות כלפי תושבי עזה במבחני המידתיות החוקתיים. לעומת זאת, </w:t>
      </w:r>
      <w:r w:rsidR="00614DE1" w:rsidRPr="00614DE1">
        <w:rPr>
          <w:rFonts w:hint="eastAsia"/>
          <w:rtl/>
        </w:rPr>
        <w:t>כך</w:t>
      </w:r>
      <w:r w:rsidR="00614DE1" w:rsidRPr="00614DE1">
        <w:rPr>
          <w:rtl/>
        </w:rPr>
        <w:t xml:space="preserve"> </w:t>
      </w:r>
      <w:r w:rsidR="00614DE1" w:rsidRPr="00614DE1">
        <w:rPr>
          <w:rFonts w:hint="eastAsia"/>
          <w:rtl/>
        </w:rPr>
        <w:t>השופט</w:t>
      </w:r>
      <w:r w:rsidR="00614DE1" w:rsidRPr="00614DE1">
        <w:rPr>
          <w:rtl/>
        </w:rPr>
        <w:t xml:space="preserve"> </w:t>
      </w:r>
      <w:r w:rsidR="00614DE1" w:rsidRPr="00614DE1">
        <w:rPr>
          <w:rFonts w:hint="eastAsia"/>
          <w:rtl/>
        </w:rPr>
        <w:t>גרוסקופף</w:t>
      </w:r>
      <w:r w:rsidR="00614DE1" w:rsidRPr="00614DE1">
        <w:rPr>
          <w:rtl/>
        </w:rPr>
        <w:t xml:space="preserve">, </w:t>
      </w:r>
      <w:r>
        <w:rPr>
          <w:rFonts w:hint="cs"/>
          <w:rtl/>
        </w:rPr>
        <w:t xml:space="preserve">קיים קושי משמעותי בחסימת האפשרות של תושב רצועת עזה להגיש תביעה נזיקית נגד מדינת ישראל, כאשר לעוולה זו אין קשר הדוק למצב העימות, שכן במקרה זה לא מתקיימת התכלית של התאמת דיני </w:t>
      </w:r>
      <w:proofErr w:type="spellStart"/>
      <w:r>
        <w:rPr>
          <w:rFonts w:hint="cs"/>
          <w:rtl/>
        </w:rPr>
        <w:t>הנזיקין</w:t>
      </w:r>
      <w:proofErr w:type="spellEnd"/>
      <w:r>
        <w:rPr>
          <w:rFonts w:hint="cs"/>
          <w:rtl/>
        </w:rPr>
        <w:t xml:space="preserve"> למצב המלחמתי. </w:t>
      </w:r>
    </w:p>
    <w:p w:rsidR="003A4EEF" w:rsidRDefault="003816F7" w:rsidP="00356A9D">
      <w:pPr>
        <w:pStyle w:val="Ruller41"/>
        <w:rPr>
          <w:rtl/>
        </w:rPr>
      </w:pPr>
      <w:r>
        <w:rPr>
          <w:rtl/>
        </w:rPr>
        <w:tab/>
      </w:r>
    </w:p>
    <w:p w:rsidR="005F4714" w:rsidRPr="0049259D" w:rsidRDefault="003816F7" w:rsidP="005F4714">
      <w:pPr>
        <w:pStyle w:val="Ruller41"/>
        <w:rPr>
          <w:rtl/>
        </w:rPr>
      </w:pPr>
      <w:r>
        <w:rPr>
          <w:rtl/>
        </w:rPr>
        <w:tab/>
      </w:r>
      <w:r w:rsidR="005F4714" w:rsidRPr="0049259D">
        <w:rPr>
          <w:rFonts w:hint="cs"/>
          <w:rtl/>
        </w:rPr>
        <w:t xml:space="preserve">המשנה לנשיאה (בדימוס) </w:t>
      </w:r>
      <w:r w:rsidR="005F4714" w:rsidRPr="0049259D">
        <w:rPr>
          <w:rFonts w:ascii="Century" w:hAnsi="Century" w:cs="Miriam" w:hint="cs"/>
          <w:b/>
          <w:spacing w:val="0"/>
          <w:szCs w:val="24"/>
          <w:rtl/>
        </w:rPr>
        <w:t>ניל הנדל</w:t>
      </w:r>
      <w:r w:rsidR="005F4714" w:rsidRPr="0049259D">
        <w:rPr>
          <w:rFonts w:hint="cs"/>
          <w:rtl/>
        </w:rPr>
        <w:t xml:space="preserve"> הסכים </w:t>
      </w:r>
      <w:r w:rsidR="005F4714">
        <w:rPr>
          <w:rFonts w:hint="cs"/>
          <w:rtl/>
        </w:rPr>
        <w:t xml:space="preserve">גם הוא </w:t>
      </w:r>
      <w:r w:rsidR="005F4714" w:rsidRPr="0049259D">
        <w:rPr>
          <w:rFonts w:hint="cs"/>
          <w:rtl/>
        </w:rPr>
        <w:t>כי יש לדחות את הערעור</w:t>
      </w:r>
      <w:r w:rsidR="005F4714">
        <w:rPr>
          <w:rFonts w:hint="cs"/>
          <w:rtl/>
        </w:rPr>
        <w:t>,</w:t>
      </w:r>
      <w:r w:rsidR="005F4714" w:rsidRPr="0049259D">
        <w:rPr>
          <w:rFonts w:hint="cs"/>
          <w:rtl/>
        </w:rPr>
        <w:t xml:space="preserve"> </w:t>
      </w:r>
      <w:r w:rsidR="005F4714">
        <w:rPr>
          <w:rFonts w:hint="cs"/>
          <w:rtl/>
        </w:rPr>
        <w:t>ו</w:t>
      </w:r>
      <w:r w:rsidR="005F4714" w:rsidRPr="0049259D">
        <w:rPr>
          <w:rFonts w:hint="cs"/>
          <w:rtl/>
        </w:rPr>
        <w:t xml:space="preserve">הדגיש שעסקינן בתקיפה עקיפה של חוקתיות החוק, ודי בבחינת נסיבות המקרה דנן ועמדות הצדדים כדי לדחות את התביעה בהתאם לסעיף 5ב(א)(1) לחוק </w:t>
      </w:r>
      <w:proofErr w:type="spellStart"/>
      <w:r w:rsidR="005F4714" w:rsidRPr="0049259D">
        <w:rPr>
          <w:rFonts w:hint="cs"/>
          <w:rtl/>
        </w:rPr>
        <w:t>הנזיקים</w:t>
      </w:r>
      <w:proofErr w:type="spellEnd"/>
      <w:r w:rsidR="005F4714" w:rsidRPr="0049259D">
        <w:rPr>
          <w:rFonts w:hint="cs"/>
          <w:rtl/>
        </w:rPr>
        <w:t xml:space="preserve"> האזרחיים (אחריות המדינה), התשי"ב-1952, שכן החוק צולח את המשוכה החוקתית במקרה זה. </w:t>
      </w:r>
    </w:p>
    <w:p w:rsidR="003816F7" w:rsidRDefault="003816F7" w:rsidP="00356A9D">
      <w:pPr>
        <w:pStyle w:val="Ruller41"/>
        <w:rPr>
          <w:rtl/>
        </w:rPr>
      </w:pPr>
      <w:r>
        <w:rPr>
          <w:rtl/>
        </w:rPr>
        <w:tab/>
      </w:r>
    </w:p>
    <w:p w:rsidR="00356A9D" w:rsidRPr="00D61628" w:rsidRDefault="00356A9D" w:rsidP="00614DE1">
      <w:pPr>
        <w:pStyle w:val="Ruller41"/>
      </w:pPr>
      <w:r>
        <w:rPr>
          <w:rtl/>
        </w:rPr>
        <w:tab/>
      </w:r>
      <w:r>
        <w:rPr>
          <w:rFonts w:hint="cs"/>
          <w:rtl/>
        </w:rPr>
        <w:t xml:space="preserve"> </w:t>
      </w:r>
    </w:p>
    <w:p w:rsidR="004E147C" w:rsidRPr="0024615A" w:rsidRDefault="004E147C" w:rsidP="0024615A">
      <w:pPr>
        <w:pStyle w:val="Ruller41"/>
      </w:pPr>
    </w:p>
    <w:sectPr w:rsidR="004E147C" w:rsidRPr="0024615A">
      <w:headerReference w:type="even" r:id="rId7"/>
      <w:headerReference w:type="default" r:id="rId8"/>
      <w:footerReference w:type="even" r:id="rId9"/>
      <w:headerReference w:type="first" r:id="rId10"/>
      <w:footerReference w:type="first" r:id="rId11"/>
      <w:endnotePr>
        <w:numFmt w:val="lowerLetter"/>
      </w:endnotePr>
      <w:pgSz w:w="11906" w:h="16838"/>
      <w:pgMar w:top="1440" w:right="1800" w:bottom="1440" w:left="1800" w:header="720" w:footer="72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683" w:rsidRDefault="00AE1683">
      <w:r>
        <w:separator/>
      </w:r>
    </w:p>
  </w:endnote>
  <w:endnote w:type="continuationSeparator" w:id="0">
    <w:p w:rsidR="00AE1683" w:rsidRDefault="00AE1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Arial TUR">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3"/>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rtl/>
      </w:rPr>
      <w:t>1</w:t>
    </w:r>
    <w:r>
      <w:rPr>
        <w:rStyle w:val="a4"/>
        <w:rtl/>
      </w:rPr>
      <w:fldChar w:fldCharType="end"/>
    </w:r>
  </w:p>
  <w:p w:rsidR="002D044C" w:rsidRDefault="002D044C">
    <w:pPr>
      <w:pStyle w:val="a3"/>
      <w:rPr>
        <w:rtl/>
      </w:rPr>
    </w:pPr>
  </w:p>
  <w:p w:rsidR="002D044C" w:rsidRDefault="002D044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3"/>
      <w:bidi w:val="0"/>
    </w:pPr>
  </w:p>
  <w:p w:rsidR="002D044C" w:rsidRDefault="002D044C">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683" w:rsidRDefault="00AE1683">
      <w:r>
        <w:separator/>
      </w:r>
    </w:p>
  </w:footnote>
  <w:footnote w:type="continuationSeparator" w:id="0">
    <w:p w:rsidR="00AE1683" w:rsidRDefault="00AE1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rtl/>
      </w:rPr>
      <w:t>1</w:t>
    </w:r>
    <w:r>
      <w:rPr>
        <w:rStyle w:val="a4"/>
        <w:rtl/>
      </w:rPr>
      <w:fldChar w:fldCharType="end"/>
    </w:r>
  </w:p>
  <w:p w:rsidR="002D044C" w:rsidRDefault="002D044C">
    <w:pPr>
      <w:pStyle w:val="a5"/>
      <w:rPr>
        <w:rtl/>
      </w:rPr>
    </w:pPr>
  </w:p>
  <w:p w:rsidR="002D044C" w:rsidRDefault="002D044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6AB3" w:rsidP="002D6AB3">
    <w:pPr>
      <w:pStyle w:val="a5"/>
      <w:jc w:val="center"/>
      <w:rPr>
        <w:rtl/>
      </w:rPr>
    </w:pPr>
    <w:r w:rsidRPr="00C06276">
      <w:rPr>
        <w:rFonts w:cs="David"/>
        <w:noProof/>
      </w:rPr>
      <w:drawing>
        <wp:anchor distT="0" distB="0" distL="114300" distR="114300" simplePos="0" relativeHeight="251661312" behindDoc="1" locked="0" layoutInCell="1" allowOverlap="1" wp14:anchorId="0B1A4037" wp14:editId="091E46BD">
          <wp:simplePos x="0" y="0"/>
          <wp:positionH relativeFrom="margin">
            <wp:align>center</wp:align>
          </wp:positionH>
          <wp:positionV relativeFrom="paragraph">
            <wp:posOffset>-202467</wp:posOffset>
          </wp:positionV>
          <wp:extent cx="525145" cy="621030"/>
          <wp:effectExtent l="0" t="0" r="8255" b="7620"/>
          <wp:wrapTight wrapText="bothSides">
            <wp:wrapPolygon edited="0">
              <wp:start x="0" y="0"/>
              <wp:lineTo x="0" y="21202"/>
              <wp:lineTo x="21156" y="21202"/>
              <wp:lineTo x="21156" y="0"/>
              <wp:lineTo x="0" y="0"/>
            </wp:wrapPolygon>
          </wp:wrapTight>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 cy="621030"/>
                  </a:xfrm>
                  <a:prstGeom prst="rect">
                    <a:avLst/>
                  </a:prstGeom>
                  <a:noFill/>
                  <a:ln>
                    <a:noFill/>
                  </a:ln>
                </pic:spPr>
              </pic:pic>
            </a:graphicData>
          </a:graphic>
        </wp:anchor>
      </w:drawing>
    </w:r>
  </w:p>
  <w:p w:rsidR="002D044C" w:rsidRDefault="002D044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68A" w:rsidRDefault="0080668A">
    <w:pPr>
      <w:pStyle w:val="a5"/>
    </w:pPr>
    <w:r w:rsidRPr="00C06276">
      <w:rPr>
        <w:rFonts w:cs="David"/>
        <w:noProof/>
      </w:rPr>
      <w:drawing>
        <wp:anchor distT="0" distB="0" distL="114300" distR="114300" simplePos="0" relativeHeight="251659264" behindDoc="1" locked="0" layoutInCell="1" allowOverlap="1" wp14:anchorId="3DFAFFF5" wp14:editId="613A3D22">
          <wp:simplePos x="0" y="0"/>
          <wp:positionH relativeFrom="margin">
            <wp:align>center</wp:align>
          </wp:positionH>
          <wp:positionV relativeFrom="paragraph">
            <wp:posOffset>-176139</wp:posOffset>
          </wp:positionV>
          <wp:extent cx="525145" cy="621030"/>
          <wp:effectExtent l="0" t="0" r="8255" b="7620"/>
          <wp:wrapTight wrapText="bothSides">
            <wp:wrapPolygon edited="0">
              <wp:start x="0" y="0"/>
              <wp:lineTo x="0" y="21202"/>
              <wp:lineTo x="21156" y="21202"/>
              <wp:lineTo x="21156" y="0"/>
              <wp:lineTo x="0" y="0"/>
            </wp:wrapPolygon>
          </wp:wrapTight>
          <wp:docPr id="2" name="תמונה 2"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 cy="6210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B2C4B5E4"/>
    <w:lvl w:ilvl="0" w:tplc="5F9C772A">
      <w:start w:val="1"/>
      <w:numFmt w:val="decimal"/>
      <w:pStyle w:val="Ruller4"/>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FE70B62"/>
    <w:multiLevelType w:val="hybridMultilevel"/>
    <w:tmpl w:val="ADA8711E"/>
    <w:lvl w:ilvl="0" w:tplc="DBB0A036">
      <w:start w:val="1"/>
      <w:numFmt w:val="hebrew1"/>
      <w:pStyle w:val="Ruller40"/>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9D"/>
    <w:rsid w:val="00006F39"/>
    <w:rsid w:val="00012332"/>
    <w:rsid w:val="00020E06"/>
    <w:rsid w:val="00021638"/>
    <w:rsid w:val="00050D6A"/>
    <w:rsid w:val="00063435"/>
    <w:rsid w:val="00064573"/>
    <w:rsid w:val="00072C1D"/>
    <w:rsid w:val="0009258F"/>
    <w:rsid w:val="000A6ABA"/>
    <w:rsid w:val="000B2ECF"/>
    <w:rsid w:val="000B7CB1"/>
    <w:rsid w:val="000C0407"/>
    <w:rsid w:val="000D20EC"/>
    <w:rsid w:val="000D4CD3"/>
    <w:rsid w:val="000E6036"/>
    <w:rsid w:val="000E727A"/>
    <w:rsid w:val="000F5245"/>
    <w:rsid w:val="000F6A92"/>
    <w:rsid w:val="0010430F"/>
    <w:rsid w:val="0010484A"/>
    <w:rsid w:val="0010649F"/>
    <w:rsid w:val="0018467D"/>
    <w:rsid w:val="00190B7D"/>
    <w:rsid w:val="001C1CD4"/>
    <w:rsid w:val="001C289E"/>
    <w:rsid w:val="001D0F2B"/>
    <w:rsid w:val="001E024A"/>
    <w:rsid w:val="001E1AA2"/>
    <w:rsid w:val="001F1BF7"/>
    <w:rsid w:val="001F69E3"/>
    <w:rsid w:val="002219EB"/>
    <w:rsid w:val="00227345"/>
    <w:rsid w:val="00230156"/>
    <w:rsid w:val="0024615A"/>
    <w:rsid w:val="00254B7B"/>
    <w:rsid w:val="00267300"/>
    <w:rsid w:val="002B25BB"/>
    <w:rsid w:val="002B3337"/>
    <w:rsid w:val="002B390C"/>
    <w:rsid w:val="002C1541"/>
    <w:rsid w:val="002C2AF4"/>
    <w:rsid w:val="002C6A88"/>
    <w:rsid w:val="002D044C"/>
    <w:rsid w:val="002D6AB3"/>
    <w:rsid w:val="002E4ECB"/>
    <w:rsid w:val="002E694B"/>
    <w:rsid w:val="002E6ECE"/>
    <w:rsid w:val="00304FA2"/>
    <w:rsid w:val="003100DA"/>
    <w:rsid w:val="00311FB2"/>
    <w:rsid w:val="00320125"/>
    <w:rsid w:val="00344285"/>
    <w:rsid w:val="00356A9D"/>
    <w:rsid w:val="00365A27"/>
    <w:rsid w:val="003816F7"/>
    <w:rsid w:val="003A351F"/>
    <w:rsid w:val="003A4EEF"/>
    <w:rsid w:val="003D1D6E"/>
    <w:rsid w:val="003D3CAA"/>
    <w:rsid w:val="003D51F1"/>
    <w:rsid w:val="003E1D52"/>
    <w:rsid w:val="003E4ABA"/>
    <w:rsid w:val="003F3926"/>
    <w:rsid w:val="00404CC4"/>
    <w:rsid w:val="00405772"/>
    <w:rsid w:val="00406A1D"/>
    <w:rsid w:val="004403F1"/>
    <w:rsid w:val="0046584A"/>
    <w:rsid w:val="0047483E"/>
    <w:rsid w:val="004922A6"/>
    <w:rsid w:val="004A00E1"/>
    <w:rsid w:val="004A3AB8"/>
    <w:rsid w:val="004B2948"/>
    <w:rsid w:val="004D6812"/>
    <w:rsid w:val="004D7E67"/>
    <w:rsid w:val="004E147C"/>
    <w:rsid w:val="004F1D87"/>
    <w:rsid w:val="00515999"/>
    <w:rsid w:val="005B01CA"/>
    <w:rsid w:val="005B0C21"/>
    <w:rsid w:val="005B642B"/>
    <w:rsid w:val="005B73A6"/>
    <w:rsid w:val="005D29C7"/>
    <w:rsid w:val="005D6398"/>
    <w:rsid w:val="005E30B2"/>
    <w:rsid w:val="005E774C"/>
    <w:rsid w:val="005F1C3E"/>
    <w:rsid w:val="005F4714"/>
    <w:rsid w:val="005F6E31"/>
    <w:rsid w:val="006073F7"/>
    <w:rsid w:val="00614DE1"/>
    <w:rsid w:val="00617540"/>
    <w:rsid w:val="006348C9"/>
    <w:rsid w:val="00653164"/>
    <w:rsid w:val="006649F8"/>
    <w:rsid w:val="00667670"/>
    <w:rsid w:val="00673854"/>
    <w:rsid w:val="006760FF"/>
    <w:rsid w:val="00682B8E"/>
    <w:rsid w:val="00692DF7"/>
    <w:rsid w:val="006A273B"/>
    <w:rsid w:val="006A6B7E"/>
    <w:rsid w:val="006C1457"/>
    <w:rsid w:val="006D0AD0"/>
    <w:rsid w:val="006D3644"/>
    <w:rsid w:val="006D44B6"/>
    <w:rsid w:val="006D5502"/>
    <w:rsid w:val="006E0822"/>
    <w:rsid w:val="006E608D"/>
    <w:rsid w:val="00712C0D"/>
    <w:rsid w:val="00720DD8"/>
    <w:rsid w:val="00734E7B"/>
    <w:rsid w:val="007457EF"/>
    <w:rsid w:val="00747BBF"/>
    <w:rsid w:val="007603C3"/>
    <w:rsid w:val="007C024A"/>
    <w:rsid w:val="007D0F1F"/>
    <w:rsid w:val="007D54D2"/>
    <w:rsid w:val="008044FC"/>
    <w:rsid w:val="0080668A"/>
    <w:rsid w:val="00806A20"/>
    <w:rsid w:val="008112D7"/>
    <w:rsid w:val="00816F92"/>
    <w:rsid w:val="00824761"/>
    <w:rsid w:val="00834802"/>
    <w:rsid w:val="008647F4"/>
    <w:rsid w:val="00871866"/>
    <w:rsid w:val="00874E8F"/>
    <w:rsid w:val="008A397C"/>
    <w:rsid w:val="008B2508"/>
    <w:rsid w:val="008B2605"/>
    <w:rsid w:val="008E6C36"/>
    <w:rsid w:val="008F249C"/>
    <w:rsid w:val="0092421A"/>
    <w:rsid w:val="0092473C"/>
    <w:rsid w:val="00932DB2"/>
    <w:rsid w:val="00953DBB"/>
    <w:rsid w:val="00954640"/>
    <w:rsid w:val="00956D4B"/>
    <w:rsid w:val="00956F05"/>
    <w:rsid w:val="009651BF"/>
    <w:rsid w:val="0097777C"/>
    <w:rsid w:val="009922A6"/>
    <w:rsid w:val="00995C07"/>
    <w:rsid w:val="009A35ED"/>
    <w:rsid w:val="009A6089"/>
    <w:rsid w:val="009B5E2F"/>
    <w:rsid w:val="009D467D"/>
    <w:rsid w:val="009E088D"/>
    <w:rsid w:val="009F432B"/>
    <w:rsid w:val="00A065FC"/>
    <w:rsid w:val="00A270C2"/>
    <w:rsid w:val="00A55AC3"/>
    <w:rsid w:val="00A642FC"/>
    <w:rsid w:val="00A6437C"/>
    <w:rsid w:val="00A719D9"/>
    <w:rsid w:val="00A81E51"/>
    <w:rsid w:val="00A91186"/>
    <w:rsid w:val="00AD1836"/>
    <w:rsid w:val="00AE1683"/>
    <w:rsid w:val="00AE28BA"/>
    <w:rsid w:val="00AE2AC0"/>
    <w:rsid w:val="00AF4C42"/>
    <w:rsid w:val="00B02C0B"/>
    <w:rsid w:val="00B04933"/>
    <w:rsid w:val="00B14131"/>
    <w:rsid w:val="00B15CC3"/>
    <w:rsid w:val="00B278D9"/>
    <w:rsid w:val="00B478E7"/>
    <w:rsid w:val="00B5465E"/>
    <w:rsid w:val="00B571F4"/>
    <w:rsid w:val="00B72AC1"/>
    <w:rsid w:val="00B7785D"/>
    <w:rsid w:val="00B83D24"/>
    <w:rsid w:val="00B94695"/>
    <w:rsid w:val="00BE389F"/>
    <w:rsid w:val="00BE43A1"/>
    <w:rsid w:val="00BE783E"/>
    <w:rsid w:val="00BF532D"/>
    <w:rsid w:val="00C03BC7"/>
    <w:rsid w:val="00C1683B"/>
    <w:rsid w:val="00C22776"/>
    <w:rsid w:val="00C72486"/>
    <w:rsid w:val="00C834DA"/>
    <w:rsid w:val="00C86F90"/>
    <w:rsid w:val="00CA04EF"/>
    <w:rsid w:val="00CB5DAA"/>
    <w:rsid w:val="00CC3F1C"/>
    <w:rsid w:val="00CD4CE9"/>
    <w:rsid w:val="00CF489C"/>
    <w:rsid w:val="00CF5B1C"/>
    <w:rsid w:val="00D13403"/>
    <w:rsid w:val="00D157D4"/>
    <w:rsid w:val="00D24750"/>
    <w:rsid w:val="00D506DE"/>
    <w:rsid w:val="00D511DD"/>
    <w:rsid w:val="00D552BF"/>
    <w:rsid w:val="00D746B8"/>
    <w:rsid w:val="00DF2933"/>
    <w:rsid w:val="00DF3C12"/>
    <w:rsid w:val="00E12233"/>
    <w:rsid w:val="00E14012"/>
    <w:rsid w:val="00E21912"/>
    <w:rsid w:val="00E276C1"/>
    <w:rsid w:val="00E55704"/>
    <w:rsid w:val="00E749DA"/>
    <w:rsid w:val="00E76D54"/>
    <w:rsid w:val="00EA1395"/>
    <w:rsid w:val="00EA6060"/>
    <w:rsid w:val="00EB2628"/>
    <w:rsid w:val="00EB462F"/>
    <w:rsid w:val="00EC2864"/>
    <w:rsid w:val="00ED7E0B"/>
    <w:rsid w:val="00EE19AE"/>
    <w:rsid w:val="00EE2D4A"/>
    <w:rsid w:val="00F031AC"/>
    <w:rsid w:val="00F12C64"/>
    <w:rsid w:val="00F12DB9"/>
    <w:rsid w:val="00F33239"/>
    <w:rsid w:val="00F6085C"/>
    <w:rsid w:val="00F60A9E"/>
    <w:rsid w:val="00F75B32"/>
    <w:rsid w:val="00F76209"/>
    <w:rsid w:val="00F76B1C"/>
    <w:rsid w:val="00F85A9B"/>
    <w:rsid w:val="00F8734F"/>
    <w:rsid w:val="00F94205"/>
    <w:rsid w:val="00FA075F"/>
    <w:rsid w:val="00FA15AF"/>
    <w:rsid w:val="00FA7EB3"/>
    <w:rsid w:val="00FB568A"/>
    <w:rsid w:val="00FE6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DAFD5E"/>
  <w15:chartTrackingRefBased/>
  <w15:docId w15:val="{495195D8-57B5-447C-8487-ECAA3CD17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9EB"/>
    <w:pPr>
      <w:overflowPunct w:val="0"/>
      <w:autoSpaceDE w:val="0"/>
      <w:autoSpaceDN w:val="0"/>
      <w:bidi/>
      <w:adjustRightInd w:val="0"/>
      <w:spacing w:line="360" w:lineRule="auto"/>
      <w:textAlignment w:val="baseline"/>
    </w:pPr>
    <w:rPr>
      <w:rFonts w:ascii="Century" w:hAnsi="Century" w:cs="FrankRuehl"/>
      <w:spacing w:val="1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link w:val="Ruller30"/>
    <w:rsid w:val="00D506DE"/>
    <w:pPr>
      <w:tabs>
        <w:tab w:val="left" w:pos="3210"/>
        <w:tab w:val="left" w:pos="6753"/>
      </w:tabs>
    </w:pPr>
    <w:rPr>
      <w:sz w:val="22"/>
    </w:rPr>
  </w:style>
  <w:style w:type="paragraph" w:customStyle="1" w:styleId="Pskdinhead">
    <w:name w:val="Pskdin head"/>
    <w:basedOn w:val="a"/>
    <w:rPr>
      <w:b/>
      <w:bCs/>
      <w:u w:val="single"/>
    </w:rPr>
  </w:style>
  <w:style w:type="paragraph" w:customStyle="1" w:styleId="FileNumber">
    <w:name w:val="File Number"/>
    <w:basedOn w:val="a"/>
    <w:pPr>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rPr>
  </w:style>
  <w:style w:type="paragraph" w:customStyle="1" w:styleId="DocumentHead">
    <w:name w:val="Document Head"/>
    <w:basedOn w:val="a"/>
    <w:pPr>
      <w:jc w:val="center"/>
    </w:pPr>
    <w:rPr>
      <w:bCs/>
      <w:spacing w:val="30"/>
      <w:u w:val="single"/>
    </w:rPr>
  </w:style>
  <w:style w:type="paragraph" w:customStyle="1" w:styleId="TfutzaList">
    <w:name w:val="Tfutza List"/>
    <w:basedOn w:val="a"/>
    <w:rPr>
      <w:i/>
      <w:iCs/>
    </w:rPr>
  </w:style>
  <w:style w:type="paragraph" w:customStyle="1" w:styleId="Ruller41">
    <w:name w:val="Ruller4"/>
    <w:basedOn w:val="a"/>
    <w:rsid w:val="00D506DE"/>
    <w:pPr>
      <w:tabs>
        <w:tab w:val="left" w:pos="800"/>
      </w:tabs>
      <w:jc w:val="both"/>
    </w:pPr>
    <w:rPr>
      <w:rFonts w:ascii="Arial TUR" w:hAnsi="Arial TUR"/>
      <w:sz w:val="22"/>
    </w:rPr>
  </w:style>
  <w:style w:type="paragraph" w:customStyle="1" w:styleId="Ruller5">
    <w:name w:val="Ruller5"/>
    <w:basedOn w:val="a"/>
    <w:rsid w:val="00D506DE"/>
    <w:pPr>
      <w:spacing w:line="240" w:lineRule="auto"/>
      <w:ind w:left="1644" w:right="1276"/>
      <w:jc w:val="both"/>
    </w:pPr>
    <w:rPr>
      <w:rFonts w:ascii="Arial TUR" w:hAnsi="Arial TUR"/>
      <w:sz w:val="22"/>
    </w:rPr>
  </w:style>
  <w:style w:type="paragraph" w:customStyle="1" w:styleId="Ruller6">
    <w:name w:val="Ruller6"/>
    <w:basedOn w:val="a"/>
    <w:rsid w:val="00D506DE"/>
    <w:pPr>
      <w:tabs>
        <w:tab w:val="left" w:pos="794"/>
        <w:tab w:val="left" w:pos="2268"/>
        <w:tab w:val="left" w:pos="5783"/>
        <w:tab w:val="left" w:pos="7371"/>
      </w:tabs>
    </w:pPr>
    <w:rPr>
      <w:rFonts w:ascii="Arial TUR" w:hAnsi="Arial TUR" w:cs="DavidFix"/>
      <w:sz w:val="22"/>
      <w:szCs w:val="20"/>
    </w:rPr>
  </w:style>
  <w:style w:type="character" w:customStyle="1" w:styleId="Delete">
    <w:name w:val="Delete"/>
    <w:rPr>
      <w:strike/>
    </w:rPr>
  </w:style>
  <w:style w:type="paragraph" w:customStyle="1" w:styleId="WriterName">
    <w:name w:val="Writer Name"/>
    <w:basedOn w:val="Ruller41"/>
    <w:next w:val="Ruller41"/>
    <w:rPr>
      <w:rFonts w:cs="David"/>
      <w:b/>
      <w:bCs/>
      <w:u w:val="single"/>
    </w:rPr>
  </w:style>
  <w:style w:type="character" w:customStyle="1" w:styleId="Hand">
    <w:name w:val="Hand"/>
    <w:rPr>
      <w:rFonts w:cs="Guttman Yad"/>
    </w:rPr>
  </w:style>
  <w:style w:type="paragraph" w:styleId="a3">
    <w:name w:val="footer"/>
    <w:basedOn w:val="a"/>
    <w:pPr>
      <w:tabs>
        <w:tab w:val="center" w:pos="4153"/>
        <w:tab w:val="right" w:pos="8306"/>
      </w:tabs>
    </w:pPr>
  </w:style>
  <w:style w:type="character" w:styleId="a4">
    <w:name w:val="page number"/>
    <w:basedOn w:val="a0"/>
  </w:style>
  <w:style w:type="paragraph" w:styleId="a5">
    <w:name w:val="header"/>
    <w:basedOn w:val="a"/>
    <w:pPr>
      <w:tabs>
        <w:tab w:val="center" w:pos="4153"/>
        <w:tab w:val="right" w:pos="8306"/>
      </w:tabs>
    </w:pPr>
  </w:style>
  <w:style w:type="paragraph" w:customStyle="1" w:styleId="2">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link w:val="BodyRuller0"/>
    <w:rsid w:val="00B94695"/>
    <w:rPr>
      <w:sz w:val="22"/>
    </w:rPr>
  </w:style>
  <w:style w:type="paragraph" w:customStyle="1" w:styleId="Ruller38">
    <w:name w:val="סגנון Ruller 3 + (מורכב) ‏8 נק"/>
    <w:basedOn w:val="BodyRuller"/>
    <w:link w:val="Ruller380"/>
    <w:rsid w:val="004D7E67"/>
    <w:rPr>
      <w:szCs w:val="16"/>
    </w:rPr>
  </w:style>
  <w:style w:type="character" w:customStyle="1" w:styleId="Ruller30">
    <w:name w:val="Ruller 3 תו"/>
    <w:link w:val="Ruller3"/>
    <w:rsid w:val="004D7E67"/>
    <w:rPr>
      <w:rFonts w:cs="FrankRuehl"/>
      <w:sz w:val="22"/>
      <w:szCs w:val="28"/>
      <w:lang w:val="en-US" w:eastAsia="en-US" w:bidi="he-IL"/>
    </w:rPr>
  </w:style>
  <w:style w:type="character" w:customStyle="1" w:styleId="BodyRuller0">
    <w:name w:val="Body Ruller תו"/>
    <w:link w:val="BodyRuller"/>
    <w:rsid w:val="00B94695"/>
    <w:rPr>
      <w:rFonts w:cs="David"/>
      <w:sz w:val="22"/>
      <w:szCs w:val="28"/>
      <w:lang w:val="en-US" w:eastAsia="en-US" w:bidi="he-IL"/>
    </w:rPr>
  </w:style>
  <w:style w:type="character" w:customStyle="1" w:styleId="Ruller380">
    <w:name w:val="סגנון Ruller 3 + (מורכב) ‏8 נק תו"/>
    <w:link w:val="Ruller38"/>
    <w:rsid w:val="004D7E67"/>
    <w:rPr>
      <w:rFonts w:cs="David"/>
      <w:sz w:val="22"/>
      <w:szCs w:val="16"/>
      <w:lang w:val="en-US" w:eastAsia="en-US" w:bidi="he-IL"/>
    </w:rPr>
  </w:style>
  <w:style w:type="paragraph" w:customStyle="1" w:styleId="Ruller4">
    <w:name w:val="Ruller 4 ממוספר"/>
    <w:basedOn w:val="Ruller41"/>
    <w:next w:val="Ruller41"/>
    <w:rsid w:val="00956F05"/>
    <w:pPr>
      <w:numPr>
        <w:numId w:val="1"/>
      </w:numPr>
    </w:pPr>
    <w:rPr>
      <w:rFonts w:ascii="Garamond" w:hAnsi="Garamond"/>
      <w:sz w:val="24"/>
    </w:rPr>
  </w:style>
  <w:style w:type="paragraph" w:customStyle="1" w:styleId="Ruller40">
    <w:name w:val="Ruller4 אלפביתי"/>
    <w:basedOn w:val="Ruller41"/>
    <w:next w:val="Ruller41"/>
    <w:rsid w:val="00D511DD"/>
    <w:pPr>
      <w:numPr>
        <w:numId w:val="2"/>
      </w:numPr>
    </w:pPr>
  </w:style>
  <w:style w:type="paragraph" w:styleId="a6">
    <w:name w:val="Balloon Text"/>
    <w:basedOn w:val="a"/>
    <w:link w:val="a7"/>
    <w:semiHidden/>
    <w:unhideWhenUsed/>
    <w:rsid w:val="008112D7"/>
    <w:pPr>
      <w:spacing w:line="240" w:lineRule="auto"/>
    </w:pPr>
    <w:rPr>
      <w:rFonts w:ascii="Tahoma" w:hAnsi="Tahoma" w:cs="Tahoma"/>
      <w:sz w:val="18"/>
      <w:szCs w:val="18"/>
    </w:rPr>
  </w:style>
  <w:style w:type="character" w:customStyle="1" w:styleId="a7">
    <w:name w:val="טקסט בלונים תו"/>
    <w:basedOn w:val="a0"/>
    <w:link w:val="a6"/>
    <w:semiHidden/>
    <w:rsid w:val="008112D7"/>
    <w:rPr>
      <w:rFonts w:ascii="Tahoma" w:hAnsi="Tahoma" w:cs="Tahoma"/>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769</Words>
  <Characters>3816</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ברק מימון</dc:creator>
  <cp:keywords/>
  <dc:description/>
  <cp:lastModifiedBy>הדס לרנר</cp:lastModifiedBy>
  <cp:revision>4</cp:revision>
  <cp:lastPrinted>2022-07-05T08:38:00Z</cp:lastPrinted>
  <dcterms:created xsi:type="dcterms:W3CDTF">2022-07-05T09:28:00Z</dcterms:created>
  <dcterms:modified xsi:type="dcterms:W3CDTF">2022-07-05T09:38:00Z</dcterms:modified>
</cp:coreProperties>
</file>