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B0D" w:rsidRPr="00A76B0D" w:rsidRDefault="00A76B0D" w:rsidP="00A76B0D">
      <w:pPr>
        <w:pStyle w:val="Ruller41"/>
        <w:jc w:val="center"/>
        <w:rPr>
          <w:b/>
          <w:bCs/>
          <w:sz w:val="30"/>
          <w:szCs w:val="36"/>
          <w:u w:val="single"/>
          <w:rtl/>
        </w:rPr>
      </w:pPr>
      <w:r w:rsidRPr="00A76B0D">
        <w:rPr>
          <w:rFonts w:hint="cs"/>
          <w:b/>
          <w:bCs/>
          <w:sz w:val="30"/>
          <w:szCs w:val="36"/>
          <w:u w:val="single"/>
          <w:rtl/>
        </w:rPr>
        <w:t>תקציר</w:t>
      </w:r>
    </w:p>
    <w:p w:rsidR="004E147C" w:rsidRDefault="00991186" w:rsidP="00A76B0D">
      <w:pPr>
        <w:pStyle w:val="Ruller41"/>
        <w:jc w:val="center"/>
        <w:rPr>
          <w:b/>
          <w:bCs/>
          <w:u w:val="single"/>
          <w:rtl/>
        </w:rPr>
      </w:pPr>
      <w:bookmarkStart w:id="0" w:name="_GoBack"/>
      <w:r>
        <w:rPr>
          <w:rFonts w:hint="cs"/>
          <w:b/>
          <w:bCs/>
          <w:u w:val="single"/>
          <w:rtl/>
        </w:rPr>
        <w:t xml:space="preserve">בג"ץ 8910/22 </w:t>
      </w:r>
      <w:bookmarkEnd w:id="0"/>
      <w:proofErr w:type="spellStart"/>
      <w:r>
        <w:rPr>
          <w:rFonts w:hint="cs"/>
          <w:b/>
          <w:bCs/>
          <w:u w:val="single"/>
          <w:rtl/>
        </w:rPr>
        <w:t>פטרושקה</w:t>
      </w:r>
      <w:proofErr w:type="spellEnd"/>
      <w:r>
        <w:rPr>
          <w:rFonts w:hint="cs"/>
          <w:b/>
          <w:bCs/>
          <w:u w:val="single"/>
          <w:rtl/>
        </w:rPr>
        <w:t xml:space="preserve"> נ' חבר הכנסת בנימין נתניהו</w:t>
      </w:r>
    </w:p>
    <w:p w:rsidR="00A76B0D" w:rsidRPr="00A76B0D" w:rsidRDefault="00A76B0D" w:rsidP="00991186">
      <w:pPr>
        <w:pStyle w:val="Ruller41"/>
        <w:jc w:val="center"/>
        <w:rPr>
          <w:rFonts w:ascii="Century" w:hAnsi="Century"/>
          <w:rtl/>
        </w:rPr>
      </w:pPr>
      <w:r w:rsidRPr="00A76B0D">
        <w:rPr>
          <w:rFonts w:ascii="Century" w:hAnsi="Century" w:hint="cs"/>
          <w:rtl/>
        </w:rPr>
        <w:t xml:space="preserve">(השופטים </w:t>
      </w:r>
      <w:r w:rsidRPr="00A76B0D">
        <w:rPr>
          <w:rFonts w:ascii="Century" w:hAnsi="Century" w:cs="Miriam" w:hint="cs"/>
          <w:b/>
          <w:spacing w:val="0"/>
          <w:szCs w:val="24"/>
          <w:rtl/>
        </w:rPr>
        <w:t>י' עמית</w:t>
      </w:r>
      <w:r w:rsidRPr="00A76B0D">
        <w:rPr>
          <w:rFonts w:ascii="Century" w:hAnsi="Century" w:hint="cs"/>
          <w:rtl/>
        </w:rPr>
        <w:t xml:space="preserve">, </w:t>
      </w:r>
      <w:r w:rsidR="00991186">
        <w:rPr>
          <w:rFonts w:ascii="Century" w:hAnsi="Century" w:cs="Miriam" w:hint="cs"/>
          <w:b/>
          <w:spacing w:val="0"/>
          <w:szCs w:val="24"/>
          <w:rtl/>
        </w:rPr>
        <w:t>נ' סולברג</w:t>
      </w:r>
      <w:r w:rsidRPr="00A76B0D">
        <w:rPr>
          <w:rFonts w:ascii="Century" w:hAnsi="Century" w:hint="cs"/>
          <w:rtl/>
        </w:rPr>
        <w:t xml:space="preserve">, </w:t>
      </w:r>
      <w:r w:rsidR="00991186">
        <w:rPr>
          <w:rFonts w:ascii="Century" w:hAnsi="Century" w:cs="Miriam" w:hint="cs"/>
          <w:b/>
          <w:spacing w:val="0"/>
          <w:szCs w:val="24"/>
          <w:rtl/>
        </w:rPr>
        <w:t>י</w:t>
      </w:r>
      <w:r w:rsidRPr="00A76B0D">
        <w:rPr>
          <w:rFonts w:ascii="Century" w:hAnsi="Century" w:cs="Miriam" w:hint="cs"/>
          <w:b/>
          <w:spacing w:val="0"/>
          <w:szCs w:val="24"/>
          <w:rtl/>
        </w:rPr>
        <w:t xml:space="preserve">' </w:t>
      </w:r>
      <w:r w:rsidR="00991186">
        <w:rPr>
          <w:rFonts w:ascii="Century" w:hAnsi="Century" w:cs="Miriam" w:hint="cs"/>
          <w:b/>
          <w:spacing w:val="0"/>
          <w:szCs w:val="24"/>
          <w:rtl/>
        </w:rPr>
        <w:t>כשר</w:t>
      </w:r>
      <w:r w:rsidRPr="00A76B0D">
        <w:rPr>
          <w:rFonts w:ascii="Century" w:hAnsi="Century" w:hint="cs"/>
          <w:rtl/>
        </w:rPr>
        <w:t>)</w:t>
      </w:r>
    </w:p>
    <w:p w:rsidR="00D421E4" w:rsidRPr="00D421E4" w:rsidRDefault="00D421E4" w:rsidP="00D421E4">
      <w:pPr>
        <w:pStyle w:val="Ruller41"/>
        <w:spacing w:line="240" w:lineRule="auto"/>
        <w:rPr>
          <w:b/>
          <w:bCs/>
          <w:sz w:val="16"/>
          <w:szCs w:val="22"/>
          <w:rtl/>
        </w:rPr>
      </w:pPr>
    </w:p>
    <w:p w:rsidR="00991186" w:rsidRDefault="00002743" w:rsidP="000D1D6F">
      <w:pPr>
        <w:pStyle w:val="Ruller41"/>
        <w:rPr>
          <w:b/>
          <w:bCs/>
          <w:rtl/>
        </w:rPr>
      </w:pPr>
      <w:r w:rsidRPr="005240D8">
        <w:rPr>
          <w:rFonts w:hint="cs"/>
          <w:b/>
          <w:bCs/>
          <w:rtl/>
        </w:rPr>
        <w:t>בית המשפט העליון דן בע</w:t>
      </w:r>
      <w:r w:rsidR="000D1D6F">
        <w:rPr>
          <w:rFonts w:hint="cs"/>
          <w:b/>
          <w:bCs/>
          <w:rtl/>
        </w:rPr>
        <w:t>תירה נגד מינויו של חבר הכנסת איתמר בן גביר לתפקיד השר לביטחון לאומי בממשלת ישראל ה-37. בפסק הדין נקבע, פה אחד, כי אין מקום להתערבותו של בית המשפט וכי דין העתירה להידחות.</w:t>
      </w:r>
    </w:p>
    <w:p w:rsidR="00002743" w:rsidRDefault="00002743" w:rsidP="00002743">
      <w:pPr>
        <w:pStyle w:val="Ruller41"/>
        <w:rPr>
          <w:rtl/>
        </w:rPr>
      </w:pPr>
    </w:p>
    <w:p w:rsidR="000D1D6F" w:rsidRDefault="000D1D6F" w:rsidP="008B2852">
      <w:pPr>
        <w:pStyle w:val="Ruller41"/>
        <w:rPr>
          <w:sz w:val="26"/>
          <w:szCs w:val="26"/>
          <w:rtl/>
        </w:rPr>
      </w:pPr>
      <w:r>
        <w:rPr>
          <w:rFonts w:hint="cs"/>
          <w:sz w:val="26"/>
          <w:szCs w:val="26"/>
          <w:rtl/>
        </w:rPr>
        <w:t xml:space="preserve">ביום 29.12.2022 כוננה ממשלת ישראל ה-37, וחבר הכנסת איתמר בן גביר מונה לתפקיד השר </w:t>
      </w:r>
      <w:r w:rsidR="000F6FD3">
        <w:rPr>
          <w:rFonts w:hint="cs"/>
          <w:sz w:val="26"/>
          <w:szCs w:val="26"/>
          <w:rtl/>
        </w:rPr>
        <w:t xml:space="preserve">למשרד לביטחון לאומי. שלושה ימים </w:t>
      </w:r>
      <w:r w:rsidR="000F6FD3" w:rsidRPr="00ED2CA4">
        <w:rPr>
          <w:rFonts w:ascii="Century" w:hAnsi="Century" w:hint="cs"/>
          <w:rtl/>
        </w:rPr>
        <w:t xml:space="preserve">לפני </w:t>
      </w:r>
      <w:r w:rsidR="000F6FD3">
        <w:rPr>
          <w:rFonts w:hint="cs"/>
          <w:sz w:val="26"/>
          <w:szCs w:val="26"/>
          <w:rtl/>
        </w:rPr>
        <w:t xml:space="preserve">כינון הממשלה, ביום 26.12.2022, הגישו העותרים את עתירתם, שבה נתבקש בית המשפט לקבוע כי אין למנות את </w:t>
      </w:r>
      <w:r w:rsidR="008E2A48">
        <w:rPr>
          <w:rFonts w:hint="cs"/>
          <w:sz w:val="26"/>
          <w:szCs w:val="26"/>
          <w:rtl/>
        </w:rPr>
        <w:t xml:space="preserve">חבר הכנסת </w:t>
      </w:r>
      <w:r w:rsidR="000F6FD3">
        <w:rPr>
          <w:rFonts w:hint="cs"/>
          <w:sz w:val="26"/>
          <w:szCs w:val="26"/>
          <w:rtl/>
        </w:rPr>
        <w:t>בן גביר לתפקיד השר</w:t>
      </w:r>
      <w:r w:rsidR="008B2852">
        <w:rPr>
          <w:rFonts w:hint="cs"/>
          <w:sz w:val="26"/>
          <w:szCs w:val="26"/>
          <w:rtl/>
        </w:rPr>
        <w:t>.</w:t>
      </w:r>
      <w:r w:rsidR="000F6FD3">
        <w:rPr>
          <w:rFonts w:hint="cs"/>
          <w:sz w:val="26"/>
          <w:szCs w:val="26"/>
          <w:rtl/>
        </w:rPr>
        <w:t xml:space="preserve"> </w:t>
      </w:r>
    </w:p>
    <w:p w:rsidR="000D1D6F" w:rsidRDefault="000D1D6F" w:rsidP="000D1D6F">
      <w:pPr>
        <w:pStyle w:val="Ruller41"/>
        <w:rPr>
          <w:sz w:val="26"/>
          <w:szCs w:val="26"/>
          <w:rtl/>
        </w:rPr>
      </w:pPr>
    </w:p>
    <w:p w:rsidR="008045A4" w:rsidRPr="003D141A" w:rsidRDefault="008E2A48" w:rsidP="003D141A">
      <w:pPr>
        <w:pStyle w:val="Ruller41"/>
        <w:rPr>
          <w:sz w:val="26"/>
          <w:szCs w:val="26"/>
          <w:rtl/>
        </w:rPr>
      </w:pPr>
      <w:r>
        <w:rPr>
          <w:rFonts w:hint="cs"/>
          <w:sz w:val="26"/>
          <w:szCs w:val="26"/>
          <w:rtl/>
        </w:rPr>
        <w:t xml:space="preserve">בפסק דינו עמד </w:t>
      </w:r>
      <w:r w:rsidRPr="00ED2CA4">
        <w:rPr>
          <w:rFonts w:hint="cs"/>
          <w:b/>
          <w:bCs/>
          <w:sz w:val="26"/>
          <w:szCs w:val="26"/>
          <w:rtl/>
        </w:rPr>
        <w:t>השופט עמית</w:t>
      </w:r>
      <w:r>
        <w:rPr>
          <w:rFonts w:hint="cs"/>
          <w:sz w:val="26"/>
          <w:szCs w:val="26"/>
          <w:rtl/>
        </w:rPr>
        <w:t xml:space="preserve"> על ההלכות שנוגעות למינוי </w:t>
      </w:r>
      <w:r w:rsidR="008F794C">
        <w:rPr>
          <w:rFonts w:hint="cs"/>
          <w:sz w:val="26"/>
          <w:szCs w:val="26"/>
          <w:rtl/>
        </w:rPr>
        <w:t>מועמדים לתפקידים ציבוריים</w:t>
      </w:r>
      <w:r>
        <w:rPr>
          <w:rFonts w:hint="cs"/>
          <w:sz w:val="26"/>
          <w:szCs w:val="26"/>
          <w:rtl/>
        </w:rPr>
        <w:t xml:space="preserve">, </w:t>
      </w:r>
      <w:r w:rsidR="00001DD2">
        <w:rPr>
          <w:rFonts w:hint="cs"/>
          <w:sz w:val="26"/>
          <w:szCs w:val="26"/>
          <w:rtl/>
        </w:rPr>
        <w:t xml:space="preserve">ובין היתר, כי </w:t>
      </w:r>
      <w:r w:rsidR="008F794C">
        <w:rPr>
          <w:rFonts w:hint="cs"/>
          <w:sz w:val="26"/>
          <w:szCs w:val="26"/>
          <w:rtl/>
        </w:rPr>
        <w:t>הסמכות למנות שרים בממשלה היא סמכות פוליטית במהותה</w:t>
      </w:r>
      <w:r w:rsidR="003D141A">
        <w:rPr>
          <w:rFonts w:hint="cs"/>
          <w:sz w:val="26"/>
          <w:szCs w:val="26"/>
          <w:rtl/>
        </w:rPr>
        <w:t>;</w:t>
      </w:r>
      <w:r w:rsidR="008F794C">
        <w:rPr>
          <w:rFonts w:hint="cs"/>
          <w:sz w:val="26"/>
          <w:szCs w:val="26"/>
          <w:rtl/>
        </w:rPr>
        <w:t xml:space="preserve"> </w:t>
      </w:r>
      <w:r w:rsidR="00001DD2">
        <w:rPr>
          <w:rFonts w:hint="cs"/>
          <w:sz w:val="26"/>
          <w:szCs w:val="26"/>
          <w:rtl/>
        </w:rPr>
        <w:t>כי</w:t>
      </w:r>
      <w:r>
        <w:rPr>
          <w:rFonts w:hint="cs"/>
          <w:sz w:val="26"/>
          <w:szCs w:val="26"/>
          <w:rtl/>
        </w:rPr>
        <w:t xml:space="preserve"> שיקול הדעת המסור </w:t>
      </w:r>
      <w:r w:rsidR="008F794C">
        <w:rPr>
          <w:rFonts w:hint="cs"/>
          <w:sz w:val="26"/>
          <w:szCs w:val="26"/>
          <w:rtl/>
        </w:rPr>
        <w:t>ל</w:t>
      </w:r>
      <w:r>
        <w:rPr>
          <w:rFonts w:hint="cs"/>
          <w:sz w:val="26"/>
          <w:szCs w:val="26"/>
          <w:rtl/>
        </w:rPr>
        <w:t xml:space="preserve">ראש הממשלה בעניין </w:t>
      </w:r>
      <w:r w:rsidR="008F794C">
        <w:rPr>
          <w:rFonts w:hint="cs"/>
          <w:sz w:val="26"/>
          <w:szCs w:val="26"/>
          <w:rtl/>
        </w:rPr>
        <w:t>מינוי שרים</w:t>
      </w:r>
      <w:r>
        <w:rPr>
          <w:rFonts w:hint="cs"/>
          <w:sz w:val="26"/>
          <w:szCs w:val="26"/>
          <w:rtl/>
        </w:rPr>
        <w:t xml:space="preserve"> </w:t>
      </w:r>
      <w:r w:rsidR="00001DD2">
        <w:rPr>
          <w:rFonts w:hint="cs"/>
          <w:sz w:val="26"/>
          <w:szCs w:val="26"/>
          <w:rtl/>
        </w:rPr>
        <w:t>הוא</w:t>
      </w:r>
      <w:r w:rsidR="008F794C">
        <w:rPr>
          <w:rFonts w:hint="cs"/>
          <w:sz w:val="26"/>
          <w:szCs w:val="26"/>
          <w:rtl/>
        </w:rPr>
        <w:t xml:space="preserve"> רחב</w:t>
      </w:r>
      <w:r w:rsidR="00001DD2">
        <w:rPr>
          <w:rFonts w:hint="cs"/>
          <w:sz w:val="26"/>
          <w:szCs w:val="26"/>
          <w:rtl/>
        </w:rPr>
        <w:t xml:space="preserve">; וכי </w:t>
      </w:r>
      <w:r w:rsidR="008F794C">
        <w:rPr>
          <w:rFonts w:hint="cs"/>
          <w:sz w:val="26"/>
          <w:szCs w:val="26"/>
          <w:rtl/>
        </w:rPr>
        <w:t>גדרי התערבותו של בית המשפט</w:t>
      </w:r>
      <w:r>
        <w:rPr>
          <w:rFonts w:hint="cs"/>
          <w:sz w:val="26"/>
          <w:szCs w:val="26"/>
          <w:rtl/>
        </w:rPr>
        <w:t xml:space="preserve"> </w:t>
      </w:r>
      <w:r w:rsidR="008F794C">
        <w:rPr>
          <w:rFonts w:hint="cs"/>
          <w:sz w:val="26"/>
          <w:szCs w:val="26"/>
          <w:rtl/>
        </w:rPr>
        <w:t>ב</w:t>
      </w:r>
      <w:r>
        <w:rPr>
          <w:rFonts w:hint="cs"/>
          <w:sz w:val="26"/>
          <w:szCs w:val="26"/>
          <w:rtl/>
        </w:rPr>
        <w:t>החלטות מסוג זה מצ</w:t>
      </w:r>
      <w:r w:rsidR="008F794C">
        <w:rPr>
          <w:rFonts w:hint="cs"/>
          <w:sz w:val="26"/>
          <w:szCs w:val="26"/>
          <w:rtl/>
        </w:rPr>
        <w:t>טמצמים למקרים שבהם המינוי עלול לפגוע פגיעה קשה וחמורה במעמדם של מוסדות השלטון ובאמון הציבור</w:t>
      </w:r>
      <w:r w:rsidR="003D141A">
        <w:rPr>
          <w:rFonts w:hint="cs"/>
          <w:sz w:val="26"/>
          <w:szCs w:val="26"/>
          <w:rtl/>
        </w:rPr>
        <w:t xml:space="preserve"> בהם.</w:t>
      </w:r>
    </w:p>
    <w:p w:rsidR="008045A4" w:rsidRDefault="008045A4" w:rsidP="008045A4">
      <w:pPr>
        <w:pStyle w:val="Ruller41"/>
        <w:rPr>
          <w:sz w:val="26"/>
          <w:szCs w:val="26"/>
          <w:rtl/>
        </w:rPr>
      </w:pPr>
    </w:p>
    <w:p w:rsidR="00ED2CA4" w:rsidRDefault="008045A4" w:rsidP="008D6E9B">
      <w:pPr>
        <w:pStyle w:val="Ruller41"/>
        <w:rPr>
          <w:sz w:val="26"/>
          <w:szCs w:val="26"/>
          <w:rtl/>
        </w:rPr>
      </w:pPr>
      <w:r>
        <w:rPr>
          <w:rFonts w:hint="cs"/>
          <w:sz w:val="26"/>
          <w:szCs w:val="26"/>
          <w:rtl/>
        </w:rPr>
        <w:t xml:space="preserve">השופט עמית </w:t>
      </w:r>
      <w:r w:rsidR="00ED2CA4">
        <w:rPr>
          <w:rFonts w:hint="cs"/>
          <w:sz w:val="26"/>
          <w:szCs w:val="26"/>
          <w:rtl/>
        </w:rPr>
        <w:t xml:space="preserve">הצביע </w:t>
      </w:r>
      <w:r>
        <w:rPr>
          <w:rFonts w:hint="cs"/>
          <w:sz w:val="26"/>
          <w:szCs w:val="26"/>
          <w:rtl/>
        </w:rPr>
        <w:t>על כך ש</w:t>
      </w:r>
      <w:r w:rsidR="008F794C">
        <w:rPr>
          <w:rFonts w:hint="cs"/>
          <w:sz w:val="26"/>
          <w:szCs w:val="26"/>
          <w:rtl/>
        </w:rPr>
        <w:t xml:space="preserve">לחובתו של בן גביר הרשעות שקשורות במישרין ובעקיפין להפרת הסדר הציבורי, בעוד שהשר לביטחון לאומי הוא הדמות שאמונה על שמירת שלטון החוק והסדר הציבורי. </w:t>
      </w:r>
      <w:r w:rsidR="00E30588">
        <w:rPr>
          <w:rFonts w:hint="cs"/>
          <w:sz w:val="26"/>
          <w:szCs w:val="26"/>
          <w:rtl/>
        </w:rPr>
        <w:t xml:space="preserve">בנוסף לכך, השופט עמית ציין כי חלק מההתבטאויות של בן גביר הן אמירות קשות שלא צריכות להישמע מפי נבחר ציבור, וכי מדובר בהתנהלות שאינה הולמת שר בישראל. למרות האמור, </w:t>
      </w:r>
      <w:r w:rsidR="008F794C">
        <w:rPr>
          <w:rFonts w:hint="cs"/>
          <w:sz w:val="26"/>
          <w:szCs w:val="26"/>
          <w:rtl/>
        </w:rPr>
        <w:t>לנוכח חלוף הזמן מאז ביצוע העבירות</w:t>
      </w:r>
      <w:r w:rsidR="008D6E9B">
        <w:rPr>
          <w:rFonts w:hint="cs"/>
          <w:sz w:val="26"/>
          <w:szCs w:val="26"/>
          <w:rtl/>
        </w:rPr>
        <w:t xml:space="preserve"> והתיישנותן</w:t>
      </w:r>
      <w:r w:rsidR="008F794C">
        <w:rPr>
          <w:rFonts w:hint="cs"/>
          <w:sz w:val="26"/>
          <w:szCs w:val="26"/>
          <w:rtl/>
        </w:rPr>
        <w:t xml:space="preserve">; </w:t>
      </w:r>
      <w:r w:rsidR="006609E2">
        <w:rPr>
          <w:rFonts w:hint="cs"/>
          <w:sz w:val="26"/>
          <w:szCs w:val="26"/>
          <w:rtl/>
        </w:rPr>
        <w:t xml:space="preserve">לנוכח </w:t>
      </w:r>
      <w:r w:rsidR="008F794C">
        <w:rPr>
          <w:rFonts w:hint="cs"/>
          <w:sz w:val="26"/>
          <w:szCs w:val="26"/>
          <w:rtl/>
        </w:rPr>
        <w:t>גילו הצעיר של בן גביר בעת ביצוע העבירות ואי העמדתו לדין מזה שנים ארוכות</w:t>
      </w:r>
      <w:r w:rsidR="00E30588">
        <w:rPr>
          <w:rFonts w:hint="cs"/>
          <w:sz w:val="26"/>
          <w:szCs w:val="26"/>
          <w:rtl/>
        </w:rPr>
        <w:t>;</w:t>
      </w:r>
      <w:r w:rsidR="006609E2">
        <w:rPr>
          <w:rFonts w:hint="cs"/>
          <w:sz w:val="26"/>
          <w:szCs w:val="26"/>
          <w:rtl/>
        </w:rPr>
        <w:t xml:space="preserve"> </w:t>
      </w:r>
      <w:r w:rsidR="00E30588">
        <w:rPr>
          <w:rFonts w:hint="cs"/>
          <w:sz w:val="26"/>
          <w:szCs w:val="26"/>
          <w:rtl/>
        </w:rPr>
        <w:t xml:space="preserve">בהינתן שחלק מההתבטאויות נאמרו לפני שנים ובטרם כיהן בתפקיד ציבורי; בהינתן הצהרתו של בן גביר בפני ראש הממשלה ובפני בית המשפט כי שינה אורחותיו; ובהתחשב בכך שראש הממשלה ביצע בחינה מחודשת בעניינו של השר בן גביר ושקל את הדברים </w:t>
      </w:r>
      <w:r w:rsidR="00E30588">
        <w:rPr>
          <w:sz w:val="26"/>
          <w:szCs w:val="26"/>
          <w:rtl/>
        </w:rPr>
        <w:t>–</w:t>
      </w:r>
      <w:r w:rsidR="00E30588">
        <w:rPr>
          <w:rFonts w:hint="cs"/>
          <w:sz w:val="26"/>
          <w:szCs w:val="26"/>
          <w:rtl/>
        </w:rPr>
        <w:t xml:space="preserve"> לנוכח כל אלה, </w:t>
      </w:r>
      <w:r w:rsidR="006609E2">
        <w:rPr>
          <w:rFonts w:hint="cs"/>
          <w:sz w:val="26"/>
          <w:szCs w:val="26"/>
          <w:rtl/>
        </w:rPr>
        <w:t xml:space="preserve">נקבע כי </w:t>
      </w:r>
      <w:r w:rsidR="008F794C">
        <w:rPr>
          <w:rFonts w:hint="cs"/>
          <w:sz w:val="26"/>
          <w:szCs w:val="26"/>
          <w:rtl/>
        </w:rPr>
        <w:t xml:space="preserve">יש לתת לעברו הפלילי </w:t>
      </w:r>
      <w:r w:rsidR="00E30588">
        <w:rPr>
          <w:rFonts w:hint="cs"/>
          <w:sz w:val="26"/>
          <w:szCs w:val="26"/>
          <w:rtl/>
        </w:rPr>
        <w:t xml:space="preserve">של השר בן גביר ולהתבטאויותיו </w:t>
      </w:r>
      <w:r w:rsidR="008F794C">
        <w:rPr>
          <w:rFonts w:hint="cs"/>
          <w:sz w:val="26"/>
          <w:szCs w:val="26"/>
          <w:rtl/>
        </w:rPr>
        <w:t>משקל נמוך במלאכת האיזון בין כלל השיקולים.</w:t>
      </w:r>
      <w:r>
        <w:rPr>
          <w:rFonts w:hint="cs"/>
          <w:sz w:val="26"/>
          <w:szCs w:val="26"/>
          <w:rtl/>
        </w:rPr>
        <w:t xml:space="preserve"> </w:t>
      </w:r>
    </w:p>
    <w:p w:rsidR="006609E2" w:rsidRDefault="006609E2" w:rsidP="006609E2">
      <w:pPr>
        <w:pStyle w:val="Ruller41"/>
        <w:rPr>
          <w:sz w:val="26"/>
          <w:szCs w:val="26"/>
          <w:rtl/>
        </w:rPr>
      </w:pPr>
    </w:p>
    <w:p w:rsidR="008045A4" w:rsidRDefault="008B2852" w:rsidP="008B2852">
      <w:pPr>
        <w:pStyle w:val="Ruller41"/>
        <w:rPr>
          <w:sz w:val="26"/>
          <w:szCs w:val="26"/>
          <w:rtl/>
        </w:rPr>
      </w:pPr>
      <w:r>
        <w:rPr>
          <w:rFonts w:hint="cs"/>
          <w:sz w:val="26"/>
          <w:szCs w:val="26"/>
          <w:rtl/>
        </w:rPr>
        <w:lastRenderedPageBreak/>
        <w:t xml:space="preserve">כפי שהודגש בפסק הדין, בחינת סבירות המינוי נעשתה על פי מצב הדברים בעת הגשת העתירה. </w:t>
      </w:r>
      <w:r w:rsidR="006609E2">
        <w:rPr>
          <w:rFonts w:hint="cs"/>
          <w:sz w:val="26"/>
          <w:szCs w:val="26"/>
          <w:rtl/>
        </w:rPr>
        <w:t xml:space="preserve">בסיכומם של דברים, השופט עמית קבע כי מינויו של בן גביר לתפקיד השר לביטחון לאומי </w:t>
      </w:r>
      <w:r w:rsidR="00ED2CA4">
        <w:rPr>
          <w:rFonts w:hint="cs"/>
          <w:sz w:val="26"/>
          <w:szCs w:val="26"/>
          <w:rtl/>
        </w:rPr>
        <w:t xml:space="preserve">אינו </w:t>
      </w:r>
      <w:r w:rsidR="006609E2">
        <w:rPr>
          <w:rFonts w:hint="cs"/>
          <w:sz w:val="26"/>
          <w:szCs w:val="26"/>
          <w:rtl/>
        </w:rPr>
        <w:t xml:space="preserve">חף מקשיים. עם זאת, בהתחשב באיזון בין כלל השיקולים ובשיקול הדעת הרחב שמסור לראש הממשלה בהחלטות מסוג זה </w:t>
      </w:r>
      <w:r w:rsidR="006609E2">
        <w:rPr>
          <w:sz w:val="26"/>
          <w:szCs w:val="26"/>
          <w:rtl/>
        </w:rPr>
        <w:t>–</w:t>
      </w:r>
      <w:r w:rsidR="006609E2">
        <w:rPr>
          <w:rFonts w:hint="cs"/>
          <w:sz w:val="26"/>
          <w:szCs w:val="26"/>
          <w:rtl/>
        </w:rPr>
        <w:t xml:space="preserve"> </w:t>
      </w:r>
      <w:r w:rsidR="00853FFF">
        <w:rPr>
          <w:rFonts w:hint="cs"/>
          <w:sz w:val="26"/>
          <w:szCs w:val="26"/>
          <w:rtl/>
        </w:rPr>
        <w:t>נקבע כי לא</w:t>
      </w:r>
      <w:r w:rsidR="006609E2">
        <w:rPr>
          <w:rFonts w:hint="cs"/>
          <w:sz w:val="26"/>
          <w:szCs w:val="26"/>
          <w:rtl/>
        </w:rPr>
        <w:t xml:space="preserve"> מדובר במינו</w:t>
      </w:r>
      <w:r w:rsidR="004C650B">
        <w:rPr>
          <w:rFonts w:hint="cs"/>
          <w:sz w:val="26"/>
          <w:szCs w:val="26"/>
          <w:rtl/>
        </w:rPr>
        <w:t>י שהוא בלתי סביר באופן קיצוני. משכך, נקבע כי אין מקום להתערבותו של בית המשפט וכי ו</w:t>
      </w:r>
      <w:r w:rsidR="006609E2">
        <w:rPr>
          <w:rFonts w:hint="cs"/>
          <w:sz w:val="26"/>
          <w:szCs w:val="26"/>
          <w:rtl/>
        </w:rPr>
        <w:t xml:space="preserve">דין העתירה להידחות. </w:t>
      </w:r>
    </w:p>
    <w:p w:rsidR="006609E2" w:rsidRDefault="006609E2" w:rsidP="008F794C">
      <w:pPr>
        <w:pStyle w:val="Ruller41"/>
        <w:rPr>
          <w:sz w:val="26"/>
          <w:szCs w:val="26"/>
          <w:rtl/>
        </w:rPr>
      </w:pPr>
    </w:p>
    <w:p w:rsidR="006F4C21" w:rsidRPr="00E60ED1" w:rsidRDefault="006F4C21" w:rsidP="00813524">
      <w:pPr>
        <w:pStyle w:val="Ruller4"/>
        <w:numPr>
          <w:ilvl w:val="0"/>
          <w:numId w:val="0"/>
        </w:numPr>
        <w:rPr>
          <w:rFonts w:ascii="Arial TUR" w:hAnsi="Arial TUR"/>
          <w:sz w:val="26"/>
          <w:szCs w:val="26"/>
          <w:rtl/>
        </w:rPr>
      </w:pPr>
      <w:r w:rsidRPr="00E60ED1">
        <w:rPr>
          <w:rFonts w:hint="cs"/>
          <w:b/>
          <w:bCs/>
          <w:sz w:val="26"/>
          <w:szCs w:val="26"/>
          <w:rtl/>
        </w:rPr>
        <w:t>השופט סולברג</w:t>
      </w:r>
      <w:r w:rsidRPr="00E60ED1">
        <w:rPr>
          <w:rFonts w:hint="cs"/>
          <w:sz w:val="26"/>
          <w:szCs w:val="26"/>
          <w:rtl/>
        </w:rPr>
        <w:t xml:space="preserve"> </w:t>
      </w:r>
      <w:r w:rsidRPr="00E60ED1">
        <w:rPr>
          <w:rFonts w:ascii="Arial TUR" w:hAnsi="Arial TUR" w:hint="cs"/>
          <w:sz w:val="26"/>
          <w:szCs w:val="26"/>
          <w:rtl/>
        </w:rPr>
        <w:t xml:space="preserve">הצטרף לתוצאה כי דין העתירה להידחות. השופט סולברג הדגיש, כי לעת הזאת סבורים רוב שופטי בית המשפט כי נכון לצמצם את גבולה של עילת הסבירות. לדבריו, נושא העתירה יכול לשמש תקדים הולם ל'ריסון עצמי' מצד בית המשפט, וזאת ברוח הביקורת הנוקבת שהופנתה כלפי בית המשפט לאורך השנים לגבי השימוש בעילת הסבירות בנושא של מינוי שרים ופיטורם. </w:t>
      </w:r>
      <w:r w:rsidRPr="00E60ED1">
        <w:rPr>
          <w:rFonts w:ascii="Arial TUR" w:hAnsi="Arial TUR"/>
          <w:sz w:val="26"/>
          <w:szCs w:val="26"/>
          <w:rtl/>
        </w:rPr>
        <w:t>גם אם ב-40 השנים האחרונות, ספינת המשפט הישראלי מפליגה, בשיטתיות ובעקביות, לעבר הקוטב 'האקטיביסטי', הרי שאין זה מן הנמנע להסיט קמעא את מסלולה של הספינה, טיפין טיפין, גם לכיוון שונה, שמרני יותר, מבלי צורך ב'מהפכ</w:t>
      </w:r>
      <w:r w:rsidRPr="00E60ED1">
        <w:rPr>
          <w:rFonts w:ascii="Arial TUR" w:hAnsi="Arial TUR" w:hint="cs"/>
          <w:sz w:val="26"/>
          <w:szCs w:val="26"/>
          <w:rtl/>
        </w:rPr>
        <w:t>ה'</w:t>
      </w:r>
      <w:r>
        <w:rPr>
          <w:rFonts w:ascii="Arial TUR" w:hAnsi="Arial TUR" w:hint="cs"/>
          <w:sz w:val="26"/>
          <w:szCs w:val="26"/>
          <w:rtl/>
        </w:rPr>
        <w:t>.</w:t>
      </w:r>
      <w:r w:rsidRPr="00E60ED1">
        <w:rPr>
          <w:rFonts w:ascii="Arial TUR" w:hAnsi="Arial TUR" w:hint="cs"/>
          <w:sz w:val="26"/>
          <w:szCs w:val="26"/>
          <w:rtl/>
        </w:rPr>
        <w:t xml:space="preserve"> </w:t>
      </w:r>
    </w:p>
    <w:p w:rsidR="00B84913" w:rsidRDefault="00B84913" w:rsidP="008F794C">
      <w:pPr>
        <w:pStyle w:val="Ruller41"/>
        <w:rPr>
          <w:sz w:val="26"/>
          <w:szCs w:val="26"/>
          <w:rtl/>
        </w:rPr>
      </w:pPr>
    </w:p>
    <w:p w:rsidR="006F4C21" w:rsidRDefault="006F4C21" w:rsidP="006F4C21">
      <w:pPr>
        <w:pStyle w:val="Ruller41"/>
        <w:rPr>
          <w:sz w:val="26"/>
          <w:szCs w:val="26"/>
          <w:rtl/>
        </w:rPr>
      </w:pPr>
      <w:r w:rsidRPr="00ED2CA4">
        <w:rPr>
          <w:rFonts w:hint="cs"/>
          <w:b/>
          <w:bCs/>
          <w:sz w:val="26"/>
          <w:szCs w:val="26"/>
          <w:rtl/>
        </w:rPr>
        <w:t>השופט כשר</w:t>
      </w:r>
      <w:r>
        <w:rPr>
          <w:rFonts w:hint="cs"/>
          <w:sz w:val="26"/>
          <w:szCs w:val="26"/>
          <w:rtl/>
        </w:rPr>
        <w:t xml:space="preserve"> הצטרף אף הוא לתוצאה כי דין העתירה להידחות. השופט כשר הצטרף גם לקביעתו של השופט עמית כי רק במקרים חריגים ונדירים יתערב בית המשפט בשיקול דעתו של ראש הממשלה בכל הנוגע להרכבת הממשלה. לדבריו, ככלל אין זה מתפקידו של בית המשפט לבקר את שיקוליו הפוליטיים של ראש הממשלה ואת משקלם הפנימי בנושא של מינוי שרים, ועל כן על בית המשפט להניח כי השיקולים הפוליטיים שביסוד המינוי הם ראויים וכבדי משקל ואף זו הצדקה לכך שההתערבות השיפוטית בשיקול דעתו של ראש הממשלה בכל הנוגע להרכבת הממשלה, תהיה שמורה למקרים יוצאי דופן וחריגים בלבד. באשר להתחשבות בהתבטאויות של מועמד בטרם מינוי לתפקיד שר, השופט כשר סבור (תוך שהינו מעיר שלא אלו נסיבות העניין דנן) כי יש קושי בקביעה שהתבטאות מצד חבר כנסת, המבטאת את השקפת עולמה של המפלגה שבה הוא חבר, </w:t>
      </w:r>
      <w:proofErr w:type="spellStart"/>
      <w:r>
        <w:rPr>
          <w:rFonts w:hint="cs"/>
          <w:sz w:val="26"/>
          <w:szCs w:val="26"/>
          <w:rtl/>
        </w:rPr>
        <w:t>שהיתה</w:t>
      </w:r>
      <w:proofErr w:type="spellEnd"/>
      <w:r>
        <w:rPr>
          <w:rFonts w:hint="cs"/>
          <w:sz w:val="26"/>
          <w:szCs w:val="26"/>
          <w:rtl/>
        </w:rPr>
        <w:t xml:space="preserve"> גלויה וידועה לפני הבחירות, יכולה להוות טעם להימנע ממינויו למשרת שר בממשלה (זאת להבדיל, לדוגמה, מעברו הפלילי של המועמד). לבסוף, בהתייחס לעילת הסבירות, השופט כשר הסכים כי יש להפגין ריסון שיפוטי בכל הנוגע לשימוש בעילת הסבירות, וכי יש צורך לנקוט זהירות מיוחדת בהתערבות שיפוטית בהחלטות של הממשלה ושריה, אולם הבהיר כי זוהי הגישה המוצאת ביטוי, הלכה למעשה, בפסיקתו של בית המשפט ואין צורך בשרטוט מחדש של תחומיה של עילת הסבירות. להשקפתו, העיקר הוא באופן בו תיושם עילת הסבירות ובמיוחד </w:t>
      </w:r>
      <w:r>
        <w:rPr>
          <w:sz w:val="26"/>
          <w:szCs w:val="26"/>
          <w:rtl/>
        </w:rPr>
        <w:t>–</w:t>
      </w:r>
      <w:r>
        <w:rPr>
          <w:rFonts w:hint="cs"/>
          <w:sz w:val="26"/>
          <w:szCs w:val="26"/>
          <w:rtl/>
        </w:rPr>
        <w:t xml:space="preserve"> המקרים בהם לא תיושם, למרות השקפתם של היושבים לדין כי לו בידם </w:t>
      </w:r>
      <w:proofErr w:type="spellStart"/>
      <w:r>
        <w:rPr>
          <w:rFonts w:hint="cs"/>
          <w:sz w:val="26"/>
          <w:szCs w:val="26"/>
          <w:rtl/>
        </w:rPr>
        <w:t>היתה</w:t>
      </w:r>
      <w:proofErr w:type="spellEnd"/>
      <w:r>
        <w:rPr>
          <w:rFonts w:hint="cs"/>
          <w:sz w:val="26"/>
          <w:szCs w:val="26"/>
          <w:rtl/>
        </w:rPr>
        <w:t xml:space="preserve"> הסמכות, הם היו מחליטים אחרת.</w:t>
      </w:r>
    </w:p>
    <w:p w:rsidR="006F4C21" w:rsidRDefault="006F4C21" w:rsidP="008F794C">
      <w:pPr>
        <w:pStyle w:val="Ruller41"/>
        <w:rPr>
          <w:sz w:val="26"/>
          <w:szCs w:val="26"/>
          <w:rtl/>
        </w:rPr>
      </w:pPr>
    </w:p>
    <w:sectPr w:rsidR="006F4C21" w:rsidSect="002F3420">
      <w:headerReference w:type="even" r:id="rId8"/>
      <w:headerReference w:type="default" r:id="rId9"/>
      <w:footerReference w:type="even" r:id="rId10"/>
      <w:headerReference w:type="first" r:id="rId11"/>
      <w:footerReference w:type="first" r:id="rId12"/>
      <w:endnotePr>
        <w:numFmt w:val="lowerLetter"/>
      </w:endnotePr>
      <w:pgSz w:w="11906" w:h="16838"/>
      <w:pgMar w:top="1440"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647" w:rsidRDefault="002A6647">
      <w:r>
        <w:separator/>
      </w:r>
    </w:p>
  </w:endnote>
  <w:endnote w:type="continuationSeparator" w:id="0">
    <w:p w:rsidR="002A6647" w:rsidRDefault="002A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Arial TUR">
    <w:altName w:val="Arial"/>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4C" w:rsidRDefault="002D044C">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1</w:t>
    </w:r>
    <w:r>
      <w:rPr>
        <w:rStyle w:val="a4"/>
        <w:rtl/>
      </w:rPr>
      <w:fldChar w:fldCharType="end"/>
    </w:r>
  </w:p>
  <w:p w:rsidR="002D044C" w:rsidRDefault="002D044C">
    <w:pPr>
      <w:pStyle w:val="a3"/>
      <w:rPr>
        <w:rtl/>
      </w:rPr>
    </w:pPr>
  </w:p>
  <w:p w:rsidR="002D044C" w:rsidRDefault="002D044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4C" w:rsidRDefault="002D044C">
    <w:pPr>
      <w:pStyle w:val="a3"/>
      <w:bidi w:val="0"/>
    </w:pPr>
  </w:p>
  <w:p w:rsidR="002D044C" w:rsidRDefault="002D044C">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647" w:rsidRDefault="002A6647">
      <w:r>
        <w:separator/>
      </w:r>
    </w:p>
  </w:footnote>
  <w:footnote w:type="continuationSeparator" w:id="0">
    <w:p w:rsidR="002A6647" w:rsidRDefault="002A6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4C" w:rsidRDefault="002D044C">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1</w:t>
    </w:r>
    <w:r>
      <w:rPr>
        <w:rStyle w:val="a4"/>
        <w:rtl/>
      </w:rPr>
      <w:fldChar w:fldCharType="end"/>
    </w:r>
  </w:p>
  <w:p w:rsidR="002D044C" w:rsidRDefault="002D044C">
    <w:pPr>
      <w:pStyle w:val="a5"/>
      <w:rPr>
        <w:rtl/>
      </w:rPr>
    </w:pPr>
  </w:p>
  <w:p w:rsidR="002D044C" w:rsidRDefault="002D044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44C" w:rsidRDefault="002D044C">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813524">
      <w:rPr>
        <w:rStyle w:val="a4"/>
        <w:noProof/>
        <w:rtl/>
      </w:rPr>
      <w:t>2</w:t>
    </w:r>
    <w:r>
      <w:rPr>
        <w:rStyle w:val="a4"/>
        <w:rtl/>
      </w:rPr>
      <w:fldChar w:fldCharType="end"/>
    </w:r>
  </w:p>
  <w:p w:rsidR="002D044C" w:rsidRDefault="002D044C">
    <w:pPr>
      <w:pStyle w:val="a5"/>
      <w:rPr>
        <w:rtl/>
      </w:rPr>
    </w:pPr>
  </w:p>
  <w:p w:rsidR="002D044C" w:rsidRDefault="002D044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B0D" w:rsidRDefault="00A76B0D" w:rsidP="00A76B0D">
    <w:pPr>
      <w:pStyle w:val="a5"/>
      <w:jc w:val="center"/>
      <w:rPr>
        <w:rtl/>
        <w:cs/>
      </w:rPr>
    </w:pPr>
    <w:r w:rsidRPr="00A76B0D">
      <w:rPr>
        <w:noProof/>
        <w:rtl/>
      </w:rPr>
      <w:drawing>
        <wp:inline distT="0" distB="0" distL="0" distR="0">
          <wp:extent cx="523875" cy="609600"/>
          <wp:effectExtent l="0" t="0" r="952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09600"/>
                  </a:xfrm>
                  <a:prstGeom prst="rect">
                    <a:avLst/>
                  </a:prstGeom>
                  <a:noFill/>
                  <a:ln>
                    <a:noFill/>
                  </a:ln>
                </pic:spPr>
              </pic:pic>
            </a:graphicData>
          </a:graphic>
        </wp:inline>
      </w:drawing>
    </w:r>
  </w:p>
  <w:p w:rsidR="00A76B0D" w:rsidRDefault="00A76B0D" w:rsidP="00A76B0D">
    <w:pPr>
      <w:pStyle w:val="a5"/>
      <w:jc w:val="center"/>
      <w:rPr>
        <w:rFonts w:ascii="FrankRuehl" w:hAnsi="FrankRuehl"/>
        <w:sz w:val="18"/>
        <w:szCs w:val="26"/>
        <w:rtl/>
        <w:cs/>
      </w:rPr>
    </w:pPr>
    <w:r w:rsidRPr="00A76B0D">
      <w:rPr>
        <w:rFonts w:ascii="FrankRuehl" w:hAnsi="FrankRuehl"/>
        <w:b/>
        <w:bCs/>
        <w:color w:val="000081"/>
        <w:spacing w:val="0"/>
        <w:sz w:val="30"/>
        <w:szCs w:val="30"/>
        <w:rtl/>
      </w:rPr>
      <w:t>בית</w:t>
    </w:r>
    <w:r w:rsidRPr="00A76B0D">
      <w:rPr>
        <w:rFonts w:ascii="FrankRuehl" w:hAnsi="FrankRuehl"/>
        <w:b/>
        <w:bCs/>
        <w:color w:val="000081"/>
        <w:spacing w:val="0"/>
        <w:sz w:val="30"/>
        <w:szCs w:val="30"/>
      </w:rPr>
      <w:t xml:space="preserve"> </w:t>
    </w:r>
    <w:r w:rsidRPr="00A76B0D">
      <w:rPr>
        <w:rFonts w:ascii="FrankRuehl" w:hAnsi="FrankRuehl"/>
        <w:b/>
        <w:bCs/>
        <w:color w:val="000081"/>
        <w:spacing w:val="0"/>
        <w:sz w:val="30"/>
        <w:szCs w:val="30"/>
        <w:rtl/>
      </w:rPr>
      <w:t>המשפט</w:t>
    </w:r>
    <w:r w:rsidRPr="00A76B0D">
      <w:rPr>
        <w:rFonts w:ascii="FrankRuehl" w:hAnsi="FrankRuehl"/>
        <w:b/>
        <w:bCs/>
        <w:color w:val="000081"/>
        <w:spacing w:val="0"/>
        <w:sz w:val="30"/>
        <w:szCs w:val="30"/>
      </w:rPr>
      <w:t xml:space="preserve"> </w:t>
    </w:r>
    <w:r w:rsidRPr="00A76B0D">
      <w:rPr>
        <w:rFonts w:ascii="FrankRuehl" w:hAnsi="FrankRuehl"/>
        <w:b/>
        <w:bCs/>
        <w:color w:val="000081"/>
        <w:spacing w:val="0"/>
        <w:sz w:val="30"/>
        <w:szCs w:val="30"/>
        <w:rtl/>
      </w:rPr>
      <w:t>העליון</w:t>
    </w:r>
  </w:p>
  <w:p w:rsidR="00A76B0D" w:rsidRPr="00D421E4" w:rsidRDefault="00A76B0D" w:rsidP="00A76B0D">
    <w:pPr>
      <w:pStyle w:val="a5"/>
      <w:jc w:val="center"/>
      <w:rPr>
        <w:rFonts w:ascii="FrankRuehl" w:hAnsi="FrankRuehl"/>
        <w:sz w:val="4"/>
        <w:szCs w:val="12"/>
        <w:rtl/>
        <w: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001B"/>
    <w:multiLevelType w:val="hybridMultilevel"/>
    <w:tmpl w:val="B2C4B5E4"/>
    <w:lvl w:ilvl="0" w:tplc="5F9C772A">
      <w:start w:val="1"/>
      <w:numFmt w:val="decimal"/>
      <w:pStyle w:val="Ruller4"/>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FE70B62"/>
    <w:multiLevelType w:val="hybridMultilevel"/>
    <w:tmpl w:val="ADA8711E"/>
    <w:lvl w:ilvl="0" w:tplc="DBB0A036">
      <w:start w:val="1"/>
      <w:numFmt w:val="hebrew1"/>
      <w:pStyle w:val="Ruller40"/>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743"/>
    <w:rsid w:val="00001DD2"/>
    <w:rsid w:val="00002743"/>
    <w:rsid w:val="00006F39"/>
    <w:rsid w:val="00020E06"/>
    <w:rsid w:val="00021638"/>
    <w:rsid w:val="00064573"/>
    <w:rsid w:val="00072C1D"/>
    <w:rsid w:val="0009258F"/>
    <w:rsid w:val="000A6ABA"/>
    <w:rsid w:val="000B256A"/>
    <w:rsid w:val="000B2ECF"/>
    <w:rsid w:val="000B7CB1"/>
    <w:rsid w:val="000C0407"/>
    <w:rsid w:val="000D00A4"/>
    <w:rsid w:val="000D1D6F"/>
    <w:rsid w:val="000D20EC"/>
    <w:rsid w:val="000D4CD3"/>
    <w:rsid w:val="000E727A"/>
    <w:rsid w:val="000F39DD"/>
    <w:rsid w:val="000F5245"/>
    <w:rsid w:val="000F6A92"/>
    <w:rsid w:val="000F6FD3"/>
    <w:rsid w:val="0010484A"/>
    <w:rsid w:val="0010649F"/>
    <w:rsid w:val="0018467D"/>
    <w:rsid w:val="00190B7D"/>
    <w:rsid w:val="001B193F"/>
    <w:rsid w:val="001C1CD4"/>
    <w:rsid w:val="001C289E"/>
    <w:rsid w:val="001E024A"/>
    <w:rsid w:val="001E1AA2"/>
    <w:rsid w:val="001F69E3"/>
    <w:rsid w:val="00203388"/>
    <w:rsid w:val="002219EB"/>
    <w:rsid w:val="00227345"/>
    <w:rsid w:val="00230156"/>
    <w:rsid w:val="002373E2"/>
    <w:rsid w:val="0024615A"/>
    <w:rsid w:val="00254B7B"/>
    <w:rsid w:val="00260BF1"/>
    <w:rsid w:val="00267300"/>
    <w:rsid w:val="002956E0"/>
    <w:rsid w:val="002A6647"/>
    <w:rsid w:val="002B25BB"/>
    <w:rsid w:val="002B3337"/>
    <w:rsid w:val="002B390C"/>
    <w:rsid w:val="002B6767"/>
    <w:rsid w:val="002C1541"/>
    <w:rsid w:val="002C2AF4"/>
    <w:rsid w:val="002C6A88"/>
    <w:rsid w:val="002D044C"/>
    <w:rsid w:val="002E4ECB"/>
    <w:rsid w:val="002E694B"/>
    <w:rsid w:val="002E6ECE"/>
    <w:rsid w:val="002F3420"/>
    <w:rsid w:val="00304FA2"/>
    <w:rsid w:val="003100DA"/>
    <w:rsid w:val="00311C0F"/>
    <w:rsid w:val="00311FB2"/>
    <w:rsid w:val="00320125"/>
    <w:rsid w:val="00325E34"/>
    <w:rsid w:val="003335F9"/>
    <w:rsid w:val="00344285"/>
    <w:rsid w:val="00365A27"/>
    <w:rsid w:val="0037204C"/>
    <w:rsid w:val="00381D54"/>
    <w:rsid w:val="003A29D9"/>
    <w:rsid w:val="003A351F"/>
    <w:rsid w:val="003D141A"/>
    <w:rsid w:val="003D1D6E"/>
    <w:rsid w:val="003D51F1"/>
    <w:rsid w:val="003E1D52"/>
    <w:rsid w:val="003E4ABA"/>
    <w:rsid w:val="003F3926"/>
    <w:rsid w:val="00404CC4"/>
    <w:rsid w:val="00405772"/>
    <w:rsid w:val="00406A1D"/>
    <w:rsid w:val="004403F1"/>
    <w:rsid w:val="004575F3"/>
    <w:rsid w:val="0046584A"/>
    <w:rsid w:val="004922A6"/>
    <w:rsid w:val="004A00E1"/>
    <w:rsid w:val="004A3AB8"/>
    <w:rsid w:val="004B1CF3"/>
    <w:rsid w:val="004B2948"/>
    <w:rsid w:val="004C1736"/>
    <w:rsid w:val="004C650B"/>
    <w:rsid w:val="004D6812"/>
    <w:rsid w:val="004D7E67"/>
    <w:rsid w:val="004E147C"/>
    <w:rsid w:val="004F1D87"/>
    <w:rsid w:val="00515999"/>
    <w:rsid w:val="00520F60"/>
    <w:rsid w:val="005240D8"/>
    <w:rsid w:val="005320F3"/>
    <w:rsid w:val="00540530"/>
    <w:rsid w:val="005711C5"/>
    <w:rsid w:val="0059779D"/>
    <w:rsid w:val="005B01CA"/>
    <w:rsid w:val="005B0C21"/>
    <w:rsid w:val="005B642B"/>
    <w:rsid w:val="005D0720"/>
    <w:rsid w:val="005D29C7"/>
    <w:rsid w:val="005D6398"/>
    <w:rsid w:val="005E058C"/>
    <w:rsid w:val="005E774C"/>
    <w:rsid w:val="005F1C3E"/>
    <w:rsid w:val="005F6E31"/>
    <w:rsid w:val="006073F7"/>
    <w:rsid w:val="00617540"/>
    <w:rsid w:val="0062315E"/>
    <w:rsid w:val="00653164"/>
    <w:rsid w:val="006609E2"/>
    <w:rsid w:val="006649F8"/>
    <w:rsid w:val="00667670"/>
    <w:rsid w:val="00673854"/>
    <w:rsid w:val="006760FF"/>
    <w:rsid w:val="00676F26"/>
    <w:rsid w:val="00682B8E"/>
    <w:rsid w:val="00692DF7"/>
    <w:rsid w:val="006A273B"/>
    <w:rsid w:val="006A6B7E"/>
    <w:rsid w:val="006C1127"/>
    <w:rsid w:val="006C1457"/>
    <w:rsid w:val="006D44B6"/>
    <w:rsid w:val="006D5502"/>
    <w:rsid w:val="006D66C7"/>
    <w:rsid w:val="006E0822"/>
    <w:rsid w:val="006E608D"/>
    <w:rsid w:val="006F4C21"/>
    <w:rsid w:val="00712C0D"/>
    <w:rsid w:val="00720DD8"/>
    <w:rsid w:val="00734E7B"/>
    <w:rsid w:val="0074242E"/>
    <w:rsid w:val="007457EF"/>
    <w:rsid w:val="007463ED"/>
    <w:rsid w:val="00747BBF"/>
    <w:rsid w:val="007603C3"/>
    <w:rsid w:val="007C024A"/>
    <w:rsid w:val="007D0F1F"/>
    <w:rsid w:val="007D54D2"/>
    <w:rsid w:val="008044FC"/>
    <w:rsid w:val="008045A4"/>
    <w:rsid w:val="008062F1"/>
    <w:rsid w:val="00813524"/>
    <w:rsid w:val="00816F92"/>
    <w:rsid w:val="00824761"/>
    <w:rsid w:val="00834802"/>
    <w:rsid w:val="00853FFF"/>
    <w:rsid w:val="0085651C"/>
    <w:rsid w:val="008647F4"/>
    <w:rsid w:val="00871866"/>
    <w:rsid w:val="00874E8F"/>
    <w:rsid w:val="008A397C"/>
    <w:rsid w:val="008B2508"/>
    <w:rsid w:val="008B2605"/>
    <w:rsid w:val="008B2852"/>
    <w:rsid w:val="008C0AF2"/>
    <w:rsid w:val="008D06BA"/>
    <w:rsid w:val="008D6E9B"/>
    <w:rsid w:val="008E2A48"/>
    <w:rsid w:val="008E302E"/>
    <w:rsid w:val="008E6C36"/>
    <w:rsid w:val="008F249C"/>
    <w:rsid w:val="008F794C"/>
    <w:rsid w:val="0092421A"/>
    <w:rsid w:val="0092473C"/>
    <w:rsid w:val="009317D8"/>
    <w:rsid w:val="00932DB2"/>
    <w:rsid w:val="00942F78"/>
    <w:rsid w:val="00953DBB"/>
    <w:rsid w:val="00954640"/>
    <w:rsid w:val="00956D4B"/>
    <w:rsid w:val="00956F05"/>
    <w:rsid w:val="009651BF"/>
    <w:rsid w:val="0097777C"/>
    <w:rsid w:val="009849FF"/>
    <w:rsid w:val="00991186"/>
    <w:rsid w:val="009922A6"/>
    <w:rsid w:val="00995C07"/>
    <w:rsid w:val="009A35ED"/>
    <w:rsid w:val="009B5E2F"/>
    <w:rsid w:val="009C4681"/>
    <w:rsid w:val="009D467D"/>
    <w:rsid w:val="009D6C17"/>
    <w:rsid w:val="009E088D"/>
    <w:rsid w:val="009F432B"/>
    <w:rsid w:val="00A065FC"/>
    <w:rsid w:val="00A07C18"/>
    <w:rsid w:val="00A270C2"/>
    <w:rsid w:val="00A55AC3"/>
    <w:rsid w:val="00A642FC"/>
    <w:rsid w:val="00A6437C"/>
    <w:rsid w:val="00A719D9"/>
    <w:rsid w:val="00A76B0D"/>
    <w:rsid w:val="00A81E51"/>
    <w:rsid w:val="00A91186"/>
    <w:rsid w:val="00AD1836"/>
    <w:rsid w:val="00AE28BA"/>
    <w:rsid w:val="00AE2AC0"/>
    <w:rsid w:val="00AF4C42"/>
    <w:rsid w:val="00B00F33"/>
    <w:rsid w:val="00B02C0B"/>
    <w:rsid w:val="00B04933"/>
    <w:rsid w:val="00B14131"/>
    <w:rsid w:val="00B15CC3"/>
    <w:rsid w:val="00B278D9"/>
    <w:rsid w:val="00B4648F"/>
    <w:rsid w:val="00B478E7"/>
    <w:rsid w:val="00B5465E"/>
    <w:rsid w:val="00B571F4"/>
    <w:rsid w:val="00B7785D"/>
    <w:rsid w:val="00B82D05"/>
    <w:rsid w:val="00B83D24"/>
    <w:rsid w:val="00B84913"/>
    <w:rsid w:val="00B916BF"/>
    <w:rsid w:val="00B94695"/>
    <w:rsid w:val="00BE389F"/>
    <w:rsid w:val="00BE43A1"/>
    <w:rsid w:val="00BF532D"/>
    <w:rsid w:val="00C1683B"/>
    <w:rsid w:val="00C22776"/>
    <w:rsid w:val="00C40E95"/>
    <w:rsid w:val="00C72486"/>
    <w:rsid w:val="00C834DA"/>
    <w:rsid w:val="00C86F90"/>
    <w:rsid w:val="00C915CB"/>
    <w:rsid w:val="00CA04EF"/>
    <w:rsid w:val="00CB0A0D"/>
    <w:rsid w:val="00CD4CE9"/>
    <w:rsid w:val="00CF5B1C"/>
    <w:rsid w:val="00D13403"/>
    <w:rsid w:val="00D157D4"/>
    <w:rsid w:val="00D2021F"/>
    <w:rsid w:val="00D24750"/>
    <w:rsid w:val="00D2732E"/>
    <w:rsid w:val="00D35FA2"/>
    <w:rsid w:val="00D421E4"/>
    <w:rsid w:val="00D506DE"/>
    <w:rsid w:val="00D511DD"/>
    <w:rsid w:val="00D552BF"/>
    <w:rsid w:val="00D72B58"/>
    <w:rsid w:val="00D746B8"/>
    <w:rsid w:val="00DB036D"/>
    <w:rsid w:val="00DD51A7"/>
    <w:rsid w:val="00DF2933"/>
    <w:rsid w:val="00E12233"/>
    <w:rsid w:val="00E14012"/>
    <w:rsid w:val="00E276C1"/>
    <w:rsid w:val="00E30588"/>
    <w:rsid w:val="00E55704"/>
    <w:rsid w:val="00E70E83"/>
    <w:rsid w:val="00E749DA"/>
    <w:rsid w:val="00E76D54"/>
    <w:rsid w:val="00EA1395"/>
    <w:rsid w:val="00EA6060"/>
    <w:rsid w:val="00EB2628"/>
    <w:rsid w:val="00EB3781"/>
    <w:rsid w:val="00EB462F"/>
    <w:rsid w:val="00EC2864"/>
    <w:rsid w:val="00ED2CA4"/>
    <w:rsid w:val="00ED3BEA"/>
    <w:rsid w:val="00ED7E0B"/>
    <w:rsid w:val="00EE19AE"/>
    <w:rsid w:val="00EE2D4A"/>
    <w:rsid w:val="00F031AC"/>
    <w:rsid w:val="00F0552C"/>
    <w:rsid w:val="00F12C64"/>
    <w:rsid w:val="00F12DB9"/>
    <w:rsid w:val="00F14CDB"/>
    <w:rsid w:val="00F33239"/>
    <w:rsid w:val="00F41031"/>
    <w:rsid w:val="00F6085C"/>
    <w:rsid w:val="00F60A9E"/>
    <w:rsid w:val="00F75B32"/>
    <w:rsid w:val="00F76209"/>
    <w:rsid w:val="00F76B1C"/>
    <w:rsid w:val="00F85A9B"/>
    <w:rsid w:val="00F8734F"/>
    <w:rsid w:val="00F94205"/>
    <w:rsid w:val="00FA075F"/>
    <w:rsid w:val="00FA7EB3"/>
    <w:rsid w:val="00FB568A"/>
    <w:rsid w:val="00FE65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1C0F6F"/>
  <w15:chartTrackingRefBased/>
  <w15:docId w15:val="{7A877224-DD99-4213-BF98-EEAAF32A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9EB"/>
    <w:pPr>
      <w:overflowPunct w:val="0"/>
      <w:autoSpaceDE w:val="0"/>
      <w:autoSpaceDN w:val="0"/>
      <w:bidi/>
      <w:adjustRightInd w:val="0"/>
      <w:spacing w:line="360" w:lineRule="auto"/>
      <w:textAlignment w:val="baseline"/>
    </w:pPr>
    <w:rPr>
      <w:rFonts w:ascii="Century" w:hAnsi="Century" w:cs="FrankRuehl"/>
      <w:spacing w:val="1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link w:val="Ruller30"/>
    <w:rsid w:val="00D506DE"/>
    <w:pPr>
      <w:tabs>
        <w:tab w:val="left" w:pos="3210"/>
        <w:tab w:val="left" w:pos="6753"/>
      </w:tabs>
    </w:pPr>
    <w:rPr>
      <w:sz w:val="22"/>
    </w:rPr>
  </w:style>
  <w:style w:type="paragraph" w:customStyle="1" w:styleId="Pskdinhead">
    <w:name w:val="Pskdin head"/>
    <w:basedOn w:val="a"/>
    <w:rPr>
      <w:b/>
      <w:bCs/>
      <w:u w:val="single"/>
    </w:rPr>
  </w:style>
  <w:style w:type="paragraph" w:customStyle="1" w:styleId="FileNumber">
    <w:name w:val="File Number"/>
    <w:basedOn w:val="a"/>
    <w:pPr>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rPr>
  </w:style>
  <w:style w:type="paragraph" w:customStyle="1" w:styleId="DocumentHead">
    <w:name w:val="Document Head"/>
    <w:basedOn w:val="a"/>
    <w:pPr>
      <w:jc w:val="center"/>
    </w:pPr>
    <w:rPr>
      <w:bCs/>
      <w:spacing w:val="30"/>
      <w:u w:val="single"/>
    </w:rPr>
  </w:style>
  <w:style w:type="paragraph" w:customStyle="1" w:styleId="TfutzaList">
    <w:name w:val="Tfutza List"/>
    <w:basedOn w:val="a"/>
    <w:rPr>
      <w:i/>
      <w:iCs/>
    </w:rPr>
  </w:style>
  <w:style w:type="paragraph" w:customStyle="1" w:styleId="Ruller41">
    <w:name w:val="Ruller4"/>
    <w:basedOn w:val="a"/>
    <w:rsid w:val="00D506DE"/>
    <w:pPr>
      <w:tabs>
        <w:tab w:val="left" w:pos="800"/>
      </w:tabs>
      <w:jc w:val="both"/>
    </w:pPr>
    <w:rPr>
      <w:rFonts w:ascii="Arial TUR" w:hAnsi="Arial TUR"/>
      <w:sz w:val="22"/>
    </w:rPr>
  </w:style>
  <w:style w:type="paragraph" w:customStyle="1" w:styleId="Ruller5">
    <w:name w:val="Ruller5"/>
    <w:basedOn w:val="a"/>
    <w:rsid w:val="00D506DE"/>
    <w:pPr>
      <w:spacing w:line="240" w:lineRule="auto"/>
      <w:ind w:left="1644" w:right="1276"/>
      <w:jc w:val="both"/>
    </w:pPr>
    <w:rPr>
      <w:rFonts w:ascii="Arial TUR" w:hAnsi="Arial TUR"/>
      <w:sz w:val="22"/>
    </w:rPr>
  </w:style>
  <w:style w:type="paragraph" w:customStyle="1" w:styleId="Ruller6">
    <w:name w:val="Ruller6"/>
    <w:basedOn w:val="a"/>
    <w:rsid w:val="00D506DE"/>
    <w:pPr>
      <w:tabs>
        <w:tab w:val="left" w:pos="794"/>
        <w:tab w:val="left" w:pos="2268"/>
        <w:tab w:val="left" w:pos="5783"/>
        <w:tab w:val="left" w:pos="7371"/>
      </w:tabs>
    </w:pPr>
    <w:rPr>
      <w:rFonts w:ascii="Arial TUR" w:hAnsi="Arial TUR" w:cs="DavidFix"/>
      <w:sz w:val="22"/>
      <w:szCs w:val="20"/>
    </w:rPr>
  </w:style>
  <w:style w:type="character" w:customStyle="1" w:styleId="Delete">
    <w:name w:val="Delete"/>
    <w:rPr>
      <w:strike/>
    </w:rPr>
  </w:style>
  <w:style w:type="paragraph" w:customStyle="1" w:styleId="WriterName">
    <w:name w:val="Writer Name"/>
    <w:basedOn w:val="Ruller41"/>
    <w:next w:val="Ruller41"/>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link w:val="a6"/>
    <w:uiPriority w:val="99"/>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link w:val="BodyRuller0"/>
    <w:rsid w:val="00B94695"/>
    <w:rPr>
      <w:sz w:val="22"/>
    </w:rPr>
  </w:style>
  <w:style w:type="paragraph" w:customStyle="1" w:styleId="Ruller38">
    <w:name w:val="סגנון Ruller 3 + (מורכב) ‏8 נק"/>
    <w:basedOn w:val="BodyRuller"/>
    <w:link w:val="Ruller380"/>
    <w:rsid w:val="004D7E67"/>
    <w:rPr>
      <w:szCs w:val="16"/>
    </w:rPr>
  </w:style>
  <w:style w:type="character" w:customStyle="1" w:styleId="Ruller30">
    <w:name w:val="Ruller 3 תו"/>
    <w:link w:val="Ruller3"/>
    <w:rsid w:val="004D7E67"/>
    <w:rPr>
      <w:rFonts w:cs="FrankRuehl"/>
      <w:sz w:val="22"/>
      <w:szCs w:val="28"/>
      <w:lang w:val="en-US" w:eastAsia="en-US" w:bidi="he-IL"/>
    </w:rPr>
  </w:style>
  <w:style w:type="character" w:customStyle="1" w:styleId="BodyRuller0">
    <w:name w:val="Body Ruller תו"/>
    <w:link w:val="BodyRuller"/>
    <w:rsid w:val="00B94695"/>
    <w:rPr>
      <w:rFonts w:cs="David"/>
      <w:sz w:val="22"/>
      <w:szCs w:val="28"/>
      <w:lang w:val="en-US" w:eastAsia="en-US" w:bidi="he-IL"/>
    </w:rPr>
  </w:style>
  <w:style w:type="character" w:customStyle="1" w:styleId="Ruller380">
    <w:name w:val="סגנון Ruller 3 + (מורכב) ‏8 נק תו"/>
    <w:link w:val="Ruller38"/>
    <w:rsid w:val="004D7E67"/>
    <w:rPr>
      <w:rFonts w:cs="David"/>
      <w:sz w:val="22"/>
      <w:szCs w:val="16"/>
      <w:lang w:val="en-US" w:eastAsia="en-US" w:bidi="he-IL"/>
    </w:rPr>
  </w:style>
  <w:style w:type="paragraph" w:customStyle="1" w:styleId="Ruller4">
    <w:name w:val="Ruller 4 ממוספר"/>
    <w:basedOn w:val="Ruller41"/>
    <w:next w:val="Ruller41"/>
    <w:rsid w:val="00956F05"/>
    <w:pPr>
      <w:numPr>
        <w:numId w:val="1"/>
      </w:numPr>
    </w:pPr>
    <w:rPr>
      <w:rFonts w:ascii="Garamond" w:hAnsi="Garamond"/>
      <w:sz w:val="24"/>
    </w:rPr>
  </w:style>
  <w:style w:type="paragraph" w:customStyle="1" w:styleId="Ruller40">
    <w:name w:val="Ruller4 אלפביתי"/>
    <w:basedOn w:val="Ruller41"/>
    <w:next w:val="Ruller41"/>
    <w:rsid w:val="00D511DD"/>
    <w:pPr>
      <w:numPr>
        <w:numId w:val="2"/>
      </w:numPr>
    </w:pPr>
  </w:style>
  <w:style w:type="paragraph" w:styleId="a7">
    <w:name w:val="Balloon Text"/>
    <w:basedOn w:val="a"/>
    <w:link w:val="a8"/>
    <w:semiHidden/>
    <w:unhideWhenUsed/>
    <w:rsid w:val="00A07C18"/>
    <w:pPr>
      <w:spacing w:line="240" w:lineRule="auto"/>
    </w:pPr>
    <w:rPr>
      <w:rFonts w:ascii="Tahoma" w:hAnsi="Tahoma" w:cs="Tahoma"/>
      <w:sz w:val="18"/>
      <w:szCs w:val="18"/>
    </w:rPr>
  </w:style>
  <w:style w:type="character" w:customStyle="1" w:styleId="a8">
    <w:name w:val="טקסט בלונים תו"/>
    <w:basedOn w:val="a0"/>
    <w:link w:val="a7"/>
    <w:semiHidden/>
    <w:rsid w:val="00A07C18"/>
    <w:rPr>
      <w:rFonts w:ascii="Tahoma" w:hAnsi="Tahoma" w:cs="Tahoma"/>
      <w:spacing w:val="10"/>
      <w:sz w:val="18"/>
      <w:szCs w:val="18"/>
    </w:rPr>
  </w:style>
  <w:style w:type="character" w:customStyle="1" w:styleId="a6">
    <w:name w:val="כותרת עליונה תו"/>
    <w:basedOn w:val="a0"/>
    <w:link w:val="a5"/>
    <w:uiPriority w:val="99"/>
    <w:rsid w:val="00A76B0D"/>
    <w:rPr>
      <w:rFonts w:ascii="Century" w:hAnsi="Century" w:cs="FrankRuehl"/>
      <w:spacing w:val="1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7364B-2BA1-4D8F-B3C6-B44FB1B1A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3230</Characters>
  <Application>Microsoft Office Word</Application>
  <DocSecurity>4</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Court</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רועי גרוסברגר</dc:creator>
  <cp:keywords/>
  <dc:description/>
  <cp:lastModifiedBy>רותם כהן</cp:lastModifiedBy>
  <cp:revision>2</cp:revision>
  <cp:lastPrinted>2022-11-23T13:11:00Z</cp:lastPrinted>
  <dcterms:created xsi:type="dcterms:W3CDTF">2024-02-21T10:17:00Z</dcterms:created>
  <dcterms:modified xsi:type="dcterms:W3CDTF">2024-02-21T10:17:00Z</dcterms:modified>
</cp:coreProperties>
</file>