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6355" w:rsidRDefault="002453CF" w:rsidP="00EC6355">
      <w:pPr>
        <w:spacing w:after="0" w:line="240" w:lineRule="auto"/>
        <w:jc w:val="right"/>
        <w:rPr>
          <w:rFonts w:ascii="Times New Roman" w:eastAsia="Times New Roman" w:hAnsi="Times New Roman" w:cs="David"/>
          <w:sz w:val="16"/>
          <w:szCs w:val="16"/>
          <w:rtl/>
        </w:rPr>
      </w:pPr>
      <w:r w:rsidRPr="006C3B1F">
        <w:rPr>
          <w:rFonts w:cs="David" w:hint="cs"/>
          <w:b/>
          <w:bCs/>
          <w:sz w:val="24"/>
          <w:szCs w:val="24"/>
          <w:rtl/>
        </w:rPr>
        <w:t xml:space="preserve">                                 </w:t>
      </w:r>
      <w:r w:rsidR="006B7B96" w:rsidRPr="006C3B1F">
        <w:rPr>
          <w:rFonts w:cs="David" w:hint="cs"/>
          <w:b/>
          <w:bCs/>
          <w:sz w:val="24"/>
          <w:szCs w:val="24"/>
          <w:rtl/>
        </w:rPr>
        <w:t xml:space="preserve">           </w:t>
      </w:r>
      <w:r w:rsidR="00631744">
        <w:rPr>
          <w:rFonts w:cs="David" w:hint="cs"/>
          <w:b/>
          <w:bCs/>
          <w:sz w:val="24"/>
          <w:szCs w:val="24"/>
          <w:rtl/>
        </w:rPr>
        <w:t xml:space="preserve">           </w:t>
      </w:r>
      <w:r w:rsidR="006C3B1F">
        <w:rPr>
          <w:rFonts w:cs="David" w:hint="cs"/>
          <w:b/>
          <w:bCs/>
          <w:sz w:val="24"/>
          <w:szCs w:val="24"/>
          <w:rtl/>
        </w:rPr>
        <w:t xml:space="preserve">   </w:t>
      </w:r>
      <w:r w:rsidRPr="006C3B1F">
        <w:rPr>
          <w:rFonts w:cs="David" w:hint="cs"/>
          <w:b/>
          <w:bCs/>
          <w:sz w:val="24"/>
          <w:szCs w:val="24"/>
          <w:rtl/>
        </w:rPr>
        <w:t xml:space="preserve">  </w:t>
      </w:r>
      <w:r w:rsidR="004003A5">
        <w:rPr>
          <w:rFonts w:hint="cs"/>
          <w:b/>
          <w:bCs/>
          <w:rtl/>
        </w:rPr>
        <w:t xml:space="preserve"> </w:t>
      </w:r>
      <w:r w:rsidR="00EC6355">
        <w:rPr>
          <w:rFonts w:ascii="Times New Roman" w:eastAsia="Times New Roman" w:hAnsi="Times New Roman" w:cs="David" w:hint="eastAsia"/>
          <w:sz w:val="16"/>
          <w:szCs w:val="16"/>
          <w:rtl/>
        </w:rPr>
        <w:t>‏</w:t>
      </w:r>
      <w:r w:rsidR="00EC6355">
        <w:rPr>
          <w:rFonts w:ascii="Times New Roman" w:eastAsia="Times New Roman" w:hAnsi="Times New Roman" w:cs="David"/>
          <w:sz w:val="16"/>
          <w:szCs w:val="16"/>
          <w:rtl/>
        </w:rPr>
        <w:t>29 מרץ 2024</w:t>
      </w:r>
    </w:p>
    <w:p w:rsidR="00983123" w:rsidRPr="00832AD7" w:rsidRDefault="00983123" w:rsidP="00EC6355">
      <w:pPr>
        <w:spacing w:after="0" w:line="240" w:lineRule="auto"/>
        <w:jc w:val="right"/>
        <w:rPr>
          <w:rFonts w:ascii="Times New Roman" w:eastAsia="Times New Roman" w:hAnsi="Times New Roman" w:cs="David"/>
          <w:sz w:val="16"/>
          <w:szCs w:val="16"/>
          <w:rtl/>
        </w:rPr>
      </w:pPr>
      <w:r w:rsidRPr="00832AD7">
        <w:rPr>
          <w:rFonts w:ascii="Times New Roman" w:eastAsia="Times New Roman" w:hAnsi="Times New Roman" w:cs="David" w:hint="cs"/>
          <w:sz w:val="16"/>
          <w:szCs w:val="16"/>
          <w:rtl/>
        </w:rPr>
        <w:t xml:space="preserve">                                                                                                   </w:t>
      </w:r>
      <w:r w:rsidR="00EC6355">
        <w:rPr>
          <w:rFonts w:ascii="Times New Roman" w:eastAsia="Times New Roman" w:hAnsi="Times New Roman" w:cs="David" w:hint="eastAsia"/>
          <w:sz w:val="16"/>
          <w:szCs w:val="16"/>
          <w:rtl/>
        </w:rPr>
        <w:t>‏י</w:t>
      </w:r>
      <w:r w:rsidR="00EC6355">
        <w:rPr>
          <w:rFonts w:ascii="Times New Roman" w:eastAsia="Times New Roman" w:hAnsi="Times New Roman" w:cs="David"/>
          <w:sz w:val="16"/>
          <w:szCs w:val="16"/>
          <w:rtl/>
        </w:rPr>
        <w:t>"ט אדר ב תשפ"ד</w:t>
      </w:r>
    </w:p>
    <w:p w:rsidR="00515986" w:rsidRPr="004003A5" w:rsidRDefault="00983123" w:rsidP="004003A5">
      <w:pPr>
        <w:spacing w:after="0" w:line="240" w:lineRule="auto"/>
        <w:jc w:val="right"/>
        <w:rPr>
          <w:rFonts w:ascii="Times New Roman" w:eastAsia="Times New Roman" w:hAnsi="Times New Roman" w:cs="David"/>
          <w:sz w:val="24"/>
          <w:szCs w:val="24"/>
          <w:rtl/>
        </w:rPr>
      </w:pPr>
      <w:r w:rsidRPr="00832AD7">
        <w:rPr>
          <w:rFonts w:ascii="Times New Roman" w:eastAsia="Times New Roman" w:hAnsi="Times New Roman" w:cs="David" w:hint="cs"/>
          <w:sz w:val="16"/>
          <w:szCs w:val="16"/>
          <w:rtl/>
        </w:rPr>
        <w:fldChar w:fldCharType="begin"/>
      </w:r>
      <w:r w:rsidRPr="00832AD7">
        <w:rPr>
          <w:rFonts w:ascii="Times New Roman" w:eastAsia="Times New Roman" w:hAnsi="Times New Roman" w:cs="David" w:hint="cs"/>
          <w:sz w:val="16"/>
          <w:szCs w:val="16"/>
          <w:rtl/>
        </w:rPr>
        <w:instrText xml:space="preserve"> </w:instrText>
      </w:r>
      <w:r w:rsidRPr="00832AD7">
        <w:rPr>
          <w:rFonts w:ascii="Times New Roman" w:eastAsia="Times New Roman" w:hAnsi="Times New Roman" w:cs="David"/>
          <w:sz w:val="16"/>
          <w:szCs w:val="16"/>
        </w:rPr>
        <w:instrText>DOCPROPERTY  DocNumber  \* MERGEFORMAT</w:instrText>
      </w:r>
      <w:r w:rsidRPr="00832AD7">
        <w:rPr>
          <w:rFonts w:ascii="Times New Roman" w:eastAsia="Times New Roman" w:hAnsi="Times New Roman" w:cs="David" w:hint="cs"/>
          <w:sz w:val="16"/>
          <w:szCs w:val="16"/>
          <w:rtl/>
        </w:rPr>
        <w:instrText xml:space="preserve"> </w:instrText>
      </w:r>
      <w:r w:rsidRPr="00832AD7">
        <w:rPr>
          <w:rFonts w:ascii="Times New Roman" w:eastAsia="Times New Roman" w:hAnsi="Times New Roman" w:cs="David" w:hint="cs"/>
          <w:sz w:val="16"/>
          <w:szCs w:val="16"/>
          <w:rtl/>
        </w:rPr>
        <w:fldChar w:fldCharType="separate"/>
      </w:r>
      <w:r w:rsidRPr="00832AD7">
        <w:rPr>
          <w:rFonts w:ascii="Times New Roman" w:eastAsia="Times New Roman" w:hAnsi="Times New Roman" w:cs="David" w:hint="cs"/>
          <w:sz w:val="16"/>
          <w:szCs w:val="16"/>
          <w:rtl/>
        </w:rPr>
        <w:t>4700-1039-2024-002592</w:t>
      </w:r>
      <w:r w:rsidRPr="00832AD7">
        <w:rPr>
          <w:rFonts w:ascii="Times New Roman" w:eastAsia="Times New Roman" w:hAnsi="Times New Roman" w:cs="David" w:hint="cs"/>
          <w:sz w:val="16"/>
          <w:szCs w:val="16"/>
          <w:rtl/>
        </w:rPr>
        <w:fldChar w:fldCharType="end"/>
      </w:r>
    </w:p>
    <w:p w:rsidR="00515986" w:rsidRPr="00515986" w:rsidRDefault="00515986" w:rsidP="000C4D75">
      <w:pPr>
        <w:tabs>
          <w:tab w:val="num" w:pos="1080"/>
        </w:tabs>
        <w:spacing w:after="0" w:line="276" w:lineRule="auto"/>
        <w:jc w:val="both"/>
        <w:rPr>
          <w:rFonts w:ascii="Arial" w:eastAsia="Times New Roman" w:hAnsi="Arial" w:cs="David"/>
          <w:b/>
          <w:bCs/>
          <w:sz w:val="24"/>
          <w:szCs w:val="24"/>
          <w:rtl/>
        </w:rPr>
      </w:pPr>
    </w:p>
    <w:p w:rsidR="00541C9E" w:rsidRPr="004003A5" w:rsidRDefault="00541C9E" w:rsidP="004003A5">
      <w:pPr>
        <w:spacing w:after="120" w:line="240" w:lineRule="auto"/>
        <w:jc w:val="center"/>
        <w:rPr>
          <w:rFonts w:ascii="FrankRuehl" w:hAnsi="FrankRuehl" w:cs="FrankRuehl"/>
          <w:b/>
          <w:bCs/>
          <w:color w:val="002060"/>
          <w:sz w:val="32"/>
          <w:szCs w:val="32"/>
          <w:u w:val="single"/>
          <w:rtl/>
        </w:rPr>
      </w:pPr>
      <w:r w:rsidRPr="004003A5">
        <w:rPr>
          <w:rFonts w:ascii="FrankRuehl" w:hAnsi="FrankRuehl" w:cs="FrankRuehl"/>
          <w:b/>
          <w:bCs/>
          <w:color w:val="002060"/>
          <w:sz w:val="32"/>
          <w:szCs w:val="32"/>
          <w:u w:val="single"/>
          <w:rtl/>
        </w:rPr>
        <w:t xml:space="preserve">תקציר </w:t>
      </w:r>
      <w:r w:rsidRPr="004003A5">
        <w:rPr>
          <w:rFonts w:ascii="FrankRuehl" w:hAnsi="FrankRuehl" w:cs="FrankRuehl" w:hint="cs"/>
          <w:b/>
          <w:bCs/>
          <w:color w:val="002060"/>
          <w:sz w:val="32"/>
          <w:szCs w:val="32"/>
          <w:u w:val="single"/>
          <w:rtl/>
        </w:rPr>
        <w:t xml:space="preserve">החלטה </w:t>
      </w:r>
      <w:r w:rsidRPr="004003A5">
        <w:rPr>
          <w:rFonts w:ascii="FrankRuehl" w:hAnsi="FrankRuehl" w:cs="FrankRuehl"/>
          <w:b/>
          <w:bCs/>
          <w:color w:val="002060"/>
          <w:sz w:val="32"/>
          <w:szCs w:val="32"/>
          <w:u w:val="single"/>
          <w:rtl/>
        </w:rPr>
        <w:t>–</w:t>
      </w:r>
      <w:r w:rsidR="004003A5" w:rsidRPr="004003A5">
        <w:rPr>
          <w:rFonts w:ascii="FrankRuehl" w:hAnsi="FrankRuehl" w:cs="FrankRuehl" w:hint="cs"/>
          <w:b/>
          <w:bCs/>
          <w:color w:val="002060"/>
          <w:sz w:val="32"/>
          <w:szCs w:val="32"/>
          <w:u w:val="single"/>
          <w:rtl/>
        </w:rPr>
        <w:t xml:space="preserve">ת"ד 8699-11-23 </w:t>
      </w:r>
      <w:r w:rsidR="004003A5" w:rsidRPr="004003A5">
        <w:rPr>
          <w:rFonts w:ascii="FrankRuehl" w:hAnsi="FrankRuehl" w:cs="FrankRuehl"/>
          <w:b/>
          <w:bCs/>
          <w:color w:val="002060"/>
          <w:sz w:val="32"/>
          <w:szCs w:val="32"/>
          <w:u w:val="single"/>
          <w:rtl/>
        </w:rPr>
        <w:t>–</w:t>
      </w:r>
      <w:r w:rsidR="004003A5" w:rsidRPr="004003A5">
        <w:rPr>
          <w:rFonts w:ascii="FrankRuehl" w:hAnsi="FrankRuehl" w:cs="FrankRuehl" w:hint="cs"/>
          <w:b/>
          <w:bCs/>
          <w:color w:val="002060"/>
          <w:sz w:val="32"/>
          <w:szCs w:val="32"/>
          <w:u w:val="single"/>
          <w:rtl/>
        </w:rPr>
        <w:t xml:space="preserve"> מדינת ישראל נ' </w:t>
      </w:r>
      <w:proofErr w:type="spellStart"/>
      <w:r w:rsidR="004003A5" w:rsidRPr="004003A5">
        <w:rPr>
          <w:rFonts w:ascii="FrankRuehl" w:hAnsi="FrankRuehl" w:cs="FrankRuehl" w:hint="cs"/>
          <w:b/>
          <w:bCs/>
          <w:color w:val="002060"/>
          <w:sz w:val="32"/>
          <w:szCs w:val="32"/>
          <w:u w:val="single"/>
          <w:rtl/>
        </w:rPr>
        <w:t>פסלר</w:t>
      </w:r>
      <w:proofErr w:type="spellEnd"/>
    </w:p>
    <w:p w:rsidR="004003A5" w:rsidRDefault="004003A5" w:rsidP="00EC6355">
      <w:pPr>
        <w:spacing w:after="120" w:line="240" w:lineRule="auto"/>
        <w:jc w:val="center"/>
        <w:rPr>
          <w:rFonts w:ascii="FrankRuehl" w:hAnsi="FrankRuehl" w:cs="FrankRuehl"/>
          <w:b/>
          <w:bCs/>
          <w:color w:val="002060"/>
          <w:sz w:val="32"/>
          <w:szCs w:val="32"/>
          <w:rtl/>
        </w:rPr>
      </w:pPr>
      <w:r>
        <w:rPr>
          <w:rFonts w:ascii="FrankRuehl" w:hAnsi="FrankRuehl" w:cs="FrankRuehl" w:hint="cs"/>
          <w:b/>
          <w:bCs/>
          <w:color w:val="002060"/>
          <w:sz w:val="32"/>
          <w:szCs w:val="32"/>
          <w:rtl/>
        </w:rPr>
        <w:t xml:space="preserve">ביהמ"ש לתעבורה </w:t>
      </w:r>
      <w:r w:rsidR="00EC6355">
        <w:rPr>
          <w:rFonts w:ascii="FrankRuehl" w:hAnsi="FrankRuehl" w:cs="FrankRuehl" w:hint="cs"/>
          <w:b/>
          <w:bCs/>
          <w:color w:val="002060"/>
          <w:sz w:val="32"/>
          <w:szCs w:val="32"/>
          <w:rtl/>
        </w:rPr>
        <w:t>מחוז מרכז</w:t>
      </w:r>
      <w:bookmarkStart w:id="0" w:name="_GoBack"/>
      <w:bookmarkEnd w:id="0"/>
      <w:r>
        <w:rPr>
          <w:rFonts w:ascii="FrankRuehl" w:hAnsi="FrankRuehl" w:cs="FrankRuehl" w:hint="cs"/>
          <w:b/>
          <w:bCs/>
          <w:color w:val="002060"/>
          <w:sz w:val="32"/>
          <w:szCs w:val="32"/>
          <w:rtl/>
        </w:rPr>
        <w:t>, סגן הנשיא השופט טל פרי</w:t>
      </w:r>
      <w:r w:rsidR="00541C9E" w:rsidRPr="000071E5">
        <w:rPr>
          <w:rFonts w:ascii="FrankRuehl" w:hAnsi="FrankRuehl" w:cs="FrankRuehl" w:hint="cs"/>
          <w:b/>
          <w:bCs/>
          <w:color w:val="002060"/>
          <w:sz w:val="32"/>
          <w:szCs w:val="32"/>
          <w:rtl/>
        </w:rPr>
        <w:t xml:space="preserve"> </w:t>
      </w:r>
    </w:p>
    <w:p w:rsidR="004003A5" w:rsidRPr="004003A5" w:rsidRDefault="004003A5" w:rsidP="004003A5">
      <w:pPr>
        <w:spacing w:line="360" w:lineRule="auto"/>
        <w:jc w:val="both"/>
        <w:rPr>
          <w:rFonts w:ascii="Arial" w:hAnsi="Arial"/>
          <w:sz w:val="24"/>
          <w:szCs w:val="24"/>
          <w:rtl/>
        </w:rPr>
      </w:pPr>
      <w:r w:rsidRPr="004003A5">
        <w:rPr>
          <w:rFonts w:ascii="Arial Unicode MS" w:hAnsi="Arial Unicode MS"/>
          <w:color w:val="202122"/>
          <w:sz w:val="24"/>
          <w:szCs w:val="24"/>
          <w:shd w:val="clear" w:color="auto" w:fill="FFFFFF"/>
          <w:rtl/>
        </w:rPr>
        <w:t xml:space="preserve">שֹׁפְטִ֣ים </w:t>
      </w:r>
      <w:proofErr w:type="spellStart"/>
      <w:r w:rsidRPr="004003A5">
        <w:rPr>
          <w:rFonts w:ascii="Arial Unicode MS" w:hAnsi="Arial Unicode MS"/>
          <w:color w:val="202122"/>
          <w:sz w:val="24"/>
          <w:szCs w:val="24"/>
          <w:shd w:val="clear" w:color="auto" w:fill="FFFFFF"/>
          <w:rtl/>
        </w:rPr>
        <w:t>וְשֹֽׁטְרִ֗ים</w:t>
      </w:r>
      <w:proofErr w:type="spellEnd"/>
      <w:r w:rsidRPr="004003A5">
        <w:rPr>
          <w:rFonts w:ascii="Arial Unicode MS" w:hAnsi="Arial Unicode MS"/>
          <w:color w:val="202122"/>
          <w:sz w:val="24"/>
          <w:szCs w:val="24"/>
          <w:shd w:val="clear" w:color="auto" w:fill="FFFFFF"/>
          <w:rtl/>
        </w:rPr>
        <w:t xml:space="preserve"> </w:t>
      </w:r>
      <w:proofErr w:type="spellStart"/>
      <w:r w:rsidRPr="004003A5">
        <w:rPr>
          <w:rFonts w:ascii="Arial Unicode MS" w:hAnsi="Arial Unicode MS"/>
          <w:color w:val="202122"/>
          <w:sz w:val="24"/>
          <w:szCs w:val="24"/>
          <w:shd w:val="clear" w:color="auto" w:fill="FFFFFF"/>
          <w:rtl/>
        </w:rPr>
        <w:t>תִּֽתֶּן־לְך</w:t>
      </w:r>
      <w:proofErr w:type="spellEnd"/>
      <w:r w:rsidRPr="004003A5">
        <w:rPr>
          <w:rFonts w:ascii="Arial Unicode MS" w:hAnsi="Arial Unicode MS"/>
          <w:color w:val="202122"/>
          <w:sz w:val="24"/>
          <w:szCs w:val="24"/>
          <w:shd w:val="clear" w:color="auto" w:fill="FFFFFF"/>
          <w:rtl/>
        </w:rPr>
        <w:t xml:space="preserve">ָ֙ </w:t>
      </w:r>
      <w:proofErr w:type="spellStart"/>
      <w:r w:rsidRPr="004003A5">
        <w:rPr>
          <w:rFonts w:ascii="Arial Unicode MS" w:hAnsi="Arial Unicode MS"/>
          <w:color w:val="202122"/>
          <w:sz w:val="24"/>
          <w:szCs w:val="24"/>
          <w:shd w:val="clear" w:color="auto" w:fill="FFFFFF"/>
          <w:rtl/>
        </w:rPr>
        <w:t>בְּכׇל־שְׁעָרֶ֔יך</w:t>
      </w:r>
      <w:proofErr w:type="spellEnd"/>
      <w:r w:rsidRPr="004003A5">
        <w:rPr>
          <w:rFonts w:ascii="Arial Unicode MS" w:hAnsi="Arial Unicode MS"/>
          <w:color w:val="202122"/>
          <w:sz w:val="24"/>
          <w:szCs w:val="24"/>
          <w:shd w:val="clear" w:color="auto" w:fill="FFFFFF"/>
          <w:rtl/>
        </w:rPr>
        <w:t xml:space="preserve">ָ אֲשֶׁ֨ר יְהֹוָ֧ה </w:t>
      </w:r>
      <w:proofErr w:type="spellStart"/>
      <w:r w:rsidRPr="004003A5">
        <w:rPr>
          <w:rFonts w:ascii="Arial Unicode MS" w:hAnsi="Arial Unicode MS"/>
          <w:color w:val="202122"/>
          <w:sz w:val="24"/>
          <w:szCs w:val="24"/>
          <w:shd w:val="clear" w:color="auto" w:fill="FFFFFF"/>
          <w:rtl/>
        </w:rPr>
        <w:t>אֱלֹהֶ֛יך</w:t>
      </w:r>
      <w:proofErr w:type="spellEnd"/>
      <w:r w:rsidRPr="004003A5">
        <w:rPr>
          <w:rFonts w:ascii="Arial Unicode MS" w:hAnsi="Arial Unicode MS"/>
          <w:color w:val="202122"/>
          <w:sz w:val="24"/>
          <w:szCs w:val="24"/>
          <w:shd w:val="clear" w:color="auto" w:fill="FFFFFF"/>
          <w:rtl/>
        </w:rPr>
        <w:t xml:space="preserve">ָ נֹתֵ֥ן לְךָ֖ לִשְׁבָטֶ֑יךָ וְשָׁפְט֥וּ </w:t>
      </w:r>
      <w:proofErr w:type="spellStart"/>
      <w:r w:rsidRPr="004003A5">
        <w:rPr>
          <w:rFonts w:ascii="Arial Unicode MS" w:hAnsi="Arial Unicode MS"/>
          <w:color w:val="202122"/>
          <w:sz w:val="24"/>
          <w:szCs w:val="24"/>
          <w:shd w:val="clear" w:color="auto" w:fill="FFFFFF"/>
          <w:rtl/>
        </w:rPr>
        <w:t>אֶת־הָעָ֖ם</w:t>
      </w:r>
      <w:proofErr w:type="spellEnd"/>
      <w:r w:rsidRPr="004003A5">
        <w:rPr>
          <w:rFonts w:ascii="Arial Unicode MS" w:hAnsi="Arial Unicode MS"/>
          <w:color w:val="202122"/>
          <w:sz w:val="24"/>
          <w:szCs w:val="24"/>
          <w:shd w:val="clear" w:color="auto" w:fill="FFFFFF"/>
          <w:rtl/>
        </w:rPr>
        <w:t xml:space="preserve"> </w:t>
      </w:r>
      <w:proofErr w:type="spellStart"/>
      <w:r w:rsidRPr="004003A5">
        <w:rPr>
          <w:rFonts w:ascii="Arial Unicode MS" w:hAnsi="Arial Unicode MS"/>
          <w:color w:val="202122"/>
          <w:sz w:val="24"/>
          <w:szCs w:val="24"/>
          <w:shd w:val="clear" w:color="auto" w:fill="FFFFFF"/>
          <w:rtl/>
        </w:rPr>
        <w:t>מִשְׁפַּט־צֶֽדֶק</w:t>
      </w:r>
      <w:proofErr w:type="spellEnd"/>
      <w:r w:rsidRPr="004003A5">
        <w:rPr>
          <w:rFonts w:ascii="Arial Unicode MS" w:hAnsi="Arial Unicode MS"/>
          <w:color w:val="202122"/>
          <w:sz w:val="24"/>
          <w:szCs w:val="24"/>
          <w:shd w:val="clear" w:color="auto" w:fill="FFFFFF"/>
          <w:rtl/>
        </w:rPr>
        <w:t>׃</w:t>
      </w:r>
      <w:r w:rsidRPr="004003A5">
        <w:rPr>
          <w:rFonts w:ascii="Arial" w:hAnsi="Arial"/>
          <w:sz w:val="24"/>
          <w:szCs w:val="24"/>
          <w:rtl/>
        </w:rPr>
        <w:t xml:space="preserve"> (ספר דברים, פרק ט"ז, פסוק יח')</w:t>
      </w:r>
    </w:p>
    <w:p w:rsidR="004003A5" w:rsidRDefault="004003A5" w:rsidP="004003A5">
      <w:pPr>
        <w:spacing w:after="0" w:line="360" w:lineRule="auto"/>
        <w:jc w:val="both"/>
        <w:rPr>
          <w:rFonts w:ascii="David" w:hAnsi="David" w:cs="David"/>
          <w:b/>
          <w:bCs/>
          <w:sz w:val="24"/>
          <w:szCs w:val="24"/>
          <w:rtl/>
        </w:rPr>
      </w:pPr>
      <w:r w:rsidRPr="004003A5">
        <w:rPr>
          <w:rFonts w:ascii="David" w:hAnsi="David" w:cs="David"/>
          <w:sz w:val="24"/>
          <w:szCs w:val="24"/>
          <w:rtl/>
        </w:rPr>
        <w:t>עסקינן במקרה חריג, שא</w:t>
      </w:r>
      <w:r>
        <w:rPr>
          <w:rFonts w:ascii="David" w:hAnsi="David" w:cs="David"/>
          <w:sz w:val="24"/>
          <w:szCs w:val="24"/>
          <w:rtl/>
        </w:rPr>
        <w:t>ינו חזון נפרץ במקומותינו ועיקרו:</w:t>
      </w:r>
      <w:r>
        <w:rPr>
          <w:rFonts w:ascii="David" w:hAnsi="David" w:cs="David" w:hint="cs"/>
          <w:sz w:val="24"/>
          <w:szCs w:val="24"/>
          <w:rtl/>
        </w:rPr>
        <w:t xml:space="preserve"> </w:t>
      </w:r>
      <w:r w:rsidRPr="004003A5">
        <w:rPr>
          <w:rFonts w:ascii="David" w:hAnsi="David" w:cs="David"/>
          <w:b/>
          <w:bCs/>
          <w:sz w:val="24"/>
          <w:szCs w:val="24"/>
          <w:rtl/>
        </w:rPr>
        <w:t xml:space="preserve">האם יש מקום להורות על ביטול הכרעת הדין, </w:t>
      </w:r>
      <w:r w:rsidRPr="004003A5">
        <w:rPr>
          <w:rFonts w:ascii="David" w:hAnsi="David" w:cs="David"/>
          <w:b/>
          <w:bCs/>
          <w:sz w:val="24"/>
          <w:szCs w:val="24"/>
          <w:u w:val="single"/>
          <w:rtl/>
        </w:rPr>
        <w:t>ביוזמת בית המשפט,</w:t>
      </w:r>
      <w:r w:rsidRPr="004003A5">
        <w:rPr>
          <w:rFonts w:ascii="David" w:hAnsi="David" w:cs="David"/>
          <w:b/>
          <w:bCs/>
          <w:sz w:val="24"/>
          <w:szCs w:val="24"/>
          <w:rtl/>
        </w:rPr>
        <w:t xml:space="preserve"> במקום בו הורשעה הנאשמת על פי הודאתה, שעה שבית המשפט סבור כי הדבר דרוש ומתחייב בנסיבות העניין לצורך עשיית צדק.</w:t>
      </w:r>
    </w:p>
    <w:p w:rsidR="004003A5" w:rsidRPr="004003A5" w:rsidRDefault="004003A5" w:rsidP="00E74E39">
      <w:pPr>
        <w:spacing w:after="0" w:line="360" w:lineRule="auto"/>
        <w:jc w:val="both"/>
        <w:rPr>
          <w:rFonts w:ascii="David" w:hAnsi="David" w:cs="David"/>
          <w:sz w:val="24"/>
          <w:szCs w:val="24"/>
          <w:rtl/>
        </w:rPr>
      </w:pPr>
      <w:r>
        <w:rPr>
          <w:rFonts w:ascii="David" w:hAnsi="David" w:cs="David"/>
          <w:sz w:val="24"/>
          <w:szCs w:val="24"/>
          <w:rtl/>
        </w:rPr>
        <w:t xml:space="preserve">במקרה </w:t>
      </w:r>
      <w:r w:rsidR="00E74E39">
        <w:rPr>
          <w:rFonts w:ascii="David" w:hAnsi="David" w:cs="David" w:hint="cs"/>
          <w:sz w:val="24"/>
          <w:szCs w:val="24"/>
          <w:rtl/>
        </w:rPr>
        <w:t>דנן</w:t>
      </w:r>
      <w:r>
        <w:rPr>
          <w:rFonts w:ascii="David" w:hAnsi="David" w:cs="David"/>
          <w:sz w:val="24"/>
          <w:szCs w:val="24"/>
          <w:rtl/>
        </w:rPr>
        <w:t>,</w:t>
      </w:r>
      <w:r>
        <w:rPr>
          <w:rFonts w:ascii="David" w:hAnsi="David" w:cs="David" w:hint="cs"/>
          <w:sz w:val="24"/>
          <w:szCs w:val="24"/>
          <w:rtl/>
        </w:rPr>
        <w:t xml:space="preserve"> </w:t>
      </w:r>
      <w:r w:rsidRPr="004003A5">
        <w:rPr>
          <w:rFonts w:ascii="David" w:hAnsi="David" w:cs="David"/>
          <w:sz w:val="24"/>
          <w:szCs w:val="24"/>
          <w:rtl/>
        </w:rPr>
        <w:t xml:space="preserve">התנהלות הנאשמת וסנגורה מלמדים על ניסיון לניצול הפרוצדורה הפלילית על מנת </w:t>
      </w:r>
      <w:r w:rsidR="00E74E39">
        <w:rPr>
          <w:rFonts w:ascii="David" w:hAnsi="David" w:cs="David" w:hint="cs"/>
          <w:sz w:val="24"/>
          <w:szCs w:val="24"/>
          <w:rtl/>
        </w:rPr>
        <w:t xml:space="preserve">לחמוק </w:t>
      </w:r>
      <w:r w:rsidRPr="004003A5">
        <w:rPr>
          <w:rFonts w:ascii="David" w:hAnsi="David" w:cs="David"/>
          <w:sz w:val="24"/>
          <w:szCs w:val="24"/>
          <w:rtl/>
        </w:rPr>
        <w:t xml:space="preserve"> ממשפט צדק. </w:t>
      </w:r>
    </w:p>
    <w:p w:rsidR="004003A5" w:rsidRPr="004003A5" w:rsidRDefault="004003A5" w:rsidP="00E74E39">
      <w:pPr>
        <w:spacing w:after="0" w:line="360" w:lineRule="auto"/>
        <w:jc w:val="both"/>
        <w:rPr>
          <w:rFonts w:ascii="David" w:hAnsi="David" w:cs="David"/>
          <w:sz w:val="24"/>
          <w:szCs w:val="24"/>
          <w:rtl/>
        </w:rPr>
      </w:pPr>
      <w:r w:rsidRPr="004003A5">
        <w:rPr>
          <w:rFonts w:ascii="David" w:hAnsi="David" w:cs="David"/>
          <w:sz w:val="24"/>
          <w:szCs w:val="24"/>
          <w:rtl/>
        </w:rPr>
        <w:t xml:space="preserve">כפי </w:t>
      </w:r>
      <w:r w:rsidR="00E07BBA">
        <w:rPr>
          <w:rFonts w:ascii="David" w:hAnsi="David" w:cs="David" w:hint="cs"/>
          <w:sz w:val="24"/>
          <w:szCs w:val="24"/>
          <w:rtl/>
        </w:rPr>
        <w:t>שמ</w:t>
      </w:r>
      <w:r>
        <w:rPr>
          <w:rFonts w:ascii="David" w:hAnsi="David" w:cs="David" w:hint="cs"/>
          <w:sz w:val="24"/>
          <w:szCs w:val="24"/>
          <w:rtl/>
        </w:rPr>
        <w:t>פורט</w:t>
      </w:r>
      <w:r w:rsidR="00E07BBA">
        <w:rPr>
          <w:rFonts w:ascii="David" w:hAnsi="David" w:cs="David" w:hint="cs"/>
          <w:sz w:val="24"/>
          <w:szCs w:val="24"/>
          <w:rtl/>
        </w:rPr>
        <w:t xml:space="preserve"> בהחלטה</w:t>
      </w:r>
      <w:r>
        <w:rPr>
          <w:rFonts w:ascii="David" w:hAnsi="David" w:cs="David"/>
          <w:sz w:val="24"/>
          <w:szCs w:val="24"/>
          <w:rtl/>
        </w:rPr>
        <w:t>,</w:t>
      </w:r>
      <w:r>
        <w:rPr>
          <w:rFonts w:ascii="David" w:hAnsi="David" w:cs="David" w:hint="cs"/>
          <w:sz w:val="24"/>
          <w:szCs w:val="24"/>
          <w:rtl/>
        </w:rPr>
        <w:t xml:space="preserve"> </w:t>
      </w:r>
      <w:r w:rsidRPr="004003A5">
        <w:rPr>
          <w:rFonts w:ascii="David" w:hAnsi="David" w:cs="David"/>
          <w:sz w:val="24"/>
          <w:szCs w:val="24"/>
          <w:rtl/>
        </w:rPr>
        <w:t>טוען הסנגור כי הנאשמת הודתה בכל עובדות כתב האישום ואולם, באותה נשימה כופר הסנגור בבי</w:t>
      </w:r>
      <w:r>
        <w:rPr>
          <w:rFonts w:ascii="David" w:hAnsi="David" w:cs="David"/>
          <w:sz w:val="24"/>
          <w:szCs w:val="24"/>
          <w:rtl/>
        </w:rPr>
        <w:t xml:space="preserve">צוע העבירה המיוחסת לנאשמת בכתב </w:t>
      </w:r>
      <w:r w:rsidRPr="004003A5">
        <w:rPr>
          <w:rFonts w:ascii="David" w:hAnsi="David" w:cs="David"/>
          <w:sz w:val="24"/>
          <w:szCs w:val="24"/>
          <w:rtl/>
        </w:rPr>
        <w:t>האישום וטוען כי יש להרשיעה בעבירה אחרת, קלה עשרות מונים.</w:t>
      </w:r>
      <w:r>
        <w:rPr>
          <w:rFonts w:ascii="David" w:hAnsi="David" w:cs="David" w:hint="cs"/>
          <w:sz w:val="24"/>
          <w:szCs w:val="24"/>
          <w:rtl/>
        </w:rPr>
        <w:t xml:space="preserve"> </w:t>
      </w:r>
      <w:r w:rsidRPr="004003A5">
        <w:rPr>
          <w:rFonts w:ascii="David" w:hAnsi="David" w:cs="David"/>
          <w:sz w:val="24"/>
          <w:szCs w:val="24"/>
          <w:rtl/>
        </w:rPr>
        <w:t xml:space="preserve">מהאמור עולה כי הסנגור נקלע לכלל טעות עת סבר הוא כי המקום לטעון </w:t>
      </w:r>
      <w:r w:rsidR="00E74E39">
        <w:rPr>
          <w:rFonts w:ascii="David" w:hAnsi="David" w:cs="David" w:hint="cs"/>
          <w:sz w:val="24"/>
          <w:szCs w:val="24"/>
          <w:rtl/>
        </w:rPr>
        <w:t>טענות כנגד סעיף האישום בו תורשע הנאשמת הוא ב</w:t>
      </w:r>
      <w:r w:rsidR="00E74E39">
        <w:rPr>
          <w:rFonts w:ascii="David" w:hAnsi="David" w:cs="David"/>
          <w:sz w:val="24"/>
          <w:szCs w:val="24"/>
          <w:rtl/>
        </w:rPr>
        <w:t>סיכומיו</w:t>
      </w:r>
      <w:r w:rsidR="00E74E39">
        <w:rPr>
          <w:rFonts w:ascii="David" w:hAnsi="David" w:cs="David" w:hint="cs"/>
          <w:sz w:val="24"/>
          <w:szCs w:val="24"/>
          <w:rtl/>
        </w:rPr>
        <w:t xml:space="preserve">, </w:t>
      </w:r>
      <w:r w:rsidRPr="004003A5">
        <w:rPr>
          <w:rFonts w:ascii="David" w:hAnsi="David" w:cs="David"/>
          <w:sz w:val="24"/>
          <w:szCs w:val="24"/>
          <w:rtl/>
        </w:rPr>
        <w:t xml:space="preserve">לאחר שנתנה הכרעת הדין </w:t>
      </w:r>
      <w:r w:rsidRPr="004003A5">
        <w:rPr>
          <w:rFonts w:ascii="David" w:hAnsi="David" w:cs="David"/>
          <w:b/>
          <w:bCs/>
          <w:sz w:val="24"/>
          <w:szCs w:val="24"/>
          <w:u w:val="single"/>
          <w:rtl/>
        </w:rPr>
        <w:t>המרשיעה</w:t>
      </w:r>
      <w:r w:rsidRPr="004003A5">
        <w:rPr>
          <w:rFonts w:ascii="David" w:hAnsi="David" w:cs="David"/>
          <w:sz w:val="24"/>
          <w:szCs w:val="24"/>
          <w:rtl/>
        </w:rPr>
        <w:t>.</w:t>
      </w:r>
    </w:p>
    <w:p w:rsidR="004003A5" w:rsidRPr="004003A5" w:rsidRDefault="004003A5" w:rsidP="004003A5">
      <w:pPr>
        <w:spacing w:after="0" w:line="360" w:lineRule="auto"/>
        <w:jc w:val="both"/>
        <w:rPr>
          <w:rFonts w:ascii="David" w:hAnsi="David" w:cs="David"/>
          <w:sz w:val="24"/>
          <w:szCs w:val="24"/>
          <w:rtl/>
        </w:rPr>
      </w:pPr>
      <w:r>
        <w:rPr>
          <w:rFonts w:ascii="David" w:hAnsi="David" w:cs="David"/>
          <w:sz w:val="24"/>
          <w:szCs w:val="24"/>
          <w:rtl/>
        </w:rPr>
        <w:t>אין ספק כי בפנ</w:t>
      </w:r>
      <w:r w:rsidRPr="004003A5">
        <w:rPr>
          <w:rFonts w:ascii="David" w:hAnsi="David" w:cs="David"/>
          <w:sz w:val="24"/>
          <w:szCs w:val="24"/>
          <w:rtl/>
        </w:rPr>
        <w:t xml:space="preserve">י </w:t>
      </w:r>
      <w:r>
        <w:rPr>
          <w:rFonts w:ascii="David" w:hAnsi="David" w:cs="David" w:hint="cs"/>
          <w:sz w:val="24"/>
          <w:szCs w:val="24"/>
          <w:rtl/>
        </w:rPr>
        <w:t xml:space="preserve">בית המשפט </w:t>
      </w:r>
      <w:r w:rsidRPr="004003A5">
        <w:rPr>
          <w:rFonts w:ascii="David" w:hAnsi="David" w:cs="David"/>
          <w:sz w:val="24"/>
          <w:szCs w:val="24"/>
          <w:rtl/>
        </w:rPr>
        <w:t xml:space="preserve">ניצבת החלטה קשה. לא בנקל יורה בית המשפט על ביטול הודאת נאשם </w:t>
      </w:r>
      <w:r w:rsidRPr="004003A5">
        <w:rPr>
          <w:rFonts w:ascii="David" w:hAnsi="David" w:cs="David"/>
          <w:b/>
          <w:bCs/>
          <w:sz w:val="24"/>
          <w:szCs w:val="24"/>
          <w:u w:val="single"/>
          <w:rtl/>
        </w:rPr>
        <w:t>מיוזמתו</w:t>
      </w:r>
      <w:r w:rsidRPr="004003A5">
        <w:rPr>
          <w:rFonts w:ascii="David" w:hAnsi="David" w:cs="David"/>
          <w:sz w:val="24"/>
          <w:szCs w:val="24"/>
          <w:rtl/>
        </w:rPr>
        <w:t xml:space="preserve"> ובהחלט ניתן לומר כי מדובר בהחלטה שאינה שכיחה במקומותינו. ואולם, לאחר שנאמרו הדברים, ובשים לב </w:t>
      </w:r>
      <w:r w:rsidRPr="004003A5">
        <w:rPr>
          <w:rFonts w:ascii="David" w:hAnsi="David" w:cs="David"/>
          <w:b/>
          <w:bCs/>
          <w:sz w:val="24"/>
          <w:szCs w:val="24"/>
          <w:u w:val="single"/>
          <w:rtl/>
        </w:rPr>
        <w:t>לחשש הממשי לפגיעה בצדק</w:t>
      </w:r>
      <w:r w:rsidRPr="004003A5">
        <w:rPr>
          <w:rFonts w:ascii="David" w:hAnsi="David" w:cs="David"/>
          <w:sz w:val="24"/>
          <w:szCs w:val="24"/>
          <w:rtl/>
        </w:rPr>
        <w:t xml:space="preserve"> לא </w:t>
      </w:r>
      <w:r>
        <w:rPr>
          <w:rFonts w:ascii="David" w:hAnsi="David" w:cs="David" w:hint="cs"/>
          <w:sz w:val="24"/>
          <w:szCs w:val="24"/>
          <w:rtl/>
        </w:rPr>
        <w:t xml:space="preserve">ניתן </w:t>
      </w:r>
      <w:r w:rsidRPr="004003A5">
        <w:rPr>
          <w:rFonts w:ascii="David" w:hAnsi="David" w:cs="David"/>
          <w:sz w:val="24"/>
          <w:szCs w:val="24"/>
          <w:rtl/>
        </w:rPr>
        <w:t xml:space="preserve">להותיר את הכרעת הדין על כנה ולפיכך </w:t>
      </w:r>
      <w:r w:rsidRPr="004003A5">
        <w:rPr>
          <w:rFonts w:ascii="David" w:hAnsi="David" w:cs="David"/>
          <w:b/>
          <w:bCs/>
          <w:sz w:val="24"/>
          <w:szCs w:val="24"/>
          <w:u w:val="single"/>
          <w:rtl/>
        </w:rPr>
        <w:t>הכרעת הדין שניתנה ביום 19.2.24 מבוטלת</w:t>
      </w:r>
      <w:r w:rsidRPr="004003A5">
        <w:rPr>
          <w:rFonts w:ascii="David" w:hAnsi="David" w:cs="David"/>
          <w:sz w:val="24"/>
          <w:szCs w:val="24"/>
          <w:rtl/>
        </w:rPr>
        <w:t>.</w:t>
      </w:r>
    </w:p>
    <w:p w:rsidR="004003A5" w:rsidRPr="004003A5" w:rsidRDefault="004003A5" w:rsidP="004003A5">
      <w:pPr>
        <w:spacing w:after="0" w:line="360" w:lineRule="auto"/>
        <w:jc w:val="both"/>
        <w:rPr>
          <w:rFonts w:ascii="David" w:hAnsi="David" w:cs="David"/>
          <w:sz w:val="24"/>
          <w:szCs w:val="24"/>
          <w:rtl/>
        </w:rPr>
      </w:pPr>
    </w:p>
    <w:p w:rsidR="004003A5" w:rsidRPr="004003A5" w:rsidRDefault="004003A5" w:rsidP="004003A5">
      <w:pPr>
        <w:spacing w:after="0" w:line="360" w:lineRule="auto"/>
        <w:jc w:val="both"/>
        <w:rPr>
          <w:rFonts w:ascii="David" w:hAnsi="David" w:cs="David"/>
          <w:sz w:val="24"/>
          <w:szCs w:val="24"/>
          <w:rtl/>
        </w:rPr>
      </w:pPr>
      <w:r w:rsidRPr="004003A5">
        <w:rPr>
          <w:rFonts w:ascii="David" w:hAnsi="David" w:cs="David"/>
          <w:sz w:val="24"/>
          <w:szCs w:val="24"/>
          <w:rtl/>
        </w:rPr>
        <w:t xml:space="preserve">הלכה למעשה הוביל הסנגור להרשעת הנאשמת בעבירה </w:t>
      </w:r>
      <w:r w:rsidRPr="004003A5">
        <w:rPr>
          <w:rFonts w:ascii="David" w:hAnsi="David" w:cs="David"/>
          <w:b/>
          <w:bCs/>
          <w:sz w:val="24"/>
          <w:szCs w:val="24"/>
          <w:u w:val="single"/>
          <w:rtl/>
        </w:rPr>
        <w:t>המיוחסת לה בכתב האישום</w:t>
      </w:r>
      <w:r>
        <w:rPr>
          <w:rFonts w:ascii="David" w:hAnsi="David" w:cs="David"/>
          <w:sz w:val="24"/>
          <w:szCs w:val="24"/>
          <w:rtl/>
        </w:rPr>
        <w:t xml:space="preserve">. ספק </w:t>
      </w:r>
      <w:r>
        <w:rPr>
          <w:rFonts w:ascii="David" w:hAnsi="David" w:cs="David" w:hint="cs"/>
          <w:sz w:val="24"/>
          <w:szCs w:val="24"/>
          <w:rtl/>
        </w:rPr>
        <w:t>אם ב</w:t>
      </w:r>
      <w:r w:rsidRPr="004003A5">
        <w:rPr>
          <w:rFonts w:ascii="David" w:hAnsi="David" w:cs="David"/>
          <w:sz w:val="24"/>
          <w:szCs w:val="24"/>
          <w:rtl/>
        </w:rPr>
        <w:t>שעה שהנאשמת אינה דוברת את השפה העברית והדיון מתורגם</w:t>
      </w:r>
      <w:r>
        <w:rPr>
          <w:rFonts w:ascii="David" w:hAnsi="David" w:cs="David"/>
          <w:sz w:val="24"/>
          <w:szCs w:val="24"/>
          <w:rtl/>
        </w:rPr>
        <w:t xml:space="preserve"> לה על ידי מתורגמן לשפה זרה, </w:t>
      </w:r>
      <w:r w:rsidRPr="004003A5">
        <w:rPr>
          <w:rFonts w:ascii="David" w:hAnsi="David" w:cs="David"/>
          <w:sz w:val="24"/>
          <w:szCs w:val="24"/>
          <w:rtl/>
        </w:rPr>
        <w:t>היא הבינה עד תום את הדקויות ואת המשמעויות של הודאתה באשמה באופן בו הודתה.  זאת למד בית המשפט</w:t>
      </w:r>
      <w:r w:rsidR="00E74E39">
        <w:rPr>
          <w:rFonts w:ascii="David" w:hAnsi="David" w:cs="David" w:hint="cs"/>
          <w:sz w:val="24"/>
          <w:szCs w:val="24"/>
          <w:rtl/>
        </w:rPr>
        <w:t xml:space="preserve">, בין היתר, </w:t>
      </w:r>
      <w:r w:rsidRPr="004003A5">
        <w:rPr>
          <w:rFonts w:ascii="David" w:hAnsi="David" w:cs="David"/>
          <w:sz w:val="24"/>
          <w:szCs w:val="24"/>
          <w:rtl/>
        </w:rPr>
        <w:t xml:space="preserve"> מהעובדה שהסנגור הוא זה אשר ביקש לדחות את מועד הגשת תגובתו לבית המשפט על </w:t>
      </w:r>
      <w:r>
        <w:rPr>
          <w:rFonts w:ascii="David" w:hAnsi="David" w:cs="David"/>
          <w:sz w:val="24"/>
          <w:szCs w:val="24"/>
          <w:rtl/>
        </w:rPr>
        <w:t>מנת להסביר לנאשמת את תוכן הדיון</w:t>
      </w:r>
      <w:r w:rsidRPr="004003A5">
        <w:rPr>
          <w:rFonts w:ascii="David" w:hAnsi="David" w:cs="David"/>
          <w:sz w:val="24"/>
          <w:szCs w:val="24"/>
          <w:rtl/>
        </w:rPr>
        <w:t xml:space="preserve"> (פר' מיום 13.3.24 עמוד 9 ש' 5). כלומר, גם הסנגור עצמו לא היה משוכנע שהנאשמת מבינה את אשר התרחש בדיון ולפיכך ביקש שהות על מנת להסביר לה את תוכן הדברים.  </w:t>
      </w:r>
    </w:p>
    <w:p w:rsidR="004003A5" w:rsidRPr="004003A5" w:rsidRDefault="004003A5" w:rsidP="00E74E39">
      <w:pPr>
        <w:spacing w:after="0" w:line="360" w:lineRule="auto"/>
        <w:jc w:val="both"/>
        <w:rPr>
          <w:rFonts w:ascii="David" w:hAnsi="David" w:cs="David"/>
          <w:sz w:val="24"/>
          <w:szCs w:val="24"/>
          <w:rtl/>
        </w:rPr>
      </w:pPr>
      <w:r w:rsidRPr="004003A5">
        <w:rPr>
          <w:rFonts w:ascii="David" w:hAnsi="David" w:cs="David"/>
          <w:sz w:val="24"/>
          <w:szCs w:val="24"/>
          <w:rtl/>
        </w:rPr>
        <w:t xml:space="preserve">אמת, ניתן היה לאמץ עמדת התביעה </w:t>
      </w:r>
      <w:r w:rsidR="00E74E39">
        <w:rPr>
          <w:rFonts w:ascii="David" w:hAnsi="David" w:cs="David" w:hint="cs"/>
          <w:sz w:val="24"/>
          <w:szCs w:val="24"/>
          <w:rtl/>
        </w:rPr>
        <w:t>ולהותיר</w:t>
      </w:r>
      <w:r>
        <w:rPr>
          <w:rFonts w:ascii="David" w:hAnsi="David" w:cs="David"/>
          <w:sz w:val="24"/>
          <w:szCs w:val="24"/>
          <w:rtl/>
        </w:rPr>
        <w:t xml:space="preserve"> את הכרעת הדין על כנה ואולם,</w:t>
      </w:r>
      <w:r>
        <w:rPr>
          <w:rFonts w:ascii="David" w:hAnsi="David" w:cs="David" w:hint="cs"/>
          <w:sz w:val="24"/>
          <w:szCs w:val="24"/>
          <w:rtl/>
        </w:rPr>
        <w:t xml:space="preserve"> </w:t>
      </w:r>
      <w:r w:rsidRPr="004003A5">
        <w:rPr>
          <w:rFonts w:ascii="David" w:hAnsi="David" w:cs="David"/>
          <w:sz w:val="24"/>
          <w:szCs w:val="24"/>
          <w:rtl/>
        </w:rPr>
        <w:t>עסקינן בעבירה חמורה אשר</w:t>
      </w:r>
      <w:r w:rsidR="00E74E39">
        <w:rPr>
          <w:rFonts w:ascii="David" w:hAnsi="David" w:cs="David" w:hint="cs"/>
          <w:sz w:val="24"/>
          <w:szCs w:val="24"/>
          <w:rtl/>
        </w:rPr>
        <w:t xml:space="preserve"> בצידה עד </w:t>
      </w:r>
      <w:r w:rsidR="00E74E39">
        <w:rPr>
          <w:rFonts w:ascii="David" w:hAnsi="David" w:cs="David"/>
          <w:sz w:val="24"/>
          <w:szCs w:val="24"/>
          <w:rtl/>
        </w:rPr>
        <w:t xml:space="preserve"> 7 שנות מאסר</w:t>
      </w:r>
      <w:r w:rsidR="00E74E39">
        <w:rPr>
          <w:rFonts w:ascii="David" w:hAnsi="David" w:cs="David" w:hint="cs"/>
          <w:sz w:val="24"/>
          <w:szCs w:val="24"/>
          <w:rtl/>
        </w:rPr>
        <w:t xml:space="preserve">. </w:t>
      </w:r>
      <w:r w:rsidRPr="004003A5">
        <w:rPr>
          <w:rFonts w:ascii="David" w:hAnsi="David" w:cs="David"/>
          <w:sz w:val="24"/>
          <w:szCs w:val="24"/>
          <w:rtl/>
        </w:rPr>
        <w:t>מן הצדק כי הנאשמת לא תורשע בדין שעה שהיא אינה מודה, הל</w:t>
      </w:r>
      <w:r w:rsidR="00E74E39">
        <w:rPr>
          <w:rFonts w:ascii="David" w:hAnsi="David" w:cs="David"/>
          <w:sz w:val="24"/>
          <w:szCs w:val="24"/>
          <w:rtl/>
        </w:rPr>
        <w:t>כה למעשה, ביסוד הנפשי המיוחס לה</w:t>
      </w:r>
      <w:r w:rsidR="00E74E39">
        <w:rPr>
          <w:rFonts w:ascii="David" w:hAnsi="David" w:cs="David" w:hint="cs"/>
          <w:sz w:val="24"/>
          <w:szCs w:val="24"/>
          <w:rtl/>
        </w:rPr>
        <w:t>.</w:t>
      </w:r>
    </w:p>
    <w:p w:rsidR="004003A5" w:rsidRPr="004003A5" w:rsidRDefault="004003A5" w:rsidP="004003A5">
      <w:pPr>
        <w:spacing w:after="0" w:line="360" w:lineRule="auto"/>
        <w:jc w:val="both"/>
        <w:rPr>
          <w:rFonts w:ascii="David" w:hAnsi="David" w:cs="David"/>
          <w:sz w:val="24"/>
          <w:szCs w:val="24"/>
          <w:rtl/>
        </w:rPr>
      </w:pPr>
    </w:p>
    <w:p w:rsidR="004003A5" w:rsidRPr="004003A5" w:rsidRDefault="004003A5" w:rsidP="004003A5">
      <w:pPr>
        <w:spacing w:after="0" w:line="360" w:lineRule="auto"/>
        <w:jc w:val="both"/>
        <w:rPr>
          <w:rFonts w:ascii="David" w:hAnsi="David" w:cs="David"/>
          <w:sz w:val="24"/>
          <w:szCs w:val="24"/>
          <w:rtl/>
        </w:rPr>
      </w:pPr>
      <w:r w:rsidRPr="004003A5">
        <w:rPr>
          <w:rFonts w:ascii="David" w:hAnsi="David" w:cs="David"/>
          <w:sz w:val="24"/>
          <w:szCs w:val="24"/>
          <w:rtl/>
        </w:rPr>
        <w:t xml:space="preserve">בקליפת אגוז יתוארו עובדות המקרה. כנגד הנאשמת הוגש כתב אישום </w:t>
      </w:r>
      <w:r>
        <w:rPr>
          <w:rFonts w:ascii="David" w:hAnsi="David" w:cs="David"/>
          <w:sz w:val="24"/>
          <w:szCs w:val="24"/>
          <w:rtl/>
        </w:rPr>
        <w:t>ממנו עולה כי ביום 6.5.23</w:t>
      </w:r>
      <w:r w:rsidRPr="004003A5">
        <w:rPr>
          <w:rFonts w:ascii="David" w:hAnsi="David" w:cs="David"/>
          <w:sz w:val="24"/>
          <w:szCs w:val="24"/>
          <w:rtl/>
        </w:rPr>
        <w:t xml:space="preserve">, בשעה 17:15 לערך, נהגה הנאשמת ברכב בשדרות בן גוריון בנתניה. הנאשמת עשתה כן בדרך </w:t>
      </w:r>
      <w:r w:rsidRPr="004003A5">
        <w:rPr>
          <w:rFonts w:ascii="David" w:hAnsi="David" w:cs="David"/>
          <w:sz w:val="24"/>
          <w:szCs w:val="24"/>
          <w:rtl/>
        </w:rPr>
        <w:lastRenderedPageBreak/>
        <w:t>עירונית בה מותרת מהירות מרבית של 60 קמ"ש, באור יום, במזג אויר נאה, כאשר הראות טובה, בדרך דו מסלולית עם הפרדה בנויה (אי תנועה בנוי) ושני נתיבי נסיעה לכיוון דרום.</w:t>
      </w:r>
    </w:p>
    <w:p w:rsidR="004003A5" w:rsidRPr="004003A5" w:rsidRDefault="004003A5" w:rsidP="004003A5">
      <w:pPr>
        <w:spacing w:after="0" w:line="360" w:lineRule="auto"/>
        <w:jc w:val="both"/>
        <w:rPr>
          <w:rFonts w:ascii="David" w:hAnsi="David" w:cs="David"/>
          <w:sz w:val="24"/>
          <w:szCs w:val="24"/>
          <w:rtl/>
        </w:rPr>
      </w:pPr>
      <w:r w:rsidRPr="004003A5">
        <w:rPr>
          <w:rFonts w:ascii="David" w:hAnsi="David" w:cs="David"/>
          <w:sz w:val="24"/>
          <w:szCs w:val="24"/>
          <w:rtl/>
        </w:rPr>
        <w:t>באותה עת חצו את הכביש, ממזרח למערב, סבו  של המנוח, עם שני נכדיו הקטינים, שלא במעבר חציה, כאשר הוא אוחז בידו את יד נכדו המנוח. לאחר שחצו הולכי הרגל את מסלול הנסיעה לכיוון צפון, עלו הולכי הרגל על אי התנועה. בסמוך לאחר מכן החלו הולכי הרגל לרדת מאי התנועה הבנוי למסלול הנסיעה לכיוון דרום. או אז, פגעה הנאשמת באמצעות חזית צד שמאל של הרכב במנוח ובידו של הסב. כתוצאה מהפגיעה הוטח המנוח על אי התנועה הבנוי. (להלן: "התאונה").</w:t>
      </w:r>
    </w:p>
    <w:p w:rsidR="004003A5" w:rsidRPr="004003A5" w:rsidRDefault="004003A5" w:rsidP="004003A5">
      <w:pPr>
        <w:spacing w:after="0" w:line="360" w:lineRule="auto"/>
        <w:jc w:val="both"/>
        <w:rPr>
          <w:rFonts w:ascii="David" w:hAnsi="David" w:cs="David"/>
          <w:sz w:val="24"/>
          <w:szCs w:val="24"/>
          <w:rtl/>
        </w:rPr>
      </w:pPr>
      <w:r w:rsidRPr="004003A5">
        <w:rPr>
          <w:rFonts w:ascii="David" w:hAnsi="David" w:cs="David"/>
          <w:sz w:val="24"/>
          <w:szCs w:val="24"/>
          <w:rtl/>
        </w:rPr>
        <w:t>כתוצאה מהתאונה, נפגע המנוח באורח קשה מאוד, הובהל לבית חולים ומותו נקבע ביום 10.5.23.</w:t>
      </w:r>
    </w:p>
    <w:p w:rsidR="004003A5" w:rsidRPr="004003A5" w:rsidRDefault="004003A5" w:rsidP="004003A5">
      <w:pPr>
        <w:spacing w:after="0" w:line="360" w:lineRule="auto"/>
        <w:jc w:val="both"/>
        <w:rPr>
          <w:rFonts w:ascii="David" w:hAnsi="David" w:cs="David"/>
          <w:sz w:val="24"/>
          <w:szCs w:val="24"/>
          <w:rtl/>
        </w:rPr>
      </w:pPr>
      <w:r w:rsidRPr="004003A5">
        <w:rPr>
          <w:rFonts w:ascii="David" w:hAnsi="David" w:cs="David"/>
          <w:sz w:val="24"/>
          <w:szCs w:val="24"/>
          <w:rtl/>
        </w:rPr>
        <w:t>מיד לאחר התאונה, המשיכה הנאשמת בנסיעה רצופה, מבלי שעצרה לעמוד על תוצאות התאונה ומבלי שהזעיקה את כוחות ההצלה.</w:t>
      </w:r>
    </w:p>
    <w:p w:rsidR="004003A5" w:rsidRDefault="004003A5" w:rsidP="004003A5">
      <w:pPr>
        <w:spacing w:after="0" w:line="360" w:lineRule="auto"/>
        <w:jc w:val="both"/>
        <w:rPr>
          <w:rFonts w:ascii="David" w:hAnsi="David" w:cs="David"/>
          <w:sz w:val="24"/>
          <w:szCs w:val="24"/>
          <w:rtl/>
        </w:rPr>
      </w:pPr>
      <w:r w:rsidRPr="004003A5">
        <w:rPr>
          <w:rFonts w:ascii="David" w:hAnsi="David" w:cs="David"/>
          <w:sz w:val="24"/>
          <w:szCs w:val="24"/>
          <w:rtl/>
        </w:rPr>
        <w:t xml:space="preserve">לאור האמור בפרק העובדות יוחסה לנאשמת עבירה של הפקרה אחרי פגיעה – עבירה לפי סעיף </w:t>
      </w:r>
      <w:r w:rsidRPr="004003A5">
        <w:rPr>
          <w:rFonts w:ascii="David" w:hAnsi="David" w:cs="David"/>
          <w:sz w:val="24"/>
          <w:szCs w:val="24"/>
          <w:u w:val="single"/>
          <w:rtl/>
        </w:rPr>
        <w:t>64א(ב)</w:t>
      </w:r>
      <w:r w:rsidRPr="004003A5">
        <w:rPr>
          <w:rFonts w:ascii="David" w:hAnsi="David" w:cs="David"/>
          <w:sz w:val="24"/>
          <w:szCs w:val="24"/>
          <w:rtl/>
        </w:rPr>
        <w:t xml:space="preserve"> </w:t>
      </w:r>
      <w:r w:rsidRPr="004003A5">
        <w:rPr>
          <w:rFonts w:ascii="David" w:hAnsi="David" w:cs="David"/>
          <w:sz w:val="24"/>
          <w:szCs w:val="24"/>
          <w:u w:val="single"/>
          <w:rtl/>
        </w:rPr>
        <w:t>לפקודת התעבורה</w:t>
      </w:r>
      <w:r w:rsidRPr="004003A5">
        <w:rPr>
          <w:rFonts w:ascii="David" w:hAnsi="David" w:cs="David"/>
          <w:sz w:val="24"/>
          <w:szCs w:val="24"/>
          <w:rtl/>
        </w:rPr>
        <w:t>.</w:t>
      </w:r>
    </w:p>
    <w:p w:rsidR="004003A5" w:rsidRPr="004003A5" w:rsidRDefault="004003A5" w:rsidP="004003A5">
      <w:pPr>
        <w:spacing w:after="0" w:line="360" w:lineRule="auto"/>
        <w:jc w:val="both"/>
        <w:rPr>
          <w:rFonts w:ascii="David" w:hAnsi="David" w:cs="David"/>
          <w:sz w:val="24"/>
          <w:szCs w:val="24"/>
          <w:rtl/>
        </w:rPr>
      </w:pPr>
    </w:p>
    <w:p w:rsidR="004003A5" w:rsidRPr="00E07BBA" w:rsidRDefault="004003A5" w:rsidP="00E07BBA">
      <w:pPr>
        <w:spacing w:after="0" w:line="360" w:lineRule="auto"/>
        <w:jc w:val="both"/>
        <w:rPr>
          <w:rFonts w:ascii="David" w:hAnsi="David" w:cs="David"/>
          <w:b/>
          <w:bCs/>
          <w:sz w:val="24"/>
          <w:szCs w:val="24"/>
          <w:rtl/>
        </w:rPr>
      </w:pPr>
      <w:r w:rsidRPr="004003A5">
        <w:rPr>
          <w:rFonts w:ascii="David" w:hAnsi="David" w:cs="David"/>
          <w:sz w:val="24"/>
          <w:szCs w:val="24"/>
          <w:rtl/>
        </w:rPr>
        <w:t>בישיבת ההקראה שנערכה ביום 19.2.24 הצהיר ב"כ הנאשמת כי "</w:t>
      </w:r>
      <w:r w:rsidRPr="004003A5">
        <w:rPr>
          <w:rFonts w:ascii="David" w:hAnsi="David" w:cs="David"/>
          <w:b/>
          <w:bCs/>
          <w:sz w:val="24"/>
          <w:szCs w:val="24"/>
          <w:rtl/>
        </w:rPr>
        <w:t>כתב האישום הוקרא לנאשמת מחוץ לכותלי בית המשפט, היא מבינה תוכנו, היא מודה בכל עובדות כתב האישום.</w:t>
      </w:r>
      <w:r w:rsidR="00E07BBA">
        <w:rPr>
          <w:rFonts w:ascii="David" w:hAnsi="David" w:cs="David" w:hint="cs"/>
          <w:b/>
          <w:bCs/>
          <w:sz w:val="24"/>
          <w:szCs w:val="24"/>
          <w:rtl/>
        </w:rPr>
        <w:t xml:space="preserve"> </w:t>
      </w:r>
      <w:r w:rsidRPr="004003A5">
        <w:rPr>
          <w:rFonts w:ascii="David" w:hAnsi="David" w:cs="David"/>
          <w:b/>
          <w:bCs/>
          <w:sz w:val="24"/>
          <w:szCs w:val="24"/>
          <w:rtl/>
        </w:rPr>
        <w:t>אבקש להרשיע בעובדות המיוחסות לנאשמת בכתב האישום.</w:t>
      </w:r>
      <w:r w:rsidRPr="004003A5">
        <w:rPr>
          <w:rFonts w:ascii="David" w:hAnsi="David" w:cs="David"/>
          <w:sz w:val="24"/>
          <w:szCs w:val="24"/>
          <w:rtl/>
        </w:rPr>
        <w:t>"</w:t>
      </w:r>
      <w:r>
        <w:rPr>
          <w:rFonts w:ascii="David" w:hAnsi="David" w:cs="David" w:hint="cs"/>
          <w:sz w:val="24"/>
          <w:szCs w:val="24"/>
          <w:rtl/>
        </w:rPr>
        <w:t xml:space="preserve"> </w:t>
      </w:r>
      <w:r w:rsidRPr="004003A5">
        <w:rPr>
          <w:rFonts w:ascii="David" w:hAnsi="David" w:cs="David"/>
          <w:sz w:val="24"/>
          <w:szCs w:val="24"/>
          <w:rtl/>
        </w:rPr>
        <w:t>לאחר מכן אמרה הנאשמת כי היא "</w:t>
      </w:r>
      <w:r w:rsidRPr="004003A5">
        <w:rPr>
          <w:rFonts w:ascii="David" w:hAnsi="David" w:cs="David"/>
          <w:b/>
          <w:bCs/>
          <w:sz w:val="24"/>
          <w:szCs w:val="24"/>
          <w:rtl/>
        </w:rPr>
        <w:t>מודה בעובדות כתב האישום</w:t>
      </w:r>
      <w:r w:rsidRPr="004003A5">
        <w:rPr>
          <w:rFonts w:ascii="David" w:hAnsi="David" w:cs="David"/>
          <w:sz w:val="24"/>
          <w:szCs w:val="24"/>
          <w:rtl/>
        </w:rPr>
        <w:t>".</w:t>
      </w:r>
    </w:p>
    <w:p w:rsidR="004003A5" w:rsidRPr="004003A5" w:rsidRDefault="004003A5" w:rsidP="004003A5">
      <w:pPr>
        <w:spacing w:after="0" w:line="360" w:lineRule="auto"/>
        <w:jc w:val="both"/>
        <w:rPr>
          <w:rFonts w:ascii="David" w:hAnsi="David" w:cs="David"/>
          <w:sz w:val="24"/>
          <w:szCs w:val="24"/>
          <w:rtl/>
        </w:rPr>
      </w:pPr>
      <w:r w:rsidRPr="004003A5">
        <w:rPr>
          <w:rFonts w:ascii="David" w:hAnsi="David" w:cs="David"/>
          <w:sz w:val="24"/>
          <w:szCs w:val="24"/>
          <w:rtl/>
        </w:rPr>
        <w:t>מיד לאחר מכן ניתנה הכרעת הדין ובה נקבע כי  "</w:t>
      </w:r>
      <w:r w:rsidRPr="004003A5">
        <w:rPr>
          <w:rFonts w:ascii="David" w:hAnsi="David" w:cs="David"/>
          <w:b/>
          <w:bCs/>
          <w:sz w:val="24"/>
          <w:szCs w:val="24"/>
          <w:rtl/>
        </w:rPr>
        <w:t>הנאשמת הודתה בכל העובדות הנטענות בכתב האישום. לפיכך, אני מוצא את הנאשמת אשמה בעבירה שיוחסה לה בכתב האישום ומרשיע אותה בהתאם</w:t>
      </w:r>
      <w:r w:rsidRPr="004003A5">
        <w:rPr>
          <w:rFonts w:ascii="David" w:hAnsi="David" w:cs="David"/>
          <w:sz w:val="24"/>
          <w:szCs w:val="24"/>
          <w:rtl/>
        </w:rPr>
        <w:t>".</w:t>
      </w:r>
    </w:p>
    <w:p w:rsidR="004003A5" w:rsidRPr="004003A5" w:rsidRDefault="004003A5" w:rsidP="004003A5">
      <w:pPr>
        <w:spacing w:after="0" w:line="360" w:lineRule="auto"/>
        <w:jc w:val="both"/>
        <w:rPr>
          <w:rFonts w:ascii="David" w:hAnsi="David" w:cs="David"/>
          <w:sz w:val="24"/>
          <w:szCs w:val="24"/>
          <w:rtl/>
        </w:rPr>
      </w:pPr>
      <w:r w:rsidRPr="004003A5">
        <w:rPr>
          <w:rFonts w:ascii="David" w:hAnsi="David" w:cs="David"/>
          <w:sz w:val="24"/>
          <w:szCs w:val="24"/>
          <w:rtl/>
        </w:rPr>
        <w:t xml:space="preserve">בשלב זה, לאחר הרשעתה של הנאשמת בעבירה המיוחסת לה, דהיינו הפקרה לפי סעיף 64א(ב) לפקודת התעבורה קם הסנגור ממקומו וביקש להעלות טענה לפיה העובדות בהן הורשעה הנאשמת אינן מגלות את העבירה המיוחסת לה בכתב האישום </w:t>
      </w:r>
      <w:r>
        <w:rPr>
          <w:rFonts w:ascii="David" w:hAnsi="David" w:cs="David"/>
          <w:sz w:val="24"/>
          <w:szCs w:val="24"/>
          <w:rtl/>
        </w:rPr>
        <w:t>(בה הורשעה מספר שניות לפני כן</w:t>
      </w:r>
      <w:r w:rsidRPr="004003A5">
        <w:rPr>
          <w:rFonts w:ascii="David" w:hAnsi="David" w:cs="David"/>
          <w:sz w:val="24"/>
          <w:szCs w:val="24"/>
          <w:rtl/>
        </w:rPr>
        <w:t>)</w:t>
      </w:r>
      <w:r>
        <w:rPr>
          <w:rFonts w:ascii="David" w:hAnsi="David" w:cs="David" w:hint="cs"/>
          <w:sz w:val="24"/>
          <w:szCs w:val="24"/>
          <w:rtl/>
        </w:rPr>
        <w:t>.</w:t>
      </w:r>
    </w:p>
    <w:p w:rsidR="004003A5" w:rsidRPr="004003A5" w:rsidRDefault="004003A5" w:rsidP="004003A5">
      <w:pPr>
        <w:spacing w:after="0" w:line="360" w:lineRule="auto"/>
        <w:jc w:val="both"/>
        <w:rPr>
          <w:rFonts w:ascii="David" w:hAnsi="David" w:cs="David"/>
          <w:sz w:val="24"/>
          <w:szCs w:val="24"/>
          <w:rtl/>
        </w:rPr>
      </w:pPr>
      <w:r w:rsidRPr="004003A5">
        <w:rPr>
          <w:rFonts w:ascii="David" w:hAnsi="David" w:cs="David"/>
          <w:sz w:val="24"/>
          <w:szCs w:val="24"/>
          <w:rtl/>
        </w:rPr>
        <w:t xml:space="preserve">הסנגור ציין כי הוא סבור שיש להרשיע את הנאשמת בעבירה לפי </w:t>
      </w:r>
      <w:r w:rsidRPr="004003A5">
        <w:rPr>
          <w:rFonts w:ascii="David" w:hAnsi="David" w:cs="David"/>
          <w:sz w:val="24"/>
          <w:szCs w:val="24"/>
          <w:u w:val="single"/>
          <w:rtl/>
        </w:rPr>
        <w:t>תקנה 144</w:t>
      </w:r>
      <w:r w:rsidRPr="004003A5">
        <w:rPr>
          <w:rFonts w:ascii="David" w:hAnsi="David" w:cs="David"/>
          <w:sz w:val="24"/>
          <w:szCs w:val="24"/>
          <w:rtl/>
        </w:rPr>
        <w:t xml:space="preserve">  </w:t>
      </w:r>
      <w:r w:rsidRPr="004003A5">
        <w:rPr>
          <w:rFonts w:ascii="David" w:hAnsi="David" w:cs="David"/>
          <w:sz w:val="24"/>
          <w:szCs w:val="24"/>
          <w:u w:val="single"/>
          <w:rtl/>
        </w:rPr>
        <w:t>לתקנות התעבורה</w:t>
      </w:r>
      <w:r w:rsidRPr="004003A5">
        <w:rPr>
          <w:rFonts w:ascii="David" w:hAnsi="David" w:cs="David"/>
          <w:sz w:val="24"/>
          <w:szCs w:val="24"/>
          <w:rtl/>
        </w:rPr>
        <w:t>.</w:t>
      </w:r>
    </w:p>
    <w:p w:rsidR="004003A5" w:rsidRPr="004003A5" w:rsidRDefault="004003A5" w:rsidP="004003A5">
      <w:pPr>
        <w:spacing w:after="0" w:line="360" w:lineRule="auto"/>
        <w:jc w:val="both"/>
        <w:rPr>
          <w:rFonts w:ascii="David" w:hAnsi="David" w:cs="David"/>
          <w:sz w:val="24"/>
          <w:szCs w:val="24"/>
          <w:rtl/>
        </w:rPr>
      </w:pPr>
      <w:r w:rsidRPr="004003A5">
        <w:rPr>
          <w:rFonts w:ascii="David" w:hAnsi="David" w:cs="David"/>
          <w:sz w:val="24"/>
          <w:szCs w:val="24"/>
          <w:rtl/>
        </w:rPr>
        <w:t>עוד ציין הסנגור כי כתב האישום מנוסח באופן לקוי וחסר פירוט בעני</w:t>
      </w:r>
      <w:r>
        <w:rPr>
          <w:rFonts w:ascii="David" w:hAnsi="David" w:cs="David" w:hint="cs"/>
          <w:sz w:val="24"/>
          <w:szCs w:val="24"/>
          <w:rtl/>
        </w:rPr>
        <w:t>י</w:t>
      </w:r>
      <w:r w:rsidRPr="004003A5">
        <w:rPr>
          <w:rFonts w:ascii="David" w:hAnsi="David" w:cs="David"/>
          <w:sz w:val="24"/>
          <w:szCs w:val="24"/>
          <w:rtl/>
        </w:rPr>
        <w:t xml:space="preserve">ן היסוד הנפשי הנדרש לצורך הרשעה בעבירת ההפקרה. </w:t>
      </w:r>
    </w:p>
    <w:p w:rsidR="004003A5" w:rsidRPr="004003A5" w:rsidRDefault="004003A5" w:rsidP="004003A5">
      <w:pPr>
        <w:spacing w:after="0" w:line="360" w:lineRule="auto"/>
        <w:jc w:val="both"/>
        <w:rPr>
          <w:rFonts w:ascii="David" w:hAnsi="David" w:cs="David"/>
          <w:sz w:val="24"/>
          <w:szCs w:val="24"/>
          <w:rtl/>
        </w:rPr>
      </w:pPr>
      <w:r w:rsidRPr="004003A5">
        <w:rPr>
          <w:rFonts w:ascii="David" w:hAnsi="David" w:cs="David"/>
          <w:sz w:val="24"/>
          <w:szCs w:val="24"/>
          <w:rtl/>
        </w:rPr>
        <w:t>ב"כ המאשימה ציין כי ככל שבפי הסנגור טענה בדבר פגם או פסול בכתב האישום יתכבד הסנגור ויטען טענתו, ולחילופין, בשים לב להודאה בעובדות אך כפירה באישום הרי שיש מקום לקבוע את התיק לשמיעת ראיות.</w:t>
      </w:r>
    </w:p>
    <w:p w:rsidR="004003A5" w:rsidRPr="004003A5" w:rsidRDefault="004003A5" w:rsidP="004003A5">
      <w:pPr>
        <w:spacing w:after="0" w:line="360" w:lineRule="auto"/>
        <w:jc w:val="both"/>
        <w:rPr>
          <w:rFonts w:ascii="David" w:hAnsi="David" w:cs="David"/>
          <w:sz w:val="24"/>
          <w:szCs w:val="24"/>
          <w:rtl/>
        </w:rPr>
      </w:pPr>
      <w:r>
        <w:rPr>
          <w:rFonts w:ascii="David" w:hAnsi="David" w:cs="David"/>
          <w:sz w:val="24"/>
          <w:szCs w:val="24"/>
          <w:rtl/>
        </w:rPr>
        <w:t>לאור האמור בדיון, ולאחר ש</w:t>
      </w:r>
      <w:r>
        <w:rPr>
          <w:rFonts w:ascii="David" w:hAnsi="David" w:cs="David" w:hint="cs"/>
          <w:sz w:val="24"/>
          <w:szCs w:val="24"/>
          <w:rtl/>
        </w:rPr>
        <w:t>נשקלו</w:t>
      </w:r>
      <w:r>
        <w:rPr>
          <w:rFonts w:ascii="David" w:hAnsi="David" w:cs="David"/>
          <w:sz w:val="24"/>
          <w:szCs w:val="24"/>
          <w:rtl/>
        </w:rPr>
        <w:t xml:space="preserve"> טיעוני הצדדים מצא</w:t>
      </w:r>
      <w:r>
        <w:rPr>
          <w:rFonts w:ascii="David" w:hAnsi="David" w:cs="David" w:hint="cs"/>
          <w:sz w:val="24"/>
          <w:szCs w:val="24"/>
          <w:rtl/>
        </w:rPr>
        <w:t xml:space="preserve"> השופט</w:t>
      </w:r>
      <w:r w:rsidRPr="004003A5">
        <w:rPr>
          <w:rFonts w:ascii="David" w:hAnsi="David" w:cs="David"/>
          <w:sz w:val="24"/>
          <w:szCs w:val="24"/>
          <w:rtl/>
        </w:rPr>
        <w:t xml:space="preserve"> לקבוע דיון נוסף ליום 13.3.24 בו הו</w:t>
      </w:r>
      <w:r>
        <w:rPr>
          <w:rFonts w:ascii="David" w:hAnsi="David" w:cs="David" w:hint="cs"/>
          <w:sz w:val="24"/>
          <w:szCs w:val="24"/>
          <w:rtl/>
        </w:rPr>
        <w:t>דע</w:t>
      </w:r>
      <w:r w:rsidRPr="004003A5">
        <w:rPr>
          <w:rFonts w:ascii="David" w:hAnsi="David" w:cs="David"/>
          <w:sz w:val="24"/>
          <w:szCs w:val="24"/>
          <w:rtl/>
        </w:rPr>
        <w:t xml:space="preserve"> לצדדים כי</w:t>
      </w:r>
      <w:r>
        <w:rPr>
          <w:rFonts w:ascii="David" w:hAnsi="David" w:cs="David" w:hint="cs"/>
          <w:sz w:val="24"/>
          <w:szCs w:val="24"/>
          <w:rtl/>
        </w:rPr>
        <w:t xml:space="preserve"> בית המשפט אינו</w:t>
      </w:r>
      <w:r>
        <w:rPr>
          <w:rFonts w:ascii="David" w:hAnsi="David" w:cs="David"/>
          <w:sz w:val="24"/>
          <w:szCs w:val="24"/>
          <w:rtl/>
        </w:rPr>
        <w:t xml:space="preserve"> שלם עם הודאתה של הנאשמת </w:t>
      </w:r>
      <w:r>
        <w:rPr>
          <w:rFonts w:ascii="David" w:hAnsi="David" w:cs="David" w:hint="cs"/>
          <w:sz w:val="24"/>
          <w:szCs w:val="24"/>
          <w:rtl/>
        </w:rPr>
        <w:t>ו</w:t>
      </w:r>
      <w:r w:rsidRPr="004003A5">
        <w:rPr>
          <w:rFonts w:ascii="David" w:hAnsi="David" w:cs="David"/>
          <w:sz w:val="24"/>
          <w:szCs w:val="24"/>
          <w:rtl/>
        </w:rPr>
        <w:t>שוקל ביטולה של הכרעת הדין.</w:t>
      </w:r>
    </w:p>
    <w:p w:rsidR="004003A5" w:rsidRPr="004003A5" w:rsidRDefault="004003A5" w:rsidP="004003A5">
      <w:pPr>
        <w:spacing w:after="0" w:line="360" w:lineRule="auto"/>
        <w:jc w:val="both"/>
        <w:rPr>
          <w:rFonts w:ascii="David" w:hAnsi="David" w:cs="David"/>
          <w:sz w:val="24"/>
          <w:szCs w:val="24"/>
          <w:rtl/>
        </w:rPr>
      </w:pPr>
      <w:r w:rsidRPr="004003A5">
        <w:rPr>
          <w:rFonts w:ascii="David" w:hAnsi="David" w:cs="David"/>
          <w:sz w:val="24"/>
          <w:szCs w:val="24"/>
          <w:rtl/>
        </w:rPr>
        <w:t>הסנגור ביקש שהות להשיב בכתב לבית המשפט וכן על מנת להסביר לנאשמת את מהות הדיון שכן הנאשמת אינה דוברת עברית והדיון, ככל הדיונים בתיק זה, מתורגם לשפה האנגלית על ידי מתורגמן.</w:t>
      </w:r>
      <w:r>
        <w:rPr>
          <w:rFonts w:ascii="David" w:hAnsi="David" w:cs="David" w:hint="cs"/>
          <w:sz w:val="24"/>
          <w:szCs w:val="24"/>
          <w:rtl/>
        </w:rPr>
        <w:t xml:space="preserve"> </w:t>
      </w:r>
      <w:r w:rsidRPr="004003A5">
        <w:rPr>
          <w:rFonts w:ascii="David" w:hAnsi="David" w:cs="David"/>
          <w:sz w:val="24"/>
          <w:szCs w:val="24"/>
          <w:rtl/>
        </w:rPr>
        <w:t>הסנגור הגיש תגוב</w:t>
      </w:r>
      <w:r>
        <w:rPr>
          <w:rFonts w:ascii="David" w:hAnsi="David" w:cs="David"/>
          <w:sz w:val="24"/>
          <w:szCs w:val="24"/>
          <w:rtl/>
        </w:rPr>
        <w:t>תו בכתב והמאשימה השיבה לטענותיו</w:t>
      </w:r>
      <w:r w:rsidRPr="004003A5">
        <w:rPr>
          <w:rFonts w:ascii="David" w:hAnsi="David" w:cs="David"/>
          <w:sz w:val="24"/>
          <w:szCs w:val="24"/>
          <w:rtl/>
        </w:rPr>
        <w:t>, אף היא, בכתב.</w:t>
      </w:r>
    </w:p>
    <w:p w:rsidR="004003A5" w:rsidRPr="004003A5" w:rsidRDefault="004003A5" w:rsidP="004003A5">
      <w:pPr>
        <w:spacing w:after="0" w:line="360" w:lineRule="auto"/>
        <w:jc w:val="both"/>
        <w:rPr>
          <w:rFonts w:ascii="David" w:hAnsi="David" w:cs="David"/>
          <w:sz w:val="24"/>
          <w:szCs w:val="24"/>
          <w:rtl/>
        </w:rPr>
      </w:pPr>
      <w:r w:rsidRPr="004003A5">
        <w:rPr>
          <w:rFonts w:ascii="David" w:hAnsi="David" w:cs="David"/>
          <w:sz w:val="24"/>
          <w:szCs w:val="24"/>
          <w:rtl/>
        </w:rPr>
        <w:t>הסנגור טוען כי בית המשפט קטע את דבריו, והכריע את דינה של הנאשמת, טענה כבושה אותה מעלה הסנגור לראשונה בתגובתו, טענה אשר מוטב היה לו לא הייתה מועלית.</w:t>
      </w:r>
    </w:p>
    <w:p w:rsidR="004003A5" w:rsidRPr="004003A5" w:rsidRDefault="004003A5" w:rsidP="00E07BBA">
      <w:pPr>
        <w:spacing w:after="0" w:line="360" w:lineRule="auto"/>
        <w:jc w:val="both"/>
        <w:rPr>
          <w:rFonts w:ascii="David" w:hAnsi="David" w:cs="David"/>
          <w:sz w:val="24"/>
          <w:szCs w:val="24"/>
          <w:rtl/>
        </w:rPr>
      </w:pPr>
      <w:r w:rsidRPr="004003A5">
        <w:rPr>
          <w:rFonts w:ascii="David" w:hAnsi="David" w:cs="David"/>
          <w:sz w:val="24"/>
          <w:szCs w:val="24"/>
          <w:rtl/>
        </w:rPr>
        <w:t>הסנגור סבור כי אין בסמכותו של בית המשפט להורות על ביטול ההודיה מיוזמתו.</w:t>
      </w:r>
    </w:p>
    <w:p w:rsidR="004003A5" w:rsidRPr="004003A5" w:rsidRDefault="004003A5" w:rsidP="004003A5">
      <w:pPr>
        <w:spacing w:after="0" w:line="360" w:lineRule="auto"/>
        <w:jc w:val="both"/>
        <w:rPr>
          <w:rFonts w:ascii="David" w:hAnsi="David" w:cs="David"/>
          <w:sz w:val="24"/>
          <w:szCs w:val="24"/>
          <w:rtl/>
        </w:rPr>
      </w:pPr>
      <w:r w:rsidRPr="004003A5">
        <w:rPr>
          <w:rFonts w:ascii="David" w:hAnsi="David" w:cs="David"/>
          <w:sz w:val="24"/>
          <w:szCs w:val="24"/>
          <w:rtl/>
        </w:rPr>
        <w:lastRenderedPageBreak/>
        <w:t>לתגובת ההגנה צורף תצהיר הנאשמת בו חוזרת היא על הודאתה בעובדות כתב האישום ואף מוסיפה כי היא מבינה את הכעס של משפחת המנוח כלפיה והיא מבקשת את סליחתם.</w:t>
      </w:r>
    </w:p>
    <w:p w:rsidR="004003A5" w:rsidRPr="004003A5" w:rsidRDefault="004003A5" w:rsidP="004003A5">
      <w:pPr>
        <w:spacing w:after="0" w:line="360" w:lineRule="auto"/>
        <w:jc w:val="both"/>
        <w:rPr>
          <w:rFonts w:ascii="David" w:hAnsi="David" w:cs="David"/>
          <w:sz w:val="24"/>
          <w:szCs w:val="24"/>
          <w:rtl/>
        </w:rPr>
      </w:pPr>
    </w:p>
    <w:p w:rsidR="004003A5" w:rsidRPr="004003A5" w:rsidRDefault="004003A5" w:rsidP="004003A5">
      <w:pPr>
        <w:spacing w:after="0" w:line="360" w:lineRule="auto"/>
        <w:jc w:val="both"/>
        <w:rPr>
          <w:rFonts w:ascii="David" w:hAnsi="David" w:cs="David"/>
          <w:sz w:val="24"/>
          <w:szCs w:val="24"/>
          <w:rtl/>
        </w:rPr>
      </w:pPr>
      <w:r w:rsidRPr="004003A5">
        <w:rPr>
          <w:rFonts w:ascii="David" w:hAnsi="David" w:cs="David"/>
          <w:sz w:val="24"/>
          <w:szCs w:val="24"/>
          <w:rtl/>
        </w:rPr>
        <w:t xml:space="preserve">במענה לתגובת ההגנה, חזרה התביעה על עמדתה לפיה לא נפל כל פגם בניסוח כתב האישום. </w:t>
      </w:r>
    </w:p>
    <w:p w:rsidR="004003A5" w:rsidRPr="004003A5" w:rsidRDefault="004003A5" w:rsidP="004003A5">
      <w:pPr>
        <w:spacing w:after="0" w:line="360" w:lineRule="auto"/>
        <w:jc w:val="both"/>
        <w:rPr>
          <w:rFonts w:ascii="David" w:hAnsi="David" w:cs="David"/>
          <w:sz w:val="24"/>
          <w:szCs w:val="24"/>
          <w:rtl/>
        </w:rPr>
      </w:pPr>
      <w:r w:rsidRPr="004003A5">
        <w:rPr>
          <w:rFonts w:ascii="David" w:hAnsi="David" w:cs="David"/>
          <w:sz w:val="24"/>
          <w:szCs w:val="24"/>
          <w:rtl/>
        </w:rPr>
        <w:t xml:space="preserve">ב"כ המאשימה מציין כי במקום בו אין התייחסות ליסוד הנפשי בהגדת העבירה – היסוד הנפשי הנדרש הוא מודעות. </w:t>
      </w:r>
      <w:r>
        <w:rPr>
          <w:rFonts w:ascii="David" w:hAnsi="David" w:cs="David" w:hint="cs"/>
          <w:sz w:val="24"/>
          <w:szCs w:val="24"/>
          <w:rtl/>
        </w:rPr>
        <w:t xml:space="preserve"> </w:t>
      </w:r>
      <w:r w:rsidRPr="004003A5">
        <w:rPr>
          <w:rFonts w:ascii="David" w:hAnsi="David" w:cs="David"/>
          <w:sz w:val="24"/>
          <w:szCs w:val="24"/>
          <w:rtl/>
        </w:rPr>
        <w:t xml:space="preserve">עוד טוען ב"כ המאשימה כי גם אם היה מקום לפרט בכתב האישום את היסוד הנפשי אין פירוש הדבר שנפל פגם בכתב האישום. את ענין מודעותה של הנאשמת לתאונת הדרכים ניתן ללמוד, כך לשיטת התביעה, מהעובדות המפורטות בסעיף 8 לכתב האישום. </w:t>
      </w:r>
    </w:p>
    <w:p w:rsidR="004003A5" w:rsidRPr="004003A5" w:rsidRDefault="004003A5" w:rsidP="004003A5">
      <w:pPr>
        <w:spacing w:after="0" w:line="360" w:lineRule="auto"/>
        <w:jc w:val="both"/>
        <w:rPr>
          <w:rFonts w:ascii="David" w:hAnsi="David" w:cs="David"/>
          <w:sz w:val="24"/>
          <w:szCs w:val="24"/>
          <w:rtl/>
        </w:rPr>
      </w:pPr>
      <w:r w:rsidRPr="004003A5">
        <w:rPr>
          <w:rFonts w:ascii="David" w:hAnsi="David" w:cs="David"/>
          <w:sz w:val="24"/>
          <w:szCs w:val="24"/>
          <w:rtl/>
        </w:rPr>
        <w:t>המאשימה שבה על עמדתה לפיה אינה מתנגדת לביטול הכרעת הדין.</w:t>
      </w:r>
    </w:p>
    <w:p w:rsidR="004003A5" w:rsidRDefault="004003A5" w:rsidP="004003A5">
      <w:pPr>
        <w:spacing w:after="0" w:line="360" w:lineRule="auto"/>
        <w:jc w:val="both"/>
        <w:rPr>
          <w:rFonts w:ascii="David" w:hAnsi="David" w:cs="David"/>
          <w:sz w:val="24"/>
          <w:szCs w:val="24"/>
          <w:rtl/>
        </w:rPr>
      </w:pPr>
      <w:r w:rsidRPr="004003A5">
        <w:rPr>
          <w:rFonts w:ascii="David" w:hAnsi="David" w:cs="David"/>
          <w:sz w:val="24"/>
          <w:szCs w:val="24"/>
          <w:rtl/>
        </w:rPr>
        <w:t>בסיכום טענותיה, מציינת המאשימה</w:t>
      </w:r>
      <w:r>
        <w:rPr>
          <w:rFonts w:ascii="David" w:hAnsi="David" w:cs="David"/>
          <w:sz w:val="24"/>
          <w:szCs w:val="24"/>
          <w:rtl/>
        </w:rPr>
        <w:t xml:space="preserve"> כי הכרעת הדין ניתנה כדין ואולם</w:t>
      </w:r>
      <w:r w:rsidRPr="004003A5">
        <w:rPr>
          <w:rFonts w:ascii="David" w:hAnsi="David" w:cs="David"/>
          <w:sz w:val="24"/>
          <w:szCs w:val="24"/>
          <w:rtl/>
        </w:rPr>
        <w:t>, ככל והנאשמת כופרת ביסוד הנפשי על בית המשפט לבטל את הכרעת הדין ולקבוע את התיק לשמיעת ראיות. לחילופין, מבקשת המאשימה לראות בטענות ההגנה טענה מקדמית ולפיכך יש מקום לבטל את הכרעת הדין, ולדון בטענה מבראשית.</w:t>
      </w:r>
    </w:p>
    <w:p w:rsidR="004003A5" w:rsidRPr="004003A5" w:rsidRDefault="004003A5" w:rsidP="004003A5">
      <w:pPr>
        <w:spacing w:after="0" w:line="360" w:lineRule="auto"/>
        <w:jc w:val="both"/>
        <w:rPr>
          <w:rFonts w:ascii="David" w:hAnsi="David" w:cs="David"/>
          <w:sz w:val="24"/>
          <w:szCs w:val="24"/>
          <w:rtl/>
        </w:rPr>
      </w:pPr>
    </w:p>
    <w:p w:rsidR="004003A5" w:rsidRPr="004003A5" w:rsidRDefault="004003A5" w:rsidP="00E74E39">
      <w:pPr>
        <w:spacing w:after="0" w:line="360" w:lineRule="auto"/>
        <w:jc w:val="both"/>
        <w:rPr>
          <w:rFonts w:ascii="David" w:hAnsi="David" w:cs="David"/>
          <w:sz w:val="24"/>
          <w:szCs w:val="24"/>
          <w:rtl/>
        </w:rPr>
      </w:pPr>
      <w:r w:rsidRPr="004003A5">
        <w:rPr>
          <w:rFonts w:ascii="David" w:hAnsi="David" w:cs="David"/>
          <w:sz w:val="24"/>
          <w:szCs w:val="24"/>
          <w:rtl/>
        </w:rPr>
        <w:t>כפי שכבר צוין לעיל, עסקינן בעבירה חמורה אשר</w:t>
      </w:r>
      <w:r w:rsidR="00E74E39">
        <w:rPr>
          <w:rFonts w:ascii="David" w:hAnsi="David" w:cs="David" w:hint="cs"/>
          <w:sz w:val="24"/>
          <w:szCs w:val="24"/>
          <w:rtl/>
        </w:rPr>
        <w:t xml:space="preserve"> בצידה עד </w:t>
      </w:r>
      <w:r w:rsidRPr="004003A5">
        <w:rPr>
          <w:rFonts w:ascii="David" w:hAnsi="David" w:cs="David"/>
          <w:sz w:val="24"/>
          <w:szCs w:val="24"/>
          <w:rtl/>
        </w:rPr>
        <w:t xml:space="preserve"> 7 שנות מאסר ומן הצדק כי הנאשמת לא תורשע בדין שעה שהיא אינה מודה, הלכה למעשה, ביסוד הנפשי המיוחס לה.</w:t>
      </w:r>
    </w:p>
    <w:p w:rsidR="004003A5" w:rsidRDefault="004003A5" w:rsidP="004003A5">
      <w:pPr>
        <w:spacing w:after="0" w:line="360" w:lineRule="auto"/>
        <w:jc w:val="both"/>
        <w:rPr>
          <w:rFonts w:ascii="David" w:hAnsi="David" w:cs="David"/>
          <w:sz w:val="24"/>
          <w:szCs w:val="24"/>
          <w:rtl/>
        </w:rPr>
      </w:pPr>
    </w:p>
    <w:p w:rsidR="004003A5" w:rsidRPr="004003A5" w:rsidRDefault="004003A5" w:rsidP="004003A5">
      <w:pPr>
        <w:spacing w:after="0" w:line="360" w:lineRule="auto"/>
        <w:jc w:val="both"/>
        <w:rPr>
          <w:rFonts w:ascii="David" w:hAnsi="David" w:cs="David"/>
          <w:sz w:val="24"/>
          <w:szCs w:val="24"/>
          <w:rtl/>
        </w:rPr>
      </w:pPr>
      <w:r>
        <w:rPr>
          <w:rFonts w:ascii="David" w:hAnsi="David" w:cs="David" w:hint="cs"/>
          <w:sz w:val="24"/>
          <w:szCs w:val="24"/>
          <w:rtl/>
        </w:rPr>
        <w:t xml:space="preserve">בית המשפט </w:t>
      </w:r>
      <w:r>
        <w:rPr>
          <w:rFonts w:ascii="David" w:hAnsi="David" w:cs="David"/>
          <w:sz w:val="24"/>
          <w:szCs w:val="24"/>
          <w:rtl/>
        </w:rPr>
        <w:t>רש</w:t>
      </w:r>
      <w:r>
        <w:rPr>
          <w:rFonts w:ascii="David" w:hAnsi="David" w:cs="David" w:hint="cs"/>
          <w:sz w:val="24"/>
          <w:szCs w:val="24"/>
          <w:rtl/>
        </w:rPr>
        <w:t>ם</w:t>
      </w:r>
      <w:r w:rsidRPr="004003A5">
        <w:rPr>
          <w:rFonts w:ascii="David" w:hAnsi="David" w:cs="David"/>
          <w:sz w:val="24"/>
          <w:szCs w:val="24"/>
          <w:rtl/>
        </w:rPr>
        <w:t xml:space="preserve"> בפני</w:t>
      </w:r>
      <w:r>
        <w:rPr>
          <w:rFonts w:ascii="David" w:hAnsi="David" w:cs="David" w:hint="cs"/>
          <w:sz w:val="24"/>
          <w:szCs w:val="24"/>
          <w:rtl/>
        </w:rPr>
        <w:t>ו</w:t>
      </w:r>
      <w:r w:rsidRPr="004003A5">
        <w:rPr>
          <w:rFonts w:ascii="David" w:hAnsi="David" w:cs="David"/>
          <w:sz w:val="24"/>
          <w:szCs w:val="24"/>
          <w:rtl/>
        </w:rPr>
        <w:t xml:space="preserve"> הודאת הנאשמת בכל עובדות כתב האישום תוך כפירתה ביסוד הנפשי, דהיינו רכיב המודעות.</w:t>
      </w:r>
    </w:p>
    <w:p w:rsidR="004003A5" w:rsidRPr="004003A5" w:rsidRDefault="004003A5" w:rsidP="004003A5">
      <w:pPr>
        <w:spacing w:line="360" w:lineRule="auto"/>
        <w:jc w:val="both"/>
        <w:rPr>
          <w:rFonts w:ascii="David" w:hAnsi="David" w:cs="David"/>
          <w:sz w:val="24"/>
          <w:szCs w:val="24"/>
          <w:rtl/>
        </w:rPr>
      </w:pPr>
    </w:p>
    <w:p w:rsidR="00541C9E" w:rsidRDefault="00541C9E" w:rsidP="00541C9E">
      <w:pPr>
        <w:spacing w:after="120" w:line="360" w:lineRule="auto"/>
        <w:jc w:val="both"/>
        <w:rPr>
          <w:rFonts w:ascii="FrankRuehl" w:hAnsi="FrankRuehl" w:cs="FrankRuehl"/>
          <w:color w:val="323E4F" w:themeColor="text2" w:themeShade="BF"/>
          <w:sz w:val="26"/>
          <w:szCs w:val="26"/>
          <w:rtl/>
        </w:rPr>
      </w:pPr>
    </w:p>
    <w:p w:rsidR="00541C9E" w:rsidRPr="000071E5" w:rsidRDefault="00541C9E" w:rsidP="004003A5">
      <w:pPr>
        <w:spacing w:after="120" w:line="360" w:lineRule="auto"/>
        <w:jc w:val="center"/>
        <w:rPr>
          <w:rFonts w:ascii="FrankRuehl" w:hAnsi="FrankRuehl" w:cs="FrankRuehl"/>
          <w:b/>
          <w:bCs/>
          <w:color w:val="002060"/>
          <w:sz w:val="26"/>
          <w:szCs w:val="26"/>
        </w:rPr>
      </w:pPr>
      <w:r w:rsidRPr="000071E5">
        <w:rPr>
          <w:rFonts w:ascii="FrankRuehl" w:hAnsi="FrankRuehl" w:cs="FrankRuehl" w:hint="cs"/>
          <w:b/>
          <w:bCs/>
          <w:color w:val="002060"/>
          <w:sz w:val="26"/>
          <w:szCs w:val="26"/>
          <w:rtl/>
        </w:rPr>
        <w:t xml:space="preserve">*** </w:t>
      </w:r>
      <w:r w:rsidRPr="000071E5">
        <w:rPr>
          <w:rFonts w:ascii="FrankRuehl" w:hAnsi="FrankRuehl" w:cs="FrankRuehl"/>
          <w:b/>
          <w:bCs/>
          <w:color w:val="002060"/>
          <w:sz w:val="26"/>
          <w:szCs w:val="26"/>
          <w:rtl/>
        </w:rPr>
        <w:t xml:space="preserve">התקציר אינו בא להחליף את </w:t>
      </w:r>
      <w:r w:rsidR="004003A5">
        <w:rPr>
          <w:rFonts w:ascii="FrankRuehl" w:hAnsi="FrankRuehl" w:cs="FrankRuehl" w:hint="cs"/>
          <w:b/>
          <w:bCs/>
          <w:color w:val="002060"/>
          <w:sz w:val="26"/>
          <w:szCs w:val="26"/>
          <w:rtl/>
        </w:rPr>
        <w:t>ההחלטה</w:t>
      </w:r>
      <w:r w:rsidRPr="000071E5">
        <w:rPr>
          <w:rFonts w:ascii="FrankRuehl" w:hAnsi="FrankRuehl" w:cs="FrankRuehl"/>
          <w:b/>
          <w:bCs/>
          <w:color w:val="002060"/>
          <w:sz w:val="26"/>
          <w:szCs w:val="26"/>
          <w:rtl/>
        </w:rPr>
        <w:t xml:space="preserve">, הנוסח המחייב הוא זה של </w:t>
      </w:r>
      <w:r w:rsidR="004003A5">
        <w:rPr>
          <w:rFonts w:ascii="FrankRuehl" w:hAnsi="FrankRuehl" w:cs="FrankRuehl" w:hint="cs"/>
          <w:b/>
          <w:bCs/>
          <w:color w:val="002060"/>
          <w:sz w:val="26"/>
          <w:szCs w:val="26"/>
          <w:rtl/>
        </w:rPr>
        <w:t>ההחלטה</w:t>
      </w:r>
      <w:r w:rsidRPr="000071E5">
        <w:rPr>
          <w:rFonts w:ascii="FrankRuehl" w:hAnsi="FrankRuehl" w:cs="FrankRuehl"/>
          <w:b/>
          <w:bCs/>
          <w:color w:val="002060"/>
          <w:sz w:val="26"/>
          <w:szCs w:val="26"/>
          <w:rtl/>
        </w:rPr>
        <w:t xml:space="preserve"> המלא</w:t>
      </w:r>
      <w:r w:rsidR="004003A5">
        <w:rPr>
          <w:rFonts w:ascii="FrankRuehl" w:hAnsi="FrankRuehl" w:cs="FrankRuehl" w:hint="cs"/>
          <w:b/>
          <w:bCs/>
          <w:color w:val="002060"/>
          <w:sz w:val="26"/>
          <w:szCs w:val="26"/>
          <w:rtl/>
        </w:rPr>
        <w:t>ה</w:t>
      </w:r>
      <w:r w:rsidRPr="000071E5">
        <w:rPr>
          <w:rFonts w:ascii="FrankRuehl" w:hAnsi="FrankRuehl" w:cs="FrankRuehl" w:hint="cs"/>
          <w:b/>
          <w:bCs/>
          <w:color w:val="002060"/>
          <w:sz w:val="26"/>
          <w:szCs w:val="26"/>
          <w:rtl/>
        </w:rPr>
        <w:t>***</w:t>
      </w:r>
    </w:p>
    <w:p w:rsidR="00515986" w:rsidRDefault="00515986" w:rsidP="000C4D75">
      <w:pPr>
        <w:tabs>
          <w:tab w:val="num" w:pos="1080"/>
        </w:tabs>
        <w:spacing w:after="0" w:line="276" w:lineRule="auto"/>
        <w:jc w:val="both"/>
        <w:rPr>
          <w:rFonts w:ascii="Arial" w:eastAsia="Times New Roman" w:hAnsi="Arial" w:cs="David"/>
          <w:b/>
          <w:bCs/>
          <w:sz w:val="24"/>
          <w:szCs w:val="24"/>
          <w:rtl/>
        </w:rPr>
      </w:pPr>
    </w:p>
    <w:p w:rsidR="00515986" w:rsidRDefault="00515986" w:rsidP="000C4D75">
      <w:pPr>
        <w:tabs>
          <w:tab w:val="num" w:pos="1080"/>
        </w:tabs>
        <w:spacing w:after="0" w:line="276" w:lineRule="auto"/>
        <w:jc w:val="both"/>
        <w:rPr>
          <w:rFonts w:ascii="Arial" w:eastAsia="Times New Roman" w:hAnsi="Arial" w:cs="David"/>
          <w:b/>
          <w:bCs/>
          <w:sz w:val="24"/>
          <w:szCs w:val="24"/>
          <w:rtl/>
        </w:rPr>
      </w:pPr>
    </w:p>
    <w:p w:rsidR="002453CF" w:rsidRPr="007B7899" w:rsidRDefault="002453CF" w:rsidP="007B7899">
      <w:pPr>
        <w:spacing w:before="100" w:beforeAutospacing="1" w:after="100" w:afterAutospacing="1" w:line="240" w:lineRule="auto"/>
        <w:ind w:left="4320"/>
        <w:jc w:val="both"/>
        <w:rPr>
          <w:rFonts w:ascii="Times New Roman" w:eastAsia="Times New Roman" w:hAnsi="Times New Roman" w:cs="David"/>
          <w:b/>
          <w:bCs/>
          <w:color w:val="002060"/>
          <w:rtl/>
        </w:rPr>
      </w:pPr>
    </w:p>
    <w:sectPr w:rsidR="002453CF" w:rsidRPr="007B7899" w:rsidSect="00B16422">
      <w:headerReference w:type="default" r:id="rId8"/>
      <w:foot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39FA" w:rsidRDefault="005C39FA" w:rsidP="00730CA1">
      <w:pPr>
        <w:spacing w:after="0" w:line="240" w:lineRule="auto"/>
      </w:pPr>
      <w:r>
        <w:separator/>
      </w:r>
    </w:p>
  </w:endnote>
  <w:endnote w:type="continuationSeparator" w:id="0">
    <w:p w:rsidR="005C39FA" w:rsidRDefault="005C39FA" w:rsidP="00730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Arial Unicode MS">
    <w:panose1 w:val="020B0604020202020204"/>
    <w:charset w:val="00"/>
    <w:family w:val="roman"/>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1C9E" w:rsidRPr="003C61AF" w:rsidRDefault="00541C9E" w:rsidP="00541C9E">
    <w:pPr>
      <w:tabs>
        <w:tab w:val="center" w:pos="4153"/>
        <w:tab w:val="right" w:pos="8306"/>
      </w:tabs>
      <w:spacing w:after="0" w:line="240" w:lineRule="auto"/>
      <w:rPr>
        <w:rFonts w:ascii="Times New Roman" w:eastAsia="Times New Roman" w:hAnsi="Times New Roman" w:cs="FrankRuehl"/>
        <w:b/>
        <w:bCs/>
        <w:color w:val="000080"/>
        <w:spacing w:val="6"/>
        <w:sz w:val="24"/>
        <w:szCs w:val="24"/>
        <w:rtl/>
      </w:rPr>
    </w:pPr>
    <w:r w:rsidRPr="003C61AF">
      <w:rPr>
        <w:rFonts w:ascii="Times New Roman" w:eastAsia="Times New Roman" w:hAnsi="Times New Roman" w:cs="FrankRuehl"/>
        <w:b/>
        <w:bCs/>
        <w:color w:val="000080"/>
        <w:spacing w:val="6"/>
        <w:sz w:val="24"/>
        <w:szCs w:val="24"/>
        <w:rtl/>
      </w:rPr>
      <w:t>________________________________________________________________</w:t>
    </w:r>
  </w:p>
  <w:p w:rsidR="00541C9E" w:rsidRPr="003C61AF" w:rsidRDefault="00541C9E" w:rsidP="00541C9E">
    <w:pPr>
      <w:tabs>
        <w:tab w:val="center" w:pos="4153"/>
        <w:tab w:val="right" w:pos="8306"/>
      </w:tabs>
      <w:spacing w:after="0" w:line="240" w:lineRule="auto"/>
      <w:jc w:val="center"/>
      <w:rPr>
        <w:rFonts w:ascii="Times New Roman" w:eastAsia="Times New Roman" w:hAnsi="Times New Roman" w:cs="FrankRuehl"/>
        <w:b/>
        <w:bCs/>
        <w:color w:val="000080"/>
        <w:spacing w:val="6"/>
        <w:sz w:val="24"/>
        <w:szCs w:val="24"/>
        <w:rtl/>
      </w:rPr>
    </w:pPr>
    <w:r>
      <w:rPr>
        <w:rFonts w:ascii="Times New Roman" w:eastAsia="Times New Roman" w:hAnsi="Times New Roman" w:cs="FrankRuehl" w:hint="cs"/>
        <w:b/>
        <w:bCs/>
        <w:color w:val="000080"/>
        <w:spacing w:val="6"/>
        <w:sz w:val="24"/>
        <w:szCs w:val="24"/>
        <w:rtl/>
      </w:rPr>
      <w:t xml:space="preserve">בית משפט העליון | רחוב דרך השופט מאיר שמגר 1 | </w:t>
    </w:r>
    <w:proofErr w:type="spellStart"/>
    <w:r>
      <w:rPr>
        <w:rFonts w:ascii="Times New Roman" w:eastAsia="Times New Roman" w:hAnsi="Times New Roman" w:cs="FrankRuehl" w:hint="cs"/>
        <w:b/>
        <w:bCs/>
        <w:color w:val="000080"/>
        <w:spacing w:val="6"/>
        <w:sz w:val="24"/>
        <w:szCs w:val="24"/>
        <w:rtl/>
      </w:rPr>
      <w:t>קרית</w:t>
    </w:r>
    <w:proofErr w:type="spellEnd"/>
    <w:r>
      <w:rPr>
        <w:rFonts w:ascii="Times New Roman" w:eastAsia="Times New Roman" w:hAnsi="Times New Roman" w:cs="FrankRuehl" w:hint="cs"/>
        <w:b/>
        <w:bCs/>
        <w:color w:val="000080"/>
        <w:spacing w:val="6"/>
        <w:sz w:val="24"/>
        <w:szCs w:val="24"/>
        <w:rtl/>
      </w:rPr>
      <w:t xml:space="preserve"> בן גוריון |</w:t>
    </w:r>
    <w:r w:rsidRPr="003C61AF">
      <w:rPr>
        <w:rFonts w:ascii="Times New Roman" w:eastAsia="Times New Roman" w:hAnsi="Times New Roman" w:cs="FrankRuehl" w:hint="cs"/>
        <w:b/>
        <w:bCs/>
        <w:color w:val="000080"/>
        <w:spacing w:val="6"/>
        <w:sz w:val="24"/>
        <w:szCs w:val="24"/>
        <w:rtl/>
      </w:rPr>
      <w:t xml:space="preserve"> ירושלים</w:t>
    </w:r>
  </w:p>
  <w:p w:rsidR="003C61AF" w:rsidRPr="00541C9E" w:rsidRDefault="00541C9E" w:rsidP="00541C9E">
    <w:pPr>
      <w:tabs>
        <w:tab w:val="center" w:pos="4153"/>
        <w:tab w:val="right" w:pos="8306"/>
      </w:tabs>
      <w:spacing w:after="0" w:line="240" w:lineRule="auto"/>
      <w:jc w:val="center"/>
      <w:rPr>
        <w:rFonts w:ascii="Times New Roman" w:eastAsia="Times New Roman" w:hAnsi="Times New Roman" w:cs="FrankRuehl"/>
        <w:b/>
        <w:bCs/>
        <w:color w:val="000080"/>
        <w:spacing w:val="6"/>
        <w:sz w:val="24"/>
        <w:szCs w:val="24"/>
      </w:rPr>
    </w:pPr>
    <w:r w:rsidRPr="003C61AF">
      <w:rPr>
        <w:rFonts w:ascii="Times New Roman" w:eastAsia="Times New Roman" w:hAnsi="Times New Roman" w:cs="FrankRuehl" w:hint="cs"/>
        <w:b/>
        <w:bCs/>
        <w:color w:val="000080"/>
        <w:spacing w:val="6"/>
        <w:sz w:val="24"/>
        <w:szCs w:val="24"/>
        <w:rtl/>
      </w:rPr>
      <w:t xml:space="preserve">טל: </w:t>
    </w:r>
    <w:r w:rsidRPr="003C61AF">
      <w:rPr>
        <w:rFonts w:ascii="Times New Roman" w:eastAsia="Times New Roman" w:hAnsi="Times New Roman" w:cs="FrankRuehl"/>
        <w:b/>
        <w:bCs/>
        <w:color w:val="000080"/>
        <w:spacing w:val="6"/>
        <w:sz w:val="24"/>
        <w:szCs w:val="24"/>
      </w:rPr>
      <w:t>074-7480412</w:t>
    </w:r>
    <w:r w:rsidRPr="003C61AF">
      <w:rPr>
        <w:rFonts w:ascii="Times New Roman" w:eastAsia="Times New Roman" w:hAnsi="Times New Roman" w:cs="FrankRuehl" w:hint="cs"/>
        <w:b/>
        <w:bCs/>
        <w:color w:val="000080"/>
        <w:spacing w:val="6"/>
        <w:sz w:val="24"/>
        <w:szCs w:val="24"/>
        <w:rtl/>
      </w:rPr>
      <w:t xml:space="preserve">           </w:t>
    </w:r>
    <w:r>
      <w:rPr>
        <w:rFonts w:ascii="Times New Roman" w:eastAsia="Times New Roman" w:hAnsi="Times New Roman" w:cs="FrankRuehl" w:hint="cs"/>
        <w:b/>
        <w:bCs/>
        <w:color w:val="000080"/>
        <w:spacing w:val="6"/>
        <w:sz w:val="24"/>
        <w:szCs w:val="24"/>
        <w:rtl/>
      </w:rPr>
      <w:t xml:space="preserve">     </w:t>
    </w:r>
    <w:r w:rsidRPr="003C61AF">
      <w:rPr>
        <w:rFonts w:ascii="Times New Roman" w:eastAsia="Times New Roman" w:hAnsi="Times New Roman" w:cs="FrankRuehl" w:hint="cs"/>
        <w:b/>
        <w:bCs/>
        <w:color w:val="000080"/>
        <w:spacing w:val="6"/>
        <w:sz w:val="24"/>
        <w:szCs w:val="24"/>
        <w:rtl/>
      </w:rPr>
      <w:t xml:space="preserve">   </w:t>
    </w:r>
    <w:r>
      <w:rPr>
        <w:rFonts w:ascii="Times New Roman" w:eastAsia="Times New Roman" w:hAnsi="Times New Roman" w:cs="FrankRuehl" w:hint="cs"/>
        <w:b/>
        <w:bCs/>
        <w:color w:val="000080"/>
        <w:spacing w:val="6"/>
        <w:sz w:val="24"/>
        <w:szCs w:val="24"/>
        <w:rtl/>
      </w:rPr>
      <w:t xml:space="preserve">           </w:t>
    </w:r>
    <w:r w:rsidRPr="003C61AF">
      <w:rPr>
        <w:rFonts w:ascii="Times New Roman" w:eastAsia="Times New Roman" w:hAnsi="Times New Roman" w:cs="FrankRuehl" w:hint="cs"/>
        <w:b/>
        <w:bCs/>
        <w:color w:val="000080"/>
        <w:spacing w:val="6"/>
        <w:sz w:val="24"/>
        <w:szCs w:val="24"/>
        <w:rtl/>
      </w:rPr>
      <w:t xml:space="preserve">  דוא"ל</w:t>
    </w:r>
    <w:r w:rsidRPr="003C61AF">
      <w:rPr>
        <w:rFonts w:ascii="Times New Roman" w:eastAsia="Times New Roman" w:hAnsi="Times New Roman" w:cs="FrankRuehl"/>
        <w:b/>
        <w:bCs/>
        <w:color w:val="000080"/>
        <w:spacing w:val="6"/>
        <w:sz w:val="24"/>
        <w:szCs w:val="24"/>
      </w:rPr>
      <w:t>:</w:t>
    </w:r>
    <w:r w:rsidRPr="003C61AF">
      <w:rPr>
        <w:rFonts w:ascii="Times New Roman" w:eastAsia="Times New Roman" w:hAnsi="Times New Roman" w:cs="FrankRuehl" w:hint="cs"/>
        <w:b/>
        <w:bCs/>
        <w:color w:val="000080"/>
        <w:spacing w:val="6"/>
        <w:sz w:val="24"/>
        <w:szCs w:val="24"/>
        <w:rtl/>
      </w:rPr>
      <w:t xml:space="preserve">  </w:t>
    </w:r>
    <w:hyperlink r:id="rId1" w:history="1">
      <w:r w:rsidRPr="003C61AF">
        <w:rPr>
          <w:rFonts w:ascii="Times New Roman" w:eastAsia="Times New Roman" w:hAnsi="Times New Roman" w:cs="FrankRuehl"/>
          <w:b/>
          <w:bCs/>
          <w:color w:val="0000FF"/>
          <w:spacing w:val="6"/>
          <w:sz w:val="24"/>
          <w:szCs w:val="24"/>
          <w:u w:val="single"/>
        </w:rPr>
        <w:t>Dover@court.gov.il</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39FA" w:rsidRDefault="005C39FA" w:rsidP="00730CA1">
      <w:pPr>
        <w:spacing w:after="0" w:line="240" w:lineRule="auto"/>
      </w:pPr>
      <w:r>
        <w:separator/>
      </w:r>
    </w:p>
  </w:footnote>
  <w:footnote w:type="continuationSeparator" w:id="0">
    <w:p w:rsidR="005C39FA" w:rsidRDefault="005C39FA" w:rsidP="00730C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3B2" w:rsidRPr="005253B2" w:rsidRDefault="005253B2" w:rsidP="005253B2">
    <w:pPr>
      <w:tabs>
        <w:tab w:val="center" w:pos="4153"/>
        <w:tab w:val="right" w:pos="8306"/>
      </w:tabs>
      <w:overflowPunct w:val="0"/>
      <w:autoSpaceDE w:val="0"/>
      <w:autoSpaceDN w:val="0"/>
      <w:adjustRightInd w:val="0"/>
      <w:spacing w:after="0" w:line="240" w:lineRule="auto"/>
      <w:jc w:val="center"/>
      <w:rPr>
        <w:rFonts w:ascii="Times New Roman" w:eastAsia="Times New Roman" w:hAnsi="Times New Roman" w:cs="David"/>
        <w:sz w:val="20"/>
        <w:szCs w:val="24"/>
        <w:lang w:eastAsia="he-IL"/>
      </w:rPr>
    </w:pPr>
    <w:r w:rsidRPr="005253B2">
      <w:rPr>
        <w:rFonts w:ascii="Times New Roman" w:eastAsia="Times New Roman" w:hAnsi="Times New Roman" w:cs="David"/>
        <w:noProof/>
        <w:sz w:val="20"/>
        <w:szCs w:val="24"/>
      </w:rPr>
      <w:drawing>
        <wp:inline distT="0" distB="0" distL="0" distR="0">
          <wp:extent cx="523875" cy="619125"/>
          <wp:effectExtent l="0" t="0" r="9525" b="9525"/>
          <wp:docPr id="1" name="תמונה 2" descr="תיאור: s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תיאור: sem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619125"/>
                  </a:xfrm>
                  <a:prstGeom prst="rect">
                    <a:avLst/>
                  </a:prstGeom>
                  <a:noFill/>
                  <a:ln>
                    <a:noFill/>
                  </a:ln>
                </pic:spPr>
              </pic:pic>
            </a:graphicData>
          </a:graphic>
        </wp:inline>
      </w:drawing>
    </w:r>
    <w:r w:rsidRPr="005253B2">
      <w:rPr>
        <w:rFonts w:ascii="Century" w:eastAsia="Times New Roman" w:hAnsi="Century" w:cs="FrankRuehl" w:hint="cs"/>
        <w:noProof/>
        <w:spacing w:val="10"/>
        <w:sz w:val="20"/>
        <w:szCs w:val="28"/>
        <w:rtl/>
        <w:lang w:eastAsia="he-IL"/>
      </w:rPr>
      <w:t xml:space="preserve">                                            </w:t>
    </w:r>
  </w:p>
  <w:p w:rsidR="005253B2" w:rsidRPr="005253B2" w:rsidRDefault="005253B2" w:rsidP="005253B2">
    <w:pPr>
      <w:tabs>
        <w:tab w:val="center" w:pos="4153"/>
        <w:tab w:val="right" w:pos="8306"/>
      </w:tabs>
      <w:overflowPunct w:val="0"/>
      <w:autoSpaceDE w:val="0"/>
      <w:autoSpaceDN w:val="0"/>
      <w:adjustRightInd w:val="0"/>
      <w:spacing w:after="0" w:line="240" w:lineRule="auto"/>
      <w:jc w:val="center"/>
      <w:rPr>
        <w:rFonts w:ascii="Times New Roman" w:eastAsia="Times New Roman" w:hAnsi="Times New Roman" w:cs="FrankRuehl"/>
        <w:b/>
        <w:bCs/>
        <w:color w:val="000080"/>
        <w:spacing w:val="6"/>
        <w:sz w:val="28"/>
        <w:szCs w:val="28"/>
        <w:rtl/>
        <w:lang w:eastAsia="he-IL"/>
      </w:rPr>
    </w:pPr>
    <w:r w:rsidRPr="005253B2">
      <w:rPr>
        <w:rFonts w:ascii="Times New Roman" w:eastAsia="Times New Roman" w:hAnsi="Times New Roman" w:cs="FrankRuehl" w:hint="cs"/>
        <w:b/>
        <w:bCs/>
        <w:color w:val="000080"/>
        <w:spacing w:val="6"/>
        <w:sz w:val="28"/>
        <w:szCs w:val="28"/>
        <w:rtl/>
        <w:lang w:eastAsia="he-IL"/>
      </w:rPr>
      <w:t>מערכת בתי המשפט</w:t>
    </w:r>
  </w:p>
  <w:p w:rsidR="007007D7" w:rsidRPr="005253B2" w:rsidRDefault="005253B2" w:rsidP="005253B2">
    <w:pPr>
      <w:tabs>
        <w:tab w:val="center" w:pos="4153"/>
        <w:tab w:val="right" w:pos="8306"/>
      </w:tabs>
      <w:overflowPunct w:val="0"/>
      <w:autoSpaceDE w:val="0"/>
      <w:autoSpaceDN w:val="0"/>
      <w:adjustRightInd w:val="0"/>
      <w:spacing w:after="0" w:line="240" w:lineRule="auto"/>
      <w:jc w:val="center"/>
      <w:rPr>
        <w:rFonts w:ascii="Times New Roman" w:eastAsia="Times New Roman" w:hAnsi="Times New Roman" w:cs="FrankRuehl"/>
        <w:b/>
        <w:bCs/>
        <w:color w:val="000080"/>
        <w:spacing w:val="6"/>
        <w:sz w:val="28"/>
        <w:szCs w:val="28"/>
        <w:lang w:eastAsia="he-IL"/>
      </w:rPr>
    </w:pPr>
    <w:r w:rsidRPr="005253B2">
      <w:rPr>
        <w:rFonts w:ascii="Times New Roman" w:eastAsia="Times New Roman" w:hAnsi="Times New Roman" w:cs="FrankRuehl" w:hint="cs"/>
        <w:b/>
        <w:bCs/>
        <w:color w:val="000080"/>
        <w:spacing w:val="6"/>
        <w:sz w:val="28"/>
        <w:szCs w:val="28"/>
        <w:rtl/>
        <w:lang w:eastAsia="he-IL"/>
      </w:rPr>
      <w:t>דוברות והסברה</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B27"/>
    <w:multiLevelType w:val="multilevel"/>
    <w:tmpl w:val="2EA02F4A"/>
    <w:lvl w:ilvl="0">
      <w:start w:val="1"/>
      <w:numFmt w:val="decimal"/>
      <w:lvlText w:val="%1."/>
      <w:lvlJc w:val="left"/>
      <w:pPr>
        <w:tabs>
          <w:tab w:val="num" w:pos="454"/>
        </w:tabs>
        <w:ind w:left="454" w:hanging="454"/>
      </w:pPr>
      <w:rPr>
        <w:rFonts w:hint="default"/>
        <w:bCs w:val="0"/>
        <w:iCs w:val="0"/>
        <w:szCs w:val="24"/>
      </w:rPr>
    </w:lvl>
    <w:lvl w:ilvl="1">
      <w:start w:val="1"/>
      <w:numFmt w:val="hebrew1"/>
      <w:lvlText w:val="%2."/>
      <w:lvlJc w:val="left"/>
      <w:pPr>
        <w:tabs>
          <w:tab w:val="num" w:pos="907"/>
        </w:tabs>
        <w:ind w:left="908" w:hanging="454"/>
      </w:pPr>
      <w:rPr>
        <w:rFonts w:cs="David" w:hint="cs"/>
        <w:bCs w:val="0"/>
        <w:iCs w:val="0"/>
        <w:szCs w:val="26"/>
      </w:rPr>
    </w:lvl>
    <w:lvl w:ilvl="2">
      <w:start w:val="1"/>
      <w:numFmt w:val="decimal"/>
      <w:lvlText w:val="(%3)"/>
      <w:lvlJc w:val="left"/>
      <w:pPr>
        <w:tabs>
          <w:tab w:val="num" w:pos="1361"/>
        </w:tabs>
        <w:ind w:left="1362" w:hanging="454"/>
      </w:pPr>
      <w:rPr>
        <w:rFonts w:ascii="Times New Roman" w:hAnsi="Times New Roman" w:cs="David" w:hint="default"/>
        <w:b w:val="0"/>
        <w:bCs w:val="0"/>
        <w:i w:val="0"/>
        <w:iCs w:val="0"/>
        <w:sz w:val="24"/>
        <w:szCs w:val="24"/>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lef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left"/>
      <w:pPr>
        <w:ind w:left="4086" w:hanging="454"/>
      </w:pPr>
      <w:rPr>
        <w:rFont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3CF"/>
    <w:rsid w:val="000011AE"/>
    <w:rsid w:val="00025761"/>
    <w:rsid w:val="000C4D75"/>
    <w:rsid w:val="001D42A7"/>
    <w:rsid w:val="002453CF"/>
    <w:rsid w:val="002C0E83"/>
    <w:rsid w:val="003921C3"/>
    <w:rsid w:val="003C61AF"/>
    <w:rsid w:val="003E6E39"/>
    <w:rsid w:val="003E7EB7"/>
    <w:rsid w:val="004003A5"/>
    <w:rsid w:val="00426AA7"/>
    <w:rsid w:val="00515986"/>
    <w:rsid w:val="005253B2"/>
    <w:rsid w:val="00541C9E"/>
    <w:rsid w:val="005C39FA"/>
    <w:rsid w:val="00631744"/>
    <w:rsid w:val="00690B6F"/>
    <w:rsid w:val="006B7B96"/>
    <w:rsid w:val="006C3B1F"/>
    <w:rsid w:val="006F1E1F"/>
    <w:rsid w:val="007007D7"/>
    <w:rsid w:val="00711675"/>
    <w:rsid w:val="00730CA1"/>
    <w:rsid w:val="007B7899"/>
    <w:rsid w:val="00832AD7"/>
    <w:rsid w:val="008C02E0"/>
    <w:rsid w:val="00983123"/>
    <w:rsid w:val="009E5C0E"/>
    <w:rsid w:val="00AD7644"/>
    <w:rsid w:val="00B16422"/>
    <w:rsid w:val="00B22AFC"/>
    <w:rsid w:val="00BA3143"/>
    <w:rsid w:val="00C22E08"/>
    <w:rsid w:val="00C37F37"/>
    <w:rsid w:val="00C50C55"/>
    <w:rsid w:val="00C529CC"/>
    <w:rsid w:val="00C842A7"/>
    <w:rsid w:val="00C85A27"/>
    <w:rsid w:val="00CA2D6A"/>
    <w:rsid w:val="00CB4940"/>
    <w:rsid w:val="00CD280B"/>
    <w:rsid w:val="00D11F77"/>
    <w:rsid w:val="00D205AB"/>
    <w:rsid w:val="00D43C0E"/>
    <w:rsid w:val="00D5319F"/>
    <w:rsid w:val="00E07BBA"/>
    <w:rsid w:val="00E35DF3"/>
    <w:rsid w:val="00E74E39"/>
    <w:rsid w:val="00EB6609"/>
    <w:rsid w:val="00EC6355"/>
    <w:rsid w:val="00F46250"/>
    <w:rsid w:val="00FF555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7178E"/>
  <w15:chartTrackingRefBased/>
  <w15:docId w15:val="{73C43B57-6867-4F06-9DF1-55588D3D5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26AA7"/>
    <w:pPr>
      <w:spacing w:after="0" w:line="240" w:lineRule="auto"/>
    </w:pPr>
    <w:rPr>
      <w:rFonts w:ascii="Tahoma" w:hAnsi="Tahoma" w:cs="Tahoma"/>
      <w:sz w:val="18"/>
      <w:szCs w:val="18"/>
    </w:rPr>
  </w:style>
  <w:style w:type="character" w:customStyle="1" w:styleId="a4">
    <w:name w:val="טקסט בלונים תו"/>
    <w:basedOn w:val="a0"/>
    <w:link w:val="a3"/>
    <w:uiPriority w:val="99"/>
    <w:semiHidden/>
    <w:rsid w:val="00426AA7"/>
    <w:rPr>
      <w:rFonts w:ascii="Tahoma" w:hAnsi="Tahoma" w:cs="Tahoma"/>
      <w:sz w:val="18"/>
      <w:szCs w:val="18"/>
    </w:rPr>
  </w:style>
  <w:style w:type="character" w:styleId="Hyperlink">
    <w:name w:val="Hyperlink"/>
    <w:basedOn w:val="a0"/>
    <w:uiPriority w:val="99"/>
    <w:unhideWhenUsed/>
    <w:rsid w:val="00E35DF3"/>
    <w:rPr>
      <w:color w:val="0563C1" w:themeColor="hyperlink"/>
      <w:u w:val="single"/>
    </w:rPr>
  </w:style>
  <w:style w:type="paragraph" w:styleId="a5">
    <w:name w:val="header"/>
    <w:basedOn w:val="a"/>
    <w:link w:val="a6"/>
    <w:uiPriority w:val="99"/>
    <w:unhideWhenUsed/>
    <w:rsid w:val="00730CA1"/>
    <w:pPr>
      <w:tabs>
        <w:tab w:val="center" w:pos="4153"/>
        <w:tab w:val="right" w:pos="8306"/>
      </w:tabs>
      <w:spacing w:after="0" w:line="240" w:lineRule="auto"/>
    </w:pPr>
  </w:style>
  <w:style w:type="character" w:customStyle="1" w:styleId="a6">
    <w:name w:val="כותרת עליונה תו"/>
    <w:basedOn w:val="a0"/>
    <w:link w:val="a5"/>
    <w:uiPriority w:val="99"/>
    <w:rsid w:val="00730CA1"/>
  </w:style>
  <w:style w:type="paragraph" w:styleId="a7">
    <w:name w:val="footer"/>
    <w:basedOn w:val="a"/>
    <w:link w:val="a8"/>
    <w:uiPriority w:val="99"/>
    <w:unhideWhenUsed/>
    <w:rsid w:val="00730CA1"/>
    <w:pPr>
      <w:tabs>
        <w:tab w:val="center" w:pos="4153"/>
        <w:tab w:val="right" w:pos="8306"/>
      </w:tabs>
      <w:spacing w:after="0" w:line="240" w:lineRule="auto"/>
    </w:pPr>
  </w:style>
  <w:style w:type="character" w:customStyle="1" w:styleId="a8">
    <w:name w:val="כותרת תחתונה תו"/>
    <w:basedOn w:val="a0"/>
    <w:link w:val="a7"/>
    <w:uiPriority w:val="99"/>
    <w:rsid w:val="00730C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060">
      <w:bodyDiv w:val="1"/>
      <w:marLeft w:val="0"/>
      <w:marRight w:val="0"/>
      <w:marTop w:val="0"/>
      <w:marBottom w:val="0"/>
      <w:divBdr>
        <w:top w:val="none" w:sz="0" w:space="0" w:color="auto"/>
        <w:left w:val="none" w:sz="0" w:space="0" w:color="auto"/>
        <w:bottom w:val="none" w:sz="0" w:space="0" w:color="auto"/>
        <w:right w:val="none" w:sz="0" w:space="0" w:color="auto"/>
      </w:divBdr>
    </w:div>
    <w:div w:id="1171139320">
      <w:bodyDiv w:val="1"/>
      <w:marLeft w:val="0"/>
      <w:marRight w:val="0"/>
      <w:marTop w:val="0"/>
      <w:marBottom w:val="0"/>
      <w:divBdr>
        <w:top w:val="none" w:sz="0" w:space="0" w:color="auto"/>
        <w:left w:val="none" w:sz="0" w:space="0" w:color="auto"/>
        <w:bottom w:val="none" w:sz="0" w:space="0" w:color="auto"/>
        <w:right w:val="none" w:sz="0" w:space="0" w:color="auto"/>
      </w:divBdr>
    </w:div>
    <w:div w:id="1552304460">
      <w:bodyDiv w:val="1"/>
      <w:marLeft w:val="0"/>
      <w:marRight w:val="0"/>
      <w:marTop w:val="0"/>
      <w:marBottom w:val="0"/>
      <w:divBdr>
        <w:top w:val="none" w:sz="0" w:space="0" w:color="auto"/>
        <w:left w:val="none" w:sz="0" w:space="0" w:color="auto"/>
        <w:bottom w:val="none" w:sz="0" w:space="0" w:color="auto"/>
        <w:right w:val="none" w:sz="0" w:space="0" w:color="auto"/>
      </w:divBdr>
    </w:div>
    <w:div w:id="2064255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Dover@court.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30:Sources xmlns:w="http://schemas.openxmlformats.org/wordprocessingml/2006/main" xmlns:r="http://schemas.openxmlformats.org/officeDocument/2006/relationships" xmlns:m="http://schemas.openxmlformats.org/officeDocument/2006/math" xmlns:ns4="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1840E050-DE62-44F5-967F-28EFAEC615C3}">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wordprocessingDrawing"/>
    <ds:schemaRef ds:uri="http://schemas.openxmlformats.org/drawingml/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1021</Words>
  <Characters>5109</Characters>
  <Application>Microsoft Office Word</Application>
  <DocSecurity>4</DocSecurity>
  <Lines>42</Lines>
  <Paragraphs>12</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6118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נירית לזימי</dc:creator>
  <cp:keywords/>
  <dc:description/>
  <cp:lastModifiedBy>רותם כהן</cp:lastModifiedBy>
  <cp:revision>2</cp:revision>
  <cp:lastPrinted>2017-11-13T12:38:00Z</cp:lastPrinted>
  <dcterms:created xsi:type="dcterms:W3CDTF">2024-03-29T06:43:00Z</dcterms:created>
  <dcterms:modified xsi:type="dcterms:W3CDTF">2024-03-29T06:43:00Z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DateEng">
    <vt:lpwstr>28 במרץ 2024</vt:lpwstr>
  </property>
  <property fmtid="{D5CDD505-2E9C-101B-9397-08002B2CF9AE}" pid="3" name="DocDateHeb">
    <vt:lpwstr>י"ח באדר ב' תשפ"ד</vt:lpwstr>
  </property>
  <property fmtid="{D5CDD505-2E9C-101B-9397-08002B2CF9AE}" pid="4" name="DocNumber">
    <vt:lpwstr>4700-1039-2024-002592</vt:lpwstr>
  </property>
  <property fmtid="{D5CDD505-2E9C-101B-9397-08002B2CF9AE}" pid="5" name="DocRecipientsName">
    <vt:lpwstr/>
  </property>
  <property fmtid="{D5CDD505-2E9C-101B-9397-08002B2CF9AE}" pid="6" name="DocToName">
    <vt:lpwstr/>
  </property>
  <property fmtid="{D5CDD505-2E9C-101B-9397-08002B2CF9AE}" pid="7" name="DocObjectName">
    <vt:lpwstr>תקציר החלטה ת"ד 8699-11-23</vt:lpwstr>
  </property>
</Properties>
</file>