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8372" w:type="dxa"/>
        <w:tblLook w:val="0000" w:firstRow="0" w:lastRow="0" w:firstColumn="0" w:lastColumn="0" w:noHBand="0" w:noVBand="0"/>
      </w:tblPr>
      <w:tblGrid>
        <w:gridCol w:w="9"/>
        <w:gridCol w:w="3201"/>
        <w:gridCol w:w="5153"/>
        <w:gridCol w:w="9"/>
      </w:tblGrid>
      <w:tr w:rsidR="00036227" w:rsidTr="00C2146E">
        <w:trPr>
          <w:gridBefore w:val="1"/>
          <w:wBefore w:w="9" w:type="dxa"/>
        </w:trPr>
        <w:tc>
          <w:tcPr>
            <w:tcW w:w="8363" w:type="dxa"/>
            <w:gridSpan w:val="3"/>
          </w:tcPr>
          <w:p w:rsidR="00916FF8" w:rsidRPr="00624A42" w:rsidRDefault="003A7B0C" w:rsidP="004C7868">
            <w:pPr>
              <w:pStyle w:val="FileNumber0"/>
              <w:rPr>
                <w:sz w:val="28"/>
                <w:u w:val="single"/>
                <w:rtl/>
              </w:rPr>
            </w:pPr>
            <w:bookmarkStart w:id="0" w:name="_GoBack"/>
            <w:bookmarkEnd w:id="0"/>
            <w:r>
              <w:rPr>
                <w:u w:val="single"/>
                <w:rtl/>
              </w:rPr>
              <w:t xml:space="preserve">בבית המשפט העליון </w:t>
            </w:r>
          </w:p>
        </w:tc>
      </w:tr>
      <w:tr w:rsidR="00036227" w:rsidTr="00C2146E">
        <w:trPr>
          <w:gridAfter w:val="1"/>
          <w:wAfter w:w="9" w:type="dxa"/>
          <w:trHeight w:val="342"/>
        </w:trPr>
        <w:tc>
          <w:tcPr>
            <w:tcW w:w="8363" w:type="dxa"/>
            <w:gridSpan w:val="3"/>
          </w:tcPr>
          <w:p w:rsidR="00916FF8" w:rsidRPr="00810894" w:rsidRDefault="003A7B0C" w:rsidP="00D10063">
            <w:pPr>
              <w:pStyle w:val="FileNumber"/>
              <w:rPr>
                <w:sz w:val="28"/>
                <w:szCs w:val="28"/>
              </w:rPr>
            </w:pPr>
            <w:bookmarkStart w:id="1" w:name="casename_body"/>
            <w:r>
              <w:rPr>
                <w:sz w:val="28"/>
                <w:szCs w:val="28"/>
                <w:rtl/>
              </w:rPr>
              <w:t>רע"א 8694/20</w:t>
            </w:r>
          </w:p>
        </w:tc>
      </w:tr>
      <w:bookmarkEnd w:id="1"/>
      <w:tr w:rsidR="00036227" w:rsidTr="00C2146E">
        <w:trPr>
          <w:gridAfter w:val="1"/>
          <w:wAfter w:w="8" w:type="dxa"/>
          <w:trHeight w:val="287"/>
        </w:trPr>
        <w:tc>
          <w:tcPr>
            <w:tcW w:w="3210" w:type="dxa"/>
            <w:gridSpan w:val="2"/>
          </w:tcPr>
          <w:p w:rsidR="00036227" w:rsidRDefault="00CB7600">
            <w:pPr>
              <w:pStyle w:val="BodyRuller"/>
              <w:rPr>
                <w:rFonts w:cs="Miriam"/>
                <w:b/>
                <w:bCs/>
                <w:u w:val="single"/>
              </w:rPr>
            </w:pPr>
            <w:r>
              <w:rPr>
                <w:rFonts w:hint="cs"/>
                <w:rtl/>
              </w:rPr>
              <w:t>ל</w:t>
            </w:r>
            <w:r w:rsidR="00036227">
              <w:rPr>
                <w:rtl/>
              </w:rPr>
              <w:t>פני:</w:t>
            </w:r>
            <w:r w:rsidR="00036227">
              <w:rPr>
                <w:rtl/>
              </w:rPr>
              <w:tab/>
            </w:r>
          </w:p>
        </w:tc>
        <w:tc>
          <w:tcPr>
            <w:tcW w:w="5154" w:type="dxa"/>
          </w:tcPr>
          <w:p w:rsidR="00036227" w:rsidRDefault="003A7B0C">
            <w:pPr>
              <w:pStyle w:val="BodyRuller"/>
            </w:pPr>
            <w:r>
              <w:rPr>
                <w:rtl/>
              </w:rPr>
              <w:t>כבוד השופט י' עמית</w:t>
            </w:r>
          </w:p>
        </w:tc>
      </w:tr>
      <w:tr w:rsidR="003A7B0C" w:rsidTr="00C2146E">
        <w:trPr>
          <w:gridAfter w:val="1"/>
          <w:wAfter w:w="8" w:type="dxa"/>
          <w:trHeight w:val="287"/>
        </w:trPr>
        <w:tc>
          <w:tcPr>
            <w:tcW w:w="3210" w:type="dxa"/>
            <w:gridSpan w:val="2"/>
          </w:tcPr>
          <w:p w:rsidR="003A7B0C" w:rsidRDefault="003A7B0C">
            <w:pPr>
              <w:pStyle w:val="BodyRuller"/>
              <w:rPr>
                <w:rtl/>
              </w:rPr>
            </w:pPr>
          </w:p>
        </w:tc>
        <w:tc>
          <w:tcPr>
            <w:tcW w:w="5154" w:type="dxa"/>
          </w:tcPr>
          <w:p w:rsidR="003A7B0C" w:rsidRDefault="003A7B0C">
            <w:pPr>
              <w:pStyle w:val="BodyRuller"/>
              <w:rPr>
                <w:rtl/>
              </w:rPr>
            </w:pPr>
            <w:r>
              <w:rPr>
                <w:rtl/>
              </w:rPr>
              <w:t>כבוד השופטת ד' ברק-ארז</w:t>
            </w:r>
          </w:p>
        </w:tc>
      </w:tr>
      <w:tr w:rsidR="003A7B0C" w:rsidTr="00C2146E">
        <w:trPr>
          <w:gridAfter w:val="1"/>
          <w:wAfter w:w="8" w:type="dxa"/>
          <w:trHeight w:val="287"/>
        </w:trPr>
        <w:tc>
          <w:tcPr>
            <w:tcW w:w="3210" w:type="dxa"/>
            <w:gridSpan w:val="2"/>
          </w:tcPr>
          <w:p w:rsidR="003A7B0C" w:rsidRDefault="003A7B0C">
            <w:pPr>
              <w:pStyle w:val="BodyRuller"/>
              <w:rPr>
                <w:rtl/>
              </w:rPr>
            </w:pPr>
          </w:p>
        </w:tc>
        <w:tc>
          <w:tcPr>
            <w:tcW w:w="5154" w:type="dxa"/>
          </w:tcPr>
          <w:p w:rsidR="003A7B0C" w:rsidRDefault="003A7B0C">
            <w:pPr>
              <w:pStyle w:val="BodyRuller"/>
              <w:rPr>
                <w:rtl/>
              </w:rPr>
            </w:pPr>
            <w:r>
              <w:rPr>
                <w:rtl/>
              </w:rPr>
              <w:t>כבוד השופט ד' מינץ</w:t>
            </w:r>
          </w:p>
        </w:tc>
      </w:tr>
    </w:tbl>
    <w:p w:rsidR="00916FF8" w:rsidRPr="00C2146E" w:rsidRDefault="00916FF8">
      <w:pPr>
        <w:pStyle w:val="Ruller3"/>
        <w:rPr>
          <w:rFonts w:cs="Miriam"/>
          <w:b/>
          <w:bCs/>
          <w:sz w:val="10"/>
          <w:szCs w:val="16"/>
          <w:u w:val="single"/>
          <w:rtl/>
        </w:rPr>
      </w:pPr>
    </w:p>
    <w:tbl>
      <w:tblPr>
        <w:bidiVisual/>
        <w:tblW w:w="8364" w:type="dxa"/>
        <w:tblLayout w:type="fixed"/>
        <w:tblLook w:val="0000" w:firstRow="0" w:lastRow="0" w:firstColumn="0" w:lastColumn="0" w:noHBand="0" w:noVBand="0"/>
      </w:tblPr>
      <w:tblGrid>
        <w:gridCol w:w="3210"/>
        <w:gridCol w:w="5154"/>
      </w:tblGrid>
      <w:tr w:rsidR="00D00CB7" w:rsidTr="009562DC">
        <w:trPr>
          <w:trHeight w:val="287"/>
        </w:trPr>
        <w:tc>
          <w:tcPr>
            <w:tcW w:w="3261" w:type="dxa"/>
          </w:tcPr>
          <w:p w:rsidR="00D00CB7" w:rsidRPr="00E75223" w:rsidRDefault="003A7B0C" w:rsidP="009562DC">
            <w:pPr>
              <w:pStyle w:val="BodyRuller"/>
              <w:rPr>
                <w:rFonts w:ascii="David" w:hAnsi="David"/>
              </w:rPr>
            </w:pPr>
            <w:r>
              <w:rPr>
                <w:rFonts w:ascii="David" w:hAnsi="David"/>
                <w:rtl/>
              </w:rPr>
              <w:t>המבקשים:</w:t>
            </w:r>
          </w:p>
        </w:tc>
        <w:tc>
          <w:tcPr>
            <w:tcW w:w="5239" w:type="dxa"/>
          </w:tcPr>
          <w:p w:rsidR="00D00CB7" w:rsidRDefault="003A7B0C" w:rsidP="009562DC">
            <w:pPr>
              <w:pStyle w:val="BodyRuller"/>
            </w:pPr>
            <w:r>
              <w:rPr>
                <w:rtl/>
              </w:rPr>
              <w:t>1. מאזן דוויק</w:t>
            </w:r>
          </w:p>
        </w:tc>
      </w:tr>
      <w:tr w:rsidR="003A7B0C" w:rsidTr="009562DC">
        <w:trPr>
          <w:trHeight w:val="287"/>
        </w:trPr>
        <w:tc>
          <w:tcPr>
            <w:tcW w:w="3261" w:type="dxa"/>
          </w:tcPr>
          <w:p w:rsidR="003A7B0C" w:rsidRDefault="003A7B0C" w:rsidP="009562DC">
            <w:pPr>
              <w:pStyle w:val="BodyRuller"/>
              <w:rPr>
                <w:rFonts w:ascii="David" w:hAnsi="David"/>
                <w:rtl/>
              </w:rPr>
            </w:pPr>
          </w:p>
        </w:tc>
        <w:tc>
          <w:tcPr>
            <w:tcW w:w="5239" w:type="dxa"/>
          </w:tcPr>
          <w:p w:rsidR="003A7B0C" w:rsidRDefault="003A7B0C" w:rsidP="009562DC">
            <w:pPr>
              <w:pStyle w:val="BodyRuller"/>
              <w:rPr>
                <w:rtl/>
              </w:rPr>
            </w:pPr>
            <w:r>
              <w:rPr>
                <w:rtl/>
              </w:rPr>
              <w:t>2. הייא דוויק</w:t>
            </w:r>
          </w:p>
        </w:tc>
      </w:tr>
      <w:tr w:rsidR="003A7B0C" w:rsidTr="009562DC">
        <w:trPr>
          <w:trHeight w:val="287"/>
        </w:trPr>
        <w:tc>
          <w:tcPr>
            <w:tcW w:w="3261" w:type="dxa"/>
          </w:tcPr>
          <w:p w:rsidR="003A7B0C" w:rsidRDefault="003A7B0C" w:rsidP="009562DC">
            <w:pPr>
              <w:pStyle w:val="BodyRuller"/>
              <w:rPr>
                <w:rFonts w:ascii="David" w:hAnsi="David"/>
                <w:rtl/>
              </w:rPr>
            </w:pPr>
          </w:p>
        </w:tc>
        <w:tc>
          <w:tcPr>
            <w:tcW w:w="5239" w:type="dxa"/>
          </w:tcPr>
          <w:p w:rsidR="003A7B0C" w:rsidRDefault="003A7B0C" w:rsidP="009562DC">
            <w:pPr>
              <w:pStyle w:val="BodyRuller"/>
              <w:rPr>
                <w:rtl/>
              </w:rPr>
            </w:pPr>
            <w:r>
              <w:rPr>
                <w:rtl/>
              </w:rPr>
              <w:t>3. נביל דוויק</w:t>
            </w:r>
          </w:p>
        </w:tc>
      </w:tr>
      <w:tr w:rsidR="003A7B0C" w:rsidTr="009562DC">
        <w:trPr>
          <w:trHeight w:val="287"/>
        </w:trPr>
        <w:tc>
          <w:tcPr>
            <w:tcW w:w="3261" w:type="dxa"/>
          </w:tcPr>
          <w:p w:rsidR="003A7B0C" w:rsidRDefault="003A7B0C" w:rsidP="009562DC">
            <w:pPr>
              <w:pStyle w:val="BodyRuller"/>
              <w:rPr>
                <w:rFonts w:ascii="David" w:hAnsi="David"/>
                <w:rtl/>
              </w:rPr>
            </w:pPr>
          </w:p>
        </w:tc>
        <w:tc>
          <w:tcPr>
            <w:tcW w:w="5239" w:type="dxa"/>
          </w:tcPr>
          <w:p w:rsidR="003A7B0C" w:rsidRDefault="003A7B0C" w:rsidP="009562DC">
            <w:pPr>
              <w:pStyle w:val="BodyRuller"/>
              <w:rPr>
                <w:rtl/>
              </w:rPr>
            </w:pPr>
            <w:r>
              <w:rPr>
                <w:rtl/>
              </w:rPr>
              <w:t>4. וליד דוויק</w:t>
            </w:r>
          </w:p>
        </w:tc>
      </w:tr>
    </w:tbl>
    <w:p w:rsidR="00D00CB7" w:rsidRPr="00C2146E" w:rsidRDefault="00D00CB7">
      <w:pPr>
        <w:pStyle w:val="Ruller3"/>
        <w:rPr>
          <w:sz w:val="8"/>
          <w:szCs w:val="14"/>
        </w:rPr>
      </w:pPr>
    </w:p>
    <w:tbl>
      <w:tblPr>
        <w:bidiVisual/>
        <w:tblW w:w="8363" w:type="dxa"/>
        <w:tblLook w:val="0000" w:firstRow="0" w:lastRow="0" w:firstColumn="0" w:lastColumn="0" w:noHBand="0" w:noVBand="0"/>
      </w:tblPr>
      <w:tblGrid>
        <w:gridCol w:w="3222"/>
        <w:gridCol w:w="5141"/>
      </w:tblGrid>
      <w:tr w:rsidR="00036227" w:rsidTr="0039709B">
        <w:tc>
          <w:tcPr>
            <w:tcW w:w="3284" w:type="dxa"/>
          </w:tcPr>
          <w:p w:rsidR="00036227" w:rsidRDefault="00036227">
            <w:pPr>
              <w:pStyle w:val="BodyRuller"/>
            </w:pPr>
          </w:p>
        </w:tc>
        <w:tc>
          <w:tcPr>
            <w:tcW w:w="5238" w:type="dxa"/>
          </w:tcPr>
          <w:p w:rsidR="00036227" w:rsidRDefault="00036227">
            <w:pPr>
              <w:pStyle w:val="BodyRuller"/>
            </w:pPr>
            <w:r>
              <w:rPr>
                <w:rFonts w:hint="cs"/>
                <w:rtl/>
              </w:rPr>
              <w:t>נ</w:t>
            </w:r>
            <w:r>
              <w:t xml:space="preserve">  </w:t>
            </w:r>
            <w:r>
              <w:rPr>
                <w:rFonts w:hint="cs"/>
                <w:rtl/>
              </w:rPr>
              <w:t>ג</w:t>
            </w:r>
            <w:r>
              <w:t xml:space="preserve">  </w:t>
            </w:r>
            <w:r>
              <w:rPr>
                <w:rFonts w:hint="cs"/>
                <w:rtl/>
              </w:rPr>
              <w:t>ד</w:t>
            </w:r>
          </w:p>
        </w:tc>
      </w:tr>
    </w:tbl>
    <w:p w:rsidR="00916FF8" w:rsidRPr="00C2146E" w:rsidRDefault="00916FF8">
      <w:pPr>
        <w:pStyle w:val="Ruller3"/>
        <w:rPr>
          <w:sz w:val="10"/>
          <w:szCs w:val="16"/>
          <w:rtl/>
        </w:rPr>
      </w:pPr>
    </w:p>
    <w:tbl>
      <w:tblPr>
        <w:bidiVisual/>
        <w:tblW w:w="8364" w:type="dxa"/>
        <w:tblLayout w:type="fixed"/>
        <w:tblLook w:val="0000" w:firstRow="0" w:lastRow="0" w:firstColumn="0" w:lastColumn="0" w:noHBand="0" w:noVBand="0"/>
      </w:tblPr>
      <w:tblGrid>
        <w:gridCol w:w="3210"/>
        <w:gridCol w:w="5154"/>
      </w:tblGrid>
      <w:tr w:rsidR="0083345F" w:rsidTr="009562DC">
        <w:trPr>
          <w:trHeight w:val="287"/>
        </w:trPr>
        <w:tc>
          <w:tcPr>
            <w:tcW w:w="3261" w:type="dxa"/>
          </w:tcPr>
          <w:p w:rsidR="0083345F" w:rsidRPr="00E75223" w:rsidRDefault="003A7B0C" w:rsidP="009562DC">
            <w:pPr>
              <w:pStyle w:val="BodyRuller"/>
              <w:rPr>
                <w:rFonts w:ascii="David" w:hAnsi="David"/>
              </w:rPr>
            </w:pPr>
            <w:r>
              <w:rPr>
                <w:rFonts w:ascii="David" w:hAnsi="David"/>
                <w:rtl/>
              </w:rPr>
              <w:t>המשיבים:</w:t>
            </w:r>
          </w:p>
        </w:tc>
        <w:tc>
          <w:tcPr>
            <w:tcW w:w="5239" w:type="dxa"/>
          </w:tcPr>
          <w:p w:rsidR="0083345F" w:rsidRDefault="003A7B0C" w:rsidP="009562DC">
            <w:pPr>
              <w:pStyle w:val="BodyRuller"/>
            </w:pPr>
            <w:r>
              <w:rPr>
                <w:rtl/>
              </w:rPr>
              <w:t>1. מרדכי זרביב</w:t>
            </w:r>
          </w:p>
        </w:tc>
      </w:tr>
      <w:tr w:rsidR="003A7B0C" w:rsidTr="009562DC">
        <w:trPr>
          <w:trHeight w:val="287"/>
        </w:trPr>
        <w:tc>
          <w:tcPr>
            <w:tcW w:w="3261" w:type="dxa"/>
          </w:tcPr>
          <w:p w:rsidR="003A7B0C" w:rsidRDefault="003A7B0C" w:rsidP="009562DC">
            <w:pPr>
              <w:pStyle w:val="BodyRuller"/>
              <w:rPr>
                <w:rFonts w:ascii="David" w:hAnsi="David"/>
                <w:rtl/>
              </w:rPr>
            </w:pPr>
          </w:p>
        </w:tc>
        <w:tc>
          <w:tcPr>
            <w:tcW w:w="5239" w:type="dxa"/>
          </w:tcPr>
          <w:p w:rsidR="003A7B0C" w:rsidRDefault="003A7B0C" w:rsidP="009562DC">
            <w:pPr>
              <w:pStyle w:val="BodyRuller"/>
              <w:rPr>
                <w:rtl/>
              </w:rPr>
            </w:pPr>
            <w:r>
              <w:rPr>
                <w:rtl/>
              </w:rPr>
              <w:t>2. אברהם שפרמן</w:t>
            </w:r>
          </w:p>
        </w:tc>
      </w:tr>
      <w:tr w:rsidR="003A7B0C" w:rsidTr="009562DC">
        <w:trPr>
          <w:trHeight w:val="287"/>
        </w:trPr>
        <w:tc>
          <w:tcPr>
            <w:tcW w:w="3261" w:type="dxa"/>
          </w:tcPr>
          <w:p w:rsidR="003A7B0C" w:rsidRDefault="003A7B0C" w:rsidP="009562DC">
            <w:pPr>
              <w:pStyle w:val="BodyRuller"/>
              <w:rPr>
                <w:rFonts w:ascii="David" w:hAnsi="David"/>
                <w:rtl/>
              </w:rPr>
            </w:pPr>
          </w:p>
        </w:tc>
        <w:tc>
          <w:tcPr>
            <w:tcW w:w="5239" w:type="dxa"/>
          </w:tcPr>
          <w:p w:rsidR="003A7B0C" w:rsidRDefault="003A7B0C" w:rsidP="009562DC">
            <w:pPr>
              <w:pStyle w:val="BodyRuller"/>
              <w:rPr>
                <w:rtl/>
              </w:rPr>
            </w:pPr>
            <w:r>
              <w:rPr>
                <w:rtl/>
              </w:rPr>
              <w:t>3. יצחק רלברג</w:t>
            </w:r>
          </w:p>
        </w:tc>
      </w:tr>
    </w:tbl>
    <w:p w:rsidR="0083345F" w:rsidRPr="00C2146E" w:rsidRDefault="0083345F">
      <w:pPr>
        <w:pStyle w:val="Ruller3"/>
        <w:rPr>
          <w:sz w:val="12"/>
          <w:szCs w:val="18"/>
          <w:rtl/>
        </w:rPr>
      </w:pPr>
    </w:p>
    <w:tbl>
      <w:tblPr>
        <w:bidiVisual/>
        <w:tblW w:w="8364" w:type="dxa"/>
        <w:tblLayout w:type="fixed"/>
        <w:tblLook w:val="0000" w:firstRow="0" w:lastRow="0" w:firstColumn="0" w:lastColumn="0" w:noHBand="0" w:noVBand="0"/>
      </w:tblPr>
      <w:tblGrid>
        <w:gridCol w:w="3210"/>
        <w:gridCol w:w="5154"/>
      </w:tblGrid>
      <w:tr w:rsidR="009B3C8E" w:rsidTr="009B3C8E">
        <w:trPr>
          <w:trHeight w:val="287"/>
        </w:trPr>
        <w:tc>
          <w:tcPr>
            <w:tcW w:w="3210" w:type="dxa"/>
          </w:tcPr>
          <w:p w:rsidR="009B3C8E" w:rsidRPr="00E75223" w:rsidRDefault="009B3C8E" w:rsidP="009562DC">
            <w:pPr>
              <w:pStyle w:val="BodyRuller"/>
              <w:rPr>
                <w:rFonts w:ascii="David" w:hAnsi="David"/>
              </w:rPr>
            </w:pPr>
            <w:r>
              <w:rPr>
                <w:rFonts w:ascii="David" w:hAnsi="David" w:hint="cs"/>
                <w:rtl/>
              </w:rPr>
              <w:t>המבקשים להצטרף כידידי בית המשפט</w:t>
            </w:r>
            <w:r>
              <w:rPr>
                <w:rFonts w:ascii="David" w:hAnsi="David"/>
                <w:rtl/>
              </w:rPr>
              <w:t>:</w:t>
            </w:r>
          </w:p>
        </w:tc>
        <w:tc>
          <w:tcPr>
            <w:tcW w:w="5154" w:type="dxa"/>
          </w:tcPr>
          <w:p w:rsidR="009B3C8E" w:rsidRDefault="009B3C8E" w:rsidP="009562DC">
            <w:pPr>
              <w:pStyle w:val="BodyRuller"/>
              <w:rPr>
                <w:rtl/>
              </w:rPr>
            </w:pPr>
          </w:p>
          <w:p w:rsidR="009B3C8E" w:rsidRDefault="008E1ECC" w:rsidP="009562DC">
            <w:pPr>
              <w:pStyle w:val="BodyRuller"/>
            </w:pPr>
            <w:r>
              <w:rPr>
                <w:rFonts w:hint="cs"/>
                <w:rtl/>
              </w:rPr>
              <w:t>4-1</w:t>
            </w:r>
            <w:r w:rsidR="009B3C8E">
              <w:rPr>
                <w:rFonts w:hint="cs"/>
                <w:rtl/>
              </w:rPr>
              <w:t>. פרופ' איל בנבנישתי ואח'</w:t>
            </w:r>
          </w:p>
        </w:tc>
      </w:tr>
      <w:tr w:rsidR="009B3C8E" w:rsidTr="009B3C8E">
        <w:trPr>
          <w:trHeight w:val="287"/>
        </w:trPr>
        <w:tc>
          <w:tcPr>
            <w:tcW w:w="3210" w:type="dxa"/>
          </w:tcPr>
          <w:p w:rsidR="009B3C8E" w:rsidRDefault="009B3C8E" w:rsidP="009562DC">
            <w:pPr>
              <w:pStyle w:val="BodyRuller"/>
              <w:rPr>
                <w:rFonts w:ascii="David" w:hAnsi="David"/>
                <w:rtl/>
              </w:rPr>
            </w:pPr>
          </w:p>
        </w:tc>
        <w:tc>
          <w:tcPr>
            <w:tcW w:w="5154" w:type="dxa"/>
          </w:tcPr>
          <w:p w:rsidR="009B3C8E" w:rsidRDefault="00C73F8F" w:rsidP="009B3C8E">
            <w:pPr>
              <w:pStyle w:val="BodyRuller"/>
              <w:rPr>
                <w:rtl/>
              </w:rPr>
            </w:pPr>
            <w:r>
              <w:rPr>
                <w:rFonts w:hint="cs"/>
                <w:rtl/>
              </w:rPr>
              <w:t>5</w:t>
            </w:r>
            <w:r w:rsidR="009B3C8E">
              <w:rPr>
                <w:rtl/>
              </w:rPr>
              <w:t xml:space="preserve">. </w:t>
            </w:r>
            <w:r w:rsidR="009B3C8E">
              <w:rPr>
                <w:rFonts w:hint="cs"/>
                <w:rtl/>
              </w:rPr>
              <w:t>ד"ר אחמד אמארה</w:t>
            </w:r>
          </w:p>
        </w:tc>
      </w:tr>
    </w:tbl>
    <w:p w:rsidR="009B3C8E" w:rsidRPr="00C2146E" w:rsidRDefault="009B3C8E">
      <w:pPr>
        <w:pStyle w:val="Ruller3"/>
        <w:rPr>
          <w:sz w:val="10"/>
          <w:szCs w:val="16"/>
          <w:rtl/>
        </w:rPr>
      </w:pPr>
    </w:p>
    <w:tbl>
      <w:tblPr>
        <w:bidiVisual/>
        <w:tblW w:w="8364" w:type="dxa"/>
        <w:tblLayout w:type="fixed"/>
        <w:tblLook w:val="0000" w:firstRow="0" w:lastRow="0" w:firstColumn="0" w:lastColumn="0" w:noHBand="0" w:noVBand="0"/>
      </w:tblPr>
      <w:tblGrid>
        <w:gridCol w:w="3210"/>
        <w:gridCol w:w="5154"/>
      </w:tblGrid>
      <w:tr w:rsidR="00FD3F92" w:rsidTr="009562DC">
        <w:trPr>
          <w:trHeight w:val="287"/>
        </w:trPr>
        <w:tc>
          <w:tcPr>
            <w:tcW w:w="3210" w:type="dxa"/>
          </w:tcPr>
          <w:p w:rsidR="00FD3F92" w:rsidRPr="00E75223" w:rsidRDefault="00FD3F92" w:rsidP="009562DC">
            <w:pPr>
              <w:pStyle w:val="BodyRuller"/>
              <w:rPr>
                <w:rFonts w:ascii="David" w:hAnsi="David"/>
              </w:rPr>
            </w:pPr>
            <w:r>
              <w:rPr>
                <w:rFonts w:ascii="David" w:hAnsi="David" w:hint="cs"/>
                <w:rtl/>
              </w:rPr>
              <w:t>צד קשור:</w:t>
            </w:r>
          </w:p>
        </w:tc>
        <w:tc>
          <w:tcPr>
            <w:tcW w:w="5154" w:type="dxa"/>
          </w:tcPr>
          <w:p w:rsidR="00FD3F92" w:rsidRDefault="00FD3F92" w:rsidP="009562DC">
            <w:pPr>
              <w:pStyle w:val="BodyRuller"/>
            </w:pPr>
            <w:r>
              <w:rPr>
                <w:rFonts w:hint="cs"/>
                <w:rtl/>
              </w:rPr>
              <w:t>היועץ המשפטי לממשלה</w:t>
            </w:r>
          </w:p>
        </w:tc>
      </w:tr>
    </w:tbl>
    <w:p w:rsidR="00FD3F92" w:rsidRPr="00C2146E" w:rsidRDefault="00FD3F92">
      <w:pPr>
        <w:pStyle w:val="Ruller3"/>
        <w:rPr>
          <w:sz w:val="10"/>
          <w:szCs w:val="14"/>
        </w:rPr>
      </w:pPr>
    </w:p>
    <w:tbl>
      <w:tblPr>
        <w:bidiVisual/>
        <w:tblW w:w="0" w:type="auto"/>
        <w:tblInd w:w="3209" w:type="dxa"/>
        <w:tblLook w:val="0000" w:firstRow="0" w:lastRow="0" w:firstColumn="0" w:lastColumn="0" w:noHBand="0" w:noVBand="0"/>
      </w:tblPr>
      <w:tblGrid>
        <w:gridCol w:w="5103"/>
      </w:tblGrid>
      <w:tr w:rsidR="00036227" w:rsidTr="00CA1444">
        <w:tc>
          <w:tcPr>
            <w:tcW w:w="5103" w:type="dxa"/>
          </w:tcPr>
          <w:p w:rsidR="00916FF8" w:rsidRPr="00265F6E" w:rsidRDefault="009B3C8E" w:rsidP="009B3C8E">
            <w:pPr>
              <w:pStyle w:val="BodyRuller"/>
              <w:jc w:val="both"/>
              <w:rPr>
                <w:sz w:val="24"/>
                <w:szCs w:val="24"/>
              </w:rPr>
            </w:pPr>
            <w:r w:rsidRPr="009B3C8E">
              <w:rPr>
                <w:sz w:val="24"/>
                <w:szCs w:val="24"/>
                <w:rtl/>
              </w:rPr>
              <w:t>בקשת רשות ערעור על פסק דינו של בית המחוזי</w:t>
            </w:r>
            <w:r w:rsidR="00F75D5D">
              <w:rPr>
                <w:sz w:val="24"/>
                <w:szCs w:val="24"/>
                <w:rtl/>
              </w:rPr>
              <w:t xml:space="preserve"> בירושלים מיום 23.11.2020 ב</w:t>
            </w:r>
            <w:r w:rsidR="002E251F">
              <w:rPr>
                <w:sz w:val="24"/>
                <w:szCs w:val="24"/>
                <w:rtl/>
              </w:rPr>
              <w:t>ע"א</w:t>
            </w:r>
            <w:r w:rsidRPr="009B3C8E">
              <w:rPr>
                <w:sz w:val="24"/>
                <w:szCs w:val="24"/>
                <w:rtl/>
              </w:rPr>
              <w:t xml:space="preserve"> 4369</w:t>
            </w:r>
            <w:r w:rsidR="00B76715">
              <w:rPr>
                <w:sz w:val="24"/>
                <w:szCs w:val="24"/>
                <w:rtl/>
              </w:rPr>
              <w:t>3-03-20 שניתן על</w:t>
            </w:r>
            <w:r w:rsidR="00B76715">
              <w:rPr>
                <w:rFonts w:hint="cs"/>
                <w:sz w:val="24"/>
                <w:szCs w:val="24"/>
                <w:rtl/>
              </w:rPr>
              <w:t>-</w:t>
            </w:r>
            <w:r w:rsidR="00B76715">
              <w:rPr>
                <w:sz w:val="24"/>
                <w:szCs w:val="24"/>
                <w:rtl/>
              </w:rPr>
              <w:t>ידי כב</w:t>
            </w:r>
            <w:r w:rsidR="00B76715">
              <w:rPr>
                <w:rFonts w:hint="cs"/>
                <w:sz w:val="24"/>
                <w:szCs w:val="24"/>
                <w:rtl/>
              </w:rPr>
              <w:t>וד</w:t>
            </w:r>
            <w:r>
              <w:rPr>
                <w:sz w:val="24"/>
                <w:szCs w:val="24"/>
                <w:rtl/>
              </w:rPr>
              <w:t xml:space="preserve"> השופט</w:t>
            </w:r>
            <w:r>
              <w:rPr>
                <w:rFonts w:hint="cs"/>
                <w:sz w:val="24"/>
                <w:szCs w:val="24"/>
                <w:rtl/>
              </w:rPr>
              <w:t>ים ר' יעקובי, מ' בר-עם ו-ח' מ' לומפ</w:t>
            </w:r>
          </w:p>
        </w:tc>
      </w:tr>
    </w:tbl>
    <w:p w:rsidR="00916FF8" w:rsidRPr="00C2146E" w:rsidRDefault="00916FF8">
      <w:pPr>
        <w:pStyle w:val="Ruller3"/>
        <w:rPr>
          <w:sz w:val="12"/>
          <w:szCs w:val="16"/>
          <w:rtl/>
        </w:rPr>
      </w:pPr>
    </w:p>
    <w:tbl>
      <w:tblPr>
        <w:bidiVisual/>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0"/>
        <w:gridCol w:w="2423"/>
        <w:gridCol w:w="2710"/>
      </w:tblGrid>
      <w:tr w:rsidR="008C2F11" w:rsidTr="00D00B1D">
        <w:tc>
          <w:tcPr>
            <w:tcW w:w="3212" w:type="dxa"/>
            <w:tcBorders>
              <w:top w:val="nil"/>
              <w:left w:val="nil"/>
              <w:bottom w:val="nil"/>
              <w:right w:val="nil"/>
            </w:tcBorders>
          </w:tcPr>
          <w:p w:rsidR="008C2F11" w:rsidRPr="00265F6E" w:rsidRDefault="008C2F11">
            <w:pPr>
              <w:pStyle w:val="BodyRuller"/>
              <w:rPr>
                <w:sz w:val="24"/>
                <w:szCs w:val="24"/>
              </w:rPr>
            </w:pPr>
            <w:r w:rsidRPr="00265F6E">
              <w:rPr>
                <w:sz w:val="24"/>
                <w:szCs w:val="24"/>
                <w:rtl/>
              </w:rPr>
              <w:t>תאריך הישיבה:</w:t>
            </w:r>
          </w:p>
        </w:tc>
        <w:tc>
          <w:tcPr>
            <w:tcW w:w="2409" w:type="dxa"/>
            <w:tcBorders>
              <w:top w:val="nil"/>
              <w:left w:val="nil"/>
              <w:bottom w:val="nil"/>
              <w:right w:val="nil"/>
            </w:tcBorders>
          </w:tcPr>
          <w:p w:rsidR="008C2F11" w:rsidRDefault="003A7B0C">
            <w:pPr>
              <w:pStyle w:val="BodyRuller"/>
              <w:rPr>
                <w:rtl/>
              </w:rPr>
            </w:pPr>
            <w:r>
              <w:rPr>
                <w:sz w:val="24"/>
                <w:szCs w:val="24"/>
                <w:rtl/>
              </w:rPr>
              <w:t>י"ט בחשון התשפ"ב</w:t>
            </w:r>
            <w:r w:rsidR="008C2F11">
              <w:t xml:space="preserve">       </w:t>
            </w:r>
          </w:p>
        </w:tc>
        <w:tc>
          <w:tcPr>
            <w:tcW w:w="2694" w:type="dxa"/>
            <w:tcBorders>
              <w:top w:val="nil"/>
              <w:left w:val="nil"/>
              <w:bottom w:val="nil"/>
              <w:right w:val="nil"/>
            </w:tcBorders>
          </w:tcPr>
          <w:p w:rsidR="008C2F11" w:rsidRDefault="003A7B0C">
            <w:pPr>
              <w:pStyle w:val="BodyRuller"/>
              <w:rPr>
                <w:sz w:val="24"/>
                <w:szCs w:val="24"/>
                <w:rtl/>
              </w:rPr>
            </w:pPr>
            <w:r>
              <w:t>(25.10.2021)</w:t>
            </w:r>
            <w:r w:rsidR="00200D6B">
              <w:t xml:space="preserve"> </w:t>
            </w:r>
          </w:p>
        </w:tc>
      </w:tr>
    </w:tbl>
    <w:p w:rsidR="00916FF8" w:rsidRPr="00C2146E" w:rsidRDefault="00916FF8">
      <w:pPr>
        <w:pStyle w:val="Ruller3"/>
        <w:rPr>
          <w:sz w:val="10"/>
          <w:szCs w:val="14"/>
        </w:rPr>
      </w:pPr>
    </w:p>
    <w:tbl>
      <w:tblPr>
        <w:bidiVisual/>
        <w:tblW w:w="8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
        <w:gridCol w:w="3190"/>
        <w:gridCol w:w="25"/>
        <w:gridCol w:w="5121"/>
        <w:gridCol w:w="27"/>
      </w:tblGrid>
      <w:tr w:rsidR="00036227" w:rsidTr="00FD3F92">
        <w:trPr>
          <w:gridAfter w:val="1"/>
          <w:wAfter w:w="27" w:type="dxa"/>
        </w:trPr>
        <w:tc>
          <w:tcPr>
            <w:tcW w:w="3217" w:type="dxa"/>
            <w:gridSpan w:val="2"/>
            <w:tcBorders>
              <w:top w:val="nil"/>
              <w:left w:val="nil"/>
              <w:bottom w:val="nil"/>
              <w:right w:val="nil"/>
            </w:tcBorders>
          </w:tcPr>
          <w:p w:rsidR="00036227" w:rsidRDefault="003A7B0C" w:rsidP="00B76715">
            <w:pPr>
              <w:pStyle w:val="BodyRuller"/>
              <w:spacing w:line="360" w:lineRule="auto"/>
            </w:pPr>
            <w:r>
              <w:rPr>
                <w:rtl/>
              </w:rPr>
              <w:t>בשם המבקשים:</w:t>
            </w:r>
          </w:p>
        </w:tc>
        <w:tc>
          <w:tcPr>
            <w:tcW w:w="5146" w:type="dxa"/>
            <w:gridSpan w:val="2"/>
            <w:tcBorders>
              <w:top w:val="nil"/>
              <w:left w:val="nil"/>
              <w:bottom w:val="nil"/>
              <w:right w:val="nil"/>
            </w:tcBorders>
          </w:tcPr>
          <w:p w:rsidR="00036227" w:rsidRDefault="003A7B0C" w:rsidP="00B76715">
            <w:pPr>
              <w:pStyle w:val="BodyRuller"/>
              <w:spacing w:line="360" w:lineRule="auto"/>
            </w:pPr>
            <w:r>
              <w:rPr>
                <w:rtl/>
              </w:rPr>
              <w:t xml:space="preserve">עו"ד </w:t>
            </w:r>
            <w:r w:rsidR="00FD3F92">
              <w:rPr>
                <w:rFonts w:hint="cs"/>
                <w:rtl/>
              </w:rPr>
              <w:t xml:space="preserve">חוסאם </w:t>
            </w:r>
            <w:r>
              <w:rPr>
                <w:rtl/>
              </w:rPr>
              <w:t>סיאם</w:t>
            </w:r>
          </w:p>
        </w:tc>
      </w:tr>
      <w:tr w:rsidR="00036227" w:rsidTr="00FD3F92">
        <w:trPr>
          <w:gridBefore w:val="1"/>
          <w:wBefore w:w="27" w:type="dxa"/>
        </w:trPr>
        <w:tc>
          <w:tcPr>
            <w:tcW w:w="3215" w:type="dxa"/>
            <w:gridSpan w:val="2"/>
            <w:tcBorders>
              <w:top w:val="nil"/>
              <w:left w:val="nil"/>
              <w:bottom w:val="nil"/>
              <w:right w:val="nil"/>
            </w:tcBorders>
          </w:tcPr>
          <w:p w:rsidR="00036227" w:rsidRDefault="003A7B0C" w:rsidP="00B76715">
            <w:pPr>
              <w:pStyle w:val="BodyRuller"/>
              <w:spacing w:line="360" w:lineRule="auto"/>
            </w:pPr>
            <w:r>
              <w:rPr>
                <w:rtl/>
              </w:rPr>
              <w:t>בשם המשיבים:</w:t>
            </w:r>
          </w:p>
        </w:tc>
        <w:tc>
          <w:tcPr>
            <w:tcW w:w="5148" w:type="dxa"/>
            <w:gridSpan w:val="2"/>
            <w:tcBorders>
              <w:top w:val="nil"/>
              <w:left w:val="nil"/>
              <w:bottom w:val="nil"/>
              <w:right w:val="nil"/>
            </w:tcBorders>
          </w:tcPr>
          <w:p w:rsidR="00036227" w:rsidRDefault="003A7B0C" w:rsidP="00B76715">
            <w:pPr>
              <w:pStyle w:val="BodyRuller"/>
              <w:spacing w:line="360" w:lineRule="auto"/>
            </w:pPr>
            <w:r>
              <w:rPr>
                <w:rtl/>
              </w:rPr>
              <w:t xml:space="preserve">עו"ד </w:t>
            </w:r>
            <w:r w:rsidR="00FD3F92">
              <w:rPr>
                <w:rFonts w:hint="cs"/>
                <w:rtl/>
              </w:rPr>
              <w:t>אברהם סגל</w:t>
            </w:r>
            <w:r>
              <w:rPr>
                <w:rtl/>
              </w:rPr>
              <w:t xml:space="preserve"> </w:t>
            </w:r>
          </w:p>
        </w:tc>
      </w:tr>
      <w:tr w:rsidR="00FD3F92" w:rsidTr="00FD3F92">
        <w:trPr>
          <w:gridBefore w:val="1"/>
          <w:wBefore w:w="27" w:type="dxa"/>
        </w:trPr>
        <w:tc>
          <w:tcPr>
            <w:tcW w:w="3215" w:type="dxa"/>
            <w:gridSpan w:val="2"/>
            <w:tcBorders>
              <w:top w:val="nil"/>
              <w:left w:val="nil"/>
              <w:bottom w:val="nil"/>
              <w:right w:val="nil"/>
            </w:tcBorders>
          </w:tcPr>
          <w:p w:rsidR="00FD3F92" w:rsidRDefault="00FD3F92" w:rsidP="00C73F8F">
            <w:pPr>
              <w:pStyle w:val="BodyRuller"/>
              <w:spacing w:line="360" w:lineRule="auto"/>
              <w:rPr>
                <w:rtl/>
              </w:rPr>
            </w:pPr>
            <w:r>
              <w:rPr>
                <w:rFonts w:hint="cs"/>
                <w:rtl/>
              </w:rPr>
              <w:t xml:space="preserve">בשם המבקשים להצטרף </w:t>
            </w:r>
            <w:r w:rsidR="00C73F8F">
              <w:rPr>
                <w:rFonts w:hint="cs"/>
                <w:rtl/>
              </w:rPr>
              <w:t>4-1</w:t>
            </w:r>
            <w:r>
              <w:rPr>
                <w:rFonts w:hint="cs"/>
                <w:rtl/>
              </w:rPr>
              <w:t>:</w:t>
            </w:r>
          </w:p>
        </w:tc>
        <w:tc>
          <w:tcPr>
            <w:tcW w:w="5148" w:type="dxa"/>
            <w:gridSpan w:val="2"/>
            <w:tcBorders>
              <w:top w:val="nil"/>
              <w:left w:val="nil"/>
              <w:bottom w:val="nil"/>
              <w:right w:val="nil"/>
            </w:tcBorders>
          </w:tcPr>
          <w:p w:rsidR="00FD3F92" w:rsidRDefault="00FD3F92" w:rsidP="00B76715">
            <w:pPr>
              <w:pStyle w:val="BodyRuller"/>
              <w:spacing w:line="360" w:lineRule="auto"/>
              <w:rPr>
                <w:rtl/>
              </w:rPr>
            </w:pPr>
            <w:r>
              <w:rPr>
                <w:rFonts w:hint="cs"/>
                <w:rtl/>
              </w:rPr>
              <w:t>עו"ד מיכאל ספרד</w:t>
            </w:r>
          </w:p>
        </w:tc>
      </w:tr>
      <w:tr w:rsidR="00FD3F92" w:rsidTr="00FD3F92">
        <w:trPr>
          <w:gridBefore w:val="1"/>
          <w:wBefore w:w="27" w:type="dxa"/>
        </w:trPr>
        <w:tc>
          <w:tcPr>
            <w:tcW w:w="3215" w:type="dxa"/>
            <w:gridSpan w:val="2"/>
            <w:tcBorders>
              <w:top w:val="nil"/>
              <w:left w:val="nil"/>
              <w:bottom w:val="nil"/>
              <w:right w:val="nil"/>
            </w:tcBorders>
          </w:tcPr>
          <w:p w:rsidR="00FD3F92" w:rsidRDefault="00FD3F92" w:rsidP="00C73F8F">
            <w:pPr>
              <w:pStyle w:val="BodyRuller"/>
              <w:spacing w:line="360" w:lineRule="auto"/>
              <w:rPr>
                <w:rtl/>
              </w:rPr>
            </w:pPr>
            <w:r>
              <w:rPr>
                <w:rFonts w:hint="cs"/>
                <w:rtl/>
              </w:rPr>
              <w:t xml:space="preserve">בשם המבקש להצטרף </w:t>
            </w:r>
            <w:r w:rsidR="00C73F8F">
              <w:rPr>
                <w:rFonts w:hint="cs"/>
                <w:rtl/>
              </w:rPr>
              <w:t>5</w:t>
            </w:r>
            <w:r>
              <w:rPr>
                <w:rFonts w:hint="cs"/>
                <w:rtl/>
              </w:rPr>
              <w:t>:</w:t>
            </w:r>
          </w:p>
        </w:tc>
        <w:tc>
          <w:tcPr>
            <w:tcW w:w="5148" w:type="dxa"/>
            <w:gridSpan w:val="2"/>
            <w:tcBorders>
              <w:top w:val="nil"/>
              <w:left w:val="nil"/>
              <w:bottom w:val="nil"/>
              <w:right w:val="nil"/>
            </w:tcBorders>
          </w:tcPr>
          <w:p w:rsidR="00FD3F92" w:rsidRDefault="00FD3F92" w:rsidP="00B76715">
            <w:pPr>
              <w:pStyle w:val="BodyRuller"/>
              <w:spacing w:line="360" w:lineRule="auto"/>
              <w:rPr>
                <w:rtl/>
              </w:rPr>
            </w:pPr>
            <w:r>
              <w:rPr>
                <w:rFonts w:hint="cs"/>
                <w:rtl/>
              </w:rPr>
              <w:t>עו"ד כרמל פומרנץ</w:t>
            </w:r>
          </w:p>
        </w:tc>
      </w:tr>
      <w:tr w:rsidR="00FD3F92" w:rsidTr="00FD3F92">
        <w:trPr>
          <w:gridBefore w:val="1"/>
          <w:wBefore w:w="27" w:type="dxa"/>
        </w:trPr>
        <w:tc>
          <w:tcPr>
            <w:tcW w:w="3215" w:type="dxa"/>
            <w:gridSpan w:val="2"/>
            <w:tcBorders>
              <w:top w:val="nil"/>
              <w:left w:val="nil"/>
              <w:bottom w:val="nil"/>
              <w:right w:val="nil"/>
            </w:tcBorders>
          </w:tcPr>
          <w:p w:rsidR="00FD3F92" w:rsidRDefault="00FD3F92" w:rsidP="00AE6B00">
            <w:pPr>
              <w:pStyle w:val="BodyRuller"/>
              <w:rPr>
                <w:rtl/>
              </w:rPr>
            </w:pPr>
            <w:r>
              <w:rPr>
                <w:rFonts w:hint="cs"/>
                <w:rtl/>
              </w:rPr>
              <w:t>בשם היועץ המשפטי לממשלה:</w:t>
            </w:r>
          </w:p>
        </w:tc>
        <w:tc>
          <w:tcPr>
            <w:tcW w:w="5148" w:type="dxa"/>
            <w:gridSpan w:val="2"/>
            <w:tcBorders>
              <w:top w:val="nil"/>
              <w:left w:val="nil"/>
              <w:bottom w:val="nil"/>
              <w:right w:val="nil"/>
            </w:tcBorders>
          </w:tcPr>
          <w:p w:rsidR="00FD3F92" w:rsidRDefault="00FD3F92" w:rsidP="00AE6B00">
            <w:pPr>
              <w:pStyle w:val="BodyRuller"/>
              <w:rPr>
                <w:rtl/>
              </w:rPr>
            </w:pPr>
          </w:p>
          <w:p w:rsidR="00FD3F92" w:rsidRDefault="00FD3F92" w:rsidP="00AE6B00">
            <w:pPr>
              <w:pStyle w:val="BodyRuller"/>
              <w:rPr>
                <w:rtl/>
              </w:rPr>
            </w:pPr>
            <w:r>
              <w:rPr>
                <w:rFonts w:hint="cs"/>
                <w:rtl/>
              </w:rPr>
              <w:t>עו"ד אפי יגל</w:t>
            </w:r>
          </w:p>
        </w:tc>
      </w:tr>
    </w:tbl>
    <w:p w:rsidR="00916FF8" w:rsidRDefault="00916FF8">
      <w:pPr>
        <w:tabs>
          <w:tab w:val="left" w:pos="2552"/>
        </w:tabs>
        <w:rPr>
          <w:rtl/>
        </w:rPr>
      </w:pPr>
    </w:p>
    <w:p w:rsidR="00595E59" w:rsidRPr="00C2146E" w:rsidRDefault="00595E59">
      <w:pPr>
        <w:tabs>
          <w:tab w:val="left" w:pos="2552"/>
        </w:tabs>
        <w:rPr>
          <w:sz w:val="8"/>
          <w:szCs w:val="12"/>
        </w:rPr>
      </w:pPr>
    </w:p>
    <w:tbl>
      <w:tblPr>
        <w:bidiVisual/>
        <w:tblW w:w="8363" w:type="dxa"/>
        <w:tblLook w:val="0000" w:firstRow="0" w:lastRow="0" w:firstColumn="0" w:lastColumn="0" w:noHBand="0" w:noVBand="0"/>
      </w:tblPr>
      <w:tblGrid>
        <w:gridCol w:w="8363"/>
      </w:tblGrid>
      <w:tr w:rsidR="00036227" w:rsidTr="00D00B1D">
        <w:tc>
          <w:tcPr>
            <w:tcW w:w="9837" w:type="dxa"/>
          </w:tcPr>
          <w:p w:rsidR="00916FF8" w:rsidRDefault="003A7B0C">
            <w:pPr>
              <w:pStyle w:val="DocumentHead"/>
            </w:pPr>
            <w:bookmarkStart w:id="2" w:name="secretary"/>
            <w:bookmarkStart w:id="3" w:name="BeginProtocol"/>
            <w:bookmarkEnd w:id="2"/>
            <w:bookmarkEnd w:id="3"/>
            <w:r>
              <w:rPr>
                <w:rtl/>
              </w:rPr>
              <w:t>פסק-דין</w:t>
            </w:r>
          </w:p>
        </w:tc>
      </w:tr>
    </w:tbl>
    <w:p w:rsidR="0065522F" w:rsidRDefault="0065522F">
      <w:pPr>
        <w:pStyle w:val="BODYVERDICT"/>
      </w:pPr>
    </w:p>
    <w:p w:rsidR="00916FF8" w:rsidRDefault="003A7B0C">
      <w:pPr>
        <w:pStyle w:val="BODYVERDICT"/>
        <w:rPr>
          <w:rFonts w:cs="Miriam"/>
          <w:sz w:val="24"/>
          <w:szCs w:val="24"/>
          <w:u w:val="single"/>
          <w:rtl/>
        </w:rPr>
      </w:pPr>
      <w:bookmarkStart w:id="4" w:name="Writer_Name"/>
      <w:bookmarkEnd w:id="4"/>
      <w:r>
        <w:rPr>
          <w:rFonts w:cs="Miriam"/>
          <w:sz w:val="24"/>
          <w:szCs w:val="24"/>
          <w:u w:val="single"/>
          <w:rtl/>
        </w:rPr>
        <w:t>השופטת ד' ברק-ארז</w:t>
      </w:r>
      <w:r w:rsidRPr="00C2146E">
        <w:rPr>
          <w:rFonts w:cs="Miriam"/>
          <w:sz w:val="24"/>
          <w:szCs w:val="24"/>
          <w:rtl/>
        </w:rPr>
        <w:t>:</w:t>
      </w:r>
    </w:p>
    <w:p w:rsidR="00C2146E" w:rsidRDefault="00C2146E">
      <w:pPr>
        <w:pStyle w:val="BODYVERDICT"/>
        <w:rPr>
          <w:rFonts w:cs="Miriam"/>
          <w:sz w:val="24"/>
          <w:szCs w:val="24"/>
          <w:u w:val="single"/>
          <w:rtl/>
        </w:rPr>
      </w:pPr>
    </w:p>
    <w:p w:rsidR="00C2146E" w:rsidRPr="00503A3E" w:rsidRDefault="00C2146E">
      <w:pPr>
        <w:pStyle w:val="BODYVERDICT"/>
        <w:rPr>
          <w:rFonts w:cs="Miriam"/>
          <w:sz w:val="24"/>
          <w:szCs w:val="24"/>
          <w:u w:val="single"/>
          <w:rtl/>
        </w:rPr>
      </w:pPr>
    </w:p>
    <w:p w:rsidR="00761030" w:rsidRDefault="00761030" w:rsidP="00761030">
      <w:pPr>
        <w:pStyle w:val="Ruller41"/>
        <w:rPr>
          <w:rtl/>
        </w:rPr>
      </w:pPr>
      <w:bookmarkStart w:id="5" w:name="Start_Write"/>
      <w:bookmarkEnd w:id="5"/>
      <w:r>
        <w:rPr>
          <w:rFonts w:hint="cs"/>
          <w:rtl/>
        </w:rPr>
        <w:t xml:space="preserve">1. </w:t>
      </w:r>
      <w:r>
        <w:rPr>
          <w:rtl/>
        </w:rPr>
        <w:tab/>
      </w:r>
      <w:r>
        <w:rPr>
          <w:rFonts w:hint="cs"/>
          <w:rtl/>
        </w:rPr>
        <w:t xml:space="preserve">בקשת רשות הערעור שבפנינו היא חוליה נוספת בהתדיינות ארוכת שנים שנסבה על זכויות, מסוגים שונים, בנכסים הממוקמים בירושלים, בתחומו של כפר סילוואן או כפר השילוח, ונמצאים בבעלותו של הקדש יהודי הידוע כ"הקדש בנבנישתי". הנכסים הפסיקו להיות מוחזקים על-ידי יהודים עוד בשנות השלושים של המאה הקודמת, עקב </w:t>
      </w:r>
      <w:r>
        <w:rPr>
          <w:rFonts w:hint="cs"/>
          <w:rtl/>
        </w:rPr>
        <w:lastRenderedPageBreak/>
        <w:t>המאורעות שהתרחשו באותה תקופה. כיום מתגוררות במקום משפחות ערביות, חלקן זה עשרות שנים. בית המגורים של המבקשים, בני משפחת דוויק, הוא אחד מאותם נכסים, וההליך העומד ביסוד הבקשה נסב על תביעה לפינויים ממנו. המשיבים הם נאמני ההקדש, שבעלותו בנכסים הוכרה בהליכים קודמים. האם היה מקום לקבל את תביעת הפינוי, בהתחשב בין היתר בחלוף השנים? זו השאלה הניצבת לפתחנו בהליך הנוכחי.</w:t>
      </w:r>
    </w:p>
    <w:p w:rsidR="00761030" w:rsidRDefault="00761030" w:rsidP="00761030">
      <w:pPr>
        <w:pStyle w:val="Ruller41"/>
        <w:rPr>
          <w:rtl/>
        </w:rPr>
      </w:pPr>
    </w:p>
    <w:p w:rsidR="00761030" w:rsidRPr="00F66F28" w:rsidRDefault="00761030" w:rsidP="00761030">
      <w:pPr>
        <w:pStyle w:val="Ruller41"/>
        <w:rPr>
          <w:rFonts w:ascii="Century" w:hAnsi="Century" w:cs="Miriam"/>
          <w:b/>
          <w:spacing w:val="0"/>
          <w:szCs w:val="24"/>
          <w:rtl/>
        </w:rPr>
      </w:pPr>
      <w:r w:rsidRPr="00F66F28">
        <w:rPr>
          <w:rFonts w:ascii="Century" w:hAnsi="Century" w:cs="Miriam" w:hint="cs"/>
          <w:b/>
          <w:spacing w:val="0"/>
          <w:szCs w:val="24"/>
          <w:rtl/>
        </w:rPr>
        <w:t>רקע עובדתי והיסטורי בנוגע למקרקעין</w:t>
      </w:r>
    </w:p>
    <w:p w:rsidR="00761030" w:rsidRDefault="00761030" w:rsidP="00761030">
      <w:pPr>
        <w:pStyle w:val="Ruller41"/>
        <w:rPr>
          <w:rtl/>
        </w:rPr>
      </w:pPr>
    </w:p>
    <w:p w:rsidR="00761030" w:rsidRDefault="00761030" w:rsidP="00761030">
      <w:pPr>
        <w:pStyle w:val="Ruller41"/>
        <w:rPr>
          <w:rtl/>
        </w:rPr>
      </w:pPr>
      <w:r>
        <w:rPr>
          <w:rFonts w:hint="cs"/>
          <w:rtl/>
        </w:rPr>
        <w:t xml:space="preserve">2. </w:t>
      </w:r>
      <w:r>
        <w:rPr>
          <w:rtl/>
        </w:rPr>
        <w:tab/>
      </w:r>
      <w:r>
        <w:rPr>
          <w:rFonts w:hint="cs"/>
          <w:rtl/>
        </w:rPr>
        <w:t>ההליך דנן נוגע לנכס המצוי במקרקעין הידועים גם כחלקות 95 ו-96 בגוש שומה 29986 הרשומים בפנקס השטרות התורכי (</w:t>
      </w:r>
      <w:r w:rsidRPr="004872BA">
        <w:rPr>
          <w:rFonts w:hint="eastAsia"/>
          <w:rtl/>
        </w:rPr>
        <w:t>שטר</w:t>
      </w:r>
      <w:r w:rsidRPr="004872BA">
        <w:rPr>
          <w:rtl/>
        </w:rPr>
        <w:t xml:space="preserve"> </w:t>
      </w:r>
      <w:r w:rsidRPr="004872BA">
        <w:rPr>
          <w:rFonts w:hint="eastAsia"/>
          <w:rtl/>
        </w:rPr>
        <w:t>מס</w:t>
      </w:r>
      <w:r w:rsidRPr="004872BA">
        <w:rPr>
          <w:rtl/>
        </w:rPr>
        <w:t xml:space="preserve">' 4 </w:t>
      </w:r>
      <w:r w:rsidRPr="004872BA">
        <w:rPr>
          <w:rFonts w:hint="eastAsia"/>
          <w:rtl/>
        </w:rPr>
        <w:t>משנת</w:t>
      </w:r>
      <w:r w:rsidRPr="004872BA">
        <w:rPr>
          <w:rtl/>
        </w:rPr>
        <w:t xml:space="preserve"> 1881, </w:t>
      </w:r>
      <w:r w:rsidRPr="004872BA">
        <w:rPr>
          <w:rFonts w:hint="eastAsia"/>
          <w:rtl/>
        </w:rPr>
        <w:t>ספר</w:t>
      </w:r>
      <w:r w:rsidRPr="004872BA">
        <w:rPr>
          <w:rtl/>
        </w:rPr>
        <w:t xml:space="preserve"> </w:t>
      </w:r>
      <w:r w:rsidRPr="004872BA">
        <w:rPr>
          <w:rFonts w:hint="eastAsia"/>
          <w:rtl/>
        </w:rPr>
        <w:t>תורכי</w:t>
      </w:r>
      <w:r w:rsidRPr="004872BA">
        <w:rPr>
          <w:rtl/>
        </w:rPr>
        <w:t xml:space="preserve"> 3, </w:t>
      </w:r>
      <w:r w:rsidRPr="004872BA">
        <w:rPr>
          <w:rFonts w:hint="eastAsia"/>
          <w:rtl/>
        </w:rPr>
        <w:t>דף</w:t>
      </w:r>
      <w:r w:rsidRPr="004872BA">
        <w:rPr>
          <w:rtl/>
        </w:rPr>
        <w:t xml:space="preserve"> 6)</w:t>
      </w:r>
      <w:r>
        <w:rPr>
          <w:rFonts w:hint="cs"/>
          <w:rtl/>
        </w:rPr>
        <w:t xml:space="preserve"> וממוקמים כאמור בכפר סילוואן (להלן: </w:t>
      </w:r>
      <w:r w:rsidRPr="00776DBE">
        <w:rPr>
          <w:rFonts w:ascii="Century" w:hAnsi="Century" w:cs="Miriam" w:hint="cs"/>
          <w:b/>
          <w:spacing w:val="0"/>
          <w:szCs w:val="24"/>
          <w:rtl/>
        </w:rPr>
        <w:t>המקרקעין</w:t>
      </w:r>
      <w:r>
        <w:rPr>
          <w:rFonts w:hint="cs"/>
          <w:rtl/>
        </w:rPr>
        <w:t xml:space="preserve">). </w:t>
      </w:r>
      <w:r w:rsidRPr="00606D17">
        <w:rPr>
          <w:rFonts w:hint="eastAsia"/>
          <w:rtl/>
        </w:rPr>
        <w:t>ביחס</w:t>
      </w:r>
      <w:r w:rsidRPr="00606D17">
        <w:rPr>
          <w:rtl/>
        </w:rPr>
        <w:t xml:space="preserve"> </w:t>
      </w:r>
      <w:r w:rsidRPr="00606D17">
        <w:rPr>
          <w:rFonts w:hint="eastAsia"/>
          <w:rtl/>
        </w:rPr>
        <w:t>למקרקעין</w:t>
      </w:r>
      <w:r w:rsidRPr="00606D17">
        <w:rPr>
          <w:rtl/>
        </w:rPr>
        <w:t xml:space="preserve"> </w:t>
      </w:r>
      <w:r w:rsidRPr="00606D17">
        <w:rPr>
          <w:rFonts w:hint="eastAsia"/>
          <w:rtl/>
        </w:rPr>
        <w:t>נוצר</w:t>
      </w:r>
      <w:r w:rsidRPr="00606D17">
        <w:rPr>
          <w:rtl/>
        </w:rPr>
        <w:t xml:space="preserve"> </w:t>
      </w:r>
      <w:r w:rsidRPr="00606D17">
        <w:rPr>
          <w:rFonts w:hint="eastAsia"/>
          <w:rtl/>
        </w:rPr>
        <w:t>בשנת</w:t>
      </w:r>
      <w:r w:rsidRPr="00606D17">
        <w:rPr>
          <w:rtl/>
        </w:rPr>
        <w:t xml:space="preserve"> 1899 "</w:t>
      </w:r>
      <w:r w:rsidRPr="00606D17">
        <w:rPr>
          <w:rFonts w:hint="eastAsia"/>
          <w:rtl/>
        </w:rPr>
        <w:t>הקדש</w:t>
      </w:r>
      <w:r w:rsidRPr="00606D17">
        <w:rPr>
          <w:rtl/>
        </w:rPr>
        <w:t xml:space="preserve"> </w:t>
      </w:r>
      <w:r w:rsidRPr="00606D17">
        <w:rPr>
          <w:rFonts w:hint="eastAsia"/>
          <w:rtl/>
        </w:rPr>
        <w:t>בנבנ</w:t>
      </w:r>
      <w:r>
        <w:rPr>
          <w:rFonts w:hint="cs"/>
          <w:rtl/>
        </w:rPr>
        <w:t>י</w:t>
      </w:r>
      <w:r w:rsidRPr="00606D17">
        <w:rPr>
          <w:rFonts w:hint="eastAsia"/>
          <w:rtl/>
        </w:rPr>
        <w:t>שתי</w:t>
      </w:r>
      <w:r w:rsidRPr="00606D17">
        <w:rPr>
          <w:rtl/>
        </w:rPr>
        <w:t>" (</w:t>
      </w:r>
      <w:r w:rsidRPr="00606D17">
        <w:rPr>
          <w:rFonts w:hint="eastAsia"/>
          <w:rtl/>
        </w:rPr>
        <w:t>להלן</w:t>
      </w:r>
      <w:r w:rsidRPr="00606D17">
        <w:rPr>
          <w:rtl/>
        </w:rPr>
        <w:t xml:space="preserve">: </w:t>
      </w:r>
      <w:r w:rsidRPr="00606D17">
        <w:rPr>
          <w:rFonts w:ascii="Century" w:hAnsi="Century" w:cs="Miriam" w:hint="eastAsia"/>
          <w:b/>
          <w:spacing w:val="0"/>
          <w:szCs w:val="24"/>
          <w:rtl/>
        </w:rPr>
        <w:t>ההקדש</w:t>
      </w:r>
      <w:r>
        <w:rPr>
          <w:rFonts w:hint="cs"/>
          <w:rtl/>
        </w:rPr>
        <w:t xml:space="preserve">). נאמני ההקדש הוגדרו בשטר ההקמה שלו כדלהלן: </w:t>
      </w:r>
      <w:r w:rsidRPr="00606D17">
        <w:rPr>
          <w:rFonts w:hint="eastAsia"/>
          <w:rtl/>
        </w:rPr>
        <w:t>הרב</w:t>
      </w:r>
      <w:r w:rsidRPr="00606D17">
        <w:rPr>
          <w:rtl/>
        </w:rPr>
        <w:t xml:space="preserve"> </w:t>
      </w:r>
      <w:r w:rsidRPr="00606D17">
        <w:rPr>
          <w:rFonts w:hint="eastAsia"/>
          <w:rtl/>
        </w:rPr>
        <w:t>הראשי</w:t>
      </w:r>
      <w:r w:rsidRPr="00606D17">
        <w:rPr>
          <w:rtl/>
        </w:rPr>
        <w:t xml:space="preserve"> </w:t>
      </w:r>
      <w:r w:rsidRPr="00606D17">
        <w:rPr>
          <w:rFonts w:hint="eastAsia"/>
          <w:rtl/>
        </w:rPr>
        <w:t>של</w:t>
      </w:r>
      <w:r w:rsidRPr="00606D17">
        <w:rPr>
          <w:rtl/>
        </w:rPr>
        <w:t xml:space="preserve"> "</w:t>
      </w:r>
      <w:r w:rsidRPr="00606D17">
        <w:rPr>
          <w:rFonts w:hint="eastAsia"/>
          <w:rtl/>
        </w:rPr>
        <w:t>העדה</w:t>
      </w:r>
      <w:r w:rsidRPr="00606D17">
        <w:rPr>
          <w:rtl/>
        </w:rPr>
        <w:t xml:space="preserve"> </w:t>
      </w:r>
      <w:r w:rsidRPr="00606D17">
        <w:rPr>
          <w:rFonts w:hint="eastAsia"/>
          <w:rtl/>
        </w:rPr>
        <w:t>היהודית</w:t>
      </w:r>
      <w:r w:rsidRPr="00606D17">
        <w:rPr>
          <w:rtl/>
        </w:rPr>
        <w:t xml:space="preserve">" </w:t>
      </w:r>
      <w:r w:rsidRPr="00606D17">
        <w:rPr>
          <w:rFonts w:hint="eastAsia"/>
          <w:rtl/>
        </w:rPr>
        <w:t>בירושלים</w:t>
      </w:r>
      <w:r>
        <w:rPr>
          <w:rFonts w:hint="cs"/>
          <w:rtl/>
        </w:rPr>
        <w:t xml:space="preserve">, </w:t>
      </w:r>
      <w:r w:rsidRPr="00606D17">
        <w:rPr>
          <w:rFonts w:hint="eastAsia"/>
          <w:rtl/>
        </w:rPr>
        <w:t>הרב</w:t>
      </w:r>
      <w:r w:rsidRPr="00606D17">
        <w:rPr>
          <w:rtl/>
        </w:rPr>
        <w:t xml:space="preserve"> </w:t>
      </w:r>
      <w:r w:rsidRPr="00606D17">
        <w:rPr>
          <w:rFonts w:hint="eastAsia"/>
          <w:rtl/>
        </w:rPr>
        <w:t>של</w:t>
      </w:r>
      <w:r w:rsidRPr="00606D17">
        <w:rPr>
          <w:rtl/>
        </w:rPr>
        <w:t xml:space="preserve"> </w:t>
      </w:r>
      <w:r w:rsidRPr="00606D17">
        <w:rPr>
          <w:rFonts w:hint="eastAsia"/>
          <w:rtl/>
        </w:rPr>
        <w:t>העדה</w:t>
      </w:r>
      <w:r w:rsidRPr="00606D17">
        <w:rPr>
          <w:rtl/>
        </w:rPr>
        <w:t xml:space="preserve"> </w:t>
      </w:r>
      <w:r w:rsidRPr="00606D17">
        <w:rPr>
          <w:rFonts w:hint="eastAsia"/>
          <w:rtl/>
        </w:rPr>
        <w:t>האשכנזית</w:t>
      </w:r>
      <w:r w:rsidRPr="00606D17">
        <w:rPr>
          <w:rtl/>
        </w:rPr>
        <w:t xml:space="preserve"> </w:t>
      </w:r>
      <w:r w:rsidRPr="00606D17">
        <w:rPr>
          <w:rFonts w:hint="eastAsia"/>
          <w:rtl/>
        </w:rPr>
        <w:t>בירושלים</w:t>
      </w:r>
      <w:r>
        <w:rPr>
          <w:rFonts w:hint="cs"/>
          <w:rtl/>
        </w:rPr>
        <w:t xml:space="preserve"> ו</w:t>
      </w:r>
      <w:r w:rsidRPr="00606D17">
        <w:rPr>
          <w:rFonts w:hint="eastAsia"/>
          <w:rtl/>
        </w:rPr>
        <w:t>מנהל</w:t>
      </w:r>
      <w:r w:rsidRPr="00606D17">
        <w:rPr>
          <w:rtl/>
        </w:rPr>
        <w:t xml:space="preserve"> </w:t>
      </w:r>
      <w:r w:rsidRPr="00606D17">
        <w:rPr>
          <w:rFonts w:hint="eastAsia"/>
          <w:rtl/>
        </w:rPr>
        <w:t>בית</w:t>
      </w:r>
      <w:r w:rsidRPr="00606D17">
        <w:rPr>
          <w:rtl/>
        </w:rPr>
        <w:t xml:space="preserve"> </w:t>
      </w:r>
      <w:r w:rsidRPr="00606D17">
        <w:rPr>
          <w:rFonts w:hint="eastAsia"/>
          <w:rtl/>
        </w:rPr>
        <w:t>הספר</w:t>
      </w:r>
      <w:r w:rsidRPr="00606D17">
        <w:rPr>
          <w:rtl/>
        </w:rPr>
        <w:t xml:space="preserve"> </w:t>
      </w:r>
      <w:r w:rsidRPr="00606D17">
        <w:rPr>
          <w:rFonts w:hint="eastAsia"/>
          <w:rtl/>
        </w:rPr>
        <w:t>היהודי</w:t>
      </w:r>
      <w:r w:rsidRPr="00606D17">
        <w:rPr>
          <w:rtl/>
        </w:rPr>
        <w:t xml:space="preserve"> </w:t>
      </w:r>
      <w:r w:rsidRPr="00606D17">
        <w:rPr>
          <w:rFonts w:hint="eastAsia"/>
          <w:rtl/>
        </w:rPr>
        <w:t>למלאכה</w:t>
      </w:r>
      <w:r w:rsidRPr="00606D17">
        <w:rPr>
          <w:rtl/>
        </w:rPr>
        <w:t xml:space="preserve"> "</w:t>
      </w:r>
      <w:r w:rsidRPr="00606D17">
        <w:rPr>
          <w:rFonts w:hint="eastAsia"/>
          <w:rtl/>
        </w:rPr>
        <w:t>אליאנס</w:t>
      </w:r>
      <w:r w:rsidRPr="00606D17">
        <w:rPr>
          <w:rtl/>
        </w:rPr>
        <w:t xml:space="preserve">" </w:t>
      </w:r>
      <w:r w:rsidRPr="00606D17">
        <w:rPr>
          <w:rFonts w:hint="eastAsia"/>
          <w:rtl/>
        </w:rPr>
        <w:t>בירושלים</w:t>
      </w:r>
      <w:r w:rsidRPr="00606D17">
        <w:rPr>
          <w:rtl/>
        </w:rPr>
        <w:t>.</w:t>
      </w:r>
      <w:r>
        <w:rPr>
          <w:rFonts w:hint="cs"/>
          <w:rtl/>
        </w:rPr>
        <w:t xml:space="preserve"> </w:t>
      </w:r>
    </w:p>
    <w:p w:rsidR="00761030" w:rsidRDefault="00761030" w:rsidP="00761030">
      <w:pPr>
        <w:pStyle w:val="Ruller41"/>
        <w:rPr>
          <w:rtl/>
        </w:rPr>
      </w:pPr>
    </w:p>
    <w:p w:rsidR="00761030" w:rsidRDefault="00761030" w:rsidP="00761030">
      <w:pPr>
        <w:pStyle w:val="Ruller41"/>
        <w:rPr>
          <w:rtl/>
        </w:rPr>
      </w:pPr>
      <w:r>
        <w:rPr>
          <w:rFonts w:hint="cs"/>
          <w:rtl/>
        </w:rPr>
        <w:t xml:space="preserve">3. </w:t>
      </w:r>
      <w:r>
        <w:rPr>
          <w:rtl/>
        </w:rPr>
        <w:tab/>
      </w:r>
      <w:r>
        <w:rPr>
          <w:rFonts w:hint="cs"/>
          <w:rtl/>
        </w:rPr>
        <w:t xml:space="preserve">כמתואר בהליכים קודמים שהתנהלו ביחס למקרקעין, ועוד ארחיב עליהם בהמשך, היהודים שישבו במקום נאלצו לעזוב אותו בשנות השלושים של המאה הקודמת, על רקע ההסלמה ביחסים בין יהודים וערבים שהתרחשה באותה תקופה בין היתר באזור ירושלים. </w:t>
      </w:r>
      <w:r>
        <w:rPr>
          <w:rFonts w:hint="eastAsia"/>
          <w:rtl/>
        </w:rPr>
        <w:t>בשנת</w:t>
      </w:r>
      <w:r>
        <w:rPr>
          <w:rtl/>
        </w:rPr>
        <w:t xml:space="preserve"> 1946 </w:t>
      </w:r>
      <w:r>
        <w:rPr>
          <w:rFonts w:hint="eastAsia"/>
          <w:rtl/>
        </w:rPr>
        <w:t>השכירו</w:t>
      </w:r>
      <w:r>
        <w:rPr>
          <w:rtl/>
        </w:rPr>
        <w:t xml:space="preserve"> </w:t>
      </w:r>
      <w:r>
        <w:rPr>
          <w:rFonts w:hint="eastAsia"/>
          <w:rtl/>
        </w:rPr>
        <w:t>נאמני</w:t>
      </w:r>
      <w:r>
        <w:rPr>
          <w:rtl/>
        </w:rPr>
        <w:t xml:space="preserve"> </w:t>
      </w:r>
      <w:r>
        <w:rPr>
          <w:rFonts w:hint="eastAsia"/>
          <w:rtl/>
        </w:rPr>
        <w:t>ההקדש</w:t>
      </w:r>
      <w:r>
        <w:rPr>
          <w:rtl/>
        </w:rPr>
        <w:t xml:space="preserve"> </w:t>
      </w:r>
      <w:r>
        <w:rPr>
          <w:rFonts w:hint="eastAsia"/>
          <w:rtl/>
        </w:rPr>
        <w:t>את</w:t>
      </w:r>
      <w:r>
        <w:rPr>
          <w:rtl/>
        </w:rPr>
        <w:t xml:space="preserve"> </w:t>
      </w:r>
      <w:r>
        <w:rPr>
          <w:rFonts w:hint="eastAsia"/>
          <w:rtl/>
        </w:rPr>
        <w:t>הנכסים</w:t>
      </w:r>
      <w:r>
        <w:rPr>
          <w:rtl/>
        </w:rPr>
        <w:t xml:space="preserve"> </w:t>
      </w:r>
      <w:r>
        <w:rPr>
          <w:rFonts w:hint="eastAsia"/>
          <w:rtl/>
        </w:rPr>
        <w:t>לאדם</w:t>
      </w:r>
      <w:r>
        <w:rPr>
          <w:rtl/>
        </w:rPr>
        <w:t xml:space="preserve"> </w:t>
      </w:r>
      <w:r>
        <w:rPr>
          <w:rFonts w:hint="cs"/>
          <w:rtl/>
        </w:rPr>
        <w:t xml:space="preserve">ששמו ג'לאג'ל כדי </w:t>
      </w:r>
      <w:r>
        <w:rPr>
          <w:rFonts w:hint="eastAsia"/>
          <w:rtl/>
        </w:rPr>
        <w:t>שישמור</w:t>
      </w:r>
      <w:r>
        <w:rPr>
          <w:rtl/>
        </w:rPr>
        <w:t xml:space="preserve"> </w:t>
      </w:r>
      <w:r>
        <w:rPr>
          <w:rFonts w:hint="eastAsia"/>
          <w:rtl/>
        </w:rPr>
        <w:t>עליהם</w:t>
      </w:r>
      <w:r>
        <w:rPr>
          <w:rtl/>
        </w:rPr>
        <w:t xml:space="preserve">, </w:t>
      </w:r>
      <w:r>
        <w:rPr>
          <w:rFonts w:hint="cs"/>
          <w:rtl/>
        </w:rPr>
        <w:t xml:space="preserve">וזאת </w:t>
      </w:r>
      <w:r>
        <w:rPr>
          <w:rFonts w:hint="eastAsia"/>
          <w:rtl/>
        </w:rPr>
        <w:t>באישורה</w:t>
      </w:r>
      <w:r>
        <w:rPr>
          <w:rtl/>
        </w:rPr>
        <w:t xml:space="preserve"> </w:t>
      </w:r>
      <w:r>
        <w:rPr>
          <w:rFonts w:hint="eastAsia"/>
          <w:rtl/>
        </w:rPr>
        <w:t>של</w:t>
      </w:r>
      <w:r>
        <w:rPr>
          <w:rtl/>
        </w:rPr>
        <w:t xml:space="preserve"> </w:t>
      </w:r>
      <w:r>
        <w:rPr>
          <w:rFonts w:hint="eastAsia"/>
          <w:rtl/>
        </w:rPr>
        <w:t>רבנות</w:t>
      </w:r>
      <w:r>
        <w:rPr>
          <w:rtl/>
        </w:rPr>
        <w:t xml:space="preserve"> </w:t>
      </w:r>
      <w:r>
        <w:rPr>
          <w:rFonts w:hint="eastAsia"/>
          <w:rtl/>
        </w:rPr>
        <w:t>העיר</w:t>
      </w:r>
      <w:r>
        <w:rPr>
          <w:rtl/>
        </w:rPr>
        <w:t xml:space="preserve"> </w:t>
      </w:r>
      <w:r>
        <w:rPr>
          <w:rFonts w:hint="eastAsia"/>
          <w:rtl/>
        </w:rPr>
        <w:t>ירושלים</w:t>
      </w:r>
      <w:r>
        <w:rPr>
          <w:rtl/>
        </w:rPr>
        <w:t xml:space="preserve">. </w:t>
      </w:r>
    </w:p>
    <w:p w:rsidR="00761030" w:rsidRDefault="00761030" w:rsidP="00761030">
      <w:pPr>
        <w:pStyle w:val="Ruller41"/>
        <w:rPr>
          <w:rtl/>
        </w:rPr>
      </w:pPr>
    </w:p>
    <w:p w:rsidR="00761030" w:rsidRPr="00A14146" w:rsidRDefault="00761030" w:rsidP="00761030">
      <w:pPr>
        <w:pStyle w:val="Ruller41"/>
        <w:rPr>
          <w:rFonts w:ascii="Century" w:hAnsi="Century"/>
          <w:rtl/>
        </w:rPr>
      </w:pPr>
      <w:r>
        <w:rPr>
          <w:rFonts w:hint="cs"/>
          <w:rtl/>
        </w:rPr>
        <w:t xml:space="preserve">4. </w:t>
      </w:r>
      <w:r>
        <w:rPr>
          <w:rtl/>
        </w:rPr>
        <w:tab/>
      </w:r>
      <w:r>
        <w:rPr>
          <w:rFonts w:hint="cs"/>
          <w:rtl/>
        </w:rPr>
        <w:t xml:space="preserve">עם תום מלחמת העצמאות היה כפר סילוואן, כמו כל מזרח ירושלים, נתון לשליטה ירדנית. בתקופה זו נכסים כדוגמת המקרקעין שבנדון </w:t>
      </w:r>
      <w:r>
        <w:rPr>
          <w:rFonts w:hint="cs"/>
          <w:color w:val="000000"/>
          <w:sz w:val="28"/>
          <w:rtl/>
        </w:rPr>
        <w:t xml:space="preserve">הוקנו על-ידי השלטונות הירדניים לממונה הירדני על רכוש האויב (להלן: </w:t>
      </w:r>
      <w:r w:rsidRPr="00477831">
        <w:rPr>
          <w:rFonts w:ascii="Century" w:hAnsi="Century" w:cs="Miriam" w:hint="cs"/>
          <w:b/>
          <w:spacing w:val="0"/>
          <w:szCs w:val="24"/>
          <w:rtl/>
        </w:rPr>
        <w:t>הממונה הירדני</w:t>
      </w:r>
      <w:r>
        <w:rPr>
          <w:rFonts w:hint="cs"/>
          <w:color w:val="000000"/>
          <w:sz w:val="28"/>
          <w:rtl/>
        </w:rPr>
        <w:t xml:space="preserve">) לצורך ניהולם ושימורם. עם זאת, בפועל, ג'לאג'ל הוסיף לבצע בהם פעולות. </w:t>
      </w:r>
      <w:r>
        <w:rPr>
          <w:rFonts w:hint="cs"/>
          <w:rtl/>
        </w:rPr>
        <w:t xml:space="preserve">במהלך התקופה הירדנית, ביצעו </w:t>
      </w:r>
      <w:r>
        <w:rPr>
          <w:rFonts w:hint="eastAsia"/>
          <w:rtl/>
        </w:rPr>
        <w:t>ג</w:t>
      </w:r>
      <w:r>
        <w:rPr>
          <w:rtl/>
        </w:rPr>
        <w:t>'</w:t>
      </w:r>
      <w:r>
        <w:rPr>
          <w:rFonts w:hint="eastAsia"/>
          <w:rtl/>
        </w:rPr>
        <w:t>לאג</w:t>
      </w:r>
      <w:r>
        <w:rPr>
          <w:rtl/>
        </w:rPr>
        <w:t>'</w:t>
      </w:r>
      <w:r>
        <w:rPr>
          <w:rFonts w:hint="eastAsia"/>
          <w:rtl/>
        </w:rPr>
        <w:t>ל</w:t>
      </w:r>
      <w:r>
        <w:rPr>
          <w:rtl/>
        </w:rPr>
        <w:t xml:space="preserve"> </w:t>
      </w:r>
      <w:r>
        <w:rPr>
          <w:rFonts w:hint="eastAsia"/>
          <w:rtl/>
        </w:rPr>
        <w:t>ואשתו</w:t>
      </w:r>
      <w:r>
        <w:rPr>
          <w:rtl/>
        </w:rPr>
        <w:t xml:space="preserve"> </w:t>
      </w:r>
      <w:r>
        <w:rPr>
          <w:rFonts w:hint="cs"/>
          <w:rtl/>
        </w:rPr>
        <w:t>עסקאות ביחס ל</w:t>
      </w:r>
      <w:r>
        <w:rPr>
          <w:rFonts w:hint="eastAsia"/>
          <w:rtl/>
        </w:rPr>
        <w:t>חלקים</w:t>
      </w:r>
      <w:r>
        <w:rPr>
          <w:rtl/>
        </w:rPr>
        <w:t xml:space="preserve"> </w:t>
      </w:r>
      <w:r>
        <w:rPr>
          <w:rFonts w:hint="cs"/>
          <w:rtl/>
        </w:rPr>
        <w:t>ממקרקעי ההקדש</w:t>
      </w:r>
      <w:r>
        <w:rPr>
          <w:rtl/>
        </w:rPr>
        <w:t xml:space="preserve"> </w:t>
      </w:r>
      <w:r>
        <w:rPr>
          <w:rFonts w:hint="cs"/>
          <w:rtl/>
        </w:rPr>
        <w:t xml:space="preserve">עם </w:t>
      </w:r>
      <w:r>
        <w:rPr>
          <w:rFonts w:hint="eastAsia"/>
          <w:rtl/>
        </w:rPr>
        <w:t>צדדים</w:t>
      </w:r>
      <w:r>
        <w:rPr>
          <w:rtl/>
        </w:rPr>
        <w:t xml:space="preserve"> </w:t>
      </w:r>
      <w:r>
        <w:rPr>
          <w:rFonts w:hint="eastAsia"/>
          <w:rtl/>
        </w:rPr>
        <w:t>שלישיים</w:t>
      </w:r>
      <w:r>
        <w:rPr>
          <w:rFonts w:hint="cs"/>
          <w:rtl/>
        </w:rPr>
        <w:t xml:space="preserve"> </w:t>
      </w:r>
      <w:r>
        <w:rPr>
          <w:rtl/>
        </w:rPr>
        <w:t>–</w:t>
      </w:r>
      <w:r>
        <w:rPr>
          <w:rFonts w:hint="cs"/>
          <w:rtl/>
        </w:rPr>
        <w:t xml:space="preserve"> ביניהם בני משפחת דוויק. הנכסים במקרקעי ההקדש מוחזקים מאז</w:t>
      </w:r>
      <w:r>
        <w:rPr>
          <w:rtl/>
        </w:rPr>
        <w:t xml:space="preserve"> </w:t>
      </w:r>
      <w:r>
        <w:rPr>
          <w:rFonts w:hint="eastAsia"/>
          <w:rtl/>
        </w:rPr>
        <w:t>על</w:t>
      </w:r>
      <w:r>
        <w:rPr>
          <w:rtl/>
        </w:rPr>
        <w:t>-</w:t>
      </w:r>
      <w:r>
        <w:rPr>
          <w:rFonts w:hint="eastAsia"/>
          <w:rtl/>
        </w:rPr>
        <w:t>ידי</w:t>
      </w:r>
      <w:r>
        <w:rPr>
          <w:rtl/>
        </w:rPr>
        <w:t xml:space="preserve"> </w:t>
      </w:r>
      <w:r>
        <w:rPr>
          <w:rFonts w:hint="eastAsia"/>
          <w:rtl/>
        </w:rPr>
        <w:t>אנשים</w:t>
      </w:r>
      <w:r>
        <w:rPr>
          <w:rtl/>
        </w:rPr>
        <w:t xml:space="preserve"> </w:t>
      </w:r>
      <w:r>
        <w:rPr>
          <w:rFonts w:hint="cs"/>
          <w:rtl/>
        </w:rPr>
        <w:t>רבים המתגוררים בהם מזה עשרות שנים</w:t>
      </w:r>
      <w:r>
        <w:rPr>
          <w:rtl/>
        </w:rPr>
        <w:t>.</w:t>
      </w:r>
      <w:r>
        <w:rPr>
          <w:rFonts w:hint="cs"/>
          <w:rtl/>
        </w:rPr>
        <w:t xml:space="preserve"> באופן ספציפי, המבקשים טוענים </w:t>
      </w:r>
      <w:r>
        <w:rPr>
          <w:rFonts w:ascii="Century" w:hAnsi="Century" w:hint="cs"/>
          <w:rtl/>
        </w:rPr>
        <w:t xml:space="preserve">כי משפחתם מתגוררת בנכס עוד משנת 1965, לאחר שח'מיס דוויק, סבו של המבקש 1, רכש את הזכויות בו מג'לאג'ל בשנת 1964. </w:t>
      </w:r>
    </w:p>
    <w:p w:rsidR="00761030" w:rsidRDefault="00761030" w:rsidP="00761030">
      <w:pPr>
        <w:pStyle w:val="Ruller41"/>
        <w:rPr>
          <w:rtl/>
        </w:rPr>
      </w:pPr>
    </w:p>
    <w:p w:rsidR="00761030" w:rsidRPr="00C52B9A" w:rsidRDefault="00761030" w:rsidP="00761030">
      <w:pPr>
        <w:pStyle w:val="Ruller41"/>
        <w:rPr>
          <w:rtl/>
        </w:rPr>
      </w:pPr>
      <w:r>
        <w:rPr>
          <w:rFonts w:hint="cs"/>
          <w:rtl/>
        </w:rPr>
        <w:t xml:space="preserve">5. </w:t>
      </w:r>
      <w:r>
        <w:rPr>
          <w:rFonts w:hint="cs"/>
          <w:rtl/>
        </w:rPr>
        <w:tab/>
        <w:t xml:space="preserve">כידוע, </w:t>
      </w:r>
      <w:r w:rsidRPr="00C52B9A">
        <w:rPr>
          <w:rFonts w:hint="eastAsia"/>
          <w:rtl/>
        </w:rPr>
        <w:t>בתום</w:t>
      </w:r>
      <w:r w:rsidRPr="00C52B9A">
        <w:rPr>
          <w:rtl/>
        </w:rPr>
        <w:t xml:space="preserve"> </w:t>
      </w:r>
      <w:r w:rsidRPr="00C52B9A">
        <w:rPr>
          <w:rFonts w:hint="eastAsia"/>
          <w:rtl/>
        </w:rPr>
        <w:t>מלחמת</w:t>
      </w:r>
      <w:r w:rsidRPr="00C52B9A">
        <w:rPr>
          <w:rtl/>
        </w:rPr>
        <w:t xml:space="preserve"> </w:t>
      </w:r>
      <w:r w:rsidRPr="00C52B9A">
        <w:rPr>
          <w:rFonts w:hint="eastAsia"/>
          <w:rtl/>
        </w:rPr>
        <w:t>ששת</w:t>
      </w:r>
      <w:r w:rsidRPr="00C52B9A">
        <w:rPr>
          <w:rtl/>
        </w:rPr>
        <w:t xml:space="preserve"> </w:t>
      </w:r>
      <w:r w:rsidRPr="00C52B9A">
        <w:rPr>
          <w:rFonts w:hint="eastAsia"/>
          <w:rtl/>
        </w:rPr>
        <w:t>הימים</w:t>
      </w:r>
      <w:r w:rsidRPr="00C52B9A">
        <w:rPr>
          <w:rtl/>
        </w:rPr>
        <w:t xml:space="preserve"> </w:t>
      </w:r>
      <w:r w:rsidRPr="00C52B9A">
        <w:rPr>
          <w:rFonts w:hint="eastAsia"/>
          <w:rtl/>
        </w:rPr>
        <w:t>הוחל</w:t>
      </w:r>
      <w:r w:rsidRPr="00C52B9A">
        <w:rPr>
          <w:rtl/>
        </w:rPr>
        <w:t xml:space="preserve"> </w:t>
      </w:r>
      <w:r w:rsidRPr="00C52B9A">
        <w:rPr>
          <w:rFonts w:hint="eastAsia"/>
          <w:rtl/>
        </w:rPr>
        <w:t>המשפט</w:t>
      </w:r>
      <w:r w:rsidRPr="00C52B9A">
        <w:rPr>
          <w:rtl/>
        </w:rPr>
        <w:t xml:space="preserve"> </w:t>
      </w:r>
      <w:r w:rsidRPr="00C52B9A">
        <w:rPr>
          <w:rFonts w:hint="eastAsia"/>
          <w:rtl/>
        </w:rPr>
        <w:t>הישראלי</w:t>
      </w:r>
      <w:r w:rsidRPr="00C52B9A">
        <w:rPr>
          <w:rtl/>
        </w:rPr>
        <w:t xml:space="preserve"> </w:t>
      </w:r>
      <w:r w:rsidRPr="00C52B9A">
        <w:rPr>
          <w:rFonts w:hint="eastAsia"/>
          <w:rtl/>
        </w:rPr>
        <w:t>על</w:t>
      </w:r>
      <w:r w:rsidRPr="00C52B9A">
        <w:rPr>
          <w:rtl/>
        </w:rPr>
        <w:t xml:space="preserve"> </w:t>
      </w:r>
      <w:r w:rsidRPr="00C52B9A">
        <w:rPr>
          <w:rFonts w:hint="eastAsia"/>
          <w:rtl/>
        </w:rPr>
        <w:t>מזרח</w:t>
      </w:r>
      <w:r w:rsidRPr="00C52B9A">
        <w:rPr>
          <w:rtl/>
        </w:rPr>
        <w:t xml:space="preserve"> </w:t>
      </w:r>
      <w:r w:rsidRPr="00C52B9A">
        <w:rPr>
          <w:rFonts w:hint="eastAsia"/>
          <w:rtl/>
        </w:rPr>
        <w:t>ירושלים</w:t>
      </w:r>
      <w:r w:rsidRPr="00C52B9A">
        <w:rPr>
          <w:rtl/>
        </w:rPr>
        <w:t xml:space="preserve">, </w:t>
      </w:r>
      <w:r w:rsidRPr="00C52B9A">
        <w:rPr>
          <w:rFonts w:hint="eastAsia"/>
          <w:rtl/>
        </w:rPr>
        <w:t>בתוקף</w:t>
      </w:r>
      <w:r w:rsidRPr="00C52B9A">
        <w:rPr>
          <w:rtl/>
        </w:rPr>
        <w:t xml:space="preserve"> </w:t>
      </w:r>
      <w:r w:rsidRPr="00C52B9A">
        <w:rPr>
          <w:rFonts w:hint="eastAsia"/>
          <w:rtl/>
        </w:rPr>
        <w:t>צו</w:t>
      </w:r>
      <w:r w:rsidRPr="00C52B9A">
        <w:rPr>
          <w:rtl/>
        </w:rPr>
        <w:t xml:space="preserve"> </w:t>
      </w:r>
      <w:r w:rsidRPr="00C52B9A">
        <w:rPr>
          <w:rFonts w:hint="eastAsia"/>
          <w:rtl/>
        </w:rPr>
        <w:t>שהוצא</w:t>
      </w:r>
      <w:r w:rsidRPr="00C52B9A">
        <w:rPr>
          <w:rtl/>
        </w:rPr>
        <w:t xml:space="preserve"> </w:t>
      </w:r>
      <w:r w:rsidRPr="00C52B9A">
        <w:rPr>
          <w:rFonts w:hint="eastAsia"/>
          <w:rtl/>
        </w:rPr>
        <w:t>לפי</w:t>
      </w:r>
      <w:r w:rsidRPr="00C52B9A">
        <w:rPr>
          <w:rtl/>
        </w:rPr>
        <w:t xml:space="preserve"> </w:t>
      </w:r>
      <w:r w:rsidRPr="00C52B9A">
        <w:rPr>
          <w:rFonts w:hint="eastAsia"/>
          <w:rtl/>
        </w:rPr>
        <w:t>סעיף</w:t>
      </w:r>
      <w:r w:rsidRPr="00C52B9A">
        <w:rPr>
          <w:rtl/>
        </w:rPr>
        <w:t xml:space="preserve"> 11</w:t>
      </w:r>
      <w:r w:rsidRPr="00C52B9A">
        <w:rPr>
          <w:rFonts w:hint="eastAsia"/>
          <w:rtl/>
        </w:rPr>
        <w:t>ב</w:t>
      </w:r>
      <w:r w:rsidRPr="00C52B9A">
        <w:rPr>
          <w:rtl/>
        </w:rPr>
        <w:t xml:space="preserve"> </w:t>
      </w:r>
      <w:r w:rsidRPr="00C52B9A">
        <w:rPr>
          <w:rFonts w:hint="eastAsia"/>
          <w:rtl/>
        </w:rPr>
        <w:t>לפקודת</w:t>
      </w:r>
      <w:r w:rsidRPr="00C52B9A">
        <w:rPr>
          <w:rtl/>
        </w:rPr>
        <w:t xml:space="preserve"> </w:t>
      </w:r>
      <w:r w:rsidRPr="00C52B9A">
        <w:rPr>
          <w:rFonts w:hint="eastAsia"/>
          <w:rtl/>
        </w:rPr>
        <w:t>סדרי</w:t>
      </w:r>
      <w:r w:rsidRPr="00C52B9A">
        <w:rPr>
          <w:rtl/>
        </w:rPr>
        <w:t xml:space="preserve"> </w:t>
      </w:r>
      <w:r w:rsidRPr="00C52B9A">
        <w:rPr>
          <w:rFonts w:hint="eastAsia"/>
          <w:rtl/>
        </w:rPr>
        <w:t>השלטון</w:t>
      </w:r>
      <w:r w:rsidRPr="00C52B9A">
        <w:rPr>
          <w:rtl/>
        </w:rPr>
        <w:t xml:space="preserve"> </w:t>
      </w:r>
      <w:r w:rsidRPr="00C52B9A">
        <w:rPr>
          <w:rFonts w:hint="eastAsia"/>
          <w:rtl/>
        </w:rPr>
        <w:t>והמשפט</w:t>
      </w:r>
      <w:r w:rsidRPr="00C52B9A">
        <w:rPr>
          <w:rtl/>
        </w:rPr>
        <w:t xml:space="preserve">, </w:t>
      </w:r>
      <w:r w:rsidRPr="00C52B9A">
        <w:rPr>
          <w:rFonts w:hint="eastAsia"/>
          <w:rtl/>
        </w:rPr>
        <w:t>התש</w:t>
      </w:r>
      <w:r w:rsidRPr="00C52B9A">
        <w:rPr>
          <w:rtl/>
        </w:rPr>
        <w:t>"</w:t>
      </w:r>
      <w:r w:rsidRPr="00C52B9A">
        <w:rPr>
          <w:rFonts w:hint="eastAsia"/>
          <w:rtl/>
        </w:rPr>
        <w:t>ח</w:t>
      </w:r>
      <w:r w:rsidRPr="00C52B9A">
        <w:rPr>
          <w:rtl/>
        </w:rPr>
        <w:t xml:space="preserve">-1948. </w:t>
      </w:r>
      <w:r w:rsidRPr="00C52B9A">
        <w:rPr>
          <w:rFonts w:hint="eastAsia"/>
          <w:rtl/>
        </w:rPr>
        <w:t>בהמשך</w:t>
      </w:r>
      <w:r w:rsidRPr="00C52B9A">
        <w:rPr>
          <w:rtl/>
        </w:rPr>
        <w:t xml:space="preserve"> </w:t>
      </w:r>
      <w:r w:rsidRPr="00C52B9A">
        <w:rPr>
          <w:rFonts w:hint="eastAsia"/>
          <w:rtl/>
        </w:rPr>
        <w:t>נחקק</w:t>
      </w:r>
      <w:r w:rsidRPr="00C52B9A">
        <w:rPr>
          <w:rtl/>
        </w:rPr>
        <w:t xml:space="preserve"> </w:t>
      </w:r>
      <w:r w:rsidRPr="00C52B9A">
        <w:rPr>
          <w:rFonts w:hint="eastAsia"/>
          <w:rtl/>
        </w:rPr>
        <w:t>חוק</w:t>
      </w:r>
      <w:r w:rsidRPr="00C52B9A">
        <w:rPr>
          <w:rtl/>
        </w:rPr>
        <w:t xml:space="preserve"> </w:t>
      </w:r>
      <w:r w:rsidRPr="00C52B9A">
        <w:rPr>
          <w:rFonts w:hint="eastAsia"/>
          <w:rtl/>
        </w:rPr>
        <w:t>הסדרי</w:t>
      </w:r>
      <w:r w:rsidRPr="00C52B9A">
        <w:rPr>
          <w:rtl/>
        </w:rPr>
        <w:t xml:space="preserve"> </w:t>
      </w:r>
      <w:r w:rsidRPr="00C52B9A">
        <w:rPr>
          <w:rFonts w:hint="eastAsia"/>
          <w:rtl/>
        </w:rPr>
        <w:t>משפט</w:t>
      </w:r>
      <w:r w:rsidRPr="00C52B9A">
        <w:rPr>
          <w:rtl/>
        </w:rPr>
        <w:t xml:space="preserve"> </w:t>
      </w:r>
      <w:r w:rsidRPr="00C52B9A">
        <w:rPr>
          <w:rFonts w:hint="eastAsia"/>
          <w:rtl/>
        </w:rPr>
        <w:t>ומינהל</w:t>
      </w:r>
      <w:r w:rsidRPr="00C52B9A">
        <w:rPr>
          <w:rtl/>
        </w:rPr>
        <w:t xml:space="preserve"> [</w:t>
      </w:r>
      <w:r w:rsidRPr="00C52B9A">
        <w:rPr>
          <w:rFonts w:hint="eastAsia"/>
          <w:rtl/>
        </w:rPr>
        <w:t>נוסח</w:t>
      </w:r>
      <w:r w:rsidRPr="00C52B9A">
        <w:rPr>
          <w:rtl/>
        </w:rPr>
        <w:t xml:space="preserve"> </w:t>
      </w:r>
      <w:r w:rsidRPr="00C52B9A">
        <w:rPr>
          <w:rFonts w:hint="eastAsia"/>
          <w:rtl/>
        </w:rPr>
        <w:t>משולב</w:t>
      </w:r>
      <w:r w:rsidRPr="00C52B9A">
        <w:rPr>
          <w:rtl/>
        </w:rPr>
        <w:t xml:space="preserve">], </w:t>
      </w:r>
      <w:r w:rsidRPr="00C52B9A">
        <w:rPr>
          <w:rFonts w:hint="eastAsia"/>
          <w:rtl/>
        </w:rPr>
        <w:t>התש</w:t>
      </w:r>
      <w:r w:rsidRPr="00C52B9A">
        <w:rPr>
          <w:rtl/>
        </w:rPr>
        <w:t>"</w:t>
      </w:r>
      <w:r w:rsidRPr="00C52B9A">
        <w:rPr>
          <w:rFonts w:hint="eastAsia"/>
          <w:rtl/>
        </w:rPr>
        <w:t>ל</w:t>
      </w:r>
      <w:r w:rsidRPr="00C52B9A">
        <w:rPr>
          <w:rtl/>
        </w:rPr>
        <w:t>-1970 (</w:t>
      </w:r>
      <w:r w:rsidRPr="00C52B9A">
        <w:rPr>
          <w:rFonts w:hint="eastAsia"/>
          <w:rtl/>
        </w:rPr>
        <w:t>להלן</w:t>
      </w:r>
      <w:r w:rsidRPr="00C52B9A">
        <w:rPr>
          <w:rtl/>
        </w:rPr>
        <w:t xml:space="preserve">: </w:t>
      </w:r>
      <w:r w:rsidRPr="00C52B9A">
        <w:rPr>
          <w:rFonts w:ascii="Century" w:hAnsi="Century" w:cs="Miriam" w:hint="eastAsia"/>
          <w:b/>
          <w:spacing w:val="0"/>
          <w:szCs w:val="24"/>
          <w:rtl/>
        </w:rPr>
        <w:t>חוק</w:t>
      </w:r>
      <w:r w:rsidRPr="00C52B9A">
        <w:rPr>
          <w:rFonts w:ascii="Century" w:hAnsi="Century" w:cs="Miriam"/>
          <w:b/>
          <w:spacing w:val="0"/>
          <w:szCs w:val="24"/>
          <w:rtl/>
        </w:rPr>
        <w:t xml:space="preserve"> </w:t>
      </w:r>
      <w:r w:rsidRPr="00C52B9A">
        <w:rPr>
          <w:rFonts w:ascii="Century" w:hAnsi="Century" w:cs="Miriam" w:hint="eastAsia"/>
          <w:b/>
          <w:spacing w:val="0"/>
          <w:szCs w:val="24"/>
          <w:rtl/>
        </w:rPr>
        <w:t>הסדרי</w:t>
      </w:r>
      <w:r w:rsidRPr="00C52B9A">
        <w:rPr>
          <w:rFonts w:ascii="Century" w:hAnsi="Century" w:cs="Miriam"/>
          <w:b/>
          <w:spacing w:val="0"/>
          <w:szCs w:val="24"/>
          <w:rtl/>
        </w:rPr>
        <w:t xml:space="preserve"> </w:t>
      </w:r>
      <w:r w:rsidRPr="00C52B9A">
        <w:rPr>
          <w:rFonts w:ascii="Century" w:hAnsi="Century" w:cs="Miriam" w:hint="eastAsia"/>
          <w:b/>
          <w:spacing w:val="0"/>
          <w:szCs w:val="24"/>
          <w:rtl/>
        </w:rPr>
        <w:t>משפט</w:t>
      </w:r>
      <w:r w:rsidRPr="00C52B9A">
        <w:rPr>
          <w:rtl/>
        </w:rPr>
        <w:t xml:space="preserve">), </w:t>
      </w:r>
      <w:r w:rsidRPr="00C52B9A">
        <w:rPr>
          <w:rFonts w:hint="eastAsia"/>
          <w:rtl/>
        </w:rPr>
        <w:t>אשר</w:t>
      </w:r>
      <w:r w:rsidRPr="00C52B9A">
        <w:rPr>
          <w:rtl/>
        </w:rPr>
        <w:t xml:space="preserve"> </w:t>
      </w:r>
      <w:r w:rsidRPr="00C52B9A">
        <w:rPr>
          <w:rFonts w:hint="eastAsia"/>
          <w:rtl/>
        </w:rPr>
        <w:t>קבע</w:t>
      </w:r>
      <w:r w:rsidRPr="00C52B9A">
        <w:rPr>
          <w:rtl/>
        </w:rPr>
        <w:t xml:space="preserve"> </w:t>
      </w:r>
      <w:r w:rsidRPr="00C52B9A">
        <w:rPr>
          <w:rFonts w:hint="eastAsia"/>
          <w:rtl/>
        </w:rPr>
        <w:t>בסעיף</w:t>
      </w:r>
      <w:r w:rsidRPr="00C52B9A">
        <w:rPr>
          <w:rtl/>
        </w:rPr>
        <w:t xml:space="preserve"> 5 </w:t>
      </w:r>
      <w:r w:rsidRPr="00C52B9A">
        <w:rPr>
          <w:rFonts w:hint="eastAsia"/>
          <w:rtl/>
        </w:rPr>
        <w:t>לו</w:t>
      </w:r>
      <w:r w:rsidRPr="00C52B9A">
        <w:rPr>
          <w:rtl/>
        </w:rPr>
        <w:t xml:space="preserve"> </w:t>
      </w:r>
      <w:r w:rsidRPr="00C52B9A">
        <w:rPr>
          <w:rFonts w:hint="eastAsia"/>
          <w:rtl/>
        </w:rPr>
        <w:t>כי</w:t>
      </w:r>
      <w:r w:rsidRPr="00C52B9A">
        <w:rPr>
          <w:rtl/>
        </w:rPr>
        <w:t xml:space="preserve"> </w:t>
      </w:r>
      <w:r w:rsidRPr="00C52B9A">
        <w:rPr>
          <w:rFonts w:hint="eastAsia"/>
          <w:rtl/>
        </w:rPr>
        <w:t>אותם</w:t>
      </w:r>
      <w:r w:rsidRPr="00C52B9A">
        <w:rPr>
          <w:rtl/>
        </w:rPr>
        <w:t xml:space="preserve"> </w:t>
      </w:r>
      <w:r w:rsidRPr="00C52B9A">
        <w:rPr>
          <w:rFonts w:hint="eastAsia"/>
          <w:rtl/>
        </w:rPr>
        <w:t>נכסים</w:t>
      </w:r>
      <w:r w:rsidRPr="00C52B9A">
        <w:rPr>
          <w:rtl/>
        </w:rPr>
        <w:t xml:space="preserve"> </w:t>
      </w:r>
      <w:r w:rsidRPr="00C52B9A">
        <w:rPr>
          <w:rFonts w:hint="eastAsia"/>
          <w:rtl/>
        </w:rPr>
        <w:t>שהוקנו</w:t>
      </w:r>
      <w:r w:rsidRPr="00C52B9A">
        <w:rPr>
          <w:rtl/>
        </w:rPr>
        <w:t xml:space="preserve"> </w:t>
      </w:r>
      <w:r w:rsidRPr="00C52B9A">
        <w:rPr>
          <w:rFonts w:hint="eastAsia"/>
          <w:rtl/>
        </w:rPr>
        <w:t>לממונה</w:t>
      </w:r>
      <w:r w:rsidRPr="00C52B9A">
        <w:rPr>
          <w:rtl/>
        </w:rPr>
        <w:t xml:space="preserve"> </w:t>
      </w:r>
      <w:r w:rsidRPr="00C52B9A">
        <w:rPr>
          <w:rFonts w:hint="eastAsia"/>
          <w:rtl/>
        </w:rPr>
        <w:t>הירדני</w:t>
      </w:r>
      <w:r w:rsidRPr="00C52B9A">
        <w:rPr>
          <w:rtl/>
        </w:rPr>
        <w:t xml:space="preserve"> </w:t>
      </w:r>
      <w:r w:rsidRPr="00C52B9A">
        <w:rPr>
          <w:rFonts w:hint="eastAsia"/>
          <w:rtl/>
        </w:rPr>
        <w:t>על</w:t>
      </w:r>
      <w:r w:rsidRPr="00C52B9A">
        <w:rPr>
          <w:rtl/>
        </w:rPr>
        <w:t xml:space="preserve"> </w:t>
      </w:r>
      <w:r w:rsidRPr="00C52B9A">
        <w:rPr>
          <w:rFonts w:hint="eastAsia"/>
          <w:rtl/>
        </w:rPr>
        <w:t>רכוש</w:t>
      </w:r>
      <w:r w:rsidRPr="00C52B9A">
        <w:rPr>
          <w:rtl/>
        </w:rPr>
        <w:t xml:space="preserve"> </w:t>
      </w:r>
      <w:r w:rsidRPr="00C52B9A">
        <w:rPr>
          <w:rFonts w:hint="eastAsia"/>
          <w:rtl/>
        </w:rPr>
        <w:t>האויב</w:t>
      </w:r>
      <w:r w:rsidRPr="00C52B9A">
        <w:rPr>
          <w:rtl/>
        </w:rPr>
        <w:t xml:space="preserve"> </w:t>
      </w:r>
      <w:r w:rsidRPr="00C52B9A">
        <w:rPr>
          <w:rFonts w:hint="eastAsia"/>
          <w:rtl/>
        </w:rPr>
        <w:t>יועברו</w:t>
      </w:r>
      <w:r w:rsidRPr="00C52B9A">
        <w:rPr>
          <w:rtl/>
        </w:rPr>
        <w:t xml:space="preserve"> </w:t>
      </w:r>
      <w:r w:rsidRPr="00C52B9A">
        <w:rPr>
          <w:rFonts w:hint="eastAsia"/>
          <w:rtl/>
        </w:rPr>
        <w:t>לניהולו</w:t>
      </w:r>
      <w:r w:rsidRPr="00C52B9A">
        <w:rPr>
          <w:rtl/>
        </w:rPr>
        <w:t xml:space="preserve"> </w:t>
      </w:r>
      <w:r w:rsidRPr="00C52B9A">
        <w:rPr>
          <w:rFonts w:hint="eastAsia"/>
          <w:rtl/>
        </w:rPr>
        <w:t>של</w:t>
      </w:r>
      <w:r w:rsidRPr="00C52B9A">
        <w:rPr>
          <w:rtl/>
        </w:rPr>
        <w:t xml:space="preserve"> </w:t>
      </w:r>
      <w:r w:rsidRPr="00C52B9A">
        <w:rPr>
          <w:rFonts w:hint="eastAsia"/>
          <w:rtl/>
        </w:rPr>
        <w:t>האפוטרופוס</w:t>
      </w:r>
      <w:r w:rsidRPr="00C52B9A">
        <w:rPr>
          <w:rtl/>
        </w:rPr>
        <w:t xml:space="preserve"> </w:t>
      </w:r>
      <w:r w:rsidRPr="00C52B9A">
        <w:rPr>
          <w:rFonts w:hint="eastAsia"/>
          <w:rtl/>
        </w:rPr>
        <w:t>הכללי</w:t>
      </w:r>
      <w:r w:rsidRPr="00C52B9A">
        <w:rPr>
          <w:rtl/>
        </w:rPr>
        <w:t xml:space="preserve">, </w:t>
      </w:r>
      <w:r w:rsidRPr="00C52B9A">
        <w:rPr>
          <w:rFonts w:hint="eastAsia"/>
          <w:rtl/>
        </w:rPr>
        <w:t>בהתאם</w:t>
      </w:r>
      <w:r w:rsidRPr="00C52B9A">
        <w:rPr>
          <w:rtl/>
        </w:rPr>
        <w:t xml:space="preserve"> </w:t>
      </w:r>
      <w:r w:rsidRPr="00C52B9A">
        <w:rPr>
          <w:rFonts w:hint="eastAsia"/>
          <w:rtl/>
        </w:rPr>
        <w:t>לסמכויותיו</w:t>
      </w:r>
      <w:r w:rsidRPr="00C52B9A">
        <w:rPr>
          <w:rtl/>
        </w:rPr>
        <w:t xml:space="preserve"> </w:t>
      </w:r>
      <w:r w:rsidRPr="00C52B9A">
        <w:rPr>
          <w:rFonts w:hint="eastAsia"/>
          <w:rtl/>
        </w:rPr>
        <w:t>המוגדרות</w:t>
      </w:r>
      <w:r w:rsidRPr="00C52B9A">
        <w:rPr>
          <w:rtl/>
        </w:rPr>
        <w:t xml:space="preserve"> </w:t>
      </w:r>
      <w:r w:rsidRPr="00C52B9A">
        <w:rPr>
          <w:rFonts w:hint="eastAsia"/>
          <w:rtl/>
        </w:rPr>
        <w:t>בסעיף</w:t>
      </w:r>
      <w:r w:rsidRPr="00C52B9A">
        <w:rPr>
          <w:rtl/>
        </w:rPr>
        <w:t xml:space="preserve"> 2(</w:t>
      </w:r>
      <w:r w:rsidRPr="00C52B9A">
        <w:rPr>
          <w:rFonts w:hint="eastAsia"/>
          <w:rtl/>
        </w:rPr>
        <w:t>ב</w:t>
      </w:r>
      <w:r w:rsidRPr="00C52B9A">
        <w:rPr>
          <w:rtl/>
        </w:rPr>
        <w:t xml:space="preserve">) </w:t>
      </w:r>
      <w:r w:rsidRPr="00C52B9A">
        <w:rPr>
          <w:rFonts w:hint="eastAsia"/>
          <w:rtl/>
        </w:rPr>
        <w:t>לחוק</w:t>
      </w:r>
      <w:r w:rsidRPr="00C52B9A">
        <w:rPr>
          <w:rtl/>
        </w:rPr>
        <w:t xml:space="preserve"> </w:t>
      </w:r>
      <w:r w:rsidRPr="00C52B9A">
        <w:rPr>
          <w:rFonts w:hint="eastAsia"/>
          <w:rtl/>
        </w:rPr>
        <w:t>האפוטרופוס</w:t>
      </w:r>
      <w:r w:rsidRPr="00C52B9A">
        <w:rPr>
          <w:rtl/>
        </w:rPr>
        <w:t xml:space="preserve"> </w:t>
      </w:r>
      <w:r w:rsidRPr="00C52B9A">
        <w:rPr>
          <w:rFonts w:hint="eastAsia"/>
          <w:rtl/>
        </w:rPr>
        <w:t>הכללי</w:t>
      </w:r>
      <w:r w:rsidRPr="00C52B9A">
        <w:rPr>
          <w:rtl/>
        </w:rPr>
        <w:t xml:space="preserve">, </w:t>
      </w:r>
      <w:r w:rsidRPr="00C52B9A">
        <w:rPr>
          <w:rFonts w:hint="eastAsia"/>
          <w:rtl/>
        </w:rPr>
        <w:t>התשל</w:t>
      </w:r>
      <w:r w:rsidRPr="00C52B9A">
        <w:rPr>
          <w:rtl/>
        </w:rPr>
        <w:t>"</w:t>
      </w:r>
      <w:r w:rsidRPr="00C52B9A">
        <w:rPr>
          <w:rFonts w:hint="eastAsia"/>
          <w:rtl/>
        </w:rPr>
        <w:t>ח</w:t>
      </w:r>
      <w:r w:rsidRPr="00C52B9A">
        <w:rPr>
          <w:rtl/>
        </w:rPr>
        <w:t>-1978 (</w:t>
      </w:r>
      <w:r w:rsidRPr="00C52B9A">
        <w:rPr>
          <w:rFonts w:hint="eastAsia"/>
          <w:rtl/>
        </w:rPr>
        <w:t>להלן</w:t>
      </w:r>
      <w:r w:rsidRPr="00C52B9A">
        <w:rPr>
          <w:rtl/>
        </w:rPr>
        <w:t xml:space="preserve">: </w:t>
      </w:r>
      <w:r w:rsidRPr="00C52B9A">
        <w:rPr>
          <w:rFonts w:ascii="Century" w:hAnsi="Century" w:cs="Miriam" w:hint="eastAsia"/>
          <w:b/>
          <w:spacing w:val="0"/>
          <w:szCs w:val="24"/>
          <w:rtl/>
        </w:rPr>
        <w:t>חוק</w:t>
      </w:r>
      <w:r w:rsidRPr="00C52B9A">
        <w:rPr>
          <w:rFonts w:ascii="Century" w:hAnsi="Century" w:cs="Miriam"/>
          <w:b/>
          <w:spacing w:val="0"/>
          <w:szCs w:val="24"/>
          <w:rtl/>
        </w:rPr>
        <w:t xml:space="preserve"> </w:t>
      </w:r>
      <w:r w:rsidRPr="00C52B9A">
        <w:rPr>
          <w:rFonts w:ascii="Century" w:hAnsi="Century" w:cs="Miriam" w:hint="eastAsia"/>
          <w:b/>
          <w:spacing w:val="0"/>
          <w:szCs w:val="24"/>
          <w:rtl/>
        </w:rPr>
        <w:t>האפוטרופוס</w:t>
      </w:r>
      <w:r w:rsidRPr="00C52B9A">
        <w:rPr>
          <w:rFonts w:ascii="Century" w:hAnsi="Century" w:cs="Miriam"/>
          <w:b/>
          <w:spacing w:val="0"/>
          <w:szCs w:val="24"/>
          <w:rtl/>
        </w:rPr>
        <w:t xml:space="preserve"> </w:t>
      </w:r>
      <w:r w:rsidRPr="00C52B9A">
        <w:rPr>
          <w:rFonts w:ascii="Century" w:hAnsi="Century" w:cs="Miriam" w:hint="eastAsia"/>
          <w:b/>
          <w:spacing w:val="0"/>
          <w:szCs w:val="24"/>
          <w:rtl/>
        </w:rPr>
        <w:t>הכללי</w:t>
      </w:r>
      <w:r w:rsidRPr="00C52B9A">
        <w:rPr>
          <w:rtl/>
        </w:rPr>
        <w:t>).</w:t>
      </w:r>
    </w:p>
    <w:p w:rsidR="00761030" w:rsidRDefault="00761030" w:rsidP="00761030">
      <w:pPr>
        <w:pStyle w:val="Ruller41"/>
        <w:rPr>
          <w:rtl/>
        </w:rPr>
      </w:pPr>
    </w:p>
    <w:p w:rsidR="00761030" w:rsidRDefault="00761030" w:rsidP="00761030">
      <w:pPr>
        <w:pStyle w:val="Ruller41"/>
        <w:rPr>
          <w:color w:val="000000"/>
          <w:sz w:val="28"/>
          <w:rtl/>
        </w:rPr>
      </w:pPr>
      <w:r>
        <w:rPr>
          <w:rFonts w:hint="cs"/>
          <w:rtl/>
        </w:rPr>
        <w:t xml:space="preserve">6. </w:t>
      </w:r>
      <w:r>
        <w:rPr>
          <w:rtl/>
        </w:rPr>
        <w:tab/>
      </w:r>
      <w:r>
        <w:rPr>
          <w:rFonts w:hint="eastAsia"/>
          <w:rtl/>
        </w:rPr>
        <w:t>ביום</w:t>
      </w:r>
      <w:r>
        <w:rPr>
          <w:rtl/>
        </w:rPr>
        <w:t xml:space="preserve"> 15.11.2001 </w:t>
      </w:r>
      <w:r>
        <w:rPr>
          <w:rFonts w:hint="eastAsia"/>
          <w:rtl/>
        </w:rPr>
        <w:t>נתן</w:t>
      </w:r>
      <w:r>
        <w:rPr>
          <w:rtl/>
        </w:rPr>
        <w:t xml:space="preserve"> </w:t>
      </w:r>
      <w:r>
        <w:rPr>
          <w:rFonts w:hint="eastAsia"/>
          <w:rtl/>
        </w:rPr>
        <w:t>בית</w:t>
      </w:r>
      <w:r>
        <w:rPr>
          <w:rtl/>
        </w:rPr>
        <w:t xml:space="preserve"> </w:t>
      </w:r>
      <w:r>
        <w:rPr>
          <w:rFonts w:hint="eastAsia"/>
          <w:rtl/>
        </w:rPr>
        <w:t>המשפט</w:t>
      </w:r>
      <w:r>
        <w:rPr>
          <w:rtl/>
        </w:rPr>
        <w:t xml:space="preserve"> </w:t>
      </w:r>
      <w:r>
        <w:rPr>
          <w:rFonts w:hint="eastAsia"/>
          <w:rtl/>
        </w:rPr>
        <w:t>המחוזי</w:t>
      </w:r>
      <w:r>
        <w:rPr>
          <w:rFonts w:hint="cs"/>
          <w:rtl/>
        </w:rPr>
        <w:t xml:space="preserve"> בירושלים</w:t>
      </w:r>
      <w:r>
        <w:rPr>
          <w:rtl/>
        </w:rPr>
        <w:t xml:space="preserve"> </w:t>
      </w:r>
      <w:r>
        <w:rPr>
          <w:rFonts w:hint="eastAsia"/>
          <w:rtl/>
        </w:rPr>
        <w:t>החלטה</w:t>
      </w:r>
      <w:r>
        <w:rPr>
          <w:rtl/>
        </w:rPr>
        <w:t xml:space="preserve"> </w:t>
      </w:r>
      <w:r>
        <w:rPr>
          <w:rFonts w:hint="eastAsia"/>
          <w:rtl/>
        </w:rPr>
        <w:t>בדבר</w:t>
      </w:r>
      <w:r>
        <w:rPr>
          <w:rtl/>
        </w:rPr>
        <w:t xml:space="preserve"> </w:t>
      </w:r>
      <w:r>
        <w:rPr>
          <w:rFonts w:hint="eastAsia"/>
          <w:rtl/>
        </w:rPr>
        <w:t>מינוי</w:t>
      </w:r>
      <w:r>
        <w:rPr>
          <w:rtl/>
        </w:rPr>
        <w:t xml:space="preserve"> </w:t>
      </w:r>
      <w:r>
        <w:rPr>
          <w:rFonts w:hint="cs"/>
          <w:rtl/>
        </w:rPr>
        <w:t>המשיבים כנאמנים חדשים להקדש</w:t>
      </w:r>
      <w:r>
        <w:rPr>
          <w:rtl/>
        </w:rPr>
        <w:t xml:space="preserve"> (</w:t>
      </w:r>
      <w:r>
        <w:rPr>
          <w:rFonts w:hint="eastAsia"/>
          <w:rtl/>
        </w:rPr>
        <w:t>ה</w:t>
      </w:r>
      <w:r>
        <w:rPr>
          <w:rtl/>
        </w:rPr>
        <w:t>"</w:t>
      </w:r>
      <w:r>
        <w:rPr>
          <w:rFonts w:hint="eastAsia"/>
          <w:rtl/>
        </w:rPr>
        <w:t>פ</w:t>
      </w:r>
      <w:r>
        <w:rPr>
          <w:rtl/>
        </w:rPr>
        <w:t xml:space="preserve"> 750/01 </w:t>
      </w:r>
      <w:r w:rsidRPr="00743F54">
        <w:rPr>
          <w:rFonts w:ascii="Century" w:hAnsi="Century" w:cs="Miriam" w:hint="eastAsia"/>
          <w:b/>
          <w:spacing w:val="0"/>
          <w:szCs w:val="24"/>
          <w:rtl/>
        </w:rPr>
        <w:t>הרב</w:t>
      </w:r>
      <w:r w:rsidRPr="00743F54">
        <w:rPr>
          <w:rFonts w:ascii="Century" w:hAnsi="Century" w:cs="Miriam"/>
          <w:b/>
          <w:spacing w:val="0"/>
          <w:szCs w:val="24"/>
          <w:rtl/>
        </w:rPr>
        <w:t xml:space="preserve"> </w:t>
      </w:r>
      <w:r w:rsidRPr="00743F54">
        <w:rPr>
          <w:rFonts w:ascii="Century" w:hAnsi="Century" w:cs="Miriam" w:hint="eastAsia"/>
          <w:b/>
          <w:spacing w:val="0"/>
          <w:szCs w:val="24"/>
          <w:rtl/>
        </w:rPr>
        <w:t>שלום</w:t>
      </w:r>
      <w:r w:rsidRPr="00743F54">
        <w:rPr>
          <w:rFonts w:ascii="Century" w:hAnsi="Century" w:cs="Miriam"/>
          <w:b/>
          <w:spacing w:val="0"/>
          <w:szCs w:val="24"/>
          <w:rtl/>
        </w:rPr>
        <w:t xml:space="preserve"> </w:t>
      </w:r>
      <w:r w:rsidRPr="00743F54">
        <w:rPr>
          <w:rFonts w:ascii="Century" w:hAnsi="Century" w:cs="Miriam" w:hint="eastAsia"/>
          <w:b/>
          <w:spacing w:val="0"/>
          <w:szCs w:val="24"/>
          <w:rtl/>
        </w:rPr>
        <w:t>משאש</w:t>
      </w:r>
      <w:r w:rsidRPr="00743F54">
        <w:rPr>
          <w:rFonts w:ascii="Century" w:hAnsi="Century" w:cs="Miriam"/>
          <w:b/>
          <w:spacing w:val="0"/>
          <w:szCs w:val="24"/>
          <w:rtl/>
        </w:rPr>
        <w:t xml:space="preserve"> </w:t>
      </w:r>
      <w:r w:rsidRPr="00743F54">
        <w:rPr>
          <w:rFonts w:ascii="Century" w:hAnsi="Century" w:cs="Miriam" w:hint="eastAsia"/>
          <w:b/>
          <w:spacing w:val="0"/>
          <w:szCs w:val="24"/>
          <w:rtl/>
        </w:rPr>
        <w:t>נ</w:t>
      </w:r>
      <w:r w:rsidRPr="00743F54">
        <w:rPr>
          <w:rFonts w:ascii="Century" w:hAnsi="Century" w:cs="Miriam"/>
          <w:b/>
          <w:spacing w:val="0"/>
          <w:szCs w:val="24"/>
          <w:rtl/>
        </w:rPr>
        <w:t xml:space="preserve">' </w:t>
      </w:r>
      <w:r w:rsidRPr="00743F54">
        <w:rPr>
          <w:rFonts w:ascii="Century" w:hAnsi="Century" w:cs="Miriam" w:hint="eastAsia"/>
          <w:b/>
          <w:spacing w:val="0"/>
          <w:szCs w:val="24"/>
          <w:rtl/>
        </w:rPr>
        <w:t>רשם</w:t>
      </w:r>
      <w:r w:rsidRPr="00743F54">
        <w:rPr>
          <w:rFonts w:ascii="Century" w:hAnsi="Century" w:cs="Miriam"/>
          <w:b/>
          <w:spacing w:val="0"/>
          <w:szCs w:val="24"/>
          <w:rtl/>
        </w:rPr>
        <w:t xml:space="preserve"> </w:t>
      </w:r>
      <w:r w:rsidRPr="00743F54">
        <w:rPr>
          <w:rFonts w:ascii="Century" w:hAnsi="Century" w:cs="Miriam" w:hint="eastAsia"/>
          <w:b/>
          <w:spacing w:val="0"/>
          <w:szCs w:val="24"/>
          <w:rtl/>
        </w:rPr>
        <w:t>ההקדשות</w:t>
      </w:r>
      <w:r w:rsidRPr="00743F54">
        <w:rPr>
          <w:rtl/>
        </w:rPr>
        <w:t xml:space="preserve"> </w:t>
      </w:r>
      <w:r>
        <w:rPr>
          <w:rtl/>
        </w:rPr>
        <w:t>(15.11.2001)).</w:t>
      </w:r>
      <w:r>
        <w:rPr>
          <w:rFonts w:hint="cs"/>
          <w:rtl/>
        </w:rPr>
        <w:t xml:space="preserve"> </w:t>
      </w:r>
      <w:r>
        <w:rPr>
          <w:rFonts w:hint="cs"/>
          <w:color w:val="000000"/>
          <w:sz w:val="28"/>
          <w:rtl/>
        </w:rPr>
        <w:t xml:space="preserve">בהמשך, ההקדש נרשם ביום 28.3.2004 בפנקס ההקדשות הציבוריים, תוך שנכתב כי הוא נועד "לטובת העניים של העדה היהודית בירושלים הספרדים והאשכנזים בחלקים שווים". </w:t>
      </w:r>
    </w:p>
    <w:p w:rsidR="00761030" w:rsidRDefault="00761030" w:rsidP="00761030">
      <w:pPr>
        <w:pStyle w:val="Ruller41"/>
        <w:rPr>
          <w:color w:val="000000"/>
          <w:sz w:val="28"/>
          <w:rtl/>
        </w:rPr>
      </w:pPr>
    </w:p>
    <w:p w:rsidR="00761030" w:rsidRDefault="00761030" w:rsidP="00761030">
      <w:pPr>
        <w:pStyle w:val="Ruller41"/>
        <w:rPr>
          <w:color w:val="000000"/>
          <w:sz w:val="28"/>
          <w:rtl/>
        </w:rPr>
      </w:pPr>
      <w:r>
        <w:rPr>
          <w:rFonts w:hint="cs"/>
          <w:color w:val="000000"/>
          <w:sz w:val="28"/>
          <w:rtl/>
        </w:rPr>
        <w:t xml:space="preserve">7. </w:t>
      </w:r>
      <w:r>
        <w:rPr>
          <w:color w:val="000000"/>
          <w:sz w:val="28"/>
          <w:rtl/>
        </w:rPr>
        <w:tab/>
      </w:r>
      <w:r>
        <w:rPr>
          <w:rFonts w:hint="cs"/>
          <w:color w:val="000000"/>
          <w:sz w:val="28"/>
          <w:rtl/>
        </w:rPr>
        <w:t>בין לבין, בסמוך למועד שבו התמנו נאמני ההקדש לתפקידם, הם פנו לאפוטרופוס הכללי וביקשו את שחרור המקרקעין לידיהם מכוח סעיף 5(ב) לחוק הסדרי משפט, הקובע כך:</w:t>
      </w:r>
    </w:p>
    <w:p w:rsidR="00761030" w:rsidRDefault="00761030" w:rsidP="00761030">
      <w:pPr>
        <w:pStyle w:val="Ruller5"/>
        <w:spacing w:before="240"/>
        <w:rPr>
          <w:rtl/>
        </w:rPr>
      </w:pPr>
      <w:r>
        <w:rPr>
          <w:rtl/>
        </w:rPr>
        <w:t>"</w:t>
      </w:r>
      <w:r>
        <w:rPr>
          <w:rFonts w:hint="eastAsia"/>
          <w:rtl/>
        </w:rPr>
        <w:t>האפוטרופוס</w:t>
      </w:r>
      <w:r>
        <w:rPr>
          <w:rtl/>
        </w:rPr>
        <w:t xml:space="preserve"> </w:t>
      </w:r>
      <w:r>
        <w:rPr>
          <w:rFonts w:hint="eastAsia"/>
          <w:rtl/>
        </w:rPr>
        <w:t>הכללי</w:t>
      </w:r>
      <w:r>
        <w:rPr>
          <w:rtl/>
        </w:rPr>
        <w:t xml:space="preserve"> </w:t>
      </w:r>
      <w:r>
        <w:rPr>
          <w:rFonts w:hint="eastAsia"/>
          <w:rtl/>
        </w:rPr>
        <w:t>ישחרר</w:t>
      </w:r>
      <w:r>
        <w:rPr>
          <w:rtl/>
        </w:rPr>
        <w:t xml:space="preserve">, </w:t>
      </w:r>
      <w:r>
        <w:rPr>
          <w:rFonts w:hint="eastAsia"/>
          <w:rtl/>
        </w:rPr>
        <w:t>בתעודה</w:t>
      </w:r>
      <w:r>
        <w:rPr>
          <w:rtl/>
        </w:rPr>
        <w:t xml:space="preserve"> </w:t>
      </w:r>
      <w:r>
        <w:rPr>
          <w:rFonts w:hint="eastAsia"/>
          <w:rtl/>
        </w:rPr>
        <w:t>חתומה</w:t>
      </w:r>
      <w:r>
        <w:rPr>
          <w:rtl/>
        </w:rPr>
        <w:t xml:space="preserve"> </w:t>
      </w:r>
      <w:r>
        <w:rPr>
          <w:rFonts w:hint="eastAsia"/>
          <w:rtl/>
        </w:rPr>
        <w:t>בידו</w:t>
      </w:r>
      <w:r>
        <w:rPr>
          <w:rtl/>
        </w:rPr>
        <w:t xml:space="preserve">, </w:t>
      </w:r>
      <w:r>
        <w:rPr>
          <w:rFonts w:hint="eastAsia"/>
          <w:rtl/>
        </w:rPr>
        <w:t>את</w:t>
      </w:r>
      <w:r>
        <w:rPr>
          <w:rtl/>
        </w:rPr>
        <w:t xml:space="preserve"> </w:t>
      </w:r>
      <w:r>
        <w:rPr>
          <w:rFonts w:hint="eastAsia"/>
          <w:rtl/>
        </w:rPr>
        <w:t>המקרקעין</w:t>
      </w:r>
      <w:r>
        <w:rPr>
          <w:rtl/>
        </w:rPr>
        <w:t xml:space="preserve"> </w:t>
      </w:r>
      <w:r>
        <w:rPr>
          <w:rFonts w:hint="eastAsia"/>
          <w:rtl/>
        </w:rPr>
        <w:t>למי</w:t>
      </w:r>
      <w:r>
        <w:rPr>
          <w:rtl/>
        </w:rPr>
        <w:t xml:space="preserve"> </w:t>
      </w:r>
      <w:r>
        <w:rPr>
          <w:rFonts w:hint="eastAsia"/>
          <w:rtl/>
        </w:rPr>
        <w:t>שהיה</w:t>
      </w:r>
      <w:r>
        <w:rPr>
          <w:rtl/>
        </w:rPr>
        <w:t xml:space="preserve"> </w:t>
      </w:r>
      <w:r>
        <w:rPr>
          <w:rFonts w:hint="eastAsia"/>
          <w:rtl/>
        </w:rPr>
        <w:t>בעלם</w:t>
      </w:r>
      <w:r>
        <w:rPr>
          <w:rtl/>
        </w:rPr>
        <w:t xml:space="preserve"> </w:t>
      </w:r>
      <w:r>
        <w:rPr>
          <w:rFonts w:hint="eastAsia"/>
          <w:rtl/>
        </w:rPr>
        <w:t>לפני</w:t>
      </w:r>
      <w:r>
        <w:rPr>
          <w:rtl/>
        </w:rPr>
        <w:t xml:space="preserve"> </w:t>
      </w:r>
      <w:r>
        <w:rPr>
          <w:rFonts w:hint="eastAsia"/>
          <w:rtl/>
        </w:rPr>
        <w:t>שהוקנו</w:t>
      </w:r>
      <w:r>
        <w:rPr>
          <w:rtl/>
        </w:rPr>
        <w:t xml:space="preserve"> </w:t>
      </w:r>
      <w:r>
        <w:rPr>
          <w:rFonts w:hint="eastAsia"/>
          <w:rtl/>
        </w:rPr>
        <w:t>לאדם</w:t>
      </w:r>
      <w:r>
        <w:rPr>
          <w:rtl/>
        </w:rPr>
        <w:t xml:space="preserve"> </w:t>
      </w:r>
      <w:r>
        <w:rPr>
          <w:rFonts w:hint="eastAsia"/>
          <w:rtl/>
        </w:rPr>
        <w:t>כאמור</w:t>
      </w:r>
      <w:r>
        <w:rPr>
          <w:rtl/>
        </w:rPr>
        <w:t xml:space="preserve"> </w:t>
      </w:r>
      <w:r>
        <w:rPr>
          <w:rFonts w:hint="eastAsia"/>
          <w:rtl/>
        </w:rPr>
        <w:t>בסעיף</w:t>
      </w:r>
      <w:r>
        <w:rPr>
          <w:rtl/>
        </w:rPr>
        <w:t xml:space="preserve"> </w:t>
      </w:r>
      <w:r>
        <w:rPr>
          <w:rFonts w:hint="eastAsia"/>
          <w:rtl/>
        </w:rPr>
        <w:t>קטן</w:t>
      </w:r>
      <w:r>
        <w:rPr>
          <w:rtl/>
        </w:rPr>
        <w:t xml:space="preserve"> (</w:t>
      </w:r>
      <w:r>
        <w:rPr>
          <w:rFonts w:hint="eastAsia"/>
          <w:rtl/>
        </w:rPr>
        <w:t>א</w:t>
      </w:r>
      <w:r>
        <w:rPr>
          <w:rtl/>
        </w:rPr>
        <w:t xml:space="preserve">) </w:t>
      </w:r>
      <w:r>
        <w:rPr>
          <w:rFonts w:hint="eastAsia"/>
          <w:rtl/>
        </w:rPr>
        <w:t>או</w:t>
      </w:r>
      <w:r>
        <w:rPr>
          <w:rtl/>
        </w:rPr>
        <w:t xml:space="preserve"> </w:t>
      </w:r>
      <w:r>
        <w:rPr>
          <w:rFonts w:hint="eastAsia"/>
          <w:rtl/>
        </w:rPr>
        <w:t>לפני</w:t>
      </w:r>
      <w:r>
        <w:rPr>
          <w:rtl/>
        </w:rPr>
        <w:t xml:space="preserve"> </w:t>
      </w:r>
      <w:r>
        <w:rPr>
          <w:rFonts w:hint="eastAsia"/>
          <w:rtl/>
        </w:rPr>
        <w:t>שאותו</w:t>
      </w:r>
      <w:r>
        <w:rPr>
          <w:rtl/>
        </w:rPr>
        <w:t xml:space="preserve"> </w:t>
      </w:r>
      <w:r>
        <w:rPr>
          <w:rFonts w:hint="eastAsia"/>
          <w:rtl/>
        </w:rPr>
        <w:t>אדם</w:t>
      </w:r>
      <w:r>
        <w:rPr>
          <w:rtl/>
        </w:rPr>
        <w:t xml:space="preserve"> </w:t>
      </w:r>
      <w:r>
        <w:rPr>
          <w:rFonts w:hint="eastAsia"/>
          <w:rtl/>
        </w:rPr>
        <w:t>התחיל</w:t>
      </w:r>
      <w:r>
        <w:rPr>
          <w:rtl/>
        </w:rPr>
        <w:t xml:space="preserve"> </w:t>
      </w:r>
      <w:r>
        <w:rPr>
          <w:rFonts w:hint="eastAsia"/>
          <w:rtl/>
        </w:rPr>
        <w:t>להחזיק</w:t>
      </w:r>
      <w:r>
        <w:rPr>
          <w:rtl/>
        </w:rPr>
        <w:t xml:space="preserve"> </w:t>
      </w:r>
      <w:r>
        <w:rPr>
          <w:rFonts w:hint="eastAsia"/>
          <w:rtl/>
        </w:rPr>
        <w:t>בהם</w:t>
      </w:r>
      <w:r>
        <w:rPr>
          <w:rtl/>
        </w:rPr>
        <w:t xml:space="preserve"> </w:t>
      </w:r>
      <w:r>
        <w:rPr>
          <w:rFonts w:hint="eastAsia"/>
          <w:rtl/>
        </w:rPr>
        <w:t>או</w:t>
      </w:r>
      <w:r>
        <w:rPr>
          <w:rtl/>
        </w:rPr>
        <w:t xml:space="preserve"> </w:t>
      </w:r>
      <w:r>
        <w:rPr>
          <w:rFonts w:hint="eastAsia"/>
          <w:rtl/>
        </w:rPr>
        <w:t>לנהלם</w:t>
      </w:r>
      <w:r>
        <w:rPr>
          <w:rtl/>
        </w:rPr>
        <w:t xml:space="preserve">, </w:t>
      </w:r>
      <w:r>
        <w:rPr>
          <w:rFonts w:hint="eastAsia"/>
          <w:rtl/>
        </w:rPr>
        <w:t>לפי</w:t>
      </w:r>
      <w:r>
        <w:rPr>
          <w:rtl/>
        </w:rPr>
        <w:t xml:space="preserve"> </w:t>
      </w:r>
      <w:r>
        <w:rPr>
          <w:rFonts w:hint="eastAsia"/>
          <w:rtl/>
        </w:rPr>
        <w:t>הענין</w:t>
      </w:r>
      <w:r>
        <w:rPr>
          <w:rtl/>
        </w:rPr>
        <w:t xml:space="preserve">, </w:t>
      </w:r>
      <w:r>
        <w:rPr>
          <w:rFonts w:hint="eastAsia"/>
          <w:rtl/>
        </w:rPr>
        <w:t>או</w:t>
      </w:r>
      <w:r>
        <w:rPr>
          <w:rtl/>
        </w:rPr>
        <w:t xml:space="preserve"> </w:t>
      </w:r>
      <w:r>
        <w:rPr>
          <w:rFonts w:hint="eastAsia"/>
          <w:rtl/>
        </w:rPr>
        <w:t>לחליפו</w:t>
      </w:r>
      <w:r>
        <w:rPr>
          <w:rtl/>
        </w:rPr>
        <w:t xml:space="preserve"> </w:t>
      </w:r>
      <w:r>
        <w:rPr>
          <w:rFonts w:hint="eastAsia"/>
          <w:rtl/>
        </w:rPr>
        <w:t>של</w:t>
      </w:r>
      <w:r>
        <w:rPr>
          <w:rtl/>
        </w:rPr>
        <w:t xml:space="preserve"> </w:t>
      </w:r>
      <w:r>
        <w:rPr>
          <w:rFonts w:hint="eastAsia"/>
          <w:rtl/>
        </w:rPr>
        <w:t>אותו</w:t>
      </w:r>
      <w:r>
        <w:rPr>
          <w:rtl/>
        </w:rPr>
        <w:t xml:space="preserve"> </w:t>
      </w:r>
      <w:r>
        <w:rPr>
          <w:rFonts w:hint="eastAsia"/>
          <w:rtl/>
        </w:rPr>
        <w:t>בעל</w:t>
      </w:r>
      <w:r>
        <w:rPr>
          <w:rtl/>
        </w:rPr>
        <w:t xml:space="preserve">, </w:t>
      </w:r>
      <w:r>
        <w:rPr>
          <w:rFonts w:hint="eastAsia"/>
          <w:rtl/>
        </w:rPr>
        <w:t>לפי</w:t>
      </w:r>
      <w:r>
        <w:rPr>
          <w:rtl/>
        </w:rPr>
        <w:t xml:space="preserve"> </w:t>
      </w:r>
      <w:r>
        <w:rPr>
          <w:rFonts w:hint="eastAsia"/>
          <w:rtl/>
        </w:rPr>
        <w:t>בקשתם</w:t>
      </w:r>
      <w:r>
        <w:rPr>
          <w:rtl/>
        </w:rPr>
        <w:t xml:space="preserve">; </w:t>
      </w:r>
      <w:r>
        <w:rPr>
          <w:rFonts w:hint="eastAsia"/>
          <w:rtl/>
        </w:rPr>
        <w:t>כל</w:t>
      </w:r>
      <w:r>
        <w:rPr>
          <w:rtl/>
        </w:rPr>
        <w:t xml:space="preserve"> </w:t>
      </w:r>
      <w:r>
        <w:rPr>
          <w:rFonts w:hint="eastAsia"/>
          <w:rtl/>
        </w:rPr>
        <w:t>עוד</w:t>
      </w:r>
      <w:r>
        <w:rPr>
          <w:rtl/>
        </w:rPr>
        <w:t xml:space="preserve"> </w:t>
      </w:r>
      <w:r>
        <w:rPr>
          <w:rFonts w:hint="eastAsia"/>
          <w:rtl/>
        </w:rPr>
        <w:t>לא</w:t>
      </w:r>
      <w:r>
        <w:rPr>
          <w:rtl/>
        </w:rPr>
        <w:t xml:space="preserve"> </w:t>
      </w:r>
      <w:r>
        <w:rPr>
          <w:rFonts w:hint="eastAsia"/>
          <w:rtl/>
        </w:rPr>
        <w:t>שוחררו</w:t>
      </w:r>
      <w:r>
        <w:rPr>
          <w:rtl/>
        </w:rPr>
        <w:t xml:space="preserve"> </w:t>
      </w:r>
      <w:r>
        <w:rPr>
          <w:rFonts w:hint="eastAsia"/>
          <w:rtl/>
        </w:rPr>
        <w:t>המקרקעין</w:t>
      </w:r>
      <w:r>
        <w:rPr>
          <w:rtl/>
        </w:rPr>
        <w:t xml:space="preserve">, </w:t>
      </w:r>
      <w:r>
        <w:rPr>
          <w:rFonts w:hint="eastAsia"/>
          <w:rtl/>
        </w:rPr>
        <w:t>יעשה</w:t>
      </w:r>
      <w:r>
        <w:rPr>
          <w:rtl/>
        </w:rPr>
        <w:t xml:space="preserve"> </w:t>
      </w:r>
      <w:r>
        <w:rPr>
          <w:rFonts w:hint="eastAsia"/>
          <w:rtl/>
        </w:rPr>
        <w:t>בהם</w:t>
      </w:r>
      <w:r>
        <w:rPr>
          <w:rtl/>
        </w:rPr>
        <w:t xml:space="preserve"> </w:t>
      </w:r>
      <w:r>
        <w:rPr>
          <w:rFonts w:hint="eastAsia"/>
          <w:rtl/>
        </w:rPr>
        <w:t>האפוטרופוס</w:t>
      </w:r>
      <w:r>
        <w:rPr>
          <w:rtl/>
        </w:rPr>
        <w:t xml:space="preserve"> </w:t>
      </w:r>
      <w:r>
        <w:rPr>
          <w:rFonts w:hint="eastAsia"/>
          <w:rtl/>
        </w:rPr>
        <w:t>הכללי</w:t>
      </w:r>
      <w:r>
        <w:rPr>
          <w:rtl/>
        </w:rPr>
        <w:t xml:space="preserve"> </w:t>
      </w:r>
      <w:r>
        <w:rPr>
          <w:rFonts w:hint="eastAsia"/>
          <w:rtl/>
        </w:rPr>
        <w:t>כפי</w:t>
      </w:r>
      <w:r>
        <w:rPr>
          <w:rtl/>
        </w:rPr>
        <w:t xml:space="preserve"> </w:t>
      </w:r>
      <w:r>
        <w:rPr>
          <w:rFonts w:hint="eastAsia"/>
          <w:rtl/>
        </w:rPr>
        <w:t>שהוא</w:t>
      </w:r>
      <w:r>
        <w:rPr>
          <w:rtl/>
        </w:rPr>
        <w:t xml:space="preserve"> </w:t>
      </w:r>
      <w:r>
        <w:rPr>
          <w:rFonts w:hint="eastAsia"/>
          <w:rtl/>
        </w:rPr>
        <w:t>רשאי</w:t>
      </w:r>
      <w:r>
        <w:rPr>
          <w:rtl/>
        </w:rPr>
        <w:t xml:space="preserve"> </w:t>
      </w:r>
      <w:r>
        <w:rPr>
          <w:rFonts w:hint="eastAsia"/>
          <w:rtl/>
        </w:rPr>
        <w:t>לעשות</w:t>
      </w:r>
      <w:r>
        <w:rPr>
          <w:rtl/>
        </w:rPr>
        <w:t xml:space="preserve"> </w:t>
      </w:r>
      <w:r>
        <w:rPr>
          <w:rFonts w:hint="eastAsia"/>
          <w:rtl/>
        </w:rPr>
        <w:t>בנכס</w:t>
      </w:r>
      <w:r>
        <w:rPr>
          <w:rtl/>
        </w:rPr>
        <w:t xml:space="preserve"> </w:t>
      </w:r>
      <w:r>
        <w:rPr>
          <w:rFonts w:hint="eastAsia"/>
          <w:rtl/>
        </w:rPr>
        <w:t>עזוב</w:t>
      </w:r>
      <w:r>
        <w:rPr>
          <w:rFonts w:hint="cs"/>
          <w:rtl/>
        </w:rPr>
        <w:t xml:space="preserve"> </w:t>
      </w:r>
      <w:r>
        <w:rPr>
          <w:rFonts w:hint="eastAsia"/>
          <w:rtl/>
        </w:rPr>
        <w:t>שלגביו</w:t>
      </w:r>
      <w:r>
        <w:rPr>
          <w:rtl/>
        </w:rPr>
        <w:t xml:space="preserve"> </w:t>
      </w:r>
      <w:r>
        <w:rPr>
          <w:rFonts w:hint="eastAsia"/>
          <w:rtl/>
        </w:rPr>
        <w:t>ניתן</w:t>
      </w:r>
      <w:r>
        <w:rPr>
          <w:rtl/>
        </w:rPr>
        <w:t xml:space="preserve"> </w:t>
      </w:r>
      <w:r>
        <w:rPr>
          <w:rFonts w:hint="eastAsia"/>
          <w:rtl/>
        </w:rPr>
        <w:t>לו</w:t>
      </w:r>
      <w:r>
        <w:rPr>
          <w:rtl/>
        </w:rPr>
        <w:t xml:space="preserve"> </w:t>
      </w:r>
      <w:r>
        <w:rPr>
          <w:rFonts w:hint="eastAsia"/>
          <w:rtl/>
        </w:rPr>
        <w:t>צו</w:t>
      </w:r>
      <w:r>
        <w:rPr>
          <w:rtl/>
        </w:rPr>
        <w:t xml:space="preserve"> </w:t>
      </w:r>
      <w:r>
        <w:rPr>
          <w:rFonts w:hint="eastAsia"/>
          <w:rtl/>
        </w:rPr>
        <w:t>ניהול</w:t>
      </w:r>
      <w:r>
        <w:rPr>
          <w:rtl/>
        </w:rPr>
        <w:t xml:space="preserve"> </w:t>
      </w:r>
      <w:r>
        <w:rPr>
          <w:rFonts w:hint="eastAsia"/>
          <w:rtl/>
        </w:rPr>
        <w:t>לפי</w:t>
      </w:r>
      <w:r>
        <w:rPr>
          <w:rtl/>
        </w:rPr>
        <w:t xml:space="preserve"> </w:t>
      </w:r>
      <w:r>
        <w:rPr>
          <w:rFonts w:hint="eastAsia"/>
          <w:rtl/>
        </w:rPr>
        <w:t>סעיף</w:t>
      </w:r>
      <w:r>
        <w:rPr>
          <w:rtl/>
        </w:rPr>
        <w:t xml:space="preserve"> 6(</w:t>
      </w:r>
      <w:r>
        <w:rPr>
          <w:rFonts w:hint="eastAsia"/>
          <w:rtl/>
        </w:rPr>
        <w:t>א</w:t>
      </w:r>
      <w:r>
        <w:rPr>
          <w:rtl/>
        </w:rPr>
        <w:t xml:space="preserve">) </w:t>
      </w:r>
      <w:r>
        <w:rPr>
          <w:rFonts w:hint="eastAsia"/>
          <w:rtl/>
        </w:rPr>
        <w:t>לחוק</w:t>
      </w:r>
      <w:r>
        <w:rPr>
          <w:rtl/>
        </w:rPr>
        <w:t xml:space="preserve"> </w:t>
      </w:r>
      <w:r>
        <w:rPr>
          <w:rFonts w:hint="eastAsia"/>
          <w:rtl/>
        </w:rPr>
        <w:t>האפוטרופוס</w:t>
      </w:r>
      <w:r>
        <w:rPr>
          <w:rtl/>
        </w:rPr>
        <w:t xml:space="preserve"> </w:t>
      </w:r>
      <w:r>
        <w:rPr>
          <w:rFonts w:hint="eastAsia"/>
          <w:rtl/>
        </w:rPr>
        <w:t>הכללי</w:t>
      </w:r>
      <w:r>
        <w:rPr>
          <w:rtl/>
        </w:rPr>
        <w:t xml:space="preserve">, </w:t>
      </w:r>
      <w:r>
        <w:rPr>
          <w:rFonts w:hint="eastAsia"/>
          <w:rtl/>
        </w:rPr>
        <w:t>תשל</w:t>
      </w:r>
      <w:r>
        <w:rPr>
          <w:rtl/>
        </w:rPr>
        <w:t>"</w:t>
      </w:r>
      <w:r>
        <w:rPr>
          <w:rFonts w:hint="eastAsia"/>
          <w:rtl/>
        </w:rPr>
        <w:t>ח</w:t>
      </w:r>
      <w:r>
        <w:rPr>
          <w:rtl/>
        </w:rPr>
        <w:t xml:space="preserve">-1978, </w:t>
      </w:r>
      <w:r>
        <w:rPr>
          <w:rFonts w:hint="eastAsia"/>
          <w:rtl/>
        </w:rPr>
        <w:t>והוראות</w:t>
      </w:r>
      <w:r>
        <w:rPr>
          <w:rtl/>
        </w:rPr>
        <w:t xml:space="preserve"> </w:t>
      </w:r>
      <w:r>
        <w:rPr>
          <w:rFonts w:hint="eastAsia"/>
          <w:rtl/>
        </w:rPr>
        <w:t>סעיף</w:t>
      </w:r>
      <w:r>
        <w:rPr>
          <w:rtl/>
        </w:rPr>
        <w:t xml:space="preserve"> 15(</w:t>
      </w:r>
      <w:r>
        <w:rPr>
          <w:rFonts w:hint="eastAsia"/>
          <w:rtl/>
        </w:rPr>
        <w:t>ג</w:t>
      </w:r>
      <w:r>
        <w:rPr>
          <w:rtl/>
        </w:rPr>
        <w:t xml:space="preserve">4) </w:t>
      </w:r>
      <w:r>
        <w:rPr>
          <w:rFonts w:hint="eastAsia"/>
          <w:rtl/>
        </w:rPr>
        <w:t>ו</w:t>
      </w:r>
      <w:r>
        <w:rPr>
          <w:rtl/>
        </w:rPr>
        <w:t>-(</w:t>
      </w:r>
      <w:r>
        <w:rPr>
          <w:rFonts w:hint="eastAsia"/>
          <w:rtl/>
        </w:rPr>
        <w:t>ד</w:t>
      </w:r>
      <w:r>
        <w:rPr>
          <w:rtl/>
        </w:rPr>
        <w:t xml:space="preserve">) </w:t>
      </w:r>
      <w:r>
        <w:rPr>
          <w:rFonts w:hint="eastAsia"/>
          <w:rtl/>
        </w:rPr>
        <w:t>לחוק</w:t>
      </w:r>
      <w:r>
        <w:rPr>
          <w:rtl/>
        </w:rPr>
        <w:t xml:space="preserve"> </w:t>
      </w:r>
      <w:r>
        <w:rPr>
          <w:rFonts w:hint="eastAsia"/>
          <w:rtl/>
        </w:rPr>
        <w:t>האמור</w:t>
      </w:r>
      <w:r>
        <w:rPr>
          <w:rtl/>
        </w:rPr>
        <w:t xml:space="preserve"> </w:t>
      </w:r>
      <w:r>
        <w:rPr>
          <w:rFonts w:hint="eastAsia"/>
          <w:rtl/>
        </w:rPr>
        <w:t>יחולו</w:t>
      </w:r>
      <w:r>
        <w:rPr>
          <w:rtl/>
        </w:rPr>
        <w:t>".</w:t>
      </w:r>
    </w:p>
    <w:p w:rsidR="00761030" w:rsidRPr="00624981" w:rsidRDefault="00761030" w:rsidP="00761030">
      <w:pPr>
        <w:pStyle w:val="Ruller41"/>
        <w:rPr>
          <w:rtl/>
        </w:rPr>
      </w:pPr>
    </w:p>
    <w:p w:rsidR="00761030" w:rsidRDefault="00761030" w:rsidP="00761030">
      <w:pPr>
        <w:pStyle w:val="Ruller41"/>
        <w:rPr>
          <w:rtl/>
        </w:rPr>
      </w:pPr>
      <w:r>
        <w:rPr>
          <w:rFonts w:hint="cs"/>
          <w:rtl/>
        </w:rPr>
        <w:t xml:space="preserve">8. </w:t>
      </w:r>
      <w:r>
        <w:rPr>
          <w:rFonts w:hint="cs"/>
          <w:rtl/>
        </w:rPr>
        <w:tab/>
      </w:r>
      <w:r>
        <w:rPr>
          <w:rFonts w:hint="cs"/>
          <w:color w:val="000000"/>
          <w:sz w:val="28"/>
          <w:rtl/>
        </w:rPr>
        <w:t xml:space="preserve">ביום 30.9.2002 נענה האפוטרופוס הכללי לבקשה ושחרר את המקרקעין לידי המשיבים מתוקף תפקידם כנאמני ההקדש. </w:t>
      </w:r>
      <w:r w:rsidRPr="00D95309">
        <w:rPr>
          <w:rFonts w:hint="eastAsia"/>
          <w:color w:val="000000"/>
          <w:sz w:val="28"/>
          <w:rtl/>
        </w:rPr>
        <w:t>מאחר</w:t>
      </w:r>
      <w:r w:rsidRPr="00D95309">
        <w:rPr>
          <w:color w:val="000000"/>
          <w:sz w:val="28"/>
          <w:rtl/>
        </w:rPr>
        <w:t xml:space="preserve"> </w:t>
      </w:r>
      <w:r w:rsidRPr="00D95309">
        <w:rPr>
          <w:rFonts w:hint="eastAsia"/>
          <w:color w:val="000000"/>
          <w:sz w:val="28"/>
          <w:rtl/>
        </w:rPr>
        <w:t>שמדובר</w:t>
      </w:r>
      <w:r w:rsidRPr="00D95309">
        <w:rPr>
          <w:color w:val="000000"/>
          <w:sz w:val="28"/>
          <w:rtl/>
        </w:rPr>
        <w:t xml:space="preserve"> </w:t>
      </w:r>
      <w:r w:rsidRPr="00D95309">
        <w:rPr>
          <w:rFonts w:hint="eastAsia"/>
          <w:color w:val="000000"/>
          <w:sz w:val="28"/>
          <w:rtl/>
        </w:rPr>
        <w:t>במקרקעין</w:t>
      </w:r>
      <w:r w:rsidRPr="00D95309">
        <w:rPr>
          <w:color w:val="000000"/>
          <w:sz w:val="28"/>
          <w:rtl/>
        </w:rPr>
        <w:t xml:space="preserve"> </w:t>
      </w:r>
      <w:r w:rsidRPr="00D95309">
        <w:rPr>
          <w:rFonts w:hint="eastAsia"/>
          <w:color w:val="000000"/>
          <w:sz w:val="28"/>
          <w:rtl/>
        </w:rPr>
        <w:t>שאינם</w:t>
      </w:r>
      <w:r w:rsidRPr="00D95309">
        <w:rPr>
          <w:color w:val="000000"/>
          <w:sz w:val="28"/>
          <w:rtl/>
        </w:rPr>
        <w:t xml:space="preserve"> </w:t>
      </w:r>
      <w:r w:rsidRPr="00D95309">
        <w:rPr>
          <w:rFonts w:hint="eastAsia"/>
          <w:color w:val="000000"/>
          <w:sz w:val="28"/>
          <w:rtl/>
        </w:rPr>
        <w:t>מוסדרים</w:t>
      </w:r>
      <w:r w:rsidRPr="00D95309">
        <w:rPr>
          <w:color w:val="000000"/>
          <w:sz w:val="28"/>
          <w:rtl/>
        </w:rPr>
        <w:t xml:space="preserve">, </w:t>
      </w:r>
      <w:r w:rsidRPr="00D95309">
        <w:rPr>
          <w:rFonts w:hint="eastAsia"/>
          <w:color w:val="000000"/>
          <w:sz w:val="28"/>
          <w:rtl/>
        </w:rPr>
        <w:t>תעודת</w:t>
      </w:r>
      <w:r w:rsidRPr="00D95309">
        <w:rPr>
          <w:color w:val="000000"/>
          <w:sz w:val="28"/>
          <w:rtl/>
        </w:rPr>
        <w:t xml:space="preserve"> </w:t>
      </w:r>
      <w:r w:rsidRPr="00D95309">
        <w:rPr>
          <w:rFonts w:hint="eastAsia"/>
          <w:color w:val="000000"/>
          <w:sz w:val="28"/>
          <w:rtl/>
        </w:rPr>
        <w:t>השחרור</w:t>
      </w:r>
      <w:r w:rsidRPr="00D95309">
        <w:rPr>
          <w:color w:val="000000"/>
          <w:sz w:val="28"/>
          <w:rtl/>
        </w:rPr>
        <w:t xml:space="preserve"> </w:t>
      </w:r>
      <w:r w:rsidRPr="00D95309">
        <w:rPr>
          <w:rFonts w:hint="eastAsia"/>
          <w:color w:val="000000"/>
          <w:sz w:val="28"/>
          <w:rtl/>
        </w:rPr>
        <w:t>מתייחסת</w:t>
      </w:r>
      <w:r w:rsidRPr="00D95309">
        <w:rPr>
          <w:color w:val="000000"/>
          <w:sz w:val="28"/>
          <w:rtl/>
        </w:rPr>
        <w:t xml:space="preserve"> </w:t>
      </w:r>
      <w:r w:rsidRPr="00D95309">
        <w:rPr>
          <w:rFonts w:hint="eastAsia"/>
          <w:color w:val="000000"/>
          <w:sz w:val="28"/>
          <w:rtl/>
        </w:rPr>
        <w:t>להעברת</w:t>
      </w:r>
      <w:r w:rsidRPr="00D95309">
        <w:rPr>
          <w:color w:val="000000"/>
          <w:sz w:val="28"/>
          <w:rtl/>
        </w:rPr>
        <w:t xml:space="preserve"> </w:t>
      </w:r>
      <w:r w:rsidRPr="00D95309">
        <w:rPr>
          <w:rFonts w:hint="eastAsia"/>
          <w:color w:val="000000"/>
          <w:sz w:val="28"/>
          <w:rtl/>
        </w:rPr>
        <w:t>זכות</w:t>
      </w:r>
      <w:r w:rsidRPr="00D95309">
        <w:rPr>
          <w:color w:val="000000"/>
          <w:sz w:val="28"/>
          <w:rtl/>
        </w:rPr>
        <w:t xml:space="preserve"> </w:t>
      </w:r>
      <w:r w:rsidRPr="00D95309">
        <w:rPr>
          <w:rFonts w:hint="eastAsia"/>
          <w:color w:val="000000"/>
          <w:sz w:val="28"/>
          <w:rtl/>
        </w:rPr>
        <w:t>השימוש</w:t>
      </w:r>
      <w:r w:rsidRPr="00D95309">
        <w:rPr>
          <w:color w:val="000000"/>
          <w:sz w:val="28"/>
          <w:rtl/>
        </w:rPr>
        <w:t xml:space="preserve"> </w:t>
      </w:r>
      <w:r>
        <w:rPr>
          <w:rFonts w:hint="eastAsia"/>
          <w:color w:val="000000"/>
          <w:sz w:val="28"/>
          <w:rtl/>
        </w:rPr>
        <w:t>והבני</w:t>
      </w:r>
      <w:r w:rsidRPr="00D95309">
        <w:rPr>
          <w:rFonts w:hint="eastAsia"/>
          <w:color w:val="000000"/>
          <w:sz w:val="28"/>
          <w:rtl/>
        </w:rPr>
        <w:t>ה</w:t>
      </w:r>
      <w:r w:rsidRPr="00D95309">
        <w:rPr>
          <w:color w:val="000000"/>
          <w:sz w:val="28"/>
          <w:rtl/>
        </w:rPr>
        <w:t xml:space="preserve"> </w:t>
      </w:r>
      <w:r w:rsidRPr="00D95309">
        <w:rPr>
          <w:rFonts w:hint="eastAsia"/>
          <w:color w:val="000000"/>
          <w:sz w:val="28"/>
          <w:rtl/>
        </w:rPr>
        <w:t>במקרקעין</w:t>
      </w:r>
      <w:r w:rsidRPr="00D95309">
        <w:rPr>
          <w:color w:val="000000"/>
          <w:sz w:val="28"/>
          <w:rtl/>
        </w:rPr>
        <w:t xml:space="preserve"> </w:t>
      </w:r>
      <w:r w:rsidRPr="00D95309">
        <w:rPr>
          <w:rFonts w:hint="eastAsia"/>
          <w:color w:val="000000"/>
          <w:sz w:val="28"/>
          <w:rtl/>
        </w:rPr>
        <w:t>לידי</w:t>
      </w:r>
      <w:r w:rsidRPr="00D95309">
        <w:rPr>
          <w:color w:val="000000"/>
          <w:sz w:val="28"/>
          <w:rtl/>
        </w:rPr>
        <w:t xml:space="preserve"> </w:t>
      </w:r>
      <w:r>
        <w:rPr>
          <w:rFonts w:hint="cs"/>
          <w:color w:val="000000"/>
          <w:sz w:val="28"/>
          <w:rtl/>
        </w:rPr>
        <w:t>המשיבים</w:t>
      </w:r>
      <w:r w:rsidRPr="00D95309">
        <w:rPr>
          <w:color w:val="000000"/>
          <w:sz w:val="28"/>
          <w:rtl/>
        </w:rPr>
        <w:t xml:space="preserve">. </w:t>
      </w:r>
      <w:r w:rsidRPr="00D95309">
        <w:rPr>
          <w:rFonts w:hint="eastAsia"/>
          <w:color w:val="000000"/>
          <w:sz w:val="28"/>
          <w:rtl/>
        </w:rPr>
        <w:t>בהתאם</w:t>
      </w:r>
      <w:r w:rsidRPr="00D95309">
        <w:rPr>
          <w:color w:val="000000"/>
          <w:sz w:val="28"/>
          <w:rtl/>
        </w:rPr>
        <w:t xml:space="preserve"> </w:t>
      </w:r>
      <w:r w:rsidRPr="00D95309">
        <w:rPr>
          <w:rFonts w:hint="eastAsia"/>
          <w:color w:val="000000"/>
          <w:sz w:val="28"/>
          <w:rtl/>
        </w:rPr>
        <w:t>לכך</w:t>
      </w:r>
      <w:r w:rsidRPr="00D95309">
        <w:rPr>
          <w:color w:val="000000"/>
          <w:sz w:val="28"/>
          <w:rtl/>
        </w:rPr>
        <w:t xml:space="preserve">, </w:t>
      </w:r>
      <w:r w:rsidRPr="00D95309">
        <w:rPr>
          <w:rFonts w:hint="eastAsia"/>
          <w:color w:val="000000"/>
          <w:sz w:val="28"/>
          <w:rtl/>
        </w:rPr>
        <w:t>נקבע</w:t>
      </w:r>
      <w:r w:rsidRPr="00D95309">
        <w:rPr>
          <w:color w:val="000000"/>
          <w:sz w:val="28"/>
          <w:rtl/>
        </w:rPr>
        <w:t xml:space="preserve"> </w:t>
      </w:r>
      <w:r w:rsidRPr="00D95309">
        <w:rPr>
          <w:rFonts w:hint="eastAsia"/>
          <w:color w:val="000000"/>
          <w:sz w:val="28"/>
          <w:rtl/>
        </w:rPr>
        <w:t>בתעודת</w:t>
      </w:r>
      <w:r w:rsidRPr="00D95309">
        <w:rPr>
          <w:color w:val="000000"/>
          <w:sz w:val="28"/>
          <w:rtl/>
        </w:rPr>
        <w:t xml:space="preserve"> </w:t>
      </w:r>
      <w:r w:rsidRPr="00D95309">
        <w:rPr>
          <w:rFonts w:hint="eastAsia"/>
          <w:color w:val="000000"/>
          <w:sz w:val="28"/>
          <w:rtl/>
        </w:rPr>
        <w:t>השחרור</w:t>
      </w:r>
      <w:r w:rsidRPr="00D95309">
        <w:rPr>
          <w:color w:val="000000"/>
          <w:sz w:val="28"/>
          <w:rtl/>
        </w:rPr>
        <w:t xml:space="preserve"> </w:t>
      </w:r>
      <w:r w:rsidRPr="00D95309">
        <w:rPr>
          <w:rFonts w:hint="eastAsia"/>
          <w:color w:val="000000"/>
          <w:sz w:val="28"/>
          <w:rtl/>
        </w:rPr>
        <w:t>כי</w:t>
      </w:r>
      <w:r w:rsidRPr="00D95309">
        <w:rPr>
          <w:color w:val="000000"/>
          <w:sz w:val="28"/>
          <w:rtl/>
        </w:rPr>
        <w:t xml:space="preserve"> </w:t>
      </w:r>
      <w:r w:rsidRPr="00D95309">
        <w:rPr>
          <w:rFonts w:hint="eastAsia"/>
          <w:color w:val="000000"/>
          <w:sz w:val="28"/>
          <w:rtl/>
        </w:rPr>
        <w:t>היא</w:t>
      </w:r>
      <w:r w:rsidRPr="00D95309">
        <w:rPr>
          <w:color w:val="000000"/>
          <w:sz w:val="28"/>
          <w:rtl/>
        </w:rPr>
        <w:t xml:space="preserve"> "</w:t>
      </w:r>
      <w:r w:rsidRPr="00D95309">
        <w:rPr>
          <w:rFonts w:hint="eastAsia"/>
          <w:color w:val="000000"/>
          <w:sz w:val="28"/>
          <w:rtl/>
        </w:rPr>
        <w:t>אינה</w:t>
      </w:r>
      <w:r w:rsidRPr="00D95309">
        <w:rPr>
          <w:color w:val="000000"/>
          <w:sz w:val="28"/>
          <w:rtl/>
        </w:rPr>
        <w:t xml:space="preserve"> </w:t>
      </w:r>
      <w:r w:rsidRPr="00D95309">
        <w:rPr>
          <w:rFonts w:hint="eastAsia"/>
          <w:color w:val="000000"/>
          <w:sz w:val="28"/>
          <w:rtl/>
        </w:rPr>
        <w:t>מהווה</w:t>
      </w:r>
      <w:r w:rsidRPr="00D95309">
        <w:rPr>
          <w:color w:val="000000"/>
          <w:sz w:val="28"/>
          <w:rtl/>
        </w:rPr>
        <w:t xml:space="preserve"> </w:t>
      </w:r>
      <w:r w:rsidRPr="00D95309">
        <w:rPr>
          <w:rFonts w:hint="eastAsia"/>
          <w:color w:val="000000"/>
          <w:sz w:val="28"/>
          <w:rtl/>
        </w:rPr>
        <w:t>הוכחה</w:t>
      </w:r>
      <w:r w:rsidRPr="00D95309">
        <w:rPr>
          <w:color w:val="000000"/>
          <w:sz w:val="28"/>
          <w:rtl/>
        </w:rPr>
        <w:t xml:space="preserve"> </w:t>
      </w:r>
      <w:r w:rsidRPr="00D95309">
        <w:rPr>
          <w:rFonts w:hint="eastAsia"/>
          <w:color w:val="000000"/>
          <w:sz w:val="28"/>
          <w:rtl/>
        </w:rPr>
        <w:t>לבעלות</w:t>
      </w:r>
      <w:r w:rsidRPr="00D95309">
        <w:rPr>
          <w:color w:val="000000"/>
          <w:sz w:val="28"/>
          <w:rtl/>
        </w:rPr>
        <w:t xml:space="preserve"> </w:t>
      </w:r>
      <w:r w:rsidRPr="00D95309">
        <w:rPr>
          <w:rFonts w:hint="eastAsia"/>
          <w:color w:val="000000"/>
          <w:sz w:val="28"/>
          <w:rtl/>
        </w:rPr>
        <w:t>לגבי</w:t>
      </w:r>
      <w:r w:rsidRPr="00D95309">
        <w:rPr>
          <w:color w:val="000000"/>
          <w:sz w:val="28"/>
          <w:rtl/>
        </w:rPr>
        <w:t xml:space="preserve"> </w:t>
      </w:r>
      <w:r w:rsidRPr="00D95309">
        <w:rPr>
          <w:rFonts w:hint="eastAsia"/>
          <w:color w:val="000000"/>
          <w:sz w:val="28"/>
          <w:rtl/>
        </w:rPr>
        <w:t>המקרקעין</w:t>
      </w:r>
      <w:r w:rsidRPr="00D95309">
        <w:rPr>
          <w:color w:val="000000"/>
          <w:sz w:val="28"/>
          <w:rtl/>
        </w:rPr>
        <w:t xml:space="preserve">", </w:t>
      </w:r>
      <w:r w:rsidRPr="00D95309">
        <w:rPr>
          <w:rFonts w:hint="eastAsia"/>
          <w:color w:val="000000"/>
          <w:sz w:val="28"/>
          <w:rtl/>
        </w:rPr>
        <w:t>וכי</w:t>
      </w:r>
      <w:r w:rsidRPr="00D95309">
        <w:rPr>
          <w:color w:val="000000"/>
          <w:sz w:val="28"/>
          <w:rtl/>
        </w:rPr>
        <w:t xml:space="preserve"> </w:t>
      </w:r>
      <w:r w:rsidRPr="00D95309">
        <w:rPr>
          <w:rFonts w:hint="eastAsia"/>
          <w:color w:val="000000"/>
          <w:sz w:val="28"/>
          <w:rtl/>
        </w:rPr>
        <w:t>שחרור</w:t>
      </w:r>
      <w:r w:rsidRPr="00D95309">
        <w:rPr>
          <w:color w:val="000000"/>
          <w:sz w:val="28"/>
          <w:rtl/>
        </w:rPr>
        <w:t xml:space="preserve"> </w:t>
      </w:r>
      <w:r w:rsidRPr="00D95309">
        <w:rPr>
          <w:rFonts w:hint="eastAsia"/>
          <w:color w:val="000000"/>
          <w:sz w:val="28"/>
          <w:rtl/>
        </w:rPr>
        <w:t>הנכסים</w:t>
      </w:r>
      <w:r w:rsidRPr="00D95309">
        <w:rPr>
          <w:color w:val="000000"/>
          <w:sz w:val="28"/>
          <w:rtl/>
        </w:rPr>
        <w:t xml:space="preserve"> "</w:t>
      </w:r>
      <w:r w:rsidRPr="00D95309">
        <w:rPr>
          <w:rFonts w:hint="eastAsia"/>
          <w:color w:val="000000"/>
          <w:sz w:val="28"/>
          <w:rtl/>
        </w:rPr>
        <w:t>ניתן</w:t>
      </w:r>
      <w:r w:rsidRPr="00D95309">
        <w:rPr>
          <w:color w:val="000000"/>
          <w:sz w:val="28"/>
          <w:rtl/>
        </w:rPr>
        <w:t xml:space="preserve"> </w:t>
      </w:r>
      <w:r w:rsidRPr="00D95309">
        <w:rPr>
          <w:rFonts w:hint="eastAsia"/>
          <w:color w:val="000000"/>
          <w:sz w:val="28"/>
          <w:rtl/>
        </w:rPr>
        <w:t>בכפיפות</w:t>
      </w:r>
      <w:r w:rsidRPr="00D95309">
        <w:rPr>
          <w:color w:val="000000"/>
          <w:sz w:val="28"/>
          <w:rtl/>
        </w:rPr>
        <w:t xml:space="preserve"> </w:t>
      </w:r>
      <w:r w:rsidRPr="00D95309">
        <w:rPr>
          <w:rFonts w:hint="eastAsia"/>
          <w:color w:val="000000"/>
          <w:sz w:val="28"/>
          <w:rtl/>
        </w:rPr>
        <w:t>לזכות</w:t>
      </w:r>
      <w:r w:rsidRPr="00D95309">
        <w:rPr>
          <w:color w:val="000000"/>
          <w:sz w:val="28"/>
          <w:rtl/>
        </w:rPr>
        <w:t xml:space="preserve"> </w:t>
      </w:r>
      <w:r w:rsidRPr="00D95309">
        <w:rPr>
          <w:rFonts w:hint="eastAsia"/>
          <w:color w:val="000000"/>
          <w:sz w:val="28"/>
          <w:rtl/>
        </w:rPr>
        <w:t>צד</w:t>
      </w:r>
      <w:r w:rsidRPr="00D95309">
        <w:rPr>
          <w:color w:val="000000"/>
          <w:sz w:val="28"/>
          <w:rtl/>
        </w:rPr>
        <w:t xml:space="preserve"> </w:t>
      </w:r>
      <w:r w:rsidRPr="00D95309">
        <w:rPr>
          <w:rFonts w:hint="eastAsia"/>
          <w:color w:val="000000"/>
          <w:sz w:val="28"/>
          <w:rtl/>
        </w:rPr>
        <w:t>שלישי</w:t>
      </w:r>
      <w:r w:rsidRPr="00D95309">
        <w:rPr>
          <w:color w:val="000000"/>
          <w:sz w:val="28"/>
          <w:rtl/>
        </w:rPr>
        <w:t xml:space="preserve"> </w:t>
      </w:r>
      <w:r w:rsidRPr="00D95309">
        <w:rPr>
          <w:rFonts w:hint="eastAsia"/>
          <w:color w:val="000000"/>
          <w:sz w:val="28"/>
          <w:rtl/>
        </w:rPr>
        <w:t>אם</w:t>
      </w:r>
      <w:r w:rsidRPr="00D95309">
        <w:rPr>
          <w:color w:val="000000"/>
          <w:sz w:val="28"/>
          <w:rtl/>
        </w:rPr>
        <w:t xml:space="preserve"> </w:t>
      </w:r>
      <w:r w:rsidRPr="00D95309">
        <w:rPr>
          <w:rFonts w:hint="eastAsia"/>
          <w:color w:val="000000"/>
          <w:sz w:val="28"/>
          <w:rtl/>
        </w:rPr>
        <w:t>קיימת</w:t>
      </w:r>
      <w:r w:rsidRPr="00D95309">
        <w:rPr>
          <w:color w:val="000000"/>
          <w:sz w:val="28"/>
          <w:rtl/>
        </w:rPr>
        <w:t xml:space="preserve"> </w:t>
      </w:r>
      <w:r w:rsidRPr="00D95309">
        <w:rPr>
          <w:rFonts w:hint="eastAsia"/>
          <w:color w:val="000000"/>
          <w:sz w:val="28"/>
          <w:rtl/>
        </w:rPr>
        <w:t>זכות</w:t>
      </w:r>
      <w:r w:rsidRPr="00D95309">
        <w:rPr>
          <w:color w:val="000000"/>
          <w:sz w:val="28"/>
          <w:rtl/>
        </w:rPr>
        <w:t xml:space="preserve"> </w:t>
      </w:r>
      <w:r w:rsidRPr="00D95309">
        <w:rPr>
          <w:rFonts w:hint="eastAsia"/>
          <w:color w:val="000000"/>
          <w:sz w:val="28"/>
          <w:rtl/>
        </w:rPr>
        <w:t>כזו</w:t>
      </w:r>
      <w:r w:rsidRPr="00D95309">
        <w:rPr>
          <w:color w:val="000000"/>
          <w:sz w:val="28"/>
          <w:rtl/>
        </w:rPr>
        <w:t>".</w:t>
      </w:r>
    </w:p>
    <w:p w:rsidR="00761030" w:rsidRDefault="00761030" w:rsidP="00761030">
      <w:pPr>
        <w:pStyle w:val="Ruller41"/>
        <w:rPr>
          <w:rtl/>
        </w:rPr>
      </w:pPr>
    </w:p>
    <w:p w:rsidR="00761030" w:rsidRDefault="00761030" w:rsidP="00761030">
      <w:pPr>
        <w:pStyle w:val="Ruller41"/>
        <w:rPr>
          <w:rFonts w:ascii="Century" w:hAnsi="Century" w:cs="Miriam"/>
          <w:b/>
          <w:spacing w:val="0"/>
          <w:szCs w:val="24"/>
          <w:rtl/>
        </w:rPr>
      </w:pPr>
      <w:r w:rsidRPr="00340D79">
        <w:rPr>
          <w:rFonts w:ascii="Century" w:hAnsi="Century" w:cs="Miriam" w:hint="cs"/>
          <w:b/>
          <w:spacing w:val="0"/>
          <w:szCs w:val="24"/>
          <w:rtl/>
        </w:rPr>
        <w:t>ההליך הקודם בעניין משפחת דוויק</w:t>
      </w:r>
    </w:p>
    <w:p w:rsidR="00761030" w:rsidRDefault="00761030" w:rsidP="00761030">
      <w:pPr>
        <w:pStyle w:val="Ruller41"/>
        <w:rPr>
          <w:rFonts w:ascii="Century" w:hAnsi="Century" w:cs="Miriam"/>
          <w:b/>
          <w:spacing w:val="0"/>
          <w:szCs w:val="24"/>
          <w:rtl/>
        </w:rPr>
      </w:pPr>
    </w:p>
    <w:p w:rsidR="00761030" w:rsidRDefault="00761030" w:rsidP="00761030">
      <w:pPr>
        <w:pStyle w:val="Ruller41"/>
        <w:rPr>
          <w:rFonts w:ascii="Century" w:hAnsi="Century"/>
          <w:rtl/>
        </w:rPr>
      </w:pPr>
      <w:r>
        <w:rPr>
          <w:rFonts w:ascii="Century" w:hAnsi="Century" w:hint="cs"/>
          <w:rtl/>
        </w:rPr>
        <w:t xml:space="preserve">9. </w:t>
      </w:r>
      <w:r>
        <w:rPr>
          <w:rFonts w:ascii="Century" w:hAnsi="Century" w:hint="cs"/>
          <w:rtl/>
        </w:rPr>
        <w:tab/>
        <w:t>בשנת 2007 הגישו המשיבים תביעה</w:t>
      </w:r>
      <w:r w:rsidRPr="00A14146">
        <w:rPr>
          <w:rFonts w:ascii="Century" w:hAnsi="Century"/>
          <w:rtl/>
        </w:rPr>
        <w:t xml:space="preserve"> </w:t>
      </w:r>
      <w:r w:rsidRPr="00A14146">
        <w:rPr>
          <w:rFonts w:ascii="Century" w:hAnsi="Century" w:hint="eastAsia"/>
          <w:rtl/>
        </w:rPr>
        <w:t>כנגד</w:t>
      </w:r>
      <w:r w:rsidRPr="00A14146">
        <w:rPr>
          <w:rFonts w:ascii="Century" w:hAnsi="Century"/>
          <w:rtl/>
        </w:rPr>
        <w:t xml:space="preserve"> </w:t>
      </w:r>
      <w:r w:rsidRPr="00A14146">
        <w:rPr>
          <w:rFonts w:ascii="Century" w:hAnsi="Century" w:hint="eastAsia"/>
          <w:rtl/>
        </w:rPr>
        <w:t>בני</w:t>
      </w:r>
      <w:r w:rsidRPr="00A14146">
        <w:rPr>
          <w:rFonts w:ascii="Century" w:hAnsi="Century"/>
          <w:rtl/>
        </w:rPr>
        <w:t xml:space="preserve"> </w:t>
      </w:r>
      <w:r w:rsidRPr="00A14146">
        <w:rPr>
          <w:rFonts w:ascii="Century" w:hAnsi="Century" w:hint="eastAsia"/>
          <w:rtl/>
        </w:rPr>
        <w:t>משפחת</w:t>
      </w:r>
      <w:r w:rsidRPr="00A14146">
        <w:rPr>
          <w:rFonts w:ascii="Century" w:hAnsi="Century"/>
          <w:rtl/>
        </w:rPr>
        <w:t xml:space="preserve"> </w:t>
      </w:r>
      <w:r w:rsidRPr="00A14146">
        <w:rPr>
          <w:rFonts w:ascii="Century" w:hAnsi="Century" w:hint="eastAsia"/>
          <w:rtl/>
        </w:rPr>
        <w:t>דוויק</w:t>
      </w:r>
      <w:r w:rsidRPr="00A14146">
        <w:rPr>
          <w:rFonts w:ascii="Century" w:hAnsi="Century"/>
          <w:rtl/>
        </w:rPr>
        <w:t xml:space="preserve"> </w:t>
      </w:r>
      <w:r w:rsidRPr="00A14146">
        <w:rPr>
          <w:rFonts w:ascii="Century" w:hAnsi="Century" w:hint="eastAsia"/>
          <w:rtl/>
        </w:rPr>
        <w:t>לבית</w:t>
      </w:r>
      <w:r w:rsidRPr="00A14146">
        <w:rPr>
          <w:rFonts w:ascii="Century" w:hAnsi="Century"/>
          <w:rtl/>
        </w:rPr>
        <w:t xml:space="preserve"> </w:t>
      </w:r>
      <w:r w:rsidRPr="00A14146">
        <w:rPr>
          <w:rFonts w:ascii="Century" w:hAnsi="Century" w:hint="eastAsia"/>
          <w:rtl/>
        </w:rPr>
        <w:t>המשפט</w:t>
      </w:r>
      <w:r w:rsidRPr="00A14146">
        <w:rPr>
          <w:rFonts w:ascii="Century" w:hAnsi="Century"/>
          <w:rtl/>
        </w:rPr>
        <w:t xml:space="preserve"> </w:t>
      </w:r>
      <w:r w:rsidRPr="00A14146">
        <w:rPr>
          <w:rFonts w:ascii="Century" w:hAnsi="Century" w:hint="eastAsia"/>
          <w:rtl/>
        </w:rPr>
        <w:t>המחוזי</w:t>
      </w:r>
      <w:r w:rsidRPr="00A14146">
        <w:rPr>
          <w:rFonts w:ascii="Century" w:hAnsi="Century"/>
          <w:rtl/>
        </w:rPr>
        <w:t xml:space="preserve"> </w:t>
      </w:r>
      <w:r w:rsidRPr="00A14146">
        <w:rPr>
          <w:rFonts w:ascii="Century" w:hAnsi="Century" w:hint="eastAsia"/>
          <w:rtl/>
        </w:rPr>
        <w:t>בירושלים</w:t>
      </w:r>
      <w:r w:rsidRPr="00A14146">
        <w:rPr>
          <w:rFonts w:ascii="Century" w:hAnsi="Century"/>
          <w:rtl/>
        </w:rPr>
        <w:t xml:space="preserve"> (</w:t>
      </w:r>
      <w:r w:rsidRPr="00A14146">
        <w:rPr>
          <w:rFonts w:ascii="Century" w:hAnsi="Century" w:hint="eastAsia"/>
          <w:rtl/>
        </w:rPr>
        <w:t>ת</w:t>
      </w:r>
      <w:r w:rsidRPr="00A14146">
        <w:rPr>
          <w:rFonts w:ascii="Century" w:hAnsi="Century"/>
          <w:rtl/>
        </w:rPr>
        <w:t>"</w:t>
      </w:r>
      <w:r w:rsidRPr="00A14146">
        <w:rPr>
          <w:rFonts w:ascii="Century" w:hAnsi="Century" w:hint="eastAsia"/>
          <w:rtl/>
        </w:rPr>
        <w:t>א</w:t>
      </w:r>
      <w:r>
        <w:rPr>
          <w:rFonts w:ascii="Century" w:hAnsi="Century"/>
          <w:rtl/>
        </w:rPr>
        <w:t xml:space="preserve"> 9403/07)</w:t>
      </w:r>
      <w:r>
        <w:rPr>
          <w:rFonts w:ascii="Century" w:hAnsi="Century" w:hint="cs"/>
          <w:rtl/>
        </w:rPr>
        <w:t xml:space="preserve">. התביעה נסבה </w:t>
      </w:r>
      <w:r>
        <w:rPr>
          <w:rFonts w:hint="cs"/>
          <w:rtl/>
        </w:rPr>
        <w:t xml:space="preserve">על חלקה המצויה בחלק הצפון-מזרחי של חלקה 96 בגוש שומה 29986 ועליה מבנה בן ארבע וחצי קומות המשמש למגורי המשפחה (להלן: </w:t>
      </w:r>
      <w:r w:rsidRPr="005E61B4">
        <w:rPr>
          <w:rFonts w:ascii="Century" w:hAnsi="Century" w:cs="Miriam" w:hint="cs"/>
          <w:b/>
          <w:spacing w:val="0"/>
          <w:szCs w:val="24"/>
          <w:rtl/>
        </w:rPr>
        <w:t>הנכס</w:t>
      </w:r>
      <w:r>
        <w:rPr>
          <w:rFonts w:hint="cs"/>
          <w:rtl/>
        </w:rPr>
        <w:t>).</w:t>
      </w:r>
      <w:r w:rsidRPr="00A14146">
        <w:rPr>
          <w:rFonts w:ascii="Century" w:hAnsi="Century"/>
          <w:rtl/>
        </w:rPr>
        <w:t xml:space="preserve"> </w:t>
      </w:r>
      <w:r>
        <w:rPr>
          <w:rFonts w:ascii="Century" w:hAnsi="Century" w:hint="cs"/>
          <w:rtl/>
        </w:rPr>
        <w:t>בתביעה</w:t>
      </w:r>
      <w:r w:rsidRPr="00A14146">
        <w:rPr>
          <w:rFonts w:ascii="Century" w:hAnsi="Century"/>
          <w:rtl/>
        </w:rPr>
        <w:t xml:space="preserve"> </w:t>
      </w:r>
      <w:r w:rsidRPr="00A14146">
        <w:rPr>
          <w:rFonts w:ascii="Century" w:hAnsi="Century" w:hint="eastAsia"/>
          <w:rtl/>
        </w:rPr>
        <w:t>עתרו</w:t>
      </w:r>
      <w:r>
        <w:rPr>
          <w:rFonts w:ascii="Century" w:hAnsi="Century" w:hint="cs"/>
          <w:rtl/>
        </w:rPr>
        <w:t xml:space="preserve"> המשיבים</w:t>
      </w:r>
      <w:r w:rsidRPr="00A14146">
        <w:rPr>
          <w:rFonts w:ascii="Century" w:hAnsi="Century"/>
          <w:rtl/>
        </w:rPr>
        <w:t xml:space="preserve"> </w:t>
      </w:r>
      <w:r>
        <w:rPr>
          <w:rFonts w:ascii="Century" w:hAnsi="Century" w:hint="cs"/>
          <w:rtl/>
        </w:rPr>
        <w:t>למתן צו הריסה בנוגע ל</w:t>
      </w:r>
      <w:r w:rsidRPr="00A14146">
        <w:rPr>
          <w:rFonts w:ascii="Century" w:hAnsi="Century" w:hint="eastAsia"/>
          <w:rtl/>
        </w:rPr>
        <w:t>תוספות</w:t>
      </w:r>
      <w:r w:rsidRPr="00A14146">
        <w:rPr>
          <w:rFonts w:ascii="Century" w:hAnsi="Century"/>
          <w:rtl/>
        </w:rPr>
        <w:t xml:space="preserve"> </w:t>
      </w:r>
      <w:r w:rsidRPr="00A14146">
        <w:rPr>
          <w:rFonts w:ascii="Century" w:hAnsi="Century" w:hint="eastAsia"/>
          <w:rtl/>
        </w:rPr>
        <w:t>הבניה</w:t>
      </w:r>
      <w:r w:rsidRPr="00A14146">
        <w:rPr>
          <w:rFonts w:ascii="Century" w:hAnsi="Century"/>
          <w:rtl/>
        </w:rPr>
        <w:t xml:space="preserve"> </w:t>
      </w:r>
      <w:r w:rsidRPr="00A14146">
        <w:rPr>
          <w:rFonts w:ascii="Century" w:hAnsi="Century" w:hint="eastAsia"/>
          <w:rtl/>
        </w:rPr>
        <w:t>שנבנו</w:t>
      </w:r>
      <w:r w:rsidRPr="00A14146">
        <w:rPr>
          <w:rFonts w:ascii="Century" w:hAnsi="Century"/>
          <w:rtl/>
        </w:rPr>
        <w:t xml:space="preserve"> </w:t>
      </w:r>
      <w:r w:rsidRPr="00A14146">
        <w:rPr>
          <w:rFonts w:ascii="Century" w:hAnsi="Century" w:hint="eastAsia"/>
          <w:rtl/>
        </w:rPr>
        <w:t>על</w:t>
      </w:r>
      <w:r>
        <w:rPr>
          <w:rFonts w:ascii="Century" w:hAnsi="Century" w:hint="cs"/>
          <w:rtl/>
        </w:rPr>
        <w:t>-</w:t>
      </w:r>
      <w:r w:rsidRPr="00A14146">
        <w:rPr>
          <w:rFonts w:ascii="Century" w:hAnsi="Century" w:hint="eastAsia"/>
          <w:rtl/>
        </w:rPr>
        <w:t>יד</w:t>
      </w:r>
      <w:r>
        <w:rPr>
          <w:rFonts w:ascii="Century" w:hAnsi="Century" w:hint="cs"/>
          <w:rtl/>
        </w:rPr>
        <w:t>י בני המשפחה בנכס,</w:t>
      </w:r>
      <w:r w:rsidRPr="00A14146">
        <w:rPr>
          <w:rFonts w:ascii="Century" w:hAnsi="Century"/>
          <w:rtl/>
        </w:rPr>
        <w:t xml:space="preserve"> </w:t>
      </w:r>
      <w:r w:rsidRPr="00A14146">
        <w:rPr>
          <w:rFonts w:ascii="Century" w:hAnsi="Century" w:hint="eastAsia"/>
          <w:rtl/>
        </w:rPr>
        <w:t>וכן</w:t>
      </w:r>
      <w:r w:rsidRPr="00A14146">
        <w:rPr>
          <w:rFonts w:ascii="Century" w:hAnsi="Century"/>
          <w:rtl/>
        </w:rPr>
        <w:t xml:space="preserve"> </w:t>
      </w:r>
      <w:r>
        <w:rPr>
          <w:rFonts w:ascii="Century" w:hAnsi="Century" w:hint="cs"/>
          <w:rtl/>
        </w:rPr>
        <w:t>למתן צו מניעה קבוע האוסר על</w:t>
      </w:r>
      <w:r w:rsidRPr="00A14146">
        <w:rPr>
          <w:rFonts w:ascii="Century" w:hAnsi="Century"/>
          <w:rtl/>
        </w:rPr>
        <w:t xml:space="preserve"> </w:t>
      </w:r>
      <w:r w:rsidRPr="00A14146">
        <w:rPr>
          <w:rFonts w:ascii="Century" w:hAnsi="Century" w:hint="eastAsia"/>
          <w:rtl/>
        </w:rPr>
        <w:t>ביצוען</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עבודות</w:t>
      </w:r>
      <w:r w:rsidRPr="00A14146">
        <w:rPr>
          <w:rFonts w:ascii="Century" w:hAnsi="Century"/>
          <w:rtl/>
        </w:rPr>
        <w:t xml:space="preserve"> </w:t>
      </w:r>
      <w:r>
        <w:rPr>
          <w:rFonts w:ascii="Century" w:hAnsi="Century" w:hint="eastAsia"/>
          <w:rtl/>
        </w:rPr>
        <w:t>בני</w:t>
      </w:r>
      <w:r w:rsidRPr="00A14146">
        <w:rPr>
          <w:rFonts w:ascii="Century" w:hAnsi="Century" w:hint="eastAsia"/>
          <w:rtl/>
        </w:rPr>
        <w:t>ה</w:t>
      </w:r>
      <w:r w:rsidRPr="00A14146">
        <w:rPr>
          <w:rFonts w:ascii="Century" w:hAnsi="Century"/>
          <w:rtl/>
        </w:rPr>
        <w:t xml:space="preserve"> </w:t>
      </w:r>
      <w:r w:rsidRPr="00A14146">
        <w:rPr>
          <w:rFonts w:ascii="Century" w:hAnsi="Century" w:hint="eastAsia"/>
          <w:rtl/>
        </w:rPr>
        <w:t>ופיתוח</w:t>
      </w:r>
      <w:r w:rsidRPr="00A14146">
        <w:rPr>
          <w:rFonts w:ascii="Century" w:hAnsi="Century"/>
          <w:rtl/>
        </w:rPr>
        <w:t xml:space="preserve"> </w:t>
      </w:r>
      <w:r w:rsidRPr="00A14146">
        <w:rPr>
          <w:rFonts w:ascii="Century" w:hAnsi="Century" w:hint="eastAsia"/>
          <w:rtl/>
        </w:rPr>
        <w:t>כלשהן</w:t>
      </w:r>
      <w:r w:rsidRPr="00A14146">
        <w:rPr>
          <w:rFonts w:ascii="Century" w:hAnsi="Century"/>
          <w:rtl/>
        </w:rPr>
        <w:t xml:space="preserve"> </w:t>
      </w:r>
      <w:r w:rsidRPr="00A14146">
        <w:rPr>
          <w:rFonts w:ascii="Century" w:hAnsi="Century" w:hint="eastAsia"/>
          <w:rtl/>
        </w:rPr>
        <w:t>בנכס</w:t>
      </w:r>
      <w:r w:rsidRPr="00A14146">
        <w:rPr>
          <w:rFonts w:ascii="Century" w:hAnsi="Century"/>
          <w:rtl/>
        </w:rPr>
        <w:t xml:space="preserve">. </w:t>
      </w:r>
      <w:r w:rsidRPr="00A14146">
        <w:rPr>
          <w:rFonts w:ascii="Century" w:hAnsi="Century" w:hint="eastAsia"/>
          <w:rtl/>
        </w:rPr>
        <w:t>התביעה</w:t>
      </w:r>
      <w:r w:rsidRPr="00A14146">
        <w:rPr>
          <w:rFonts w:ascii="Century" w:hAnsi="Century"/>
          <w:rtl/>
        </w:rPr>
        <w:t xml:space="preserve"> </w:t>
      </w:r>
      <w:r w:rsidRPr="00A14146">
        <w:rPr>
          <w:rFonts w:ascii="Century" w:hAnsi="Century" w:hint="eastAsia"/>
          <w:rtl/>
        </w:rPr>
        <w:t>התבססה</w:t>
      </w:r>
      <w:r w:rsidRPr="00A14146">
        <w:rPr>
          <w:rFonts w:ascii="Century" w:hAnsi="Century"/>
          <w:rtl/>
        </w:rPr>
        <w:t xml:space="preserve"> </w:t>
      </w:r>
      <w:r w:rsidRPr="00A14146">
        <w:rPr>
          <w:rFonts w:ascii="Century" w:hAnsi="Century" w:hint="eastAsia"/>
          <w:rtl/>
        </w:rPr>
        <w:t>על</w:t>
      </w:r>
      <w:r w:rsidRPr="00A14146">
        <w:rPr>
          <w:rFonts w:ascii="Century" w:hAnsi="Century"/>
          <w:rtl/>
        </w:rPr>
        <w:t xml:space="preserve"> </w:t>
      </w:r>
      <w:r w:rsidRPr="00A14146">
        <w:rPr>
          <w:rFonts w:ascii="Century" w:hAnsi="Century" w:hint="eastAsia"/>
          <w:rtl/>
        </w:rPr>
        <w:t>עילה</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הפרת</w:t>
      </w:r>
      <w:r w:rsidRPr="00A14146">
        <w:rPr>
          <w:rFonts w:ascii="Century" w:hAnsi="Century"/>
          <w:rtl/>
        </w:rPr>
        <w:t xml:space="preserve"> </w:t>
      </w:r>
      <w:r w:rsidRPr="00A14146">
        <w:rPr>
          <w:rFonts w:ascii="Century" w:hAnsi="Century" w:hint="eastAsia"/>
          <w:rtl/>
        </w:rPr>
        <w:t>חובה</w:t>
      </w:r>
      <w:r w:rsidRPr="00A14146">
        <w:rPr>
          <w:rFonts w:ascii="Century" w:hAnsi="Century"/>
          <w:rtl/>
        </w:rPr>
        <w:t xml:space="preserve"> </w:t>
      </w:r>
      <w:r w:rsidRPr="00A14146">
        <w:rPr>
          <w:rFonts w:ascii="Century" w:hAnsi="Century" w:hint="eastAsia"/>
          <w:rtl/>
        </w:rPr>
        <w:t>חקוקה</w:t>
      </w:r>
      <w:r w:rsidRPr="00A14146">
        <w:rPr>
          <w:rFonts w:ascii="Century" w:hAnsi="Century"/>
          <w:rtl/>
        </w:rPr>
        <w:t xml:space="preserve"> </w:t>
      </w:r>
      <w:r w:rsidRPr="00A14146">
        <w:rPr>
          <w:rFonts w:ascii="Century" w:hAnsi="Century" w:hint="eastAsia"/>
          <w:rtl/>
        </w:rPr>
        <w:t>לפי</w:t>
      </w:r>
      <w:r w:rsidRPr="00A14146">
        <w:rPr>
          <w:rFonts w:ascii="Century" w:hAnsi="Century"/>
          <w:rtl/>
        </w:rPr>
        <w:t xml:space="preserve"> </w:t>
      </w:r>
      <w:r w:rsidRPr="00A14146">
        <w:rPr>
          <w:rFonts w:ascii="Century" w:hAnsi="Century" w:hint="eastAsia"/>
          <w:rtl/>
        </w:rPr>
        <w:t>סעיף</w:t>
      </w:r>
      <w:r w:rsidRPr="00A14146">
        <w:rPr>
          <w:rFonts w:ascii="Century" w:hAnsi="Century"/>
          <w:rtl/>
        </w:rPr>
        <w:t xml:space="preserve"> 63 </w:t>
      </w:r>
      <w:r w:rsidRPr="00A14146">
        <w:rPr>
          <w:rFonts w:ascii="Century" w:hAnsi="Century" w:hint="eastAsia"/>
          <w:rtl/>
        </w:rPr>
        <w:t>לפקודת</w:t>
      </w:r>
      <w:r w:rsidRPr="00A14146">
        <w:rPr>
          <w:rFonts w:ascii="Century" w:hAnsi="Century"/>
          <w:rtl/>
        </w:rPr>
        <w:t xml:space="preserve"> </w:t>
      </w:r>
      <w:r w:rsidRPr="00A14146">
        <w:rPr>
          <w:rFonts w:ascii="Century" w:hAnsi="Century" w:hint="eastAsia"/>
          <w:rtl/>
        </w:rPr>
        <w:t>הנזיקין</w:t>
      </w:r>
      <w:r w:rsidRPr="00A14146">
        <w:rPr>
          <w:rFonts w:ascii="Century" w:hAnsi="Century"/>
          <w:rtl/>
        </w:rPr>
        <w:t xml:space="preserve"> [</w:t>
      </w:r>
      <w:r w:rsidRPr="00A14146">
        <w:rPr>
          <w:rFonts w:ascii="Century" w:hAnsi="Century" w:hint="eastAsia"/>
          <w:rtl/>
        </w:rPr>
        <w:t>נוסח</w:t>
      </w:r>
      <w:r w:rsidRPr="00A14146">
        <w:rPr>
          <w:rFonts w:ascii="Century" w:hAnsi="Century"/>
          <w:rtl/>
        </w:rPr>
        <w:t xml:space="preserve"> </w:t>
      </w:r>
      <w:r w:rsidRPr="00A14146">
        <w:rPr>
          <w:rFonts w:ascii="Century" w:hAnsi="Century" w:hint="eastAsia"/>
          <w:rtl/>
        </w:rPr>
        <w:t>חדש</w:t>
      </w:r>
      <w:r w:rsidRPr="00A14146">
        <w:rPr>
          <w:rFonts w:ascii="Century" w:hAnsi="Century"/>
          <w:rtl/>
        </w:rPr>
        <w:t>].</w:t>
      </w:r>
      <w:r>
        <w:rPr>
          <w:rFonts w:ascii="Century" w:hAnsi="Century" w:hint="cs"/>
          <w:rtl/>
        </w:rPr>
        <w:t xml:space="preserve"> בני משפחת דוויק טענו כי דין התביעה להידחות </w:t>
      </w:r>
      <w:r>
        <w:rPr>
          <w:rFonts w:ascii="Century" w:hAnsi="Century"/>
          <w:rtl/>
        </w:rPr>
        <w:t>–</w:t>
      </w:r>
      <w:r>
        <w:rPr>
          <w:rFonts w:ascii="Century" w:hAnsi="Century" w:hint="cs"/>
          <w:rtl/>
        </w:rPr>
        <w:t xml:space="preserve"> הן על הסף, מאחר שהתיישנה, והן לגופה, מאחר שהנכס כלל לא נכלל בתוך שטח ההקדש.</w:t>
      </w:r>
    </w:p>
    <w:p w:rsidR="00761030" w:rsidRPr="00A14146" w:rsidRDefault="00761030" w:rsidP="00761030">
      <w:pPr>
        <w:pStyle w:val="Ruller41"/>
        <w:rPr>
          <w:rFonts w:ascii="Century" w:hAnsi="Century"/>
          <w:rtl/>
        </w:rPr>
      </w:pPr>
    </w:p>
    <w:p w:rsidR="00761030" w:rsidRPr="00A14146" w:rsidRDefault="00761030" w:rsidP="00761030">
      <w:pPr>
        <w:pStyle w:val="Ruller41"/>
        <w:rPr>
          <w:rFonts w:ascii="Century" w:hAnsi="Century"/>
          <w:rtl/>
        </w:rPr>
      </w:pPr>
      <w:r>
        <w:rPr>
          <w:rFonts w:ascii="Century" w:hAnsi="Century" w:hint="cs"/>
          <w:rtl/>
        </w:rPr>
        <w:t>10</w:t>
      </w:r>
      <w:r w:rsidRPr="00A14146">
        <w:rPr>
          <w:rFonts w:ascii="Century" w:hAnsi="Century"/>
          <w:rtl/>
        </w:rPr>
        <w:t>.</w:t>
      </w:r>
      <w:r>
        <w:rPr>
          <w:rFonts w:ascii="Century" w:hAnsi="Century"/>
          <w:rtl/>
        </w:rPr>
        <w:tab/>
      </w:r>
      <w:r>
        <w:rPr>
          <w:rFonts w:ascii="Century" w:hAnsi="Century" w:hint="cs"/>
          <w:rtl/>
        </w:rPr>
        <w:t xml:space="preserve">ביום 25.5.2012 קיבל </w:t>
      </w:r>
      <w:r w:rsidRPr="00A14146">
        <w:rPr>
          <w:rFonts w:ascii="Century" w:hAnsi="Century" w:hint="eastAsia"/>
          <w:rtl/>
        </w:rPr>
        <w:t>בית</w:t>
      </w:r>
      <w:r w:rsidRPr="00A14146">
        <w:rPr>
          <w:rFonts w:ascii="Century" w:hAnsi="Century"/>
          <w:rtl/>
        </w:rPr>
        <w:t xml:space="preserve"> </w:t>
      </w:r>
      <w:r w:rsidRPr="00A14146">
        <w:rPr>
          <w:rFonts w:ascii="Century" w:hAnsi="Century" w:hint="eastAsia"/>
          <w:rtl/>
        </w:rPr>
        <w:t>המשפט</w:t>
      </w:r>
      <w:r w:rsidRPr="00A14146">
        <w:rPr>
          <w:rFonts w:ascii="Century" w:hAnsi="Century"/>
          <w:rtl/>
        </w:rPr>
        <w:t xml:space="preserve"> </w:t>
      </w:r>
      <w:r w:rsidRPr="00A14146">
        <w:rPr>
          <w:rFonts w:ascii="Century" w:hAnsi="Century" w:hint="eastAsia"/>
          <w:rtl/>
        </w:rPr>
        <w:t>המחוזי</w:t>
      </w:r>
      <w:r w:rsidRPr="00A14146">
        <w:rPr>
          <w:rFonts w:ascii="Century" w:hAnsi="Century"/>
          <w:rtl/>
        </w:rPr>
        <w:t xml:space="preserve"> (</w:t>
      </w:r>
      <w:r w:rsidRPr="00A14146">
        <w:rPr>
          <w:rFonts w:ascii="Century" w:hAnsi="Century" w:hint="eastAsia"/>
          <w:rtl/>
        </w:rPr>
        <w:t>סגן</w:t>
      </w:r>
      <w:r w:rsidRPr="00A14146">
        <w:rPr>
          <w:rFonts w:ascii="Century" w:hAnsi="Century"/>
          <w:rtl/>
        </w:rPr>
        <w:t xml:space="preserve"> </w:t>
      </w:r>
      <w:r w:rsidRPr="00A14146">
        <w:rPr>
          <w:rFonts w:ascii="Century" w:hAnsi="Century" w:hint="eastAsia"/>
          <w:rtl/>
        </w:rPr>
        <w:t>הנשיאה</w:t>
      </w:r>
      <w:r w:rsidRPr="00A14146">
        <w:rPr>
          <w:rFonts w:ascii="Century" w:hAnsi="Century"/>
          <w:rtl/>
        </w:rPr>
        <w:t xml:space="preserve"> (</w:t>
      </w:r>
      <w:r w:rsidRPr="00A14146">
        <w:rPr>
          <w:rFonts w:ascii="Century" w:hAnsi="Century" w:hint="eastAsia"/>
          <w:rtl/>
        </w:rPr>
        <w:t>כתוארו</w:t>
      </w:r>
      <w:r w:rsidRPr="00A14146">
        <w:rPr>
          <w:rFonts w:ascii="Century" w:hAnsi="Century"/>
          <w:rtl/>
        </w:rPr>
        <w:t xml:space="preserve"> </w:t>
      </w:r>
      <w:r w:rsidRPr="00A14146">
        <w:rPr>
          <w:rFonts w:ascii="Century" w:hAnsi="Century" w:hint="eastAsia"/>
          <w:rtl/>
        </w:rPr>
        <w:t>אז</w:t>
      </w:r>
      <w:r w:rsidRPr="00A14146">
        <w:rPr>
          <w:rFonts w:ascii="Century" w:hAnsi="Century"/>
          <w:rtl/>
        </w:rPr>
        <w:t xml:space="preserve">) </w:t>
      </w:r>
      <w:r w:rsidRPr="00C35A39">
        <w:rPr>
          <w:rFonts w:ascii="Century" w:hAnsi="Century" w:cs="Miriam" w:hint="eastAsia"/>
          <w:b/>
          <w:spacing w:val="0"/>
          <w:szCs w:val="24"/>
          <w:rtl/>
        </w:rPr>
        <w:t>א</w:t>
      </w:r>
      <w:r w:rsidRPr="00C35A39">
        <w:rPr>
          <w:rFonts w:ascii="Century" w:hAnsi="Century" w:cs="Miriam"/>
          <w:b/>
          <w:spacing w:val="0"/>
          <w:szCs w:val="24"/>
          <w:rtl/>
        </w:rPr>
        <w:t xml:space="preserve">' </w:t>
      </w:r>
      <w:r w:rsidRPr="00C35A39">
        <w:rPr>
          <w:rFonts w:ascii="Century" w:hAnsi="Century" w:cs="Miriam" w:hint="eastAsia"/>
          <w:b/>
          <w:spacing w:val="0"/>
          <w:szCs w:val="24"/>
          <w:rtl/>
        </w:rPr>
        <w:t>פרקש</w:t>
      </w:r>
      <w:r w:rsidRPr="00A14146">
        <w:rPr>
          <w:rFonts w:ascii="Century" w:hAnsi="Century"/>
          <w:rtl/>
        </w:rPr>
        <w:t xml:space="preserve">) </w:t>
      </w:r>
      <w:r w:rsidRPr="00A14146">
        <w:rPr>
          <w:rFonts w:ascii="Century" w:hAnsi="Century" w:hint="eastAsia"/>
          <w:rtl/>
        </w:rPr>
        <w:t>את</w:t>
      </w:r>
      <w:r w:rsidRPr="00A14146">
        <w:rPr>
          <w:rFonts w:ascii="Century" w:hAnsi="Century"/>
          <w:rtl/>
        </w:rPr>
        <w:t xml:space="preserve"> </w:t>
      </w:r>
      <w:r w:rsidRPr="00A14146">
        <w:rPr>
          <w:rFonts w:ascii="Century" w:hAnsi="Century" w:hint="eastAsia"/>
          <w:rtl/>
        </w:rPr>
        <w:t>התביעה</w:t>
      </w:r>
      <w:r>
        <w:rPr>
          <w:rFonts w:ascii="Century" w:hAnsi="Century" w:hint="cs"/>
          <w:rtl/>
        </w:rPr>
        <w:t xml:space="preserve"> לאחר ש</w:t>
      </w:r>
      <w:r w:rsidRPr="00A14146">
        <w:rPr>
          <w:rFonts w:ascii="Century" w:hAnsi="Century" w:hint="eastAsia"/>
          <w:rtl/>
        </w:rPr>
        <w:t>קבע</w:t>
      </w:r>
      <w:r w:rsidRPr="00A14146">
        <w:rPr>
          <w:rFonts w:ascii="Century" w:hAnsi="Century"/>
          <w:rtl/>
        </w:rPr>
        <w:t xml:space="preserve"> </w:t>
      </w:r>
      <w:r w:rsidRPr="00A14146">
        <w:rPr>
          <w:rFonts w:ascii="Century" w:hAnsi="Century" w:hint="eastAsia"/>
          <w:rtl/>
        </w:rPr>
        <w:t>כי</w:t>
      </w:r>
      <w:r w:rsidRPr="00A14146">
        <w:rPr>
          <w:rFonts w:ascii="Century" w:hAnsi="Century"/>
          <w:rtl/>
        </w:rPr>
        <w:t xml:space="preserve"> </w:t>
      </w:r>
      <w:r>
        <w:rPr>
          <w:rFonts w:ascii="Century" w:hAnsi="Century" w:hint="cs"/>
          <w:rtl/>
        </w:rPr>
        <w:t>המשיבים</w:t>
      </w:r>
      <w:r w:rsidRPr="00A14146">
        <w:rPr>
          <w:rFonts w:ascii="Century" w:hAnsi="Century"/>
          <w:rtl/>
        </w:rPr>
        <w:t xml:space="preserve"> </w:t>
      </w:r>
      <w:r w:rsidRPr="00A14146">
        <w:rPr>
          <w:rFonts w:ascii="Century" w:hAnsi="Century" w:hint="eastAsia"/>
          <w:rtl/>
        </w:rPr>
        <w:t>הוכיחו</w:t>
      </w:r>
      <w:r w:rsidRPr="00A14146">
        <w:rPr>
          <w:rFonts w:ascii="Century" w:hAnsi="Century"/>
          <w:rtl/>
        </w:rPr>
        <w:t xml:space="preserve"> </w:t>
      </w:r>
      <w:r>
        <w:rPr>
          <w:rFonts w:ascii="Century" w:hAnsi="Century" w:hint="cs"/>
          <w:rtl/>
        </w:rPr>
        <w:t>ש</w:t>
      </w:r>
      <w:r w:rsidRPr="00A14146">
        <w:rPr>
          <w:rFonts w:ascii="Century" w:hAnsi="Century" w:hint="eastAsia"/>
          <w:rtl/>
        </w:rPr>
        <w:t>הם</w:t>
      </w:r>
      <w:r w:rsidRPr="00A14146">
        <w:rPr>
          <w:rFonts w:ascii="Century" w:hAnsi="Century"/>
          <w:rtl/>
        </w:rPr>
        <w:t xml:space="preserve"> </w:t>
      </w:r>
      <w:r w:rsidRPr="00A14146">
        <w:rPr>
          <w:rFonts w:ascii="Century" w:hAnsi="Century" w:hint="eastAsia"/>
          <w:rtl/>
        </w:rPr>
        <w:t>בעלי</w:t>
      </w:r>
      <w:r w:rsidRPr="00A14146">
        <w:rPr>
          <w:rFonts w:ascii="Century" w:hAnsi="Century"/>
          <w:rtl/>
        </w:rPr>
        <w:t xml:space="preserve"> </w:t>
      </w:r>
      <w:r w:rsidRPr="00A14146">
        <w:rPr>
          <w:rFonts w:ascii="Century" w:hAnsi="Century" w:hint="eastAsia"/>
          <w:rtl/>
        </w:rPr>
        <w:t>הזכויות</w:t>
      </w:r>
      <w:r w:rsidRPr="00A14146">
        <w:rPr>
          <w:rFonts w:ascii="Century" w:hAnsi="Century"/>
          <w:rtl/>
        </w:rPr>
        <w:t xml:space="preserve"> </w:t>
      </w:r>
      <w:r w:rsidRPr="00A14146">
        <w:rPr>
          <w:rFonts w:ascii="Century" w:hAnsi="Century" w:hint="eastAsia"/>
          <w:rtl/>
        </w:rPr>
        <w:t>בנכס</w:t>
      </w:r>
      <w:r>
        <w:rPr>
          <w:rFonts w:ascii="Century" w:hAnsi="Century" w:hint="cs"/>
          <w:rtl/>
        </w:rPr>
        <w:t xml:space="preserve">. בית המשפט המחוזי דחה </w:t>
      </w:r>
      <w:r w:rsidRPr="00A14146">
        <w:rPr>
          <w:rFonts w:ascii="Century" w:hAnsi="Century" w:hint="eastAsia"/>
          <w:rtl/>
        </w:rPr>
        <w:t>את</w:t>
      </w:r>
      <w:r w:rsidRPr="00A14146">
        <w:rPr>
          <w:rFonts w:ascii="Century" w:hAnsi="Century"/>
          <w:rtl/>
        </w:rPr>
        <w:t xml:space="preserve"> </w:t>
      </w:r>
      <w:r w:rsidRPr="00A14146">
        <w:rPr>
          <w:rFonts w:ascii="Century" w:hAnsi="Century" w:hint="eastAsia"/>
          <w:rtl/>
        </w:rPr>
        <w:t>טענת</w:t>
      </w:r>
      <w:r w:rsidRPr="00A14146">
        <w:rPr>
          <w:rFonts w:ascii="Century" w:hAnsi="Century"/>
          <w:rtl/>
        </w:rPr>
        <w:t xml:space="preserve"> </w:t>
      </w:r>
      <w:r w:rsidRPr="00A14146">
        <w:rPr>
          <w:rFonts w:ascii="Century" w:hAnsi="Century" w:hint="eastAsia"/>
          <w:rtl/>
        </w:rPr>
        <w:t>ההתיישנות</w:t>
      </w:r>
      <w:r w:rsidRPr="00A14146">
        <w:rPr>
          <w:rFonts w:ascii="Century" w:hAnsi="Century"/>
          <w:rtl/>
        </w:rPr>
        <w:t xml:space="preserve"> </w:t>
      </w:r>
      <w:r>
        <w:rPr>
          <w:rFonts w:ascii="Century" w:hAnsi="Century" w:hint="cs"/>
          <w:rtl/>
        </w:rPr>
        <w:t>ו</w:t>
      </w:r>
      <w:r w:rsidRPr="00A14146">
        <w:rPr>
          <w:rFonts w:ascii="Century" w:hAnsi="Century" w:hint="eastAsia"/>
          <w:rtl/>
        </w:rPr>
        <w:t>קבע</w:t>
      </w:r>
      <w:r w:rsidRPr="00A14146">
        <w:rPr>
          <w:rFonts w:ascii="Century" w:hAnsi="Century"/>
          <w:rtl/>
        </w:rPr>
        <w:t xml:space="preserve"> </w:t>
      </w:r>
      <w:r w:rsidRPr="00A14146">
        <w:rPr>
          <w:rFonts w:ascii="Century" w:hAnsi="Century" w:hint="eastAsia"/>
          <w:rtl/>
        </w:rPr>
        <w:t>כי</w:t>
      </w:r>
      <w:r w:rsidRPr="00A14146">
        <w:rPr>
          <w:rFonts w:ascii="Century" w:hAnsi="Century"/>
          <w:rtl/>
        </w:rPr>
        <w:t xml:space="preserve"> </w:t>
      </w:r>
      <w:r w:rsidRPr="00A14146">
        <w:rPr>
          <w:rFonts w:ascii="Century" w:hAnsi="Century" w:hint="eastAsia"/>
          <w:rtl/>
        </w:rPr>
        <w:t>התקיימו</w:t>
      </w:r>
      <w:r w:rsidRPr="00A14146">
        <w:rPr>
          <w:rFonts w:ascii="Century" w:hAnsi="Century"/>
          <w:rtl/>
        </w:rPr>
        <w:t xml:space="preserve"> </w:t>
      </w:r>
      <w:r w:rsidRPr="00A14146">
        <w:rPr>
          <w:rFonts w:ascii="Century" w:hAnsi="Century" w:hint="eastAsia"/>
          <w:rtl/>
        </w:rPr>
        <w:t>יסודות</w:t>
      </w:r>
      <w:r w:rsidRPr="00A14146">
        <w:rPr>
          <w:rFonts w:ascii="Century" w:hAnsi="Century"/>
          <w:rtl/>
        </w:rPr>
        <w:t xml:space="preserve"> </w:t>
      </w:r>
      <w:r w:rsidRPr="00A14146">
        <w:rPr>
          <w:rFonts w:ascii="Century" w:hAnsi="Century" w:hint="eastAsia"/>
          <w:rtl/>
        </w:rPr>
        <w:t>העוולה</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הפרת</w:t>
      </w:r>
      <w:r w:rsidRPr="00A14146">
        <w:rPr>
          <w:rFonts w:ascii="Century" w:hAnsi="Century"/>
          <w:rtl/>
        </w:rPr>
        <w:t xml:space="preserve"> </w:t>
      </w:r>
      <w:r w:rsidRPr="00A14146">
        <w:rPr>
          <w:rFonts w:ascii="Century" w:hAnsi="Century" w:hint="eastAsia"/>
          <w:rtl/>
        </w:rPr>
        <w:t>חובה</w:t>
      </w:r>
      <w:r w:rsidRPr="00A14146">
        <w:rPr>
          <w:rFonts w:ascii="Century" w:hAnsi="Century"/>
          <w:rtl/>
        </w:rPr>
        <w:t xml:space="preserve"> </w:t>
      </w:r>
      <w:r w:rsidRPr="00A14146">
        <w:rPr>
          <w:rFonts w:ascii="Century" w:hAnsi="Century" w:hint="eastAsia"/>
          <w:rtl/>
        </w:rPr>
        <w:t>חקוקה</w:t>
      </w:r>
      <w:r>
        <w:rPr>
          <w:rFonts w:ascii="Century" w:hAnsi="Century" w:hint="cs"/>
          <w:rtl/>
        </w:rPr>
        <w:t>.</w:t>
      </w:r>
      <w:r w:rsidRPr="00AD709C">
        <w:rPr>
          <w:rFonts w:ascii="Century" w:hAnsi="Century" w:hint="eastAsia"/>
          <w:rtl/>
        </w:rPr>
        <w:t xml:space="preserve"> </w:t>
      </w:r>
      <w:r>
        <w:rPr>
          <w:rFonts w:ascii="Century" w:hAnsi="Century" w:hint="cs"/>
          <w:rtl/>
        </w:rPr>
        <w:t xml:space="preserve">לפיכך בית המשפט המחוזי </w:t>
      </w:r>
      <w:r w:rsidRPr="00A14146">
        <w:rPr>
          <w:rFonts w:ascii="Century" w:hAnsi="Century" w:hint="eastAsia"/>
          <w:rtl/>
        </w:rPr>
        <w:t>הורה</w:t>
      </w:r>
      <w:r w:rsidRPr="00A14146">
        <w:rPr>
          <w:rFonts w:ascii="Century" w:hAnsi="Century"/>
          <w:rtl/>
        </w:rPr>
        <w:t xml:space="preserve"> </w:t>
      </w:r>
      <w:r w:rsidRPr="00A14146">
        <w:rPr>
          <w:rFonts w:ascii="Century" w:hAnsi="Century" w:hint="eastAsia"/>
          <w:rtl/>
        </w:rPr>
        <w:t>לבני</w:t>
      </w:r>
      <w:r w:rsidRPr="00A14146">
        <w:rPr>
          <w:rFonts w:ascii="Century" w:hAnsi="Century"/>
          <w:rtl/>
        </w:rPr>
        <w:t xml:space="preserve"> </w:t>
      </w:r>
      <w:r>
        <w:rPr>
          <w:rFonts w:ascii="Century" w:hAnsi="Century" w:hint="cs"/>
          <w:rtl/>
        </w:rPr>
        <w:t>משפחת דוויק</w:t>
      </w:r>
      <w:r w:rsidRPr="00A14146">
        <w:rPr>
          <w:rFonts w:ascii="Century" w:hAnsi="Century"/>
          <w:rtl/>
        </w:rPr>
        <w:t xml:space="preserve"> </w:t>
      </w:r>
      <w:r w:rsidRPr="00A14146">
        <w:rPr>
          <w:rFonts w:ascii="Century" w:hAnsi="Century" w:hint="eastAsia"/>
          <w:rtl/>
        </w:rPr>
        <w:t>להרוס</w:t>
      </w:r>
      <w:r w:rsidRPr="00A14146">
        <w:rPr>
          <w:rFonts w:ascii="Century" w:hAnsi="Century"/>
          <w:rtl/>
        </w:rPr>
        <w:t xml:space="preserve"> </w:t>
      </w:r>
      <w:r w:rsidRPr="00A14146">
        <w:rPr>
          <w:rFonts w:ascii="Century" w:hAnsi="Century" w:hint="eastAsia"/>
          <w:rtl/>
        </w:rPr>
        <w:t>את</w:t>
      </w:r>
      <w:r w:rsidRPr="00A14146">
        <w:rPr>
          <w:rFonts w:ascii="Century" w:hAnsi="Century"/>
          <w:rtl/>
        </w:rPr>
        <w:t xml:space="preserve"> </w:t>
      </w:r>
      <w:r w:rsidRPr="00A14146">
        <w:rPr>
          <w:rFonts w:ascii="Century" w:hAnsi="Century" w:hint="eastAsia"/>
          <w:rtl/>
        </w:rPr>
        <w:t>תוספות</w:t>
      </w:r>
      <w:r w:rsidRPr="00A14146">
        <w:rPr>
          <w:rFonts w:ascii="Century" w:hAnsi="Century"/>
          <w:rtl/>
        </w:rPr>
        <w:t xml:space="preserve"> </w:t>
      </w:r>
      <w:r w:rsidRPr="00A14146">
        <w:rPr>
          <w:rFonts w:ascii="Century" w:hAnsi="Century" w:hint="eastAsia"/>
          <w:rtl/>
        </w:rPr>
        <w:t>הבניה</w:t>
      </w:r>
      <w:r w:rsidRPr="00A14146">
        <w:rPr>
          <w:rFonts w:ascii="Century" w:hAnsi="Century"/>
          <w:rtl/>
        </w:rPr>
        <w:t xml:space="preserve"> </w:t>
      </w:r>
      <w:r w:rsidRPr="00A14146">
        <w:rPr>
          <w:rFonts w:ascii="Century" w:hAnsi="Century" w:hint="eastAsia"/>
          <w:rtl/>
        </w:rPr>
        <w:t>שנבנו</w:t>
      </w:r>
      <w:r w:rsidRPr="00A14146">
        <w:rPr>
          <w:rFonts w:ascii="Century" w:hAnsi="Century"/>
          <w:rtl/>
        </w:rPr>
        <w:t xml:space="preserve"> </w:t>
      </w:r>
      <w:r w:rsidRPr="00A14146">
        <w:rPr>
          <w:rFonts w:ascii="Century" w:hAnsi="Century" w:hint="eastAsia"/>
          <w:rtl/>
        </w:rPr>
        <w:t>על</w:t>
      </w:r>
      <w:r>
        <w:rPr>
          <w:rFonts w:ascii="Century" w:hAnsi="Century" w:hint="cs"/>
          <w:rtl/>
        </w:rPr>
        <w:t>-</w:t>
      </w:r>
      <w:r w:rsidRPr="00A14146">
        <w:rPr>
          <w:rFonts w:ascii="Century" w:hAnsi="Century" w:hint="eastAsia"/>
          <w:rtl/>
        </w:rPr>
        <w:t>ידם</w:t>
      </w:r>
      <w:r w:rsidRPr="00A14146">
        <w:rPr>
          <w:rFonts w:ascii="Century" w:hAnsi="Century"/>
          <w:rtl/>
        </w:rPr>
        <w:t xml:space="preserve"> </w:t>
      </w:r>
      <w:r w:rsidRPr="00A14146">
        <w:rPr>
          <w:rFonts w:ascii="Century" w:hAnsi="Century" w:hint="eastAsia"/>
          <w:rtl/>
        </w:rPr>
        <w:t>וכן</w:t>
      </w:r>
      <w:r w:rsidRPr="00A14146">
        <w:rPr>
          <w:rFonts w:ascii="Century" w:hAnsi="Century"/>
          <w:rtl/>
        </w:rPr>
        <w:t xml:space="preserve"> </w:t>
      </w:r>
      <w:r w:rsidRPr="00A14146">
        <w:rPr>
          <w:rFonts w:ascii="Century" w:hAnsi="Century" w:hint="eastAsia"/>
          <w:rtl/>
        </w:rPr>
        <w:t>להימנע</w:t>
      </w:r>
      <w:r w:rsidRPr="00A14146">
        <w:rPr>
          <w:rFonts w:ascii="Century" w:hAnsi="Century"/>
          <w:rtl/>
        </w:rPr>
        <w:t xml:space="preserve"> </w:t>
      </w:r>
      <w:r w:rsidRPr="00A14146">
        <w:rPr>
          <w:rFonts w:ascii="Century" w:hAnsi="Century" w:hint="eastAsia"/>
          <w:rtl/>
        </w:rPr>
        <w:t>מביצוע</w:t>
      </w:r>
      <w:r>
        <w:rPr>
          <w:rFonts w:ascii="Century" w:hAnsi="Century" w:hint="cs"/>
          <w:rtl/>
        </w:rPr>
        <w:t>ן</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עבודות</w:t>
      </w:r>
      <w:r w:rsidRPr="00A14146">
        <w:rPr>
          <w:rFonts w:ascii="Century" w:hAnsi="Century"/>
          <w:rtl/>
        </w:rPr>
        <w:t xml:space="preserve"> </w:t>
      </w:r>
      <w:r w:rsidRPr="00A14146">
        <w:rPr>
          <w:rFonts w:ascii="Century" w:hAnsi="Century" w:hint="eastAsia"/>
          <w:rtl/>
        </w:rPr>
        <w:t>בניה</w:t>
      </w:r>
      <w:r w:rsidRPr="00A14146">
        <w:rPr>
          <w:rFonts w:ascii="Century" w:hAnsi="Century"/>
          <w:rtl/>
        </w:rPr>
        <w:t xml:space="preserve"> </w:t>
      </w:r>
      <w:r w:rsidRPr="00A14146">
        <w:rPr>
          <w:rFonts w:ascii="Century" w:hAnsi="Century" w:hint="eastAsia"/>
          <w:rtl/>
        </w:rPr>
        <w:t>ופיתוח</w:t>
      </w:r>
      <w:r w:rsidRPr="00A14146">
        <w:rPr>
          <w:rFonts w:ascii="Century" w:hAnsi="Century"/>
          <w:rtl/>
        </w:rPr>
        <w:t xml:space="preserve"> </w:t>
      </w:r>
      <w:r>
        <w:rPr>
          <w:rFonts w:ascii="Century" w:hAnsi="Century" w:hint="cs"/>
          <w:rtl/>
        </w:rPr>
        <w:t xml:space="preserve">נוספות </w:t>
      </w:r>
      <w:r w:rsidRPr="00A14146">
        <w:rPr>
          <w:rFonts w:ascii="Century" w:hAnsi="Century" w:hint="eastAsia"/>
          <w:rtl/>
        </w:rPr>
        <w:t>בנכס</w:t>
      </w:r>
      <w:r w:rsidRPr="00A14146">
        <w:rPr>
          <w:rFonts w:ascii="Century" w:hAnsi="Century"/>
          <w:rtl/>
        </w:rPr>
        <w:t xml:space="preserve">. </w:t>
      </w:r>
    </w:p>
    <w:p w:rsidR="00761030" w:rsidRPr="00A14146"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11</w:t>
      </w:r>
      <w:r w:rsidRPr="00A14146">
        <w:rPr>
          <w:rFonts w:ascii="Century" w:hAnsi="Century"/>
          <w:rtl/>
        </w:rPr>
        <w:t>.</w:t>
      </w:r>
      <w:r>
        <w:rPr>
          <w:rFonts w:ascii="Century" w:hAnsi="Century"/>
          <w:rtl/>
        </w:rPr>
        <w:tab/>
      </w:r>
      <w:r w:rsidRPr="00A14146">
        <w:rPr>
          <w:rFonts w:ascii="Century" w:hAnsi="Century" w:hint="eastAsia"/>
          <w:rtl/>
        </w:rPr>
        <w:t>ערעור</w:t>
      </w:r>
      <w:r w:rsidRPr="00A14146">
        <w:rPr>
          <w:rFonts w:ascii="Century" w:hAnsi="Century"/>
          <w:rtl/>
        </w:rPr>
        <w:t xml:space="preserve"> </w:t>
      </w:r>
      <w:r w:rsidRPr="00A14146">
        <w:rPr>
          <w:rFonts w:ascii="Century" w:hAnsi="Century" w:hint="eastAsia"/>
          <w:rtl/>
        </w:rPr>
        <w:t>שהגישו</w:t>
      </w:r>
      <w:r w:rsidRPr="00A14146">
        <w:rPr>
          <w:rFonts w:ascii="Century" w:hAnsi="Century"/>
          <w:rtl/>
        </w:rPr>
        <w:t xml:space="preserve"> </w:t>
      </w:r>
      <w:r w:rsidRPr="00A14146">
        <w:rPr>
          <w:rFonts w:ascii="Century" w:hAnsi="Century" w:hint="eastAsia"/>
          <w:rtl/>
        </w:rPr>
        <w:t>בני</w:t>
      </w:r>
      <w:r w:rsidRPr="00A14146">
        <w:rPr>
          <w:rFonts w:ascii="Century" w:hAnsi="Century"/>
          <w:rtl/>
        </w:rPr>
        <w:t xml:space="preserve"> </w:t>
      </w:r>
      <w:r w:rsidRPr="00A14146">
        <w:rPr>
          <w:rFonts w:ascii="Century" w:hAnsi="Century" w:hint="eastAsia"/>
          <w:rtl/>
        </w:rPr>
        <w:t>משפחת</w:t>
      </w:r>
      <w:r w:rsidRPr="00A14146">
        <w:rPr>
          <w:rFonts w:ascii="Century" w:hAnsi="Century"/>
          <w:rtl/>
        </w:rPr>
        <w:t xml:space="preserve"> </w:t>
      </w:r>
      <w:r w:rsidRPr="00A14146">
        <w:rPr>
          <w:rFonts w:ascii="Century" w:hAnsi="Century" w:hint="eastAsia"/>
          <w:rtl/>
        </w:rPr>
        <w:t>דוויק</w:t>
      </w:r>
      <w:r>
        <w:rPr>
          <w:rFonts w:ascii="Century" w:hAnsi="Century" w:hint="cs"/>
          <w:rtl/>
        </w:rPr>
        <w:t xml:space="preserve"> על פסק הדין</w:t>
      </w:r>
      <w:r w:rsidRPr="00A14146">
        <w:rPr>
          <w:rFonts w:ascii="Century" w:hAnsi="Century"/>
          <w:rtl/>
        </w:rPr>
        <w:t xml:space="preserve"> </w:t>
      </w:r>
      <w:r w:rsidRPr="00A14146">
        <w:rPr>
          <w:rFonts w:ascii="Century" w:hAnsi="Century" w:hint="eastAsia"/>
          <w:rtl/>
        </w:rPr>
        <w:t>לבית</w:t>
      </w:r>
      <w:r w:rsidRPr="00A14146">
        <w:rPr>
          <w:rFonts w:ascii="Century" w:hAnsi="Century"/>
          <w:rtl/>
        </w:rPr>
        <w:t xml:space="preserve"> </w:t>
      </w:r>
      <w:r w:rsidRPr="00A14146">
        <w:rPr>
          <w:rFonts w:ascii="Century" w:hAnsi="Century" w:hint="eastAsia"/>
          <w:rtl/>
        </w:rPr>
        <w:t>משפט</w:t>
      </w:r>
      <w:r w:rsidRPr="00A14146">
        <w:rPr>
          <w:rFonts w:ascii="Century" w:hAnsi="Century"/>
          <w:rtl/>
        </w:rPr>
        <w:t xml:space="preserve"> </w:t>
      </w:r>
      <w:r w:rsidRPr="00A14146">
        <w:rPr>
          <w:rFonts w:ascii="Century" w:hAnsi="Century" w:hint="eastAsia"/>
          <w:rtl/>
        </w:rPr>
        <w:t>זה</w:t>
      </w:r>
      <w:r w:rsidRPr="00A14146">
        <w:rPr>
          <w:rFonts w:ascii="Century" w:hAnsi="Century"/>
          <w:rtl/>
        </w:rPr>
        <w:t xml:space="preserve"> </w:t>
      </w:r>
      <w:r w:rsidRPr="00A14146">
        <w:rPr>
          <w:rFonts w:ascii="Century" w:hAnsi="Century" w:hint="eastAsia"/>
          <w:rtl/>
        </w:rPr>
        <w:t>התקבל</w:t>
      </w:r>
      <w:r>
        <w:rPr>
          <w:rFonts w:ascii="Century" w:hAnsi="Century" w:hint="cs"/>
          <w:rtl/>
        </w:rPr>
        <w:t xml:space="preserve"> ביום 27.7.2014</w:t>
      </w:r>
      <w:r w:rsidRPr="00A14146">
        <w:rPr>
          <w:rFonts w:ascii="Century" w:hAnsi="Century"/>
          <w:rtl/>
        </w:rPr>
        <w:t xml:space="preserve"> (</w:t>
      </w:r>
      <w:r>
        <w:rPr>
          <w:rFonts w:ascii="Century" w:hAnsi="Century" w:hint="cs"/>
          <w:rtl/>
        </w:rPr>
        <w:t xml:space="preserve">ע"א 5522/12, </w:t>
      </w:r>
      <w:r w:rsidRPr="00A14146">
        <w:rPr>
          <w:rFonts w:ascii="Century" w:hAnsi="Century" w:hint="eastAsia"/>
          <w:rtl/>
        </w:rPr>
        <w:t>המשנה</w:t>
      </w:r>
      <w:r w:rsidRPr="00A14146">
        <w:rPr>
          <w:rFonts w:ascii="Century" w:hAnsi="Century"/>
          <w:rtl/>
        </w:rPr>
        <w:t xml:space="preserve"> </w:t>
      </w:r>
      <w:r w:rsidRPr="00A14146">
        <w:rPr>
          <w:rFonts w:ascii="Century" w:hAnsi="Century" w:hint="eastAsia"/>
          <w:rtl/>
        </w:rPr>
        <w:t>לנשיא</w:t>
      </w:r>
      <w:r w:rsidRPr="00A14146">
        <w:rPr>
          <w:rFonts w:ascii="Century" w:hAnsi="Century"/>
          <w:rtl/>
        </w:rPr>
        <w:t xml:space="preserve"> (</w:t>
      </w:r>
      <w:r w:rsidRPr="00A14146">
        <w:rPr>
          <w:rFonts w:ascii="Century" w:hAnsi="Century" w:hint="eastAsia"/>
          <w:rtl/>
        </w:rPr>
        <w:t>כתוארה</w:t>
      </w:r>
      <w:r w:rsidRPr="00A14146">
        <w:rPr>
          <w:rFonts w:ascii="Century" w:hAnsi="Century"/>
          <w:rtl/>
        </w:rPr>
        <w:t xml:space="preserve"> </w:t>
      </w:r>
      <w:r w:rsidRPr="00A14146">
        <w:rPr>
          <w:rFonts w:ascii="Century" w:hAnsi="Century" w:hint="eastAsia"/>
          <w:rtl/>
        </w:rPr>
        <w:t>אז</w:t>
      </w:r>
      <w:r w:rsidRPr="00A14146">
        <w:rPr>
          <w:rFonts w:ascii="Century" w:hAnsi="Century"/>
          <w:rtl/>
        </w:rPr>
        <w:t xml:space="preserve">) </w:t>
      </w:r>
      <w:r w:rsidRPr="00D51299">
        <w:rPr>
          <w:rFonts w:ascii="Century" w:hAnsi="Century" w:cs="Miriam" w:hint="eastAsia"/>
          <w:b/>
          <w:spacing w:val="0"/>
          <w:szCs w:val="24"/>
          <w:rtl/>
        </w:rPr>
        <w:t>מ</w:t>
      </w:r>
      <w:r w:rsidRPr="00D51299">
        <w:rPr>
          <w:rFonts w:ascii="Century" w:hAnsi="Century" w:cs="Miriam"/>
          <w:b/>
          <w:spacing w:val="0"/>
          <w:szCs w:val="24"/>
          <w:rtl/>
        </w:rPr>
        <w:t xml:space="preserve">' </w:t>
      </w:r>
      <w:r w:rsidRPr="00D51299">
        <w:rPr>
          <w:rFonts w:ascii="Century" w:hAnsi="Century" w:cs="Miriam" w:hint="eastAsia"/>
          <w:b/>
          <w:spacing w:val="0"/>
          <w:szCs w:val="24"/>
          <w:rtl/>
        </w:rPr>
        <w:t>נאור</w:t>
      </w:r>
      <w:r w:rsidRPr="00A14146">
        <w:rPr>
          <w:rFonts w:ascii="Century" w:hAnsi="Century"/>
          <w:rtl/>
        </w:rPr>
        <w:t xml:space="preserve">, </w:t>
      </w:r>
      <w:r w:rsidRPr="00A14146">
        <w:rPr>
          <w:rFonts w:ascii="Century" w:hAnsi="Century" w:hint="eastAsia"/>
          <w:rtl/>
        </w:rPr>
        <w:t>השופט</w:t>
      </w:r>
      <w:r w:rsidRPr="00A14146">
        <w:rPr>
          <w:rFonts w:ascii="Century" w:hAnsi="Century"/>
          <w:rtl/>
        </w:rPr>
        <w:t xml:space="preserve"> </w:t>
      </w:r>
      <w:r w:rsidRPr="00D51299">
        <w:rPr>
          <w:rFonts w:ascii="Century" w:hAnsi="Century" w:cs="Miriam" w:hint="eastAsia"/>
          <w:b/>
          <w:spacing w:val="0"/>
          <w:szCs w:val="24"/>
          <w:rtl/>
        </w:rPr>
        <w:t>י</w:t>
      </w:r>
      <w:r w:rsidRPr="00D51299">
        <w:rPr>
          <w:rFonts w:ascii="Century" w:hAnsi="Century" w:cs="Miriam"/>
          <w:b/>
          <w:spacing w:val="0"/>
          <w:szCs w:val="24"/>
          <w:rtl/>
        </w:rPr>
        <w:t xml:space="preserve">' </w:t>
      </w:r>
      <w:r w:rsidRPr="00D51299">
        <w:rPr>
          <w:rFonts w:ascii="Century" w:hAnsi="Century" w:cs="Miriam" w:hint="eastAsia"/>
          <w:b/>
          <w:spacing w:val="0"/>
          <w:szCs w:val="24"/>
          <w:rtl/>
        </w:rPr>
        <w:t>עמית</w:t>
      </w:r>
      <w:r w:rsidRPr="00D51299">
        <w:rPr>
          <w:rFonts w:ascii="Century" w:hAnsi="Century"/>
          <w:rtl/>
        </w:rPr>
        <w:t xml:space="preserve"> </w:t>
      </w:r>
      <w:r w:rsidRPr="00A14146">
        <w:rPr>
          <w:rFonts w:ascii="Century" w:hAnsi="Century" w:hint="eastAsia"/>
          <w:rtl/>
        </w:rPr>
        <w:t>ואנוכי</w:t>
      </w:r>
      <w:r>
        <w:rPr>
          <w:rFonts w:ascii="Century" w:hAnsi="Century" w:hint="cs"/>
          <w:rtl/>
        </w:rPr>
        <w:t xml:space="preserve"> (להלן: עניין </w:t>
      </w:r>
      <w:r w:rsidRPr="00807662">
        <w:rPr>
          <w:rFonts w:ascii="Century" w:hAnsi="Century" w:cs="Miriam" w:hint="cs"/>
          <w:b/>
          <w:spacing w:val="0"/>
          <w:szCs w:val="24"/>
          <w:rtl/>
        </w:rPr>
        <w:t>דוויק הראשון</w:t>
      </w:r>
      <w:r>
        <w:rPr>
          <w:rFonts w:ascii="Century" w:hAnsi="Century" w:hint="cs"/>
          <w:rtl/>
        </w:rPr>
        <w:t>)</w:t>
      </w:r>
      <w:r w:rsidRPr="00A14146">
        <w:rPr>
          <w:rFonts w:ascii="Century" w:hAnsi="Century"/>
          <w:rtl/>
        </w:rPr>
        <w:t xml:space="preserve">). </w:t>
      </w:r>
      <w:r w:rsidRPr="00A14146">
        <w:rPr>
          <w:rFonts w:ascii="Century" w:hAnsi="Century" w:hint="eastAsia"/>
          <w:rtl/>
        </w:rPr>
        <w:t>באשר</w:t>
      </w:r>
      <w:r w:rsidRPr="00A14146">
        <w:rPr>
          <w:rFonts w:ascii="Century" w:hAnsi="Century"/>
          <w:rtl/>
        </w:rPr>
        <w:t xml:space="preserve"> </w:t>
      </w:r>
      <w:r w:rsidRPr="00A14146">
        <w:rPr>
          <w:rFonts w:ascii="Century" w:hAnsi="Century" w:hint="eastAsia"/>
          <w:rtl/>
        </w:rPr>
        <w:t>לזיהוי</w:t>
      </w:r>
      <w:r w:rsidRPr="00A14146">
        <w:rPr>
          <w:rFonts w:ascii="Century" w:hAnsi="Century"/>
          <w:rtl/>
        </w:rPr>
        <w:t xml:space="preserve"> </w:t>
      </w:r>
      <w:r w:rsidRPr="00A14146">
        <w:rPr>
          <w:rFonts w:ascii="Century" w:hAnsi="Century" w:hint="eastAsia"/>
          <w:rtl/>
        </w:rPr>
        <w:t>מיקומו</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הנכס</w:t>
      </w:r>
      <w:r w:rsidRPr="00A14146">
        <w:rPr>
          <w:rFonts w:ascii="Century" w:hAnsi="Century"/>
          <w:rtl/>
        </w:rPr>
        <w:t xml:space="preserve"> </w:t>
      </w:r>
      <w:r w:rsidRPr="00A14146">
        <w:rPr>
          <w:rFonts w:ascii="Century" w:hAnsi="Century" w:hint="eastAsia"/>
          <w:rtl/>
        </w:rPr>
        <w:t>נקבע</w:t>
      </w:r>
      <w:r w:rsidRPr="00A14146">
        <w:rPr>
          <w:rFonts w:ascii="Century" w:hAnsi="Century"/>
          <w:rtl/>
        </w:rPr>
        <w:t xml:space="preserve"> </w:t>
      </w:r>
      <w:r w:rsidRPr="00A14146">
        <w:rPr>
          <w:rFonts w:ascii="Century" w:hAnsi="Century" w:hint="eastAsia"/>
          <w:rtl/>
        </w:rPr>
        <w:t>בפסק</w:t>
      </w:r>
      <w:r w:rsidRPr="00A14146">
        <w:rPr>
          <w:rFonts w:ascii="Century" w:hAnsi="Century"/>
          <w:rtl/>
        </w:rPr>
        <w:t xml:space="preserve"> </w:t>
      </w:r>
      <w:r w:rsidRPr="00A14146">
        <w:rPr>
          <w:rFonts w:ascii="Century" w:hAnsi="Century" w:hint="eastAsia"/>
          <w:rtl/>
        </w:rPr>
        <w:t>הדין</w:t>
      </w:r>
      <w:r w:rsidRPr="00A14146">
        <w:rPr>
          <w:rFonts w:ascii="Century" w:hAnsi="Century"/>
          <w:rtl/>
        </w:rPr>
        <w:t xml:space="preserve"> </w:t>
      </w:r>
      <w:r w:rsidRPr="00A14146">
        <w:rPr>
          <w:rFonts w:ascii="Century" w:hAnsi="Century" w:hint="eastAsia"/>
          <w:rtl/>
        </w:rPr>
        <w:t>כי</w:t>
      </w:r>
      <w:r w:rsidRPr="00A14146">
        <w:rPr>
          <w:rFonts w:ascii="Century" w:hAnsi="Century"/>
          <w:rtl/>
        </w:rPr>
        <w:t xml:space="preserve"> </w:t>
      </w:r>
      <w:r w:rsidRPr="00A14146">
        <w:rPr>
          <w:rFonts w:ascii="Century" w:hAnsi="Century" w:hint="eastAsia"/>
          <w:rtl/>
        </w:rPr>
        <w:t>אין</w:t>
      </w:r>
      <w:r w:rsidRPr="00A14146">
        <w:rPr>
          <w:rFonts w:ascii="Century" w:hAnsi="Century"/>
          <w:rtl/>
        </w:rPr>
        <w:t xml:space="preserve"> </w:t>
      </w:r>
      <w:r w:rsidRPr="00A14146">
        <w:rPr>
          <w:rFonts w:ascii="Century" w:hAnsi="Century" w:hint="eastAsia"/>
          <w:rtl/>
        </w:rPr>
        <w:t>מקום</w:t>
      </w:r>
      <w:r w:rsidRPr="00A14146">
        <w:rPr>
          <w:rFonts w:ascii="Century" w:hAnsi="Century"/>
          <w:rtl/>
        </w:rPr>
        <w:t xml:space="preserve"> </w:t>
      </w:r>
      <w:r w:rsidRPr="00A14146">
        <w:rPr>
          <w:rFonts w:ascii="Century" w:hAnsi="Century" w:hint="eastAsia"/>
          <w:rtl/>
        </w:rPr>
        <w:t>להתערב</w:t>
      </w:r>
      <w:r w:rsidRPr="00A14146">
        <w:rPr>
          <w:rFonts w:ascii="Century" w:hAnsi="Century"/>
          <w:rtl/>
        </w:rPr>
        <w:t xml:space="preserve"> </w:t>
      </w:r>
      <w:r w:rsidRPr="00A14146">
        <w:rPr>
          <w:rFonts w:ascii="Century" w:hAnsi="Century" w:hint="eastAsia"/>
          <w:rtl/>
        </w:rPr>
        <w:t>בקביעתו</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בית</w:t>
      </w:r>
      <w:r w:rsidRPr="00A14146">
        <w:rPr>
          <w:rFonts w:ascii="Century" w:hAnsi="Century"/>
          <w:rtl/>
        </w:rPr>
        <w:t xml:space="preserve"> </w:t>
      </w:r>
      <w:r w:rsidRPr="00A14146">
        <w:rPr>
          <w:rFonts w:ascii="Century" w:hAnsi="Century" w:hint="eastAsia"/>
          <w:rtl/>
        </w:rPr>
        <w:t>המשפט</w:t>
      </w:r>
      <w:r w:rsidRPr="00A14146">
        <w:rPr>
          <w:rFonts w:ascii="Century" w:hAnsi="Century"/>
          <w:rtl/>
        </w:rPr>
        <w:t xml:space="preserve"> </w:t>
      </w:r>
      <w:r w:rsidRPr="00A14146">
        <w:rPr>
          <w:rFonts w:ascii="Century" w:hAnsi="Century" w:hint="eastAsia"/>
          <w:rtl/>
        </w:rPr>
        <w:t>המחוזי</w:t>
      </w:r>
      <w:r w:rsidRPr="00A14146">
        <w:rPr>
          <w:rFonts w:ascii="Century" w:hAnsi="Century"/>
          <w:rtl/>
        </w:rPr>
        <w:t xml:space="preserve"> </w:t>
      </w:r>
      <w:r w:rsidRPr="00A14146">
        <w:rPr>
          <w:rFonts w:ascii="Century" w:hAnsi="Century" w:hint="eastAsia"/>
          <w:rtl/>
        </w:rPr>
        <w:t>לפיה</w:t>
      </w:r>
      <w:r w:rsidRPr="00A14146">
        <w:rPr>
          <w:rFonts w:ascii="Century" w:hAnsi="Century"/>
          <w:rtl/>
        </w:rPr>
        <w:t xml:space="preserve"> "</w:t>
      </w:r>
      <w:r w:rsidRPr="00A14146">
        <w:rPr>
          <w:rFonts w:ascii="Century" w:hAnsi="Century" w:hint="eastAsia"/>
          <w:rtl/>
        </w:rPr>
        <w:t>הנכס</w:t>
      </w:r>
      <w:r w:rsidRPr="00A14146">
        <w:rPr>
          <w:rFonts w:ascii="Century" w:hAnsi="Century"/>
          <w:rtl/>
        </w:rPr>
        <w:t xml:space="preserve"> </w:t>
      </w:r>
      <w:r w:rsidRPr="00A14146">
        <w:rPr>
          <w:rFonts w:ascii="Century" w:hAnsi="Century" w:hint="eastAsia"/>
          <w:rtl/>
        </w:rPr>
        <w:t>שבו</w:t>
      </w:r>
      <w:r w:rsidRPr="00A14146">
        <w:rPr>
          <w:rFonts w:ascii="Century" w:hAnsi="Century"/>
          <w:rtl/>
        </w:rPr>
        <w:t xml:space="preserve"> </w:t>
      </w:r>
      <w:r w:rsidRPr="00A14146">
        <w:rPr>
          <w:rFonts w:ascii="Century" w:hAnsi="Century" w:hint="eastAsia"/>
          <w:rtl/>
        </w:rPr>
        <w:t>מתגוררים</w:t>
      </w:r>
      <w:r w:rsidRPr="00A14146">
        <w:rPr>
          <w:rFonts w:ascii="Century" w:hAnsi="Century"/>
          <w:rtl/>
        </w:rPr>
        <w:t xml:space="preserve"> </w:t>
      </w:r>
      <w:r w:rsidRPr="00A14146">
        <w:rPr>
          <w:rFonts w:ascii="Century" w:hAnsi="Century" w:hint="eastAsia"/>
          <w:rtl/>
        </w:rPr>
        <w:t>המערערים</w:t>
      </w:r>
      <w:r w:rsidRPr="00A14146">
        <w:rPr>
          <w:rFonts w:ascii="Century" w:hAnsi="Century"/>
          <w:rtl/>
        </w:rPr>
        <w:t xml:space="preserve"> [</w:t>
      </w:r>
      <w:r w:rsidRPr="00A14146">
        <w:rPr>
          <w:rFonts w:ascii="Century" w:hAnsi="Century" w:hint="eastAsia"/>
          <w:rtl/>
        </w:rPr>
        <w:t>בני</w:t>
      </w:r>
      <w:r w:rsidRPr="00A14146">
        <w:rPr>
          <w:rFonts w:ascii="Century" w:hAnsi="Century"/>
          <w:rtl/>
        </w:rPr>
        <w:t xml:space="preserve"> </w:t>
      </w:r>
      <w:r w:rsidRPr="00A14146">
        <w:rPr>
          <w:rFonts w:ascii="Century" w:hAnsi="Century" w:hint="eastAsia"/>
          <w:rtl/>
        </w:rPr>
        <w:t>משפחת</w:t>
      </w:r>
      <w:r w:rsidRPr="00A14146">
        <w:rPr>
          <w:rFonts w:ascii="Century" w:hAnsi="Century"/>
          <w:rtl/>
        </w:rPr>
        <w:t xml:space="preserve"> </w:t>
      </w:r>
      <w:r w:rsidRPr="00A14146">
        <w:rPr>
          <w:rFonts w:ascii="Century" w:hAnsi="Century" w:hint="eastAsia"/>
          <w:rtl/>
        </w:rPr>
        <w:t>דוויק</w:t>
      </w:r>
      <w:r w:rsidRPr="00A14146">
        <w:rPr>
          <w:rFonts w:ascii="Century" w:hAnsi="Century"/>
          <w:rtl/>
        </w:rPr>
        <w:t xml:space="preserve"> – </w:t>
      </w:r>
      <w:r w:rsidRPr="0082664B">
        <w:rPr>
          <w:rFonts w:ascii="Century" w:hAnsi="Century" w:cs="Miriam" w:hint="eastAsia"/>
          <w:b/>
          <w:spacing w:val="0"/>
          <w:szCs w:val="24"/>
          <w:rtl/>
        </w:rPr>
        <w:t>ד</w:t>
      </w:r>
      <w:r w:rsidRPr="0082664B">
        <w:rPr>
          <w:rFonts w:ascii="Century" w:hAnsi="Century" w:cs="Miriam"/>
          <w:b/>
          <w:spacing w:val="0"/>
          <w:szCs w:val="24"/>
          <w:rtl/>
        </w:rPr>
        <w:t xml:space="preserve">' </w:t>
      </w:r>
      <w:r w:rsidRPr="0082664B">
        <w:rPr>
          <w:rFonts w:ascii="Century" w:hAnsi="Century" w:cs="Miriam" w:hint="eastAsia"/>
          <w:b/>
          <w:spacing w:val="0"/>
          <w:szCs w:val="24"/>
          <w:rtl/>
        </w:rPr>
        <w:t>ב</w:t>
      </w:r>
      <w:r w:rsidRPr="0082664B">
        <w:rPr>
          <w:rFonts w:ascii="Century" w:hAnsi="Century" w:cs="Miriam"/>
          <w:b/>
          <w:spacing w:val="0"/>
          <w:szCs w:val="24"/>
          <w:rtl/>
        </w:rPr>
        <w:t xml:space="preserve">' </w:t>
      </w:r>
      <w:r w:rsidRPr="0082664B">
        <w:rPr>
          <w:rFonts w:ascii="Century" w:hAnsi="Century" w:cs="Miriam" w:hint="eastAsia"/>
          <w:b/>
          <w:spacing w:val="0"/>
          <w:szCs w:val="24"/>
          <w:rtl/>
        </w:rPr>
        <w:t>א</w:t>
      </w:r>
      <w:r w:rsidRPr="0082664B">
        <w:rPr>
          <w:rFonts w:ascii="Century" w:hAnsi="Century" w:cs="Miriam"/>
          <w:b/>
          <w:spacing w:val="0"/>
          <w:szCs w:val="24"/>
          <w:rtl/>
        </w:rPr>
        <w:t>'</w:t>
      </w:r>
      <w:r w:rsidRPr="00A14146">
        <w:rPr>
          <w:rFonts w:ascii="Century" w:hAnsi="Century"/>
          <w:rtl/>
        </w:rPr>
        <w:t xml:space="preserve">] </w:t>
      </w:r>
      <w:r w:rsidRPr="00A14146">
        <w:rPr>
          <w:rFonts w:ascii="Century" w:hAnsi="Century" w:hint="eastAsia"/>
          <w:rtl/>
        </w:rPr>
        <w:t>שייך</w:t>
      </w:r>
      <w:r w:rsidRPr="00A14146">
        <w:rPr>
          <w:rFonts w:ascii="Century" w:hAnsi="Century"/>
          <w:rtl/>
        </w:rPr>
        <w:t xml:space="preserve"> </w:t>
      </w:r>
      <w:r w:rsidRPr="00A14146">
        <w:rPr>
          <w:rFonts w:ascii="Century" w:hAnsi="Century" w:hint="eastAsia"/>
          <w:rtl/>
        </w:rPr>
        <w:t>להקדש</w:t>
      </w:r>
      <w:r w:rsidRPr="00A14146">
        <w:rPr>
          <w:rFonts w:ascii="Century" w:hAnsi="Century"/>
          <w:rtl/>
        </w:rPr>
        <w:t>" (</w:t>
      </w:r>
      <w:r w:rsidRPr="00E27E2C">
        <w:rPr>
          <w:rFonts w:ascii="Century" w:hAnsi="Century" w:cs="Miriam" w:hint="eastAsia"/>
          <w:b/>
          <w:spacing w:val="0"/>
          <w:szCs w:val="24"/>
          <w:rtl/>
        </w:rPr>
        <w:t>שם</w:t>
      </w:r>
      <w:r w:rsidRPr="00A14146">
        <w:rPr>
          <w:rFonts w:ascii="Century" w:hAnsi="Century"/>
          <w:rtl/>
        </w:rPr>
        <w:t xml:space="preserve">, </w:t>
      </w:r>
      <w:r w:rsidRPr="00A14146">
        <w:rPr>
          <w:rFonts w:ascii="Century" w:hAnsi="Century" w:hint="eastAsia"/>
          <w:rtl/>
        </w:rPr>
        <w:t>בפסקה</w:t>
      </w:r>
      <w:r w:rsidRPr="00A14146">
        <w:rPr>
          <w:rFonts w:ascii="Century" w:hAnsi="Century"/>
          <w:rtl/>
        </w:rPr>
        <w:t xml:space="preserve"> 6).</w:t>
      </w:r>
      <w:r>
        <w:rPr>
          <w:rFonts w:ascii="Century" w:hAnsi="Century" w:hint="cs"/>
          <w:rtl/>
        </w:rPr>
        <w:t xml:space="preserve"> בכל הנוגע לשאלת ההתיישנות, נקבע בפסק הדין כי טענת ההתיישנות לא הועלתה על-ידי בני משפחת דוויק בהזדמנות הראשונה, ודי בכך כדי לדחותה על הסף באותו הליך. עם זאת המשנה לנשיא (כתוארה אז) </w:t>
      </w:r>
      <w:r w:rsidRPr="000D2DDD">
        <w:rPr>
          <w:rFonts w:ascii="Century" w:hAnsi="Century" w:cs="Miriam" w:hint="eastAsia"/>
          <w:b/>
          <w:spacing w:val="0"/>
          <w:szCs w:val="24"/>
          <w:rtl/>
        </w:rPr>
        <w:t>נאור</w:t>
      </w:r>
      <w:r w:rsidRPr="003D5DB2">
        <w:rPr>
          <w:rFonts w:ascii="Century" w:hAnsi="Century" w:hint="cs"/>
          <w:rtl/>
        </w:rPr>
        <w:t xml:space="preserve"> </w:t>
      </w:r>
      <w:r>
        <w:rPr>
          <w:rFonts w:ascii="Century" w:hAnsi="Century" w:hint="cs"/>
          <w:rtl/>
        </w:rPr>
        <w:t>ציינה כי "</w:t>
      </w:r>
      <w:r w:rsidRPr="00BA37EE">
        <w:rPr>
          <w:rFonts w:ascii="Century" w:hAnsi="Century" w:hint="eastAsia"/>
          <w:rtl/>
        </w:rPr>
        <w:t>אינני</w:t>
      </w:r>
      <w:r w:rsidRPr="00BA37EE">
        <w:rPr>
          <w:rFonts w:ascii="Century" w:hAnsi="Century"/>
          <w:rtl/>
        </w:rPr>
        <w:t xml:space="preserve"> </w:t>
      </w:r>
      <w:r w:rsidRPr="00BA37EE">
        <w:rPr>
          <w:rFonts w:ascii="Century" w:hAnsi="Century" w:hint="eastAsia"/>
          <w:rtl/>
        </w:rPr>
        <w:t>מחווה</w:t>
      </w:r>
      <w:r w:rsidRPr="00BA37EE">
        <w:rPr>
          <w:rFonts w:ascii="Century" w:hAnsi="Century"/>
          <w:rtl/>
        </w:rPr>
        <w:t xml:space="preserve"> </w:t>
      </w:r>
      <w:r w:rsidRPr="00BA37EE">
        <w:rPr>
          <w:rFonts w:ascii="Century" w:hAnsi="Century" w:hint="eastAsia"/>
          <w:rtl/>
        </w:rPr>
        <w:t>כל</w:t>
      </w:r>
      <w:r w:rsidRPr="00BA37EE">
        <w:rPr>
          <w:rFonts w:ascii="Century" w:hAnsi="Century"/>
          <w:rtl/>
        </w:rPr>
        <w:t xml:space="preserve"> </w:t>
      </w:r>
      <w:r w:rsidRPr="00BA37EE">
        <w:rPr>
          <w:rFonts w:ascii="Century" w:hAnsi="Century" w:hint="eastAsia"/>
          <w:rtl/>
        </w:rPr>
        <w:t>דעה</w:t>
      </w:r>
      <w:r w:rsidRPr="00BA37EE">
        <w:rPr>
          <w:rFonts w:ascii="Century" w:hAnsi="Century"/>
          <w:rtl/>
        </w:rPr>
        <w:t xml:space="preserve"> </w:t>
      </w:r>
      <w:r w:rsidRPr="00BA37EE">
        <w:rPr>
          <w:rFonts w:ascii="Century" w:hAnsi="Century" w:hint="eastAsia"/>
          <w:rtl/>
        </w:rPr>
        <w:t>בשאלה</w:t>
      </w:r>
      <w:r w:rsidRPr="00BA37EE">
        <w:rPr>
          <w:rFonts w:ascii="Century" w:hAnsi="Century"/>
          <w:rtl/>
        </w:rPr>
        <w:t xml:space="preserve"> </w:t>
      </w:r>
      <w:r w:rsidRPr="00BA37EE">
        <w:rPr>
          <w:rFonts w:ascii="Century" w:hAnsi="Century" w:hint="eastAsia"/>
          <w:rtl/>
        </w:rPr>
        <w:t>אם</w:t>
      </w:r>
      <w:r w:rsidRPr="00BA37EE">
        <w:rPr>
          <w:rFonts w:ascii="Century" w:hAnsi="Century"/>
          <w:rtl/>
        </w:rPr>
        <w:t xml:space="preserve"> </w:t>
      </w:r>
      <w:r w:rsidRPr="00BA37EE">
        <w:rPr>
          <w:rFonts w:ascii="Century" w:hAnsi="Century" w:hint="eastAsia"/>
          <w:rtl/>
        </w:rPr>
        <w:t>טענת</w:t>
      </w:r>
      <w:r w:rsidRPr="00BA37EE">
        <w:rPr>
          <w:rFonts w:ascii="Century" w:hAnsi="Century"/>
          <w:rtl/>
        </w:rPr>
        <w:t xml:space="preserve"> </w:t>
      </w:r>
      <w:r w:rsidRPr="00BA37EE">
        <w:rPr>
          <w:rFonts w:ascii="Century" w:hAnsi="Century" w:hint="eastAsia"/>
          <w:rtl/>
        </w:rPr>
        <w:t>ההתיישנות</w:t>
      </w:r>
      <w:r w:rsidRPr="00BA37EE">
        <w:rPr>
          <w:rFonts w:ascii="Century" w:hAnsi="Century"/>
          <w:rtl/>
        </w:rPr>
        <w:t xml:space="preserve"> </w:t>
      </w:r>
      <w:r w:rsidRPr="00BA37EE">
        <w:rPr>
          <w:rFonts w:ascii="Century" w:hAnsi="Century" w:hint="eastAsia"/>
          <w:rtl/>
        </w:rPr>
        <w:t>או</w:t>
      </w:r>
      <w:r w:rsidRPr="00BA37EE">
        <w:rPr>
          <w:rFonts w:ascii="Century" w:hAnsi="Century"/>
          <w:rtl/>
        </w:rPr>
        <w:t xml:space="preserve"> </w:t>
      </w:r>
      <w:r w:rsidRPr="00BA37EE">
        <w:rPr>
          <w:rFonts w:ascii="Century" w:hAnsi="Century" w:hint="eastAsia"/>
          <w:rtl/>
        </w:rPr>
        <w:t>טענה</w:t>
      </w:r>
      <w:r w:rsidRPr="00BA37EE">
        <w:rPr>
          <w:rFonts w:ascii="Century" w:hAnsi="Century"/>
          <w:rtl/>
        </w:rPr>
        <w:t xml:space="preserve"> </w:t>
      </w:r>
      <w:r w:rsidRPr="00BA37EE">
        <w:rPr>
          <w:rFonts w:ascii="Century" w:hAnsi="Century" w:hint="eastAsia"/>
          <w:rtl/>
        </w:rPr>
        <w:t>אחרת</w:t>
      </w:r>
      <w:r w:rsidRPr="00BA37EE">
        <w:rPr>
          <w:rFonts w:ascii="Century" w:hAnsi="Century"/>
          <w:rtl/>
        </w:rPr>
        <w:t xml:space="preserve"> </w:t>
      </w:r>
      <w:r w:rsidRPr="00BA37EE">
        <w:rPr>
          <w:rFonts w:ascii="Century" w:hAnsi="Century" w:hint="eastAsia"/>
          <w:rtl/>
        </w:rPr>
        <w:t>תוכל</w:t>
      </w:r>
      <w:r w:rsidRPr="00BA37EE">
        <w:rPr>
          <w:rFonts w:ascii="Century" w:hAnsi="Century"/>
          <w:rtl/>
        </w:rPr>
        <w:t xml:space="preserve"> </w:t>
      </w:r>
      <w:r w:rsidRPr="00BA37EE">
        <w:rPr>
          <w:rFonts w:ascii="Century" w:hAnsi="Century" w:hint="eastAsia"/>
          <w:rtl/>
        </w:rPr>
        <w:t>להועיל</w:t>
      </w:r>
      <w:r w:rsidRPr="00BA37EE">
        <w:rPr>
          <w:rFonts w:ascii="Century" w:hAnsi="Century"/>
          <w:rtl/>
        </w:rPr>
        <w:t xml:space="preserve"> </w:t>
      </w:r>
      <w:r w:rsidRPr="00BA37EE">
        <w:rPr>
          <w:rFonts w:ascii="Century" w:hAnsi="Century" w:hint="eastAsia"/>
          <w:rtl/>
        </w:rPr>
        <w:t>למערערים</w:t>
      </w:r>
      <w:r w:rsidRPr="00BA37EE">
        <w:rPr>
          <w:rFonts w:ascii="Century" w:hAnsi="Century"/>
          <w:rtl/>
        </w:rPr>
        <w:t xml:space="preserve"> </w:t>
      </w:r>
      <w:r w:rsidRPr="00BA37EE">
        <w:rPr>
          <w:rFonts w:ascii="Century" w:hAnsi="Century" w:hint="eastAsia"/>
          <w:rtl/>
        </w:rPr>
        <w:t>בהליך</w:t>
      </w:r>
      <w:r w:rsidRPr="00BA37EE">
        <w:rPr>
          <w:rFonts w:ascii="Century" w:hAnsi="Century"/>
          <w:rtl/>
        </w:rPr>
        <w:t xml:space="preserve"> </w:t>
      </w:r>
      <w:r w:rsidRPr="000D2DDD">
        <w:rPr>
          <w:rFonts w:ascii="Century" w:hAnsi="Century" w:cs="Miriam" w:hint="eastAsia"/>
          <w:b/>
          <w:spacing w:val="0"/>
          <w:szCs w:val="24"/>
          <w:rtl/>
        </w:rPr>
        <w:t>אחר</w:t>
      </w:r>
      <w:r w:rsidRPr="00BA37EE">
        <w:rPr>
          <w:rFonts w:ascii="Century" w:hAnsi="Century"/>
          <w:rtl/>
        </w:rPr>
        <w:t xml:space="preserve">, </w:t>
      </w:r>
      <w:r w:rsidRPr="00BA37EE">
        <w:rPr>
          <w:rFonts w:ascii="Century" w:hAnsi="Century" w:hint="eastAsia"/>
          <w:rtl/>
        </w:rPr>
        <w:t>אם</w:t>
      </w:r>
      <w:r w:rsidRPr="00BA37EE">
        <w:rPr>
          <w:rFonts w:ascii="Century" w:hAnsi="Century"/>
          <w:rtl/>
        </w:rPr>
        <w:t xml:space="preserve"> </w:t>
      </w:r>
      <w:r w:rsidRPr="00BA37EE">
        <w:rPr>
          <w:rFonts w:ascii="Century" w:hAnsi="Century" w:hint="eastAsia"/>
          <w:rtl/>
        </w:rPr>
        <w:t>המשיבים</w:t>
      </w:r>
      <w:r w:rsidRPr="00BA37EE">
        <w:rPr>
          <w:rFonts w:ascii="Century" w:hAnsi="Century"/>
          <w:rtl/>
        </w:rPr>
        <w:t xml:space="preserve"> </w:t>
      </w:r>
      <w:r w:rsidRPr="00BA37EE">
        <w:rPr>
          <w:rFonts w:ascii="Century" w:hAnsi="Century" w:hint="eastAsia"/>
          <w:rtl/>
        </w:rPr>
        <w:t>ינקטו</w:t>
      </w:r>
      <w:r w:rsidRPr="00BA37EE">
        <w:rPr>
          <w:rFonts w:ascii="Century" w:hAnsi="Century"/>
          <w:rtl/>
        </w:rPr>
        <w:t xml:space="preserve"> </w:t>
      </w:r>
      <w:r w:rsidRPr="00BA37EE">
        <w:rPr>
          <w:rFonts w:ascii="Century" w:hAnsi="Century" w:hint="eastAsia"/>
          <w:rtl/>
        </w:rPr>
        <w:t>בהליך</w:t>
      </w:r>
      <w:r w:rsidRPr="00BA37EE">
        <w:rPr>
          <w:rFonts w:ascii="Century" w:hAnsi="Century"/>
          <w:rtl/>
        </w:rPr>
        <w:t xml:space="preserve"> </w:t>
      </w:r>
      <w:r w:rsidRPr="00BA37EE">
        <w:rPr>
          <w:rFonts w:ascii="Century" w:hAnsi="Century" w:hint="eastAsia"/>
          <w:rtl/>
        </w:rPr>
        <w:t>כזה</w:t>
      </w:r>
      <w:r w:rsidRPr="00BA37EE">
        <w:rPr>
          <w:rFonts w:ascii="Century" w:hAnsi="Century"/>
          <w:rtl/>
        </w:rPr>
        <w:t xml:space="preserve"> </w:t>
      </w:r>
      <w:r w:rsidRPr="00BA37EE">
        <w:rPr>
          <w:rFonts w:ascii="Century" w:hAnsi="Century" w:hint="eastAsia"/>
          <w:rtl/>
        </w:rPr>
        <w:t>בעניין</w:t>
      </w:r>
      <w:r w:rsidRPr="00BA37EE">
        <w:rPr>
          <w:rFonts w:ascii="Century" w:hAnsi="Century"/>
          <w:rtl/>
        </w:rPr>
        <w:t xml:space="preserve"> </w:t>
      </w:r>
      <w:r w:rsidRPr="00BA37EE">
        <w:rPr>
          <w:rFonts w:ascii="Century" w:hAnsi="Century" w:hint="eastAsia"/>
          <w:rtl/>
        </w:rPr>
        <w:t>המבנה</w:t>
      </w:r>
      <w:r>
        <w:rPr>
          <w:rFonts w:ascii="Century" w:hAnsi="Century" w:hint="cs"/>
          <w:rtl/>
        </w:rPr>
        <w:t>" (</w:t>
      </w:r>
      <w:r w:rsidRPr="000D2DDD">
        <w:rPr>
          <w:rFonts w:ascii="Century" w:hAnsi="Century" w:cs="Miriam" w:hint="eastAsia"/>
          <w:b/>
          <w:spacing w:val="0"/>
          <w:szCs w:val="24"/>
          <w:rtl/>
        </w:rPr>
        <w:t>שם</w:t>
      </w:r>
      <w:r>
        <w:rPr>
          <w:rFonts w:ascii="Century" w:hAnsi="Century" w:hint="cs"/>
          <w:rtl/>
        </w:rPr>
        <w:t>, בפסקה 9)</w:t>
      </w:r>
      <w:r w:rsidRPr="00BA37EE">
        <w:rPr>
          <w:rFonts w:ascii="Century" w:hAnsi="Century"/>
          <w:rtl/>
        </w:rPr>
        <w:t>.</w:t>
      </w:r>
      <w:r>
        <w:rPr>
          <w:rFonts w:ascii="Century" w:hAnsi="Century" w:hint="cs"/>
          <w:rtl/>
        </w:rPr>
        <w:t xml:space="preserve"> </w:t>
      </w:r>
      <w:r w:rsidRPr="00A14146">
        <w:rPr>
          <w:rFonts w:ascii="Century" w:hAnsi="Century" w:hint="eastAsia"/>
          <w:rtl/>
        </w:rPr>
        <w:t>בצד</w:t>
      </w:r>
      <w:r w:rsidRPr="00A14146">
        <w:rPr>
          <w:rFonts w:ascii="Century" w:hAnsi="Century"/>
          <w:rtl/>
        </w:rPr>
        <w:t xml:space="preserve"> </w:t>
      </w:r>
      <w:r w:rsidRPr="00A14146">
        <w:rPr>
          <w:rFonts w:ascii="Century" w:hAnsi="Century" w:hint="eastAsia"/>
          <w:rtl/>
        </w:rPr>
        <w:t>זאת</w:t>
      </w:r>
      <w:r w:rsidRPr="00A14146">
        <w:rPr>
          <w:rFonts w:ascii="Century" w:hAnsi="Century"/>
          <w:rtl/>
        </w:rPr>
        <w:t xml:space="preserve">, </w:t>
      </w:r>
      <w:r w:rsidRPr="00A14146">
        <w:rPr>
          <w:rFonts w:ascii="Century" w:hAnsi="Century" w:hint="eastAsia"/>
          <w:rtl/>
        </w:rPr>
        <w:t>נקבע</w:t>
      </w:r>
      <w:r>
        <w:rPr>
          <w:rFonts w:ascii="Century" w:hAnsi="Century" w:hint="cs"/>
          <w:rtl/>
        </w:rPr>
        <w:t xml:space="preserve"> בפסק הדין</w:t>
      </w:r>
      <w:r w:rsidRPr="00A14146">
        <w:rPr>
          <w:rFonts w:ascii="Century" w:hAnsi="Century"/>
          <w:rtl/>
        </w:rPr>
        <w:t xml:space="preserve"> </w:t>
      </w:r>
      <w:r w:rsidRPr="00A14146">
        <w:rPr>
          <w:rFonts w:ascii="Century" w:hAnsi="Century" w:hint="eastAsia"/>
          <w:rtl/>
        </w:rPr>
        <w:t>כי</w:t>
      </w:r>
      <w:r w:rsidRPr="00A14146">
        <w:rPr>
          <w:rFonts w:ascii="Century" w:hAnsi="Century"/>
          <w:rtl/>
        </w:rPr>
        <w:t xml:space="preserve"> </w:t>
      </w:r>
      <w:r w:rsidRPr="00A14146">
        <w:rPr>
          <w:rFonts w:ascii="Century" w:hAnsi="Century" w:hint="eastAsia"/>
          <w:rtl/>
        </w:rPr>
        <w:t>לא</w:t>
      </w:r>
      <w:r w:rsidRPr="00A14146">
        <w:rPr>
          <w:rFonts w:ascii="Century" w:hAnsi="Century"/>
          <w:rtl/>
        </w:rPr>
        <w:t xml:space="preserve"> </w:t>
      </w:r>
      <w:r w:rsidRPr="00A14146">
        <w:rPr>
          <w:rFonts w:ascii="Century" w:hAnsi="Century" w:hint="eastAsia"/>
          <w:rtl/>
        </w:rPr>
        <w:t>מתקיימים</w:t>
      </w:r>
      <w:r w:rsidRPr="00A14146">
        <w:rPr>
          <w:rFonts w:ascii="Century" w:hAnsi="Century"/>
          <w:rtl/>
        </w:rPr>
        <w:t xml:space="preserve"> </w:t>
      </w:r>
      <w:r w:rsidRPr="00A14146">
        <w:rPr>
          <w:rFonts w:ascii="Century" w:hAnsi="Century" w:hint="eastAsia"/>
          <w:rtl/>
        </w:rPr>
        <w:t>היסודות</w:t>
      </w:r>
      <w:r w:rsidRPr="00A14146">
        <w:rPr>
          <w:rFonts w:ascii="Century" w:hAnsi="Century"/>
          <w:rtl/>
        </w:rPr>
        <w:t xml:space="preserve"> </w:t>
      </w:r>
      <w:r w:rsidRPr="00A14146">
        <w:rPr>
          <w:rFonts w:ascii="Century" w:hAnsi="Century" w:hint="eastAsia"/>
          <w:rtl/>
        </w:rPr>
        <w:t>הדרושים</w:t>
      </w:r>
      <w:r w:rsidRPr="00A14146">
        <w:rPr>
          <w:rFonts w:ascii="Century" w:hAnsi="Century"/>
          <w:rtl/>
        </w:rPr>
        <w:t xml:space="preserve"> </w:t>
      </w:r>
      <w:r w:rsidRPr="00A14146">
        <w:rPr>
          <w:rFonts w:ascii="Century" w:hAnsi="Century" w:hint="eastAsia"/>
          <w:rtl/>
        </w:rPr>
        <w:t>להגשת</w:t>
      </w:r>
      <w:r w:rsidRPr="00A14146">
        <w:rPr>
          <w:rFonts w:ascii="Century" w:hAnsi="Century"/>
          <w:rtl/>
        </w:rPr>
        <w:t xml:space="preserve"> </w:t>
      </w:r>
      <w:r w:rsidRPr="00A14146">
        <w:rPr>
          <w:rFonts w:ascii="Century" w:hAnsi="Century" w:hint="eastAsia"/>
          <w:rtl/>
        </w:rPr>
        <w:t>תביעה</w:t>
      </w:r>
      <w:r w:rsidRPr="00A14146">
        <w:rPr>
          <w:rFonts w:ascii="Century" w:hAnsi="Century"/>
          <w:rtl/>
        </w:rPr>
        <w:t xml:space="preserve"> </w:t>
      </w:r>
      <w:r w:rsidRPr="00A14146">
        <w:rPr>
          <w:rFonts w:ascii="Century" w:hAnsi="Century" w:hint="eastAsia"/>
          <w:rtl/>
        </w:rPr>
        <w:t>נגד</w:t>
      </w:r>
      <w:r w:rsidRPr="00A14146">
        <w:rPr>
          <w:rFonts w:ascii="Century" w:hAnsi="Century"/>
          <w:rtl/>
        </w:rPr>
        <w:t xml:space="preserve"> </w:t>
      </w:r>
      <w:r w:rsidRPr="00A14146">
        <w:rPr>
          <w:rFonts w:ascii="Century" w:hAnsi="Century" w:hint="eastAsia"/>
          <w:rtl/>
        </w:rPr>
        <w:t>המחזיקים</w:t>
      </w:r>
      <w:r w:rsidRPr="00A14146">
        <w:rPr>
          <w:rFonts w:ascii="Century" w:hAnsi="Century"/>
          <w:rtl/>
        </w:rPr>
        <w:t xml:space="preserve"> </w:t>
      </w:r>
      <w:r w:rsidRPr="00A14146">
        <w:rPr>
          <w:rFonts w:ascii="Century" w:hAnsi="Century" w:hint="eastAsia"/>
          <w:rtl/>
        </w:rPr>
        <w:t>בעילה</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הפרת</w:t>
      </w:r>
      <w:r w:rsidRPr="00A14146">
        <w:rPr>
          <w:rFonts w:ascii="Century" w:hAnsi="Century"/>
          <w:rtl/>
        </w:rPr>
        <w:t xml:space="preserve"> </w:t>
      </w:r>
      <w:r w:rsidRPr="00A14146">
        <w:rPr>
          <w:rFonts w:ascii="Century" w:hAnsi="Century" w:hint="eastAsia"/>
          <w:rtl/>
        </w:rPr>
        <w:t>חובה</w:t>
      </w:r>
      <w:r w:rsidRPr="00A14146">
        <w:rPr>
          <w:rFonts w:ascii="Century" w:hAnsi="Century"/>
          <w:rtl/>
        </w:rPr>
        <w:t xml:space="preserve"> </w:t>
      </w:r>
      <w:r w:rsidRPr="00A14146">
        <w:rPr>
          <w:rFonts w:ascii="Century" w:hAnsi="Century" w:hint="eastAsia"/>
          <w:rtl/>
        </w:rPr>
        <w:t>חקוקה</w:t>
      </w:r>
      <w:r>
        <w:rPr>
          <w:rFonts w:ascii="Century" w:hAnsi="Century" w:hint="cs"/>
          <w:rtl/>
        </w:rPr>
        <w:t>, במובן זה שדיני התכנון והבניה לא נועדו להקנות סעד לבעלי המקרקעין בגין בניה בלתי חוקית בהם</w:t>
      </w:r>
      <w:r w:rsidRPr="00A14146">
        <w:rPr>
          <w:rFonts w:ascii="Century" w:hAnsi="Century"/>
          <w:rtl/>
        </w:rPr>
        <w:t xml:space="preserve">. </w:t>
      </w:r>
      <w:r w:rsidRPr="00A14146">
        <w:rPr>
          <w:rFonts w:ascii="Century" w:hAnsi="Century" w:hint="eastAsia"/>
          <w:rtl/>
        </w:rPr>
        <w:t>עוד</w:t>
      </w:r>
      <w:r w:rsidRPr="00A14146">
        <w:rPr>
          <w:rFonts w:ascii="Century" w:hAnsi="Century"/>
          <w:rtl/>
        </w:rPr>
        <w:t xml:space="preserve"> </w:t>
      </w:r>
      <w:r w:rsidRPr="00A14146">
        <w:rPr>
          <w:rFonts w:ascii="Century" w:hAnsi="Century" w:hint="eastAsia"/>
          <w:rtl/>
        </w:rPr>
        <w:t>נקבע</w:t>
      </w:r>
      <w:r w:rsidRPr="00A14146">
        <w:rPr>
          <w:rFonts w:ascii="Century" w:hAnsi="Century"/>
          <w:rtl/>
        </w:rPr>
        <w:t xml:space="preserve"> </w:t>
      </w:r>
      <w:r w:rsidRPr="00A14146">
        <w:rPr>
          <w:rFonts w:ascii="Century" w:hAnsi="Century" w:hint="eastAsia"/>
          <w:rtl/>
        </w:rPr>
        <w:t>כי</w:t>
      </w:r>
      <w:r w:rsidRPr="00A14146">
        <w:rPr>
          <w:rFonts w:ascii="Century" w:hAnsi="Century"/>
          <w:rtl/>
        </w:rPr>
        <w:t xml:space="preserve"> </w:t>
      </w:r>
      <w:r w:rsidRPr="00A14146">
        <w:rPr>
          <w:rFonts w:ascii="Century" w:hAnsi="Century" w:hint="eastAsia"/>
          <w:rtl/>
        </w:rPr>
        <w:t>בפסק</w:t>
      </w:r>
      <w:r w:rsidRPr="00A14146">
        <w:rPr>
          <w:rFonts w:ascii="Century" w:hAnsi="Century"/>
          <w:rtl/>
        </w:rPr>
        <w:t xml:space="preserve"> </w:t>
      </w:r>
      <w:r w:rsidRPr="00A14146">
        <w:rPr>
          <w:rFonts w:ascii="Century" w:hAnsi="Century" w:hint="eastAsia"/>
          <w:rtl/>
        </w:rPr>
        <w:t>דינו</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בית</w:t>
      </w:r>
      <w:r w:rsidRPr="00A14146">
        <w:rPr>
          <w:rFonts w:ascii="Century" w:hAnsi="Century"/>
          <w:rtl/>
        </w:rPr>
        <w:t xml:space="preserve"> </w:t>
      </w:r>
      <w:r w:rsidRPr="00A14146">
        <w:rPr>
          <w:rFonts w:ascii="Century" w:hAnsi="Century" w:hint="eastAsia"/>
          <w:rtl/>
        </w:rPr>
        <w:t>המשפט</w:t>
      </w:r>
      <w:r w:rsidRPr="00A14146">
        <w:rPr>
          <w:rFonts w:ascii="Century" w:hAnsi="Century"/>
          <w:rtl/>
        </w:rPr>
        <w:t xml:space="preserve"> </w:t>
      </w:r>
      <w:r w:rsidRPr="00A14146">
        <w:rPr>
          <w:rFonts w:ascii="Century" w:hAnsi="Century" w:hint="eastAsia"/>
          <w:rtl/>
        </w:rPr>
        <w:t>המחוזי</w:t>
      </w:r>
      <w:r w:rsidRPr="00A14146">
        <w:rPr>
          <w:rFonts w:ascii="Century" w:hAnsi="Century"/>
          <w:rtl/>
        </w:rPr>
        <w:t xml:space="preserve"> </w:t>
      </w:r>
      <w:r w:rsidRPr="00A14146">
        <w:rPr>
          <w:rFonts w:ascii="Century" w:hAnsi="Century" w:hint="eastAsia"/>
          <w:rtl/>
        </w:rPr>
        <w:t>נפלה</w:t>
      </w:r>
      <w:r w:rsidRPr="00A14146">
        <w:rPr>
          <w:rFonts w:ascii="Century" w:hAnsi="Century"/>
          <w:rtl/>
        </w:rPr>
        <w:t xml:space="preserve"> </w:t>
      </w:r>
      <w:r w:rsidRPr="00A14146">
        <w:rPr>
          <w:rFonts w:ascii="Century" w:hAnsi="Century" w:hint="eastAsia"/>
          <w:rtl/>
        </w:rPr>
        <w:t>טעות</w:t>
      </w:r>
      <w:r w:rsidRPr="00A14146">
        <w:rPr>
          <w:rFonts w:ascii="Century" w:hAnsi="Century"/>
          <w:rtl/>
        </w:rPr>
        <w:t xml:space="preserve"> </w:t>
      </w:r>
      <w:r>
        <w:rPr>
          <w:rFonts w:ascii="Century" w:hAnsi="Century" w:hint="cs"/>
          <w:rtl/>
        </w:rPr>
        <w:t>בכל הנוגע לקביעתו ש</w:t>
      </w:r>
      <w:r w:rsidRPr="00A14146">
        <w:rPr>
          <w:rFonts w:ascii="Century" w:hAnsi="Century" w:hint="eastAsia"/>
          <w:rtl/>
        </w:rPr>
        <w:t>מדובר</w:t>
      </w:r>
      <w:r w:rsidRPr="00A14146">
        <w:rPr>
          <w:rFonts w:ascii="Century" w:hAnsi="Century"/>
          <w:rtl/>
        </w:rPr>
        <w:t xml:space="preserve"> </w:t>
      </w:r>
      <w:r w:rsidRPr="00A14146">
        <w:rPr>
          <w:rFonts w:ascii="Century" w:hAnsi="Century" w:hint="eastAsia"/>
          <w:rtl/>
        </w:rPr>
        <w:t>במקרקעין</w:t>
      </w:r>
      <w:r w:rsidRPr="00A14146">
        <w:rPr>
          <w:rFonts w:ascii="Century" w:hAnsi="Century"/>
          <w:rtl/>
        </w:rPr>
        <w:t xml:space="preserve"> </w:t>
      </w:r>
      <w:r w:rsidRPr="00A14146">
        <w:rPr>
          <w:rFonts w:ascii="Century" w:hAnsi="Century" w:hint="eastAsia"/>
          <w:rtl/>
        </w:rPr>
        <w:t>מוסדרים</w:t>
      </w:r>
      <w:r w:rsidRPr="00A14146">
        <w:rPr>
          <w:rFonts w:ascii="Century" w:hAnsi="Century"/>
          <w:rtl/>
        </w:rPr>
        <w:t xml:space="preserve">, </w:t>
      </w:r>
      <w:r>
        <w:rPr>
          <w:rFonts w:ascii="Century" w:hAnsi="Century" w:hint="cs"/>
          <w:rtl/>
        </w:rPr>
        <w:t xml:space="preserve">שהרי </w:t>
      </w:r>
      <w:r w:rsidRPr="00A14146">
        <w:rPr>
          <w:rFonts w:ascii="Century" w:hAnsi="Century" w:hint="eastAsia"/>
          <w:rtl/>
        </w:rPr>
        <w:t>אין</w:t>
      </w:r>
      <w:r w:rsidRPr="00A14146">
        <w:rPr>
          <w:rFonts w:ascii="Century" w:hAnsi="Century"/>
          <w:rtl/>
        </w:rPr>
        <w:t xml:space="preserve"> </w:t>
      </w:r>
      <w:r w:rsidRPr="00A14146">
        <w:rPr>
          <w:rFonts w:ascii="Century" w:hAnsi="Century" w:hint="eastAsia"/>
          <w:rtl/>
        </w:rPr>
        <w:t>מחלוקת</w:t>
      </w:r>
      <w:r w:rsidRPr="00A14146">
        <w:rPr>
          <w:rFonts w:ascii="Century" w:hAnsi="Century"/>
          <w:rtl/>
        </w:rPr>
        <w:t xml:space="preserve"> </w:t>
      </w:r>
      <w:r w:rsidRPr="00A14146">
        <w:rPr>
          <w:rFonts w:ascii="Century" w:hAnsi="Century" w:hint="eastAsia"/>
          <w:rtl/>
        </w:rPr>
        <w:t>כי</w:t>
      </w:r>
      <w:r w:rsidRPr="00A14146">
        <w:rPr>
          <w:rFonts w:ascii="Century" w:hAnsi="Century"/>
          <w:rtl/>
        </w:rPr>
        <w:t xml:space="preserve"> </w:t>
      </w:r>
      <w:r w:rsidRPr="00A14146">
        <w:rPr>
          <w:rFonts w:ascii="Century" w:hAnsi="Century" w:hint="eastAsia"/>
          <w:rtl/>
        </w:rPr>
        <w:t>מדובר</w:t>
      </w:r>
      <w:r w:rsidRPr="00A14146">
        <w:rPr>
          <w:rFonts w:ascii="Century" w:hAnsi="Century"/>
          <w:rtl/>
        </w:rPr>
        <w:t xml:space="preserve"> </w:t>
      </w:r>
      <w:r w:rsidRPr="00A14146">
        <w:rPr>
          <w:rFonts w:ascii="Century" w:hAnsi="Century" w:hint="eastAsia"/>
          <w:rtl/>
        </w:rPr>
        <w:t>במקרקעין</w:t>
      </w:r>
      <w:r w:rsidRPr="00A14146">
        <w:rPr>
          <w:rFonts w:ascii="Century" w:hAnsi="Century"/>
          <w:rtl/>
        </w:rPr>
        <w:t xml:space="preserve"> </w:t>
      </w:r>
      <w:r w:rsidRPr="00A14146">
        <w:rPr>
          <w:rFonts w:ascii="Century" w:hAnsi="Century" w:hint="eastAsia"/>
          <w:rtl/>
        </w:rPr>
        <w:t>שאינם</w:t>
      </w:r>
      <w:r w:rsidRPr="00A14146">
        <w:rPr>
          <w:rFonts w:ascii="Century" w:hAnsi="Century"/>
          <w:rtl/>
        </w:rPr>
        <w:t xml:space="preserve"> </w:t>
      </w:r>
      <w:r w:rsidRPr="00A14146">
        <w:rPr>
          <w:rFonts w:ascii="Century" w:hAnsi="Century" w:hint="eastAsia"/>
          <w:rtl/>
        </w:rPr>
        <w:t>מוסדרים</w:t>
      </w:r>
      <w:r w:rsidRPr="00A14146">
        <w:rPr>
          <w:rFonts w:ascii="Century" w:hAnsi="Century"/>
          <w:rtl/>
        </w:rPr>
        <w:t xml:space="preserve">. </w:t>
      </w:r>
      <w:r w:rsidRPr="00A14146">
        <w:rPr>
          <w:rFonts w:ascii="Century" w:hAnsi="Century" w:hint="eastAsia"/>
          <w:rtl/>
        </w:rPr>
        <w:t>בסיכומו</w:t>
      </w:r>
      <w:r w:rsidRPr="00A14146">
        <w:rPr>
          <w:rFonts w:ascii="Century" w:hAnsi="Century"/>
          <w:rtl/>
        </w:rPr>
        <w:t xml:space="preserve"> </w:t>
      </w:r>
      <w:r w:rsidRPr="00A14146">
        <w:rPr>
          <w:rFonts w:ascii="Century" w:hAnsi="Century" w:hint="eastAsia"/>
          <w:rtl/>
        </w:rPr>
        <w:t>של</w:t>
      </w:r>
      <w:r w:rsidRPr="00A14146">
        <w:rPr>
          <w:rFonts w:ascii="Century" w:hAnsi="Century"/>
          <w:rtl/>
        </w:rPr>
        <w:t xml:space="preserve"> </w:t>
      </w:r>
      <w:r w:rsidRPr="00A14146">
        <w:rPr>
          <w:rFonts w:ascii="Century" w:hAnsi="Century" w:hint="eastAsia"/>
          <w:rtl/>
        </w:rPr>
        <w:t>דבר</w:t>
      </w:r>
      <w:r w:rsidRPr="00A14146">
        <w:rPr>
          <w:rFonts w:ascii="Century" w:hAnsi="Century"/>
          <w:rtl/>
        </w:rPr>
        <w:t xml:space="preserve">, </w:t>
      </w:r>
      <w:r>
        <w:rPr>
          <w:rFonts w:ascii="Century" w:hAnsi="Century" w:hint="cs"/>
          <w:rtl/>
        </w:rPr>
        <w:t>ובכפוף לקביעה שאין להתערב בממצא לפיו הנכס שייך להקדש, הערעור התקבל ו</w:t>
      </w:r>
      <w:r w:rsidRPr="00A14146">
        <w:rPr>
          <w:rFonts w:ascii="Century" w:hAnsi="Century" w:hint="eastAsia"/>
          <w:rtl/>
        </w:rPr>
        <w:t>הסעד</w:t>
      </w:r>
      <w:r w:rsidRPr="00A14146">
        <w:rPr>
          <w:rFonts w:ascii="Century" w:hAnsi="Century"/>
          <w:rtl/>
        </w:rPr>
        <w:t xml:space="preserve"> </w:t>
      </w:r>
      <w:r w:rsidRPr="00A14146">
        <w:rPr>
          <w:rFonts w:ascii="Century" w:hAnsi="Century" w:hint="eastAsia"/>
          <w:rtl/>
        </w:rPr>
        <w:t>שניתן</w:t>
      </w:r>
      <w:r w:rsidRPr="00A14146">
        <w:rPr>
          <w:rFonts w:ascii="Century" w:hAnsi="Century"/>
          <w:rtl/>
        </w:rPr>
        <w:t xml:space="preserve"> </w:t>
      </w:r>
      <w:r w:rsidRPr="00A14146">
        <w:rPr>
          <w:rFonts w:ascii="Century" w:hAnsi="Century" w:hint="eastAsia"/>
          <w:rtl/>
        </w:rPr>
        <w:t>על</w:t>
      </w:r>
      <w:r w:rsidRPr="00A14146">
        <w:rPr>
          <w:rFonts w:ascii="Century" w:hAnsi="Century"/>
          <w:rtl/>
        </w:rPr>
        <w:t>-</w:t>
      </w:r>
      <w:r w:rsidRPr="00A14146">
        <w:rPr>
          <w:rFonts w:ascii="Century" w:hAnsi="Century" w:hint="eastAsia"/>
          <w:rtl/>
        </w:rPr>
        <w:t>ידי</w:t>
      </w:r>
      <w:r w:rsidRPr="00A14146">
        <w:rPr>
          <w:rFonts w:ascii="Century" w:hAnsi="Century"/>
          <w:rtl/>
        </w:rPr>
        <w:t xml:space="preserve"> </w:t>
      </w:r>
      <w:r w:rsidRPr="00A14146">
        <w:rPr>
          <w:rFonts w:ascii="Century" w:hAnsi="Century" w:hint="eastAsia"/>
          <w:rtl/>
        </w:rPr>
        <w:t>בית</w:t>
      </w:r>
      <w:r w:rsidRPr="00A14146">
        <w:rPr>
          <w:rFonts w:ascii="Century" w:hAnsi="Century"/>
          <w:rtl/>
        </w:rPr>
        <w:t xml:space="preserve"> </w:t>
      </w:r>
      <w:r w:rsidRPr="00A14146">
        <w:rPr>
          <w:rFonts w:ascii="Century" w:hAnsi="Century" w:hint="eastAsia"/>
          <w:rtl/>
        </w:rPr>
        <w:t>המשפט</w:t>
      </w:r>
      <w:r w:rsidRPr="00A14146">
        <w:rPr>
          <w:rFonts w:ascii="Century" w:hAnsi="Century"/>
          <w:rtl/>
        </w:rPr>
        <w:t xml:space="preserve"> </w:t>
      </w:r>
      <w:r w:rsidRPr="00A14146">
        <w:rPr>
          <w:rFonts w:ascii="Century" w:hAnsi="Century" w:hint="eastAsia"/>
          <w:rtl/>
        </w:rPr>
        <w:t>המחוזי</w:t>
      </w:r>
      <w:r>
        <w:rPr>
          <w:rFonts w:ascii="Century" w:hAnsi="Century" w:hint="cs"/>
          <w:rtl/>
        </w:rPr>
        <w:t xml:space="preserve"> בוטל.</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12. </w:t>
      </w:r>
      <w:r>
        <w:rPr>
          <w:rFonts w:ascii="Century" w:hAnsi="Century" w:hint="cs"/>
          <w:rtl/>
        </w:rPr>
        <w:tab/>
        <w:t>התדיינות זו היא שהולידה למעשה את התיק הנוכחי. אולם, לפני שנצלול אל פרטיו, יש מקום להידרש בקצרה להליך נוסף שהוא בעל רלוונטיות לענייננו, ובו נדונה שאלת תוקפה של תעודת השחרור שהוציא האפוטרופוס הכללי בקשר למקרקעין, כמפורט להלן.</w:t>
      </w:r>
    </w:p>
    <w:p w:rsidR="00761030" w:rsidRDefault="00761030" w:rsidP="00761030">
      <w:pPr>
        <w:pStyle w:val="Ruller41"/>
        <w:rPr>
          <w:rFonts w:ascii="Century" w:hAnsi="Century"/>
          <w:rtl/>
        </w:rPr>
      </w:pPr>
    </w:p>
    <w:p w:rsidR="00C2146E" w:rsidRDefault="00C2146E" w:rsidP="00761030">
      <w:pPr>
        <w:pStyle w:val="Ruller41"/>
        <w:rPr>
          <w:rFonts w:ascii="Century" w:hAnsi="Century"/>
          <w:rtl/>
        </w:rPr>
      </w:pPr>
    </w:p>
    <w:p w:rsidR="00761030" w:rsidRPr="00973718" w:rsidRDefault="00761030" w:rsidP="00761030">
      <w:pPr>
        <w:pStyle w:val="Ruller41"/>
        <w:rPr>
          <w:rFonts w:ascii="Century" w:hAnsi="Century" w:cs="Miriam"/>
          <w:b/>
          <w:spacing w:val="0"/>
          <w:szCs w:val="24"/>
          <w:rtl/>
        </w:rPr>
      </w:pPr>
      <w:r>
        <w:rPr>
          <w:rFonts w:ascii="Century" w:hAnsi="Century" w:cs="Miriam" w:hint="cs"/>
          <w:b/>
          <w:spacing w:val="0"/>
          <w:szCs w:val="24"/>
          <w:rtl/>
        </w:rPr>
        <w:t>ההליך ב</w:t>
      </w:r>
      <w:r w:rsidRPr="00973718">
        <w:rPr>
          <w:rFonts w:ascii="Century" w:hAnsi="Century" w:cs="Miriam" w:hint="cs"/>
          <w:b/>
          <w:spacing w:val="0"/>
          <w:szCs w:val="24"/>
          <w:rtl/>
        </w:rPr>
        <w:t xml:space="preserve">עניין סרחאן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13. </w:t>
      </w:r>
      <w:r>
        <w:rPr>
          <w:rFonts w:ascii="Century" w:hAnsi="Century" w:hint="cs"/>
          <w:rtl/>
        </w:rPr>
        <w:tab/>
        <w:t xml:space="preserve">בשנת 2017 הגישו למעלה מ-100 תושבים אחרים של הכפר סילוואן עתירה לבית משפט זה בשבתו כבית משפט גבוה לצדק. יצוין, כי משפחת דוויק לא נמנתה עם העותרים באותו הליך. העתירה כוונה </w:t>
      </w:r>
      <w:r w:rsidRPr="00AC0E65">
        <w:rPr>
          <w:rFonts w:ascii="Century" w:hAnsi="Century" w:hint="eastAsia"/>
          <w:rtl/>
        </w:rPr>
        <w:t>כנגד</w:t>
      </w:r>
      <w:r w:rsidRPr="00AC0E65">
        <w:rPr>
          <w:rFonts w:ascii="Century" w:hAnsi="Century"/>
          <w:rtl/>
        </w:rPr>
        <w:t xml:space="preserve"> </w:t>
      </w:r>
      <w:r w:rsidRPr="00AC0E65">
        <w:rPr>
          <w:rFonts w:ascii="Century" w:hAnsi="Century" w:hint="eastAsia"/>
          <w:rtl/>
        </w:rPr>
        <w:t>תוקפה</w:t>
      </w:r>
      <w:r w:rsidRPr="00AC0E65">
        <w:rPr>
          <w:rFonts w:ascii="Century" w:hAnsi="Century"/>
          <w:rtl/>
        </w:rPr>
        <w:t xml:space="preserve"> </w:t>
      </w:r>
      <w:r w:rsidRPr="00AC0E65">
        <w:rPr>
          <w:rFonts w:ascii="Century" w:hAnsi="Century" w:hint="eastAsia"/>
          <w:rtl/>
        </w:rPr>
        <w:t>של</w:t>
      </w:r>
      <w:r w:rsidRPr="00AC0E65">
        <w:rPr>
          <w:rFonts w:ascii="Century" w:hAnsi="Century"/>
          <w:rtl/>
        </w:rPr>
        <w:t xml:space="preserve"> </w:t>
      </w:r>
      <w:r w:rsidRPr="00AC0E65">
        <w:rPr>
          <w:rFonts w:ascii="Century" w:hAnsi="Century" w:hint="eastAsia"/>
          <w:rtl/>
        </w:rPr>
        <w:t>תעודת</w:t>
      </w:r>
      <w:r w:rsidRPr="00AC0E65">
        <w:rPr>
          <w:rFonts w:ascii="Century" w:hAnsi="Century"/>
          <w:rtl/>
        </w:rPr>
        <w:t xml:space="preserve"> </w:t>
      </w:r>
      <w:r w:rsidRPr="00AC0E65">
        <w:rPr>
          <w:rFonts w:ascii="Century" w:hAnsi="Century" w:hint="eastAsia"/>
          <w:rtl/>
        </w:rPr>
        <w:t>השחרור</w:t>
      </w:r>
      <w:r w:rsidRPr="00AC0E65">
        <w:rPr>
          <w:rFonts w:ascii="Century" w:hAnsi="Century"/>
          <w:rtl/>
        </w:rPr>
        <w:t xml:space="preserve"> </w:t>
      </w:r>
      <w:r w:rsidRPr="00AC0E65">
        <w:rPr>
          <w:rFonts w:ascii="Century" w:hAnsi="Century" w:hint="eastAsia"/>
          <w:rtl/>
        </w:rPr>
        <w:t>שהוצאה</w:t>
      </w:r>
      <w:r w:rsidRPr="00AC0E65">
        <w:rPr>
          <w:rFonts w:ascii="Century" w:hAnsi="Century"/>
          <w:rtl/>
        </w:rPr>
        <w:t xml:space="preserve"> </w:t>
      </w:r>
      <w:r w:rsidRPr="00AC0E65">
        <w:rPr>
          <w:rFonts w:ascii="Century" w:hAnsi="Century" w:hint="eastAsia"/>
          <w:rtl/>
        </w:rPr>
        <w:t>על</w:t>
      </w:r>
      <w:r w:rsidRPr="00AC0E65">
        <w:rPr>
          <w:rFonts w:ascii="Century" w:hAnsi="Century"/>
          <w:rtl/>
        </w:rPr>
        <w:t>-</w:t>
      </w:r>
      <w:r w:rsidRPr="00AC0E65">
        <w:rPr>
          <w:rFonts w:ascii="Century" w:hAnsi="Century" w:hint="eastAsia"/>
          <w:rtl/>
        </w:rPr>
        <w:t>ידי</w:t>
      </w:r>
      <w:r w:rsidRPr="00AC0E65">
        <w:rPr>
          <w:rFonts w:ascii="Century" w:hAnsi="Century"/>
          <w:rtl/>
        </w:rPr>
        <w:t xml:space="preserve"> </w:t>
      </w:r>
      <w:r w:rsidRPr="00AC0E65">
        <w:rPr>
          <w:rFonts w:ascii="Century" w:hAnsi="Century" w:hint="eastAsia"/>
          <w:rtl/>
        </w:rPr>
        <w:t>האפוטרופוס</w:t>
      </w:r>
      <w:r w:rsidRPr="00AC0E65">
        <w:rPr>
          <w:rFonts w:ascii="Century" w:hAnsi="Century"/>
          <w:rtl/>
        </w:rPr>
        <w:t xml:space="preserve"> </w:t>
      </w:r>
      <w:r w:rsidRPr="00AC0E65">
        <w:rPr>
          <w:rFonts w:ascii="Century" w:hAnsi="Century" w:hint="eastAsia"/>
          <w:rtl/>
        </w:rPr>
        <w:t>הכללי</w:t>
      </w:r>
      <w:r w:rsidRPr="00AC0E65">
        <w:rPr>
          <w:rFonts w:ascii="Century" w:hAnsi="Century"/>
          <w:rtl/>
        </w:rPr>
        <w:t xml:space="preserve"> </w:t>
      </w:r>
      <w:r>
        <w:rPr>
          <w:rFonts w:ascii="Century" w:hAnsi="Century" w:hint="cs"/>
          <w:rtl/>
        </w:rPr>
        <w:t xml:space="preserve">ביחס לקרקע בסילוואן, לרבות המקרקעין מושא ההליך דנן. בעתירה הועלו שלל טענות כנגד התעודה </w:t>
      </w:r>
      <w:r>
        <w:rPr>
          <w:rFonts w:ascii="Century" w:hAnsi="Century"/>
          <w:rtl/>
        </w:rPr>
        <w:t>–</w:t>
      </w:r>
      <w:r>
        <w:rPr>
          <w:rFonts w:ascii="Century" w:hAnsi="Century" w:hint="cs"/>
          <w:rtl/>
        </w:rPr>
        <w:t xml:space="preserve"> ח</w:t>
      </w:r>
      <w:r w:rsidRPr="00F651A0">
        <w:rPr>
          <w:rFonts w:ascii="Century" w:hAnsi="Century" w:hint="eastAsia"/>
          <w:rtl/>
        </w:rPr>
        <w:t>לקן</w:t>
      </w:r>
      <w:r w:rsidRPr="00F651A0">
        <w:rPr>
          <w:rFonts w:ascii="Century" w:hAnsi="Century"/>
          <w:rtl/>
        </w:rPr>
        <w:t xml:space="preserve"> </w:t>
      </w:r>
      <w:r>
        <w:rPr>
          <w:rFonts w:ascii="Century" w:hAnsi="Century" w:hint="cs"/>
          <w:rtl/>
        </w:rPr>
        <w:t>התבססו</w:t>
      </w:r>
      <w:r w:rsidRPr="00F651A0">
        <w:rPr>
          <w:rFonts w:ascii="Century" w:hAnsi="Century"/>
          <w:rtl/>
        </w:rPr>
        <w:t xml:space="preserve"> </w:t>
      </w:r>
      <w:r w:rsidRPr="00F651A0">
        <w:rPr>
          <w:rFonts w:ascii="Century" w:hAnsi="Century" w:hint="eastAsia"/>
          <w:rtl/>
        </w:rPr>
        <w:t>על</w:t>
      </w:r>
      <w:r w:rsidRPr="00F651A0">
        <w:rPr>
          <w:rFonts w:ascii="Century" w:hAnsi="Century"/>
          <w:rtl/>
        </w:rPr>
        <w:t xml:space="preserve"> </w:t>
      </w:r>
      <w:r w:rsidRPr="00F651A0">
        <w:rPr>
          <w:rFonts w:ascii="Century" w:hAnsi="Century" w:hint="eastAsia"/>
          <w:rtl/>
        </w:rPr>
        <w:t>דיני</w:t>
      </w:r>
      <w:r w:rsidRPr="00F651A0">
        <w:rPr>
          <w:rFonts w:ascii="Century" w:hAnsi="Century"/>
          <w:rtl/>
        </w:rPr>
        <w:t xml:space="preserve"> </w:t>
      </w:r>
      <w:r w:rsidRPr="00F651A0">
        <w:rPr>
          <w:rFonts w:ascii="Century" w:hAnsi="Century" w:hint="eastAsia"/>
          <w:rtl/>
        </w:rPr>
        <w:t>הקרקעות</w:t>
      </w:r>
      <w:r w:rsidRPr="00F651A0">
        <w:rPr>
          <w:rFonts w:ascii="Century" w:hAnsi="Century"/>
          <w:rtl/>
        </w:rPr>
        <w:t xml:space="preserve"> </w:t>
      </w:r>
      <w:r w:rsidRPr="00F651A0">
        <w:rPr>
          <w:rFonts w:ascii="Century" w:hAnsi="Century" w:hint="eastAsia"/>
          <w:rtl/>
        </w:rPr>
        <w:t>העותמניים</w:t>
      </w:r>
      <w:r w:rsidRPr="00F651A0">
        <w:rPr>
          <w:rFonts w:ascii="Century" w:hAnsi="Century"/>
          <w:rtl/>
        </w:rPr>
        <w:t xml:space="preserve"> </w:t>
      </w:r>
      <w:r>
        <w:rPr>
          <w:rFonts w:ascii="Century" w:hAnsi="Century" w:hint="cs"/>
          <w:rtl/>
        </w:rPr>
        <w:t xml:space="preserve">ונועדו לכפור בתוקפו של </w:t>
      </w:r>
      <w:r w:rsidRPr="00F651A0">
        <w:rPr>
          <w:rFonts w:ascii="Century" w:hAnsi="Century" w:hint="eastAsia"/>
          <w:rtl/>
        </w:rPr>
        <w:t>ההקדש</w:t>
      </w:r>
      <w:r w:rsidRPr="00F651A0">
        <w:rPr>
          <w:rFonts w:ascii="Century" w:hAnsi="Century"/>
          <w:rtl/>
        </w:rPr>
        <w:t xml:space="preserve"> </w:t>
      </w:r>
      <w:r w:rsidRPr="00F651A0">
        <w:rPr>
          <w:rFonts w:ascii="Century" w:hAnsi="Century" w:hint="eastAsia"/>
          <w:rtl/>
        </w:rPr>
        <w:t>וחלקן</w:t>
      </w:r>
      <w:r w:rsidRPr="00F651A0">
        <w:rPr>
          <w:rFonts w:ascii="Century" w:hAnsi="Century"/>
          <w:rtl/>
        </w:rPr>
        <w:t xml:space="preserve"> </w:t>
      </w:r>
      <w:r>
        <w:rPr>
          <w:rFonts w:ascii="Century" w:hAnsi="Century" w:hint="cs"/>
          <w:rtl/>
        </w:rPr>
        <w:t>כוונו</w:t>
      </w:r>
      <w:r w:rsidRPr="00F651A0">
        <w:rPr>
          <w:rFonts w:ascii="Century" w:hAnsi="Century"/>
          <w:rtl/>
        </w:rPr>
        <w:t xml:space="preserve"> </w:t>
      </w:r>
      <w:r w:rsidRPr="00F651A0">
        <w:rPr>
          <w:rFonts w:ascii="Century" w:hAnsi="Century" w:hint="eastAsia"/>
          <w:rtl/>
        </w:rPr>
        <w:t>נגד</w:t>
      </w:r>
      <w:r w:rsidRPr="00F651A0">
        <w:rPr>
          <w:rFonts w:ascii="Century" w:hAnsi="Century"/>
          <w:rtl/>
        </w:rPr>
        <w:t xml:space="preserve"> </w:t>
      </w:r>
      <w:r w:rsidRPr="00F651A0">
        <w:rPr>
          <w:rFonts w:ascii="Century" w:hAnsi="Century" w:hint="eastAsia"/>
          <w:rtl/>
        </w:rPr>
        <w:t>התנהלותו</w:t>
      </w:r>
      <w:r w:rsidRPr="00F651A0">
        <w:rPr>
          <w:rFonts w:ascii="Century" w:hAnsi="Century"/>
          <w:rtl/>
        </w:rPr>
        <w:t xml:space="preserve"> </w:t>
      </w:r>
      <w:r w:rsidRPr="00F651A0">
        <w:rPr>
          <w:rFonts w:ascii="Century" w:hAnsi="Century" w:hint="eastAsia"/>
          <w:rtl/>
        </w:rPr>
        <w:t>של</w:t>
      </w:r>
      <w:r w:rsidRPr="00F651A0">
        <w:rPr>
          <w:rFonts w:ascii="Century" w:hAnsi="Century"/>
          <w:rtl/>
        </w:rPr>
        <w:t xml:space="preserve"> </w:t>
      </w:r>
      <w:r w:rsidRPr="00F651A0">
        <w:rPr>
          <w:rFonts w:ascii="Century" w:hAnsi="Century" w:hint="eastAsia"/>
          <w:rtl/>
        </w:rPr>
        <w:t>האפוטרופוס</w:t>
      </w:r>
      <w:r w:rsidRPr="00F651A0">
        <w:rPr>
          <w:rFonts w:ascii="Century" w:hAnsi="Century"/>
          <w:rtl/>
        </w:rPr>
        <w:t xml:space="preserve"> </w:t>
      </w:r>
      <w:r w:rsidRPr="00F651A0">
        <w:rPr>
          <w:rFonts w:ascii="Century" w:hAnsi="Century" w:hint="eastAsia"/>
          <w:rtl/>
        </w:rPr>
        <w:t>הכללי</w:t>
      </w:r>
      <w:r>
        <w:rPr>
          <w:rFonts w:ascii="Century" w:hAnsi="Century" w:hint="cs"/>
          <w:rtl/>
        </w:rPr>
        <w:t xml:space="preserve"> והחלטותיו. לעומת זאת, המשיבים העלו נגד העותרים טענת שיהוי וכן טענה למעשה בית דין, בהפניה להליכים קודמים, ובהם עניין </w:t>
      </w:r>
      <w:r w:rsidRPr="00E72747">
        <w:rPr>
          <w:rFonts w:ascii="Century" w:hAnsi="Century" w:cs="Miriam" w:hint="cs"/>
          <w:b/>
          <w:spacing w:val="0"/>
          <w:szCs w:val="24"/>
          <w:rtl/>
        </w:rPr>
        <w:t>דוויק הראשון</w:t>
      </w:r>
      <w:r>
        <w:rPr>
          <w:rFonts w:ascii="Century" w:hAnsi="Century" w:hint="cs"/>
          <w:rtl/>
        </w:rPr>
        <w:t>.</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14. </w:t>
      </w:r>
      <w:r>
        <w:rPr>
          <w:rFonts w:ascii="Century" w:hAnsi="Century" w:hint="cs"/>
          <w:rtl/>
        </w:rPr>
        <w:tab/>
        <w:t xml:space="preserve">העתירה נדחתה ביום 21.11.2018 (בג"ץ 7446/17, השופטים </w:t>
      </w:r>
      <w:r w:rsidRPr="003A4EF4">
        <w:rPr>
          <w:rFonts w:ascii="Century" w:hAnsi="Century" w:cs="Miriam" w:hint="cs"/>
          <w:b/>
          <w:spacing w:val="0"/>
          <w:szCs w:val="24"/>
          <w:rtl/>
        </w:rPr>
        <w:t>ע' ברון</w:t>
      </w:r>
      <w:r w:rsidRPr="0082664B">
        <w:rPr>
          <w:rFonts w:ascii="Century" w:hAnsi="Century"/>
          <w:rtl/>
        </w:rPr>
        <w:t>,</w:t>
      </w:r>
      <w:r w:rsidRPr="003A4EF4">
        <w:rPr>
          <w:rFonts w:ascii="Century" w:hAnsi="Century" w:cs="Miriam" w:hint="cs"/>
          <w:b/>
          <w:spacing w:val="0"/>
          <w:szCs w:val="24"/>
          <w:rtl/>
        </w:rPr>
        <w:t xml:space="preserve"> י' אלרון</w:t>
      </w:r>
      <w:r>
        <w:rPr>
          <w:rFonts w:ascii="Century" w:hAnsi="Century" w:hint="cs"/>
          <w:rtl/>
        </w:rPr>
        <w:t xml:space="preserve"> ואנוכי). טענות הסף שהועלו נגד העותרים נדחו, בין השאר בהתחשב בכך ש</w:t>
      </w:r>
      <w:r>
        <w:rPr>
          <w:rFonts w:hint="cs"/>
          <w:rtl/>
        </w:rPr>
        <w:t xml:space="preserve">לא נמסרה הודעה מסודרת על הוצאת תעודת השחרור למחזיקים במקרקעין (ביחס לשיהוי), כמו גם מאחר </w:t>
      </w:r>
      <w:r>
        <w:rPr>
          <w:rFonts w:ascii="Century" w:hAnsi="Century" w:hint="cs"/>
          <w:rtl/>
        </w:rPr>
        <w:t xml:space="preserve">שלא התברר טיב הזיקה בין בעלי הדין השונים (בהקשר של מעשה בית דין). </w:t>
      </w:r>
      <w:r>
        <w:rPr>
          <w:rFonts w:hint="cs"/>
          <w:rtl/>
        </w:rPr>
        <w:t>עם זאת, לגוף הדברים, נקבע כי עתירה לבג"ץ אינה הפורום המתאים לבירורן של רוב הטענות שהעלו העותרים, אשר לצורך הכרעה בהן נדרש בירור עובדתי</w:t>
      </w:r>
      <w:r>
        <w:rPr>
          <w:rFonts w:ascii="Century" w:hAnsi="Century" w:hint="cs"/>
          <w:rtl/>
        </w:rPr>
        <w:t xml:space="preserve">, כגון הטענות שנסבו על זיהויים של המקרקעין וסיווגם, מה גם שתעודת השחרור עצמה סויגה ככפופה לזכויות של צדדים שלישיים. בעיקרו של דבר, הודגש כי החלטה על שחרור מקרקעין לפי סעיף 5 לחוק הסדרי משפט כרוכה בקשיים לא מבוטלים מבחינת המחזיקים במקרקעין, אלא שקשיים אלה טבועים בהסדר הסטטוטורי, שהוא בעל אופי החלטי, והם אינם תולדה של שיקול הדעת שהפעיל האפוטרופוס הכללי. בצד זאת, צוין כי במסגרת ההליכים האזרחיים שיתנהלו כנגד המחזיקים עשויות להתעורר שאלות רבות שעוד יהיה מקום לבררן לעומק ביחס לכל אחד מהמחזיקים בנכסים </w:t>
      </w:r>
      <w:r>
        <w:rPr>
          <w:rFonts w:ascii="Century" w:hAnsi="Century"/>
          <w:rtl/>
        </w:rPr>
        <w:t>–</w:t>
      </w:r>
      <w:r>
        <w:rPr>
          <w:rFonts w:ascii="Century" w:hAnsi="Century" w:hint="cs"/>
          <w:rtl/>
        </w:rPr>
        <w:t xml:space="preserve"> ובכלל זה שאלות של התיישנות והסתמכות על רכישת זכויות במקרקעין ממחזיקים קודמים. כעת הגיעה עתן של שאלות אלה.</w:t>
      </w:r>
    </w:p>
    <w:p w:rsidR="00761030" w:rsidRPr="00A14146" w:rsidRDefault="00761030" w:rsidP="00761030">
      <w:pPr>
        <w:pStyle w:val="Ruller41"/>
        <w:rPr>
          <w:rFonts w:ascii="Century" w:hAnsi="Century"/>
          <w:rtl/>
        </w:rPr>
      </w:pPr>
      <w:r w:rsidRPr="00A14146">
        <w:rPr>
          <w:rFonts w:ascii="Century" w:hAnsi="Century"/>
          <w:rtl/>
        </w:rPr>
        <w:t xml:space="preserve"> </w:t>
      </w:r>
    </w:p>
    <w:p w:rsidR="00761030" w:rsidRPr="00925CE6" w:rsidRDefault="00761030" w:rsidP="00761030">
      <w:pPr>
        <w:pStyle w:val="Ruller41"/>
        <w:rPr>
          <w:rFonts w:ascii="Century" w:hAnsi="Century" w:cs="Miriam"/>
          <w:b/>
          <w:spacing w:val="0"/>
          <w:szCs w:val="24"/>
          <w:rtl/>
        </w:rPr>
      </w:pPr>
      <w:r w:rsidRPr="00925CE6">
        <w:rPr>
          <w:rFonts w:ascii="Century" w:hAnsi="Century" w:cs="Miriam" w:hint="cs"/>
          <w:b/>
          <w:spacing w:val="0"/>
          <w:szCs w:val="24"/>
          <w:rtl/>
        </w:rPr>
        <w:t xml:space="preserve">עיקרי ההליך </w:t>
      </w:r>
      <w:r>
        <w:rPr>
          <w:rFonts w:ascii="Century" w:hAnsi="Century" w:cs="Miriam" w:hint="cs"/>
          <w:b/>
          <w:spacing w:val="0"/>
          <w:szCs w:val="24"/>
          <w:rtl/>
        </w:rPr>
        <w:t>המשפטי הנוכחי</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15. </w:t>
      </w:r>
      <w:r>
        <w:rPr>
          <w:rFonts w:ascii="Century" w:hAnsi="Century"/>
          <w:rtl/>
        </w:rPr>
        <w:tab/>
      </w:r>
      <w:r>
        <w:rPr>
          <w:rFonts w:hint="cs"/>
          <w:rtl/>
        </w:rPr>
        <w:t xml:space="preserve">ביום 1.10.2014 הגישו המשיבים לבית משפט השלום בירושלים תביעה בסדר דין מקוצר </w:t>
      </w:r>
      <w:r>
        <w:rPr>
          <w:rtl/>
        </w:rPr>
        <w:t>–</w:t>
      </w:r>
      <w:r>
        <w:rPr>
          <w:rFonts w:hint="cs"/>
          <w:rtl/>
        </w:rPr>
        <w:t xml:space="preserve"> היא התביעה שביסוד הבקשה דנן </w:t>
      </w:r>
      <w:r>
        <w:rPr>
          <w:rtl/>
        </w:rPr>
        <w:t>–</w:t>
      </w:r>
      <w:r>
        <w:rPr>
          <w:rFonts w:hint="cs"/>
          <w:rtl/>
        </w:rPr>
        <w:t xml:space="preserve"> המכוונת </w:t>
      </w:r>
      <w:r w:rsidRPr="001968CB">
        <w:rPr>
          <w:rFonts w:hint="eastAsia"/>
          <w:rtl/>
        </w:rPr>
        <w:t>לפינוי</w:t>
      </w:r>
      <w:r w:rsidRPr="001968CB">
        <w:rPr>
          <w:rtl/>
        </w:rPr>
        <w:t xml:space="preserve"> </w:t>
      </w:r>
      <w:r w:rsidRPr="001968CB">
        <w:rPr>
          <w:rFonts w:hint="eastAsia"/>
          <w:rtl/>
        </w:rPr>
        <w:t>וסילוק</w:t>
      </w:r>
      <w:r w:rsidRPr="001968CB">
        <w:rPr>
          <w:rtl/>
        </w:rPr>
        <w:t xml:space="preserve"> </w:t>
      </w:r>
      <w:r w:rsidRPr="001968CB">
        <w:rPr>
          <w:rFonts w:hint="eastAsia"/>
          <w:rtl/>
        </w:rPr>
        <w:t>ידם</w:t>
      </w:r>
      <w:r w:rsidRPr="001968CB">
        <w:rPr>
          <w:rtl/>
        </w:rPr>
        <w:t xml:space="preserve"> </w:t>
      </w:r>
      <w:r w:rsidRPr="001968CB">
        <w:rPr>
          <w:rFonts w:hint="eastAsia"/>
          <w:rtl/>
        </w:rPr>
        <w:t>של</w:t>
      </w:r>
      <w:r w:rsidRPr="001968CB">
        <w:rPr>
          <w:rtl/>
        </w:rPr>
        <w:t xml:space="preserve"> </w:t>
      </w:r>
      <w:r w:rsidRPr="001968CB">
        <w:rPr>
          <w:rFonts w:hint="eastAsia"/>
          <w:rtl/>
        </w:rPr>
        <w:t>בני</w:t>
      </w:r>
      <w:r w:rsidRPr="001968CB">
        <w:rPr>
          <w:rtl/>
        </w:rPr>
        <w:t xml:space="preserve"> </w:t>
      </w:r>
      <w:r w:rsidRPr="001968CB">
        <w:rPr>
          <w:rFonts w:hint="eastAsia"/>
          <w:rtl/>
        </w:rPr>
        <w:t>משפחת</w:t>
      </w:r>
      <w:r w:rsidRPr="001968CB">
        <w:rPr>
          <w:rtl/>
        </w:rPr>
        <w:t xml:space="preserve"> </w:t>
      </w:r>
      <w:r w:rsidRPr="001968CB">
        <w:rPr>
          <w:rFonts w:hint="eastAsia"/>
          <w:rtl/>
        </w:rPr>
        <w:t>דוויק</w:t>
      </w:r>
      <w:r w:rsidRPr="001968CB">
        <w:rPr>
          <w:rtl/>
        </w:rPr>
        <w:t xml:space="preserve"> </w:t>
      </w:r>
      <w:r>
        <w:rPr>
          <w:rFonts w:hint="cs"/>
          <w:rtl/>
        </w:rPr>
        <w:t>מהנכס</w:t>
      </w:r>
      <w:r w:rsidRPr="001D7305">
        <w:rPr>
          <w:rFonts w:hint="cs"/>
          <w:rtl/>
        </w:rPr>
        <w:t xml:space="preserve"> </w:t>
      </w:r>
      <w:r>
        <w:rPr>
          <w:rFonts w:hint="cs"/>
          <w:rtl/>
        </w:rPr>
        <w:t>(ת"א 3681-10-14).</w:t>
      </w:r>
      <w:r>
        <w:rPr>
          <w:rFonts w:ascii="Century" w:hAnsi="Century" w:hint="cs"/>
          <w:rtl/>
        </w:rPr>
        <w:t xml:space="preserve"> </w:t>
      </w:r>
    </w:p>
    <w:p w:rsidR="00761030" w:rsidRDefault="00761030" w:rsidP="00761030">
      <w:pPr>
        <w:pStyle w:val="Ruller41"/>
        <w:rPr>
          <w:rFonts w:ascii="Century" w:hAnsi="Century"/>
          <w:rtl/>
        </w:rPr>
      </w:pPr>
    </w:p>
    <w:p w:rsidR="00761030" w:rsidRPr="00F65FDF" w:rsidRDefault="00761030" w:rsidP="00761030">
      <w:pPr>
        <w:pStyle w:val="Ruller41"/>
        <w:rPr>
          <w:rFonts w:ascii="Century" w:hAnsi="Century"/>
          <w:rtl/>
        </w:rPr>
      </w:pPr>
      <w:r>
        <w:rPr>
          <w:rFonts w:ascii="Century" w:hAnsi="Century" w:hint="cs"/>
          <w:rtl/>
        </w:rPr>
        <w:t xml:space="preserve">16. </w:t>
      </w:r>
      <w:r>
        <w:rPr>
          <w:rFonts w:ascii="Century" w:hAnsi="Century"/>
          <w:rtl/>
        </w:rPr>
        <w:tab/>
      </w:r>
      <w:r>
        <w:rPr>
          <w:rFonts w:hint="cs"/>
          <w:rtl/>
        </w:rPr>
        <w:t xml:space="preserve">ביום 3.12.2014 המבקשים הגישו בקשת רשות להתגונן, ובה טענו בין היתר כי התביעה התיישנה, ומכל מקום הוגשה בשיהוי של לפחות חמישים שנה. לגוף הדברים, המבקשים חלקו על טענת המשיבים כי ההקדש הוא בעל הנכס, וטענו כי ההכרעה בסוגיית הבעלות במקרקעין כחלק מההליך בעניין </w:t>
      </w:r>
      <w:r w:rsidRPr="00DA29B1">
        <w:rPr>
          <w:rFonts w:ascii="Century" w:hAnsi="Century" w:cs="Miriam" w:hint="cs"/>
          <w:b/>
          <w:spacing w:val="0"/>
          <w:szCs w:val="24"/>
          <w:rtl/>
        </w:rPr>
        <w:t>דוויק הראשון</w:t>
      </w:r>
      <w:r w:rsidRPr="00DA29B1">
        <w:rPr>
          <w:rFonts w:hint="cs"/>
          <w:rtl/>
        </w:rPr>
        <w:t xml:space="preserve"> </w:t>
      </w:r>
      <w:r>
        <w:rPr>
          <w:rFonts w:hint="cs"/>
          <w:rtl/>
        </w:rPr>
        <w:t xml:space="preserve">לא הייתה חיונית להכרעה הסופית בו, ועל כן לא חל בעניין זה מעשה בית דין. ביום 10.12.2014 קיבל בית משפט השלום (השופטת </w:t>
      </w:r>
      <w:r w:rsidRPr="00643546">
        <w:rPr>
          <w:rFonts w:ascii="Century" w:hAnsi="Century" w:cs="Miriam" w:hint="eastAsia"/>
          <w:b/>
          <w:spacing w:val="0"/>
          <w:szCs w:val="24"/>
          <w:rtl/>
        </w:rPr>
        <w:t>ת</w:t>
      </w:r>
      <w:r w:rsidRPr="00643546">
        <w:rPr>
          <w:rFonts w:ascii="Century" w:hAnsi="Century" w:cs="Miriam"/>
          <w:b/>
          <w:spacing w:val="0"/>
          <w:szCs w:val="24"/>
          <w:rtl/>
        </w:rPr>
        <w:t xml:space="preserve">' </w:t>
      </w:r>
      <w:r w:rsidRPr="00643546">
        <w:rPr>
          <w:rFonts w:ascii="Century" w:hAnsi="Century" w:cs="Miriam" w:hint="eastAsia"/>
          <w:b/>
          <w:spacing w:val="0"/>
          <w:szCs w:val="24"/>
          <w:rtl/>
        </w:rPr>
        <w:t>בר</w:t>
      </w:r>
      <w:r w:rsidRPr="00643546">
        <w:rPr>
          <w:rFonts w:ascii="Century" w:hAnsi="Century" w:cs="Miriam"/>
          <w:b/>
          <w:spacing w:val="0"/>
          <w:szCs w:val="24"/>
          <w:rtl/>
        </w:rPr>
        <w:t>-אשר</w:t>
      </w:r>
      <w:r>
        <w:rPr>
          <w:rFonts w:hint="cs"/>
          <w:rtl/>
        </w:rPr>
        <w:t>) את בקשת הרשות להתגונן, בקבעו כי די לצורך כך בטענות המקדמיות שהועלו</w:t>
      </w:r>
      <w:r w:rsidRPr="00F65FDF">
        <w:rPr>
          <w:rFonts w:ascii="Century" w:hAnsi="Century"/>
          <w:rtl/>
        </w:rPr>
        <w:t>.</w:t>
      </w:r>
      <w:r>
        <w:rPr>
          <w:rFonts w:ascii="Century" w:hAnsi="Century" w:hint="cs"/>
          <w:rtl/>
        </w:rPr>
        <w:t xml:space="preserve"> המבקשים הגישו אפוא כתב הגנה ובו חזרו, בין היתר, על טענותיהם המקדמיות.</w:t>
      </w:r>
    </w:p>
    <w:p w:rsidR="00761030" w:rsidRDefault="00761030" w:rsidP="00761030">
      <w:pPr>
        <w:pStyle w:val="Ruller41"/>
        <w:rPr>
          <w:rFonts w:ascii="Century" w:hAnsi="Century" w:cs="Miriam"/>
          <w:b/>
          <w:spacing w:val="0"/>
          <w:szCs w:val="24"/>
          <w:rtl/>
        </w:rPr>
      </w:pPr>
    </w:p>
    <w:p w:rsidR="00761030" w:rsidRDefault="00761030" w:rsidP="00761030">
      <w:pPr>
        <w:pStyle w:val="Ruller41"/>
        <w:rPr>
          <w:rtl/>
        </w:rPr>
      </w:pPr>
      <w:r>
        <w:rPr>
          <w:rFonts w:ascii="Century" w:hAnsi="Century" w:hint="cs"/>
          <w:rtl/>
        </w:rPr>
        <w:t xml:space="preserve">17. </w:t>
      </w:r>
      <w:r>
        <w:rPr>
          <w:rFonts w:ascii="Century" w:hAnsi="Century" w:hint="cs"/>
          <w:rtl/>
        </w:rPr>
        <w:tab/>
        <w:t xml:space="preserve">בהמשך, הגיעו הצדדים להסדר דיוני שאושר על-ידי בית משפט השלום, ובהתאם לו הם הגישו סיכומים במישור הטענות המקדמיות, ובכלל זה התיישנות, שיהוי ומעשה בית דין. </w:t>
      </w:r>
      <w:r>
        <w:rPr>
          <w:rFonts w:hint="cs"/>
          <w:rtl/>
        </w:rPr>
        <w:t>ב</w:t>
      </w:r>
      <w:r w:rsidRPr="005744F0">
        <w:rPr>
          <w:rFonts w:hint="eastAsia"/>
          <w:rtl/>
        </w:rPr>
        <w:t>יום</w:t>
      </w:r>
      <w:r w:rsidRPr="005744F0">
        <w:rPr>
          <w:rtl/>
        </w:rPr>
        <w:t xml:space="preserve"> 22.3.2016 </w:t>
      </w:r>
      <w:r>
        <w:rPr>
          <w:rFonts w:hint="cs"/>
          <w:rtl/>
        </w:rPr>
        <w:t xml:space="preserve">קבע בית משפט השלום </w:t>
      </w:r>
      <w:r w:rsidRPr="005744F0">
        <w:rPr>
          <w:rtl/>
        </w:rPr>
        <w:t>(</w:t>
      </w:r>
      <w:r w:rsidRPr="005744F0">
        <w:rPr>
          <w:rFonts w:hint="eastAsia"/>
          <w:rtl/>
        </w:rPr>
        <w:t>השופטת</w:t>
      </w:r>
      <w:r w:rsidRPr="005744F0">
        <w:rPr>
          <w:rtl/>
        </w:rPr>
        <w:t xml:space="preserve"> </w:t>
      </w:r>
      <w:r w:rsidRPr="005744F0">
        <w:rPr>
          <w:rFonts w:ascii="Century" w:hAnsi="Century" w:cs="Miriam" w:hint="eastAsia"/>
          <w:b/>
          <w:spacing w:val="0"/>
          <w:szCs w:val="24"/>
          <w:rtl/>
        </w:rPr>
        <w:t>בר</w:t>
      </w:r>
      <w:r w:rsidRPr="005744F0">
        <w:rPr>
          <w:rFonts w:ascii="Century" w:hAnsi="Century" w:cs="Miriam"/>
          <w:b/>
          <w:spacing w:val="0"/>
          <w:szCs w:val="24"/>
          <w:rtl/>
        </w:rPr>
        <w:t>-</w:t>
      </w:r>
      <w:r w:rsidRPr="005744F0">
        <w:rPr>
          <w:rFonts w:ascii="Century" w:hAnsi="Century" w:cs="Miriam" w:hint="eastAsia"/>
          <w:b/>
          <w:spacing w:val="0"/>
          <w:szCs w:val="24"/>
          <w:rtl/>
        </w:rPr>
        <w:t>אשר</w:t>
      </w:r>
      <w:r w:rsidRPr="005744F0">
        <w:rPr>
          <w:rtl/>
        </w:rPr>
        <w:t xml:space="preserve">) </w:t>
      </w:r>
      <w:r w:rsidRPr="005744F0">
        <w:rPr>
          <w:rFonts w:hint="eastAsia"/>
          <w:rtl/>
        </w:rPr>
        <w:t>כי</w:t>
      </w:r>
      <w:r w:rsidRPr="005744F0">
        <w:rPr>
          <w:rtl/>
        </w:rPr>
        <w:t xml:space="preserve"> </w:t>
      </w:r>
      <w:r w:rsidRPr="005744F0">
        <w:rPr>
          <w:rFonts w:hint="eastAsia"/>
          <w:rtl/>
        </w:rPr>
        <w:t>ההכרעה</w:t>
      </w:r>
      <w:r w:rsidRPr="005744F0">
        <w:rPr>
          <w:rtl/>
        </w:rPr>
        <w:t xml:space="preserve"> </w:t>
      </w:r>
      <w:r w:rsidRPr="005744F0">
        <w:rPr>
          <w:rFonts w:hint="eastAsia"/>
          <w:rtl/>
        </w:rPr>
        <w:t>בסוגיות</w:t>
      </w:r>
      <w:r w:rsidRPr="005744F0">
        <w:rPr>
          <w:rtl/>
        </w:rPr>
        <w:t xml:space="preserve"> </w:t>
      </w:r>
      <w:r>
        <w:rPr>
          <w:rFonts w:hint="cs"/>
          <w:rtl/>
        </w:rPr>
        <w:t>שעניינן התיישנות ומעשה בית דין</w:t>
      </w:r>
      <w:r w:rsidRPr="005744F0">
        <w:rPr>
          <w:rtl/>
        </w:rPr>
        <w:t xml:space="preserve"> </w:t>
      </w:r>
      <w:r w:rsidRPr="005744F0">
        <w:rPr>
          <w:rFonts w:hint="eastAsia"/>
          <w:rtl/>
        </w:rPr>
        <w:t>תינתן</w:t>
      </w:r>
      <w:r w:rsidRPr="005744F0">
        <w:rPr>
          <w:rtl/>
        </w:rPr>
        <w:t xml:space="preserve"> </w:t>
      </w:r>
      <w:r w:rsidRPr="005744F0">
        <w:rPr>
          <w:rFonts w:hint="eastAsia"/>
          <w:rtl/>
        </w:rPr>
        <w:t>במסגרת</w:t>
      </w:r>
      <w:r w:rsidRPr="005744F0">
        <w:rPr>
          <w:rtl/>
        </w:rPr>
        <w:t xml:space="preserve"> </w:t>
      </w:r>
      <w:r w:rsidRPr="005744F0">
        <w:rPr>
          <w:rFonts w:hint="eastAsia"/>
          <w:rtl/>
        </w:rPr>
        <w:t>פסק</w:t>
      </w:r>
      <w:r w:rsidRPr="005744F0">
        <w:rPr>
          <w:rtl/>
        </w:rPr>
        <w:t xml:space="preserve"> </w:t>
      </w:r>
      <w:r w:rsidRPr="005744F0">
        <w:rPr>
          <w:rFonts w:hint="eastAsia"/>
          <w:rtl/>
        </w:rPr>
        <w:t>הדין</w:t>
      </w:r>
      <w:r w:rsidRPr="005744F0">
        <w:rPr>
          <w:rtl/>
        </w:rPr>
        <w:t xml:space="preserve"> </w:t>
      </w:r>
      <w:r>
        <w:rPr>
          <w:rFonts w:hint="cs"/>
          <w:rtl/>
        </w:rPr>
        <w:t>עצמו</w:t>
      </w:r>
      <w:r w:rsidRPr="005744F0">
        <w:rPr>
          <w:rtl/>
        </w:rPr>
        <w:t xml:space="preserve">. </w:t>
      </w:r>
      <w:r>
        <w:rPr>
          <w:rFonts w:hint="cs"/>
          <w:rtl/>
        </w:rPr>
        <w:t xml:space="preserve">על החלטה זו הגישו המשיבים </w:t>
      </w:r>
      <w:r w:rsidRPr="005744F0">
        <w:rPr>
          <w:rFonts w:hint="eastAsia"/>
          <w:rtl/>
        </w:rPr>
        <w:t>בקשת</w:t>
      </w:r>
      <w:r w:rsidRPr="005744F0">
        <w:rPr>
          <w:rtl/>
        </w:rPr>
        <w:t xml:space="preserve"> </w:t>
      </w:r>
      <w:r w:rsidRPr="005744F0">
        <w:rPr>
          <w:rFonts w:hint="eastAsia"/>
          <w:rtl/>
        </w:rPr>
        <w:t>רשות</w:t>
      </w:r>
      <w:r w:rsidRPr="005744F0">
        <w:rPr>
          <w:rtl/>
        </w:rPr>
        <w:t xml:space="preserve"> </w:t>
      </w:r>
      <w:r w:rsidRPr="005744F0">
        <w:rPr>
          <w:rFonts w:hint="eastAsia"/>
          <w:rtl/>
        </w:rPr>
        <w:t>ערעור</w:t>
      </w:r>
      <w:r w:rsidRPr="005744F0">
        <w:rPr>
          <w:rtl/>
        </w:rPr>
        <w:t xml:space="preserve"> </w:t>
      </w:r>
      <w:r w:rsidRPr="005744F0">
        <w:rPr>
          <w:rFonts w:hint="eastAsia"/>
          <w:rtl/>
        </w:rPr>
        <w:t>לבית</w:t>
      </w:r>
      <w:r w:rsidRPr="005744F0">
        <w:rPr>
          <w:rtl/>
        </w:rPr>
        <w:t xml:space="preserve"> </w:t>
      </w:r>
      <w:r w:rsidRPr="005744F0">
        <w:rPr>
          <w:rFonts w:hint="eastAsia"/>
          <w:rtl/>
        </w:rPr>
        <w:t>המשפט</w:t>
      </w:r>
      <w:r w:rsidRPr="005744F0">
        <w:rPr>
          <w:rtl/>
        </w:rPr>
        <w:t xml:space="preserve"> </w:t>
      </w:r>
      <w:r w:rsidRPr="005744F0">
        <w:rPr>
          <w:rFonts w:hint="eastAsia"/>
          <w:rtl/>
        </w:rPr>
        <w:t>המחוזי</w:t>
      </w:r>
      <w:r w:rsidRPr="005744F0">
        <w:rPr>
          <w:rtl/>
        </w:rPr>
        <w:t xml:space="preserve"> </w:t>
      </w:r>
      <w:r>
        <w:rPr>
          <w:rFonts w:hint="cs"/>
          <w:rtl/>
        </w:rPr>
        <w:t xml:space="preserve">וביום 27.9.2016 זו </w:t>
      </w:r>
      <w:r w:rsidRPr="005744F0">
        <w:rPr>
          <w:rFonts w:hint="eastAsia"/>
          <w:rtl/>
        </w:rPr>
        <w:t>התקבלה</w:t>
      </w:r>
      <w:r w:rsidRPr="005744F0">
        <w:rPr>
          <w:rtl/>
        </w:rPr>
        <w:t xml:space="preserve"> </w:t>
      </w:r>
      <w:r w:rsidRPr="005744F0">
        <w:rPr>
          <w:rFonts w:hint="eastAsia"/>
          <w:rtl/>
        </w:rPr>
        <w:t>בחלקה</w:t>
      </w:r>
      <w:r w:rsidRPr="005744F0">
        <w:rPr>
          <w:rtl/>
        </w:rPr>
        <w:t xml:space="preserve"> (</w:t>
      </w:r>
      <w:r w:rsidRPr="005744F0">
        <w:rPr>
          <w:rFonts w:hint="eastAsia"/>
          <w:rtl/>
        </w:rPr>
        <w:t>רע</w:t>
      </w:r>
      <w:r w:rsidRPr="005744F0">
        <w:rPr>
          <w:rtl/>
        </w:rPr>
        <w:t>"</w:t>
      </w:r>
      <w:r w:rsidRPr="005744F0">
        <w:rPr>
          <w:rFonts w:hint="eastAsia"/>
          <w:rtl/>
        </w:rPr>
        <w:t>א</w:t>
      </w:r>
      <w:r w:rsidRPr="005744F0">
        <w:rPr>
          <w:rtl/>
        </w:rPr>
        <w:t xml:space="preserve"> 1606-05-1</w:t>
      </w:r>
      <w:r>
        <w:rPr>
          <w:rFonts w:hint="cs"/>
          <w:rtl/>
        </w:rPr>
        <w:t>6</w:t>
      </w:r>
      <w:r w:rsidRPr="005744F0">
        <w:rPr>
          <w:rtl/>
        </w:rPr>
        <w:t xml:space="preserve">, </w:t>
      </w:r>
      <w:r w:rsidRPr="005744F0">
        <w:rPr>
          <w:rFonts w:hint="eastAsia"/>
          <w:rtl/>
        </w:rPr>
        <w:t>השופט</w:t>
      </w:r>
      <w:r w:rsidRPr="005744F0">
        <w:rPr>
          <w:rtl/>
        </w:rPr>
        <w:t xml:space="preserve"> </w:t>
      </w:r>
      <w:r w:rsidRPr="005744F0">
        <w:rPr>
          <w:rFonts w:ascii="Century" w:hAnsi="Century" w:cs="Miriam" w:hint="eastAsia"/>
          <w:b/>
          <w:spacing w:val="0"/>
          <w:szCs w:val="24"/>
          <w:rtl/>
        </w:rPr>
        <w:t>ע</w:t>
      </w:r>
      <w:r w:rsidRPr="005744F0">
        <w:rPr>
          <w:rFonts w:ascii="Century" w:hAnsi="Century" w:cs="Miriam"/>
          <w:b/>
          <w:spacing w:val="0"/>
          <w:szCs w:val="24"/>
          <w:rtl/>
        </w:rPr>
        <w:t xml:space="preserve">' </w:t>
      </w:r>
      <w:r w:rsidRPr="005744F0">
        <w:rPr>
          <w:rFonts w:ascii="Century" w:hAnsi="Century" w:cs="Miriam" w:hint="eastAsia"/>
          <w:b/>
          <w:spacing w:val="0"/>
          <w:szCs w:val="24"/>
          <w:rtl/>
        </w:rPr>
        <w:t>שחם</w:t>
      </w:r>
      <w:r w:rsidRPr="005744F0">
        <w:rPr>
          <w:rtl/>
        </w:rPr>
        <w:t>)</w:t>
      </w:r>
      <w:r>
        <w:rPr>
          <w:rFonts w:hint="cs"/>
          <w:rtl/>
        </w:rPr>
        <w:t xml:space="preserve">. בית המשפט המחוזי </w:t>
      </w:r>
      <w:r w:rsidRPr="005744F0">
        <w:rPr>
          <w:rFonts w:hint="eastAsia"/>
          <w:rtl/>
        </w:rPr>
        <w:t>קבע</w:t>
      </w:r>
      <w:r w:rsidRPr="005744F0">
        <w:rPr>
          <w:rtl/>
        </w:rPr>
        <w:t xml:space="preserve"> </w:t>
      </w:r>
      <w:r w:rsidRPr="005744F0">
        <w:rPr>
          <w:rFonts w:hint="eastAsia"/>
          <w:rtl/>
        </w:rPr>
        <w:t>כי</w:t>
      </w:r>
      <w:r w:rsidRPr="005744F0">
        <w:rPr>
          <w:rtl/>
        </w:rPr>
        <w:t xml:space="preserve"> </w:t>
      </w:r>
      <w:r>
        <w:rPr>
          <w:rFonts w:hint="cs"/>
          <w:rtl/>
        </w:rPr>
        <w:t xml:space="preserve">בעניין </w:t>
      </w:r>
      <w:r w:rsidRPr="00713847">
        <w:rPr>
          <w:rFonts w:ascii="Century" w:hAnsi="Century" w:cs="Miriam" w:hint="eastAsia"/>
          <w:b/>
          <w:spacing w:val="0"/>
          <w:szCs w:val="24"/>
          <w:rtl/>
        </w:rPr>
        <w:t>דוויק</w:t>
      </w:r>
      <w:r w:rsidRPr="00713847">
        <w:rPr>
          <w:rFonts w:ascii="Century" w:hAnsi="Century" w:cs="Miriam"/>
          <w:b/>
          <w:spacing w:val="0"/>
          <w:szCs w:val="24"/>
          <w:rtl/>
        </w:rPr>
        <w:t xml:space="preserve"> </w:t>
      </w:r>
      <w:r w:rsidRPr="00713847">
        <w:rPr>
          <w:rFonts w:ascii="Century" w:hAnsi="Century" w:cs="Miriam" w:hint="eastAsia"/>
          <w:b/>
          <w:spacing w:val="0"/>
          <w:szCs w:val="24"/>
          <w:rtl/>
        </w:rPr>
        <w:t>הראשון</w:t>
      </w:r>
      <w:r w:rsidRPr="003E6A23">
        <w:rPr>
          <w:rFonts w:hint="cs"/>
          <w:rtl/>
        </w:rPr>
        <w:t xml:space="preserve"> </w:t>
      </w:r>
      <w:r>
        <w:rPr>
          <w:rFonts w:hint="cs"/>
          <w:rtl/>
        </w:rPr>
        <w:t>נוצר מעשה בית דין בין הצדדים בכל הנוגע לשאלת בעלותו של ההקדש במקרקעין</w:t>
      </w:r>
      <w:r w:rsidRPr="005744F0">
        <w:rPr>
          <w:rtl/>
        </w:rPr>
        <w:t xml:space="preserve">. </w:t>
      </w:r>
      <w:r>
        <w:rPr>
          <w:rFonts w:hint="cs"/>
          <w:rtl/>
        </w:rPr>
        <w:t xml:space="preserve">לצד זאת, </w:t>
      </w:r>
      <w:r w:rsidRPr="005744F0">
        <w:rPr>
          <w:rFonts w:hint="eastAsia"/>
          <w:rtl/>
        </w:rPr>
        <w:t>בית</w:t>
      </w:r>
      <w:r w:rsidRPr="005744F0">
        <w:rPr>
          <w:rtl/>
        </w:rPr>
        <w:t xml:space="preserve"> </w:t>
      </w:r>
      <w:r w:rsidRPr="005744F0">
        <w:rPr>
          <w:rFonts w:hint="eastAsia"/>
          <w:rtl/>
        </w:rPr>
        <w:t>המשפט</w:t>
      </w:r>
      <w:r w:rsidRPr="005744F0">
        <w:rPr>
          <w:rtl/>
        </w:rPr>
        <w:t xml:space="preserve"> </w:t>
      </w:r>
      <w:r w:rsidRPr="005744F0">
        <w:rPr>
          <w:rFonts w:hint="eastAsia"/>
          <w:rtl/>
        </w:rPr>
        <w:t>המחוזי</w:t>
      </w:r>
      <w:r w:rsidRPr="005744F0">
        <w:rPr>
          <w:rtl/>
        </w:rPr>
        <w:t xml:space="preserve"> </w:t>
      </w:r>
      <w:r w:rsidRPr="005744F0">
        <w:rPr>
          <w:rFonts w:hint="eastAsia"/>
          <w:rtl/>
        </w:rPr>
        <w:t>אישר</w:t>
      </w:r>
      <w:r w:rsidRPr="005744F0">
        <w:rPr>
          <w:rtl/>
        </w:rPr>
        <w:t xml:space="preserve"> </w:t>
      </w:r>
      <w:r w:rsidRPr="005744F0">
        <w:rPr>
          <w:rFonts w:hint="eastAsia"/>
          <w:rtl/>
        </w:rPr>
        <w:t>את</w:t>
      </w:r>
      <w:r w:rsidRPr="005744F0">
        <w:rPr>
          <w:rtl/>
        </w:rPr>
        <w:t xml:space="preserve"> </w:t>
      </w:r>
      <w:r w:rsidRPr="005744F0">
        <w:rPr>
          <w:rFonts w:hint="eastAsia"/>
          <w:rtl/>
        </w:rPr>
        <w:t>קביעתו</w:t>
      </w:r>
      <w:r w:rsidRPr="005744F0">
        <w:rPr>
          <w:rtl/>
        </w:rPr>
        <w:t xml:space="preserve"> </w:t>
      </w:r>
      <w:r w:rsidRPr="005744F0">
        <w:rPr>
          <w:rFonts w:hint="eastAsia"/>
          <w:rtl/>
        </w:rPr>
        <w:t>של</w:t>
      </w:r>
      <w:r w:rsidRPr="005744F0">
        <w:rPr>
          <w:rtl/>
        </w:rPr>
        <w:t xml:space="preserve"> </w:t>
      </w:r>
      <w:r w:rsidRPr="005744F0">
        <w:rPr>
          <w:rFonts w:hint="eastAsia"/>
          <w:rtl/>
        </w:rPr>
        <w:t>בית</w:t>
      </w:r>
      <w:r w:rsidRPr="005744F0">
        <w:rPr>
          <w:rtl/>
        </w:rPr>
        <w:t xml:space="preserve"> </w:t>
      </w:r>
      <w:r w:rsidRPr="005744F0">
        <w:rPr>
          <w:rFonts w:hint="eastAsia"/>
          <w:rtl/>
        </w:rPr>
        <w:t>משפט</w:t>
      </w:r>
      <w:r w:rsidRPr="005744F0">
        <w:rPr>
          <w:rtl/>
        </w:rPr>
        <w:t xml:space="preserve"> </w:t>
      </w:r>
      <w:r w:rsidRPr="005744F0">
        <w:rPr>
          <w:rFonts w:hint="eastAsia"/>
          <w:rtl/>
        </w:rPr>
        <w:t>השלום</w:t>
      </w:r>
      <w:r w:rsidRPr="005744F0">
        <w:rPr>
          <w:rtl/>
        </w:rPr>
        <w:t xml:space="preserve"> </w:t>
      </w:r>
      <w:r w:rsidRPr="005744F0">
        <w:rPr>
          <w:rFonts w:hint="eastAsia"/>
          <w:rtl/>
        </w:rPr>
        <w:t>לפיה</w:t>
      </w:r>
      <w:r w:rsidRPr="005744F0">
        <w:rPr>
          <w:rtl/>
        </w:rPr>
        <w:t xml:space="preserve"> </w:t>
      </w:r>
      <w:r w:rsidRPr="005744F0">
        <w:rPr>
          <w:rFonts w:hint="eastAsia"/>
          <w:rtl/>
        </w:rPr>
        <w:t>ניתן</w:t>
      </w:r>
      <w:r w:rsidRPr="005744F0">
        <w:rPr>
          <w:rtl/>
        </w:rPr>
        <w:t xml:space="preserve"> </w:t>
      </w:r>
      <w:r w:rsidRPr="005744F0">
        <w:rPr>
          <w:rFonts w:hint="eastAsia"/>
          <w:rtl/>
        </w:rPr>
        <w:t>להידרש</w:t>
      </w:r>
      <w:r w:rsidRPr="005744F0">
        <w:rPr>
          <w:rtl/>
        </w:rPr>
        <w:t xml:space="preserve"> </w:t>
      </w:r>
      <w:r w:rsidRPr="005744F0">
        <w:rPr>
          <w:rFonts w:hint="eastAsia"/>
          <w:rtl/>
        </w:rPr>
        <w:t>לסוגיית</w:t>
      </w:r>
      <w:r w:rsidRPr="005744F0">
        <w:rPr>
          <w:rtl/>
        </w:rPr>
        <w:t xml:space="preserve"> </w:t>
      </w:r>
      <w:r w:rsidRPr="005744F0">
        <w:rPr>
          <w:rFonts w:hint="eastAsia"/>
          <w:rtl/>
        </w:rPr>
        <w:t>ההתיישנות</w:t>
      </w:r>
      <w:r w:rsidRPr="005744F0">
        <w:rPr>
          <w:rtl/>
        </w:rPr>
        <w:t xml:space="preserve"> </w:t>
      </w:r>
      <w:r w:rsidRPr="005744F0">
        <w:rPr>
          <w:rFonts w:hint="eastAsia"/>
          <w:rtl/>
        </w:rPr>
        <w:t>במסגרת</w:t>
      </w:r>
      <w:r w:rsidRPr="005744F0">
        <w:rPr>
          <w:rtl/>
        </w:rPr>
        <w:t xml:space="preserve"> </w:t>
      </w:r>
      <w:r>
        <w:rPr>
          <w:rFonts w:hint="cs"/>
          <w:rtl/>
        </w:rPr>
        <w:t xml:space="preserve">פסק הדין בתום </w:t>
      </w:r>
      <w:r w:rsidRPr="005744F0">
        <w:rPr>
          <w:rFonts w:hint="eastAsia"/>
          <w:rtl/>
        </w:rPr>
        <w:t>ההליך</w:t>
      </w:r>
      <w:r w:rsidRPr="005744F0">
        <w:rPr>
          <w:rtl/>
        </w:rPr>
        <w:t xml:space="preserve"> </w:t>
      </w:r>
      <w:r w:rsidRPr="005744F0">
        <w:rPr>
          <w:rFonts w:hint="eastAsia"/>
          <w:rtl/>
        </w:rPr>
        <w:t>ש</w:t>
      </w:r>
      <w:r>
        <w:rPr>
          <w:rFonts w:hint="cs"/>
          <w:rtl/>
        </w:rPr>
        <w:t>הוסיף להתנהל</w:t>
      </w:r>
      <w:r w:rsidRPr="005744F0">
        <w:rPr>
          <w:rtl/>
        </w:rPr>
        <w:t xml:space="preserve">. </w:t>
      </w:r>
      <w:r>
        <w:rPr>
          <w:rFonts w:hint="cs"/>
          <w:rtl/>
        </w:rPr>
        <w:t xml:space="preserve">בקשת רשות הערעור שהגישו </w:t>
      </w:r>
      <w:r w:rsidRPr="005744F0">
        <w:rPr>
          <w:rFonts w:hint="eastAsia"/>
          <w:rtl/>
        </w:rPr>
        <w:t>המבקשים</w:t>
      </w:r>
      <w:r w:rsidRPr="005744F0">
        <w:rPr>
          <w:rtl/>
        </w:rPr>
        <w:t xml:space="preserve"> </w:t>
      </w:r>
      <w:r>
        <w:rPr>
          <w:rFonts w:hint="cs"/>
          <w:rtl/>
        </w:rPr>
        <w:t xml:space="preserve">על החלטתו האמורה של בית המשפט המחוזי </w:t>
      </w:r>
      <w:r w:rsidRPr="005744F0">
        <w:rPr>
          <w:rFonts w:hint="eastAsia"/>
          <w:rtl/>
        </w:rPr>
        <w:t>נדחתה</w:t>
      </w:r>
      <w:r w:rsidRPr="005744F0">
        <w:rPr>
          <w:rtl/>
        </w:rPr>
        <w:t xml:space="preserve"> </w:t>
      </w:r>
      <w:r>
        <w:rPr>
          <w:rFonts w:hint="cs"/>
          <w:rtl/>
        </w:rPr>
        <w:t>ביום 26.3.2017 (</w:t>
      </w:r>
      <w:r w:rsidRPr="00847697">
        <w:rPr>
          <w:rFonts w:hint="eastAsia"/>
          <w:rtl/>
        </w:rPr>
        <w:t>רע</w:t>
      </w:r>
      <w:r w:rsidRPr="00847697">
        <w:rPr>
          <w:rtl/>
        </w:rPr>
        <w:t>"</w:t>
      </w:r>
      <w:r w:rsidRPr="00847697">
        <w:rPr>
          <w:rFonts w:hint="eastAsia"/>
          <w:rtl/>
        </w:rPr>
        <w:t>א</w:t>
      </w:r>
      <w:r w:rsidRPr="00847697">
        <w:rPr>
          <w:rtl/>
        </w:rPr>
        <w:t xml:space="preserve"> 8798/16</w:t>
      </w:r>
      <w:r>
        <w:rPr>
          <w:rFonts w:hint="cs"/>
          <w:rtl/>
        </w:rPr>
        <w:t xml:space="preserve">, השופט (כתוארו אז) </w:t>
      </w:r>
      <w:r w:rsidRPr="00643546">
        <w:rPr>
          <w:rFonts w:ascii="Century" w:hAnsi="Century" w:cs="Miriam" w:hint="eastAsia"/>
          <w:b/>
          <w:spacing w:val="0"/>
          <w:szCs w:val="24"/>
          <w:rtl/>
        </w:rPr>
        <w:t>נ</w:t>
      </w:r>
      <w:r w:rsidRPr="00643546">
        <w:rPr>
          <w:rFonts w:ascii="Century" w:hAnsi="Century" w:cs="Miriam"/>
          <w:b/>
          <w:spacing w:val="0"/>
          <w:szCs w:val="24"/>
          <w:rtl/>
        </w:rPr>
        <w:t xml:space="preserve">' </w:t>
      </w:r>
      <w:r w:rsidRPr="00643546">
        <w:rPr>
          <w:rFonts w:ascii="Century" w:hAnsi="Century" w:cs="Miriam" w:hint="eastAsia"/>
          <w:b/>
          <w:spacing w:val="0"/>
          <w:szCs w:val="24"/>
          <w:rtl/>
        </w:rPr>
        <w:t>הנדל</w:t>
      </w:r>
      <w:r>
        <w:rPr>
          <w:rFonts w:hint="cs"/>
          <w:rtl/>
        </w:rPr>
        <w:t>)</w:t>
      </w:r>
      <w:r w:rsidRPr="005744F0">
        <w:rPr>
          <w:rtl/>
        </w:rPr>
        <w:t>.</w:t>
      </w:r>
    </w:p>
    <w:p w:rsidR="00761030" w:rsidRDefault="00761030" w:rsidP="00761030">
      <w:pPr>
        <w:pStyle w:val="Ruller41"/>
        <w:rPr>
          <w:rtl/>
        </w:rPr>
      </w:pPr>
    </w:p>
    <w:p w:rsidR="00761030" w:rsidRDefault="00761030" w:rsidP="00761030">
      <w:pPr>
        <w:pStyle w:val="Ruller41"/>
        <w:rPr>
          <w:rtl/>
        </w:rPr>
      </w:pPr>
      <w:r>
        <w:rPr>
          <w:rFonts w:hint="cs"/>
          <w:rtl/>
        </w:rPr>
        <w:t xml:space="preserve">18. </w:t>
      </w:r>
      <w:r>
        <w:rPr>
          <w:rFonts w:hint="cs"/>
          <w:rtl/>
        </w:rPr>
        <w:tab/>
        <w:t xml:space="preserve"> ביום 9.4.2017 הגישו המבקשים לבית משפט השלום בקשה לתיקונו של כתב ההגנה, כך שיתייחס גם לטענה לפיה עומדת להם זכות לרכוש את המקרקעין מכוח ההסדר של בניה ונטיעה במקרקעי הזולת המעוגן בסעיף 23 ל</w:t>
      </w:r>
      <w:r w:rsidRPr="00DA29B1">
        <w:rPr>
          <w:rFonts w:hint="cs"/>
          <w:rtl/>
        </w:rPr>
        <w:t>חוק המקרקעין, התשכ"ט</w:t>
      </w:r>
      <w:r>
        <w:rPr>
          <w:rFonts w:hint="cs"/>
          <w:rtl/>
        </w:rPr>
        <w:t xml:space="preserve">-1969 (להלן: </w:t>
      </w:r>
      <w:r w:rsidRPr="002C0D91">
        <w:rPr>
          <w:rFonts w:ascii="Century" w:hAnsi="Century" w:cs="Miriam" w:hint="cs"/>
          <w:b/>
          <w:spacing w:val="0"/>
          <w:szCs w:val="24"/>
          <w:rtl/>
        </w:rPr>
        <w:t>חוק המקרקעין</w:t>
      </w:r>
      <w:r>
        <w:rPr>
          <w:rFonts w:hint="cs"/>
          <w:rtl/>
        </w:rPr>
        <w:t xml:space="preserve">). בו ביום נעתר בית משפט השלום לבקשה (השופטת </w:t>
      </w:r>
      <w:r w:rsidRPr="004963E1">
        <w:rPr>
          <w:rFonts w:ascii="Century" w:hAnsi="Century" w:cs="Miriam" w:hint="cs"/>
          <w:b/>
          <w:spacing w:val="0"/>
          <w:szCs w:val="24"/>
          <w:rtl/>
        </w:rPr>
        <w:t>בר-אשר</w:t>
      </w:r>
      <w:r>
        <w:rPr>
          <w:rFonts w:hint="cs"/>
          <w:rtl/>
        </w:rPr>
        <w:t xml:space="preserve">). ביום 5.6.2017 הוגש כתב ההגנה המתוקן, שכלל את הטענות הבאות: ראשית, נטען בו כי דין התביעה להידחות מחמת התיישנות, בהתחשב בכך שמדובר במקרקעין לא מוסדרים שהמבקשים מחזיקים בהם למעלה מחמישים שנים; שנית, נטען כי דין התביעה להידחות גם מחמת שיהוי בהגשתה, אף זאת בהתחשב במשך הזמן שבו מתגוררים המבקשים במקרקעין; שלישית, נטען כי דין התביעה להידחות בשל קיומו של השתק עילה, בהתחשב בכך שבמסגרת ההליך בעניין </w:t>
      </w:r>
      <w:r w:rsidRPr="00252D02">
        <w:rPr>
          <w:rFonts w:ascii="Century" w:hAnsi="Century" w:cs="Miriam" w:hint="cs"/>
          <w:b/>
          <w:spacing w:val="0"/>
          <w:szCs w:val="24"/>
          <w:rtl/>
        </w:rPr>
        <w:t>דוויק הראשון</w:t>
      </w:r>
      <w:r w:rsidRPr="00252D02">
        <w:rPr>
          <w:rFonts w:hint="cs"/>
          <w:rtl/>
        </w:rPr>
        <w:t xml:space="preserve"> </w:t>
      </w:r>
      <w:r>
        <w:rPr>
          <w:rFonts w:hint="cs"/>
          <w:rtl/>
        </w:rPr>
        <w:t>המשיבים בחרו שלא לעתור לסעד של פינוי, על אף שיכלו לעשות כן כבר באותה העת; רביעית, ולבסוף, כאמור, נטען לגוף הדברים כי למבקשים נתונה זכות לרכוש את המקרקעין מכוח סעיף 23(א) לחוק המקרקעין על רקע תוספות הבניה במקום לאורך השנים.</w:t>
      </w:r>
    </w:p>
    <w:p w:rsidR="00761030" w:rsidRDefault="00761030" w:rsidP="00761030">
      <w:pPr>
        <w:pStyle w:val="Ruller41"/>
        <w:rPr>
          <w:rtl/>
        </w:rPr>
      </w:pPr>
      <w:r>
        <w:rPr>
          <w:rFonts w:hint="cs"/>
          <w:rtl/>
        </w:rPr>
        <w:t xml:space="preserve">19. </w:t>
      </w:r>
      <w:r>
        <w:rPr>
          <w:rFonts w:hint="cs"/>
          <w:rtl/>
        </w:rPr>
        <w:tab/>
        <w:t xml:space="preserve">ביום 11.6.2018 המבקשים הגישו בקשה לעיכוב הליכים שבה נטען כי העתירה שהוגשה בעניין </w:t>
      </w:r>
      <w:r w:rsidRPr="0098481C">
        <w:rPr>
          <w:rFonts w:ascii="Century" w:hAnsi="Century" w:cs="Miriam" w:hint="cs"/>
          <w:b/>
          <w:spacing w:val="0"/>
          <w:szCs w:val="24"/>
          <w:rtl/>
        </w:rPr>
        <w:t>סרחאן</w:t>
      </w:r>
      <w:r>
        <w:rPr>
          <w:rFonts w:ascii="Century" w:hAnsi="Century" w:cs="Miriam" w:hint="cs"/>
          <w:b/>
          <w:spacing w:val="0"/>
          <w:szCs w:val="24"/>
          <w:rtl/>
        </w:rPr>
        <w:t xml:space="preserve"> </w:t>
      </w:r>
      <w:r>
        <w:rPr>
          <w:rFonts w:ascii="Century" w:hAnsi="Century" w:hint="cs"/>
          <w:rtl/>
        </w:rPr>
        <w:t xml:space="preserve">עשויה להשפיע על ההליך. בהחלטתו מיום 20.6.2018 קיבל בית משפט השלום (השופטת </w:t>
      </w:r>
      <w:r w:rsidRPr="0026072C">
        <w:rPr>
          <w:rFonts w:ascii="Century" w:hAnsi="Century" w:cs="Miriam" w:hint="cs"/>
          <w:b/>
          <w:spacing w:val="0"/>
          <w:szCs w:val="24"/>
          <w:rtl/>
        </w:rPr>
        <w:t xml:space="preserve">א' </w:t>
      </w:r>
      <w:r w:rsidRPr="00643546">
        <w:rPr>
          <w:rFonts w:ascii="Century" w:hAnsi="Century" w:cs="Miriam" w:hint="cs"/>
          <w:b/>
          <w:spacing w:val="0"/>
          <w:szCs w:val="24"/>
          <w:rtl/>
        </w:rPr>
        <w:t>סנדלר-איתן</w:t>
      </w:r>
      <w:r>
        <w:rPr>
          <w:rFonts w:ascii="Century" w:hAnsi="Century" w:hint="cs"/>
          <w:rtl/>
        </w:rPr>
        <w:t xml:space="preserve">) את הבקשה בהתחשב בהשלכות הפוטנציאליות של ההכרעה בעתירה בעניין </w:t>
      </w:r>
      <w:r w:rsidRPr="00713847">
        <w:rPr>
          <w:rFonts w:ascii="Century" w:hAnsi="Century" w:cs="Miriam" w:hint="eastAsia"/>
          <w:b/>
          <w:spacing w:val="0"/>
          <w:szCs w:val="24"/>
          <w:rtl/>
        </w:rPr>
        <w:t>סרחאן</w:t>
      </w:r>
      <w:r>
        <w:rPr>
          <w:rFonts w:ascii="Century" w:hAnsi="Century" w:hint="cs"/>
          <w:rtl/>
        </w:rPr>
        <w:t xml:space="preserve"> על ההליך דנן. </w:t>
      </w:r>
      <w:r>
        <w:rPr>
          <w:rFonts w:hint="cs"/>
          <w:rtl/>
        </w:rPr>
        <w:t xml:space="preserve">לאחר שניתן פסק הדין בעניין </w:t>
      </w:r>
      <w:r w:rsidRPr="003400DE">
        <w:rPr>
          <w:rFonts w:ascii="Century" w:hAnsi="Century" w:cs="Miriam" w:hint="eastAsia"/>
          <w:b/>
          <w:spacing w:val="0"/>
          <w:szCs w:val="24"/>
          <w:rtl/>
        </w:rPr>
        <w:t>סרחאן</w:t>
      </w:r>
      <w:r>
        <w:rPr>
          <w:rFonts w:hint="cs"/>
          <w:rtl/>
        </w:rPr>
        <w:t>, ונדחו בו כאמור הטענות בנוגע לתוקפה של תעודת השחרור שניתנה ביחס לנכסים, חודש הדיון בבית משפט השלום והוחל בשמיעת הראיות.</w:t>
      </w:r>
    </w:p>
    <w:p w:rsidR="00761030" w:rsidRDefault="00761030" w:rsidP="00761030">
      <w:pPr>
        <w:pStyle w:val="Ruller41"/>
        <w:rPr>
          <w:rtl/>
        </w:rPr>
      </w:pPr>
    </w:p>
    <w:p w:rsidR="00761030" w:rsidRDefault="00761030" w:rsidP="00761030">
      <w:pPr>
        <w:pStyle w:val="Ruller41"/>
        <w:rPr>
          <w:rtl/>
        </w:rPr>
      </w:pPr>
      <w:r>
        <w:rPr>
          <w:rFonts w:hint="cs"/>
          <w:rtl/>
        </w:rPr>
        <w:t xml:space="preserve">20. </w:t>
      </w:r>
      <w:r>
        <w:rPr>
          <w:rFonts w:hint="cs"/>
          <w:rtl/>
        </w:rPr>
        <w:tab/>
        <w:t xml:space="preserve">ביום 26.1.2020 קיבל בית משפט השלום (השופטת </w:t>
      </w:r>
      <w:r w:rsidRPr="006619EA">
        <w:rPr>
          <w:rFonts w:ascii="Century" w:hAnsi="Century" w:cs="Miriam" w:hint="eastAsia"/>
          <w:b/>
          <w:spacing w:val="0"/>
          <w:szCs w:val="24"/>
          <w:rtl/>
        </w:rPr>
        <w:t>סנדלר</w:t>
      </w:r>
      <w:r w:rsidRPr="006619EA">
        <w:rPr>
          <w:rFonts w:ascii="Century" w:hAnsi="Century" w:cs="Miriam"/>
          <w:b/>
          <w:spacing w:val="0"/>
          <w:szCs w:val="24"/>
          <w:rtl/>
        </w:rPr>
        <w:t>-איתן</w:t>
      </w:r>
      <w:r>
        <w:rPr>
          <w:rFonts w:hint="cs"/>
          <w:rtl/>
        </w:rPr>
        <w:t xml:space="preserve">) את התביעה, בדחותו את טענותיהם המקדמיות של המבקשים, וכן את טענותיהם לגוף הדברים. בית משפט השלום ציין כי המבקשים לא הגישו סיכומים מטעמם במועד שנקבע לכך, ומכאן שדינם כדין בעל דין שלא התייצב. בהמשך לכך נקבע, כי בהתאם לתקנות 157(2) ו-160(ד) לתקנות סדר הדין האזרחי, התשמ"ד-1984 (להלן: </w:t>
      </w:r>
      <w:r>
        <w:rPr>
          <w:rFonts w:ascii="Century" w:hAnsi="Century" w:cs="Miriam" w:hint="cs"/>
          <w:b/>
          <w:spacing w:val="0"/>
          <w:szCs w:val="24"/>
          <w:rtl/>
        </w:rPr>
        <w:t>תקנות סדר הדין האזרחי</w:t>
      </w:r>
      <w:r>
        <w:rPr>
          <w:rFonts w:hint="cs"/>
          <w:rtl/>
        </w:rPr>
        <w:t>), רשאים המשיבים להוכיח את תביעתם עד כמה שחובת הראיה מוטלת עליהם.</w:t>
      </w:r>
    </w:p>
    <w:p w:rsidR="00761030" w:rsidRDefault="00761030" w:rsidP="00761030">
      <w:pPr>
        <w:pStyle w:val="Ruller41"/>
        <w:rPr>
          <w:rtl/>
        </w:rPr>
      </w:pPr>
    </w:p>
    <w:p w:rsidR="00761030" w:rsidRDefault="00761030" w:rsidP="00761030">
      <w:pPr>
        <w:pStyle w:val="Ruller41"/>
        <w:rPr>
          <w:rFonts w:ascii="Century" w:hAnsi="Century"/>
          <w:rtl/>
        </w:rPr>
      </w:pPr>
      <w:r>
        <w:rPr>
          <w:rFonts w:hint="cs"/>
          <w:rtl/>
        </w:rPr>
        <w:t xml:space="preserve">21. </w:t>
      </w:r>
      <w:r>
        <w:rPr>
          <w:rFonts w:hint="cs"/>
          <w:rtl/>
        </w:rPr>
        <w:tab/>
      </w:r>
      <w:r>
        <w:rPr>
          <w:rFonts w:ascii="Century" w:hAnsi="Century" w:hint="cs"/>
          <w:rtl/>
        </w:rPr>
        <w:t xml:space="preserve">באשר לטענה של השתק עילה קבע בית משפט השלום כי בהתאם לדיני הסמכות העניינית שחלו בעת שבה הוגשה התביעה בעניין </w:t>
      </w:r>
      <w:r w:rsidRPr="003D7D7E">
        <w:rPr>
          <w:rFonts w:ascii="Century" w:hAnsi="Century" w:cs="Miriam" w:hint="cs"/>
          <w:b/>
          <w:spacing w:val="0"/>
          <w:szCs w:val="24"/>
          <w:rtl/>
        </w:rPr>
        <w:t>דוויק הראשון</w:t>
      </w:r>
      <w:r>
        <w:rPr>
          <w:rFonts w:ascii="Century" w:hAnsi="Century" w:hint="cs"/>
          <w:rtl/>
        </w:rPr>
        <w:t xml:space="preserve">, המשיבים היו מחויבים לפצל את תביעותיהם בין שתי ערכאות שונות, ללא צורך בהגשת בקשה להיתר לפיצול סעדים. בנסיבות אלה, נקבע כי טענת השתק עילה אינה עומדת כנגדם.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22. </w:t>
      </w:r>
      <w:r>
        <w:rPr>
          <w:rFonts w:ascii="Century" w:hAnsi="Century" w:hint="cs"/>
          <w:rtl/>
        </w:rPr>
        <w:tab/>
        <w:t xml:space="preserve">בהמשך לכך, דן בית משפט השלום בטענת ההתיישנות שהעלו המבקשים על כל רבדיה. </w:t>
      </w:r>
      <w:r w:rsidRPr="001A051F">
        <w:rPr>
          <w:rFonts w:cs="Miriam" w:hint="eastAsia"/>
          <w:b/>
          <w:spacing w:val="0"/>
          <w:szCs w:val="24"/>
          <w:rtl/>
        </w:rPr>
        <w:t>ראשית</w:t>
      </w:r>
      <w:r>
        <w:rPr>
          <w:rFonts w:ascii="Century" w:hAnsi="Century" w:hint="cs"/>
          <w:rtl/>
        </w:rPr>
        <w:t xml:space="preserve">, הבהיר בית משפט השלום כי לא עומדת למבקשים טענת התיישנות רוכשת מכוח סעיף 78 לחוק הקרקעות העותמני </w:t>
      </w:r>
      <w:r w:rsidRPr="0019654E">
        <w:rPr>
          <w:rFonts w:hint="eastAsia"/>
          <w:rtl/>
        </w:rPr>
        <w:t>משנת</w:t>
      </w:r>
      <w:r w:rsidRPr="0019654E">
        <w:rPr>
          <w:rtl/>
        </w:rPr>
        <w:t xml:space="preserve"> 1274 </w:t>
      </w:r>
      <w:r w:rsidRPr="0019654E">
        <w:rPr>
          <w:rFonts w:hint="eastAsia"/>
          <w:rtl/>
        </w:rPr>
        <w:t>להיג</w:t>
      </w:r>
      <w:r w:rsidRPr="0019654E">
        <w:rPr>
          <w:rtl/>
        </w:rPr>
        <w:t>'</w:t>
      </w:r>
      <w:r w:rsidRPr="0019654E">
        <w:rPr>
          <w:rFonts w:hint="eastAsia"/>
          <w:rtl/>
        </w:rPr>
        <w:t>רה</w:t>
      </w:r>
      <w:r w:rsidRPr="0019654E">
        <w:rPr>
          <w:rtl/>
        </w:rPr>
        <w:t xml:space="preserve"> (1858) (</w:t>
      </w:r>
      <w:r w:rsidRPr="0019654E">
        <w:rPr>
          <w:rFonts w:hint="eastAsia"/>
          <w:rtl/>
        </w:rPr>
        <w:t>להלן</w:t>
      </w:r>
      <w:r w:rsidRPr="0019654E">
        <w:rPr>
          <w:rtl/>
        </w:rPr>
        <w:t xml:space="preserve">: </w:t>
      </w:r>
      <w:r>
        <w:rPr>
          <w:rFonts w:ascii="Century" w:hAnsi="Century" w:cs="Miriam" w:hint="cs"/>
          <w:b/>
          <w:spacing w:val="0"/>
          <w:szCs w:val="24"/>
          <w:rtl/>
        </w:rPr>
        <w:t>חוק הקרקעות</w:t>
      </w:r>
      <w:r>
        <w:rPr>
          <w:rFonts w:hint="cs"/>
          <w:rtl/>
        </w:rPr>
        <w:t xml:space="preserve"> </w:t>
      </w:r>
      <w:r w:rsidRPr="001917CE">
        <w:rPr>
          <w:rFonts w:ascii="Century" w:hAnsi="Century" w:cs="Miriam" w:hint="cs"/>
          <w:b/>
          <w:spacing w:val="0"/>
          <w:szCs w:val="24"/>
          <w:rtl/>
        </w:rPr>
        <w:t>העותמני</w:t>
      </w:r>
      <w:r>
        <w:rPr>
          <w:rFonts w:hint="cs"/>
          <w:rtl/>
        </w:rPr>
        <w:t>)</w:t>
      </w:r>
      <w:r>
        <w:rPr>
          <w:rFonts w:ascii="Century" w:hAnsi="Century" w:hint="cs"/>
          <w:rtl/>
        </w:rPr>
        <w:t xml:space="preserve">, מאחר שאין מדובר בקרקע חקלאית. </w:t>
      </w:r>
      <w:r w:rsidRPr="001A051F">
        <w:rPr>
          <w:rFonts w:cs="Miriam" w:hint="eastAsia"/>
          <w:b/>
          <w:spacing w:val="0"/>
          <w:szCs w:val="24"/>
          <w:rtl/>
        </w:rPr>
        <w:t>שנית</w:t>
      </w:r>
      <w:r>
        <w:rPr>
          <w:rFonts w:ascii="Century" w:hAnsi="Century" w:hint="cs"/>
          <w:rtl/>
        </w:rPr>
        <w:t>, בית משפט השלום קבע כי תקופת ההתיישנות לא חלפה במועד הגשת התביעה מאחר שאין להביא במניין את התקופה שבה החזיק האפוטרופוס הכללי במקרקעין. זאת, בהתחשב בכך שבתקופה זו היה נכון לראות בהם "מקרקעי ציבור", בהיותם מוחזקים על-ידי האפוטרופוס הכללי שהוא תאגיד שהוקם על-פי חיקוק, ובהפניה לסעיף 113(ב) לחוק המקרקעין הקובע כי במקרקעי ציבור "</w:t>
      </w:r>
      <w:r w:rsidRPr="006C213C">
        <w:rPr>
          <w:rFonts w:ascii="Century" w:hAnsi="Century" w:hint="eastAsia"/>
          <w:rtl/>
        </w:rPr>
        <w:t>לא</w:t>
      </w:r>
      <w:r w:rsidRPr="006C213C">
        <w:rPr>
          <w:rFonts w:ascii="Century" w:hAnsi="Century"/>
          <w:rtl/>
        </w:rPr>
        <w:t xml:space="preserve"> </w:t>
      </w:r>
      <w:r w:rsidRPr="006C213C">
        <w:rPr>
          <w:rFonts w:ascii="Century" w:hAnsi="Century" w:hint="eastAsia"/>
          <w:rtl/>
        </w:rPr>
        <w:t>תתחיל</w:t>
      </w:r>
      <w:r w:rsidRPr="006C213C">
        <w:rPr>
          <w:rFonts w:ascii="Century" w:hAnsi="Century"/>
          <w:rtl/>
        </w:rPr>
        <w:t xml:space="preserve"> </w:t>
      </w:r>
      <w:r w:rsidRPr="006C213C">
        <w:rPr>
          <w:rFonts w:ascii="Century" w:hAnsi="Century" w:hint="eastAsia"/>
          <w:rtl/>
        </w:rPr>
        <w:t>תקופת</w:t>
      </w:r>
      <w:r w:rsidRPr="006C213C">
        <w:rPr>
          <w:rFonts w:ascii="Century" w:hAnsi="Century"/>
          <w:rtl/>
        </w:rPr>
        <w:t xml:space="preserve"> </w:t>
      </w:r>
      <w:r w:rsidRPr="006C213C">
        <w:rPr>
          <w:rFonts w:ascii="Century" w:hAnsi="Century" w:hint="eastAsia"/>
          <w:rtl/>
        </w:rPr>
        <w:t>ההתיישנות</w:t>
      </w:r>
      <w:r w:rsidRPr="006C213C">
        <w:rPr>
          <w:rFonts w:ascii="Century" w:hAnsi="Century"/>
          <w:rtl/>
        </w:rPr>
        <w:t xml:space="preserve"> </w:t>
      </w:r>
      <w:r w:rsidRPr="006C213C">
        <w:rPr>
          <w:rFonts w:ascii="Century" w:hAnsi="Century" w:hint="eastAsia"/>
          <w:rtl/>
        </w:rPr>
        <w:t>לפני</w:t>
      </w:r>
      <w:r w:rsidRPr="006C213C">
        <w:rPr>
          <w:rFonts w:ascii="Century" w:hAnsi="Century"/>
          <w:rtl/>
        </w:rPr>
        <w:t xml:space="preserve"> </w:t>
      </w:r>
      <w:r w:rsidRPr="006C213C">
        <w:rPr>
          <w:rFonts w:ascii="Century" w:hAnsi="Century" w:hint="eastAsia"/>
          <w:rtl/>
        </w:rPr>
        <w:t>היום</w:t>
      </w:r>
      <w:r w:rsidRPr="006C213C">
        <w:rPr>
          <w:rFonts w:ascii="Century" w:hAnsi="Century"/>
          <w:rtl/>
        </w:rPr>
        <w:t xml:space="preserve"> </w:t>
      </w:r>
      <w:r w:rsidRPr="006C213C">
        <w:rPr>
          <w:rFonts w:ascii="Century" w:hAnsi="Century" w:hint="eastAsia"/>
          <w:rtl/>
        </w:rPr>
        <w:t>שנרשמו</w:t>
      </w:r>
      <w:r w:rsidRPr="006C213C">
        <w:rPr>
          <w:rFonts w:ascii="Century" w:hAnsi="Century"/>
          <w:rtl/>
        </w:rPr>
        <w:t xml:space="preserve"> </w:t>
      </w:r>
      <w:r w:rsidRPr="006C213C">
        <w:rPr>
          <w:rFonts w:ascii="Century" w:hAnsi="Century" w:hint="eastAsia"/>
          <w:rtl/>
        </w:rPr>
        <w:t>על</w:t>
      </w:r>
      <w:r w:rsidRPr="006C213C">
        <w:rPr>
          <w:rFonts w:ascii="Century" w:hAnsi="Century"/>
          <w:rtl/>
        </w:rPr>
        <w:t xml:space="preserve"> </w:t>
      </w:r>
      <w:r w:rsidRPr="006C213C">
        <w:rPr>
          <w:rFonts w:ascii="Century" w:hAnsi="Century" w:hint="eastAsia"/>
          <w:rtl/>
        </w:rPr>
        <w:t>שם</w:t>
      </w:r>
      <w:r w:rsidRPr="006C213C">
        <w:rPr>
          <w:rFonts w:ascii="Century" w:hAnsi="Century"/>
          <w:rtl/>
        </w:rPr>
        <w:t xml:space="preserve"> </w:t>
      </w:r>
      <w:r w:rsidRPr="006C213C">
        <w:rPr>
          <w:rFonts w:ascii="Century" w:hAnsi="Century" w:hint="eastAsia"/>
          <w:rtl/>
        </w:rPr>
        <w:t>בעליהם</w:t>
      </w:r>
      <w:r>
        <w:rPr>
          <w:rFonts w:ascii="Century" w:hAnsi="Century" w:hint="cs"/>
          <w:rtl/>
        </w:rPr>
        <w:t xml:space="preserve">". </w:t>
      </w:r>
      <w:r w:rsidRPr="001A051F">
        <w:rPr>
          <w:rFonts w:ascii="Century" w:hAnsi="Century" w:cs="Miriam" w:hint="eastAsia"/>
          <w:b/>
          <w:spacing w:val="0"/>
          <w:szCs w:val="24"/>
          <w:rtl/>
        </w:rPr>
        <w:t>שלישית</w:t>
      </w:r>
      <w:r>
        <w:rPr>
          <w:rFonts w:ascii="Century" w:hAnsi="Century" w:hint="cs"/>
          <w:rtl/>
        </w:rPr>
        <w:t xml:space="preserve">, בית משפט השלום הוסיף כי מכל מקום, חל במקרה זה ההסדר הקבוע בסעיף 8 לחוק ההתיישנות, התשי"ח-1958 (להלן: </w:t>
      </w:r>
      <w:r w:rsidRPr="007E6CB7">
        <w:rPr>
          <w:rFonts w:ascii="Century" w:hAnsi="Century" w:cs="Miriam" w:hint="cs"/>
          <w:b/>
          <w:spacing w:val="0"/>
          <w:szCs w:val="24"/>
          <w:rtl/>
        </w:rPr>
        <w:t>חוק ההתיישנות</w:t>
      </w:r>
      <w:r>
        <w:rPr>
          <w:rFonts w:ascii="Century" w:hAnsi="Century" w:hint="cs"/>
          <w:rtl/>
        </w:rPr>
        <w:t xml:space="preserve">), המאפשר את דחיית תחילתו של מרוץ ההתיישנות כאשר לא היה בידי התובע המידע הנדרש להגשת תביעה. בהקשר זה, קבע בית משפט השלום, כי לפי עדות המשיבים, הם השקיעו מאמצים רבים כדי להתחקות אחר זהותם של המחזיקים בכל נכס ספציפי במקרקעין, ובכלל זה אחר זהותם של המבקשים. על רקע זה נקבע כי מרוץ ההתיישנות החל בפועל אך בסמוך להגשת התביעה על-ידי המשיבים בעניין </w:t>
      </w:r>
      <w:r w:rsidRPr="000D2DDD">
        <w:rPr>
          <w:rFonts w:cs="Miriam" w:hint="eastAsia"/>
          <w:b/>
          <w:spacing w:val="0"/>
          <w:szCs w:val="24"/>
          <w:rtl/>
        </w:rPr>
        <w:t>דוויק</w:t>
      </w:r>
      <w:r w:rsidRPr="000D2DDD">
        <w:rPr>
          <w:rFonts w:cs="Miriam"/>
          <w:b/>
          <w:spacing w:val="0"/>
          <w:szCs w:val="24"/>
          <w:rtl/>
        </w:rPr>
        <w:t xml:space="preserve"> </w:t>
      </w:r>
      <w:r w:rsidRPr="000D2DDD">
        <w:rPr>
          <w:rFonts w:cs="Miriam" w:hint="eastAsia"/>
          <w:b/>
          <w:spacing w:val="0"/>
          <w:szCs w:val="24"/>
          <w:rtl/>
        </w:rPr>
        <w:t>הראשון</w:t>
      </w:r>
      <w:r>
        <w:rPr>
          <w:rFonts w:ascii="Century" w:hAnsi="Century" w:hint="cs"/>
          <w:rtl/>
        </w:rPr>
        <w:t xml:space="preserve">, ולכל המוקדם בשנת 2005, ולפיכך התביעה לא התיישנה. בית משפט השלום דחה גם את טענת השיהוי, בקבעו כי המשיבים לא יצרו מצג כלשהו של ויתור כלפי המבקשים.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23. </w:t>
      </w:r>
      <w:r>
        <w:rPr>
          <w:rFonts w:ascii="Century" w:hAnsi="Century" w:hint="cs"/>
          <w:rtl/>
        </w:rPr>
        <w:tab/>
        <w:t xml:space="preserve">בית משפט השלום דחה אף את הטענה שעניינה בניה ונטיעה במקרקעי הזולת לפי סעיף 23 לחוק המקרקעין. בין השאר, קבע בית משפט השלום כי הנכס בנוי כאמור על מקרקעי ציבור, שעליהם לא חל ההסדר הקבוע בסעיף 23 לחוק. עוד נקבע כי הסדר זה כפוף לסעיף 13 לחוק המקרקעין, הקובע כי אין תוקף לעסקה בחלק מסוים מהמקרקעין </w:t>
      </w:r>
      <w:r>
        <w:rPr>
          <w:rFonts w:ascii="Century" w:hAnsi="Century"/>
          <w:rtl/>
        </w:rPr>
        <w:t>–</w:t>
      </w:r>
      <w:r>
        <w:rPr>
          <w:rFonts w:ascii="Century" w:hAnsi="Century" w:hint="cs"/>
          <w:rtl/>
        </w:rPr>
        <w:t xml:space="preserve"> במובן זה שלא ניתן לאפשר למקים המחוברים לרכוש חלק קטן מהמקרקעין בלבד. על רקע זה, נקבע כי דין טענת המבקשים להידחות, מאחר שהיא מתייחסת לחלק קטן ובלתי מהותי מהמקרקעין.</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24. </w:t>
      </w:r>
      <w:r>
        <w:rPr>
          <w:rFonts w:ascii="Century" w:hAnsi="Century" w:hint="cs"/>
          <w:rtl/>
        </w:rPr>
        <w:tab/>
        <w:t>לבסוף, בית משפט השלום ציין כי לא מצא ממש בטענת המבקשים, שנזכרה בכתב ההגנה המתוקן "בשפה רפה" וללא פירוט, באשר לכך שקיבלו רשות בלתי הדירה להחזקה ושימוש במקרקעין.</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25. </w:t>
      </w:r>
      <w:r>
        <w:rPr>
          <w:rFonts w:ascii="Century" w:hAnsi="Century" w:hint="cs"/>
          <w:rtl/>
        </w:rPr>
        <w:tab/>
        <w:t>בסיכומו של דבר, בית משפט השלום הורה למבקשים לסלק ידם מהנכס עד ליום 2.8.2020. לנוכח ההשלכה הקשה הצפויה של פסק הדין על המבקשים, נמנע בית משפט השלום מפסיקת הוצאות.</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26. </w:t>
      </w:r>
      <w:r>
        <w:rPr>
          <w:rFonts w:ascii="Century" w:hAnsi="Century" w:hint="cs"/>
          <w:rtl/>
        </w:rPr>
        <w:tab/>
        <w:t xml:space="preserve">למחרת מתן פסק הדין הגישו המבקשים בקשה לביטולו. בבקשה נטען כי הסיכומים מטעמם הוגשו ביום 9.12.2019 באמצעות פקס בשל תקלה במערכת נט המשפט. עוד הודגש, כי המבקשים הגישו עוד ביום 6.3.2016 סיכומים המתייחסים לטענות המקדמיות בעניין ההתיישנות מעשה בית הדין, וכי בהחלטה מיום 22.3.2016 נקבע שההכרעה בטיעונים שהועלו בהם תינתן במסגרת ההכרעה בתביעה כולה. על כן, נטען כי לא היה מקום לקבוע שיש לראות במבקשים כמי שלא התייצבו. בו ביום דחה בית משפט השלום את הבקשה לביטול פסק הדין. בית משפט השלום קבע כי אין יסוד לטענות המבקשים במישור הדיוני, וכי אף במישור המהותי ולאחר שבחן את פסק הדין לאורן של טענות המבקשים </w:t>
      </w:r>
      <w:r>
        <w:rPr>
          <w:rFonts w:ascii="Century" w:hAnsi="Century"/>
          <w:rtl/>
        </w:rPr>
        <w:t>–</w:t>
      </w:r>
      <w:r>
        <w:rPr>
          <w:rFonts w:ascii="Century" w:hAnsi="Century" w:hint="cs"/>
          <w:rtl/>
        </w:rPr>
        <w:t xml:space="preserve"> אין בהן כדי להביא לשינוי בתוצאה או בהנמקה.</w:t>
      </w:r>
    </w:p>
    <w:p w:rsidR="00761030" w:rsidRDefault="00761030" w:rsidP="00761030">
      <w:pPr>
        <w:pStyle w:val="Ruller41"/>
        <w:rPr>
          <w:rFonts w:ascii="Century" w:hAnsi="Century"/>
          <w:rtl/>
        </w:rPr>
      </w:pPr>
    </w:p>
    <w:p w:rsidR="00761030" w:rsidRDefault="00761030" w:rsidP="00761030">
      <w:pPr>
        <w:pStyle w:val="Ruller41"/>
        <w:rPr>
          <w:rtl/>
        </w:rPr>
      </w:pPr>
      <w:r>
        <w:rPr>
          <w:rFonts w:ascii="Century" w:hAnsi="Century" w:hint="cs"/>
          <w:rtl/>
        </w:rPr>
        <w:t xml:space="preserve">27. </w:t>
      </w:r>
      <w:r>
        <w:rPr>
          <w:rFonts w:ascii="Century" w:hAnsi="Century" w:hint="cs"/>
          <w:rtl/>
        </w:rPr>
        <w:tab/>
        <w:t xml:space="preserve">בהמשך לכך, המבקשים הגישו ערעור על פסק דינו של בית משפט השלום לבית המשפט המחוזי, אשר דחה את הערעור ביום 23.11.2020 כשהוא עושה שימוש בסמכותו </w:t>
      </w:r>
      <w:r>
        <w:rPr>
          <w:rFonts w:hint="cs"/>
          <w:rtl/>
        </w:rPr>
        <w:t xml:space="preserve">לפי תקנה 460(ב) לתקנות סדר הדין האזרחי, תוך חיוב המבקשים בהוצאות משפט בסך 20,000 שקלים (ע"א 43693-03-20, השופטים </w:t>
      </w:r>
      <w:r w:rsidRPr="004A3D8E">
        <w:rPr>
          <w:rFonts w:ascii="Century" w:hAnsi="Century" w:cs="Miriam" w:hint="cs"/>
          <w:b/>
          <w:spacing w:val="0"/>
          <w:szCs w:val="24"/>
          <w:rtl/>
        </w:rPr>
        <w:t>ר' יעקובי</w:t>
      </w:r>
      <w:r>
        <w:rPr>
          <w:rFonts w:hint="cs"/>
          <w:rtl/>
        </w:rPr>
        <w:t xml:space="preserve">, </w:t>
      </w:r>
      <w:r w:rsidRPr="004A3D8E">
        <w:rPr>
          <w:rFonts w:ascii="Century" w:hAnsi="Century" w:cs="Miriam" w:hint="cs"/>
          <w:b/>
          <w:spacing w:val="0"/>
          <w:szCs w:val="24"/>
          <w:rtl/>
        </w:rPr>
        <w:t>מ' בר-עם</w:t>
      </w:r>
      <w:r w:rsidRPr="004A3D8E">
        <w:rPr>
          <w:rFonts w:hint="cs"/>
          <w:rtl/>
        </w:rPr>
        <w:t xml:space="preserve"> </w:t>
      </w:r>
      <w:r>
        <w:rPr>
          <w:rFonts w:hint="cs"/>
          <w:rtl/>
        </w:rPr>
        <w:t>ו-</w:t>
      </w:r>
      <w:r w:rsidRPr="004A3D8E">
        <w:rPr>
          <w:rFonts w:ascii="Century" w:hAnsi="Century" w:cs="Miriam" w:hint="cs"/>
          <w:b/>
          <w:spacing w:val="0"/>
          <w:szCs w:val="24"/>
          <w:rtl/>
        </w:rPr>
        <w:t xml:space="preserve">ח' </w:t>
      </w:r>
      <w:r>
        <w:rPr>
          <w:rFonts w:ascii="Century" w:hAnsi="Century" w:cs="Miriam" w:hint="cs"/>
          <w:b/>
          <w:spacing w:val="0"/>
          <w:szCs w:val="24"/>
          <w:rtl/>
        </w:rPr>
        <w:t xml:space="preserve">מ' </w:t>
      </w:r>
      <w:r w:rsidRPr="004A3D8E">
        <w:rPr>
          <w:rFonts w:ascii="Century" w:hAnsi="Century" w:cs="Miriam" w:hint="cs"/>
          <w:b/>
          <w:spacing w:val="0"/>
          <w:szCs w:val="24"/>
          <w:rtl/>
        </w:rPr>
        <w:t>לומפ</w:t>
      </w:r>
      <w:r>
        <w:rPr>
          <w:rFonts w:hint="cs"/>
          <w:rtl/>
        </w:rPr>
        <w:t xml:space="preserve">). בית המשפט המחוזי ציין בקצרה כי הוא מוצא חיזוק לתוצאה שאליה הגיע בפסק דין נוסף מיום 18.11.2020 שבו נדחה ערעור "מקביל" (ע"א 8727-05-20, השופטים </w:t>
      </w:r>
      <w:r w:rsidRPr="00790C49">
        <w:rPr>
          <w:rFonts w:ascii="Century" w:hAnsi="Century" w:cs="Miriam" w:hint="cs"/>
          <w:b/>
          <w:spacing w:val="0"/>
          <w:szCs w:val="24"/>
          <w:rtl/>
        </w:rPr>
        <w:t>א' דראל</w:t>
      </w:r>
      <w:r>
        <w:rPr>
          <w:rFonts w:hint="cs"/>
          <w:rtl/>
        </w:rPr>
        <w:t xml:space="preserve">, </w:t>
      </w:r>
      <w:r w:rsidRPr="00790C49">
        <w:rPr>
          <w:rFonts w:ascii="Century" w:hAnsi="Century" w:cs="Miriam" w:hint="cs"/>
          <w:b/>
          <w:spacing w:val="0"/>
          <w:szCs w:val="24"/>
          <w:rtl/>
        </w:rPr>
        <w:t xml:space="preserve">ע' זינגר </w:t>
      </w:r>
      <w:r>
        <w:rPr>
          <w:rFonts w:hint="cs"/>
          <w:rtl/>
        </w:rPr>
        <w:t>ו-</w:t>
      </w:r>
      <w:r w:rsidRPr="00790C49">
        <w:rPr>
          <w:rFonts w:ascii="Century" w:hAnsi="Century" w:cs="Miriam" w:hint="cs"/>
          <w:b/>
          <w:spacing w:val="0"/>
          <w:szCs w:val="24"/>
          <w:rtl/>
        </w:rPr>
        <w:t>א' רון</w:t>
      </w:r>
      <w:r>
        <w:rPr>
          <w:rFonts w:hint="cs"/>
          <w:rtl/>
        </w:rPr>
        <w:t>) על פסק דין של בית משפט השלום מיום 3.2.2020 (ת"א 35534-02-16, סגן הנשיא</w:t>
      </w:r>
      <w:r>
        <w:rPr>
          <w:rFonts w:ascii="Century" w:hAnsi="Century" w:cs="Miriam" w:hint="cs"/>
          <w:b/>
          <w:spacing w:val="0"/>
          <w:szCs w:val="24"/>
          <w:rtl/>
        </w:rPr>
        <w:t xml:space="preserve"> </w:t>
      </w:r>
      <w:r w:rsidRPr="00806B45">
        <w:rPr>
          <w:rFonts w:ascii="Century" w:hAnsi="Century" w:cs="Miriam" w:hint="cs"/>
          <w:b/>
          <w:spacing w:val="0"/>
          <w:szCs w:val="24"/>
          <w:rtl/>
        </w:rPr>
        <w:t>ג' ארנברג</w:t>
      </w:r>
      <w:r>
        <w:rPr>
          <w:rFonts w:hint="cs"/>
          <w:rtl/>
        </w:rPr>
        <w:t xml:space="preserve">), שאף בו התקבלה תביעת פינוי שהוגשה על-ידי המשיבים לפינוי מחזיקים מנכס המצוי בסילוואן וכלול בשטח ההקדש, תוך דחייה של טענת ההתיישנות שהעלו המחזיקים). </w:t>
      </w:r>
    </w:p>
    <w:p w:rsidR="00761030" w:rsidRDefault="00761030" w:rsidP="00761030">
      <w:pPr>
        <w:pStyle w:val="Ruller41"/>
        <w:rPr>
          <w:rFonts w:ascii="Century" w:hAnsi="Century"/>
          <w:rtl/>
        </w:rPr>
      </w:pPr>
    </w:p>
    <w:p w:rsidR="00761030" w:rsidRPr="008F0D41" w:rsidRDefault="00761030" w:rsidP="00761030">
      <w:pPr>
        <w:pStyle w:val="Ruller41"/>
        <w:rPr>
          <w:rFonts w:ascii="Century" w:hAnsi="Century" w:cs="Miriam"/>
          <w:b/>
          <w:spacing w:val="0"/>
          <w:szCs w:val="24"/>
          <w:rtl/>
        </w:rPr>
      </w:pPr>
      <w:r w:rsidRPr="008F0D41">
        <w:rPr>
          <w:rFonts w:ascii="Century" w:hAnsi="Century" w:cs="Miriam" w:hint="cs"/>
          <w:b/>
          <w:spacing w:val="0"/>
          <w:szCs w:val="24"/>
          <w:rtl/>
        </w:rPr>
        <w:t xml:space="preserve">בקשת רשות הערעור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28. </w:t>
      </w:r>
      <w:r>
        <w:rPr>
          <w:rFonts w:ascii="Century" w:hAnsi="Century" w:hint="cs"/>
          <w:rtl/>
        </w:rPr>
        <w:tab/>
        <w:t xml:space="preserve">המבקשים טוענים כי יש ליתן להם רשות ערעור מאחר שהבקשה מעוררת שאלות עקרוניות בסוגיות של התיישנות ומעשה בית דין, וכן לנוכח העובדה שביחס לחלק מהשאלות האמורות ניתנו תשובות סותרות בהליכים מקבילים. עוד נטען, כי לנוכח התוצאה הקשה של פסק הדין </w:t>
      </w:r>
      <w:r>
        <w:rPr>
          <w:rFonts w:ascii="Century" w:hAnsi="Century"/>
          <w:rtl/>
        </w:rPr>
        <w:t>–</w:t>
      </w:r>
      <w:r>
        <w:rPr>
          <w:rFonts w:ascii="Century" w:hAnsi="Century" w:hint="cs"/>
          <w:rtl/>
        </w:rPr>
        <w:t xml:space="preserve"> פינוי המבקשים מהבית שבו הם מתגוררים במשך עשרות שנים </w:t>
      </w:r>
      <w:r>
        <w:rPr>
          <w:rFonts w:ascii="Century" w:hAnsi="Century"/>
          <w:rtl/>
        </w:rPr>
        <w:t>–</w:t>
      </w:r>
      <w:r>
        <w:rPr>
          <w:rFonts w:ascii="Century" w:hAnsi="Century" w:hint="cs"/>
          <w:rtl/>
        </w:rPr>
        <w:t xml:space="preserve"> קיים בנסיבות העניין חשש לעיוות דין.</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29. </w:t>
      </w:r>
      <w:r>
        <w:rPr>
          <w:rFonts w:ascii="Century" w:hAnsi="Century" w:hint="cs"/>
          <w:rtl/>
        </w:rPr>
        <w:tab/>
        <w:t>לגוף הדברים, המבקשים סבורים כי בית משפט השלום שגה במסקנות שאליהן הגיע במספר סוגיות מרכזיות: סוגית ההתיישנות; סוגית השתק העילה; וכן הסוגיה של בניה ונטיעה במקרקעי הזולת. בנוסף הם מתייחסים לטענה החלופית שהועלתה על-ידם בבית משפט השלום, באשר לכך שקיבלו רישיון בלתי הדיר להחזיק במקרקעין ולעשות בהם שימוש.</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30. </w:t>
      </w:r>
      <w:r>
        <w:rPr>
          <w:rFonts w:ascii="Century" w:hAnsi="Century" w:hint="cs"/>
          <w:rtl/>
        </w:rPr>
        <w:tab/>
      </w:r>
      <w:r w:rsidRPr="006D0805">
        <w:rPr>
          <w:rFonts w:ascii="Century" w:hAnsi="Century" w:cs="Miriam" w:hint="cs"/>
          <w:b/>
          <w:spacing w:val="0"/>
          <w:szCs w:val="24"/>
          <w:rtl/>
        </w:rPr>
        <w:t>התיישנות</w:t>
      </w:r>
      <w:r w:rsidRPr="006D0805">
        <w:rPr>
          <w:rFonts w:ascii="Century" w:hAnsi="Century" w:hint="cs"/>
          <w:rtl/>
        </w:rPr>
        <w:t xml:space="preserve"> </w:t>
      </w:r>
      <w:r>
        <w:rPr>
          <w:rFonts w:ascii="Century" w:hAnsi="Century"/>
          <w:rtl/>
        </w:rPr>
        <w:t>–</w:t>
      </w:r>
      <w:r>
        <w:rPr>
          <w:rFonts w:ascii="Century" w:hAnsi="Century" w:hint="cs"/>
          <w:rtl/>
        </w:rPr>
        <w:t xml:space="preserve"> המבקשים ממקדים את טיעונם בהקשר זה בהסדריו של חוק ההתיישנות. הם טוענים </w:t>
      </w:r>
      <w:r>
        <w:rPr>
          <w:rFonts w:hint="cs"/>
          <w:rtl/>
        </w:rPr>
        <w:t>שבניגוד לקביעתו של בית משפט השלום, בעת חישוב תקופת ההתיישנות יש להביא בחשבון את התקופה שבה החזיק האפוטרופוס הכללי במקרקעין. בעניין זה נטען כי האפוטרופוס הכללי "נכנס בנעליו" של הממונה על רכוש האויב הירדני שניהל את המקרקעין והיה מודע לכך שסבם של המבקשים מחזיק בהם, וכי ישנן ראיות שונות בכתב לכך שהאפוטרופוס הכללי ידע על כך שהם מחזיקים בנכס לאורך השנים, ואף ידע את מיקומם המדויק של נכסי ההקדש.</w:t>
      </w:r>
      <w:r>
        <w:rPr>
          <w:rFonts w:ascii="Century" w:hAnsi="Century" w:hint="cs"/>
          <w:rtl/>
        </w:rPr>
        <w:t xml:space="preserve"> המבקשים אף מפנים לכך </w:t>
      </w:r>
      <w:r>
        <w:rPr>
          <w:rFonts w:hint="cs"/>
          <w:rtl/>
        </w:rPr>
        <w:t xml:space="preserve">שבתעודת השחרור ציין האפוטרופוס הכללי כי "שחרור זה ניתן בכפיפות לזכות צד שלישי אם קיימת זכות כזו". לטענתם, נוסח זה הוסף מאחר שהיה ידוע לכל כי הם ומחזיקים נוספים יושבים במקרקעין זה עשרות שנים. </w:t>
      </w:r>
      <w:r>
        <w:rPr>
          <w:rFonts w:ascii="Century" w:hAnsi="Century" w:hint="cs"/>
          <w:rtl/>
        </w:rPr>
        <w:t xml:space="preserve">לפיכך, לטענת המבקשים, מרוץ ההתיישנות החל לכל המאוחר בשנת 1997, בעת שהוגשה לאפוטרופוס הכללי חוות דעת מפורטת בנוגע לנכסי ההקדש. על כן, כך נטען, במועד הגשתה של התביעה לבית משפט השלום בחודש אוקטובר 2014 היא התיישנה, מאחר שבאותה עת כבר חלפה תקופת ההתיישנות הרלוונטית למקרקעין בלתי מוסדרים </w:t>
      </w:r>
      <w:r>
        <w:rPr>
          <w:rFonts w:ascii="Century" w:hAnsi="Century"/>
          <w:rtl/>
        </w:rPr>
        <w:t>–</w:t>
      </w:r>
      <w:r>
        <w:rPr>
          <w:rFonts w:ascii="Century" w:hAnsi="Century" w:hint="cs"/>
          <w:rtl/>
        </w:rPr>
        <w:t xml:space="preserve"> 15 שנים.</w:t>
      </w:r>
    </w:p>
    <w:p w:rsidR="00761030" w:rsidRDefault="00761030" w:rsidP="00761030">
      <w:pPr>
        <w:pStyle w:val="Ruller41"/>
        <w:rPr>
          <w:rtl/>
        </w:rPr>
      </w:pPr>
    </w:p>
    <w:p w:rsidR="00761030" w:rsidRDefault="00761030" w:rsidP="00761030">
      <w:pPr>
        <w:pStyle w:val="Ruller41"/>
        <w:rPr>
          <w:rtl/>
        </w:rPr>
      </w:pPr>
      <w:r>
        <w:rPr>
          <w:rFonts w:hint="cs"/>
          <w:rtl/>
        </w:rPr>
        <w:t xml:space="preserve">31. </w:t>
      </w:r>
      <w:r>
        <w:rPr>
          <w:rFonts w:hint="cs"/>
          <w:rtl/>
        </w:rPr>
        <w:tab/>
        <w:t xml:space="preserve">המבקשים מדגישים כי החזקתם במקרקעין הייתה ועודנה ממשית, גלויה לעין באופן מלא ורציפה משנת 1965 ועד היום, וכי לכל אורך השנים נהגו בהם מנהג בעלים כלפי כולי עלמא. </w:t>
      </w:r>
    </w:p>
    <w:p w:rsidR="00761030" w:rsidRDefault="00761030" w:rsidP="00761030">
      <w:pPr>
        <w:pStyle w:val="Ruller41"/>
        <w:rPr>
          <w:rtl/>
        </w:rPr>
      </w:pPr>
    </w:p>
    <w:p w:rsidR="00761030" w:rsidRDefault="00761030" w:rsidP="00761030">
      <w:pPr>
        <w:pStyle w:val="Ruller41"/>
        <w:rPr>
          <w:rtl/>
        </w:rPr>
      </w:pPr>
      <w:r>
        <w:rPr>
          <w:rFonts w:hint="cs"/>
          <w:rtl/>
        </w:rPr>
        <w:t xml:space="preserve">32. </w:t>
      </w:r>
      <w:r>
        <w:rPr>
          <w:rFonts w:hint="cs"/>
          <w:rtl/>
        </w:rPr>
        <w:tab/>
        <w:t>המבקשים טוענים עוד כי הקביעה לפיה התביעה לא התיישנה מאחר שהמקרקעין נחשבו "מקרקעי ציבור" בתקופה שבה הוקנו לאפוטרופוס הכללי היא שגויה. לטענת המבקשים, בית משפט השלום סמך את מסקנתו בהקשר זה על פסקי דין שכולם מתייחסים למקרקעין שהיו רשומים בבעלות רשות הפיתוח וקק"ל ומנוהלים על-ידי רשות מקרקעי ישראל, להבדיל מקרקע פרטית שהוקנתה לאפוטרופוס הכללי בשל נסיבות חריגות כבמקרה דנן. יתר על כן, המבקשים מפנים לתביעה אחרת שהתנהלה בפני בית משפט השלום בנוגע לנכס אחר במקרקעין של ההקדש, שבה נדחתה טענת המשיבים כי מדובר במקרקעי ציבור שלא חלה בהם התיישנות (</w:t>
      </w:r>
      <w:r w:rsidRPr="00BB2F25">
        <w:rPr>
          <w:rFonts w:hint="eastAsia"/>
          <w:rtl/>
        </w:rPr>
        <w:t>ת</w:t>
      </w:r>
      <w:r w:rsidRPr="00BB2F25">
        <w:rPr>
          <w:rtl/>
        </w:rPr>
        <w:t>"</w:t>
      </w:r>
      <w:r w:rsidRPr="00BB2F25">
        <w:rPr>
          <w:rFonts w:hint="eastAsia"/>
          <w:rtl/>
        </w:rPr>
        <w:t>א</w:t>
      </w:r>
      <w:r w:rsidRPr="00BB2F25">
        <w:rPr>
          <w:rtl/>
        </w:rPr>
        <w:t xml:space="preserve"> 55978-12-15</w:t>
      </w:r>
      <w:r>
        <w:rPr>
          <w:rFonts w:hint="cs"/>
          <w:rtl/>
        </w:rPr>
        <w:t xml:space="preserve">, סגן הנשיא </w:t>
      </w:r>
      <w:r w:rsidRPr="00AD1A60">
        <w:rPr>
          <w:rFonts w:ascii="Century" w:hAnsi="Century" w:cs="Miriam" w:hint="cs"/>
          <w:b/>
          <w:spacing w:val="0"/>
          <w:szCs w:val="24"/>
          <w:rtl/>
        </w:rPr>
        <w:t>מ' בורשטין</w:t>
      </w:r>
      <w:r w:rsidRPr="00AD1A60">
        <w:rPr>
          <w:rFonts w:hint="cs"/>
          <w:rtl/>
        </w:rPr>
        <w:t xml:space="preserve"> </w:t>
      </w:r>
      <w:r>
        <w:rPr>
          <w:rFonts w:hint="cs"/>
          <w:rtl/>
        </w:rPr>
        <w:t xml:space="preserve">(19.1.2020)).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33. </w:t>
      </w:r>
      <w:r>
        <w:rPr>
          <w:rFonts w:ascii="Century" w:hAnsi="Century" w:hint="cs"/>
          <w:rtl/>
        </w:rPr>
        <w:tab/>
      </w:r>
      <w:r w:rsidRPr="0072230C">
        <w:rPr>
          <w:rFonts w:ascii="Century" w:hAnsi="Century" w:cs="Miriam" w:hint="cs"/>
          <w:b/>
          <w:spacing w:val="0"/>
          <w:szCs w:val="24"/>
          <w:rtl/>
        </w:rPr>
        <w:t>השתק עילה</w:t>
      </w:r>
      <w:r w:rsidRPr="0072230C">
        <w:rPr>
          <w:rFonts w:ascii="Century" w:hAnsi="Century" w:hint="cs"/>
          <w:rtl/>
        </w:rPr>
        <w:t xml:space="preserve"> </w:t>
      </w:r>
      <w:r>
        <w:rPr>
          <w:rFonts w:ascii="Century" w:hAnsi="Century"/>
          <w:rtl/>
        </w:rPr>
        <w:t>–</w:t>
      </w:r>
      <w:r>
        <w:rPr>
          <w:rFonts w:ascii="Century" w:hAnsi="Century" w:hint="cs"/>
          <w:rtl/>
        </w:rPr>
        <w:t xml:space="preserve"> </w:t>
      </w:r>
      <w:r>
        <w:rPr>
          <w:rFonts w:hint="cs"/>
          <w:rtl/>
        </w:rPr>
        <w:t xml:space="preserve">המבקשים חוזרים וטוענים כי מאחר שבעניין </w:t>
      </w:r>
      <w:r w:rsidRPr="006E491F">
        <w:rPr>
          <w:rFonts w:ascii="Century" w:hAnsi="Century" w:cs="Miriam" w:hint="cs"/>
          <w:b/>
          <w:spacing w:val="0"/>
          <w:szCs w:val="24"/>
          <w:rtl/>
        </w:rPr>
        <w:t>דוויק הראשון</w:t>
      </w:r>
      <w:r w:rsidRPr="006E491F">
        <w:rPr>
          <w:rFonts w:hint="cs"/>
          <w:rtl/>
        </w:rPr>
        <w:t xml:space="preserve"> </w:t>
      </w:r>
      <w:r>
        <w:rPr>
          <w:rFonts w:hint="cs"/>
          <w:rtl/>
        </w:rPr>
        <w:t>המשיבים לא עתרו לסעד של פינוי, אלא לסעדים אחרים בלבד, יש לראותם כמנועים ומושתקים מכך כעת</w:t>
      </w:r>
      <w:r>
        <w:rPr>
          <w:rFonts w:ascii="Century" w:hAnsi="Century" w:hint="cs"/>
          <w:rtl/>
        </w:rPr>
        <w:t xml:space="preserve">. המבקשים מדגישים כי ההתדיינות בתביעה הנוכחית נשענת על אותה תשתית עובדתית שעמדה ביסוד התביעה הקודמת, ולפיכך שגה בית משפט השלום כאשר דחה את הטענה להשתק עילה בקבעו שניהול ההליכים בערכאות שונות "נכפה" על המשיבים.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34. </w:t>
      </w:r>
      <w:r>
        <w:rPr>
          <w:rFonts w:ascii="Century" w:hAnsi="Century" w:hint="cs"/>
          <w:rtl/>
        </w:rPr>
        <w:tab/>
      </w:r>
      <w:r w:rsidRPr="00E07743">
        <w:rPr>
          <w:rFonts w:ascii="Century" w:hAnsi="Century" w:cs="Miriam" w:hint="cs"/>
          <w:b/>
          <w:spacing w:val="0"/>
          <w:szCs w:val="24"/>
          <w:rtl/>
        </w:rPr>
        <w:t>בניה במקרקעי הזולת</w:t>
      </w:r>
      <w:r w:rsidRPr="00E07743">
        <w:rPr>
          <w:rFonts w:ascii="Century" w:hAnsi="Century" w:hint="cs"/>
          <w:rtl/>
        </w:rPr>
        <w:t xml:space="preserve"> </w:t>
      </w:r>
      <w:r>
        <w:rPr>
          <w:rFonts w:ascii="Century" w:hAnsi="Century"/>
          <w:rtl/>
        </w:rPr>
        <w:t>–</w:t>
      </w:r>
      <w:r>
        <w:rPr>
          <w:rFonts w:ascii="Century" w:hAnsi="Century" w:hint="cs"/>
          <w:rtl/>
        </w:rPr>
        <w:t xml:space="preserve"> לטענת המבקשים, שלושת התנאים של סעיף 23 לחוק המקרקעין מתקיימים בנסיבות העניין. ראשית, נטען כי סבם המנוח קנה את המקרקעין שעליו בנוי הנכס בשנת 1965 בתום לב, פיתח אותם ובנה עליהם שעה שסבר שהוא הבעלים. שנית, נטען כי עלות הקמת המחוברים עולה על שווי הקרקע בשעת הקמתם. המבקשים מציינים כי התקיימותו של תנאי זה נתמכת בחוות דעת שמאית שהוגשה מטעמם, וכי המשיבים בחרו שלא להגיש חוות דעת נגדית בעניין. שלישית, נטען כי רכישת הקרקע לא תגרום נזק כלשהו למשיבים.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35. </w:t>
      </w:r>
      <w:r>
        <w:rPr>
          <w:rFonts w:ascii="Century" w:hAnsi="Century" w:hint="cs"/>
          <w:rtl/>
        </w:rPr>
        <w:tab/>
        <w:t xml:space="preserve"> </w:t>
      </w:r>
      <w:r w:rsidRPr="00874DCC">
        <w:rPr>
          <w:rFonts w:ascii="Century" w:hAnsi="Century" w:cs="Miriam" w:hint="cs"/>
          <w:b/>
          <w:spacing w:val="0"/>
          <w:szCs w:val="24"/>
          <w:rtl/>
        </w:rPr>
        <w:t>רישיון</w:t>
      </w:r>
      <w:r w:rsidRPr="00874DCC">
        <w:rPr>
          <w:rFonts w:ascii="Century" w:hAnsi="Century" w:hint="cs"/>
          <w:rtl/>
        </w:rPr>
        <w:t xml:space="preserve"> </w:t>
      </w:r>
      <w:r>
        <w:rPr>
          <w:rFonts w:ascii="Century" w:hAnsi="Century"/>
          <w:rtl/>
        </w:rPr>
        <w:t>–</w:t>
      </w:r>
      <w:r>
        <w:rPr>
          <w:rFonts w:ascii="Century" w:hAnsi="Century" w:hint="cs"/>
          <w:rtl/>
        </w:rPr>
        <w:t xml:space="preserve"> לבסוף, המבקשים מוסיפים כי במסגרת הגנתם בבית משפט השלום הם העלו טענה חלופית לפיה מאחר שהן האפוטרופוס הכללי והן המשיבים ידעו היטב שהמבקשים מחזיקים בנכס אך ישבו בחיבוק ידיים, יש לראותם כמי שנתנו רשות בלתי הדירה למבקשים להחזיק ולהשתמש בנכס, והם מושתקים מלדרוש כעת את פינויים ממנו.</w:t>
      </w:r>
    </w:p>
    <w:p w:rsidR="00761030" w:rsidRDefault="00761030" w:rsidP="00761030">
      <w:pPr>
        <w:pStyle w:val="Ruller41"/>
        <w:rPr>
          <w:rFonts w:ascii="Century" w:hAnsi="Century"/>
          <w:rtl/>
        </w:rPr>
      </w:pPr>
    </w:p>
    <w:p w:rsidR="00761030" w:rsidRDefault="00761030" w:rsidP="00761030">
      <w:pPr>
        <w:pStyle w:val="Ruller41"/>
        <w:rPr>
          <w:rtl/>
        </w:rPr>
      </w:pPr>
      <w:r>
        <w:rPr>
          <w:rFonts w:ascii="Century" w:hAnsi="Century" w:hint="cs"/>
          <w:rtl/>
        </w:rPr>
        <w:t xml:space="preserve">36. </w:t>
      </w:r>
      <w:r>
        <w:rPr>
          <w:rFonts w:ascii="Century" w:hAnsi="Century" w:hint="cs"/>
          <w:rtl/>
        </w:rPr>
        <w:tab/>
        <w:t xml:space="preserve">לצד בקשת רשות הערעור הוגשה גם בקשה לעיכוב ביצוע. </w:t>
      </w:r>
      <w:r>
        <w:rPr>
          <w:rFonts w:hint="cs"/>
          <w:color w:val="000000"/>
          <w:sz w:val="28"/>
          <w:shd w:val="clear" w:color="auto" w:fill="FFFFFF"/>
          <w:rtl/>
        </w:rPr>
        <w:t xml:space="preserve">בהחלטתי מיום 13.12.2020 הוריתי על מתן צו ארעי </w:t>
      </w:r>
      <w:r w:rsidRPr="00A22F9C">
        <w:rPr>
          <w:rFonts w:ascii="Century" w:hAnsi="Century"/>
          <w:rtl/>
        </w:rPr>
        <w:t>האוסר על פינוי</w:t>
      </w:r>
      <w:r>
        <w:rPr>
          <w:rFonts w:ascii="Century" w:hAnsi="Century" w:hint="cs"/>
          <w:rtl/>
        </w:rPr>
        <w:t>ו של הנכס</w:t>
      </w:r>
      <w:r w:rsidRPr="00A22F9C">
        <w:rPr>
          <w:rFonts w:ascii="Century" w:hAnsi="Century"/>
          <w:rtl/>
        </w:rPr>
        <w:t xml:space="preserve"> עד למתן החלטה אחרת</w:t>
      </w:r>
      <w:r>
        <w:rPr>
          <w:rFonts w:hint="cs"/>
          <w:rtl/>
        </w:rPr>
        <w:t xml:space="preserve">, וכן על הגשת תגובות לבקשות. </w:t>
      </w:r>
    </w:p>
    <w:p w:rsidR="00761030" w:rsidRDefault="00761030" w:rsidP="00761030">
      <w:pPr>
        <w:pStyle w:val="Ruller41"/>
        <w:rPr>
          <w:rtl/>
        </w:rPr>
      </w:pPr>
    </w:p>
    <w:p w:rsidR="00761030" w:rsidRDefault="00761030" w:rsidP="00761030">
      <w:pPr>
        <w:pStyle w:val="Ruller41"/>
        <w:rPr>
          <w:rtl/>
        </w:rPr>
      </w:pPr>
      <w:r>
        <w:rPr>
          <w:rFonts w:hint="cs"/>
          <w:rtl/>
        </w:rPr>
        <w:t xml:space="preserve">37. </w:t>
      </w:r>
      <w:r>
        <w:rPr>
          <w:rFonts w:hint="cs"/>
          <w:rtl/>
        </w:rPr>
        <w:tab/>
        <w:t xml:space="preserve">בתגובת המשיבים לבקשת רשות הערעור הם פירטו שורה ארוכה של טענות סף שלשיטתם מצדיקות את דחייתה של בקשת רשות הערעור, אך לא הוסיפו נימוקים הנוגעים לגופן של הטענות. כך, נטען כי דין הבקשה להידחות על הסף בשל חוסר תום לבם הנטען של המבקשים, כמו גם בשל כך שהיא אינה עומדת באמות המידה למתן רשות ערעור ב"גלגול שלישי". המשיבים טוענים כי הטענות המועלות בבקשה כבר נדונו והוכרעו על-ידי שתי ערכאות שדנו בהן לעומק וכי המבקשים לא פירטו כלל מהי החשיבות הכללית או העקרונית של הטענות. </w:t>
      </w:r>
    </w:p>
    <w:p w:rsidR="00761030" w:rsidRDefault="00761030" w:rsidP="00761030">
      <w:pPr>
        <w:pStyle w:val="Ruller41"/>
        <w:rPr>
          <w:rtl/>
        </w:rPr>
      </w:pPr>
    </w:p>
    <w:p w:rsidR="00761030" w:rsidRDefault="00761030" w:rsidP="00761030">
      <w:pPr>
        <w:pStyle w:val="Ruller41"/>
        <w:rPr>
          <w:rtl/>
        </w:rPr>
      </w:pPr>
      <w:r>
        <w:rPr>
          <w:rFonts w:hint="cs"/>
          <w:rtl/>
        </w:rPr>
        <w:t xml:space="preserve">38. </w:t>
      </w:r>
      <w:r>
        <w:rPr>
          <w:rFonts w:hint="cs"/>
          <w:rtl/>
        </w:rPr>
        <w:tab/>
        <w:t xml:space="preserve">המשיבים מוסיפים וטוענים כי גם התנהלותם הדיונית של המבקשים לאורך ההליך כולו, לרבות העובדה שלא הגישו סיכומים בבית משפט השלום, מצדיקה את דחיית הבקשה על הסף. כמו כן נטען, כי ההצדקה לדחיית הבקשה מתחזקת בהתחשב בכך שהמבקשים מנסים לערער גם על קביעות חלוטות שהתקבלו בפסקי דין שניתנו על-ידי מספר ערכאות, לרבות בית משפט זה, בין היתר בעניין </w:t>
      </w:r>
      <w:r w:rsidRPr="00CD6539">
        <w:rPr>
          <w:rFonts w:ascii="Century" w:hAnsi="Century" w:cs="Miriam" w:hint="cs"/>
          <w:b/>
          <w:spacing w:val="0"/>
          <w:szCs w:val="24"/>
          <w:rtl/>
        </w:rPr>
        <w:t>דוויק הראשון</w:t>
      </w:r>
      <w:r>
        <w:rPr>
          <w:rFonts w:hint="cs"/>
          <w:rtl/>
        </w:rPr>
        <w:t xml:space="preserve"> וכן בהחלטות ביניים שניתנו במסגרת ההליך הנוכחי. המשיבים מוסיפים כי לאורך ההליך הוצע למבקשים שוב ושוב פיצוי כספי תמורת פינויים, לפנים משורת הדין, אך הם סירבו לקבלו.</w:t>
      </w:r>
    </w:p>
    <w:p w:rsidR="00761030" w:rsidRDefault="00761030" w:rsidP="00761030">
      <w:pPr>
        <w:pStyle w:val="Ruller41"/>
        <w:rPr>
          <w:rtl/>
        </w:rPr>
      </w:pPr>
    </w:p>
    <w:p w:rsidR="00761030" w:rsidRDefault="00761030" w:rsidP="00761030">
      <w:pPr>
        <w:pStyle w:val="Ruller41"/>
        <w:rPr>
          <w:rtl/>
        </w:rPr>
      </w:pPr>
      <w:r>
        <w:rPr>
          <w:rFonts w:hint="cs"/>
          <w:rtl/>
        </w:rPr>
        <w:t>39.</w:t>
      </w:r>
      <w:r>
        <w:rPr>
          <w:rFonts w:hint="cs"/>
          <w:rtl/>
        </w:rPr>
        <w:tab/>
        <w:t>ביום 6.1.2021 הוריתי כי היועץ המשפטי לממשלה ישקול הגשת עמדה מטעמו בהתייחס לשאלות המתעוררות בתיק, ובכלל זה לטענת ההתיישנות, לטענת ההשתק, וכן לטענות בנוגע לסיווג המקרקעין מושא ההליך כמקרקעי ציבור והשלכתו של הסיווג על המחלוקת בין הצדדים.</w:t>
      </w:r>
    </w:p>
    <w:p w:rsidR="00761030" w:rsidRDefault="00761030" w:rsidP="00761030">
      <w:pPr>
        <w:pStyle w:val="Ruller41"/>
        <w:rPr>
          <w:rtl/>
        </w:rPr>
      </w:pPr>
    </w:p>
    <w:p w:rsidR="00761030" w:rsidRDefault="00761030" w:rsidP="00761030">
      <w:pPr>
        <w:pStyle w:val="Ruller41"/>
        <w:rPr>
          <w:rtl/>
        </w:rPr>
      </w:pPr>
      <w:r>
        <w:rPr>
          <w:rFonts w:hint="cs"/>
          <w:rtl/>
        </w:rPr>
        <w:t>40.</w:t>
      </w:r>
      <w:r>
        <w:rPr>
          <w:rFonts w:hint="cs"/>
          <w:rtl/>
        </w:rPr>
        <w:tab/>
        <w:t>ביום 1.9.2021 ולאחר חמש בקשות ארכה שהוגשו מטעמו של היועץ המשפטי לממשלה, הוריתי כי בכפוף למתן הארכה, בקשת רשות הערעור תיקבע לדיון בפני הרכב. בסופו של דבר, ולאחר היעתרות לבקשת ארכה נוספת, הגיש היועץ המשפטי לממשלה הודעה מטעמו ביום 20.10.2021, ימים ספורים לפני הדיון שהתקיים בפנינו. היועץ המשפטי לממשלה הודיע על התייצבותו בהליך. אולם, לגוף הדברים, היועץ המשפטי לממשלה לא נדרש לשאלות שבמחלוקת, והסתפק בהודעה קצרה בזו הלשון:</w:t>
      </w:r>
    </w:p>
    <w:p w:rsidR="00761030" w:rsidRDefault="00761030" w:rsidP="00761030">
      <w:pPr>
        <w:pStyle w:val="Ruller5"/>
        <w:spacing w:before="240" w:after="240"/>
        <w:rPr>
          <w:rtl/>
        </w:rPr>
      </w:pPr>
      <w:r>
        <w:rPr>
          <w:rFonts w:hint="cs"/>
          <w:rtl/>
        </w:rPr>
        <w:t xml:space="preserve">"לנוכח העובדה שלפי פסק דינו של בית משפט השלום, שאושר בפסק דינו של בית המשפט המחוזי (להלן: </w:t>
      </w:r>
      <w:r w:rsidRPr="0009211E">
        <w:rPr>
          <w:rFonts w:ascii="Century" w:hAnsi="Century" w:cs="Miriam" w:hint="cs"/>
          <w:b/>
          <w:spacing w:val="0"/>
          <w:szCs w:val="24"/>
          <w:rtl/>
        </w:rPr>
        <w:t>פסקי הדין</w:t>
      </w:r>
      <w:r>
        <w:rPr>
          <w:rFonts w:hint="cs"/>
          <w:rtl/>
        </w:rPr>
        <w:t>), התקבלה התביעה שבנדון אף מחמת התקיימות תנאי סעיף 8 לחוק ההתיישנות, התשי"ח-1958, עובדתית ומשפטית, ובשים לב לכך שהליכי הפינוי, אם וככל שיינקטו בעקבות פסקי הדין, יארכו מן הסתם זמן נוסף, סבור היועץ המשפטי לממשלה, כי לא יהיה זה נכון במסגרת ההליך שבנדון, למתן עמדה רוחבית בדבר שאלת סיווגם של המקרקעין שבנדון כ'מקרקעי ציבור' ולשאלת תחולתו של סעיף 113(ב) לחוק המקרקעין, התשכ"ט-1969 עליהם, וזאת, בין היתר, מאחר שאין הן נצרכות להכרעה במקרה הקונקרטי דנן".</w:t>
      </w:r>
    </w:p>
    <w:p w:rsidR="00761030" w:rsidRDefault="00761030" w:rsidP="00761030">
      <w:pPr>
        <w:pStyle w:val="Ruller41"/>
        <w:spacing w:before="240"/>
        <w:rPr>
          <w:rtl/>
        </w:rPr>
      </w:pPr>
      <w:r>
        <w:rPr>
          <w:rFonts w:hint="cs"/>
          <w:rtl/>
        </w:rPr>
        <w:t>41.</w:t>
      </w:r>
      <w:r>
        <w:rPr>
          <w:rFonts w:hint="cs"/>
          <w:rtl/>
        </w:rPr>
        <w:tab/>
        <w:t xml:space="preserve">ביום 25.10.2021 התקיים בפנינו דיון בבקשת רשות הערעור במעמד הצדדים, ובו הם חזרו בפנינו על עיקרי טענותיהם. </w:t>
      </w:r>
    </w:p>
    <w:p w:rsidR="00761030" w:rsidRDefault="00761030" w:rsidP="00761030">
      <w:pPr>
        <w:pStyle w:val="Ruller41"/>
        <w:rPr>
          <w:rtl/>
        </w:rPr>
      </w:pPr>
    </w:p>
    <w:p w:rsidR="00761030" w:rsidRDefault="00761030" w:rsidP="00761030">
      <w:pPr>
        <w:pStyle w:val="Ruller41"/>
        <w:rPr>
          <w:rtl/>
        </w:rPr>
      </w:pPr>
      <w:r>
        <w:rPr>
          <w:rFonts w:hint="cs"/>
          <w:rtl/>
        </w:rPr>
        <w:t xml:space="preserve">42. </w:t>
      </w:r>
      <w:r>
        <w:rPr>
          <w:rtl/>
        </w:rPr>
        <w:tab/>
      </w:r>
      <w:r>
        <w:rPr>
          <w:rFonts w:hint="cs"/>
          <w:rtl/>
        </w:rPr>
        <w:t>להשלמת התמונה יצוין כי במסגרת ההליך הוגשו שתי בקשות הצטרפות במעמד של "ידיד בית המשפט", שתיהן מטעמם של חוקרים העוסקים בין היתר בתחומים של משפט בינלאומי וכן היסטוריה של המשפט. לאחר עיון בבקשות אלה ושקילת הדברים, החלטנו כי אין מקום לקבלן בנסיבות העניין ובהתחשב בשלב הדיוני הנוכחי.</w:t>
      </w:r>
    </w:p>
    <w:p w:rsidR="00761030" w:rsidRDefault="00761030" w:rsidP="00761030">
      <w:pPr>
        <w:pStyle w:val="Ruller41"/>
        <w:rPr>
          <w:rtl/>
        </w:rPr>
      </w:pPr>
    </w:p>
    <w:p w:rsidR="00761030" w:rsidRPr="009A1975" w:rsidRDefault="00761030" w:rsidP="00761030">
      <w:pPr>
        <w:pStyle w:val="Ruller41"/>
        <w:rPr>
          <w:rFonts w:ascii="Century" w:hAnsi="Century" w:cs="Miriam"/>
          <w:b/>
          <w:spacing w:val="0"/>
          <w:szCs w:val="24"/>
          <w:rtl/>
        </w:rPr>
      </w:pPr>
      <w:r w:rsidRPr="009A1975">
        <w:rPr>
          <w:rFonts w:ascii="Century" w:hAnsi="Century" w:cs="Miriam" w:hint="cs"/>
          <w:b/>
          <w:spacing w:val="0"/>
          <w:szCs w:val="24"/>
          <w:rtl/>
        </w:rPr>
        <w:t>דיון והכרעה</w:t>
      </w:r>
    </w:p>
    <w:p w:rsidR="00761030" w:rsidRDefault="00761030" w:rsidP="00761030">
      <w:pPr>
        <w:pStyle w:val="Ruller41"/>
        <w:rPr>
          <w:rtl/>
        </w:rPr>
      </w:pPr>
    </w:p>
    <w:p w:rsidR="00761030" w:rsidRDefault="00761030" w:rsidP="00761030">
      <w:pPr>
        <w:pStyle w:val="Ruller41"/>
        <w:rPr>
          <w:rtl/>
        </w:rPr>
      </w:pPr>
      <w:r>
        <w:rPr>
          <w:rFonts w:hint="cs"/>
          <w:rtl/>
        </w:rPr>
        <w:t xml:space="preserve">43. </w:t>
      </w:r>
      <w:r>
        <w:rPr>
          <w:rFonts w:hint="cs"/>
          <w:rtl/>
        </w:rPr>
        <w:tab/>
        <w:t xml:space="preserve">לאחר שקילת טיעוני הצדדים, אציע לחבריי לדון בבקשה כאילו ניתנה רשות לערער והוגש ערעור לפי הרשות שניתנה, אך זאת בהתייחס לטענת ההתיישנות בלבד. בעיקרו של דבר, רק בהיבט זה התעוררו שאלות עקרוניות מובהקות </w:t>
      </w:r>
      <w:r>
        <w:rPr>
          <w:rtl/>
        </w:rPr>
        <w:t>–</w:t>
      </w:r>
      <w:r>
        <w:rPr>
          <w:rFonts w:hint="cs"/>
          <w:rtl/>
        </w:rPr>
        <w:t xml:space="preserve"> ובפרט השאלה הנוגעת להגדרתם של נכסים המוחזקים על-ידי האפוטרופוס הכללי כ"מקרקעי ציבור" </w:t>
      </w:r>
      <w:r>
        <w:rPr>
          <w:rtl/>
        </w:rPr>
        <w:t>–</w:t>
      </w:r>
      <w:r>
        <w:rPr>
          <w:rFonts w:hint="cs"/>
          <w:rtl/>
        </w:rPr>
        <w:t xml:space="preserve"> שהן בעלות חשיבות כללית החורגת מן המקרה דנן, ושאף ניתנו בה הכרעות סותרות בערכאות הדיוניות. יתר על כן, בנסיבות העניין ההכרעה היא בעלת השלכות על קורת הגג הפרוסה מעל ראשה של משפחה המונה עשרות נפשות (ראו והשוו: רע"א 3094/11 </w:t>
      </w:r>
      <w:r w:rsidRPr="00590177">
        <w:rPr>
          <w:rFonts w:ascii="Century" w:hAnsi="Century" w:cs="Miriam" w:hint="eastAsia"/>
          <w:b/>
          <w:spacing w:val="0"/>
          <w:szCs w:val="24"/>
          <w:rtl/>
        </w:rPr>
        <w:t>א</w:t>
      </w:r>
      <w:r w:rsidRPr="00A552FA">
        <w:rPr>
          <w:rFonts w:ascii="Century" w:hAnsi="Century" w:cs="Miriam" w:hint="cs"/>
          <w:b/>
          <w:spacing w:val="0"/>
          <w:szCs w:val="24"/>
          <w:rtl/>
        </w:rPr>
        <w:t>בו אלקיעאן נ' מדינת ישראל</w:t>
      </w:r>
      <w:r>
        <w:rPr>
          <w:rFonts w:hint="cs"/>
          <w:rtl/>
        </w:rPr>
        <w:t xml:space="preserve">, פסקה כ' לפסק דינו של המשנה לנשיאה </w:t>
      </w:r>
      <w:r>
        <w:rPr>
          <w:rFonts w:ascii="Century" w:hAnsi="Century" w:cs="Miriam" w:hint="cs"/>
          <w:b/>
          <w:spacing w:val="0"/>
          <w:szCs w:val="24"/>
          <w:rtl/>
        </w:rPr>
        <w:t xml:space="preserve">א' </w:t>
      </w:r>
      <w:r w:rsidRPr="00CB5294">
        <w:rPr>
          <w:rFonts w:ascii="Century" w:hAnsi="Century" w:cs="Miriam" w:hint="eastAsia"/>
          <w:b/>
          <w:spacing w:val="0"/>
          <w:szCs w:val="24"/>
          <w:rtl/>
        </w:rPr>
        <w:t>רובינשטיין</w:t>
      </w:r>
      <w:r w:rsidRPr="000277BC">
        <w:rPr>
          <w:rFonts w:hint="cs"/>
          <w:rtl/>
        </w:rPr>
        <w:t xml:space="preserve"> </w:t>
      </w:r>
      <w:r>
        <w:rPr>
          <w:rFonts w:hint="cs"/>
          <w:rtl/>
        </w:rPr>
        <w:t xml:space="preserve">(5.5.2015); רע"א 8885/20 </w:t>
      </w:r>
      <w:r w:rsidRPr="001A051F">
        <w:rPr>
          <w:rFonts w:ascii="Century" w:hAnsi="Century" w:cs="Miriam" w:hint="eastAsia"/>
          <w:b/>
          <w:spacing w:val="0"/>
          <w:szCs w:val="24"/>
          <w:rtl/>
        </w:rPr>
        <w:t>חאמד</w:t>
      </w:r>
      <w:r w:rsidRPr="001A051F">
        <w:rPr>
          <w:rFonts w:ascii="Century" w:hAnsi="Century" w:cs="Miriam"/>
          <w:b/>
          <w:spacing w:val="0"/>
          <w:szCs w:val="24"/>
          <w:rtl/>
        </w:rPr>
        <w:t xml:space="preserve"> נ' </w:t>
      </w:r>
      <w:r w:rsidRPr="001A051F">
        <w:rPr>
          <w:rFonts w:ascii="Century" w:hAnsi="Century" w:cs="Miriam" w:hint="eastAsia"/>
          <w:b/>
          <w:spacing w:val="0"/>
          <w:szCs w:val="24"/>
          <w:rtl/>
        </w:rPr>
        <w:t>חאמד</w:t>
      </w:r>
      <w:r>
        <w:rPr>
          <w:rFonts w:hint="cs"/>
          <w:rtl/>
        </w:rPr>
        <w:t xml:space="preserve">, פסקה 14 (12.8.2021)). למען שלמות התמונה יוער, כי לא ראיתי באי-הגשת הסיכומים מטעם המבקשים בבית משפט השלום כטעם מספק לדחייתה של בקשת רשות הערעור, כפי שטענו המשיבים. הדברים אמורים, בראש ובראשונה, בשים לב לכך שרשות הערעור ניתנת לעניין שאלת ההתיישנות בלבד </w:t>
      </w:r>
      <w:r>
        <w:rPr>
          <w:rtl/>
        </w:rPr>
        <w:t>–</w:t>
      </w:r>
      <w:r>
        <w:rPr>
          <w:rFonts w:hint="cs"/>
          <w:rtl/>
        </w:rPr>
        <w:t xml:space="preserve"> שאלה שלגביה הגישו המבקשים סיכומים עוד ביום 6.3.2016, בהתאם להוראותיו של בית משפט השלום.</w:t>
      </w:r>
    </w:p>
    <w:p w:rsidR="00761030" w:rsidRDefault="00761030" w:rsidP="00761030">
      <w:pPr>
        <w:pStyle w:val="Ruller41"/>
        <w:rPr>
          <w:rtl/>
        </w:rPr>
      </w:pPr>
    </w:p>
    <w:p w:rsidR="00761030" w:rsidRDefault="00761030" w:rsidP="00761030">
      <w:pPr>
        <w:pStyle w:val="Ruller41"/>
        <w:rPr>
          <w:rtl/>
        </w:rPr>
      </w:pPr>
      <w:r>
        <w:rPr>
          <w:rFonts w:hint="cs"/>
          <w:rtl/>
        </w:rPr>
        <w:t xml:space="preserve">44. </w:t>
      </w:r>
      <w:r>
        <w:rPr>
          <w:rtl/>
        </w:rPr>
        <w:tab/>
      </w:r>
      <w:r>
        <w:rPr>
          <w:rFonts w:hint="cs"/>
          <w:rtl/>
        </w:rPr>
        <w:t xml:space="preserve">לנוכח מתן רשות הערעור, המבקשים יכונו להלן </w:t>
      </w:r>
      <w:r w:rsidRPr="001A051F">
        <w:rPr>
          <w:rFonts w:ascii="Century" w:hAnsi="Century" w:cs="Miriam" w:hint="eastAsia"/>
          <w:b/>
          <w:spacing w:val="0"/>
          <w:szCs w:val="24"/>
          <w:rtl/>
        </w:rPr>
        <w:t>המערערים</w:t>
      </w:r>
      <w:r>
        <w:rPr>
          <w:rFonts w:hint="cs"/>
          <w:rtl/>
        </w:rPr>
        <w:t xml:space="preserve">. לגוף הדברים, אציע לחבריי כי נקבל את הערעור, במובן זה שנקבע כי תביעת הפינוי כנגד המערערים התיישנה. הכל </w:t>
      </w:r>
      <w:r>
        <w:rPr>
          <w:rtl/>
        </w:rPr>
        <w:t>–</w:t>
      </w:r>
      <w:r>
        <w:rPr>
          <w:rFonts w:hint="cs"/>
          <w:rtl/>
        </w:rPr>
        <w:t xml:space="preserve"> כמפורט להלן.</w:t>
      </w:r>
    </w:p>
    <w:p w:rsidR="00761030" w:rsidRDefault="00761030" w:rsidP="00761030">
      <w:pPr>
        <w:pStyle w:val="Ruller41"/>
        <w:rPr>
          <w:rtl/>
        </w:rPr>
      </w:pPr>
    </w:p>
    <w:p w:rsidR="00761030" w:rsidRPr="009F360F" w:rsidRDefault="00761030" w:rsidP="00761030">
      <w:pPr>
        <w:pStyle w:val="Ruller41"/>
        <w:rPr>
          <w:rFonts w:ascii="Century" w:hAnsi="Century" w:cs="Miriam"/>
          <w:b/>
          <w:spacing w:val="0"/>
          <w:szCs w:val="24"/>
          <w:rtl/>
        </w:rPr>
      </w:pPr>
      <w:r w:rsidRPr="009F360F">
        <w:rPr>
          <w:rFonts w:ascii="Century" w:hAnsi="Century" w:cs="Miriam" w:hint="cs"/>
          <w:b/>
          <w:spacing w:val="0"/>
          <w:szCs w:val="24"/>
          <w:rtl/>
        </w:rPr>
        <w:t>השאלות בתחום ההתיישנות</w:t>
      </w:r>
      <w:r>
        <w:rPr>
          <w:rFonts w:ascii="Century" w:hAnsi="Century" w:cs="Miriam" w:hint="cs"/>
          <w:b/>
          <w:spacing w:val="0"/>
          <w:szCs w:val="24"/>
          <w:rtl/>
        </w:rPr>
        <w:t xml:space="preserve"> והמסגרת הנורמטיבית לדיון בהן</w:t>
      </w:r>
    </w:p>
    <w:p w:rsidR="00761030" w:rsidRDefault="00761030" w:rsidP="00761030">
      <w:pPr>
        <w:pStyle w:val="Ruller41"/>
        <w:rPr>
          <w:rFonts w:ascii="Century" w:hAnsi="Century"/>
          <w:rtl/>
        </w:rPr>
      </w:pPr>
    </w:p>
    <w:p w:rsidR="00761030" w:rsidRPr="00FA2744" w:rsidRDefault="00761030" w:rsidP="00761030">
      <w:pPr>
        <w:pStyle w:val="Ruller41"/>
        <w:rPr>
          <w:rFonts w:ascii="Century" w:hAnsi="Century"/>
          <w:rtl/>
        </w:rPr>
      </w:pPr>
      <w:r>
        <w:rPr>
          <w:rFonts w:ascii="Century" w:hAnsi="Century" w:hint="cs"/>
          <w:rtl/>
        </w:rPr>
        <w:t xml:space="preserve">45. </w:t>
      </w:r>
      <w:r>
        <w:rPr>
          <w:rFonts w:ascii="Century" w:hAnsi="Century" w:hint="cs"/>
          <w:rtl/>
        </w:rPr>
        <w:tab/>
        <w:t>טענת ההתיישנות במקרה זה מבוססת על חוק ההתיישנות, ולא על סעיף 78 לחוק הקרקעות העותמני, מאחר שאין מדובר בקרקע חקלאית, כפי שציין בצדק בית משפט השלום. על כן, נתמקד בכך. הדיון בטענת ההתיישנות בבית משפט השלום נחלק למעשה לשניים: השאלה האם הייתה תחולה לדיני ההתיישנות בתקופה שבה המקרקעין נוהלו על-ידי האפוטרופוס הכללי, והשאלה האם קמה עילה להתחלה מאוחרת של מרוץ ההתיישנות, בהתאם להסדר של "התיישנות שלא מדעת" המעוגן בסעיף 8 לחוק ההתיישנות. נבחין בין שאלות אלה ונידרש אליהן לפי סדרן. אולם, בטרם נצלול לכך, יש לעמוד על כמה מושכלות יסוד שבבסיס הדיון.</w:t>
      </w:r>
    </w:p>
    <w:p w:rsidR="00761030" w:rsidRDefault="00761030" w:rsidP="00761030">
      <w:pPr>
        <w:pStyle w:val="Ruller41"/>
        <w:rPr>
          <w:rtl/>
        </w:rPr>
      </w:pPr>
    </w:p>
    <w:p w:rsidR="00761030" w:rsidRDefault="00761030" w:rsidP="00761030">
      <w:pPr>
        <w:pStyle w:val="Ruller41"/>
        <w:rPr>
          <w:rtl/>
        </w:rPr>
      </w:pPr>
      <w:r>
        <w:rPr>
          <w:rFonts w:hint="cs"/>
          <w:rtl/>
        </w:rPr>
        <w:t xml:space="preserve">46. </w:t>
      </w:r>
      <w:r>
        <w:rPr>
          <w:rFonts w:hint="cs"/>
          <w:rtl/>
        </w:rPr>
        <w:tab/>
        <w:t xml:space="preserve">כידוע, ביסודו של מוסד ההתיישנות עומדים מספר טעמים מרכזיים: </w:t>
      </w:r>
      <w:r>
        <w:rPr>
          <w:rFonts w:hint="cs"/>
          <w:color w:val="000000"/>
          <w:sz w:val="28"/>
          <w:rtl/>
        </w:rPr>
        <w:t xml:space="preserve">הקושי לשמור על ראיות לאורך זמן, ובצדו השאיפה למעט בהגשת ראיות שאיכותן ירודה; הצורך להקנות ודאות לנתבע בכל הנוגע לזכויותיו וחובותיו ולהבטיח שיוכל לכלכל את צעדיו ולא להיות חשוף לתביעה לפרק זמן בלתי מוגבל; ההנחה כי תובע ש"ישן על זכויותיו" ונמנע מהגשת תביעה במשך תקופה ארוכה, ויתר על זכותו לתבוע סעד; והאינטרס המוסדי המבקש להבטיח כי המערכת המשפטית לא תעסוק בבירור זכויות שמקורן בעבר הרחוק, אלא תתמקד בסכסוכים שבהווה. כמו כן, נודעת חשיבות להשפעה של הסדרי ההתיישנות על מי שאינם הצדדים הישירים להתדיינות, כגון המדינה, ספקי שירותים, חברות ביטוח, יצרנים וכדומה (ראו: </w:t>
      </w:r>
      <w:r>
        <w:rPr>
          <w:rFonts w:hint="cs"/>
          <w:rtl/>
        </w:rPr>
        <w:t xml:space="preserve">רע"א 901/07 </w:t>
      </w:r>
      <w:r w:rsidRPr="001A051F">
        <w:rPr>
          <w:rFonts w:ascii="Century" w:hAnsi="Century" w:cs="Miriam" w:hint="eastAsia"/>
          <w:b/>
          <w:spacing w:val="0"/>
          <w:szCs w:val="24"/>
          <w:rtl/>
        </w:rPr>
        <w:t>מדינת</w:t>
      </w:r>
      <w:r w:rsidRPr="001A051F">
        <w:rPr>
          <w:rFonts w:ascii="Century" w:hAnsi="Century" w:cs="Miriam"/>
          <w:b/>
          <w:spacing w:val="0"/>
          <w:szCs w:val="24"/>
          <w:rtl/>
        </w:rPr>
        <w:t xml:space="preserve"> ישראל – הוועדה לאנרגיה אטומית נ' גיא-</w:t>
      </w:r>
      <w:r w:rsidRPr="001A051F">
        <w:rPr>
          <w:rFonts w:ascii="Century" w:hAnsi="Century" w:cs="Miriam" w:hint="eastAsia"/>
          <w:b/>
          <w:spacing w:val="0"/>
          <w:szCs w:val="24"/>
          <w:rtl/>
        </w:rPr>
        <w:t>ליפל</w:t>
      </w:r>
      <w:r>
        <w:rPr>
          <w:rFonts w:hint="cs"/>
          <w:rtl/>
        </w:rPr>
        <w:t xml:space="preserve">, פ"ד סד(2) 82, 111 (2010) (להלן: עניין </w:t>
      </w:r>
      <w:r w:rsidRPr="001A051F">
        <w:rPr>
          <w:rFonts w:ascii="Century" w:hAnsi="Century" w:cs="Miriam" w:hint="eastAsia"/>
          <w:b/>
          <w:spacing w:val="0"/>
          <w:szCs w:val="24"/>
          <w:rtl/>
        </w:rPr>
        <w:t>גיא</w:t>
      </w:r>
      <w:r w:rsidRPr="001A051F">
        <w:rPr>
          <w:rFonts w:ascii="Century" w:hAnsi="Century" w:cs="Miriam"/>
          <w:b/>
          <w:spacing w:val="0"/>
          <w:szCs w:val="24"/>
          <w:rtl/>
        </w:rPr>
        <w:t>-</w:t>
      </w:r>
      <w:r w:rsidRPr="001A051F">
        <w:rPr>
          <w:rFonts w:ascii="Century" w:hAnsi="Century" w:cs="Miriam" w:hint="eastAsia"/>
          <w:b/>
          <w:spacing w:val="0"/>
          <w:szCs w:val="24"/>
          <w:rtl/>
        </w:rPr>
        <w:t>ליפל</w:t>
      </w:r>
      <w:r>
        <w:rPr>
          <w:rFonts w:hint="cs"/>
          <w:rtl/>
        </w:rPr>
        <w:t xml:space="preserve">), וההפניות שם; </w:t>
      </w:r>
      <w:r w:rsidRPr="00616FA0">
        <w:rPr>
          <w:rFonts w:hint="eastAsia"/>
          <w:rtl/>
        </w:rPr>
        <w:t>ע</w:t>
      </w:r>
      <w:r>
        <w:rPr>
          <w:rFonts w:hint="cs"/>
          <w:rtl/>
        </w:rPr>
        <w:t>"</w:t>
      </w:r>
      <w:r w:rsidRPr="00616FA0">
        <w:rPr>
          <w:rFonts w:hint="eastAsia"/>
          <w:rtl/>
        </w:rPr>
        <w:t>א</w:t>
      </w:r>
      <w:r w:rsidRPr="00616FA0">
        <w:rPr>
          <w:rtl/>
        </w:rPr>
        <w:t xml:space="preserve"> 8880/13 </w:t>
      </w:r>
      <w:r w:rsidRPr="001A051F">
        <w:rPr>
          <w:rFonts w:ascii="Century" w:hAnsi="Century" w:cs="Miriam" w:hint="eastAsia"/>
          <w:b/>
          <w:spacing w:val="0"/>
          <w:szCs w:val="24"/>
          <w:rtl/>
        </w:rPr>
        <w:t>וינשל</w:t>
      </w:r>
      <w:r w:rsidRPr="001A051F">
        <w:rPr>
          <w:rFonts w:ascii="Century" w:hAnsi="Century" w:cs="Miriam"/>
          <w:b/>
          <w:spacing w:val="0"/>
          <w:szCs w:val="24"/>
          <w:rtl/>
        </w:rPr>
        <w:t xml:space="preserve"> </w:t>
      </w:r>
      <w:r w:rsidRPr="001A051F">
        <w:rPr>
          <w:rFonts w:ascii="Century" w:hAnsi="Century" w:cs="Miriam" w:hint="eastAsia"/>
          <w:b/>
          <w:spacing w:val="0"/>
          <w:szCs w:val="24"/>
          <w:rtl/>
        </w:rPr>
        <w:t>נ</w:t>
      </w:r>
      <w:r w:rsidRPr="001A051F">
        <w:rPr>
          <w:rFonts w:ascii="Century" w:hAnsi="Century" w:cs="Miriam"/>
          <w:b/>
          <w:spacing w:val="0"/>
          <w:szCs w:val="24"/>
          <w:rtl/>
        </w:rPr>
        <w:t xml:space="preserve">' </w:t>
      </w:r>
      <w:r w:rsidRPr="001A051F">
        <w:rPr>
          <w:rFonts w:ascii="Century" w:hAnsi="Century" w:cs="Miriam" w:hint="eastAsia"/>
          <w:b/>
          <w:spacing w:val="0"/>
          <w:szCs w:val="24"/>
          <w:rtl/>
        </w:rPr>
        <w:t>מדינת</w:t>
      </w:r>
      <w:r w:rsidRPr="001A051F">
        <w:rPr>
          <w:rFonts w:ascii="Century" w:hAnsi="Century" w:cs="Miriam"/>
          <w:b/>
          <w:spacing w:val="0"/>
          <w:szCs w:val="24"/>
          <w:rtl/>
        </w:rPr>
        <w:t xml:space="preserve"> </w:t>
      </w:r>
      <w:r w:rsidRPr="001A051F">
        <w:rPr>
          <w:rFonts w:ascii="Century" w:hAnsi="Century" w:cs="Miriam" w:hint="eastAsia"/>
          <w:b/>
          <w:spacing w:val="0"/>
          <w:szCs w:val="24"/>
          <w:rtl/>
        </w:rPr>
        <w:t>ישראל</w:t>
      </w:r>
      <w:r w:rsidRPr="001A051F">
        <w:rPr>
          <w:rFonts w:ascii="Century" w:hAnsi="Century" w:cs="Miriam"/>
          <w:b/>
          <w:spacing w:val="0"/>
          <w:szCs w:val="24"/>
          <w:rtl/>
        </w:rPr>
        <w:t xml:space="preserve"> </w:t>
      </w:r>
      <w:r w:rsidRPr="001A051F">
        <w:rPr>
          <w:rFonts w:ascii="Century" w:hAnsi="Century" w:cs="Miriam" w:hint="eastAsia"/>
          <w:b/>
          <w:spacing w:val="0"/>
          <w:szCs w:val="24"/>
          <w:rtl/>
        </w:rPr>
        <w:t>משרד</w:t>
      </w:r>
      <w:r w:rsidRPr="001A051F">
        <w:rPr>
          <w:rFonts w:ascii="Century" w:hAnsi="Century" w:cs="Miriam"/>
          <w:b/>
          <w:spacing w:val="0"/>
          <w:szCs w:val="24"/>
          <w:rtl/>
        </w:rPr>
        <w:t xml:space="preserve"> </w:t>
      </w:r>
      <w:r w:rsidRPr="001A051F">
        <w:rPr>
          <w:rFonts w:ascii="Century" w:hAnsi="Century" w:cs="Miriam" w:hint="eastAsia"/>
          <w:b/>
          <w:spacing w:val="0"/>
          <w:szCs w:val="24"/>
          <w:rtl/>
        </w:rPr>
        <w:t>הביטחון</w:t>
      </w:r>
      <w:r>
        <w:rPr>
          <w:rFonts w:hint="cs"/>
          <w:rtl/>
        </w:rPr>
        <w:t xml:space="preserve">, פסקה 18 (30.8.2016) (להלן: עניין </w:t>
      </w:r>
      <w:r w:rsidRPr="001A051F">
        <w:rPr>
          <w:rFonts w:ascii="Century" w:hAnsi="Century" w:cs="Miriam" w:hint="eastAsia"/>
          <w:b/>
          <w:spacing w:val="0"/>
          <w:szCs w:val="24"/>
          <w:rtl/>
        </w:rPr>
        <w:t>וינשל</w:t>
      </w:r>
      <w:r>
        <w:rPr>
          <w:rFonts w:hint="cs"/>
          <w:rtl/>
        </w:rPr>
        <w:t xml:space="preserve">); </w:t>
      </w:r>
      <w:r w:rsidRPr="00CD4926">
        <w:rPr>
          <w:rFonts w:hint="eastAsia"/>
          <w:rtl/>
        </w:rPr>
        <w:t>רע</w:t>
      </w:r>
      <w:r>
        <w:rPr>
          <w:rFonts w:hint="cs"/>
          <w:rtl/>
        </w:rPr>
        <w:t>"</w:t>
      </w:r>
      <w:r w:rsidRPr="00CD4926">
        <w:rPr>
          <w:rFonts w:hint="eastAsia"/>
          <w:rtl/>
        </w:rPr>
        <w:t>א</w:t>
      </w:r>
      <w:r>
        <w:rPr>
          <w:rtl/>
        </w:rPr>
        <w:t xml:space="preserve"> 3196/18</w:t>
      </w:r>
      <w:r>
        <w:rPr>
          <w:rFonts w:hint="cs"/>
          <w:rtl/>
        </w:rPr>
        <w:t xml:space="preserve"> </w:t>
      </w:r>
      <w:r w:rsidRPr="001A051F">
        <w:rPr>
          <w:rFonts w:ascii="Century" w:hAnsi="Century" w:cs="Miriam" w:hint="eastAsia"/>
          <w:b/>
          <w:spacing w:val="0"/>
          <w:szCs w:val="24"/>
          <w:rtl/>
        </w:rPr>
        <w:t>אגודת</w:t>
      </w:r>
      <w:r w:rsidRPr="001A051F">
        <w:rPr>
          <w:rFonts w:ascii="Century" w:hAnsi="Century" w:cs="Miriam"/>
          <w:b/>
          <w:spacing w:val="0"/>
          <w:szCs w:val="24"/>
          <w:rtl/>
        </w:rPr>
        <w:t xml:space="preserve"> </w:t>
      </w:r>
      <w:r w:rsidRPr="001A051F">
        <w:rPr>
          <w:rFonts w:ascii="Century" w:hAnsi="Century" w:cs="Miriam" w:hint="eastAsia"/>
          <w:b/>
          <w:spacing w:val="0"/>
          <w:szCs w:val="24"/>
          <w:rtl/>
        </w:rPr>
        <w:t>מגן</w:t>
      </w:r>
      <w:r w:rsidRPr="001A051F">
        <w:rPr>
          <w:rFonts w:ascii="Century" w:hAnsi="Century" w:cs="Miriam"/>
          <w:b/>
          <w:spacing w:val="0"/>
          <w:szCs w:val="24"/>
          <w:rtl/>
        </w:rPr>
        <w:t xml:space="preserve"> </w:t>
      </w:r>
      <w:r w:rsidRPr="001A051F">
        <w:rPr>
          <w:rFonts w:ascii="Century" w:hAnsi="Century" w:cs="Miriam" w:hint="eastAsia"/>
          <w:b/>
          <w:spacing w:val="0"/>
          <w:szCs w:val="24"/>
          <w:rtl/>
        </w:rPr>
        <w:t>דוד</w:t>
      </w:r>
      <w:r w:rsidRPr="001A051F">
        <w:rPr>
          <w:rFonts w:ascii="Century" w:hAnsi="Century" w:cs="Miriam"/>
          <w:b/>
          <w:spacing w:val="0"/>
          <w:szCs w:val="24"/>
          <w:rtl/>
        </w:rPr>
        <w:t xml:space="preserve"> </w:t>
      </w:r>
      <w:r w:rsidRPr="001A051F">
        <w:rPr>
          <w:rFonts w:ascii="Century" w:hAnsi="Century" w:cs="Miriam" w:hint="eastAsia"/>
          <w:b/>
          <w:spacing w:val="0"/>
          <w:szCs w:val="24"/>
          <w:rtl/>
        </w:rPr>
        <w:t>אדום</w:t>
      </w:r>
      <w:r w:rsidRPr="001A051F">
        <w:rPr>
          <w:rFonts w:ascii="Century" w:hAnsi="Century" w:cs="Miriam"/>
          <w:b/>
          <w:spacing w:val="0"/>
          <w:szCs w:val="24"/>
          <w:rtl/>
        </w:rPr>
        <w:t xml:space="preserve"> </w:t>
      </w:r>
      <w:r w:rsidRPr="001A051F">
        <w:rPr>
          <w:rFonts w:ascii="Century" w:hAnsi="Century" w:cs="Miriam" w:hint="eastAsia"/>
          <w:b/>
          <w:spacing w:val="0"/>
          <w:szCs w:val="24"/>
          <w:rtl/>
        </w:rPr>
        <w:t>בישראל</w:t>
      </w:r>
      <w:r w:rsidRPr="001A051F">
        <w:rPr>
          <w:rFonts w:ascii="Century" w:hAnsi="Century" w:cs="Miriam"/>
          <w:b/>
          <w:spacing w:val="0"/>
          <w:szCs w:val="24"/>
          <w:rtl/>
        </w:rPr>
        <w:t xml:space="preserve"> </w:t>
      </w:r>
      <w:r w:rsidRPr="001A051F">
        <w:rPr>
          <w:rFonts w:ascii="Century" w:hAnsi="Century" w:cs="Miriam" w:hint="eastAsia"/>
          <w:b/>
          <w:spacing w:val="0"/>
          <w:szCs w:val="24"/>
          <w:rtl/>
        </w:rPr>
        <w:t>נ</w:t>
      </w:r>
      <w:r w:rsidRPr="001A051F">
        <w:rPr>
          <w:rFonts w:ascii="Century" w:hAnsi="Century" w:cs="Miriam"/>
          <w:b/>
          <w:spacing w:val="0"/>
          <w:szCs w:val="24"/>
          <w:rtl/>
        </w:rPr>
        <w:t xml:space="preserve">' </w:t>
      </w:r>
      <w:r w:rsidRPr="001A051F">
        <w:rPr>
          <w:rFonts w:ascii="Century" w:hAnsi="Century" w:cs="Miriam" w:hint="eastAsia"/>
          <w:b/>
          <w:spacing w:val="0"/>
          <w:szCs w:val="24"/>
          <w:rtl/>
        </w:rPr>
        <w:t>פלונית</w:t>
      </w:r>
      <w:r>
        <w:rPr>
          <w:rFonts w:hint="cs"/>
          <w:rtl/>
        </w:rPr>
        <w:t xml:space="preserve">, פסקה 10 (6.8.2018); טל חבקין </w:t>
      </w:r>
      <w:r w:rsidRPr="001A051F">
        <w:rPr>
          <w:rFonts w:ascii="Century" w:hAnsi="Century" w:cs="Miriam" w:hint="eastAsia"/>
          <w:b/>
          <w:spacing w:val="0"/>
          <w:szCs w:val="24"/>
          <w:rtl/>
        </w:rPr>
        <w:t>התיישנות</w:t>
      </w:r>
      <w:r w:rsidRPr="00866C9E">
        <w:rPr>
          <w:rtl/>
        </w:rPr>
        <w:t xml:space="preserve"> </w:t>
      </w:r>
      <w:r>
        <w:rPr>
          <w:rFonts w:hint="cs"/>
          <w:rtl/>
        </w:rPr>
        <w:t xml:space="preserve">33-23 (מהדורה שנייה, 2021) (להלן: </w:t>
      </w:r>
      <w:r w:rsidRPr="001A051F">
        <w:rPr>
          <w:rFonts w:ascii="Century" w:hAnsi="Century" w:cs="Miriam" w:hint="eastAsia"/>
          <w:b/>
          <w:spacing w:val="0"/>
          <w:szCs w:val="24"/>
          <w:rtl/>
        </w:rPr>
        <w:t>חבקין</w:t>
      </w:r>
      <w:r>
        <w:rPr>
          <w:rFonts w:hint="cs"/>
          <w:rtl/>
        </w:rPr>
        <w:t xml:space="preserve">)). מנגד, הכרה בהתיישנות כרוכה, מניה וביה, בחסימת דרכו של התובע לממש זכות מהותית בדין (ראו: </w:t>
      </w:r>
      <w:r w:rsidRPr="00DB3358">
        <w:rPr>
          <w:rFonts w:hint="eastAsia"/>
          <w:rtl/>
        </w:rPr>
        <w:t>ע</w:t>
      </w:r>
      <w:r>
        <w:rPr>
          <w:rFonts w:hint="cs"/>
          <w:rtl/>
        </w:rPr>
        <w:t>"</w:t>
      </w:r>
      <w:r w:rsidRPr="00DB3358">
        <w:rPr>
          <w:rFonts w:hint="eastAsia"/>
          <w:rtl/>
        </w:rPr>
        <w:t>א</w:t>
      </w:r>
      <w:r w:rsidRPr="00DB3358">
        <w:rPr>
          <w:rtl/>
        </w:rPr>
        <w:t xml:space="preserve"> 2242/03‏ </w:t>
      </w:r>
      <w:r w:rsidRPr="00DA07AE">
        <w:rPr>
          <w:rFonts w:ascii="Century" w:hAnsi="Century" w:cs="Miriam" w:hint="eastAsia"/>
          <w:b/>
          <w:spacing w:val="0"/>
          <w:szCs w:val="24"/>
          <w:rtl/>
        </w:rPr>
        <w:t>אברהם</w:t>
      </w:r>
      <w:r w:rsidRPr="00DA07AE">
        <w:rPr>
          <w:rFonts w:ascii="Century" w:hAnsi="Century" w:cs="Miriam"/>
          <w:b/>
          <w:spacing w:val="0"/>
          <w:szCs w:val="24"/>
          <w:rtl/>
        </w:rPr>
        <w:t xml:space="preserve"> </w:t>
      </w:r>
      <w:r w:rsidRPr="00DA07AE">
        <w:rPr>
          <w:rFonts w:ascii="Century" w:hAnsi="Century" w:cs="Miriam" w:hint="eastAsia"/>
          <w:b/>
          <w:spacing w:val="0"/>
          <w:szCs w:val="24"/>
          <w:rtl/>
        </w:rPr>
        <w:t>נ</w:t>
      </w:r>
      <w:r w:rsidRPr="00DA07AE">
        <w:rPr>
          <w:rFonts w:ascii="Century" w:hAnsi="Century" w:cs="Miriam"/>
          <w:b/>
          <w:spacing w:val="0"/>
          <w:szCs w:val="24"/>
          <w:rtl/>
        </w:rPr>
        <w:t xml:space="preserve">' </w:t>
      </w:r>
      <w:r w:rsidRPr="00DA07AE">
        <w:rPr>
          <w:rFonts w:ascii="Century" w:hAnsi="Century" w:cs="Miriam" w:hint="eastAsia"/>
          <w:b/>
          <w:spacing w:val="0"/>
          <w:szCs w:val="24"/>
          <w:rtl/>
        </w:rPr>
        <w:t>רשאד</w:t>
      </w:r>
      <w:r>
        <w:rPr>
          <w:rFonts w:hint="cs"/>
          <w:rtl/>
        </w:rPr>
        <w:t>, פסקה 13 (18.7.2005);</w:t>
      </w:r>
      <w:r w:rsidRPr="00DB3358">
        <w:rPr>
          <w:rFonts w:hint="eastAsia"/>
          <w:rtl/>
        </w:rPr>
        <w:t xml:space="preserve"> </w:t>
      </w:r>
      <w:r w:rsidRPr="00DF7AD2">
        <w:rPr>
          <w:rFonts w:hint="eastAsia"/>
          <w:rtl/>
        </w:rPr>
        <w:t>ע</w:t>
      </w:r>
      <w:r>
        <w:rPr>
          <w:rFonts w:hint="cs"/>
          <w:rtl/>
        </w:rPr>
        <w:t>"</w:t>
      </w:r>
      <w:r w:rsidRPr="00DF7AD2">
        <w:rPr>
          <w:rFonts w:hint="eastAsia"/>
          <w:rtl/>
        </w:rPr>
        <w:t>א</w:t>
      </w:r>
      <w:r w:rsidRPr="00DF7AD2">
        <w:rPr>
          <w:rtl/>
        </w:rPr>
        <w:t xml:space="preserve"> 9413/03 </w:t>
      </w:r>
      <w:r w:rsidRPr="00DA07AE">
        <w:rPr>
          <w:rFonts w:ascii="Century" w:hAnsi="Century" w:cs="Miriam" w:hint="eastAsia"/>
          <w:b/>
          <w:spacing w:val="0"/>
          <w:szCs w:val="24"/>
          <w:rtl/>
        </w:rPr>
        <w:t>אלנקווה</w:t>
      </w:r>
      <w:r w:rsidRPr="00DA07AE">
        <w:rPr>
          <w:rFonts w:ascii="Century" w:hAnsi="Century" w:cs="Miriam"/>
          <w:b/>
          <w:spacing w:val="0"/>
          <w:szCs w:val="24"/>
          <w:rtl/>
        </w:rPr>
        <w:t xml:space="preserve"> </w:t>
      </w:r>
      <w:r w:rsidRPr="00DA07AE">
        <w:rPr>
          <w:rFonts w:ascii="Century" w:hAnsi="Century" w:cs="Miriam" w:hint="eastAsia"/>
          <w:b/>
          <w:spacing w:val="0"/>
          <w:szCs w:val="24"/>
          <w:rtl/>
        </w:rPr>
        <w:t>נ</w:t>
      </w:r>
      <w:r w:rsidRPr="00DA07AE">
        <w:rPr>
          <w:rFonts w:ascii="Century" w:hAnsi="Century" w:cs="Miriam"/>
          <w:b/>
          <w:spacing w:val="0"/>
          <w:szCs w:val="24"/>
          <w:rtl/>
        </w:rPr>
        <w:t xml:space="preserve">' </w:t>
      </w:r>
      <w:r w:rsidRPr="00DA07AE">
        <w:rPr>
          <w:rFonts w:ascii="Century" w:hAnsi="Century" w:cs="Miriam" w:hint="eastAsia"/>
          <w:b/>
          <w:spacing w:val="0"/>
          <w:szCs w:val="24"/>
          <w:rtl/>
        </w:rPr>
        <w:t>הועדה</w:t>
      </w:r>
      <w:r w:rsidRPr="00DA07AE">
        <w:rPr>
          <w:rFonts w:ascii="Century" w:hAnsi="Century" w:cs="Miriam"/>
          <w:b/>
          <w:spacing w:val="0"/>
          <w:szCs w:val="24"/>
          <w:rtl/>
        </w:rPr>
        <w:t xml:space="preserve"> </w:t>
      </w:r>
      <w:r w:rsidRPr="00DA07AE">
        <w:rPr>
          <w:rFonts w:ascii="Century" w:hAnsi="Century" w:cs="Miriam" w:hint="eastAsia"/>
          <w:b/>
          <w:spacing w:val="0"/>
          <w:szCs w:val="24"/>
          <w:rtl/>
        </w:rPr>
        <w:t>המקומית</w:t>
      </w:r>
      <w:r w:rsidRPr="00DA07AE">
        <w:rPr>
          <w:rFonts w:ascii="Century" w:hAnsi="Century" w:cs="Miriam"/>
          <w:b/>
          <w:spacing w:val="0"/>
          <w:szCs w:val="24"/>
          <w:rtl/>
        </w:rPr>
        <w:t xml:space="preserve"> </w:t>
      </w:r>
      <w:r w:rsidRPr="00DA07AE">
        <w:rPr>
          <w:rFonts w:ascii="Century" w:hAnsi="Century" w:cs="Miriam" w:hint="eastAsia"/>
          <w:b/>
          <w:spacing w:val="0"/>
          <w:szCs w:val="24"/>
          <w:rtl/>
        </w:rPr>
        <w:t>לתכנון</w:t>
      </w:r>
      <w:r w:rsidRPr="00DA07AE">
        <w:rPr>
          <w:rFonts w:ascii="Century" w:hAnsi="Century" w:cs="Miriam"/>
          <w:b/>
          <w:spacing w:val="0"/>
          <w:szCs w:val="24"/>
          <w:rtl/>
        </w:rPr>
        <w:t xml:space="preserve"> </w:t>
      </w:r>
      <w:r w:rsidRPr="00DA07AE">
        <w:rPr>
          <w:rFonts w:ascii="Century" w:hAnsi="Century" w:cs="Miriam" w:hint="eastAsia"/>
          <w:b/>
          <w:spacing w:val="0"/>
          <w:szCs w:val="24"/>
          <w:rtl/>
        </w:rPr>
        <w:t>ולבניה</w:t>
      </w:r>
      <w:r w:rsidRPr="00DA07AE">
        <w:rPr>
          <w:rFonts w:ascii="Century" w:hAnsi="Century" w:cs="Miriam"/>
          <w:b/>
          <w:spacing w:val="0"/>
          <w:szCs w:val="24"/>
          <w:rtl/>
        </w:rPr>
        <w:t xml:space="preserve">, </w:t>
      </w:r>
      <w:r w:rsidRPr="00DA07AE">
        <w:rPr>
          <w:rFonts w:ascii="Century" w:hAnsi="Century" w:cs="Miriam" w:hint="eastAsia"/>
          <w:b/>
          <w:spacing w:val="0"/>
          <w:szCs w:val="24"/>
          <w:rtl/>
        </w:rPr>
        <w:t>ירושלים</w:t>
      </w:r>
      <w:r w:rsidRPr="00DF7AD2">
        <w:rPr>
          <w:rtl/>
        </w:rPr>
        <w:t xml:space="preserve">, </w:t>
      </w:r>
      <w:r w:rsidRPr="00DF7AD2">
        <w:rPr>
          <w:rFonts w:hint="eastAsia"/>
          <w:rtl/>
        </w:rPr>
        <w:t>פ</w:t>
      </w:r>
      <w:r w:rsidRPr="00DF7AD2">
        <w:rPr>
          <w:rtl/>
        </w:rPr>
        <w:t>''</w:t>
      </w:r>
      <w:r w:rsidRPr="00DF7AD2">
        <w:rPr>
          <w:rFonts w:hint="eastAsia"/>
          <w:rtl/>
        </w:rPr>
        <w:t>ד</w:t>
      </w:r>
      <w:r w:rsidRPr="00DF7AD2">
        <w:rPr>
          <w:rtl/>
        </w:rPr>
        <w:t xml:space="preserve"> </w:t>
      </w:r>
      <w:r w:rsidRPr="00DF7AD2">
        <w:rPr>
          <w:rFonts w:hint="eastAsia"/>
          <w:rtl/>
        </w:rPr>
        <w:t>סב</w:t>
      </w:r>
      <w:r w:rsidRPr="00DF7AD2">
        <w:rPr>
          <w:rtl/>
        </w:rPr>
        <w:t>(4) 525</w:t>
      </w:r>
      <w:r>
        <w:rPr>
          <w:rFonts w:hint="cs"/>
          <w:rtl/>
        </w:rPr>
        <w:t xml:space="preserve"> (2008)). דיני ההתיישנות נועדו אפוא להשיג איזון כולל בין האינטרסים השונים </w:t>
      </w:r>
      <w:r>
        <w:rPr>
          <w:rtl/>
        </w:rPr>
        <w:t>–</w:t>
      </w:r>
      <w:r>
        <w:rPr>
          <w:rFonts w:hint="cs"/>
          <w:rtl/>
        </w:rPr>
        <w:t xml:space="preserve"> אינטרס הנתבע, אינטרס התובע, והאינטרסים הציבוריים הרלוונטיים.</w:t>
      </w:r>
    </w:p>
    <w:p w:rsidR="00761030" w:rsidRDefault="00761030" w:rsidP="00761030">
      <w:pPr>
        <w:pStyle w:val="Ruller41"/>
        <w:rPr>
          <w:rtl/>
        </w:rPr>
      </w:pPr>
    </w:p>
    <w:p w:rsidR="00761030" w:rsidRDefault="00761030" w:rsidP="00761030">
      <w:pPr>
        <w:pStyle w:val="Ruller41"/>
        <w:rPr>
          <w:rtl/>
        </w:rPr>
      </w:pPr>
      <w:r>
        <w:rPr>
          <w:rFonts w:hint="cs"/>
          <w:rtl/>
        </w:rPr>
        <w:t xml:space="preserve">47. </w:t>
      </w:r>
      <w:r>
        <w:rPr>
          <w:rFonts w:hint="cs"/>
          <w:rtl/>
        </w:rPr>
        <w:tab/>
        <w:t xml:space="preserve">ההסדר המרכזי של דיני ההתיישנות במשפט הישראלי הוא חוק ההתיישנות, המכיר בטענת ההתיישנות כטענת הגנה דיונית. עם זאת, בתחום המקרקעין עלינו להרחיב את מבטנו מעבר לחוק ההתיישנות עצמו. ככלל, ההסדרים הנוגעים להתיישנות במקרקעין בדין הישראלי הם מורכבים, מאחר שהם מבוססים על מערכות שונות של דינים, ובעיקרם החקיקה העותמנית שבוטלה באופן חלקי עם חקיקת חוק המקרקעין בשנת 1970 (ראו: </w:t>
      </w:r>
      <w:r w:rsidRPr="009B11BF">
        <w:rPr>
          <w:rFonts w:ascii="Century" w:hAnsi="Century" w:cs="Miriam" w:hint="eastAsia"/>
          <w:b/>
          <w:spacing w:val="0"/>
          <w:szCs w:val="24"/>
          <w:rtl/>
        </w:rPr>
        <w:t>חבקין</w:t>
      </w:r>
      <w:r>
        <w:rPr>
          <w:rFonts w:hint="cs"/>
          <w:rtl/>
        </w:rPr>
        <w:t xml:space="preserve">, בעמ' 459). כאשר מדובר בתביעה המוגשת על-ידי בעלים של מקרקעין כנגד מי שמחזיק בהם, ההתיישנות מעניקה חסינות בפני פינוי, ובלבד שמדובר במקרקעין לא מוסדרים (ראו: דפנה לוינסון-זמיר "על הקושי ליהנות מטענת התיישנות במקרקעין" </w:t>
      </w:r>
      <w:r w:rsidRPr="001A051F">
        <w:rPr>
          <w:rFonts w:ascii="Century" w:hAnsi="Century" w:cs="Miriam" w:hint="eastAsia"/>
          <w:b/>
          <w:spacing w:val="0"/>
          <w:szCs w:val="24"/>
          <w:rtl/>
        </w:rPr>
        <w:t>ספר</w:t>
      </w:r>
      <w:r w:rsidRPr="001A051F">
        <w:rPr>
          <w:rFonts w:ascii="Century" w:hAnsi="Century" w:cs="Miriam"/>
          <w:b/>
          <w:spacing w:val="0"/>
          <w:szCs w:val="24"/>
          <w:rtl/>
        </w:rPr>
        <w:t xml:space="preserve"> </w:t>
      </w:r>
      <w:r w:rsidRPr="001A051F">
        <w:rPr>
          <w:rFonts w:ascii="Century" w:hAnsi="Century" w:cs="Miriam" w:hint="eastAsia"/>
          <w:b/>
          <w:spacing w:val="0"/>
          <w:szCs w:val="24"/>
          <w:rtl/>
        </w:rPr>
        <w:t>מנשה</w:t>
      </w:r>
      <w:r w:rsidRPr="001A051F">
        <w:rPr>
          <w:rFonts w:ascii="Century" w:hAnsi="Century" w:cs="Miriam"/>
          <w:b/>
          <w:spacing w:val="0"/>
          <w:szCs w:val="24"/>
          <w:rtl/>
        </w:rPr>
        <w:t xml:space="preserve"> </w:t>
      </w:r>
      <w:r w:rsidRPr="001A051F">
        <w:rPr>
          <w:rFonts w:ascii="Century" w:hAnsi="Century" w:cs="Miriam" w:hint="eastAsia"/>
          <w:b/>
          <w:spacing w:val="0"/>
          <w:szCs w:val="24"/>
          <w:rtl/>
        </w:rPr>
        <w:t>שאוה</w:t>
      </w:r>
      <w:r w:rsidRPr="00C011DD">
        <w:rPr>
          <w:rFonts w:hint="cs"/>
          <w:rtl/>
        </w:rPr>
        <w:t xml:space="preserve"> </w:t>
      </w:r>
      <w:r>
        <w:rPr>
          <w:rFonts w:hint="cs"/>
          <w:rtl/>
        </w:rPr>
        <w:t xml:space="preserve">181, 183-181 (אהרן ברק ודניאל פרידמן עורכים, 2006) (להלן: </w:t>
      </w:r>
      <w:r w:rsidRPr="001A051F">
        <w:rPr>
          <w:rFonts w:ascii="Century" w:hAnsi="Century" w:cs="Miriam" w:hint="eastAsia"/>
          <w:b/>
          <w:spacing w:val="0"/>
          <w:szCs w:val="24"/>
          <w:rtl/>
        </w:rPr>
        <w:t>לוינסון</w:t>
      </w:r>
      <w:r w:rsidRPr="001A051F">
        <w:rPr>
          <w:rFonts w:ascii="Century" w:hAnsi="Century" w:cs="Miriam"/>
          <w:b/>
          <w:spacing w:val="0"/>
          <w:szCs w:val="24"/>
          <w:rtl/>
        </w:rPr>
        <w:t>-זמיר</w:t>
      </w:r>
      <w:r>
        <w:rPr>
          <w:rFonts w:hint="cs"/>
          <w:rtl/>
        </w:rPr>
        <w:t xml:space="preserve">)). אף מבלי להידרש לכל היבטיו של הנושא, אציין כי במקרקעין לא מוסדרים שעילת התביעה בהם נולדה לאחר כניסתו לתוקף של חוק ההתיישנות </w:t>
      </w:r>
      <w:r>
        <w:rPr>
          <w:rtl/>
        </w:rPr>
        <w:t>–</w:t>
      </w:r>
      <w:r>
        <w:rPr>
          <w:rFonts w:hint="cs"/>
          <w:rtl/>
        </w:rPr>
        <w:t xml:space="preserve"> כבענייננו </w:t>
      </w:r>
      <w:r>
        <w:rPr>
          <w:rtl/>
        </w:rPr>
        <w:t>–</w:t>
      </w:r>
      <w:r>
        <w:rPr>
          <w:rFonts w:hint="cs"/>
          <w:rtl/>
        </w:rPr>
        <w:t xml:space="preserve"> תקופת ההתיישנות היא 15 שנים (ראו: סעיפים 5 ו-22 לחוק ההתיישנות וסעיף 162(ב) לחוק המקרקעין; רע"א 7810/06 </w:t>
      </w:r>
      <w:r w:rsidRPr="009B11BF">
        <w:rPr>
          <w:rFonts w:ascii="Century" w:hAnsi="Century" w:cs="Miriam" w:hint="eastAsia"/>
          <w:b/>
          <w:spacing w:val="0"/>
          <w:szCs w:val="24"/>
          <w:rtl/>
        </w:rPr>
        <w:t>מוסקוביץ</w:t>
      </w:r>
      <w:r w:rsidRPr="009B11BF">
        <w:rPr>
          <w:rFonts w:ascii="Century" w:hAnsi="Century" w:cs="Miriam"/>
          <w:b/>
          <w:spacing w:val="0"/>
          <w:szCs w:val="24"/>
          <w:rtl/>
        </w:rPr>
        <w:t xml:space="preserve"> נ' עזבון המנוחה </w:t>
      </w:r>
      <w:r w:rsidRPr="009B11BF">
        <w:rPr>
          <w:rFonts w:ascii="Century" w:hAnsi="Century" w:cs="Miriam" w:hint="eastAsia"/>
          <w:b/>
          <w:spacing w:val="0"/>
          <w:szCs w:val="24"/>
          <w:rtl/>
        </w:rPr>
        <w:t>רושדייה</w:t>
      </w:r>
      <w:r w:rsidRPr="009B11BF">
        <w:rPr>
          <w:rFonts w:ascii="Century" w:hAnsi="Century" w:cs="Miriam"/>
          <w:b/>
          <w:spacing w:val="0"/>
          <w:szCs w:val="24"/>
          <w:rtl/>
        </w:rPr>
        <w:t xml:space="preserve"> </w:t>
      </w:r>
      <w:r w:rsidRPr="009B11BF">
        <w:rPr>
          <w:rFonts w:ascii="Century" w:hAnsi="Century" w:cs="Miriam" w:hint="eastAsia"/>
          <w:b/>
          <w:spacing w:val="0"/>
          <w:szCs w:val="24"/>
          <w:rtl/>
        </w:rPr>
        <w:t>חמאד</w:t>
      </w:r>
      <w:r w:rsidRPr="009B11BF">
        <w:rPr>
          <w:rFonts w:ascii="Century" w:hAnsi="Century" w:cs="Miriam"/>
          <w:b/>
          <w:spacing w:val="0"/>
          <w:szCs w:val="24"/>
          <w:rtl/>
        </w:rPr>
        <w:t xml:space="preserve"> </w:t>
      </w:r>
      <w:r w:rsidRPr="009B11BF">
        <w:rPr>
          <w:rFonts w:ascii="Century" w:hAnsi="Century" w:cs="Miriam" w:hint="eastAsia"/>
          <w:b/>
          <w:spacing w:val="0"/>
          <w:szCs w:val="24"/>
          <w:rtl/>
        </w:rPr>
        <w:t>חמדאללה</w:t>
      </w:r>
      <w:r>
        <w:rPr>
          <w:rFonts w:hint="cs"/>
          <w:rtl/>
        </w:rPr>
        <w:t xml:space="preserve">, פסקה ג(2) (17.6.2007) (להלן: עניין </w:t>
      </w:r>
      <w:r w:rsidRPr="009B11BF">
        <w:rPr>
          <w:rFonts w:ascii="Century" w:hAnsi="Century" w:cs="Miriam" w:hint="eastAsia"/>
          <w:b/>
          <w:spacing w:val="0"/>
          <w:szCs w:val="24"/>
          <w:rtl/>
        </w:rPr>
        <w:t>מוסקוביץ</w:t>
      </w:r>
      <w:r>
        <w:rPr>
          <w:rFonts w:hint="cs"/>
          <w:rtl/>
        </w:rPr>
        <w:t xml:space="preserve">); ישראל גלעד "התיישנות במקרקעין </w:t>
      </w:r>
      <w:r>
        <w:rPr>
          <w:rtl/>
        </w:rPr>
        <w:t>–</w:t>
      </w:r>
      <w:r>
        <w:rPr>
          <w:rFonts w:hint="cs"/>
          <w:rtl/>
        </w:rPr>
        <w:t xml:space="preserve"> קווים לרפורמה" </w:t>
      </w:r>
      <w:r w:rsidRPr="009B11BF">
        <w:rPr>
          <w:rFonts w:ascii="Century" w:hAnsi="Century" w:cs="Miriam" w:hint="eastAsia"/>
          <w:b/>
          <w:spacing w:val="0"/>
          <w:szCs w:val="24"/>
          <w:rtl/>
        </w:rPr>
        <w:t>משפטים</w:t>
      </w:r>
      <w:r w:rsidRPr="00C011DD">
        <w:rPr>
          <w:rFonts w:hint="cs"/>
          <w:rtl/>
        </w:rPr>
        <w:t xml:space="preserve"> </w:t>
      </w:r>
      <w:r>
        <w:rPr>
          <w:rFonts w:hint="cs"/>
          <w:rtl/>
        </w:rPr>
        <w:t xml:space="preserve">יח 177, 241 (1988) (להלן: </w:t>
      </w:r>
      <w:r w:rsidRPr="009B11BF">
        <w:rPr>
          <w:rFonts w:ascii="Century" w:hAnsi="Century" w:cs="Miriam" w:hint="eastAsia"/>
          <w:b/>
          <w:spacing w:val="0"/>
          <w:szCs w:val="24"/>
          <w:rtl/>
        </w:rPr>
        <w:t>גלעד</w:t>
      </w:r>
      <w:r>
        <w:rPr>
          <w:rFonts w:ascii="Century" w:hAnsi="Century" w:cs="Miriam" w:hint="cs"/>
          <w:b/>
          <w:spacing w:val="0"/>
          <w:szCs w:val="24"/>
          <w:rtl/>
        </w:rPr>
        <w:t>, התיישנות במקרקעין</w:t>
      </w:r>
      <w:r>
        <w:rPr>
          <w:rFonts w:hint="cs"/>
          <w:rtl/>
        </w:rPr>
        <w:t xml:space="preserve">); </w:t>
      </w:r>
      <w:r w:rsidRPr="009B11BF">
        <w:rPr>
          <w:rFonts w:ascii="Century" w:hAnsi="Century" w:cs="Miriam" w:hint="eastAsia"/>
          <w:b/>
          <w:spacing w:val="0"/>
          <w:szCs w:val="24"/>
          <w:rtl/>
        </w:rPr>
        <w:t>חבקין</w:t>
      </w:r>
      <w:r>
        <w:rPr>
          <w:rFonts w:hint="cs"/>
          <w:rtl/>
        </w:rPr>
        <w:t>, בעמ' 474).</w:t>
      </w:r>
    </w:p>
    <w:p w:rsidR="00761030" w:rsidRDefault="00761030" w:rsidP="00761030">
      <w:pPr>
        <w:pStyle w:val="Ruller41"/>
        <w:rPr>
          <w:rtl/>
        </w:rPr>
      </w:pPr>
    </w:p>
    <w:p w:rsidR="00761030" w:rsidRDefault="00761030" w:rsidP="00761030">
      <w:pPr>
        <w:pStyle w:val="Ruller41"/>
        <w:rPr>
          <w:rtl/>
        </w:rPr>
      </w:pPr>
      <w:r>
        <w:rPr>
          <w:rFonts w:hint="cs"/>
          <w:rtl/>
        </w:rPr>
        <w:t xml:space="preserve">48. </w:t>
      </w:r>
      <w:r>
        <w:rPr>
          <w:rFonts w:hint="cs"/>
          <w:rtl/>
        </w:rPr>
        <w:tab/>
        <w:t xml:space="preserve">על מנת שתתקבל טענת התיישנות, אין די בכך שהמחזיק במקרקעין יוכיח כי חלפה תקופת ההתיישנות </w:t>
      </w:r>
      <w:r>
        <w:rPr>
          <w:rtl/>
        </w:rPr>
        <w:t>–</w:t>
      </w:r>
      <w:r>
        <w:rPr>
          <w:rFonts w:hint="cs"/>
          <w:rtl/>
        </w:rPr>
        <w:t xml:space="preserve"> אלא עליו להוכיח גם שבמשך כל תקופת ההתיישנות הוא החזיק במקרקעין "החזקה נוגדת" (ראו: ע"א 213/76 </w:t>
      </w:r>
      <w:r w:rsidRPr="009B11BF">
        <w:rPr>
          <w:rFonts w:ascii="Century" w:hAnsi="Century" w:cs="Miriam" w:hint="eastAsia"/>
          <w:b/>
          <w:spacing w:val="0"/>
          <w:szCs w:val="24"/>
          <w:rtl/>
        </w:rPr>
        <w:t>גילברג</w:t>
      </w:r>
      <w:r w:rsidRPr="009B11BF">
        <w:rPr>
          <w:rFonts w:ascii="Century" w:hAnsi="Century" w:cs="Miriam"/>
          <w:b/>
          <w:spacing w:val="0"/>
          <w:szCs w:val="24"/>
          <w:rtl/>
        </w:rPr>
        <w:t xml:space="preserve"> נ' </w:t>
      </w:r>
      <w:r w:rsidRPr="009B11BF">
        <w:rPr>
          <w:rFonts w:ascii="Century" w:hAnsi="Century" w:cs="Miriam" w:hint="eastAsia"/>
          <w:b/>
          <w:spacing w:val="0"/>
          <w:szCs w:val="24"/>
          <w:rtl/>
        </w:rPr>
        <w:t>פאנוס</w:t>
      </w:r>
      <w:r>
        <w:rPr>
          <w:rFonts w:hint="cs"/>
          <w:rtl/>
        </w:rPr>
        <w:t xml:space="preserve">, פ"ד לא(2) 272, 279-278 (1977); ע"א 3217/91 </w:t>
      </w:r>
      <w:r w:rsidRPr="009B11BF">
        <w:rPr>
          <w:rFonts w:ascii="Century" w:hAnsi="Century" w:cs="Miriam" w:hint="eastAsia"/>
          <w:b/>
          <w:spacing w:val="0"/>
          <w:szCs w:val="24"/>
          <w:rtl/>
        </w:rPr>
        <w:t>פלר</w:t>
      </w:r>
      <w:r w:rsidRPr="009B11BF">
        <w:rPr>
          <w:rFonts w:ascii="Century" w:hAnsi="Century" w:cs="Miriam"/>
          <w:b/>
          <w:spacing w:val="0"/>
          <w:szCs w:val="24"/>
          <w:rtl/>
        </w:rPr>
        <w:t xml:space="preserve"> נ' יורשי המנוח דב </w:t>
      </w:r>
      <w:r w:rsidRPr="00550F9E">
        <w:rPr>
          <w:rFonts w:ascii="Century" w:hAnsi="Century" w:cs="Miriam" w:hint="eastAsia"/>
          <w:b/>
          <w:spacing w:val="0"/>
          <w:szCs w:val="24"/>
          <w:rtl/>
        </w:rPr>
        <w:t>אקסלרוד</w:t>
      </w:r>
      <w:r w:rsidRPr="00550F9E">
        <w:rPr>
          <w:rFonts w:ascii="Century" w:hAnsi="Century" w:cs="Miriam"/>
          <w:b/>
          <w:spacing w:val="0"/>
          <w:szCs w:val="24"/>
          <w:rtl/>
        </w:rPr>
        <w:t xml:space="preserve"> </w:t>
      </w:r>
      <w:r w:rsidRPr="00550F9E">
        <w:rPr>
          <w:rFonts w:ascii="Century" w:hAnsi="Century" w:cs="Miriam" w:hint="cs"/>
          <w:b/>
          <w:spacing w:val="0"/>
          <w:szCs w:val="24"/>
          <w:rtl/>
        </w:rPr>
        <w:t>ז"ל</w:t>
      </w:r>
      <w:r>
        <w:rPr>
          <w:rFonts w:hint="cs"/>
          <w:rtl/>
        </w:rPr>
        <w:t xml:space="preserve">, פ"ד מז(2) 281, 284 (1993) (להלן: עניין </w:t>
      </w:r>
      <w:r w:rsidRPr="00DA07AE">
        <w:rPr>
          <w:rFonts w:ascii="Century" w:hAnsi="Century" w:cs="Miriam" w:hint="eastAsia"/>
          <w:b/>
          <w:spacing w:val="0"/>
          <w:szCs w:val="24"/>
          <w:rtl/>
        </w:rPr>
        <w:t>פלר</w:t>
      </w:r>
      <w:r>
        <w:rPr>
          <w:rFonts w:hint="cs"/>
          <w:rtl/>
        </w:rPr>
        <w:t xml:space="preserve">); </w:t>
      </w:r>
      <w:r>
        <w:rPr>
          <w:rFonts w:hint="eastAsia"/>
          <w:rtl/>
        </w:rPr>
        <w:t>ע</w:t>
      </w:r>
      <w:r>
        <w:rPr>
          <w:rtl/>
        </w:rPr>
        <w:t>"</w:t>
      </w:r>
      <w:r>
        <w:rPr>
          <w:rFonts w:hint="eastAsia"/>
          <w:rtl/>
        </w:rPr>
        <w:t>א</w:t>
      </w:r>
      <w:r>
        <w:rPr>
          <w:rtl/>
        </w:rPr>
        <w:t xml:space="preserve"> 2510/98 </w:t>
      </w:r>
      <w:r w:rsidRPr="009B11BF">
        <w:rPr>
          <w:rFonts w:ascii="Century" w:hAnsi="Century" w:cs="Miriam" w:hint="eastAsia"/>
          <w:b/>
          <w:spacing w:val="0"/>
          <w:szCs w:val="24"/>
          <w:rtl/>
        </w:rPr>
        <w:t>למד</w:t>
      </w:r>
      <w:r w:rsidRPr="009B11BF">
        <w:rPr>
          <w:rFonts w:ascii="Century" w:hAnsi="Century" w:cs="Miriam"/>
          <w:b/>
          <w:spacing w:val="0"/>
          <w:szCs w:val="24"/>
          <w:rtl/>
        </w:rPr>
        <w:t xml:space="preserve"> </w:t>
      </w:r>
      <w:r w:rsidRPr="009B11BF">
        <w:rPr>
          <w:rFonts w:ascii="Century" w:hAnsi="Century" w:cs="Miriam" w:hint="eastAsia"/>
          <w:b/>
          <w:spacing w:val="0"/>
          <w:szCs w:val="24"/>
          <w:rtl/>
        </w:rPr>
        <w:t>שין</w:t>
      </w:r>
      <w:r w:rsidRPr="009B11BF">
        <w:rPr>
          <w:rFonts w:ascii="Century" w:hAnsi="Century" w:cs="Miriam"/>
          <w:b/>
          <w:spacing w:val="0"/>
          <w:szCs w:val="24"/>
          <w:rtl/>
        </w:rPr>
        <w:t xml:space="preserve"> </w:t>
      </w:r>
      <w:r w:rsidRPr="009B11BF">
        <w:rPr>
          <w:rFonts w:ascii="Century" w:hAnsi="Century" w:cs="Miriam" w:hint="eastAsia"/>
          <w:b/>
          <w:spacing w:val="0"/>
          <w:szCs w:val="24"/>
          <w:rtl/>
        </w:rPr>
        <w:t>בע</w:t>
      </w:r>
      <w:r w:rsidRPr="009B11BF">
        <w:rPr>
          <w:rFonts w:ascii="Century" w:hAnsi="Century" w:cs="Miriam"/>
          <w:b/>
          <w:spacing w:val="0"/>
          <w:szCs w:val="24"/>
          <w:rtl/>
        </w:rPr>
        <w:t>"</w:t>
      </w:r>
      <w:r w:rsidRPr="009B11BF">
        <w:rPr>
          <w:rFonts w:ascii="Century" w:hAnsi="Century" w:cs="Miriam" w:hint="eastAsia"/>
          <w:b/>
          <w:spacing w:val="0"/>
          <w:szCs w:val="24"/>
          <w:rtl/>
        </w:rPr>
        <w:t>מ</w:t>
      </w:r>
      <w:r w:rsidRPr="009B11BF">
        <w:rPr>
          <w:rFonts w:ascii="Century" w:hAnsi="Century" w:cs="Miriam"/>
          <w:b/>
          <w:spacing w:val="0"/>
          <w:szCs w:val="24"/>
          <w:rtl/>
        </w:rPr>
        <w:t xml:space="preserve"> </w:t>
      </w:r>
      <w:r w:rsidRPr="009B11BF">
        <w:rPr>
          <w:rFonts w:ascii="Century" w:hAnsi="Century" w:cs="Miriam" w:hint="eastAsia"/>
          <w:b/>
          <w:spacing w:val="0"/>
          <w:szCs w:val="24"/>
          <w:rtl/>
        </w:rPr>
        <w:t>נ</w:t>
      </w:r>
      <w:r w:rsidRPr="009B11BF">
        <w:rPr>
          <w:rFonts w:ascii="Century" w:hAnsi="Century" w:cs="Miriam"/>
          <w:b/>
          <w:spacing w:val="0"/>
          <w:szCs w:val="24"/>
          <w:rtl/>
        </w:rPr>
        <w:t xml:space="preserve">' </w:t>
      </w:r>
      <w:r w:rsidRPr="009B11BF">
        <w:rPr>
          <w:rFonts w:ascii="Century" w:hAnsi="Century" w:cs="Miriam" w:hint="eastAsia"/>
          <w:b/>
          <w:spacing w:val="0"/>
          <w:szCs w:val="24"/>
          <w:rtl/>
        </w:rPr>
        <w:t>חסיד</w:t>
      </w:r>
      <w:r>
        <w:rPr>
          <w:rtl/>
        </w:rPr>
        <w:t xml:space="preserve">, </w:t>
      </w:r>
      <w:r>
        <w:rPr>
          <w:rFonts w:hint="eastAsia"/>
          <w:rtl/>
        </w:rPr>
        <w:t>פ</w:t>
      </w:r>
      <w:r>
        <w:rPr>
          <w:rtl/>
        </w:rPr>
        <w:t>''</w:t>
      </w:r>
      <w:r>
        <w:rPr>
          <w:rFonts w:hint="eastAsia"/>
          <w:rtl/>
        </w:rPr>
        <w:t>ד</w:t>
      </w:r>
      <w:r>
        <w:rPr>
          <w:rtl/>
        </w:rPr>
        <w:t xml:space="preserve"> </w:t>
      </w:r>
      <w:r>
        <w:rPr>
          <w:rFonts w:hint="eastAsia"/>
          <w:rtl/>
        </w:rPr>
        <w:t>נג</w:t>
      </w:r>
      <w:r>
        <w:rPr>
          <w:rtl/>
        </w:rPr>
        <w:t>(5) 721</w:t>
      </w:r>
      <w:r>
        <w:rPr>
          <w:rFonts w:hint="cs"/>
          <w:rtl/>
        </w:rPr>
        <w:t xml:space="preserve">, 728-727 (1999)). החזקה נוגדת היא למעשה לב-ליבה של טענת ההתיישנות במקרקעין, ובמהותה היא מלמדת על כך שהחזקתו של המחזיק כרוכה בהתנגשות אינטרסים בינו לבין מי שתובע את סילוקו (ראו: </w:t>
      </w:r>
      <w:r w:rsidRPr="009B11BF">
        <w:rPr>
          <w:rFonts w:ascii="Century" w:hAnsi="Century" w:cs="Miriam" w:hint="eastAsia"/>
          <w:b/>
          <w:spacing w:val="0"/>
          <w:szCs w:val="24"/>
          <w:rtl/>
        </w:rPr>
        <w:t>גלעד</w:t>
      </w:r>
      <w:r>
        <w:rPr>
          <w:rFonts w:ascii="Century" w:hAnsi="Century" w:cs="Miriam" w:hint="cs"/>
          <w:b/>
          <w:spacing w:val="0"/>
          <w:szCs w:val="24"/>
          <w:rtl/>
        </w:rPr>
        <w:t>, התיישנות במקרקעין</w:t>
      </w:r>
      <w:r>
        <w:rPr>
          <w:rFonts w:hint="cs"/>
          <w:rtl/>
        </w:rPr>
        <w:t xml:space="preserve">, בעמ' 207). בהיעדר החזקה נוגדת, לא מתקיימים הטעמים התומכים בהכרה בהתיישנות </w:t>
      </w:r>
      <w:r>
        <w:rPr>
          <w:rtl/>
        </w:rPr>
        <w:t>–</w:t>
      </w:r>
      <w:r>
        <w:rPr>
          <w:rFonts w:hint="cs"/>
          <w:rtl/>
        </w:rPr>
        <w:t xml:space="preserve"> לא ניתן להסיק ויתור מצד מי שלא תבע, ולא נוצר מצג שעליו יכול המחזיק להסתמך (ראו: </w:t>
      </w:r>
      <w:r>
        <w:rPr>
          <w:rFonts w:ascii="Century" w:hAnsi="Century" w:hint="cs"/>
          <w:rtl/>
        </w:rPr>
        <w:t xml:space="preserve">יהושע ויסמן "החזקה" </w:t>
      </w:r>
      <w:r w:rsidRPr="009B11BF">
        <w:rPr>
          <w:rFonts w:ascii="Century" w:hAnsi="Century" w:cs="Miriam" w:hint="eastAsia"/>
          <w:b/>
          <w:spacing w:val="0"/>
          <w:szCs w:val="24"/>
          <w:rtl/>
        </w:rPr>
        <w:t>מחקרי</w:t>
      </w:r>
      <w:r w:rsidRPr="009B11BF">
        <w:rPr>
          <w:rFonts w:ascii="Century" w:hAnsi="Century" w:cs="Miriam"/>
          <w:b/>
          <w:spacing w:val="0"/>
          <w:szCs w:val="24"/>
          <w:rtl/>
        </w:rPr>
        <w:t xml:space="preserve"> </w:t>
      </w:r>
      <w:r w:rsidRPr="009B11BF">
        <w:rPr>
          <w:rFonts w:ascii="Century" w:hAnsi="Century" w:cs="Miriam" w:hint="eastAsia"/>
          <w:b/>
          <w:spacing w:val="0"/>
          <w:szCs w:val="24"/>
          <w:rtl/>
        </w:rPr>
        <w:t>משפט</w:t>
      </w:r>
      <w:r w:rsidRPr="00227362">
        <w:rPr>
          <w:rFonts w:ascii="Century" w:hAnsi="Century" w:hint="cs"/>
          <w:rtl/>
        </w:rPr>
        <w:t xml:space="preserve"> </w:t>
      </w:r>
      <w:r>
        <w:rPr>
          <w:rFonts w:ascii="Century" w:hAnsi="Century" w:hint="cs"/>
          <w:rtl/>
        </w:rPr>
        <w:t xml:space="preserve">טו 5, 28 (1999) (להלן: </w:t>
      </w:r>
      <w:r w:rsidRPr="00DA07AE">
        <w:rPr>
          <w:rFonts w:ascii="Century" w:hAnsi="Century" w:cs="Miriam" w:hint="eastAsia"/>
          <w:b/>
          <w:spacing w:val="0"/>
          <w:szCs w:val="24"/>
          <w:rtl/>
        </w:rPr>
        <w:t>ויסמן</w:t>
      </w:r>
      <w:r w:rsidRPr="00DA07AE">
        <w:rPr>
          <w:rFonts w:ascii="Century" w:hAnsi="Century" w:cs="Miriam"/>
          <w:b/>
          <w:spacing w:val="0"/>
          <w:szCs w:val="24"/>
          <w:rtl/>
        </w:rPr>
        <w:t xml:space="preserve">, </w:t>
      </w:r>
      <w:r w:rsidRPr="00DA07AE">
        <w:rPr>
          <w:rFonts w:ascii="Century" w:hAnsi="Century" w:cs="Miriam" w:hint="eastAsia"/>
          <w:b/>
          <w:spacing w:val="0"/>
          <w:szCs w:val="24"/>
          <w:rtl/>
        </w:rPr>
        <w:t>החזקה</w:t>
      </w:r>
      <w:r>
        <w:rPr>
          <w:rFonts w:ascii="Century" w:hAnsi="Century" w:hint="cs"/>
          <w:rtl/>
        </w:rPr>
        <w:t xml:space="preserve">); </w:t>
      </w:r>
      <w:r w:rsidRPr="009B11BF">
        <w:rPr>
          <w:rFonts w:ascii="Century" w:hAnsi="Century" w:cs="Miriam" w:hint="eastAsia"/>
          <w:b/>
          <w:spacing w:val="0"/>
          <w:szCs w:val="24"/>
          <w:rtl/>
        </w:rPr>
        <w:t>לוינסון</w:t>
      </w:r>
      <w:r w:rsidRPr="009B11BF">
        <w:rPr>
          <w:rFonts w:ascii="Century" w:hAnsi="Century" w:cs="Miriam"/>
          <w:b/>
          <w:spacing w:val="0"/>
          <w:szCs w:val="24"/>
          <w:rtl/>
        </w:rPr>
        <w:t>-זמיר</w:t>
      </w:r>
      <w:r>
        <w:rPr>
          <w:rFonts w:hint="cs"/>
          <w:rtl/>
        </w:rPr>
        <w:t>, בעמ' 184).</w:t>
      </w:r>
    </w:p>
    <w:p w:rsidR="00761030" w:rsidRDefault="00761030" w:rsidP="00761030">
      <w:pPr>
        <w:pStyle w:val="Ruller41"/>
        <w:rPr>
          <w:rtl/>
        </w:rPr>
      </w:pPr>
    </w:p>
    <w:p w:rsidR="00761030" w:rsidRDefault="00761030" w:rsidP="00761030">
      <w:pPr>
        <w:pStyle w:val="Ruller41"/>
        <w:rPr>
          <w:rFonts w:ascii="Century" w:hAnsi="Century"/>
          <w:rtl/>
        </w:rPr>
      </w:pPr>
      <w:r>
        <w:rPr>
          <w:rFonts w:hint="cs"/>
          <w:rtl/>
        </w:rPr>
        <w:t xml:space="preserve">49. </w:t>
      </w:r>
      <w:r>
        <w:rPr>
          <w:rFonts w:hint="cs"/>
          <w:rtl/>
        </w:rPr>
        <w:tab/>
        <w:t xml:space="preserve">עוד היבט של דיני ההתיישנות במקרקעין שיש לו רלוונטיות רבה בהקשר הנוכחי מתבטא בסעיף 113(ב) </w:t>
      </w:r>
      <w:r>
        <w:rPr>
          <w:rFonts w:ascii="Century" w:hAnsi="Century" w:hint="cs"/>
          <w:rtl/>
        </w:rPr>
        <w:t xml:space="preserve">לחוק המקרקעין הקובע כך: </w:t>
      </w:r>
    </w:p>
    <w:p w:rsidR="00761030" w:rsidRDefault="00761030" w:rsidP="00761030">
      <w:pPr>
        <w:pStyle w:val="Ruller5"/>
        <w:spacing w:before="240" w:after="240"/>
        <w:rPr>
          <w:rtl/>
        </w:rPr>
      </w:pPr>
      <w:r>
        <w:rPr>
          <w:rFonts w:hint="cs"/>
          <w:rtl/>
        </w:rPr>
        <w:t>"</w:t>
      </w:r>
      <w:r w:rsidRPr="009E1683">
        <w:rPr>
          <w:rFonts w:hint="eastAsia"/>
          <w:rtl/>
        </w:rPr>
        <w:t>במידה</w:t>
      </w:r>
      <w:r w:rsidRPr="009E1683">
        <w:rPr>
          <w:rtl/>
        </w:rPr>
        <w:t xml:space="preserve"> </w:t>
      </w:r>
      <w:r w:rsidRPr="009E1683">
        <w:rPr>
          <w:rFonts w:hint="eastAsia"/>
          <w:rtl/>
        </w:rPr>
        <w:t>שלפי</w:t>
      </w:r>
      <w:r w:rsidRPr="009E1683">
        <w:rPr>
          <w:rtl/>
        </w:rPr>
        <w:t xml:space="preserve"> </w:t>
      </w:r>
      <w:r w:rsidRPr="009E1683">
        <w:rPr>
          <w:rFonts w:hint="eastAsia"/>
          <w:rtl/>
        </w:rPr>
        <w:t>חוק</w:t>
      </w:r>
      <w:r w:rsidRPr="009E1683">
        <w:rPr>
          <w:rtl/>
        </w:rPr>
        <w:t xml:space="preserve"> </w:t>
      </w:r>
      <w:r w:rsidRPr="009E1683">
        <w:rPr>
          <w:rFonts w:hint="eastAsia"/>
          <w:rtl/>
        </w:rPr>
        <w:t>זה</w:t>
      </w:r>
      <w:r w:rsidRPr="009E1683">
        <w:rPr>
          <w:rtl/>
        </w:rPr>
        <w:t xml:space="preserve"> </w:t>
      </w:r>
      <w:r w:rsidRPr="009E1683">
        <w:rPr>
          <w:rFonts w:hint="eastAsia"/>
          <w:rtl/>
        </w:rPr>
        <w:t>חלה</w:t>
      </w:r>
      <w:r w:rsidRPr="009E1683">
        <w:rPr>
          <w:rtl/>
        </w:rPr>
        <w:t xml:space="preserve"> </w:t>
      </w:r>
      <w:r w:rsidRPr="009E1683">
        <w:rPr>
          <w:rFonts w:hint="eastAsia"/>
          <w:rtl/>
        </w:rPr>
        <w:t>התיישנות</w:t>
      </w:r>
      <w:r w:rsidRPr="009E1683">
        <w:rPr>
          <w:rtl/>
        </w:rPr>
        <w:t xml:space="preserve"> </w:t>
      </w:r>
      <w:r w:rsidRPr="009E1683">
        <w:rPr>
          <w:rFonts w:hint="eastAsia"/>
          <w:rtl/>
        </w:rPr>
        <w:t>במקרקעי</w:t>
      </w:r>
      <w:r w:rsidRPr="009E1683">
        <w:rPr>
          <w:rtl/>
        </w:rPr>
        <w:t xml:space="preserve"> </w:t>
      </w:r>
      <w:r w:rsidRPr="009E1683">
        <w:rPr>
          <w:rFonts w:hint="eastAsia"/>
          <w:rtl/>
        </w:rPr>
        <w:t>ציבור</w:t>
      </w:r>
      <w:r w:rsidRPr="009E1683">
        <w:rPr>
          <w:rtl/>
        </w:rPr>
        <w:t xml:space="preserve"> </w:t>
      </w:r>
      <w:r w:rsidRPr="009E1683">
        <w:rPr>
          <w:rFonts w:hint="eastAsia"/>
          <w:rtl/>
        </w:rPr>
        <w:t>שאינם</w:t>
      </w:r>
      <w:r w:rsidRPr="009E1683">
        <w:rPr>
          <w:rtl/>
        </w:rPr>
        <w:t xml:space="preserve"> </w:t>
      </w:r>
      <w:r w:rsidRPr="009E1683">
        <w:rPr>
          <w:rFonts w:hint="eastAsia"/>
          <w:rtl/>
        </w:rPr>
        <w:t>מקרקעי</w:t>
      </w:r>
      <w:r w:rsidRPr="009E1683">
        <w:rPr>
          <w:rtl/>
        </w:rPr>
        <w:t xml:space="preserve"> </w:t>
      </w:r>
      <w:r w:rsidRPr="009E1683">
        <w:rPr>
          <w:rFonts w:hint="eastAsia"/>
          <w:rtl/>
        </w:rPr>
        <w:t>יעוד</w:t>
      </w:r>
      <w:r w:rsidRPr="009E1683">
        <w:rPr>
          <w:rtl/>
        </w:rPr>
        <w:t xml:space="preserve">, </w:t>
      </w:r>
      <w:r w:rsidRPr="009E1683">
        <w:rPr>
          <w:rFonts w:hint="eastAsia"/>
          <w:rtl/>
        </w:rPr>
        <w:t>לא</w:t>
      </w:r>
      <w:r w:rsidRPr="009E1683">
        <w:rPr>
          <w:rtl/>
        </w:rPr>
        <w:t xml:space="preserve"> </w:t>
      </w:r>
      <w:r w:rsidRPr="009E1683">
        <w:rPr>
          <w:rFonts w:hint="eastAsia"/>
          <w:rtl/>
        </w:rPr>
        <w:t>תתחיל</w:t>
      </w:r>
      <w:r w:rsidRPr="009E1683">
        <w:rPr>
          <w:rtl/>
        </w:rPr>
        <w:t xml:space="preserve"> </w:t>
      </w:r>
      <w:r w:rsidRPr="009E1683">
        <w:rPr>
          <w:rFonts w:hint="eastAsia"/>
          <w:rtl/>
        </w:rPr>
        <w:t>תקופת</w:t>
      </w:r>
      <w:r w:rsidRPr="009E1683">
        <w:rPr>
          <w:rtl/>
        </w:rPr>
        <w:t xml:space="preserve"> </w:t>
      </w:r>
      <w:r w:rsidRPr="009E1683">
        <w:rPr>
          <w:rFonts w:hint="eastAsia"/>
          <w:rtl/>
        </w:rPr>
        <w:t>ההתיישנות</w:t>
      </w:r>
      <w:r w:rsidRPr="009E1683">
        <w:rPr>
          <w:rtl/>
        </w:rPr>
        <w:t xml:space="preserve"> </w:t>
      </w:r>
      <w:r w:rsidRPr="009E1683">
        <w:rPr>
          <w:rFonts w:hint="eastAsia"/>
          <w:rtl/>
        </w:rPr>
        <w:t>לפני</w:t>
      </w:r>
      <w:r w:rsidRPr="009E1683">
        <w:rPr>
          <w:rtl/>
        </w:rPr>
        <w:t xml:space="preserve"> </w:t>
      </w:r>
      <w:r w:rsidRPr="009E1683">
        <w:rPr>
          <w:rFonts w:hint="eastAsia"/>
          <w:rtl/>
        </w:rPr>
        <w:t>היום</w:t>
      </w:r>
      <w:r w:rsidRPr="009E1683">
        <w:rPr>
          <w:rtl/>
        </w:rPr>
        <w:t xml:space="preserve"> </w:t>
      </w:r>
      <w:r w:rsidRPr="009E1683">
        <w:rPr>
          <w:rFonts w:hint="eastAsia"/>
          <w:rtl/>
        </w:rPr>
        <w:t>שנרשמו</w:t>
      </w:r>
      <w:r w:rsidRPr="009E1683">
        <w:rPr>
          <w:rtl/>
        </w:rPr>
        <w:t xml:space="preserve"> </w:t>
      </w:r>
      <w:r w:rsidRPr="009E1683">
        <w:rPr>
          <w:rFonts w:hint="eastAsia"/>
          <w:rtl/>
        </w:rPr>
        <w:t>על</w:t>
      </w:r>
      <w:r w:rsidRPr="009E1683">
        <w:rPr>
          <w:rtl/>
        </w:rPr>
        <w:t xml:space="preserve"> </w:t>
      </w:r>
      <w:r w:rsidRPr="009E1683">
        <w:rPr>
          <w:rFonts w:hint="eastAsia"/>
          <w:rtl/>
        </w:rPr>
        <w:t>שם</w:t>
      </w:r>
      <w:r w:rsidRPr="009E1683">
        <w:rPr>
          <w:rtl/>
        </w:rPr>
        <w:t xml:space="preserve"> </w:t>
      </w:r>
      <w:r w:rsidRPr="009E1683">
        <w:rPr>
          <w:rFonts w:hint="eastAsia"/>
          <w:rtl/>
        </w:rPr>
        <w:t>בעליהם</w:t>
      </w:r>
      <w:r>
        <w:rPr>
          <w:rFonts w:hint="cs"/>
          <w:rtl/>
        </w:rPr>
        <w:t xml:space="preserve">". </w:t>
      </w:r>
    </w:p>
    <w:p w:rsidR="00761030" w:rsidRDefault="00761030" w:rsidP="00761030">
      <w:pPr>
        <w:pStyle w:val="Ruller41"/>
        <w:rPr>
          <w:rtl/>
        </w:rPr>
      </w:pPr>
      <w:r>
        <w:rPr>
          <w:rtl/>
        </w:rPr>
        <w:tab/>
      </w:r>
      <w:r>
        <w:rPr>
          <w:rFonts w:hint="cs"/>
          <w:rtl/>
        </w:rPr>
        <w:t xml:space="preserve">על כן, במקרה שבפנינו נודעת חשיבות לשאלה האם מדובר ב"מקרקעי ציבור". אם המקרקעין הם אכן מקרקעי ציבור, כפי שקבע בית משפט השלום, מרוץ ההתיישנות יחל רק מן המועד שבו שוחררו המקרקעין לידי המשיבים. לעומת זאת, אם המקרקעין אינם מקרקעי ציבור, התקופה שבה הם נוהלו על-ידי האפוטרופוס הכללי תיכלל במרוץ ההתיישנות. </w:t>
      </w:r>
    </w:p>
    <w:p w:rsidR="00761030" w:rsidRDefault="00761030" w:rsidP="00761030">
      <w:pPr>
        <w:pStyle w:val="Ruller41"/>
        <w:rPr>
          <w:rtl/>
        </w:rPr>
      </w:pPr>
    </w:p>
    <w:p w:rsidR="00761030" w:rsidRDefault="00761030" w:rsidP="00761030">
      <w:pPr>
        <w:pStyle w:val="Ruller41"/>
        <w:rPr>
          <w:rFonts w:ascii="Century" w:hAnsi="Century" w:cs="Miriam"/>
          <w:b/>
          <w:spacing w:val="0"/>
          <w:szCs w:val="24"/>
          <w:rtl/>
        </w:rPr>
      </w:pPr>
      <w:r>
        <w:rPr>
          <w:rFonts w:ascii="Century" w:hAnsi="Century" w:cs="Miriam" w:hint="cs"/>
          <w:b/>
          <w:spacing w:val="0"/>
          <w:szCs w:val="24"/>
          <w:rtl/>
        </w:rPr>
        <w:t>מהם "מקרקעי ציבור" לצורך דיני ההתיישנות?</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50. </w:t>
      </w:r>
      <w:r>
        <w:rPr>
          <w:rFonts w:ascii="Century" w:hAnsi="Century" w:hint="cs"/>
          <w:rtl/>
        </w:rPr>
        <w:tab/>
        <w:t>הנימוק העיקרי שעל בסיסו דחה בית משפט השלום את טענת ההתיישנות של המערערים היה כי בתקופה שבה החזיק האפוטרופוס הכללי במקרקעין ועד למועד שחרורם לידי המשיבים היו המקרקעין בגדר "מקרקעי ציבור". למסקנה זו הגיע בית משפט השלום על בסיס שילובם של סעיף 3 לחוק האפוטרופוס הכללי, הקובע כי "</w:t>
      </w:r>
      <w:r w:rsidRPr="00A90B0B">
        <w:rPr>
          <w:rFonts w:ascii="Century" w:hAnsi="Century" w:hint="eastAsia"/>
          <w:rtl/>
        </w:rPr>
        <w:t>האפוטרופוס</w:t>
      </w:r>
      <w:r w:rsidRPr="00A90B0B">
        <w:rPr>
          <w:rFonts w:ascii="Century" w:hAnsi="Century"/>
          <w:rtl/>
        </w:rPr>
        <w:t xml:space="preserve"> </w:t>
      </w:r>
      <w:r w:rsidRPr="00A90B0B">
        <w:rPr>
          <w:rFonts w:ascii="Century" w:hAnsi="Century" w:hint="eastAsia"/>
          <w:rtl/>
        </w:rPr>
        <w:t>הכללי</w:t>
      </w:r>
      <w:r w:rsidRPr="00A90B0B">
        <w:rPr>
          <w:rFonts w:ascii="Century" w:hAnsi="Century"/>
          <w:rtl/>
        </w:rPr>
        <w:t xml:space="preserve"> </w:t>
      </w:r>
      <w:r w:rsidRPr="00A90B0B">
        <w:rPr>
          <w:rFonts w:ascii="Century" w:hAnsi="Century" w:hint="eastAsia"/>
          <w:rtl/>
        </w:rPr>
        <w:t>הוא</w:t>
      </w:r>
      <w:r w:rsidRPr="00A90B0B">
        <w:rPr>
          <w:rFonts w:ascii="Century" w:hAnsi="Century"/>
          <w:rtl/>
        </w:rPr>
        <w:t xml:space="preserve"> </w:t>
      </w:r>
      <w:r w:rsidRPr="00A90B0B">
        <w:rPr>
          <w:rFonts w:ascii="Century" w:hAnsi="Century" w:hint="eastAsia"/>
          <w:rtl/>
        </w:rPr>
        <w:t>תאגיד</w:t>
      </w:r>
      <w:r w:rsidRPr="00A90B0B">
        <w:rPr>
          <w:rFonts w:ascii="Century" w:hAnsi="Century"/>
          <w:rtl/>
        </w:rPr>
        <w:t xml:space="preserve">, </w:t>
      </w:r>
      <w:r w:rsidRPr="00A90B0B">
        <w:rPr>
          <w:rFonts w:ascii="Century" w:hAnsi="Century" w:hint="eastAsia"/>
          <w:rtl/>
        </w:rPr>
        <w:t>כשר</w:t>
      </w:r>
      <w:r w:rsidRPr="00A90B0B">
        <w:rPr>
          <w:rFonts w:ascii="Century" w:hAnsi="Century"/>
          <w:rtl/>
        </w:rPr>
        <w:t xml:space="preserve"> </w:t>
      </w:r>
      <w:r w:rsidRPr="00A90B0B">
        <w:rPr>
          <w:rFonts w:ascii="Century" w:hAnsi="Century" w:hint="eastAsia"/>
          <w:rtl/>
        </w:rPr>
        <w:t>לכל</w:t>
      </w:r>
      <w:r w:rsidRPr="00A90B0B">
        <w:rPr>
          <w:rFonts w:ascii="Century" w:hAnsi="Century"/>
          <w:rtl/>
        </w:rPr>
        <w:t xml:space="preserve"> </w:t>
      </w:r>
      <w:r w:rsidRPr="00A90B0B">
        <w:rPr>
          <w:rFonts w:ascii="Century" w:hAnsi="Century" w:hint="eastAsia"/>
          <w:rtl/>
        </w:rPr>
        <w:t>חובה</w:t>
      </w:r>
      <w:r w:rsidRPr="00A90B0B">
        <w:rPr>
          <w:rFonts w:ascii="Century" w:hAnsi="Century"/>
          <w:rtl/>
        </w:rPr>
        <w:t xml:space="preserve">, </w:t>
      </w:r>
      <w:r w:rsidRPr="00A90B0B">
        <w:rPr>
          <w:rFonts w:ascii="Century" w:hAnsi="Century" w:hint="eastAsia"/>
          <w:rtl/>
        </w:rPr>
        <w:t>זכות</w:t>
      </w:r>
      <w:r w:rsidRPr="00A90B0B">
        <w:rPr>
          <w:rFonts w:ascii="Century" w:hAnsi="Century"/>
          <w:rtl/>
        </w:rPr>
        <w:t xml:space="preserve"> </w:t>
      </w:r>
      <w:r w:rsidRPr="00A90B0B">
        <w:rPr>
          <w:rFonts w:ascii="Century" w:hAnsi="Century" w:hint="eastAsia"/>
          <w:rtl/>
        </w:rPr>
        <w:t>ופעולה</w:t>
      </w:r>
      <w:r w:rsidRPr="00A90B0B">
        <w:rPr>
          <w:rFonts w:ascii="Century" w:hAnsi="Century"/>
          <w:rtl/>
        </w:rPr>
        <w:t xml:space="preserve"> </w:t>
      </w:r>
      <w:r w:rsidRPr="00A90B0B">
        <w:rPr>
          <w:rFonts w:ascii="Century" w:hAnsi="Century" w:hint="eastAsia"/>
          <w:rtl/>
        </w:rPr>
        <w:t>משפטית</w:t>
      </w:r>
      <w:r>
        <w:rPr>
          <w:rFonts w:ascii="Century" w:hAnsi="Century" w:hint="cs"/>
          <w:rtl/>
        </w:rPr>
        <w:t>", וסעיף 107 לחוק המקרקעין, הקובע כי מקרקעי ציבור הם "מקרקעי ישראל כמשמעותם בחוק-יסוד: מקרקעי ישראל ומקרקעין של רשות מקומית" וכן מקרקעין "</w:t>
      </w:r>
      <w:r w:rsidRPr="009D6E01">
        <w:rPr>
          <w:rFonts w:ascii="Century" w:hAnsi="Century" w:cs="Miriam" w:hint="eastAsia"/>
          <w:b/>
          <w:spacing w:val="0"/>
          <w:szCs w:val="24"/>
          <w:rtl/>
        </w:rPr>
        <w:t>של</w:t>
      </w:r>
      <w:r w:rsidRPr="009D6E01">
        <w:rPr>
          <w:rFonts w:ascii="Century" w:hAnsi="Century" w:cs="Miriam"/>
          <w:b/>
          <w:spacing w:val="0"/>
          <w:szCs w:val="24"/>
          <w:rtl/>
        </w:rPr>
        <w:t xml:space="preserve"> </w:t>
      </w:r>
      <w:r w:rsidRPr="009D6E01">
        <w:rPr>
          <w:rFonts w:ascii="Century" w:hAnsi="Century" w:cs="Miriam" w:hint="eastAsia"/>
          <w:b/>
          <w:spacing w:val="0"/>
          <w:szCs w:val="24"/>
          <w:rtl/>
        </w:rPr>
        <w:t>תאגיד</w:t>
      </w:r>
      <w:r w:rsidRPr="009D6E01">
        <w:rPr>
          <w:rFonts w:ascii="Century" w:hAnsi="Century" w:cs="Miriam"/>
          <w:b/>
          <w:spacing w:val="0"/>
          <w:szCs w:val="24"/>
          <w:rtl/>
        </w:rPr>
        <w:t xml:space="preserve"> </w:t>
      </w:r>
      <w:r w:rsidRPr="009D6E01">
        <w:rPr>
          <w:rFonts w:ascii="Century" w:hAnsi="Century" w:cs="Miriam" w:hint="eastAsia"/>
          <w:b/>
          <w:spacing w:val="0"/>
          <w:szCs w:val="24"/>
          <w:rtl/>
        </w:rPr>
        <w:t>שהוקם</w:t>
      </w:r>
      <w:r w:rsidRPr="009D6E01">
        <w:rPr>
          <w:rFonts w:ascii="Century" w:hAnsi="Century" w:cs="Miriam"/>
          <w:b/>
          <w:spacing w:val="0"/>
          <w:szCs w:val="24"/>
          <w:rtl/>
        </w:rPr>
        <w:t xml:space="preserve"> </w:t>
      </w:r>
      <w:r w:rsidRPr="009D6E01">
        <w:rPr>
          <w:rFonts w:ascii="Century" w:hAnsi="Century" w:cs="Miriam" w:hint="eastAsia"/>
          <w:b/>
          <w:spacing w:val="0"/>
          <w:szCs w:val="24"/>
          <w:rtl/>
        </w:rPr>
        <w:t>על</w:t>
      </w:r>
      <w:r w:rsidRPr="009D6E01">
        <w:rPr>
          <w:rFonts w:ascii="Century" w:hAnsi="Century" w:cs="Miriam"/>
          <w:b/>
          <w:spacing w:val="0"/>
          <w:szCs w:val="24"/>
          <w:rtl/>
        </w:rPr>
        <w:t xml:space="preserve"> </w:t>
      </w:r>
      <w:r w:rsidRPr="009D6E01">
        <w:rPr>
          <w:rFonts w:ascii="Century" w:hAnsi="Century" w:cs="Miriam" w:hint="eastAsia"/>
          <w:b/>
          <w:spacing w:val="0"/>
          <w:szCs w:val="24"/>
          <w:rtl/>
        </w:rPr>
        <w:t>ידי</w:t>
      </w:r>
      <w:r w:rsidRPr="009D6E01">
        <w:rPr>
          <w:rFonts w:ascii="Century" w:hAnsi="Century" w:cs="Miriam"/>
          <w:b/>
          <w:spacing w:val="0"/>
          <w:szCs w:val="24"/>
          <w:rtl/>
        </w:rPr>
        <w:t xml:space="preserve"> </w:t>
      </w:r>
      <w:r w:rsidRPr="009D6E01">
        <w:rPr>
          <w:rFonts w:ascii="Century" w:hAnsi="Century" w:cs="Miriam" w:hint="eastAsia"/>
          <w:b/>
          <w:spacing w:val="0"/>
          <w:szCs w:val="24"/>
          <w:rtl/>
        </w:rPr>
        <w:t>חיקוק</w:t>
      </w:r>
      <w:r>
        <w:rPr>
          <w:rFonts w:ascii="Century" w:hAnsi="Century" w:hint="cs"/>
          <w:rtl/>
        </w:rPr>
        <w:t>". בהמשך לכך, קבע בית משפט השלום כי התקופה שבה החזיק האפוטרופוס הכללי במקרקעין לא נמנית בגדרו של מרוץ ההתיישנות, וזאת לנוכח סעיף 113(ב) לחוק המקרקעין</w:t>
      </w:r>
      <w:r>
        <w:rPr>
          <w:rFonts w:hint="cs"/>
          <w:rtl/>
        </w:rPr>
        <w:t xml:space="preserve">. </w:t>
      </w:r>
      <w:r>
        <w:rPr>
          <w:rFonts w:ascii="Century" w:hAnsi="Century" w:hint="cs"/>
          <w:rtl/>
        </w:rPr>
        <w:t xml:space="preserve">מאחר שהמקרקעין הועברו לידי המשיבים בשנת 2002, והתביעה הוגשה בשנת 2014 </w:t>
      </w:r>
      <w:r>
        <w:rPr>
          <w:rFonts w:ascii="Century" w:hAnsi="Century"/>
          <w:rtl/>
        </w:rPr>
        <w:t>–</w:t>
      </w:r>
      <w:r>
        <w:rPr>
          <w:rFonts w:ascii="Century" w:hAnsi="Century" w:hint="cs"/>
          <w:rtl/>
        </w:rPr>
        <w:t xml:space="preserve"> 12 שנים לאחר מכן </w:t>
      </w:r>
      <w:r>
        <w:rPr>
          <w:rFonts w:ascii="Century" w:hAnsi="Century"/>
          <w:rtl/>
        </w:rPr>
        <w:t>–</w:t>
      </w:r>
      <w:r>
        <w:rPr>
          <w:rFonts w:ascii="Century" w:hAnsi="Century" w:hint="cs"/>
          <w:rtl/>
        </w:rPr>
        <w:t xml:space="preserve"> קבע בית משפט השלום כי לא חלפה תקופת ההתיישנות העומדת כאמור על 15 שנים.</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51. </w:t>
      </w:r>
      <w:r>
        <w:rPr>
          <w:rFonts w:ascii="Century" w:hAnsi="Century" w:hint="cs"/>
          <w:rtl/>
        </w:rPr>
        <w:tab/>
        <w:t xml:space="preserve">במידה רבה זהו המוקד של הדיון שבפנינו. בשני הליכים אחרים שעסקו אף הם בתביעות פינוי מנכסים בסילוואן הכריע בית משפט השלום בשאלה זו באופן שונה. כך, בת"א 55978-12-15 (הנזכר לעיל </w:t>
      </w:r>
      <w:r w:rsidRPr="00E646F4">
        <w:rPr>
          <w:rFonts w:ascii="Century" w:hAnsi="Century" w:hint="cs"/>
          <w:rtl/>
        </w:rPr>
        <w:t xml:space="preserve">בפסקה </w:t>
      </w:r>
      <w:r>
        <w:rPr>
          <w:rFonts w:ascii="Century" w:hAnsi="Century" w:hint="cs"/>
          <w:rtl/>
        </w:rPr>
        <w:t>32</w:t>
      </w:r>
      <w:r w:rsidRPr="00E646F4">
        <w:rPr>
          <w:rFonts w:ascii="Century" w:hAnsi="Century" w:hint="cs"/>
          <w:rtl/>
        </w:rPr>
        <w:t>) נקבע כי "</w:t>
      </w:r>
      <w:r w:rsidRPr="00E646F4">
        <w:rPr>
          <w:rFonts w:hint="eastAsia"/>
          <w:rtl/>
        </w:rPr>
        <w:t>קבלת</w:t>
      </w:r>
      <w:r w:rsidRPr="00E646F4">
        <w:rPr>
          <w:rtl/>
        </w:rPr>
        <w:t xml:space="preserve"> </w:t>
      </w:r>
      <w:r w:rsidRPr="00E646F4">
        <w:rPr>
          <w:rFonts w:hint="eastAsia"/>
          <w:rtl/>
        </w:rPr>
        <w:t>פרשנות</w:t>
      </w:r>
      <w:r w:rsidRPr="00E646F4">
        <w:rPr>
          <w:rtl/>
        </w:rPr>
        <w:t xml:space="preserve"> </w:t>
      </w:r>
      <w:r w:rsidRPr="00E646F4">
        <w:rPr>
          <w:rFonts w:hint="eastAsia"/>
          <w:rtl/>
        </w:rPr>
        <w:t>התובעים</w:t>
      </w:r>
      <w:r w:rsidRPr="00E646F4">
        <w:rPr>
          <w:rtl/>
        </w:rPr>
        <w:t xml:space="preserve"> </w:t>
      </w:r>
      <w:r w:rsidRPr="00E646F4">
        <w:rPr>
          <w:rFonts w:hint="eastAsia"/>
          <w:rtl/>
        </w:rPr>
        <w:t>לפיה</w:t>
      </w:r>
      <w:r w:rsidRPr="00E646F4">
        <w:rPr>
          <w:rtl/>
        </w:rPr>
        <w:t xml:space="preserve"> </w:t>
      </w:r>
      <w:r w:rsidRPr="00E646F4">
        <w:rPr>
          <w:rFonts w:hint="eastAsia"/>
          <w:rtl/>
        </w:rPr>
        <w:t>יש</w:t>
      </w:r>
      <w:r w:rsidRPr="00E646F4">
        <w:rPr>
          <w:rtl/>
        </w:rPr>
        <w:t xml:space="preserve"> </w:t>
      </w:r>
      <w:r w:rsidRPr="00E646F4">
        <w:rPr>
          <w:rFonts w:hint="eastAsia"/>
          <w:rtl/>
        </w:rPr>
        <w:t>מקום</w:t>
      </w:r>
      <w:r w:rsidRPr="00E646F4">
        <w:rPr>
          <w:rtl/>
        </w:rPr>
        <w:t xml:space="preserve"> </w:t>
      </w:r>
      <w:r w:rsidRPr="00E646F4">
        <w:rPr>
          <w:rFonts w:hint="eastAsia"/>
          <w:rtl/>
        </w:rPr>
        <w:t>להרחיב</w:t>
      </w:r>
      <w:r w:rsidRPr="00E646F4">
        <w:rPr>
          <w:rtl/>
        </w:rPr>
        <w:t xml:space="preserve"> </w:t>
      </w:r>
      <w:r w:rsidRPr="00E646F4">
        <w:rPr>
          <w:rFonts w:hint="eastAsia"/>
          <w:rtl/>
        </w:rPr>
        <w:t>את</w:t>
      </w:r>
      <w:r w:rsidRPr="00E646F4">
        <w:rPr>
          <w:rtl/>
        </w:rPr>
        <w:t xml:space="preserve"> </w:t>
      </w:r>
      <w:r w:rsidRPr="00E646F4">
        <w:rPr>
          <w:rFonts w:hint="eastAsia"/>
          <w:rtl/>
        </w:rPr>
        <w:t>המונח</w:t>
      </w:r>
      <w:r w:rsidRPr="00E646F4">
        <w:rPr>
          <w:rtl/>
        </w:rPr>
        <w:t xml:space="preserve"> </w:t>
      </w:r>
      <w:r w:rsidRPr="00E646F4">
        <w:rPr>
          <w:rFonts w:hint="eastAsia"/>
          <w:rtl/>
        </w:rPr>
        <w:t>מקרקעי</w:t>
      </w:r>
      <w:r w:rsidRPr="00E646F4">
        <w:rPr>
          <w:rtl/>
        </w:rPr>
        <w:t xml:space="preserve"> </w:t>
      </w:r>
      <w:r w:rsidRPr="00E646F4">
        <w:rPr>
          <w:rFonts w:hint="eastAsia"/>
          <w:rtl/>
        </w:rPr>
        <w:t>ציבור</w:t>
      </w:r>
      <w:r w:rsidRPr="00E646F4">
        <w:rPr>
          <w:rtl/>
        </w:rPr>
        <w:t xml:space="preserve">, </w:t>
      </w:r>
      <w:r w:rsidRPr="00E646F4">
        <w:rPr>
          <w:rFonts w:hint="eastAsia"/>
          <w:rtl/>
        </w:rPr>
        <w:t>גם</w:t>
      </w:r>
      <w:r w:rsidRPr="00E646F4">
        <w:rPr>
          <w:rtl/>
        </w:rPr>
        <w:t xml:space="preserve"> </w:t>
      </w:r>
      <w:r w:rsidRPr="00E646F4">
        <w:rPr>
          <w:rFonts w:hint="eastAsia"/>
          <w:rtl/>
        </w:rPr>
        <w:t>למקרקעין</w:t>
      </w:r>
      <w:r w:rsidRPr="00E646F4">
        <w:rPr>
          <w:rtl/>
        </w:rPr>
        <w:t xml:space="preserve"> </w:t>
      </w:r>
      <w:r w:rsidRPr="00E646F4">
        <w:rPr>
          <w:rFonts w:hint="eastAsia"/>
          <w:rtl/>
        </w:rPr>
        <w:t>שהיו</w:t>
      </w:r>
      <w:r w:rsidRPr="00E646F4">
        <w:rPr>
          <w:rtl/>
        </w:rPr>
        <w:t xml:space="preserve"> </w:t>
      </w:r>
      <w:r w:rsidRPr="00E646F4">
        <w:rPr>
          <w:rFonts w:hint="eastAsia"/>
          <w:rtl/>
        </w:rPr>
        <w:t>בניהולו</w:t>
      </w:r>
      <w:r w:rsidRPr="00E646F4">
        <w:rPr>
          <w:rtl/>
        </w:rPr>
        <w:t xml:space="preserve"> </w:t>
      </w:r>
      <w:r w:rsidRPr="00E646F4">
        <w:rPr>
          <w:rFonts w:hint="eastAsia"/>
          <w:rtl/>
        </w:rPr>
        <w:t>של</w:t>
      </w:r>
      <w:r w:rsidRPr="00E646F4">
        <w:rPr>
          <w:rtl/>
        </w:rPr>
        <w:t xml:space="preserve"> </w:t>
      </w:r>
      <w:r w:rsidRPr="00E646F4">
        <w:rPr>
          <w:rFonts w:hint="eastAsia"/>
          <w:rtl/>
        </w:rPr>
        <w:t>האפוטרופוס</w:t>
      </w:r>
      <w:r w:rsidRPr="00E646F4">
        <w:rPr>
          <w:rtl/>
        </w:rPr>
        <w:t xml:space="preserve"> </w:t>
      </w:r>
      <w:r w:rsidRPr="00E646F4">
        <w:rPr>
          <w:rFonts w:hint="eastAsia"/>
          <w:rtl/>
        </w:rPr>
        <w:t>הכללי</w:t>
      </w:r>
      <w:r w:rsidRPr="00E646F4">
        <w:rPr>
          <w:rtl/>
        </w:rPr>
        <w:t xml:space="preserve">, </w:t>
      </w:r>
      <w:r w:rsidRPr="00E646F4">
        <w:rPr>
          <w:rFonts w:hint="eastAsia"/>
          <w:rtl/>
        </w:rPr>
        <w:t>יש</w:t>
      </w:r>
      <w:r w:rsidRPr="00E646F4">
        <w:rPr>
          <w:rtl/>
        </w:rPr>
        <w:t xml:space="preserve"> </w:t>
      </w:r>
      <w:r w:rsidRPr="00E646F4">
        <w:rPr>
          <w:rFonts w:hint="eastAsia"/>
          <w:rtl/>
        </w:rPr>
        <w:t>בה</w:t>
      </w:r>
      <w:r w:rsidRPr="00E646F4">
        <w:rPr>
          <w:rtl/>
        </w:rPr>
        <w:t xml:space="preserve"> </w:t>
      </w:r>
      <w:r w:rsidRPr="00E646F4">
        <w:rPr>
          <w:rFonts w:hint="eastAsia"/>
          <w:rtl/>
        </w:rPr>
        <w:t>כדי</w:t>
      </w:r>
      <w:r w:rsidRPr="00E646F4">
        <w:rPr>
          <w:rtl/>
        </w:rPr>
        <w:t xml:space="preserve"> </w:t>
      </w:r>
      <w:r w:rsidRPr="00E646F4">
        <w:rPr>
          <w:rFonts w:hint="eastAsia"/>
          <w:rtl/>
        </w:rPr>
        <w:t>להרחיב</w:t>
      </w:r>
      <w:r w:rsidRPr="00E646F4">
        <w:rPr>
          <w:rtl/>
        </w:rPr>
        <w:t xml:space="preserve"> </w:t>
      </w:r>
      <w:r w:rsidRPr="00E646F4">
        <w:rPr>
          <w:rFonts w:hint="eastAsia"/>
          <w:rtl/>
        </w:rPr>
        <w:t>יתר</w:t>
      </w:r>
      <w:r w:rsidRPr="00E646F4">
        <w:rPr>
          <w:rtl/>
        </w:rPr>
        <w:t xml:space="preserve"> </w:t>
      </w:r>
      <w:r w:rsidRPr="00E646F4">
        <w:rPr>
          <w:rFonts w:hint="eastAsia"/>
          <w:rtl/>
        </w:rPr>
        <w:t>על</w:t>
      </w:r>
      <w:r w:rsidRPr="00E646F4">
        <w:rPr>
          <w:rFonts w:hint="cs"/>
          <w:rtl/>
        </w:rPr>
        <w:t xml:space="preserve"> </w:t>
      </w:r>
      <w:r w:rsidRPr="00E646F4">
        <w:rPr>
          <w:rFonts w:hint="eastAsia"/>
          <w:rtl/>
        </w:rPr>
        <w:t>המידה</w:t>
      </w:r>
      <w:r w:rsidRPr="00E646F4">
        <w:rPr>
          <w:rtl/>
        </w:rPr>
        <w:t xml:space="preserve"> </w:t>
      </w:r>
      <w:r w:rsidRPr="00E646F4">
        <w:rPr>
          <w:rFonts w:hint="eastAsia"/>
          <w:rtl/>
        </w:rPr>
        <w:t>את</w:t>
      </w:r>
      <w:r w:rsidRPr="00E646F4">
        <w:rPr>
          <w:rtl/>
        </w:rPr>
        <w:t xml:space="preserve"> </w:t>
      </w:r>
      <w:r w:rsidRPr="00E646F4">
        <w:rPr>
          <w:rFonts w:hint="eastAsia"/>
          <w:rtl/>
        </w:rPr>
        <w:t>ההגנה</w:t>
      </w:r>
      <w:r w:rsidRPr="00E646F4">
        <w:rPr>
          <w:rtl/>
        </w:rPr>
        <w:t xml:space="preserve"> </w:t>
      </w:r>
      <w:r w:rsidRPr="00E646F4">
        <w:rPr>
          <w:rFonts w:hint="eastAsia"/>
          <w:rtl/>
        </w:rPr>
        <w:t>מפני</w:t>
      </w:r>
      <w:r w:rsidRPr="00E646F4">
        <w:rPr>
          <w:rtl/>
        </w:rPr>
        <w:t xml:space="preserve"> </w:t>
      </w:r>
      <w:r w:rsidRPr="00E646F4">
        <w:rPr>
          <w:rFonts w:hint="eastAsia"/>
          <w:rtl/>
        </w:rPr>
        <w:t>התיישנות</w:t>
      </w:r>
      <w:r w:rsidRPr="00E646F4">
        <w:rPr>
          <w:rFonts w:hint="cs"/>
          <w:rtl/>
        </w:rPr>
        <w:t>"</w:t>
      </w:r>
      <w:r w:rsidRPr="00E646F4">
        <w:rPr>
          <w:rFonts w:ascii="Century" w:hAnsi="Century" w:hint="cs"/>
          <w:rtl/>
        </w:rPr>
        <w:t xml:space="preserve">. בפסק הדין האמור אף צוין כי קיימת מחלוקת בספרות בנוגע לשאלה האם סעיף 113(ב) חל על מקרקעין לא מוסדרים. </w:t>
      </w:r>
      <w:r w:rsidRPr="00E646F4">
        <w:rPr>
          <w:rFonts w:hint="cs"/>
          <w:rtl/>
        </w:rPr>
        <w:t xml:space="preserve">יצוין, כי באותו מקרה נדחתה טענת ההתיישנות מטעם אחר </w:t>
      </w:r>
      <w:r w:rsidRPr="00E646F4">
        <w:rPr>
          <w:rtl/>
        </w:rPr>
        <w:t>–</w:t>
      </w:r>
      <w:r w:rsidRPr="00E646F4">
        <w:rPr>
          <w:rFonts w:hint="cs"/>
          <w:rtl/>
        </w:rPr>
        <w:t xml:space="preserve"> לפיו המבקשים</w:t>
      </w:r>
      <w:r>
        <w:rPr>
          <w:rFonts w:hint="cs"/>
          <w:rtl/>
        </w:rPr>
        <w:t xml:space="preserve"> באותו עניין</w:t>
      </w:r>
      <w:r w:rsidRPr="00E646F4">
        <w:rPr>
          <w:rFonts w:hint="cs"/>
          <w:rtl/>
        </w:rPr>
        <w:t xml:space="preserve"> לא הוכיחו חזקה נוגדת</w:t>
      </w:r>
      <w:r w:rsidRPr="00E646F4">
        <w:rPr>
          <w:rFonts w:ascii="Century" w:hAnsi="Century" w:hint="cs"/>
          <w:rtl/>
        </w:rPr>
        <w:t xml:space="preserve">. על פסק דין זה הוגש ערעור לבית המשפט המחוזי, שהדיון בו עוכב עד להכרעה בבקשת רשות הערעור דנן, בהתחשב בזהות הסוגיות המשפטיות המתעוררות בו (ע"א 8086-03-20, השופטות </w:t>
      </w:r>
      <w:r w:rsidRPr="00E646F4">
        <w:rPr>
          <w:rFonts w:ascii="Century" w:hAnsi="Century" w:cs="Miriam" w:hint="eastAsia"/>
          <w:b/>
          <w:spacing w:val="0"/>
          <w:szCs w:val="24"/>
          <w:rtl/>
        </w:rPr>
        <w:t>ג</w:t>
      </w:r>
      <w:r w:rsidRPr="00E646F4">
        <w:rPr>
          <w:rFonts w:ascii="Century" w:hAnsi="Century" w:cs="Miriam"/>
          <w:b/>
          <w:spacing w:val="0"/>
          <w:szCs w:val="24"/>
          <w:rtl/>
        </w:rPr>
        <w:t xml:space="preserve">' </w:t>
      </w:r>
      <w:r w:rsidRPr="00E646F4">
        <w:rPr>
          <w:rFonts w:ascii="Century" w:hAnsi="Century" w:cs="Miriam" w:hint="eastAsia"/>
          <w:b/>
          <w:spacing w:val="0"/>
          <w:szCs w:val="24"/>
          <w:rtl/>
        </w:rPr>
        <w:t>כנפי</w:t>
      </w:r>
      <w:r w:rsidRPr="00E646F4">
        <w:rPr>
          <w:rFonts w:ascii="Century" w:hAnsi="Century" w:cs="Miriam"/>
          <w:b/>
          <w:spacing w:val="0"/>
          <w:szCs w:val="24"/>
          <w:rtl/>
        </w:rPr>
        <w:t>-</w:t>
      </w:r>
      <w:r w:rsidRPr="00E646F4">
        <w:rPr>
          <w:rFonts w:ascii="Century" w:hAnsi="Century" w:cs="Miriam" w:hint="eastAsia"/>
          <w:b/>
          <w:spacing w:val="0"/>
          <w:szCs w:val="24"/>
          <w:rtl/>
        </w:rPr>
        <w:t>שטייניץ</w:t>
      </w:r>
      <w:r w:rsidRPr="00E646F4">
        <w:rPr>
          <w:rFonts w:ascii="Century" w:hAnsi="Century" w:hint="cs"/>
          <w:rtl/>
        </w:rPr>
        <w:t xml:space="preserve"> ו-</w:t>
      </w:r>
      <w:r w:rsidRPr="00E646F4">
        <w:rPr>
          <w:rFonts w:ascii="Century" w:hAnsi="Century" w:cs="Miriam" w:hint="eastAsia"/>
          <w:b/>
          <w:spacing w:val="0"/>
          <w:szCs w:val="24"/>
          <w:rtl/>
        </w:rPr>
        <w:t>ד</w:t>
      </w:r>
      <w:r w:rsidRPr="00E646F4">
        <w:rPr>
          <w:rFonts w:ascii="Century" w:hAnsi="Century" w:cs="Miriam"/>
          <w:b/>
          <w:spacing w:val="0"/>
          <w:szCs w:val="24"/>
          <w:rtl/>
        </w:rPr>
        <w:t xml:space="preserve">' </w:t>
      </w:r>
      <w:r w:rsidRPr="00E646F4">
        <w:rPr>
          <w:rFonts w:ascii="Century" w:hAnsi="Century" w:cs="Miriam" w:hint="eastAsia"/>
          <w:b/>
          <w:spacing w:val="0"/>
          <w:szCs w:val="24"/>
          <w:rtl/>
        </w:rPr>
        <w:t>כהן</w:t>
      </w:r>
      <w:r w:rsidRPr="00E646F4">
        <w:rPr>
          <w:rFonts w:ascii="Century" w:hAnsi="Century" w:cs="Miriam"/>
          <w:b/>
          <w:spacing w:val="0"/>
          <w:szCs w:val="24"/>
          <w:rtl/>
        </w:rPr>
        <w:t>-</w:t>
      </w:r>
      <w:r w:rsidRPr="00E646F4">
        <w:rPr>
          <w:rFonts w:ascii="Century" w:hAnsi="Century" w:cs="Miriam" w:hint="eastAsia"/>
          <w:b/>
          <w:spacing w:val="0"/>
          <w:szCs w:val="24"/>
          <w:rtl/>
        </w:rPr>
        <w:t>לקח</w:t>
      </w:r>
      <w:r w:rsidRPr="00E646F4">
        <w:rPr>
          <w:rFonts w:ascii="Century" w:hAnsi="Century" w:hint="cs"/>
          <w:rtl/>
        </w:rPr>
        <w:t xml:space="preserve"> והשופט </w:t>
      </w:r>
      <w:r w:rsidRPr="00E646F4">
        <w:rPr>
          <w:rFonts w:ascii="Century" w:hAnsi="Century" w:cs="Miriam" w:hint="eastAsia"/>
          <w:b/>
          <w:spacing w:val="0"/>
          <w:szCs w:val="24"/>
          <w:rtl/>
        </w:rPr>
        <w:t>ד</w:t>
      </w:r>
      <w:r w:rsidRPr="00E646F4">
        <w:rPr>
          <w:rFonts w:ascii="Century" w:hAnsi="Century" w:cs="Miriam"/>
          <w:b/>
          <w:spacing w:val="0"/>
          <w:szCs w:val="24"/>
          <w:rtl/>
        </w:rPr>
        <w:t xml:space="preserve">' </w:t>
      </w:r>
      <w:r w:rsidRPr="00E646F4">
        <w:rPr>
          <w:rFonts w:ascii="Century" w:hAnsi="Century" w:cs="Miriam" w:hint="eastAsia"/>
          <w:b/>
          <w:spacing w:val="0"/>
          <w:szCs w:val="24"/>
          <w:rtl/>
        </w:rPr>
        <w:t>גדעוני</w:t>
      </w:r>
      <w:r w:rsidRPr="00E646F4">
        <w:rPr>
          <w:rFonts w:ascii="Century" w:hAnsi="Century" w:hint="cs"/>
          <w:rtl/>
        </w:rPr>
        <w:t xml:space="preserve">). כמו כן, בת"א 35534-02-16 (הנזכר לעיל בפסקה </w:t>
      </w:r>
      <w:r>
        <w:rPr>
          <w:rFonts w:ascii="Century" w:hAnsi="Century" w:hint="cs"/>
          <w:rtl/>
        </w:rPr>
        <w:t>27</w:t>
      </w:r>
      <w:r w:rsidRPr="00E646F4">
        <w:rPr>
          <w:rFonts w:ascii="Century" w:hAnsi="Century" w:hint="cs"/>
          <w:rtl/>
        </w:rPr>
        <w:t>) קבע בית משפט השלום באופן דומה כי אין להחיל את</w:t>
      </w:r>
      <w:r>
        <w:rPr>
          <w:rFonts w:ascii="Century" w:hAnsi="Century" w:hint="cs"/>
          <w:rtl/>
        </w:rPr>
        <w:t xml:space="preserve"> סעיף 113(ב) לחוק המקרקעין על נכסים שהוקנו לאפוטרופוס הכללי. מכל מקום, גם שם נדחתה טענת ההתיישנות על בסיס הקביעה כי המחזיקים במקרקעין לא הוכיחו החזקה נוגדת. כפי שכבר צוין, ערעור שהוגש על פסק דין זה לבית המשפט המחוזי נדחה. בית המשפט המחוזי ציין בפסק דינו כי מאחר שלא מצא מקום לקבל את הערעור, ממילא מתייתר הצורך לדון בטענות שנסבו על תחולתו של סעיף 113(ב) לחוק המקרקעין בנסיבות העניין (ע"א </w:t>
      </w:r>
      <w:r>
        <w:rPr>
          <w:rFonts w:hint="cs"/>
          <w:rtl/>
        </w:rPr>
        <w:t>8727-05-20</w:t>
      </w:r>
      <w:r>
        <w:rPr>
          <w:rFonts w:ascii="Century" w:hAnsi="Century" w:hint="cs"/>
          <w:rtl/>
        </w:rPr>
        <w:t xml:space="preserve">, השופטים </w:t>
      </w:r>
      <w:r w:rsidRPr="00DA07AE">
        <w:rPr>
          <w:rFonts w:ascii="Century" w:hAnsi="Century" w:cs="Miriam" w:hint="eastAsia"/>
          <w:b/>
          <w:spacing w:val="0"/>
          <w:szCs w:val="24"/>
          <w:rtl/>
        </w:rPr>
        <w:t>א</w:t>
      </w:r>
      <w:r w:rsidRPr="00DA07AE">
        <w:rPr>
          <w:rFonts w:ascii="Century" w:hAnsi="Century" w:cs="Miriam"/>
          <w:b/>
          <w:spacing w:val="0"/>
          <w:szCs w:val="24"/>
          <w:rtl/>
        </w:rPr>
        <w:t xml:space="preserve">' </w:t>
      </w:r>
      <w:r>
        <w:rPr>
          <w:rFonts w:ascii="Century" w:hAnsi="Century" w:cs="Miriam" w:hint="cs"/>
          <w:b/>
          <w:spacing w:val="0"/>
          <w:szCs w:val="24"/>
          <w:rtl/>
        </w:rPr>
        <w:t>דר</w:t>
      </w:r>
      <w:r w:rsidRPr="00DA07AE">
        <w:rPr>
          <w:rFonts w:ascii="Century" w:hAnsi="Century" w:cs="Miriam" w:hint="eastAsia"/>
          <w:b/>
          <w:spacing w:val="0"/>
          <w:szCs w:val="24"/>
          <w:rtl/>
        </w:rPr>
        <w:t>אל</w:t>
      </w:r>
      <w:r>
        <w:rPr>
          <w:rFonts w:ascii="Century" w:hAnsi="Century" w:hint="cs"/>
          <w:rtl/>
        </w:rPr>
        <w:t xml:space="preserve">, </w:t>
      </w:r>
      <w:r w:rsidRPr="00DA07AE">
        <w:rPr>
          <w:rFonts w:ascii="Century" w:hAnsi="Century" w:cs="Miriam" w:hint="eastAsia"/>
          <w:b/>
          <w:spacing w:val="0"/>
          <w:szCs w:val="24"/>
          <w:rtl/>
        </w:rPr>
        <w:t>ע</w:t>
      </w:r>
      <w:r w:rsidRPr="00DA07AE">
        <w:rPr>
          <w:rFonts w:ascii="Century" w:hAnsi="Century" w:cs="Miriam"/>
          <w:b/>
          <w:spacing w:val="0"/>
          <w:szCs w:val="24"/>
          <w:rtl/>
        </w:rPr>
        <w:t xml:space="preserve">' </w:t>
      </w:r>
      <w:r w:rsidRPr="00DA07AE">
        <w:rPr>
          <w:rFonts w:ascii="Century" w:hAnsi="Century" w:cs="Miriam" w:hint="eastAsia"/>
          <w:b/>
          <w:spacing w:val="0"/>
          <w:szCs w:val="24"/>
          <w:rtl/>
        </w:rPr>
        <w:t>זינגר</w:t>
      </w:r>
      <w:r>
        <w:rPr>
          <w:rFonts w:ascii="Century" w:hAnsi="Century" w:hint="cs"/>
          <w:rtl/>
        </w:rPr>
        <w:t xml:space="preserve"> ו-</w:t>
      </w:r>
      <w:r w:rsidRPr="00DA07AE">
        <w:rPr>
          <w:rFonts w:ascii="Century" w:hAnsi="Century" w:cs="Miriam" w:hint="eastAsia"/>
          <w:b/>
          <w:spacing w:val="0"/>
          <w:szCs w:val="24"/>
          <w:rtl/>
        </w:rPr>
        <w:t>א</w:t>
      </w:r>
      <w:r w:rsidRPr="00DA07AE">
        <w:rPr>
          <w:rFonts w:ascii="Century" w:hAnsi="Century" w:cs="Miriam"/>
          <w:b/>
          <w:spacing w:val="0"/>
          <w:szCs w:val="24"/>
          <w:rtl/>
        </w:rPr>
        <w:t xml:space="preserve">' </w:t>
      </w:r>
      <w:r w:rsidRPr="00DA07AE">
        <w:rPr>
          <w:rFonts w:ascii="Century" w:hAnsi="Century" w:cs="Miriam" w:hint="eastAsia"/>
          <w:b/>
          <w:spacing w:val="0"/>
          <w:szCs w:val="24"/>
          <w:rtl/>
        </w:rPr>
        <w:t>רון</w:t>
      </w:r>
      <w:r>
        <w:rPr>
          <w:rFonts w:ascii="Century" w:hAnsi="Century" w:hint="cs"/>
          <w:rtl/>
        </w:rPr>
        <w:t xml:space="preserve">. בקשת רשות ערעור שהוגשה על פסק הדין תלויה ועומדת בפני בית משפט זה (רע"א 8858/20, המשנה לנשיאה </w:t>
      </w:r>
      <w:r w:rsidRPr="00540625">
        <w:rPr>
          <w:rFonts w:ascii="Century" w:hAnsi="Century" w:cs="Miriam" w:hint="eastAsia"/>
          <w:b/>
          <w:spacing w:val="0"/>
          <w:szCs w:val="24"/>
          <w:rtl/>
        </w:rPr>
        <w:t>ע</w:t>
      </w:r>
      <w:r w:rsidRPr="00540625">
        <w:rPr>
          <w:rFonts w:ascii="Century" w:hAnsi="Century" w:cs="Miriam"/>
          <w:b/>
          <w:spacing w:val="0"/>
          <w:szCs w:val="24"/>
          <w:rtl/>
        </w:rPr>
        <w:t xml:space="preserve">' </w:t>
      </w:r>
      <w:r w:rsidRPr="00540625">
        <w:rPr>
          <w:rFonts w:ascii="Century" w:hAnsi="Century" w:cs="Miriam" w:hint="eastAsia"/>
          <w:b/>
          <w:spacing w:val="0"/>
          <w:szCs w:val="24"/>
          <w:rtl/>
        </w:rPr>
        <w:t>פוגלמן</w:t>
      </w:r>
      <w:r>
        <w:rPr>
          <w:rFonts w:ascii="Century" w:hAnsi="Century" w:hint="cs"/>
          <w:rtl/>
        </w:rPr>
        <w:t xml:space="preserve">)). המדובר אפוא בשאלה משפטית-פרשנית שניתנו לה תשובות סותרות בערכאות הדיוניות ואף כזו שיש לה השלכות על מקרים רבים נוספים. חרף זאת, נמנע היועץ המשפטי לממשלה מלחוות בה את עמדתו. בשלב הנוכחי, נותר לנו לבחון, בהתאם ללשון החוק ותכליתו, מה התשובה הנכונה לה (לפרשנות תכליתית בהקשרם של דיני ההתיישנות, ראו למשל: בג"ץ 6972/69 </w:t>
      </w:r>
      <w:r w:rsidRPr="00E9603D">
        <w:rPr>
          <w:rFonts w:ascii="Century" w:hAnsi="Century" w:cs="Miriam" w:hint="eastAsia"/>
          <w:b/>
          <w:spacing w:val="0"/>
          <w:szCs w:val="24"/>
          <w:rtl/>
        </w:rPr>
        <w:t>התנועה</w:t>
      </w:r>
      <w:r w:rsidRPr="00E9603D">
        <w:rPr>
          <w:rFonts w:ascii="Century" w:hAnsi="Century" w:cs="Miriam"/>
          <w:b/>
          <w:spacing w:val="0"/>
          <w:szCs w:val="24"/>
          <w:rtl/>
        </w:rPr>
        <w:t xml:space="preserve"> </w:t>
      </w:r>
      <w:r w:rsidRPr="00E9603D">
        <w:rPr>
          <w:rFonts w:ascii="Century" w:hAnsi="Century" w:cs="Miriam" w:hint="eastAsia"/>
          <w:b/>
          <w:spacing w:val="0"/>
          <w:szCs w:val="24"/>
          <w:rtl/>
        </w:rPr>
        <w:t>לאיכות</w:t>
      </w:r>
      <w:r w:rsidRPr="00E9603D">
        <w:rPr>
          <w:rFonts w:ascii="Century" w:hAnsi="Century" w:cs="Miriam"/>
          <w:b/>
          <w:spacing w:val="0"/>
          <w:szCs w:val="24"/>
          <w:rtl/>
        </w:rPr>
        <w:t xml:space="preserve"> </w:t>
      </w:r>
      <w:r w:rsidRPr="00E9603D">
        <w:rPr>
          <w:rFonts w:ascii="Century" w:hAnsi="Century" w:cs="Miriam" w:hint="eastAsia"/>
          <w:b/>
          <w:spacing w:val="0"/>
          <w:szCs w:val="24"/>
          <w:rtl/>
        </w:rPr>
        <w:t>השלטון</w:t>
      </w:r>
      <w:r w:rsidRPr="00E9603D">
        <w:rPr>
          <w:rFonts w:ascii="Century" w:hAnsi="Century" w:cs="Miriam"/>
          <w:b/>
          <w:spacing w:val="0"/>
          <w:szCs w:val="24"/>
          <w:rtl/>
        </w:rPr>
        <w:t xml:space="preserve"> </w:t>
      </w:r>
      <w:r w:rsidRPr="00E9603D">
        <w:rPr>
          <w:rFonts w:ascii="Century" w:hAnsi="Century" w:cs="Miriam" w:hint="eastAsia"/>
          <w:b/>
          <w:spacing w:val="0"/>
          <w:szCs w:val="24"/>
          <w:rtl/>
        </w:rPr>
        <w:t>נ</w:t>
      </w:r>
      <w:r w:rsidRPr="00E9603D">
        <w:rPr>
          <w:rFonts w:ascii="Century" w:hAnsi="Century" w:cs="Miriam"/>
          <w:b/>
          <w:spacing w:val="0"/>
          <w:szCs w:val="24"/>
          <w:rtl/>
        </w:rPr>
        <w:t xml:space="preserve">' </w:t>
      </w:r>
      <w:r w:rsidRPr="00E9603D">
        <w:rPr>
          <w:rFonts w:ascii="Century" w:hAnsi="Century" w:cs="Miriam" w:hint="eastAsia"/>
          <w:b/>
          <w:spacing w:val="0"/>
          <w:szCs w:val="24"/>
          <w:rtl/>
        </w:rPr>
        <w:t>היועץ</w:t>
      </w:r>
      <w:r w:rsidRPr="00E9603D">
        <w:rPr>
          <w:rFonts w:ascii="Century" w:hAnsi="Century" w:cs="Miriam"/>
          <w:b/>
          <w:spacing w:val="0"/>
          <w:szCs w:val="24"/>
          <w:rtl/>
        </w:rPr>
        <w:t xml:space="preserve"> </w:t>
      </w:r>
      <w:r w:rsidRPr="00E9603D">
        <w:rPr>
          <w:rFonts w:ascii="Century" w:hAnsi="Century" w:cs="Miriam" w:hint="eastAsia"/>
          <w:b/>
          <w:spacing w:val="0"/>
          <w:szCs w:val="24"/>
          <w:rtl/>
        </w:rPr>
        <w:t>המשפטי</w:t>
      </w:r>
      <w:r w:rsidRPr="00E9603D">
        <w:rPr>
          <w:rFonts w:ascii="Century" w:hAnsi="Century" w:cs="Miriam"/>
          <w:b/>
          <w:spacing w:val="0"/>
          <w:szCs w:val="24"/>
          <w:rtl/>
        </w:rPr>
        <w:t xml:space="preserve"> </w:t>
      </w:r>
      <w:r w:rsidRPr="00E9603D">
        <w:rPr>
          <w:rFonts w:ascii="Century" w:hAnsi="Century" w:cs="Miriam" w:hint="eastAsia"/>
          <w:b/>
          <w:spacing w:val="0"/>
          <w:szCs w:val="24"/>
          <w:rtl/>
        </w:rPr>
        <w:t>לממשלה</w:t>
      </w:r>
      <w:r>
        <w:rPr>
          <w:rFonts w:ascii="Century" w:hAnsi="Century" w:hint="cs"/>
          <w:rtl/>
        </w:rPr>
        <w:t xml:space="preserve">, פ"ד נא(2) 757, 775 (1997); ע"א 8301/98 </w:t>
      </w:r>
      <w:r w:rsidRPr="00E9603D">
        <w:rPr>
          <w:rFonts w:ascii="Century" w:hAnsi="Century" w:cs="Miriam" w:hint="eastAsia"/>
          <w:b/>
          <w:spacing w:val="0"/>
          <w:szCs w:val="24"/>
          <w:rtl/>
        </w:rPr>
        <w:t>אנואר</w:t>
      </w:r>
      <w:r w:rsidRPr="00E9603D">
        <w:rPr>
          <w:rFonts w:ascii="Century" w:hAnsi="Century" w:cs="Miriam"/>
          <w:b/>
          <w:spacing w:val="0"/>
          <w:szCs w:val="24"/>
          <w:rtl/>
        </w:rPr>
        <w:t xml:space="preserve"> </w:t>
      </w:r>
      <w:r w:rsidRPr="00E9603D">
        <w:rPr>
          <w:rFonts w:ascii="Century" w:hAnsi="Century" w:cs="Miriam" w:hint="eastAsia"/>
          <w:b/>
          <w:spacing w:val="0"/>
          <w:szCs w:val="24"/>
          <w:rtl/>
        </w:rPr>
        <w:t>נ</w:t>
      </w:r>
      <w:r w:rsidRPr="00E9603D">
        <w:rPr>
          <w:rFonts w:ascii="Century" w:hAnsi="Century" w:cs="Miriam"/>
          <w:b/>
          <w:spacing w:val="0"/>
          <w:szCs w:val="24"/>
          <w:rtl/>
        </w:rPr>
        <w:t xml:space="preserve">' </w:t>
      </w:r>
      <w:r w:rsidRPr="00E9603D">
        <w:rPr>
          <w:rFonts w:ascii="Century" w:hAnsi="Century" w:cs="Miriam" w:hint="eastAsia"/>
          <w:b/>
          <w:spacing w:val="0"/>
          <w:szCs w:val="24"/>
          <w:rtl/>
        </w:rPr>
        <w:t>ש</w:t>
      </w:r>
      <w:r w:rsidRPr="00E9603D">
        <w:rPr>
          <w:rFonts w:ascii="Century" w:hAnsi="Century" w:cs="Miriam"/>
          <w:b/>
          <w:spacing w:val="0"/>
          <w:szCs w:val="24"/>
          <w:rtl/>
        </w:rPr>
        <w:t>.</w:t>
      </w:r>
      <w:r w:rsidRPr="00E9603D">
        <w:rPr>
          <w:rFonts w:ascii="Century" w:hAnsi="Century" w:cs="Miriam" w:hint="eastAsia"/>
          <w:b/>
          <w:spacing w:val="0"/>
          <w:szCs w:val="24"/>
          <w:rtl/>
        </w:rPr>
        <w:t>א</w:t>
      </w:r>
      <w:r w:rsidRPr="00E9603D">
        <w:rPr>
          <w:rFonts w:ascii="Century" w:hAnsi="Century" w:cs="Miriam"/>
          <w:b/>
          <w:spacing w:val="0"/>
          <w:szCs w:val="24"/>
          <w:rtl/>
        </w:rPr>
        <w:t>.</w:t>
      </w:r>
      <w:r w:rsidRPr="00E9603D">
        <w:rPr>
          <w:rFonts w:ascii="Century" w:hAnsi="Century" w:cs="Miriam" w:hint="eastAsia"/>
          <w:b/>
          <w:spacing w:val="0"/>
          <w:szCs w:val="24"/>
          <w:rtl/>
        </w:rPr>
        <w:t>פ</w:t>
      </w:r>
      <w:r w:rsidRPr="00E9603D">
        <w:rPr>
          <w:rFonts w:ascii="Century" w:hAnsi="Century" w:cs="Miriam"/>
          <w:b/>
          <w:spacing w:val="0"/>
          <w:szCs w:val="24"/>
          <w:rtl/>
        </w:rPr>
        <w:t xml:space="preserve"> </w:t>
      </w:r>
      <w:r w:rsidRPr="00E9603D">
        <w:rPr>
          <w:rFonts w:ascii="Century" w:hAnsi="Century" w:cs="Miriam" w:hint="eastAsia"/>
          <w:b/>
          <w:spacing w:val="0"/>
          <w:szCs w:val="24"/>
          <w:rtl/>
        </w:rPr>
        <w:t>בע</w:t>
      </w:r>
      <w:r w:rsidRPr="00E9603D">
        <w:rPr>
          <w:rFonts w:ascii="Century" w:hAnsi="Century" w:cs="Miriam"/>
          <w:b/>
          <w:spacing w:val="0"/>
          <w:szCs w:val="24"/>
          <w:rtl/>
        </w:rPr>
        <w:t>"</w:t>
      </w:r>
      <w:r w:rsidRPr="00E9603D">
        <w:rPr>
          <w:rFonts w:ascii="Century" w:hAnsi="Century" w:cs="Miriam" w:hint="eastAsia"/>
          <w:b/>
          <w:spacing w:val="0"/>
          <w:szCs w:val="24"/>
          <w:rtl/>
        </w:rPr>
        <w:t>מ</w:t>
      </w:r>
      <w:r>
        <w:rPr>
          <w:rFonts w:ascii="Century" w:hAnsi="Century" w:hint="cs"/>
          <w:rtl/>
        </w:rPr>
        <w:t xml:space="preserve">, פ"ד נו(3) 345, 351 (2002); </w:t>
      </w:r>
      <w:r w:rsidRPr="00D50FB7">
        <w:rPr>
          <w:rFonts w:ascii="Century" w:hAnsi="Century" w:hint="eastAsia"/>
          <w:rtl/>
        </w:rPr>
        <w:t>ע</w:t>
      </w:r>
      <w:r>
        <w:rPr>
          <w:rFonts w:ascii="Century" w:hAnsi="Century" w:hint="cs"/>
          <w:rtl/>
        </w:rPr>
        <w:t>"</w:t>
      </w:r>
      <w:r w:rsidRPr="00D50FB7">
        <w:rPr>
          <w:rFonts w:ascii="Century" w:hAnsi="Century" w:hint="eastAsia"/>
          <w:rtl/>
        </w:rPr>
        <w:t>א</w:t>
      </w:r>
      <w:r w:rsidRPr="00D50FB7">
        <w:rPr>
          <w:rFonts w:ascii="Century" w:hAnsi="Century"/>
          <w:rtl/>
        </w:rPr>
        <w:t xml:space="preserve"> 2206/08 </w:t>
      </w:r>
      <w:r w:rsidRPr="00E9603D">
        <w:rPr>
          <w:rFonts w:ascii="Century" w:hAnsi="Century" w:cs="Miriam" w:hint="eastAsia"/>
          <w:b/>
          <w:spacing w:val="0"/>
          <w:szCs w:val="24"/>
          <w:rtl/>
        </w:rPr>
        <w:t>סיגמן</w:t>
      </w:r>
      <w:r w:rsidRPr="00E9603D">
        <w:rPr>
          <w:rFonts w:ascii="Century" w:hAnsi="Century" w:cs="Miriam"/>
          <w:b/>
          <w:spacing w:val="0"/>
          <w:szCs w:val="24"/>
          <w:rtl/>
        </w:rPr>
        <w:t xml:space="preserve"> </w:t>
      </w:r>
      <w:r w:rsidRPr="00E9603D">
        <w:rPr>
          <w:rFonts w:ascii="Century" w:hAnsi="Century" w:cs="Miriam" w:hint="eastAsia"/>
          <w:b/>
          <w:spacing w:val="0"/>
          <w:szCs w:val="24"/>
          <w:rtl/>
        </w:rPr>
        <w:t>נ</w:t>
      </w:r>
      <w:r w:rsidRPr="00E9603D">
        <w:rPr>
          <w:rFonts w:ascii="Century" w:hAnsi="Century" w:cs="Miriam"/>
          <w:b/>
          <w:spacing w:val="0"/>
          <w:szCs w:val="24"/>
          <w:rtl/>
        </w:rPr>
        <w:t xml:space="preserve">' </w:t>
      </w:r>
      <w:r w:rsidRPr="00E9603D">
        <w:rPr>
          <w:rFonts w:ascii="Century" w:hAnsi="Century" w:cs="Miriam" w:hint="eastAsia"/>
          <w:b/>
          <w:spacing w:val="0"/>
          <w:szCs w:val="24"/>
          <w:rtl/>
        </w:rPr>
        <w:t>דובק</w:t>
      </w:r>
      <w:r w:rsidRPr="00E9603D">
        <w:rPr>
          <w:rFonts w:ascii="Century" w:hAnsi="Century" w:cs="Miriam"/>
          <w:b/>
          <w:spacing w:val="0"/>
          <w:szCs w:val="24"/>
          <w:rtl/>
        </w:rPr>
        <w:t xml:space="preserve"> </w:t>
      </w:r>
      <w:r w:rsidRPr="00E9603D">
        <w:rPr>
          <w:rFonts w:ascii="Century" w:hAnsi="Century" w:cs="Miriam" w:hint="eastAsia"/>
          <w:b/>
          <w:spacing w:val="0"/>
          <w:szCs w:val="24"/>
          <w:rtl/>
        </w:rPr>
        <w:t>בע</w:t>
      </w:r>
      <w:r w:rsidRPr="00E9603D">
        <w:rPr>
          <w:rFonts w:ascii="Century" w:hAnsi="Century" w:cs="Miriam"/>
          <w:b/>
          <w:spacing w:val="0"/>
          <w:szCs w:val="24"/>
          <w:rtl/>
        </w:rPr>
        <w:t>"</w:t>
      </w:r>
      <w:r w:rsidRPr="00E9603D">
        <w:rPr>
          <w:rFonts w:ascii="Century" w:hAnsi="Century" w:cs="Miriam" w:hint="eastAsia"/>
          <w:b/>
          <w:spacing w:val="0"/>
          <w:szCs w:val="24"/>
          <w:rtl/>
        </w:rPr>
        <w:t>מ</w:t>
      </w:r>
      <w:r>
        <w:rPr>
          <w:rFonts w:ascii="Century" w:hAnsi="Century" w:hint="cs"/>
          <w:rtl/>
        </w:rPr>
        <w:t xml:space="preserve">, פסקה 12 לפסק דינה של השופטת </w:t>
      </w:r>
      <w:r w:rsidRPr="00E9603D">
        <w:rPr>
          <w:rFonts w:ascii="Century" w:hAnsi="Century" w:cs="Miriam" w:hint="eastAsia"/>
          <w:b/>
          <w:spacing w:val="0"/>
          <w:szCs w:val="24"/>
          <w:rtl/>
        </w:rPr>
        <w:t>ע</w:t>
      </w:r>
      <w:r w:rsidRPr="00E9603D">
        <w:rPr>
          <w:rFonts w:ascii="Century" w:hAnsi="Century" w:cs="Miriam"/>
          <w:b/>
          <w:spacing w:val="0"/>
          <w:szCs w:val="24"/>
          <w:rtl/>
        </w:rPr>
        <w:t xml:space="preserve">' </w:t>
      </w:r>
      <w:r w:rsidRPr="00E9603D">
        <w:rPr>
          <w:rFonts w:ascii="Century" w:hAnsi="Century" w:cs="Miriam" w:hint="eastAsia"/>
          <w:b/>
          <w:spacing w:val="0"/>
          <w:szCs w:val="24"/>
          <w:rtl/>
        </w:rPr>
        <w:t>ארבל</w:t>
      </w:r>
      <w:r w:rsidRPr="00473432">
        <w:rPr>
          <w:rFonts w:ascii="Century" w:hAnsi="Century" w:hint="cs"/>
          <w:rtl/>
        </w:rPr>
        <w:t xml:space="preserve"> </w:t>
      </w:r>
      <w:r>
        <w:rPr>
          <w:rFonts w:ascii="Century" w:hAnsi="Century" w:hint="cs"/>
          <w:rtl/>
        </w:rPr>
        <w:t xml:space="preserve">(11.7.2010); רע"א 4302/16 </w:t>
      </w:r>
      <w:r w:rsidRPr="00E9603D">
        <w:rPr>
          <w:rFonts w:ascii="Century" w:hAnsi="Century" w:cs="Miriam" w:hint="eastAsia"/>
          <w:b/>
          <w:spacing w:val="0"/>
          <w:szCs w:val="24"/>
          <w:rtl/>
        </w:rPr>
        <w:t>עיריית</w:t>
      </w:r>
      <w:r w:rsidRPr="00E9603D">
        <w:rPr>
          <w:rFonts w:ascii="Century" w:hAnsi="Century" w:cs="Miriam"/>
          <w:b/>
          <w:spacing w:val="0"/>
          <w:szCs w:val="24"/>
          <w:rtl/>
        </w:rPr>
        <w:t xml:space="preserve"> </w:t>
      </w:r>
      <w:r w:rsidRPr="00E9603D">
        <w:rPr>
          <w:rFonts w:ascii="Century" w:hAnsi="Century" w:cs="Miriam" w:hint="eastAsia"/>
          <w:b/>
          <w:spacing w:val="0"/>
          <w:szCs w:val="24"/>
          <w:rtl/>
        </w:rPr>
        <w:t>ירושלים</w:t>
      </w:r>
      <w:r w:rsidRPr="00E9603D">
        <w:rPr>
          <w:rFonts w:ascii="Century" w:hAnsi="Century" w:cs="Miriam"/>
          <w:b/>
          <w:spacing w:val="0"/>
          <w:szCs w:val="24"/>
          <w:rtl/>
        </w:rPr>
        <w:t xml:space="preserve"> </w:t>
      </w:r>
      <w:r w:rsidRPr="00E9603D">
        <w:rPr>
          <w:rFonts w:ascii="Century" w:hAnsi="Century" w:cs="Miriam" w:hint="eastAsia"/>
          <w:b/>
          <w:spacing w:val="0"/>
          <w:szCs w:val="24"/>
          <w:rtl/>
        </w:rPr>
        <w:t>נ</w:t>
      </w:r>
      <w:r w:rsidRPr="00E9603D">
        <w:rPr>
          <w:rFonts w:ascii="Century" w:hAnsi="Century" w:cs="Miriam"/>
          <w:b/>
          <w:spacing w:val="0"/>
          <w:szCs w:val="24"/>
          <w:rtl/>
        </w:rPr>
        <w:t xml:space="preserve">' </w:t>
      </w:r>
      <w:r w:rsidRPr="00E9603D">
        <w:rPr>
          <w:rFonts w:ascii="Century" w:hAnsi="Century" w:cs="Miriam" w:hint="eastAsia"/>
          <w:b/>
          <w:spacing w:val="0"/>
          <w:szCs w:val="24"/>
          <w:rtl/>
        </w:rPr>
        <w:t>צבי</w:t>
      </w:r>
      <w:r>
        <w:rPr>
          <w:rFonts w:ascii="Century" w:hAnsi="Century" w:hint="cs"/>
          <w:rtl/>
        </w:rPr>
        <w:t xml:space="preserve">, פסקה ד' (16.4.2018); ישראל גלעד "תגובה: הסדר חדש לדין ההתיישנות?" </w:t>
      </w:r>
      <w:r w:rsidRPr="00E9603D">
        <w:rPr>
          <w:rFonts w:ascii="Century" w:hAnsi="Century" w:cs="Miriam" w:hint="eastAsia"/>
          <w:b/>
          <w:spacing w:val="0"/>
          <w:szCs w:val="24"/>
          <w:rtl/>
        </w:rPr>
        <w:t>משפטים</w:t>
      </w:r>
      <w:r w:rsidRPr="00473432">
        <w:rPr>
          <w:rFonts w:ascii="Century" w:hAnsi="Century" w:hint="cs"/>
          <w:rtl/>
        </w:rPr>
        <w:t xml:space="preserve"> </w:t>
      </w:r>
      <w:r>
        <w:rPr>
          <w:rFonts w:ascii="Century" w:hAnsi="Century" w:hint="cs"/>
          <w:rtl/>
        </w:rPr>
        <w:t>לו 856, 874 (2007)).</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52. </w:t>
      </w:r>
      <w:r>
        <w:rPr>
          <w:rFonts w:ascii="Century" w:hAnsi="Century" w:hint="cs"/>
          <w:rtl/>
        </w:rPr>
        <w:tab/>
        <w:t xml:space="preserve">בעיקרו של דבר, אני סבורה כי סעיף 113(ב) לחוק המקרקעין לא חל על נכסים מן הסוג של הנכס מושא ההליך דנן </w:t>
      </w:r>
      <w:r>
        <w:rPr>
          <w:rFonts w:ascii="Century" w:hAnsi="Century"/>
          <w:rtl/>
        </w:rPr>
        <w:t>–</w:t>
      </w:r>
      <w:r>
        <w:rPr>
          <w:rFonts w:ascii="Century" w:hAnsi="Century" w:hint="cs"/>
          <w:rtl/>
        </w:rPr>
        <w:t xml:space="preserve"> נכסים אשר הוקנו לאפוטרופוס הכללי למטרה העיקרית של ניהולם ושימורם. על כן, לשיטתי, המסקנה שאליה הגיע בית משפט השלום בנסיבות העניין היא שגויה.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53. </w:t>
      </w:r>
      <w:r>
        <w:rPr>
          <w:rFonts w:ascii="Century" w:hAnsi="Century" w:hint="cs"/>
          <w:rtl/>
        </w:rPr>
        <w:tab/>
        <w:t>כאמור, בית משפט השלום סבר שסעיף 113(ב) לחוק המקרקעין המתייחס למקרקעי ציבור חל בענייננו הגם שמדובר במקרקעין בבעלות פרטית. זאת, מאחר שבהתאם לסעיף 107 לחוק המקרקעין הגדרה זו כוללת בין היתר גם מקרקעין "</w:t>
      </w:r>
      <w:r w:rsidRPr="00540625">
        <w:rPr>
          <w:rFonts w:ascii="Century" w:hAnsi="Century" w:cs="Miriam" w:hint="eastAsia"/>
          <w:b/>
          <w:spacing w:val="0"/>
          <w:szCs w:val="24"/>
          <w:rtl/>
        </w:rPr>
        <w:t>של</w:t>
      </w:r>
      <w:r w:rsidRPr="00540625">
        <w:rPr>
          <w:rFonts w:ascii="Century" w:hAnsi="Century" w:cs="Miriam"/>
          <w:b/>
          <w:spacing w:val="0"/>
          <w:szCs w:val="24"/>
          <w:rtl/>
        </w:rPr>
        <w:t xml:space="preserve"> </w:t>
      </w:r>
      <w:r w:rsidRPr="00540625">
        <w:rPr>
          <w:rFonts w:ascii="Century" w:hAnsi="Century" w:cs="Miriam" w:hint="eastAsia"/>
          <w:b/>
          <w:spacing w:val="0"/>
          <w:szCs w:val="24"/>
          <w:rtl/>
        </w:rPr>
        <w:t>תאגיד</w:t>
      </w:r>
      <w:r w:rsidRPr="00540625">
        <w:rPr>
          <w:rFonts w:ascii="Century" w:hAnsi="Century" w:cs="Miriam"/>
          <w:b/>
          <w:spacing w:val="0"/>
          <w:szCs w:val="24"/>
          <w:rtl/>
        </w:rPr>
        <w:t xml:space="preserve"> </w:t>
      </w:r>
      <w:r w:rsidRPr="00540625">
        <w:rPr>
          <w:rFonts w:ascii="Century" w:hAnsi="Century" w:cs="Miriam" w:hint="eastAsia"/>
          <w:b/>
          <w:spacing w:val="0"/>
          <w:szCs w:val="24"/>
          <w:rtl/>
        </w:rPr>
        <w:t>שהוקם</w:t>
      </w:r>
      <w:r w:rsidRPr="00540625">
        <w:rPr>
          <w:rFonts w:ascii="Century" w:hAnsi="Century" w:cs="Miriam"/>
          <w:b/>
          <w:spacing w:val="0"/>
          <w:szCs w:val="24"/>
          <w:rtl/>
        </w:rPr>
        <w:t xml:space="preserve"> </w:t>
      </w:r>
      <w:r w:rsidRPr="00540625">
        <w:rPr>
          <w:rFonts w:ascii="Century" w:hAnsi="Century" w:cs="Miriam" w:hint="eastAsia"/>
          <w:b/>
          <w:spacing w:val="0"/>
          <w:szCs w:val="24"/>
          <w:rtl/>
        </w:rPr>
        <w:t>על</w:t>
      </w:r>
      <w:r w:rsidRPr="00540625">
        <w:rPr>
          <w:rFonts w:ascii="Century" w:hAnsi="Century" w:cs="Miriam"/>
          <w:b/>
          <w:spacing w:val="0"/>
          <w:szCs w:val="24"/>
          <w:rtl/>
        </w:rPr>
        <w:t xml:space="preserve"> </w:t>
      </w:r>
      <w:r w:rsidRPr="00540625">
        <w:rPr>
          <w:rFonts w:ascii="Century" w:hAnsi="Century" w:cs="Miriam" w:hint="eastAsia"/>
          <w:b/>
          <w:spacing w:val="0"/>
          <w:szCs w:val="24"/>
          <w:rtl/>
        </w:rPr>
        <w:t>ידי</w:t>
      </w:r>
      <w:r w:rsidRPr="00540625">
        <w:rPr>
          <w:rFonts w:ascii="Century" w:hAnsi="Century" w:cs="Miriam"/>
          <w:b/>
          <w:spacing w:val="0"/>
          <w:szCs w:val="24"/>
          <w:rtl/>
        </w:rPr>
        <w:t xml:space="preserve"> </w:t>
      </w:r>
      <w:r w:rsidRPr="00540625">
        <w:rPr>
          <w:rFonts w:ascii="Century" w:hAnsi="Century" w:cs="Miriam" w:hint="eastAsia"/>
          <w:b/>
          <w:spacing w:val="0"/>
          <w:szCs w:val="24"/>
          <w:rtl/>
        </w:rPr>
        <w:t>חיקוק</w:t>
      </w:r>
      <w:r>
        <w:rPr>
          <w:rFonts w:ascii="Century" w:hAnsi="Century" w:hint="cs"/>
          <w:rtl/>
        </w:rPr>
        <w:t>", ונוכח העובדה שניהול המקרקעין נמסר לידי האפוטרופוס הכללי מכוח הוראות חוק הסדרי משפט. אני סבורה שפרשנות זו היא פרשנות מרחיבה, שאין לה מקום, כפי שאסביר להלן.</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54. </w:t>
      </w:r>
      <w:r>
        <w:rPr>
          <w:rFonts w:ascii="Century" w:hAnsi="Century" w:hint="cs"/>
          <w:rtl/>
        </w:rPr>
        <w:tab/>
        <w:t xml:space="preserve">אכן, בהקשרים שונים בית משפט זה התייחס להקניית מקרקעין לאפוטרופוס כהקניה של זכות בעלות, בכפוף לקביעה שמדובר בבעלות שבצדה קיימת ציפיית הבעלים המקורי להשבה, בבוא העת (ראו: </w:t>
      </w:r>
      <w:r w:rsidRPr="00944EA0">
        <w:rPr>
          <w:rFonts w:ascii="Century" w:hAnsi="Century" w:hint="eastAsia"/>
          <w:rtl/>
        </w:rPr>
        <w:t>ע</w:t>
      </w:r>
      <w:r>
        <w:rPr>
          <w:rFonts w:ascii="Century" w:hAnsi="Century" w:hint="cs"/>
          <w:rtl/>
        </w:rPr>
        <w:t>"</w:t>
      </w:r>
      <w:r w:rsidRPr="00944EA0">
        <w:rPr>
          <w:rFonts w:ascii="Century" w:hAnsi="Century" w:hint="eastAsia"/>
          <w:rtl/>
        </w:rPr>
        <w:t>א</w:t>
      </w:r>
      <w:r w:rsidRPr="00944EA0">
        <w:rPr>
          <w:rFonts w:ascii="Century" w:hAnsi="Century"/>
          <w:rtl/>
        </w:rPr>
        <w:t xml:space="preserve"> 499/78 </w:t>
      </w:r>
      <w:r w:rsidRPr="00540625">
        <w:rPr>
          <w:rFonts w:ascii="Century" w:hAnsi="Century" w:cs="Miriam" w:hint="eastAsia"/>
          <w:b/>
          <w:spacing w:val="0"/>
          <w:szCs w:val="24"/>
          <w:rtl/>
        </w:rPr>
        <w:t>נבולסי</w:t>
      </w:r>
      <w:r w:rsidRPr="00540625">
        <w:rPr>
          <w:rFonts w:ascii="Century" w:hAnsi="Century" w:cs="Miriam"/>
          <w:b/>
          <w:spacing w:val="0"/>
          <w:szCs w:val="24"/>
          <w:rtl/>
        </w:rPr>
        <w:t xml:space="preserve"> </w:t>
      </w:r>
      <w:r w:rsidRPr="00540625">
        <w:rPr>
          <w:rFonts w:ascii="Century" w:hAnsi="Century" w:cs="Miriam" w:hint="eastAsia"/>
          <w:b/>
          <w:spacing w:val="0"/>
          <w:szCs w:val="24"/>
          <w:rtl/>
        </w:rPr>
        <w:t>נ</w:t>
      </w:r>
      <w:r w:rsidRPr="00540625">
        <w:rPr>
          <w:rFonts w:ascii="Century" w:hAnsi="Century" w:cs="Miriam"/>
          <w:b/>
          <w:spacing w:val="0"/>
          <w:szCs w:val="24"/>
          <w:rtl/>
        </w:rPr>
        <w:t xml:space="preserve">' </w:t>
      </w:r>
      <w:r w:rsidRPr="00540625">
        <w:rPr>
          <w:rFonts w:ascii="Century" w:hAnsi="Century" w:cs="Miriam" w:hint="eastAsia"/>
          <w:b/>
          <w:spacing w:val="0"/>
          <w:szCs w:val="24"/>
          <w:rtl/>
        </w:rPr>
        <w:t>מועצת</w:t>
      </w:r>
      <w:r w:rsidRPr="00540625">
        <w:rPr>
          <w:rFonts w:ascii="Century" w:hAnsi="Century" w:cs="Miriam"/>
          <w:b/>
          <w:spacing w:val="0"/>
          <w:szCs w:val="24"/>
          <w:rtl/>
        </w:rPr>
        <w:t xml:space="preserve"> </w:t>
      </w:r>
      <w:r w:rsidRPr="00540625">
        <w:rPr>
          <w:rFonts w:ascii="Century" w:hAnsi="Century" w:cs="Miriam" w:hint="eastAsia"/>
          <w:b/>
          <w:spacing w:val="0"/>
          <w:szCs w:val="24"/>
          <w:rtl/>
        </w:rPr>
        <w:t>בתי</w:t>
      </w:r>
      <w:r w:rsidRPr="00540625">
        <w:rPr>
          <w:rFonts w:ascii="Century" w:hAnsi="Century" w:cs="Miriam"/>
          <w:b/>
          <w:spacing w:val="0"/>
          <w:szCs w:val="24"/>
          <w:rtl/>
        </w:rPr>
        <w:t xml:space="preserve"> </w:t>
      </w:r>
      <w:r w:rsidRPr="00540625">
        <w:rPr>
          <w:rFonts w:ascii="Century" w:hAnsi="Century" w:cs="Miriam" w:hint="eastAsia"/>
          <w:b/>
          <w:spacing w:val="0"/>
          <w:szCs w:val="24"/>
          <w:rtl/>
        </w:rPr>
        <w:t>העלמין</w:t>
      </w:r>
      <w:r w:rsidRPr="00540625">
        <w:rPr>
          <w:rFonts w:ascii="Century" w:hAnsi="Century" w:cs="Miriam"/>
          <w:b/>
          <w:spacing w:val="0"/>
          <w:szCs w:val="24"/>
          <w:rtl/>
        </w:rPr>
        <w:t xml:space="preserve"> </w:t>
      </w:r>
      <w:r w:rsidRPr="00540625">
        <w:rPr>
          <w:rFonts w:ascii="Century" w:hAnsi="Century" w:cs="Miriam" w:hint="eastAsia"/>
          <w:b/>
          <w:spacing w:val="0"/>
          <w:szCs w:val="24"/>
          <w:rtl/>
        </w:rPr>
        <w:t>היהודיים</w:t>
      </w:r>
      <w:r w:rsidRPr="00F33C5D">
        <w:rPr>
          <w:rFonts w:ascii="Century" w:hAnsi="Century" w:cs="Miriam"/>
          <w:b/>
          <w:spacing w:val="0"/>
          <w:szCs w:val="24"/>
          <w:rtl/>
        </w:rPr>
        <w:t xml:space="preserve">, </w:t>
      </w:r>
      <w:r w:rsidRPr="00F33C5D">
        <w:rPr>
          <w:rFonts w:ascii="Century" w:hAnsi="Century" w:cs="Miriam" w:hint="eastAsia"/>
          <w:b/>
          <w:spacing w:val="0"/>
          <w:szCs w:val="24"/>
          <w:rtl/>
        </w:rPr>
        <w:t>ירושלים</w:t>
      </w:r>
      <w:r w:rsidRPr="00944EA0">
        <w:rPr>
          <w:rFonts w:ascii="Century" w:hAnsi="Century"/>
          <w:rtl/>
        </w:rPr>
        <w:t xml:space="preserve">, </w:t>
      </w:r>
      <w:r w:rsidRPr="00944EA0">
        <w:rPr>
          <w:rFonts w:ascii="Century" w:hAnsi="Century" w:hint="eastAsia"/>
          <w:rtl/>
        </w:rPr>
        <w:t>פ</w:t>
      </w:r>
      <w:r w:rsidRPr="00944EA0">
        <w:rPr>
          <w:rFonts w:ascii="Century" w:hAnsi="Century"/>
          <w:rtl/>
        </w:rPr>
        <w:t>''</w:t>
      </w:r>
      <w:r w:rsidRPr="00944EA0">
        <w:rPr>
          <w:rFonts w:ascii="Century" w:hAnsi="Century" w:hint="eastAsia"/>
          <w:rtl/>
        </w:rPr>
        <w:t>ד</w:t>
      </w:r>
      <w:r w:rsidRPr="00944EA0">
        <w:rPr>
          <w:rFonts w:ascii="Century" w:hAnsi="Century"/>
          <w:rtl/>
        </w:rPr>
        <w:t xml:space="preserve"> </w:t>
      </w:r>
      <w:r w:rsidRPr="00944EA0">
        <w:rPr>
          <w:rFonts w:ascii="Century" w:hAnsi="Century" w:hint="eastAsia"/>
          <w:rtl/>
        </w:rPr>
        <w:t>לג</w:t>
      </w:r>
      <w:r w:rsidRPr="00944EA0">
        <w:rPr>
          <w:rFonts w:ascii="Century" w:hAnsi="Century"/>
          <w:rtl/>
        </w:rPr>
        <w:t>(3) 679</w:t>
      </w:r>
      <w:r>
        <w:rPr>
          <w:rFonts w:ascii="Century" w:hAnsi="Century" w:hint="cs"/>
          <w:rtl/>
        </w:rPr>
        <w:t xml:space="preserve"> (1979) (להלן: עניין </w:t>
      </w:r>
      <w:r w:rsidRPr="00DA07AE">
        <w:rPr>
          <w:rFonts w:cs="Miriam" w:hint="eastAsia"/>
          <w:b/>
          <w:spacing w:val="0"/>
          <w:szCs w:val="24"/>
          <w:rtl/>
        </w:rPr>
        <w:t>נבולסי</w:t>
      </w:r>
      <w:r>
        <w:rPr>
          <w:rFonts w:ascii="Century" w:hAnsi="Century" w:hint="cs"/>
          <w:rtl/>
        </w:rPr>
        <w:t xml:space="preserve">); </w:t>
      </w:r>
      <w:r w:rsidRPr="00AA1BDE">
        <w:rPr>
          <w:rFonts w:ascii="Century" w:hAnsi="Century" w:hint="eastAsia"/>
          <w:rtl/>
        </w:rPr>
        <w:t>בג</w:t>
      </w:r>
      <w:r w:rsidRPr="00AA1BDE">
        <w:rPr>
          <w:rFonts w:ascii="Century" w:hAnsi="Century"/>
          <w:rtl/>
        </w:rPr>
        <w:t>"</w:t>
      </w:r>
      <w:r w:rsidRPr="00AA1BDE">
        <w:rPr>
          <w:rFonts w:ascii="Century" w:hAnsi="Century" w:hint="eastAsia"/>
          <w:rtl/>
        </w:rPr>
        <w:t>ץ</w:t>
      </w:r>
      <w:r w:rsidRPr="00AA1BDE">
        <w:rPr>
          <w:rFonts w:ascii="Century" w:hAnsi="Century"/>
          <w:rtl/>
        </w:rPr>
        <w:t xml:space="preserve"> 1285/93 </w:t>
      </w:r>
      <w:r w:rsidRPr="00540625">
        <w:rPr>
          <w:rFonts w:ascii="Century" w:hAnsi="Century" w:cs="Miriam" w:hint="eastAsia"/>
          <w:b/>
          <w:spacing w:val="0"/>
          <w:szCs w:val="24"/>
          <w:rtl/>
        </w:rPr>
        <w:t>עזבון</w:t>
      </w:r>
      <w:r w:rsidRPr="00540625">
        <w:rPr>
          <w:rFonts w:ascii="Century" w:hAnsi="Century" w:cs="Miriam"/>
          <w:b/>
          <w:spacing w:val="0"/>
          <w:szCs w:val="24"/>
          <w:rtl/>
        </w:rPr>
        <w:t xml:space="preserve"> </w:t>
      </w:r>
      <w:r w:rsidRPr="00540625">
        <w:rPr>
          <w:rFonts w:ascii="Century" w:hAnsi="Century" w:cs="Miriam" w:hint="eastAsia"/>
          <w:b/>
          <w:spacing w:val="0"/>
          <w:szCs w:val="24"/>
          <w:rtl/>
        </w:rPr>
        <w:t>יעקב</w:t>
      </w:r>
      <w:r w:rsidRPr="00540625">
        <w:rPr>
          <w:rFonts w:ascii="Century" w:hAnsi="Century" w:cs="Miriam"/>
          <w:b/>
          <w:spacing w:val="0"/>
          <w:szCs w:val="24"/>
          <w:rtl/>
        </w:rPr>
        <w:t xml:space="preserve"> </w:t>
      </w:r>
      <w:r w:rsidRPr="00540625">
        <w:rPr>
          <w:rFonts w:ascii="Century" w:hAnsi="Century" w:cs="Miriam" w:hint="eastAsia"/>
          <w:b/>
          <w:spacing w:val="0"/>
          <w:szCs w:val="24"/>
          <w:rtl/>
        </w:rPr>
        <w:t>יוסף</w:t>
      </w:r>
      <w:r w:rsidRPr="00540625">
        <w:rPr>
          <w:rFonts w:ascii="Century" w:hAnsi="Century" w:cs="Miriam"/>
          <w:b/>
          <w:spacing w:val="0"/>
          <w:szCs w:val="24"/>
          <w:rtl/>
        </w:rPr>
        <w:t xml:space="preserve"> </w:t>
      </w:r>
      <w:r w:rsidRPr="00540625">
        <w:rPr>
          <w:rFonts w:ascii="Century" w:hAnsi="Century" w:cs="Miriam" w:hint="eastAsia"/>
          <w:b/>
          <w:spacing w:val="0"/>
          <w:szCs w:val="24"/>
          <w:rtl/>
        </w:rPr>
        <w:t>שכטר</w:t>
      </w:r>
      <w:r w:rsidRPr="00540625">
        <w:rPr>
          <w:rFonts w:ascii="Century" w:hAnsi="Century" w:cs="Miriam"/>
          <w:b/>
          <w:spacing w:val="0"/>
          <w:szCs w:val="24"/>
          <w:rtl/>
        </w:rPr>
        <w:t xml:space="preserve"> </w:t>
      </w:r>
      <w:r w:rsidRPr="00540625">
        <w:rPr>
          <w:rFonts w:ascii="Century" w:hAnsi="Century" w:cs="Miriam" w:hint="eastAsia"/>
          <w:b/>
          <w:spacing w:val="0"/>
          <w:szCs w:val="24"/>
          <w:rtl/>
        </w:rPr>
        <w:t>נ</w:t>
      </w:r>
      <w:r w:rsidRPr="00540625">
        <w:rPr>
          <w:rFonts w:ascii="Century" w:hAnsi="Century" w:cs="Miriam"/>
          <w:b/>
          <w:spacing w:val="0"/>
          <w:szCs w:val="24"/>
          <w:rtl/>
        </w:rPr>
        <w:t xml:space="preserve">' </w:t>
      </w:r>
      <w:r w:rsidRPr="00540625">
        <w:rPr>
          <w:rFonts w:ascii="Century" w:hAnsi="Century" w:cs="Miriam" w:hint="eastAsia"/>
          <w:b/>
          <w:spacing w:val="0"/>
          <w:szCs w:val="24"/>
          <w:rtl/>
        </w:rPr>
        <w:t>מפקד</w:t>
      </w:r>
      <w:r w:rsidRPr="00540625">
        <w:rPr>
          <w:rFonts w:ascii="Century" w:hAnsi="Century" w:cs="Miriam"/>
          <w:b/>
          <w:spacing w:val="0"/>
          <w:szCs w:val="24"/>
          <w:rtl/>
        </w:rPr>
        <w:t xml:space="preserve"> </w:t>
      </w:r>
      <w:r w:rsidRPr="00540625">
        <w:rPr>
          <w:rFonts w:ascii="Century" w:hAnsi="Century" w:cs="Miriam" w:hint="eastAsia"/>
          <w:b/>
          <w:spacing w:val="0"/>
          <w:szCs w:val="24"/>
          <w:rtl/>
        </w:rPr>
        <w:t>אזור</w:t>
      </w:r>
      <w:r w:rsidRPr="00540625">
        <w:rPr>
          <w:rFonts w:ascii="Century" w:hAnsi="Century" w:cs="Miriam"/>
          <w:b/>
          <w:spacing w:val="0"/>
          <w:szCs w:val="24"/>
          <w:rtl/>
        </w:rPr>
        <w:t xml:space="preserve"> </w:t>
      </w:r>
      <w:r w:rsidRPr="00540625">
        <w:rPr>
          <w:rFonts w:ascii="Century" w:hAnsi="Century" w:cs="Miriam" w:hint="eastAsia"/>
          <w:b/>
          <w:spacing w:val="0"/>
          <w:szCs w:val="24"/>
          <w:rtl/>
        </w:rPr>
        <w:t>יהודה</w:t>
      </w:r>
      <w:r w:rsidRPr="00540625">
        <w:rPr>
          <w:rFonts w:ascii="Century" w:hAnsi="Century" w:cs="Miriam"/>
          <w:b/>
          <w:spacing w:val="0"/>
          <w:szCs w:val="24"/>
          <w:rtl/>
        </w:rPr>
        <w:t xml:space="preserve"> </w:t>
      </w:r>
      <w:r w:rsidRPr="00540625">
        <w:rPr>
          <w:rFonts w:ascii="Century" w:hAnsi="Century" w:cs="Miriam" w:hint="eastAsia"/>
          <w:b/>
          <w:spacing w:val="0"/>
          <w:szCs w:val="24"/>
          <w:rtl/>
        </w:rPr>
        <w:t>ושומרון</w:t>
      </w:r>
      <w:r w:rsidRPr="004C1FC6">
        <w:rPr>
          <w:rFonts w:ascii="Century" w:hAnsi="Century"/>
          <w:rtl/>
        </w:rPr>
        <w:t xml:space="preserve"> </w:t>
      </w:r>
      <w:r w:rsidRPr="00AA1BDE">
        <w:rPr>
          <w:rFonts w:ascii="Century" w:hAnsi="Century"/>
          <w:rtl/>
        </w:rPr>
        <w:t>(</w:t>
      </w:r>
      <w:r>
        <w:rPr>
          <w:rFonts w:ascii="Century" w:hAnsi="Century" w:hint="cs"/>
          <w:rtl/>
        </w:rPr>
        <w:t>8</w:t>
      </w:r>
      <w:r w:rsidRPr="00AA1BDE">
        <w:rPr>
          <w:rFonts w:ascii="Century" w:hAnsi="Century"/>
          <w:rtl/>
        </w:rPr>
        <w:t>.12.1996)</w:t>
      </w:r>
      <w:r>
        <w:rPr>
          <w:rFonts w:ascii="Century" w:hAnsi="Century" w:hint="cs"/>
          <w:rtl/>
        </w:rPr>
        <w:t xml:space="preserve">; </w:t>
      </w:r>
      <w:r w:rsidRPr="00ED2CE2">
        <w:rPr>
          <w:rFonts w:hint="eastAsia"/>
          <w:rtl/>
        </w:rPr>
        <w:t>בג</w:t>
      </w:r>
      <w:r w:rsidRPr="00ED2CE2">
        <w:rPr>
          <w:rtl/>
        </w:rPr>
        <w:t>"</w:t>
      </w:r>
      <w:r w:rsidRPr="00ED2CE2">
        <w:rPr>
          <w:rFonts w:hint="eastAsia"/>
          <w:rtl/>
        </w:rPr>
        <w:t>ץ</w:t>
      </w:r>
      <w:r w:rsidRPr="00ED2CE2">
        <w:rPr>
          <w:rtl/>
        </w:rPr>
        <w:t xml:space="preserve"> 3103/06 </w:t>
      </w:r>
      <w:r w:rsidRPr="00171BA3">
        <w:rPr>
          <w:rFonts w:ascii="Century" w:hAnsi="Century" w:cs="Miriam" w:hint="eastAsia"/>
          <w:b/>
          <w:spacing w:val="0"/>
          <w:szCs w:val="24"/>
          <w:rtl/>
        </w:rPr>
        <w:t>ולירו</w:t>
      </w:r>
      <w:r w:rsidRPr="00171BA3">
        <w:rPr>
          <w:rFonts w:ascii="Century" w:hAnsi="Century" w:cs="Miriam"/>
          <w:b/>
          <w:spacing w:val="0"/>
          <w:szCs w:val="24"/>
          <w:rtl/>
        </w:rPr>
        <w:t xml:space="preserve"> </w:t>
      </w:r>
      <w:r w:rsidRPr="00171BA3">
        <w:rPr>
          <w:rFonts w:ascii="Century" w:hAnsi="Century" w:cs="Miriam" w:hint="eastAsia"/>
          <w:b/>
          <w:spacing w:val="0"/>
          <w:szCs w:val="24"/>
          <w:rtl/>
        </w:rPr>
        <w:t>נ</w:t>
      </w:r>
      <w:r w:rsidRPr="00171BA3">
        <w:rPr>
          <w:rFonts w:ascii="Century" w:hAnsi="Century" w:cs="Miriam"/>
          <w:b/>
          <w:spacing w:val="0"/>
          <w:szCs w:val="24"/>
          <w:rtl/>
        </w:rPr>
        <w:t xml:space="preserve">' </w:t>
      </w:r>
      <w:r w:rsidRPr="00171BA3">
        <w:rPr>
          <w:rFonts w:ascii="Century" w:hAnsi="Century" w:cs="Miriam" w:hint="eastAsia"/>
          <w:b/>
          <w:spacing w:val="0"/>
          <w:szCs w:val="24"/>
          <w:rtl/>
        </w:rPr>
        <w:t>מדינת</w:t>
      </w:r>
      <w:r w:rsidRPr="00171BA3">
        <w:rPr>
          <w:rFonts w:ascii="Century" w:hAnsi="Century" w:cs="Miriam"/>
          <w:b/>
          <w:spacing w:val="0"/>
          <w:szCs w:val="24"/>
          <w:rtl/>
        </w:rPr>
        <w:t xml:space="preserve"> </w:t>
      </w:r>
      <w:r w:rsidRPr="00171BA3">
        <w:rPr>
          <w:rFonts w:ascii="Century" w:hAnsi="Century" w:cs="Miriam" w:hint="eastAsia"/>
          <w:b/>
          <w:spacing w:val="0"/>
          <w:szCs w:val="24"/>
          <w:rtl/>
        </w:rPr>
        <w:t>ישראל</w:t>
      </w:r>
      <w:r w:rsidRPr="00ED2CE2">
        <w:rPr>
          <w:rtl/>
        </w:rPr>
        <w:t xml:space="preserve"> (</w:t>
      </w:r>
      <w:r>
        <w:rPr>
          <w:rFonts w:hint="cs"/>
          <w:rtl/>
        </w:rPr>
        <w:t>6</w:t>
      </w:r>
      <w:r w:rsidRPr="00ED2CE2">
        <w:rPr>
          <w:rtl/>
        </w:rPr>
        <w:t>.</w:t>
      </w:r>
      <w:r>
        <w:rPr>
          <w:rFonts w:hint="cs"/>
          <w:rtl/>
        </w:rPr>
        <w:t>2</w:t>
      </w:r>
      <w:r w:rsidRPr="00ED2CE2">
        <w:rPr>
          <w:rtl/>
        </w:rPr>
        <w:t>.2011)</w:t>
      </w:r>
      <w:r>
        <w:rPr>
          <w:rFonts w:hint="cs"/>
          <w:rtl/>
        </w:rPr>
        <w:t xml:space="preserve">; </w:t>
      </w:r>
      <w:r w:rsidRPr="00025ACA">
        <w:rPr>
          <w:rFonts w:ascii="Century" w:hAnsi="Century" w:hint="eastAsia"/>
          <w:rtl/>
        </w:rPr>
        <w:t>בג</w:t>
      </w:r>
      <w:r>
        <w:rPr>
          <w:rFonts w:ascii="Century" w:hAnsi="Century" w:hint="cs"/>
          <w:rtl/>
        </w:rPr>
        <w:t>"</w:t>
      </w:r>
      <w:r w:rsidRPr="00025ACA">
        <w:rPr>
          <w:rFonts w:ascii="Century" w:hAnsi="Century" w:hint="eastAsia"/>
          <w:rtl/>
        </w:rPr>
        <w:t>ץ</w:t>
      </w:r>
      <w:r w:rsidRPr="00025ACA">
        <w:rPr>
          <w:rFonts w:ascii="Century" w:hAnsi="Century"/>
          <w:rtl/>
        </w:rPr>
        <w:t xml:space="preserve"> 3198/05 </w:t>
      </w:r>
      <w:r w:rsidRPr="00540625">
        <w:rPr>
          <w:rFonts w:ascii="Century" w:hAnsi="Century" w:cs="Miriam" w:hint="eastAsia"/>
          <w:b/>
          <w:spacing w:val="0"/>
          <w:szCs w:val="24"/>
          <w:rtl/>
        </w:rPr>
        <w:t>למלה</w:t>
      </w:r>
      <w:r w:rsidRPr="00540625">
        <w:rPr>
          <w:rFonts w:ascii="Century" w:hAnsi="Century" w:cs="Miriam"/>
          <w:b/>
          <w:spacing w:val="0"/>
          <w:szCs w:val="24"/>
          <w:rtl/>
        </w:rPr>
        <w:t xml:space="preserve"> </w:t>
      </w:r>
      <w:r w:rsidRPr="00540625">
        <w:rPr>
          <w:rFonts w:ascii="Century" w:hAnsi="Century" w:cs="Miriam" w:hint="eastAsia"/>
          <w:b/>
          <w:spacing w:val="0"/>
          <w:szCs w:val="24"/>
          <w:rtl/>
        </w:rPr>
        <w:t>נ</w:t>
      </w:r>
      <w:r w:rsidRPr="00540625">
        <w:rPr>
          <w:rFonts w:ascii="Century" w:hAnsi="Century" w:cs="Miriam"/>
          <w:b/>
          <w:spacing w:val="0"/>
          <w:szCs w:val="24"/>
          <w:rtl/>
        </w:rPr>
        <w:t xml:space="preserve">' </w:t>
      </w:r>
      <w:r w:rsidRPr="00540625">
        <w:rPr>
          <w:rFonts w:ascii="Century" w:hAnsi="Century" w:cs="Miriam" w:hint="eastAsia"/>
          <w:b/>
          <w:spacing w:val="0"/>
          <w:szCs w:val="24"/>
          <w:rtl/>
        </w:rPr>
        <w:t>עיריית</w:t>
      </w:r>
      <w:r w:rsidRPr="00540625">
        <w:rPr>
          <w:rFonts w:ascii="Century" w:hAnsi="Century" w:cs="Miriam"/>
          <w:b/>
          <w:spacing w:val="0"/>
          <w:szCs w:val="24"/>
          <w:rtl/>
        </w:rPr>
        <w:t xml:space="preserve"> </w:t>
      </w:r>
      <w:r w:rsidRPr="00540625">
        <w:rPr>
          <w:rFonts w:ascii="Century" w:hAnsi="Century" w:cs="Miriam" w:hint="eastAsia"/>
          <w:b/>
          <w:spacing w:val="0"/>
          <w:szCs w:val="24"/>
          <w:rtl/>
        </w:rPr>
        <w:t>תל</w:t>
      </w:r>
      <w:r w:rsidRPr="00540625">
        <w:rPr>
          <w:rFonts w:ascii="Century" w:hAnsi="Century" w:cs="Miriam"/>
          <w:b/>
          <w:spacing w:val="0"/>
          <w:szCs w:val="24"/>
          <w:rtl/>
        </w:rPr>
        <w:t xml:space="preserve"> </w:t>
      </w:r>
      <w:r w:rsidRPr="00540625">
        <w:rPr>
          <w:rFonts w:ascii="Century" w:hAnsi="Century" w:cs="Miriam" w:hint="eastAsia"/>
          <w:b/>
          <w:spacing w:val="0"/>
          <w:szCs w:val="24"/>
          <w:rtl/>
        </w:rPr>
        <w:t>אביב</w:t>
      </w:r>
      <w:r>
        <w:rPr>
          <w:rFonts w:ascii="Century" w:hAnsi="Century" w:hint="cs"/>
          <w:rtl/>
        </w:rPr>
        <w:t xml:space="preserve">, פסקה 39 (13.6.2011); </w:t>
      </w:r>
      <w:r w:rsidRPr="00DD28EC">
        <w:rPr>
          <w:rFonts w:ascii="Century" w:hAnsi="Century" w:hint="eastAsia"/>
          <w:rtl/>
        </w:rPr>
        <w:t>ע</w:t>
      </w:r>
      <w:r w:rsidRPr="00DD28EC">
        <w:rPr>
          <w:rFonts w:ascii="Century" w:hAnsi="Century"/>
          <w:rtl/>
        </w:rPr>
        <w:t>"</w:t>
      </w:r>
      <w:r w:rsidRPr="00DD28EC">
        <w:rPr>
          <w:rFonts w:ascii="Century" w:hAnsi="Century" w:hint="eastAsia"/>
          <w:rtl/>
        </w:rPr>
        <w:t>א</w:t>
      </w:r>
      <w:r w:rsidRPr="00DD28EC">
        <w:rPr>
          <w:rFonts w:ascii="Century" w:hAnsi="Century"/>
          <w:rtl/>
        </w:rPr>
        <w:t xml:space="preserve"> 5580/13 </w:t>
      </w:r>
      <w:r w:rsidRPr="00540625">
        <w:rPr>
          <w:rFonts w:ascii="Century" w:hAnsi="Century" w:cs="Miriam" w:hint="eastAsia"/>
          <w:b/>
          <w:spacing w:val="0"/>
          <w:szCs w:val="24"/>
          <w:rtl/>
        </w:rPr>
        <w:t>מאייר</w:t>
      </w:r>
      <w:r w:rsidRPr="00540625">
        <w:rPr>
          <w:rFonts w:ascii="Century" w:hAnsi="Century" w:cs="Miriam"/>
          <w:b/>
          <w:spacing w:val="0"/>
          <w:szCs w:val="24"/>
          <w:rtl/>
        </w:rPr>
        <w:t xml:space="preserve"> </w:t>
      </w:r>
      <w:r w:rsidRPr="00540625">
        <w:rPr>
          <w:rFonts w:ascii="Century" w:hAnsi="Century" w:cs="Miriam" w:hint="eastAsia"/>
          <w:b/>
          <w:spacing w:val="0"/>
          <w:szCs w:val="24"/>
          <w:rtl/>
        </w:rPr>
        <w:t>נ</w:t>
      </w:r>
      <w:r w:rsidRPr="00540625">
        <w:rPr>
          <w:rFonts w:ascii="Century" w:hAnsi="Century" w:cs="Miriam"/>
          <w:b/>
          <w:spacing w:val="0"/>
          <w:szCs w:val="24"/>
          <w:rtl/>
        </w:rPr>
        <w:t xml:space="preserve">' </w:t>
      </w:r>
      <w:r w:rsidRPr="00540625">
        <w:rPr>
          <w:rFonts w:ascii="Century" w:hAnsi="Century" w:cs="Miriam" w:hint="eastAsia"/>
          <w:b/>
          <w:spacing w:val="0"/>
          <w:szCs w:val="24"/>
          <w:rtl/>
        </w:rPr>
        <w:t>החברה</w:t>
      </w:r>
      <w:r w:rsidRPr="00540625">
        <w:rPr>
          <w:rFonts w:ascii="Century" w:hAnsi="Century" w:cs="Miriam"/>
          <w:b/>
          <w:spacing w:val="0"/>
          <w:szCs w:val="24"/>
          <w:rtl/>
        </w:rPr>
        <w:t xml:space="preserve"> </w:t>
      </w:r>
      <w:r w:rsidRPr="00540625">
        <w:rPr>
          <w:rFonts w:ascii="Century" w:hAnsi="Century" w:cs="Miriam" w:hint="eastAsia"/>
          <w:b/>
          <w:spacing w:val="0"/>
          <w:szCs w:val="24"/>
          <w:rtl/>
        </w:rPr>
        <w:t>לאיתור</w:t>
      </w:r>
      <w:r w:rsidRPr="00540625">
        <w:rPr>
          <w:rFonts w:ascii="Century" w:hAnsi="Century" w:cs="Miriam"/>
          <w:b/>
          <w:spacing w:val="0"/>
          <w:szCs w:val="24"/>
          <w:rtl/>
        </w:rPr>
        <w:t xml:space="preserve"> </w:t>
      </w:r>
      <w:r w:rsidRPr="00540625">
        <w:rPr>
          <w:rFonts w:ascii="Century" w:hAnsi="Century" w:cs="Miriam" w:hint="eastAsia"/>
          <w:b/>
          <w:spacing w:val="0"/>
          <w:szCs w:val="24"/>
          <w:rtl/>
        </w:rPr>
        <w:t>ולהשבת</w:t>
      </w:r>
      <w:r w:rsidRPr="00540625">
        <w:rPr>
          <w:rFonts w:ascii="Century" w:hAnsi="Century" w:cs="Miriam"/>
          <w:b/>
          <w:spacing w:val="0"/>
          <w:szCs w:val="24"/>
          <w:rtl/>
        </w:rPr>
        <w:t xml:space="preserve"> </w:t>
      </w:r>
      <w:r w:rsidRPr="00540625">
        <w:rPr>
          <w:rFonts w:ascii="Century" w:hAnsi="Century" w:cs="Miriam" w:hint="eastAsia"/>
          <w:b/>
          <w:spacing w:val="0"/>
          <w:szCs w:val="24"/>
          <w:rtl/>
        </w:rPr>
        <w:t>נכסי</w:t>
      </w:r>
      <w:r w:rsidRPr="00540625">
        <w:rPr>
          <w:rFonts w:ascii="Century" w:hAnsi="Century" w:cs="Miriam"/>
          <w:b/>
          <w:spacing w:val="0"/>
          <w:szCs w:val="24"/>
          <w:rtl/>
        </w:rPr>
        <w:t xml:space="preserve"> </w:t>
      </w:r>
      <w:r w:rsidRPr="00540625">
        <w:rPr>
          <w:rFonts w:ascii="Century" w:hAnsi="Century" w:cs="Miriam" w:hint="eastAsia"/>
          <w:b/>
          <w:spacing w:val="0"/>
          <w:szCs w:val="24"/>
          <w:rtl/>
        </w:rPr>
        <w:t>נספי</w:t>
      </w:r>
      <w:r w:rsidRPr="00540625">
        <w:rPr>
          <w:rFonts w:ascii="Century" w:hAnsi="Century" w:cs="Miriam"/>
          <w:b/>
          <w:spacing w:val="0"/>
          <w:szCs w:val="24"/>
          <w:rtl/>
        </w:rPr>
        <w:t xml:space="preserve"> </w:t>
      </w:r>
      <w:r w:rsidRPr="00540625">
        <w:rPr>
          <w:rFonts w:ascii="Century" w:hAnsi="Century" w:cs="Miriam" w:hint="eastAsia"/>
          <w:b/>
          <w:spacing w:val="0"/>
          <w:szCs w:val="24"/>
          <w:rtl/>
        </w:rPr>
        <w:t>השואה</w:t>
      </w:r>
      <w:r>
        <w:rPr>
          <w:rFonts w:ascii="Century" w:hAnsi="Century" w:hint="cs"/>
          <w:rtl/>
        </w:rPr>
        <w:t>, פסקאות 26-22</w:t>
      </w:r>
      <w:r w:rsidRPr="00DD28EC">
        <w:rPr>
          <w:rFonts w:ascii="Century" w:hAnsi="Century"/>
          <w:rtl/>
        </w:rPr>
        <w:t xml:space="preserve"> (24.11.2014)</w:t>
      </w:r>
      <w:r>
        <w:rPr>
          <w:rFonts w:ascii="Century" w:hAnsi="Century" w:hint="cs"/>
          <w:rtl/>
        </w:rPr>
        <w:t xml:space="preserve">. כן ראו: </w:t>
      </w:r>
      <w:r w:rsidRPr="000A5043">
        <w:rPr>
          <w:rFonts w:ascii="Century" w:hAnsi="Century" w:hint="eastAsia"/>
          <w:rtl/>
        </w:rPr>
        <w:t>איל</w:t>
      </w:r>
      <w:r w:rsidRPr="000A5043">
        <w:rPr>
          <w:rFonts w:ascii="Century" w:hAnsi="Century"/>
          <w:rtl/>
        </w:rPr>
        <w:t xml:space="preserve"> </w:t>
      </w:r>
      <w:r w:rsidRPr="000A5043">
        <w:rPr>
          <w:rFonts w:ascii="Century" w:hAnsi="Century" w:hint="eastAsia"/>
          <w:rtl/>
        </w:rPr>
        <w:t>זמיר</w:t>
      </w:r>
      <w:r w:rsidRPr="000A5043">
        <w:rPr>
          <w:rFonts w:ascii="Century" w:hAnsi="Century"/>
          <w:rtl/>
        </w:rPr>
        <w:t xml:space="preserve"> </w:t>
      </w:r>
      <w:r w:rsidRPr="000A5043">
        <w:rPr>
          <w:rFonts w:ascii="Century" w:hAnsi="Century" w:hint="eastAsia"/>
          <w:rtl/>
        </w:rPr>
        <w:t>ואיל</w:t>
      </w:r>
      <w:r w:rsidRPr="000A5043">
        <w:rPr>
          <w:rFonts w:ascii="Century" w:hAnsi="Century"/>
          <w:rtl/>
        </w:rPr>
        <w:t xml:space="preserve"> </w:t>
      </w:r>
      <w:r w:rsidRPr="000A5043">
        <w:rPr>
          <w:rFonts w:ascii="Century" w:hAnsi="Century" w:hint="eastAsia"/>
          <w:rtl/>
        </w:rPr>
        <w:t>בנבנישתי</w:t>
      </w:r>
      <w:r w:rsidRPr="000A5043">
        <w:rPr>
          <w:rFonts w:ascii="Century" w:hAnsi="Century"/>
          <w:rtl/>
        </w:rPr>
        <w:t xml:space="preserve"> </w:t>
      </w:r>
      <w:r w:rsidRPr="00171BA3">
        <w:rPr>
          <w:rFonts w:ascii="Century" w:hAnsi="Century" w:cs="Miriam" w:hint="eastAsia"/>
          <w:b/>
          <w:spacing w:val="0"/>
          <w:szCs w:val="24"/>
          <w:rtl/>
        </w:rPr>
        <w:t>אדמות</w:t>
      </w:r>
      <w:r w:rsidRPr="00171BA3">
        <w:rPr>
          <w:rFonts w:ascii="Century" w:hAnsi="Century" w:cs="Miriam"/>
          <w:b/>
          <w:spacing w:val="0"/>
          <w:szCs w:val="24"/>
          <w:rtl/>
        </w:rPr>
        <w:t xml:space="preserve"> </w:t>
      </w:r>
      <w:r w:rsidRPr="00171BA3">
        <w:rPr>
          <w:rFonts w:ascii="Century" w:hAnsi="Century" w:cs="Miriam" w:hint="eastAsia"/>
          <w:b/>
          <w:spacing w:val="0"/>
          <w:szCs w:val="24"/>
          <w:rtl/>
        </w:rPr>
        <w:t>היהודים</w:t>
      </w:r>
      <w:r w:rsidRPr="00171BA3">
        <w:rPr>
          <w:rFonts w:ascii="Century" w:hAnsi="Century" w:cs="Miriam"/>
          <w:b/>
          <w:spacing w:val="0"/>
          <w:szCs w:val="24"/>
          <w:rtl/>
        </w:rPr>
        <w:t xml:space="preserve"> </w:t>
      </w:r>
      <w:r w:rsidRPr="00171BA3">
        <w:rPr>
          <w:rFonts w:ascii="Century" w:hAnsi="Century" w:cs="Miriam" w:hint="eastAsia"/>
          <w:b/>
          <w:spacing w:val="0"/>
          <w:szCs w:val="24"/>
          <w:rtl/>
        </w:rPr>
        <w:t>ביהודה</w:t>
      </w:r>
      <w:r w:rsidRPr="00171BA3">
        <w:rPr>
          <w:rFonts w:ascii="Century" w:hAnsi="Century" w:cs="Miriam"/>
          <w:b/>
          <w:spacing w:val="0"/>
          <w:szCs w:val="24"/>
          <w:rtl/>
        </w:rPr>
        <w:t xml:space="preserve">, </w:t>
      </w:r>
      <w:r w:rsidRPr="00171BA3">
        <w:rPr>
          <w:rFonts w:ascii="Century" w:hAnsi="Century" w:cs="Miriam" w:hint="eastAsia"/>
          <w:b/>
          <w:spacing w:val="0"/>
          <w:szCs w:val="24"/>
          <w:rtl/>
        </w:rPr>
        <w:t>שומרון</w:t>
      </w:r>
      <w:r w:rsidRPr="00171BA3">
        <w:rPr>
          <w:rFonts w:ascii="Century" w:hAnsi="Century" w:cs="Miriam"/>
          <w:b/>
          <w:spacing w:val="0"/>
          <w:szCs w:val="24"/>
          <w:rtl/>
        </w:rPr>
        <w:t xml:space="preserve">, </w:t>
      </w:r>
      <w:r w:rsidRPr="00171BA3">
        <w:rPr>
          <w:rFonts w:ascii="Century" w:hAnsi="Century" w:cs="Miriam" w:hint="eastAsia"/>
          <w:b/>
          <w:spacing w:val="0"/>
          <w:szCs w:val="24"/>
          <w:rtl/>
        </w:rPr>
        <w:t>חבל</w:t>
      </w:r>
      <w:r w:rsidRPr="00171BA3">
        <w:rPr>
          <w:rFonts w:ascii="Century" w:hAnsi="Century" w:cs="Miriam"/>
          <w:b/>
          <w:spacing w:val="0"/>
          <w:szCs w:val="24"/>
          <w:rtl/>
        </w:rPr>
        <w:t xml:space="preserve"> </w:t>
      </w:r>
      <w:r w:rsidRPr="00171BA3">
        <w:rPr>
          <w:rFonts w:ascii="Century" w:hAnsi="Century" w:cs="Miriam" w:hint="eastAsia"/>
          <w:b/>
          <w:spacing w:val="0"/>
          <w:szCs w:val="24"/>
          <w:rtl/>
        </w:rPr>
        <w:t>עזה</w:t>
      </w:r>
      <w:r w:rsidRPr="00171BA3">
        <w:rPr>
          <w:rFonts w:ascii="Century" w:hAnsi="Century" w:cs="Miriam"/>
          <w:b/>
          <w:spacing w:val="0"/>
          <w:szCs w:val="24"/>
          <w:rtl/>
        </w:rPr>
        <w:t xml:space="preserve"> </w:t>
      </w:r>
      <w:r w:rsidRPr="00171BA3">
        <w:rPr>
          <w:rFonts w:ascii="Century" w:hAnsi="Century" w:cs="Miriam" w:hint="eastAsia"/>
          <w:b/>
          <w:spacing w:val="0"/>
          <w:szCs w:val="24"/>
          <w:rtl/>
        </w:rPr>
        <w:t>ומזרח</w:t>
      </w:r>
      <w:r w:rsidRPr="00171BA3">
        <w:rPr>
          <w:rFonts w:ascii="Century" w:hAnsi="Century" w:cs="Miriam"/>
          <w:b/>
          <w:spacing w:val="0"/>
          <w:szCs w:val="24"/>
          <w:rtl/>
        </w:rPr>
        <w:t xml:space="preserve"> </w:t>
      </w:r>
      <w:r w:rsidRPr="00171BA3">
        <w:rPr>
          <w:rFonts w:ascii="Century" w:hAnsi="Century" w:cs="Miriam" w:hint="eastAsia"/>
          <w:b/>
          <w:spacing w:val="0"/>
          <w:szCs w:val="24"/>
          <w:rtl/>
        </w:rPr>
        <w:t>ירושלים</w:t>
      </w:r>
      <w:r w:rsidRPr="000A5043">
        <w:rPr>
          <w:rFonts w:ascii="Century" w:hAnsi="Century"/>
          <w:rtl/>
        </w:rPr>
        <w:t xml:space="preserve"> </w:t>
      </w:r>
      <w:r>
        <w:rPr>
          <w:rFonts w:ascii="Century" w:hAnsi="Century" w:hint="cs"/>
          <w:rtl/>
        </w:rPr>
        <w:t>45</w:t>
      </w:r>
      <w:r w:rsidRPr="000A5043">
        <w:rPr>
          <w:rFonts w:ascii="Century" w:hAnsi="Century"/>
          <w:rtl/>
        </w:rPr>
        <w:t xml:space="preserve"> (1993)</w:t>
      </w:r>
      <w:r>
        <w:rPr>
          <w:rFonts w:ascii="Century" w:hAnsi="Century" w:hint="cs"/>
          <w:rtl/>
        </w:rPr>
        <w:t>). עם זאת, אני סבורה כי לא ניתן ללמוד מפסקי דין אלה לענייננו.</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55. </w:t>
      </w:r>
      <w:r>
        <w:rPr>
          <w:rFonts w:ascii="Century" w:hAnsi="Century"/>
          <w:rtl/>
        </w:rPr>
        <w:tab/>
      </w:r>
      <w:r>
        <w:rPr>
          <w:rFonts w:ascii="Century" w:hAnsi="Century" w:hint="cs"/>
          <w:rtl/>
        </w:rPr>
        <w:t xml:space="preserve">במאמר מוסגר יצוין, כי מלבד פסק הדין בעניין </w:t>
      </w:r>
      <w:r w:rsidRPr="00DA07AE">
        <w:rPr>
          <w:rFonts w:cs="Miriam" w:hint="eastAsia"/>
          <w:b/>
          <w:spacing w:val="0"/>
          <w:szCs w:val="24"/>
          <w:rtl/>
        </w:rPr>
        <w:t>נבולסי</w:t>
      </w:r>
      <w:r>
        <w:rPr>
          <w:rFonts w:ascii="Century" w:hAnsi="Century" w:hint="cs"/>
          <w:rtl/>
        </w:rPr>
        <w:t xml:space="preserve">, כלל פסקי הדין שעסקו בסוגיה לא עסקו ישירות בקרקעות במזרח ירושלים, וכן לא בקרקעות שהוקנו לאפוטרופוס הכללי מכח חוק הסדרי משפט, אלא לאפוטרופוס או ממונה מכוחם של הסדרים נורמטיביים אחרים </w:t>
      </w:r>
      <w:r>
        <w:rPr>
          <w:rFonts w:ascii="Century" w:hAnsi="Century"/>
          <w:rtl/>
        </w:rPr>
        <w:t>–</w:t>
      </w:r>
      <w:r>
        <w:rPr>
          <w:rFonts w:ascii="Century" w:hAnsi="Century" w:hint="cs"/>
          <w:rtl/>
        </w:rPr>
        <w:t xml:space="preserve"> שהשיקולים הרלוונטיים להם אינם בהכרח זהים לדיון שבעניינו</w:t>
      </w:r>
      <w:r w:rsidRPr="004B082B">
        <w:rPr>
          <w:rFonts w:ascii="Century" w:hAnsi="Century"/>
          <w:rtl/>
        </w:rPr>
        <w:t>.</w:t>
      </w:r>
      <w:r>
        <w:rPr>
          <w:rFonts w:ascii="Century" w:hAnsi="Century" w:hint="cs"/>
          <w:rtl/>
        </w:rPr>
        <w:t xml:space="preserve"> אולם, לא זה העיקר. הנקודה החשובה היא שאותם פסקי דין לא דנו בהקשר של דיני ההתיישנות בכלל או של סעיף 113(ב) לחוק המקרקעין בפרט, על השיקולים הפרשניים המיוחדים להם.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56. </w:t>
      </w:r>
      <w:r>
        <w:rPr>
          <w:rFonts w:ascii="Century" w:hAnsi="Century" w:hint="cs"/>
          <w:rtl/>
        </w:rPr>
        <w:tab/>
        <w:t xml:space="preserve">אפתח בהתחלה. דברי ההסבר להצעת חוק המקרקעין לא כוללים התייחסות לסעיף 113(ב) ולתכליתו. על-פי הדעה המקובלת בספרות, מה שעומד בבסיסו של הסעיף הוא החשש שתקופת ההתיישנות "תרוץ" בכל הנוגע לקרקע המצויה בבעלותו של גוף ציבורי מבלי שאותו גוף יודע על זכותו בקרקע המוחזקת. חשש זה נובע מההיקף הגדול של מקרקעי ציבור, ובשל קיומן של מספר דרכים שבאמצעותן עשויים מקרקעין בבעלות פרטית להפוך למקרקעי ציבור. על רקע זה, נטען בספרות כי "מכיוון שאפשר שמקרקעי ציבור לא יהיו רשומים על שם בעליהם, והבעלים לא יהיו מודעים לבעלותם, עשויים הם שלא לדעת על כך שמקרקעין השייכים להם מוחזקים תקופה ממושכת בידי מחזיק שלא כדין, שיבקש בבוא העת להיבנות מטענת ההתיישנות. כדי למנוע תוצאה בלתי רצויה זו נקבע בחוק שבמקרקעי ציבור לא תחל תקופת ההתיישנות כל עוד המקרקעין אינם רשומים על שם בעליהם" (יהושע ויסמן </w:t>
      </w:r>
      <w:r w:rsidRPr="00540625">
        <w:rPr>
          <w:rFonts w:ascii="Century" w:hAnsi="Century" w:cs="Miriam" w:hint="eastAsia"/>
          <w:b/>
          <w:spacing w:val="0"/>
          <w:szCs w:val="24"/>
          <w:rtl/>
        </w:rPr>
        <w:t>דיני</w:t>
      </w:r>
      <w:r w:rsidRPr="00540625">
        <w:rPr>
          <w:rFonts w:ascii="Century" w:hAnsi="Century" w:cs="Miriam"/>
          <w:b/>
          <w:spacing w:val="0"/>
          <w:szCs w:val="24"/>
          <w:rtl/>
        </w:rPr>
        <w:t xml:space="preserve"> </w:t>
      </w:r>
      <w:r w:rsidRPr="00540625">
        <w:rPr>
          <w:rFonts w:ascii="Century" w:hAnsi="Century" w:cs="Miriam" w:hint="eastAsia"/>
          <w:b/>
          <w:spacing w:val="0"/>
          <w:szCs w:val="24"/>
          <w:rtl/>
        </w:rPr>
        <w:t>קניין</w:t>
      </w:r>
      <w:r w:rsidRPr="00540625">
        <w:rPr>
          <w:rFonts w:ascii="Century" w:hAnsi="Century" w:cs="Miriam"/>
          <w:b/>
          <w:spacing w:val="0"/>
          <w:szCs w:val="24"/>
          <w:rtl/>
        </w:rPr>
        <w:t xml:space="preserve"> – </w:t>
      </w:r>
      <w:r w:rsidRPr="00540625">
        <w:rPr>
          <w:rFonts w:ascii="Century" w:hAnsi="Century" w:cs="Miriam" w:hint="eastAsia"/>
          <w:b/>
          <w:spacing w:val="0"/>
          <w:szCs w:val="24"/>
          <w:rtl/>
        </w:rPr>
        <w:t>חלק</w:t>
      </w:r>
      <w:r w:rsidRPr="00540625">
        <w:rPr>
          <w:rFonts w:ascii="Century" w:hAnsi="Century" w:cs="Miriam"/>
          <w:b/>
          <w:spacing w:val="0"/>
          <w:szCs w:val="24"/>
          <w:rtl/>
        </w:rPr>
        <w:t xml:space="preserve"> </w:t>
      </w:r>
      <w:r w:rsidRPr="00540625">
        <w:rPr>
          <w:rFonts w:ascii="Century" w:hAnsi="Century" w:cs="Miriam" w:hint="eastAsia"/>
          <w:b/>
          <w:spacing w:val="0"/>
          <w:szCs w:val="24"/>
          <w:rtl/>
        </w:rPr>
        <w:t>כללי</w:t>
      </w:r>
      <w:r w:rsidRPr="005F4793">
        <w:rPr>
          <w:rFonts w:ascii="Century" w:hAnsi="Century" w:hint="cs"/>
          <w:rtl/>
        </w:rPr>
        <w:t xml:space="preserve"> </w:t>
      </w:r>
      <w:r>
        <w:rPr>
          <w:rFonts w:ascii="Century" w:hAnsi="Century" w:hint="cs"/>
          <w:rtl/>
        </w:rPr>
        <w:t xml:space="preserve">266 (1993) (להלן: </w:t>
      </w:r>
      <w:r w:rsidRPr="00540625">
        <w:rPr>
          <w:rFonts w:ascii="Century" w:hAnsi="Century" w:cs="Miriam" w:hint="eastAsia"/>
          <w:b/>
          <w:spacing w:val="0"/>
          <w:szCs w:val="24"/>
          <w:rtl/>
        </w:rPr>
        <w:t>ויסמן</w:t>
      </w:r>
      <w:r w:rsidRPr="00540625">
        <w:rPr>
          <w:rFonts w:ascii="Century" w:hAnsi="Century" w:cs="Miriam"/>
          <w:b/>
          <w:spacing w:val="0"/>
          <w:szCs w:val="24"/>
          <w:rtl/>
        </w:rPr>
        <w:t xml:space="preserve">, </w:t>
      </w:r>
      <w:r w:rsidRPr="00540625">
        <w:rPr>
          <w:rFonts w:ascii="Century" w:hAnsi="Century" w:cs="Miriam" w:hint="eastAsia"/>
          <w:b/>
          <w:spacing w:val="0"/>
          <w:szCs w:val="24"/>
          <w:rtl/>
        </w:rPr>
        <w:t>דיני</w:t>
      </w:r>
      <w:r w:rsidRPr="00540625">
        <w:rPr>
          <w:rFonts w:ascii="Century" w:hAnsi="Century" w:cs="Miriam"/>
          <w:b/>
          <w:spacing w:val="0"/>
          <w:szCs w:val="24"/>
          <w:rtl/>
        </w:rPr>
        <w:t xml:space="preserve"> </w:t>
      </w:r>
      <w:r w:rsidRPr="00540625">
        <w:rPr>
          <w:rFonts w:ascii="Century" w:hAnsi="Century" w:cs="Miriam" w:hint="eastAsia"/>
          <w:b/>
          <w:spacing w:val="0"/>
          <w:szCs w:val="24"/>
          <w:rtl/>
        </w:rPr>
        <w:t>קניין</w:t>
      </w:r>
      <w:r>
        <w:rPr>
          <w:rFonts w:ascii="Century" w:hAnsi="Century" w:hint="cs"/>
          <w:rtl/>
        </w:rPr>
        <w:t xml:space="preserve">). ראו גם: יהושע ויסמן "ההתיישנות והמדינה" </w:t>
      </w:r>
      <w:r w:rsidRPr="00540625">
        <w:rPr>
          <w:rFonts w:ascii="Century" w:hAnsi="Century" w:cs="Miriam" w:hint="eastAsia"/>
          <w:b/>
          <w:spacing w:val="0"/>
          <w:szCs w:val="24"/>
          <w:rtl/>
        </w:rPr>
        <w:t>משפטים</w:t>
      </w:r>
      <w:r w:rsidRPr="005F4793">
        <w:rPr>
          <w:rFonts w:ascii="Century" w:hAnsi="Century" w:hint="cs"/>
          <w:rtl/>
        </w:rPr>
        <w:t xml:space="preserve"> </w:t>
      </w:r>
      <w:r>
        <w:rPr>
          <w:rFonts w:ascii="Century" w:hAnsi="Century" w:hint="cs"/>
          <w:rtl/>
        </w:rPr>
        <w:t xml:space="preserve">יד 3, 13 (1984) (להלן: </w:t>
      </w:r>
      <w:r w:rsidRPr="00E9603D">
        <w:rPr>
          <w:rFonts w:ascii="Century" w:hAnsi="Century" w:cs="Miriam" w:hint="eastAsia"/>
          <w:b/>
          <w:spacing w:val="0"/>
          <w:szCs w:val="24"/>
          <w:rtl/>
        </w:rPr>
        <w:t>ויסמן</w:t>
      </w:r>
      <w:r w:rsidRPr="00E9603D">
        <w:rPr>
          <w:rFonts w:ascii="Century" w:hAnsi="Century" w:cs="Miriam"/>
          <w:b/>
          <w:spacing w:val="0"/>
          <w:szCs w:val="24"/>
          <w:rtl/>
        </w:rPr>
        <w:t xml:space="preserve">, </w:t>
      </w:r>
      <w:r w:rsidRPr="00E9603D">
        <w:rPr>
          <w:rFonts w:ascii="Century" w:hAnsi="Century" w:cs="Miriam" w:hint="eastAsia"/>
          <w:b/>
          <w:spacing w:val="0"/>
          <w:szCs w:val="24"/>
          <w:rtl/>
        </w:rPr>
        <w:t>ההתיישנות</w:t>
      </w:r>
      <w:r w:rsidRPr="00E9603D">
        <w:rPr>
          <w:rFonts w:ascii="Century" w:hAnsi="Century" w:cs="Miriam"/>
          <w:b/>
          <w:spacing w:val="0"/>
          <w:szCs w:val="24"/>
          <w:rtl/>
        </w:rPr>
        <w:t xml:space="preserve"> </w:t>
      </w:r>
      <w:r w:rsidRPr="00E9603D">
        <w:rPr>
          <w:rFonts w:ascii="Century" w:hAnsi="Century" w:cs="Miriam" w:hint="eastAsia"/>
          <w:b/>
          <w:spacing w:val="0"/>
          <w:szCs w:val="24"/>
          <w:rtl/>
        </w:rPr>
        <w:t>והמדינה</w:t>
      </w:r>
      <w:r>
        <w:rPr>
          <w:rFonts w:ascii="Century" w:hAnsi="Century" w:hint="cs"/>
          <w:rtl/>
        </w:rPr>
        <w:t xml:space="preserve">); </w:t>
      </w:r>
      <w:r w:rsidRPr="003D42D0">
        <w:rPr>
          <w:rFonts w:ascii="Century" w:hAnsi="Century" w:cs="Miriam" w:hint="eastAsia"/>
          <w:b/>
          <w:spacing w:val="0"/>
          <w:szCs w:val="24"/>
          <w:rtl/>
        </w:rPr>
        <w:t>גלעד</w:t>
      </w:r>
      <w:r>
        <w:rPr>
          <w:rFonts w:ascii="Century" w:hAnsi="Century" w:hint="cs"/>
          <w:rtl/>
        </w:rPr>
        <w:t xml:space="preserve">, </w:t>
      </w:r>
      <w:r>
        <w:rPr>
          <w:rFonts w:ascii="Century" w:hAnsi="Century" w:cs="Miriam" w:hint="cs"/>
          <w:b/>
          <w:spacing w:val="0"/>
          <w:szCs w:val="24"/>
          <w:rtl/>
        </w:rPr>
        <w:t>התיישנות במקרקעין,</w:t>
      </w:r>
      <w:r>
        <w:rPr>
          <w:rFonts w:ascii="Century" w:hAnsi="Century" w:hint="cs"/>
          <w:rtl/>
        </w:rPr>
        <w:t xml:space="preserve"> בעמ' 234). בהמשך לכך, עמד פרופ' ויסמן על הקושי שבהחלת הסדר זה על מקרקעין מהסוג השלישי המוזכר בסעיף 113(ב) לחוק </w:t>
      </w:r>
      <w:r>
        <w:rPr>
          <w:rFonts w:ascii="Century" w:hAnsi="Century"/>
          <w:rtl/>
        </w:rPr>
        <w:t>–</w:t>
      </w:r>
      <w:r>
        <w:rPr>
          <w:rFonts w:ascii="Century" w:hAnsi="Century" w:hint="cs"/>
          <w:rtl/>
        </w:rPr>
        <w:t xml:space="preserve"> מקרקעין של תאגידים שהוקמו על-ידי חיקוק. כך, מציין פרופ' ויסמן כי בעוד שקיימים שטחים רבים ונרחבים של מקרקעי ישראל ומקרקעי רשויות מקומיות, אין זה כך בכל הנוגע למקרקעין של תאגידים סטטוטוריים (כגון רשות הדואר או רשות שדה התעופה). על כן, לשיטתו ניתן לצפות שלתאגידים אלה יהיה ידוע אילו מקרקעין שייכים להם ומה נעשה בהם (ראו: </w:t>
      </w:r>
      <w:r w:rsidRPr="00540625">
        <w:rPr>
          <w:rFonts w:ascii="Century" w:hAnsi="Century" w:cs="Miriam" w:hint="eastAsia"/>
          <w:b/>
          <w:spacing w:val="0"/>
          <w:szCs w:val="24"/>
          <w:rtl/>
        </w:rPr>
        <w:t>ויסמן</w:t>
      </w:r>
      <w:r w:rsidRPr="00540625">
        <w:rPr>
          <w:rFonts w:ascii="Century" w:hAnsi="Century" w:cs="Miriam"/>
          <w:b/>
          <w:spacing w:val="0"/>
          <w:szCs w:val="24"/>
          <w:rtl/>
        </w:rPr>
        <w:t xml:space="preserve">, </w:t>
      </w:r>
      <w:r w:rsidRPr="00540625">
        <w:rPr>
          <w:rFonts w:ascii="Century" w:hAnsi="Century" w:cs="Miriam" w:hint="eastAsia"/>
          <w:b/>
          <w:spacing w:val="0"/>
          <w:szCs w:val="24"/>
          <w:rtl/>
        </w:rPr>
        <w:t>דיני</w:t>
      </w:r>
      <w:r w:rsidRPr="00540625">
        <w:rPr>
          <w:rFonts w:ascii="Century" w:hAnsi="Century" w:cs="Miriam"/>
          <w:b/>
          <w:spacing w:val="0"/>
          <w:szCs w:val="24"/>
          <w:rtl/>
        </w:rPr>
        <w:t xml:space="preserve"> </w:t>
      </w:r>
      <w:r w:rsidRPr="00540625">
        <w:rPr>
          <w:rFonts w:ascii="Century" w:hAnsi="Century" w:cs="Miriam" w:hint="eastAsia"/>
          <w:b/>
          <w:spacing w:val="0"/>
          <w:szCs w:val="24"/>
          <w:rtl/>
        </w:rPr>
        <w:t>קניין</w:t>
      </w:r>
      <w:r>
        <w:rPr>
          <w:rFonts w:ascii="Century" w:hAnsi="Century" w:hint="cs"/>
          <w:rtl/>
        </w:rPr>
        <w:t xml:space="preserve">, בעמ' 267).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57. </w:t>
      </w:r>
      <w:r>
        <w:rPr>
          <w:rFonts w:ascii="Century" w:hAnsi="Century"/>
          <w:rtl/>
        </w:rPr>
        <w:tab/>
      </w:r>
      <w:r>
        <w:rPr>
          <w:rFonts w:ascii="Century" w:hAnsi="Century" w:hint="cs"/>
          <w:rtl/>
        </w:rPr>
        <w:t>ביקורת זו מקבלת משנה תוקף כאשר עסקינן במקרקעין המוקנים לאפוטרופוס הכללי מכוח חוק הסדרי משפט. המדובר בקרקעות שהוקנו לאפוטרופוס הכללי במיוחד לצורך ניהולן, בדומה לניהול נכס עזוב לפי סעיף 6 לחוק האפוטרופוס הכללי. לצורך תפקידו זה מוטלות עליו חובות הנוגעות לשמירה על הקרקע המוקנית לו ולעשייה בה. כך, סעיף 9 לחוק האפוטרופוס הכללי, שעניינו "דרך ניהול", קובע כי "</w:t>
      </w:r>
      <w:r w:rsidRPr="00FC072E">
        <w:rPr>
          <w:rFonts w:ascii="Century" w:hAnsi="Century" w:hint="eastAsia"/>
          <w:rtl/>
        </w:rPr>
        <w:t>האפוטרופוס</w:t>
      </w:r>
      <w:r w:rsidRPr="00FC072E">
        <w:rPr>
          <w:rFonts w:ascii="Century" w:hAnsi="Century"/>
          <w:rtl/>
        </w:rPr>
        <w:t xml:space="preserve"> </w:t>
      </w:r>
      <w:r w:rsidRPr="00FC072E">
        <w:rPr>
          <w:rFonts w:ascii="Century" w:hAnsi="Century" w:hint="eastAsia"/>
          <w:rtl/>
        </w:rPr>
        <w:t>הכללי</w:t>
      </w:r>
      <w:r w:rsidRPr="00FC072E">
        <w:rPr>
          <w:rFonts w:ascii="Century" w:hAnsi="Century"/>
          <w:rtl/>
        </w:rPr>
        <w:t xml:space="preserve"> </w:t>
      </w:r>
      <w:r w:rsidRPr="00FC072E">
        <w:rPr>
          <w:rFonts w:ascii="Century" w:hAnsi="Century" w:hint="eastAsia"/>
          <w:rtl/>
        </w:rPr>
        <w:t>חייב</w:t>
      </w:r>
      <w:r w:rsidRPr="00FC072E">
        <w:rPr>
          <w:rFonts w:ascii="Century" w:hAnsi="Century"/>
          <w:rtl/>
        </w:rPr>
        <w:t xml:space="preserve"> </w:t>
      </w:r>
      <w:r w:rsidRPr="00FC072E">
        <w:rPr>
          <w:rFonts w:ascii="Century" w:hAnsi="Century" w:hint="eastAsia"/>
          <w:rtl/>
        </w:rPr>
        <w:t>לכנס</w:t>
      </w:r>
      <w:r w:rsidRPr="00FC072E">
        <w:rPr>
          <w:rFonts w:ascii="Century" w:hAnsi="Century"/>
          <w:rtl/>
        </w:rPr>
        <w:t xml:space="preserve"> </w:t>
      </w:r>
      <w:r w:rsidRPr="00FC072E">
        <w:rPr>
          <w:rFonts w:ascii="Century" w:hAnsi="Century" w:hint="eastAsia"/>
          <w:rtl/>
        </w:rPr>
        <w:t>את</w:t>
      </w:r>
      <w:r w:rsidRPr="00FC072E">
        <w:rPr>
          <w:rFonts w:ascii="Century" w:hAnsi="Century"/>
          <w:rtl/>
        </w:rPr>
        <w:t xml:space="preserve"> </w:t>
      </w:r>
      <w:r w:rsidRPr="00FC072E">
        <w:rPr>
          <w:rFonts w:ascii="Century" w:hAnsi="Century" w:hint="eastAsia"/>
          <w:rtl/>
        </w:rPr>
        <w:t>הנכסים</w:t>
      </w:r>
      <w:r w:rsidRPr="00FC072E">
        <w:rPr>
          <w:rFonts w:ascii="Century" w:hAnsi="Century"/>
          <w:rtl/>
        </w:rPr>
        <w:t xml:space="preserve"> </w:t>
      </w:r>
      <w:r w:rsidRPr="00FC072E">
        <w:rPr>
          <w:rFonts w:ascii="Century" w:hAnsi="Century" w:hint="eastAsia"/>
          <w:rtl/>
        </w:rPr>
        <w:t>שבניהולו</w:t>
      </w:r>
      <w:r w:rsidRPr="00FC072E">
        <w:rPr>
          <w:rFonts w:ascii="Century" w:hAnsi="Century"/>
          <w:rtl/>
        </w:rPr>
        <w:t xml:space="preserve">, </w:t>
      </w:r>
      <w:r w:rsidRPr="00FC072E">
        <w:rPr>
          <w:rFonts w:ascii="Century" w:hAnsi="Century" w:hint="eastAsia"/>
          <w:rtl/>
        </w:rPr>
        <w:t>לנהלם</w:t>
      </w:r>
      <w:r w:rsidRPr="00FC072E">
        <w:rPr>
          <w:rFonts w:ascii="Century" w:hAnsi="Century"/>
          <w:rtl/>
        </w:rPr>
        <w:t xml:space="preserve"> </w:t>
      </w:r>
      <w:r w:rsidRPr="00FC072E">
        <w:rPr>
          <w:rFonts w:ascii="Century" w:hAnsi="Century" w:hint="eastAsia"/>
          <w:rtl/>
        </w:rPr>
        <w:t>ולעשות</w:t>
      </w:r>
      <w:r w:rsidRPr="00FC072E">
        <w:rPr>
          <w:rFonts w:ascii="Century" w:hAnsi="Century"/>
          <w:rtl/>
        </w:rPr>
        <w:t xml:space="preserve"> </w:t>
      </w:r>
      <w:r w:rsidRPr="00FC072E">
        <w:rPr>
          <w:rFonts w:ascii="Century" w:hAnsi="Century" w:hint="eastAsia"/>
          <w:rtl/>
        </w:rPr>
        <w:t>בהם</w:t>
      </w:r>
      <w:r w:rsidRPr="00FC072E">
        <w:rPr>
          <w:rFonts w:ascii="Century" w:hAnsi="Century"/>
          <w:rtl/>
        </w:rPr>
        <w:t xml:space="preserve"> </w:t>
      </w:r>
      <w:r w:rsidRPr="00FC072E">
        <w:rPr>
          <w:rFonts w:ascii="Century" w:hAnsi="Century" w:hint="eastAsia"/>
          <w:rtl/>
        </w:rPr>
        <w:t>מה</w:t>
      </w:r>
      <w:r w:rsidRPr="00FC072E">
        <w:rPr>
          <w:rFonts w:ascii="Century" w:hAnsi="Century"/>
          <w:rtl/>
        </w:rPr>
        <w:t xml:space="preserve"> </w:t>
      </w:r>
      <w:r w:rsidRPr="00FC072E">
        <w:rPr>
          <w:rFonts w:ascii="Century" w:hAnsi="Century" w:hint="eastAsia"/>
          <w:rtl/>
        </w:rPr>
        <w:t>שעשוי</w:t>
      </w:r>
      <w:r w:rsidRPr="00FC072E">
        <w:rPr>
          <w:rFonts w:ascii="Century" w:hAnsi="Century"/>
          <w:rtl/>
        </w:rPr>
        <w:t xml:space="preserve">, </w:t>
      </w:r>
      <w:r w:rsidRPr="00FC072E">
        <w:rPr>
          <w:rFonts w:ascii="Century" w:hAnsi="Century" w:hint="eastAsia"/>
          <w:rtl/>
        </w:rPr>
        <w:t>לדעתו</w:t>
      </w:r>
      <w:r w:rsidRPr="00FC072E">
        <w:rPr>
          <w:rFonts w:ascii="Century" w:hAnsi="Century"/>
          <w:rtl/>
        </w:rPr>
        <w:t xml:space="preserve">, </w:t>
      </w:r>
      <w:r w:rsidRPr="00FC072E">
        <w:rPr>
          <w:rFonts w:ascii="Century" w:hAnsi="Century" w:hint="eastAsia"/>
          <w:rtl/>
        </w:rPr>
        <w:t>להועיל</w:t>
      </w:r>
      <w:r w:rsidRPr="00FC072E">
        <w:rPr>
          <w:rFonts w:ascii="Century" w:hAnsi="Century"/>
          <w:rtl/>
        </w:rPr>
        <w:t xml:space="preserve"> </w:t>
      </w:r>
      <w:r w:rsidRPr="00FC072E">
        <w:rPr>
          <w:rFonts w:ascii="Century" w:hAnsi="Century" w:hint="eastAsia"/>
          <w:rtl/>
        </w:rPr>
        <w:t>למעונינים</w:t>
      </w:r>
      <w:r w:rsidRPr="00FC072E">
        <w:rPr>
          <w:rFonts w:ascii="Century" w:hAnsi="Century"/>
          <w:rtl/>
        </w:rPr>
        <w:t xml:space="preserve"> </w:t>
      </w:r>
      <w:r w:rsidRPr="00FC072E">
        <w:rPr>
          <w:rFonts w:ascii="Century" w:hAnsi="Century" w:hint="eastAsia"/>
          <w:rtl/>
        </w:rPr>
        <w:t>בהם</w:t>
      </w:r>
      <w:r>
        <w:rPr>
          <w:rFonts w:ascii="Century" w:hAnsi="Century" w:hint="cs"/>
          <w:rtl/>
        </w:rPr>
        <w:t>". בשנת 2013 המחוקק אף הוסיף תיקון לסעיף זה אשר קובע כי</w:t>
      </w:r>
      <w:r w:rsidRPr="00FC072E">
        <w:rPr>
          <w:rFonts w:ascii="Century" w:hAnsi="Century"/>
          <w:rtl/>
        </w:rPr>
        <w:t xml:space="preserve"> </w:t>
      </w:r>
      <w:r w:rsidRPr="00FC072E">
        <w:rPr>
          <w:rFonts w:ascii="Century" w:hAnsi="Century" w:hint="eastAsia"/>
          <w:rtl/>
        </w:rPr>
        <w:t>בין</w:t>
      </w:r>
      <w:r w:rsidRPr="00FC072E">
        <w:rPr>
          <w:rFonts w:ascii="Century" w:hAnsi="Century"/>
          <w:rtl/>
        </w:rPr>
        <w:t xml:space="preserve"> </w:t>
      </w:r>
      <w:r w:rsidRPr="00FC072E">
        <w:rPr>
          <w:rFonts w:ascii="Century" w:hAnsi="Century" w:hint="eastAsia"/>
          <w:rtl/>
        </w:rPr>
        <w:t>השאר</w:t>
      </w:r>
      <w:r w:rsidRPr="00FC072E">
        <w:rPr>
          <w:rFonts w:ascii="Century" w:hAnsi="Century"/>
          <w:rtl/>
        </w:rPr>
        <w:t xml:space="preserve">, </w:t>
      </w:r>
      <w:r>
        <w:rPr>
          <w:rFonts w:ascii="Century" w:hAnsi="Century" w:hint="cs"/>
          <w:rtl/>
        </w:rPr>
        <w:t>האפוטרופוס "</w:t>
      </w:r>
      <w:r w:rsidRPr="00FC072E">
        <w:rPr>
          <w:rFonts w:ascii="Century" w:hAnsi="Century" w:hint="eastAsia"/>
          <w:rtl/>
        </w:rPr>
        <w:t>אחת</w:t>
      </w:r>
      <w:r w:rsidRPr="00FC072E">
        <w:rPr>
          <w:rFonts w:ascii="Century" w:hAnsi="Century"/>
          <w:rtl/>
        </w:rPr>
        <w:t xml:space="preserve"> </w:t>
      </w:r>
      <w:r w:rsidRPr="00FC072E">
        <w:rPr>
          <w:rFonts w:ascii="Century" w:hAnsi="Century" w:hint="eastAsia"/>
          <w:rtl/>
        </w:rPr>
        <w:t>לחמש</w:t>
      </w:r>
      <w:r w:rsidRPr="00FC072E">
        <w:rPr>
          <w:rFonts w:ascii="Century" w:hAnsi="Century"/>
          <w:rtl/>
        </w:rPr>
        <w:t xml:space="preserve"> </w:t>
      </w:r>
      <w:r w:rsidRPr="00FC072E">
        <w:rPr>
          <w:rFonts w:ascii="Century" w:hAnsi="Century" w:hint="eastAsia"/>
          <w:rtl/>
        </w:rPr>
        <w:t>שנים</w:t>
      </w:r>
      <w:r w:rsidRPr="00FC072E">
        <w:rPr>
          <w:rFonts w:ascii="Century" w:hAnsi="Century"/>
          <w:rtl/>
        </w:rPr>
        <w:t xml:space="preserve"> </w:t>
      </w:r>
      <w:r w:rsidRPr="00FC072E">
        <w:rPr>
          <w:rFonts w:ascii="Century" w:hAnsi="Century" w:hint="eastAsia"/>
          <w:rtl/>
        </w:rPr>
        <w:t>מיום</w:t>
      </w:r>
      <w:r w:rsidRPr="00FC072E">
        <w:rPr>
          <w:rFonts w:ascii="Century" w:hAnsi="Century"/>
          <w:rtl/>
        </w:rPr>
        <w:t xml:space="preserve"> </w:t>
      </w:r>
      <w:r w:rsidRPr="00FC072E">
        <w:rPr>
          <w:rFonts w:ascii="Century" w:hAnsi="Century" w:hint="eastAsia"/>
          <w:rtl/>
        </w:rPr>
        <w:t>תחילת</w:t>
      </w:r>
      <w:r w:rsidRPr="00FC072E">
        <w:rPr>
          <w:rFonts w:ascii="Century" w:hAnsi="Century"/>
          <w:rtl/>
        </w:rPr>
        <w:t xml:space="preserve"> </w:t>
      </w:r>
      <w:r w:rsidRPr="00FC072E">
        <w:rPr>
          <w:rFonts w:ascii="Century" w:hAnsi="Century" w:hint="eastAsia"/>
          <w:rtl/>
        </w:rPr>
        <w:t>ניהולו</w:t>
      </w:r>
      <w:r w:rsidRPr="00FC072E">
        <w:rPr>
          <w:rFonts w:ascii="Century" w:hAnsi="Century"/>
          <w:rtl/>
        </w:rPr>
        <w:t xml:space="preserve"> </w:t>
      </w:r>
      <w:r w:rsidRPr="00FC072E">
        <w:rPr>
          <w:rFonts w:ascii="Century" w:hAnsi="Century" w:hint="eastAsia"/>
          <w:rtl/>
        </w:rPr>
        <w:t>של</w:t>
      </w:r>
      <w:r w:rsidRPr="00FC072E">
        <w:rPr>
          <w:rFonts w:ascii="Century" w:hAnsi="Century"/>
          <w:rtl/>
        </w:rPr>
        <w:t xml:space="preserve"> </w:t>
      </w:r>
      <w:r w:rsidRPr="00FC072E">
        <w:rPr>
          <w:rFonts w:ascii="Century" w:hAnsi="Century" w:hint="eastAsia"/>
          <w:rtl/>
        </w:rPr>
        <w:t>נכס</w:t>
      </w:r>
      <w:r w:rsidRPr="00FC072E">
        <w:rPr>
          <w:rFonts w:ascii="Century" w:hAnsi="Century"/>
          <w:rtl/>
        </w:rPr>
        <w:t xml:space="preserve"> </w:t>
      </w:r>
      <w:r w:rsidRPr="00FC072E">
        <w:rPr>
          <w:rFonts w:ascii="Century" w:hAnsi="Century" w:hint="eastAsia"/>
          <w:rtl/>
        </w:rPr>
        <w:t>כאמור</w:t>
      </w:r>
      <w:r w:rsidRPr="00FC072E">
        <w:rPr>
          <w:rFonts w:ascii="Century" w:hAnsi="Century"/>
          <w:rtl/>
        </w:rPr>
        <w:t xml:space="preserve">, </w:t>
      </w:r>
      <w:r w:rsidRPr="00FC072E">
        <w:rPr>
          <w:rFonts w:ascii="Century" w:hAnsi="Century" w:hint="eastAsia"/>
          <w:rtl/>
        </w:rPr>
        <w:t>ייזום</w:t>
      </w:r>
      <w:r w:rsidRPr="00FC072E">
        <w:rPr>
          <w:rFonts w:ascii="Century" w:hAnsi="Century"/>
          <w:rtl/>
        </w:rPr>
        <w:t xml:space="preserve"> </w:t>
      </w:r>
      <w:r w:rsidRPr="00FC072E">
        <w:rPr>
          <w:rFonts w:ascii="Century" w:hAnsi="Century" w:hint="eastAsia"/>
          <w:rtl/>
        </w:rPr>
        <w:t>הליך</w:t>
      </w:r>
      <w:r w:rsidRPr="00FC072E">
        <w:rPr>
          <w:rFonts w:ascii="Century" w:hAnsi="Century"/>
          <w:rtl/>
        </w:rPr>
        <w:t xml:space="preserve"> </w:t>
      </w:r>
      <w:r w:rsidRPr="00FC072E">
        <w:rPr>
          <w:rFonts w:ascii="Century" w:hAnsi="Century" w:hint="eastAsia"/>
          <w:rtl/>
        </w:rPr>
        <w:t>של</w:t>
      </w:r>
      <w:r w:rsidRPr="00FC072E">
        <w:rPr>
          <w:rFonts w:ascii="Century" w:hAnsi="Century"/>
          <w:rtl/>
        </w:rPr>
        <w:t xml:space="preserve"> </w:t>
      </w:r>
      <w:r w:rsidRPr="00FC072E">
        <w:rPr>
          <w:rFonts w:ascii="Century" w:hAnsi="Century" w:hint="eastAsia"/>
          <w:rtl/>
        </w:rPr>
        <w:t>חקירה</w:t>
      </w:r>
      <w:r w:rsidRPr="00FC072E">
        <w:rPr>
          <w:rFonts w:ascii="Century" w:hAnsi="Century"/>
          <w:rtl/>
        </w:rPr>
        <w:t xml:space="preserve"> </w:t>
      </w:r>
      <w:r w:rsidRPr="00FC072E">
        <w:rPr>
          <w:rFonts w:ascii="Century" w:hAnsi="Century" w:hint="eastAsia"/>
          <w:rtl/>
        </w:rPr>
        <w:t>ובדיקה</w:t>
      </w:r>
      <w:r w:rsidRPr="00FC072E">
        <w:rPr>
          <w:rFonts w:ascii="Century" w:hAnsi="Century"/>
          <w:rtl/>
        </w:rPr>
        <w:t xml:space="preserve"> </w:t>
      </w:r>
      <w:r w:rsidRPr="00FC072E">
        <w:rPr>
          <w:rFonts w:ascii="Century" w:hAnsi="Century" w:hint="eastAsia"/>
          <w:rtl/>
        </w:rPr>
        <w:t>לאיתור</w:t>
      </w:r>
      <w:r w:rsidRPr="00FC072E">
        <w:rPr>
          <w:rFonts w:ascii="Century" w:hAnsi="Century"/>
          <w:rtl/>
        </w:rPr>
        <w:t xml:space="preserve"> </w:t>
      </w:r>
      <w:r w:rsidRPr="00FC072E">
        <w:rPr>
          <w:rFonts w:ascii="Century" w:hAnsi="Century" w:hint="eastAsia"/>
          <w:rtl/>
        </w:rPr>
        <w:t>בעלי</w:t>
      </w:r>
      <w:r w:rsidRPr="00FC072E">
        <w:rPr>
          <w:rFonts w:ascii="Century" w:hAnsi="Century"/>
          <w:rtl/>
        </w:rPr>
        <w:t xml:space="preserve"> </w:t>
      </w:r>
      <w:r w:rsidRPr="00FC072E">
        <w:rPr>
          <w:rFonts w:ascii="Century" w:hAnsi="Century" w:hint="eastAsia"/>
          <w:rtl/>
        </w:rPr>
        <w:t>הזכויות</w:t>
      </w:r>
      <w:r w:rsidRPr="00FC072E">
        <w:rPr>
          <w:rFonts w:ascii="Century" w:hAnsi="Century"/>
          <w:rtl/>
        </w:rPr>
        <w:t xml:space="preserve"> </w:t>
      </w:r>
      <w:r w:rsidRPr="00FC072E">
        <w:rPr>
          <w:rFonts w:ascii="Century" w:hAnsi="Century" w:hint="eastAsia"/>
          <w:rtl/>
        </w:rPr>
        <w:t>בנכס</w:t>
      </w:r>
      <w:r w:rsidRPr="00FC072E">
        <w:rPr>
          <w:rFonts w:ascii="Century" w:hAnsi="Century"/>
          <w:rtl/>
        </w:rPr>
        <w:t xml:space="preserve">, </w:t>
      </w:r>
      <w:r w:rsidRPr="00FC072E">
        <w:rPr>
          <w:rFonts w:ascii="Century" w:hAnsi="Century" w:hint="eastAsia"/>
          <w:rtl/>
        </w:rPr>
        <w:t>במטרה</w:t>
      </w:r>
      <w:r w:rsidRPr="00FC072E">
        <w:rPr>
          <w:rFonts w:ascii="Century" w:hAnsi="Century"/>
          <w:rtl/>
        </w:rPr>
        <w:t xml:space="preserve"> </w:t>
      </w:r>
      <w:r w:rsidRPr="00FC072E">
        <w:rPr>
          <w:rFonts w:ascii="Century" w:hAnsi="Century" w:hint="eastAsia"/>
          <w:rtl/>
        </w:rPr>
        <w:t>להשיב</w:t>
      </w:r>
      <w:r w:rsidRPr="00FC072E">
        <w:rPr>
          <w:rFonts w:ascii="Century" w:hAnsi="Century"/>
          <w:rtl/>
        </w:rPr>
        <w:t xml:space="preserve"> </w:t>
      </w:r>
      <w:r w:rsidRPr="00FC072E">
        <w:rPr>
          <w:rFonts w:ascii="Century" w:hAnsi="Century" w:hint="eastAsia"/>
          <w:rtl/>
        </w:rPr>
        <w:t>את</w:t>
      </w:r>
      <w:r w:rsidRPr="00FC072E">
        <w:rPr>
          <w:rFonts w:ascii="Century" w:hAnsi="Century"/>
          <w:rtl/>
        </w:rPr>
        <w:t xml:space="preserve"> </w:t>
      </w:r>
      <w:r w:rsidRPr="00FC072E">
        <w:rPr>
          <w:rFonts w:ascii="Century" w:hAnsi="Century" w:hint="eastAsia"/>
          <w:rtl/>
        </w:rPr>
        <w:t>הנכס</w:t>
      </w:r>
      <w:r w:rsidRPr="00FC072E">
        <w:rPr>
          <w:rFonts w:ascii="Century" w:hAnsi="Century"/>
          <w:rtl/>
        </w:rPr>
        <w:t xml:space="preserve"> </w:t>
      </w:r>
      <w:r w:rsidRPr="00FC072E">
        <w:rPr>
          <w:rFonts w:ascii="Century" w:hAnsi="Century" w:hint="eastAsia"/>
          <w:rtl/>
        </w:rPr>
        <w:t>לבעלי</w:t>
      </w:r>
      <w:r w:rsidRPr="00FC072E">
        <w:rPr>
          <w:rFonts w:ascii="Century" w:hAnsi="Century"/>
          <w:rtl/>
        </w:rPr>
        <w:t xml:space="preserve"> </w:t>
      </w:r>
      <w:r w:rsidRPr="00FC072E">
        <w:rPr>
          <w:rFonts w:ascii="Century" w:hAnsi="Century" w:hint="eastAsia"/>
          <w:rtl/>
        </w:rPr>
        <w:t>הזכויות</w:t>
      </w:r>
      <w:r w:rsidRPr="00FC072E">
        <w:rPr>
          <w:rFonts w:ascii="Century" w:hAnsi="Century"/>
          <w:rtl/>
        </w:rPr>
        <w:t xml:space="preserve"> </w:t>
      </w:r>
      <w:r w:rsidRPr="00FC072E">
        <w:rPr>
          <w:rFonts w:ascii="Century" w:hAnsi="Century" w:hint="eastAsia"/>
          <w:rtl/>
        </w:rPr>
        <w:t>בו</w:t>
      </w:r>
      <w:r>
        <w:rPr>
          <w:rFonts w:ascii="Century" w:hAnsi="Century" w:hint="cs"/>
          <w:rtl/>
        </w:rPr>
        <w:t xml:space="preserve">". בהמשך לכך, הסעיף מוסיף ומורה כי על האפוטרופוס הכללי לפרסם הודעה לציבור באתר האינטרנט של משרד המשפטים </w:t>
      </w:r>
      <w:r w:rsidRPr="00282A2C">
        <w:rPr>
          <w:rFonts w:ascii="Century" w:hAnsi="Century" w:hint="eastAsia"/>
          <w:rtl/>
        </w:rPr>
        <w:t>שתכלול</w:t>
      </w:r>
      <w:r w:rsidRPr="00282A2C">
        <w:rPr>
          <w:rFonts w:ascii="Century" w:hAnsi="Century"/>
          <w:rtl/>
        </w:rPr>
        <w:t xml:space="preserve"> </w:t>
      </w:r>
      <w:r w:rsidRPr="00282A2C">
        <w:rPr>
          <w:rFonts w:ascii="Century" w:hAnsi="Century" w:hint="eastAsia"/>
          <w:rtl/>
        </w:rPr>
        <w:t>את</w:t>
      </w:r>
      <w:r w:rsidRPr="00282A2C">
        <w:rPr>
          <w:rFonts w:ascii="Century" w:hAnsi="Century"/>
          <w:rtl/>
        </w:rPr>
        <w:t xml:space="preserve"> </w:t>
      </w:r>
      <w:r w:rsidRPr="00282A2C">
        <w:rPr>
          <w:rFonts w:ascii="Century" w:hAnsi="Century" w:hint="eastAsia"/>
          <w:rtl/>
        </w:rPr>
        <w:t>סוג</w:t>
      </w:r>
      <w:r w:rsidRPr="00282A2C">
        <w:rPr>
          <w:rFonts w:ascii="Century" w:hAnsi="Century"/>
          <w:rtl/>
        </w:rPr>
        <w:t xml:space="preserve"> </w:t>
      </w:r>
      <w:r w:rsidRPr="00282A2C">
        <w:rPr>
          <w:rFonts w:ascii="Century" w:hAnsi="Century" w:hint="eastAsia"/>
          <w:rtl/>
        </w:rPr>
        <w:t>הנכס</w:t>
      </w:r>
      <w:r w:rsidRPr="00282A2C">
        <w:rPr>
          <w:rFonts w:ascii="Century" w:hAnsi="Century"/>
          <w:rtl/>
        </w:rPr>
        <w:t xml:space="preserve"> </w:t>
      </w:r>
      <w:r w:rsidRPr="00282A2C">
        <w:rPr>
          <w:rFonts w:ascii="Century" w:hAnsi="Century" w:hint="eastAsia"/>
          <w:rtl/>
        </w:rPr>
        <w:t>ואת</w:t>
      </w:r>
      <w:r w:rsidRPr="00282A2C">
        <w:rPr>
          <w:rFonts w:ascii="Century" w:hAnsi="Century"/>
          <w:rtl/>
        </w:rPr>
        <w:t xml:space="preserve"> </w:t>
      </w:r>
      <w:r w:rsidRPr="00282A2C">
        <w:rPr>
          <w:rFonts w:ascii="Century" w:hAnsi="Century" w:hint="eastAsia"/>
          <w:rtl/>
        </w:rPr>
        <w:t>שמו</w:t>
      </w:r>
      <w:r w:rsidRPr="00282A2C">
        <w:rPr>
          <w:rFonts w:ascii="Century" w:hAnsi="Century"/>
          <w:rtl/>
        </w:rPr>
        <w:t xml:space="preserve"> </w:t>
      </w:r>
      <w:r w:rsidRPr="00282A2C">
        <w:rPr>
          <w:rFonts w:ascii="Century" w:hAnsi="Century" w:hint="eastAsia"/>
          <w:rtl/>
        </w:rPr>
        <w:t>של</w:t>
      </w:r>
      <w:r w:rsidRPr="00282A2C">
        <w:rPr>
          <w:rFonts w:ascii="Century" w:hAnsi="Century"/>
          <w:rtl/>
        </w:rPr>
        <w:t xml:space="preserve"> </w:t>
      </w:r>
      <w:r w:rsidRPr="00282A2C">
        <w:rPr>
          <w:rFonts w:ascii="Century" w:hAnsi="Century" w:hint="eastAsia"/>
          <w:rtl/>
        </w:rPr>
        <w:t>בעל</w:t>
      </w:r>
      <w:r w:rsidRPr="00282A2C">
        <w:rPr>
          <w:rFonts w:ascii="Century" w:hAnsi="Century"/>
          <w:rtl/>
        </w:rPr>
        <w:t xml:space="preserve"> </w:t>
      </w:r>
      <w:r w:rsidRPr="00282A2C">
        <w:rPr>
          <w:rFonts w:ascii="Century" w:hAnsi="Century" w:hint="eastAsia"/>
          <w:rtl/>
        </w:rPr>
        <w:t>הזכויות</w:t>
      </w:r>
      <w:r w:rsidRPr="00282A2C">
        <w:rPr>
          <w:rFonts w:ascii="Century" w:hAnsi="Century"/>
          <w:rtl/>
        </w:rPr>
        <w:t xml:space="preserve"> </w:t>
      </w:r>
      <w:r w:rsidRPr="00282A2C">
        <w:rPr>
          <w:rFonts w:ascii="Century" w:hAnsi="Century" w:hint="eastAsia"/>
          <w:rtl/>
        </w:rPr>
        <w:t>האחרון</w:t>
      </w:r>
      <w:r w:rsidRPr="00282A2C">
        <w:rPr>
          <w:rFonts w:ascii="Century" w:hAnsi="Century"/>
          <w:rtl/>
        </w:rPr>
        <w:t xml:space="preserve"> </w:t>
      </w:r>
      <w:r w:rsidRPr="00282A2C">
        <w:rPr>
          <w:rFonts w:ascii="Century" w:hAnsi="Century" w:hint="eastAsia"/>
          <w:rtl/>
        </w:rPr>
        <w:t>בנכס</w:t>
      </w:r>
      <w:r>
        <w:rPr>
          <w:rFonts w:ascii="Century" w:hAnsi="Century" w:hint="cs"/>
          <w:rtl/>
        </w:rPr>
        <w:t xml:space="preserve">, וכן לפנות </w:t>
      </w:r>
      <w:r w:rsidRPr="00282A2C">
        <w:rPr>
          <w:rFonts w:ascii="Century" w:hAnsi="Century" w:hint="eastAsia"/>
          <w:rtl/>
        </w:rPr>
        <w:t>לרשות</w:t>
      </w:r>
      <w:r w:rsidRPr="00282A2C">
        <w:rPr>
          <w:rFonts w:ascii="Century" w:hAnsi="Century"/>
          <w:rtl/>
        </w:rPr>
        <w:t xml:space="preserve"> </w:t>
      </w:r>
      <w:r w:rsidRPr="00282A2C">
        <w:rPr>
          <w:rFonts w:ascii="Century" w:hAnsi="Century" w:hint="eastAsia"/>
          <w:rtl/>
        </w:rPr>
        <w:t>האוכלוסין</w:t>
      </w:r>
      <w:r w:rsidRPr="00282A2C">
        <w:rPr>
          <w:rFonts w:ascii="Century" w:hAnsi="Century"/>
          <w:rtl/>
        </w:rPr>
        <w:t xml:space="preserve">, </w:t>
      </w:r>
      <w:r w:rsidRPr="00282A2C">
        <w:rPr>
          <w:rFonts w:ascii="Century" w:hAnsi="Century" w:hint="eastAsia"/>
          <w:rtl/>
        </w:rPr>
        <w:t>ההגירה</w:t>
      </w:r>
      <w:r w:rsidRPr="00282A2C">
        <w:rPr>
          <w:rFonts w:ascii="Century" w:hAnsi="Century"/>
          <w:rtl/>
        </w:rPr>
        <w:t xml:space="preserve"> </w:t>
      </w:r>
      <w:r w:rsidRPr="00282A2C">
        <w:rPr>
          <w:rFonts w:ascii="Century" w:hAnsi="Century" w:hint="eastAsia"/>
          <w:rtl/>
        </w:rPr>
        <w:t>ומעברי</w:t>
      </w:r>
      <w:r w:rsidRPr="00282A2C">
        <w:rPr>
          <w:rFonts w:ascii="Century" w:hAnsi="Century"/>
          <w:rtl/>
        </w:rPr>
        <w:t xml:space="preserve"> </w:t>
      </w:r>
      <w:r w:rsidRPr="00282A2C">
        <w:rPr>
          <w:rFonts w:ascii="Century" w:hAnsi="Century" w:hint="eastAsia"/>
          <w:rtl/>
        </w:rPr>
        <w:t>הגבול</w:t>
      </w:r>
      <w:r w:rsidRPr="00282A2C">
        <w:rPr>
          <w:rFonts w:ascii="Century" w:hAnsi="Century"/>
          <w:rtl/>
        </w:rPr>
        <w:t xml:space="preserve"> </w:t>
      </w:r>
      <w:r w:rsidRPr="00282A2C">
        <w:rPr>
          <w:rFonts w:ascii="Century" w:hAnsi="Century" w:hint="eastAsia"/>
          <w:rtl/>
        </w:rPr>
        <w:t>במשרד</w:t>
      </w:r>
      <w:r w:rsidRPr="00282A2C">
        <w:rPr>
          <w:rFonts w:ascii="Century" w:hAnsi="Century"/>
          <w:rtl/>
        </w:rPr>
        <w:t xml:space="preserve"> </w:t>
      </w:r>
      <w:r w:rsidRPr="00282A2C">
        <w:rPr>
          <w:rFonts w:ascii="Century" w:hAnsi="Century" w:hint="eastAsia"/>
          <w:rtl/>
        </w:rPr>
        <w:t>הפנים</w:t>
      </w:r>
      <w:r w:rsidRPr="00282A2C">
        <w:rPr>
          <w:rFonts w:ascii="Century" w:hAnsi="Century"/>
          <w:rtl/>
        </w:rPr>
        <w:t xml:space="preserve"> </w:t>
      </w:r>
      <w:r w:rsidRPr="00282A2C">
        <w:rPr>
          <w:rFonts w:ascii="Century" w:hAnsi="Century" w:hint="eastAsia"/>
          <w:rtl/>
        </w:rPr>
        <w:t>ולרשם</w:t>
      </w:r>
      <w:r w:rsidRPr="00282A2C">
        <w:rPr>
          <w:rFonts w:ascii="Century" w:hAnsi="Century"/>
          <w:rtl/>
        </w:rPr>
        <w:t xml:space="preserve"> </w:t>
      </w:r>
      <w:r w:rsidRPr="00282A2C">
        <w:rPr>
          <w:rFonts w:ascii="Century" w:hAnsi="Century" w:hint="eastAsia"/>
          <w:rtl/>
        </w:rPr>
        <w:t>לענייני</w:t>
      </w:r>
      <w:r w:rsidRPr="00282A2C">
        <w:rPr>
          <w:rFonts w:ascii="Century" w:hAnsi="Century"/>
          <w:rtl/>
        </w:rPr>
        <w:t xml:space="preserve"> </w:t>
      </w:r>
      <w:r w:rsidRPr="00282A2C">
        <w:rPr>
          <w:rFonts w:ascii="Century" w:hAnsi="Century" w:hint="eastAsia"/>
          <w:rtl/>
        </w:rPr>
        <w:t>ירושה</w:t>
      </w:r>
      <w:r w:rsidRPr="00282A2C">
        <w:rPr>
          <w:rFonts w:ascii="Century" w:hAnsi="Century"/>
          <w:rtl/>
        </w:rPr>
        <w:t xml:space="preserve"> </w:t>
      </w:r>
      <w:r w:rsidRPr="00282A2C">
        <w:rPr>
          <w:rFonts w:ascii="Century" w:hAnsi="Century" w:hint="eastAsia"/>
          <w:rtl/>
        </w:rPr>
        <w:t>לשם</w:t>
      </w:r>
      <w:r w:rsidRPr="00282A2C">
        <w:rPr>
          <w:rFonts w:ascii="Century" w:hAnsi="Century"/>
          <w:rtl/>
        </w:rPr>
        <w:t xml:space="preserve"> </w:t>
      </w:r>
      <w:r w:rsidRPr="00282A2C">
        <w:rPr>
          <w:rFonts w:ascii="Century" w:hAnsi="Century" w:hint="eastAsia"/>
          <w:rtl/>
        </w:rPr>
        <w:t>בירור</w:t>
      </w:r>
      <w:r w:rsidRPr="00282A2C">
        <w:rPr>
          <w:rFonts w:ascii="Century" w:hAnsi="Century"/>
          <w:rtl/>
        </w:rPr>
        <w:t xml:space="preserve"> </w:t>
      </w:r>
      <w:r w:rsidRPr="00282A2C">
        <w:rPr>
          <w:rFonts w:ascii="Century" w:hAnsi="Century" w:hint="eastAsia"/>
          <w:rtl/>
        </w:rPr>
        <w:t>מידע</w:t>
      </w:r>
      <w:r w:rsidRPr="00282A2C">
        <w:rPr>
          <w:rFonts w:ascii="Century" w:hAnsi="Century"/>
          <w:rtl/>
        </w:rPr>
        <w:t xml:space="preserve"> </w:t>
      </w:r>
      <w:r w:rsidRPr="00282A2C">
        <w:rPr>
          <w:rFonts w:ascii="Century" w:hAnsi="Century" w:hint="eastAsia"/>
          <w:rtl/>
        </w:rPr>
        <w:t>שיכול</w:t>
      </w:r>
      <w:r w:rsidRPr="00282A2C">
        <w:rPr>
          <w:rFonts w:ascii="Century" w:hAnsi="Century"/>
          <w:rtl/>
        </w:rPr>
        <w:t xml:space="preserve"> </w:t>
      </w:r>
      <w:r w:rsidRPr="00282A2C">
        <w:rPr>
          <w:rFonts w:ascii="Century" w:hAnsi="Century" w:hint="eastAsia"/>
          <w:rtl/>
        </w:rPr>
        <w:t>לסייע</w:t>
      </w:r>
      <w:r w:rsidRPr="00282A2C">
        <w:rPr>
          <w:rFonts w:ascii="Century" w:hAnsi="Century"/>
          <w:rtl/>
        </w:rPr>
        <w:t xml:space="preserve"> </w:t>
      </w:r>
      <w:r w:rsidRPr="00282A2C">
        <w:rPr>
          <w:rFonts w:ascii="Century" w:hAnsi="Century" w:hint="eastAsia"/>
          <w:rtl/>
        </w:rPr>
        <w:t>באיתורם</w:t>
      </w:r>
      <w:r w:rsidRPr="00282A2C">
        <w:rPr>
          <w:rFonts w:ascii="Century" w:hAnsi="Century"/>
          <w:rtl/>
        </w:rPr>
        <w:t xml:space="preserve"> </w:t>
      </w:r>
      <w:r w:rsidRPr="00282A2C">
        <w:rPr>
          <w:rFonts w:ascii="Century" w:hAnsi="Century" w:hint="eastAsia"/>
          <w:rtl/>
        </w:rPr>
        <w:t>של</w:t>
      </w:r>
      <w:r w:rsidRPr="00282A2C">
        <w:rPr>
          <w:rFonts w:ascii="Century" w:hAnsi="Century"/>
          <w:rtl/>
        </w:rPr>
        <w:t xml:space="preserve"> </w:t>
      </w:r>
      <w:r w:rsidRPr="00282A2C">
        <w:rPr>
          <w:rFonts w:ascii="Century" w:hAnsi="Century" w:hint="eastAsia"/>
          <w:rtl/>
        </w:rPr>
        <w:t>בעלי</w:t>
      </w:r>
      <w:r w:rsidRPr="00282A2C">
        <w:rPr>
          <w:rFonts w:ascii="Century" w:hAnsi="Century"/>
          <w:rtl/>
        </w:rPr>
        <w:t xml:space="preserve"> </w:t>
      </w:r>
      <w:r w:rsidRPr="00282A2C">
        <w:rPr>
          <w:rFonts w:ascii="Century" w:hAnsi="Century" w:hint="eastAsia"/>
          <w:rtl/>
        </w:rPr>
        <w:t>הזכויות</w:t>
      </w:r>
      <w:r w:rsidRPr="00282A2C">
        <w:rPr>
          <w:rFonts w:ascii="Century" w:hAnsi="Century"/>
          <w:rtl/>
        </w:rPr>
        <w:t xml:space="preserve"> </w:t>
      </w:r>
      <w:r w:rsidRPr="00282A2C">
        <w:rPr>
          <w:rFonts w:ascii="Century" w:hAnsi="Century" w:hint="eastAsia"/>
          <w:rtl/>
        </w:rPr>
        <w:t>בנכס</w:t>
      </w:r>
      <w:r>
        <w:rPr>
          <w:rFonts w:ascii="Century" w:hAnsi="Century" w:hint="cs"/>
          <w:rtl/>
        </w:rPr>
        <w:t xml:space="preserve"> (ראו גם את דברי ההסבר להצעת חוק </w:t>
      </w:r>
      <w:r w:rsidRPr="00B60250">
        <w:rPr>
          <w:rFonts w:ascii="Century" w:hAnsi="Century" w:hint="eastAsia"/>
          <w:rtl/>
        </w:rPr>
        <w:t>לשינוי</w:t>
      </w:r>
      <w:r w:rsidRPr="00B60250">
        <w:rPr>
          <w:rFonts w:ascii="Century" w:hAnsi="Century"/>
          <w:rtl/>
        </w:rPr>
        <w:t xml:space="preserve"> </w:t>
      </w:r>
      <w:r w:rsidRPr="00B60250">
        <w:rPr>
          <w:rFonts w:ascii="Century" w:hAnsi="Century" w:hint="eastAsia"/>
          <w:rtl/>
        </w:rPr>
        <w:t>סדרי</w:t>
      </w:r>
      <w:r w:rsidRPr="00B60250">
        <w:rPr>
          <w:rFonts w:ascii="Century" w:hAnsi="Century"/>
          <w:rtl/>
        </w:rPr>
        <w:t xml:space="preserve"> </w:t>
      </w:r>
      <w:r w:rsidRPr="00B60250">
        <w:rPr>
          <w:rFonts w:ascii="Century" w:hAnsi="Century" w:hint="eastAsia"/>
          <w:rtl/>
        </w:rPr>
        <w:t>עדיפויות</w:t>
      </w:r>
      <w:r w:rsidRPr="00B60250">
        <w:rPr>
          <w:rFonts w:ascii="Century" w:hAnsi="Century"/>
          <w:rtl/>
        </w:rPr>
        <w:t xml:space="preserve"> </w:t>
      </w:r>
      <w:r w:rsidRPr="00B60250">
        <w:rPr>
          <w:rFonts w:ascii="Century" w:hAnsi="Century" w:hint="eastAsia"/>
          <w:rtl/>
        </w:rPr>
        <w:t>לאומיים</w:t>
      </w:r>
      <w:r w:rsidRPr="00B60250">
        <w:rPr>
          <w:rFonts w:ascii="Century" w:hAnsi="Century"/>
          <w:rtl/>
        </w:rPr>
        <w:t xml:space="preserve"> (</w:t>
      </w:r>
      <w:r w:rsidRPr="00B60250">
        <w:rPr>
          <w:rFonts w:ascii="Century" w:hAnsi="Century" w:hint="eastAsia"/>
          <w:rtl/>
        </w:rPr>
        <w:t>תיקוני</w:t>
      </w:r>
      <w:r w:rsidRPr="00B60250">
        <w:rPr>
          <w:rFonts w:ascii="Century" w:hAnsi="Century"/>
          <w:rtl/>
        </w:rPr>
        <w:t xml:space="preserve"> </w:t>
      </w:r>
      <w:r w:rsidRPr="00B60250">
        <w:rPr>
          <w:rFonts w:ascii="Century" w:hAnsi="Century" w:hint="eastAsia"/>
          <w:rtl/>
        </w:rPr>
        <w:t>חקיקה</w:t>
      </w:r>
      <w:r w:rsidRPr="00B60250">
        <w:rPr>
          <w:rFonts w:ascii="Century" w:hAnsi="Century"/>
          <w:rtl/>
        </w:rPr>
        <w:t xml:space="preserve"> </w:t>
      </w:r>
      <w:r w:rsidRPr="00B60250">
        <w:rPr>
          <w:rFonts w:ascii="Century" w:hAnsi="Century" w:hint="eastAsia"/>
          <w:rtl/>
        </w:rPr>
        <w:t>להשגת</w:t>
      </w:r>
      <w:r w:rsidRPr="00B60250">
        <w:rPr>
          <w:rFonts w:ascii="Century" w:hAnsi="Century"/>
          <w:rtl/>
        </w:rPr>
        <w:t xml:space="preserve"> </w:t>
      </w:r>
      <w:r w:rsidRPr="00B60250">
        <w:rPr>
          <w:rFonts w:ascii="Century" w:hAnsi="Century" w:hint="eastAsia"/>
          <w:rtl/>
        </w:rPr>
        <w:t>יעדי</w:t>
      </w:r>
      <w:r w:rsidRPr="00B60250">
        <w:rPr>
          <w:rFonts w:ascii="Century" w:hAnsi="Century"/>
          <w:rtl/>
        </w:rPr>
        <w:t xml:space="preserve"> </w:t>
      </w:r>
      <w:r w:rsidRPr="00B60250">
        <w:rPr>
          <w:rFonts w:ascii="Century" w:hAnsi="Century" w:hint="eastAsia"/>
          <w:rtl/>
        </w:rPr>
        <w:t>התקציב</w:t>
      </w:r>
      <w:r w:rsidRPr="00B60250">
        <w:rPr>
          <w:rFonts w:ascii="Century" w:hAnsi="Century"/>
          <w:rtl/>
        </w:rPr>
        <w:t xml:space="preserve"> </w:t>
      </w:r>
      <w:r w:rsidRPr="00B60250">
        <w:rPr>
          <w:rFonts w:ascii="Century" w:hAnsi="Century" w:hint="eastAsia"/>
          <w:rtl/>
        </w:rPr>
        <w:t>לשנים</w:t>
      </w:r>
      <w:r w:rsidRPr="00B60250">
        <w:rPr>
          <w:rFonts w:ascii="Century" w:hAnsi="Century"/>
          <w:rtl/>
        </w:rPr>
        <w:t xml:space="preserve"> 2013 </w:t>
      </w:r>
      <w:r w:rsidRPr="00B60250">
        <w:rPr>
          <w:rFonts w:ascii="Century" w:hAnsi="Century" w:hint="eastAsia"/>
          <w:rtl/>
        </w:rPr>
        <w:t>ו</w:t>
      </w:r>
      <w:r w:rsidRPr="00B60250">
        <w:rPr>
          <w:rFonts w:ascii="Century" w:hAnsi="Century"/>
          <w:rtl/>
        </w:rPr>
        <w:t xml:space="preserve">-2014), </w:t>
      </w:r>
      <w:r>
        <w:rPr>
          <w:rFonts w:ascii="Century" w:hAnsi="Century" w:hint="cs"/>
          <w:rtl/>
        </w:rPr>
        <w:t>ה</w:t>
      </w:r>
      <w:r w:rsidRPr="00B60250">
        <w:rPr>
          <w:rFonts w:ascii="Century" w:hAnsi="Century" w:hint="eastAsia"/>
          <w:rtl/>
        </w:rPr>
        <w:t>תשע</w:t>
      </w:r>
      <w:r w:rsidRPr="00B60250">
        <w:rPr>
          <w:rFonts w:ascii="Century" w:hAnsi="Century"/>
          <w:rtl/>
        </w:rPr>
        <w:t>"</w:t>
      </w:r>
      <w:r w:rsidRPr="00B60250">
        <w:rPr>
          <w:rFonts w:ascii="Century" w:hAnsi="Century" w:hint="eastAsia"/>
          <w:rtl/>
        </w:rPr>
        <w:t>ג</w:t>
      </w:r>
      <w:r w:rsidRPr="00B60250">
        <w:rPr>
          <w:rFonts w:ascii="Century" w:hAnsi="Century"/>
          <w:rtl/>
        </w:rPr>
        <w:t>-2013</w:t>
      </w:r>
      <w:r>
        <w:rPr>
          <w:rFonts w:ascii="Century" w:hAnsi="Century" w:hint="cs"/>
          <w:rtl/>
        </w:rPr>
        <w:t>). יתר על כן, בתקנות האפוטרופוס הכללי (סדרי דין וביצוע), התשל"ח-1978 נקבעו הוראות קונקרטיות באשר לדרך ניהולם של נכסים שניתן לגביהם צו ניהול בידי האפוטרופוס הכללי, ובכלל זה כי "</w:t>
      </w:r>
      <w:r w:rsidRPr="002E453E">
        <w:rPr>
          <w:rFonts w:ascii="Century" w:hAnsi="Century" w:hint="eastAsia"/>
          <w:rtl/>
        </w:rPr>
        <w:t>האפוטרופוס</w:t>
      </w:r>
      <w:r w:rsidRPr="002E453E">
        <w:rPr>
          <w:rFonts w:ascii="Century" w:hAnsi="Century"/>
          <w:rtl/>
        </w:rPr>
        <w:t xml:space="preserve"> </w:t>
      </w:r>
      <w:r w:rsidRPr="002E453E">
        <w:rPr>
          <w:rFonts w:ascii="Century" w:hAnsi="Century" w:hint="eastAsia"/>
          <w:rtl/>
        </w:rPr>
        <w:t>הכללי</w:t>
      </w:r>
      <w:r w:rsidRPr="002E453E">
        <w:rPr>
          <w:rFonts w:ascii="Century" w:hAnsi="Century"/>
          <w:rtl/>
        </w:rPr>
        <w:t xml:space="preserve"> </w:t>
      </w:r>
      <w:r w:rsidRPr="002E453E">
        <w:rPr>
          <w:rFonts w:ascii="Century" w:hAnsi="Century" w:hint="eastAsia"/>
          <w:rtl/>
        </w:rPr>
        <w:t>יקיים</w:t>
      </w:r>
      <w:r w:rsidRPr="002E453E">
        <w:rPr>
          <w:rFonts w:ascii="Century" w:hAnsi="Century"/>
          <w:rtl/>
        </w:rPr>
        <w:t xml:space="preserve"> </w:t>
      </w:r>
      <w:r w:rsidRPr="002E453E">
        <w:rPr>
          <w:rFonts w:ascii="Century" w:hAnsi="Century" w:hint="eastAsia"/>
          <w:rtl/>
        </w:rPr>
        <w:t>בקביעות</w:t>
      </w:r>
      <w:r w:rsidRPr="002E453E">
        <w:rPr>
          <w:rFonts w:ascii="Century" w:hAnsi="Century"/>
          <w:rtl/>
        </w:rPr>
        <w:t xml:space="preserve"> </w:t>
      </w:r>
      <w:r w:rsidRPr="002E453E">
        <w:rPr>
          <w:rFonts w:ascii="Century" w:hAnsi="Century" w:hint="eastAsia"/>
          <w:rtl/>
        </w:rPr>
        <w:t>בקורת</w:t>
      </w:r>
      <w:r w:rsidRPr="002E453E">
        <w:rPr>
          <w:rFonts w:ascii="Century" w:hAnsi="Century"/>
          <w:rtl/>
        </w:rPr>
        <w:t xml:space="preserve"> </w:t>
      </w:r>
      <w:r w:rsidRPr="002E453E">
        <w:rPr>
          <w:rFonts w:ascii="Century" w:hAnsi="Century" w:hint="eastAsia"/>
          <w:rtl/>
        </w:rPr>
        <w:t>על</w:t>
      </w:r>
      <w:r w:rsidRPr="002E453E">
        <w:rPr>
          <w:rFonts w:ascii="Century" w:hAnsi="Century"/>
          <w:rtl/>
        </w:rPr>
        <w:t xml:space="preserve"> </w:t>
      </w:r>
      <w:r w:rsidRPr="002E453E">
        <w:rPr>
          <w:rFonts w:ascii="Century" w:hAnsi="Century" w:hint="eastAsia"/>
          <w:rtl/>
        </w:rPr>
        <w:t>תקינות</w:t>
      </w:r>
      <w:r w:rsidRPr="002E453E">
        <w:rPr>
          <w:rFonts w:ascii="Century" w:hAnsi="Century"/>
          <w:rtl/>
        </w:rPr>
        <w:t xml:space="preserve"> </w:t>
      </w:r>
      <w:r w:rsidRPr="002E453E">
        <w:rPr>
          <w:rFonts w:ascii="Century" w:hAnsi="Century" w:hint="eastAsia"/>
          <w:rtl/>
        </w:rPr>
        <w:t>הרכוש</w:t>
      </w:r>
      <w:r w:rsidRPr="002E453E">
        <w:rPr>
          <w:rFonts w:ascii="Century" w:hAnsi="Century"/>
          <w:rtl/>
        </w:rPr>
        <w:t xml:space="preserve"> </w:t>
      </w:r>
      <w:r w:rsidRPr="002E453E">
        <w:rPr>
          <w:rFonts w:ascii="Century" w:hAnsi="Century" w:hint="eastAsia"/>
          <w:rtl/>
        </w:rPr>
        <w:t>המנוהל</w:t>
      </w:r>
      <w:r w:rsidRPr="002E453E">
        <w:rPr>
          <w:rFonts w:ascii="Century" w:hAnsi="Century"/>
          <w:rtl/>
        </w:rPr>
        <w:t xml:space="preserve"> </w:t>
      </w:r>
      <w:r w:rsidRPr="002E453E">
        <w:rPr>
          <w:rFonts w:ascii="Century" w:hAnsi="Century" w:hint="eastAsia"/>
          <w:rtl/>
        </w:rPr>
        <w:t>בידו</w:t>
      </w:r>
      <w:r>
        <w:rPr>
          <w:rFonts w:ascii="Century" w:hAnsi="Century" w:hint="cs"/>
          <w:rtl/>
        </w:rPr>
        <w:t>" (תקנה 18) וכן כי האפוטרופוס הכללי ינהל רישום של הנכס ושל הערכת שוויו (תקנות 17-15). מכלול הוראות אלה מלמדות על כך שהחשש העומד בבסיסו של סעיף 113(ב) לחוק המקרקעין בכל הנוגע למקרקעי ציבור אינו צפוי להתממש ביחס לנכסים המוקנים לאפוטרופוס הכללי. זאת, מאחר שהדין מחייב את האפוטרופוס הכללי בחובות ניהול שנועדו למנוע מצב שבו נכס בבעלותו יעבור לשליטתו של פולש מבלי שהדבר יהיה ידוע לאורך זמן.</w:t>
      </w:r>
    </w:p>
    <w:p w:rsidR="00761030" w:rsidRDefault="00761030" w:rsidP="00761030">
      <w:pPr>
        <w:pStyle w:val="Ruller41"/>
        <w:rPr>
          <w:rFonts w:ascii="Century" w:hAnsi="Century"/>
          <w:rtl/>
        </w:rPr>
      </w:pPr>
    </w:p>
    <w:p w:rsidR="00761030" w:rsidRPr="00AA17EA" w:rsidRDefault="00761030" w:rsidP="00761030">
      <w:pPr>
        <w:pStyle w:val="Ruller41"/>
        <w:rPr>
          <w:rFonts w:ascii="Century" w:hAnsi="Century"/>
          <w:rtl/>
        </w:rPr>
      </w:pPr>
      <w:r>
        <w:rPr>
          <w:rFonts w:ascii="Century" w:hAnsi="Century" w:hint="cs"/>
          <w:rtl/>
        </w:rPr>
        <w:t xml:space="preserve">58. </w:t>
      </w:r>
      <w:r>
        <w:rPr>
          <w:rFonts w:ascii="Century" w:hAnsi="Century" w:hint="cs"/>
          <w:rtl/>
        </w:rPr>
        <w:tab/>
        <w:t xml:space="preserve">על רקע זה, מתעורר קושי ניכר בפרשנות שאימץ בית משפט השלום, גם במישור של </w:t>
      </w:r>
      <w:r w:rsidRPr="00E9603D">
        <w:rPr>
          <w:rFonts w:ascii="Century" w:hAnsi="Century" w:cs="Miriam" w:hint="eastAsia"/>
          <w:b/>
          <w:spacing w:val="0"/>
          <w:szCs w:val="24"/>
          <w:rtl/>
        </w:rPr>
        <w:t>לשון</w:t>
      </w:r>
      <w:r w:rsidRPr="00E9603D">
        <w:rPr>
          <w:rFonts w:ascii="Century" w:hAnsi="Century" w:cs="Miriam"/>
          <w:b/>
          <w:spacing w:val="0"/>
          <w:szCs w:val="24"/>
          <w:rtl/>
        </w:rPr>
        <w:t xml:space="preserve"> </w:t>
      </w:r>
      <w:r w:rsidRPr="00E9603D">
        <w:rPr>
          <w:rFonts w:ascii="Century" w:hAnsi="Century" w:cs="Miriam" w:hint="eastAsia"/>
          <w:b/>
          <w:spacing w:val="0"/>
          <w:szCs w:val="24"/>
          <w:rtl/>
        </w:rPr>
        <w:t>החוק</w:t>
      </w:r>
      <w:r>
        <w:rPr>
          <w:rFonts w:ascii="Century" w:hAnsi="Century" w:hint="cs"/>
          <w:rtl/>
        </w:rPr>
        <w:t>. בהקשר זה חשוב להזכיר כי סעיף 113(ב) לחוק המקרקעין אינו מקנה פטור גורף מהתיישנות למקרקעי ציבור, אלא רק קובע לגביהם כי "</w:t>
      </w:r>
      <w:r w:rsidRPr="00AA17EA">
        <w:rPr>
          <w:rFonts w:ascii="Century" w:hAnsi="Century" w:hint="eastAsia"/>
          <w:rtl/>
        </w:rPr>
        <w:t>לא</w:t>
      </w:r>
      <w:r w:rsidRPr="00AA17EA">
        <w:rPr>
          <w:rFonts w:ascii="Century" w:hAnsi="Century"/>
          <w:rtl/>
        </w:rPr>
        <w:t xml:space="preserve"> </w:t>
      </w:r>
      <w:r w:rsidRPr="00AA17EA">
        <w:rPr>
          <w:rFonts w:ascii="Century" w:hAnsi="Century" w:hint="eastAsia"/>
          <w:rtl/>
        </w:rPr>
        <w:t>תתחיל</w:t>
      </w:r>
      <w:r w:rsidRPr="00AA17EA">
        <w:rPr>
          <w:rFonts w:ascii="Century" w:hAnsi="Century"/>
          <w:rtl/>
        </w:rPr>
        <w:t xml:space="preserve"> </w:t>
      </w:r>
      <w:r w:rsidRPr="00AA17EA">
        <w:rPr>
          <w:rFonts w:ascii="Century" w:hAnsi="Century" w:hint="eastAsia"/>
          <w:rtl/>
        </w:rPr>
        <w:t>תקופת</w:t>
      </w:r>
      <w:r w:rsidRPr="00AA17EA">
        <w:rPr>
          <w:rFonts w:ascii="Century" w:hAnsi="Century"/>
          <w:rtl/>
        </w:rPr>
        <w:t xml:space="preserve"> </w:t>
      </w:r>
      <w:r w:rsidRPr="00AA17EA">
        <w:rPr>
          <w:rFonts w:ascii="Century" w:hAnsi="Century" w:hint="eastAsia"/>
          <w:rtl/>
        </w:rPr>
        <w:t>ההתיישנות</w:t>
      </w:r>
      <w:r w:rsidRPr="00AA17EA">
        <w:rPr>
          <w:rFonts w:ascii="Century" w:hAnsi="Century"/>
          <w:rtl/>
        </w:rPr>
        <w:t xml:space="preserve"> </w:t>
      </w:r>
      <w:r w:rsidRPr="00AA17EA">
        <w:rPr>
          <w:rFonts w:ascii="Century" w:hAnsi="Century" w:hint="eastAsia"/>
          <w:rtl/>
        </w:rPr>
        <w:t>לפני</w:t>
      </w:r>
      <w:r w:rsidRPr="00AA17EA">
        <w:rPr>
          <w:rFonts w:ascii="Century" w:hAnsi="Century"/>
          <w:rtl/>
        </w:rPr>
        <w:t xml:space="preserve"> </w:t>
      </w:r>
      <w:r w:rsidRPr="00AA17EA">
        <w:rPr>
          <w:rFonts w:ascii="Century" w:hAnsi="Century" w:hint="eastAsia"/>
          <w:rtl/>
        </w:rPr>
        <w:t>היום</w:t>
      </w:r>
      <w:r w:rsidRPr="00AA17EA">
        <w:rPr>
          <w:rFonts w:ascii="Century" w:hAnsi="Century"/>
          <w:rtl/>
        </w:rPr>
        <w:t xml:space="preserve"> </w:t>
      </w:r>
      <w:r w:rsidRPr="00AA17EA">
        <w:rPr>
          <w:rFonts w:ascii="Century" w:hAnsi="Century" w:hint="eastAsia"/>
          <w:rtl/>
        </w:rPr>
        <w:t>שנרשמו</w:t>
      </w:r>
      <w:r w:rsidRPr="00AA17EA">
        <w:rPr>
          <w:rFonts w:ascii="Century" w:hAnsi="Century"/>
          <w:rtl/>
        </w:rPr>
        <w:t xml:space="preserve"> </w:t>
      </w:r>
      <w:r w:rsidRPr="00E9603D">
        <w:rPr>
          <w:rFonts w:ascii="Century" w:hAnsi="Century" w:cs="Miriam" w:hint="eastAsia"/>
          <w:b/>
          <w:spacing w:val="0"/>
          <w:szCs w:val="24"/>
          <w:rtl/>
        </w:rPr>
        <w:t>על</w:t>
      </w:r>
      <w:r w:rsidRPr="00E9603D">
        <w:rPr>
          <w:rFonts w:ascii="Century" w:hAnsi="Century" w:cs="Miriam"/>
          <w:b/>
          <w:spacing w:val="0"/>
          <w:szCs w:val="24"/>
          <w:rtl/>
        </w:rPr>
        <w:t xml:space="preserve"> </w:t>
      </w:r>
      <w:r w:rsidRPr="00E9603D">
        <w:rPr>
          <w:rFonts w:ascii="Century" w:hAnsi="Century" w:cs="Miriam" w:hint="eastAsia"/>
          <w:b/>
          <w:spacing w:val="0"/>
          <w:szCs w:val="24"/>
          <w:rtl/>
        </w:rPr>
        <w:t>שם</w:t>
      </w:r>
      <w:r w:rsidRPr="00E9603D">
        <w:rPr>
          <w:rFonts w:ascii="Century" w:hAnsi="Century" w:cs="Miriam"/>
          <w:b/>
          <w:spacing w:val="0"/>
          <w:szCs w:val="24"/>
          <w:rtl/>
        </w:rPr>
        <w:t xml:space="preserve"> </w:t>
      </w:r>
      <w:r w:rsidRPr="00E9603D">
        <w:rPr>
          <w:rFonts w:ascii="Century" w:hAnsi="Century" w:cs="Miriam" w:hint="eastAsia"/>
          <w:b/>
          <w:spacing w:val="0"/>
          <w:szCs w:val="24"/>
          <w:rtl/>
        </w:rPr>
        <w:t>בעליהם</w:t>
      </w:r>
      <w:r>
        <w:rPr>
          <w:rFonts w:ascii="Century" w:hAnsi="Century" w:hint="cs"/>
          <w:rtl/>
        </w:rPr>
        <w:t xml:space="preserve">" (ההדגשה הוספה </w:t>
      </w:r>
      <w:r>
        <w:rPr>
          <w:rFonts w:ascii="Century" w:hAnsi="Century"/>
          <w:rtl/>
        </w:rPr>
        <w:t>–</w:t>
      </w:r>
      <w:r>
        <w:rPr>
          <w:rFonts w:ascii="Century" w:hAnsi="Century" w:hint="cs"/>
          <w:rtl/>
        </w:rPr>
        <w:t xml:space="preserve"> </w:t>
      </w:r>
      <w:r w:rsidRPr="00D142AF">
        <w:rPr>
          <w:rFonts w:ascii="Century" w:hAnsi="Century" w:cs="Miriam" w:hint="cs"/>
          <w:b/>
          <w:spacing w:val="0"/>
          <w:szCs w:val="24"/>
          <w:rtl/>
        </w:rPr>
        <w:t>ד' ב' א'</w:t>
      </w:r>
      <w:r>
        <w:rPr>
          <w:rFonts w:ascii="Century" w:hAnsi="Century" w:hint="cs"/>
          <w:rtl/>
        </w:rPr>
        <w:t>)</w:t>
      </w:r>
      <w:r w:rsidRPr="00AA17EA">
        <w:rPr>
          <w:rFonts w:ascii="Century" w:hAnsi="Century"/>
          <w:rtl/>
        </w:rPr>
        <w:t>.</w:t>
      </w:r>
      <w:r>
        <w:rPr>
          <w:rFonts w:ascii="Century" w:hAnsi="Century" w:hint="cs"/>
          <w:rtl/>
        </w:rPr>
        <w:t xml:space="preserve"> הסדר זה הוא מובן על רקע התכלית שעליה עמדנו: חשש מפני מצב שבו רשות ציבורית אינה מודעת לקיומם של מקרקעי ציבור מסוימים שאינם רשומים על שמה. דא עקא, כאשר מדובר בנכסים המוקנים לאפוטרופוס הכללי מכוח חוק הסדרי משפט, לא ברור כיצד מיושם המנגנון המעוגן בסעיף 113(ב) לחוק המקרקעין. במקור, הסעיף נועד לחול במקרים שבהם קיימת אדמת מדינה לא רשומה, כאשר רק עם רישומה מתחיל להימנות מרוץ ההתיישנות. בענייננו, המקרקעין מושא ההליך היו רשומים בפנקס השטרות עוד משנת 1882, על שמו של "מוסטון בן בניסתה" (ככל הנראה משה בנבנישתי, המקדיש. ראו בפסק דינו של בית המשפט המחוזי בעניין </w:t>
      </w:r>
      <w:r w:rsidRPr="00E9603D">
        <w:rPr>
          <w:rFonts w:ascii="Century" w:hAnsi="Century" w:cs="Miriam" w:hint="eastAsia"/>
          <w:b/>
          <w:spacing w:val="0"/>
          <w:szCs w:val="24"/>
          <w:rtl/>
        </w:rPr>
        <w:t>דוויק</w:t>
      </w:r>
      <w:r w:rsidRPr="00E9603D">
        <w:rPr>
          <w:rFonts w:ascii="Century" w:hAnsi="Century" w:cs="Miriam"/>
          <w:b/>
          <w:spacing w:val="0"/>
          <w:szCs w:val="24"/>
          <w:rtl/>
        </w:rPr>
        <w:t xml:space="preserve"> </w:t>
      </w:r>
      <w:r w:rsidRPr="00E9603D">
        <w:rPr>
          <w:rFonts w:ascii="Century" w:hAnsi="Century" w:cs="Miriam" w:hint="eastAsia"/>
          <w:b/>
          <w:spacing w:val="0"/>
          <w:szCs w:val="24"/>
          <w:rtl/>
        </w:rPr>
        <w:t>הראשון</w:t>
      </w:r>
      <w:r>
        <w:rPr>
          <w:rFonts w:ascii="Century" w:hAnsi="Century" w:hint="cs"/>
          <w:rtl/>
        </w:rPr>
        <w:t xml:space="preserve">, בפסקה 32). יצוין גם כי בתקופה הירדנית, נרשמו המקרקעין על שמו של הממונה הירדני, בפנקסי מס רכוש הירדנים (ראו </w:t>
      </w:r>
      <w:r w:rsidRPr="00E9603D">
        <w:rPr>
          <w:rFonts w:ascii="Century" w:hAnsi="Century" w:cs="Miriam" w:hint="eastAsia"/>
          <w:b/>
          <w:spacing w:val="0"/>
          <w:szCs w:val="24"/>
          <w:rtl/>
        </w:rPr>
        <w:t>שם</w:t>
      </w:r>
      <w:r>
        <w:rPr>
          <w:rFonts w:ascii="Century" w:hAnsi="Century" w:hint="cs"/>
          <w:rtl/>
        </w:rPr>
        <w:t xml:space="preserve">, בפסקה 11(ג)). מכל מקום, הרישום בפנקס השטרות עמד בעינו לאורך השנים, ולמעשה אין מחלוקת שבכל התקופה שבה היו המקרקעין מוקנים לאפוטרופוס הכללי </w:t>
      </w:r>
      <w:r>
        <w:rPr>
          <w:rFonts w:ascii="Century" w:hAnsi="Century"/>
          <w:rtl/>
        </w:rPr>
        <w:t>–</w:t>
      </w:r>
      <w:r>
        <w:rPr>
          <w:rFonts w:ascii="Century" w:hAnsi="Century" w:hint="cs"/>
          <w:rtl/>
        </w:rPr>
        <w:t xml:space="preserve"> הם לא נרשמו על שמו ואף לא היו אמורים להירשם (ראו:</w:t>
      </w:r>
      <w:r>
        <w:rPr>
          <w:rFonts w:ascii="Century" w:hAnsi="Century" w:hint="cs"/>
        </w:rPr>
        <w:t xml:space="preserve"> </w:t>
      </w:r>
      <w:r>
        <w:rPr>
          <w:rFonts w:ascii="Century" w:hAnsi="Century" w:hint="cs"/>
          <w:rtl/>
        </w:rPr>
        <w:t>סעיף 63 לסיכומי המשיבים בבית משפט השלום). ממילא, אם כן, לא חל כל שינוי ברישום המקרקעין, אף לא כאשר המקרקעין שוחררו לידי נאמני ההקדש בשנת 2002. על כן, קביעתו של בית משפט השלום כי מרוץ ההתיישנות החל להימנות רק מרגע ששוחררו המקרקעין לידי נאמני ההקדש היא אפוא נטולת בסיס גם מבחינת לשון החוק.</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59. </w:t>
      </w:r>
      <w:r>
        <w:rPr>
          <w:rFonts w:ascii="Century" w:hAnsi="Century"/>
          <w:rtl/>
        </w:rPr>
        <w:tab/>
      </w:r>
      <w:r>
        <w:rPr>
          <w:rFonts w:ascii="Century" w:hAnsi="Century" w:hint="cs"/>
          <w:rtl/>
        </w:rPr>
        <w:t xml:space="preserve">לא למותר להזכיר כי טעם נוסף העומד בבסיסו של סעיף 113(ב) הוא ההקפדה על העיקרון לפיו אין להעביר לידיים פרטיות בעלות במקרקעין השייכים לציבור (ראו: </w:t>
      </w:r>
      <w:r w:rsidRPr="00540625">
        <w:rPr>
          <w:rFonts w:ascii="Century" w:hAnsi="Century" w:cs="Miriam" w:hint="eastAsia"/>
          <w:b/>
          <w:spacing w:val="0"/>
          <w:szCs w:val="24"/>
          <w:rtl/>
        </w:rPr>
        <w:t>ויסמן</w:t>
      </w:r>
      <w:r w:rsidRPr="00540625">
        <w:rPr>
          <w:rFonts w:ascii="Century" w:hAnsi="Century" w:cs="Miriam"/>
          <w:b/>
          <w:spacing w:val="0"/>
          <w:szCs w:val="24"/>
          <w:rtl/>
        </w:rPr>
        <w:t xml:space="preserve">, </w:t>
      </w:r>
      <w:r w:rsidRPr="00540625">
        <w:rPr>
          <w:rFonts w:ascii="Century" w:hAnsi="Century" w:cs="Miriam" w:hint="eastAsia"/>
          <w:b/>
          <w:spacing w:val="0"/>
          <w:szCs w:val="24"/>
          <w:rtl/>
        </w:rPr>
        <w:t>דיני</w:t>
      </w:r>
      <w:r w:rsidRPr="00540625">
        <w:rPr>
          <w:rFonts w:ascii="Century" w:hAnsi="Century" w:cs="Miriam"/>
          <w:b/>
          <w:spacing w:val="0"/>
          <w:szCs w:val="24"/>
          <w:rtl/>
        </w:rPr>
        <w:t xml:space="preserve"> </w:t>
      </w:r>
      <w:r w:rsidRPr="00540625">
        <w:rPr>
          <w:rFonts w:ascii="Century" w:hAnsi="Century" w:cs="Miriam" w:hint="eastAsia"/>
          <w:b/>
          <w:spacing w:val="0"/>
          <w:szCs w:val="24"/>
          <w:rtl/>
        </w:rPr>
        <w:t>קניין</w:t>
      </w:r>
      <w:r>
        <w:rPr>
          <w:rFonts w:ascii="Century" w:hAnsi="Century" w:hint="cs"/>
          <w:rtl/>
        </w:rPr>
        <w:t>, בעמ' 266). כידוע, זהו עקרון יסוד בדיני הקניין בישראל, המעוגן היטב בסעיף 1 לחוק יסוד: מקרקעי ישראל ("</w:t>
      </w:r>
      <w:r w:rsidRPr="00AF40D3">
        <w:rPr>
          <w:rFonts w:ascii="Century" w:hAnsi="Century" w:hint="eastAsia"/>
          <w:rtl/>
        </w:rPr>
        <w:t>מקרקעי</w:t>
      </w:r>
      <w:r w:rsidRPr="00AF40D3">
        <w:rPr>
          <w:rFonts w:ascii="Century" w:hAnsi="Century"/>
          <w:rtl/>
        </w:rPr>
        <w:t xml:space="preserve"> </w:t>
      </w:r>
      <w:r w:rsidRPr="00AF40D3">
        <w:rPr>
          <w:rFonts w:ascii="Century" w:hAnsi="Century" w:hint="eastAsia"/>
          <w:rtl/>
        </w:rPr>
        <w:t>ישראל</w:t>
      </w:r>
      <w:r w:rsidRPr="00AF40D3">
        <w:rPr>
          <w:rFonts w:ascii="Century" w:hAnsi="Century"/>
          <w:rtl/>
        </w:rPr>
        <w:t xml:space="preserve">, </w:t>
      </w:r>
      <w:r w:rsidRPr="00AF40D3">
        <w:rPr>
          <w:rFonts w:ascii="Century" w:hAnsi="Century" w:hint="eastAsia"/>
          <w:rtl/>
        </w:rPr>
        <w:t>והם</w:t>
      </w:r>
      <w:r w:rsidRPr="00AF40D3">
        <w:rPr>
          <w:rFonts w:ascii="Century" w:hAnsi="Century"/>
          <w:rtl/>
        </w:rPr>
        <w:t xml:space="preserve"> </w:t>
      </w:r>
      <w:r w:rsidRPr="00AF40D3">
        <w:rPr>
          <w:rFonts w:ascii="Century" w:hAnsi="Century" w:hint="eastAsia"/>
          <w:rtl/>
        </w:rPr>
        <w:t>המקרקעין</w:t>
      </w:r>
      <w:r w:rsidRPr="00AF40D3">
        <w:rPr>
          <w:rFonts w:ascii="Century" w:hAnsi="Century"/>
          <w:rtl/>
        </w:rPr>
        <w:t xml:space="preserve"> </w:t>
      </w:r>
      <w:r w:rsidRPr="00AF40D3">
        <w:rPr>
          <w:rFonts w:ascii="Century" w:hAnsi="Century" w:hint="eastAsia"/>
          <w:rtl/>
        </w:rPr>
        <w:t>בישראל</w:t>
      </w:r>
      <w:r w:rsidRPr="00AF40D3">
        <w:rPr>
          <w:rFonts w:ascii="Century" w:hAnsi="Century"/>
          <w:rtl/>
        </w:rPr>
        <w:t xml:space="preserve"> </w:t>
      </w:r>
      <w:r w:rsidRPr="00AF40D3">
        <w:rPr>
          <w:rFonts w:ascii="Century" w:hAnsi="Century" w:hint="eastAsia"/>
          <w:rtl/>
        </w:rPr>
        <w:t>של</w:t>
      </w:r>
      <w:r w:rsidRPr="00AF40D3">
        <w:rPr>
          <w:rFonts w:ascii="Century" w:hAnsi="Century"/>
          <w:rtl/>
        </w:rPr>
        <w:t xml:space="preserve"> </w:t>
      </w:r>
      <w:r w:rsidRPr="00AF40D3">
        <w:rPr>
          <w:rFonts w:ascii="Century" w:hAnsi="Century" w:hint="eastAsia"/>
          <w:rtl/>
        </w:rPr>
        <w:t>המדינה</w:t>
      </w:r>
      <w:r w:rsidRPr="00AF40D3">
        <w:rPr>
          <w:rFonts w:ascii="Century" w:hAnsi="Century"/>
          <w:rtl/>
        </w:rPr>
        <w:t xml:space="preserve">, </w:t>
      </w:r>
      <w:r w:rsidRPr="00AF40D3">
        <w:rPr>
          <w:rFonts w:ascii="Century" w:hAnsi="Century" w:hint="eastAsia"/>
          <w:rtl/>
        </w:rPr>
        <w:t>של</w:t>
      </w:r>
      <w:r w:rsidRPr="00AF40D3">
        <w:rPr>
          <w:rFonts w:ascii="Century" w:hAnsi="Century"/>
          <w:rtl/>
        </w:rPr>
        <w:t xml:space="preserve"> </w:t>
      </w:r>
      <w:r w:rsidRPr="00AF40D3">
        <w:rPr>
          <w:rFonts w:ascii="Century" w:hAnsi="Century" w:hint="eastAsia"/>
          <w:rtl/>
        </w:rPr>
        <w:t>רשות</w:t>
      </w:r>
      <w:r w:rsidRPr="00AF40D3">
        <w:rPr>
          <w:rFonts w:ascii="Century" w:hAnsi="Century"/>
          <w:rtl/>
        </w:rPr>
        <w:t xml:space="preserve"> </w:t>
      </w:r>
      <w:r w:rsidRPr="00AF40D3">
        <w:rPr>
          <w:rFonts w:ascii="Century" w:hAnsi="Century" w:hint="eastAsia"/>
          <w:rtl/>
        </w:rPr>
        <w:t>הפיתוח</w:t>
      </w:r>
      <w:r w:rsidRPr="00AF40D3">
        <w:rPr>
          <w:rFonts w:ascii="Century" w:hAnsi="Century"/>
          <w:rtl/>
        </w:rPr>
        <w:t xml:space="preserve"> </w:t>
      </w:r>
      <w:r w:rsidRPr="00AF40D3">
        <w:rPr>
          <w:rFonts w:ascii="Century" w:hAnsi="Century" w:hint="eastAsia"/>
          <w:rtl/>
        </w:rPr>
        <w:t>או</w:t>
      </w:r>
      <w:r w:rsidRPr="00AF40D3">
        <w:rPr>
          <w:rFonts w:ascii="Century" w:hAnsi="Century"/>
          <w:rtl/>
        </w:rPr>
        <w:t xml:space="preserve"> </w:t>
      </w:r>
      <w:r w:rsidRPr="00AF40D3">
        <w:rPr>
          <w:rFonts w:ascii="Century" w:hAnsi="Century" w:hint="eastAsia"/>
          <w:rtl/>
        </w:rPr>
        <w:t>של</w:t>
      </w:r>
      <w:r w:rsidRPr="00AF40D3">
        <w:rPr>
          <w:rFonts w:ascii="Century" w:hAnsi="Century"/>
          <w:rtl/>
        </w:rPr>
        <w:t xml:space="preserve"> </w:t>
      </w:r>
      <w:r w:rsidRPr="00AF40D3">
        <w:rPr>
          <w:rFonts w:ascii="Century" w:hAnsi="Century" w:hint="eastAsia"/>
          <w:rtl/>
        </w:rPr>
        <w:t>הקרן</w:t>
      </w:r>
      <w:r w:rsidRPr="00AF40D3">
        <w:rPr>
          <w:rFonts w:ascii="Century" w:hAnsi="Century"/>
          <w:rtl/>
        </w:rPr>
        <w:t xml:space="preserve"> </w:t>
      </w:r>
      <w:r w:rsidRPr="00AF40D3">
        <w:rPr>
          <w:rFonts w:ascii="Century" w:hAnsi="Century" w:hint="eastAsia"/>
          <w:rtl/>
        </w:rPr>
        <w:t>הקימת</w:t>
      </w:r>
      <w:r w:rsidRPr="00AF40D3">
        <w:rPr>
          <w:rFonts w:ascii="Century" w:hAnsi="Century"/>
          <w:rtl/>
        </w:rPr>
        <w:t xml:space="preserve"> </w:t>
      </w:r>
      <w:r w:rsidRPr="00AF40D3">
        <w:rPr>
          <w:rFonts w:ascii="Century" w:hAnsi="Century" w:hint="eastAsia"/>
          <w:rtl/>
        </w:rPr>
        <w:t>לישראל</w:t>
      </w:r>
      <w:r w:rsidRPr="00AF40D3">
        <w:rPr>
          <w:rFonts w:ascii="Century" w:hAnsi="Century"/>
          <w:rtl/>
        </w:rPr>
        <w:t xml:space="preserve">, </w:t>
      </w:r>
      <w:r w:rsidRPr="00AF40D3">
        <w:rPr>
          <w:rFonts w:ascii="Century" w:hAnsi="Century" w:hint="eastAsia"/>
          <w:rtl/>
        </w:rPr>
        <w:t>הבעלות</w:t>
      </w:r>
      <w:r w:rsidRPr="00AF40D3">
        <w:rPr>
          <w:rFonts w:ascii="Century" w:hAnsi="Century"/>
          <w:rtl/>
        </w:rPr>
        <w:t xml:space="preserve"> </w:t>
      </w:r>
      <w:r w:rsidRPr="00AF40D3">
        <w:rPr>
          <w:rFonts w:ascii="Century" w:hAnsi="Century" w:hint="eastAsia"/>
          <w:rtl/>
        </w:rPr>
        <w:t>בהם</w:t>
      </w:r>
      <w:r w:rsidRPr="00AF40D3">
        <w:rPr>
          <w:rFonts w:ascii="Century" w:hAnsi="Century"/>
          <w:rtl/>
        </w:rPr>
        <w:t xml:space="preserve"> </w:t>
      </w:r>
      <w:r w:rsidRPr="00AF40D3">
        <w:rPr>
          <w:rFonts w:ascii="Century" w:hAnsi="Century" w:hint="eastAsia"/>
          <w:rtl/>
        </w:rPr>
        <w:t>לא</w:t>
      </w:r>
      <w:r w:rsidRPr="00AF40D3">
        <w:rPr>
          <w:rFonts w:ascii="Century" w:hAnsi="Century"/>
          <w:rtl/>
        </w:rPr>
        <w:t xml:space="preserve"> </w:t>
      </w:r>
      <w:r w:rsidRPr="00AF40D3">
        <w:rPr>
          <w:rFonts w:ascii="Century" w:hAnsi="Century" w:hint="eastAsia"/>
          <w:rtl/>
        </w:rPr>
        <w:t>תועבר</w:t>
      </w:r>
      <w:r w:rsidRPr="00AF40D3">
        <w:rPr>
          <w:rFonts w:ascii="Century" w:hAnsi="Century"/>
          <w:rtl/>
        </w:rPr>
        <w:t xml:space="preserve">, </w:t>
      </w:r>
      <w:r w:rsidRPr="00AF40D3">
        <w:rPr>
          <w:rFonts w:ascii="Century" w:hAnsi="Century" w:hint="eastAsia"/>
          <w:rtl/>
        </w:rPr>
        <w:t>אם</w:t>
      </w:r>
      <w:r w:rsidRPr="00AF40D3">
        <w:rPr>
          <w:rFonts w:ascii="Century" w:hAnsi="Century"/>
          <w:rtl/>
        </w:rPr>
        <w:t xml:space="preserve"> </w:t>
      </w:r>
      <w:r w:rsidRPr="00AF40D3">
        <w:rPr>
          <w:rFonts w:ascii="Century" w:hAnsi="Century" w:hint="eastAsia"/>
          <w:rtl/>
        </w:rPr>
        <w:t>במכר</w:t>
      </w:r>
      <w:r w:rsidRPr="00AF40D3">
        <w:rPr>
          <w:rFonts w:ascii="Century" w:hAnsi="Century"/>
          <w:rtl/>
        </w:rPr>
        <w:t xml:space="preserve"> </w:t>
      </w:r>
      <w:r w:rsidRPr="00AF40D3">
        <w:rPr>
          <w:rFonts w:ascii="Century" w:hAnsi="Century" w:hint="eastAsia"/>
          <w:rtl/>
        </w:rPr>
        <w:t>ואם</w:t>
      </w:r>
      <w:r w:rsidRPr="00AF40D3">
        <w:rPr>
          <w:rFonts w:ascii="Century" w:hAnsi="Century"/>
          <w:rtl/>
        </w:rPr>
        <w:t xml:space="preserve"> </w:t>
      </w:r>
      <w:r w:rsidRPr="00AF40D3">
        <w:rPr>
          <w:rFonts w:ascii="Century" w:hAnsi="Century" w:hint="eastAsia"/>
          <w:rtl/>
        </w:rPr>
        <w:t>בדרך</w:t>
      </w:r>
      <w:r w:rsidRPr="00AF40D3">
        <w:rPr>
          <w:rFonts w:ascii="Century" w:hAnsi="Century"/>
          <w:rtl/>
        </w:rPr>
        <w:t xml:space="preserve"> </w:t>
      </w:r>
      <w:r w:rsidRPr="00AF40D3">
        <w:rPr>
          <w:rFonts w:ascii="Century" w:hAnsi="Century" w:hint="eastAsia"/>
          <w:rtl/>
        </w:rPr>
        <w:t>אחרת</w:t>
      </w:r>
      <w:r>
        <w:rPr>
          <w:rFonts w:ascii="Century" w:hAnsi="Century" w:hint="cs"/>
          <w:rtl/>
        </w:rPr>
        <w:t xml:space="preserve">"). אולם, אף רציונל זה נחלש כאשר מדובר במקרקעין המוקנים לאפוטרופוס הכללי מכוח חוק הסדרי משפט. מקרקעין אלה הם מלכתחילה לא מקרקעין שנחשבים כמקרקעי המדינה, אלא מקרקעין שהנחת היסוד לגביהם היא שהם נועדו לחזור לידיים פרטיות של בעליהם. בהקשר זה צוין בעבר כי "אין דין אפוטרופוס המחזיק ברכוש הפרט כדין שליטת הריבון בנכסיו. החזקת האפוטרופוס היא זמנית ולמטרה מובהקת הקבועה בחוק" (ערר 57/87 </w:t>
      </w:r>
      <w:r w:rsidRPr="00171BA3">
        <w:rPr>
          <w:rFonts w:ascii="Century" w:hAnsi="Century" w:cs="Miriam" w:hint="eastAsia"/>
          <w:b/>
          <w:spacing w:val="0"/>
          <w:szCs w:val="24"/>
          <w:rtl/>
        </w:rPr>
        <w:t>יורשי</w:t>
      </w:r>
      <w:r w:rsidRPr="00171BA3">
        <w:rPr>
          <w:rFonts w:ascii="Century" w:hAnsi="Century" w:cs="Miriam"/>
          <w:b/>
          <w:spacing w:val="0"/>
          <w:szCs w:val="24"/>
          <w:rtl/>
        </w:rPr>
        <w:t xml:space="preserve"> </w:t>
      </w:r>
      <w:r w:rsidRPr="00171BA3">
        <w:rPr>
          <w:rFonts w:ascii="Century" w:hAnsi="Century" w:cs="Miriam" w:hint="eastAsia"/>
          <w:b/>
          <w:spacing w:val="0"/>
          <w:szCs w:val="24"/>
          <w:rtl/>
        </w:rPr>
        <w:t>המנוח</w:t>
      </w:r>
      <w:r w:rsidRPr="00171BA3">
        <w:rPr>
          <w:rFonts w:ascii="Century" w:hAnsi="Century" w:cs="Miriam"/>
          <w:b/>
          <w:spacing w:val="0"/>
          <w:szCs w:val="24"/>
          <w:rtl/>
        </w:rPr>
        <w:t xml:space="preserve"> </w:t>
      </w:r>
      <w:r w:rsidRPr="00171BA3">
        <w:rPr>
          <w:rFonts w:ascii="Century" w:hAnsi="Century" w:cs="Miriam" w:hint="eastAsia"/>
          <w:b/>
          <w:spacing w:val="0"/>
          <w:szCs w:val="24"/>
          <w:rtl/>
        </w:rPr>
        <w:t>יעקב</w:t>
      </w:r>
      <w:r w:rsidRPr="00171BA3">
        <w:rPr>
          <w:rFonts w:ascii="Century" w:hAnsi="Century" w:cs="Miriam"/>
          <w:b/>
          <w:spacing w:val="0"/>
          <w:szCs w:val="24"/>
          <w:rtl/>
        </w:rPr>
        <w:t xml:space="preserve"> </w:t>
      </w:r>
      <w:r w:rsidRPr="00171BA3">
        <w:rPr>
          <w:rFonts w:ascii="Century" w:hAnsi="Century" w:cs="Miriam" w:hint="eastAsia"/>
          <w:b/>
          <w:spacing w:val="0"/>
          <w:szCs w:val="24"/>
          <w:rtl/>
        </w:rPr>
        <w:t>יוסף</w:t>
      </w:r>
      <w:r w:rsidRPr="00171BA3">
        <w:rPr>
          <w:rFonts w:ascii="Century" w:hAnsi="Century" w:cs="Miriam"/>
          <w:b/>
          <w:spacing w:val="0"/>
          <w:szCs w:val="24"/>
          <w:rtl/>
        </w:rPr>
        <w:t xml:space="preserve"> </w:t>
      </w:r>
      <w:r w:rsidRPr="00171BA3">
        <w:rPr>
          <w:rFonts w:ascii="Century" w:hAnsi="Century" w:cs="Miriam" w:hint="eastAsia"/>
          <w:b/>
          <w:spacing w:val="0"/>
          <w:szCs w:val="24"/>
          <w:rtl/>
        </w:rPr>
        <w:t>שכטר</w:t>
      </w:r>
      <w:r w:rsidRPr="00171BA3">
        <w:rPr>
          <w:rFonts w:ascii="Century" w:hAnsi="Century" w:cs="Miriam"/>
          <w:b/>
          <w:spacing w:val="0"/>
          <w:szCs w:val="24"/>
          <w:rtl/>
        </w:rPr>
        <w:t xml:space="preserve"> </w:t>
      </w:r>
      <w:r w:rsidRPr="00171BA3">
        <w:rPr>
          <w:rFonts w:ascii="Century" w:hAnsi="Century" w:cs="Miriam" w:hint="eastAsia"/>
          <w:b/>
          <w:spacing w:val="0"/>
          <w:szCs w:val="24"/>
          <w:rtl/>
        </w:rPr>
        <w:t>ז</w:t>
      </w:r>
      <w:r w:rsidRPr="00171BA3">
        <w:rPr>
          <w:rFonts w:ascii="Century" w:hAnsi="Century" w:cs="Miriam"/>
          <w:b/>
          <w:spacing w:val="0"/>
          <w:szCs w:val="24"/>
          <w:rtl/>
        </w:rPr>
        <w:t>"</w:t>
      </w:r>
      <w:r w:rsidRPr="00171BA3">
        <w:rPr>
          <w:rFonts w:ascii="Century" w:hAnsi="Century" w:cs="Miriam" w:hint="eastAsia"/>
          <w:b/>
          <w:spacing w:val="0"/>
          <w:szCs w:val="24"/>
          <w:rtl/>
        </w:rPr>
        <w:t>ל</w:t>
      </w:r>
      <w:r w:rsidRPr="00171BA3">
        <w:rPr>
          <w:rFonts w:ascii="Century" w:hAnsi="Century" w:cs="Miriam"/>
          <w:b/>
          <w:spacing w:val="0"/>
          <w:szCs w:val="24"/>
          <w:rtl/>
        </w:rPr>
        <w:t xml:space="preserve"> </w:t>
      </w:r>
      <w:r w:rsidRPr="00171BA3">
        <w:rPr>
          <w:rFonts w:ascii="Century" w:hAnsi="Century" w:cs="Miriam" w:hint="eastAsia"/>
          <w:b/>
          <w:spacing w:val="0"/>
          <w:szCs w:val="24"/>
          <w:rtl/>
        </w:rPr>
        <w:t>נ</w:t>
      </w:r>
      <w:r w:rsidRPr="00171BA3">
        <w:rPr>
          <w:rFonts w:ascii="Century" w:hAnsi="Century" w:cs="Miriam"/>
          <w:b/>
          <w:spacing w:val="0"/>
          <w:szCs w:val="24"/>
          <w:rtl/>
        </w:rPr>
        <w:t xml:space="preserve">' </w:t>
      </w:r>
      <w:r w:rsidRPr="00171BA3">
        <w:rPr>
          <w:rFonts w:ascii="Century" w:hAnsi="Century" w:cs="Miriam" w:hint="eastAsia"/>
          <w:b/>
          <w:spacing w:val="0"/>
          <w:szCs w:val="24"/>
          <w:rtl/>
        </w:rPr>
        <w:t>הממונה</w:t>
      </w:r>
      <w:r w:rsidRPr="00171BA3">
        <w:rPr>
          <w:rFonts w:ascii="Century" w:hAnsi="Century" w:cs="Miriam"/>
          <w:b/>
          <w:spacing w:val="0"/>
          <w:szCs w:val="24"/>
          <w:rtl/>
        </w:rPr>
        <w:t xml:space="preserve"> </w:t>
      </w:r>
      <w:r w:rsidRPr="00171BA3">
        <w:rPr>
          <w:rFonts w:ascii="Century" w:hAnsi="Century" w:cs="Miriam" w:hint="eastAsia"/>
          <w:b/>
          <w:spacing w:val="0"/>
          <w:szCs w:val="24"/>
          <w:rtl/>
        </w:rPr>
        <w:t>על</w:t>
      </w:r>
      <w:r w:rsidRPr="00171BA3">
        <w:rPr>
          <w:rFonts w:ascii="Century" w:hAnsi="Century" w:cs="Miriam"/>
          <w:b/>
          <w:spacing w:val="0"/>
          <w:szCs w:val="24"/>
          <w:rtl/>
        </w:rPr>
        <w:t xml:space="preserve"> </w:t>
      </w:r>
      <w:r w:rsidRPr="00171BA3">
        <w:rPr>
          <w:rFonts w:ascii="Century" w:hAnsi="Century" w:cs="Miriam" w:hint="eastAsia"/>
          <w:b/>
          <w:spacing w:val="0"/>
          <w:szCs w:val="24"/>
          <w:rtl/>
        </w:rPr>
        <w:t>הרכוש</w:t>
      </w:r>
      <w:r w:rsidRPr="00171BA3">
        <w:rPr>
          <w:rFonts w:ascii="Century" w:hAnsi="Century" w:cs="Miriam"/>
          <w:b/>
          <w:spacing w:val="0"/>
          <w:szCs w:val="24"/>
          <w:rtl/>
        </w:rPr>
        <w:t xml:space="preserve"> </w:t>
      </w:r>
      <w:r w:rsidRPr="00171BA3">
        <w:rPr>
          <w:rFonts w:ascii="Century" w:hAnsi="Century" w:cs="Miriam" w:hint="eastAsia"/>
          <w:b/>
          <w:spacing w:val="0"/>
          <w:szCs w:val="24"/>
          <w:rtl/>
        </w:rPr>
        <w:t>הממשלתי</w:t>
      </w:r>
      <w:r w:rsidRPr="00171BA3">
        <w:rPr>
          <w:rFonts w:ascii="Century" w:hAnsi="Century" w:cs="Miriam"/>
          <w:b/>
          <w:spacing w:val="0"/>
          <w:szCs w:val="24"/>
          <w:rtl/>
        </w:rPr>
        <w:t xml:space="preserve"> </w:t>
      </w:r>
      <w:r w:rsidRPr="00171BA3">
        <w:rPr>
          <w:rFonts w:ascii="Century" w:hAnsi="Century" w:cs="Miriam" w:hint="eastAsia"/>
          <w:b/>
          <w:spacing w:val="0"/>
          <w:szCs w:val="24"/>
          <w:rtl/>
        </w:rPr>
        <w:t>הנטוש</w:t>
      </w:r>
      <w:r w:rsidRPr="00171BA3">
        <w:rPr>
          <w:rFonts w:ascii="Century" w:hAnsi="Century" w:cs="Miriam"/>
          <w:b/>
          <w:spacing w:val="0"/>
          <w:szCs w:val="24"/>
          <w:rtl/>
        </w:rPr>
        <w:t xml:space="preserve"> </w:t>
      </w:r>
      <w:r w:rsidRPr="00171BA3">
        <w:rPr>
          <w:rFonts w:ascii="Century" w:hAnsi="Century" w:cs="Miriam" w:hint="eastAsia"/>
          <w:b/>
          <w:spacing w:val="0"/>
          <w:szCs w:val="24"/>
          <w:rtl/>
        </w:rPr>
        <w:t>באיזור</w:t>
      </w:r>
      <w:r w:rsidRPr="00171BA3">
        <w:rPr>
          <w:rFonts w:ascii="Century" w:hAnsi="Century" w:cs="Miriam"/>
          <w:b/>
          <w:spacing w:val="0"/>
          <w:szCs w:val="24"/>
          <w:rtl/>
        </w:rPr>
        <w:t xml:space="preserve"> </w:t>
      </w:r>
      <w:r w:rsidRPr="00171BA3">
        <w:rPr>
          <w:rFonts w:ascii="Century" w:hAnsi="Century" w:cs="Miriam" w:hint="eastAsia"/>
          <w:b/>
          <w:spacing w:val="0"/>
          <w:szCs w:val="24"/>
          <w:rtl/>
        </w:rPr>
        <w:t>יהודה</w:t>
      </w:r>
      <w:r w:rsidRPr="00171BA3">
        <w:rPr>
          <w:rFonts w:ascii="Century" w:hAnsi="Century" w:cs="Miriam"/>
          <w:b/>
          <w:spacing w:val="0"/>
          <w:szCs w:val="24"/>
          <w:rtl/>
        </w:rPr>
        <w:t xml:space="preserve"> </w:t>
      </w:r>
      <w:r w:rsidRPr="00171BA3">
        <w:rPr>
          <w:rFonts w:ascii="Century" w:hAnsi="Century" w:cs="Miriam" w:hint="eastAsia"/>
          <w:b/>
          <w:spacing w:val="0"/>
          <w:szCs w:val="24"/>
          <w:rtl/>
        </w:rPr>
        <w:t>ושומרון</w:t>
      </w:r>
      <w:r>
        <w:rPr>
          <w:rFonts w:ascii="Century" w:hAnsi="Century" w:hint="cs"/>
          <w:rtl/>
        </w:rPr>
        <w:t xml:space="preserve"> (1992). ראו והשוו גם: ע"א 58/54 </w:t>
      </w:r>
      <w:r w:rsidRPr="00540625">
        <w:rPr>
          <w:rFonts w:ascii="Century" w:hAnsi="Century" w:cs="Miriam" w:hint="eastAsia"/>
          <w:b/>
          <w:spacing w:val="0"/>
          <w:szCs w:val="24"/>
          <w:rtl/>
        </w:rPr>
        <w:t>הבאב</w:t>
      </w:r>
      <w:r w:rsidRPr="00540625">
        <w:rPr>
          <w:rFonts w:ascii="Century" w:hAnsi="Century" w:cs="Miriam"/>
          <w:b/>
          <w:spacing w:val="0"/>
          <w:szCs w:val="24"/>
          <w:rtl/>
        </w:rPr>
        <w:t xml:space="preserve"> </w:t>
      </w:r>
      <w:r w:rsidRPr="00540625">
        <w:rPr>
          <w:rFonts w:ascii="Century" w:hAnsi="Century" w:cs="Miriam" w:hint="eastAsia"/>
          <w:b/>
          <w:spacing w:val="0"/>
          <w:szCs w:val="24"/>
          <w:rtl/>
        </w:rPr>
        <w:t>נ</w:t>
      </w:r>
      <w:r w:rsidRPr="00540625">
        <w:rPr>
          <w:rFonts w:ascii="Century" w:hAnsi="Century" w:cs="Miriam"/>
          <w:b/>
          <w:spacing w:val="0"/>
          <w:szCs w:val="24"/>
          <w:rtl/>
        </w:rPr>
        <w:t xml:space="preserve">' </w:t>
      </w:r>
      <w:r w:rsidRPr="00540625">
        <w:rPr>
          <w:rFonts w:ascii="Century" w:hAnsi="Century" w:cs="Miriam" w:hint="eastAsia"/>
          <w:b/>
          <w:spacing w:val="0"/>
          <w:szCs w:val="24"/>
          <w:rtl/>
        </w:rPr>
        <w:t>האפוטרופוס</w:t>
      </w:r>
      <w:r w:rsidRPr="00540625">
        <w:rPr>
          <w:rFonts w:ascii="Century" w:hAnsi="Century" w:cs="Miriam"/>
          <w:b/>
          <w:spacing w:val="0"/>
          <w:szCs w:val="24"/>
          <w:rtl/>
        </w:rPr>
        <w:t xml:space="preserve"> </w:t>
      </w:r>
      <w:r w:rsidRPr="00540625">
        <w:rPr>
          <w:rFonts w:ascii="Century" w:hAnsi="Century" w:cs="Miriam" w:hint="eastAsia"/>
          <w:b/>
          <w:spacing w:val="0"/>
          <w:szCs w:val="24"/>
          <w:rtl/>
        </w:rPr>
        <w:t>לנכסי</w:t>
      </w:r>
      <w:r w:rsidRPr="00540625">
        <w:rPr>
          <w:rFonts w:ascii="Century" w:hAnsi="Century" w:cs="Miriam"/>
          <w:b/>
          <w:spacing w:val="0"/>
          <w:szCs w:val="24"/>
          <w:rtl/>
        </w:rPr>
        <w:t xml:space="preserve"> </w:t>
      </w:r>
      <w:r w:rsidRPr="00540625">
        <w:rPr>
          <w:rFonts w:ascii="Century" w:hAnsi="Century" w:cs="Miriam" w:hint="eastAsia"/>
          <w:b/>
          <w:spacing w:val="0"/>
          <w:szCs w:val="24"/>
          <w:rtl/>
        </w:rPr>
        <w:t>נפקדים</w:t>
      </w:r>
      <w:r>
        <w:rPr>
          <w:rFonts w:ascii="Century" w:hAnsi="Century" w:hint="cs"/>
          <w:rtl/>
        </w:rPr>
        <w:t>, פ"ד י 912 (1956), שם נקבע כי: "ח</w:t>
      </w:r>
      <w:r w:rsidRPr="00FB543E">
        <w:rPr>
          <w:rFonts w:ascii="Century" w:hAnsi="Century" w:hint="eastAsia"/>
          <w:rtl/>
        </w:rPr>
        <w:t>וק</w:t>
      </w:r>
      <w:r w:rsidRPr="00FB543E">
        <w:rPr>
          <w:rFonts w:ascii="Century" w:hAnsi="Century"/>
          <w:rtl/>
        </w:rPr>
        <w:t xml:space="preserve"> </w:t>
      </w:r>
      <w:r w:rsidRPr="00FB543E">
        <w:rPr>
          <w:rFonts w:ascii="Century" w:hAnsi="Century" w:hint="eastAsia"/>
          <w:rtl/>
        </w:rPr>
        <w:t>נכסי</w:t>
      </w:r>
      <w:r w:rsidRPr="00FB543E">
        <w:rPr>
          <w:rFonts w:ascii="Century" w:hAnsi="Century"/>
          <w:rtl/>
        </w:rPr>
        <w:t xml:space="preserve"> </w:t>
      </w:r>
      <w:r w:rsidRPr="00FB543E">
        <w:rPr>
          <w:rFonts w:ascii="Century" w:hAnsi="Century" w:hint="eastAsia"/>
          <w:rtl/>
        </w:rPr>
        <w:t>הנפקדים</w:t>
      </w:r>
      <w:r w:rsidRPr="00FB543E">
        <w:rPr>
          <w:rFonts w:ascii="Century" w:hAnsi="Century"/>
          <w:rtl/>
        </w:rPr>
        <w:t xml:space="preserve"> </w:t>
      </w:r>
      <w:r w:rsidRPr="00FB543E">
        <w:rPr>
          <w:rFonts w:ascii="Century" w:hAnsi="Century" w:hint="eastAsia"/>
          <w:rtl/>
        </w:rPr>
        <w:t>בא</w:t>
      </w:r>
      <w:r w:rsidRPr="00FB543E">
        <w:rPr>
          <w:rFonts w:ascii="Century" w:hAnsi="Century"/>
          <w:rtl/>
        </w:rPr>
        <w:t xml:space="preserve"> </w:t>
      </w:r>
      <w:r w:rsidRPr="00FB543E">
        <w:rPr>
          <w:rFonts w:ascii="Century" w:hAnsi="Century" w:hint="eastAsia"/>
          <w:rtl/>
        </w:rPr>
        <w:t>למלא</w:t>
      </w:r>
      <w:r w:rsidRPr="00FB543E">
        <w:rPr>
          <w:rFonts w:ascii="Century" w:hAnsi="Century"/>
          <w:rtl/>
        </w:rPr>
        <w:t xml:space="preserve"> </w:t>
      </w:r>
      <w:r w:rsidRPr="00FB543E">
        <w:rPr>
          <w:rFonts w:ascii="Century" w:hAnsi="Century" w:hint="eastAsia"/>
          <w:rtl/>
        </w:rPr>
        <w:t>תפקיד</w:t>
      </w:r>
      <w:r w:rsidRPr="00FB543E">
        <w:rPr>
          <w:rFonts w:ascii="Century" w:hAnsi="Century"/>
          <w:rtl/>
        </w:rPr>
        <w:t xml:space="preserve"> </w:t>
      </w:r>
      <w:r w:rsidRPr="00FB543E">
        <w:rPr>
          <w:rFonts w:ascii="Century" w:hAnsi="Century" w:hint="eastAsia"/>
          <w:rtl/>
        </w:rPr>
        <w:t>זמני</w:t>
      </w:r>
      <w:r w:rsidRPr="00FB543E">
        <w:rPr>
          <w:rFonts w:ascii="Century" w:hAnsi="Century"/>
          <w:rtl/>
        </w:rPr>
        <w:t xml:space="preserve">: </w:t>
      </w:r>
      <w:r w:rsidRPr="00FB543E">
        <w:rPr>
          <w:rFonts w:ascii="Century" w:hAnsi="Century" w:hint="eastAsia"/>
          <w:rtl/>
        </w:rPr>
        <w:t>לשמור</w:t>
      </w:r>
      <w:r w:rsidRPr="00FB543E">
        <w:rPr>
          <w:rFonts w:ascii="Century" w:hAnsi="Century"/>
          <w:rtl/>
        </w:rPr>
        <w:t xml:space="preserve"> </w:t>
      </w:r>
      <w:r w:rsidRPr="00FB543E">
        <w:rPr>
          <w:rFonts w:ascii="Century" w:hAnsi="Century" w:hint="eastAsia"/>
          <w:rtl/>
        </w:rPr>
        <w:t>על</w:t>
      </w:r>
      <w:r w:rsidRPr="00FB543E">
        <w:rPr>
          <w:rFonts w:ascii="Century" w:hAnsi="Century"/>
          <w:rtl/>
        </w:rPr>
        <w:t xml:space="preserve"> </w:t>
      </w:r>
      <w:r w:rsidRPr="00FB543E">
        <w:rPr>
          <w:rFonts w:ascii="Century" w:hAnsi="Century" w:hint="eastAsia"/>
          <w:rtl/>
        </w:rPr>
        <w:t>נכסי</w:t>
      </w:r>
      <w:r w:rsidRPr="00FB543E">
        <w:rPr>
          <w:rFonts w:ascii="Century" w:hAnsi="Century"/>
          <w:rtl/>
        </w:rPr>
        <w:t xml:space="preserve"> </w:t>
      </w:r>
      <w:r w:rsidRPr="00FB543E">
        <w:rPr>
          <w:rFonts w:ascii="Century" w:hAnsi="Century" w:hint="eastAsia"/>
          <w:rtl/>
        </w:rPr>
        <w:t>נפקדים</w:t>
      </w:r>
      <w:r w:rsidRPr="00FB543E">
        <w:rPr>
          <w:rFonts w:ascii="Century" w:hAnsi="Century"/>
          <w:rtl/>
        </w:rPr>
        <w:t xml:space="preserve">, </w:t>
      </w:r>
      <w:r w:rsidRPr="00FB543E">
        <w:rPr>
          <w:rFonts w:ascii="Century" w:hAnsi="Century" w:hint="eastAsia"/>
          <w:rtl/>
        </w:rPr>
        <w:t>פן</w:t>
      </w:r>
      <w:r w:rsidRPr="00FB543E">
        <w:rPr>
          <w:rFonts w:ascii="Century" w:hAnsi="Century"/>
          <w:rtl/>
        </w:rPr>
        <w:t xml:space="preserve"> </w:t>
      </w:r>
      <w:r w:rsidRPr="00FB543E">
        <w:rPr>
          <w:rFonts w:ascii="Century" w:hAnsi="Century" w:hint="eastAsia"/>
          <w:rtl/>
        </w:rPr>
        <w:t>יהיו</w:t>
      </w:r>
      <w:r w:rsidRPr="00FB543E">
        <w:rPr>
          <w:rFonts w:ascii="Century" w:hAnsi="Century"/>
          <w:rtl/>
        </w:rPr>
        <w:t xml:space="preserve"> </w:t>
      </w:r>
      <w:r w:rsidRPr="00FB543E">
        <w:rPr>
          <w:rFonts w:ascii="Century" w:hAnsi="Century" w:hint="eastAsia"/>
          <w:rtl/>
        </w:rPr>
        <w:t>הפקר</w:t>
      </w:r>
      <w:r w:rsidRPr="00FB543E">
        <w:rPr>
          <w:rFonts w:ascii="Century" w:hAnsi="Century"/>
          <w:rtl/>
        </w:rPr>
        <w:t xml:space="preserve"> </w:t>
      </w:r>
      <w:r>
        <w:rPr>
          <w:rFonts w:ascii="Century" w:hAnsi="Century" w:hint="eastAsia"/>
          <w:rtl/>
        </w:rPr>
        <w:t>ו</w:t>
      </w:r>
      <w:r>
        <w:rPr>
          <w:rFonts w:ascii="Century" w:hAnsi="Century" w:hint="cs"/>
          <w:rtl/>
        </w:rPr>
        <w:t>כ</w:t>
      </w:r>
      <w:r w:rsidRPr="00FB543E">
        <w:rPr>
          <w:rFonts w:ascii="Century" w:hAnsi="Century" w:hint="eastAsia"/>
          <w:rtl/>
        </w:rPr>
        <w:t>ל</w:t>
      </w:r>
      <w:r>
        <w:rPr>
          <w:rFonts w:ascii="Century" w:hAnsi="Century" w:hint="cs"/>
          <w:rtl/>
        </w:rPr>
        <w:t xml:space="preserve"> </w:t>
      </w:r>
      <w:r w:rsidRPr="00FB543E">
        <w:rPr>
          <w:rFonts w:ascii="Century" w:hAnsi="Century" w:hint="eastAsia"/>
          <w:rtl/>
        </w:rPr>
        <w:t>דאלים</w:t>
      </w:r>
      <w:r w:rsidRPr="00FB543E">
        <w:rPr>
          <w:rFonts w:ascii="Century" w:hAnsi="Century"/>
          <w:rtl/>
        </w:rPr>
        <w:t xml:space="preserve"> </w:t>
      </w:r>
      <w:r w:rsidRPr="00FB543E">
        <w:rPr>
          <w:rFonts w:ascii="Century" w:hAnsi="Century" w:hint="eastAsia"/>
          <w:rtl/>
        </w:rPr>
        <w:t>ישלח</w:t>
      </w:r>
      <w:r w:rsidRPr="00FB543E">
        <w:rPr>
          <w:rFonts w:ascii="Century" w:hAnsi="Century"/>
          <w:rtl/>
        </w:rPr>
        <w:t xml:space="preserve"> </w:t>
      </w:r>
      <w:r w:rsidRPr="00FB543E">
        <w:rPr>
          <w:rFonts w:ascii="Century" w:hAnsi="Century" w:hint="eastAsia"/>
          <w:rtl/>
        </w:rPr>
        <w:t>ידו</w:t>
      </w:r>
      <w:r w:rsidRPr="00FB543E">
        <w:rPr>
          <w:rFonts w:ascii="Century" w:hAnsi="Century"/>
          <w:rtl/>
        </w:rPr>
        <w:t xml:space="preserve"> </w:t>
      </w:r>
      <w:r w:rsidRPr="00FB543E">
        <w:rPr>
          <w:rFonts w:ascii="Century" w:hAnsi="Century" w:hint="eastAsia"/>
          <w:rtl/>
        </w:rPr>
        <w:t>בהם</w:t>
      </w:r>
      <w:r>
        <w:rPr>
          <w:rFonts w:ascii="Century" w:hAnsi="Century" w:hint="cs"/>
          <w:rtl/>
        </w:rPr>
        <w:t>" (</w:t>
      </w:r>
      <w:r w:rsidRPr="001D3F37">
        <w:rPr>
          <w:rFonts w:ascii="Century" w:hAnsi="Century" w:cs="Miriam" w:hint="eastAsia"/>
          <w:b/>
          <w:spacing w:val="0"/>
          <w:szCs w:val="24"/>
          <w:rtl/>
        </w:rPr>
        <w:t>שם</w:t>
      </w:r>
      <w:r>
        <w:rPr>
          <w:rFonts w:ascii="Century" w:hAnsi="Century" w:hint="cs"/>
          <w:rtl/>
        </w:rPr>
        <w:t>, בעמ' 919). ראו גם: סעיף 15(א) לחוק האפוטרופוס הכללי).</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60. </w:t>
      </w:r>
      <w:r>
        <w:rPr>
          <w:rFonts w:ascii="Century" w:hAnsi="Century" w:hint="cs"/>
          <w:rtl/>
        </w:rPr>
        <w:tab/>
        <w:t>מעניין לציין כי בחוק מקרקעי ציבור (פינוי קרקע), התשמ"א-1981, מוגדרים "מקרקעי ציבור" כ"</w:t>
      </w:r>
      <w:r w:rsidRPr="009D17BD">
        <w:rPr>
          <w:rFonts w:ascii="Century" w:hAnsi="Century" w:hint="eastAsia"/>
          <w:rtl/>
        </w:rPr>
        <w:t>מקרקעי</w:t>
      </w:r>
      <w:r w:rsidRPr="009D17BD">
        <w:rPr>
          <w:rFonts w:ascii="Century" w:hAnsi="Century"/>
          <w:rtl/>
        </w:rPr>
        <w:t xml:space="preserve"> </w:t>
      </w:r>
      <w:r w:rsidRPr="009D17BD">
        <w:rPr>
          <w:rFonts w:ascii="Century" w:hAnsi="Century" w:hint="eastAsia"/>
          <w:rtl/>
        </w:rPr>
        <w:t>ישראל</w:t>
      </w:r>
      <w:r w:rsidRPr="009D17BD">
        <w:rPr>
          <w:rFonts w:ascii="Century" w:hAnsi="Century"/>
          <w:rtl/>
        </w:rPr>
        <w:t xml:space="preserve"> </w:t>
      </w:r>
      <w:r w:rsidRPr="009D17BD">
        <w:rPr>
          <w:rFonts w:ascii="Century" w:hAnsi="Century" w:hint="eastAsia"/>
          <w:rtl/>
        </w:rPr>
        <w:t>כמשמעותם</w:t>
      </w:r>
      <w:r w:rsidRPr="009D17BD">
        <w:rPr>
          <w:rFonts w:ascii="Century" w:hAnsi="Century"/>
          <w:rtl/>
        </w:rPr>
        <w:t xml:space="preserve"> </w:t>
      </w:r>
      <w:r w:rsidRPr="009D17BD">
        <w:rPr>
          <w:rFonts w:ascii="Century" w:hAnsi="Century" w:hint="eastAsia"/>
          <w:rtl/>
        </w:rPr>
        <w:t>בחוק</w:t>
      </w:r>
      <w:r w:rsidRPr="009D17BD">
        <w:rPr>
          <w:rFonts w:ascii="Century" w:hAnsi="Century"/>
          <w:rtl/>
        </w:rPr>
        <w:t>-</w:t>
      </w:r>
      <w:r w:rsidRPr="009D17BD">
        <w:rPr>
          <w:rFonts w:ascii="Century" w:hAnsi="Century" w:hint="eastAsia"/>
          <w:rtl/>
        </w:rPr>
        <w:t>יסוד</w:t>
      </w:r>
      <w:r w:rsidRPr="009D17BD">
        <w:rPr>
          <w:rFonts w:ascii="Century" w:hAnsi="Century"/>
          <w:rtl/>
        </w:rPr>
        <w:t xml:space="preserve">: </w:t>
      </w:r>
      <w:r w:rsidRPr="009D17BD">
        <w:rPr>
          <w:rFonts w:ascii="Century" w:hAnsi="Century" w:hint="eastAsia"/>
          <w:rtl/>
        </w:rPr>
        <w:t>מקרקעי</w:t>
      </w:r>
      <w:r w:rsidRPr="009D17BD">
        <w:rPr>
          <w:rFonts w:ascii="Century" w:hAnsi="Century"/>
          <w:rtl/>
        </w:rPr>
        <w:t xml:space="preserve"> </w:t>
      </w:r>
      <w:r w:rsidRPr="009D17BD">
        <w:rPr>
          <w:rFonts w:ascii="Century" w:hAnsi="Century" w:hint="eastAsia"/>
          <w:rtl/>
        </w:rPr>
        <w:t>ישראל</w:t>
      </w:r>
      <w:r w:rsidRPr="009D17BD">
        <w:rPr>
          <w:rFonts w:ascii="Century" w:hAnsi="Century"/>
          <w:rtl/>
        </w:rPr>
        <w:t xml:space="preserve">, </w:t>
      </w:r>
      <w:r w:rsidRPr="009D17BD">
        <w:rPr>
          <w:rFonts w:ascii="Century" w:hAnsi="Century" w:hint="eastAsia"/>
          <w:rtl/>
        </w:rPr>
        <w:t>ומקרקעין</w:t>
      </w:r>
      <w:r w:rsidRPr="009D17BD">
        <w:rPr>
          <w:rFonts w:ascii="Century" w:hAnsi="Century"/>
          <w:rtl/>
        </w:rPr>
        <w:t xml:space="preserve"> </w:t>
      </w:r>
      <w:r w:rsidRPr="009D17BD">
        <w:rPr>
          <w:rFonts w:ascii="Century" w:hAnsi="Century" w:hint="eastAsia"/>
          <w:rtl/>
        </w:rPr>
        <w:t>של</w:t>
      </w:r>
      <w:r w:rsidRPr="009D17BD">
        <w:rPr>
          <w:rFonts w:ascii="Century" w:hAnsi="Century"/>
          <w:rtl/>
        </w:rPr>
        <w:t xml:space="preserve"> </w:t>
      </w:r>
      <w:r w:rsidRPr="009D17BD">
        <w:rPr>
          <w:rFonts w:ascii="Century" w:hAnsi="Century" w:hint="eastAsia"/>
          <w:rtl/>
        </w:rPr>
        <w:t>רשות</w:t>
      </w:r>
      <w:r w:rsidRPr="009D17BD">
        <w:rPr>
          <w:rFonts w:ascii="Century" w:hAnsi="Century"/>
          <w:rtl/>
        </w:rPr>
        <w:t xml:space="preserve"> </w:t>
      </w:r>
      <w:r w:rsidRPr="009D17BD">
        <w:rPr>
          <w:rFonts w:ascii="Century" w:hAnsi="Century" w:hint="eastAsia"/>
          <w:rtl/>
        </w:rPr>
        <w:t>מקומית</w:t>
      </w:r>
      <w:r>
        <w:rPr>
          <w:rFonts w:ascii="Century" w:hAnsi="Century" w:hint="cs"/>
          <w:rtl/>
        </w:rPr>
        <w:t xml:space="preserve">", מבלי שהגדרה זו כוללת מקרקעין של תאגידים סטטוטוריים (ראו: </w:t>
      </w:r>
      <w:r w:rsidRPr="00540625">
        <w:rPr>
          <w:rFonts w:ascii="Century" w:hAnsi="Century" w:cs="Miriam" w:hint="eastAsia"/>
          <w:b/>
          <w:spacing w:val="0"/>
          <w:szCs w:val="24"/>
          <w:rtl/>
        </w:rPr>
        <w:t>ויסמן</w:t>
      </w:r>
      <w:r w:rsidRPr="00540625">
        <w:rPr>
          <w:rFonts w:ascii="Century" w:hAnsi="Century" w:cs="Miriam"/>
          <w:b/>
          <w:spacing w:val="0"/>
          <w:szCs w:val="24"/>
          <w:rtl/>
        </w:rPr>
        <w:t xml:space="preserve">, </w:t>
      </w:r>
      <w:r w:rsidRPr="00540625">
        <w:rPr>
          <w:rFonts w:ascii="Century" w:hAnsi="Century" w:cs="Miriam" w:hint="eastAsia"/>
          <w:b/>
          <w:spacing w:val="0"/>
          <w:szCs w:val="24"/>
          <w:rtl/>
        </w:rPr>
        <w:t>דיני</w:t>
      </w:r>
      <w:r w:rsidRPr="00540625">
        <w:rPr>
          <w:rFonts w:ascii="Century" w:hAnsi="Century" w:cs="Miriam"/>
          <w:b/>
          <w:spacing w:val="0"/>
          <w:szCs w:val="24"/>
          <w:rtl/>
        </w:rPr>
        <w:t xml:space="preserve"> </w:t>
      </w:r>
      <w:r w:rsidRPr="00540625">
        <w:rPr>
          <w:rFonts w:ascii="Century" w:hAnsi="Century" w:cs="Miriam" w:hint="eastAsia"/>
          <w:b/>
          <w:spacing w:val="0"/>
          <w:szCs w:val="24"/>
          <w:rtl/>
        </w:rPr>
        <w:t>קניין</w:t>
      </w:r>
      <w:r>
        <w:rPr>
          <w:rFonts w:ascii="Century" w:hAnsi="Century" w:hint="cs"/>
          <w:rtl/>
        </w:rPr>
        <w:t>, בעמ' 268-267). אף עובדה זו מלמדת על סוג המקרקעין שהמחוקק רואה חשיבות להגן עליהם מפני פלישות של גורמים פרטיים. מקרקעין מהסוג המוחזק ומנוהל על-ידי האפוטרופוס הכללי נבדלים ממקרקעי ציבור במובן מהותי זה.</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61. </w:t>
      </w:r>
      <w:r>
        <w:rPr>
          <w:rFonts w:ascii="Century" w:hAnsi="Century" w:hint="cs"/>
          <w:rtl/>
        </w:rPr>
        <w:tab/>
        <w:t xml:space="preserve">נקודה נוספת הראויה לציון, נוגעת לשאלת תחולתו של סעיף 113(ב) לחוק המקרקעין על מקרקעין לא מוסדרים. בהקשר זה הועלתה בספרות המשפטית הטענה, כי חוק המקרקעין אינו פוגע בדיני התיישנות במקרקעין לא מוסדרים, בהתאם לאמור בסעיף 162(2) לו (סעיף "שמירת הדינים"); ולכן במקרקעין לא מוסדרים ממילא סעיף 113(ב) לחוק אינו חל, ותקופת ההתיישנות נספרת נגד המדינה גם אם המקרקעין אינם רשומים (ראו: פליאה אלבק ורן פליישר </w:t>
      </w:r>
      <w:r w:rsidRPr="00E9603D">
        <w:rPr>
          <w:rFonts w:ascii="Century" w:hAnsi="Century" w:cs="Miriam" w:hint="eastAsia"/>
          <w:b/>
          <w:spacing w:val="0"/>
          <w:szCs w:val="24"/>
          <w:rtl/>
        </w:rPr>
        <w:t>דיני</w:t>
      </w:r>
      <w:r w:rsidRPr="00E9603D">
        <w:rPr>
          <w:rFonts w:ascii="Century" w:hAnsi="Century" w:cs="Miriam"/>
          <w:b/>
          <w:spacing w:val="0"/>
          <w:szCs w:val="24"/>
          <w:rtl/>
        </w:rPr>
        <w:t xml:space="preserve"> </w:t>
      </w:r>
      <w:r w:rsidRPr="00E9603D">
        <w:rPr>
          <w:rFonts w:ascii="Century" w:hAnsi="Century" w:cs="Miriam" w:hint="eastAsia"/>
          <w:b/>
          <w:spacing w:val="0"/>
          <w:szCs w:val="24"/>
          <w:rtl/>
        </w:rPr>
        <w:t>מקרקעין</w:t>
      </w:r>
      <w:r w:rsidRPr="00E9603D">
        <w:rPr>
          <w:rFonts w:ascii="Century" w:hAnsi="Century" w:cs="Miriam"/>
          <w:b/>
          <w:spacing w:val="0"/>
          <w:szCs w:val="24"/>
          <w:rtl/>
        </w:rPr>
        <w:t xml:space="preserve"> </w:t>
      </w:r>
      <w:r w:rsidRPr="00E9603D">
        <w:rPr>
          <w:rFonts w:ascii="Century" w:hAnsi="Century" w:cs="Miriam" w:hint="eastAsia"/>
          <w:b/>
          <w:spacing w:val="0"/>
          <w:szCs w:val="24"/>
          <w:rtl/>
        </w:rPr>
        <w:t>בישראל</w:t>
      </w:r>
      <w:r w:rsidRPr="00B9392F">
        <w:rPr>
          <w:rFonts w:ascii="Century" w:hAnsi="Century" w:hint="cs"/>
          <w:rtl/>
        </w:rPr>
        <w:t xml:space="preserve"> </w:t>
      </w:r>
      <w:r>
        <w:rPr>
          <w:rFonts w:ascii="Century" w:hAnsi="Century" w:hint="cs"/>
          <w:rtl/>
        </w:rPr>
        <w:t xml:space="preserve">164-163 (2005)). מנגד, הובעה העמדה כי סעיף 113(ב) אמנם חושף את "חוסר השלמות" שבניסוח סעיף 162(2) לחוק, אולם ניתן להניח כי המחוקק הותיר מצבים מסוימים שעליהם כן יחולו דיני ההתיישנות כפי שהיו בתוקף ערב חקיקת חוק המקרקעין, שכן אחרת סעיף 113(ב) לחוק לא יבוא לכלל תחולה (ראו: </w:t>
      </w:r>
      <w:r w:rsidRPr="00E9603D">
        <w:rPr>
          <w:rFonts w:ascii="Century" w:hAnsi="Century" w:cs="Miriam" w:hint="eastAsia"/>
          <w:b/>
          <w:spacing w:val="0"/>
          <w:szCs w:val="24"/>
          <w:rtl/>
        </w:rPr>
        <w:t>ויסמן</w:t>
      </w:r>
      <w:r w:rsidRPr="00E9603D">
        <w:rPr>
          <w:rFonts w:ascii="Century" w:hAnsi="Century" w:cs="Miriam"/>
          <w:b/>
          <w:spacing w:val="0"/>
          <w:szCs w:val="24"/>
          <w:rtl/>
        </w:rPr>
        <w:t xml:space="preserve">, </w:t>
      </w:r>
      <w:r w:rsidRPr="00E9603D">
        <w:rPr>
          <w:rFonts w:ascii="Century" w:hAnsi="Century" w:cs="Miriam" w:hint="eastAsia"/>
          <w:b/>
          <w:spacing w:val="0"/>
          <w:szCs w:val="24"/>
          <w:rtl/>
        </w:rPr>
        <w:t>ההתיישנות</w:t>
      </w:r>
      <w:r w:rsidRPr="00E9603D">
        <w:rPr>
          <w:rFonts w:ascii="Century" w:hAnsi="Century" w:cs="Miriam"/>
          <w:b/>
          <w:spacing w:val="0"/>
          <w:szCs w:val="24"/>
          <w:rtl/>
        </w:rPr>
        <w:t xml:space="preserve"> </w:t>
      </w:r>
      <w:r w:rsidRPr="00E9603D">
        <w:rPr>
          <w:rFonts w:ascii="Century" w:hAnsi="Century" w:cs="Miriam" w:hint="eastAsia"/>
          <w:b/>
          <w:spacing w:val="0"/>
          <w:szCs w:val="24"/>
          <w:rtl/>
        </w:rPr>
        <w:t>והמדינה</w:t>
      </w:r>
      <w:r>
        <w:rPr>
          <w:rFonts w:ascii="Century" w:hAnsi="Century" w:hint="cs"/>
          <w:rtl/>
        </w:rPr>
        <w:t>, בעמ' 12). כך או כך, דומה שדיון זה נעשה בספרות מתוך הנחת מוצא ברורה שהקרקעות הרלוונטיות לתחולתו של סעיף 113(ב) לחוק הם במובהק אדמות מדינה, ולא אדמות פרטיות המוחזקות ומנוהלות באופן זמני על-ידי האפוטרופוס הכללי.</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62. </w:t>
      </w:r>
      <w:r>
        <w:rPr>
          <w:rFonts w:ascii="Century" w:hAnsi="Century" w:hint="cs"/>
          <w:rtl/>
        </w:rPr>
        <w:tab/>
        <w:t>המסקנה שאליה הגעתי נתמכת אף בשיקולים של הרמוניה חקיקתית פנימית. הדברים אמורים בשים לב לנוסחו של סעיף 14 לחוק ההתיישנות, הקובע הסדר של השעיית מרוץ ההתיישנות בנסיבות שבהן נמצא אחד מבעלי הדין "</w:t>
      </w:r>
      <w:r w:rsidRPr="00DB6B76">
        <w:rPr>
          <w:rFonts w:ascii="Century" w:hAnsi="Century" w:hint="eastAsia"/>
          <w:rtl/>
        </w:rPr>
        <w:t>בשטח</w:t>
      </w:r>
      <w:r w:rsidRPr="00DB6B76">
        <w:rPr>
          <w:rFonts w:ascii="Century" w:hAnsi="Century"/>
          <w:rtl/>
        </w:rPr>
        <w:t xml:space="preserve"> </w:t>
      </w:r>
      <w:r w:rsidRPr="00DB6B76">
        <w:rPr>
          <w:rFonts w:ascii="Century" w:hAnsi="Century" w:hint="eastAsia"/>
          <w:rtl/>
        </w:rPr>
        <w:t>מדינה</w:t>
      </w:r>
      <w:r w:rsidRPr="00DB6B76">
        <w:rPr>
          <w:rFonts w:ascii="Century" w:hAnsi="Century"/>
          <w:rtl/>
        </w:rPr>
        <w:t xml:space="preserve">, </w:t>
      </w:r>
      <w:r w:rsidRPr="00DB6B76">
        <w:rPr>
          <w:rFonts w:ascii="Century" w:hAnsi="Century" w:hint="eastAsia"/>
          <w:rtl/>
        </w:rPr>
        <w:t>שמחמת</w:t>
      </w:r>
      <w:r w:rsidRPr="00DB6B76">
        <w:rPr>
          <w:rFonts w:ascii="Century" w:hAnsi="Century"/>
          <w:rtl/>
        </w:rPr>
        <w:t xml:space="preserve"> </w:t>
      </w:r>
      <w:r w:rsidRPr="00DB6B76">
        <w:rPr>
          <w:rFonts w:ascii="Century" w:hAnsi="Century" w:hint="eastAsia"/>
          <w:rtl/>
        </w:rPr>
        <w:t>התנאים</w:t>
      </w:r>
      <w:r w:rsidRPr="00DB6B76">
        <w:rPr>
          <w:rFonts w:ascii="Century" w:hAnsi="Century"/>
          <w:rtl/>
        </w:rPr>
        <w:t xml:space="preserve"> </w:t>
      </w:r>
      <w:r w:rsidRPr="00DB6B76">
        <w:rPr>
          <w:rFonts w:ascii="Century" w:hAnsi="Century" w:hint="eastAsia"/>
          <w:rtl/>
        </w:rPr>
        <w:t>שהיה</w:t>
      </w:r>
      <w:r w:rsidRPr="00DB6B76">
        <w:rPr>
          <w:rFonts w:ascii="Century" w:hAnsi="Century"/>
          <w:rtl/>
        </w:rPr>
        <w:t xml:space="preserve"> </w:t>
      </w:r>
      <w:r w:rsidRPr="00DB6B76">
        <w:rPr>
          <w:rFonts w:ascii="Century" w:hAnsi="Century" w:hint="eastAsia"/>
          <w:rtl/>
        </w:rPr>
        <w:t>נתון</w:t>
      </w:r>
      <w:r w:rsidRPr="00DB6B76">
        <w:rPr>
          <w:rFonts w:ascii="Century" w:hAnsi="Century"/>
          <w:rtl/>
        </w:rPr>
        <w:t xml:space="preserve"> </w:t>
      </w:r>
      <w:r w:rsidRPr="00DB6B76">
        <w:rPr>
          <w:rFonts w:ascii="Century" w:hAnsi="Century" w:hint="eastAsia"/>
          <w:rtl/>
        </w:rPr>
        <w:t>בהם</w:t>
      </w:r>
      <w:r w:rsidRPr="00DB6B76">
        <w:rPr>
          <w:rFonts w:ascii="Century" w:hAnsi="Century"/>
          <w:rtl/>
        </w:rPr>
        <w:t xml:space="preserve"> </w:t>
      </w:r>
      <w:r w:rsidRPr="00DB6B76">
        <w:rPr>
          <w:rFonts w:ascii="Century" w:hAnsi="Century" w:hint="eastAsia"/>
          <w:rtl/>
        </w:rPr>
        <w:t>שם</w:t>
      </w:r>
      <w:r w:rsidRPr="00DB6B76">
        <w:rPr>
          <w:rFonts w:ascii="Century" w:hAnsi="Century"/>
          <w:rtl/>
        </w:rPr>
        <w:t xml:space="preserve"> </w:t>
      </w:r>
      <w:r w:rsidRPr="00DB6B76">
        <w:rPr>
          <w:rFonts w:ascii="Century" w:hAnsi="Century" w:hint="eastAsia"/>
          <w:rtl/>
        </w:rPr>
        <w:t>או</w:t>
      </w:r>
      <w:r w:rsidRPr="00DB6B76">
        <w:rPr>
          <w:rFonts w:ascii="Century" w:hAnsi="Century"/>
          <w:rtl/>
        </w:rPr>
        <w:t xml:space="preserve"> </w:t>
      </w:r>
      <w:r w:rsidRPr="00DB6B76">
        <w:rPr>
          <w:rFonts w:ascii="Century" w:hAnsi="Century" w:hint="eastAsia"/>
          <w:rtl/>
        </w:rPr>
        <w:t>מחמת</w:t>
      </w:r>
      <w:r w:rsidRPr="00DB6B76">
        <w:rPr>
          <w:rFonts w:ascii="Century" w:hAnsi="Century"/>
          <w:rtl/>
        </w:rPr>
        <w:t xml:space="preserve"> </w:t>
      </w:r>
      <w:r w:rsidRPr="00DB6B76">
        <w:rPr>
          <w:rFonts w:ascii="Century" w:hAnsi="Century" w:hint="eastAsia"/>
          <w:rtl/>
        </w:rPr>
        <w:t>היחסים</w:t>
      </w:r>
      <w:r w:rsidRPr="00DB6B76">
        <w:rPr>
          <w:rFonts w:ascii="Century" w:hAnsi="Century"/>
          <w:rtl/>
        </w:rPr>
        <w:t xml:space="preserve"> </w:t>
      </w:r>
      <w:r w:rsidRPr="00DB6B76">
        <w:rPr>
          <w:rFonts w:ascii="Century" w:hAnsi="Century" w:hint="eastAsia"/>
          <w:rtl/>
        </w:rPr>
        <w:t>שהיו</w:t>
      </w:r>
      <w:r w:rsidRPr="00DB6B76">
        <w:rPr>
          <w:rFonts w:ascii="Century" w:hAnsi="Century"/>
          <w:rtl/>
        </w:rPr>
        <w:t xml:space="preserve"> </w:t>
      </w:r>
      <w:r w:rsidRPr="00DB6B76">
        <w:rPr>
          <w:rFonts w:ascii="Century" w:hAnsi="Century" w:hint="eastAsia"/>
          <w:rtl/>
        </w:rPr>
        <w:t>שוררים</w:t>
      </w:r>
      <w:r w:rsidRPr="00DB6B76">
        <w:rPr>
          <w:rFonts w:ascii="Century" w:hAnsi="Century"/>
          <w:rtl/>
        </w:rPr>
        <w:t xml:space="preserve"> </w:t>
      </w:r>
      <w:r w:rsidRPr="00DB6B76">
        <w:rPr>
          <w:rFonts w:ascii="Century" w:hAnsi="Century" w:hint="eastAsia"/>
          <w:rtl/>
        </w:rPr>
        <w:t>בין</w:t>
      </w:r>
      <w:r w:rsidRPr="00DB6B76">
        <w:rPr>
          <w:rFonts w:ascii="Century" w:hAnsi="Century"/>
          <w:rtl/>
        </w:rPr>
        <w:t xml:space="preserve"> </w:t>
      </w:r>
      <w:r w:rsidRPr="00DB6B76">
        <w:rPr>
          <w:rFonts w:ascii="Century" w:hAnsi="Century" w:hint="eastAsia"/>
          <w:rtl/>
        </w:rPr>
        <w:t>אותה</w:t>
      </w:r>
      <w:r w:rsidRPr="00DB6B76">
        <w:rPr>
          <w:rFonts w:ascii="Century" w:hAnsi="Century"/>
          <w:rtl/>
        </w:rPr>
        <w:t xml:space="preserve"> </w:t>
      </w:r>
      <w:r w:rsidRPr="00DB6B76">
        <w:rPr>
          <w:rFonts w:ascii="Century" w:hAnsi="Century" w:hint="eastAsia"/>
          <w:rtl/>
        </w:rPr>
        <w:t>מדינה</w:t>
      </w:r>
      <w:r w:rsidRPr="00DB6B76">
        <w:rPr>
          <w:rFonts w:ascii="Century" w:hAnsi="Century"/>
          <w:rtl/>
        </w:rPr>
        <w:t xml:space="preserve"> </w:t>
      </w:r>
      <w:r w:rsidRPr="00DB6B76">
        <w:rPr>
          <w:rFonts w:ascii="Century" w:hAnsi="Century" w:hint="eastAsia"/>
          <w:rtl/>
        </w:rPr>
        <w:t>לבין</w:t>
      </w:r>
      <w:r w:rsidRPr="00DB6B76">
        <w:rPr>
          <w:rFonts w:ascii="Century" w:hAnsi="Century"/>
          <w:rtl/>
        </w:rPr>
        <w:t xml:space="preserve"> </w:t>
      </w:r>
      <w:r w:rsidRPr="00DB6B76">
        <w:rPr>
          <w:rFonts w:ascii="Century" w:hAnsi="Century" w:hint="eastAsia"/>
          <w:rtl/>
        </w:rPr>
        <w:t>מדינת</w:t>
      </w:r>
      <w:r w:rsidRPr="00DB6B76">
        <w:rPr>
          <w:rFonts w:ascii="Century" w:hAnsi="Century"/>
          <w:rtl/>
        </w:rPr>
        <w:t xml:space="preserve"> </w:t>
      </w:r>
      <w:r w:rsidRPr="00DB6B76">
        <w:rPr>
          <w:rFonts w:ascii="Century" w:hAnsi="Century" w:hint="eastAsia"/>
          <w:rtl/>
        </w:rPr>
        <w:t>ישראל</w:t>
      </w:r>
      <w:r w:rsidRPr="00DB6B76">
        <w:rPr>
          <w:rFonts w:ascii="Century" w:hAnsi="Century"/>
          <w:rtl/>
        </w:rPr>
        <w:t xml:space="preserve"> </w:t>
      </w:r>
      <w:r w:rsidRPr="00DB6B76">
        <w:rPr>
          <w:rFonts w:ascii="Century" w:hAnsi="Century" w:hint="eastAsia"/>
          <w:rtl/>
        </w:rPr>
        <w:t>לא</w:t>
      </w:r>
      <w:r w:rsidRPr="00DB6B76">
        <w:rPr>
          <w:rFonts w:ascii="Century" w:hAnsi="Century"/>
          <w:rtl/>
        </w:rPr>
        <w:t xml:space="preserve"> </w:t>
      </w:r>
      <w:r w:rsidRPr="00DB6B76">
        <w:rPr>
          <w:rFonts w:ascii="Century" w:hAnsi="Century" w:hint="eastAsia"/>
          <w:rtl/>
        </w:rPr>
        <w:t>יכול</w:t>
      </w:r>
      <w:r w:rsidRPr="00DB6B76">
        <w:rPr>
          <w:rFonts w:ascii="Century" w:hAnsi="Century"/>
          <w:rtl/>
        </w:rPr>
        <w:t xml:space="preserve"> </w:t>
      </w:r>
      <w:r w:rsidRPr="00DB6B76">
        <w:rPr>
          <w:rFonts w:ascii="Century" w:hAnsi="Century" w:hint="eastAsia"/>
          <w:rtl/>
        </w:rPr>
        <w:t>היה</w:t>
      </w:r>
      <w:r w:rsidRPr="00DB6B76">
        <w:rPr>
          <w:rFonts w:ascii="Century" w:hAnsi="Century"/>
          <w:rtl/>
        </w:rPr>
        <w:t xml:space="preserve">, </w:t>
      </w:r>
      <w:r w:rsidRPr="00DB6B76">
        <w:rPr>
          <w:rFonts w:ascii="Century" w:hAnsi="Century" w:hint="eastAsia"/>
          <w:rtl/>
        </w:rPr>
        <w:t>הוא</w:t>
      </w:r>
      <w:r w:rsidRPr="00DB6B76">
        <w:rPr>
          <w:rFonts w:ascii="Century" w:hAnsi="Century"/>
          <w:rtl/>
        </w:rPr>
        <w:t xml:space="preserve"> </w:t>
      </w:r>
      <w:r w:rsidRPr="00DB6B76">
        <w:rPr>
          <w:rFonts w:ascii="Century" w:hAnsi="Century" w:hint="eastAsia"/>
          <w:rtl/>
        </w:rPr>
        <w:t>או</w:t>
      </w:r>
      <w:r w:rsidRPr="00DB6B76">
        <w:rPr>
          <w:rFonts w:ascii="Century" w:hAnsi="Century"/>
          <w:rtl/>
        </w:rPr>
        <w:t xml:space="preserve"> </w:t>
      </w:r>
      <w:r w:rsidRPr="00DB6B76">
        <w:rPr>
          <w:rFonts w:ascii="Century" w:hAnsi="Century" w:hint="eastAsia"/>
          <w:rtl/>
        </w:rPr>
        <w:t>בעל</w:t>
      </w:r>
      <w:r w:rsidRPr="00DB6B76">
        <w:rPr>
          <w:rFonts w:ascii="Century" w:hAnsi="Century"/>
          <w:rtl/>
        </w:rPr>
        <w:t xml:space="preserve"> </w:t>
      </w:r>
      <w:r w:rsidRPr="00DB6B76">
        <w:rPr>
          <w:rFonts w:ascii="Century" w:hAnsi="Century" w:hint="eastAsia"/>
          <w:rtl/>
        </w:rPr>
        <w:t>דינו</w:t>
      </w:r>
      <w:r w:rsidRPr="00DB6B76">
        <w:rPr>
          <w:rFonts w:ascii="Century" w:hAnsi="Century"/>
          <w:rtl/>
        </w:rPr>
        <w:t xml:space="preserve">, </w:t>
      </w:r>
      <w:r w:rsidRPr="00DB6B76">
        <w:rPr>
          <w:rFonts w:ascii="Century" w:hAnsi="Century" w:hint="eastAsia"/>
          <w:rtl/>
        </w:rPr>
        <w:t>לקיים</w:t>
      </w:r>
      <w:r w:rsidRPr="00DB6B76">
        <w:rPr>
          <w:rFonts w:ascii="Century" w:hAnsi="Century"/>
          <w:rtl/>
        </w:rPr>
        <w:t xml:space="preserve"> </w:t>
      </w:r>
      <w:r w:rsidRPr="00DB6B76">
        <w:rPr>
          <w:rFonts w:ascii="Century" w:hAnsi="Century" w:hint="eastAsia"/>
          <w:rtl/>
        </w:rPr>
        <w:t>את</w:t>
      </w:r>
      <w:r w:rsidRPr="00DB6B76">
        <w:rPr>
          <w:rFonts w:ascii="Century" w:hAnsi="Century"/>
          <w:rtl/>
        </w:rPr>
        <w:t xml:space="preserve"> </w:t>
      </w:r>
      <w:r w:rsidRPr="00DB6B76">
        <w:rPr>
          <w:rFonts w:ascii="Century" w:hAnsi="Century" w:hint="eastAsia"/>
          <w:rtl/>
        </w:rPr>
        <w:t>הבירור</w:t>
      </w:r>
      <w:r w:rsidRPr="00DB6B76">
        <w:rPr>
          <w:rFonts w:ascii="Century" w:hAnsi="Century"/>
          <w:rtl/>
        </w:rPr>
        <w:t xml:space="preserve"> </w:t>
      </w:r>
      <w:r w:rsidRPr="00DB6B76">
        <w:rPr>
          <w:rFonts w:ascii="Century" w:hAnsi="Century" w:hint="eastAsia"/>
          <w:rtl/>
        </w:rPr>
        <w:t>המשפטי</w:t>
      </w:r>
      <w:r>
        <w:rPr>
          <w:rFonts w:ascii="Century" w:hAnsi="Century" w:hint="cs"/>
          <w:rtl/>
        </w:rPr>
        <w:t>"</w:t>
      </w:r>
      <w:r w:rsidRPr="00DB6B76">
        <w:rPr>
          <w:rFonts w:ascii="Century" w:hAnsi="Century"/>
          <w:rtl/>
        </w:rPr>
        <w:t>.</w:t>
      </w:r>
      <w:r>
        <w:rPr>
          <w:rFonts w:ascii="Century" w:hAnsi="Century" w:hint="cs"/>
          <w:rtl/>
        </w:rPr>
        <w:t xml:space="preserve"> בהקשר זה מתייחס הסעיף באופן ספציפי לנכס המצוי בניהולו של האפוטרופוס הכללי, וקובע שבעל הדין לעניין זה יהא "בעל הנכס" (דהיינו, לא האפוטרופוס הכללי עצמו, על אף שהוא מנהל את הנכס באותה העת). למעשה, קריאה של סעיף זה מלמדת כי ההנחה של חוק ההתיישנות היא כי מרוץ ההתיישנות ממשיך להתקיים גם בתקופה שבה הנכס מוקנה לניהולו של האפוטרופוס הכללי, שכן אחרת לא היה כל צורך לקבוע הוראה מיוחדת לעניין השעיית מרוץ ההתיישנות כאשר בעל הנכס מצוי במדינה אחרת ולא יכול לנהל את ההליך. במלים אחרות, העובדה שחוק ההתיישנות נדרש באופן ספציפי לעילות אחרות של השעיית מרוץ ההתיישנות בתקופה שבה מוקנים המקרקעין לניהולו של האפוטרופוס הכללי, מלמדת כי המחוקק לא סבר שסעיף 113(ב) לחוק אמור לחול בנסיבות אלה.</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63. </w:t>
      </w:r>
      <w:r>
        <w:rPr>
          <w:rFonts w:ascii="Century" w:hAnsi="Century" w:hint="cs"/>
          <w:rtl/>
        </w:rPr>
        <w:tab/>
        <w:t xml:space="preserve">על כל האמור בנוגע לתכליתו הקונקרטית של סעיף 113(ב) לחוק המקרקעין יש להוסיף ולהתייחס לתכליותיו של מוסד ההתיישנות ככלל, ובפרט להתיישנות במקרקעין. בעיקרו של דבר, אני סבורה כי הטעמים להכרה בהתיישנות תומכים בנסיבות העניין במסקנה שלפיה אין מקום להשעות את מרוץ ההתיישנות כל עוד המקרקעין מוקנים לאפוטרופוס הכללי. כך, הרציונלים שעניינם מתן ודאות לנתבע המסתמך על המצב הקיים מזה שנים, הימנעות מניהול הליך שמבוסס על ראיות מלפני שנים רבות, כמו גם האינטרסים המוסדיים שעניינם אי-הכבדה על בית המשפט בתביעות ישנות שמעוררות קושי דיוני </w:t>
      </w:r>
      <w:r>
        <w:rPr>
          <w:rFonts w:ascii="Century" w:hAnsi="Century"/>
          <w:rtl/>
        </w:rPr>
        <w:t>–</w:t>
      </w:r>
      <w:r>
        <w:rPr>
          <w:rFonts w:ascii="Century" w:hAnsi="Century" w:hint="cs"/>
          <w:rtl/>
        </w:rPr>
        <w:t xml:space="preserve"> תומכות במסקנה האמורה. כמו כן, הנחת המוצא העומדת ביסוד דיני ההתיישנות לפיה תובע שאינו תובע שנים ארוכות "ישן על זכויותיו" תומכת אף היא במסקנה כי סעיף 113(ב) לחוק המקרקעין יחול רק בנסיבות שבהן מדובר באדמות מדינה שרשות ציבורית אינה מודעת אליהן כלל, להבדיל ממקרים שבהם האפוטרופוס הכללי מנהל מקרקעין פרטיים מכוח צו הקניה ספציפי. על כך מתווספים שיקולי המדיניות הייחודיים החלים כאשר עסקינן בהתיישנות במקרקעין. במישור הציבורי, התיישנות במקרקעין מגבירה את הוודאות בשוק המקרקעין, ומעודדת ניצול יעיל של קרקעות. במישור הפרטני, כאשר אדם מחזיק במקרקעין באין מפריע, ככל שחולף הזמן מתחזקת ההצדקה לשמר את הסטטוס קוו ומנגד נחלשת ההצדקה לדרוש מהמחזיק להוכיח כיצד רכש את זכותו או לחייבו להשיב אותה לבעליה (ראו: </w:t>
      </w:r>
      <w:r w:rsidRPr="00E9603D">
        <w:rPr>
          <w:rFonts w:ascii="Century" w:hAnsi="Century" w:cs="Miriam" w:hint="eastAsia"/>
          <w:b/>
          <w:spacing w:val="0"/>
          <w:szCs w:val="24"/>
          <w:rtl/>
        </w:rPr>
        <w:t>חבקין</w:t>
      </w:r>
      <w:r>
        <w:rPr>
          <w:rFonts w:ascii="Century" w:hAnsi="Century" w:hint="cs"/>
          <w:rtl/>
        </w:rPr>
        <w:t>, בעמ' 460). הדברים אמורים בשים לב לכך שעסקינן במקרקעין לא מוסדרים, להבדיל ממקרקעין מוסדרים שביחס אליהם שיקולים אלה נחלשים משמעותית (ועל כן הסדרי ההתיישנות לגביהם, כידוע, בוטלו). אם כן, מכלול אינטרסים אלה מצדיק לנקוט משנה זהירות כאשר אנו נדרשים לפרש הוראת חוק ככזו המשעה את מרוץ ההתיישנות או מקנה חריג מרחיק לכת לתחולתה של התיישנות.</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64. </w:t>
      </w:r>
      <w:r>
        <w:rPr>
          <w:rFonts w:ascii="Century" w:hAnsi="Century"/>
          <w:rtl/>
        </w:rPr>
        <w:tab/>
      </w:r>
      <w:r>
        <w:rPr>
          <w:rFonts w:ascii="Century" w:hAnsi="Century" w:hint="cs"/>
          <w:rtl/>
        </w:rPr>
        <w:t xml:space="preserve">לסיכום חלק זה: ההסדר הקבוע בסעיף 113(ב) לחוק המקרקעין נועד לחול על אדמות מדינה, ולא על מקרקעין בבעלות פרטית שהוקנו לניהולו של אפוטרופוס הכללי מכוח חוק הסדרי משפט. כך עולה הן מלשון הסעיף המתייחסת לתחילת מרוץ ההתיישנות בעת רישום המקרקעין על שם בעליהם (בעוד במקרים מן הסוג דנן, הרישום נותר ממילא כל העת על שם הבעלים הפרטיים), והן מתכליותיו של הסדר זה שנועדו להגן מפני פלישה לאדמות מדינה שאין לגביהן בקרה ומפני העברתן לידיים פרטיות מכוח התיישנות. על כן, אני סבורה כי אין מקום לקבוע שסעיף 113(ב) לחוק המקרקעין חל על המקרקעין מושא ההליך דנן בתקופה שבה אלה נוהלו על-ידי האפוטרופוס הכללי. יחד עם זאת, עדיין יש לבחון טענה נוספת שהועלתה בכל הנוגע להשעיית מרוץ ההתיישנות </w:t>
      </w:r>
      <w:r>
        <w:rPr>
          <w:rFonts w:ascii="Century" w:hAnsi="Century"/>
          <w:rtl/>
        </w:rPr>
        <w:t>–</w:t>
      </w:r>
      <w:r>
        <w:rPr>
          <w:rFonts w:ascii="Century" w:hAnsi="Century" w:hint="cs"/>
          <w:rtl/>
        </w:rPr>
        <w:t xml:space="preserve"> זו המבוססת על ההסדר הקבוע בסעיף 8 לחוק ההתיישנות.</w:t>
      </w:r>
    </w:p>
    <w:p w:rsidR="00761030" w:rsidRDefault="00761030" w:rsidP="00761030">
      <w:pPr>
        <w:pStyle w:val="Ruller41"/>
        <w:rPr>
          <w:rFonts w:ascii="Century" w:hAnsi="Century"/>
          <w:rtl/>
        </w:rPr>
      </w:pPr>
    </w:p>
    <w:p w:rsidR="00761030" w:rsidRPr="00E9603D" w:rsidRDefault="00761030" w:rsidP="00761030">
      <w:pPr>
        <w:pStyle w:val="Ruller41"/>
        <w:rPr>
          <w:rFonts w:ascii="Century" w:hAnsi="Century" w:cs="Miriam"/>
          <w:b/>
          <w:spacing w:val="0"/>
          <w:szCs w:val="24"/>
          <w:rtl/>
        </w:rPr>
      </w:pPr>
      <w:r>
        <w:rPr>
          <w:rFonts w:ascii="Century" w:hAnsi="Century" w:cs="Miriam" w:hint="cs"/>
          <w:b/>
          <w:spacing w:val="0"/>
          <w:szCs w:val="24"/>
          <w:rtl/>
        </w:rPr>
        <w:t>חריג הגילוי המאוחר</w:t>
      </w:r>
      <w:r w:rsidRPr="00E9603D">
        <w:rPr>
          <w:rFonts w:ascii="Century" w:hAnsi="Century" w:cs="Miriam"/>
          <w:b/>
          <w:spacing w:val="0"/>
          <w:szCs w:val="24"/>
          <w:rtl/>
        </w:rPr>
        <w:t xml:space="preserve"> – </w:t>
      </w:r>
      <w:r w:rsidRPr="00E9603D">
        <w:rPr>
          <w:rFonts w:ascii="Century" w:hAnsi="Century" w:cs="Miriam" w:hint="eastAsia"/>
          <w:b/>
          <w:spacing w:val="0"/>
          <w:szCs w:val="24"/>
          <w:rtl/>
        </w:rPr>
        <w:t>סעיף</w:t>
      </w:r>
      <w:r w:rsidRPr="00E9603D">
        <w:rPr>
          <w:rFonts w:ascii="Century" w:hAnsi="Century" w:cs="Miriam"/>
          <w:b/>
          <w:spacing w:val="0"/>
          <w:szCs w:val="24"/>
          <w:rtl/>
        </w:rPr>
        <w:t xml:space="preserve"> 8 </w:t>
      </w:r>
      <w:r w:rsidRPr="00E9603D">
        <w:rPr>
          <w:rFonts w:ascii="Century" w:hAnsi="Century" w:cs="Miriam" w:hint="eastAsia"/>
          <w:b/>
          <w:spacing w:val="0"/>
          <w:szCs w:val="24"/>
          <w:rtl/>
        </w:rPr>
        <w:t>לחוק</w:t>
      </w:r>
      <w:r w:rsidRPr="00E9603D">
        <w:rPr>
          <w:rFonts w:ascii="Century" w:hAnsi="Century" w:cs="Miriam"/>
          <w:b/>
          <w:spacing w:val="0"/>
          <w:szCs w:val="24"/>
          <w:rtl/>
        </w:rPr>
        <w:t xml:space="preserve"> </w:t>
      </w:r>
      <w:r w:rsidRPr="00E9603D">
        <w:rPr>
          <w:rFonts w:ascii="Century" w:hAnsi="Century" w:cs="Miriam" w:hint="eastAsia"/>
          <w:b/>
          <w:spacing w:val="0"/>
          <w:szCs w:val="24"/>
          <w:rtl/>
        </w:rPr>
        <w:t>ההתיישנות</w:t>
      </w:r>
    </w:p>
    <w:p w:rsidR="00761030" w:rsidRDefault="00761030" w:rsidP="00761030">
      <w:pPr>
        <w:pStyle w:val="Ruller41"/>
        <w:rPr>
          <w:rtl/>
        </w:rPr>
      </w:pPr>
    </w:p>
    <w:p w:rsidR="00761030" w:rsidRDefault="00761030" w:rsidP="00761030">
      <w:pPr>
        <w:pStyle w:val="Ruller41"/>
        <w:rPr>
          <w:rFonts w:ascii="Century" w:hAnsi="Century"/>
          <w:rtl/>
        </w:rPr>
      </w:pPr>
      <w:r>
        <w:rPr>
          <w:rFonts w:ascii="Century" w:hAnsi="Century" w:hint="cs"/>
          <w:rtl/>
        </w:rPr>
        <w:t xml:space="preserve">65. </w:t>
      </w:r>
      <w:r>
        <w:rPr>
          <w:rFonts w:ascii="Century" w:hAnsi="Century" w:hint="cs"/>
          <w:rtl/>
        </w:rPr>
        <w:tab/>
      </w:r>
      <w:r>
        <w:rPr>
          <w:rFonts w:hint="cs"/>
          <w:rtl/>
        </w:rPr>
        <w:t xml:space="preserve">תקופת ההתיישנות נמנית, בהתאם לסעיף 6 לחוק ההתיישנות, מהיום שבו נולדה עילת התובענה. משעסקינן בתביעה לסילוק יד של מי שלפי הנטען מחזיק בנכס שלא כדין </w:t>
      </w:r>
      <w:r>
        <w:rPr>
          <w:rtl/>
        </w:rPr>
        <w:t>–</w:t>
      </w:r>
      <w:r>
        <w:rPr>
          <w:rFonts w:hint="cs"/>
          <w:rtl/>
        </w:rPr>
        <w:t xml:space="preserve"> נקודת המוצא היא כי עילת התובענה נולדה לכל המוקדם במועד שבו החל הנתבע בהחזקת הנכס (ראו: עניין </w:t>
      </w:r>
      <w:r w:rsidRPr="009B11BF">
        <w:rPr>
          <w:rFonts w:ascii="Century" w:hAnsi="Century" w:cs="Miriam" w:hint="eastAsia"/>
          <w:b/>
          <w:spacing w:val="0"/>
          <w:szCs w:val="24"/>
          <w:rtl/>
        </w:rPr>
        <w:t>מוסקוביץ</w:t>
      </w:r>
      <w:r>
        <w:rPr>
          <w:rFonts w:hint="cs"/>
          <w:rtl/>
        </w:rPr>
        <w:t xml:space="preserve">, בפסקה ז'). בענייננו, החזקתם של בני משפחת דוויק החלה בשנת 1965, וניתן לומר שכח התביעה לגביה התגבש רק בעקבות החלת המשפט הישראלי על מזרח ירושלים. לעומת זאת, לפי שיטתם של המשיבים, </w:t>
      </w:r>
      <w:r>
        <w:rPr>
          <w:rFonts w:ascii="Century" w:hAnsi="Century" w:hint="cs"/>
          <w:rtl/>
        </w:rPr>
        <w:t xml:space="preserve">מרוץ ההתיישנות החל בפועל אך סמוך להגשת התביעה בעניין </w:t>
      </w:r>
      <w:r w:rsidRPr="005D7F8B">
        <w:rPr>
          <w:rFonts w:ascii="Century" w:hAnsi="Century" w:cs="Miriam" w:hint="cs"/>
          <w:b/>
          <w:spacing w:val="0"/>
          <w:szCs w:val="24"/>
          <w:rtl/>
        </w:rPr>
        <w:t>דוויק הראשון</w:t>
      </w:r>
      <w:r>
        <w:rPr>
          <w:rFonts w:ascii="Century" w:hAnsi="Century" w:hint="cs"/>
          <w:rtl/>
        </w:rPr>
        <w:t>, ולכל המוקדם בשנת 2005. זאת, על יסוד סעיף 8 לחוק ההתיישנות. האמנם?</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66. </w:t>
      </w:r>
      <w:r>
        <w:rPr>
          <w:rFonts w:ascii="Century" w:hAnsi="Century"/>
          <w:rtl/>
        </w:rPr>
        <w:tab/>
      </w:r>
      <w:r>
        <w:rPr>
          <w:rFonts w:ascii="Century" w:hAnsi="Century" w:hint="cs"/>
          <w:rtl/>
        </w:rPr>
        <w:t>כידוע, סעיף 8 לחוק ההתיישנות קובע הסדר של השעיית מרוץ ההתיישנות, המכונה גם "חריג הגילוי המאוחר":</w:t>
      </w:r>
    </w:p>
    <w:p w:rsidR="00761030" w:rsidRPr="00241D3A" w:rsidRDefault="00761030" w:rsidP="00761030">
      <w:pPr>
        <w:pStyle w:val="Ruller5"/>
        <w:spacing w:before="240"/>
        <w:rPr>
          <w:rtl/>
        </w:rPr>
      </w:pPr>
      <w:r>
        <w:rPr>
          <w:rFonts w:hint="cs"/>
          <w:rtl/>
        </w:rPr>
        <w:t>"</w:t>
      </w:r>
      <w:r w:rsidRPr="00A75282">
        <w:rPr>
          <w:rFonts w:hint="eastAsia"/>
          <w:rtl/>
        </w:rPr>
        <w:t>נעלמו</w:t>
      </w:r>
      <w:r w:rsidRPr="00A75282">
        <w:rPr>
          <w:rtl/>
        </w:rPr>
        <w:t xml:space="preserve"> </w:t>
      </w:r>
      <w:r w:rsidRPr="00A75282">
        <w:rPr>
          <w:rFonts w:hint="eastAsia"/>
          <w:rtl/>
        </w:rPr>
        <w:t>מן</w:t>
      </w:r>
      <w:r w:rsidRPr="00A75282">
        <w:rPr>
          <w:rtl/>
        </w:rPr>
        <w:t xml:space="preserve"> </w:t>
      </w:r>
      <w:r w:rsidRPr="00A75282">
        <w:rPr>
          <w:rFonts w:hint="eastAsia"/>
          <w:rtl/>
        </w:rPr>
        <w:t>התובע</w:t>
      </w:r>
      <w:r w:rsidRPr="00A75282">
        <w:rPr>
          <w:rtl/>
        </w:rPr>
        <w:t xml:space="preserve"> </w:t>
      </w:r>
      <w:r w:rsidRPr="00A75282">
        <w:rPr>
          <w:rFonts w:hint="eastAsia"/>
          <w:rtl/>
        </w:rPr>
        <w:t>העובדות</w:t>
      </w:r>
      <w:r w:rsidRPr="00A75282">
        <w:rPr>
          <w:rtl/>
        </w:rPr>
        <w:t xml:space="preserve"> </w:t>
      </w:r>
      <w:r w:rsidRPr="00A75282">
        <w:rPr>
          <w:rFonts w:hint="eastAsia"/>
          <w:rtl/>
        </w:rPr>
        <w:t>המהוות</w:t>
      </w:r>
      <w:r w:rsidRPr="00A75282">
        <w:rPr>
          <w:rtl/>
        </w:rPr>
        <w:t xml:space="preserve"> </w:t>
      </w:r>
      <w:r w:rsidRPr="00A75282">
        <w:rPr>
          <w:rFonts w:hint="eastAsia"/>
          <w:rtl/>
        </w:rPr>
        <w:t>את</w:t>
      </w:r>
      <w:r w:rsidRPr="00A75282">
        <w:rPr>
          <w:rtl/>
        </w:rPr>
        <w:t xml:space="preserve"> </w:t>
      </w:r>
      <w:r w:rsidRPr="00A75282">
        <w:rPr>
          <w:rFonts w:hint="eastAsia"/>
          <w:rtl/>
        </w:rPr>
        <w:t>עילת</w:t>
      </w:r>
      <w:r w:rsidRPr="00A75282">
        <w:rPr>
          <w:rtl/>
        </w:rPr>
        <w:t xml:space="preserve"> </w:t>
      </w:r>
      <w:r w:rsidRPr="00A75282">
        <w:rPr>
          <w:rFonts w:hint="eastAsia"/>
          <w:rtl/>
        </w:rPr>
        <w:t>התובענה</w:t>
      </w:r>
      <w:r w:rsidRPr="00A75282">
        <w:rPr>
          <w:rtl/>
        </w:rPr>
        <w:t xml:space="preserve">, </w:t>
      </w:r>
      <w:r w:rsidRPr="00A75282">
        <w:rPr>
          <w:rFonts w:hint="eastAsia"/>
          <w:rtl/>
        </w:rPr>
        <w:t>מסיבות</w:t>
      </w:r>
      <w:r w:rsidRPr="00A75282">
        <w:rPr>
          <w:rtl/>
        </w:rPr>
        <w:t xml:space="preserve"> </w:t>
      </w:r>
      <w:r w:rsidRPr="00A75282">
        <w:rPr>
          <w:rFonts w:hint="eastAsia"/>
          <w:rtl/>
        </w:rPr>
        <w:t>שלא</w:t>
      </w:r>
      <w:r w:rsidRPr="00A75282">
        <w:rPr>
          <w:rtl/>
        </w:rPr>
        <w:t xml:space="preserve"> </w:t>
      </w:r>
      <w:r w:rsidRPr="00A75282">
        <w:rPr>
          <w:rFonts w:hint="eastAsia"/>
          <w:rtl/>
        </w:rPr>
        <w:t>היו</w:t>
      </w:r>
      <w:r w:rsidRPr="00A75282">
        <w:rPr>
          <w:rtl/>
        </w:rPr>
        <w:t xml:space="preserve"> </w:t>
      </w:r>
      <w:r w:rsidRPr="00A75282">
        <w:rPr>
          <w:rFonts w:hint="eastAsia"/>
          <w:rtl/>
        </w:rPr>
        <w:t>תלויות</w:t>
      </w:r>
      <w:r w:rsidRPr="00A75282">
        <w:rPr>
          <w:rtl/>
        </w:rPr>
        <w:t xml:space="preserve"> </w:t>
      </w:r>
      <w:r w:rsidRPr="00A75282">
        <w:rPr>
          <w:rFonts w:hint="eastAsia"/>
          <w:rtl/>
        </w:rPr>
        <w:t>בו</w:t>
      </w:r>
      <w:r w:rsidRPr="00A75282">
        <w:rPr>
          <w:rtl/>
        </w:rPr>
        <w:t xml:space="preserve"> </w:t>
      </w:r>
      <w:r w:rsidRPr="00A75282">
        <w:rPr>
          <w:rFonts w:hint="eastAsia"/>
          <w:rtl/>
        </w:rPr>
        <w:t>ושאף</w:t>
      </w:r>
      <w:r w:rsidRPr="00A75282">
        <w:rPr>
          <w:rtl/>
        </w:rPr>
        <w:t xml:space="preserve"> </w:t>
      </w:r>
      <w:r w:rsidRPr="00A75282">
        <w:rPr>
          <w:rFonts w:hint="eastAsia"/>
          <w:rtl/>
        </w:rPr>
        <w:t>בזהירות</w:t>
      </w:r>
      <w:r w:rsidRPr="00A75282">
        <w:rPr>
          <w:rtl/>
        </w:rPr>
        <w:t xml:space="preserve"> </w:t>
      </w:r>
      <w:r w:rsidRPr="00A75282">
        <w:rPr>
          <w:rFonts w:hint="eastAsia"/>
          <w:rtl/>
        </w:rPr>
        <w:t>סבירה</w:t>
      </w:r>
      <w:r w:rsidRPr="00A75282">
        <w:rPr>
          <w:rtl/>
        </w:rPr>
        <w:t xml:space="preserve"> </w:t>
      </w:r>
      <w:r w:rsidRPr="00A75282">
        <w:rPr>
          <w:rFonts w:hint="eastAsia"/>
          <w:rtl/>
        </w:rPr>
        <w:t>לא</w:t>
      </w:r>
      <w:r w:rsidRPr="00A75282">
        <w:rPr>
          <w:rtl/>
        </w:rPr>
        <w:t xml:space="preserve"> </w:t>
      </w:r>
      <w:r w:rsidRPr="00A75282">
        <w:rPr>
          <w:rFonts w:hint="eastAsia"/>
          <w:rtl/>
        </w:rPr>
        <w:t>יכול</w:t>
      </w:r>
      <w:r w:rsidRPr="00A75282">
        <w:rPr>
          <w:rtl/>
        </w:rPr>
        <w:t xml:space="preserve"> </w:t>
      </w:r>
      <w:r w:rsidRPr="00A75282">
        <w:rPr>
          <w:rFonts w:hint="eastAsia"/>
          <w:rtl/>
        </w:rPr>
        <w:t>היה</w:t>
      </w:r>
      <w:r w:rsidRPr="00A75282">
        <w:rPr>
          <w:rtl/>
        </w:rPr>
        <w:t xml:space="preserve"> </w:t>
      </w:r>
      <w:r w:rsidRPr="00A75282">
        <w:rPr>
          <w:rFonts w:hint="eastAsia"/>
          <w:rtl/>
        </w:rPr>
        <w:t>למנוע</w:t>
      </w:r>
      <w:r w:rsidRPr="00A75282">
        <w:rPr>
          <w:rtl/>
        </w:rPr>
        <w:t xml:space="preserve"> </w:t>
      </w:r>
      <w:r w:rsidRPr="00A75282">
        <w:rPr>
          <w:rFonts w:hint="eastAsia"/>
          <w:rtl/>
        </w:rPr>
        <w:t>אותן</w:t>
      </w:r>
      <w:r w:rsidRPr="00A75282">
        <w:rPr>
          <w:rtl/>
        </w:rPr>
        <w:t xml:space="preserve">, </w:t>
      </w:r>
      <w:r w:rsidRPr="00A75282">
        <w:rPr>
          <w:rFonts w:hint="eastAsia"/>
          <w:rtl/>
        </w:rPr>
        <w:t>תתחיל</w:t>
      </w:r>
      <w:r w:rsidRPr="00A75282">
        <w:rPr>
          <w:rtl/>
        </w:rPr>
        <w:t xml:space="preserve"> </w:t>
      </w:r>
      <w:r w:rsidRPr="00A75282">
        <w:rPr>
          <w:rFonts w:hint="eastAsia"/>
          <w:rtl/>
        </w:rPr>
        <w:t>תקופת</w:t>
      </w:r>
      <w:r w:rsidRPr="00A75282">
        <w:rPr>
          <w:rtl/>
        </w:rPr>
        <w:t xml:space="preserve"> </w:t>
      </w:r>
      <w:r w:rsidRPr="00A75282">
        <w:rPr>
          <w:rFonts w:hint="eastAsia"/>
          <w:rtl/>
        </w:rPr>
        <w:t>ההתיישנות</w:t>
      </w:r>
      <w:r w:rsidRPr="00A75282">
        <w:rPr>
          <w:rtl/>
        </w:rPr>
        <w:t xml:space="preserve"> </w:t>
      </w:r>
      <w:r w:rsidRPr="00A75282">
        <w:rPr>
          <w:rFonts w:hint="eastAsia"/>
          <w:rtl/>
        </w:rPr>
        <w:t>ביום</w:t>
      </w:r>
      <w:r w:rsidRPr="00A75282">
        <w:rPr>
          <w:rtl/>
        </w:rPr>
        <w:t xml:space="preserve"> </w:t>
      </w:r>
      <w:r w:rsidRPr="00A75282">
        <w:rPr>
          <w:rFonts w:hint="eastAsia"/>
          <w:rtl/>
        </w:rPr>
        <w:t>שבו</w:t>
      </w:r>
      <w:r w:rsidRPr="00A75282">
        <w:rPr>
          <w:rtl/>
        </w:rPr>
        <w:t xml:space="preserve"> </w:t>
      </w:r>
      <w:r w:rsidRPr="00A75282">
        <w:rPr>
          <w:rFonts w:hint="eastAsia"/>
          <w:rtl/>
        </w:rPr>
        <w:t>נודעו</w:t>
      </w:r>
      <w:r w:rsidRPr="00A75282">
        <w:rPr>
          <w:rtl/>
        </w:rPr>
        <w:t xml:space="preserve"> </w:t>
      </w:r>
      <w:r w:rsidRPr="00A75282">
        <w:rPr>
          <w:rFonts w:hint="eastAsia"/>
          <w:rtl/>
        </w:rPr>
        <w:t>לתובע</w:t>
      </w:r>
      <w:r w:rsidRPr="00A75282">
        <w:rPr>
          <w:rtl/>
        </w:rPr>
        <w:t xml:space="preserve"> </w:t>
      </w:r>
      <w:r w:rsidRPr="00A75282">
        <w:rPr>
          <w:rFonts w:hint="eastAsia"/>
          <w:rtl/>
        </w:rPr>
        <w:t>עובדות</w:t>
      </w:r>
      <w:r w:rsidRPr="00A75282">
        <w:rPr>
          <w:rtl/>
        </w:rPr>
        <w:t xml:space="preserve"> </w:t>
      </w:r>
      <w:r w:rsidRPr="00A75282">
        <w:rPr>
          <w:rFonts w:hint="eastAsia"/>
          <w:rtl/>
        </w:rPr>
        <w:t>אלה</w:t>
      </w:r>
      <w:r>
        <w:rPr>
          <w:rFonts w:hint="cs"/>
          <w:rtl/>
        </w:rPr>
        <w:t>"</w:t>
      </w:r>
      <w:r w:rsidRPr="00A75282">
        <w:rPr>
          <w:rtl/>
        </w:rPr>
        <w:t>.</w:t>
      </w:r>
    </w:p>
    <w:p w:rsidR="00761030" w:rsidRDefault="00761030" w:rsidP="00761030">
      <w:pPr>
        <w:pStyle w:val="Ruller41"/>
        <w:rPr>
          <w:rFonts w:ascii="Century" w:hAnsi="Century"/>
          <w:rtl/>
        </w:rPr>
      </w:pPr>
    </w:p>
    <w:p w:rsidR="00761030" w:rsidRDefault="00761030" w:rsidP="00761030">
      <w:pPr>
        <w:pStyle w:val="Ruller41"/>
        <w:rPr>
          <w:rtl/>
        </w:rPr>
      </w:pPr>
      <w:r>
        <w:rPr>
          <w:rtl/>
        </w:rPr>
        <w:tab/>
      </w:r>
      <w:r w:rsidRPr="000B4196">
        <w:rPr>
          <w:rFonts w:hint="eastAsia"/>
          <w:rtl/>
        </w:rPr>
        <w:t>בבסיס</w:t>
      </w:r>
      <w:r>
        <w:rPr>
          <w:rFonts w:hint="cs"/>
          <w:rtl/>
        </w:rPr>
        <w:t>ו של</w:t>
      </w:r>
      <w:r w:rsidRPr="000B4196">
        <w:rPr>
          <w:rtl/>
        </w:rPr>
        <w:t xml:space="preserve"> </w:t>
      </w:r>
      <w:r>
        <w:rPr>
          <w:rFonts w:hint="cs"/>
          <w:rtl/>
        </w:rPr>
        <w:t>חריג הגילוי המאוחר</w:t>
      </w:r>
      <w:r w:rsidRPr="000B4196">
        <w:rPr>
          <w:rtl/>
        </w:rPr>
        <w:t xml:space="preserve"> </w:t>
      </w:r>
      <w:r>
        <w:rPr>
          <w:rFonts w:hint="cs"/>
          <w:rtl/>
        </w:rPr>
        <w:t>ניצב הטעם לפיו</w:t>
      </w:r>
      <w:r w:rsidRPr="000B4196">
        <w:rPr>
          <w:rtl/>
        </w:rPr>
        <w:t xml:space="preserve"> </w:t>
      </w:r>
      <w:r w:rsidRPr="000B4196">
        <w:rPr>
          <w:rFonts w:hint="eastAsia"/>
          <w:rtl/>
        </w:rPr>
        <w:t>במקרה</w:t>
      </w:r>
      <w:r w:rsidRPr="000B4196">
        <w:rPr>
          <w:rtl/>
        </w:rPr>
        <w:t xml:space="preserve"> </w:t>
      </w:r>
      <w:r>
        <w:rPr>
          <w:rFonts w:hint="cs"/>
          <w:rtl/>
        </w:rPr>
        <w:t>ש</w:t>
      </w:r>
      <w:r w:rsidRPr="000B4196">
        <w:rPr>
          <w:rFonts w:hint="eastAsia"/>
          <w:rtl/>
        </w:rPr>
        <w:t>בו</w:t>
      </w:r>
      <w:r w:rsidRPr="000B4196">
        <w:rPr>
          <w:rtl/>
        </w:rPr>
        <w:t xml:space="preserve"> </w:t>
      </w:r>
      <w:r w:rsidRPr="000B4196">
        <w:rPr>
          <w:rFonts w:hint="eastAsia"/>
          <w:rtl/>
        </w:rPr>
        <w:t>נעלמו</w:t>
      </w:r>
      <w:r w:rsidRPr="000B4196">
        <w:rPr>
          <w:rtl/>
        </w:rPr>
        <w:t xml:space="preserve"> </w:t>
      </w:r>
      <w:r w:rsidRPr="000B4196">
        <w:rPr>
          <w:rFonts w:hint="eastAsia"/>
          <w:rtl/>
        </w:rPr>
        <w:t>מעיני</w:t>
      </w:r>
      <w:r w:rsidRPr="000B4196">
        <w:rPr>
          <w:rtl/>
        </w:rPr>
        <w:t xml:space="preserve"> </w:t>
      </w:r>
      <w:r w:rsidRPr="000B4196">
        <w:rPr>
          <w:rFonts w:hint="eastAsia"/>
          <w:rtl/>
        </w:rPr>
        <w:t>התובע</w:t>
      </w:r>
      <w:r w:rsidRPr="000B4196">
        <w:rPr>
          <w:rtl/>
        </w:rPr>
        <w:t xml:space="preserve"> </w:t>
      </w:r>
      <w:r w:rsidRPr="000B4196">
        <w:rPr>
          <w:rFonts w:hint="eastAsia"/>
          <w:rtl/>
        </w:rPr>
        <w:t>עובדות</w:t>
      </w:r>
      <w:r w:rsidRPr="000B4196">
        <w:rPr>
          <w:rtl/>
        </w:rPr>
        <w:t xml:space="preserve"> </w:t>
      </w:r>
      <w:r w:rsidRPr="000B4196">
        <w:rPr>
          <w:rFonts w:hint="eastAsia"/>
          <w:rtl/>
        </w:rPr>
        <w:t>המהוות</w:t>
      </w:r>
      <w:r w:rsidRPr="000B4196">
        <w:rPr>
          <w:rtl/>
        </w:rPr>
        <w:t xml:space="preserve"> </w:t>
      </w:r>
      <w:r w:rsidRPr="000B4196">
        <w:rPr>
          <w:rFonts w:hint="eastAsia"/>
          <w:rtl/>
        </w:rPr>
        <w:t>את</w:t>
      </w:r>
      <w:r w:rsidRPr="000B4196">
        <w:rPr>
          <w:rtl/>
        </w:rPr>
        <w:t xml:space="preserve"> </w:t>
      </w:r>
      <w:r w:rsidRPr="000B4196">
        <w:rPr>
          <w:rFonts w:hint="eastAsia"/>
          <w:rtl/>
        </w:rPr>
        <w:t>עילת</w:t>
      </w:r>
      <w:r w:rsidRPr="000B4196">
        <w:rPr>
          <w:rtl/>
        </w:rPr>
        <w:t xml:space="preserve"> </w:t>
      </w:r>
      <w:r w:rsidRPr="000B4196">
        <w:rPr>
          <w:rFonts w:hint="eastAsia"/>
          <w:rtl/>
        </w:rPr>
        <w:t>התביעה</w:t>
      </w:r>
      <w:r w:rsidRPr="000B4196">
        <w:rPr>
          <w:rtl/>
        </w:rPr>
        <w:t xml:space="preserve"> </w:t>
      </w:r>
      <w:r w:rsidRPr="000B4196">
        <w:rPr>
          <w:rFonts w:hint="eastAsia"/>
          <w:rtl/>
        </w:rPr>
        <w:t>והוא</w:t>
      </w:r>
      <w:r w:rsidRPr="000B4196">
        <w:rPr>
          <w:rtl/>
        </w:rPr>
        <w:t xml:space="preserve"> </w:t>
      </w:r>
      <w:r w:rsidRPr="000B4196">
        <w:rPr>
          <w:rFonts w:hint="eastAsia"/>
          <w:rtl/>
        </w:rPr>
        <w:t>אף</w:t>
      </w:r>
      <w:r w:rsidRPr="000B4196">
        <w:rPr>
          <w:rtl/>
        </w:rPr>
        <w:t xml:space="preserve"> </w:t>
      </w:r>
      <w:r w:rsidRPr="000B4196">
        <w:rPr>
          <w:rFonts w:hint="eastAsia"/>
          <w:rtl/>
        </w:rPr>
        <w:t>לא</w:t>
      </w:r>
      <w:r w:rsidRPr="000B4196">
        <w:rPr>
          <w:rtl/>
        </w:rPr>
        <w:t xml:space="preserve"> </w:t>
      </w:r>
      <w:r w:rsidRPr="000B4196">
        <w:rPr>
          <w:rFonts w:hint="eastAsia"/>
          <w:rtl/>
        </w:rPr>
        <w:t>יכול</w:t>
      </w:r>
      <w:r w:rsidRPr="000B4196">
        <w:rPr>
          <w:rtl/>
        </w:rPr>
        <w:t xml:space="preserve"> </w:t>
      </w:r>
      <w:r w:rsidRPr="000B4196">
        <w:rPr>
          <w:rFonts w:hint="eastAsia"/>
          <w:rtl/>
        </w:rPr>
        <w:t>היה</w:t>
      </w:r>
      <w:r w:rsidRPr="000B4196">
        <w:rPr>
          <w:rtl/>
        </w:rPr>
        <w:t xml:space="preserve"> </w:t>
      </w:r>
      <w:r w:rsidRPr="000B4196">
        <w:rPr>
          <w:rFonts w:hint="eastAsia"/>
          <w:rtl/>
        </w:rPr>
        <w:t>לגלותן</w:t>
      </w:r>
      <w:r w:rsidRPr="000B4196">
        <w:rPr>
          <w:rtl/>
        </w:rPr>
        <w:t xml:space="preserve"> </w:t>
      </w:r>
      <w:r w:rsidRPr="000B4196">
        <w:rPr>
          <w:rFonts w:hint="eastAsia"/>
          <w:rtl/>
        </w:rPr>
        <w:t>בזהירות</w:t>
      </w:r>
      <w:r w:rsidRPr="000B4196">
        <w:rPr>
          <w:rtl/>
        </w:rPr>
        <w:t xml:space="preserve"> </w:t>
      </w:r>
      <w:r w:rsidRPr="000B4196">
        <w:rPr>
          <w:rFonts w:hint="eastAsia"/>
          <w:rtl/>
        </w:rPr>
        <w:t>סבירה</w:t>
      </w:r>
      <w:r w:rsidRPr="000B4196">
        <w:rPr>
          <w:rtl/>
        </w:rPr>
        <w:t xml:space="preserve">, </w:t>
      </w:r>
      <w:r>
        <w:rPr>
          <w:rFonts w:hint="cs"/>
          <w:rtl/>
        </w:rPr>
        <w:t xml:space="preserve">הרציונלים העומדים ביסוד הסדר ההתיישנות אינם מתקיימים </w:t>
      </w:r>
      <w:r>
        <w:rPr>
          <w:rtl/>
        </w:rPr>
        <w:t>–</w:t>
      </w:r>
      <w:r>
        <w:rPr>
          <w:rFonts w:hint="cs"/>
          <w:rtl/>
        </w:rPr>
        <w:t xml:space="preserve"> ובפרט, </w:t>
      </w:r>
      <w:r w:rsidRPr="000B4196">
        <w:rPr>
          <w:rFonts w:hint="eastAsia"/>
          <w:rtl/>
        </w:rPr>
        <w:t>לא</w:t>
      </w:r>
      <w:r w:rsidRPr="000B4196">
        <w:rPr>
          <w:rtl/>
        </w:rPr>
        <w:t xml:space="preserve"> </w:t>
      </w:r>
      <w:r w:rsidRPr="000B4196">
        <w:rPr>
          <w:rFonts w:hint="eastAsia"/>
          <w:rtl/>
        </w:rPr>
        <w:t>ניתן</w:t>
      </w:r>
      <w:r w:rsidRPr="000B4196">
        <w:rPr>
          <w:rtl/>
        </w:rPr>
        <w:t xml:space="preserve"> </w:t>
      </w:r>
      <w:r w:rsidRPr="000B4196">
        <w:rPr>
          <w:rFonts w:hint="eastAsia"/>
          <w:rtl/>
        </w:rPr>
        <w:t>לומר</w:t>
      </w:r>
      <w:r w:rsidRPr="000B4196">
        <w:rPr>
          <w:rtl/>
        </w:rPr>
        <w:t xml:space="preserve"> </w:t>
      </w:r>
      <w:r w:rsidRPr="000B4196">
        <w:rPr>
          <w:rFonts w:hint="eastAsia"/>
          <w:rtl/>
        </w:rPr>
        <w:t>כי</w:t>
      </w:r>
      <w:r w:rsidRPr="000B4196">
        <w:rPr>
          <w:rtl/>
        </w:rPr>
        <w:t xml:space="preserve"> </w:t>
      </w:r>
      <w:r w:rsidRPr="000B4196">
        <w:rPr>
          <w:rFonts w:hint="eastAsia"/>
          <w:rtl/>
        </w:rPr>
        <w:t>התובע</w:t>
      </w:r>
      <w:r w:rsidRPr="000B4196">
        <w:rPr>
          <w:rtl/>
        </w:rPr>
        <w:t xml:space="preserve"> "</w:t>
      </w:r>
      <w:r w:rsidRPr="000B4196">
        <w:rPr>
          <w:rFonts w:hint="eastAsia"/>
          <w:rtl/>
        </w:rPr>
        <w:t>ישן</w:t>
      </w:r>
      <w:r w:rsidRPr="000B4196">
        <w:rPr>
          <w:rtl/>
        </w:rPr>
        <w:t xml:space="preserve"> </w:t>
      </w:r>
      <w:r w:rsidRPr="000B4196">
        <w:rPr>
          <w:rFonts w:hint="eastAsia"/>
          <w:rtl/>
        </w:rPr>
        <w:t>על</w:t>
      </w:r>
      <w:r w:rsidRPr="000B4196">
        <w:rPr>
          <w:rtl/>
        </w:rPr>
        <w:t xml:space="preserve"> </w:t>
      </w:r>
      <w:r w:rsidRPr="000B4196">
        <w:rPr>
          <w:rFonts w:hint="eastAsia"/>
          <w:rtl/>
        </w:rPr>
        <w:t>זכויותיו</w:t>
      </w:r>
      <w:r w:rsidRPr="000B4196">
        <w:rPr>
          <w:rtl/>
        </w:rPr>
        <w:t xml:space="preserve">" </w:t>
      </w:r>
      <w:r w:rsidRPr="000B4196">
        <w:rPr>
          <w:rFonts w:hint="eastAsia"/>
          <w:rtl/>
        </w:rPr>
        <w:t>או</w:t>
      </w:r>
      <w:r w:rsidRPr="000B4196">
        <w:rPr>
          <w:rtl/>
        </w:rPr>
        <w:t xml:space="preserve"> </w:t>
      </w:r>
      <w:r w:rsidRPr="000B4196">
        <w:rPr>
          <w:rFonts w:hint="eastAsia"/>
          <w:rtl/>
        </w:rPr>
        <w:t>ויתר</w:t>
      </w:r>
      <w:r w:rsidRPr="000B4196">
        <w:rPr>
          <w:rtl/>
        </w:rPr>
        <w:t xml:space="preserve"> </w:t>
      </w:r>
      <w:r w:rsidRPr="000B4196">
        <w:rPr>
          <w:rFonts w:hint="eastAsia"/>
          <w:rtl/>
        </w:rPr>
        <w:t>עליהן</w:t>
      </w:r>
      <w:r w:rsidRPr="000B4196">
        <w:rPr>
          <w:rtl/>
        </w:rPr>
        <w:t xml:space="preserve"> </w:t>
      </w:r>
      <w:r w:rsidRPr="000B4196">
        <w:rPr>
          <w:rFonts w:hint="eastAsia"/>
          <w:rtl/>
        </w:rPr>
        <w:t>באופן</w:t>
      </w:r>
      <w:r w:rsidRPr="000B4196">
        <w:rPr>
          <w:rtl/>
        </w:rPr>
        <w:t xml:space="preserve"> </w:t>
      </w:r>
      <w:r w:rsidRPr="000B4196">
        <w:rPr>
          <w:rFonts w:hint="eastAsia"/>
          <w:rtl/>
        </w:rPr>
        <w:t>שהוביל</w:t>
      </w:r>
      <w:r w:rsidRPr="000B4196">
        <w:rPr>
          <w:rtl/>
        </w:rPr>
        <w:t xml:space="preserve"> </w:t>
      </w:r>
      <w:r w:rsidRPr="000B4196">
        <w:rPr>
          <w:rFonts w:hint="eastAsia"/>
          <w:rtl/>
        </w:rPr>
        <w:t>להסתמכות</w:t>
      </w:r>
      <w:r w:rsidRPr="000B4196">
        <w:rPr>
          <w:rtl/>
        </w:rPr>
        <w:t xml:space="preserve"> </w:t>
      </w:r>
      <w:r w:rsidRPr="000B4196">
        <w:rPr>
          <w:rFonts w:hint="eastAsia"/>
          <w:rtl/>
        </w:rPr>
        <w:t>ראויה</w:t>
      </w:r>
      <w:r w:rsidRPr="000B4196">
        <w:rPr>
          <w:rtl/>
        </w:rPr>
        <w:t xml:space="preserve"> </w:t>
      </w:r>
      <w:r w:rsidRPr="000B4196">
        <w:rPr>
          <w:rFonts w:hint="eastAsia"/>
          <w:rtl/>
        </w:rPr>
        <w:t>להגנה</w:t>
      </w:r>
      <w:r w:rsidRPr="000B4196">
        <w:rPr>
          <w:rtl/>
        </w:rPr>
        <w:t xml:space="preserve"> </w:t>
      </w:r>
      <w:r w:rsidRPr="000B4196">
        <w:rPr>
          <w:rFonts w:hint="eastAsia"/>
          <w:rtl/>
        </w:rPr>
        <w:t>של</w:t>
      </w:r>
      <w:r w:rsidRPr="000B4196">
        <w:rPr>
          <w:rtl/>
        </w:rPr>
        <w:t xml:space="preserve"> </w:t>
      </w:r>
      <w:r w:rsidRPr="000B4196">
        <w:rPr>
          <w:rFonts w:hint="eastAsia"/>
          <w:rtl/>
        </w:rPr>
        <w:t>הנתבע</w:t>
      </w:r>
      <w:r w:rsidRPr="000B4196">
        <w:rPr>
          <w:rtl/>
        </w:rPr>
        <w:t xml:space="preserve"> (</w:t>
      </w:r>
      <w:r w:rsidRPr="000B4196">
        <w:rPr>
          <w:rFonts w:hint="eastAsia"/>
          <w:rtl/>
        </w:rPr>
        <w:t>ראו</w:t>
      </w:r>
      <w:r w:rsidRPr="000B4196">
        <w:rPr>
          <w:rtl/>
        </w:rPr>
        <w:t xml:space="preserve">: </w:t>
      </w:r>
      <w:r w:rsidRPr="000B4196">
        <w:rPr>
          <w:rFonts w:hint="eastAsia"/>
          <w:rtl/>
        </w:rPr>
        <w:t>עניין</w:t>
      </w:r>
      <w:r w:rsidRPr="000B4196">
        <w:rPr>
          <w:rtl/>
        </w:rPr>
        <w:t xml:space="preserve"> </w:t>
      </w:r>
      <w:r w:rsidRPr="00E9603D">
        <w:rPr>
          <w:rFonts w:ascii="Century" w:hAnsi="Century" w:cs="Miriam" w:hint="eastAsia"/>
          <w:b/>
          <w:spacing w:val="0"/>
          <w:szCs w:val="24"/>
          <w:rtl/>
        </w:rPr>
        <w:t>גיא</w:t>
      </w:r>
      <w:r w:rsidRPr="00E9603D">
        <w:rPr>
          <w:rFonts w:ascii="Century" w:hAnsi="Century" w:cs="Miriam"/>
          <w:b/>
          <w:spacing w:val="0"/>
          <w:szCs w:val="24"/>
          <w:rtl/>
        </w:rPr>
        <w:t>-</w:t>
      </w:r>
      <w:r w:rsidRPr="00E9603D">
        <w:rPr>
          <w:rFonts w:ascii="Century" w:hAnsi="Century" w:cs="Miriam" w:hint="eastAsia"/>
          <w:b/>
          <w:spacing w:val="0"/>
          <w:szCs w:val="24"/>
          <w:rtl/>
        </w:rPr>
        <w:t>ליפל</w:t>
      </w:r>
      <w:r w:rsidRPr="000B4196">
        <w:rPr>
          <w:rtl/>
        </w:rPr>
        <w:t xml:space="preserve">, </w:t>
      </w:r>
      <w:r>
        <w:rPr>
          <w:rFonts w:hint="cs"/>
          <w:rtl/>
        </w:rPr>
        <w:t>ב</w:t>
      </w:r>
      <w:r w:rsidRPr="000B4196">
        <w:rPr>
          <w:rFonts w:hint="eastAsia"/>
          <w:rtl/>
        </w:rPr>
        <w:t>פסקה</w:t>
      </w:r>
      <w:r w:rsidRPr="000B4196">
        <w:rPr>
          <w:rtl/>
        </w:rPr>
        <w:t xml:space="preserve"> 39;</w:t>
      </w:r>
      <w:r>
        <w:rPr>
          <w:rFonts w:hint="cs"/>
          <w:rtl/>
        </w:rPr>
        <w:t xml:space="preserve"> רע"א 1101/20 </w:t>
      </w:r>
      <w:r w:rsidRPr="00E9603D">
        <w:rPr>
          <w:rFonts w:ascii="Century" w:hAnsi="Century" w:cs="Miriam" w:hint="eastAsia"/>
          <w:b/>
          <w:spacing w:val="0"/>
          <w:szCs w:val="24"/>
          <w:rtl/>
        </w:rPr>
        <w:t>שירותי</w:t>
      </w:r>
      <w:r w:rsidRPr="00E9603D">
        <w:rPr>
          <w:rFonts w:ascii="Century" w:hAnsi="Century" w:cs="Miriam"/>
          <w:b/>
          <w:spacing w:val="0"/>
          <w:szCs w:val="24"/>
          <w:rtl/>
        </w:rPr>
        <w:t xml:space="preserve"> </w:t>
      </w:r>
      <w:r w:rsidRPr="00E9603D">
        <w:rPr>
          <w:rFonts w:ascii="Century" w:hAnsi="Century" w:cs="Miriam" w:hint="eastAsia"/>
          <w:b/>
          <w:spacing w:val="0"/>
          <w:szCs w:val="24"/>
          <w:rtl/>
        </w:rPr>
        <w:t>בריאות</w:t>
      </w:r>
      <w:r w:rsidRPr="00E9603D">
        <w:rPr>
          <w:rFonts w:ascii="Century" w:hAnsi="Century" w:cs="Miriam"/>
          <w:b/>
          <w:spacing w:val="0"/>
          <w:szCs w:val="24"/>
          <w:rtl/>
        </w:rPr>
        <w:t xml:space="preserve"> </w:t>
      </w:r>
      <w:r w:rsidRPr="00E9603D">
        <w:rPr>
          <w:rFonts w:ascii="Century" w:hAnsi="Century" w:cs="Miriam" w:hint="eastAsia"/>
          <w:b/>
          <w:spacing w:val="0"/>
          <w:szCs w:val="24"/>
          <w:rtl/>
        </w:rPr>
        <w:t>כללית</w:t>
      </w:r>
      <w:r w:rsidRPr="00E9603D">
        <w:rPr>
          <w:rFonts w:ascii="Century" w:hAnsi="Century" w:cs="Miriam"/>
          <w:b/>
          <w:spacing w:val="0"/>
          <w:szCs w:val="24"/>
          <w:rtl/>
        </w:rPr>
        <w:t xml:space="preserve"> </w:t>
      </w:r>
      <w:r w:rsidRPr="00E9603D">
        <w:rPr>
          <w:rFonts w:ascii="Century" w:hAnsi="Century" w:cs="Miriam" w:hint="eastAsia"/>
          <w:b/>
          <w:spacing w:val="0"/>
          <w:szCs w:val="24"/>
          <w:rtl/>
        </w:rPr>
        <w:t>נ</w:t>
      </w:r>
      <w:r w:rsidRPr="00E9603D">
        <w:rPr>
          <w:rFonts w:ascii="Century" w:hAnsi="Century" w:cs="Miriam"/>
          <w:b/>
          <w:spacing w:val="0"/>
          <w:szCs w:val="24"/>
          <w:rtl/>
        </w:rPr>
        <w:t xml:space="preserve">' </w:t>
      </w:r>
      <w:r w:rsidRPr="00E9603D">
        <w:rPr>
          <w:rFonts w:ascii="Century" w:hAnsi="Century" w:cs="Miriam" w:hint="eastAsia"/>
          <w:b/>
          <w:spacing w:val="0"/>
          <w:szCs w:val="24"/>
          <w:rtl/>
        </w:rPr>
        <w:t>פלוני</w:t>
      </w:r>
      <w:r>
        <w:rPr>
          <w:rFonts w:hint="cs"/>
          <w:rtl/>
        </w:rPr>
        <w:t>, פסקה 15 (21.5.2020);</w:t>
      </w:r>
      <w:r w:rsidRPr="000B4196">
        <w:rPr>
          <w:rtl/>
        </w:rPr>
        <w:t xml:space="preserve"> </w:t>
      </w:r>
      <w:r w:rsidRPr="00E9603D">
        <w:rPr>
          <w:rFonts w:ascii="Century" w:hAnsi="Century" w:cs="Miriam" w:hint="eastAsia"/>
          <w:b/>
          <w:spacing w:val="0"/>
          <w:szCs w:val="24"/>
          <w:rtl/>
        </w:rPr>
        <w:t>חבקין</w:t>
      </w:r>
      <w:r w:rsidRPr="000B4196">
        <w:rPr>
          <w:rtl/>
        </w:rPr>
        <w:t>,</w:t>
      </w:r>
      <w:r>
        <w:rPr>
          <w:rFonts w:hint="cs"/>
          <w:rtl/>
        </w:rPr>
        <w:t xml:space="preserve"> בעמ' 243</w:t>
      </w:r>
      <w:r w:rsidRPr="000B4196">
        <w:rPr>
          <w:rtl/>
        </w:rPr>
        <w:t>).</w:t>
      </w:r>
    </w:p>
    <w:p w:rsidR="00761030" w:rsidRDefault="00761030" w:rsidP="00761030">
      <w:pPr>
        <w:pStyle w:val="Ruller41"/>
        <w:rPr>
          <w:rtl/>
        </w:rPr>
      </w:pPr>
    </w:p>
    <w:p w:rsidR="00761030" w:rsidRDefault="00761030" w:rsidP="00761030">
      <w:pPr>
        <w:pStyle w:val="Ruller41"/>
        <w:rPr>
          <w:rtl/>
        </w:rPr>
      </w:pPr>
      <w:r>
        <w:rPr>
          <w:rFonts w:hint="cs"/>
          <w:rtl/>
        </w:rPr>
        <w:t xml:space="preserve">67. </w:t>
      </w:r>
      <w:r>
        <w:rPr>
          <w:rFonts w:hint="cs"/>
          <w:rtl/>
        </w:rPr>
        <w:tab/>
        <w:t xml:space="preserve">לאורך השנים עסקה הפסיקה רבות בפרשנותו של סעיף 8 לחוק ההתיישנות ובהיקף תחולתו על תביעות שונות. בתמצית, נקבעו מספר כללים ליישומו של חריג הגילוי המאוחר: </w:t>
      </w:r>
      <w:r w:rsidRPr="00E9603D">
        <w:rPr>
          <w:rFonts w:ascii="Century" w:hAnsi="Century" w:cs="Miriam" w:hint="eastAsia"/>
          <w:b/>
          <w:spacing w:val="0"/>
          <w:szCs w:val="24"/>
          <w:rtl/>
        </w:rPr>
        <w:t>ראשית</w:t>
      </w:r>
      <w:r>
        <w:rPr>
          <w:rFonts w:hint="cs"/>
          <w:rtl/>
        </w:rPr>
        <w:t xml:space="preserve">, על הטוען לקיומו של החריג מוטל הנטל להוכיח את תנאיו; </w:t>
      </w:r>
      <w:r w:rsidRPr="00E9603D">
        <w:rPr>
          <w:rFonts w:ascii="Century" w:hAnsi="Century" w:cs="Miriam" w:hint="eastAsia"/>
          <w:b/>
          <w:spacing w:val="0"/>
          <w:szCs w:val="24"/>
          <w:rtl/>
        </w:rPr>
        <w:t>שנית</w:t>
      </w:r>
      <w:r>
        <w:rPr>
          <w:rFonts w:hint="cs"/>
          <w:rtl/>
        </w:rPr>
        <w:t>, החריג מורכב מיסוד סובייקטיבי (</w:t>
      </w:r>
      <w:r>
        <w:rPr>
          <w:rFonts w:hint="cs"/>
          <w:color w:val="000000"/>
          <w:sz w:val="28"/>
          <w:rtl/>
        </w:rPr>
        <w:t>שהתובע לא ידע אחת או יותר מהעובדות המהוות את עילת התובענה מסיבות שלא היו תלויות בו) ומיסוד אובייקטיבי (</w:t>
      </w:r>
      <w:r w:rsidRPr="0011682B">
        <w:rPr>
          <w:rFonts w:hint="eastAsia"/>
          <w:color w:val="000000"/>
          <w:sz w:val="28"/>
          <w:rtl/>
        </w:rPr>
        <w:t>ש</w:t>
      </w:r>
      <w:r>
        <w:rPr>
          <w:rFonts w:hint="cs"/>
          <w:color w:val="000000"/>
          <w:sz w:val="28"/>
          <w:rtl/>
        </w:rPr>
        <w:t xml:space="preserve">התובע לא יכול היה, </w:t>
      </w:r>
      <w:r w:rsidRPr="0011682B">
        <w:rPr>
          <w:rFonts w:hint="eastAsia"/>
          <w:color w:val="000000"/>
          <w:sz w:val="28"/>
          <w:rtl/>
        </w:rPr>
        <w:t>בזהירות</w:t>
      </w:r>
      <w:r w:rsidRPr="0011682B">
        <w:rPr>
          <w:color w:val="000000"/>
          <w:sz w:val="28"/>
          <w:rtl/>
        </w:rPr>
        <w:t xml:space="preserve"> </w:t>
      </w:r>
      <w:r w:rsidRPr="0011682B">
        <w:rPr>
          <w:rFonts w:hint="eastAsia"/>
          <w:color w:val="000000"/>
          <w:sz w:val="28"/>
          <w:rtl/>
        </w:rPr>
        <w:t>סבירה</w:t>
      </w:r>
      <w:r>
        <w:rPr>
          <w:rFonts w:hint="cs"/>
          <w:color w:val="000000"/>
          <w:sz w:val="28"/>
          <w:rtl/>
        </w:rPr>
        <w:t>,</w:t>
      </w:r>
      <w:r w:rsidRPr="0011682B">
        <w:rPr>
          <w:color w:val="000000"/>
          <w:sz w:val="28"/>
          <w:rtl/>
        </w:rPr>
        <w:t xml:space="preserve"> </w:t>
      </w:r>
      <w:r w:rsidRPr="0011682B">
        <w:rPr>
          <w:rFonts w:hint="eastAsia"/>
          <w:color w:val="000000"/>
          <w:sz w:val="28"/>
          <w:rtl/>
        </w:rPr>
        <w:t>למנוע</w:t>
      </w:r>
      <w:r w:rsidRPr="0011682B">
        <w:rPr>
          <w:color w:val="000000"/>
          <w:sz w:val="28"/>
          <w:rtl/>
        </w:rPr>
        <w:t xml:space="preserve"> </w:t>
      </w:r>
      <w:r w:rsidRPr="0011682B">
        <w:rPr>
          <w:rFonts w:hint="eastAsia"/>
          <w:color w:val="000000"/>
          <w:sz w:val="28"/>
          <w:rtl/>
        </w:rPr>
        <w:t>את</w:t>
      </w:r>
      <w:r w:rsidRPr="0011682B">
        <w:rPr>
          <w:color w:val="000000"/>
          <w:sz w:val="28"/>
          <w:rtl/>
        </w:rPr>
        <w:t xml:space="preserve"> </w:t>
      </w:r>
      <w:r w:rsidRPr="0011682B">
        <w:rPr>
          <w:rFonts w:hint="eastAsia"/>
          <w:color w:val="000000"/>
          <w:sz w:val="28"/>
          <w:rtl/>
        </w:rPr>
        <w:t>אי</w:t>
      </w:r>
      <w:r w:rsidRPr="0011682B">
        <w:rPr>
          <w:color w:val="000000"/>
          <w:sz w:val="28"/>
          <w:rtl/>
        </w:rPr>
        <w:t>-</w:t>
      </w:r>
      <w:r w:rsidRPr="0011682B">
        <w:rPr>
          <w:rFonts w:hint="eastAsia"/>
          <w:color w:val="000000"/>
          <w:sz w:val="28"/>
          <w:rtl/>
        </w:rPr>
        <w:t>הידיעה</w:t>
      </w:r>
      <w:r w:rsidRPr="0011682B">
        <w:rPr>
          <w:color w:val="000000"/>
          <w:sz w:val="28"/>
          <w:rtl/>
        </w:rPr>
        <w:t xml:space="preserve"> </w:t>
      </w:r>
      <w:r w:rsidRPr="0011682B">
        <w:rPr>
          <w:rFonts w:hint="eastAsia"/>
          <w:color w:val="000000"/>
          <w:sz w:val="28"/>
          <w:rtl/>
        </w:rPr>
        <w:t>האמורה</w:t>
      </w:r>
      <w:r>
        <w:rPr>
          <w:rFonts w:hint="cs"/>
          <w:rtl/>
        </w:rPr>
        <w:t xml:space="preserve">); </w:t>
      </w:r>
      <w:r w:rsidRPr="00E9603D">
        <w:rPr>
          <w:rFonts w:ascii="Century" w:hAnsi="Century" w:cs="Miriam" w:hint="eastAsia"/>
          <w:b/>
          <w:spacing w:val="0"/>
          <w:szCs w:val="24"/>
          <w:rtl/>
        </w:rPr>
        <w:t>שלישית</w:t>
      </w:r>
      <w:r>
        <w:rPr>
          <w:rFonts w:hint="cs"/>
          <w:rtl/>
        </w:rPr>
        <w:t xml:space="preserve">, תובע ייחשב כמי שנעלמו ממנו העובדות המהוות את עילת התובענה אם לא היה בידו ולו "קצה חוט", חשד או סברה בדבר קיומן של עובדות אלה </w:t>
      </w:r>
      <w:r>
        <w:rPr>
          <w:rtl/>
        </w:rPr>
        <w:t>–</w:t>
      </w:r>
      <w:r>
        <w:rPr>
          <w:rFonts w:hint="cs"/>
          <w:rtl/>
        </w:rPr>
        <w:t xml:space="preserve"> להבדיל מדין או ראיות (ראו: ע"א 1254/99 </w:t>
      </w:r>
      <w:r w:rsidRPr="00E9603D">
        <w:rPr>
          <w:rFonts w:ascii="Century" w:hAnsi="Century" w:cs="Miriam" w:hint="eastAsia"/>
          <w:b/>
          <w:spacing w:val="0"/>
          <w:szCs w:val="24"/>
          <w:rtl/>
        </w:rPr>
        <w:t>המאירי</w:t>
      </w:r>
      <w:r w:rsidRPr="00E9603D">
        <w:rPr>
          <w:rFonts w:ascii="Century" w:hAnsi="Century" w:cs="Miriam"/>
          <w:b/>
          <w:spacing w:val="0"/>
          <w:szCs w:val="24"/>
          <w:rtl/>
        </w:rPr>
        <w:t xml:space="preserve"> נ' הכשרת הישוב – חברה לביטוח בע"מ</w:t>
      </w:r>
      <w:r>
        <w:rPr>
          <w:rFonts w:hint="cs"/>
          <w:rtl/>
        </w:rPr>
        <w:t xml:space="preserve">, פ"ד נד(2) 535, 551 (2000); עניין </w:t>
      </w:r>
      <w:r w:rsidRPr="00E9603D">
        <w:rPr>
          <w:rFonts w:ascii="Century" w:hAnsi="Century" w:cs="Miriam" w:hint="eastAsia"/>
          <w:b/>
          <w:spacing w:val="0"/>
          <w:szCs w:val="24"/>
          <w:rtl/>
        </w:rPr>
        <w:t>גיא</w:t>
      </w:r>
      <w:r w:rsidRPr="00E9603D">
        <w:rPr>
          <w:rFonts w:ascii="Century" w:hAnsi="Century" w:cs="Miriam"/>
          <w:b/>
          <w:spacing w:val="0"/>
          <w:szCs w:val="24"/>
          <w:rtl/>
        </w:rPr>
        <w:t>-</w:t>
      </w:r>
      <w:r w:rsidRPr="00E9603D">
        <w:rPr>
          <w:rFonts w:ascii="Century" w:hAnsi="Century" w:cs="Miriam" w:hint="eastAsia"/>
          <w:b/>
          <w:spacing w:val="0"/>
          <w:szCs w:val="24"/>
          <w:rtl/>
        </w:rPr>
        <w:t>ליפל</w:t>
      </w:r>
      <w:r>
        <w:rPr>
          <w:rFonts w:hint="cs"/>
          <w:rtl/>
        </w:rPr>
        <w:t xml:space="preserve">, בעמ' 121; </w:t>
      </w:r>
      <w:r w:rsidRPr="001510A8">
        <w:rPr>
          <w:rFonts w:hint="eastAsia"/>
          <w:rtl/>
        </w:rPr>
        <w:t>רע</w:t>
      </w:r>
      <w:r>
        <w:rPr>
          <w:rFonts w:hint="cs"/>
          <w:rtl/>
        </w:rPr>
        <w:t>"</w:t>
      </w:r>
      <w:r w:rsidRPr="001510A8">
        <w:rPr>
          <w:rFonts w:hint="eastAsia"/>
          <w:rtl/>
        </w:rPr>
        <w:t>א</w:t>
      </w:r>
      <w:r w:rsidRPr="001510A8">
        <w:rPr>
          <w:rtl/>
        </w:rPr>
        <w:t xml:space="preserve"> 5087/10 </w:t>
      </w:r>
      <w:r w:rsidRPr="00E9603D">
        <w:rPr>
          <w:rFonts w:ascii="Century" w:hAnsi="Century" w:cs="Miriam" w:hint="eastAsia"/>
          <w:b/>
          <w:spacing w:val="0"/>
          <w:szCs w:val="24"/>
          <w:rtl/>
        </w:rPr>
        <w:t>מדינת</w:t>
      </w:r>
      <w:r w:rsidRPr="00E9603D">
        <w:rPr>
          <w:rFonts w:ascii="Century" w:hAnsi="Century" w:cs="Miriam"/>
          <w:b/>
          <w:spacing w:val="0"/>
          <w:szCs w:val="24"/>
          <w:rtl/>
        </w:rPr>
        <w:t xml:space="preserve"> </w:t>
      </w:r>
      <w:r w:rsidRPr="00E9603D">
        <w:rPr>
          <w:rFonts w:ascii="Century" w:hAnsi="Century" w:cs="Miriam" w:hint="eastAsia"/>
          <w:b/>
          <w:spacing w:val="0"/>
          <w:szCs w:val="24"/>
          <w:rtl/>
        </w:rPr>
        <w:t>ישראל</w:t>
      </w:r>
      <w:r w:rsidRPr="00E9603D">
        <w:rPr>
          <w:rFonts w:ascii="Century" w:hAnsi="Century" w:cs="Miriam"/>
          <w:b/>
          <w:spacing w:val="0"/>
          <w:szCs w:val="24"/>
          <w:rtl/>
        </w:rPr>
        <w:t xml:space="preserve"> </w:t>
      </w:r>
      <w:r w:rsidRPr="00E9603D">
        <w:rPr>
          <w:rFonts w:ascii="Century" w:hAnsi="Century" w:cs="Miriam" w:hint="eastAsia"/>
          <w:b/>
          <w:spacing w:val="0"/>
          <w:szCs w:val="24"/>
          <w:rtl/>
        </w:rPr>
        <w:t>נ</w:t>
      </w:r>
      <w:r w:rsidRPr="00E9603D">
        <w:rPr>
          <w:rFonts w:ascii="Century" w:hAnsi="Century" w:cs="Miriam"/>
          <w:b/>
          <w:spacing w:val="0"/>
          <w:szCs w:val="24"/>
          <w:rtl/>
        </w:rPr>
        <w:t xml:space="preserve">' </w:t>
      </w:r>
      <w:r w:rsidRPr="00E9603D">
        <w:rPr>
          <w:rFonts w:ascii="Century" w:hAnsi="Century" w:cs="Miriam" w:hint="eastAsia"/>
          <w:b/>
          <w:spacing w:val="0"/>
          <w:szCs w:val="24"/>
          <w:rtl/>
        </w:rPr>
        <w:t>דוננפלד</w:t>
      </w:r>
      <w:r>
        <w:rPr>
          <w:rFonts w:hint="cs"/>
          <w:rtl/>
        </w:rPr>
        <w:t xml:space="preserve">, פסקה 13 (7.11.2012); </w:t>
      </w:r>
      <w:r w:rsidRPr="00FC00F3">
        <w:rPr>
          <w:rFonts w:hint="eastAsia"/>
          <w:rtl/>
        </w:rPr>
        <w:t>ע</w:t>
      </w:r>
      <w:r>
        <w:rPr>
          <w:rFonts w:hint="cs"/>
          <w:rtl/>
        </w:rPr>
        <w:t>"</w:t>
      </w:r>
      <w:r w:rsidRPr="00FC00F3">
        <w:rPr>
          <w:rFonts w:hint="eastAsia"/>
          <w:rtl/>
        </w:rPr>
        <w:t>א</w:t>
      </w:r>
      <w:r w:rsidRPr="00FC00F3">
        <w:rPr>
          <w:rtl/>
        </w:rPr>
        <w:t xml:space="preserve"> 1442/13 </w:t>
      </w:r>
      <w:r w:rsidRPr="00E9603D">
        <w:rPr>
          <w:rFonts w:ascii="Century" w:hAnsi="Century" w:cs="Miriam" w:hint="eastAsia"/>
          <w:b/>
          <w:spacing w:val="0"/>
          <w:szCs w:val="24"/>
          <w:rtl/>
        </w:rPr>
        <w:t>זוארס</w:t>
      </w:r>
      <w:r w:rsidRPr="00E9603D">
        <w:rPr>
          <w:rFonts w:ascii="Century" w:hAnsi="Century" w:cs="Miriam"/>
          <w:b/>
          <w:spacing w:val="0"/>
          <w:szCs w:val="24"/>
          <w:rtl/>
        </w:rPr>
        <w:t xml:space="preserve"> </w:t>
      </w:r>
      <w:r w:rsidRPr="00E9603D">
        <w:rPr>
          <w:rFonts w:ascii="Century" w:hAnsi="Century" w:cs="Miriam" w:hint="eastAsia"/>
          <w:b/>
          <w:spacing w:val="0"/>
          <w:szCs w:val="24"/>
          <w:rtl/>
        </w:rPr>
        <w:t>נ</w:t>
      </w:r>
      <w:r w:rsidRPr="00E9603D">
        <w:rPr>
          <w:rFonts w:ascii="Century" w:hAnsi="Century" w:cs="Miriam"/>
          <w:b/>
          <w:spacing w:val="0"/>
          <w:szCs w:val="24"/>
          <w:rtl/>
        </w:rPr>
        <w:t xml:space="preserve">' </w:t>
      </w:r>
      <w:r w:rsidRPr="00E9603D">
        <w:rPr>
          <w:rFonts w:ascii="Century" w:hAnsi="Century" w:cs="Miriam" w:hint="eastAsia"/>
          <w:b/>
          <w:spacing w:val="0"/>
          <w:szCs w:val="24"/>
          <w:rtl/>
        </w:rPr>
        <w:t>התעשיה</w:t>
      </w:r>
      <w:r w:rsidRPr="00E9603D">
        <w:rPr>
          <w:rFonts w:ascii="Century" w:hAnsi="Century" w:cs="Miriam"/>
          <w:b/>
          <w:spacing w:val="0"/>
          <w:szCs w:val="24"/>
          <w:rtl/>
        </w:rPr>
        <w:t xml:space="preserve"> </w:t>
      </w:r>
      <w:r w:rsidRPr="00E9603D">
        <w:rPr>
          <w:rFonts w:ascii="Century" w:hAnsi="Century" w:cs="Miriam" w:hint="eastAsia"/>
          <w:b/>
          <w:spacing w:val="0"/>
          <w:szCs w:val="24"/>
          <w:rtl/>
        </w:rPr>
        <w:t>הצבאית</w:t>
      </w:r>
      <w:r w:rsidRPr="00E9603D">
        <w:rPr>
          <w:rFonts w:ascii="Century" w:hAnsi="Century" w:cs="Miriam"/>
          <w:b/>
          <w:spacing w:val="0"/>
          <w:szCs w:val="24"/>
          <w:rtl/>
        </w:rPr>
        <w:t xml:space="preserve"> </w:t>
      </w:r>
      <w:r w:rsidRPr="00E9603D">
        <w:rPr>
          <w:rFonts w:ascii="Century" w:hAnsi="Century" w:cs="Miriam" w:hint="eastAsia"/>
          <w:b/>
          <w:spacing w:val="0"/>
          <w:szCs w:val="24"/>
          <w:rtl/>
        </w:rPr>
        <w:t>ישראל</w:t>
      </w:r>
      <w:r w:rsidRPr="00E9603D">
        <w:rPr>
          <w:rFonts w:ascii="Century" w:hAnsi="Century" w:cs="Miriam"/>
          <w:b/>
          <w:spacing w:val="0"/>
          <w:szCs w:val="24"/>
          <w:rtl/>
        </w:rPr>
        <w:t xml:space="preserve"> </w:t>
      </w:r>
      <w:r w:rsidRPr="00E9603D">
        <w:rPr>
          <w:rFonts w:ascii="Century" w:hAnsi="Century" w:cs="Miriam" w:hint="eastAsia"/>
          <w:b/>
          <w:spacing w:val="0"/>
          <w:szCs w:val="24"/>
          <w:rtl/>
        </w:rPr>
        <w:t>בע</w:t>
      </w:r>
      <w:r w:rsidRPr="00E9603D">
        <w:rPr>
          <w:rFonts w:ascii="Century" w:hAnsi="Century" w:cs="Miriam"/>
          <w:b/>
          <w:spacing w:val="0"/>
          <w:szCs w:val="24"/>
          <w:rtl/>
        </w:rPr>
        <w:t>"</w:t>
      </w:r>
      <w:r w:rsidRPr="00E9603D">
        <w:rPr>
          <w:rFonts w:ascii="Century" w:hAnsi="Century" w:cs="Miriam" w:hint="eastAsia"/>
          <w:b/>
          <w:spacing w:val="0"/>
          <w:szCs w:val="24"/>
          <w:rtl/>
        </w:rPr>
        <w:t>מ</w:t>
      </w:r>
      <w:r>
        <w:rPr>
          <w:rFonts w:hint="cs"/>
          <w:rtl/>
        </w:rPr>
        <w:t>, פסקה 11 (18.8.2016). וכפי שסוכמה הלכה זו: "ידיעה מינימלית מסוג של קצה חוט היא שמטילה על התובע נטל לפעול למימוש זכויותיו בתוך פרק זמן סביר. משהתגלה אותו קצה חוט, שומה על התובע לנקוט אמצעים סבירים לגילוי העובדות החיוניות האחרות ולהגיש תובענה בתוך תקופת ההתיישנות" (</w:t>
      </w:r>
      <w:r w:rsidRPr="00E9603D">
        <w:rPr>
          <w:rFonts w:ascii="Century" w:hAnsi="Century" w:cs="Miriam" w:hint="eastAsia"/>
          <w:b/>
          <w:spacing w:val="0"/>
          <w:szCs w:val="24"/>
          <w:rtl/>
        </w:rPr>
        <w:t>חבקין</w:t>
      </w:r>
      <w:r>
        <w:rPr>
          <w:rFonts w:hint="cs"/>
          <w:rtl/>
        </w:rPr>
        <w:t>, בעמ' 259-258)).</w:t>
      </w:r>
    </w:p>
    <w:p w:rsidR="00761030" w:rsidRDefault="00761030" w:rsidP="00761030">
      <w:pPr>
        <w:pStyle w:val="Ruller41"/>
        <w:rPr>
          <w:rtl/>
        </w:rPr>
      </w:pPr>
    </w:p>
    <w:p w:rsidR="00761030" w:rsidRDefault="00761030" w:rsidP="00761030">
      <w:pPr>
        <w:pStyle w:val="Ruller41"/>
        <w:rPr>
          <w:rtl/>
        </w:rPr>
      </w:pPr>
      <w:r>
        <w:rPr>
          <w:rFonts w:hint="cs"/>
          <w:rtl/>
        </w:rPr>
        <w:t xml:space="preserve">68. </w:t>
      </w:r>
      <w:r>
        <w:rPr>
          <w:rFonts w:hint="cs"/>
          <w:rtl/>
        </w:rPr>
        <w:tab/>
        <w:t xml:space="preserve">בענייננו, מסקנתו של בית משפט השלום התבססה על עדותו של המשיב 2, אחד מנאמני ההקדש, שהעיד כי גודלם של מקרקעי ההקדש משתרע על חטיבת קרקע ששטחה למעלה מ-5,000 מ"ר, וכי למקרקעין אלה "פלשו עשרות רבים של פולשים", כך שהמשיבים נאלצו להשקיע מאמצים רבים כדי להתחקות אחר זהותם המדויקת של המחזיקים בכל נכס ונכס, ובכלל זה אחר זהותם של המערערים. לדברי המשיב 2 בעדותו, המשיבים הגישו את התביעה בעניין </w:t>
      </w:r>
      <w:r w:rsidRPr="00E9603D">
        <w:rPr>
          <w:rFonts w:ascii="Century" w:hAnsi="Century" w:cs="Miriam" w:hint="eastAsia"/>
          <w:b/>
          <w:spacing w:val="0"/>
          <w:szCs w:val="24"/>
          <w:rtl/>
        </w:rPr>
        <w:t>דוויק</w:t>
      </w:r>
      <w:r w:rsidRPr="00E9603D">
        <w:rPr>
          <w:rFonts w:ascii="Century" w:hAnsi="Century" w:cs="Miriam"/>
          <w:b/>
          <w:spacing w:val="0"/>
          <w:szCs w:val="24"/>
          <w:rtl/>
        </w:rPr>
        <w:t xml:space="preserve"> </w:t>
      </w:r>
      <w:r w:rsidRPr="00E9603D">
        <w:rPr>
          <w:rFonts w:ascii="Century" w:hAnsi="Century" w:cs="Miriam" w:hint="eastAsia"/>
          <w:b/>
          <w:spacing w:val="0"/>
          <w:szCs w:val="24"/>
          <w:rtl/>
        </w:rPr>
        <w:t>הראשון</w:t>
      </w:r>
      <w:r w:rsidRPr="00143847">
        <w:rPr>
          <w:rFonts w:hint="cs"/>
          <w:rtl/>
        </w:rPr>
        <w:t xml:space="preserve"> </w:t>
      </w:r>
      <w:r>
        <w:rPr>
          <w:rFonts w:hint="cs"/>
          <w:rtl/>
        </w:rPr>
        <w:t>סמוך לאחר שעמדו על זהותם של המערערים. בית משפט השלום קבע כי עדותו של המשיב 2 לא נסתרה על-ידי המערערים.</w:t>
      </w:r>
    </w:p>
    <w:p w:rsidR="00761030" w:rsidRDefault="00761030" w:rsidP="00761030">
      <w:pPr>
        <w:pStyle w:val="Ruller41"/>
        <w:rPr>
          <w:rtl/>
        </w:rPr>
      </w:pPr>
    </w:p>
    <w:p w:rsidR="00761030" w:rsidRDefault="00761030" w:rsidP="00761030">
      <w:pPr>
        <w:pStyle w:val="Ruller41"/>
        <w:rPr>
          <w:rtl/>
        </w:rPr>
      </w:pPr>
      <w:r>
        <w:rPr>
          <w:rFonts w:hint="cs"/>
          <w:rtl/>
        </w:rPr>
        <w:t xml:space="preserve">69. </w:t>
      </w:r>
      <w:r>
        <w:rPr>
          <w:rFonts w:hint="cs"/>
          <w:rtl/>
        </w:rPr>
        <w:tab/>
        <w:t xml:space="preserve">לאחר שבחנתי את הדברים, אני סבורה שמסקנתו של בית משפט השלום בעניין זה אינה עולה בקנה אחד עם אמת המידה שנקבעה בפסיקתו העקבית של בית משפט זה לעניין רמת הידיעה הנדרשת לצורך שלילתו של חריג הגילוי המאוחר. בית משפט השלום יצא מנקודת הנחה שמועד הגילוי ייבחן מנקודת מבטם של המשיבים </w:t>
      </w:r>
      <w:r>
        <w:rPr>
          <w:rtl/>
        </w:rPr>
        <w:t>–</w:t>
      </w:r>
      <w:r>
        <w:rPr>
          <w:rFonts w:hint="cs"/>
          <w:rtl/>
        </w:rPr>
        <w:t xml:space="preserve"> לאחר שקבע כי התקופה שבה נוהלו המקרקעין על-ידי האפוטרופוס אינה נחשבת לצורך מרוץ ההתיישנות. ואולם, לנוכח מסקנתי כי קביעה זו היא שגויה, יש למעשה לבחון את ידיעתו של האפוטרופוס הכללי, שניהל את הנכס מתוקף צו ההקניה עד לשחרור המקרקעין בשנת 2002. בפרספקטיבה זו, אני סבורה כי מהראיות שהונחו בפני בית משפט השלום עולה באופן ברור כי בידי האפוטרופוס הכללי היה "קצה חוט" לעניין ישיבתם של מחזיקים במקרקעין </w:t>
      </w:r>
      <w:r>
        <w:rPr>
          <w:rtl/>
        </w:rPr>
        <w:t>–</w:t>
      </w:r>
      <w:r>
        <w:rPr>
          <w:rFonts w:hint="cs"/>
          <w:rtl/>
        </w:rPr>
        <w:t xml:space="preserve"> היא-היא העובדה העיקרית המקימה את עילתה של תביעת הפינוי.</w:t>
      </w:r>
    </w:p>
    <w:p w:rsidR="00761030" w:rsidRDefault="00761030" w:rsidP="00761030">
      <w:pPr>
        <w:pStyle w:val="Ruller41"/>
        <w:rPr>
          <w:rtl/>
        </w:rPr>
      </w:pPr>
    </w:p>
    <w:p w:rsidR="00761030" w:rsidRDefault="00761030" w:rsidP="00761030">
      <w:pPr>
        <w:pStyle w:val="Ruller41"/>
        <w:rPr>
          <w:rtl/>
        </w:rPr>
      </w:pPr>
      <w:r>
        <w:rPr>
          <w:rFonts w:hint="cs"/>
          <w:rtl/>
        </w:rPr>
        <w:t xml:space="preserve">70. </w:t>
      </w:r>
      <w:r>
        <w:rPr>
          <w:rFonts w:hint="cs"/>
          <w:rtl/>
        </w:rPr>
        <w:tab/>
        <w:t>מטענות המערערים ומחומר הראיות שהגישו לבית משפט השלום עולה כי בתיק שהועבר לאפוטרופוס הכללי מידי הממונה הירדני לאחר מלחמת ששת הימים נכלל גם דו"ח חקירה של הממונה הירדני מיום 30.11.1965. הדו"ח נכתב לאחר סיור בשטח שבוצע עם שני מודדים בכפר סילוואן, והוא מכיל מידע ביחס לחלקות שמספרן 73, 75, 84, 95, 96 ו-97. מתרגום הדו"ח (שצורף כנספח י"א לתצהיר העדות הראשית מטעם המערער 1) עולה כי בחלקים רבים של חלקה 96 התגוררו אנשים שטענו כי רכשו את הזכויות בהם מאדם בשם ג'לאג'ל. בפרט, בהתייחס למקרקעין שבהם מתגוררים המערערים, בסעיף 13 לדו"ח נכתב כך:</w:t>
      </w:r>
    </w:p>
    <w:p w:rsidR="00761030" w:rsidRPr="00972CD1" w:rsidRDefault="00761030" w:rsidP="00761030">
      <w:pPr>
        <w:pStyle w:val="Ruller5"/>
        <w:spacing w:before="240"/>
        <w:rPr>
          <w:rtl/>
        </w:rPr>
      </w:pPr>
      <w:r>
        <w:rPr>
          <w:rFonts w:hint="cs"/>
          <w:rtl/>
        </w:rPr>
        <w:t xml:space="preserve">"באותה חלקה 96 יש חדר ומטבח ממלט... והיא מוחזקת ע"י המכונה רג'א ג'לאג'ל ואומרים שהוא מכר אותה לאדם מחברון". </w:t>
      </w:r>
    </w:p>
    <w:p w:rsidR="00761030" w:rsidRDefault="00761030" w:rsidP="00761030">
      <w:pPr>
        <w:pStyle w:val="Ruller41"/>
        <w:rPr>
          <w:rtl/>
        </w:rPr>
      </w:pPr>
    </w:p>
    <w:p w:rsidR="00761030" w:rsidRDefault="00761030" w:rsidP="00761030">
      <w:pPr>
        <w:pStyle w:val="Ruller41"/>
        <w:rPr>
          <w:rtl/>
        </w:rPr>
      </w:pPr>
      <w:r>
        <w:rPr>
          <w:rtl/>
        </w:rPr>
        <w:tab/>
      </w:r>
      <w:r>
        <w:rPr>
          <w:rFonts w:hint="cs"/>
          <w:rtl/>
        </w:rPr>
        <w:t>מסמך זה נכלל, כאמור, בתיק שהועבר לעיונו של האפוטרופוס הכללי עוד בשנת 1967.</w:t>
      </w:r>
    </w:p>
    <w:p w:rsidR="00761030" w:rsidRDefault="00761030" w:rsidP="00761030">
      <w:pPr>
        <w:pStyle w:val="Ruller41"/>
        <w:rPr>
          <w:rtl/>
        </w:rPr>
      </w:pPr>
    </w:p>
    <w:p w:rsidR="00761030" w:rsidRDefault="00761030" w:rsidP="00761030">
      <w:pPr>
        <w:pStyle w:val="Ruller41"/>
        <w:rPr>
          <w:rtl/>
        </w:rPr>
      </w:pPr>
      <w:r>
        <w:rPr>
          <w:rFonts w:hint="cs"/>
          <w:rtl/>
        </w:rPr>
        <w:t xml:space="preserve">71. </w:t>
      </w:r>
      <w:r>
        <w:rPr>
          <w:rFonts w:hint="cs"/>
          <w:rtl/>
        </w:rPr>
        <w:tab/>
        <w:t>מעבר לכך, ואף אם נסבור כי מסמך זה לבדו אינו עולה כדי "קצה חוט" כנדרש, הרי שבשנות התשעים של המאה הקודמת הגיע לידי האפוטרופוס הכללי די והותר מידע ששולל את חריג הגילוי המאוחר. כך עולה מחקירתו הנגדית של המשיב 2 בבית משפט השלום, שבה ציין כך:</w:t>
      </w:r>
    </w:p>
    <w:p w:rsidR="00761030" w:rsidRDefault="00761030" w:rsidP="00761030">
      <w:pPr>
        <w:pStyle w:val="Ruller5"/>
        <w:spacing w:before="240"/>
        <w:rPr>
          <w:rtl/>
        </w:rPr>
      </w:pPr>
      <w:r>
        <w:rPr>
          <w:rFonts w:hint="cs"/>
          <w:rtl/>
        </w:rPr>
        <w:t>"ש: מאיזו שנה אתה עובד עם עטרת כהנים?</w:t>
      </w:r>
    </w:p>
    <w:p w:rsidR="00761030" w:rsidRDefault="00761030" w:rsidP="00761030">
      <w:pPr>
        <w:pStyle w:val="Ruller5"/>
        <w:rPr>
          <w:rtl/>
        </w:rPr>
      </w:pPr>
      <w:r>
        <w:rPr>
          <w:rFonts w:hint="cs"/>
          <w:rtl/>
        </w:rPr>
        <w:t>ת: אמצע שנות ה-90.</w:t>
      </w:r>
    </w:p>
    <w:p w:rsidR="00761030" w:rsidRDefault="00761030" w:rsidP="00761030">
      <w:pPr>
        <w:pStyle w:val="Ruller5"/>
        <w:rPr>
          <w:rtl/>
        </w:rPr>
      </w:pPr>
      <w:r>
        <w:rPr>
          <w:rFonts w:hint="cs"/>
          <w:rtl/>
        </w:rPr>
        <w:t>ש: שזה בעצם היה הזמן שפנית לראשונה לאפו' הכללי בעניין חלקה 96 גוש 29986?</w:t>
      </w:r>
    </w:p>
    <w:p w:rsidR="00761030" w:rsidRDefault="00761030" w:rsidP="00761030">
      <w:pPr>
        <w:pStyle w:val="Ruller5"/>
        <w:rPr>
          <w:rtl/>
        </w:rPr>
      </w:pPr>
      <w:r>
        <w:rPr>
          <w:rFonts w:hint="cs"/>
          <w:rtl/>
        </w:rPr>
        <w:t xml:space="preserve">ת: למיטב זכרוני אני לא הראשון שפניתי. באמצע שנות ה-90 פניתי לאפו' הכללי בעניין החלקה הזו" </w:t>
      </w:r>
    </w:p>
    <w:p w:rsidR="00761030" w:rsidRDefault="00761030" w:rsidP="00761030">
      <w:pPr>
        <w:pStyle w:val="Ruller5"/>
        <w:rPr>
          <w:rtl/>
        </w:rPr>
      </w:pPr>
      <w:r>
        <w:rPr>
          <w:rFonts w:hint="cs"/>
          <w:rtl/>
        </w:rPr>
        <w:t>(עמ' 11 לפרוטוקול הדיון מיום 3.4.2019).</w:t>
      </w:r>
    </w:p>
    <w:p w:rsidR="00761030" w:rsidRDefault="00761030" w:rsidP="00761030">
      <w:pPr>
        <w:pStyle w:val="Ruller41"/>
        <w:rPr>
          <w:rtl/>
        </w:rPr>
      </w:pPr>
    </w:p>
    <w:p w:rsidR="00761030" w:rsidRDefault="00761030" w:rsidP="00761030">
      <w:pPr>
        <w:pStyle w:val="Ruller41"/>
        <w:rPr>
          <w:rtl/>
        </w:rPr>
      </w:pPr>
      <w:r>
        <w:rPr>
          <w:rFonts w:hint="cs"/>
          <w:rtl/>
        </w:rPr>
        <w:t>72.</w:t>
      </w:r>
      <w:r>
        <w:rPr>
          <w:rtl/>
        </w:rPr>
        <w:tab/>
      </w:r>
      <w:r>
        <w:rPr>
          <w:rFonts w:hint="cs"/>
          <w:rtl/>
        </w:rPr>
        <w:t xml:space="preserve">כמו כן, בשנת 1997 הוגשה לאפוטרופוס הכללי חוות דעת, לבקשתו, מטעמו של המודד שמעון ורזגר. חוות הדעת נדרשה "לזהות גבולות של חלקות השייכות, על-פי השערת האפוטרופוס הכללי, להקדש בנבנישתי באזור שכונת השילוח </w:t>
      </w:r>
      <w:r>
        <w:rPr>
          <w:rtl/>
        </w:rPr>
        <w:t>–</w:t>
      </w:r>
      <w:r>
        <w:rPr>
          <w:rFonts w:hint="cs"/>
          <w:rtl/>
        </w:rPr>
        <w:t xml:space="preserve"> סילוואן, ירושלים" (חוות דעתו של אותו מומחה, שבה תוארה חוות הדעת משנת 1997, הוגשה מטעם המשיבים בהליך שהתנהל בבית המשפט המחוזי בעניין </w:t>
      </w:r>
      <w:r w:rsidRPr="00A822FA">
        <w:rPr>
          <w:rFonts w:ascii="Century" w:hAnsi="Century" w:cs="Miriam" w:hint="eastAsia"/>
          <w:b/>
          <w:spacing w:val="0"/>
          <w:szCs w:val="24"/>
          <w:rtl/>
        </w:rPr>
        <w:t>דוויק</w:t>
      </w:r>
      <w:r w:rsidRPr="00A822FA">
        <w:rPr>
          <w:rFonts w:ascii="Century" w:hAnsi="Century" w:cs="Miriam"/>
          <w:b/>
          <w:spacing w:val="0"/>
          <w:szCs w:val="24"/>
          <w:rtl/>
        </w:rPr>
        <w:t xml:space="preserve"> </w:t>
      </w:r>
      <w:r w:rsidRPr="00A822FA">
        <w:rPr>
          <w:rFonts w:ascii="Century" w:hAnsi="Century" w:cs="Miriam" w:hint="eastAsia"/>
          <w:b/>
          <w:spacing w:val="0"/>
          <w:szCs w:val="24"/>
          <w:rtl/>
        </w:rPr>
        <w:t>הראשון</w:t>
      </w:r>
      <w:r>
        <w:rPr>
          <w:rFonts w:hint="cs"/>
          <w:rtl/>
        </w:rPr>
        <w:t xml:space="preserve">. ראו: נספח י"ד לתצהיר העדות הראשית מטעמו של המערער 1). חוות דעת זו לא הוגשה לעיוננו, ועל כן לא נוכל לדעת האם מידע קונקרטי בדבר חלקת המערערים נכלל בה או לא. יחד עם זאת, כאמור, בהינתן אמת המידה של "קצה חוט" </w:t>
      </w:r>
      <w:r>
        <w:rPr>
          <w:rtl/>
        </w:rPr>
        <w:t>–</w:t>
      </w:r>
      <w:r>
        <w:rPr>
          <w:rFonts w:hint="cs"/>
          <w:rtl/>
        </w:rPr>
        <w:t xml:space="preserve"> ניתן להסתפק בקביעה שהאפוטרופוס הכללי ביצע ללא ספק, בשנת 1997, פעולות חקירה במקרקעין שמטרתן זיהוי החלקות וגבולותיהן.</w:t>
      </w:r>
    </w:p>
    <w:p w:rsidR="00761030" w:rsidRDefault="00761030" w:rsidP="00761030">
      <w:pPr>
        <w:pStyle w:val="Ruller41"/>
        <w:rPr>
          <w:rtl/>
        </w:rPr>
      </w:pPr>
    </w:p>
    <w:p w:rsidR="00761030" w:rsidRDefault="00761030" w:rsidP="00761030">
      <w:pPr>
        <w:pStyle w:val="Ruller41"/>
        <w:rPr>
          <w:rtl/>
        </w:rPr>
      </w:pPr>
      <w:r>
        <w:rPr>
          <w:rFonts w:hint="cs"/>
          <w:rtl/>
        </w:rPr>
        <w:t xml:space="preserve">73. </w:t>
      </w:r>
      <w:r>
        <w:rPr>
          <w:rFonts w:hint="cs"/>
          <w:rtl/>
        </w:rPr>
        <w:tab/>
        <w:t xml:space="preserve">זאת ועוד: בסמוך לאחר שחרור המקרקעין לידי נאמני ההקדש, הוציא האפוטרופוס הכללי ביום 25.7.2002 דרישת תשלום להקדש, בגין שכר הניהול שלו לתקופה שבה ניהל את מקרקעי ההקדש בסילוואן. האפוטרופוס הכללי העמיד את שכר הניהול על סך של 43,857 שקלים </w:t>
      </w:r>
      <w:r>
        <w:rPr>
          <w:rtl/>
        </w:rPr>
        <w:t>–</w:t>
      </w:r>
      <w:r>
        <w:rPr>
          <w:rFonts w:hint="cs"/>
          <w:rtl/>
        </w:rPr>
        <w:t xml:space="preserve"> וזאת בגין הוצאות בפועל וכן בגין פעולות שננקטו, כדלקמן: "בקרות נכסים, חקירות, דיונים משפטיים, הוצאת צו ניהול, התכתבויות שונות (העיריה, מס רכוש, לשכת רישום המקרקעין, מודדים) וכן תרגומים מהשפה הערבית" (נספח ט"ז לתצהיר העדות הראשית מטעמו של המערער 1 בבית משפט השלום). מסמך זה כשלעצמו מלמד כי האפוטרופוס היה פעיל לאורך השנים בשטח שנוהל על-ידו בסילוואן וכי הוא ידע, או למצער היה עליו לדעת, בהינתן פעולות החקירה שלטענתו בוצעו, על ישיבתם של פולשים במקרקעין מושא ההליך במשך שנים כה רבות.</w:t>
      </w:r>
    </w:p>
    <w:p w:rsidR="00761030" w:rsidRDefault="00761030" w:rsidP="00761030">
      <w:pPr>
        <w:pStyle w:val="Ruller41"/>
        <w:rPr>
          <w:rtl/>
        </w:rPr>
      </w:pPr>
    </w:p>
    <w:p w:rsidR="00761030" w:rsidRDefault="00761030" w:rsidP="00A20BB7">
      <w:pPr>
        <w:pStyle w:val="Ruller41"/>
        <w:rPr>
          <w:rtl/>
        </w:rPr>
      </w:pPr>
      <w:r>
        <w:rPr>
          <w:rFonts w:hint="cs"/>
          <w:rtl/>
        </w:rPr>
        <w:t xml:space="preserve">74. </w:t>
      </w:r>
      <w:r>
        <w:rPr>
          <w:rFonts w:hint="cs"/>
          <w:rtl/>
        </w:rPr>
        <w:tab/>
        <w:t xml:space="preserve">יש לציין גם, כי המערערים הציגו לבית משפט השלום קבלות על תשלומי ארנונה שבוצעו לעיריית ירושלים החל בשנות ה-60 של המאה הקודמת (נספח י' לתצהיר העדות הראשית מטעמו של המערער 1). יצוין, כי לא על כל הקבלות מופיע בבירור שם הנמען בעברית, והמשיבים אף טענו בבית משפט השלום כי מדובר במסמכים שאינם קשורים למקרקעין מושא ההליך דנן, אלא לחלקה אחרת (ראו: עמ' 40 לפרוטוקול הדיון בבית משפט השלום מיום 10.4.2019). אולם, לפחות על קבלה אחת משנת 1994 מופיע המען "דוויק פאטמה חמיס </w:t>
      </w:r>
      <w:r>
        <w:rPr>
          <w:rtl/>
        </w:rPr>
        <w:t>–</w:t>
      </w:r>
      <w:r>
        <w:rPr>
          <w:rFonts w:hint="cs"/>
          <w:rtl/>
        </w:rPr>
        <w:t xml:space="preserve"> סילוואן". יתר על כן, המערערים טענו כי סבו של המערער 1 הורשע בשנת 1979 בגין עבירות בניה שביצע במבנה הבנוי במקרקעין, וכי הוא אף נשא בעונש מאסר בגינן לאחר שלא עלה בידו לשלם את הקנס (בהפניה לת"פ </w:t>
      </w:r>
      <w:r w:rsidR="00A20BB7">
        <w:rPr>
          <w:rFonts w:hint="cs"/>
          <w:rtl/>
        </w:rPr>
        <w:t xml:space="preserve">6913/78, </w:t>
      </w:r>
      <w:r>
        <w:rPr>
          <w:rFonts w:hint="cs"/>
          <w:rtl/>
        </w:rPr>
        <w:t xml:space="preserve">הליך שאוזכר בהמשך גם במסגרת הליך </w:t>
      </w:r>
      <w:r w:rsidR="00A20BB7">
        <w:rPr>
          <w:rFonts w:hint="cs"/>
          <w:rtl/>
        </w:rPr>
        <w:t>אחר</w:t>
      </w:r>
      <w:r>
        <w:rPr>
          <w:rFonts w:hint="cs"/>
          <w:rtl/>
        </w:rPr>
        <w:t xml:space="preserve"> שנגע לעבירות בניה במקרקעין שבהן הורשע אביו של המערער 1 בשנת 2010 </w:t>
      </w:r>
      <w:r w:rsidR="00A20BB7">
        <w:rPr>
          <w:rtl/>
        </w:rPr>
        <w:t>–</w:t>
      </w:r>
      <w:r w:rsidR="00A20BB7">
        <w:rPr>
          <w:rFonts w:hint="cs"/>
          <w:rtl/>
        </w:rPr>
        <w:t xml:space="preserve"> </w:t>
      </w:r>
      <w:r>
        <w:rPr>
          <w:rFonts w:hint="cs"/>
          <w:rtl/>
        </w:rPr>
        <w:t>ב"ש 2582/0</w:t>
      </w:r>
      <w:r w:rsidR="00A20BB7">
        <w:rPr>
          <w:rFonts w:hint="cs"/>
          <w:rtl/>
        </w:rPr>
        <w:t>8, ע"פ 1638-04-10, רע"פ 3154/11</w:t>
      </w:r>
      <w:r w:rsidR="004C6862">
        <w:rPr>
          <w:rFonts w:hint="cs"/>
          <w:rtl/>
        </w:rPr>
        <w:t>)</w:t>
      </w:r>
      <w:r>
        <w:rPr>
          <w:rFonts w:hint="cs"/>
          <w:rtl/>
        </w:rPr>
        <w:t>. המשיבים לא סתרו טענה זו.</w:t>
      </w:r>
    </w:p>
    <w:p w:rsidR="00761030" w:rsidRDefault="00761030" w:rsidP="00761030">
      <w:pPr>
        <w:pStyle w:val="Ruller41"/>
        <w:rPr>
          <w:rtl/>
        </w:rPr>
      </w:pPr>
    </w:p>
    <w:p w:rsidR="00761030" w:rsidRDefault="00761030" w:rsidP="00761030">
      <w:pPr>
        <w:pStyle w:val="Ruller41"/>
        <w:rPr>
          <w:rtl/>
        </w:rPr>
      </w:pPr>
      <w:r>
        <w:rPr>
          <w:rFonts w:hint="cs"/>
          <w:rtl/>
        </w:rPr>
        <w:t xml:space="preserve">75. </w:t>
      </w:r>
      <w:r>
        <w:rPr>
          <w:rtl/>
        </w:rPr>
        <w:tab/>
      </w:r>
      <w:r>
        <w:rPr>
          <w:rFonts w:hint="cs"/>
          <w:rtl/>
        </w:rPr>
        <w:t xml:space="preserve">אמנם, אין מדובר במסמכים המעידים באופן ישיר על ידיעה של האפוטרופוס הכללי בנוגע לישיבתם של בני משפחת דוויק במקרקעין, אלא על ידיעתה של עיריית ירושלים. אולם, יש להניח כי גוף כמו האפוטרופוס הכללי יכול בנקל לברר אל מול גורמי העירייה מיהם האנשים המתגוררים בחלק מסוים במקרקעין שבניהולו </w:t>
      </w:r>
      <w:r>
        <w:rPr>
          <w:rtl/>
        </w:rPr>
        <w:t>–</w:t>
      </w:r>
      <w:r>
        <w:rPr>
          <w:rFonts w:hint="cs"/>
          <w:rtl/>
        </w:rPr>
        <w:t xml:space="preserve"> כאשר אנשים אלה מקבלים דרישות לתשלום מסים עירוניים ואף עומדים לדין בגין בניה בלתי חוקית במקרקעין. לעניין זה יש להזכיר כאמור כי כלל הגילוי המאוחר מורכב גם מיסוד אובייקטיבי </w:t>
      </w:r>
      <w:r>
        <w:rPr>
          <w:rtl/>
        </w:rPr>
        <w:t>–</w:t>
      </w:r>
      <w:r>
        <w:rPr>
          <w:rFonts w:hint="cs"/>
          <w:rtl/>
        </w:rPr>
        <w:t xml:space="preserve"> לפיו התובע לא יכול היה, </w:t>
      </w:r>
      <w:r w:rsidRPr="00E9603D">
        <w:rPr>
          <w:rFonts w:ascii="Century" w:hAnsi="Century" w:cs="Miriam" w:hint="eastAsia"/>
          <w:b/>
          <w:spacing w:val="0"/>
          <w:szCs w:val="24"/>
          <w:rtl/>
        </w:rPr>
        <w:t>בזהירות</w:t>
      </w:r>
      <w:r w:rsidRPr="00E9603D">
        <w:rPr>
          <w:rFonts w:ascii="Century" w:hAnsi="Century" w:cs="Miriam"/>
          <w:b/>
          <w:spacing w:val="0"/>
          <w:szCs w:val="24"/>
          <w:rtl/>
        </w:rPr>
        <w:t xml:space="preserve"> </w:t>
      </w:r>
      <w:r w:rsidRPr="00E9603D">
        <w:rPr>
          <w:rFonts w:ascii="Century" w:hAnsi="Century" w:cs="Miriam" w:hint="eastAsia"/>
          <w:b/>
          <w:spacing w:val="0"/>
          <w:szCs w:val="24"/>
          <w:rtl/>
        </w:rPr>
        <w:t>סבירה</w:t>
      </w:r>
      <w:r>
        <w:rPr>
          <w:rFonts w:hint="cs"/>
          <w:rtl/>
        </w:rPr>
        <w:t>, למנוע את אי-הידיעה. כך נקבע לעניין זה בעבר:</w:t>
      </w:r>
    </w:p>
    <w:p w:rsidR="00761030" w:rsidRPr="00BE38FC" w:rsidRDefault="00761030" w:rsidP="00761030">
      <w:pPr>
        <w:pStyle w:val="Ruller5"/>
        <w:spacing w:before="240"/>
        <w:rPr>
          <w:rtl/>
        </w:rPr>
      </w:pPr>
      <w:r>
        <w:rPr>
          <w:rFonts w:hint="cs"/>
          <w:rtl/>
        </w:rPr>
        <w:t>"מדיניות משפטית וחברתית רצויה חייבת לעודד בעלי מקרקעין להפגין התעניינות ממשית (בגבולות הסביר) הן בעת רכישת המקרקעין והן באופן שוטף במהלך שנות בעלותם בקרקע. אין כוונתי כי מדי שנה בשנה על בעל המקרקעין להוציא מודד לקרקע. עם זאת, גם אין זה סביר שבמשך 40 שנה נעשה שימוש במקרקעיהם של המערערים מבלי שהם ידעו על כך" (עניין</w:t>
      </w:r>
      <w:r w:rsidRPr="00A34FAE">
        <w:rPr>
          <w:rtl/>
        </w:rPr>
        <w:t xml:space="preserve"> </w:t>
      </w:r>
      <w:r w:rsidRPr="00E9603D">
        <w:rPr>
          <w:rFonts w:ascii="Century" w:hAnsi="Century" w:cs="Miriam" w:hint="eastAsia"/>
          <w:b/>
          <w:spacing w:val="0"/>
          <w:szCs w:val="24"/>
          <w:rtl/>
        </w:rPr>
        <w:t>וינשל</w:t>
      </w:r>
      <w:r>
        <w:rPr>
          <w:rFonts w:hint="cs"/>
          <w:rtl/>
        </w:rPr>
        <w:t>, בפסקה 36).</w:t>
      </w:r>
    </w:p>
    <w:p w:rsidR="00761030" w:rsidRDefault="00761030" w:rsidP="00761030">
      <w:pPr>
        <w:pStyle w:val="Ruller41"/>
        <w:rPr>
          <w:rtl/>
        </w:rPr>
      </w:pPr>
    </w:p>
    <w:p w:rsidR="00761030" w:rsidRDefault="00761030" w:rsidP="00761030">
      <w:pPr>
        <w:pStyle w:val="Ruller41"/>
        <w:rPr>
          <w:rtl/>
        </w:rPr>
      </w:pPr>
      <w:r>
        <w:rPr>
          <w:rtl/>
        </w:rPr>
        <w:tab/>
      </w:r>
      <w:r>
        <w:rPr>
          <w:rFonts w:hint="cs"/>
          <w:rtl/>
        </w:rPr>
        <w:t>דברים אלה, שנאמרו ביחס לבעלי מקרקעין פרטיים, יפים אף ביתר שאת כאשר מדובר במקרקעין המנוהלים על-ידי האפוטרופוס הכללי תוך שמוטלות עליו חובות בדין לבצע פעולות חקירה ובקרה ביחס אליהם.</w:t>
      </w:r>
    </w:p>
    <w:p w:rsidR="00761030" w:rsidRDefault="00761030" w:rsidP="00761030">
      <w:pPr>
        <w:pStyle w:val="Ruller41"/>
        <w:rPr>
          <w:rtl/>
        </w:rPr>
      </w:pPr>
    </w:p>
    <w:p w:rsidR="00761030" w:rsidRDefault="00761030" w:rsidP="00761030">
      <w:pPr>
        <w:pStyle w:val="Ruller41"/>
        <w:rPr>
          <w:rtl/>
        </w:rPr>
      </w:pPr>
      <w:r>
        <w:rPr>
          <w:rFonts w:hint="cs"/>
          <w:rtl/>
        </w:rPr>
        <w:t xml:space="preserve">76. </w:t>
      </w:r>
      <w:r>
        <w:rPr>
          <w:rFonts w:hint="cs"/>
          <w:rtl/>
        </w:rPr>
        <w:tab/>
        <w:t xml:space="preserve">לסיכום חלק זה: איני סבורה כי הוכח ברמה הנדרשת כי לאורך </w:t>
      </w:r>
      <w:r w:rsidRPr="00E9603D">
        <w:rPr>
          <w:rFonts w:ascii="Century" w:hAnsi="Century" w:cs="Miriam"/>
          <w:b/>
          <w:spacing w:val="0"/>
          <w:szCs w:val="24"/>
          <w:rtl/>
        </w:rPr>
        <w:t xml:space="preserve">35 השנים </w:t>
      </w:r>
      <w:r>
        <w:rPr>
          <w:rFonts w:hint="cs"/>
          <w:rtl/>
        </w:rPr>
        <w:t xml:space="preserve">שבהם ניהל האפוטרופוס הכללי את המקרקעין, לא עלה בידו ולו "קצה חוט" בדבר עובדת ישיבתם של בני משפחת דוויק בהם. משכך, אין מקום להחיל בנסיבות העניין את סעיף 8 לחוק ההתיישנות. מאחר שתקופת ההתיישנות בענייננו עומדת על 15 שנים, והתביעה הוגשה בשנת 2014 </w:t>
      </w:r>
      <w:r>
        <w:rPr>
          <w:rtl/>
        </w:rPr>
        <w:t>–</w:t>
      </w:r>
      <w:r>
        <w:rPr>
          <w:rFonts w:hint="cs"/>
          <w:rtl/>
        </w:rPr>
        <w:t xml:space="preserve"> די בכך שאקבע, על בסיס הראיות שהוצגו לבית משפט השלום, כי תקופת ההתיישנות החלה להימנות עוד לפני שנת 1999, ומשכך עד להגשת התביעה, הושלמה תקופת ההתיישנות.</w:t>
      </w:r>
    </w:p>
    <w:p w:rsidR="00761030" w:rsidRDefault="00761030" w:rsidP="00761030">
      <w:pPr>
        <w:pStyle w:val="Ruller41"/>
        <w:rPr>
          <w:rtl/>
        </w:rPr>
      </w:pPr>
    </w:p>
    <w:p w:rsidR="00761030" w:rsidRDefault="00761030" w:rsidP="00761030">
      <w:pPr>
        <w:pStyle w:val="Ruller41"/>
        <w:rPr>
          <w:rFonts w:ascii="Century" w:hAnsi="Century" w:cs="Miriam"/>
          <w:b/>
          <w:spacing w:val="0"/>
          <w:szCs w:val="24"/>
          <w:rtl/>
        </w:rPr>
      </w:pPr>
      <w:r w:rsidRPr="00E9603D">
        <w:rPr>
          <w:rFonts w:ascii="Century" w:hAnsi="Century" w:cs="Miriam" w:hint="eastAsia"/>
          <w:b/>
          <w:spacing w:val="0"/>
          <w:szCs w:val="24"/>
          <w:rtl/>
        </w:rPr>
        <w:t>החזקה</w:t>
      </w:r>
      <w:r w:rsidRPr="00E9603D">
        <w:rPr>
          <w:rFonts w:ascii="Century" w:hAnsi="Century" w:cs="Miriam"/>
          <w:b/>
          <w:spacing w:val="0"/>
          <w:szCs w:val="24"/>
          <w:rtl/>
        </w:rPr>
        <w:t xml:space="preserve"> </w:t>
      </w:r>
      <w:r w:rsidRPr="00E9603D">
        <w:rPr>
          <w:rFonts w:ascii="Century" w:hAnsi="Century" w:cs="Miriam" w:hint="eastAsia"/>
          <w:b/>
          <w:spacing w:val="0"/>
          <w:szCs w:val="24"/>
          <w:rtl/>
        </w:rPr>
        <w:t>נוגדת</w:t>
      </w:r>
    </w:p>
    <w:p w:rsidR="00761030" w:rsidRDefault="00761030" w:rsidP="00761030">
      <w:pPr>
        <w:pStyle w:val="Ruller41"/>
        <w:rPr>
          <w:rFonts w:ascii="Century" w:hAnsi="Century" w:cs="Miriam"/>
          <w:b/>
          <w:spacing w:val="0"/>
          <w:szCs w:val="24"/>
          <w:rtl/>
        </w:rPr>
      </w:pPr>
    </w:p>
    <w:p w:rsidR="00761030" w:rsidRDefault="00761030" w:rsidP="00761030">
      <w:pPr>
        <w:pStyle w:val="Ruller41"/>
        <w:rPr>
          <w:rFonts w:ascii="Century" w:hAnsi="Century"/>
          <w:rtl/>
        </w:rPr>
      </w:pPr>
      <w:r>
        <w:rPr>
          <w:rFonts w:ascii="Century" w:hAnsi="Century" w:hint="cs"/>
          <w:rtl/>
        </w:rPr>
        <w:t xml:space="preserve">77. </w:t>
      </w:r>
      <w:r>
        <w:rPr>
          <w:rFonts w:ascii="Century" w:hAnsi="Century" w:hint="cs"/>
          <w:rtl/>
        </w:rPr>
        <w:tab/>
        <w:t>בשלב זה נותר לבחון רק את יסוד ההחזקה הנוגדת. כאמור לעיל, לצורך קבלתה של טענת התיישנות בתביעת פינוי מקרקעין, המחזיק הטוען להתיישנות נושא בנטל להוכיח כי במשך כל תקופת ההתיישנות הוא החזיק במקרקעין החזקה נוגדת. בית משפט השלום לא נדרש כלל להיבט זה של טענת ההתיישנות, מאחר שביסס את מסקנתו על סעיף 113(ב) לחוק המקרקעין, ולחלופין על כלל הגילוי המאוחר. מאחר שהגעתי למסקנה שונה בשתי הסוגיות האמורות, אשלים את הדיון גם בהיבט זה. בתמצית, אני סבורה כי יסוד ההחזקה הנוגדת מתקיים בנסיבות העניין, ועל כן התוצאה המתקבלת היא כי תביעת המשיבים התיישנה.</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78. </w:t>
      </w:r>
      <w:r>
        <w:rPr>
          <w:rFonts w:ascii="Century" w:hAnsi="Century" w:hint="cs"/>
          <w:rtl/>
        </w:rPr>
        <w:tab/>
        <w:t>המשיבים טענו בבית משפט השלום לעניין זה, כי טענת ההחזקה הנוגדת לא הועלתה בכתב ההגנה אלא נזכרה לראשונה בתצהיר העדות הראשית של המערער 1, ומשכך מדובר בהרחבת חזית אסורה. כמו כן, הם טענו כי אפילו יש מקום להכיר בהחזקה הנוגדת של המערערים הרי שניתן להחילה כלפי המשיבים רק מיום מינוים כנאמני ההקדש בשנת 2001. לבסוף, נטען בהקשר זה כי המערערים לא הוכיחו שהחזקתם הייתה רציפה במשך כל תקופת ההתיישנות בהתחשב בכך שלא הגישו חשבונות שוטפים מעשרים השנים האחרונות המלמדים על החזקה במקרקעין (כגון חשבונות ארנונה, חשמל ומים), ואף נמנעו מלהביא לעדות עדים מטעמם כגון שכנים, שיעידו על החזקתם הרציפה במקרקעין (סעיף 79 לסיכומי המשיבים בבית משפט השלום).</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79. </w:t>
      </w:r>
      <w:r>
        <w:rPr>
          <w:rFonts w:ascii="Century" w:hAnsi="Century" w:hint="cs"/>
          <w:rtl/>
        </w:rPr>
        <w:tab/>
        <w:t xml:space="preserve">איני סבורה כי יש ממש בטענות אלה של המשיבים, המבקשות להרחיב יתר על המידה את הדיון בטענת ההחזקה הנוגדת. כפי שצוין בפתח הדברים, מהותה של טענה זו היא ניגוד אינטרסים בין המחזיק במקרקעין ליריבו, התובע פינוי (ראו: </w:t>
      </w:r>
      <w:r w:rsidRPr="00A822FA">
        <w:rPr>
          <w:rFonts w:ascii="Century" w:hAnsi="Century" w:cs="Miriam" w:hint="eastAsia"/>
          <w:b/>
          <w:spacing w:val="0"/>
          <w:szCs w:val="24"/>
          <w:rtl/>
        </w:rPr>
        <w:t>לוינסון</w:t>
      </w:r>
      <w:r w:rsidRPr="00A822FA">
        <w:rPr>
          <w:rFonts w:ascii="Century" w:hAnsi="Century" w:cs="Miriam"/>
          <w:b/>
          <w:spacing w:val="0"/>
          <w:szCs w:val="24"/>
          <w:rtl/>
        </w:rPr>
        <w:t>-</w:t>
      </w:r>
      <w:r w:rsidRPr="00A822FA">
        <w:rPr>
          <w:rFonts w:ascii="Century" w:hAnsi="Century" w:cs="Miriam" w:hint="eastAsia"/>
          <w:b/>
          <w:spacing w:val="0"/>
          <w:szCs w:val="24"/>
          <w:rtl/>
        </w:rPr>
        <w:t>זמיר</w:t>
      </w:r>
      <w:r>
        <w:rPr>
          <w:rFonts w:ascii="Century" w:hAnsi="Century" w:hint="cs"/>
          <w:rtl/>
        </w:rPr>
        <w:t>, בעמ' 184). משמעותה היא כי "</w:t>
      </w:r>
      <w:r w:rsidRPr="00F02169">
        <w:rPr>
          <w:rFonts w:ascii="Century" w:hAnsi="Century" w:hint="eastAsia"/>
          <w:rtl/>
        </w:rPr>
        <w:t>חזקתו</w:t>
      </w:r>
      <w:r w:rsidRPr="00F02169">
        <w:rPr>
          <w:rFonts w:ascii="Century" w:hAnsi="Century"/>
          <w:rtl/>
        </w:rPr>
        <w:t xml:space="preserve"> </w:t>
      </w:r>
      <w:r w:rsidRPr="00F02169">
        <w:rPr>
          <w:rFonts w:ascii="Century" w:hAnsi="Century" w:hint="eastAsia"/>
          <w:rtl/>
        </w:rPr>
        <w:t>של</w:t>
      </w:r>
      <w:r w:rsidRPr="00F02169">
        <w:rPr>
          <w:rFonts w:ascii="Century" w:hAnsi="Century"/>
          <w:rtl/>
        </w:rPr>
        <w:t xml:space="preserve"> </w:t>
      </w:r>
      <w:r w:rsidRPr="00F02169">
        <w:rPr>
          <w:rFonts w:ascii="Century" w:hAnsi="Century" w:hint="eastAsia"/>
          <w:rtl/>
        </w:rPr>
        <w:t>המחזיק</w:t>
      </w:r>
      <w:r w:rsidRPr="00F02169">
        <w:rPr>
          <w:rFonts w:ascii="Century" w:hAnsi="Century"/>
          <w:rtl/>
        </w:rPr>
        <w:t xml:space="preserve"> </w:t>
      </w:r>
      <w:r w:rsidRPr="00F02169">
        <w:rPr>
          <w:rFonts w:ascii="Century" w:hAnsi="Century" w:hint="eastAsia"/>
          <w:rtl/>
        </w:rPr>
        <w:t>בקרקע</w:t>
      </w:r>
      <w:r w:rsidRPr="00F02169">
        <w:rPr>
          <w:rFonts w:ascii="Century" w:hAnsi="Century"/>
          <w:rtl/>
        </w:rPr>
        <w:t xml:space="preserve"> </w:t>
      </w:r>
      <w:r w:rsidRPr="00F02169">
        <w:rPr>
          <w:rFonts w:ascii="Century" w:hAnsi="Century" w:hint="eastAsia"/>
          <w:rtl/>
        </w:rPr>
        <w:t>אינה</w:t>
      </w:r>
      <w:r w:rsidRPr="00F02169">
        <w:rPr>
          <w:rFonts w:ascii="Century" w:hAnsi="Century"/>
          <w:rtl/>
        </w:rPr>
        <w:t xml:space="preserve"> </w:t>
      </w:r>
      <w:r w:rsidRPr="00F02169">
        <w:rPr>
          <w:rFonts w:ascii="Century" w:hAnsi="Century" w:hint="eastAsia"/>
          <w:rtl/>
        </w:rPr>
        <w:t>נעשית</w:t>
      </w:r>
      <w:r w:rsidRPr="00F02169">
        <w:rPr>
          <w:rFonts w:ascii="Century" w:hAnsi="Century"/>
          <w:rtl/>
        </w:rPr>
        <w:t xml:space="preserve"> </w:t>
      </w:r>
      <w:r w:rsidRPr="00F02169">
        <w:rPr>
          <w:rFonts w:ascii="Century" w:hAnsi="Century" w:hint="eastAsia"/>
          <w:rtl/>
        </w:rPr>
        <w:t>מתוך</w:t>
      </w:r>
      <w:r w:rsidRPr="00F02169">
        <w:rPr>
          <w:rFonts w:ascii="Century" w:hAnsi="Century"/>
          <w:rtl/>
        </w:rPr>
        <w:t xml:space="preserve"> </w:t>
      </w:r>
      <w:r w:rsidRPr="00F02169">
        <w:rPr>
          <w:rFonts w:ascii="Century" w:hAnsi="Century" w:hint="eastAsia"/>
          <w:rtl/>
        </w:rPr>
        <w:t>הסכמתו</w:t>
      </w:r>
      <w:r w:rsidRPr="00F02169">
        <w:rPr>
          <w:rFonts w:ascii="Century" w:hAnsi="Century"/>
          <w:rtl/>
        </w:rPr>
        <w:t xml:space="preserve"> </w:t>
      </w:r>
      <w:r w:rsidRPr="00F02169">
        <w:rPr>
          <w:rFonts w:ascii="Century" w:hAnsi="Century" w:hint="eastAsia"/>
          <w:rtl/>
        </w:rPr>
        <w:t>ורשותו</w:t>
      </w:r>
      <w:r w:rsidRPr="00F02169">
        <w:rPr>
          <w:rFonts w:ascii="Century" w:hAnsi="Century"/>
          <w:rtl/>
        </w:rPr>
        <w:t xml:space="preserve"> </w:t>
      </w:r>
      <w:r w:rsidRPr="00F02169">
        <w:rPr>
          <w:rFonts w:ascii="Century" w:hAnsi="Century" w:hint="eastAsia"/>
          <w:rtl/>
        </w:rPr>
        <w:t>של</w:t>
      </w:r>
      <w:r w:rsidRPr="00F02169">
        <w:rPr>
          <w:rFonts w:ascii="Century" w:hAnsi="Century"/>
          <w:rtl/>
        </w:rPr>
        <w:t xml:space="preserve"> </w:t>
      </w:r>
      <w:r w:rsidRPr="00F02169">
        <w:rPr>
          <w:rFonts w:ascii="Century" w:hAnsi="Century" w:hint="eastAsia"/>
          <w:rtl/>
        </w:rPr>
        <w:t>הטוען</w:t>
      </w:r>
      <w:r w:rsidRPr="00F02169">
        <w:rPr>
          <w:rFonts w:ascii="Century" w:hAnsi="Century"/>
          <w:rtl/>
        </w:rPr>
        <w:t xml:space="preserve"> </w:t>
      </w:r>
      <w:r w:rsidRPr="00F02169">
        <w:rPr>
          <w:rFonts w:ascii="Century" w:hAnsi="Century" w:hint="eastAsia"/>
          <w:rtl/>
        </w:rPr>
        <w:t>לבעלות</w:t>
      </w:r>
      <w:r w:rsidRPr="00F02169">
        <w:rPr>
          <w:rFonts w:ascii="Century" w:hAnsi="Century"/>
          <w:rtl/>
        </w:rPr>
        <w:t xml:space="preserve"> </w:t>
      </w:r>
      <w:r w:rsidRPr="00F02169">
        <w:rPr>
          <w:rFonts w:ascii="Century" w:hAnsi="Century" w:hint="eastAsia"/>
          <w:rtl/>
        </w:rPr>
        <w:t>בקרקע</w:t>
      </w:r>
      <w:r w:rsidRPr="00F02169">
        <w:rPr>
          <w:rFonts w:ascii="Century" w:hAnsi="Century"/>
          <w:rtl/>
        </w:rPr>
        <w:t xml:space="preserve">, </w:t>
      </w:r>
      <w:r w:rsidRPr="00F02169">
        <w:rPr>
          <w:rFonts w:ascii="Century" w:hAnsi="Century" w:hint="eastAsia"/>
          <w:rtl/>
        </w:rPr>
        <w:t>אלא</w:t>
      </w:r>
      <w:r w:rsidRPr="00F02169">
        <w:rPr>
          <w:rFonts w:ascii="Century" w:hAnsi="Century"/>
          <w:rtl/>
        </w:rPr>
        <w:t xml:space="preserve"> </w:t>
      </w:r>
      <w:r w:rsidRPr="00F02169">
        <w:rPr>
          <w:rFonts w:ascii="Century" w:hAnsi="Century" w:hint="eastAsia"/>
          <w:rtl/>
        </w:rPr>
        <w:t>על</w:t>
      </w:r>
      <w:r w:rsidRPr="00F02169">
        <w:rPr>
          <w:rFonts w:ascii="Century" w:hAnsi="Century"/>
          <w:rtl/>
        </w:rPr>
        <w:t xml:space="preserve"> </w:t>
      </w:r>
      <w:r w:rsidRPr="00F02169">
        <w:rPr>
          <w:rFonts w:ascii="Century" w:hAnsi="Century" w:hint="eastAsia"/>
          <w:rtl/>
        </w:rPr>
        <w:t>אפו</w:t>
      </w:r>
      <w:r w:rsidRPr="00F02169">
        <w:rPr>
          <w:rFonts w:ascii="Century" w:hAnsi="Century"/>
          <w:rtl/>
        </w:rPr>
        <w:t xml:space="preserve"> </w:t>
      </w:r>
      <w:r w:rsidRPr="00F02169">
        <w:rPr>
          <w:rFonts w:ascii="Century" w:hAnsi="Century" w:hint="eastAsia"/>
          <w:rtl/>
        </w:rPr>
        <w:t>ועל</w:t>
      </w:r>
      <w:r w:rsidRPr="00F02169">
        <w:rPr>
          <w:rFonts w:ascii="Century" w:hAnsi="Century"/>
          <w:rtl/>
        </w:rPr>
        <w:t xml:space="preserve"> </w:t>
      </w:r>
      <w:r w:rsidRPr="00F02169">
        <w:rPr>
          <w:rFonts w:ascii="Century" w:hAnsi="Century" w:hint="eastAsia"/>
          <w:rtl/>
        </w:rPr>
        <w:t>חמתו</w:t>
      </w:r>
      <w:r>
        <w:rPr>
          <w:rFonts w:ascii="Century" w:hAnsi="Century" w:hint="cs"/>
          <w:rtl/>
        </w:rPr>
        <w:t xml:space="preserve">" (ע"א 693/04 </w:t>
      </w:r>
      <w:r w:rsidRPr="00A822FA">
        <w:rPr>
          <w:rFonts w:ascii="Century" w:hAnsi="Century" w:cs="Miriam" w:hint="eastAsia"/>
          <w:b/>
          <w:spacing w:val="0"/>
          <w:szCs w:val="24"/>
          <w:rtl/>
        </w:rPr>
        <w:t>אל</w:t>
      </w:r>
      <w:r w:rsidRPr="00A822FA">
        <w:rPr>
          <w:rFonts w:ascii="Century" w:hAnsi="Century" w:cs="Miriam"/>
          <w:b/>
          <w:spacing w:val="0"/>
          <w:szCs w:val="24"/>
          <w:rtl/>
        </w:rPr>
        <w:t xml:space="preserve"> </w:t>
      </w:r>
      <w:r w:rsidRPr="00A822FA">
        <w:rPr>
          <w:rFonts w:ascii="Century" w:hAnsi="Century" w:cs="Miriam" w:hint="eastAsia"/>
          <w:b/>
          <w:spacing w:val="0"/>
          <w:szCs w:val="24"/>
          <w:rtl/>
        </w:rPr>
        <w:t>קימרי</w:t>
      </w:r>
      <w:r w:rsidRPr="00A822FA">
        <w:rPr>
          <w:rFonts w:ascii="Century" w:hAnsi="Century" w:cs="Miriam"/>
          <w:b/>
          <w:spacing w:val="0"/>
          <w:szCs w:val="24"/>
          <w:rtl/>
        </w:rPr>
        <w:t xml:space="preserve"> </w:t>
      </w:r>
      <w:r w:rsidRPr="00A822FA">
        <w:rPr>
          <w:rFonts w:ascii="Century" w:hAnsi="Century" w:cs="Miriam" w:hint="eastAsia"/>
          <w:b/>
          <w:spacing w:val="0"/>
          <w:szCs w:val="24"/>
          <w:rtl/>
        </w:rPr>
        <w:t>נ</w:t>
      </w:r>
      <w:r w:rsidRPr="00A822FA">
        <w:rPr>
          <w:rFonts w:ascii="Century" w:hAnsi="Century" w:cs="Miriam"/>
          <w:b/>
          <w:spacing w:val="0"/>
          <w:szCs w:val="24"/>
          <w:rtl/>
        </w:rPr>
        <w:t xml:space="preserve">' </w:t>
      </w:r>
      <w:r w:rsidRPr="00A822FA">
        <w:rPr>
          <w:rFonts w:ascii="Century" w:hAnsi="Century" w:cs="Miriam" w:hint="eastAsia"/>
          <w:b/>
          <w:spacing w:val="0"/>
          <w:szCs w:val="24"/>
          <w:rtl/>
        </w:rPr>
        <w:t>אל</w:t>
      </w:r>
      <w:r w:rsidRPr="00A822FA">
        <w:rPr>
          <w:rFonts w:ascii="Century" w:hAnsi="Century" w:cs="Miriam"/>
          <w:b/>
          <w:spacing w:val="0"/>
          <w:szCs w:val="24"/>
          <w:rtl/>
        </w:rPr>
        <w:t xml:space="preserve"> </w:t>
      </w:r>
      <w:r w:rsidRPr="00A822FA">
        <w:rPr>
          <w:rFonts w:ascii="Century" w:hAnsi="Century" w:cs="Miriam" w:hint="eastAsia"/>
          <w:b/>
          <w:spacing w:val="0"/>
          <w:szCs w:val="24"/>
          <w:rtl/>
        </w:rPr>
        <w:t>קימרי</w:t>
      </w:r>
      <w:r>
        <w:rPr>
          <w:rFonts w:ascii="Century" w:hAnsi="Century" w:hint="cs"/>
          <w:rtl/>
        </w:rPr>
        <w:t xml:space="preserve">, פסקה 24 (28.9.2007) (להלן: עניין </w:t>
      </w:r>
      <w:r w:rsidRPr="00A822FA">
        <w:rPr>
          <w:rFonts w:ascii="Century" w:hAnsi="Century" w:cs="Miriam" w:hint="eastAsia"/>
          <w:b/>
          <w:spacing w:val="0"/>
          <w:szCs w:val="24"/>
          <w:rtl/>
        </w:rPr>
        <w:t>אל</w:t>
      </w:r>
      <w:r w:rsidRPr="00A822FA">
        <w:rPr>
          <w:rFonts w:ascii="Century" w:hAnsi="Century" w:cs="Miriam"/>
          <w:b/>
          <w:spacing w:val="0"/>
          <w:szCs w:val="24"/>
          <w:rtl/>
        </w:rPr>
        <w:t xml:space="preserve"> </w:t>
      </w:r>
      <w:r w:rsidRPr="00A822FA">
        <w:rPr>
          <w:rFonts w:ascii="Century" w:hAnsi="Century" w:cs="Miriam" w:hint="eastAsia"/>
          <w:b/>
          <w:spacing w:val="0"/>
          <w:szCs w:val="24"/>
          <w:rtl/>
        </w:rPr>
        <w:t>קימרי</w:t>
      </w:r>
      <w:r>
        <w:rPr>
          <w:rFonts w:ascii="Century" w:hAnsi="Century" w:hint="cs"/>
          <w:rtl/>
        </w:rPr>
        <w:t>)). המקרים המורכבים שבהם מתעוררת שאלה בנוגע לקיומה של החזקה נוגדת מתרחשים כאשר ישנן ראיות המלמדות באופן לא חד משמעי על הסכמה של בעל הזכויות במקרקעין להחזקה. במקרים אלה נעזרה הפסיקה במבחנים הנוגעים לטיב היחסים בין הצדדים: כך, אם מדובר בקרובי משפחה למשל, ניתן להניח שמדובר בהחזקה בהסכמה, ואילו אם מדובר באנשים זרים זה לזה מבחינה חברתית ומשפטית, ההנחה תהיה שההחזקה היא נוגדת כל עוד התובע לא הוכיח אחרת. כך צוין בעניין זה בעבר:</w:t>
      </w:r>
    </w:p>
    <w:p w:rsidR="00761030" w:rsidRDefault="00761030" w:rsidP="00761030">
      <w:pPr>
        <w:pStyle w:val="Ruller5"/>
        <w:spacing w:before="240"/>
        <w:rPr>
          <w:rtl/>
        </w:rPr>
      </w:pPr>
      <w:r>
        <w:rPr>
          <w:rFonts w:hint="cs"/>
          <w:rtl/>
        </w:rPr>
        <w:t>"</w:t>
      </w:r>
      <w:r w:rsidRPr="00AE1B93">
        <w:rPr>
          <w:rFonts w:hint="eastAsia"/>
          <w:rtl/>
        </w:rPr>
        <w:t>לעניין</w:t>
      </w:r>
      <w:r w:rsidRPr="00AE1B93">
        <w:rPr>
          <w:rtl/>
        </w:rPr>
        <w:t xml:space="preserve"> </w:t>
      </w:r>
      <w:r w:rsidRPr="00AE1B93">
        <w:rPr>
          <w:rFonts w:hint="eastAsia"/>
          <w:rtl/>
        </w:rPr>
        <w:t>בחינתם</w:t>
      </w:r>
      <w:r w:rsidRPr="00AE1B93">
        <w:rPr>
          <w:rtl/>
        </w:rPr>
        <w:t xml:space="preserve"> </w:t>
      </w:r>
      <w:r w:rsidRPr="00AE1B93">
        <w:rPr>
          <w:rFonts w:hint="eastAsia"/>
          <w:rtl/>
        </w:rPr>
        <w:t>של</w:t>
      </w:r>
      <w:r w:rsidRPr="00AE1B93">
        <w:rPr>
          <w:rtl/>
        </w:rPr>
        <w:t xml:space="preserve"> </w:t>
      </w:r>
      <w:r w:rsidRPr="00AE1B93">
        <w:rPr>
          <w:rFonts w:hint="eastAsia"/>
          <w:rtl/>
        </w:rPr>
        <w:t>טיב</w:t>
      </w:r>
      <w:r w:rsidRPr="00AE1B93">
        <w:rPr>
          <w:rtl/>
        </w:rPr>
        <w:t xml:space="preserve"> </w:t>
      </w:r>
      <w:r w:rsidRPr="00AE1B93">
        <w:rPr>
          <w:rFonts w:hint="eastAsia"/>
          <w:rtl/>
        </w:rPr>
        <w:t>היחסים</w:t>
      </w:r>
      <w:r w:rsidRPr="00AE1B93">
        <w:rPr>
          <w:rtl/>
        </w:rPr>
        <w:t xml:space="preserve"> </w:t>
      </w:r>
      <w:r w:rsidRPr="00AE1B93">
        <w:rPr>
          <w:rFonts w:hint="eastAsia"/>
          <w:rtl/>
        </w:rPr>
        <w:t>בין</w:t>
      </w:r>
      <w:r w:rsidRPr="00AE1B93">
        <w:rPr>
          <w:rtl/>
        </w:rPr>
        <w:t xml:space="preserve"> </w:t>
      </w:r>
      <w:r w:rsidRPr="00AE1B93">
        <w:rPr>
          <w:rFonts w:hint="eastAsia"/>
          <w:rtl/>
        </w:rPr>
        <w:t>המחזיקים</w:t>
      </w:r>
      <w:r w:rsidRPr="00AE1B93">
        <w:rPr>
          <w:rtl/>
        </w:rPr>
        <w:t xml:space="preserve"> </w:t>
      </w:r>
      <w:r w:rsidRPr="00AE1B93">
        <w:rPr>
          <w:rFonts w:hint="eastAsia"/>
          <w:rtl/>
        </w:rPr>
        <w:t>ליריבו</w:t>
      </w:r>
      <w:r w:rsidRPr="00AE1B93">
        <w:rPr>
          <w:rtl/>
        </w:rPr>
        <w:t xml:space="preserve">, </w:t>
      </w:r>
      <w:r w:rsidRPr="00AE1B93">
        <w:rPr>
          <w:rFonts w:hint="eastAsia"/>
          <w:rtl/>
        </w:rPr>
        <w:t>וככל</w:t>
      </w:r>
      <w:r w:rsidRPr="00AE1B93">
        <w:rPr>
          <w:rtl/>
        </w:rPr>
        <w:t xml:space="preserve"> </w:t>
      </w:r>
      <w:r w:rsidRPr="00AE1B93">
        <w:rPr>
          <w:rFonts w:hint="eastAsia"/>
          <w:rtl/>
        </w:rPr>
        <w:t>שהם</w:t>
      </w:r>
      <w:r w:rsidRPr="00AE1B93">
        <w:rPr>
          <w:rtl/>
        </w:rPr>
        <w:t xml:space="preserve"> </w:t>
      </w:r>
      <w:r>
        <w:rPr>
          <w:rFonts w:hint="cs"/>
          <w:rtl/>
        </w:rPr>
        <w:t>'</w:t>
      </w:r>
      <w:r w:rsidRPr="00AE1B93">
        <w:rPr>
          <w:rFonts w:hint="eastAsia"/>
          <w:rtl/>
        </w:rPr>
        <w:t>זרים</w:t>
      </w:r>
      <w:r>
        <w:rPr>
          <w:rFonts w:hint="cs"/>
          <w:rtl/>
        </w:rPr>
        <w:t>'</w:t>
      </w:r>
      <w:r w:rsidRPr="00AE1B93">
        <w:rPr>
          <w:rtl/>
        </w:rPr>
        <w:t xml:space="preserve"> </w:t>
      </w:r>
      <w:r w:rsidRPr="00AE1B93">
        <w:rPr>
          <w:rFonts w:hint="eastAsia"/>
          <w:rtl/>
        </w:rPr>
        <w:t>זה</w:t>
      </w:r>
      <w:r w:rsidRPr="00AE1B93">
        <w:rPr>
          <w:rtl/>
        </w:rPr>
        <w:t xml:space="preserve"> </w:t>
      </w:r>
      <w:r w:rsidRPr="00AE1B93">
        <w:rPr>
          <w:rFonts w:hint="eastAsia"/>
          <w:rtl/>
        </w:rPr>
        <w:t>לזה</w:t>
      </w:r>
      <w:r w:rsidRPr="00AE1B93">
        <w:rPr>
          <w:rtl/>
        </w:rPr>
        <w:t xml:space="preserve">, </w:t>
      </w:r>
      <w:r w:rsidRPr="00AE1B93">
        <w:rPr>
          <w:rFonts w:hint="eastAsia"/>
          <w:rtl/>
        </w:rPr>
        <w:t>סביר</w:t>
      </w:r>
      <w:r w:rsidRPr="00AE1B93">
        <w:rPr>
          <w:rtl/>
        </w:rPr>
        <w:t xml:space="preserve"> </w:t>
      </w:r>
      <w:r w:rsidRPr="00AE1B93">
        <w:rPr>
          <w:rFonts w:hint="eastAsia"/>
          <w:rtl/>
        </w:rPr>
        <w:t>שהמדובר</w:t>
      </w:r>
      <w:r w:rsidRPr="00AE1B93">
        <w:rPr>
          <w:rtl/>
        </w:rPr>
        <w:t xml:space="preserve"> </w:t>
      </w:r>
      <w:r w:rsidRPr="00AE1B93">
        <w:rPr>
          <w:rFonts w:hint="eastAsia"/>
          <w:rtl/>
        </w:rPr>
        <w:t>בהחזקה</w:t>
      </w:r>
      <w:r w:rsidRPr="00AE1B93">
        <w:rPr>
          <w:rtl/>
        </w:rPr>
        <w:t xml:space="preserve"> </w:t>
      </w:r>
      <w:r w:rsidRPr="00AE1B93">
        <w:rPr>
          <w:rFonts w:hint="eastAsia"/>
          <w:rtl/>
        </w:rPr>
        <w:t>נוגדת</w:t>
      </w:r>
      <w:r>
        <w:rPr>
          <w:rtl/>
        </w:rPr>
        <w:t xml:space="preserve">: </w:t>
      </w:r>
      <w:r>
        <w:rPr>
          <w:rFonts w:hint="cs"/>
          <w:rtl/>
        </w:rPr>
        <w:t>'</w:t>
      </w:r>
      <w:r w:rsidRPr="00AE1B93">
        <w:rPr>
          <w:rFonts w:hint="eastAsia"/>
          <w:rtl/>
        </w:rPr>
        <w:t>מאחורי</w:t>
      </w:r>
      <w:r w:rsidRPr="00AE1B93">
        <w:rPr>
          <w:rtl/>
        </w:rPr>
        <w:t xml:space="preserve"> </w:t>
      </w:r>
      <w:r w:rsidRPr="00AE1B93">
        <w:rPr>
          <w:rFonts w:hint="eastAsia"/>
          <w:rtl/>
        </w:rPr>
        <w:t>הנחה</w:t>
      </w:r>
      <w:r w:rsidRPr="00AE1B93">
        <w:rPr>
          <w:rtl/>
        </w:rPr>
        <w:t xml:space="preserve"> </w:t>
      </w:r>
      <w:r w:rsidRPr="00AE1B93">
        <w:rPr>
          <w:rFonts w:hint="eastAsia"/>
          <w:rtl/>
        </w:rPr>
        <w:t>זו</w:t>
      </w:r>
      <w:r w:rsidRPr="00AE1B93">
        <w:rPr>
          <w:rtl/>
        </w:rPr>
        <w:t xml:space="preserve"> </w:t>
      </w:r>
      <w:r w:rsidRPr="00AE1B93">
        <w:rPr>
          <w:rFonts w:hint="eastAsia"/>
          <w:rtl/>
        </w:rPr>
        <w:t>עומד</w:t>
      </w:r>
      <w:r w:rsidRPr="00AE1B93">
        <w:rPr>
          <w:rtl/>
        </w:rPr>
        <w:t xml:space="preserve"> </w:t>
      </w:r>
      <w:r w:rsidRPr="00AE1B93">
        <w:rPr>
          <w:rFonts w:hint="eastAsia"/>
          <w:rtl/>
        </w:rPr>
        <w:t>ניסיון</w:t>
      </w:r>
      <w:r w:rsidRPr="00AE1B93">
        <w:rPr>
          <w:rtl/>
        </w:rPr>
        <w:t xml:space="preserve"> </w:t>
      </w:r>
      <w:r w:rsidRPr="00AE1B93">
        <w:rPr>
          <w:rFonts w:hint="eastAsia"/>
          <w:rtl/>
        </w:rPr>
        <w:t>החיים</w:t>
      </w:r>
      <w:r w:rsidRPr="00AE1B93">
        <w:rPr>
          <w:rtl/>
        </w:rPr>
        <w:t xml:space="preserve"> </w:t>
      </w:r>
      <w:r w:rsidRPr="00AE1B93">
        <w:rPr>
          <w:rFonts w:hint="eastAsia"/>
          <w:rtl/>
        </w:rPr>
        <w:t>המלמד</w:t>
      </w:r>
      <w:r w:rsidRPr="00AE1B93">
        <w:rPr>
          <w:rtl/>
        </w:rPr>
        <w:t xml:space="preserve"> </w:t>
      </w:r>
      <w:r w:rsidRPr="00AE1B93">
        <w:rPr>
          <w:rFonts w:hint="eastAsia"/>
          <w:rtl/>
        </w:rPr>
        <w:t>כי</w:t>
      </w:r>
      <w:r w:rsidRPr="00AE1B93">
        <w:rPr>
          <w:rtl/>
        </w:rPr>
        <w:t xml:space="preserve">, </w:t>
      </w:r>
      <w:r w:rsidRPr="00AE1B93">
        <w:rPr>
          <w:rFonts w:hint="eastAsia"/>
          <w:rtl/>
        </w:rPr>
        <w:t>מחד</w:t>
      </w:r>
      <w:r w:rsidRPr="00AE1B93">
        <w:rPr>
          <w:rtl/>
        </w:rPr>
        <w:t xml:space="preserve"> </w:t>
      </w:r>
      <w:r w:rsidRPr="00AE1B93">
        <w:rPr>
          <w:rFonts w:hint="eastAsia"/>
          <w:rtl/>
        </w:rPr>
        <w:t>גיסא</w:t>
      </w:r>
      <w:r w:rsidRPr="00AE1B93">
        <w:rPr>
          <w:rtl/>
        </w:rPr>
        <w:t xml:space="preserve">, </w:t>
      </w:r>
      <w:r w:rsidRPr="00AE1B93">
        <w:rPr>
          <w:rFonts w:hint="eastAsia"/>
          <w:rtl/>
        </w:rPr>
        <w:t>מי</w:t>
      </w:r>
      <w:r w:rsidRPr="00AE1B93">
        <w:rPr>
          <w:rtl/>
        </w:rPr>
        <w:t xml:space="preserve"> </w:t>
      </w:r>
      <w:r w:rsidRPr="00AE1B93">
        <w:rPr>
          <w:rFonts w:hint="eastAsia"/>
          <w:rtl/>
        </w:rPr>
        <w:t>שנוטל</w:t>
      </w:r>
      <w:r w:rsidRPr="00AE1B93">
        <w:rPr>
          <w:rtl/>
        </w:rPr>
        <w:t xml:space="preserve"> </w:t>
      </w:r>
      <w:r w:rsidRPr="00AE1B93">
        <w:rPr>
          <w:rFonts w:hint="eastAsia"/>
          <w:rtl/>
        </w:rPr>
        <w:t>החזקה</w:t>
      </w:r>
      <w:r w:rsidRPr="00AE1B93">
        <w:rPr>
          <w:rtl/>
        </w:rPr>
        <w:t xml:space="preserve"> </w:t>
      </w:r>
      <w:r w:rsidRPr="00AE1B93">
        <w:rPr>
          <w:rFonts w:hint="eastAsia"/>
          <w:rtl/>
        </w:rPr>
        <w:t>במקרקעי</w:t>
      </w:r>
      <w:r w:rsidRPr="00AE1B93">
        <w:rPr>
          <w:rtl/>
        </w:rPr>
        <w:t xml:space="preserve"> </w:t>
      </w:r>
      <w:r w:rsidRPr="00AE1B93">
        <w:rPr>
          <w:rFonts w:hint="eastAsia"/>
          <w:rtl/>
        </w:rPr>
        <w:t>הזולת</w:t>
      </w:r>
      <w:r w:rsidRPr="00AE1B93">
        <w:rPr>
          <w:rtl/>
        </w:rPr>
        <w:t xml:space="preserve"> </w:t>
      </w:r>
      <w:r w:rsidRPr="00AE1B93">
        <w:rPr>
          <w:rFonts w:hint="eastAsia"/>
          <w:rtl/>
        </w:rPr>
        <w:t>הזר</w:t>
      </w:r>
      <w:r w:rsidRPr="00AE1B93">
        <w:rPr>
          <w:rtl/>
        </w:rPr>
        <w:t xml:space="preserve"> </w:t>
      </w:r>
      <w:r w:rsidRPr="00AE1B93">
        <w:rPr>
          <w:rFonts w:hint="eastAsia"/>
          <w:rtl/>
        </w:rPr>
        <w:t>לו</w:t>
      </w:r>
      <w:r w:rsidRPr="00AE1B93">
        <w:rPr>
          <w:rtl/>
        </w:rPr>
        <w:t xml:space="preserve"> </w:t>
      </w:r>
      <w:r w:rsidRPr="00AE1B93">
        <w:rPr>
          <w:rFonts w:hint="eastAsia"/>
          <w:rtl/>
        </w:rPr>
        <w:t>עושה</w:t>
      </w:r>
      <w:r w:rsidRPr="00AE1B93">
        <w:rPr>
          <w:rtl/>
        </w:rPr>
        <w:t xml:space="preserve"> </w:t>
      </w:r>
      <w:r w:rsidRPr="00AE1B93">
        <w:rPr>
          <w:rFonts w:hint="eastAsia"/>
          <w:rtl/>
        </w:rPr>
        <w:t>זאת</w:t>
      </w:r>
      <w:r w:rsidRPr="00AE1B93">
        <w:rPr>
          <w:rtl/>
        </w:rPr>
        <w:t xml:space="preserve"> </w:t>
      </w:r>
      <w:r w:rsidRPr="00AE1B93">
        <w:rPr>
          <w:rFonts w:hint="eastAsia"/>
          <w:rtl/>
        </w:rPr>
        <w:t>כדי</w:t>
      </w:r>
      <w:r w:rsidRPr="00AE1B93">
        <w:rPr>
          <w:rtl/>
        </w:rPr>
        <w:t xml:space="preserve"> </w:t>
      </w:r>
      <w:r w:rsidRPr="00AE1B93">
        <w:rPr>
          <w:rFonts w:hint="eastAsia"/>
          <w:rtl/>
        </w:rPr>
        <w:t>להנות</w:t>
      </w:r>
      <w:r w:rsidRPr="00AE1B93">
        <w:rPr>
          <w:rtl/>
        </w:rPr>
        <w:t xml:space="preserve"> </w:t>
      </w:r>
      <w:r w:rsidRPr="00AE1B93">
        <w:rPr>
          <w:rFonts w:hint="eastAsia"/>
          <w:rtl/>
        </w:rPr>
        <w:t>את</w:t>
      </w:r>
      <w:r w:rsidRPr="00AE1B93">
        <w:rPr>
          <w:rtl/>
        </w:rPr>
        <w:t xml:space="preserve"> </w:t>
      </w:r>
      <w:r w:rsidRPr="00AE1B93">
        <w:rPr>
          <w:rFonts w:hint="eastAsia"/>
          <w:rtl/>
        </w:rPr>
        <w:t>עצמו</w:t>
      </w:r>
      <w:r w:rsidRPr="00AE1B93">
        <w:rPr>
          <w:rtl/>
        </w:rPr>
        <w:t xml:space="preserve"> </w:t>
      </w:r>
      <w:r w:rsidRPr="00AE1B93">
        <w:rPr>
          <w:rFonts w:hint="eastAsia"/>
          <w:rtl/>
        </w:rPr>
        <w:t>על</w:t>
      </w:r>
      <w:r w:rsidRPr="00AE1B93">
        <w:rPr>
          <w:rtl/>
        </w:rPr>
        <w:t xml:space="preserve"> </w:t>
      </w:r>
      <w:r w:rsidRPr="00AE1B93">
        <w:rPr>
          <w:rFonts w:hint="eastAsia"/>
          <w:rtl/>
        </w:rPr>
        <w:t>חשבון</w:t>
      </w:r>
      <w:r w:rsidRPr="00AE1B93">
        <w:rPr>
          <w:rtl/>
        </w:rPr>
        <w:t xml:space="preserve"> </w:t>
      </w:r>
      <w:r w:rsidRPr="00AE1B93">
        <w:rPr>
          <w:rFonts w:hint="eastAsia"/>
          <w:rtl/>
        </w:rPr>
        <w:t>הזולת</w:t>
      </w:r>
      <w:r w:rsidRPr="00AE1B93">
        <w:rPr>
          <w:rtl/>
        </w:rPr>
        <w:t xml:space="preserve">, </w:t>
      </w:r>
      <w:r w:rsidRPr="00AE1B93">
        <w:rPr>
          <w:rFonts w:hint="eastAsia"/>
          <w:rtl/>
        </w:rPr>
        <w:t>ומאידך</w:t>
      </w:r>
      <w:r w:rsidRPr="00AE1B93">
        <w:rPr>
          <w:rtl/>
        </w:rPr>
        <w:t xml:space="preserve"> </w:t>
      </w:r>
      <w:r w:rsidRPr="00AE1B93">
        <w:rPr>
          <w:rFonts w:hint="eastAsia"/>
          <w:rtl/>
        </w:rPr>
        <w:t>גיסא</w:t>
      </w:r>
      <w:r w:rsidRPr="00AE1B93">
        <w:rPr>
          <w:rtl/>
        </w:rPr>
        <w:t xml:space="preserve">, </w:t>
      </w:r>
      <w:r w:rsidRPr="00AE1B93">
        <w:rPr>
          <w:rFonts w:hint="eastAsia"/>
          <w:rtl/>
        </w:rPr>
        <w:t>שאין</w:t>
      </w:r>
      <w:r w:rsidRPr="00AE1B93">
        <w:rPr>
          <w:rtl/>
        </w:rPr>
        <w:t xml:space="preserve"> </w:t>
      </w:r>
      <w:r w:rsidRPr="00AE1B93">
        <w:rPr>
          <w:rFonts w:hint="eastAsia"/>
          <w:rtl/>
        </w:rPr>
        <w:t>דרכו</w:t>
      </w:r>
      <w:r w:rsidRPr="00AE1B93">
        <w:rPr>
          <w:rtl/>
        </w:rPr>
        <w:t xml:space="preserve"> </w:t>
      </w:r>
      <w:r w:rsidRPr="00AE1B93">
        <w:rPr>
          <w:rFonts w:hint="eastAsia"/>
          <w:rtl/>
        </w:rPr>
        <w:t>של</w:t>
      </w:r>
      <w:r w:rsidRPr="00AE1B93">
        <w:rPr>
          <w:rtl/>
        </w:rPr>
        <w:t xml:space="preserve"> </w:t>
      </w:r>
      <w:r w:rsidRPr="00AE1B93">
        <w:rPr>
          <w:rFonts w:hint="eastAsia"/>
          <w:rtl/>
        </w:rPr>
        <w:t>אדם</w:t>
      </w:r>
      <w:r w:rsidRPr="00AE1B93">
        <w:rPr>
          <w:rtl/>
        </w:rPr>
        <w:t xml:space="preserve"> </w:t>
      </w:r>
      <w:r w:rsidRPr="00AE1B93">
        <w:rPr>
          <w:rFonts w:hint="eastAsia"/>
          <w:rtl/>
        </w:rPr>
        <w:t>להסכים</w:t>
      </w:r>
      <w:r w:rsidRPr="00AE1B93">
        <w:rPr>
          <w:rtl/>
        </w:rPr>
        <w:t xml:space="preserve"> </w:t>
      </w:r>
      <w:r w:rsidRPr="00AE1B93">
        <w:rPr>
          <w:rFonts w:hint="eastAsia"/>
          <w:rtl/>
        </w:rPr>
        <w:t>להחזקת</w:t>
      </w:r>
      <w:r w:rsidRPr="00AE1B93">
        <w:rPr>
          <w:rtl/>
        </w:rPr>
        <w:t xml:space="preserve"> </w:t>
      </w:r>
      <w:r w:rsidRPr="00AE1B93">
        <w:rPr>
          <w:rFonts w:hint="eastAsia"/>
          <w:rtl/>
        </w:rPr>
        <w:t>זר</w:t>
      </w:r>
      <w:r>
        <w:rPr>
          <w:rFonts w:hint="cs"/>
          <w:rtl/>
        </w:rPr>
        <w:t xml:space="preserve"> </w:t>
      </w:r>
      <w:r w:rsidRPr="00AE1B93">
        <w:rPr>
          <w:rFonts w:hint="eastAsia"/>
          <w:rtl/>
        </w:rPr>
        <w:t>במקרקעין</w:t>
      </w:r>
      <w:r>
        <w:rPr>
          <w:rFonts w:hint="cs"/>
          <w:rtl/>
        </w:rPr>
        <w:t>'</w:t>
      </w:r>
      <w:r w:rsidRPr="00AE1B93">
        <w:rPr>
          <w:rtl/>
        </w:rPr>
        <w:t xml:space="preserve">. </w:t>
      </w:r>
      <w:r w:rsidRPr="00AE1B93">
        <w:rPr>
          <w:rFonts w:hint="eastAsia"/>
          <w:rtl/>
        </w:rPr>
        <w:t>אוסיף</w:t>
      </w:r>
      <w:r w:rsidRPr="00AE1B93">
        <w:rPr>
          <w:rtl/>
        </w:rPr>
        <w:t xml:space="preserve">, </w:t>
      </w:r>
      <w:r w:rsidRPr="00AE1B93">
        <w:rPr>
          <w:rFonts w:hint="eastAsia"/>
          <w:rtl/>
        </w:rPr>
        <w:t>כי</w:t>
      </w:r>
      <w:r w:rsidRPr="00AE1B93">
        <w:rPr>
          <w:rtl/>
        </w:rPr>
        <w:t xml:space="preserve"> </w:t>
      </w:r>
      <w:r w:rsidRPr="00AE1B93">
        <w:rPr>
          <w:rFonts w:hint="eastAsia"/>
          <w:rtl/>
        </w:rPr>
        <w:t>דברים</w:t>
      </w:r>
      <w:r w:rsidRPr="00AE1B93">
        <w:rPr>
          <w:rtl/>
        </w:rPr>
        <w:t xml:space="preserve"> </w:t>
      </w:r>
      <w:r w:rsidRPr="00AE1B93">
        <w:rPr>
          <w:rFonts w:hint="eastAsia"/>
          <w:rtl/>
        </w:rPr>
        <w:t>אלה</w:t>
      </w:r>
      <w:r w:rsidRPr="00AE1B93">
        <w:rPr>
          <w:rtl/>
        </w:rPr>
        <w:t xml:space="preserve"> </w:t>
      </w:r>
      <w:r w:rsidRPr="00AE1B93">
        <w:rPr>
          <w:rFonts w:hint="eastAsia"/>
          <w:rtl/>
        </w:rPr>
        <w:t>מחזקים</w:t>
      </w:r>
      <w:r w:rsidRPr="00AE1B93">
        <w:rPr>
          <w:rtl/>
        </w:rPr>
        <w:t xml:space="preserve"> </w:t>
      </w:r>
      <w:r w:rsidRPr="00AE1B93">
        <w:rPr>
          <w:rFonts w:hint="eastAsia"/>
          <w:rtl/>
        </w:rPr>
        <w:t>את</w:t>
      </w:r>
      <w:r w:rsidRPr="00AE1B93">
        <w:rPr>
          <w:rtl/>
        </w:rPr>
        <w:t xml:space="preserve"> </w:t>
      </w:r>
      <w:r w:rsidRPr="00AE1B93">
        <w:rPr>
          <w:rFonts w:hint="eastAsia"/>
          <w:rtl/>
        </w:rPr>
        <w:t>האמור</w:t>
      </w:r>
      <w:r w:rsidRPr="00AE1B93">
        <w:rPr>
          <w:rtl/>
        </w:rPr>
        <w:t xml:space="preserve"> </w:t>
      </w:r>
      <w:r w:rsidRPr="00AE1B93">
        <w:rPr>
          <w:rFonts w:hint="eastAsia"/>
          <w:rtl/>
        </w:rPr>
        <w:t>מעלה</w:t>
      </w:r>
      <w:r w:rsidRPr="00AE1B93">
        <w:rPr>
          <w:rtl/>
        </w:rPr>
        <w:t xml:space="preserve"> </w:t>
      </w:r>
      <w:r w:rsidRPr="00AE1B93">
        <w:rPr>
          <w:rFonts w:hint="eastAsia"/>
          <w:rtl/>
        </w:rPr>
        <w:t>באשר</w:t>
      </w:r>
      <w:r w:rsidRPr="00AE1B93">
        <w:rPr>
          <w:rtl/>
        </w:rPr>
        <w:t xml:space="preserve"> </w:t>
      </w:r>
      <w:r w:rsidRPr="00AE1B93">
        <w:rPr>
          <w:rFonts w:hint="eastAsia"/>
          <w:rtl/>
        </w:rPr>
        <w:t>למדינה</w:t>
      </w:r>
      <w:r w:rsidRPr="00AE1B93">
        <w:rPr>
          <w:rtl/>
        </w:rPr>
        <w:t xml:space="preserve">, </w:t>
      </w:r>
      <w:r w:rsidRPr="00AE1B93">
        <w:rPr>
          <w:rFonts w:hint="eastAsia"/>
          <w:rtl/>
        </w:rPr>
        <w:t>אותו</w:t>
      </w:r>
      <w:r w:rsidRPr="00AE1B93">
        <w:rPr>
          <w:rtl/>
        </w:rPr>
        <w:t xml:space="preserve"> </w:t>
      </w:r>
      <w:r w:rsidRPr="00AE1B93">
        <w:rPr>
          <w:rFonts w:hint="eastAsia"/>
          <w:rtl/>
        </w:rPr>
        <w:t>גוף</w:t>
      </w:r>
      <w:r w:rsidRPr="00AE1B93">
        <w:rPr>
          <w:rtl/>
        </w:rPr>
        <w:t xml:space="preserve"> </w:t>
      </w:r>
      <w:r w:rsidRPr="00AE1B93">
        <w:rPr>
          <w:rFonts w:hint="eastAsia"/>
          <w:rtl/>
        </w:rPr>
        <w:t>גדול</w:t>
      </w:r>
      <w:r w:rsidRPr="00AE1B93">
        <w:rPr>
          <w:rtl/>
        </w:rPr>
        <w:t xml:space="preserve"> </w:t>
      </w:r>
      <w:r w:rsidRPr="00AE1B93">
        <w:rPr>
          <w:rFonts w:hint="eastAsia"/>
          <w:rtl/>
        </w:rPr>
        <w:t>ומסורבל</w:t>
      </w:r>
      <w:r w:rsidRPr="00AE1B93">
        <w:rPr>
          <w:rtl/>
        </w:rPr>
        <w:t xml:space="preserve"> </w:t>
      </w:r>
      <w:r w:rsidRPr="00AE1B93">
        <w:rPr>
          <w:rFonts w:hint="eastAsia"/>
          <w:rtl/>
        </w:rPr>
        <w:t>בעל</w:t>
      </w:r>
      <w:r w:rsidRPr="00AE1B93">
        <w:rPr>
          <w:rtl/>
        </w:rPr>
        <w:t xml:space="preserve"> </w:t>
      </w:r>
      <w:r w:rsidRPr="00AE1B93">
        <w:rPr>
          <w:rFonts w:hint="eastAsia"/>
          <w:rtl/>
        </w:rPr>
        <w:t>מקרקעין</w:t>
      </w:r>
      <w:r w:rsidRPr="00AE1B93">
        <w:rPr>
          <w:rtl/>
        </w:rPr>
        <w:t xml:space="preserve"> </w:t>
      </w:r>
      <w:r w:rsidRPr="00AE1B93">
        <w:rPr>
          <w:rFonts w:hint="eastAsia"/>
          <w:rtl/>
        </w:rPr>
        <w:t>רבים</w:t>
      </w:r>
      <w:r w:rsidRPr="00AE1B93">
        <w:rPr>
          <w:rtl/>
        </w:rPr>
        <w:t xml:space="preserve">, </w:t>
      </w:r>
      <w:r w:rsidRPr="00AE1B93">
        <w:rPr>
          <w:rFonts w:hint="eastAsia"/>
          <w:rtl/>
        </w:rPr>
        <w:t>שבוודאי</w:t>
      </w:r>
      <w:r w:rsidRPr="00AE1B93">
        <w:rPr>
          <w:rtl/>
        </w:rPr>
        <w:t xml:space="preserve"> </w:t>
      </w:r>
      <w:r w:rsidRPr="00AE1B93">
        <w:rPr>
          <w:rFonts w:hint="eastAsia"/>
          <w:rtl/>
        </w:rPr>
        <w:t>אין</w:t>
      </w:r>
      <w:r w:rsidRPr="00AE1B93">
        <w:rPr>
          <w:rtl/>
        </w:rPr>
        <w:t xml:space="preserve"> </w:t>
      </w:r>
      <w:r w:rsidRPr="00AE1B93">
        <w:rPr>
          <w:rFonts w:hint="eastAsia"/>
          <w:rtl/>
        </w:rPr>
        <w:t>דרכה</w:t>
      </w:r>
      <w:r w:rsidRPr="00AE1B93">
        <w:rPr>
          <w:rtl/>
        </w:rPr>
        <w:t xml:space="preserve"> </w:t>
      </w:r>
      <w:r w:rsidRPr="00AE1B93">
        <w:rPr>
          <w:rFonts w:hint="eastAsia"/>
          <w:rtl/>
        </w:rPr>
        <w:t>להסכים</w:t>
      </w:r>
      <w:r w:rsidRPr="00AE1B93">
        <w:rPr>
          <w:rtl/>
        </w:rPr>
        <w:t xml:space="preserve"> </w:t>
      </w:r>
      <w:r w:rsidRPr="00AE1B93">
        <w:rPr>
          <w:rFonts w:hint="eastAsia"/>
          <w:rtl/>
        </w:rPr>
        <w:t>להחזקת</w:t>
      </w:r>
      <w:r w:rsidRPr="00AE1B93">
        <w:rPr>
          <w:rtl/>
        </w:rPr>
        <w:t xml:space="preserve"> </w:t>
      </w:r>
      <w:r w:rsidRPr="00AE1B93">
        <w:rPr>
          <w:rFonts w:hint="eastAsia"/>
          <w:rtl/>
        </w:rPr>
        <w:t>זר</w:t>
      </w:r>
      <w:r w:rsidRPr="00AE1B93">
        <w:rPr>
          <w:rtl/>
        </w:rPr>
        <w:t xml:space="preserve"> </w:t>
      </w:r>
      <w:r w:rsidRPr="00AE1B93">
        <w:rPr>
          <w:rFonts w:hint="eastAsia"/>
          <w:rtl/>
        </w:rPr>
        <w:t>במקרקעיה</w:t>
      </w:r>
      <w:r w:rsidRPr="00AE1B93">
        <w:rPr>
          <w:rtl/>
        </w:rPr>
        <w:t xml:space="preserve"> – </w:t>
      </w:r>
      <w:r w:rsidRPr="00AE1B93">
        <w:rPr>
          <w:rFonts w:hint="eastAsia"/>
          <w:rtl/>
        </w:rPr>
        <w:t>ואף</w:t>
      </w:r>
      <w:r w:rsidRPr="00AE1B93">
        <w:rPr>
          <w:rtl/>
        </w:rPr>
        <w:t xml:space="preserve"> </w:t>
      </w:r>
      <w:r w:rsidRPr="00AE1B93">
        <w:rPr>
          <w:rFonts w:hint="eastAsia"/>
          <w:rtl/>
        </w:rPr>
        <w:t>אסור</w:t>
      </w:r>
      <w:r w:rsidRPr="00AE1B93">
        <w:rPr>
          <w:rtl/>
        </w:rPr>
        <w:t xml:space="preserve"> </w:t>
      </w:r>
      <w:r w:rsidRPr="00AE1B93">
        <w:rPr>
          <w:rFonts w:hint="eastAsia"/>
          <w:rtl/>
        </w:rPr>
        <w:t>לה</w:t>
      </w:r>
      <w:r w:rsidRPr="00AE1B93">
        <w:rPr>
          <w:rtl/>
        </w:rPr>
        <w:t xml:space="preserve"> </w:t>
      </w:r>
      <w:r w:rsidRPr="00AE1B93">
        <w:rPr>
          <w:rFonts w:hint="eastAsia"/>
          <w:rtl/>
        </w:rPr>
        <w:t>הדבר</w:t>
      </w:r>
      <w:r w:rsidRPr="00AE1B93">
        <w:rPr>
          <w:rtl/>
        </w:rPr>
        <w:t xml:space="preserve"> </w:t>
      </w:r>
      <w:r w:rsidRPr="00AE1B93">
        <w:rPr>
          <w:rFonts w:hint="eastAsia"/>
          <w:rtl/>
        </w:rPr>
        <w:t>אלא</w:t>
      </w:r>
      <w:r w:rsidRPr="00AE1B93">
        <w:rPr>
          <w:rtl/>
        </w:rPr>
        <w:t xml:space="preserve"> </w:t>
      </w:r>
      <w:r w:rsidRPr="00AE1B93">
        <w:rPr>
          <w:rFonts w:hint="eastAsia"/>
          <w:rtl/>
        </w:rPr>
        <w:t>על</w:t>
      </w:r>
      <w:r w:rsidRPr="00AE1B93">
        <w:rPr>
          <w:rtl/>
        </w:rPr>
        <w:t xml:space="preserve"> </w:t>
      </w:r>
      <w:r w:rsidRPr="00AE1B93">
        <w:rPr>
          <w:rFonts w:hint="eastAsia"/>
          <w:rtl/>
        </w:rPr>
        <w:t>פי</w:t>
      </w:r>
      <w:r w:rsidRPr="00AE1B93">
        <w:rPr>
          <w:rtl/>
        </w:rPr>
        <w:t xml:space="preserve"> </w:t>
      </w:r>
      <w:r w:rsidRPr="00AE1B93">
        <w:rPr>
          <w:rFonts w:hint="eastAsia"/>
          <w:rtl/>
        </w:rPr>
        <w:t>דין</w:t>
      </w:r>
      <w:r w:rsidRPr="00AE1B93">
        <w:rPr>
          <w:rtl/>
        </w:rPr>
        <w:t xml:space="preserve"> – </w:t>
      </w:r>
      <w:r w:rsidRPr="00AE1B93">
        <w:rPr>
          <w:rFonts w:hint="eastAsia"/>
          <w:rtl/>
        </w:rPr>
        <w:t>אלא</w:t>
      </w:r>
      <w:r w:rsidRPr="00AE1B93">
        <w:rPr>
          <w:rtl/>
        </w:rPr>
        <w:t xml:space="preserve"> </w:t>
      </w:r>
      <w:r w:rsidRPr="00AE1B93">
        <w:rPr>
          <w:rFonts w:hint="eastAsia"/>
          <w:rtl/>
        </w:rPr>
        <w:t>שמתוך</w:t>
      </w:r>
      <w:r w:rsidRPr="00AE1B93">
        <w:rPr>
          <w:rtl/>
        </w:rPr>
        <w:t xml:space="preserve"> </w:t>
      </w:r>
      <w:r w:rsidRPr="00AE1B93">
        <w:rPr>
          <w:rFonts w:hint="eastAsia"/>
          <w:rtl/>
        </w:rPr>
        <w:t>גודלה</w:t>
      </w:r>
      <w:r w:rsidRPr="00AE1B93">
        <w:rPr>
          <w:rtl/>
        </w:rPr>
        <w:t xml:space="preserve"> </w:t>
      </w:r>
      <w:r w:rsidRPr="00AE1B93">
        <w:rPr>
          <w:rFonts w:hint="eastAsia"/>
          <w:rtl/>
        </w:rPr>
        <w:t>וסרבולה</w:t>
      </w:r>
      <w:r w:rsidRPr="00AE1B93">
        <w:rPr>
          <w:rtl/>
        </w:rPr>
        <w:t xml:space="preserve"> </w:t>
      </w:r>
      <w:r w:rsidRPr="00AE1B93">
        <w:rPr>
          <w:rFonts w:hint="eastAsia"/>
          <w:rtl/>
        </w:rPr>
        <w:t>אינה</w:t>
      </w:r>
      <w:r w:rsidRPr="00AE1B93">
        <w:rPr>
          <w:rtl/>
        </w:rPr>
        <w:t xml:space="preserve"> </w:t>
      </w:r>
      <w:r w:rsidRPr="00AE1B93">
        <w:rPr>
          <w:rFonts w:hint="eastAsia"/>
          <w:rtl/>
        </w:rPr>
        <w:t>יודעת</w:t>
      </w:r>
      <w:r w:rsidRPr="00AE1B93">
        <w:rPr>
          <w:rtl/>
        </w:rPr>
        <w:t xml:space="preserve"> </w:t>
      </w:r>
      <w:r w:rsidRPr="00AE1B93">
        <w:rPr>
          <w:rFonts w:hint="eastAsia"/>
          <w:rtl/>
        </w:rPr>
        <w:t>בכל</w:t>
      </w:r>
      <w:r w:rsidRPr="00AE1B93">
        <w:rPr>
          <w:rtl/>
        </w:rPr>
        <w:t xml:space="preserve"> </w:t>
      </w:r>
      <w:r w:rsidRPr="00AE1B93">
        <w:rPr>
          <w:rFonts w:hint="eastAsia"/>
          <w:rtl/>
        </w:rPr>
        <w:t>עת</w:t>
      </w:r>
      <w:r w:rsidRPr="00AE1B93">
        <w:rPr>
          <w:rtl/>
        </w:rPr>
        <w:t xml:space="preserve"> </w:t>
      </w:r>
      <w:r w:rsidRPr="00AE1B93">
        <w:rPr>
          <w:rFonts w:hint="eastAsia"/>
          <w:rtl/>
        </w:rPr>
        <w:t>נתונה</w:t>
      </w:r>
      <w:r w:rsidRPr="00AE1B93">
        <w:rPr>
          <w:rtl/>
        </w:rPr>
        <w:t xml:space="preserve"> </w:t>
      </w:r>
      <w:r w:rsidRPr="00AE1B93">
        <w:rPr>
          <w:rFonts w:hint="eastAsia"/>
          <w:rtl/>
        </w:rPr>
        <w:t>על</w:t>
      </w:r>
      <w:r w:rsidRPr="00AE1B93">
        <w:rPr>
          <w:rtl/>
        </w:rPr>
        <w:t xml:space="preserve"> </w:t>
      </w:r>
      <w:r w:rsidRPr="00AE1B93">
        <w:rPr>
          <w:rFonts w:hint="eastAsia"/>
          <w:rtl/>
        </w:rPr>
        <w:t>הנעשה</w:t>
      </w:r>
      <w:r w:rsidRPr="00AE1B93">
        <w:rPr>
          <w:rtl/>
        </w:rPr>
        <w:t xml:space="preserve"> </w:t>
      </w:r>
      <w:r w:rsidRPr="00AE1B93">
        <w:rPr>
          <w:rFonts w:hint="eastAsia"/>
          <w:rtl/>
        </w:rPr>
        <w:t>בכל</w:t>
      </w:r>
      <w:r w:rsidRPr="00AE1B93">
        <w:rPr>
          <w:rtl/>
        </w:rPr>
        <w:t xml:space="preserve"> </w:t>
      </w:r>
      <w:r w:rsidRPr="00AE1B93">
        <w:rPr>
          <w:rFonts w:hint="eastAsia"/>
          <w:rtl/>
        </w:rPr>
        <w:t>נכס</w:t>
      </w:r>
      <w:r w:rsidRPr="00AE1B93">
        <w:rPr>
          <w:rtl/>
        </w:rPr>
        <w:t xml:space="preserve"> </w:t>
      </w:r>
      <w:r w:rsidRPr="00AE1B93">
        <w:rPr>
          <w:rFonts w:hint="eastAsia"/>
          <w:rtl/>
        </w:rPr>
        <w:t>מנכסיה</w:t>
      </w:r>
      <w:r>
        <w:rPr>
          <w:rFonts w:hint="cs"/>
          <w:rtl/>
        </w:rPr>
        <w:t>" (</w:t>
      </w:r>
      <w:r w:rsidRPr="00AE1B93">
        <w:rPr>
          <w:rFonts w:hint="eastAsia"/>
          <w:rtl/>
        </w:rPr>
        <w:t>רע</w:t>
      </w:r>
      <w:r>
        <w:rPr>
          <w:rFonts w:hint="cs"/>
          <w:rtl/>
        </w:rPr>
        <w:t>"</w:t>
      </w:r>
      <w:r w:rsidRPr="00AE1B93">
        <w:rPr>
          <w:rFonts w:hint="eastAsia"/>
          <w:rtl/>
        </w:rPr>
        <w:t>א</w:t>
      </w:r>
      <w:r w:rsidRPr="00AE1B93">
        <w:rPr>
          <w:rtl/>
        </w:rPr>
        <w:t xml:space="preserve"> 9076/05 </w:t>
      </w:r>
      <w:r w:rsidRPr="00A822FA">
        <w:rPr>
          <w:rFonts w:ascii="Century" w:hAnsi="Century" w:cs="Miriam" w:hint="eastAsia"/>
          <w:b/>
          <w:spacing w:val="0"/>
          <w:szCs w:val="24"/>
          <w:rtl/>
        </w:rPr>
        <w:t>וליד</w:t>
      </w:r>
      <w:r w:rsidRPr="00A822FA">
        <w:rPr>
          <w:rFonts w:ascii="Century" w:hAnsi="Century" w:cs="Miriam"/>
          <w:b/>
          <w:spacing w:val="0"/>
          <w:szCs w:val="24"/>
          <w:rtl/>
        </w:rPr>
        <w:t xml:space="preserve"> </w:t>
      </w:r>
      <w:r w:rsidRPr="00A822FA">
        <w:rPr>
          <w:rFonts w:ascii="Century" w:hAnsi="Century" w:cs="Miriam" w:hint="eastAsia"/>
          <w:b/>
          <w:spacing w:val="0"/>
          <w:szCs w:val="24"/>
          <w:rtl/>
        </w:rPr>
        <w:t>אלדוח</w:t>
      </w:r>
      <w:r w:rsidRPr="00A822FA">
        <w:rPr>
          <w:rFonts w:ascii="Century" w:hAnsi="Century" w:cs="Miriam"/>
          <w:b/>
          <w:spacing w:val="0"/>
          <w:szCs w:val="24"/>
          <w:rtl/>
        </w:rPr>
        <w:t xml:space="preserve"> </w:t>
      </w:r>
      <w:r w:rsidRPr="00A822FA">
        <w:rPr>
          <w:rFonts w:ascii="Century" w:hAnsi="Century" w:cs="Miriam" w:hint="eastAsia"/>
          <w:b/>
          <w:spacing w:val="0"/>
          <w:szCs w:val="24"/>
          <w:rtl/>
        </w:rPr>
        <w:t>נ</w:t>
      </w:r>
      <w:r w:rsidRPr="00A822FA">
        <w:rPr>
          <w:rFonts w:ascii="Century" w:hAnsi="Century" w:cs="Miriam"/>
          <w:b/>
          <w:spacing w:val="0"/>
          <w:szCs w:val="24"/>
          <w:rtl/>
        </w:rPr>
        <w:t xml:space="preserve">' </w:t>
      </w:r>
      <w:r w:rsidRPr="00A822FA">
        <w:rPr>
          <w:rFonts w:ascii="Century" w:hAnsi="Century" w:cs="Miriam" w:hint="eastAsia"/>
          <w:b/>
          <w:spacing w:val="0"/>
          <w:szCs w:val="24"/>
          <w:rtl/>
        </w:rPr>
        <w:t>מינהל</w:t>
      </w:r>
      <w:r w:rsidRPr="00A822FA">
        <w:rPr>
          <w:rFonts w:ascii="Century" w:hAnsi="Century" w:cs="Miriam"/>
          <w:b/>
          <w:spacing w:val="0"/>
          <w:szCs w:val="24"/>
          <w:rtl/>
        </w:rPr>
        <w:t xml:space="preserve"> </w:t>
      </w:r>
      <w:r w:rsidRPr="00A822FA">
        <w:rPr>
          <w:rFonts w:ascii="Century" w:hAnsi="Century" w:cs="Miriam" w:hint="eastAsia"/>
          <w:b/>
          <w:spacing w:val="0"/>
          <w:szCs w:val="24"/>
          <w:rtl/>
        </w:rPr>
        <w:t>מקרקעי</w:t>
      </w:r>
      <w:r w:rsidRPr="00A822FA">
        <w:rPr>
          <w:rFonts w:ascii="Century" w:hAnsi="Century" w:cs="Miriam"/>
          <w:b/>
          <w:spacing w:val="0"/>
          <w:szCs w:val="24"/>
          <w:rtl/>
        </w:rPr>
        <w:t xml:space="preserve"> </w:t>
      </w:r>
      <w:r w:rsidRPr="00A822FA">
        <w:rPr>
          <w:rFonts w:ascii="Century" w:hAnsi="Century" w:cs="Miriam" w:hint="eastAsia"/>
          <w:b/>
          <w:spacing w:val="0"/>
          <w:szCs w:val="24"/>
          <w:rtl/>
        </w:rPr>
        <w:t>ישראל</w:t>
      </w:r>
      <w:r>
        <w:rPr>
          <w:rFonts w:hint="cs"/>
          <w:rtl/>
        </w:rPr>
        <w:t>, פסקה ד(5) (2.5.2006))</w:t>
      </w:r>
      <w:r w:rsidRPr="00AE1B93">
        <w:rPr>
          <w:rtl/>
        </w:rPr>
        <w:t>.</w:t>
      </w:r>
    </w:p>
    <w:p w:rsidR="00761030" w:rsidRDefault="00761030" w:rsidP="00761030">
      <w:pPr>
        <w:pStyle w:val="Ruller41"/>
        <w:rPr>
          <w:rFonts w:ascii="Century" w:hAnsi="Century"/>
          <w:rtl/>
        </w:rPr>
      </w:pPr>
    </w:p>
    <w:p w:rsidR="00761030" w:rsidRPr="00A822FA" w:rsidRDefault="00761030" w:rsidP="00761030">
      <w:pPr>
        <w:pStyle w:val="Ruller41"/>
        <w:rPr>
          <w:rFonts w:ascii="Century" w:hAnsi="Century"/>
          <w:rtl/>
        </w:rPr>
      </w:pPr>
      <w:r>
        <w:rPr>
          <w:rFonts w:ascii="Century" w:hAnsi="Century"/>
          <w:rtl/>
        </w:rPr>
        <w:tab/>
      </w:r>
      <w:r>
        <w:rPr>
          <w:rFonts w:ascii="Century" w:hAnsi="Century" w:hint="cs"/>
          <w:rtl/>
        </w:rPr>
        <w:t xml:space="preserve">לצד זאת, קיימים גם מקרים פשוטים יותר להכרעה </w:t>
      </w:r>
      <w:r>
        <w:rPr>
          <w:rFonts w:ascii="Century" w:hAnsi="Century"/>
          <w:rtl/>
        </w:rPr>
        <w:t>–</w:t>
      </w:r>
      <w:r>
        <w:rPr>
          <w:rFonts w:ascii="Century" w:hAnsi="Century" w:hint="cs"/>
          <w:rtl/>
        </w:rPr>
        <w:t xml:space="preserve"> כאשר התובע טוען במפורש כי המחזיק הוא מסיג גבול ודורש את סילוקו (ראו: עניין </w:t>
      </w:r>
      <w:r w:rsidRPr="00A822FA">
        <w:rPr>
          <w:rFonts w:ascii="Century" w:hAnsi="Century" w:cs="Miriam" w:hint="eastAsia"/>
          <w:b/>
          <w:spacing w:val="0"/>
          <w:szCs w:val="24"/>
          <w:rtl/>
        </w:rPr>
        <w:t>פלר</w:t>
      </w:r>
      <w:r>
        <w:rPr>
          <w:rFonts w:ascii="Century" w:hAnsi="Century" w:hint="cs"/>
          <w:rtl/>
        </w:rPr>
        <w:t xml:space="preserve">, בעמ' 286-285; עניין </w:t>
      </w:r>
      <w:r w:rsidRPr="00A848F6">
        <w:rPr>
          <w:rFonts w:ascii="Century" w:hAnsi="Century" w:cs="Miriam" w:hint="cs"/>
          <w:b/>
          <w:spacing w:val="0"/>
          <w:szCs w:val="24"/>
          <w:rtl/>
        </w:rPr>
        <w:t>אל קימרי</w:t>
      </w:r>
      <w:r>
        <w:rPr>
          <w:rFonts w:ascii="Century" w:hAnsi="Century" w:hint="cs"/>
          <w:rtl/>
        </w:rPr>
        <w:t xml:space="preserve">, בפסקה 24; ע"א 5323/07 </w:t>
      </w:r>
      <w:r w:rsidRPr="00A822FA">
        <w:rPr>
          <w:rFonts w:ascii="Century" w:hAnsi="Century" w:cs="Miriam" w:hint="eastAsia"/>
          <w:b/>
          <w:spacing w:val="0"/>
          <w:szCs w:val="24"/>
          <w:rtl/>
        </w:rPr>
        <w:t>יעקובוף</w:t>
      </w:r>
      <w:r w:rsidRPr="00A822FA">
        <w:rPr>
          <w:rFonts w:ascii="Century" w:hAnsi="Century" w:cs="Miriam"/>
          <w:b/>
          <w:spacing w:val="0"/>
          <w:szCs w:val="24"/>
          <w:rtl/>
        </w:rPr>
        <w:t xml:space="preserve"> </w:t>
      </w:r>
      <w:r w:rsidRPr="00A822FA">
        <w:rPr>
          <w:rFonts w:ascii="Century" w:hAnsi="Century" w:cs="Miriam" w:hint="eastAsia"/>
          <w:b/>
          <w:spacing w:val="0"/>
          <w:szCs w:val="24"/>
          <w:rtl/>
        </w:rPr>
        <w:t>נ</w:t>
      </w:r>
      <w:r w:rsidRPr="00A822FA">
        <w:rPr>
          <w:rFonts w:ascii="Century" w:hAnsi="Century" w:cs="Miriam"/>
          <w:b/>
          <w:spacing w:val="0"/>
          <w:szCs w:val="24"/>
          <w:rtl/>
        </w:rPr>
        <w:t xml:space="preserve">' </w:t>
      </w:r>
      <w:r w:rsidRPr="00A822FA">
        <w:rPr>
          <w:rFonts w:ascii="Century" w:hAnsi="Century" w:cs="Miriam" w:hint="eastAsia"/>
          <w:b/>
          <w:spacing w:val="0"/>
          <w:szCs w:val="24"/>
          <w:rtl/>
        </w:rPr>
        <w:t>עזבון</w:t>
      </w:r>
      <w:r w:rsidRPr="00A822FA">
        <w:rPr>
          <w:rFonts w:ascii="Century" w:hAnsi="Century" w:cs="Miriam"/>
          <w:b/>
          <w:spacing w:val="0"/>
          <w:szCs w:val="24"/>
          <w:rtl/>
        </w:rPr>
        <w:t xml:space="preserve"> </w:t>
      </w:r>
      <w:r w:rsidRPr="00A822FA">
        <w:rPr>
          <w:rFonts w:ascii="Century" w:hAnsi="Century" w:cs="Miriam" w:hint="eastAsia"/>
          <w:b/>
          <w:spacing w:val="0"/>
          <w:szCs w:val="24"/>
          <w:rtl/>
        </w:rPr>
        <w:t>המנוח</w:t>
      </w:r>
      <w:r w:rsidRPr="00A822FA">
        <w:rPr>
          <w:rFonts w:ascii="Century" w:hAnsi="Century" w:cs="Miriam"/>
          <w:b/>
          <w:spacing w:val="0"/>
          <w:szCs w:val="24"/>
          <w:rtl/>
        </w:rPr>
        <w:t xml:space="preserve"> </w:t>
      </w:r>
      <w:r w:rsidRPr="00A822FA">
        <w:rPr>
          <w:rFonts w:ascii="Century" w:hAnsi="Century" w:cs="Miriam" w:hint="eastAsia"/>
          <w:b/>
          <w:spacing w:val="0"/>
          <w:szCs w:val="24"/>
          <w:rtl/>
        </w:rPr>
        <w:t>זאביולה</w:t>
      </w:r>
      <w:r w:rsidRPr="00A822FA">
        <w:rPr>
          <w:rFonts w:ascii="Century" w:hAnsi="Century" w:cs="Miriam"/>
          <w:b/>
          <w:spacing w:val="0"/>
          <w:szCs w:val="24"/>
          <w:rtl/>
        </w:rPr>
        <w:t xml:space="preserve"> </w:t>
      </w:r>
      <w:r w:rsidRPr="00A822FA">
        <w:rPr>
          <w:rFonts w:ascii="Century" w:hAnsi="Century" w:cs="Miriam" w:hint="eastAsia"/>
          <w:b/>
          <w:spacing w:val="0"/>
          <w:szCs w:val="24"/>
          <w:rtl/>
        </w:rPr>
        <w:t>נעמת</w:t>
      </w:r>
      <w:r w:rsidRPr="00A822FA">
        <w:rPr>
          <w:rFonts w:ascii="Century" w:hAnsi="Century" w:cs="Miriam"/>
          <w:b/>
          <w:spacing w:val="0"/>
          <w:szCs w:val="24"/>
          <w:rtl/>
        </w:rPr>
        <w:t xml:space="preserve"> </w:t>
      </w:r>
      <w:r w:rsidRPr="00A822FA">
        <w:rPr>
          <w:rFonts w:ascii="Century" w:hAnsi="Century" w:cs="Miriam" w:hint="eastAsia"/>
          <w:b/>
          <w:spacing w:val="0"/>
          <w:szCs w:val="24"/>
          <w:rtl/>
        </w:rPr>
        <w:t>נג</w:t>
      </w:r>
      <w:r w:rsidRPr="00A822FA">
        <w:rPr>
          <w:rFonts w:ascii="Century" w:hAnsi="Century" w:cs="Miriam"/>
          <w:b/>
          <w:spacing w:val="0"/>
          <w:szCs w:val="24"/>
          <w:rtl/>
        </w:rPr>
        <w:t>'</w:t>
      </w:r>
      <w:r w:rsidRPr="00A822FA">
        <w:rPr>
          <w:rFonts w:ascii="Century" w:hAnsi="Century" w:cs="Miriam" w:hint="eastAsia"/>
          <w:b/>
          <w:spacing w:val="0"/>
          <w:szCs w:val="24"/>
          <w:rtl/>
        </w:rPr>
        <w:t>אד</w:t>
      </w:r>
      <w:r w:rsidRPr="00A822FA">
        <w:rPr>
          <w:rFonts w:ascii="Century" w:hAnsi="Century" w:cs="Miriam"/>
          <w:b/>
          <w:spacing w:val="0"/>
          <w:szCs w:val="24"/>
          <w:rtl/>
        </w:rPr>
        <w:t xml:space="preserve"> </w:t>
      </w:r>
      <w:r w:rsidRPr="00A822FA">
        <w:rPr>
          <w:rFonts w:ascii="Century" w:hAnsi="Century" w:cs="Miriam" w:hint="eastAsia"/>
          <w:b/>
          <w:spacing w:val="0"/>
          <w:szCs w:val="24"/>
          <w:rtl/>
        </w:rPr>
        <w:t>ז</w:t>
      </w:r>
      <w:r w:rsidRPr="00A822FA">
        <w:rPr>
          <w:rFonts w:ascii="Century" w:hAnsi="Century" w:cs="Miriam"/>
          <w:b/>
          <w:spacing w:val="0"/>
          <w:szCs w:val="24"/>
          <w:rtl/>
        </w:rPr>
        <w:t>"</w:t>
      </w:r>
      <w:r w:rsidRPr="00A822FA">
        <w:rPr>
          <w:rFonts w:ascii="Century" w:hAnsi="Century" w:cs="Miriam" w:hint="eastAsia"/>
          <w:b/>
          <w:spacing w:val="0"/>
          <w:szCs w:val="24"/>
          <w:rtl/>
        </w:rPr>
        <w:t>ל</w:t>
      </w:r>
      <w:r>
        <w:rPr>
          <w:rFonts w:ascii="Century" w:hAnsi="Century" w:hint="cs"/>
          <w:rtl/>
        </w:rPr>
        <w:t xml:space="preserve">, פסקאות כ'-כ"א (1.2.2010); </w:t>
      </w:r>
      <w:r w:rsidRPr="00A822FA">
        <w:rPr>
          <w:rFonts w:ascii="Century" w:hAnsi="Century" w:cs="Miriam" w:hint="eastAsia"/>
          <w:b/>
          <w:spacing w:val="0"/>
          <w:szCs w:val="24"/>
          <w:rtl/>
        </w:rPr>
        <w:t>לוינסון</w:t>
      </w:r>
      <w:r w:rsidRPr="00A822FA">
        <w:rPr>
          <w:rFonts w:ascii="Century" w:hAnsi="Century" w:cs="Miriam"/>
          <w:b/>
          <w:spacing w:val="0"/>
          <w:szCs w:val="24"/>
          <w:rtl/>
        </w:rPr>
        <w:t>-</w:t>
      </w:r>
      <w:r w:rsidRPr="00A822FA">
        <w:rPr>
          <w:rFonts w:ascii="Century" w:hAnsi="Century" w:cs="Miriam" w:hint="eastAsia"/>
          <w:b/>
          <w:spacing w:val="0"/>
          <w:szCs w:val="24"/>
          <w:rtl/>
        </w:rPr>
        <w:t>זמיר</w:t>
      </w:r>
      <w:r>
        <w:rPr>
          <w:rFonts w:ascii="Century" w:hAnsi="Century" w:hint="cs"/>
          <w:rtl/>
        </w:rPr>
        <w:t xml:space="preserve">, בעמ' 185; </w:t>
      </w:r>
      <w:r w:rsidRPr="00A822FA">
        <w:rPr>
          <w:rFonts w:ascii="Century" w:hAnsi="Century" w:cs="Miriam" w:hint="eastAsia"/>
          <w:b/>
          <w:spacing w:val="0"/>
          <w:szCs w:val="24"/>
          <w:rtl/>
        </w:rPr>
        <w:t>חבקין</w:t>
      </w:r>
      <w:r>
        <w:rPr>
          <w:rFonts w:ascii="Century" w:hAnsi="Century" w:hint="cs"/>
          <w:rtl/>
        </w:rPr>
        <w:t>, בעמ' 465). במקרים אחרונים אלה, כגון המקרה דנן, ניתן לקבוע כי התקיים יסוד ההחזקה הנוגדת.</w:t>
      </w:r>
    </w:p>
    <w:p w:rsidR="00761030" w:rsidRDefault="00761030" w:rsidP="00761030">
      <w:pPr>
        <w:pStyle w:val="Ruller41"/>
        <w:rPr>
          <w:rFonts w:ascii="Century" w:hAnsi="Century" w:cs="Miriam"/>
          <w:b/>
          <w:spacing w:val="0"/>
          <w:szCs w:val="24"/>
          <w:rtl/>
        </w:rPr>
      </w:pPr>
    </w:p>
    <w:p w:rsidR="00761030" w:rsidRDefault="00761030" w:rsidP="00761030">
      <w:pPr>
        <w:pStyle w:val="Ruller41"/>
        <w:rPr>
          <w:rFonts w:ascii="Century" w:hAnsi="Century"/>
          <w:rtl/>
        </w:rPr>
      </w:pPr>
      <w:r>
        <w:rPr>
          <w:rFonts w:ascii="Century" w:hAnsi="Century" w:hint="cs"/>
          <w:rtl/>
        </w:rPr>
        <w:t xml:space="preserve">80. </w:t>
      </w:r>
      <w:r>
        <w:rPr>
          <w:rFonts w:ascii="Century" w:hAnsi="Century" w:hint="cs"/>
          <w:rtl/>
        </w:rPr>
        <w:tab/>
        <w:t xml:space="preserve">טענת המשיבים כי ההחזקה הנוגדת של המערערים החלה רק עם מינויים של המשיבים לנאמני ההקדש היא משוללת יסוד. המשיבים, כשמם כן הם, משמשים כנאמנים להקדש. ההחזקה הנוגדת של המערערים אינה אישית כלפיהם, אלא כלפי ההקדש, הוא בעל המקרקעין. לפיכך, מועד מינוי המשיבים הספציפיים כנאמני ההקדש אינו מעלה או מוריד לעניין ההחזקה הנוגדת. היריבות המשפטית בין הצדדים החלה עם כניסתם של בני משפחת דוויק, שלא ברשות ההקדש (אלא על בסיס עסקה שנעשתה בתום לב עם צד שלישי שאינו תם לב </w:t>
      </w:r>
      <w:r>
        <w:rPr>
          <w:rFonts w:ascii="Century" w:hAnsi="Century"/>
          <w:rtl/>
        </w:rPr>
        <w:t>–</w:t>
      </w:r>
      <w:r>
        <w:rPr>
          <w:rFonts w:ascii="Century" w:hAnsi="Century" w:hint="cs"/>
          <w:rtl/>
        </w:rPr>
        <w:t xml:space="preserve"> ג'לאג'ל), למקרקעי ההקדש, ונמשכה עם ישיבתם בו במשך שנים רבות.</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81. </w:t>
      </w:r>
      <w:r>
        <w:rPr>
          <w:rFonts w:ascii="Century" w:hAnsi="Century" w:hint="cs"/>
          <w:rtl/>
        </w:rPr>
        <w:tab/>
        <w:t xml:space="preserve">כמו כן, יש לדחות את טענת המשיבים שלפיה היה על המערערים להוכיח באופן פוזיטיבי את ישיבתם במקרקעין באמצעות הצגת חשבונות שוטפים והבאת שכנים ומכרים לעדות. המשיבים לא הצביעו על הלכה פסוקה התומכת בפרשנות מרחיבה זו. אכן, ההחזקה במשך תקופת ההתיישנות חייבת להיות רצופה. אולם, אין מקום להפוך את הדיון בטענה זו למעין "משפט-זוטא" שבו נדרש הנתבע להוכיח ב"רחל בתך הקטנה" את ישיבתו במקרקעין בכל שנה ושנה במהלך תקופת ההתיישנות (ראו: </w:t>
      </w:r>
      <w:r w:rsidRPr="00A822FA">
        <w:rPr>
          <w:rFonts w:ascii="Century" w:hAnsi="Century" w:cs="Miriam" w:hint="eastAsia"/>
          <w:b/>
          <w:spacing w:val="0"/>
          <w:szCs w:val="24"/>
          <w:rtl/>
        </w:rPr>
        <w:t>ויסמן</w:t>
      </w:r>
      <w:r w:rsidRPr="00A822FA">
        <w:rPr>
          <w:rFonts w:ascii="Century" w:hAnsi="Century" w:cs="Miriam"/>
          <w:b/>
          <w:spacing w:val="0"/>
          <w:szCs w:val="24"/>
          <w:rtl/>
        </w:rPr>
        <w:t xml:space="preserve">, </w:t>
      </w:r>
      <w:r w:rsidRPr="00A822FA">
        <w:rPr>
          <w:rFonts w:ascii="Century" w:hAnsi="Century" w:cs="Miriam" w:hint="eastAsia"/>
          <w:b/>
          <w:spacing w:val="0"/>
          <w:szCs w:val="24"/>
          <w:rtl/>
        </w:rPr>
        <w:t>החזקה</w:t>
      </w:r>
      <w:r>
        <w:rPr>
          <w:rFonts w:ascii="Century" w:hAnsi="Century" w:hint="cs"/>
          <w:rtl/>
        </w:rPr>
        <w:t xml:space="preserve">, בעמ' 30). למעלה מן הצורך יצוין, כי ממילא חלק ניכר מהמסמכים שנסקרו לעיל במסגרת הדיון על חריג הגילוי המאוחר </w:t>
      </w:r>
      <w:r>
        <w:rPr>
          <w:rFonts w:ascii="Century" w:hAnsi="Century"/>
          <w:rtl/>
        </w:rPr>
        <w:t>–</w:t>
      </w:r>
      <w:r>
        <w:rPr>
          <w:rFonts w:ascii="Century" w:hAnsi="Century" w:hint="cs"/>
          <w:rtl/>
        </w:rPr>
        <w:t xml:space="preserve"> כגון חשבונות ארנונה שהציגו המערערים והליכים שנוהלו בגין בניה לא חוקית במקרקעין </w:t>
      </w:r>
      <w:r>
        <w:rPr>
          <w:rFonts w:ascii="Century" w:hAnsi="Century"/>
          <w:rtl/>
        </w:rPr>
        <w:t>–</w:t>
      </w:r>
      <w:r>
        <w:rPr>
          <w:rFonts w:ascii="Century" w:hAnsi="Century" w:hint="cs"/>
          <w:rtl/>
        </w:rPr>
        <w:t xml:space="preserve"> מוכיחים ברמה מספקת כי בני משפחת דוויק התגוררו במקרקעין ברצף במהלך עשרות השנים האחרונות.</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82. </w:t>
      </w:r>
      <w:r>
        <w:rPr>
          <w:rFonts w:ascii="Century" w:hAnsi="Century" w:hint="cs"/>
          <w:rtl/>
        </w:rPr>
        <w:tab/>
        <w:t xml:space="preserve">לבסוף יצוין כי גם טענת המשיבים בדבר הרחבת חזית צריכה להידחות. המערערים העלו בכתב הגנתם באופן מפורש את טענת ההתיישנות (סעיף 10 לכתב ההגנה המתוקן מיום 5.6.2017: "דין התביעה להידחות מחמת התיישנות; הנתבעים מחזיקים ללא עוררין במקרקעין נשוא התביעה באופן ייחודי ובלעדי מלפני יותר מ-50 שנה..."). אכן, הביטוי "החזקה נוגדת" לא הופיע בכתב ההגנה המתוקן, אלא רק בתצהיר העדות הראשית של המערער 1, אולם בכך בלבד אין משום הרחבת חזית אסורה. אין מדובר בטענה חדשה המועלית לראשונה בתצהיר העדות הראשית, אשר יוצרת מחלוקת חדשה או חורגת מן המחלוקת היסודית שנפרשה בכתב התביעה ובכתב ההגנה (ראו: רע"א 2874/08 </w:t>
      </w:r>
      <w:r w:rsidRPr="00A822FA">
        <w:rPr>
          <w:rFonts w:ascii="Century" w:hAnsi="Century" w:cs="Miriam" w:hint="eastAsia"/>
          <w:b/>
          <w:spacing w:val="0"/>
          <w:szCs w:val="24"/>
          <w:rtl/>
        </w:rPr>
        <w:t>עיריית</w:t>
      </w:r>
      <w:r w:rsidRPr="00A822FA">
        <w:rPr>
          <w:rFonts w:ascii="Century" w:hAnsi="Century" w:cs="Miriam"/>
          <w:b/>
          <w:spacing w:val="0"/>
          <w:szCs w:val="24"/>
          <w:rtl/>
        </w:rPr>
        <w:t xml:space="preserve"> </w:t>
      </w:r>
      <w:r w:rsidRPr="00A822FA">
        <w:rPr>
          <w:rFonts w:ascii="Century" w:hAnsi="Century" w:cs="Miriam" w:hint="eastAsia"/>
          <w:b/>
          <w:spacing w:val="0"/>
          <w:szCs w:val="24"/>
          <w:rtl/>
        </w:rPr>
        <w:t>הרצליה</w:t>
      </w:r>
      <w:r w:rsidRPr="00A822FA">
        <w:rPr>
          <w:rFonts w:ascii="Century" w:hAnsi="Century" w:cs="Miriam"/>
          <w:b/>
          <w:spacing w:val="0"/>
          <w:szCs w:val="24"/>
          <w:rtl/>
        </w:rPr>
        <w:t xml:space="preserve"> </w:t>
      </w:r>
      <w:r w:rsidRPr="00A822FA">
        <w:rPr>
          <w:rFonts w:ascii="Century" w:hAnsi="Century" w:cs="Miriam" w:hint="eastAsia"/>
          <w:b/>
          <w:spacing w:val="0"/>
          <w:szCs w:val="24"/>
          <w:rtl/>
        </w:rPr>
        <w:t>נ</w:t>
      </w:r>
      <w:r w:rsidRPr="00A822FA">
        <w:rPr>
          <w:rFonts w:ascii="Century" w:hAnsi="Century" w:cs="Miriam"/>
          <w:b/>
          <w:spacing w:val="0"/>
          <w:szCs w:val="24"/>
          <w:rtl/>
        </w:rPr>
        <w:t xml:space="preserve">' </w:t>
      </w:r>
      <w:r w:rsidRPr="00A822FA">
        <w:rPr>
          <w:rFonts w:ascii="Century" w:hAnsi="Century" w:cs="Miriam" w:hint="eastAsia"/>
          <w:b/>
          <w:spacing w:val="0"/>
          <w:szCs w:val="24"/>
          <w:rtl/>
        </w:rPr>
        <w:t>אברהם</w:t>
      </w:r>
      <w:r w:rsidRPr="00A822FA">
        <w:rPr>
          <w:rFonts w:ascii="Century" w:hAnsi="Century" w:cs="Miriam"/>
          <w:b/>
          <w:spacing w:val="0"/>
          <w:szCs w:val="24"/>
          <w:rtl/>
        </w:rPr>
        <w:t xml:space="preserve"> </w:t>
      </w:r>
      <w:r w:rsidRPr="00A822FA">
        <w:rPr>
          <w:rFonts w:ascii="Century" w:hAnsi="Century" w:cs="Miriam" w:hint="eastAsia"/>
          <w:b/>
          <w:spacing w:val="0"/>
          <w:szCs w:val="24"/>
          <w:rtl/>
        </w:rPr>
        <w:t>יצחק</w:t>
      </w:r>
      <w:r w:rsidRPr="00A822FA">
        <w:rPr>
          <w:rFonts w:ascii="Century" w:hAnsi="Century" w:cs="Miriam"/>
          <w:b/>
          <w:spacing w:val="0"/>
          <w:szCs w:val="24"/>
          <w:rtl/>
        </w:rPr>
        <w:t xml:space="preserve"> </w:t>
      </w:r>
      <w:r w:rsidRPr="00A822FA">
        <w:rPr>
          <w:rFonts w:ascii="Century" w:hAnsi="Century" w:cs="Miriam" w:hint="eastAsia"/>
          <w:b/>
          <w:spacing w:val="0"/>
          <w:szCs w:val="24"/>
          <w:rtl/>
        </w:rPr>
        <w:t>בע</w:t>
      </w:r>
      <w:r w:rsidRPr="00A822FA">
        <w:rPr>
          <w:rFonts w:ascii="Century" w:hAnsi="Century" w:cs="Miriam"/>
          <w:b/>
          <w:spacing w:val="0"/>
          <w:szCs w:val="24"/>
          <w:rtl/>
        </w:rPr>
        <w:t>"</w:t>
      </w:r>
      <w:r w:rsidRPr="00A822FA">
        <w:rPr>
          <w:rFonts w:ascii="Century" w:hAnsi="Century" w:cs="Miriam" w:hint="eastAsia"/>
          <w:b/>
          <w:spacing w:val="0"/>
          <w:szCs w:val="24"/>
          <w:rtl/>
        </w:rPr>
        <w:t>מ</w:t>
      </w:r>
      <w:r>
        <w:rPr>
          <w:rFonts w:ascii="Century" w:hAnsi="Century" w:hint="cs"/>
          <w:rtl/>
        </w:rPr>
        <w:t xml:space="preserve">, פסקה ה' (15.5.2008); רע"א 899/11 </w:t>
      </w:r>
      <w:r w:rsidRPr="00A822FA">
        <w:rPr>
          <w:rFonts w:ascii="Century" w:hAnsi="Century" w:cs="Miriam" w:hint="eastAsia"/>
          <w:b/>
          <w:spacing w:val="0"/>
          <w:szCs w:val="24"/>
          <w:rtl/>
        </w:rPr>
        <w:t>פלונית</w:t>
      </w:r>
      <w:r w:rsidRPr="00A822FA">
        <w:rPr>
          <w:rFonts w:ascii="Century" w:hAnsi="Century" w:cs="Miriam"/>
          <w:b/>
          <w:spacing w:val="0"/>
          <w:szCs w:val="24"/>
          <w:rtl/>
        </w:rPr>
        <w:t xml:space="preserve"> </w:t>
      </w:r>
      <w:r w:rsidRPr="00A822FA">
        <w:rPr>
          <w:rFonts w:ascii="Century" w:hAnsi="Century" w:cs="Miriam" w:hint="eastAsia"/>
          <w:b/>
          <w:spacing w:val="0"/>
          <w:szCs w:val="24"/>
          <w:rtl/>
        </w:rPr>
        <w:t>נ</w:t>
      </w:r>
      <w:r w:rsidRPr="00A822FA">
        <w:rPr>
          <w:rFonts w:ascii="Century" w:hAnsi="Century" w:cs="Miriam"/>
          <w:b/>
          <w:spacing w:val="0"/>
          <w:szCs w:val="24"/>
          <w:rtl/>
        </w:rPr>
        <w:t xml:space="preserve">' </w:t>
      </w:r>
      <w:r w:rsidRPr="00A822FA">
        <w:rPr>
          <w:rFonts w:ascii="Century" w:hAnsi="Century" w:cs="Miriam" w:hint="eastAsia"/>
          <w:b/>
          <w:spacing w:val="0"/>
          <w:szCs w:val="24"/>
          <w:rtl/>
        </w:rPr>
        <w:t>משרד</w:t>
      </w:r>
      <w:r w:rsidRPr="00A822FA">
        <w:rPr>
          <w:rFonts w:ascii="Century" w:hAnsi="Century" w:cs="Miriam"/>
          <w:b/>
          <w:spacing w:val="0"/>
          <w:szCs w:val="24"/>
          <w:rtl/>
        </w:rPr>
        <w:t xml:space="preserve"> </w:t>
      </w:r>
      <w:r w:rsidRPr="00A822FA">
        <w:rPr>
          <w:rFonts w:ascii="Century" w:hAnsi="Century" w:cs="Miriam" w:hint="eastAsia"/>
          <w:b/>
          <w:spacing w:val="0"/>
          <w:szCs w:val="24"/>
          <w:rtl/>
        </w:rPr>
        <w:t>החינוך</w:t>
      </w:r>
      <w:r w:rsidRPr="00A822FA">
        <w:rPr>
          <w:rFonts w:ascii="Century" w:hAnsi="Century" w:cs="Miriam"/>
          <w:b/>
          <w:spacing w:val="0"/>
          <w:szCs w:val="24"/>
          <w:rtl/>
        </w:rPr>
        <w:t xml:space="preserve"> </w:t>
      </w:r>
      <w:r w:rsidRPr="00A822FA">
        <w:rPr>
          <w:rFonts w:ascii="Century" w:hAnsi="Century" w:cs="Miriam" w:hint="eastAsia"/>
          <w:b/>
          <w:spacing w:val="0"/>
          <w:szCs w:val="24"/>
          <w:rtl/>
        </w:rPr>
        <w:t>והתרבות</w:t>
      </w:r>
      <w:r>
        <w:rPr>
          <w:rFonts w:ascii="Century" w:hAnsi="Century" w:hint="cs"/>
          <w:rtl/>
        </w:rPr>
        <w:t xml:space="preserve">, פסקה 5 (7.6.2011)). ממילא אף לא ניתן בכך יתרון בלתי הוגן, מבחינה דיונית, למערערים (ראו: ע"א 1653/08 </w:t>
      </w:r>
      <w:r w:rsidRPr="00A822FA">
        <w:rPr>
          <w:rFonts w:ascii="Century" w:hAnsi="Century" w:cs="Miriam" w:hint="eastAsia"/>
          <w:b/>
          <w:spacing w:val="0"/>
          <w:szCs w:val="24"/>
          <w:rtl/>
        </w:rPr>
        <w:t>ליפץ</w:t>
      </w:r>
      <w:r w:rsidRPr="00A822FA">
        <w:rPr>
          <w:rFonts w:ascii="Century" w:hAnsi="Century" w:cs="Miriam"/>
          <w:b/>
          <w:spacing w:val="0"/>
          <w:szCs w:val="24"/>
          <w:rtl/>
        </w:rPr>
        <w:t xml:space="preserve"> </w:t>
      </w:r>
      <w:r w:rsidRPr="00A822FA">
        <w:rPr>
          <w:rFonts w:ascii="Century" w:hAnsi="Century" w:cs="Miriam" w:hint="eastAsia"/>
          <w:b/>
          <w:spacing w:val="0"/>
          <w:szCs w:val="24"/>
          <w:rtl/>
        </w:rPr>
        <w:t>נ</w:t>
      </w:r>
      <w:r w:rsidRPr="00A822FA">
        <w:rPr>
          <w:rFonts w:ascii="Century" w:hAnsi="Century" w:cs="Miriam"/>
          <w:b/>
          <w:spacing w:val="0"/>
          <w:szCs w:val="24"/>
          <w:rtl/>
        </w:rPr>
        <w:t xml:space="preserve">' </w:t>
      </w:r>
      <w:r w:rsidRPr="00A822FA">
        <w:rPr>
          <w:rFonts w:ascii="Century" w:hAnsi="Century" w:cs="Miriam" w:hint="eastAsia"/>
          <w:b/>
          <w:spacing w:val="0"/>
          <w:szCs w:val="24"/>
          <w:rtl/>
        </w:rPr>
        <w:t>בנק</w:t>
      </w:r>
      <w:r w:rsidRPr="00A822FA">
        <w:rPr>
          <w:rFonts w:ascii="Century" w:hAnsi="Century" w:cs="Miriam"/>
          <w:b/>
          <w:spacing w:val="0"/>
          <w:szCs w:val="24"/>
          <w:rtl/>
        </w:rPr>
        <w:t xml:space="preserve"> </w:t>
      </w:r>
      <w:r w:rsidRPr="00A822FA">
        <w:rPr>
          <w:rFonts w:ascii="Century" w:hAnsi="Century" w:cs="Miriam" w:hint="eastAsia"/>
          <w:b/>
          <w:spacing w:val="0"/>
          <w:szCs w:val="24"/>
          <w:rtl/>
        </w:rPr>
        <w:t>לאומי</w:t>
      </w:r>
      <w:r w:rsidRPr="00A822FA">
        <w:rPr>
          <w:rFonts w:ascii="Century" w:hAnsi="Century" w:cs="Miriam"/>
          <w:b/>
          <w:spacing w:val="0"/>
          <w:szCs w:val="24"/>
          <w:rtl/>
        </w:rPr>
        <w:t xml:space="preserve"> </w:t>
      </w:r>
      <w:r w:rsidRPr="00A822FA">
        <w:rPr>
          <w:rFonts w:ascii="Century" w:hAnsi="Century" w:cs="Miriam" w:hint="eastAsia"/>
          <w:b/>
          <w:spacing w:val="0"/>
          <w:szCs w:val="24"/>
          <w:rtl/>
        </w:rPr>
        <w:t>לישראל</w:t>
      </w:r>
      <w:r w:rsidRPr="00A822FA">
        <w:rPr>
          <w:rFonts w:ascii="Century" w:hAnsi="Century" w:cs="Miriam"/>
          <w:b/>
          <w:spacing w:val="0"/>
          <w:szCs w:val="24"/>
          <w:rtl/>
        </w:rPr>
        <w:t xml:space="preserve"> </w:t>
      </w:r>
      <w:r w:rsidRPr="00A822FA">
        <w:rPr>
          <w:rFonts w:ascii="Century" w:hAnsi="Century" w:cs="Miriam" w:hint="eastAsia"/>
          <w:b/>
          <w:spacing w:val="0"/>
          <w:szCs w:val="24"/>
          <w:rtl/>
        </w:rPr>
        <w:t>בע</w:t>
      </w:r>
      <w:r w:rsidRPr="00A822FA">
        <w:rPr>
          <w:rFonts w:ascii="Century" w:hAnsi="Century" w:cs="Miriam"/>
          <w:b/>
          <w:spacing w:val="0"/>
          <w:szCs w:val="24"/>
          <w:rtl/>
        </w:rPr>
        <w:t>"</w:t>
      </w:r>
      <w:r w:rsidRPr="00A822FA">
        <w:rPr>
          <w:rFonts w:ascii="Century" w:hAnsi="Century" w:cs="Miriam" w:hint="eastAsia"/>
          <w:b/>
          <w:spacing w:val="0"/>
          <w:szCs w:val="24"/>
          <w:rtl/>
        </w:rPr>
        <w:t>מ</w:t>
      </w:r>
      <w:r>
        <w:rPr>
          <w:rFonts w:ascii="Century" w:hAnsi="Century" w:hint="cs"/>
          <w:rtl/>
        </w:rPr>
        <w:t>, פסקה 5 (14.7.2011)).</w:t>
      </w:r>
    </w:p>
    <w:p w:rsidR="00761030" w:rsidRDefault="00761030" w:rsidP="00761030">
      <w:pPr>
        <w:pStyle w:val="Ruller41"/>
        <w:rPr>
          <w:rFonts w:ascii="Century" w:hAnsi="Century"/>
          <w:rtl/>
        </w:rPr>
      </w:pPr>
    </w:p>
    <w:p w:rsidR="00761030" w:rsidRDefault="00761030" w:rsidP="00761030">
      <w:pPr>
        <w:pStyle w:val="Ruller41"/>
        <w:rPr>
          <w:rFonts w:ascii="Century" w:hAnsi="Century" w:cs="Miriam"/>
          <w:b/>
          <w:spacing w:val="0"/>
          <w:szCs w:val="24"/>
          <w:rtl/>
        </w:rPr>
      </w:pPr>
      <w:r w:rsidRPr="000D2DDD">
        <w:rPr>
          <w:rFonts w:ascii="Century" w:hAnsi="Century" w:cs="Miriam" w:hint="eastAsia"/>
          <w:b/>
          <w:spacing w:val="0"/>
          <w:szCs w:val="24"/>
          <w:rtl/>
        </w:rPr>
        <w:t>לפני</w:t>
      </w:r>
      <w:r w:rsidRPr="000D2DDD">
        <w:rPr>
          <w:rFonts w:ascii="Century" w:hAnsi="Century" w:cs="Miriam"/>
          <w:b/>
          <w:spacing w:val="0"/>
          <w:szCs w:val="24"/>
          <w:rtl/>
        </w:rPr>
        <w:t xml:space="preserve"> </w:t>
      </w:r>
      <w:r w:rsidRPr="000D2DDD">
        <w:rPr>
          <w:rFonts w:ascii="Century" w:hAnsi="Century" w:cs="Miriam" w:hint="eastAsia"/>
          <w:b/>
          <w:spacing w:val="0"/>
          <w:szCs w:val="24"/>
          <w:rtl/>
        </w:rPr>
        <w:t>סיום</w:t>
      </w:r>
    </w:p>
    <w:p w:rsidR="00761030" w:rsidRDefault="00761030" w:rsidP="00761030">
      <w:pPr>
        <w:pStyle w:val="Ruller41"/>
        <w:rPr>
          <w:rFonts w:ascii="Century" w:hAnsi="Century" w:cs="Miriam"/>
          <w:b/>
          <w:spacing w:val="0"/>
          <w:szCs w:val="24"/>
          <w:rtl/>
        </w:rPr>
      </w:pPr>
    </w:p>
    <w:p w:rsidR="00761030" w:rsidRDefault="00761030" w:rsidP="00761030">
      <w:pPr>
        <w:pStyle w:val="Ruller41"/>
        <w:rPr>
          <w:rFonts w:ascii="Century" w:hAnsi="Century"/>
          <w:rtl/>
        </w:rPr>
      </w:pPr>
      <w:r>
        <w:rPr>
          <w:rFonts w:ascii="Century" w:hAnsi="Century" w:hint="cs"/>
          <w:rtl/>
        </w:rPr>
        <w:t xml:space="preserve">83. </w:t>
      </w:r>
      <w:r>
        <w:rPr>
          <w:rFonts w:ascii="Century" w:hAnsi="Century" w:hint="cs"/>
          <w:rtl/>
        </w:rPr>
        <w:tab/>
        <w:t xml:space="preserve">וכעת, שתי הערות לסיום. האחת </w:t>
      </w:r>
      <w:r>
        <w:rPr>
          <w:rFonts w:ascii="Century" w:hAnsi="Century"/>
          <w:rtl/>
        </w:rPr>
        <w:t>–</w:t>
      </w:r>
      <w:r>
        <w:rPr>
          <w:rFonts w:ascii="Century" w:hAnsi="Century" w:hint="cs"/>
          <w:rtl/>
        </w:rPr>
        <w:t xml:space="preserve"> עניינה בהיסטוריה, והשנייה </w:t>
      </w:r>
      <w:r>
        <w:rPr>
          <w:rFonts w:ascii="Century" w:hAnsi="Century"/>
          <w:rtl/>
        </w:rPr>
        <w:t>–</w:t>
      </w:r>
      <w:r>
        <w:rPr>
          <w:rFonts w:ascii="Century" w:hAnsi="Century" w:hint="cs"/>
          <w:rtl/>
        </w:rPr>
        <w:t xml:space="preserve"> באופן ניהולו של ההליך.</w:t>
      </w:r>
    </w:p>
    <w:p w:rsidR="00761030" w:rsidRDefault="00761030" w:rsidP="00761030">
      <w:pPr>
        <w:pStyle w:val="Ruller41"/>
        <w:rPr>
          <w:rFonts w:ascii="Century" w:hAnsi="Century"/>
          <w:rtl/>
        </w:rPr>
      </w:pPr>
    </w:p>
    <w:p w:rsidR="00761030" w:rsidRPr="000D2DDD" w:rsidRDefault="00761030" w:rsidP="00761030">
      <w:pPr>
        <w:pStyle w:val="Ruller41"/>
        <w:rPr>
          <w:rFonts w:ascii="Century" w:hAnsi="Century" w:cs="Miriam"/>
          <w:b/>
          <w:spacing w:val="0"/>
          <w:szCs w:val="24"/>
          <w:rtl/>
        </w:rPr>
      </w:pPr>
      <w:r>
        <w:rPr>
          <w:rFonts w:ascii="Century" w:hAnsi="Century" w:hint="cs"/>
          <w:rtl/>
        </w:rPr>
        <w:t xml:space="preserve">84. </w:t>
      </w:r>
      <w:r>
        <w:rPr>
          <w:rFonts w:ascii="Century" w:hAnsi="Century" w:hint="cs"/>
          <w:rtl/>
        </w:rPr>
        <w:tab/>
        <w:t xml:space="preserve">ראשית, יש להודות כי הכרעה שיפוטית במקרה כמו זה שבפנינו אינה פשוטה. מורכבותה נובעת מכך שהסכסוך נסב על נכסים שמצבם העובדתי והמשפטי הושפע גם מאירועים מדיניים </w:t>
      </w:r>
      <w:r>
        <w:rPr>
          <w:rFonts w:ascii="Century" w:hAnsi="Century"/>
          <w:rtl/>
        </w:rPr>
        <w:t>–</w:t>
      </w:r>
      <w:r>
        <w:rPr>
          <w:rFonts w:ascii="Century" w:hAnsi="Century" w:hint="cs"/>
          <w:rtl/>
        </w:rPr>
        <w:t xml:space="preserve"> ובהם הימצאותם של הנכסים בתחום ריבונותה של ממלכת ירדן עד לשנת 1967, ולאחר מכן הקנייתם לאפוטרופוס הכללי ושחרורם לידי ההקדש. אכן, מטרתו של חוק הסדרי משפט הייתה לאפשר חזרה של נכסים לבעליהם. אולם, חוק זה לא ביקש למחוק עובדות שנוצרו בשטח, ובכלל זה את דיני ההתיישנות בכל הנוגע להחזקה במקרקעין.</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85.</w:t>
      </w:r>
      <w:r>
        <w:rPr>
          <w:rFonts w:ascii="Century" w:hAnsi="Century" w:hint="cs"/>
          <w:rtl/>
        </w:rPr>
        <w:tab/>
        <w:t xml:space="preserve">שנית, לא אוכל לסיים מבלי להצביע על כך שזוהי פעם נוספת שבה מתנהל סכסוך בעצימות גבוהה בנושא בעל רגישות ציבורית, כאשר מקומן של המדינה ורשויותיה נפקד בהליך באופן שלמצער מעורר שאלות. ניתן להתרשם כי בשנים הרבות שבהן הנכסים היו מוקנים לאפוטרופוס הכללי ניהולם נעשה בעצלתיים. ממילא התעוררה והתחדדה שאלת ההתיישנות, שהיא כאמור בעלת השלכה על מקרים נוספים, אך היועץ המשפטי לממשלה נמנע מלהיכנס בעובי הקורה בסוגיה זו. לרשויות המדינה </w:t>
      </w:r>
      <w:r>
        <w:rPr>
          <w:rFonts w:ascii="Century" w:hAnsi="Century"/>
          <w:rtl/>
        </w:rPr>
        <w:t>–</w:t>
      </w:r>
      <w:r>
        <w:rPr>
          <w:rFonts w:ascii="Century" w:hAnsi="Century" w:hint="cs"/>
          <w:rtl/>
        </w:rPr>
        <w:t xml:space="preserve"> הפתרונים.</w:t>
      </w:r>
    </w:p>
    <w:p w:rsidR="00761030" w:rsidRDefault="00761030" w:rsidP="00761030">
      <w:pPr>
        <w:pStyle w:val="Ruller41"/>
        <w:rPr>
          <w:rFonts w:ascii="Century" w:hAnsi="Century"/>
          <w:rtl/>
        </w:rPr>
      </w:pPr>
    </w:p>
    <w:p w:rsidR="00761030" w:rsidRDefault="00767FC3" w:rsidP="00761030">
      <w:pPr>
        <w:pStyle w:val="Ruller41"/>
        <w:rPr>
          <w:rFonts w:ascii="Century" w:hAnsi="Century" w:cs="Miriam"/>
          <w:b/>
          <w:spacing w:val="0"/>
          <w:szCs w:val="24"/>
          <w:rtl/>
        </w:rPr>
      </w:pPr>
      <w:r>
        <w:rPr>
          <w:rFonts w:ascii="Century" w:hAnsi="Century" w:cs="Miriam" w:hint="cs"/>
          <w:b/>
          <w:spacing w:val="0"/>
          <w:szCs w:val="24"/>
          <w:rtl/>
        </w:rPr>
        <w:t>הערות נוספות</w:t>
      </w:r>
    </w:p>
    <w:p w:rsidR="00761030" w:rsidRDefault="00761030" w:rsidP="00761030">
      <w:pPr>
        <w:pStyle w:val="Ruller41"/>
        <w:rPr>
          <w:rFonts w:ascii="Century" w:hAnsi="Century" w:cs="Miriam"/>
          <w:b/>
          <w:spacing w:val="0"/>
          <w:szCs w:val="24"/>
          <w:rtl/>
        </w:rPr>
      </w:pPr>
    </w:p>
    <w:p w:rsidR="00761030" w:rsidRDefault="00761030" w:rsidP="00761030">
      <w:pPr>
        <w:pStyle w:val="Ruller41"/>
        <w:rPr>
          <w:rFonts w:ascii="Century" w:hAnsi="Century"/>
          <w:rtl/>
        </w:rPr>
      </w:pPr>
      <w:r>
        <w:rPr>
          <w:rFonts w:ascii="Century" w:hAnsi="Century" w:hint="cs"/>
          <w:rtl/>
        </w:rPr>
        <w:t xml:space="preserve">86. </w:t>
      </w:r>
      <w:r>
        <w:rPr>
          <w:rFonts w:ascii="Century" w:hAnsi="Century" w:hint="cs"/>
          <w:rtl/>
        </w:rPr>
        <w:tab/>
        <w:t xml:space="preserve">בשלב זה הגיעו לעיוני חוות הדעת של חבריי השופט </w:t>
      </w:r>
      <w:r w:rsidRPr="00BB634A">
        <w:rPr>
          <w:rFonts w:ascii="Century" w:hAnsi="Century" w:cs="Miriam" w:hint="cs"/>
          <w:b/>
          <w:spacing w:val="0"/>
          <w:szCs w:val="24"/>
          <w:rtl/>
        </w:rPr>
        <w:t>ד' מינץ</w:t>
      </w:r>
      <w:r>
        <w:rPr>
          <w:rFonts w:ascii="Century" w:hAnsi="Century" w:hint="cs"/>
          <w:rtl/>
        </w:rPr>
        <w:t xml:space="preserve"> והשופט י' </w:t>
      </w:r>
      <w:r w:rsidRPr="005C4EB1">
        <w:rPr>
          <w:rFonts w:ascii="Century" w:hAnsi="Century" w:cs="Miriam" w:hint="eastAsia"/>
          <w:b/>
          <w:spacing w:val="0"/>
          <w:szCs w:val="24"/>
          <w:rtl/>
        </w:rPr>
        <w:t>עמית</w:t>
      </w:r>
      <w:r>
        <w:rPr>
          <w:rFonts w:ascii="Century" w:hAnsi="Century" w:hint="cs"/>
          <w:rtl/>
        </w:rPr>
        <w:t xml:space="preserve">, החולקים עליי, מי במידה רבה ומי במידה פחותה, ואף חלוקים ביניהם באשר לתוצאה. בהתחשב בכך, אני מבקשת לחדד את עמדתי במספר נקודות, בקיצור נמרץ.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87. </w:t>
      </w:r>
      <w:r>
        <w:rPr>
          <w:rFonts w:ascii="Century" w:hAnsi="Century" w:hint="cs"/>
          <w:rtl/>
        </w:rPr>
        <w:tab/>
        <w:t xml:space="preserve">אפתח בהתייחסות תמציתית לחוות דעתו של חברי השופט </w:t>
      </w:r>
      <w:r w:rsidRPr="00D1470D">
        <w:rPr>
          <w:rFonts w:ascii="Century" w:hAnsi="Century" w:cs="Miriam"/>
          <w:b/>
          <w:spacing w:val="0"/>
          <w:szCs w:val="24"/>
          <w:rtl/>
        </w:rPr>
        <w:t>מינץ</w:t>
      </w:r>
      <w:r w:rsidRPr="00DE50CA">
        <w:rPr>
          <w:rFonts w:ascii="Century" w:hAnsi="Century"/>
          <w:rtl/>
        </w:rPr>
        <w:t xml:space="preserve"> </w:t>
      </w:r>
      <w:r>
        <w:rPr>
          <w:rFonts w:ascii="Century" w:hAnsi="Century" w:hint="cs"/>
          <w:rtl/>
        </w:rPr>
        <w:t>בכל הנוגע ל</w:t>
      </w:r>
      <w:r w:rsidRPr="005C4EB1">
        <w:rPr>
          <w:rFonts w:ascii="Century" w:hAnsi="Century" w:hint="eastAsia"/>
          <w:rtl/>
        </w:rPr>
        <w:t>נקודות</w:t>
      </w:r>
      <w:r w:rsidRPr="005C4EB1">
        <w:rPr>
          <w:rFonts w:ascii="Century" w:hAnsi="Century"/>
          <w:rtl/>
        </w:rPr>
        <w:t xml:space="preserve"> </w:t>
      </w:r>
      <w:r>
        <w:rPr>
          <w:rFonts w:ascii="Century" w:hAnsi="Century" w:hint="cs"/>
          <w:rtl/>
        </w:rPr>
        <w:t>ה</w:t>
      </w:r>
      <w:r w:rsidRPr="005C4EB1">
        <w:rPr>
          <w:rFonts w:ascii="Century" w:hAnsi="Century" w:hint="eastAsia"/>
          <w:rtl/>
        </w:rPr>
        <w:t>מחלוקת</w:t>
      </w:r>
      <w:r>
        <w:rPr>
          <w:rFonts w:ascii="Century" w:hAnsi="Century" w:hint="cs"/>
          <w:rtl/>
        </w:rPr>
        <w:t xml:space="preserve"> העיקריות בינינו</w:t>
      </w:r>
      <w:r w:rsidRPr="00F84471">
        <w:rPr>
          <w:rFonts w:ascii="Century" w:hAnsi="Century" w:hint="cs"/>
          <w:rtl/>
        </w:rPr>
        <w:t xml:space="preserve">. </w:t>
      </w:r>
      <w:r>
        <w:rPr>
          <w:rFonts w:ascii="Century" w:hAnsi="Century" w:hint="cs"/>
          <w:rtl/>
        </w:rPr>
        <w:t xml:space="preserve">אשוב ואדגיש כי לשיטתי, כפי שסבור אף חברי השופט </w:t>
      </w:r>
      <w:r w:rsidRPr="00710057">
        <w:rPr>
          <w:rFonts w:ascii="Century" w:hAnsi="Century" w:cs="Miriam" w:hint="cs"/>
          <w:b/>
          <w:spacing w:val="0"/>
          <w:szCs w:val="24"/>
          <w:rtl/>
        </w:rPr>
        <w:t>עמית</w:t>
      </w:r>
      <w:r>
        <w:rPr>
          <w:rFonts w:ascii="Century" w:hAnsi="Century" w:hint="cs"/>
          <w:rtl/>
        </w:rPr>
        <w:t>, המקרה שבפנינו הוא מקרה מובהק להענקת רשות ערעור. בהמשך לאמור בפסקה 43 לעיל, אני סבורה כי זהו מקרה שבו השלם גדול יותר מסך כול חלקיו, במובן זה שחוברים להם מספר שיקולים, אשר גם אם לא היה די בכל אחד מהם בעומדו לבדו, יש ויש בהם די והותר להענקת רשות ערעור, בהצטברם יחד. כך, המקרה דנן מעורר שאלה משפטית עקרונית שאליבא דכול הדעות לא ניתן לה מענה בפסיקתו של בית משפט זה וההכרעה בה עשויה להשליך על הליכים רבים המתנהלים בערכאות השונות. לכך מצטרפת גם הרגישות המיוחדת שבה יש לנהוג כאשר הסוגיה המובאת לפתחנו משליכה על קיומה של קורת גג מעל לראשם של המערערים על כל המשמעויות כבדות המשקל הנלוות לכך. אף אחד משיקולים אלה אינו עומד לבדו, ופירוקם ל"אטומים" בודדים אינו עושה צדק עם המקרה שבפנינו.</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88. </w:t>
      </w:r>
      <w:r>
        <w:rPr>
          <w:rFonts w:ascii="Century" w:hAnsi="Century" w:hint="cs"/>
          <w:rtl/>
        </w:rPr>
        <w:tab/>
        <w:t xml:space="preserve">באשר לטענת החזקה הנוגדת, אני מבקשת לשוב ולציין כי הנחתו של חברי השופט </w:t>
      </w:r>
      <w:r w:rsidRPr="00C04D76">
        <w:rPr>
          <w:rFonts w:ascii="Century" w:hAnsi="Century" w:cs="Miriam" w:hint="eastAsia"/>
          <w:b/>
          <w:spacing w:val="0"/>
          <w:szCs w:val="24"/>
          <w:rtl/>
        </w:rPr>
        <w:t>מינץ</w:t>
      </w:r>
      <w:r>
        <w:rPr>
          <w:rFonts w:ascii="Century" w:hAnsi="Century" w:hint="cs"/>
          <w:rtl/>
        </w:rPr>
        <w:t xml:space="preserve"> לפיה על המערערים להוכיח מבראשית את זיקתם למקרקעין באמצעות חשבונות שונים, אינה משקפת נכונה את ההלכה הפסוקה במאטריה שבה עסקינן. יש אמנם הקשרים משפטיים אחרים שבהם הטוען לזכות או למעמד נדרש להוכיח ישיבה במקום באמצעות הצגת רצף של חשבונות ומסמכים רשמיים (למשל, לצורך הוכחת תושבות בישראל). אולם, אין הדבר כן בסוגיה המשפטית העומדת להכרעתנו. הדברים אמורים מבלי לגרוע מתוקפן של ראיות למכביר שהוצגו לישיבתם של המערערים במקרקעין, לרבות הליכים שנוהלו נגדם בגין בנייה בלתי חוקית במקום. האין זו ראיה מכרעת?</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 xml:space="preserve">89. </w:t>
      </w:r>
      <w:r>
        <w:rPr>
          <w:rFonts w:ascii="Century" w:hAnsi="Century" w:hint="cs"/>
          <w:rtl/>
        </w:rPr>
        <w:tab/>
        <w:t xml:space="preserve">היבט נוסף שבו חולק עלי חברי השופט </w:t>
      </w:r>
      <w:r w:rsidRPr="004B5CE2">
        <w:rPr>
          <w:rFonts w:ascii="Century" w:hAnsi="Century" w:cs="Miriam" w:hint="eastAsia"/>
          <w:b/>
          <w:spacing w:val="0"/>
          <w:szCs w:val="24"/>
          <w:rtl/>
        </w:rPr>
        <w:t>מינץ</w:t>
      </w:r>
      <w:r>
        <w:rPr>
          <w:rFonts w:ascii="Century" w:hAnsi="Century" w:hint="cs"/>
          <w:rtl/>
        </w:rPr>
        <w:t xml:space="preserve">, ובעניין זה מסכים עמו אף חברי השופט </w:t>
      </w:r>
      <w:r w:rsidRPr="004B5CE2">
        <w:rPr>
          <w:rFonts w:ascii="Century" w:hAnsi="Century" w:cs="Miriam" w:hint="eastAsia"/>
          <w:b/>
          <w:spacing w:val="0"/>
          <w:szCs w:val="24"/>
          <w:rtl/>
        </w:rPr>
        <w:t>עמית</w:t>
      </w:r>
      <w:r>
        <w:rPr>
          <w:rFonts w:ascii="Century" w:hAnsi="Century" w:hint="cs"/>
          <w:rtl/>
        </w:rPr>
        <w:t xml:space="preserve">, נוגע לשאלה באיזו מידה ניתן לזקוף לחובת הבעלים את ידיעתו של האפוטרופוס הכללי, וזאת לצורך החלתו של סעיף 8 לחוק ההתיישנות. חברי השופט </w:t>
      </w:r>
      <w:r w:rsidRPr="004D2124">
        <w:rPr>
          <w:rFonts w:ascii="Century" w:hAnsi="Century" w:cs="Miriam" w:hint="eastAsia"/>
          <w:b/>
          <w:spacing w:val="0"/>
          <w:szCs w:val="24"/>
          <w:rtl/>
        </w:rPr>
        <w:t>עמית</w:t>
      </w:r>
      <w:r>
        <w:rPr>
          <w:rFonts w:ascii="Century" w:hAnsi="Century" w:hint="cs"/>
          <w:rtl/>
        </w:rPr>
        <w:t xml:space="preserve"> מטעים בקשר לכך כי האפוטרופוס אינו יכול להיחשב "חליף" של הבעלים, מאחר שאין מדובר במצב טיפוסי של חליפות, המבוססת על בחירה רצונית. דעתי כאמור שונה, ואבקש להבהיר ולו בקצרה את טעמיי. אכן, המקרה של העברת הנכסים לאפוטרופוס הכללי אינו מצב של חליפות רצונית. אולם, אין בכך בלבד כדי לאבחן את המקרה ממצבים אחרים של חליפות. למעשה, יש להדגיש כי הקושי שעליו עומדים חבריי אינו ייחודי למקרה זה, </w:t>
      </w:r>
      <w:r w:rsidRPr="00A33F56">
        <w:rPr>
          <w:rFonts w:ascii="Century" w:hAnsi="Century" w:hint="cs"/>
          <w:rtl/>
        </w:rPr>
        <w:t xml:space="preserve">ומתעורר אף בהקשרים </w:t>
      </w:r>
      <w:r>
        <w:rPr>
          <w:rFonts w:ascii="Century" w:hAnsi="Century" w:hint="cs"/>
          <w:rtl/>
        </w:rPr>
        <w:t>נוספים</w:t>
      </w:r>
      <w:r w:rsidRPr="00A33F56">
        <w:rPr>
          <w:rFonts w:ascii="Century" w:hAnsi="Century" w:hint="cs"/>
          <w:rtl/>
        </w:rPr>
        <w:t>.</w:t>
      </w:r>
      <w:r w:rsidRPr="00AD7077">
        <w:rPr>
          <w:rFonts w:ascii="Century" w:hAnsi="Century" w:hint="cs"/>
          <w:rtl/>
        </w:rPr>
        <w:t xml:space="preserve"> כך למשל, גם מרוץ ההתיישנות ביחס ל</w:t>
      </w:r>
      <w:r w:rsidRPr="00A33F56">
        <w:rPr>
          <w:rFonts w:ascii="Century" w:hAnsi="Century" w:hint="eastAsia"/>
          <w:rtl/>
        </w:rPr>
        <w:t>יורש</w:t>
      </w:r>
      <w:r w:rsidRPr="00A33F56">
        <w:rPr>
          <w:rFonts w:ascii="Century" w:hAnsi="Century"/>
          <w:rtl/>
        </w:rPr>
        <w:t xml:space="preserve">, </w:t>
      </w:r>
      <w:r w:rsidRPr="00A33F56">
        <w:rPr>
          <w:rFonts w:ascii="Century" w:hAnsi="Century" w:hint="eastAsia"/>
          <w:rtl/>
        </w:rPr>
        <w:t>שבא</w:t>
      </w:r>
      <w:r w:rsidRPr="00A33F56">
        <w:rPr>
          <w:rFonts w:ascii="Century" w:hAnsi="Century"/>
          <w:rtl/>
        </w:rPr>
        <w:t xml:space="preserve"> </w:t>
      </w:r>
      <w:r w:rsidRPr="00A33F56">
        <w:rPr>
          <w:rFonts w:ascii="Century" w:hAnsi="Century" w:hint="eastAsia"/>
          <w:rtl/>
        </w:rPr>
        <w:t>בנעלי</w:t>
      </w:r>
      <w:r w:rsidRPr="00A33F56">
        <w:rPr>
          <w:rFonts w:ascii="Century" w:hAnsi="Century"/>
          <w:rtl/>
        </w:rPr>
        <w:t xml:space="preserve"> </w:t>
      </w:r>
      <w:r w:rsidRPr="00A33F56">
        <w:rPr>
          <w:rFonts w:ascii="Century" w:hAnsi="Century" w:hint="eastAsia"/>
          <w:rtl/>
        </w:rPr>
        <w:t>המוריש</w:t>
      </w:r>
      <w:r w:rsidRPr="00A33F56">
        <w:rPr>
          <w:rFonts w:ascii="Century" w:hAnsi="Century"/>
          <w:rtl/>
        </w:rPr>
        <w:t xml:space="preserve"> </w:t>
      </w:r>
      <w:r w:rsidRPr="00A33F56">
        <w:rPr>
          <w:rFonts w:ascii="Century" w:hAnsi="Century" w:hint="eastAsia"/>
          <w:rtl/>
        </w:rPr>
        <w:t>שלא</w:t>
      </w:r>
      <w:r w:rsidRPr="00A33F56">
        <w:rPr>
          <w:rFonts w:ascii="Century" w:hAnsi="Century"/>
          <w:rtl/>
        </w:rPr>
        <w:t xml:space="preserve"> </w:t>
      </w:r>
      <w:r w:rsidRPr="00A33F56">
        <w:rPr>
          <w:rFonts w:ascii="Century" w:hAnsi="Century" w:hint="eastAsia"/>
          <w:rtl/>
        </w:rPr>
        <w:t>מבחירה</w:t>
      </w:r>
      <w:r w:rsidRPr="00A33F56">
        <w:rPr>
          <w:rFonts w:ascii="Century" w:hAnsi="Century"/>
          <w:rtl/>
        </w:rPr>
        <w:t xml:space="preserve">, </w:t>
      </w:r>
      <w:r w:rsidRPr="00A33F56">
        <w:rPr>
          <w:rFonts w:ascii="Century" w:hAnsi="Century" w:hint="eastAsia"/>
          <w:rtl/>
        </w:rPr>
        <w:t>מתחיל</w:t>
      </w:r>
      <w:r w:rsidRPr="00A33F56">
        <w:rPr>
          <w:rFonts w:ascii="Century" w:hAnsi="Century"/>
          <w:rtl/>
        </w:rPr>
        <w:t xml:space="preserve"> </w:t>
      </w:r>
      <w:r w:rsidRPr="00A33F56">
        <w:rPr>
          <w:rFonts w:ascii="Century" w:hAnsi="Century" w:hint="eastAsia"/>
          <w:rtl/>
        </w:rPr>
        <w:t>מנקודת</w:t>
      </w:r>
      <w:r w:rsidRPr="00A33F56">
        <w:rPr>
          <w:rFonts w:ascii="Century" w:hAnsi="Century"/>
          <w:rtl/>
        </w:rPr>
        <w:t xml:space="preserve"> </w:t>
      </w:r>
      <w:r w:rsidRPr="00A33F56">
        <w:rPr>
          <w:rFonts w:ascii="Century" w:hAnsi="Century" w:hint="eastAsia"/>
          <w:rtl/>
        </w:rPr>
        <w:t>הזמן</w:t>
      </w:r>
      <w:r w:rsidRPr="00A33F56">
        <w:rPr>
          <w:rFonts w:ascii="Century" w:hAnsi="Century"/>
          <w:rtl/>
        </w:rPr>
        <w:t xml:space="preserve"> </w:t>
      </w:r>
      <w:r w:rsidRPr="00A33F56">
        <w:rPr>
          <w:rFonts w:ascii="Century" w:hAnsi="Century" w:hint="eastAsia"/>
          <w:rtl/>
        </w:rPr>
        <w:t>שבה</w:t>
      </w:r>
      <w:r w:rsidRPr="00A33F56">
        <w:rPr>
          <w:rFonts w:ascii="Century" w:hAnsi="Century"/>
          <w:rtl/>
        </w:rPr>
        <w:t xml:space="preserve"> </w:t>
      </w:r>
      <w:r w:rsidRPr="00A33F56">
        <w:rPr>
          <w:rFonts w:ascii="Century" w:hAnsi="Century" w:hint="eastAsia"/>
          <w:rtl/>
        </w:rPr>
        <w:t>ידע</w:t>
      </w:r>
      <w:r w:rsidRPr="00A33F56">
        <w:rPr>
          <w:rFonts w:ascii="Century" w:hAnsi="Century"/>
          <w:rtl/>
        </w:rPr>
        <w:t xml:space="preserve"> </w:t>
      </w:r>
      <w:r w:rsidRPr="00A33F56">
        <w:rPr>
          <w:rFonts w:ascii="Century" w:hAnsi="Century" w:hint="eastAsia"/>
          <w:rtl/>
        </w:rPr>
        <w:t>התובע</w:t>
      </w:r>
      <w:r w:rsidRPr="00A33F56">
        <w:rPr>
          <w:rFonts w:ascii="Century" w:hAnsi="Century"/>
          <w:rtl/>
        </w:rPr>
        <w:t xml:space="preserve"> </w:t>
      </w:r>
      <w:r w:rsidRPr="00A33F56">
        <w:rPr>
          <w:rFonts w:ascii="Century" w:hAnsi="Century" w:hint="eastAsia"/>
          <w:rtl/>
        </w:rPr>
        <w:t>המקורי</w:t>
      </w:r>
      <w:r w:rsidRPr="00A33F56">
        <w:rPr>
          <w:rFonts w:ascii="Century" w:hAnsi="Century"/>
          <w:rtl/>
        </w:rPr>
        <w:t xml:space="preserve">, </w:t>
      </w:r>
      <w:r w:rsidRPr="00A33F56">
        <w:rPr>
          <w:rFonts w:ascii="Century" w:hAnsi="Century" w:hint="eastAsia"/>
          <w:rtl/>
        </w:rPr>
        <w:t>או</w:t>
      </w:r>
      <w:r w:rsidRPr="00A33F56">
        <w:rPr>
          <w:rFonts w:ascii="Century" w:hAnsi="Century"/>
          <w:rtl/>
        </w:rPr>
        <w:t xml:space="preserve"> </w:t>
      </w:r>
      <w:r w:rsidRPr="00A33F56">
        <w:rPr>
          <w:rFonts w:ascii="Century" w:hAnsi="Century" w:hint="eastAsia"/>
          <w:rtl/>
        </w:rPr>
        <w:t>צריך</w:t>
      </w:r>
      <w:r w:rsidRPr="00A33F56">
        <w:rPr>
          <w:rFonts w:ascii="Century" w:hAnsi="Century"/>
          <w:rtl/>
        </w:rPr>
        <w:t xml:space="preserve"> </w:t>
      </w:r>
      <w:r w:rsidRPr="00A33F56">
        <w:rPr>
          <w:rFonts w:ascii="Century" w:hAnsi="Century" w:hint="eastAsia"/>
          <w:rtl/>
        </w:rPr>
        <w:t>היה</w:t>
      </w:r>
      <w:r w:rsidRPr="00A33F56">
        <w:rPr>
          <w:rFonts w:ascii="Century" w:hAnsi="Century"/>
          <w:rtl/>
        </w:rPr>
        <w:t xml:space="preserve"> </w:t>
      </w:r>
      <w:r w:rsidRPr="00A33F56">
        <w:rPr>
          <w:rFonts w:ascii="Century" w:hAnsi="Century" w:hint="eastAsia"/>
          <w:rtl/>
        </w:rPr>
        <w:t>לדעת</w:t>
      </w:r>
      <w:r w:rsidRPr="00A33F56">
        <w:rPr>
          <w:rFonts w:ascii="Century" w:hAnsi="Century"/>
          <w:rtl/>
        </w:rPr>
        <w:t xml:space="preserve">, </w:t>
      </w:r>
      <w:r w:rsidRPr="00A33F56">
        <w:rPr>
          <w:rFonts w:ascii="Century" w:hAnsi="Century" w:hint="eastAsia"/>
          <w:rtl/>
        </w:rPr>
        <w:t>על</w:t>
      </w:r>
      <w:r w:rsidRPr="00A33F56">
        <w:rPr>
          <w:rFonts w:ascii="Century" w:hAnsi="Century"/>
          <w:rtl/>
        </w:rPr>
        <w:t xml:space="preserve"> </w:t>
      </w:r>
      <w:r w:rsidRPr="00A33F56">
        <w:rPr>
          <w:rFonts w:ascii="Century" w:hAnsi="Century" w:hint="eastAsia"/>
          <w:rtl/>
        </w:rPr>
        <w:t>העובדות</w:t>
      </w:r>
      <w:r w:rsidRPr="00A33F56">
        <w:rPr>
          <w:rFonts w:ascii="Century" w:hAnsi="Century"/>
          <w:rtl/>
        </w:rPr>
        <w:t xml:space="preserve"> </w:t>
      </w:r>
      <w:r w:rsidRPr="00A33F56">
        <w:rPr>
          <w:rFonts w:ascii="Century" w:hAnsi="Century" w:hint="eastAsia"/>
          <w:rtl/>
        </w:rPr>
        <w:t>הדרושות</w:t>
      </w:r>
      <w:r w:rsidRPr="00A33F56">
        <w:rPr>
          <w:rFonts w:ascii="Century" w:hAnsi="Century"/>
          <w:rtl/>
        </w:rPr>
        <w:t xml:space="preserve"> </w:t>
      </w:r>
      <w:r w:rsidRPr="00A33F56">
        <w:rPr>
          <w:rFonts w:ascii="Century" w:hAnsi="Century" w:hint="eastAsia"/>
          <w:rtl/>
        </w:rPr>
        <w:t>להגשת</w:t>
      </w:r>
      <w:r w:rsidRPr="00A33F56">
        <w:rPr>
          <w:rFonts w:ascii="Century" w:hAnsi="Century"/>
          <w:rtl/>
        </w:rPr>
        <w:t xml:space="preserve"> </w:t>
      </w:r>
      <w:r w:rsidRPr="00A33F56">
        <w:rPr>
          <w:rFonts w:ascii="Century" w:hAnsi="Century" w:hint="eastAsia"/>
          <w:rtl/>
        </w:rPr>
        <w:t>התביעה</w:t>
      </w:r>
      <w:r w:rsidRPr="00A33F56">
        <w:rPr>
          <w:rFonts w:ascii="Century" w:hAnsi="Century"/>
          <w:rtl/>
        </w:rPr>
        <w:t xml:space="preserve"> </w:t>
      </w:r>
      <w:r>
        <w:rPr>
          <w:rFonts w:ascii="Century" w:hAnsi="Century" w:hint="cs"/>
          <w:rtl/>
        </w:rPr>
        <w:t xml:space="preserve">(ראו: סעיף 18 לחוק ההתיישנות. כן ראו: </w:t>
      </w:r>
      <w:r w:rsidRPr="00164DD2">
        <w:rPr>
          <w:rFonts w:ascii="Century" w:hAnsi="Century" w:cs="Miriam" w:hint="eastAsia"/>
          <w:b/>
          <w:spacing w:val="0"/>
          <w:szCs w:val="24"/>
          <w:rtl/>
        </w:rPr>
        <w:t>חבקין</w:t>
      </w:r>
      <w:r>
        <w:rPr>
          <w:rFonts w:ascii="Century" w:hAnsi="Century" w:hint="cs"/>
          <w:rtl/>
        </w:rPr>
        <w:t xml:space="preserve">, בעמ' 253-252; </w:t>
      </w:r>
      <w:r>
        <w:rPr>
          <w:rFonts w:ascii="Century" w:hAnsi="Century"/>
          <w:rtl/>
        </w:rPr>
        <w:t xml:space="preserve">ישראל גלעד </w:t>
      </w:r>
      <w:r w:rsidRPr="00C23372">
        <w:rPr>
          <w:rFonts w:ascii="Century" w:hAnsi="Century" w:cs="Miriam" w:hint="eastAsia"/>
          <w:b/>
          <w:spacing w:val="0"/>
          <w:szCs w:val="24"/>
          <w:rtl/>
        </w:rPr>
        <w:t>התיישנות</w:t>
      </w:r>
      <w:r w:rsidRPr="00C23372">
        <w:rPr>
          <w:rFonts w:ascii="Century" w:hAnsi="Century" w:cs="Miriam"/>
          <w:b/>
          <w:spacing w:val="0"/>
          <w:szCs w:val="24"/>
          <w:rtl/>
        </w:rPr>
        <w:t xml:space="preserve"> </w:t>
      </w:r>
      <w:r w:rsidRPr="00C23372">
        <w:rPr>
          <w:rFonts w:ascii="Century" w:hAnsi="Century" w:cs="Miriam" w:hint="eastAsia"/>
          <w:b/>
          <w:spacing w:val="0"/>
          <w:szCs w:val="24"/>
          <w:rtl/>
        </w:rPr>
        <w:t>בדין</w:t>
      </w:r>
      <w:r w:rsidRPr="00C23372">
        <w:rPr>
          <w:rFonts w:ascii="Century" w:hAnsi="Century" w:cs="Miriam"/>
          <w:b/>
          <w:spacing w:val="0"/>
          <w:szCs w:val="24"/>
          <w:rtl/>
        </w:rPr>
        <w:t xml:space="preserve"> </w:t>
      </w:r>
      <w:r w:rsidRPr="00C23372">
        <w:rPr>
          <w:rFonts w:ascii="Century" w:hAnsi="Century" w:cs="Miriam" w:hint="eastAsia"/>
          <w:b/>
          <w:spacing w:val="0"/>
          <w:szCs w:val="24"/>
          <w:rtl/>
        </w:rPr>
        <w:t>האזרחי</w:t>
      </w:r>
      <w:r>
        <w:rPr>
          <w:rFonts w:ascii="Century" w:hAnsi="Century" w:hint="cs"/>
          <w:rtl/>
        </w:rPr>
        <w:t xml:space="preserve"> 411-410 </w:t>
      </w:r>
      <w:r w:rsidRPr="000C3337">
        <w:rPr>
          <w:rFonts w:ascii="Century" w:hAnsi="Century"/>
          <w:rtl/>
        </w:rPr>
        <w:t>(2022)</w:t>
      </w:r>
      <w:r>
        <w:rPr>
          <w:rFonts w:ascii="Century" w:hAnsi="Century" w:hint="cs"/>
          <w:rtl/>
        </w:rPr>
        <w:t xml:space="preserve"> (להלן: </w:t>
      </w:r>
      <w:r>
        <w:rPr>
          <w:rFonts w:ascii="Century" w:hAnsi="Century" w:cs="Miriam" w:hint="cs"/>
          <w:b/>
          <w:spacing w:val="0"/>
          <w:szCs w:val="24"/>
          <w:rtl/>
        </w:rPr>
        <w:t xml:space="preserve">גלעד, </w:t>
      </w:r>
      <w:r w:rsidRPr="00C23372">
        <w:rPr>
          <w:rFonts w:ascii="Century" w:hAnsi="Century" w:cs="Miriam" w:hint="eastAsia"/>
          <w:b/>
          <w:spacing w:val="0"/>
          <w:szCs w:val="24"/>
          <w:rtl/>
        </w:rPr>
        <w:t>התיישנות</w:t>
      </w:r>
      <w:r w:rsidRPr="00C23372">
        <w:rPr>
          <w:rFonts w:ascii="Century" w:hAnsi="Century" w:cs="Miriam"/>
          <w:b/>
          <w:spacing w:val="0"/>
          <w:szCs w:val="24"/>
          <w:rtl/>
        </w:rPr>
        <w:t xml:space="preserve"> </w:t>
      </w:r>
      <w:r w:rsidRPr="00C23372">
        <w:rPr>
          <w:rFonts w:ascii="Century" w:hAnsi="Century" w:cs="Miriam" w:hint="eastAsia"/>
          <w:b/>
          <w:spacing w:val="0"/>
          <w:szCs w:val="24"/>
          <w:rtl/>
        </w:rPr>
        <w:t>בדין</w:t>
      </w:r>
      <w:r w:rsidRPr="00C23372">
        <w:rPr>
          <w:rFonts w:ascii="Century" w:hAnsi="Century" w:cs="Miriam"/>
          <w:b/>
          <w:spacing w:val="0"/>
          <w:szCs w:val="24"/>
          <w:rtl/>
        </w:rPr>
        <w:t xml:space="preserve"> </w:t>
      </w:r>
      <w:r w:rsidRPr="00C23372">
        <w:rPr>
          <w:rFonts w:ascii="Century" w:hAnsi="Century" w:cs="Miriam" w:hint="eastAsia"/>
          <w:b/>
          <w:spacing w:val="0"/>
          <w:szCs w:val="24"/>
          <w:rtl/>
        </w:rPr>
        <w:t>האזרחי</w:t>
      </w:r>
      <w:r>
        <w:rPr>
          <w:rFonts w:ascii="Century" w:hAnsi="Century" w:hint="cs"/>
          <w:rtl/>
        </w:rPr>
        <w:t xml:space="preserve">)). חשוב להדגיש, כי המקרה של יורש אינו המצב היחיד של חליפות לא-רצונית הנופלת לגדרו של סעיף 18 לחוק ההתיישנות. אלה הם פני הדברים גם במקרים אחרים שבהם החליפות נעשית מכוח הדין, לרבות הסדרים משפטיים של נאמנות, אפוטרופסות וכינוס נכסים. כך עולה במפורש גם מפסיקתו של בית משפט זה בעניין </w:t>
      </w:r>
      <w:r w:rsidRPr="00C23372">
        <w:rPr>
          <w:rFonts w:ascii="Century" w:hAnsi="Century" w:cs="Miriam" w:hint="eastAsia"/>
          <w:b/>
          <w:spacing w:val="0"/>
          <w:szCs w:val="24"/>
          <w:rtl/>
        </w:rPr>
        <w:t>יעקובסון</w:t>
      </w:r>
      <w:r w:rsidRPr="00330A97">
        <w:rPr>
          <w:rFonts w:ascii="Century" w:hAnsi="Century" w:hint="cs"/>
          <w:rtl/>
        </w:rPr>
        <w:t xml:space="preserve"> </w:t>
      </w:r>
      <w:r>
        <w:rPr>
          <w:rFonts w:ascii="Century" w:hAnsi="Century" w:hint="cs"/>
          <w:rtl/>
        </w:rPr>
        <w:t xml:space="preserve">(ע"א </w:t>
      </w:r>
      <w:r w:rsidRPr="00330A97">
        <w:rPr>
          <w:rFonts w:ascii="Century" w:hAnsi="Century"/>
          <w:rtl/>
        </w:rPr>
        <w:t xml:space="preserve">242/66 </w:t>
      </w:r>
      <w:r w:rsidRPr="00C23372">
        <w:rPr>
          <w:rFonts w:ascii="Century" w:hAnsi="Century" w:cs="Miriam" w:hint="eastAsia"/>
          <w:b/>
          <w:spacing w:val="0"/>
          <w:szCs w:val="24"/>
          <w:rtl/>
        </w:rPr>
        <w:t>יעקובסון</w:t>
      </w:r>
      <w:r w:rsidRPr="00C23372">
        <w:rPr>
          <w:rFonts w:ascii="Century" w:hAnsi="Century" w:cs="Miriam"/>
          <w:b/>
          <w:spacing w:val="0"/>
          <w:szCs w:val="24"/>
          <w:rtl/>
        </w:rPr>
        <w:t xml:space="preserve"> </w:t>
      </w:r>
      <w:r w:rsidRPr="00C23372">
        <w:rPr>
          <w:rFonts w:ascii="Century" w:hAnsi="Century" w:cs="Miriam" w:hint="eastAsia"/>
          <w:b/>
          <w:spacing w:val="0"/>
          <w:szCs w:val="24"/>
          <w:rtl/>
        </w:rPr>
        <w:t>נ</w:t>
      </w:r>
      <w:r w:rsidRPr="00C23372">
        <w:rPr>
          <w:rFonts w:ascii="Century" w:hAnsi="Century" w:cs="Miriam"/>
          <w:b/>
          <w:spacing w:val="0"/>
          <w:szCs w:val="24"/>
          <w:rtl/>
        </w:rPr>
        <w:t xml:space="preserve">' </w:t>
      </w:r>
      <w:r w:rsidRPr="00C23372">
        <w:rPr>
          <w:rFonts w:ascii="Century" w:hAnsi="Century" w:cs="Miriam" w:hint="eastAsia"/>
          <w:b/>
          <w:spacing w:val="0"/>
          <w:szCs w:val="24"/>
          <w:rtl/>
        </w:rPr>
        <w:t>גז</w:t>
      </w:r>
      <w:r w:rsidRPr="00330A97">
        <w:rPr>
          <w:rFonts w:ascii="Century" w:hAnsi="Century"/>
          <w:rtl/>
        </w:rPr>
        <w:t>, פ"ד כא(1) 85, 98 (1967)</w:t>
      </w:r>
      <w:r>
        <w:rPr>
          <w:rFonts w:ascii="Century" w:hAnsi="Century" w:hint="cs"/>
          <w:rtl/>
        </w:rPr>
        <w:t xml:space="preserve">. כן ראו: </w:t>
      </w:r>
      <w:r w:rsidRPr="00CA1E11">
        <w:rPr>
          <w:rFonts w:ascii="Century" w:hAnsi="Century" w:cs="Miriam" w:hint="cs"/>
          <w:b/>
          <w:spacing w:val="0"/>
          <w:szCs w:val="24"/>
          <w:rtl/>
        </w:rPr>
        <w:t xml:space="preserve">גלעד, </w:t>
      </w:r>
      <w:r w:rsidRPr="00CA1E11">
        <w:rPr>
          <w:rFonts w:ascii="Century" w:hAnsi="Century" w:cs="Miriam" w:hint="eastAsia"/>
          <w:b/>
          <w:spacing w:val="0"/>
          <w:szCs w:val="24"/>
          <w:rtl/>
        </w:rPr>
        <w:t>התיישנות</w:t>
      </w:r>
      <w:r w:rsidRPr="00CA1E11">
        <w:rPr>
          <w:rFonts w:ascii="Century" w:hAnsi="Century" w:cs="Miriam"/>
          <w:b/>
          <w:spacing w:val="0"/>
          <w:szCs w:val="24"/>
          <w:rtl/>
        </w:rPr>
        <w:t xml:space="preserve"> </w:t>
      </w:r>
      <w:r w:rsidRPr="00CA1E11">
        <w:rPr>
          <w:rFonts w:ascii="Century" w:hAnsi="Century" w:cs="Miriam" w:hint="eastAsia"/>
          <w:b/>
          <w:spacing w:val="0"/>
          <w:szCs w:val="24"/>
          <w:rtl/>
        </w:rPr>
        <w:t>בדין</w:t>
      </w:r>
      <w:r w:rsidRPr="00CA1E11">
        <w:rPr>
          <w:rFonts w:ascii="Century" w:hAnsi="Century" w:cs="Miriam"/>
          <w:b/>
          <w:spacing w:val="0"/>
          <w:szCs w:val="24"/>
          <w:rtl/>
        </w:rPr>
        <w:t xml:space="preserve"> </w:t>
      </w:r>
      <w:r w:rsidRPr="00CA1E11">
        <w:rPr>
          <w:rFonts w:ascii="Century" w:hAnsi="Century" w:cs="Miriam" w:hint="eastAsia"/>
          <w:b/>
          <w:spacing w:val="0"/>
          <w:szCs w:val="24"/>
          <w:rtl/>
        </w:rPr>
        <w:t>האזרחי</w:t>
      </w:r>
      <w:r>
        <w:rPr>
          <w:rFonts w:ascii="Century" w:hAnsi="Century" w:hint="cs"/>
          <w:rtl/>
        </w:rPr>
        <w:t xml:space="preserve">, בעמ' 492-491). עקרונות אלה קיבלו ביטוי אף בנוסח </w:t>
      </w:r>
      <w:r>
        <w:rPr>
          <w:rFonts w:ascii="FrankRuehl" w:hAnsi="FrankRuehl" w:hint="cs"/>
          <w:color w:val="000000"/>
          <w:sz w:val="28"/>
          <w:rtl/>
        </w:rPr>
        <w:t xml:space="preserve">המוצע לסעיף 834 </w:t>
      </w:r>
      <w:r>
        <w:rPr>
          <w:rFonts w:ascii="FrankRuehl" w:hAnsi="FrankRuehl"/>
          <w:color w:val="000000"/>
          <w:sz w:val="28"/>
          <w:rtl/>
        </w:rPr>
        <w:t>להצעת חוק דיני ממונות, התשע״א-2011</w:t>
      </w:r>
      <w:r>
        <w:rPr>
          <w:rFonts w:ascii="FrankRuehl" w:hAnsi="FrankRuehl" w:hint="cs"/>
          <w:color w:val="000000"/>
          <w:sz w:val="28"/>
          <w:rtl/>
        </w:rPr>
        <w:t xml:space="preserve"> (כמפורט בדברי ההסבר לו. ראו: </w:t>
      </w:r>
      <w:r>
        <w:rPr>
          <w:rFonts w:ascii="FrankRuehl" w:hAnsi="FrankRuehl"/>
          <w:color w:val="000000"/>
          <w:sz w:val="28"/>
          <w:rtl/>
        </w:rPr>
        <w:t xml:space="preserve">ה״ח הממשלה 700, </w:t>
      </w:r>
      <w:r>
        <w:rPr>
          <w:rFonts w:ascii="FrankRuehl" w:hAnsi="FrankRuehl" w:hint="cs"/>
          <w:color w:val="000000"/>
          <w:sz w:val="28"/>
          <w:rtl/>
        </w:rPr>
        <w:t>1060</w:t>
      </w:r>
      <w:r>
        <w:rPr>
          <w:rFonts w:ascii="Century" w:hAnsi="Century" w:hint="cs"/>
          <w:rtl/>
        </w:rPr>
        <w:t xml:space="preserve">)). עניינו של היורש מובחן רק בעניין אחד, שנזכר במפורש בסיפא לסעיף 18 לחוק ההתיישנות, והוא הארכתה של תקופת ההתיישנות למשך של עד שנה לאחר פטירתו של המוריש. הסדר הארכה מיוחד אחר נקבע גם בסעיף 11 לחוק ההתיישנות בעניינו של לקוי בנפשו. מכלול זה מחייב להחיל אותו עיקרון עצמו גם ביחס לענייננו: שרשרת העברת הזכויות, במודע או שלא במודע, מכוח הדין או מרצון, אינה עוצרת את מרוץ ההתיישנות. </w:t>
      </w:r>
    </w:p>
    <w:p w:rsidR="00761030" w:rsidRDefault="00761030" w:rsidP="00761030">
      <w:pPr>
        <w:pStyle w:val="Ruller41"/>
        <w:rPr>
          <w:rFonts w:ascii="Century" w:hAnsi="Century"/>
          <w:rtl/>
        </w:rPr>
      </w:pPr>
    </w:p>
    <w:p w:rsidR="00761030" w:rsidRDefault="00761030" w:rsidP="00761030">
      <w:pPr>
        <w:pStyle w:val="Ruller41"/>
        <w:rPr>
          <w:rFonts w:ascii="Century" w:hAnsi="Century"/>
          <w:rtl/>
        </w:rPr>
      </w:pPr>
      <w:r>
        <w:rPr>
          <w:rFonts w:ascii="Century" w:hAnsi="Century" w:hint="cs"/>
          <w:rtl/>
        </w:rPr>
        <w:t>90.</w:t>
      </w:r>
      <w:r>
        <w:rPr>
          <w:rFonts w:ascii="Century" w:hAnsi="Century" w:hint="cs"/>
          <w:rtl/>
        </w:rPr>
        <w:tab/>
        <w:t>מנגד, גישתם של חבריי מעוררת לטעמי קשיים לא מבוטלים כשלעצמה. דחיית ההתייחסות לאפוטרופוס כחליף עלולה להוביל להארכה של תקופת ההתיישנות למשך פרק זמן ארוך מאד, אולי אף עשרות שנים בחלק מן המקרים, באופן שכרוך בפגיעה קשה בזכויות ובאינטרס ההסתמכות של מי שמתגוררים בנכסים שבהם מדובר. מאזן ההגינות של דיני ההתיישנות מחייב להביא בחשבון אף שיקולים אלה. זאת ועוד: דומה שאי-התחשבות בידיעתו של האפוטרופוס הכללי לצורך תחולתו של סעיף 8 לחוק התיישנות אינה מיטבית אף מבחינת החתירה ליצירת תמריצים מתאימים לניהול הנכסים בשקידה סבירה, לטובת הבעלים והאינטרס הציבורי במובנו הרחב כאחד. אין צריך לומר, כי הפרת חובותיו של האפוטרופוס לנהוג בשקידה סבירה בניהול נכסים לטובת הבעלים עשויה להקים, במקרים מתאימים, גם חובת פיצוי בגין ניהול רשלני (וזאת כמובן מבלי לחוות דעה או להכריע בכל אופן שהוא באשר לנסיבות המקרה דנן).</w:t>
      </w:r>
    </w:p>
    <w:p w:rsidR="00761030" w:rsidRDefault="00761030" w:rsidP="00761030">
      <w:pPr>
        <w:pStyle w:val="Ruller41"/>
        <w:rPr>
          <w:rFonts w:ascii="Century" w:hAnsi="Century"/>
          <w:rtl/>
        </w:rPr>
      </w:pPr>
    </w:p>
    <w:p w:rsidR="00761030" w:rsidRPr="00710057" w:rsidRDefault="00761030" w:rsidP="00761030">
      <w:pPr>
        <w:pStyle w:val="Ruller41"/>
        <w:rPr>
          <w:rFonts w:ascii="Century" w:hAnsi="Century"/>
          <w:rtl/>
        </w:rPr>
      </w:pPr>
      <w:r>
        <w:rPr>
          <w:rFonts w:ascii="Century" w:hAnsi="Century" w:hint="cs"/>
          <w:rtl/>
        </w:rPr>
        <w:t>91.</w:t>
      </w:r>
      <w:r>
        <w:rPr>
          <w:rFonts w:ascii="Century" w:hAnsi="Century" w:hint="cs"/>
          <w:rtl/>
        </w:rPr>
        <w:tab/>
        <w:t xml:space="preserve">לבסוף, אי אפשר שלא לחזור פעם נוספת להיסטוריה. חברי השופט </w:t>
      </w:r>
      <w:r w:rsidRPr="00710057">
        <w:rPr>
          <w:rFonts w:ascii="Century" w:hAnsi="Century" w:cs="Miriam" w:hint="cs"/>
          <w:b/>
          <w:spacing w:val="0"/>
          <w:szCs w:val="24"/>
          <w:rtl/>
        </w:rPr>
        <w:t>מינץ</w:t>
      </w:r>
      <w:r>
        <w:rPr>
          <w:rFonts w:ascii="Century" w:hAnsi="Century" w:hint="cs"/>
          <w:rtl/>
        </w:rPr>
        <w:t xml:space="preserve"> חותם את חוות דעתו בסקירה מעמיקה של תולדות ההתיישבות היהודית במקום בשלהי המאה התשע-עשרה. הדברים נכוחים, ואף אני ציינתי את עיקריהם בפתח חוות דעתי. אין בינינו כל מחלוקת באשר לחשיבותה של ההיסטוריה של המקום. אך התמונה השלמה של רצף אירועי העבר היא מורכבת יותר מזו שהציג חברי. הסיפור ההיסטורי לא קפא על שמריו בשלהי שנות השלושים של המאה הקודמת, שבהם חתם חברי השופט </w:t>
      </w:r>
      <w:r w:rsidRPr="00C04D76">
        <w:rPr>
          <w:rFonts w:ascii="Century" w:hAnsi="Century" w:cs="Miriam" w:hint="eastAsia"/>
          <w:b/>
          <w:spacing w:val="0"/>
          <w:szCs w:val="24"/>
          <w:rtl/>
        </w:rPr>
        <w:t>מינץ</w:t>
      </w:r>
      <w:r>
        <w:rPr>
          <w:rFonts w:ascii="Century" w:hAnsi="Century" w:hint="cs"/>
          <w:rtl/>
        </w:rPr>
        <w:t xml:space="preserve"> את אירועי העבר. מאז התרחשו אירועים עתירי משמעות לא פחות: הקמת המדינה והכרזה על ירושלים כבירת ישראל, מלחמת השחרור, חלוקת העיר ירושלים והחלת השלטון הירדני בצדה המזרחי, ובהמשך לכך, לאחר מלחמת ששת הימים, חזרת ירושלים לשלטון ישראל והחלת המשפט הישראלי בה. זאת ועוד, בשנים הרבות שחלפו חלו תמורות נוספות שהשפיעו על ההחזקה בשטח ועל התמונה העובדתית המורכבת כפי שהיא כיום. מכל מקום, פסק דיני אינו עוסק במישור המהותי על שלל המורכבויות הכרוכות בו, אלא במשמעויות הפרוצדוראליות של חלוף הזמן. זהו טיבם של </w:t>
      </w:r>
      <w:r w:rsidRPr="00710057">
        <w:rPr>
          <w:rFonts w:ascii="Century" w:hAnsi="Century" w:hint="cs"/>
          <w:rtl/>
        </w:rPr>
        <w:t>דיני ההתיישנות.</w:t>
      </w:r>
    </w:p>
    <w:p w:rsidR="00761030" w:rsidRPr="00710057" w:rsidRDefault="00761030" w:rsidP="00761030">
      <w:pPr>
        <w:pStyle w:val="Ruller41"/>
        <w:rPr>
          <w:rFonts w:ascii="Century" w:hAnsi="Century"/>
          <w:rtl/>
        </w:rPr>
      </w:pPr>
    </w:p>
    <w:p w:rsidR="00761030" w:rsidRDefault="00761030" w:rsidP="00761030">
      <w:pPr>
        <w:pStyle w:val="Ruller41"/>
        <w:rPr>
          <w:rFonts w:ascii="Century" w:hAnsi="Century"/>
          <w:rtl/>
        </w:rPr>
      </w:pPr>
      <w:r w:rsidRPr="00710057">
        <w:rPr>
          <w:rFonts w:ascii="Century" w:hAnsi="Century" w:hint="cs"/>
          <w:rtl/>
        </w:rPr>
        <w:t>9</w:t>
      </w:r>
      <w:r>
        <w:rPr>
          <w:rFonts w:ascii="Century" w:hAnsi="Century" w:hint="cs"/>
          <w:rtl/>
        </w:rPr>
        <w:t>2</w:t>
      </w:r>
      <w:r w:rsidRPr="00710057">
        <w:rPr>
          <w:rFonts w:ascii="Century" w:hAnsi="Century" w:hint="cs"/>
          <w:rtl/>
        </w:rPr>
        <w:t xml:space="preserve">. </w:t>
      </w:r>
      <w:r w:rsidRPr="00710057">
        <w:rPr>
          <w:rFonts w:ascii="Century" w:hAnsi="Century" w:hint="cs"/>
          <w:rtl/>
        </w:rPr>
        <w:tab/>
        <w:t>אשר</w:t>
      </w:r>
      <w:r>
        <w:rPr>
          <w:rFonts w:ascii="Century" w:hAnsi="Century" w:hint="cs"/>
          <w:rtl/>
        </w:rPr>
        <w:t xml:space="preserve"> לחוות דעתו של חברי השופט </w:t>
      </w:r>
      <w:r w:rsidRPr="00710057">
        <w:rPr>
          <w:rFonts w:ascii="Century" w:hAnsi="Century" w:cs="Miriam" w:hint="cs"/>
          <w:b/>
          <w:spacing w:val="0"/>
          <w:szCs w:val="24"/>
          <w:rtl/>
        </w:rPr>
        <w:t>עמית</w:t>
      </w:r>
      <w:r>
        <w:rPr>
          <w:rFonts w:ascii="Century" w:hAnsi="Century" w:cs="Miriam" w:hint="cs"/>
          <w:b/>
          <w:spacing w:val="0"/>
          <w:szCs w:val="24"/>
          <w:rtl/>
        </w:rPr>
        <w:t xml:space="preserve"> </w:t>
      </w:r>
      <w:r>
        <w:rPr>
          <w:rFonts w:ascii="Century" w:hAnsi="Century" w:hint="cs"/>
          <w:rtl/>
        </w:rPr>
        <w:t>אוסיף ואבהיר עוד כי לשיטתי הפרשנות שהצעתי ביחס לתחולתו של סעיף 113(ב) לחוק המקרקעין משקפת מדיניות רצויה המתמרצת ככלל את האפוטרופוס הכללי לפעול להגנה על נכסי מקרקעין שהוקנו לו. ויודגש, ככל שהחשש בהקשר זה מכוון לכך שמרוץ ההתיישנות יחל ביחס לקרקעות שהאפוטרופוס אינו מודע לכך שהוקנו לו, תשובתי היא שלצדו של סעיף 113(ב) לחוק המקרקעין מוסיף לעמוד ההסדר הקבוע בסעיף 8 לחוק ההתיישנות, שיש בו לאיין חשש זה.</w:t>
      </w:r>
    </w:p>
    <w:p w:rsidR="00761030" w:rsidRDefault="00761030" w:rsidP="00761030">
      <w:pPr>
        <w:pStyle w:val="Ruller41"/>
        <w:rPr>
          <w:rFonts w:ascii="Century" w:hAnsi="Century"/>
          <w:rtl/>
        </w:rPr>
      </w:pPr>
    </w:p>
    <w:p w:rsidR="00761030" w:rsidRPr="00710057" w:rsidRDefault="00761030" w:rsidP="00761030">
      <w:pPr>
        <w:pStyle w:val="Ruller41"/>
        <w:rPr>
          <w:rFonts w:ascii="Century" w:hAnsi="Century"/>
          <w:rtl/>
        </w:rPr>
      </w:pPr>
      <w:r>
        <w:rPr>
          <w:rFonts w:ascii="Century" w:hAnsi="Century" w:hint="cs"/>
          <w:rtl/>
        </w:rPr>
        <w:t>93.</w:t>
      </w:r>
      <w:r>
        <w:rPr>
          <w:rFonts w:ascii="Century" w:hAnsi="Century" w:hint="cs"/>
          <w:rtl/>
        </w:rPr>
        <w:tab/>
        <w:t xml:space="preserve">מכל מקום, מאחר שעמדתי ביחס לפרשנות סעיף 113(ב) לחוק המקרקעין אינה מקובלת על שני חבריי, אני מבקשת להצטרף, לחלופין, לעמדה הפרשנית של חברי השופט </w:t>
      </w:r>
      <w:r w:rsidRPr="005C4EB1">
        <w:rPr>
          <w:rFonts w:ascii="Century" w:hAnsi="Century" w:cs="Miriam" w:hint="eastAsia"/>
          <w:b/>
          <w:spacing w:val="0"/>
          <w:szCs w:val="24"/>
          <w:rtl/>
        </w:rPr>
        <w:t>עמית</w:t>
      </w:r>
      <w:r w:rsidRPr="00105DC3">
        <w:rPr>
          <w:rFonts w:ascii="Century" w:hAnsi="Century" w:hint="cs"/>
          <w:rtl/>
        </w:rPr>
        <w:t xml:space="preserve"> </w:t>
      </w:r>
      <w:r>
        <w:rPr>
          <w:rFonts w:ascii="Century" w:hAnsi="Century" w:hint="cs"/>
          <w:rtl/>
        </w:rPr>
        <w:t xml:space="preserve">ביחס להבחנה בין סוגי המקרים שעליהם חל סעיף זה, כמפורט בפסקה 13 לפסק דינו. בהקשר זה, ולו במישור האופרטיבי, אני מוצאת להצטרף אף לעמדתו של חברי באשר לשאלה מהו המועד שבו יחל מרוץ ההתיישנות במה שהוא מכנה "סוג המקרים השלישי" </w:t>
      </w:r>
      <w:r>
        <w:rPr>
          <w:rFonts w:ascii="Century" w:hAnsi="Century"/>
          <w:rtl/>
        </w:rPr>
        <w:t>–</w:t>
      </w:r>
      <w:r>
        <w:rPr>
          <w:rFonts w:ascii="Century" w:hAnsi="Century" w:hint="cs"/>
          <w:rtl/>
        </w:rPr>
        <w:t xml:space="preserve"> קרי מקרים שבהם הוקנו לאפוטרופוס מקרקעין שהיו בבעלות פרטית, והרישום בפנקסי המקרקעין משקף את מצב הזכויות בפועל. בהתאם לכך, מהיבט התוצאה אני מצטרפת לעמדתו כי יש לקבל את הערעור באופן חלקי כך שהתיק יחזור להמשך בירור בבית משפט השלום. </w:t>
      </w:r>
    </w:p>
    <w:p w:rsidR="00761030" w:rsidRDefault="00761030" w:rsidP="00761030">
      <w:pPr>
        <w:pStyle w:val="Ruller41"/>
        <w:rPr>
          <w:rFonts w:ascii="Century" w:hAnsi="Century" w:cs="Miriam"/>
          <w:b/>
          <w:spacing w:val="0"/>
          <w:szCs w:val="24"/>
          <w:rtl/>
        </w:rPr>
      </w:pPr>
    </w:p>
    <w:p w:rsidR="00761030" w:rsidRDefault="00761030" w:rsidP="00761030">
      <w:pPr>
        <w:pStyle w:val="Ruller41"/>
        <w:rPr>
          <w:rFonts w:ascii="Century" w:hAnsi="Century" w:cs="Miriam"/>
          <w:b/>
          <w:spacing w:val="0"/>
          <w:szCs w:val="24"/>
          <w:rtl/>
        </w:rPr>
      </w:pPr>
      <w:r w:rsidRPr="00A822FA">
        <w:rPr>
          <w:rFonts w:ascii="Century" w:hAnsi="Century" w:cs="Miriam" w:hint="eastAsia"/>
          <w:b/>
          <w:spacing w:val="0"/>
          <w:szCs w:val="24"/>
          <w:rtl/>
        </w:rPr>
        <w:t>סיכום</w:t>
      </w:r>
    </w:p>
    <w:p w:rsidR="00761030" w:rsidRDefault="00761030" w:rsidP="00761030">
      <w:pPr>
        <w:pStyle w:val="Ruller41"/>
        <w:rPr>
          <w:rFonts w:ascii="Century" w:hAnsi="Century" w:cs="Miriam"/>
          <w:b/>
          <w:spacing w:val="0"/>
          <w:szCs w:val="24"/>
          <w:rtl/>
        </w:rPr>
      </w:pPr>
    </w:p>
    <w:p w:rsidR="00761030" w:rsidRDefault="00761030" w:rsidP="00761030">
      <w:pPr>
        <w:pStyle w:val="Ruller41"/>
        <w:rPr>
          <w:rFonts w:ascii="Century" w:hAnsi="Century"/>
          <w:rtl/>
        </w:rPr>
      </w:pPr>
      <w:r>
        <w:rPr>
          <w:rFonts w:ascii="Century" w:hAnsi="Century" w:hint="cs"/>
          <w:rtl/>
        </w:rPr>
        <w:t xml:space="preserve">94. </w:t>
      </w:r>
      <w:r>
        <w:rPr>
          <w:rFonts w:ascii="Century" w:hAnsi="Century" w:hint="cs"/>
          <w:rtl/>
        </w:rPr>
        <w:tab/>
      </w:r>
      <w:r w:rsidRPr="005C4EB1">
        <w:rPr>
          <w:rFonts w:ascii="Century" w:hAnsi="Century"/>
          <w:rtl/>
        </w:rPr>
        <w:t xml:space="preserve"> </w:t>
      </w:r>
      <w:r w:rsidRPr="005C4EB1">
        <w:rPr>
          <w:rFonts w:ascii="Century" w:hAnsi="Century" w:hint="eastAsia"/>
          <w:rtl/>
        </w:rPr>
        <w:t>אם</w:t>
      </w:r>
      <w:r w:rsidRPr="005C4EB1">
        <w:rPr>
          <w:rFonts w:ascii="Century" w:hAnsi="Century"/>
          <w:rtl/>
        </w:rPr>
        <w:t xml:space="preserve"> </w:t>
      </w:r>
      <w:r w:rsidRPr="005C4EB1">
        <w:rPr>
          <w:rFonts w:ascii="Century" w:hAnsi="Century" w:hint="eastAsia"/>
          <w:rtl/>
        </w:rPr>
        <w:t>כן</w:t>
      </w:r>
      <w:r w:rsidRPr="005C4EB1">
        <w:rPr>
          <w:rFonts w:ascii="Century" w:hAnsi="Century"/>
          <w:rtl/>
        </w:rPr>
        <w:t xml:space="preserve">, </w:t>
      </w:r>
      <w:r w:rsidRPr="005C4EB1">
        <w:rPr>
          <w:rFonts w:ascii="Century" w:hAnsi="Century" w:hint="eastAsia"/>
          <w:rtl/>
        </w:rPr>
        <w:t>לו</w:t>
      </w:r>
      <w:r w:rsidRPr="005C4EB1">
        <w:rPr>
          <w:rFonts w:ascii="Century" w:hAnsi="Century"/>
          <w:rtl/>
        </w:rPr>
        <w:t xml:space="preserve"> </w:t>
      </w:r>
      <w:r w:rsidRPr="005C4EB1">
        <w:rPr>
          <w:rFonts w:ascii="Century" w:hAnsi="Century" w:hint="eastAsia"/>
          <w:rtl/>
        </w:rPr>
        <w:t>דעתי</w:t>
      </w:r>
      <w:r w:rsidRPr="005C4EB1">
        <w:rPr>
          <w:rFonts w:ascii="Century" w:hAnsi="Century"/>
          <w:rtl/>
        </w:rPr>
        <w:t xml:space="preserve"> </w:t>
      </w:r>
      <w:r w:rsidRPr="005C4EB1">
        <w:rPr>
          <w:rFonts w:ascii="Century" w:hAnsi="Century" w:hint="eastAsia"/>
          <w:rtl/>
        </w:rPr>
        <w:t>הייתה</w:t>
      </w:r>
      <w:r w:rsidRPr="005C4EB1">
        <w:rPr>
          <w:rFonts w:ascii="Century" w:hAnsi="Century"/>
          <w:rtl/>
        </w:rPr>
        <w:t xml:space="preserve"> </w:t>
      </w:r>
      <w:r w:rsidRPr="005C4EB1">
        <w:rPr>
          <w:rFonts w:ascii="Century" w:hAnsi="Century" w:hint="eastAsia"/>
          <w:rtl/>
        </w:rPr>
        <w:t>נשמעת</w:t>
      </w:r>
      <w:r>
        <w:rPr>
          <w:rFonts w:ascii="Century" w:hAnsi="Century" w:hint="cs"/>
          <w:rtl/>
        </w:rPr>
        <w:t>,</w:t>
      </w:r>
      <w:r w:rsidRPr="005C4EB1">
        <w:rPr>
          <w:rFonts w:ascii="Century" w:hAnsi="Century"/>
          <w:rtl/>
        </w:rPr>
        <w:t xml:space="preserve"> </w:t>
      </w:r>
      <w:r w:rsidRPr="005C4EB1">
        <w:rPr>
          <w:rFonts w:ascii="Century" w:hAnsi="Century" w:hint="eastAsia"/>
          <w:rtl/>
        </w:rPr>
        <w:t>היינו</w:t>
      </w:r>
      <w:r w:rsidRPr="005C4EB1">
        <w:rPr>
          <w:rFonts w:ascii="Century" w:hAnsi="Century"/>
          <w:rtl/>
        </w:rPr>
        <w:t xml:space="preserve"> </w:t>
      </w:r>
      <w:r w:rsidRPr="005C4EB1">
        <w:rPr>
          <w:rFonts w:ascii="Century" w:hAnsi="Century" w:hint="eastAsia"/>
          <w:rtl/>
        </w:rPr>
        <w:t>קובעים</w:t>
      </w:r>
      <w:r w:rsidRPr="005C4EB1">
        <w:rPr>
          <w:rFonts w:ascii="Century" w:hAnsi="Century"/>
          <w:rtl/>
        </w:rPr>
        <w:t xml:space="preserve"> </w:t>
      </w:r>
      <w:r w:rsidRPr="005C4EB1">
        <w:rPr>
          <w:rFonts w:ascii="Century" w:hAnsi="Century" w:hint="eastAsia"/>
          <w:rtl/>
        </w:rPr>
        <w:t>כי</w:t>
      </w:r>
      <w:r w:rsidRPr="005C4EB1">
        <w:rPr>
          <w:rFonts w:ascii="Century" w:hAnsi="Century"/>
          <w:rtl/>
        </w:rPr>
        <w:t xml:space="preserve"> </w:t>
      </w:r>
      <w:r>
        <w:rPr>
          <w:rFonts w:ascii="Century" w:hAnsi="Century" w:hint="cs"/>
          <w:rtl/>
        </w:rPr>
        <w:t xml:space="preserve">תביעת המשיבים כנגד המערערים התיישנה. בהתאם לכך, היינו מקבלים את הערעור וקובעים כי דין תביעת הפינוי להידחות, וממילא אף קובעים כי חיובם של המערערים בהוצאות בבית המשפט המחוזי מבוטל. אף על פי כן, במצב שנוצר, משלא התקבלה דעתי, מטעמים מעשיים אני מצטרפת כאמור לתוצאה שאליה הגיע חברי השופט </w:t>
      </w:r>
      <w:r w:rsidRPr="009D1D66">
        <w:rPr>
          <w:rFonts w:ascii="Miriam" w:hAnsi="Miriam" w:cs="Miriam" w:hint="eastAsia"/>
          <w:sz w:val="24"/>
          <w:szCs w:val="24"/>
          <w:rtl/>
        </w:rPr>
        <w:t>עמית</w:t>
      </w:r>
      <w:r w:rsidRPr="009D1D66">
        <w:rPr>
          <w:rFonts w:ascii="Miriam" w:hAnsi="Miriam" w:cs="Miriam"/>
          <w:sz w:val="24"/>
          <w:szCs w:val="24"/>
          <w:rtl/>
        </w:rPr>
        <w:t>.</w:t>
      </w:r>
    </w:p>
    <w:p w:rsidR="00C2146E" w:rsidRDefault="00C2146E" w:rsidP="00761030">
      <w:pPr>
        <w:pStyle w:val="Ruller41"/>
        <w:rPr>
          <w:rFonts w:ascii="Century" w:hAnsi="Century"/>
          <w:rtl/>
        </w:rPr>
      </w:pPr>
    </w:p>
    <w:p w:rsidR="008F79C5" w:rsidRDefault="008F79C5" w:rsidP="00761030">
      <w:pPr>
        <w:pStyle w:val="Ruller41"/>
        <w:rPr>
          <w:rFonts w:ascii="Century" w:hAnsi="Century"/>
          <w:rtl/>
        </w:rPr>
      </w:pPr>
    </w:p>
    <w:p w:rsidR="00C2146E" w:rsidRDefault="00C2146E" w:rsidP="00C2146E">
      <w:pPr>
        <w:pStyle w:val="Ruller41"/>
        <w:rPr>
          <w:rFonts w:ascii="Century" w:hAnsi="Century" w:cs="Miriam"/>
          <w:b/>
          <w:spacing w:val="0"/>
          <w:szCs w:val="24"/>
          <w:rtl/>
        </w:rPr>
      </w:pPr>
      <w:r>
        <w:rPr>
          <w:rFonts w:ascii="Century" w:hAnsi="Century"/>
          <w:rtl/>
        </w:rPr>
        <w:tab/>
      </w:r>
      <w:r>
        <w:rPr>
          <w:rFonts w:ascii="Century" w:hAnsi="Century"/>
          <w:rtl/>
        </w:rPr>
        <w:tab/>
      </w:r>
      <w:r>
        <w:rPr>
          <w:rFonts w:ascii="Century" w:hAnsi="Century"/>
          <w:rtl/>
        </w:rPr>
        <w:tab/>
      </w:r>
      <w:r>
        <w:rPr>
          <w:rFonts w:ascii="Century" w:hAnsi="Century"/>
          <w:rtl/>
        </w:rPr>
        <w:tab/>
      </w:r>
      <w:r>
        <w:rPr>
          <w:rFonts w:ascii="Century" w:hAnsi="Century"/>
          <w:rtl/>
        </w:rPr>
        <w:tab/>
      </w:r>
      <w:r>
        <w:rPr>
          <w:rFonts w:ascii="Century" w:hAnsi="Century"/>
          <w:rtl/>
        </w:rPr>
        <w:tab/>
      </w:r>
      <w:r>
        <w:rPr>
          <w:rFonts w:ascii="Century" w:hAnsi="Century"/>
          <w:rtl/>
        </w:rPr>
        <w:tab/>
      </w:r>
      <w:r>
        <w:rPr>
          <w:rFonts w:ascii="Century" w:hAnsi="Century"/>
          <w:rtl/>
        </w:rPr>
        <w:tab/>
      </w:r>
      <w:r>
        <w:rPr>
          <w:rFonts w:ascii="Century" w:hAnsi="Century"/>
          <w:rtl/>
        </w:rPr>
        <w:tab/>
      </w:r>
      <w:r>
        <w:rPr>
          <w:rFonts w:ascii="Century" w:hAnsi="Century" w:hint="cs"/>
          <w:rtl/>
        </w:rPr>
        <w:t xml:space="preserve">  </w:t>
      </w:r>
      <w:r>
        <w:rPr>
          <w:rFonts w:ascii="Century" w:hAnsi="Century"/>
          <w:rtl/>
        </w:rPr>
        <w:tab/>
      </w:r>
      <w:r w:rsidRPr="00C2146E">
        <w:rPr>
          <w:rFonts w:ascii="Century" w:hAnsi="Century" w:cs="Miriam" w:hint="cs"/>
          <w:b/>
          <w:spacing w:val="0"/>
          <w:szCs w:val="24"/>
          <w:rtl/>
        </w:rPr>
        <w:t>ש ו פ ט ת</w:t>
      </w:r>
    </w:p>
    <w:p w:rsidR="00164CCE" w:rsidRDefault="00164CCE" w:rsidP="00C2146E">
      <w:pPr>
        <w:pStyle w:val="Ruller41"/>
        <w:rPr>
          <w:rFonts w:ascii="Century" w:hAnsi="Century" w:cs="Miriam"/>
          <w:b/>
          <w:spacing w:val="0"/>
          <w:szCs w:val="24"/>
          <w:rtl/>
        </w:rPr>
      </w:pPr>
    </w:p>
    <w:p w:rsidR="008F79C5" w:rsidRDefault="008F79C5" w:rsidP="00C2146E">
      <w:pPr>
        <w:pStyle w:val="Ruller41"/>
        <w:rPr>
          <w:rFonts w:ascii="Century" w:hAnsi="Century" w:cs="Miriam"/>
          <w:b/>
          <w:spacing w:val="0"/>
          <w:szCs w:val="24"/>
          <w:rtl/>
        </w:rPr>
      </w:pPr>
    </w:p>
    <w:p w:rsidR="00164CCE" w:rsidRDefault="00164CCE" w:rsidP="00164CCE">
      <w:pPr>
        <w:pStyle w:val="BODYVERDICT"/>
        <w:rPr>
          <w:rFonts w:cs="Miriam"/>
          <w:sz w:val="24"/>
          <w:szCs w:val="24"/>
          <w:u w:val="single"/>
          <w:rtl/>
        </w:rPr>
      </w:pPr>
      <w:r>
        <w:rPr>
          <w:rFonts w:cs="Miriam"/>
          <w:sz w:val="24"/>
          <w:szCs w:val="24"/>
          <w:u w:val="single"/>
          <w:rtl/>
        </w:rPr>
        <w:t>השופט ד' מינץ</w:t>
      </w:r>
      <w:r w:rsidRPr="00164CCE">
        <w:rPr>
          <w:rFonts w:cs="Miriam"/>
          <w:sz w:val="24"/>
          <w:szCs w:val="24"/>
          <w:rtl/>
        </w:rPr>
        <w:t>:</w:t>
      </w:r>
    </w:p>
    <w:p w:rsidR="00164CCE" w:rsidRDefault="00164CCE" w:rsidP="00164CCE">
      <w:pPr>
        <w:pStyle w:val="Ruller41"/>
        <w:rPr>
          <w:rtl/>
        </w:rPr>
      </w:pPr>
    </w:p>
    <w:p w:rsidR="00164CCE" w:rsidRDefault="00164CCE" w:rsidP="00164CCE">
      <w:pPr>
        <w:pStyle w:val="Ruller41"/>
        <w:rPr>
          <w:rtl/>
        </w:rPr>
      </w:pPr>
      <w:r>
        <w:rPr>
          <w:rtl/>
        </w:rPr>
        <w:tab/>
        <w:t xml:space="preserve">חלוק אני על חברתי השופטת </w:t>
      </w:r>
      <w:r>
        <w:rPr>
          <w:rFonts w:ascii="Century" w:hAnsi="Century" w:cs="Miriam"/>
          <w:b/>
          <w:spacing w:val="0"/>
          <w:szCs w:val="24"/>
          <w:rtl/>
        </w:rPr>
        <w:t>ד' ברק-ארז</w:t>
      </w:r>
      <w:r>
        <w:rPr>
          <w:rtl/>
        </w:rPr>
        <w:t xml:space="preserve">. לדידי, אין מקום כלל ליתן רשות ערעור בבקשה, וודאי לא להתערב בקביעותיו של בית משפט השלום ובפסק דינו של בית המשפט המחוזי. כמו כן, לאחר שעיינתי בחוות דעתו של חברי השופט </w:t>
      </w:r>
      <w:r>
        <w:rPr>
          <w:rFonts w:ascii="Century" w:hAnsi="Century" w:cs="Miriam"/>
          <w:b/>
          <w:spacing w:val="0"/>
          <w:szCs w:val="24"/>
          <w:rtl/>
        </w:rPr>
        <w:t>י' עמית</w:t>
      </w:r>
      <w:r>
        <w:rPr>
          <w:rtl/>
        </w:rPr>
        <w:t xml:space="preserve">, אני סבור כי גם אין מקום להחזיר את הדיון לבית משפט השלום, לא בעניין תחולת סעיף 113(ב) לחוק המקרקעין, התשכ"ט-1969 (להלן: </w:t>
      </w:r>
      <w:r>
        <w:rPr>
          <w:rFonts w:ascii="Century" w:hAnsi="Century" w:cs="Miriam"/>
          <w:b/>
          <w:spacing w:val="0"/>
          <w:szCs w:val="24"/>
          <w:rtl/>
        </w:rPr>
        <w:t>חוק המקרקעין</w:t>
      </w:r>
      <w:r>
        <w:rPr>
          <w:rtl/>
        </w:rPr>
        <w:t xml:space="preserve">) ולא בעניין תחולת סעיף 8 לחוק ההתיישנות, התשי"ח-1958 (להלן: </w:t>
      </w:r>
      <w:r>
        <w:rPr>
          <w:rFonts w:ascii="Century" w:hAnsi="Century" w:cs="Miriam"/>
          <w:b/>
          <w:spacing w:val="0"/>
          <w:szCs w:val="24"/>
          <w:rtl/>
        </w:rPr>
        <w:t>חוק ההתיישנות</w:t>
      </w:r>
      <w:r>
        <w:rPr>
          <w:rtl/>
        </w:rPr>
        <w:t>) במקרה דנן.</w:t>
      </w:r>
    </w:p>
    <w:p w:rsidR="00164CCE" w:rsidRDefault="00164CCE" w:rsidP="00164CCE">
      <w:pPr>
        <w:pStyle w:val="Ruller41"/>
        <w:rPr>
          <w:rFonts w:ascii="Century" w:hAnsi="Century" w:cs="Miriam"/>
          <w:b/>
          <w:spacing w:val="0"/>
          <w:szCs w:val="24"/>
          <w:rtl/>
        </w:rPr>
      </w:pPr>
    </w:p>
    <w:p w:rsidR="008F79C5" w:rsidRDefault="008F79C5" w:rsidP="00164CCE">
      <w:pPr>
        <w:pStyle w:val="Ruller41"/>
        <w:rPr>
          <w:rFonts w:ascii="Century" w:hAnsi="Century" w:cs="Miriam"/>
          <w:b/>
          <w:spacing w:val="0"/>
          <w:szCs w:val="24"/>
          <w:rtl/>
        </w:rPr>
      </w:pPr>
    </w:p>
    <w:p w:rsidR="00164CCE" w:rsidRDefault="00164CCE" w:rsidP="00164CCE">
      <w:pPr>
        <w:pStyle w:val="Ruller41"/>
        <w:rPr>
          <w:rFonts w:ascii="Century" w:hAnsi="Century" w:cs="Miriam"/>
          <w:b/>
          <w:spacing w:val="0"/>
          <w:szCs w:val="24"/>
          <w:rtl/>
        </w:rPr>
      </w:pPr>
      <w:r>
        <w:rPr>
          <w:rFonts w:ascii="Century" w:hAnsi="Century" w:cs="Miriam"/>
          <w:b/>
          <w:spacing w:val="0"/>
          <w:szCs w:val="24"/>
          <w:rtl/>
        </w:rPr>
        <w:t>מתן רשות ערעור</w:t>
      </w:r>
    </w:p>
    <w:p w:rsidR="00164CCE" w:rsidRDefault="00164CCE" w:rsidP="00164CCE">
      <w:pPr>
        <w:pStyle w:val="Ruller41"/>
        <w:rPr>
          <w:rFonts w:ascii="Century" w:hAnsi="Century" w:cs="Miriam"/>
          <w:b/>
          <w:spacing w:val="0"/>
          <w:szCs w:val="24"/>
          <w:rtl/>
        </w:rPr>
      </w:pPr>
    </w:p>
    <w:p w:rsidR="00164CCE" w:rsidRDefault="00164CCE" w:rsidP="00164CCE">
      <w:pPr>
        <w:pStyle w:val="Ruller4"/>
        <w:numPr>
          <w:ilvl w:val="0"/>
          <w:numId w:val="16"/>
        </w:numPr>
        <w:textAlignment w:val="auto"/>
      </w:pPr>
      <w:r>
        <w:rPr>
          <w:rtl/>
        </w:rPr>
        <w:t>טענות המערערים בענייננו התחלקו למספר ראשים. נטען כי בית משפט השלום שגה במספר סוגיות: בקבעו כי לא קיים מעשה בית דין מסוג השתק עילה, המונע מן המשיבים לתבוע סעד של פינוי המקרקעין; בקבעו כי התביעה לא התיישנה, שעה שחזקת המערערים במקרקעין מהווה "חזקה נוגדת" המקימה התיישנות מהותית; בקבעו כי לא מתקיימים תנאי סעיף 23 לחוק המקרקעין. כמו כן טענו המערערים כי בידיהם רשות בלתי הדירה לשימוש במקרקעין, נוכח שתיקת המשיבים והאפוטרופוס הכללי ונוכח השקעתם בנכס במשך השנים. מלוא גודש טענות שיש לומר כבר עתה, כפי שמשתקף במבט חטוף, כי הן סותרות זו את זו באופן חזיתי.</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לעמדתי, בהינתן קביעותיו העובדתיות של בית משפט השלום, הסוגיות לגביהן נטען במסגרת הבקשה אינן מעוררות כל שאלה עקרונית בעלת חשיבות כללית החורגת מן המקרה דנן. גם חברתי סבורה כן לגבי מרבית הסוגיות, אלא שלעמדתה טענת ההתיישנות מצדיקה התדיינות ב"גלגול שלישי", הן משום ההיבט העקרוני שהיא מעוררת לדעתה והן בשל ה"השלכות על קורת הגג הפרוסה מעל ראשה של משפחה המונה עשרות נפשות". בעניין זה אינני תמים דעים עם חברתי. </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ראשית, גם סוגיית ההתיישנות בה התמקדה חברתי, ובעיקר השאלה הנוגעת להגדרת נכסים המוחזקים על ידי האפוטרופוס הכללי כ"מקרקעי ציבור", איננה סוגיה המצדיקה בחינה עקרונית במקרה זה. בית משפט השלום קבע מפורשות, כי גם אם תדחה הטענה לפיה מדובר ב"מקרקעי ציבור", על כל המשתמע מכך לעניין תחולת הוראת סעיף 113(ב) לחוק המקרקעין, הרי שיש מקום לקבוע כי התביעה התיישנה נוכח התקיימות תנאי הוראת סעיף 8 לחוק ההתיישנות. קביעה זו מקורה בקביעות עובדתיות מפורטות אשר לא קמה כל עילה להתערב בהן, בוודאי לא בגלגול שלישי.</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באשר לטענה כי מדובר בסוגיה המשליכה על גורלה של משפחה וקורת הגג שלראשה, גם בעניין זה אינני סבור כי מדובר בנסיבות המצדיקות את בחינת הסוגיה בגלגול שלישי. אכן, הנחת היסוד היא כי פינוי אדם, כל אדם, מבית מגוריו, אינו צעד קל או פשוט. הוא טומן בחובו פגיעה במפונה. אולם גם סוגיה זו, כמו סוגיות אחרות רגישות שבהן נדרש בית המשפט לטפל, נבחנת באמצעות הכלים המשפטיים המקובלים (וראו דחיית בקשות רשות ערעור במקרים שונים של פינוי מדירת מגורים: רע"א 2353/14 </w:t>
      </w:r>
      <w:r>
        <w:rPr>
          <w:rFonts w:ascii="Century" w:hAnsi="Century" w:cs="Miriam"/>
          <w:b/>
          <w:spacing w:val="0"/>
          <w:sz w:val="22"/>
          <w:szCs w:val="24"/>
          <w:rtl/>
        </w:rPr>
        <w:t>גולדשטיין</w:t>
      </w:r>
      <w:r>
        <w:rPr>
          <w:rtl/>
        </w:rPr>
        <w:t xml:space="preserve"> </w:t>
      </w:r>
      <w:r>
        <w:rPr>
          <w:rFonts w:ascii="Century" w:hAnsi="Century" w:cs="Miriam"/>
          <w:b/>
          <w:spacing w:val="0"/>
          <w:sz w:val="22"/>
          <w:szCs w:val="24"/>
          <w:rtl/>
        </w:rPr>
        <w:t>נ' פיננשל לוורג' (ד.פ) בע"מ</w:t>
      </w:r>
      <w:r>
        <w:rPr>
          <w:rtl/>
        </w:rPr>
        <w:t xml:space="preserve"> (6.7.2014); רע"א 7826/21 </w:t>
      </w:r>
      <w:r>
        <w:rPr>
          <w:rFonts w:ascii="Century" w:hAnsi="Century" w:cs="Miriam"/>
          <w:b/>
          <w:spacing w:val="0"/>
          <w:sz w:val="22"/>
          <w:szCs w:val="24"/>
          <w:rtl/>
        </w:rPr>
        <w:t>בן נון נ' אלעד ישראל מגורים בע"מ</w:t>
      </w:r>
      <w:r>
        <w:rPr>
          <w:rtl/>
        </w:rPr>
        <w:t xml:space="preserve"> (15.11.2021); רע"א 6588/15 </w:t>
      </w:r>
      <w:r>
        <w:rPr>
          <w:rFonts w:ascii="Century" w:hAnsi="Century" w:cs="Miriam"/>
          <w:b/>
          <w:spacing w:val="0"/>
          <w:sz w:val="22"/>
          <w:szCs w:val="24"/>
          <w:rtl/>
        </w:rPr>
        <w:t>זילברשלג נ' בנק משכן – בנק הפועלים בע"מ</w:t>
      </w:r>
      <w:r>
        <w:rPr>
          <w:rtl/>
        </w:rPr>
        <w:t xml:space="preserve"> (8.12.2015); בע"מ 9623/16 </w:t>
      </w:r>
      <w:r>
        <w:rPr>
          <w:rFonts w:ascii="Century" w:hAnsi="Century" w:cs="Miriam"/>
          <w:b/>
          <w:spacing w:val="0"/>
          <w:sz w:val="22"/>
          <w:szCs w:val="24"/>
          <w:rtl/>
        </w:rPr>
        <w:t>פלוני נ' פלוני</w:t>
      </w:r>
      <w:r>
        <w:rPr>
          <w:rtl/>
        </w:rPr>
        <w:t xml:space="preserve"> (15.1.2017); רע"א 1105/17 </w:t>
      </w:r>
      <w:r>
        <w:rPr>
          <w:rFonts w:ascii="Century" w:hAnsi="Century" w:cs="Miriam"/>
          <w:b/>
          <w:spacing w:val="0"/>
          <w:sz w:val="22"/>
          <w:szCs w:val="24"/>
          <w:rtl/>
        </w:rPr>
        <w:t>שוורצברגר נ' אביבי</w:t>
      </w:r>
      <w:r>
        <w:rPr>
          <w:rtl/>
        </w:rPr>
        <w:t xml:space="preserve"> (5.3.2017) וראו שם דחיית הבקשה "חרף העובדה שהמקרה דנן חריג במישור האנושי" (פסקה 16)). כך גם נאמר לא פעם ולא פעמיים כי אין ספק שפינוי מבית מגורים אינו תוצאה קלה אולם לעתים הוא מחויב המציאות (רע"א 6782/15 </w:t>
      </w:r>
      <w:r>
        <w:rPr>
          <w:rFonts w:ascii="Century" w:hAnsi="Century" w:cs="Miriam"/>
          <w:b/>
          <w:spacing w:val="0"/>
          <w:sz w:val="22"/>
          <w:szCs w:val="24"/>
          <w:rtl/>
        </w:rPr>
        <w:t>מועלם נ' מינהל מקרקעי ישראל</w:t>
      </w:r>
      <w:r>
        <w:rPr>
          <w:rtl/>
        </w:rPr>
        <w:t xml:space="preserve">, פסקה 10 (25.10.2015); רע"א 5838/18 </w:t>
      </w:r>
      <w:r>
        <w:rPr>
          <w:rFonts w:ascii="Century" w:hAnsi="Century" w:cs="Miriam"/>
          <w:b/>
          <w:spacing w:val="0"/>
          <w:sz w:val="22"/>
          <w:szCs w:val="24"/>
          <w:rtl/>
        </w:rPr>
        <w:t>מיכל נ' רשות הפיתוח במובן חוק רשות הפיתוח</w:t>
      </w:r>
      <w:r>
        <w:rPr>
          <w:rtl/>
        </w:rPr>
        <w:t xml:space="preserve">, פסקה 3 (12.6.2019); רע"א 2353/14 </w:t>
      </w:r>
      <w:r>
        <w:rPr>
          <w:rFonts w:ascii="Century" w:hAnsi="Century" w:cs="Miriam"/>
          <w:b/>
          <w:spacing w:val="0"/>
          <w:sz w:val="22"/>
          <w:szCs w:val="24"/>
          <w:rtl/>
        </w:rPr>
        <w:t>גולדשטיין נ' פיננשל לוורג' (ד.פ) בע"מ</w:t>
      </w:r>
      <w:r>
        <w:rPr>
          <w:rtl/>
        </w:rPr>
        <w:t xml:space="preserve">, פסקה 8 (6.7.2014)); וכי עצם העובדה שההליך נוגע למחזיקים רבים אינה הופכת, אך בשל כך, את המקרה לעניין המצדיק דיון ב"גלגול שלישי" (רע"א 409/20 </w:t>
      </w:r>
      <w:r>
        <w:rPr>
          <w:rFonts w:ascii="Century" w:hAnsi="Century" w:cs="Miriam"/>
          <w:b/>
          <w:spacing w:val="0"/>
          <w:sz w:val="22"/>
          <w:szCs w:val="24"/>
          <w:rtl/>
        </w:rPr>
        <w:t>יהוד (שרפי) נ' דיור ב.פ. בע"מ</w:t>
      </w:r>
      <w:r>
        <w:rPr>
          <w:rtl/>
        </w:rPr>
        <w:t>, פסקה 40 (29.11.2020)). אמת המידה למתן רשות ערעור צריכה להיות אפוא אחידה.</w:t>
      </w:r>
    </w:p>
    <w:p w:rsidR="00164CCE" w:rsidRDefault="00164CCE" w:rsidP="00164CCE">
      <w:pPr>
        <w:pStyle w:val="Ruller41"/>
      </w:pPr>
    </w:p>
    <w:p w:rsidR="00164CCE" w:rsidRDefault="00164CCE" w:rsidP="00164CCE">
      <w:pPr>
        <w:pStyle w:val="Ruller4"/>
        <w:numPr>
          <w:ilvl w:val="0"/>
          <w:numId w:val="16"/>
        </w:numPr>
        <w:textAlignment w:val="auto"/>
      </w:pPr>
      <w:r>
        <w:rPr>
          <w:rtl/>
        </w:rPr>
        <w:t xml:space="preserve">ויתר על כן, באשר לענייננו. עיון מדוקדק בהליך שהתקיים בבית משפט השלום מגלה כי המשיבים הציעו למערערים פיצוי כספי, לפנים משורת הדין, והם חזרו על הצעתם זו פעם אחר פעם (ראו למשל: סעיף 6 להודעה מטעם המשיבים מיום 22.11.2018; סעיף 171 לסיכומי המשיבים מיום 31.7.2019). בפרוטוקול הדיון מיום 3.4.2019 אף ציינו המשיבים כי הם מסכימים שבית משפט יקבע את גובה הפיצוי שיינתן למערערים, עד גובה שווי הנכס כפי שייקבע על ידי חוות דעת שמאי שימונה על ידי בית המשפט (פרוטוקול הדיון מיום 3.4.2019, עמ' 34 שורות 31-27; פרוטוקול הדיון מיום 10.4.2019 עמ' 45 שורות 31-29). אף במהלך הדיון לפנינו שבו וחזרו המשיבים על כך שהם עומדים על הצעתם למתן פיצוי כספי, והצעה זו עומדת בעינה אף אם הליך זה מטעם המערערים ידחה (עמ' 13 לפרוטוקול הדיון, שורות 28-21). אשר על כן, גם אם יתכנו מקרים מסוימים בהם נסיבות חריגות ויוצאות דופן עשויות להצדיק מתן רשות ערעור (ואף כי אין מדובר בשיקול הנמנה במסגרת הכללים ה"רגילים" למתן רשות ערעור), נסיבות העניין שלפנינו בכל מקרה אינן מצדיקות זאת כלל. </w:t>
      </w:r>
    </w:p>
    <w:p w:rsidR="00164CCE" w:rsidRDefault="00164CCE" w:rsidP="00164CCE">
      <w:pPr>
        <w:pStyle w:val="Ruller41"/>
        <w:rPr>
          <w:rtl/>
        </w:rPr>
      </w:pPr>
    </w:p>
    <w:p w:rsidR="00164CCE" w:rsidRDefault="00164CCE" w:rsidP="00164CCE">
      <w:pPr>
        <w:pStyle w:val="Ruller4"/>
        <w:numPr>
          <w:ilvl w:val="0"/>
          <w:numId w:val="16"/>
        </w:numPr>
        <w:textAlignment w:val="auto"/>
      </w:pPr>
      <w:r>
        <w:rPr>
          <w:rtl/>
        </w:rPr>
        <w:t xml:space="preserve">לעמדתי, הסוגיה </w:t>
      </w:r>
      <w:r>
        <w:rPr>
          <w:rFonts w:ascii="Century" w:hAnsi="Century" w:cs="Miriam"/>
          <w:b/>
          <w:spacing w:val="0"/>
          <w:sz w:val="22"/>
          <w:szCs w:val="24"/>
          <w:rtl/>
        </w:rPr>
        <w:t>כפי שהובאה לפנינו</w:t>
      </w:r>
      <w:r>
        <w:rPr>
          <w:rtl/>
        </w:rPr>
        <w:t xml:space="preserve"> גם אינה מגלה היבטים עקרוניים המצדיקים הידרשות לבקשה בגלגול שלישי. כאמור לעיל, אינני סבור, וזאת גם כפי שהביע היועץ המשפטי לממשלה, כי יש להכריע במקרה זה בשאלת תחולתו של סעיף 113(ב) לחוק המקרקעין. השאלה אם יש להחיל את הוראות סעיף 113(ב) לחוק המקרקעין על קרקעות שהוקנו לאפוטרופוס הכללי ונוהלו על ידו והאם ניתן לראות בהן "מקרקעי ציבור" הינה אכן שאלה הטעונה בירור (ראו גם בפסיקת בתי משפט השלום: ת"א (שלום י-ם) 55978-12-15 </w:t>
      </w:r>
      <w:r>
        <w:rPr>
          <w:rFonts w:ascii="Century" w:hAnsi="Century" w:cs="Miriam"/>
          <w:b/>
          <w:spacing w:val="0"/>
          <w:sz w:val="22"/>
          <w:szCs w:val="24"/>
          <w:rtl/>
        </w:rPr>
        <w:t>שפרמן נ' רג'בי</w:t>
      </w:r>
      <w:r>
        <w:rPr>
          <w:rtl/>
        </w:rPr>
        <w:t xml:space="preserve">, פסקאות 22-20 (20.1.2020); ת"א (שלום י-ם) 35534-02-16 </w:t>
      </w:r>
      <w:r>
        <w:rPr>
          <w:rFonts w:ascii="Century" w:hAnsi="Century" w:cs="Miriam"/>
          <w:b/>
          <w:spacing w:val="0"/>
          <w:sz w:val="22"/>
          <w:szCs w:val="24"/>
          <w:rtl/>
        </w:rPr>
        <w:t>רלבג נ' שוויקי</w:t>
      </w:r>
      <w:r>
        <w:rPr>
          <w:rtl/>
        </w:rPr>
        <w:t xml:space="preserve">, פסקאות 54-50 (3.2.2020); ת"א (שלום י-ם) 67449-12-15 </w:t>
      </w:r>
      <w:r>
        <w:rPr>
          <w:rFonts w:ascii="Century" w:hAnsi="Century" w:cs="Miriam"/>
          <w:b/>
          <w:spacing w:val="0"/>
          <w:sz w:val="22"/>
          <w:szCs w:val="24"/>
          <w:rtl/>
        </w:rPr>
        <w:t>שפרמן נ' רגבי</w:t>
      </w:r>
      <w:r>
        <w:rPr>
          <w:rtl/>
        </w:rPr>
        <w:t xml:space="preserve">, פסקאות 55-53 (3.9.2020)). ברם המערערים לא הניחו תשתית משפטית מבוססת להכרעה בשאלה, כאשר בעיקר נטען על ידם כי בית משפט השלום סמך את מסקנתו על שורה של פסקי דין המתייחסים למקרקעין שהיו מנוהלים על ידי רשות מקרקעי ישראל (פסקאות 42-40 לבקשה). בהיעדר תשתית ראויה אשר על גבה ניתן להכריע בסוגיה, ומשלא נשמע בענייננו טיעון משפטי מבורר בנושא, אין מקום להידרש לה. אין זה תפקידו של בית המשפט לעשות את מלאכתם של הצדדים ולשים טענות בפיהם. ככלל אין לעשות כן, וודאי כאשר בעל הדין אינו סומך את טענותיו על תשתית משפטית או עובדתית כלשהי (ראו: ר"ע 674/86 </w:t>
      </w:r>
      <w:r>
        <w:rPr>
          <w:rFonts w:ascii="Century" w:hAnsi="Century" w:cs="Miriam"/>
          <w:b/>
          <w:spacing w:val="0"/>
          <w:sz w:val="22"/>
          <w:szCs w:val="24"/>
          <w:rtl/>
        </w:rPr>
        <w:t>מדינת ישראל נ' נאות סיני, כפר שיתופי מיסודם של גרעיני חרות בית"ר בע"מ</w:t>
      </w:r>
      <w:r>
        <w:rPr>
          <w:rtl/>
        </w:rPr>
        <w:t xml:space="preserve">, פ"ד מב(2) 527, 534 (1988); ע"א 536/89 </w:t>
      </w:r>
      <w:r>
        <w:rPr>
          <w:rFonts w:ascii="Century" w:hAnsi="Century" w:cs="Miriam"/>
          <w:b/>
          <w:spacing w:val="0"/>
          <w:sz w:val="22"/>
          <w:szCs w:val="24"/>
          <w:rtl/>
        </w:rPr>
        <w:t>פז חברת נפט בע"מ נ' לויטין</w:t>
      </w:r>
      <w:r>
        <w:rPr>
          <w:rtl/>
        </w:rPr>
        <w:t xml:space="preserve">, פ"ד מו(3) 617, 625 (1992); ע"א 3832/19 </w:t>
      </w:r>
      <w:r>
        <w:rPr>
          <w:rFonts w:ascii="Century" w:hAnsi="Century" w:cs="Miriam"/>
          <w:b/>
          <w:spacing w:val="0"/>
          <w:sz w:val="22"/>
          <w:szCs w:val="24"/>
          <w:rtl/>
        </w:rPr>
        <w:t>פאי סיאם לינקולן בע"מ נ' מדינת ישראל – רשות מקרקעי ישראל</w:t>
      </w:r>
      <w:r>
        <w:rPr>
          <w:rtl/>
        </w:rPr>
        <w:t xml:space="preserve">‏, פסקה 4 (26.10.2020)). </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 xml:space="preserve">יתר על כן, כלל נקוט הוא בבית משפט זה שאין לדון בסוגיה משפטית חשובה במסגרת גלגול שלישי אם אין בפתרונה כדי להשפיע על תוצאת הערעור (רע"א 4548/14 </w:t>
      </w:r>
      <w:r>
        <w:rPr>
          <w:rFonts w:ascii="Century" w:hAnsi="Century" w:cs="Miriam"/>
          <w:b/>
          <w:spacing w:val="0"/>
          <w:sz w:val="22"/>
          <w:szCs w:val="24"/>
          <w:rtl/>
        </w:rPr>
        <w:t>פרץ נ' קצין התגמולים</w:t>
      </w:r>
      <w:r>
        <w:rPr>
          <w:rFonts w:ascii="Century" w:hAnsi="Century"/>
          <w:sz w:val="22"/>
          <w:rtl/>
        </w:rPr>
        <w:t>, פסקה 13</w:t>
      </w:r>
      <w:r>
        <w:rPr>
          <w:rtl/>
        </w:rPr>
        <w:t xml:space="preserve"> להחלטת חברתי (27.7.2014); רע"א 7664/13 </w:t>
      </w:r>
      <w:r>
        <w:rPr>
          <w:rFonts w:ascii="Century" w:hAnsi="Century" w:cs="Miriam"/>
          <w:b/>
          <w:spacing w:val="0"/>
          <w:sz w:val="22"/>
          <w:szCs w:val="24"/>
          <w:rtl/>
        </w:rPr>
        <w:t>סטניצקי נ' בנק לאומי למשכנתאות</w:t>
      </w:r>
      <w:r>
        <w:rPr>
          <w:rtl/>
        </w:rPr>
        <w:t xml:space="preserve">, פסקה 27 להחלטת חברתי (16.1.2014)). כאמור לעיל, בפסק דינו של בית משפט השלום הוכרע כי הסוגיה שעניינה תחולת סעיף 113(ב) לחוק המקרקעין </w:t>
      </w:r>
      <w:r>
        <w:rPr>
          <w:rFonts w:ascii="Century" w:hAnsi="Century" w:cs="Miriam"/>
          <w:b/>
          <w:spacing w:val="0"/>
          <w:sz w:val="22"/>
          <w:szCs w:val="24"/>
          <w:rtl/>
        </w:rPr>
        <w:t>איננה</w:t>
      </w:r>
      <w:r>
        <w:rPr>
          <w:rtl/>
        </w:rPr>
        <w:t xml:space="preserve"> הסוגיה החורצת את גורל התביעה, שכן בין כה וכה קיימת במקרה זה תחולה להוראת סעיף 8 לחוק ההתיישנות, וזאת "גם למקרה שתידחה הטענה לפיה עד למועד שחרורם של המקרקעין לידי התובעים היה מדובר ב'מקרקעי ציבור', על המשתמע מכך לעניין הוראת סעיף 113(ב) לחוק המקרקעין" (פסקה 27 לפסק דינו של בית משפט השלום).</w:t>
      </w:r>
    </w:p>
    <w:p w:rsidR="00164CCE" w:rsidRDefault="00164CCE" w:rsidP="00164CCE">
      <w:pPr>
        <w:pStyle w:val="Ruller4"/>
        <w:numPr>
          <w:ilvl w:val="0"/>
          <w:numId w:val="0"/>
        </w:numPr>
      </w:pPr>
      <w:r>
        <w:t xml:space="preserve"> </w:t>
      </w:r>
    </w:p>
    <w:p w:rsidR="00164CCE" w:rsidRDefault="00164CCE" w:rsidP="00164CCE">
      <w:pPr>
        <w:pStyle w:val="Ruller4"/>
        <w:numPr>
          <w:ilvl w:val="0"/>
          <w:numId w:val="16"/>
        </w:numPr>
        <w:textAlignment w:val="auto"/>
      </w:pPr>
      <w:r>
        <w:rPr>
          <w:rtl/>
        </w:rPr>
        <w:t xml:space="preserve">על כל אלה יצוין כי על פני הדברים, מבלי שמצאתי כאמור כי יש צורך להכריע בשאלה, אינני סבור כי ניתן לקבוע בנקל שקביעת בית משפט השלום כי מרוץ ההתיישנות החל להימנות רק למן הרגע ששוחררו המקרקעין לידי נאמני ההקדש, היא נטולת בסיס. ודאי שיש לקביעה זו עוגן מפורש בהוראת סעיף 113(ב) לחוק המקרקעין המתייחסת ל"מקרקעי ציבור". אדרבה, אינני מוצא כל עוגן בלשון החוק להבחנה בין "אדמות מדינה" לבין "מקרקעין בבעלות פרטית שהוקנו לניהולו של האפוטרופוס הכללי מכוח חוק הסדרי משפט". כמו כן, הרציונל המונח ביסוד דחיית תקופת ההתיישנות במקרקעי ציבור, הנובע בין היתר מאפיונם המיוחד המתבטא בקושי לפקח באופן הדוק על סוג זה של מקרקעין, חל ביתר שאת גם בקרקעות שהוקנו לאפוטרופוס הכללי. ארחיב בדבר רק על מנת שדברי חברתי לא יישארו מיותמים מתגובתי. </w:t>
      </w:r>
    </w:p>
    <w:p w:rsidR="00164CCE" w:rsidRDefault="00164CCE" w:rsidP="00164CCE">
      <w:pPr>
        <w:pStyle w:val="Ruller41"/>
        <w:rPr>
          <w:rtl/>
        </w:rPr>
      </w:pPr>
    </w:p>
    <w:p w:rsidR="00164CCE" w:rsidRDefault="00164CCE" w:rsidP="00164CCE">
      <w:pPr>
        <w:pStyle w:val="Ruller41"/>
        <w:rPr>
          <w:rtl/>
        </w:rPr>
      </w:pPr>
    </w:p>
    <w:p w:rsidR="00164CCE" w:rsidRDefault="00164CCE" w:rsidP="00164CCE">
      <w:pPr>
        <w:pStyle w:val="Ruller41"/>
        <w:rPr>
          <w:rFonts w:ascii="Century" w:hAnsi="Century" w:cs="Miriam"/>
          <w:b/>
          <w:spacing w:val="0"/>
          <w:szCs w:val="24"/>
          <w:rtl/>
        </w:rPr>
      </w:pPr>
      <w:r>
        <w:rPr>
          <w:rFonts w:ascii="Century" w:hAnsi="Century" w:cs="Miriam"/>
          <w:b/>
          <w:spacing w:val="0"/>
          <w:szCs w:val="24"/>
          <w:rtl/>
        </w:rPr>
        <w:t>סעיף 113(ב) לחוק המקרקעין</w:t>
      </w:r>
    </w:p>
    <w:p w:rsidR="00164CCE" w:rsidRDefault="00164CCE" w:rsidP="00164CCE">
      <w:pPr>
        <w:pStyle w:val="Ruller41"/>
        <w:rPr>
          <w:rFonts w:ascii="Century" w:hAnsi="Century" w:cs="Miriam"/>
          <w:b/>
          <w:spacing w:val="0"/>
          <w:szCs w:val="24"/>
          <w:rtl/>
        </w:rPr>
      </w:pPr>
    </w:p>
    <w:p w:rsidR="00164CCE" w:rsidRDefault="00164CCE" w:rsidP="00164CCE">
      <w:pPr>
        <w:pStyle w:val="Ruller4"/>
        <w:numPr>
          <w:ilvl w:val="0"/>
          <w:numId w:val="16"/>
        </w:numPr>
        <w:textAlignment w:val="auto"/>
        <w:rPr>
          <w:rtl/>
        </w:rPr>
      </w:pPr>
      <w:r>
        <w:rPr>
          <w:rtl/>
        </w:rPr>
        <w:t xml:space="preserve">סעיף 5(א) לחוק הסדרי משפט ומינהל [נוסח משולב], התש"ל-1970 (להלן: </w:t>
      </w:r>
      <w:r>
        <w:rPr>
          <w:rFonts w:ascii="Century" w:hAnsi="Century" w:cs="Miriam"/>
          <w:b/>
          <w:spacing w:val="0"/>
          <w:sz w:val="22"/>
          <w:szCs w:val="24"/>
          <w:rtl/>
        </w:rPr>
        <w:t>חוק הסדרי משפט ומינהל</w:t>
      </w:r>
      <w:r>
        <w:rPr>
          <w:rtl/>
        </w:rPr>
        <w:t>) קובע כך:</w:t>
      </w:r>
    </w:p>
    <w:p w:rsidR="00164CCE" w:rsidRDefault="00164CCE" w:rsidP="00164CCE">
      <w:pPr>
        <w:pStyle w:val="Ruller41"/>
        <w:rPr>
          <w:rtl/>
        </w:rPr>
      </w:pPr>
    </w:p>
    <w:p w:rsidR="00164CCE" w:rsidRDefault="00164CCE" w:rsidP="00164CCE">
      <w:pPr>
        <w:pStyle w:val="Ruller5"/>
      </w:pPr>
      <w:r>
        <w:rPr>
          <w:rtl/>
        </w:rPr>
        <w:t xml:space="preserve">מקרקעין הנמצאים בשטח תחולתו של צו החלת המשפט, וערב היום שבו עבר השטח להחזקת צבא-הגנה לישראל הם היו מוקנים לאדם אשר שלטונות המדינה שהשטח היה תפוס בידיה למעשה מינו אותו לממונה על רכוש האויב או לבעל תפקיד או תואר דומה [...] – </w:t>
      </w:r>
      <w:r>
        <w:rPr>
          <w:rFonts w:ascii="Century" w:hAnsi="Century" w:cs="Miriam"/>
          <w:b/>
          <w:spacing w:val="0"/>
          <w:szCs w:val="24"/>
          <w:rtl/>
        </w:rPr>
        <w:t>מוקנים</w:t>
      </w:r>
      <w:r>
        <w:rPr>
          <w:rtl/>
        </w:rPr>
        <w:t xml:space="preserve"> מיום תחילתו של הצו לאפוטרופוס הכללי שיעשה בהם כאמור להלן בסעיף זה [ההדגשה אינה במקור].</w:t>
      </w:r>
    </w:p>
    <w:p w:rsidR="00164CCE" w:rsidRDefault="00164CCE" w:rsidP="00164CCE">
      <w:pPr>
        <w:pStyle w:val="Ruller4"/>
        <w:numPr>
          <w:ilvl w:val="0"/>
          <w:numId w:val="0"/>
        </w:numPr>
      </w:pPr>
    </w:p>
    <w:p w:rsidR="00164CCE" w:rsidRDefault="00164CCE" w:rsidP="00164CCE">
      <w:pPr>
        <w:pStyle w:val="Ruller4"/>
        <w:numPr>
          <w:ilvl w:val="0"/>
          <w:numId w:val="0"/>
        </w:numPr>
      </w:pPr>
      <w:r>
        <w:rPr>
          <w:rtl/>
        </w:rPr>
        <w:tab/>
        <w:t xml:space="preserve">אין חולק כי ברקע לחקיקת הוראת סעיף 5 לחוק הסדרי משפט ומינהל עמדו נסיבות ייחודיות. ההוראה, שעניינה בשחרור מקרקעין שהיו בטיפולו של הממונה על רכוש האויב הירדני, קודם שהוחל המשפט הישראלי על מזרח ירושלים, נועדה להתמודד עם הסיטואציה שנוצרה בתקופה שלאחר מלחמת ששת הימים. משנקבע בצו סדרי השלטון והמשפט (מס' 1), התשכ"ז-1967 מיום 28.6.1967 כי "מזרח ירושלים הינו שטח של ארץ ישראל שבו חלים המשפט, השיפוט והמינהל של המדינה", התעורר הצורך בהתקנת הסדרים מיוחדים שיחילו את המשפט הישראלי במצב שנוצר (בג"ץ 282/88 </w:t>
      </w:r>
      <w:r>
        <w:rPr>
          <w:rFonts w:ascii="Century" w:hAnsi="Century" w:cs="Miriam"/>
          <w:b/>
          <w:spacing w:val="0"/>
          <w:sz w:val="22"/>
          <w:szCs w:val="24"/>
          <w:rtl/>
        </w:rPr>
        <w:t>עווד נ' יצחק שמיר, ראש הממשלה ושר הפנים</w:t>
      </w:r>
      <w:r>
        <w:rPr>
          <w:rtl/>
        </w:rPr>
        <w:t xml:space="preserve">, פ"ד מב(2) 424, 429 (1988)). בין הסדרים אלה, נמנה חוק הסדרי משפט ומינהל, אשר ביקש להתמודד גם עם הנכסים שהיו בטיפולו של הממונה על רכוש האויב. נקבע כי נכסים אלה "יוקנו" לאפוטרופוס הכללי שאחראי לניהולם עד לשחרורם. על משמעותה של "הקניה" זו עמד בית משפט זה עוד בעניין ע"א 499/78 </w:t>
      </w:r>
      <w:r>
        <w:rPr>
          <w:rFonts w:ascii="Century" w:hAnsi="Century" w:cs="Miriam"/>
          <w:b/>
          <w:spacing w:val="0"/>
          <w:sz w:val="22"/>
          <w:szCs w:val="24"/>
          <w:rtl/>
        </w:rPr>
        <w:t>נבולסי נ' מועצת בתי העלמין היהודיים, ירושלים</w:t>
      </w:r>
      <w:r>
        <w:rPr>
          <w:rtl/>
        </w:rPr>
        <w:t xml:space="preserve">, פ"ד לג(3) 679 (1979), בהתייחס לטענת המערער באותו הליך כי אין מדובר בהקניה של </w:t>
      </w:r>
      <w:r>
        <w:rPr>
          <w:rFonts w:ascii="Century" w:hAnsi="Century" w:cs="Miriam"/>
          <w:b/>
          <w:spacing w:val="0"/>
          <w:sz w:val="22"/>
          <w:szCs w:val="24"/>
          <w:rtl/>
        </w:rPr>
        <w:t>זכות בעלות</w:t>
      </w:r>
      <w:r>
        <w:rPr>
          <w:rtl/>
        </w:rPr>
        <w:t xml:space="preserve"> דווקא:</w:t>
      </w:r>
    </w:p>
    <w:p w:rsidR="00164CCE" w:rsidRDefault="00164CCE" w:rsidP="00164CCE">
      <w:pPr>
        <w:pStyle w:val="Ruller41"/>
        <w:rPr>
          <w:rtl/>
        </w:rPr>
      </w:pPr>
    </w:p>
    <w:p w:rsidR="00164CCE" w:rsidRDefault="00164CCE" w:rsidP="00164CCE">
      <w:pPr>
        <w:pStyle w:val="Ruller5"/>
        <w:rPr>
          <w:rtl/>
        </w:rPr>
      </w:pPr>
      <w:r>
        <w:rPr>
          <w:rtl/>
        </w:rPr>
        <w:t xml:space="preserve">"אמת נכון הדבר שניתן 'להקנות' גם זכויות הפחותות מזכות הבעלות; אלא בסעיף 5(א) דנן אין המונח "מוקנים" האמור שם יכול להתיחס אלא להקנית זכות הבעלות בלבד [...]" (עמ' 681 שם). </w:t>
      </w:r>
    </w:p>
    <w:p w:rsidR="00164CCE" w:rsidRDefault="00164CCE" w:rsidP="00164CCE">
      <w:pPr>
        <w:pStyle w:val="Ruller41"/>
        <w:rPr>
          <w:rtl/>
        </w:rPr>
      </w:pPr>
    </w:p>
    <w:p w:rsidR="00164CCE" w:rsidRDefault="00164CCE" w:rsidP="00164CCE">
      <w:pPr>
        <w:pStyle w:val="Ruller41"/>
        <w:rPr>
          <w:rtl/>
        </w:rPr>
      </w:pPr>
      <w:r>
        <w:rPr>
          <w:rtl/>
        </w:rPr>
        <w:tab/>
        <w:t xml:space="preserve">מדובר אפוא בהקניה שלמה ומלאה, אך כזו שאיננה שוללת את אפשרות "החייאת" זכות הבעלות המקורית על המקרקעין. היינו, הקניית הנכס העבירה את הבעלות בנכס לידי האפוטרופוס הכללי, אף כי מדובר בבעלות שבצידה קיימת הציפייה להשיב לידי הבעלים המקורי את נכסיו (בג"ץ 3103/06 </w:t>
      </w:r>
      <w:r>
        <w:rPr>
          <w:rFonts w:ascii="Century" w:hAnsi="Century" w:cs="Miriam"/>
          <w:b/>
          <w:spacing w:val="0"/>
          <w:szCs w:val="24"/>
          <w:rtl/>
        </w:rPr>
        <w:t>ולירו נ' מדינת ישראל</w:t>
      </w:r>
      <w:r>
        <w:rPr>
          <w:rtl/>
        </w:rPr>
        <w:t xml:space="preserve">, פסקה 29 (6.2.2011); ראו גם: איל זמיר ואיל בנבנישתי </w:t>
      </w:r>
      <w:r>
        <w:rPr>
          <w:rFonts w:ascii="Century" w:hAnsi="Century" w:cs="Miriam"/>
          <w:b/>
          <w:spacing w:val="0"/>
          <w:szCs w:val="24"/>
          <w:rtl/>
        </w:rPr>
        <w:t>'אדמות היהודים' ביהודה, שומרון, חבל עזה ומזרח ירושלים</w:t>
      </w:r>
      <w:r>
        <w:rPr>
          <w:rtl/>
        </w:rPr>
        <w:t xml:space="preserve"> 46-45 (1993); להלן: </w:t>
      </w:r>
      <w:r>
        <w:rPr>
          <w:rFonts w:ascii="Century" w:hAnsi="Century" w:cs="Miriam"/>
          <w:b/>
          <w:spacing w:val="0"/>
          <w:szCs w:val="24"/>
          <w:rtl/>
        </w:rPr>
        <w:t>זמיר ובנבנישתי</w:t>
      </w:r>
      <w:r>
        <w:rPr>
          <w:rtl/>
        </w:rPr>
        <w:t xml:space="preserve">), ועד אשר יעשה כן ההקניה כללה את החובה לנהלם ולשחררם. לא היה מדובר במלאכה פשוטה. השחרור (הטעון תעודה בחתימת האפוטרופוס) נעשה רק לאחר איתור המקרקעין ובירור שאלות משפטיות מורכבות בנוגע למעמדם המשפטי של הנכסים ומבקשי השחרור. מטבע הדברים, מדובר בהליכים מורכבים וממושכים (ראו גם: </w:t>
      </w:r>
      <w:r>
        <w:rPr>
          <w:rFonts w:ascii="Century" w:hAnsi="Century" w:cs="Miriam"/>
          <w:b/>
          <w:spacing w:val="0"/>
          <w:szCs w:val="24"/>
          <w:rtl/>
        </w:rPr>
        <w:t>זמיר ובנבנישתי</w:t>
      </w:r>
      <w:r>
        <w:rPr>
          <w:rtl/>
        </w:rPr>
        <w:t>, 90-89).</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 xml:space="preserve">ובאשר לסעיף 113(ב) לחוק המקרקעין, מההיסטוריה החקיקתית של חוק המקרקעין קשה לחלץ את הרקע לחקיקת הסעיף. דברי ההסבר להצעת חוק המקרקעין, התשכ"ד-1964 (להלן: </w:t>
      </w:r>
      <w:r>
        <w:rPr>
          <w:rFonts w:ascii="Century" w:hAnsi="Century" w:cs="Miriam"/>
          <w:b/>
          <w:spacing w:val="0"/>
          <w:sz w:val="22"/>
          <w:szCs w:val="24"/>
          <w:rtl/>
        </w:rPr>
        <w:t>הצעת החוק</w:t>
      </w:r>
      <w:r>
        <w:rPr>
          <w:rtl/>
        </w:rPr>
        <w:t xml:space="preserve">) שותקים בהקשר זה. ההערכה היא כי ביסוד ההוראה עומדת אי-הוודאות שעשויה להיווצר בקשר לבעלות ב"מקרקעי ציבור", כאשר רשויות הציבור המופקדות על שמירת המקרקעין עשויות שלא לדעת את המצב בהם לאשורו. אי-וודאות זו מצדיקה את דחיית תקופת ההתיישנות (ראו: יהושע ויסמן "ההתיישנות והמדינה" </w:t>
      </w:r>
      <w:r>
        <w:rPr>
          <w:rFonts w:ascii="Century" w:hAnsi="Century" w:cs="Miriam"/>
          <w:b/>
          <w:spacing w:val="0"/>
          <w:sz w:val="22"/>
          <w:szCs w:val="24"/>
          <w:rtl/>
        </w:rPr>
        <w:t>משפטים</w:t>
      </w:r>
      <w:r>
        <w:rPr>
          <w:rtl/>
        </w:rPr>
        <w:t xml:space="preserve"> יד 3, 13 (1984); להלן: </w:t>
      </w:r>
      <w:r>
        <w:rPr>
          <w:rFonts w:ascii="Century" w:hAnsi="Century" w:cs="Miriam"/>
          <w:b/>
          <w:spacing w:val="0"/>
          <w:sz w:val="22"/>
          <w:szCs w:val="24"/>
          <w:rtl/>
        </w:rPr>
        <w:t>ויסמן, ההתיישנות והמדינה</w:t>
      </w:r>
      <w:r>
        <w:rPr>
          <w:rtl/>
        </w:rPr>
        <w:t>). על פני הדברים, גם לגבי מקרקעין שהוקנו לאפוטרופוס הכללי מכוח חוק הסדרי משפט ומינהל – בהתחשב באופייה של הקניית הנכסים בנסיבות הייחודיות של אותה תקופה שנעשתה באופן אוטומטי מכוח הוראת חוק, ללא רישום ובבת אחת – קיים בדיוק אותו רציונל המצדיק דחיית מירוץ ההתיישנות.</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אכן, בספרות נמתחה ביקורת על ההשלכות שעשויות להיות ליישום הוראת סעיף 113(ב) לחוק המקרקעין. היו שטענו שמדובר בהוראה מרחיקת לכת הרבה מעבר לדרוש, שתוצאות הלוואי שלה עלולות להיות בלתי רצויות, וכי ניתן היה להסתפק בהוראת סעיף 8 לחוק ההתיישנות כדי ליתן מענה לחשש שסעיף 113(ב) בא להתמודד עמו. היינו, כי די בדחיית מירוץ ההתיישנות במקרים שבהם אי-ידיעת התובע את העובדות הרלוונטיות מקורן בנסיבות שאינן תלויות בו. נטען כי ספק אם העמדה שנקט בה המחוקק בחקיקת הוראת סעיף 113(ב) מוצדקת (</w:t>
      </w:r>
      <w:r>
        <w:rPr>
          <w:rFonts w:ascii="Century" w:hAnsi="Century" w:cs="Miriam"/>
          <w:b/>
          <w:spacing w:val="0"/>
          <w:sz w:val="22"/>
          <w:szCs w:val="24"/>
          <w:rtl/>
        </w:rPr>
        <w:t>ויסמן,</w:t>
      </w:r>
      <w:r>
        <w:rPr>
          <w:rtl/>
        </w:rPr>
        <w:t xml:space="preserve"> </w:t>
      </w:r>
      <w:r>
        <w:rPr>
          <w:rFonts w:ascii="Century" w:hAnsi="Century" w:cs="Miriam"/>
          <w:b/>
          <w:spacing w:val="0"/>
          <w:sz w:val="22"/>
          <w:szCs w:val="24"/>
          <w:rtl/>
        </w:rPr>
        <w:t>ההתיישנות והמדינה</w:t>
      </w:r>
      <w:r>
        <w:rPr>
          <w:rtl/>
        </w:rPr>
        <w:t xml:space="preserve">, עמ' 14-13; ראו גם: יהושע ויסמן </w:t>
      </w:r>
      <w:r>
        <w:rPr>
          <w:rFonts w:ascii="Century" w:hAnsi="Century" w:cs="Miriam"/>
          <w:b/>
          <w:spacing w:val="0"/>
          <w:sz w:val="22"/>
          <w:szCs w:val="24"/>
          <w:rtl/>
        </w:rPr>
        <w:t>דיני קניין – חלק כללי</w:t>
      </w:r>
      <w:r>
        <w:rPr>
          <w:rtl/>
        </w:rPr>
        <w:t xml:space="preserve"> 268 (1993); להלן: </w:t>
      </w:r>
      <w:r>
        <w:rPr>
          <w:rFonts w:ascii="Century" w:hAnsi="Century" w:cs="Miriam"/>
          <w:b/>
          <w:spacing w:val="0"/>
          <w:sz w:val="22"/>
          <w:szCs w:val="24"/>
          <w:rtl/>
        </w:rPr>
        <w:t>ויסמן, דיני קניין</w:t>
      </w:r>
      <w:r>
        <w:rPr>
          <w:rtl/>
        </w:rPr>
        <w:t>). לעמדת פרופ' ויסמן, בכל מקרה היה על המחוקק להבחין בין מקרקעין של המדינה לבין "מקרקעין של תאגיד שהוקם על ידי חיקוק", שכן לגבי מקרקעין מהסוג האחרון ניתן היה לצפות שלתאגיד יהיה ידוע אילו מקרקעין שייכים להם ומה נעשה בהם (</w:t>
      </w:r>
      <w:r>
        <w:rPr>
          <w:rFonts w:ascii="Century" w:hAnsi="Century" w:cs="Miriam"/>
          <w:b/>
          <w:spacing w:val="0"/>
          <w:sz w:val="22"/>
          <w:szCs w:val="24"/>
          <w:rtl/>
        </w:rPr>
        <w:t>ויסמן, דיני קניין</w:t>
      </w:r>
      <w:r>
        <w:rPr>
          <w:rtl/>
        </w:rPr>
        <w:t xml:space="preserve">, עמ' 267). </w:t>
      </w:r>
    </w:p>
    <w:p w:rsidR="00164CCE" w:rsidRDefault="00164CCE" w:rsidP="00164CCE">
      <w:pPr>
        <w:pStyle w:val="Ruller41"/>
        <w:rPr>
          <w:rtl/>
        </w:rPr>
      </w:pPr>
    </w:p>
    <w:p w:rsidR="00164CCE" w:rsidRDefault="00164CCE" w:rsidP="00164CCE">
      <w:pPr>
        <w:pStyle w:val="Ruller4"/>
        <w:numPr>
          <w:ilvl w:val="0"/>
          <w:numId w:val="16"/>
        </w:numPr>
        <w:textAlignment w:val="auto"/>
      </w:pPr>
      <w:r>
        <w:rPr>
          <w:rtl/>
        </w:rPr>
        <w:t xml:space="preserve">ברם, גם במסגרת דיון ביקורתי זה, הנחת היסוד היא כי על פי מצוות המחוקק, נקודת האיזון שנבחרה היא שונה. על פי הוראות החוק </w:t>
      </w:r>
      <w:r>
        <w:rPr>
          <w:rFonts w:ascii="Century" w:hAnsi="Century" w:cs="Miriam"/>
          <w:b/>
          <w:spacing w:val="0"/>
          <w:sz w:val="22"/>
          <w:szCs w:val="24"/>
          <w:rtl/>
        </w:rPr>
        <w:t>כל מקרקעין</w:t>
      </w:r>
      <w:r>
        <w:rPr>
          <w:rtl/>
        </w:rPr>
        <w:t xml:space="preserve"> של המדינה, כמו גם מקרקעין של רשות מקומית ושל תאגיד שהוקם על פי חיקוק, באים בגדרי "מקרקעי ציבור" (סעיף 107 לחוק המקרקעין). החוק אינו מבחין בין מקרקעין שרשות ציבורית </w:t>
      </w:r>
      <w:r>
        <w:rPr>
          <w:rFonts w:ascii="Century" w:hAnsi="Century" w:cs="Miriam"/>
          <w:b/>
          <w:spacing w:val="0"/>
          <w:sz w:val="22"/>
          <w:szCs w:val="24"/>
          <w:rtl/>
        </w:rPr>
        <w:t>מודעת</w:t>
      </w:r>
      <w:r>
        <w:rPr>
          <w:rtl/>
        </w:rPr>
        <w:t xml:space="preserve"> אליהם, לבין מקרקעין שרשות ציבורית </w:t>
      </w:r>
      <w:r>
        <w:rPr>
          <w:rFonts w:ascii="Century" w:hAnsi="Century" w:cs="Miriam"/>
          <w:b/>
          <w:spacing w:val="0"/>
          <w:sz w:val="22"/>
          <w:szCs w:val="24"/>
          <w:rtl/>
        </w:rPr>
        <w:t>אינה מודעת</w:t>
      </w:r>
      <w:r>
        <w:rPr>
          <w:rtl/>
        </w:rPr>
        <w:t xml:space="preserve"> אליהם. החוק אינו מבחין בין מקרקעין </w:t>
      </w:r>
      <w:r>
        <w:rPr>
          <w:rFonts w:ascii="Century" w:hAnsi="Century" w:cs="Miriam"/>
          <w:b/>
          <w:spacing w:val="0"/>
          <w:sz w:val="22"/>
          <w:szCs w:val="24"/>
          <w:rtl/>
        </w:rPr>
        <w:t>שבעליהם ידעו</w:t>
      </w:r>
      <w:r>
        <w:rPr>
          <w:rtl/>
        </w:rPr>
        <w:t xml:space="preserve"> על אודותיהם, לבין מקרקעין </w:t>
      </w:r>
      <w:r>
        <w:rPr>
          <w:rFonts w:ascii="Century" w:hAnsi="Century" w:cs="Miriam"/>
          <w:b/>
          <w:spacing w:val="0"/>
          <w:sz w:val="22"/>
          <w:szCs w:val="24"/>
          <w:rtl/>
        </w:rPr>
        <w:t>שבעליהם לא ידעו</w:t>
      </w:r>
      <w:r>
        <w:rPr>
          <w:rtl/>
        </w:rPr>
        <w:t xml:space="preserve"> על אודותיהם. החוק אינו מבחין בין מקרקעין של המדינה "ממש", לבין "מקרקעין של תאגיד שהוקם על ידי חיקוק". כולם על פי גזירת הכתוב, באים בגדרי "מקרקעי ציבור". אדרבה, בהצעת חוק המקרקעין, התשכ"ד-1964 (להלן: </w:t>
      </w:r>
      <w:r>
        <w:rPr>
          <w:rFonts w:ascii="Century" w:hAnsi="Century" w:cs="Miriam"/>
          <w:b/>
          <w:spacing w:val="0"/>
          <w:sz w:val="22"/>
          <w:szCs w:val="24"/>
          <w:rtl/>
        </w:rPr>
        <w:t>הצעת החוק</w:t>
      </w:r>
      <w:r>
        <w:rPr>
          <w:rtl/>
        </w:rPr>
        <w:t xml:space="preserve">) בנוסחה המקורי </w:t>
      </w:r>
      <w:r>
        <w:rPr>
          <w:rFonts w:ascii="Century" w:hAnsi="Century" w:cs="Miriam"/>
          <w:b/>
          <w:spacing w:val="0"/>
          <w:sz w:val="22"/>
          <w:szCs w:val="24"/>
          <w:rtl/>
        </w:rPr>
        <w:t>לא נכללו</w:t>
      </w:r>
      <w:r>
        <w:rPr>
          <w:rtl/>
        </w:rPr>
        <w:t xml:space="preserve"> בהגדרת "מקרקעי ציבור" </w:t>
      </w:r>
      <w:r>
        <w:rPr>
          <w:rFonts w:ascii="Century" w:hAnsi="Century" w:cs="Miriam"/>
          <w:b/>
          <w:spacing w:val="0"/>
          <w:sz w:val="22"/>
          <w:szCs w:val="24"/>
          <w:rtl/>
        </w:rPr>
        <w:t>מקרקעין של תאגיד שהוקם על פי חיקוק</w:t>
      </w:r>
      <w:r>
        <w:rPr>
          <w:rtl/>
        </w:rPr>
        <w:t xml:space="preserve"> (במקומם נכללו "מקרקעין אחרים שנקבעו בתקנות באישור ועדת הכלכלה של הכנסת כמקרקעי ציבור לענין פרק זה" (סעיף 177 להצעת החוק)). כך גם בהצעת החוק המקורית נעשתה הבחנה בין מקרקעין שנודע לבעליהם כי הם שייכים להם לבין מקרקעין שלא נודע לבעליהם כאמור (סעיף 180(ב) להצעת החוק). אולם נוסחו של החוק כפי שהתקבל לבסוף ברור וחד-משמעי. ניסוחו הרחב של סעיף 113(ב) לחוק המקרקעין החל לגבי </w:t>
      </w:r>
      <w:r>
        <w:rPr>
          <w:rFonts w:ascii="Century" w:hAnsi="Century" w:cs="Miriam"/>
          <w:b/>
          <w:spacing w:val="0"/>
          <w:sz w:val="22"/>
          <w:szCs w:val="24"/>
          <w:rtl/>
        </w:rPr>
        <w:t>כל מקרקעין</w:t>
      </w:r>
      <w:r>
        <w:rPr>
          <w:rtl/>
        </w:rPr>
        <w:t xml:space="preserve"> של המדינה והכללת מקרקעין של תאגיד שהוקם על פי חיקוק הינה תוצר של הכרעה ברורה, גם אם נמתחה ביקורת עליה. העובדה שבחוק אחר (חוק מקרקעי ציבור (פינוי קרקע), התשמ"א-1981), בהגדרת "מקרקעי ציבור" נשמטו "מקרקעין של תאגיד שהוקם על ידי חיקוק", אין בה כדי להשליך על פרשנותו של חוק המקרקעין </w:t>
      </w:r>
      <w:r>
        <w:rPr>
          <w:rFonts w:ascii="Century" w:hAnsi="Century" w:cs="Miriam"/>
          <w:b/>
          <w:spacing w:val="0"/>
          <w:sz w:val="22"/>
          <w:szCs w:val="24"/>
          <w:rtl/>
        </w:rPr>
        <w:t>המכניס</w:t>
      </w:r>
      <w:r>
        <w:rPr>
          <w:rtl/>
        </w:rPr>
        <w:t xml:space="preserve"> לגדרי אותה הגדרה מקרקעין מן הסוג האמור. אדרבה, כל שניתן ללמוד מהשמטה זו בחוק מקרקעי ציבור הוא כי בגדרי חוק המקרקעין בחר המחוקק בכוונת מכוון להכליל בהגדרת "מקרקעי ציבור" </w:t>
      </w:r>
      <w:r>
        <w:rPr>
          <w:rFonts w:ascii="Century" w:hAnsi="Century" w:cs="Miriam"/>
          <w:b/>
          <w:spacing w:val="0"/>
          <w:sz w:val="22"/>
          <w:szCs w:val="24"/>
          <w:rtl/>
        </w:rPr>
        <w:t>גם</w:t>
      </w:r>
      <w:r>
        <w:rPr>
          <w:rtl/>
        </w:rPr>
        <w:t xml:space="preserve"> קבוצה זו. ההבחנה שעושה חברתי בעניין זה, בהתייחס לתכלית החוק כפי שהיא רואה אותה, אינה עולה בקנה אחד עם לשון הסעיף הברורה ופשטותם של הדברים.</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עוד יש להוסיף כי חברתי מוצאת קושי ניכר בפרשנות שאימץ בית משפט השלום גם במישור לשון החוק, בציינה כי על פי הוראת סעיף 113(ב) לחוק המקרקעין תידחה תקופת ההתיישנות עד ליום שבו "נרשמו" המקרקעין "על שם בעליהם" בעוד שבעניינינו המקרקעין היו רשומים זה מכבר משנת 1882 בפנקס השטרות על שם "מוסטון בן בניסטה" שהוא, "ככל הנראה משה בנבישתי, המקדיש", כדברי חברתי. הבחנה זו לא בא זכרה לא בהליך בבית משפט השלום ולא בבית המשפט המחוזי. כאמור לעיל, המערערים לא טענו בכל ערכאות השיפוט בהן נדון עניינם דבר בעניין הרציונל העומד ביסוד הוראת סעיף 113(ב) לחוק המקרקעין, והתאמתו לנסיבות המקרה דנן, וודאי לא בקשר לשאלת הרישום</w:t>
      </w:r>
      <w:r>
        <w:rPr>
          <w:rFonts w:ascii="Century" w:hAnsi="Century"/>
          <w:sz w:val="22"/>
          <w:rtl/>
        </w:rPr>
        <w:t>. לא הועלתה כל טענה כי סעיף 113(ב) לחוק המקרקעין לא חל בשל נסיבות הרישום הייחודיות</w:t>
      </w:r>
      <w:r>
        <w:rPr>
          <w:rtl/>
        </w:rPr>
        <w:t xml:space="preserve"> של תיק זה, וממילא טענה זו לא נדונה. לא בכדי הקביעה כי הרישום נעשה "ככל הנראה" על שם "משה בנבנישתי", </w:t>
      </w:r>
      <w:r>
        <w:rPr>
          <w:rFonts w:ascii="Century" w:hAnsi="Century"/>
          <w:sz w:val="22"/>
          <w:rtl/>
        </w:rPr>
        <w:t>אינה</w:t>
      </w:r>
      <w:r>
        <w:rPr>
          <w:rtl/>
        </w:rPr>
        <w:t xml:space="preserve"> מתבססת על טענות הצדדים </w:t>
      </w:r>
      <w:r>
        <w:rPr>
          <w:rFonts w:ascii="Century" w:hAnsi="Century"/>
          <w:sz w:val="22"/>
          <w:rtl/>
        </w:rPr>
        <w:t xml:space="preserve">או על </w:t>
      </w:r>
      <w:r>
        <w:rPr>
          <w:rtl/>
        </w:rPr>
        <w:t xml:space="preserve">מסמכים שהוגשו על ידם בהליך שהתנהל בבית משפט השלום, אלא על הכרעת בית המשפט המחוזי בהליך אחר מלפני שנים (ת"א (מחוזי י-ם) 9403/07 </w:t>
      </w:r>
      <w:r>
        <w:rPr>
          <w:rFonts w:ascii="Century" w:hAnsi="Century" w:cs="Miriam"/>
          <w:b/>
          <w:spacing w:val="0"/>
          <w:sz w:val="22"/>
          <w:szCs w:val="24"/>
          <w:rtl/>
        </w:rPr>
        <w:t>הרב יצחק רלב"ג נ' דוויק</w:t>
      </w:r>
      <w:r>
        <w:rPr>
          <w:rtl/>
        </w:rPr>
        <w:t xml:space="preserve"> (25.5.2012)). ממילא לא היה מקום להכריע בענייננו כי הוראת סעיף 113(ב) לחוק המקרקעין אינה הולמת את מקרה זה, נוכח נסיבות הרישום הספציפיות. בכלל זה, לא רק שלצדדים לא ניתנה ההזדמנות להידרש לסוגיה זו לא בבית משפט השלום, לא בבית המשפט המחוזי ואף לא לפנינו, אלא שגם לא ניתנה הדעת למכלול הסוגיות המורכבות המתעוררות בקשר לשאלת הרישום "על שם הבעלים" במקרה זה, ובכלל זה לשאלה אם יש נפקות לכך שבעוד שהרישום משנת 1882 נעשה על שם המקדיש, המשיבים נכנסו לנעליים של "נאמני ההקדש" רק בשנת 2001; ולשאלה האם יש נפקות לכך שהמקרקעין אשר היו רשומים בפנקס השטרות הועברו לידי הממונה על נכסי האויב הירדני, ואף נרשמו בפנקסי מס רכוש הירדנים. לשאלות אלו ואחרות לא ניתנה הדעת, וגם כאמור לא ניתנה ההזדמנות לצדדים, לטעון לגביהן. הדברים שציינתי לעיל בעניין הבעייתיות הכרוכה בהעלאת טענות ונימוקים שלא הועלו על ידי הצדדים, כי אם ביוזמת בית המשפט, מקבלים בעניין זה משנה תוקף. </w:t>
      </w:r>
    </w:p>
    <w:p w:rsidR="00164CCE" w:rsidRDefault="00164CCE" w:rsidP="00164CCE">
      <w:pPr>
        <w:pStyle w:val="Ruller4"/>
        <w:numPr>
          <w:ilvl w:val="0"/>
          <w:numId w:val="0"/>
        </w:numPr>
        <w:rPr>
          <w:rtl/>
        </w:rPr>
      </w:pPr>
    </w:p>
    <w:p w:rsidR="00164CCE" w:rsidRDefault="00164CCE" w:rsidP="00164CCE">
      <w:pPr>
        <w:pStyle w:val="Ruller4"/>
        <w:numPr>
          <w:ilvl w:val="0"/>
          <w:numId w:val="16"/>
        </w:numPr>
        <w:textAlignment w:val="auto"/>
      </w:pPr>
      <w:r>
        <w:rPr>
          <w:rtl/>
        </w:rPr>
        <w:t xml:space="preserve">מכל מקום, כאמור לעיל, אינני סבור כי הונחה תשתית מספקת לבחינת תחולתה של הוראת סעיף 113(ב) לחוק המקרקעין בענייננו, ואין באמור כדי למצות את הדיון בסוגיה. זאת, שכן בכל מקרה, אף אם אניח כי </w:t>
      </w:r>
      <w:r>
        <w:rPr>
          <w:rFonts w:ascii="Century" w:hAnsi="Century" w:cs="Miriam"/>
          <w:b/>
          <w:spacing w:val="0"/>
          <w:sz w:val="22"/>
          <w:szCs w:val="24"/>
          <w:rtl/>
        </w:rPr>
        <w:t>אין תחולה</w:t>
      </w:r>
      <w:r>
        <w:rPr>
          <w:rtl/>
        </w:rPr>
        <w:t xml:space="preserve"> להוראת סעיף 113(ב) לחוק המקרקעין, כעמדת חברתי, אינני מוצא כל בסיס להתערבות בקביעת בית משפט השלום כי בענייננו חלה הוראת סעיף 8 לחוק ההתיישנות. </w:t>
      </w:r>
    </w:p>
    <w:p w:rsidR="00164CCE" w:rsidRDefault="00164CCE" w:rsidP="00164CCE">
      <w:pPr>
        <w:pStyle w:val="Ruller41"/>
      </w:pPr>
    </w:p>
    <w:p w:rsidR="00164CCE" w:rsidRDefault="00164CCE" w:rsidP="00164CCE">
      <w:pPr>
        <w:pStyle w:val="Ruller41"/>
        <w:rPr>
          <w:rFonts w:ascii="Century" w:hAnsi="Century" w:cs="Miriam"/>
          <w:b/>
          <w:spacing w:val="0"/>
          <w:szCs w:val="24"/>
          <w:rtl/>
        </w:rPr>
      </w:pPr>
      <w:r>
        <w:rPr>
          <w:rFonts w:ascii="Century" w:hAnsi="Century" w:cs="Miriam"/>
          <w:b/>
          <w:spacing w:val="0"/>
          <w:szCs w:val="24"/>
          <w:rtl/>
        </w:rPr>
        <w:t>סעיף 8 לחוק ההתיישנות</w:t>
      </w:r>
    </w:p>
    <w:p w:rsidR="00164CCE" w:rsidRDefault="00164CCE" w:rsidP="00164CCE">
      <w:pPr>
        <w:pStyle w:val="Ruller41"/>
        <w:rPr>
          <w:rFonts w:ascii="Century" w:hAnsi="Century" w:cs="Miriam"/>
          <w:b/>
          <w:spacing w:val="0"/>
          <w:szCs w:val="24"/>
          <w:rtl/>
        </w:rPr>
      </w:pPr>
    </w:p>
    <w:p w:rsidR="00164CCE" w:rsidRDefault="00164CCE" w:rsidP="00164CCE">
      <w:pPr>
        <w:pStyle w:val="Ruller4"/>
        <w:numPr>
          <w:ilvl w:val="0"/>
          <w:numId w:val="16"/>
        </w:numPr>
        <w:textAlignment w:val="auto"/>
      </w:pPr>
      <w:r>
        <w:rPr>
          <w:rtl/>
        </w:rPr>
        <w:t xml:space="preserve">כפי שציינה חברתי, סעיף 8 לחוק ההתיישנות קובע את "כלל הגילוי המאוחר". על פי הכלל האמור, כאשר נעלמו מעיני </w:t>
      </w:r>
      <w:r>
        <w:rPr>
          <w:rFonts w:ascii="Century" w:hAnsi="Century"/>
          <w:sz w:val="22"/>
          <w:rtl/>
        </w:rPr>
        <w:t>"</w:t>
      </w:r>
      <w:r>
        <w:rPr>
          <w:rFonts w:ascii="Century" w:hAnsi="Century" w:cs="Miriam"/>
          <w:b/>
          <w:spacing w:val="0"/>
          <w:sz w:val="22"/>
          <w:szCs w:val="24"/>
          <w:rtl/>
        </w:rPr>
        <w:t>התובע</w:t>
      </w:r>
      <w:r>
        <w:rPr>
          <w:rtl/>
        </w:rPr>
        <w:t xml:space="preserve">" עובדות מהותיות המהוות את עילת התביעה, מסיבות שלא היו תלויות בו ושאף בזהירות סבירה לא יכול היה למנוע אותן, תתחיל תקופת ההתיישנות עם גילוי העובדות. הנחת היסוד היא כי בהיעדר ידיעה של התובע, אשר לא ידע ולא היה עליו לדעת כי קמה לו עילת תביעה, נחלש חלק ניכר מהטעמים העומדים בבסיס דיני ההתיישנות. בנסיבות אלו, לא ניתן לראות את התובע כמי שוויתר על זכויותיו ולא ניתן לבוא אליו בטרוניה כי יצר ציפייה אצל הנתבע כי ויתר או מחל על תביעתו (ע"א 2919/07 </w:t>
      </w:r>
      <w:r>
        <w:rPr>
          <w:rFonts w:ascii="Century" w:hAnsi="Century" w:cs="Miriam"/>
          <w:b/>
          <w:spacing w:val="0"/>
          <w:sz w:val="22"/>
          <w:szCs w:val="24"/>
          <w:rtl/>
        </w:rPr>
        <w:t>מדינת ישראל – הוועדה לאנרגיה אטומית נ' גיא-ליפל</w:t>
      </w:r>
      <w:r>
        <w:rPr>
          <w:rtl/>
        </w:rPr>
        <w:t xml:space="preserve">, פ"ד סד(2) 82, 117-116 (2010) (להלן: עניין </w:t>
      </w:r>
      <w:r>
        <w:rPr>
          <w:rFonts w:ascii="Century" w:hAnsi="Century" w:cs="Miriam"/>
          <w:b/>
          <w:spacing w:val="0"/>
          <w:sz w:val="22"/>
          <w:szCs w:val="24"/>
          <w:rtl/>
        </w:rPr>
        <w:t>גיא-ליפל</w:t>
      </w:r>
      <w:r>
        <w:rPr>
          <w:rtl/>
        </w:rPr>
        <w:t xml:space="preserve">); טל חבקין </w:t>
      </w:r>
      <w:r>
        <w:rPr>
          <w:rFonts w:ascii="Century" w:hAnsi="Century" w:cs="Miriam"/>
          <w:b/>
          <w:spacing w:val="0"/>
          <w:sz w:val="22"/>
          <w:szCs w:val="24"/>
          <w:rtl/>
        </w:rPr>
        <w:t>התיישנות</w:t>
      </w:r>
      <w:r>
        <w:rPr>
          <w:rtl/>
        </w:rPr>
        <w:t xml:space="preserve"> 243 (מהדורה שניה, 2021) (להלן: </w:t>
      </w:r>
      <w:r>
        <w:rPr>
          <w:rFonts w:ascii="Century" w:hAnsi="Century" w:cs="Miriam"/>
          <w:b/>
          <w:spacing w:val="0"/>
          <w:sz w:val="22"/>
          <w:szCs w:val="24"/>
          <w:rtl/>
        </w:rPr>
        <w:t>חבקין, התיישנות</w:t>
      </w:r>
      <w:r>
        <w:rPr>
          <w:rtl/>
        </w:rPr>
        <w:t>)).</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אין כל מקום לספק כי בחינת השאלה האם התגלו העובדות המהוות את עילת התביעה או אם הן היו יכולות להתגלות, נבחנת מנקודת מבטו של </w:t>
      </w:r>
      <w:r>
        <w:rPr>
          <w:rFonts w:ascii="Century" w:hAnsi="Century" w:cs="Miriam"/>
          <w:b/>
          <w:spacing w:val="0"/>
          <w:sz w:val="22"/>
          <w:szCs w:val="24"/>
          <w:rtl/>
        </w:rPr>
        <w:t>התובע</w:t>
      </w:r>
      <w:r>
        <w:rPr>
          <w:rtl/>
        </w:rPr>
        <w:t xml:space="preserve">. על פי כלל הגילוי המאוחר, מירוץ ההתיישנות מתחיל רק כאשר עילת התביעה של </w:t>
      </w:r>
      <w:r>
        <w:rPr>
          <w:rFonts w:ascii="Century" w:hAnsi="Century" w:cs="Miriam"/>
          <w:b/>
          <w:spacing w:val="0"/>
          <w:sz w:val="22"/>
          <w:szCs w:val="24"/>
          <w:rtl/>
        </w:rPr>
        <w:t>התובע</w:t>
      </w:r>
      <w:r>
        <w:rPr>
          <w:rtl/>
        </w:rPr>
        <w:t xml:space="preserve"> התגבשה לכדי עילה קונקרטית מכוחה יוכל להגיש את תביעתו, "היינו, תקופת ההתיישנות מתחילה לרוץ ביום שבו אילו היה מגיש התובע את תביעתו לבית המשפט והיה מוכיח את כל העובדות המהותיות היה זוכה בפסק דין" (עניין </w:t>
      </w:r>
      <w:r>
        <w:rPr>
          <w:rFonts w:ascii="Century" w:hAnsi="Century" w:cs="Miriam"/>
          <w:b/>
          <w:spacing w:val="0"/>
          <w:sz w:val="22"/>
          <w:szCs w:val="24"/>
          <w:rtl/>
        </w:rPr>
        <w:t>גיא-ליפל</w:t>
      </w:r>
      <w:r>
        <w:rPr>
          <w:rtl/>
        </w:rPr>
        <w:t xml:space="preserve">, עמ' 118). האם ניתן לטעון כי </w:t>
      </w:r>
      <w:r>
        <w:rPr>
          <w:rFonts w:ascii="Century" w:hAnsi="Century" w:cs="Miriam"/>
          <w:b/>
          <w:spacing w:val="0"/>
          <w:sz w:val="22"/>
          <w:szCs w:val="24"/>
          <w:rtl/>
        </w:rPr>
        <w:t>לתובע</w:t>
      </w:r>
      <w:r>
        <w:rPr>
          <w:rtl/>
        </w:rPr>
        <w:t xml:space="preserve"> התגבשה עילה קונקרטית, אך מן הטעם כי העובדות הרלוונטיות התגלו </w:t>
      </w:r>
      <w:r>
        <w:rPr>
          <w:rFonts w:ascii="Century" w:hAnsi="Century" w:cs="Miriam"/>
          <w:b/>
          <w:spacing w:val="0"/>
          <w:sz w:val="22"/>
          <w:szCs w:val="24"/>
          <w:rtl/>
        </w:rPr>
        <w:t>לגורם אחר</w:t>
      </w:r>
      <w:r>
        <w:rPr>
          <w:rtl/>
        </w:rPr>
        <w:t xml:space="preserve">? פשיטא שלא. חריג ייחודי לכך הוא למשל כאשר מדובר במקרה של יורש-חליף. או אז, יש מקום לבחון האם התגלו העובדות ל"תובע המקורי" לפני שהועברה הבעלות לידי יורשו (עניין </w:t>
      </w:r>
      <w:r>
        <w:rPr>
          <w:rFonts w:ascii="Century" w:hAnsi="Century" w:cs="Miriam"/>
          <w:b/>
          <w:spacing w:val="0"/>
          <w:sz w:val="22"/>
          <w:szCs w:val="24"/>
          <w:rtl/>
        </w:rPr>
        <w:t>גיא-ליפל</w:t>
      </w:r>
      <w:r>
        <w:rPr>
          <w:rtl/>
        </w:rPr>
        <w:t xml:space="preserve">, עמ' 133-131; </w:t>
      </w:r>
      <w:r>
        <w:rPr>
          <w:rFonts w:ascii="Century" w:hAnsi="Century" w:cs="Miriam"/>
          <w:b/>
          <w:spacing w:val="0"/>
          <w:sz w:val="22"/>
          <w:szCs w:val="24"/>
          <w:rtl/>
        </w:rPr>
        <w:t>חבקין, התיישנות</w:t>
      </w:r>
      <w:r>
        <w:rPr>
          <w:rtl/>
        </w:rPr>
        <w:t xml:space="preserve">, עמ' 253-252; וראו דיון לגבי "תלוי": ע"א 506/82 </w:t>
      </w:r>
      <w:r>
        <w:rPr>
          <w:rFonts w:ascii="Century" w:hAnsi="Century" w:cs="Miriam"/>
          <w:b/>
          <w:spacing w:val="0"/>
          <w:sz w:val="22"/>
          <w:szCs w:val="24"/>
          <w:rtl/>
        </w:rPr>
        <w:t>זונטג נ' עיזבון המנוח מנדלסון דוד ז"ל</w:t>
      </w:r>
      <w:r>
        <w:rPr>
          <w:rtl/>
        </w:rPr>
        <w:t xml:space="preserve">, פ"ד מ(3) 113 (1986); עניין </w:t>
      </w:r>
      <w:r>
        <w:rPr>
          <w:rFonts w:ascii="Century" w:hAnsi="Century" w:cs="Miriam"/>
          <w:b/>
          <w:spacing w:val="0"/>
          <w:sz w:val="22"/>
          <w:szCs w:val="24"/>
          <w:rtl/>
        </w:rPr>
        <w:t>גיא-ליפל</w:t>
      </w:r>
      <w:r>
        <w:rPr>
          <w:rtl/>
        </w:rPr>
        <w:t xml:space="preserve">, עמ' 136-133 ו-165-159). אולם בכל מקרה אחר שאין בו חליפות, אין חשיבות לשאלה האם הועברה הבעלות מאחד למשנהו, או האם נותרה בידי גורם אחד. השאלה </w:t>
      </w:r>
      <w:r>
        <w:rPr>
          <w:rFonts w:ascii="Century" w:hAnsi="Century" w:cs="Miriam"/>
          <w:b/>
          <w:spacing w:val="0"/>
          <w:sz w:val="22"/>
          <w:szCs w:val="24"/>
          <w:rtl/>
        </w:rPr>
        <w:t>אינה</w:t>
      </w:r>
      <w:r>
        <w:rPr>
          <w:rtl/>
        </w:rPr>
        <w:t xml:space="preserve"> האם </w:t>
      </w:r>
      <w:r>
        <w:rPr>
          <w:rFonts w:ascii="Century" w:hAnsi="Century" w:cs="Miriam"/>
          <w:b/>
          <w:spacing w:val="0"/>
          <w:sz w:val="22"/>
          <w:szCs w:val="24"/>
          <w:rtl/>
        </w:rPr>
        <w:t>הגורם שהנכס התגלגל מידיו</w:t>
      </w:r>
      <w:r>
        <w:rPr>
          <w:rtl/>
        </w:rPr>
        <w:t xml:space="preserve"> ידע או היה עליו לדעת את העובדות המגבשות עילת תביעה, אלא האם </w:t>
      </w:r>
      <w:r>
        <w:rPr>
          <w:rFonts w:ascii="Century" w:hAnsi="Century" w:cs="Miriam"/>
          <w:b/>
          <w:spacing w:val="0"/>
          <w:sz w:val="22"/>
          <w:szCs w:val="24"/>
          <w:rtl/>
        </w:rPr>
        <w:t>התובע</w:t>
      </w:r>
      <w:r>
        <w:rPr>
          <w:rtl/>
        </w:rPr>
        <w:t xml:space="preserve"> המבקש להניע את גלגלי תביעתו ידע או היה עליו לדעת על עובדות אלו. השאלה היחידה הרלוונטית היא האם בזהירות סבירה יכול היה </w:t>
      </w:r>
      <w:r>
        <w:rPr>
          <w:rFonts w:ascii="Century" w:hAnsi="Century" w:cs="Miriam"/>
          <w:b/>
          <w:spacing w:val="0"/>
          <w:sz w:val="22"/>
          <w:szCs w:val="24"/>
          <w:rtl/>
        </w:rPr>
        <w:t>התובע</w:t>
      </w:r>
      <w:r>
        <w:rPr>
          <w:rtl/>
        </w:rPr>
        <w:t xml:space="preserve"> לגלות את כלל העובדות המהוות את עילת התובענה, והתשובה לשאלה זו אינה תלויה במעשיו או במחדליו של כל גורם אחר.</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בהינתן נקודת מוצא בסיסית זו, אינני שותף לקביעתה של חברתי לפיה יש לבחון את התקיימות תנאי סעיף 8 לחוק ההתיישנות מנקודת מבטו של </w:t>
      </w:r>
      <w:r>
        <w:rPr>
          <w:rFonts w:ascii="Century" w:hAnsi="Century" w:cs="Miriam"/>
          <w:b/>
          <w:spacing w:val="0"/>
          <w:sz w:val="22"/>
          <w:szCs w:val="24"/>
          <w:rtl/>
        </w:rPr>
        <w:t>האפוטרופוס הכללי</w:t>
      </w:r>
      <w:r>
        <w:rPr>
          <w:rtl/>
        </w:rPr>
        <w:t xml:space="preserve">. המעבר מנקודת מבטם של </w:t>
      </w:r>
      <w:r>
        <w:rPr>
          <w:rFonts w:ascii="Century" w:hAnsi="Century" w:cs="Miriam"/>
          <w:b/>
          <w:spacing w:val="0"/>
          <w:sz w:val="22"/>
          <w:szCs w:val="24"/>
          <w:rtl/>
        </w:rPr>
        <w:t>התובעים</w:t>
      </w:r>
      <w:r>
        <w:rPr>
          <w:rtl/>
        </w:rPr>
        <w:t xml:space="preserve"> לנקודת מבטו של </w:t>
      </w:r>
      <w:r>
        <w:rPr>
          <w:rFonts w:ascii="Century" w:hAnsi="Century" w:cs="Miriam"/>
          <w:b/>
          <w:spacing w:val="0"/>
          <w:sz w:val="22"/>
          <w:szCs w:val="24"/>
          <w:rtl/>
        </w:rPr>
        <w:t>האפוטרופוס הכללי</w:t>
      </w:r>
      <w:r>
        <w:rPr>
          <w:rtl/>
        </w:rPr>
        <w:t xml:space="preserve"> (מעבר שאין לו כאמור כל עוגן בהוראת סעיף 8 לחוק ההתיישנות) התבסס רק על האמירה הכללית כי הדבר מתבקש לאור היעדר-תחולתה של הוראת סעיף 113(ב). אולם אף אם הייתי מניח כאמור כי הוראת סעיף 113(ב) לחוק המקרקעין</w:t>
      </w:r>
      <w:r>
        <w:rPr>
          <w:rFonts w:ascii="Century" w:hAnsi="Century"/>
          <w:sz w:val="22"/>
          <w:rtl/>
        </w:rPr>
        <w:t xml:space="preserve"> אינה חלה</w:t>
      </w:r>
      <w:r>
        <w:rPr>
          <w:rtl/>
        </w:rPr>
        <w:t xml:space="preserve"> במקרה זה, כשיטתה של חברתי, לא היה בכך כדי לשנות מהאופן שבו יש ליישם את הוראת סעיף 8 לחוק ההתיישנות בנסיבות העניין בכל הנוגע למשיבים. אף אם אין מדובר ב"מקרקעי ציבור" כפי שסוברת חברתי, השאלה שיש לשאול לעניין סעיף 8 לחוק ההתיישנות היא האם "התובעים" (המשיבים בענייננו) ידעו או היה עליהם לדעת את העובדות הרלוונטיות לתביעתם או שמא מתקיים לגביהם כלל הגילוי המאוחר. כאמור, "התובעים" לעניין סעיף 8 לחוק ההתיישנות בבית משפט השלום הם המשיבים לפנינו. האפוטרופוס הכללי לא רק שאינו "התובע" לעניין זה, אלא שהוא אף כלל לא נמנה על מי מהצדדים לדיון. קביעתה של חברתי כי לאורך 35 השנים שבהן "ניהל" </w:t>
      </w:r>
      <w:r>
        <w:rPr>
          <w:rFonts w:ascii="Century" w:hAnsi="Century" w:cs="Miriam"/>
          <w:b/>
          <w:spacing w:val="0"/>
          <w:sz w:val="22"/>
          <w:szCs w:val="24"/>
          <w:rtl/>
        </w:rPr>
        <w:t>האפוטרופוס הכללי</w:t>
      </w:r>
      <w:r>
        <w:rPr>
          <w:rtl/>
        </w:rPr>
        <w:t xml:space="preserve"> את המקרקעין עלה בידו ולו "קצה חוט" בדבר עובדת ישיבתם של המערערים בהם, אין בה כלל כדי להעלות או להוריד לעניין שאלת התקיימות התנאים האמורים בסעיף 8 לחוק ההתיישנות, בכל הנוגע למשיבים. </w:t>
      </w:r>
    </w:p>
    <w:p w:rsidR="00164CCE" w:rsidRDefault="00164CCE" w:rsidP="00164CCE">
      <w:pPr>
        <w:pStyle w:val="Ruller41"/>
        <w:rPr>
          <w:rtl/>
        </w:rPr>
      </w:pPr>
    </w:p>
    <w:p w:rsidR="00164CCE" w:rsidRDefault="00164CCE" w:rsidP="00164CCE">
      <w:pPr>
        <w:pStyle w:val="Ruller4"/>
        <w:numPr>
          <w:ilvl w:val="0"/>
          <w:numId w:val="16"/>
        </w:numPr>
        <w:textAlignment w:val="auto"/>
      </w:pPr>
      <w:r>
        <w:rPr>
          <w:rtl/>
        </w:rPr>
        <w:t xml:space="preserve">השאלה היא אפוא, האם מתקיים כלל הגילוי המאוחר בנוגע </w:t>
      </w:r>
      <w:r>
        <w:rPr>
          <w:rFonts w:ascii="Century" w:hAnsi="Century" w:cs="Miriam"/>
          <w:b/>
          <w:spacing w:val="0"/>
          <w:sz w:val="22"/>
          <w:szCs w:val="24"/>
          <w:rtl/>
        </w:rPr>
        <w:t xml:space="preserve">לתובעים </w:t>
      </w:r>
      <w:r>
        <w:rPr>
          <w:rtl/>
        </w:rPr>
        <w:t xml:space="preserve">(המשיבים לפנינו). זוהי אכן השאלה שנבחנה על ידי בית משפט השלום. בפסק דינו קבע בית משפט השלום כי לא נסתרה עדותו של משיב 2, כי גודלם של מקרקעי ההקדש משתרע על חטיבת קרקע ששטחה למעלה מ-5,000 מ"ר; כי למקרקעין פלשו עשרות רבים של פולשים באופן שאילץ את המשיבים להשקיע מאמצים רבים כדי להתחקות אחר זהותם המדויקת של המחזיקים בכל נכס ובכלל זה בנכס הנדון בהליך זה; וכי בסמוך לאחר שעמדו על זהותם של המערערים הגישו את תביעתם. על יסוד קביעה זו, נקבע כי התקיימו יסודות הוראת סעיף 8 לחוק ההתיישנות. לא רק שמדובר בקביעה המבוססת על ממצאים עובדתיים הנובעים מן ההתרשמות הישירה מהעדים וממכלול הראיות, אלא שהמערערים לא העלו, גם לא בהליך שלפנינו, כל טענה סותרת בעניין זה. כל שנטען לעניין עדותו של משיב 2 בהקשר זה בבית משפט השלום (וגם זאת, במסגרת הסיכומים אשר הוגשו </w:t>
      </w:r>
      <w:r>
        <w:rPr>
          <w:rFonts w:ascii="Century" w:hAnsi="Century"/>
          <w:sz w:val="22"/>
          <w:rtl/>
        </w:rPr>
        <w:t>לאחר</w:t>
      </w:r>
      <w:r>
        <w:rPr>
          <w:rtl/>
        </w:rPr>
        <w:t xml:space="preserve"> שניתן פסק הדין), הוא כי ניתן ללמוד מעדותו של משיב 2, על פיה החל בבירורים בקשר למקרקעין כבר בשנות ה-90, כי הוא "ידע שהקרקע מוחזקת על-ידי אחרים". </w:t>
      </w:r>
    </w:p>
    <w:p w:rsidR="00164CCE" w:rsidRDefault="00164CCE" w:rsidP="00164CCE">
      <w:pPr>
        <w:pStyle w:val="Ruller4"/>
        <w:numPr>
          <w:ilvl w:val="0"/>
          <w:numId w:val="0"/>
        </w:numPr>
        <w:rPr>
          <w:rtl/>
        </w:rPr>
      </w:pPr>
    </w:p>
    <w:p w:rsidR="00164CCE" w:rsidRDefault="00164CCE" w:rsidP="00164CCE">
      <w:pPr>
        <w:pStyle w:val="Ruller4"/>
        <w:numPr>
          <w:ilvl w:val="0"/>
          <w:numId w:val="0"/>
        </w:numPr>
      </w:pPr>
      <w:r>
        <w:rPr>
          <w:rtl/>
        </w:rPr>
        <w:tab/>
        <w:t>על כן להשקפתי בית משפט השלום בחן נכונה את שאלת התקיימות יסודות תנאי סעיף 8 לחוק ההתיישנות, ולא מצאתי – אף בהניח כאמור כי הייתה קמה עילה לבחינת הבקשה כערעור – כל עילה להתערב בה.</w:t>
      </w:r>
    </w:p>
    <w:p w:rsidR="00164CCE" w:rsidRDefault="00164CCE" w:rsidP="00164CCE">
      <w:pPr>
        <w:pStyle w:val="Ruller41"/>
        <w:rPr>
          <w:rtl/>
        </w:rPr>
      </w:pPr>
    </w:p>
    <w:p w:rsidR="00164CCE" w:rsidRDefault="00164CCE" w:rsidP="00164CCE">
      <w:pPr>
        <w:pStyle w:val="Ruller41"/>
        <w:rPr>
          <w:rFonts w:ascii="Century" w:hAnsi="Century" w:cs="Miriam"/>
          <w:b/>
          <w:spacing w:val="0"/>
          <w:szCs w:val="24"/>
          <w:rtl/>
        </w:rPr>
      </w:pPr>
      <w:r>
        <w:rPr>
          <w:rFonts w:ascii="Century" w:hAnsi="Century" w:cs="Miriam"/>
          <w:b/>
          <w:spacing w:val="0"/>
          <w:szCs w:val="24"/>
          <w:rtl/>
        </w:rPr>
        <w:t>חזקה נוגדת</w:t>
      </w:r>
    </w:p>
    <w:p w:rsidR="00164CCE" w:rsidRDefault="00164CCE" w:rsidP="00164CCE">
      <w:pPr>
        <w:pStyle w:val="Ruller41"/>
        <w:rPr>
          <w:rFonts w:ascii="Century" w:hAnsi="Century" w:cs="Miriam"/>
          <w:b/>
          <w:spacing w:val="0"/>
          <w:szCs w:val="24"/>
          <w:rtl/>
        </w:rPr>
      </w:pPr>
    </w:p>
    <w:p w:rsidR="00164CCE" w:rsidRDefault="00164CCE" w:rsidP="00164CCE">
      <w:pPr>
        <w:pStyle w:val="Ruller4"/>
        <w:numPr>
          <w:ilvl w:val="0"/>
          <w:numId w:val="16"/>
        </w:numPr>
        <w:textAlignment w:val="auto"/>
        <w:rPr>
          <w:rtl/>
        </w:rPr>
      </w:pPr>
      <w:r>
        <w:rPr>
          <w:rtl/>
        </w:rPr>
        <w:t xml:space="preserve">משהגענו עד הלום, נוסיף ונייחד מספר מילים באשר לרכיב "החזקה הנוגדת". משקל מועט ניתן על ידי המערערים בטיעוניהם להתקיימות יסוד זה, כאשר הטענות לגביו נטענו בלשון רפה, הן בבית משפט השלום והן בבקשה שלפנינו. כל שנטען בבקשה שלפנינו הוא כי בענייננו "לא יכולה להיות מחלוקת" שמתקיים יסוד ההחזקה הנוגדת, שכן המערערים החזיקו במקרקעין במשך עשרות שנים, כאשר "משך הזמן הרב שחלף" מעיד כשלעצמו על קיומה של חזקה נוגדת. כפי שגם ציינו המשיבים, בבית משפט השלום טענת החזקה הנוגדת לא נזכרה כלל במסגרת כתב ההגנה אלא הועלתה לראשונה בתצהיר עדות ראשית מטעם מערער 1 (להלן: </w:t>
      </w:r>
      <w:r>
        <w:rPr>
          <w:rFonts w:ascii="Century" w:hAnsi="Century" w:cs="Miriam"/>
          <w:b/>
          <w:spacing w:val="0"/>
          <w:sz w:val="22"/>
          <w:szCs w:val="24"/>
          <w:rtl/>
        </w:rPr>
        <w:t>המערער</w:t>
      </w:r>
      <w:r>
        <w:rPr>
          <w:rtl/>
        </w:rPr>
        <w:t xml:space="preserve">), וגם זאת, בלקוניות רבה (פסקה 43 לתצהיר). גם אם טענת המשיבים לפנינו כי מדובר ב"הרחבת חזית אסורה" תידחה, הרי שאין הרבה מקום לספק כי לא די בתשתית מינימלית ודלה זו על מנת לבסס את התקיימות הרכיב האמור. </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חזקה נוגדת היא חזקה רצופה בקרקע במשך כל תקופת ההתיישנות שאינה נובעת מזכות הבעלים ואינה נעשית מתוך הסכמתו ורשותו אלא "על אפו ועל חמתו", מתוך התרסה נגד זכויותיו (ע"א 693/04 </w:t>
      </w:r>
      <w:r>
        <w:rPr>
          <w:rFonts w:ascii="Century" w:hAnsi="Century" w:cs="Miriam"/>
          <w:b/>
          <w:spacing w:val="0"/>
          <w:szCs w:val="24"/>
          <w:rtl/>
        </w:rPr>
        <w:t>אל קימרי נ' אל קימרי</w:t>
      </w:r>
      <w:r>
        <w:rPr>
          <w:rtl/>
        </w:rPr>
        <w:t xml:space="preserve">, פסקה 24 (28.9.2007)). מדובר בהחזקה ה"עוינת" לזכותו של הטוען לבעלות על קרקע. על המחזיק מוטל הנטל להוכיח שהחזקתו איננה באה מכוח זכות הבעלות של היריב (ע"א 2510/98 </w:t>
      </w:r>
      <w:r>
        <w:rPr>
          <w:rFonts w:ascii="Century" w:hAnsi="Century" w:cs="Miriam"/>
          <w:b/>
          <w:spacing w:val="0"/>
          <w:szCs w:val="24"/>
          <w:rtl/>
        </w:rPr>
        <w:t>למד שין בע"מ נ' חסיד</w:t>
      </w:r>
      <w:r>
        <w:rPr>
          <w:rtl/>
        </w:rPr>
        <w:t xml:space="preserve">, פ"ד נג(5) 721, 728 (1999) (להלן: עניין </w:t>
      </w:r>
      <w:r>
        <w:rPr>
          <w:rFonts w:ascii="Century" w:hAnsi="Century" w:cs="Miriam"/>
          <w:b/>
          <w:spacing w:val="0"/>
          <w:szCs w:val="24"/>
          <w:rtl/>
        </w:rPr>
        <w:t>למד שין</w:t>
      </w:r>
      <w:r>
        <w:rPr>
          <w:rtl/>
        </w:rPr>
        <w:t xml:space="preserve">)). הכרעה בסוגיה זו תלויה בנסיבות כל מקרה ומקרה, בהתחשב בהתנהגות הבעלים והמחזיק בקרקע ובטיב מערכת היחסים ביניהם (ע"א 3217/91 </w:t>
      </w:r>
      <w:r>
        <w:rPr>
          <w:rFonts w:ascii="Century" w:hAnsi="Century" w:cs="Miriam"/>
          <w:b/>
          <w:spacing w:val="0"/>
          <w:szCs w:val="24"/>
          <w:rtl/>
        </w:rPr>
        <w:t>פלר נ' יורשי המנוח דב אקסלרוד ז"ל</w:t>
      </w:r>
      <w:r>
        <w:rPr>
          <w:rtl/>
        </w:rPr>
        <w:t xml:space="preserve">, פ"ד מז(2) 281, 285 (1993) (להלן: עניין </w:t>
      </w:r>
      <w:r>
        <w:rPr>
          <w:rFonts w:ascii="Century" w:hAnsi="Century" w:cs="Miriam"/>
          <w:b/>
          <w:spacing w:val="0"/>
          <w:sz w:val="22"/>
          <w:szCs w:val="24"/>
          <w:rtl/>
        </w:rPr>
        <w:t>פלר</w:t>
      </w:r>
      <w:r>
        <w:rPr>
          <w:rtl/>
        </w:rPr>
        <w:t xml:space="preserve">); עניין </w:t>
      </w:r>
      <w:r>
        <w:rPr>
          <w:rFonts w:ascii="Century" w:hAnsi="Century" w:cs="Miriam"/>
          <w:b/>
          <w:spacing w:val="0"/>
          <w:szCs w:val="24"/>
          <w:rtl/>
        </w:rPr>
        <w:t>למד שין</w:t>
      </w:r>
      <w:r>
        <w:rPr>
          <w:rtl/>
        </w:rPr>
        <w:t xml:space="preserve">, עמ' 728). ויודגש, שאלת החזקה הנוגדת אינה שאלה שולית שניתן לפתור בקלות וכלאחר יד בהתבסס על הנחות מוצא מקלות לטובת הטוענים לה. כפי שציינה חברתי בחוות דעתה "החזקה הנוגדת היא למעשה לב-ליבה של טענת התיישנות במקרקעין [...], בהיעדר החזקה נוגדת, לא מתקיימים הטעמים התומכים בהכרה בהתיישנות..." (פסקה 48). וכך גם ציינה חברתי בפסק הדין שניתן בעתירה שהוגשה נגד תוקפה של תעודת השחרור שהוצאה על ידי האפוטרופוס הכללי למקרקעין (בג"ץ 7446/17 </w:t>
      </w:r>
      <w:r>
        <w:rPr>
          <w:rFonts w:ascii="Century" w:hAnsi="Century" w:cs="Miriam"/>
          <w:b/>
          <w:spacing w:val="0"/>
          <w:sz w:val="22"/>
          <w:szCs w:val="24"/>
          <w:rtl/>
        </w:rPr>
        <w:t>סרחאן נ' האפוטרופוס הכללי והכונס הרשמי</w:t>
      </w:r>
      <w:r>
        <w:rPr>
          <w:rtl/>
        </w:rPr>
        <w:t xml:space="preserve">, פסקה 48 (2.11.2018) (להלן: עניין </w:t>
      </w:r>
      <w:r>
        <w:rPr>
          <w:rFonts w:ascii="Century" w:hAnsi="Century" w:cs="Miriam"/>
          <w:b/>
          <w:spacing w:val="0"/>
          <w:sz w:val="22"/>
          <w:szCs w:val="24"/>
          <w:rtl/>
        </w:rPr>
        <w:t>סרחאן</w:t>
      </w:r>
      <w:r>
        <w:rPr>
          <w:rtl/>
        </w:rPr>
        <w:t>)):</w:t>
      </w:r>
    </w:p>
    <w:p w:rsidR="00164CCE" w:rsidRDefault="00164CCE" w:rsidP="00164CCE">
      <w:pPr>
        <w:pStyle w:val="Ruller41"/>
        <w:rPr>
          <w:rtl/>
        </w:rPr>
      </w:pPr>
    </w:p>
    <w:p w:rsidR="00164CCE" w:rsidRDefault="00164CCE" w:rsidP="00164CCE">
      <w:pPr>
        <w:pStyle w:val="Ruller5"/>
        <w:rPr>
          <w:rtl/>
        </w:rPr>
      </w:pPr>
      <w:r>
        <w:rPr>
          <w:rtl/>
        </w:rPr>
        <w:t xml:space="preserve">"על כך יש להוסיף כי [...], אחת השאלות </w:t>
      </w:r>
      <w:r>
        <w:rPr>
          <w:rFonts w:ascii="Century" w:hAnsi="Century" w:cs="Miriam"/>
          <w:b/>
          <w:spacing w:val="0"/>
          <w:szCs w:val="24"/>
          <w:rtl/>
        </w:rPr>
        <w:t>המרכזיות</w:t>
      </w:r>
      <w:r>
        <w:rPr>
          <w:rtl/>
        </w:rPr>
        <w:t xml:space="preserve"> לדיון בתביעות הפינוי היא השאלה של חזקה נוגדת (כחלק מהדיון בטענת ההתיישנות), והתשובה לה משתנה בהתאם למאפייניו של כל מחזיק ומחזיק – בפרט, מתי החלה החזקה הנוגדת שלו..." (ההדגשה אינה במקור).</w:t>
      </w:r>
    </w:p>
    <w:p w:rsidR="00164CCE" w:rsidRDefault="00164CCE" w:rsidP="00164CCE">
      <w:pPr>
        <w:pStyle w:val="Ruller41"/>
        <w:rPr>
          <w:rtl/>
        </w:rPr>
      </w:pPr>
    </w:p>
    <w:p w:rsidR="00164CCE" w:rsidRDefault="00164CCE" w:rsidP="00164CCE">
      <w:pPr>
        <w:pStyle w:val="Ruller41"/>
        <w:rPr>
          <w:rtl/>
        </w:rPr>
      </w:pPr>
      <w:r>
        <w:rPr>
          <w:rtl/>
        </w:rPr>
        <w:tab/>
        <w:t>מדובר אפוא בשא</w:t>
      </w:r>
      <w:r>
        <w:rPr>
          <w:rFonts w:ascii="Century" w:hAnsi="Century"/>
          <w:rtl/>
        </w:rPr>
        <w:t>לה מרכזית ויסודית</w:t>
      </w:r>
      <w:r>
        <w:rPr>
          <w:rtl/>
        </w:rPr>
        <w:t xml:space="preserve">, אשר התשובה לה משתנה ממקרה למקרה ובהתייחס לנסיבות הפרטניות של כל מחזיק. </w:t>
      </w:r>
      <w:r>
        <w:rPr>
          <w:rFonts w:ascii="Century" w:hAnsi="Century"/>
          <w:rtl/>
        </w:rPr>
        <w:t>ברם, בענייננו, לא רק שלא הונחה תשתית מינימלית</w:t>
      </w:r>
      <w:r>
        <w:rPr>
          <w:rtl/>
        </w:rPr>
        <w:t xml:space="preserve"> ביותר להוכחת התקיימות תנאי "החזקה הנוגדת", אלא שהמערערים עצמם העלו טענות העומדות עמה </w:t>
      </w:r>
      <w:r>
        <w:rPr>
          <w:rFonts w:ascii="Century" w:hAnsi="Century"/>
          <w:rtl/>
        </w:rPr>
        <w:t>בסתירה מוחלטת</w:t>
      </w:r>
      <w:r>
        <w:rPr>
          <w:rtl/>
        </w:rPr>
        <w:t>. כך לדברי המערערים, המקרקעין נרכשו על ידי מי שנטען שהוא מורישם בשנת 1965 "בתום לב" והוא "פיתח את המקרקעין ובנה עליהם שעה שהוא סובר שהוא בעל המקרקעין" (עמ' 13 לבקשת רשות הערעור; וכן בהליך בבית משפט השלום – עמ' 8 ל"סיכומים לא סופיים" מטעם המערערים מיום 6.3.2016 ועמ' 6 לסיכומי המערערים שהוגשו לאחר מתן פסק הדין). היינו, לעמדת המערערים, כלל וכלל לא מדובר בחזקה במקרקעין "</w:t>
      </w:r>
      <w:r>
        <w:rPr>
          <w:rFonts w:ascii="Century" w:hAnsi="Century" w:cs="Miriam"/>
          <w:b/>
          <w:spacing w:val="0"/>
          <w:szCs w:val="24"/>
          <w:rtl/>
        </w:rPr>
        <w:t>על אפו ועל חמתו</w:t>
      </w:r>
      <w:r>
        <w:rPr>
          <w:rtl/>
        </w:rPr>
        <w:t xml:space="preserve">" של הטוען לבעלות בקרקע, כי אם </w:t>
      </w:r>
      <w:r>
        <w:rPr>
          <w:rFonts w:ascii="Century" w:hAnsi="Century" w:cs="Miriam"/>
          <w:b/>
          <w:spacing w:val="0"/>
          <w:szCs w:val="24"/>
          <w:rtl/>
        </w:rPr>
        <w:t>מכוח רכישת המקרקעין</w:t>
      </w:r>
      <w:r>
        <w:rPr>
          <w:rtl/>
        </w:rPr>
        <w:t xml:space="preserve"> על ידי מורישם, ממי שסבר שהוא בעל המקרקעין. בנסיבות אלו, כיצד ניתן לומר כי מדובר באחד המקרים המובהקים שבהם עולה מאליו התקיימות יסודות החזקה הנוגדת?</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 xml:space="preserve">יתר על כן, לא רק שטענת הבעלות שהעלו המערערים סותרת חזיתית את טענת החזקה הנוגדת, אלא שגם בעניין זה עצמו גרסת המערערים מתעתעת. זאת, שכן במסגרת בקשה לצו חיוב בתשלומים שהוגשה להוצאה לפועל בשנת 2013, הצהיר המערער כי </w:t>
      </w:r>
      <w:r>
        <w:rPr>
          <w:rFonts w:ascii="Century" w:hAnsi="Century" w:cs="Miriam"/>
          <w:b/>
          <w:spacing w:val="0"/>
          <w:sz w:val="22"/>
          <w:szCs w:val="24"/>
          <w:rtl/>
        </w:rPr>
        <w:t>אין לו נכסים וזכויות בעלות במקרקעין כלשהם</w:t>
      </w:r>
      <w:r>
        <w:rPr>
          <w:rtl/>
        </w:rPr>
        <w:t xml:space="preserve"> (מוצג ת/1 בבית משפט השלום). המערער גם אישר את חתימתו על בקשה זו ועל השאלון שצורף לה (בו הצהיר על היעדר נכסים), במסגרת חקירתו בבית משפט השלום (עמ' 25 לפרוטוקול הדיון מיום 3.4.2019, שורות 36-33; עמ' 26, שורות 5-2). כיצד אפוא מהין המערער לטעון </w:t>
      </w:r>
      <w:r>
        <w:rPr>
          <w:rFonts w:ascii="Century" w:hAnsi="Century" w:cs="Miriam"/>
          <w:b/>
          <w:spacing w:val="0"/>
          <w:sz w:val="22"/>
          <w:szCs w:val="24"/>
          <w:rtl/>
        </w:rPr>
        <w:t>לבעלות מלאה</w:t>
      </w:r>
      <w:r>
        <w:rPr>
          <w:rtl/>
        </w:rPr>
        <w:t xml:space="preserve"> במקרקעין שעה שלפני לשכת ההוצאה לפועל הצהיר כי אין לו כל בעלות במקרקעין? לא למותר לציין כי המערער לא נתן כל הסבר מניח את הדעת לפערי גרסאות אלה. אין אפוא מנוס מן המסקנה כי המערערים "מזגזגים" בין טענות סותרות לפי התועלת הספציפית העומדת על הפרק בכל הליך והליך כ"להטוטן בקרקס הרוכב בעת ובעונה אחת על שני זוגות אופניים. הדבר אפשרי בקרקס אך לא בבתי-המשפט" (רע"א 4224/04 </w:t>
      </w:r>
      <w:r>
        <w:rPr>
          <w:rFonts w:ascii="Century" w:hAnsi="Century" w:cs="Miriam"/>
          <w:b/>
          <w:spacing w:val="0"/>
          <w:sz w:val="22"/>
          <w:szCs w:val="24"/>
          <w:rtl/>
        </w:rPr>
        <w:t>בית ששון בע"מ נ' שיכון עובדים והשקעות בע"מ</w:t>
      </w:r>
      <w:r>
        <w:rPr>
          <w:rtl/>
        </w:rPr>
        <w:t>, פ"ד נט(6) 625, 636 (2005)) התנהלות מעין זו, בבחינת "אחוז בזה וגם מזה אל תנח ידך" (</w:t>
      </w:r>
      <w:r>
        <w:rPr>
          <w:rFonts w:ascii="Century" w:hAnsi="Century" w:cs="Miriam"/>
          <w:b/>
          <w:spacing w:val="0"/>
          <w:sz w:val="22"/>
          <w:szCs w:val="24"/>
          <w:rtl/>
        </w:rPr>
        <w:t xml:space="preserve">קהלת </w:t>
      </w:r>
      <w:r>
        <w:rPr>
          <w:rtl/>
        </w:rPr>
        <w:t xml:space="preserve">ז 18), אין להלום (וראו גם: ע"א 4107/09 </w:t>
      </w:r>
      <w:r>
        <w:rPr>
          <w:rFonts w:ascii="Century" w:hAnsi="Century" w:cs="Miriam"/>
          <w:b/>
          <w:spacing w:val="0"/>
          <w:sz w:val="22"/>
          <w:szCs w:val="24"/>
          <w:rtl/>
        </w:rPr>
        <w:t>שמואל נ' פקיד שומה חיפה</w:t>
      </w:r>
      <w:r>
        <w:rPr>
          <w:rtl/>
        </w:rPr>
        <w:t xml:space="preserve">, פסקאות כ"ט-ל' (10.8.2011); ע"א 2252/17 </w:t>
      </w:r>
      <w:r>
        <w:rPr>
          <w:rFonts w:ascii="Century" w:hAnsi="Century" w:cs="Miriam"/>
          <w:b/>
          <w:spacing w:val="0"/>
          <w:sz w:val="22"/>
          <w:szCs w:val="24"/>
          <w:rtl/>
        </w:rPr>
        <w:t>שרעבי נ' לוי</w:t>
      </w:r>
      <w:r>
        <w:rPr>
          <w:rtl/>
        </w:rPr>
        <w:t xml:space="preserve">, פסקה 18 (24.6.2019); ע"א 5072/19 </w:t>
      </w:r>
      <w:r>
        <w:rPr>
          <w:rFonts w:ascii="Century" w:hAnsi="Century" w:cs="Miriam"/>
          <w:b/>
          <w:spacing w:val="0"/>
          <w:sz w:val="22"/>
          <w:szCs w:val="24"/>
          <w:rtl/>
        </w:rPr>
        <w:t>שווארמה א.ש. בע"מ נ' פקיד שומה חדרה</w:t>
      </w:r>
      <w:r>
        <w:rPr>
          <w:rtl/>
        </w:rPr>
        <w:t xml:space="preserve">, פסקה 36 (9.5.2021); וראו באשר להלכה המונעת צד מלהעלות טענות עובדתיות סותרות לאלה שהעלה בעל דין בעבר לפני רשויות שונות: ע"א 732/15 </w:t>
      </w:r>
      <w:r>
        <w:rPr>
          <w:rFonts w:ascii="Century" w:hAnsi="Century" w:cs="Miriam"/>
          <w:b/>
          <w:spacing w:val="0"/>
          <w:sz w:val="22"/>
          <w:szCs w:val="24"/>
          <w:rtl/>
        </w:rPr>
        <w:t>פקיד שומה נ'</w:t>
      </w:r>
      <w:r>
        <w:rPr>
          <w:rtl/>
        </w:rPr>
        <w:t xml:space="preserve"> </w:t>
      </w:r>
      <w:r>
        <w:rPr>
          <w:rFonts w:ascii="Century" w:hAnsi="Century" w:cs="Miriam"/>
          <w:b/>
          <w:spacing w:val="0"/>
          <w:sz w:val="22"/>
          <w:szCs w:val="24"/>
          <w:rtl/>
        </w:rPr>
        <w:t>טל</w:t>
      </w:r>
      <w:r>
        <w:rPr>
          <w:rtl/>
        </w:rPr>
        <w:t xml:space="preserve">, פסקה 7 (21.3.2016)). </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אם בכך לא די לסתימת הגולל על טענה זו, יש להוסיף כי אין להלום גם העלאת הטענה </w:t>
      </w:r>
      <w:r>
        <w:rPr>
          <w:rFonts w:ascii="Century" w:hAnsi="Century" w:cs="Miriam"/>
          <w:b/>
          <w:spacing w:val="0"/>
          <w:sz w:val="22"/>
          <w:szCs w:val="24"/>
          <w:rtl/>
        </w:rPr>
        <w:t>לחזקה נוגדת</w:t>
      </w:r>
      <w:r>
        <w:rPr>
          <w:rtl/>
        </w:rPr>
        <w:t xml:space="preserve"> בד בבד עם הטענה למתן </w:t>
      </w:r>
      <w:r>
        <w:rPr>
          <w:rFonts w:ascii="Century" w:hAnsi="Century" w:cs="Miriam"/>
          <w:b/>
          <w:spacing w:val="0"/>
          <w:sz w:val="22"/>
          <w:szCs w:val="24"/>
          <w:rtl/>
        </w:rPr>
        <w:t>רשות בלתי הדירה</w:t>
      </w:r>
      <w:r>
        <w:rPr>
          <w:rtl/>
        </w:rPr>
        <w:t xml:space="preserve">. כיצד יכולות השתיים לדור בכפיפה אחת? הוכחת הטענה לחזקה נוגדת טומנת בחובה מיניה וביה את הטענה להחזקה במקרקעין </w:t>
      </w:r>
      <w:r>
        <w:rPr>
          <w:rFonts w:ascii="Century" w:hAnsi="Century" w:cs="Miriam"/>
          <w:b/>
          <w:spacing w:val="0"/>
          <w:sz w:val="22"/>
          <w:szCs w:val="24"/>
          <w:rtl/>
        </w:rPr>
        <w:t>שלא מכוח רשות</w:t>
      </w:r>
      <w:r>
        <w:rPr>
          <w:rtl/>
        </w:rPr>
        <w:t xml:space="preserve"> שניתנה מטעם הבעלים. בעניין זה נקבע זה מכבר כי "מי שמחזיק כשוכר או כבר-רשות חזקתו אינה יכולה לבסס טענת התיישנות" (ע"א 805/79 </w:t>
      </w:r>
      <w:r>
        <w:rPr>
          <w:rFonts w:ascii="Century" w:hAnsi="Century" w:cs="Miriam"/>
          <w:b/>
          <w:spacing w:val="0"/>
          <w:sz w:val="22"/>
          <w:szCs w:val="24"/>
          <w:rtl/>
        </w:rPr>
        <w:t>עיזבון המנוח אחמד חסין אל-גול נ' כולל חב"ד בירושלים</w:t>
      </w:r>
      <w:r>
        <w:rPr>
          <w:rtl/>
        </w:rPr>
        <w:t xml:space="preserve">, פ"ד לח(1) 57, 71 (1984); וראו גם: עניין </w:t>
      </w:r>
      <w:r>
        <w:rPr>
          <w:rFonts w:ascii="Century" w:hAnsi="Century" w:cs="Miriam"/>
          <w:b/>
          <w:spacing w:val="0"/>
          <w:sz w:val="22"/>
          <w:szCs w:val="24"/>
          <w:rtl/>
        </w:rPr>
        <w:t>פלר</w:t>
      </w:r>
      <w:r>
        <w:rPr>
          <w:rtl/>
        </w:rPr>
        <w:t xml:space="preserve">, 286-285; יעקב שקד </w:t>
      </w:r>
      <w:r>
        <w:rPr>
          <w:rFonts w:ascii="Century" w:hAnsi="Century" w:cs="Miriam"/>
          <w:b/>
          <w:spacing w:val="0"/>
          <w:sz w:val="22"/>
          <w:szCs w:val="24"/>
          <w:rtl/>
        </w:rPr>
        <w:t>פינוי</w:t>
      </w:r>
      <w:r>
        <w:rPr>
          <w:rtl/>
        </w:rPr>
        <w:t xml:space="preserve"> </w:t>
      </w:r>
      <w:r>
        <w:rPr>
          <w:rFonts w:ascii="Century" w:hAnsi="Century" w:cs="Miriam"/>
          <w:b/>
          <w:spacing w:val="0"/>
          <w:sz w:val="22"/>
          <w:szCs w:val="24"/>
          <w:rtl/>
        </w:rPr>
        <w:t>מקרקעין הליכים והלכות</w:t>
      </w:r>
      <w:r>
        <w:rPr>
          <w:rtl/>
        </w:rPr>
        <w:t xml:space="preserve"> 453-451 (2017)). </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 xml:space="preserve">על כל אלה, לא למותר לציין כי תנאי ה"החזקה הנוגדת" כולל בחובו לא רק את הרכיב שעניינו ה"עוינות", אלא גם את רכיב </w:t>
      </w:r>
      <w:r>
        <w:rPr>
          <w:rFonts w:ascii="Century" w:hAnsi="Century" w:cs="Miriam"/>
          <w:b/>
          <w:spacing w:val="0"/>
          <w:sz w:val="22"/>
          <w:szCs w:val="24"/>
          <w:rtl/>
        </w:rPr>
        <w:t>ההחזקה הרציפה</w:t>
      </w:r>
      <w:r>
        <w:rPr>
          <w:rtl/>
        </w:rPr>
        <w:t xml:space="preserve"> במקרקעין. אף התקיימותו של רכיב בסיסי זו לא הוכחה ולוּ ברמה מינימלית ביותר. בית משפט השלום לא הגיע למסקנה כי אכן הייתה החזקה רציפה במשך כל תקופת ההתיישנות. זאת, משלא נדרש לסוגיה. חברתי ציינה כי אין מקום לערוך בהקשר זה מעין "משפט-זוטא" או להוכיח את הישיבה במקרקעין "בכל שנה ושנה". אלא שבין "משפט זוטא" לבין הוכחת ולוּ מקצת הטענה להחזקה רציפה במקרקעין, המרחק רב. </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יתר על כן, מעיון במערכת נט המשפט עולה כי המערערים אף לא </w:t>
      </w:r>
      <w:r>
        <w:rPr>
          <w:rFonts w:ascii="Century" w:hAnsi="Century" w:cs="Miriam"/>
          <w:b/>
          <w:spacing w:val="0"/>
          <w:sz w:val="22"/>
          <w:szCs w:val="24"/>
          <w:rtl/>
        </w:rPr>
        <w:t>ניסו</w:t>
      </w:r>
      <w:r>
        <w:rPr>
          <w:rtl/>
        </w:rPr>
        <w:t xml:space="preserve"> להניח תשתית בסיסית ומינימלית ביותר להוכחת החזקה רציפה במקרקעין. כאשר נשאל המערער במסגרת חקירתו בבית משפט השלום ביום 10.4.2019 לגבי חשבונות ומסמכים שיכולים להצביע על החזקה רציפה במקרקעין, ענה תשובות מתחמקות שונות. כך למשל כאשר נשאל מדוע לא צירף אף לא חשבון חשמל אחד, ענה: "מה זה קשור להביא את החשבוניות של חברת החשמל?" (עמ' 40 לפרוטוקול הדיון, שורה 26), וכן: "למה אני צריך להביא אותם [...], מה זה קשור לחברת החשמל?" (עמ' 40, שורות 32-30). באותו אופן ענה בקשר לחשבונות הארנונה, כאשר נשאל מדוע הם לא צורפו: "למה אני צריך להגיש? אני לא יודע מה להגיש. אם זו הבקשה שלך אלך עכשיו ואוציא לך על 20 שנה של הארנונה" (עמ' 42, שורות 2-1). תשובות דומות ניתנו בקשר לשאלות הנוגעות לחשבונות אחרים – מים וטלפון: "גם אותה תשובה" (עמ' 42, שורות 5-3) ו"מים אנחנו משלמים לגיחון. יש לנו הכל מסודר, יש חשבוניות ואין לי בעיה להביאן" (עמ' 42, שורה 9). וכן: "אני יכול להגיש חשבונות של טלפון" (עמ' 42, שורה 13). </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 xml:space="preserve">אולם חרף הצהרות אלה, לא הוגשו החשבונות. מעט המסמכים שצורפו על ידי המערערים בהליך בבית משפט השלום – אין בהם אף לא להרים את הנטל ברמה מינימלית ביותר. חברתי מפנה לחשבונות ארנונה שהוגשו (נספח י' לתצהיר עדות ראשית מטעם המערער) בציינה כי "אכן לא על כל הקבלות מופיע בבירור שם הנמען בעברית, והמשיבים אף טענו בבית משפט השלום כי מדובר במסמכים שאינם קשורים למקרקעין מושא ההליך דנן [...]. אולם לפחות על קבלה אחת משנת 1994 מופיע המען 'דוויק פאטמה חמיס – סילוואן'" (פסקה 74 לחוות דעתה של חברתי). ברם, לא רק שהמשיבים טענו כי מדובר במסמכים שאינם קשורים למקרקעין, אלא שהמערער הודה </w:t>
      </w:r>
      <w:r>
        <w:rPr>
          <w:rFonts w:ascii="Century" w:hAnsi="Century" w:cs="Miriam"/>
          <w:b/>
          <w:spacing w:val="0"/>
          <w:sz w:val="22"/>
          <w:szCs w:val="24"/>
          <w:rtl/>
        </w:rPr>
        <w:t>בפה מלא</w:t>
      </w:r>
      <w:r>
        <w:rPr>
          <w:rtl/>
        </w:rPr>
        <w:t xml:space="preserve"> במהלך חקירתו כי הכתובת "ביר איוב" המצוינת במסמך הנוגע ל"חשבונות ארנונה לשנים 1968/1969" (עמ' 27 לתצהיר עדות ראשית מטעם המערער) למעשה מתייחסת </w:t>
      </w:r>
      <w:r>
        <w:rPr>
          <w:rFonts w:ascii="Century" w:hAnsi="Century" w:cs="Miriam"/>
          <w:b/>
          <w:spacing w:val="0"/>
          <w:sz w:val="22"/>
          <w:szCs w:val="24"/>
          <w:rtl/>
        </w:rPr>
        <w:t xml:space="preserve">לשכונה אחרת </w:t>
      </w:r>
      <w:r>
        <w:rPr>
          <w:rtl/>
        </w:rPr>
        <w:t xml:space="preserve">(עמ' 39-38 לפרוטוקול הדיון מיום 10.4.2018). ועוד, כאשר עומת המערער עם העובדה שמצוין באותו מסמך כי מדובר בנכס הממוקם בגוש 711 חלקה 15 תת חלקה 12 (שאינו הנכס מושא ההליך) כך ענה: "אם יש לך בעיה אתה יכול להתנגד לזה ולברר את זה עם העירייה, לא איתי" (עמ' 40, שורה 14). כל שהוגש וניתן לזהות בו קשר כלשהו ואף זאת ברמה רופפת למשפחת דוויק ולכפר סילוואן (ולא למגורים בשכונה אחרת) הוא </w:t>
      </w:r>
      <w:r>
        <w:rPr>
          <w:rFonts w:ascii="Century" w:hAnsi="Century" w:cs="Miriam"/>
          <w:b/>
          <w:spacing w:val="0"/>
          <w:szCs w:val="24"/>
          <w:rtl/>
        </w:rPr>
        <w:t>במסמך בודד משנת 1994</w:t>
      </w:r>
      <w:r>
        <w:rPr>
          <w:rtl/>
        </w:rPr>
        <w:t xml:space="preserve"> (עמ' 32 לתצהיר עדות ראשית מטעם המערער). אין מדובר ב"לפחות" קבלה אחת, אלא </w:t>
      </w:r>
      <w:r>
        <w:rPr>
          <w:rFonts w:ascii="Century" w:hAnsi="Century" w:cs="Miriam"/>
          <w:b/>
          <w:spacing w:val="0"/>
          <w:sz w:val="22"/>
          <w:szCs w:val="24"/>
          <w:rtl/>
        </w:rPr>
        <w:t>בדיוק</w:t>
      </w:r>
      <w:r>
        <w:rPr>
          <w:rtl/>
        </w:rPr>
        <w:t xml:space="preserve"> קבלה אח</w:t>
      </w:r>
      <w:r>
        <w:rPr>
          <w:rFonts w:ascii="Century" w:hAnsi="Century"/>
          <w:sz w:val="22"/>
          <w:rtl/>
        </w:rPr>
        <w:t>ת, משנת 1994.</w:t>
      </w:r>
      <w:r>
        <w:rPr>
          <w:rtl/>
        </w:rPr>
        <w:t xml:space="preserve"> היינו, מסמך </w:t>
      </w:r>
      <w:r>
        <w:rPr>
          <w:rFonts w:ascii="Century" w:hAnsi="Century" w:cs="Miriam"/>
          <w:b/>
          <w:spacing w:val="0"/>
          <w:sz w:val="22"/>
          <w:szCs w:val="24"/>
          <w:rtl/>
        </w:rPr>
        <w:t>אחד</w:t>
      </w:r>
      <w:r>
        <w:rPr>
          <w:rtl/>
        </w:rPr>
        <w:t xml:space="preserve"> בודד משנת 1994 הבא להעיד על עשרות שנים של החזקה במקרקעין.</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rPr>
          <w:rtl/>
        </w:rPr>
      </w:pPr>
      <w:r>
        <w:rPr>
          <w:rtl/>
        </w:rPr>
        <w:t xml:space="preserve">לא למותר לציין כי גם אין ביתר המסמכים שנסקרו על ידי חברתי, אף לא במסגרת הדיון על "חריג הגילוי המאוחר", כדי לבסס את התקיימות התנאי של "החזקה רציפה". לא בדו"ח החקירה מיום 30.11.1965 שהוגש בבית משפט השלום אשר אינו שופך אור על זהות המחזיקים בנכס; לא בחוות דעת מטעם המודד שמעון ורזגר משנת 1997 (אשר כפי שציינה חברתי כלל לא הוגש בהליך שלפנינו); ולא בהליכים שנוהלו "בגין בניה בלתי חוקית במקרקעין". כל שנטען על ידי המערערים היה כי סבו של המערער הועמד לדין בעבר, "בשנות השבעים", בגין בניה בלתי חוקית במקרקעין (הליכים נוספים בגין בניה בלתי חוקית – עליהם הצביעו המשיבים בהליך בבית משפט השלום – התנהלו לאחר מועד הגשת התביעה). על כל אלה, לא למותר לציין כי לא הובאו כלל עדים אחרים שיכלו להעיד על החזקה רציפה. מה גם, המערערים כלל לא טענו באופן ישיר לקיומה של החזקה רצופה במקרקעין, משלא עמדו כלל על התקיימות יסודות החזקה הנוגדת. טענותיהם בעניין החזקתם במקרקעין נותרו כוללניות ולקוניות. </w:t>
      </w:r>
    </w:p>
    <w:p w:rsidR="00164CCE" w:rsidRDefault="00164CCE" w:rsidP="00164CCE">
      <w:pPr>
        <w:pStyle w:val="Ruller41"/>
        <w:rPr>
          <w:rtl/>
        </w:rPr>
      </w:pPr>
    </w:p>
    <w:p w:rsidR="00164CCE" w:rsidRDefault="00164CCE" w:rsidP="00164CCE">
      <w:pPr>
        <w:pStyle w:val="Ruller4"/>
        <w:numPr>
          <w:ilvl w:val="0"/>
          <w:numId w:val="16"/>
        </w:numPr>
        <w:textAlignment w:val="auto"/>
      </w:pPr>
      <w:r>
        <w:rPr>
          <w:rtl/>
        </w:rPr>
        <w:t>לסיכום הראיות הבודדות שהוזכרו שלהן רלוונטיות כלשהי לעניין ההחזקה הן שתיים: קבלה בדבר תשלום ארנונה בשנת 1994; והליך בגין בניה בלתי חוקית במקרקעין משנת 1979 כלפי סבו של המערער. הא ותו לא. בכך, בלשון המעטה, אין די.</w:t>
      </w:r>
    </w:p>
    <w:p w:rsidR="00164CCE" w:rsidRDefault="00164CCE" w:rsidP="00164CCE">
      <w:pPr>
        <w:pStyle w:val="Ruller4"/>
        <w:numPr>
          <w:ilvl w:val="0"/>
          <w:numId w:val="0"/>
        </w:numPr>
        <w:rPr>
          <w:rtl/>
        </w:rPr>
      </w:pPr>
    </w:p>
    <w:p w:rsidR="00164CCE" w:rsidRDefault="00164CCE" w:rsidP="00164CCE">
      <w:pPr>
        <w:pStyle w:val="Ruller4"/>
        <w:numPr>
          <w:ilvl w:val="0"/>
          <w:numId w:val="16"/>
        </w:numPr>
        <w:textAlignment w:val="auto"/>
        <w:rPr>
          <w:rtl/>
        </w:rPr>
      </w:pPr>
      <w:r>
        <w:rPr>
          <w:rtl/>
        </w:rPr>
        <w:t xml:space="preserve">לבסוף, ראיתי לנכון להתייחס לחוות דעת חברי השופט </w:t>
      </w:r>
      <w:r>
        <w:rPr>
          <w:rFonts w:ascii="Century" w:hAnsi="Century" w:cs="Miriam"/>
          <w:b/>
          <w:spacing w:val="0"/>
          <w:sz w:val="22"/>
          <w:szCs w:val="24"/>
          <w:rtl/>
        </w:rPr>
        <w:t>עמית</w:t>
      </w:r>
      <w:r>
        <w:rPr>
          <w:rtl/>
        </w:rPr>
        <w:t xml:space="preserve"> בשתי נקודות:</w:t>
      </w:r>
    </w:p>
    <w:p w:rsidR="00164CCE" w:rsidRDefault="00164CCE" w:rsidP="00164CCE">
      <w:pPr>
        <w:pStyle w:val="Ruller41"/>
        <w:rPr>
          <w:rtl/>
        </w:rPr>
      </w:pPr>
    </w:p>
    <w:p w:rsidR="00164CCE" w:rsidRDefault="00164CCE" w:rsidP="00164CCE">
      <w:pPr>
        <w:pStyle w:val="Ruller41"/>
        <w:rPr>
          <w:rtl/>
        </w:rPr>
      </w:pPr>
      <w:r>
        <w:rPr>
          <w:rtl/>
        </w:rPr>
        <w:t>א.</w:t>
      </w:r>
      <w:r>
        <w:rPr>
          <w:rtl/>
        </w:rPr>
        <w:tab/>
        <w:t>באופן כללי, הדברים שציינתי לעיל באשר לבעייתיות הנובעת מכך שבית המשפט יעשה את מלאכתם של הצדדים, יפים גם לעניין חוות דעתו של חברי. בהתאם לכך אינני סבור כי יש מקום להחזיר את הדיון לבית משפט השלום לדון בסוגיות שלא נטענו ובפלוגתאות שלא הועלו על ידי מי מהצדדים, לשם בירור טענות שיכולות להיות למי מהם לעזר. הדברים אמורים בפרט על אודות ה"תרופה" שמצא חברי בדמות החזרת הדיון לבית משפט השלום לשם בירור שאלת טיב הרישום ונפקויותיו לעניין הוראת סעיף 113(ב) לחוק המקרקעין. אכן, אין מקום להכריע בסוגיה שלא נדונה מבלי שניתנה לבעלי הדין הזדמנות נאותה להידרש לה. אולם אין משמעות הדבר כי על בית המשפט להעלות טענות שלא נטענו – אף לוּ ברמז, להחזיר את הדיון לבירור מפורט באותן טענות ולהוסיף על כך צירוף צדדים נוספים. להשקפתי כאמור, אין זה נכון להיכנס כך לנעלי הצדדים ולעשות מלאכתם.</w:t>
      </w:r>
    </w:p>
    <w:p w:rsidR="00164CCE" w:rsidRDefault="00164CCE" w:rsidP="00164CCE">
      <w:pPr>
        <w:pStyle w:val="Ruller41"/>
        <w:rPr>
          <w:rtl/>
        </w:rPr>
      </w:pPr>
    </w:p>
    <w:p w:rsidR="00164CCE" w:rsidRDefault="00164CCE" w:rsidP="00164CCE">
      <w:pPr>
        <w:pStyle w:val="Ruller41"/>
        <w:rPr>
          <w:rtl/>
        </w:rPr>
      </w:pPr>
      <w:r>
        <w:rPr>
          <w:rtl/>
        </w:rPr>
        <w:t xml:space="preserve">ב. </w:t>
      </w:r>
      <w:r>
        <w:rPr>
          <w:rtl/>
        </w:rPr>
        <w:tab/>
        <w:t xml:space="preserve">כמו כן, אינני רואה עין בעין עם חברי, בדבר הצורך בהשבת הדיון לבית משפט השלום כדי לברר את תחולתו של סעיף 8 לחוק ההתיישנות תוך השלמת הדיון בשאלה האם מבחינה אובייקטיבית יכלו המשיבים לדעת את העובדות הנדרשות במועד מוקדם יותר. גם טענה זו לא בא זכרה בטענות המערערים, באף אחד מההליכים. לא בבית משפט השלום, לא בבית המשפט המחוזי ובוודאי לא לפנינו. כמו כן, מעיון בפסק דינו של בית משפט השלום עולה כי הוא נתן דעתו על הקושי שהיה בידיעת העובדות, בהתייחסו בין היתר לאופיים של מקרקעי ההקדש, גודלם ונסיבות כניסתם של פולשים למקרקעין. אם בכלל, ישנן רגליים לסברה כי ניתנה הדעת ולו באופן מרוכך גם להיבט האובייקטיבי של כלל הגילוי המאוחר. </w:t>
      </w:r>
    </w:p>
    <w:p w:rsidR="00164CCE" w:rsidRDefault="00164CCE" w:rsidP="00164CCE">
      <w:pPr>
        <w:pStyle w:val="Ruller41"/>
        <w:rPr>
          <w:rtl/>
        </w:rPr>
      </w:pPr>
    </w:p>
    <w:p w:rsidR="00164CCE" w:rsidRDefault="00164CCE" w:rsidP="00164CCE">
      <w:pPr>
        <w:pStyle w:val="Ruller41"/>
        <w:rPr>
          <w:rFonts w:ascii="Century" w:hAnsi="Century" w:cs="Miriam"/>
          <w:b/>
          <w:spacing w:val="0"/>
          <w:szCs w:val="24"/>
          <w:rtl/>
        </w:rPr>
      </w:pPr>
      <w:r>
        <w:rPr>
          <w:rFonts w:ascii="Century" w:hAnsi="Century" w:cs="Miriam"/>
          <w:b/>
          <w:spacing w:val="0"/>
          <w:szCs w:val="24"/>
          <w:rtl/>
        </w:rPr>
        <w:t>ובמבט לאחור</w:t>
      </w:r>
    </w:p>
    <w:p w:rsidR="00164CCE" w:rsidRDefault="00164CCE" w:rsidP="00164CCE">
      <w:pPr>
        <w:pStyle w:val="Ruller41"/>
        <w:rPr>
          <w:rFonts w:ascii="Century" w:hAnsi="Century" w:cs="Miriam"/>
          <w:b/>
          <w:spacing w:val="0"/>
          <w:szCs w:val="24"/>
          <w:rtl/>
        </w:rPr>
      </w:pPr>
    </w:p>
    <w:p w:rsidR="00164CCE" w:rsidRDefault="00164CCE" w:rsidP="00164CCE">
      <w:pPr>
        <w:pStyle w:val="Ruller4"/>
        <w:numPr>
          <w:ilvl w:val="0"/>
          <w:numId w:val="16"/>
        </w:numPr>
        <w:textAlignment w:val="auto"/>
        <w:rPr>
          <w:rtl/>
        </w:rPr>
      </w:pPr>
      <w:r>
        <w:rPr>
          <w:rtl/>
        </w:rPr>
        <w:t xml:space="preserve">בשולי שולי הדברים, אם נניח בצד את הדיון בסוגיית ההתיישנות, ראיתי לנכון להפנות את המבט אל עבר התמונה ההיסטורית. מבט זה יאיר גם את האינטרסים של המשיבים וגם את זכותם שלהם במקרקעין. </w:t>
      </w:r>
    </w:p>
    <w:p w:rsidR="00164CCE" w:rsidRDefault="00164CCE" w:rsidP="00164CCE">
      <w:pPr>
        <w:pStyle w:val="Ruller41"/>
        <w:rPr>
          <w:rtl/>
        </w:rPr>
      </w:pPr>
    </w:p>
    <w:p w:rsidR="00164CCE" w:rsidRDefault="00164CCE" w:rsidP="00164CCE">
      <w:pPr>
        <w:pStyle w:val="Ruller4"/>
        <w:numPr>
          <w:ilvl w:val="0"/>
          <w:numId w:val="16"/>
        </w:numPr>
        <w:textAlignment w:val="auto"/>
      </w:pPr>
      <w:r>
        <w:rPr>
          <w:rtl/>
        </w:rPr>
        <w:t xml:space="preserve">סיפורם של המקרקעין שלוב בתולדות הימים שלפני קום המדינה, ובסיפורם של נכסי יהודים בעת ההיא, במזרח ירושלים. סיפור הדברים הכללי חזר על עצמו במספר פסקי דין, חלקם ניתנו בבית משפט זה (ע"א 5522/12 </w:t>
      </w:r>
      <w:r>
        <w:rPr>
          <w:rFonts w:ascii="Century" w:hAnsi="Century" w:cs="Miriam"/>
          <w:b/>
          <w:spacing w:val="0"/>
          <w:sz w:val="22"/>
          <w:szCs w:val="24"/>
          <w:rtl/>
        </w:rPr>
        <w:t>דוויק נ' הרב יצחק רלב"ג</w:t>
      </w:r>
      <w:r>
        <w:rPr>
          <w:rtl/>
        </w:rPr>
        <w:t xml:space="preserve"> (27.7.2014); עניין </w:t>
      </w:r>
      <w:r>
        <w:rPr>
          <w:rFonts w:ascii="Century" w:hAnsi="Century" w:cs="Miriam"/>
          <w:b/>
          <w:spacing w:val="0"/>
          <w:sz w:val="22"/>
          <w:szCs w:val="24"/>
          <w:rtl/>
        </w:rPr>
        <w:t>סרחאן</w:t>
      </w:r>
      <w:r>
        <w:rPr>
          <w:rtl/>
        </w:rPr>
        <w:t xml:space="preserve">), אולם בעיקר תואר בעבר סיפור הדברים החל ממועד היווצרותו של ההקדש, המכונה "הקדש בנבנישתי". אתאר להלן בקצרה את התקופה שקדמה להיווצרות ההקדש. </w:t>
      </w:r>
    </w:p>
    <w:p w:rsidR="00164CCE" w:rsidRDefault="00164CCE" w:rsidP="00164CCE">
      <w:pPr>
        <w:pStyle w:val="Ruller4"/>
        <w:numPr>
          <w:ilvl w:val="0"/>
          <w:numId w:val="0"/>
        </w:numPr>
        <w:rPr>
          <w:rtl/>
        </w:rPr>
      </w:pPr>
    </w:p>
    <w:p w:rsidR="00164CCE" w:rsidRDefault="00164CCE" w:rsidP="00164CCE">
      <w:pPr>
        <w:pStyle w:val="Ruller4"/>
        <w:numPr>
          <w:ilvl w:val="0"/>
          <w:numId w:val="16"/>
        </w:numPr>
        <w:textAlignment w:val="auto"/>
      </w:pPr>
      <w:r>
        <w:rPr>
          <w:rtl/>
        </w:rPr>
        <w:t xml:space="preserve">הימים הם ימי העלייה הראשונה, שנות ה-80 של המאה ה-19. לאור גידול האוכלוסייה, מצוקת המגורים בירושלים הלכה והתעצמה. תנאי התברואה באותם ימים היו קשים, מצוקת המים הייתה מוחשית. רוב היישוב היהודי התרכז ברובע היהודי שבין החומות. תנאי המגורים הלא פשוטים וקשיי הפרנסה הביאו למצוקה של ממש בקרב בני הקהילה התימנית, אשר עלו לארץ בגל השני לעליית "אעלה בתמר" (בשנת 1881). כספם של אלה אזל במהלך מסעם המורכב ארצה, ולא נמצאה להם תמיכה על ידי הקהילות הוותיקות שהתגוררו בארץ באותה עת ולא זכו "לכספי החלוקה" מיהודי התפוצות (ראו למשל על קשיי אותה תקופה בהתייחס להתאקלמות הקהילה התימנית: ניצה דרויאן "ראשית ההתארגנות של עולי תימן בירושלים" </w:t>
      </w:r>
      <w:r>
        <w:rPr>
          <w:rFonts w:ascii="Century" w:hAnsi="Century" w:cs="Miriam"/>
          <w:b/>
          <w:spacing w:val="0"/>
          <w:szCs w:val="24"/>
          <w:rtl/>
        </w:rPr>
        <w:t xml:space="preserve">פעמים: רבעון בין-תחומי לחקר קהילות ישראל במזרח </w:t>
      </w:r>
      <w:r>
        <w:rPr>
          <w:rtl/>
        </w:rPr>
        <w:t xml:space="preserve">10, 69-61 (1981); ניצה דרויאן "עולי תימן בירושלים – קווים לתולדות בני-העדה בשנים תרמ"ב-תרע"ד" </w:t>
      </w:r>
      <w:r>
        <w:rPr>
          <w:rFonts w:ascii="Century" w:hAnsi="Century" w:cs="Miriam"/>
          <w:b/>
          <w:spacing w:val="0"/>
          <w:szCs w:val="24"/>
          <w:rtl/>
        </w:rPr>
        <w:t>פרקים בתולדות ירושלים בזמן החדש</w:t>
      </w:r>
      <w:r>
        <w:rPr>
          <w:rtl/>
        </w:rPr>
        <w:t xml:space="preserve"> 212, 218-212 (אלי שאלתיאל עורך, התשמ"א) (להלן: </w:t>
      </w:r>
      <w:r>
        <w:rPr>
          <w:rFonts w:ascii="Century" w:hAnsi="Century" w:cs="Miriam"/>
          <w:b/>
          <w:spacing w:val="0"/>
          <w:szCs w:val="24"/>
          <w:rtl/>
        </w:rPr>
        <w:t>דרויאן, עולי תימן בירושלים</w:t>
      </w:r>
      <w:r>
        <w:rPr>
          <w:rtl/>
        </w:rPr>
        <w:t xml:space="preserve">); בני פרנקל "לתולדות התיישבות התימנים בכפר השילוח" </w:t>
      </w:r>
      <w:r>
        <w:rPr>
          <w:rFonts w:ascii="Century" w:hAnsi="Century" w:cs="Miriam"/>
          <w:b/>
          <w:spacing w:val="0"/>
          <w:szCs w:val="24"/>
          <w:rtl/>
        </w:rPr>
        <w:t xml:space="preserve">קרדום: דו ירחון לידיעת הארץ </w:t>
      </w:r>
      <w:r>
        <w:rPr>
          <w:rtl/>
        </w:rPr>
        <w:t xml:space="preserve">23-21, 189-187 (1982) (להלן: </w:t>
      </w:r>
      <w:r>
        <w:rPr>
          <w:rFonts w:ascii="Century" w:hAnsi="Century" w:cs="Miriam"/>
          <w:b/>
          <w:spacing w:val="0"/>
          <w:szCs w:val="24"/>
          <w:rtl/>
        </w:rPr>
        <w:t>פרנקל</w:t>
      </w:r>
      <w:r>
        <w:rPr>
          <w:rtl/>
        </w:rPr>
        <w:t xml:space="preserve">); ציון מדמוני "התיישבותם של יהודי תימן בכפר השילוח" </w:t>
      </w:r>
      <w:r>
        <w:rPr>
          <w:rFonts w:ascii="Century" w:hAnsi="Century" w:cs="Miriam"/>
          <w:b/>
          <w:spacing w:val="0"/>
          <w:szCs w:val="24"/>
          <w:rtl/>
        </w:rPr>
        <w:t>פרקים בתולדות הישוב היהודי בירושלים</w:t>
      </w:r>
      <w:r>
        <w:rPr>
          <w:rtl/>
        </w:rPr>
        <w:t xml:space="preserve"> א 250, 253 (יהודה בן-פורת, בן ציון יהושע ואהרון קדר עורכים התשל"ו) (להלן: </w:t>
      </w:r>
      <w:r>
        <w:rPr>
          <w:rFonts w:ascii="Century" w:hAnsi="Century" w:cs="Miriam"/>
          <w:b/>
          <w:spacing w:val="0"/>
          <w:szCs w:val="24"/>
          <w:rtl/>
        </w:rPr>
        <w:t>מדמוני</w:t>
      </w:r>
      <w:r>
        <w:rPr>
          <w:rtl/>
        </w:rPr>
        <w:t>)).</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 xml:space="preserve">קול זעקתה של הקהילה התימנית הגיע אל אוזניו של ישראל דוב פרומקין (מייסד עיתון "החבצלת"), אשר הקים אגודה בשם "עזרת נידחים" שנועדה לסייע לעניים מבני הקהילה היהודית ולהילחם במיסיון. אל פרומקין חברו נדבנים שונים, אשר הציעו חלק מנחלתם לטובת בני הקהילה התימנית (למשל, באיזור מוצא), אך הצעותיהם נדחו מסיבות שונות, אם בשל יוקר המחיה באותם מקומות; אם בשל הריחוק מירושלים שעשוי היה להגביר את קשיי הפרנסה; אם בשל הריחוק ממקורות המים (ראו למשל: </w:t>
      </w:r>
      <w:r>
        <w:rPr>
          <w:rFonts w:ascii="Century" w:hAnsi="Century" w:cs="Miriam"/>
          <w:b/>
          <w:spacing w:val="0"/>
          <w:sz w:val="22"/>
          <w:szCs w:val="24"/>
          <w:rtl/>
        </w:rPr>
        <w:t>פרנקל</w:t>
      </w:r>
      <w:r>
        <w:rPr>
          <w:rtl/>
        </w:rPr>
        <w:t xml:space="preserve">, עמ' 188-187; </w:t>
      </w:r>
      <w:r>
        <w:rPr>
          <w:rFonts w:ascii="Century" w:hAnsi="Century" w:cs="Miriam"/>
          <w:b/>
          <w:spacing w:val="0"/>
          <w:sz w:val="22"/>
          <w:szCs w:val="24"/>
          <w:rtl/>
        </w:rPr>
        <w:t>מדמוני</w:t>
      </w:r>
      <w:r>
        <w:rPr>
          <w:rtl/>
        </w:rPr>
        <w:t xml:space="preserve">, עמ' 255-254; ניצה דרויאן "שכונות ראשונות לעולי תימן בירושלים תרמ"ב-תרע"ד" </w:t>
      </w:r>
      <w:r>
        <w:rPr>
          <w:rFonts w:ascii="Century" w:hAnsi="Century" w:cs="Miriam"/>
          <w:b/>
          <w:spacing w:val="0"/>
          <w:sz w:val="22"/>
          <w:szCs w:val="24"/>
          <w:rtl/>
        </w:rPr>
        <w:t>קתדרה</w:t>
      </w:r>
      <w:r>
        <w:rPr>
          <w:rtl/>
        </w:rPr>
        <w:t xml:space="preserve"> 13, 100-99 (1979) (להלן: </w:t>
      </w:r>
      <w:r>
        <w:rPr>
          <w:rFonts w:ascii="Century" w:hAnsi="Century" w:cs="Miriam"/>
          <w:b/>
          <w:spacing w:val="0"/>
          <w:sz w:val="22"/>
          <w:szCs w:val="24"/>
          <w:rtl/>
        </w:rPr>
        <w:t>דרויאן, שכונות ראשונות</w:t>
      </w:r>
      <w:r>
        <w:rPr>
          <w:rtl/>
        </w:rPr>
        <w:t xml:space="preserve">); </w:t>
      </w:r>
      <w:r>
        <w:rPr>
          <w:rFonts w:ascii="Century" w:hAnsi="Century" w:cs="Miriam"/>
          <w:b/>
          <w:spacing w:val="0"/>
          <w:sz w:val="22"/>
          <w:szCs w:val="24"/>
          <w:rtl/>
        </w:rPr>
        <w:t>מבחר כתבי ישראל דב פרומקין</w:t>
      </w:r>
      <w:r>
        <w:rPr>
          <w:rtl/>
        </w:rPr>
        <w:t xml:space="preserve"> 32 (התשי"ד) (להלן: </w:t>
      </w:r>
      <w:r>
        <w:rPr>
          <w:rFonts w:ascii="Century" w:hAnsi="Century" w:cs="Miriam"/>
          <w:b/>
          <w:spacing w:val="0"/>
          <w:sz w:val="22"/>
          <w:szCs w:val="24"/>
          <w:rtl/>
        </w:rPr>
        <w:t>מבחר כתבים)</w:t>
      </w:r>
      <w:r>
        <w:rPr>
          <w:rtl/>
        </w:rPr>
        <w:t xml:space="preserve">). </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עם זאת, תרופה נמצאה לבני העדה התימנית עם הצעתו של מר בועז בן בנימין מזרחי (אשר כונה "בועז הבבלי") שהחזיק בנחלה גדולה על צלעו של הר הזיתים, בסמוך למעין הגיחון. מחצית מנחלתו של בועז הבבלי הוקדשה לטובת בני הקהילה התימנית (</w:t>
      </w:r>
      <w:r>
        <w:rPr>
          <w:rFonts w:ascii="Century" w:hAnsi="Century" w:cs="Miriam"/>
          <w:b/>
          <w:spacing w:val="0"/>
          <w:sz w:val="22"/>
          <w:szCs w:val="24"/>
          <w:rtl/>
        </w:rPr>
        <w:t>דרויאן, שכונות ראשונות</w:t>
      </w:r>
      <w:r>
        <w:rPr>
          <w:rtl/>
        </w:rPr>
        <w:t xml:space="preserve">, עמ' 100; פנחס גרייבסקי </w:t>
      </w:r>
      <w:r>
        <w:rPr>
          <w:rFonts w:ascii="Century" w:hAnsi="Century" w:cs="Miriam"/>
          <w:b/>
          <w:spacing w:val="0"/>
          <w:sz w:val="22"/>
          <w:szCs w:val="24"/>
          <w:rtl/>
        </w:rPr>
        <w:t>ספר הישוב: הישוב העברי מחוץ לחומות העיר ירושלים</w:t>
      </w:r>
      <w:r>
        <w:rPr>
          <w:rtl/>
        </w:rPr>
        <w:t xml:space="preserve"> 33-32 (1939) (להלן: </w:t>
      </w:r>
      <w:r>
        <w:rPr>
          <w:rFonts w:ascii="Century" w:hAnsi="Century" w:cs="Miriam"/>
          <w:b/>
          <w:spacing w:val="0"/>
          <w:sz w:val="22"/>
          <w:szCs w:val="24"/>
          <w:rtl/>
        </w:rPr>
        <w:t>ספר הישוב</w:t>
      </w:r>
      <w:r>
        <w:rPr>
          <w:rtl/>
        </w:rPr>
        <w:t>)). כך מתאר גרייבסקי בספרו משנת 1932, את אותו בועז הבבלי: "לא עשיר גדול היה ר' בועז, אבל חובב ארץ-ישראל בכל רגשי לבו, ונפשו הטהורה שאפה לכונן שכונה על יד מי-השלוח שמי-מעין וגנים סביב לה" (</w:t>
      </w:r>
      <w:r>
        <w:rPr>
          <w:rFonts w:ascii="Century" w:hAnsi="Century" w:cs="Miriam"/>
          <w:b/>
          <w:spacing w:val="0"/>
          <w:sz w:val="22"/>
          <w:szCs w:val="24"/>
          <w:rtl/>
        </w:rPr>
        <w:t>ספר הישוב</w:t>
      </w:r>
      <w:r>
        <w:rPr>
          <w:rtl/>
        </w:rPr>
        <w:t xml:space="preserve">, עמ' 32). ברי כי לא היה די בקרקע לבדה. פרומקין המשיך וגייס סכומי כסף מנדבנים שונים למען בניית הבתים במקום. בחודש דצמבר 1884 נערכה חנוכת הבית לשלושת הבתים הראשונים שנבנו במקום, על ידי אגודת "עזרת נידחים". זכות קדימה לבתים ראשונים אלו שנבנו בכפר השילוח ניתנה למשפחות מבני הקהילה התימנית שהתיישבו קודם לכן, באין פתרון דיור זמין אחר, במערות ובנקיקי הסלע שבהר הזיתים (ניצה דרויאן </w:t>
      </w:r>
      <w:r>
        <w:rPr>
          <w:rFonts w:ascii="Century" w:hAnsi="Century" w:cs="Miriam"/>
          <w:b/>
          <w:spacing w:val="0"/>
          <w:sz w:val="22"/>
          <w:szCs w:val="24"/>
          <w:rtl/>
        </w:rPr>
        <w:t>באין מרבד קסמים: עולי תימן בארץ ישראל 1914-1882</w:t>
      </w:r>
      <w:r>
        <w:rPr>
          <w:rtl/>
        </w:rPr>
        <w:t xml:space="preserve"> 25 (1982); </w:t>
      </w:r>
      <w:r>
        <w:rPr>
          <w:rFonts w:ascii="Century" w:hAnsi="Century" w:cs="Miriam"/>
          <w:b/>
          <w:spacing w:val="0"/>
          <w:sz w:val="22"/>
          <w:szCs w:val="24"/>
          <w:rtl/>
        </w:rPr>
        <w:t>דרויאן, עולי תימן בירושלים</w:t>
      </w:r>
      <w:r>
        <w:rPr>
          <w:rtl/>
        </w:rPr>
        <w:t xml:space="preserve">, 219-218). על פתחו של כל אחד מהבתים נחקק על לוח שיש שמו של הנדבן שתרם את כספו לבניית הבית. טקס חנוכת הבית נערך ברוב עם, כאשר רבים מתושבי ירושלים באו ליטול חלק בשמחה </w:t>
      </w:r>
      <w:r>
        <w:rPr>
          <w:rFonts w:ascii="Century" w:hAnsi="Century"/>
          <w:sz w:val="22"/>
          <w:rtl/>
        </w:rPr>
        <w:t>(</w:t>
      </w:r>
      <w:r>
        <w:rPr>
          <w:rFonts w:ascii="Century" w:hAnsi="Century" w:cs="Miriam"/>
          <w:b/>
          <w:spacing w:val="0"/>
          <w:sz w:val="22"/>
          <w:szCs w:val="24"/>
          <w:rtl/>
        </w:rPr>
        <w:t>מדמוני</w:t>
      </w:r>
      <w:r>
        <w:rPr>
          <w:rtl/>
        </w:rPr>
        <w:t xml:space="preserve">, 256-255). בהמשך נחנכו עוד ועוד בתים חדשים. בסוף המאה ה-19 היו באיזור כ-70 בתים כולם לצרכי מגורים של יהודים. השכונה התרחבה ונבנו בה מספר בתי כנסת ומבני ציבור והתגוררו בה גם נזקקים מעדות נוספות (להלן: יהושע בן-אריה </w:t>
      </w:r>
      <w:r>
        <w:rPr>
          <w:rFonts w:ascii="Century" w:hAnsi="Century" w:cs="Miriam"/>
          <w:b/>
          <w:spacing w:val="0"/>
          <w:szCs w:val="24"/>
          <w:rtl/>
        </w:rPr>
        <w:t>עיר בראי תקופה – ירושלים החדשה בראשיתה</w:t>
      </w:r>
      <w:r>
        <w:rPr>
          <w:rtl/>
        </w:rPr>
        <w:t xml:space="preserve"> 219-217 (1979) (להלן: </w:t>
      </w:r>
      <w:r>
        <w:rPr>
          <w:rFonts w:ascii="Century" w:hAnsi="Century" w:cs="Miriam"/>
          <w:b/>
          <w:spacing w:val="0"/>
          <w:szCs w:val="24"/>
          <w:rtl/>
        </w:rPr>
        <w:t>עיר בראי תקופה</w:t>
      </w:r>
      <w:r>
        <w:rPr>
          <w:rtl/>
        </w:rPr>
        <w:t xml:space="preserve">); </w:t>
      </w:r>
      <w:r>
        <w:rPr>
          <w:rFonts w:ascii="Century" w:hAnsi="Century" w:cs="Miriam"/>
          <w:b/>
          <w:spacing w:val="0"/>
          <w:szCs w:val="24"/>
          <w:rtl/>
        </w:rPr>
        <w:t>מדמוני</w:t>
      </w:r>
      <w:r>
        <w:rPr>
          <w:rtl/>
        </w:rPr>
        <w:t xml:space="preserve">, עמ' 257-256; </w:t>
      </w:r>
      <w:r>
        <w:rPr>
          <w:rFonts w:ascii="Century" w:hAnsi="Century" w:cs="Miriam"/>
          <w:b/>
          <w:spacing w:val="0"/>
          <w:szCs w:val="24"/>
          <w:rtl/>
        </w:rPr>
        <w:t>דרויא, עולי תימן בירושלים</w:t>
      </w:r>
      <w:r>
        <w:rPr>
          <w:rtl/>
        </w:rPr>
        <w:t xml:space="preserve">, עמ' 219). </w:t>
      </w:r>
    </w:p>
    <w:p w:rsidR="00164CCE" w:rsidRDefault="00164CCE" w:rsidP="00164CCE">
      <w:pPr>
        <w:pStyle w:val="Ruller4"/>
        <w:numPr>
          <w:ilvl w:val="0"/>
          <w:numId w:val="0"/>
        </w:numPr>
      </w:pPr>
    </w:p>
    <w:p w:rsidR="00164CCE" w:rsidRDefault="00164CCE" w:rsidP="00164CCE">
      <w:pPr>
        <w:pStyle w:val="Ruller4"/>
        <w:numPr>
          <w:ilvl w:val="0"/>
          <w:numId w:val="16"/>
        </w:numPr>
        <w:textAlignment w:val="auto"/>
      </w:pPr>
      <w:r>
        <w:rPr>
          <w:rtl/>
        </w:rPr>
        <w:t xml:space="preserve">בועז הבבלי ביקש להבטיח את השימוש במקרקעין למטרת מציאת פתרונות דיור למשפחות נזקקות. נוכח העובדה שהשלטונות הטורקיים אפשרו באותה תקופה רק לנתיני האימפריה העות'מאנית להירשם כבעלי מקרקעין בתחומי האימפריה, נרשמו המקרקעין בנאמנות על שמו של הרב משה בנבנישתי, אשר כיהן באותה תקופה כמנהל ועד היהודים הספרדים בירושלים. המקרקעין, הידועים כחלקה 95 ו-96 בגוש 29986, נרשמו בפנקס השטרות התורכי בשנת 1881 (שטר מס' 4, ספר 3 דף 6) (ענייננו בנכס המצוי בחלקה 96; להלן: </w:t>
      </w:r>
      <w:r>
        <w:rPr>
          <w:rFonts w:ascii="Century" w:hAnsi="Century" w:cs="Miriam"/>
          <w:b/>
          <w:spacing w:val="0"/>
          <w:sz w:val="22"/>
          <w:szCs w:val="24"/>
          <w:rtl/>
        </w:rPr>
        <w:t>הנכס</w:t>
      </w:r>
      <w:r>
        <w:rPr>
          <w:rtl/>
        </w:rPr>
        <w:t xml:space="preserve">). הרב בנבנישתי נפטר בשנת 1885. לאחר פטירתו, בשנת 1899, יצרו בניו-יורשיו את ההקדש המכונה "הקדש בנבנישתי" (להלן: </w:t>
      </w:r>
      <w:r>
        <w:rPr>
          <w:rFonts w:ascii="Century" w:hAnsi="Century" w:cs="Miriam"/>
          <w:b/>
          <w:spacing w:val="0"/>
          <w:sz w:val="22"/>
          <w:szCs w:val="24"/>
          <w:rtl/>
        </w:rPr>
        <w:t>ההקדש</w:t>
      </w:r>
      <w:r>
        <w:rPr>
          <w:rtl/>
        </w:rPr>
        <w:t>) שהמשיבים הם נאמניו כיום. שטר ההקדש נחתם לפני בית הדין השרעי. בהקדש פורטו הנכסים המוקדשים, תנאי ההקדש, זהות הנהנים ומנהליו. ההקדש היה מוסד נפוץ באותה תקופה, אך הקדש זה התייחד בכך שהוא הופנה עבור כלל היישוב היהודי בירושלים וכמאמר שטר ההקדש "העניים של העדה היהודית בירושלים [...] הנמצאים בה והבאים אליה", ללא התייחסות לעדה מסוימת או למוסד שכונתי ספציפי.</w:t>
      </w:r>
    </w:p>
    <w:p w:rsidR="00164CCE" w:rsidRDefault="00164CCE" w:rsidP="00164CCE">
      <w:pPr>
        <w:pStyle w:val="Ruller41"/>
        <w:rPr>
          <w:rtl/>
        </w:rPr>
      </w:pPr>
    </w:p>
    <w:p w:rsidR="00164CCE" w:rsidRDefault="00164CCE" w:rsidP="00164CCE">
      <w:pPr>
        <w:pStyle w:val="Ruller4"/>
        <w:numPr>
          <w:ilvl w:val="0"/>
          <w:numId w:val="16"/>
        </w:numPr>
        <w:textAlignment w:val="auto"/>
        <w:rPr>
          <w:rtl/>
        </w:rPr>
      </w:pPr>
      <w:r>
        <w:rPr>
          <w:rtl/>
        </w:rPr>
        <w:t xml:space="preserve">ברם, למרבה הצער, לאחר מאורעות תרפ"ט ותרצ"ו, ולאור דרישת השלטונות הבריטים, עזבו היהודים את האתר (להרחבה בנושא זה, ראו: </w:t>
      </w:r>
      <w:r>
        <w:rPr>
          <w:rFonts w:ascii="Century" w:hAnsi="Century" w:cs="Miriam"/>
          <w:b/>
          <w:spacing w:val="0"/>
          <w:szCs w:val="24"/>
          <w:rtl/>
        </w:rPr>
        <w:t>דרויאן</w:t>
      </w:r>
      <w:r>
        <w:rPr>
          <w:rtl/>
        </w:rPr>
        <w:t xml:space="preserve">, עמ' 106; </w:t>
      </w:r>
      <w:r>
        <w:rPr>
          <w:rFonts w:ascii="Century" w:hAnsi="Century" w:cs="Miriam"/>
          <w:b/>
          <w:spacing w:val="0"/>
          <w:szCs w:val="24"/>
          <w:rtl/>
        </w:rPr>
        <w:t>עיר בראי תקופה</w:t>
      </w:r>
      <w:r>
        <w:rPr>
          <w:rtl/>
        </w:rPr>
        <w:t xml:space="preserve">, עמ' 218; </w:t>
      </w:r>
      <w:r>
        <w:rPr>
          <w:rFonts w:ascii="Century" w:hAnsi="Century" w:cs="Miriam"/>
          <w:b/>
          <w:spacing w:val="0"/>
          <w:szCs w:val="24"/>
          <w:rtl/>
        </w:rPr>
        <w:t>ספר הישוב</w:t>
      </w:r>
      <w:r>
        <w:rPr>
          <w:rtl/>
        </w:rPr>
        <w:t xml:space="preserve">, עמ' 33-32; יהושע בן-אריה </w:t>
      </w:r>
      <w:r>
        <w:rPr>
          <w:rFonts w:ascii="Century" w:hAnsi="Century" w:cs="Miriam"/>
          <w:b/>
          <w:spacing w:val="0"/>
          <w:szCs w:val="24"/>
          <w:rtl/>
        </w:rPr>
        <w:t>ירושלים במאה ה-19</w:t>
      </w:r>
      <w:r>
        <w:rPr>
          <w:rtl/>
        </w:rPr>
        <w:t xml:space="preserve"> 77 (1980); </w:t>
      </w:r>
      <w:r>
        <w:rPr>
          <w:rFonts w:ascii="Century" w:hAnsi="Century" w:cs="Miriam"/>
          <w:b/>
          <w:spacing w:val="0"/>
          <w:szCs w:val="24"/>
          <w:rtl/>
        </w:rPr>
        <w:t>מדמוני</w:t>
      </w:r>
      <w:r>
        <w:rPr>
          <w:rtl/>
        </w:rPr>
        <w:t>, עמ' 259)). ככל הנראה העזיבה הייתה בגוף אבל לא בנפש. ההתיישבות היהודית על צלע הר הזיתים הייתה נטועה בליבם של עולי העלייה הראשונה והיא נותרה בליבם של ממשיכיהם עד היום.</w:t>
      </w:r>
    </w:p>
    <w:p w:rsidR="00164CCE" w:rsidRDefault="00164CCE" w:rsidP="00164CCE">
      <w:pPr>
        <w:pStyle w:val="Ruller41"/>
      </w:pPr>
    </w:p>
    <w:p w:rsidR="00164CCE" w:rsidRDefault="00164CCE" w:rsidP="00164CCE">
      <w:pPr>
        <w:pStyle w:val="Ruller4"/>
        <w:numPr>
          <w:ilvl w:val="0"/>
          <w:numId w:val="0"/>
        </w:numPr>
        <w:rPr>
          <w:rFonts w:ascii="Century" w:hAnsi="Century" w:cs="Miriam"/>
          <w:b/>
          <w:spacing w:val="0"/>
          <w:sz w:val="22"/>
          <w:szCs w:val="24"/>
          <w:rtl/>
        </w:rPr>
      </w:pPr>
      <w:r>
        <w:rPr>
          <w:rFonts w:ascii="Century" w:hAnsi="Century" w:cs="Miriam"/>
          <w:b/>
          <w:spacing w:val="0"/>
          <w:sz w:val="22"/>
          <w:szCs w:val="24"/>
          <w:rtl/>
        </w:rPr>
        <w:t xml:space="preserve">לסיכום </w:t>
      </w:r>
    </w:p>
    <w:p w:rsidR="00164CCE" w:rsidRPr="00164CCE" w:rsidRDefault="00164CCE" w:rsidP="00164CCE">
      <w:pPr>
        <w:pStyle w:val="Ruller41"/>
        <w:rPr>
          <w:rtl/>
        </w:rPr>
      </w:pPr>
    </w:p>
    <w:p w:rsidR="00164CCE" w:rsidRDefault="00164CCE" w:rsidP="00164CCE">
      <w:pPr>
        <w:pStyle w:val="Ruller4"/>
        <w:numPr>
          <w:ilvl w:val="0"/>
          <w:numId w:val="0"/>
        </w:numPr>
        <w:rPr>
          <w:rtl/>
        </w:rPr>
      </w:pPr>
      <w:r>
        <w:rPr>
          <w:rtl/>
        </w:rPr>
        <w:tab/>
        <w:t xml:space="preserve">(א) אינני סבור כי הונחה תשתית כלשהי להכרעה בדבר תחולתו של סעיף 113(ב) לחוק המקרקעין בענייננו על מכלול הסוגיות הקשורות לכך. בכל מקרה, אין מקום להבחנה בין "מקרקעי ציבור" סתם לבין מקרקעי ציבור כדוגמת המקרקעין שבענייננו. </w:t>
      </w:r>
    </w:p>
    <w:p w:rsidR="00164CCE" w:rsidRDefault="00164CCE" w:rsidP="00164CCE">
      <w:pPr>
        <w:pStyle w:val="Ruller41"/>
        <w:rPr>
          <w:rtl/>
        </w:rPr>
      </w:pPr>
    </w:p>
    <w:p w:rsidR="00164CCE" w:rsidRDefault="00164CCE" w:rsidP="00164CCE">
      <w:pPr>
        <w:pStyle w:val="Ruller4"/>
        <w:numPr>
          <w:ilvl w:val="0"/>
          <w:numId w:val="0"/>
        </w:numPr>
        <w:rPr>
          <w:rtl/>
        </w:rPr>
      </w:pPr>
      <w:r>
        <w:rPr>
          <w:rtl/>
        </w:rPr>
        <w:tab/>
        <w:t xml:space="preserve">(ב) אף בהניח כי אין תחולה להוראת סעיף 113(ב) לחוק המקרקעין, קביעתו של בית משפט השלום כי התקיימו במקרה זה תנאי הוראת סעיף 8 לחוק ההתיישנות, בדין יסודה. פשיטא כי בחינת התקיימות תנאי "כלל הגילוי המאוחר" צריכה להיעשות מנקודת מבטו של התובע.  </w:t>
      </w:r>
    </w:p>
    <w:p w:rsidR="00164CCE" w:rsidRDefault="00164CCE" w:rsidP="00164CCE">
      <w:pPr>
        <w:pStyle w:val="Ruller41"/>
        <w:rPr>
          <w:rtl/>
        </w:rPr>
      </w:pPr>
    </w:p>
    <w:p w:rsidR="00164CCE" w:rsidRDefault="00164CCE" w:rsidP="00164CCE">
      <w:pPr>
        <w:pStyle w:val="Ruller4"/>
        <w:numPr>
          <w:ilvl w:val="0"/>
          <w:numId w:val="0"/>
        </w:numPr>
      </w:pPr>
      <w:r>
        <w:rPr>
          <w:rtl/>
        </w:rPr>
        <w:tab/>
        <w:t>(ג) כך או כך, המערערים לא הניחו תשתית מינימלית להוכחת "חזקה נוגדת", הן בהיבט ההחזקה הרציפה והן בהיבט ה"עוינות". אדרבה, טענותיהם אינן עולות בקנה אחד טענה זו ואף סותרות אותה חזיתית.</w:t>
      </w:r>
    </w:p>
    <w:p w:rsidR="00164CCE" w:rsidRDefault="00164CCE" w:rsidP="00164CCE">
      <w:pPr>
        <w:pStyle w:val="Ruller4"/>
        <w:numPr>
          <w:ilvl w:val="0"/>
          <w:numId w:val="0"/>
        </w:numPr>
      </w:pPr>
    </w:p>
    <w:p w:rsidR="00164CCE" w:rsidRDefault="00164CCE" w:rsidP="00164CCE">
      <w:pPr>
        <w:pStyle w:val="Ruller41"/>
        <w:rPr>
          <w:rtl/>
        </w:rPr>
      </w:pPr>
      <w:r>
        <w:rPr>
          <w:rtl/>
        </w:rPr>
        <w:tab/>
        <w:t>אשר על כן, לוּ הייתה נשמעת דעתי, היה מקום לדחות את הבקשה למתן רשות ערעור. בכל מקרה, אף אם היינו מקבלים את הבקשה, היה מקום לדחות את הערעור לגופו.</w:t>
      </w:r>
    </w:p>
    <w:p w:rsidR="00164CCE" w:rsidRDefault="00164CCE" w:rsidP="00164CCE">
      <w:pPr>
        <w:pStyle w:val="Ruller41"/>
        <w:rPr>
          <w:rtl/>
        </w:rPr>
      </w:pPr>
    </w:p>
    <w:p w:rsidR="008F79C5" w:rsidRDefault="008F79C5" w:rsidP="00164CCE">
      <w:pPr>
        <w:pStyle w:val="Ruller41"/>
        <w:rPr>
          <w:rtl/>
        </w:rPr>
      </w:pPr>
    </w:p>
    <w:p w:rsidR="00164CCE" w:rsidRDefault="00164CCE" w:rsidP="00164CCE">
      <w:pPr>
        <w:pStyle w:val="Ruller41"/>
        <w:rPr>
          <w:rFonts w:ascii="Century" w:hAnsi="Century" w:cs="Miriam"/>
          <w:b/>
          <w:spacing w:val="0"/>
          <w:szCs w:val="24"/>
          <w:rtl/>
        </w:rPr>
      </w:pPr>
      <w:r>
        <w:rPr>
          <w:rtl/>
        </w:rPr>
        <w:tab/>
      </w:r>
      <w:r>
        <w:rPr>
          <w:rtl/>
        </w:rPr>
        <w:tab/>
      </w:r>
      <w:r>
        <w:rPr>
          <w:rFonts w:hint="cs"/>
          <w:rtl/>
        </w:rPr>
        <w:t xml:space="preserve">  </w:t>
      </w:r>
      <w:r>
        <w:rPr>
          <w:rtl/>
        </w:rPr>
        <w:tab/>
      </w:r>
      <w:r>
        <w:rPr>
          <w:rtl/>
        </w:rPr>
        <w:tab/>
      </w:r>
      <w:r>
        <w:rPr>
          <w:rtl/>
        </w:rPr>
        <w:tab/>
      </w:r>
      <w:r>
        <w:rPr>
          <w:rtl/>
        </w:rPr>
        <w:tab/>
      </w:r>
      <w:r>
        <w:rPr>
          <w:rtl/>
        </w:rPr>
        <w:tab/>
      </w:r>
      <w:r>
        <w:rPr>
          <w:rtl/>
        </w:rPr>
        <w:tab/>
      </w:r>
      <w:r>
        <w:rPr>
          <w:rFonts w:hint="cs"/>
          <w:rtl/>
        </w:rPr>
        <w:t xml:space="preserve"> </w:t>
      </w:r>
      <w:r>
        <w:rPr>
          <w:rtl/>
        </w:rPr>
        <w:tab/>
      </w:r>
      <w:r>
        <w:rPr>
          <w:rtl/>
        </w:rPr>
        <w:tab/>
      </w:r>
      <w:r>
        <w:rPr>
          <w:rFonts w:hint="cs"/>
          <w:rtl/>
        </w:rPr>
        <w:t xml:space="preserve">      </w:t>
      </w:r>
      <w:r w:rsidRPr="00164CCE">
        <w:rPr>
          <w:rFonts w:ascii="Century" w:hAnsi="Century" w:cs="Miriam" w:hint="cs"/>
          <w:b/>
          <w:spacing w:val="0"/>
          <w:szCs w:val="24"/>
          <w:rtl/>
        </w:rPr>
        <w:t xml:space="preserve">ש ו פ ט </w:t>
      </w:r>
    </w:p>
    <w:p w:rsidR="009562DC" w:rsidRDefault="009562DC" w:rsidP="00164CCE">
      <w:pPr>
        <w:pStyle w:val="Ruller41"/>
        <w:rPr>
          <w:rFonts w:ascii="Century" w:hAnsi="Century" w:cs="Miriam"/>
          <w:b/>
          <w:spacing w:val="0"/>
          <w:szCs w:val="24"/>
          <w:rtl/>
        </w:rPr>
      </w:pPr>
    </w:p>
    <w:p w:rsidR="008F79C5" w:rsidRDefault="008F79C5" w:rsidP="00164CCE">
      <w:pPr>
        <w:pStyle w:val="Ruller41"/>
        <w:rPr>
          <w:rFonts w:ascii="Century" w:hAnsi="Century" w:cs="Miriam"/>
          <w:b/>
          <w:spacing w:val="0"/>
          <w:szCs w:val="24"/>
          <w:rtl/>
        </w:rPr>
      </w:pPr>
    </w:p>
    <w:p w:rsidR="009562DC" w:rsidRPr="00503A3E" w:rsidRDefault="009562DC" w:rsidP="009562DC">
      <w:pPr>
        <w:pStyle w:val="BODYVERDICT"/>
        <w:rPr>
          <w:rFonts w:cs="Miriam"/>
          <w:sz w:val="24"/>
          <w:szCs w:val="24"/>
          <w:u w:val="single"/>
          <w:rtl/>
        </w:rPr>
      </w:pPr>
      <w:r>
        <w:rPr>
          <w:rFonts w:cs="Miriam"/>
          <w:sz w:val="24"/>
          <w:szCs w:val="24"/>
          <w:u w:val="single"/>
          <w:rtl/>
        </w:rPr>
        <w:t>השופט י' עמית</w:t>
      </w:r>
      <w:r w:rsidRPr="009562DC">
        <w:rPr>
          <w:rFonts w:cs="Miriam"/>
          <w:sz w:val="24"/>
          <w:szCs w:val="24"/>
          <w:rtl/>
        </w:rPr>
        <w:t>:</w:t>
      </w:r>
    </w:p>
    <w:p w:rsidR="009562DC" w:rsidRDefault="009562DC" w:rsidP="009562DC">
      <w:pPr>
        <w:pStyle w:val="Ruller41"/>
        <w:rPr>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1.</w:t>
      </w: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למקרא חוות דעתם המנומקות והמנוגדות של חבריי, מוצא אני עצמי ניצב בתווך ביניהם. כחברתי השופטת </w:t>
      </w:r>
      <w:r w:rsidRPr="002A21C1">
        <w:rPr>
          <w:rFonts w:ascii="Century" w:hAnsi="Century" w:cs="Miriam" w:hint="eastAsia"/>
          <w:b/>
          <w:sz w:val="22"/>
          <w:rtl/>
        </w:rPr>
        <w:t>ברק</w:t>
      </w:r>
      <w:r w:rsidRPr="002A21C1">
        <w:rPr>
          <w:rFonts w:ascii="Century" w:hAnsi="Century" w:cs="Miriam"/>
          <w:b/>
          <w:sz w:val="22"/>
          <w:rtl/>
        </w:rPr>
        <w:t>-ארז</w:t>
      </w:r>
      <w:r w:rsidRPr="002A21C1">
        <w:rPr>
          <w:rFonts w:ascii="Arial TUR" w:hAnsi="Arial TUR" w:cs="FrankRuehl" w:hint="cs"/>
          <w:spacing w:val="10"/>
          <w:sz w:val="22"/>
          <w:szCs w:val="28"/>
          <w:rtl/>
        </w:rPr>
        <w:t xml:space="preserve">, אף לטעמי יש מקום לדון בבקשה כבערעור בהתייחס לסוגיית ההתיישנות, ואף לטעמי אין דין הערעור להידחות. בד בבד, בדומה לעמדתו של חברי השופט </w:t>
      </w:r>
      <w:r w:rsidRPr="002A21C1">
        <w:rPr>
          <w:rFonts w:ascii="Century" w:hAnsi="Century" w:cs="Miriam" w:hint="cs"/>
          <w:b/>
          <w:sz w:val="22"/>
          <w:rtl/>
        </w:rPr>
        <w:t>מינץ</w:t>
      </w:r>
      <w:r w:rsidRPr="002A21C1">
        <w:rPr>
          <w:rFonts w:ascii="Arial TUR" w:hAnsi="Arial TUR" w:cs="FrankRuehl" w:hint="cs"/>
          <w:spacing w:val="10"/>
          <w:sz w:val="22"/>
          <w:szCs w:val="28"/>
          <w:rtl/>
        </w:rPr>
        <w:t>, איני סבור כי ניתן לקבוע בגדרו של הערעור דנן כי תביעת המשיבים התיישנה. לעמדתי, יש להורות על השבת הדיון לבית משפט השלום, תוך צירוף האפוטרופוס הכללי כצד להליך, לצורך ליבון מספר נקודות שלא נתבררו כל צרכן.</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2.</w:t>
      </w:r>
      <w:r w:rsidRPr="002A21C1">
        <w:rPr>
          <w:rFonts w:ascii="Arial TUR" w:hAnsi="Arial TUR" w:cs="FrankRuehl" w:hint="cs"/>
          <w:spacing w:val="10"/>
          <w:sz w:val="22"/>
          <w:szCs w:val="28"/>
          <w:rtl/>
        </w:rPr>
        <w:tab/>
        <w:t xml:space="preserve">שני נדבכים עומדים בבסיס חוות דעתה של חברתי. הנדבך האחד עניינו העדר תחולה של סעיף 113(ב) לחוק המקרקעין, התשכ"ט-1969 (להלן: </w:t>
      </w:r>
      <w:r w:rsidRPr="002A21C1">
        <w:rPr>
          <w:rFonts w:ascii="Century" w:hAnsi="Century" w:cs="Miriam" w:hint="cs"/>
          <w:b/>
          <w:sz w:val="22"/>
          <w:rtl/>
        </w:rPr>
        <w:t>חוק המקרקעין</w:t>
      </w:r>
      <w:r w:rsidRPr="002A21C1">
        <w:rPr>
          <w:rFonts w:ascii="Arial TUR" w:hAnsi="Arial TUR" w:cs="FrankRuehl" w:hint="cs"/>
          <w:spacing w:val="10"/>
          <w:sz w:val="22"/>
          <w:szCs w:val="28"/>
          <w:rtl/>
        </w:rPr>
        <w:t xml:space="preserve"> או </w:t>
      </w:r>
      <w:r w:rsidRPr="002A21C1">
        <w:rPr>
          <w:rFonts w:ascii="Century" w:hAnsi="Century" w:cs="Miriam" w:hint="cs"/>
          <w:b/>
          <w:sz w:val="22"/>
          <w:rtl/>
        </w:rPr>
        <w:t>החוק</w:t>
      </w:r>
      <w:r w:rsidRPr="002A21C1">
        <w:rPr>
          <w:rFonts w:ascii="Arial TUR" w:hAnsi="Arial TUR" w:cs="FrankRuehl" w:hint="cs"/>
          <w:spacing w:val="10"/>
          <w:sz w:val="22"/>
          <w:szCs w:val="28"/>
          <w:rtl/>
        </w:rPr>
        <w:t xml:space="preserve">). הנדבך השני עניינו העדר תחולה של סעיף 8 לחוק ההתיישנות, התשי"ח-1958 (להלן: </w:t>
      </w:r>
      <w:r w:rsidRPr="002A21C1">
        <w:rPr>
          <w:rFonts w:ascii="Century" w:hAnsi="Century" w:cs="Miriam" w:hint="cs"/>
          <w:b/>
          <w:sz w:val="22"/>
          <w:rtl/>
        </w:rPr>
        <w:t>חוק ההתיישנות</w:t>
      </w:r>
      <w:r w:rsidRPr="002A21C1">
        <w:rPr>
          <w:rFonts w:ascii="Arial TUR" w:hAnsi="Arial TUR" w:cs="FrankRuehl" w:hint="cs"/>
          <w:spacing w:val="10"/>
          <w:sz w:val="22"/>
          <w:szCs w:val="28"/>
          <w:rtl/>
        </w:rPr>
        <w:t>). לצורך קבלת הערעור וקבלת טענת ההתיישנות, ההידרשות לשני הנדבכים היא הכרחית, ויש לשלול הן את תחולתו של סעיף 113(ב) לחוק המקרקעין, הן את תחולתו של סעיף 8 לחוק ההתיישנות.</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לפיכך, די בנפילתו של אחד הנדבכים כדי לחרוץ את גורלו של הערעור לדחייה. דהיינו, ככל שייקבע כי סעיף 113(ב) לחוק חל במקרה דנן, התוצאה היא כי דין הערעור להידחות. הוא הדין אם ייקבע כי נתמלאו תנאיו של סעיף 8 לחוק ההתיישנות. בפני המערערים ניצבות אפוא שתי משוכות, ששתיהן הוכרעו לטובת המשיבים בפסק דינו של בית משפט השלום, שאומץ על ידי בית המשפט המחוזי. </w:t>
      </w:r>
      <w:r w:rsidRPr="002A21C1">
        <w:rPr>
          <w:rFonts w:ascii="Arial TUR" w:hAnsi="Arial TUR" w:cs="FrankRuehl" w:hint="eastAsia"/>
          <w:spacing w:val="10"/>
          <w:sz w:val="22"/>
          <w:szCs w:val="28"/>
          <w:rtl/>
        </w:rPr>
        <w:t>כפי</w:t>
      </w:r>
      <w:r w:rsidRPr="002A21C1">
        <w:rPr>
          <w:rFonts w:ascii="Arial TUR" w:hAnsi="Arial TUR" w:cs="FrankRuehl"/>
          <w:spacing w:val="10"/>
          <w:sz w:val="22"/>
          <w:szCs w:val="28"/>
          <w:rtl/>
        </w:rPr>
        <w:t xml:space="preserve"> שיוסבר להלן, </w:t>
      </w:r>
      <w:r w:rsidRPr="002A21C1">
        <w:rPr>
          <w:rFonts w:ascii="Arial TUR" w:hAnsi="Arial TUR" w:cs="FrankRuehl" w:hint="eastAsia"/>
          <w:spacing w:val="10"/>
          <w:sz w:val="22"/>
          <w:szCs w:val="28"/>
          <w:rtl/>
        </w:rPr>
        <w:t>התשתית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העובדתית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והמשפטית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שה</w:t>
      </w:r>
      <w:r w:rsidRPr="002A21C1">
        <w:rPr>
          <w:rFonts w:ascii="Arial TUR" w:hAnsi="Arial TUR" w:cs="FrankRuehl" w:hint="cs"/>
          <w:spacing w:val="10"/>
          <w:sz w:val="22"/>
          <w:szCs w:val="28"/>
          <w:rtl/>
        </w:rPr>
        <w:t>ועמדה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בהליך</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שלפנינו</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אינה</w:t>
      </w:r>
      <w:r w:rsidRPr="002A21C1">
        <w:rPr>
          <w:rFonts w:ascii="Arial TUR" w:hAnsi="Arial TUR" w:cs="FrankRuehl"/>
          <w:spacing w:val="10"/>
          <w:sz w:val="22"/>
          <w:szCs w:val="28"/>
          <w:rtl/>
        </w:rPr>
        <w:t xml:space="preserve"> מאפשר</w:t>
      </w:r>
      <w:r w:rsidRPr="002A21C1">
        <w:rPr>
          <w:rFonts w:ascii="Arial TUR" w:hAnsi="Arial TUR" w:cs="FrankRuehl" w:hint="eastAsia"/>
          <w:spacing w:val="10"/>
          <w:sz w:val="22"/>
          <w:szCs w:val="28"/>
          <w:rtl/>
        </w:rPr>
        <w:t>ת</w:t>
      </w:r>
      <w:r w:rsidRPr="002A21C1">
        <w:rPr>
          <w:rFonts w:ascii="Arial TUR" w:hAnsi="Arial TUR" w:cs="FrankRuehl"/>
          <w:spacing w:val="10"/>
          <w:sz w:val="22"/>
          <w:szCs w:val="28"/>
          <w:rtl/>
        </w:rPr>
        <w:t xml:space="preserve"> להכריע </w:t>
      </w:r>
      <w:r w:rsidRPr="002A21C1">
        <w:rPr>
          <w:rFonts w:ascii="Arial TUR" w:hAnsi="Arial TUR" w:cs="FrankRuehl" w:hint="eastAsia"/>
          <w:spacing w:val="10"/>
          <w:sz w:val="22"/>
          <w:szCs w:val="28"/>
          <w:rtl/>
        </w:rPr>
        <w:t>כדבעי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לגבי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תחולתם</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של</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סעיפים</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אלה</w:t>
      </w:r>
      <w:r w:rsidRPr="002A21C1">
        <w:rPr>
          <w:rFonts w:ascii="Arial TUR" w:hAnsi="Arial TUR" w:cs="FrankRuehl" w:hint="cs"/>
          <w:spacing w:val="10"/>
          <w:sz w:val="22"/>
          <w:szCs w:val="28"/>
          <w:rtl/>
        </w:rPr>
        <w:t>. מאחר שעיקרי הדברים פורטו בהרחבה בחו</w:t>
      </w:r>
      <w:r w:rsidRPr="002A21C1">
        <w:rPr>
          <w:rFonts w:ascii="FrankRuehl" w:hAnsi="FrankRuehl" w:cs="FrankRuehl"/>
          <w:spacing w:val="10"/>
          <w:sz w:val="22"/>
          <w:szCs w:val="28"/>
          <w:rtl/>
        </w:rPr>
        <w:t>וֹ</w:t>
      </w:r>
      <w:r w:rsidRPr="002A21C1">
        <w:rPr>
          <w:rFonts w:ascii="Arial TUR" w:hAnsi="Arial TUR" w:cs="FrankRuehl" w:hint="cs"/>
          <w:spacing w:val="10"/>
          <w:sz w:val="22"/>
          <w:szCs w:val="28"/>
          <w:rtl/>
        </w:rPr>
        <w:t>ת דעתם של חבריי, אסתפק בהתייחסות ממוקדת לנקודות הנדרשות.</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Miriam"/>
          <w:b/>
          <w:sz w:val="22"/>
          <w:rtl/>
        </w:rPr>
      </w:pPr>
      <w:r w:rsidRPr="002A21C1">
        <w:rPr>
          <w:rFonts w:ascii="Century" w:hAnsi="Century" w:cs="Miriam" w:hint="cs"/>
          <w:b/>
          <w:sz w:val="22"/>
          <w:rtl/>
        </w:rPr>
        <w:t>סעיף 113(ב) לחוק המקרקעין</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3.</w:t>
      </w:r>
      <w:r w:rsidRPr="002A21C1">
        <w:rPr>
          <w:rFonts w:ascii="Arial TUR" w:hAnsi="Arial TUR" w:cs="FrankRuehl" w:hint="cs"/>
          <w:spacing w:val="10"/>
          <w:sz w:val="22"/>
          <w:szCs w:val="28"/>
          <w:rtl/>
        </w:rPr>
        <w:tab/>
        <w:t>נפתח עם לשונו של סעיף 113 לחוק המקרקעין, הקובע כדלקמן:</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spacing w:line="276" w:lineRule="auto"/>
        <w:ind w:left="1644" w:right="1276"/>
        <w:jc w:val="both"/>
        <w:rPr>
          <w:rFonts w:ascii="Century" w:hAnsi="Century" w:cs="Miriam"/>
          <w:b/>
          <w:sz w:val="22"/>
          <w:rtl/>
        </w:rPr>
      </w:pPr>
      <w:r w:rsidRPr="002A21C1">
        <w:rPr>
          <w:rFonts w:ascii="Century" w:hAnsi="Century" w:cs="Miriam" w:hint="cs"/>
          <w:b/>
          <w:sz w:val="22"/>
          <w:rtl/>
        </w:rPr>
        <w:t>התיישנות</w:t>
      </w:r>
    </w:p>
    <w:p w:rsidR="009562DC" w:rsidRPr="002A21C1" w:rsidRDefault="009562DC" w:rsidP="009562DC">
      <w:pPr>
        <w:ind w:left="1644" w:right="1276"/>
        <w:jc w:val="both"/>
        <w:rPr>
          <w:rFonts w:ascii="Century" w:hAnsi="Century" w:cs="FrankRuehl"/>
          <w:spacing w:val="10"/>
          <w:sz w:val="22"/>
          <w:szCs w:val="28"/>
          <w:rtl/>
        </w:rPr>
      </w:pPr>
      <w:r w:rsidRPr="002A21C1">
        <w:rPr>
          <w:rFonts w:ascii="Century" w:hAnsi="Century" w:cs="FrankRuehl"/>
          <w:spacing w:val="10"/>
          <w:sz w:val="22"/>
          <w:szCs w:val="28"/>
          <w:rtl/>
        </w:rPr>
        <w:t>113.</w:t>
      </w:r>
      <w:r w:rsidRPr="002A21C1">
        <w:rPr>
          <w:rFonts w:ascii="Century" w:hAnsi="Century" w:cs="FrankRuehl"/>
          <w:spacing w:val="10"/>
          <w:sz w:val="22"/>
          <w:szCs w:val="28"/>
          <w:rtl/>
        </w:rPr>
        <w:tab/>
        <w:t>(</w:t>
      </w:r>
      <w:r w:rsidRPr="002A21C1">
        <w:rPr>
          <w:rFonts w:ascii="Century" w:hAnsi="Century" w:cs="FrankRuehl" w:hint="cs"/>
          <w:spacing w:val="10"/>
          <w:sz w:val="22"/>
          <w:szCs w:val="28"/>
          <w:rtl/>
        </w:rPr>
        <w:t>א</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ב</w:t>
      </w:r>
      <w:r w:rsidRPr="002A21C1">
        <w:rPr>
          <w:rFonts w:ascii="Century" w:hAnsi="Century" w:cs="FrankRuehl"/>
          <w:spacing w:val="10"/>
          <w:sz w:val="22"/>
          <w:szCs w:val="28"/>
          <w:rtl/>
        </w:rPr>
        <w:t>מ</w:t>
      </w:r>
      <w:r w:rsidRPr="002A21C1">
        <w:rPr>
          <w:rFonts w:ascii="Century" w:hAnsi="Century" w:cs="FrankRuehl" w:hint="cs"/>
          <w:spacing w:val="10"/>
          <w:sz w:val="22"/>
          <w:szCs w:val="28"/>
          <w:rtl/>
        </w:rPr>
        <w:t>קרקעי יעוד</w:t>
      </w:r>
      <w:r w:rsidRPr="002A21C1">
        <w:rPr>
          <w:rFonts w:ascii="Century" w:hAnsi="Century" w:cs="FrankRuehl"/>
          <w:spacing w:val="10"/>
          <w:sz w:val="22"/>
          <w:szCs w:val="28"/>
          <w:rtl/>
        </w:rPr>
        <w:t xml:space="preserve"> </w:t>
      </w:r>
      <w:r w:rsidRPr="002A21C1">
        <w:rPr>
          <w:rFonts w:ascii="Century" w:hAnsi="Century" w:cs="FrankRuehl" w:hint="cs"/>
          <w:spacing w:val="10"/>
          <w:sz w:val="22"/>
          <w:szCs w:val="28"/>
          <w:rtl/>
        </w:rPr>
        <w:t>אין התישנות.</w:t>
      </w:r>
    </w:p>
    <w:p w:rsidR="009562DC" w:rsidRPr="002A21C1" w:rsidRDefault="009562DC" w:rsidP="009562DC">
      <w:pPr>
        <w:ind w:left="1644" w:right="1276"/>
        <w:jc w:val="both"/>
        <w:rPr>
          <w:rFonts w:ascii="Century" w:hAnsi="Century" w:cs="FrankRuehl"/>
          <w:spacing w:val="10"/>
          <w:sz w:val="22"/>
          <w:szCs w:val="28"/>
          <w:rtl/>
        </w:rPr>
      </w:pPr>
      <w:r w:rsidRPr="002A21C1">
        <w:rPr>
          <w:rFonts w:ascii="Century" w:hAnsi="Century" w:cs="FrankRuehl"/>
          <w:spacing w:val="10"/>
          <w:sz w:val="22"/>
          <w:szCs w:val="28"/>
          <w:rtl/>
        </w:rPr>
        <w:t>(</w:t>
      </w:r>
      <w:r w:rsidRPr="002A21C1">
        <w:rPr>
          <w:rFonts w:ascii="Century" w:hAnsi="Century" w:cs="FrankRuehl" w:hint="cs"/>
          <w:spacing w:val="10"/>
          <w:sz w:val="22"/>
          <w:szCs w:val="28"/>
          <w:rtl/>
        </w:rPr>
        <w:t>ב</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ב</w:t>
      </w:r>
      <w:r w:rsidRPr="002A21C1">
        <w:rPr>
          <w:rFonts w:ascii="Century" w:hAnsi="Century" w:cs="FrankRuehl"/>
          <w:spacing w:val="10"/>
          <w:sz w:val="22"/>
          <w:szCs w:val="28"/>
          <w:rtl/>
        </w:rPr>
        <w:t>מ</w:t>
      </w:r>
      <w:r w:rsidRPr="002A21C1">
        <w:rPr>
          <w:rFonts w:ascii="Century" w:hAnsi="Century" w:cs="FrankRuehl" w:hint="cs"/>
          <w:spacing w:val="10"/>
          <w:sz w:val="22"/>
          <w:szCs w:val="28"/>
          <w:rtl/>
        </w:rPr>
        <w:t>ידה שלפי חוק זה חלה התיישנות במקרקעי ציבור שאינם מקרקעי יעוד, לא תתחיל תקופת ההתיישנות לפני היום שנרשמו על שם בעליהם.</w:t>
      </w:r>
    </w:p>
    <w:p w:rsidR="009562DC" w:rsidRPr="002A21C1" w:rsidRDefault="009562DC" w:rsidP="009562DC">
      <w:pPr>
        <w:ind w:left="1644" w:right="1276"/>
        <w:jc w:val="both"/>
        <w:rPr>
          <w:rFonts w:ascii="Century" w:hAnsi="Century" w:cs="FrankRuehl"/>
          <w:spacing w:val="10"/>
          <w:sz w:val="22"/>
          <w:szCs w:val="28"/>
          <w:rtl/>
        </w:rPr>
      </w:pPr>
      <w:r w:rsidRPr="002A21C1">
        <w:rPr>
          <w:rFonts w:ascii="Century" w:hAnsi="Century" w:cs="FrankRuehl"/>
          <w:spacing w:val="10"/>
          <w:sz w:val="22"/>
          <w:szCs w:val="28"/>
          <w:rtl/>
        </w:rPr>
        <w:t>(</w:t>
      </w:r>
      <w:r w:rsidRPr="002A21C1">
        <w:rPr>
          <w:rFonts w:ascii="Century" w:hAnsi="Century" w:cs="FrankRuehl" w:hint="cs"/>
          <w:spacing w:val="10"/>
          <w:sz w:val="22"/>
          <w:szCs w:val="28"/>
          <w:rtl/>
        </w:rPr>
        <w:t>ג</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ב</w:t>
      </w:r>
      <w:r w:rsidRPr="002A21C1">
        <w:rPr>
          <w:rFonts w:ascii="Century" w:hAnsi="Century" w:cs="FrankRuehl"/>
          <w:spacing w:val="10"/>
          <w:sz w:val="22"/>
          <w:szCs w:val="28"/>
          <w:rtl/>
        </w:rPr>
        <w:t>מ</w:t>
      </w:r>
      <w:r w:rsidRPr="002A21C1">
        <w:rPr>
          <w:rFonts w:ascii="Century" w:hAnsi="Century" w:cs="FrankRuehl" w:hint="cs"/>
          <w:spacing w:val="10"/>
          <w:sz w:val="22"/>
          <w:szCs w:val="28"/>
          <w:rtl/>
        </w:rPr>
        <w:t>קרקעי</w:t>
      </w:r>
      <w:r w:rsidRPr="002A21C1">
        <w:rPr>
          <w:rFonts w:ascii="Century" w:hAnsi="Century" w:cs="FrankRuehl"/>
          <w:spacing w:val="10"/>
          <w:sz w:val="22"/>
          <w:szCs w:val="28"/>
          <w:rtl/>
        </w:rPr>
        <w:t xml:space="preserve"> </w:t>
      </w:r>
      <w:r w:rsidRPr="002A21C1">
        <w:rPr>
          <w:rFonts w:ascii="Century" w:hAnsi="Century" w:cs="FrankRuehl" w:hint="cs"/>
          <w:spacing w:val="10"/>
          <w:sz w:val="22"/>
          <w:szCs w:val="28"/>
          <w:rtl/>
        </w:rPr>
        <w:t>צ</w:t>
      </w:r>
      <w:r w:rsidRPr="002A21C1">
        <w:rPr>
          <w:rFonts w:ascii="Century" w:hAnsi="Century" w:cs="FrankRuehl"/>
          <w:spacing w:val="10"/>
          <w:sz w:val="22"/>
          <w:szCs w:val="28"/>
          <w:rtl/>
        </w:rPr>
        <w:t>י</w:t>
      </w:r>
      <w:r w:rsidRPr="002A21C1">
        <w:rPr>
          <w:rFonts w:ascii="Century" w:hAnsi="Century" w:cs="FrankRuehl" w:hint="cs"/>
          <w:spacing w:val="10"/>
          <w:sz w:val="22"/>
          <w:szCs w:val="28"/>
          <w:rtl/>
        </w:rPr>
        <w:t>בור</w:t>
      </w:r>
      <w:r w:rsidRPr="002A21C1">
        <w:rPr>
          <w:rFonts w:ascii="Century" w:hAnsi="Century" w:cs="FrankRuehl"/>
          <w:spacing w:val="10"/>
          <w:sz w:val="22"/>
          <w:szCs w:val="28"/>
          <w:rtl/>
        </w:rPr>
        <w:t xml:space="preserve"> ל</w:t>
      </w:r>
      <w:r w:rsidRPr="002A21C1">
        <w:rPr>
          <w:rFonts w:ascii="Century" w:hAnsi="Century" w:cs="FrankRuehl" w:hint="cs"/>
          <w:spacing w:val="10"/>
          <w:sz w:val="22"/>
          <w:szCs w:val="28"/>
          <w:rtl/>
        </w:rPr>
        <w:t>א יחול סעיף 94.</w:t>
      </w:r>
    </w:p>
    <w:p w:rsidR="009562DC" w:rsidRPr="002A21C1" w:rsidRDefault="009562DC" w:rsidP="009562DC">
      <w:pPr>
        <w:ind w:left="1644" w:right="1276"/>
        <w:jc w:val="both"/>
        <w:rPr>
          <w:rFonts w:ascii="Century" w:hAnsi="Century" w:cs="FrankRuehl"/>
          <w:spacing w:val="10"/>
          <w:sz w:val="22"/>
          <w:szCs w:val="28"/>
          <w:rtl/>
        </w:rPr>
      </w:pPr>
    </w:p>
    <w:p w:rsidR="009562DC" w:rsidRPr="002A21C1" w:rsidRDefault="009562DC" w:rsidP="009562DC">
      <w:pPr>
        <w:ind w:left="1644" w:right="1276"/>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החוק מבחין אפוא בין שני סוגי קרקעות, המוגדרים שניהם בסעיף 107 לחוק המקרקעין: הסוג האחד הוא "מקרקעי ייעוד", שאינו רלוונטי לערעור דנן. הסוג השני הוא "</w:t>
      </w:r>
      <w:r w:rsidRPr="002A21C1">
        <w:rPr>
          <w:rFonts w:ascii="Century" w:hAnsi="Century" w:cs="Miriam" w:hint="cs"/>
          <w:b/>
          <w:sz w:val="22"/>
          <w:rtl/>
        </w:rPr>
        <w:t>מקרקעי ציבור</w:t>
      </w:r>
      <w:r w:rsidRPr="002A21C1">
        <w:rPr>
          <w:rFonts w:ascii="Arial TUR" w:hAnsi="Arial TUR" w:cs="FrankRuehl" w:hint="cs"/>
          <w:spacing w:val="10"/>
          <w:sz w:val="22"/>
          <w:szCs w:val="28"/>
          <w:rtl/>
        </w:rPr>
        <w:t>", שזו הגדרתם:</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hint="cs"/>
          <w:spacing w:val="10"/>
          <w:sz w:val="22"/>
          <w:szCs w:val="28"/>
          <w:rtl/>
        </w:rPr>
        <w:t xml:space="preserve">"מקרקעי ציבור"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מקרקעי ישראל כמשמעותם בחוק-יסוד: מקרקעי ישראל, ומקרקעין של רשות מקומית או של תאגיד שהוקם לפי חיקוק. </w:t>
      </w: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אם כן, תחת "מקרקעי ציבור" נכללים שלושה תתי-סוגים של קרקעות. תת-הסוג הראשון הוא קרקעות המסווגות כ"מקרקעי ישראל", שהם "המקרקעין של המדינה, של רשות הפיתוח או של הקרן הקיימת לישראל" (סעיף 1 לחוק יסוד: מקרקעי ישראל); תת-הסוג השני הוא מקרקעין של רשות מקומית; תת-הסוג השלישי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הרלוונטי לערעור שלפנינו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הוא </w:t>
      </w:r>
      <w:r w:rsidRPr="002A21C1">
        <w:rPr>
          <w:rFonts w:ascii="Century" w:hAnsi="Century" w:cs="Miriam" w:hint="cs"/>
          <w:b/>
          <w:sz w:val="22"/>
          <w:rtl/>
        </w:rPr>
        <w:t>מקרקעין של תאגיד שהוקם לפי חיקוק</w:t>
      </w:r>
      <w:r w:rsidRPr="002A21C1">
        <w:rPr>
          <w:rFonts w:ascii="Arial TUR" w:hAnsi="Arial TUR" w:cs="FrankRuehl" w:hint="cs"/>
          <w:spacing w:val="10"/>
          <w:sz w:val="22"/>
          <w:szCs w:val="28"/>
          <w:rtl/>
        </w:rPr>
        <w:t>.</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4.</w:t>
      </w: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סעיף 113(ב) לחוק המקרקעין קובע הסדר התיישנות ספציפי ומצומצם לגבי "מקרקעי ציבור", ובכללם מקרקעין של תאגיד שהוקם לפי חיקוק. כפי שהוסבר בספרות המשפטית, בבסיס הסעיף ניצבת הכרה בקיומו של קושי לבצע פיקוח מספק ב"מקרקעי ציבור" בהשוואה למקרקעין הנמצאים בבעלות פרטית. כך הסביר זאת פרופ' ויסמן במאמרו "התיישנות והמדינה" </w:t>
      </w:r>
      <w:r w:rsidRPr="002A21C1">
        <w:rPr>
          <w:rFonts w:ascii="Century" w:hAnsi="Century" w:cs="Miriam" w:hint="cs"/>
          <w:b/>
          <w:sz w:val="22"/>
          <w:rtl/>
        </w:rPr>
        <w:t>משפטים</w:t>
      </w:r>
      <w:r w:rsidRPr="002A21C1">
        <w:rPr>
          <w:rFonts w:ascii="Arial TUR" w:hAnsi="Arial TUR" w:cs="FrankRuehl" w:hint="cs"/>
          <w:spacing w:val="10"/>
          <w:sz w:val="22"/>
          <w:szCs w:val="28"/>
          <w:rtl/>
        </w:rPr>
        <w:t xml:space="preserve"> יד 3</w:t>
      </w:r>
      <w:r w:rsidRPr="002A21C1">
        <w:rPr>
          <w:rFonts w:ascii="Arial TUR" w:hAnsi="Arial TUR" w:cs="FrankRuehl" w:hint="cs"/>
          <w:spacing w:val="10"/>
          <w:sz w:val="22"/>
          <w:szCs w:val="28"/>
        </w:rPr>
        <w:t xml:space="preserve"> </w:t>
      </w:r>
      <w:r w:rsidRPr="002A21C1">
        <w:rPr>
          <w:rFonts w:ascii="Arial TUR" w:hAnsi="Arial TUR" w:cs="FrankRuehl" w:hint="cs"/>
          <w:spacing w:val="10"/>
          <w:sz w:val="22"/>
          <w:szCs w:val="28"/>
          <w:rtl/>
        </w:rPr>
        <w:t xml:space="preserve">(1984) (להלן: </w:t>
      </w:r>
      <w:r w:rsidRPr="002A21C1">
        <w:rPr>
          <w:rFonts w:ascii="Century" w:hAnsi="Century" w:cs="Miriam" w:hint="cs"/>
          <w:b/>
          <w:sz w:val="22"/>
          <w:rtl/>
        </w:rPr>
        <w:t>ויסמן-התיישנות</w:t>
      </w:r>
      <w:r w:rsidRPr="002A21C1">
        <w:rPr>
          <w:rFonts w:ascii="Arial TUR" w:hAnsi="Arial TUR" w:cs="FrankRuehl" w:hint="cs"/>
          <w:spacing w:val="10"/>
          <w:sz w:val="22"/>
          <w:szCs w:val="28"/>
          <w:rtl/>
        </w:rPr>
        <w:t>):</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hint="cs"/>
          <w:spacing w:val="10"/>
          <w:sz w:val="22"/>
          <w:szCs w:val="28"/>
          <w:rtl/>
        </w:rPr>
        <w:t xml:space="preserve">"הטעם להוראה שנקבעה בסעיף 113(ב) לחוק המקרקעין טמון, מסתמא, בכך שכל עוד לא נרשמו מקרקעי הציבור בפנקסי המקרקעין עשויה לשרור אי-ודאות בקשר לבעלות במקרקעין אלה, ורשויות הציבור המופקדות על שמירת מקרקעין אלה עשויות שלא לתבוע מסיגי גבול רק מתוך אי ידיעת המצב לאשורו. בנסיבות אלה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כך כנראה סברו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אין להניח להתיישנות לפעול כנגד הבעלים, ולטובת המחזיק" (שם, עמ' 13).</w:t>
      </w: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אם כן, לנגד עיני המחוקק עמד החשש מפני חוסר ודאות של </w:t>
      </w:r>
      <w:r w:rsidRPr="002A21C1">
        <w:rPr>
          <w:rFonts w:ascii="Century" w:hAnsi="Century" w:cs="FrankRuehl" w:hint="cs"/>
          <w:spacing w:val="10"/>
          <w:sz w:val="22"/>
          <w:szCs w:val="28"/>
          <w:rtl/>
        </w:rPr>
        <w:t xml:space="preserve">"רשויות הציבור המופקדות על שמירת המקרקעין", </w:t>
      </w:r>
      <w:r w:rsidRPr="002A21C1">
        <w:rPr>
          <w:rFonts w:ascii="Arial TUR" w:hAnsi="Arial TUR" w:cs="FrankRuehl" w:hint="cs"/>
          <w:spacing w:val="10"/>
          <w:sz w:val="22"/>
          <w:szCs w:val="28"/>
          <w:rtl/>
        </w:rPr>
        <w:t xml:space="preserve">ביחס לשאלת הבעלות האמיתית במקרקעין. חשש זה הוביל להחלטה של המחוקק לדחות את פתיחת מירוץ ההתיישנות לגבי מקרקעין מסוג זה, ולא להסתפק בהוראות הכלליות המעוגנות בחוק ההתיישנות. </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5.</w:t>
      </w:r>
      <w:r w:rsidRPr="002A21C1">
        <w:rPr>
          <w:rFonts w:ascii="Arial TUR" w:hAnsi="Arial TUR" w:cs="FrankRuehl"/>
          <w:spacing w:val="10"/>
          <w:sz w:val="22"/>
          <w:szCs w:val="28"/>
          <w:rtl/>
        </w:rPr>
        <w:tab/>
      </w:r>
      <w:r w:rsidRPr="002A21C1">
        <w:rPr>
          <w:rFonts w:ascii="Arial TUR" w:hAnsi="Arial TUR" w:cs="FrankRuehl" w:hint="cs"/>
          <w:spacing w:val="10"/>
          <w:sz w:val="22"/>
          <w:szCs w:val="28"/>
          <w:rtl/>
        </w:rPr>
        <w:t>האם יש תחולה לסעיף 113(ב) על קרקעות שהוקנו לאפוטרופוס הכללי? לטעמי התשובה על שאלה זו חיובית ומתחייבת, וזאת הן לנוכח לשון החוק הן לנוכח תכליתו, ולא מצאתי בטענות המערערים כל טענה של ממש שבכוחה לאפשר סטיה מהוראותיו של הסעיף. אסביר.</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לשון החוק תחילה. "</w:t>
      </w:r>
      <w:r w:rsidRPr="002A21C1">
        <w:rPr>
          <w:rFonts w:ascii="Century" w:hAnsi="Century" w:cs="Miriam" w:hint="cs"/>
          <w:b/>
          <w:sz w:val="22"/>
          <w:rtl/>
        </w:rPr>
        <w:t>האפוטרופוס הכללי הוא תאגיד, כשר לכל חובה, זכות ופעולה משפטית</w:t>
      </w:r>
      <w:r w:rsidRPr="002A21C1">
        <w:rPr>
          <w:rFonts w:ascii="Arial TUR" w:hAnsi="Arial TUR" w:cs="FrankRuehl" w:hint="cs"/>
          <w:spacing w:val="10"/>
          <w:sz w:val="22"/>
          <w:szCs w:val="28"/>
          <w:rtl/>
        </w:rPr>
        <w:t xml:space="preserve">". כך קובע סעיף 3 לחוק האפוטרופוס הכללי, התשל"ח-1978 (להלן: </w:t>
      </w:r>
      <w:r w:rsidRPr="002A21C1">
        <w:rPr>
          <w:rFonts w:ascii="Century" w:hAnsi="Century" w:cs="Miriam" w:hint="cs"/>
          <w:b/>
          <w:sz w:val="22"/>
          <w:rtl/>
        </w:rPr>
        <w:t>חוק האפוטרופוס הכללי</w:t>
      </w:r>
      <w:r w:rsidRPr="002A21C1">
        <w:rPr>
          <w:rFonts w:ascii="Arial TUR" w:hAnsi="Arial TUR" w:cs="FrankRuehl" w:hint="cs"/>
          <w:spacing w:val="10"/>
          <w:sz w:val="22"/>
          <w:szCs w:val="28"/>
          <w:rtl/>
        </w:rPr>
        <w:t>). אין חולק אפוא כי האפוטרופוס הכללי הוא "תאגיד שהוקם לפי חיקוק". בהיבט זה, לשון החוק כפשוטה מובילה למסקנה ברורה כי מקרקעין הנמצאים בידי האפוטרופוס הכללי הם בגדר "מקרקעי ציבור".</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6.</w:t>
      </w:r>
      <w:r w:rsidRPr="002A21C1">
        <w:rPr>
          <w:rFonts w:ascii="Arial TUR" w:hAnsi="Arial TUR" w:cs="FrankRuehl"/>
          <w:spacing w:val="10"/>
          <w:sz w:val="22"/>
          <w:szCs w:val="28"/>
          <w:rtl/>
        </w:rPr>
        <w:tab/>
      </w:r>
      <w:r w:rsidRPr="002A21C1">
        <w:rPr>
          <w:rFonts w:ascii="Arial TUR" w:hAnsi="Arial TUR" w:cs="FrankRuehl" w:hint="cs"/>
          <w:spacing w:val="10"/>
          <w:sz w:val="22"/>
          <w:szCs w:val="28"/>
          <w:rtl/>
        </w:rPr>
        <w:t>ומה באשר לתכליתו של הסעיף? נעמוד בקצרה על מקצת הוראותיו של חוק האפוטרופוס הכללי והוראות נוספות הצריכות לעניין.</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עיקר הוראותיו של חוק האפוטרופוס הכללי עוסקות בניהול "נכסים עזובים". על פי הגדרתם בסעיף 1 לחוק זה, "נכסים עזובים" הם נכסים בישראל (או נכסים בחו"ל של ישראלים) שאין מי שרשאי ומסוגל לנהוג בהם מנהג בעלים או לנהלם, או שבעליהם אינו ידוע. החוק מטיל על מחזיקי נכסים עזובים ועל עובד ציבור שנודע לו על נכס כזה אגב מילוי תפקידו, חובה להודיע על כך לאפוטרופוס הכללי; ומשעה שנודע לאחרון על נכס שיש יסוד להניח שהוא נכס עזוב, עליו לערוך חקירה כדי לברר אם יש מקום לניהולו לפי הוראות חוק האפוטרופוס הכללי. ככל שהחקירה העלתה כי יש מקום לעשות כן, על האפוטרופוס הכללי לפנות לבית המשפט לצורך מתן צו ניהול לנכס (סעיפים 5(א)-(ג)). כמו כן, נקבעו בחוק הוראות לגבי דרך ניהול נכסים אלו (סעיף 9). </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לצד הוראות אלה, סעיף 5 לחוק הסדרי משפט ומינהל [נוסח משולב], התש"ל-1970 (להלן: </w:t>
      </w:r>
      <w:r w:rsidRPr="002A21C1">
        <w:rPr>
          <w:rFonts w:ascii="Century" w:hAnsi="Century" w:cs="Miriam" w:hint="cs"/>
          <w:b/>
          <w:sz w:val="22"/>
          <w:rtl/>
        </w:rPr>
        <w:t>חוק הסדרי משפט ומינהל</w:t>
      </w:r>
      <w:r w:rsidRPr="002A21C1">
        <w:rPr>
          <w:rFonts w:ascii="Arial TUR" w:hAnsi="Arial TUR" w:cs="FrankRuehl" w:hint="cs"/>
          <w:spacing w:val="10"/>
          <w:sz w:val="22"/>
          <w:szCs w:val="28"/>
          <w:rtl/>
        </w:rPr>
        <w:t>) קובע הסדר המתייחס לסוג נוסף של נכסים שהוקנו גם הם לידי האפוטרופוס הכללי. וזו לשון הסעיף:</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spacing w:line="276" w:lineRule="auto"/>
        <w:ind w:left="1644" w:right="1276"/>
        <w:jc w:val="both"/>
        <w:rPr>
          <w:rFonts w:ascii="Century" w:hAnsi="Century" w:cs="Miriam"/>
          <w:b/>
          <w:sz w:val="22"/>
        </w:rPr>
      </w:pPr>
      <w:r w:rsidRPr="002A21C1">
        <w:rPr>
          <w:rFonts w:ascii="Century" w:hAnsi="Century" w:cs="Miriam"/>
          <w:b/>
          <w:sz w:val="22"/>
          <w:rtl/>
        </w:rPr>
        <w:t>שחרור מקרקעי</w:t>
      </w:r>
      <w:r w:rsidRPr="002A21C1">
        <w:rPr>
          <w:rFonts w:ascii="Century" w:hAnsi="Century" w:cs="Miriam" w:hint="cs"/>
          <w:b/>
          <w:sz w:val="22"/>
          <w:rtl/>
        </w:rPr>
        <w:t>ן</w:t>
      </w: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spacing w:val="10"/>
          <w:sz w:val="22"/>
          <w:szCs w:val="28"/>
          <w:rtl/>
        </w:rPr>
        <w:t>5.(א)</w:t>
      </w:r>
      <w:r w:rsidRPr="002A21C1">
        <w:rPr>
          <w:rFonts w:ascii="Arial TUR" w:hAnsi="Arial TUR" w:cs="FrankRuehl" w:hint="cs"/>
          <w:spacing w:val="10"/>
          <w:sz w:val="22"/>
          <w:szCs w:val="28"/>
          <w:rtl/>
        </w:rPr>
        <w:t xml:space="preserve"> </w:t>
      </w:r>
      <w:r w:rsidRPr="002A21C1">
        <w:rPr>
          <w:rFonts w:ascii="Century" w:hAnsi="Century" w:cs="Miriam"/>
          <w:b/>
          <w:sz w:val="22"/>
          <w:rtl/>
        </w:rPr>
        <w:t xml:space="preserve">מקרקעין הנמצאים בשטח תחולתו של צו החלת המשפט, וערב היום שבו עבר השטח להחזקת צבא-הגנה לישראל הם היו מוקנים לאדם אשר שלטונות המדינה שהשטח היה תפוס בידיה למעשה מינו אותו לממונה על רכוש האויב </w:t>
      </w:r>
      <w:r w:rsidRPr="002A21C1">
        <w:rPr>
          <w:rFonts w:ascii="Century" w:hAnsi="Century" w:cs="FrankRuehl"/>
          <w:spacing w:val="10"/>
          <w:sz w:val="22"/>
          <w:szCs w:val="28"/>
          <w:rtl/>
        </w:rPr>
        <w:t>או לבעל תפקיד או תואר דומה</w:t>
      </w:r>
      <w:r w:rsidRPr="002A21C1">
        <w:rPr>
          <w:rFonts w:ascii="Arial TUR" w:hAnsi="Arial TUR" w:cs="FrankRuehl"/>
          <w:spacing w:val="10"/>
          <w:sz w:val="22"/>
          <w:szCs w:val="28"/>
          <w:rtl/>
        </w:rPr>
        <w:t xml:space="preserve">, או היו מוקנים לרשות מרשויותיה של אותה מדינה או לגוף שבשליטתה אשר אותו אדם העבירם להם או שהיו אותה שעה בהחזקתם או בניהולם של אדם, גוף או רשות כאמור – </w:t>
      </w:r>
      <w:r w:rsidRPr="002A21C1">
        <w:rPr>
          <w:rFonts w:ascii="Century" w:hAnsi="Century" w:cs="Miriam"/>
          <w:b/>
          <w:sz w:val="22"/>
          <w:rtl/>
        </w:rPr>
        <w:t>מוקנים מיום תחילתו של הצו לאפוטרופוס הכללי</w:t>
      </w:r>
      <w:r w:rsidRPr="002A21C1">
        <w:rPr>
          <w:rFonts w:ascii="Arial TUR" w:hAnsi="Arial TUR" w:cs="FrankRuehl"/>
          <w:spacing w:val="10"/>
          <w:sz w:val="22"/>
          <w:szCs w:val="28"/>
          <w:rtl/>
        </w:rPr>
        <w:t xml:space="preserve"> שיעשה בהם כאמור להלן בסעיף זה.</w:t>
      </w: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spacing w:val="10"/>
          <w:sz w:val="22"/>
          <w:szCs w:val="28"/>
          <w:rtl/>
        </w:rPr>
        <w:t>(ב)</w:t>
      </w:r>
      <w:r w:rsidRPr="002A21C1">
        <w:rPr>
          <w:rFonts w:ascii="Arial TUR" w:hAnsi="Arial TUR" w:cs="FrankRuehl" w:hint="cs"/>
          <w:spacing w:val="10"/>
          <w:sz w:val="22"/>
          <w:szCs w:val="28"/>
          <w:rtl/>
        </w:rPr>
        <w:t xml:space="preserve"> </w:t>
      </w:r>
      <w:r w:rsidRPr="002A21C1">
        <w:rPr>
          <w:rFonts w:ascii="Arial TUR" w:hAnsi="Arial TUR" w:cs="FrankRuehl"/>
          <w:spacing w:val="10"/>
          <w:sz w:val="22"/>
          <w:szCs w:val="28"/>
          <w:rtl/>
        </w:rPr>
        <w:t xml:space="preserve">האפוטרופוס הכללי ישחרר, בתעודה חתומה בידו, את המקרקעין למי שהיה בעלם לפני שהוקנו לאדם כאמור בסעיף קטן (א) או לפני שאותו אדם התחיל להחזיק בהם או לנהלם, לפי הענין, או לחליפו של אותו בעל, לפי בקשתם; </w:t>
      </w:r>
      <w:r w:rsidRPr="002A21C1">
        <w:rPr>
          <w:rFonts w:ascii="Century" w:hAnsi="Century" w:cs="Miriam"/>
          <w:b/>
          <w:sz w:val="22"/>
          <w:rtl/>
        </w:rPr>
        <w:t>כל עוד לא שוחררו המקרקעין, יעשה בהם האפוטרופוס הכללי כפי שהוא רשאי לעשות בנכס עזוב שלגביו ניתן לו צו ניהול לפי סעיף 6(א) לחוק האפוטרופוס הכללי, תשל"ח-1978</w:t>
      </w:r>
      <w:r w:rsidRPr="002A21C1">
        <w:rPr>
          <w:rFonts w:ascii="Arial TUR" w:hAnsi="Arial TUR" w:cs="FrankRuehl"/>
          <w:spacing w:val="10"/>
          <w:sz w:val="22"/>
          <w:szCs w:val="28"/>
          <w:rtl/>
        </w:rPr>
        <w:t>, והוראות סעיף 15(ג) ו-(ד) לחוק האמור יחולו</w:t>
      </w:r>
      <w:r w:rsidRPr="002A21C1">
        <w:rPr>
          <w:rFonts w:ascii="Arial TUR" w:hAnsi="Arial TUR" w:cs="FrankRuehl" w:hint="cs"/>
          <w:spacing w:val="10"/>
          <w:sz w:val="22"/>
          <w:szCs w:val="28"/>
          <w:rtl/>
        </w:rPr>
        <w:t>.</w:t>
      </w: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hint="cs"/>
          <w:spacing w:val="10"/>
          <w:sz w:val="22"/>
          <w:szCs w:val="28"/>
          <w:rtl/>
        </w:rPr>
        <w:t>[...]</w:t>
      </w: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אם כן, הוראות הסעיף קובעות כי כל הקרקעות שהוחל עליהן צו החלת המשפט, ובכללן נכסים שהיו ברשות הממונה הירדני על רכוש האויב, </w:t>
      </w:r>
      <w:r w:rsidRPr="002A21C1">
        <w:rPr>
          <w:rFonts w:ascii="Century" w:hAnsi="Century" w:cs="FrankRuehl" w:hint="cs"/>
          <w:spacing w:val="10"/>
          <w:sz w:val="22"/>
          <w:szCs w:val="28"/>
          <w:rtl/>
        </w:rPr>
        <w:t xml:space="preserve">"מוקנים" </w:t>
      </w:r>
      <w:r w:rsidRPr="002A21C1">
        <w:rPr>
          <w:rFonts w:ascii="Arial TUR" w:hAnsi="Arial TUR" w:cs="FrankRuehl" w:hint="cs"/>
          <w:spacing w:val="10"/>
          <w:sz w:val="22"/>
          <w:szCs w:val="28"/>
          <w:rtl/>
        </w:rPr>
        <w:t xml:space="preserve">לאפוטרופוס הכללי מיום תחילתו של הצו (קרי מחודש יוני 1967). בנוסף לכך, על האפוטרופוס הכללי הוטלה חובה לנהוג במקרקעין אלו </w:t>
      </w:r>
      <w:r w:rsidRPr="002A21C1">
        <w:rPr>
          <w:rFonts w:ascii="Century" w:hAnsi="Century" w:cs="Miriam" w:hint="cs"/>
          <w:b/>
          <w:sz w:val="22"/>
          <w:rtl/>
        </w:rPr>
        <w:t>כאילו</w:t>
      </w:r>
      <w:r w:rsidRPr="002A21C1">
        <w:rPr>
          <w:rFonts w:ascii="Arial TUR" w:hAnsi="Arial TUR" w:cs="FrankRuehl" w:hint="cs"/>
          <w:spacing w:val="10"/>
          <w:sz w:val="22"/>
          <w:szCs w:val="28"/>
          <w:rtl/>
        </w:rPr>
        <w:t xml:space="preserve"> ניתן לגביהם צו ניהול מטעם בית המשפט על פי הוראות חוק האפוטרופוס הכללי.</w:t>
      </w:r>
      <w:r w:rsidRPr="002A21C1">
        <w:rPr>
          <w:rFonts w:ascii="Century" w:hAnsi="Century" w:cs="FrankRuehl" w:hint="cs"/>
          <w:spacing w:val="10"/>
          <w:sz w:val="22"/>
          <w:szCs w:val="28"/>
          <w:rtl/>
        </w:rPr>
        <w:t xml:space="preserve"> כפי שהובהר בפסיקה והוזכר על ידי חבריי בחו</w:t>
      </w:r>
      <w:r w:rsidRPr="002A21C1">
        <w:rPr>
          <w:rFonts w:ascii="FrankRuehl" w:hAnsi="FrankRuehl" w:cs="FrankRuehl"/>
          <w:spacing w:val="10"/>
          <w:sz w:val="22"/>
          <w:szCs w:val="28"/>
          <w:rtl/>
        </w:rPr>
        <w:t>וֹ</w:t>
      </w:r>
      <w:r w:rsidRPr="002A21C1">
        <w:rPr>
          <w:rFonts w:ascii="Century" w:hAnsi="Century" w:cs="FrankRuehl" w:hint="cs"/>
          <w:spacing w:val="10"/>
          <w:sz w:val="22"/>
          <w:szCs w:val="28"/>
          <w:rtl/>
        </w:rPr>
        <w:t xml:space="preserve">ת דעתם, "הקנייה" זו לאפוטרופוס הכללי מכוח סעיף 5(א) לחוק הסדרי משפט ומינהל, מתייחסת להקנייה של זכות הבעלות במקרקעין (ע"א 499/78 </w:t>
      </w:r>
      <w:r w:rsidRPr="002A21C1">
        <w:rPr>
          <w:rFonts w:ascii="Century" w:hAnsi="Century" w:cs="Miriam" w:hint="cs"/>
          <w:b/>
          <w:sz w:val="22"/>
          <w:rtl/>
        </w:rPr>
        <w:t>נבולסי נ' מועצת בתי העלמין היהודיים, ירושלים</w:t>
      </w:r>
      <w:r w:rsidRPr="002A21C1">
        <w:rPr>
          <w:rFonts w:ascii="Century" w:hAnsi="Century" w:cs="FrankRuehl" w:hint="cs"/>
          <w:spacing w:val="10"/>
          <w:sz w:val="22"/>
          <w:szCs w:val="28"/>
          <w:rtl/>
        </w:rPr>
        <w:t>, פ"ד לג(3) 679, 681 (1979)).</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סוג נוסף של נכסים שבהם עוסק חוק האפוטרופוס הכללי הוא נכסים שהיו מוקנים לממונה על רכוש האויב לפי פקודת המסחר עם האויב, 1939. גם לגבי נכסים אלו נקבע כי יראו אותם "כמשוחררים מהוראות אותה פקודה וכאילו ניתן לגביהם צו ניהול" (סעיף 21 לחוק האפוטרופוס הכללי).</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Century" w:hAnsi="Century" w:cs="FrankRuehl" w:hint="cs"/>
          <w:spacing w:val="10"/>
          <w:sz w:val="22"/>
          <w:szCs w:val="28"/>
          <w:rtl/>
        </w:rPr>
        <w:t>7.</w:t>
      </w:r>
      <w:r w:rsidRPr="002A21C1">
        <w:rPr>
          <w:rFonts w:ascii="Century" w:hAnsi="Century" w:cs="FrankRuehl"/>
          <w:spacing w:val="10"/>
          <w:sz w:val="22"/>
          <w:szCs w:val="28"/>
          <w:rtl/>
        </w:rPr>
        <w:tab/>
      </w:r>
      <w:r w:rsidRPr="002A21C1">
        <w:rPr>
          <w:rFonts w:ascii="Century" w:hAnsi="Century" w:cs="FrankRuehl" w:hint="cs"/>
          <w:spacing w:val="10"/>
          <w:sz w:val="22"/>
          <w:szCs w:val="28"/>
          <w:rtl/>
        </w:rPr>
        <w:t>בשונה</w:t>
      </w:r>
      <w:r w:rsidRPr="002A21C1">
        <w:rPr>
          <w:rFonts w:ascii="Arial TUR" w:hAnsi="Arial TUR" w:cs="FrankRuehl" w:hint="cs"/>
          <w:spacing w:val="10"/>
          <w:sz w:val="22"/>
          <w:szCs w:val="28"/>
          <w:rtl/>
        </w:rPr>
        <w:t xml:space="preserve"> מ"נכסים עזובים"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שלאפוטרופוס </w:t>
      </w:r>
      <w:r w:rsidRPr="002A21C1">
        <w:rPr>
          <w:rFonts w:ascii="Century" w:hAnsi="Century" w:cs="Miriam" w:hint="cs"/>
          <w:b/>
          <w:sz w:val="22"/>
          <w:rtl/>
        </w:rPr>
        <w:t>נודע</w:t>
      </w:r>
      <w:r w:rsidRPr="002A21C1">
        <w:rPr>
          <w:rFonts w:ascii="Arial TUR" w:hAnsi="Arial TUR" w:cs="FrankRuehl" w:hint="cs"/>
          <w:spacing w:val="10"/>
          <w:sz w:val="22"/>
          <w:szCs w:val="28"/>
          <w:rtl/>
        </w:rPr>
        <w:t xml:space="preserve"> על קיומם, ובעקבות כך הוא פנה לבית המשפט לצורך הוצאת צו לניהולם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המקרקעין שבהם עוסק חוק הסדרי משפט ומינהל </w:t>
      </w:r>
      <w:r w:rsidRPr="002A21C1">
        <w:rPr>
          <w:rFonts w:ascii="Century" w:hAnsi="Century" w:cs="Miriam" w:hint="cs"/>
          <w:b/>
          <w:sz w:val="22"/>
          <w:rtl/>
        </w:rPr>
        <w:t>הוקנו</w:t>
      </w:r>
      <w:r w:rsidRPr="002A21C1">
        <w:rPr>
          <w:rFonts w:ascii="Arial TUR" w:hAnsi="Arial TUR" w:cs="FrankRuehl" w:hint="cs"/>
          <w:spacing w:val="10"/>
          <w:sz w:val="22"/>
          <w:szCs w:val="28"/>
          <w:rtl/>
        </w:rPr>
        <w:t xml:space="preserve"> לאפוטרופוס הכללי </w:t>
      </w:r>
      <w:r w:rsidRPr="002A21C1">
        <w:rPr>
          <w:rFonts w:ascii="Century" w:hAnsi="Century" w:cs="Miriam" w:hint="cs"/>
          <w:b/>
          <w:sz w:val="22"/>
          <w:rtl/>
        </w:rPr>
        <w:t>באופן אוטומטי</w:t>
      </w:r>
      <w:r w:rsidRPr="002A21C1">
        <w:rPr>
          <w:rFonts w:ascii="Arial TUR" w:hAnsi="Arial TUR" w:cs="FrankRuehl" w:hint="cs"/>
          <w:spacing w:val="10"/>
          <w:sz w:val="22"/>
          <w:szCs w:val="28"/>
          <w:rtl/>
        </w:rPr>
        <w:t xml:space="preserve">. זאת, מבלי שנודע לו עליהם מבעוד מועד, מבלי שחקר ובדק לגביהם, ומבלי שניתן צו בית משפט המורה לו לנהלם. </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בהיבט זה, ההסדר שנקבע בחוק הסדרי משפט ומינהל נושא דמיון רב להסדר המעוגן בחוק נכסי נפקדים, התש"י-1950. חוק זה קובע כי "</w:t>
      </w:r>
      <w:r w:rsidRPr="002A21C1">
        <w:rPr>
          <w:rFonts w:ascii="Century" w:hAnsi="Century" w:cs="Miriam" w:hint="cs"/>
          <w:b/>
          <w:sz w:val="22"/>
          <w:rtl/>
        </w:rPr>
        <w:t>כל נכס נפקד מוקנה בזה לאפוטרופוס</w:t>
      </w:r>
      <w:r w:rsidRPr="002A21C1">
        <w:rPr>
          <w:rFonts w:ascii="Arial TUR" w:hAnsi="Arial TUR" w:cs="FrankRuehl" w:hint="cs"/>
          <w:spacing w:val="10"/>
          <w:sz w:val="22"/>
          <w:szCs w:val="28"/>
          <w:rtl/>
        </w:rPr>
        <w:t xml:space="preserve"> [...]", ו"כל זכות שהיתה לנפקד בנכס עוברת מאליה לאפוטרופוס בשעת הקניית הנכס, ויד האפוטרופוס כיד בעל הנכס" (סעיף 4(א)(1)-(2) לחוק האמור). אכן, כשם ש</w:t>
      </w:r>
      <w:r w:rsidRPr="002A21C1">
        <w:rPr>
          <w:rFonts w:ascii="Century" w:hAnsi="Century" w:cs="FrankRuehl" w:hint="cs"/>
          <w:spacing w:val="10"/>
          <w:sz w:val="22"/>
          <w:szCs w:val="28"/>
          <w:rtl/>
        </w:rPr>
        <w:t>הקניית נכס נפקד לאפוטרופוס לנכסי נפקדים נעשית עם התקיימות התנאים הקבועים בחוק, מבלי שהדבר מותנה</w:t>
      </w:r>
      <w:r w:rsidRPr="002A21C1">
        <w:rPr>
          <w:rFonts w:ascii="Century" w:hAnsi="Century" w:cs="FrankRuehl"/>
          <w:spacing w:val="10"/>
          <w:sz w:val="22"/>
          <w:szCs w:val="28"/>
          <w:rtl/>
        </w:rPr>
        <w:t xml:space="preserve"> בפעולה משפטית מצד האפוטרופוס</w:t>
      </w:r>
      <w:r w:rsidRPr="002A21C1">
        <w:rPr>
          <w:rFonts w:ascii="Century" w:hAnsi="Century" w:cs="FrankRuehl" w:hint="cs"/>
          <w:spacing w:val="10"/>
          <w:sz w:val="22"/>
          <w:szCs w:val="28"/>
          <w:rtl/>
        </w:rPr>
        <w:t xml:space="preserve">, כך הדבר לגבי הקניית נכסים לידי האפוטרופוס הכללי מכוח חוק הסדרי משפט ומינהל, הנעשית באופן אוטומטי וגורף, ללא צו בית משפט וללא הכרזה קונקרטית המתייחסת לנכס ספציפי (על אופן הקניית נכסים לאפוטרופוס לנכסי נפקדים ראו </w:t>
      </w:r>
      <w:r w:rsidRPr="002A21C1">
        <w:rPr>
          <w:rFonts w:ascii="Arial TUR" w:hAnsi="Arial TUR" w:cs="FrankRuehl"/>
          <w:spacing w:val="10"/>
          <w:sz w:val="22"/>
          <w:szCs w:val="28"/>
          <w:rtl/>
        </w:rPr>
        <w:t>ע</w:t>
      </w:r>
      <w:r w:rsidRPr="002A21C1">
        <w:rPr>
          <w:rFonts w:ascii="Arial TUR" w:hAnsi="Arial TUR" w:cs="FrankRuehl" w:hint="cs"/>
          <w:spacing w:val="10"/>
          <w:sz w:val="22"/>
          <w:szCs w:val="28"/>
          <w:rtl/>
        </w:rPr>
        <w:t>"</w:t>
      </w:r>
      <w:r w:rsidRPr="002A21C1">
        <w:rPr>
          <w:rFonts w:ascii="Arial TUR" w:hAnsi="Arial TUR" w:cs="FrankRuehl"/>
          <w:spacing w:val="10"/>
          <w:sz w:val="22"/>
          <w:szCs w:val="28"/>
          <w:rtl/>
        </w:rPr>
        <w:t xml:space="preserve">א 3296/19 </w:t>
      </w:r>
      <w:r w:rsidRPr="002A21C1">
        <w:rPr>
          <w:rFonts w:ascii="Century" w:hAnsi="Century" w:cs="Miriam" w:hint="cs"/>
          <w:b/>
          <w:sz w:val="22"/>
          <w:rtl/>
        </w:rPr>
        <w:t>ע</w:t>
      </w:r>
      <w:r w:rsidRPr="002A21C1">
        <w:rPr>
          <w:rFonts w:ascii="Century" w:hAnsi="Century" w:cs="Miriam"/>
          <w:b/>
          <w:sz w:val="22"/>
          <w:rtl/>
        </w:rPr>
        <w:t>זבון ג'אבר ז"ל נ' רשות הפיתוח</w:t>
      </w:r>
      <w:r w:rsidRPr="002A21C1">
        <w:rPr>
          <w:rFonts w:ascii="Arial TUR" w:hAnsi="Arial TUR" w:cs="FrankRuehl" w:hint="cs"/>
          <w:spacing w:val="10"/>
          <w:sz w:val="22"/>
          <w:szCs w:val="28"/>
          <w:rtl/>
        </w:rPr>
        <w:t xml:space="preserve">, פסקה 13 (26.12.2021); </w:t>
      </w:r>
      <w:r w:rsidRPr="002A21C1">
        <w:rPr>
          <w:rFonts w:ascii="Century" w:hAnsi="Century" w:cs="FrankRuehl" w:hint="eastAsia"/>
          <w:spacing w:val="10"/>
          <w:sz w:val="22"/>
          <w:szCs w:val="28"/>
          <w:rtl/>
        </w:rPr>
        <w:t>בג</w:t>
      </w:r>
      <w:r w:rsidRPr="002A21C1">
        <w:rPr>
          <w:rFonts w:ascii="Century" w:hAnsi="Century" w:cs="FrankRuehl"/>
          <w:spacing w:val="10"/>
          <w:sz w:val="22"/>
          <w:szCs w:val="28"/>
          <w:rtl/>
        </w:rPr>
        <w:t>"</w:t>
      </w:r>
      <w:r w:rsidRPr="002A21C1">
        <w:rPr>
          <w:rFonts w:ascii="Century" w:hAnsi="Century" w:cs="FrankRuehl" w:hint="eastAsia"/>
          <w:spacing w:val="10"/>
          <w:sz w:val="22"/>
          <w:szCs w:val="28"/>
          <w:rtl/>
        </w:rPr>
        <w:t>ץ</w:t>
      </w:r>
      <w:r w:rsidRPr="002A21C1">
        <w:rPr>
          <w:rFonts w:ascii="Century" w:hAnsi="Century" w:cs="FrankRuehl"/>
          <w:spacing w:val="10"/>
          <w:sz w:val="22"/>
          <w:szCs w:val="28"/>
          <w:rtl/>
        </w:rPr>
        <w:t xml:space="preserve"> 4713/93‏ </w:t>
      </w:r>
      <w:r w:rsidRPr="002A21C1">
        <w:rPr>
          <w:rFonts w:ascii="Century" w:hAnsi="Century" w:cs="Miriam"/>
          <w:b/>
          <w:sz w:val="22"/>
          <w:rtl/>
        </w:rPr>
        <w:t>גולן</w:t>
      </w:r>
      <w:r w:rsidRPr="002A21C1">
        <w:rPr>
          <w:rFonts w:ascii="Century" w:hAnsi="Century" w:cs="Miriam"/>
          <w:b/>
          <w:sz w:val="22"/>
          <w:cs/>
        </w:rPr>
        <w:t>‎</w:t>
      </w:r>
      <w:r w:rsidRPr="002A21C1">
        <w:rPr>
          <w:rFonts w:ascii="Century" w:hAnsi="Century" w:cs="Miriam"/>
          <w:b/>
          <w:sz w:val="22"/>
        </w:rPr>
        <w:t xml:space="preserve"> </w:t>
      </w:r>
      <w:r w:rsidRPr="002A21C1">
        <w:rPr>
          <w:rFonts w:ascii="Century" w:hAnsi="Century" w:cs="Miriam"/>
          <w:b/>
          <w:sz w:val="22"/>
          <w:cs/>
        </w:rPr>
        <w:t>‎</w:t>
      </w:r>
      <w:r w:rsidRPr="002A21C1">
        <w:rPr>
          <w:rFonts w:ascii="Century" w:hAnsi="Century" w:cs="Miriam"/>
          <w:b/>
          <w:sz w:val="22"/>
          <w:rtl/>
        </w:rPr>
        <w:t>נ' האפוטרופוס לנכסי נפקדים</w:t>
      </w:r>
      <w:r w:rsidRPr="002A21C1">
        <w:rPr>
          <w:rFonts w:ascii="Century" w:hAnsi="Century" w:cs="FrankRuehl"/>
          <w:spacing w:val="10"/>
          <w:sz w:val="22"/>
          <w:szCs w:val="28"/>
          <w:rtl/>
        </w:rPr>
        <w:t>, פ</w:t>
      </w:r>
      <w:r w:rsidRPr="002A21C1">
        <w:rPr>
          <w:rFonts w:ascii="Century" w:hAnsi="Century" w:cs="FrankRuehl" w:hint="cs"/>
          <w:spacing w:val="10"/>
          <w:sz w:val="22"/>
          <w:szCs w:val="28"/>
          <w:rtl/>
        </w:rPr>
        <w:t>"</w:t>
      </w:r>
      <w:r w:rsidRPr="002A21C1">
        <w:rPr>
          <w:rFonts w:ascii="Century" w:hAnsi="Century" w:cs="FrankRuehl"/>
          <w:spacing w:val="10"/>
          <w:sz w:val="22"/>
          <w:szCs w:val="28"/>
          <w:rtl/>
        </w:rPr>
        <w:t>ד מח(2) 638</w:t>
      </w:r>
      <w:r w:rsidRPr="002A21C1">
        <w:rPr>
          <w:rFonts w:ascii="Century" w:hAnsi="Century" w:cs="FrankRuehl" w:hint="cs"/>
          <w:spacing w:val="10"/>
          <w:sz w:val="22"/>
          <w:szCs w:val="28"/>
          <w:rtl/>
        </w:rPr>
        <w:t>, 645 (1994); להסדר דומה ראו גם סעיף 5 לחוק נכסי גרמנים, התש"י-1950). באספקלריה זו, נקל להיווכח כי החלת סעיף 113(ב) לחוק המקרקעין לגבי מקרקעין שהועברו לאפוטרופוס הכללי מכוח חוק הסדרי משפט ומינהל, מתיישבת היטב עם תכליתו של הסעיף, לנוכח קיומו של קושי אפשרי לפקח אחר הקרקעות שהוקנו לו באופן אוטומטי מכוח הדין, כמתואר לעיל.</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8.</w:t>
      </w: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יתרה מכך. עיון בסעיפי חוק האפוטרופוס הכללי מעלה כי בין נכסי מקרקעין המנוהלים על ידי האפוטרופוס הכללי לבין המדינה ישנה זיקה העולה במישרין מהוראות החוק. כך, סעיף 15(ג) קובע כי מקום שבו האפוטרופוס הכללי ניהל נכס מקרקעין במשך 15 שנה, ובית המשפט שוכנע, לפי דו"ח מאת האפוטרופוס הכללי, שאין הצדקה להמשיך בניהולו, רשאי בית המשפט לצוות על העברת הנכס </w:t>
      </w:r>
      <w:r w:rsidRPr="002A21C1">
        <w:rPr>
          <w:rFonts w:ascii="Century" w:hAnsi="Century" w:cs="Miriam" w:hint="cs"/>
          <w:b/>
          <w:sz w:val="22"/>
          <w:rtl/>
        </w:rPr>
        <w:t>לקניין המדינה</w:t>
      </w:r>
      <w:r w:rsidRPr="002A21C1">
        <w:rPr>
          <w:rFonts w:ascii="Century" w:hAnsi="Century" w:cs="FrankRuehl" w:hint="cs"/>
          <w:spacing w:val="10"/>
          <w:sz w:val="22"/>
          <w:szCs w:val="28"/>
          <w:rtl/>
        </w:rPr>
        <w:t>. זאת, לדוגמה, כאשר הסיכויים לאתר את בעלי הזכויות הפכו קלושים (הצעת חוק האפוטרופוס הכללי, התשל"ז-1976, ה"ח 1270, עמ' 55). דברים אלו משקפים זיקה ברורה בין נכסי האפוטרופוס הכללי לבין נכסי המדינה (בכוח), ויש בכך כדי לבסס את הגיונה של קביעת המחוקק כי מקרקעין הנמצאים בידי האפוטרופוס הכללי הם בגדר "מקרקעי ציבור", מתוך הכרה באי-ודאות אפשרית מצד "רשויות הציבור המופקדות על שמירת מקרקעין אלה" לגבי מצב הזכויות בהם. זאת, בין אם מדובר במקרקעין פרטיים ובין אם לאו.</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9.</w:t>
      </w:r>
      <w:r w:rsidRPr="002A21C1">
        <w:rPr>
          <w:rFonts w:ascii="Century" w:hAnsi="Century" w:cs="FrankRuehl" w:hint="cs"/>
          <w:spacing w:val="10"/>
          <w:sz w:val="22"/>
          <w:szCs w:val="28"/>
          <w:rtl/>
        </w:rPr>
        <w:tab/>
        <w:t>חבריי הזכירו בחו</w:t>
      </w:r>
      <w:r w:rsidRPr="002A21C1">
        <w:rPr>
          <w:rFonts w:ascii="FrankRuehl" w:hAnsi="FrankRuehl" w:cs="FrankRuehl"/>
          <w:spacing w:val="10"/>
          <w:sz w:val="22"/>
          <w:szCs w:val="28"/>
          <w:rtl/>
        </w:rPr>
        <w:t>וֹ</w:t>
      </w:r>
      <w:r w:rsidRPr="002A21C1">
        <w:rPr>
          <w:rFonts w:ascii="Century" w:hAnsi="Century" w:cs="FrankRuehl" w:hint="cs"/>
          <w:spacing w:val="10"/>
          <w:sz w:val="22"/>
          <w:szCs w:val="28"/>
          <w:rtl/>
        </w:rPr>
        <w:t xml:space="preserve">ת דעתם ביקורת שהובעה בספרות המשפטית לגבי הוראת סעיף 113(ב) לחוק המקרקעין. כך, לדוגמה, פרופ' ויסמן העיר לגבי מקרקעין של תאגידים שהוקמו לפי חיקוק, כי בשונה מ"מקרקעי ישראל" ומקרקעין של רשויות מקומיות (שגם עליהם חל סעיף 113(ב)), "שטחי הקרקע שבבעלות תאגידים שכאלה (כגון רשות השידור, רשות הדואר, או רשות שדות התעופה) אינם כה נרחבים, ומן הראוי לצפות לכך כי לתאגידים שכאלה יהא ידוע אילו מקרקעין שייכים להם, ומה נעשה בהם". עוד הביע פרופ' ויסמן דעתו כי ניתן היה להסתפק בהסדר הכללי שבסעיף 8 לחוק ההתיישנות, חלף שלילה מוחלטת של התיישנות במקרקעי ציבור שלא נרשמו על שם בעליהם (יהושע ויסמן </w:t>
      </w:r>
      <w:r w:rsidRPr="002A21C1">
        <w:rPr>
          <w:rFonts w:ascii="Century" w:hAnsi="Century" w:cs="Miriam" w:hint="cs"/>
          <w:b/>
          <w:sz w:val="22"/>
          <w:rtl/>
        </w:rPr>
        <w:t xml:space="preserve">דיני קניין </w:t>
      </w:r>
      <w:r w:rsidRPr="002A21C1">
        <w:rPr>
          <w:rFonts w:ascii="Century" w:hAnsi="Century" w:cs="Miriam"/>
          <w:b/>
          <w:sz w:val="22"/>
          <w:rtl/>
        </w:rPr>
        <w:t>–</w:t>
      </w:r>
      <w:r w:rsidRPr="002A21C1">
        <w:rPr>
          <w:rFonts w:ascii="Century" w:hAnsi="Century" w:cs="Miriam" w:hint="cs"/>
          <w:b/>
          <w:sz w:val="22"/>
          <w:rtl/>
        </w:rPr>
        <w:t xml:space="preserve"> חלק כללי</w:t>
      </w:r>
      <w:r w:rsidRPr="002A21C1">
        <w:rPr>
          <w:rFonts w:ascii="Century" w:hAnsi="Century" w:cs="FrankRuehl" w:hint="cs"/>
          <w:spacing w:val="10"/>
          <w:sz w:val="22"/>
          <w:szCs w:val="28"/>
          <w:rtl/>
        </w:rPr>
        <w:t xml:space="preserve"> 268-267 (1993) (להלן: </w:t>
      </w:r>
      <w:r w:rsidRPr="002A21C1">
        <w:rPr>
          <w:rFonts w:ascii="Century" w:hAnsi="Century" w:cs="Miriam" w:hint="cs"/>
          <w:b/>
          <w:sz w:val="22"/>
          <w:rtl/>
        </w:rPr>
        <w:t>ויסמן-קניין</w:t>
      </w:r>
      <w:r w:rsidRPr="002A21C1">
        <w:rPr>
          <w:rFonts w:ascii="Century" w:hAnsi="Century" w:cs="FrankRuehl" w:hint="cs"/>
          <w:spacing w:val="10"/>
          <w:sz w:val="22"/>
          <w:szCs w:val="28"/>
          <w:rtl/>
        </w:rPr>
        <w:t xml:space="preserve">); כן ראו </w:t>
      </w:r>
      <w:r w:rsidRPr="002A21C1">
        <w:rPr>
          <w:rFonts w:ascii="Century" w:hAnsi="Century" w:cs="Miriam" w:hint="cs"/>
          <w:b/>
          <w:sz w:val="22"/>
          <w:rtl/>
        </w:rPr>
        <w:t>ויסמן-התיישנות</w:t>
      </w:r>
      <w:r w:rsidRPr="002A21C1">
        <w:rPr>
          <w:rFonts w:ascii="Century" w:hAnsi="Century" w:cs="FrankRuehl" w:hint="cs"/>
          <w:spacing w:val="10"/>
          <w:sz w:val="22"/>
          <w:szCs w:val="28"/>
          <w:rtl/>
        </w:rPr>
        <w:t xml:space="preserve">, עמ' 14-13; ישראל גלעד "התיישנות במקרקעין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קווים לרפורמה" </w:t>
      </w:r>
      <w:r w:rsidRPr="002A21C1">
        <w:rPr>
          <w:rFonts w:ascii="Century" w:hAnsi="Century" w:cs="Miriam" w:hint="cs"/>
          <w:b/>
          <w:sz w:val="22"/>
          <w:rtl/>
        </w:rPr>
        <w:t>משפטים</w:t>
      </w:r>
      <w:r w:rsidRPr="002A21C1">
        <w:rPr>
          <w:rFonts w:ascii="Century" w:hAnsi="Century" w:cs="FrankRuehl" w:hint="cs"/>
          <w:spacing w:val="10"/>
          <w:sz w:val="22"/>
          <w:szCs w:val="28"/>
          <w:rtl/>
        </w:rPr>
        <w:t xml:space="preserve"> יח 177 (1988) (להלן: </w:t>
      </w:r>
      <w:r w:rsidRPr="002A21C1">
        <w:rPr>
          <w:rFonts w:ascii="Century" w:hAnsi="Century" w:cs="Miriam" w:hint="cs"/>
          <w:b/>
          <w:sz w:val="22"/>
          <w:rtl/>
        </w:rPr>
        <w:t>גלעד</w:t>
      </w:r>
      <w:r w:rsidRPr="002A21C1">
        <w:rPr>
          <w:rFonts w:ascii="Century" w:hAnsi="Century" w:cs="FrankRuehl" w:hint="cs"/>
          <w:spacing w:val="10"/>
          <w:sz w:val="22"/>
          <w:szCs w:val="28"/>
          <w:rtl/>
        </w:rPr>
        <w:t xml:space="preserve">)).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ביקורת זו הגיונה עמה, אך ברי כי אין היא גורעת מתחולתו של סעיף 113(ב) במקרה שלפנינו, וזאת בשל מספר סיבות. ראשית, כפי שהוסבר לעיל, לא דומות קרקעות שהוקנו באופן </w:t>
      </w:r>
      <w:r w:rsidRPr="002A21C1">
        <w:rPr>
          <w:rFonts w:ascii="Century" w:hAnsi="Century" w:cs="Miriam" w:hint="cs"/>
          <w:b/>
          <w:sz w:val="22"/>
          <w:rtl/>
        </w:rPr>
        <w:t>אוטומטי</w:t>
      </w:r>
      <w:r w:rsidRPr="002A21C1">
        <w:rPr>
          <w:rFonts w:ascii="Century" w:hAnsi="Century" w:cs="FrankRuehl" w:hint="cs"/>
          <w:spacing w:val="10"/>
          <w:sz w:val="22"/>
          <w:szCs w:val="28"/>
          <w:rtl/>
        </w:rPr>
        <w:t xml:space="preserve"> לאפוטרופוס הכללי מכוח חוק הסדרי משפט וממשל, מבלי שהאפוטרופוס ידע מאומה על פרטיהן, לקרקעות הנמצאות בבעלות רשות השידור ודומותיה. לכן, אף אם הייתי נכון להניח, ול</w:t>
      </w:r>
      <w:r w:rsidRPr="002A21C1">
        <w:rPr>
          <w:rFonts w:ascii="FrankRuehl" w:hAnsi="FrankRuehl" w:cs="FrankRuehl"/>
          <w:spacing w:val="10"/>
          <w:sz w:val="22"/>
          <w:szCs w:val="28"/>
          <w:rtl/>
        </w:rPr>
        <w:t>וּ</w:t>
      </w:r>
      <w:r w:rsidRPr="002A21C1">
        <w:rPr>
          <w:rFonts w:ascii="Century" w:hAnsi="Century" w:cs="FrankRuehl" w:hint="cs"/>
          <w:spacing w:val="10"/>
          <w:sz w:val="22"/>
          <w:szCs w:val="28"/>
          <w:rtl/>
        </w:rPr>
        <w:t xml:space="preserve"> לצורך הדיון, כי עשויים להיות תאגידים מכוח חוק שאינם מתאימים לחסות בצלו של סעיף 113(ב) לחוק (ואיני קובע כך), ברי כי האפוטרופוס הכללי בהקשר דנן אינו נמנה עליהם, שכן הוא משקף מקרה </w:t>
      </w:r>
      <w:r w:rsidRPr="002A21C1">
        <w:rPr>
          <w:rFonts w:ascii="Century" w:hAnsi="Century" w:cs="Miriam" w:hint="cs"/>
          <w:b/>
          <w:sz w:val="22"/>
          <w:rtl/>
        </w:rPr>
        <w:t>מובהק</w:t>
      </w:r>
      <w:r w:rsidRPr="002A21C1">
        <w:rPr>
          <w:rFonts w:ascii="Century" w:hAnsi="Century" w:cs="FrankRuehl" w:hint="cs"/>
          <w:spacing w:val="10"/>
          <w:sz w:val="22"/>
          <w:szCs w:val="28"/>
          <w:rtl/>
        </w:rPr>
        <w:t xml:space="preserve"> שבו החלת הסעיף מגשימה היטב את תכליתו. </w:t>
      </w:r>
      <w:r w:rsidRPr="002A21C1">
        <w:rPr>
          <w:rFonts w:ascii="Century" w:hAnsi="Century" w:cs="FrankRuehl"/>
          <w:spacing w:val="10"/>
          <w:sz w:val="22"/>
          <w:szCs w:val="28"/>
          <w:rtl/>
        </w:rPr>
        <w:t xml:space="preserve">דומה כי זו גם גישתו של </w:t>
      </w:r>
      <w:r w:rsidRPr="002A21C1">
        <w:rPr>
          <w:rFonts w:ascii="Century" w:hAnsi="Century" w:cs="Miriam"/>
          <w:b/>
          <w:sz w:val="22"/>
          <w:rtl/>
        </w:rPr>
        <w:t>גלעד</w:t>
      </w:r>
      <w:r w:rsidRPr="002A21C1">
        <w:rPr>
          <w:rFonts w:ascii="Century" w:hAnsi="Century" w:cs="FrankRuehl"/>
          <w:spacing w:val="10"/>
          <w:sz w:val="22"/>
          <w:szCs w:val="28"/>
          <w:rtl/>
        </w:rPr>
        <w:t>:</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ind w:left="1644" w:right="1276"/>
        <w:jc w:val="both"/>
        <w:rPr>
          <w:rFonts w:ascii="Century" w:hAnsi="Century" w:cs="FrankRuehl"/>
          <w:spacing w:val="10"/>
          <w:sz w:val="22"/>
          <w:szCs w:val="28"/>
          <w:rtl/>
        </w:rPr>
      </w:pPr>
      <w:r w:rsidRPr="002A21C1">
        <w:rPr>
          <w:rFonts w:ascii="Arial TUR" w:hAnsi="Arial TUR" w:cs="FrankRuehl"/>
          <w:spacing w:val="10"/>
          <w:sz w:val="22"/>
          <w:szCs w:val="28"/>
          <w:rtl/>
        </w:rPr>
        <w:t>"באשר לרשות הפיתוח, לתאגידים סטטוטוריים אחרים המפעילים סמכויות של השלטון המרכזי ולקרן הקיימת לישראל, נראה לנו שההרחבה מובנת מאליה: אלה הם זרועות של המדינה שיש להתייחס אליהן, לצורך ההתיישנות, כאילו היו המדינה למרות אישיותן המשפטית הנפרדת</w:t>
      </w:r>
      <w:r w:rsidRPr="002A21C1">
        <w:rPr>
          <w:rFonts w:ascii="Century" w:hAnsi="Century" w:cs="FrankRuehl"/>
          <w:spacing w:val="10"/>
          <w:sz w:val="22"/>
          <w:szCs w:val="28"/>
          <w:rtl/>
        </w:rPr>
        <w:t>" (שם, עמ' 230).</w:t>
      </w:r>
    </w:p>
    <w:p w:rsidR="009562DC" w:rsidRPr="002A21C1" w:rsidRDefault="009562DC" w:rsidP="009562DC">
      <w:pPr>
        <w:ind w:left="1644" w:right="1276"/>
        <w:jc w:val="both"/>
        <w:rPr>
          <w:rFonts w:ascii="Century" w:hAnsi="Century" w:cs="FrankRuehl"/>
          <w:spacing w:val="10"/>
          <w:sz w:val="22"/>
          <w:szCs w:val="28"/>
          <w:rtl/>
        </w:rPr>
      </w:pPr>
    </w:p>
    <w:p w:rsidR="009562DC" w:rsidRPr="002A21C1" w:rsidRDefault="009562DC" w:rsidP="009562DC">
      <w:pPr>
        <w:ind w:left="1644" w:right="1276"/>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t>מבין שלל התאגידים שהוקמו מכוח חיקוק, ספק אם יש תאגיד שהחלת סעיף 113(ב) לגביו מגשימה בצורה טובה יותר את תכליתו של הסעיף כדוגמת האפוטרופוס הכללי בהקשר דנן. ממילא, קשה להלום פרשנות שתשלול את תחולתו של סעיף 113(ב) דווקא לגביו, מה שעלול להביא לריקונו של הסעיף מתוכן ממשי.</w:t>
      </w:r>
    </w:p>
    <w:p w:rsidR="009562DC" w:rsidRPr="002A21C1" w:rsidRDefault="009562DC" w:rsidP="009562DC">
      <w:pPr>
        <w:tabs>
          <w:tab w:val="left" w:pos="800"/>
        </w:tabs>
        <w:spacing w:line="360" w:lineRule="auto"/>
        <w:jc w:val="both"/>
        <w:rPr>
          <w:rFonts w:ascii="Century" w:hAnsi="Century" w:cs="FrankRuehl"/>
          <w:color w:val="FF0000"/>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10.</w:t>
      </w: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זאת ועוד. אף פרופ' ויסמן, שביקורתו על הסעיף הובאה לעיל, מכיר בכך שההסדר שנקבע בסופו של דבר בחוק המקרקעין, </w:t>
      </w:r>
      <w:r w:rsidRPr="002A21C1">
        <w:rPr>
          <w:rFonts w:ascii="Century" w:hAnsi="Century" w:cs="Miriam" w:hint="cs"/>
          <w:b/>
          <w:sz w:val="22"/>
          <w:rtl/>
        </w:rPr>
        <w:t>שולל</w:t>
      </w:r>
      <w:r w:rsidRPr="002A21C1">
        <w:rPr>
          <w:rFonts w:ascii="Century" w:hAnsi="Century" w:cs="FrankRuehl" w:hint="cs"/>
          <w:spacing w:val="10"/>
          <w:sz w:val="22"/>
          <w:szCs w:val="28"/>
          <w:rtl/>
        </w:rPr>
        <w:t xml:space="preserve"> התיישנות במקרקעי ציבור בטרם נרשמו על שם בעליהם, וזאת "</w:t>
      </w:r>
      <w:r w:rsidRPr="002A21C1">
        <w:rPr>
          <w:rFonts w:ascii="Century" w:hAnsi="Century" w:cs="Miriam" w:hint="cs"/>
          <w:b/>
          <w:sz w:val="22"/>
          <w:rtl/>
        </w:rPr>
        <w:t>אפילו ידעו הבעלים, למעשה, כי נתרחשו העובדות המשמשות יסוד להתיישנות, או שהיה בידיהם לדעת על כך אילו נהגו בזהירות סבירה</w:t>
      </w:r>
      <w:r w:rsidRPr="002A21C1">
        <w:rPr>
          <w:rFonts w:ascii="Century" w:hAnsi="Century" w:cs="FrankRuehl" w:hint="cs"/>
          <w:spacing w:val="10"/>
          <w:sz w:val="22"/>
          <w:szCs w:val="28"/>
          <w:rtl/>
        </w:rPr>
        <w:t>" (</w:t>
      </w:r>
      <w:r w:rsidRPr="002A21C1">
        <w:rPr>
          <w:rFonts w:ascii="Century" w:hAnsi="Century" w:cs="Miriam" w:hint="cs"/>
          <w:b/>
          <w:sz w:val="22"/>
          <w:rtl/>
        </w:rPr>
        <w:t>ויסמן-קניין</w:t>
      </w:r>
      <w:r w:rsidRPr="002A21C1">
        <w:rPr>
          <w:rFonts w:ascii="Century" w:hAnsi="Century" w:cs="FrankRuehl" w:hint="cs"/>
          <w:spacing w:val="10"/>
          <w:sz w:val="22"/>
          <w:szCs w:val="28"/>
          <w:rtl/>
        </w:rPr>
        <w:t>, שם; ההדגשה הוספה). ובדומה:</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hint="cs"/>
          <w:spacing w:val="10"/>
          <w:sz w:val="22"/>
          <w:szCs w:val="28"/>
          <w:rtl/>
        </w:rPr>
        <w:t xml:space="preserve">"החוק קובע כי תקופת ההתיישנות תתחיל רק מעת הרישום, כשהתוצאה היא שאפילו ידע למעשה הבעלים של 'מקרקעין הציבור' על בעלותו, הוא ייהנה מהעובדה שהמקרקעין אינם רשומים על שמו" (יהושע ויסמן </w:t>
      </w:r>
      <w:r w:rsidRPr="002A21C1">
        <w:rPr>
          <w:rFonts w:ascii="Century" w:hAnsi="Century" w:cs="Miriam" w:hint="cs"/>
          <w:b/>
          <w:sz w:val="22"/>
          <w:rtl/>
        </w:rPr>
        <w:t>חוק המקרקעין, תשכ"ט-1969, מגמות והישגים</w:t>
      </w:r>
      <w:r w:rsidRPr="002A21C1">
        <w:rPr>
          <w:rFonts w:ascii="Arial TUR" w:hAnsi="Arial TUR" w:cs="FrankRuehl" w:hint="cs"/>
          <w:spacing w:val="10"/>
          <w:sz w:val="22"/>
          <w:szCs w:val="28"/>
          <w:rtl/>
        </w:rPr>
        <w:t xml:space="preserve"> 34 ה"ש 92 (1970)).</w:t>
      </w: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זאת, על אחת כמה וכמה כאשר הקניית הנכס נעשתה מבלי שהאפוטרופוס הכללי ידע על אודות בעלותו בנכס שהוקנה לו באופן אוטומטי, בדומה לנכסי נפקדים.</w:t>
      </w:r>
    </w:p>
    <w:p w:rsidR="009562DC" w:rsidRPr="002A21C1" w:rsidRDefault="009562DC" w:rsidP="009562DC">
      <w:pPr>
        <w:ind w:left="1644" w:right="1276"/>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ab/>
        <w:t xml:space="preserve">אם לא די בכך, באה ההיסטוריה החקיקתית ומלמדת גם היא בבירור כי בחירתו של המחוקק לכלול תחת "מקרקעי ציבור" מקרקעין של תאגידים שהוקמו לפי חיקוק, ולהחיל עליהם את הוראת ההתיישנות שבסעיף 113(ב) לחוק, נעשתה באופן מודע ובכוונת מכוון. הא-ראיה, שבראשית הדרך, במסגרת </w:t>
      </w:r>
      <w:r w:rsidRPr="002A21C1">
        <w:rPr>
          <w:rFonts w:ascii="Century" w:hAnsi="Century" w:cs="Miriam" w:hint="cs"/>
          <w:b/>
          <w:sz w:val="22"/>
          <w:rtl/>
        </w:rPr>
        <w:t>הצעת חוק המקרקעין</w:t>
      </w:r>
      <w:r w:rsidRPr="002A21C1">
        <w:rPr>
          <w:rFonts w:ascii="Century" w:hAnsi="Century" w:cs="FrankRuehl" w:hint="cs"/>
          <w:spacing w:val="10"/>
          <w:sz w:val="22"/>
          <w:szCs w:val="28"/>
          <w:rtl/>
        </w:rPr>
        <w:t xml:space="preserve">, הגדרת "מקרקעי ישראל" לא כללה מקרקעין של תאגידים שהוקמו לפי חיקוק, ואלה </w:t>
      </w:r>
      <w:r w:rsidRPr="002A21C1">
        <w:rPr>
          <w:rFonts w:ascii="Century" w:hAnsi="Century" w:cs="Miriam" w:hint="cs"/>
          <w:b/>
          <w:sz w:val="22"/>
          <w:rtl/>
        </w:rPr>
        <w:t>נתווספו</w:t>
      </w:r>
      <w:r w:rsidRPr="002A21C1">
        <w:rPr>
          <w:rFonts w:ascii="Century" w:hAnsi="Century" w:cs="FrankRuehl" w:hint="cs"/>
          <w:spacing w:val="10"/>
          <w:sz w:val="22"/>
          <w:szCs w:val="28"/>
          <w:rtl/>
        </w:rPr>
        <w:t xml:space="preserve"> לנוסח הסופי של החוק. הוראת ההתיישנות שנכללה מלכתחילה בהצעת החוק גם כן שונתה, וההסדר שנקבע לבסוף בסעיף 113(ב) צ</w:t>
      </w:r>
      <w:r w:rsidRPr="002A21C1">
        <w:rPr>
          <w:rFonts w:ascii="FrankRuehl" w:hAnsi="FrankRuehl" w:cs="FrankRuehl"/>
          <w:spacing w:val="10"/>
          <w:sz w:val="22"/>
          <w:szCs w:val="28"/>
          <w:rtl/>
        </w:rPr>
        <w:t>ִ</w:t>
      </w:r>
      <w:r w:rsidRPr="002A21C1">
        <w:rPr>
          <w:rFonts w:ascii="Century" w:hAnsi="Century" w:cs="FrankRuehl" w:hint="cs"/>
          <w:spacing w:val="10"/>
          <w:sz w:val="22"/>
          <w:szCs w:val="28"/>
          <w:rtl/>
        </w:rPr>
        <w:t xml:space="preserve">מצם עוד יותר את האפשרות להעלות טענת התיישנות ביחס למקרקעי ציבור (סעיפים 177 ו-180(ב)(2) להצעת חוק המקרקעין, התשכ"ד-1964, ה"ח 612, עמ' 197-196; </w:t>
      </w:r>
      <w:r w:rsidRPr="002A21C1">
        <w:rPr>
          <w:rFonts w:ascii="Century" w:hAnsi="Century" w:cs="Miriam" w:hint="cs"/>
          <w:b/>
          <w:sz w:val="22"/>
          <w:rtl/>
        </w:rPr>
        <w:t>ויסמן-קניין</w:t>
      </w:r>
      <w:r w:rsidRPr="002A21C1">
        <w:rPr>
          <w:rFonts w:ascii="Century" w:hAnsi="Century" w:cs="FrankRuehl" w:hint="cs"/>
          <w:spacing w:val="10"/>
          <w:sz w:val="22"/>
          <w:szCs w:val="28"/>
          <w:rtl/>
        </w:rPr>
        <w:t>, עמ' 268-267). אכן, "תוקפה של ההוראה הנ"ל, התולה את התיישנות ברישום, לא הוגבל לקרקעות המדינה אלא הורחב ל'מקרקעי ציבור'", ובכללם תאגידים סטטוטוריים (</w:t>
      </w:r>
      <w:r w:rsidRPr="002A21C1">
        <w:rPr>
          <w:rFonts w:ascii="Century" w:hAnsi="Century" w:cs="Miriam" w:hint="cs"/>
          <w:b/>
          <w:sz w:val="22"/>
          <w:rtl/>
        </w:rPr>
        <w:t>גלעד</w:t>
      </w:r>
      <w:r w:rsidRPr="002A21C1">
        <w:rPr>
          <w:rFonts w:ascii="Century" w:hAnsi="Century" w:cs="FrankRuehl" w:hint="cs"/>
          <w:spacing w:val="10"/>
          <w:sz w:val="22"/>
          <w:szCs w:val="28"/>
          <w:rtl/>
        </w:rPr>
        <w:t>, עמ' 230).</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11.</w:t>
      </w:r>
      <w:r w:rsidRPr="002A21C1">
        <w:rPr>
          <w:rFonts w:ascii="Century" w:hAnsi="Century" w:cs="FrankRuehl" w:hint="cs"/>
          <w:spacing w:val="10"/>
          <w:sz w:val="22"/>
          <w:szCs w:val="28"/>
          <w:rtl/>
        </w:rPr>
        <w:tab/>
        <w:t>חברתי העלתה תמיהות כבדות משקל לגבי התחולה העקרונית של סעיף 113(ב) על מקרקעין פרטיים שהוקנו לאפוטרופוס. כך, יש ממש בתמיהה מדוע בחוק מקרקעי ציבור (פינוי קרקע), התשמ"א-1981, הגביל המחוקק את תחולת החוק אך ל"</w:t>
      </w:r>
      <w:r w:rsidRPr="002A21C1">
        <w:rPr>
          <w:rFonts w:ascii="Century" w:hAnsi="Century" w:cs="FrankRuehl"/>
          <w:spacing w:val="10"/>
          <w:sz w:val="22"/>
          <w:szCs w:val="28"/>
          <w:rtl/>
        </w:rPr>
        <w:t xml:space="preserve">מקרקעי ישראל כמשמעותם בחוק-יסוד: מקרקעי ישראל, ומקרקעין של רשות מקומית". </w:t>
      </w:r>
      <w:r w:rsidRPr="002A21C1">
        <w:rPr>
          <w:rFonts w:ascii="Century" w:hAnsi="Century" w:cs="FrankRuehl" w:hint="cs"/>
          <w:spacing w:val="10"/>
          <w:sz w:val="22"/>
          <w:szCs w:val="28"/>
          <w:rtl/>
        </w:rPr>
        <w:t xml:space="preserve">כפי שצוין, על לשונו הגורפת של סעיף 113(ב) נמתחה ביקורת מלומדים, ואף והיו שגרסו כי ההסדר שנקבע בסעיף אינו נדרש, הוא </w:t>
      </w:r>
      <w:r w:rsidRPr="002A21C1">
        <w:rPr>
          <w:rFonts w:ascii="Arial TUR" w:hAnsi="Arial TUR" w:cs="FrankRuehl"/>
          <w:spacing w:val="10"/>
          <w:sz w:val="22"/>
          <w:szCs w:val="28"/>
          <w:rtl/>
        </w:rPr>
        <w:t>מפלה לרעה מחזיקים ב</w:t>
      </w:r>
      <w:r w:rsidRPr="002A21C1">
        <w:rPr>
          <w:rFonts w:ascii="Arial TUR" w:hAnsi="Arial TUR" w:cs="FrankRuehl" w:hint="cs"/>
          <w:spacing w:val="10"/>
          <w:sz w:val="22"/>
          <w:szCs w:val="28"/>
          <w:rtl/>
        </w:rPr>
        <w:t>"</w:t>
      </w:r>
      <w:r w:rsidRPr="002A21C1">
        <w:rPr>
          <w:rFonts w:ascii="Arial TUR" w:hAnsi="Arial TUR" w:cs="FrankRuehl"/>
          <w:spacing w:val="10"/>
          <w:sz w:val="22"/>
          <w:szCs w:val="28"/>
          <w:rtl/>
        </w:rPr>
        <w:t xml:space="preserve">מקרקעי ציבור״ </w:t>
      </w:r>
      <w:r w:rsidRPr="002A21C1">
        <w:rPr>
          <w:rFonts w:ascii="Arial TUR" w:hAnsi="Arial TUR" w:cs="FrankRuehl" w:hint="cs"/>
          <w:spacing w:val="10"/>
          <w:sz w:val="22"/>
          <w:szCs w:val="28"/>
          <w:rtl/>
        </w:rPr>
        <w:t>לעומת מחזיקים אחרים ויש לבטלו (</w:t>
      </w:r>
      <w:r w:rsidRPr="002A21C1">
        <w:rPr>
          <w:rFonts w:ascii="Century" w:hAnsi="Century" w:cs="Miriam" w:hint="eastAsia"/>
          <w:b/>
          <w:sz w:val="22"/>
          <w:rtl/>
        </w:rPr>
        <w:t>גלעד</w:t>
      </w:r>
      <w:r w:rsidRPr="002A21C1">
        <w:rPr>
          <w:rFonts w:ascii="Arial TUR" w:hAnsi="Arial TUR" w:cs="FrankRuehl" w:hint="cs"/>
          <w:spacing w:val="10"/>
          <w:sz w:val="22"/>
          <w:szCs w:val="28"/>
          <w:rtl/>
        </w:rPr>
        <w:t xml:space="preserve">, עמ' 235). ברם, </w:t>
      </w:r>
      <w:r w:rsidRPr="002A21C1">
        <w:rPr>
          <w:rFonts w:ascii="Century" w:hAnsi="Century" w:cs="FrankRuehl" w:hint="cs"/>
          <w:spacing w:val="10"/>
          <w:sz w:val="22"/>
          <w:szCs w:val="28"/>
          <w:rtl/>
        </w:rPr>
        <w:t>בשורה התחתונה, המחוקק מצא לנכון לקבוע במפורש כי מקרקעין של תאגיד שהוקם לפי חיקוק הם בבחינת "מקרקעי ציבור", ואף מצא לנכון לקבוע הסדר ספציפי לגבי מועד פתיחת מרוץ ההתיישנות במקרקעין מסוג זה, החורג מההסדר הכללי המעוגן בסעיף 8 לחוק ההתיישנות. זהו הבסיס החוקי לניתוח המשפטי בערעור שלפנינו, ואיני רואה דרך לסטות ממנו.</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12.</w:t>
      </w:r>
      <w:r w:rsidRPr="002A21C1">
        <w:rPr>
          <w:rFonts w:ascii="Century" w:hAnsi="Century" w:cs="FrankRuehl"/>
          <w:spacing w:val="10"/>
          <w:sz w:val="22"/>
          <w:szCs w:val="28"/>
          <w:rtl/>
        </w:rPr>
        <w:tab/>
      </w:r>
      <w:r w:rsidRPr="002A21C1">
        <w:rPr>
          <w:rFonts w:ascii="Century" w:hAnsi="Century" w:cs="FrankRuehl" w:hint="cs"/>
          <w:spacing w:val="10"/>
          <w:sz w:val="22"/>
          <w:szCs w:val="28"/>
          <w:rtl/>
        </w:rPr>
        <w:t>על רקע האמור, השאלה שעומדת להכרעתנו אינה אם ההסדר המעוגן בסעיף 113(ב) לחוק המקרקעין מניח את הדעת אם לאו, או אם ראוי היה לקבוע הסדר אחר תחתיו. השאלה הצריכה לענייננו היא אם יש להחיל את סעיף 113(ב) לחוק על קרקעות שהועברו לאפוטרופוס הכללי מכוח חוק הסדרי משפט ומינהל. כפי שהוסבר לעיל, תשובה חיובית על שאלה זו היא מתבקשת ומתחייבת, הן לנוכח לשונו המפורשת של החוק הן לנוכח תכליתו. זאת, בהיות האפוטרופוס הכללי תאגיד שהוקם לפי חיקוק, ובראי התכלית שסעיף 113(ב) לחוק נועד להגשים. לנוכח האמור, איני יכול להיות שותף לעמדתה של חברתי כי סעיף 113(ב) לחוק אינו חל על נכסים שהוקנו לאפוטרופוס הכללי, והדברים יפים ביתר שאת מקום שבו מדובר בנכסים שהוקנו לאפוטרופוס הכללי מכוח חוק הסדרי משפט ומינהל. עם זאת, כפי שיוסבר להלן, מסקנה זו אינה בהכרח בבחינת סוף הדרך.</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13.</w:t>
      </w:r>
      <w:r w:rsidRPr="002A21C1">
        <w:rPr>
          <w:rFonts w:ascii="Century" w:hAnsi="Century" w:cs="FrankRuehl"/>
          <w:spacing w:val="10"/>
          <w:sz w:val="22"/>
          <w:szCs w:val="28"/>
          <w:rtl/>
        </w:rPr>
        <w:tab/>
      </w:r>
      <w:r w:rsidRPr="002A21C1">
        <w:rPr>
          <w:rFonts w:ascii="Century" w:hAnsi="Century" w:cs="FrankRuehl" w:hint="cs"/>
          <w:spacing w:val="10"/>
          <w:sz w:val="22"/>
          <w:szCs w:val="28"/>
          <w:rtl/>
        </w:rPr>
        <w:t>סעיף 113(ב) סיפא קובע כי בכל הנוגע למקרקעי ציבור (ובכללם מקרקעין שהוקנו לאפוטרופוס הכללי), "</w:t>
      </w:r>
      <w:r w:rsidRPr="002A21C1">
        <w:rPr>
          <w:rFonts w:ascii="Century" w:hAnsi="Century" w:cs="Miriam" w:hint="eastAsia"/>
          <w:b/>
          <w:sz w:val="22"/>
          <w:rtl/>
        </w:rPr>
        <w:t>לא</w:t>
      </w:r>
      <w:r w:rsidRPr="002A21C1">
        <w:rPr>
          <w:rFonts w:ascii="Century" w:hAnsi="Century" w:cs="Miriam"/>
          <w:b/>
          <w:sz w:val="22"/>
          <w:rtl/>
        </w:rPr>
        <w:t xml:space="preserve"> </w:t>
      </w:r>
      <w:r w:rsidRPr="002A21C1">
        <w:rPr>
          <w:rFonts w:ascii="Century" w:hAnsi="Century" w:cs="Miriam" w:hint="eastAsia"/>
          <w:b/>
          <w:sz w:val="22"/>
          <w:rtl/>
        </w:rPr>
        <w:t>תתחיל</w:t>
      </w:r>
      <w:r w:rsidRPr="002A21C1">
        <w:rPr>
          <w:rFonts w:ascii="Century" w:hAnsi="Century" w:cs="Miriam"/>
          <w:b/>
          <w:sz w:val="22"/>
          <w:rtl/>
        </w:rPr>
        <w:t xml:space="preserve"> </w:t>
      </w:r>
      <w:r w:rsidRPr="002A21C1">
        <w:rPr>
          <w:rFonts w:ascii="Century" w:hAnsi="Century" w:cs="Miriam" w:hint="eastAsia"/>
          <w:b/>
          <w:sz w:val="22"/>
          <w:rtl/>
        </w:rPr>
        <w:t>תקופת</w:t>
      </w:r>
      <w:r w:rsidRPr="002A21C1">
        <w:rPr>
          <w:rFonts w:ascii="Century" w:hAnsi="Century" w:cs="Miriam"/>
          <w:b/>
          <w:sz w:val="22"/>
          <w:rtl/>
        </w:rPr>
        <w:t xml:space="preserve"> </w:t>
      </w:r>
      <w:r w:rsidRPr="002A21C1">
        <w:rPr>
          <w:rFonts w:ascii="Century" w:hAnsi="Century" w:cs="Miriam" w:hint="eastAsia"/>
          <w:b/>
          <w:sz w:val="22"/>
          <w:rtl/>
        </w:rPr>
        <w:t>ההתיישנות</w:t>
      </w:r>
      <w:r w:rsidRPr="002A21C1">
        <w:rPr>
          <w:rFonts w:ascii="Century" w:hAnsi="Century" w:cs="FrankRuehl" w:hint="cs"/>
          <w:spacing w:val="10"/>
          <w:sz w:val="22"/>
          <w:szCs w:val="28"/>
          <w:rtl/>
        </w:rPr>
        <w:t xml:space="preserve"> </w:t>
      </w:r>
      <w:r w:rsidRPr="002A21C1">
        <w:rPr>
          <w:rFonts w:ascii="Century" w:hAnsi="Century" w:cs="Miriam" w:hint="eastAsia"/>
          <w:b/>
          <w:sz w:val="22"/>
          <w:rtl/>
        </w:rPr>
        <w:t>לפני</w:t>
      </w:r>
      <w:r w:rsidRPr="002A21C1">
        <w:rPr>
          <w:rFonts w:ascii="Century" w:hAnsi="Century" w:cs="Miriam"/>
          <w:b/>
          <w:sz w:val="22"/>
          <w:rtl/>
        </w:rPr>
        <w:t xml:space="preserve"> </w:t>
      </w:r>
      <w:r w:rsidRPr="002A21C1">
        <w:rPr>
          <w:rFonts w:ascii="Century" w:hAnsi="Century" w:cs="Miriam" w:hint="eastAsia"/>
          <w:b/>
          <w:sz w:val="22"/>
          <w:rtl/>
        </w:rPr>
        <w:t>היום</w:t>
      </w:r>
      <w:r w:rsidRPr="002A21C1">
        <w:rPr>
          <w:rFonts w:ascii="Century" w:hAnsi="Century" w:cs="Miriam"/>
          <w:b/>
          <w:sz w:val="22"/>
          <w:rtl/>
        </w:rPr>
        <w:t xml:space="preserve"> </w:t>
      </w:r>
      <w:r w:rsidRPr="002A21C1">
        <w:rPr>
          <w:rFonts w:ascii="Century" w:hAnsi="Century" w:cs="Miriam" w:hint="eastAsia"/>
          <w:b/>
          <w:sz w:val="22"/>
          <w:rtl/>
        </w:rPr>
        <w:t>שנרשמו</w:t>
      </w:r>
      <w:r w:rsidRPr="002A21C1">
        <w:rPr>
          <w:rFonts w:ascii="Century" w:hAnsi="Century" w:cs="Miriam"/>
          <w:b/>
          <w:sz w:val="22"/>
          <w:rtl/>
        </w:rPr>
        <w:t xml:space="preserve"> </w:t>
      </w:r>
      <w:r w:rsidRPr="002A21C1">
        <w:rPr>
          <w:rFonts w:ascii="Century" w:hAnsi="Century" w:cs="Miriam" w:hint="eastAsia"/>
          <w:b/>
          <w:sz w:val="22"/>
          <w:rtl/>
        </w:rPr>
        <w:t>על</w:t>
      </w:r>
      <w:r w:rsidRPr="002A21C1">
        <w:rPr>
          <w:rFonts w:ascii="Century" w:hAnsi="Century" w:cs="Miriam"/>
          <w:b/>
          <w:sz w:val="22"/>
          <w:rtl/>
        </w:rPr>
        <w:t xml:space="preserve"> </w:t>
      </w:r>
      <w:r w:rsidRPr="002A21C1">
        <w:rPr>
          <w:rFonts w:ascii="Century" w:hAnsi="Century" w:cs="Miriam" w:hint="eastAsia"/>
          <w:b/>
          <w:sz w:val="22"/>
          <w:rtl/>
        </w:rPr>
        <w:t>שם</w:t>
      </w:r>
      <w:r w:rsidRPr="002A21C1">
        <w:rPr>
          <w:rFonts w:ascii="Century" w:hAnsi="Century" w:cs="Miriam"/>
          <w:b/>
          <w:sz w:val="22"/>
          <w:rtl/>
        </w:rPr>
        <w:t xml:space="preserve"> </w:t>
      </w:r>
      <w:r w:rsidRPr="002A21C1">
        <w:rPr>
          <w:rFonts w:ascii="Century" w:hAnsi="Century" w:cs="Miriam" w:hint="eastAsia"/>
          <w:b/>
          <w:sz w:val="22"/>
          <w:rtl/>
        </w:rPr>
        <w:t>בעליהם</w:t>
      </w:r>
      <w:r w:rsidRPr="002A21C1">
        <w:rPr>
          <w:rFonts w:ascii="Century" w:hAnsi="Century" w:cs="FrankRuehl" w:hint="cs"/>
          <w:spacing w:val="10"/>
          <w:sz w:val="22"/>
          <w:szCs w:val="28"/>
          <w:rtl/>
        </w:rPr>
        <w:t xml:space="preserve">". עיון מדוקדק בלשון הסעיף מעלה </w:t>
      </w:r>
      <w:r w:rsidRPr="002A21C1">
        <w:rPr>
          <w:rFonts w:ascii="Century" w:hAnsi="Century" w:cs="FrankRuehl" w:hint="eastAsia"/>
          <w:spacing w:val="10"/>
          <w:sz w:val="22"/>
          <w:szCs w:val="28"/>
          <w:rtl/>
        </w:rPr>
        <w:t>שתי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תובנות</w:t>
      </w:r>
      <w:r w:rsidRPr="002A21C1">
        <w:rPr>
          <w:rFonts w:ascii="Century" w:hAnsi="Century" w:cs="FrankRuehl" w:hint="cs"/>
          <w:spacing w:val="10"/>
          <w:sz w:val="22"/>
          <w:szCs w:val="28"/>
          <w:rtl/>
        </w:rPr>
        <w:t xml:space="preserve">: ראשית, הוראת הסעיף הדוחה את פתיחת מירוץ ההתיישנות, עוסקת במצב שבו המקרקעין </w:t>
      </w:r>
      <w:r w:rsidRPr="002A21C1">
        <w:rPr>
          <w:rFonts w:ascii="Century" w:hAnsi="Century" w:cs="Miriam" w:hint="eastAsia"/>
          <w:b/>
          <w:sz w:val="22"/>
          <w:rtl/>
        </w:rPr>
        <w:t>טרם</w:t>
      </w:r>
      <w:r w:rsidRPr="002A21C1">
        <w:rPr>
          <w:rFonts w:ascii="Century" w:hAnsi="Century" w:cs="Miriam"/>
          <w:b/>
          <w:sz w:val="22"/>
          <w:rtl/>
        </w:rPr>
        <w:t xml:space="preserve"> </w:t>
      </w:r>
      <w:r w:rsidRPr="002A21C1">
        <w:rPr>
          <w:rFonts w:ascii="Century" w:hAnsi="Century" w:cs="Miriam" w:hint="eastAsia"/>
          <w:b/>
          <w:sz w:val="22"/>
          <w:rtl/>
        </w:rPr>
        <w:t>נרשמו</w:t>
      </w:r>
      <w:r w:rsidRPr="002A21C1">
        <w:rPr>
          <w:rFonts w:ascii="Century" w:hAnsi="Century" w:cs="Miriam"/>
          <w:b/>
          <w:sz w:val="22"/>
          <w:rtl/>
        </w:rPr>
        <w:t xml:space="preserve"> </w:t>
      </w:r>
      <w:r w:rsidRPr="002A21C1">
        <w:rPr>
          <w:rFonts w:ascii="Century" w:hAnsi="Century" w:cs="FrankRuehl" w:hint="cs"/>
          <w:spacing w:val="10"/>
          <w:sz w:val="22"/>
          <w:szCs w:val="28"/>
          <w:rtl/>
        </w:rPr>
        <w:t xml:space="preserve">על שם בעליהם; </w:t>
      </w:r>
      <w:r w:rsidRPr="002A21C1">
        <w:rPr>
          <w:rFonts w:ascii="Century" w:hAnsi="Century" w:cs="FrankRuehl" w:hint="eastAsia"/>
          <w:spacing w:val="10"/>
          <w:sz w:val="22"/>
          <w:szCs w:val="28"/>
          <w:rtl/>
        </w:rPr>
        <w:t>שנית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הוראת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הסעיף</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מנוסחת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על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דרך</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השלילה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לאמור</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הסעיף</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אינו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קובע</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באופן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פוזיטיבי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מהי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נקודת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הזמן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שבה</w:t>
      </w:r>
      <w:r w:rsidRPr="002A21C1">
        <w:rPr>
          <w:rFonts w:ascii="Century" w:hAnsi="Century" w:cs="FrankRuehl"/>
          <w:spacing w:val="10"/>
          <w:sz w:val="22"/>
          <w:szCs w:val="28"/>
          <w:rtl/>
        </w:rPr>
        <w:t xml:space="preserve"> </w:t>
      </w:r>
      <w:r w:rsidRPr="002A21C1">
        <w:rPr>
          <w:rFonts w:ascii="Century" w:hAnsi="Century" w:cs="Miriam" w:hint="eastAsia"/>
          <w:b/>
          <w:sz w:val="22"/>
          <w:rtl/>
        </w:rPr>
        <w:t>ייפתח</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מירוץ</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ההתיישנות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אלא</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קובע</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נקודת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זמן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שמירוץ</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ההתיישנות</w:t>
      </w:r>
      <w:r w:rsidRPr="002A21C1">
        <w:rPr>
          <w:rFonts w:ascii="Century" w:hAnsi="Century" w:cs="FrankRuehl"/>
          <w:spacing w:val="10"/>
          <w:sz w:val="22"/>
          <w:szCs w:val="28"/>
          <w:rtl/>
        </w:rPr>
        <w:t xml:space="preserve"> </w:t>
      </w:r>
      <w:r w:rsidRPr="002A21C1">
        <w:rPr>
          <w:rFonts w:ascii="Century" w:hAnsi="Century" w:cs="Miriam" w:hint="eastAsia"/>
          <w:b/>
          <w:sz w:val="22"/>
          <w:rtl/>
        </w:rPr>
        <w:t>לא</w:t>
      </w:r>
      <w:r w:rsidRPr="002A21C1">
        <w:rPr>
          <w:rFonts w:ascii="Century" w:hAnsi="Century" w:cs="Miriam"/>
          <w:b/>
          <w:sz w:val="22"/>
          <w:rtl/>
        </w:rPr>
        <w:t xml:space="preserve"> </w:t>
      </w:r>
      <w:r w:rsidRPr="002A21C1">
        <w:rPr>
          <w:rFonts w:ascii="Century" w:hAnsi="Century" w:cs="Miriam" w:hint="eastAsia"/>
          <w:b/>
          <w:sz w:val="22"/>
          <w:rtl/>
        </w:rPr>
        <w:t>ייפתח</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לפניה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הבחנות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אלה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אינן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בהכרח</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נטולות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משמעות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לענייננו</w:t>
      </w:r>
      <w:r w:rsidRPr="002A21C1">
        <w:rPr>
          <w:rFonts w:ascii="Century" w:hAnsi="Century" w:cs="FrankRuehl"/>
          <w:spacing w:val="10"/>
          <w:sz w:val="22"/>
          <w:szCs w:val="28"/>
          <w:rtl/>
        </w:rPr>
        <w:t>.</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ab/>
        <w:t xml:space="preserve">בהקשר דנן </w:t>
      </w:r>
      <w:r w:rsidRPr="002A21C1">
        <w:rPr>
          <w:rFonts w:ascii="Century" w:hAnsi="Century" w:cs="FrankRuehl" w:hint="eastAsia"/>
          <w:spacing w:val="10"/>
          <w:sz w:val="22"/>
          <w:szCs w:val="28"/>
          <w:rtl/>
        </w:rPr>
        <w:t>של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מקרקעין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שהוקנו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לידי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האפוטרופוס</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הכללי</w:t>
      </w:r>
      <w:r w:rsidRPr="002A21C1">
        <w:rPr>
          <w:rFonts w:ascii="Century" w:hAnsi="Century" w:cs="FrankRuehl" w:hint="cs"/>
          <w:spacing w:val="10"/>
          <w:sz w:val="22"/>
          <w:szCs w:val="28"/>
          <w:rtl/>
        </w:rPr>
        <w:t>, ניתן לחשוב על שלושה סוגי מקרים שעשויים לעורר שאלות בדבר תחולתו של סעיף 113(ב) לחוק ומועד פתיחת מירוץ ההתיישנות.</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א. סוג המקרים הראשון הוא כאשר מדובר במקרקעין השייכים לאחת מרשויות המדינה או עתידים להפוך לקניין המדינה (כגון מכוח סעיף 15(ג) לחוק האפוטרופוס הכללי), אך </w:t>
      </w:r>
      <w:r w:rsidRPr="002A21C1">
        <w:rPr>
          <w:rFonts w:ascii="Century" w:hAnsi="Century" w:cs="FrankRuehl" w:hint="eastAsia"/>
          <w:spacing w:val="10"/>
          <w:sz w:val="22"/>
          <w:szCs w:val="28"/>
          <w:rtl/>
        </w:rPr>
        <w:t>טרם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נרשמו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על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שמה</w:t>
      </w:r>
      <w:r w:rsidRPr="002A21C1">
        <w:rPr>
          <w:rFonts w:ascii="Century" w:hAnsi="Century" w:cs="FrankRuehl" w:hint="cs"/>
          <w:spacing w:val="10"/>
          <w:sz w:val="22"/>
          <w:szCs w:val="28"/>
          <w:rtl/>
        </w:rPr>
        <w:t>. במצב שכזה, כל עוד מוקנים המקרקעין לאפוטרופוס הכללי הריהם בגדר "מקרקעי ציבור", ולפי הוראת סעיף 113(ב) לחוק, מירוץ ההתיישנות יידחה ליום שבו יירשמו המקרקעין על שם הרשות. זהו מקרה טיפוסי שבו יחול סעיף 113(ב) לחוק. [סוג מקרים זה אינו רלוונטי לערעור דנן, שכן איננו עוסקים במקרקעי ציבור שעתידים להירשם על שם המדינה, אלא במקרקעין פרטיים ששוחררו בחזרה לידי בעליהם].</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ב. סוג המקרים השני הוא כאשר מדובר במקרקעין בבעלות פרטית שהוקנו לאפוטרופוס הכללי, והמקרקעין עתידים לחזור לבעליהם הפרטיים, אך הרישום בפנקסי המקרקעין </w:t>
      </w:r>
      <w:r w:rsidRPr="002A21C1">
        <w:rPr>
          <w:rFonts w:ascii="Century" w:hAnsi="Century" w:cs="Miriam" w:hint="eastAsia"/>
          <w:b/>
          <w:sz w:val="22"/>
          <w:rtl/>
        </w:rPr>
        <w:t>אינו</w:t>
      </w:r>
      <w:r w:rsidRPr="002A21C1">
        <w:rPr>
          <w:rFonts w:ascii="Century" w:hAnsi="Century" w:cs="Miriam"/>
          <w:b/>
          <w:sz w:val="22"/>
          <w:rtl/>
        </w:rPr>
        <w:t xml:space="preserve"> </w:t>
      </w:r>
      <w:r w:rsidRPr="002A21C1">
        <w:rPr>
          <w:rFonts w:ascii="Century" w:hAnsi="Century" w:cs="Miriam" w:hint="eastAsia"/>
          <w:b/>
          <w:sz w:val="22"/>
          <w:rtl/>
        </w:rPr>
        <w:t>משקף</w:t>
      </w:r>
      <w:r w:rsidRPr="002A21C1">
        <w:rPr>
          <w:rFonts w:ascii="Century" w:hAnsi="Century" w:cs="FrankRuehl" w:hint="cs"/>
          <w:spacing w:val="10"/>
          <w:sz w:val="22"/>
          <w:szCs w:val="28"/>
          <w:rtl/>
        </w:rPr>
        <w:t xml:space="preserve"> את מצב הזכויות האמיתי, כך שהמקרקעין אינם רשומים על שם בעליהם. לדוגמה, הנכס רשום על שם ראובן, ובהמשך עולה בידי שמעון להוכיח בפני האפוטרופוס הכללי כי הוא בעל הזכויות בנכס וכי הוא רשאי לקבלו לידיו, הגם שאינו רשום בפנקס הזכויות כבעלים של הנכס. בהמשך לכך, האפוטרופוס משחרר לידי שמעון את המקרקעין מכוח סמכותו לפי סעיף 15(א) לחוק האפוטרופוס הכללי.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במצב שכזה, ניתן היה לטעון כי יש לדחות את מירוץ ההתיישנות עד למועד שבו יירשמו המקרקעין על שם שמעון-הבעלים, בהתאם להוראת סעיף 113(ב) לחוק, שאינה מבחינה בין מקרקעין שטרם נרשמו על שם המדינה למקרקעין שטרם נרשמו על שם אדם פרטי. לטעמי, טענה שכזו בטעות יסודה. משעה ששוחררו המקרקעין מהאפוטרופוס הכללי לידי בעליהם הפרטיים, אזי הם חדלו מלהיות בסטטוס של "מקרקעי ציבור", ובכך הוצאו מתחולתו של סעיף 113(ב) לחוק. לפיכך, בהעדר מניעה אחרת, מירוץ ההתיישנות ייפתח מהמועד שבו שוחררו המקרקעין לידי הבעלים הפרטי. תוצאה זו מתיישבת אף עם הגיונם של דברים, שהרי קשה להלום כי הבעלים הפרטי של מקרקעין ששוחררו לידיו, יהיה חסין מפני טענת התיישנות עד לרישום המקרקעין על שמו, אך בשל העובדה שהמקרקעין הוקנו בעבר לאפוטרופוס הכללי.</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ג. סוג המקרים השלישי הוא כאשר הוקנו לאפוטרופוס הכללי מקרקעין שהיו בבעלות פרטית, והרישום בפנקסי המקרקעין </w:t>
      </w:r>
      <w:r w:rsidRPr="002A21C1">
        <w:rPr>
          <w:rFonts w:ascii="Century" w:hAnsi="Century" w:cs="Miriam" w:hint="eastAsia"/>
          <w:b/>
          <w:sz w:val="22"/>
          <w:rtl/>
        </w:rPr>
        <w:t>משקף</w:t>
      </w:r>
      <w:r w:rsidRPr="002A21C1">
        <w:rPr>
          <w:rFonts w:ascii="Century" w:hAnsi="Century" w:cs="FrankRuehl" w:hint="cs"/>
          <w:spacing w:val="10"/>
          <w:sz w:val="22"/>
          <w:szCs w:val="28"/>
          <w:rtl/>
        </w:rPr>
        <w:t xml:space="preserve"> את מצב הזכויות בפועל, דהיינו המקרקעין רשומים על שם בעליהם. בהמשך, עולה בידי הבעלים הרשום להוכיח בפני האפוטרופוס הכללי כי הוא רשאי לקבל את הנכס לידיו, והאפוטרופוס משחרר לידיו את המקרקעין מכוח סמכותו לפי סעיף 15(א) לחוק האפוטרופוס הכללי. במצב שכזה, ברי כי אין בהוראת סעיף 113(ב) כדי </w:t>
      </w:r>
      <w:r w:rsidRPr="002A21C1">
        <w:rPr>
          <w:rFonts w:ascii="Century" w:hAnsi="Century" w:cs="Miriam" w:hint="cs"/>
          <w:b/>
          <w:sz w:val="22"/>
          <w:rtl/>
        </w:rPr>
        <w:t>לדחות</w:t>
      </w:r>
      <w:r w:rsidRPr="002A21C1">
        <w:rPr>
          <w:rFonts w:ascii="Century" w:hAnsi="Century" w:cs="FrankRuehl" w:hint="cs"/>
          <w:spacing w:val="10"/>
          <w:sz w:val="22"/>
          <w:szCs w:val="28"/>
          <w:rtl/>
        </w:rPr>
        <w:t xml:space="preserve"> את מירוץ ההתיישנות, שהרי הקרקע כבר רשומה על שם הבעלים.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מתי אפוא </w:t>
      </w:r>
      <w:r w:rsidRPr="002A21C1">
        <w:rPr>
          <w:rFonts w:ascii="Century" w:hAnsi="Century" w:cs="Miriam" w:hint="cs"/>
          <w:b/>
          <w:sz w:val="22"/>
          <w:rtl/>
        </w:rPr>
        <w:t>ייפתח</w:t>
      </w:r>
      <w:r w:rsidRPr="002A21C1">
        <w:rPr>
          <w:rFonts w:ascii="Century" w:hAnsi="Century" w:cs="FrankRuehl" w:hint="cs"/>
          <w:spacing w:val="10"/>
          <w:sz w:val="22"/>
          <w:szCs w:val="28"/>
          <w:rtl/>
        </w:rPr>
        <w:t xml:space="preserve"> מירוץ ההתיישנות בסוג מקרים זה? תשובה אפשרית אחת היא כי אין למנות בתקופת ההתיישנות את התקופה שבמהלכה הוקנו המקרקעין לאפוטרופוס הכללי, כך שמירוץ ההתיישנות ייפתח עם שחרור המקרקעין לידי הבעלים, שאז חדלו המקרקעין מלהיות "מקרקעי ציבור" (בדומה לסוג המקרים השני המוזכר לעיל). דומה כי זו עמדתה של חברתי, המציינת כי "אם המקרקעין הם אכן מקרקעי ציבור, כפי שקבע בית משפט השלום, מרוץ ההתיישנות יחל רק מן המועד שבו שוחררו המקרקעין לידי המשיבים" (פסקה 49 לחוות דעתה). תשובה אפשרית נוספת היא כי מקום שבו המקרקעין היו רשומים כל העת על שם הבעלים, אזי ממילא סעיף 113(ב) לחוק לא מעלה ולא מוריד, ועלינו לתור אחר התשובה בדין ההתיישנות הכללי, על כלליו וחריגיו.</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כשלעצמי, נוטה דעתי לאפשרות השניה. קרי, מקום שבו המקרקעין שהוקנו לאפוטרופוס הכללי היו רשומים כל העת על שם הבעלים הפרטי ושוחררו לידיו בחזרה, סעיף 113(ב) נעדר נפקות, ומשכך יש לקבוע את מועד פתיחת מירוץ ההתיישנות על פי הוראות חוק ההתיישנות. במילים אחרות, כל עוד הוקנו המקרקעין לאפוטרופוס הכללי והיו בסטטוס של "מקרקעי ציבור", מירוץ ההתיישנות אכן </w:t>
      </w:r>
      <w:r w:rsidRPr="002A21C1">
        <w:rPr>
          <w:rFonts w:ascii="Century" w:hAnsi="Century" w:cs="Miriam" w:hint="cs"/>
          <w:b/>
          <w:sz w:val="22"/>
          <w:rtl/>
        </w:rPr>
        <w:t>לא נפתח</w:t>
      </w:r>
      <w:r w:rsidRPr="002A21C1">
        <w:rPr>
          <w:rFonts w:ascii="Century" w:hAnsi="Century" w:cs="FrankRuehl" w:hint="cs"/>
          <w:spacing w:val="10"/>
          <w:sz w:val="22"/>
          <w:szCs w:val="28"/>
          <w:rtl/>
        </w:rPr>
        <w:t xml:space="preserve"> לפני המועד שבו נרשמו המקרקעין על שם הבעלים, כהוראת סעיף 113(ב) לחוק (שהרי המקרקעין היו ונותרו רשומים על שם הבעלים כל העת). לעומת זאת, לצורך השאלה מתי </w:t>
      </w:r>
      <w:r w:rsidRPr="002A21C1">
        <w:rPr>
          <w:rFonts w:ascii="Century" w:hAnsi="Century" w:cs="Miriam" w:hint="cs"/>
          <w:b/>
          <w:sz w:val="22"/>
          <w:rtl/>
        </w:rPr>
        <w:t>ייפתח</w:t>
      </w:r>
      <w:r w:rsidRPr="002A21C1">
        <w:rPr>
          <w:rFonts w:ascii="Century" w:hAnsi="Century" w:cs="FrankRuehl" w:hint="cs"/>
          <w:spacing w:val="10"/>
          <w:sz w:val="22"/>
          <w:szCs w:val="28"/>
          <w:rtl/>
        </w:rPr>
        <w:t xml:space="preserve"> מירוץ ההתיישנות, יש לפנות אל הוראות הדין הכללי.</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ודוק: תנאי לפתיחת מירוץ ההתיישנות הוא קיומו של כוח תביעה בידי התובע, שהרי "כל עוד לא קם ליריב הכוח להגיש נגד המחזיק תובענה בגין החזקתו, לא נפתח מירוץ ההתיישנות" (</w:t>
      </w:r>
      <w:r w:rsidRPr="002A21C1">
        <w:rPr>
          <w:rFonts w:ascii="Century" w:hAnsi="Century" w:cs="Miriam" w:hint="cs"/>
          <w:b/>
          <w:sz w:val="22"/>
          <w:rtl/>
        </w:rPr>
        <w:t>גלעד</w:t>
      </w:r>
      <w:r w:rsidRPr="002A21C1">
        <w:rPr>
          <w:rFonts w:ascii="Century" w:hAnsi="Century" w:cs="FrankRuehl" w:hint="cs"/>
          <w:spacing w:val="10"/>
          <w:sz w:val="22"/>
          <w:szCs w:val="28"/>
          <w:rtl/>
        </w:rPr>
        <w:t xml:space="preserve">, עמ' 209; </w:t>
      </w:r>
      <w:r w:rsidRPr="002A21C1">
        <w:rPr>
          <w:rFonts w:ascii="Arial TUR" w:hAnsi="Arial TUR" w:cs="FrankRuehl" w:hint="cs"/>
          <w:spacing w:val="10"/>
          <w:sz w:val="22"/>
          <w:szCs w:val="28"/>
          <w:rtl/>
        </w:rPr>
        <w:t xml:space="preserve">רע"א 901/07 </w:t>
      </w:r>
      <w:r w:rsidRPr="002A21C1">
        <w:rPr>
          <w:rFonts w:ascii="Century" w:hAnsi="Century" w:cs="Miriam" w:hint="cs"/>
          <w:b/>
          <w:sz w:val="22"/>
          <w:rtl/>
        </w:rPr>
        <w:t xml:space="preserve">גיא-ליפל נ' מדינת ישראל </w:t>
      </w:r>
      <w:r w:rsidRPr="002A21C1">
        <w:rPr>
          <w:rFonts w:ascii="Century" w:hAnsi="Century" w:cs="Miriam"/>
          <w:b/>
          <w:sz w:val="22"/>
          <w:rtl/>
        </w:rPr>
        <w:t>–</w:t>
      </w:r>
      <w:r w:rsidRPr="002A21C1">
        <w:rPr>
          <w:rFonts w:ascii="Century" w:hAnsi="Century" w:cs="Miriam" w:hint="cs"/>
          <w:b/>
          <w:sz w:val="22"/>
          <w:rtl/>
        </w:rPr>
        <w:t xml:space="preserve"> הוועדה לאנרגיה אטומית</w:t>
      </w:r>
      <w:r w:rsidRPr="002A21C1">
        <w:rPr>
          <w:rFonts w:ascii="Century" w:hAnsi="Century" w:cs="FrankRuehl" w:hint="cs"/>
          <w:spacing w:val="10"/>
          <w:sz w:val="22"/>
          <w:szCs w:val="28"/>
          <w:rtl/>
        </w:rPr>
        <w:t>, פסקה 39 והאסמכתאות שם</w:t>
      </w:r>
      <w:r w:rsidRPr="002A21C1">
        <w:rPr>
          <w:rFonts w:ascii="Arial TUR" w:hAnsi="Arial TUR" w:cs="FrankRuehl" w:hint="cs"/>
          <w:spacing w:val="10"/>
          <w:sz w:val="22"/>
          <w:szCs w:val="28"/>
          <w:rtl/>
        </w:rPr>
        <w:t xml:space="preserve"> (19.9.2010) (להלן: עניין </w:t>
      </w:r>
      <w:r w:rsidRPr="002A21C1">
        <w:rPr>
          <w:rFonts w:ascii="Century" w:hAnsi="Century" w:cs="Miriam" w:hint="cs"/>
          <w:b/>
          <w:sz w:val="22"/>
          <w:rtl/>
        </w:rPr>
        <w:t>גיא-ליפל</w:t>
      </w:r>
      <w:r w:rsidRPr="002A21C1">
        <w:rPr>
          <w:rFonts w:ascii="Arial TUR" w:hAnsi="Arial TUR" w:cs="FrankRuehl" w:hint="cs"/>
          <w:spacing w:val="10"/>
          <w:sz w:val="22"/>
          <w:szCs w:val="28"/>
          <w:rtl/>
        </w:rPr>
        <w:t>)</w:t>
      </w:r>
      <w:r w:rsidRPr="002A21C1">
        <w:rPr>
          <w:rFonts w:ascii="Century" w:hAnsi="Century" w:cs="FrankRuehl" w:hint="cs"/>
          <w:spacing w:val="10"/>
          <w:sz w:val="22"/>
          <w:szCs w:val="28"/>
          <w:rtl/>
        </w:rPr>
        <w:t xml:space="preserve">). באספקלריה זו, סוגיית ההתיישנות במקרים מסוג זה מעוררת שאלה לגבי פרק הזמן שבמהלכו היו המקרקעין הפרטיים בגדר "מקרקעי ציבור". דהיינו, לאורך השנים שבהן הוקנו המקרקעין לאפוטרופוס הכללי, האם אחז הבעלים הרשום בכוח תביעה אל מול המחזיק? אלו כלים משפטיים עמדו לרשותו, אם בכלל, לצורך אכיפת זכויותיו במקרקעין? שאלה זו עשויה להיות שאלה מכרעת לצורך קביעת מועד פתיחת מירוץ ההתיישנות: ככל שלא היה בידי הבעלים כוח תביעה, אזי יש למנות את תקופת ההתיישנות מהמועד שבו שוחררו המקרקעין לידי הבעלים הרשום וחדלו להיות "מקרקעי ציבור"; וככל שהיה בידי הבעלים הרשום כוח תביעה, אזי יש לנתח את הסוגיה לאור יתר הוראות חוק ההתיישנות, ובכללן סעיף 8 לחוק ההתיישנות.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14.</w:t>
      </w:r>
      <w:r w:rsidRPr="002A21C1">
        <w:rPr>
          <w:rFonts w:ascii="Century" w:hAnsi="Century" w:cs="FrankRuehl" w:hint="cs"/>
          <w:spacing w:val="10"/>
          <w:sz w:val="22"/>
          <w:szCs w:val="28"/>
          <w:rtl/>
        </w:rPr>
        <w:tab/>
        <w:t xml:space="preserve">יישום הדברים </w:t>
      </w:r>
      <w:r>
        <w:rPr>
          <w:rFonts w:ascii="Century" w:hAnsi="Century" w:cs="FrankRuehl" w:hint="cs"/>
          <w:spacing w:val="10"/>
          <w:sz w:val="22"/>
          <w:szCs w:val="28"/>
          <w:rtl/>
        </w:rPr>
        <w:t>ע</w:t>
      </w:r>
      <w:r w:rsidRPr="002A21C1">
        <w:rPr>
          <w:rFonts w:ascii="Century" w:hAnsi="Century" w:cs="FrankRuehl" w:hint="cs"/>
          <w:spacing w:val="10"/>
          <w:sz w:val="22"/>
          <w:szCs w:val="28"/>
          <w:rtl/>
        </w:rPr>
        <w:t>ל</w:t>
      </w:r>
      <w:r>
        <w:rPr>
          <w:rFonts w:ascii="Century" w:hAnsi="Century" w:cs="FrankRuehl" w:hint="cs"/>
          <w:spacing w:val="10"/>
          <w:sz w:val="22"/>
          <w:szCs w:val="28"/>
          <w:rtl/>
        </w:rPr>
        <w:t xml:space="preserve"> ה</w:t>
      </w:r>
      <w:r w:rsidRPr="002A21C1">
        <w:rPr>
          <w:rFonts w:ascii="Century" w:hAnsi="Century" w:cs="FrankRuehl" w:hint="cs"/>
          <w:spacing w:val="10"/>
          <w:sz w:val="22"/>
          <w:szCs w:val="28"/>
          <w:rtl/>
        </w:rPr>
        <w:t>מקרה שלפנינו מוביל למסקנה כי התשתית שהונחה במקרה דנן אינה מאפשרת לקבוע תחת איזה סוג מקרים אנו מצויים (סוג המקרים השני או השלישי), ומשכך לא ניתן לקבוע מתי נפתח מירוץ ההתיישנות.</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חברתי השופטת </w:t>
      </w:r>
      <w:r w:rsidRPr="002A21C1">
        <w:rPr>
          <w:rFonts w:ascii="Century" w:hAnsi="Century" w:cs="Miriam" w:hint="eastAsia"/>
          <w:b/>
          <w:sz w:val="22"/>
          <w:rtl/>
        </w:rPr>
        <w:t>ברק</w:t>
      </w:r>
      <w:r w:rsidRPr="002A21C1">
        <w:rPr>
          <w:rFonts w:ascii="Century" w:hAnsi="Century" w:cs="Miriam"/>
          <w:b/>
          <w:sz w:val="22"/>
          <w:rtl/>
        </w:rPr>
        <w:t>-</w:t>
      </w:r>
      <w:r w:rsidRPr="002A21C1">
        <w:rPr>
          <w:rFonts w:ascii="Century" w:hAnsi="Century" w:cs="Miriam" w:hint="eastAsia"/>
          <w:b/>
          <w:sz w:val="22"/>
          <w:rtl/>
        </w:rPr>
        <w:t>ארז</w:t>
      </w:r>
      <w:r w:rsidRPr="002A21C1">
        <w:rPr>
          <w:rFonts w:ascii="Century" w:hAnsi="Century" w:cs="Miriam"/>
          <w:b/>
          <w:sz w:val="22"/>
          <w:rtl/>
        </w:rPr>
        <w:t xml:space="preserve"> </w:t>
      </w:r>
      <w:r w:rsidRPr="002A21C1">
        <w:rPr>
          <w:rFonts w:ascii="Century" w:hAnsi="Century" w:cs="FrankRuehl" w:hint="cs"/>
          <w:spacing w:val="10"/>
          <w:sz w:val="22"/>
          <w:szCs w:val="28"/>
          <w:rtl/>
        </w:rPr>
        <w:t xml:space="preserve">ציינה כי המקרקעין מושא ההליך דנן היו רשומים משנת 1882 על שמו של "מוסטון בן בניסתה", תוך שהיא מוסיפה כי "ככל הנראה" מדובר במשה בנבנישתי, המקדיש, וכי הרישום בפנקס השטרות עמד בעינו לאורך השנים (כאשר בתקופה הירדנית המקרקעין נרשמו בפנקסי מס רכוש על שמו של הממונה הירדני על נכסי האויב). מכך מסיקה חברתי כי אין יסוד לקביעה כי מירוץ ההתיישנות נפתח רק במועד שבו שוחררו המקרקעין לידי המשיבים (פסקה 58 לחוות דעתה). מנגד, חברי השופט </w:t>
      </w:r>
      <w:r w:rsidRPr="002A21C1">
        <w:rPr>
          <w:rFonts w:ascii="Century" w:hAnsi="Century" w:cs="Miriam" w:hint="eastAsia"/>
          <w:b/>
          <w:sz w:val="22"/>
          <w:rtl/>
        </w:rPr>
        <w:t>מינץ</w:t>
      </w:r>
      <w:r w:rsidRPr="002A21C1">
        <w:rPr>
          <w:rFonts w:ascii="Century" w:hAnsi="Century" w:cs="FrankRuehl" w:hint="cs"/>
          <w:spacing w:val="10"/>
          <w:sz w:val="22"/>
          <w:szCs w:val="28"/>
          <w:rtl/>
        </w:rPr>
        <w:t xml:space="preserve"> מציין כי הבחנה שכזו לגבי זהות הבעלים הרשום לא בא זכרה בהליכים שהתנהלו בבית משפט השלום ובבית המשפט המחוזי; כי לא הועלתה כל טענה כי סעיף 113(ב) לחוק לא חל בשל נסיבות הרישום הייחודיות</w:t>
      </w:r>
      <w:r w:rsidRPr="002A21C1">
        <w:rPr>
          <w:rFonts w:ascii="Arial TUR" w:hAnsi="Arial TUR" w:cs="FrankRuehl" w:hint="cs"/>
          <w:spacing w:val="10"/>
          <w:sz w:val="22"/>
          <w:szCs w:val="28"/>
          <w:rtl/>
        </w:rPr>
        <w:t xml:space="preserve"> של תיק זה</w:t>
      </w:r>
      <w:r w:rsidRPr="002A21C1">
        <w:rPr>
          <w:rFonts w:ascii="Century" w:hAnsi="Century" w:cs="FrankRuehl" w:hint="cs"/>
          <w:spacing w:val="10"/>
          <w:sz w:val="22"/>
          <w:szCs w:val="28"/>
          <w:rtl/>
        </w:rPr>
        <w:t>; כי לא ניתנה לצדדים הזדמנות להידרש לסוגיה; ואף לא ניתנה הדעת למכלול הסוגיות המורכבות המתעורר</w:t>
      </w:r>
      <w:r>
        <w:rPr>
          <w:rFonts w:ascii="Century" w:hAnsi="Century" w:cs="FrankRuehl" w:hint="cs"/>
          <w:spacing w:val="10"/>
          <w:sz w:val="22"/>
          <w:szCs w:val="28"/>
          <w:rtl/>
        </w:rPr>
        <w:t>ו</w:t>
      </w:r>
      <w:r w:rsidRPr="002A21C1">
        <w:rPr>
          <w:rFonts w:ascii="Century" w:hAnsi="Century" w:cs="FrankRuehl" w:hint="cs"/>
          <w:spacing w:val="10"/>
          <w:sz w:val="22"/>
          <w:szCs w:val="28"/>
          <w:rtl/>
        </w:rPr>
        <w:t>ת בקשר לשאלת רישום על שם הבעלים, לרבות ההבחנה בין המקדיש לנאמני ההקדש, כמו גם נפקות אפשרית של העברת הקרקע לידי הממונה הירדני (פסקה 13 לחוות דעתו).</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כאמור, השאלה אם יש זהות פורמלית או מהותית בין הבעלים הרשומים לבין המשיבים, כמי שהתמנו כנאמני ההקדש החדשים, היא שאלה שעשויה להיות בעלת נפקות. בהעדר זהות כאמור, מירוץ ההתיישנות נפתח במועד שבו שוחררו המקרקעין לידי המשיבים (סוג המקרים השני המוזכר בפסקה 1</w:t>
      </w:r>
      <w:r>
        <w:rPr>
          <w:rFonts w:ascii="Century" w:hAnsi="Century" w:cs="FrankRuehl" w:hint="cs"/>
          <w:spacing w:val="10"/>
          <w:sz w:val="22"/>
          <w:szCs w:val="28"/>
          <w:rtl/>
        </w:rPr>
        <w:t>3</w:t>
      </w:r>
      <w:r w:rsidRPr="002A21C1">
        <w:rPr>
          <w:rFonts w:ascii="Century" w:hAnsi="Century" w:cs="FrankRuehl" w:hint="cs"/>
          <w:spacing w:val="10"/>
          <w:sz w:val="22"/>
          <w:szCs w:val="28"/>
          <w:rtl/>
        </w:rPr>
        <w:t xml:space="preserve">ב לעיל), ומשעה שאין חולק כי בין מועד שחרור המקרקעין לידי המשיבים לבין מועד הגשת התביעה תקופת ההתיישנות טרם חלפה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אזי התוצאה תהיה כי התביעה לא התיישנה. לעומת זאת, בהתקיים זהות פורמלית או מהותית כאמור, הרי שמדובר במקרקעין שהיו ונותרו רשומים על שם הבעלים, ומשכך סעיף 113(ב) לחוק אינו דוחה את מועד פתיחת מירוץ ההתיישנות (סוג המקרים השלישי המוזכר בסעיף 15ג לעיל), ואז יש לפנות אל דיני ההתיישנות הכלליים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וב</w:t>
      </w:r>
      <w:r w:rsidRPr="002A21C1">
        <w:rPr>
          <w:rFonts w:ascii="Century" w:hAnsi="Century" w:cs="FrankRuehl" w:hint="cs"/>
          <w:spacing w:val="10"/>
          <w:sz w:val="22"/>
          <w:szCs w:val="28"/>
          <w:rtl/>
        </w:rPr>
        <w:t>גדרם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להידרש</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w:t>
      </w:r>
      <w:r w:rsidRPr="002A21C1">
        <w:rPr>
          <w:rFonts w:ascii="Century" w:hAnsi="Century" w:cs="FrankRuehl" w:hint="cs"/>
          <w:spacing w:val="10"/>
          <w:sz w:val="22"/>
          <w:szCs w:val="28"/>
          <w:rtl/>
        </w:rPr>
        <w:t xml:space="preserve">שאלת </w:t>
      </w:r>
      <w:r w:rsidRPr="002A21C1">
        <w:rPr>
          <w:rFonts w:ascii="Century" w:hAnsi="Century" w:cs="FrankRuehl" w:hint="eastAsia"/>
          <w:spacing w:val="10"/>
          <w:sz w:val="22"/>
          <w:szCs w:val="28"/>
          <w:rtl/>
        </w:rPr>
        <w:t>תחולתו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סעיף</w:t>
      </w:r>
      <w:r w:rsidRPr="002A21C1">
        <w:rPr>
          <w:rFonts w:ascii="Century" w:hAnsi="Century" w:cs="FrankRuehl"/>
          <w:spacing w:val="10"/>
          <w:sz w:val="22"/>
          <w:szCs w:val="28"/>
          <w:rtl/>
        </w:rPr>
        <w:t xml:space="preserve"> 8 </w:t>
      </w:r>
      <w:r w:rsidRPr="002A21C1">
        <w:rPr>
          <w:rFonts w:ascii="Century" w:hAnsi="Century" w:cs="FrankRuehl" w:hint="eastAsia"/>
          <w:spacing w:val="10"/>
          <w:sz w:val="22"/>
          <w:szCs w:val="28"/>
          <w:rtl/>
        </w:rPr>
        <w:t>לחוק</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ההתיישנות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וקיומו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כוח</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תביעה</w:t>
      </w:r>
      <w:r w:rsidRPr="002A21C1">
        <w:rPr>
          <w:rFonts w:ascii="Century" w:hAnsi="Century" w:cs="FrankRuehl" w:hint="cs"/>
          <w:spacing w:val="10"/>
          <w:sz w:val="22"/>
          <w:szCs w:val="28"/>
          <w:rtl/>
        </w:rPr>
        <w:t>.</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15.</w:t>
      </w:r>
      <w:r w:rsidRPr="002A21C1">
        <w:rPr>
          <w:rFonts w:ascii="Century" w:hAnsi="Century" w:cs="FrankRuehl"/>
          <w:spacing w:val="10"/>
          <w:sz w:val="22"/>
          <w:szCs w:val="28"/>
          <w:rtl/>
        </w:rPr>
        <w:tab/>
      </w:r>
      <w:r w:rsidRPr="002A21C1">
        <w:rPr>
          <w:rFonts w:ascii="Century" w:hAnsi="Century" w:cs="FrankRuehl" w:hint="cs"/>
          <w:spacing w:val="10"/>
          <w:sz w:val="22"/>
          <w:szCs w:val="28"/>
          <w:rtl/>
        </w:rPr>
        <w:t>ברוח דבריו של חברי, אף אני סבור כי אין באפשרותנו לקבוע בגדרו של הערעור דנן ממצא לגבי טיבו של הרישום בפנקסי המקרקעין, ומשכך אין באפשרותנו להכריע בשאלת תחולתו של סעיף 113(ב) לחוק. מדובר בסוגיות המערבות שאלות של עובדה ומשפט, שלא ניתן להכריע בהן מבלי שהצדדים טענו להן ומבלי שהדברים נתלבנו במסגרת ההליכים בערכאות קמא. עם זאת, בניגוד לחברי, איני סבור כי בשל כך דין הערעור להידחות. לטעמי, בנסיבות דנן, על מנת להבטיח כי יצא תחת ידו של בית המשפט דין אמת מבורר, יש להורות על החזרת הדיון לבית משפט השלום, על מנת שיתאפשר לצדדים להשמיע טענותיהם ולפרו</w:t>
      </w:r>
      <w:r w:rsidRPr="002A21C1">
        <w:rPr>
          <w:rFonts w:ascii="FrankRuehl" w:hAnsi="FrankRuehl" w:cs="FrankRuehl"/>
          <w:spacing w:val="10"/>
          <w:sz w:val="22"/>
          <w:szCs w:val="28"/>
          <w:rtl/>
        </w:rPr>
        <w:t>שׂ</w:t>
      </w:r>
      <w:r w:rsidRPr="002A21C1">
        <w:rPr>
          <w:rFonts w:ascii="Century" w:hAnsi="Century" w:cs="FrankRuehl" w:hint="cs"/>
          <w:spacing w:val="10"/>
          <w:sz w:val="22"/>
          <w:szCs w:val="28"/>
          <w:rtl/>
        </w:rPr>
        <w:t xml:space="preserve"> ראיותיהם בשאלת טיב הרישום ונפקויותיו באשר לתחולתו או העדר תחולתו של סעיף 113(ב) ובאשר למועד פתיחת מירוץ ההתיישנות.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16.</w:t>
      </w: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בהינתן המסקנה כי יש להורות על השבת הדיון לבית משפט השלום לצורך הכרעה בשאלת תחולתו של סעיף 113(ב) לחוק, יכולנו לסיים הילוכנו בנקודה זו. ברם, משעה שחבריי התייחסו לסוגיית תחולתו של סעיף 8 לחוק ההתיישנות; ובהינתן שבמסגרת הדיון בבית משפט השלום עשוי להתעורר צורך להידרש לתחולת הסעיף (ככל שייקבע כי המקרקעין היו למעשה רשומים על שם בעליהם כל העת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ובשלב זה איני מביע עמדה בשאלה זו), אוסיף מילים אחדות לגבי הוראות חוק התיישנות.</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Miriam"/>
          <w:b/>
          <w:sz w:val="22"/>
          <w:rtl/>
        </w:rPr>
      </w:pPr>
      <w:r w:rsidRPr="002A21C1">
        <w:rPr>
          <w:rFonts w:ascii="Century" w:hAnsi="Century" w:cs="Miriam" w:hint="cs"/>
          <w:b/>
          <w:sz w:val="22"/>
          <w:rtl/>
        </w:rPr>
        <w:t>חוק ההתיישנות</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Century" w:hAnsi="Century" w:cs="FrankRuehl" w:hint="cs"/>
          <w:spacing w:val="10"/>
          <w:sz w:val="22"/>
          <w:szCs w:val="28"/>
          <w:rtl/>
        </w:rPr>
        <w:t>17.</w:t>
      </w: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סעיף 8 לחוק ההתיישנות מעגן את "כלל הגילוי המאוחר". לפיו כלל זה, </w:t>
      </w:r>
      <w:r w:rsidRPr="002A21C1">
        <w:rPr>
          <w:rFonts w:ascii="FrankRuehl" w:hAnsi="FrankRuehl" w:cs="FrankRuehl" w:hint="cs"/>
          <w:color w:val="000000"/>
          <w:spacing w:val="10"/>
          <w:sz w:val="28"/>
          <w:szCs w:val="28"/>
          <w:rtl/>
        </w:rPr>
        <w:t xml:space="preserve">מקום שבו </w:t>
      </w:r>
      <w:r w:rsidRPr="002A21C1">
        <w:rPr>
          <w:rFonts w:ascii="FrankRuehl" w:hAnsi="FrankRuehl" w:cs="FrankRuehl"/>
          <w:color w:val="000000"/>
          <w:spacing w:val="10"/>
          <w:sz w:val="28"/>
          <w:szCs w:val="28"/>
          <w:rtl/>
        </w:rPr>
        <w:t>נעלמו מעיני התובע עובדות מהותיות המהוות את עילת הת</w:t>
      </w:r>
      <w:r w:rsidRPr="002A21C1">
        <w:rPr>
          <w:rFonts w:ascii="FrankRuehl" w:hAnsi="FrankRuehl" w:cs="FrankRuehl" w:hint="cs"/>
          <w:color w:val="000000"/>
          <w:spacing w:val="10"/>
          <w:sz w:val="28"/>
          <w:szCs w:val="28"/>
          <w:rtl/>
        </w:rPr>
        <w:t>ו</w:t>
      </w:r>
      <w:r w:rsidRPr="002A21C1">
        <w:rPr>
          <w:rFonts w:ascii="FrankRuehl" w:hAnsi="FrankRuehl" w:cs="FrankRuehl"/>
          <w:color w:val="000000"/>
          <w:spacing w:val="10"/>
          <w:sz w:val="28"/>
          <w:szCs w:val="28"/>
          <w:rtl/>
        </w:rPr>
        <w:t>בע</w:t>
      </w:r>
      <w:r w:rsidRPr="002A21C1">
        <w:rPr>
          <w:rFonts w:ascii="FrankRuehl" w:hAnsi="FrankRuehl" w:cs="FrankRuehl" w:hint="cs"/>
          <w:color w:val="000000"/>
          <w:spacing w:val="10"/>
          <w:sz w:val="28"/>
          <w:szCs w:val="28"/>
          <w:rtl/>
        </w:rPr>
        <w:t>נ</w:t>
      </w:r>
      <w:r w:rsidRPr="002A21C1">
        <w:rPr>
          <w:rFonts w:ascii="FrankRuehl" w:hAnsi="FrankRuehl" w:cs="FrankRuehl"/>
          <w:color w:val="000000"/>
          <w:spacing w:val="10"/>
          <w:sz w:val="28"/>
          <w:szCs w:val="28"/>
          <w:rtl/>
        </w:rPr>
        <w:t xml:space="preserve">ה, מסיבות שלא היו תלויות בו ושאף בזהירות סבירה לא היה יכול למנוע אותן, תתחיל תקופת ההתיישנות עם גילוי העובדות. </w:t>
      </w:r>
      <w:r w:rsidRPr="002A21C1">
        <w:rPr>
          <w:rFonts w:ascii="FrankRuehl" w:hAnsi="FrankRuehl" w:cs="FrankRuehl" w:hint="cs"/>
          <w:color w:val="000000"/>
          <w:spacing w:val="10"/>
          <w:sz w:val="28"/>
          <w:szCs w:val="28"/>
          <w:rtl/>
        </w:rPr>
        <w:t>כפי שהוסבר ב</w:t>
      </w:r>
      <w:r w:rsidRPr="002A21C1">
        <w:rPr>
          <w:rFonts w:ascii="Arial TUR" w:hAnsi="Arial TUR" w:cs="FrankRuehl" w:hint="cs"/>
          <w:spacing w:val="10"/>
          <w:sz w:val="22"/>
          <w:szCs w:val="28"/>
          <w:rtl/>
        </w:rPr>
        <w:t xml:space="preserve">עניין </w:t>
      </w:r>
      <w:r w:rsidRPr="002A21C1">
        <w:rPr>
          <w:rFonts w:ascii="Century" w:hAnsi="Century" w:cs="Miriam" w:hint="cs"/>
          <w:b/>
          <w:sz w:val="22"/>
          <w:rtl/>
        </w:rPr>
        <w:t>גיא-ליפל</w:t>
      </w:r>
      <w:r w:rsidRPr="002A21C1">
        <w:rPr>
          <w:rFonts w:ascii="Arial TUR" w:hAnsi="Arial TUR" w:cs="FrankRuehl" w:hint="cs"/>
          <w:spacing w:val="10"/>
          <w:sz w:val="22"/>
          <w:szCs w:val="28"/>
          <w:rtl/>
        </w:rPr>
        <w:t>:</w:t>
      </w:r>
    </w:p>
    <w:p w:rsidR="009562DC" w:rsidRPr="002A21C1" w:rsidRDefault="009562DC" w:rsidP="009562DC">
      <w:pPr>
        <w:tabs>
          <w:tab w:val="left" w:pos="800"/>
        </w:tabs>
        <w:spacing w:line="360" w:lineRule="auto"/>
        <w:jc w:val="both"/>
        <w:rPr>
          <w:rFonts w:ascii="FrankRuehl" w:hAnsi="FrankRuehl" w:cs="FrankRuehl"/>
          <w:color w:val="000000"/>
          <w:spacing w:val="10"/>
          <w:sz w:val="28"/>
          <w:szCs w:val="28"/>
          <w:rtl/>
        </w:rPr>
      </w:pP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hint="cs"/>
          <w:spacing w:val="10"/>
          <w:sz w:val="22"/>
          <w:szCs w:val="28"/>
          <w:rtl/>
        </w:rPr>
        <w:t>"</w:t>
      </w:r>
      <w:r w:rsidRPr="002A21C1">
        <w:rPr>
          <w:rFonts w:ascii="Arial TUR" w:hAnsi="Arial TUR" w:cs="FrankRuehl"/>
          <w:spacing w:val="10"/>
          <w:sz w:val="22"/>
          <w:szCs w:val="28"/>
          <w:rtl/>
        </w:rPr>
        <w:t xml:space="preserve">כלל הגילוי המאוחר חל כאשר יש פער בין המציאות העובדתית והמשפטית לבין השתקפותה של מציאות זו בתודעת התובע והוא משעה את מירוץ ההתיישנות עד למועד בו יש בידי הניזוק לעמוד על כוח התביעה שבידו </w:t>
      </w:r>
      <w:r w:rsidRPr="002A21C1">
        <w:rPr>
          <w:rFonts w:ascii="Arial TUR" w:hAnsi="Arial TUR" w:cs="FrankRuehl" w:hint="cs"/>
          <w:spacing w:val="10"/>
          <w:sz w:val="22"/>
          <w:szCs w:val="28"/>
          <w:rtl/>
        </w:rPr>
        <w:t>[...].</w:t>
      </w:r>
      <w:r w:rsidRPr="002A21C1">
        <w:rPr>
          <w:rFonts w:ascii="Arial TUR" w:hAnsi="Arial TUR" w:cs="FrankRuehl"/>
          <w:spacing w:val="10"/>
          <w:sz w:val="22"/>
          <w:szCs w:val="28"/>
          <w:rtl/>
        </w:rPr>
        <w:t xml:space="preserve"> בהעדר ידיעה של התובע, אשר לא גילה ולא היה עליו לגלות כי קמה לו עילת תביעה, נחלשים חלק מהטעמים שבבסיס דיני ההתיישנות. לא ניתן לראות את התובע כמי שויתר או ישן על זכויותיו ולא ניתן לבוא אליו בטרוניא על כך שיצר ציפיות אצל הנתבע כי ויתר או מחל על תביעתו. לכן תושעה נקודת הפתיחה של מרוץ ההתיישנות עד למועד בו התובע מגלה או יכול לגלות את העובדות הטעונות גילוי</w:t>
      </w:r>
      <w:r w:rsidRPr="002A21C1">
        <w:rPr>
          <w:rFonts w:ascii="Arial TUR" w:hAnsi="Arial TUR" w:cs="FrankRuehl" w:hint="cs"/>
          <w:spacing w:val="10"/>
          <w:sz w:val="22"/>
          <w:szCs w:val="28"/>
          <w:rtl/>
        </w:rPr>
        <w:t xml:space="preserve"> [...]" (שם בפסקה 40, ההפניות הושמטו).</w:t>
      </w: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במישור </w:t>
      </w:r>
      <w:r w:rsidRPr="002A21C1">
        <w:rPr>
          <w:rFonts w:ascii="Century" w:hAnsi="Century" w:cs="Miriam" w:hint="cs"/>
          <w:b/>
          <w:sz w:val="22"/>
          <w:rtl/>
        </w:rPr>
        <w:t>העובדתי</w:t>
      </w:r>
      <w:r w:rsidRPr="002A21C1">
        <w:rPr>
          <w:rFonts w:ascii="Century" w:hAnsi="Century" w:cs="FrankRuehl" w:hint="cs"/>
          <w:spacing w:val="10"/>
          <w:sz w:val="22"/>
          <w:szCs w:val="28"/>
          <w:rtl/>
        </w:rPr>
        <w:t>, בית משפט השלום אימץ את עדותו של המשיב 2 כי מקרקעי ההקדש משתרעים על חטיבת קרקע ששטחה למעלה מ-5000 מ"ר; כי למקרקעין פלשו עשרות רבות של פולשים; כי המשיבים נאלצו להשקיע מאמצים רבים על מנת להתחקות אחר זהותם של המחזיקים בנכס ספציפי; וכי המשיבים הגישו את תביעתם בהליך הקודם בסמוך לאחר שעמדו על זהות הנתבעים (פסקה 26 לפסק דינו). ממצאים אלו אומצו על ידי בית המשפט המחוזי, וזוהי התשתית העובדתית לצורך הדיון בשאלת תחולתו של סעיף 8 לחוק ההתיישנות במסגרת ההליך שלפנינו.</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18.</w:t>
      </w:r>
      <w:r w:rsidRPr="002A21C1">
        <w:rPr>
          <w:rFonts w:ascii="Century" w:hAnsi="Century" w:cs="FrankRuehl" w:hint="cs"/>
          <w:spacing w:val="10"/>
          <w:sz w:val="22"/>
          <w:szCs w:val="28"/>
          <w:rtl/>
        </w:rPr>
        <w:tab/>
        <w:t xml:space="preserve">האספקט </w:t>
      </w:r>
      <w:r w:rsidRPr="002A21C1">
        <w:rPr>
          <w:rFonts w:ascii="Century" w:hAnsi="Century" w:cs="Miriam" w:hint="cs"/>
          <w:b/>
          <w:sz w:val="22"/>
          <w:rtl/>
        </w:rPr>
        <w:t>המשפטי</w:t>
      </w:r>
      <w:r w:rsidRPr="002A21C1">
        <w:rPr>
          <w:rFonts w:ascii="Century" w:hAnsi="Century" w:cs="FrankRuehl" w:hint="cs"/>
          <w:spacing w:val="10"/>
          <w:sz w:val="22"/>
          <w:szCs w:val="28"/>
          <w:rtl/>
        </w:rPr>
        <w:t xml:space="preserve"> שבגינו סבורה חברתי כי דין הערעור להתקבל, עניינו בשאלת </w:t>
      </w:r>
      <w:r w:rsidRPr="002A21C1">
        <w:rPr>
          <w:rFonts w:ascii="Century" w:hAnsi="Century" w:cs="Miriam" w:hint="cs"/>
          <w:b/>
          <w:sz w:val="22"/>
          <w:rtl/>
        </w:rPr>
        <w:t>זהותו</w:t>
      </w:r>
      <w:r w:rsidRPr="002A21C1">
        <w:rPr>
          <w:rFonts w:ascii="Century" w:hAnsi="Century" w:cs="FrankRuehl" w:hint="cs"/>
          <w:spacing w:val="10"/>
          <w:sz w:val="22"/>
          <w:szCs w:val="28"/>
          <w:rtl/>
        </w:rPr>
        <w:t xml:space="preserve"> של הגורם הרלוונטי, שידיעתו (או אי-ידיעתו) את העובדות המהוות את עילת התובענה תקבע אם יש תחולה לסעיף 8 לחוק ההתיישנות. בית משפט השלום ובית המשפט המחוזי קבעו כי מירוץ ההתיישנות נפתח במועד שבו נודעו </w:t>
      </w:r>
      <w:r w:rsidRPr="002A21C1">
        <w:rPr>
          <w:rFonts w:ascii="Century" w:hAnsi="Century" w:cs="Miriam" w:hint="cs"/>
          <w:b/>
          <w:sz w:val="22"/>
          <w:rtl/>
        </w:rPr>
        <w:t>למשיבים-התובעים</w:t>
      </w:r>
      <w:r w:rsidRPr="002A21C1">
        <w:rPr>
          <w:rFonts w:ascii="Century" w:hAnsi="Century" w:cs="FrankRuehl" w:hint="cs"/>
          <w:spacing w:val="10"/>
          <w:sz w:val="22"/>
          <w:szCs w:val="28"/>
          <w:rtl/>
        </w:rPr>
        <w:t xml:space="preserve"> העובדות הנדרשות, וכי אין למנות את התקופה שבה הוקנו המקרקעין לאפוטרופוס הכללי. גישתה של חברתי שונה. לדידה, יש לבחון את מועד גילוי העובדות מנקודת מבטו של </w:t>
      </w:r>
      <w:r w:rsidRPr="002A21C1">
        <w:rPr>
          <w:rFonts w:ascii="Century" w:hAnsi="Century" w:cs="Miriam" w:hint="cs"/>
          <w:b/>
          <w:sz w:val="22"/>
          <w:rtl/>
        </w:rPr>
        <w:t>האפוטרופוס הכללי</w:t>
      </w:r>
      <w:r w:rsidRPr="002A21C1">
        <w:rPr>
          <w:rFonts w:ascii="Century" w:hAnsi="Century" w:cs="FrankRuehl" w:hint="cs"/>
          <w:spacing w:val="10"/>
          <w:sz w:val="22"/>
          <w:szCs w:val="28"/>
          <w:rtl/>
        </w:rPr>
        <w:t xml:space="preserve">. על כך מוסיפה חברתי אף קביעה </w:t>
      </w:r>
      <w:r w:rsidRPr="002A21C1">
        <w:rPr>
          <w:rFonts w:ascii="Century" w:hAnsi="Century" w:cs="Miriam" w:hint="cs"/>
          <w:b/>
          <w:sz w:val="22"/>
          <w:rtl/>
        </w:rPr>
        <w:t>במישור העובדתי</w:t>
      </w:r>
      <w:r w:rsidRPr="002A21C1">
        <w:rPr>
          <w:rFonts w:ascii="Century" w:hAnsi="Century" w:cs="FrankRuehl" w:hint="cs"/>
          <w:spacing w:val="10"/>
          <w:sz w:val="22"/>
          <w:szCs w:val="28"/>
          <w:rtl/>
        </w:rPr>
        <w:t>, שלפיה לאפוטרופוס הכללי היה "קצה חוט" לעניין ישיבתם של מחזיקים במקרקעין (זאת מבלי שהאפוטרופוס הכללי היה צד להליך). לפיכך, לשיטתה, "העובדה העיקרית המקימה את עילתה של תביעת הפינוי" היתה ידועה לו, ולמצער היה עליו לדעת עליה, עוד לפני שנת 1999, ועל כן אין תחולה לסעיף 8 במקרה דנן.</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19.</w:t>
      </w:r>
      <w:r w:rsidRPr="002A21C1">
        <w:rPr>
          <w:rFonts w:ascii="Century" w:hAnsi="Century" w:cs="FrankRuehl" w:hint="cs"/>
          <w:spacing w:val="10"/>
          <w:sz w:val="22"/>
          <w:szCs w:val="28"/>
          <w:rtl/>
        </w:rPr>
        <w:tab/>
        <w:t>הוראת החוק הרלוונטית בחוק ההתיישנות העוסקת בנפקות זהותו של התובע, מעוגנת בסעיף 18 הקובע כדלקמן:</w:t>
      </w:r>
    </w:p>
    <w:p w:rsidR="009562DC" w:rsidRPr="002A21C1" w:rsidRDefault="009562DC" w:rsidP="009562DC">
      <w:pPr>
        <w:tabs>
          <w:tab w:val="left" w:pos="800"/>
        </w:tabs>
        <w:spacing w:line="360" w:lineRule="auto"/>
        <w:jc w:val="both"/>
        <w:rPr>
          <w:rFonts w:ascii="Century" w:hAnsi="Century" w:cs="FrankRuehl"/>
          <w:spacing w:val="10"/>
          <w:sz w:val="22"/>
          <w:szCs w:val="28"/>
          <w:shd w:val="clear" w:color="auto" w:fill="FFFFFF"/>
          <w:rtl/>
        </w:rPr>
      </w:pPr>
    </w:p>
    <w:p w:rsidR="009562DC" w:rsidRPr="002A21C1" w:rsidRDefault="009562DC" w:rsidP="009562DC">
      <w:pPr>
        <w:spacing w:line="276" w:lineRule="auto"/>
        <w:ind w:left="1644" w:right="1276"/>
        <w:jc w:val="both"/>
        <w:rPr>
          <w:rFonts w:ascii="Century" w:hAnsi="Century" w:cs="Miriam"/>
          <w:b/>
          <w:sz w:val="22"/>
          <w:shd w:val="clear" w:color="auto" w:fill="FFFFFF"/>
          <w:rtl/>
        </w:rPr>
      </w:pPr>
      <w:r w:rsidRPr="002A21C1">
        <w:rPr>
          <w:rFonts w:ascii="Century" w:hAnsi="Century" w:cs="Miriam" w:hint="cs"/>
          <w:b/>
          <w:sz w:val="22"/>
          <w:shd w:val="clear" w:color="auto" w:fill="FFFFFF"/>
          <w:rtl/>
        </w:rPr>
        <w:t>תסיבת הזכות אינה משפיעה</w:t>
      </w:r>
    </w:p>
    <w:p w:rsidR="009562DC" w:rsidRPr="002A21C1" w:rsidRDefault="009562DC" w:rsidP="009562DC">
      <w:pPr>
        <w:ind w:left="1644" w:right="1276"/>
        <w:jc w:val="both"/>
        <w:rPr>
          <w:rFonts w:ascii="Arial TUR" w:hAnsi="Arial TUR" w:cs="FrankRuehl"/>
          <w:spacing w:val="10"/>
          <w:sz w:val="22"/>
          <w:szCs w:val="28"/>
          <w:shd w:val="clear" w:color="auto" w:fill="FFFFFF"/>
          <w:rtl/>
        </w:rPr>
      </w:pPr>
      <w:r w:rsidRPr="002A21C1">
        <w:rPr>
          <w:rFonts w:ascii="Arial TUR" w:hAnsi="Arial TUR" w:cs="FrankRuehl" w:hint="cs"/>
          <w:spacing w:val="10"/>
          <w:sz w:val="22"/>
          <w:szCs w:val="28"/>
          <w:shd w:val="clear" w:color="auto" w:fill="FFFFFF"/>
          <w:rtl/>
        </w:rPr>
        <w:t xml:space="preserve">18. </w:t>
      </w:r>
      <w:r w:rsidRPr="002A21C1">
        <w:rPr>
          <w:rFonts w:ascii="Arial TUR" w:hAnsi="Arial TUR" w:cs="FrankRuehl"/>
          <w:spacing w:val="10"/>
          <w:sz w:val="22"/>
          <w:szCs w:val="28"/>
          <w:shd w:val="clear" w:color="auto" w:fill="FFFFFF"/>
          <w:rtl/>
        </w:rPr>
        <w:t xml:space="preserve">לענין חישוב תקופת ההתיישנות אין נפקא מינה אם הזכות נתבעת על ידי </w:t>
      </w:r>
      <w:r w:rsidRPr="002A21C1">
        <w:rPr>
          <w:rFonts w:ascii="Century" w:hAnsi="Century" w:cs="Miriam"/>
          <w:b/>
          <w:sz w:val="22"/>
          <w:shd w:val="clear" w:color="auto" w:fill="FFFFFF"/>
          <w:rtl/>
        </w:rPr>
        <w:t>הזכאי המקורי</w:t>
      </w:r>
      <w:r w:rsidRPr="002A21C1">
        <w:rPr>
          <w:rFonts w:ascii="Arial TUR" w:hAnsi="Arial TUR" w:cs="FrankRuehl"/>
          <w:spacing w:val="10"/>
          <w:sz w:val="22"/>
          <w:szCs w:val="28"/>
          <w:shd w:val="clear" w:color="auto" w:fill="FFFFFF"/>
          <w:rtl/>
        </w:rPr>
        <w:t xml:space="preserve"> או על ידי </w:t>
      </w:r>
      <w:r w:rsidRPr="002A21C1">
        <w:rPr>
          <w:rFonts w:ascii="Century" w:hAnsi="Century" w:cs="Miriam"/>
          <w:b/>
          <w:sz w:val="22"/>
          <w:shd w:val="clear" w:color="auto" w:fill="FFFFFF"/>
          <w:rtl/>
        </w:rPr>
        <w:t>חליפו</w:t>
      </w:r>
      <w:r w:rsidRPr="002A21C1">
        <w:rPr>
          <w:rFonts w:ascii="Arial TUR" w:hAnsi="Arial TUR" w:cs="FrankRuehl"/>
          <w:spacing w:val="10"/>
          <w:sz w:val="22"/>
          <w:szCs w:val="28"/>
          <w:shd w:val="clear" w:color="auto" w:fill="FFFFFF"/>
          <w:rtl/>
        </w:rPr>
        <w:t xml:space="preserve"> או אם הזכות נתבעת נגד החייב המקורי או נגד חליפו, ובלבד שאם נסבה הזכות בדרך ירושה, לא תסתיים תקופת ההתיישנות לפני שעברה לפחות שנה אחת מן היום שבו נסבה הזכות</w:t>
      </w:r>
      <w:r>
        <w:rPr>
          <w:rFonts w:ascii="Arial TUR" w:hAnsi="Arial TUR" w:cs="FrankRuehl" w:hint="cs"/>
          <w:spacing w:val="10"/>
          <w:sz w:val="22"/>
          <w:szCs w:val="28"/>
          <w:shd w:val="clear" w:color="auto" w:fill="FFFFFF"/>
          <w:rtl/>
        </w:rPr>
        <w:t>.</w:t>
      </w:r>
    </w:p>
    <w:p w:rsidR="009562DC" w:rsidRPr="002A21C1" w:rsidRDefault="009562DC" w:rsidP="009562DC">
      <w:pPr>
        <w:ind w:left="1644" w:right="1276"/>
        <w:jc w:val="both"/>
        <w:rPr>
          <w:rFonts w:ascii="Arial TUR" w:hAnsi="Arial TUR" w:cs="FrankRuehl"/>
          <w:spacing w:val="10"/>
          <w:sz w:val="22"/>
          <w:szCs w:val="28"/>
          <w:shd w:val="clear" w:color="auto" w:fill="FFFFFF"/>
          <w:rtl/>
        </w:rPr>
      </w:pP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הוראה זו מעמידה נקודת מוצא שלפיה העברת זכות </w:t>
      </w:r>
      <w:r w:rsidRPr="002A21C1">
        <w:rPr>
          <w:rFonts w:ascii="Century" w:hAnsi="Century" w:cs="Miriam" w:hint="cs"/>
          <w:b/>
          <w:sz w:val="22"/>
          <w:rtl/>
        </w:rPr>
        <w:t>מזכאי מקורי</w:t>
      </w:r>
      <w:r w:rsidRPr="002A21C1">
        <w:rPr>
          <w:rFonts w:ascii="Century" w:hAnsi="Century" w:cs="FrankRuehl" w:hint="cs"/>
          <w:spacing w:val="10"/>
          <w:sz w:val="22"/>
          <w:szCs w:val="28"/>
          <w:rtl/>
        </w:rPr>
        <w:t xml:space="preserve"> לידי </w:t>
      </w:r>
      <w:r w:rsidRPr="002A21C1">
        <w:rPr>
          <w:rFonts w:ascii="Century" w:hAnsi="Century" w:cs="Miriam" w:hint="cs"/>
          <w:b/>
          <w:sz w:val="22"/>
          <w:rtl/>
        </w:rPr>
        <w:t>חליפו</w:t>
      </w:r>
      <w:r w:rsidRPr="002A21C1">
        <w:rPr>
          <w:rFonts w:ascii="Century" w:hAnsi="Century" w:cs="FrankRuehl" w:hint="cs"/>
          <w:spacing w:val="10"/>
          <w:sz w:val="22"/>
          <w:szCs w:val="28"/>
          <w:rtl/>
        </w:rPr>
        <w:t>, אין בה כשלעצמה כדי להשעות או לאפס את מירוץ ההתיישנות. נקודת מוצא זו מבטאת על פניה את התפישה כי "</w:t>
      </w:r>
      <w:r w:rsidRPr="002A21C1">
        <w:rPr>
          <w:rFonts w:ascii="FrankRuehl" w:hAnsi="FrankRuehl" w:cs="FrankRuehl"/>
          <w:color w:val="000000"/>
          <w:spacing w:val="10"/>
          <w:sz w:val="28"/>
          <w:szCs w:val="28"/>
          <w:rtl/>
        </w:rPr>
        <w:t>מושא ההתיישנות הוא התביעה עצמה ומירוץ ההתיישנות מופנה לעבר התביעה ולאו דווקא נגד תובע פלונ</w:t>
      </w:r>
      <w:r w:rsidRPr="002A21C1">
        <w:rPr>
          <w:rFonts w:ascii="Century" w:hAnsi="Century" w:cs="FrankRuehl" w:hint="cs"/>
          <w:spacing w:val="10"/>
          <w:sz w:val="22"/>
          <w:szCs w:val="28"/>
          <w:rtl/>
        </w:rPr>
        <w:t xml:space="preserve">י" (עניין </w:t>
      </w:r>
      <w:r w:rsidRPr="002A21C1">
        <w:rPr>
          <w:rFonts w:ascii="Century" w:hAnsi="Century" w:cs="Miriam" w:hint="cs"/>
          <w:b/>
          <w:sz w:val="22"/>
          <w:rtl/>
        </w:rPr>
        <w:t>גיא-ליפל</w:t>
      </w:r>
      <w:r w:rsidRPr="002A21C1">
        <w:rPr>
          <w:rFonts w:ascii="Century" w:hAnsi="Century" w:cs="FrankRuehl" w:hint="cs"/>
          <w:spacing w:val="10"/>
          <w:sz w:val="22"/>
          <w:szCs w:val="28"/>
          <w:rtl/>
        </w:rPr>
        <w:t xml:space="preserve">, פסקה 58 לפסק דיני; והשוו גם לדברי ההסבר לסעיף 13 להצעת חוק ההתיישנות, התשס"ד-2004, </w:t>
      </w:r>
      <w:r w:rsidRPr="002A21C1">
        <w:rPr>
          <w:rFonts w:ascii="Century" w:hAnsi="Century" w:cs="Miriam" w:hint="cs"/>
          <w:b/>
          <w:sz w:val="22"/>
          <w:rtl/>
        </w:rPr>
        <w:t>ה"ח הממשלה</w:t>
      </w:r>
      <w:r w:rsidRPr="002A21C1">
        <w:rPr>
          <w:rFonts w:ascii="Century" w:hAnsi="Century" w:cs="FrankRuehl" w:hint="cs"/>
          <w:spacing w:val="10"/>
          <w:sz w:val="22"/>
          <w:szCs w:val="28"/>
          <w:rtl/>
        </w:rPr>
        <w:t xml:space="preserve"> 125, עמ' 619).</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20.</w:t>
      </w:r>
      <w:r w:rsidRPr="002A21C1">
        <w:rPr>
          <w:rFonts w:ascii="Century" w:hAnsi="Century" w:cs="FrankRuehl" w:hint="cs"/>
          <w:spacing w:val="10"/>
          <w:sz w:val="22"/>
          <w:szCs w:val="28"/>
          <w:rtl/>
        </w:rPr>
        <w:tab/>
        <w:t xml:space="preserve">במקרה שלפנינו, החל משלהי המאה התשע-עשרה המקרקעין היו בבעלות ההקדש; בשנת 1938 המקרקעין ננטשו; בתום מלחמת השחרור, המקרקעין הוקנו לממונה הירדני על רכוש האויב; בהמשך, לאחר מלחמת ששת הימים, המקרקעין הוקנו לאפוטרופוס הכללי; כעבור למעלה משלושה עשורים, בשנת 2002, שוחררו המקרקעין לידי המשיבים נאמני ההקדש; ובשנת 2014 הוגשה תביעת המשיבים שעליה נסבה בקשת רשות הערעור דנן. לנוכח תקופת ההתיישנות בת 15 השנים החלה במקרה דנן, המסקנה כי התביעה התיישנה וכי אין תחולה לסעיף 8 לחוק ההתיישנות, מותנית לכאורה בכך שהמשיבים הם בגדר חליפיו של האפוטרופוס הכללי; ובכך שהאפוטרופוס הכללי היה מודע לעובדות המהוות את עילת התובענה, ועל כן יש לייחס ידיעה זו למשיבים-חליפיו. ואכן, זוהי בדיוק טענת המערערים בבקשת רשות הערעור דנן, שבה הדגישו כי המשיבים הם </w:t>
      </w:r>
      <w:r w:rsidRPr="002A21C1">
        <w:rPr>
          <w:rFonts w:ascii="Century" w:hAnsi="Century" w:cs="Miriam" w:hint="cs"/>
          <w:b/>
          <w:sz w:val="22"/>
          <w:rtl/>
        </w:rPr>
        <w:t>חליפיו</w:t>
      </w:r>
      <w:r w:rsidRPr="002A21C1">
        <w:rPr>
          <w:rFonts w:ascii="Century" w:hAnsi="Century" w:cs="FrankRuehl" w:hint="cs"/>
          <w:spacing w:val="10"/>
          <w:sz w:val="22"/>
          <w:szCs w:val="28"/>
          <w:rtl/>
        </w:rPr>
        <w:t xml:space="preserve"> של האפוטרופוס הכללי, שהיה חליפו של הממונה הירדני על רכוש האויב (פסקה 34 לבקשת רשות הערעור, ההדגשה במקור).</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21.</w:t>
      </w:r>
      <w:r w:rsidRPr="002A21C1">
        <w:rPr>
          <w:rFonts w:ascii="Century" w:hAnsi="Century" w:cs="FrankRuehl" w:hint="cs"/>
          <w:spacing w:val="10"/>
          <w:sz w:val="22"/>
          <w:szCs w:val="28"/>
          <w:rtl/>
        </w:rPr>
        <w:tab/>
        <w:t>הטענה בדבר קיומם של יחסי חליפ</w:t>
      </w:r>
      <w:r w:rsidRPr="002A21C1">
        <w:rPr>
          <w:rFonts w:ascii="FrankRuehl" w:hAnsi="FrankRuehl" w:cs="FrankRuehl"/>
          <w:spacing w:val="10"/>
          <w:sz w:val="22"/>
          <w:szCs w:val="28"/>
          <w:rtl/>
        </w:rPr>
        <w:t>וּ</w:t>
      </w:r>
      <w:r w:rsidRPr="002A21C1">
        <w:rPr>
          <w:rFonts w:ascii="Century" w:hAnsi="Century" w:cs="FrankRuehl" w:hint="cs"/>
          <w:spacing w:val="10"/>
          <w:sz w:val="22"/>
          <w:szCs w:val="28"/>
          <w:rtl/>
        </w:rPr>
        <w:t xml:space="preserve">ת כמתואר לעיל לצורך תחולתו של סעיף 18 לחוק ההתיישנות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היא טענה מוקשית. כפי שניתן להיווכח מלשונו של הסעיף, זו עוסקת במערכת היחסים שבין "</w:t>
      </w:r>
      <w:r w:rsidRPr="002A21C1">
        <w:rPr>
          <w:rFonts w:ascii="Century" w:hAnsi="Century" w:cs="Miriam" w:hint="cs"/>
          <w:b/>
          <w:sz w:val="22"/>
          <w:rtl/>
        </w:rPr>
        <w:t>הזכאי המקורי</w:t>
      </w:r>
      <w:r w:rsidRPr="002A21C1">
        <w:rPr>
          <w:rFonts w:ascii="Century" w:hAnsi="Century" w:cs="FrankRuehl" w:hint="cs"/>
          <w:spacing w:val="10"/>
          <w:sz w:val="22"/>
          <w:szCs w:val="28"/>
          <w:rtl/>
        </w:rPr>
        <w:t>" לבין "</w:t>
      </w:r>
      <w:r w:rsidRPr="002A21C1">
        <w:rPr>
          <w:rFonts w:ascii="Century" w:hAnsi="Century" w:cs="Miriam" w:hint="cs"/>
          <w:b/>
          <w:sz w:val="22"/>
          <w:rtl/>
        </w:rPr>
        <w:t>חליפו</w:t>
      </w:r>
      <w:r w:rsidRPr="002A21C1">
        <w:rPr>
          <w:rFonts w:ascii="Century" w:hAnsi="Century" w:cs="FrankRuehl" w:hint="cs"/>
          <w:spacing w:val="10"/>
          <w:sz w:val="22"/>
          <w:szCs w:val="28"/>
          <w:rtl/>
        </w:rPr>
        <w:t>". דהיינו, כאשר "זכאי מקורי" מעביר זכות לחליפו, האחרון נכנס בנעליו של הזכאי המקורי ותקופת ההתיישנות ממשיכה "לרוץ" בהתעלם מהעברת הזכויות בין השניים (להוציא מצבים של ירושה כאמור בסיפא של הסעיף).</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ואולם, שרשרת העברת הזכויות במקרה דנן, כמו גם נסיבות העברת הזכויות, רחוקות עד מאד מהמצב הטיפוסי של העברת זכויות בין "זכאי מקורי" ל"חליף" שבו מדבר הסעיף. כזכור, המקרקעין נלקחו מידי ההקדש, בעל כרחו, בעקבות מלחמת השחרור, והועברו לממונה הירדני על נכסי האויב, וברי כי לאורך התקופה שבה החזיק הממונה הירדני במקרקעין אין לייחס להקדש ידיעה על מצבם. איננו עוסקים אפוא במצב רגיל שבו הזכאי המקורי, המודע לזכויותיו, מעבירן במודע לאחר; אלא במצב שבו זכויותיו של הזכאי המקורי </w:t>
      </w:r>
      <w:r w:rsidRPr="002A21C1">
        <w:rPr>
          <w:rFonts w:ascii="Century" w:hAnsi="Century" w:cs="Miriam" w:hint="cs"/>
          <w:b/>
          <w:sz w:val="22"/>
          <w:rtl/>
        </w:rPr>
        <w:t>נלקחו</w:t>
      </w:r>
      <w:r w:rsidRPr="002A21C1">
        <w:rPr>
          <w:rFonts w:ascii="Century" w:hAnsi="Century" w:cs="FrankRuehl" w:hint="cs"/>
          <w:spacing w:val="10"/>
          <w:sz w:val="22"/>
          <w:szCs w:val="28"/>
          <w:rtl/>
        </w:rPr>
        <w:t xml:space="preserve"> ממנו, והוא שרוי בעלטה לגבי מצב הדברים העובדתי במשך שנים ארוכות.</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לאחר מכן, המקרקעין הוקנו לאפוטרופוס הכללי מכוח חוק הסדרי משפט ומינהל, ובהמשך שוחררו בחזרה לידי נאמני ההקדש. רוצה לומר, שאיננו עוסקים בחליף הנכנס בנעליו של הזכאי המקורי. נהפוך הוא. ענייננו בזכאי המקורי המבקש לקבל בחזרה את זכויותיו מידיו של האפוטרופוס הכללי. בנסיבות אלו, הניסיון לייחס </w:t>
      </w:r>
      <w:r w:rsidRPr="002A21C1">
        <w:rPr>
          <w:rFonts w:ascii="Century" w:hAnsi="Century" w:cs="Miriam" w:hint="cs"/>
          <w:b/>
          <w:sz w:val="22"/>
          <w:rtl/>
        </w:rPr>
        <w:t>לזכאי המקורי</w:t>
      </w:r>
      <w:r w:rsidRPr="002A21C1">
        <w:rPr>
          <w:rFonts w:ascii="Century" w:hAnsi="Century" w:cs="FrankRuehl" w:hint="cs"/>
          <w:spacing w:val="10"/>
          <w:sz w:val="22"/>
          <w:szCs w:val="28"/>
          <w:rtl/>
        </w:rPr>
        <w:t xml:space="preserve"> ידיעה של </w:t>
      </w:r>
      <w:r w:rsidRPr="002A21C1">
        <w:rPr>
          <w:rFonts w:ascii="Century" w:hAnsi="Century" w:cs="Miriam" w:hint="cs"/>
          <w:b/>
          <w:sz w:val="22"/>
          <w:rtl/>
        </w:rPr>
        <w:t>החליף</w:t>
      </w:r>
      <w:r w:rsidRPr="002A21C1">
        <w:rPr>
          <w:rFonts w:ascii="Century" w:hAnsi="Century" w:cs="FrankRuehl" w:hint="cs"/>
          <w:spacing w:val="10"/>
          <w:sz w:val="22"/>
          <w:szCs w:val="28"/>
          <w:rtl/>
        </w:rPr>
        <w:t xml:space="preserve">, הוא ניסיון מוקשה שאינו עולה בקנה אחד עם לשון הסעיף ואף לא עם הגיונו (וזאת בהנחה שבכלל ניתן לראות באפוטרופוס כחליף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הנחה מוקשית כשלעצמה, כפי שיוסבר להלן). הרציונאלים העומדים בבסיס כלל הגילוי המאוחר מובילים אף הם למסקנה זו, שהרי פשיטא שלא ניתן לראות במשיבים כמי שוויתרו או ישנו על זכויותיהם, וברי כי לא ניתן לבוא אליהם בטרוניא על כך שיצרו ציפיות אצל המערערים כי מחלו על תביעתם (עניין </w:t>
      </w:r>
      <w:r w:rsidRPr="002A21C1">
        <w:rPr>
          <w:rFonts w:ascii="Century" w:hAnsi="Century" w:cs="Miriam" w:hint="cs"/>
          <w:b/>
          <w:sz w:val="22"/>
          <w:rtl/>
        </w:rPr>
        <w:t>גיא-ליפל</w:t>
      </w:r>
      <w:r w:rsidRPr="002A21C1">
        <w:rPr>
          <w:rFonts w:ascii="Century" w:hAnsi="Century" w:cs="FrankRuehl" w:hint="cs"/>
          <w:spacing w:val="10"/>
          <w:sz w:val="22"/>
          <w:szCs w:val="28"/>
          <w:rtl/>
        </w:rPr>
        <w:t>, פסקה 40).</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22.</w:t>
      </w:r>
      <w:r w:rsidRPr="002A21C1">
        <w:rPr>
          <w:rFonts w:ascii="Century" w:hAnsi="Century" w:cs="FrankRuehl" w:hint="cs"/>
          <w:spacing w:val="10"/>
          <w:sz w:val="22"/>
          <w:szCs w:val="28"/>
          <w:rtl/>
        </w:rPr>
        <w:tab/>
        <w:t>ההנחה כי האפוטרופוס הכללי גם הוא בגדר "חליף" כמובנו בסעיף 18 לחוק ההתיישנות, מוקשית אף היא. כפי שהוסבר בספרות ובפסיקה, "'</w:t>
      </w:r>
      <w:r w:rsidRPr="002A21C1">
        <w:rPr>
          <w:rFonts w:ascii="Century" w:hAnsi="Century" w:cs="Miriam" w:hint="cs"/>
          <w:b/>
          <w:sz w:val="22"/>
          <w:rtl/>
        </w:rPr>
        <w:t>חליף</w:t>
      </w:r>
      <w:r w:rsidRPr="002A21C1">
        <w:rPr>
          <w:rFonts w:ascii="Century" w:hAnsi="Century" w:cs="FrankRuehl" w:hint="cs"/>
          <w:spacing w:val="10"/>
          <w:sz w:val="22"/>
          <w:szCs w:val="28"/>
          <w:rtl/>
        </w:rPr>
        <w:t xml:space="preserve">' משמעו דבר הבא במקום קודמו, ולא </w:t>
      </w:r>
      <w:r w:rsidRPr="002A21C1">
        <w:rPr>
          <w:rFonts w:ascii="Century" w:hAnsi="Century" w:cs="Miriam" w:hint="cs"/>
          <w:b/>
          <w:sz w:val="22"/>
          <w:rtl/>
        </w:rPr>
        <w:t>לחלופין</w:t>
      </w:r>
      <w:r w:rsidRPr="002A21C1">
        <w:rPr>
          <w:rFonts w:ascii="Century" w:hAnsi="Century" w:cs="FrankRuehl" w:hint="cs"/>
          <w:spacing w:val="10"/>
          <w:sz w:val="22"/>
          <w:szCs w:val="28"/>
          <w:rtl/>
        </w:rPr>
        <w:t xml:space="preserve">, אלא </w:t>
      </w:r>
      <w:r w:rsidRPr="002A21C1">
        <w:rPr>
          <w:rFonts w:ascii="Century" w:hAnsi="Century" w:cs="FrankRuehl" w:hint="cs"/>
          <w:spacing w:val="40"/>
          <w:sz w:val="22"/>
          <w:szCs w:val="28"/>
          <w:rtl/>
        </w:rPr>
        <w:t>לחלוטין</w:t>
      </w:r>
      <w:r w:rsidRPr="002A21C1">
        <w:rPr>
          <w:rFonts w:ascii="Century" w:hAnsi="Century" w:cs="FrankRuehl" w:hint="cs"/>
          <w:spacing w:val="10"/>
          <w:sz w:val="22"/>
          <w:szCs w:val="28"/>
          <w:rtl/>
        </w:rPr>
        <w:t xml:space="preserve">, כשהקודם נעלם ואיננו" (מאיר שלי "מן המילון המשפטי" </w:t>
      </w:r>
      <w:r w:rsidRPr="002A21C1">
        <w:rPr>
          <w:rFonts w:ascii="Century" w:hAnsi="Century" w:cs="Miriam" w:hint="cs"/>
          <w:b/>
          <w:sz w:val="22"/>
          <w:rtl/>
        </w:rPr>
        <w:t>הפרקליט</w:t>
      </w:r>
      <w:r w:rsidRPr="002A21C1">
        <w:rPr>
          <w:rFonts w:ascii="Century" w:hAnsi="Century" w:cs="FrankRuehl" w:hint="cs"/>
          <w:spacing w:val="10"/>
          <w:sz w:val="22"/>
          <w:szCs w:val="28"/>
          <w:rtl/>
        </w:rPr>
        <w:t xml:space="preserve"> כב 397, 399 (1966) (ההדגשות במקור), כפי שהובא גם בפסק דינו של השופט </w:t>
      </w:r>
      <w:r w:rsidRPr="002A21C1">
        <w:rPr>
          <w:rFonts w:ascii="Century" w:hAnsi="Century" w:cs="Miriam" w:hint="cs"/>
          <w:b/>
          <w:sz w:val="22"/>
          <w:rtl/>
        </w:rPr>
        <w:t>ברנזון</w:t>
      </w:r>
      <w:r w:rsidRPr="002A21C1">
        <w:rPr>
          <w:rFonts w:ascii="Century" w:hAnsi="Century" w:cs="FrankRuehl" w:hint="cs"/>
          <w:spacing w:val="10"/>
          <w:sz w:val="22"/>
          <w:szCs w:val="28"/>
          <w:rtl/>
        </w:rPr>
        <w:t xml:space="preserve"> ב</w:t>
      </w:r>
      <w:r w:rsidRPr="002A21C1">
        <w:rPr>
          <w:rFonts w:ascii="Century" w:hAnsi="Century" w:cs="FrankRuehl"/>
          <w:spacing w:val="10"/>
          <w:sz w:val="22"/>
          <w:szCs w:val="28"/>
          <w:rtl/>
        </w:rPr>
        <w:t>ע</w:t>
      </w:r>
      <w:r w:rsidRPr="002A21C1">
        <w:rPr>
          <w:rFonts w:ascii="Century" w:hAnsi="Century" w:cs="FrankRuehl" w:hint="cs"/>
          <w:spacing w:val="10"/>
          <w:sz w:val="22"/>
          <w:szCs w:val="28"/>
          <w:rtl/>
        </w:rPr>
        <w:t>"</w:t>
      </w:r>
      <w:r w:rsidRPr="002A21C1">
        <w:rPr>
          <w:rFonts w:ascii="Century" w:hAnsi="Century" w:cs="FrankRuehl"/>
          <w:spacing w:val="10"/>
          <w:sz w:val="22"/>
          <w:szCs w:val="28"/>
          <w:rtl/>
        </w:rPr>
        <w:t>א</w:t>
      </w:r>
      <w:r w:rsidRPr="002A21C1">
        <w:rPr>
          <w:rFonts w:ascii="Century" w:hAnsi="Century" w:cs="FrankRuehl" w:hint="cs"/>
          <w:spacing w:val="10"/>
          <w:sz w:val="22"/>
          <w:szCs w:val="28"/>
          <w:rtl/>
        </w:rPr>
        <w:t xml:space="preserve"> </w:t>
      </w:r>
      <w:r w:rsidRPr="002A21C1">
        <w:rPr>
          <w:rFonts w:ascii="Century" w:hAnsi="Century" w:cs="FrankRuehl"/>
          <w:spacing w:val="10"/>
          <w:sz w:val="22"/>
          <w:szCs w:val="28"/>
          <w:rtl/>
        </w:rPr>
        <w:t xml:space="preserve">242/66 </w:t>
      </w:r>
      <w:r w:rsidRPr="002A21C1">
        <w:rPr>
          <w:rFonts w:ascii="Century" w:hAnsi="Century" w:cs="Miriam"/>
          <w:b/>
          <w:sz w:val="22"/>
          <w:rtl/>
        </w:rPr>
        <w:t>יעקובסון נ' גז</w:t>
      </w:r>
      <w:r w:rsidRPr="002A21C1">
        <w:rPr>
          <w:rFonts w:ascii="Century" w:hAnsi="Century" w:cs="FrankRuehl"/>
          <w:spacing w:val="10"/>
          <w:sz w:val="22"/>
          <w:szCs w:val="28"/>
          <w:rtl/>
        </w:rPr>
        <w:t>, פ</w:t>
      </w:r>
      <w:r w:rsidRPr="002A21C1">
        <w:rPr>
          <w:rFonts w:ascii="Century" w:hAnsi="Century" w:cs="FrankRuehl" w:hint="cs"/>
          <w:spacing w:val="10"/>
          <w:sz w:val="22"/>
          <w:szCs w:val="28"/>
          <w:rtl/>
        </w:rPr>
        <w:t>"</w:t>
      </w:r>
      <w:r w:rsidRPr="002A21C1">
        <w:rPr>
          <w:rFonts w:ascii="Century" w:hAnsi="Century" w:cs="FrankRuehl"/>
          <w:spacing w:val="10"/>
          <w:sz w:val="22"/>
          <w:szCs w:val="28"/>
          <w:rtl/>
        </w:rPr>
        <w:t>ד כא(1) 85</w:t>
      </w:r>
      <w:r w:rsidRPr="002A21C1">
        <w:rPr>
          <w:rFonts w:ascii="Century" w:hAnsi="Century" w:cs="FrankRuehl" w:hint="cs"/>
          <w:spacing w:val="10"/>
          <w:sz w:val="22"/>
          <w:szCs w:val="28"/>
          <w:rtl/>
        </w:rPr>
        <w:t xml:space="preserve">, 98-97 </w:t>
      </w:r>
      <w:r w:rsidRPr="002A21C1">
        <w:rPr>
          <w:rFonts w:ascii="Arial TUR" w:hAnsi="Arial TUR" w:cs="FrankRuehl" w:hint="cs"/>
          <w:spacing w:val="10"/>
          <w:sz w:val="22"/>
          <w:szCs w:val="28"/>
          <w:rtl/>
        </w:rPr>
        <w:t>(1967)</w:t>
      </w:r>
      <w:r w:rsidRPr="002A21C1">
        <w:rPr>
          <w:rFonts w:ascii="Century" w:hAnsi="Century" w:cs="FrankRuehl" w:hint="cs"/>
          <w:spacing w:val="10"/>
          <w:sz w:val="22"/>
          <w:szCs w:val="28"/>
          <w:rtl/>
        </w:rPr>
        <w:t>).</w:t>
      </w:r>
      <w:r w:rsidRPr="002A21C1">
        <w:rPr>
          <w:rFonts w:ascii="Arial TUR" w:hAnsi="Arial TUR" w:cs="FrankRuehl" w:hint="cs"/>
          <w:spacing w:val="10"/>
          <w:sz w:val="22"/>
          <w:szCs w:val="28"/>
          <w:rtl/>
        </w:rPr>
        <w:t xml:space="preserve"> </w:t>
      </w:r>
      <w:r w:rsidRPr="002A21C1">
        <w:rPr>
          <w:rFonts w:ascii="Century" w:hAnsi="Century" w:cs="FrankRuehl" w:hint="cs"/>
          <w:spacing w:val="10"/>
          <w:sz w:val="22"/>
          <w:szCs w:val="28"/>
          <w:rtl/>
        </w:rPr>
        <w:t>מעמדו של האפוטרופוס הכללי אינו עולה בקנה אחד עם הגדרה זו, שהרי הבעלים המקורי לא "נעלם ואיננו" עם הקניית הנכס לידי האפוטרופוס הכללי, הנדרש לנהל את הנכסים שברשותו ולהשיבם במידת האפשר לידי הבעלים המקורי.</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23.</w:t>
      </w:r>
      <w:r w:rsidRPr="002A21C1">
        <w:rPr>
          <w:rFonts w:ascii="Century" w:hAnsi="Century" w:cs="FrankRuehl" w:hint="cs"/>
          <w:spacing w:val="10"/>
          <w:sz w:val="22"/>
          <w:szCs w:val="28"/>
          <w:rtl/>
        </w:rPr>
        <w:tab/>
        <w:t>עולה מהאמור, כי הניסיון להחיל על מצב הדברים דנן את הוראות סעיף 18 לחוק ההתיישנות, הוא ניסיון מוקשה. יחסי החליפ</w:t>
      </w:r>
      <w:r w:rsidRPr="002A21C1">
        <w:rPr>
          <w:rFonts w:ascii="FrankRuehl" w:hAnsi="FrankRuehl" w:cs="FrankRuehl"/>
          <w:spacing w:val="10"/>
          <w:sz w:val="22"/>
          <w:szCs w:val="28"/>
          <w:rtl/>
        </w:rPr>
        <w:t>וּ</w:t>
      </w:r>
      <w:r w:rsidRPr="002A21C1">
        <w:rPr>
          <w:rFonts w:ascii="Century" w:hAnsi="Century" w:cs="FrankRuehl" w:hint="cs"/>
          <w:spacing w:val="10"/>
          <w:sz w:val="22"/>
          <w:szCs w:val="28"/>
          <w:rtl/>
        </w:rPr>
        <w:t>ת שבהם מדבר סעיף 18 אינם הולמים את מערכת היחסים שבין ההקדש לבין האפוטרופוס הכללי במקרה דנן, ומשכך, נראה כי אין לייחס למשיבים את ידיעותיו של האפוטרופוס הכללי. אוסיף, למעלה מן הצורך, כי אף אם היה יסוד לסבור כי יש לייחס למשיבים את ידיעותיו של האפוטרופוס הכללי, ספק רב אם ניתן היה, במסגרת בקשת רשות ערעור זו, לקבוע מבחינה עובדתית מה ידע או יכול היה לדעת האפוטרופוס הכללי לאורך השנים, וזאת בפרט משעה שהאפוטרופוס הכללי כלל לא היה צד להליך. לכן, דומה כי אף לשיטת חברתי, הסבורה כי יש לייחס למשיבים את ידיעתו של האפוטרופוס הכללי, הדרך לעשות כן היא באמצעות החזרת הדיון לבית משפט השלום תוך צירוף האפוטרופוס הכללי להליך.</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24.</w:t>
      </w:r>
      <w:r w:rsidRPr="002A21C1">
        <w:rPr>
          <w:rFonts w:ascii="Century" w:hAnsi="Century" w:cs="FrankRuehl" w:hint="cs"/>
          <w:spacing w:val="10"/>
          <w:sz w:val="22"/>
          <w:szCs w:val="28"/>
          <w:rtl/>
        </w:rPr>
        <w:tab/>
        <w:t xml:space="preserve">הנה כי כן, הטענה כי המשיבים הם בגדר חליפיו של האפוטרופוס הכללי וכי יש לייחס להם את ידיעתו של האפוטרופוס, דינה להידחות. ברם, כפי שיוסבר להלן, אף מסקנה זו אינה בבחינת סוף פסוק.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נחזור אל הוראת סעיף 8 לחוק ההתיישנות. עמדנו לעיל על כך שככלל, "</w:t>
      </w:r>
      <w:r w:rsidRPr="002A21C1">
        <w:rPr>
          <w:rFonts w:ascii="FrankRuehl" w:hAnsi="FrankRuehl" w:cs="FrankRuehl"/>
          <w:color w:val="000000"/>
          <w:spacing w:val="10"/>
          <w:sz w:val="28"/>
          <w:szCs w:val="28"/>
          <w:rtl/>
        </w:rPr>
        <w:t>מושא ההתיישנות הוא התביעה עצמה ומירוץ ההתיישנות מופנה לעבר התביעה ולאו דווקא נגד תובע פלונ</w:t>
      </w:r>
      <w:r w:rsidRPr="002A21C1">
        <w:rPr>
          <w:rFonts w:ascii="Century" w:hAnsi="Century" w:cs="FrankRuehl" w:hint="cs"/>
          <w:spacing w:val="10"/>
          <w:sz w:val="22"/>
          <w:szCs w:val="28"/>
          <w:rtl/>
        </w:rPr>
        <w:t xml:space="preserve">י". לא אחת נאמר בפסיקה כי אין להלום מצב שבו המפתח לתחילת מירוץ ההתיישנות יהיה בידיו של התובע. לכן, העובדה שהתובע החליט בשלב מסויים לפנות לעורך דין או למהנדס או לרופא לשם קבלת חוות דעת שהבהירה לו את מצבו המשפטי או העובדתי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לא היא שפותחת את מירוץ ההתיישנות:</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ind w:left="1644" w:right="1276"/>
        <w:jc w:val="both"/>
        <w:rPr>
          <w:rFonts w:ascii="Century" w:hAnsi="Century" w:cs="FrankRuehl"/>
          <w:spacing w:val="10"/>
          <w:sz w:val="22"/>
          <w:szCs w:val="28"/>
          <w:rtl/>
        </w:rPr>
      </w:pPr>
      <w:r w:rsidRPr="002A21C1">
        <w:rPr>
          <w:rFonts w:ascii="Arial TUR" w:hAnsi="Arial TUR" w:cs="FrankRuehl"/>
          <w:spacing w:val="10"/>
          <w:sz w:val="22"/>
          <w:szCs w:val="28"/>
          <w:rtl/>
        </w:rPr>
        <w:t>"</w:t>
      </w:r>
      <w:r w:rsidRPr="002A21C1">
        <w:rPr>
          <w:rFonts w:ascii="Arial TUR" w:hAnsi="Arial TUR" w:cs="FrankRuehl" w:hint="eastAsia"/>
          <w:spacing w:val="10"/>
          <w:sz w:val="22"/>
          <w:szCs w:val="28"/>
          <w:rtl/>
        </w:rPr>
        <w:t>קשה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להלום</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כי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תחילת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מירוץ</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ההתיישנות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תהיה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תלויה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בשאלה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מתי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פנה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הניזוק</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לעורך</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דין</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או</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מתי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פנה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לקבלת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חוות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דעת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רפואית</w:t>
      </w:r>
      <w:r w:rsidRPr="002A21C1">
        <w:rPr>
          <w:rFonts w:ascii="Arial TUR" w:hAnsi="Arial TUR" w:cs="FrankRuehl"/>
          <w:spacing w:val="10"/>
          <w:sz w:val="22"/>
          <w:szCs w:val="28"/>
          <w:rtl/>
        </w:rPr>
        <w:t>-</w:t>
      </w:r>
      <w:r w:rsidRPr="002A21C1">
        <w:rPr>
          <w:rFonts w:ascii="Arial TUR" w:hAnsi="Arial TUR" w:cs="FrankRuehl" w:hint="eastAsia"/>
          <w:spacing w:val="10"/>
          <w:sz w:val="22"/>
          <w:szCs w:val="28"/>
          <w:rtl/>
        </w:rPr>
        <w:t>מקצועית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או</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מתי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גילה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את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הוראת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הדין</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או</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התקדים</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המשפטי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הרלבנטי</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שאם</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תאמר</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כך</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תחילת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מירוץ</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ההתיישנות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נמצאת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בשליטתו</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הבלעדית</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של</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התובע</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בניגוד</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לרציונלים</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שבבסיס</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מוסד</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ההתיישנות</w:t>
      </w:r>
      <w:r w:rsidRPr="002A21C1">
        <w:rPr>
          <w:rFonts w:ascii="Arial TUR" w:hAnsi="Arial TUR" w:cs="FrankRuehl"/>
          <w:spacing w:val="10"/>
          <w:sz w:val="22"/>
          <w:szCs w:val="28"/>
          <w:rtl/>
        </w:rPr>
        <w:t>"</w:t>
      </w:r>
      <w:r w:rsidRPr="002A21C1">
        <w:rPr>
          <w:rFonts w:ascii="Arial TUR" w:hAnsi="Arial TUR" w:cs="FrankRuehl" w:hint="cs"/>
          <w:spacing w:val="10"/>
          <w:sz w:val="28"/>
          <w:szCs w:val="28"/>
          <w:rtl/>
        </w:rPr>
        <w:t xml:space="preserve"> (</w:t>
      </w:r>
      <w:r w:rsidRPr="002A21C1">
        <w:rPr>
          <w:rFonts w:ascii="Arial TUR" w:hAnsi="Arial TUR" w:cs="FrankRuehl"/>
          <w:spacing w:val="10"/>
          <w:sz w:val="22"/>
          <w:szCs w:val="28"/>
          <w:rtl/>
        </w:rPr>
        <w:t>ע"א 1960/11</w:t>
      </w:r>
      <w:r w:rsidRPr="002A21C1">
        <w:rPr>
          <w:rFonts w:ascii="Arial TUR" w:hAnsi="Arial TUR" w:cs="FrankRuehl" w:hint="cs"/>
          <w:spacing w:val="10"/>
          <w:sz w:val="28"/>
          <w:szCs w:val="28"/>
          <w:rtl/>
        </w:rPr>
        <w:t xml:space="preserve"> </w:t>
      </w:r>
      <w:r w:rsidRPr="002A21C1">
        <w:rPr>
          <w:rFonts w:ascii="Arial TUR" w:hAnsi="Arial TUR" w:cs="Miriam" w:hint="eastAsia"/>
          <w:b/>
          <w:sz w:val="22"/>
          <w:rtl/>
        </w:rPr>
        <w:t>אלמוג</w:t>
      </w:r>
      <w:r w:rsidRPr="002A21C1">
        <w:rPr>
          <w:rFonts w:ascii="Arial TUR" w:hAnsi="Arial TUR" w:cs="Miriam"/>
          <w:b/>
          <w:sz w:val="22"/>
          <w:rtl/>
        </w:rPr>
        <w:t xml:space="preserve"> </w:t>
      </w:r>
      <w:r w:rsidRPr="002A21C1">
        <w:rPr>
          <w:rFonts w:ascii="Arial TUR" w:hAnsi="Arial TUR" w:cs="Miriam" w:hint="eastAsia"/>
          <w:b/>
          <w:sz w:val="22"/>
          <w:rtl/>
        </w:rPr>
        <w:t>נ</w:t>
      </w:r>
      <w:r w:rsidRPr="002A21C1">
        <w:rPr>
          <w:rFonts w:ascii="Arial TUR" w:hAnsi="Arial TUR" w:cs="Miriam"/>
          <w:b/>
          <w:sz w:val="22"/>
          <w:rtl/>
        </w:rPr>
        <w:t xml:space="preserve">' </w:t>
      </w:r>
      <w:r w:rsidRPr="002A21C1">
        <w:rPr>
          <w:rFonts w:ascii="Arial TUR" w:hAnsi="Arial TUR" w:cs="Miriam" w:hint="eastAsia"/>
          <w:b/>
          <w:sz w:val="22"/>
          <w:rtl/>
        </w:rPr>
        <w:t>שירותי</w:t>
      </w:r>
      <w:r w:rsidRPr="002A21C1">
        <w:rPr>
          <w:rFonts w:ascii="Arial TUR" w:hAnsi="Arial TUR" w:cs="Miriam"/>
          <w:b/>
          <w:sz w:val="22"/>
          <w:rtl/>
        </w:rPr>
        <w:t xml:space="preserve"> </w:t>
      </w:r>
      <w:r w:rsidRPr="002A21C1">
        <w:rPr>
          <w:rFonts w:ascii="Arial TUR" w:hAnsi="Arial TUR" w:cs="Miriam" w:hint="eastAsia"/>
          <w:b/>
          <w:sz w:val="22"/>
          <w:rtl/>
        </w:rPr>
        <w:t>בריאות</w:t>
      </w:r>
      <w:r w:rsidRPr="002A21C1">
        <w:rPr>
          <w:rFonts w:ascii="Arial TUR" w:hAnsi="Arial TUR" w:cs="Miriam"/>
          <w:b/>
          <w:sz w:val="22"/>
          <w:rtl/>
        </w:rPr>
        <w:t xml:space="preserve"> </w:t>
      </w:r>
      <w:r w:rsidRPr="002A21C1">
        <w:rPr>
          <w:rFonts w:ascii="Arial TUR" w:hAnsi="Arial TUR" w:cs="Miriam" w:hint="eastAsia"/>
          <w:b/>
          <w:sz w:val="22"/>
          <w:rtl/>
        </w:rPr>
        <w:t>כללית</w:t>
      </w:r>
      <w:r w:rsidRPr="002A21C1">
        <w:rPr>
          <w:rFonts w:ascii="Arial TUR" w:hAnsi="Arial TUR" w:cs="FrankRuehl" w:hint="cs"/>
          <w:spacing w:val="10"/>
          <w:sz w:val="28"/>
          <w:szCs w:val="28"/>
          <w:rtl/>
        </w:rPr>
        <w:t>, פסקה 8 (6.5.2013)).</w:t>
      </w:r>
    </w:p>
    <w:p w:rsidR="009562DC" w:rsidRPr="002A21C1" w:rsidRDefault="009562DC" w:rsidP="009562DC">
      <w:pPr>
        <w:ind w:left="1644" w:right="1276"/>
        <w:jc w:val="both"/>
        <w:rPr>
          <w:rFonts w:ascii="Century" w:hAnsi="Century" w:cs="FrankRuehl"/>
          <w:spacing w:val="10"/>
          <w:sz w:val="22"/>
          <w:szCs w:val="28"/>
          <w:rtl/>
        </w:rPr>
      </w:pPr>
    </w:p>
    <w:p w:rsidR="009562DC" w:rsidRPr="002A21C1" w:rsidRDefault="009562DC" w:rsidP="009562DC">
      <w:pPr>
        <w:ind w:left="1644" w:right="1276"/>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השאלה היא אם היתה בידי התובע האפשרות לפנות עוד קודם לכן לעורך הדין או המהנדס או הרופא (ראו, לדוגמה, </w:t>
      </w:r>
      <w:r w:rsidRPr="002A21C1">
        <w:rPr>
          <w:rFonts w:ascii="Century" w:hAnsi="Century" w:cs="FrankRuehl" w:hint="eastAsia"/>
          <w:spacing w:val="10"/>
          <w:sz w:val="22"/>
          <w:szCs w:val="28"/>
          <w:rtl/>
        </w:rPr>
        <w:t>ע</w:t>
      </w:r>
      <w:r w:rsidRPr="002A21C1">
        <w:rPr>
          <w:rFonts w:ascii="Century" w:hAnsi="Century" w:cs="FrankRuehl"/>
          <w:spacing w:val="10"/>
          <w:sz w:val="22"/>
          <w:szCs w:val="28"/>
          <w:rtl/>
        </w:rPr>
        <w:t xml:space="preserve">"א 4381/08 </w:t>
      </w:r>
      <w:r w:rsidRPr="002A21C1">
        <w:rPr>
          <w:rFonts w:ascii="Century" w:hAnsi="Century" w:cs="Miriam" w:hint="eastAsia"/>
          <w:b/>
          <w:sz w:val="22"/>
          <w:rtl/>
        </w:rPr>
        <w:t>קופת</w:t>
      </w:r>
      <w:r w:rsidRPr="002A21C1">
        <w:rPr>
          <w:rFonts w:ascii="Century" w:hAnsi="Century" w:cs="Miriam"/>
          <w:b/>
          <w:sz w:val="22"/>
          <w:rtl/>
        </w:rPr>
        <w:t xml:space="preserve"> חולים </w:t>
      </w:r>
      <w:r w:rsidRPr="002A21C1">
        <w:rPr>
          <w:rFonts w:ascii="Century" w:hAnsi="Century" w:cs="Miriam" w:hint="eastAsia"/>
          <w:b/>
          <w:sz w:val="22"/>
          <w:rtl/>
        </w:rPr>
        <w:t>כללית</w:t>
      </w:r>
      <w:r w:rsidRPr="002A21C1">
        <w:rPr>
          <w:rFonts w:ascii="Century" w:hAnsi="Century" w:cs="Miriam"/>
          <w:b/>
          <w:sz w:val="22"/>
          <w:rtl/>
        </w:rPr>
        <w:t xml:space="preserve"> </w:t>
      </w:r>
      <w:r w:rsidRPr="002A21C1">
        <w:rPr>
          <w:rFonts w:ascii="Century" w:hAnsi="Century" w:cs="Miriam" w:hint="eastAsia"/>
          <w:b/>
          <w:sz w:val="22"/>
          <w:rtl/>
        </w:rPr>
        <w:t>נ</w:t>
      </w:r>
      <w:r w:rsidRPr="002A21C1">
        <w:rPr>
          <w:rFonts w:ascii="Century" w:hAnsi="Century" w:cs="Miriam"/>
          <w:b/>
          <w:sz w:val="22"/>
          <w:rtl/>
        </w:rPr>
        <w:t xml:space="preserve">' </w:t>
      </w:r>
      <w:r w:rsidRPr="002A21C1">
        <w:rPr>
          <w:rFonts w:ascii="Century" w:hAnsi="Century" w:cs="Miriam" w:hint="eastAsia"/>
          <w:b/>
          <w:sz w:val="22"/>
          <w:rtl/>
        </w:rPr>
        <w:t>מוסקוביץ</w:t>
      </w:r>
      <w:r w:rsidRPr="002A21C1">
        <w:rPr>
          <w:rFonts w:ascii="Century" w:hAnsi="Century" w:cs="Miriam"/>
          <w:b/>
          <w:sz w:val="22"/>
          <w:rtl/>
        </w:rPr>
        <w:t xml:space="preserve"> </w:t>
      </w:r>
      <w:r w:rsidRPr="002A21C1">
        <w:rPr>
          <w:rFonts w:ascii="Century" w:hAnsi="Century" w:cs="FrankRuehl"/>
          <w:spacing w:val="10"/>
          <w:sz w:val="22"/>
          <w:szCs w:val="28"/>
          <w:rtl/>
        </w:rPr>
        <w:t>(16.1.2012)</w:t>
      </w:r>
      <w:r>
        <w:rPr>
          <w:rFonts w:ascii="Century" w:hAnsi="Century" w:cs="FrankRuehl" w:hint="cs"/>
          <w:spacing w:val="10"/>
          <w:sz w:val="22"/>
          <w:szCs w:val="28"/>
          <w:rtl/>
        </w:rPr>
        <w:t>)</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היה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באפשרותו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התובע</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לגלות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העובדות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הצריכות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לגבש</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עילת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התביעה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עוד</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קודם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לכן</w:t>
      </w:r>
      <w:r w:rsidRPr="002A21C1">
        <w:rPr>
          <w:rFonts w:ascii="Century" w:hAnsi="Century" w:cs="FrankRuehl"/>
          <w:spacing w:val="10"/>
          <w:sz w:val="22"/>
          <w:szCs w:val="28"/>
          <w:rtl/>
        </w:rPr>
        <w:t>. "</w:t>
      </w:r>
      <w:r w:rsidRPr="002A21C1">
        <w:rPr>
          <w:rFonts w:ascii="Century" w:hAnsi="Century" w:cs="FrankRuehl" w:hint="eastAsia"/>
          <w:spacing w:val="10"/>
          <w:sz w:val="22"/>
          <w:szCs w:val="28"/>
          <w:rtl/>
        </w:rPr>
        <w:t>ההתיישנות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אינה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מחכה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לראיות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מלאכת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המרת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העובדות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לראיות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היא</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נחלתו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התובע</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ועליו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להשלים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מלאכה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זו</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במסגרת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הזמן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w:t>
      </w:r>
      <w:hyperlink w:history="1">
        <w:r w:rsidRPr="002A21C1">
          <w:rPr>
            <w:rFonts w:ascii="Century" w:hAnsi="Century" w:cs="FrankRuehl"/>
            <w:spacing w:val="10"/>
            <w:sz w:val="22"/>
            <w:szCs w:val="28"/>
            <w:rtl/>
          </w:rPr>
          <w:t>חוק ההתיישנות</w:t>
        </w:r>
      </w:hyperlink>
      <w:r w:rsidRPr="002A21C1">
        <w:rPr>
          <w:rFonts w:ascii="Century" w:hAnsi="Century" w:cs="FrankRuehl"/>
          <w:spacing w:val="10"/>
          <w:sz w:val="22"/>
          <w:szCs w:val="28"/>
          <w:rtl/>
        </w:rPr>
        <w:t xml:space="preserve"> מקציב לו" (</w:t>
      </w:r>
      <w:r w:rsidRPr="002A21C1">
        <w:rPr>
          <w:rFonts w:ascii="Century" w:hAnsi="Century" w:cs="FrankRuehl" w:hint="eastAsia"/>
          <w:spacing w:val="10"/>
          <w:sz w:val="22"/>
          <w:szCs w:val="28"/>
          <w:rtl/>
        </w:rPr>
        <w:t>ע</w:t>
      </w:r>
      <w:r w:rsidRPr="002A21C1">
        <w:rPr>
          <w:rFonts w:ascii="Century" w:hAnsi="Century" w:cs="FrankRuehl"/>
          <w:spacing w:val="10"/>
          <w:sz w:val="22"/>
          <w:szCs w:val="28"/>
          <w:rtl/>
        </w:rPr>
        <w:t xml:space="preserve">"א 1442/13 </w:t>
      </w:r>
      <w:r w:rsidRPr="002A21C1">
        <w:rPr>
          <w:rFonts w:ascii="Century" w:hAnsi="Century" w:cs="Miriam" w:hint="eastAsia"/>
          <w:b/>
          <w:sz w:val="22"/>
          <w:rtl/>
        </w:rPr>
        <w:t>זוארס</w:t>
      </w:r>
      <w:r w:rsidRPr="002A21C1">
        <w:rPr>
          <w:rFonts w:ascii="Century" w:hAnsi="Century" w:cs="Miriam"/>
          <w:b/>
          <w:sz w:val="22"/>
          <w:rtl/>
        </w:rPr>
        <w:t xml:space="preserve"> </w:t>
      </w:r>
      <w:r w:rsidRPr="002A21C1">
        <w:rPr>
          <w:rFonts w:ascii="Century" w:hAnsi="Century" w:cs="Miriam" w:hint="eastAsia"/>
          <w:b/>
          <w:sz w:val="22"/>
          <w:rtl/>
        </w:rPr>
        <w:t>נ</w:t>
      </w:r>
      <w:r w:rsidRPr="002A21C1">
        <w:rPr>
          <w:rFonts w:ascii="Century" w:hAnsi="Century" w:cs="Miriam"/>
          <w:b/>
          <w:sz w:val="22"/>
          <w:rtl/>
        </w:rPr>
        <w:t xml:space="preserve">' </w:t>
      </w:r>
      <w:r w:rsidRPr="002A21C1">
        <w:rPr>
          <w:rFonts w:ascii="Century" w:hAnsi="Century" w:cs="Miriam" w:hint="eastAsia"/>
          <w:b/>
          <w:sz w:val="22"/>
          <w:rtl/>
        </w:rPr>
        <w:t>התעשיה</w:t>
      </w:r>
      <w:r w:rsidRPr="002A21C1">
        <w:rPr>
          <w:rFonts w:ascii="Century" w:hAnsi="Century" w:cs="Miriam"/>
          <w:b/>
          <w:sz w:val="22"/>
          <w:rtl/>
        </w:rPr>
        <w:t xml:space="preserve"> </w:t>
      </w:r>
      <w:r w:rsidRPr="002A21C1">
        <w:rPr>
          <w:rFonts w:ascii="Century" w:hAnsi="Century" w:cs="Miriam" w:hint="eastAsia"/>
          <w:b/>
          <w:sz w:val="22"/>
          <w:rtl/>
        </w:rPr>
        <w:t>הצבאית</w:t>
      </w:r>
      <w:r w:rsidRPr="002A21C1">
        <w:rPr>
          <w:rFonts w:ascii="Century" w:hAnsi="Century" w:cs="Miriam"/>
          <w:b/>
          <w:sz w:val="22"/>
          <w:rtl/>
        </w:rPr>
        <w:t xml:space="preserve"> </w:t>
      </w:r>
      <w:r w:rsidRPr="002A21C1">
        <w:rPr>
          <w:rFonts w:ascii="Century" w:hAnsi="Century" w:cs="Miriam" w:hint="eastAsia"/>
          <w:b/>
          <w:sz w:val="22"/>
          <w:rtl/>
        </w:rPr>
        <w:t>ישראל</w:t>
      </w:r>
      <w:r w:rsidRPr="002A21C1">
        <w:rPr>
          <w:rFonts w:ascii="Century" w:hAnsi="Century" w:cs="Miriam"/>
          <w:b/>
          <w:sz w:val="22"/>
          <w:rtl/>
        </w:rPr>
        <w:t xml:space="preserve"> </w:t>
      </w:r>
      <w:r w:rsidRPr="002A21C1">
        <w:rPr>
          <w:rFonts w:ascii="Century" w:hAnsi="Century" w:cs="Miriam" w:hint="eastAsia"/>
          <w:b/>
          <w:sz w:val="22"/>
          <w:rtl/>
        </w:rPr>
        <w:t>בע</w:t>
      </w:r>
      <w:r w:rsidRPr="002A21C1">
        <w:rPr>
          <w:rFonts w:ascii="Century" w:hAnsi="Century" w:cs="Miriam"/>
          <w:b/>
          <w:sz w:val="22"/>
          <w:rtl/>
        </w:rPr>
        <w:t>"מ</w:t>
      </w:r>
      <w:r w:rsidRPr="002A21C1">
        <w:rPr>
          <w:rFonts w:ascii="Century" w:hAnsi="Century" w:cs="FrankRuehl" w:hint="cs"/>
          <w:spacing w:val="10"/>
          <w:sz w:val="22"/>
          <w:szCs w:val="28"/>
          <w:rtl/>
        </w:rPr>
        <w:t>,</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בפסקה</w:t>
      </w:r>
      <w:r w:rsidRPr="002A21C1">
        <w:rPr>
          <w:rFonts w:ascii="Century" w:hAnsi="Century" w:cs="FrankRuehl"/>
          <w:spacing w:val="10"/>
          <w:sz w:val="22"/>
          <w:szCs w:val="28"/>
          <w:rtl/>
        </w:rPr>
        <w:t xml:space="preserve"> </w:t>
      </w:r>
      <w:r w:rsidRPr="002A21C1">
        <w:rPr>
          <w:rFonts w:ascii="Century" w:hAnsi="Century" w:cs="FrankRuehl" w:hint="cs"/>
          <w:spacing w:val="10"/>
          <w:sz w:val="22"/>
          <w:szCs w:val="28"/>
          <w:rtl/>
        </w:rPr>
        <w:t xml:space="preserve">16 </w:t>
      </w:r>
      <w:r w:rsidRPr="002A21C1">
        <w:rPr>
          <w:rFonts w:ascii="Century" w:hAnsi="Century" w:cs="FrankRuehl"/>
          <w:spacing w:val="10"/>
          <w:sz w:val="22"/>
          <w:szCs w:val="28"/>
          <w:rtl/>
        </w:rPr>
        <w:t>(18.8.2016)).</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25.</w:t>
      </w: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הקדש בנבנישתי ידע כי יש בבעלותו נכס שנמצא בסילואן. מה מנע בעד ההקדש לפתוח בבדיקה מה אירע בגורלו של הנכס שבבעלותו למחרת היום שבו הסתיימה מלחמת ששת הימים בחודש יוני 1967, ולמצער, למחרת היום שבו נחקק </w:t>
      </w:r>
      <w:r w:rsidRPr="002A21C1">
        <w:rPr>
          <w:rFonts w:ascii="Arial TUR" w:hAnsi="Arial TUR" w:cs="FrankRuehl" w:hint="cs"/>
          <w:spacing w:val="10"/>
          <w:sz w:val="22"/>
          <w:szCs w:val="28"/>
          <w:rtl/>
        </w:rPr>
        <w:t xml:space="preserve">חוק הסדרי משפט ומינהל? </w:t>
      </w:r>
      <w:r w:rsidRPr="002A21C1">
        <w:rPr>
          <w:rFonts w:ascii="Century" w:hAnsi="Century" w:cs="Miriam" w:hint="eastAsia"/>
          <w:b/>
          <w:sz w:val="22"/>
          <w:rtl/>
        </w:rPr>
        <w:t>לכאורה</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מירוץ</w:t>
      </w:r>
      <w:r w:rsidRPr="002A21C1">
        <w:rPr>
          <w:rFonts w:ascii="Arial TUR" w:hAnsi="Arial TUR" w:cs="FrankRuehl"/>
          <w:spacing w:val="10"/>
          <w:sz w:val="22"/>
          <w:szCs w:val="28"/>
          <w:rtl/>
        </w:rPr>
        <w:t xml:space="preserve"> ההתיישנות מתחיל מאותו יום שהיה באפשרות הקדש בנבנישתי להתחיל לחקור ולדרוש מה עלה בגורלו של הנכס שבבעלותם, דהיינו, עוד משנות השבעים-השמונים והתשעים</w:t>
      </w:r>
      <w:r w:rsidRPr="002A21C1">
        <w:rPr>
          <w:rFonts w:ascii="Arial TUR" w:hAnsi="Arial TUR" w:cs="FrankRuehl" w:hint="cs"/>
          <w:spacing w:val="10"/>
          <w:sz w:val="22"/>
          <w:szCs w:val="28"/>
          <w:rtl/>
        </w:rPr>
        <w:t xml:space="preserve">. המחוקק השעה את תקופת ההתיישנות </w:t>
      </w:r>
      <w:r w:rsidRPr="002A21C1">
        <w:rPr>
          <w:rFonts w:ascii="Century" w:hAnsi="Century" w:cs="FrankRuehl" w:hint="cs"/>
          <w:spacing w:val="10"/>
          <w:sz w:val="22"/>
          <w:szCs w:val="28"/>
          <w:rtl/>
        </w:rPr>
        <w:t>במקרה שבו קיימת מניעה פיזית-משפטית לקיים בירור משפטי, מאחר שהבעלים נמצא "</w:t>
      </w:r>
      <w:r w:rsidRPr="002A21C1">
        <w:rPr>
          <w:rFonts w:ascii="Arial TUR" w:hAnsi="Arial TUR" w:cs="FrankRuehl"/>
          <w:spacing w:val="10"/>
          <w:sz w:val="22"/>
          <w:szCs w:val="28"/>
          <w:rtl/>
        </w:rPr>
        <w:t>בשטח מדינה, שמחמת התנאים שהיה נתון בהם שם או מחמת היחסים שהיו שוררים בין אותה מדינה לבין מדינת ישראל לא יכול היה, הוא או בעל דינו, לקיים את הבירור המשפטי</w:t>
      </w:r>
      <w:r w:rsidRPr="002A21C1">
        <w:rPr>
          <w:rFonts w:ascii="Arial TUR" w:hAnsi="Arial TUR" w:cs="FrankRuehl" w:hint="cs"/>
          <w:spacing w:val="10"/>
          <w:sz w:val="22"/>
          <w:szCs w:val="28"/>
          <w:rtl/>
        </w:rPr>
        <w:t xml:space="preserve">" </w:t>
      </w:r>
      <w:r w:rsidRPr="002A21C1">
        <w:rPr>
          <w:rFonts w:ascii="Arial TUR" w:hAnsi="Arial TUR" w:cs="FrankRuehl"/>
          <w:spacing w:val="10"/>
          <w:sz w:val="22"/>
          <w:szCs w:val="28"/>
          <w:rtl/>
        </w:rPr>
        <w:t xml:space="preserve">(סעיף 14 </w:t>
      </w:r>
      <w:r w:rsidRPr="002A21C1">
        <w:rPr>
          <w:rFonts w:ascii="Arial TUR" w:hAnsi="Arial TUR" w:cs="FrankRuehl" w:hint="eastAsia"/>
          <w:spacing w:val="10"/>
          <w:sz w:val="22"/>
          <w:szCs w:val="28"/>
          <w:rtl/>
        </w:rPr>
        <w:t>לחוק</w:t>
      </w:r>
      <w:r w:rsidRPr="002A21C1">
        <w:rPr>
          <w:rFonts w:ascii="Arial TUR" w:hAnsi="Arial TUR" w:cs="FrankRuehl"/>
          <w:spacing w:val="10"/>
          <w:sz w:val="22"/>
          <w:szCs w:val="28"/>
          <w:rtl/>
        </w:rPr>
        <w:t xml:space="preserve"> </w:t>
      </w:r>
      <w:r w:rsidRPr="002A21C1">
        <w:rPr>
          <w:rFonts w:ascii="Arial TUR" w:hAnsi="Arial TUR" w:cs="FrankRuehl" w:hint="eastAsia"/>
          <w:spacing w:val="10"/>
          <w:sz w:val="22"/>
          <w:szCs w:val="28"/>
          <w:rtl/>
        </w:rPr>
        <w:t>ההתיישנות</w:t>
      </w:r>
      <w:r w:rsidRPr="002A21C1">
        <w:rPr>
          <w:rFonts w:ascii="Arial TUR" w:hAnsi="Arial TUR" w:cs="FrankRuehl" w:hint="cs"/>
          <w:spacing w:val="10"/>
          <w:sz w:val="22"/>
          <w:szCs w:val="28"/>
          <w:rtl/>
        </w:rPr>
        <w:t>)</w:t>
      </w:r>
      <w:r w:rsidRPr="002A21C1">
        <w:rPr>
          <w:rFonts w:ascii="Arial TUR" w:hAnsi="Arial TUR" w:cs="FrankRuehl"/>
          <w:spacing w:val="10"/>
          <w:sz w:val="22"/>
          <w:szCs w:val="28"/>
        </w:rPr>
        <w:t>.</w:t>
      </w:r>
      <w:r w:rsidRPr="002A21C1">
        <w:rPr>
          <w:rFonts w:ascii="Century" w:hAnsi="Century" w:cs="FrankRuehl" w:hint="cs"/>
          <w:spacing w:val="10"/>
          <w:sz w:val="22"/>
          <w:szCs w:val="28"/>
          <w:rtl/>
        </w:rPr>
        <w:t xml:space="preserve"> המחוקק לא השעה את תקופת ההתיישנות של </w:t>
      </w:r>
      <w:r w:rsidRPr="002A21C1">
        <w:rPr>
          <w:rFonts w:ascii="Arial TUR" w:hAnsi="Arial TUR" w:cs="FrankRuehl" w:hint="cs"/>
          <w:spacing w:val="10"/>
          <w:sz w:val="22"/>
          <w:szCs w:val="28"/>
          <w:rtl/>
        </w:rPr>
        <w:t xml:space="preserve">בעל נכס שבניהולו של </w:t>
      </w:r>
      <w:r w:rsidRPr="002A21C1">
        <w:rPr>
          <w:rFonts w:ascii="Century" w:hAnsi="Century" w:cs="FrankRuehl"/>
          <w:spacing w:val="10"/>
          <w:sz w:val="22"/>
          <w:szCs w:val="28"/>
          <w:rtl/>
        </w:rPr>
        <w:t>האפוטרופוס הכללי</w:t>
      </w:r>
      <w:r w:rsidRPr="002A21C1">
        <w:rPr>
          <w:rFonts w:ascii="Century" w:hAnsi="Century" w:cs="FrankRuehl" w:hint="cs"/>
          <w:spacing w:val="10"/>
          <w:sz w:val="22"/>
          <w:szCs w:val="28"/>
          <w:rtl/>
        </w:rPr>
        <w:t xml:space="preserve">, מקום שבו בעל הנכס נמצא בישראל, וזה היה המצב שבו נמצא הקדש בנבנישתי יום למחרת מלחמת ששת הימים. </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ודוק: בית משפט השלום דחה את טענת ההתיישנות על בסיס הקביעה כי המצב העובדתי במקרקעין היה סבוך, כי המשיבים השקיעו מאמצים רבים לצורך התחקות אחר העובדות הנדרשות להגשת התביעה, וכי זו הוגשה בסמוך לאחר שעלה בידיהם לעמוד על זהות המחזיקים.</w:t>
      </w:r>
      <w:r w:rsidRPr="002A21C1">
        <w:rPr>
          <w:rFonts w:ascii="Century" w:hAnsi="Century" w:cs="Miriam" w:hint="cs"/>
          <w:b/>
          <w:sz w:val="22"/>
          <w:rtl/>
        </w:rPr>
        <w:t xml:space="preserve"> </w:t>
      </w:r>
      <w:r w:rsidRPr="002A21C1">
        <w:rPr>
          <w:rFonts w:ascii="Century" w:hAnsi="Century" w:cs="FrankRuehl" w:hint="cs"/>
          <w:spacing w:val="10"/>
          <w:sz w:val="22"/>
          <w:szCs w:val="28"/>
          <w:rtl/>
        </w:rPr>
        <w:t xml:space="preserve">על פני הדברים, קביעה זו של בית משפט השלום מתייחסת לידיעתם </w:t>
      </w:r>
      <w:r w:rsidRPr="002A21C1">
        <w:rPr>
          <w:rFonts w:ascii="Century" w:hAnsi="Century" w:cs="Miriam" w:hint="cs"/>
          <w:b/>
          <w:sz w:val="22"/>
          <w:rtl/>
        </w:rPr>
        <w:t>הסובייקטיבית</w:t>
      </w:r>
      <w:r w:rsidRPr="002A21C1">
        <w:rPr>
          <w:rFonts w:ascii="Century" w:hAnsi="Century" w:cs="FrankRuehl" w:hint="cs"/>
          <w:spacing w:val="10"/>
          <w:sz w:val="22"/>
          <w:szCs w:val="28"/>
          <w:rtl/>
        </w:rPr>
        <w:t xml:space="preserve"> של המשיבים באשר לעובדות המגבשות את עילת התביעה, ובכללן ידיעה בדבר זהות המחזיקים. ברם, כפי שעולה מלשונו של סעיף 8 לחוק ההתיישנות וכפי שהובהר בפסיקה, יישום כלל הגילוי המאוחר באמצעות התחקות אחר ידיעתו בפועל ובכוח של התובע, נעשה על פי מבחן </w:t>
      </w:r>
      <w:r w:rsidRPr="002A21C1">
        <w:rPr>
          <w:rFonts w:ascii="Century" w:hAnsi="Century" w:cs="Miriam" w:hint="cs"/>
          <w:b/>
          <w:sz w:val="22"/>
          <w:rtl/>
        </w:rPr>
        <w:t>אובייקטיבי</w:t>
      </w:r>
      <w:r w:rsidRPr="002A21C1">
        <w:rPr>
          <w:rFonts w:ascii="Century" w:hAnsi="Century" w:cs="FrankRuehl" w:hint="cs"/>
          <w:spacing w:val="10"/>
          <w:sz w:val="22"/>
          <w:szCs w:val="28"/>
          <w:rtl/>
        </w:rPr>
        <w:t xml:space="preserve"> של האדם הסביר והאמצעים הסבירים, תוך התחשבות בנסיבות העניין (עניין </w:t>
      </w:r>
      <w:r w:rsidRPr="002A21C1">
        <w:rPr>
          <w:rFonts w:ascii="Century" w:hAnsi="Century" w:cs="Miriam" w:hint="cs"/>
          <w:b/>
          <w:sz w:val="22"/>
          <w:rtl/>
        </w:rPr>
        <w:t>גיא-ליפל</w:t>
      </w:r>
      <w:r>
        <w:rPr>
          <w:rFonts w:ascii="Century" w:hAnsi="Century" w:cs="FrankRuehl" w:hint="cs"/>
          <w:spacing w:val="10"/>
          <w:sz w:val="22"/>
          <w:szCs w:val="28"/>
          <w:rtl/>
        </w:rPr>
        <w:t xml:space="preserve">, </w:t>
      </w:r>
      <w:r w:rsidRPr="002A21C1">
        <w:rPr>
          <w:rFonts w:ascii="Century" w:hAnsi="Century" w:cs="FrankRuehl" w:hint="cs"/>
          <w:spacing w:val="10"/>
          <w:sz w:val="22"/>
          <w:szCs w:val="28"/>
          <w:rtl/>
        </w:rPr>
        <w:t xml:space="preserve">פסקה 56). מכאן, </w:t>
      </w:r>
      <w:r w:rsidRPr="002A21C1">
        <w:rPr>
          <w:rFonts w:ascii="Century" w:hAnsi="Century" w:cs="Miriam" w:hint="eastAsia"/>
          <w:b/>
          <w:sz w:val="22"/>
          <w:rtl/>
        </w:rPr>
        <w:t>לכאורה</w:t>
      </w:r>
      <w:r w:rsidRPr="002A21C1">
        <w:rPr>
          <w:rFonts w:ascii="Arial TUR" w:hAnsi="Arial TUR" w:cs="FrankRuehl"/>
          <w:spacing w:val="10"/>
          <w:sz w:val="22"/>
          <w:szCs w:val="28"/>
          <w:rtl/>
        </w:rPr>
        <w:t xml:space="preserve">, </w:t>
      </w:r>
      <w:r w:rsidRPr="002A21C1">
        <w:rPr>
          <w:rFonts w:ascii="Arial TUR" w:hAnsi="Arial TUR" w:cs="FrankRuehl" w:hint="cs"/>
          <w:spacing w:val="10"/>
          <w:sz w:val="22"/>
          <w:szCs w:val="28"/>
          <w:rtl/>
        </w:rPr>
        <w:t xml:space="preserve">ניתן להסיק כי </w:t>
      </w:r>
      <w:r w:rsidRPr="002A21C1">
        <w:rPr>
          <w:rFonts w:ascii="Arial TUR" w:hAnsi="Arial TUR" w:cs="FrankRuehl" w:hint="eastAsia"/>
          <w:spacing w:val="10"/>
          <w:sz w:val="22"/>
          <w:szCs w:val="28"/>
          <w:rtl/>
        </w:rPr>
        <w:t>מירוץ</w:t>
      </w:r>
      <w:r w:rsidRPr="002A21C1">
        <w:rPr>
          <w:rFonts w:ascii="Arial TUR" w:hAnsi="Arial TUR" w:cs="FrankRuehl"/>
          <w:spacing w:val="10"/>
          <w:sz w:val="22"/>
          <w:szCs w:val="28"/>
          <w:rtl/>
        </w:rPr>
        <w:t xml:space="preserve"> ההתיישנות </w:t>
      </w:r>
      <w:r w:rsidRPr="002A21C1">
        <w:rPr>
          <w:rFonts w:ascii="Arial TUR" w:hAnsi="Arial TUR" w:cs="FrankRuehl" w:hint="cs"/>
          <w:spacing w:val="10"/>
          <w:sz w:val="22"/>
          <w:szCs w:val="28"/>
          <w:rtl/>
        </w:rPr>
        <w:t>החל</w:t>
      </w:r>
      <w:r w:rsidRPr="002A21C1">
        <w:rPr>
          <w:rFonts w:ascii="Arial TUR" w:hAnsi="Arial TUR" w:cs="FrankRuehl"/>
          <w:spacing w:val="10"/>
          <w:sz w:val="22"/>
          <w:szCs w:val="28"/>
          <w:rtl/>
        </w:rPr>
        <w:t xml:space="preserve"> מ</w:t>
      </w:r>
      <w:r w:rsidRPr="002A21C1">
        <w:rPr>
          <w:rFonts w:ascii="Arial TUR" w:hAnsi="Arial TUR" w:cs="FrankRuehl" w:hint="cs"/>
          <w:spacing w:val="10"/>
          <w:sz w:val="22"/>
          <w:szCs w:val="28"/>
          <w:rtl/>
        </w:rPr>
        <w:t>נקודת הזמן שבה</w:t>
      </w:r>
      <w:r w:rsidRPr="002A21C1">
        <w:rPr>
          <w:rFonts w:ascii="Arial TUR" w:hAnsi="Arial TUR" w:cs="FrankRuehl"/>
          <w:spacing w:val="10"/>
          <w:sz w:val="22"/>
          <w:szCs w:val="28"/>
          <w:rtl/>
        </w:rPr>
        <w:t xml:space="preserve"> היה באפשרות</w:t>
      </w:r>
      <w:r w:rsidRPr="002A21C1">
        <w:rPr>
          <w:rFonts w:ascii="Arial TUR" w:hAnsi="Arial TUR" w:cs="FrankRuehl" w:hint="cs"/>
          <w:spacing w:val="10"/>
          <w:sz w:val="22"/>
          <w:szCs w:val="28"/>
          <w:rtl/>
        </w:rPr>
        <w:t>ו של</w:t>
      </w:r>
      <w:r w:rsidRPr="002A21C1">
        <w:rPr>
          <w:rFonts w:ascii="Arial TUR" w:hAnsi="Arial TUR" w:cs="FrankRuehl"/>
          <w:spacing w:val="10"/>
          <w:sz w:val="22"/>
          <w:szCs w:val="28"/>
          <w:rtl/>
        </w:rPr>
        <w:t xml:space="preserve"> הקדש בנבנישתי </w:t>
      </w:r>
      <w:r w:rsidRPr="002A21C1">
        <w:rPr>
          <w:rFonts w:ascii="Arial TUR" w:hAnsi="Arial TUR" w:cs="FrankRuehl" w:hint="cs"/>
          <w:spacing w:val="10"/>
          <w:sz w:val="22"/>
          <w:szCs w:val="28"/>
          <w:rtl/>
        </w:rPr>
        <w:t>לחזור ולמנות נאמנים חדשים להקדש ו</w:t>
      </w:r>
      <w:r w:rsidRPr="002A21C1">
        <w:rPr>
          <w:rFonts w:ascii="Arial TUR" w:hAnsi="Arial TUR" w:cs="FrankRuehl"/>
          <w:spacing w:val="10"/>
          <w:sz w:val="22"/>
          <w:szCs w:val="28"/>
          <w:rtl/>
        </w:rPr>
        <w:t>להתחיל לחקור ולדרוש מה עלה בגורלו של הנכס שבבעלות</w:t>
      </w:r>
      <w:r w:rsidRPr="002A21C1">
        <w:rPr>
          <w:rFonts w:ascii="Arial TUR" w:hAnsi="Arial TUR" w:cs="FrankRuehl" w:hint="cs"/>
          <w:spacing w:val="10"/>
          <w:sz w:val="22"/>
          <w:szCs w:val="28"/>
          <w:rtl/>
        </w:rPr>
        <w:t>ו. זאת, ובלבד שהיה בידי ההקדש כוח תביעה במהלך התקופה שבה היו המקרקעין "מקרקעי ציבור" לאחר שהוקנו לאפוטרופוס הכללי.</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26.</w:t>
      </w:r>
      <w:r w:rsidRPr="002A21C1">
        <w:rPr>
          <w:rFonts w:ascii="Arial TUR" w:hAnsi="Arial TUR" w:cs="FrankRuehl" w:hint="cs"/>
          <w:spacing w:val="10"/>
          <w:sz w:val="22"/>
          <w:szCs w:val="28"/>
          <w:rtl/>
        </w:rPr>
        <w:tab/>
        <w:t xml:space="preserve">הנה כי כן, עיון מדוקדק בפסק דינו של בית משפט השלום מעלה כי שאלת תחולתו של סעיף 8 לחוק ההתיישנות לא נתבררה עד תומה, שכן אף שנקבע כי מבחינה </w:t>
      </w:r>
      <w:r w:rsidRPr="002A21C1">
        <w:rPr>
          <w:rFonts w:ascii="Century" w:hAnsi="Century" w:cs="Miriam" w:hint="cs"/>
          <w:b/>
          <w:sz w:val="22"/>
          <w:rtl/>
        </w:rPr>
        <w:t>סובייקטיבית</w:t>
      </w:r>
      <w:r w:rsidRPr="002A21C1">
        <w:rPr>
          <w:rFonts w:ascii="Arial TUR" w:hAnsi="Arial TUR" w:cs="FrankRuehl" w:hint="cs"/>
          <w:spacing w:val="10"/>
          <w:sz w:val="22"/>
          <w:szCs w:val="28"/>
          <w:rtl/>
        </w:rPr>
        <w:t xml:space="preserve"> המשיבים הגישו את תביעתם בסמוך לאחר שהעובדות המקימות את עילת התביעה נתגלו להם, בית המשפט לא בחן אם מבחינה </w:t>
      </w:r>
      <w:r w:rsidRPr="002A21C1">
        <w:rPr>
          <w:rFonts w:ascii="Century" w:hAnsi="Century" w:cs="Miriam" w:hint="cs"/>
          <w:b/>
          <w:sz w:val="22"/>
          <w:rtl/>
        </w:rPr>
        <w:t>אובייקטיבית</w:t>
      </w:r>
      <w:r w:rsidRPr="002A21C1">
        <w:rPr>
          <w:rFonts w:ascii="Arial TUR" w:hAnsi="Arial TUR" w:cs="FrankRuehl" w:hint="cs"/>
          <w:spacing w:val="10"/>
          <w:sz w:val="22"/>
          <w:szCs w:val="28"/>
          <w:rtl/>
        </w:rPr>
        <w:t xml:space="preserve"> יכלו המשיבים לדעת את העובדות הנדרשות במועד מוקדם יותר. שאלה זו היא שאלה עובדתית הטעונה הוכחה, והיא מצריכה בירור לגבי מצב הדברים בשטח ויכולתו של גורם פרטי להתחקות אחר מצב זכויותיו במקרקעין בסילואן בשנים שבהן הוקנו לאפוטרופוס הכללי, או שיכול היה לגרום לאפוטרופוס הכללי לפעול ולברר את מצב הזכויות. משעה שסוגיה זו לא לובנה, יש קושי לקבוע בגדרו של ההליך שלפנינו כי תנאי סעיף 8 לחוק ההתיישנות התקיימו במלואם. גם מן הטעם הזה, אני סבור כי יש להורות על החזרת הדיון לבית משפט השלום, על מנת לאפשר לצדדים לפרוש טענותיהם וראיותיהם לגבי השאלה מה יכלו המשיבים לדעת בתקופה שקדמה להגשת התביעה, בעת שהמקרקעין הוקנו לאפוטרופוס הכללי. זאת, לצד הצורך לבחון אם היה בידי המשיבים כוח תביעה באותה תקופה, שקיומו מהווה תנאי לפתיחת מירוץ ההתיישנות. </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27.</w:t>
      </w:r>
      <w:r w:rsidRPr="002A21C1">
        <w:rPr>
          <w:rFonts w:ascii="Arial TUR" w:hAnsi="Arial TUR" w:cs="FrankRuehl" w:hint="cs"/>
          <w:spacing w:val="10"/>
          <w:sz w:val="22"/>
          <w:szCs w:val="28"/>
          <w:rtl/>
        </w:rPr>
        <w:tab/>
        <w:t>לבסוף, חבריי התייחסו בחו</w:t>
      </w:r>
      <w:r w:rsidRPr="002A21C1">
        <w:rPr>
          <w:rFonts w:ascii="FrankRuehl" w:hAnsi="FrankRuehl" w:cs="FrankRuehl"/>
          <w:spacing w:val="10"/>
          <w:sz w:val="22"/>
          <w:szCs w:val="28"/>
          <w:rtl/>
        </w:rPr>
        <w:t>וֹ</w:t>
      </w:r>
      <w:r w:rsidRPr="002A21C1">
        <w:rPr>
          <w:rFonts w:ascii="Arial TUR" w:hAnsi="Arial TUR" w:cs="FrankRuehl" w:hint="cs"/>
          <w:spacing w:val="10"/>
          <w:sz w:val="22"/>
          <w:szCs w:val="28"/>
          <w:rtl/>
        </w:rPr>
        <w:t>ת דעתם לסוגיית ההחזקה הנוגדת במקרקעין. חברתי נדרשה ליסוד זה, שכן לצורך קבלת טענת ההתיישנות והדיפת תביעת המשיבים, נדרשים המערערים להוכיח חזקה נוגדת רציפה במקרקעין. חברי התייחס לכך אף הוא, למעלה מן הצורך, תוך שהוא מצביע על אי-אלו קשיים בטענות המערערים בהקשר זה. כשלעצמי, לנוכח מסקנתי בדבר הצורך להשיב את הדיון לבית משפט השלום, איני רואה להרחיב בנושא. עם זאת, למען העמדת דברים על דיוקם, אבהיר כי שאלת ההחזקה הנוגדת קשורה במישרין לדיון בשאלת תחולתו של סעיף 8 לחוק ההתיישנות:</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r w:rsidRPr="002A21C1">
        <w:rPr>
          <w:rFonts w:ascii="Arial TUR" w:hAnsi="Arial TUR" w:cs="FrankRuehl" w:hint="cs"/>
          <w:spacing w:val="10"/>
          <w:sz w:val="22"/>
          <w:szCs w:val="28"/>
          <w:rtl/>
        </w:rPr>
        <w:t>"כאשר הבעלים אינו מודע ואינו צריך להיות מודע לזכויותיו במקרקעין, נחלשים במקביל הן שיקול הוויתור והן שיקול ההסתמכות, ודי בכך כדי לשלול את אופייה הנוגד של ההחזקה" (</w:t>
      </w:r>
      <w:r w:rsidRPr="002A21C1">
        <w:rPr>
          <w:rFonts w:ascii="Century" w:hAnsi="Century" w:cs="Miriam" w:hint="cs"/>
          <w:b/>
          <w:sz w:val="22"/>
          <w:rtl/>
        </w:rPr>
        <w:t>גלעד</w:t>
      </w:r>
      <w:r w:rsidRPr="002A21C1">
        <w:rPr>
          <w:rFonts w:ascii="Arial TUR" w:hAnsi="Arial TUR" w:cs="FrankRuehl" w:hint="cs"/>
          <w:spacing w:val="10"/>
          <w:sz w:val="22"/>
          <w:szCs w:val="28"/>
          <w:rtl/>
        </w:rPr>
        <w:t>, עמ' 234).</w:t>
      </w: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ind w:left="1644" w:right="1276"/>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הצורך להידרש לסוגיית ההחזקה הנוגדת יתעורר אפוא רק אם בית משפט השלום יקבע מבחינה עובדתית כי המשיבים צריכים היו לדעת על העובדות המקימות את עילת התביעה וכי היה בידיהם כוח תביעה לממש את זכותם. שאם לא כן, לא ניתן יהיה לראות בהחזקה של המערערים משום החזקה נוגדת.</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Miriam"/>
          <w:b/>
          <w:sz w:val="22"/>
          <w:rtl/>
        </w:rPr>
      </w:pPr>
      <w:r w:rsidRPr="002A21C1">
        <w:rPr>
          <w:rFonts w:ascii="Century" w:hAnsi="Century" w:cs="Miriam" w:hint="cs"/>
          <w:b/>
          <w:sz w:val="22"/>
          <w:rtl/>
        </w:rPr>
        <w:t>סוף דבר</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28.</w:t>
      </w:r>
      <w:r w:rsidRPr="002A21C1">
        <w:rPr>
          <w:rFonts w:ascii="Arial TUR" w:hAnsi="Arial TUR" w:cs="FrankRuehl" w:hint="cs"/>
          <w:spacing w:val="10"/>
          <w:sz w:val="22"/>
          <w:szCs w:val="28"/>
          <w:rtl/>
        </w:rPr>
        <w:tab/>
        <w:t>שני נדבכים ניצבים בבסיס הדיון בערעור:</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Arial TUR" w:hAnsi="Arial TUR" w:cs="FrankRuehl"/>
          <w:spacing w:val="10"/>
          <w:sz w:val="22"/>
          <w:szCs w:val="28"/>
          <w:rtl/>
        </w:rPr>
        <w:tab/>
      </w:r>
      <w:r w:rsidRPr="002A21C1">
        <w:rPr>
          <w:rFonts w:ascii="Century" w:hAnsi="Century" w:cs="Miriam" w:hint="cs"/>
          <w:b/>
          <w:sz w:val="22"/>
          <w:rtl/>
        </w:rPr>
        <w:t>א.</w:t>
      </w:r>
      <w:r w:rsidRPr="002A21C1">
        <w:rPr>
          <w:rFonts w:ascii="Century" w:hAnsi="Century" w:cs="FrankRuehl" w:hint="cs"/>
          <w:spacing w:val="10"/>
          <w:sz w:val="22"/>
          <w:szCs w:val="28"/>
          <w:rtl/>
        </w:rPr>
        <w:t xml:space="preserve"> </w:t>
      </w:r>
      <w:r w:rsidRPr="002A21C1">
        <w:rPr>
          <w:rFonts w:ascii="Century" w:hAnsi="Century" w:cs="Miriam" w:hint="cs"/>
          <w:b/>
          <w:sz w:val="22"/>
          <w:rtl/>
        </w:rPr>
        <w:t>סעיף 113(ב) לחוק המקרקעין</w:t>
      </w:r>
      <w:r w:rsidRPr="002A21C1">
        <w:rPr>
          <w:rFonts w:ascii="Century" w:hAnsi="Century" w:cs="FrankRuehl" w:hint="cs"/>
          <w:spacing w:val="10"/>
          <w:sz w:val="22"/>
          <w:szCs w:val="28"/>
          <w:rtl/>
        </w:rPr>
        <w:t xml:space="preserve">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כפי שהוסבר, מקרקעין שהוקנו לאפוטרופוס הכללי הריהם בגדר "מקרקעי ציבור", ובכך נכנסים הם בגדרו של סעיף 113(ב) לחוק. מסקנה זו נובעת מלשון החוק המפורשת והיא מגשימה היטב את התכלית העומדת בבסיסו. עם זאת, מלשונו של סעיף 113(ב) לחוק ניתן להסיק כי נפקותו באה לידי ביטוי במצבים שבהם המקרקעין טרם נרשמו על שם בעליהם. ואילו במקרה דנן, שאלת רישום המקרקעין לא נתלבנה בהליכים בבית משפט השלום ובבית המשפט המחוזי. לפיכך, יש להשיב את הדיון לבית משפט השלום כאמור בפסקה 15 לעיל.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 xml:space="preserve">ככל שייקבע כי המקרקעין אינם רשומים על שם בעליהם, הרי שסעיף 113(ב) לחוק חל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ויש למנות את תקופת ההתיישנות מהמועד שבו שוחררו המקרקעין לידי המשיבים, והתוצאה היא כי תביעת המשיבים לא התיישנה, כפי שנקבע מלכתחילה בבית משפט השלום ואושר בבית ה</w:t>
      </w:r>
      <w:r>
        <w:rPr>
          <w:rFonts w:ascii="Century" w:hAnsi="Century" w:cs="FrankRuehl" w:hint="cs"/>
          <w:spacing w:val="10"/>
          <w:sz w:val="22"/>
          <w:szCs w:val="28"/>
          <w:rtl/>
        </w:rPr>
        <w:t>מ</w:t>
      </w:r>
      <w:r w:rsidRPr="002A21C1">
        <w:rPr>
          <w:rFonts w:ascii="Century" w:hAnsi="Century" w:cs="FrankRuehl" w:hint="cs"/>
          <w:spacing w:val="10"/>
          <w:sz w:val="22"/>
          <w:szCs w:val="28"/>
          <w:rtl/>
        </w:rPr>
        <w:t>שפט המחוזי. לעומת זאת, אם ייקבע כי המקרקעין היו ונותרו רשומים על שם הבעלים כל העת, הרי שאין נפקות לסעיף 113(ב) לחוק, ויש לפנות לדיני התיישנות הכלליים לצורך קביעת מועד מירוץ ההתיישנות, ובכלל זאת להידרש לתחולת סעיף 8 לחוק ההתיישנות וקיומו של כוח תביעה, כמפורט להלן.</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Century" w:hAnsi="Century" w:cs="Miriam" w:hint="cs"/>
          <w:b/>
          <w:sz w:val="22"/>
          <w:rtl/>
        </w:rPr>
        <w:t>ב. סעיף</w:t>
      </w:r>
      <w:r w:rsidRPr="002A21C1">
        <w:rPr>
          <w:rFonts w:ascii="Arial TUR" w:hAnsi="Arial TUR" w:cs="FrankRuehl" w:hint="cs"/>
          <w:spacing w:val="10"/>
          <w:sz w:val="22"/>
          <w:szCs w:val="28"/>
          <w:rtl/>
        </w:rPr>
        <w:t xml:space="preserve"> 8 </w:t>
      </w:r>
      <w:r w:rsidRPr="002A21C1">
        <w:rPr>
          <w:rFonts w:ascii="Century" w:hAnsi="Century" w:cs="Miriam" w:hint="cs"/>
          <w:b/>
          <w:sz w:val="22"/>
          <w:rtl/>
        </w:rPr>
        <w:t>לחוק ההתיישנות</w:t>
      </w:r>
      <w:r w:rsidRPr="002A21C1">
        <w:rPr>
          <w:rFonts w:ascii="Arial TUR" w:hAnsi="Arial TUR" w:cs="FrankRuehl" w:hint="cs"/>
          <w:spacing w:val="10"/>
          <w:sz w:val="22"/>
          <w:szCs w:val="28"/>
          <w:rtl/>
        </w:rPr>
        <w:t xml:space="preserve">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בהליך בבית משפט השלום נקבע כי המשיבים הגישו את תביעתם בסמוך לאחר שנתגלו להם העובדות המקימות את עילת התביעה (ובפרט עובדת זהותם של המחזיקים), ולכן תביעתם לא התיישנה. בכך התייחס בית המשפט להיבט הסובייקטיבי של כלל הגילוי המאוחר המעוגן בסעיף 8 לחוק ההתיישנות. ברם, כלל זה טומן בחובו גם יסוד אובייקטיבי. לפיכך, על מנת לקבוע כי מתקיימים תנאי סעיף 8 לחוק ההתיישנות, יש להשיב את הדיון לבית משפט השלום כאמור בפסקה 26 לעיל. זאת, על מנת להידרש לשאלה אם היה על המשיבים לדעת את העובדות המקימות את עילת התביעה עוד בטרם שוחררו המקרקעין לידיהם, ואם כן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החל מאיזו נקודת זמן. במסגרת בחינה זו, יש להידרש לשאלת קיומו או העדרו של כוח תביעה בידי בעלים פרטי רשום שמקרקעיו הם "מקרקעי ציבור" שהוקנו לאפוטרופוס הכללי. </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spacing w:val="10"/>
          <w:sz w:val="22"/>
          <w:szCs w:val="28"/>
          <w:rtl/>
        </w:rPr>
        <w:tab/>
      </w:r>
      <w:r w:rsidRPr="002A21C1">
        <w:rPr>
          <w:rFonts w:ascii="Arial TUR" w:hAnsi="Arial TUR" w:cs="FrankRuehl" w:hint="cs"/>
          <w:spacing w:val="10"/>
          <w:sz w:val="22"/>
          <w:szCs w:val="28"/>
          <w:rtl/>
        </w:rPr>
        <w:t xml:space="preserve">ככל שייקבע כי היה על המשיבים לדעת את העובדות המקימות את עילת התביעה בתקופה שבה הוקנו לאפוטרופוס הכללי, וכי היה בידיהם כוח תביעה בתקופה זו, והכל במשך למעלה מ-15 שנה בטרם הגישו תביעתם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אזי התוצאה תהא כי תביעתם התיישנה. לעומת זאת, אם ייקבע כי לא היה על המשיבים לדעת או כי לא היה בידיהם כוח תביעה </w:t>
      </w:r>
      <w:r w:rsidRPr="002A21C1">
        <w:rPr>
          <w:rFonts w:ascii="Arial TUR" w:hAnsi="Arial TUR" w:cs="FrankRuehl"/>
          <w:spacing w:val="10"/>
          <w:sz w:val="22"/>
          <w:szCs w:val="28"/>
          <w:rtl/>
        </w:rPr>
        <w:t>–</w:t>
      </w:r>
      <w:r w:rsidRPr="002A21C1">
        <w:rPr>
          <w:rFonts w:ascii="Arial TUR" w:hAnsi="Arial TUR" w:cs="FrankRuehl" w:hint="cs"/>
          <w:spacing w:val="10"/>
          <w:sz w:val="22"/>
          <w:szCs w:val="28"/>
          <w:rtl/>
        </w:rPr>
        <w:t xml:space="preserve"> אזי יש תחולה לסעיף 8 לחוק ההתיישנות, ותביעת המשיבים לא התיישנה.</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Arial TUR" w:hAnsi="Arial TUR" w:cs="FrankRuehl" w:hint="cs"/>
          <w:spacing w:val="10"/>
          <w:sz w:val="22"/>
          <w:szCs w:val="28"/>
          <w:rtl/>
        </w:rPr>
        <w:t>29.</w:t>
      </w:r>
      <w:r w:rsidRPr="002A21C1">
        <w:rPr>
          <w:rFonts w:ascii="Arial TUR" w:hAnsi="Arial TUR" w:cs="FrankRuehl"/>
          <w:spacing w:val="10"/>
          <w:sz w:val="22"/>
          <w:szCs w:val="28"/>
          <w:rtl/>
        </w:rPr>
        <w:tab/>
      </w:r>
      <w:r w:rsidRPr="002A21C1">
        <w:rPr>
          <w:rFonts w:ascii="Arial TUR" w:hAnsi="Arial TUR" w:cs="FrankRuehl" w:hint="cs"/>
          <w:spacing w:val="10"/>
          <w:sz w:val="22"/>
          <w:szCs w:val="28"/>
          <w:rtl/>
        </w:rPr>
        <w:t>במסגרת השבת התיק לבית משפט השלום, יש להורות על צירוף האפוטרופוס הכללי כצד להליך, על מנת שיביע עמדתו בשאלות הטעונות הכרעה, ובכללן סוגיית תחולתו של סעיף 113(ב) לחוק המקרקעין; שאלת קיומו של כוח תביעה בידי בעלים פרטי שמקרקעיו הוקנו לאפוטרופוס הכללי; ושאלת יכולתו האובייקטיבית של בעלים פרטי לדעת את העובדות המקימות את עילת התביעה או לגרום לאפוטרופוס הכללי לדעת, בעת שהמקרקעין נושא ההליך דנן הוקנו לאפוטרופוס הכללי והיו בסטטוס של "מקרקעי ציבור".</w:t>
      </w:r>
    </w:p>
    <w:p w:rsidR="009562DC" w:rsidRPr="002A21C1" w:rsidRDefault="009562DC" w:rsidP="009562DC">
      <w:pPr>
        <w:tabs>
          <w:tab w:val="left" w:pos="800"/>
        </w:tabs>
        <w:spacing w:line="360" w:lineRule="auto"/>
        <w:jc w:val="both"/>
        <w:rPr>
          <w:rFonts w:ascii="Arial TUR" w:hAnsi="Arial TUR"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Arial TUR" w:hAnsi="Arial TUR" w:cs="FrankRuehl" w:hint="cs"/>
          <w:spacing w:val="10"/>
          <w:sz w:val="22"/>
          <w:szCs w:val="28"/>
          <w:rtl/>
        </w:rPr>
        <w:t>30.</w:t>
      </w:r>
      <w:r w:rsidRPr="002A21C1">
        <w:rPr>
          <w:rFonts w:ascii="Arial TUR" w:hAnsi="Arial TUR" w:cs="FrankRuehl" w:hint="cs"/>
          <w:spacing w:val="10"/>
          <w:sz w:val="22"/>
          <w:szCs w:val="28"/>
          <w:rtl/>
        </w:rPr>
        <w:tab/>
      </w:r>
      <w:r w:rsidRPr="002A21C1">
        <w:rPr>
          <w:rFonts w:ascii="Century" w:hAnsi="Century" w:cs="FrankRuehl" w:hint="cs"/>
          <w:spacing w:val="10"/>
          <w:sz w:val="22"/>
          <w:szCs w:val="28"/>
          <w:rtl/>
        </w:rPr>
        <w:t xml:space="preserve">בשולי הדברים, ולא בשולי חשיבותם: בדיון שהתקיים לפנינו, בא כוח המשיבים מסר כי חרף פסקי הדין שניתנו לטובת המשיבים, הוצע למערערים פיצוי נדיב. בא כוחם אף הבהיר כי ההצעה עומדת בעינה, וכי המשיבים ימשיכו להציע למערערים פיצוי נדיב גם לאחר מתן פסק דיננו זה. טוב נהגו המשיבים כאשר נטלו על עצמם התחייבות זו. בית המשפט נדרש להכריע לפי שורת הדין, אך אין הדבר מונע מבעלי הדין לנהוג זה כלפי זה לפנים משורת הדין. חזקה על המשיבים כי הצעתם זו תוסיף ותעמוד בעינה גם לאחר השבת הדיון מחדש לבית משפט השלום.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Arial TUR" w:hAnsi="Arial TUR" w:cs="FrankRuehl" w:hint="cs"/>
          <w:spacing w:val="10"/>
          <w:sz w:val="22"/>
          <w:szCs w:val="28"/>
          <w:rtl/>
        </w:rPr>
        <w:t>31.</w:t>
      </w:r>
      <w:r w:rsidRPr="002A21C1">
        <w:rPr>
          <w:rFonts w:ascii="Arial TUR" w:hAnsi="Arial TUR" w:cs="FrankRuehl"/>
          <w:spacing w:val="10"/>
          <w:sz w:val="22"/>
          <w:szCs w:val="28"/>
          <w:rtl/>
        </w:rPr>
        <w:tab/>
      </w:r>
      <w:r w:rsidRPr="002A21C1">
        <w:rPr>
          <w:rFonts w:ascii="Century" w:hAnsi="Century" w:cs="FrankRuehl" w:hint="cs"/>
          <w:spacing w:val="10"/>
          <w:sz w:val="22"/>
          <w:szCs w:val="28"/>
          <w:rtl/>
        </w:rPr>
        <w:t xml:space="preserve">מספר הערות נוספות בשולי הדברים: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Arial TUR" w:hAnsi="Arial TUR" w:cs="FrankRuehl"/>
          <w:spacing w:val="10"/>
          <w:sz w:val="22"/>
          <w:szCs w:val="28"/>
          <w:rtl/>
        </w:rPr>
      </w:pPr>
      <w:r w:rsidRPr="002A21C1">
        <w:rPr>
          <w:rFonts w:ascii="Century" w:hAnsi="Century" w:cs="FrankRuehl"/>
          <w:spacing w:val="10"/>
          <w:sz w:val="22"/>
          <w:szCs w:val="28"/>
          <w:rtl/>
        </w:rPr>
        <w:tab/>
      </w:r>
      <w:r w:rsidRPr="002A21C1">
        <w:rPr>
          <w:rFonts w:ascii="Century" w:hAnsi="Century" w:cs="Miriam" w:hint="eastAsia"/>
          <w:b/>
          <w:sz w:val="22"/>
          <w:rtl/>
        </w:rPr>
        <w:t>א</w:t>
      </w:r>
      <w:r w:rsidRPr="002A21C1">
        <w:rPr>
          <w:rFonts w:ascii="Century" w:hAnsi="Century" w:cs="FrankRuehl" w:hint="cs"/>
          <w:spacing w:val="10"/>
          <w:sz w:val="22"/>
          <w:szCs w:val="28"/>
          <w:rtl/>
        </w:rPr>
        <w:t xml:space="preserve">. אין בפסק דין זה כדי להשליך על טענות אחרות בהליכים נוספים שמנהל ההקדש כנגד נתבעים נוספים, ואשר לא נדונו בפסק דין זה לאור מסגרת הדיון של "גלגול שלישי" שהותוותה, בין היתר, על ידי טענות הצדדים. כך, לא נדונה הטענה, שהועלתה ולא הוכרעה בבג"ץ 7446/17 </w:t>
      </w:r>
      <w:r w:rsidRPr="002A21C1">
        <w:rPr>
          <w:rFonts w:ascii="Century" w:hAnsi="Century" w:cs="Miriam" w:hint="eastAsia"/>
          <w:b/>
          <w:sz w:val="22"/>
          <w:rtl/>
        </w:rPr>
        <w:t>סרחאן</w:t>
      </w:r>
      <w:r w:rsidRPr="002A21C1">
        <w:rPr>
          <w:rFonts w:ascii="Century" w:hAnsi="Century" w:cs="Miriam"/>
          <w:b/>
          <w:sz w:val="22"/>
          <w:rtl/>
        </w:rPr>
        <w:t xml:space="preserve"> </w:t>
      </w:r>
      <w:r w:rsidRPr="002A21C1">
        <w:rPr>
          <w:rFonts w:ascii="Century" w:hAnsi="Century" w:cs="Miriam" w:hint="eastAsia"/>
          <w:b/>
          <w:sz w:val="22"/>
          <w:rtl/>
        </w:rPr>
        <w:t>נ</w:t>
      </w:r>
      <w:r w:rsidRPr="002A21C1">
        <w:rPr>
          <w:rFonts w:ascii="Century" w:hAnsi="Century" w:cs="Miriam"/>
          <w:b/>
          <w:sz w:val="22"/>
          <w:rtl/>
        </w:rPr>
        <w:t xml:space="preserve">' </w:t>
      </w:r>
      <w:r w:rsidRPr="002A21C1">
        <w:rPr>
          <w:rFonts w:ascii="Century" w:hAnsi="Century" w:cs="Miriam" w:hint="eastAsia"/>
          <w:b/>
          <w:sz w:val="22"/>
          <w:rtl/>
        </w:rPr>
        <w:t>האפוטרופוס</w:t>
      </w:r>
      <w:r w:rsidRPr="002A21C1">
        <w:rPr>
          <w:rFonts w:ascii="Century" w:hAnsi="Century" w:cs="Miriam"/>
          <w:b/>
          <w:sz w:val="22"/>
          <w:rtl/>
        </w:rPr>
        <w:t xml:space="preserve"> </w:t>
      </w:r>
      <w:r w:rsidRPr="002A21C1">
        <w:rPr>
          <w:rFonts w:ascii="Century" w:hAnsi="Century" w:cs="Miriam" w:hint="eastAsia"/>
          <w:b/>
          <w:sz w:val="22"/>
          <w:rtl/>
        </w:rPr>
        <w:t>הכללי</w:t>
      </w:r>
      <w:r w:rsidRPr="002A21C1">
        <w:rPr>
          <w:rFonts w:ascii="Century" w:hAnsi="Century" w:cs="Miriam"/>
          <w:b/>
          <w:sz w:val="22"/>
          <w:rtl/>
        </w:rPr>
        <w:t xml:space="preserve"> </w:t>
      </w:r>
      <w:r w:rsidRPr="002A21C1">
        <w:rPr>
          <w:rFonts w:ascii="Century" w:hAnsi="Century" w:cs="Miriam" w:hint="eastAsia"/>
          <w:b/>
          <w:sz w:val="22"/>
          <w:rtl/>
        </w:rPr>
        <w:t>והכונס</w:t>
      </w:r>
      <w:r w:rsidRPr="002A21C1">
        <w:rPr>
          <w:rFonts w:ascii="Century" w:hAnsi="Century" w:cs="Miriam"/>
          <w:b/>
          <w:sz w:val="22"/>
          <w:rtl/>
        </w:rPr>
        <w:t xml:space="preserve"> </w:t>
      </w:r>
      <w:r w:rsidRPr="002A21C1">
        <w:rPr>
          <w:rFonts w:ascii="Century" w:hAnsi="Century" w:cs="Miriam" w:hint="eastAsia"/>
          <w:b/>
          <w:sz w:val="22"/>
          <w:rtl/>
        </w:rPr>
        <w:t>הרשמי</w:t>
      </w:r>
      <w:r w:rsidRPr="002A21C1">
        <w:rPr>
          <w:rFonts w:ascii="Century" w:hAnsi="Century" w:cs="FrankRuehl" w:hint="cs"/>
          <w:spacing w:val="10"/>
          <w:sz w:val="22"/>
          <w:szCs w:val="28"/>
          <w:rtl/>
        </w:rPr>
        <w:t xml:space="preserve">,  בפסקה 54 (21.11.2008) (להלן: </w:t>
      </w:r>
      <w:r w:rsidRPr="002A21C1">
        <w:rPr>
          <w:rFonts w:ascii="Century" w:hAnsi="Century" w:cs="FrankRuehl" w:hint="eastAsia"/>
          <w:spacing w:val="10"/>
          <w:sz w:val="22"/>
          <w:szCs w:val="28"/>
          <w:rtl/>
        </w:rPr>
        <w:t>עניין</w:t>
      </w:r>
      <w:r w:rsidRPr="002A21C1">
        <w:rPr>
          <w:rFonts w:ascii="Century" w:hAnsi="Century" w:cs="Miriam"/>
          <w:b/>
          <w:sz w:val="22"/>
          <w:rtl/>
        </w:rPr>
        <w:t xml:space="preserve"> </w:t>
      </w:r>
      <w:r w:rsidRPr="002A21C1">
        <w:rPr>
          <w:rFonts w:ascii="Century" w:hAnsi="Century" w:cs="Miriam" w:hint="eastAsia"/>
          <w:b/>
          <w:sz w:val="22"/>
          <w:rtl/>
        </w:rPr>
        <w:t>סרחאן</w:t>
      </w:r>
      <w:r w:rsidRPr="002A21C1">
        <w:rPr>
          <w:rFonts w:ascii="Century" w:hAnsi="Century" w:cs="FrankRuehl" w:hint="cs"/>
          <w:spacing w:val="10"/>
          <w:sz w:val="22"/>
          <w:szCs w:val="28"/>
          <w:rtl/>
        </w:rPr>
        <w:t xml:space="preserve">) </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w:t>
      </w:r>
      <w:r w:rsidRPr="002A21C1">
        <w:rPr>
          <w:rFonts w:ascii="Arial TUR" w:hAnsi="Arial TUR" w:cs="FrankRuehl" w:hint="cs"/>
          <w:spacing w:val="10"/>
          <w:sz w:val="22"/>
          <w:szCs w:val="28"/>
          <w:rtl/>
        </w:rPr>
        <w:t xml:space="preserve">האם זכויות ההקדש פקעו לנוכח העובדה שהמחוברים המקוריים נהרסו. </w:t>
      </w:r>
      <w:r w:rsidRPr="002A21C1">
        <w:rPr>
          <w:rFonts w:ascii="Century" w:hAnsi="Century" w:cs="FrankRuehl" w:hint="cs"/>
          <w:spacing w:val="10"/>
          <w:sz w:val="22"/>
          <w:szCs w:val="28"/>
          <w:rtl/>
        </w:rPr>
        <w:t xml:space="preserve">לא נדונה </w:t>
      </w:r>
      <w:r w:rsidRPr="002A21C1">
        <w:rPr>
          <w:rFonts w:ascii="Arial TUR" w:hAnsi="Arial TUR" w:cs="FrankRuehl" w:hint="cs"/>
          <w:spacing w:val="10"/>
          <w:sz w:val="22"/>
          <w:szCs w:val="28"/>
          <w:rtl/>
        </w:rPr>
        <w:t xml:space="preserve">הטענה כי המערערים רכשו את המקרקעין בתמורה ובתום לב ממי שנחזה כמורשה לפעול במקרקעין, גם אם הנ"ל חרג מתחום הרשאתו, ואם יש בכלל נפקות משפטית לטענה זו.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u w:val="single"/>
          <w:rtl/>
        </w:rPr>
      </w:pPr>
      <w:r>
        <w:rPr>
          <w:rFonts w:ascii="Century" w:hAnsi="Century" w:cs="Miriam"/>
          <w:b/>
          <w:sz w:val="22"/>
          <w:rtl/>
        </w:rPr>
        <w:tab/>
      </w:r>
      <w:r w:rsidRPr="002A21C1">
        <w:rPr>
          <w:rFonts w:ascii="Century" w:hAnsi="Century" w:cs="Miriam" w:hint="eastAsia"/>
          <w:b/>
          <w:sz w:val="22"/>
          <w:rtl/>
        </w:rPr>
        <w:t>ב</w:t>
      </w:r>
      <w:r>
        <w:rPr>
          <w:rFonts w:ascii="Century" w:hAnsi="Century" w:cs="FrankRuehl" w:hint="cs"/>
          <w:spacing w:val="10"/>
          <w:sz w:val="22"/>
          <w:szCs w:val="28"/>
          <w:rtl/>
        </w:rPr>
        <w:t xml:space="preserve">. </w:t>
      </w:r>
      <w:r w:rsidRPr="002A21C1">
        <w:rPr>
          <w:rFonts w:ascii="Century" w:hAnsi="Century" w:cs="FrankRuehl" w:hint="eastAsia"/>
          <w:spacing w:val="10"/>
          <w:sz w:val="22"/>
          <w:szCs w:val="28"/>
          <w:rtl/>
        </w:rPr>
        <w:t>החלת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הדין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הישראלי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על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מזרח</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ירושלים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לא</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היטיבה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עם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המערערים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מאחר</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שהמקרה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דנן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נדון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ב</w:t>
      </w:r>
      <w:r w:rsidRPr="002A21C1">
        <w:rPr>
          <w:rFonts w:ascii="Century" w:hAnsi="Century" w:cs="FrankRuehl"/>
          <w:spacing w:val="10"/>
          <w:sz w:val="22"/>
          <w:szCs w:val="28"/>
          <w:rtl/>
        </w:rPr>
        <w:t>"</w:t>
      </w:r>
      <w:r w:rsidRPr="002A21C1">
        <w:rPr>
          <w:rFonts w:ascii="Century" w:hAnsi="Century" w:cs="FrankRuehl" w:hint="eastAsia"/>
          <w:spacing w:val="10"/>
          <w:sz w:val="22"/>
          <w:szCs w:val="28"/>
          <w:rtl/>
        </w:rPr>
        <w:t>משבצות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דיני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ההתיישנות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ודיני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המקרקעין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בישראל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ו</w:t>
      </w:r>
      <w:r w:rsidRPr="002A21C1">
        <w:rPr>
          <w:rFonts w:ascii="Century" w:hAnsi="Century" w:cs="FrankRuehl" w:hint="cs"/>
          <w:spacing w:val="10"/>
          <w:sz w:val="22"/>
          <w:szCs w:val="28"/>
          <w:rtl/>
        </w:rPr>
        <w:t xml:space="preserve">כפי שהראינו לעיל, </w:t>
      </w:r>
      <w:r w:rsidRPr="002A21C1">
        <w:rPr>
          <w:rFonts w:ascii="Century" w:hAnsi="Century" w:cs="FrankRuehl" w:hint="eastAsia"/>
          <w:spacing w:val="10"/>
          <w:sz w:val="22"/>
          <w:szCs w:val="28"/>
          <w:rtl/>
        </w:rPr>
        <w:t>סעיף</w:t>
      </w:r>
      <w:r w:rsidRPr="002A21C1">
        <w:rPr>
          <w:rFonts w:ascii="Century" w:hAnsi="Century" w:cs="FrankRuehl"/>
          <w:spacing w:val="10"/>
          <w:sz w:val="22"/>
          <w:szCs w:val="28"/>
          <w:rtl/>
        </w:rPr>
        <w:t xml:space="preserve"> 113(</w:t>
      </w:r>
      <w:r w:rsidRPr="002A21C1">
        <w:rPr>
          <w:rFonts w:ascii="Century" w:hAnsi="Century" w:cs="FrankRuehl" w:hint="eastAsia"/>
          <w:spacing w:val="10"/>
          <w:sz w:val="22"/>
          <w:szCs w:val="28"/>
          <w:rtl/>
        </w:rPr>
        <w:t>ב</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לחוק</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הוא</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שעמד</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לרועץ</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למערערים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זאת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להבדיל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מאזורים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הנמצאים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תחת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דיני</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w:t>
      </w:r>
      <w:r w:rsidRPr="002A21C1">
        <w:rPr>
          <w:rFonts w:ascii="Century" w:hAnsi="Century" w:cs="FrankRuehl"/>
          <w:spacing w:val="10"/>
          <w:sz w:val="22"/>
          <w:szCs w:val="28"/>
          <w:rtl/>
        </w:rPr>
        <w:t>"</w:t>
      </w:r>
      <w:r w:rsidRPr="002A21C1">
        <w:rPr>
          <w:rFonts w:ascii="Century" w:hAnsi="Century" w:cs="FrankRuehl" w:hint="eastAsia"/>
          <w:spacing w:val="10"/>
          <w:sz w:val="22"/>
          <w:szCs w:val="28"/>
          <w:rtl/>
        </w:rPr>
        <w:t>תפיסה</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הלוחמתית</w:t>
      </w:r>
      <w:r w:rsidRPr="002A21C1">
        <w:rPr>
          <w:rFonts w:ascii="Century" w:hAnsi="Century" w:cs="FrankRuehl"/>
          <w:spacing w:val="10"/>
          <w:sz w:val="22"/>
          <w:szCs w:val="28"/>
          <w:rtl/>
        </w:rPr>
        <w:t>"</w:t>
      </w:r>
      <w:r w:rsidRPr="002A21C1">
        <w:rPr>
          <w:rFonts w:ascii="Century" w:hAnsi="Century" w:cs="FrankRuehl" w:hint="cs"/>
          <w:spacing w:val="10"/>
          <w:sz w:val="22"/>
          <w:szCs w:val="28"/>
          <w:rtl/>
        </w:rPr>
        <w:t xml:space="preserve">, שם </w:t>
      </w:r>
      <w:r w:rsidRPr="002A21C1">
        <w:rPr>
          <w:rFonts w:ascii="Century" w:hAnsi="Century" w:cs="FrankRuehl"/>
          <w:spacing w:val="10"/>
          <w:sz w:val="22"/>
          <w:szCs w:val="28"/>
          <w:rtl/>
        </w:rPr>
        <w:t>מדיניות הממונה הישראלי באזור יהודה ושומרון שוללת שחרור הנכסים לבעליהם המקוריים, כל עוד לא הושג הסדר שלום</w:t>
      </w:r>
      <w:r w:rsidRPr="002A21C1">
        <w:rPr>
          <w:rFonts w:ascii="Century" w:hAnsi="Century" w:cs="FrankRuehl" w:hint="cs"/>
          <w:spacing w:val="10"/>
          <w:sz w:val="22"/>
          <w:szCs w:val="28"/>
          <w:rtl/>
        </w:rPr>
        <w:t xml:space="preserve"> (</w:t>
      </w:r>
      <w:r w:rsidRPr="002A21C1">
        <w:rPr>
          <w:rFonts w:ascii="Century" w:hAnsi="Century" w:cs="FrankRuehl"/>
          <w:spacing w:val="10"/>
          <w:sz w:val="22"/>
          <w:szCs w:val="28"/>
          <w:rtl/>
        </w:rPr>
        <w:t xml:space="preserve">בג"צ 3103/06 </w:t>
      </w:r>
      <w:r w:rsidRPr="002A21C1">
        <w:rPr>
          <w:rFonts w:ascii="Century" w:hAnsi="Century" w:cs="Miriam"/>
          <w:b/>
          <w:sz w:val="22"/>
          <w:rtl/>
        </w:rPr>
        <w:t>ולרו נ' מדינת ישראל</w:t>
      </w:r>
      <w:r w:rsidRPr="002A21C1">
        <w:rPr>
          <w:rFonts w:ascii="Century" w:hAnsi="Century" w:cs="FrankRuehl"/>
          <w:spacing w:val="10"/>
          <w:sz w:val="22"/>
          <w:szCs w:val="28"/>
          <w:rtl/>
        </w:rPr>
        <w:t xml:space="preserve"> (</w:t>
      </w:r>
      <w:r w:rsidRPr="002A21C1">
        <w:rPr>
          <w:rFonts w:ascii="Century" w:hAnsi="Century" w:cs="FrankRuehl" w:hint="cs"/>
          <w:spacing w:val="10"/>
          <w:sz w:val="22"/>
          <w:szCs w:val="28"/>
          <w:rtl/>
        </w:rPr>
        <w:t>6</w:t>
      </w:r>
      <w:r w:rsidRPr="002A21C1">
        <w:rPr>
          <w:rFonts w:ascii="Century" w:hAnsi="Century" w:cs="FrankRuehl"/>
          <w:spacing w:val="10"/>
          <w:sz w:val="22"/>
          <w:szCs w:val="28"/>
          <w:rtl/>
        </w:rPr>
        <w:t>.2.</w:t>
      </w:r>
      <w:r w:rsidRPr="002A21C1">
        <w:rPr>
          <w:rFonts w:ascii="Century" w:hAnsi="Century" w:cs="FrankRuehl" w:hint="cs"/>
          <w:spacing w:val="10"/>
          <w:sz w:val="22"/>
          <w:szCs w:val="28"/>
          <w:rtl/>
        </w:rPr>
        <w:t>20</w:t>
      </w:r>
      <w:r w:rsidRPr="002A21C1">
        <w:rPr>
          <w:rFonts w:ascii="Century" w:hAnsi="Century" w:cs="FrankRuehl"/>
          <w:spacing w:val="10"/>
          <w:sz w:val="22"/>
          <w:szCs w:val="28"/>
          <w:rtl/>
        </w:rPr>
        <w:t>11)).</w:t>
      </w:r>
    </w:p>
    <w:p w:rsidR="009562DC" w:rsidRPr="002A21C1" w:rsidRDefault="009562DC" w:rsidP="009562DC">
      <w:pPr>
        <w:tabs>
          <w:tab w:val="left" w:pos="800"/>
        </w:tabs>
        <w:spacing w:line="360" w:lineRule="auto"/>
        <w:jc w:val="both"/>
        <w:rPr>
          <w:rFonts w:ascii="Century" w:hAnsi="Century" w:cs="FrankRuehl"/>
          <w:b/>
          <w:bCs/>
          <w:spacing w:val="10"/>
          <w:szCs w:val="28"/>
          <w:u w:val="single"/>
          <w:rtl/>
        </w:rPr>
      </w:pPr>
    </w:p>
    <w:p w:rsidR="009562DC" w:rsidRPr="002A21C1" w:rsidRDefault="009562DC" w:rsidP="009562DC">
      <w:pPr>
        <w:tabs>
          <w:tab w:val="left" w:pos="800"/>
        </w:tabs>
        <w:spacing w:line="360" w:lineRule="auto"/>
        <w:jc w:val="both"/>
        <w:rPr>
          <w:rFonts w:ascii="Century" w:hAnsi="Century" w:cs="FrankRuehl"/>
          <w:b/>
          <w:bCs/>
          <w:spacing w:val="10"/>
          <w:szCs w:val="28"/>
          <w:u w:val="single"/>
          <w:rtl/>
        </w:rPr>
      </w:pPr>
      <w:r w:rsidRPr="002A21C1">
        <w:rPr>
          <w:rFonts w:ascii="Century" w:hAnsi="Century" w:cs="FrankRuehl"/>
          <w:spacing w:val="10"/>
          <w:sz w:val="22"/>
          <w:szCs w:val="28"/>
          <w:rtl/>
        </w:rPr>
        <w:tab/>
      </w:r>
      <w:r w:rsidRPr="002A21C1">
        <w:rPr>
          <w:rFonts w:ascii="Century" w:hAnsi="Century" w:cs="Miriam" w:hint="eastAsia"/>
          <w:b/>
          <w:sz w:val="22"/>
          <w:rtl/>
        </w:rPr>
        <w:t>ג</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כפי</w:t>
      </w:r>
      <w:r w:rsidRPr="002A21C1">
        <w:rPr>
          <w:rFonts w:ascii="Century" w:hAnsi="Century" w:cs="FrankRuehl"/>
          <w:spacing w:val="10"/>
          <w:sz w:val="22"/>
          <w:szCs w:val="28"/>
          <w:rtl/>
        </w:rPr>
        <w:t xml:space="preserve"> שציינה חברתי בעניין </w:t>
      </w:r>
      <w:r w:rsidRPr="002A21C1">
        <w:rPr>
          <w:rFonts w:ascii="Century" w:hAnsi="Century" w:cs="Miriam" w:hint="eastAsia"/>
          <w:b/>
          <w:sz w:val="22"/>
          <w:rtl/>
        </w:rPr>
        <w:t>סרחאן</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פינוי</w:t>
      </w:r>
      <w:r w:rsidRPr="002A21C1">
        <w:rPr>
          <w:rFonts w:ascii="Century" w:hAnsi="Century" w:cs="FrankRuehl"/>
          <w:spacing w:val="10"/>
          <w:sz w:val="22"/>
          <w:szCs w:val="28"/>
          <w:rtl/>
        </w:rPr>
        <w:t xml:space="preserve"> אנשים שישבו על הקרקע במשך עשרות שנים – חלקם אף מבלי לדעת כי המקרקעין שייכים לאחרים – מעורר קושי אנושי [...] , זכות הקניין היא חשובה, אך יש חשיבות גם להגנה על קורת ביתם של אנשים </w:t>
      </w:r>
      <w:r w:rsidRPr="002A21C1">
        <w:rPr>
          <w:rFonts w:ascii="Century" w:hAnsi="Century" w:cs="FrankRuehl" w:hint="eastAsia"/>
          <w:spacing w:val="10"/>
          <w:sz w:val="22"/>
          <w:szCs w:val="28"/>
          <w:rtl/>
        </w:rPr>
        <w:t>ולהיבטים</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של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הסתמכות</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על</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מצב</w:t>
      </w:r>
      <w:r w:rsidRPr="002A21C1">
        <w:rPr>
          <w:rFonts w:ascii="Century" w:hAnsi="Century" w:cs="FrankRuehl"/>
          <w:spacing w:val="10"/>
          <w:sz w:val="22"/>
          <w:szCs w:val="28"/>
          <w:rtl/>
        </w:rPr>
        <w:t xml:space="preserve"> </w:t>
      </w:r>
      <w:r w:rsidRPr="002A21C1">
        <w:rPr>
          <w:rFonts w:ascii="Century" w:hAnsi="Century" w:cs="FrankRuehl" w:hint="eastAsia"/>
          <w:spacing w:val="10"/>
          <w:sz w:val="22"/>
          <w:szCs w:val="28"/>
          <w:rtl/>
        </w:rPr>
        <w:t>דברים</w:t>
      </w:r>
      <w:r w:rsidRPr="002A21C1">
        <w:rPr>
          <w:rFonts w:ascii="Century" w:hAnsi="Century" w:cs="FrankRuehl"/>
          <w:spacing w:val="10"/>
          <w:sz w:val="22"/>
          <w:szCs w:val="28"/>
          <w:rtl/>
        </w:rPr>
        <w:t xml:space="preserve">" </w:t>
      </w:r>
      <w:r w:rsidRPr="002A21C1">
        <w:rPr>
          <w:rFonts w:ascii="Century" w:hAnsi="Century" w:cs="FrankRuehl" w:hint="cs"/>
          <w:spacing w:val="10"/>
          <w:sz w:val="22"/>
          <w:szCs w:val="28"/>
          <w:rtl/>
        </w:rPr>
        <w:t>(</w:t>
      </w:r>
      <w:r w:rsidRPr="002A21C1">
        <w:rPr>
          <w:rFonts w:ascii="Century" w:hAnsi="Century" w:cs="FrankRuehl" w:hint="eastAsia"/>
          <w:spacing w:val="10"/>
          <w:sz w:val="22"/>
          <w:szCs w:val="28"/>
          <w:rtl/>
        </w:rPr>
        <w:t>שם</w:t>
      </w:r>
      <w:r w:rsidRPr="002A21C1">
        <w:rPr>
          <w:rFonts w:ascii="Century" w:hAnsi="Century" w:cs="FrankRuehl"/>
          <w:spacing w:val="10"/>
          <w:sz w:val="22"/>
          <w:szCs w:val="28"/>
          <w:rtl/>
        </w:rPr>
        <w:t xml:space="preserve">, פסקה 61). </w:t>
      </w:r>
      <w:r w:rsidRPr="002A21C1">
        <w:rPr>
          <w:rFonts w:ascii="Century" w:hAnsi="Century" w:cs="FrankRuehl" w:hint="cs"/>
          <w:spacing w:val="10"/>
          <w:sz w:val="22"/>
          <w:szCs w:val="28"/>
          <w:rtl/>
        </w:rPr>
        <w:t xml:space="preserve">תחושת אי הנוחות במקרה דנן מתחדדת בהינתן שהזכות הקניינית של ההקדש נותרה על כנה לאחר מלחמת העצמאות, מאחר שהממונה הירדני על נכסי אויב לא העביר את הזכות לאחרים (הגם שהיו מקרים בעבר שבהם הממונה הירדני העביר את הזכויות לאחרים, כמו בנסיבות המיוחדות ברע"א 2401/21 </w:t>
      </w:r>
      <w:r w:rsidRPr="002A21C1">
        <w:rPr>
          <w:rFonts w:ascii="Century" w:hAnsi="Century" w:cs="Miriam"/>
          <w:b/>
          <w:sz w:val="22"/>
          <w:rtl/>
        </w:rPr>
        <w:t>ג'אעוני נ' נחלת שמעון בע"מ</w:t>
      </w:r>
      <w:r w:rsidRPr="002A21C1">
        <w:rPr>
          <w:rFonts w:ascii="FrankRuehl" w:hAnsi="FrankRuehl" w:cs="FrankRuehl" w:hint="cs"/>
          <w:color w:val="000000"/>
          <w:spacing w:val="10"/>
          <w:sz w:val="28"/>
          <w:szCs w:val="28"/>
          <w:rtl/>
        </w:rPr>
        <w:t xml:space="preserve"> (1.3.2022)). </w:t>
      </w:r>
      <w:r w:rsidRPr="002A21C1">
        <w:rPr>
          <w:rFonts w:ascii="Century" w:hAnsi="Century" w:cs="FrankRuehl" w:hint="cs"/>
          <w:spacing w:val="10"/>
          <w:sz w:val="22"/>
          <w:szCs w:val="28"/>
          <w:rtl/>
        </w:rPr>
        <w:t xml:space="preserve">זאת, בשונה מ"תמונת הראי" של האפוטרופוס לנכסי נפקדים, שנוהג במקרים רבים להעביר את הנכס הנפקד לרשות הפיתוח (וראו לאחרונה, ע"א 7793/19 </w:t>
      </w:r>
      <w:r w:rsidRPr="002A21C1">
        <w:rPr>
          <w:rFonts w:ascii="Century" w:hAnsi="Century" w:cs="Miriam" w:hint="eastAsia"/>
          <w:b/>
          <w:sz w:val="22"/>
          <w:rtl/>
        </w:rPr>
        <w:t>מדינת</w:t>
      </w:r>
      <w:r w:rsidRPr="002A21C1">
        <w:rPr>
          <w:rFonts w:ascii="Century" w:hAnsi="Century" w:cs="Miriam"/>
          <w:b/>
          <w:sz w:val="22"/>
          <w:rtl/>
        </w:rPr>
        <w:t xml:space="preserve"> </w:t>
      </w:r>
      <w:r w:rsidRPr="002A21C1">
        <w:rPr>
          <w:rFonts w:ascii="Century" w:hAnsi="Century" w:cs="Miriam" w:hint="eastAsia"/>
          <w:b/>
          <w:sz w:val="22"/>
          <w:rtl/>
        </w:rPr>
        <w:t>ישראל</w:t>
      </w:r>
      <w:r w:rsidRPr="002A21C1">
        <w:rPr>
          <w:rFonts w:ascii="Century" w:hAnsi="Century" w:cs="Miriam"/>
          <w:b/>
          <w:sz w:val="22"/>
          <w:rtl/>
        </w:rPr>
        <w:t xml:space="preserve">-רשות </w:t>
      </w:r>
      <w:r w:rsidRPr="002A21C1">
        <w:rPr>
          <w:rFonts w:ascii="Century" w:hAnsi="Century" w:cs="Miriam" w:hint="eastAsia"/>
          <w:b/>
          <w:sz w:val="22"/>
          <w:rtl/>
        </w:rPr>
        <w:t>הפיתוח</w:t>
      </w:r>
      <w:r w:rsidRPr="002A21C1">
        <w:rPr>
          <w:rFonts w:ascii="Century" w:hAnsi="Century" w:cs="Miriam"/>
          <w:b/>
          <w:sz w:val="22"/>
          <w:rtl/>
        </w:rPr>
        <w:t xml:space="preserve"> </w:t>
      </w:r>
      <w:r w:rsidRPr="002A21C1">
        <w:rPr>
          <w:rFonts w:ascii="Century" w:hAnsi="Century" w:cs="Miriam" w:hint="eastAsia"/>
          <w:b/>
          <w:sz w:val="22"/>
          <w:rtl/>
        </w:rPr>
        <w:t>נ</w:t>
      </w:r>
      <w:r w:rsidRPr="002A21C1">
        <w:rPr>
          <w:rFonts w:ascii="Century" w:hAnsi="Century" w:cs="Miriam"/>
          <w:b/>
          <w:sz w:val="22"/>
          <w:rtl/>
        </w:rPr>
        <w:t xml:space="preserve">' </w:t>
      </w:r>
      <w:r w:rsidRPr="002A21C1">
        <w:rPr>
          <w:rFonts w:ascii="Century" w:hAnsi="Century" w:cs="Miriam" w:hint="eastAsia"/>
          <w:b/>
          <w:sz w:val="22"/>
          <w:rtl/>
        </w:rPr>
        <w:t>עזבון</w:t>
      </w:r>
      <w:r w:rsidRPr="002A21C1">
        <w:rPr>
          <w:rFonts w:ascii="Century" w:hAnsi="Century" w:cs="Miriam"/>
          <w:b/>
          <w:sz w:val="22"/>
          <w:rtl/>
        </w:rPr>
        <w:t xml:space="preserve"> </w:t>
      </w:r>
      <w:r w:rsidRPr="002A21C1">
        <w:rPr>
          <w:rFonts w:ascii="Century" w:hAnsi="Century" w:cs="Miriam" w:hint="eastAsia"/>
          <w:b/>
          <w:sz w:val="22"/>
          <w:rtl/>
        </w:rPr>
        <w:t>המנוח</w:t>
      </w:r>
      <w:r w:rsidRPr="002A21C1">
        <w:rPr>
          <w:rFonts w:ascii="Century" w:hAnsi="Century" w:cs="Miriam"/>
          <w:b/>
          <w:sz w:val="22"/>
          <w:rtl/>
        </w:rPr>
        <w:t xml:space="preserve"> </w:t>
      </w:r>
      <w:r w:rsidRPr="002A21C1">
        <w:rPr>
          <w:rFonts w:ascii="Century" w:hAnsi="Century" w:cs="Miriam" w:hint="eastAsia"/>
          <w:b/>
          <w:sz w:val="22"/>
          <w:rtl/>
        </w:rPr>
        <w:t>סאלם</w:t>
      </w:r>
      <w:r w:rsidRPr="002A21C1">
        <w:rPr>
          <w:rFonts w:ascii="Century" w:hAnsi="Century" w:cs="Miriam"/>
          <w:b/>
          <w:sz w:val="22"/>
          <w:rtl/>
        </w:rPr>
        <w:t xml:space="preserve"> </w:t>
      </w:r>
      <w:r w:rsidRPr="002A21C1">
        <w:rPr>
          <w:rFonts w:ascii="Century" w:hAnsi="Century" w:cs="Miriam" w:hint="eastAsia"/>
          <w:b/>
          <w:sz w:val="22"/>
          <w:rtl/>
        </w:rPr>
        <w:t>עקל</w:t>
      </w:r>
      <w:r w:rsidRPr="002A21C1">
        <w:rPr>
          <w:rFonts w:ascii="Century" w:hAnsi="Century" w:cs="Miriam"/>
          <w:b/>
          <w:sz w:val="22"/>
          <w:rtl/>
        </w:rPr>
        <w:t xml:space="preserve"> </w:t>
      </w:r>
      <w:r w:rsidRPr="002A21C1">
        <w:rPr>
          <w:rFonts w:ascii="Century" w:hAnsi="Century" w:cs="Miriam" w:hint="eastAsia"/>
          <w:b/>
          <w:sz w:val="22"/>
          <w:rtl/>
        </w:rPr>
        <w:t>ז</w:t>
      </w:r>
      <w:r w:rsidRPr="002A21C1">
        <w:rPr>
          <w:rFonts w:ascii="Century" w:hAnsi="Century" w:cs="Miriam"/>
          <w:b/>
          <w:sz w:val="22"/>
          <w:rtl/>
        </w:rPr>
        <w:t>"ל</w:t>
      </w:r>
      <w:r w:rsidRPr="002A21C1">
        <w:rPr>
          <w:rFonts w:ascii="Century" w:hAnsi="Century" w:cs="FrankRuehl" w:hint="cs"/>
          <w:spacing w:val="10"/>
          <w:sz w:val="22"/>
          <w:szCs w:val="28"/>
          <w:rtl/>
        </w:rPr>
        <w:t xml:space="preserve"> (8.5.2022)).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Pr="002A21C1"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hint="cs"/>
          <w:spacing w:val="10"/>
          <w:sz w:val="22"/>
          <w:szCs w:val="28"/>
          <w:rtl/>
        </w:rPr>
        <w:t>32.</w:t>
      </w:r>
      <w:r w:rsidRPr="002A21C1">
        <w:rPr>
          <w:rFonts w:ascii="Century" w:hAnsi="Century" w:cs="FrankRuehl" w:hint="cs"/>
          <w:spacing w:val="10"/>
          <w:sz w:val="22"/>
          <w:szCs w:val="28"/>
          <w:rtl/>
        </w:rPr>
        <w:tab/>
        <w:t xml:space="preserve">סוף דבר, שדין הערעור להתקבל באופן חלקי, במובן זה שהדיון יושב לבית משפט השלום לצורך דיון בשאלות הטעונות הכרעה, כמפורט לעיל. </w:t>
      </w:r>
    </w:p>
    <w:p w:rsidR="009562DC" w:rsidRPr="002A21C1" w:rsidRDefault="009562DC" w:rsidP="009562DC">
      <w:pPr>
        <w:tabs>
          <w:tab w:val="left" w:pos="800"/>
        </w:tabs>
        <w:spacing w:line="360" w:lineRule="auto"/>
        <w:jc w:val="both"/>
        <w:rPr>
          <w:rFonts w:ascii="Century" w:hAnsi="Century" w:cs="FrankRuehl"/>
          <w:spacing w:val="10"/>
          <w:sz w:val="22"/>
          <w:szCs w:val="28"/>
          <w:rtl/>
        </w:rPr>
      </w:pPr>
    </w:p>
    <w:p w:rsidR="009562DC" w:rsidRDefault="009562DC" w:rsidP="009562DC">
      <w:pPr>
        <w:tabs>
          <w:tab w:val="left" w:pos="800"/>
        </w:tabs>
        <w:spacing w:line="360" w:lineRule="auto"/>
        <w:jc w:val="both"/>
        <w:rPr>
          <w:rFonts w:ascii="Century" w:hAnsi="Century" w:cs="FrankRuehl"/>
          <w:spacing w:val="10"/>
          <w:sz w:val="22"/>
          <w:szCs w:val="28"/>
          <w:rtl/>
        </w:rPr>
      </w:pPr>
      <w:r w:rsidRPr="002A21C1">
        <w:rPr>
          <w:rFonts w:ascii="Century" w:hAnsi="Century" w:cs="FrankRuehl"/>
          <w:spacing w:val="10"/>
          <w:sz w:val="22"/>
          <w:szCs w:val="28"/>
          <w:rtl/>
        </w:rPr>
        <w:tab/>
      </w:r>
      <w:r w:rsidRPr="002A21C1">
        <w:rPr>
          <w:rFonts w:ascii="Century" w:hAnsi="Century" w:cs="FrankRuehl" w:hint="cs"/>
          <w:spacing w:val="10"/>
          <w:sz w:val="22"/>
          <w:szCs w:val="28"/>
          <w:rtl/>
        </w:rPr>
        <w:t>לנוכח תוצאת פסק הדין, אציע לחבריי שלא ייעשה צו להוצאות.</w:t>
      </w:r>
    </w:p>
    <w:p w:rsidR="008F79C5" w:rsidRPr="00140BBF" w:rsidRDefault="008F79C5" w:rsidP="009562DC">
      <w:pPr>
        <w:tabs>
          <w:tab w:val="left" w:pos="800"/>
        </w:tabs>
        <w:spacing w:line="360" w:lineRule="auto"/>
        <w:jc w:val="both"/>
        <w:rPr>
          <w:rFonts w:ascii="Century" w:hAnsi="Century" w:cs="FrankRuehl"/>
          <w:spacing w:val="10"/>
          <w:rtl/>
        </w:rPr>
      </w:pPr>
    </w:p>
    <w:p w:rsidR="008F79C5" w:rsidRDefault="008F79C5" w:rsidP="009562DC">
      <w:pPr>
        <w:tabs>
          <w:tab w:val="left" w:pos="800"/>
        </w:tabs>
        <w:spacing w:line="360" w:lineRule="auto"/>
        <w:jc w:val="both"/>
        <w:rPr>
          <w:rFonts w:ascii="Century" w:hAnsi="Century" w:cs="FrankRuehl"/>
          <w:spacing w:val="10"/>
          <w:sz w:val="22"/>
          <w:szCs w:val="28"/>
          <w:rtl/>
        </w:rPr>
      </w:pPr>
    </w:p>
    <w:p w:rsidR="008F79C5" w:rsidRPr="008F79C5" w:rsidRDefault="008F79C5" w:rsidP="008F79C5">
      <w:pPr>
        <w:tabs>
          <w:tab w:val="left" w:pos="800"/>
        </w:tabs>
        <w:spacing w:line="360" w:lineRule="auto"/>
        <w:jc w:val="both"/>
        <w:rPr>
          <w:rFonts w:ascii="Century" w:hAnsi="Century" w:cs="Miriam"/>
          <w:b/>
          <w:sz w:val="22"/>
          <w:rtl/>
        </w:rPr>
      </w:pPr>
      <w:r>
        <w:rPr>
          <w:rFonts w:ascii="Century" w:hAnsi="Century" w:cs="FrankRuehl"/>
          <w:spacing w:val="10"/>
          <w:sz w:val="22"/>
          <w:szCs w:val="28"/>
          <w:rtl/>
        </w:rPr>
        <w:tab/>
      </w:r>
      <w:r>
        <w:rPr>
          <w:rFonts w:ascii="Century" w:hAnsi="Century" w:cs="FrankRuehl"/>
          <w:spacing w:val="10"/>
          <w:sz w:val="22"/>
          <w:szCs w:val="28"/>
          <w:rtl/>
        </w:rPr>
        <w:tab/>
      </w:r>
      <w:r>
        <w:rPr>
          <w:rFonts w:ascii="Century" w:hAnsi="Century" w:cs="FrankRuehl"/>
          <w:spacing w:val="10"/>
          <w:sz w:val="22"/>
          <w:szCs w:val="28"/>
          <w:rtl/>
        </w:rPr>
        <w:tab/>
      </w:r>
      <w:r>
        <w:rPr>
          <w:rFonts w:ascii="Century" w:hAnsi="Century" w:cs="FrankRuehl"/>
          <w:spacing w:val="10"/>
          <w:sz w:val="22"/>
          <w:szCs w:val="28"/>
          <w:rtl/>
        </w:rPr>
        <w:tab/>
      </w:r>
      <w:r>
        <w:rPr>
          <w:rFonts w:ascii="Century" w:hAnsi="Century" w:cs="FrankRuehl"/>
          <w:spacing w:val="10"/>
          <w:sz w:val="22"/>
          <w:szCs w:val="28"/>
          <w:rtl/>
        </w:rPr>
        <w:tab/>
      </w:r>
      <w:r>
        <w:rPr>
          <w:rFonts w:ascii="Century" w:hAnsi="Century" w:cs="FrankRuehl"/>
          <w:spacing w:val="10"/>
          <w:sz w:val="22"/>
          <w:szCs w:val="28"/>
          <w:rtl/>
        </w:rPr>
        <w:tab/>
      </w:r>
      <w:r>
        <w:rPr>
          <w:rFonts w:ascii="Century" w:hAnsi="Century" w:cs="FrankRuehl"/>
          <w:spacing w:val="10"/>
          <w:sz w:val="22"/>
          <w:szCs w:val="28"/>
          <w:rtl/>
        </w:rPr>
        <w:tab/>
      </w:r>
      <w:r>
        <w:rPr>
          <w:rFonts w:ascii="Century" w:hAnsi="Century" w:cs="FrankRuehl" w:hint="cs"/>
          <w:spacing w:val="10"/>
          <w:sz w:val="22"/>
          <w:szCs w:val="28"/>
          <w:rtl/>
        </w:rPr>
        <w:t xml:space="preserve">  </w:t>
      </w:r>
      <w:r>
        <w:rPr>
          <w:rFonts w:ascii="Century" w:hAnsi="Century" w:cs="FrankRuehl"/>
          <w:spacing w:val="10"/>
          <w:sz w:val="22"/>
          <w:szCs w:val="28"/>
          <w:rtl/>
        </w:rPr>
        <w:tab/>
      </w:r>
      <w:r>
        <w:rPr>
          <w:rFonts w:ascii="Century" w:hAnsi="Century" w:cs="FrankRuehl"/>
          <w:spacing w:val="10"/>
          <w:sz w:val="22"/>
          <w:szCs w:val="28"/>
          <w:rtl/>
        </w:rPr>
        <w:tab/>
      </w:r>
      <w:r>
        <w:rPr>
          <w:rFonts w:ascii="Century" w:hAnsi="Century" w:cs="FrankRuehl"/>
          <w:spacing w:val="10"/>
          <w:sz w:val="22"/>
          <w:szCs w:val="28"/>
          <w:rtl/>
        </w:rPr>
        <w:tab/>
      </w:r>
      <w:r w:rsidRPr="008F79C5">
        <w:rPr>
          <w:rFonts w:ascii="Century" w:hAnsi="Century" w:cs="Miriam" w:hint="cs"/>
          <w:b/>
          <w:sz w:val="22"/>
          <w:rtl/>
        </w:rPr>
        <w:t>ש ו פ ט</w:t>
      </w:r>
    </w:p>
    <w:p w:rsidR="009562DC" w:rsidRPr="00140BBF" w:rsidRDefault="009562DC" w:rsidP="009562DC">
      <w:pPr>
        <w:tabs>
          <w:tab w:val="left" w:pos="800"/>
        </w:tabs>
        <w:spacing w:line="360" w:lineRule="auto"/>
        <w:jc w:val="both"/>
        <w:rPr>
          <w:rFonts w:ascii="Century" w:hAnsi="Century" w:cs="FrankRuehl"/>
          <w:spacing w:val="10"/>
          <w:rtl/>
        </w:rPr>
      </w:pPr>
    </w:p>
    <w:p w:rsidR="008F79C5" w:rsidRPr="008F79C5" w:rsidRDefault="008F79C5" w:rsidP="009562DC">
      <w:pPr>
        <w:tabs>
          <w:tab w:val="left" w:pos="800"/>
        </w:tabs>
        <w:spacing w:line="360" w:lineRule="auto"/>
        <w:jc w:val="both"/>
        <w:rPr>
          <w:rFonts w:ascii="Century" w:hAnsi="Century" w:cs="FrankRuehl"/>
          <w:spacing w:val="10"/>
          <w:sz w:val="6"/>
          <w:szCs w:val="10"/>
          <w:rtl/>
        </w:rPr>
      </w:pPr>
    </w:p>
    <w:p w:rsidR="009562DC" w:rsidRDefault="00DC349E" w:rsidP="00DC349E">
      <w:pPr>
        <w:tabs>
          <w:tab w:val="left" w:pos="800"/>
        </w:tabs>
        <w:spacing w:line="360" w:lineRule="auto"/>
        <w:jc w:val="both"/>
        <w:rPr>
          <w:rFonts w:ascii="Century" w:hAnsi="Century" w:cs="FrankRuehl"/>
          <w:spacing w:val="10"/>
          <w:sz w:val="22"/>
          <w:szCs w:val="28"/>
          <w:rtl/>
        </w:rPr>
      </w:pPr>
      <w:r>
        <w:rPr>
          <w:rFonts w:ascii="Century" w:hAnsi="Century" w:cs="FrankRuehl"/>
          <w:spacing w:val="10"/>
          <w:sz w:val="22"/>
          <w:szCs w:val="28"/>
          <w:rtl/>
        </w:rPr>
        <w:tab/>
      </w:r>
      <w:r>
        <w:rPr>
          <w:rFonts w:ascii="Century" w:hAnsi="Century" w:cs="FrankRuehl" w:hint="cs"/>
          <w:spacing w:val="10"/>
          <w:sz w:val="22"/>
          <w:szCs w:val="28"/>
          <w:rtl/>
        </w:rPr>
        <w:t>ה</w:t>
      </w:r>
      <w:r w:rsidR="009562DC" w:rsidRPr="009562DC">
        <w:rPr>
          <w:rFonts w:ascii="Century" w:hAnsi="Century" w:cs="FrankRuehl" w:hint="cs"/>
          <w:spacing w:val="10"/>
          <w:sz w:val="22"/>
          <w:szCs w:val="28"/>
          <w:rtl/>
        </w:rPr>
        <w:t>וחלט כאמור בפסק דינו של השופט </w:t>
      </w:r>
      <w:r w:rsidR="009562DC" w:rsidRPr="009562DC">
        <w:rPr>
          <w:rFonts w:ascii="Century" w:hAnsi="Century" w:cs="Miriam"/>
          <w:b/>
          <w:sz w:val="22"/>
          <w:rtl/>
        </w:rPr>
        <w:t>י' עמית</w:t>
      </w:r>
      <w:r w:rsidR="009562DC" w:rsidRPr="009562DC">
        <w:rPr>
          <w:rFonts w:ascii="Century" w:hAnsi="Century" w:cs="FrankRuehl" w:hint="cs"/>
          <w:spacing w:val="10"/>
          <w:sz w:val="22"/>
          <w:szCs w:val="28"/>
          <w:rtl/>
        </w:rPr>
        <w:t>,</w:t>
      </w:r>
      <w:r w:rsidR="009562DC" w:rsidRPr="009562DC">
        <w:rPr>
          <w:rFonts w:ascii="Century" w:hAnsi="Century" w:cs="FrankRuehl"/>
          <w:spacing w:val="10"/>
          <w:sz w:val="22"/>
          <w:szCs w:val="28"/>
        </w:rPr>
        <w:t xml:space="preserve"> </w:t>
      </w:r>
      <w:r w:rsidR="009562DC" w:rsidRPr="009562DC">
        <w:rPr>
          <w:rFonts w:ascii="Century" w:hAnsi="Century" w:cs="FrankRuehl" w:hint="cs"/>
          <w:spacing w:val="10"/>
          <w:sz w:val="22"/>
          <w:szCs w:val="28"/>
          <w:rtl/>
        </w:rPr>
        <w:t>אשר השופטת </w:t>
      </w:r>
      <w:r w:rsidR="009562DC" w:rsidRPr="009562DC">
        <w:rPr>
          <w:rFonts w:ascii="Century" w:hAnsi="Century" w:cs="Miriam"/>
          <w:b/>
          <w:sz w:val="22"/>
          <w:rtl/>
        </w:rPr>
        <w:t>ד' ברק-ארז </w:t>
      </w:r>
      <w:r w:rsidR="009562DC" w:rsidRPr="009562DC">
        <w:rPr>
          <w:rFonts w:ascii="Century" w:hAnsi="Century" w:cs="FrankRuehl"/>
          <w:spacing w:val="10"/>
          <w:sz w:val="22"/>
          <w:szCs w:val="28"/>
          <w:rtl/>
        </w:rPr>
        <w:t>הצטרפה לתוצאה שאליה הגיע, כנגד דעתו החולקת של השופט</w:t>
      </w:r>
      <w:r w:rsidR="009562DC" w:rsidRPr="009562DC">
        <w:rPr>
          <w:rFonts w:ascii="Century" w:hAnsi="Century" w:cs="FrankRuehl" w:hint="cs"/>
          <w:spacing w:val="10"/>
          <w:sz w:val="22"/>
          <w:szCs w:val="28"/>
          <w:rtl/>
        </w:rPr>
        <w:t xml:space="preserve"> </w:t>
      </w:r>
      <w:r w:rsidR="009562DC" w:rsidRPr="009562DC">
        <w:rPr>
          <w:rFonts w:ascii="Century" w:hAnsi="Century" w:cs="Miriam" w:hint="cs"/>
          <w:b/>
          <w:sz w:val="22"/>
          <w:rtl/>
        </w:rPr>
        <w:t>ד' מינץ</w:t>
      </w:r>
      <w:r w:rsidR="009562DC" w:rsidRPr="009562DC">
        <w:rPr>
          <w:rFonts w:ascii="Century" w:hAnsi="Century" w:cs="FrankRuehl" w:hint="cs"/>
          <w:spacing w:val="10"/>
          <w:sz w:val="22"/>
          <w:szCs w:val="28"/>
          <w:rtl/>
        </w:rPr>
        <w:t>.</w:t>
      </w:r>
    </w:p>
    <w:p w:rsidR="008F79C5" w:rsidRDefault="008F79C5" w:rsidP="009562DC">
      <w:pPr>
        <w:tabs>
          <w:tab w:val="left" w:pos="800"/>
        </w:tabs>
        <w:spacing w:line="360" w:lineRule="auto"/>
        <w:jc w:val="both"/>
        <w:rPr>
          <w:rFonts w:ascii="Century" w:hAnsi="Century" w:cs="FrankRuehl"/>
          <w:spacing w:val="10"/>
          <w:sz w:val="22"/>
          <w:szCs w:val="28"/>
          <w:rtl/>
        </w:rPr>
      </w:pPr>
    </w:p>
    <w:p w:rsidR="009562DC" w:rsidRDefault="00DC349E" w:rsidP="00DC349E">
      <w:pPr>
        <w:pStyle w:val="Ruller41"/>
        <w:rPr>
          <w:rtl/>
        </w:rPr>
      </w:pPr>
      <w:r>
        <w:rPr>
          <w:rtl/>
        </w:rPr>
        <w:tab/>
      </w:r>
      <w:r>
        <w:rPr>
          <w:rFonts w:hint="eastAsia"/>
          <w:rtl/>
        </w:rPr>
        <w:t>ניתן</w:t>
      </w:r>
      <w:r>
        <w:rPr>
          <w:rtl/>
        </w:rPr>
        <w:t xml:space="preserve"> </w:t>
      </w:r>
      <w:r>
        <w:rPr>
          <w:rFonts w:hint="eastAsia"/>
          <w:rtl/>
        </w:rPr>
        <w:t>היום</w:t>
      </w:r>
      <w:r>
        <w:rPr>
          <w:rtl/>
        </w:rPr>
        <w:t xml:space="preserve">, </w:t>
      </w:r>
      <w:r>
        <w:rPr>
          <w:rFonts w:hint="eastAsia"/>
          <w:rtl/>
        </w:rPr>
        <w:t>‏כ</w:t>
      </w:r>
      <w:r>
        <w:rPr>
          <w:rtl/>
        </w:rPr>
        <w:t>"</w:t>
      </w:r>
      <w:r>
        <w:rPr>
          <w:rFonts w:hint="eastAsia"/>
          <w:rtl/>
        </w:rPr>
        <w:t>ב</w:t>
      </w:r>
      <w:r>
        <w:rPr>
          <w:rtl/>
        </w:rPr>
        <w:t xml:space="preserve"> </w:t>
      </w:r>
      <w:r>
        <w:rPr>
          <w:rFonts w:hint="eastAsia"/>
          <w:rtl/>
        </w:rPr>
        <w:t>בתמוז</w:t>
      </w:r>
      <w:r>
        <w:rPr>
          <w:rtl/>
        </w:rPr>
        <w:t xml:space="preserve"> </w:t>
      </w:r>
      <w:r>
        <w:rPr>
          <w:rFonts w:hint="eastAsia"/>
          <w:rtl/>
        </w:rPr>
        <w:t>התשפ</w:t>
      </w:r>
      <w:r>
        <w:rPr>
          <w:rtl/>
        </w:rPr>
        <w:t>"</w:t>
      </w:r>
      <w:r>
        <w:rPr>
          <w:rFonts w:hint="eastAsia"/>
          <w:rtl/>
        </w:rPr>
        <w:t>ב</w:t>
      </w:r>
      <w:r>
        <w:rPr>
          <w:rtl/>
        </w:rPr>
        <w:t xml:space="preserve"> (</w:t>
      </w:r>
      <w:r>
        <w:rPr>
          <w:rFonts w:hint="eastAsia"/>
          <w:rtl/>
        </w:rPr>
        <w:t>‏</w:t>
      </w:r>
      <w:r>
        <w:rPr>
          <w:rtl/>
        </w:rPr>
        <w:t>21.7.2022).</w:t>
      </w:r>
    </w:p>
    <w:p w:rsidR="008F79C5" w:rsidRPr="00140BBF" w:rsidRDefault="008F79C5" w:rsidP="009562DC">
      <w:pPr>
        <w:tabs>
          <w:tab w:val="left" w:pos="800"/>
        </w:tabs>
        <w:spacing w:line="360" w:lineRule="auto"/>
        <w:jc w:val="both"/>
        <w:rPr>
          <w:rFonts w:ascii="Century" w:hAnsi="Century" w:cs="FrankRuehl"/>
          <w:spacing w:val="10"/>
          <w:sz w:val="16"/>
          <w:szCs w:val="20"/>
          <w:rtl/>
        </w:rPr>
      </w:pPr>
    </w:p>
    <w:tbl>
      <w:tblPr>
        <w:bidiVisual/>
        <w:tblW w:w="8363" w:type="dxa"/>
        <w:tblLook w:val="01E0" w:firstRow="1" w:lastRow="1" w:firstColumn="1" w:lastColumn="1" w:noHBand="0" w:noVBand="0"/>
      </w:tblPr>
      <w:tblGrid>
        <w:gridCol w:w="2787"/>
        <w:gridCol w:w="2788"/>
        <w:gridCol w:w="2788"/>
      </w:tblGrid>
      <w:tr w:rsidR="009562DC" w:rsidTr="009562DC">
        <w:tc>
          <w:tcPr>
            <w:tcW w:w="2787" w:type="dxa"/>
            <w:shd w:val="clear" w:color="auto" w:fill="auto"/>
          </w:tcPr>
          <w:p w:rsidR="009562DC" w:rsidRDefault="009562DC" w:rsidP="009562DC">
            <w:pPr>
              <w:pStyle w:val="Ruller41"/>
              <w:rPr>
                <w:rtl/>
              </w:rPr>
            </w:pPr>
            <w:r>
              <w:rPr>
                <w:rFonts w:ascii="Century" w:hAnsi="Century" w:hint="cs"/>
                <w:rtl/>
              </w:rPr>
              <w:tab/>
            </w:r>
            <w:r w:rsidR="008F79C5">
              <w:rPr>
                <w:rFonts w:hint="cs"/>
                <w:rtl/>
              </w:rPr>
              <w:t>ש ו פ ט</w:t>
            </w:r>
          </w:p>
        </w:tc>
        <w:tc>
          <w:tcPr>
            <w:tcW w:w="2788" w:type="dxa"/>
            <w:shd w:val="clear" w:color="auto" w:fill="auto"/>
          </w:tcPr>
          <w:p w:rsidR="009562DC" w:rsidRDefault="008F79C5" w:rsidP="009562DC">
            <w:pPr>
              <w:pStyle w:val="Ruller41"/>
              <w:jc w:val="center"/>
              <w:rPr>
                <w:rtl/>
              </w:rPr>
            </w:pPr>
            <w:r>
              <w:rPr>
                <w:rFonts w:hint="cs"/>
                <w:rtl/>
              </w:rPr>
              <w:t>ש ו פ ט ת</w:t>
            </w:r>
          </w:p>
        </w:tc>
        <w:tc>
          <w:tcPr>
            <w:tcW w:w="2788" w:type="dxa"/>
            <w:shd w:val="clear" w:color="auto" w:fill="auto"/>
          </w:tcPr>
          <w:p w:rsidR="009562DC" w:rsidRDefault="008F79C5" w:rsidP="009562DC">
            <w:pPr>
              <w:pStyle w:val="Ruller41"/>
              <w:jc w:val="center"/>
              <w:rPr>
                <w:rtl/>
              </w:rPr>
            </w:pPr>
            <w:r>
              <w:rPr>
                <w:rFonts w:hint="cs"/>
                <w:rtl/>
              </w:rPr>
              <w:t xml:space="preserve">                          ש ו פ ט</w:t>
            </w:r>
          </w:p>
        </w:tc>
      </w:tr>
    </w:tbl>
    <w:p w:rsidR="00916FF8" w:rsidRDefault="00916FF8">
      <w:pPr>
        <w:rPr>
          <w:szCs w:val="16"/>
          <w:rtl/>
        </w:rPr>
      </w:pPr>
      <w:r>
        <w:rPr>
          <w:szCs w:val="16"/>
          <w:rtl/>
        </w:rPr>
        <w:t>________________</w:t>
      </w:r>
      <w:r w:rsidR="00A12E0F">
        <w:rPr>
          <w:rFonts w:hint="cs"/>
          <w:szCs w:val="16"/>
          <w:rtl/>
        </w:rPr>
        <w:t>________</w:t>
      </w:r>
    </w:p>
    <w:p w:rsidR="00916FF8" w:rsidRDefault="00A12E0F" w:rsidP="00100E09">
      <w:pPr>
        <w:pStyle w:val="Ruller38"/>
        <w:rPr>
          <w:rtl/>
        </w:rPr>
      </w:pPr>
      <w:r>
        <w:rPr>
          <w:sz w:val="16"/>
        </w:rPr>
        <w:t xml:space="preserve">  </w:t>
      </w:r>
      <w:r w:rsidR="003A7B0C">
        <w:rPr>
          <w:sz w:val="16"/>
        </w:rPr>
        <w:t xml:space="preserve">20086940_A18.docx   </w:t>
      </w:r>
      <w:r w:rsidR="00100E09">
        <w:rPr>
          <w:rFonts w:hint="cs"/>
          <w:rtl/>
        </w:rPr>
        <w:t>/עכ.</w:t>
      </w:r>
    </w:p>
    <w:p w:rsidR="003F1F97" w:rsidRDefault="00591983" w:rsidP="00595E59">
      <w:pPr>
        <w:pStyle w:val="Ruller38"/>
        <w:rPr>
          <w:rtl/>
        </w:rPr>
      </w:pPr>
      <w:r>
        <w:rPr>
          <w:rtl/>
        </w:rPr>
        <w:t>מרכז מידע, טל'</w:t>
      </w:r>
      <w:r>
        <w:rPr>
          <w:rFonts w:hint="cs"/>
          <w:rtl/>
        </w:rPr>
        <w:t xml:space="preserve"> </w:t>
      </w:r>
      <w:r w:rsidR="00B63343">
        <w:rPr>
          <w:rFonts w:hint="cs"/>
          <w:rtl/>
        </w:rPr>
        <w:t>077</w:t>
      </w:r>
      <w:r>
        <w:rPr>
          <w:rFonts w:hint="cs"/>
          <w:rtl/>
        </w:rPr>
        <w:t>-</w:t>
      </w:r>
      <w:r w:rsidR="00B63343">
        <w:rPr>
          <w:rFonts w:hint="cs"/>
          <w:rtl/>
        </w:rPr>
        <w:t>270</w:t>
      </w:r>
      <w:r w:rsidR="00E21CA9">
        <w:rPr>
          <w:rFonts w:hint="cs"/>
          <w:rtl/>
        </w:rPr>
        <w:t>3</w:t>
      </w:r>
      <w:r w:rsidR="009B38DA">
        <w:rPr>
          <w:rFonts w:hint="cs"/>
          <w:rtl/>
        </w:rPr>
        <w:t>333</w:t>
      </w:r>
      <w:r w:rsidR="00866D0F">
        <w:rPr>
          <w:rFonts w:hint="cs"/>
          <w:rtl/>
        </w:rPr>
        <w:t>, 3852*</w:t>
      </w:r>
      <w:r>
        <w:rPr>
          <w:rFonts w:hint="cs"/>
          <w:rtl/>
        </w:rPr>
        <w:t xml:space="preserve"> ; אתר אינטרנט,  </w:t>
      </w:r>
      <w:hyperlink r:id="rId8" w:history="1">
        <w:r w:rsidR="00FC0252" w:rsidRPr="00BB4C68">
          <w:rPr>
            <w:rStyle w:val="Hyperlink"/>
            <w:sz w:val="16"/>
          </w:rPr>
          <w:t>https://supreme.court.gov.il</w:t>
        </w:r>
      </w:hyperlink>
    </w:p>
    <w:sectPr w:rsidR="003F1F97" w:rsidSect="00591983">
      <w:headerReference w:type="even" r:id="rId9"/>
      <w:headerReference w:type="default" r:id="rId10"/>
      <w:footerReference w:type="even" r:id="rId11"/>
      <w:headerReference w:type="first" r:id="rId12"/>
      <w:footerReference w:type="first" r:id="rId13"/>
      <w:endnotePr>
        <w:numFmt w:val="lowerLetter"/>
      </w:endnotePr>
      <w:pgSz w:w="11906" w:h="16838" w:code="9"/>
      <w:pgMar w:top="1134" w:right="1797" w:bottom="1440" w:left="1797" w:header="567" w:footer="397" w:gutter="0"/>
      <w:cols w:space="720"/>
      <w:titlePg/>
      <w:bidi/>
      <w:rtlGutter/>
    </w:sectPr>
  </w:body>
</w:document>
</file>

<file path=word/customizations.xml><?xml version="1.0" encoding="utf-8"?>
<wne:tcg xmlns:r="http://schemas.openxmlformats.org/officeDocument/2006/relationships" xmlns:wne="http://schemas.microsoft.com/office/word/2006/wordml">
  <wne:keymaps>
    <wne:keymap wne:kcmPrimary="0433">
      <wne:acd wne:acdName="acd0"/>
    </wne:keymap>
    <wne:keymap wne:kcmPrimary="0434">
      <wne:acd wne:acdName="acd1"/>
    </wne:keymap>
    <wne:keymap wne:kcmPrimary="0435">
      <wne:acd wne:acdName="acd2"/>
    </wne:keymap>
  </wne:keymaps>
  <wne:toolbars>
    <wne:acdManifest>
      <wne:acdEntry wne:acdName="acd0"/>
      <wne:acdEntry wne:acdName="acd1"/>
      <wne:acdEntry wne:acdName="acd2"/>
    </wne:acdManifest>
    <wne:toolbarData r:id="rId1"/>
  </wne:toolbars>
  <wne:acds>
    <wne:acd wne:argValue="AgBSAHUAbABsAGUAcgAgADMA" wne:acdName="acd0" wne:fciIndexBasedOn="0065"/>
    <wne:acd wne:argValue="AgBSAHUAbABsAGUAcgA0AA==" wne:acdName="acd1" wne:fciIndexBasedOn="0065"/>
    <wne:acd wne:argValue="AgBSAHUAbABsAGUAcgA1A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2DC" w:rsidRDefault="009562DC">
      <w:r>
        <w:separator/>
      </w:r>
    </w:p>
  </w:endnote>
  <w:endnote w:type="continuationSeparator" w:id="0">
    <w:p w:rsidR="009562DC" w:rsidRDefault="0095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FrankRuehl">
    <w:altName w:val="FrankRuehl"/>
    <w:panose1 w:val="020E0503060101010101"/>
    <w:charset w:val="00"/>
    <w:family w:val="swiss"/>
    <w:pitch w:val="variable"/>
    <w:sig w:usb0="00000803" w:usb1="00000000" w:usb2="00000000" w:usb3="00000000" w:csb0="00000021" w:csb1="00000000"/>
  </w:font>
  <w:font w:name="Arial TUR">
    <w:altName w:val="Arial"/>
    <w:charset w:val="00"/>
    <w:family w:val="swiss"/>
    <w:pitch w:val="variable"/>
    <w:sig w:usb0="E0002EFF" w:usb1="C000785B" w:usb2="00000009" w:usb3="00000000" w:csb0="000001FF" w:csb1="00000000"/>
  </w:font>
  <w:font w:name="DavidFix">
    <w:charset w:val="B1"/>
    <w:family w:val="auto"/>
    <w:pitch w:val="variable"/>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Miriam">
    <w:altName w:val="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2DC" w:rsidRDefault="009562DC">
    <w:pPr>
      <w:pStyle w:val="a3"/>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noProof/>
        <w:rtl/>
      </w:rPr>
      <w:t>1</w:t>
    </w:r>
    <w:r>
      <w:rPr>
        <w:rStyle w:val="a4"/>
        <w:rtl/>
      </w:rPr>
      <w:fldChar w:fldCharType="end"/>
    </w:r>
  </w:p>
  <w:p w:rsidR="009562DC" w:rsidRDefault="009562DC">
    <w:pPr>
      <w:pStyle w:val="a3"/>
      <w:rPr>
        <w:rtl/>
      </w:rPr>
    </w:pPr>
  </w:p>
  <w:p w:rsidR="009562DC" w:rsidRDefault="009562D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2DC" w:rsidRPr="00F959DB" w:rsidRDefault="009562DC" w:rsidP="00914156">
    <w:pPr>
      <w:pStyle w:val="a3"/>
      <w:bidi w:val="0"/>
      <w:jc w:val="right"/>
      <w:rPr>
        <w:sz w:val="16"/>
        <w:szCs w:val="16"/>
      </w:rPr>
    </w:pPr>
    <w:bookmarkStart w:id="6" w:name="footer_line"/>
    <w:bookmarkEnd w:id="6"/>
  </w:p>
  <w:p w:rsidR="009562DC" w:rsidRDefault="009562DC">
    <w:pPr>
      <w:pStyle w:val="a3"/>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2DC" w:rsidRDefault="009562DC">
      <w:r>
        <w:separator/>
      </w:r>
    </w:p>
  </w:footnote>
  <w:footnote w:type="continuationSeparator" w:id="0">
    <w:p w:rsidR="009562DC" w:rsidRDefault="00956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2DC" w:rsidRDefault="009562DC">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Pr>
        <w:rStyle w:val="a4"/>
        <w:noProof/>
        <w:rtl/>
      </w:rPr>
      <w:t>1</w:t>
    </w:r>
    <w:r>
      <w:rPr>
        <w:rStyle w:val="a4"/>
        <w:rtl/>
      </w:rPr>
      <w:fldChar w:fldCharType="end"/>
    </w:r>
  </w:p>
  <w:p w:rsidR="009562DC" w:rsidRDefault="009562DC">
    <w:pPr>
      <w:pStyle w:val="a5"/>
      <w:rPr>
        <w:rtl/>
      </w:rPr>
    </w:pPr>
  </w:p>
  <w:p w:rsidR="009562DC" w:rsidRDefault="009562D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62DC" w:rsidRDefault="009562DC">
    <w:pPr>
      <w:pStyle w:val="a5"/>
      <w:framePr w:wrap="around" w:vAnchor="text" w:hAnchor="margin" w:xAlign="center" w:y="1"/>
      <w:rPr>
        <w:rStyle w:val="a4"/>
        <w:rtl/>
      </w:rPr>
    </w:pPr>
    <w:r>
      <w:rPr>
        <w:rStyle w:val="a4"/>
        <w:rtl/>
      </w:rPr>
      <w:fldChar w:fldCharType="begin"/>
    </w:r>
    <w:r>
      <w:rPr>
        <w:rStyle w:val="a4"/>
      </w:rPr>
      <w:instrText xml:space="preserve">PAGE  </w:instrText>
    </w:r>
    <w:r>
      <w:rPr>
        <w:rStyle w:val="a4"/>
        <w:rtl/>
      </w:rPr>
      <w:fldChar w:fldCharType="separate"/>
    </w:r>
    <w:r w:rsidR="00355B97">
      <w:rPr>
        <w:rStyle w:val="a4"/>
        <w:noProof/>
        <w:rtl/>
      </w:rPr>
      <w:t>67</w:t>
    </w:r>
    <w:r>
      <w:rPr>
        <w:rStyle w:val="a4"/>
        <w:rtl/>
      </w:rPr>
      <w:fldChar w:fldCharType="end"/>
    </w:r>
  </w:p>
  <w:p w:rsidR="009562DC" w:rsidRDefault="009562DC">
    <w:pPr>
      <w:pStyle w:val="a5"/>
      <w:rPr>
        <w:rtl/>
      </w:rPr>
    </w:pPr>
  </w:p>
  <w:p w:rsidR="009562DC" w:rsidRDefault="009562D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8363" w:type="dxa"/>
      <w:tblLook w:val="0000" w:firstRow="0" w:lastRow="0" w:firstColumn="0" w:lastColumn="0" w:noHBand="0" w:noVBand="0"/>
    </w:tblPr>
    <w:tblGrid>
      <w:gridCol w:w="8363"/>
    </w:tblGrid>
    <w:tr w:rsidR="009562DC" w:rsidTr="00EC23AC">
      <w:trPr>
        <w:trHeight w:val="342"/>
      </w:trPr>
      <w:tc>
        <w:tcPr>
          <w:tcW w:w="9828" w:type="dxa"/>
        </w:tcPr>
        <w:p w:rsidR="009562DC" w:rsidRPr="002F7BB6" w:rsidRDefault="009562DC" w:rsidP="00045B4D">
          <w:pPr>
            <w:pStyle w:val="Casenameintextbody"/>
            <w:jc w:val="center"/>
            <w:rPr>
              <w:u w:val="none"/>
              <w:rtl/>
            </w:rPr>
          </w:pPr>
          <w:r w:rsidRPr="002F7BB6">
            <w:rPr>
              <w:noProof/>
              <w:sz w:val="16"/>
              <w:szCs w:val="18"/>
              <w:u w:val="none"/>
              <w:rtl/>
            </w:rPr>
            <w:drawing>
              <wp:inline distT="0" distB="0" distL="0" distR="0">
                <wp:extent cx="464820" cy="449580"/>
                <wp:effectExtent l="0" t="0" r="0" b="762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820" cy="449580"/>
                        </a:xfrm>
                        <a:prstGeom prst="rect">
                          <a:avLst/>
                        </a:prstGeom>
                        <a:noFill/>
                        <a:ln>
                          <a:noFill/>
                        </a:ln>
                      </pic:spPr>
                    </pic:pic>
                  </a:graphicData>
                </a:graphic>
              </wp:inline>
            </w:drawing>
          </w:r>
        </w:p>
      </w:tc>
    </w:tr>
  </w:tbl>
  <w:p w:rsidR="009562DC" w:rsidRDefault="009562DC" w:rsidP="00045B4D">
    <w:pPr>
      <w:pStyle w:val="a5"/>
      <w:jc w:val="cent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77A4F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B8EE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485F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3003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0465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CCE6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264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1A09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7046C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B800B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A6001B"/>
    <w:multiLevelType w:val="hybridMultilevel"/>
    <w:tmpl w:val="B2C4B5E4"/>
    <w:lvl w:ilvl="0" w:tplc="5F9C772A">
      <w:start w:val="1"/>
      <w:numFmt w:val="decimal"/>
      <w:pStyle w:val="Ruller4"/>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C187E44"/>
    <w:multiLevelType w:val="hybridMultilevel"/>
    <w:tmpl w:val="E4369BBA"/>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58368B"/>
    <w:multiLevelType w:val="hybridMultilevel"/>
    <w:tmpl w:val="94C01A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E70B62"/>
    <w:multiLevelType w:val="hybridMultilevel"/>
    <w:tmpl w:val="ADA8711E"/>
    <w:lvl w:ilvl="0" w:tplc="DBB0A036">
      <w:start w:val="1"/>
      <w:numFmt w:val="hebrew1"/>
      <w:pStyle w:val="Ruller40"/>
      <w:lvlText w:val="%1."/>
      <w:lvlJc w:val="left"/>
      <w:pPr>
        <w:tabs>
          <w:tab w:val="num" w:pos="90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A2E7BDB"/>
    <w:multiLevelType w:val="hybridMultilevel"/>
    <w:tmpl w:val="DAD8420C"/>
    <w:lvl w:ilvl="0" w:tplc="23A02C54">
      <w:start w:val="1"/>
      <w:numFmt w:val="decimal"/>
      <w:lvlText w:val="%1."/>
      <w:lvlJc w:val="left"/>
      <w:pPr>
        <w:ind w:left="720" w:hanging="360"/>
      </w:pPr>
      <w:rPr>
        <w:rFonts w:hint="default"/>
      </w:rPr>
    </w:lvl>
    <w:lvl w:ilvl="1" w:tplc="FCC4820C" w:tentative="1">
      <w:start w:val="1"/>
      <w:numFmt w:val="lowerLetter"/>
      <w:lvlText w:val="%2."/>
      <w:lvlJc w:val="left"/>
      <w:pPr>
        <w:ind w:left="1440" w:hanging="360"/>
      </w:pPr>
    </w:lvl>
    <w:lvl w:ilvl="2" w:tplc="9FA2A9FC" w:tentative="1">
      <w:start w:val="1"/>
      <w:numFmt w:val="lowerRoman"/>
      <w:lvlText w:val="%3."/>
      <w:lvlJc w:val="right"/>
      <w:pPr>
        <w:ind w:left="2160" w:hanging="180"/>
      </w:pPr>
    </w:lvl>
    <w:lvl w:ilvl="3" w:tplc="A6FED990" w:tentative="1">
      <w:start w:val="1"/>
      <w:numFmt w:val="decimal"/>
      <w:lvlText w:val="%4."/>
      <w:lvlJc w:val="left"/>
      <w:pPr>
        <w:ind w:left="2880" w:hanging="360"/>
      </w:pPr>
    </w:lvl>
    <w:lvl w:ilvl="4" w:tplc="1960C744" w:tentative="1">
      <w:start w:val="1"/>
      <w:numFmt w:val="lowerLetter"/>
      <w:lvlText w:val="%5."/>
      <w:lvlJc w:val="left"/>
      <w:pPr>
        <w:ind w:left="3600" w:hanging="360"/>
      </w:pPr>
    </w:lvl>
    <w:lvl w:ilvl="5" w:tplc="27484BBA" w:tentative="1">
      <w:start w:val="1"/>
      <w:numFmt w:val="lowerRoman"/>
      <w:lvlText w:val="%6."/>
      <w:lvlJc w:val="right"/>
      <w:pPr>
        <w:ind w:left="4320" w:hanging="180"/>
      </w:pPr>
    </w:lvl>
    <w:lvl w:ilvl="6" w:tplc="B1F0EF84" w:tentative="1">
      <w:start w:val="1"/>
      <w:numFmt w:val="decimal"/>
      <w:lvlText w:val="%7."/>
      <w:lvlJc w:val="left"/>
      <w:pPr>
        <w:ind w:left="5040" w:hanging="360"/>
      </w:pPr>
    </w:lvl>
    <w:lvl w:ilvl="7" w:tplc="643E0D8E" w:tentative="1">
      <w:start w:val="1"/>
      <w:numFmt w:val="lowerLetter"/>
      <w:lvlText w:val="%8."/>
      <w:lvlJc w:val="left"/>
      <w:pPr>
        <w:ind w:left="5760" w:hanging="360"/>
      </w:pPr>
    </w:lvl>
    <w:lvl w:ilvl="8" w:tplc="467EA6D0" w:tentative="1">
      <w:start w:val="1"/>
      <w:numFmt w:val="lowerRoman"/>
      <w:lvlText w:val="%9."/>
      <w:lvlJc w:val="right"/>
      <w:pPr>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3"/>
  </w:num>
  <w:num w:numId="13">
    <w:abstractNumId w:val="12"/>
  </w:num>
  <w:num w:numId="14">
    <w:abstractNumId w:val="11"/>
  </w:num>
  <w:num w:numId="15">
    <w:abstractNumId w:val="1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ocumentProtection w:edit="forms" w:enforcement="0"/>
  <w:defaultTabStop w:val="720"/>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numFmt w:val="lowerLette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227"/>
    <w:rsid w:val="00016EF1"/>
    <w:rsid w:val="00032036"/>
    <w:rsid w:val="00036227"/>
    <w:rsid w:val="00044953"/>
    <w:rsid w:val="00045B4D"/>
    <w:rsid w:val="000514A4"/>
    <w:rsid w:val="000725F5"/>
    <w:rsid w:val="00072AD2"/>
    <w:rsid w:val="000B1478"/>
    <w:rsid w:val="000C4690"/>
    <w:rsid w:val="000D25C4"/>
    <w:rsid w:val="0010016E"/>
    <w:rsid w:val="00100E09"/>
    <w:rsid w:val="00134A67"/>
    <w:rsid w:val="00140BBF"/>
    <w:rsid w:val="00164CCE"/>
    <w:rsid w:val="001678B2"/>
    <w:rsid w:val="001A0164"/>
    <w:rsid w:val="001B7BD4"/>
    <w:rsid w:val="001F1FE4"/>
    <w:rsid w:val="00200D6B"/>
    <w:rsid w:val="002124C3"/>
    <w:rsid w:val="002224B2"/>
    <w:rsid w:val="00262310"/>
    <w:rsid w:val="00265F6E"/>
    <w:rsid w:val="00272C3B"/>
    <w:rsid w:val="00280D92"/>
    <w:rsid w:val="002876BF"/>
    <w:rsid w:val="002A4A7A"/>
    <w:rsid w:val="002A4BF3"/>
    <w:rsid w:val="002E251F"/>
    <w:rsid w:val="002F7BB6"/>
    <w:rsid w:val="00327986"/>
    <w:rsid w:val="00332D81"/>
    <w:rsid w:val="003448B2"/>
    <w:rsid w:val="00355B97"/>
    <w:rsid w:val="00361DB2"/>
    <w:rsid w:val="0037622E"/>
    <w:rsid w:val="00377102"/>
    <w:rsid w:val="003933B4"/>
    <w:rsid w:val="00393761"/>
    <w:rsid w:val="0039709B"/>
    <w:rsid w:val="003A3B28"/>
    <w:rsid w:val="003A7B0C"/>
    <w:rsid w:val="003D665F"/>
    <w:rsid w:val="003D72DA"/>
    <w:rsid w:val="003E4EBC"/>
    <w:rsid w:val="003F1F97"/>
    <w:rsid w:val="0041048F"/>
    <w:rsid w:val="0043488E"/>
    <w:rsid w:val="004357CD"/>
    <w:rsid w:val="00437D59"/>
    <w:rsid w:val="004610A4"/>
    <w:rsid w:val="00474CFB"/>
    <w:rsid w:val="00477E02"/>
    <w:rsid w:val="0048262A"/>
    <w:rsid w:val="00497D0F"/>
    <w:rsid w:val="004B29FF"/>
    <w:rsid w:val="004C6862"/>
    <w:rsid w:val="004C7868"/>
    <w:rsid w:val="004D1089"/>
    <w:rsid w:val="00503A3E"/>
    <w:rsid w:val="00527F02"/>
    <w:rsid w:val="00550F9E"/>
    <w:rsid w:val="005803E2"/>
    <w:rsid w:val="00583F7D"/>
    <w:rsid w:val="0058440A"/>
    <w:rsid w:val="00591983"/>
    <w:rsid w:val="00595E59"/>
    <w:rsid w:val="005C4A00"/>
    <w:rsid w:val="005D1C94"/>
    <w:rsid w:val="00624A42"/>
    <w:rsid w:val="0065522F"/>
    <w:rsid w:val="0066597F"/>
    <w:rsid w:val="006918D5"/>
    <w:rsid w:val="006A30F7"/>
    <w:rsid w:val="006C42AD"/>
    <w:rsid w:val="006E23FB"/>
    <w:rsid w:val="0072526F"/>
    <w:rsid w:val="00725345"/>
    <w:rsid w:val="00741CC0"/>
    <w:rsid w:val="007571DB"/>
    <w:rsid w:val="00761030"/>
    <w:rsid w:val="00767FC3"/>
    <w:rsid w:val="00774405"/>
    <w:rsid w:val="007B512F"/>
    <w:rsid w:val="007F7512"/>
    <w:rsid w:val="00810894"/>
    <w:rsid w:val="008143AB"/>
    <w:rsid w:val="0083345F"/>
    <w:rsid w:val="008355B4"/>
    <w:rsid w:val="00836667"/>
    <w:rsid w:val="00861003"/>
    <w:rsid w:val="00866D0F"/>
    <w:rsid w:val="00880D2C"/>
    <w:rsid w:val="008947AE"/>
    <w:rsid w:val="008B323D"/>
    <w:rsid w:val="008C2F11"/>
    <w:rsid w:val="008D78B9"/>
    <w:rsid w:val="008E1ECC"/>
    <w:rsid w:val="008E3F85"/>
    <w:rsid w:val="008F1994"/>
    <w:rsid w:val="008F79C5"/>
    <w:rsid w:val="009046A4"/>
    <w:rsid w:val="009051E8"/>
    <w:rsid w:val="00914156"/>
    <w:rsid w:val="00916FF8"/>
    <w:rsid w:val="00922093"/>
    <w:rsid w:val="00930C85"/>
    <w:rsid w:val="009562DC"/>
    <w:rsid w:val="00970496"/>
    <w:rsid w:val="009731EA"/>
    <w:rsid w:val="009B2E61"/>
    <w:rsid w:val="009B38DA"/>
    <w:rsid w:val="009B3C8E"/>
    <w:rsid w:val="009F2F53"/>
    <w:rsid w:val="009F4187"/>
    <w:rsid w:val="00A12E0F"/>
    <w:rsid w:val="00A20BB7"/>
    <w:rsid w:val="00A276C6"/>
    <w:rsid w:val="00A51FAE"/>
    <w:rsid w:val="00A80845"/>
    <w:rsid w:val="00A916BF"/>
    <w:rsid w:val="00A932A2"/>
    <w:rsid w:val="00AB69F7"/>
    <w:rsid w:val="00AD097B"/>
    <w:rsid w:val="00AD64B9"/>
    <w:rsid w:val="00AD7D47"/>
    <w:rsid w:val="00AE022B"/>
    <w:rsid w:val="00AE6B00"/>
    <w:rsid w:val="00B009CC"/>
    <w:rsid w:val="00B0782A"/>
    <w:rsid w:val="00B22B50"/>
    <w:rsid w:val="00B438D1"/>
    <w:rsid w:val="00B56FF3"/>
    <w:rsid w:val="00B623B4"/>
    <w:rsid w:val="00B62B8C"/>
    <w:rsid w:val="00B63343"/>
    <w:rsid w:val="00B7019C"/>
    <w:rsid w:val="00B76715"/>
    <w:rsid w:val="00B87FF7"/>
    <w:rsid w:val="00BA0B08"/>
    <w:rsid w:val="00BC0E82"/>
    <w:rsid w:val="00BD0220"/>
    <w:rsid w:val="00BD40F9"/>
    <w:rsid w:val="00BE1D24"/>
    <w:rsid w:val="00C2146E"/>
    <w:rsid w:val="00C24504"/>
    <w:rsid w:val="00C36E4A"/>
    <w:rsid w:val="00C41C86"/>
    <w:rsid w:val="00C42DAF"/>
    <w:rsid w:val="00C63A6C"/>
    <w:rsid w:val="00C720B6"/>
    <w:rsid w:val="00C73F8F"/>
    <w:rsid w:val="00CA13AF"/>
    <w:rsid w:val="00CA1444"/>
    <w:rsid w:val="00CB1590"/>
    <w:rsid w:val="00CB7600"/>
    <w:rsid w:val="00CC0E9D"/>
    <w:rsid w:val="00CC3639"/>
    <w:rsid w:val="00D00B1D"/>
    <w:rsid w:val="00D00CB7"/>
    <w:rsid w:val="00D10063"/>
    <w:rsid w:val="00D142AF"/>
    <w:rsid w:val="00D25F16"/>
    <w:rsid w:val="00D73DE3"/>
    <w:rsid w:val="00DB46E2"/>
    <w:rsid w:val="00DC349E"/>
    <w:rsid w:val="00DC7AA2"/>
    <w:rsid w:val="00DF0271"/>
    <w:rsid w:val="00E135BD"/>
    <w:rsid w:val="00E21CA9"/>
    <w:rsid w:val="00E31063"/>
    <w:rsid w:val="00E36FE9"/>
    <w:rsid w:val="00E646F4"/>
    <w:rsid w:val="00E73E98"/>
    <w:rsid w:val="00E75223"/>
    <w:rsid w:val="00E90D72"/>
    <w:rsid w:val="00EA0BE1"/>
    <w:rsid w:val="00EA6CA4"/>
    <w:rsid w:val="00EC23AC"/>
    <w:rsid w:val="00EC2992"/>
    <w:rsid w:val="00ED46A4"/>
    <w:rsid w:val="00ED6FD9"/>
    <w:rsid w:val="00EE000F"/>
    <w:rsid w:val="00EE3810"/>
    <w:rsid w:val="00F5373C"/>
    <w:rsid w:val="00F63C3B"/>
    <w:rsid w:val="00F75D5D"/>
    <w:rsid w:val="00F86C88"/>
    <w:rsid w:val="00F959DB"/>
    <w:rsid w:val="00FA173C"/>
    <w:rsid w:val="00FC0252"/>
    <w:rsid w:val="00FC5A6F"/>
    <w:rsid w:val="00FD3F92"/>
    <w:rsid w:val="00FF13A5"/>
    <w:rsid w:val="00FF3C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E17A07C-F499-4008-8025-AFB0AF87B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overflowPunct w:val="0"/>
      <w:autoSpaceDE w:val="0"/>
      <w:autoSpaceDN w:val="0"/>
      <w:bidi/>
      <w:adjustRightInd w:val="0"/>
      <w:textAlignment w:val="baseline"/>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uller3">
    <w:name w:val="Ruller 3"/>
    <w:basedOn w:val="a"/>
    <w:rsid w:val="00A51FAE"/>
    <w:pPr>
      <w:tabs>
        <w:tab w:val="left" w:pos="3210"/>
        <w:tab w:val="left" w:pos="6753"/>
      </w:tabs>
      <w:spacing w:line="360" w:lineRule="auto"/>
    </w:pPr>
    <w:rPr>
      <w:rFonts w:cs="FrankRuehl"/>
      <w:spacing w:val="10"/>
      <w:sz w:val="22"/>
      <w:szCs w:val="28"/>
    </w:rPr>
  </w:style>
  <w:style w:type="paragraph" w:customStyle="1" w:styleId="Pskdinhead">
    <w:name w:val="Pskdin head"/>
    <w:basedOn w:val="a"/>
    <w:pPr>
      <w:spacing w:line="360" w:lineRule="auto"/>
    </w:pPr>
    <w:rPr>
      <w:b/>
      <w:bCs/>
      <w:u w:val="single"/>
    </w:rPr>
  </w:style>
  <w:style w:type="paragraph" w:customStyle="1" w:styleId="FileNumber">
    <w:name w:val="File Number"/>
    <w:basedOn w:val="a"/>
    <w:pPr>
      <w:spacing w:line="360" w:lineRule="auto"/>
      <w:jc w:val="right"/>
    </w:pPr>
    <w:rPr>
      <w:bCs/>
    </w:rPr>
  </w:style>
  <w:style w:type="paragraph" w:customStyle="1" w:styleId="FirstpagestylePsakdin">
    <w:name w:val="First page style Psak din"/>
    <w:basedOn w:val="Ruller3"/>
    <w:pPr>
      <w:tabs>
        <w:tab w:val="clear" w:pos="3210"/>
        <w:tab w:val="left" w:pos="3209"/>
      </w:tabs>
    </w:pPr>
    <w:rPr>
      <w:bCs/>
    </w:rPr>
  </w:style>
  <w:style w:type="paragraph" w:customStyle="1" w:styleId="TyutaDate">
    <w:name w:val="Tyuta Date"/>
    <w:basedOn w:val="a"/>
    <w:pPr>
      <w:jc w:val="center"/>
    </w:pPr>
    <w:rPr>
      <w:b/>
      <w:bCs/>
      <w:i/>
      <w:iCs/>
      <w:sz w:val="28"/>
      <w:szCs w:val="28"/>
    </w:rPr>
  </w:style>
  <w:style w:type="paragraph" w:customStyle="1" w:styleId="DocumentHead">
    <w:name w:val="Document Head"/>
    <w:basedOn w:val="a"/>
    <w:pPr>
      <w:spacing w:line="360" w:lineRule="auto"/>
      <w:jc w:val="center"/>
    </w:pPr>
    <w:rPr>
      <w:bCs/>
      <w:spacing w:val="30"/>
      <w:szCs w:val="28"/>
      <w:u w:val="single"/>
    </w:rPr>
  </w:style>
  <w:style w:type="paragraph" w:customStyle="1" w:styleId="TfutzaList">
    <w:name w:val="Tfutza List"/>
    <w:basedOn w:val="a"/>
    <w:rPr>
      <w:i/>
      <w:iCs/>
    </w:rPr>
  </w:style>
  <w:style w:type="paragraph" w:customStyle="1" w:styleId="Ruller41">
    <w:name w:val="Ruller4"/>
    <w:basedOn w:val="a"/>
    <w:link w:val="Ruller42"/>
    <w:rsid w:val="00A51FAE"/>
    <w:pPr>
      <w:tabs>
        <w:tab w:val="left" w:pos="800"/>
      </w:tabs>
      <w:spacing w:line="360" w:lineRule="auto"/>
      <w:jc w:val="both"/>
    </w:pPr>
    <w:rPr>
      <w:rFonts w:ascii="Arial TUR" w:hAnsi="Arial TUR" w:cs="FrankRuehl"/>
      <w:spacing w:val="10"/>
      <w:sz w:val="22"/>
      <w:szCs w:val="28"/>
    </w:rPr>
  </w:style>
  <w:style w:type="paragraph" w:customStyle="1" w:styleId="Ruller5">
    <w:name w:val="Ruller5"/>
    <w:basedOn w:val="a"/>
    <w:rsid w:val="00A51FAE"/>
    <w:pPr>
      <w:ind w:left="1642" w:right="1282"/>
      <w:jc w:val="both"/>
    </w:pPr>
    <w:rPr>
      <w:rFonts w:ascii="Arial TUR" w:hAnsi="Arial TUR" w:cs="FrankRuehl"/>
      <w:spacing w:val="10"/>
      <w:sz w:val="22"/>
      <w:szCs w:val="28"/>
    </w:rPr>
  </w:style>
  <w:style w:type="paragraph" w:customStyle="1" w:styleId="Ruller6">
    <w:name w:val="Ruller6"/>
    <w:basedOn w:val="a"/>
    <w:rsid w:val="00A51FAE"/>
    <w:pPr>
      <w:tabs>
        <w:tab w:val="left" w:pos="794"/>
        <w:tab w:val="left" w:pos="2268"/>
        <w:tab w:val="left" w:pos="5783"/>
        <w:tab w:val="left" w:pos="7371"/>
      </w:tabs>
    </w:pPr>
    <w:rPr>
      <w:rFonts w:ascii="Arial TUR" w:hAnsi="Arial TUR" w:cs="DavidFix"/>
      <w:spacing w:val="10"/>
      <w:sz w:val="22"/>
      <w:szCs w:val="20"/>
    </w:rPr>
  </w:style>
  <w:style w:type="character" w:customStyle="1" w:styleId="Delete">
    <w:name w:val="Delete"/>
    <w:rPr>
      <w:strike/>
    </w:rPr>
  </w:style>
  <w:style w:type="paragraph" w:customStyle="1" w:styleId="WriterName">
    <w:name w:val="Writer Name"/>
    <w:basedOn w:val="Ruller41"/>
    <w:next w:val="Ruller41"/>
    <w:rPr>
      <w:rFonts w:cs="David"/>
      <w:b/>
      <w:bCs/>
      <w:u w:val="single"/>
    </w:rPr>
  </w:style>
  <w:style w:type="character" w:customStyle="1" w:styleId="Hand">
    <w:name w:val="Hand"/>
    <w:rPr>
      <w:rFonts w:cs="Guttman Yad"/>
    </w:rPr>
  </w:style>
  <w:style w:type="paragraph" w:styleId="a3">
    <w:name w:val="footer"/>
    <w:basedOn w:val="a"/>
    <w:pPr>
      <w:tabs>
        <w:tab w:val="center" w:pos="4153"/>
        <w:tab w:val="right" w:pos="8306"/>
      </w:tabs>
    </w:pPr>
  </w:style>
  <w:style w:type="character" w:styleId="a4">
    <w:name w:val="page number"/>
    <w:basedOn w:val="a0"/>
  </w:style>
  <w:style w:type="paragraph" w:styleId="a5">
    <w:name w:val="header"/>
    <w:basedOn w:val="a"/>
    <w:pPr>
      <w:tabs>
        <w:tab w:val="center" w:pos="4153"/>
        <w:tab w:val="right" w:pos="8306"/>
      </w:tabs>
    </w:pPr>
  </w:style>
  <w:style w:type="paragraph" w:customStyle="1" w:styleId="2">
    <w:name w:val="ñâðåï2"/>
    <w:basedOn w:val="a"/>
    <w:pPr>
      <w:overflowPunct/>
      <w:textAlignment w:val="auto"/>
    </w:pPr>
    <w:rPr>
      <w:rFonts w:cs="Times New Roman"/>
    </w:rPr>
  </w:style>
  <w:style w:type="paragraph" w:customStyle="1" w:styleId="Casenameintextbody">
    <w:name w:val="Case name in text body"/>
    <w:basedOn w:val="a"/>
    <w:pPr>
      <w:overflowPunct/>
      <w:jc w:val="right"/>
      <w:textAlignment w:val="auto"/>
    </w:pPr>
    <w:rPr>
      <w:rFonts w:cs="Times New Roman"/>
      <w:b/>
      <w:bCs/>
      <w:u w:val="single"/>
    </w:rPr>
  </w:style>
  <w:style w:type="paragraph" w:customStyle="1" w:styleId="precasestyle">
    <w:name w:val="pre_case style"/>
    <w:basedOn w:val="a"/>
    <w:pPr>
      <w:tabs>
        <w:tab w:val="left" w:pos="2552"/>
      </w:tabs>
      <w:overflowPunct/>
      <w:ind w:right="2549"/>
      <w:textAlignment w:val="auto"/>
    </w:pPr>
    <w:rPr>
      <w:rFonts w:cs="Times New Roman"/>
    </w:rPr>
  </w:style>
  <w:style w:type="paragraph" w:customStyle="1" w:styleId="BodyRuller">
    <w:name w:val="Body Ruller"/>
    <w:basedOn w:val="a"/>
    <w:rPr>
      <w:sz w:val="22"/>
      <w:szCs w:val="28"/>
    </w:rPr>
  </w:style>
  <w:style w:type="paragraph" w:customStyle="1" w:styleId="Ruller38">
    <w:name w:val="סגנון Ruller 3 + (מורכב) ‏8 נק"/>
    <w:basedOn w:val="BodyRuller"/>
    <w:rPr>
      <w:szCs w:val="16"/>
    </w:rPr>
  </w:style>
  <w:style w:type="character" w:customStyle="1" w:styleId="Ruller30">
    <w:name w:val="Ruller 3 תו"/>
    <w:rPr>
      <w:rFonts w:cs="FrankRuehl"/>
      <w:sz w:val="22"/>
      <w:szCs w:val="28"/>
      <w:lang w:val="en-US" w:eastAsia="en-US" w:bidi="he-IL"/>
    </w:rPr>
  </w:style>
  <w:style w:type="character" w:customStyle="1" w:styleId="BodyRuller0">
    <w:name w:val="Body Ruller תו"/>
    <w:rPr>
      <w:rFonts w:cs="David"/>
      <w:sz w:val="22"/>
      <w:szCs w:val="28"/>
      <w:lang w:val="en-US" w:eastAsia="en-US" w:bidi="he-IL"/>
    </w:rPr>
  </w:style>
  <w:style w:type="character" w:customStyle="1" w:styleId="Ruller380">
    <w:name w:val="סגנון Ruller 3 + (מורכב) ‏8 נק תו"/>
    <w:rPr>
      <w:rFonts w:cs="David"/>
      <w:sz w:val="22"/>
      <w:szCs w:val="16"/>
      <w:lang w:val="en-US" w:eastAsia="en-US" w:bidi="he-IL"/>
    </w:rPr>
  </w:style>
  <w:style w:type="paragraph" w:customStyle="1" w:styleId="FileNumber0">
    <w:name w:val="סגנון File Number + ימין"/>
    <w:basedOn w:val="FileNumber"/>
    <w:rsid w:val="004C7868"/>
    <w:pPr>
      <w:jc w:val="left"/>
    </w:pPr>
    <w:rPr>
      <w:szCs w:val="28"/>
    </w:rPr>
  </w:style>
  <w:style w:type="paragraph" w:customStyle="1" w:styleId="BODYVERDICT">
    <w:name w:val="BODY VERDICT"/>
    <w:basedOn w:val="a"/>
    <w:rsid w:val="00036227"/>
    <w:rPr>
      <w:rFonts w:cs="FrankRuehl"/>
      <w:spacing w:val="10"/>
      <w:sz w:val="22"/>
      <w:szCs w:val="28"/>
    </w:rPr>
  </w:style>
  <w:style w:type="character" w:styleId="Hyperlink">
    <w:name w:val="Hyperlink"/>
    <w:rsid w:val="003F1F97"/>
    <w:rPr>
      <w:color w:val="0000FF"/>
      <w:u w:val="single"/>
    </w:rPr>
  </w:style>
  <w:style w:type="table" w:styleId="a6">
    <w:name w:val="Table Grid"/>
    <w:basedOn w:val="a1"/>
    <w:rsid w:val="003F1F97"/>
    <w:pPr>
      <w:overflowPunct w:val="0"/>
      <w:autoSpaceDE w:val="0"/>
      <w:autoSpaceDN w:val="0"/>
      <w:bidi/>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a0"/>
    <w:rsid w:val="0058440A"/>
    <w:rPr>
      <w:color w:val="954F72" w:themeColor="followedHyperlink"/>
      <w:u w:val="single"/>
    </w:rPr>
  </w:style>
  <w:style w:type="character" w:styleId="a7">
    <w:name w:val="annotation reference"/>
    <w:basedOn w:val="a0"/>
    <w:rsid w:val="00D00B1D"/>
    <w:rPr>
      <w:sz w:val="16"/>
      <w:szCs w:val="16"/>
    </w:rPr>
  </w:style>
  <w:style w:type="paragraph" w:styleId="a8">
    <w:name w:val="annotation text"/>
    <w:basedOn w:val="a"/>
    <w:link w:val="a9"/>
    <w:rsid w:val="00D00B1D"/>
    <w:rPr>
      <w:szCs w:val="20"/>
    </w:rPr>
  </w:style>
  <w:style w:type="character" w:customStyle="1" w:styleId="a9">
    <w:name w:val="טקסט הערה תו"/>
    <w:basedOn w:val="a0"/>
    <w:link w:val="a8"/>
    <w:rsid w:val="00D00B1D"/>
    <w:rPr>
      <w:rFonts w:cs="David"/>
    </w:rPr>
  </w:style>
  <w:style w:type="paragraph" w:styleId="aa">
    <w:name w:val="annotation subject"/>
    <w:basedOn w:val="a8"/>
    <w:next w:val="a8"/>
    <w:link w:val="ab"/>
    <w:rsid w:val="00D00B1D"/>
    <w:rPr>
      <w:b/>
      <w:bCs/>
    </w:rPr>
  </w:style>
  <w:style w:type="character" w:customStyle="1" w:styleId="ab">
    <w:name w:val="נושא הערה תו"/>
    <w:basedOn w:val="a9"/>
    <w:link w:val="aa"/>
    <w:rsid w:val="00D00B1D"/>
    <w:rPr>
      <w:rFonts w:cs="David"/>
      <w:b/>
      <w:bCs/>
    </w:rPr>
  </w:style>
  <w:style w:type="paragraph" w:styleId="ac">
    <w:name w:val="Balloon Text"/>
    <w:basedOn w:val="a"/>
    <w:link w:val="ad"/>
    <w:rsid w:val="00D00B1D"/>
    <w:rPr>
      <w:rFonts w:ascii="Tahoma" w:hAnsi="Tahoma" w:cs="Tahoma"/>
      <w:sz w:val="18"/>
      <w:szCs w:val="18"/>
    </w:rPr>
  </w:style>
  <w:style w:type="character" w:customStyle="1" w:styleId="ad">
    <w:name w:val="טקסט בלונים תו"/>
    <w:basedOn w:val="a0"/>
    <w:link w:val="ac"/>
    <w:rsid w:val="00D00B1D"/>
    <w:rPr>
      <w:rFonts w:ascii="Tahoma" w:hAnsi="Tahoma" w:cs="Tahoma"/>
      <w:sz w:val="18"/>
      <w:szCs w:val="18"/>
    </w:rPr>
  </w:style>
  <w:style w:type="paragraph" w:customStyle="1" w:styleId="Ruller4">
    <w:name w:val="Ruller 4 ממוספר"/>
    <w:basedOn w:val="Ruller41"/>
    <w:next w:val="Ruller41"/>
    <w:rsid w:val="00D73DE3"/>
    <w:pPr>
      <w:numPr>
        <w:numId w:val="11"/>
      </w:numPr>
    </w:pPr>
    <w:rPr>
      <w:rFonts w:ascii="Garamond" w:hAnsi="Garamond"/>
      <w:sz w:val="24"/>
    </w:rPr>
  </w:style>
  <w:style w:type="paragraph" w:customStyle="1" w:styleId="Ruller40">
    <w:name w:val="Ruller4 אלפביתי"/>
    <w:basedOn w:val="Ruller41"/>
    <w:next w:val="Ruller41"/>
    <w:rsid w:val="00D73DE3"/>
    <w:pPr>
      <w:numPr>
        <w:numId w:val="12"/>
      </w:numPr>
    </w:pPr>
  </w:style>
  <w:style w:type="paragraph" w:styleId="ae">
    <w:name w:val="Revision"/>
    <w:hidden/>
    <w:uiPriority w:val="99"/>
    <w:semiHidden/>
    <w:rsid w:val="00D73DE3"/>
    <w:rPr>
      <w:rFonts w:ascii="Century" w:hAnsi="Century" w:cs="FrankRuehl"/>
      <w:spacing w:val="10"/>
      <w:szCs w:val="28"/>
    </w:rPr>
  </w:style>
  <w:style w:type="character" w:styleId="af">
    <w:name w:val="Strong"/>
    <w:basedOn w:val="a0"/>
    <w:uiPriority w:val="22"/>
    <w:qFormat/>
    <w:rsid w:val="00761030"/>
    <w:rPr>
      <w:b/>
      <w:bCs/>
    </w:rPr>
  </w:style>
  <w:style w:type="character" w:customStyle="1" w:styleId="Ruller42">
    <w:name w:val="Ruller4 תו"/>
    <w:link w:val="Ruller41"/>
    <w:locked/>
    <w:rsid w:val="00164CCE"/>
    <w:rPr>
      <w:rFonts w:ascii="Arial TUR" w:hAnsi="Arial TUR" w:cs="FrankRuehl"/>
      <w:spacing w:val="10"/>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568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s://supreme.court.gov.i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90</Pages>
  <Words>23609</Words>
  <Characters>113994</Characters>
  <Application>Microsoft Office Word</Application>
  <DocSecurity>4</DocSecurity>
  <Lines>949</Lines>
  <Paragraphs>274</Paragraphs>
  <ScaleCrop>false</ScaleCrop>
  <HeadingPairs>
    <vt:vector size="2" baseType="variant">
      <vt:variant>
        <vt:lpstr>שם</vt:lpstr>
      </vt:variant>
      <vt:variant>
        <vt:i4>1</vt:i4>
      </vt:variant>
    </vt:vector>
  </HeadingPairs>
  <TitlesOfParts>
    <vt:vector size="1" baseType="lpstr">
      <vt:lpstr>פסק-דין בתיק רע"א  8694/20</vt:lpstr>
    </vt:vector>
  </TitlesOfParts>
  <Company>supreme court of israel</Company>
  <LinksUpToDate>false</LinksUpToDate>
  <CharactersWithSpaces>137329</CharactersWithSpaces>
  <SharedDoc>false</SharedDoc>
  <HLinks>
    <vt:vector size="6" baseType="variant">
      <vt:variant>
        <vt:i4>1966158</vt:i4>
      </vt:variant>
      <vt:variant>
        <vt:i4>12</vt:i4>
      </vt:variant>
      <vt:variant>
        <vt:i4>0</vt:i4>
      </vt:variant>
      <vt:variant>
        <vt:i4>5</vt:i4>
      </vt:variant>
      <vt:variant>
        <vt:lpwstr>http://www.court.gov.il/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פסק-דין בתיק רע"א  8694/20</dc:title>
  <dc:subject/>
  <dc:creator>Administrator</dc:creator>
  <cp:keywords/>
  <dc:description/>
  <cp:lastModifiedBy>הדס לרנר</cp:lastModifiedBy>
  <cp:revision>2</cp:revision>
  <cp:lastPrinted>2022-07-21T03:55:00Z</cp:lastPrinted>
  <dcterms:created xsi:type="dcterms:W3CDTF">2022-07-21T14:33:00Z</dcterms:created>
  <dcterms:modified xsi:type="dcterms:W3CDTF">2022-07-21T14:33:00Z</dcterms:modified>
</cp:coreProperties>
</file>