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a"/>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1D32B8" w:rsidTr="001D32B8">
        <w:trPr>
          <w:jc w:val="center"/>
        </w:trPr>
        <w:tc>
          <w:tcPr>
            <w:tcW w:w="3249" w:type="dxa"/>
            <w:hideMark/>
          </w:tcPr>
          <w:bookmarkStart w:id="0" w:name="_GoBack" w:displacedByCustomXml="next"/>
          <w:bookmarkEnd w:id="0" w:displacedByCustomXml="next"/>
          <w:sdt>
            <w:sdtPr>
              <w:rPr>
                <w:rFonts w:ascii="David" w:hAnsi="David"/>
                <w:b/>
                <w:bCs/>
                <w:sz w:val="26"/>
                <w:szCs w:val="26"/>
              </w:rPr>
              <w:alias w:val="1180"/>
              <w:tag w:val="1180"/>
              <w:id w:val="-1463963102"/>
              <w:text w:multiLine="1"/>
            </w:sdtPr>
            <w:sdtEndPr/>
            <w:sdtContent>
              <w:p w:rsidR="001D32B8" w:rsidRDefault="001D32B8" w:rsidP="001D32B8">
                <w:pPr>
                  <w:bidi w:val="0"/>
                  <w:jc w:val="right"/>
                  <w:rPr>
                    <w:rFonts w:ascii="David" w:hAnsi="David"/>
                    <w:b/>
                    <w:bCs/>
                    <w:noProof w:val="0"/>
                    <w:sz w:val="26"/>
                    <w:szCs w:val="26"/>
                  </w:rPr>
                </w:pPr>
                <w:r>
                  <w:rPr>
                    <w:rFonts w:ascii="David" w:hAnsi="David"/>
                    <w:b/>
                    <w:bCs/>
                    <w:noProof w:val="0"/>
                    <w:sz w:val="26"/>
                    <w:szCs w:val="26"/>
                    <w:rtl/>
                  </w:rPr>
                  <w:t>המבקש:</w:t>
                </w:r>
              </w:p>
            </w:sdtContent>
          </w:sdt>
        </w:tc>
        <w:tc>
          <w:tcPr>
            <w:tcW w:w="5571" w:type="dxa"/>
            <w:hideMark/>
          </w:tcPr>
          <w:p w:rsidR="001D32B8" w:rsidRDefault="001D32B8">
            <w:pPr>
              <w:rPr>
                <w:rFonts w:ascii="David" w:hAnsi="David"/>
                <w:b/>
                <w:bCs/>
                <w:noProof w:val="0"/>
                <w:sz w:val="26"/>
                <w:szCs w:val="26"/>
              </w:rPr>
            </w:pPr>
            <w:r>
              <w:rPr>
                <w:rFonts w:ascii="David" w:hAnsi="David"/>
                <w:b/>
                <w:bCs/>
                <w:noProof w:val="0"/>
                <w:sz w:val="26"/>
                <w:szCs w:val="26"/>
                <w:rtl/>
              </w:rPr>
              <w:t>רועי כחלון</w:t>
            </w:r>
          </w:p>
        </w:tc>
      </w:tr>
      <w:tr w:rsidR="001D32B8" w:rsidTr="001D32B8">
        <w:trPr>
          <w:jc w:val="center"/>
        </w:trPr>
        <w:tc>
          <w:tcPr>
            <w:tcW w:w="8820" w:type="dxa"/>
            <w:gridSpan w:val="2"/>
          </w:tcPr>
          <w:p w:rsidR="001D32B8" w:rsidRDefault="001D32B8">
            <w:pPr>
              <w:rPr>
                <w:rFonts w:ascii="David" w:hAnsi="David"/>
                <w:b/>
                <w:bCs/>
                <w:noProof w:val="0"/>
                <w:sz w:val="26"/>
                <w:szCs w:val="26"/>
                <w:rtl/>
              </w:rPr>
            </w:pPr>
          </w:p>
          <w:p w:rsidR="001D32B8" w:rsidRDefault="001D32B8">
            <w:pPr>
              <w:jc w:val="center"/>
              <w:rPr>
                <w:rFonts w:ascii="David" w:hAnsi="David"/>
                <w:b/>
                <w:bCs/>
                <w:noProof w:val="0"/>
                <w:sz w:val="26"/>
                <w:szCs w:val="26"/>
              </w:rPr>
            </w:pPr>
            <w:r>
              <w:rPr>
                <w:rFonts w:ascii="David" w:hAnsi="David"/>
                <w:b/>
                <w:bCs/>
                <w:noProof w:val="0"/>
                <w:sz w:val="26"/>
                <w:szCs w:val="26"/>
                <w:rtl/>
              </w:rPr>
              <w:t>נגד</w:t>
            </w:r>
          </w:p>
          <w:p w:rsidR="001D32B8" w:rsidRDefault="001D32B8">
            <w:pPr>
              <w:rPr>
                <w:rFonts w:ascii="David" w:hAnsi="David"/>
                <w:b/>
                <w:bCs/>
                <w:noProof w:val="0"/>
                <w:sz w:val="26"/>
                <w:szCs w:val="26"/>
                <w:rtl/>
              </w:rPr>
            </w:pPr>
          </w:p>
        </w:tc>
      </w:tr>
      <w:tr w:rsidR="001D32B8" w:rsidTr="001D32B8">
        <w:trPr>
          <w:trHeight w:val="342"/>
          <w:jc w:val="center"/>
        </w:trPr>
        <w:tc>
          <w:tcPr>
            <w:tcW w:w="3249" w:type="dxa"/>
            <w:hideMark/>
          </w:tcPr>
          <w:p w:rsidR="001D32B8" w:rsidRDefault="00447F92">
            <w:pPr>
              <w:rPr>
                <w:rFonts w:ascii="David" w:hAnsi="David"/>
                <w:b/>
                <w:bCs/>
                <w:noProof w:val="0"/>
                <w:sz w:val="26"/>
                <w:szCs w:val="26"/>
                <w:rtl/>
              </w:rPr>
            </w:pPr>
            <w:sdt>
              <w:sdtPr>
                <w:rPr>
                  <w:rFonts w:ascii="David" w:hAnsi="David"/>
                  <w:sz w:val="26"/>
                  <w:szCs w:val="26"/>
                  <w:rtl/>
                </w:rPr>
                <w:alias w:val="1184"/>
                <w:tag w:val="1184"/>
                <w:id w:val="-358204077"/>
                <w:text w:multiLine="1"/>
              </w:sdtPr>
              <w:sdtEndPr/>
              <w:sdtContent>
                <w:r w:rsidR="001D32B8">
                  <w:rPr>
                    <w:rFonts w:ascii="David" w:hAnsi="David"/>
                    <w:b/>
                    <w:bCs/>
                    <w:noProof w:val="0"/>
                    <w:sz w:val="26"/>
                    <w:szCs w:val="26"/>
                    <w:rtl/>
                  </w:rPr>
                  <w:t>המשיבה:</w:t>
                </w:r>
              </w:sdtContent>
            </w:sdt>
          </w:p>
        </w:tc>
        <w:tc>
          <w:tcPr>
            <w:tcW w:w="5571" w:type="dxa"/>
            <w:hideMark/>
          </w:tcPr>
          <w:p w:rsidR="001D32B8" w:rsidRDefault="001D32B8">
            <w:pPr>
              <w:rPr>
                <w:rFonts w:ascii="David" w:hAnsi="David"/>
                <w:b/>
                <w:bCs/>
                <w:noProof w:val="0"/>
                <w:sz w:val="26"/>
                <w:szCs w:val="26"/>
              </w:rPr>
            </w:pPr>
            <w:r>
              <w:rPr>
                <w:rFonts w:ascii="David" w:hAnsi="David"/>
                <w:b/>
                <w:bCs/>
                <w:noProof w:val="0"/>
                <w:sz w:val="26"/>
                <w:szCs w:val="26"/>
                <w:rtl/>
              </w:rPr>
              <w:t>מדינת ישראל – נציבות שירות המדינה</w:t>
            </w:r>
          </w:p>
          <w:p w:rsidR="001D32B8" w:rsidRDefault="001D32B8">
            <w:pPr>
              <w:rPr>
                <w:rFonts w:ascii="David" w:hAnsi="David"/>
                <w:noProof w:val="0"/>
                <w:sz w:val="26"/>
                <w:szCs w:val="26"/>
                <w:rtl/>
              </w:rPr>
            </w:pPr>
            <w:r>
              <w:rPr>
                <w:rFonts w:ascii="David" w:hAnsi="David"/>
                <w:noProof w:val="0"/>
                <w:sz w:val="26"/>
                <w:szCs w:val="26"/>
                <w:rtl/>
              </w:rPr>
              <w:t>ע"י ב"כ עו"ד רון דול</w:t>
            </w:r>
          </w:p>
        </w:tc>
      </w:tr>
    </w:tbl>
    <w:p w:rsidR="001D32B8" w:rsidRDefault="001D32B8" w:rsidP="001D32B8">
      <w:pPr>
        <w:rPr>
          <w:rFonts w:ascii="David" w:hAnsi="David"/>
          <w:sz w:val="26"/>
          <w:szCs w:val="26"/>
          <w:rtl/>
        </w:rPr>
      </w:pPr>
    </w:p>
    <w:p w:rsidR="001D32B8" w:rsidRDefault="001D32B8" w:rsidP="001D32B8">
      <w:pPr>
        <w:rPr>
          <w:rFonts w:ascii="David" w:hAnsi="David"/>
          <w:sz w:val="26"/>
          <w:szCs w:val="26"/>
          <w:rtl/>
        </w:rPr>
      </w:pPr>
    </w:p>
    <w:tbl>
      <w:tblPr>
        <w:tblStyle w:val="aa"/>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1D32B8" w:rsidTr="001D32B8">
        <w:trPr>
          <w:jc w:val="center"/>
        </w:trPr>
        <w:tc>
          <w:tcPr>
            <w:tcW w:w="8820" w:type="dxa"/>
            <w:hideMark/>
          </w:tcPr>
          <w:p w:rsidR="001D32B8" w:rsidRDefault="001D32B8">
            <w:pPr>
              <w:bidi w:val="0"/>
              <w:jc w:val="center"/>
              <w:rPr>
                <w:rFonts w:ascii="David" w:hAnsi="David"/>
                <w:b/>
                <w:bCs/>
                <w:noProof w:val="0"/>
                <w:sz w:val="28"/>
                <w:szCs w:val="28"/>
                <w:u w:val="single"/>
                <w:rtl/>
              </w:rPr>
            </w:pPr>
            <w:r>
              <w:rPr>
                <w:rFonts w:ascii="David" w:hAnsi="David"/>
                <w:b/>
                <w:bCs/>
                <w:noProof w:val="0"/>
                <w:sz w:val="28"/>
                <w:szCs w:val="28"/>
                <w:u w:val="single"/>
                <w:rtl/>
              </w:rPr>
              <w:t>החלטה</w:t>
            </w:r>
          </w:p>
        </w:tc>
      </w:tr>
    </w:tbl>
    <w:p w:rsidR="001D32B8" w:rsidRDefault="001D32B8" w:rsidP="001D32B8">
      <w:pPr>
        <w:spacing w:line="360" w:lineRule="auto"/>
        <w:jc w:val="both"/>
        <w:rPr>
          <w:rFonts w:ascii="David" w:hAnsi="David"/>
          <w:noProof w:val="0"/>
          <w:sz w:val="28"/>
          <w:szCs w:val="28"/>
        </w:rPr>
      </w:pPr>
    </w:p>
    <w:p w:rsidR="001D32B8" w:rsidRDefault="001D32B8" w:rsidP="001D32B8">
      <w:pPr>
        <w:pStyle w:val="ae"/>
        <w:numPr>
          <w:ilvl w:val="0"/>
          <w:numId w:val="1"/>
        </w:numPr>
        <w:spacing w:line="360" w:lineRule="auto"/>
        <w:jc w:val="both"/>
        <w:rPr>
          <w:rFonts w:ascii="David" w:hAnsi="David"/>
          <w:noProof w:val="0"/>
          <w:sz w:val="26"/>
          <w:szCs w:val="26"/>
        </w:rPr>
      </w:pPr>
      <w:r>
        <w:rPr>
          <w:rFonts w:ascii="David" w:hAnsi="David"/>
          <w:noProof w:val="0"/>
          <w:sz w:val="26"/>
          <w:szCs w:val="26"/>
          <w:rtl/>
        </w:rPr>
        <w:t>החלטה זו עוסקת בבקשה בהתאם לסעיף 4(ג)(3) לחוק שירות הציבור (הגבלות לאחר פרישה), תשכ"ט-1969 (להלן: "</w:t>
      </w:r>
      <w:r>
        <w:rPr>
          <w:rFonts w:ascii="David" w:hAnsi="David"/>
          <w:bCs/>
          <w:noProof w:val="0"/>
          <w:sz w:val="26"/>
          <w:szCs w:val="26"/>
          <w:rtl/>
        </w:rPr>
        <w:t>החוק</w:t>
      </w:r>
      <w:r>
        <w:rPr>
          <w:rFonts w:ascii="David" w:hAnsi="David"/>
          <w:noProof w:val="0"/>
          <w:sz w:val="26"/>
          <w:szCs w:val="26"/>
          <w:rtl/>
        </w:rPr>
        <w:t>") ובהתאם לתקנות שירות הציבור (הגבלות לאחר פרישה) (סדרי דין בועדה), התשל"א-1971 (להלן: "</w:t>
      </w:r>
      <w:r>
        <w:rPr>
          <w:rFonts w:ascii="David" w:hAnsi="David"/>
          <w:bCs/>
          <w:noProof w:val="0"/>
          <w:sz w:val="26"/>
          <w:szCs w:val="26"/>
          <w:rtl/>
        </w:rPr>
        <w:t>התקנות</w:t>
      </w:r>
      <w:r>
        <w:rPr>
          <w:rFonts w:ascii="David" w:hAnsi="David"/>
          <w:noProof w:val="0"/>
          <w:sz w:val="26"/>
          <w:szCs w:val="26"/>
          <w:rtl/>
        </w:rPr>
        <w:t>").</w:t>
      </w:r>
    </w:p>
    <w:p w:rsidR="001D32B8" w:rsidRDefault="001D32B8" w:rsidP="001D32B8">
      <w:pPr>
        <w:pStyle w:val="ae"/>
        <w:spacing w:line="360" w:lineRule="auto"/>
        <w:jc w:val="both"/>
        <w:rPr>
          <w:rFonts w:ascii="David" w:hAnsi="David"/>
          <w:noProof w:val="0"/>
          <w:sz w:val="26"/>
          <w:szCs w:val="26"/>
        </w:rPr>
      </w:pPr>
    </w:p>
    <w:p w:rsidR="001D32B8" w:rsidRDefault="001D32B8" w:rsidP="001D32B8">
      <w:pPr>
        <w:pStyle w:val="ae"/>
        <w:numPr>
          <w:ilvl w:val="0"/>
          <w:numId w:val="1"/>
        </w:numPr>
        <w:spacing w:line="360" w:lineRule="auto"/>
        <w:jc w:val="both"/>
        <w:rPr>
          <w:rFonts w:ascii="David" w:hAnsi="David"/>
          <w:noProof w:val="0"/>
          <w:sz w:val="26"/>
          <w:szCs w:val="26"/>
        </w:rPr>
      </w:pPr>
      <w:r>
        <w:rPr>
          <w:rFonts w:ascii="David" w:hAnsi="David"/>
          <w:noProof w:val="0"/>
          <w:sz w:val="26"/>
          <w:szCs w:val="26"/>
          <w:rtl/>
        </w:rPr>
        <w:t>המבקש הועסק בשירות המדינה מאז חודש ספטמבר 2017. בתחילה ועד ליום 15.9.20, כיהן המבקש ככלכלן הפרטה ברשות החברות הממשלתיות (להלן: "</w:t>
      </w:r>
      <w:r>
        <w:rPr>
          <w:rFonts w:ascii="David" w:hAnsi="David"/>
          <w:bCs/>
          <w:noProof w:val="0"/>
          <w:sz w:val="26"/>
          <w:szCs w:val="26"/>
          <w:rtl/>
        </w:rPr>
        <w:t>הרשות</w:t>
      </w:r>
      <w:r>
        <w:rPr>
          <w:rFonts w:ascii="David" w:hAnsi="David"/>
          <w:noProof w:val="0"/>
          <w:sz w:val="26"/>
          <w:szCs w:val="26"/>
          <w:rtl/>
        </w:rPr>
        <w:t xml:space="preserve">") והחל מיום 15.9.20 ועד ליום 10.8.22, כיהן המבקש במינוי בפועל במשרת סגן בכיר למנהלת הרשות. משרתו של המבקש הייתה במתח דרגות 44-42 בדירוג המח"ר. </w:t>
      </w:r>
    </w:p>
    <w:p w:rsidR="001D32B8" w:rsidRDefault="001D32B8" w:rsidP="001D32B8">
      <w:pPr>
        <w:pStyle w:val="ae"/>
        <w:rPr>
          <w:rFonts w:ascii="David" w:hAnsi="David"/>
          <w:noProof w:val="0"/>
          <w:sz w:val="26"/>
          <w:szCs w:val="26"/>
        </w:rPr>
      </w:pPr>
    </w:p>
    <w:p w:rsidR="001D32B8" w:rsidRDefault="001D32B8" w:rsidP="001D32B8">
      <w:pPr>
        <w:pStyle w:val="ae"/>
        <w:numPr>
          <w:ilvl w:val="0"/>
          <w:numId w:val="1"/>
        </w:numPr>
        <w:spacing w:line="360" w:lineRule="auto"/>
        <w:jc w:val="both"/>
        <w:rPr>
          <w:rFonts w:ascii="David" w:hAnsi="David"/>
          <w:noProof w:val="0"/>
          <w:sz w:val="26"/>
          <w:szCs w:val="26"/>
          <w:rtl/>
        </w:rPr>
      </w:pPr>
      <w:r>
        <w:rPr>
          <w:rFonts w:ascii="David" w:hAnsi="David"/>
          <w:noProof w:val="0"/>
          <w:sz w:val="26"/>
          <w:szCs w:val="26"/>
          <w:rtl/>
        </w:rPr>
        <w:t>אין מחלוקת בין הצדדים כי המבקש נמנה עם דרג בכיר ב' בשירות המדינה וזאת בהתאם להנחיית היועמ"ש 1.1711 מיום 16.7.12 בנושא "</w:t>
      </w:r>
      <w:r>
        <w:rPr>
          <w:rFonts w:ascii="David" w:hAnsi="David"/>
          <w:b/>
          <w:bCs/>
          <w:noProof w:val="0"/>
          <w:sz w:val="26"/>
          <w:szCs w:val="26"/>
          <w:rtl/>
        </w:rPr>
        <w:t>גיבוש עמדת המדינה לגבי תקופת הצינון הראויה לפורשים משירות הציבור</w:t>
      </w:r>
      <w:r>
        <w:rPr>
          <w:rFonts w:ascii="David" w:hAnsi="David"/>
          <w:noProof w:val="0"/>
          <w:sz w:val="26"/>
          <w:szCs w:val="26"/>
          <w:rtl/>
        </w:rPr>
        <w:t>", אשר קובע</w:t>
      </w:r>
      <w:r w:rsidR="00350A39">
        <w:rPr>
          <w:rFonts w:ascii="David" w:hAnsi="David" w:hint="cs"/>
          <w:noProof w:val="0"/>
          <w:sz w:val="26"/>
          <w:szCs w:val="26"/>
          <w:rtl/>
        </w:rPr>
        <w:t>ת</w:t>
      </w:r>
      <w:r>
        <w:rPr>
          <w:rFonts w:ascii="David" w:hAnsi="David"/>
          <w:noProof w:val="0"/>
          <w:sz w:val="26"/>
          <w:szCs w:val="26"/>
          <w:rtl/>
        </w:rPr>
        <w:t xml:space="preserve"> כי ניתן לקצר את תקופת הצינון של מבקשים בדרגתו של המבקש לתשעה חודשים. </w:t>
      </w:r>
    </w:p>
    <w:p w:rsidR="001D32B8" w:rsidRDefault="001D32B8" w:rsidP="001D32B8">
      <w:pPr>
        <w:pStyle w:val="ae"/>
        <w:rPr>
          <w:rFonts w:ascii="David" w:hAnsi="David"/>
          <w:noProof w:val="0"/>
          <w:sz w:val="26"/>
          <w:szCs w:val="26"/>
        </w:rPr>
      </w:pPr>
    </w:p>
    <w:p w:rsidR="001D32B8" w:rsidRDefault="001D32B8" w:rsidP="001D32B8">
      <w:pPr>
        <w:pStyle w:val="ae"/>
        <w:numPr>
          <w:ilvl w:val="0"/>
          <w:numId w:val="1"/>
        </w:numPr>
        <w:spacing w:line="360" w:lineRule="auto"/>
        <w:jc w:val="both"/>
        <w:rPr>
          <w:rFonts w:ascii="David" w:hAnsi="David"/>
          <w:noProof w:val="0"/>
          <w:sz w:val="26"/>
          <w:szCs w:val="26"/>
          <w:rtl/>
        </w:rPr>
      </w:pPr>
      <w:r>
        <w:rPr>
          <w:rFonts w:ascii="David" w:hAnsi="David"/>
          <w:noProof w:val="0"/>
          <w:sz w:val="26"/>
          <w:szCs w:val="26"/>
          <w:rtl/>
        </w:rPr>
        <w:t>כאמור, המבקש סיים עבודתו ברשות ביום 10.8.22.</w:t>
      </w:r>
    </w:p>
    <w:p w:rsidR="001D32B8" w:rsidRDefault="001D32B8" w:rsidP="001D32B8">
      <w:pPr>
        <w:pStyle w:val="ae"/>
        <w:rPr>
          <w:rFonts w:ascii="David" w:hAnsi="David"/>
          <w:noProof w:val="0"/>
          <w:sz w:val="26"/>
          <w:szCs w:val="26"/>
        </w:rPr>
      </w:pPr>
    </w:p>
    <w:p w:rsidR="001D32B8" w:rsidRDefault="001D32B8" w:rsidP="001D32B8">
      <w:pPr>
        <w:pStyle w:val="ae"/>
        <w:numPr>
          <w:ilvl w:val="0"/>
          <w:numId w:val="1"/>
        </w:numPr>
        <w:spacing w:line="360" w:lineRule="auto"/>
        <w:jc w:val="both"/>
        <w:rPr>
          <w:rFonts w:ascii="David" w:hAnsi="David"/>
          <w:noProof w:val="0"/>
          <w:sz w:val="26"/>
          <w:szCs w:val="26"/>
          <w:rtl/>
        </w:rPr>
      </w:pPr>
      <w:r>
        <w:rPr>
          <w:rFonts w:ascii="David" w:hAnsi="David"/>
          <w:noProof w:val="0"/>
          <w:sz w:val="26"/>
          <w:szCs w:val="26"/>
          <w:rtl/>
        </w:rPr>
        <w:t>במסגרת הבקשה (שהוגשה ביום 3.8.22) מבוקש לאשר למבקש לעבוד כמנהל נכסים ופרויקטים בחברת תעבורה אחזקות בע"מ (להלן: "</w:t>
      </w:r>
      <w:r w:rsidRPr="00350A39">
        <w:rPr>
          <w:rFonts w:ascii="David" w:hAnsi="David"/>
          <w:b/>
          <w:bCs/>
          <w:noProof w:val="0"/>
          <w:sz w:val="26"/>
          <w:szCs w:val="26"/>
          <w:rtl/>
        </w:rPr>
        <w:t>החברה</w:t>
      </w:r>
      <w:r>
        <w:rPr>
          <w:rFonts w:ascii="David" w:hAnsi="David"/>
          <w:noProof w:val="0"/>
          <w:sz w:val="26"/>
          <w:szCs w:val="26"/>
          <w:rtl/>
        </w:rPr>
        <w:t xml:space="preserve">") וזאת החל מיום 11.9.22. המבקש תיאר את נסיבות קבלת ההצעה, כאשר </w:t>
      </w:r>
      <w:r w:rsidR="00350A39">
        <w:rPr>
          <w:rFonts w:ascii="David" w:hAnsi="David" w:hint="cs"/>
          <w:noProof w:val="0"/>
          <w:sz w:val="26"/>
          <w:szCs w:val="26"/>
          <w:rtl/>
        </w:rPr>
        <w:t xml:space="preserve">הוא </w:t>
      </w:r>
      <w:r w:rsidR="00350A39">
        <w:rPr>
          <w:rFonts w:ascii="David" w:hAnsi="David"/>
          <w:noProof w:val="0"/>
          <w:sz w:val="26"/>
          <w:szCs w:val="26"/>
          <w:rtl/>
        </w:rPr>
        <w:t>פנה</w:t>
      </w:r>
      <w:r>
        <w:rPr>
          <w:rFonts w:ascii="David" w:hAnsi="David"/>
          <w:noProof w:val="0"/>
          <w:sz w:val="26"/>
          <w:szCs w:val="26"/>
          <w:rtl/>
        </w:rPr>
        <w:t xml:space="preserve"> לחברה עוד בחודש מרץ 2022 ובהמשך לכך, סיכם עם החברה את עבודתו אצלה כבר בחודש מאי 2022. אלא שלאור בקשת הממונה להשלים את הליך מכירת מניות המדינה בנמל חיפה, נעתר המבקש לבקשת הממונה והאריך את עבודתו בשירות המדינה עד השלמת </w:t>
      </w:r>
      <w:r>
        <w:rPr>
          <w:rFonts w:ascii="David" w:hAnsi="David"/>
          <w:noProof w:val="0"/>
          <w:sz w:val="26"/>
          <w:szCs w:val="26"/>
          <w:rtl/>
        </w:rPr>
        <w:lastRenderedPageBreak/>
        <w:t>מכירת מניות המדינה בנמל חיפה. בקשר לאמור, לא צוין כי המבקש חתם על הסדר ניגוד עניינים כלשהו הכולל גם את החברה.</w:t>
      </w:r>
    </w:p>
    <w:p w:rsidR="001D32B8" w:rsidRDefault="001D32B8" w:rsidP="001D32B8">
      <w:pPr>
        <w:pStyle w:val="ae"/>
        <w:rPr>
          <w:rFonts w:ascii="David" w:hAnsi="David"/>
          <w:noProof w:val="0"/>
          <w:sz w:val="26"/>
          <w:szCs w:val="26"/>
        </w:rPr>
      </w:pPr>
    </w:p>
    <w:p w:rsidR="001D32B8" w:rsidRDefault="001D32B8" w:rsidP="001D32B8">
      <w:pPr>
        <w:pStyle w:val="ae"/>
        <w:numPr>
          <w:ilvl w:val="0"/>
          <w:numId w:val="1"/>
        </w:numPr>
        <w:spacing w:line="360" w:lineRule="auto"/>
        <w:jc w:val="both"/>
        <w:rPr>
          <w:rFonts w:ascii="David" w:hAnsi="David"/>
          <w:noProof w:val="0"/>
          <w:sz w:val="26"/>
          <w:szCs w:val="26"/>
          <w:rtl/>
        </w:rPr>
      </w:pPr>
      <w:r>
        <w:rPr>
          <w:rFonts w:ascii="David" w:hAnsi="David"/>
          <w:noProof w:val="0"/>
          <w:sz w:val="26"/>
          <w:szCs w:val="26"/>
          <w:rtl/>
        </w:rPr>
        <w:t>במסגרת הבקשה מבוקש לאשר למבקש להתחיל ולעבוד במקום העבודה החדש החל מיום 11.9.22 ובכפוף להוראות סעיפים 2 ו-3 לחוק.</w:t>
      </w:r>
    </w:p>
    <w:p w:rsidR="001D32B8" w:rsidRDefault="001D32B8" w:rsidP="001D32B8">
      <w:pPr>
        <w:pStyle w:val="ae"/>
        <w:rPr>
          <w:rFonts w:ascii="David" w:hAnsi="David"/>
          <w:noProof w:val="0"/>
          <w:sz w:val="26"/>
          <w:szCs w:val="26"/>
        </w:rPr>
      </w:pPr>
    </w:p>
    <w:p w:rsidR="001D32B8" w:rsidRDefault="001D32B8" w:rsidP="001D32B8">
      <w:pPr>
        <w:pStyle w:val="ae"/>
        <w:numPr>
          <w:ilvl w:val="0"/>
          <w:numId w:val="1"/>
        </w:numPr>
        <w:spacing w:line="360" w:lineRule="auto"/>
        <w:jc w:val="both"/>
        <w:rPr>
          <w:rFonts w:ascii="David" w:hAnsi="David"/>
          <w:noProof w:val="0"/>
          <w:sz w:val="26"/>
          <w:szCs w:val="26"/>
          <w:rtl/>
        </w:rPr>
      </w:pPr>
      <w:r>
        <w:rPr>
          <w:rFonts w:ascii="David" w:hAnsi="David"/>
          <w:noProof w:val="0"/>
          <w:sz w:val="26"/>
          <w:szCs w:val="26"/>
          <w:rtl/>
        </w:rPr>
        <w:t xml:space="preserve">מתגובת המשיבה (שהוגשה ביום 16.8.22), עולה כי המשיבה מסכימה שהמבקש יוכל לעבור ולעבוד בחברה לאחר צינון של 6 חודשים בלבד ממועד פרישתו מהרשות ובכפוף להוראות סעיפים 2 ו-3 לחוק. המשיבה  מסבירה כי עמדתה המקלה מתבססת על העובדה שהממשק האחרון בין המבקש לחברה היה לפני למעלה משנה וכי החברה הינה גוף פרטי ואינה נתונה לפיקוח הרשות. לחומרה מבקשת המשיבה להפנות לעובדה שהמבקש היה בעל דרגה בכירה אשר בהתאם להמלצת היועמ"ש ניתן לקצר את הצינון לתקופה של 9 חודשים וכי המבקש היה בעל סמכות החלטה יחד עם אחרים בנוגע לחברה במסגרת הפרטת נמל חיפה (כפי שיפורט בהמשך). עוד טוענת המשיבה כי ניתן לשקול את הענות המבקש לבקשת הממונה להאריך את </w:t>
      </w:r>
      <w:r w:rsidR="00350A39">
        <w:rPr>
          <w:rFonts w:ascii="David" w:hAnsi="David" w:hint="cs"/>
          <w:noProof w:val="0"/>
          <w:sz w:val="26"/>
          <w:szCs w:val="26"/>
          <w:rtl/>
        </w:rPr>
        <w:t xml:space="preserve">תקופת </w:t>
      </w:r>
      <w:r>
        <w:rPr>
          <w:rFonts w:ascii="David" w:hAnsi="David"/>
          <w:noProof w:val="0"/>
          <w:sz w:val="26"/>
          <w:szCs w:val="26"/>
          <w:rtl/>
        </w:rPr>
        <w:t>משרתו עד השלמת מכירת מניות המדינה בנמל חיפה כנסיבה מקלה. במכלול הנתונים, מבקשת המשיבה לקבוע כי תקופת הצינון הראויה במקרה דנן הינה לא פחות מששה חודשים ממועד פרישתו של המבקש משירות המדינה. קרי, המבקש יוכל להתחיל ולעבוד בחברה ביום 10.2.23 ולא</w:t>
      </w:r>
      <w:r w:rsidR="00350A39">
        <w:rPr>
          <w:rFonts w:ascii="David" w:hAnsi="David" w:hint="cs"/>
          <w:noProof w:val="0"/>
          <w:sz w:val="26"/>
          <w:szCs w:val="26"/>
          <w:rtl/>
        </w:rPr>
        <w:t xml:space="preserve"> כפי שביקש, ביום</w:t>
      </w:r>
      <w:r>
        <w:rPr>
          <w:rFonts w:ascii="David" w:hAnsi="David"/>
          <w:noProof w:val="0"/>
          <w:sz w:val="26"/>
          <w:szCs w:val="26"/>
          <w:rtl/>
        </w:rPr>
        <w:t xml:space="preserve"> 11.9.22.</w:t>
      </w:r>
    </w:p>
    <w:p w:rsidR="001D32B8" w:rsidRDefault="001D32B8" w:rsidP="001D32B8">
      <w:pPr>
        <w:pStyle w:val="ae"/>
        <w:rPr>
          <w:rFonts w:ascii="David" w:hAnsi="David"/>
          <w:noProof w:val="0"/>
          <w:sz w:val="26"/>
          <w:szCs w:val="26"/>
        </w:rPr>
      </w:pPr>
    </w:p>
    <w:p w:rsidR="001D32B8" w:rsidRDefault="001D32B8" w:rsidP="001D32B8">
      <w:pPr>
        <w:pStyle w:val="ae"/>
        <w:numPr>
          <w:ilvl w:val="0"/>
          <w:numId w:val="1"/>
        </w:numPr>
        <w:spacing w:line="360" w:lineRule="auto"/>
        <w:jc w:val="both"/>
        <w:rPr>
          <w:rFonts w:ascii="David" w:hAnsi="David"/>
          <w:noProof w:val="0"/>
          <w:sz w:val="26"/>
          <w:szCs w:val="26"/>
          <w:rtl/>
        </w:rPr>
      </w:pPr>
      <w:r>
        <w:rPr>
          <w:rFonts w:ascii="David" w:hAnsi="David"/>
          <w:noProof w:val="0"/>
          <w:sz w:val="26"/>
          <w:szCs w:val="26"/>
          <w:rtl/>
        </w:rPr>
        <w:t>עמדת המשיבה היא, כי לאור תכלית החוק ובהתבסס על הנתונים האמורים במקרה דנן, יש לקבוע כי תקופת הצינון תעמוד על ששה חודשים לפחות ממועד פרישתו של המבקש מהרשות. לטענת המשיבה, תקופת צינון ראויה זו תמנע חשש לפגיעה בטוהר המידות של השירות הציבורי, אף בדרך של מראית עין.</w:t>
      </w:r>
    </w:p>
    <w:p w:rsidR="001D32B8" w:rsidRDefault="001D32B8" w:rsidP="001D32B8">
      <w:pPr>
        <w:pStyle w:val="ae"/>
        <w:spacing w:line="360" w:lineRule="auto"/>
        <w:jc w:val="both"/>
        <w:rPr>
          <w:rFonts w:ascii="David" w:hAnsi="David"/>
          <w:noProof w:val="0"/>
          <w:sz w:val="26"/>
          <w:szCs w:val="26"/>
        </w:rPr>
      </w:pPr>
    </w:p>
    <w:p w:rsidR="001D32B8" w:rsidRDefault="001D32B8" w:rsidP="001D32B8">
      <w:pPr>
        <w:pStyle w:val="ae"/>
        <w:numPr>
          <w:ilvl w:val="0"/>
          <w:numId w:val="1"/>
        </w:numPr>
        <w:spacing w:line="360" w:lineRule="auto"/>
        <w:jc w:val="both"/>
        <w:rPr>
          <w:rFonts w:ascii="David" w:hAnsi="David"/>
          <w:noProof w:val="0"/>
          <w:sz w:val="26"/>
          <w:szCs w:val="26"/>
        </w:rPr>
      </w:pPr>
      <w:r>
        <w:rPr>
          <w:rFonts w:ascii="David" w:hAnsi="David"/>
          <w:noProof w:val="0"/>
          <w:sz w:val="26"/>
          <w:szCs w:val="26"/>
          <w:rtl/>
        </w:rPr>
        <w:t>בהמשך לאמור, המשיבה טוענת כי ככל שיוחלט לקצר את התקופה האמורה מעבר לאמור, מתקיים חשש למראית עין לניגוד עניינים ולטוהר המידות בשירות הציבורי, באם יינתן למבקש היתר להתחיל את עבודתו במקום העבודה החדש לאחר חודש אחד בלבד ממועד פרישת</w:t>
      </w:r>
      <w:r w:rsidR="00350A39">
        <w:rPr>
          <w:rFonts w:ascii="David" w:hAnsi="David" w:hint="cs"/>
          <w:noProof w:val="0"/>
          <w:sz w:val="26"/>
          <w:szCs w:val="26"/>
          <w:rtl/>
        </w:rPr>
        <w:t>ו</w:t>
      </w:r>
      <w:r>
        <w:rPr>
          <w:rFonts w:ascii="David" w:hAnsi="David"/>
          <w:noProof w:val="0"/>
          <w:sz w:val="26"/>
          <w:szCs w:val="26"/>
          <w:rtl/>
        </w:rPr>
        <w:t xml:space="preserve"> (במקום תשעה חודשים על פי הנחיות היועמ"ש שהובאו לעיל). </w:t>
      </w:r>
    </w:p>
    <w:p w:rsidR="001D32B8" w:rsidRDefault="001D32B8" w:rsidP="001D32B8">
      <w:pPr>
        <w:pStyle w:val="ae"/>
        <w:rPr>
          <w:rFonts w:ascii="David" w:hAnsi="David"/>
          <w:noProof w:val="0"/>
          <w:sz w:val="26"/>
          <w:szCs w:val="26"/>
        </w:rPr>
      </w:pPr>
    </w:p>
    <w:p w:rsidR="001D32B8" w:rsidRDefault="001D32B8" w:rsidP="001D32B8">
      <w:pPr>
        <w:pStyle w:val="ae"/>
        <w:numPr>
          <w:ilvl w:val="0"/>
          <w:numId w:val="1"/>
        </w:numPr>
        <w:spacing w:line="360" w:lineRule="auto"/>
        <w:jc w:val="both"/>
        <w:rPr>
          <w:rFonts w:ascii="David" w:hAnsi="David"/>
          <w:noProof w:val="0"/>
          <w:sz w:val="26"/>
          <w:szCs w:val="26"/>
          <w:rtl/>
        </w:rPr>
      </w:pPr>
      <w:r>
        <w:rPr>
          <w:rFonts w:ascii="David" w:hAnsi="David"/>
          <w:noProof w:val="0"/>
          <w:sz w:val="26"/>
          <w:szCs w:val="26"/>
          <w:rtl/>
        </w:rPr>
        <w:t>הצדדים מסכימים כי בין המבקש לבין מקום העבודה התקיימו ממשקים מסוימים במסגרת עבודתו בוועדה למכירת מנ</w:t>
      </w:r>
      <w:r w:rsidR="00350A39">
        <w:rPr>
          <w:rFonts w:ascii="David" w:hAnsi="David"/>
          <w:noProof w:val="0"/>
          <w:sz w:val="26"/>
          <w:szCs w:val="26"/>
          <w:rtl/>
        </w:rPr>
        <w:t>יות המדינה בנמל חיפה. בעוד המ</w:t>
      </w:r>
      <w:r w:rsidR="00350A39">
        <w:rPr>
          <w:rFonts w:ascii="David" w:hAnsi="David" w:hint="cs"/>
          <w:noProof w:val="0"/>
          <w:sz w:val="26"/>
          <w:szCs w:val="26"/>
          <w:rtl/>
        </w:rPr>
        <w:t>שיב</w:t>
      </w:r>
      <w:r>
        <w:rPr>
          <w:rFonts w:ascii="David" w:hAnsi="David"/>
          <w:noProof w:val="0"/>
          <w:sz w:val="26"/>
          <w:szCs w:val="26"/>
          <w:rtl/>
        </w:rPr>
        <w:t>ה טוענת בסעיף 7 (א) לתגובתה כי הוועדה בר</w:t>
      </w:r>
      <w:r w:rsidR="00350A39">
        <w:rPr>
          <w:rFonts w:ascii="David" w:hAnsi="David" w:hint="cs"/>
          <w:noProof w:val="0"/>
          <w:sz w:val="26"/>
          <w:szCs w:val="26"/>
          <w:rtl/>
        </w:rPr>
        <w:t>א</w:t>
      </w:r>
      <w:r>
        <w:rPr>
          <w:rFonts w:ascii="David" w:hAnsi="David"/>
          <w:noProof w:val="0"/>
          <w:sz w:val="26"/>
          <w:szCs w:val="26"/>
          <w:rtl/>
        </w:rPr>
        <w:t>שות המבקש נתנה לחברה זכות להיכנס לחדר המידע לצורך עיון בחומרים הנוגעים למכרז, המבקש טוען כי בהיותו יו"ר הוועדה היא לא דנה בבקשת החברה להיכנס לחדר המידע וזכות זו ניתנה לה שלושה חודשים מוקדם יותר כאשר מר קוינט כיהן כיו"ר הוועדה והמבקש היה גורם ממליץ בלבד.</w:t>
      </w:r>
    </w:p>
    <w:p w:rsidR="001D32B8" w:rsidRDefault="001D32B8" w:rsidP="001D32B8">
      <w:pPr>
        <w:pStyle w:val="ae"/>
        <w:rPr>
          <w:rFonts w:ascii="David" w:hAnsi="David"/>
          <w:noProof w:val="0"/>
          <w:sz w:val="26"/>
          <w:szCs w:val="26"/>
        </w:rPr>
      </w:pPr>
    </w:p>
    <w:p w:rsidR="001D32B8" w:rsidRDefault="001D32B8" w:rsidP="001D32B8">
      <w:pPr>
        <w:pStyle w:val="ae"/>
        <w:numPr>
          <w:ilvl w:val="0"/>
          <w:numId w:val="1"/>
        </w:numPr>
        <w:spacing w:line="360" w:lineRule="auto"/>
        <w:jc w:val="both"/>
        <w:rPr>
          <w:rFonts w:ascii="David" w:hAnsi="David"/>
          <w:noProof w:val="0"/>
          <w:sz w:val="26"/>
          <w:szCs w:val="26"/>
          <w:rtl/>
        </w:rPr>
      </w:pPr>
      <w:r>
        <w:rPr>
          <w:rFonts w:ascii="David" w:hAnsi="David"/>
          <w:noProof w:val="0"/>
          <w:sz w:val="26"/>
          <w:szCs w:val="26"/>
          <w:rtl/>
        </w:rPr>
        <w:t>בנסיבות העניין, מצאנו כי אין משמעות לפער בין הצדדים. בין היותו של המבקש חלק מוועדה שהייתה גורם מחליט בנוגע לח</w:t>
      </w:r>
      <w:r w:rsidR="00350A39">
        <w:rPr>
          <w:rFonts w:ascii="David" w:hAnsi="David"/>
          <w:noProof w:val="0"/>
          <w:sz w:val="26"/>
          <w:szCs w:val="26"/>
          <w:rtl/>
        </w:rPr>
        <w:t>ברה ובין בהיותו גורם ממליץ בלבד</w:t>
      </w:r>
      <w:r w:rsidR="00350A39">
        <w:rPr>
          <w:rFonts w:ascii="David" w:hAnsi="David" w:hint="cs"/>
          <w:noProof w:val="0"/>
          <w:sz w:val="26"/>
          <w:szCs w:val="26"/>
          <w:rtl/>
        </w:rPr>
        <w:t>,</w:t>
      </w:r>
      <w:r>
        <w:rPr>
          <w:rFonts w:ascii="David" w:hAnsi="David"/>
          <w:noProof w:val="0"/>
          <w:sz w:val="26"/>
          <w:szCs w:val="26"/>
          <w:rtl/>
        </w:rPr>
        <w:t xml:space="preserve"> בנסיבות העניין, המכרז שניהלה המדינה בנוגע למכירת מניות נמל חיפה הסתיים ללא שהחברה הגישה הצעה כלשהי ופרשה ממנו בטרם הגיעה לקו הסיום. לפיכך, אין משמעות למחלוקת העובדתית שבין הצדדים לגבי משך הצינון הראוי במקרה הנוכחי (וראו בקשר לכך </w:t>
      </w:r>
      <w:r w:rsidR="00350A39">
        <w:rPr>
          <w:rFonts w:ascii="David" w:hAnsi="David" w:hint="cs"/>
          <w:noProof w:val="0"/>
          <w:sz w:val="26"/>
          <w:szCs w:val="26"/>
          <w:rtl/>
        </w:rPr>
        <w:t xml:space="preserve">את </w:t>
      </w:r>
      <w:r>
        <w:rPr>
          <w:rFonts w:ascii="David" w:hAnsi="David"/>
          <w:noProof w:val="0"/>
          <w:sz w:val="26"/>
          <w:szCs w:val="26"/>
          <w:rtl/>
        </w:rPr>
        <w:t>סעיף 4 לחוק כפי שיובא להלן בהרחבה).</w:t>
      </w:r>
    </w:p>
    <w:p w:rsidR="001D32B8" w:rsidRDefault="001D32B8" w:rsidP="001D32B8">
      <w:pPr>
        <w:pStyle w:val="ae"/>
        <w:rPr>
          <w:rFonts w:ascii="David" w:hAnsi="David"/>
          <w:noProof w:val="0"/>
          <w:sz w:val="26"/>
          <w:szCs w:val="26"/>
        </w:rPr>
      </w:pPr>
    </w:p>
    <w:p w:rsidR="001D32B8" w:rsidRDefault="001D32B8" w:rsidP="001D32B8">
      <w:pPr>
        <w:pStyle w:val="ae"/>
        <w:numPr>
          <w:ilvl w:val="0"/>
          <w:numId w:val="1"/>
        </w:numPr>
        <w:spacing w:line="360" w:lineRule="auto"/>
        <w:jc w:val="both"/>
        <w:rPr>
          <w:rFonts w:ascii="David" w:hAnsi="David"/>
          <w:noProof w:val="0"/>
          <w:sz w:val="26"/>
          <w:szCs w:val="26"/>
          <w:rtl/>
        </w:rPr>
      </w:pPr>
      <w:r>
        <w:rPr>
          <w:rFonts w:ascii="David" w:hAnsi="David"/>
          <w:noProof w:val="0"/>
          <w:sz w:val="26"/>
          <w:szCs w:val="26"/>
          <w:rtl/>
        </w:rPr>
        <w:t>להלן נסקור את הוראות החוק והפסיקה הרלוונטית וניישמם על עניינו של המבקש במקרה דנן.</w:t>
      </w:r>
    </w:p>
    <w:p w:rsidR="001D32B8" w:rsidRDefault="001D32B8" w:rsidP="001D32B8">
      <w:pPr>
        <w:pStyle w:val="ae"/>
        <w:rPr>
          <w:rFonts w:ascii="David" w:hAnsi="David"/>
          <w:noProof w:val="0"/>
          <w:sz w:val="26"/>
          <w:szCs w:val="26"/>
        </w:rPr>
      </w:pPr>
    </w:p>
    <w:p w:rsidR="001D32B8" w:rsidRDefault="001D32B8" w:rsidP="001D32B8">
      <w:pPr>
        <w:pStyle w:val="ae"/>
        <w:numPr>
          <w:ilvl w:val="0"/>
          <w:numId w:val="1"/>
        </w:numPr>
        <w:spacing w:line="360" w:lineRule="auto"/>
        <w:jc w:val="both"/>
        <w:rPr>
          <w:rFonts w:ascii="David" w:hAnsi="David"/>
          <w:noProof w:val="0"/>
          <w:sz w:val="26"/>
          <w:szCs w:val="26"/>
          <w:rtl/>
        </w:rPr>
      </w:pPr>
      <w:r>
        <w:rPr>
          <w:rFonts w:ascii="David" w:hAnsi="David"/>
          <w:noProof w:val="0"/>
          <w:sz w:val="26"/>
          <w:szCs w:val="26"/>
          <w:rtl/>
        </w:rPr>
        <w:t xml:space="preserve">סעיף 4 לחוק קובע כדלקמן: </w:t>
      </w:r>
    </w:p>
    <w:p w:rsidR="001D32B8" w:rsidRDefault="001D32B8" w:rsidP="001D32B8">
      <w:pPr>
        <w:pStyle w:val="ae"/>
        <w:spacing w:line="360" w:lineRule="auto"/>
        <w:jc w:val="both"/>
        <w:rPr>
          <w:rFonts w:ascii="David" w:hAnsi="David"/>
          <w:noProof w:val="0"/>
          <w:sz w:val="26"/>
          <w:szCs w:val="26"/>
          <w:rtl/>
        </w:rPr>
      </w:pPr>
      <w:r>
        <w:rPr>
          <w:rFonts w:ascii="David" w:hAnsi="David"/>
          <w:sz w:val="26"/>
          <w:szCs w:val="26"/>
          <w:rtl/>
        </w:rPr>
        <w:t>"</w:t>
      </w:r>
      <w:r>
        <w:rPr>
          <w:rFonts w:ascii="David" w:hAnsi="David"/>
          <w:b/>
          <w:bCs/>
          <w:sz w:val="26"/>
          <w:szCs w:val="26"/>
          <w:rtl/>
        </w:rPr>
        <w:t>מי שפרש משירות הציבור ובתפקידו בשירות הציבור היה מוסמך להחליט על פי שיקול דעתו על הענקת זכות לאחר, או להמליץ על הענקת זכות כאמור, או שהיה ממונה על עובד אחר בשירות הציבור המוסמך כאמור, לא יקבל זכות מאדם שנזקק במהלך עסקיו להחלטתו בתחום הסמכות האמורה"</w:t>
      </w:r>
      <w:r>
        <w:rPr>
          <w:rFonts w:ascii="David" w:hAnsi="David"/>
          <w:noProof w:val="0"/>
          <w:sz w:val="26"/>
          <w:szCs w:val="26"/>
          <w:rtl/>
        </w:rPr>
        <w:t>.</w:t>
      </w:r>
    </w:p>
    <w:p w:rsidR="001D32B8" w:rsidRDefault="001D32B8" w:rsidP="001D32B8">
      <w:pPr>
        <w:pStyle w:val="ae"/>
        <w:spacing w:line="360" w:lineRule="auto"/>
        <w:jc w:val="both"/>
        <w:rPr>
          <w:rFonts w:ascii="David" w:hAnsi="David"/>
          <w:noProof w:val="0"/>
          <w:sz w:val="26"/>
          <w:szCs w:val="26"/>
        </w:rPr>
      </w:pPr>
    </w:p>
    <w:p w:rsidR="001D32B8" w:rsidRDefault="001D32B8" w:rsidP="001D32B8">
      <w:pPr>
        <w:pStyle w:val="ae"/>
        <w:numPr>
          <w:ilvl w:val="0"/>
          <w:numId w:val="1"/>
        </w:numPr>
        <w:spacing w:line="360" w:lineRule="auto"/>
        <w:jc w:val="both"/>
        <w:rPr>
          <w:rFonts w:ascii="David" w:hAnsi="David"/>
          <w:noProof w:val="0"/>
          <w:sz w:val="26"/>
          <w:szCs w:val="26"/>
        </w:rPr>
      </w:pPr>
      <w:r>
        <w:rPr>
          <w:rFonts w:ascii="David" w:hAnsi="David"/>
          <w:sz w:val="26"/>
          <w:szCs w:val="26"/>
          <w:rtl/>
        </w:rPr>
        <w:t xml:space="preserve">סעיף 4 לחוק הצינון בא למנוע שני סוגים של חשש לפגיעה בטוהר המידות. האחד, החשש שעובד הציבור ינצל בתקופת שירותו את מעמדו וכוחו לטובת קידום ענייניו האישיים אצל הגורם אליו הוא מבקש לעבור לאחר פרישתו, כאשר מתוקף תפקידו הוא בעל הסמכות להחליט או להמליץ בעניינו של אותו גורם. השני, מתבטא בחשש לניצול הקשרים האישיים של העובד לאחר הפרישה לצורך ענייניו של מקום העבודה החדש (וע' 1046/05 </w:t>
      </w:r>
      <w:r>
        <w:rPr>
          <w:rFonts w:ascii="David" w:hAnsi="David"/>
          <w:b/>
          <w:bCs/>
          <w:sz w:val="26"/>
          <w:szCs w:val="26"/>
          <w:rtl/>
        </w:rPr>
        <w:t>יובל רכלבסקי נ' נציבות שירות המדינה</w:t>
      </w:r>
      <w:r>
        <w:rPr>
          <w:rFonts w:ascii="David" w:hAnsi="David"/>
          <w:sz w:val="26"/>
          <w:szCs w:val="26"/>
          <w:rtl/>
        </w:rPr>
        <w:t xml:space="preserve"> (22.12.05) (להלן: "</w:t>
      </w:r>
      <w:r>
        <w:rPr>
          <w:rFonts w:ascii="David" w:hAnsi="David"/>
          <w:bCs/>
          <w:sz w:val="26"/>
          <w:szCs w:val="26"/>
          <w:rtl/>
        </w:rPr>
        <w:t>עניין רכלבסקי</w:t>
      </w:r>
      <w:r>
        <w:rPr>
          <w:rFonts w:ascii="David" w:hAnsi="David"/>
          <w:sz w:val="26"/>
          <w:szCs w:val="26"/>
          <w:rtl/>
        </w:rPr>
        <w:t xml:space="preserve">")). </w:t>
      </w:r>
    </w:p>
    <w:p w:rsidR="001D32B8" w:rsidRDefault="001D32B8" w:rsidP="001D32B8">
      <w:pPr>
        <w:spacing w:line="360" w:lineRule="auto"/>
        <w:ind w:left="360"/>
        <w:jc w:val="both"/>
        <w:rPr>
          <w:rFonts w:ascii="David" w:hAnsi="David"/>
          <w:sz w:val="26"/>
          <w:szCs w:val="26"/>
          <w:rtl/>
        </w:rPr>
      </w:pPr>
    </w:p>
    <w:p w:rsidR="001D32B8" w:rsidRDefault="001D32B8" w:rsidP="001D32B8">
      <w:pPr>
        <w:pStyle w:val="ae"/>
        <w:numPr>
          <w:ilvl w:val="0"/>
          <w:numId w:val="1"/>
        </w:numPr>
        <w:spacing w:line="360" w:lineRule="auto"/>
        <w:jc w:val="both"/>
        <w:rPr>
          <w:rFonts w:ascii="David" w:hAnsi="David"/>
          <w:sz w:val="26"/>
          <w:szCs w:val="26"/>
          <w:rtl/>
        </w:rPr>
      </w:pPr>
      <w:r>
        <w:rPr>
          <w:rFonts w:ascii="David" w:hAnsi="David"/>
          <w:sz w:val="26"/>
          <w:szCs w:val="26"/>
          <w:rtl/>
        </w:rPr>
        <w:t>בחינת תחולתו של סעיף 4 נעשית לאור סמכויותיו הפוטנציאליות של העובד הפורש ולא רק לפי תפקידיו בפועל. לאמור, הוראת החוק אינה מתייחסת רק להחלטות או להמלצות שהתקבלו בפועל אלא גם לפוטנציאל ההחלטות שהיו לעובד הציבור כלפי האדם או הגוף ממנו הוא מבקש לקבל זכות כמשמעותה בחוק, לאחר הפרישה. (ו"ע 6031/03</w:t>
      </w:r>
      <w:r>
        <w:rPr>
          <w:rFonts w:ascii="David" w:hAnsi="David"/>
          <w:b/>
          <w:bCs/>
          <w:sz w:val="26"/>
          <w:szCs w:val="26"/>
          <w:rtl/>
        </w:rPr>
        <w:t xml:space="preserve"> ניר גלעד נ' מדינת ישראל</w:t>
      </w:r>
      <w:r>
        <w:rPr>
          <w:rFonts w:ascii="David" w:hAnsi="David"/>
          <w:sz w:val="26"/>
          <w:szCs w:val="26"/>
          <w:rtl/>
        </w:rPr>
        <w:t xml:space="preserve"> (17.7.03); ו"ע 9057/04 </w:t>
      </w:r>
      <w:r>
        <w:rPr>
          <w:rFonts w:ascii="David" w:hAnsi="David"/>
          <w:b/>
          <w:bCs/>
          <w:sz w:val="26"/>
          <w:szCs w:val="26"/>
          <w:rtl/>
        </w:rPr>
        <w:t>אופיר קרני נ' נציבות שירות המדינה</w:t>
      </w:r>
      <w:r>
        <w:rPr>
          <w:rFonts w:ascii="David" w:hAnsi="David"/>
          <w:sz w:val="26"/>
          <w:szCs w:val="26"/>
          <w:rtl/>
        </w:rPr>
        <w:t xml:space="preserve">(26.10.04). </w:t>
      </w:r>
    </w:p>
    <w:p w:rsidR="001D32B8" w:rsidRDefault="001D32B8" w:rsidP="001D32B8">
      <w:pPr>
        <w:pStyle w:val="ae"/>
        <w:rPr>
          <w:rFonts w:ascii="David" w:hAnsi="David"/>
          <w:sz w:val="26"/>
          <w:szCs w:val="26"/>
          <w:rtl/>
        </w:rPr>
      </w:pPr>
    </w:p>
    <w:p w:rsidR="001D32B8" w:rsidRDefault="001D32B8" w:rsidP="001D32B8">
      <w:pPr>
        <w:pStyle w:val="ae"/>
        <w:spacing w:line="360" w:lineRule="auto"/>
        <w:jc w:val="both"/>
        <w:rPr>
          <w:rFonts w:ascii="David" w:hAnsi="David"/>
          <w:sz w:val="26"/>
          <w:szCs w:val="26"/>
        </w:rPr>
      </w:pPr>
      <w:r>
        <w:rPr>
          <w:rFonts w:ascii="David" w:hAnsi="David"/>
          <w:sz w:val="26"/>
          <w:szCs w:val="26"/>
          <w:rtl/>
        </w:rPr>
        <w:t xml:space="preserve">וראו בקשר לכך גם: </w:t>
      </w:r>
    </w:p>
    <w:p w:rsidR="001D32B8" w:rsidRDefault="001D32B8" w:rsidP="001D32B8">
      <w:pPr>
        <w:pStyle w:val="ae"/>
        <w:spacing w:line="360" w:lineRule="auto"/>
        <w:jc w:val="both"/>
        <w:rPr>
          <w:rFonts w:ascii="David" w:hAnsi="David"/>
          <w:sz w:val="26"/>
          <w:szCs w:val="26"/>
          <w:rtl/>
        </w:rPr>
      </w:pPr>
      <w:r>
        <w:rPr>
          <w:rFonts w:ascii="David" w:hAnsi="David"/>
          <w:sz w:val="26"/>
          <w:szCs w:val="26"/>
          <w:rtl/>
        </w:rPr>
        <w:t xml:space="preserve">ע"ש (י-ם) </w:t>
      </w:r>
      <w:hyperlink r:id="rId8" w:history="1">
        <w:r>
          <w:rPr>
            <w:rStyle w:val="Hyperlink"/>
            <w:rFonts w:ascii="David" w:hAnsi="David"/>
            <w:sz w:val="26"/>
            <w:szCs w:val="26"/>
            <w:rtl/>
          </w:rPr>
          <w:t xml:space="preserve">128/97 </w:t>
        </w:r>
      </w:hyperlink>
      <w:r>
        <w:rPr>
          <w:rFonts w:ascii="David" w:hAnsi="David"/>
          <w:sz w:val="26"/>
          <w:szCs w:val="26"/>
          <w:rtl/>
        </w:rPr>
        <w:t xml:space="preserve"> </w:t>
      </w:r>
      <w:r>
        <w:rPr>
          <w:rFonts w:ascii="David" w:hAnsi="David" w:hint="cs"/>
          <w:b/>
          <w:bCs/>
          <w:sz w:val="26"/>
          <w:szCs w:val="26"/>
          <w:rtl/>
        </w:rPr>
        <w:t>טורבוביץ נ' מדינת ישראל</w:t>
      </w:r>
      <w:r>
        <w:rPr>
          <w:rFonts w:ascii="David" w:hAnsi="David" w:hint="cs"/>
          <w:sz w:val="26"/>
          <w:szCs w:val="26"/>
          <w:rtl/>
        </w:rPr>
        <w:t xml:space="preserve"> (2.3.97): </w:t>
      </w:r>
    </w:p>
    <w:p w:rsidR="001D32B8" w:rsidRDefault="001D32B8" w:rsidP="001D32B8">
      <w:pPr>
        <w:pStyle w:val="ae"/>
        <w:spacing w:line="360" w:lineRule="auto"/>
        <w:jc w:val="both"/>
        <w:rPr>
          <w:rFonts w:ascii="David" w:hAnsi="David"/>
          <w:sz w:val="26"/>
          <w:szCs w:val="26"/>
          <w:rtl/>
        </w:rPr>
      </w:pPr>
      <w:r>
        <w:rPr>
          <w:rFonts w:ascii="David" w:hAnsi="David"/>
          <w:sz w:val="26"/>
          <w:szCs w:val="26"/>
          <w:rtl/>
        </w:rPr>
        <w:t>"</w:t>
      </w:r>
      <w:r>
        <w:rPr>
          <w:rFonts w:ascii="David" w:hAnsi="David"/>
          <w:bCs/>
          <w:sz w:val="26"/>
          <w:szCs w:val="26"/>
          <w:rtl/>
        </w:rPr>
        <w:t>הבחינה צריכה להעשות בהתנתק מכישוריו כמו גם מיושרו האישי של המבקש עצמו ולהיבחן על פי מהותם של הנושאים, היחסים והקשרים הקיימים בין השירות הציבורי ממנו פרש המבקש ובין הגוף שהוא מתכוון לעמוד בראשו</w:t>
      </w:r>
      <w:r>
        <w:rPr>
          <w:rFonts w:ascii="David" w:hAnsi="David"/>
          <w:sz w:val="26"/>
          <w:szCs w:val="26"/>
          <w:rtl/>
        </w:rPr>
        <w:t xml:space="preserve">". </w:t>
      </w:r>
    </w:p>
    <w:p w:rsidR="001D32B8" w:rsidRDefault="001D32B8" w:rsidP="001D32B8">
      <w:pPr>
        <w:pStyle w:val="ae"/>
        <w:rPr>
          <w:b/>
          <w:bCs/>
          <w:rtl/>
        </w:rPr>
      </w:pPr>
    </w:p>
    <w:p w:rsidR="001D32B8" w:rsidRDefault="001D32B8" w:rsidP="001D32B8">
      <w:pPr>
        <w:pStyle w:val="ae"/>
        <w:spacing w:line="360" w:lineRule="auto"/>
        <w:jc w:val="both"/>
        <w:rPr>
          <w:rFonts w:ascii="David" w:hAnsi="David"/>
          <w:sz w:val="26"/>
          <w:szCs w:val="26"/>
          <w:rtl/>
        </w:rPr>
      </w:pPr>
      <w:r>
        <w:rPr>
          <w:rFonts w:ascii="David" w:hAnsi="David"/>
          <w:sz w:val="26"/>
          <w:szCs w:val="26"/>
          <w:rtl/>
        </w:rPr>
        <w:t xml:space="preserve">וכן, ו"ע </w:t>
      </w:r>
      <w:hyperlink r:id="rId9" w:history="1">
        <w:r>
          <w:rPr>
            <w:rStyle w:val="Hyperlink"/>
            <w:rFonts w:ascii="David" w:hAnsi="David"/>
            <w:sz w:val="26"/>
            <w:szCs w:val="26"/>
            <w:rtl/>
          </w:rPr>
          <w:t xml:space="preserve">6047/03 </w:t>
        </w:r>
      </w:hyperlink>
      <w:r>
        <w:rPr>
          <w:rFonts w:ascii="David" w:hAnsi="David"/>
          <w:sz w:val="26"/>
          <w:szCs w:val="26"/>
          <w:rtl/>
        </w:rPr>
        <w:t xml:space="preserve"> </w:t>
      </w:r>
      <w:r>
        <w:rPr>
          <w:rFonts w:ascii="David" w:hAnsi="David" w:hint="cs"/>
          <w:b/>
          <w:bCs/>
          <w:sz w:val="26"/>
          <w:szCs w:val="26"/>
          <w:rtl/>
        </w:rPr>
        <w:t>אוהד מראני נ' מדינת ישראל</w:t>
      </w:r>
      <w:r>
        <w:rPr>
          <w:rFonts w:ascii="David" w:hAnsi="David" w:hint="cs"/>
          <w:sz w:val="26"/>
          <w:szCs w:val="26"/>
          <w:rtl/>
        </w:rPr>
        <w:t xml:space="preserve"> (29.10.03):</w:t>
      </w:r>
    </w:p>
    <w:p w:rsidR="001D32B8" w:rsidRDefault="001D32B8" w:rsidP="001D32B8">
      <w:pPr>
        <w:pStyle w:val="ae"/>
        <w:spacing w:line="360" w:lineRule="auto"/>
        <w:jc w:val="both"/>
        <w:rPr>
          <w:rFonts w:ascii="David" w:hAnsi="David"/>
          <w:sz w:val="26"/>
          <w:szCs w:val="26"/>
          <w:rtl/>
        </w:rPr>
      </w:pPr>
      <w:r>
        <w:rPr>
          <w:rFonts w:ascii="David" w:hAnsi="David"/>
          <w:sz w:val="26"/>
          <w:szCs w:val="26"/>
          <w:rtl/>
        </w:rPr>
        <w:t>"</w:t>
      </w:r>
      <w:r>
        <w:rPr>
          <w:rFonts w:ascii="David" w:hAnsi="David"/>
          <w:b/>
          <w:bCs/>
          <w:sz w:val="26"/>
          <w:szCs w:val="26"/>
          <w:rtl/>
        </w:rPr>
        <w:t>בחינת העניין לפיכך, נעשית על פי תיאור התפקיד של המבקש ועל פי הסמכויות הממשיות והפוטנציאליות שבו. משמע – השיקול שעל הועדה לקחת בחשבון, בבואה לשקול מתן היתר, מתייחס לא רק להשפעתן על טוהר המידות של החלטות שהתקבלו על ידי המבקש בפועל, אלא על הועדה להקפיד אף על מראית פני הדברים, ככל שמדובר בפגיעה בטוהר המידות, ועל כן על הועדה לקחת בחשבון אף החלטות שהיה למבקש אך פוטנציאל לקבלן</w:t>
      </w:r>
      <w:r>
        <w:rPr>
          <w:rFonts w:ascii="David" w:hAnsi="David"/>
          <w:sz w:val="26"/>
          <w:szCs w:val="26"/>
          <w:rtl/>
        </w:rPr>
        <w:t>".</w:t>
      </w:r>
    </w:p>
    <w:p w:rsidR="001D32B8" w:rsidRDefault="001D32B8" w:rsidP="001D32B8">
      <w:pPr>
        <w:pStyle w:val="ae"/>
        <w:spacing w:line="360" w:lineRule="auto"/>
        <w:jc w:val="both"/>
        <w:rPr>
          <w:rFonts w:ascii="David" w:hAnsi="David"/>
          <w:sz w:val="26"/>
          <w:szCs w:val="26"/>
          <w:rtl/>
        </w:rPr>
      </w:pPr>
    </w:p>
    <w:p w:rsidR="001D32B8" w:rsidRDefault="001D32B8" w:rsidP="001D32B8">
      <w:pPr>
        <w:pStyle w:val="ae"/>
        <w:numPr>
          <w:ilvl w:val="0"/>
          <w:numId w:val="1"/>
        </w:numPr>
        <w:spacing w:line="360" w:lineRule="auto"/>
        <w:jc w:val="both"/>
        <w:rPr>
          <w:rFonts w:ascii="David" w:hAnsi="David"/>
          <w:sz w:val="26"/>
          <w:szCs w:val="26"/>
          <w:rtl/>
        </w:rPr>
      </w:pPr>
      <w:r>
        <w:rPr>
          <w:rFonts w:ascii="David" w:hAnsi="David"/>
          <w:sz w:val="26"/>
          <w:szCs w:val="26"/>
          <w:rtl/>
        </w:rPr>
        <w:t>לגבי הפגיעה הנטענת בחופש העיסוק, נפנה להחלטת הוועדה ב</w:t>
      </w:r>
      <w:hyperlink r:id="rId10" w:tgtFrame="blank" w:history="1">
        <w:r>
          <w:rPr>
            <w:rStyle w:val="Hyperlink"/>
            <w:rFonts w:ascii="David" w:hAnsi="David"/>
            <w:sz w:val="26"/>
            <w:szCs w:val="26"/>
            <w:rtl/>
          </w:rPr>
          <w:t>ו"ע 6037/03</w:t>
        </w:r>
      </w:hyperlink>
      <w:r>
        <w:rPr>
          <w:rFonts w:ascii="David" w:hAnsi="David"/>
          <w:bCs/>
          <w:sz w:val="26"/>
          <w:szCs w:val="26"/>
          <w:rtl/>
        </w:rPr>
        <w:t> עברי נ' מדינת ישראל</w:t>
      </w:r>
      <w:r>
        <w:rPr>
          <w:rFonts w:ascii="David" w:hAnsi="David"/>
          <w:sz w:val="26"/>
          <w:szCs w:val="26"/>
          <w:rtl/>
        </w:rPr>
        <w:t xml:space="preserve"> (21.8.03):</w:t>
      </w:r>
    </w:p>
    <w:p w:rsidR="001D32B8" w:rsidRDefault="001D32B8" w:rsidP="001D32B8">
      <w:pPr>
        <w:pStyle w:val="ae"/>
        <w:spacing w:line="360" w:lineRule="auto"/>
        <w:jc w:val="both"/>
        <w:rPr>
          <w:rFonts w:ascii="David" w:hAnsi="David"/>
          <w:noProof w:val="0"/>
          <w:sz w:val="26"/>
          <w:szCs w:val="26"/>
          <w:rtl/>
        </w:rPr>
      </w:pPr>
      <w:r>
        <w:rPr>
          <w:rFonts w:ascii="David" w:hAnsi="David"/>
          <w:sz w:val="26"/>
          <w:szCs w:val="26"/>
          <w:rtl/>
        </w:rPr>
        <w:t>"</w:t>
      </w:r>
      <w:r>
        <w:rPr>
          <w:rFonts w:ascii="David" w:hAnsi="David"/>
          <w:b/>
          <w:bCs/>
          <w:sz w:val="26"/>
          <w:szCs w:val="26"/>
          <w:rtl/>
        </w:rPr>
        <w:t>הוראות החוק אכן פוגעות באורח מידתי בחופש העיסוק, אך זאת למטרה ראויה, שהיא כאמור שמירה על טוהר המידות ועל אמון הציבור בשירות הציבורי. עובד ציבור המביע נכונות להצטרף לשירות הציבורי ולהשקיע בו ממרצו ומכישרונו חייב להכיר, כחלק מתנאי שירותו, גם במגבלות החלות עליו עם סיום תפקידו. זהו חלק מן ה"מחיר" שעל עובד ציבור לשאת, בבואו לקבל על עצמו משרה ציבורית. תפקידה של הועדה הוא לערוך את האיזון הראוי בין אלה, וליתן היתר למבקש רק באותם מקרים בהם אין הדבר עולה כדי פגיעה בטוהר המידות</w:t>
      </w:r>
      <w:r>
        <w:rPr>
          <w:rFonts w:ascii="David" w:hAnsi="David"/>
          <w:sz w:val="26"/>
          <w:szCs w:val="26"/>
          <w:rtl/>
        </w:rPr>
        <w:t>".</w:t>
      </w:r>
    </w:p>
    <w:p w:rsidR="001D32B8" w:rsidRDefault="001D32B8" w:rsidP="001D32B8">
      <w:pPr>
        <w:pStyle w:val="ae"/>
        <w:rPr>
          <w:rFonts w:ascii="David" w:hAnsi="David"/>
          <w:noProof w:val="0"/>
          <w:sz w:val="26"/>
          <w:szCs w:val="26"/>
        </w:rPr>
      </w:pPr>
    </w:p>
    <w:p w:rsidR="001D32B8" w:rsidRDefault="001D32B8" w:rsidP="001D32B8">
      <w:pPr>
        <w:pStyle w:val="ae"/>
        <w:numPr>
          <w:ilvl w:val="0"/>
          <w:numId w:val="1"/>
        </w:numPr>
        <w:spacing w:line="360" w:lineRule="auto"/>
        <w:jc w:val="both"/>
        <w:rPr>
          <w:rFonts w:ascii="Arial" w:hAnsi="Arial"/>
          <w:b/>
          <w:noProof w:val="0"/>
          <w:sz w:val="26"/>
          <w:szCs w:val="26"/>
          <w:rtl/>
        </w:rPr>
      </w:pPr>
      <w:r>
        <w:rPr>
          <w:rFonts w:ascii="Arial" w:hAnsi="Arial"/>
          <w:b/>
          <w:noProof w:val="0"/>
          <w:sz w:val="26"/>
          <w:szCs w:val="26"/>
          <w:rtl/>
        </w:rPr>
        <w:t>כאמור בחוק ובפסיקה הענפה הנוגעת לעניין, אין משמעות, בנסיבות העניין דנן, להיותו של המבקש גורם ממליץ או גורם מחליט לגבי החברה וכי פוטנציאל ההמלצה כשלעצמו מספיק בכדי לבחון את תקופת הצינון בראיה האיזון הראוי בין זכויותיו של המבקש ל</w:t>
      </w:r>
      <w:r>
        <w:rPr>
          <w:rFonts w:ascii="David" w:hAnsi="David"/>
          <w:noProof w:val="0"/>
          <w:sz w:val="26"/>
          <w:szCs w:val="26"/>
          <w:rtl/>
        </w:rPr>
        <w:t>חשש מפגיעה בטוהר המידות של השירות הציבורי, אף בדרך של מראית עין.</w:t>
      </w:r>
    </w:p>
    <w:p w:rsidR="001D32B8" w:rsidRDefault="001D32B8" w:rsidP="001D32B8">
      <w:pPr>
        <w:pStyle w:val="ae"/>
        <w:spacing w:line="360" w:lineRule="auto"/>
        <w:jc w:val="both"/>
        <w:rPr>
          <w:rFonts w:ascii="Arial" w:hAnsi="Arial"/>
          <w:b/>
          <w:noProof w:val="0"/>
          <w:sz w:val="26"/>
          <w:szCs w:val="26"/>
        </w:rPr>
      </w:pPr>
    </w:p>
    <w:p w:rsidR="001D32B8" w:rsidRDefault="001D32B8" w:rsidP="001D32B8">
      <w:pPr>
        <w:pStyle w:val="ae"/>
        <w:numPr>
          <w:ilvl w:val="0"/>
          <w:numId w:val="1"/>
        </w:numPr>
        <w:spacing w:line="360" w:lineRule="auto"/>
        <w:jc w:val="both"/>
        <w:rPr>
          <w:rFonts w:ascii="Arial" w:hAnsi="Arial"/>
          <w:b/>
          <w:bCs/>
          <w:noProof w:val="0"/>
          <w:sz w:val="26"/>
          <w:szCs w:val="26"/>
        </w:rPr>
      </w:pPr>
      <w:r>
        <w:rPr>
          <w:rFonts w:ascii="David" w:hAnsi="David"/>
          <w:noProof w:val="0"/>
          <w:sz w:val="26"/>
          <w:szCs w:val="26"/>
          <w:rtl/>
        </w:rPr>
        <w:t>לאחר</w:t>
      </w:r>
      <w:r>
        <w:rPr>
          <w:rFonts w:ascii="Arial" w:hAnsi="Arial"/>
          <w:noProof w:val="0"/>
          <w:sz w:val="26"/>
          <w:szCs w:val="26"/>
          <w:rtl/>
        </w:rPr>
        <w:t xml:space="preserve"> ששקלנו את מכלול הנסיבות, אנו סבורים כי תקופת הצינון הראויה במקרה דנן היא כעמדת המשיבה, וכי בהמשך לכך יש להעמידה על פרק זמן של ששה חודשים ממועד הפרישה בפועל (10.8.22). בהמשך לכך אנו קובעים כי </w:t>
      </w:r>
      <w:r>
        <w:rPr>
          <w:rFonts w:ascii="Arial" w:hAnsi="Arial"/>
          <w:b/>
          <w:bCs/>
          <w:noProof w:val="0"/>
          <w:sz w:val="26"/>
          <w:szCs w:val="26"/>
          <w:u w:val="single"/>
          <w:rtl/>
        </w:rPr>
        <w:t xml:space="preserve">המבקש יהיה רשאי לעבוד בחברה, בתפקיד המבוקש החל מ-10.2.23. </w:t>
      </w:r>
    </w:p>
    <w:p w:rsidR="001D32B8" w:rsidRDefault="001D32B8" w:rsidP="001D32B8">
      <w:pPr>
        <w:pStyle w:val="ae"/>
        <w:rPr>
          <w:rFonts w:ascii="David" w:hAnsi="David"/>
          <w:noProof w:val="0"/>
          <w:sz w:val="26"/>
          <w:szCs w:val="26"/>
          <w:rtl/>
        </w:rPr>
      </w:pPr>
    </w:p>
    <w:p w:rsidR="001D32B8" w:rsidRDefault="001D32B8" w:rsidP="001D32B8">
      <w:pPr>
        <w:pStyle w:val="ae"/>
        <w:numPr>
          <w:ilvl w:val="0"/>
          <w:numId w:val="1"/>
        </w:numPr>
        <w:spacing w:line="360" w:lineRule="auto"/>
        <w:jc w:val="both"/>
        <w:rPr>
          <w:rFonts w:ascii="Arial" w:hAnsi="Arial"/>
          <w:noProof w:val="0"/>
          <w:sz w:val="26"/>
          <w:szCs w:val="26"/>
          <w:rtl/>
        </w:rPr>
      </w:pPr>
      <w:r>
        <w:rPr>
          <w:rFonts w:ascii="Arial" w:hAnsi="Arial"/>
          <w:noProof w:val="0"/>
          <w:sz w:val="26"/>
          <w:szCs w:val="26"/>
          <w:rtl/>
        </w:rPr>
        <w:t xml:space="preserve">לתוצאה האמורה אנו מגיעים לנוכח שילובם של אלה: </w:t>
      </w:r>
    </w:p>
    <w:p w:rsidR="001D32B8" w:rsidRDefault="001D32B8" w:rsidP="001D32B8">
      <w:pPr>
        <w:spacing w:line="360" w:lineRule="auto"/>
        <w:ind w:left="1440" w:hanging="720"/>
        <w:jc w:val="both"/>
        <w:rPr>
          <w:rFonts w:ascii="Arial" w:hAnsi="Arial"/>
          <w:noProof w:val="0"/>
          <w:sz w:val="26"/>
          <w:szCs w:val="26"/>
          <w:rtl/>
        </w:rPr>
      </w:pPr>
      <w:r>
        <w:rPr>
          <w:rFonts w:ascii="Arial" w:hAnsi="Arial"/>
          <w:noProof w:val="0"/>
          <w:sz w:val="26"/>
          <w:szCs w:val="26"/>
          <w:rtl/>
        </w:rPr>
        <w:t xml:space="preserve">א. </w:t>
      </w:r>
      <w:r>
        <w:rPr>
          <w:rFonts w:ascii="Arial" w:hAnsi="Arial"/>
          <w:noProof w:val="0"/>
          <w:sz w:val="26"/>
          <w:szCs w:val="26"/>
          <w:rtl/>
        </w:rPr>
        <w:tab/>
        <w:t xml:space="preserve">המגמה להשיג את התכליות שביסוד החוק מבלי לפגוע במבקשי ההיתרים יתר על המידה. </w:t>
      </w:r>
    </w:p>
    <w:p w:rsidR="001D32B8" w:rsidRDefault="001D32B8" w:rsidP="001D32B8">
      <w:pPr>
        <w:spacing w:line="360" w:lineRule="auto"/>
        <w:ind w:left="1440" w:hanging="720"/>
        <w:jc w:val="both"/>
        <w:rPr>
          <w:rFonts w:ascii="Arial" w:hAnsi="Arial"/>
          <w:b/>
          <w:bCs/>
          <w:noProof w:val="0"/>
          <w:sz w:val="26"/>
          <w:szCs w:val="26"/>
          <w:rtl/>
        </w:rPr>
      </w:pPr>
      <w:r>
        <w:rPr>
          <w:rFonts w:ascii="Arial" w:hAnsi="Arial"/>
          <w:noProof w:val="0"/>
          <w:sz w:val="26"/>
          <w:szCs w:val="26"/>
          <w:rtl/>
        </w:rPr>
        <w:t xml:space="preserve">ב. </w:t>
      </w:r>
      <w:r>
        <w:rPr>
          <w:rFonts w:ascii="Arial" w:hAnsi="Arial"/>
          <w:noProof w:val="0"/>
          <w:sz w:val="26"/>
          <w:szCs w:val="26"/>
          <w:rtl/>
        </w:rPr>
        <w:tab/>
        <w:t>אין מחלוקת כי למבקש היו ממשקי עבודה עם גורמים בחברה בנוגע להפרטת נמל חיפה. זאת, הגם שבנסיבות העניין ניתן לראות בממשקים ככאלה שאין בהם להחמיר את מצבו של המבקש בנסיבות העניין.</w:t>
      </w:r>
    </w:p>
    <w:p w:rsidR="001D32B8" w:rsidRDefault="001D32B8" w:rsidP="001D32B8">
      <w:pPr>
        <w:spacing w:line="360" w:lineRule="auto"/>
        <w:ind w:left="1440" w:hanging="720"/>
        <w:jc w:val="both"/>
        <w:rPr>
          <w:rFonts w:ascii="Arial" w:hAnsi="Arial"/>
          <w:noProof w:val="0"/>
          <w:sz w:val="26"/>
          <w:szCs w:val="26"/>
          <w:rtl/>
        </w:rPr>
      </w:pPr>
      <w:r>
        <w:rPr>
          <w:rFonts w:ascii="Arial" w:hAnsi="Arial"/>
          <w:noProof w:val="0"/>
          <w:sz w:val="26"/>
          <w:szCs w:val="26"/>
          <w:rtl/>
        </w:rPr>
        <w:t xml:space="preserve">ג. </w:t>
      </w:r>
      <w:r>
        <w:rPr>
          <w:rFonts w:ascii="Arial" w:hAnsi="Arial"/>
          <w:noProof w:val="0"/>
          <w:sz w:val="26"/>
          <w:szCs w:val="26"/>
          <w:rtl/>
        </w:rPr>
        <w:tab/>
        <w:t xml:space="preserve">העובדה כי לפי הנחיית היועץ המשפטי לממשלה 1.1711, נקודת המוצא לגבי עובדים בדרג של המבקש היא תקופת צינון של תשעה חודשים. </w:t>
      </w:r>
    </w:p>
    <w:p w:rsidR="001D32B8" w:rsidRDefault="001D32B8" w:rsidP="001D32B8">
      <w:pPr>
        <w:spacing w:line="360" w:lineRule="auto"/>
        <w:ind w:left="1440" w:hanging="720"/>
        <w:jc w:val="both"/>
        <w:rPr>
          <w:rFonts w:ascii="Arial" w:hAnsi="Arial"/>
          <w:noProof w:val="0"/>
          <w:sz w:val="26"/>
          <w:szCs w:val="26"/>
          <w:rtl/>
        </w:rPr>
      </w:pPr>
      <w:r>
        <w:rPr>
          <w:rFonts w:ascii="Arial" w:hAnsi="Arial"/>
          <w:noProof w:val="0"/>
          <w:sz w:val="26"/>
          <w:szCs w:val="26"/>
          <w:rtl/>
        </w:rPr>
        <w:t>ד.</w:t>
      </w:r>
      <w:r>
        <w:rPr>
          <w:rFonts w:ascii="Arial" w:hAnsi="Arial"/>
          <w:noProof w:val="0"/>
          <w:sz w:val="26"/>
          <w:szCs w:val="26"/>
          <w:rtl/>
        </w:rPr>
        <w:tab/>
      </w:r>
      <w:r>
        <w:rPr>
          <w:sz w:val="26"/>
          <w:szCs w:val="26"/>
          <w:rtl/>
        </w:rPr>
        <w:t>במסגרת הבקשה, התבקשה הוועדה לאשר למבקש תקופת צינון של חודש אחד בלבד. במקרה דנן אין להסתפק בחודש אחד של צינון ונדרשות גם אמות מידה של שמירה על טוהר המידות ועל מראית העין בקשר לכך וגם הפרדה ראויה בין תפקידו הבכיר של המבקש בשירות המדינה (דרג בכיר ב') לבין העיסוקים בעולם האזרחי וזהירות מפני פגיעה בתדמית של המדינה ושל השירות הציבורי בישראל. כפועל יוצא מכך, נדרשת תקופת צינון ראויה לאחר הפרישה.</w:t>
      </w:r>
    </w:p>
    <w:p w:rsidR="001D32B8" w:rsidRDefault="001D32B8" w:rsidP="001D32B8">
      <w:pPr>
        <w:spacing w:line="360" w:lineRule="auto"/>
        <w:ind w:left="1440" w:hanging="720"/>
        <w:jc w:val="both"/>
        <w:rPr>
          <w:rFonts w:ascii="Arial" w:hAnsi="Arial"/>
          <w:noProof w:val="0"/>
          <w:sz w:val="26"/>
          <w:szCs w:val="26"/>
          <w:rtl/>
        </w:rPr>
      </w:pPr>
      <w:r>
        <w:rPr>
          <w:rFonts w:ascii="Arial" w:hAnsi="Arial"/>
          <w:noProof w:val="0"/>
          <w:sz w:val="26"/>
          <w:szCs w:val="26"/>
          <w:rtl/>
        </w:rPr>
        <w:t>ה.</w:t>
      </w:r>
      <w:r>
        <w:rPr>
          <w:rFonts w:ascii="Arial" w:hAnsi="Arial"/>
          <w:noProof w:val="0"/>
          <w:sz w:val="26"/>
          <w:szCs w:val="26"/>
          <w:rtl/>
        </w:rPr>
        <w:tab/>
      </w:r>
      <w:r>
        <w:rPr>
          <w:sz w:val="26"/>
          <w:szCs w:val="26"/>
          <w:rtl/>
        </w:rPr>
        <w:t>נסיבות הפרישה של המבקש משירות המדינה וסיום התפקיד מהווים שיקול לקולא וזאת לאור העובדה כי המבקש הסכים להאריך את תקופת שירותו ברשות בהמשך לבקשת הממונה ממנו והדבר ראוי להערכה.</w:t>
      </w:r>
    </w:p>
    <w:p w:rsidR="001D32B8" w:rsidRDefault="001D32B8" w:rsidP="001D32B8">
      <w:pPr>
        <w:spacing w:line="360" w:lineRule="auto"/>
        <w:ind w:left="1440" w:hanging="720"/>
        <w:jc w:val="both"/>
        <w:rPr>
          <w:rFonts w:ascii="Arial" w:hAnsi="Arial"/>
          <w:noProof w:val="0"/>
          <w:sz w:val="26"/>
          <w:szCs w:val="26"/>
          <w:rtl/>
        </w:rPr>
      </w:pPr>
      <w:r>
        <w:rPr>
          <w:rFonts w:ascii="Arial" w:hAnsi="Arial"/>
          <w:noProof w:val="0"/>
          <w:sz w:val="26"/>
          <w:szCs w:val="26"/>
          <w:rtl/>
        </w:rPr>
        <w:t>ו.</w:t>
      </w:r>
      <w:r>
        <w:rPr>
          <w:rFonts w:ascii="Arial" w:hAnsi="Arial"/>
          <w:noProof w:val="0"/>
          <w:sz w:val="26"/>
          <w:szCs w:val="26"/>
          <w:rtl/>
        </w:rPr>
        <w:tab/>
        <w:t xml:space="preserve">הצהרת המבקש כי הוא מודע להוראות סעיפים 2 ו-3 לחוק ומתחייב למלא אחריהן. </w:t>
      </w:r>
    </w:p>
    <w:p w:rsidR="001D32B8" w:rsidRDefault="001D32B8" w:rsidP="001D32B8">
      <w:pPr>
        <w:spacing w:line="360" w:lineRule="auto"/>
        <w:ind w:left="1440" w:hanging="720"/>
        <w:jc w:val="both"/>
        <w:rPr>
          <w:rFonts w:ascii="Arial" w:hAnsi="Arial"/>
          <w:noProof w:val="0"/>
          <w:sz w:val="26"/>
          <w:szCs w:val="26"/>
          <w:rtl/>
        </w:rPr>
      </w:pPr>
      <w:r>
        <w:rPr>
          <w:rFonts w:ascii="Arial" w:hAnsi="Arial"/>
          <w:noProof w:val="0"/>
          <w:sz w:val="26"/>
          <w:szCs w:val="26"/>
          <w:rtl/>
        </w:rPr>
        <w:t>ז.</w:t>
      </w:r>
      <w:r>
        <w:rPr>
          <w:rFonts w:ascii="Arial" w:hAnsi="Arial"/>
          <w:noProof w:val="0"/>
          <w:sz w:val="26"/>
          <w:szCs w:val="26"/>
          <w:rtl/>
        </w:rPr>
        <w:tab/>
        <w:t xml:space="preserve">מכלול הנסיבות מביא למסקנה כי הטלת מגבלות חמורות מאלה שנקבעו צפויה לגרום לכך שהמבקש יפגע במידה שאינה מתיישבת עם האיזונים הנדרשים במקרים כגון דא. </w:t>
      </w:r>
    </w:p>
    <w:p w:rsidR="001D32B8" w:rsidRDefault="001D32B8" w:rsidP="001D32B8">
      <w:pPr>
        <w:pStyle w:val="ae"/>
        <w:rPr>
          <w:rFonts w:ascii="David" w:hAnsi="David"/>
          <w:noProof w:val="0"/>
          <w:sz w:val="26"/>
          <w:szCs w:val="26"/>
          <w:rtl/>
        </w:rPr>
      </w:pPr>
    </w:p>
    <w:p w:rsidR="001D32B8" w:rsidRDefault="001D32B8" w:rsidP="001D32B8">
      <w:pPr>
        <w:pStyle w:val="ae"/>
        <w:numPr>
          <w:ilvl w:val="0"/>
          <w:numId w:val="1"/>
        </w:numPr>
        <w:spacing w:line="360" w:lineRule="auto"/>
        <w:jc w:val="both"/>
        <w:rPr>
          <w:rFonts w:ascii="Arial" w:hAnsi="Arial"/>
          <w:noProof w:val="0"/>
          <w:sz w:val="26"/>
          <w:szCs w:val="26"/>
          <w:rtl/>
        </w:rPr>
      </w:pPr>
      <w:r>
        <w:rPr>
          <w:rFonts w:ascii="Arial" w:hAnsi="Arial"/>
          <w:noProof w:val="0"/>
          <w:sz w:val="26"/>
          <w:szCs w:val="26"/>
          <w:rtl/>
        </w:rPr>
        <w:t xml:space="preserve">לנוכח כל המצוין, אנו סבורים כי קביעה כאמור – המאפשרת תחילת העבודה החדשה כעבור ששה חודשים ממועד הפרישה הרשמי – לא מעלה חשש לפוטנציאל של פגיעה או למראית עין של פגיעה בטוהר המידות ובתדמית השירות הציבורי. </w:t>
      </w:r>
    </w:p>
    <w:p w:rsidR="001D32B8" w:rsidRDefault="001D32B8" w:rsidP="001D32B8">
      <w:pPr>
        <w:pStyle w:val="ae"/>
        <w:rPr>
          <w:rFonts w:ascii="David" w:hAnsi="David"/>
          <w:noProof w:val="0"/>
          <w:sz w:val="26"/>
          <w:szCs w:val="26"/>
          <w:rtl/>
        </w:rPr>
      </w:pPr>
    </w:p>
    <w:p w:rsidR="001D32B8" w:rsidRDefault="001D32B8" w:rsidP="001D32B8">
      <w:pPr>
        <w:pStyle w:val="ae"/>
        <w:numPr>
          <w:ilvl w:val="0"/>
          <w:numId w:val="1"/>
        </w:numPr>
        <w:spacing w:line="360" w:lineRule="auto"/>
        <w:jc w:val="both"/>
        <w:rPr>
          <w:rFonts w:ascii="Arial" w:hAnsi="Arial"/>
          <w:b/>
          <w:bCs/>
          <w:noProof w:val="0"/>
          <w:sz w:val="26"/>
          <w:szCs w:val="26"/>
          <w:rtl/>
        </w:rPr>
      </w:pPr>
      <w:r>
        <w:rPr>
          <w:rFonts w:ascii="Arial" w:hAnsi="Arial"/>
          <w:noProof w:val="0"/>
          <w:sz w:val="26"/>
          <w:szCs w:val="26"/>
          <w:rtl/>
        </w:rPr>
        <w:t xml:space="preserve">בהינתן כל האמור, </w:t>
      </w:r>
      <w:r>
        <w:rPr>
          <w:rFonts w:ascii="Arial" w:hAnsi="Arial"/>
          <w:b/>
          <w:bCs/>
          <w:noProof w:val="0"/>
          <w:sz w:val="26"/>
          <w:szCs w:val="26"/>
          <w:u w:val="single"/>
          <w:rtl/>
        </w:rPr>
        <w:t>המבקש יהיה רשאי לעבוד בתפקיד המבוקש בחברה החל מיום 1</w:t>
      </w:r>
      <w:r w:rsidR="00350A39">
        <w:rPr>
          <w:rFonts w:ascii="Arial" w:hAnsi="Arial"/>
          <w:b/>
          <w:bCs/>
          <w:noProof w:val="0"/>
          <w:sz w:val="26"/>
          <w:szCs w:val="26"/>
          <w:u w:val="single"/>
          <w:rtl/>
        </w:rPr>
        <w:t>0.2.23, בכפוף למגבלות החלות עלי</w:t>
      </w:r>
      <w:r w:rsidR="00350A39">
        <w:rPr>
          <w:rFonts w:ascii="Arial" w:hAnsi="Arial" w:hint="cs"/>
          <w:b/>
          <w:bCs/>
          <w:noProof w:val="0"/>
          <w:sz w:val="26"/>
          <w:szCs w:val="26"/>
          <w:u w:val="single"/>
          <w:rtl/>
        </w:rPr>
        <w:t>ו</w:t>
      </w:r>
      <w:r>
        <w:rPr>
          <w:rFonts w:ascii="Arial" w:hAnsi="Arial"/>
          <w:b/>
          <w:bCs/>
          <w:noProof w:val="0"/>
          <w:sz w:val="26"/>
          <w:szCs w:val="26"/>
          <w:u w:val="single"/>
          <w:rtl/>
        </w:rPr>
        <w:t xml:space="preserve"> מכח סעיפים 2 ו-3 לחוק</w:t>
      </w:r>
      <w:r>
        <w:rPr>
          <w:rFonts w:ascii="Arial" w:hAnsi="Arial"/>
          <w:b/>
          <w:bCs/>
          <w:noProof w:val="0"/>
          <w:sz w:val="26"/>
          <w:szCs w:val="26"/>
          <w:rtl/>
        </w:rPr>
        <w:t xml:space="preserve">. </w:t>
      </w:r>
    </w:p>
    <w:p w:rsidR="001D32B8" w:rsidRDefault="001D32B8" w:rsidP="001D32B8">
      <w:pPr>
        <w:spacing w:line="360" w:lineRule="auto"/>
        <w:ind w:firstLine="720"/>
        <w:jc w:val="both"/>
        <w:rPr>
          <w:rFonts w:ascii="David" w:hAnsi="David"/>
          <w:b/>
          <w:bCs/>
          <w:noProof w:val="0"/>
          <w:sz w:val="26"/>
          <w:szCs w:val="26"/>
          <w:u w:val="single"/>
          <w:rtl/>
        </w:rPr>
      </w:pPr>
    </w:p>
    <w:p w:rsidR="001D32B8" w:rsidRDefault="001D32B8" w:rsidP="001D32B8">
      <w:pPr>
        <w:spacing w:line="360" w:lineRule="auto"/>
        <w:ind w:firstLine="720"/>
        <w:jc w:val="both"/>
        <w:rPr>
          <w:rFonts w:ascii="David" w:hAnsi="David"/>
          <w:b/>
          <w:bCs/>
          <w:noProof w:val="0"/>
          <w:sz w:val="26"/>
          <w:szCs w:val="26"/>
        </w:rPr>
      </w:pPr>
      <w:r>
        <w:rPr>
          <w:rFonts w:ascii="David" w:hAnsi="David"/>
          <w:b/>
          <w:bCs/>
          <w:noProof w:val="0"/>
          <w:sz w:val="26"/>
          <w:szCs w:val="26"/>
          <w:u w:val="single"/>
          <w:rtl/>
        </w:rPr>
        <w:t>המזכירות תמציא את ההחלטה לצדדים</w:t>
      </w:r>
    </w:p>
    <w:p w:rsidR="001D32B8" w:rsidRDefault="001D32B8" w:rsidP="001D32B8">
      <w:pPr>
        <w:spacing w:line="360" w:lineRule="auto"/>
        <w:ind w:firstLine="720"/>
        <w:jc w:val="both"/>
        <w:rPr>
          <w:rFonts w:ascii="David" w:hAnsi="David"/>
          <w:b/>
          <w:bCs/>
          <w:noProof w:val="0"/>
          <w:sz w:val="26"/>
          <w:szCs w:val="26"/>
          <w:rtl/>
        </w:rPr>
      </w:pPr>
    </w:p>
    <w:p w:rsidR="001D32B8" w:rsidRDefault="001D32B8" w:rsidP="0098368C">
      <w:pPr>
        <w:spacing w:line="360" w:lineRule="auto"/>
        <w:ind w:firstLine="720"/>
        <w:jc w:val="both"/>
        <w:rPr>
          <w:rFonts w:ascii="David" w:hAnsi="David"/>
          <w:b/>
          <w:bCs/>
          <w:noProof w:val="0"/>
          <w:sz w:val="26"/>
          <w:szCs w:val="26"/>
          <w:rtl/>
        </w:rPr>
      </w:pPr>
      <w:r>
        <w:rPr>
          <w:rFonts w:ascii="David" w:hAnsi="David"/>
          <w:b/>
          <w:bCs/>
          <w:noProof w:val="0"/>
          <w:sz w:val="26"/>
          <w:szCs w:val="26"/>
          <w:rtl/>
        </w:rPr>
        <w:t xml:space="preserve">ניתנה היום,  </w:t>
      </w:r>
      <w:r w:rsidR="0098368C">
        <w:rPr>
          <w:rFonts w:ascii="David" w:hAnsi="David" w:hint="cs"/>
          <w:b/>
          <w:bCs/>
          <w:noProof w:val="0"/>
          <w:sz w:val="26"/>
          <w:szCs w:val="26"/>
          <w:rtl/>
        </w:rPr>
        <w:t>יב</w:t>
      </w:r>
      <w:r>
        <w:rPr>
          <w:rFonts w:ascii="David" w:hAnsi="David"/>
          <w:b/>
          <w:bCs/>
          <w:noProof w:val="0"/>
          <w:sz w:val="26"/>
          <w:szCs w:val="26"/>
          <w:rtl/>
        </w:rPr>
        <w:t>' באלול התשפ"ב, 8 ב</w:t>
      </w:r>
      <w:r w:rsidR="0098368C">
        <w:rPr>
          <w:rFonts w:ascii="David" w:hAnsi="David" w:hint="cs"/>
          <w:b/>
          <w:bCs/>
          <w:noProof w:val="0"/>
          <w:sz w:val="26"/>
          <w:szCs w:val="26"/>
          <w:rtl/>
        </w:rPr>
        <w:t>ספטמבר</w:t>
      </w:r>
      <w:r>
        <w:rPr>
          <w:rFonts w:ascii="David" w:hAnsi="David"/>
          <w:b/>
          <w:bCs/>
          <w:noProof w:val="0"/>
          <w:sz w:val="26"/>
          <w:szCs w:val="26"/>
          <w:rtl/>
        </w:rPr>
        <w:t xml:space="preserve"> 2022, בהעדר הצדדים.</w:t>
      </w:r>
    </w:p>
    <w:tbl>
      <w:tblPr>
        <w:bidiVisual/>
        <w:tblW w:w="8549" w:type="dxa"/>
        <w:tblLook w:val="01E0" w:firstRow="1" w:lastRow="1" w:firstColumn="1" w:lastColumn="1" w:noHBand="0" w:noVBand="0"/>
      </w:tblPr>
      <w:tblGrid>
        <w:gridCol w:w="2857"/>
        <w:gridCol w:w="2857"/>
        <w:gridCol w:w="2835"/>
      </w:tblGrid>
      <w:tr w:rsidR="001D32B8" w:rsidTr="001D32B8">
        <w:trPr>
          <w:trHeight w:val="1781"/>
        </w:trPr>
        <w:tc>
          <w:tcPr>
            <w:tcW w:w="2857" w:type="dxa"/>
            <w:vAlign w:val="center"/>
          </w:tcPr>
          <w:p w:rsidR="001D32B8" w:rsidRDefault="001D32B8" w:rsidP="001D32B8">
            <w:pPr>
              <w:spacing w:line="360" w:lineRule="auto"/>
              <w:jc w:val="both"/>
              <w:rPr>
                <w:rFonts w:ascii="David" w:hAnsi="David"/>
                <w:b/>
                <w:bCs/>
                <w:sz w:val="26"/>
                <w:szCs w:val="26"/>
                <w:rtl/>
              </w:rPr>
            </w:pPr>
            <w:r>
              <w:rPr>
                <w:rtl/>
              </w:rPr>
              <w:drawing>
                <wp:anchor distT="0" distB="0" distL="114300" distR="114300" simplePos="0" relativeHeight="251656192" behindDoc="1" locked="0" layoutInCell="1" allowOverlap="1">
                  <wp:simplePos x="0" y="0"/>
                  <wp:positionH relativeFrom="column">
                    <wp:posOffset>707</wp:posOffset>
                  </wp:positionH>
                  <wp:positionV relativeFrom="paragraph">
                    <wp:posOffset>115258</wp:posOffset>
                  </wp:positionV>
                  <wp:extent cx="2009775" cy="733425"/>
                  <wp:effectExtent l="0" t="0" r="9525" b="9525"/>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9775" cy="733425"/>
                          </a:xfrm>
                          <a:prstGeom prst="rect">
                            <a:avLst/>
                          </a:prstGeom>
                          <a:noFill/>
                        </pic:spPr>
                      </pic:pic>
                    </a:graphicData>
                  </a:graphic>
                  <wp14:sizeRelH relativeFrom="page">
                    <wp14:pctWidth>0</wp14:pctWidth>
                  </wp14:sizeRelH>
                  <wp14:sizeRelV relativeFrom="page">
                    <wp14:pctHeight>0</wp14:pctHeight>
                  </wp14:sizeRelV>
                </wp:anchor>
              </w:drawing>
            </w:r>
          </w:p>
        </w:tc>
        <w:tc>
          <w:tcPr>
            <w:tcW w:w="2857" w:type="dxa"/>
            <w:vAlign w:val="center"/>
            <w:hideMark/>
          </w:tcPr>
          <w:p w:rsidR="001D32B8" w:rsidRDefault="001D32B8">
            <w:pPr>
              <w:spacing w:line="252" w:lineRule="auto"/>
              <w:rPr>
                <w:rFonts w:ascii="David" w:hAnsi="David"/>
                <w:b/>
                <w:bCs/>
                <w:noProof w:val="0"/>
                <w:sz w:val="26"/>
                <w:szCs w:val="26"/>
                <w:rtl/>
              </w:rPr>
            </w:pPr>
            <w:r>
              <w:rPr>
                <w:rtl/>
              </w:rPr>
              <w:drawing>
                <wp:anchor distT="0" distB="0" distL="114300" distR="114300" simplePos="0" relativeHeight="251657216" behindDoc="1" locked="0" layoutInCell="1" allowOverlap="1">
                  <wp:simplePos x="0" y="0"/>
                  <wp:positionH relativeFrom="column">
                    <wp:posOffset>417423</wp:posOffset>
                  </wp:positionH>
                  <wp:positionV relativeFrom="paragraph">
                    <wp:posOffset>106632</wp:posOffset>
                  </wp:positionV>
                  <wp:extent cx="878205" cy="692785"/>
                  <wp:effectExtent l="0" t="0" r="0" b="0"/>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pic:cNvPicPr>
                            <a:picLocks noChangeAspect="1" noChangeArrowheads="1"/>
                          </pic:cNvPicPr>
                        </pic:nvPicPr>
                        <pic:blipFill>
                          <a:blip r:embed="rId12">
                            <a:extLst>
                              <a:ext uri="{28A0092B-C50C-407E-A947-70E740481C1C}">
                                <a14:useLocalDpi xmlns:a14="http://schemas.microsoft.com/office/drawing/2010/main" val="0"/>
                              </a:ext>
                            </a:extLst>
                          </a:blip>
                          <a:srcRect l="24667" t="19565" r="30362" b="17349"/>
                          <a:stretch>
                            <a:fillRect/>
                          </a:stretch>
                        </pic:blipFill>
                        <pic:spPr bwMode="auto">
                          <a:xfrm>
                            <a:off x="0" y="0"/>
                            <a:ext cx="878205" cy="692785"/>
                          </a:xfrm>
                          <a:prstGeom prst="rect">
                            <a:avLst/>
                          </a:prstGeom>
                          <a:noFill/>
                        </pic:spPr>
                      </pic:pic>
                    </a:graphicData>
                  </a:graphic>
                  <wp14:sizeRelH relativeFrom="margin">
                    <wp14:pctWidth>0</wp14:pctWidth>
                  </wp14:sizeRelH>
                  <wp14:sizeRelV relativeFrom="margin">
                    <wp14:pctHeight>0</wp14:pctHeight>
                  </wp14:sizeRelV>
                </wp:anchor>
              </w:drawing>
            </w:r>
            <w:r>
              <w:rPr>
                <w:rtl/>
              </w:rPr>
              <w:drawing>
                <wp:anchor distT="0" distB="0" distL="114300" distR="114300" simplePos="0" relativeHeight="251658240" behindDoc="1" locked="0" layoutInCell="1" allowOverlap="1">
                  <wp:simplePos x="0" y="0"/>
                  <wp:positionH relativeFrom="column">
                    <wp:posOffset>3373120</wp:posOffset>
                  </wp:positionH>
                  <wp:positionV relativeFrom="paragraph">
                    <wp:posOffset>8788400</wp:posOffset>
                  </wp:positionV>
                  <wp:extent cx="878205" cy="692785"/>
                  <wp:effectExtent l="0" t="0" r="0"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2">
                            <a:extLst>
                              <a:ext uri="{28A0092B-C50C-407E-A947-70E740481C1C}">
                                <a14:useLocalDpi xmlns:a14="http://schemas.microsoft.com/office/drawing/2010/main" val="0"/>
                              </a:ext>
                            </a:extLst>
                          </a:blip>
                          <a:srcRect l="24667" t="19565" r="30362" b="17349"/>
                          <a:stretch>
                            <a:fillRect/>
                          </a:stretch>
                        </pic:blipFill>
                        <pic:spPr bwMode="auto">
                          <a:xfrm>
                            <a:off x="0" y="0"/>
                            <a:ext cx="878205" cy="692785"/>
                          </a:xfrm>
                          <a:prstGeom prst="rect">
                            <a:avLst/>
                          </a:prstGeom>
                          <a:noFill/>
                        </pic:spPr>
                      </pic:pic>
                    </a:graphicData>
                  </a:graphic>
                  <wp14:sizeRelH relativeFrom="margin">
                    <wp14:pctWidth>0</wp14:pctWidth>
                  </wp14:sizeRelH>
                  <wp14:sizeRelV relativeFrom="margin">
                    <wp14:pctHeight>0</wp14:pctHeight>
                  </wp14:sizeRelV>
                </wp:anchor>
              </w:drawing>
            </w:r>
          </w:p>
        </w:tc>
        <w:tc>
          <w:tcPr>
            <w:tcW w:w="2835" w:type="dxa"/>
            <w:hideMark/>
          </w:tcPr>
          <w:p w:rsidR="001D32B8" w:rsidRDefault="00447F92">
            <w:pPr>
              <w:jc w:val="center"/>
              <w:rPr>
                <w:rFonts w:ascii="David" w:hAnsi="David"/>
                <w:noProof w:val="0"/>
                <w:sz w:val="26"/>
                <w:szCs w:val="26"/>
                <w:rtl/>
              </w:rPr>
            </w:pPr>
            <w:sdt>
              <w:sdtPr>
                <w:rPr>
                  <w:rFonts w:ascii="David" w:hAnsi="David"/>
                  <w:sz w:val="26"/>
                  <w:szCs w:val="26"/>
                  <w:rtl/>
                </w:rPr>
                <w:alias w:val="MergeField"/>
                <w:tag w:val="2144"/>
                <w:id w:val="-1909992781"/>
                <w:showingPlcHdr/>
              </w:sdtPr>
              <w:sdtEndPr/>
              <w:sdtContent>
                <w:r w:rsidR="001D32B8">
                  <w:rPr>
                    <w:rFonts w:ascii="David" w:hAnsi="David"/>
                    <w:sz w:val="26"/>
                    <w:szCs w:val="26"/>
                    <w:rtl/>
                  </w:rPr>
                  <w:t xml:space="preserve">     </w:t>
                </w:r>
              </w:sdtContent>
            </w:sdt>
          </w:p>
          <w:p w:rsidR="001D32B8" w:rsidRDefault="001D32B8">
            <w:pPr>
              <w:jc w:val="center"/>
              <w:rPr>
                <w:rFonts w:ascii="David" w:hAnsi="David"/>
                <w:sz w:val="26"/>
                <w:szCs w:val="26"/>
              </w:rPr>
            </w:pPr>
            <w:r>
              <w:drawing>
                <wp:anchor distT="0" distB="0" distL="114300" distR="114300" simplePos="0" relativeHeight="251659264" behindDoc="1" locked="0" layoutInCell="1" allowOverlap="1">
                  <wp:simplePos x="0" y="0"/>
                  <wp:positionH relativeFrom="column">
                    <wp:posOffset>311210</wp:posOffset>
                  </wp:positionH>
                  <wp:positionV relativeFrom="paragraph">
                    <wp:posOffset>4457</wp:posOffset>
                  </wp:positionV>
                  <wp:extent cx="1048385" cy="426720"/>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8385" cy="426720"/>
                          </a:xfrm>
                          <a:prstGeom prst="rect">
                            <a:avLst/>
                          </a:prstGeom>
                          <a:noFill/>
                        </pic:spPr>
                      </pic:pic>
                    </a:graphicData>
                  </a:graphic>
                  <wp14:sizeRelH relativeFrom="page">
                    <wp14:pctWidth>0</wp14:pctWidth>
                  </wp14:sizeRelH>
                  <wp14:sizeRelV relativeFrom="page">
                    <wp14:pctHeight>0</wp14:pctHeight>
                  </wp14:sizeRelV>
                </wp:anchor>
              </w:drawing>
            </w:r>
          </w:p>
        </w:tc>
      </w:tr>
      <w:tr w:rsidR="001D32B8" w:rsidTr="001D32B8">
        <w:tc>
          <w:tcPr>
            <w:tcW w:w="2857" w:type="dxa"/>
            <w:hideMark/>
          </w:tcPr>
          <w:p w:rsidR="001D32B8" w:rsidRDefault="001D32B8">
            <w:pPr>
              <w:keepNext/>
              <w:keepLines/>
              <w:tabs>
                <w:tab w:val="center" w:pos="4153"/>
                <w:tab w:val="right" w:pos="8306"/>
              </w:tabs>
              <w:spacing w:before="40" w:after="40"/>
              <w:jc w:val="center"/>
              <w:outlineLvl w:val="2"/>
              <w:rPr>
                <w:rFonts w:ascii="David" w:hAnsi="David"/>
                <w:b/>
                <w:bCs/>
                <w:color w:val="000000"/>
                <w:sz w:val="26"/>
                <w:szCs w:val="26"/>
              </w:rPr>
            </w:pPr>
            <w:r>
              <w:rPr>
                <w:rFonts w:ascii="David" w:hAnsi="David"/>
                <w:b/>
                <w:bCs/>
                <w:color w:val="000000"/>
                <w:sz w:val="26"/>
                <w:szCs w:val="26"/>
                <w:rtl/>
              </w:rPr>
              <w:t xml:space="preserve">אהוד הלוי, עו"ד </w:t>
            </w:r>
          </w:p>
          <w:p w:rsidR="001D32B8" w:rsidRDefault="001D32B8">
            <w:pPr>
              <w:keepNext/>
              <w:keepLines/>
              <w:tabs>
                <w:tab w:val="center" w:pos="4153"/>
                <w:tab w:val="right" w:pos="8306"/>
              </w:tabs>
              <w:spacing w:before="40" w:after="40"/>
              <w:jc w:val="center"/>
              <w:outlineLvl w:val="2"/>
              <w:rPr>
                <w:rFonts w:ascii="David" w:hAnsi="David"/>
                <w:b/>
                <w:bCs/>
                <w:color w:val="000000"/>
                <w:sz w:val="26"/>
                <w:szCs w:val="26"/>
              </w:rPr>
            </w:pPr>
            <w:r>
              <w:rPr>
                <w:rFonts w:ascii="David" w:hAnsi="David"/>
                <w:b/>
                <w:bCs/>
                <w:color w:val="000000"/>
                <w:sz w:val="26"/>
                <w:szCs w:val="26"/>
                <w:rtl/>
              </w:rPr>
              <w:t>חבר</w:t>
            </w:r>
          </w:p>
        </w:tc>
        <w:tc>
          <w:tcPr>
            <w:tcW w:w="2857" w:type="dxa"/>
            <w:hideMark/>
          </w:tcPr>
          <w:p w:rsidR="001D32B8" w:rsidRDefault="001D32B8">
            <w:pPr>
              <w:keepNext/>
              <w:keepLines/>
              <w:spacing w:before="40" w:line="252" w:lineRule="auto"/>
              <w:jc w:val="center"/>
              <w:outlineLvl w:val="2"/>
              <w:rPr>
                <w:rFonts w:ascii="David" w:eastAsiaTheme="majorEastAsia" w:hAnsi="David"/>
                <w:b/>
                <w:bCs/>
                <w:sz w:val="26"/>
                <w:szCs w:val="26"/>
                <w:rtl/>
              </w:rPr>
            </w:pPr>
            <w:r>
              <w:rPr>
                <w:rFonts w:ascii="David" w:hAnsi="David"/>
                <w:b/>
                <w:bCs/>
                <w:color w:val="000000"/>
                <w:sz w:val="26"/>
                <w:szCs w:val="26"/>
                <w:rtl/>
              </w:rPr>
              <w:t>ישי אילן, עו"ד</w:t>
            </w:r>
          </w:p>
          <w:p w:rsidR="001D32B8" w:rsidRDefault="001D32B8">
            <w:pPr>
              <w:keepNext/>
              <w:keepLines/>
              <w:spacing w:before="40" w:line="252" w:lineRule="auto"/>
              <w:jc w:val="center"/>
              <w:outlineLvl w:val="2"/>
              <w:rPr>
                <w:rFonts w:ascii="David" w:eastAsiaTheme="majorEastAsia" w:hAnsi="David"/>
                <w:b/>
                <w:bCs/>
                <w:sz w:val="26"/>
                <w:szCs w:val="26"/>
                <w:rtl/>
              </w:rPr>
            </w:pPr>
            <w:r>
              <w:rPr>
                <w:rFonts w:ascii="David" w:eastAsiaTheme="majorEastAsia" w:hAnsi="David"/>
                <w:b/>
                <w:bCs/>
                <w:sz w:val="26"/>
                <w:szCs w:val="26"/>
                <w:rtl/>
              </w:rPr>
              <w:t>חבר</w:t>
            </w:r>
          </w:p>
        </w:tc>
        <w:tc>
          <w:tcPr>
            <w:tcW w:w="2835" w:type="dxa"/>
            <w:hideMark/>
          </w:tcPr>
          <w:p w:rsidR="001D32B8" w:rsidRDefault="00447F92" w:rsidP="0098368C">
            <w:pPr>
              <w:jc w:val="center"/>
              <w:rPr>
                <w:rFonts w:ascii="David" w:hAnsi="David"/>
                <w:b/>
                <w:bCs/>
                <w:sz w:val="26"/>
                <w:szCs w:val="26"/>
                <w:rtl/>
              </w:rPr>
            </w:pPr>
            <w:sdt>
              <w:sdtPr>
                <w:rPr>
                  <w:rFonts w:ascii="David" w:hAnsi="David"/>
                  <w:sz w:val="26"/>
                  <w:szCs w:val="26"/>
                  <w:rtl/>
                </w:rPr>
                <w:alias w:val="2141"/>
                <w:tag w:val="2141"/>
                <w:id w:val="424146769"/>
                <w:text w:multiLine="1"/>
              </w:sdtPr>
              <w:sdtEndPr/>
              <w:sdtContent>
                <w:r w:rsidR="001D32B8">
                  <w:rPr>
                    <w:rFonts w:ascii="David" w:hAnsi="David"/>
                    <w:b/>
                    <w:bCs/>
                    <w:sz w:val="26"/>
                    <w:szCs w:val="26"/>
                    <w:rtl/>
                  </w:rPr>
                  <w:t>אביגדור</w:t>
                </w:r>
              </w:sdtContent>
            </w:sdt>
            <w:r w:rsidR="001D32B8">
              <w:rPr>
                <w:rFonts w:ascii="David" w:hAnsi="David"/>
                <w:b/>
                <w:bCs/>
                <w:sz w:val="26"/>
                <w:szCs w:val="26"/>
                <w:rtl/>
              </w:rPr>
              <w:t xml:space="preserve"> </w:t>
            </w:r>
            <w:sdt>
              <w:sdtPr>
                <w:rPr>
                  <w:rFonts w:ascii="David" w:hAnsi="David"/>
                  <w:sz w:val="26"/>
                  <w:szCs w:val="26"/>
                  <w:rtl/>
                </w:rPr>
                <w:alias w:val="2142"/>
                <w:tag w:val="2142"/>
                <w:id w:val="1434550607"/>
                <w:text w:multiLine="1"/>
              </w:sdtPr>
              <w:sdtEndPr/>
              <w:sdtContent>
                <w:r w:rsidR="001D32B8">
                  <w:rPr>
                    <w:rFonts w:ascii="David" w:hAnsi="David"/>
                    <w:b/>
                    <w:bCs/>
                    <w:sz w:val="26"/>
                    <w:szCs w:val="26"/>
                    <w:rtl/>
                  </w:rPr>
                  <w:t>דורות</w:t>
                </w:r>
              </w:sdtContent>
            </w:sdt>
            <w:r w:rsidR="001D32B8">
              <w:rPr>
                <w:rFonts w:ascii="David" w:hAnsi="David"/>
                <w:b/>
                <w:bCs/>
                <w:sz w:val="26"/>
                <w:szCs w:val="26"/>
                <w:rtl/>
              </w:rPr>
              <w:t xml:space="preserve">, שופט </w:t>
            </w:r>
          </w:p>
          <w:p w:rsidR="0098368C" w:rsidRDefault="0098368C" w:rsidP="0098368C">
            <w:pPr>
              <w:jc w:val="center"/>
              <w:rPr>
                <w:rFonts w:ascii="David" w:hAnsi="David"/>
                <w:b/>
                <w:bCs/>
                <w:sz w:val="26"/>
                <w:szCs w:val="26"/>
              </w:rPr>
            </w:pPr>
            <w:r>
              <w:rPr>
                <w:rFonts w:ascii="David" w:hAnsi="David" w:hint="cs"/>
                <w:b/>
                <w:bCs/>
                <w:sz w:val="26"/>
                <w:szCs w:val="26"/>
                <w:rtl/>
              </w:rPr>
              <w:t>יו"ר</w:t>
            </w:r>
          </w:p>
        </w:tc>
      </w:tr>
    </w:tbl>
    <w:p w:rsidR="00694556" w:rsidRPr="001D32B8" w:rsidRDefault="00694556" w:rsidP="001D32B8">
      <w:pPr>
        <w:rPr>
          <w:rtl/>
        </w:rPr>
      </w:pPr>
    </w:p>
    <w:sectPr w:rsidR="00694556" w:rsidRPr="001D32B8" w:rsidSect="00903896">
      <w:headerReference w:type="default" r:id="rId14"/>
      <w:footerReference w:type="default" r:id="rId15"/>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1299" w:rsidRDefault="00E81299">
      <w:r>
        <w:separator/>
      </w:r>
    </w:p>
  </w:endnote>
  <w:endnote w:type="continuationSeparator" w:id="0">
    <w:p w:rsidR="00E81299" w:rsidRDefault="00E81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B34511">
    <w:pPr>
      <w:pStyle w:val="a5"/>
      <w:jc w:val="center"/>
      <w:rPr>
        <w:rStyle w:val="ac"/>
      </w:rPr>
    </w:pPr>
    <w:r w:rsidRPr="004E6E3C">
      <w:rPr>
        <w:rStyle w:val="ac"/>
        <w:rFonts w:cs="Times New Roman"/>
      </w:rPr>
      <w:fldChar w:fldCharType="begin"/>
    </w:r>
    <w:r w:rsidR="00005C8B" w:rsidRPr="004E6E3C">
      <w:rPr>
        <w:rStyle w:val="ac"/>
        <w:rFonts w:cs="Times New Roman"/>
      </w:rPr>
      <w:instrText xml:space="preserve"> PAGE </w:instrText>
    </w:r>
    <w:r w:rsidRPr="004E6E3C">
      <w:rPr>
        <w:rStyle w:val="ac"/>
        <w:rFonts w:cs="Times New Roman"/>
      </w:rPr>
      <w:fldChar w:fldCharType="separate"/>
    </w:r>
    <w:r w:rsidR="00447F92">
      <w:rPr>
        <w:rStyle w:val="ac"/>
        <w:rFonts w:cs="Times New Roman"/>
        <w:rtl/>
      </w:rPr>
      <w:t>1</w:t>
    </w:r>
    <w:r w:rsidRPr="004E6E3C">
      <w:rPr>
        <w:rStyle w:val="ac"/>
        <w:rFonts w:cs="Times New Roman"/>
      </w:rPr>
      <w:fldChar w:fldCharType="end"/>
    </w:r>
    <w:r w:rsidR="00005C8B" w:rsidRPr="004E6E3C">
      <w:rPr>
        <w:rStyle w:val="ac"/>
        <w:rFonts w:hint="cs"/>
        <w:rtl/>
      </w:rPr>
      <w:t xml:space="preserve"> מתוך </w:t>
    </w:r>
    <w:r w:rsidRPr="004E6E3C">
      <w:rPr>
        <w:rStyle w:val="ac"/>
      </w:rPr>
      <w:fldChar w:fldCharType="begin"/>
    </w:r>
    <w:r w:rsidR="00005C8B" w:rsidRPr="004E6E3C">
      <w:rPr>
        <w:rStyle w:val="ac"/>
      </w:rPr>
      <w:instrText xml:space="preserve"> NUMPAGES </w:instrText>
    </w:r>
    <w:r w:rsidRPr="004E6E3C">
      <w:rPr>
        <w:rStyle w:val="ac"/>
      </w:rPr>
      <w:fldChar w:fldCharType="separate"/>
    </w:r>
    <w:r w:rsidR="00447F92">
      <w:rPr>
        <w:rStyle w:val="ac"/>
        <w:rtl/>
      </w:rPr>
      <w:t>1</w:t>
    </w:r>
    <w:r w:rsidRPr="004E6E3C">
      <w:rPr>
        <w:rStyle w:val="ac"/>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1299" w:rsidRDefault="00E81299">
      <w:r>
        <w:separator/>
      </w:r>
    </w:p>
  </w:footnote>
  <w:footnote w:type="continuationSeparator" w:id="0">
    <w:p w:rsidR="00E81299" w:rsidRDefault="00E81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2B8" w:rsidRDefault="001D32B8" w:rsidP="001D32B8">
    <w:pPr>
      <w:pStyle w:val="a3"/>
      <w:jc w:val="center"/>
      <w:rPr>
        <w:rFonts w:cs="FrankRuehl"/>
        <w:noProof w:val="0"/>
        <w:sz w:val="28"/>
        <w:szCs w:val="28"/>
      </w:rPr>
    </w:pPr>
    <w:r>
      <w:rPr>
        <w:rFonts w:cs="FrankRuehl"/>
        <w:sz w:val="28"/>
        <w:szCs w:val="28"/>
      </w:rPr>
      <w:drawing>
        <wp:inline distT="0" distB="0" distL="0" distR="0">
          <wp:extent cx="370840" cy="466090"/>
          <wp:effectExtent l="0" t="0" r="0" b="0"/>
          <wp:docPr id="6" name="תמונה 6"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840" cy="466090"/>
                  </a:xfrm>
                  <a:prstGeom prst="rect">
                    <a:avLst/>
                  </a:prstGeom>
                  <a:noFill/>
                  <a:ln>
                    <a:noFill/>
                  </a:ln>
                </pic:spPr>
              </pic:pic>
            </a:graphicData>
          </a:graphic>
        </wp:inline>
      </w:drawing>
    </w:r>
  </w:p>
  <w:tbl>
    <w:tblPr>
      <w:bidiVisual/>
      <w:tblW w:w="8789" w:type="dxa"/>
      <w:jc w:val="center"/>
      <w:tblLook w:val="04A0" w:firstRow="1" w:lastRow="0" w:firstColumn="1" w:lastColumn="0" w:noHBand="0" w:noVBand="1"/>
    </w:tblPr>
    <w:tblGrid>
      <w:gridCol w:w="3877"/>
      <w:gridCol w:w="1042"/>
      <w:gridCol w:w="3870"/>
    </w:tblGrid>
    <w:tr w:rsidR="001D32B8" w:rsidTr="001D32B8">
      <w:trPr>
        <w:trHeight w:val="2127"/>
        <w:jc w:val="center"/>
      </w:trPr>
      <w:tc>
        <w:tcPr>
          <w:tcW w:w="8789" w:type="dxa"/>
          <w:gridSpan w:val="3"/>
        </w:tcPr>
        <w:p w:rsidR="001D32B8" w:rsidRDefault="001D32B8" w:rsidP="001D32B8">
          <w:pPr>
            <w:spacing w:after="160" w:line="254" w:lineRule="auto"/>
            <w:jc w:val="center"/>
            <w:rPr>
              <w:rFonts w:ascii="Tahoma" w:hAnsi="Tahoma" w:cs="Tahoma"/>
              <w:b/>
              <w:bCs/>
              <w:noProof w:val="0"/>
              <w:color w:val="000080"/>
              <w:sz w:val="22"/>
              <w:szCs w:val="22"/>
              <w:rtl/>
            </w:rPr>
          </w:pPr>
          <w:r>
            <w:rPr>
              <w:rFonts w:ascii="Tahoma" w:hAnsi="Tahoma" w:cs="Tahoma"/>
              <w:b/>
              <w:bCs/>
              <w:noProof w:val="0"/>
              <w:color w:val="000080"/>
              <w:sz w:val="22"/>
              <w:szCs w:val="22"/>
              <w:rtl/>
            </w:rPr>
            <w:t>בית משפט המחוזי בירושלים בשבתו כוועדה למתן היתרים לפי חוק                      שירות הציבור (הגבלות לאחר פרישה), התשכ"ט-1969</w:t>
          </w:r>
        </w:p>
        <w:p w:rsidR="001D32B8" w:rsidRDefault="001D32B8" w:rsidP="001D32B8">
          <w:pPr>
            <w:spacing w:after="160"/>
            <w:rPr>
              <w:rFonts w:ascii="Tahoma" w:hAnsi="Tahoma" w:cs="Tahoma"/>
              <w:b/>
              <w:bCs/>
              <w:noProof w:val="0"/>
              <w:color w:val="000080"/>
              <w:sz w:val="22"/>
              <w:szCs w:val="22"/>
            </w:rPr>
          </w:pPr>
          <w:r>
            <w:rPr>
              <w:rFonts w:ascii="Tahoma" w:hAnsi="Tahoma" w:cs="Tahoma"/>
              <w:b/>
              <w:bCs/>
              <w:noProof w:val="0"/>
              <w:color w:val="000080"/>
              <w:sz w:val="22"/>
              <w:szCs w:val="22"/>
              <w:rtl/>
            </w:rPr>
            <w:t>לפני כבוד השופט אביגדור דורות</w:t>
          </w:r>
          <w:r w:rsidR="0098368C">
            <w:rPr>
              <w:rFonts w:ascii="Tahoma" w:hAnsi="Tahoma" w:cs="Tahoma" w:hint="cs"/>
              <w:b/>
              <w:bCs/>
              <w:noProof w:val="0"/>
              <w:color w:val="000080"/>
              <w:sz w:val="22"/>
              <w:szCs w:val="22"/>
              <w:rtl/>
            </w:rPr>
            <w:t>, יו"ר</w:t>
          </w:r>
        </w:p>
        <w:p w:rsidR="001D32B8" w:rsidRDefault="001D32B8" w:rsidP="001D32B8">
          <w:pPr>
            <w:spacing w:after="160"/>
            <w:rPr>
              <w:rFonts w:ascii="Tahoma" w:hAnsi="Tahoma" w:cs="Tahoma"/>
              <w:b/>
              <w:bCs/>
              <w:noProof w:val="0"/>
              <w:color w:val="000080"/>
              <w:sz w:val="22"/>
              <w:szCs w:val="22"/>
              <w:rtl/>
            </w:rPr>
          </w:pPr>
          <w:r>
            <w:rPr>
              <w:rFonts w:ascii="Tahoma" w:hAnsi="Tahoma" w:cs="Tahoma"/>
              <w:b/>
              <w:bCs/>
              <w:noProof w:val="0"/>
              <w:color w:val="000080"/>
              <w:sz w:val="22"/>
              <w:szCs w:val="22"/>
              <w:rtl/>
            </w:rPr>
            <w:t xml:space="preserve"> עו"ד אהוד הלוי, חבר</w:t>
          </w:r>
        </w:p>
        <w:p w:rsidR="001D32B8" w:rsidRDefault="001D32B8" w:rsidP="001D32B8">
          <w:pPr>
            <w:tabs>
              <w:tab w:val="left" w:pos="3743"/>
            </w:tabs>
            <w:spacing w:after="160"/>
            <w:rPr>
              <w:rFonts w:ascii="Tahoma" w:hAnsi="Tahoma" w:cs="Tahoma"/>
              <w:b/>
              <w:bCs/>
              <w:noProof w:val="0"/>
              <w:color w:val="000080"/>
              <w:sz w:val="2"/>
              <w:szCs w:val="2"/>
              <w:rtl/>
            </w:rPr>
          </w:pPr>
          <w:r>
            <w:rPr>
              <w:rFonts w:ascii="Tahoma" w:hAnsi="Tahoma" w:cs="Tahoma"/>
              <w:b/>
              <w:bCs/>
              <w:noProof w:val="0"/>
              <w:color w:val="000080"/>
              <w:sz w:val="22"/>
              <w:szCs w:val="22"/>
              <w:rtl/>
            </w:rPr>
            <w:t xml:space="preserve"> עו"ד ישי אילן, חבר</w:t>
          </w:r>
          <w:r>
            <w:rPr>
              <w:rFonts w:ascii="Tahoma" w:hAnsi="Tahoma" w:cs="Tahoma"/>
              <w:b/>
              <w:bCs/>
              <w:noProof w:val="0"/>
              <w:color w:val="000080"/>
              <w:sz w:val="2"/>
              <w:szCs w:val="2"/>
              <w:rtl/>
            </w:rPr>
            <w:tab/>
          </w:r>
        </w:p>
        <w:p w:rsidR="001D32B8" w:rsidRDefault="001D32B8" w:rsidP="001D32B8">
          <w:pPr>
            <w:spacing w:after="160"/>
            <w:rPr>
              <w:rFonts w:ascii="Tahoma" w:hAnsi="Tahoma" w:cs="Tahoma"/>
              <w:b/>
              <w:bCs/>
              <w:noProof w:val="0"/>
              <w:color w:val="000080"/>
              <w:sz w:val="2"/>
              <w:szCs w:val="2"/>
              <w:rtl/>
            </w:rPr>
          </w:pPr>
        </w:p>
        <w:p w:rsidR="001D32B8" w:rsidRDefault="001D32B8" w:rsidP="001D32B8">
          <w:pPr>
            <w:spacing w:after="160"/>
            <w:rPr>
              <w:rFonts w:ascii="Tahoma" w:hAnsi="Tahoma" w:cs="Tahoma"/>
              <w:b/>
              <w:bCs/>
              <w:noProof w:val="0"/>
              <w:color w:val="000080"/>
              <w:sz w:val="2"/>
              <w:szCs w:val="2"/>
              <w:rtl/>
            </w:rPr>
          </w:pPr>
        </w:p>
      </w:tc>
    </w:tr>
    <w:tr w:rsidR="001D32B8" w:rsidTr="001D32B8">
      <w:trPr>
        <w:trHeight w:val="327"/>
        <w:jc w:val="center"/>
      </w:trPr>
      <w:tc>
        <w:tcPr>
          <w:tcW w:w="3877" w:type="dxa"/>
          <w:hideMark/>
        </w:tcPr>
        <w:p w:rsidR="001D32B8" w:rsidRDefault="001D32B8" w:rsidP="001D32B8">
          <w:pPr>
            <w:spacing w:after="160" w:line="254" w:lineRule="auto"/>
            <w:rPr>
              <w:rFonts w:asciiTheme="minorHAnsi" w:hAnsiTheme="minorHAnsi"/>
              <w:b/>
              <w:bCs/>
              <w:noProof w:val="0"/>
              <w:sz w:val="26"/>
              <w:szCs w:val="26"/>
              <w:rtl/>
            </w:rPr>
          </w:pPr>
          <w:r>
            <w:rPr>
              <w:rFonts w:asciiTheme="minorHAnsi" w:hAnsiTheme="minorHAnsi"/>
              <w:b/>
              <w:bCs/>
              <w:noProof w:val="0"/>
              <w:sz w:val="26"/>
              <w:szCs w:val="26"/>
              <w:rtl/>
            </w:rPr>
            <w:t>ו"ע 7880-08-22</w:t>
          </w:r>
        </w:p>
        <w:p w:rsidR="001D32B8" w:rsidRDefault="001D32B8" w:rsidP="001D32B8">
          <w:pPr>
            <w:spacing w:after="160" w:line="254" w:lineRule="auto"/>
            <w:rPr>
              <w:rFonts w:ascii="David" w:hAnsi="David"/>
              <w:b/>
              <w:bCs/>
              <w:noProof w:val="0"/>
              <w:sz w:val="2"/>
              <w:szCs w:val="2"/>
              <w:rtl/>
            </w:rPr>
          </w:pPr>
          <w:r>
            <w:rPr>
              <w:rFonts w:asciiTheme="minorHAnsi" w:hAnsiTheme="minorHAnsi"/>
              <w:b/>
              <w:bCs/>
              <w:noProof w:val="0"/>
              <w:sz w:val="26"/>
              <w:szCs w:val="26"/>
              <w:rtl/>
            </w:rPr>
            <w:t xml:space="preserve">   </w:t>
          </w:r>
        </w:p>
      </w:tc>
      <w:tc>
        <w:tcPr>
          <w:tcW w:w="1042" w:type="dxa"/>
        </w:tcPr>
        <w:p w:rsidR="001D32B8" w:rsidRDefault="001D32B8" w:rsidP="001D32B8">
          <w:pPr>
            <w:tabs>
              <w:tab w:val="center" w:pos="4153"/>
              <w:tab w:val="right" w:pos="8306"/>
            </w:tabs>
            <w:jc w:val="right"/>
            <w:rPr>
              <w:rFonts w:ascii="David" w:hAnsi="David"/>
              <w:b/>
              <w:bCs/>
              <w:noProof w:val="0"/>
              <w:sz w:val="26"/>
              <w:szCs w:val="26"/>
              <w:rtl/>
            </w:rPr>
          </w:pPr>
        </w:p>
      </w:tc>
      <w:tc>
        <w:tcPr>
          <w:tcW w:w="3870" w:type="dxa"/>
          <w:hideMark/>
        </w:tcPr>
        <w:p w:rsidR="001D32B8" w:rsidRDefault="001D32B8" w:rsidP="0098368C">
          <w:pPr>
            <w:tabs>
              <w:tab w:val="right" w:pos="8306"/>
            </w:tabs>
            <w:jc w:val="right"/>
            <w:rPr>
              <w:rFonts w:ascii="David" w:hAnsi="David"/>
              <w:b/>
              <w:bCs/>
              <w:noProof w:val="0"/>
              <w:sz w:val="26"/>
              <w:szCs w:val="26"/>
              <w:rtl/>
            </w:rPr>
          </w:pPr>
          <w:r>
            <w:rPr>
              <w:rFonts w:asciiTheme="minorHAnsi" w:hAnsiTheme="minorHAnsi"/>
              <w:b/>
              <w:bCs/>
              <w:noProof w:val="0"/>
              <w:sz w:val="26"/>
              <w:szCs w:val="26"/>
              <w:rtl/>
            </w:rPr>
            <w:t>‏</w:t>
          </w:r>
          <w:r w:rsidR="0098368C">
            <w:rPr>
              <w:rFonts w:asciiTheme="minorHAnsi" w:hAnsiTheme="minorHAnsi" w:hint="cs"/>
              <w:b/>
              <w:bCs/>
              <w:noProof w:val="0"/>
              <w:sz w:val="26"/>
              <w:szCs w:val="26"/>
              <w:rtl/>
            </w:rPr>
            <w:t>8</w:t>
          </w:r>
          <w:r>
            <w:rPr>
              <w:rFonts w:asciiTheme="minorHAnsi" w:hAnsiTheme="minorHAnsi"/>
              <w:b/>
              <w:bCs/>
              <w:noProof w:val="0"/>
              <w:sz w:val="26"/>
              <w:szCs w:val="26"/>
              <w:rtl/>
            </w:rPr>
            <w:t xml:space="preserve"> ב</w:t>
          </w:r>
          <w:r w:rsidR="0098368C">
            <w:rPr>
              <w:rFonts w:asciiTheme="minorHAnsi" w:hAnsiTheme="minorHAnsi" w:hint="cs"/>
              <w:b/>
              <w:bCs/>
              <w:noProof w:val="0"/>
              <w:sz w:val="26"/>
              <w:szCs w:val="26"/>
              <w:rtl/>
            </w:rPr>
            <w:t>ספטמבר</w:t>
          </w:r>
          <w:r>
            <w:rPr>
              <w:rFonts w:asciiTheme="minorHAnsi" w:hAnsiTheme="minorHAnsi"/>
              <w:b/>
              <w:bCs/>
              <w:noProof w:val="0"/>
              <w:sz w:val="26"/>
              <w:szCs w:val="26"/>
              <w:rtl/>
            </w:rPr>
            <w:t xml:space="preserve"> 2022</w:t>
          </w:r>
        </w:p>
      </w:tc>
    </w:tr>
  </w:tbl>
  <w:p w:rsidR="001D32B8" w:rsidRDefault="001D32B8" w:rsidP="001D32B8">
    <w:pPr>
      <w:pStyle w:val="a3"/>
      <w:rPr>
        <w:rtl/>
      </w:rPr>
    </w:pPr>
    <w:r>
      <w:rPr>
        <w:noProof w:val="0"/>
        <w:rtl/>
      </w:rPr>
      <w:t xml:space="preserve"> </w:t>
    </w:r>
  </w:p>
  <w:p w:rsidR="00694556" w:rsidRPr="001D32B8" w:rsidRDefault="00694556" w:rsidP="001D32B8">
    <w:pPr>
      <w:pStyle w:val="a3"/>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7225E1"/>
    <w:multiLevelType w:val="hybridMultilevel"/>
    <w:tmpl w:val="3336FC50"/>
    <w:lvl w:ilvl="0" w:tplc="49EC5412">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564AB"/>
    <w:rsid w:val="00064FBD"/>
    <w:rsid w:val="00091991"/>
    <w:rsid w:val="00096AF7"/>
    <w:rsid w:val="000C3B0F"/>
    <w:rsid w:val="000F0BC8"/>
    <w:rsid w:val="00107E6D"/>
    <w:rsid w:val="00144D2A"/>
    <w:rsid w:val="00180519"/>
    <w:rsid w:val="001B3D05"/>
    <w:rsid w:val="001C4003"/>
    <w:rsid w:val="001D32B8"/>
    <w:rsid w:val="002265FF"/>
    <w:rsid w:val="00320433"/>
    <w:rsid w:val="00350A39"/>
    <w:rsid w:val="0036743F"/>
    <w:rsid w:val="0043125D"/>
    <w:rsid w:val="0043502B"/>
    <w:rsid w:val="00447F92"/>
    <w:rsid w:val="004C4BDF"/>
    <w:rsid w:val="004E4D82"/>
    <w:rsid w:val="004E6E3C"/>
    <w:rsid w:val="005268F6"/>
    <w:rsid w:val="00547DB7"/>
    <w:rsid w:val="006220EE"/>
    <w:rsid w:val="00622BAA"/>
    <w:rsid w:val="00671BD5"/>
    <w:rsid w:val="006805C1"/>
    <w:rsid w:val="00694556"/>
    <w:rsid w:val="006E1A53"/>
    <w:rsid w:val="007803F1"/>
    <w:rsid w:val="007E6115"/>
    <w:rsid w:val="007E74FF"/>
    <w:rsid w:val="00820005"/>
    <w:rsid w:val="00896889"/>
    <w:rsid w:val="008C5714"/>
    <w:rsid w:val="00903896"/>
    <w:rsid w:val="00906F3D"/>
    <w:rsid w:val="0098368C"/>
    <w:rsid w:val="00A94B64"/>
    <w:rsid w:val="00AC5209"/>
    <w:rsid w:val="00B34511"/>
    <w:rsid w:val="00B80CBD"/>
    <w:rsid w:val="00B86096"/>
    <w:rsid w:val="00BF1908"/>
    <w:rsid w:val="00C22D93"/>
    <w:rsid w:val="00C34482"/>
    <w:rsid w:val="00C63E89"/>
    <w:rsid w:val="00D06F79"/>
    <w:rsid w:val="00D23899"/>
    <w:rsid w:val="00D33B86"/>
    <w:rsid w:val="00D53924"/>
    <w:rsid w:val="00D96D8C"/>
    <w:rsid w:val="00DA6649"/>
    <w:rsid w:val="00DE6715"/>
    <w:rsid w:val="00E54642"/>
    <w:rsid w:val="00E81299"/>
    <w:rsid w:val="00EC37E9"/>
    <w:rsid w:val="00F40B53"/>
    <w:rsid w:val="00F84B6D"/>
    <w:rsid w:val="00FE2894"/>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2B32D76-BF3B-48FF-AED7-FB8282619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64423"/>
    <w:pPr>
      <w:tabs>
        <w:tab w:val="center" w:pos="4153"/>
        <w:tab w:val="right" w:pos="8306"/>
      </w:tabs>
    </w:pPr>
  </w:style>
  <w:style w:type="paragraph" w:styleId="a5">
    <w:name w:val="footer"/>
    <w:basedOn w:val="a"/>
    <w:rsid w:val="00C64423"/>
    <w:pPr>
      <w:tabs>
        <w:tab w:val="center" w:pos="4153"/>
        <w:tab w:val="right" w:pos="8306"/>
      </w:tabs>
    </w:pPr>
  </w:style>
  <w:style w:type="paragraph" w:customStyle="1" w:styleId="a6">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7">
    <w:name w:val="annotation text"/>
    <w:basedOn w:val="a"/>
    <w:semiHidden/>
    <w:rsid w:val="00C64423"/>
    <w:rPr>
      <w:rFonts w:cs="Times New Roman"/>
      <w:noProof w:val="0"/>
    </w:rPr>
  </w:style>
  <w:style w:type="character" w:styleId="a8">
    <w:name w:val="annotation reference"/>
    <w:basedOn w:val="a0"/>
    <w:semiHidden/>
    <w:rsid w:val="00C64423"/>
    <w:rPr>
      <w:sz w:val="16"/>
      <w:szCs w:val="16"/>
    </w:rPr>
  </w:style>
  <w:style w:type="paragraph" w:styleId="a9">
    <w:name w:val="Balloon Text"/>
    <w:basedOn w:val="a"/>
    <w:semiHidden/>
    <w:rsid w:val="00C64423"/>
    <w:rPr>
      <w:rFonts w:ascii="Tahoma" w:hAnsi="Tahoma" w:cs="Tahoma"/>
      <w:sz w:val="16"/>
      <w:szCs w:val="16"/>
    </w:rPr>
  </w:style>
  <w:style w:type="table" w:styleId="aa">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0"/>
    <w:rsid w:val="00C64423"/>
  </w:style>
  <w:style w:type="character" w:styleId="ac">
    <w:name w:val="page number"/>
    <w:basedOn w:val="a0"/>
    <w:rsid w:val="00C64423"/>
  </w:style>
  <w:style w:type="table" w:customStyle="1" w:styleId="1">
    <w:name w:val="טבלת רשת1"/>
    <w:basedOn w:val="a1"/>
    <w:next w:val="aa"/>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D06F79"/>
    <w:rPr>
      <w:color w:val="808080"/>
    </w:rPr>
  </w:style>
  <w:style w:type="character" w:styleId="Hyperlink">
    <w:name w:val="Hyperlink"/>
    <w:basedOn w:val="a0"/>
    <w:uiPriority w:val="99"/>
    <w:semiHidden/>
    <w:unhideWhenUsed/>
    <w:rsid w:val="001D32B8"/>
    <w:rPr>
      <w:color w:val="0000FF"/>
      <w:u w:val="single"/>
    </w:rPr>
  </w:style>
  <w:style w:type="paragraph" w:styleId="ae">
    <w:name w:val="List Paragraph"/>
    <w:basedOn w:val="a"/>
    <w:uiPriority w:val="34"/>
    <w:qFormat/>
    <w:rsid w:val="001D32B8"/>
    <w:pPr>
      <w:ind w:left="720"/>
      <w:contextualSpacing/>
    </w:pPr>
  </w:style>
  <w:style w:type="character" w:customStyle="1" w:styleId="a4">
    <w:name w:val="כותרת עליונה תו"/>
    <w:basedOn w:val="a0"/>
    <w:link w:val="a3"/>
    <w:rsid w:val="001D32B8"/>
    <w:rPr>
      <w:rFonts w:cs="David"/>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702079">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34077534">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nevo.co.il/case/1202233"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nevo.co.il/case/309088" TargetMode="External"/><Relationship Id="rId4" Type="http://schemas.openxmlformats.org/officeDocument/2006/relationships/settings" Target="settings.xml"/><Relationship Id="rId9" Type="http://schemas.openxmlformats.org/officeDocument/2006/relationships/hyperlink" Target="http://www.nevo.co.il/case/1676210"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1451</Words>
  <Characters>7259</Characters>
  <Application>Microsoft Office Word</Application>
  <DocSecurity>4</DocSecurity>
  <Lines>60</Lines>
  <Paragraphs>17</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2022-09-13T14:17:00Z</dcterms:created>
  <dcterms:modified xsi:type="dcterms:W3CDTF">2022-09-13T14:17:00Z</dcterms:modified>
</cp:coreProperties>
</file>