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29" w:rsidRDefault="000F2C29" w:rsidP="000F2C29">
      <w:pPr>
        <w:pStyle w:val="a5"/>
        <w:jc w:val="center"/>
        <w:rPr>
          <w:rFonts w:cs="FrankRuehl"/>
          <w:noProof w:val="0"/>
          <w:sz w:val="28"/>
          <w:szCs w:val="28"/>
          <w:rtl/>
        </w:rPr>
      </w:pPr>
      <w:r>
        <w:rPr>
          <w:rFonts w:cs="FrankRuehl"/>
          <w:sz w:val="28"/>
          <w:szCs w:val="28"/>
        </w:rPr>
        <w:drawing>
          <wp:inline distT="0" distB="0" distL="0" distR="0" wp14:anchorId="179E3B2C" wp14:editId="2C50B345">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5001"/>
        <w:gridCol w:w="3639"/>
      </w:tblGrid>
      <w:tr w:rsidR="000F2C29" w:rsidTr="007A7007">
        <w:trPr>
          <w:trHeight w:hRule="exact" w:val="704"/>
          <w:jc w:val="center"/>
        </w:trPr>
        <w:sdt>
          <w:sdtPr>
            <w:rPr>
              <w:rFonts w:ascii="Tahoma" w:hAnsi="Tahoma"/>
              <w:color w:val="000080"/>
              <w:sz w:val="32"/>
              <w:szCs w:val="32"/>
              <w:rtl/>
            </w:rPr>
            <w:alias w:val="1174"/>
            <w:tag w:val="1174"/>
            <w:id w:val="-1585920285"/>
            <w:text w:multiLine="1"/>
          </w:sdtPr>
          <w:sdtEndPr/>
          <w:sdtContent>
            <w:tc>
              <w:tcPr>
                <w:tcW w:w="8721" w:type="dxa"/>
                <w:gridSpan w:val="2"/>
              </w:tcPr>
              <w:p w:rsidR="000F2C29" w:rsidRPr="00F038D8" w:rsidRDefault="000F2C29" w:rsidP="007A7007">
                <w:pPr>
                  <w:pStyle w:val="a5"/>
                  <w:jc w:val="center"/>
                  <w:rPr>
                    <w:rFonts w:ascii="Tahoma" w:hAnsi="Tahoma"/>
                    <w:noProof w:val="0"/>
                    <w:color w:val="000080"/>
                    <w:sz w:val="32"/>
                    <w:szCs w:val="32"/>
                    <w:rtl/>
                  </w:rPr>
                </w:pPr>
                <w:r w:rsidRPr="00F038D8">
                  <w:rPr>
                    <w:rFonts w:ascii="Tahoma" w:hAnsi="Tahoma"/>
                    <w:color w:val="000080"/>
                    <w:sz w:val="32"/>
                    <w:szCs w:val="32"/>
                    <w:rtl/>
                  </w:rPr>
                  <w:t>בית משפט לענייני משפחה בקריית גת</w:t>
                </w:r>
              </w:p>
            </w:tc>
          </w:sdtContent>
        </w:sdt>
      </w:tr>
      <w:tr w:rsidR="000F2C29" w:rsidTr="007A7007">
        <w:trPr>
          <w:trHeight w:val="337"/>
          <w:jc w:val="center"/>
        </w:trPr>
        <w:tc>
          <w:tcPr>
            <w:tcW w:w="5047" w:type="dxa"/>
          </w:tcPr>
          <w:p w:rsidR="000F2C29" w:rsidRDefault="000F2C29" w:rsidP="007A7007">
            <w:pPr>
              <w:rPr>
                <w:b/>
                <w:bCs/>
                <w:noProof w:val="0"/>
                <w:sz w:val="26"/>
                <w:szCs w:val="26"/>
                <w:rtl/>
              </w:rPr>
            </w:pPr>
          </w:p>
        </w:tc>
        <w:tc>
          <w:tcPr>
            <w:tcW w:w="3674" w:type="dxa"/>
          </w:tcPr>
          <w:p w:rsidR="000F2C29" w:rsidRDefault="000F2C29" w:rsidP="007A7007">
            <w:pPr>
              <w:pStyle w:val="a5"/>
              <w:jc w:val="right"/>
              <w:rPr>
                <w:b/>
                <w:bCs/>
                <w:noProof w:val="0"/>
                <w:sz w:val="26"/>
                <w:szCs w:val="26"/>
                <w:rtl/>
              </w:rPr>
            </w:pPr>
          </w:p>
        </w:tc>
      </w:tr>
      <w:tr w:rsidR="000F2C29" w:rsidTr="007A7007">
        <w:trPr>
          <w:trHeight w:val="337"/>
          <w:jc w:val="center"/>
        </w:trPr>
        <w:tc>
          <w:tcPr>
            <w:tcW w:w="8721" w:type="dxa"/>
            <w:gridSpan w:val="2"/>
          </w:tcPr>
          <w:p w:rsidR="000F2C29" w:rsidRDefault="000F2C29" w:rsidP="000F2C29">
            <w:pPr>
              <w:rPr>
                <w:b/>
                <w:bCs/>
                <w:noProof w:val="0"/>
                <w:sz w:val="26"/>
                <w:szCs w:val="26"/>
                <w:rtl/>
              </w:rPr>
            </w:pPr>
            <w:r>
              <w:rPr>
                <w:b/>
                <w:bCs/>
                <w:noProof w:val="0"/>
                <w:sz w:val="26"/>
                <w:szCs w:val="26"/>
                <w:rtl/>
              </w:rPr>
              <w:t>תמ"ש 72969-07-24 ש</w:t>
            </w:r>
            <w:r>
              <w:rPr>
                <w:rFonts w:hint="cs"/>
                <w:b/>
                <w:bCs/>
                <w:noProof w:val="0"/>
                <w:sz w:val="26"/>
                <w:szCs w:val="26"/>
                <w:rtl/>
              </w:rPr>
              <w:t xml:space="preserve">. </w:t>
            </w:r>
            <w:r>
              <w:rPr>
                <w:b/>
                <w:bCs/>
                <w:noProof w:val="0"/>
                <w:sz w:val="26"/>
                <w:szCs w:val="26"/>
                <w:rtl/>
              </w:rPr>
              <w:t>ואח' נ' ו</w:t>
            </w:r>
            <w:r>
              <w:rPr>
                <w:rFonts w:hint="cs"/>
                <w:b/>
                <w:bCs/>
                <w:noProof w:val="0"/>
                <w:sz w:val="26"/>
                <w:szCs w:val="26"/>
                <w:rtl/>
              </w:rPr>
              <w:t>.</w:t>
            </w:r>
            <w:r>
              <w:rPr>
                <w:b/>
                <w:bCs/>
                <w:noProof w:val="0"/>
                <w:sz w:val="26"/>
                <w:szCs w:val="26"/>
                <w:rtl/>
              </w:rPr>
              <w:t>ח</w:t>
            </w:r>
            <w:r>
              <w:rPr>
                <w:rFonts w:hint="cs"/>
                <w:b/>
                <w:bCs/>
                <w:noProof w:val="0"/>
                <w:sz w:val="26"/>
                <w:szCs w:val="26"/>
                <w:rtl/>
              </w:rPr>
              <w:t>.</w:t>
            </w:r>
            <w:r>
              <w:rPr>
                <w:b/>
                <w:bCs/>
                <w:noProof w:val="0"/>
                <w:sz w:val="26"/>
                <w:szCs w:val="26"/>
                <w:rtl/>
              </w:rPr>
              <w:t xml:space="preserve"> ואח'</w:t>
            </w:r>
          </w:p>
          <w:p w:rsidR="000F2C29" w:rsidRPr="007B7765" w:rsidRDefault="000F2C29" w:rsidP="007A7007">
            <w:pPr>
              <w:rPr>
                <w:b/>
                <w:bCs/>
                <w:noProof w:val="0"/>
                <w:sz w:val="2"/>
                <w:szCs w:val="2"/>
                <w:rtl/>
              </w:rPr>
            </w:pPr>
          </w:p>
          <w:p w:rsidR="000F2C29" w:rsidRDefault="000F2C29" w:rsidP="007A7007">
            <w:pPr>
              <w:rPr>
                <w:sz w:val="20"/>
                <w:szCs w:val="20"/>
                <w:rtl/>
              </w:rPr>
            </w:pPr>
            <w:r>
              <w:rPr>
                <w:rFonts w:hint="cs"/>
                <w:rtl/>
              </w:rPr>
              <w:t xml:space="preserve">                           </w:t>
            </w:r>
            <w:r>
              <w:rPr>
                <w:rFonts w:hint="cs"/>
                <w:sz w:val="20"/>
                <w:szCs w:val="20"/>
                <w:rtl/>
              </w:rPr>
              <w:t xml:space="preserve">                                       </w:t>
            </w:r>
          </w:p>
          <w:p w:rsidR="000F2C29" w:rsidRPr="00E1068A" w:rsidRDefault="000F2C29" w:rsidP="007A7007">
            <w:pPr>
              <w:rPr>
                <w:sz w:val="20"/>
                <w:szCs w:val="20"/>
                <w:rtl/>
              </w:rPr>
            </w:pPr>
          </w:p>
        </w:tc>
      </w:tr>
    </w:tbl>
    <w:p w:rsidR="00622D9A" w:rsidRDefault="00622D9A">
      <w:pPr>
        <w:rPr>
          <w:rtl/>
        </w:rPr>
      </w:pPr>
    </w:p>
    <w:tbl>
      <w:tblPr>
        <w:tblStyle w:val="a4"/>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22D9A" w:rsidTr="007A7007">
        <w:trPr>
          <w:jc w:val="center"/>
        </w:trPr>
        <w:tc>
          <w:tcPr>
            <w:tcW w:w="743" w:type="dxa"/>
          </w:tcPr>
          <w:p w:rsidR="00622D9A" w:rsidRPr="00A00812" w:rsidRDefault="00622D9A" w:rsidP="007A7007">
            <w:pPr>
              <w:suppressLineNumbers/>
              <w:jc w:val="both"/>
              <w:rPr>
                <w:rFonts w:ascii="Arial" w:hAnsi="Arial"/>
                <w:b/>
                <w:bCs/>
                <w:sz w:val="26"/>
                <w:szCs w:val="26"/>
                <w:rtl/>
              </w:rPr>
            </w:pPr>
            <w:r>
              <w:rPr>
                <w:rFonts w:ascii="Arial" w:hAnsi="Arial" w:hint="cs"/>
                <w:b/>
                <w:bCs/>
                <w:sz w:val="26"/>
                <w:szCs w:val="26"/>
                <w:rtl/>
              </w:rPr>
              <w:t>ל</w:t>
            </w:r>
            <w:r w:rsidRPr="00A00812">
              <w:rPr>
                <w:rFonts w:ascii="Arial" w:hAnsi="Arial"/>
                <w:b/>
                <w:bCs/>
                <w:sz w:val="26"/>
                <w:szCs w:val="26"/>
                <w:rtl/>
              </w:rPr>
              <w:t xml:space="preserve">פני </w:t>
            </w:r>
          </w:p>
        </w:tc>
        <w:tc>
          <w:tcPr>
            <w:tcW w:w="8077" w:type="dxa"/>
            <w:gridSpan w:val="2"/>
          </w:tcPr>
          <w:p w:rsidR="00622D9A" w:rsidRPr="00A00812" w:rsidRDefault="00622D9A" w:rsidP="007A7007">
            <w:pPr>
              <w:suppressLineNumbers/>
              <w:rPr>
                <w:rFonts w:ascii="Arial" w:hAnsi="Arial" w:cs="FrankRuehl"/>
                <w:sz w:val="26"/>
                <w:szCs w:val="26"/>
                <w:highlight w:val="yellow"/>
              </w:rPr>
            </w:pPr>
            <w:r w:rsidRPr="00A00812">
              <w:rPr>
                <w:rFonts w:ascii="Arial" w:hAnsi="Arial" w:hint="cs"/>
                <w:b/>
                <w:bCs/>
                <w:sz w:val="26"/>
                <w:szCs w:val="26"/>
                <w:rtl/>
              </w:rPr>
              <w:t>כב' השופט הבכיר, מרדכי (מוטי) לוי</w:t>
            </w:r>
          </w:p>
        </w:tc>
      </w:tr>
      <w:tr w:rsidR="00622D9A" w:rsidTr="007A7007">
        <w:trPr>
          <w:jc w:val="center"/>
        </w:trPr>
        <w:tc>
          <w:tcPr>
            <w:tcW w:w="3249" w:type="dxa"/>
            <w:gridSpan w:val="2"/>
          </w:tcPr>
          <w:p w:rsidR="00622D9A" w:rsidRDefault="00622D9A" w:rsidP="007A7007">
            <w:pPr>
              <w:suppressLineNumbers/>
              <w:rPr>
                <w:rFonts w:ascii="Arial" w:hAnsi="Arial"/>
                <w:b/>
                <w:bCs/>
                <w:noProof w:val="0"/>
                <w:sz w:val="26"/>
                <w:szCs w:val="26"/>
              </w:rPr>
            </w:pPr>
          </w:p>
          <w:p w:rsidR="00622D9A" w:rsidRDefault="00622D9A" w:rsidP="007A7007">
            <w:pPr>
              <w:suppressLineNumbers/>
              <w:rPr>
                <w:rFonts w:ascii="Arial" w:hAnsi="Arial"/>
                <w:b/>
                <w:bCs/>
                <w:noProof w:val="0"/>
                <w:sz w:val="26"/>
                <w:szCs w:val="26"/>
                <w:rtl/>
              </w:rPr>
            </w:pPr>
            <w:r>
              <w:rPr>
                <w:rFonts w:ascii="Arial" w:hAnsi="Arial"/>
                <w:b/>
                <w:bCs/>
                <w:noProof w:val="0"/>
                <w:sz w:val="26"/>
                <w:szCs w:val="26"/>
                <w:rtl/>
              </w:rPr>
              <w:t>תובע</w:t>
            </w:r>
            <w:r>
              <w:rPr>
                <w:rFonts w:ascii="Arial" w:hAnsi="Arial" w:hint="cs"/>
                <w:b/>
                <w:bCs/>
                <w:noProof w:val="0"/>
                <w:sz w:val="26"/>
                <w:szCs w:val="26"/>
                <w:rtl/>
              </w:rPr>
              <w:t>ות</w:t>
            </w:r>
          </w:p>
          <w:p w:rsidR="00622D9A" w:rsidRPr="00FB105C" w:rsidRDefault="00622D9A" w:rsidP="007A7007">
            <w:pPr>
              <w:suppressLineNumbers/>
              <w:rPr>
                <w:rFonts w:ascii="Arial" w:hAnsi="Arial"/>
                <w:noProof w:val="0"/>
                <w:rtl/>
              </w:rPr>
            </w:pPr>
            <w:r>
              <w:rPr>
                <w:rFonts w:ascii="Arial" w:hAnsi="Arial" w:hint="cs"/>
                <w:noProof w:val="0"/>
                <w:rtl/>
              </w:rPr>
              <w:t>(</w:t>
            </w:r>
            <w:r w:rsidRPr="00FB105C">
              <w:rPr>
                <w:rFonts w:ascii="Arial" w:hAnsi="Arial" w:hint="cs"/>
                <w:b/>
                <w:bCs/>
                <w:noProof w:val="0"/>
                <w:rtl/>
              </w:rPr>
              <w:t>משיבות)</w:t>
            </w:r>
          </w:p>
        </w:tc>
        <w:tc>
          <w:tcPr>
            <w:tcW w:w="5571" w:type="dxa"/>
          </w:tcPr>
          <w:p w:rsidR="00622D9A" w:rsidRDefault="00622D9A" w:rsidP="007A7007">
            <w:pPr>
              <w:suppressLineNumbers/>
              <w:rPr>
                <w:rFonts w:ascii="Arial" w:hAnsi="Arial"/>
                <w:b/>
                <w:bCs/>
                <w:noProof w:val="0"/>
                <w:sz w:val="26"/>
                <w:szCs w:val="26"/>
                <w:rtl/>
              </w:rPr>
            </w:pPr>
          </w:p>
          <w:p w:rsidR="00622D9A" w:rsidRDefault="00622D9A" w:rsidP="000F2C29">
            <w:pPr>
              <w:suppressLineNumbers/>
              <w:rPr>
                <w:b/>
                <w:bCs/>
                <w:noProof w:val="0"/>
                <w:sz w:val="26"/>
                <w:szCs w:val="26"/>
              </w:rPr>
            </w:pPr>
            <w:r>
              <w:rPr>
                <w:rFonts w:ascii="Arial" w:hAnsi="Arial"/>
                <w:b/>
                <w:bCs/>
                <w:noProof w:val="0"/>
                <w:sz w:val="26"/>
                <w:szCs w:val="26"/>
                <w:rtl/>
              </w:rPr>
              <w:t>1</w:t>
            </w:r>
            <w:r w:rsidRPr="00DD3016">
              <w:rPr>
                <w:rFonts w:ascii="Arial" w:hAnsi="Arial"/>
                <w:b/>
                <w:bCs/>
                <w:noProof w:val="0"/>
                <w:sz w:val="26"/>
                <w:szCs w:val="26"/>
                <w:rtl/>
              </w:rPr>
              <w:t>.</w:t>
            </w:r>
            <w:r w:rsidRPr="00DD3016">
              <w:rPr>
                <w:rFonts w:ascii="Arial" w:hAnsi="Arial" w:hint="cs"/>
                <w:b/>
                <w:bCs/>
                <w:noProof w:val="0"/>
                <w:sz w:val="26"/>
                <w:szCs w:val="26"/>
                <w:rtl/>
              </w:rPr>
              <w:t xml:space="preserve"> </w:t>
            </w:r>
            <w:r>
              <w:rPr>
                <w:rFonts w:ascii="Arial" w:hAnsi="Arial"/>
                <w:b/>
                <w:bCs/>
                <w:noProof w:val="0"/>
                <w:sz w:val="26"/>
                <w:szCs w:val="26"/>
                <w:rtl/>
              </w:rPr>
              <w:t>מ</w:t>
            </w:r>
            <w:r w:rsidR="000F2C29">
              <w:rPr>
                <w:rFonts w:ascii="Arial" w:hAnsi="Arial" w:hint="cs"/>
                <w:b/>
                <w:bCs/>
                <w:noProof w:val="0"/>
                <w:sz w:val="26"/>
                <w:szCs w:val="26"/>
                <w:rtl/>
              </w:rPr>
              <w:t>.</w:t>
            </w:r>
            <w:r>
              <w:rPr>
                <w:rFonts w:ascii="Arial" w:hAnsi="Arial"/>
                <w:b/>
                <w:bCs/>
                <w:noProof w:val="0"/>
                <w:sz w:val="26"/>
                <w:szCs w:val="26"/>
                <w:rtl/>
              </w:rPr>
              <w:t>ש</w:t>
            </w:r>
            <w:r w:rsidR="000F2C29">
              <w:rPr>
                <w:rFonts w:ascii="Arial" w:hAnsi="Arial" w:hint="cs"/>
                <w:b/>
                <w:bCs/>
                <w:noProof w:val="0"/>
                <w:sz w:val="26"/>
                <w:szCs w:val="26"/>
                <w:rtl/>
              </w:rPr>
              <w:t>.</w:t>
            </w:r>
          </w:p>
          <w:p w:rsidR="00622D9A" w:rsidRDefault="00622D9A" w:rsidP="000F2C29">
            <w:pPr>
              <w:suppressLineNumbers/>
              <w:rPr>
                <w:b/>
                <w:bCs/>
                <w:noProof w:val="0"/>
                <w:sz w:val="26"/>
                <w:szCs w:val="26"/>
                <w:rtl/>
              </w:rPr>
            </w:pPr>
            <w:r>
              <w:rPr>
                <w:rFonts w:ascii="Arial" w:hAnsi="Arial"/>
                <w:b/>
                <w:bCs/>
                <w:noProof w:val="0"/>
                <w:sz w:val="26"/>
                <w:szCs w:val="26"/>
                <w:rtl/>
              </w:rPr>
              <w:t>2</w:t>
            </w:r>
            <w:r w:rsidRPr="00DD3016">
              <w:rPr>
                <w:rFonts w:ascii="Arial" w:hAnsi="Arial"/>
                <w:b/>
                <w:bCs/>
                <w:noProof w:val="0"/>
                <w:sz w:val="26"/>
                <w:szCs w:val="26"/>
                <w:rtl/>
              </w:rPr>
              <w:t>.</w:t>
            </w:r>
            <w:r w:rsidRPr="00DD3016">
              <w:rPr>
                <w:rFonts w:ascii="Arial" w:hAnsi="Arial" w:hint="cs"/>
                <w:b/>
                <w:bCs/>
                <w:noProof w:val="0"/>
                <w:sz w:val="26"/>
                <w:szCs w:val="26"/>
                <w:rtl/>
              </w:rPr>
              <w:t xml:space="preserve"> </w:t>
            </w:r>
            <w:r>
              <w:rPr>
                <w:rFonts w:ascii="Arial" w:hAnsi="Arial"/>
                <w:b/>
                <w:bCs/>
                <w:noProof w:val="0"/>
                <w:sz w:val="26"/>
                <w:szCs w:val="26"/>
                <w:rtl/>
              </w:rPr>
              <w:t>א</w:t>
            </w:r>
            <w:r w:rsidR="000F2C29">
              <w:rPr>
                <w:rFonts w:ascii="Arial" w:hAnsi="Arial" w:hint="cs"/>
                <w:b/>
                <w:bCs/>
                <w:noProof w:val="0"/>
                <w:sz w:val="26"/>
                <w:szCs w:val="26"/>
                <w:rtl/>
              </w:rPr>
              <w:t>.</w:t>
            </w:r>
            <w:r>
              <w:rPr>
                <w:rFonts w:ascii="Arial" w:hAnsi="Arial"/>
                <w:b/>
                <w:bCs/>
                <w:noProof w:val="0"/>
                <w:sz w:val="26"/>
                <w:szCs w:val="26"/>
                <w:rtl/>
              </w:rPr>
              <w:t>ל</w:t>
            </w:r>
            <w:r w:rsidR="000F2C29">
              <w:rPr>
                <w:rFonts w:ascii="Arial" w:hAnsi="Arial" w:hint="cs"/>
                <w:b/>
                <w:bCs/>
                <w:noProof w:val="0"/>
                <w:sz w:val="26"/>
                <w:szCs w:val="26"/>
                <w:rtl/>
              </w:rPr>
              <w:t>.</w:t>
            </w:r>
            <w:r>
              <w:rPr>
                <w:rFonts w:ascii="Arial" w:hAnsi="Arial"/>
                <w:b/>
                <w:bCs/>
                <w:noProof w:val="0"/>
                <w:sz w:val="26"/>
                <w:szCs w:val="26"/>
                <w:rtl/>
              </w:rPr>
              <w:t>ו</w:t>
            </w:r>
            <w:r w:rsidR="000F2C29">
              <w:rPr>
                <w:rFonts w:ascii="Arial" w:hAnsi="Arial" w:hint="cs"/>
                <w:b/>
                <w:bCs/>
                <w:noProof w:val="0"/>
                <w:sz w:val="26"/>
                <w:szCs w:val="26"/>
                <w:rtl/>
              </w:rPr>
              <w:t>.</w:t>
            </w:r>
          </w:p>
          <w:p w:rsidR="00622D9A" w:rsidRPr="00FB105C" w:rsidRDefault="00622D9A" w:rsidP="007A7007">
            <w:pPr>
              <w:suppressLineNumbers/>
              <w:rPr>
                <w:noProof w:val="0"/>
              </w:rPr>
            </w:pPr>
            <w:r>
              <w:rPr>
                <w:rFonts w:hint="cs"/>
                <w:b/>
                <w:bCs/>
                <w:noProof w:val="0"/>
                <w:sz w:val="26"/>
                <w:szCs w:val="26"/>
                <w:rtl/>
              </w:rPr>
              <w:t xml:space="preserve">    </w:t>
            </w:r>
            <w:r>
              <w:rPr>
                <w:rFonts w:hint="cs"/>
                <w:noProof w:val="0"/>
                <w:rtl/>
              </w:rPr>
              <w:t>מיוצגות ע"י עו"ד יורם ביתן</w:t>
            </w:r>
          </w:p>
        </w:tc>
      </w:tr>
      <w:tr w:rsidR="00622D9A" w:rsidTr="007A7007">
        <w:trPr>
          <w:jc w:val="center"/>
        </w:trPr>
        <w:tc>
          <w:tcPr>
            <w:tcW w:w="8820" w:type="dxa"/>
            <w:gridSpan w:val="3"/>
          </w:tcPr>
          <w:p w:rsidR="00622D9A" w:rsidRDefault="00622D9A" w:rsidP="007A7007">
            <w:pPr>
              <w:suppressLineNumbers/>
              <w:rPr>
                <w:rFonts w:ascii="Arial" w:hAnsi="Arial"/>
                <w:b/>
                <w:bCs/>
                <w:noProof w:val="0"/>
                <w:sz w:val="26"/>
                <w:szCs w:val="26"/>
                <w:rtl/>
              </w:rPr>
            </w:pPr>
          </w:p>
          <w:p w:rsidR="00622D9A" w:rsidRDefault="00622D9A" w:rsidP="007A7007">
            <w:pPr>
              <w:suppressLineNumbers/>
              <w:jc w:val="center"/>
              <w:rPr>
                <w:rFonts w:ascii="Arial" w:hAnsi="Arial"/>
                <w:b/>
                <w:bCs/>
                <w:noProof w:val="0"/>
                <w:sz w:val="26"/>
                <w:szCs w:val="26"/>
              </w:rPr>
            </w:pPr>
            <w:r>
              <w:rPr>
                <w:rFonts w:ascii="Arial" w:hAnsi="Arial"/>
                <w:b/>
                <w:bCs/>
                <w:noProof w:val="0"/>
                <w:sz w:val="26"/>
                <w:szCs w:val="26"/>
                <w:rtl/>
              </w:rPr>
              <w:t>נגד</w:t>
            </w:r>
          </w:p>
        </w:tc>
      </w:tr>
      <w:tr w:rsidR="00622D9A" w:rsidTr="007A7007">
        <w:trPr>
          <w:jc w:val="center"/>
        </w:trPr>
        <w:tc>
          <w:tcPr>
            <w:tcW w:w="3249" w:type="dxa"/>
            <w:gridSpan w:val="2"/>
          </w:tcPr>
          <w:p w:rsidR="00622D9A" w:rsidRDefault="00622D9A" w:rsidP="007A7007">
            <w:pPr>
              <w:suppressLineNumbers/>
              <w:rPr>
                <w:rFonts w:ascii="Arial" w:hAnsi="Arial"/>
                <w:b/>
                <w:bCs/>
                <w:noProof w:val="0"/>
                <w:sz w:val="26"/>
                <w:szCs w:val="26"/>
                <w:rtl/>
              </w:rPr>
            </w:pPr>
          </w:p>
          <w:p w:rsidR="00622D9A" w:rsidRDefault="00622D9A" w:rsidP="007A7007">
            <w:pPr>
              <w:suppressLineNumbers/>
              <w:rPr>
                <w:rFonts w:ascii="Arial" w:hAnsi="Arial"/>
                <w:b/>
                <w:bCs/>
                <w:noProof w:val="0"/>
                <w:sz w:val="26"/>
                <w:szCs w:val="26"/>
                <w:rtl/>
              </w:rPr>
            </w:pPr>
            <w:r>
              <w:rPr>
                <w:rFonts w:ascii="Arial" w:hAnsi="Arial"/>
                <w:b/>
                <w:bCs/>
                <w:noProof w:val="0"/>
                <w:sz w:val="26"/>
                <w:szCs w:val="26"/>
                <w:rtl/>
              </w:rPr>
              <w:t>נתבע</w:t>
            </w:r>
            <w:r>
              <w:rPr>
                <w:rFonts w:ascii="Arial" w:hAnsi="Arial" w:hint="cs"/>
                <w:b/>
                <w:bCs/>
                <w:noProof w:val="0"/>
                <w:sz w:val="26"/>
                <w:szCs w:val="26"/>
                <w:rtl/>
              </w:rPr>
              <w:t>ות</w:t>
            </w:r>
          </w:p>
          <w:p w:rsidR="00622D9A" w:rsidRDefault="00622D9A" w:rsidP="007A7007">
            <w:pPr>
              <w:suppressLineNumbers/>
              <w:rPr>
                <w:rFonts w:ascii="Arial" w:hAnsi="Arial"/>
                <w:b/>
                <w:bCs/>
                <w:noProof w:val="0"/>
                <w:sz w:val="26"/>
                <w:szCs w:val="26"/>
              </w:rPr>
            </w:pPr>
            <w:r>
              <w:rPr>
                <w:rFonts w:ascii="Arial" w:hAnsi="Arial" w:hint="cs"/>
                <w:b/>
                <w:bCs/>
                <w:noProof w:val="0"/>
                <w:sz w:val="26"/>
                <w:szCs w:val="26"/>
                <w:rtl/>
              </w:rPr>
              <w:t>(מבקשות)</w:t>
            </w:r>
          </w:p>
        </w:tc>
        <w:tc>
          <w:tcPr>
            <w:tcW w:w="5571" w:type="dxa"/>
          </w:tcPr>
          <w:p w:rsidR="00622D9A" w:rsidRDefault="00622D9A" w:rsidP="007A7007">
            <w:pPr>
              <w:suppressLineNumbers/>
              <w:rPr>
                <w:rFonts w:ascii="Arial" w:hAnsi="Arial"/>
                <w:b/>
                <w:bCs/>
                <w:noProof w:val="0"/>
                <w:sz w:val="26"/>
                <w:szCs w:val="26"/>
                <w:rtl/>
              </w:rPr>
            </w:pPr>
          </w:p>
          <w:p w:rsidR="00622D9A" w:rsidRDefault="00622D9A" w:rsidP="000F2C29">
            <w:pPr>
              <w:suppressLineNumbers/>
              <w:rPr>
                <w:b/>
                <w:bCs/>
                <w:noProof w:val="0"/>
                <w:sz w:val="26"/>
                <w:szCs w:val="26"/>
                <w:rtl/>
              </w:rPr>
            </w:pPr>
            <w:r>
              <w:rPr>
                <w:rFonts w:ascii="Arial" w:hAnsi="Arial"/>
                <w:b/>
                <w:bCs/>
                <w:noProof w:val="0"/>
                <w:sz w:val="26"/>
                <w:szCs w:val="26"/>
                <w:rtl/>
              </w:rPr>
              <w:t>1.</w:t>
            </w:r>
            <w:r>
              <w:rPr>
                <w:rFonts w:ascii="Arial" w:hAnsi="Arial" w:hint="cs"/>
                <w:b/>
                <w:bCs/>
                <w:noProof w:val="0"/>
                <w:sz w:val="26"/>
                <w:szCs w:val="26"/>
                <w:rtl/>
              </w:rPr>
              <w:t xml:space="preserve"> </w:t>
            </w:r>
            <w:r>
              <w:rPr>
                <w:rFonts w:ascii="Arial" w:hAnsi="Arial"/>
                <w:b/>
                <w:bCs/>
                <w:noProof w:val="0"/>
                <w:sz w:val="26"/>
                <w:szCs w:val="26"/>
                <w:rtl/>
              </w:rPr>
              <w:t>ה</w:t>
            </w:r>
            <w:r w:rsidR="000F2C29">
              <w:rPr>
                <w:rFonts w:ascii="Arial" w:hAnsi="Arial" w:hint="cs"/>
                <w:b/>
                <w:bCs/>
                <w:noProof w:val="0"/>
                <w:sz w:val="26"/>
                <w:szCs w:val="26"/>
                <w:rtl/>
              </w:rPr>
              <w:t>.</w:t>
            </w:r>
            <w:r>
              <w:rPr>
                <w:rFonts w:ascii="Arial" w:hAnsi="Arial"/>
                <w:b/>
                <w:bCs/>
                <w:noProof w:val="0"/>
                <w:sz w:val="26"/>
                <w:szCs w:val="26"/>
                <w:rtl/>
              </w:rPr>
              <w:t>ו</w:t>
            </w:r>
            <w:r w:rsidR="000F2C29">
              <w:rPr>
                <w:rFonts w:ascii="Arial" w:hAnsi="Arial" w:hint="cs"/>
                <w:b/>
                <w:bCs/>
                <w:noProof w:val="0"/>
                <w:sz w:val="26"/>
                <w:szCs w:val="26"/>
                <w:rtl/>
              </w:rPr>
              <w:t>.</w:t>
            </w:r>
            <w:r>
              <w:rPr>
                <w:rFonts w:ascii="Arial" w:hAnsi="Arial"/>
                <w:b/>
                <w:bCs/>
                <w:noProof w:val="0"/>
                <w:sz w:val="26"/>
                <w:szCs w:val="26"/>
                <w:rtl/>
              </w:rPr>
              <w:t>ח</w:t>
            </w:r>
            <w:r w:rsidR="000F2C29">
              <w:rPr>
                <w:rFonts w:ascii="Arial" w:hAnsi="Arial" w:hint="cs"/>
                <w:b/>
                <w:bCs/>
                <w:noProof w:val="0"/>
                <w:sz w:val="26"/>
                <w:szCs w:val="26"/>
                <w:rtl/>
              </w:rPr>
              <w:t>.</w:t>
            </w:r>
          </w:p>
          <w:p w:rsidR="00622D9A" w:rsidRPr="00FB105C" w:rsidRDefault="00622D9A" w:rsidP="000F2C29">
            <w:pPr>
              <w:suppressLineNumbers/>
              <w:rPr>
                <w:noProof w:val="0"/>
                <w:rtl/>
              </w:rPr>
            </w:pPr>
            <w:r>
              <w:rPr>
                <w:rFonts w:ascii="Arial" w:hAnsi="Arial"/>
                <w:b/>
                <w:bCs/>
                <w:noProof w:val="0"/>
                <w:sz w:val="26"/>
                <w:szCs w:val="26"/>
                <w:rtl/>
              </w:rPr>
              <w:t>2.</w:t>
            </w:r>
            <w:r>
              <w:rPr>
                <w:rFonts w:ascii="Arial" w:hAnsi="Arial" w:hint="cs"/>
                <w:b/>
                <w:bCs/>
                <w:noProof w:val="0"/>
                <w:sz w:val="26"/>
                <w:szCs w:val="26"/>
                <w:rtl/>
              </w:rPr>
              <w:t xml:space="preserve"> </w:t>
            </w:r>
            <w:r>
              <w:rPr>
                <w:rFonts w:ascii="Arial" w:hAnsi="Arial"/>
                <w:b/>
                <w:bCs/>
                <w:noProof w:val="0"/>
                <w:sz w:val="26"/>
                <w:szCs w:val="26"/>
                <w:rtl/>
              </w:rPr>
              <w:t>נ</w:t>
            </w:r>
            <w:r w:rsidR="000F2C29">
              <w:rPr>
                <w:rFonts w:ascii="Arial" w:hAnsi="Arial" w:hint="cs"/>
                <w:b/>
                <w:bCs/>
                <w:noProof w:val="0"/>
                <w:sz w:val="26"/>
                <w:szCs w:val="26"/>
                <w:rtl/>
              </w:rPr>
              <w:t>.</w:t>
            </w:r>
            <w:r>
              <w:rPr>
                <w:rFonts w:ascii="Arial" w:hAnsi="Arial"/>
                <w:b/>
                <w:bCs/>
                <w:noProof w:val="0"/>
                <w:sz w:val="26"/>
                <w:szCs w:val="26"/>
                <w:rtl/>
              </w:rPr>
              <w:t>ו</w:t>
            </w:r>
            <w:r w:rsidR="000F2C29">
              <w:rPr>
                <w:rFonts w:ascii="Arial" w:hAnsi="Arial" w:hint="cs"/>
                <w:b/>
                <w:bCs/>
                <w:noProof w:val="0"/>
                <w:sz w:val="26"/>
                <w:szCs w:val="26"/>
                <w:rtl/>
              </w:rPr>
              <w:t>.</w:t>
            </w:r>
            <w:r>
              <w:rPr>
                <w:rFonts w:hint="cs"/>
                <w:b/>
                <w:bCs/>
                <w:noProof w:val="0"/>
                <w:sz w:val="26"/>
                <w:szCs w:val="26"/>
                <w:rtl/>
              </w:rPr>
              <w:t xml:space="preserve">     </w:t>
            </w:r>
            <w:r w:rsidRPr="00FB105C">
              <w:rPr>
                <w:rFonts w:hint="cs"/>
                <w:noProof w:val="0"/>
                <w:rtl/>
              </w:rPr>
              <w:t>מיוצגות ע"י עו"ד יעקב בלס</w:t>
            </w:r>
          </w:p>
        </w:tc>
      </w:tr>
      <w:tr w:rsidR="00622D9A" w:rsidTr="007A7007">
        <w:trPr>
          <w:jc w:val="center"/>
        </w:trPr>
        <w:tc>
          <w:tcPr>
            <w:tcW w:w="8820" w:type="dxa"/>
            <w:gridSpan w:val="3"/>
          </w:tcPr>
          <w:p w:rsidR="00622D9A" w:rsidRDefault="00622D9A" w:rsidP="007A7007">
            <w:pPr>
              <w:suppressLineNumbers/>
              <w:rPr>
                <w:rFonts w:ascii="Arial" w:hAnsi="Arial"/>
                <w:b/>
                <w:bCs/>
                <w:noProof w:val="0"/>
                <w:sz w:val="26"/>
                <w:szCs w:val="26"/>
                <w:rtl/>
              </w:rPr>
            </w:pPr>
          </w:p>
        </w:tc>
      </w:tr>
      <w:tr w:rsidR="00622D9A" w:rsidRPr="00DE1E7D" w:rsidTr="007A7007">
        <w:trPr>
          <w:jc w:val="center"/>
        </w:trPr>
        <w:tc>
          <w:tcPr>
            <w:tcW w:w="8820" w:type="dxa"/>
            <w:gridSpan w:val="3"/>
          </w:tcPr>
          <w:p w:rsidR="00622D9A" w:rsidRDefault="00622D9A" w:rsidP="007A7007">
            <w:pPr>
              <w:bidi w:val="0"/>
              <w:jc w:val="center"/>
              <w:rPr>
                <w:rFonts w:ascii="Arial" w:hAnsi="Arial"/>
                <w:b/>
                <w:bCs/>
                <w:noProof w:val="0"/>
                <w:sz w:val="28"/>
                <w:szCs w:val="28"/>
                <w:u w:val="single"/>
              </w:rPr>
            </w:pPr>
            <w:r w:rsidRPr="00D44968">
              <w:rPr>
                <w:rFonts w:ascii="Arial" w:hAnsi="Arial" w:hint="cs"/>
                <w:b/>
                <w:bCs/>
                <w:noProof w:val="0"/>
                <w:sz w:val="28"/>
                <w:szCs w:val="28"/>
                <w:u w:val="single"/>
                <w:rtl/>
              </w:rPr>
              <w:t>החלטה</w:t>
            </w:r>
          </w:p>
          <w:p w:rsidR="00622D9A" w:rsidRPr="00FB105C" w:rsidRDefault="00622D9A" w:rsidP="007A7007">
            <w:pPr>
              <w:bidi w:val="0"/>
              <w:jc w:val="center"/>
              <w:rPr>
                <w:rFonts w:ascii="Arial" w:hAnsi="Arial"/>
                <w:b/>
                <w:bCs/>
                <w:noProof w:val="0"/>
                <w:sz w:val="26"/>
                <w:szCs w:val="26"/>
                <w:u w:val="single"/>
                <w:rtl/>
              </w:rPr>
            </w:pPr>
            <w:r>
              <w:rPr>
                <w:rFonts w:ascii="Arial" w:hAnsi="Arial" w:hint="cs"/>
                <w:b/>
                <w:bCs/>
                <w:noProof w:val="0"/>
                <w:sz w:val="26"/>
                <w:szCs w:val="26"/>
                <w:u w:val="single"/>
                <w:rtl/>
              </w:rPr>
              <w:t>בבקשה לסילוק התביעה על הסף</w:t>
            </w:r>
          </w:p>
          <w:p w:rsidR="00622D9A" w:rsidRPr="00D44968" w:rsidRDefault="00622D9A" w:rsidP="007A7007">
            <w:pPr>
              <w:bidi w:val="0"/>
              <w:jc w:val="center"/>
              <w:rPr>
                <w:rFonts w:ascii="Arial" w:hAnsi="Arial"/>
                <w:b/>
                <w:bCs/>
                <w:noProof w:val="0"/>
                <w:sz w:val="28"/>
                <w:szCs w:val="28"/>
                <w:u w:val="single"/>
              </w:rPr>
            </w:pPr>
          </w:p>
        </w:tc>
      </w:tr>
    </w:tbl>
    <w:bookmarkStart w:id="0" w:name="NGCSBookmark"/>
    <w:bookmarkEnd w:id="0"/>
    <w:p w:rsidR="00622D9A" w:rsidRPr="000A4009" w:rsidRDefault="000F2C29" w:rsidP="000F2C29">
      <w:pPr>
        <w:spacing w:line="360" w:lineRule="auto"/>
        <w:ind w:left="720" w:hanging="720"/>
        <w:jc w:val="both"/>
        <w:rPr>
          <w:rFonts w:ascii="David" w:hAnsi="David"/>
          <w:rtl/>
        </w:rPr>
      </w:pPr>
      <w:r>
        <w:rPr>
          <w:rFonts w:cs="FrankRuehl"/>
          <w:sz w:val="28"/>
          <w:szCs w:val="28"/>
          <w:rtl/>
        </w:rPr>
        <mc:AlternateContent>
          <mc:Choice Requires="wps">
            <w:drawing>
              <wp:anchor distT="0" distB="0" distL="114300" distR="114300" simplePos="0" relativeHeight="251658240" behindDoc="0" locked="0" layoutInCell="1" allowOverlap="1">
                <wp:simplePos x="0" y="0"/>
                <wp:positionH relativeFrom="margin">
                  <wp:posOffset>166314</wp:posOffset>
                </wp:positionH>
                <wp:positionV relativeFrom="margin">
                  <wp:posOffset>5212591</wp:posOffset>
                </wp:positionV>
                <wp:extent cx="2546062" cy="111833"/>
                <wp:effectExtent l="0" t="0" r="0" b="0"/>
                <wp:wrapNone/>
                <wp:docPr id="3" name="תיבת טקסט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2546062" cy="11183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F2C29" w:rsidRDefault="000F2C29" w:rsidP="000F2C29">
                            <w:pPr>
                              <w:pStyle w:val="NormalWeb"/>
                              <w:bidi/>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13.1pt;margin-top:410.45pt;width:200.5pt;height:8.8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6Z3wIAAMsFAAAOAAAAZHJzL2Uyb0RvYy54bWysVM2O0zAQviPxDpbv2fw0/Um0KWq7LZcF&#10;VtqiPbux0wSSONhukwrxENyWIyekfaG8DmMnbbdwQUAOljMef/PNzOe5ftUUOdozITNeRti9cjBi&#10;ZcxpVm4j/H69siYYSUVKSnJesggfmMSvpi9fXNdVyDye8pwygQCklGFdRThVqgptW8YpK4i84hUr&#10;4TDhoiAKfsXWpoLUgF7ktuc4I7vmglaCx0xKsN50h3hq8JOExepdkkimUB5h4KbMKsy60as9vSbh&#10;VpAqzeKeBvkLFgXJSgh6grohiqCdyH6DKrJYcMkTdRXzwuZJksXM5ADZuM4v2dynpGImFyiOrE5l&#10;kv8PNn67vxMooxEeYFSSAlrUPrXf2q/tE2of2x/t9/YRDXSZ6kqG4H1fgb9q5ryBdpuUZXXL448S&#10;lXyRknLLZrKCsuvTs0kIXqeMUGD+zGzyWx8qCGqsa9aoJc3MXYhoPwvZxZc6+KZ+wylcITvFDYEm&#10;EQUSXF+bBI7+jBmKi4AkdP1w6jQEQDEYvaE/ckYeRjGcua47GZgcbRJqMN3ISkj1mvEC6U2EBaRk&#10;UMn+VipN7uyi3QEY7P2u6/znwPV8Z+4F1mo0GVv+yh9awdiZWI4bzIOR4wf+zeqLBnX9MM0oZeVt&#10;VrKjCl3/z7rcv4dOP0aHqI5wMPSGhq/keUZXWZ5rblJsN4tcoD3Rz6ErVZfLhZvgu5KCnYS6Z8t+&#10;r0iWd3v7krEpBhTgMvvZauiM/cHEGo+HA8sfLB1rPlktrNnCHY3Gy/livnQvs1+a9yr/vQCGiAE7&#10;9upU4T7GmTL08dg7ozctsU5sqtk0UAQtwg2nB1BeDXMiwvLTjggG4t4VCw51BOkmghcPMIhmQovQ&#10;1F3LZt08EFH1ClIQ5i4/zgkjI81zS/tnR+gHACpyGD/QHjQ0Ou6a0zv3kutQ9d2Sz+ANJJnR45ln&#10;/3JgYpg0++mmR9Lzf+N1nsHTnwAAAP//AwBQSwMEFAAGAAgAAAAhAOGaFJ3gAAAACgEAAA8AAABk&#10;cnMvZG93bnJldi54bWxMj8FOwzAMhu9IvENkJC5oSwlslNJ0YpN2YhfGDjtmjddWNE7XpFvh6TEn&#10;OPr3p9+f88XoWnHGPjSeNNxPExBIpbcNVRp2H+tJCiJEQ9a0nlDDFwZYFNdXucmsv9A7nrexElxC&#10;ITMa6hi7TMpQ1uhMmPoOiXdH3zsTeewraXtz4XLXSpUkc+lMQ3yhNh2uaiw/t4PTUB33p+F0t1m9&#10;rXdjiX6z/J41S61vb8bXFxARx/gHw68+q0PBTgc/kA2i1aDmikkNqUqeQTDwqJ44OXDykM5AFrn8&#10;/0LxAwAA//8DAFBLAQItABQABgAIAAAAIQC2gziS/gAAAOEBAAATAAAAAAAAAAAAAAAAAAAAAABb&#10;Q29udGVudF9UeXBlc10ueG1sUEsBAi0AFAAGAAgAAAAhADj9If/WAAAAlAEAAAsAAAAAAAAAAAAA&#10;AAAALwEAAF9yZWxzLy5yZWxzUEsBAi0AFAAGAAgAAAAhAEKczpnfAgAAywUAAA4AAAAAAAAAAAAA&#10;AAAALgIAAGRycy9lMm9Eb2MueG1sUEsBAi0AFAAGAAgAAAAhAOGaFJ3gAAAACgEAAA8AAAAAAAAA&#10;AAAAAAAAOQUAAGRycy9kb3ducmV2LnhtbFBLBQYAAAAABAAEAPMAAABGBgAAAAA=&#10;" filled="f" stroked="f">
                <v:stroke joinstyle="round"/>
                <o:lock v:ext="edit" aspectratio="t" shapetype="t"/>
                <v:textbox>
                  <w:txbxContent>
                    <w:p w:rsidR="000F2C29" w:rsidRDefault="000F2C29" w:rsidP="000F2C29">
                      <w:pPr>
                        <w:pStyle w:val="NormalWeb"/>
                        <w:bidi/>
                        <w:spacing w:before="0" w:beforeAutospacing="0" w:after="0" w:afterAutospacing="0"/>
                        <w:jc w:val="center"/>
                      </w:pPr>
                    </w:p>
                  </w:txbxContent>
                </v:textbox>
                <w10:wrap anchorx="margin" anchory="margin"/>
              </v:shape>
            </w:pict>
          </mc:Fallback>
        </mc:AlternateContent>
      </w:r>
      <w:r w:rsidR="00622D9A" w:rsidRPr="000A4009">
        <w:rPr>
          <w:rFonts w:ascii="David" w:hAnsi="David"/>
          <w:rtl/>
        </w:rPr>
        <w:t>1.</w:t>
      </w:r>
      <w:r w:rsidR="00622D9A">
        <w:rPr>
          <w:rFonts w:ascii="David" w:hAnsi="David"/>
          <w:rtl/>
        </w:rPr>
        <w:tab/>
      </w:r>
      <w:r w:rsidR="00622D9A" w:rsidRPr="000A4009">
        <w:rPr>
          <w:rFonts w:ascii="David" w:hAnsi="David"/>
          <w:rtl/>
        </w:rPr>
        <w:t>לפני בקשה לסילוק על הסף של התביעה שבכותרת (להלן-</w:t>
      </w:r>
      <w:r w:rsidR="00622D9A" w:rsidRPr="000A4009">
        <w:rPr>
          <w:rFonts w:ascii="Miriam" w:hAnsi="Miriam" w:cs="Miriam"/>
          <w:b/>
          <w:bCs/>
          <w:rtl/>
        </w:rPr>
        <w:t>הבקשה</w:t>
      </w:r>
      <w:r w:rsidR="00622D9A" w:rsidRPr="000A4009">
        <w:rPr>
          <w:rFonts w:ascii="David" w:hAnsi="David"/>
          <w:rtl/>
        </w:rPr>
        <w:t>). התביעה שסילוקה על הסף התבקש כותרתה "</w:t>
      </w:r>
      <w:r w:rsidR="00622D9A" w:rsidRPr="000A4009">
        <w:rPr>
          <w:rFonts w:ascii="David" w:hAnsi="David"/>
          <w:u w:val="single"/>
          <w:rtl/>
        </w:rPr>
        <w:t>כתב תביעה להשבת כספים ורכוש בעקבות ביטול ייפוי כוח מתמשך</w:t>
      </w:r>
      <w:r w:rsidR="00622D9A" w:rsidRPr="000A4009">
        <w:rPr>
          <w:rFonts w:ascii="David" w:hAnsi="David"/>
          <w:rtl/>
        </w:rPr>
        <w:t>" (להלן-</w:t>
      </w:r>
      <w:r w:rsidR="00622D9A" w:rsidRPr="000A4009">
        <w:rPr>
          <w:rFonts w:ascii="Miriam" w:hAnsi="Miriam" w:cs="Miriam"/>
          <w:b/>
          <w:bCs/>
          <w:rtl/>
        </w:rPr>
        <w:t>התביעה</w:t>
      </w:r>
      <w:r w:rsidR="00622D9A" w:rsidRPr="000A4009">
        <w:rPr>
          <w:rFonts w:ascii="David" w:hAnsi="David"/>
          <w:rtl/>
        </w:rPr>
        <w:t>). התביעה הוגשה על ידי שתיים מבנותיו של מר י</w:t>
      </w:r>
      <w:r>
        <w:rPr>
          <w:rFonts w:ascii="David" w:hAnsi="David" w:hint="cs"/>
          <w:rtl/>
        </w:rPr>
        <w:t>.</w:t>
      </w:r>
      <w:r w:rsidR="00622D9A" w:rsidRPr="000A4009">
        <w:rPr>
          <w:rFonts w:ascii="David" w:hAnsi="David"/>
          <w:rtl/>
        </w:rPr>
        <w:t>ו</w:t>
      </w:r>
      <w:r>
        <w:rPr>
          <w:rFonts w:ascii="David" w:hAnsi="David" w:hint="cs"/>
          <w:rtl/>
        </w:rPr>
        <w:t>.</w:t>
      </w:r>
      <w:r w:rsidR="00622D9A" w:rsidRPr="000A4009">
        <w:rPr>
          <w:rFonts w:ascii="David" w:hAnsi="David"/>
          <w:rtl/>
        </w:rPr>
        <w:t xml:space="preserve"> (מ</w:t>
      </w:r>
      <w:r>
        <w:rPr>
          <w:rFonts w:ascii="David" w:hAnsi="David" w:hint="cs"/>
          <w:rtl/>
        </w:rPr>
        <w:t xml:space="preserve">. </w:t>
      </w:r>
      <w:r w:rsidR="00622D9A" w:rsidRPr="000A4009">
        <w:rPr>
          <w:rFonts w:ascii="David" w:hAnsi="David"/>
          <w:rtl/>
        </w:rPr>
        <w:t>וא</w:t>
      </w:r>
      <w:r>
        <w:rPr>
          <w:rFonts w:ascii="David" w:hAnsi="David" w:hint="cs"/>
          <w:rtl/>
        </w:rPr>
        <w:t>.</w:t>
      </w:r>
      <w:r w:rsidR="00622D9A" w:rsidRPr="000A4009">
        <w:rPr>
          <w:rFonts w:ascii="David" w:hAnsi="David"/>
          <w:rtl/>
        </w:rPr>
        <w:t xml:space="preserve"> (להלן-</w:t>
      </w:r>
      <w:r w:rsidR="00622D9A" w:rsidRPr="000A4009">
        <w:rPr>
          <w:rFonts w:ascii="Miriam" w:hAnsi="Miriam" w:cs="Miriam"/>
          <w:b/>
          <w:bCs/>
          <w:rtl/>
        </w:rPr>
        <w:t>התובעות</w:t>
      </w:r>
      <w:r w:rsidR="00622D9A" w:rsidRPr="000A4009">
        <w:rPr>
          <w:rFonts w:ascii="David" w:hAnsi="David"/>
          <w:rtl/>
        </w:rPr>
        <w:t xml:space="preserve"> ו-</w:t>
      </w:r>
      <w:r w:rsidR="00622D9A" w:rsidRPr="000A4009">
        <w:rPr>
          <w:rFonts w:ascii="Miriam" w:hAnsi="Miriam" w:cs="Miriam"/>
          <w:b/>
          <w:bCs/>
          <w:rtl/>
        </w:rPr>
        <w:t>המשיבות</w:t>
      </w:r>
      <w:r w:rsidR="00622D9A" w:rsidRPr="000A4009">
        <w:rPr>
          <w:rFonts w:ascii="David" w:hAnsi="David"/>
          <w:rtl/>
        </w:rPr>
        <w:t xml:space="preserve"> בהתייחס לבקשה) נגד שתי בנות אחרות שלו (ה</w:t>
      </w:r>
      <w:r>
        <w:rPr>
          <w:rFonts w:ascii="David" w:hAnsi="David" w:hint="cs"/>
          <w:rtl/>
        </w:rPr>
        <w:t xml:space="preserve">. </w:t>
      </w:r>
      <w:r w:rsidR="00622D9A" w:rsidRPr="000A4009">
        <w:rPr>
          <w:rFonts w:ascii="David" w:hAnsi="David"/>
          <w:rtl/>
        </w:rPr>
        <w:t>ונ</w:t>
      </w:r>
      <w:r>
        <w:rPr>
          <w:rFonts w:ascii="David" w:hAnsi="David" w:hint="cs"/>
          <w:rtl/>
        </w:rPr>
        <w:t>.</w:t>
      </w:r>
      <w:r w:rsidR="00622D9A" w:rsidRPr="000A4009">
        <w:rPr>
          <w:rFonts w:ascii="David" w:hAnsi="David"/>
          <w:rtl/>
        </w:rPr>
        <w:t>(להלן-</w:t>
      </w:r>
      <w:r w:rsidR="00622D9A" w:rsidRPr="000A4009">
        <w:rPr>
          <w:rFonts w:ascii="Miriam" w:hAnsi="Miriam" w:cs="Miriam"/>
          <w:b/>
          <w:bCs/>
          <w:rtl/>
        </w:rPr>
        <w:t>הנתבעות</w:t>
      </w:r>
      <w:r w:rsidR="00622D9A" w:rsidRPr="000A4009">
        <w:rPr>
          <w:rFonts w:ascii="David" w:hAnsi="David"/>
          <w:rtl/>
        </w:rPr>
        <w:t xml:space="preserve"> ו-</w:t>
      </w:r>
      <w:r w:rsidR="00622D9A" w:rsidRPr="000A4009">
        <w:rPr>
          <w:rFonts w:ascii="Miriam" w:hAnsi="Miriam" w:cs="Miriam"/>
          <w:b/>
          <w:bCs/>
          <w:rtl/>
        </w:rPr>
        <w:t>המבקשות</w:t>
      </w:r>
      <w:r w:rsidR="00622D9A" w:rsidRPr="000A4009">
        <w:rPr>
          <w:rFonts w:ascii="David" w:hAnsi="David"/>
          <w:rtl/>
        </w:rPr>
        <w:t xml:space="preserve"> בהתייחס לבקשה). מר י</w:t>
      </w:r>
      <w:r>
        <w:rPr>
          <w:rFonts w:ascii="David" w:hAnsi="David" w:hint="cs"/>
          <w:rtl/>
        </w:rPr>
        <w:t>.</w:t>
      </w:r>
      <w:r w:rsidR="00622D9A" w:rsidRPr="000A4009">
        <w:rPr>
          <w:rFonts w:ascii="David" w:hAnsi="David"/>
          <w:rtl/>
        </w:rPr>
        <w:t>ו</w:t>
      </w:r>
      <w:r>
        <w:rPr>
          <w:rFonts w:ascii="David" w:hAnsi="David" w:hint="cs"/>
          <w:rtl/>
        </w:rPr>
        <w:t>.</w:t>
      </w:r>
      <w:r w:rsidR="00622D9A" w:rsidRPr="000A4009">
        <w:rPr>
          <w:rFonts w:ascii="David" w:hAnsi="David"/>
          <w:rtl/>
        </w:rPr>
        <w:t xml:space="preserve"> עצמו אינו צד לתביעה בעניינו.</w:t>
      </w:r>
    </w:p>
    <w:p w:rsidR="00622D9A" w:rsidRPr="000A4009" w:rsidRDefault="00622D9A" w:rsidP="00622D9A">
      <w:pPr>
        <w:ind w:left="720" w:hanging="720"/>
        <w:rPr>
          <w:rtl/>
        </w:rPr>
      </w:pPr>
    </w:p>
    <w:p w:rsidR="00622D9A" w:rsidRDefault="00622D9A" w:rsidP="00622D9A">
      <w:pPr>
        <w:spacing w:line="360" w:lineRule="auto"/>
        <w:ind w:left="720" w:hanging="720"/>
        <w:jc w:val="both"/>
        <w:rPr>
          <w:rFonts w:ascii="David" w:hAnsi="David"/>
          <w:b/>
          <w:bCs/>
          <w:rtl/>
        </w:rPr>
      </w:pPr>
      <w:r>
        <w:rPr>
          <w:rFonts w:ascii="David" w:hAnsi="David"/>
          <w:b/>
          <w:bCs/>
          <w:u w:val="single"/>
          <w:rtl/>
        </w:rPr>
        <w:t>הרקע העובדתי</w:t>
      </w:r>
      <w:r>
        <w:rPr>
          <w:rFonts w:ascii="David" w:hAnsi="David"/>
          <w:b/>
          <w:bCs/>
          <w:rtl/>
        </w:rPr>
        <w:t>:</w:t>
      </w:r>
    </w:p>
    <w:p w:rsidR="00622D9A" w:rsidRDefault="00622D9A" w:rsidP="00622D9A">
      <w:pPr>
        <w:spacing w:line="360" w:lineRule="auto"/>
        <w:ind w:left="720" w:hanging="720"/>
        <w:jc w:val="both"/>
        <w:rPr>
          <w:rFonts w:ascii="David" w:hAnsi="David"/>
          <w:b/>
          <w:bCs/>
          <w:rtl/>
        </w:rPr>
      </w:pPr>
      <w:bookmarkStart w:id="1" w:name="_GoBack"/>
    </w:p>
    <w:bookmarkEnd w:id="1"/>
    <w:p w:rsidR="00622D9A" w:rsidRDefault="00622D9A" w:rsidP="00622D9A">
      <w:pPr>
        <w:spacing w:line="360" w:lineRule="auto"/>
        <w:ind w:left="720" w:hanging="720"/>
        <w:jc w:val="both"/>
        <w:rPr>
          <w:rFonts w:ascii="David" w:hAnsi="David"/>
          <w:rtl/>
        </w:rPr>
      </w:pPr>
      <w:r>
        <w:rPr>
          <w:rFonts w:ascii="David" w:hAnsi="David"/>
          <w:rtl/>
        </w:rPr>
        <w:t>2.</w:t>
      </w:r>
      <w:r>
        <w:rPr>
          <w:rFonts w:ascii="David" w:hAnsi="David"/>
          <w:rtl/>
        </w:rPr>
        <w:tab/>
        <w:t>טרם התייחסות לכתב התביעה יובאו עיקרי דברים הנחוצים ברקע להחלטה זו.</w:t>
      </w:r>
    </w:p>
    <w:p w:rsidR="00622D9A" w:rsidRDefault="00622D9A" w:rsidP="00622D9A">
      <w:pPr>
        <w:spacing w:line="360" w:lineRule="auto"/>
        <w:ind w:left="720" w:hanging="720"/>
        <w:jc w:val="both"/>
        <w:rPr>
          <w:rFonts w:ascii="David" w:hAnsi="David"/>
          <w:rtl/>
        </w:rPr>
      </w:pPr>
    </w:p>
    <w:p w:rsidR="00622D9A" w:rsidRPr="000A4009" w:rsidRDefault="00622D9A" w:rsidP="00622D9A">
      <w:pPr>
        <w:spacing w:line="360" w:lineRule="auto"/>
        <w:ind w:left="1440" w:hanging="720"/>
        <w:jc w:val="both"/>
        <w:rPr>
          <w:rFonts w:ascii="David" w:hAnsi="David"/>
          <w:rtl/>
        </w:rPr>
      </w:pPr>
      <w:r w:rsidRPr="000A4009">
        <w:rPr>
          <w:rFonts w:ascii="David" w:hAnsi="David"/>
          <w:rtl/>
        </w:rPr>
        <w:t>א.</w:t>
      </w:r>
      <w:r>
        <w:rPr>
          <w:rFonts w:ascii="David" w:hAnsi="David"/>
          <w:rtl/>
        </w:rPr>
        <w:tab/>
      </w:r>
      <w:r w:rsidRPr="000A4009">
        <w:rPr>
          <w:rFonts w:ascii="David" w:hAnsi="David"/>
          <w:rtl/>
        </w:rPr>
        <w:t xml:space="preserve">בין הצדדים </w:t>
      </w:r>
      <w:r>
        <w:rPr>
          <w:rFonts w:ascii="David" w:hAnsi="David" w:hint="cs"/>
          <w:rtl/>
        </w:rPr>
        <w:t>מ</w:t>
      </w:r>
      <w:r w:rsidRPr="000A4009">
        <w:rPr>
          <w:rFonts w:ascii="David" w:hAnsi="David"/>
          <w:rtl/>
        </w:rPr>
        <w:t xml:space="preserve">תנהל הליך נוסף </w:t>
      </w:r>
      <w:r w:rsidRPr="000A4009">
        <w:rPr>
          <w:rFonts w:ascii="David" w:hAnsi="David"/>
          <w:u w:val="single"/>
          <w:rtl/>
        </w:rPr>
        <w:t>א"פ 49018-10-22</w:t>
      </w:r>
      <w:r w:rsidRPr="000A4009">
        <w:rPr>
          <w:rFonts w:ascii="David" w:hAnsi="David"/>
          <w:rtl/>
        </w:rPr>
        <w:t xml:space="preserve"> שעניינו תביעת התובעות (אותן תובעות שבהליך מושא החלטה זו) שעניינה "</w:t>
      </w:r>
      <w:r w:rsidRPr="000A4009">
        <w:rPr>
          <w:rFonts w:ascii="David" w:hAnsi="David"/>
          <w:u w:val="single"/>
          <w:rtl/>
        </w:rPr>
        <w:t>תובענה דחופה לביטול ייפוי כוח מתמשך ולמנות התובעות לאפוטרופסות לגוף ולרכוש של האב</w:t>
      </w:r>
      <w:r w:rsidRPr="000A4009">
        <w:rPr>
          <w:rFonts w:ascii="David" w:hAnsi="David"/>
          <w:rtl/>
        </w:rPr>
        <w:t xml:space="preserve">". (להלן- </w:t>
      </w:r>
      <w:r w:rsidRPr="000A4009">
        <w:rPr>
          <w:rFonts w:ascii="Miriam" w:hAnsi="Miriam" w:cs="Miriam"/>
          <w:b/>
          <w:bCs/>
          <w:rtl/>
        </w:rPr>
        <w:t>התביעה האחרת</w:t>
      </w:r>
      <w:r w:rsidRPr="000A4009">
        <w:rPr>
          <w:rFonts w:ascii="David" w:hAnsi="David"/>
          <w:rtl/>
        </w:rPr>
        <w:t xml:space="preserve">). </w:t>
      </w:r>
    </w:p>
    <w:p w:rsidR="00622D9A" w:rsidRPr="000A4009" w:rsidRDefault="00622D9A" w:rsidP="00622D9A">
      <w:pPr>
        <w:ind w:left="1440" w:hanging="720"/>
        <w:rPr>
          <w:rtl/>
        </w:rPr>
      </w:pPr>
    </w:p>
    <w:p w:rsidR="00622D9A" w:rsidRDefault="00622D9A" w:rsidP="000F2C29">
      <w:pPr>
        <w:spacing w:line="360" w:lineRule="auto"/>
        <w:ind w:left="1440" w:hanging="720"/>
        <w:jc w:val="both"/>
        <w:rPr>
          <w:rFonts w:ascii="David" w:hAnsi="David"/>
          <w:rtl/>
        </w:rPr>
      </w:pPr>
      <w:r>
        <w:rPr>
          <w:rFonts w:ascii="David" w:hAnsi="David"/>
          <w:rtl/>
        </w:rPr>
        <w:t>ב.</w:t>
      </w:r>
      <w:r>
        <w:rPr>
          <w:rFonts w:ascii="David" w:hAnsi="David"/>
          <w:rtl/>
        </w:rPr>
        <w:tab/>
        <w:t>במסגרת התביעה  האחרת הוגשו הליכים רבים וביניהם: ביום 7.12.2022 מינה  כב' השופט ממן אפוטרופוס לדין למר ו</w:t>
      </w:r>
      <w:r w:rsidR="000F2C29">
        <w:rPr>
          <w:rFonts w:ascii="David" w:hAnsi="David" w:hint="cs"/>
          <w:rtl/>
        </w:rPr>
        <w:t>.</w:t>
      </w:r>
      <w:r>
        <w:rPr>
          <w:rFonts w:ascii="David" w:hAnsi="David"/>
          <w:rtl/>
        </w:rPr>
        <w:t>; ביום 4.1.2023 מינה כב' השופט ממן את הגב' סימה אנקונינה כמומחית להשוואת כתבי יד "...</w:t>
      </w:r>
      <w:r>
        <w:rPr>
          <w:rFonts w:ascii="David" w:hAnsi="David"/>
          <w:b/>
          <w:bCs/>
          <w:rtl/>
        </w:rPr>
        <w:t>לבחינת אותנטיות חתימת מר ו</w:t>
      </w:r>
      <w:r w:rsidR="000F2C29">
        <w:rPr>
          <w:rFonts w:ascii="David" w:hAnsi="David" w:hint="cs"/>
          <w:b/>
          <w:bCs/>
          <w:rtl/>
        </w:rPr>
        <w:t xml:space="preserve">. </w:t>
      </w:r>
      <w:r>
        <w:rPr>
          <w:rFonts w:ascii="David" w:hAnsi="David"/>
          <w:b/>
          <w:bCs/>
          <w:rtl/>
        </w:rPr>
        <w:t>על מסמכי ייפוי כוח מתמשך</w:t>
      </w:r>
      <w:r>
        <w:rPr>
          <w:rFonts w:ascii="David" w:hAnsi="David"/>
          <w:rtl/>
        </w:rPr>
        <w:t>" (להלן בהתאמה-</w:t>
      </w:r>
      <w:r>
        <w:rPr>
          <w:rFonts w:ascii="Miriam" w:hAnsi="Miriam" w:cs="Miriam"/>
          <w:b/>
          <w:bCs/>
          <w:rtl/>
        </w:rPr>
        <w:t>המומחית</w:t>
      </w:r>
      <w:r>
        <w:rPr>
          <w:rFonts w:ascii="David" w:hAnsi="David"/>
          <w:rtl/>
        </w:rPr>
        <w:t xml:space="preserve">, </w:t>
      </w:r>
      <w:r>
        <w:rPr>
          <w:rFonts w:ascii="Miriam" w:hAnsi="Miriam" w:cs="Miriam"/>
          <w:b/>
          <w:bCs/>
          <w:rtl/>
        </w:rPr>
        <w:t>יכ"מ</w:t>
      </w:r>
      <w:r>
        <w:rPr>
          <w:rFonts w:ascii="David" w:hAnsi="David"/>
          <w:rtl/>
        </w:rPr>
        <w:t xml:space="preserve">); כב' השופט ממן דחה (ביום 18.1.2023) את בקשת התובעות לקבל לידיהן את חוות הדעת הרפואית מכוחה הופעל ה-יכ"מ. ביום 26.1.2023 הוגשה על ידי התובעות בקשה להקפאת תוקפו של ה-יכ"מ. </w:t>
      </w:r>
    </w:p>
    <w:p w:rsidR="00622D9A" w:rsidRDefault="00622D9A" w:rsidP="00622D9A">
      <w:pPr>
        <w:spacing w:line="360" w:lineRule="auto"/>
        <w:ind w:left="1440" w:hanging="720"/>
        <w:jc w:val="both"/>
        <w:rPr>
          <w:rFonts w:ascii="David" w:hAnsi="David"/>
          <w:rtl/>
        </w:rPr>
      </w:pPr>
    </w:p>
    <w:p w:rsidR="00622D9A" w:rsidRDefault="00622D9A" w:rsidP="000F2C29">
      <w:pPr>
        <w:spacing w:line="360" w:lineRule="auto"/>
        <w:ind w:left="1440" w:hanging="720"/>
        <w:jc w:val="both"/>
        <w:rPr>
          <w:rFonts w:ascii="David" w:hAnsi="David"/>
          <w:rtl/>
        </w:rPr>
      </w:pPr>
      <w:r>
        <w:rPr>
          <w:rFonts w:ascii="David" w:hAnsi="David"/>
          <w:rtl/>
        </w:rPr>
        <w:t>ג.</w:t>
      </w:r>
      <w:r>
        <w:rPr>
          <w:rFonts w:ascii="David" w:hAnsi="David"/>
          <w:rtl/>
        </w:rPr>
        <w:tab/>
        <w:t>ביום 15.5.2023 התקיים דיון לפני (התיק הועבר לטיפולי בהחלטה מיום 4.4.2023). בהחלטה עוקבת לדיון הוריתי למשיבות (הנתבעות בתביעה האחרת) לצרף נוסח מקור של ה-יכ"מ למזכירות בית המשפט וכן ש"...</w:t>
      </w:r>
      <w:r>
        <w:rPr>
          <w:rFonts w:ascii="David" w:hAnsi="David"/>
          <w:b/>
          <w:bCs/>
          <w:rtl/>
        </w:rPr>
        <w:t>עד להחלטה אחרת אין למשיבות רשות לעשות שימוש בייפוי כוח זה-העתק, לכל מטרה זולת אם תתבקש בקשה מביהמ"ש, זולת הוצאת כסף למחייתו של  ורווחתו של מר ו</w:t>
      </w:r>
      <w:r w:rsidR="000F2C29">
        <w:rPr>
          <w:rFonts w:ascii="David" w:hAnsi="David" w:hint="cs"/>
          <w:b/>
          <w:bCs/>
          <w:rtl/>
        </w:rPr>
        <w:t>.</w:t>
      </w:r>
      <w:r>
        <w:rPr>
          <w:rFonts w:ascii="David" w:hAnsi="David"/>
          <w:b/>
          <w:bCs/>
          <w:rtl/>
        </w:rPr>
        <w:t>. כך מבוקש שהמומחית תודיע לביהמ"ש אם עותק יותר קריא אך לא מקור יכול לתת אינדיקציה ולו ראשונית לעניין טענת הזיוף תוך השוואה למסמכי מקור אחרים שנחתמו ע"י מר ו</w:t>
      </w:r>
      <w:r w:rsidR="000F2C29">
        <w:rPr>
          <w:rFonts w:ascii="David" w:hAnsi="David" w:hint="cs"/>
          <w:b/>
          <w:bCs/>
          <w:rtl/>
        </w:rPr>
        <w:t>.</w:t>
      </w:r>
      <w:r>
        <w:rPr>
          <w:rFonts w:ascii="David" w:hAnsi="David"/>
          <w:b/>
          <w:bCs/>
          <w:rtl/>
        </w:rPr>
        <w:t xml:space="preserve"> ויוצגו לה</w:t>
      </w:r>
      <w:r>
        <w:rPr>
          <w:rFonts w:ascii="David" w:hAnsi="David"/>
          <w:rtl/>
        </w:rPr>
        <w:t>"</w:t>
      </w:r>
    </w:p>
    <w:p w:rsidR="00622D9A" w:rsidRDefault="00622D9A" w:rsidP="00622D9A">
      <w:pPr>
        <w:spacing w:line="360" w:lineRule="auto"/>
        <w:ind w:left="1440" w:hanging="720"/>
        <w:jc w:val="both"/>
        <w:rPr>
          <w:rFonts w:ascii="David" w:hAnsi="David"/>
          <w:rtl/>
        </w:rPr>
      </w:pPr>
    </w:p>
    <w:p w:rsidR="00622D9A" w:rsidRDefault="00622D9A" w:rsidP="00622D9A">
      <w:pPr>
        <w:spacing w:line="360" w:lineRule="auto"/>
        <w:ind w:left="1440" w:hanging="720"/>
        <w:jc w:val="both"/>
        <w:rPr>
          <w:rFonts w:ascii="David" w:hAnsi="David"/>
          <w:rtl/>
        </w:rPr>
      </w:pPr>
      <w:r>
        <w:rPr>
          <w:rFonts w:ascii="David" w:hAnsi="David"/>
          <w:rtl/>
        </w:rPr>
        <w:tab/>
        <w:t xml:space="preserve">ביום 27.5.2023 ניתנה החלטה נוספת בה ביקשתי מהמומחית להגיש את חוות הדעת על בסיס החומר שנמסר לה ומסמכים נוספים שתבקש מהצדדים.   </w:t>
      </w:r>
    </w:p>
    <w:p w:rsidR="00622D9A" w:rsidRDefault="00622D9A" w:rsidP="00622D9A">
      <w:pPr>
        <w:spacing w:line="360" w:lineRule="auto"/>
        <w:ind w:left="1440" w:hanging="720"/>
        <w:jc w:val="both"/>
        <w:rPr>
          <w:rFonts w:ascii="David" w:hAnsi="David"/>
          <w:rtl/>
        </w:rPr>
      </w:pPr>
    </w:p>
    <w:p w:rsidR="00622D9A" w:rsidRDefault="00622D9A" w:rsidP="00622D9A">
      <w:pPr>
        <w:spacing w:line="360" w:lineRule="auto"/>
        <w:ind w:left="1440" w:hanging="720"/>
        <w:jc w:val="both"/>
        <w:rPr>
          <w:rFonts w:ascii="David" w:hAnsi="David"/>
          <w:rtl/>
        </w:rPr>
      </w:pPr>
      <w:r>
        <w:rPr>
          <w:rFonts w:ascii="David" w:hAnsi="David"/>
          <w:rtl/>
        </w:rPr>
        <w:t>ד.</w:t>
      </w:r>
      <w:r>
        <w:rPr>
          <w:rFonts w:ascii="David" w:hAnsi="David"/>
          <w:rtl/>
        </w:rPr>
        <w:tab/>
        <w:t>ביום 7.8.23 הוגשה חוות דעתה של המומחית שקבעה :</w:t>
      </w:r>
    </w:p>
    <w:p w:rsidR="00622D9A" w:rsidRDefault="00622D9A" w:rsidP="00622D9A">
      <w:pPr>
        <w:spacing w:line="360" w:lineRule="auto"/>
        <w:ind w:left="1440" w:hanging="720"/>
        <w:jc w:val="both"/>
        <w:rPr>
          <w:rFonts w:ascii="David" w:hAnsi="David"/>
          <w:rtl/>
        </w:rPr>
      </w:pPr>
    </w:p>
    <w:p w:rsidR="00622D9A" w:rsidRDefault="00622D9A" w:rsidP="000F2C29">
      <w:pPr>
        <w:spacing w:line="360" w:lineRule="auto"/>
        <w:ind w:left="1440" w:hanging="720"/>
        <w:jc w:val="both"/>
        <w:rPr>
          <w:rFonts w:ascii="David" w:hAnsi="David"/>
          <w:rtl/>
        </w:rPr>
      </w:pPr>
      <w:r>
        <w:rPr>
          <w:rFonts w:ascii="David" w:hAnsi="David"/>
          <w:rtl/>
        </w:rPr>
        <w:tab/>
        <w:t>"3</w:t>
      </w:r>
      <w:r>
        <w:rPr>
          <w:rFonts w:ascii="David" w:hAnsi="David"/>
          <w:b/>
          <w:bCs/>
          <w:rtl/>
        </w:rPr>
        <w:t>. לאור האמור לעיל, מסקנתי כי סביר מאוד שהחתימה נשוא המחלוקת לא נכתבה על ידי כותב  הדוגמאות בשם י</w:t>
      </w:r>
      <w:r w:rsidR="000F2C29">
        <w:rPr>
          <w:rFonts w:ascii="David" w:hAnsi="David" w:hint="cs"/>
          <w:b/>
          <w:bCs/>
          <w:rtl/>
        </w:rPr>
        <w:t>.</w:t>
      </w:r>
      <w:r>
        <w:rPr>
          <w:rFonts w:ascii="David" w:hAnsi="David"/>
          <w:b/>
          <w:bCs/>
          <w:rtl/>
        </w:rPr>
        <w:t>ו</w:t>
      </w:r>
      <w:r w:rsidR="000F2C29">
        <w:rPr>
          <w:rFonts w:ascii="David" w:hAnsi="David" w:hint="cs"/>
          <w:b/>
          <w:bCs/>
          <w:rtl/>
        </w:rPr>
        <w:t>.</w:t>
      </w:r>
      <w:r>
        <w:rPr>
          <w:rFonts w:ascii="David" w:hAnsi="David"/>
          <w:b/>
          <w:bCs/>
          <w:rtl/>
        </w:rPr>
        <w:t>. 4. לא אוכל לחוות דעה החלטית יותר בהעדר המסמך המקורי. 5. מסקנתי הינה בדרגה 6 מתוך מסמך "נוסחים של חוות דעת מומחה לבדיקת כתבי יד ופירושיהם המצורף לחוות דעתי</w:t>
      </w:r>
      <w:r>
        <w:rPr>
          <w:rFonts w:ascii="David" w:hAnsi="David"/>
          <w:rtl/>
        </w:rPr>
        <w:t>".</w:t>
      </w:r>
    </w:p>
    <w:p w:rsidR="00622D9A" w:rsidRDefault="00622D9A" w:rsidP="00622D9A">
      <w:pPr>
        <w:spacing w:line="360" w:lineRule="auto"/>
        <w:ind w:left="1440"/>
        <w:jc w:val="both"/>
        <w:rPr>
          <w:rFonts w:ascii="David" w:hAnsi="David"/>
          <w:rtl/>
        </w:rPr>
      </w:pPr>
      <w:r>
        <w:rPr>
          <w:rFonts w:ascii="David" w:hAnsi="David"/>
          <w:rtl/>
        </w:rPr>
        <w:t>על פי המבואר בעניין דרגה 6 פירושה "</w:t>
      </w:r>
      <w:r>
        <w:rPr>
          <w:rFonts w:ascii="David" w:hAnsi="David"/>
          <w:b/>
          <w:bCs/>
          <w:rtl/>
        </w:rPr>
        <w:t>המומחה מצא ניגודים בסיסיים בין הכתב שבמחלוקת לבין הכתב בדוגמאות שהיו ברשותו, ולדעתו נדחית האפשרות שכותב הדוגמאות הוא אשר כתב את הכתב שבמחלוקת. עם זאת, המומחה אינו יכול, במקרה זה, לקבוע באופן מוחלט את שלילת הזיהוי, מאחר והוא מתבסס רק על הדוגמאות שקיבל ואינו רואה כל אפשרויות הכתיבה של הכותב</w:t>
      </w:r>
      <w:r>
        <w:rPr>
          <w:rFonts w:ascii="David" w:hAnsi="David"/>
          <w:rtl/>
        </w:rPr>
        <w:t xml:space="preserve">". </w:t>
      </w:r>
    </w:p>
    <w:p w:rsidR="00622D9A" w:rsidRDefault="00622D9A" w:rsidP="00622D9A">
      <w:pPr>
        <w:spacing w:line="360" w:lineRule="auto"/>
        <w:ind w:left="1440"/>
        <w:jc w:val="both"/>
        <w:rPr>
          <w:rFonts w:ascii="David" w:hAnsi="David"/>
          <w:rtl/>
        </w:rPr>
      </w:pPr>
      <w:r>
        <w:rPr>
          <w:rFonts w:ascii="David" w:hAnsi="David"/>
          <w:rtl/>
        </w:rPr>
        <w:t xml:space="preserve">  </w:t>
      </w:r>
    </w:p>
    <w:p w:rsidR="00622D9A" w:rsidRDefault="00622D9A" w:rsidP="000F2C29">
      <w:pPr>
        <w:spacing w:line="360" w:lineRule="auto"/>
        <w:ind w:left="1440" w:hanging="720"/>
        <w:jc w:val="both"/>
        <w:rPr>
          <w:rFonts w:ascii="David" w:hAnsi="David"/>
          <w:rtl/>
        </w:rPr>
      </w:pPr>
      <w:r>
        <w:rPr>
          <w:rFonts w:ascii="David" w:hAnsi="David"/>
          <w:rtl/>
        </w:rPr>
        <w:t>ה.</w:t>
      </w:r>
      <w:r>
        <w:rPr>
          <w:rFonts w:ascii="David" w:hAnsi="David"/>
          <w:rtl/>
        </w:rPr>
        <w:tab/>
        <w:t>ביום 25.1.2024 התקיים דיון נוסף. בהחלטתי העוקבת לדיון מיום 11.2.2024 הוריתי על ביטול ה-יכ"מ, מיניתי את "המרכז הישראלי לאפוטרופסות" כאפוטרופוס לרכושו של מר ו</w:t>
      </w:r>
      <w:r w:rsidR="000F2C29">
        <w:rPr>
          <w:rFonts w:ascii="David" w:hAnsi="David" w:hint="cs"/>
          <w:rtl/>
        </w:rPr>
        <w:t>.</w:t>
      </w:r>
      <w:r>
        <w:rPr>
          <w:rFonts w:ascii="David" w:hAnsi="David"/>
          <w:rtl/>
        </w:rPr>
        <w:t>, הוזמן תסקיר של האגף לשירותים חברתיים בעיריית קריית גת  באשר לשאלת מינוי אפוטרופוס לגופו של מר ו</w:t>
      </w:r>
      <w:r w:rsidR="000F2C29">
        <w:rPr>
          <w:rFonts w:ascii="David" w:hAnsi="David" w:hint="cs"/>
          <w:rtl/>
        </w:rPr>
        <w:t>.</w:t>
      </w:r>
      <w:r>
        <w:rPr>
          <w:rFonts w:ascii="David" w:hAnsi="David"/>
          <w:rtl/>
        </w:rPr>
        <w:t xml:space="preserve">  ודחיתי את בקשת התובעות לקיים  דיון הוכחות בשאלות שהועלו על  ידן והקשורות לנסיבות חתימתו הנחזית של מר ו</w:t>
      </w:r>
      <w:r w:rsidR="000F2C29">
        <w:rPr>
          <w:rFonts w:ascii="David" w:hAnsi="David" w:hint="cs"/>
          <w:rtl/>
        </w:rPr>
        <w:t>.</w:t>
      </w:r>
      <w:r>
        <w:rPr>
          <w:rFonts w:ascii="David" w:hAnsi="David"/>
          <w:rtl/>
        </w:rPr>
        <w:t xml:space="preserve"> על ה-יכ"מ. </w:t>
      </w:r>
    </w:p>
    <w:p w:rsidR="000F2C29" w:rsidRDefault="000F2C29" w:rsidP="00622D9A">
      <w:pPr>
        <w:spacing w:line="360" w:lineRule="auto"/>
        <w:ind w:left="1440" w:hanging="720"/>
        <w:jc w:val="both"/>
        <w:rPr>
          <w:rFonts w:ascii="David" w:hAnsi="David"/>
          <w:rtl/>
        </w:rPr>
      </w:pPr>
    </w:p>
    <w:p w:rsidR="00622D9A" w:rsidRDefault="00622D9A" w:rsidP="00622D9A">
      <w:pPr>
        <w:spacing w:line="360" w:lineRule="auto"/>
        <w:ind w:left="1440" w:hanging="720"/>
        <w:jc w:val="both"/>
        <w:rPr>
          <w:rFonts w:ascii="David" w:hAnsi="David"/>
          <w:rtl/>
        </w:rPr>
      </w:pPr>
      <w:r>
        <w:rPr>
          <w:rFonts w:ascii="David" w:hAnsi="David"/>
          <w:rtl/>
        </w:rPr>
        <w:t>ו.</w:t>
      </w:r>
      <w:r>
        <w:rPr>
          <w:rFonts w:ascii="David" w:hAnsi="David"/>
          <w:rtl/>
        </w:rPr>
        <w:tab/>
        <w:t>התובעות הגישו על ההחלטה ערעור לבית המשפט המחוזי  (</w:t>
      </w:r>
      <w:r>
        <w:rPr>
          <w:rFonts w:ascii="David" w:hAnsi="David"/>
          <w:u w:val="single"/>
          <w:rtl/>
        </w:rPr>
        <w:t>עמ"ש (ב"ש) 1935-03-24</w:t>
      </w:r>
      <w:r>
        <w:rPr>
          <w:rFonts w:ascii="David" w:hAnsi="David"/>
          <w:rtl/>
        </w:rPr>
        <w:t>). ביום 18.9.2024 ניתן פס"ד של ההרכב ובזו הלשון בשאלה הקשורה בענייננו:</w:t>
      </w:r>
    </w:p>
    <w:p w:rsidR="00622D9A" w:rsidRDefault="00622D9A" w:rsidP="00622D9A">
      <w:pPr>
        <w:spacing w:line="360" w:lineRule="auto"/>
        <w:ind w:left="1440"/>
        <w:jc w:val="both"/>
        <w:rPr>
          <w:rFonts w:ascii="David" w:hAnsi="David"/>
          <w:b/>
          <w:bCs/>
          <w:rtl/>
        </w:rPr>
      </w:pPr>
      <w:r>
        <w:rPr>
          <w:rFonts w:ascii="David" w:hAnsi="David"/>
          <w:rtl/>
        </w:rPr>
        <w:lastRenderedPageBreak/>
        <w:t xml:space="preserve">" </w:t>
      </w:r>
      <w:r>
        <w:rPr>
          <w:rFonts w:ascii="David" w:hAnsi="David"/>
          <w:b/>
          <w:bCs/>
          <w:rtl/>
        </w:rPr>
        <w:t xml:space="preserve">לאחר עיון בכתבי הטענות ולאחר שמיעת טיעונים משלימים, החלטנו, לגבי טענת הליבה הנוגעת לביטול היכ"מ, ולהיעדר בירור בהליך הוכחות ובפסק דין מנומק לנדון, לדחות את הערעור. </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b/>
          <w:bCs/>
          <w:rtl/>
        </w:rPr>
      </w:pPr>
      <w:r>
        <w:rPr>
          <w:rFonts w:ascii="David" w:hAnsi="David"/>
          <w:b/>
          <w:bCs/>
          <w:rtl/>
        </w:rPr>
        <w:t xml:space="preserve">כאשר הועמדה בספק אותנטיות חתימת הממנה, והאפוטרופה לדין הביאה לבית המשפט מפי הממנה את כפירתו בחתימה, וכאשר המשיבות לא עמדו עוד על המשך תוקפו של ייפוי הכוח ולא עמדו על בירור אותנטיות החתימה ובכך הסעד המרכזי בתובענת המערערות כבר לא היה טעון ליבון, אין בנמצא בעצם ייפוי כוח שצריך היה להתעמק בנסיבות עריכתו, לא כל שכן בתכניו. </w:t>
      </w:r>
    </w:p>
    <w:p w:rsidR="00622D9A" w:rsidRDefault="00622D9A" w:rsidP="00622D9A">
      <w:pPr>
        <w:spacing w:line="360" w:lineRule="auto"/>
        <w:ind w:left="1440"/>
        <w:jc w:val="both"/>
        <w:rPr>
          <w:rFonts w:ascii="David" w:hAnsi="David"/>
          <w:b/>
          <w:bCs/>
        </w:rPr>
      </w:pPr>
    </w:p>
    <w:p w:rsidR="00622D9A" w:rsidRDefault="00622D9A" w:rsidP="00622D9A">
      <w:pPr>
        <w:spacing w:line="360" w:lineRule="auto"/>
        <w:ind w:left="1440"/>
        <w:jc w:val="both"/>
        <w:rPr>
          <w:rFonts w:ascii="David" w:hAnsi="David"/>
          <w:b/>
          <w:bCs/>
          <w:rtl/>
        </w:rPr>
      </w:pPr>
      <w:r>
        <w:rPr>
          <w:rFonts w:ascii="David" w:hAnsi="David"/>
          <w:b/>
          <w:bCs/>
          <w:rtl/>
        </w:rPr>
        <w:t>משכך – כאשר בית המשפט לא נזקק לקיום הליך נוסף ולמתן פסק דין מנומק לגופן של טענות אחרות שהועלו, אין בכך פגם ואין בכך עילה לערעור."</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720" w:firstLine="720"/>
        <w:jc w:val="both"/>
        <w:rPr>
          <w:rFonts w:ascii="David" w:hAnsi="David"/>
          <w:b/>
          <w:bCs/>
          <w:rtl/>
        </w:rPr>
      </w:pPr>
      <w:r>
        <w:rPr>
          <w:rFonts w:ascii="David" w:hAnsi="David"/>
          <w:b/>
          <w:bCs/>
          <w:rtl/>
        </w:rPr>
        <w:t xml:space="preserve">שתי טענות נוספות בערעור, מצאנו בהן ממש. </w:t>
      </w:r>
    </w:p>
    <w:p w:rsidR="00622D9A" w:rsidRDefault="00622D9A" w:rsidP="00622D9A">
      <w:pPr>
        <w:spacing w:line="360" w:lineRule="auto"/>
        <w:ind w:left="720" w:firstLine="720"/>
        <w:jc w:val="both"/>
        <w:rPr>
          <w:rFonts w:ascii="David" w:hAnsi="David"/>
          <w:b/>
          <w:bCs/>
          <w:rtl/>
        </w:rPr>
      </w:pPr>
    </w:p>
    <w:p w:rsidR="00622D9A" w:rsidRDefault="00622D9A" w:rsidP="000F2C29">
      <w:pPr>
        <w:spacing w:line="360" w:lineRule="auto"/>
        <w:ind w:left="1440"/>
        <w:jc w:val="both"/>
        <w:rPr>
          <w:rFonts w:ascii="David" w:hAnsi="David"/>
          <w:b/>
          <w:bCs/>
          <w:rtl/>
        </w:rPr>
      </w:pPr>
      <w:r>
        <w:rPr>
          <w:rFonts w:ascii="David" w:hAnsi="David"/>
          <w:b/>
          <w:bCs/>
          <w:rtl/>
        </w:rPr>
        <w:t>בנוגע למיהות האפוטרופוס לרכוש של מר ו</w:t>
      </w:r>
      <w:r w:rsidR="000F2C29">
        <w:rPr>
          <w:rFonts w:ascii="David" w:hAnsi="David" w:hint="cs"/>
          <w:b/>
          <w:bCs/>
          <w:rtl/>
        </w:rPr>
        <w:t>.</w:t>
      </w:r>
      <w:r>
        <w:rPr>
          <w:rFonts w:ascii="David" w:hAnsi="David"/>
          <w:b/>
          <w:bCs/>
          <w:rtl/>
        </w:rPr>
        <w:t xml:space="preserve">, האם ניתן למנות את המערערות או מי מהן, וככל שיש למנות גוף חיצוני האם המרכז לאפוטרופסות מתאים לכך לאור התנגדות המערערות שפורטה במסמך נספח 26 לערעור, וכאשר שם התבקש למנות את עמותת "גג לחוסה ולנזקק", הרי, סוגיה זו לא נדונה לגופה, והחלטת בית המשפט קמא למנות את המרכז לאפוטרופסות, אינה מנומקת, שעה שכאמור אין הסכמה כללית למינוי ספציפי זה. </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b/>
          <w:bCs/>
          <w:rtl/>
        </w:rPr>
      </w:pPr>
      <w:r>
        <w:rPr>
          <w:rFonts w:ascii="David" w:hAnsi="David"/>
          <w:b/>
          <w:bCs/>
          <w:rtl/>
        </w:rPr>
        <w:lastRenderedPageBreak/>
        <w:t xml:space="preserve">במישור האמור, יהא על בית המשפט לענייני משפחה להיזקק לנושא זה ולהכריע בו, לפי הוראות דיוניות שימצא לנכון לתת, ואין הוא כבול בקביעה הנוכחית הנוגעת למינוי המרכז לאפוטרופסות. </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b/>
          <w:bCs/>
          <w:rtl/>
        </w:rPr>
      </w:pPr>
      <w:r>
        <w:rPr>
          <w:rFonts w:ascii="David" w:hAnsi="David"/>
          <w:b/>
          <w:bCs/>
          <w:rtl/>
        </w:rPr>
        <w:t xml:space="preserve">טענה נוספת שיש בה ממש, היא לאי פסיקת הוצאות בהליך קמא. בשלב מסוים, אמנם המשיבות הודיעו שאינן עומדות על הכרעה בטענות הנוגעות ליכ"מ, ובפועל הסכימו שתוצהר בטלותו או ביטולו. היה זה לאחר שכבר מונה מומחה לכתבי יד, ולאחר הליך די ממושך שנעשה לאחר הגשת כתב התביעה אשר ביטול היכ"מ, היה הסעד המרכזי שהתבקש בגדרו. ראוי היה לחייב המשיבות בהוצאות ההליך, ומשהדבר לא נעשה, בנקודה זו ראינו לקבל הערעור ולחייב המשיבות בהוצאות המערערות, בסכום של 20,000 ₪. </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b/>
          <w:bCs/>
          <w:rtl/>
        </w:rPr>
      </w:pPr>
      <w:r>
        <w:rPr>
          <w:rFonts w:ascii="David" w:hAnsi="David"/>
          <w:b/>
          <w:bCs/>
          <w:rtl/>
        </w:rPr>
        <w:t>בטרם סיום נבקש להעיר, כי המאבק המשפטי שמנהלות המערערות, ספק עד כמה הוא משרת את תכלית החוק שהיא הגנה על טובתו והאינטרסים של אביהן. המערערות מבטלות בבוז את עמדת האפוטרופוס לדין על כך שהמשך המאבק המשפטי גורם לאב סבל. יש לקוות כי יקדישו לדברים מחשבה נוספת, ויתעלו את ההליכים המשפטיים, כך שטובת האב ורווחתו יעמדו במרכזם.</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b/>
          <w:bCs/>
          <w:rtl/>
        </w:rPr>
      </w:pPr>
      <w:r>
        <w:rPr>
          <w:rFonts w:ascii="David" w:hAnsi="David"/>
          <w:b/>
          <w:bCs/>
          <w:rtl/>
        </w:rPr>
        <w:t xml:space="preserve">התוצאה בערעור היא שיהא כאמור לעיל על בית המשפט לענייני משפחה, להיזקק ולהכריע בעניין מיהות האפוטרופוס לרכוש, וכן חיוב המשיבות בהוצאות ההליך דלמטה, לפי האמור לעיל. </w:t>
      </w:r>
    </w:p>
    <w:p w:rsidR="00622D9A" w:rsidRDefault="00622D9A" w:rsidP="00622D9A">
      <w:pPr>
        <w:spacing w:line="360" w:lineRule="auto"/>
        <w:ind w:left="1440"/>
        <w:jc w:val="both"/>
        <w:rPr>
          <w:rFonts w:ascii="David" w:hAnsi="David"/>
          <w:b/>
          <w:bCs/>
          <w:rtl/>
        </w:rPr>
      </w:pPr>
    </w:p>
    <w:p w:rsidR="00622D9A" w:rsidRDefault="00622D9A" w:rsidP="00622D9A">
      <w:pPr>
        <w:spacing w:line="360" w:lineRule="auto"/>
        <w:ind w:left="1440"/>
        <w:jc w:val="both"/>
        <w:rPr>
          <w:rFonts w:ascii="David" w:hAnsi="David"/>
          <w:rtl/>
        </w:rPr>
      </w:pPr>
      <w:r>
        <w:rPr>
          <w:rFonts w:ascii="David" w:hAnsi="David"/>
          <w:b/>
          <w:bCs/>
          <w:rtl/>
        </w:rPr>
        <w:t>משחלק מהערעור התקבל אך ליבתו נדחתה, לא נחייב איש מהצדדים בהוצאות הערעור הנוכחי</w:t>
      </w:r>
      <w:r>
        <w:rPr>
          <w:rFonts w:ascii="David" w:hAnsi="David"/>
          <w:rtl/>
        </w:rPr>
        <w:t>. ...".</w:t>
      </w:r>
    </w:p>
    <w:p w:rsidR="00622D9A" w:rsidRDefault="00622D9A" w:rsidP="00622D9A">
      <w:pPr>
        <w:spacing w:line="360" w:lineRule="auto"/>
        <w:ind w:left="1440"/>
        <w:jc w:val="both"/>
        <w:rPr>
          <w:rFonts w:ascii="David" w:hAnsi="David"/>
          <w:rtl/>
        </w:rPr>
      </w:pPr>
    </w:p>
    <w:p w:rsidR="00622D9A" w:rsidRDefault="00622D9A" w:rsidP="00622D9A">
      <w:pPr>
        <w:spacing w:line="360" w:lineRule="auto"/>
        <w:rPr>
          <w:rFonts w:ascii="David" w:hAnsi="David"/>
          <w:b/>
          <w:bCs/>
          <w:rtl/>
        </w:rPr>
      </w:pPr>
      <w:r>
        <w:rPr>
          <w:rFonts w:ascii="David" w:hAnsi="David"/>
          <w:b/>
          <w:bCs/>
          <w:u w:val="single"/>
          <w:rtl/>
        </w:rPr>
        <w:lastRenderedPageBreak/>
        <w:t>כתב התביעה</w:t>
      </w:r>
      <w:r>
        <w:rPr>
          <w:rFonts w:ascii="David" w:hAnsi="David"/>
          <w:b/>
          <w:bCs/>
          <w:rtl/>
        </w:rPr>
        <w:t>:</w:t>
      </w:r>
    </w:p>
    <w:p w:rsidR="00622D9A" w:rsidRDefault="00622D9A" w:rsidP="00622D9A">
      <w:pPr>
        <w:spacing w:line="360" w:lineRule="auto"/>
        <w:rPr>
          <w:rFonts w:ascii="David" w:hAnsi="David"/>
          <w:b/>
          <w:bCs/>
          <w:rtl/>
        </w:rPr>
      </w:pPr>
    </w:p>
    <w:p w:rsidR="00622D9A" w:rsidRDefault="00622D9A" w:rsidP="00622D9A">
      <w:pPr>
        <w:spacing w:line="360" w:lineRule="auto"/>
        <w:ind w:left="720" w:hanging="720"/>
        <w:jc w:val="both"/>
        <w:rPr>
          <w:rFonts w:ascii="David" w:hAnsi="David"/>
          <w:rtl/>
        </w:rPr>
      </w:pPr>
      <w:r>
        <w:rPr>
          <w:rFonts w:ascii="David" w:hAnsi="David"/>
          <w:rtl/>
        </w:rPr>
        <w:t>3.</w:t>
      </w:r>
      <w:r>
        <w:rPr>
          <w:rFonts w:ascii="David" w:hAnsi="David"/>
          <w:rtl/>
        </w:rPr>
        <w:tab/>
        <w:t>בקציר האומר יאמר שבכתב תביעתן טענו התובעות את הדברים הבאים:</w:t>
      </w:r>
    </w:p>
    <w:p w:rsidR="00622D9A" w:rsidRDefault="00622D9A" w:rsidP="00622D9A">
      <w:pPr>
        <w:spacing w:line="360" w:lineRule="auto"/>
        <w:ind w:left="720" w:hanging="720"/>
        <w:jc w:val="both"/>
        <w:rPr>
          <w:rFonts w:ascii="David" w:hAnsi="David"/>
          <w:rtl/>
        </w:rPr>
      </w:pPr>
    </w:p>
    <w:p w:rsidR="00622D9A" w:rsidRPr="000A4009" w:rsidRDefault="00622D9A" w:rsidP="000F2C29">
      <w:pPr>
        <w:spacing w:line="360" w:lineRule="auto"/>
        <w:ind w:left="1440" w:hanging="720"/>
        <w:jc w:val="both"/>
        <w:rPr>
          <w:rFonts w:ascii="David" w:hAnsi="David"/>
          <w:rtl/>
        </w:rPr>
      </w:pPr>
      <w:r w:rsidRPr="000A4009">
        <w:rPr>
          <w:rFonts w:ascii="David" w:hAnsi="David"/>
          <w:rtl/>
        </w:rPr>
        <w:t>א.</w:t>
      </w:r>
      <w:r>
        <w:rPr>
          <w:rFonts w:ascii="David" w:hAnsi="David"/>
          <w:rtl/>
        </w:rPr>
        <w:tab/>
      </w:r>
      <w:r w:rsidRPr="000A4009">
        <w:rPr>
          <w:rFonts w:ascii="David" w:hAnsi="David"/>
          <w:rtl/>
        </w:rPr>
        <w:t xml:space="preserve">במסגרת תיק </w:t>
      </w:r>
      <w:r w:rsidRPr="000A4009">
        <w:rPr>
          <w:rFonts w:ascii="David" w:hAnsi="David"/>
          <w:u w:val="single"/>
          <w:rtl/>
        </w:rPr>
        <w:t>א"פ 4901810-22</w:t>
      </w:r>
      <w:r w:rsidRPr="000A4009">
        <w:rPr>
          <w:rFonts w:ascii="David" w:hAnsi="David"/>
          <w:rtl/>
        </w:rPr>
        <w:t xml:space="preserve"> בוטל ה-יכ"מ  שנחזה להיות ייפוי כוח שנחתם על ידי מר ו</w:t>
      </w:r>
      <w:r w:rsidR="000F2C29">
        <w:rPr>
          <w:rFonts w:ascii="David" w:hAnsi="David" w:hint="cs"/>
          <w:rtl/>
        </w:rPr>
        <w:t>.</w:t>
      </w:r>
      <w:r w:rsidRPr="000A4009">
        <w:rPr>
          <w:rFonts w:ascii="David" w:hAnsi="David"/>
          <w:rtl/>
        </w:rPr>
        <w:t xml:space="preserve"> בו מינה את הנתבעות כממונות על ענייניו הרכושיים, האישיים והרפואיים. </w:t>
      </w:r>
    </w:p>
    <w:p w:rsidR="00622D9A" w:rsidRPr="000A4009" w:rsidRDefault="00622D9A" w:rsidP="00622D9A">
      <w:pPr>
        <w:ind w:left="1440" w:hanging="720"/>
        <w:rPr>
          <w:rtl/>
        </w:rPr>
      </w:pPr>
    </w:p>
    <w:p w:rsidR="00622D9A" w:rsidRDefault="00622D9A" w:rsidP="000F2C29">
      <w:pPr>
        <w:spacing w:line="360" w:lineRule="auto"/>
        <w:ind w:left="1440" w:hanging="720"/>
        <w:jc w:val="both"/>
        <w:rPr>
          <w:rFonts w:ascii="David" w:hAnsi="David"/>
          <w:rtl/>
        </w:rPr>
      </w:pPr>
      <w:r>
        <w:rPr>
          <w:rFonts w:ascii="David" w:hAnsi="David"/>
          <w:rtl/>
        </w:rPr>
        <w:t>ב.</w:t>
      </w:r>
      <w:r>
        <w:rPr>
          <w:rFonts w:ascii="David" w:hAnsi="David"/>
          <w:rtl/>
        </w:rPr>
        <w:tab/>
        <w:t>מאז חודש 09/2020 וביתר שאת מאז כניסתו לתוקף של ה-יכ"מ החלו הנתבעות לנהוג בכספי מר ו</w:t>
      </w:r>
      <w:r w:rsidR="000F2C29">
        <w:rPr>
          <w:rFonts w:ascii="David" w:hAnsi="David" w:hint="cs"/>
          <w:rtl/>
        </w:rPr>
        <w:t>.</w:t>
      </w:r>
      <w:r>
        <w:rPr>
          <w:rFonts w:ascii="David" w:hAnsi="David"/>
          <w:rtl/>
        </w:rPr>
        <w:t xml:space="preserve"> כבשלהן, תוך עשיית מעשי מרמה, זיוף וניצול חמורים ובניגוד לחוק. הנתבעות המשיכו לעשות כן גם לאחר שהיכ"מ  הוקפא זמנית עד לבירור נסיבות עריכתו והחתימה עליו. לאור ההחלטה על ביטול ה-יכ"מ ביקשו מבית המשפט "...</w:t>
      </w:r>
      <w:r>
        <w:rPr>
          <w:rFonts w:ascii="David" w:hAnsi="David"/>
          <w:b/>
          <w:bCs/>
          <w:rtl/>
        </w:rPr>
        <w:t>להורות לנתבעות להשיב את  כל הכספים והרכוש שהעבירו ונטלו הנתבעות מחשבונו של מר ו</w:t>
      </w:r>
      <w:r w:rsidR="000F2C29">
        <w:rPr>
          <w:rFonts w:ascii="David" w:hAnsi="David" w:hint="cs"/>
          <w:b/>
          <w:bCs/>
          <w:rtl/>
        </w:rPr>
        <w:t>.</w:t>
      </w:r>
      <w:r>
        <w:rPr>
          <w:rFonts w:ascii="David" w:hAnsi="David"/>
          <w:b/>
          <w:bCs/>
          <w:rtl/>
        </w:rPr>
        <w:t xml:space="preserve"> החל מחודש 09/20 לרבות הרכוש שירש מאשתו המנוחה ז"ל ולרבות לאורך התקופה בה שימשו כממונות על-פי היכ"מ שבוטל</w:t>
      </w:r>
      <w:r>
        <w:rPr>
          <w:rFonts w:ascii="David" w:hAnsi="David"/>
          <w:rtl/>
        </w:rPr>
        <w:t>..." (ס' 11).</w:t>
      </w:r>
    </w:p>
    <w:p w:rsidR="000F2C29" w:rsidRDefault="000F2C29" w:rsidP="000F2C29">
      <w:pPr>
        <w:spacing w:line="360" w:lineRule="auto"/>
        <w:ind w:left="1440" w:hanging="720"/>
        <w:jc w:val="both"/>
        <w:rPr>
          <w:rFonts w:ascii="David" w:hAnsi="David"/>
          <w:rtl/>
        </w:rPr>
      </w:pPr>
    </w:p>
    <w:p w:rsidR="00622D9A" w:rsidRDefault="00622D9A" w:rsidP="000F2C29">
      <w:pPr>
        <w:spacing w:line="360" w:lineRule="auto"/>
        <w:ind w:left="1440" w:hanging="720"/>
        <w:jc w:val="both"/>
        <w:rPr>
          <w:rFonts w:ascii="David" w:hAnsi="David"/>
          <w:rtl/>
        </w:rPr>
      </w:pPr>
      <w:r>
        <w:rPr>
          <w:rFonts w:ascii="David" w:hAnsi="David"/>
          <w:rtl/>
        </w:rPr>
        <w:t>ג.</w:t>
      </w:r>
      <w:r>
        <w:rPr>
          <w:rFonts w:ascii="David" w:hAnsi="David"/>
          <w:rtl/>
        </w:rPr>
        <w:tab/>
        <w:t>בהמשך תביעתן הרחיבו התובעות בתיאורים מחיי המשפחה, נסיבות ביטולו של ה-יכ"מ וכן פרטו את הרכוש שלטעמן נטלו הנתבעות שלא כדין מרכושו של אביהן, מר ו.</w:t>
      </w:r>
    </w:p>
    <w:p w:rsidR="00622D9A" w:rsidRDefault="00622D9A" w:rsidP="00622D9A">
      <w:pPr>
        <w:spacing w:line="360" w:lineRule="auto"/>
        <w:ind w:left="1440" w:hanging="720"/>
        <w:jc w:val="both"/>
        <w:rPr>
          <w:rFonts w:ascii="David" w:hAnsi="David"/>
          <w:rtl/>
        </w:rPr>
      </w:pPr>
    </w:p>
    <w:p w:rsidR="00622D9A" w:rsidRDefault="00622D9A" w:rsidP="00622D9A">
      <w:pPr>
        <w:spacing w:line="360" w:lineRule="auto"/>
        <w:ind w:left="1440" w:hanging="1305"/>
        <w:jc w:val="both"/>
        <w:rPr>
          <w:rFonts w:ascii="David" w:hAnsi="David"/>
          <w:b/>
          <w:bCs/>
          <w:rtl/>
        </w:rPr>
      </w:pPr>
      <w:r>
        <w:rPr>
          <w:rFonts w:ascii="David" w:hAnsi="David"/>
          <w:b/>
          <w:bCs/>
          <w:u w:val="single"/>
          <w:rtl/>
        </w:rPr>
        <w:t>הבקשה לסילוק על הסף</w:t>
      </w:r>
      <w:r>
        <w:rPr>
          <w:rFonts w:ascii="David" w:hAnsi="David"/>
          <w:b/>
          <w:bCs/>
          <w:rtl/>
        </w:rPr>
        <w:t>:</w:t>
      </w:r>
    </w:p>
    <w:p w:rsidR="00622D9A" w:rsidRDefault="00622D9A" w:rsidP="00622D9A">
      <w:pPr>
        <w:spacing w:line="360" w:lineRule="auto"/>
        <w:ind w:left="1440" w:hanging="1305"/>
        <w:jc w:val="both"/>
        <w:rPr>
          <w:rFonts w:ascii="David" w:hAnsi="David"/>
          <w:b/>
          <w:bCs/>
          <w:rtl/>
        </w:rPr>
      </w:pPr>
    </w:p>
    <w:p w:rsidR="00622D9A" w:rsidRDefault="00622D9A" w:rsidP="00622D9A">
      <w:pPr>
        <w:spacing w:line="360" w:lineRule="auto"/>
        <w:ind w:left="702" w:hanging="567"/>
        <w:jc w:val="both"/>
        <w:rPr>
          <w:rFonts w:ascii="David" w:hAnsi="David"/>
          <w:rtl/>
        </w:rPr>
      </w:pPr>
      <w:r>
        <w:rPr>
          <w:rFonts w:ascii="David" w:hAnsi="David"/>
          <w:rtl/>
        </w:rPr>
        <w:t>4.</w:t>
      </w:r>
      <w:r>
        <w:rPr>
          <w:rFonts w:ascii="David" w:hAnsi="David"/>
          <w:rtl/>
        </w:rPr>
        <w:tab/>
      </w:r>
      <w:r>
        <w:rPr>
          <w:rFonts w:ascii="David" w:hAnsi="David"/>
          <w:u w:val="single"/>
          <w:rtl/>
        </w:rPr>
        <w:t>בבקשתן טענו  המבקשות</w:t>
      </w:r>
      <w:r>
        <w:rPr>
          <w:rFonts w:ascii="David" w:hAnsi="David"/>
          <w:rtl/>
        </w:rPr>
        <w:t>:</w:t>
      </w:r>
    </w:p>
    <w:p w:rsidR="00622D9A" w:rsidRDefault="00622D9A" w:rsidP="00622D9A">
      <w:pPr>
        <w:spacing w:line="360" w:lineRule="auto"/>
        <w:ind w:left="702" w:hanging="567"/>
        <w:jc w:val="both"/>
        <w:rPr>
          <w:rFonts w:ascii="David" w:hAnsi="David"/>
          <w:rtl/>
        </w:rPr>
      </w:pPr>
    </w:p>
    <w:p w:rsidR="00622D9A" w:rsidRPr="000A4009" w:rsidRDefault="00622D9A" w:rsidP="000F2C29">
      <w:pPr>
        <w:spacing w:line="360" w:lineRule="auto"/>
        <w:ind w:left="1437" w:hanging="735"/>
        <w:jc w:val="both"/>
        <w:rPr>
          <w:rFonts w:ascii="David" w:hAnsi="David"/>
          <w:rtl/>
        </w:rPr>
      </w:pPr>
      <w:r w:rsidRPr="000A4009">
        <w:rPr>
          <w:rFonts w:ascii="David" w:hAnsi="David"/>
          <w:rtl/>
        </w:rPr>
        <w:t>א.</w:t>
      </w:r>
      <w:r>
        <w:rPr>
          <w:rFonts w:ascii="David" w:hAnsi="David"/>
          <w:rtl/>
        </w:rPr>
        <w:tab/>
      </w:r>
      <w:r w:rsidRPr="000A4009">
        <w:rPr>
          <w:rFonts w:ascii="David" w:hAnsi="David"/>
          <w:rtl/>
        </w:rPr>
        <w:t>דין התביעה להידחות על הסף שכן לתובעות אין בכלל זכות תביעה מאחר ומר ו</w:t>
      </w:r>
      <w:r w:rsidR="000F2C29">
        <w:rPr>
          <w:rFonts w:ascii="David" w:hAnsi="David" w:hint="cs"/>
          <w:rtl/>
        </w:rPr>
        <w:t>.</w:t>
      </w:r>
      <w:r w:rsidRPr="000A4009">
        <w:rPr>
          <w:rFonts w:ascii="David" w:hAnsi="David"/>
          <w:rtl/>
        </w:rPr>
        <w:t xml:space="preserve"> עדיין בחיים והוא זה שאמור לרשת את רעייתו המנוחה גב' י</w:t>
      </w:r>
      <w:r w:rsidR="000F2C29">
        <w:rPr>
          <w:rFonts w:ascii="David" w:hAnsi="David" w:hint="cs"/>
          <w:rtl/>
        </w:rPr>
        <w:t>.</w:t>
      </w:r>
      <w:r w:rsidRPr="000A4009">
        <w:rPr>
          <w:rFonts w:ascii="David" w:hAnsi="David"/>
          <w:rtl/>
        </w:rPr>
        <w:t xml:space="preserve">  מכוח צוואה הדדית שערכו בני הזוג ו</w:t>
      </w:r>
      <w:r w:rsidR="000F2C29">
        <w:rPr>
          <w:rFonts w:ascii="David" w:hAnsi="David" w:hint="cs"/>
          <w:rtl/>
        </w:rPr>
        <w:t>.</w:t>
      </w:r>
      <w:r w:rsidRPr="000A4009">
        <w:rPr>
          <w:rFonts w:ascii="David" w:hAnsi="David"/>
          <w:rtl/>
        </w:rPr>
        <w:t xml:space="preserve">. </w:t>
      </w:r>
    </w:p>
    <w:p w:rsidR="00622D9A" w:rsidRPr="000A4009" w:rsidRDefault="00622D9A" w:rsidP="00622D9A">
      <w:pPr>
        <w:ind w:left="1437" w:hanging="735"/>
        <w:rPr>
          <w:rtl/>
        </w:rPr>
      </w:pPr>
    </w:p>
    <w:p w:rsidR="00622D9A" w:rsidRDefault="00622D9A" w:rsidP="00622D9A">
      <w:pPr>
        <w:spacing w:line="360" w:lineRule="auto"/>
        <w:ind w:left="702" w:hanging="567"/>
        <w:jc w:val="both"/>
        <w:rPr>
          <w:rFonts w:ascii="David" w:hAnsi="David"/>
          <w:rtl/>
        </w:rPr>
      </w:pPr>
      <w:r>
        <w:rPr>
          <w:rFonts w:ascii="David" w:hAnsi="David"/>
          <w:rtl/>
        </w:rPr>
        <w:tab/>
        <w:t>ב.</w:t>
      </w:r>
      <w:r>
        <w:rPr>
          <w:rFonts w:ascii="David" w:hAnsi="David"/>
          <w:rtl/>
        </w:rPr>
        <w:tab/>
        <w:t xml:space="preserve">כאפוטרופא לדין לרכושו של מר </w:t>
      </w:r>
      <w:r w:rsidR="006361E1">
        <w:rPr>
          <w:rFonts w:ascii="David" w:hAnsi="David"/>
          <w:rtl/>
        </w:rPr>
        <w:t>ו.</w:t>
      </w:r>
      <w:r>
        <w:rPr>
          <w:rFonts w:ascii="David" w:hAnsi="David"/>
          <w:rtl/>
        </w:rPr>
        <w:t xml:space="preserve"> מונתה עו"ד טליה גיגי. </w:t>
      </w:r>
    </w:p>
    <w:p w:rsidR="00622D9A" w:rsidRDefault="00622D9A" w:rsidP="00622D9A">
      <w:pPr>
        <w:spacing w:line="360" w:lineRule="auto"/>
        <w:ind w:left="702" w:hanging="567"/>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w:t>
      </w:r>
      <w:r>
        <w:rPr>
          <w:rFonts w:ascii="David" w:hAnsi="David"/>
          <w:b/>
          <w:bCs/>
          <w:rtl/>
        </w:rPr>
        <w:t>כך שלא ברור מכוח איזו פרוצדורה משפטית ו/או בסיס משפטי המשיבות הגישו את התביעה נשוא בקשה זו?? שכן המבקשות אינן יורשות והמשיבות אינן יורשות ועל כן משמונתה עו"ד טליה גיגי אפוטרופסית לדין על האב, הרי שהיא הסמכות היחידה להחליט אם יש בסיס להגיש תובענה והיא המוסמכת להגיש את התובענה ועל כן דין התובענה להידחות על הסף</w:t>
      </w:r>
      <w:r>
        <w:rPr>
          <w:rFonts w:ascii="David" w:hAnsi="David"/>
          <w:rtl/>
        </w:rPr>
        <w:t xml:space="preserve">" (ס' 14).  </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hanging="738"/>
        <w:jc w:val="both"/>
        <w:rPr>
          <w:rFonts w:ascii="David" w:hAnsi="David"/>
          <w:rtl/>
        </w:rPr>
      </w:pPr>
      <w:r>
        <w:rPr>
          <w:rFonts w:ascii="David" w:hAnsi="David"/>
          <w:rtl/>
        </w:rPr>
        <w:t>ג.</w:t>
      </w:r>
      <w:r>
        <w:rPr>
          <w:rFonts w:ascii="David" w:hAnsi="David"/>
          <w:rtl/>
        </w:rPr>
        <w:tab/>
        <w:t>התביעה עומדת בסתירה לפסק הדין  שניתן ב-</w:t>
      </w:r>
      <w:r>
        <w:rPr>
          <w:rFonts w:ascii="David" w:hAnsi="David"/>
          <w:u w:val="single"/>
          <w:rtl/>
        </w:rPr>
        <w:t xml:space="preserve">עמ"ש  1935-03-24  </w:t>
      </w:r>
      <w:r>
        <w:rPr>
          <w:rFonts w:ascii="David" w:hAnsi="David"/>
          <w:rtl/>
        </w:rPr>
        <w:t>שם נקבע, בין היתר,  "</w:t>
      </w:r>
      <w:r>
        <w:rPr>
          <w:rFonts w:ascii="David" w:hAnsi="David"/>
          <w:b/>
          <w:bCs/>
          <w:rtl/>
        </w:rPr>
        <w:t>וכאשר המשיבות לא עמדו על המשך תוקפו של ייפוי הכוח ולא עמדו על בירור אותנטיות החתימה ובכך הסעד המרכזי בתובענת המערערות כבר לא היה טעון ליבון, אין בנמצא בעצם ייפוי כוח שצריך היה להתעמק בנסיבות עריכתו, לא כל שכן בתכניו</w:t>
      </w:r>
      <w:r>
        <w:rPr>
          <w:rFonts w:ascii="David" w:hAnsi="David"/>
          <w:rtl/>
        </w:rPr>
        <w:t xml:space="preserve">". </w:t>
      </w:r>
    </w:p>
    <w:p w:rsidR="00622D9A" w:rsidRDefault="00622D9A" w:rsidP="00622D9A">
      <w:pPr>
        <w:spacing w:line="360" w:lineRule="auto"/>
        <w:ind w:left="1440" w:hanging="738"/>
        <w:jc w:val="both"/>
        <w:rPr>
          <w:rFonts w:ascii="David" w:hAnsi="David"/>
          <w:rtl/>
        </w:rPr>
      </w:pPr>
    </w:p>
    <w:p w:rsidR="00622D9A" w:rsidRDefault="00622D9A" w:rsidP="00622D9A">
      <w:pPr>
        <w:spacing w:line="360" w:lineRule="auto"/>
        <w:ind w:left="-7"/>
        <w:jc w:val="both"/>
        <w:rPr>
          <w:rFonts w:ascii="David" w:hAnsi="David"/>
          <w:rtl/>
        </w:rPr>
      </w:pPr>
      <w:r>
        <w:rPr>
          <w:rFonts w:ascii="David" w:hAnsi="David"/>
          <w:rtl/>
        </w:rPr>
        <w:t>5.</w:t>
      </w:r>
      <w:r>
        <w:rPr>
          <w:rFonts w:ascii="David" w:hAnsi="David"/>
          <w:rtl/>
        </w:rPr>
        <w:tab/>
      </w:r>
      <w:r>
        <w:rPr>
          <w:rFonts w:ascii="David" w:hAnsi="David"/>
          <w:u w:val="single"/>
          <w:rtl/>
        </w:rPr>
        <w:t>בתגובתן טענו המשיבות</w:t>
      </w:r>
      <w:r>
        <w:rPr>
          <w:rFonts w:ascii="David" w:hAnsi="David"/>
          <w:rtl/>
        </w:rPr>
        <w:t>:</w:t>
      </w:r>
    </w:p>
    <w:p w:rsidR="00622D9A" w:rsidRDefault="00622D9A" w:rsidP="00622D9A">
      <w:pPr>
        <w:spacing w:line="360" w:lineRule="auto"/>
        <w:ind w:left="-7"/>
        <w:jc w:val="both"/>
        <w:rPr>
          <w:rFonts w:ascii="David" w:hAnsi="David"/>
          <w:rtl/>
        </w:rPr>
      </w:pPr>
    </w:p>
    <w:p w:rsidR="00622D9A" w:rsidRDefault="00622D9A" w:rsidP="00622D9A">
      <w:pPr>
        <w:spacing w:line="360" w:lineRule="auto"/>
        <w:ind w:left="1437" w:hanging="735"/>
        <w:jc w:val="both"/>
        <w:rPr>
          <w:rFonts w:ascii="David" w:hAnsi="David"/>
          <w:rtl/>
        </w:rPr>
      </w:pPr>
      <w:r>
        <w:rPr>
          <w:rFonts w:ascii="David" w:hAnsi="David"/>
          <w:rtl/>
        </w:rPr>
        <w:t>א.</w:t>
      </w:r>
      <w:r>
        <w:rPr>
          <w:rFonts w:ascii="David" w:hAnsi="David"/>
          <w:rtl/>
        </w:rPr>
        <w:tab/>
        <w:t>טענתן היחידה של המבקשות היא ביחס לזכות העמידה. "...</w:t>
      </w:r>
      <w:r>
        <w:rPr>
          <w:rFonts w:ascii="David" w:hAnsi="David"/>
          <w:b/>
          <w:bCs/>
          <w:rtl/>
        </w:rPr>
        <w:t>לא ברור מה הרלוונטיות שהאשל"א עדיין בחיים ולזכות העמידה של התובעות. שהרי הנתבעות בעצמן טוענות לאורך כל הדרך שהאב דמנטי ובלתי כשיר "אינו מסוגל להבין דבר" עד שנאלצו להפעיל את היכ"מ וביהמ"ש אף מינה לו אפוטרופסית לדין שלכאורה אמורה הייתה לדאוג לאינטרסים שלו ולענייניו המשפטיים</w:t>
      </w:r>
      <w:r>
        <w:rPr>
          <w:rFonts w:ascii="David" w:hAnsi="David"/>
          <w:rtl/>
        </w:rPr>
        <w:t>."  (ס' 10)</w:t>
      </w:r>
    </w:p>
    <w:p w:rsidR="00622D9A" w:rsidRDefault="00622D9A" w:rsidP="00622D9A">
      <w:pPr>
        <w:spacing w:line="360" w:lineRule="auto"/>
        <w:ind w:left="1437" w:hanging="735"/>
        <w:jc w:val="both"/>
        <w:rPr>
          <w:rFonts w:ascii="David" w:hAnsi="David"/>
          <w:rtl/>
        </w:rPr>
      </w:pPr>
      <w:r>
        <w:rPr>
          <w:rFonts w:ascii="David" w:hAnsi="David"/>
          <w:rtl/>
        </w:rPr>
        <w:t>ב.</w:t>
      </w:r>
      <w:r>
        <w:rPr>
          <w:rFonts w:ascii="David" w:hAnsi="David"/>
          <w:rtl/>
        </w:rPr>
        <w:tab/>
        <w:t>סילוק תביעה על הסף הוא צעד קיצוני שיש לקבלו רק במקרים נדירים וכאשר ברור שגם אם יוכחו הטענות בכתב התביעה "...</w:t>
      </w:r>
      <w:r>
        <w:rPr>
          <w:rFonts w:ascii="David" w:hAnsi="David"/>
          <w:b/>
          <w:bCs/>
          <w:rtl/>
        </w:rPr>
        <w:t>לא תקום אפשרות ולו קלושה, להעניק לתובע את הסעד בתביעתו</w:t>
      </w:r>
      <w:r>
        <w:rPr>
          <w:rFonts w:ascii="David" w:hAnsi="David"/>
          <w:rtl/>
        </w:rPr>
        <w:t xml:space="preserve">". </w:t>
      </w:r>
    </w:p>
    <w:p w:rsidR="00622D9A" w:rsidRDefault="00622D9A" w:rsidP="00622D9A">
      <w:pPr>
        <w:spacing w:line="360" w:lineRule="auto"/>
        <w:ind w:left="1437" w:hanging="735"/>
        <w:jc w:val="both"/>
        <w:rPr>
          <w:rFonts w:ascii="David" w:hAnsi="David"/>
          <w:rtl/>
        </w:rPr>
      </w:pPr>
    </w:p>
    <w:p w:rsidR="00622D9A" w:rsidRDefault="00622D9A" w:rsidP="00622D9A">
      <w:pPr>
        <w:spacing w:line="360" w:lineRule="auto"/>
        <w:ind w:left="1437" w:hanging="735"/>
        <w:jc w:val="both"/>
        <w:rPr>
          <w:rFonts w:ascii="David" w:hAnsi="David"/>
          <w:rtl/>
        </w:rPr>
      </w:pPr>
      <w:r>
        <w:rPr>
          <w:rFonts w:ascii="David" w:hAnsi="David" w:hint="cs"/>
          <w:rtl/>
        </w:rPr>
        <w:t>ג.</w:t>
      </w:r>
      <w:r>
        <w:rPr>
          <w:rFonts w:ascii="David" w:hAnsi="David"/>
          <w:rtl/>
        </w:rPr>
        <w:tab/>
        <w:t>התובעות התייחסו למעמדו של אפוטרופוס לדין וטענו שהמינוי הוא לצורך "...</w:t>
      </w:r>
      <w:r>
        <w:rPr>
          <w:rFonts w:ascii="David" w:hAnsi="David"/>
          <w:b/>
          <w:bCs/>
          <w:rtl/>
        </w:rPr>
        <w:t>ייצוג בהליך ספיציפי שאינו שולל זכויות של גורמים אחרים ומטרתו להבטיח ייצוג הולם</w:t>
      </w:r>
      <w:r>
        <w:rPr>
          <w:rFonts w:ascii="David" w:hAnsi="David"/>
          <w:rtl/>
        </w:rPr>
        <w:t>"  ועל כן אין לאפוטרופא לדין בלעדיות שכן "...</w:t>
      </w:r>
      <w:r>
        <w:rPr>
          <w:rFonts w:ascii="David" w:hAnsi="David"/>
          <w:b/>
          <w:bCs/>
          <w:rtl/>
        </w:rPr>
        <w:t>החוק מכיר במפורש בזכויות מקבילות, מינוי אפוטרופס לדין אינו שולל זכויות אחרות</w:t>
      </w:r>
      <w:r>
        <w:rPr>
          <w:rFonts w:ascii="David" w:hAnsi="David"/>
          <w:rtl/>
        </w:rPr>
        <w:t xml:space="preserve">" (ס'12). הדגישו שסמכויות האפוטרופוס הממונה הן סמכויות כלליות ועל כן אין כל מניעה בהגשת התביעה על ידי התובעות כשמונה למר </w:t>
      </w:r>
      <w:r w:rsidR="006361E1">
        <w:rPr>
          <w:rFonts w:ascii="David" w:hAnsi="David"/>
          <w:rtl/>
        </w:rPr>
        <w:t>ו.</w:t>
      </w:r>
      <w:r>
        <w:rPr>
          <w:rFonts w:ascii="David" w:hAnsi="David"/>
          <w:rtl/>
        </w:rPr>
        <w:t xml:space="preserve"> אפוטורופא לדין.  מינוי אפוטרופוס לדין אינו גורע מזכויות בני המשפחה. </w:t>
      </w:r>
    </w:p>
    <w:p w:rsidR="00622D9A" w:rsidRDefault="00622D9A" w:rsidP="00622D9A">
      <w:pPr>
        <w:spacing w:line="360" w:lineRule="auto"/>
        <w:ind w:left="1437" w:hanging="735"/>
        <w:jc w:val="both"/>
        <w:rPr>
          <w:rFonts w:ascii="David" w:hAnsi="David"/>
          <w:rtl/>
        </w:rPr>
      </w:pPr>
    </w:p>
    <w:p w:rsidR="00622D9A" w:rsidRDefault="00622D9A" w:rsidP="00622D9A">
      <w:pPr>
        <w:spacing w:line="360" w:lineRule="auto"/>
        <w:ind w:left="1437" w:hanging="735"/>
        <w:jc w:val="both"/>
        <w:rPr>
          <w:rFonts w:ascii="David" w:hAnsi="David"/>
          <w:rtl/>
        </w:rPr>
      </w:pPr>
      <w:r>
        <w:rPr>
          <w:rFonts w:ascii="David" w:hAnsi="David" w:hint="cs"/>
          <w:rtl/>
        </w:rPr>
        <w:t>ד</w:t>
      </w:r>
      <w:r>
        <w:rPr>
          <w:rFonts w:ascii="David" w:hAnsi="David"/>
          <w:rtl/>
        </w:rPr>
        <w:t>.</w:t>
      </w:r>
      <w:r>
        <w:rPr>
          <w:rFonts w:ascii="David" w:hAnsi="David"/>
          <w:rtl/>
        </w:rPr>
        <w:tab/>
        <w:t xml:space="preserve">ביחס למקרה שלפני טענו שהאפוטרופא לדין לא נקטה בצעדים לשמור על רכושו של מר </w:t>
      </w:r>
      <w:r w:rsidR="006361E1">
        <w:rPr>
          <w:rFonts w:ascii="David" w:hAnsi="David"/>
          <w:rtl/>
        </w:rPr>
        <w:t>ו.</w:t>
      </w:r>
      <w:r>
        <w:rPr>
          <w:rFonts w:ascii="David" w:hAnsi="David"/>
          <w:rtl/>
        </w:rPr>
        <w:t xml:space="preserve"> (ס' 15).</w:t>
      </w:r>
    </w:p>
    <w:p w:rsidR="00622D9A" w:rsidRDefault="00622D9A" w:rsidP="00622D9A">
      <w:pPr>
        <w:spacing w:line="360" w:lineRule="auto"/>
        <w:ind w:left="1437" w:hanging="735"/>
        <w:jc w:val="both"/>
        <w:rPr>
          <w:rFonts w:ascii="David" w:hAnsi="David"/>
          <w:rtl/>
        </w:rPr>
      </w:pPr>
    </w:p>
    <w:p w:rsidR="00622D9A" w:rsidRDefault="00622D9A" w:rsidP="00622D9A">
      <w:pPr>
        <w:spacing w:line="360" w:lineRule="auto"/>
        <w:ind w:left="1437" w:hanging="735"/>
        <w:jc w:val="both"/>
        <w:rPr>
          <w:rFonts w:ascii="David" w:hAnsi="David"/>
          <w:rtl/>
        </w:rPr>
      </w:pPr>
      <w:r>
        <w:rPr>
          <w:rFonts w:ascii="David" w:hAnsi="David" w:hint="cs"/>
          <w:rtl/>
        </w:rPr>
        <w:t>ה</w:t>
      </w:r>
      <w:r>
        <w:rPr>
          <w:rFonts w:ascii="David" w:hAnsi="David"/>
          <w:rtl/>
        </w:rPr>
        <w:t>.</w:t>
      </w:r>
      <w:r>
        <w:rPr>
          <w:rFonts w:ascii="David" w:hAnsi="David"/>
          <w:rtl/>
        </w:rPr>
        <w:tab/>
        <w:t>המשיבות הרחיבו בהליכים הקשורים בתביעה האחרת ולאור פסק הדין שניתן בעניין זה לא יובאו הדברים. המשיבות ביקשו לעשות אנלוגיה בין זכותן להגיש את הבקשה לביטול ה-יכ"מ לבין זכותן להגשת תביעה זו.</w:t>
      </w:r>
    </w:p>
    <w:p w:rsidR="00622D9A" w:rsidRDefault="00622D9A" w:rsidP="00622D9A">
      <w:pPr>
        <w:spacing w:line="360" w:lineRule="auto"/>
        <w:ind w:left="1437" w:hanging="735"/>
        <w:jc w:val="both"/>
        <w:rPr>
          <w:rFonts w:ascii="David" w:hAnsi="David"/>
          <w:rtl/>
        </w:rPr>
      </w:pPr>
    </w:p>
    <w:p w:rsidR="00622D9A" w:rsidRDefault="00622D9A" w:rsidP="00622D9A">
      <w:pPr>
        <w:spacing w:line="360" w:lineRule="auto"/>
        <w:ind w:left="1437" w:hanging="717"/>
        <w:jc w:val="both"/>
        <w:rPr>
          <w:rFonts w:ascii="David" w:hAnsi="David"/>
          <w:rtl/>
        </w:rPr>
      </w:pPr>
      <w:r>
        <w:rPr>
          <w:rFonts w:ascii="David" w:hAnsi="David" w:hint="cs"/>
          <w:rtl/>
        </w:rPr>
        <w:lastRenderedPageBreak/>
        <w:t>ו</w:t>
      </w:r>
      <w:r>
        <w:rPr>
          <w:rFonts w:ascii="David" w:hAnsi="David"/>
          <w:rtl/>
        </w:rPr>
        <w:t>.</w:t>
      </w:r>
      <w:r>
        <w:rPr>
          <w:rFonts w:ascii="David" w:hAnsi="David"/>
          <w:rtl/>
        </w:rPr>
        <w:tab/>
        <w:t>טענו שמשעה שפסה"ד הקובע שהיכ"מ בטל הרי שלא היה מנוס "</w:t>
      </w:r>
      <w:r>
        <w:rPr>
          <w:rFonts w:ascii="David" w:hAnsi="David"/>
          <w:b/>
          <w:bCs/>
          <w:rtl/>
        </w:rPr>
        <w:t>מקביעת בית המשפט כי יש למנות לאב אפוטרופוס לרכוש ולגוף</w:t>
      </w:r>
      <w:r>
        <w:rPr>
          <w:rFonts w:ascii="David" w:hAnsi="David"/>
          <w:rtl/>
        </w:rPr>
        <w:t>".</w:t>
      </w:r>
    </w:p>
    <w:p w:rsidR="00622D9A" w:rsidRDefault="00622D9A" w:rsidP="00622D9A">
      <w:pPr>
        <w:spacing w:line="360" w:lineRule="auto"/>
        <w:ind w:left="1437" w:hanging="717"/>
        <w:jc w:val="both"/>
        <w:rPr>
          <w:rFonts w:ascii="David" w:hAnsi="David"/>
          <w:rtl/>
        </w:rPr>
      </w:pPr>
    </w:p>
    <w:p w:rsidR="00622D9A" w:rsidRDefault="00622D9A" w:rsidP="00622D9A">
      <w:pPr>
        <w:spacing w:line="360" w:lineRule="auto"/>
        <w:ind w:left="1437" w:hanging="1444"/>
        <w:jc w:val="both"/>
        <w:rPr>
          <w:rFonts w:ascii="David" w:hAnsi="David"/>
          <w:b/>
          <w:bCs/>
          <w:rtl/>
        </w:rPr>
      </w:pPr>
      <w:r>
        <w:rPr>
          <w:rFonts w:ascii="David" w:hAnsi="David"/>
          <w:b/>
          <w:bCs/>
          <w:u w:val="single"/>
          <w:rtl/>
        </w:rPr>
        <w:t xml:space="preserve">דיון מיום 7.1.2015 </w:t>
      </w:r>
      <w:r>
        <w:rPr>
          <w:rFonts w:ascii="David" w:hAnsi="David"/>
          <w:b/>
          <w:bCs/>
          <w:rtl/>
        </w:rPr>
        <w:t xml:space="preserve">: </w:t>
      </w:r>
    </w:p>
    <w:p w:rsidR="00622D9A" w:rsidRDefault="00622D9A" w:rsidP="00622D9A">
      <w:pPr>
        <w:spacing w:line="360" w:lineRule="auto"/>
        <w:ind w:left="1437" w:hanging="1444"/>
        <w:jc w:val="both"/>
        <w:rPr>
          <w:rFonts w:ascii="David" w:hAnsi="David"/>
          <w:b/>
          <w:bCs/>
          <w:rtl/>
        </w:rPr>
      </w:pPr>
    </w:p>
    <w:p w:rsidR="00622D9A" w:rsidRDefault="00622D9A" w:rsidP="00622D9A">
      <w:pPr>
        <w:spacing w:line="360" w:lineRule="auto"/>
        <w:ind w:left="702" w:hanging="702"/>
        <w:jc w:val="both"/>
        <w:rPr>
          <w:rFonts w:asciiTheme="minorHAnsi" w:hAnsiTheme="minorHAnsi" w:cstheme="minorBidi"/>
          <w:sz w:val="22"/>
          <w:szCs w:val="22"/>
          <w:rtl/>
        </w:rPr>
      </w:pPr>
      <w:r>
        <w:rPr>
          <w:rFonts w:ascii="David" w:hAnsi="David"/>
          <w:rtl/>
        </w:rPr>
        <w:t>6.</w:t>
      </w:r>
      <w:r>
        <w:rPr>
          <w:rFonts w:ascii="David" w:hAnsi="David"/>
          <w:rtl/>
        </w:rPr>
        <w:tab/>
        <w:t>בא כוחן של המבקשות טען "</w:t>
      </w:r>
      <w:r>
        <w:rPr>
          <w:rFonts w:ascii="David" w:hAnsi="David"/>
          <w:b/>
          <w:bCs/>
          <w:rtl/>
        </w:rPr>
        <w:t>אני, כבודו, אני טענתי בבקשה שאין סטנדינג, זכות עמידה למשיבות להגיש את התובענה ואני אסביר גם למה. התביעה הוגשה נגד המבקשות, שהם הלקוחות שלי, הם לא יורשות, הם לא יורשות, הם עוד לא ירשו, מדובר הרי בצוואה הדדית, שמי שירש בצוואה ההדדית זה האבא, ירש את האימא זכרונה לברכה. גם הלקוחות של חברי המלומד, שהן התובעות והמשיבות בבקשה, גם הן לא יורשות, כי מי שירש זה האבא. עכשיו, כמדומני, אדוני, כבודו, לאבא יש שתי, בעצם מונה גם אפוטרופוסית לדין וגם יש את האפוטרופוס לרכוש שזה המרכז לאפוטרופוס, לאפוטרופסות, משהו כזה. עכשיו, אני לא מבין, כבודו, באמת, אני לא מבין איך אפשר להגיד, מה הבסיס פה להגשת תביעה שהלקוחות שלי, שהן המבקשות, לא יורשות, מצד אחד, הלקוחות של חברי, שהן התובעות והן המשיבות בבקשה הזאת, לא יורשות, אז אנחנו קודם כל מאחלים לאבא שייבדל לחיים ארוכים, אבל כנראה שמדובר פה בסיכסוך ירושה שהאבא עודנו בחיים, זה ברור, אין, אין, אין לזה, זה, אי אפשר לנהל תיק כזה כשאבא בחיים והוא היורש. עכשיו, אם האפוטרופוס לרכוש או האפוטרופוסית לדין או לא יודע מי יחליטו שיש מקום להגיש תובענה, להם ורק להם יש זכות עמידה, זה לא יכול להשתנות, זה, כבודו, וכל הדברים האחרים שחברי מנסה להרחיב ולהביא, ראיתי את כל הפסיקות וראיתי, אין שום רלוונטיות לכל הדברים, דבר מאוד פשוט, אין פה סטנדינג ותו לא, אין פה, לא יעזור.</w:t>
      </w:r>
      <w:r>
        <w:rPr>
          <w:rtl/>
        </w:rPr>
        <w:t>"</w:t>
      </w:r>
    </w:p>
    <w:p w:rsidR="00622D9A" w:rsidRDefault="00622D9A" w:rsidP="00622D9A">
      <w:pPr>
        <w:spacing w:line="360" w:lineRule="auto"/>
        <w:ind w:left="702" w:hanging="702"/>
        <w:jc w:val="both"/>
        <w:rPr>
          <w:rFonts w:asciiTheme="minorHAnsi" w:hAnsiTheme="minorHAnsi" w:cstheme="minorBidi"/>
          <w:sz w:val="22"/>
          <w:szCs w:val="22"/>
          <w:rtl/>
        </w:rPr>
      </w:pPr>
    </w:p>
    <w:p w:rsidR="00622D9A" w:rsidRDefault="00622D9A" w:rsidP="00622D9A">
      <w:pPr>
        <w:spacing w:line="360" w:lineRule="auto"/>
        <w:ind w:left="702" w:hanging="709"/>
        <w:rPr>
          <w:rFonts w:ascii="David" w:hAnsi="David"/>
          <w:rtl/>
        </w:rPr>
      </w:pPr>
      <w:r>
        <w:rPr>
          <w:rFonts w:ascii="David" w:hAnsi="David"/>
          <w:rtl/>
        </w:rPr>
        <w:t>7.</w:t>
      </w:r>
      <w:r>
        <w:rPr>
          <w:rFonts w:ascii="David" w:hAnsi="David"/>
          <w:rtl/>
        </w:rPr>
        <w:tab/>
        <w:t>השיב על כך ב"כ המשיבות.</w:t>
      </w:r>
    </w:p>
    <w:p w:rsidR="00622D9A" w:rsidRDefault="00622D9A" w:rsidP="00622D9A">
      <w:pPr>
        <w:spacing w:line="360" w:lineRule="auto"/>
        <w:ind w:left="702" w:hanging="709"/>
      </w:pPr>
    </w:p>
    <w:p w:rsidR="00622D9A" w:rsidRPr="00192665" w:rsidRDefault="00622D9A" w:rsidP="00622D9A">
      <w:pPr>
        <w:spacing w:line="360" w:lineRule="auto"/>
        <w:ind w:left="702"/>
        <w:jc w:val="both"/>
        <w:rPr>
          <w:sz w:val="22"/>
          <w:szCs w:val="22"/>
          <w:rtl/>
        </w:rPr>
      </w:pPr>
      <w:r>
        <w:rPr>
          <w:rFonts w:ascii="David" w:hAnsi="David"/>
          <w:rtl/>
        </w:rPr>
        <w:t>"</w:t>
      </w:r>
      <w:r>
        <w:rPr>
          <w:rFonts w:ascii="David" w:hAnsi="David"/>
          <w:b/>
          <w:bCs/>
          <w:rtl/>
        </w:rPr>
        <w:t xml:space="preserve">אדוני, אני מבקש לדחות את הבקשה ולרבות את טענות הסרק של חברי לפני דקות ספורות. רוב הנימוקים הועלו, כפי שפורטו היטב בתגובה. אני חייב לציין שאינני מבין מדוע אדוני החליט לקיים דיון בסוגיה, שהרי מדובר בשאלה משפטית מובהקת ואני לא שמעתי את חברי מעלה טענה חדשה. הטענה שהאבא עדיין חי ממש לא רלוונטית, לא טענו דבר בעניין ירושה או ירושתו או הזכות להיות יורשות בעתיד, שום דבר, מהעניין הזה, למרות שבעקיפין יש רלוונטיות לעניין, היות ולכאורה בעתיד הן צפויות לרשת על פי צוואה שכבר קיבלה תוקף וניתן בה צו קיום צוואה, היות והיא הדדית, באותו מסמך. אז למעשה אלה הם הדברים. לגופו של עניין, אדוני, </w:t>
      </w:r>
      <w:r w:rsidRPr="000660FB">
        <w:rPr>
          <w:rFonts w:ascii="David" w:hAnsi="David"/>
          <w:b/>
          <w:bCs/>
          <w:u w:val="single"/>
          <w:rtl/>
        </w:rPr>
        <w:t>הטענה היחידה של חברי היא טענת העדר זכות עמידה</w:t>
      </w:r>
      <w:r>
        <w:rPr>
          <w:rFonts w:ascii="David" w:hAnsi="David"/>
          <w:b/>
          <w:bCs/>
          <w:rtl/>
        </w:rPr>
        <w:t xml:space="preserve"> ולא ברור על מה נסמך חברי, היות ובניגוד אלי הוא לא צירף כל סעיף חוק וגם לא כל פסיקה רלוונטית שיכולה לבסיס או לחזק את טענתו, סתם טענת סרק מיותרת שאין בה דבר. למרות זאת נדרשתי לטענה ופירטתי באריכות. את דעתנו ביחס לאפוטרופוס לדין אמרנו בקול רם וגם כתבנו פה בתגובה. ועולה גם השאלה, אדוני, </w:t>
      </w:r>
      <w:r>
        <w:rPr>
          <w:rFonts w:ascii="David" w:hAnsi="David"/>
          <w:b/>
          <w:bCs/>
          <w:u w:val="single"/>
          <w:rtl/>
        </w:rPr>
        <w:t xml:space="preserve">אם בהמשך הדיון אנו אמורים לדון במצבו, כשירותו של האבא והאם הוא זקוק או נזקק לאפוטרופוס בכלל, הרי שיכול להיות שהדיון כרגע מקדים את זמנו באמת, היות וקודם צריך למנות את המומחה והמומחה צריך לתת את חוות דעתו, אם אפשר רלוונטית למועד, רטרואקטיבית אחורה, ורק אם יוכרע שאכן הוא בלתי כשיר, אז אולי היה מקום בכלל למנות אפוטרופוס לדין. שמונה אפוטרופוס לדין לאדם כשיר לחלוטין שזו הפעם העשירית שאני טוען בפני בית משפט זה שבית זה מעולם לא ראה אותו, מעולם לא שמע אותו, ואם חוזרים וטוענים שהוא כשיר, אפילו ע"י הצדדים, כמעט כולם או לפחות בשלבים מסוימים טענו שהוא כשיר, אז למה הוא לא פה? </w:t>
      </w:r>
      <w:r>
        <w:rPr>
          <w:rFonts w:ascii="David" w:hAnsi="David"/>
          <w:b/>
          <w:bCs/>
          <w:rtl/>
        </w:rPr>
        <w:t xml:space="preserve">מספר סוד לאדוני שנתן החלטה לא מזמן לזמן אותו, לאפשר לו להשתתף באירוע של חתונה של הבן. אני פגשתי אותו וראיתי אותו, ואני לא מוצא שום סיבה בעולם שאם הוא בא לשם הוא לא יוכל לבוא לפה, אפילו בכדי לשמוע, מעבר לכך שאחרי כמה דקות, מיד לקחו אותו והחזירו אותו בחזרה כי ככה הגברת שם חושבת שהיא מנהלת את העניינים. לגופם של הטענות האחרות לפחות, את מה שאמרנו גם בעבר לגבי האפוטרופוס לדין ואת החשש הממשי </w:t>
      </w:r>
      <w:r>
        <w:rPr>
          <w:rFonts w:ascii="David" w:hAnsi="David"/>
          <w:b/>
          <w:bCs/>
          <w:rtl/>
        </w:rPr>
        <w:lastRenderedPageBreak/>
        <w:t>מאוד שלנו לכך שהיא לא ממלאת את תפקידה ואולי אפילו עושה דברים יותר גרועים מאלה, אמרנו. עובדתית, אדוני, אותה אפוטרופוס לדין שיושבת כאן טענה חזור וטעון שהאשלה הצהיר באוזניה יותר מפעם אחת שהחתימה המתנוססת על ייפוי הכוח, היכ"ם, וגם על צוואתו, שהיא אותה צוואה הדדית ביחד עם האמא על אותו המסמך.</w:t>
      </w:r>
      <w:r>
        <w:rPr>
          <w:rtl/>
        </w:rPr>
        <w:t xml:space="preserve">" </w:t>
      </w:r>
      <w:r w:rsidRPr="00192665">
        <w:rPr>
          <w:rFonts w:ascii="David" w:hAnsi="David"/>
          <w:sz w:val="22"/>
          <w:szCs w:val="22"/>
          <w:rtl/>
        </w:rPr>
        <w:t>(הדגש בקו תחתי לא במקור)</w:t>
      </w:r>
      <w:r w:rsidRPr="00192665">
        <w:rPr>
          <w:sz w:val="22"/>
          <w:szCs w:val="22"/>
          <w:rtl/>
        </w:rPr>
        <w:t>.</w:t>
      </w:r>
    </w:p>
    <w:p w:rsidR="00622D9A" w:rsidRDefault="00622D9A" w:rsidP="00622D9A">
      <w:pPr>
        <w:spacing w:line="360" w:lineRule="auto"/>
        <w:ind w:left="702"/>
        <w:jc w:val="both"/>
        <w:rPr>
          <w:sz w:val="22"/>
          <w:szCs w:val="22"/>
        </w:rPr>
      </w:pPr>
    </w:p>
    <w:p w:rsidR="00622D9A" w:rsidRDefault="00622D9A" w:rsidP="00622D9A">
      <w:pPr>
        <w:spacing w:line="360" w:lineRule="auto"/>
        <w:ind w:left="1437" w:hanging="1444"/>
        <w:jc w:val="both"/>
        <w:rPr>
          <w:rFonts w:ascii="David" w:hAnsi="David"/>
          <w:b/>
          <w:bCs/>
          <w:rtl/>
        </w:rPr>
      </w:pPr>
      <w:r>
        <w:rPr>
          <w:rFonts w:ascii="David" w:hAnsi="David"/>
          <w:b/>
          <w:bCs/>
          <w:u w:val="single"/>
          <w:rtl/>
        </w:rPr>
        <w:t>דיון והחלטה</w:t>
      </w:r>
      <w:r>
        <w:rPr>
          <w:rFonts w:ascii="David" w:hAnsi="David"/>
          <w:b/>
          <w:bCs/>
          <w:rtl/>
        </w:rPr>
        <w:t>:</w:t>
      </w:r>
    </w:p>
    <w:p w:rsidR="00622D9A" w:rsidRDefault="00622D9A" w:rsidP="00622D9A">
      <w:pPr>
        <w:spacing w:line="360" w:lineRule="auto"/>
        <w:ind w:left="1437" w:hanging="1444"/>
        <w:jc w:val="both"/>
        <w:rPr>
          <w:rFonts w:ascii="David" w:hAnsi="David"/>
          <w:b/>
          <w:bCs/>
        </w:rPr>
      </w:pPr>
    </w:p>
    <w:p w:rsidR="00622D9A" w:rsidRDefault="00622D9A" w:rsidP="00622D9A">
      <w:pPr>
        <w:spacing w:line="360" w:lineRule="auto"/>
        <w:ind w:left="708" w:hanging="843"/>
        <w:jc w:val="both"/>
        <w:rPr>
          <w:rFonts w:ascii="David" w:hAnsi="David"/>
          <w:rtl/>
        </w:rPr>
      </w:pPr>
      <w:r>
        <w:rPr>
          <w:rFonts w:ascii="David" w:hAnsi="David"/>
          <w:rtl/>
        </w:rPr>
        <w:t>8.</w:t>
      </w:r>
      <w:r>
        <w:rPr>
          <w:rFonts w:ascii="David" w:hAnsi="David"/>
          <w:rtl/>
        </w:rPr>
        <w:tab/>
        <w:t>א.</w:t>
      </w:r>
      <w:r>
        <w:rPr>
          <w:rFonts w:ascii="David" w:hAnsi="David"/>
          <w:rtl/>
        </w:rPr>
        <w:tab/>
        <w:t xml:space="preserve">טרם התייחסות לבקשה עצמה יוער שלקראת מתן ההחלטה </w:t>
      </w:r>
      <w:r>
        <w:rPr>
          <w:rFonts w:ascii="David" w:hAnsi="David" w:hint="cs"/>
          <w:rtl/>
        </w:rPr>
        <w:t xml:space="preserve">עת בחנתי את </w:t>
      </w:r>
      <w:r>
        <w:rPr>
          <w:rFonts w:ascii="David" w:hAnsi="David"/>
          <w:rtl/>
        </w:rPr>
        <w:t xml:space="preserve">טיעוני </w:t>
      </w:r>
    </w:p>
    <w:p w:rsidR="00622D9A" w:rsidRDefault="00622D9A" w:rsidP="00622D9A">
      <w:pPr>
        <w:spacing w:line="360" w:lineRule="auto"/>
        <w:ind w:left="1440"/>
        <w:jc w:val="both"/>
        <w:rPr>
          <w:rFonts w:ascii="David" w:hAnsi="David"/>
          <w:rtl/>
        </w:rPr>
      </w:pPr>
      <w:r>
        <w:rPr>
          <w:rFonts w:ascii="David" w:hAnsi="David"/>
          <w:rtl/>
        </w:rPr>
        <w:t xml:space="preserve">המשיבות בסעיפים 11-12 לתגובה נמצא חוסר הלימה בין ההפניות של פסקי הדין שבתגובה למאגרים המשפטיים. על כן ביום 6.3.2025 הוריתי  לב"כ המשיבות לבדוק את מראי המקום ולחלופין לצרף את פסקי הדין המצוינים שם.  </w:t>
      </w:r>
    </w:p>
    <w:p w:rsidR="00622D9A" w:rsidRDefault="00622D9A" w:rsidP="00622D9A">
      <w:pPr>
        <w:spacing w:line="360" w:lineRule="auto"/>
        <w:ind w:left="843" w:hanging="708"/>
        <w:jc w:val="both"/>
        <w:rPr>
          <w:rFonts w:ascii="David" w:hAnsi="David"/>
          <w:rtl/>
        </w:rPr>
      </w:pPr>
      <w:r>
        <w:rPr>
          <w:rFonts w:ascii="David" w:hAnsi="David"/>
          <w:rtl/>
        </w:rPr>
        <w:tab/>
      </w:r>
    </w:p>
    <w:p w:rsidR="00622D9A" w:rsidRDefault="00622D9A" w:rsidP="00622D9A">
      <w:pPr>
        <w:spacing w:line="360" w:lineRule="auto"/>
        <w:ind w:left="1440" w:hanging="720"/>
        <w:jc w:val="both"/>
        <w:rPr>
          <w:rFonts w:ascii="David" w:hAnsi="David"/>
          <w:rtl/>
        </w:rPr>
      </w:pPr>
      <w:r>
        <w:rPr>
          <w:rFonts w:ascii="David" w:hAnsi="David"/>
          <w:rtl/>
        </w:rPr>
        <w:t>ב.</w:t>
      </w:r>
      <w:r>
        <w:rPr>
          <w:rFonts w:ascii="David" w:hAnsi="David"/>
          <w:rtl/>
        </w:rPr>
        <w:tab/>
        <w:t xml:space="preserve">סעיפים 11 ו-12 לתגובה הראשונה עסקו במעמדו של האפוטרופוס לדין ונטען שמעמדו פרוצדורלי בלבד "... </w:t>
      </w:r>
      <w:r>
        <w:rPr>
          <w:rFonts w:ascii="David" w:hAnsi="David"/>
          <w:b/>
          <w:bCs/>
          <w:rtl/>
        </w:rPr>
        <w:t>לצורך ייצוג בהליך ספציפי שאינו שולל זכויות של גורמים אחרים ומטרתו להבטיח ייצוג הולם</w:t>
      </w:r>
      <w:r>
        <w:rPr>
          <w:rFonts w:ascii="David" w:hAnsi="David"/>
          <w:rtl/>
        </w:rPr>
        <w:t xml:space="preserve">... </w:t>
      </w:r>
      <w:r>
        <w:rPr>
          <w:rFonts w:ascii="David" w:hAnsi="David"/>
          <w:b/>
          <w:bCs/>
          <w:rtl/>
        </w:rPr>
        <w:t>החוק מכיר במפורש בזכויות מקבילות, מינוי אפוטרופוס לדין אינו שולל זכויות אחרות, קיימת זכות עמידה עצמאית לבנות</w:t>
      </w:r>
      <w:r>
        <w:rPr>
          <w:rFonts w:ascii="David" w:hAnsi="David"/>
          <w:rtl/>
        </w:rPr>
        <w:t>..." (</w:t>
      </w:r>
      <w:r w:rsidRPr="00EF28C7">
        <w:rPr>
          <w:rFonts w:ascii="David" w:hAnsi="David"/>
          <w:sz w:val="22"/>
          <w:szCs w:val="22"/>
          <w:rtl/>
        </w:rPr>
        <w:t>המשיבות-מ.ל).</w:t>
      </w:r>
      <w:r>
        <w:rPr>
          <w:rFonts w:ascii="David" w:hAnsi="David"/>
          <w:rtl/>
        </w:rPr>
        <w:t xml:space="preserve"> שאלת סמכותו ומעמדו של אפוטרופוס לדין לאור חוק הכשרות המשפטית והאפוטרופסות 'גולש' גם לסעיף 13, אך לענייננו נתמקד בסעיפים 12-11.</w:t>
      </w:r>
    </w:p>
    <w:p w:rsidR="00622D9A" w:rsidRDefault="00622D9A" w:rsidP="00622D9A">
      <w:pPr>
        <w:spacing w:line="360" w:lineRule="auto"/>
        <w:ind w:left="1440" w:hanging="720"/>
        <w:jc w:val="both"/>
        <w:rPr>
          <w:rFonts w:ascii="David" w:hAnsi="David"/>
          <w:rtl/>
        </w:rPr>
      </w:pPr>
    </w:p>
    <w:p w:rsidR="00622D9A" w:rsidRDefault="00622D9A" w:rsidP="00622D9A">
      <w:pPr>
        <w:spacing w:line="360" w:lineRule="auto"/>
        <w:ind w:left="1440" w:hanging="600"/>
        <w:jc w:val="both"/>
        <w:rPr>
          <w:rFonts w:ascii="David" w:hAnsi="David"/>
          <w:sz w:val="22"/>
          <w:szCs w:val="22"/>
          <w:rtl/>
        </w:rPr>
      </w:pPr>
      <w:r>
        <w:rPr>
          <w:rFonts w:ascii="David" w:hAnsi="David"/>
          <w:rtl/>
        </w:rPr>
        <w:t>ג.</w:t>
      </w:r>
      <w:r>
        <w:rPr>
          <w:rFonts w:ascii="David" w:hAnsi="David"/>
          <w:rtl/>
        </w:rPr>
        <w:tab/>
        <w:t>ביום 9.3.2025 הוגשה עמדת המשיבות (להלן-</w:t>
      </w:r>
      <w:r>
        <w:rPr>
          <w:rFonts w:ascii="Miriam" w:hAnsi="Miriam" w:cs="Miriam"/>
          <w:b/>
          <w:bCs/>
          <w:rtl/>
        </w:rPr>
        <w:t>התגובה המאוחרת</w:t>
      </w:r>
      <w:r>
        <w:rPr>
          <w:rFonts w:ascii="David" w:hAnsi="David"/>
          <w:rtl/>
        </w:rPr>
        <w:t>). בתגובתן  המאוחרת טענו: "</w:t>
      </w:r>
      <w:r>
        <w:rPr>
          <w:rFonts w:ascii="David" w:hAnsi="David"/>
          <w:b/>
          <w:bCs/>
          <w:rtl/>
        </w:rPr>
        <w:t xml:space="preserve">1. מובהר כי בתקופה בה הוגשה תגובת המשיבות לבקשת הנתבעות לסילוק התביעה על הסף (להלן:"התגובה"), עבדה במשרד הח"מ סטודנטית למשפטים, שהכינה את </w:t>
      </w:r>
      <w:r>
        <w:rPr>
          <w:rFonts w:ascii="David" w:hAnsi="David"/>
          <w:b/>
          <w:bCs/>
          <w:rtl/>
        </w:rPr>
        <w:lastRenderedPageBreak/>
        <w:t xml:space="preserve">השלד לתגובה. התגובה נכתבה על גבי אותו השלד </w:t>
      </w:r>
      <w:r>
        <w:rPr>
          <w:rFonts w:ascii="David" w:hAnsi="David"/>
          <w:b/>
          <w:bCs/>
          <w:u w:val="single"/>
          <w:rtl/>
        </w:rPr>
        <w:t>ובטעות לא נמחקו הסעיפים 11 ו-12 לתגובה ולא הוספו תחתם פסקי הדין המקוריים.</w:t>
      </w:r>
      <w:r>
        <w:rPr>
          <w:rFonts w:ascii="David" w:hAnsi="David"/>
          <w:b/>
          <w:bCs/>
          <w:rtl/>
        </w:rPr>
        <w:t xml:space="preserve">  2. אכן, אין הלימה בין מראי המקום שבתגובה לאתר נבו ואין קשר בין מראי המקום לתוכן התגובה. הח"מ מיצר מאוד על תוצאת הדברים. ברי כי לא הייתה בכוונתו להטעות את ביהמ"ש  חלילה. לפיכך, מבוקש מביהמ"ש לראות בזאת  "טעות סופר" ובאותה נשימה מודה לביהמ"ש שהאיר את עיניו. 3. הח"מ מבקש לצרף בזאת את פסקי הדין החלופיים שלא צוינו בתגובה ואלו הם</w:t>
      </w:r>
      <w:r>
        <w:rPr>
          <w:rFonts w:ascii="David" w:hAnsi="David"/>
          <w:rtl/>
        </w:rPr>
        <w:t>:" (</w:t>
      </w:r>
      <w:r w:rsidRPr="00192665">
        <w:rPr>
          <w:rFonts w:ascii="David" w:hAnsi="David"/>
          <w:sz w:val="22"/>
          <w:szCs w:val="22"/>
          <w:rtl/>
        </w:rPr>
        <w:t>הדגש בקו תחתי במקור)</w:t>
      </w:r>
    </w:p>
    <w:p w:rsidR="00622D9A" w:rsidRPr="00192665" w:rsidRDefault="00622D9A" w:rsidP="00622D9A">
      <w:pPr>
        <w:spacing w:line="360" w:lineRule="auto"/>
        <w:ind w:left="1440" w:hanging="600"/>
        <w:jc w:val="both"/>
        <w:rPr>
          <w:rFonts w:ascii="David" w:hAnsi="David"/>
          <w:sz w:val="22"/>
          <w:szCs w:val="22"/>
          <w:rtl/>
        </w:rPr>
      </w:pPr>
    </w:p>
    <w:p w:rsidR="00622D9A" w:rsidRDefault="00622D9A" w:rsidP="00622D9A">
      <w:pPr>
        <w:spacing w:line="360" w:lineRule="auto"/>
        <w:ind w:left="843" w:hanging="708"/>
        <w:jc w:val="both"/>
        <w:rPr>
          <w:rFonts w:ascii="David" w:hAnsi="David"/>
          <w:rtl/>
        </w:rPr>
      </w:pPr>
      <w:r>
        <w:rPr>
          <w:rFonts w:ascii="David" w:hAnsi="David"/>
          <w:rtl/>
        </w:rPr>
        <w:tab/>
        <w:t>ד.</w:t>
      </w:r>
      <w:r>
        <w:rPr>
          <w:rFonts w:ascii="David" w:hAnsi="David"/>
          <w:rtl/>
        </w:rPr>
        <w:tab/>
        <w:t>אודה שההסבר שהובא לעיל תמוה בעיני ממספר היבטים:</w:t>
      </w:r>
    </w:p>
    <w:p w:rsidR="00622D9A" w:rsidRDefault="00622D9A" w:rsidP="00622D9A">
      <w:pPr>
        <w:spacing w:line="360" w:lineRule="auto"/>
        <w:ind w:left="843" w:hanging="708"/>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 xml:space="preserve">גם אם הייתי רוצה לקבל את ההסבר של "טעות סופר" אין בהסבר מענה לכך שבאותם סעיפים 11 ו-12 עם ההפניות השגויות יש ציטוטים, לכאורה, מאותם פסקי דין שגויים. האם אותן מובאות הן פרי דמיונה של אותה  סטודנטית? אם לא, מניין נלקחו? מדוע אין את מראה המקום של אותם ציטוטים  בפסיקה אליה הפנו בתגובתן המאוחרת? </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 xml:space="preserve">(אגב </w:t>
      </w:r>
      <w:r>
        <w:rPr>
          <w:rFonts w:ascii="David" w:hAnsi="David" w:hint="cs"/>
          <w:rtl/>
        </w:rPr>
        <w:t xml:space="preserve">טענה זו </w:t>
      </w:r>
      <w:r>
        <w:rPr>
          <w:rFonts w:ascii="David" w:hAnsi="David"/>
          <w:rtl/>
        </w:rPr>
        <w:t>יצוין ש"</w:t>
      </w:r>
      <w:r>
        <w:rPr>
          <w:rFonts w:ascii="David" w:hAnsi="David"/>
          <w:b/>
          <w:bCs/>
          <w:rtl/>
        </w:rPr>
        <w:t>הביטוי</w:t>
      </w:r>
      <w:r>
        <w:rPr>
          <w:rFonts w:ascii="David" w:hAnsi="David"/>
          <w:rtl/>
        </w:rPr>
        <w:t xml:space="preserve"> "</w:t>
      </w:r>
      <w:r>
        <w:rPr>
          <w:rFonts w:ascii="David" w:hAnsi="David"/>
          <w:b/>
          <w:bCs/>
          <w:rtl/>
        </w:rPr>
        <w:t>טעות סופר או טעות כיוצא בה" כולל  סוגים שונים של טעויות כתיב, טעויות חשבוניות, השמטות טכניות, שיבושי לשון, שגיאות רישום, כתיבה ומספור</w:t>
      </w:r>
      <w:r>
        <w:rPr>
          <w:rFonts w:ascii="David" w:hAnsi="David"/>
          <w:rtl/>
        </w:rPr>
        <w:t xml:space="preserve">"- ראו: גבריאלה שלו, </w:t>
      </w:r>
      <w:r>
        <w:rPr>
          <w:rFonts w:ascii="David" w:hAnsi="David"/>
          <w:u w:val="single"/>
          <w:rtl/>
        </w:rPr>
        <w:t>דיני חוזים מהדורה שניה</w:t>
      </w:r>
      <w:r>
        <w:rPr>
          <w:rFonts w:ascii="David" w:hAnsi="David"/>
          <w:rtl/>
        </w:rPr>
        <w:t xml:space="preserve"> (1999) עמ' 208 ו-ה"ש 69 המפנה ל-</w:t>
      </w:r>
      <w:r>
        <w:rPr>
          <w:rFonts w:ascii="David" w:hAnsi="David"/>
          <w:u w:val="single"/>
          <w:rtl/>
        </w:rPr>
        <w:t>ע"א</w:t>
      </w:r>
      <w:r>
        <w:rPr>
          <w:rFonts w:ascii="David" w:hAnsi="David"/>
          <w:rtl/>
        </w:rPr>
        <w:t xml:space="preserve"> </w:t>
      </w:r>
      <w:r>
        <w:rPr>
          <w:rFonts w:ascii="David" w:hAnsi="David"/>
          <w:u w:val="single"/>
          <w:rtl/>
        </w:rPr>
        <w:t>565/79</w:t>
      </w:r>
      <w:r>
        <w:rPr>
          <w:rFonts w:ascii="David" w:hAnsi="David"/>
          <w:rtl/>
        </w:rPr>
        <w:t>).</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lastRenderedPageBreak/>
        <w:t xml:space="preserve">כך, סעיפים 11 ו-12 דנו במעמדו של אפוטרופוס לדין ומשעה שכנטען היה מקום למחקם מאותו שלד שהוכן מה טעם בצירוף פסיקה הדנה במעמדו של אפוטרופוס אל מול קרוביו של פסול הדין או האשל"א ? </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hanging="600"/>
        <w:jc w:val="both"/>
        <w:rPr>
          <w:rFonts w:ascii="David" w:hAnsi="David"/>
          <w:rtl/>
        </w:rPr>
      </w:pPr>
      <w:r>
        <w:rPr>
          <w:rFonts w:ascii="David" w:hAnsi="David"/>
          <w:rtl/>
        </w:rPr>
        <w:t>ה.</w:t>
      </w:r>
      <w:r>
        <w:rPr>
          <w:rFonts w:ascii="David" w:hAnsi="David"/>
          <w:rtl/>
        </w:rPr>
        <w:tab/>
        <w:t xml:space="preserve">אבהיר שאיני מייחס לב"כ המשיבות כוונה להטעות. לא עולה </w:t>
      </w:r>
      <w:r>
        <w:rPr>
          <w:rFonts w:ascii="David" w:hAnsi="David" w:hint="cs"/>
          <w:rtl/>
        </w:rPr>
        <w:t xml:space="preserve">כלל </w:t>
      </w:r>
      <w:r>
        <w:rPr>
          <w:rFonts w:ascii="David" w:hAnsi="David"/>
          <w:rtl/>
        </w:rPr>
        <w:t xml:space="preserve">על דעתי שמי שאומנותו עריכת דין ינהג בניגוד למצופה ממנו במפורש הן במימד האישי והן מכוח החוק (ראו התקנות החדשות). אלא שדרך המלך הייתה להודות שנפלה טעות מהותית ולשקול את הדברים לעומק ולא לייחס לטעות טעות אגבית. </w:t>
      </w:r>
    </w:p>
    <w:p w:rsidR="00622D9A" w:rsidRDefault="00622D9A" w:rsidP="00622D9A">
      <w:pPr>
        <w:spacing w:line="360" w:lineRule="auto"/>
        <w:ind w:left="1440" w:hanging="600"/>
        <w:jc w:val="both"/>
        <w:rPr>
          <w:rFonts w:ascii="David" w:hAnsi="David"/>
          <w:rtl/>
        </w:rPr>
      </w:pPr>
    </w:p>
    <w:p w:rsidR="00622D9A" w:rsidRDefault="00622D9A" w:rsidP="00622D9A">
      <w:pPr>
        <w:spacing w:line="360" w:lineRule="auto"/>
        <w:ind w:left="1440"/>
        <w:jc w:val="both"/>
        <w:rPr>
          <w:rFonts w:ascii="David" w:hAnsi="David"/>
          <w:b/>
          <w:bCs/>
          <w:u w:val="single"/>
          <w:rtl/>
        </w:rPr>
      </w:pPr>
      <w:r>
        <w:rPr>
          <w:rFonts w:ascii="David" w:hAnsi="David"/>
          <w:b/>
          <w:bCs/>
          <w:u w:val="single"/>
          <w:rtl/>
        </w:rPr>
        <w:t xml:space="preserve">הסבר זה </w:t>
      </w:r>
      <w:r>
        <w:rPr>
          <w:rFonts w:ascii="David" w:hAnsi="David" w:hint="cs"/>
          <w:b/>
          <w:bCs/>
          <w:u w:val="single"/>
          <w:rtl/>
        </w:rPr>
        <w:t xml:space="preserve">של טעות סופר על כל מכלוליה </w:t>
      </w:r>
      <w:r>
        <w:rPr>
          <w:rFonts w:ascii="David" w:hAnsi="David"/>
          <w:b/>
          <w:bCs/>
          <w:u w:val="single"/>
          <w:rtl/>
        </w:rPr>
        <w:t>אינו מכבד את כותבו ו</w:t>
      </w:r>
      <w:r>
        <w:rPr>
          <w:rFonts w:ascii="David" w:hAnsi="David" w:hint="cs"/>
          <w:b/>
          <w:bCs/>
          <w:u w:val="single"/>
          <w:rtl/>
        </w:rPr>
        <w:t xml:space="preserve">יתרה מכך </w:t>
      </w:r>
      <w:r>
        <w:rPr>
          <w:rFonts w:ascii="David" w:hAnsi="David"/>
          <w:b/>
          <w:bCs/>
          <w:u w:val="single"/>
          <w:rtl/>
        </w:rPr>
        <w:t>ממעיט בערכו של קוראו</w:t>
      </w:r>
      <w:r w:rsidRPr="004F3271">
        <w:rPr>
          <w:rFonts w:ascii="David" w:hAnsi="David"/>
          <w:rtl/>
        </w:rPr>
        <w:t xml:space="preserve">. </w:t>
      </w:r>
    </w:p>
    <w:p w:rsidR="00622D9A" w:rsidRDefault="00622D9A" w:rsidP="00622D9A">
      <w:pPr>
        <w:spacing w:line="360" w:lineRule="auto"/>
        <w:ind w:left="843" w:hanging="708"/>
        <w:jc w:val="both"/>
        <w:rPr>
          <w:rFonts w:ascii="David" w:hAnsi="David"/>
          <w:b/>
          <w:bCs/>
          <w:u w:val="single"/>
          <w:rtl/>
        </w:rPr>
      </w:pPr>
    </w:p>
    <w:p w:rsidR="00622D9A" w:rsidRDefault="00622D9A" w:rsidP="00622D9A">
      <w:pPr>
        <w:spacing w:line="360" w:lineRule="auto"/>
        <w:ind w:left="1440" w:hanging="600"/>
        <w:jc w:val="both"/>
        <w:rPr>
          <w:rFonts w:ascii="David" w:hAnsi="David"/>
          <w:rtl/>
        </w:rPr>
      </w:pPr>
      <w:r>
        <w:rPr>
          <w:rFonts w:ascii="David" w:hAnsi="David"/>
          <w:rtl/>
        </w:rPr>
        <w:t>ו.</w:t>
      </w:r>
      <w:r>
        <w:rPr>
          <w:rFonts w:ascii="David" w:hAnsi="David"/>
          <w:rtl/>
        </w:rPr>
        <w:tab/>
        <w:t xml:space="preserve">בספרה </w:t>
      </w:r>
      <w:r>
        <w:rPr>
          <w:rFonts w:ascii="David" w:hAnsi="David"/>
          <w:u w:val="single"/>
          <w:rtl/>
        </w:rPr>
        <w:t>מדברים שתיקה</w:t>
      </w:r>
      <w:r>
        <w:rPr>
          <w:rFonts w:ascii="David" w:hAnsi="David"/>
          <w:rtl/>
        </w:rPr>
        <w:t xml:space="preserve"> מכנה פרופ' </w:t>
      </w:r>
      <w:r>
        <w:rPr>
          <w:rFonts w:ascii="David" w:hAnsi="David" w:hint="cs"/>
          <w:rtl/>
        </w:rPr>
        <w:t xml:space="preserve">מיכל </w:t>
      </w:r>
      <w:r>
        <w:rPr>
          <w:rFonts w:ascii="David" w:hAnsi="David"/>
          <w:rtl/>
        </w:rPr>
        <w:t>אפרת תגובה כדוגמת זו של המשיבות "</w:t>
      </w:r>
      <w:r w:rsidRPr="004F3271">
        <w:rPr>
          <w:rFonts w:ascii="David" w:hAnsi="David"/>
          <w:b/>
          <w:bCs/>
          <w:rtl/>
        </w:rPr>
        <w:t>דיבור ריק</w:t>
      </w:r>
      <w:r>
        <w:rPr>
          <w:rFonts w:ascii="David" w:hAnsi="David"/>
          <w:rtl/>
        </w:rPr>
        <w:t>". "</w:t>
      </w:r>
      <w:r>
        <w:rPr>
          <w:rFonts w:ascii="David" w:hAnsi="David"/>
          <w:b/>
          <w:bCs/>
          <w:rtl/>
        </w:rPr>
        <w:t xml:space="preserve">בדיבור הריק יש תמה (מסומן) </w:t>
      </w:r>
      <w:r>
        <w:rPr>
          <w:rFonts w:ascii="David" w:hAnsi="David"/>
          <w:rtl/>
        </w:rPr>
        <w:t>(</w:t>
      </w:r>
      <w:r w:rsidRPr="004F3271">
        <w:rPr>
          <w:rFonts w:ascii="David" w:hAnsi="David"/>
          <w:sz w:val="22"/>
          <w:szCs w:val="22"/>
          <w:rtl/>
        </w:rPr>
        <w:t>מסומן הוא מישור התוכן-מ.ל)</w:t>
      </w:r>
      <w:r>
        <w:rPr>
          <w:rFonts w:ascii="David" w:hAnsi="David"/>
          <w:b/>
          <w:bCs/>
          <w:rtl/>
        </w:rPr>
        <w:t xml:space="preserve"> הצפויה בשיחה ואשר הדובר בוחר שלא לתת לה ביטוי</w:t>
      </w:r>
      <w:r>
        <w:rPr>
          <w:rFonts w:ascii="David" w:hAnsi="David"/>
          <w:rtl/>
        </w:rPr>
        <w:t>...</w:t>
      </w:r>
      <w:r>
        <w:rPr>
          <w:rFonts w:ascii="David" w:hAnsi="David"/>
          <w:b/>
          <w:bCs/>
          <w:rtl/>
        </w:rPr>
        <w:t>לא כך הוא הדיבור הריק, שכן אין הוא הבלעת הלא נאמר במסומנים רלוונטיים ובעלי עניין אחרים, אלא בהטמעת הנושא בדיבור שאינו רלוונטי ואינו אינפורמטיבי כלל. זהו דיבור שכל מטרתו ביטול המרחב של המסומן השתוק ושל הלא נאמר. בהט</w:t>
      </w:r>
      <w:r>
        <w:rPr>
          <w:rFonts w:ascii="David" w:hAnsi="David"/>
          <w:rtl/>
        </w:rPr>
        <w:t xml:space="preserve"> ...</w:t>
      </w:r>
      <w:r>
        <w:rPr>
          <w:rFonts w:ascii="David" w:hAnsi="David"/>
          <w:b/>
          <w:bCs/>
          <w:rtl/>
        </w:rPr>
        <w:t>מכנה דיבור זה "מלל סרק"</w:t>
      </w:r>
      <w:r>
        <w:rPr>
          <w:rFonts w:ascii="David" w:hAnsi="David"/>
          <w:rtl/>
        </w:rPr>
        <w:t xml:space="preserve">..."   (מיכל אפרת, </w:t>
      </w:r>
      <w:r>
        <w:rPr>
          <w:rFonts w:ascii="David" w:hAnsi="David"/>
          <w:u w:val="single"/>
          <w:rtl/>
        </w:rPr>
        <w:t>מדברים שתיקה עיון בלשני בשתיקה כאמצעי הבעה</w:t>
      </w:r>
      <w:r>
        <w:rPr>
          <w:rFonts w:ascii="David" w:hAnsi="David"/>
          <w:rtl/>
        </w:rPr>
        <w:t xml:space="preserve"> (2014) עמ'41-40).</w:t>
      </w:r>
    </w:p>
    <w:p w:rsidR="000F2C29" w:rsidRDefault="000F2C29" w:rsidP="00622D9A">
      <w:pPr>
        <w:spacing w:line="360" w:lineRule="auto"/>
        <w:ind w:left="1440" w:hanging="600"/>
        <w:jc w:val="both"/>
        <w:rPr>
          <w:rFonts w:ascii="David" w:hAnsi="David"/>
          <w:rtl/>
        </w:rPr>
      </w:pPr>
    </w:p>
    <w:p w:rsidR="00622D9A" w:rsidRDefault="00622D9A" w:rsidP="00622D9A">
      <w:pPr>
        <w:spacing w:line="360" w:lineRule="auto"/>
        <w:ind w:left="1440" w:hanging="600"/>
        <w:jc w:val="both"/>
        <w:rPr>
          <w:rFonts w:ascii="David" w:hAnsi="David"/>
          <w:rtl/>
        </w:rPr>
      </w:pPr>
      <w:r>
        <w:rPr>
          <w:rFonts w:ascii="David" w:hAnsi="David"/>
          <w:rtl/>
        </w:rPr>
        <w:t>ז.</w:t>
      </w:r>
      <w:r>
        <w:rPr>
          <w:rFonts w:ascii="David" w:hAnsi="David"/>
          <w:rtl/>
        </w:rPr>
        <w:tab/>
        <w:t xml:space="preserve">יוער שהטענה שהעלו המשיבות בסעיפים 11 ו-12 לתגובתן הראשונה ואותם ביקשו למחוק הם הסעיפים, לו היה בהם ממש, על מנת לשקול את עמדת המשיבות  ביחס לבקשה. </w:t>
      </w:r>
    </w:p>
    <w:p w:rsidR="00622D9A" w:rsidRDefault="00622D9A" w:rsidP="00622D9A">
      <w:pPr>
        <w:spacing w:line="360" w:lineRule="auto"/>
        <w:ind w:left="1440" w:hanging="600"/>
        <w:jc w:val="both"/>
        <w:rPr>
          <w:rFonts w:ascii="David" w:hAnsi="David"/>
          <w:rtl/>
        </w:rPr>
      </w:pPr>
    </w:p>
    <w:p w:rsidR="00622D9A" w:rsidRDefault="00622D9A" w:rsidP="00622D9A">
      <w:pPr>
        <w:spacing w:line="360" w:lineRule="auto"/>
        <w:ind w:left="1440" w:hanging="600"/>
        <w:jc w:val="both"/>
        <w:rPr>
          <w:rFonts w:ascii="David" w:hAnsi="David"/>
          <w:rtl/>
        </w:rPr>
      </w:pPr>
      <w:r>
        <w:rPr>
          <w:rFonts w:ascii="David" w:hAnsi="David"/>
          <w:rtl/>
        </w:rPr>
        <w:t>ח.</w:t>
      </w:r>
      <w:r>
        <w:rPr>
          <w:rFonts w:ascii="David" w:hAnsi="David"/>
          <w:rtl/>
        </w:rPr>
        <w:tab/>
        <w:t xml:space="preserve">זה המקום לבחון את הטענות הנוספות בתגובה הראשונה, שכאמור, לעיל אין בהן כדי לקבל את עמדת המשיבות.  </w:t>
      </w:r>
    </w:p>
    <w:p w:rsidR="00622D9A" w:rsidRDefault="00622D9A" w:rsidP="00622D9A">
      <w:pPr>
        <w:spacing w:line="360" w:lineRule="auto"/>
        <w:ind w:left="1440" w:hanging="600"/>
        <w:jc w:val="both"/>
        <w:rPr>
          <w:rFonts w:ascii="David" w:hAnsi="David"/>
          <w:rtl/>
        </w:rPr>
      </w:pPr>
    </w:p>
    <w:p w:rsidR="00622D9A" w:rsidRPr="00192665" w:rsidRDefault="00622D9A" w:rsidP="000F2C29">
      <w:pPr>
        <w:spacing w:line="360" w:lineRule="auto"/>
        <w:ind w:left="2160" w:hanging="720"/>
        <w:jc w:val="both"/>
        <w:rPr>
          <w:rFonts w:ascii="David" w:hAnsi="David"/>
          <w:rtl/>
        </w:rPr>
      </w:pPr>
      <w:r w:rsidRPr="00192665">
        <w:rPr>
          <w:rFonts w:ascii="David" w:hAnsi="David"/>
          <w:rtl/>
        </w:rPr>
        <w:t>(1</w:t>
      </w:r>
      <w:r>
        <w:rPr>
          <w:rFonts w:ascii="David" w:hAnsi="David"/>
          <w:rtl/>
        </w:rPr>
        <w:t>)</w:t>
      </w:r>
      <w:r>
        <w:rPr>
          <w:rFonts w:ascii="David" w:hAnsi="David"/>
          <w:rtl/>
        </w:rPr>
        <w:tab/>
      </w:r>
      <w:r w:rsidRPr="00192665">
        <w:rPr>
          <w:rFonts w:ascii="David" w:hAnsi="David"/>
          <w:rtl/>
        </w:rPr>
        <w:t>סעיפים 17-15 עניינם ביקורת על התנהלותה של האפוטרופא לדין בתביעה האחרת.  בין הדברים העלו המשיבות התנגדותה לביטול ה-יכ"מ, אי נקיטת כל פעולה לצורך שמירה על רכושו של מר ו</w:t>
      </w:r>
      <w:r w:rsidR="000F2C29">
        <w:rPr>
          <w:rFonts w:ascii="David" w:hAnsi="David" w:hint="cs"/>
          <w:rtl/>
        </w:rPr>
        <w:t>.</w:t>
      </w:r>
      <w:r w:rsidRPr="00192665">
        <w:rPr>
          <w:rFonts w:ascii="David" w:hAnsi="David"/>
          <w:rtl/>
        </w:rPr>
        <w:t>, וקביעתן שעמדתה היא חד צדדית ונוטה לטובת המבקשות. אין בדעתי להרחיב בסוגיה זו שאין בה לטעמי כל תרומה להחלטה זו. אין מקום להביא את עמדתה השוללת של האפוטרופא לדין כנגד טענות אלו כמו עמדתן של המבקשות עצמן בתביעה האחרת. אולם, אין בתגובה של המשיבות כל הסבר איך האשמתן את האפוטרופא לדין מקימה להן זכות הגשת התביעה. הדברים מקל וחומר כשלמר ו</w:t>
      </w:r>
      <w:r w:rsidR="000F2C29">
        <w:rPr>
          <w:rFonts w:ascii="David" w:hAnsi="David" w:hint="cs"/>
          <w:rtl/>
        </w:rPr>
        <w:t>.</w:t>
      </w:r>
      <w:r w:rsidRPr="00192665">
        <w:rPr>
          <w:rFonts w:ascii="David" w:hAnsi="David"/>
          <w:rtl/>
        </w:rPr>
        <w:t xml:space="preserve"> מונה אפוטרופוס לרכוש. דווקא העלאת הטענות כלפי האפוטרופא לדין מחלישה את עמדתן.  הפניית האצבע המאשימה כלפי האפוטרופא לדין  מעידה שדרך המלך לא הייתה לפעול במקומה, אלא, לפעול לצורך מימוש זכויות מר ו</w:t>
      </w:r>
      <w:r w:rsidR="000F2C29">
        <w:rPr>
          <w:rFonts w:ascii="David" w:hAnsi="David" w:hint="cs"/>
          <w:rtl/>
        </w:rPr>
        <w:t>.</w:t>
      </w:r>
      <w:r w:rsidRPr="00192665">
        <w:rPr>
          <w:rFonts w:ascii="David" w:hAnsi="David"/>
          <w:rtl/>
        </w:rPr>
        <w:t xml:space="preserve"> באמצעותה ובאמצעות האפוטרופוס לענייני רכוש. </w:t>
      </w:r>
    </w:p>
    <w:p w:rsidR="00622D9A" w:rsidRPr="00192665" w:rsidRDefault="00622D9A" w:rsidP="00622D9A">
      <w:pPr>
        <w:ind w:left="2160" w:hanging="720"/>
        <w:rPr>
          <w:rtl/>
        </w:rPr>
      </w:pPr>
    </w:p>
    <w:p w:rsidR="00622D9A" w:rsidRDefault="00622D9A" w:rsidP="00622D9A">
      <w:pPr>
        <w:spacing w:line="360" w:lineRule="auto"/>
        <w:ind w:left="2160"/>
        <w:jc w:val="both"/>
        <w:rPr>
          <w:rFonts w:ascii="David" w:hAnsi="David"/>
          <w:rtl/>
        </w:rPr>
      </w:pPr>
      <w:r>
        <w:rPr>
          <w:rFonts w:ascii="David" w:hAnsi="David"/>
          <w:rtl/>
        </w:rPr>
        <w:t xml:space="preserve">בעת כתיבת שורות אלו נחשפתי להחלטתו של כבוד השופט פרסקי מיום 19.3.2025  בתיק </w:t>
      </w:r>
      <w:r>
        <w:rPr>
          <w:rFonts w:ascii="David" w:hAnsi="David"/>
          <w:u w:val="single"/>
          <w:rtl/>
        </w:rPr>
        <w:t xml:space="preserve">רמ"ש (ב"ש) 7153-08-24 </w:t>
      </w:r>
      <w:r>
        <w:rPr>
          <w:rFonts w:ascii="David" w:hAnsi="David"/>
          <w:rtl/>
        </w:rPr>
        <w:t xml:space="preserve"> </w:t>
      </w:r>
      <w:r>
        <w:rPr>
          <w:rFonts w:ascii="David" w:hAnsi="David"/>
          <w:b/>
          <w:bCs/>
          <w:rtl/>
        </w:rPr>
        <w:t>פ. ואח'</w:t>
      </w:r>
      <w:r>
        <w:rPr>
          <w:rFonts w:ascii="David" w:hAnsi="David"/>
          <w:rtl/>
        </w:rPr>
        <w:t xml:space="preserve"> נ' </w:t>
      </w:r>
      <w:r>
        <w:rPr>
          <w:rFonts w:ascii="David" w:hAnsi="David"/>
          <w:b/>
          <w:bCs/>
          <w:rtl/>
        </w:rPr>
        <w:t>ר. ואח'</w:t>
      </w:r>
      <w:r>
        <w:rPr>
          <w:rFonts w:ascii="David" w:hAnsi="David"/>
          <w:rtl/>
        </w:rPr>
        <w:t xml:space="preserve"> (טרם פורסם) בו הוגשה בקשת רשות ערעור על החלטתי וכך הורה כב' השופט פרסקי בהחלטתו </w:t>
      </w:r>
      <w:r>
        <w:rPr>
          <w:rFonts w:ascii="David" w:hAnsi="David" w:hint="cs"/>
          <w:rtl/>
        </w:rPr>
        <w:t xml:space="preserve">דברים </w:t>
      </w:r>
      <w:r>
        <w:rPr>
          <w:rFonts w:ascii="David" w:hAnsi="David"/>
          <w:rtl/>
        </w:rPr>
        <w:t>שיש בה</w:t>
      </w:r>
      <w:r>
        <w:rPr>
          <w:rFonts w:ascii="David" w:hAnsi="David" w:hint="cs"/>
          <w:rtl/>
        </w:rPr>
        <w:t>ם</w:t>
      </w:r>
      <w:r>
        <w:rPr>
          <w:rFonts w:ascii="David" w:hAnsi="David"/>
          <w:rtl/>
        </w:rPr>
        <w:t xml:space="preserve"> להקרין ולמקד האמור בהחלטתי זו: </w:t>
      </w:r>
    </w:p>
    <w:p w:rsidR="00622D9A" w:rsidRDefault="00622D9A" w:rsidP="00622D9A">
      <w:pPr>
        <w:spacing w:line="360" w:lineRule="auto"/>
        <w:ind w:left="2160"/>
        <w:jc w:val="both"/>
        <w:rPr>
          <w:rFonts w:ascii="David" w:hAnsi="David"/>
          <w:rtl/>
        </w:rPr>
      </w:pPr>
    </w:p>
    <w:p w:rsidR="00622D9A" w:rsidRDefault="00622D9A" w:rsidP="00622D9A">
      <w:pPr>
        <w:spacing w:line="360" w:lineRule="auto"/>
        <w:ind w:left="2160"/>
        <w:jc w:val="both"/>
        <w:rPr>
          <w:rFonts w:ascii="David" w:hAnsi="David"/>
          <w:b/>
          <w:bCs/>
          <w:rtl/>
        </w:rPr>
      </w:pPr>
      <w:r>
        <w:rPr>
          <w:rFonts w:ascii="David" w:hAnsi="David"/>
          <w:rtl/>
        </w:rPr>
        <w:t>"</w:t>
      </w:r>
      <w:r>
        <w:rPr>
          <w:rFonts w:ascii="David" w:hAnsi="David"/>
          <w:b/>
          <w:bCs/>
          <w:rtl/>
        </w:rPr>
        <w:t xml:space="preserve">8. שקלתי את טענות הצדדים לצורך שבעריכת "איפוס" ולמעשה בחינה חדשה למעורבות מי מבני המשפחה בתיק החדש. הגם שהתיק החדש נפתח לפי הוראות בית המשפט בתיק קמא, שהרי התאפשר למשיבה 2 להציע מועמדים לתפקיד האר"ע החדש </w:t>
      </w:r>
      <w:r>
        <w:rPr>
          <w:rFonts w:ascii="David" w:hAnsi="David"/>
          <w:b/>
          <w:bCs/>
          <w:rtl/>
        </w:rPr>
        <w:lastRenderedPageBreak/>
        <w:t>(אר"ע=</w:t>
      </w:r>
      <w:r>
        <w:rPr>
          <w:rFonts w:ascii="David" w:hAnsi="David"/>
          <w:rtl/>
        </w:rPr>
        <w:t>אפוטרופוס לרכוש העסקי-מ.ל-ראו ס'1 להחלטה)</w:t>
      </w:r>
      <w:r>
        <w:rPr>
          <w:rFonts w:ascii="David" w:hAnsi="David"/>
          <w:b/>
          <w:bCs/>
          <w:rtl/>
        </w:rPr>
        <w:t xml:space="preserve">, מכאן ואילך, הגורמים היחידים שיוותרו בתיק החדש, יהיו האר"ע והאפוטרופוס הכללי תוך שמירת הזכות לבקשות כאמור.  </w:t>
      </w:r>
    </w:p>
    <w:p w:rsidR="000F2C29" w:rsidRDefault="000F2C29" w:rsidP="00622D9A">
      <w:pPr>
        <w:spacing w:line="360" w:lineRule="auto"/>
        <w:ind w:left="2160"/>
        <w:jc w:val="both"/>
        <w:rPr>
          <w:rFonts w:ascii="David" w:hAnsi="David"/>
          <w:b/>
          <w:bCs/>
          <w:rtl/>
        </w:rPr>
      </w:pPr>
    </w:p>
    <w:p w:rsidR="00622D9A" w:rsidRDefault="00622D9A" w:rsidP="00622D9A">
      <w:pPr>
        <w:spacing w:line="360" w:lineRule="auto"/>
        <w:ind w:left="2160"/>
        <w:jc w:val="both"/>
        <w:rPr>
          <w:rFonts w:ascii="David" w:hAnsi="David"/>
          <w:b/>
          <w:bCs/>
        </w:rPr>
      </w:pPr>
      <w:r>
        <w:rPr>
          <w:rFonts w:ascii="David" w:hAnsi="David"/>
          <w:b/>
          <w:bCs/>
          <w:rtl/>
        </w:rPr>
        <w:t xml:space="preserve">9. למען הסר ספק, אם מי מבני המשפחה יחפוץ בהגשת בקשות לתיק החדש, או להיות צד לתיק החדש או לבקשות בתוכו, או להיות מעורב במהלך כלשהו בתיק החדש וכיו"ב, בית המשפט בתיק החדש, ישקול כחוכמתו כיצד לקדם כל בקשה שתוגש. נקודת המוצא תהא כאמור כי הגורמים בתיק והצדדים לו הינם האר"ע והאפוטרופוס הכללי בלבד, נקודת מוצא שבית המשפט יוכל אחריה ליתן הוראות לפי שיקול דעתו.  </w:t>
      </w:r>
    </w:p>
    <w:p w:rsidR="00622D9A" w:rsidRDefault="00622D9A" w:rsidP="00622D9A">
      <w:pPr>
        <w:spacing w:line="360" w:lineRule="auto"/>
        <w:ind w:left="1440" w:firstLine="720"/>
        <w:jc w:val="both"/>
        <w:rPr>
          <w:rFonts w:ascii="David" w:hAnsi="David"/>
          <w:rtl/>
        </w:rPr>
      </w:pPr>
      <w:r>
        <w:rPr>
          <w:rFonts w:ascii="David" w:hAnsi="David"/>
          <w:b/>
          <w:bCs/>
          <w:rtl/>
        </w:rPr>
        <w:t>לפיכך ובכפוף לאמור, בקשת רשות הערעור תמחק.</w:t>
      </w:r>
      <w:r>
        <w:rPr>
          <w:rFonts w:ascii="David" w:hAnsi="David"/>
          <w:rtl/>
        </w:rPr>
        <w:t>"</w:t>
      </w:r>
    </w:p>
    <w:p w:rsidR="00622D9A" w:rsidRDefault="00622D9A" w:rsidP="00622D9A">
      <w:pPr>
        <w:spacing w:line="360" w:lineRule="auto"/>
        <w:ind w:left="1440" w:firstLine="720"/>
        <w:jc w:val="both"/>
        <w:rPr>
          <w:rFonts w:ascii="David" w:hAnsi="David"/>
          <w:rtl/>
        </w:rPr>
      </w:pPr>
    </w:p>
    <w:p w:rsidR="00622D9A" w:rsidRDefault="00622D9A" w:rsidP="00622D9A">
      <w:pPr>
        <w:spacing w:line="360" w:lineRule="auto"/>
        <w:ind w:left="2154" w:hanging="885"/>
        <w:jc w:val="both"/>
        <w:rPr>
          <w:rFonts w:ascii="Arial" w:hAnsi="Arial" w:cstheme="minorBidi"/>
          <w:sz w:val="22"/>
          <w:szCs w:val="22"/>
          <w:rtl/>
        </w:rPr>
      </w:pPr>
      <w:r>
        <w:rPr>
          <w:rFonts w:ascii="David" w:hAnsi="David"/>
          <w:rtl/>
        </w:rPr>
        <w:t>(2)</w:t>
      </w:r>
      <w:r>
        <w:rPr>
          <w:rFonts w:ascii="David" w:hAnsi="David"/>
          <w:b/>
          <w:bCs/>
          <w:rtl/>
        </w:rPr>
        <w:tab/>
        <w:t>ב</w:t>
      </w:r>
      <w:r>
        <w:rPr>
          <w:rFonts w:ascii="David" w:hAnsi="David"/>
          <w:rtl/>
        </w:rPr>
        <w:t>סעיף 18 לתגובתן טענו המשיבות שמקור זכותן "...</w:t>
      </w:r>
      <w:r>
        <w:rPr>
          <w:rFonts w:ascii="David" w:hAnsi="David"/>
          <w:b/>
          <w:bCs/>
          <w:rtl/>
        </w:rPr>
        <w:t xml:space="preserve">נטוע היטב בחוק הכשרות המשפטית והאפוטרופסות" </w:t>
      </w:r>
      <w:r>
        <w:rPr>
          <w:rFonts w:ascii="David" w:hAnsi="David"/>
          <w:rtl/>
        </w:rPr>
        <w:t>והתייחסו לסעיף 32 על סעיפי המשנה אליהם הפנו. כזכור סעיף 32 לחוק הכשרות המשפטית והאפוטרופסות עניינו ייפוי כוח מתמשך. המשיבות הפנו לסעיף</w:t>
      </w:r>
      <w:r>
        <w:rPr>
          <w:rFonts w:ascii="David" w:hAnsi="David"/>
          <w:b/>
          <w:bCs/>
          <w:rtl/>
        </w:rPr>
        <w:t xml:space="preserve"> "32 יח(3)(ב) " </w:t>
      </w:r>
      <w:r>
        <w:rPr>
          <w:rFonts w:ascii="David" w:hAnsi="David"/>
          <w:rtl/>
        </w:rPr>
        <w:t>אך כיוונו לסעיף 32 יח (ב) שעניינו זכותם של</w:t>
      </w:r>
      <w:r>
        <w:rPr>
          <w:rFonts w:ascii="David" w:hAnsi="David"/>
          <w:b/>
          <w:bCs/>
          <w:rtl/>
        </w:rPr>
        <w:t xml:space="preserve"> "קרובי הממנה ואדם מיודע לקבל מידע על הפקדת ייפוי הכוח, על זהותם של מיופה הכוח ושל אדם מיודע ועל סוגי העניינים שלגביהם ניתן ייפוי הכוח..." </w:t>
      </w:r>
      <w:r>
        <w:rPr>
          <w:rFonts w:ascii="David" w:hAnsi="David"/>
          <w:rtl/>
        </w:rPr>
        <w:t>ומה לו לסעיף זה לשאלה שלפני, מקל וחומר שה-יכ"מ בוטל לפני חודשים רבים.</w:t>
      </w:r>
    </w:p>
    <w:p w:rsidR="00622D9A" w:rsidRDefault="00622D9A" w:rsidP="00622D9A">
      <w:pPr>
        <w:spacing w:line="360" w:lineRule="auto"/>
        <w:ind w:left="2154" w:hanging="885"/>
        <w:jc w:val="both"/>
        <w:rPr>
          <w:rFonts w:ascii="Arial" w:hAnsi="Arial" w:cstheme="minorBidi"/>
          <w:sz w:val="22"/>
          <w:szCs w:val="22"/>
          <w:rtl/>
        </w:rPr>
      </w:pPr>
    </w:p>
    <w:p w:rsidR="00622D9A" w:rsidRDefault="00622D9A" w:rsidP="000F2C29">
      <w:pPr>
        <w:spacing w:line="360" w:lineRule="auto"/>
        <w:ind w:left="2154" w:hanging="714"/>
        <w:jc w:val="both"/>
        <w:rPr>
          <w:rFonts w:ascii="David" w:hAnsi="David"/>
          <w:rtl/>
        </w:rPr>
      </w:pPr>
      <w:r>
        <w:rPr>
          <w:rFonts w:ascii="David" w:hAnsi="David"/>
          <w:rtl/>
        </w:rPr>
        <w:t>(3)</w:t>
      </w:r>
      <w:r>
        <w:rPr>
          <w:rFonts w:ascii="David" w:hAnsi="David"/>
          <w:rtl/>
        </w:rPr>
        <w:tab/>
        <w:t>גם ההפניות הנוספות שבתגובה לחוק הכשרות המשפטית והאפוטרופסות אין בהן ממש לשאלה מהי זכותן של המשיבות לפעול תחת האפוטרופא לדין והאפוטרופוס לענייני רכוש שמונו למר ו</w:t>
      </w:r>
      <w:r w:rsidR="000F2C29">
        <w:rPr>
          <w:rFonts w:ascii="David" w:hAnsi="David" w:hint="cs"/>
          <w:rtl/>
        </w:rPr>
        <w:t>.</w:t>
      </w:r>
      <w:r>
        <w:rPr>
          <w:rFonts w:ascii="David" w:hAnsi="David"/>
          <w:rtl/>
        </w:rPr>
        <w:t xml:space="preserve">. המשיבות אינן יכולות לאחוז בחבל בשני קצותיו לזעוק האב כשיר, </w:t>
      </w:r>
      <w:r>
        <w:rPr>
          <w:rFonts w:ascii="David" w:hAnsi="David"/>
          <w:rtl/>
        </w:rPr>
        <w:lastRenderedPageBreak/>
        <w:t>נחטף, נתון להשפעה בלתי הוגנת מצד אחד</w:t>
      </w:r>
      <w:r>
        <w:rPr>
          <w:rFonts w:ascii="David" w:hAnsi="David" w:hint="cs"/>
          <w:rtl/>
        </w:rPr>
        <w:t>,</w:t>
      </w:r>
      <w:r>
        <w:rPr>
          <w:rFonts w:ascii="David" w:hAnsi="David"/>
          <w:rtl/>
        </w:rPr>
        <w:t xml:space="preserve"> וליטול לעצמן את הזכות לפעול בשמו, לכאורה, לטובתו בשמו. העובדה שנקבע בסעיף 32 יט (ב) סיפא שדין ייפוי כוח שניתן דינו כדין ייפוי כוח שניתן לפי חוק השליחות אינה מעלה ואינה מורידה ביחס לשאלה שלפני, כאמור, זכותן של המשיבות. </w:t>
      </w:r>
    </w:p>
    <w:p w:rsidR="00622D9A" w:rsidRDefault="00622D9A" w:rsidP="00622D9A">
      <w:pPr>
        <w:spacing w:line="360" w:lineRule="auto"/>
        <w:ind w:left="2154" w:hanging="714"/>
        <w:jc w:val="both"/>
        <w:rPr>
          <w:rFonts w:ascii="David" w:hAnsi="David"/>
          <w:rtl/>
        </w:rPr>
      </w:pPr>
    </w:p>
    <w:p w:rsidR="00622D9A" w:rsidRDefault="00622D9A" w:rsidP="00622D9A">
      <w:pPr>
        <w:spacing w:line="360" w:lineRule="auto"/>
        <w:ind w:left="2154" w:hanging="714"/>
        <w:jc w:val="both"/>
        <w:rPr>
          <w:rFonts w:ascii="David" w:hAnsi="David"/>
          <w:rtl/>
        </w:rPr>
      </w:pPr>
      <w:r>
        <w:rPr>
          <w:rFonts w:ascii="David" w:hAnsi="David"/>
          <w:rtl/>
        </w:rPr>
        <w:t>(4)</w:t>
      </w:r>
      <w:r>
        <w:rPr>
          <w:rFonts w:ascii="David" w:hAnsi="David"/>
          <w:rtl/>
        </w:rPr>
        <w:tab/>
        <w:t>מגמה זו של ההפניות לסעיפי חוק הכשרות המשפטית והאפוטרופסות על פני סעיפים רבים אינה משרתת את השאלה שלפני. כך, למשל, לא הבנתי את הקשר בין האמור בסעיף 28 לתגובה הראשונה לשאלה שלפני איך בקשה למינוי אפוטרופוס על ידי קרובו מלמדת על זכות של קרוב לתבוע בשמו של האשל"א שעה שמונה לו אפוטרופוס</w:t>
      </w:r>
      <w:r>
        <w:rPr>
          <w:rFonts w:ascii="David" w:hAnsi="David" w:hint="cs"/>
          <w:rtl/>
        </w:rPr>
        <w:t xml:space="preserve"> לדין ואפוטרופוס לרכושו.</w:t>
      </w:r>
    </w:p>
    <w:p w:rsidR="00622D9A" w:rsidRDefault="00622D9A" w:rsidP="00622D9A">
      <w:pPr>
        <w:spacing w:line="360" w:lineRule="auto"/>
        <w:ind w:left="2154" w:hanging="714"/>
        <w:jc w:val="both"/>
        <w:rPr>
          <w:rFonts w:ascii="David" w:hAnsi="David"/>
          <w:rtl/>
        </w:rPr>
      </w:pPr>
      <w:r>
        <w:rPr>
          <w:rFonts w:ascii="David" w:hAnsi="David"/>
          <w:rtl/>
        </w:rPr>
        <w:t xml:space="preserve"> </w:t>
      </w:r>
    </w:p>
    <w:p w:rsidR="00622D9A" w:rsidRDefault="00622D9A" w:rsidP="00622D9A">
      <w:pPr>
        <w:spacing w:line="360" w:lineRule="auto"/>
        <w:ind w:left="2154" w:hanging="714"/>
        <w:jc w:val="both"/>
        <w:rPr>
          <w:rFonts w:ascii="David" w:hAnsi="David"/>
          <w:rtl/>
        </w:rPr>
      </w:pPr>
      <w:r>
        <w:rPr>
          <w:rFonts w:ascii="David" w:hAnsi="David"/>
          <w:rtl/>
        </w:rPr>
        <w:t xml:space="preserve">(5) </w:t>
      </w:r>
      <w:r>
        <w:rPr>
          <w:rFonts w:ascii="David" w:hAnsi="David"/>
          <w:rtl/>
        </w:rPr>
        <w:tab/>
        <w:t xml:space="preserve">גם האמור בסעיף 29 המפנה לסעיף 72 לחוק הכשרות המשפטית והאפוטרופסות הקובע שבית המשפט רשאי לשמוע את קרוביו של פסול דין או ה-אשל"א מביאה לתוצאה הפוכה מעמדתן של המשיבות. </w:t>
      </w:r>
    </w:p>
    <w:p w:rsidR="00622D9A" w:rsidRDefault="00622D9A" w:rsidP="00622D9A">
      <w:pPr>
        <w:spacing w:line="360" w:lineRule="auto"/>
        <w:ind w:left="2154" w:hanging="714"/>
        <w:jc w:val="both"/>
        <w:rPr>
          <w:rFonts w:ascii="David" w:hAnsi="David"/>
          <w:rtl/>
        </w:rPr>
      </w:pPr>
      <w:r>
        <w:rPr>
          <w:rFonts w:ascii="David" w:hAnsi="David"/>
          <w:rtl/>
        </w:rPr>
        <w:t xml:space="preserve"> </w:t>
      </w:r>
    </w:p>
    <w:p w:rsidR="00622D9A" w:rsidRDefault="00622D9A" w:rsidP="00622D9A">
      <w:pPr>
        <w:spacing w:line="360" w:lineRule="auto"/>
        <w:ind w:left="2154" w:hanging="714"/>
        <w:jc w:val="both"/>
        <w:rPr>
          <w:rFonts w:ascii="David" w:hAnsi="David"/>
          <w:rtl/>
        </w:rPr>
      </w:pPr>
      <w:r>
        <w:rPr>
          <w:rFonts w:ascii="David" w:hAnsi="David"/>
          <w:rtl/>
        </w:rPr>
        <w:t>(6)</w:t>
      </w:r>
      <w:r>
        <w:rPr>
          <w:rFonts w:ascii="David" w:hAnsi="David"/>
          <w:rtl/>
        </w:rPr>
        <w:tab/>
        <w:t xml:space="preserve">לא מצאתי להרחיב עוד בכל הפניה והפניה לסעיפי חוק הכשרות </w:t>
      </w:r>
      <w:r>
        <w:rPr>
          <w:rFonts w:ascii="David" w:hAnsi="David" w:hint="cs"/>
          <w:rtl/>
        </w:rPr>
        <w:t xml:space="preserve">המשפטית והאפוטרופסות </w:t>
      </w:r>
      <w:r>
        <w:rPr>
          <w:rFonts w:ascii="David" w:hAnsi="David"/>
          <w:rtl/>
        </w:rPr>
        <w:t>אליהן מפנה התגובה הראשונה שנכתבה באריכות והפניות מיותרות למחלוקת שלפני.</w:t>
      </w:r>
    </w:p>
    <w:p w:rsidR="00622D9A" w:rsidRDefault="00622D9A" w:rsidP="00622D9A">
      <w:pPr>
        <w:spacing w:line="360" w:lineRule="auto"/>
        <w:ind w:left="2154" w:hanging="714"/>
        <w:jc w:val="both"/>
        <w:rPr>
          <w:rFonts w:ascii="David" w:hAnsi="David"/>
          <w:rtl/>
        </w:rPr>
      </w:pPr>
    </w:p>
    <w:p w:rsidR="00622D9A" w:rsidRDefault="00622D9A" w:rsidP="00622D9A">
      <w:pPr>
        <w:spacing w:line="360" w:lineRule="auto"/>
        <w:ind w:left="2154" w:hanging="714"/>
        <w:jc w:val="both"/>
        <w:rPr>
          <w:rFonts w:ascii="David" w:hAnsi="David"/>
          <w:rtl/>
        </w:rPr>
      </w:pPr>
      <w:r>
        <w:rPr>
          <w:rFonts w:ascii="David" w:hAnsi="David"/>
          <w:rtl/>
        </w:rPr>
        <w:tab/>
        <w:t>פתגם עממי  עתיק  הורנו ש</w:t>
      </w:r>
      <w:r>
        <w:rPr>
          <w:rFonts w:ascii="David" w:hAnsi="David" w:hint="cs"/>
          <w:rtl/>
        </w:rPr>
        <w:t>'</w:t>
      </w:r>
      <w:r>
        <w:rPr>
          <w:rFonts w:ascii="David" w:hAnsi="David"/>
          <w:rtl/>
        </w:rPr>
        <w:t>מרוב עצים לא ניתן לראות את היער</w:t>
      </w:r>
      <w:r>
        <w:rPr>
          <w:rFonts w:ascii="David" w:hAnsi="David" w:hint="cs"/>
          <w:rtl/>
        </w:rPr>
        <w:t>'</w:t>
      </w:r>
      <w:r>
        <w:rPr>
          <w:rFonts w:ascii="David" w:hAnsi="David"/>
          <w:rtl/>
        </w:rPr>
        <w:t xml:space="preserve"> </w:t>
      </w:r>
      <w:r>
        <w:rPr>
          <w:rFonts w:ascii="David" w:hAnsi="David" w:hint="cs"/>
          <w:rtl/>
        </w:rPr>
        <w:t xml:space="preserve"> לשון אחר </w:t>
      </w:r>
      <w:r>
        <w:rPr>
          <w:rFonts w:ascii="David" w:hAnsi="David"/>
          <w:rtl/>
        </w:rPr>
        <w:t xml:space="preserve">בקיומם של כל כך הרבה פרטים ודברים לא ניתן לראות את הדבר החשוב.  </w:t>
      </w:r>
      <w:r>
        <w:rPr>
          <w:rFonts w:ascii="David" w:hAnsi="David" w:hint="cs"/>
          <w:rtl/>
        </w:rPr>
        <w:t>צא ולמד!</w:t>
      </w:r>
    </w:p>
    <w:p w:rsidR="00622D9A" w:rsidRDefault="00622D9A" w:rsidP="00622D9A">
      <w:pPr>
        <w:spacing w:line="360" w:lineRule="auto"/>
        <w:ind w:left="2154" w:hanging="714"/>
        <w:jc w:val="both"/>
        <w:rPr>
          <w:rFonts w:ascii="David" w:hAnsi="David"/>
          <w:rtl/>
        </w:rPr>
      </w:pPr>
    </w:p>
    <w:p w:rsidR="00622D9A" w:rsidRDefault="00622D9A" w:rsidP="00622D9A">
      <w:pPr>
        <w:spacing w:line="360" w:lineRule="auto"/>
        <w:ind w:left="843" w:hanging="708"/>
        <w:jc w:val="both"/>
        <w:rPr>
          <w:rFonts w:ascii="David" w:hAnsi="David"/>
          <w:rtl/>
        </w:rPr>
      </w:pPr>
      <w:r>
        <w:rPr>
          <w:rFonts w:ascii="David" w:hAnsi="David"/>
          <w:rtl/>
        </w:rPr>
        <w:lastRenderedPageBreak/>
        <w:tab/>
      </w:r>
      <w:r>
        <w:rPr>
          <w:rFonts w:ascii="David" w:hAnsi="David" w:hint="cs"/>
          <w:rtl/>
        </w:rPr>
        <w:t>ט</w:t>
      </w:r>
      <w:r>
        <w:rPr>
          <w:rFonts w:ascii="David" w:hAnsi="David"/>
          <w:rtl/>
        </w:rPr>
        <w:t>.</w:t>
      </w:r>
      <w:r>
        <w:rPr>
          <w:rFonts w:ascii="David" w:hAnsi="David"/>
          <w:rtl/>
        </w:rPr>
        <w:tab/>
        <w:t xml:space="preserve">ניחא כך. אלא שגם תגובתן המאוחרת מעלה תהיות. </w:t>
      </w:r>
    </w:p>
    <w:p w:rsidR="00622D9A" w:rsidRDefault="00622D9A" w:rsidP="00622D9A">
      <w:pPr>
        <w:spacing w:line="360" w:lineRule="auto"/>
        <w:ind w:left="843" w:hanging="708"/>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בהקשר לאמור לעיל אין ב</w:t>
      </w:r>
      <w:r>
        <w:rPr>
          <w:rFonts w:ascii="David" w:hAnsi="David" w:hint="cs"/>
          <w:rtl/>
        </w:rPr>
        <w:t xml:space="preserve">תגובה המאוחרת </w:t>
      </w:r>
      <w:r>
        <w:rPr>
          <w:rFonts w:ascii="David" w:hAnsi="David"/>
          <w:rtl/>
        </w:rPr>
        <w:t>מילוי אחר ההנחיה שבהחלטתי שהובילה להגשת</w:t>
      </w:r>
      <w:r>
        <w:rPr>
          <w:rFonts w:ascii="David" w:hAnsi="David" w:hint="cs"/>
          <w:rtl/>
        </w:rPr>
        <w:t>ה</w:t>
      </w:r>
      <w:r>
        <w:rPr>
          <w:rFonts w:ascii="David" w:hAnsi="David"/>
          <w:rtl/>
        </w:rPr>
        <w:t xml:space="preserve">, החלטה שהייתה מדויקת באשר למצופה מהמשיבות. חלף זאת בקונסטרוקציה של טעות סופר הפנו המשיבות לפסקי דין אחרים, נוספים, שלטעמן יש בהם כדי לשלול את בקשת המבקשות. </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hanging="600"/>
        <w:jc w:val="both"/>
        <w:rPr>
          <w:rFonts w:ascii="David" w:hAnsi="David"/>
          <w:rtl/>
        </w:rPr>
      </w:pPr>
      <w:r>
        <w:rPr>
          <w:rFonts w:ascii="David" w:hAnsi="David" w:hint="cs"/>
          <w:rtl/>
        </w:rPr>
        <w:t>י</w:t>
      </w:r>
      <w:r>
        <w:rPr>
          <w:rFonts w:ascii="David" w:hAnsi="David"/>
          <w:rtl/>
        </w:rPr>
        <w:t>.</w:t>
      </w:r>
      <w:r>
        <w:rPr>
          <w:rFonts w:ascii="David" w:hAnsi="David"/>
          <w:rtl/>
        </w:rPr>
        <w:tab/>
        <w:t>מעיון בפסיקה אליה הפנו המשיבות בתגובתן המאוחרת אין מחיקה של טענתן לעניין מעמדה של המשפחה ביחס לאפוטרופוס לדין, אלא שזו הורחבה למעמדו ותפקידו של אפוטרופוס ממונה על ידי בית המשפט אל מול "אפוטרופוס למעשה" – "ידיד קרוב" (</w:t>
      </w:r>
      <w:r>
        <w:rPr>
          <w:rFonts w:ascii="David" w:hAnsi="David"/>
          <w:u w:val="single"/>
          <w:rtl/>
        </w:rPr>
        <w:t xml:space="preserve">ע"א 8/74 </w:t>
      </w:r>
      <w:r>
        <w:rPr>
          <w:rFonts w:ascii="David" w:hAnsi="David"/>
          <w:rtl/>
        </w:rPr>
        <w:t xml:space="preserve"> </w:t>
      </w:r>
      <w:r>
        <w:rPr>
          <w:rFonts w:ascii="David" w:hAnsi="David"/>
          <w:b/>
          <w:bCs/>
          <w:rtl/>
        </w:rPr>
        <w:t xml:space="preserve">לייזרוביץ </w:t>
      </w:r>
      <w:r>
        <w:rPr>
          <w:rFonts w:ascii="David" w:hAnsi="David"/>
          <w:rtl/>
        </w:rPr>
        <w:t xml:space="preserve">נ' </w:t>
      </w:r>
      <w:r>
        <w:rPr>
          <w:rFonts w:ascii="David" w:hAnsi="David"/>
          <w:b/>
          <w:bCs/>
          <w:rtl/>
        </w:rPr>
        <w:t>לייזרוביץ</w:t>
      </w:r>
      <w:r>
        <w:rPr>
          <w:rFonts w:ascii="David" w:hAnsi="David"/>
          <w:rtl/>
        </w:rPr>
        <w:t xml:space="preserve"> פ"ד כח (2) 436  ( 11.6.1974)) . </w:t>
      </w:r>
    </w:p>
    <w:p w:rsidR="00622D9A" w:rsidRDefault="00622D9A" w:rsidP="00622D9A">
      <w:pPr>
        <w:spacing w:line="360" w:lineRule="auto"/>
        <w:ind w:left="1440" w:hanging="600"/>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משכך, למעשה, הוחלפה/הורחבה טענתן של המשיבות מדיון על מעמדו המוגבל של אפוטרופוס לדין,</w:t>
      </w:r>
      <w:r>
        <w:rPr>
          <w:rFonts w:ascii="David" w:hAnsi="David" w:hint="cs"/>
          <w:rtl/>
        </w:rPr>
        <w:t xml:space="preserve"> </w:t>
      </w:r>
      <w:r>
        <w:rPr>
          <w:rFonts w:ascii="David" w:hAnsi="David"/>
          <w:rtl/>
        </w:rPr>
        <w:t>כהבנתן, למערכת היחסים בין אפוטרופוס ממונה לבין "אפוטרופוס למעשה" -"ידיד קרוב" של מי  שמונה לו אפוטרופוס.</w:t>
      </w:r>
    </w:p>
    <w:p w:rsidR="00622D9A" w:rsidRDefault="00622D9A" w:rsidP="00622D9A">
      <w:pPr>
        <w:spacing w:line="360" w:lineRule="auto"/>
        <w:ind w:left="1440"/>
        <w:jc w:val="both"/>
        <w:rPr>
          <w:rFonts w:ascii="David" w:hAnsi="David"/>
          <w:rtl/>
        </w:rPr>
      </w:pPr>
    </w:p>
    <w:p w:rsidR="00622D9A" w:rsidRDefault="00622D9A" w:rsidP="00622D9A">
      <w:pPr>
        <w:spacing w:line="360" w:lineRule="auto"/>
        <w:ind w:left="1440" w:hanging="597"/>
        <w:jc w:val="both"/>
        <w:rPr>
          <w:rFonts w:ascii="David" w:hAnsi="David"/>
          <w:rtl/>
        </w:rPr>
      </w:pPr>
      <w:r>
        <w:rPr>
          <w:rFonts w:ascii="David" w:hAnsi="David" w:hint="cs"/>
          <w:rtl/>
        </w:rPr>
        <w:t>יא</w:t>
      </w:r>
      <w:r>
        <w:rPr>
          <w:rFonts w:ascii="David" w:hAnsi="David"/>
          <w:rtl/>
        </w:rPr>
        <w:t>.</w:t>
      </w:r>
      <w:r>
        <w:rPr>
          <w:rFonts w:ascii="David" w:hAnsi="David"/>
          <w:rtl/>
        </w:rPr>
        <w:tab/>
        <w:t>אלא שהמעיין בתגובה למד שהיא בנויה רוב רובה ומסתמכת על פסק הדין שניתן ב-</w:t>
      </w:r>
      <w:r>
        <w:rPr>
          <w:rFonts w:ascii="David" w:hAnsi="David"/>
          <w:u w:val="single"/>
          <w:rtl/>
        </w:rPr>
        <w:t xml:space="preserve">תמ"ש (ים) 19361/98 </w:t>
      </w:r>
      <w:r>
        <w:rPr>
          <w:rFonts w:ascii="David" w:hAnsi="David"/>
          <w:rtl/>
        </w:rPr>
        <w:t xml:space="preserve">החסויה </w:t>
      </w:r>
      <w:r>
        <w:rPr>
          <w:rFonts w:ascii="David" w:hAnsi="David"/>
          <w:b/>
          <w:bCs/>
          <w:rtl/>
        </w:rPr>
        <w:t>ש.ב.</w:t>
      </w:r>
      <w:r>
        <w:rPr>
          <w:rFonts w:ascii="David" w:hAnsi="David"/>
          <w:rtl/>
        </w:rPr>
        <w:t xml:space="preserve"> נ' </w:t>
      </w:r>
      <w:r>
        <w:rPr>
          <w:rFonts w:ascii="David" w:hAnsi="David"/>
          <w:b/>
          <w:bCs/>
          <w:rtl/>
        </w:rPr>
        <w:t>מ.ס.</w:t>
      </w:r>
      <w:r>
        <w:rPr>
          <w:rFonts w:ascii="David" w:hAnsi="David"/>
          <w:rtl/>
        </w:rPr>
        <w:t xml:space="preserve"> (21.9.2006)). (להלן</w:t>
      </w:r>
      <w:r>
        <w:rPr>
          <w:rFonts w:ascii="David" w:hAnsi="David" w:hint="cs"/>
          <w:rtl/>
        </w:rPr>
        <w:t>-</w:t>
      </w:r>
      <w:r>
        <w:rPr>
          <w:rFonts w:ascii="David" w:hAnsi="David"/>
          <w:rtl/>
        </w:rPr>
        <w:t xml:space="preserve"> </w:t>
      </w:r>
      <w:r w:rsidRPr="009C32FC">
        <w:rPr>
          <w:rFonts w:ascii="Miriam" w:hAnsi="Miriam" w:cs="Miriam"/>
          <w:b/>
          <w:bCs/>
          <w:rtl/>
        </w:rPr>
        <w:t>עניין החסויה ש.ב.</w:t>
      </w:r>
      <w:r w:rsidRPr="009C32FC">
        <w:rPr>
          <w:rFonts w:ascii="David" w:hAnsi="David"/>
          <w:rtl/>
        </w:rPr>
        <w:t>).</w:t>
      </w:r>
      <w:r>
        <w:rPr>
          <w:rFonts w:ascii="David" w:hAnsi="David"/>
          <w:rtl/>
        </w:rPr>
        <w:t xml:space="preserve"> התגובה האמורה מביאה את סעיפי פסק הדין כטיעון 'מפורק' מטעם המשיבות</w:t>
      </w:r>
      <w:r>
        <w:rPr>
          <w:rFonts w:ascii="David" w:hAnsi="David" w:hint="cs"/>
          <w:rtl/>
        </w:rPr>
        <w:t xml:space="preserve"> (יוער שאופן הבאת הדברים מקשה על ההבנה אם מובאים הדברים כלשונם אם לאו)</w:t>
      </w:r>
      <w:r>
        <w:rPr>
          <w:rFonts w:ascii="David" w:hAnsi="David"/>
          <w:rtl/>
        </w:rPr>
        <w:t>. הארכת התגובה בפירוק פסק הדין בעניין החסויה ש.ב.  לסעיפי טיעון, כאמור, מיותר והיה נכון להפנות אליו</w:t>
      </w:r>
      <w:r>
        <w:rPr>
          <w:rFonts w:ascii="David" w:hAnsi="David" w:hint="cs"/>
          <w:rtl/>
        </w:rPr>
        <w:t>.</w:t>
      </w:r>
      <w:r>
        <w:rPr>
          <w:rFonts w:ascii="David" w:hAnsi="David"/>
          <w:rtl/>
        </w:rPr>
        <w:t xml:space="preserve"> מקל וחומר שחלק מהסעיפים האמורים אינם רלוונטיים למקרה. באותה התדיינות </w:t>
      </w:r>
      <w:r>
        <w:rPr>
          <w:rFonts w:ascii="David" w:hAnsi="David" w:hint="cs"/>
          <w:rtl/>
        </w:rPr>
        <w:t xml:space="preserve">שם </w:t>
      </w:r>
      <w:r>
        <w:rPr>
          <w:rFonts w:ascii="David" w:hAnsi="David"/>
          <w:rtl/>
        </w:rPr>
        <w:lastRenderedPageBreak/>
        <w:t>העלתה הנתבעת טענה באשר ל</w:t>
      </w:r>
      <w:r>
        <w:rPr>
          <w:rFonts w:ascii="David" w:hAnsi="David" w:hint="cs"/>
          <w:rtl/>
        </w:rPr>
        <w:t xml:space="preserve">פרשנות המרחיבה </w:t>
      </w:r>
      <w:r>
        <w:rPr>
          <w:rFonts w:ascii="David" w:hAnsi="David"/>
          <w:rtl/>
        </w:rPr>
        <w:t>של בית המשפט המחוזי לסעיף 32(א) ל</w:t>
      </w:r>
      <w:r>
        <w:rPr>
          <w:rFonts w:ascii="David" w:hAnsi="David" w:hint="cs"/>
          <w:rtl/>
        </w:rPr>
        <w:t>-</w:t>
      </w:r>
      <w:r w:rsidRPr="00586DAA">
        <w:rPr>
          <w:rFonts w:ascii="David" w:hAnsi="David"/>
          <w:u w:val="single"/>
          <w:rtl/>
        </w:rPr>
        <w:t>תקנות</w:t>
      </w:r>
      <w:r w:rsidRPr="00586DAA">
        <w:rPr>
          <w:rFonts w:ascii="David" w:hAnsi="David" w:hint="cs"/>
          <w:u w:val="single"/>
          <w:rtl/>
        </w:rPr>
        <w:t xml:space="preserve"> סדר הדין האזרחי תשמ"ד-1984</w:t>
      </w:r>
      <w:r>
        <w:rPr>
          <w:rFonts w:ascii="David" w:hAnsi="David" w:hint="cs"/>
          <w:rtl/>
        </w:rPr>
        <w:t xml:space="preserve"> </w:t>
      </w:r>
      <w:r>
        <w:rPr>
          <w:rFonts w:ascii="David" w:hAnsi="David"/>
          <w:rtl/>
        </w:rPr>
        <w:t>(להלן-</w:t>
      </w:r>
      <w:r>
        <w:rPr>
          <w:rFonts w:ascii="Miriam" w:hAnsi="Miriam" w:cs="Miriam"/>
          <w:b/>
          <w:bCs/>
          <w:rtl/>
        </w:rPr>
        <w:t>התקנות הישנות</w:t>
      </w:r>
      <w:r>
        <w:rPr>
          <w:rFonts w:ascii="David" w:hAnsi="David" w:hint="cs"/>
          <w:rtl/>
        </w:rPr>
        <w:t>)</w:t>
      </w:r>
      <w:r>
        <w:rPr>
          <w:rFonts w:ascii="David" w:hAnsi="David"/>
          <w:rtl/>
        </w:rPr>
        <w:t xml:space="preserve"> </w:t>
      </w:r>
      <w:r>
        <w:rPr>
          <w:rFonts w:ascii="David" w:hAnsi="David" w:hint="cs"/>
          <w:rtl/>
        </w:rPr>
        <w:t xml:space="preserve">משכך ניתח </w:t>
      </w:r>
      <w:r>
        <w:rPr>
          <w:rFonts w:ascii="David" w:hAnsi="David"/>
          <w:rtl/>
        </w:rPr>
        <w:t>בית המשפט שם את ה</w:t>
      </w:r>
      <w:r>
        <w:rPr>
          <w:rFonts w:ascii="David" w:hAnsi="David" w:hint="cs"/>
          <w:rtl/>
        </w:rPr>
        <w:t xml:space="preserve">טענה </w:t>
      </w:r>
      <w:r>
        <w:rPr>
          <w:rFonts w:ascii="David" w:hAnsi="David"/>
          <w:rtl/>
        </w:rPr>
        <w:t xml:space="preserve">בסעיפים 17-15 לפסק </w:t>
      </w:r>
      <w:r>
        <w:rPr>
          <w:rFonts w:ascii="David" w:hAnsi="David" w:hint="cs"/>
          <w:rtl/>
        </w:rPr>
        <w:t>דינו</w:t>
      </w:r>
      <w:r>
        <w:rPr>
          <w:rFonts w:ascii="David" w:hAnsi="David"/>
          <w:rtl/>
        </w:rPr>
        <w:t xml:space="preserve"> ואלה הובאו בסעיפים 19-16 </w:t>
      </w:r>
      <w:r>
        <w:rPr>
          <w:rFonts w:ascii="David" w:hAnsi="David" w:hint="cs"/>
          <w:rtl/>
        </w:rPr>
        <w:t xml:space="preserve">לתגובה המאוחרת </w:t>
      </w:r>
      <w:r>
        <w:rPr>
          <w:rFonts w:ascii="David" w:hAnsi="David"/>
          <w:rtl/>
        </w:rPr>
        <w:t xml:space="preserve">ואני תמה למה? הרי מחלוקת כזו לא עלתה לפני. כך גם הדיון על מצבו של מר </w:t>
      </w:r>
      <w:r w:rsidR="006361E1">
        <w:rPr>
          <w:rFonts w:ascii="David" w:hAnsi="David"/>
          <w:rtl/>
        </w:rPr>
        <w:t>ו.</w:t>
      </w:r>
      <w:r>
        <w:rPr>
          <w:rFonts w:ascii="David" w:hAnsi="David"/>
          <w:rtl/>
        </w:rPr>
        <w:t xml:space="preserve"> האם הוכרז כפסול דין אם לאו לצורך זכות עמידתן אינה רלוונטית לפני. נהפוך הוא. (ראו דברי ב"כ המשיבות שהובאו לעיל</w:t>
      </w:r>
      <w:r>
        <w:rPr>
          <w:rFonts w:ascii="David" w:hAnsi="David" w:hint="cs"/>
          <w:rtl/>
        </w:rPr>
        <w:t xml:space="preserve"> בס' 7</w:t>
      </w:r>
      <w:r>
        <w:rPr>
          <w:rFonts w:ascii="David" w:hAnsi="David"/>
          <w:rtl/>
        </w:rPr>
        <w:t>).</w:t>
      </w:r>
    </w:p>
    <w:p w:rsidR="00622D9A" w:rsidRDefault="00622D9A" w:rsidP="00622D9A">
      <w:pPr>
        <w:spacing w:line="360" w:lineRule="auto"/>
        <w:ind w:left="1440" w:hanging="597"/>
        <w:jc w:val="both"/>
        <w:rPr>
          <w:rFonts w:ascii="David" w:hAnsi="David"/>
          <w:rtl/>
        </w:rPr>
      </w:pPr>
    </w:p>
    <w:p w:rsidR="00622D9A" w:rsidRDefault="00622D9A" w:rsidP="00622D9A">
      <w:pPr>
        <w:spacing w:line="360" w:lineRule="auto"/>
        <w:ind w:left="1440"/>
        <w:jc w:val="both"/>
        <w:rPr>
          <w:rFonts w:ascii="David" w:hAnsi="David"/>
          <w:rtl/>
        </w:rPr>
      </w:pPr>
      <w:r>
        <w:rPr>
          <w:rFonts w:ascii="David" w:hAnsi="David"/>
          <w:rtl/>
        </w:rPr>
        <w:t xml:space="preserve">לא מצאתי עוד להרחיב, אולם, כאמור, התגובה </w:t>
      </w:r>
      <w:r>
        <w:rPr>
          <w:rFonts w:ascii="David" w:hAnsi="David" w:hint="cs"/>
          <w:rtl/>
        </w:rPr>
        <w:t xml:space="preserve">ככלל </w:t>
      </w:r>
      <w:r>
        <w:rPr>
          <w:rFonts w:ascii="David" w:hAnsi="David"/>
          <w:rtl/>
        </w:rPr>
        <w:t xml:space="preserve">היא פסק הדין בעניין החסויה ש.ב. </w:t>
      </w:r>
    </w:p>
    <w:p w:rsidR="00622D9A" w:rsidRDefault="00622D9A" w:rsidP="00622D9A">
      <w:pPr>
        <w:spacing w:line="360" w:lineRule="auto"/>
        <w:ind w:left="1440"/>
        <w:jc w:val="both"/>
        <w:rPr>
          <w:rFonts w:ascii="David" w:hAnsi="David"/>
          <w:rtl/>
        </w:rPr>
      </w:pPr>
      <w:r>
        <w:rPr>
          <w:rFonts w:ascii="David" w:hAnsi="David"/>
          <w:rtl/>
        </w:rPr>
        <w:t xml:space="preserve">  </w:t>
      </w:r>
    </w:p>
    <w:p w:rsidR="00622D9A" w:rsidRDefault="00622D9A" w:rsidP="00622D9A">
      <w:pPr>
        <w:spacing w:line="360" w:lineRule="auto"/>
        <w:ind w:left="843" w:hanging="708"/>
        <w:jc w:val="both"/>
        <w:rPr>
          <w:rFonts w:ascii="David" w:hAnsi="David"/>
          <w:rtl/>
        </w:rPr>
      </w:pPr>
      <w:r>
        <w:rPr>
          <w:rFonts w:ascii="David" w:hAnsi="David"/>
          <w:rtl/>
        </w:rPr>
        <w:t>9.</w:t>
      </w:r>
      <w:r>
        <w:rPr>
          <w:rFonts w:ascii="David" w:hAnsi="David"/>
          <w:rtl/>
        </w:rPr>
        <w:tab/>
        <w:t>השאלה המונחת לפני היא אם כן האם לתובעות זכות עמידה והן יכולות להמשיך ולנהל את התביעה במקום אביהן, חרף מינויו של אפוטרופוס לרכושו של האב וכן מינוי של אפוטרופוס לדין. ביחס לאחרון יודגש שהמשיבות חזרו מעמדתן ביחס לאפוטרופוס לדין.</w:t>
      </w:r>
    </w:p>
    <w:p w:rsidR="00622D9A" w:rsidRDefault="00622D9A" w:rsidP="00622D9A">
      <w:pPr>
        <w:spacing w:line="360" w:lineRule="auto"/>
        <w:ind w:left="843" w:hanging="708"/>
        <w:jc w:val="both"/>
        <w:rPr>
          <w:rFonts w:ascii="David" w:hAnsi="David"/>
          <w:rtl/>
        </w:rPr>
      </w:pPr>
    </w:p>
    <w:p w:rsidR="00622D9A" w:rsidRDefault="00622D9A" w:rsidP="00622D9A">
      <w:pPr>
        <w:spacing w:line="360" w:lineRule="auto"/>
        <w:ind w:left="843" w:hanging="708"/>
        <w:jc w:val="both"/>
        <w:rPr>
          <w:rFonts w:ascii="David" w:hAnsi="David"/>
          <w:rtl/>
        </w:rPr>
      </w:pPr>
      <w:r>
        <w:rPr>
          <w:rFonts w:ascii="David" w:hAnsi="David"/>
          <w:rtl/>
        </w:rPr>
        <w:t>10.</w:t>
      </w:r>
      <w:r>
        <w:rPr>
          <w:rFonts w:ascii="David" w:hAnsi="David"/>
          <w:rtl/>
        </w:rPr>
        <w:tab/>
        <w:t xml:space="preserve">בחינת הפסיקה אליה הפנו המשיבות ממקד את הדיון ביחס לסעיף 32 (א) לתקנות </w:t>
      </w:r>
      <w:r>
        <w:rPr>
          <w:rFonts w:ascii="David" w:hAnsi="David" w:hint="cs"/>
          <w:rtl/>
        </w:rPr>
        <w:t xml:space="preserve">הישנות </w:t>
      </w:r>
      <w:r>
        <w:rPr>
          <w:rFonts w:ascii="David" w:hAnsi="David"/>
          <w:rtl/>
        </w:rPr>
        <w:t>שזו לשונה: "</w:t>
      </w:r>
      <w:r>
        <w:rPr>
          <w:rFonts w:ascii="David" w:hAnsi="David"/>
          <w:b/>
          <w:bCs/>
          <w:rtl/>
        </w:rPr>
        <w:t>פסול דין רשאי לתבוע לדין על ידי אפוטרופסו או ידידו הקרוב; כן רשאי להתגונן בדין על ידי אפוטרופוס</w:t>
      </w:r>
      <w:r>
        <w:rPr>
          <w:rFonts w:ascii="David" w:hAnsi="David"/>
          <w:rtl/>
        </w:rPr>
        <w:t>". מכוח סעיף זה קבעה הפסיקה אליה הפנה ב"כ המשיבות שידיד קרוב קמה לו זכות לייצג אינטרס של פסול דין</w:t>
      </w:r>
      <w:r>
        <w:rPr>
          <w:rFonts w:ascii="David" w:hAnsi="David" w:hint="cs"/>
          <w:rtl/>
        </w:rPr>
        <w:t xml:space="preserve">. </w:t>
      </w:r>
      <w:r>
        <w:rPr>
          <w:rFonts w:ascii="David" w:hAnsi="David"/>
          <w:rtl/>
        </w:rPr>
        <w:t xml:space="preserve">על כן, לכאורה, מכוח פסיקה זו </w:t>
      </w:r>
      <w:r>
        <w:rPr>
          <w:rFonts w:ascii="David" w:hAnsi="David" w:hint="cs"/>
          <w:rtl/>
        </w:rPr>
        <w:t>סברו המשיבות ש</w:t>
      </w:r>
      <w:r>
        <w:rPr>
          <w:rFonts w:ascii="David" w:hAnsi="David"/>
          <w:rtl/>
        </w:rPr>
        <w:t>גם לעת הזו קמה להן הזכות לייצג את מה שנחזה בעיניהן האינטרס של אביהן בהיותן ידידותיו הקרובות.</w:t>
      </w:r>
    </w:p>
    <w:p w:rsidR="00622D9A" w:rsidRDefault="00622D9A" w:rsidP="00622D9A">
      <w:pPr>
        <w:spacing w:line="360" w:lineRule="auto"/>
        <w:ind w:left="843" w:hanging="708"/>
        <w:jc w:val="both"/>
        <w:rPr>
          <w:rFonts w:ascii="David" w:hAnsi="David"/>
          <w:rtl/>
        </w:rPr>
      </w:pPr>
    </w:p>
    <w:p w:rsidR="00622D9A" w:rsidRDefault="00622D9A" w:rsidP="000F2C29">
      <w:pPr>
        <w:spacing w:line="360" w:lineRule="auto"/>
        <w:ind w:left="843" w:hanging="708"/>
        <w:jc w:val="both"/>
        <w:rPr>
          <w:rFonts w:ascii="David" w:hAnsi="David"/>
          <w:rtl/>
        </w:rPr>
      </w:pPr>
      <w:r>
        <w:rPr>
          <w:rFonts w:ascii="David" w:hAnsi="David"/>
          <w:rtl/>
        </w:rPr>
        <w:t>11.</w:t>
      </w:r>
      <w:r>
        <w:rPr>
          <w:rFonts w:ascii="David" w:hAnsi="David"/>
          <w:rtl/>
        </w:rPr>
        <w:tab/>
        <w:t>כזכור, למר ו</w:t>
      </w:r>
      <w:r w:rsidR="000F2C29">
        <w:rPr>
          <w:rFonts w:ascii="David" w:hAnsi="David" w:hint="cs"/>
          <w:rtl/>
        </w:rPr>
        <w:t>.</w:t>
      </w:r>
      <w:r>
        <w:rPr>
          <w:rFonts w:ascii="David" w:hAnsi="David"/>
          <w:rtl/>
        </w:rPr>
        <w:t xml:space="preserve"> מונתה אפוטרופא לדין וכן מונה אפוטרופוס לרכושו.  "</w:t>
      </w:r>
      <w:r>
        <w:rPr>
          <w:rFonts w:ascii="David" w:hAnsi="David"/>
          <w:b/>
          <w:bCs/>
          <w:rtl/>
        </w:rPr>
        <w:t xml:space="preserve">התקנה אמנם מתייחסת למצב שבו לפסול דין אין אפוטרופוס, אך מצב זה נדיר, אם בכלל, שכן בעת ההכרזה על אדם כפסול דין ממונה לו בדרך כלל אפוטרופוס. לכן, מינוי ידיד קרוב כנציג בתביעת פסול </w:t>
      </w:r>
      <w:r>
        <w:rPr>
          <w:rFonts w:ascii="David" w:hAnsi="David"/>
          <w:b/>
          <w:bCs/>
          <w:rtl/>
        </w:rPr>
        <w:lastRenderedPageBreak/>
        <w:t>דין מתבצע בעיקר במקרים של תביעת פסול דין כנגד האפוטרופוס שלו</w:t>
      </w:r>
      <w:r>
        <w:rPr>
          <w:rFonts w:ascii="David" w:hAnsi="David"/>
          <w:rtl/>
        </w:rPr>
        <w:t>...</w:t>
      </w:r>
      <w:r>
        <w:rPr>
          <w:rFonts w:ascii="David" w:hAnsi="David"/>
          <w:b/>
          <w:bCs/>
          <w:rtl/>
        </w:rPr>
        <w:t>או במקרים שהאפוטרופוס מאשר לידיד הקרוב להגיש תביעה בשם פסול הדין</w:t>
      </w:r>
      <w:r>
        <w:rPr>
          <w:rFonts w:ascii="David" w:hAnsi="David"/>
          <w:rtl/>
        </w:rPr>
        <w:t xml:space="preserve">" (משה בן דוד </w:t>
      </w:r>
      <w:r>
        <w:rPr>
          <w:rFonts w:ascii="David" w:hAnsi="David"/>
          <w:u w:val="single"/>
          <w:rtl/>
        </w:rPr>
        <w:t xml:space="preserve">אפוטרופסות הלכה למעשה </w:t>
      </w:r>
      <w:r>
        <w:rPr>
          <w:rFonts w:ascii="David" w:hAnsi="David"/>
          <w:rtl/>
        </w:rPr>
        <w:t xml:space="preserve"> (2015) עמ' 31). </w:t>
      </w:r>
    </w:p>
    <w:p w:rsidR="00622D9A" w:rsidRDefault="00622D9A" w:rsidP="00622D9A">
      <w:pPr>
        <w:spacing w:line="360" w:lineRule="auto"/>
        <w:ind w:left="843" w:hanging="708"/>
        <w:jc w:val="both"/>
        <w:rPr>
          <w:rFonts w:ascii="David" w:hAnsi="David"/>
          <w:rtl/>
        </w:rPr>
      </w:pPr>
    </w:p>
    <w:p w:rsidR="00622D9A" w:rsidRDefault="00622D9A" w:rsidP="00622D9A">
      <w:pPr>
        <w:spacing w:line="360" w:lineRule="auto"/>
        <w:ind w:left="843" w:hanging="708"/>
        <w:jc w:val="both"/>
        <w:rPr>
          <w:rFonts w:ascii="David" w:hAnsi="David"/>
          <w:rtl/>
        </w:rPr>
      </w:pPr>
      <w:r>
        <w:rPr>
          <w:rFonts w:ascii="David" w:hAnsi="David"/>
          <w:rtl/>
        </w:rPr>
        <w:t>12.</w:t>
      </w:r>
      <w:r>
        <w:rPr>
          <w:rFonts w:ascii="David" w:hAnsi="David"/>
          <w:rtl/>
        </w:rPr>
        <w:tab/>
        <w:t xml:space="preserve">כאמור, פסק הדין המרכזי עליו הסתמכו המשיבות הוא בעניין החסויה ש.ב. ובתגובתן המאוחרת ציטטו המשיבות את מרבית ההפניות והציטוטים של הפסיקה הנוספת שצוטטה בתגובתן המאוחרת כפי שהובאו על ידי בית במשפט בעניין החסויה ש.ב.  </w:t>
      </w:r>
    </w:p>
    <w:p w:rsidR="00622D9A" w:rsidRDefault="00622D9A" w:rsidP="00622D9A">
      <w:pPr>
        <w:spacing w:line="360" w:lineRule="auto"/>
        <w:ind w:left="843" w:hanging="708"/>
        <w:jc w:val="both"/>
        <w:rPr>
          <w:rFonts w:ascii="David" w:hAnsi="David"/>
          <w:rtl/>
        </w:rPr>
      </w:pPr>
    </w:p>
    <w:p w:rsidR="00622D9A" w:rsidRDefault="00622D9A" w:rsidP="00622D9A">
      <w:pPr>
        <w:spacing w:line="360" w:lineRule="auto"/>
        <w:ind w:left="843" w:hanging="708"/>
        <w:jc w:val="both"/>
        <w:rPr>
          <w:rtl/>
        </w:rPr>
      </w:pPr>
      <w:r>
        <w:rPr>
          <w:rFonts w:ascii="David" w:hAnsi="David"/>
          <w:rtl/>
        </w:rPr>
        <w:tab/>
        <w:t xml:space="preserve">על פי פסק הדין בעניין עובר להגשת התביעה מושא פסק הדין שם הגיש התובע בקשה למנותו אפוטרופוס נוסף לרכושה של אמם של הצדדים </w:t>
      </w:r>
      <w:r>
        <w:rPr>
          <w:rtl/>
        </w:rPr>
        <w:t>"...</w:t>
      </w:r>
      <w:r>
        <w:rPr>
          <w:b/>
          <w:bCs/>
          <w:rtl/>
        </w:rPr>
        <w:t>כל זאת, על מנת לאפשר לו לפתוח בהליכים מתאימים מטעם החסויה כנגד הנתבעת לצורך השבת כספי החסויה, אותם נטלה, לטענתו, הנתבעת שלא כדין, ותוך ניצול חולשת החסויה ומחלתה. בנימוקי הבקשה מציין התובע, שציפה כי האפוטרופוס הכללי והקרן לטיפול בחסויים ינקטו בצעדים הדרושים להשבת כספי החסויה מהנתבעת, אולם הם נקטו במדיניות של "שב ואל תעשה"</w:t>
      </w:r>
      <w:r>
        <w:rPr>
          <w:rtl/>
        </w:rPr>
        <w:t>."</w:t>
      </w:r>
    </w:p>
    <w:p w:rsidR="00622D9A" w:rsidRDefault="00622D9A" w:rsidP="00622D9A">
      <w:pPr>
        <w:spacing w:line="360" w:lineRule="auto"/>
        <w:ind w:left="843" w:hanging="708"/>
        <w:jc w:val="both"/>
        <w:rPr>
          <w:rFonts w:asciiTheme="minorHAnsi" w:hAnsiTheme="minorHAnsi"/>
          <w:rtl/>
        </w:rPr>
      </w:pPr>
    </w:p>
    <w:p w:rsidR="00622D9A" w:rsidRDefault="00622D9A" w:rsidP="00622D9A">
      <w:pPr>
        <w:spacing w:line="360" w:lineRule="auto"/>
        <w:ind w:left="843" w:hanging="708"/>
        <w:jc w:val="both"/>
        <w:rPr>
          <w:rtl/>
        </w:rPr>
      </w:pPr>
      <w:r>
        <w:rPr>
          <w:rtl/>
        </w:rPr>
        <w:tab/>
        <w:t>לאחר שקיים דיון קבע שם בית המשפט "</w:t>
      </w:r>
      <w:r>
        <w:rPr>
          <w:b/>
          <w:bCs/>
          <w:rtl/>
        </w:rPr>
        <w:t>לאור דברי המשיבים נראה שאין צורך למנות אפוטרופוס נוסף לחסויה</w:t>
      </w:r>
      <w:r>
        <w:rPr>
          <w:rtl/>
        </w:rPr>
        <w:t>...</w:t>
      </w:r>
      <w:r>
        <w:rPr>
          <w:b/>
          <w:bCs/>
          <w:rtl/>
        </w:rPr>
        <w:t>ב"כ המבקש מסכים לשנות את בקשתו, וזאת גם בהסכמת הצדדים האחרים, מבלי שהם מוותרים על כל טענה שהיא, ולכן יוכל המבקש לפעול כידיד קרוב של החסויה על מנת להגיש תביעה</w:t>
      </w:r>
      <w:r>
        <w:rPr>
          <w:rtl/>
        </w:rPr>
        <w:t xml:space="preserve">...". הסכמה שהייתה אפשרית רק מכוח קיומה של תקנה 32(א) לתקנות הישנות. </w:t>
      </w:r>
    </w:p>
    <w:p w:rsidR="00622D9A" w:rsidRDefault="00622D9A" w:rsidP="00622D9A">
      <w:pPr>
        <w:spacing w:line="360" w:lineRule="auto"/>
        <w:ind w:left="843" w:hanging="708"/>
        <w:jc w:val="both"/>
        <w:rPr>
          <w:rtl/>
        </w:rPr>
      </w:pPr>
    </w:p>
    <w:p w:rsidR="00622D9A" w:rsidRPr="00192665" w:rsidRDefault="00622D9A" w:rsidP="00622D9A">
      <w:pPr>
        <w:spacing w:line="360" w:lineRule="auto"/>
        <w:ind w:left="843" w:hanging="708"/>
        <w:jc w:val="both"/>
        <w:rPr>
          <w:rtl/>
        </w:rPr>
      </w:pPr>
      <w:r w:rsidRPr="00192665">
        <w:rPr>
          <w:rtl/>
        </w:rPr>
        <w:lastRenderedPageBreak/>
        <w:tab/>
        <w:t>מכוחה של החלטה זו הוגשה התביעה שם. בהגנתה טענה הנתבעת שאין לתת לתובע מעמד לתבוע בשם האם  "</w:t>
      </w:r>
      <w:r w:rsidRPr="00192665">
        <w:rPr>
          <w:rFonts w:ascii="David" w:hAnsi="David"/>
          <w:b/>
          <w:bCs/>
          <w:rtl/>
        </w:rPr>
        <w:t xml:space="preserve">שכן </w:t>
      </w:r>
      <w:hyperlink r:id="rId5" w:history="1">
        <w:r w:rsidRPr="00192665">
          <w:rPr>
            <w:rStyle w:val="Hyperlink"/>
            <w:rFonts w:ascii="David" w:hAnsi="David"/>
            <w:b/>
            <w:bCs/>
            <w:rtl/>
          </w:rPr>
          <w:t>תקנה 32(א)</w:t>
        </w:r>
      </w:hyperlink>
      <w:r w:rsidRPr="00192665">
        <w:rPr>
          <w:rFonts w:ascii="David" w:hAnsi="David"/>
          <w:b/>
          <w:bCs/>
          <w:u w:val="single"/>
          <w:rtl/>
        </w:rPr>
        <w:t xml:space="preserve"> ל</w:t>
      </w:r>
      <w:hyperlink r:id="rId6" w:history="1">
        <w:r w:rsidRPr="00192665">
          <w:rPr>
            <w:rStyle w:val="Hyperlink"/>
            <w:rFonts w:ascii="David" w:hAnsi="David"/>
            <w:b/>
            <w:bCs/>
            <w:rtl/>
          </w:rPr>
          <w:t>תקנות סדר הדין האזרחי</w:t>
        </w:r>
      </w:hyperlink>
      <w:r w:rsidRPr="00192665">
        <w:rPr>
          <w:rFonts w:ascii="David" w:hAnsi="David"/>
          <w:b/>
          <w:bCs/>
          <w:rtl/>
        </w:rPr>
        <w:t>, תשמ"ד- 1984 דנה במינוי ידיד קרוב לפסולי דין בלבד, כאשר החסויה מעולם לא הוכרזה כפסולת דין. לאור זאת, ובהעדר מעמד לתובע, דין התובענה להימחק על הסף</w:t>
      </w:r>
      <w:r w:rsidRPr="00192665">
        <w:rPr>
          <w:rFonts w:ascii="Latha" w:hAnsi="Latha"/>
          <w:rtl/>
        </w:rPr>
        <w:t>.</w:t>
      </w:r>
      <w:r w:rsidRPr="00192665">
        <w:rPr>
          <w:rtl/>
        </w:rPr>
        <w:t>"</w:t>
      </w:r>
    </w:p>
    <w:p w:rsidR="00622D9A" w:rsidRDefault="00622D9A" w:rsidP="00622D9A">
      <w:pPr>
        <w:spacing w:line="360" w:lineRule="auto"/>
        <w:ind w:left="843" w:hanging="708"/>
        <w:jc w:val="both"/>
        <w:rPr>
          <w:rtl/>
        </w:rPr>
      </w:pPr>
    </w:p>
    <w:p w:rsidR="00622D9A" w:rsidRDefault="00622D9A" w:rsidP="00622D9A">
      <w:pPr>
        <w:spacing w:line="360" w:lineRule="auto"/>
        <w:ind w:left="843" w:hanging="708"/>
        <w:jc w:val="both"/>
        <w:rPr>
          <w:rtl/>
        </w:rPr>
      </w:pPr>
      <w:r>
        <w:rPr>
          <w:rtl/>
        </w:rPr>
        <w:tab/>
        <w:t xml:space="preserve">בפסק דינו שהתייחס לתביעה גופה ניתח בית המשפט  שם את מעמדו של הידיד הקרוב.  </w:t>
      </w:r>
      <w:r>
        <w:rPr>
          <w:rFonts w:hint="cs"/>
          <w:rtl/>
        </w:rPr>
        <w:t xml:space="preserve">איני מקבל, לשון המעטה, את הפרשנות </w:t>
      </w:r>
      <w:r>
        <w:rPr>
          <w:rtl/>
        </w:rPr>
        <w:t xml:space="preserve"> שיש בתוצאות פסק הדין בעניין החסויה ש.ב  ל</w:t>
      </w:r>
      <w:r>
        <w:rPr>
          <w:rFonts w:hint="cs"/>
          <w:rtl/>
        </w:rPr>
        <w:t>הנחות אותי,  לל</w:t>
      </w:r>
      <w:r>
        <w:rPr>
          <w:rtl/>
        </w:rPr>
        <w:t xml:space="preserve">מד כיוון להחלטתי זו, בעיקר לעת הזו. אבהיר. </w:t>
      </w:r>
    </w:p>
    <w:p w:rsidR="00622D9A" w:rsidRDefault="00622D9A" w:rsidP="00622D9A">
      <w:pPr>
        <w:spacing w:line="360" w:lineRule="auto"/>
        <w:ind w:left="843" w:hanging="708"/>
        <w:jc w:val="both"/>
        <w:rPr>
          <w:rtl/>
        </w:rPr>
      </w:pPr>
    </w:p>
    <w:p w:rsidR="00622D9A" w:rsidRDefault="00622D9A" w:rsidP="00622D9A">
      <w:pPr>
        <w:spacing w:line="360" w:lineRule="auto"/>
        <w:ind w:left="843" w:hanging="708"/>
        <w:jc w:val="both"/>
        <w:rPr>
          <w:rtl/>
        </w:rPr>
      </w:pPr>
      <w:r>
        <w:rPr>
          <w:rtl/>
        </w:rPr>
        <w:t>13.</w:t>
      </w:r>
      <w:r>
        <w:rPr>
          <w:rtl/>
        </w:rPr>
        <w:tab/>
        <w:t>פסיקתם של בתי המשפט אינה נקבעת בחלל ריק</w:t>
      </w:r>
      <w:r>
        <w:rPr>
          <w:rFonts w:hint="cs"/>
          <w:rtl/>
        </w:rPr>
        <w:t xml:space="preserve">. הפסיקה </w:t>
      </w:r>
      <w:r>
        <w:rPr>
          <w:rtl/>
        </w:rPr>
        <w:t>אמור</w:t>
      </w:r>
      <w:r>
        <w:rPr>
          <w:rFonts w:hint="cs"/>
          <w:rtl/>
        </w:rPr>
        <w:t>ה</w:t>
      </w:r>
      <w:r>
        <w:rPr>
          <w:rtl/>
        </w:rPr>
        <w:t xml:space="preserve"> לעלות בקנה אחד עם קביעת המחוקק</w:t>
      </w:r>
      <w:r>
        <w:rPr>
          <w:rFonts w:hint="cs"/>
          <w:rtl/>
        </w:rPr>
        <w:t xml:space="preserve"> (ער אני לקיומן של לאקונות אך קביעתי זו נכונה ככלל)</w:t>
      </w:r>
      <w:r>
        <w:rPr>
          <w:rtl/>
        </w:rPr>
        <w:t xml:space="preserve">. כאמור, הסתמכות הפסיקה על מעמדו של הידיד הקרוב התבססה על תקנה 32 (א) לתקנות הישנות. </w:t>
      </w:r>
    </w:p>
    <w:p w:rsidR="00622D9A" w:rsidRDefault="00622D9A" w:rsidP="00622D9A">
      <w:pPr>
        <w:spacing w:line="360" w:lineRule="auto"/>
        <w:ind w:left="843" w:hanging="708"/>
        <w:jc w:val="both"/>
        <w:rPr>
          <w:rtl/>
        </w:rPr>
      </w:pPr>
    </w:p>
    <w:p w:rsidR="00622D9A" w:rsidRDefault="00622D9A" w:rsidP="00622D9A">
      <w:pPr>
        <w:spacing w:line="360" w:lineRule="auto"/>
        <w:ind w:left="843" w:hanging="123"/>
        <w:jc w:val="both"/>
        <w:rPr>
          <w:rtl/>
        </w:rPr>
      </w:pPr>
      <w:r>
        <w:rPr>
          <w:rtl/>
        </w:rPr>
        <w:t xml:space="preserve">ביום 1.1.2021 נפל דבר. </w:t>
      </w:r>
    </w:p>
    <w:p w:rsidR="00622D9A" w:rsidRDefault="00622D9A" w:rsidP="00622D9A">
      <w:pPr>
        <w:spacing w:line="360" w:lineRule="auto"/>
        <w:ind w:left="843" w:hanging="123"/>
        <w:jc w:val="both"/>
        <w:rPr>
          <w:rtl/>
        </w:rPr>
      </w:pPr>
    </w:p>
    <w:p w:rsidR="00622D9A" w:rsidRDefault="00622D9A" w:rsidP="00622D9A">
      <w:pPr>
        <w:spacing w:line="360" w:lineRule="auto"/>
        <w:ind w:left="843" w:hanging="850"/>
        <w:jc w:val="both"/>
        <w:rPr>
          <w:rtl/>
        </w:rPr>
      </w:pPr>
      <w:r>
        <w:rPr>
          <w:rtl/>
        </w:rPr>
        <w:t>14.</w:t>
      </w:r>
      <w:r>
        <w:rPr>
          <w:rtl/>
        </w:rPr>
        <w:tab/>
        <w:t>תקנות סדר הדין האזרחי שינו פניהן ו</w:t>
      </w:r>
      <w:r>
        <w:rPr>
          <w:rFonts w:hint="cs"/>
          <w:rtl/>
        </w:rPr>
        <w:t xml:space="preserve">ממועד זה </w:t>
      </w:r>
      <w:r>
        <w:rPr>
          <w:rtl/>
        </w:rPr>
        <w:t>החלה תקופתן של תקנות סדר הדין האזרחי תשע"ט- 2018 (להלן-</w:t>
      </w:r>
      <w:r>
        <w:rPr>
          <w:rFonts w:ascii="Miriam" w:hAnsi="Miriam" w:cs="Miriam"/>
          <w:b/>
          <w:bCs/>
          <w:rtl/>
        </w:rPr>
        <w:t>התקנות החדשות</w:t>
      </w:r>
      <w:r>
        <w:rPr>
          <w:rtl/>
        </w:rPr>
        <w:t xml:space="preserve">). </w:t>
      </w:r>
    </w:p>
    <w:p w:rsidR="00622D9A" w:rsidRDefault="00622D9A" w:rsidP="00622D9A">
      <w:pPr>
        <w:spacing w:line="360" w:lineRule="auto"/>
        <w:ind w:left="843" w:hanging="850"/>
        <w:jc w:val="both"/>
        <w:rPr>
          <w:rtl/>
        </w:rPr>
      </w:pPr>
    </w:p>
    <w:p w:rsidR="00622D9A" w:rsidRDefault="00622D9A" w:rsidP="00622D9A">
      <w:pPr>
        <w:spacing w:line="360" w:lineRule="auto"/>
        <w:ind w:left="843"/>
        <w:jc w:val="both"/>
        <w:rPr>
          <w:rtl/>
        </w:rPr>
      </w:pPr>
      <w:r>
        <w:rPr>
          <w:rFonts w:hint="cs"/>
          <w:rtl/>
        </w:rPr>
        <w:t>נשוב ונצין ש</w:t>
      </w:r>
      <w:r>
        <w:rPr>
          <w:rtl/>
        </w:rPr>
        <w:t>מעמדו של הידיד הקרוב עוגן בתקנות הישנות בתקנה 32 (א) מצויה בפרק ד' לתקנות "</w:t>
      </w:r>
      <w:r>
        <w:rPr>
          <w:b/>
          <w:bCs/>
          <w:rtl/>
        </w:rPr>
        <w:t>בעלי הדין וייצוגם</w:t>
      </w:r>
      <w:r>
        <w:rPr>
          <w:rtl/>
        </w:rPr>
        <w:t>" סימן ג' "</w:t>
      </w:r>
      <w:r>
        <w:rPr>
          <w:b/>
          <w:bCs/>
          <w:rtl/>
        </w:rPr>
        <w:t>פסולי דין</w:t>
      </w:r>
      <w:r>
        <w:rPr>
          <w:rtl/>
        </w:rPr>
        <w:t xml:space="preserve">". בתקנות החדשות </w:t>
      </w:r>
      <w:r>
        <w:rPr>
          <w:u w:val="single"/>
          <w:rtl/>
        </w:rPr>
        <w:t>נפקד מקומו של הידיד</w:t>
      </w:r>
      <w:r>
        <w:rPr>
          <w:rtl/>
        </w:rPr>
        <w:t>. בפרק כ' לתקנות החדשות  "</w:t>
      </w:r>
      <w:r>
        <w:rPr>
          <w:b/>
          <w:bCs/>
          <w:rtl/>
        </w:rPr>
        <w:t>הוראות כלליות</w:t>
      </w:r>
      <w:r>
        <w:rPr>
          <w:rtl/>
        </w:rPr>
        <w:t>" סימן א' "</w:t>
      </w:r>
      <w:r>
        <w:rPr>
          <w:b/>
          <w:bCs/>
          <w:rtl/>
        </w:rPr>
        <w:t>ייצוג בעלי דין ופסולי דין</w:t>
      </w:r>
      <w:r>
        <w:rPr>
          <w:rtl/>
        </w:rPr>
        <w:t>" נקבע בסעיף 172 א' לתקנות החדשות מי רשאי לייצג פסול דין או מי שזקוק לאפוטרופוס.</w:t>
      </w:r>
    </w:p>
    <w:tbl>
      <w:tblPr>
        <w:tblStyle w:val="a4"/>
        <w:bidiVisual/>
        <w:tblW w:w="0" w:type="auto"/>
        <w:tblInd w:w="843" w:type="dxa"/>
        <w:tblLook w:val="04A0" w:firstRow="1" w:lastRow="0" w:firstColumn="1" w:lastColumn="0" w:noHBand="0" w:noVBand="1"/>
      </w:tblPr>
      <w:tblGrid>
        <w:gridCol w:w="3894"/>
        <w:gridCol w:w="3893"/>
      </w:tblGrid>
      <w:tr w:rsidR="00622D9A" w:rsidTr="007A7007">
        <w:tc>
          <w:tcPr>
            <w:tcW w:w="3894" w:type="dxa"/>
            <w:tcBorders>
              <w:top w:val="single" w:sz="4" w:space="0" w:color="auto"/>
              <w:left w:val="single" w:sz="4" w:space="0" w:color="auto"/>
              <w:bottom w:val="single" w:sz="4" w:space="0" w:color="auto"/>
              <w:right w:val="single" w:sz="4" w:space="0" w:color="auto"/>
            </w:tcBorders>
            <w:hideMark/>
          </w:tcPr>
          <w:p w:rsidR="00622D9A" w:rsidRDefault="00622D9A" w:rsidP="007A7007">
            <w:pPr>
              <w:spacing w:line="360" w:lineRule="auto"/>
              <w:jc w:val="center"/>
              <w:rPr>
                <w:rtl/>
              </w:rPr>
            </w:pPr>
            <w:r>
              <w:rPr>
                <w:rtl/>
              </w:rPr>
              <w:lastRenderedPageBreak/>
              <w:t xml:space="preserve">תקנה 32 (א) לתקנות הישנות קובעת </w:t>
            </w:r>
          </w:p>
        </w:tc>
        <w:tc>
          <w:tcPr>
            <w:tcW w:w="3893" w:type="dxa"/>
            <w:tcBorders>
              <w:top w:val="single" w:sz="4" w:space="0" w:color="auto"/>
              <w:left w:val="single" w:sz="4" w:space="0" w:color="auto"/>
              <w:bottom w:val="single" w:sz="4" w:space="0" w:color="auto"/>
              <w:right w:val="single" w:sz="4" w:space="0" w:color="auto"/>
            </w:tcBorders>
            <w:hideMark/>
          </w:tcPr>
          <w:p w:rsidR="00622D9A" w:rsidRDefault="00622D9A" w:rsidP="007A7007">
            <w:pPr>
              <w:spacing w:line="360" w:lineRule="auto"/>
              <w:jc w:val="center"/>
              <w:rPr>
                <w:rtl/>
              </w:rPr>
            </w:pPr>
            <w:r>
              <w:rPr>
                <w:rtl/>
              </w:rPr>
              <w:t xml:space="preserve">תקנה 172 א' לתקנות החדשות קובעת </w:t>
            </w:r>
          </w:p>
        </w:tc>
      </w:tr>
      <w:tr w:rsidR="00622D9A" w:rsidTr="007A7007">
        <w:tc>
          <w:tcPr>
            <w:tcW w:w="3894" w:type="dxa"/>
            <w:tcBorders>
              <w:top w:val="single" w:sz="4" w:space="0" w:color="auto"/>
              <w:left w:val="single" w:sz="4" w:space="0" w:color="auto"/>
              <w:bottom w:val="single" w:sz="4" w:space="0" w:color="auto"/>
              <w:right w:val="single" w:sz="4" w:space="0" w:color="auto"/>
            </w:tcBorders>
            <w:hideMark/>
          </w:tcPr>
          <w:p w:rsidR="00622D9A" w:rsidRDefault="00622D9A" w:rsidP="007A7007">
            <w:pPr>
              <w:spacing w:line="360" w:lineRule="auto"/>
              <w:jc w:val="both"/>
              <w:rPr>
                <w:rtl/>
              </w:rPr>
            </w:pPr>
            <w:r>
              <w:rPr>
                <w:rtl/>
              </w:rPr>
              <w:t>"</w:t>
            </w:r>
            <w:r>
              <w:rPr>
                <w:b/>
                <w:bCs/>
                <w:rtl/>
              </w:rPr>
              <w:t>פסול דין רשאי לתבוע לדין על ידי אפוטרופסו או ידידו הקרוב; כן רשאי הוא להתגונן בדין על ידי אפוטרופוס</w:t>
            </w:r>
            <w:r>
              <w:rPr>
                <w:rtl/>
              </w:rPr>
              <w:t xml:space="preserve"> "</w:t>
            </w:r>
          </w:p>
        </w:tc>
        <w:tc>
          <w:tcPr>
            <w:tcW w:w="3893" w:type="dxa"/>
            <w:tcBorders>
              <w:top w:val="single" w:sz="4" w:space="0" w:color="auto"/>
              <w:left w:val="single" w:sz="4" w:space="0" w:color="auto"/>
              <w:bottom w:val="single" w:sz="4" w:space="0" w:color="auto"/>
              <w:right w:val="single" w:sz="4" w:space="0" w:color="auto"/>
            </w:tcBorders>
            <w:hideMark/>
          </w:tcPr>
          <w:p w:rsidR="00622D9A" w:rsidRDefault="00622D9A" w:rsidP="007A7007">
            <w:pPr>
              <w:spacing w:line="360" w:lineRule="auto"/>
              <w:jc w:val="both"/>
              <w:rPr>
                <w:rtl/>
              </w:rPr>
            </w:pPr>
            <w:r>
              <w:rPr>
                <w:rtl/>
              </w:rPr>
              <w:t>"</w:t>
            </w:r>
            <w:r>
              <w:rPr>
                <w:b/>
                <w:bCs/>
                <w:rtl/>
              </w:rPr>
              <w:t>בית המשפט רשאי למנות לפסול דין, או למי שזקוק לאפוטרופוס, אפוטרופוס לדין שייצגו ייצוג מלא בכל ההליכים בבית המשפט</w:t>
            </w:r>
            <w:r>
              <w:rPr>
                <w:rtl/>
              </w:rPr>
              <w:t>".</w:t>
            </w:r>
          </w:p>
        </w:tc>
      </w:tr>
    </w:tbl>
    <w:p w:rsidR="00622D9A" w:rsidRDefault="00622D9A" w:rsidP="00622D9A">
      <w:pPr>
        <w:spacing w:line="360" w:lineRule="auto"/>
        <w:ind w:left="843"/>
        <w:jc w:val="both"/>
        <w:rPr>
          <w:rFonts w:asciiTheme="minorHAnsi" w:hAnsiTheme="minorHAnsi"/>
          <w:rtl/>
        </w:rPr>
      </w:pPr>
    </w:p>
    <w:p w:rsidR="00622D9A" w:rsidRDefault="00622D9A" w:rsidP="00622D9A">
      <w:pPr>
        <w:spacing w:line="360" w:lineRule="auto"/>
        <w:ind w:left="720" w:hanging="727"/>
        <w:jc w:val="both"/>
        <w:rPr>
          <w:rFonts w:ascii="David" w:hAnsi="David"/>
          <w:rtl/>
        </w:rPr>
      </w:pPr>
      <w:r>
        <w:rPr>
          <w:rtl/>
        </w:rPr>
        <w:t>15.</w:t>
      </w:r>
      <w:r>
        <w:rPr>
          <w:rtl/>
        </w:rPr>
        <w:tab/>
        <w:t xml:space="preserve">התובנה המתבקשת מהשוואת שני הסעיפים היא </w:t>
      </w:r>
      <w:r>
        <w:rPr>
          <w:rFonts w:ascii="David" w:hAnsi="David"/>
          <w:rtl/>
        </w:rPr>
        <w:t>שהמחוקק ביקש לרכז את ייצוגו של פסול דין בידי גורם ממונה-על ידי בית המשפט</w:t>
      </w:r>
      <w:r>
        <w:rPr>
          <w:rFonts w:ascii="David" w:hAnsi="David" w:hint="cs"/>
          <w:rtl/>
        </w:rPr>
        <w:t xml:space="preserve"> - אפוטרופוס</w:t>
      </w:r>
      <w:r>
        <w:rPr>
          <w:rFonts w:ascii="David" w:hAnsi="David"/>
          <w:rtl/>
        </w:rPr>
        <w:t xml:space="preserve">.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r>
      <w:r>
        <w:rPr>
          <w:rFonts w:ascii="David" w:hAnsi="David" w:hint="cs"/>
          <w:rtl/>
        </w:rPr>
        <w:t>מושכלות ראשונים ש</w:t>
      </w:r>
      <w:r>
        <w:rPr>
          <w:rFonts w:ascii="David" w:hAnsi="David"/>
          <w:rtl/>
        </w:rPr>
        <w:t>"</w:t>
      </w:r>
      <w:r>
        <w:rPr>
          <w:rFonts w:ascii="David" w:hAnsi="David"/>
          <w:b/>
          <w:bCs/>
          <w:rtl/>
        </w:rPr>
        <w:t>כשהמחוקק מגלה את דעתו בחקיקה מפורשת אשר כזאת, כי אז משתנה או מתבטל החוק המקורי שעה שהחוק המתקן או המבטל נכנס לתוקפו</w:t>
      </w:r>
      <w:r w:rsidRPr="00DF1CE9">
        <w:rPr>
          <w:rFonts w:ascii="David" w:hAnsi="David"/>
          <w:rtl/>
        </w:rPr>
        <w:t>...</w:t>
      </w:r>
      <w:r>
        <w:rPr>
          <w:rFonts w:ascii="David" w:hAnsi="David"/>
          <w:b/>
          <w:bCs/>
          <w:rtl/>
        </w:rPr>
        <w:t>חזקה על המחוקק שאין בכוונתו לתת תוקף לשני חוקים הסותרים זה את זה על נושא אחד, אלא שהיה בכוונתו, בתתו תוקף לחוק האחרון, לבטל את תוקפו של החוק הראשון. גם אם שני החוקים יכולים לעמוד יחדיו, אלא שהוראה פלונית שבחוק האחרון מביאה שינוי בהוראה פלמונית של החוק הראשון, רואים את החוק הראשון כאילו תוקן על ידי החוק האחרון, אף אם כוונת הביטול לא הגיעה לידי ביטוי מפורש</w:t>
      </w:r>
      <w:r>
        <w:rPr>
          <w:rFonts w:ascii="David" w:hAnsi="David"/>
          <w:rtl/>
        </w:rPr>
        <w:t xml:space="preserve">..." (חיים כהן, </w:t>
      </w:r>
      <w:r>
        <w:rPr>
          <w:rFonts w:ascii="David" w:hAnsi="David"/>
          <w:u w:val="single"/>
          <w:rtl/>
        </w:rPr>
        <w:t>המשפט</w:t>
      </w:r>
      <w:r>
        <w:rPr>
          <w:rFonts w:ascii="David" w:hAnsi="David"/>
          <w:rtl/>
        </w:rPr>
        <w:t xml:space="preserve"> (1996) (להלן- </w:t>
      </w:r>
      <w:r>
        <w:rPr>
          <w:rFonts w:ascii="Miriam" w:hAnsi="Miriam" w:cs="Miriam"/>
          <w:b/>
          <w:bCs/>
          <w:rtl/>
        </w:rPr>
        <w:t>כהן</w:t>
      </w:r>
      <w:r>
        <w:rPr>
          <w:rFonts w:ascii="David" w:hAnsi="David"/>
          <w:rtl/>
        </w:rPr>
        <w:t>) עמ' 176-175).</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16.</w:t>
      </w:r>
      <w:r>
        <w:rPr>
          <w:rFonts w:ascii="David" w:hAnsi="David"/>
          <w:rtl/>
        </w:rPr>
        <w:tab/>
        <w:t xml:space="preserve">תובנה זו אינה </w:t>
      </w:r>
      <w:r>
        <w:rPr>
          <w:rFonts w:ascii="David" w:hAnsi="David" w:hint="cs"/>
          <w:rtl/>
        </w:rPr>
        <w:t xml:space="preserve">מתגבשת </w:t>
      </w:r>
      <w:r>
        <w:rPr>
          <w:rFonts w:ascii="David" w:hAnsi="David"/>
          <w:rtl/>
        </w:rPr>
        <w:t>בחלל ריק והיא תיתמך להלן מתוך החקיקה הרלוונטית. ברם, טרם בחינת האמור ראוי לבחון מיהו אותו 'אפוטרופוס למעשה' אותו 'ידיד קרוב' שהמחוקק ביקש  בתקנות החדשות להגביל את סמכויותיו לפעול בהגשת תביעה בשם פסול דין</w:t>
      </w:r>
      <w:r>
        <w:rPr>
          <w:rFonts w:ascii="David" w:hAnsi="David" w:hint="cs"/>
          <w:rtl/>
        </w:rPr>
        <w:t xml:space="preserve"> ואולי יש בכך להבהיר את השינוי</w:t>
      </w:r>
      <w:r>
        <w:rPr>
          <w:rFonts w:ascii="David" w:hAnsi="David"/>
          <w:rtl/>
        </w:rPr>
        <w:t xml:space="preserve">. </w:t>
      </w:r>
    </w:p>
    <w:p w:rsidR="00622D9A" w:rsidRDefault="00622D9A" w:rsidP="00622D9A">
      <w:pPr>
        <w:spacing w:line="360" w:lineRule="auto"/>
        <w:ind w:left="720" w:hanging="727"/>
        <w:jc w:val="both"/>
        <w:rPr>
          <w:rFonts w:ascii="David" w:hAnsi="David"/>
          <w:rtl/>
        </w:rPr>
      </w:pPr>
    </w:p>
    <w:p w:rsidR="00622D9A" w:rsidRDefault="00622D9A" w:rsidP="00622D9A">
      <w:pPr>
        <w:pStyle w:val="Ruller50"/>
        <w:spacing w:line="360" w:lineRule="auto"/>
        <w:ind w:left="720" w:right="0" w:hanging="585"/>
        <w:rPr>
          <w:rFonts w:ascii="David" w:hAnsi="David" w:cs="David"/>
          <w:sz w:val="24"/>
          <w:szCs w:val="24"/>
          <w:rtl/>
        </w:rPr>
      </w:pPr>
      <w:r>
        <w:rPr>
          <w:rFonts w:ascii="David" w:hAnsi="David" w:cs="David"/>
          <w:sz w:val="24"/>
          <w:szCs w:val="24"/>
          <w:rtl/>
        </w:rPr>
        <w:lastRenderedPageBreak/>
        <w:tab/>
      </w:r>
      <w:r>
        <w:rPr>
          <w:rFonts w:ascii="David" w:hAnsi="David" w:cs="David"/>
          <w:spacing w:val="0"/>
          <w:sz w:val="24"/>
          <w:szCs w:val="24"/>
          <w:rtl/>
        </w:rPr>
        <w:t>על פי סעיף 67 לחוק הכשרות המשפטית אפוטרופוס למעשה הוא "</w:t>
      </w:r>
      <w:r>
        <w:rPr>
          <w:rFonts w:ascii="David" w:hAnsi="David" w:cs="David"/>
          <w:b/>
          <w:bCs/>
          <w:spacing w:val="0"/>
          <w:sz w:val="24"/>
          <w:szCs w:val="24"/>
          <w:rtl/>
        </w:rPr>
        <w:t>מי שפועל כאפוטרופוס, חובותיו ואחריותו כלפי החסוי יהיו לפי הוראות פרק זה, אף אם לא נתמנה כלל או שהיה פגם במינויו או שהתפטר או פוטר או שפקעה אפוטרופסותו.</w:t>
      </w:r>
      <w:r>
        <w:rPr>
          <w:rFonts w:ascii="David" w:hAnsi="David" w:cs="David"/>
          <w:spacing w:val="0"/>
          <w:sz w:val="24"/>
          <w:szCs w:val="24"/>
          <w:rtl/>
        </w:rPr>
        <w:t>" אמור מעתה שלהבדיל מאפוטרופוס על פי מינוי של בית משפט, סמכויותיו ותפקידיו של אפוטרופוס למעשה לא מוגדרים בחוק. לעניין זה נקבע:</w:t>
      </w:r>
    </w:p>
    <w:p w:rsidR="00622D9A" w:rsidRDefault="00622D9A" w:rsidP="00622D9A">
      <w:pPr>
        <w:pStyle w:val="Ruller50"/>
        <w:spacing w:line="360" w:lineRule="auto"/>
        <w:ind w:left="843" w:right="0"/>
        <w:rPr>
          <w:rFonts w:ascii="David" w:hAnsi="David" w:cs="David"/>
          <w:sz w:val="24"/>
          <w:szCs w:val="24"/>
          <w:rtl/>
        </w:rPr>
      </w:pPr>
    </w:p>
    <w:p w:rsidR="00622D9A" w:rsidRPr="00C91652" w:rsidRDefault="00622D9A" w:rsidP="00622D9A">
      <w:pPr>
        <w:pStyle w:val="Ruller50"/>
        <w:spacing w:line="360" w:lineRule="auto"/>
        <w:ind w:left="843" w:right="0"/>
        <w:rPr>
          <w:rFonts w:ascii="David" w:hAnsi="David" w:cs="David"/>
          <w:b/>
          <w:bCs/>
          <w:spacing w:val="0"/>
          <w:sz w:val="24"/>
          <w:szCs w:val="24"/>
          <w:rtl/>
        </w:rPr>
      </w:pPr>
      <w:r w:rsidRPr="00C91652">
        <w:rPr>
          <w:rFonts w:ascii="David" w:hAnsi="David" w:cs="David"/>
          <w:sz w:val="24"/>
          <w:szCs w:val="24"/>
          <w:rtl/>
        </w:rPr>
        <w:t>"</w:t>
      </w:r>
      <w:r w:rsidRPr="00C91652">
        <w:rPr>
          <w:rFonts w:ascii="David" w:hAnsi="David" w:cs="David"/>
          <w:b/>
          <w:bCs/>
          <w:sz w:val="24"/>
          <w:szCs w:val="24"/>
          <w:rtl/>
        </w:rPr>
        <w:t>"</w:t>
      </w:r>
      <w:r w:rsidRPr="00C91652">
        <w:rPr>
          <w:rFonts w:ascii="David" w:hAnsi="David" w:cs="David"/>
          <w:b/>
          <w:bCs/>
          <w:spacing w:val="0"/>
          <w:sz w:val="24"/>
          <w:szCs w:val="24"/>
          <w:rtl/>
        </w:rPr>
        <w:t>ראוי לציין כי למרות האמור בסעיף 67 לחוק הכשרות, סמכויותיו, תפקידיו ואופן מילוי תפקידו של אפוטרופוס כזה אינם מוגדרים בחוק הכשרות וככל הנראה 'מוטת השליטה' שלו היא כ'אורך ידו'; דהיינו, הוא משמש אפוטרופוס לגבי אותם ענינים שהוא מבקש לפעול בהם, ואינו משמש אפוטרופוס לגבי ענינים שהוא מושך את ידו מהם" (</w:t>
      </w:r>
      <w:hyperlink r:id="rId7" w:history="1">
        <w:r w:rsidRPr="00C91652">
          <w:rPr>
            <w:rStyle w:val="Hyperlink"/>
            <w:rFonts w:ascii="David" w:hAnsi="David" w:cs="David"/>
            <w:b/>
            <w:bCs/>
            <w:spacing w:val="0"/>
            <w:sz w:val="24"/>
            <w:szCs w:val="24"/>
            <w:rtl/>
          </w:rPr>
          <w:t>ע"א 7805/02 הלפרט נ' אסותא מרכזים רפואיים בע"מ, פ"ד נח</w:t>
        </w:r>
      </w:hyperlink>
      <w:r w:rsidRPr="00C91652">
        <w:rPr>
          <w:rFonts w:ascii="David" w:hAnsi="David" w:cs="David"/>
          <w:b/>
          <w:bCs/>
          <w:spacing w:val="0"/>
          <w:sz w:val="24"/>
          <w:szCs w:val="24"/>
          <w:rtl/>
        </w:rPr>
        <w:t xml:space="preserve">(6) 847, 859 (2004) (להלן: עניין הלפרט)". </w:t>
      </w:r>
      <w:r w:rsidRPr="00C91652">
        <w:rPr>
          <w:rFonts w:ascii="David" w:hAnsi="David" w:cs="David"/>
          <w:spacing w:val="0"/>
          <w:sz w:val="24"/>
          <w:szCs w:val="24"/>
          <w:rtl/>
        </w:rPr>
        <w:t>(</w:t>
      </w:r>
      <w:r w:rsidRPr="00C91652">
        <w:rPr>
          <w:rFonts w:ascii="David" w:hAnsi="David" w:cs="David"/>
          <w:spacing w:val="0"/>
          <w:sz w:val="24"/>
          <w:szCs w:val="24"/>
          <w:u w:val="single"/>
          <w:rtl/>
        </w:rPr>
        <w:t>עא 3114/12</w:t>
      </w:r>
      <w:r w:rsidRPr="00C91652">
        <w:rPr>
          <w:rFonts w:ascii="David" w:hAnsi="David" w:cs="David"/>
          <w:spacing w:val="0"/>
          <w:sz w:val="24"/>
          <w:szCs w:val="24"/>
          <w:rtl/>
        </w:rPr>
        <w:t xml:space="preserve"> </w:t>
      </w:r>
      <w:r w:rsidRPr="00C91652">
        <w:rPr>
          <w:rFonts w:ascii="David" w:hAnsi="David" w:cs="David"/>
          <w:b/>
          <w:bCs/>
          <w:spacing w:val="0"/>
          <w:sz w:val="24"/>
          <w:szCs w:val="24"/>
          <w:rtl/>
        </w:rPr>
        <w:t>מנחם ששון</w:t>
      </w:r>
      <w:r w:rsidRPr="00C91652">
        <w:rPr>
          <w:rFonts w:ascii="David" w:hAnsi="David" w:cs="David"/>
          <w:spacing w:val="0"/>
          <w:sz w:val="24"/>
          <w:szCs w:val="24"/>
          <w:rtl/>
        </w:rPr>
        <w:t xml:space="preserve"> נ'</w:t>
      </w:r>
      <w:r w:rsidRPr="00C91652">
        <w:rPr>
          <w:rFonts w:ascii="David" w:hAnsi="David" w:cs="David"/>
          <w:b/>
          <w:bCs/>
          <w:spacing w:val="0"/>
          <w:sz w:val="24"/>
          <w:szCs w:val="24"/>
          <w:rtl/>
        </w:rPr>
        <w:t xml:space="preserve"> משרד הרווחה </w:t>
      </w:r>
      <w:r w:rsidRPr="00C91652">
        <w:rPr>
          <w:rFonts w:ascii="David" w:hAnsi="David" w:cs="David"/>
          <w:spacing w:val="0"/>
          <w:sz w:val="24"/>
          <w:szCs w:val="24"/>
          <w:rtl/>
        </w:rPr>
        <w:t xml:space="preserve">(13.4.2014) ס' 14). </w:t>
      </w:r>
    </w:p>
    <w:p w:rsidR="00622D9A" w:rsidRDefault="00622D9A" w:rsidP="00622D9A">
      <w:pPr>
        <w:pStyle w:val="Ruller50"/>
        <w:spacing w:line="360" w:lineRule="auto"/>
        <w:ind w:left="-7" w:right="0"/>
        <w:rPr>
          <w:rFonts w:ascii="David" w:hAnsi="David" w:cs="David"/>
          <w:sz w:val="24"/>
          <w:szCs w:val="24"/>
          <w:rtl/>
        </w:rPr>
      </w:pPr>
    </w:p>
    <w:p w:rsidR="00622D9A" w:rsidRDefault="00622D9A" w:rsidP="00622D9A">
      <w:pPr>
        <w:pStyle w:val="Ruller50"/>
        <w:spacing w:line="360" w:lineRule="auto"/>
        <w:ind w:left="713" w:right="0" w:hanging="720"/>
        <w:rPr>
          <w:rFonts w:ascii="David" w:hAnsi="David" w:cs="David"/>
          <w:sz w:val="24"/>
          <w:szCs w:val="24"/>
          <w:rtl/>
        </w:rPr>
      </w:pPr>
      <w:r>
        <w:rPr>
          <w:rFonts w:ascii="David" w:hAnsi="David" w:cs="David"/>
          <w:sz w:val="24"/>
          <w:szCs w:val="24"/>
          <w:rtl/>
        </w:rPr>
        <w:t>17.</w:t>
      </w:r>
      <w:r>
        <w:rPr>
          <w:rFonts w:ascii="David" w:hAnsi="David" w:cs="David"/>
          <w:sz w:val="24"/>
          <w:szCs w:val="24"/>
          <w:rtl/>
        </w:rPr>
        <w:tab/>
      </w:r>
      <w:r w:rsidRPr="00C76C71">
        <w:rPr>
          <w:rFonts w:ascii="David" w:hAnsi="David" w:cs="David"/>
          <w:noProof/>
          <w:spacing w:val="0"/>
          <w:sz w:val="24"/>
          <w:szCs w:val="24"/>
          <w:rtl/>
        </w:rPr>
        <w:t>תיקון 18 לחוק הכשרות המשפטית והאפוטרופסות</w:t>
      </w:r>
      <w:r w:rsidRPr="00C76C71">
        <w:rPr>
          <w:rFonts w:ascii="David" w:hAnsi="David" w:cs="David" w:hint="cs"/>
          <w:noProof/>
          <w:spacing w:val="0"/>
          <w:sz w:val="24"/>
          <w:szCs w:val="24"/>
          <w:rtl/>
        </w:rPr>
        <w:t xml:space="preserve"> </w:t>
      </w:r>
      <w:r w:rsidRPr="00C76C71">
        <w:rPr>
          <w:rFonts w:ascii="David" w:hAnsi="David" w:cs="David"/>
          <w:noProof/>
          <w:spacing w:val="0"/>
          <w:sz w:val="24"/>
          <w:szCs w:val="24"/>
          <w:rtl/>
        </w:rPr>
        <w:t>(תשע"ו-2016), ס"ח 2550, (להלן-תיקון 18) הוסיף כמסייע את ה"תומך בקבלת החלטות" (תקנה 67 ב. לחוק הכשרות המשפטית והאפוטרופסות).</w:t>
      </w:r>
      <w:r>
        <w:rPr>
          <w:rFonts w:ascii="David" w:hAnsi="David" w:cs="David"/>
          <w:sz w:val="24"/>
          <w:szCs w:val="24"/>
          <w:rtl/>
        </w:rPr>
        <w:tab/>
        <w:t xml:space="preserve">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 xml:space="preserve"> 18.</w:t>
      </w:r>
      <w:r>
        <w:rPr>
          <w:rFonts w:ascii="David" w:hAnsi="David"/>
          <w:rtl/>
        </w:rPr>
        <w:tab/>
        <w:t>דומה שאין מקום להרחיב בכך שהמחוקק בוחר מילותיו בקפידה בניסוח החוק והתקנות. "...</w:t>
      </w:r>
      <w:r>
        <w:rPr>
          <w:rFonts w:ascii="David" w:hAnsi="David"/>
          <w:b/>
          <w:bCs/>
          <w:rtl/>
        </w:rPr>
        <w:t>פרשני החוק מעמידים את המחוקק בחזקתו שאין הוא מוציא את מילותיו לריק</w:t>
      </w:r>
      <w:r>
        <w:rPr>
          <w:rFonts w:ascii="David" w:hAnsi="David"/>
          <w:rtl/>
        </w:rPr>
        <w:t xml:space="preserve">" (כהן, </w:t>
      </w:r>
      <w:r>
        <w:rPr>
          <w:rFonts w:ascii="David" w:hAnsi="David"/>
          <w:u w:val="single"/>
          <w:rtl/>
        </w:rPr>
        <w:t>שם</w:t>
      </w:r>
      <w:r>
        <w:rPr>
          <w:rFonts w:ascii="David" w:hAnsi="David"/>
          <w:rtl/>
        </w:rPr>
        <w:t xml:space="preserve"> עמ' 181).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19.</w:t>
      </w:r>
      <w:r>
        <w:rPr>
          <w:rFonts w:ascii="David" w:hAnsi="David"/>
          <w:rtl/>
        </w:rPr>
        <w:tab/>
        <w:t xml:space="preserve">לכאורה, קביעתי לעיל בדבר ביטול מעמדו של האפוטרופוס למעשה אותו ידיד קרוב כבעל יכולת הגשת תביעה לשמירת זכויות של פסול הדין </w:t>
      </w:r>
      <w:r>
        <w:rPr>
          <w:rFonts w:ascii="David" w:hAnsi="David" w:hint="cs"/>
          <w:rtl/>
        </w:rPr>
        <w:t xml:space="preserve">בתקנות החדשות </w:t>
      </w:r>
      <w:r>
        <w:rPr>
          <w:rFonts w:ascii="David" w:hAnsi="David"/>
          <w:rtl/>
        </w:rPr>
        <w:t xml:space="preserve">עומדת בסתירה לקבוע בחוק הכשרות המשפטית והאפוטרופסות.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jc w:val="both"/>
        <w:rPr>
          <w:rFonts w:ascii="David" w:hAnsi="David"/>
          <w:rtl/>
        </w:rPr>
      </w:pPr>
      <w:r>
        <w:rPr>
          <w:rFonts w:ascii="David" w:hAnsi="David"/>
          <w:rtl/>
        </w:rPr>
        <w:t xml:space="preserve">מכוח תיקון 18 הוסף לחוק הכשרות המשפטית והאפוטרופסות פרק שמוקדש לייפוי כוח מתמשך.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jc w:val="both"/>
        <w:rPr>
          <w:rFonts w:ascii="David" w:hAnsi="David"/>
          <w:rtl/>
        </w:rPr>
      </w:pPr>
      <w:r>
        <w:rPr>
          <w:rFonts w:ascii="David" w:hAnsi="David"/>
          <w:rtl/>
        </w:rPr>
        <w:t>סעיף 32 כז (א) קובע "</w:t>
      </w:r>
      <w:r>
        <w:rPr>
          <w:rFonts w:ascii="David" w:hAnsi="David"/>
          <w:b/>
          <w:bCs/>
          <w:rtl/>
        </w:rPr>
        <w:t>בית המשפט רשאי, מיוזמתו או לבקשת מי מהמנויים  בסעיף קטן (ב)</w:t>
      </w:r>
      <w:r>
        <w:rPr>
          <w:rFonts w:ascii="David" w:hAnsi="David"/>
          <w:rtl/>
        </w:rPr>
        <w:t xml:space="preserve"> </w:t>
      </w:r>
      <w:r>
        <w:rPr>
          <w:rFonts w:ascii="David" w:hAnsi="David"/>
          <w:b/>
          <w:bCs/>
          <w:rtl/>
        </w:rPr>
        <w:t>לתת הוראות בכל עניין הנוגע להפעלת סמכויותיו של מיופה כוח</w:t>
      </w:r>
      <w:r>
        <w:rPr>
          <w:rFonts w:ascii="David" w:hAnsi="David"/>
          <w:rtl/>
        </w:rPr>
        <w:t>...". סעיף קטן (ב) קובע שהמנויים הם: "</w:t>
      </w:r>
      <w:r>
        <w:rPr>
          <w:rFonts w:ascii="David" w:hAnsi="David"/>
          <w:b/>
          <w:bCs/>
          <w:rtl/>
        </w:rPr>
        <w:t>קרובו או ידיד קרוב שלו, מיופה כוח או היועץ המשפטי לממשלה או בא כוחו"</w:t>
      </w:r>
      <w:r>
        <w:rPr>
          <w:rFonts w:ascii="David" w:hAnsi="David"/>
          <w:rtl/>
        </w:rPr>
        <w:t xml:space="preserve"> .</w:t>
      </w:r>
    </w:p>
    <w:p w:rsidR="00622D9A" w:rsidRDefault="00622D9A" w:rsidP="00622D9A">
      <w:pPr>
        <w:spacing w:line="360" w:lineRule="auto"/>
        <w:ind w:left="720"/>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t>כך, סעיף 32 כט. (ב) קובע "</w:t>
      </w:r>
      <w:r>
        <w:rPr>
          <w:rFonts w:ascii="David" w:hAnsi="David"/>
          <w:b/>
          <w:bCs/>
          <w:rtl/>
        </w:rPr>
        <w:t>בקשה לביטול ייפוי כוח מתמשך בידי בית המשפט לפי סעיף זה וכן בקשה להגבלת ייפוי כוח מתמשך או למינוי אפוטרופוס נוסף על מיופה הכוח לפי סעיף 32 כח, רשאים להגיש היועץ המשפטי לממשלה או בא כוחו, הממנה, קרובו או ידיד קרוב שלו, ורשאי בית המשפט לבטל ייפוי כוח מתמשך לפי סעיף זה גם ביוזמתו</w:t>
      </w:r>
      <w:r>
        <w:rPr>
          <w:rFonts w:ascii="David" w:hAnsi="David"/>
          <w:rtl/>
        </w:rPr>
        <w:t>".</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20.</w:t>
      </w:r>
      <w:r>
        <w:rPr>
          <w:rFonts w:ascii="David" w:hAnsi="David"/>
          <w:rtl/>
        </w:rPr>
        <w:tab/>
        <w:t>ראש וראשון יאמר שמהאמור נלמד שכאשר ביקש המחוקק לתת סמכויות לידיד קרוב עשה כן וידע להדגיש זאת</w:t>
      </w:r>
      <w:r>
        <w:rPr>
          <w:rFonts w:ascii="David" w:hAnsi="David" w:hint="cs"/>
          <w:rtl/>
        </w:rPr>
        <w:t xml:space="preserve"> מה שמחזק את הקביעה שלא בכדי נפקד מקומו של זה מהתקנות החדשות.</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t>ברם, גם למהות הדברים השוני ברור ומובן. ביחס ליכולת הגשת תביעה בשם פסול דין המחוקק ביקש להעניק הסמכות לאפוטרופוס הממונה "...</w:t>
      </w:r>
      <w:r>
        <w:rPr>
          <w:b/>
          <w:bCs/>
          <w:rtl/>
        </w:rPr>
        <w:t xml:space="preserve"> שייצגו ייצוג מלא בכל ההליכים בבית המשפט</w:t>
      </w:r>
      <w:r>
        <w:rPr>
          <w:rtl/>
        </w:rPr>
        <w:t xml:space="preserve">". ולא </w:t>
      </w:r>
      <w:r>
        <w:rPr>
          <w:rFonts w:ascii="David" w:hAnsi="David"/>
          <w:rtl/>
        </w:rPr>
        <w:t>רק "...</w:t>
      </w:r>
      <w:r>
        <w:rPr>
          <w:rFonts w:ascii="David" w:hAnsi="David"/>
          <w:b/>
          <w:bCs/>
          <w:rtl/>
        </w:rPr>
        <w:t>לגבי אותם ענינים שהוא מבקש לפעול בהם, ואינו משמש אפוטרופוס לגבי ענינים שהוא מושך את ידו מהם"</w:t>
      </w:r>
      <w:r>
        <w:rPr>
          <w:rFonts w:ascii="David" w:hAnsi="David" w:hint="cs"/>
          <w:rtl/>
        </w:rPr>
        <w:t>, כמובא לעיל.</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21.</w:t>
      </w:r>
      <w:r>
        <w:rPr>
          <w:rFonts w:ascii="David" w:hAnsi="David"/>
          <w:rtl/>
        </w:rPr>
        <w:tab/>
        <w:t xml:space="preserve">זאת, ועוד. ההבדל בין שתי הסמכויות הוא תהומי. האפוטרופוס הממונה נתון לפיקוחו של האפוטרופוס הכללי, משמש זרועו הארוכה של בית המשפט, מעשיו מפוקחים ומדווחים  תדיר, והאינטרסים של  פסול הדין או האשל"א </w:t>
      </w:r>
      <w:r>
        <w:rPr>
          <w:rFonts w:ascii="David" w:hAnsi="David" w:hint="cs"/>
          <w:rtl/>
        </w:rPr>
        <w:t xml:space="preserve">הגלויים לאפוטרופוס הכללי ולבית המשפט </w:t>
      </w:r>
      <w:r>
        <w:rPr>
          <w:rFonts w:ascii="David" w:hAnsi="David"/>
          <w:rtl/>
        </w:rPr>
        <w:t>נשמרים.</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t xml:space="preserve"> התמונה שונה לחלוטין שעה שמופעל יכ"מ. בלשון העם הפעלת ה-יכ"מ היא בבחינת "שגר ושכח" והממונה יכול לעשות מכוח הסמכתו, כל פעולה גם אם זו עומדת </w:t>
      </w:r>
      <w:r>
        <w:rPr>
          <w:rFonts w:ascii="David" w:hAnsi="David" w:hint="cs"/>
          <w:rtl/>
        </w:rPr>
        <w:t xml:space="preserve">בפועל </w:t>
      </w:r>
      <w:r>
        <w:rPr>
          <w:rFonts w:ascii="David" w:hAnsi="David"/>
          <w:rtl/>
        </w:rPr>
        <w:t>בסתירה לטובתו של הממנה (הרי זו תמצית טענתן של התובעות בתביעה לשימוש שעשו ,לכאורה, הנתבעות ברכוש אביהן). על כן, על מנת  להגדיל את היקף 'השמירה' על הממנה (שהוא נסתר מעיני בית המשפט מרגע הפעלת ה-יכ"מ) והאינטרסים שלו הורחב מעגל הגורמים אשר יוכלו ל</w:t>
      </w:r>
      <w:r>
        <w:rPr>
          <w:rFonts w:ascii="David" w:hAnsi="David" w:hint="cs"/>
          <w:rtl/>
        </w:rPr>
        <w:t>'</w:t>
      </w:r>
      <w:r>
        <w:rPr>
          <w:rFonts w:ascii="David" w:hAnsi="David"/>
          <w:rtl/>
        </w:rPr>
        <w:t>שמור עליו</w:t>
      </w:r>
      <w:r>
        <w:rPr>
          <w:rFonts w:ascii="David" w:hAnsi="David" w:hint="cs"/>
          <w:rtl/>
        </w:rPr>
        <w:t>'</w:t>
      </w:r>
      <w:r>
        <w:rPr>
          <w:rFonts w:ascii="David" w:hAnsi="David"/>
          <w:rtl/>
        </w:rPr>
        <w:t xml:space="preserve"> </w:t>
      </w:r>
      <w:r>
        <w:rPr>
          <w:rFonts w:ascii="David" w:hAnsi="David" w:hint="cs"/>
          <w:rtl/>
        </w:rPr>
        <w:t>ו</w:t>
      </w:r>
      <w:r>
        <w:rPr>
          <w:rFonts w:ascii="David" w:hAnsi="David"/>
          <w:rtl/>
        </w:rPr>
        <w:t xml:space="preserve">שיהא בסמכותם לפנות </w:t>
      </w:r>
      <w:r>
        <w:rPr>
          <w:rFonts w:ascii="David" w:hAnsi="David" w:hint="cs"/>
          <w:rtl/>
        </w:rPr>
        <w:t xml:space="preserve">לבית המשפט </w:t>
      </w:r>
      <w:r>
        <w:rPr>
          <w:rFonts w:ascii="David" w:hAnsi="David"/>
          <w:rtl/>
        </w:rPr>
        <w:t xml:space="preserve">בבקשות, כמובא לעיל, גם על ידי ידידו הקרוב של הממנה.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t xml:space="preserve">חיזוק לקביעה זו עולה </w:t>
      </w:r>
      <w:r w:rsidRPr="00C91652">
        <w:rPr>
          <w:rFonts w:ascii="David" w:hAnsi="David"/>
          <w:rtl/>
        </w:rPr>
        <w:t>מ</w:t>
      </w:r>
      <w:r w:rsidRPr="00C91652">
        <w:rPr>
          <w:rFonts w:ascii="David" w:hAnsi="David"/>
          <w:u w:val="single"/>
          <w:rtl/>
        </w:rPr>
        <w:t>דברי הסבר הצעות חוק הממשלה-890, ג' בחשוון התשע"ה</w:t>
      </w:r>
      <w:r>
        <w:rPr>
          <w:rFonts w:ascii="David" w:hAnsi="David"/>
          <w:rtl/>
        </w:rPr>
        <w:t>, 27.10.2014 בזו הלשון: "</w:t>
      </w:r>
      <w:r>
        <w:rPr>
          <w:rFonts w:ascii="David" w:hAnsi="David"/>
          <w:b/>
          <w:bCs/>
          <w:rtl/>
        </w:rPr>
        <w:t>כפי שצוין בחלק הכללי של דברי ההסבר, מוסד ייפוי הכוח המתמשך נועד לאותם מצבים שבהם יש לאדם שאינו מסוגל לדאוג לענייניו במעטפת משפחתית או חברתית הדואגת לו, אך מתעורר בחיי היומיום הצורך בקבלת החלטות בנוגע לענייני רכוש  או לעניינים אישיים שלו, ויש צורך בגורם מוסמך שיוכל לקבל החלטות במקומו, אם מתעורר צורך כזה. לעומת זאת, מוסד האפוטרופסות נועד גם למקרים שבהם מדובר באדם שאין מי שידאג לו ברמה היומיומית, יבקרו בביתו וידאג לשלומו או לרכושו וכאשר אין די במתן סמכויות פעולה, אלא שיש צורך</w:t>
      </w:r>
      <w:r>
        <w:rPr>
          <w:rFonts w:ascii="David" w:hAnsi="David"/>
          <w:rtl/>
        </w:rPr>
        <w:t xml:space="preserve"> </w:t>
      </w:r>
      <w:r>
        <w:rPr>
          <w:rFonts w:ascii="David" w:hAnsi="David"/>
          <w:b/>
          <w:bCs/>
          <w:rtl/>
        </w:rPr>
        <w:t xml:space="preserve">בהטלת "תפקיד" על אדם או על תאגיד לדאוג לשלומו או לרכושו של אותו אדם. הטלת תפקיד זה טומנת בחובה גם הטלת פיקוח ציבורי וחובות </w:t>
      </w:r>
      <w:r>
        <w:rPr>
          <w:rFonts w:ascii="David" w:hAnsi="David"/>
          <w:b/>
          <w:bCs/>
          <w:rtl/>
        </w:rPr>
        <w:lastRenderedPageBreak/>
        <w:t>דיווח החלים על אפוטרופסים, אשר עשויים אף הם לשמש סיבה למינוי אפוטרופוס דווקא.  במקרים שבהם מתברר לבית המשפט קיומו של צורך מהותי במינוי אפוטרופוס כאמור, ישקול בית משפט את התאמתו של מיופה הכוח עצמו לשמש בתפקיד אפוטרופוס וייתן  עדיפות למינויו, אם הוא אכן מתאים לכך ומסכים למינוי.</w:t>
      </w:r>
      <w:r>
        <w:rPr>
          <w:rFonts w:ascii="David" w:hAnsi="David"/>
          <w:rtl/>
        </w:rPr>
        <w:t xml:space="preserve">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hanging="727"/>
        <w:jc w:val="both"/>
        <w:rPr>
          <w:rFonts w:ascii="David" w:hAnsi="David"/>
          <w:rtl/>
        </w:rPr>
      </w:pPr>
      <w:r>
        <w:rPr>
          <w:rFonts w:ascii="David" w:hAnsi="David"/>
          <w:rtl/>
        </w:rPr>
        <w:tab/>
      </w:r>
      <w:r>
        <w:rPr>
          <w:rFonts w:ascii="David" w:hAnsi="David"/>
          <w:b/>
          <w:bCs/>
          <w:rtl/>
        </w:rPr>
        <w:t>כדי לשמור על  כיבוד רצונו של אדם גם בהליך הביטול של ייפוי כוח מתמשך, הגבלת העניינים בייפוי הכוח או מינוי אפוטרופוס נוסף על מיופה כוח, על בית המשפט לשמוע את הממנה, אם הוא מסוגל להבין בדבר וניתן לברר את דעתו (ר' סעיף 32 כד המוצע). במקביל, מוצע להרחיב אצת מעגל הזכאים לפנות לבית המשפט, כך שיכלול גם את היועץ המשפטי לממשלה  או בא כוחו וקרובו של הממנה או ידידו קרוב שלו. זאת, כדי לאפשר, למי שדואג לממנה וחושש כי מיופה הכוח פוגע בטובתו, לפעול לתיקון המצב</w:t>
      </w:r>
      <w:r>
        <w:rPr>
          <w:rFonts w:ascii="David" w:hAnsi="David"/>
          <w:rtl/>
        </w:rPr>
        <w:t>" (</w:t>
      </w:r>
      <w:r>
        <w:rPr>
          <w:rFonts w:ascii="David" w:hAnsi="David"/>
          <w:u w:val="single"/>
          <w:rtl/>
        </w:rPr>
        <w:t>שם</w:t>
      </w:r>
      <w:r>
        <w:rPr>
          <w:rFonts w:ascii="David" w:hAnsi="David"/>
          <w:rtl/>
        </w:rPr>
        <w:t xml:space="preserve">, עמ' 22).    </w:t>
      </w:r>
    </w:p>
    <w:p w:rsidR="00622D9A" w:rsidRDefault="00622D9A" w:rsidP="00622D9A">
      <w:pPr>
        <w:spacing w:line="360" w:lineRule="auto"/>
        <w:ind w:left="720" w:hanging="727"/>
        <w:jc w:val="both"/>
        <w:rPr>
          <w:rFonts w:ascii="David" w:hAnsi="David"/>
          <w:rtl/>
        </w:rPr>
      </w:pPr>
    </w:p>
    <w:p w:rsidR="00622D9A" w:rsidRDefault="00622D9A" w:rsidP="00622D9A">
      <w:pPr>
        <w:spacing w:line="360" w:lineRule="auto"/>
        <w:ind w:left="720"/>
        <w:jc w:val="both"/>
        <w:rPr>
          <w:rFonts w:ascii="David" w:hAnsi="David"/>
          <w:rtl/>
        </w:rPr>
      </w:pPr>
      <w:r>
        <w:rPr>
          <w:rFonts w:ascii="David" w:hAnsi="David"/>
          <w:rtl/>
        </w:rPr>
        <w:t xml:space="preserve">משכך טעו המשיבות שהשוו את מעמדן בתביעה מושא החלטה זו למעמדן בתביעתן לביטול ה-יכ"מ. מדובר בשתי טריטוריות שונות האחת מרעותה ובתביעה זו אין להן מעמד. (השוו: יצחק אנגלרד, </w:t>
      </w:r>
      <w:r>
        <w:rPr>
          <w:rFonts w:ascii="David" w:hAnsi="David"/>
          <w:u w:val="single"/>
          <w:rtl/>
        </w:rPr>
        <w:t>חוק הכשרות המשפטית והאפוטרופסות</w:t>
      </w:r>
      <w:r>
        <w:rPr>
          <w:rFonts w:ascii="David" w:hAnsi="David"/>
          <w:rtl/>
        </w:rPr>
        <w:t>, התשכ"ב-1962 (2023) עמ' 67-66</w:t>
      </w:r>
      <w:r>
        <w:rPr>
          <w:rFonts w:ascii="David" w:hAnsi="David" w:hint="cs"/>
          <w:rtl/>
        </w:rPr>
        <w:t>)</w:t>
      </w:r>
      <w:r>
        <w:rPr>
          <w:rFonts w:ascii="David" w:hAnsi="David"/>
          <w:rtl/>
        </w:rPr>
        <w:t xml:space="preserve">. </w:t>
      </w:r>
    </w:p>
    <w:p w:rsidR="00622D9A" w:rsidRDefault="00622D9A" w:rsidP="00622D9A">
      <w:pPr>
        <w:spacing w:line="360" w:lineRule="auto"/>
        <w:ind w:left="720"/>
        <w:jc w:val="both"/>
        <w:rPr>
          <w:rFonts w:ascii="David" w:hAnsi="David"/>
          <w:rtl/>
        </w:rPr>
      </w:pPr>
    </w:p>
    <w:p w:rsidR="00622D9A" w:rsidRDefault="00622D9A" w:rsidP="00622D9A">
      <w:pPr>
        <w:spacing w:line="360" w:lineRule="auto"/>
        <w:ind w:left="720"/>
        <w:jc w:val="both"/>
        <w:rPr>
          <w:rFonts w:ascii="David" w:hAnsi="David"/>
          <w:rtl/>
        </w:rPr>
      </w:pPr>
      <w:r>
        <w:rPr>
          <w:rFonts w:ascii="David" w:hAnsi="David"/>
          <w:rtl/>
        </w:rPr>
        <w:t>שם בחן פרופ' אנגלרד את ההבדל בין התקנות הישנות לתקנות החדשות בעניינו של קטין. הוא בחן האם לאור תקנה 32(א) לתקנות הישנות יכול היה קטין לתבוע רק באמצעות "...</w:t>
      </w:r>
      <w:r w:rsidRPr="00F6789B">
        <w:rPr>
          <w:rFonts w:ascii="David" w:hAnsi="David"/>
          <w:b/>
          <w:bCs/>
          <w:rtl/>
        </w:rPr>
        <w:t>אפוטרופסו או ידידו הקרוב</w:t>
      </w:r>
      <w:r>
        <w:rPr>
          <w:rFonts w:ascii="David" w:hAnsi="David"/>
          <w:rtl/>
        </w:rPr>
        <w:t>..." והבהיר "</w:t>
      </w:r>
      <w:r>
        <w:rPr>
          <w:rFonts w:ascii="David" w:hAnsi="David"/>
          <w:b/>
          <w:bCs/>
          <w:rtl/>
        </w:rPr>
        <w:t>כעת עם כניסתן לתוקף של תקנות סדר הדין האזרחי תשע"ט 2018 אין עוד מקום לשאלה זו, משום שבתקנות החדשות אין הוראה מקבילה לתקנה 32(א) לתקנות הקודמות"</w:t>
      </w:r>
      <w:r>
        <w:rPr>
          <w:rFonts w:ascii="David" w:hAnsi="David"/>
          <w:rtl/>
        </w:rPr>
        <w:t>.</w:t>
      </w:r>
      <w:r>
        <w:rPr>
          <w:rFonts w:ascii="David" w:hAnsi="David"/>
          <w:b/>
          <w:bCs/>
          <w:rtl/>
        </w:rPr>
        <w:t xml:space="preserve"> </w:t>
      </w:r>
      <w:r>
        <w:rPr>
          <w:rFonts w:ascii="David" w:hAnsi="David"/>
          <w:rtl/>
        </w:rPr>
        <w:t xml:space="preserve">פרופ' אנגלרד הפנה בעניין הקטין לתקנה 170 לתקנות החדשות ובענייננו ההפניה הנכונה היא לתקנה 172 (א)  לתקנות החדשות. </w:t>
      </w:r>
    </w:p>
    <w:p w:rsidR="00622D9A" w:rsidRDefault="00622D9A" w:rsidP="00622D9A">
      <w:pPr>
        <w:spacing w:line="360" w:lineRule="auto"/>
        <w:ind w:left="720"/>
        <w:jc w:val="both"/>
        <w:rPr>
          <w:rFonts w:ascii="David" w:hAnsi="David"/>
          <w:rtl/>
        </w:rPr>
      </w:pPr>
    </w:p>
    <w:p w:rsidR="00622D9A" w:rsidRDefault="00622D9A" w:rsidP="00622D9A">
      <w:pPr>
        <w:spacing w:line="360" w:lineRule="auto"/>
        <w:ind w:left="713" w:hanging="720"/>
        <w:jc w:val="both"/>
        <w:rPr>
          <w:rFonts w:ascii="David" w:hAnsi="David"/>
          <w:b/>
          <w:bCs/>
          <w:rtl/>
        </w:rPr>
      </w:pPr>
      <w:r>
        <w:rPr>
          <w:rFonts w:ascii="David" w:hAnsi="David"/>
          <w:rtl/>
        </w:rPr>
        <w:lastRenderedPageBreak/>
        <w:t>22.</w:t>
      </w:r>
      <w:r>
        <w:rPr>
          <w:rFonts w:ascii="David" w:hAnsi="David"/>
          <w:rtl/>
        </w:rPr>
        <w:tab/>
        <w:t xml:space="preserve">מעמדו של אפוטרופוס ממונה קיבל ביטוי גם בפסיקה מאוחרת למועד כניסתן לתוקף של התקנות החדשות (ראו למשל: </w:t>
      </w:r>
      <w:r>
        <w:rPr>
          <w:rFonts w:ascii="David" w:hAnsi="David"/>
          <w:u w:val="single"/>
          <w:rtl/>
        </w:rPr>
        <w:t>ת"א (פ"ת) 33080-05-23</w:t>
      </w:r>
      <w:r>
        <w:rPr>
          <w:rFonts w:ascii="David" w:hAnsi="David"/>
          <w:rtl/>
        </w:rPr>
        <w:t xml:space="preserve"> </w:t>
      </w:r>
      <w:r>
        <w:rPr>
          <w:rFonts w:ascii="David" w:hAnsi="David"/>
          <w:b/>
          <w:bCs/>
          <w:rtl/>
        </w:rPr>
        <w:t>קוואלטי קרדיט פאנד 2 שותפות מוגבלת</w:t>
      </w:r>
      <w:r>
        <w:rPr>
          <w:rFonts w:ascii="David" w:hAnsi="David"/>
          <w:rtl/>
        </w:rPr>
        <w:t xml:space="preserve"> נ' </w:t>
      </w:r>
      <w:r>
        <w:rPr>
          <w:rFonts w:ascii="David" w:hAnsi="David"/>
          <w:b/>
          <w:bCs/>
          <w:rtl/>
        </w:rPr>
        <w:t xml:space="preserve">אירמה מושיאשוילי </w:t>
      </w:r>
      <w:r>
        <w:rPr>
          <w:rFonts w:ascii="David" w:hAnsi="David"/>
          <w:rtl/>
        </w:rPr>
        <w:t xml:space="preserve">(9.8.2023 ) ס' 28-27);   </w:t>
      </w:r>
      <w:r>
        <w:rPr>
          <w:rFonts w:ascii="David" w:hAnsi="David"/>
          <w:u w:val="single"/>
          <w:rtl/>
        </w:rPr>
        <w:t xml:space="preserve">תא (חי)  54281-10-21  </w:t>
      </w:r>
      <w:r>
        <w:rPr>
          <w:rFonts w:ascii="David" w:hAnsi="David"/>
          <w:b/>
          <w:bCs/>
          <w:rtl/>
        </w:rPr>
        <w:t xml:space="preserve">עיזבון המנוח עמאר מחמיד ז"ל </w:t>
      </w:r>
      <w:r>
        <w:rPr>
          <w:rFonts w:ascii="David" w:hAnsi="David"/>
          <w:rtl/>
        </w:rPr>
        <w:t xml:space="preserve">נ' </w:t>
      </w:r>
      <w:r>
        <w:rPr>
          <w:rFonts w:ascii="David" w:hAnsi="David"/>
          <w:b/>
          <w:bCs/>
          <w:rtl/>
        </w:rPr>
        <w:t xml:space="preserve">הראל- חברה לביטוח בע"מ </w:t>
      </w:r>
      <w:r>
        <w:rPr>
          <w:rFonts w:ascii="David" w:hAnsi="David"/>
          <w:rtl/>
        </w:rPr>
        <w:t xml:space="preserve">(11.3.2024)). </w:t>
      </w:r>
    </w:p>
    <w:p w:rsidR="00622D9A" w:rsidRDefault="00622D9A" w:rsidP="00622D9A">
      <w:pPr>
        <w:spacing w:line="360" w:lineRule="auto"/>
        <w:ind w:left="713" w:hanging="720"/>
        <w:jc w:val="both"/>
        <w:rPr>
          <w:rFonts w:ascii="David" w:hAnsi="David"/>
          <w:b/>
          <w:bCs/>
          <w:rtl/>
        </w:rPr>
      </w:pPr>
    </w:p>
    <w:p w:rsidR="00622D9A" w:rsidRDefault="00622D9A" w:rsidP="00622D9A">
      <w:pPr>
        <w:spacing w:line="360" w:lineRule="auto"/>
        <w:ind w:left="713" w:hanging="720"/>
        <w:jc w:val="both"/>
        <w:rPr>
          <w:rFonts w:ascii="David" w:hAnsi="David"/>
          <w:rtl/>
        </w:rPr>
      </w:pPr>
      <w:r w:rsidRPr="00DA4D09">
        <w:rPr>
          <w:rFonts w:ascii="David" w:hAnsi="David" w:hint="cs"/>
          <w:rtl/>
        </w:rPr>
        <w:t>23.</w:t>
      </w:r>
      <w:r w:rsidRPr="00DA4D09">
        <w:rPr>
          <w:rFonts w:ascii="David" w:hAnsi="David" w:hint="cs"/>
          <w:rtl/>
        </w:rPr>
        <w:tab/>
        <w:t xml:space="preserve">טרם נעילה מצאתי להידרש לטענה בדבר המשמעות של מחיקת תביעה על הסף.קולמוסים רבים נכתבו על זכות הגישה לערכאות כזכות יסוד ומכך שמחיקת תביעה על הסף תעשה במשורה ובמקרים </w:t>
      </w:r>
      <w:r>
        <w:rPr>
          <w:rFonts w:ascii="David" w:hAnsi="David" w:hint="cs"/>
          <w:rtl/>
        </w:rPr>
        <w:t xml:space="preserve">נדירים. </w:t>
      </w:r>
    </w:p>
    <w:p w:rsidR="00622D9A" w:rsidRDefault="00622D9A" w:rsidP="00622D9A">
      <w:pPr>
        <w:spacing w:line="360" w:lineRule="auto"/>
        <w:ind w:left="713" w:hanging="720"/>
        <w:jc w:val="both"/>
        <w:rPr>
          <w:rFonts w:ascii="David" w:hAnsi="David"/>
          <w:rtl/>
        </w:rPr>
      </w:pPr>
    </w:p>
    <w:p w:rsidR="00622D9A" w:rsidRDefault="00622D9A" w:rsidP="00622D9A">
      <w:pPr>
        <w:spacing w:line="360" w:lineRule="auto"/>
        <w:ind w:left="713"/>
        <w:jc w:val="both"/>
        <w:rPr>
          <w:rFonts w:ascii="David" w:hAnsi="David"/>
          <w:b/>
          <w:bCs/>
          <w:rtl/>
        </w:rPr>
      </w:pPr>
      <w:r>
        <w:rPr>
          <w:rFonts w:ascii="David" w:hAnsi="David" w:hint="cs"/>
          <w:rtl/>
        </w:rPr>
        <w:t xml:space="preserve">עם זאת, תקנה </w:t>
      </w:r>
      <w:r>
        <w:rPr>
          <w:rFonts w:ascii="David" w:hAnsi="David"/>
          <w:rtl/>
        </w:rPr>
        <w:t xml:space="preserve">41(א) (4) לתקנות החדשות מאפשרת לבית המשפט </w:t>
      </w:r>
      <w:r>
        <w:rPr>
          <w:rFonts w:ascii="David" w:hAnsi="David" w:hint="cs"/>
          <w:rtl/>
        </w:rPr>
        <w:t>למחוק</w:t>
      </w:r>
      <w:r>
        <w:rPr>
          <w:rFonts w:ascii="David" w:hAnsi="David"/>
          <w:rtl/>
        </w:rPr>
        <w:t xml:space="preserve"> תביעה מ"</w:t>
      </w:r>
      <w:r>
        <w:rPr>
          <w:rFonts w:ascii="David" w:hAnsi="David"/>
          <w:b/>
          <w:bCs/>
          <w:rtl/>
        </w:rPr>
        <w:t>כל נימוק אחר שלפיו סבור שראוי ונכון למחוק את התביעה.</w:t>
      </w:r>
      <w:r>
        <w:rPr>
          <w:rFonts w:ascii="David" w:hAnsi="David"/>
          <w:rtl/>
        </w:rPr>
        <w:t xml:space="preserve">" תקנה זו היא חלופית לתקנה 101 </w:t>
      </w:r>
      <w:r>
        <w:rPr>
          <w:rFonts w:ascii="David" w:hAnsi="David" w:hint="cs"/>
          <w:rtl/>
        </w:rPr>
        <w:t xml:space="preserve">(א) (3) (בה דובר על דחייה על הסף) </w:t>
      </w:r>
      <w:r>
        <w:rPr>
          <w:rFonts w:ascii="David" w:hAnsi="David"/>
          <w:rtl/>
        </w:rPr>
        <w:t>לתקנות הישנות ביחס אליה נקבע שהיא "...</w:t>
      </w:r>
      <w:r>
        <w:rPr>
          <w:rFonts w:ascii="David" w:hAnsi="David"/>
          <w:b/>
          <w:bCs/>
          <w:rtl/>
        </w:rPr>
        <w:t xml:space="preserve">מאפשרת לבית המשפט לדחות תביעה ממספר נימוקים אפשריים, ובהם: "כל נימוק אחר שעל פיו הוא סבור שניתן לדחות מלכתחילה את התובענה בנוגע לאותו נתבע". תקנה זו מיועדת, כדברי הנשיא זוסמן: "לאפשר לנתבע לעשות קפנדריה, כאשר מפני טענת חוק, או אפילו טענה עובדתית קצרה, ניתן לסיים את המשפט, בלא אשר ידון בית המשפט בכל השאלות השנויות במחלוקת" </w:t>
      </w:r>
      <w:r w:rsidRPr="005C7D87">
        <w:rPr>
          <w:rFonts w:ascii="David" w:hAnsi="David"/>
          <w:b/>
          <w:bCs/>
          <w:rtl/>
        </w:rPr>
        <w:t>(</w:t>
      </w:r>
      <w:hyperlink r:id="rId8" w:history="1">
        <w:r w:rsidRPr="005C7D87">
          <w:rPr>
            <w:rtl/>
          </w:rPr>
          <w:t>ע"א 316/56 חיים קרמש ואגד (אש"ד) בע"מ נ. סול ומזל דבי, פ"ד י"א</w:t>
        </w:r>
      </w:hyperlink>
      <w:r>
        <w:rPr>
          <w:rFonts w:ascii="David" w:hAnsi="David"/>
          <w:b/>
          <w:bCs/>
          <w:rtl/>
        </w:rPr>
        <w:t xml:space="preserve"> 1336, 1341)." </w:t>
      </w:r>
      <w:r>
        <w:rPr>
          <w:rFonts w:ascii="David" w:hAnsi="David"/>
          <w:rtl/>
        </w:rPr>
        <w:t>(</w:t>
      </w:r>
      <w:r>
        <w:rPr>
          <w:rFonts w:ascii="David" w:hAnsi="David"/>
          <w:u w:val="single"/>
          <w:rtl/>
        </w:rPr>
        <w:t>ע"א 8945/09</w:t>
      </w:r>
      <w:r>
        <w:rPr>
          <w:rFonts w:ascii="David" w:hAnsi="David"/>
          <w:b/>
          <w:bCs/>
          <w:u w:val="single"/>
          <w:rtl/>
        </w:rPr>
        <w:t xml:space="preserve"> </w:t>
      </w:r>
      <w:r>
        <w:rPr>
          <w:rFonts w:ascii="David" w:hAnsi="David"/>
          <w:b/>
          <w:bCs/>
          <w:rtl/>
        </w:rPr>
        <w:t xml:space="preserve">סופיה לוין </w:t>
      </w:r>
      <w:r>
        <w:rPr>
          <w:rFonts w:ascii="David" w:hAnsi="David"/>
          <w:rtl/>
        </w:rPr>
        <w:t>נ'</w:t>
      </w:r>
      <w:r>
        <w:rPr>
          <w:rFonts w:ascii="David" w:hAnsi="David"/>
          <w:b/>
          <w:bCs/>
          <w:rtl/>
        </w:rPr>
        <w:t xml:space="preserve"> דיסקונט ישראל שוקי הון והשקעות בע"מ </w:t>
      </w:r>
      <w:r>
        <w:rPr>
          <w:rFonts w:ascii="David" w:hAnsi="David"/>
          <w:rtl/>
        </w:rPr>
        <w:t>(5.5.2011)</w:t>
      </w:r>
      <w:r>
        <w:rPr>
          <w:rFonts w:ascii="David" w:hAnsi="David"/>
          <w:b/>
          <w:bCs/>
          <w:rtl/>
        </w:rPr>
        <w:t xml:space="preserve">, </w:t>
      </w:r>
      <w:r>
        <w:rPr>
          <w:rFonts w:ascii="David" w:hAnsi="David"/>
          <w:rtl/>
        </w:rPr>
        <w:t>ס' 4 לפסק הדין).</w:t>
      </w:r>
      <w:r>
        <w:rPr>
          <w:rFonts w:ascii="David" w:hAnsi="David"/>
          <w:b/>
          <w:bCs/>
          <w:rtl/>
        </w:rPr>
        <w:t xml:space="preserve"> </w:t>
      </w:r>
      <w:r w:rsidRPr="005C7D87">
        <w:rPr>
          <w:rFonts w:ascii="David" w:hAnsi="David" w:hint="cs"/>
          <w:b/>
          <w:bCs/>
          <w:sz w:val="22"/>
          <w:szCs w:val="22"/>
          <w:rtl/>
        </w:rPr>
        <w:t>(</w:t>
      </w:r>
      <w:r w:rsidRPr="005C7D87">
        <w:rPr>
          <w:rFonts w:ascii="David" w:hAnsi="David"/>
          <w:sz w:val="22"/>
          <w:szCs w:val="22"/>
          <w:rtl/>
        </w:rPr>
        <w:t>הדגש בקו תחתי במקור)</w:t>
      </w:r>
    </w:p>
    <w:p w:rsidR="00622D9A" w:rsidRDefault="00622D9A" w:rsidP="00622D9A">
      <w:pPr>
        <w:spacing w:line="360" w:lineRule="auto"/>
        <w:ind w:left="713"/>
        <w:jc w:val="both"/>
        <w:rPr>
          <w:rFonts w:ascii="David" w:hAnsi="David"/>
          <w:b/>
          <w:bCs/>
          <w:noProof w:val="0"/>
        </w:rPr>
      </w:pPr>
    </w:p>
    <w:p w:rsidR="00622D9A" w:rsidRDefault="00622D9A" w:rsidP="00622D9A">
      <w:pPr>
        <w:spacing w:line="360" w:lineRule="auto"/>
        <w:ind w:left="713"/>
        <w:jc w:val="both"/>
        <w:rPr>
          <w:rFonts w:ascii="David" w:hAnsi="David"/>
          <w:rtl/>
        </w:rPr>
      </w:pPr>
      <w:r>
        <w:rPr>
          <w:rFonts w:ascii="David" w:hAnsi="David"/>
          <w:rtl/>
        </w:rPr>
        <w:t>כן נקבע שם "</w:t>
      </w:r>
      <w:r>
        <w:rPr>
          <w:rFonts w:ascii="David" w:hAnsi="David"/>
          <w:b/>
          <w:bCs/>
          <w:rtl/>
        </w:rPr>
        <w:t xml:space="preserve">זכות הגישה לערכאות היא מזכויותיו היסודיות של האדם בחברה דמוקרטית. </w:t>
      </w:r>
      <w:hyperlink r:id="rId9" w:history="1">
        <w:r w:rsidRPr="005C7D87">
          <w:rPr>
            <w:rStyle w:val="Hyperlink"/>
            <w:rFonts w:ascii="David" w:hAnsi="David"/>
            <w:b/>
            <w:bCs/>
            <w:rtl/>
          </w:rPr>
          <w:t>תקנה 101</w:t>
        </w:r>
      </w:hyperlink>
      <w:r w:rsidRPr="005C7D87">
        <w:rPr>
          <w:rFonts w:ascii="David" w:hAnsi="David"/>
          <w:b/>
          <w:bCs/>
          <w:rtl/>
        </w:rPr>
        <w:t xml:space="preserve"> </w:t>
      </w:r>
      <w:r>
        <w:rPr>
          <w:rFonts w:ascii="David" w:hAnsi="David"/>
          <w:b/>
          <w:bCs/>
          <w:rtl/>
        </w:rPr>
        <w:t xml:space="preserve">מאפשרת הגבלה מסוימת של זכות זו, במובן של ניהול משפט לגופו, על מנת למנוע מקרים מובהקים של התדיינות סרק, שאינה אלא פוגעת בצדדים המתדיינים ובמערכת </w:t>
      </w:r>
      <w:r>
        <w:rPr>
          <w:rFonts w:ascii="David" w:hAnsi="David"/>
          <w:b/>
          <w:bCs/>
          <w:rtl/>
        </w:rPr>
        <w:lastRenderedPageBreak/>
        <w:t>השיפוטית. אך מובן הוא, שהגבלה זו צריכה להתפרש על דרך הצמצום ובזהירות המרבית. דבר זה הודגש בפסיקות רבות של בית משפט זה</w:t>
      </w:r>
      <w:r>
        <w:rPr>
          <w:rFonts w:ascii="David" w:hAnsi="David"/>
          <w:rtl/>
        </w:rPr>
        <w:t>" (</w:t>
      </w:r>
      <w:r>
        <w:rPr>
          <w:rFonts w:ascii="David" w:hAnsi="David"/>
          <w:u w:val="single"/>
          <w:rtl/>
        </w:rPr>
        <w:t>שם</w:t>
      </w:r>
      <w:r>
        <w:rPr>
          <w:rFonts w:ascii="David" w:hAnsi="David"/>
          <w:rtl/>
        </w:rPr>
        <w:t xml:space="preserve">).  </w:t>
      </w:r>
    </w:p>
    <w:p w:rsidR="00622D9A" w:rsidRDefault="00622D9A" w:rsidP="00622D9A">
      <w:pPr>
        <w:spacing w:line="360" w:lineRule="auto"/>
        <w:ind w:left="713"/>
        <w:jc w:val="both"/>
        <w:rPr>
          <w:rFonts w:ascii="David" w:hAnsi="David"/>
          <w:rtl/>
        </w:rPr>
      </w:pPr>
    </w:p>
    <w:p w:rsidR="00622D9A" w:rsidRDefault="00622D9A" w:rsidP="00622D9A">
      <w:pPr>
        <w:spacing w:line="360" w:lineRule="auto"/>
        <w:ind w:left="713"/>
        <w:jc w:val="both"/>
        <w:rPr>
          <w:rFonts w:ascii="David" w:hAnsi="David"/>
          <w:b/>
          <w:bCs/>
          <w:rtl/>
        </w:rPr>
      </w:pPr>
      <w:r>
        <w:rPr>
          <w:rFonts w:ascii="David" w:hAnsi="David"/>
          <w:rtl/>
        </w:rPr>
        <w:t>לאור המובא לעיל קביעות אלו נכונות למקרה שלפני</w:t>
      </w:r>
      <w:r>
        <w:rPr>
          <w:rFonts w:ascii="David" w:hAnsi="David"/>
          <w:b/>
          <w:bCs/>
          <w:rtl/>
        </w:rPr>
        <w:t>.</w:t>
      </w:r>
    </w:p>
    <w:p w:rsidR="00622D9A" w:rsidRDefault="00622D9A" w:rsidP="00622D9A">
      <w:pPr>
        <w:spacing w:line="360" w:lineRule="auto"/>
        <w:ind w:left="360"/>
        <w:jc w:val="both"/>
        <w:rPr>
          <w:rFonts w:ascii="David" w:hAnsi="David"/>
          <w:b/>
          <w:bCs/>
          <w:rtl/>
        </w:rPr>
      </w:pPr>
      <w:r>
        <w:rPr>
          <w:noProof w:val="0"/>
          <w:rtl/>
        </w:rPr>
        <w:tab/>
      </w:r>
    </w:p>
    <w:p w:rsidR="00622D9A" w:rsidRDefault="00622D9A" w:rsidP="00622D9A">
      <w:pPr>
        <w:spacing w:line="360" w:lineRule="auto"/>
        <w:ind w:left="-7"/>
        <w:jc w:val="both"/>
        <w:rPr>
          <w:rFonts w:ascii="David" w:hAnsi="David"/>
          <w:b/>
          <w:bCs/>
          <w:sz w:val="26"/>
          <w:szCs w:val="26"/>
          <w:rtl/>
        </w:rPr>
      </w:pPr>
      <w:r>
        <w:rPr>
          <w:rFonts w:ascii="David" w:hAnsi="David"/>
          <w:b/>
          <w:bCs/>
          <w:sz w:val="26"/>
          <w:szCs w:val="26"/>
          <w:u w:val="single"/>
          <w:rtl/>
        </w:rPr>
        <w:t>אחרית דבר</w:t>
      </w:r>
      <w:r>
        <w:rPr>
          <w:rFonts w:ascii="David" w:hAnsi="David"/>
          <w:b/>
          <w:bCs/>
          <w:sz w:val="26"/>
          <w:szCs w:val="26"/>
          <w:rtl/>
        </w:rPr>
        <w:t>:</w:t>
      </w:r>
    </w:p>
    <w:p w:rsidR="00622D9A" w:rsidRDefault="00622D9A" w:rsidP="00622D9A">
      <w:pPr>
        <w:spacing w:line="360" w:lineRule="auto"/>
        <w:ind w:left="-7"/>
        <w:jc w:val="both"/>
        <w:rPr>
          <w:rFonts w:ascii="David" w:hAnsi="David"/>
          <w:b/>
          <w:bCs/>
          <w:sz w:val="26"/>
          <w:szCs w:val="26"/>
          <w:rtl/>
        </w:rPr>
      </w:pPr>
    </w:p>
    <w:p w:rsidR="00622D9A" w:rsidRDefault="00622D9A" w:rsidP="00622D9A">
      <w:pPr>
        <w:spacing w:line="360" w:lineRule="auto"/>
        <w:ind w:left="-7"/>
        <w:jc w:val="both"/>
        <w:rPr>
          <w:rFonts w:ascii="David" w:hAnsi="David"/>
          <w:rtl/>
        </w:rPr>
      </w:pPr>
      <w:r>
        <w:rPr>
          <w:rFonts w:ascii="David" w:hAnsi="David" w:hint="cs"/>
          <w:rtl/>
        </w:rPr>
        <w:t>24</w:t>
      </w:r>
      <w:r>
        <w:rPr>
          <w:rFonts w:ascii="David" w:hAnsi="David"/>
          <w:rtl/>
        </w:rPr>
        <w:t>.</w:t>
      </w:r>
      <w:r>
        <w:rPr>
          <w:rFonts w:ascii="David" w:hAnsi="David"/>
          <w:rtl/>
        </w:rPr>
        <w:tab/>
        <w:t xml:space="preserve">בשים לב לאמור לעיל אני מורה על </w:t>
      </w:r>
      <w:r>
        <w:rPr>
          <w:rFonts w:ascii="David" w:hAnsi="David" w:hint="cs"/>
          <w:rtl/>
        </w:rPr>
        <w:t xml:space="preserve">מחיקת </w:t>
      </w:r>
      <w:r>
        <w:rPr>
          <w:rFonts w:ascii="David" w:hAnsi="David"/>
          <w:rtl/>
        </w:rPr>
        <w:t>התביעה.</w:t>
      </w:r>
    </w:p>
    <w:p w:rsidR="00622D9A" w:rsidRDefault="00622D9A" w:rsidP="00622D9A">
      <w:pPr>
        <w:spacing w:line="360" w:lineRule="auto"/>
        <w:ind w:left="-7"/>
        <w:jc w:val="both"/>
        <w:rPr>
          <w:rFonts w:ascii="David" w:hAnsi="David"/>
          <w:rtl/>
        </w:rPr>
      </w:pPr>
    </w:p>
    <w:p w:rsidR="00622D9A" w:rsidRDefault="00622D9A" w:rsidP="00622D9A">
      <w:pPr>
        <w:spacing w:line="360" w:lineRule="auto"/>
        <w:ind w:left="713" w:hanging="720"/>
        <w:jc w:val="both"/>
        <w:rPr>
          <w:rFonts w:ascii="David" w:hAnsi="David"/>
          <w:rtl/>
        </w:rPr>
      </w:pPr>
      <w:r>
        <w:rPr>
          <w:rFonts w:ascii="David" w:hAnsi="David" w:hint="cs"/>
          <w:rtl/>
        </w:rPr>
        <w:t>25</w:t>
      </w:r>
      <w:r>
        <w:rPr>
          <w:rFonts w:ascii="David" w:hAnsi="David"/>
          <w:rtl/>
        </w:rPr>
        <w:t>.</w:t>
      </w:r>
      <w:r>
        <w:rPr>
          <w:rFonts w:ascii="David" w:hAnsi="David"/>
          <w:rtl/>
        </w:rPr>
        <w:tab/>
      </w:r>
      <w:r>
        <w:rPr>
          <w:rFonts w:ascii="David" w:hAnsi="David" w:hint="cs"/>
          <w:rtl/>
        </w:rPr>
        <w:t xml:space="preserve">לאור התוצאה אליה הגעתי </w:t>
      </w:r>
      <w:r>
        <w:rPr>
          <w:rFonts w:ascii="David" w:hAnsi="David"/>
          <w:rtl/>
        </w:rPr>
        <w:t>המשיבות יישאו בהוצאות המבקשות בסך 6,000 ₪.</w:t>
      </w:r>
    </w:p>
    <w:p w:rsidR="00622D9A" w:rsidRDefault="00622D9A" w:rsidP="00622D9A">
      <w:pPr>
        <w:spacing w:line="360" w:lineRule="auto"/>
        <w:ind w:left="-7"/>
        <w:jc w:val="both"/>
        <w:rPr>
          <w:rFonts w:ascii="David" w:hAnsi="David"/>
          <w:rtl/>
        </w:rPr>
      </w:pPr>
    </w:p>
    <w:p w:rsidR="00622D9A" w:rsidRDefault="00622D9A" w:rsidP="00622D9A">
      <w:pPr>
        <w:spacing w:line="360" w:lineRule="auto"/>
        <w:ind w:left="-7"/>
        <w:jc w:val="both"/>
        <w:rPr>
          <w:rFonts w:ascii="David" w:hAnsi="David"/>
          <w:rtl/>
        </w:rPr>
      </w:pPr>
      <w:r>
        <w:rPr>
          <w:rFonts w:ascii="David" w:hAnsi="David" w:hint="cs"/>
          <w:rtl/>
        </w:rPr>
        <w:t>26</w:t>
      </w:r>
      <w:r>
        <w:rPr>
          <w:rFonts w:ascii="David" w:hAnsi="David"/>
          <w:rtl/>
        </w:rPr>
        <w:t>.</w:t>
      </w:r>
      <w:r>
        <w:rPr>
          <w:rFonts w:ascii="David" w:hAnsi="David"/>
          <w:rtl/>
        </w:rPr>
        <w:tab/>
        <w:t>מתיר פרסום ההחלטה בהשמטת  פרטים מזהים.</w:t>
      </w:r>
    </w:p>
    <w:p w:rsidR="00622D9A" w:rsidRDefault="00622D9A" w:rsidP="00622D9A">
      <w:pPr>
        <w:spacing w:line="360" w:lineRule="auto"/>
        <w:ind w:left="-7"/>
        <w:jc w:val="both"/>
        <w:rPr>
          <w:rFonts w:ascii="David" w:hAnsi="David"/>
          <w:rtl/>
        </w:rPr>
      </w:pPr>
    </w:p>
    <w:p w:rsidR="00622D9A" w:rsidRDefault="00622D9A" w:rsidP="00622D9A">
      <w:pPr>
        <w:spacing w:line="360" w:lineRule="auto"/>
        <w:ind w:left="-7"/>
        <w:jc w:val="both"/>
        <w:rPr>
          <w:rFonts w:ascii="David" w:hAnsi="David"/>
          <w:rtl/>
        </w:rPr>
      </w:pPr>
      <w:r>
        <w:rPr>
          <w:rFonts w:ascii="David" w:hAnsi="David" w:hint="cs"/>
          <w:rtl/>
        </w:rPr>
        <w:t>27</w:t>
      </w:r>
      <w:r>
        <w:rPr>
          <w:rFonts w:ascii="David" w:hAnsi="David"/>
          <w:rtl/>
        </w:rPr>
        <w:t>.</w:t>
      </w:r>
      <w:r>
        <w:rPr>
          <w:rFonts w:ascii="David" w:hAnsi="David"/>
          <w:rtl/>
        </w:rPr>
        <w:tab/>
        <w:t>בזאת תם הדיון בתובענה.</w:t>
      </w:r>
    </w:p>
    <w:p w:rsidR="00622D9A" w:rsidRDefault="00622D9A" w:rsidP="00622D9A">
      <w:pPr>
        <w:spacing w:line="360" w:lineRule="auto"/>
        <w:ind w:left="-7"/>
        <w:jc w:val="both"/>
        <w:rPr>
          <w:rFonts w:ascii="David" w:hAnsi="David"/>
          <w:rtl/>
        </w:rPr>
      </w:pPr>
    </w:p>
    <w:p w:rsidR="00622D9A" w:rsidRDefault="00622D9A" w:rsidP="00622D9A">
      <w:pPr>
        <w:spacing w:line="360" w:lineRule="auto"/>
        <w:ind w:left="-7"/>
        <w:jc w:val="both"/>
        <w:rPr>
          <w:rFonts w:ascii="David" w:hAnsi="David"/>
          <w:rtl/>
        </w:rPr>
      </w:pPr>
      <w:r>
        <w:rPr>
          <w:rFonts w:ascii="David" w:hAnsi="David" w:hint="cs"/>
          <w:rtl/>
        </w:rPr>
        <w:t>28</w:t>
      </w:r>
      <w:r>
        <w:rPr>
          <w:rFonts w:ascii="David" w:hAnsi="David"/>
          <w:rtl/>
        </w:rPr>
        <w:t>.</w:t>
      </w:r>
      <w:r>
        <w:rPr>
          <w:rFonts w:ascii="David" w:hAnsi="David"/>
          <w:rtl/>
        </w:rPr>
        <w:tab/>
        <w:t xml:space="preserve">תואיל המזכירות לשלוח ההחלטה לצדדים ולסגור את התיק. </w:t>
      </w:r>
    </w:p>
    <w:p w:rsidR="00622D9A" w:rsidRPr="00DE1E7D" w:rsidRDefault="00622D9A" w:rsidP="00622D9A">
      <w:pPr>
        <w:spacing w:line="360" w:lineRule="auto"/>
        <w:jc w:val="both"/>
        <w:rPr>
          <w:rFonts w:ascii="Arial" w:hAnsi="Arial"/>
          <w:noProof w:val="0"/>
          <w:rtl/>
        </w:rPr>
      </w:pPr>
    </w:p>
    <w:p w:rsidR="00622D9A" w:rsidRDefault="00622D9A" w:rsidP="00622D9A">
      <w:pPr>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Pr>
          <w:rFonts w:ascii="Arial" w:hAnsi="Arial"/>
          <w:noProof w:val="0"/>
          <w:rtl/>
        </w:rPr>
        <w:t xml:space="preserve"> היום, </w:t>
      </w:r>
      <w:sdt>
        <w:sdtPr>
          <w:rPr>
            <w:rtl/>
          </w:rPr>
          <w:alias w:val="1455"/>
          <w:tag w:val="1455"/>
          <w:id w:val="1666048407"/>
          <w:text w:multiLine="1"/>
        </w:sdtPr>
        <w:sdtEndPr/>
        <w:sdtContent>
          <w:r>
            <w:rPr>
              <w:rFonts w:ascii="Arial" w:hAnsi="Arial"/>
              <w:noProof w:val="0"/>
              <w:rtl/>
            </w:rPr>
            <w:t>כ"ג אדר תשפ"ה</w:t>
          </w:r>
        </w:sdtContent>
      </w:sdt>
      <w:r>
        <w:rPr>
          <w:rFonts w:ascii="Arial" w:hAnsi="Arial"/>
          <w:noProof w:val="0"/>
          <w:rtl/>
        </w:rPr>
        <w:t xml:space="preserve">, </w:t>
      </w:r>
      <w:sdt>
        <w:sdtPr>
          <w:rPr>
            <w:rtl/>
          </w:rPr>
          <w:alias w:val="1456"/>
          <w:tag w:val="1456"/>
          <w:id w:val="-1186288958"/>
          <w:text w:multiLine="1"/>
        </w:sdtPr>
        <w:sdtEndPr/>
        <w:sdtContent>
          <w:r>
            <w:rPr>
              <w:rFonts w:ascii="Arial" w:hAnsi="Arial"/>
              <w:noProof w:val="0"/>
              <w:rtl/>
            </w:rPr>
            <w:t>23 מרץ 2025</w:t>
          </w:r>
        </w:sdtContent>
      </w:sdt>
      <w:r>
        <w:rPr>
          <w:rFonts w:ascii="Arial" w:hAnsi="Arial"/>
          <w:noProof w:val="0"/>
          <w:rtl/>
        </w:rPr>
        <w:t>, בהעדר הצדדים.</w:t>
      </w:r>
    </w:p>
    <w:p w:rsidR="00622D9A" w:rsidRDefault="00A856B3" w:rsidP="00622D9A">
      <w:pPr>
        <w:tabs>
          <w:tab w:val="left" w:pos="2553"/>
        </w:tabs>
        <w:ind w:left="5040"/>
        <w:rPr>
          <w:rtl/>
        </w:rPr>
      </w:pPr>
      <w:sdt>
        <w:sdtPr>
          <w:rPr>
            <w:rFonts w:hint="cs"/>
            <w:rtl/>
          </w:rPr>
          <w:alias w:val="2045"/>
          <w:tag w:val="2045"/>
          <w:id w:val="740689340"/>
          <w:placeholder>
            <w:docPart w:val="3A77C05E68854AD287E0549F6C6C6FC4"/>
          </w:placeholder>
          <w:showingPlcHdr/>
          <w:text w:multiLine="1"/>
        </w:sdtPr>
        <w:sdtEndPr/>
        <w:sdtContent>
          <w:r w:rsidR="00622D9A">
            <w:rPr>
              <w:rFonts w:hint="cs"/>
              <w:rtl/>
            </w:rPr>
            <w:t xml:space="preserve">     </w:t>
          </w:r>
        </w:sdtContent>
      </w:sdt>
    </w:p>
    <w:p w:rsidR="00622D9A" w:rsidRDefault="00622D9A" w:rsidP="00622D9A">
      <w:pPr>
        <w:tabs>
          <w:tab w:val="left" w:pos="2553"/>
        </w:tabs>
      </w:pPr>
      <w:r>
        <w:rPr>
          <w:rFonts w:hint="cs"/>
          <w:rtl/>
        </w:rPr>
        <w:tab/>
      </w:r>
      <w:r>
        <w:rPr>
          <w:rFonts w:hint="cs"/>
          <w:rtl/>
        </w:rPr>
        <w:tab/>
      </w:r>
      <w:r>
        <w:rPr>
          <w:rFonts w:hint="cs"/>
          <w:rtl/>
        </w:rPr>
        <w:tab/>
      </w:r>
      <w:r>
        <w:rPr>
          <w:rFonts w:hint="cs"/>
          <w:rtl/>
        </w:rPr>
        <w:tab/>
        <w:t xml:space="preserve">        </w:t>
      </w:r>
      <w:sdt>
        <w:sdtPr>
          <w:rPr>
            <w:rtl/>
          </w:rPr>
          <w:alias w:val="MergeField"/>
          <w:tag w:val="1237"/>
          <w:id w:val="-1268691372"/>
        </w:sdtPr>
        <w:sdtEndPr/>
        <w:sdtContent>
          <w:r>
            <w:drawing>
              <wp:inline distT="0" distB="0" distL="0" distR="0" wp14:anchorId="79C41A29" wp14:editId="732CA10F">
                <wp:extent cx="1685925" cy="1009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0" cstate="print">
                          <a:extLst/>
                        </a:blip>
                        <a:stretch>
                          <a:fillRect/>
                        </a:stretch>
                      </pic:blipFill>
                      <pic:spPr>
                        <a:xfrm>
                          <a:off x="0" y="0"/>
                          <a:ext cx="1685925" cy="1009649"/>
                        </a:xfrm>
                        <a:prstGeom prst="rect">
                          <a:avLst/>
                        </a:prstGeom>
                      </pic:spPr>
                    </pic:pic>
                  </a:graphicData>
                </a:graphic>
              </wp:inline>
            </w:drawing>
          </w:r>
        </w:sdtContent>
      </w:sdt>
    </w:p>
    <w:p w:rsidR="00622D9A" w:rsidRDefault="00622D9A" w:rsidP="00622D9A">
      <w:pPr>
        <w:tabs>
          <w:tab w:val="left" w:pos="2553"/>
        </w:tabs>
        <w:rPr>
          <w:rFonts w:ascii="Arial" w:hAnsi="Arial"/>
          <w:noProof w:val="0"/>
          <w:rtl/>
        </w:rPr>
      </w:pPr>
    </w:p>
    <w:p w:rsidR="00622D9A" w:rsidRDefault="00622D9A"/>
    <w:sectPr w:rsidR="00622D9A" w:rsidSect="00DD2491">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9A"/>
    <w:rsid w:val="000F2C29"/>
    <w:rsid w:val="00622D9A"/>
    <w:rsid w:val="006361E1"/>
    <w:rsid w:val="00912B11"/>
    <w:rsid w:val="00A856B3"/>
    <w:rsid w:val="00D52136"/>
    <w:rsid w:val="00DD2491"/>
    <w:rsid w:val="00E03759"/>
    <w:rsid w:val="00F72E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229D7-3C89-4EA6-AD16-08B83E9E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D9A"/>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136"/>
    <w:pPr>
      <w:spacing w:after="160" w:line="259" w:lineRule="auto"/>
      <w:ind w:left="720"/>
      <w:contextualSpacing/>
    </w:pPr>
    <w:rPr>
      <w:rFonts w:asciiTheme="minorHAnsi" w:eastAsiaTheme="minorHAnsi" w:hAnsiTheme="minorHAnsi" w:cstheme="minorBidi"/>
      <w:noProof w:val="0"/>
      <w:sz w:val="22"/>
      <w:szCs w:val="22"/>
    </w:rPr>
  </w:style>
  <w:style w:type="table" w:styleId="a4">
    <w:name w:val="Table Grid"/>
    <w:basedOn w:val="a1"/>
    <w:uiPriority w:val="39"/>
    <w:rsid w:val="00622D9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22D9A"/>
    <w:rPr>
      <w:color w:val="0000FF"/>
      <w:u w:val="single"/>
    </w:rPr>
  </w:style>
  <w:style w:type="character" w:customStyle="1" w:styleId="Ruller5">
    <w:name w:val="Ruller5 תו"/>
    <w:basedOn w:val="a0"/>
    <w:link w:val="Ruller50"/>
    <w:locked/>
    <w:rsid w:val="00622D9A"/>
    <w:rPr>
      <w:rFonts w:ascii="Arial TUR" w:hAnsi="Arial TUR" w:cs="FrankRuehl"/>
      <w:spacing w:val="10"/>
      <w:szCs w:val="28"/>
    </w:rPr>
  </w:style>
  <w:style w:type="paragraph" w:customStyle="1" w:styleId="Ruller50">
    <w:name w:val="Ruller5"/>
    <w:basedOn w:val="a"/>
    <w:link w:val="Ruller5"/>
    <w:rsid w:val="00622D9A"/>
    <w:pPr>
      <w:overflowPunct w:val="0"/>
      <w:autoSpaceDE w:val="0"/>
      <w:autoSpaceDN w:val="0"/>
      <w:adjustRightInd w:val="0"/>
      <w:ind w:left="1642" w:right="1282"/>
      <w:jc w:val="both"/>
    </w:pPr>
    <w:rPr>
      <w:rFonts w:ascii="Arial TUR" w:eastAsiaTheme="minorHAnsi" w:hAnsi="Arial TUR" w:cs="FrankRuehl"/>
      <w:noProof w:val="0"/>
      <w:spacing w:val="10"/>
      <w:sz w:val="22"/>
      <w:szCs w:val="28"/>
    </w:rPr>
  </w:style>
  <w:style w:type="paragraph" w:styleId="a5">
    <w:name w:val="header"/>
    <w:basedOn w:val="a"/>
    <w:link w:val="a6"/>
    <w:rsid w:val="000F2C29"/>
    <w:pPr>
      <w:tabs>
        <w:tab w:val="center" w:pos="4153"/>
        <w:tab w:val="right" w:pos="8306"/>
      </w:tabs>
    </w:pPr>
  </w:style>
  <w:style w:type="character" w:customStyle="1" w:styleId="a6">
    <w:name w:val="כותרת עליונה תו"/>
    <w:basedOn w:val="a0"/>
    <w:link w:val="a5"/>
    <w:rsid w:val="000F2C29"/>
    <w:rPr>
      <w:rFonts w:ascii="Times New Roman" w:eastAsia="Times New Roman" w:hAnsi="Times New Roman" w:cs="David"/>
      <w:noProof/>
      <w:sz w:val="24"/>
      <w:szCs w:val="24"/>
    </w:rPr>
  </w:style>
  <w:style w:type="paragraph" w:styleId="NormalWeb">
    <w:name w:val="Normal (Web)"/>
    <w:basedOn w:val="a"/>
    <w:uiPriority w:val="99"/>
    <w:semiHidden/>
    <w:unhideWhenUsed/>
    <w:rsid w:val="000F2C29"/>
    <w:pPr>
      <w:bidi w:val="0"/>
      <w:spacing w:before="100" w:beforeAutospacing="1" w:after="100" w:afterAutospacing="1"/>
    </w:pPr>
    <w:rPr>
      <w:rFonts w:eastAsiaTheme="minorEastAsia"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case/179187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evo.co.il/case/5893851"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vo.co.il/law/74880" TargetMode="External"/><Relationship Id="rId11" Type="http://schemas.openxmlformats.org/officeDocument/2006/relationships/fontTable" Target="fontTable.xml"/><Relationship Id="rId5" Type="http://schemas.openxmlformats.org/officeDocument/2006/relationships/hyperlink" Target="http://www.nevo.co.il/law/74880/32.a" TargetMode="External"/><Relationship Id="rId10"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hyperlink" Target="http://www.nevo.co.il/law/74880/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C05E68854AD287E0549F6C6C6FC4"/>
        <w:category>
          <w:name w:val="כללי"/>
          <w:gallery w:val="placeholder"/>
        </w:category>
        <w:types>
          <w:type w:val="bbPlcHdr"/>
        </w:types>
        <w:behaviors>
          <w:behavior w:val="content"/>
        </w:behaviors>
        <w:guid w:val="{558E91C4-9E56-4ABC-99E6-C52FAB5848DC}"/>
      </w:docPartPr>
      <w:docPartBody>
        <w:p w:rsidR="008A601D" w:rsidRDefault="00E8111D" w:rsidP="00E8111D">
          <w:pPr>
            <w:pStyle w:val="3A77C05E68854AD287E0549F6C6C6FC4"/>
          </w:pPr>
          <w:r>
            <w:rPr>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1D"/>
    <w:rsid w:val="006A019D"/>
    <w:rsid w:val="006D5068"/>
    <w:rsid w:val="008A601D"/>
    <w:rsid w:val="00C765FA"/>
    <w:rsid w:val="00E811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A77C05E68854AD287E0549F6C6C6FC4">
    <w:name w:val="3A77C05E68854AD287E0549F6C6C6FC4"/>
    <w:rsid w:val="00E8111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5439</Words>
  <Characters>27200</Characters>
  <Application>Microsoft Office Word</Application>
  <DocSecurity>0</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מרדכי (מוטי) לוי</dc:creator>
  <cp:keywords/>
  <dc:description/>
  <cp:lastModifiedBy>גרמאו מנגיסטו</cp:lastModifiedBy>
  <cp:revision>2</cp:revision>
  <dcterms:created xsi:type="dcterms:W3CDTF">2025-04-03T13:08:00Z</dcterms:created>
  <dcterms:modified xsi:type="dcterms:W3CDTF">2025-04-03T13:08:00Z</dcterms:modified>
</cp:coreProperties>
</file>