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422" w:rsidRPr="00832AD7" w:rsidRDefault="002453CF" w:rsidP="00832AD7">
      <w:pPr>
        <w:spacing w:after="0" w:line="240" w:lineRule="auto"/>
        <w:rPr>
          <w:rFonts w:cs="David"/>
          <w:b/>
          <w:bCs/>
          <w:sz w:val="16"/>
          <w:szCs w:val="16"/>
          <w:rtl/>
        </w:rPr>
      </w:pPr>
      <w:bookmarkStart w:id="0" w:name="_GoBack"/>
      <w:bookmarkEnd w:id="0"/>
      <w:r w:rsidRPr="006C3B1F">
        <w:rPr>
          <w:rFonts w:cs="David" w:hint="cs"/>
          <w:b/>
          <w:bCs/>
          <w:sz w:val="24"/>
          <w:szCs w:val="24"/>
          <w:rtl/>
        </w:rPr>
        <w:t xml:space="preserve">                                 </w:t>
      </w:r>
      <w:r w:rsidR="006B7B96" w:rsidRPr="006C3B1F">
        <w:rPr>
          <w:rFonts w:cs="David" w:hint="cs"/>
          <w:b/>
          <w:bCs/>
          <w:sz w:val="24"/>
          <w:szCs w:val="24"/>
          <w:rtl/>
        </w:rPr>
        <w:t xml:space="preserve">           </w:t>
      </w:r>
      <w:r w:rsidR="00631744">
        <w:rPr>
          <w:rFonts w:cs="David" w:hint="cs"/>
          <w:b/>
          <w:bCs/>
          <w:sz w:val="24"/>
          <w:szCs w:val="24"/>
          <w:rtl/>
        </w:rPr>
        <w:t xml:space="preserve">           </w:t>
      </w:r>
      <w:r w:rsidR="006C3B1F">
        <w:rPr>
          <w:rFonts w:cs="David" w:hint="cs"/>
          <w:b/>
          <w:bCs/>
          <w:sz w:val="24"/>
          <w:szCs w:val="24"/>
          <w:rtl/>
        </w:rPr>
        <w:t xml:space="preserve">   </w:t>
      </w:r>
      <w:r w:rsidRPr="006C3B1F">
        <w:rPr>
          <w:rFonts w:cs="David" w:hint="cs"/>
          <w:b/>
          <w:bCs/>
          <w:sz w:val="24"/>
          <w:szCs w:val="24"/>
          <w:rtl/>
        </w:rPr>
        <w:t xml:space="preserve">  </w:t>
      </w:r>
      <w:r w:rsidR="001D42A7">
        <w:rPr>
          <w:rFonts w:hint="cs"/>
          <w:b/>
          <w:bCs/>
          <w:rtl/>
        </w:rPr>
        <w:t xml:space="preserve">  </w:t>
      </w:r>
    </w:p>
    <w:p w:rsidR="00983123" w:rsidRPr="00832AD7" w:rsidRDefault="00983123" w:rsidP="00832AD7">
      <w:pPr>
        <w:spacing w:after="0" w:line="240" w:lineRule="auto"/>
        <w:jc w:val="right"/>
        <w:rPr>
          <w:rFonts w:ascii="Times New Roman" w:eastAsia="Times New Roman" w:hAnsi="Times New Roman" w:cs="David"/>
          <w:sz w:val="16"/>
          <w:szCs w:val="16"/>
        </w:rPr>
      </w:pPr>
      <w:r w:rsidRPr="00832AD7">
        <w:rPr>
          <w:rFonts w:ascii="Times New Roman" w:eastAsia="Times New Roman" w:hAnsi="Times New Roman" w:cs="David" w:hint="cs"/>
          <w:sz w:val="16"/>
          <w:szCs w:val="16"/>
          <w:rtl/>
        </w:rPr>
        <w:fldChar w:fldCharType="begin"/>
      </w:r>
      <w:r w:rsidRPr="00832AD7">
        <w:rPr>
          <w:rFonts w:ascii="Times New Roman" w:eastAsia="Times New Roman" w:hAnsi="Times New Roman" w:cs="David" w:hint="cs"/>
          <w:sz w:val="16"/>
          <w:szCs w:val="16"/>
          <w:rtl/>
        </w:rPr>
        <w:instrText xml:space="preserve"> </w:instrText>
      </w:r>
      <w:r w:rsidRPr="00832AD7">
        <w:rPr>
          <w:rFonts w:ascii="Times New Roman" w:eastAsia="Times New Roman" w:hAnsi="Times New Roman" w:cs="David"/>
          <w:sz w:val="16"/>
          <w:szCs w:val="16"/>
        </w:rPr>
        <w:instrText>DOCPROPERTY  DocDateEng  \* MERGEFORMAT</w:instrText>
      </w:r>
      <w:r w:rsidRPr="00832AD7">
        <w:rPr>
          <w:rFonts w:ascii="Times New Roman" w:eastAsia="Times New Roman" w:hAnsi="Times New Roman" w:cs="David" w:hint="cs"/>
          <w:sz w:val="16"/>
          <w:szCs w:val="16"/>
          <w:rtl/>
        </w:rPr>
        <w:instrText xml:space="preserve"> </w:instrText>
      </w:r>
      <w:r w:rsidRPr="00832AD7">
        <w:rPr>
          <w:rFonts w:ascii="Times New Roman" w:eastAsia="Times New Roman" w:hAnsi="Times New Roman" w:cs="David" w:hint="cs"/>
          <w:sz w:val="16"/>
          <w:szCs w:val="16"/>
          <w:rtl/>
        </w:rPr>
        <w:fldChar w:fldCharType="separate"/>
      </w:r>
      <w:r w:rsidRPr="00832AD7">
        <w:rPr>
          <w:rFonts w:ascii="Times New Roman" w:eastAsia="Times New Roman" w:hAnsi="Times New Roman" w:cs="David" w:hint="cs"/>
          <w:sz w:val="16"/>
          <w:szCs w:val="16"/>
          <w:rtl/>
        </w:rPr>
        <w:t>30 בנובמבר 2023</w:t>
      </w:r>
      <w:r w:rsidRPr="00832AD7">
        <w:rPr>
          <w:rFonts w:ascii="Times New Roman" w:eastAsia="Times New Roman" w:hAnsi="Times New Roman" w:cs="David" w:hint="cs"/>
          <w:sz w:val="16"/>
          <w:szCs w:val="16"/>
          <w:rtl/>
        </w:rPr>
        <w:fldChar w:fldCharType="end"/>
      </w:r>
    </w:p>
    <w:p w:rsidR="00983123" w:rsidRPr="00832AD7" w:rsidRDefault="00983123" w:rsidP="00832AD7">
      <w:pPr>
        <w:spacing w:after="0" w:line="240" w:lineRule="auto"/>
        <w:jc w:val="right"/>
        <w:rPr>
          <w:rFonts w:ascii="Times New Roman" w:eastAsia="Times New Roman" w:hAnsi="Times New Roman" w:cs="David"/>
          <w:sz w:val="16"/>
          <w:szCs w:val="16"/>
          <w:rtl/>
        </w:rPr>
      </w:pPr>
      <w:r w:rsidRPr="00832AD7">
        <w:rPr>
          <w:rFonts w:ascii="Times New Roman" w:eastAsia="Times New Roman" w:hAnsi="Times New Roman" w:cs="David" w:hint="cs"/>
          <w:sz w:val="16"/>
          <w:szCs w:val="16"/>
          <w:rtl/>
        </w:rPr>
        <w:t xml:space="preserve">                                                                                                   </w:t>
      </w:r>
      <w:r w:rsidRPr="00832AD7">
        <w:rPr>
          <w:rFonts w:ascii="Times New Roman" w:eastAsia="Times New Roman" w:hAnsi="Times New Roman" w:cs="David" w:hint="cs"/>
          <w:sz w:val="16"/>
          <w:szCs w:val="16"/>
          <w:rtl/>
        </w:rPr>
        <w:fldChar w:fldCharType="begin"/>
      </w:r>
      <w:r w:rsidRPr="00832AD7">
        <w:rPr>
          <w:rFonts w:ascii="Times New Roman" w:eastAsia="Times New Roman" w:hAnsi="Times New Roman" w:cs="David" w:hint="cs"/>
          <w:sz w:val="16"/>
          <w:szCs w:val="16"/>
          <w:rtl/>
        </w:rPr>
        <w:instrText xml:space="preserve"> </w:instrText>
      </w:r>
      <w:r w:rsidRPr="00832AD7">
        <w:rPr>
          <w:rFonts w:ascii="Times New Roman" w:eastAsia="Times New Roman" w:hAnsi="Times New Roman" w:cs="David"/>
          <w:sz w:val="16"/>
          <w:szCs w:val="16"/>
        </w:rPr>
        <w:instrText>DOCPROPERTY  DocDateHeb  \* MERGEFORMAT</w:instrText>
      </w:r>
      <w:r w:rsidRPr="00832AD7">
        <w:rPr>
          <w:rFonts w:ascii="Times New Roman" w:eastAsia="Times New Roman" w:hAnsi="Times New Roman" w:cs="David" w:hint="cs"/>
          <w:sz w:val="16"/>
          <w:szCs w:val="16"/>
          <w:rtl/>
        </w:rPr>
        <w:instrText xml:space="preserve"> </w:instrText>
      </w:r>
      <w:r w:rsidRPr="00832AD7">
        <w:rPr>
          <w:rFonts w:ascii="Times New Roman" w:eastAsia="Times New Roman" w:hAnsi="Times New Roman" w:cs="David" w:hint="cs"/>
          <w:sz w:val="16"/>
          <w:szCs w:val="16"/>
          <w:rtl/>
        </w:rPr>
        <w:fldChar w:fldCharType="separate"/>
      </w:r>
      <w:r w:rsidRPr="00832AD7">
        <w:rPr>
          <w:rFonts w:ascii="Times New Roman" w:eastAsia="Times New Roman" w:hAnsi="Times New Roman" w:cs="David" w:hint="cs"/>
          <w:sz w:val="16"/>
          <w:szCs w:val="16"/>
          <w:rtl/>
        </w:rPr>
        <w:t>י"ז בכסלו תשפ"ד</w:t>
      </w:r>
      <w:r w:rsidRPr="00832AD7">
        <w:rPr>
          <w:rFonts w:ascii="Times New Roman" w:eastAsia="Times New Roman" w:hAnsi="Times New Roman" w:cs="David" w:hint="cs"/>
          <w:sz w:val="16"/>
          <w:szCs w:val="16"/>
          <w:rtl/>
        </w:rPr>
        <w:fldChar w:fldCharType="end"/>
      </w:r>
    </w:p>
    <w:p w:rsidR="00515986" w:rsidRPr="00CA33A4" w:rsidRDefault="00983123" w:rsidP="00CA33A4">
      <w:pPr>
        <w:spacing w:after="0" w:line="240" w:lineRule="auto"/>
        <w:jc w:val="right"/>
        <w:rPr>
          <w:rFonts w:ascii="Times New Roman" w:eastAsia="Times New Roman" w:hAnsi="Times New Roman" w:cs="David"/>
          <w:sz w:val="24"/>
          <w:szCs w:val="24"/>
          <w:rtl/>
        </w:rPr>
      </w:pPr>
      <w:r w:rsidRPr="00832AD7">
        <w:rPr>
          <w:rFonts w:ascii="Times New Roman" w:eastAsia="Times New Roman" w:hAnsi="Times New Roman" w:cs="David" w:hint="cs"/>
          <w:sz w:val="16"/>
          <w:szCs w:val="16"/>
          <w:rtl/>
        </w:rPr>
        <w:fldChar w:fldCharType="begin"/>
      </w:r>
      <w:r w:rsidRPr="00832AD7">
        <w:rPr>
          <w:rFonts w:ascii="Times New Roman" w:eastAsia="Times New Roman" w:hAnsi="Times New Roman" w:cs="David" w:hint="cs"/>
          <w:sz w:val="16"/>
          <w:szCs w:val="16"/>
          <w:rtl/>
        </w:rPr>
        <w:instrText xml:space="preserve"> </w:instrText>
      </w:r>
      <w:r w:rsidRPr="00832AD7">
        <w:rPr>
          <w:rFonts w:ascii="Times New Roman" w:eastAsia="Times New Roman" w:hAnsi="Times New Roman" w:cs="David"/>
          <w:sz w:val="16"/>
          <w:szCs w:val="16"/>
        </w:rPr>
        <w:instrText>DOCPROPERTY  DocNumber  \* MERGEFORMAT</w:instrText>
      </w:r>
      <w:r w:rsidRPr="00832AD7">
        <w:rPr>
          <w:rFonts w:ascii="Times New Roman" w:eastAsia="Times New Roman" w:hAnsi="Times New Roman" w:cs="David" w:hint="cs"/>
          <w:sz w:val="16"/>
          <w:szCs w:val="16"/>
          <w:rtl/>
        </w:rPr>
        <w:instrText xml:space="preserve"> </w:instrText>
      </w:r>
      <w:r w:rsidRPr="00832AD7">
        <w:rPr>
          <w:rFonts w:ascii="Times New Roman" w:eastAsia="Times New Roman" w:hAnsi="Times New Roman" w:cs="David" w:hint="cs"/>
          <w:sz w:val="16"/>
          <w:szCs w:val="16"/>
          <w:rtl/>
        </w:rPr>
        <w:fldChar w:fldCharType="separate"/>
      </w:r>
      <w:r w:rsidRPr="00832AD7">
        <w:rPr>
          <w:rFonts w:ascii="Times New Roman" w:eastAsia="Times New Roman" w:hAnsi="Times New Roman" w:cs="David" w:hint="cs"/>
          <w:sz w:val="16"/>
          <w:szCs w:val="16"/>
          <w:rtl/>
        </w:rPr>
        <w:t>4700-1039-2023-009522</w:t>
      </w:r>
      <w:r w:rsidRPr="00832AD7">
        <w:rPr>
          <w:rFonts w:ascii="Times New Roman" w:eastAsia="Times New Roman" w:hAnsi="Times New Roman" w:cs="David" w:hint="cs"/>
          <w:sz w:val="16"/>
          <w:szCs w:val="16"/>
          <w:rtl/>
        </w:rPr>
        <w:fldChar w:fldCharType="end"/>
      </w:r>
    </w:p>
    <w:p w:rsidR="00515986" w:rsidRPr="00515986" w:rsidRDefault="00515986" w:rsidP="000C4D75">
      <w:pPr>
        <w:tabs>
          <w:tab w:val="num" w:pos="1080"/>
        </w:tabs>
        <w:spacing w:after="0" w:line="276" w:lineRule="auto"/>
        <w:jc w:val="both"/>
        <w:rPr>
          <w:rFonts w:ascii="Arial" w:eastAsia="Times New Roman" w:hAnsi="Arial" w:cs="David"/>
          <w:b/>
          <w:bCs/>
          <w:sz w:val="24"/>
          <w:szCs w:val="24"/>
          <w:rtl/>
        </w:rPr>
      </w:pPr>
    </w:p>
    <w:p w:rsidR="00541C9E" w:rsidRPr="00CA33A4" w:rsidRDefault="00541C9E" w:rsidP="00CA33A4">
      <w:pPr>
        <w:spacing w:after="120" w:line="276" w:lineRule="auto"/>
        <w:jc w:val="center"/>
        <w:rPr>
          <w:rFonts w:ascii="FrankRuehl" w:hAnsi="FrankRuehl" w:cs="FrankRuehl"/>
          <w:b/>
          <w:bCs/>
          <w:color w:val="002060"/>
          <w:sz w:val="32"/>
          <w:szCs w:val="32"/>
          <w:u w:val="single"/>
          <w:rtl/>
        </w:rPr>
      </w:pPr>
      <w:r w:rsidRPr="000071E5">
        <w:rPr>
          <w:rFonts w:ascii="FrankRuehl" w:hAnsi="FrankRuehl" w:cs="FrankRuehl"/>
          <w:b/>
          <w:bCs/>
          <w:color w:val="002060"/>
          <w:sz w:val="32"/>
          <w:szCs w:val="32"/>
          <w:u w:val="single"/>
          <w:rtl/>
        </w:rPr>
        <w:t xml:space="preserve">תקציר </w:t>
      </w:r>
      <w:r w:rsidR="00CA33A4">
        <w:rPr>
          <w:rFonts w:ascii="FrankRuehl" w:hAnsi="FrankRuehl" w:cs="FrankRuehl" w:hint="cs"/>
          <w:b/>
          <w:bCs/>
          <w:color w:val="002060"/>
          <w:sz w:val="32"/>
          <w:szCs w:val="32"/>
          <w:u w:val="single"/>
          <w:rtl/>
        </w:rPr>
        <w:t xml:space="preserve">פס"ד </w:t>
      </w:r>
      <w:r w:rsidR="00CA33A4" w:rsidRPr="00CA33A4">
        <w:rPr>
          <w:rFonts w:ascii="FrankRuehl" w:hAnsi="FrankRuehl" w:cs="FrankRuehl" w:hint="cs"/>
          <w:b/>
          <w:bCs/>
          <w:color w:val="002060"/>
          <w:sz w:val="32"/>
          <w:szCs w:val="32"/>
          <w:u w:val="single"/>
          <w:rtl/>
        </w:rPr>
        <w:t>עת"א 7015-06-22</w:t>
      </w:r>
      <w:r w:rsidR="00CA33A4">
        <w:rPr>
          <w:rFonts w:ascii="FrankRuehl" w:hAnsi="FrankRuehl" w:cs="FrankRuehl" w:hint="cs"/>
          <w:b/>
          <w:bCs/>
          <w:color w:val="002060"/>
          <w:sz w:val="32"/>
          <w:szCs w:val="32"/>
          <w:u w:val="single"/>
          <w:rtl/>
        </w:rPr>
        <w:t xml:space="preserve"> - </w:t>
      </w:r>
      <w:proofErr w:type="spellStart"/>
      <w:r w:rsidR="00CA33A4" w:rsidRPr="00CA33A4">
        <w:rPr>
          <w:rFonts w:ascii="FrankRuehl" w:hAnsi="FrankRuehl" w:cs="FrankRuehl" w:hint="cs"/>
          <w:b/>
          <w:bCs/>
          <w:color w:val="002060"/>
          <w:sz w:val="32"/>
          <w:szCs w:val="32"/>
          <w:u w:val="single"/>
          <w:rtl/>
        </w:rPr>
        <w:t>ג'ומעה</w:t>
      </w:r>
      <w:proofErr w:type="spellEnd"/>
      <w:r w:rsidR="00CA33A4" w:rsidRPr="00CA33A4">
        <w:rPr>
          <w:rFonts w:ascii="FrankRuehl" w:hAnsi="FrankRuehl" w:cs="FrankRuehl" w:hint="cs"/>
          <w:b/>
          <w:bCs/>
          <w:color w:val="002060"/>
          <w:sz w:val="32"/>
          <w:szCs w:val="32"/>
          <w:u w:val="single"/>
          <w:rtl/>
        </w:rPr>
        <w:t xml:space="preserve"> חדר נ' שרות בתי הסוהר</w:t>
      </w:r>
    </w:p>
    <w:p w:rsidR="00541C9E" w:rsidRPr="000071E5" w:rsidRDefault="00CA33A4" w:rsidP="00CA33A4">
      <w:pPr>
        <w:spacing w:after="120" w:line="276" w:lineRule="auto"/>
        <w:jc w:val="center"/>
        <w:rPr>
          <w:rFonts w:ascii="FrankRuehl" w:hAnsi="FrankRuehl" w:cs="FrankRuehl"/>
          <w:b/>
          <w:bCs/>
          <w:color w:val="002060"/>
          <w:sz w:val="32"/>
          <w:szCs w:val="32"/>
          <w:rtl/>
        </w:rPr>
      </w:pPr>
      <w:r>
        <w:rPr>
          <w:rFonts w:ascii="FrankRuehl" w:hAnsi="FrankRuehl" w:cs="FrankRuehl" w:hint="cs"/>
          <w:b/>
          <w:bCs/>
          <w:color w:val="002060"/>
          <w:sz w:val="32"/>
          <w:szCs w:val="32"/>
          <w:rtl/>
        </w:rPr>
        <w:t xml:space="preserve">ביהמ"ש המחוזי מרכז לוד, </w:t>
      </w:r>
      <w:r w:rsidR="00541C9E" w:rsidRPr="000071E5">
        <w:rPr>
          <w:rFonts w:ascii="FrankRuehl" w:hAnsi="FrankRuehl" w:cs="FrankRuehl"/>
          <w:b/>
          <w:bCs/>
          <w:color w:val="002060"/>
          <w:sz w:val="32"/>
          <w:szCs w:val="32"/>
          <w:rtl/>
        </w:rPr>
        <w:t xml:space="preserve"> השופט</w:t>
      </w:r>
      <w:r>
        <w:rPr>
          <w:rFonts w:ascii="FrankRuehl" w:hAnsi="FrankRuehl" w:cs="FrankRuehl" w:hint="cs"/>
          <w:b/>
          <w:bCs/>
          <w:color w:val="002060"/>
          <w:sz w:val="32"/>
          <w:szCs w:val="32"/>
          <w:rtl/>
        </w:rPr>
        <w:t xml:space="preserve"> מיכאל קרשן </w:t>
      </w:r>
    </w:p>
    <w:p w:rsidR="00541C9E" w:rsidRPr="00460FA3" w:rsidRDefault="00541C9E" w:rsidP="00CA33A4">
      <w:pPr>
        <w:spacing w:after="0" w:line="360" w:lineRule="auto"/>
        <w:jc w:val="both"/>
        <w:rPr>
          <w:rFonts w:ascii="FrankRuehl" w:hAnsi="FrankRuehl" w:cs="FrankRuehl"/>
          <w:color w:val="323E4F" w:themeColor="text2" w:themeShade="BF"/>
          <w:sz w:val="26"/>
          <w:szCs w:val="26"/>
          <w:rtl/>
        </w:rPr>
      </w:pPr>
    </w:p>
    <w:p w:rsidR="004B652D" w:rsidRDefault="004B652D" w:rsidP="004B652D">
      <w:pPr>
        <w:spacing w:after="0" w:line="360" w:lineRule="auto"/>
        <w:jc w:val="both"/>
        <w:rPr>
          <w:rFonts w:ascii="David" w:hAnsi="David" w:cs="David"/>
          <w:sz w:val="24"/>
          <w:szCs w:val="24"/>
          <w:rtl/>
        </w:rPr>
      </w:pPr>
      <w:r>
        <w:rPr>
          <w:rFonts w:ascii="David" w:hAnsi="David" w:cs="David" w:hint="cs"/>
          <w:sz w:val="24"/>
          <w:szCs w:val="24"/>
          <w:rtl/>
        </w:rPr>
        <w:t xml:space="preserve">בית המשפט המחוזי מרכז-לוד קיבל היום, במסגרת עתירת אסיר עולם שעונשו נקצב, את עמדת שירות בתי הסוהר והמדינה כי קיימת הצדקה לנקוט גישה קבוצתית שונה ומחמירה בעניינם של אסירים תושבי הרשות הפלסטינית (שאינם אסירים ביטחוניים), כך </w:t>
      </w:r>
      <w:r w:rsidRPr="00472C18">
        <w:rPr>
          <w:rFonts w:ascii="David" w:hAnsi="David" w:cs="David" w:hint="cs"/>
          <w:b/>
          <w:bCs/>
          <w:sz w:val="24"/>
          <w:szCs w:val="24"/>
          <w:rtl/>
        </w:rPr>
        <w:t>שככלל</w:t>
      </w:r>
      <w:r>
        <w:rPr>
          <w:rFonts w:ascii="David" w:hAnsi="David" w:cs="David" w:hint="cs"/>
          <w:sz w:val="24"/>
          <w:szCs w:val="24"/>
          <w:rtl/>
        </w:rPr>
        <w:t xml:space="preserve"> לא יהיו זכאים לצאת לחופשות "רגילות" מן הכלא. </w:t>
      </w:r>
    </w:p>
    <w:p w:rsidR="004B652D" w:rsidRDefault="004B652D" w:rsidP="004B652D">
      <w:pPr>
        <w:spacing w:after="0" w:line="360" w:lineRule="auto"/>
        <w:jc w:val="both"/>
        <w:rPr>
          <w:rFonts w:ascii="David" w:hAnsi="David" w:cs="David"/>
          <w:sz w:val="24"/>
          <w:szCs w:val="24"/>
          <w:rtl/>
        </w:rPr>
      </w:pPr>
      <w:r>
        <w:rPr>
          <w:rFonts w:ascii="David" w:hAnsi="David" w:cs="David" w:hint="cs"/>
          <w:sz w:val="24"/>
          <w:szCs w:val="24"/>
          <w:rtl/>
        </w:rPr>
        <w:t>בצד זה נקבע כי נציב שירות בתי הסוהר לא היה רשא</w:t>
      </w:r>
      <w:r w:rsidR="003524AA">
        <w:rPr>
          <w:rFonts w:ascii="David" w:hAnsi="David" w:cs="David" w:hint="cs"/>
          <w:sz w:val="24"/>
          <w:szCs w:val="24"/>
          <w:rtl/>
        </w:rPr>
        <w:t>י,</w:t>
      </w:r>
      <w:r>
        <w:rPr>
          <w:rFonts w:ascii="David" w:hAnsi="David" w:cs="David" w:hint="cs"/>
          <w:sz w:val="24"/>
          <w:szCs w:val="24"/>
          <w:rtl/>
        </w:rPr>
        <w:t xml:space="preserve"> כפי שעשה בשנת 2015, לכבול את שיקול דעת</w:t>
      </w:r>
      <w:r w:rsidR="00B24AC1">
        <w:rPr>
          <w:rFonts w:ascii="David" w:hAnsi="David" w:cs="David" w:hint="cs"/>
          <w:sz w:val="24"/>
          <w:szCs w:val="24"/>
          <w:rtl/>
        </w:rPr>
        <w:t>ו</w:t>
      </w:r>
      <w:r>
        <w:rPr>
          <w:rFonts w:ascii="David" w:hAnsi="David" w:cs="David" w:hint="cs"/>
          <w:sz w:val="24"/>
          <w:szCs w:val="24"/>
          <w:rtl/>
        </w:rPr>
        <w:t xml:space="preserve"> כך שבשום נסיבות לא </w:t>
      </w:r>
      <w:r w:rsidR="00B24AC1">
        <w:rPr>
          <w:rFonts w:ascii="David" w:hAnsi="David" w:cs="David" w:hint="cs"/>
          <w:sz w:val="24"/>
          <w:szCs w:val="24"/>
          <w:rtl/>
        </w:rPr>
        <w:t>י</w:t>
      </w:r>
      <w:r>
        <w:rPr>
          <w:rFonts w:ascii="David" w:hAnsi="David" w:cs="David" w:hint="cs"/>
          <w:sz w:val="24"/>
          <w:szCs w:val="24"/>
          <w:rtl/>
        </w:rPr>
        <w:t xml:space="preserve">וכל לבחון סטייה מן הכלל האמור, </w:t>
      </w:r>
      <w:r>
        <w:rPr>
          <w:rFonts w:ascii="David" w:hAnsi="David" w:cs="David" w:hint="cs"/>
          <w:b/>
          <w:bCs/>
          <w:sz w:val="24"/>
          <w:szCs w:val="24"/>
          <w:rtl/>
        </w:rPr>
        <w:t xml:space="preserve">וכל זאת </w:t>
      </w:r>
      <w:r w:rsidRPr="00472C18">
        <w:rPr>
          <w:rFonts w:ascii="David" w:hAnsi="David" w:cs="David" w:hint="cs"/>
          <w:b/>
          <w:bCs/>
          <w:sz w:val="24"/>
          <w:szCs w:val="24"/>
          <w:rtl/>
        </w:rPr>
        <w:t>בניגוד</w:t>
      </w:r>
      <w:r>
        <w:rPr>
          <w:rFonts w:ascii="David" w:hAnsi="David" w:cs="David" w:hint="cs"/>
          <w:b/>
          <w:bCs/>
          <w:sz w:val="24"/>
          <w:szCs w:val="24"/>
          <w:rtl/>
        </w:rPr>
        <w:t xml:space="preserve"> לכלל יסודי במשפט </w:t>
      </w:r>
      <w:r w:rsidR="003524AA">
        <w:rPr>
          <w:rFonts w:ascii="David" w:hAnsi="David" w:cs="David" w:hint="cs"/>
          <w:b/>
          <w:bCs/>
          <w:sz w:val="24"/>
          <w:szCs w:val="24"/>
          <w:rtl/>
        </w:rPr>
        <w:t>המנהלי</w:t>
      </w:r>
      <w:r>
        <w:rPr>
          <w:rFonts w:ascii="David" w:hAnsi="David" w:cs="David" w:hint="cs"/>
          <w:b/>
          <w:bCs/>
          <w:sz w:val="24"/>
          <w:szCs w:val="24"/>
          <w:rtl/>
        </w:rPr>
        <w:t xml:space="preserve"> המחייב בדיקה פרטנית</w:t>
      </w:r>
      <w:r w:rsidRPr="00472C18">
        <w:rPr>
          <w:rFonts w:ascii="David" w:hAnsi="David" w:cs="David" w:hint="cs"/>
          <w:b/>
          <w:bCs/>
          <w:sz w:val="24"/>
          <w:szCs w:val="24"/>
          <w:rtl/>
        </w:rPr>
        <w:t xml:space="preserve"> </w:t>
      </w:r>
      <w:r>
        <w:rPr>
          <w:rFonts w:ascii="David" w:hAnsi="David" w:cs="David" w:hint="cs"/>
          <w:b/>
          <w:bCs/>
          <w:sz w:val="24"/>
          <w:szCs w:val="24"/>
          <w:rtl/>
        </w:rPr>
        <w:t xml:space="preserve">ואף </w:t>
      </w:r>
      <w:r w:rsidRPr="00472C18">
        <w:rPr>
          <w:rFonts w:ascii="David" w:hAnsi="David" w:cs="David" w:hint="cs"/>
          <w:b/>
          <w:bCs/>
          <w:sz w:val="24"/>
          <w:szCs w:val="24"/>
          <w:rtl/>
        </w:rPr>
        <w:t>לפסיקה קודמת של בית המשפט העליון באותה סוגיה</w:t>
      </w:r>
      <w:r>
        <w:rPr>
          <w:rFonts w:ascii="David" w:hAnsi="David" w:cs="David" w:hint="cs"/>
          <w:sz w:val="24"/>
          <w:szCs w:val="24"/>
          <w:rtl/>
        </w:rPr>
        <w:t xml:space="preserve">. </w:t>
      </w:r>
    </w:p>
    <w:p w:rsidR="00C438D0" w:rsidRDefault="00A50541" w:rsidP="00C438D0">
      <w:pPr>
        <w:spacing w:after="0" w:line="360" w:lineRule="auto"/>
        <w:jc w:val="both"/>
        <w:rPr>
          <w:rFonts w:ascii="David" w:hAnsi="David" w:cs="David"/>
          <w:sz w:val="24"/>
          <w:szCs w:val="24"/>
          <w:rtl/>
        </w:rPr>
      </w:pPr>
      <w:r w:rsidRPr="00A50541">
        <w:rPr>
          <w:rFonts w:ascii="David" w:hAnsi="David" w:cs="David" w:hint="cs"/>
          <w:sz w:val="24"/>
          <w:szCs w:val="24"/>
          <w:rtl/>
        </w:rPr>
        <w:t xml:space="preserve">בית המשפט הורה לשירות בתי הסוהר לתקן את פקודת החופשות בתוך 6 חודשים, באופן שיותיר שיקול דעת לבחון במקרים חריגים בלבד אישור חופשות לאסירים תושבי הרשות הפלסטינית. </w:t>
      </w:r>
    </w:p>
    <w:p w:rsidR="00A50541" w:rsidRPr="00A50541" w:rsidRDefault="00A50541" w:rsidP="00B24AC1">
      <w:pPr>
        <w:spacing w:after="0" w:line="360" w:lineRule="auto"/>
        <w:jc w:val="both"/>
        <w:rPr>
          <w:rFonts w:ascii="David" w:hAnsi="David" w:cs="David"/>
          <w:sz w:val="24"/>
          <w:szCs w:val="24"/>
        </w:rPr>
      </w:pPr>
      <w:r w:rsidRPr="00A50541">
        <w:rPr>
          <w:rFonts w:ascii="David" w:hAnsi="David" w:cs="David" w:hint="cs"/>
          <w:sz w:val="24"/>
          <w:szCs w:val="24"/>
          <w:rtl/>
        </w:rPr>
        <w:t>בית המשפט קבע כי עד לתיקון יוחל בעניינ</w:t>
      </w:r>
      <w:r w:rsidR="00B24AC1">
        <w:rPr>
          <w:rFonts w:ascii="David" w:hAnsi="David" w:cs="David" w:hint="cs"/>
          <w:sz w:val="24"/>
          <w:szCs w:val="24"/>
          <w:rtl/>
        </w:rPr>
        <w:t>ם של אסירים תושבי הרשות הפלסטינית שאינם מסווגים כאסירים ביטחוניים</w:t>
      </w:r>
      <w:r w:rsidRPr="00A50541">
        <w:rPr>
          <w:rFonts w:ascii="David" w:hAnsi="David" w:cs="David" w:hint="cs"/>
          <w:sz w:val="24"/>
          <w:szCs w:val="24"/>
          <w:rtl/>
        </w:rPr>
        <w:t xml:space="preserve"> הדין שקדם לתיקון פקודת החופשות בשנת 2015, שכלל פתח צר לבחינת בקשות פרטניות לחופשה, בהתקיים תנאים מסוימים.</w:t>
      </w:r>
    </w:p>
    <w:p w:rsidR="00CA33A4" w:rsidRPr="00944C91" w:rsidRDefault="00CA33A4" w:rsidP="00CA33A4">
      <w:pPr>
        <w:spacing w:after="0" w:line="360" w:lineRule="auto"/>
        <w:jc w:val="both"/>
        <w:rPr>
          <w:rFonts w:ascii="David" w:hAnsi="David" w:cs="David"/>
          <w:sz w:val="24"/>
          <w:szCs w:val="24"/>
        </w:rPr>
      </w:pPr>
      <w:r>
        <w:rPr>
          <w:rFonts w:ascii="David" w:hAnsi="David" w:cs="David" w:hint="cs"/>
          <w:sz w:val="24"/>
          <w:szCs w:val="24"/>
          <w:rtl/>
        </w:rPr>
        <w:t>.</w:t>
      </w:r>
    </w:p>
    <w:p w:rsidR="00541C9E" w:rsidRDefault="00541C9E" w:rsidP="00541C9E">
      <w:pPr>
        <w:spacing w:after="120" w:line="360" w:lineRule="auto"/>
        <w:jc w:val="both"/>
        <w:rPr>
          <w:rFonts w:ascii="FrankRuehl" w:hAnsi="FrankRuehl" w:cs="FrankRuehl"/>
          <w:color w:val="323E4F" w:themeColor="text2" w:themeShade="BF"/>
          <w:sz w:val="26"/>
          <w:szCs w:val="26"/>
        </w:rPr>
      </w:pPr>
    </w:p>
    <w:p w:rsidR="00541C9E" w:rsidRDefault="00541C9E" w:rsidP="00541C9E">
      <w:pPr>
        <w:spacing w:after="120" w:line="360" w:lineRule="auto"/>
        <w:jc w:val="both"/>
        <w:rPr>
          <w:rFonts w:ascii="FrankRuehl" w:hAnsi="FrankRuehl" w:cs="FrankRuehl"/>
          <w:color w:val="323E4F" w:themeColor="text2" w:themeShade="BF"/>
          <w:sz w:val="26"/>
          <w:szCs w:val="26"/>
          <w:rtl/>
        </w:rPr>
      </w:pPr>
    </w:p>
    <w:p w:rsidR="00541C9E" w:rsidRPr="000071E5" w:rsidRDefault="00541C9E" w:rsidP="00CA33A4">
      <w:pPr>
        <w:spacing w:after="120" w:line="360" w:lineRule="auto"/>
        <w:jc w:val="center"/>
        <w:rPr>
          <w:rFonts w:ascii="FrankRuehl" w:hAnsi="FrankRuehl" w:cs="FrankRuehl"/>
          <w:b/>
          <w:bCs/>
          <w:color w:val="002060"/>
          <w:sz w:val="26"/>
          <w:szCs w:val="26"/>
        </w:rPr>
      </w:pPr>
      <w:r w:rsidRPr="000071E5">
        <w:rPr>
          <w:rFonts w:ascii="FrankRuehl" w:hAnsi="FrankRuehl" w:cs="FrankRuehl" w:hint="cs"/>
          <w:b/>
          <w:bCs/>
          <w:color w:val="002060"/>
          <w:sz w:val="26"/>
          <w:szCs w:val="26"/>
          <w:rtl/>
        </w:rPr>
        <w:t xml:space="preserve">*** </w:t>
      </w:r>
      <w:r w:rsidRPr="000071E5">
        <w:rPr>
          <w:rFonts w:ascii="FrankRuehl" w:hAnsi="FrankRuehl" w:cs="FrankRuehl"/>
          <w:b/>
          <w:bCs/>
          <w:color w:val="002060"/>
          <w:sz w:val="26"/>
          <w:szCs w:val="26"/>
          <w:rtl/>
        </w:rPr>
        <w:t xml:space="preserve">התקציר אינו בא </w:t>
      </w:r>
      <w:r w:rsidR="00CA33A4">
        <w:rPr>
          <w:rFonts w:ascii="FrankRuehl" w:hAnsi="FrankRuehl" w:cs="FrankRuehl"/>
          <w:b/>
          <w:bCs/>
          <w:color w:val="002060"/>
          <w:sz w:val="26"/>
          <w:szCs w:val="26"/>
          <w:rtl/>
        </w:rPr>
        <w:t xml:space="preserve">להחליף את </w:t>
      </w:r>
      <w:r w:rsidR="00CA33A4">
        <w:rPr>
          <w:rFonts w:ascii="FrankRuehl" w:hAnsi="FrankRuehl" w:cs="FrankRuehl" w:hint="cs"/>
          <w:b/>
          <w:bCs/>
          <w:color w:val="002060"/>
          <w:sz w:val="26"/>
          <w:szCs w:val="26"/>
          <w:rtl/>
        </w:rPr>
        <w:t>פסק הדין,</w:t>
      </w:r>
      <w:r w:rsidRPr="000071E5">
        <w:rPr>
          <w:rFonts w:ascii="FrankRuehl" w:hAnsi="FrankRuehl" w:cs="FrankRuehl"/>
          <w:b/>
          <w:bCs/>
          <w:color w:val="002060"/>
          <w:sz w:val="26"/>
          <w:szCs w:val="26"/>
          <w:rtl/>
        </w:rPr>
        <w:t xml:space="preserve"> הנוסח המחייב הוא זה של </w:t>
      </w:r>
      <w:r w:rsidR="00CA33A4">
        <w:rPr>
          <w:rFonts w:ascii="FrankRuehl" w:hAnsi="FrankRuehl" w:cs="FrankRuehl" w:hint="cs"/>
          <w:b/>
          <w:bCs/>
          <w:color w:val="002060"/>
          <w:sz w:val="26"/>
          <w:szCs w:val="26"/>
          <w:rtl/>
        </w:rPr>
        <w:t xml:space="preserve">פסק הדין </w:t>
      </w:r>
      <w:r w:rsidRPr="000071E5">
        <w:rPr>
          <w:rFonts w:ascii="FrankRuehl" w:hAnsi="FrankRuehl" w:cs="FrankRuehl"/>
          <w:b/>
          <w:bCs/>
          <w:color w:val="002060"/>
          <w:sz w:val="26"/>
          <w:szCs w:val="26"/>
          <w:rtl/>
        </w:rPr>
        <w:t>המלא</w:t>
      </w:r>
      <w:r w:rsidRPr="000071E5">
        <w:rPr>
          <w:rFonts w:ascii="FrankRuehl" w:hAnsi="FrankRuehl" w:cs="FrankRuehl" w:hint="cs"/>
          <w:b/>
          <w:bCs/>
          <w:color w:val="002060"/>
          <w:sz w:val="26"/>
          <w:szCs w:val="26"/>
          <w:rtl/>
        </w:rPr>
        <w:t xml:space="preserve"> ***</w:t>
      </w:r>
    </w:p>
    <w:p w:rsidR="00515986" w:rsidRDefault="00515986" w:rsidP="000C4D75">
      <w:pPr>
        <w:tabs>
          <w:tab w:val="num" w:pos="1080"/>
        </w:tabs>
        <w:spacing w:after="0" w:line="276" w:lineRule="auto"/>
        <w:jc w:val="both"/>
        <w:rPr>
          <w:rFonts w:ascii="Arial" w:eastAsia="Times New Roman" w:hAnsi="Arial" w:cs="David"/>
          <w:b/>
          <w:bCs/>
          <w:sz w:val="24"/>
          <w:szCs w:val="24"/>
          <w:rtl/>
        </w:rPr>
      </w:pPr>
    </w:p>
    <w:p w:rsidR="00515986" w:rsidRDefault="00515986" w:rsidP="000C4D75">
      <w:pPr>
        <w:tabs>
          <w:tab w:val="num" w:pos="1080"/>
        </w:tabs>
        <w:spacing w:after="0" w:line="276" w:lineRule="auto"/>
        <w:jc w:val="both"/>
        <w:rPr>
          <w:rFonts w:ascii="Arial" w:eastAsia="Times New Roman" w:hAnsi="Arial" w:cs="David"/>
          <w:b/>
          <w:bCs/>
          <w:sz w:val="24"/>
          <w:szCs w:val="24"/>
          <w:rtl/>
        </w:rPr>
      </w:pPr>
    </w:p>
    <w:p w:rsidR="002453CF" w:rsidRPr="007B7899" w:rsidRDefault="002453CF" w:rsidP="007B7899">
      <w:pPr>
        <w:spacing w:before="100" w:beforeAutospacing="1" w:after="100" w:afterAutospacing="1" w:line="240" w:lineRule="auto"/>
        <w:ind w:left="4320"/>
        <w:jc w:val="both"/>
        <w:rPr>
          <w:rFonts w:ascii="Times New Roman" w:eastAsia="Times New Roman" w:hAnsi="Times New Roman" w:cs="David"/>
          <w:b/>
          <w:bCs/>
          <w:color w:val="002060"/>
          <w:rtl/>
        </w:rPr>
      </w:pPr>
    </w:p>
    <w:sectPr w:rsidR="002453CF" w:rsidRPr="007B7899" w:rsidSect="00B16422">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3F4" w:rsidRDefault="006F13F4" w:rsidP="00730CA1">
      <w:pPr>
        <w:spacing w:after="0" w:line="240" w:lineRule="auto"/>
      </w:pPr>
      <w:r>
        <w:separator/>
      </w:r>
    </w:p>
  </w:endnote>
  <w:endnote w:type="continuationSeparator" w:id="0">
    <w:p w:rsidR="006F13F4" w:rsidRDefault="006F13F4" w:rsidP="00730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C9E" w:rsidRPr="003C61AF" w:rsidRDefault="00541C9E" w:rsidP="00541C9E">
    <w:pPr>
      <w:tabs>
        <w:tab w:val="center" w:pos="4153"/>
        <w:tab w:val="right" w:pos="8306"/>
      </w:tabs>
      <w:spacing w:after="0" w:line="240" w:lineRule="auto"/>
      <w:rPr>
        <w:rFonts w:ascii="Times New Roman" w:eastAsia="Times New Roman" w:hAnsi="Times New Roman" w:cs="FrankRuehl"/>
        <w:b/>
        <w:bCs/>
        <w:color w:val="000080"/>
        <w:spacing w:val="6"/>
        <w:sz w:val="24"/>
        <w:szCs w:val="24"/>
        <w:rtl/>
      </w:rPr>
    </w:pPr>
    <w:r w:rsidRPr="003C61AF">
      <w:rPr>
        <w:rFonts w:ascii="Times New Roman" w:eastAsia="Times New Roman" w:hAnsi="Times New Roman" w:cs="FrankRuehl"/>
        <w:b/>
        <w:bCs/>
        <w:color w:val="000080"/>
        <w:spacing w:val="6"/>
        <w:sz w:val="24"/>
        <w:szCs w:val="24"/>
        <w:rtl/>
      </w:rPr>
      <w:t>________________________________________________________________</w:t>
    </w:r>
  </w:p>
  <w:p w:rsidR="00541C9E" w:rsidRPr="003C61AF" w:rsidRDefault="00541C9E" w:rsidP="00541C9E">
    <w:pPr>
      <w:tabs>
        <w:tab w:val="center" w:pos="4153"/>
        <w:tab w:val="right" w:pos="8306"/>
      </w:tabs>
      <w:spacing w:after="0" w:line="240" w:lineRule="auto"/>
      <w:jc w:val="center"/>
      <w:rPr>
        <w:rFonts w:ascii="Times New Roman" w:eastAsia="Times New Roman" w:hAnsi="Times New Roman" w:cs="FrankRuehl"/>
        <w:b/>
        <w:bCs/>
        <w:color w:val="000080"/>
        <w:spacing w:val="6"/>
        <w:sz w:val="24"/>
        <w:szCs w:val="24"/>
        <w:rtl/>
      </w:rPr>
    </w:pPr>
    <w:r>
      <w:rPr>
        <w:rFonts w:ascii="Times New Roman" w:eastAsia="Times New Roman" w:hAnsi="Times New Roman" w:cs="FrankRuehl" w:hint="cs"/>
        <w:b/>
        <w:bCs/>
        <w:color w:val="000080"/>
        <w:spacing w:val="6"/>
        <w:sz w:val="24"/>
        <w:szCs w:val="24"/>
        <w:rtl/>
      </w:rPr>
      <w:t xml:space="preserve">בית משפט העליון | רחוב דרך השופט מאיר שמגר 1 | </w:t>
    </w:r>
    <w:proofErr w:type="spellStart"/>
    <w:r>
      <w:rPr>
        <w:rFonts w:ascii="Times New Roman" w:eastAsia="Times New Roman" w:hAnsi="Times New Roman" w:cs="FrankRuehl" w:hint="cs"/>
        <w:b/>
        <w:bCs/>
        <w:color w:val="000080"/>
        <w:spacing w:val="6"/>
        <w:sz w:val="24"/>
        <w:szCs w:val="24"/>
        <w:rtl/>
      </w:rPr>
      <w:t>קרית</w:t>
    </w:r>
    <w:proofErr w:type="spellEnd"/>
    <w:r>
      <w:rPr>
        <w:rFonts w:ascii="Times New Roman" w:eastAsia="Times New Roman" w:hAnsi="Times New Roman" w:cs="FrankRuehl" w:hint="cs"/>
        <w:b/>
        <w:bCs/>
        <w:color w:val="000080"/>
        <w:spacing w:val="6"/>
        <w:sz w:val="24"/>
        <w:szCs w:val="24"/>
        <w:rtl/>
      </w:rPr>
      <w:t xml:space="preserve"> בן גוריון |</w:t>
    </w:r>
    <w:r w:rsidRPr="003C61AF">
      <w:rPr>
        <w:rFonts w:ascii="Times New Roman" w:eastAsia="Times New Roman" w:hAnsi="Times New Roman" w:cs="FrankRuehl" w:hint="cs"/>
        <w:b/>
        <w:bCs/>
        <w:color w:val="000080"/>
        <w:spacing w:val="6"/>
        <w:sz w:val="24"/>
        <w:szCs w:val="24"/>
        <w:rtl/>
      </w:rPr>
      <w:t xml:space="preserve"> ירושלים</w:t>
    </w:r>
  </w:p>
  <w:p w:rsidR="003C61AF" w:rsidRPr="00541C9E" w:rsidRDefault="00541C9E" w:rsidP="00541C9E">
    <w:pPr>
      <w:tabs>
        <w:tab w:val="center" w:pos="4153"/>
        <w:tab w:val="right" w:pos="8306"/>
      </w:tabs>
      <w:spacing w:after="0" w:line="240" w:lineRule="auto"/>
      <w:jc w:val="center"/>
      <w:rPr>
        <w:rFonts w:ascii="Times New Roman" w:eastAsia="Times New Roman" w:hAnsi="Times New Roman" w:cs="FrankRuehl"/>
        <w:b/>
        <w:bCs/>
        <w:color w:val="000080"/>
        <w:spacing w:val="6"/>
        <w:sz w:val="24"/>
        <w:szCs w:val="24"/>
      </w:rPr>
    </w:pPr>
    <w:r w:rsidRPr="003C61AF">
      <w:rPr>
        <w:rFonts w:ascii="Times New Roman" w:eastAsia="Times New Roman" w:hAnsi="Times New Roman" w:cs="FrankRuehl" w:hint="cs"/>
        <w:b/>
        <w:bCs/>
        <w:color w:val="000080"/>
        <w:spacing w:val="6"/>
        <w:sz w:val="24"/>
        <w:szCs w:val="24"/>
        <w:rtl/>
      </w:rPr>
      <w:t xml:space="preserve">טל: </w:t>
    </w:r>
    <w:r w:rsidRPr="003C61AF">
      <w:rPr>
        <w:rFonts w:ascii="Times New Roman" w:eastAsia="Times New Roman" w:hAnsi="Times New Roman" w:cs="FrankRuehl"/>
        <w:b/>
        <w:bCs/>
        <w:color w:val="000080"/>
        <w:spacing w:val="6"/>
        <w:sz w:val="24"/>
        <w:szCs w:val="24"/>
      </w:rPr>
      <w:t>074-7480412</w:t>
    </w:r>
    <w:r w:rsidRPr="003C61AF">
      <w:rPr>
        <w:rFonts w:ascii="Times New Roman" w:eastAsia="Times New Roman" w:hAnsi="Times New Roman" w:cs="FrankRuehl" w:hint="cs"/>
        <w:b/>
        <w:bCs/>
        <w:color w:val="000080"/>
        <w:spacing w:val="6"/>
        <w:sz w:val="24"/>
        <w:szCs w:val="24"/>
        <w:rtl/>
      </w:rPr>
      <w:t xml:space="preserve">           </w:t>
    </w:r>
    <w:r>
      <w:rPr>
        <w:rFonts w:ascii="Times New Roman" w:eastAsia="Times New Roman" w:hAnsi="Times New Roman" w:cs="FrankRuehl" w:hint="cs"/>
        <w:b/>
        <w:bCs/>
        <w:color w:val="000080"/>
        <w:spacing w:val="6"/>
        <w:sz w:val="24"/>
        <w:szCs w:val="24"/>
        <w:rtl/>
      </w:rPr>
      <w:t xml:space="preserve">     </w:t>
    </w:r>
    <w:r w:rsidRPr="003C61AF">
      <w:rPr>
        <w:rFonts w:ascii="Times New Roman" w:eastAsia="Times New Roman" w:hAnsi="Times New Roman" w:cs="FrankRuehl" w:hint="cs"/>
        <w:b/>
        <w:bCs/>
        <w:color w:val="000080"/>
        <w:spacing w:val="6"/>
        <w:sz w:val="24"/>
        <w:szCs w:val="24"/>
        <w:rtl/>
      </w:rPr>
      <w:t xml:space="preserve">   </w:t>
    </w:r>
    <w:r>
      <w:rPr>
        <w:rFonts w:ascii="Times New Roman" w:eastAsia="Times New Roman" w:hAnsi="Times New Roman" w:cs="FrankRuehl" w:hint="cs"/>
        <w:b/>
        <w:bCs/>
        <w:color w:val="000080"/>
        <w:spacing w:val="6"/>
        <w:sz w:val="24"/>
        <w:szCs w:val="24"/>
        <w:rtl/>
      </w:rPr>
      <w:t xml:space="preserve">           </w:t>
    </w:r>
    <w:r w:rsidRPr="003C61AF">
      <w:rPr>
        <w:rFonts w:ascii="Times New Roman" w:eastAsia="Times New Roman" w:hAnsi="Times New Roman" w:cs="FrankRuehl" w:hint="cs"/>
        <w:b/>
        <w:bCs/>
        <w:color w:val="000080"/>
        <w:spacing w:val="6"/>
        <w:sz w:val="24"/>
        <w:szCs w:val="24"/>
        <w:rtl/>
      </w:rPr>
      <w:t xml:space="preserve">  דוא"ל</w:t>
    </w:r>
    <w:r w:rsidRPr="003C61AF">
      <w:rPr>
        <w:rFonts w:ascii="Times New Roman" w:eastAsia="Times New Roman" w:hAnsi="Times New Roman" w:cs="FrankRuehl"/>
        <w:b/>
        <w:bCs/>
        <w:color w:val="000080"/>
        <w:spacing w:val="6"/>
        <w:sz w:val="24"/>
        <w:szCs w:val="24"/>
      </w:rPr>
      <w:t>:</w:t>
    </w:r>
    <w:r w:rsidRPr="003C61AF">
      <w:rPr>
        <w:rFonts w:ascii="Times New Roman" w:eastAsia="Times New Roman" w:hAnsi="Times New Roman" w:cs="FrankRuehl" w:hint="cs"/>
        <w:b/>
        <w:bCs/>
        <w:color w:val="000080"/>
        <w:spacing w:val="6"/>
        <w:sz w:val="24"/>
        <w:szCs w:val="24"/>
        <w:rtl/>
      </w:rPr>
      <w:t xml:space="preserve">  </w:t>
    </w:r>
    <w:hyperlink r:id="rId1" w:history="1">
      <w:r w:rsidRPr="003C61AF">
        <w:rPr>
          <w:rFonts w:ascii="Times New Roman" w:eastAsia="Times New Roman" w:hAnsi="Times New Roman" w:cs="FrankRuehl"/>
          <w:b/>
          <w:bCs/>
          <w:color w:val="0000FF"/>
          <w:spacing w:val="6"/>
          <w:sz w:val="24"/>
          <w:szCs w:val="24"/>
          <w:u w:val="single"/>
        </w:rPr>
        <w:t>Dover@court.gov.il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3F4" w:rsidRDefault="006F13F4" w:rsidP="00730CA1">
      <w:pPr>
        <w:spacing w:after="0" w:line="240" w:lineRule="auto"/>
      </w:pPr>
      <w:r>
        <w:separator/>
      </w:r>
    </w:p>
  </w:footnote>
  <w:footnote w:type="continuationSeparator" w:id="0">
    <w:p w:rsidR="006F13F4" w:rsidRDefault="006F13F4" w:rsidP="00730C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3B2" w:rsidRPr="005253B2" w:rsidRDefault="005253B2" w:rsidP="005253B2">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David"/>
        <w:sz w:val="20"/>
        <w:szCs w:val="24"/>
        <w:lang w:eastAsia="he-IL"/>
      </w:rPr>
    </w:pPr>
    <w:r w:rsidRPr="005253B2">
      <w:rPr>
        <w:rFonts w:ascii="Times New Roman" w:eastAsia="Times New Roman" w:hAnsi="Times New Roman" w:cs="David"/>
        <w:noProof/>
        <w:sz w:val="20"/>
        <w:szCs w:val="24"/>
      </w:rPr>
      <w:drawing>
        <wp:inline distT="0" distB="0" distL="0" distR="0">
          <wp:extent cx="523875" cy="619125"/>
          <wp:effectExtent l="0" t="0" r="9525" b="9525"/>
          <wp:docPr id="1" name="תמונה 2" descr="תיאור: 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תיאור: 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r w:rsidRPr="005253B2">
      <w:rPr>
        <w:rFonts w:ascii="Century" w:eastAsia="Times New Roman" w:hAnsi="Century" w:cs="FrankRuehl" w:hint="cs"/>
        <w:noProof/>
        <w:spacing w:val="10"/>
        <w:sz w:val="20"/>
        <w:szCs w:val="28"/>
        <w:rtl/>
        <w:lang w:eastAsia="he-IL"/>
      </w:rPr>
      <w:t xml:space="preserve">                                            </w:t>
    </w:r>
  </w:p>
  <w:p w:rsidR="005253B2" w:rsidRPr="005253B2" w:rsidRDefault="005253B2" w:rsidP="005253B2">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FrankRuehl"/>
        <w:b/>
        <w:bCs/>
        <w:color w:val="000080"/>
        <w:spacing w:val="6"/>
        <w:sz w:val="28"/>
        <w:szCs w:val="28"/>
        <w:rtl/>
        <w:lang w:eastAsia="he-IL"/>
      </w:rPr>
    </w:pPr>
    <w:r w:rsidRPr="005253B2">
      <w:rPr>
        <w:rFonts w:ascii="Times New Roman" w:eastAsia="Times New Roman" w:hAnsi="Times New Roman" w:cs="FrankRuehl" w:hint="cs"/>
        <w:b/>
        <w:bCs/>
        <w:color w:val="000080"/>
        <w:spacing w:val="6"/>
        <w:sz w:val="28"/>
        <w:szCs w:val="28"/>
        <w:rtl/>
        <w:lang w:eastAsia="he-IL"/>
      </w:rPr>
      <w:t>מערכת בתי המשפט</w:t>
    </w:r>
  </w:p>
  <w:p w:rsidR="007007D7" w:rsidRPr="005253B2" w:rsidRDefault="005253B2" w:rsidP="005253B2">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FrankRuehl"/>
        <w:b/>
        <w:bCs/>
        <w:color w:val="000080"/>
        <w:spacing w:val="6"/>
        <w:sz w:val="28"/>
        <w:szCs w:val="28"/>
        <w:lang w:eastAsia="he-IL"/>
      </w:rPr>
    </w:pPr>
    <w:r w:rsidRPr="005253B2">
      <w:rPr>
        <w:rFonts w:ascii="Times New Roman" w:eastAsia="Times New Roman" w:hAnsi="Times New Roman" w:cs="FrankRuehl" w:hint="cs"/>
        <w:b/>
        <w:bCs/>
        <w:color w:val="000080"/>
        <w:spacing w:val="6"/>
        <w:sz w:val="28"/>
        <w:szCs w:val="28"/>
        <w:rtl/>
        <w:lang w:eastAsia="he-IL"/>
      </w:rPr>
      <w:t>דוברות והסברה</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7B27"/>
    <w:multiLevelType w:val="multilevel"/>
    <w:tmpl w:val="2EA02F4A"/>
    <w:lvl w:ilvl="0">
      <w:start w:val="1"/>
      <w:numFmt w:val="decimal"/>
      <w:lvlText w:val="%1."/>
      <w:lvlJc w:val="left"/>
      <w:pPr>
        <w:tabs>
          <w:tab w:val="num" w:pos="454"/>
        </w:tabs>
        <w:ind w:left="454" w:hanging="454"/>
      </w:pPr>
      <w:rPr>
        <w:rFonts w:hint="default"/>
        <w:bCs w:val="0"/>
        <w:iCs w:val="0"/>
        <w:szCs w:val="24"/>
      </w:rPr>
    </w:lvl>
    <w:lvl w:ilvl="1">
      <w:start w:val="1"/>
      <w:numFmt w:val="hebrew1"/>
      <w:lvlText w:val="%2."/>
      <w:lvlJc w:val="left"/>
      <w:pPr>
        <w:tabs>
          <w:tab w:val="num" w:pos="907"/>
        </w:tabs>
        <w:ind w:left="908" w:hanging="454"/>
      </w:pPr>
      <w:rPr>
        <w:rFonts w:cs="David" w:hint="cs"/>
        <w:bCs w:val="0"/>
        <w:iCs w:val="0"/>
        <w:szCs w:val="26"/>
      </w:rPr>
    </w:lvl>
    <w:lvl w:ilvl="2">
      <w:start w:val="1"/>
      <w:numFmt w:val="decimal"/>
      <w:lvlText w:val="(%3)"/>
      <w:lvlJc w:val="left"/>
      <w:pPr>
        <w:tabs>
          <w:tab w:val="num" w:pos="1361"/>
        </w:tabs>
        <w:ind w:left="1362" w:hanging="454"/>
      </w:pPr>
      <w:rPr>
        <w:rFonts w:ascii="Times New Roman" w:hAnsi="Times New Roman" w:cs="David" w:hint="default"/>
        <w:b w:val="0"/>
        <w:bCs w:val="0"/>
        <w:i w:val="0"/>
        <w:iCs w:val="0"/>
        <w:sz w:val="24"/>
        <w:szCs w:val="24"/>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3CF"/>
    <w:rsid w:val="000011AE"/>
    <w:rsid w:val="00025761"/>
    <w:rsid w:val="000C4D75"/>
    <w:rsid w:val="001D42A7"/>
    <w:rsid w:val="002453CF"/>
    <w:rsid w:val="002C0E83"/>
    <w:rsid w:val="003524AA"/>
    <w:rsid w:val="003921C3"/>
    <w:rsid w:val="003C61AF"/>
    <w:rsid w:val="003E6E39"/>
    <w:rsid w:val="003E7EB7"/>
    <w:rsid w:val="00426AA7"/>
    <w:rsid w:val="004B652D"/>
    <w:rsid w:val="00515986"/>
    <w:rsid w:val="005253B2"/>
    <w:rsid w:val="005341AB"/>
    <w:rsid w:val="00541C9E"/>
    <w:rsid w:val="00631744"/>
    <w:rsid w:val="00690B6F"/>
    <w:rsid w:val="006B7B96"/>
    <w:rsid w:val="006C3B1F"/>
    <w:rsid w:val="006F13F4"/>
    <w:rsid w:val="006F1E1F"/>
    <w:rsid w:val="007007D7"/>
    <w:rsid w:val="00711675"/>
    <w:rsid w:val="00730CA1"/>
    <w:rsid w:val="007B7899"/>
    <w:rsid w:val="007F6DCE"/>
    <w:rsid w:val="00832AD7"/>
    <w:rsid w:val="008C02E0"/>
    <w:rsid w:val="008F0B36"/>
    <w:rsid w:val="00983123"/>
    <w:rsid w:val="009E5C0E"/>
    <w:rsid w:val="00A50541"/>
    <w:rsid w:val="00AA1014"/>
    <w:rsid w:val="00AD7644"/>
    <w:rsid w:val="00B16422"/>
    <w:rsid w:val="00B22AFC"/>
    <w:rsid w:val="00B24AC1"/>
    <w:rsid w:val="00BA3143"/>
    <w:rsid w:val="00C22E08"/>
    <w:rsid w:val="00C37F37"/>
    <w:rsid w:val="00C438D0"/>
    <w:rsid w:val="00C50C55"/>
    <w:rsid w:val="00C529CC"/>
    <w:rsid w:val="00C842A7"/>
    <w:rsid w:val="00C85A27"/>
    <w:rsid w:val="00CA2D6A"/>
    <w:rsid w:val="00CA33A4"/>
    <w:rsid w:val="00CB4940"/>
    <w:rsid w:val="00CD280B"/>
    <w:rsid w:val="00D11F77"/>
    <w:rsid w:val="00D205AB"/>
    <w:rsid w:val="00D43C0E"/>
    <w:rsid w:val="00D5319F"/>
    <w:rsid w:val="00E35DF3"/>
    <w:rsid w:val="00EB6609"/>
    <w:rsid w:val="00F0520F"/>
    <w:rsid w:val="00F46250"/>
    <w:rsid w:val="00FF55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43B57-6867-4F06-9DF1-55588D3D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6AA7"/>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426AA7"/>
    <w:rPr>
      <w:rFonts w:ascii="Tahoma" w:hAnsi="Tahoma" w:cs="Tahoma"/>
      <w:sz w:val="18"/>
      <w:szCs w:val="18"/>
    </w:rPr>
  </w:style>
  <w:style w:type="character" w:styleId="Hyperlink">
    <w:name w:val="Hyperlink"/>
    <w:basedOn w:val="a0"/>
    <w:uiPriority w:val="99"/>
    <w:unhideWhenUsed/>
    <w:rsid w:val="00E35DF3"/>
    <w:rPr>
      <w:color w:val="0563C1" w:themeColor="hyperlink"/>
      <w:u w:val="single"/>
    </w:rPr>
  </w:style>
  <w:style w:type="paragraph" w:styleId="a5">
    <w:name w:val="header"/>
    <w:basedOn w:val="a"/>
    <w:link w:val="a6"/>
    <w:uiPriority w:val="99"/>
    <w:unhideWhenUsed/>
    <w:rsid w:val="00730CA1"/>
    <w:pPr>
      <w:tabs>
        <w:tab w:val="center" w:pos="4153"/>
        <w:tab w:val="right" w:pos="8306"/>
      </w:tabs>
      <w:spacing w:after="0" w:line="240" w:lineRule="auto"/>
    </w:pPr>
  </w:style>
  <w:style w:type="character" w:customStyle="1" w:styleId="a6">
    <w:name w:val="כותרת עליונה תו"/>
    <w:basedOn w:val="a0"/>
    <w:link w:val="a5"/>
    <w:uiPriority w:val="99"/>
    <w:rsid w:val="00730CA1"/>
  </w:style>
  <w:style w:type="paragraph" w:styleId="a7">
    <w:name w:val="footer"/>
    <w:basedOn w:val="a"/>
    <w:link w:val="a8"/>
    <w:uiPriority w:val="99"/>
    <w:unhideWhenUsed/>
    <w:rsid w:val="00730CA1"/>
    <w:pPr>
      <w:tabs>
        <w:tab w:val="center" w:pos="4153"/>
        <w:tab w:val="right" w:pos="8306"/>
      </w:tabs>
      <w:spacing w:after="0" w:line="240" w:lineRule="auto"/>
    </w:pPr>
  </w:style>
  <w:style w:type="character" w:customStyle="1" w:styleId="a8">
    <w:name w:val="כותרת תחתונה תו"/>
    <w:basedOn w:val="a0"/>
    <w:link w:val="a7"/>
    <w:uiPriority w:val="99"/>
    <w:rsid w:val="00730C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739060">
      <w:bodyDiv w:val="1"/>
      <w:marLeft w:val="0"/>
      <w:marRight w:val="0"/>
      <w:marTop w:val="0"/>
      <w:marBottom w:val="0"/>
      <w:divBdr>
        <w:top w:val="none" w:sz="0" w:space="0" w:color="auto"/>
        <w:left w:val="none" w:sz="0" w:space="0" w:color="auto"/>
        <w:bottom w:val="none" w:sz="0" w:space="0" w:color="auto"/>
        <w:right w:val="none" w:sz="0" w:space="0" w:color="auto"/>
      </w:divBdr>
    </w:div>
    <w:div w:id="1171139320">
      <w:bodyDiv w:val="1"/>
      <w:marLeft w:val="0"/>
      <w:marRight w:val="0"/>
      <w:marTop w:val="0"/>
      <w:marBottom w:val="0"/>
      <w:divBdr>
        <w:top w:val="none" w:sz="0" w:space="0" w:color="auto"/>
        <w:left w:val="none" w:sz="0" w:space="0" w:color="auto"/>
        <w:bottom w:val="none" w:sz="0" w:space="0" w:color="auto"/>
        <w:right w:val="none" w:sz="0" w:space="0" w:color="auto"/>
      </w:divBdr>
    </w:div>
    <w:div w:id="1552304460">
      <w:bodyDiv w:val="1"/>
      <w:marLeft w:val="0"/>
      <w:marRight w:val="0"/>
      <w:marTop w:val="0"/>
      <w:marBottom w:val="0"/>
      <w:divBdr>
        <w:top w:val="none" w:sz="0" w:space="0" w:color="auto"/>
        <w:left w:val="none" w:sz="0" w:space="0" w:color="auto"/>
        <w:bottom w:val="none" w:sz="0" w:space="0" w:color="auto"/>
        <w:right w:val="none" w:sz="0" w:space="0" w:color="auto"/>
      </w:divBdr>
    </w:div>
    <w:div w:id="1860118160">
      <w:bodyDiv w:val="1"/>
      <w:marLeft w:val="0"/>
      <w:marRight w:val="0"/>
      <w:marTop w:val="0"/>
      <w:marBottom w:val="0"/>
      <w:divBdr>
        <w:top w:val="none" w:sz="0" w:space="0" w:color="auto"/>
        <w:left w:val="none" w:sz="0" w:space="0" w:color="auto"/>
        <w:bottom w:val="none" w:sz="0" w:space="0" w:color="auto"/>
        <w:right w:val="none" w:sz="0" w:space="0" w:color="auto"/>
      </w:divBdr>
    </w:div>
    <w:div w:id="206425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over@court.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7842E427-F352-4C5F-AABE-CB5B85B25AFD}">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1194</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court</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נירית לזימי</dc:creator>
  <cp:keywords/>
  <dc:description/>
  <cp:lastModifiedBy>אסתר טטרואשילי</cp:lastModifiedBy>
  <cp:revision>2</cp:revision>
  <cp:lastPrinted>2017-11-13T12:38:00Z</cp:lastPrinted>
  <dcterms:created xsi:type="dcterms:W3CDTF">2023-12-03T09:38:00Z</dcterms:created>
  <dcterms:modified xsi:type="dcterms:W3CDTF">2023-12-03T09:38:00Z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Eng">
    <vt:lpwstr>30 בנובמבר 2023</vt:lpwstr>
  </property>
  <property fmtid="{D5CDD505-2E9C-101B-9397-08002B2CF9AE}" pid="3" name="DocDateHeb">
    <vt:lpwstr>י"ז בכסלו תשפ"ד</vt:lpwstr>
  </property>
  <property fmtid="{D5CDD505-2E9C-101B-9397-08002B2CF9AE}" pid="4" name="DocNumber">
    <vt:lpwstr>4700-1039-2023-009522</vt:lpwstr>
  </property>
  <property fmtid="{D5CDD505-2E9C-101B-9397-08002B2CF9AE}" pid="5" name="DocRecipientsName">
    <vt:lpwstr/>
  </property>
  <property fmtid="{D5CDD505-2E9C-101B-9397-08002B2CF9AE}" pid="6" name="DocToName">
    <vt:lpwstr/>
  </property>
  <property fmtid="{D5CDD505-2E9C-101B-9397-08002B2CF9AE}" pid="7" name="DocObjectName">
    <vt:lpwstr>עת"א 7015-06-22 ג'ומעה חדר נ' שרות בתי הסוהר</vt:lpwstr>
  </property>
</Properties>
</file>