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DA5D30">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עודד שח</w:t>
                </w:r>
                <w:r w:rsidR="00DA5D30">
                  <w:rPr>
                    <w:rFonts w:ascii="Arial" w:hAnsi="Arial" w:hint="cs"/>
                    <w:b/>
                    <w:bCs/>
                    <w:sz w:val="26"/>
                    <w:szCs w:val="26"/>
                    <w:rtl/>
                  </w:rPr>
                  <w:t>ם</w:t>
                </w:r>
                <w:r w:rsidR="00DA5D30">
                  <w:rPr>
                    <w:rFonts w:ascii="Arial" w:hAnsi="Arial"/>
                    <w:b/>
                    <w:bCs/>
                    <w:sz w:val="26"/>
                    <w:szCs w:val="26"/>
                    <w:rtl/>
                  </w:rPr>
                  <w:br/>
                </w:r>
                <w:r w:rsidR="00DA5D30">
                  <w:rPr>
                    <w:rFonts w:ascii="Arial" w:hAnsi="Arial" w:hint="cs"/>
                    <w:b/>
                    <w:bCs/>
                    <w:sz w:val="26"/>
                    <w:szCs w:val="26"/>
                    <w:rtl/>
                  </w:rPr>
                  <w:t>כבוד השופט אברהם רובין</w:t>
                </w:r>
                <w:r w:rsidR="00DA5D30">
                  <w:rPr>
                    <w:rFonts w:ascii="Arial" w:hAnsi="Arial"/>
                    <w:b/>
                    <w:bCs/>
                    <w:sz w:val="26"/>
                    <w:szCs w:val="26"/>
                    <w:rtl/>
                  </w:rPr>
                  <w:br/>
                </w:r>
                <w:r w:rsidR="00DA5D30">
                  <w:rPr>
                    <w:rFonts w:ascii="Arial" w:hAnsi="Arial" w:hint="cs"/>
                    <w:b/>
                    <w:bCs/>
                    <w:sz w:val="26"/>
                    <w:szCs w:val="26"/>
                    <w:rtl/>
                  </w:rPr>
                  <w:t>כבוד השופט נמרוד פלקס</w:t>
                </w:r>
              </w:sdtContent>
            </w:sdt>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A91436" w:rsidRDefault="00DA5D30">
                <w:pPr>
                  <w:suppressLineNumbers/>
                  <w:rPr>
                    <w:rFonts w:ascii="Arial" w:hAnsi="Arial"/>
                    <w:b/>
                    <w:bCs/>
                    <w:noProof w:val="0"/>
                    <w:sz w:val="26"/>
                    <w:szCs w:val="26"/>
                    <w:rtl/>
                  </w:rPr>
                </w:pPr>
                <w:r>
                  <w:rPr>
                    <w:rFonts w:ascii="Arial" w:hAnsi="Arial"/>
                    <w:b/>
                    <w:bCs/>
                    <w:noProof w:val="0"/>
                    <w:sz w:val="26"/>
                    <w:szCs w:val="26"/>
                    <w:rtl/>
                  </w:rPr>
                  <w:t>מערער</w:t>
                </w:r>
                <w:r>
                  <w:rPr>
                    <w:rFonts w:ascii="Arial" w:hAnsi="Arial" w:hint="cs"/>
                    <w:b/>
                    <w:bCs/>
                    <w:noProof w:val="0"/>
                    <w:sz w:val="26"/>
                    <w:szCs w:val="26"/>
                    <w:rtl/>
                  </w:rPr>
                  <w:t>ת</w:t>
                </w:r>
              </w:p>
            </w:sdtContent>
          </w:sdt>
        </w:tc>
        <w:tc>
          <w:tcPr>
            <w:tcW w:w="5571" w:type="dxa"/>
          </w:tcPr>
          <w:p w:rsidR="0094424E" w:rsidRDefault="0094424E" w:rsidP="00D44968">
            <w:pPr>
              <w:suppressLineNumbers/>
              <w:rPr>
                <w:rFonts w:ascii="Arial" w:hAnsi="Arial"/>
                <w:b/>
                <w:bCs/>
                <w:noProof w:val="0"/>
                <w:sz w:val="26"/>
                <w:szCs w:val="26"/>
                <w:rtl/>
              </w:rPr>
            </w:pPr>
          </w:p>
          <w:p w:rsidR="00DA5D30" w:rsidRDefault="007C2453" w:rsidP="007C2453">
            <w:pPr>
              <w:suppressLineNumbers/>
              <w:rPr>
                <w:rtl/>
              </w:rPr>
            </w:pPr>
            <w:r w:rsidRPr="007C2453">
              <w:rPr>
                <w:rFonts w:ascii="Arial" w:hAnsi="Arial" w:hint="cs"/>
                <w:b/>
                <w:bCs/>
                <w:noProof w:val="0"/>
                <w:sz w:val="26"/>
                <w:szCs w:val="26"/>
                <w:rtl/>
              </w:rPr>
              <w:t xml:space="preserve"> </w:t>
            </w: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424313">
                  <w:rPr>
                    <w:rFonts w:ascii="Arial" w:hAnsi="Arial" w:hint="eastAsia"/>
                    <w:b/>
                    <w:bCs/>
                    <w:noProof w:val="0"/>
                    <w:sz w:val="26"/>
                    <w:szCs w:val="26"/>
                    <w:rtl/>
                  </w:rPr>
                  <w:t>קצין התגמולים-משרד הבטחון-אגף השיקום</w:t>
                </w:r>
                <w:r w:rsidR="00DA5D30">
                  <w:rPr>
                    <w:rFonts w:ascii="Arial" w:hAnsi="Arial"/>
                    <w:b/>
                    <w:bCs/>
                    <w:noProof w:val="0"/>
                    <w:sz w:val="26"/>
                    <w:szCs w:val="26"/>
                    <w:rtl/>
                  </w:rPr>
                  <w:br/>
                </w:r>
                <w:r w:rsidR="00DA5D30">
                  <w:rPr>
                    <w:rFonts w:ascii="Arial" w:hAnsi="Arial"/>
                    <w:b/>
                    <w:bCs/>
                    <w:noProof w:val="0"/>
                    <w:sz w:val="26"/>
                    <w:szCs w:val="26"/>
                    <w:rtl/>
                  </w:rPr>
                  <w:br/>
                </w:r>
                <w:r w:rsidR="00DA5D30">
                  <w:rPr>
                    <w:rFonts w:ascii="Arial" w:hAnsi="Arial" w:hint="cs"/>
                    <w:b/>
                    <w:bCs/>
                    <w:noProof w:val="0"/>
                    <w:sz w:val="26"/>
                    <w:szCs w:val="26"/>
                    <w:rtl/>
                  </w:rPr>
                  <w:t>על ידי ר' אהרון, עו"ד, מפרקליטות מחוז ירושלים (אזרחי)</w:t>
                </w:r>
              </w:sdtContent>
            </w:sdt>
            <w:r w:rsidR="00B859C5">
              <w:rPr>
                <w:rFonts w:hint="cs"/>
                <w:rtl/>
              </w:rPr>
              <w:t xml:space="preserve"> </w:t>
            </w:r>
          </w:p>
          <w:p w:rsidR="00DA5D30" w:rsidRDefault="00DA5D30" w:rsidP="007C2453">
            <w:pPr>
              <w:suppressLineNumbers/>
              <w:rPr>
                <w:rFonts w:ascii="Arial" w:hAnsi="Arial"/>
                <w:b/>
                <w:bCs/>
                <w:rtl/>
              </w:rPr>
            </w:pPr>
          </w:p>
          <w:p w:rsidR="0094424E" w:rsidRDefault="0094424E" w:rsidP="007C2453">
            <w:pPr>
              <w:suppressLineNumbers/>
              <w:rPr>
                <w:b/>
                <w:bCs/>
                <w:noProof w:val="0"/>
                <w:sz w:val="26"/>
                <w:szCs w:val="26"/>
              </w:rPr>
            </w:pP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927705" w:rsidP="009E461A">
            <w:pPr>
              <w:suppressLineNumbers/>
              <w:rPr>
                <w:rFonts w:ascii="Arial" w:hAnsi="Arial"/>
                <w:b/>
                <w:bCs/>
                <w:noProof w:val="0"/>
                <w:sz w:val="26"/>
                <w:szCs w:val="26"/>
              </w:rPr>
            </w:pPr>
            <w:sdt>
              <w:sdtPr>
                <w:rPr>
                  <w:rtl/>
                </w:rPr>
                <w:alias w:val="1184"/>
                <w:tag w:val="1184"/>
                <w:id w:val="-340621022"/>
                <w:text w:multiLine="1"/>
              </w:sdtPr>
              <w:sdtEndPr/>
              <w:sdtContent>
                <w:r w:rsidR="00DA5D30">
                  <w:rPr>
                    <w:rFonts w:ascii="Arial" w:hAnsi="Arial"/>
                    <w:b/>
                    <w:bCs/>
                    <w:noProof w:val="0"/>
                    <w:sz w:val="26"/>
                    <w:szCs w:val="26"/>
                    <w:rtl/>
                  </w:rPr>
                  <w:t>משיב</w:t>
                </w:r>
                <w:r w:rsidR="00DA5D30">
                  <w:rPr>
                    <w:rFonts w:ascii="Arial" w:hAnsi="Arial" w:hint="cs"/>
                    <w:b/>
                    <w:bCs/>
                    <w:noProof w:val="0"/>
                    <w:sz w:val="26"/>
                    <w:szCs w:val="26"/>
                    <w:rtl/>
                  </w:rPr>
                  <w:t>ה</w:t>
                </w:r>
              </w:sdtContent>
            </w:sdt>
          </w:p>
        </w:tc>
        <w:tc>
          <w:tcPr>
            <w:tcW w:w="5571" w:type="dxa"/>
          </w:tcPr>
          <w:p w:rsidR="00CF6BB7" w:rsidRPr="009E461A" w:rsidRDefault="007C2453" w:rsidP="007C2453">
            <w:pPr>
              <w:suppressLineNumbers/>
              <w:rPr>
                <w:rtl/>
              </w:rPr>
            </w:pPr>
            <w:r>
              <w:rPr>
                <w:rFonts w:ascii="Arial" w:hAnsi="Arial" w:hint="cs"/>
                <w:b/>
                <w:bCs/>
                <w:noProof w:val="0"/>
                <w:sz w:val="26"/>
                <w:szCs w:val="26"/>
                <w:rtl/>
              </w:rPr>
              <w:t xml:space="preserve"> </w:t>
            </w: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424313">
                  <w:rPr>
                    <w:rFonts w:ascii="Arial" w:hAnsi="Arial" w:hint="eastAsia"/>
                    <w:b/>
                    <w:bCs/>
                    <w:noProof w:val="0"/>
                    <w:sz w:val="26"/>
                    <w:szCs w:val="26"/>
                    <w:rtl/>
                  </w:rPr>
                  <w:t>פלוני</w:t>
                </w:r>
                <w:r w:rsidR="00DA5D30">
                  <w:rPr>
                    <w:rFonts w:ascii="Arial" w:hAnsi="Arial" w:hint="cs"/>
                    <w:b/>
                    <w:bCs/>
                    <w:noProof w:val="0"/>
                    <w:sz w:val="26"/>
                    <w:szCs w:val="26"/>
                    <w:rtl/>
                  </w:rPr>
                  <w:t>ת</w:t>
                </w:r>
                <w:r w:rsidR="00DA5D30">
                  <w:rPr>
                    <w:rFonts w:ascii="Arial" w:hAnsi="Arial"/>
                    <w:b/>
                    <w:bCs/>
                    <w:noProof w:val="0"/>
                    <w:sz w:val="26"/>
                    <w:szCs w:val="26"/>
                    <w:rtl/>
                  </w:rPr>
                  <w:br/>
                </w:r>
                <w:r w:rsidR="00DA5D30">
                  <w:rPr>
                    <w:rFonts w:ascii="Arial" w:hAnsi="Arial"/>
                    <w:b/>
                    <w:bCs/>
                    <w:noProof w:val="0"/>
                    <w:sz w:val="26"/>
                    <w:szCs w:val="26"/>
                    <w:rtl/>
                  </w:rPr>
                  <w:br/>
                </w:r>
                <w:r w:rsidR="00DA5D30">
                  <w:rPr>
                    <w:rFonts w:ascii="Arial" w:hAnsi="Arial" w:hint="cs"/>
                    <w:b/>
                    <w:bCs/>
                    <w:noProof w:val="0"/>
                    <w:sz w:val="26"/>
                    <w:szCs w:val="26"/>
                    <w:rtl/>
                  </w:rPr>
                  <w:t>על ידי י' אלמגור, עו"ד</w:t>
                </w:r>
                <w:r w:rsidR="00DA5D30">
                  <w:rPr>
                    <w:rFonts w:ascii="Arial" w:hAnsi="Arial"/>
                    <w:b/>
                    <w:bCs/>
                    <w:noProof w:val="0"/>
                    <w:sz w:val="26"/>
                    <w:szCs w:val="26"/>
                    <w:rtl/>
                  </w:rPr>
                  <w:br/>
                </w:r>
                <w:r w:rsidR="00DA5D30">
                  <w:rPr>
                    <w:rFonts w:ascii="Arial" w:hAnsi="Arial"/>
                    <w:b/>
                    <w:bCs/>
                    <w:noProof w:val="0"/>
                    <w:sz w:val="26"/>
                    <w:szCs w:val="26"/>
                    <w:rtl/>
                  </w:rPr>
                  <w:br/>
                </w:r>
              </w:sdtContent>
            </w:sdt>
          </w:p>
        </w:tc>
      </w:tr>
      <w:tr w:rsidR="00694556" w:rsidRPr="00DE1E7D">
        <w:trPr>
          <w:jc w:val="center"/>
        </w:trPr>
        <w:tc>
          <w:tcPr>
            <w:tcW w:w="8820" w:type="dxa"/>
            <w:gridSpan w:val="3"/>
          </w:tcPr>
          <w:p w:rsidR="00DA5D30" w:rsidRDefault="00DA5D30">
            <w:pPr>
              <w:bidi w:val="0"/>
              <w:jc w:val="center"/>
              <w:rPr>
                <w:rFonts w:ascii="Arial" w:hAnsi="Arial"/>
                <w:b/>
                <w:bCs/>
                <w:noProof w:val="0"/>
                <w:sz w:val="28"/>
                <w:szCs w:val="28"/>
                <w:u w:val="single"/>
                <w:rtl/>
              </w:rPr>
            </w:pPr>
          </w:p>
          <w:p w:rsidR="00694556" w:rsidRDefault="003E38C7" w:rsidP="00DA5D30">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694556" w:rsidRPr="00C770E3" w:rsidRDefault="00694556">
      <w:pPr>
        <w:spacing w:line="360" w:lineRule="auto"/>
        <w:jc w:val="both"/>
        <w:rPr>
          <w:rFonts w:ascii="Arial" w:hAnsi="Arial"/>
          <w:noProof w:val="0"/>
          <w:rtl/>
        </w:rPr>
      </w:pPr>
      <w:bookmarkStart w:id="0" w:name="NGCSBookmark"/>
      <w:bookmarkEnd w:id="0"/>
    </w:p>
    <w:p w:rsidR="00DA5D30" w:rsidRPr="00DA5D30" w:rsidRDefault="00DA5D30" w:rsidP="0076171E">
      <w:pPr>
        <w:spacing w:after="160" w:line="348" w:lineRule="auto"/>
        <w:jc w:val="both"/>
        <w:rPr>
          <w:rFonts w:ascii="FrankRuehl" w:eastAsia="Calibri" w:hAnsi="FrankRuehl" w:cs="FrankRuehl"/>
          <w:noProof w:val="0"/>
          <w:sz w:val="28"/>
          <w:szCs w:val="28"/>
        </w:rPr>
      </w:pPr>
      <w:r w:rsidRPr="00DA5D30">
        <w:rPr>
          <w:rFonts w:ascii="FrankRuehl" w:eastAsia="Calibri" w:hAnsi="FrankRuehl" w:cs="FrankRuehl"/>
          <w:noProof w:val="0"/>
          <w:sz w:val="28"/>
          <w:szCs w:val="28"/>
          <w:rtl/>
        </w:rPr>
        <w:t xml:space="preserve">1. בפנינו ערעור על פסק דין של ועדת הערר לפי חוק הנכים (תגמולים ושיקום) תשי"ט – 1959 (להלן בהתאמה – פסק הדין, הוועדה והחוק), בע"נ 17578-05-21. פסק הדין ניתן ביום 18.9.24. בפסק הדין התקבל ערעור המשיבה על החלטה של קצין התגמולים מיום 20.10.20, לפיה הכיר קצין התגמולים בקיומו של קשר סיבתי חלקי בשיעור של 25% בין תנאי שירותה של המשיבה לבין מחלת טרשת נפוצה אשר התפרצה אצלה במהלך שירותה הצבאי. בפסק הדין התקבל ערעור המשיבה על החלטה זו, ונקבע כי המשיבה זכאית להכרה כנפגעת על פי החוק, בשיעור של 100%. </w:t>
      </w:r>
    </w:p>
    <w:p w:rsidR="00DA5D30" w:rsidRPr="00DA5D30" w:rsidRDefault="00DA5D30" w:rsidP="0076171E">
      <w:pPr>
        <w:spacing w:after="160" w:line="348" w:lineRule="auto"/>
        <w:jc w:val="both"/>
        <w:rPr>
          <w:rFonts w:ascii="FrankRuehl" w:eastAsia="Calibri" w:hAnsi="FrankRuehl" w:cs="FrankRuehl"/>
          <w:noProof w:val="0"/>
          <w:sz w:val="28"/>
          <w:szCs w:val="28"/>
          <w:rtl/>
        </w:rPr>
      </w:pPr>
      <w:r w:rsidRPr="00DA5D30">
        <w:rPr>
          <w:rFonts w:ascii="FrankRuehl" w:eastAsia="Calibri" w:hAnsi="FrankRuehl" w:cs="FrankRuehl"/>
          <w:noProof w:val="0"/>
          <w:sz w:val="28"/>
          <w:szCs w:val="28"/>
          <w:rtl/>
        </w:rPr>
        <w:t xml:space="preserve">2. בהמשך לדיון שהתקיים במעמד הצדדים, הסמיכו הצדדים את בית המשפט לפסוק, על דרך הפשרה, בנושא שיעורו של הקשר הסיבתי בין תנאי השירות של המשיבה לבין המחלה האמורה, תוך קביעה כי השיעור האמור לא יפחת מ – 35% ולא יעלה על 90%. טרם נידרש לעניין זה, מתבקשות מספר קביעות בעלות אופי עקרוני. </w:t>
      </w:r>
    </w:p>
    <w:p w:rsidR="00DA5D30" w:rsidRPr="00DA5D30" w:rsidRDefault="00DA5D30" w:rsidP="0076171E">
      <w:pPr>
        <w:spacing w:after="160" w:line="348" w:lineRule="auto"/>
        <w:jc w:val="both"/>
        <w:rPr>
          <w:rFonts w:ascii="FrankRuehl" w:eastAsia="Calibri" w:hAnsi="FrankRuehl" w:cs="FrankRuehl"/>
          <w:noProof w:val="0"/>
          <w:sz w:val="28"/>
          <w:szCs w:val="28"/>
          <w:rtl/>
        </w:rPr>
      </w:pPr>
      <w:r w:rsidRPr="00DA5D30">
        <w:rPr>
          <w:rFonts w:ascii="FrankRuehl" w:eastAsia="Calibri" w:hAnsi="FrankRuehl" w:cs="FrankRuehl"/>
          <w:noProof w:val="0"/>
          <w:sz w:val="28"/>
          <w:szCs w:val="28"/>
          <w:rtl/>
        </w:rPr>
        <w:t xml:space="preserve">3. ראשית, הוועדה נדרשה בפסק דינה למומחה מטעם קצין התגמולים, פרופ' איתן אוריאל. בין היתר נקבע, כי נחשפו בעדותו שורה של כשלים, סתירות והטיות. כן נקבע, כי עדותו הותירה </w:t>
      </w:r>
      <w:r w:rsidRPr="00DA5D30">
        <w:rPr>
          <w:rFonts w:ascii="FrankRuehl" w:eastAsia="Calibri" w:hAnsi="FrankRuehl" w:cs="FrankRuehl"/>
          <w:noProof w:val="0"/>
          <w:sz w:val="28"/>
          <w:szCs w:val="28"/>
          <w:rtl/>
        </w:rPr>
        <w:lastRenderedPageBreak/>
        <w:t xml:space="preserve">רושם בלתי אמין. מפסק הדין אף עולה המסקנה כי לדעת הוועדה המומחה לא פעל כנאמן לאינטרס הציבורי. יוחס לו גם, כי לא עשה מאמץ הולם להשגת האמת המדעית. בפסק הדין אף נרמז כי קביעות אלה קשורות לתלות בלתי רצויה ומתמשכת בין פרנסת המומחה לבין משרד הביטחון, העלולה לגרום לניגוד עניינים מובנה של המומחה. </w:t>
      </w:r>
    </w:p>
    <w:p w:rsidR="00DA5D30" w:rsidRPr="00DA5D30" w:rsidRDefault="00DA5D30" w:rsidP="0076171E">
      <w:pPr>
        <w:spacing w:after="160" w:line="348" w:lineRule="auto"/>
        <w:jc w:val="both"/>
        <w:rPr>
          <w:rFonts w:ascii="FrankRuehl" w:eastAsia="Calibri" w:hAnsi="FrankRuehl" w:cs="FrankRuehl"/>
          <w:noProof w:val="0"/>
          <w:sz w:val="28"/>
          <w:szCs w:val="28"/>
          <w:rtl/>
        </w:rPr>
      </w:pPr>
      <w:r w:rsidRPr="00DA5D30">
        <w:rPr>
          <w:rFonts w:ascii="FrankRuehl" w:eastAsia="Calibri" w:hAnsi="FrankRuehl" w:cs="FrankRuehl"/>
          <w:noProof w:val="0"/>
          <w:sz w:val="28"/>
          <w:szCs w:val="28"/>
          <w:rtl/>
        </w:rPr>
        <w:t xml:space="preserve">4. מן החומר שבפנינו עולה, כי לקביעות אלה לא היה עוגן בתשתית שעמדה בפני הוועדה. אדרבא. מעיון בחומר בכללותו עולה, כי התזה הרפואית אשר על יסודה הוכרה לבסוף נכותה של המשיבה הועלתה לראשונה על ידי המומחה, ולא על ידי המשיבה. במידה רבה, באותה עת אף הלך פרופ' אוריאל כברת דרך לא מבוטלת לקראת המשיבה, שעה שהניח כי קיים קשר סיבתי חלקי בין מחלה ויראלית בה חלתה המשיבה בעת שירותה, לבין מחלת הטרשת הנפוצה. זאת, בהתאם לידע המדעי במועד האמור, ולחומר הרפואי בעניינה של המשיבה. הדבר נוטה ללמד על ניקיון דעת, מקצועיות ואי תלות של המומחה. המומחה אף עמד על עמדתו זו לאחר שנשלחו אליו שאלות הבהרה של המערער (ראו פסק דינה של ועדת ערעור מכוח חוק הנכים בע"נ 40940-12-21 מיום 8.12.22). מאליו יובן, כי איננו תמימי דעים עם קביעת הוועדה במקרה הנוכחי, לפיה שינה המומחה את חוות דעתו בשל מניפולציה שהופעלה עליו. לא היה מקום, אפוא, לקביעות הקשות הנזכרות לעיל בכלל, ועל מנת להגיע למסקנה אליה הגיעה הוועדה, אשר ביכרה חוות דעת של מומחית מטעם המשיבה על פני חוות דעתו של פרופ' אוריאל, בפרט. ספק רב אם הן עולות בקנה אחד עם הלכת בית המשפט העליון בבג"ץ 188/96, רע"פ 8226/96 </w:t>
      </w:r>
      <w:r w:rsidRPr="00DA5D30">
        <w:rPr>
          <w:rFonts w:ascii="Miriam" w:eastAsia="Calibri" w:hAnsi="Miriam" w:cs="Miriam"/>
          <w:noProof w:val="0"/>
          <w:rtl/>
        </w:rPr>
        <w:t>צירינסקי נ' סגן נשיא בית-משפט השלום בחדרה השופט ע' שרון ואח</w:t>
      </w:r>
      <w:r w:rsidRPr="00DA5D30">
        <w:rPr>
          <w:rFonts w:ascii="FrankRuehl" w:eastAsia="Calibri" w:hAnsi="FrankRuehl" w:cs="FrankRuehl"/>
          <w:noProof w:val="0"/>
          <w:sz w:val="28"/>
          <w:szCs w:val="28"/>
          <w:rtl/>
        </w:rPr>
        <w:t xml:space="preserve">', פ''ד נב(3) 721 (1998). אנו מבטלים, אפוא, קביעות אלה. </w:t>
      </w:r>
    </w:p>
    <w:p w:rsidR="00DA5D30" w:rsidRPr="00DA5D30" w:rsidRDefault="00DA5D30" w:rsidP="0076171E">
      <w:pPr>
        <w:spacing w:after="160" w:line="348" w:lineRule="auto"/>
        <w:jc w:val="both"/>
        <w:rPr>
          <w:rFonts w:ascii="FrankRuehl" w:eastAsia="Calibri" w:hAnsi="FrankRuehl" w:cs="FrankRuehl"/>
          <w:noProof w:val="0"/>
          <w:sz w:val="28"/>
          <w:szCs w:val="28"/>
          <w:rtl/>
        </w:rPr>
      </w:pPr>
      <w:r w:rsidRPr="00DA5D30">
        <w:rPr>
          <w:rFonts w:ascii="FrankRuehl" w:eastAsia="Calibri" w:hAnsi="FrankRuehl" w:cs="FrankRuehl"/>
          <w:noProof w:val="0"/>
          <w:sz w:val="28"/>
          <w:szCs w:val="28"/>
          <w:rtl/>
        </w:rPr>
        <w:t xml:space="preserve">5. שנית, הוועדה מתחה ביקורת כללית על קצין התגמולים. בגדר זה, קבעה הוועדה כי ברקע התנהלותו של פרופ' אוריאל, עומדת שיטת מינויי המומחים מטעם קצין התגמולים. צוין, בהקשר זה, כי בדומה למקרים אחרים, המומחה פועל בשירות משרד הביטחון משך שנים ארוכות. מצב הדברים תואר כ"קבלנות" בעריכת חוות דעת, מצב שתויג כמטריד וככזה שעלול ליצור תלות בלתי רצויה ומתמשכת בין פרנסת המומחה לבין משרד הביטחון, העלולה לגרום לניגוד עניינים כנזכר לעיל. נכתב, בין היתר, כי חובת הנאמנות של הרופא הממונה השתכחה, רגישות העניינים המובאת בפניו אינה זוכה לתשומת הלב הראויה. לקביעות כוללניות וגורפות אלה לא הונחה תשתית של ממש. לא ניתנה למשיב זכות טיעון ממשית ביחס אליהן. במצב דברים זה, לא היה מקום לקביעות האמורות, ואף אותן אנו מבטלים. </w:t>
      </w:r>
    </w:p>
    <w:p w:rsidR="00DA5D30" w:rsidRPr="00DA5D30" w:rsidRDefault="00DA5D30" w:rsidP="0076171E">
      <w:pPr>
        <w:spacing w:after="160" w:line="348" w:lineRule="auto"/>
        <w:jc w:val="both"/>
        <w:rPr>
          <w:rFonts w:ascii="FrankRuehl" w:eastAsia="Calibri" w:hAnsi="FrankRuehl" w:cs="FrankRuehl"/>
          <w:noProof w:val="0"/>
          <w:sz w:val="28"/>
          <w:szCs w:val="28"/>
          <w:rtl/>
        </w:rPr>
      </w:pPr>
      <w:r w:rsidRPr="00DA5D30">
        <w:rPr>
          <w:rFonts w:ascii="FrankRuehl" w:eastAsia="Calibri" w:hAnsi="FrankRuehl" w:cs="FrankRuehl"/>
          <w:noProof w:val="0"/>
          <w:sz w:val="28"/>
          <w:szCs w:val="28"/>
          <w:rtl/>
        </w:rPr>
        <w:lastRenderedPageBreak/>
        <w:t xml:space="preserve">6. שלישית, הוועדה קבעה כי אמת המידה הראייתית בה על המשיבה לעמוד בהוכחת קיומו של קשר סיבתי, היא "מתקבל על הדעת". קביעה זו אינה תואמת את פסיקת בית המשפט העליון. בפסיקה זו נקבע באופן ברור ועקבי, כי נדרשת הוכחה "ברמה מתקבלת </w:t>
      </w:r>
      <w:r w:rsidRPr="00DA5D30">
        <w:rPr>
          <w:rFonts w:ascii="FrankRuehl" w:eastAsia="Calibri" w:hAnsi="FrankRuehl" w:cs="FrankRuehl"/>
          <w:b/>
          <w:bCs/>
          <w:noProof w:val="0"/>
          <w:sz w:val="28"/>
          <w:szCs w:val="28"/>
          <w:rtl/>
        </w:rPr>
        <w:t>מאד</w:t>
      </w:r>
      <w:r w:rsidRPr="00DA5D30">
        <w:rPr>
          <w:rFonts w:ascii="FrankRuehl" w:eastAsia="Calibri" w:hAnsi="FrankRuehl" w:cs="FrankRuehl"/>
          <w:noProof w:val="0"/>
          <w:sz w:val="28"/>
          <w:szCs w:val="28"/>
          <w:rtl/>
        </w:rPr>
        <w:t xml:space="preserve"> על הדעת" (רע"א 2652/19 </w:t>
      </w:r>
      <w:r w:rsidRPr="00DA5D30">
        <w:rPr>
          <w:rFonts w:ascii="Miriam" w:eastAsia="Calibri" w:hAnsi="Miriam" w:cs="Miriam"/>
          <w:noProof w:val="0"/>
          <w:rtl/>
        </w:rPr>
        <w:t>פלוני נ' מדינת ישראל – קצין התגמולים</w:t>
      </w:r>
      <w:r w:rsidRPr="00DA5D30">
        <w:rPr>
          <w:rFonts w:ascii="FrankRuehl" w:eastAsia="Calibri" w:hAnsi="FrankRuehl" w:cs="FrankRuehl"/>
          <w:noProof w:val="0"/>
          <w:sz w:val="28"/>
          <w:szCs w:val="28"/>
          <w:rtl/>
        </w:rPr>
        <w:t xml:space="preserve"> (11.1.2021), בפסקה 9 לפסק הדין; ההדגשה הוספה), וכי אמת מידה זו דורשת הוכחה "ברף של מעל למאזן הסתברויות". קיים פער משמעותי בין אמת המידה על פיה פעלה הוועדה בפסק הדין לבין אמת המידה האמורה. אכן, הדרישה כי קשר סיבתי יוכח ברמה של "מתקבל על הדעת" מסתפקת בכך שמדובר באפשרות סבירה לקיומו של קשר סיבתי. מדובר בסטנדרט הוכחה נמוך בצורה משמעותית מרף של "מעל למאזן הסתברויות". באופן דומה נציין, כי קביעת הוועדה לפיה לא ניתן לשלול קיומו של קשר סיבתי (ראו פסקאות 132, 134 לפסק הדין), אינה עומדת ברף שנקבע בפסיקת בית המשפט העליון. </w:t>
      </w:r>
    </w:p>
    <w:p w:rsidR="00DA5D30" w:rsidRPr="00DA5D30" w:rsidRDefault="00DA5D30" w:rsidP="0076171E">
      <w:pPr>
        <w:spacing w:after="160" w:line="348" w:lineRule="auto"/>
        <w:jc w:val="both"/>
        <w:rPr>
          <w:rFonts w:ascii="FrankRuehl" w:eastAsia="Calibri" w:hAnsi="FrankRuehl" w:cs="FrankRuehl"/>
          <w:noProof w:val="0"/>
          <w:sz w:val="28"/>
          <w:szCs w:val="28"/>
          <w:rtl/>
        </w:rPr>
      </w:pPr>
      <w:r w:rsidRPr="00DA5D30">
        <w:rPr>
          <w:rFonts w:ascii="FrankRuehl" w:eastAsia="Calibri" w:hAnsi="FrankRuehl" w:cs="FrankRuehl"/>
          <w:noProof w:val="0"/>
          <w:sz w:val="28"/>
          <w:szCs w:val="28"/>
          <w:rtl/>
        </w:rPr>
        <w:t xml:space="preserve">7. אשר לשיעורו של הקשר הסיבתי בין שירותה הצבאי של המשיבה לבין מחלת הטרשת הנפוצה בה לקתה, אנו קובעים, על דרך הפשרה, על יסוד כלל החומר שבפנינו, כי שיעור זה עומד על 65%. </w:t>
      </w:r>
    </w:p>
    <w:p w:rsidR="0076171E" w:rsidRDefault="00DA5D30" w:rsidP="0076171E">
      <w:pPr>
        <w:spacing w:after="160" w:line="348" w:lineRule="auto"/>
        <w:jc w:val="both"/>
        <w:rPr>
          <w:rFonts w:ascii="FrankRuehl" w:eastAsia="Calibri" w:hAnsi="FrankRuehl" w:cs="FrankRuehl"/>
          <w:noProof w:val="0"/>
          <w:sz w:val="28"/>
          <w:szCs w:val="28"/>
          <w:rtl/>
        </w:rPr>
      </w:pPr>
      <w:r w:rsidRPr="00DA5D30">
        <w:rPr>
          <w:rFonts w:ascii="FrankRuehl" w:eastAsia="Calibri" w:hAnsi="FrankRuehl" w:cs="FrankRuehl"/>
          <w:noProof w:val="0"/>
          <w:sz w:val="28"/>
          <w:szCs w:val="28"/>
          <w:rtl/>
        </w:rPr>
        <w:t xml:space="preserve">8. ערעור קצין התגמולים מתקבל, אפוא, בהתאם לאמור לעיל. פסק דינה של הוועדה מבוטל, אפוא. נוכח מהותו של העניין, ובשים לב לאופן בו הסתיים ההליך, אין צו להוצאות בערכאה זו. </w:t>
      </w:r>
    </w:p>
    <w:p w:rsidR="00DA5D30" w:rsidRPr="00DA5D30" w:rsidRDefault="0076171E" w:rsidP="0076171E">
      <w:pPr>
        <w:spacing w:after="160" w:line="348" w:lineRule="auto"/>
        <w:jc w:val="both"/>
        <w:rPr>
          <w:rFonts w:ascii="FrankRuehl" w:eastAsia="Calibri" w:hAnsi="FrankRuehl" w:cs="FrankRuehl"/>
          <w:noProof w:val="0"/>
          <w:sz w:val="28"/>
          <w:szCs w:val="28"/>
          <w:rtl/>
        </w:rPr>
      </w:pPr>
      <w:r>
        <w:rPr>
          <w:rFonts w:ascii="FrankRuehl" w:eastAsia="Calibri" w:hAnsi="FrankRuehl" w:cs="FrankRuehl" w:hint="cs"/>
          <w:noProof w:val="0"/>
          <w:sz w:val="28"/>
          <w:szCs w:val="28"/>
          <w:rtl/>
        </w:rPr>
        <w:t xml:space="preserve">9. </w:t>
      </w:r>
      <w:r w:rsidR="00DA5D30" w:rsidRPr="00DA5D30">
        <w:rPr>
          <w:rFonts w:ascii="FrankRuehl" w:eastAsia="Calibri" w:hAnsi="FrankRuehl" w:cs="FrankRuehl"/>
          <w:noProof w:val="0"/>
          <w:sz w:val="28"/>
          <w:szCs w:val="28"/>
          <w:rtl/>
        </w:rPr>
        <w:t xml:space="preserve">אשר להוצאות שהושתו על ידי הוועדה בהחלטה שניתנה בהמשך לפסק הדין, נקודת המוצא היא כי ערכאת ערעור נוקטת ריסון משמעותי בהתערבות בהחלטות כגון אלה, הניתנות על ידי הערכאה המבררת לה האפשרות להתרשם באופן בלתי אמצעי מהתנהלות הצדדים. במקרה זה, ובלא שאנו מאשרים את הקביעות הביקורתיות שבהחלטת הוועדה לעניין זה, לא מצאנו, על פי אמת המידה האמורה, עילה מספקת להתערב בשיעור ההוצאות שהוטלו, בהתחשב בתוצאת ההליך, ובהיקף העבודה שהושקעה בו. </w:t>
      </w: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י"ב שבט תשפ"ה</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10 פברואר 2025</w:t>
          </w:r>
        </w:sdtContent>
      </w:sdt>
      <w:r w:rsidR="00005C8B">
        <w:rPr>
          <w:rFonts w:ascii="Arial" w:hAnsi="Arial"/>
          <w:noProof w:val="0"/>
          <w:rtl/>
        </w:rPr>
        <w:t>, בהעדר הצדדים.</w:t>
      </w:r>
    </w:p>
    <w:p w:rsidR="00C43648" w:rsidRDefault="00927705"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DA5D30" w:rsidRDefault="00DA5D30" w:rsidP="00DA5D30">
      <w:pPr>
        <w:tabs>
          <w:tab w:val="left" w:pos="2553"/>
        </w:tabs>
        <w:rPr>
          <w:rFonts w:ascii="Arial" w:hAnsi="Arial"/>
          <w:noProof w:val="0"/>
          <w:rtl/>
        </w:rPr>
      </w:pPr>
      <w:r>
        <w:rPr>
          <w:rFonts w:hint="cs"/>
          <w:rtl/>
        </w:rPr>
        <w:tab/>
      </w:r>
      <w:r>
        <w:rPr>
          <w:rFonts w:hint="cs"/>
          <w:rtl/>
        </w:rPr>
        <w:tab/>
      </w:r>
      <w:r>
        <w:rPr>
          <w:rFonts w:hint="cs"/>
          <w:rtl/>
        </w:rPr>
        <w:tab/>
      </w:r>
      <w:r>
        <w:rPr>
          <w:rFonts w:hint="cs"/>
          <w:rtl/>
        </w:rPr>
        <w:tab/>
        <w:t xml:space="preserve">       </w:t>
      </w:r>
    </w:p>
    <w:tbl>
      <w:tblPr>
        <w:tblStyle w:val="a9"/>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654"/>
        <w:gridCol w:w="236"/>
        <w:gridCol w:w="2284"/>
        <w:gridCol w:w="236"/>
        <w:gridCol w:w="2464"/>
      </w:tblGrid>
      <w:tr w:rsidR="00DA5D30" w:rsidRPr="00896687" w:rsidTr="009D14A6">
        <w:trPr>
          <w:jc w:val="center"/>
        </w:trPr>
        <w:tc>
          <w:tcPr>
            <w:tcW w:w="2654" w:type="dxa"/>
            <w:tcBorders>
              <w:top w:val="nil"/>
              <w:left w:val="nil"/>
              <w:bottom w:val="single" w:sz="4" w:space="0" w:color="auto"/>
              <w:right w:val="nil"/>
            </w:tcBorders>
            <w:vAlign w:val="center"/>
          </w:tcPr>
          <w:p w:rsidR="00DA5D30" w:rsidRPr="00896687" w:rsidRDefault="00DA5D30">
            <w:pPr>
              <w:jc w:val="center"/>
              <w:rPr>
                <w:rFonts w:ascii="Courier New" w:hAnsi="Courier New"/>
                <w:b/>
                <w:bCs/>
              </w:rPr>
            </w:pPr>
            <w:r>
              <w:drawing>
                <wp:inline distT="0" distB="0" distL="0" distR="0" wp14:anchorId="082B7F5B" wp14:editId="07C18A9F">
                  <wp:extent cx="731520" cy="476885"/>
                  <wp:effectExtent l="0" t="0" r="0" b="0"/>
                  <wp:docPr id="4" name="Picture 1" descr="058893793"/>
                  <wp:cNvGraphicFramePr/>
                  <a:graphic xmlns:a="http://schemas.openxmlformats.org/drawingml/2006/main">
                    <a:graphicData uri="http://schemas.openxmlformats.org/drawingml/2006/picture">
                      <pic:pic xmlns:pic="http://schemas.openxmlformats.org/drawingml/2006/picture">
                        <pic:nvPicPr>
                          <pic:cNvPr id="4" name="Picture 1" descr="058893793"/>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1520" cy="476885"/>
                          </a:xfrm>
                          <a:prstGeom prst="rect">
                            <a:avLst/>
                          </a:prstGeom>
                          <a:noFill/>
                          <a:ln>
                            <a:noFill/>
                          </a:ln>
                        </pic:spPr>
                      </pic:pic>
                    </a:graphicData>
                  </a:graphic>
                </wp:inline>
              </w:drawing>
            </w:r>
          </w:p>
        </w:tc>
        <w:tc>
          <w:tcPr>
            <w:tcW w:w="236" w:type="dxa"/>
            <w:vAlign w:val="center"/>
          </w:tcPr>
          <w:p w:rsidR="00DA5D30" w:rsidRPr="00896687" w:rsidRDefault="00DA5D30">
            <w:pPr>
              <w:jc w:val="center"/>
              <w:rPr>
                <w:rFonts w:ascii="Courier New" w:hAnsi="Courier New"/>
                <w:b/>
                <w:bCs/>
              </w:rPr>
            </w:pPr>
          </w:p>
        </w:tc>
        <w:tc>
          <w:tcPr>
            <w:tcW w:w="2284" w:type="dxa"/>
            <w:tcBorders>
              <w:top w:val="nil"/>
              <w:left w:val="nil"/>
              <w:bottom w:val="single" w:sz="4" w:space="0" w:color="auto"/>
              <w:right w:val="nil"/>
            </w:tcBorders>
            <w:vAlign w:val="center"/>
          </w:tcPr>
          <w:p w:rsidR="00DA5D30" w:rsidRPr="00AF657B" w:rsidRDefault="00DA5D30">
            <w:pPr>
              <w:jc w:val="center"/>
              <w:rPr>
                <w:rFonts w:ascii="Courier New" w:hAnsi="Courier New"/>
                <w:rtl/>
              </w:rPr>
            </w:pPr>
            <w:r>
              <w:drawing>
                <wp:inline distT="0" distB="0" distL="0" distR="0" wp14:anchorId="020E76AE" wp14:editId="7FEBAB80">
                  <wp:extent cx="1427480" cy="440055"/>
                  <wp:effectExtent l="0" t="0" r="1270" b="0"/>
                  <wp:docPr id="2" name="תמונה 2" descr="C:\Users\ShimiG\AppData\Local\Microsoft\Windows\Temporary Internet Files\Content.Word\058667486.tif"/>
                  <wp:cNvGraphicFramePr/>
                  <a:graphic xmlns:a="http://schemas.openxmlformats.org/drawingml/2006/main">
                    <a:graphicData uri="http://schemas.openxmlformats.org/drawingml/2006/picture">
                      <pic:pic xmlns:pic="http://schemas.openxmlformats.org/drawingml/2006/picture">
                        <pic:nvPicPr>
                          <pic:cNvPr id="2" name="תמונה 2" descr="C:\Users\ShimiG\AppData\Local\Microsoft\Windows\Temporary Internet Files\Content.Word\058667486.tif"/>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7480" cy="440055"/>
                          </a:xfrm>
                          <a:prstGeom prst="rect">
                            <a:avLst/>
                          </a:prstGeom>
                          <a:noFill/>
                          <a:ln>
                            <a:noFill/>
                          </a:ln>
                        </pic:spPr>
                      </pic:pic>
                    </a:graphicData>
                  </a:graphic>
                </wp:inline>
              </w:drawing>
            </w:r>
          </w:p>
        </w:tc>
        <w:tc>
          <w:tcPr>
            <w:tcW w:w="236" w:type="dxa"/>
            <w:vAlign w:val="center"/>
          </w:tcPr>
          <w:p w:rsidR="00DA5D30" w:rsidRPr="00896687" w:rsidRDefault="00DA5D30">
            <w:pPr>
              <w:jc w:val="center"/>
              <w:rPr>
                <w:rFonts w:ascii="Courier New" w:hAnsi="Courier New"/>
                <w:b/>
                <w:bCs/>
              </w:rPr>
            </w:pPr>
          </w:p>
        </w:tc>
        <w:tc>
          <w:tcPr>
            <w:tcW w:w="2464" w:type="dxa"/>
            <w:tcBorders>
              <w:top w:val="nil"/>
              <w:left w:val="nil"/>
              <w:bottom w:val="single" w:sz="4" w:space="0" w:color="auto"/>
              <w:right w:val="nil"/>
            </w:tcBorders>
            <w:vAlign w:val="center"/>
          </w:tcPr>
          <w:p w:rsidR="00DA5D30" w:rsidRPr="00896687" w:rsidRDefault="00DA5D30">
            <w:pPr>
              <w:jc w:val="center"/>
              <w:rPr>
                <w:rFonts w:ascii="Courier New" w:hAnsi="Courier New"/>
                <w:b/>
                <w:bCs/>
              </w:rPr>
            </w:pPr>
            <w:r>
              <w:drawing>
                <wp:inline distT="0" distB="0" distL="0" distR="0" wp14:anchorId="66961D65" wp14:editId="2257B1C6">
                  <wp:extent cx="923027" cy="662389"/>
                  <wp:effectExtent l="0" t="0" r="0" b="4445"/>
                  <wp:docPr id="3" name="תמונה 3" descr="\\ctlnfsv02\Doc_repository\JudgesSignatures\05042006\027838697.TIF"/>
                  <wp:cNvGraphicFramePr/>
                  <a:graphic xmlns:a="http://schemas.openxmlformats.org/drawingml/2006/main">
                    <a:graphicData uri="http://schemas.openxmlformats.org/drawingml/2006/picture">
                      <pic:pic xmlns:pic="http://schemas.openxmlformats.org/drawingml/2006/picture">
                        <pic:nvPicPr>
                          <pic:cNvPr id="1" name="תמונה 1" descr="\\ctlnfsv02\Doc_repository\JudgesSignatures\05042006\027838697.TIF"/>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7703" cy="665745"/>
                          </a:xfrm>
                          <a:prstGeom prst="rect">
                            <a:avLst/>
                          </a:prstGeom>
                          <a:noFill/>
                          <a:ln>
                            <a:noFill/>
                          </a:ln>
                        </pic:spPr>
                      </pic:pic>
                    </a:graphicData>
                  </a:graphic>
                </wp:inline>
              </w:drawing>
            </w:r>
          </w:p>
        </w:tc>
      </w:tr>
      <w:tr w:rsidR="00DA5D30" w:rsidRPr="00896687" w:rsidTr="007074E4">
        <w:trPr>
          <w:jc w:val="center"/>
        </w:trPr>
        <w:tc>
          <w:tcPr>
            <w:tcW w:w="2654" w:type="dxa"/>
            <w:tcBorders>
              <w:top w:val="single" w:sz="4" w:space="0" w:color="auto"/>
              <w:left w:val="nil"/>
              <w:bottom w:val="nil"/>
              <w:right w:val="nil"/>
            </w:tcBorders>
          </w:tcPr>
          <w:p w:rsidR="00DA5D30" w:rsidRPr="00896687" w:rsidRDefault="00DA5D30" w:rsidP="000D6FB9">
            <w:pPr>
              <w:jc w:val="center"/>
              <w:rPr>
                <w:b/>
                <w:bCs/>
                <w:rtl/>
              </w:rPr>
            </w:pPr>
            <w:r>
              <w:rPr>
                <w:rFonts w:hint="cs"/>
                <w:b/>
                <w:bCs/>
                <w:rtl/>
              </w:rPr>
              <w:t>עודד שחם, שופט</w:t>
            </w:r>
          </w:p>
          <w:p w:rsidR="00DA5D30" w:rsidRPr="00896687" w:rsidRDefault="00DA5D30">
            <w:pPr>
              <w:jc w:val="center"/>
              <w:rPr>
                <w:b/>
                <w:bCs/>
                <w:sz w:val="28"/>
              </w:rPr>
            </w:pPr>
            <w:r w:rsidRPr="00896687">
              <w:rPr>
                <w:rFonts w:hint="cs"/>
                <w:b/>
                <w:bCs/>
                <w:rtl/>
              </w:rPr>
              <w:t>[אב"ד]</w:t>
            </w:r>
          </w:p>
        </w:tc>
        <w:tc>
          <w:tcPr>
            <w:tcW w:w="236" w:type="dxa"/>
          </w:tcPr>
          <w:p w:rsidR="00DA5D30" w:rsidRPr="00896687" w:rsidRDefault="00DA5D30">
            <w:pPr>
              <w:jc w:val="center"/>
              <w:rPr>
                <w:b/>
                <w:bCs/>
                <w:color w:val="FF0000"/>
                <w:sz w:val="28"/>
              </w:rPr>
            </w:pPr>
          </w:p>
        </w:tc>
        <w:tc>
          <w:tcPr>
            <w:tcW w:w="2284" w:type="dxa"/>
            <w:tcBorders>
              <w:top w:val="single" w:sz="4" w:space="0" w:color="auto"/>
              <w:left w:val="nil"/>
              <w:bottom w:val="nil"/>
              <w:right w:val="nil"/>
            </w:tcBorders>
          </w:tcPr>
          <w:p w:rsidR="00DA5D30" w:rsidRPr="00896687" w:rsidRDefault="00DA5D30" w:rsidP="00BE335C">
            <w:pPr>
              <w:pStyle w:val="3"/>
              <w:spacing w:line="240" w:lineRule="auto"/>
              <w:jc w:val="center"/>
              <w:outlineLvl w:val="2"/>
              <w:rPr>
                <w:noProof w:val="0"/>
                <w:sz w:val="28"/>
              </w:rPr>
            </w:pPr>
            <w:r>
              <w:rPr>
                <w:rFonts w:hint="cs"/>
                <w:rtl/>
              </w:rPr>
              <w:t>אברהם רובין</w:t>
            </w:r>
            <w:r w:rsidRPr="00896687">
              <w:rPr>
                <w:rFonts w:ascii="Courier New" w:hAnsi="Courier New" w:hint="cs"/>
                <w:rtl/>
              </w:rPr>
              <w:t>, שופט</w:t>
            </w:r>
          </w:p>
        </w:tc>
        <w:tc>
          <w:tcPr>
            <w:tcW w:w="236" w:type="dxa"/>
          </w:tcPr>
          <w:p w:rsidR="00DA5D30" w:rsidRPr="00896687" w:rsidRDefault="00DA5D30" w:rsidP="007074E4">
            <w:pPr>
              <w:jc w:val="center"/>
              <w:rPr>
                <w:b/>
                <w:bCs/>
                <w:color w:val="FF0000"/>
                <w:sz w:val="28"/>
              </w:rPr>
            </w:pPr>
          </w:p>
        </w:tc>
        <w:tc>
          <w:tcPr>
            <w:tcW w:w="2464" w:type="dxa"/>
            <w:tcBorders>
              <w:top w:val="single" w:sz="4" w:space="0" w:color="auto"/>
              <w:left w:val="nil"/>
              <w:bottom w:val="nil"/>
              <w:right w:val="nil"/>
            </w:tcBorders>
          </w:tcPr>
          <w:p w:rsidR="00DA5D30" w:rsidRPr="00896687" w:rsidRDefault="00DA5D30" w:rsidP="007074E4">
            <w:pPr>
              <w:jc w:val="center"/>
              <w:rPr>
                <w:b/>
                <w:bCs/>
                <w:sz w:val="28"/>
              </w:rPr>
            </w:pPr>
            <w:r>
              <w:rPr>
                <w:rFonts w:hint="cs"/>
                <w:b/>
                <w:bCs/>
                <w:rtl/>
              </w:rPr>
              <w:t>נמרוד פלקס</w:t>
            </w:r>
            <w:r w:rsidRPr="00896687">
              <w:rPr>
                <w:rFonts w:ascii="Courier New" w:hAnsi="Courier New" w:hint="cs"/>
                <w:b/>
                <w:bCs/>
                <w:rtl/>
              </w:rPr>
              <w:t>, שופט</w:t>
            </w:r>
          </w:p>
        </w:tc>
      </w:tr>
    </w:tbl>
    <w:p w:rsidR="00DA5D30" w:rsidRDefault="00DA5D30"/>
    <w:p w:rsidR="00694556" w:rsidRDefault="00694556" w:rsidP="00DA5D30">
      <w:pPr>
        <w:tabs>
          <w:tab w:val="left" w:pos="2553"/>
        </w:tabs>
        <w:rPr>
          <w:rFonts w:ascii="Arial" w:hAnsi="Arial"/>
          <w:noProof w:val="0"/>
          <w:rtl/>
        </w:rPr>
      </w:pPr>
    </w:p>
    <w:sectPr w:rsidR="00694556" w:rsidSect="00891F42">
      <w:headerReference w:type="even" r:id="rId10"/>
      <w:headerReference w:type="default" r:id="rId11"/>
      <w:footerReference w:type="even" r:id="rId12"/>
      <w:footerReference w:type="default" r:id="rId13"/>
      <w:headerReference w:type="first" r:id="rId14"/>
      <w:footerReference w:type="first" r:id="rId15"/>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705" w:rsidRDefault="00927705">
      <w:r>
        <w:separator/>
      </w:r>
    </w:p>
  </w:endnote>
  <w:endnote w:type="continuationSeparator" w:id="0">
    <w:p w:rsidR="00927705" w:rsidRDefault="0092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D30" w:rsidRDefault="00DA5D30">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C23307">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C23307">
      <w:rPr>
        <w:rStyle w:val="ab"/>
        <w:rFonts w:ascii="David" w:hAnsi="David"/>
        <w:rtl/>
      </w:rPr>
      <w:t>4</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D30" w:rsidRDefault="00DA5D3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705" w:rsidRDefault="00927705">
      <w:r>
        <w:separator/>
      </w:r>
    </w:p>
  </w:footnote>
  <w:footnote w:type="continuationSeparator" w:id="0">
    <w:p w:rsidR="00927705" w:rsidRDefault="0092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D30" w:rsidRDefault="00DA5D30">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בירושלים בשבתו כבית-משפט לערעורים אזרחיים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927705" w:rsidP="00DA5D30">
          <w:pPr>
            <w:rPr>
              <w:b/>
              <w:bCs/>
              <w:noProof w:val="0"/>
              <w:sz w:val="26"/>
              <w:szCs w:val="26"/>
              <w:rtl/>
            </w:rPr>
          </w:pPr>
          <w:sdt>
            <w:sdtPr>
              <w:rPr>
                <w:rtl/>
              </w:rPr>
              <w:alias w:val="1170"/>
              <w:tag w:val="1170"/>
              <w:id w:val="1066377040"/>
              <w:text w:multiLine="1"/>
            </w:sdtPr>
            <w:sdtEndPr/>
            <w:sdtContent>
              <w:r w:rsidR="00424313">
                <w:rPr>
                  <w:b/>
                  <w:bCs/>
                  <w:noProof w:val="0"/>
                  <w:sz w:val="26"/>
                  <w:szCs w:val="26"/>
                  <w:rtl/>
                </w:rPr>
                <w:t>ע"ו</w:t>
              </w:r>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424313">
                <w:rPr>
                  <w:b/>
                  <w:bCs/>
                  <w:noProof w:val="0"/>
                  <w:sz w:val="26"/>
                  <w:szCs w:val="26"/>
                  <w:rtl/>
                </w:rPr>
                <w:t>69207-11-24</w:t>
              </w:r>
            </w:sdtContent>
          </w:sdt>
          <w:bookmarkEnd w:id="1"/>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424313">
                <w:rPr>
                  <w:b/>
                  <w:bCs/>
                  <w:noProof w:val="0"/>
                  <w:sz w:val="26"/>
                  <w:szCs w:val="26"/>
                  <w:rtl/>
                </w:rPr>
                <w:t xml:space="preserve">קצין התגמולים-משרד הבטחון-אגף השיקום נ' </w:t>
              </w:r>
              <w:r w:rsidR="00DA5D30">
                <w:rPr>
                  <w:rFonts w:hint="cs"/>
                  <w:b/>
                  <w:bCs/>
                  <w:noProof w:val="0"/>
                  <w:sz w:val="26"/>
                  <w:szCs w:val="26"/>
                  <w:rtl/>
                </w:rPr>
                <w:t>פ</w:t>
              </w:r>
              <w:r w:rsidR="00424313">
                <w:rPr>
                  <w:b/>
                  <w:bCs/>
                  <w:noProof w:val="0"/>
                  <w:sz w:val="26"/>
                  <w:szCs w:val="26"/>
                  <w:rtl/>
                </w:rPr>
                <w:t>לוני</w:t>
              </w:r>
              <w:r w:rsidR="00DA5D30">
                <w:rPr>
                  <w:rFonts w:hint="cs"/>
                  <w:b/>
                  <w:bCs/>
                  <w:noProof w:val="0"/>
                  <w:sz w:val="26"/>
                  <w:szCs w:val="26"/>
                  <w:rtl/>
                </w:rPr>
                <w:t>ת</w:t>
              </w:r>
            </w:sdtContent>
          </w:sdt>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r>
                <w:rPr>
                  <w:rFonts w:hint="eastAsia"/>
                  <w:sz w:val="20"/>
                  <w:szCs w:val="20"/>
                  <w:rtl/>
                </w:rPr>
                <w:t>00000</w:t>
              </w: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5D30" w:rsidRDefault="00DA5D3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E790B"/>
    <w:rsid w:val="000F0BC8"/>
    <w:rsid w:val="000F0DD6"/>
    <w:rsid w:val="00107E6D"/>
    <w:rsid w:val="0011194C"/>
    <w:rsid w:val="0011424C"/>
    <w:rsid w:val="001173C6"/>
    <w:rsid w:val="00122A9F"/>
    <w:rsid w:val="001367BC"/>
    <w:rsid w:val="00144D2A"/>
    <w:rsid w:val="0014653E"/>
    <w:rsid w:val="00180519"/>
    <w:rsid w:val="00191C82"/>
    <w:rsid w:val="001C4003"/>
    <w:rsid w:val="001D4DBF"/>
    <w:rsid w:val="001E75CA"/>
    <w:rsid w:val="002265FF"/>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D1C8C"/>
    <w:rsid w:val="003E38C7"/>
    <w:rsid w:val="0040096C"/>
    <w:rsid w:val="00414F1F"/>
    <w:rsid w:val="00422BEE"/>
    <w:rsid w:val="00424313"/>
    <w:rsid w:val="0043125D"/>
    <w:rsid w:val="0043502B"/>
    <w:rsid w:val="004443AC"/>
    <w:rsid w:val="00444B02"/>
    <w:rsid w:val="00451E28"/>
    <w:rsid w:val="00462C62"/>
    <w:rsid w:val="00465D36"/>
    <w:rsid w:val="004C17EE"/>
    <w:rsid w:val="004C4BDF"/>
    <w:rsid w:val="004D1187"/>
    <w:rsid w:val="004D3AA0"/>
    <w:rsid w:val="004E1987"/>
    <w:rsid w:val="004E2E15"/>
    <w:rsid w:val="004E6E3C"/>
    <w:rsid w:val="00520898"/>
    <w:rsid w:val="00523621"/>
    <w:rsid w:val="00524986"/>
    <w:rsid w:val="005268F6"/>
    <w:rsid w:val="00534284"/>
    <w:rsid w:val="0054140F"/>
    <w:rsid w:val="00547DB7"/>
    <w:rsid w:val="00557717"/>
    <w:rsid w:val="00576A86"/>
    <w:rsid w:val="005F4F09"/>
    <w:rsid w:val="00603F73"/>
    <w:rsid w:val="0061431B"/>
    <w:rsid w:val="00622BAA"/>
    <w:rsid w:val="006306CF"/>
    <w:rsid w:val="00644E9A"/>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3019"/>
    <w:rsid w:val="00754801"/>
    <w:rsid w:val="00761441"/>
    <w:rsid w:val="0076171E"/>
    <w:rsid w:val="00795365"/>
    <w:rsid w:val="007A0FC2"/>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903896"/>
    <w:rsid w:val="00906F3D"/>
    <w:rsid w:val="00927705"/>
    <w:rsid w:val="0094424E"/>
    <w:rsid w:val="00955642"/>
    <w:rsid w:val="009622DF"/>
    <w:rsid w:val="0096493F"/>
    <w:rsid w:val="00967DFF"/>
    <w:rsid w:val="00994341"/>
    <w:rsid w:val="009D1A48"/>
    <w:rsid w:val="009E1CE7"/>
    <w:rsid w:val="009E461A"/>
    <w:rsid w:val="009E4EA5"/>
    <w:rsid w:val="009F164B"/>
    <w:rsid w:val="009F323C"/>
    <w:rsid w:val="00A3392B"/>
    <w:rsid w:val="00A46717"/>
    <w:rsid w:val="00A85E34"/>
    <w:rsid w:val="00A91436"/>
    <w:rsid w:val="00A9144F"/>
    <w:rsid w:val="00A94B64"/>
    <w:rsid w:val="00AA3229"/>
    <w:rsid w:val="00AA7596"/>
    <w:rsid w:val="00AB3AE3"/>
    <w:rsid w:val="00AB5E52"/>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C22D93"/>
    <w:rsid w:val="00C23307"/>
    <w:rsid w:val="00C23458"/>
    <w:rsid w:val="00C23AC9"/>
    <w:rsid w:val="00C31120"/>
    <w:rsid w:val="00C34482"/>
    <w:rsid w:val="00C43648"/>
    <w:rsid w:val="00C50A9F"/>
    <w:rsid w:val="00C642FA"/>
    <w:rsid w:val="00C770E3"/>
    <w:rsid w:val="00CC7622"/>
    <w:rsid w:val="00CD608F"/>
    <w:rsid w:val="00CF6BB7"/>
    <w:rsid w:val="00D04AA4"/>
    <w:rsid w:val="00D27982"/>
    <w:rsid w:val="00D33B86"/>
    <w:rsid w:val="00D44968"/>
    <w:rsid w:val="00D53924"/>
    <w:rsid w:val="00D55D0C"/>
    <w:rsid w:val="00D96D8C"/>
    <w:rsid w:val="00DA2495"/>
    <w:rsid w:val="00DA5D30"/>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C37E9"/>
    <w:rsid w:val="00F038D8"/>
    <w:rsid w:val="00F06995"/>
    <w:rsid w:val="00F12D66"/>
    <w:rsid w:val="00F13623"/>
    <w:rsid w:val="00F44D1D"/>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3">
    <w:name w:val="heading 3"/>
    <w:basedOn w:val="a"/>
    <w:next w:val="a"/>
    <w:link w:val="30"/>
    <w:qFormat/>
    <w:rsid w:val="00DA5D30"/>
    <w:pPr>
      <w:keepNext/>
      <w:spacing w:line="360" w:lineRule="auto"/>
      <w:jc w:val="both"/>
      <w:outlineLvl w:val="2"/>
    </w:pPr>
    <w:rPr>
      <w:b/>
      <w:bCs/>
      <w:sz w:val="20"/>
      <w:lang w:eastAsia="he-IL"/>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character" w:customStyle="1" w:styleId="30">
    <w:name w:val="כותרת 3 תו"/>
    <w:basedOn w:val="a0"/>
    <w:link w:val="3"/>
    <w:rsid w:val="00DA5D30"/>
    <w:rPr>
      <w:rFonts w:cs="David"/>
      <w:b/>
      <w:bCs/>
      <w:noProof/>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663216">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52825199">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6377AB" w:rsidP="006377AB">
          <w:pPr>
            <w:pStyle w:val="D290653DA13E4E738B7E725F79D7332920"/>
          </w:pPr>
          <w:r>
            <w:rPr>
              <w:rFonts w:hint="eastAsia"/>
              <w:sz w:val="20"/>
              <w:szCs w:val="20"/>
              <w:rtl/>
            </w:rPr>
            <w:t>מספר</w:t>
          </w:r>
          <w:r>
            <w:rPr>
              <w:sz w:val="20"/>
              <w:szCs w:val="20"/>
              <w:rtl/>
            </w:rPr>
            <w:t xml:space="preserve"> תיק חיצוני</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6377AB" w:rsidP="006377AB">
          <w:pPr>
            <w:pStyle w:val="7D8E46D2581B4CD9ACC623ACA7D52F755"/>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6377AB" w:rsidP="006377AB">
          <w:pPr>
            <w:pStyle w:val="C3B0FBA23B684176B12DDEEA2C39785F5"/>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48651F"/>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42C64"/>
    <w:rsid w:val="00B50DB2"/>
    <w:rsid w:val="00B91FA3"/>
    <w:rsid w:val="00BE655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838</Words>
  <Characters>4194</Characters>
  <Application>Microsoft Office Word</Application>
  <DocSecurity>0</DocSecurity>
  <Lines>34</Lines>
  <Paragraphs>10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2025-02-19T12:15:00Z</dcterms:created>
  <dcterms:modified xsi:type="dcterms:W3CDTF">2025-02-19T12:15:00Z</dcterms:modified>
</cp:coreProperties>
</file>