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F0335E" w:rsidRDefault="004C5CA7" w:rsidP="004C5CA7">
            <w:pPr>
              <w:jc w:val="both"/>
              <w:rPr>
                <w:b/>
                <w:bCs/>
                <w:sz w:val="28"/>
                <w:szCs w:val="28"/>
              </w:rPr>
            </w:pPr>
            <w:bookmarkStart w:id="0" w:name="_GoBack"/>
            <w:bookmarkEnd w:id="0"/>
            <w:r w:rsidRPr="00F0335E">
              <w:rPr>
                <w:rFonts w:hint="cs"/>
                <w:b/>
                <w:bCs/>
                <w:sz w:val="28"/>
                <w:szCs w:val="28"/>
                <w:rtl/>
              </w:rPr>
              <w:t xml:space="preserve">לפני </w:t>
            </w:r>
            <w:r w:rsidRPr="00F0335E">
              <w:rPr>
                <w:rFonts w:ascii="Arial" w:hAnsi="Arial" w:hint="cs"/>
                <w:b/>
                <w:bCs/>
                <w:sz w:val="28"/>
                <w:szCs w:val="28"/>
                <w:rtl/>
              </w:rPr>
              <w:t>כבוד ה</w:t>
            </w:r>
            <w:sdt>
              <w:sdtPr>
                <w:rPr>
                  <w:sz w:val="28"/>
                  <w:szCs w:val="28"/>
                  <w:rtl/>
                </w:rPr>
                <w:alias w:val="1574"/>
                <w:tag w:val="1574"/>
                <w:id w:val="-868990752"/>
                <w:text w:multiLine="1"/>
              </w:sdtPr>
              <w:sdtEndPr/>
              <w:sdtContent>
                <w:r w:rsidRPr="00F0335E">
                  <w:rPr>
                    <w:rFonts w:ascii="Arial" w:hAnsi="Arial"/>
                    <w:b/>
                    <w:bCs/>
                    <w:sz w:val="28"/>
                    <w:szCs w:val="28"/>
                    <w:rtl/>
                  </w:rPr>
                  <w:t>שופט</w:t>
                </w:r>
              </w:sdtContent>
            </w:sdt>
            <w:r w:rsidRPr="00F0335E">
              <w:rPr>
                <w:rFonts w:ascii="Arial" w:hAnsi="Arial" w:hint="cs"/>
                <w:b/>
                <w:bCs/>
                <w:sz w:val="28"/>
                <w:szCs w:val="28"/>
                <w:rtl/>
              </w:rPr>
              <w:t xml:space="preserve"> </w:t>
            </w:r>
            <w:sdt>
              <w:sdtPr>
                <w:rPr>
                  <w:sz w:val="28"/>
                  <w:szCs w:val="28"/>
                  <w:rtl/>
                </w:rPr>
                <w:alias w:val="1573"/>
                <w:tag w:val="1573"/>
                <w:id w:val="407734867"/>
                <w:text w:multiLine="1"/>
              </w:sdtPr>
              <w:sdtEndPr/>
              <w:sdtContent>
                <w:r w:rsidRPr="00F0335E">
                  <w:rPr>
                    <w:rFonts w:ascii="Arial" w:hAnsi="Arial"/>
                    <w:b/>
                    <w:bCs/>
                    <w:sz w:val="28"/>
                    <w:szCs w:val="28"/>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F0335E">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r w:rsidR="00F0335E">
                  <w:rPr>
                    <w:rFonts w:hint="cs"/>
                    <w:b/>
                    <w:bCs/>
                    <w:noProof w:val="0"/>
                    <w:sz w:val="26"/>
                    <w:szCs w:val="26"/>
                    <w:rtl/>
                  </w:rPr>
                  <w:t>ת</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דלית כרמי</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F0335E">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F0335E">
                  <w:rPr>
                    <w:rFonts w:hint="cs"/>
                    <w:b/>
                    <w:bCs/>
                    <w:noProof w:val="0"/>
                    <w:sz w:val="26"/>
                    <w:szCs w:val="26"/>
                    <w:rtl/>
                  </w:rPr>
                  <w:t>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7A0F18" w:rsidP="00590BFF">
            <w:pPr>
              <w:suppressLineNumbers/>
            </w:pPr>
            <w:sdt>
              <w:sdtPr>
                <w:rPr>
                  <w:rtl/>
                </w:rPr>
                <w:alias w:val="1571"/>
                <w:tag w:val="1571"/>
                <w:id w:val="1028836282"/>
                <w:text w:multiLine="1"/>
              </w:sdtPr>
              <w:sdtEndPr/>
              <w:sdtContent>
                <w:r w:rsidR="00590BFF">
                  <w:rPr>
                    <w:rFonts w:ascii="Arial" w:hAnsi="Arial"/>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590BFF">
                  <w:rPr>
                    <w:rFonts w:ascii="Arial" w:hAnsi="Arial"/>
                    <w:b/>
                    <w:bCs/>
                    <w:noProof w:val="0"/>
                    <w:sz w:val="26"/>
                    <w:szCs w:val="26"/>
                    <w:rtl/>
                  </w:rPr>
                  <w:t>עדי מג'ר</w:t>
                </w:r>
              </w:sdtContent>
            </w:sdt>
          </w:p>
          <w:p w:rsidR="00590BFF" w:rsidRDefault="00590BFF" w:rsidP="00590BFF">
            <w:pPr>
              <w:suppressLineNumbers/>
            </w:pPr>
          </w:p>
        </w:tc>
      </w:tr>
    </w:tbl>
    <w:p w:rsidR="00F0335E" w:rsidRPr="00F0335E" w:rsidRDefault="00F0335E" w:rsidP="00F0335E">
      <w:pPr>
        <w:suppressLineNumbers/>
        <w:ind w:left="-624"/>
        <w:rPr>
          <w:rFonts w:ascii="Arial (W1)" w:hAnsi="Arial (W1)"/>
          <w:rtl/>
        </w:rPr>
      </w:pPr>
      <w:r w:rsidRPr="00F0335E">
        <w:rPr>
          <w:rFonts w:ascii="Arial (W1)" w:hAnsi="Arial (W1)" w:hint="cs"/>
          <w:rtl/>
        </w:rPr>
        <w:t>ב"כ התובעת:</w:t>
      </w:r>
      <w:r w:rsidRPr="00F0335E">
        <w:rPr>
          <w:rFonts w:ascii="Arial (W1)" w:hAnsi="Arial (W1)"/>
          <w:rtl/>
        </w:rPr>
        <w:tab/>
      </w:r>
      <w:r w:rsidRPr="00F0335E">
        <w:rPr>
          <w:rFonts w:ascii="Arial (W1)" w:hAnsi="Arial (W1)" w:hint="cs"/>
          <w:rtl/>
        </w:rPr>
        <w:t xml:space="preserve">עו"ד אורון שוורץ, ממשרד שוורץ </w:t>
      </w:r>
      <w:r w:rsidRPr="00F0335E">
        <w:rPr>
          <w:rFonts w:ascii="Arial (W1)" w:hAnsi="Arial (W1)"/>
          <w:rtl/>
        </w:rPr>
        <w:t>–</w:t>
      </w:r>
      <w:r w:rsidRPr="00F0335E">
        <w:rPr>
          <w:rFonts w:ascii="Arial (W1)" w:hAnsi="Arial (W1)" w:hint="cs"/>
          <w:rtl/>
        </w:rPr>
        <w:t xml:space="preserve"> נרקיס ושות'</w:t>
      </w:r>
    </w:p>
    <w:p w:rsidR="00F0335E" w:rsidRPr="00F0335E" w:rsidRDefault="00F0335E" w:rsidP="00F0335E">
      <w:pPr>
        <w:suppressLineNumbers/>
        <w:ind w:left="-624"/>
        <w:rPr>
          <w:rFonts w:ascii="Arial (W1)" w:hAnsi="Arial (W1)"/>
          <w:rtl/>
        </w:rPr>
      </w:pPr>
      <w:r w:rsidRPr="00F0335E">
        <w:rPr>
          <w:rFonts w:ascii="Arial (W1)" w:hAnsi="Arial (W1)" w:hint="cs"/>
          <w:rtl/>
        </w:rPr>
        <w:t>ב"כ הנתבעת:</w:t>
      </w:r>
      <w:r w:rsidRPr="00F0335E">
        <w:rPr>
          <w:rFonts w:ascii="Arial (W1)" w:hAnsi="Arial (W1)"/>
          <w:rtl/>
        </w:rPr>
        <w:tab/>
      </w:r>
      <w:r w:rsidRPr="00F0335E">
        <w:rPr>
          <w:rFonts w:ascii="Arial (W1)" w:hAnsi="Arial (W1)" w:hint="cs"/>
          <w:rtl/>
        </w:rPr>
        <w:t>עו"ד רועי דותן, מינוי מטעם הלשכה לסיוע משפטי</w:t>
      </w:r>
    </w:p>
    <w:p w:rsidR="00F0335E" w:rsidRPr="00E13360" w:rsidRDefault="00F0335E"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sidRPr="00F0335E">
              <w:rPr>
                <w:rFonts w:ascii="Arial" w:hAnsi="Arial"/>
                <w:b/>
                <w:bCs/>
                <w:noProof w:val="0"/>
                <w:sz w:val="34"/>
                <w:szCs w:val="34"/>
                <w:u w:val="single"/>
                <w:rtl/>
              </w:rPr>
              <w:t>פסק דין</w:t>
            </w:r>
          </w:p>
        </w:tc>
      </w:tr>
    </w:tbl>
    <w:p w:rsidR="00694556" w:rsidRDefault="00694556">
      <w:pPr>
        <w:spacing w:line="360" w:lineRule="auto"/>
        <w:jc w:val="both"/>
        <w:rPr>
          <w:rFonts w:ascii="Arial" w:hAnsi="Arial"/>
          <w:noProof w:val="0"/>
          <w:rtl/>
        </w:rPr>
      </w:pPr>
    </w:p>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3"/>
        <w:gridCol w:w="3328"/>
      </w:tblGrid>
      <w:tr w:rsidR="00F0335E" w:rsidTr="00363750">
        <w:trPr>
          <w:trHeight w:val="185"/>
        </w:trPr>
        <w:tc>
          <w:tcPr>
            <w:tcW w:w="4993" w:type="dxa"/>
          </w:tcPr>
          <w:p w:rsidR="00F0335E" w:rsidRDefault="00F0335E">
            <w:pPr>
              <w:spacing w:line="360" w:lineRule="auto"/>
              <w:rPr>
                <w:rFonts w:ascii="David" w:hAnsi="David"/>
                <w:b/>
                <w:bCs/>
                <w:noProof w:val="0"/>
              </w:rPr>
            </w:pPr>
          </w:p>
        </w:tc>
        <w:tc>
          <w:tcPr>
            <w:tcW w:w="3328" w:type="dxa"/>
            <w:hideMark/>
          </w:tcPr>
          <w:p w:rsidR="00F0335E" w:rsidRDefault="00F0335E">
            <w:pPr>
              <w:spacing w:line="360" w:lineRule="auto"/>
              <w:rPr>
                <w:rFonts w:ascii="David" w:hAnsi="David"/>
                <w:b/>
                <w:bCs/>
                <w:rtl/>
              </w:rPr>
            </w:pPr>
            <w:r>
              <w:rPr>
                <w:rFonts w:ascii="David" w:hAnsi="David"/>
                <w:rtl/>
              </w:rPr>
              <w:t xml:space="preserve"> </w:t>
            </w:r>
          </w:p>
        </w:tc>
      </w:tr>
    </w:tbl>
    <w:p w:rsidR="00F0335E" w:rsidRDefault="00F0335E" w:rsidP="00F0335E">
      <w:pPr>
        <w:pStyle w:val="af"/>
        <w:spacing w:line="360" w:lineRule="auto"/>
        <w:ind w:left="-739"/>
        <w:jc w:val="both"/>
        <w:rPr>
          <w:rFonts w:ascii="David" w:hAnsi="David" w:cs="David"/>
          <w:b/>
          <w:bCs/>
          <w:sz w:val="24"/>
          <w:szCs w:val="24"/>
          <w:u w:val="single"/>
          <w:rtl/>
        </w:rPr>
      </w:pPr>
      <w:r>
        <w:rPr>
          <w:rFonts w:ascii="David" w:hAnsi="David" w:cs="David"/>
          <w:b/>
          <w:bCs/>
          <w:sz w:val="28"/>
          <w:szCs w:val="28"/>
          <w:u w:val="single"/>
          <w:rtl/>
        </w:rPr>
        <w:t xml:space="preserve">חלק ראשון – מהות פסק הדין והמחלוקת בין הצדדים; פירוט הפרסומים המכפישים; התייחסות להליך בין הצדדים בו חויבה התובעת בתשלום </w:t>
      </w:r>
    </w:p>
    <w:p w:rsidR="00F0335E" w:rsidRDefault="00F0335E" w:rsidP="00F0335E">
      <w:pPr>
        <w:pStyle w:val="af"/>
        <w:spacing w:line="360" w:lineRule="auto"/>
        <w:ind w:left="-739"/>
        <w:jc w:val="both"/>
        <w:rPr>
          <w:rFonts w:ascii="David" w:hAnsi="David" w:cs="David"/>
          <w:sz w:val="24"/>
          <w:szCs w:val="24"/>
          <w:rtl/>
        </w:rPr>
      </w:pPr>
    </w:p>
    <w:p w:rsidR="00F0335E" w:rsidRDefault="00F0335E" w:rsidP="00F0335E">
      <w:pPr>
        <w:pStyle w:val="af"/>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מהות פסק הדין והמחלוקת בין הצדדים</w:t>
      </w: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עניינו של פסק הדין הוא תביעת לשון הרע וכן גרם הפרת חוזה על הסך של </w:t>
      </w:r>
      <w:r>
        <w:rPr>
          <w:rFonts w:ascii="David" w:hAnsi="David" w:cs="David"/>
          <w:b/>
          <w:bCs/>
          <w:sz w:val="24"/>
          <w:szCs w:val="24"/>
          <w:u w:val="single"/>
          <w:rtl/>
        </w:rPr>
        <w:t>270,000 ש"ח</w:t>
      </w:r>
      <w:r>
        <w:rPr>
          <w:rFonts w:ascii="David" w:hAnsi="David" w:cs="David"/>
          <w:sz w:val="24"/>
          <w:szCs w:val="24"/>
          <w:rtl/>
        </w:rPr>
        <w:t>.</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התביעה המתייחסת לנתבעת עותרת לפיצוי בסך של 1,100,000 ₪ שהועמד כאמור לצרכי אגרה על הסך של </w:t>
      </w:r>
      <w:r>
        <w:rPr>
          <w:rFonts w:ascii="David" w:hAnsi="David" w:cs="David"/>
          <w:b/>
          <w:bCs/>
          <w:sz w:val="24"/>
          <w:szCs w:val="24"/>
          <w:u w:val="single"/>
          <w:rtl/>
        </w:rPr>
        <w:t>270,000 ₪</w:t>
      </w:r>
      <w:r>
        <w:rPr>
          <w:rFonts w:ascii="David" w:hAnsi="David" w:cs="David"/>
          <w:sz w:val="24"/>
          <w:szCs w:val="24"/>
          <w:rtl/>
        </w:rPr>
        <w:t xml:space="preserve">. להשלמה ייאמר שהתביעה הוגשה בתחילה גם כנגד שתי נתבעות נוספות על סך כולל של 2,300,000 ₪ שהועמד לצרכי אגרה על סך של </w:t>
      </w:r>
      <w:r>
        <w:rPr>
          <w:rFonts w:ascii="David" w:hAnsi="David" w:cs="David"/>
          <w:sz w:val="24"/>
          <w:szCs w:val="24"/>
          <w:u w:val="single"/>
          <w:rtl/>
        </w:rPr>
        <w:t>500,000 ₪</w:t>
      </w:r>
      <w:r>
        <w:rPr>
          <w:rFonts w:ascii="David" w:hAnsi="David" w:cs="David"/>
          <w:sz w:val="24"/>
          <w:szCs w:val="24"/>
          <w:rtl/>
        </w:rPr>
        <w:t>. הנתבעת 2 נמחקה מההליך בפסק דין שניתן כבר בחודש יולי 2021. גם התביעה כנגד הנתבעת 3 סולקה בחודש יולי 2021 בהסכם פשרה שנערך בינה לבין התובעת. מכאן נותרה התביעה כאן כנגד הנתבעת 1.</w:t>
      </w:r>
    </w:p>
    <w:p w:rsidR="00F0335E" w:rsidRDefault="00F0335E" w:rsidP="00F0335E">
      <w:pPr>
        <w:pStyle w:val="af"/>
        <w:rPr>
          <w:rFonts w:ascii="David" w:hAnsi="David" w:cs="David"/>
          <w:sz w:val="24"/>
          <w:szCs w:val="24"/>
        </w:rPr>
      </w:pPr>
    </w:p>
    <w:p w:rsidR="00F0335E" w:rsidRDefault="00F0335E" w:rsidP="00F0335E">
      <w:pPr>
        <w:pStyle w:val="af"/>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lastRenderedPageBreak/>
        <w:t xml:space="preserve">בתמצית ייאמר שהנתבעת הייתה תלמידה של התובעת במסגרת קורס מקצועי שהעבירה התובעת בין החודשים אפריל 2019 – ספטמבר 2019. </w:t>
      </w:r>
    </w:p>
    <w:p w:rsidR="00F0335E" w:rsidRDefault="00F0335E" w:rsidP="00F0335E">
      <w:pPr>
        <w:pStyle w:val="af"/>
        <w:rPr>
          <w:rFonts w:ascii="David" w:hAnsi="David" w:cs="David"/>
          <w:sz w:val="24"/>
          <w:szCs w:val="24"/>
        </w:rPr>
      </w:pPr>
    </w:p>
    <w:p w:rsidR="00F0335E" w:rsidRDefault="00F0335E" w:rsidP="00F0335E">
      <w:pPr>
        <w:pStyle w:val="af"/>
        <w:spacing w:line="360" w:lineRule="auto"/>
        <w:ind w:left="395"/>
        <w:jc w:val="both"/>
        <w:rPr>
          <w:rFonts w:ascii="David" w:hAnsi="David" w:cs="David"/>
          <w:sz w:val="24"/>
          <w:szCs w:val="24"/>
          <w:rtl/>
        </w:rPr>
      </w:pPr>
      <w:r>
        <w:rPr>
          <w:rFonts w:ascii="David" w:hAnsi="David" w:cs="David"/>
          <w:sz w:val="24"/>
          <w:szCs w:val="24"/>
          <w:rtl/>
        </w:rPr>
        <w:t xml:space="preserve">התובעת היא כהגדרתה, אשת אופנה בעלת מוניטין רב , אשר שימשה כמעצבת הראשית של המותג הנודע "פלפל" וכעת היא בעלת סטודיו בוטיק בתל אביב ללימודי אופנה, עיצוב, תפירה. התובעת גם עוסקת בהדרכה לשם הקמת עסקים עצמאיים לייצור בגדי ים, ספורט והלבשה תחתונה.  </w:t>
      </w:r>
    </w:p>
    <w:p w:rsidR="00F0335E" w:rsidRDefault="00F0335E" w:rsidP="00F0335E">
      <w:pPr>
        <w:pStyle w:val="af"/>
        <w:spacing w:line="360" w:lineRule="auto"/>
        <w:ind w:left="755"/>
        <w:jc w:val="both"/>
        <w:rPr>
          <w:rFonts w:ascii="David" w:hAnsi="David" w:cs="David"/>
          <w:sz w:val="24"/>
          <w:szCs w:val="24"/>
          <w:rtl/>
        </w:rPr>
      </w:pP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לדברי התובעת, היא נפלה קרבן לסדרה של פרסומים מכפישים מצד הנתבעת. כעולה מכתב התביעה, הפרסומים נעשו בשלוש במות (פלטפורמות) עיקריות – </w:t>
      </w:r>
      <w:r>
        <w:rPr>
          <w:rFonts w:ascii="David" w:hAnsi="David" w:cs="David"/>
          <w:sz w:val="24"/>
          <w:szCs w:val="24"/>
          <w:u w:val="single"/>
          <w:rtl/>
        </w:rPr>
        <w:t>ראשית</w:t>
      </w:r>
      <w:r>
        <w:rPr>
          <w:rFonts w:ascii="David" w:hAnsi="David" w:cs="David"/>
          <w:sz w:val="24"/>
          <w:szCs w:val="24"/>
          <w:rtl/>
        </w:rPr>
        <w:t xml:space="preserve"> - פרסומים בפורומים שונים במרשתת (אינטרנט) ברשת החברתית פייסבוק; </w:t>
      </w:r>
      <w:r>
        <w:rPr>
          <w:rFonts w:ascii="David" w:hAnsi="David" w:cs="David"/>
          <w:sz w:val="24"/>
          <w:szCs w:val="24"/>
          <w:u w:val="single"/>
          <w:rtl/>
        </w:rPr>
        <w:t>שנית</w:t>
      </w:r>
      <w:r>
        <w:rPr>
          <w:rFonts w:ascii="David" w:hAnsi="David" w:cs="David"/>
          <w:sz w:val="24"/>
          <w:szCs w:val="24"/>
          <w:rtl/>
        </w:rPr>
        <w:t xml:space="preserve"> - פרסומים במסגרת התכתבות בין הנתבעת לבין תלמידות אחרות של התובעת; </w:t>
      </w:r>
      <w:r>
        <w:rPr>
          <w:rFonts w:ascii="David" w:hAnsi="David" w:cs="David"/>
          <w:sz w:val="24"/>
          <w:szCs w:val="24"/>
          <w:u w:val="single"/>
          <w:rtl/>
        </w:rPr>
        <w:t>שלישית</w:t>
      </w:r>
      <w:r>
        <w:rPr>
          <w:rFonts w:ascii="David" w:hAnsi="David" w:cs="David"/>
          <w:sz w:val="24"/>
          <w:szCs w:val="24"/>
          <w:rtl/>
        </w:rPr>
        <w:t xml:space="preserve"> – פרסום במסגרת תלונה למועצה הישראלית לצרכנות.</w:t>
      </w:r>
    </w:p>
    <w:p w:rsidR="00F0335E" w:rsidRDefault="00F0335E" w:rsidP="00F0335E">
      <w:pPr>
        <w:pStyle w:val="af"/>
        <w:spacing w:line="360" w:lineRule="auto"/>
        <w:ind w:left="395"/>
        <w:jc w:val="both"/>
        <w:rPr>
          <w:rFonts w:ascii="David" w:hAnsi="David" w:cs="David"/>
          <w:sz w:val="24"/>
          <w:szCs w:val="24"/>
        </w:rPr>
      </w:pPr>
    </w:p>
    <w:p w:rsidR="00F0335E" w:rsidRDefault="00F0335E" w:rsidP="00B302C9">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u w:val="single"/>
          <w:rtl/>
        </w:rPr>
        <w:t>שתי העדויות שנשמעו</w:t>
      </w:r>
      <w:r>
        <w:rPr>
          <w:rFonts w:ascii="David" w:hAnsi="David" w:cs="David"/>
          <w:sz w:val="24"/>
          <w:szCs w:val="24"/>
          <w:rtl/>
        </w:rPr>
        <w:t xml:space="preserve"> – במסגרת ההליך העידו התובעת והנתבעת בלבד. </w:t>
      </w:r>
      <w:r>
        <w:rPr>
          <w:rFonts w:ascii="David" w:hAnsi="David" w:cs="David"/>
          <w:sz w:val="24"/>
          <w:szCs w:val="24"/>
          <w:u w:val="single"/>
          <w:rtl/>
        </w:rPr>
        <w:t>לא</w:t>
      </w:r>
      <w:r>
        <w:rPr>
          <w:rFonts w:ascii="David" w:hAnsi="David" w:cs="David"/>
          <w:sz w:val="24"/>
          <w:szCs w:val="24"/>
          <w:rtl/>
        </w:rPr>
        <w:t xml:space="preserve"> העידו, למשל, תלמידות או כל צד שלישי בגינו נטען כנגד הנתבעת לעוולה של גרם הפרת </w:t>
      </w:r>
      <w:r w:rsidR="00C57E71">
        <w:rPr>
          <w:rFonts w:ascii="David" w:hAnsi="David" w:cs="David" w:hint="cs"/>
          <w:sz w:val="24"/>
          <w:szCs w:val="24"/>
          <w:rtl/>
        </w:rPr>
        <w:t>חוזה</w:t>
      </w:r>
      <w:r>
        <w:rPr>
          <w:rFonts w:ascii="David" w:hAnsi="David" w:cs="David"/>
          <w:sz w:val="24"/>
          <w:szCs w:val="24"/>
          <w:rtl/>
        </w:rPr>
        <w:t xml:space="preserve">. </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numPr>
          <w:ilvl w:val="0"/>
          <w:numId w:val="1"/>
        </w:numPr>
        <w:spacing w:line="360" w:lineRule="auto"/>
        <w:ind w:left="-172" w:hanging="284"/>
        <w:jc w:val="both"/>
        <w:rPr>
          <w:rFonts w:ascii="David" w:hAnsi="David" w:cs="David"/>
          <w:b/>
          <w:bCs/>
          <w:sz w:val="24"/>
          <w:szCs w:val="24"/>
          <w:u w:val="single"/>
        </w:rPr>
      </w:pPr>
      <w:r>
        <w:rPr>
          <w:rFonts w:ascii="David" w:hAnsi="David" w:cs="David"/>
          <w:b/>
          <w:bCs/>
          <w:sz w:val="24"/>
          <w:szCs w:val="24"/>
          <w:u w:val="single"/>
          <w:rtl/>
        </w:rPr>
        <w:t>פירוט הפרסומים המכפישים – התייחסות לשלוש המסגרות בהן הופיעו, כנטען, פרסומים מכפישים</w:t>
      </w:r>
    </w:p>
    <w:p w:rsidR="00F0335E" w:rsidRDefault="00F0335E" w:rsidP="00F0335E">
      <w:pPr>
        <w:pStyle w:val="af"/>
        <w:spacing w:line="360" w:lineRule="auto"/>
        <w:ind w:left="-172"/>
        <w:jc w:val="both"/>
        <w:rPr>
          <w:rFonts w:ascii="David" w:hAnsi="David" w:cs="David"/>
          <w:b/>
          <w:bCs/>
          <w:sz w:val="24"/>
          <w:szCs w:val="24"/>
          <w:u w:val="single"/>
        </w:rPr>
      </w:pPr>
    </w:p>
    <w:p w:rsidR="00F0335E" w:rsidRDefault="00F0335E" w:rsidP="00F0335E">
      <w:pPr>
        <w:pStyle w:val="af"/>
        <w:numPr>
          <w:ilvl w:val="1"/>
          <w:numId w:val="1"/>
        </w:numPr>
        <w:spacing w:line="360" w:lineRule="auto"/>
        <w:ind w:left="395" w:hanging="567"/>
        <w:jc w:val="both"/>
        <w:rPr>
          <w:rFonts w:ascii="David" w:hAnsi="David" w:cs="David"/>
          <w:b/>
          <w:bCs/>
          <w:sz w:val="24"/>
          <w:szCs w:val="24"/>
        </w:rPr>
      </w:pPr>
      <w:r>
        <w:rPr>
          <w:rFonts w:ascii="David" w:hAnsi="David" w:cs="David"/>
          <w:b/>
          <w:bCs/>
          <w:sz w:val="24"/>
          <w:szCs w:val="24"/>
          <w:u w:val="single"/>
          <w:rtl/>
        </w:rPr>
        <w:t>מסגרת אחת מתוך שלוש מסגרות הפרסומים המכפישים - פרסומים במרשתת (טענה לשש אמירות מכפישות)</w:t>
      </w:r>
    </w:p>
    <w:p w:rsidR="00F0335E" w:rsidRDefault="00F0335E" w:rsidP="00F0335E">
      <w:pPr>
        <w:pStyle w:val="af"/>
        <w:numPr>
          <w:ilvl w:val="0"/>
          <w:numId w:val="2"/>
        </w:numPr>
        <w:spacing w:line="360" w:lineRule="auto"/>
        <w:jc w:val="both"/>
        <w:rPr>
          <w:rFonts w:ascii="David" w:hAnsi="David" w:cs="David"/>
          <w:sz w:val="24"/>
          <w:szCs w:val="24"/>
        </w:rPr>
      </w:pPr>
      <w:r>
        <w:rPr>
          <w:rFonts w:ascii="David" w:hAnsi="David" w:cs="David"/>
          <w:sz w:val="24"/>
          <w:szCs w:val="24"/>
          <w:rtl/>
        </w:rPr>
        <w:t>התובעת טוענת שהנתבעת העלתה פרסום משמיץ "בלכל הפחות" ארבעה דפים שונים ברשתות חברתיות במרשתת. הפרסום הועלה כדלקמן:</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sz w:val="24"/>
          <w:szCs w:val="24"/>
          <w:rtl/>
        </w:rPr>
        <w:t>"פורום התפירה הגדול בארץ ישראל, המונה למעלה מ – 14,000 חברים;</w:t>
      </w:r>
    </w:p>
    <w:p w:rsidR="00F0335E" w:rsidRDefault="00F0335E" w:rsidP="00F0335E">
      <w:pPr>
        <w:pStyle w:val="af"/>
        <w:numPr>
          <w:ilvl w:val="0"/>
          <w:numId w:val="3"/>
        </w:numPr>
        <w:spacing w:line="360" w:lineRule="auto"/>
        <w:ind w:left="1440" w:hanging="620"/>
        <w:jc w:val="both"/>
        <w:rPr>
          <w:rFonts w:ascii="David" w:hAnsi="David" w:cs="David"/>
          <w:sz w:val="24"/>
          <w:szCs w:val="24"/>
        </w:rPr>
      </w:pPr>
      <w:r>
        <w:rPr>
          <w:rFonts w:ascii="David" w:hAnsi="David" w:cs="David"/>
          <w:sz w:val="24"/>
          <w:szCs w:val="24"/>
          <w:rtl/>
        </w:rPr>
        <w:t>פורום תפירה בפייסבוק, המונה למעלה מ – 29,000 חברים וממנו הוסר לאחר שעות ארוכות ולאחר התערבות התובעת;</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sz w:val="24"/>
          <w:szCs w:val="24"/>
          <w:rtl/>
        </w:rPr>
        <w:t>פורום תפירה ועיצובים באהבה;</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פרסום בדף הפרטי של הנתבעת במסגרת הרשת החברתית פייסבוק.</w:t>
      </w:r>
    </w:p>
    <w:p w:rsidR="00F0335E" w:rsidRDefault="00F0335E" w:rsidP="00F0335E">
      <w:pPr>
        <w:pStyle w:val="af"/>
        <w:spacing w:line="360" w:lineRule="auto"/>
        <w:ind w:left="-172"/>
        <w:jc w:val="both"/>
        <w:rPr>
          <w:rFonts w:ascii="David" w:hAnsi="David" w:cs="David"/>
          <w:sz w:val="24"/>
          <w:szCs w:val="24"/>
          <w:u w:val="single"/>
        </w:rPr>
      </w:pPr>
    </w:p>
    <w:p w:rsidR="00F0335E" w:rsidRPr="00363750" w:rsidRDefault="00F0335E" w:rsidP="00794214">
      <w:pPr>
        <w:pStyle w:val="af"/>
        <w:numPr>
          <w:ilvl w:val="0"/>
          <w:numId w:val="2"/>
        </w:numPr>
        <w:spacing w:line="360" w:lineRule="auto"/>
        <w:jc w:val="both"/>
        <w:rPr>
          <w:rFonts w:ascii="David" w:hAnsi="David" w:cs="David"/>
          <w:sz w:val="24"/>
          <w:szCs w:val="24"/>
        </w:rPr>
      </w:pPr>
      <w:r>
        <w:rPr>
          <w:rFonts w:ascii="David" w:hAnsi="David" w:cs="David"/>
          <w:sz w:val="24"/>
          <w:szCs w:val="24"/>
          <w:rtl/>
        </w:rPr>
        <w:t xml:space="preserve">הפרסום אשר צוטט בכתב התביעה נעשה במסגרת "פוסט פרגון" שנועד להחמיא למורה אחרת של הנתבעת. </w:t>
      </w:r>
      <w:r w:rsidR="00794214">
        <w:rPr>
          <w:rFonts w:ascii="David" w:hAnsi="David" w:cs="David" w:hint="cs"/>
          <w:sz w:val="24"/>
          <w:szCs w:val="24"/>
          <w:rtl/>
        </w:rPr>
        <w:t xml:space="preserve">אותה </w:t>
      </w:r>
      <w:r>
        <w:rPr>
          <w:rFonts w:ascii="David" w:hAnsi="David" w:cs="David"/>
          <w:sz w:val="24"/>
          <w:szCs w:val="24"/>
          <w:rtl/>
        </w:rPr>
        <w:t xml:space="preserve">מורה </w:t>
      </w:r>
      <w:r w:rsidR="00794214">
        <w:rPr>
          <w:rFonts w:ascii="David" w:hAnsi="David" w:cs="David" w:hint="cs"/>
          <w:sz w:val="24"/>
          <w:szCs w:val="24"/>
          <w:rtl/>
        </w:rPr>
        <w:t>נתבעה אף היא כאן ונמחקה מההליך</w:t>
      </w:r>
      <w:r>
        <w:rPr>
          <w:rFonts w:ascii="David" w:hAnsi="David" w:cs="David"/>
          <w:sz w:val="24"/>
          <w:szCs w:val="24"/>
          <w:rtl/>
        </w:rPr>
        <w:t xml:space="preserve">. </w:t>
      </w:r>
      <w:r w:rsidR="00363750">
        <w:rPr>
          <w:rFonts w:ascii="David" w:hAnsi="David" w:cs="David" w:hint="cs"/>
          <w:sz w:val="24"/>
          <w:szCs w:val="24"/>
          <w:rtl/>
        </w:rPr>
        <w:t xml:space="preserve"> </w:t>
      </w:r>
      <w:r w:rsidRPr="00363750">
        <w:rPr>
          <w:rFonts w:ascii="David" w:hAnsi="David" w:cs="David"/>
          <w:sz w:val="24"/>
          <w:szCs w:val="24"/>
          <w:rtl/>
        </w:rPr>
        <w:t>במסגרת פרסום ב"פורום תפירה ועיצובים באהבה " מיום 15/7/2020 נרשם, מבלי שהוזכר שמה של התובעת, כך:</w:t>
      </w:r>
    </w:p>
    <w:p w:rsidR="00F0335E" w:rsidRDefault="00F0335E" w:rsidP="00B302C9">
      <w:pPr>
        <w:pStyle w:val="af"/>
        <w:spacing w:line="360" w:lineRule="auto"/>
        <w:ind w:left="2494" w:hanging="993"/>
        <w:jc w:val="both"/>
        <w:rPr>
          <w:rFonts w:ascii="David" w:hAnsi="David" w:cs="David"/>
          <w:b/>
          <w:bCs/>
          <w:sz w:val="24"/>
          <w:szCs w:val="24"/>
          <w:rtl/>
        </w:rPr>
      </w:pPr>
      <w:r>
        <w:rPr>
          <w:rFonts w:ascii="David" w:hAnsi="David" w:cs="David"/>
          <w:b/>
          <w:bCs/>
          <w:sz w:val="24"/>
          <w:szCs w:val="24"/>
          <w:rtl/>
        </w:rPr>
        <w:t>"אני רוצה לפרגן למורה המדהימה שלי יבגניה גינזבורג שלמדתי אצלה בגדי ים.</w:t>
      </w:r>
    </w:p>
    <w:p w:rsidR="00F0335E" w:rsidRDefault="00F0335E" w:rsidP="00B302C9">
      <w:pPr>
        <w:pStyle w:val="af"/>
        <w:spacing w:line="360" w:lineRule="auto"/>
        <w:ind w:left="1643"/>
        <w:jc w:val="both"/>
        <w:rPr>
          <w:rFonts w:ascii="David" w:hAnsi="David" w:cs="David"/>
          <w:sz w:val="24"/>
          <w:szCs w:val="24"/>
          <w:rtl/>
        </w:rPr>
      </w:pPr>
      <w:r>
        <w:rPr>
          <w:rFonts w:ascii="David" w:hAnsi="David" w:cs="David"/>
          <w:b/>
          <w:bCs/>
          <w:sz w:val="24"/>
          <w:szCs w:val="24"/>
          <w:rtl/>
        </w:rPr>
        <w:t>הגעתי אליה "בטעות" או בעצם במזל רב אחרי חוויה מאוד רעה שהיתה לי בקורס בגדי ים של מישהי מהקבוצה, לא אציין שמות. ושילמתי ממיטב כספי, נשארו לי 6 שעות</w:t>
      </w:r>
      <w:r>
        <w:rPr>
          <w:rFonts w:ascii="David" w:hAnsi="David" w:cs="David"/>
          <w:sz w:val="24"/>
          <w:szCs w:val="24"/>
          <w:rtl/>
        </w:rPr>
        <w:t>"</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spacing w:line="360" w:lineRule="auto"/>
        <w:ind w:left="755"/>
        <w:jc w:val="both"/>
        <w:rPr>
          <w:rFonts w:ascii="David" w:hAnsi="David" w:cs="David"/>
          <w:sz w:val="24"/>
          <w:szCs w:val="24"/>
        </w:rPr>
      </w:pPr>
      <w:r>
        <w:rPr>
          <w:rFonts w:ascii="David" w:hAnsi="David" w:cs="David"/>
          <w:sz w:val="24"/>
          <w:szCs w:val="24"/>
          <w:rtl/>
        </w:rPr>
        <w:t>במסגרת פרסום ב"פורום התפירה הגדול בארץ ישראל" מיום 14/7/2020 נרשם, מבלי שהוזכר שמה של התובעת, כך:</w:t>
      </w:r>
    </w:p>
    <w:p w:rsidR="00F0335E" w:rsidRDefault="00F0335E" w:rsidP="00B302C9">
      <w:pPr>
        <w:pStyle w:val="af"/>
        <w:spacing w:line="360" w:lineRule="auto"/>
        <w:ind w:left="2494" w:hanging="993"/>
        <w:jc w:val="both"/>
        <w:rPr>
          <w:rFonts w:ascii="David" w:hAnsi="David" w:cs="David"/>
          <w:b/>
          <w:bCs/>
          <w:sz w:val="24"/>
          <w:szCs w:val="24"/>
        </w:rPr>
      </w:pPr>
      <w:r>
        <w:rPr>
          <w:rFonts w:ascii="David" w:hAnsi="David" w:cs="David"/>
          <w:b/>
          <w:bCs/>
          <w:sz w:val="24"/>
          <w:szCs w:val="24"/>
          <w:rtl/>
        </w:rPr>
        <w:t>"אני רוצה לפרגן למורה המדהימה שלי יבגניה גינזבורג שלמדתי אצלה בגדי ים.</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t>הגעתי אליה "בטעות" או בעצם במזל רב אחר</w:t>
      </w:r>
      <w:r w:rsidR="00B302C9">
        <w:rPr>
          <w:rFonts w:ascii="David" w:hAnsi="David" w:cs="David"/>
          <w:b/>
          <w:bCs/>
          <w:sz w:val="24"/>
          <w:szCs w:val="24"/>
          <w:rtl/>
        </w:rPr>
        <w:t>י חוויה מאוד רעה שהיתה לי בקורס</w:t>
      </w:r>
      <w:r w:rsidR="00B302C9">
        <w:rPr>
          <w:rFonts w:ascii="David" w:hAnsi="David" w:cs="David" w:hint="cs"/>
          <w:b/>
          <w:bCs/>
          <w:sz w:val="24"/>
          <w:szCs w:val="24"/>
          <w:rtl/>
        </w:rPr>
        <w:t xml:space="preserve"> </w:t>
      </w:r>
      <w:r>
        <w:rPr>
          <w:rFonts w:ascii="David" w:hAnsi="David" w:cs="David"/>
          <w:b/>
          <w:bCs/>
          <w:sz w:val="24"/>
          <w:szCs w:val="24"/>
          <w:rtl/>
        </w:rPr>
        <w:t>בגדי ים, ושילמתי ממיטב כספי, נשארו לי 6 שעות שהמורה לא מוכנה לתת לי אותם כבר מעל שנה בטענה שתכניס אותי מעל בסיס מקום פנוי.</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t>(מיותר לציין שאני גם לא רוצה אותם וגם כסף היא לא מוכנה להחזיר וגם בקורס הזה לא למדתי כלום אחרי כמה חודשים טובים).</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lastRenderedPageBreak/>
        <w:t>אפילו לא להשחיל מכונה, זה היה פשוט קחי גזרות תעתיקי ובקושי יחס קיבלנו. וחוסר סבלנות והתנהגות מגעילה ברמה הלא הגיונית כולל חוסר מענה.</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t>כמעט ויתרתי על החלום שלי.</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t>כמעט ויתרתי על החלום שלי.</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t>ואז מצאתי את יבגנייה</w:t>
      </w:r>
    </w:p>
    <w:p w:rsidR="00F0335E" w:rsidRDefault="00F0335E" w:rsidP="00B302C9">
      <w:pPr>
        <w:pStyle w:val="af"/>
        <w:spacing w:line="360" w:lineRule="auto"/>
        <w:ind w:left="1643"/>
        <w:jc w:val="both"/>
        <w:rPr>
          <w:rFonts w:ascii="David" w:hAnsi="David" w:cs="David"/>
          <w:b/>
          <w:bCs/>
          <w:sz w:val="24"/>
          <w:szCs w:val="24"/>
          <w:rtl/>
        </w:rPr>
      </w:pPr>
      <w:r>
        <w:rPr>
          <w:rFonts w:ascii="David" w:hAnsi="David" w:cs="David"/>
          <w:b/>
          <w:bCs/>
          <w:sz w:val="24"/>
          <w:szCs w:val="24"/>
          <w:rtl/>
        </w:rPr>
        <w:t>..."</w:t>
      </w:r>
    </w:p>
    <w:p w:rsidR="00F0335E" w:rsidRDefault="00F0335E" w:rsidP="00F0335E">
      <w:pPr>
        <w:pStyle w:val="af"/>
        <w:spacing w:line="360" w:lineRule="auto"/>
        <w:ind w:left="755"/>
        <w:jc w:val="both"/>
        <w:rPr>
          <w:rFonts w:ascii="David" w:hAnsi="David" w:cs="David"/>
          <w:sz w:val="24"/>
          <w:szCs w:val="24"/>
          <w:rtl/>
        </w:rPr>
      </w:pPr>
      <w:r>
        <w:rPr>
          <w:rFonts w:ascii="David" w:hAnsi="David" w:cs="David"/>
          <w:sz w:val="24"/>
          <w:szCs w:val="24"/>
          <w:rtl/>
        </w:rPr>
        <w:t xml:space="preserve">ובשלב זה המשיך הפרסום תוך חלוקת שבחים למורה החדשה, גב' יבגניה גינזבורג. </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numPr>
          <w:ilvl w:val="0"/>
          <w:numId w:val="2"/>
        </w:numPr>
        <w:spacing w:line="360" w:lineRule="auto"/>
        <w:jc w:val="both"/>
        <w:rPr>
          <w:rFonts w:ascii="David" w:hAnsi="David" w:cs="David"/>
          <w:sz w:val="24"/>
          <w:szCs w:val="24"/>
        </w:rPr>
      </w:pPr>
      <w:r>
        <w:rPr>
          <w:rFonts w:ascii="David" w:hAnsi="David" w:cs="David"/>
          <w:sz w:val="24"/>
          <w:szCs w:val="24"/>
          <w:u w:val="single"/>
          <w:rtl/>
        </w:rPr>
        <w:t>שש האמירות המכפישות בפרסומים אלה</w:t>
      </w:r>
      <w:r>
        <w:rPr>
          <w:rFonts w:ascii="David" w:hAnsi="David" w:cs="David"/>
          <w:sz w:val="24"/>
          <w:szCs w:val="24"/>
          <w:rtl/>
        </w:rPr>
        <w:t xml:space="preserve"> - התובעת מלינה בכתב התביעה על סדרה של "אמירות חמורות" אשר "כוללות בין היתר טענות שקריות". יודגש שחלק מהאמירות כלל לא הופיעו בפרסומים בפורומים בכתב התביעה. האמירות להן מתייחסת התובעת הן:</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b/>
          <w:bCs/>
          <w:sz w:val="24"/>
          <w:szCs w:val="24"/>
          <w:rtl/>
        </w:rPr>
        <w:t>"ממש הונאה ורמאות"</w:t>
      </w:r>
      <w:r>
        <w:rPr>
          <w:rFonts w:ascii="David" w:hAnsi="David" w:cs="David"/>
          <w:sz w:val="24"/>
          <w:szCs w:val="24"/>
          <w:rtl/>
        </w:rPr>
        <w:t xml:space="preserve">  - אמירה שלא הופיעה בפרסום בפורומים במרשתת;</w:t>
      </w:r>
    </w:p>
    <w:p w:rsidR="00F0335E" w:rsidRDefault="00F0335E" w:rsidP="00B302C9">
      <w:pPr>
        <w:pStyle w:val="af"/>
        <w:numPr>
          <w:ilvl w:val="0"/>
          <w:numId w:val="3"/>
        </w:numPr>
        <w:spacing w:line="360" w:lineRule="auto"/>
        <w:ind w:left="1440" w:hanging="620"/>
        <w:jc w:val="both"/>
        <w:rPr>
          <w:rFonts w:ascii="David" w:hAnsi="David" w:cs="David"/>
          <w:sz w:val="24"/>
          <w:szCs w:val="24"/>
        </w:rPr>
      </w:pPr>
      <w:r>
        <w:rPr>
          <w:rFonts w:ascii="David" w:hAnsi="David" w:cs="David"/>
          <w:b/>
          <w:bCs/>
          <w:sz w:val="24"/>
          <w:szCs w:val="24"/>
          <w:rtl/>
        </w:rPr>
        <w:t>"גם בקורס הזה לא למדתי כלום אחרי כמה חודשים טובים אפילו לא להשחיל מכונה</w:t>
      </w:r>
      <w:r>
        <w:rPr>
          <w:rFonts w:ascii="David" w:hAnsi="David" w:cs="David"/>
          <w:sz w:val="24"/>
          <w:szCs w:val="24"/>
          <w:rtl/>
        </w:rPr>
        <w:t>";</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b/>
          <w:bCs/>
          <w:sz w:val="24"/>
          <w:szCs w:val="24"/>
          <w:rtl/>
        </w:rPr>
        <w:t>"זה היה פשוט קחי גזרות תעתיקי</w:t>
      </w:r>
      <w:r>
        <w:rPr>
          <w:rFonts w:ascii="David" w:hAnsi="David" w:cs="David"/>
          <w:sz w:val="24"/>
          <w:szCs w:val="24"/>
          <w:rtl/>
        </w:rPr>
        <w:t>";</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b/>
          <w:bCs/>
          <w:sz w:val="24"/>
          <w:szCs w:val="24"/>
          <w:rtl/>
        </w:rPr>
        <w:t>"בקושי יחס קיבלנו";</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b/>
          <w:bCs/>
          <w:sz w:val="24"/>
          <w:szCs w:val="24"/>
          <w:rtl/>
        </w:rPr>
        <w:t>"חוסר סבלנות והתנהגות מגעילה ברמה הלא הגיונית כולל חוסר מענה</w:t>
      </w:r>
      <w:r>
        <w:rPr>
          <w:rFonts w:ascii="David" w:hAnsi="David" w:cs="David"/>
          <w:sz w:val="24"/>
          <w:szCs w:val="24"/>
          <w:rtl/>
        </w:rPr>
        <w:t>";</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b/>
          <w:bCs/>
          <w:sz w:val="24"/>
          <w:szCs w:val="24"/>
          <w:rtl/>
        </w:rPr>
        <w:t>"המורה לא מוכנה" להשיב שש שעות לימוד.</w:t>
      </w:r>
    </w:p>
    <w:p w:rsidR="00F0335E" w:rsidRDefault="00F0335E" w:rsidP="00F0335E">
      <w:pPr>
        <w:pStyle w:val="af"/>
        <w:spacing w:line="360" w:lineRule="auto"/>
        <w:ind w:left="820"/>
        <w:jc w:val="both"/>
        <w:rPr>
          <w:rFonts w:ascii="David" w:hAnsi="David" w:cs="David"/>
          <w:sz w:val="24"/>
          <w:szCs w:val="24"/>
        </w:rPr>
      </w:pPr>
    </w:p>
    <w:p w:rsidR="00F0335E" w:rsidRDefault="00F0335E" w:rsidP="00F0335E">
      <w:pPr>
        <w:pStyle w:val="af"/>
        <w:spacing w:line="360" w:lineRule="auto"/>
        <w:ind w:left="820"/>
        <w:jc w:val="both"/>
        <w:rPr>
          <w:rFonts w:ascii="David" w:hAnsi="David" w:cs="David"/>
          <w:sz w:val="24"/>
          <w:szCs w:val="24"/>
          <w:rtl/>
        </w:rPr>
      </w:pPr>
      <w:r>
        <w:rPr>
          <w:rFonts w:ascii="David" w:hAnsi="David" w:cs="David"/>
          <w:sz w:val="24"/>
          <w:szCs w:val="24"/>
          <w:rtl/>
        </w:rPr>
        <w:lastRenderedPageBreak/>
        <w:t>לטענת התובעת ניתן היה בנקל לזהות אותה (את התובעת)</w:t>
      </w:r>
      <w:r w:rsidR="00B302C9">
        <w:rPr>
          <w:rFonts w:ascii="David" w:hAnsi="David" w:cs="David" w:hint="cs"/>
          <w:sz w:val="24"/>
          <w:szCs w:val="24"/>
          <w:rtl/>
        </w:rPr>
        <w:t xml:space="preserve"> בפרסום</w:t>
      </w:r>
      <w:r>
        <w:rPr>
          <w:rFonts w:ascii="David" w:hAnsi="David" w:cs="David"/>
          <w:sz w:val="24"/>
          <w:szCs w:val="24"/>
          <w:rtl/>
        </w:rPr>
        <w:t>. ניתן היה לזהות מכיוון שלאורך השנה שקדמה לפרסומים השתתפה הנתבע בהבלטה בצילומי אופנה של הסטודיו של התובעת, עם דגמים שעיצבה התובעת. כל זאת תוך אזכור מפורש לפיו אלה עיצובים של התובעת. מכאן, לטעמה של התובעת "כל עוקב ממוצע" יכול היה להבין בנקל שהפרסומים מתייחסים אליה.</w:t>
      </w:r>
    </w:p>
    <w:p w:rsidR="00F0335E" w:rsidRDefault="00F0335E" w:rsidP="00F0335E">
      <w:pPr>
        <w:pStyle w:val="af"/>
        <w:spacing w:line="360" w:lineRule="auto"/>
        <w:ind w:left="-172"/>
        <w:jc w:val="both"/>
        <w:rPr>
          <w:rFonts w:ascii="David" w:hAnsi="David" w:cs="David"/>
          <w:b/>
          <w:bCs/>
          <w:sz w:val="24"/>
          <w:szCs w:val="24"/>
          <w:u w:val="single"/>
          <w:rtl/>
        </w:rPr>
      </w:pPr>
    </w:p>
    <w:p w:rsidR="00F0335E" w:rsidRDefault="00F0335E" w:rsidP="00F0335E">
      <w:pPr>
        <w:pStyle w:val="af"/>
        <w:numPr>
          <w:ilvl w:val="1"/>
          <w:numId w:val="1"/>
        </w:numPr>
        <w:spacing w:line="360" w:lineRule="auto"/>
        <w:ind w:left="395" w:hanging="567"/>
        <w:jc w:val="both"/>
        <w:rPr>
          <w:rFonts w:ascii="David" w:hAnsi="David" w:cs="David"/>
          <w:b/>
          <w:bCs/>
          <w:sz w:val="24"/>
          <w:szCs w:val="24"/>
        </w:rPr>
      </w:pPr>
      <w:r>
        <w:rPr>
          <w:rFonts w:ascii="David" w:hAnsi="David" w:cs="David"/>
          <w:b/>
          <w:bCs/>
          <w:sz w:val="24"/>
          <w:szCs w:val="24"/>
          <w:u w:val="single"/>
          <w:rtl/>
        </w:rPr>
        <w:t xml:space="preserve">מסגרת שניה מתוך שלוש מסגרות הפרסומים המכפישים – שיחות עם "לכל הפחות שתי תלמידות" (טענה לשתי אמירות מכפישות) </w:t>
      </w:r>
    </w:p>
    <w:p w:rsidR="00F0335E" w:rsidRDefault="00F0335E" w:rsidP="00F0335E">
      <w:pPr>
        <w:pStyle w:val="af"/>
        <w:numPr>
          <w:ilvl w:val="0"/>
          <w:numId w:val="4"/>
        </w:numPr>
        <w:spacing w:line="360" w:lineRule="auto"/>
        <w:jc w:val="both"/>
        <w:rPr>
          <w:rFonts w:ascii="David" w:hAnsi="David" w:cs="David"/>
          <w:sz w:val="24"/>
          <w:szCs w:val="24"/>
        </w:rPr>
      </w:pPr>
      <w:r>
        <w:rPr>
          <w:rFonts w:ascii="David" w:hAnsi="David" w:cs="David"/>
          <w:sz w:val="24"/>
          <w:szCs w:val="24"/>
          <w:rtl/>
        </w:rPr>
        <w:t>התובעת טוענת שהנתבעת התכתבה עם, לכל הפחות, שתי תלמידות נוספות. בשיחה עימן לחצה הנתבעת על התלמידות הנוספות לפרוש מהלימודים אצל התובעת. עוד עודדה אותן לתבוע את התובעת בתביעה ייצוגית.</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numPr>
          <w:ilvl w:val="0"/>
          <w:numId w:val="4"/>
        </w:numPr>
        <w:spacing w:line="360" w:lineRule="auto"/>
        <w:jc w:val="both"/>
        <w:rPr>
          <w:rFonts w:ascii="David" w:hAnsi="David" w:cs="David"/>
          <w:sz w:val="24"/>
          <w:szCs w:val="24"/>
        </w:rPr>
      </w:pPr>
      <w:r>
        <w:rPr>
          <w:rFonts w:ascii="David" w:hAnsi="David" w:cs="David"/>
          <w:sz w:val="24"/>
          <w:szCs w:val="24"/>
          <w:rtl/>
        </w:rPr>
        <w:t>התובעת מציינת שהנתבעת טענה באותה התכתבות כי "עכשיו בנות כותבות לי בפרטי". אמירה  המלמדת לטעמה של התובעת שהנתבעת אף פעלה מול צדדי ג' כדי להכפיש את התובעת. עוד כתבה הנתבעת "לא שמעת את זה ממני" – אמירה המלמדת לטעמה של התובעת כי הנתבעת הבינה היטב ש"דבריה הם אסורים".</w:t>
      </w:r>
    </w:p>
    <w:p w:rsidR="00F0335E" w:rsidRDefault="00F0335E" w:rsidP="00F0335E">
      <w:pPr>
        <w:pStyle w:val="af"/>
        <w:rPr>
          <w:rFonts w:ascii="David" w:hAnsi="David" w:cs="David"/>
          <w:sz w:val="24"/>
          <w:szCs w:val="24"/>
        </w:rPr>
      </w:pPr>
    </w:p>
    <w:p w:rsidR="00F0335E" w:rsidRDefault="00F0335E" w:rsidP="00F0335E">
      <w:pPr>
        <w:pStyle w:val="af"/>
        <w:numPr>
          <w:ilvl w:val="0"/>
          <w:numId w:val="4"/>
        </w:numPr>
        <w:spacing w:line="360" w:lineRule="auto"/>
        <w:jc w:val="both"/>
        <w:rPr>
          <w:rFonts w:ascii="David" w:hAnsi="David" w:cs="David"/>
          <w:sz w:val="24"/>
          <w:szCs w:val="24"/>
          <w:rtl/>
        </w:rPr>
      </w:pPr>
      <w:r>
        <w:rPr>
          <w:rFonts w:ascii="David" w:hAnsi="David" w:cs="David"/>
          <w:sz w:val="24"/>
          <w:szCs w:val="24"/>
          <w:rtl/>
        </w:rPr>
        <w:t xml:space="preserve"> </w:t>
      </w:r>
      <w:r>
        <w:rPr>
          <w:rFonts w:ascii="David" w:hAnsi="David" w:cs="David"/>
          <w:sz w:val="24"/>
          <w:szCs w:val="24"/>
          <w:u w:val="single"/>
          <w:rtl/>
        </w:rPr>
        <w:t>שתי האמירות המכפישות בהתכתבות זו</w:t>
      </w:r>
      <w:r>
        <w:rPr>
          <w:rFonts w:ascii="David" w:hAnsi="David" w:cs="David"/>
          <w:sz w:val="24"/>
          <w:szCs w:val="24"/>
          <w:rtl/>
        </w:rPr>
        <w:t xml:space="preserve"> – התובעת מפנה לשתי אמירות מכפישות במסגרת ההתכתבות בין הנתבעת לשתי התלמידות. שתי האמירות הן:</w:t>
      </w:r>
    </w:p>
    <w:p w:rsidR="00F0335E" w:rsidRDefault="00F0335E" w:rsidP="00F0335E">
      <w:pPr>
        <w:pStyle w:val="af"/>
        <w:numPr>
          <w:ilvl w:val="0"/>
          <w:numId w:val="3"/>
        </w:numPr>
        <w:spacing w:line="360" w:lineRule="auto"/>
        <w:ind w:firstLine="65"/>
        <w:jc w:val="both"/>
        <w:rPr>
          <w:rFonts w:ascii="David" w:hAnsi="David" w:cs="David"/>
          <w:sz w:val="24"/>
          <w:szCs w:val="24"/>
          <w:rtl/>
        </w:rPr>
      </w:pPr>
      <w:r>
        <w:rPr>
          <w:rFonts w:ascii="David" w:hAnsi="David" w:cs="David"/>
          <w:b/>
          <w:bCs/>
          <w:sz w:val="24"/>
          <w:szCs w:val="24"/>
          <w:rtl/>
        </w:rPr>
        <w:t>"אף אחד לא יפרנס את המכשפה הזאת"</w:t>
      </w:r>
      <w:r>
        <w:rPr>
          <w:rFonts w:ascii="David" w:hAnsi="David" w:cs="David"/>
          <w:sz w:val="24"/>
          <w:szCs w:val="24"/>
          <w:rtl/>
        </w:rPr>
        <w:t>;</w:t>
      </w:r>
    </w:p>
    <w:p w:rsidR="00F0335E" w:rsidRDefault="00F0335E" w:rsidP="00F0335E">
      <w:pPr>
        <w:pStyle w:val="af"/>
        <w:numPr>
          <w:ilvl w:val="0"/>
          <w:numId w:val="3"/>
        </w:numPr>
        <w:spacing w:line="360" w:lineRule="auto"/>
        <w:ind w:firstLine="65"/>
        <w:jc w:val="both"/>
        <w:rPr>
          <w:rFonts w:ascii="David" w:hAnsi="David" w:cs="David"/>
          <w:sz w:val="24"/>
          <w:szCs w:val="24"/>
        </w:rPr>
      </w:pPr>
      <w:r>
        <w:rPr>
          <w:rFonts w:ascii="David" w:hAnsi="David" w:cs="David"/>
          <w:b/>
          <w:bCs/>
          <w:sz w:val="24"/>
          <w:szCs w:val="24"/>
          <w:rtl/>
        </w:rPr>
        <w:t>"דלית כרמי, לברוח כמו מאש"</w:t>
      </w:r>
      <w:r>
        <w:rPr>
          <w:rFonts w:ascii="David" w:hAnsi="David" w:cs="David"/>
          <w:sz w:val="24"/>
          <w:szCs w:val="24"/>
          <w:rtl/>
        </w:rPr>
        <w:t>.</w:t>
      </w:r>
    </w:p>
    <w:p w:rsidR="00F0335E" w:rsidRDefault="00F0335E" w:rsidP="00F0335E">
      <w:pPr>
        <w:pStyle w:val="af"/>
        <w:rPr>
          <w:rFonts w:ascii="David" w:hAnsi="David" w:cs="David"/>
          <w:sz w:val="24"/>
          <w:szCs w:val="24"/>
          <w:rtl/>
        </w:rPr>
      </w:pPr>
    </w:p>
    <w:p w:rsidR="00F0335E" w:rsidRDefault="00F0335E" w:rsidP="00F0335E">
      <w:pPr>
        <w:pStyle w:val="af"/>
        <w:numPr>
          <w:ilvl w:val="1"/>
          <w:numId w:val="1"/>
        </w:numPr>
        <w:spacing w:line="360" w:lineRule="auto"/>
        <w:ind w:left="395" w:hanging="567"/>
        <w:jc w:val="both"/>
        <w:rPr>
          <w:rFonts w:ascii="David" w:hAnsi="David" w:cs="David"/>
          <w:b/>
          <w:bCs/>
          <w:sz w:val="24"/>
          <w:szCs w:val="24"/>
          <w:rtl/>
        </w:rPr>
      </w:pPr>
      <w:r>
        <w:rPr>
          <w:rFonts w:ascii="David" w:hAnsi="David" w:cs="David"/>
          <w:b/>
          <w:bCs/>
          <w:sz w:val="24"/>
          <w:szCs w:val="24"/>
          <w:u w:val="single"/>
          <w:rtl/>
        </w:rPr>
        <w:t>מסגרת שלישית מתוך שלוש מסגרות הפרסומים המכפישים - פרסומים במסגרת תלונה למועצה הישראלית לצרכנות (טענה לשלוש אמירות מכפישות)</w:t>
      </w:r>
    </w:p>
    <w:p w:rsidR="00F0335E" w:rsidRDefault="00F0335E" w:rsidP="00F0335E">
      <w:pPr>
        <w:pStyle w:val="af"/>
        <w:numPr>
          <w:ilvl w:val="0"/>
          <w:numId w:val="5"/>
        </w:numPr>
        <w:spacing w:line="360" w:lineRule="auto"/>
        <w:ind w:left="820" w:hanging="425"/>
        <w:jc w:val="both"/>
        <w:rPr>
          <w:rFonts w:ascii="David" w:hAnsi="David" w:cs="David"/>
          <w:sz w:val="24"/>
          <w:szCs w:val="24"/>
        </w:rPr>
      </w:pPr>
      <w:r>
        <w:rPr>
          <w:rFonts w:ascii="David" w:hAnsi="David" w:cs="David"/>
          <w:sz w:val="24"/>
          <w:szCs w:val="24"/>
          <w:rtl/>
        </w:rPr>
        <w:lastRenderedPageBreak/>
        <w:t>התובעת ציינה שהנתבעת פנתה למועצה הישראלית לצרכנות בתלונה שהעתק ממנה הגיע לידיה. באותה תלונה התייחסה הנתבעת לכך ש"לא נחתם חוזה". הנתבעת הוסיפה גם שהתובעת "עדיין חייבת לי את השיעורים שאני כבר לא רוצה". עוד התלוננה הנתבעת על היחס המתקבל מהתובעת. הנתבעת התלוננה על התעלמות מצידה ועל מספר הגזרות שהיא למדה להכין. הנתבעת טענה ש"לא היה מענה, לא תמורה למחיר" וכן טענה  - "אני רוצה את הכסף שלי בחזרה".</w:t>
      </w:r>
    </w:p>
    <w:p w:rsidR="00F0335E" w:rsidRDefault="00F0335E" w:rsidP="00F0335E">
      <w:pPr>
        <w:pStyle w:val="af"/>
        <w:spacing w:line="360" w:lineRule="auto"/>
        <w:ind w:left="820"/>
        <w:jc w:val="both"/>
        <w:rPr>
          <w:rFonts w:ascii="David" w:hAnsi="David" w:cs="David"/>
          <w:sz w:val="24"/>
          <w:szCs w:val="24"/>
        </w:rPr>
      </w:pPr>
    </w:p>
    <w:p w:rsidR="00F0335E" w:rsidRDefault="00F0335E" w:rsidP="00F0335E">
      <w:pPr>
        <w:pStyle w:val="af"/>
        <w:numPr>
          <w:ilvl w:val="0"/>
          <w:numId w:val="5"/>
        </w:numPr>
        <w:spacing w:line="360" w:lineRule="auto"/>
        <w:ind w:left="820" w:hanging="425"/>
        <w:jc w:val="both"/>
        <w:rPr>
          <w:rFonts w:ascii="David" w:hAnsi="David" w:cs="David"/>
          <w:sz w:val="24"/>
          <w:szCs w:val="24"/>
        </w:rPr>
      </w:pPr>
      <w:r>
        <w:rPr>
          <w:rFonts w:ascii="David" w:hAnsi="David" w:cs="David"/>
          <w:sz w:val="24"/>
          <w:szCs w:val="24"/>
          <w:u w:val="single"/>
          <w:rtl/>
        </w:rPr>
        <w:t>שלוש האמירות המכפישות במסגרת התלונה</w:t>
      </w:r>
      <w:r>
        <w:rPr>
          <w:rFonts w:ascii="David" w:hAnsi="David" w:cs="David"/>
          <w:sz w:val="24"/>
          <w:szCs w:val="24"/>
          <w:rtl/>
        </w:rPr>
        <w:t xml:space="preserve"> - מתוך תלונה זו התייחסה התובעת לשלוש טענות "מכפישות וקיצוניות במיוחד" בגינן תבעה:  </w:t>
      </w:r>
    </w:p>
    <w:p w:rsidR="00F0335E" w:rsidRDefault="00F0335E" w:rsidP="00F0335E">
      <w:pPr>
        <w:pStyle w:val="af"/>
        <w:numPr>
          <w:ilvl w:val="0"/>
          <w:numId w:val="3"/>
        </w:numPr>
        <w:spacing w:line="360" w:lineRule="auto"/>
        <w:ind w:firstLine="65"/>
        <w:jc w:val="both"/>
        <w:rPr>
          <w:rFonts w:ascii="David" w:hAnsi="David" w:cs="David"/>
          <w:b/>
          <w:bCs/>
          <w:sz w:val="24"/>
          <w:szCs w:val="24"/>
          <w:rtl/>
        </w:rPr>
      </w:pPr>
      <w:r>
        <w:rPr>
          <w:rFonts w:ascii="David" w:hAnsi="David" w:cs="David"/>
          <w:b/>
          <w:bCs/>
          <w:sz w:val="24"/>
          <w:szCs w:val="24"/>
          <w:rtl/>
        </w:rPr>
        <w:t>לקחה כספים במרמה;</w:t>
      </w:r>
    </w:p>
    <w:p w:rsidR="00F0335E" w:rsidRDefault="00F0335E" w:rsidP="00F0335E">
      <w:pPr>
        <w:pStyle w:val="af"/>
        <w:numPr>
          <w:ilvl w:val="0"/>
          <w:numId w:val="3"/>
        </w:numPr>
        <w:spacing w:line="360" w:lineRule="auto"/>
        <w:ind w:firstLine="65"/>
        <w:jc w:val="both"/>
        <w:rPr>
          <w:rFonts w:ascii="David" w:hAnsi="David" w:cs="David"/>
          <w:b/>
          <w:bCs/>
          <w:sz w:val="24"/>
          <w:szCs w:val="24"/>
        </w:rPr>
      </w:pPr>
      <w:r>
        <w:rPr>
          <w:rFonts w:ascii="David" w:hAnsi="David" w:cs="David"/>
          <w:b/>
          <w:bCs/>
          <w:sz w:val="24"/>
          <w:szCs w:val="24"/>
          <w:rtl/>
        </w:rPr>
        <w:t>הטעתה את התלמידות שלה ממגוון קורסים שונים במהלך השנים;</w:t>
      </w:r>
    </w:p>
    <w:p w:rsidR="00F0335E" w:rsidRDefault="00F0335E" w:rsidP="00F0335E">
      <w:pPr>
        <w:pStyle w:val="af"/>
        <w:numPr>
          <w:ilvl w:val="0"/>
          <w:numId w:val="3"/>
        </w:numPr>
        <w:spacing w:line="360" w:lineRule="auto"/>
        <w:ind w:left="1440" w:hanging="620"/>
        <w:jc w:val="both"/>
        <w:rPr>
          <w:rFonts w:ascii="David" w:hAnsi="David" w:cs="David"/>
          <w:b/>
          <w:bCs/>
          <w:sz w:val="24"/>
          <w:szCs w:val="24"/>
        </w:rPr>
      </w:pPr>
      <w:r>
        <w:rPr>
          <w:rFonts w:ascii="David" w:hAnsi="David" w:cs="David"/>
          <w:b/>
          <w:bCs/>
          <w:sz w:val="24"/>
          <w:szCs w:val="24"/>
          <w:rtl/>
        </w:rPr>
        <w:t>מי שלא שילמה במיידי ביישה אותה בפני הכיתה שתשלם בהקדם אחרת לא תגיע לשיעורים".</w:t>
      </w:r>
    </w:p>
    <w:p w:rsidR="00F0335E" w:rsidRDefault="00F0335E" w:rsidP="00F0335E">
      <w:pPr>
        <w:pStyle w:val="af"/>
        <w:rPr>
          <w:rFonts w:ascii="David" w:hAnsi="David" w:cs="David"/>
          <w:sz w:val="24"/>
          <w:szCs w:val="24"/>
          <w:rtl/>
        </w:rPr>
      </w:pPr>
    </w:p>
    <w:p w:rsidR="00F0335E" w:rsidRDefault="00F0335E" w:rsidP="00F0335E">
      <w:pPr>
        <w:pStyle w:val="af"/>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התובעת טוענת, אפוא, שהנתבעת פרסמה סך הכל  - שש אמירות במסגרת פורומים במרשתת; שתי אמירות בהתכתבות עם שתי תלמידות אחרות; ושלוש אמירות במסגרת התלונה למועצה הישראלית לצרכנות. סך הכל – 11 אמירות מכפישות(= 3 + 2 + 6).</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numPr>
          <w:ilvl w:val="0"/>
          <w:numId w:val="1"/>
        </w:numPr>
        <w:spacing w:line="360" w:lineRule="auto"/>
        <w:ind w:left="-172" w:hanging="284"/>
        <w:jc w:val="both"/>
        <w:rPr>
          <w:rFonts w:ascii="David" w:hAnsi="David" w:cs="David"/>
          <w:b/>
          <w:bCs/>
          <w:sz w:val="24"/>
          <w:szCs w:val="24"/>
          <w:u w:val="single"/>
        </w:rPr>
      </w:pPr>
      <w:r>
        <w:rPr>
          <w:rFonts w:ascii="David" w:hAnsi="David" w:cs="David"/>
          <w:b/>
          <w:bCs/>
          <w:sz w:val="24"/>
          <w:szCs w:val="24"/>
          <w:u w:val="single"/>
          <w:rtl/>
        </w:rPr>
        <w:t>התייחסות להליך נוסף בין הצדדים - הליך בו דווקא הנתבעת הגישה תביעה. הליך בו חויבה התובעת כאן  בתשלום</w:t>
      </w: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אין מדובר בהליך המשפטי היחיד בין התובעת לנתבעת. במסגרת טענות הנתבעת, ותצהיר שהגישה התחוור כי בנוסף להליך כאן התנהל הליך בבית המשפט לתביעות קטנות. בהליך בבית המשפט לתביעות קטנות תבעה הנתבעת כאן את התובעת. התביעה בבית המשפט לתביעות קטנות הוגשה, לפי מספרה, לאחר התביעה כאן.</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lastRenderedPageBreak/>
        <w:t>חלק מטענות התובעת הועלו כנגד כך שהנתבעת התלוננה ביחס לקורס התפירה. עוד הקדישה התובעת חלק מטיעוניה כנגד אמירות הנתבעת לפיהן היא (התובעת) נותרה חייבת בגין שעות לימוד שלא סיפקה.</w:t>
      </w:r>
    </w:p>
    <w:p w:rsidR="00F0335E" w:rsidRDefault="00F0335E" w:rsidP="00F0335E">
      <w:pPr>
        <w:pStyle w:val="af"/>
        <w:rPr>
          <w:rFonts w:ascii="David" w:hAnsi="David" w:cs="David"/>
          <w:sz w:val="24"/>
          <w:szCs w:val="24"/>
        </w:rPr>
      </w:pPr>
    </w:p>
    <w:p w:rsidR="00F0335E" w:rsidRDefault="00F0335E" w:rsidP="00F0335E">
      <w:pPr>
        <w:pStyle w:val="af"/>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בתביעה בבית המשפט לתביעות קטנות העלתה הנתבעת, כלשונה, טענות לפיהן התובעת כאן "הפרה את החוזה למתן קורס תפירה". אותו הליך בבית המשפט לתביעות קטנות הסתיים בפסק דין שניתן על דרך הפשרה ואשר חייב את התובעת בתשלום.</w:t>
      </w:r>
    </w:p>
    <w:p w:rsidR="00F0335E" w:rsidRDefault="00F0335E" w:rsidP="00F0335E">
      <w:pPr>
        <w:pStyle w:val="af"/>
        <w:spacing w:line="360" w:lineRule="auto"/>
        <w:ind w:left="395"/>
        <w:jc w:val="both"/>
        <w:rPr>
          <w:rFonts w:ascii="David" w:hAnsi="David" w:cs="David"/>
          <w:sz w:val="24"/>
          <w:szCs w:val="24"/>
          <w:rtl/>
        </w:rPr>
      </w:pPr>
    </w:p>
    <w:p w:rsidR="00794214" w:rsidRDefault="00794214" w:rsidP="00F0335E">
      <w:pPr>
        <w:pStyle w:val="af"/>
        <w:spacing w:line="360" w:lineRule="auto"/>
        <w:ind w:left="395"/>
        <w:jc w:val="both"/>
        <w:rPr>
          <w:rFonts w:ascii="David" w:hAnsi="David" w:cs="David"/>
          <w:sz w:val="24"/>
          <w:szCs w:val="24"/>
        </w:rPr>
      </w:pPr>
    </w:p>
    <w:p w:rsidR="00F0335E" w:rsidRDefault="00F0335E" w:rsidP="00F0335E">
      <w:pPr>
        <w:pStyle w:val="af"/>
        <w:spacing w:line="360" w:lineRule="auto"/>
        <w:ind w:left="-739"/>
        <w:jc w:val="both"/>
        <w:rPr>
          <w:rFonts w:ascii="David" w:hAnsi="David" w:cs="David"/>
          <w:b/>
          <w:bCs/>
          <w:sz w:val="24"/>
          <w:szCs w:val="24"/>
          <w:u w:val="single"/>
          <w:rtl/>
        </w:rPr>
      </w:pPr>
      <w:r>
        <w:rPr>
          <w:rFonts w:ascii="David" w:hAnsi="David" w:cs="David"/>
          <w:b/>
          <w:bCs/>
          <w:sz w:val="28"/>
          <w:szCs w:val="28"/>
          <w:u w:val="single"/>
          <w:rtl/>
        </w:rPr>
        <w:t>חלק שני – דיון והכרעה</w:t>
      </w:r>
    </w:p>
    <w:p w:rsidR="00F0335E" w:rsidRDefault="00F0335E" w:rsidP="00F0335E">
      <w:pPr>
        <w:pStyle w:val="af"/>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כללי</w:t>
      </w:r>
    </w:p>
    <w:p w:rsidR="00F0335E" w:rsidRDefault="00F0335E" w:rsidP="00F0335E">
      <w:pPr>
        <w:pStyle w:val="af"/>
        <w:spacing w:line="360" w:lineRule="auto"/>
        <w:ind w:left="-172"/>
        <w:jc w:val="both"/>
        <w:rPr>
          <w:rFonts w:ascii="David" w:hAnsi="David" w:cs="David"/>
          <w:sz w:val="24"/>
          <w:szCs w:val="24"/>
        </w:rPr>
      </w:pPr>
      <w:r>
        <w:rPr>
          <w:rFonts w:ascii="David" w:hAnsi="David" w:cs="David"/>
          <w:sz w:val="24"/>
          <w:szCs w:val="24"/>
          <w:rtl/>
        </w:rPr>
        <w:t xml:space="preserve">בפסקאות הבאות אתייחס לאחת עשרה האמירות בגינן הוגשה התביעה. הדיון יחולק לשלוש המסגרות בהן נאמרו האמירות, בהתאם לפירוט בסעיף 2 לעיל. </w:t>
      </w:r>
    </w:p>
    <w:p w:rsidR="00F0335E" w:rsidRDefault="00F0335E" w:rsidP="00F0335E">
      <w:pPr>
        <w:pStyle w:val="af"/>
        <w:spacing w:line="360" w:lineRule="auto"/>
        <w:ind w:left="-172"/>
        <w:jc w:val="both"/>
        <w:rPr>
          <w:rFonts w:ascii="David" w:hAnsi="David" w:cs="David"/>
          <w:sz w:val="24"/>
          <w:szCs w:val="24"/>
          <w:u w:val="single"/>
        </w:rPr>
      </w:pPr>
    </w:p>
    <w:p w:rsidR="00F0335E" w:rsidRDefault="00F0335E" w:rsidP="00F0335E">
      <w:pPr>
        <w:pStyle w:val="af"/>
        <w:numPr>
          <w:ilvl w:val="0"/>
          <w:numId w:val="1"/>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מסגרת פרסום ראשונה משלוש - אמירות נטענות במסגרת פורומים במרשתת וכן בדף הבית של הנתבעת בפייסבוק (סה"כ שש אמירות)</w:t>
      </w: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 xml:space="preserve"> התובעת טוענת לשש אמירות של הנתבעת, במסגרת פרסומים במרשתת. האמירות הן:</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numPr>
          <w:ilvl w:val="0"/>
          <w:numId w:val="6"/>
        </w:numPr>
        <w:spacing w:line="360" w:lineRule="auto"/>
        <w:jc w:val="both"/>
        <w:rPr>
          <w:rFonts w:ascii="David" w:hAnsi="David" w:cs="David"/>
          <w:sz w:val="24"/>
          <w:szCs w:val="24"/>
          <w:rtl/>
        </w:rPr>
      </w:pPr>
      <w:r>
        <w:rPr>
          <w:rFonts w:ascii="David" w:hAnsi="David" w:cs="David"/>
          <w:b/>
          <w:bCs/>
          <w:sz w:val="24"/>
          <w:szCs w:val="24"/>
          <w:rtl/>
        </w:rPr>
        <w:t>"ממש הונאה ורמאות"</w:t>
      </w:r>
      <w:r>
        <w:rPr>
          <w:rFonts w:ascii="David" w:hAnsi="David" w:cs="David"/>
          <w:sz w:val="24"/>
          <w:szCs w:val="24"/>
          <w:rtl/>
        </w:rPr>
        <w:t xml:space="preserve">  - אמירה שלא הופיעה בפרסום בפורומים במרשתת;</w:t>
      </w:r>
    </w:p>
    <w:p w:rsidR="00F0335E" w:rsidRDefault="00F0335E" w:rsidP="00F0335E">
      <w:pPr>
        <w:pStyle w:val="af"/>
        <w:numPr>
          <w:ilvl w:val="0"/>
          <w:numId w:val="6"/>
        </w:numPr>
        <w:spacing w:line="360" w:lineRule="auto"/>
        <w:jc w:val="both"/>
        <w:rPr>
          <w:rFonts w:ascii="David" w:hAnsi="David" w:cs="David"/>
          <w:sz w:val="24"/>
          <w:szCs w:val="24"/>
        </w:rPr>
      </w:pPr>
      <w:r>
        <w:rPr>
          <w:rFonts w:ascii="David" w:hAnsi="David" w:cs="David"/>
          <w:b/>
          <w:bCs/>
          <w:sz w:val="24"/>
          <w:szCs w:val="24"/>
          <w:rtl/>
        </w:rPr>
        <w:t>"גם בקורס הזה לא למדתי כלום אחרי כמה חודשים טובים אפילו לא להשחיל מכונה</w:t>
      </w:r>
      <w:r>
        <w:rPr>
          <w:rFonts w:ascii="David" w:hAnsi="David" w:cs="David"/>
          <w:sz w:val="24"/>
          <w:szCs w:val="24"/>
          <w:rtl/>
        </w:rPr>
        <w:t>";</w:t>
      </w:r>
    </w:p>
    <w:p w:rsidR="00F0335E" w:rsidRDefault="00F0335E" w:rsidP="00F0335E">
      <w:pPr>
        <w:pStyle w:val="af"/>
        <w:numPr>
          <w:ilvl w:val="0"/>
          <w:numId w:val="6"/>
        </w:numPr>
        <w:spacing w:line="360" w:lineRule="auto"/>
        <w:jc w:val="both"/>
        <w:rPr>
          <w:rFonts w:ascii="David" w:hAnsi="David" w:cs="David"/>
          <w:sz w:val="24"/>
          <w:szCs w:val="24"/>
        </w:rPr>
      </w:pPr>
      <w:r>
        <w:rPr>
          <w:rFonts w:ascii="David" w:hAnsi="David" w:cs="David"/>
          <w:b/>
          <w:bCs/>
          <w:sz w:val="24"/>
          <w:szCs w:val="24"/>
          <w:rtl/>
        </w:rPr>
        <w:t>"זה היה פשוט קחי גזרות תעתיקי</w:t>
      </w:r>
      <w:r>
        <w:rPr>
          <w:rFonts w:ascii="David" w:hAnsi="David" w:cs="David"/>
          <w:sz w:val="24"/>
          <w:szCs w:val="24"/>
          <w:rtl/>
        </w:rPr>
        <w:t>";</w:t>
      </w:r>
    </w:p>
    <w:p w:rsidR="00F0335E" w:rsidRDefault="00F0335E" w:rsidP="00F0335E">
      <w:pPr>
        <w:pStyle w:val="af"/>
        <w:numPr>
          <w:ilvl w:val="0"/>
          <w:numId w:val="6"/>
        </w:numPr>
        <w:spacing w:line="360" w:lineRule="auto"/>
        <w:jc w:val="both"/>
        <w:rPr>
          <w:rFonts w:ascii="David" w:hAnsi="David" w:cs="David"/>
          <w:sz w:val="24"/>
          <w:szCs w:val="24"/>
        </w:rPr>
      </w:pPr>
      <w:r>
        <w:rPr>
          <w:rFonts w:ascii="David" w:hAnsi="David" w:cs="David"/>
          <w:b/>
          <w:bCs/>
          <w:sz w:val="24"/>
          <w:szCs w:val="24"/>
          <w:rtl/>
        </w:rPr>
        <w:t>"בקושי יחס קיבלנו";</w:t>
      </w:r>
    </w:p>
    <w:p w:rsidR="00F0335E" w:rsidRDefault="00F0335E" w:rsidP="00F0335E">
      <w:pPr>
        <w:pStyle w:val="af"/>
        <w:numPr>
          <w:ilvl w:val="0"/>
          <w:numId w:val="6"/>
        </w:numPr>
        <w:spacing w:line="360" w:lineRule="auto"/>
        <w:jc w:val="both"/>
        <w:rPr>
          <w:rFonts w:ascii="David" w:hAnsi="David" w:cs="David"/>
          <w:sz w:val="24"/>
          <w:szCs w:val="24"/>
        </w:rPr>
      </w:pPr>
      <w:r>
        <w:rPr>
          <w:rFonts w:ascii="David" w:hAnsi="David" w:cs="David"/>
          <w:b/>
          <w:bCs/>
          <w:sz w:val="24"/>
          <w:szCs w:val="24"/>
          <w:rtl/>
        </w:rPr>
        <w:lastRenderedPageBreak/>
        <w:t>"חוסר סבלנות והתנהגות מגעילה ברמה הלא הגיונית כולל חוסר מענה</w:t>
      </w:r>
      <w:r>
        <w:rPr>
          <w:rFonts w:ascii="David" w:hAnsi="David" w:cs="David"/>
          <w:sz w:val="24"/>
          <w:szCs w:val="24"/>
          <w:rtl/>
        </w:rPr>
        <w:t>";</w:t>
      </w:r>
    </w:p>
    <w:p w:rsidR="00F0335E" w:rsidRDefault="00F0335E" w:rsidP="00F0335E">
      <w:pPr>
        <w:pStyle w:val="af"/>
        <w:numPr>
          <w:ilvl w:val="0"/>
          <w:numId w:val="6"/>
        </w:numPr>
        <w:spacing w:line="360" w:lineRule="auto"/>
        <w:jc w:val="both"/>
        <w:rPr>
          <w:rFonts w:ascii="David" w:hAnsi="David" w:cs="David"/>
          <w:sz w:val="24"/>
          <w:szCs w:val="24"/>
        </w:rPr>
      </w:pPr>
      <w:r>
        <w:rPr>
          <w:rFonts w:ascii="David" w:hAnsi="David" w:cs="David"/>
          <w:b/>
          <w:bCs/>
          <w:sz w:val="24"/>
          <w:szCs w:val="24"/>
          <w:rtl/>
        </w:rPr>
        <w:t>"המורה לא מוכנה" להשיב שש שעות לימוד.</w:t>
      </w:r>
    </w:p>
    <w:p w:rsidR="00F0335E" w:rsidRDefault="00F0335E" w:rsidP="00F0335E">
      <w:pPr>
        <w:pStyle w:val="af"/>
        <w:spacing w:line="360" w:lineRule="auto"/>
        <w:ind w:left="395"/>
        <w:jc w:val="both"/>
        <w:rPr>
          <w:rFonts w:ascii="David" w:hAnsi="David" w:cs="David"/>
          <w:sz w:val="24"/>
          <w:szCs w:val="24"/>
        </w:rPr>
      </w:pPr>
      <w:r>
        <w:rPr>
          <w:rFonts w:ascii="David" w:hAnsi="David" w:cs="David"/>
          <w:sz w:val="24"/>
          <w:szCs w:val="24"/>
          <w:rtl/>
        </w:rPr>
        <w:t xml:space="preserve"> </w:t>
      </w:r>
    </w:p>
    <w:p w:rsidR="00F0335E" w:rsidRDefault="00F0335E" w:rsidP="00F0335E">
      <w:pPr>
        <w:pStyle w:val="af"/>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אין לקבל הטענה ביחס לאמירה "ממש הונאה ורמאות", כאשר האמירה כלל לא הובאה בכתב התביעה</w:t>
      </w:r>
    </w:p>
    <w:p w:rsidR="00F0335E" w:rsidRDefault="00F0335E" w:rsidP="00F0335E">
      <w:pPr>
        <w:pStyle w:val="af"/>
        <w:numPr>
          <w:ilvl w:val="0"/>
          <w:numId w:val="7"/>
        </w:numPr>
        <w:spacing w:line="360" w:lineRule="auto"/>
        <w:jc w:val="both"/>
        <w:rPr>
          <w:rFonts w:ascii="David" w:hAnsi="David" w:cs="David"/>
          <w:sz w:val="24"/>
          <w:szCs w:val="24"/>
        </w:rPr>
      </w:pPr>
      <w:r>
        <w:rPr>
          <w:rFonts w:ascii="David" w:hAnsi="David" w:cs="David"/>
          <w:sz w:val="24"/>
          <w:szCs w:val="24"/>
          <w:rtl/>
        </w:rPr>
        <w:t>התובעת אשר ניסחה היטב את כתב תביעתה, הפנתה לפרסומים במרשתת. פרסומים שגם צוטטו בסעיף 2 לעיל. לאחר מכן ריכזה התובע שש אמירות מכפישות ובראשן האמירה - "ממש הונאה ורמאות".</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numPr>
          <w:ilvl w:val="0"/>
          <w:numId w:val="7"/>
        </w:numPr>
        <w:spacing w:line="360" w:lineRule="auto"/>
        <w:jc w:val="both"/>
        <w:rPr>
          <w:rFonts w:ascii="David" w:hAnsi="David" w:cs="David"/>
          <w:sz w:val="24"/>
          <w:szCs w:val="24"/>
        </w:rPr>
      </w:pPr>
      <w:r>
        <w:rPr>
          <w:rFonts w:ascii="David" w:hAnsi="David" w:cs="David"/>
          <w:sz w:val="24"/>
          <w:szCs w:val="24"/>
          <w:rtl/>
        </w:rPr>
        <w:t xml:space="preserve">ואולם אמירה זו </w:t>
      </w:r>
      <w:r>
        <w:rPr>
          <w:rFonts w:ascii="David" w:hAnsi="David" w:cs="David"/>
          <w:sz w:val="24"/>
          <w:szCs w:val="24"/>
          <w:u w:val="single"/>
          <w:rtl/>
        </w:rPr>
        <w:t>לא נכללת ואינה קיימת</w:t>
      </w:r>
      <w:r>
        <w:rPr>
          <w:rFonts w:ascii="David" w:hAnsi="David" w:cs="David"/>
          <w:sz w:val="24"/>
          <w:szCs w:val="24"/>
          <w:rtl/>
        </w:rPr>
        <w:t xml:space="preserve"> בפרסומי המרשתת המופיעים בכתב התביעה. בניגוד לאמירות הנוספות שצוטטו לעיל, אשר דווקא כן מופיעות בפרסומים – הרי המילים "ממש הונאה ורמאות" לא מצאו דרכן לכתב התביעה, ולא הוצג כל פרסום במרשתת שבו הן מופיעות. די בכך כדי לדחות הטענה בדבר הטענה לאמירות מכפישות אלה.</w:t>
      </w:r>
    </w:p>
    <w:p w:rsidR="00F0335E" w:rsidRDefault="00F0335E" w:rsidP="00F0335E">
      <w:pPr>
        <w:pStyle w:val="af"/>
        <w:rPr>
          <w:rFonts w:ascii="David" w:hAnsi="David" w:cs="David"/>
          <w:sz w:val="24"/>
          <w:szCs w:val="24"/>
        </w:rPr>
      </w:pPr>
    </w:p>
    <w:p w:rsidR="00F0335E" w:rsidRDefault="00F0335E" w:rsidP="00F0335E">
      <w:pPr>
        <w:pStyle w:val="af"/>
        <w:numPr>
          <w:ilvl w:val="1"/>
          <w:numId w:val="1"/>
        </w:numPr>
        <w:spacing w:line="360" w:lineRule="auto"/>
        <w:ind w:left="395" w:hanging="567"/>
        <w:jc w:val="both"/>
        <w:rPr>
          <w:rFonts w:ascii="David" w:hAnsi="David" w:cs="David"/>
          <w:sz w:val="24"/>
          <w:szCs w:val="24"/>
          <w:rtl/>
        </w:rPr>
      </w:pPr>
      <w:r>
        <w:rPr>
          <w:rFonts w:ascii="David" w:hAnsi="David" w:cs="David"/>
          <w:b/>
          <w:bCs/>
          <w:sz w:val="24"/>
          <w:szCs w:val="24"/>
          <w:u w:val="single"/>
          <w:rtl/>
        </w:rPr>
        <w:t>אין לקבל הטענה ביחס לאמירות המופיעות בסעיף 5.1 ס"ק (ב) – (ו) לעיל</w:t>
      </w:r>
    </w:p>
    <w:p w:rsidR="00F0335E" w:rsidRDefault="00F0335E" w:rsidP="00F0335E">
      <w:pPr>
        <w:pStyle w:val="af"/>
        <w:numPr>
          <w:ilvl w:val="0"/>
          <w:numId w:val="8"/>
        </w:numPr>
        <w:spacing w:line="360" w:lineRule="auto"/>
        <w:jc w:val="both"/>
        <w:rPr>
          <w:rFonts w:ascii="David" w:hAnsi="David" w:cs="David"/>
          <w:sz w:val="24"/>
          <w:szCs w:val="24"/>
        </w:rPr>
      </w:pPr>
      <w:r>
        <w:rPr>
          <w:rFonts w:ascii="David" w:hAnsi="David" w:cs="David"/>
          <w:sz w:val="24"/>
          <w:szCs w:val="24"/>
          <w:rtl/>
        </w:rPr>
        <w:t xml:space="preserve">האמירות בס"ק (ב) עד (ו) הן בגדר ביקורת על ניהול הקורס, היחס שקיבלה הנתבעת והחומר הלימודי שהועבר כאשר הנתבעת לא ציינה את שמה של התובעת. </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numPr>
          <w:ilvl w:val="0"/>
          <w:numId w:val="8"/>
        </w:numPr>
        <w:spacing w:line="360" w:lineRule="auto"/>
        <w:jc w:val="both"/>
        <w:rPr>
          <w:rFonts w:ascii="David" w:hAnsi="David" w:cs="David"/>
          <w:sz w:val="24"/>
          <w:szCs w:val="24"/>
        </w:rPr>
      </w:pPr>
      <w:r>
        <w:rPr>
          <w:rFonts w:ascii="David" w:hAnsi="David" w:cs="David"/>
          <w:sz w:val="24"/>
          <w:szCs w:val="24"/>
          <w:rtl/>
        </w:rPr>
        <w:t>אכן אין מדובר בביקורת חיובית או בחלוקת מחמאות. כל מי שקורא את הפוסט המחמיא למורה החדשה של הנתבעת, למד בין השורות עד כמה היא מבקרת את המסגרת הקודמת בה למדה. עם זאת, אין מקום להתערב באמירות אלה ואין להשתיק את הנתבעת מפני ביקורת צרכנית. גם אם אין מדובר בביקורת מחמיאה. הלכה פסוקה היא כי יש להבחין בין האשמה כוללת להוצאת לשון הרע, לבין ביקורת צרכנית מותרת. ביקורת אשר לעיתים אף רצויה על מנת לבקר ולשפר את השירות הניתן לצרכנים.</w:t>
      </w:r>
    </w:p>
    <w:p w:rsidR="00F0335E" w:rsidRDefault="00F0335E" w:rsidP="00F0335E">
      <w:pPr>
        <w:pStyle w:val="af"/>
        <w:rPr>
          <w:rFonts w:ascii="David" w:hAnsi="David" w:cs="David"/>
          <w:sz w:val="24"/>
          <w:szCs w:val="24"/>
        </w:rPr>
      </w:pPr>
    </w:p>
    <w:p w:rsidR="00F0335E" w:rsidRDefault="00F0335E" w:rsidP="00F0335E">
      <w:pPr>
        <w:pStyle w:val="af"/>
        <w:spacing w:line="360" w:lineRule="auto"/>
        <w:ind w:left="755"/>
        <w:jc w:val="both"/>
        <w:rPr>
          <w:rFonts w:ascii="David" w:hAnsi="David" w:cs="David"/>
          <w:sz w:val="24"/>
          <w:szCs w:val="24"/>
          <w:rtl/>
        </w:rPr>
      </w:pPr>
      <w:r>
        <w:rPr>
          <w:rFonts w:ascii="David" w:hAnsi="David" w:cs="David"/>
          <w:sz w:val="24"/>
          <w:szCs w:val="24"/>
          <w:rtl/>
        </w:rPr>
        <w:t xml:space="preserve">לעניין זה ניתן להפנות, למשל, אל </w:t>
      </w:r>
      <w:bookmarkStart w:id="1" w:name="LastJudge"/>
      <w:r>
        <w:rPr>
          <w:rFonts w:ascii="David" w:hAnsi="David" w:cs="David"/>
          <w:sz w:val="24"/>
          <w:szCs w:val="24"/>
          <w:rtl/>
        </w:rPr>
        <w:t xml:space="preserve">ע"א (מחוזי נצ') 5001-02-18‏, </w:t>
      </w:r>
      <w:r>
        <w:rPr>
          <w:rFonts w:ascii="David" w:hAnsi="David" w:cs="David"/>
          <w:sz w:val="24"/>
          <w:szCs w:val="24"/>
          <w:u w:val="single"/>
          <w:rtl/>
        </w:rPr>
        <w:t>סבטה פוגרבנוי נ' טל חמו</w:t>
      </w:r>
      <w:bookmarkEnd w:id="1"/>
      <w:r>
        <w:rPr>
          <w:rFonts w:ascii="David" w:hAnsi="David" w:cs="David"/>
          <w:sz w:val="24"/>
          <w:szCs w:val="24"/>
          <w:rtl/>
        </w:rPr>
        <w:t xml:space="preserve"> (מיום 31/10/2018, הנ' הש' א' אברהם) שם נדונה פרשה בה צרכנית (המערערת) כינתה פיצריה וכן פיצה שהזמינה בשלל כינויים שאינם מחמיאים. וכך רשמה בין היתר בסדרה של פרסומים – </w:t>
      </w:r>
      <w:r>
        <w:rPr>
          <w:rFonts w:ascii="David" w:hAnsi="David" w:cs="David"/>
          <w:b/>
          <w:bCs/>
          <w:sz w:val="24"/>
          <w:szCs w:val="24"/>
          <w:rtl/>
        </w:rPr>
        <w:t>"פשוט ביזיון. רטובה לגמרי לאכילה"</w:t>
      </w:r>
      <w:r>
        <w:rPr>
          <w:rFonts w:ascii="David" w:hAnsi="David" w:cs="David"/>
          <w:sz w:val="24"/>
          <w:szCs w:val="24"/>
          <w:rtl/>
        </w:rPr>
        <w:t xml:space="preserve">; </w:t>
      </w:r>
      <w:r>
        <w:rPr>
          <w:rFonts w:ascii="David" w:hAnsi="David" w:cs="David"/>
          <w:b/>
          <w:bCs/>
          <w:sz w:val="24"/>
          <w:szCs w:val="24"/>
          <w:rtl/>
        </w:rPr>
        <w:t>"שערה על הזיתים"; "לפחות החתולים ייהנו בהצלחה"</w:t>
      </w:r>
      <w:r>
        <w:rPr>
          <w:rFonts w:ascii="David" w:hAnsi="David" w:cs="David"/>
          <w:sz w:val="24"/>
          <w:szCs w:val="24"/>
          <w:rtl/>
        </w:rPr>
        <w:t xml:space="preserve">; </w:t>
      </w:r>
      <w:r>
        <w:rPr>
          <w:rFonts w:ascii="David" w:hAnsi="David" w:cs="David"/>
          <w:b/>
          <w:bCs/>
          <w:sz w:val="24"/>
          <w:szCs w:val="24"/>
          <w:rtl/>
        </w:rPr>
        <w:t>"איכס"</w:t>
      </w:r>
      <w:r>
        <w:rPr>
          <w:rFonts w:ascii="David" w:hAnsi="David" w:cs="David"/>
          <w:sz w:val="24"/>
          <w:szCs w:val="24"/>
          <w:rtl/>
        </w:rPr>
        <w:t>, ועוד. בית משפט השלום חייב את המערערת בגין אמירות שהן בגדר לשון הרע ואולם בית המשפט המחוזי קיבל את האמירות כביקורת צרכנית ואף קבע כך (ההדגשות לא במקור):</w:t>
      </w:r>
    </w:p>
    <w:p w:rsidR="00F0335E" w:rsidRDefault="00F0335E" w:rsidP="00F0335E">
      <w:pPr>
        <w:pStyle w:val="af"/>
        <w:spacing w:line="360" w:lineRule="auto"/>
        <w:ind w:left="2096"/>
        <w:jc w:val="both"/>
        <w:rPr>
          <w:rFonts w:ascii="David" w:hAnsi="David" w:cs="David"/>
          <w:b/>
          <w:bCs/>
          <w:sz w:val="24"/>
          <w:szCs w:val="24"/>
          <w:rtl/>
        </w:rPr>
      </w:pPr>
      <w:r>
        <w:rPr>
          <w:rFonts w:ascii="David" w:hAnsi="David" w:cs="David"/>
          <w:b/>
          <w:bCs/>
          <w:spacing w:val="10"/>
          <w:sz w:val="24"/>
          <w:szCs w:val="24"/>
          <w:rtl/>
          <w:lang w:eastAsia="he-IL"/>
        </w:rPr>
        <w:t xml:space="preserve">"המערערת העלתה פוסט צרכני, בו </w:t>
      </w:r>
      <w:r>
        <w:rPr>
          <w:rFonts w:ascii="David" w:hAnsi="David" w:cs="David"/>
          <w:b/>
          <w:bCs/>
          <w:spacing w:val="10"/>
          <w:sz w:val="24"/>
          <w:szCs w:val="24"/>
          <w:u w:val="single"/>
          <w:rtl/>
          <w:lang w:eastAsia="he-IL"/>
        </w:rPr>
        <w:t>הביעה ביקורת על מוצר מזון שרכשה, ועל הטיפול שניתן לטרונייתה</w:t>
      </w:r>
      <w:r>
        <w:rPr>
          <w:rFonts w:ascii="David" w:hAnsi="David" w:cs="David"/>
          <w:b/>
          <w:bCs/>
          <w:spacing w:val="10"/>
          <w:sz w:val="24"/>
          <w:szCs w:val="24"/>
          <w:rtl/>
          <w:lang w:eastAsia="he-IL"/>
        </w:rPr>
        <w:t xml:space="preserve"> על ידי בעליו של בית העסק. כאמור מעלה,</w:t>
      </w:r>
      <w:r>
        <w:rPr>
          <w:rFonts w:ascii="David" w:hAnsi="David" w:cs="David"/>
          <w:b/>
          <w:bCs/>
          <w:spacing w:val="10"/>
          <w:sz w:val="24"/>
          <w:szCs w:val="24"/>
          <w:u w:val="single"/>
          <w:rtl/>
          <w:lang w:eastAsia="he-IL"/>
        </w:rPr>
        <w:t xml:space="preserve"> הביקורת נוגעת לעניין ציבורי חשוב</w:t>
      </w:r>
      <w:r>
        <w:rPr>
          <w:rFonts w:ascii="David" w:hAnsi="David" w:cs="David"/>
          <w:b/>
          <w:bCs/>
          <w:spacing w:val="10"/>
          <w:sz w:val="24"/>
          <w:szCs w:val="24"/>
          <w:rtl/>
          <w:lang w:eastAsia="he-IL"/>
        </w:rPr>
        <w:t>. אני רואה חשיבות רבה לכך שהמערערת ביקשה לשתף את הציבור הרחב בחווייתה הצרכנית הקשה. חשוב לומר אגב כך, כי התבטאות המערערת אינה פוגענית באופן קיצוני. אין בדבריה כל התלהמות, המתאפיינת לדאבוני לעיתים קרובות בשיח שבמרשתת. ההבעה "איכס" אף אינה מתקרבת לגבולה של התלהמות"</w:t>
      </w:r>
    </w:p>
    <w:p w:rsidR="00F0335E" w:rsidRDefault="00F0335E" w:rsidP="00F0335E">
      <w:pPr>
        <w:pStyle w:val="af"/>
        <w:spacing w:line="360" w:lineRule="auto"/>
        <w:ind w:left="395"/>
        <w:jc w:val="both"/>
        <w:rPr>
          <w:rFonts w:ascii="David" w:hAnsi="David" w:cs="David"/>
          <w:sz w:val="24"/>
          <w:szCs w:val="24"/>
          <w:rtl/>
        </w:rPr>
      </w:pPr>
    </w:p>
    <w:p w:rsidR="00F0335E" w:rsidRDefault="00F0335E" w:rsidP="00F0335E">
      <w:pPr>
        <w:pStyle w:val="af"/>
        <w:spacing w:line="360" w:lineRule="auto"/>
        <w:ind w:left="820"/>
        <w:jc w:val="both"/>
        <w:rPr>
          <w:rFonts w:ascii="David" w:hAnsi="David" w:cs="David"/>
          <w:sz w:val="24"/>
          <w:szCs w:val="24"/>
          <w:rtl/>
        </w:rPr>
      </w:pPr>
      <w:r>
        <w:rPr>
          <w:rFonts w:ascii="David" w:hAnsi="David" w:cs="David"/>
          <w:sz w:val="24"/>
          <w:szCs w:val="24"/>
          <w:rtl/>
        </w:rPr>
        <w:t xml:space="preserve">על המתח שבין ביקורת רצויה לבין השתקתה בדרך שלתביעות לשון הרע ניתן להפנות גם אל ע"א  (מחוזי חי') 35744-10-19 </w:t>
      </w:r>
      <w:r>
        <w:rPr>
          <w:rFonts w:ascii="David" w:hAnsi="David" w:cs="David"/>
          <w:sz w:val="24"/>
          <w:szCs w:val="24"/>
          <w:u w:val="single"/>
          <w:rtl/>
        </w:rPr>
        <w:t>נאמן נ' קריבצ'יקוב</w:t>
      </w:r>
      <w:r>
        <w:rPr>
          <w:rFonts w:ascii="David" w:hAnsi="David" w:cs="David"/>
          <w:sz w:val="24"/>
          <w:szCs w:val="24"/>
          <w:rtl/>
        </w:rPr>
        <w:t xml:space="preserve"> (מיום 8/1/2020, הש' כ' סעב) וכן ע"א (מחוזי נצ') 10265-12-21‏, </w:t>
      </w:r>
      <w:r>
        <w:rPr>
          <w:rFonts w:ascii="David" w:hAnsi="David" w:cs="David"/>
          <w:sz w:val="24"/>
          <w:szCs w:val="24"/>
          <w:u w:val="single"/>
          <w:rtl/>
        </w:rPr>
        <w:t>ניסים זמיר נ' שמואל סעדיה</w:t>
      </w:r>
      <w:r>
        <w:rPr>
          <w:rFonts w:ascii="David" w:hAnsi="David" w:cs="David"/>
          <w:sz w:val="24"/>
          <w:szCs w:val="24"/>
          <w:rtl/>
        </w:rPr>
        <w:t xml:space="preserve"> (מיום 27/2/2022, הנ' הש' א' אברהם). עוד ר' הסקירה במסגרת ת"א 12217-12-16, </w:t>
      </w:r>
      <w:r>
        <w:rPr>
          <w:rFonts w:ascii="David" w:hAnsi="David" w:cs="David"/>
          <w:sz w:val="24"/>
          <w:szCs w:val="24"/>
          <w:u w:val="single"/>
          <w:rtl/>
        </w:rPr>
        <w:t>בוגבו ישראל בע"מ נ' שמס</w:t>
      </w:r>
      <w:r>
        <w:rPr>
          <w:rFonts w:ascii="David" w:hAnsi="David" w:cs="David"/>
          <w:sz w:val="24"/>
          <w:szCs w:val="24"/>
          <w:rtl/>
        </w:rPr>
        <w:t xml:space="preserve"> (מיום 8/5/2018, הש' נ' מימון שעשוע)) שם נדחתה על הסף תביעת לשון הרע כנגד ביקורת צרכנית וערעור שהוגש על פסק דין זה נמחק.</w:t>
      </w:r>
    </w:p>
    <w:p w:rsidR="00F0335E" w:rsidRDefault="00F0335E" w:rsidP="00F0335E">
      <w:pPr>
        <w:pStyle w:val="af"/>
        <w:spacing w:line="360" w:lineRule="auto"/>
        <w:ind w:left="395"/>
        <w:jc w:val="both"/>
        <w:rPr>
          <w:rFonts w:ascii="David" w:hAnsi="David" w:cs="David"/>
          <w:sz w:val="24"/>
          <w:szCs w:val="24"/>
          <w:rtl/>
        </w:rPr>
      </w:pPr>
    </w:p>
    <w:p w:rsidR="00F0335E" w:rsidRDefault="00F0335E" w:rsidP="00F0335E">
      <w:pPr>
        <w:pStyle w:val="af"/>
        <w:numPr>
          <w:ilvl w:val="0"/>
          <w:numId w:val="8"/>
        </w:numPr>
        <w:spacing w:line="360" w:lineRule="auto"/>
        <w:jc w:val="both"/>
        <w:rPr>
          <w:rFonts w:ascii="David" w:hAnsi="David" w:cs="David"/>
          <w:sz w:val="24"/>
          <w:szCs w:val="24"/>
          <w:rtl/>
        </w:rPr>
      </w:pPr>
      <w:r>
        <w:rPr>
          <w:rFonts w:ascii="David" w:hAnsi="David" w:cs="David"/>
          <w:sz w:val="24"/>
          <w:szCs w:val="24"/>
          <w:u w:val="single"/>
          <w:rtl/>
        </w:rPr>
        <w:lastRenderedPageBreak/>
        <w:t>באשר לתום ליבה של הנתבעת</w:t>
      </w:r>
      <w:r>
        <w:rPr>
          <w:rFonts w:ascii="David" w:hAnsi="David" w:cs="David"/>
          <w:sz w:val="24"/>
          <w:szCs w:val="24"/>
          <w:rtl/>
        </w:rPr>
        <w:t xml:space="preserve"> - בעניינינו, הנתבעת התייחסה לשורה של טענות שהעלתה, ללא שנקבה בשם, כנגד הקורס שהעבירה התובעת. הטענות אכן מבקרות את התובעת, אך הועלו בתום לב. ואסביר, הטענות  נובעות אך ורק מההתנהלות אל מול התובעת ואין בהן סיבה נוספת או נסתרת. אין מדובר בטענות שמקורן בתחרות עסקית, </w:t>
      </w:r>
      <w:r w:rsidR="00794214">
        <w:rPr>
          <w:rFonts w:ascii="David" w:hAnsi="David" w:cs="David"/>
          <w:sz w:val="24"/>
          <w:szCs w:val="24"/>
          <w:rtl/>
        </w:rPr>
        <w:t>או בסיבה שאינה סיבה צרכנית</w:t>
      </w:r>
      <w:r>
        <w:rPr>
          <w:rFonts w:ascii="David" w:hAnsi="David" w:cs="David"/>
          <w:sz w:val="24"/>
          <w:szCs w:val="24"/>
          <w:rtl/>
        </w:rPr>
        <w:t>.</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spacing w:line="360" w:lineRule="auto"/>
        <w:ind w:left="755"/>
        <w:jc w:val="both"/>
        <w:rPr>
          <w:rFonts w:ascii="David" w:hAnsi="David" w:cs="David"/>
          <w:sz w:val="24"/>
          <w:szCs w:val="24"/>
          <w:rtl/>
        </w:rPr>
      </w:pPr>
      <w:r>
        <w:rPr>
          <w:rFonts w:ascii="David" w:hAnsi="David" w:cs="David"/>
          <w:sz w:val="24"/>
          <w:szCs w:val="24"/>
          <w:rtl/>
        </w:rPr>
        <w:t>זאת ועוד, הטענות התייחסו, בין היתר, לחוב שלטעמה של הנתבעת עדיין חבה לה התובעת. חוב זה ובכל מקרה הטענות כנגד התובעת, אף הועלו במסגרת הליך נוסף – הוא התביעה הקטנה בה נקבע שעל התובעת לפצות את הנתבעת. איני מביע דבר ביחס לפסק הדין שניתן בפשרה ואשר חייב את התובעת בתשלום לנתבעת. עם זאת, העובדה שבסופו של יום דווקא התובעת היא זו שחויבה בתשלום לנתבעת, תומכת בכך שטענות הנתבעת לא היו כה מופרכות. בוודאי לא מופרכות בדרך שניתן לומר שהועלו בחוסר תום לב. על כך גם בפסקה הבאה.</w:t>
      </w:r>
    </w:p>
    <w:p w:rsidR="00F0335E" w:rsidRDefault="00F0335E" w:rsidP="00F0335E">
      <w:pPr>
        <w:pStyle w:val="af"/>
        <w:spacing w:line="360" w:lineRule="auto"/>
        <w:ind w:left="395"/>
        <w:jc w:val="both"/>
        <w:rPr>
          <w:rFonts w:ascii="David" w:hAnsi="David" w:cs="David"/>
          <w:sz w:val="24"/>
          <w:szCs w:val="24"/>
          <w:rtl/>
        </w:rPr>
      </w:pPr>
    </w:p>
    <w:p w:rsidR="00F0335E" w:rsidRDefault="00F0335E" w:rsidP="00F0335E">
      <w:pPr>
        <w:pStyle w:val="af"/>
        <w:numPr>
          <w:ilvl w:val="0"/>
          <w:numId w:val="8"/>
        </w:numPr>
        <w:spacing w:line="360" w:lineRule="auto"/>
        <w:jc w:val="both"/>
        <w:rPr>
          <w:rFonts w:ascii="David" w:hAnsi="David" w:cs="David"/>
          <w:sz w:val="24"/>
          <w:szCs w:val="24"/>
          <w:rtl/>
        </w:rPr>
      </w:pPr>
      <w:r>
        <w:rPr>
          <w:rFonts w:ascii="David" w:hAnsi="David" w:cs="David"/>
          <w:sz w:val="24"/>
          <w:szCs w:val="24"/>
          <w:u w:val="single"/>
          <w:rtl/>
        </w:rPr>
        <w:t>התייחסות ספציפית לטענות בדבר חוב של התובעת לנתבעת, ויחסה של התובעת</w:t>
      </w:r>
    </w:p>
    <w:p w:rsidR="00F0335E" w:rsidRDefault="00F0335E" w:rsidP="00794214">
      <w:pPr>
        <w:pStyle w:val="af"/>
        <w:numPr>
          <w:ilvl w:val="0"/>
          <w:numId w:val="3"/>
        </w:numPr>
        <w:spacing w:line="360" w:lineRule="auto"/>
        <w:ind w:left="1076" w:hanging="283"/>
        <w:jc w:val="both"/>
        <w:rPr>
          <w:rFonts w:ascii="David" w:hAnsi="David" w:cs="David"/>
          <w:sz w:val="24"/>
          <w:szCs w:val="24"/>
        </w:rPr>
      </w:pPr>
      <w:r>
        <w:rPr>
          <w:rFonts w:ascii="David" w:hAnsi="David" w:cs="David"/>
          <w:sz w:val="24"/>
          <w:szCs w:val="24"/>
          <w:rtl/>
        </w:rPr>
        <w:t>כאמור לעיל, מערכת היחסים בין הנתבעת לתובעת והחוב הנטען נדונו במסגרת הליך נוסף שהתנהל בבית המשפט. הליך בו הנתבעת היא זו שתבעה את התובעת בבית המשפט לתביעות קטנות.</w:t>
      </w:r>
    </w:p>
    <w:p w:rsidR="00F0335E" w:rsidRDefault="00F0335E" w:rsidP="00F0335E">
      <w:pPr>
        <w:pStyle w:val="af"/>
        <w:spacing w:line="360" w:lineRule="auto"/>
        <w:ind w:left="1440"/>
        <w:jc w:val="both"/>
        <w:rPr>
          <w:rFonts w:ascii="David" w:hAnsi="David" w:cs="David"/>
          <w:sz w:val="24"/>
          <w:szCs w:val="24"/>
        </w:rPr>
      </w:pPr>
    </w:p>
    <w:p w:rsidR="00F0335E" w:rsidRDefault="00F0335E" w:rsidP="00794214">
      <w:pPr>
        <w:pStyle w:val="af"/>
        <w:numPr>
          <w:ilvl w:val="0"/>
          <w:numId w:val="3"/>
        </w:numPr>
        <w:spacing w:line="360" w:lineRule="auto"/>
        <w:ind w:left="1076" w:hanging="283"/>
        <w:jc w:val="both"/>
        <w:rPr>
          <w:rFonts w:ascii="David" w:hAnsi="David" w:cs="David"/>
          <w:sz w:val="24"/>
          <w:szCs w:val="24"/>
        </w:rPr>
      </w:pPr>
      <w:r>
        <w:rPr>
          <w:rFonts w:ascii="David" w:hAnsi="David" w:cs="David"/>
          <w:sz w:val="24"/>
          <w:szCs w:val="24"/>
          <w:rtl/>
        </w:rPr>
        <w:t xml:space="preserve">עוד כאמור לעיל, במסגרת ההליך בבית המשפט לתביעות קטנות חויבה התובעת בתשלום. בנסיבות אלה, בוודאי אין לראות בטענות הנתבעת לחוב של התובעת אליה כאמירות שהן בגדר הוצאת לשון הרע. </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numPr>
          <w:ilvl w:val="0"/>
          <w:numId w:val="8"/>
        </w:numPr>
        <w:spacing w:line="360" w:lineRule="auto"/>
        <w:jc w:val="both"/>
        <w:rPr>
          <w:rFonts w:ascii="David" w:hAnsi="David" w:cs="David"/>
          <w:sz w:val="24"/>
          <w:szCs w:val="24"/>
        </w:rPr>
      </w:pPr>
      <w:r>
        <w:rPr>
          <w:rFonts w:ascii="David" w:hAnsi="David" w:cs="David"/>
          <w:sz w:val="24"/>
          <w:szCs w:val="24"/>
          <w:u w:val="single"/>
          <w:rtl/>
        </w:rPr>
        <w:t>התייחסות ספציפית לאמירה – "תעתיקי גזרות"</w:t>
      </w:r>
    </w:p>
    <w:p w:rsidR="00F0335E" w:rsidRDefault="00F0335E" w:rsidP="00794214">
      <w:pPr>
        <w:pStyle w:val="af"/>
        <w:numPr>
          <w:ilvl w:val="0"/>
          <w:numId w:val="3"/>
        </w:numPr>
        <w:spacing w:line="360" w:lineRule="auto"/>
        <w:ind w:left="1076" w:hanging="283"/>
        <w:jc w:val="both"/>
        <w:rPr>
          <w:rFonts w:ascii="David" w:hAnsi="David" w:cs="David"/>
          <w:sz w:val="24"/>
          <w:szCs w:val="24"/>
        </w:rPr>
      </w:pPr>
      <w:r>
        <w:rPr>
          <w:rFonts w:ascii="David" w:hAnsi="David" w:cs="David"/>
          <w:sz w:val="24"/>
          <w:szCs w:val="24"/>
          <w:rtl/>
        </w:rPr>
        <w:t>התובעת התייחסה לכך שהאמירה "תעתיקי גזרות" היא "טענה חמורה ומכוערת מעין כמותה בעיקר בעולם האופנה שבו השמירה על זכויות קניין נעשית תוך הקפדה מקצועית".</w:t>
      </w:r>
    </w:p>
    <w:p w:rsidR="00F0335E" w:rsidRDefault="00F0335E" w:rsidP="00F0335E">
      <w:pPr>
        <w:pStyle w:val="af"/>
        <w:spacing w:line="360" w:lineRule="auto"/>
        <w:ind w:left="1440"/>
        <w:jc w:val="both"/>
        <w:rPr>
          <w:rFonts w:ascii="David" w:hAnsi="David" w:cs="David"/>
          <w:sz w:val="24"/>
          <w:szCs w:val="24"/>
        </w:rPr>
      </w:pPr>
    </w:p>
    <w:p w:rsidR="00F0335E" w:rsidRDefault="00F0335E" w:rsidP="00794214">
      <w:pPr>
        <w:pStyle w:val="af"/>
        <w:numPr>
          <w:ilvl w:val="0"/>
          <w:numId w:val="3"/>
        </w:numPr>
        <w:spacing w:line="360" w:lineRule="auto"/>
        <w:ind w:left="1076" w:hanging="283"/>
        <w:jc w:val="both"/>
        <w:rPr>
          <w:rFonts w:ascii="David" w:hAnsi="David" w:cs="David"/>
          <w:sz w:val="24"/>
          <w:szCs w:val="24"/>
        </w:rPr>
      </w:pPr>
      <w:r>
        <w:rPr>
          <w:rFonts w:ascii="David" w:hAnsi="David" w:cs="David"/>
          <w:sz w:val="24"/>
          <w:szCs w:val="24"/>
          <w:rtl/>
        </w:rPr>
        <w:t xml:space="preserve">עם זאת, התובעת לא הניחה כל מסד לכך שבמסגרת הלימודים לא עוסקים גם בהכנת מוצרים המבוססים, בין היתר, על גזרות קיימות. </w:t>
      </w:r>
      <w:r>
        <w:rPr>
          <w:rFonts w:ascii="David" w:hAnsi="David" w:cs="David"/>
          <w:sz w:val="24"/>
          <w:szCs w:val="24"/>
          <w:u w:val="single"/>
          <w:rtl/>
        </w:rPr>
        <w:t>לא</w:t>
      </w:r>
      <w:r>
        <w:rPr>
          <w:rFonts w:ascii="David" w:hAnsi="David" w:cs="David"/>
          <w:sz w:val="24"/>
          <w:szCs w:val="24"/>
          <w:rtl/>
        </w:rPr>
        <w:t xml:space="preserve"> הוכח שכל סוג של בגד ים הוא בעל גזרה שונה. </w:t>
      </w:r>
      <w:r>
        <w:rPr>
          <w:rFonts w:ascii="David" w:hAnsi="David" w:cs="David"/>
          <w:sz w:val="24"/>
          <w:szCs w:val="24"/>
          <w:u w:val="single"/>
          <w:rtl/>
        </w:rPr>
        <w:t>לא</w:t>
      </w:r>
      <w:r>
        <w:rPr>
          <w:rFonts w:ascii="David" w:hAnsi="David" w:cs="David"/>
          <w:sz w:val="24"/>
          <w:szCs w:val="24"/>
          <w:rtl/>
        </w:rPr>
        <w:t xml:space="preserve"> הוכח שלא קיימים בגדי ים שונים, של יצרנים שונים – עם גזרות דומות או זהות. אמנם נטען שהתובעת מעודדת "יצירתיות ועצמאות", אך אפילו התובעת ציינה כי "אכן יש ללמוד מגזרות קיימות".</w:t>
      </w:r>
    </w:p>
    <w:p w:rsidR="00F0335E" w:rsidRDefault="00F0335E" w:rsidP="00F0335E">
      <w:pPr>
        <w:pStyle w:val="af"/>
        <w:rPr>
          <w:rFonts w:ascii="David" w:hAnsi="David" w:cs="David"/>
          <w:sz w:val="24"/>
          <w:szCs w:val="24"/>
        </w:rPr>
      </w:pPr>
    </w:p>
    <w:p w:rsidR="00F0335E" w:rsidRDefault="00F0335E" w:rsidP="00794214">
      <w:pPr>
        <w:pStyle w:val="af"/>
        <w:numPr>
          <w:ilvl w:val="0"/>
          <w:numId w:val="3"/>
        </w:numPr>
        <w:spacing w:line="360" w:lineRule="auto"/>
        <w:ind w:left="1076" w:hanging="283"/>
        <w:jc w:val="both"/>
        <w:rPr>
          <w:rFonts w:ascii="David" w:hAnsi="David" w:cs="David"/>
          <w:sz w:val="24"/>
          <w:szCs w:val="24"/>
          <w:rtl/>
        </w:rPr>
      </w:pPr>
      <w:r>
        <w:rPr>
          <w:rFonts w:ascii="David" w:hAnsi="David" w:cs="David"/>
          <w:sz w:val="24"/>
          <w:szCs w:val="24"/>
          <w:rtl/>
        </w:rPr>
        <w:t>בנסיבות אלה, אין לראות באמירה "תעתיקי גזרות" כאמירה שבגדר הוצאת לשון הרע.</w:t>
      </w:r>
    </w:p>
    <w:p w:rsidR="00F0335E" w:rsidRDefault="00F0335E" w:rsidP="00F0335E">
      <w:pPr>
        <w:pStyle w:val="af"/>
        <w:spacing w:line="360" w:lineRule="auto"/>
        <w:ind w:left="755"/>
        <w:jc w:val="both"/>
        <w:rPr>
          <w:rFonts w:ascii="David" w:hAnsi="David" w:cs="David"/>
          <w:sz w:val="24"/>
          <w:szCs w:val="24"/>
        </w:rPr>
      </w:pPr>
    </w:p>
    <w:p w:rsidR="00F0335E" w:rsidRDefault="00F0335E" w:rsidP="00F0335E">
      <w:pPr>
        <w:pStyle w:val="af"/>
        <w:numPr>
          <w:ilvl w:val="0"/>
          <w:numId w:val="8"/>
        </w:numPr>
        <w:spacing w:line="360" w:lineRule="auto"/>
        <w:jc w:val="both"/>
        <w:rPr>
          <w:rFonts w:ascii="David" w:hAnsi="David" w:cs="David"/>
          <w:sz w:val="24"/>
          <w:szCs w:val="24"/>
          <w:rtl/>
        </w:rPr>
      </w:pPr>
      <w:r>
        <w:rPr>
          <w:rFonts w:ascii="David" w:hAnsi="David" w:cs="David"/>
          <w:sz w:val="24"/>
          <w:szCs w:val="24"/>
          <w:u w:val="single"/>
          <w:rtl/>
        </w:rPr>
        <w:t>התייחסות לפרסום ולכך שהנתבעת לא נקבה בשמה של התובעת</w:t>
      </w:r>
    </w:p>
    <w:p w:rsidR="00F0335E" w:rsidRDefault="00F0335E" w:rsidP="00794214">
      <w:pPr>
        <w:pStyle w:val="af"/>
        <w:numPr>
          <w:ilvl w:val="0"/>
          <w:numId w:val="3"/>
        </w:numPr>
        <w:spacing w:line="360" w:lineRule="auto"/>
        <w:ind w:left="1076" w:hanging="283"/>
        <w:jc w:val="both"/>
        <w:rPr>
          <w:rFonts w:ascii="David" w:hAnsi="David" w:cs="David"/>
          <w:sz w:val="24"/>
          <w:szCs w:val="24"/>
          <w:rtl/>
        </w:rPr>
      </w:pPr>
      <w:r>
        <w:rPr>
          <w:rFonts w:ascii="David" w:hAnsi="David" w:cs="David"/>
          <w:sz w:val="24"/>
          <w:szCs w:val="24"/>
          <w:rtl/>
        </w:rPr>
        <w:t>הנתבעת נזהרה ולא נקבה בפרסומיה בשמה של התובעת. לטענתה של התובעת, עדיין ניתן היה לזהות אותה וזאת אם קוראי הפרסומים היו עורכים מעין עבודת מחקר בפרסומיה הקודמים של הנתבעת.</w:t>
      </w:r>
    </w:p>
    <w:p w:rsidR="00F0335E" w:rsidRDefault="00F0335E" w:rsidP="00F0335E">
      <w:pPr>
        <w:pStyle w:val="af"/>
        <w:spacing w:line="360" w:lineRule="auto"/>
        <w:ind w:left="1440"/>
        <w:jc w:val="both"/>
        <w:rPr>
          <w:rFonts w:ascii="David" w:hAnsi="David" w:cs="David"/>
          <w:sz w:val="24"/>
          <w:szCs w:val="24"/>
        </w:rPr>
      </w:pPr>
    </w:p>
    <w:p w:rsidR="00F0335E" w:rsidRDefault="00F0335E" w:rsidP="00794214">
      <w:pPr>
        <w:pStyle w:val="af"/>
        <w:numPr>
          <w:ilvl w:val="0"/>
          <w:numId w:val="3"/>
        </w:numPr>
        <w:spacing w:line="360" w:lineRule="auto"/>
        <w:ind w:left="1076" w:hanging="283"/>
        <w:jc w:val="both"/>
        <w:rPr>
          <w:rFonts w:ascii="David" w:hAnsi="David" w:cs="David"/>
          <w:sz w:val="24"/>
          <w:szCs w:val="24"/>
        </w:rPr>
      </w:pPr>
      <w:r>
        <w:rPr>
          <w:rFonts w:ascii="David" w:hAnsi="David" w:cs="David"/>
          <w:sz w:val="24"/>
          <w:szCs w:val="24"/>
          <w:rtl/>
        </w:rPr>
        <w:t>לאחר שקבעתי שממילא לא היו בפרסומים הנטענים משום לשון הרע, הרי על פניו ניתן להימנע מדיון בשאלה האם ניתן לקשר בין הפרסום האנונימי לבין התובעת. למעלה מהנדרש אציין שגם אין לקבל טענה לפיה לכל קורא סביר היה ברור שהפרסומים מתייחסים אל התובעת. טענה זו כלל לא הוכחה.</w:t>
      </w:r>
    </w:p>
    <w:p w:rsidR="00F0335E" w:rsidRDefault="00F0335E" w:rsidP="00F0335E">
      <w:pPr>
        <w:pStyle w:val="af"/>
        <w:rPr>
          <w:rFonts w:ascii="David" w:hAnsi="David" w:cs="David"/>
          <w:sz w:val="24"/>
          <w:szCs w:val="24"/>
        </w:rPr>
      </w:pPr>
    </w:p>
    <w:p w:rsidR="00F0335E" w:rsidRDefault="00F0335E" w:rsidP="00794214">
      <w:pPr>
        <w:pStyle w:val="af"/>
        <w:numPr>
          <w:ilvl w:val="0"/>
          <w:numId w:val="3"/>
        </w:numPr>
        <w:spacing w:line="360" w:lineRule="auto"/>
        <w:ind w:left="1076" w:hanging="283"/>
        <w:jc w:val="both"/>
        <w:rPr>
          <w:rFonts w:ascii="David" w:hAnsi="David" w:cs="David"/>
          <w:sz w:val="24"/>
          <w:szCs w:val="24"/>
          <w:rtl/>
        </w:rPr>
      </w:pPr>
      <w:r>
        <w:rPr>
          <w:rFonts w:ascii="David" w:hAnsi="David" w:cs="David"/>
          <w:sz w:val="24"/>
          <w:szCs w:val="24"/>
          <w:rtl/>
        </w:rPr>
        <w:t xml:space="preserve">אכן התובעת ידעה היטב שהנתבעת נרשמה לקורס שלה ואכן ידעה שהטענות המועלות בפרסומים מופנות אליה. </w:t>
      </w:r>
      <w:r>
        <w:rPr>
          <w:rFonts w:ascii="David" w:hAnsi="David" w:cs="David"/>
          <w:sz w:val="24"/>
          <w:szCs w:val="24"/>
          <w:u w:val="single"/>
          <w:rtl/>
        </w:rPr>
        <w:t>עם זאת לא הוכח</w:t>
      </w:r>
      <w:r>
        <w:rPr>
          <w:rFonts w:ascii="David" w:hAnsi="David" w:cs="David"/>
          <w:sz w:val="24"/>
          <w:szCs w:val="24"/>
          <w:rtl/>
        </w:rPr>
        <w:t xml:space="preserve"> שגם אדם רגיל, מן השורה, היה מקשר את הפרסומים דווקא אל התובעת; </w:t>
      </w:r>
      <w:r>
        <w:rPr>
          <w:rFonts w:ascii="David" w:hAnsi="David" w:cs="David"/>
          <w:sz w:val="24"/>
          <w:szCs w:val="24"/>
          <w:u w:val="single"/>
          <w:rtl/>
        </w:rPr>
        <w:t>לא הוכח</w:t>
      </w:r>
      <w:r>
        <w:rPr>
          <w:rFonts w:ascii="David" w:hAnsi="David" w:cs="David"/>
          <w:sz w:val="24"/>
          <w:szCs w:val="24"/>
          <w:rtl/>
        </w:rPr>
        <w:t xml:space="preserve"> שהתובעת היא היחידה המעבירה קורסים, באופן שכל ביקורת תקושר דווקא אליה; </w:t>
      </w:r>
      <w:r>
        <w:rPr>
          <w:rFonts w:ascii="David" w:hAnsi="David" w:cs="David"/>
          <w:sz w:val="24"/>
          <w:szCs w:val="24"/>
          <w:u w:val="single"/>
          <w:rtl/>
        </w:rPr>
        <w:t xml:space="preserve">לא הובאה </w:t>
      </w:r>
      <w:r>
        <w:rPr>
          <w:rFonts w:ascii="David" w:hAnsi="David" w:cs="David"/>
          <w:sz w:val="24"/>
          <w:szCs w:val="24"/>
          <w:rtl/>
        </w:rPr>
        <w:t xml:space="preserve">כל עדות של צד ג' אשר יעיד שקישר בין הפרסומים לבין התובעת. </w:t>
      </w:r>
    </w:p>
    <w:p w:rsidR="00F0335E" w:rsidRDefault="00F0335E" w:rsidP="00F0335E">
      <w:pPr>
        <w:pStyle w:val="af"/>
        <w:spacing w:line="360" w:lineRule="auto"/>
        <w:ind w:left="-172"/>
        <w:jc w:val="both"/>
        <w:rPr>
          <w:rFonts w:ascii="David" w:hAnsi="David" w:cs="David"/>
          <w:sz w:val="24"/>
          <w:szCs w:val="24"/>
          <w:u w:val="single"/>
          <w:rtl/>
        </w:rPr>
      </w:pPr>
    </w:p>
    <w:p w:rsidR="00F0335E" w:rsidRDefault="00F0335E" w:rsidP="00F0335E">
      <w:pPr>
        <w:pStyle w:val="af"/>
        <w:numPr>
          <w:ilvl w:val="0"/>
          <w:numId w:val="1"/>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מסגרת פרסום שניה משלוש - אמירות נטענות במסגרת התכתבות מסרונים בין הנתבעת לשתיים מחברותיה ללימודים (שתי אמירות)</w:t>
      </w:r>
    </w:p>
    <w:p w:rsidR="00F0335E" w:rsidRDefault="00F0335E" w:rsidP="00F0335E">
      <w:pPr>
        <w:pStyle w:val="af"/>
        <w:numPr>
          <w:ilvl w:val="1"/>
          <w:numId w:val="1"/>
        </w:numPr>
        <w:spacing w:line="360" w:lineRule="auto"/>
        <w:ind w:left="395" w:hanging="567"/>
        <w:jc w:val="both"/>
        <w:rPr>
          <w:rFonts w:ascii="David" w:hAnsi="David" w:cs="David"/>
          <w:b/>
          <w:bCs/>
          <w:sz w:val="24"/>
          <w:szCs w:val="24"/>
        </w:rPr>
      </w:pPr>
      <w:r>
        <w:rPr>
          <w:rFonts w:ascii="David" w:hAnsi="David" w:cs="David"/>
          <w:sz w:val="24"/>
          <w:szCs w:val="24"/>
          <w:rtl/>
        </w:rPr>
        <w:t>התובעת טוענת לכך ששמה ידיה על התכתבות בין הנתבעת לבין שתיים מחברותיה ללימודים. מאותה התכתבות חילצה התובעת על שתי האמירות הבאות שלטעמה הן בגדר הוצאת לשון הרע:</w:t>
      </w:r>
    </w:p>
    <w:p w:rsidR="00F0335E" w:rsidRDefault="00F0335E" w:rsidP="00F0335E">
      <w:pPr>
        <w:pStyle w:val="af"/>
        <w:numPr>
          <w:ilvl w:val="0"/>
          <w:numId w:val="9"/>
        </w:numPr>
        <w:spacing w:line="360" w:lineRule="auto"/>
        <w:jc w:val="both"/>
        <w:rPr>
          <w:rFonts w:ascii="David" w:hAnsi="David" w:cs="David"/>
          <w:sz w:val="24"/>
          <w:szCs w:val="24"/>
        </w:rPr>
      </w:pPr>
      <w:r>
        <w:rPr>
          <w:rFonts w:ascii="David" w:hAnsi="David" w:cs="David"/>
          <w:b/>
          <w:bCs/>
          <w:sz w:val="24"/>
          <w:szCs w:val="24"/>
          <w:rtl/>
        </w:rPr>
        <w:t>"אף אחד לא יפרנס את המכשפה הזאת"</w:t>
      </w:r>
      <w:r>
        <w:rPr>
          <w:rFonts w:ascii="David" w:hAnsi="David" w:cs="David"/>
          <w:sz w:val="24"/>
          <w:szCs w:val="24"/>
          <w:rtl/>
        </w:rPr>
        <w:t>;</w:t>
      </w:r>
    </w:p>
    <w:p w:rsidR="00F0335E" w:rsidRDefault="00F0335E" w:rsidP="00F0335E">
      <w:pPr>
        <w:pStyle w:val="af"/>
        <w:numPr>
          <w:ilvl w:val="0"/>
          <w:numId w:val="9"/>
        </w:numPr>
        <w:spacing w:line="360" w:lineRule="auto"/>
        <w:jc w:val="both"/>
        <w:rPr>
          <w:rFonts w:ascii="David" w:hAnsi="David" w:cs="David"/>
          <w:sz w:val="24"/>
          <w:szCs w:val="24"/>
        </w:rPr>
      </w:pPr>
      <w:r>
        <w:rPr>
          <w:rFonts w:ascii="David" w:hAnsi="David" w:cs="David"/>
          <w:b/>
          <w:bCs/>
          <w:sz w:val="24"/>
          <w:szCs w:val="24"/>
          <w:rtl/>
        </w:rPr>
        <w:t>"דלית כרמי, לברוח כמו מאש"</w:t>
      </w:r>
      <w:r>
        <w:rPr>
          <w:rFonts w:ascii="David" w:hAnsi="David" w:cs="David"/>
          <w:sz w:val="24"/>
          <w:szCs w:val="24"/>
          <w:rtl/>
        </w:rPr>
        <w:t>.</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spacing w:line="360" w:lineRule="auto"/>
        <w:ind w:left="395"/>
        <w:jc w:val="both"/>
        <w:rPr>
          <w:rFonts w:ascii="David" w:hAnsi="David" w:cs="David"/>
          <w:sz w:val="24"/>
          <w:szCs w:val="24"/>
          <w:rtl/>
        </w:rPr>
      </w:pPr>
      <w:r>
        <w:rPr>
          <w:rFonts w:ascii="David" w:hAnsi="David" w:cs="David"/>
          <w:sz w:val="24"/>
          <w:szCs w:val="24"/>
          <w:rtl/>
        </w:rPr>
        <w:t>במלוא הכבוד, אין לראות באמירות אלה כאמירות שיש בהן משום הוצאת לשון הרע, ועל כך בפסקאות הבאות.</w:t>
      </w:r>
    </w:p>
    <w:p w:rsidR="00F0335E" w:rsidRDefault="00F0335E" w:rsidP="00F0335E">
      <w:pPr>
        <w:pStyle w:val="af"/>
        <w:spacing w:line="360" w:lineRule="auto"/>
        <w:ind w:left="395"/>
        <w:jc w:val="both"/>
        <w:rPr>
          <w:rFonts w:ascii="David" w:hAnsi="David" w:cs="David"/>
          <w:b/>
          <w:bCs/>
          <w:sz w:val="24"/>
          <w:szCs w:val="24"/>
          <w:rtl/>
        </w:rPr>
      </w:pPr>
    </w:p>
    <w:p w:rsidR="00F0335E" w:rsidRDefault="00F0335E" w:rsidP="00F0335E">
      <w:pPr>
        <w:pStyle w:val="af"/>
        <w:numPr>
          <w:ilvl w:val="1"/>
          <w:numId w:val="1"/>
        </w:numPr>
        <w:spacing w:line="360" w:lineRule="auto"/>
        <w:ind w:left="395" w:hanging="567"/>
        <w:jc w:val="both"/>
        <w:rPr>
          <w:rFonts w:ascii="David" w:hAnsi="David" w:cs="David"/>
          <w:b/>
          <w:bCs/>
          <w:sz w:val="24"/>
          <w:szCs w:val="24"/>
        </w:rPr>
      </w:pPr>
      <w:r>
        <w:rPr>
          <w:rFonts w:ascii="David" w:hAnsi="David" w:cs="David"/>
          <w:sz w:val="24"/>
          <w:szCs w:val="24"/>
          <w:rtl/>
        </w:rPr>
        <w:t>חברותיה של הנתבעת עימם התכתבה לא העידו. התובעת הסתפקה בהצגת צילומי מסך של מכשירי טלפון המיוחסים להן. לא ברור האם מדובר בהתכתבות מלאה, ועל פניו ההתכתבות שהוצגה היא חלק מתכתובת ארוכה יותר. התובעת אף נשאלה האם ההתכתבות מובאת במלואה או שמא יש בה חוסרים והשיבה כך (ע"מ 20, שורות 30-31, ההדגשות לא במקור):</w:t>
      </w:r>
    </w:p>
    <w:p w:rsidR="00F0335E" w:rsidRDefault="00F0335E" w:rsidP="00F0335E">
      <w:pPr>
        <w:pStyle w:val="ae"/>
        <w:shd w:val="clear" w:color="auto" w:fill="auto"/>
        <w:spacing w:line="360" w:lineRule="auto"/>
        <w:ind w:left="1440" w:firstLine="720"/>
        <w:jc w:val="both"/>
        <w:rPr>
          <w:rFonts w:cs="David"/>
          <w:sz w:val="24"/>
          <w:szCs w:val="24"/>
          <w:u w:val="none"/>
          <w:rtl/>
        </w:rPr>
      </w:pPr>
      <w:r>
        <w:rPr>
          <w:rFonts w:cs="David"/>
          <w:sz w:val="24"/>
          <w:szCs w:val="24"/>
          <w:u w:val="none"/>
          <w:rtl/>
        </w:rPr>
        <w:t xml:space="preserve">עו"ד דותן : </w:t>
      </w:r>
      <w:r>
        <w:rPr>
          <w:rFonts w:cs="David"/>
          <w:sz w:val="24"/>
          <w:szCs w:val="24"/>
          <w:u w:val="none"/>
          <w:rtl/>
        </w:rPr>
        <w:tab/>
      </w:r>
      <w:r>
        <w:rPr>
          <w:rFonts w:cs="David"/>
          <w:sz w:val="24"/>
          <w:szCs w:val="24"/>
          <w:u w:val="none"/>
          <w:rtl/>
        </w:rPr>
        <w:tab/>
        <w:t>או-קיי, האם הדברים מצולמים באורך מלא?</w:t>
      </w:r>
    </w:p>
    <w:p w:rsidR="00F0335E" w:rsidRDefault="00F0335E" w:rsidP="00F0335E">
      <w:pPr>
        <w:pStyle w:val="ae"/>
        <w:shd w:val="clear" w:color="auto" w:fill="auto"/>
        <w:spacing w:line="360" w:lineRule="auto"/>
        <w:ind w:left="1440" w:firstLine="720"/>
        <w:jc w:val="both"/>
        <w:rPr>
          <w:rFonts w:cs="David"/>
          <w:sz w:val="24"/>
          <w:szCs w:val="24"/>
          <w:u w:val="none"/>
        </w:rPr>
      </w:pPr>
      <w:r>
        <w:rPr>
          <w:rFonts w:cs="David"/>
          <w:sz w:val="24"/>
          <w:szCs w:val="24"/>
          <w:u w:val="none"/>
          <w:rtl/>
        </w:rPr>
        <w:t xml:space="preserve">העדה, גב' כרמי: </w:t>
      </w:r>
      <w:r>
        <w:rPr>
          <w:rFonts w:cs="David"/>
          <w:sz w:val="24"/>
          <w:szCs w:val="24"/>
          <w:u w:val="none"/>
          <w:rtl/>
        </w:rPr>
        <w:tab/>
        <w:t xml:space="preserve">אני </w:t>
      </w:r>
      <w:r>
        <w:rPr>
          <w:rFonts w:cs="David"/>
          <w:sz w:val="24"/>
          <w:szCs w:val="24"/>
          <w:rtl/>
        </w:rPr>
        <w:t>ביקשתי לקבל וזה מה שקיבלתי</w:t>
      </w:r>
      <w:r>
        <w:rPr>
          <w:rFonts w:cs="David"/>
          <w:sz w:val="24"/>
          <w:szCs w:val="24"/>
          <w:u w:val="none"/>
          <w:rtl/>
        </w:rPr>
        <w:t>.</w:t>
      </w:r>
    </w:p>
    <w:p w:rsidR="00F0335E" w:rsidRDefault="00F0335E" w:rsidP="00F0335E">
      <w:pPr>
        <w:pStyle w:val="ae"/>
        <w:shd w:val="clear" w:color="auto" w:fill="auto"/>
        <w:spacing w:line="360" w:lineRule="auto"/>
        <w:ind w:left="1985" w:hanging="1985"/>
        <w:jc w:val="both"/>
        <w:rPr>
          <w:rFonts w:cs="David"/>
          <w:b w:val="0"/>
          <w:bCs w:val="0"/>
          <w:sz w:val="24"/>
          <w:szCs w:val="24"/>
          <w:u w:val="none"/>
        </w:rPr>
      </w:pPr>
    </w:p>
    <w:p w:rsidR="00F0335E" w:rsidRDefault="00F0335E" w:rsidP="00F0335E">
      <w:pPr>
        <w:pStyle w:val="af"/>
        <w:spacing w:line="360" w:lineRule="auto"/>
        <w:ind w:left="397"/>
        <w:jc w:val="both"/>
        <w:rPr>
          <w:rFonts w:ascii="David" w:hAnsi="David" w:cs="David"/>
          <w:sz w:val="24"/>
          <w:szCs w:val="24"/>
          <w:rtl/>
        </w:rPr>
      </w:pPr>
      <w:r>
        <w:rPr>
          <w:rFonts w:ascii="David" w:hAnsi="David" w:cs="David"/>
          <w:sz w:val="24"/>
          <w:szCs w:val="24"/>
          <w:rtl/>
        </w:rPr>
        <w:t xml:space="preserve">ובהמשך נשאלה והשיבה התובעת (ע"מ 21, שורות 1-4, ההדגשות לא במקור): </w:t>
      </w:r>
    </w:p>
    <w:p w:rsidR="00F0335E" w:rsidRDefault="00F0335E" w:rsidP="00F0335E">
      <w:pPr>
        <w:pStyle w:val="ae"/>
        <w:shd w:val="clear" w:color="auto" w:fill="auto"/>
        <w:spacing w:line="360" w:lineRule="auto"/>
        <w:ind w:left="4320" w:hanging="2160"/>
        <w:jc w:val="both"/>
        <w:rPr>
          <w:rFonts w:cs="David"/>
          <w:sz w:val="24"/>
          <w:szCs w:val="24"/>
          <w:u w:val="none"/>
          <w:rtl/>
        </w:rPr>
      </w:pPr>
      <w:r>
        <w:rPr>
          <w:rFonts w:cs="David"/>
          <w:sz w:val="24"/>
          <w:szCs w:val="24"/>
          <w:u w:val="none"/>
          <w:rtl/>
        </w:rPr>
        <w:t xml:space="preserve">עו"ד דותן : </w:t>
      </w:r>
      <w:r>
        <w:rPr>
          <w:rFonts w:cs="David"/>
          <w:sz w:val="24"/>
          <w:szCs w:val="24"/>
          <w:u w:val="none"/>
          <w:rtl/>
        </w:rPr>
        <w:tab/>
        <w:t>מה זאת אומרת? אם השיחה לא הובאה באופן מלא, איך אני יודע שהדברים לא (לא ברור)?</w:t>
      </w:r>
    </w:p>
    <w:p w:rsidR="00F0335E" w:rsidRDefault="00F0335E" w:rsidP="00F0335E">
      <w:pPr>
        <w:pStyle w:val="ae"/>
        <w:shd w:val="clear" w:color="auto" w:fill="auto"/>
        <w:spacing w:line="360" w:lineRule="auto"/>
        <w:ind w:left="4320" w:hanging="2160"/>
        <w:jc w:val="both"/>
        <w:rPr>
          <w:rFonts w:cs="David"/>
          <w:sz w:val="24"/>
          <w:szCs w:val="24"/>
          <w:u w:val="none"/>
        </w:rPr>
      </w:pPr>
      <w:r>
        <w:rPr>
          <w:rFonts w:cs="David"/>
          <w:sz w:val="24"/>
          <w:szCs w:val="24"/>
          <w:u w:val="none"/>
          <w:rtl/>
        </w:rPr>
        <w:t xml:space="preserve">העדה, גב' כרמי: </w:t>
      </w:r>
      <w:r>
        <w:rPr>
          <w:rFonts w:cs="David"/>
          <w:sz w:val="24"/>
          <w:szCs w:val="24"/>
          <w:u w:val="none"/>
          <w:rtl/>
        </w:rPr>
        <w:tab/>
        <w:t xml:space="preserve">אני </w:t>
      </w:r>
      <w:r>
        <w:rPr>
          <w:rFonts w:cs="David"/>
          <w:sz w:val="24"/>
          <w:szCs w:val="24"/>
          <w:rtl/>
        </w:rPr>
        <w:t>לא יודעת אם היא הובאה באופן מלא</w:t>
      </w:r>
      <w:r>
        <w:rPr>
          <w:rFonts w:cs="David"/>
          <w:sz w:val="24"/>
          <w:szCs w:val="24"/>
          <w:u w:val="none"/>
          <w:rtl/>
        </w:rPr>
        <w:t xml:space="preserve">. אני </w:t>
      </w:r>
      <w:r>
        <w:rPr>
          <w:rFonts w:cs="David"/>
          <w:sz w:val="24"/>
          <w:szCs w:val="24"/>
          <w:rtl/>
        </w:rPr>
        <w:t>ביקשתי מהבחורה לשלוח לי העתק של מה שנכתב עליי</w:t>
      </w:r>
      <w:r>
        <w:rPr>
          <w:rFonts w:cs="David"/>
          <w:sz w:val="24"/>
          <w:szCs w:val="24"/>
          <w:u w:val="none"/>
          <w:rtl/>
        </w:rPr>
        <w:t xml:space="preserve"> וזה מה שהיא שלחה לי.</w:t>
      </w:r>
    </w:p>
    <w:p w:rsidR="00F0335E" w:rsidRDefault="00F0335E" w:rsidP="00F0335E">
      <w:pPr>
        <w:pStyle w:val="af"/>
        <w:rPr>
          <w:rFonts w:ascii="David" w:hAnsi="David" w:cs="David"/>
          <w:b/>
          <w:bCs/>
          <w:sz w:val="24"/>
          <w:szCs w:val="24"/>
        </w:rPr>
      </w:pPr>
    </w:p>
    <w:p w:rsidR="00F0335E" w:rsidRDefault="00F0335E" w:rsidP="00F0335E">
      <w:pPr>
        <w:pStyle w:val="af"/>
        <w:spacing w:line="360" w:lineRule="auto"/>
        <w:ind w:left="395"/>
        <w:jc w:val="both"/>
        <w:rPr>
          <w:rFonts w:ascii="David" w:hAnsi="David" w:cs="David"/>
          <w:sz w:val="24"/>
          <w:szCs w:val="24"/>
          <w:rtl/>
        </w:rPr>
      </w:pPr>
      <w:r>
        <w:rPr>
          <w:rFonts w:ascii="David" w:hAnsi="David" w:cs="David"/>
          <w:sz w:val="24"/>
          <w:szCs w:val="24"/>
          <w:rtl/>
        </w:rPr>
        <w:t>ביחס לכך שאותן חברות לא זומנו נשאלה והשיבה התובעת (ע"מ 20 לפרוטוקול, שורות 32-34):</w:t>
      </w:r>
    </w:p>
    <w:p w:rsidR="00F0335E" w:rsidRDefault="00F0335E" w:rsidP="00F0335E">
      <w:pPr>
        <w:pStyle w:val="ae"/>
        <w:shd w:val="clear" w:color="auto" w:fill="auto"/>
        <w:spacing w:line="360" w:lineRule="auto"/>
        <w:ind w:left="1440" w:firstLine="720"/>
        <w:jc w:val="both"/>
        <w:rPr>
          <w:rFonts w:cs="David"/>
          <w:sz w:val="24"/>
          <w:szCs w:val="24"/>
          <w:u w:val="none"/>
        </w:rPr>
      </w:pPr>
      <w:r>
        <w:rPr>
          <w:rFonts w:cs="David"/>
          <w:sz w:val="24"/>
          <w:szCs w:val="24"/>
          <w:u w:val="none"/>
          <w:rtl/>
        </w:rPr>
        <w:t xml:space="preserve">עו"ד דותן : </w:t>
      </w:r>
      <w:r>
        <w:rPr>
          <w:rFonts w:cs="David"/>
          <w:sz w:val="24"/>
          <w:szCs w:val="24"/>
          <w:u w:val="none"/>
          <w:rtl/>
        </w:rPr>
        <w:tab/>
      </w:r>
      <w:r>
        <w:rPr>
          <w:rFonts w:cs="David"/>
          <w:sz w:val="24"/>
          <w:szCs w:val="24"/>
          <w:u w:val="none"/>
          <w:rtl/>
        </w:rPr>
        <w:tab/>
        <w:t>האם ביקשת להזמין את רעות למתן עדות?</w:t>
      </w:r>
    </w:p>
    <w:p w:rsidR="00F0335E" w:rsidRDefault="00F0335E" w:rsidP="00F0335E">
      <w:pPr>
        <w:pStyle w:val="af"/>
        <w:spacing w:line="360" w:lineRule="auto"/>
        <w:ind w:left="4320" w:hanging="2160"/>
        <w:jc w:val="both"/>
        <w:rPr>
          <w:rFonts w:ascii="David" w:hAnsi="David" w:cs="David"/>
          <w:b/>
          <w:bCs/>
          <w:sz w:val="24"/>
          <w:szCs w:val="24"/>
        </w:rPr>
      </w:pPr>
      <w:r>
        <w:rPr>
          <w:rFonts w:cs="David"/>
          <w:b/>
          <w:bCs/>
          <w:sz w:val="24"/>
          <w:szCs w:val="24"/>
          <w:rtl/>
        </w:rPr>
        <w:t xml:space="preserve">העדה, גב' כרמי: </w:t>
      </w:r>
      <w:r>
        <w:rPr>
          <w:rFonts w:cs="David"/>
          <w:b/>
          <w:bCs/>
          <w:sz w:val="24"/>
          <w:szCs w:val="24"/>
          <w:rtl/>
        </w:rPr>
        <w:tab/>
      </w:r>
      <w:r>
        <w:rPr>
          <w:rFonts w:cs="David"/>
          <w:b/>
          <w:bCs/>
          <w:sz w:val="24"/>
          <w:szCs w:val="24"/>
          <w:u w:val="single"/>
          <w:rtl/>
        </w:rPr>
        <w:t>לא</w:t>
      </w:r>
      <w:r>
        <w:rPr>
          <w:rFonts w:cs="David"/>
          <w:b/>
          <w:bCs/>
          <w:sz w:val="24"/>
          <w:szCs w:val="24"/>
          <w:rtl/>
        </w:rPr>
        <w:t xml:space="preserve"> אנחנו הבנו שאין פה שום צורך להוכיח את הפרסום, הפרסום הוא קיים, כולם יודעים שזה פורסם ולכן אין לי שום צורך להביא את רעות.</w:t>
      </w:r>
    </w:p>
    <w:p w:rsidR="00F0335E" w:rsidRDefault="00F0335E" w:rsidP="00F0335E">
      <w:pPr>
        <w:pStyle w:val="af"/>
        <w:rPr>
          <w:rFonts w:ascii="David" w:hAnsi="David" w:cs="David"/>
          <w:b/>
          <w:bCs/>
          <w:sz w:val="24"/>
          <w:szCs w:val="24"/>
          <w:rtl/>
        </w:rPr>
      </w:pPr>
    </w:p>
    <w:p w:rsidR="00F0335E" w:rsidRDefault="00F0335E" w:rsidP="00F0335E">
      <w:pPr>
        <w:pStyle w:val="af"/>
        <w:spacing w:line="360" w:lineRule="auto"/>
        <w:ind w:left="395"/>
        <w:jc w:val="both"/>
        <w:rPr>
          <w:rFonts w:ascii="David" w:hAnsi="David" w:cs="David"/>
          <w:sz w:val="24"/>
          <w:szCs w:val="24"/>
          <w:rtl/>
        </w:rPr>
      </w:pPr>
      <w:r>
        <w:rPr>
          <w:rFonts w:ascii="David" w:hAnsi="David" w:cs="David"/>
          <w:sz w:val="24"/>
          <w:szCs w:val="24"/>
          <w:rtl/>
        </w:rPr>
        <w:t>כלומר, לפנינו קטעי התכתבות מצולמים, כאשר מלוא השיחה כלל לא צורפה. לא ידוע האם מדובר בשיחה שצולמה כדין ובמלואה. ובנוסף - העדות הרלוונטיות לא זומנו שכן התובעת הבינה ש"אין פה שום צורך להוכיח את הפרסום".</w:t>
      </w:r>
    </w:p>
    <w:p w:rsidR="00F0335E" w:rsidRDefault="00F0335E" w:rsidP="00F0335E">
      <w:pPr>
        <w:pStyle w:val="af"/>
        <w:rPr>
          <w:rFonts w:ascii="David" w:hAnsi="David" w:cs="David"/>
          <w:sz w:val="24"/>
          <w:szCs w:val="24"/>
          <w:rtl/>
        </w:rPr>
      </w:pPr>
    </w:p>
    <w:p w:rsidR="00794214" w:rsidRDefault="00794214" w:rsidP="00F0335E">
      <w:pPr>
        <w:pStyle w:val="af"/>
        <w:rPr>
          <w:rFonts w:ascii="David" w:hAnsi="David" w:cs="David"/>
          <w:sz w:val="24"/>
          <w:szCs w:val="24"/>
          <w:rtl/>
        </w:rPr>
      </w:pPr>
    </w:p>
    <w:p w:rsidR="00F0335E" w:rsidRDefault="00F0335E" w:rsidP="00F0335E">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u w:val="single"/>
          <w:rtl/>
        </w:rPr>
        <w:t>האמירות</w:t>
      </w:r>
      <w:r w:rsidR="00B302C9">
        <w:rPr>
          <w:rFonts w:ascii="David" w:hAnsi="David" w:cs="David" w:hint="cs"/>
          <w:sz w:val="24"/>
          <w:szCs w:val="24"/>
          <w:u w:val="single"/>
          <w:rtl/>
        </w:rPr>
        <w:t xml:space="preserve"> במסרונים בין החברות ללימודים</w:t>
      </w:r>
      <w:r>
        <w:rPr>
          <w:rFonts w:ascii="David" w:hAnsi="David" w:cs="David"/>
          <w:sz w:val="24"/>
          <w:szCs w:val="24"/>
          <w:u w:val="single"/>
          <w:rtl/>
        </w:rPr>
        <w:t xml:space="preserve"> אינן בגדר לשון הרע</w:t>
      </w:r>
    </w:p>
    <w:p w:rsidR="00F0335E" w:rsidRPr="00B302C9" w:rsidRDefault="00F0335E" w:rsidP="00B302C9">
      <w:pPr>
        <w:pStyle w:val="af"/>
        <w:numPr>
          <w:ilvl w:val="0"/>
          <w:numId w:val="17"/>
        </w:numPr>
        <w:spacing w:line="360" w:lineRule="auto"/>
        <w:jc w:val="both"/>
        <w:rPr>
          <w:rFonts w:ascii="David" w:hAnsi="David" w:cs="David"/>
          <w:sz w:val="24"/>
          <w:szCs w:val="24"/>
        </w:rPr>
      </w:pPr>
      <w:r w:rsidRPr="00B302C9">
        <w:rPr>
          <w:rFonts w:ascii="David" w:hAnsi="David" w:cs="David"/>
          <w:sz w:val="24"/>
          <w:szCs w:val="24"/>
          <w:rtl/>
        </w:rPr>
        <w:t>האמירות אליהן מפנה התובעת אמנם אינן מחמיאות, אך גם אינן בגדר "לשון הרע". כאשר מתייחסים לשיחה בין חברות ללימודים, הרי קיימות אמירות קשות יותר ופוגעות יותר מאשר שתי אלה שיוחסו לנתבעת.</w:t>
      </w:r>
    </w:p>
    <w:p w:rsidR="00F0335E" w:rsidRDefault="00F0335E" w:rsidP="00F0335E">
      <w:pPr>
        <w:pStyle w:val="af"/>
        <w:spacing w:line="360" w:lineRule="auto"/>
        <w:ind w:left="755"/>
        <w:jc w:val="both"/>
        <w:rPr>
          <w:rFonts w:ascii="David" w:hAnsi="David" w:cs="David"/>
          <w:sz w:val="24"/>
          <w:szCs w:val="24"/>
        </w:rPr>
      </w:pPr>
    </w:p>
    <w:p w:rsidR="00F0335E" w:rsidRDefault="00F0335E" w:rsidP="00B377C5">
      <w:pPr>
        <w:pStyle w:val="af"/>
        <w:numPr>
          <w:ilvl w:val="0"/>
          <w:numId w:val="17"/>
        </w:numPr>
        <w:spacing w:line="360" w:lineRule="auto"/>
        <w:jc w:val="both"/>
        <w:rPr>
          <w:rFonts w:ascii="David" w:hAnsi="David" w:cs="David"/>
          <w:sz w:val="24"/>
          <w:szCs w:val="24"/>
        </w:rPr>
      </w:pPr>
      <w:r>
        <w:rPr>
          <w:rFonts w:ascii="David" w:hAnsi="David" w:cs="David"/>
          <w:sz w:val="24"/>
          <w:szCs w:val="24"/>
          <w:rtl/>
        </w:rPr>
        <w:t>אין להתעלם מהעובדה שהשיחה בין הנתבעת לכל אחת מחברותיה התייחסה לביקורת שנמתחה על התובעת ועל הקורס אותו היא מעבירה. בשיחת חולין בין חברות לקבוצה מסוימת, אין זה מופרך לכלול אמירות כמו "לברוח כמו מאש", או אפילו כינוי "מכשפה". אין מדובר גם בגידופים גסים, אלא בתיאור מצב כפי שהובא בניסוחה של הנתבעת.</w:t>
      </w:r>
    </w:p>
    <w:p w:rsidR="00B302C9" w:rsidRDefault="00B302C9" w:rsidP="00B302C9">
      <w:pPr>
        <w:pStyle w:val="af"/>
        <w:spacing w:line="360" w:lineRule="auto"/>
        <w:ind w:left="755"/>
        <w:jc w:val="both"/>
        <w:rPr>
          <w:rFonts w:ascii="David" w:hAnsi="David" w:cs="David"/>
          <w:sz w:val="24"/>
          <w:szCs w:val="24"/>
        </w:rPr>
      </w:pPr>
    </w:p>
    <w:p w:rsidR="00F0335E" w:rsidRDefault="00F0335E" w:rsidP="00F0335E">
      <w:pPr>
        <w:pStyle w:val="af"/>
        <w:numPr>
          <w:ilvl w:val="1"/>
          <w:numId w:val="1"/>
        </w:numPr>
        <w:spacing w:line="360" w:lineRule="auto"/>
        <w:ind w:left="395" w:hanging="567"/>
        <w:jc w:val="both"/>
        <w:rPr>
          <w:rFonts w:ascii="David" w:hAnsi="David" w:cs="David"/>
          <w:b/>
          <w:bCs/>
          <w:sz w:val="24"/>
          <w:szCs w:val="24"/>
        </w:rPr>
      </w:pPr>
      <w:r>
        <w:rPr>
          <w:rFonts w:ascii="David" w:hAnsi="David" w:cs="David"/>
          <w:sz w:val="24"/>
          <w:szCs w:val="24"/>
          <w:u w:val="single"/>
          <w:rtl/>
        </w:rPr>
        <w:t>כיצד יש להתייחס להתכתבות בין שתי חברות למסגרת לימודים?</w:t>
      </w:r>
      <w:r>
        <w:rPr>
          <w:rFonts w:ascii="David" w:hAnsi="David" w:cs="David"/>
          <w:sz w:val="24"/>
          <w:szCs w:val="24"/>
          <w:rtl/>
        </w:rPr>
        <w:t xml:space="preserve"> </w:t>
      </w:r>
    </w:p>
    <w:p w:rsidR="00F0335E" w:rsidRDefault="00F0335E" w:rsidP="00F0335E">
      <w:pPr>
        <w:pStyle w:val="af"/>
        <w:numPr>
          <w:ilvl w:val="0"/>
          <w:numId w:val="10"/>
        </w:numPr>
        <w:spacing w:line="360" w:lineRule="auto"/>
        <w:jc w:val="both"/>
        <w:rPr>
          <w:rFonts w:ascii="David" w:hAnsi="David" w:cs="David"/>
          <w:sz w:val="24"/>
          <w:szCs w:val="24"/>
        </w:rPr>
      </w:pPr>
      <w:r>
        <w:rPr>
          <w:rFonts w:ascii="David" w:hAnsi="David" w:cs="David"/>
          <w:sz w:val="24"/>
          <w:szCs w:val="24"/>
          <w:rtl/>
        </w:rPr>
        <w:t xml:space="preserve">כאן המקום להדגיש שיש להיזהר כאשר אנו בוחנים אמירות המועברות בשיחה אישית, או התכתבות אישית בין חברות או חברים במסגרת לימודים. כך גם יש להיזהר בבחינת אמירות בשיחה או התכתבות אישית בין כל שניים הנמצאים בקשרי חברות. </w:t>
      </w:r>
    </w:p>
    <w:p w:rsidR="00F0335E" w:rsidRDefault="00F0335E" w:rsidP="00F0335E">
      <w:pPr>
        <w:pStyle w:val="af"/>
        <w:spacing w:line="360" w:lineRule="auto"/>
        <w:ind w:left="395"/>
        <w:jc w:val="both"/>
        <w:rPr>
          <w:rFonts w:ascii="David" w:hAnsi="David" w:cs="David"/>
          <w:sz w:val="24"/>
          <w:szCs w:val="24"/>
        </w:rPr>
      </w:pPr>
    </w:p>
    <w:p w:rsidR="00F0335E" w:rsidRDefault="00F0335E" w:rsidP="00F0335E">
      <w:pPr>
        <w:pStyle w:val="af"/>
        <w:spacing w:line="360" w:lineRule="auto"/>
        <w:ind w:left="820"/>
        <w:jc w:val="both"/>
        <w:rPr>
          <w:rFonts w:ascii="David" w:hAnsi="David" w:cs="David"/>
          <w:sz w:val="24"/>
          <w:szCs w:val="24"/>
          <w:rtl/>
        </w:rPr>
      </w:pPr>
      <w:r>
        <w:rPr>
          <w:rFonts w:ascii="David" w:hAnsi="David" w:cs="David"/>
          <w:sz w:val="24"/>
          <w:szCs w:val="24"/>
          <w:rtl/>
        </w:rPr>
        <w:t xml:space="preserve">יש להיזהר פן ההגנה על הוראות חוק איסור לשון הרע לא תקום עלינו ותהפוך למקור לפגיעה בפרטיות, ולמקור הגבלה וצנזורה עצמית. כך נמצא עצמנו פוגעים לא רק בחופש הביטוי אלא גם במרקם החיים החברתיים. </w:t>
      </w:r>
    </w:p>
    <w:p w:rsidR="00F0335E" w:rsidRDefault="00F0335E" w:rsidP="00F0335E">
      <w:pPr>
        <w:pStyle w:val="af"/>
        <w:spacing w:line="360" w:lineRule="auto"/>
        <w:ind w:left="395"/>
        <w:jc w:val="both"/>
        <w:rPr>
          <w:rFonts w:ascii="David" w:hAnsi="David" w:cs="David"/>
          <w:sz w:val="24"/>
          <w:szCs w:val="24"/>
          <w:rtl/>
        </w:rPr>
      </w:pPr>
    </w:p>
    <w:p w:rsidR="00F0335E" w:rsidRDefault="00F0335E" w:rsidP="00F0335E">
      <w:pPr>
        <w:pStyle w:val="af"/>
        <w:numPr>
          <w:ilvl w:val="0"/>
          <w:numId w:val="10"/>
        </w:numPr>
        <w:spacing w:line="360" w:lineRule="auto"/>
        <w:jc w:val="both"/>
        <w:rPr>
          <w:rFonts w:ascii="David" w:hAnsi="David" w:cs="David"/>
          <w:sz w:val="24"/>
          <w:szCs w:val="24"/>
          <w:rtl/>
        </w:rPr>
      </w:pPr>
      <w:r>
        <w:rPr>
          <w:rFonts w:ascii="David" w:hAnsi="David" w:cs="David"/>
          <w:sz w:val="24"/>
          <w:szCs w:val="24"/>
          <w:rtl/>
        </w:rPr>
        <w:t>להרחבה לעניין זה ר' למשל ספרם של חאלד גנאים, מרדכי קרמניצר, בועז שנור</w:t>
      </w:r>
      <w:r>
        <w:rPr>
          <w:rFonts w:ascii="David" w:hAnsi="David" w:cs="David"/>
          <w:sz w:val="24"/>
          <w:szCs w:val="24"/>
          <w:u w:val="single"/>
          <w:rtl/>
        </w:rPr>
        <w:t>, דיני לשון הרע הדין המצוי והדין הרצוי</w:t>
      </w:r>
      <w:r>
        <w:rPr>
          <w:rFonts w:ascii="David" w:hAnsi="David" w:cs="David"/>
          <w:b/>
          <w:bCs/>
          <w:sz w:val="24"/>
          <w:szCs w:val="24"/>
          <w:rtl/>
        </w:rPr>
        <w:t>,</w:t>
      </w:r>
      <w:r>
        <w:rPr>
          <w:rFonts w:ascii="David" w:hAnsi="David" w:cs="David"/>
          <w:sz w:val="24"/>
          <w:szCs w:val="24"/>
          <w:rtl/>
        </w:rPr>
        <w:t xml:space="preserve"> שם בע"מ 394 הובעה הצעה לחקיקה המבטאת את העיקרון הקיים לפיו – </w:t>
      </w:r>
      <w:r>
        <w:rPr>
          <w:rFonts w:ascii="David" w:hAnsi="David" w:cs="David"/>
          <w:b/>
          <w:bCs/>
          <w:sz w:val="24"/>
          <w:szCs w:val="24"/>
          <w:rtl/>
        </w:rPr>
        <w:t>"התבטאות חופשית כזו במעגל הקרוב היא הכרחית להתפתחותו של הפרט ולעיצוב אישיותו החברתית. משום שמדובר בצורך אנושי בסיסי, זו התנהגות נפוצה ומקובלת. יהיה קשה לציבור לעמוד בגזירה שתאסור אותה, ולא ברורים סיכוייה של נורמה כזו להכות שורש ולהשפיע"</w:t>
      </w:r>
      <w:r>
        <w:rPr>
          <w:rFonts w:ascii="David" w:hAnsi="David" w:cs="David"/>
          <w:sz w:val="24"/>
          <w:szCs w:val="24"/>
          <w:rtl/>
        </w:rPr>
        <w:t>. וכ</w:t>
      </w:r>
      <w:r>
        <w:rPr>
          <w:rFonts w:ascii="David" w:hAnsi="David" w:cs="David"/>
          <w:b/>
          <w:bCs/>
          <w:sz w:val="24"/>
          <w:szCs w:val="24"/>
          <w:rtl/>
        </w:rPr>
        <w:t>ן</w:t>
      </w:r>
      <w:r>
        <w:rPr>
          <w:rFonts w:ascii="David" w:hAnsi="David" w:cs="David"/>
          <w:sz w:val="24"/>
          <w:szCs w:val="24"/>
          <w:rtl/>
        </w:rPr>
        <w:t xml:space="preserve"> ר' בהמשך</w:t>
      </w:r>
      <w:r>
        <w:rPr>
          <w:rFonts w:ascii="David" w:hAnsi="David" w:cs="David"/>
          <w:b/>
          <w:bCs/>
          <w:sz w:val="24"/>
          <w:szCs w:val="24"/>
          <w:rtl/>
        </w:rPr>
        <w:t xml:space="preserve"> </w:t>
      </w:r>
      <w:r>
        <w:rPr>
          <w:rFonts w:ascii="David" w:hAnsi="David" w:cs="David"/>
          <w:sz w:val="24"/>
          <w:szCs w:val="24"/>
          <w:rtl/>
        </w:rPr>
        <w:t>האמירה לפיה – "</w:t>
      </w:r>
      <w:r>
        <w:rPr>
          <w:rFonts w:ascii="David" w:hAnsi="David" w:cs="David"/>
          <w:b/>
          <w:bCs/>
          <w:sz w:val="24"/>
          <w:szCs w:val="24"/>
          <w:rtl/>
        </w:rPr>
        <w:t xml:space="preserve">יתרה מכך לא רצוי (ואף יש בכך פגיעה ביחסים החברתיים הבין-אישיים) להעמיד את מי שנמצאים ביחסי קרבה, לחזקת עדים לסכסוך בין שניים מהם". </w:t>
      </w:r>
    </w:p>
    <w:p w:rsidR="00F0335E" w:rsidRDefault="00F0335E" w:rsidP="00F0335E">
      <w:pPr>
        <w:pStyle w:val="af"/>
        <w:spacing w:line="360" w:lineRule="auto"/>
        <w:ind w:left="395"/>
        <w:jc w:val="both"/>
        <w:rPr>
          <w:rFonts w:ascii="David" w:hAnsi="David" w:cs="David"/>
          <w:sz w:val="24"/>
          <w:szCs w:val="24"/>
          <w:rtl/>
        </w:rPr>
      </w:pPr>
    </w:p>
    <w:p w:rsidR="00F0335E" w:rsidRDefault="00F0335E" w:rsidP="00F0335E">
      <w:pPr>
        <w:pStyle w:val="af"/>
        <w:numPr>
          <w:ilvl w:val="0"/>
          <w:numId w:val="10"/>
        </w:numPr>
        <w:spacing w:line="360" w:lineRule="auto"/>
        <w:jc w:val="both"/>
        <w:rPr>
          <w:rFonts w:ascii="David" w:hAnsi="David" w:cs="David"/>
          <w:sz w:val="24"/>
          <w:szCs w:val="24"/>
          <w:rtl/>
        </w:rPr>
      </w:pPr>
      <w:r>
        <w:rPr>
          <w:rFonts w:ascii="David" w:hAnsi="David" w:cs="David"/>
          <w:sz w:val="24"/>
          <w:szCs w:val="24"/>
          <w:rtl/>
        </w:rPr>
        <w:t xml:space="preserve">למען ההגינות ייאמר שבהמשך מעלים המחברים אפשרות הצעה נוגדת לפיה המחוקק והדין לא יהססו להתערב אף במערכות יחסים בין אישיות. אולם במלוא הכבוד נראה שבנסיבות העניין עדיפה הפרשנות והניתוח של ההגבלה על התערבות ביחסים אישיים והגבלה בהטלת צנזורה ומגבלות להשיח והתכתבות בין שני צדדים. </w:t>
      </w:r>
    </w:p>
    <w:p w:rsidR="00F0335E" w:rsidRDefault="00F0335E" w:rsidP="00F0335E">
      <w:pPr>
        <w:pStyle w:val="af"/>
        <w:spacing w:line="360" w:lineRule="auto"/>
        <w:ind w:left="-172"/>
        <w:jc w:val="both"/>
        <w:rPr>
          <w:rFonts w:ascii="David" w:hAnsi="David" w:cs="David"/>
          <w:sz w:val="24"/>
          <w:szCs w:val="24"/>
          <w:u w:val="single"/>
          <w:rtl/>
        </w:rPr>
      </w:pPr>
    </w:p>
    <w:p w:rsidR="00794214" w:rsidRDefault="00794214" w:rsidP="00F0335E">
      <w:pPr>
        <w:pStyle w:val="af"/>
        <w:spacing w:line="360" w:lineRule="auto"/>
        <w:ind w:left="-172"/>
        <w:jc w:val="both"/>
        <w:rPr>
          <w:rFonts w:ascii="David" w:hAnsi="David" w:cs="David"/>
          <w:sz w:val="24"/>
          <w:szCs w:val="24"/>
          <w:u w:val="single"/>
          <w:rtl/>
        </w:rPr>
      </w:pPr>
    </w:p>
    <w:p w:rsidR="00794214" w:rsidRDefault="00794214" w:rsidP="00F0335E">
      <w:pPr>
        <w:pStyle w:val="af"/>
        <w:spacing w:line="360" w:lineRule="auto"/>
        <w:ind w:left="-172"/>
        <w:jc w:val="both"/>
        <w:rPr>
          <w:rFonts w:ascii="David" w:hAnsi="David" w:cs="David"/>
          <w:sz w:val="24"/>
          <w:szCs w:val="24"/>
          <w:u w:val="single"/>
          <w:rtl/>
        </w:rPr>
      </w:pPr>
    </w:p>
    <w:p w:rsidR="00F0335E" w:rsidRDefault="00F0335E" w:rsidP="00F0335E">
      <w:pPr>
        <w:pStyle w:val="af"/>
        <w:numPr>
          <w:ilvl w:val="0"/>
          <w:numId w:val="1"/>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מסגרת פרסום שלישית משלוש - אמירות נטענות במסגרת תלונה שהוגשה למועצה הישראלית לצרכנות (שלוש אמירות)</w:t>
      </w:r>
    </w:p>
    <w:p w:rsidR="00F0335E" w:rsidRDefault="00F0335E" w:rsidP="00F0335E">
      <w:pPr>
        <w:pStyle w:val="af"/>
        <w:numPr>
          <w:ilvl w:val="1"/>
          <w:numId w:val="1"/>
        </w:numPr>
        <w:spacing w:line="360" w:lineRule="auto"/>
        <w:ind w:left="536" w:hanging="708"/>
        <w:jc w:val="both"/>
        <w:rPr>
          <w:rFonts w:ascii="David" w:hAnsi="David" w:cs="David"/>
          <w:sz w:val="24"/>
          <w:szCs w:val="24"/>
          <w:u w:val="single"/>
        </w:rPr>
      </w:pPr>
      <w:r>
        <w:rPr>
          <w:rFonts w:ascii="David" w:hAnsi="David" w:cs="David"/>
          <w:sz w:val="24"/>
          <w:szCs w:val="24"/>
          <w:u w:val="single"/>
          <w:rtl/>
        </w:rPr>
        <w:t>כללי</w:t>
      </w:r>
    </w:p>
    <w:p w:rsidR="00F0335E" w:rsidRDefault="00F0335E" w:rsidP="00F0335E">
      <w:pPr>
        <w:pStyle w:val="af"/>
        <w:spacing w:line="360" w:lineRule="auto"/>
        <w:ind w:left="536"/>
        <w:jc w:val="both"/>
        <w:rPr>
          <w:rFonts w:ascii="David" w:hAnsi="David" w:cs="David"/>
          <w:sz w:val="24"/>
          <w:szCs w:val="24"/>
        </w:rPr>
      </w:pPr>
      <w:r>
        <w:rPr>
          <w:rFonts w:ascii="David" w:hAnsi="David" w:cs="David"/>
          <w:sz w:val="24"/>
          <w:szCs w:val="24"/>
          <w:rtl/>
        </w:rPr>
        <w:t>התובעת מפנה לכך שהנתבעת פנתה בתלונה למועצה הישראלית לצרכנות. מתוך תלונה זו התייחסה התובעת לשלוש טענות אשר לטעמה הן בגדר "לשון הרע". בטענות אלה יוחסו לתובעת הפעולות הבאות:</w:t>
      </w:r>
    </w:p>
    <w:p w:rsidR="00F0335E" w:rsidRDefault="00F0335E" w:rsidP="00F0335E">
      <w:pPr>
        <w:pStyle w:val="af"/>
        <w:numPr>
          <w:ilvl w:val="0"/>
          <w:numId w:val="11"/>
        </w:numPr>
        <w:spacing w:line="360" w:lineRule="auto"/>
        <w:jc w:val="both"/>
        <w:rPr>
          <w:rFonts w:ascii="David" w:hAnsi="David" w:cs="David"/>
          <w:sz w:val="24"/>
          <w:szCs w:val="24"/>
        </w:rPr>
      </w:pPr>
      <w:r>
        <w:rPr>
          <w:rFonts w:ascii="David" w:hAnsi="David" w:cs="David"/>
          <w:b/>
          <w:bCs/>
          <w:sz w:val="24"/>
          <w:szCs w:val="24"/>
          <w:rtl/>
        </w:rPr>
        <w:t>לקחה כספים במרמה</w:t>
      </w:r>
      <w:r>
        <w:rPr>
          <w:rFonts w:ascii="David" w:hAnsi="David" w:cs="David"/>
          <w:sz w:val="24"/>
          <w:szCs w:val="24"/>
          <w:rtl/>
        </w:rPr>
        <w:t>;</w:t>
      </w:r>
    </w:p>
    <w:p w:rsidR="00F0335E" w:rsidRDefault="00F0335E" w:rsidP="00F0335E">
      <w:pPr>
        <w:pStyle w:val="af"/>
        <w:numPr>
          <w:ilvl w:val="0"/>
          <w:numId w:val="11"/>
        </w:numPr>
        <w:spacing w:line="360" w:lineRule="auto"/>
        <w:jc w:val="both"/>
        <w:rPr>
          <w:rFonts w:ascii="David" w:hAnsi="David" w:cs="David"/>
          <w:sz w:val="24"/>
          <w:szCs w:val="24"/>
        </w:rPr>
      </w:pPr>
      <w:r>
        <w:rPr>
          <w:rFonts w:ascii="David" w:hAnsi="David" w:cs="David"/>
          <w:b/>
          <w:bCs/>
          <w:sz w:val="24"/>
          <w:szCs w:val="24"/>
          <w:rtl/>
        </w:rPr>
        <w:t>הטעתה את התלמידות שלה ממגוון קורסים שונים במהלך השנים</w:t>
      </w:r>
      <w:r>
        <w:rPr>
          <w:rFonts w:ascii="David" w:hAnsi="David" w:cs="David"/>
          <w:sz w:val="24"/>
          <w:szCs w:val="24"/>
          <w:rtl/>
        </w:rPr>
        <w:t>;</w:t>
      </w:r>
    </w:p>
    <w:p w:rsidR="00F0335E" w:rsidRDefault="00F0335E" w:rsidP="00F0335E">
      <w:pPr>
        <w:pStyle w:val="af"/>
        <w:numPr>
          <w:ilvl w:val="0"/>
          <w:numId w:val="11"/>
        </w:numPr>
        <w:spacing w:line="360" w:lineRule="auto"/>
        <w:jc w:val="both"/>
        <w:rPr>
          <w:rFonts w:ascii="David" w:hAnsi="David" w:cs="David"/>
          <w:sz w:val="24"/>
          <w:szCs w:val="24"/>
        </w:rPr>
      </w:pPr>
      <w:r>
        <w:rPr>
          <w:rFonts w:ascii="David" w:hAnsi="David" w:cs="David"/>
          <w:b/>
          <w:bCs/>
          <w:sz w:val="24"/>
          <w:szCs w:val="24"/>
          <w:rtl/>
        </w:rPr>
        <w:t>מי שלא שילמה במיידי ביישה אותה בפני הכיתה שתשלם בהקדם אחרת לא תגיע לשיעורים</w:t>
      </w:r>
      <w:r>
        <w:rPr>
          <w:rFonts w:ascii="David" w:hAnsi="David" w:cs="David"/>
          <w:sz w:val="24"/>
          <w:szCs w:val="24"/>
          <w:rtl/>
        </w:rPr>
        <w:t>.</w:t>
      </w:r>
    </w:p>
    <w:p w:rsidR="00F0335E" w:rsidRDefault="00F0335E" w:rsidP="00F0335E">
      <w:pPr>
        <w:pStyle w:val="af"/>
        <w:spacing w:line="360" w:lineRule="auto"/>
        <w:jc w:val="both"/>
        <w:rPr>
          <w:rFonts w:ascii="David" w:hAnsi="David" w:cs="David"/>
          <w:sz w:val="24"/>
          <w:szCs w:val="24"/>
          <w:rtl/>
        </w:rPr>
      </w:pPr>
    </w:p>
    <w:p w:rsidR="00F0335E" w:rsidRDefault="00F0335E" w:rsidP="00F0335E">
      <w:pPr>
        <w:pStyle w:val="af"/>
        <w:spacing w:line="360" w:lineRule="auto"/>
        <w:jc w:val="both"/>
        <w:rPr>
          <w:rFonts w:ascii="David" w:hAnsi="David" w:cs="David"/>
          <w:sz w:val="24"/>
          <w:szCs w:val="24"/>
          <w:rtl/>
        </w:rPr>
      </w:pPr>
      <w:r>
        <w:rPr>
          <w:rFonts w:ascii="David" w:hAnsi="David" w:cs="David"/>
          <w:sz w:val="24"/>
          <w:szCs w:val="24"/>
          <w:rtl/>
        </w:rPr>
        <w:t>גם כאן אין מדובר באמירות החולקות שבחים לתובעת. זאת כשם שתלונה, בדרך כלל, אינה נובעת משביעות רצון או רצון להחמיא לנילון. בנסיבות העניין, אין לראות בתלונה שהוגשה כאמירת לשון הרע. למעלה מהנדרש ייאמר שאף אם הייתי מוצא בתלונה ככזו הנכנסת לגדר "לשון הרע", הרי עדיין היה מקום להפחית בפיצוי עד כדי ביטולו לחלוטין. על כל אלה יורחב בפסקאות הבאות.</w:t>
      </w:r>
    </w:p>
    <w:p w:rsidR="00F0335E" w:rsidRDefault="00F0335E" w:rsidP="00F0335E">
      <w:pPr>
        <w:pStyle w:val="af"/>
        <w:spacing w:line="360" w:lineRule="auto"/>
        <w:jc w:val="both"/>
        <w:rPr>
          <w:rFonts w:ascii="David" w:hAnsi="David" w:cs="David"/>
          <w:sz w:val="24"/>
          <w:szCs w:val="24"/>
          <w:rtl/>
        </w:rPr>
      </w:pPr>
    </w:p>
    <w:p w:rsidR="00F0335E" w:rsidRDefault="00F0335E" w:rsidP="00F0335E">
      <w:pPr>
        <w:pStyle w:val="af"/>
        <w:numPr>
          <w:ilvl w:val="1"/>
          <w:numId w:val="1"/>
        </w:numPr>
        <w:spacing w:line="360" w:lineRule="auto"/>
        <w:ind w:left="536" w:hanging="708"/>
        <w:jc w:val="both"/>
        <w:rPr>
          <w:rFonts w:ascii="David" w:hAnsi="David" w:cs="David"/>
          <w:sz w:val="24"/>
          <w:szCs w:val="24"/>
          <w:u w:val="single"/>
          <w:rtl/>
        </w:rPr>
      </w:pPr>
      <w:r>
        <w:rPr>
          <w:rFonts w:ascii="David" w:hAnsi="David" w:cs="David"/>
          <w:sz w:val="24"/>
          <w:szCs w:val="24"/>
          <w:u w:val="single"/>
          <w:rtl/>
        </w:rPr>
        <w:t>איזה מבין שלוש האמירות ייחשבו כלשון הרע?</w:t>
      </w:r>
    </w:p>
    <w:p w:rsidR="00F0335E" w:rsidRDefault="00F0335E" w:rsidP="00F0335E">
      <w:pPr>
        <w:pStyle w:val="af"/>
        <w:numPr>
          <w:ilvl w:val="0"/>
          <w:numId w:val="12"/>
        </w:numPr>
        <w:spacing w:line="360" w:lineRule="auto"/>
        <w:jc w:val="both"/>
        <w:rPr>
          <w:rFonts w:ascii="David" w:hAnsi="David" w:cs="David"/>
          <w:sz w:val="24"/>
          <w:szCs w:val="24"/>
        </w:rPr>
      </w:pPr>
      <w:r>
        <w:rPr>
          <w:rFonts w:ascii="David" w:hAnsi="David" w:cs="David"/>
          <w:sz w:val="24"/>
          <w:szCs w:val="24"/>
          <w:rtl/>
        </w:rPr>
        <w:t>מבין שלוש האמירות דלעיל, הרי רק האמירה "לקחה כספים במרמה" היא בגדר אמירה מכפישה הנכנסת לגדר חוק איסור לשון הרע. רק ביחס אליה יש לבחון האם קמה לנתבעת הגנה כלשהי.</w:t>
      </w:r>
    </w:p>
    <w:p w:rsidR="00F0335E" w:rsidRDefault="00F0335E" w:rsidP="00F0335E">
      <w:pPr>
        <w:pStyle w:val="af"/>
        <w:spacing w:line="360" w:lineRule="auto"/>
        <w:ind w:left="536"/>
        <w:jc w:val="both"/>
        <w:rPr>
          <w:rFonts w:ascii="David" w:hAnsi="David" w:cs="David"/>
          <w:sz w:val="24"/>
          <w:szCs w:val="24"/>
        </w:rPr>
      </w:pPr>
    </w:p>
    <w:p w:rsidR="00F0335E" w:rsidRDefault="00F0335E" w:rsidP="00F0335E">
      <w:pPr>
        <w:pStyle w:val="af"/>
        <w:spacing w:line="360" w:lineRule="auto"/>
        <w:ind w:left="536"/>
        <w:jc w:val="both"/>
        <w:rPr>
          <w:rFonts w:ascii="David" w:hAnsi="David" w:cs="David"/>
          <w:sz w:val="24"/>
          <w:szCs w:val="24"/>
          <w:rtl/>
        </w:rPr>
      </w:pPr>
      <w:r>
        <w:rPr>
          <w:rFonts w:ascii="David" w:hAnsi="David" w:cs="David"/>
          <w:sz w:val="24"/>
          <w:szCs w:val="24"/>
          <w:rtl/>
        </w:rPr>
        <w:t>האמירות בסעיפים 7.1 (ב) ו-(ג) לעיל הן אכן אמירות מבקרות ואכן חלק מתלונה ואולם אין לראות בהן ככאלה המהוות עוולה בהתאם לחוק איסור לשון הרע. שוב ייאמר שהוראות חוק איסור לשון הרע לא נועדו להגביל ואף לצנזר כל ביקורת, באופן שלא ניתן יהיה להשמיעה. על ההתייחסות לאמירות שהן בגדר ביקורת הורחב הדיון בסעיף 5.3(ב) לעיל.</w:t>
      </w:r>
    </w:p>
    <w:p w:rsidR="00F0335E" w:rsidRDefault="00F0335E" w:rsidP="00F0335E">
      <w:pPr>
        <w:pStyle w:val="af"/>
        <w:spacing w:line="360" w:lineRule="auto"/>
        <w:ind w:left="536"/>
        <w:jc w:val="both"/>
        <w:rPr>
          <w:rFonts w:ascii="David" w:hAnsi="David" w:cs="David"/>
          <w:sz w:val="24"/>
          <w:szCs w:val="24"/>
          <w:rtl/>
        </w:rPr>
      </w:pPr>
    </w:p>
    <w:p w:rsidR="00F0335E" w:rsidRDefault="00F0335E" w:rsidP="00F0335E">
      <w:pPr>
        <w:pStyle w:val="af"/>
        <w:numPr>
          <w:ilvl w:val="0"/>
          <w:numId w:val="12"/>
        </w:numPr>
        <w:spacing w:line="360" w:lineRule="auto"/>
        <w:ind w:left="678"/>
        <w:jc w:val="both"/>
        <w:rPr>
          <w:rtl/>
        </w:rPr>
      </w:pPr>
      <w:r>
        <w:rPr>
          <w:rFonts w:ascii="David" w:hAnsi="David" w:cs="David"/>
          <w:sz w:val="24"/>
          <w:szCs w:val="24"/>
          <w:rtl/>
        </w:rPr>
        <w:t xml:space="preserve">באשר לאמירה הראשונה, הרי זו מייחסת לתובעת מרמה. טענת מרמה מחייבת רף ראיות גבוה וזאת בשל חומרתה וכן אופייה הפלילי ור' למשל ע"א 8938/17, </w:t>
      </w:r>
      <w:r>
        <w:rPr>
          <w:rFonts w:ascii="David" w:hAnsi="David" w:cs="David"/>
          <w:color w:val="000000"/>
          <w:sz w:val="24"/>
          <w:szCs w:val="24"/>
          <w:u w:val="single"/>
          <w:rtl/>
        </w:rPr>
        <w:t>תאופילוס ג'אנופולוס, פטריארך הכנסייה היוונית אורתודוכסית של ירושלים נ' ‏</w:t>
      </w:r>
      <w:r>
        <w:rPr>
          <w:rFonts w:ascii="David" w:hAnsi="David" w:cs="David"/>
          <w:color w:val="000000"/>
          <w:sz w:val="24"/>
          <w:szCs w:val="24"/>
          <w:u w:val="single"/>
        </w:rPr>
        <w:t xml:space="preserve">Berisford </w:t>
      </w:r>
      <w:r>
        <w:rPr>
          <w:rFonts w:ascii="David" w:hAnsi="David" w:cs="David" w:hint="cs"/>
          <w:color w:val="000000"/>
          <w:sz w:val="24"/>
          <w:szCs w:val="24"/>
          <w:u w:val="single"/>
          <w:cs/>
        </w:rPr>
        <w:t>‎</w:t>
      </w:r>
      <w:r>
        <w:rPr>
          <w:rFonts w:ascii="David" w:hAnsi="David" w:cs="David"/>
          <w:color w:val="000000"/>
          <w:sz w:val="24"/>
          <w:szCs w:val="24"/>
          <w:u w:val="single"/>
        </w:rPr>
        <w:t>Investments Limited</w:t>
      </w:r>
      <w:r>
        <w:rPr>
          <w:rFonts w:ascii="David" w:hAnsi="David" w:cs="David"/>
          <w:sz w:val="24"/>
          <w:szCs w:val="24"/>
          <w:rtl/>
        </w:rPr>
        <w:t xml:space="preserve"> </w:t>
      </w:r>
      <w:r>
        <w:rPr>
          <w:rFonts w:ascii="David" w:hAnsi="David" w:cs="David" w:hint="cs"/>
          <w:sz w:val="24"/>
          <w:szCs w:val="24"/>
          <w:rtl/>
        </w:rPr>
        <w:t xml:space="preserve">(מיום 10/6/2019, הש' י' עמית, י' וילנר, א' שטיין) שם נקבע כך: </w:t>
      </w:r>
      <w:r>
        <w:rPr>
          <w:rFonts w:ascii="David" w:hAnsi="David" w:cs="David" w:hint="cs"/>
          <w:b/>
          <w:bCs/>
          <w:sz w:val="24"/>
          <w:szCs w:val="24"/>
          <w:rtl/>
        </w:rPr>
        <w:t>"על כלל זה יש להוסיף את הכלל לפיו טענות בעלות אופי פלילי ומעין-פלילי, כמו טענת תרמית, זיוף או "שוחד אזרחי" כפי שנטען במקרה דנן, מצריכות כמות ראיות ורף ראיות גבוה יותר התואמים במשקלם לרצינותה ולחומרתה של הטענה הנטענת, ועל בית המשפט לבחון את הראיות בזהירות ובקפדנות"</w:t>
      </w:r>
      <w:r>
        <w:rPr>
          <w:rFonts w:ascii="David" w:hAnsi="David" w:cs="David" w:hint="cs"/>
          <w:color w:val="000000"/>
          <w:sz w:val="24"/>
          <w:szCs w:val="24"/>
          <w:rtl/>
        </w:rPr>
        <w:t>. להשלמה ייאמר שהוגשה בקשה למשפט חוזר ואולם זו נדחתה, ור' ע"א 5572/20, ‏</w:t>
      </w:r>
      <w:r>
        <w:rPr>
          <w:rFonts w:ascii="David" w:hAnsi="David" w:cs="David" w:hint="cs"/>
          <w:color w:val="000000"/>
          <w:sz w:val="24"/>
          <w:szCs w:val="24"/>
          <w:u w:val="single"/>
          <w:rtl/>
        </w:rPr>
        <w:t>תיאופילוס ג'אנופולוס פטריארך הכנסיה היוונית האורתודוכסית של ירושלים נ' ‏</w:t>
      </w:r>
      <w:r>
        <w:rPr>
          <w:rFonts w:ascii="David" w:hAnsi="David" w:cs="David"/>
          <w:color w:val="000000"/>
          <w:sz w:val="24"/>
          <w:szCs w:val="24"/>
          <w:u w:val="single"/>
        </w:rPr>
        <w:t xml:space="preserve">Berisford </w:t>
      </w:r>
      <w:r>
        <w:rPr>
          <w:rFonts w:ascii="David" w:hAnsi="David" w:cs="David" w:hint="cs"/>
          <w:color w:val="000000"/>
          <w:sz w:val="24"/>
          <w:szCs w:val="24"/>
          <w:u w:val="single"/>
          <w:cs/>
        </w:rPr>
        <w:t>‎</w:t>
      </w:r>
      <w:r>
        <w:rPr>
          <w:rFonts w:ascii="David" w:hAnsi="David" w:cs="David"/>
          <w:color w:val="000000"/>
          <w:sz w:val="24"/>
          <w:szCs w:val="24"/>
          <w:u w:val="single"/>
        </w:rPr>
        <w:t>Investments Limited</w:t>
      </w:r>
      <w:r>
        <w:rPr>
          <w:rFonts w:ascii="David" w:hAnsi="David" w:cs="David"/>
          <w:sz w:val="24"/>
          <w:szCs w:val="24"/>
          <w:rtl/>
        </w:rPr>
        <w:t xml:space="preserve"> (מיום 8/6/2022, הש' ד' ברק – ארז, ד' מינץ, ש' שוחט).</w:t>
      </w:r>
    </w:p>
    <w:p w:rsidR="00F0335E" w:rsidRDefault="00F0335E" w:rsidP="00F0335E">
      <w:pPr>
        <w:pStyle w:val="af"/>
        <w:spacing w:line="360" w:lineRule="auto"/>
        <w:ind w:left="536"/>
        <w:jc w:val="both"/>
        <w:rPr>
          <w:rFonts w:ascii="David" w:hAnsi="David" w:cs="David"/>
          <w:b/>
          <w:bCs/>
          <w:sz w:val="24"/>
          <w:szCs w:val="24"/>
        </w:rPr>
      </w:pPr>
    </w:p>
    <w:p w:rsidR="00F0335E" w:rsidRDefault="00F0335E" w:rsidP="00F0335E">
      <w:pPr>
        <w:pStyle w:val="af"/>
        <w:numPr>
          <w:ilvl w:val="1"/>
          <w:numId w:val="1"/>
        </w:numPr>
        <w:spacing w:line="360" w:lineRule="auto"/>
        <w:ind w:left="536" w:hanging="708"/>
        <w:jc w:val="both"/>
        <w:rPr>
          <w:rFonts w:ascii="David" w:hAnsi="David" w:cs="David"/>
          <w:b/>
          <w:bCs/>
          <w:sz w:val="24"/>
          <w:szCs w:val="24"/>
        </w:rPr>
      </w:pPr>
      <w:r>
        <w:rPr>
          <w:rFonts w:ascii="David" w:hAnsi="David" w:cs="David"/>
          <w:b/>
          <w:bCs/>
          <w:sz w:val="24"/>
          <w:szCs w:val="24"/>
          <w:u w:val="single"/>
          <w:rtl/>
        </w:rPr>
        <w:t>מעמדה של המועצה הישראלית לצרכנות</w:t>
      </w:r>
    </w:p>
    <w:p w:rsidR="00F0335E" w:rsidRDefault="00F0335E" w:rsidP="00F0335E">
      <w:pPr>
        <w:pStyle w:val="af"/>
        <w:numPr>
          <w:ilvl w:val="0"/>
          <w:numId w:val="13"/>
        </w:numPr>
        <w:spacing w:line="360" w:lineRule="auto"/>
        <w:jc w:val="both"/>
        <w:rPr>
          <w:rFonts w:ascii="David" w:hAnsi="David" w:cs="David"/>
          <w:sz w:val="24"/>
          <w:szCs w:val="24"/>
        </w:rPr>
      </w:pPr>
      <w:r>
        <w:rPr>
          <w:rFonts w:ascii="David" w:hAnsi="David" w:cs="David"/>
          <w:sz w:val="24"/>
          <w:szCs w:val="24"/>
          <w:rtl/>
        </w:rPr>
        <w:t xml:space="preserve">המועצה הישראלית לצרכנות היא חברה ממשלתית, אשר סמכויותיה הוקנו לה בדין. אמנם אין מדובר ברשות מרשויות המדינה, או בתאגיד סטטוטורי שהוקם על פי חוק. עם זאת מדובר בגוף שסמכויותיו הוקנו לו במסגרת חוק מיוחד – </w:t>
      </w:r>
      <w:r>
        <w:rPr>
          <w:rFonts w:ascii="David" w:hAnsi="David" w:cs="David"/>
          <w:sz w:val="24"/>
          <w:szCs w:val="24"/>
          <w:u w:val="single"/>
          <w:rtl/>
        </w:rPr>
        <w:t>חוק המועצה הישראלית לצרכנות</w:t>
      </w:r>
      <w:r>
        <w:rPr>
          <w:rFonts w:ascii="David" w:hAnsi="David" w:cs="David"/>
          <w:sz w:val="24"/>
          <w:szCs w:val="24"/>
          <w:rtl/>
        </w:rPr>
        <w:t>, תשס"ח – 2008. במסגרת חוק זה הוסדרו תפקידיה של המועצה הישראלית לצרכנות, כאשר הוגדר כי (סעיף 1 לחוק) -  "</w:t>
      </w:r>
      <w:r>
        <w:rPr>
          <w:rFonts w:ascii="David" w:hAnsi="David" w:cs="David"/>
          <w:b/>
          <w:bCs/>
          <w:sz w:val="24"/>
          <w:szCs w:val="24"/>
          <w:rtl/>
        </w:rPr>
        <w:t>מטרתו של חוק זה להבטיח כי המועצה הישראלית לצרכנות הרשומה בישראל כחברה ממשלתית (בחוק זה – המועצה), תפעל באופן עצמאי, בלא תלות, לטובת הצרכן".</w:t>
      </w:r>
    </w:p>
    <w:p w:rsidR="00F0335E" w:rsidRDefault="00F0335E" w:rsidP="00F0335E">
      <w:pPr>
        <w:pStyle w:val="af"/>
        <w:spacing w:line="360" w:lineRule="auto"/>
        <w:ind w:left="896"/>
        <w:jc w:val="both"/>
        <w:rPr>
          <w:rFonts w:ascii="David" w:hAnsi="David" w:cs="David"/>
          <w:sz w:val="24"/>
          <w:szCs w:val="24"/>
        </w:rPr>
      </w:pPr>
    </w:p>
    <w:p w:rsidR="00F0335E" w:rsidRDefault="00F0335E" w:rsidP="00F0335E">
      <w:pPr>
        <w:pStyle w:val="af"/>
        <w:numPr>
          <w:ilvl w:val="0"/>
          <w:numId w:val="13"/>
        </w:numPr>
        <w:spacing w:line="360" w:lineRule="auto"/>
        <w:jc w:val="both"/>
        <w:rPr>
          <w:rFonts w:ascii="David" w:hAnsi="David" w:cs="David"/>
          <w:sz w:val="24"/>
          <w:szCs w:val="24"/>
        </w:rPr>
      </w:pPr>
      <w:r>
        <w:rPr>
          <w:rFonts w:ascii="David" w:hAnsi="David" w:cs="David"/>
          <w:sz w:val="24"/>
          <w:szCs w:val="24"/>
          <w:rtl/>
        </w:rPr>
        <w:t>תפקידיה של המועצה נקבעו בסעיף 2(א)  לחוק וביניהם:</w:t>
      </w:r>
    </w:p>
    <w:p w:rsidR="00F0335E" w:rsidRDefault="00F0335E" w:rsidP="00F0335E">
      <w:pPr>
        <w:pStyle w:val="af"/>
        <w:rPr>
          <w:rFonts w:ascii="David" w:hAnsi="David" w:cs="David"/>
          <w:sz w:val="24"/>
          <w:szCs w:val="24"/>
        </w:rPr>
      </w:pPr>
    </w:p>
    <w:p w:rsidR="00F0335E" w:rsidRDefault="00F0335E" w:rsidP="00F0335E">
      <w:pPr>
        <w:pStyle w:val="af"/>
        <w:numPr>
          <w:ilvl w:val="0"/>
          <w:numId w:val="14"/>
        </w:numPr>
        <w:spacing w:line="360" w:lineRule="auto"/>
        <w:jc w:val="both"/>
        <w:rPr>
          <w:rFonts w:ascii="David" w:hAnsi="David" w:cs="David"/>
          <w:sz w:val="24"/>
          <w:szCs w:val="24"/>
          <w:rtl/>
        </w:rPr>
      </w:pPr>
      <w:r>
        <w:rPr>
          <w:rFonts w:ascii="David" w:eastAsia="Times New Roman" w:hAnsi="David" w:cs="David"/>
          <w:b/>
          <w:bCs/>
          <w:noProof/>
          <w:sz w:val="24"/>
          <w:szCs w:val="24"/>
          <w:rtl/>
          <w:lang w:eastAsia="he-IL"/>
        </w:rPr>
        <w:t>מתן שירותים וסיוע לציבור הצרכנים ולארגוני צרכנים הפועלים שלא למטרות רווח, לצורך הגנה על זכויות הצרכן וקידום ענייניו מול גופים פרטיים וציבוריים, לרבות ייעוץ בתחומי צרכנות, כלכלה ומשפט;</w:t>
      </w:r>
    </w:p>
    <w:p w:rsidR="00F0335E" w:rsidRDefault="00F0335E" w:rsidP="00F0335E">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line="360" w:lineRule="auto"/>
        <w:jc w:val="both"/>
        <w:rPr>
          <w:rFonts w:ascii="David" w:hAnsi="David"/>
          <w:b/>
          <w:bCs/>
          <w:sz w:val="18"/>
          <w:rtl/>
          <w:lang w:eastAsia="he-IL"/>
        </w:rPr>
      </w:pPr>
      <w:r>
        <w:rPr>
          <w:rFonts w:ascii="David" w:hAnsi="David"/>
          <w:rtl/>
        </w:rPr>
        <w:tab/>
      </w:r>
      <w:r>
        <w:rPr>
          <w:rFonts w:ascii="David" w:hAnsi="David"/>
          <w:rtl/>
        </w:rPr>
        <w:tab/>
        <w:t xml:space="preserve">וכן - </w:t>
      </w:r>
    </w:p>
    <w:p w:rsidR="00F0335E" w:rsidRDefault="00F0335E" w:rsidP="00F0335E">
      <w:pPr>
        <w:pStyle w:val="af"/>
        <w:numPr>
          <w:ilvl w:val="0"/>
          <w:numId w:val="14"/>
        </w:numPr>
        <w:spacing w:line="360" w:lineRule="auto"/>
        <w:jc w:val="both"/>
        <w:rPr>
          <w:rFonts w:ascii="David" w:eastAsia="Times New Roman" w:hAnsi="David" w:cs="David"/>
          <w:b/>
          <w:bCs/>
          <w:noProof/>
          <w:sz w:val="18"/>
          <w:szCs w:val="24"/>
          <w:rtl/>
          <w:lang w:eastAsia="he-IL"/>
        </w:rPr>
      </w:pPr>
      <w:r>
        <w:rPr>
          <w:rFonts w:ascii="David" w:eastAsia="Times New Roman" w:hAnsi="David" w:cs="David"/>
          <w:b/>
          <w:bCs/>
          <w:noProof/>
          <w:sz w:val="24"/>
          <w:szCs w:val="24"/>
          <w:rtl/>
          <w:lang w:eastAsia="he-IL"/>
        </w:rPr>
        <w:t xml:space="preserve">סיוע לצרכנים במימוש זכויותיהם מול גופים פרטיים וציבוריים... </w:t>
      </w:r>
    </w:p>
    <w:p w:rsidR="00F0335E" w:rsidRDefault="00F0335E" w:rsidP="00F0335E">
      <w:pPr>
        <w:pStyle w:val="af"/>
        <w:spacing w:line="360" w:lineRule="auto"/>
        <w:ind w:left="395"/>
        <w:jc w:val="both"/>
        <w:rPr>
          <w:rFonts w:ascii="David" w:hAnsi="David" w:cs="David"/>
          <w:b/>
          <w:bCs/>
          <w:u w:val="single"/>
          <w:rtl/>
        </w:rPr>
      </w:pPr>
    </w:p>
    <w:p w:rsidR="00F0335E" w:rsidRDefault="00F0335E" w:rsidP="00F0335E">
      <w:pPr>
        <w:spacing w:line="360" w:lineRule="auto"/>
        <w:ind w:left="962"/>
        <w:jc w:val="both"/>
        <w:rPr>
          <w:rFonts w:ascii="David" w:hAnsi="David"/>
          <w:rtl/>
        </w:rPr>
      </w:pPr>
      <w:r>
        <w:rPr>
          <w:rFonts w:ascii="David" w:hAnsi="David"/>
          <w:rtl/>
        </w:rPr>
        <w:t>כלומר, פניה למועצה הישראלית לצרכנות, כמו גם טיפול של המועצה בפניה שכזו – הן פעולות הנכנסות בגדר תפקידיה וייעודה של המועצה. תפקידים שנקבעו על פי חוק.</w:t>
      </w:r>
    </w:p>
    <w:p w:rsidR="00F0335E" w:rsidRDefault="00F0335E" w:rsidP="00F0335E">
      <w:pPr>
        <w:pStyle w:val="af"/>
        <w:spacing w:line="360" w:lineRule="auto"/>
        <w:ind w:left="896"/>
        <w:jc w:val="both"/>
        <w:rPr>
          <w:rFonts w:ascii="David" w:hAnsi="David" w:cs="David"/>
          <w:sz w:val="24"/>
          <w:szCs w:val="24"/>
          <w:rtl/>
        </w:rPr>
      </w:pPr>
    </w:p>
    <w:p w:rsidR="00F0335E" w:rsidRDefault="00F0335E" w:rsidP="00F0335E">
      <w:pPr>
        <w:pStyle w:val="af"/>
        <w:numPr>
          <w:ilvl w:val="0"/>
          <w:numId w:val="13"/>
        </w:numPr>
        <w:spacing w:line="360" w:lineRule="auto"/>
        <w:jc w:val="both"/>
        <w:rPr>
          <w:rFonts w:ascii="David" w:hAnsi="David" w:cs="David"/>
          <w:sz w:val="24"/>
          <w:szCs w:val="24"/>
        </w:rPr>
      </w:pPr>
      <w:r>
        <w:rPr>
          <w:rFonts w:ascii="David" w:hAnsi="David" w:cs="David"/>
          <w:sz w:val="24"/>
          <w:szCs w:val="24"/>
          <w:rtl/>
        </w:rPr>
        <w:t xml:space="preserve">להשלמה ייאמר שהמועצה הישראלית לצרכנות מוגדרת גם כ"ארגון צרכנים" כמשמעו וסמכויותיו בחוק הגנת הצרכן, תשמ"א – 1981. עוד מופיע המועצה הישראלית לצרכנות בשורה של הוראות חקיקה וחקיקת משנה, כגון:  </w:t>
      </w:r>
      <w:r>
        <w:rPr>
          <w:rFonts w:ascii="David" w:hAnsi="David" w:cs="David"/>
          <w:color w:val="333333"/>
          <w:sz w:val="24"/>
          <w:szCs w:val="24"/>
          <w:u w:val="single"/>
          <w:rtl/>
        </w:rPr>
        <w:t>חוק תובענות ייצוגיות</w:t>
      </w:r>
      <w:r>
        <w:rPr>
          <w:rFonts w:ascii="David" w:hAnsi="David" w:cs="David"/>
          <w:color w:val="333333"/>
          <w:sz w:val="24"/>
          <w:szCs w:val="24"/>
          <w:rtl/>
        </w:rPr>
        <w:t>, תשס"ו-2006</w:t>
      </w:r>
      <w:r>
        <w:rPr>
          <w:rFonts w:ascii="David" w:hAnsi="David" w:cs="David"/>
          <w:sz w:val="24"/>
          <w:szCs w:val="24"/>
          <w:rtl/>
        </w:rPr>
        <w:t xml:space="preserve">; </w:t>
      </w:r>
      <w:r>
        <w:rPr>
          <w:rFonts w:ascii="David" w:hAnsi="David" w:cs="David"/>
          <w:sz w:val="24"/>
          <w:szCs w:val="24"/>
          <w:u w:val="single"/>
          <w:rtl/>
        </w:rPr>
        <w:t>חוק התקנים</w:t>
      </w:r>
      <w:r>
        <w:rPr>
          <w:rFonts w:ascii="David" w:hAnsi="David" w:cs="David"/>
          <w:sz w:val="24"/>
          <w:szCs w:val="24"/>
          <w:rtl/>
        </w:rPr>
        <w:t xml:space="preserve">, תשי"ג- 1953; </w:t>
      </w:r>
      <w:r>
        <w:rPr>
          <w:rFonts w:ascii="David" w:eastAsia="Times New Roman" w:hAnsi="David" w:cs="David"/>
          <w:color w:val="333333"/>
          <w:sz w:val="24"/>
          <w:szCs w:val="24"/>
          <w:rtl/>
        </w:rPr>
        <w:t xml:space="preserve">תקנות </w:t>
      </w:r>
      <w:r>
        <w:rPr>
          <w:rFonts w:ascii="David" w:eastAsia="Times New Roman" w:hAnsi="David" w:cs="David"/>
          <w:color w:val="333333"/>
          <w:sz w:val="24"/>
          <w:szCs w:val="24"/>
          <w:u w:val="single"/>
          <w:rtl/>
        </w:rPr>
        <w:t>החוזים האחידים</w:t>
      </w:r>
      <w:r>
        <w:rPr>
          <w:rFonts w:ascii="David" w:eastAsia="Times New Roman" w:hAnsi="David" w:cs="David"/>
          <w:color w:val="333333"/>
          <w:sz w:val="24"/>
          <w:szCs w:val="24"/>
          <w:rtl/>
        </w:rPr>
        <w:t xml:space="preserve">, תשמ"ג-1983; תקנות </w:t>
      </w:r>
      <w:r>
        <w:rPr>
          <w:rFonts w:ascii="David" w:eastAsia="Times New Roman" w:hAnsi="David" w:cs="David"/>
          <w:color w:val="333333"/>
          <w:sz w:val="24"/>
          <w:szCs w:val="24"/>
          <w:u w:val="single"/>
          <w:rtl/>
        </w:rPr>
        <w:t>בתי המשפט (אגרות),</w:t>
      </w:r>
      <w:r>
        <w:rPr>
          <w:rFonts w:ascii="David" w:eastAsia="Times New Roman" w:hAnsi="David" w:cs="David"/>
          <w:color w:val="333333"/>
          <w:sz w:val="24"/>
          <w:szCs w:val="24"/>
          <w:rtl/>
        </w:rPr>
        <w:t xml:space="preserve"> תשס"ז-2007; </w:t>
      </w:r>
      <w:r>
        <w:rPr>
          <w:rFonts w:ascii="David" w:hAnsi="David" w:cs="David"/>
          <w:sz w:val="24"/>
          <w:szCs w:val="24"/>
          <w:rtl/>
        </w:rPr>
        <w:t>צו שיפוט ב</w:t>
      </w:r>
      <w:r>
        <w:rPr>
          <w:rFonts w:ascii="David" w:hAnsi="David" w:cs="David"/>
          <w:sz w:val="24"/>
          <w:szCs w:val="24"/>
          <w:u w:val="single"/>
          <w:rtl/>
        </w:rPr>
        <w:t>תביעות קטנות (ארגונים מייצגים)</w:t>
      </w:r>
      <w:r>
        <w:rPr>
          <w:rFonts w:ascii="David" w:hAnsi="David" w:cs="David"/>
          <w:sz w:val="24"/>
          <w:szCs w:val="24"/>
          <w:rtl/>
        </w:rPr>
        <w:t>, תשל"ז-1977, ועוד.</w:t>
      </w:r>
    </w:p>
    <w:p w:rsidR="00B377C5" w:rsidRDefault="00B377C5" w:rsidP="00F0335E">
      <w:pPr>
        <w:pStyle w:val="af"/>
        <w:spacing w:line="360" w:lineRule="auto"/>
        <w:ind w:left="536"/>
        <w:jc w:val="both"/>
        <w:rPr>
          <w:rFonts w:ascii="David" w:hAnsi="David" w:cs="David"/>
          <w:b/>
          <w:bCs/>
          <w:sz w:val="24"/>
          <w:szCs w:val="24"/>
          <w:u w:val="single"/>
          <w:rtl/>
        </w:rPr>
      </w:pPr>
    </w:p>
    <w:p w:rsidR="00F0335E" w:rsidRDefault="00F0335E" w:rsidP="00F0335E">
      <w:pPr>
        <w:pStyle w:val="af"/>
        <w:numPr>
          <w:ilvl w:val="1"/>
          <w:numId w:val="1"/>
        </w:numPr>
        <w:spacing w:line="360" w:lineRule="auto"/>
        <w:ind w:left="536" w:hanging="708"/>
        <w:jc w:val="both"/>
        <w:rPr>
          <w:rFonts w:ascii="David" w:hAnsi="David" w:cs="David"/>
          <w:b/>
          <w:bCs/>
          <w:sz w:val="24"/>
          <w:szCs w:val="24"/>
          <w:u w:val="single"/>
        </w:rPr>
      </w:pPr>
      <w:r>
        <w:rPr>
          <w:rFonts w:ascii="David" w:hAnsi="David" w:cs="David"/>
          <w:b/>
          <w:bCs/>
          <w:sz w:val="24"/>
          <w:szCs w:val="24"/>
          <w:u w:val="single"/>
          <w:rtl/>
        </w:rPr>
        <w:t>כיצד יש להתייחס לתלונה שהגישה הנתבעת? התלונה מוגנת מכח הוראות סעיפים 15(8) וכן 15(3) לחוק איסור לשון הרע</w:t>
      </w:r>
    </w:p>
    <w:p w:rsidR="00F0335E" w:rsidRDefault="00F0335E" w:rsidP="00F0335E">
      <w:pPr>
        <w:pStyle w:val="af"/>
        <w:numPr>
          <w:ilvl w:val="0"/>
          <w:numId w:val="15"/>
        </w:numPr>
        <w:spacing w:line="360" w:lineRule="auto"/>
        <w:jc w:val="both"/>
        <w:rPr>
          <w:rFonts w:ascii="David" w:hAnsi="David" w:cs="David"/>
          <w:sz w:val="24"/>
          <w:szCs w:val="24"/>
        </w:rPr>
      </w:pPr>
      <w:r>
        <w:rPr>
          <w:rFonts w:ascii="David" w:hAnsi="David" w:cs="David"/>
          <w:sz w:val="24"/>
          <w:szCs w:val="24"/>
          <w:rtl/>
        </w:rPr>
        <w:t>פנייתה של הנתבעת למועצה הישראלית לצרכנות לא נעשתה בעלמא. הפניה היא תלונה כדין שהוגשה לגוף המטפל בתלונות צרכניות, כפי שהובהר לעיל. במקרה כזה קמה לנתבעת הגנה מכח סעיף 15(8) לחוק איסור לשון הרע הקובע כך (ההדגשות לא במקור):</w:t>
      </w:r>
    </w:p>
    <w:p w:rsidR="00F0335E" w:rsidRDefault="00F0335E" w:rsidP="00F0335E">
      <w:pPr>
        <w:shd w:val="clear" w:color="auto" w:fill="FFFFFF"/>
        <w:spacing w:before="150" w:after="150" w:line="360" w:lineRule="auto"/>
        <w:ind w:left="2096"/>
        <w:jc w:val="both"/>
        <w:rPr>
          <w:rFonts w:ascii="David" w:hAnsi="David"/>
          <w:b/>
          <w:bCs/>
          <w:rtl/>
        </w:rPr>
      </w:pPr>
      <w:r>
        <w:rPr>
          <w:rFonts w:ascii="David" w:hAnsi="David"/>
          <w:b/>
          <w:bCs/>
          <w:rtl/>
        </w:rPr>
        <w:t>במשפט פלילי או אזרחי בשל לשון הרע תהא זאת הגנה טובה אם הנאשם או הנתבע עשה את הפרסום בתום לב באחת הנסיבות האלו:</w:t>
      </w:r>
    </w:p>
    <w:p w:rsidR="00F0335E" w:rsidRDefault="00F0335E" w:rsidP="00F0335E">
      <w:pPr>
        <w:shd w:val="clear" w:color="auto" w:fill="FFFFFF"/>
        <w:spacing w:before="150" w:after="150" w:line="360" w:lineRule="auto"/>
        <w:ind w:left="2096"/>
        <w:jc w:val="both"/>
        <w:rPr>
          <w:rFonts w:ascii="David" w:hAnsi="David"/>
          <w:b/>
          <w:bCs/>
          <w:rtl/>
        </w:rPr>
      </w:pPr>
      <w:r>
        <w:rPr>
          <w:rFonts w:ascii="David" w:hAnsi="David"/>
          <w:b/>
          <w:bCs/>
          <w:rtl/>
        </w:rPr>
        <w:t>...</w:t>
      </w:r>
    </w:p>
    <w:p w:rsidR="00F0335E" w:rsidRDefault="00F0335E" w:rsidP="005559B4">
      <w:pPr>
        <w:shd w:val="clear" w:color="auto" w:fill="FFFFFF"/>
        <w:spacing w:before="150" w:after="150" w:line="360" w:lineRule="auto"/>
        <w:ind w:left="2777" w:hanging="709"/>
        <w:jc w:val="both"/>
        <w:rPr>
          <w:rFonts w:ascii="David" w:hAnsi="David"/>
          <w:b/>
          <w:bCs/>
          <w:rtl/>
        </w:rPr>
      </w:pPr>
      <w:r>
        <w:rPr>
          <w:rFonts w:ascii="David" w:hAnsi="David"/>
          <w:b/>
          <w:bCs/>
          <w:rtl/>
        </w:rPr>
        <w:t xml:space="preserve">(8) </w:t>
      </w:r>
      <w:r>
        <w:rPr>
          <w:rFonts w:ascii="David" w:hAnsi="David"/>
          <w:b/>
          <w:bCs/>
          <w:rtl/>
        </w:rPr>
        <w:tab/>
      </w:r>
      <w:r>
        <w:rPr>
          <w:rFonts w:ascii="David" w:hAnsi="David"/>
          <w:b/>
          <w:bCs/>
          <w:u w:val="single"/>
          <w:rtl/>
        </w:rPr>
        <w:t>הפרסום היה בהגשת תלונה</w:t>
      </w:r>
      <w:r>
        <w:rPr>
          <w:rFonts w:ascii="David" w:hAnsi="David"/>
          <w:b/>
          <w:bCs/>
          <w:rtl/>
        </w:rPr>
        <w:t xml:space="preserve"> על הנפגע בענין שבו האדם שאליו הוגשה התלונה ממונה על הנפגע, מכוח דין או חוזה, או </w:t>
      </w:r>
      <w:r>
        <w:rPr>
          <w:rFonts w:ascii="David" w:hAnsi="David"/>
          <w:b/>
          <w:bCs/>
          <w:u w:val="single"/>
          <w:rtl/>
        </w:rPr>
        <w:t>תלונה שהוגשה לרשות המוסמכת לקבל תלונות על הנפגע</w:t>
      </w:r>
      <w:r>
        <w:rPr>
          <w:rFonts w:ascii="David" w:hAnsi="David"/>
          <w:b/>
          <w:bCs/>
          <w:rtl/>
        </w:rPr>
        <w:t xml:space="preserve"> או לחקור בענין המשמש נושא התלונה ואולם אין בהוראה זו כדי להקנות הגנה על פרסום אחר של התלונה, של דבר הגשתה או של תכנה;</w:t>
      </w:r>
    </w:p>
    <w:p w:rsidR="00F0335E" w:rsidRDefault="005559B4" w:rsidP="005559B4">
      <w:pPr>
        <w:pStyle w:val="af"/>
        <w:spacing w:line="360" w:lineRule="auto"/>
        <w:ind w:left="934" w:hanging="1045"/>
        <w:jc w:val="both"/>
        <w:rPr>
          <w:rFonts w:ascii="David" w:eastAsia="Times New Roman" w:hAnsi="David" w:cs="David"/>
          <w:b/>
          <w:bCs/>
          <w:sz w:val="24"/>
          <w:szCs w:val="24"/>
          <w:rtl/>
        </w:rPr>
      </w:pPr>
      <w:r>
        <w:rPr>
          <w:rFonts w:ascii="David" w:hAnsi="David" w:cs="David"/>
          <w:sz w:val="26"/>
          <w:szCs w:val="26"/>
          <w:rtl/>
        </w:rPr>
        <w:tab/>
      </w:r>
      <w:r w:rsidR="00F0335E">
        <w:rPr>
          <w:rFonts w:ascii="David" w:hAnsi="David" w:cs="David"/>
          <w:sz w:val="24"/>
          <w:szCs w:val="24"/>
          <w:rtl/>
        </w:rPr>
        <w:t>בעניינינו, התלונה למועצה הישראלית לצרכנות הוגשה לגוף אשר תפקידיו וסמכויותיו הוסדרו בדין. זאת ועוד, חלה גם הגנת סעיף 15(3) לחוק איסור לשון הרע המתייחסת אל מקרים בהם  "</w:t>
      </w:r>
      <w:r w:rsidR="00F0335E">
        <w:rPr>
          <w:rFonts w:ascii="David" w:eastAsia="Times New Roman" w:hAnsi="David" w:cs="David"/>
          <w:b/>
          <w:bCs/>
          <w:sz w:val="24"/>
          <w:szCs w:val="24"/>
          <w:rtl/>
        </w:rPr>
        <w:t>הפרסום נעשה לשם הגנה על ענין אישי כשר של הנאשם או הנתבע, של האדם שאליו הופנה הפרסום או של מי שאותו אדם מעונין בו ענין אישי כשר".</w:t>
      </w:r>
    </w:p>
    <w:p w:rsidR="00F0335E" w:rsidRDefault="00F0335E" w:rsidP="00F0335E">
      <w:pPr>
        <w:pStyle w:val="af"/>
        <w:spacing w:line="360" w:lineRule="auto"/>
        <w:ind w:left="896"/>
        <w:jc w:val="both"/>
        <w:rPr>
          <w:rFonts w:ascii="David" w:hAnsi="David" w:cs="David"/>
          <w:sz w:val="24"/>
          <w:szCs w:val="24"/>
          <w:rtl/>
        </w:rPr>
      </w:pPr>
    </w:p>
    <w:p w:rsidR="00F0335E" w:rsidRDefault="00F0335E" w:rsidP="00F0335E">
      <w:pPr>
        <w:pStyle w:val="af"/>
        <w:numPr>
          <w:ilvl w:val="0"/>
          <w:numId w:val="15"/>
        </w:numPr>
        <w:spacing w:line="360" w:lineRule="auto"/>
        <w:jc w:val="both"/>
        <w:rPr>
          <w:rFonts w:ascii="David" w:hAnsi="David" w:cs="David"/>
          <w:sz w:val="24"/>
          <w:szCs w:val="24"/>
        </w:rPr>
      </w:pPr>
      <w:r>
        <w:rPr>
          <w:rFonts w:ascii="David" w:hAnsi="David" w:cs="David"/>
          <w:sz w:val="24"/>
          <w:szCs w:val="24"/>
          <w:rtl/>
        </w:rPr>
        <w:t xml:space="preserve">אך אין די בכך שהתלונה הוגשה למועצה הישראלית לצרכנות כגוף שהוסמך כדין. על מנת שתקום לנתבעת הגנה, הרי עליה להוכיח שהתלונה הוגשה בתום לב. בחינת תום הלב נעשית תוך התייחסות לאמונו של המפרסם באמיתות הפרסום וכן תוך התייחסות לסבירות החשד מצידו ביחס לאמור בפרסום, לעניין זה ר' הדיון וההפניות בע"א  12534-11-19 (מחוזי חיפה) </w:t>
      </w:r>
      <w:r>
        <w:rPr>
          <w:rFonts w:ascii="David" w:hAnsi="David" w:cs="David"/>
          <w:sz w:val="24"/>
          <w:szCs w:val="24"/>
          <w:u w:val="single"/>
          <w:rtl/>
        </w:rPr>
        <w:t>סער הדברות בע"מ ואח' נ' גרנוב</w:t>
      </w:r>
      <w:r>
        <w:rPr>
          <w:rFonts w:ascii="David" w:hAnsi="David" w:cs="David"/>
          <w:sz w:val="24"/>
          <w:szCs w:val="24"/>
          <w:rtl/>
        </w:rPr>
        <w:t xml:space="preserve"> (מיום 4/2/2020 השופטת ב' בר-זיו).</w:t>
      </w:r>
    </w:p>
    <w:p w:rsidR="00F0335E" w:rsidRDefault="00F0335E" w:rsidP="00F0335E">
      <w:pPr>
        <w:pStyle w:val="af"/>
        <w:spacing w:line="360" w:lineRule="auto"/>
        <w:ind w:left="896"/>
        <w:jc w:val="both"/>
        <w:rPr>
          <w:rFonts w:ascii="David" w:hAnsi="David" w:cs="David"/>
          <w:sz w:val="24"/>
          <w:szCs w:val="24"/>
        </w:rPr>
      </w:pPr>
      <w:r>
        <w:rPr>
          <w:rFonts w:ascii="David" w:hAnsi="David" w:cs="David"/>
          <w:sz w:val="24"/>
          <w:szCs w:val="24"/>
          <w:rtl/>
        </w:rPr>
        <w:t>בעניינינו אכן הייתה לנתבעת אמונה באמיתות הפרסום ובסבירות החשד שבו. ניתן לקבוע שאכן הייתה לנתבעת אמונה באמיתות הפרסום, מתוך כך שטענותיה ביחס להתקשרות עם התובעת הועלו גם בבית המשפט לתביעות קטנות ואף נקבע פסק דין המחייב את התובעת בתשלום. נכון הוא שפסק הדין ניתן על דרך הפשרה, נכון הוא שפסק הדין אינו קובע ממצאים עובדתיים כאלה או אחרים. אך עדיין – עצם חיובה של התובעת בתשלום תומכת בכך שטענות הנתבעת לא היו כה מופרכות. בוודאי לא היו מופרכות במידה שיש לקבוע שלא האמינה באמיתות טענותיה ובאמיתות האמור בתלונה למועצה הישראלית לצרכנות.</w:t>
      </w:r>
    </w:p>
    <w:p w:rsidR="00F0335E" w:rsidRDefault="00F0335E" w:rsidP="00F0335E">
      <w:pPr>
        <w:pStyle w:val="af"/>
        <w:spacing w:line="360" w:lineRule="auto"/>
        <w:ind w:left="896"/>
        <w:jc w:val="both"/>
        <w:rPr>
          <w:rFonts w:ascii="David" w:hAnsi="David" w:cs="David"/>
          <w:sz w:val="24"/>
          <w:szCs w:val="24"/>
          <w:rtl/>
        </w:rPr>
      </w:pPr>
    </w:p>
    <w:p w:rsidR="00F0335E" w:rsidRDefault="00F0335E" w:rsidP="00F0335E">
      <w:pPr>
        <w:pStyle w:val="af"/>
        <w:numPr>
          <w:ilvl w:val="0"/>
          <w:numId w:val="15"/>
        </w:numPr>
        <w:spacing w:line="360" w:lineRule="auto"/>
        <w:jc w:val="both"/>
        <w:rPr>
          <w:rFonts w:ascii="David" w:hAnsi="David" w:cs="David"/>
          <w:sz w:val="24"/>
          <w:szCs w:val="24"/>
          <w:rtl/>
        </w:rPr>
      </w:pPr>
      <w:r>
        <w:rPr>
          <w:rFonts w:ascii="David" w:hAnsi="David" w:cs="David"/>
          <w:sz w:val="24"/>
          <w:szCs w:val="24"/>
          <w:rtl/>
        </w:rPr>
        <w:t xml:space="preserve">נתתי דעתי לכך  שבאתר האינטרנט של המועצה הישראלית לצרכנות נכללת בין היתר האמירה </w:t>
      </w:r>
      <w:r>
        <w:rPr>
          <w:rFonts w:ascii="David" w:hAnsi="David" w:cs="David"/>
          <w:b/>
          <w:bCs/>
          <w:sz w:val="24"/>
          <w:szCs w:val="24"/>
          <w:rtl/>
        </w:rPr>
        <w:t>– "אנא שמור על דרך התבטאות נאותה ועל לשון נקיה. ביטויים לא הולמים או דברים מסולפים מאפשרים לבית העסק להגיש נגדך תביעת דיבה או תביעת לשון הרע".</w:t>
      </w:r>
      <w:r>
        <w:rPr>
          <w:rFonts w:ascii="David" w:hAnsi="David" w:cs="David"/>
          <w:sz w:val="24"/>
          <w:szCs w:val="24"/>
          <w:rtl/>
        </w:rPr>
        <w:t xml:space="preserve"> עם זאת, אין באמירה זו כדי לגרוע או לשנות את הוראות חוק איסור לשון הרע או הוראות הדין. אמירה זו בוודאי אינה מגבילה את הנתבעת מזכותה להגיש תלונה. כל פרשנות אחרת, לפיה הגשת התלונה היא בגדר הוצאת לשון הרע תאיין מאליה את האפשרות להגיש תלונה. ושוב יודגש שתלונה מעצם טבעה מעלה טענות כנגד הצד הנילון. </w:t>
      </w:r>
    </w:p>
    <w:p w:rsidR="00F0335E" w:rsidRDefault="00F0335E" w:rsidP="00F0335E">
      <w:pPr>
        <w:pStyle w:val="af"/>
        <w:spacing w:line="360" w:lineRule="auto"/>
        <w:ind w:left="395"/>
        <w:jc w:val="both"/>
        <w:rPr>
          <w:rFonts w:ascii="David" w:hAnsi="David" w:cs="David"/>
          <w:sz w:val="26"/>
          <w:szCs w:val="26"/>
          <w:rtl/>
        </w:rPr>
      </w:pPr>
    </w:p>
    <w:p w:rsidR="005559B4" w:rsidRDefault="005559B4" w:rsidP="00F0335E">
      <w:pPr>
        <w:pStyle w:val="af"/>
        <w:spacing w:line="360" w:lineRule="auto"/>
        <w:ind w:left="395"/>
        <w:jc w:val="both"/>
        <w:rPr>
          <w:rFonts w:ascii="David" w:hAnsi="David" w:cs="David"/>
          <w:sz w:val="26"/>
          <w:szCs w:val="26"/>
          <w:rtl/>
        </w:rPr>
      </w:pPr>
    </w:p>
    <w:p w:rsidR="00F0335E" w:rsidRDefault="00F0335E" w:rsidP="00F0335E">
      <w:pPr>
        <w:pStyle w:val="af"/>
        <w:numPr>
          <w:ilvl w:val="1"/>
          <w:numId w:val="1"/>
        </w:numPr>
        <w:spacing w:line="360" w:lineRule="auto"/>
        <w:ind w:left="536" w:hanging="708"/>
        <w:jc w:val="both"/>
        <w:rPr>
          <w:rFonts w:ascii="David" w:hAnsi="David" w:cs="David"/>
          <w:b/>
          <w:bCs/>
          <w:sz w:val="24"/>
          <w:szCs w:val="24"/>
          <w:u w:val="single"/>
          <w:rtl/>
        </w:rPr>
      </w:pPr>
      <w:r>
        <w:rPr>
          <w:rFonts w:ascii="David" w:hAnsi="David" w:cs="David"/>
          <w:b/>
          <w:bCs/>
          <w:sz w:val="24"/>
          <w:szCs w:val="24"/>
          <w:u w:val="single"/>
          <w:rtl/>
        </w:rPr>
        <w:t>הערה למען הזהירות, תוך הפניה לסעיף 19 לחוק איסור לשון הרע</w:t>
      </w:r>
    </w:p>
    <w:p w:rsidR="00F0335E" w:rsidRDefault="00F0335E" w:rsidP="00F0335E">
      <w:pPr>
        <w:pStyle w:val="af"/>
        <w:numPr>
          <w:ilvl w:val="0"/>
          <w:numId w:val="16"/>
        </w:numPr>
        <w:spacing w:line="360" w:lineRule="auto"/>
        <w:jc w:val="both"/>
        <w:rPr>
          <w:rFonts w:ascii="David" w:hAnsi="David" w:cs="David"/>
          <w:sz w:val="24"/>
          <w:szCs w:val="24"/>
        </w:rPr>
      </w:pPr>
      <w:r>
        <w:rPr>
          <w:rFonts w:ascii="David" w:hAnsi="David" w:cs="David"/>
          <w:sz w:val="24"/>
          <w:szCs w:val="24"/>
          <w:rtl/>
        </w:rPr>
        <w:t>לפני סיום אציין שאף אם הייתי מוצא שלא קמה לנתבעת הגנה מכח האמור בסעיף 7.4 לעיל, הרי עדיין אין מקום לחייבה בכל תשלום פיצוי מכח החוק.</w:t>
      </w:r>
    </w:p>
    <w:p w:rsidR="00F0335E" w:rsidRDefault="00F0335E" w:rsidP="00F0335E">
      <w:pPr>
        <w:pStyle w:val="af"/>
        <w:spacing w:line="360" w:lineRule="auto"/>
        <w:ind w:left="896"/>
        <w:jc w:val="both"/>
        <w:rPr>
          <w:rFonts w:ascii="David" w:hAnsi="David" w:cs="David"/>
          <w:sz w:val="24"/>
          <w:szCs w:val="24"/>
        </w:rPr>
      </w:pPr>
    </w:p>
    <w:p w:rsidR="00F0335E" w:rsidRDefault="00F0335E" w:rsidP="00F0335E">
      <w:pPr>
        <w:pStyle w:val="af"/>
        <w:numPr>
          <w:ilvl w:val="0"/>
          <w:numId w:val="16"/>
        </w:numPr>
        <w:spacing w:line="360" w:lineRule="auto"/>
        <w:jc w:val="both"/>
        <w:rPr>
          <w:rFonts w:ascii="David" w:hAnsi="David" w:cs="David"/>
          <w:sz w:val="24"/>
          <w:szCs w:val="24"/>
        </w:rPr>
      </w:pPr>
      <w:r>
        <w:rPr>
          <w:rFonts w:ascii="David" w:hAnsi="David" w:cs="David"/>
          <w:sz w:val="24"/>
          <w:szCs w:val="24"/>
          <w:rtl/>
        </w:rPr>
        <w:t xml:space="preserve">הנתבעת אכן האמינה בתום לב באמיתות טענותיה ור' למשל הדיון בסעיף 5.3(ג) וכן סעיף 7.4(ב) לעיל. במקרה כזה יש להחיל את הוראות סעיף 19(2) לחוק הקובעות כך: </w:t>
      </w:r>
    </w:p>
    <w:p w:rsidR="00F0335E" w:rsidRDefault="00F0335E" w:rsidP="00F0335E">
      <w:pPr>
        <w:shd w:val="clear" w:color="auto" w:fill="FFFFFF"/>
        <w:spacing w:before="150" w:after="150" w:line="360" w:lineRule="auto"/>
        <w:ind w:left="2160"/>
        <w:jc w:val="both"/>
        <w:rPr>
          <w:rFonts w:ascii="David" w:hAnsi="David"/>
          <w:b/>
          <w:bCs/>
          <w:rtl/>
        </w:rPr>
      </w:pPr>
      <w:r>
        <w:rPr>
          <w:rFonts w:ascii="David" w:hAnsi="David"/>
          <w:b/>
          <w:bCs/>
          <w:rtl/>
        </w:rPr>
        <w:t>"בבואו לגזור את הדין או לפסוק פיצויים רשאי בית המשפט להתחשב לטובת הנאשם או הנתבע גם באלה:</w:t>
      </w:r>
    </w:p>
    <w:p w:rsidR="00F0335E" w:rsidRDefault="00F0335E" w:rsidP="00F0335E">
      <w:pPr>
        <w:shd w:val="clear" w:color="auto" w:fill="FFFFFF"/>
        <w:spacing w:before="150" w:after="150" w:line="360" w:lineRule="auto"/>
        <w:ind w:left="2160"/>
        <w:jc w:val="both"/>
        <w:rPr>
          <w:rFonts w:ascii="David" w:hAnsi="David"/>
          <w:b/>
          <w:bCs/>
          <w:rtl/>
        </w:rPr>
      </w:pPr>
      <w:r>
        <w:rPr>
          <w:rFonts w:ascii="David" w:hAnsi="David"/>
          <w:b/>
          <w:bCs/>
          <w:rtl/>
        </w:rPr>
        <w:t>...</w:t>
      </w:r>
    </w:p>
    <w:p w:rsidR="00F0335E" w:rsidRDefault="005559B4" w:rsidP="00F0335E">
      <w:pPr>
        <w:shd w:val="clear" w:color="auto" w:fill="FFFFFF"/>
        <w:spacing w:before="150" w:after="150" w:line="360" w:lineRule="auto"/>
        <w:ind w:left="2237"/>
        <w:jc w:val="both"/>
        <w:rPr>
          <w:rFonts w:ascii="David" w:hAnsi="David"/>
          <w:b/>
          <w:bCs/>
        </w:rPr>
      </w:pPr>
      <w:r>
        <w:rPr>
          <w:rFonts w:ascii="David" w:hAnsi="David"/>
          <w:b/>
          <w:bCs/>
          <w:rtl/>
        </w:rPr>
        <w:t>(2)</w:t>
      </w:r>
      <w:r>
        <w:rPr>
          <w:rFonts w:ascii="David" w:hAnsi="David" w:hint="cs"/>
          <w:b/>
          <w:bCs/>
          <w:rtl/>
        </w:rPr>
        <w:t xml:space="preserve"> </w:t>
      </w:r>
      <w:r w:rsidR="00F0335E">
        <w:rPr>
          <w:rFonts w:ascii="David" w:hAnsi="David"/>
          <w:b/>
          <w:bCs/>
          <w:rtl/>
        </w:rPr>
        <w:t>הוא היה משוכנע באמיתותה של לשון הרע;"</w:t>
      </w:r>
    </w:p>
    <w:p w:rsidR="00F0335E" w:rsidRDefault="00F0335E" w:rsidP="00F0335E">
      <w:pPr>
        <w:pStyle w:val="af"/>
        <w:spacing w:line="360" w:lineRule="auto"/>
        <w:ind w:left="962"/>
        <w:jc w:val="both"/>
        <w:rPr>
          <w:rFonts w:ascii="David" w:hAnsi="David" w:cs="David"/>
          <w:sz w:val="26"/>
          <w:szCs w:val="26"/>
          <w:rtl/>
        </w:rPr>
      </w:pPr>
      <w:r>
        <w:rPr>
          <w:rFonts w:ascii="David" w:hAnsi="David" w:cs="David"/>
          <w:sz w:val="24"/>
          <w:szCs w:val="24"/>
          <w:rtl/>
        </w:rPr>
        <w:t>בעניינינו, אף אם לא הייתה קמה לנתבעת הגנה – הרי היה מקום לפסוק פיצויים אפסיים, לאור האמור לעיל.</w:t>
      </w:r>
    </w:p>
    <w:p w:rsidR="00F0335E" w:rsidRDefault="00F0335E" w:rsidP="00F0335E">
      <w:pPr>
        <w:pStyle w:val="af"/>
        <w:spacing w:line="360" w:lineRule="auto"/>
        <w:ind w:left="395"/>
        <w:jc w:val="both"/>
        <w:rPr>
          <w:rFonts w:ascii="David" w:hAnsi="David" w:cs="David"/>
          <w:sz w:val="26"/>
          <w:szCs w:val="26"/>
          <w:rtl/>
        </w:rPr>
      </w:pPr>
    </w:p>
    <w:p w:rsidR="00F0335E" w:rsidRDefault="00F0335E" w:rsidP="00F0335E">
      <w:pPr>
        <w:pStyle w:val="af"/>
        <w:numPr>
          <w:ilvl w:val="0"/>
          <w:numId w:val="1"/>
        </w:numPr>
        <w:spacing w:line="360" w:lineRule="auto"/>
        <w:ind w:left="395" w:hanging="284"/>
        <w:jc w:val="both"/>
        <w:rPr>
          <w:rFonts w:ascii="David" w:hAnsi="David" w:cs="David"/>
          <w:sz w:val="26"/>
          <w:szCs w:val="26"/>
          <w:rtl/>
        </w:rPr>
      </w:pPr>
      <w:r>
        <w:rPr>
          <w:rFonts w:ascii="David" w:hAnsi="David" w:cs="David"/>
          <w:b/>
          <w:bCs/>
          <w:sz w:val="24"/>
          <w:szCs w:val="24"/>
          <w:u w:val="single"/>
          <w:rtl/>
        </w:rPr>
        <w:t>התובעת לא הוכיחה טענתה בדבר גרם הפרת חוזה ובפועל זנחה טענה זו</w:t>
      </w:r>
    </w:p>
    <w:p w:rsidR="00F0335E" w:rsidRDefault="00F0335E" w:rsidP="00F0335E">
      <w:pPr>
        <w:pStyle w:val="af"/>
        <w:numPr>
          <w:ilvl w:val="1"/>
          <w:numId w:val="1"/>
        </w:numPr>
        <w:spacing w:line="360" w:lineRule="auto"/>
        <w:ind w:hanging="674"/>
        <w:jc w:val="both"/>
        <w:rPr>
          <w:rFonts w:ascii="David" w:hAnsi="David" w:cs="David"/>
          <w:sz w:val="24"/>
          <w:szCs w:val="24"/>
        </w:rPr>
      </w:pPr>
      <w:r>
        <w:rPr>
          <w:rFonts w:ascii="David" w:hAnsi="David" w:cs="David"/>
          <w:sz w:val="24"/>
          <w:szCs w:val="24"/>
          <w:rtl/>
        </w:rPr>
        <w:t>התובעת טענה בכתב התביעה שהנתבעת פעלה להפרת חוזה התקשרות של תלמידות עימה. מכאן, לטעמה של התובעת, עוולה כלפיה הנתבעת בעוולה של "גרם הפרת חוזה שלא כדין".</w:t>
      </w:r>
    </w:p>
    <w:p w:rsidR="00F0335E" w:rsidRDefault="00F0335E" w:rsidP="00F0335E">
      <w:pPr>
        <w:pStyle w:val="af"/>
        <w:spacing w:line="360" w:lineRule="auto"/>
        <w:ind w:left="1069"/>
        <w:jc w:val="both"/>
        <w:rPr>
          <w:rFonts w:ascii="David" w:hAnsi="David" w:cs="David"/>
          <w:sz w:val="24"/>
          <w:szCs w:val="24"/>
        </w:rPr>
      </w:pPr>
    </w:p>
    <w:p w:rsidR="00F0335E" w:rsidRDefault="00F0335E" w:rsidP="00F0335E">
      <w:pPr>
        <w:pStyle w:val="af"/>
        <w:numPr>
          <w:ilvl w:val="1"/>
          <w:numId w:val="1"/>
        </w:numPr>
        <w:spacing w:line="360" w:lineRule="auto"/>
        <w:ind w:hanging="674"/>
        <w:jc w:val="both"/>
        <w:rPr>
          <w:rFonts w:ascii="David" w:hAnsi="David" w:cs="David"/>
          <w:sz w:val="24"/>
          <w:szCs w:val="24"/>
        </w:rPr>
      </w:pPr>
      <w:r>
        <w:rPr>
          <w:rFonts w:ascii="David" w:hAnsi="David" w:cs="David"/>
          <w:sz w:val="24"/>
          <w:szCs w:val="24"/>
          <w:rtl/>
        </w:rPr>
        <w:t xml:space="preserve">התובעת לא הוכיחה את טענותיה. התובעת לא העידה תלמידות אשר הפסיקו התקשרות עימה. התובעת גם לא הציגה כל אסמכתאות להפסקת התקשרות ונזק ממון שנגרם לה. בכך גם לא התקיימה הסיפא לסעיף 62(א) לפקודת הנזיקין [נוסח חדש] העוסק בעוולת גרם הפרת חוזה. הוראות הסיפא לסעיף 62(א) קובעות כי – </w:t>
      </w:r>
      <w:r>
        <w:rPr>
          <w:rFonts w:ascii="David" w:hAnsi="David" w:cs="David"/>
          <w:b/>
          <w:bCs/>
          <w:sz w:val="24"/>
          <w:szCs w:val="24"/>
          <w:rtl/>
        </w:rPr>
        <w:t>"... האדם השלישי לא יוכל להיפרע פיצויים בעד עוולה זו אלא אם סבל על ידי כך נזק ממון"</w:t>
      </w:r>
      <w:r>
        <w:rPr>
          <w:rFonts w:ascii="David" w:hAnsi="David" w:cs="David"/>
          <w:sz w:val="24"/>
          <w:szCs w:val="24"/>
          <w:rtl/>
        </w:rPr>
        <w:t xml:space="preserve">. </w:t>
      </w:r>
    </w:p>
    <w:p w:rsidR="005559B4" w:rsidRDefault="005559B4" w:rsidP="00F0335E">
      <w:pPr>
        <w:pStyle w:val="af"/>
        <w:spacing w:line="360" w:lineRule="auto"/>
        <w:ind w:left="395"/>
        <w:jc w:val="both"/>
        <w:rPr>
          <w:rFonts w:ascii="David" w:hAnsi="David" w:cs="David"/>
          <w:sz w:val="24"/>
          <w:szCs w:val="24"/>
          <w:rtl/>
        </w:rPr>
      </w:pPr>
    </w:p>
    <w:p w:rsidR="00F0335E" w:rsidRDefault="00F0335E" w:rsidP="00F0335E">
      <w:pPr>
        <w:pStyle w:val="af"/>
        <w:spacing w:line="360" w:lineRule="auto"/>
        <w:ind w:left="-739"/>
        <w:jc w:val="both"/>
        <w:rPr>
          <w:rFonts w:ascii="David" w:hAnsi="David" w:cs="David"/>
          <w:b/>
          <w:bCs/>
          <w:sz w:val="24"/>
          <w:szCs w:val="24"/>
          <w:u w:val="single"/>
          <w:rtl/>
        </w:rPr>
      </w:pPr>
      <w:r>
        <w:rPr>
          <w:rFonts w:ascii="David" w:hAnsi="David" w:cs="David"/>
          <w:b/>
          <w:bCs/>
          <w:sz w:val="28"/>
          <w:szCs w:val="28"/>
          <w:u w:val="single"/>
          <w:rtl/>
        </w:rPr>
        <w:t>חלק שלישי – הערה לפני סיום וכן סיכום ותוצאת ההליך</w:t>
      </w:r>
    </w:p>
    <w:p w:rsidR="00F0335E" w:rsidRDefault="00F0335E" w:rsidP="00B377C5">
      <w:pPr>
        <w:pStyle w:val="af"/>
        <w:numPr>
          <w:ilvl w:val="0"/>
          <w:numId w:val="1"/>
        </w:numPr>
        <w:spacing w:line="360" w:lineRule="auto"/>
        <w:ind w:left="-172" w:hanging="284"/>
        <w:jc w:val="both"/>
        <w:rPr>
          <w:rFonts w:ascii="David" w:hAnsi="David" w:cs="David"/>
          <w:sz w:val="24"/>
          <w:szCs w:val="24"/>
          <w:rtl/>
        </w:rPr>
      </w:pPr>
      <w:r>
        <w:rPr>
          <w:rFonts w:ascii="David" w:hAnsi="David" w:cs="David"/>
          <w:b/>
          <w:bCs/>
          <w:sz w:val="24"/>
          <w:szCs w:val="24"/>
          <w:u w:val="single"/>
          <w:rtl/>
        </w:rPr>
        <w:t>הערה לפני סיום</w:t>
      </w:r>
    </w:p>
    <w:p w:rsidR="00F0335E" w:rsidRDefault="00F0335E" w:rsidP="00B377C5">
      <w:pPr>
        <w:pStyle w:val="af"/>
        <w:spacing w:line="360" w:lineRule="auto"/>
        <w:ind w:left="-200"/>
        <w:jc w:val="both"/>
        <w:rPr>
          <w:rFonts w:ascii="David" w:hAnsi="David" w:cs="David"/>
          <w:sz w:val="24"/>
          <w:szCs w:val="24"/>
        </w:rPr>
      </w:pPr>
      <w:r>
        <w:rPr>
          <w:rFonts w:ascii="David" w:hAnsi="David" w:cs="David"/>
          <w:sz w:val="24"/>
          <w:szCs w:val="24"/>
          <w:rtl/>
        </w:rPr>
        <w:t>הנתבעת התייחסה בסיכומיה להליכים אחרים שעניינם הטרדה מאיימת. הליכים שניהלו כנגד התובעת בעלי דין אחרים וצווים שהוצאו כנגד התובעת במסגרתם. אין מקום להתייחס להליכים אלה וההכרעה בפסק דין זה מתייחסת כמובן אך ורק לטענות, לראיות ולדין החל בתביעה שלפני.</w:t>
      </w:r>
    </w:p>
    <w:p w:rsidR="005559B4" w:rsidRDefault="005559B4" w:rsidP="00F0335E">
      <w:pPr>
        <w:pStyle w:val="af"/>
        <w:spacing w:line="360" w:lineRule="auto"/>
        <w:ind w:left="395"/>
        <w:jc w:val="both"/>
        <w:rPr>
          <w:rFonts w:ascii="David" w:hAnsi="David" w:cs="David"/>
          <w:sz w:val="24"/>
          <w:szCs w:val="24"/>
          <w:u w:val="single"/>
          <w:rtl/>
        </w:rPr>
      </w:pPr>
    </w:p>
    <w:p w:rsidR="00F0335E" w:rsidRDefault="00F0335E" w:rsidP="00B377C5">
      <w:pPr>
        <w:pStyle w:val="af"/>
        <w:numPr>
          <w:ilvl w:val="0"/>
          <w:numId w:val="1"/>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סיכום נימוקי פסק הדין</w:t>
      </w:r>
    </w:p>
    <w:p w:rsidR="00F0335E" w:rsidRDefault="005559B4" w:rsidP="00B377C5">
      <w:pPr>
        <w:pStyle w:val="af"/>
        <w:numPr>
          <w:ilvl w:val="1"/>
          <w:numId w:val="1"/>
        </w:numPr>
        <w:spacing w:line="360" w:lineRule="auto"/>
        <w:ind w:left="367" w:hanging="567"/>
        <w:jc w:val="both"/>
        <w:rPr>
          <w:rFonts w:ascii="David" w:hAnsi="David" w:cs="David"/>
          <w:sz w:val="24"/>
          <w:szCs w:val="24"/>
        </w:rPr>
      </w:pPr>
      <w:r>
        <w:rPr>
          <w:rFonts w:ascii="David" w:hAnsi="David" w:cs="David" w:hint="cs"/>
          <w:sz w:val="24"/>
          <w:szCs w:val="24"/>
          <w:rtl/>
        </w:rPr>
        <w:t xml:space="preserve">מסגרת הפרסומים הראשונה משלוש - </w:t>
      </w:r>
      <w:r w:rsidR="00F0335E">
        <w:rPr>
          <w:rFonts w:ascii="David" w:hAnsi="David" w:cs="David"/>
          <w:sz w:val="24"/>
          <w:szCs w:val="24"/>
          <w:rtl/>
        </w:rPr>
        <w:t>יש לדחות טענות התובעת להוצאת לשון הרע במסגרת פרסומים במרשתת. חלק מהטענות כלל לא הופיעו בפרסומים בכתב התביעה. חלק אחר ועיקרן של הטענות – הוא בגדר ביקורת מותרת. התייחסות לכך, לרבות התייחסות ספציפית לאמירות שונות הובאה ב</w:t>
      </w:r>
      <w:r w:rsidR="00F0335E">
        <w:rPr>
          <w:rFonts w:ascii="David" w:hAnsi="David" w:cs="David"/>
          <w:sz w:val="24"/>
          <w:szCs w:val="24"/>
          <w:u w:val="single"/>
          <w:rtl/>
        </w:rPr>
        <w:t>סעיף 5 לפסק הדין</w:t>
      </w:r>
      <w:r w:rsidR="00F0335E">
        <w:rPr>
          <w:rFonts w:ascii="David" w:hAnsi="David" w:cs="David"/>
          <w:sz w:val="24"/>
          <w:szCs w:val="24"/>
          <w:rtl/>
        </w:rPr>
        <w:t>.</w:t>
      </w:r>
    </w:p>
    <w:p w:rsidR="00F0335E" w:rsidRDefault="00F0335E" w:rsidP="00F0335E">
      <w:pPr>
        <w:pStyle w:val="af"/>
        <w:spacing w:line="360" w:lineRule="auto"/>
        <w:ind w:left="1069"/>
        <w:jc w:val="both"/>
        <w:rPr>
          <w:rFonts w:ascii="David" w:hAnsi="David" w:cs="David"/>
          <w:sz w:val="24"/>
          <w:szCs w:val="24"/>
        </w:rPr>
      </w:pPr>
    </w:p>
    <w:p w:rsidR="00F0335E" w:rsidRDefault="005559B4" w:rsidP="00B377C5">
      <w:pPr>
        <w:pStyle w:val="af"/>
        <w:numPr>
          <w:ilvl w:val="1"/>
          <w:numId w:val="1"/>
        </w:numPr>
        <w:spacing w:line="360" w:lineRule="auto"/>
        <w:ind w:left="367" w:hanging="567"/>
        <w:jc w:val="both"/>
        <w:rPr>
          <w:rFonts w:ascii="David" w:hAnsi="David" w:cs="David"/>
          <w:sz w:val="24"/>
          <w:szCs w:val="24"/>
        </w:rPr>
      </w:pPr>
      <w:r>
        <w:rPr>
          <w:rFonts w:ascii="David" w:hAnsi="David" w:cs="David" w:hint="cs"/>
          <w:sz w:val="24"/>
          <w:szCs w:val="24"/>
          <w:rtl/>
        </w:rPr>
        <w:t>מסגרת הפרסומים השניה משלוש</w:t>
      </w:r>
      <w:r>
        <w:rPr>
          <w:rFonts w:ascii="David" w:hAnsi="David" w:cs="David"/>
          <w:sz w:val="24"/>
          <w:szCs w:val="24"/>
          <w:rtl/>
        </w:rPr>
        <w:t xml:space="preserve"> </w:t>
      </w:r>
      <w:r>
        <w:rPr>
          <w:rFonts w:ascii="David" w:hAnsi="David" w:cs="David" w:hint="cs"/>
          <w:sz w:val="24"/>
          <w:szCs w:val="24"/>
          <w:rtl/>
        </w:rPr>
        <w:t xml:space="preserve">- </w:t>
      </w:r>
      <w:r w:rsidR="00F0335E">
        <w:rPr>
          <w:rFonts w:ascii="David" w:hAnsi="David" w:cs="David"/>
          <w:sz w:val="24"/>
          <w:szCs w:val="24"/>
          <w:rtl/>
        </w:rPr>
        <w:t>יש לדחות הטענות להוצאת לשון הרע במסגרת התכתבות מסרונים בין הנתבעת לשתיים מחברותיה ללימודים. האמירות בהתכתבות אינן בגדר לשון הרע. זאת ועוד – יש להתייחס לכך שהאמירות הוחלפו במסגרת מסרונים בין שתי חברות למסגרת לימודים. על כך הורחב הדיון ב</w:t>
      </w:r>
      <w:r w:rsidR="00F0335E">
        <w:rPr>
          <w:rFonts w:ascii="David" w:hAnsi="David" w:cs="David"/>
          <w:sz w:val="24"/>
          <w:szCs w:val="24"/>
          <w:u w:val="single"/>
          <w:rtl/>
        </w:rPr>
        <w:t>סעיף 6 לפסק הדין</w:t>
      </w:r>
      <w:r w:rsidR="00F0335E">
        <w:rPr>
          <w:rFonts w:ascii="David" w:hAnsi="David" w:cs="David"/>
          <w:sz w:val="24"/>
          <w:szCs w:val="24"/>
          <w:rtl/>
        </w:rPr>
        <w:t>.</w:t>
      </w:r>
    </w:p>
    <w:p w:rsidR="00F0335E" w:rsidRDefault="00F0335E" w:rsidP="00F0335E">
      <w:pPr>
        <w:pStyle w:val="af"/>
        <w:rPr>
          <w:rFonts w:ascii="David" w:hAnsi="David" w:cs="David"/>
          <w:sz w:val="24"/>
          <w:szCs w:val="24"/>
        </w:rPr>
      </w:pPr>
    </w:p>
    <w:p w:rsidR="00F0335E" w:rsidRDefault="005559B4" w:rsidP="005559B4">
      <w:pPr>
        <w:pStyle w:val="af"/>
        <w:numPr>
          <w:ilvl w:val="1"/>
          <w:numId w:val="1"/>
        </w:numPr>
        <w:spacing w:line="360" w:lineRule="auto"/>
        <w:ind w:left="367" w:hanging="567"/>
        <w:jc w:val="both"/>
        <w:rPr>
          <w:rFonts w:ascii="David" w:hAnsi="David" w:cs="David"/>
          <w:sz w:val="24"/>
          <w:szCs w:val="24"/>
          <w:rtl/>
        </w:rPr>
      </w:pPr>
      <w:r>
        <w:rPr>
          <w:rFonts w:ascii="David" w:hAnsi="David" w:cs="David" w:hint="cs"/>
          <w:sz w:val="24"/>
          <w:szCs w:val="24"/>
          <w:rtl/>
        </w:rPr>
        <w:t xml:space="preserve">מסגרת הפרסומים השלישית משלוש - </w:t>
      </w:r>
      <w:r w:rsidR="00F0335E">
        <w:rPr>
          <w:rFonts w:ascii="David" w:hAnsi="David" w:cs="David"/>
          <w:sz w:val="24"/>
          <w:szCs w:val="24"/>
          <w:rtl/>
        </w:rPr>
        <w:t>יש לדחות הטענה להוצאת לשון הרע במסגרת תלונה שהוגשה למועצה הישראלית לצרכנות. התלונה הועברה לגוף שתפקידיו וסמכויותיו הוגדרו בחוק. התלונה כשלעצמה אינה מהווה ברובה לשון הרע, ובכל מקרה היא מוגנת מחוק הוראות חוק איסור לשון הרע. לכך יש להוסיף שאפילו לא היה האמור בתלונה מוגן מכח החוק, הרי היה מקום לקבוע פיצויים אפסיים מכח סעיף 19 לחוק איסור לשון הרע. על כל אלה הורחב ב</w:t>
      </w:r>
      <w:r w:rsidR="00F0335E">
        <w:rPr>
          <w:rFonts w:ascii="David" w:hAnsi="David" w:cs="David"/>
          <w:sz w:val="24"/>
          <w:szCs w:val="24"/>
          <w:u w:val="single"/>
          <w:rtl/>
        </w:rPr>
        <w:t>סעיף 7 לפסק הדין</w:t>
      </w:r>
      <w:r w:rsidR="00F0335E">
        <w:rPr>
          <w:rFonts w:ascii="David" w:hAnsi="David" w:cs="David"/>
          <w:sz w:val="24"/>
          <w:szCs w:val="24"/>
          <w:rtl/>
        </w:rPr>
        <w:t>.</w:t>
      </w:r>
    </w:p>
    <w:p w:rsidR="00F0335E" w:rsidRDefault="00F0335E" w:rsidP="00F0335E">
      <w:pPr>
        <w:pStyle w:val="af"/>
        <w:rPr>
          <w:rFonts w:ascii="David" w:hAnsi="David" w:cs="David"/>
          <w:sz w:val="24"/>
          <w:szCs w:val="24"/>
        </w:rPr>
      </w:pPr>
    </w:p>
    <w:p w:rsidR="00F0335E" w:rsidRDefault="00F0335E" w:rsidP="00B377C5">
      <w:pPr>
        <w:pStyle w:val="af"/>
        <w:numPr>
          <w:ilvl w:val="1"/>
          <w:numId w:val="1"/>
        </w:numPr>
        <w:spacing w:line="360" w:lineRule="auto"/>
        <w:ind w:left="367" w:hanging="567"/>
        <w:jc w:val="both"/>
        <w:rPr>
          <w:rFonts w:ascii="David" w:hAnsi="David" w:cs="David"/>
          <w:sz w:val="24"/>
          <w:szCs w:val="24"/>
          <w:rtl/>
        </w:rPr>
      </w:pPr>
      <w:r>
        <w:rPr>
          <w:rFonts w:ascii="David" w:hAnsi="David" w:cs="David"/>
          <w:sz w:val="24"/>
          <w:szCs w:val="24"/>
          <w:rtl/>
        </w:rPr>
        <w:t>התובעת לא הוכיחה טענה בדבר גרם הפרת חוזה, על כך ר' הדיון ב</w:t>
      </w:r>
      <w:r>
        <w:rPr>
          <w:rFonts w:ascii="David" w:hAnsi="David" w:cs="David"/>
          <w:sz w:val="24"/>
          <w:szCs w:val="24"/>
          <w:u w:val="single"/>
          <w:rtl/>
        </w:rPr>
        <w:t>סעיף 8 לפסק הדין</w:t>
      </w:r>
      <w:r>
        <w:rPr>
          <w:rFonts w:ascii="David" w:hAnsi="David" w:cs="David"/>
          <w:sz w:val="24"/>
          <w:szCs w:val="24"/>
          <w:rtl/>
        </w:rPr>
        <w:t>.</w:t>
      </w:r>
    </w:p>
    <w:p w:rsidR="00F0335E" w:rsidRDefault="00F0335E" w:rsidP="00F0335E">
      <w:pPr>
        <w:spacing w:line="360" w:lineRule="auto"/>
        <w:jc w:val="both"/>
        <w:rPr>
          <w:rFonts w:ascii="David" w:hAnsi="David"/>
          <w:rtl/>
        </w:rPr>
      </w:pPr>
    </w:p>
    <w:p w:rsidR="00F0335E" w:rsidRDefault="00F0335E" w:rsidP="00B377C5">
      <w:pPr>
        <w:spacing w:line="360" w:lineRule="auto"/>
        <w:ind w:left="-341"/>
        <w:jc w:val="both"/>
        <w:rPr>
          <w:rFonts w:ascii="David" w:hAnsi="David"/>
          <w:b/>
          <w:bCs/>
          <w:rtl/>
        </w:rPr>
      </w:pPr>
      <w:r>
        <w:rPr>
          <w:rFonts w:ascii="David" w:hAnsi="David"/>
          <w:b/>
          <w:bCs/>
          <w:rtl/>
        </w:rPr>
        <w:t xml:space="preserve">לאור האמור לעיל התביעה נדחית. אני מחייב את התובעת בתשלום הוצאות משפט ושכר טרחת עו"ד בסך כולל של </w:t>
      </w:r>
      <w:r>
        <w:rPr>
          <w:rFonts w:ascii="David" w:hAnsi="David"/>
          <w:b/>
          <w:bCs/>
          <w:u w:val="single"/>
          <w:rtl/>
        </w:rPr>
        <w:t>17,000 ₪</w:t>
      </w:r>
      <w:r>
        <w:rPr>
          <w:rFonts w:ascii="David" w:hAnsi="David"/>
          <w:b/>
          <w:bCs/>
          <w:rtl/>
        </w:rPr>
        <w:t>. סכום זה יישא הפרשי הצמדה וריבית כחוק ממועד פסק הדין ועד למועד התשלום בפועל.</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ט"ז אלול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12 ספטמבר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7A0F18" w:rsidP="00633C4F">
      <w:pPr>
        <w:spacing w:line="360" w:lineRule="auto"/>
        <w:ind w:left="3600" w:firstLine="720"/>
      </w:pPr>
      <w:sdt>
        <w:sdtPr>
          <w:rPr>
            <w:rtl/>
          </w:rPr>
          <w:alias w:val="MergeField"/>
          <w:tag w:val="1237"/>
          <w:id w:val="-396825441"/>
        </w:sdtPr>
        <w:sdtEndPr/>
        <w:sdtContent>
          <w:r w:rsidR="002E0BB8">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D01058">
      <w:headerReference w:type="default" r:id="rId9"/>
      <w:footerReference w:type="default" r:id="rId10"/>
      <w:pgSz w:w="11907" w:h="16840" w:code="9"/>
      <w:pgMar w:top="1134" w:right="1588" w:bottom="1021"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7A0F18">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7A0F18">
      <w:rPr>
        <w:rStyle w:val="ab"/>
        <w:rtl/>
      </w:rPr>
      <w:t>14</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7A0F18"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68118-12-20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כרמי ואח' נ' מג'ר ואח'</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5762"/>
    <w:multiLevelType w:val="hybridMultilevel"/>
    <w:tmpl w:val="4F027FB6"/>
    <w:lvl w:ilvl="0" w:tplc="F3E42D4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 w15:restartNumberingAfterBreak="0">
    <w:nsid w:val="17251B2C"/>
    <w:multiLevelType w:val="hybridMultilevel"/>
    <w:tmpl w:val="8912E698"/>
    <w:lvl w:ilvl="0" w:tplc="97DC403C">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3" w15:restartNumberingAfterBreak="0">
    <w:nsid w:val="24EA6D44"/>
    <w:multiLevelType w:val="hybridMultilevel"/>
    <w:tmpl w:val="1A548D06"/>
    <w:lvl w:ilvl="0" w:tplc="7EC6EE4A">
      <w:start w:val="1"/>
      <w:numFmt w:val="hebrew1"/>
      <w:lvlText w:val="(%1)"/>
      <w:lvlJc w:val="left"/>
      <w:pPr>
        <w:ind w:left="1180" w:hanging="360"/>
      </w:pPr>
      <w:rPr>
        <w:b/>
      </w:r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0409000F">
      <w:start w:val="1"/>
      <w:numFmt w:val="decimal"/>
      <w:lvlText w:val="%4."/>
      <w:lvlJc w:val="left"/>
      <w:pPr>
        <w:ind w:left="3340" w:hanging="360"/>
      </w:pPr>
    </w:lvl>
    <w:lvl w:ilvl="4" w:tplc="04090019">
      <w:start w:val="1"/>
      <w:numFmt w:val="lowerLetter"/>
      <w:lvlText w:val="%5."/>
      <w:lvlJc w:val="left"/>
      <w:pPr>
        <w:ind w:left="4060" w:hanging="360"/>
      </w:pPr>
    </w:lvl>
    <w:lvl w:ilvl="5" w:tplc="0409001B">
      <w:start w:val="1"/>
      <w:numFmt w:val="lowerRoman"/>
      <w:lvlText w:val="%6."/>
      <w:lvlJc w:val="right"/>
      <w:pPr>
        <w:ind w:left="4780" w:hanging="180"/>
      </w:pPr>
    </w:lvl>
    <w:lvl w:ilvl="6" w:tplc="0409000F">
      <w:start w:val="1"/>
      <w:numFmt w:val="decimal"/>
      <w:lvlText w:val="%7."/>
      <w:lvlJc w:val="left"/>
      <w:pPr>
        <w:ind w:left="5500" w:hanging="360"/>
      </w:pPr>
    </w:lvl>
    <w:lvl w:ilvl="7" w:tplc="04090019">
      <w:start w:val="1"/>
      <w:numFmt w:val="lowerLetter"/>
      <w:lvlText w:val="%8."/>
      <w:lvlJc w:val="left"/>
      <w:pPr>
        <w:ind w:left="6220" w:hanging="360"/>
      </w:pPr>
    </w:lvl>
    <w:lvl w:ilvl="8" w:tplc="0409001B">
      <w:start w:val="1"/>
      <w:numFmt w:val="lowerRoman"/>
      <w:lvlText w:val="%9."/>
      <w:lvlJc w:val="right"/>
      <w:pPr>
        <w:ind w:left="6940" w:hanging="180"/>
      </w:pPr>
    </w:lvl>
  </w:abstractNum>
  <w:abstractNum w:abstractNumId="4" w15:restartNumberingAfterBreak="0">
    <w:nsid w:val="29E564F1"/>
    <w:multiLevelType w:val="hybridMultilevel"/>
    <w:tmpl w:val="851E7A78"/>
    <w:lvl w:ilvl="0" w:tplc="F51E2C22">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5" w15:restartNumberingAfterBreak="0">
    <w:nsid w:val="32BD2CF8"/>
    <w:multiLevelType w:val="hybridMultilevel"/>
    <w:tmpl w:val="1430F29E"/>
    <w:lvl w:ilvl="0" w:tplc="99A4CD64">
      <w:start w:val="1"/>
      <w:numFmt w:val="hebrew1"/>
      <w:lvlText w:val="(%1)"/>
      <w:lvlJc w:val="left"/>
      <w:pPr>
        <w:ind w:left="755" w:hanging="360"/>
      </w:pPr>
      <w:rPr>
        <w:rFonts w:hint="default"/>
      </w:rPr>
    </w:lvl>
    <w:lvl w:ilvl="1" w:tplc="04090019" w:tentative="1">
      <w:start w:val="1"/>
      <w:numFmt w:val="lowerLetter"/>
      <w:lvlText w:val="%2."/>
      <w:lvlJc w:val="left"/>
      <w:pPr>
        <w:ind w:left="1475" w:hanging="360"/>
      </w:pPr>
    </w:lvl>
    <w:lvl w:ilvl="2" w:tplc="0409001B" w:tentative="1">
      <w:start w:val="1"/>
      <w:numFmt w:val="lowerRoman"/>
      <w:lvlText w:val="%3."/>
      <w:lvlJc w:val="right"/>
      <w:pPr>
        <w:ind w:left="2195" w:hanging="180"/>
      </w:pPr>
    </w:lvl>
    <w:lvl w:ilvl="3" w:tplc="0409000F" w:tentative="1">
      <w:start w:val="1"/>
      <w:numFmt w:val="decimal"/>
      <w:lvlText w:val="%4."/>
      <w:lvlJc w:val="left"/>
      <w:pPr>
        <w:ind w:left="2915" w:hanging="360"/>
      </w:pPr>
    </w:lvl>
    <w:lvl w:ilvl="4" w:tplc="04090019" w:tentative="1">
      <w:start w:val="1"/>
      <w:numFmt w:val="lowerLetter"/>
      <w:lvlText w:val="%5."/>
      <w:lvlJc w:val="left"/>
      <w:pPr>
        <w:ind w:left="3635" w:hanging="360"/>
      </w:pPr>
    </w:lvl>
    <w:lvl w:ilvl="5" w:tplc="0409001B" w:tentative="1">
      <w:start w:val="1"/>
      <w:numFmt w:val="lowerRoman"/>
      <w:lvlText w:val="%6."/>
      <w:lvlJc w:val="right"/>
      <w:pPr>
        <w:ind w:left="4355" w:hanging="180"/>
      </w:pPr>
    </w:lvl>
    <w:lvl w:ilvl="6" w:tplc="0409000F" w:tentative="1">
      <w:start w:val="1"/>
      <w:numFmt w:val="decimal"/>
      <w:lvlText w:val="%7."/>
      <w:lvlJc w:val="left"/>
      <w:pPr>
        <w:ind w:left="5075" w:hanging="360"/>
      </w:pPr>
    </w:lvl>
    <w:lvl w:ilvl="7" w:tplc="04090019" w:tentative="1">
      <w:start w:val="1"/>
      <w:numFmt w:val="lowerLetter"/>
      <w:lvlText w:val="%8."/>
      <w:lvlJc w:val="left"/>
      <w:pPr>
        <w:ind w:left="5795" w:hanging="360"/>
      </w:pPr>
    </w:lvl>
    <w:lvl w:ilvl="8" w:tplc="0409001B" w:tentative="1">
      <w:start w:val="1"/>
      <w:numFmt w:val="lowerRoman"/>
      <w:lvlText w:val="%9."/>
      <w:lvlJc w:val="right"/>
      <w:pPr>
        <w:ind w:left="6515" w:hanging="180"/>
      </w:pPr>
    </w:lvl>
  </w:abstractNum>
  <w:abstractNum w:abstractNumId="6" w15:restartNumberingAfterBreak="0">
    <w:nsid w:val="33E33B33"/>
    <w:multiLevelType w:val="hybridMultilevel"/>
    <w:tmpl w:val="CE74CB16"/>
    <w:lvl w:ilvl="0" w:tplc="FD5C6F1A">
      <w:start w:val="1"/>
      <w:numFmt w:val="hebrew1"/>
      <w:lvlText w:val="(%1)"/>
      <w:lvlJc w:val="left"/>
      <w:pPr>
        <w:ind w:left="1180" w:hanging="360"/>
      </w:p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0409000F">
      <w:start w:val="1"/>
      <w:numFmt w:val="decimal"/>
      <w:lvlText w:val="%4."/>
      <w:lvlJc w:val="left"/>
      <w:pPr>
        <w:ind w:left="3340" w:hanging="360"/>
      </w:pPr>
    </w:lvl>
    <w:lvl w:ilvl="4" w:tplc="04090019">
      <w:start w:val="1"/>
      <w:numFmt w:val="lowerLetter"/>
      <w:lvlText w:val="%5."/>
      <w:lvlJc w:val="left"/>
      <w:pPr>
        <w:ind w:left="4060" w:hanging="360"/>
      </w:pPr>
    </w:lvl>
    <w:lvl w:ilvl="5" w:tplc="0409001B">
      <w:start w:val="1"/>
      <w:numFmt w:val="lowerRoman"/>
      <w:lvlText w:val="%6."/>
      <w:lvlJc w:val="right"/>
      <w:pPr>
        <w:ind w:left="4780" w:hanging="180"/>
      </w:pPr>
    </w:lvl>
    <w:lvl w:ilvl="6" w:tplc="0409000F">
      <w:start w:val="1"/>
      <w:numFmt w:val="decimal"/>
      <w:lvlText w:val="%7."/>
      <w:lvlJc w:val="left"/>
      <w:pPr>
        <w:ind w:left="5500" w:hanging="360"/>
      </w:pPr>
    </w:lvl>
    <w:lvl w:ilvl="7" w:tplc="04090019">
      <w:start w:val="1"/>
      <w:numFmt w:val="lowerLetter"/>
      <w:lvlText w:val="%8."/>
      <w:lvlJc w:val="left"/>
      <w:pPr>
        <w:ind w:left="6220" w:hanging="360"/>
      </w:pPr>
    </w:lvl>
    <w:lvl w:ilvl="8" w:tplc="0409001B">
      <w:start w:val="1"/>
      <w:numFmt w:val="lowerRoman"/>
      <w:lvlText w:val="%9."/>
      <w:lvlJc w:val="right"/>
      <w:pPr>
        <w:ind w:left="6940" w:hanging="180"/>
      </w:pPr>
    </w:lvl>
  </w:abstractNum>
  <w:abstractNum w:abstractNumId="7" w15:restartNumberingAfterBreak="0">
    <w:nsid w:val="37D47D60"/>
    <w:multiLevelType w:val="hybridMultilevel"/>
    <w:tmpl w:val="1E1C6380"/>
    <w:lvl w:ilvl="0" w:tplc="F3AA511C">
      <w:start w:val="1"/>
      <w:numFmt w:val="hebrew1"/>
      <w:lvlText w:val="(%1)"/>
      <w:lvlJc w:val="left"/>
      <w:pPr>
        <w:ind w:left="1353" w:hanging="360"/>
      </w:p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8" w15:restartNumberingAfterBreak="0">
    <w:nsid w:val="39146D5F"/>
    <w:multiLevelType w:val="hybridMultilevel"/>
    <w:tmpl w:val="059454A8"/>
    <w:lvl w:ilvl="0" w:tplc="71F8AE58">
      <w:start w:val="1"/>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9" w15:restartNumberingAfterBreak="0">
    <w:nsid w:val="498B1481"/>
    <w:multiLevelType w:val="hybridMultilevel"/>
    <w:tmpl w:val="B6DA37F8"/>
    <w:lvl w:ilvl="0" w:tplc="851623AE">
      <w:start w:val="1"/>
      <w:numFmt w:val="decimal"/>
      <w:lvlText w:val="(%1)"/>
      <w:lvlJc w:val="left"/>
      <w:pPr>
        <w:ind w:left="2843" w:hanging="915"/>
      </w:pPr>
      <w:rPr>
        <w:rFonts w:ascii="David" w:eastAsiaTheme="minorHAnsi" w:hAnsi="David" w:cs="David"/>
      </w:rPr>
    </w:lvl>
    <w:lvl w:ilvl="1" w:tplc="04090019">
      <w:start w:val="1"/>
      <w:numFmt w:val="lowerLetter"/>
      <w:lvlText w:val="%2."/>
      <w:lvlJc w:val="left"/>
      <w:pPr>
        <w:ind w:left="3008" w:hanging="360"/>
      </w:pPr>
    </w:lvl>
    <w:lvl w:ilvl="2" w:tplc="0409001B">
      <w:start w:val="1"/>
      <w:numFmt w:val="lowerRoman"/>
      <w:lvlText w:val="%3."/>
      <w:lvlJc w:val="right"/>
      <w:pPr>
        <w:ind w:left="3728" w:hanging="180"/>
      </w:pPr>
    </w:lvl>
    <w:lvl w:ilvl="3" w:tplc="0409000F">
      <w:start w:val="1"/>
      <w:numFmt w:val="decimal"/>
      <w:lvlText w:val="%4."/>
      <w:lvlJc w:val="left"/>
      <w:pPr>
        <w:ind w:left="4448" w:hanging="360"/>
      </w:pPr>
    </w:lvl>
    <w:lvl w:ilvl="4" w:tplc="04090019">
      <w:start w:val="1"/>
      <w:numFmt w:val="lowerLetter"/>
      <w:lvlText w:val="%5."/>
      <w:lvlJc w:val="left"/>
      <w:pPr>
        <w:ind w:left="5168" w:hanging="360"/>
      </w:pPr>
    </w:lvl>
    <w:lvl w:ilvl="5" w:tplc="0409001B">
      <w:start w:val="1"/>
      <w:numFmt w:val="lowerRoman"/>
      <w:lvlText w:val="%6."/>
      <w:lvlJc w:val="right"/>
      <w:pPr>
        <w:ind w:left="5888" w:hanging="180"/>
      </w:pPr>
    </w:lvl>
    <w:lvl w:ilvl="6" w:tplc="0409000F">
      <w:start w:val="1"/>
      <w:numFmt w:val="decimal"/>
      <w:lvlText w:val="%7."/>
      <w:lvlJc w:val="left"/>
      <w:pPr>
        <w:ind w:left="6608" w:hanging="360"/>
      </w:pPr>
    </w:lvl>
    <w:lvl w:ilvl="7" w:tplc="04090019">
      <w:start w:val="1"/>
      <w:numFmt w:val="lowerLetter"/>
      <w:lvlText w:val="%8."/>
      <w:lvlJc w:val="left"/>
      <w:pPr>
        <w:ind w:left="7328" w:hanging="360"/>
      </w:pPr>
    </w:lvl>
    <w:lvl w:ilvl="8" w:tplc="0409001B">
      <w:start w:val="1"/>
      <w:numFmt w:val="lowerRoman"/>
      <w:lvlText w:val="%9."/>
      <w:lvlJc w:val="right"/>
      <w:pPr>
        <w:ind w:left="8048" w:hanging="180"/>
      </w:pPr>
    </w:lvl>
  </w:abstractNum>
  <w:abstractNum w:abstractNumId="10" w15:restartNumberingAfterBreak="0">
    <w:nsid w:val="595308B8"/>
    <w:multiLevelType w:val="hybridMultilevel"/>
    <w:tmpl w:val="F088369A"/>
    <w:lvl w:ilvl="0" w:tplc="5CC0B024">
      <w:start w:val="1"/>
      <w:numFmt w:val="hebrew1"/>
      <w:lvlText w:val="(%1)"/>
      <w:lvlJc w:val="left"/>
      <w:pPr>
        <w:ind w:left="755" w:hanging="360"/>
      </w:pPr>
      <w:rPr>
        <w:b w:val="0"/>
      </w:r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1" w15:restartNumberingAfterBreak="0">
    <w:nsid w:val="5A827E07"/>
    <w:multiLevelType w:val="hybridMultilevel"/>
    <w:tmpl w:val="46246742"/>
    <w:lvl w:ilvl="0" w:tplc="83F24270">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12" w15:restartNumberingAfterBreak="0">
    <w:nsid w:val="650832CC"/>
    <w:multiLevelType w:val="hybridMultilevel"/>
    <w:tmpl w:val="DDB61EE8"/>
    <w:lvl w:ilvl="0" w:tplc="D764D578">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13" w15:restartNumberingAfterBreak="0">
    <w:nsid w:val="6A8076DE"/>
    <w:multiLevelType w:val="hybridMultilevel"/>
    <w:tmpl w:val="8FEA7C8C"/>
    <w:lvl w:ilvl="0" w:tplc="C706ECB6">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14" w15:restartNumberingAfterBreak="0">
    <w:nsid w:val="77BF372E"/>
    <w:multiLevelType w:val="hybridMultilevel"/>
    <w:tmpl w:val="B0F4F1BC"/>
    <w:lvl w:ilvl="0" w:tplc="6426906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5" w15:restartNumberingAfterBreak="0">
    <w:nsid w:val="78093521"/>
    <w:multiLevelType w:val="hybridMultilevel"/>
    <w:tmpl w:val="B3D2F7BA"/>
    <w:lvl w:ilvl="0" w:tplc="1C38133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6" w15:restartNumberingAfterBreak="0">
    <w:nsid w:val="7D882170"/>
    <w:multiLevelType w:val="hybridMultilevel"/>
    <w:tmpl w:val="24F8C3CC"/>
    <w:lvl w:ilvl="0" w:tplc="0CB6F810">
      <w:start w:val="1"/>
      <w:numFmt w:val="hebrew1"/>
      <w:lvlText w:val="(%1)"/>
      <w:lvlJc w:val="left"/>
      <w:pPr>
        <w:ind w:left="1115" w:hanging="360"/>
      </w:pPr>
    </w:lvl>
    <w:lvl w:ilvl="1" w:tplc="04090019">
      <w:start w:val="1"/>
      <w:numFmt w:val="lowerLetter"/>
      <w:lvlText w:val="%2."/>
      <w:lvlJc w:val="left"/>
      <w:pPr>
        <w:ind w:left="1835" w:hanging="360"/>
      </w:pPr>
    </w:lvl>
    <w:lvl w:ilvl="2" w:tplc="0409001B">
      <w:start w:val="1"/>
      <w:numFmt w:val="lowerRoman"/>
      <w:lvlText w:val="%3."/>
      <w:lvlJc w:val="right"/>
      <w:pPr>
        <w:ind w:left="2555" w:hanging="180"/>
      </w:pPr>
    </w:lvl>
    <w:lvl w:ilvl="3" w:tplc="0409000F">
      <w:start w:val="1"/>
      <w:numFmt w:val="decimal"/>
      <w:lvlText w:val="%4."/>
      <w:lvlJc w:val="left"/>
      <w:pPr>
        <w:ind w:left="3275" w:hanging="360"/>
      </w:pPr>
    </w:lvl>
    <w:lvl w:ilvl="4" w:tplc="04090019">
      <w:start w:val="1"/>
      <w:numFmt w:val="lowerLetter"/>
      <w:lvlText w:val="%5."/>
      <w:lvlJc w:val="left"/>
      <w:pPr>
        <w:ind w:left="3995" w:hanging="360"/>
      </w:pPr>
    </w:lvl>
    <w:lvl w:ilvl="5" w:tplc="0409001B">
      <w:start w:val="1"/>
      <w:numFmt w:val="lowerRoman"/>
      <w:lvlText w:val="%6."/>
      <w:lvlJc w:val="right"/>
      <w:pPr>
        <w:ind w:left="4715" w:hanging="180"/>
      </w:pPr>
    </w:lvl>
    <w:lvl w:ilvl="6" w:tplc="0409000F">
      <w:start w:val="1"/>
      <w:numFmt w:val="decimal"/>
      <w:lvlText w:val="%7."/>
      <w:lvlJc w:val="left"/>
      <w:pPr>
        <w:ind w:left="5435" w:hanging="360"/>
      </w:pPr>
    </w:lvl>
    <w:lvl w:ilvl="7" w:tplc="04090019">
      <w:start w:val="1"/>
      <w:numFmt w:val="lowerLetter"/>
      <w:lvlText w:val="%8."/>
      <w:lvlJc w:val="left"/>
      <w:pPr>
        <w:ind w:left="6155" w:hanging="360"/>
      </w:pPr>
    </w:lvl>
    <w:lvl w:ilvl="8" w:tplc="0409001B">
      <w:start w:val="1"/>
      <w:numFmt w:val="lowerRoman"/>
      <w:lvlText w:val="%9."/>
      <w:lvlJc w:val="right"/>
      <w:pPr>
        <w:ind w:left="687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B2E97"/>
    <w:rsid w:val="000D4A02"/>
    <w:rsid w:val="001072A9"/>
    <w:rsid w:val="00121F97"/>
    <w:rsid w:val="001277D7"/>
    <w:rsid w:val="00132017"/>
    <w:rsid w:val="00140E42"/>
    <w:rsid w:val="0014234E"/>
    <w:rsid w:val="00145A87"/>
    <w:rsid w:val="001C4003"/>
    <w:rsid w:val="001F5474"/>
    <w:rsid w:val="002352F7"/>
    <w:rsid w:val="00295DD1"/>
    <w:rsid w:val="002C6437"/>
    <w:rsid w:val="002E0BB8"/>
    <w:rsid w:val="00363750"/>
    <w:rsid w:val="003725BC"/>
    <w:rsid w:val="00381D3A"/>
    <w:rsid w:val="003823DA"/>
    <w:rsid w:val="0043595F"/>
    <w:rsid w:val="0046753C"/>
    <w:rsid w:val="0047645A"/>
    <w:rsid w:val="004C5CA7"/>
    <w:rsid w:val="004D49A3"/>
    <w:rsid w:val="004E6E3C"/>
    <w:rsid w:val="005124F1"/>
    <w:rsid w:val="00530BAD"/>
    <w:rsid w:val="00541598"/>
    <w:rsid w:val="00547DB7"/>
    <w:rsid w:val="005559B4"/>
    <w:rsid w:val="00567324"/>
    <w:rsid w:val="00590BFF"/>
    <w:rsid w:val="005B0F49"/>
    <w:rsid w:val="005C7EC6"/>
    <w:rsid w:val="005D4BDB"/>
    <w:rsid w:val="005E44A1"/>
    <w:rsid w:val="005E64FF"/>
    <w:rsid w:val="00605F2D"/>
    <w:rsid w:val="0060626B"/>
    <w:rsid w:val="00622BAA"/>
    <w:rsid w:val="00625C89"/>
    <w:rsid w:val="00633839"/>
    <w:rsid w:val="00633C4F"/>
    <w:rsid w:val="00671BD5"/>
    <w:rsid w:val="006805C1"/>
    <w:rsid w:val="006816EC"/>
    <w:rsid w:val="00694556"/>
    <w:rsid w:val="006A7770"/>
    <w:rsid w:val="006E1A53"/>
    <w:rsid w:val="007056AA"/>
    <w:rsid w:val="00744F41"/>
    <w:rsid w:val="00794214"/>
    <w:rsid w:val="007A0F18"/>
    <w:rsid w:val="007A24FE"/>
    <w:rsid w:val="007A35AA"/>
    <w:rsid w:val="007C271E"/>
    <w:rsid w:val="007F1048"/>
    <w:rsid w:val="00820005"/>
    <w:rsid w:val="0083107C"/>
    <w:rsid w:val="00846D27"/>
    <w:rsid w:val="008610A7"/>
    <w:rsid w:val="008E1332"/>
    <w:rsid w:val="00903896"/>
    <w:rsid w:val="00927813"/>
    <w:rsid w:val="00934F1C"/>
    <w:rsid w:val="00944D13"/>
    <w:rsid w:val="00957C90"/>
    <w:rsid w:val="009E0263"/>
    <w:rsid w:val="00A0260A"/>
    <w:rsid w:val="00A267CF"/>
    <w:rsid w:val="00A43458"/>
    <w:rsid w:val="00A62BD0"/>
    <w:rsid w:val="00AC4E19"/>
    <w:rsid w:val="00AF1ED6"/>
    <w:rsid w:val="00B14234"/>
    <w:rsid w:val="00B302C9"/>
    <w:rsid w:val="00B32C61"/>
    <w:rsid w:val="00B368FE"/>
    <w:rsid w:val="00B377C5"/>
    <w:rsid w:val="00B52482"/>
    <w:rsid w:val="00B80CBD"/>
    <w:rsid w:val="00BC3369"/>
    <w:rsid w:val="00BF77EE"/>
    <w:rsid w:val="00C32E0F"/>
    <w:rsid w:val="00C42BF9"/>
    <w:rsid w:val="00C57E71"/>
    <w:rsid w:val="00C83E56"/>
    <w:rsid w:val="00CB4F7C"/>
    <w:rsid w:val="00CD0055"/>
    <w:rsid w:val="00D01058"/>
    <w:rsid w:val="00D26B56"/>
    <w:rsid w:val="00D319B3"/>
    <w:rsid w:val="00D53924"/>
    <w:rsid w:val="00D60849"/>
    <w:rsid w:val="00D71731"/>
    <w:rsid w:val="00D96D8C"/>
    <w:rsid w:val="00DD337E"/>
    <w:rsid w:val="00E00B6F"/>
    <w:rsid w:val="00E13360"/>
    <w:rsid w:val="00E50B33"/>
    <w:rsid w:val="00E54642"/>
    <w:rsid w:val="00E56A96"/>
    <w:rsid w:val="00E97908"/>
    <w:rsid w:val="00EF3ED0"/>
    <w:rsid w:val="00F0335E"/>
    <w:rsid w:val="00F17E56"/>
    <w:rsid w:val="00F65C30"/>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customStyle="1" w:styleId="ad">
    <w:name w:val="כותרת טקסט תו"/>
    <w:aliases w:val="תואר תו"/>
    <w:basedOn w:val="a0"/>
    <w:link w:val="ae"/>
    <w:locked/>
    <w:rsid w:val="00F0335E"/>
    <w:rPr>
      <w:b/>
      <w:bCs/>
      <w:szCs w:val="28"/>
      <w:u w:val="single"/>
      <w:shd w:val="pct20" w:color="auto" w:fill="FFFFFF"/>
      <w:lang w:eastAsia="he-IL"/>
    </w:rPr>
  </w:style>
  <w:style w:type="paragraph" w:styleId="ae">
    <w:name w:val="Title"/>
    <w:aliases w:val="תואר"/>
    <w:basedOn w:val="a"/>
    <w:link w:val="ad"/>
    <w:qFormat/>
    <w:rsid w:val="00F0335E"/>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10">
    <w:name w:val="כותרת טקסט תו1"/>
    <w:basedOn w:val="a0"/>
    <w:rsid w:val="00F0335E"/>
    <w:rPr>
      <w:rFonts w:asciiTheme="majorHAnsi" w:eastAsiaTheme="majorEastAsia" w:hAnsiTheme="majorHAnsi" w:cstheme="majorBidi"/>
      <w:noProof/>
      <w:spacing w:val="-10"/>
      <w:kern w:val="28"/>
      <w:sz w:val="56"/>
      <w:szCs w:val="56"/>
    </w:rPr>
  </w:style>
  <w:style w:type="paragraph" w:styleId="af">
    <w:name w:val="List Paragraph"/>
    <w:basedOn w:val="a"/>
    <w:uiPriority w:val="34"/>
    <w:qFormat/>
    <w:rsid w:val="00F0335E"/>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21342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383DEB"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383DEB"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383DEB"/>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4097</Words>
  <Characters>20489</Characters>
  <Application>Microsoft Office Word</Application>
  <DocSecurity>4</DocSecurity>
  <Lines>170</Lines>
  <Paragraphs>49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2022-10-20T04:30:00Z</dcterms:created>
  <dcterms:modified xsi:type="dcterms:W3CDTF">2022-10-20T04:30:00Z</dcterms:modified>
</cp:coreProperties>
</file>