
<file path=[Content_Types].xml><?xml version="1.0" encoding="utf-8"?>
<Types xmlns="http://schemas.openxmlformats.org/package/2006/content-types">
  <Default Extension="bin" ContentType="application/vnd.ms-word.attachedToolbar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RPr="00CD0055" w:rsidTr="006816EC">
        <w:trPr>
          <w:jc w:val="center"/>
        </w:trPr>
        <w:tc>
          <w:tcPr>
            <w:tcW w:w="743" w:type="dxa"/>
            <w:hideMark/>
          </w:tcPr>
          <w:p w:rsidR="006816EC" w:rsidRPr="00CD0055" w:rsidRDefault="00295DD1">
            <w:pPr>
              <w:jc w:val="both"/>
              <w:rPr>
                <w:rFonts w:ascii="Arial (W1)" w:hAnsi="Arial (W1)"/>
                <w:b/>
                <w:bCs/>
                <w:sz w:val="26"/>
                <w:szCs w:val="26"/>
              </w:rPr>
            </w:pPr>
            <w:r>
              <w:rPr>
                <w:rFonts w:hint="cs"/>
                <w:b/>
                <w:bCs/>
                <w:sz w:val="26"/>
                <w:szCs w:val="26"/>
                <w:rtl/>
              </w:rPr>
              <w:t>ל</w:t>
            </w:r>
            <w:r w:rsidR="006816EC" w:rsidRPr="00CD0055">
              <w:rPr>
                <w:rFonts w:hint="cs"/>
                <w:b/>
                <w:bCs/>
                <w:sz w:val="26"/>
                <w:szCs w:val="26"/>
                <w:rtl/>
              </w:rPr>
              <w:t xml:space="preserve">פני </w:t>
            </w:r>
          </w:p>
        </w:tc>
        <w:tc>
          <w:tcPr>
            <w:tcW w:w="8077" w:type="dxa"/>
            <w:gridSpan w:val="2"/>
            <w:hideMark/>
          </w:tcPr>
          <w:p w:rsidR="006816EC" w:rsidRPr="008F3455" w:rsidRDefault="00B32C61" w:rsidP="008F3455">
            <w:pPr>
              <w:rPr>
                <w:rFonts w:ascii="Arial" w:hAnsi="Arial"/>
                <w:b/>
                <w:bCs/>
                <w:sz w:val="26"/>
                <w:szCs w:val="26"/>
                <w:rtl/>
              </w:rPr>
            </w:pPr>
            <w:r w:rsidRPr="008F3455">
              <w:rPr>
                <w:rFonts w:ascii="Arial" w:hAnsi="Arial" w:hint="cs"/>
                <w:b/>
                <w:bCs/>
                <w:sz w:val="26"/>
                <w:szCs w:val="26"/>
                <w:rtl/>
              </w:rPr>
              <w:t>כבוד</w:t>
            </w:r>
            <w:r w:rsidR="006816EC" w:rsidRPr="008F3455">
              <w:rPr>
                <w:rFonts w:ascii="Arial" w:hAnsi="Arial" w:hint="cs"/>
                <w:b/>
                <w:bCs/>
                <w:sz w:val="26"/>
                <w:szCs w:val="26"/>
                <w:rtl/>
              </w:rPr>
              <w:t xml:space="preserve"> ה</w:t>
            </w:r>
            <w:sdt>
              <w:sdtPr>
                <w:rPr>
                  <w:b/>
                  <w:bCs/>
                  <w:sz w:val="26"/>
                  <w:szCs w:val="26"/>
                  <w:rtl/>
                </w:rPr>
                <w:alias w:val="1574"/>
                <w:tag w:val="1574"/>
                <w:id w:val="-868990752"/>
                <w:text w:multiLine="1"/>
              </w:sdtPr>
              <w:sdtEndPr/>
              <w:sdtContent>
                <w:r w:rsidRPr="008F3455">
                  <w:rPr>
                    <w:rFonts w:ascii="Arial" w:hAnsi="Arial"/>
                    <w:b/>
                    <w:bCs/>
                    <w:sz w:val="26"/>
                    <w:szCs w:val="26"/>
                    <w:rtl/>
                  </w:rPr>
                  <w:t>שופט</w:t>
                </w:r>
              </w:sdtContent>
            </w:sdt>
            <w:r w:rsidR="008F3455" w:rsidRPr="008F3455">
              <w:rPr>
                <w:rFonts w:ascii="Arial" w:hAnsi="Arial" w:hint="cs"/>
                <w:b/>
                <w:bCs/>
                <w:sz w:val="26"/>
                <w:szCs w:val="26"/>
                <w:rtl/>
              </w:rPr>
              <w:t>ים</w:t>
            </w:r>
            <w:r w:rsidR="006816EC" w:rsidRPr="008F3455">
              <w:rPr>
                <w:rFonts w:ascii="Arial" w:hAnsi="Arial" w:hint="cs"/>
                <w:b/>
                <w:bCs/>
                <w:sz w:val="26"/>
                <w:szCs w:val="26"/>
                <w:rtl/>
              </w:rPr>
              <w:t xml:space="preserve"> </w:t>
            </w:r>
            <w:r w:rsidR="008F3455" w:rsidRPr="008F3455">
              <w:rPr>
                <w:rFonts w:ascii="Arial" w:hAnsi="Arial" w:hint="cs"/>
                <w:b/>
                <w:bCs/>
                <w:sz w:val="26"/>
                <w:szCs w:val="26"/>
                <w:rtl/>
              </w:rPr>
              <w:t xml:space="preserve">יונה </w:t>
            </w:r>
            <w:sdt>
              <w:sdtPr>
                <w:rPr>
                  <w:b/>
                  <w:bCs/>
                  <w:sz w:val="26"/>
                  <w:szCs w:val="26"/>
                  <w:rtl/>
                </w:rPr>
                <w:alias w:val="1573"/>
                <w:tag w:val="1573"/>
                <w:id w:val="407734867"/>
                <w:text w:multiLine="1"/>
              </w:sdtPr>
              <w:sdtEndPr/>
              <w:sdtContent>
                <w:r w:rsidRPr="008F3455">
                  <w:rPr>
                    <w:rFonts w:ascii="Arial" w:hAnsi="Arial"/>
                    <w:b/>
                    <w:bCs/>
                    <w:sz w:val="26"/>
                    <w:szCs w:val="26"/>
                    <w:rtl/>
                  </w:rPr>
                  <w:t>אטדגי</w:t>
                </w:r>
              </w:sdtContent>
            </w:sdt>
            <w:r w:rsidR="008F3455" w:rsidRPr="008F3455">
              <w:rPr>
                <w:rFonts w:hint="cs"/>
                <w:b/>
                <w:bCs/>
                <w:sz w:val="26"/>
                <w:szCs w:val="26"/>
                <w:rtl/>
              </w:rPr>
              <w:t>, אב"ד,</w:t>
            </w:r>
            <w:r w:rsidR="008F3455" w:rsidRPr="008F3455">
              <w:rPr>
                <w:rFonts w:ascii="Arial" w:hAnsi="Arial" w:hint="cs"/>
                <w:b/>
                <w:bCs/>
                <w:sz w:val="26"/>
                <w:szCs w:val="26"/>
                <w:rtl/>
              </w:rPr>
              <w:t xml:space="preserve"> ירדנה </w:t>
            </w:r>
            <w:sdt>
              <w:sdtPr>
                <w:rPr>
                  <w:b/>
                  <w:bCs/>
                  <w:sz w:val="26"/>
                  <w:szCs w:val="26"/>
                  <w:rtl/>
                </w:rPr>
                <w:alias w:val="1573"/>
                <w:tag w:val="1573"/>
                <w:id w:val="1412273293"/>
                <w:text w:multiLine="1"/>
              </w:sdtPr>
              <w:sdtEndPr/>
              <w:sdtContent>
                <w:r w:rsidRPr="008F3455">
                  <w:rPr>
                    <w:rFonts w:ascii="Arial" w:hAnsi="Arial"/>
                    <w:b/>
                    <w:bCs/>
                    <w:sz w:val="26"/>
                    <w:szCs w:val="26"/>
                    <w:rtl/>
                  </w:rPr>
                  <w:t>סרוסי</w:t>
                </w:r>
              </w:sdtContent>
            </w:sdt>
            <w:r w:rsidR="008F3455" w:rsidRPr="008F3455">
              <w:rPr>
                <w:rFonts w:ascii="Arial" w:hAnsi="Arial" w:hint="cs"/>
                <w:b/>
                <w:bCs/>
                <w:sz w:val="26"/>
                <w:szCs w:val="26"/>
                <w:rtl/>
              </w:rPr>
              <w:t>, טל</w:t>
            </w:r>
            <w:r w:rsidR="006816EC" w:rsidRPr="008F3455">
              <w:rPr>
                <w:rFonts w:ascii="Arial" w:hAnsi="Arial" w:hint="cs"/>
                <w:b/>
                <w:bCs/>
                <w:sz w:val="26"/>
                <w:szCs w:val="26"/>
                <w:rtl/>
              </w:rPr>
              <w:t xml:space="preserve"> </w:t>
            </w:r>
            <w:sdt>
              <w:sdtPr>
                <w:rPr>
                  <w:b/>
                  <w:bCs/>
                  <w:sz w:val="26"/>
                  <w:szCs w:val="26"/>
                  <w:rtl/>
                </w:rPr>
                <w:alias w:val="1573"/>
                <w:tag w:val="1573"/>
                <w:id w:val="-218828143"/>
                <w:text w:multiLine="1"/>
              </w:sdtPr>
              <w:sdtEndPr/>
              <w:sdtContent>
                <w:r w:rsidRPr="008F3455">
                  <w:rPr>
                    <w:rFonts w:ascii="Arial" w:hAnsi="Arial"/>
                    <w:b/>
                    <w:bCs/>
                    <w:sz w:val="26"/>
                    <w:szCs w:val="26"/>
                    <w:rtl/>
                  </w:rPr>
                  <w:t>לוי-מיכאלי</w:t>
                </w:r>
              </w:sdtContent>
            </w:sdt>
          </w:p>
          <w:p w:rsidR="006816EC" w:rsidRPr="00CD0055" w:rsidRDefault="006816EC" w:rsidP="006816EC">
            <w:pPr>
              <w:rPr>
                <w:sz w:val="26"/>
                <w:szCs w:val="26"/>
              </w:rPr>
            </w:pPr>
          </w:p>
        </w:tc>
      </w:tr>
      <w:tr w:rsidR="006816EC" w:rsidRPr="00CD0055" w:rsidTr="006816EC">
        <w:trPr>
          <w:jc w:val="center"/>
        </w:trPr>
        <w:tc>
          <w:tcPr>
            <w:tcW w:w="3249" w:type="dxa"/>
            <w:gridSpan w:val="2"/>
          </w:tcPr>
          <w:p w:rsidR="006816EC" w:rsidRPr="00CD0055" w:rsidRDefault="006816EC">
            <w:pPr>
              <w:bidi w:val="0"/>
              <w:rPr>
                <w:rFonts w:ascii="Arial (W1)" w:hAnsi="Arial (W1)"/>
                <w:b/>
                <w:bCs/>
                <w:noProof w:val="0"/>
                <w:sz w:val="26"/>
                <w:szCs w:val="26"/>
                <w:rtl/>
              </w:rPr>
            </w:pPr>
          </w:p>
          <w:sdt>
            <w:sdtPr>
              <w:rPr>
                <w:rFonts w:hint="cs"/>
                <w:sz w:val="26"/>
                <w:szCs w:val="26"/>
                <w:rtl/>
              </w:rPr>
              <w:alias w:val="1180"/>
              <w:tag w:val="1180"/>
              <w:id w:val="-803768281"/>
              <w:text w:multiLine="1"/>
            </w:sdtPr>
            <w:sdtEndPr/>
            <w:sdtContent>
              <w:p w:rsidR="00995513" w:rsidRDefault="008F3455" w:rsidP="008F3455">
                <w:pPr>
                  <w:rPr>
                    <w:rFonts w:ascii="Arial (W1)" w:hAnsi="Arial (W1)"/>
                    <w:b/>
                    <w:bCs/>
                    <w:noProof w:val="0"/>
                    <w:sz w:val="26"/>
                    <w:szCs w:val="26"/>
                  </w:rPr>
                </w:pPr>
                <w:r>
                  <w:rPr>
                    <w:rFonts w:hint="cs"/>
                    <w:b/>
                    <w:bCs/>
                    <w:noProof w:val="0"/>
                    <w:sz w:val="26"/>
                    <w:szCs w:val="26"/>
                    <w:rtl/>
                  </w:rPr>
                  <w:t xml:space="preserve">המערערת: </w:t>
                </w:r>
              </w:p>
            </w:sdtContent>
          </w:sdt>
        </w:tc>
        <w:tc>
          <w:tcPr>
            <w:tcW w:w="5571" w:type="dxa"/>
          </w:tcPr>
          <w:p w:rsidR="006816EC" w:rsidRPr="00CD0055" w:rsidRDefault="006816EC">
            <w:pPr>
              <w:rPr>
                <w:rFonts w:ascii="Arial (W1)" w:hAnsi="Arial (W1)"/>
                <w:b/>
                <w:bCs/>
                <w:noProof w:val="0"/>
                <w:sz w:val="26"/>
                <w:szCs w:val="26"/>
                <w:rtl/>
              </w:rPr>
            </w:pPr>
          </w:p>
          <w:p w:rsidR="00295DD1" w:rsidRDefault="00802FC8">
            <w:pPr>
              <w:rPr>
                <w:sz w:val="26"/>
                <w:szCs w:val="26"/>
                <w:rtl/>
              </w:rPr>
            </w:pPr>
            <w:sdt>
              <w:sdtPr>
                <w:rPr>
                  <w:rFonts w:hint="cs"/>
                  <w:sz w:val="26"/>
                  <w:szCs w:val="26"/>
                  <w:rtl/>
                </w:rPr>
                <w:alias w:val="1478"/>
                <w:tag w:val="1478"/>
                <w:id w:val="160126198"/>
                <w:text w:multiLine="1"/>
              </w:sdtPr>
              <w:sdtEndPr/>
              <w:sdtContent>
                <w:r w:rsidR="006B5553">
                  <w:rPr>
                    <w:rFonts w:hint="cs"/>
                    <w:b/>
                    <w:bCs/>
                    <w:noProof w:val="0"/>
                    <w:sz w:val="26"/>
                    <w:szCs w:val="26"/>
                    <w:rtl/>
                  </w:rPr>
                  <w:t>מדינת ישראל -רשות המיסים</w:t>
                </w:r>
              </w:sdtContent>
            </w:sdt>
          </w:p>
          <w:p w:rsidR="006816EC" w:rsidRPr="008F3455" w:rsidRDefault="00295DD1">
            <w:pPr>
              <w:rPr>
                <w:rFonts w:ascii="Arial (W1)" w:hAnsi="Arial (W1)"/>
                <w:noProof w:val="0"/>
                <w:sz w:val="26"/>
                <w:szCs w:val="26"/>
              </w:rPr>
            </w:pPr>
            <w:r w:rsidRPr="008F3455">
              <w:rPr>
                <w:rFonts w:hint="cs"/>
                <w:sz w:val="26"/>
                <w:szCs w:val="26"/>
                <w:rtl/>
              </w:rPr>
              <w:t>ע"י ב"כ עו"ד</w:t>
            </w:r>
            <w:r w:rsidR="008F3455" w:rsidRPr="008F3455">
              <w:rPr>
                <w:rFonts w:ascii="Arial (W1)" w:hAnsi="Arial (W1)" w:hint="cs"/>
                <w:noProof w:val="0"/>
                <w:sz w:val="26"/>
                <w:szCs w:val="26"/>
                <w:rtl/>
              </w:rPr>
              <w:t xml:space="preserve"> הגר אסף </w:t>
            </w:r>
          </w:p>
        </w:tc>
      </w:tr>
      <w:tr w:rsidR="006816EC" w:rsidRPr="00CD0055" w:rsidTr="006816EC">
        <w:trPr>
          <w:jc w:val="center"/>
        </w:trPr>
        <w:tc>
          <w:tcPr>
            <w:tcW w:w="8820" w:type="dxa"/>
            <w:gridSpan w:val="3"/>
          </w:tcPr>
          <w:p w:rsidR="006816EC" w:rsidRPr="00CD0055" w:rsidRDefault="006816EC">
            <w:pPr>
              <w:rPr>
                <w:rFonts w:ascii="Arial (W1)" w:hAnsi="Arial (W1)"/>
                <w:b/>
                <w:bCs/>
                <w:noProof w:val="0"/>
                <w:sz w:val="26"/>
                <w:szCs w:val="26"/>
                <w:rtl/>
              </w:rPr>
            </w:pPr>
          </w:p>
          <w:p w:rsidR="006816EC" w:rsidRPr="00CD0055" w:rsidRDefault="006816EC">
            <w:pPr>
              <w:jc w:val="center"/>
              <w:rPr>
                <w:b/>
                <w:bCs/>
                <w:noProof w:val="0"/>
                <w:sz w:val="26"/>
                <w:szCs w:val="26"/>
                <w:rtl/>
              </w:rPr>
            </w:pPr>
            <w:r w:rsidRPr="00CD0055">
              <w:rPr>
                <w:rFonts w:hint="cs"/>
                <w:b/>
                <w:bCs/>
                <w:noProof w:val="0"/>
                <w:sz w:val="26"/>
                <w:szCs w:val="26"/>
                <w:rtl/>
              </w:rPr>
              <w:t>נגד</w:t>
            </w:r>
          </w:p>
          <w:p w:rsidR="006816EC" w:rsidRPr="00CD0055" w:rsidRDefault="006816EC">
            <w:pPr>
              <w:rPr>
                <w:rFonts w:ascii="Arial (W1)" w:hAnsi="Arial (W1)"/>
                <w:b/>
                <w:bCs/>
                <w:noProof w:val="0"/>
                <w:sz w:val="26"/>
                <w:szCs w:val="26"/>
              </w:rPr>
            </w:pPr>
          </w:p>
        </w:tc>
      </w:tr>
      <w:tr w:rsidR="006816EC" w:rsidRPr="00CD0055" w:rsidTr="008F3455">
        <w:trPr>
          <w:trHeight w:val="2218"/>
          <w:jc w:val="center"/>
        </w:trPr>
        <w:tc>
          <w:tcPr>
            <w:tcW w:w="3249" w:type="dxa"/>
            <w:gridSpan w:val="2"/>
          </w:tcPr>
          <w:p w:rsidR="006816EC" w:rsidRPr="00CD0055" w:rsidRDefault="006816EC">
            <w:pPr>
              <w:rPr>
                <w:rFonts w:ascii="Arial (W1)" w:hAnsi="Arial (W1)"/>
                <w:b/>
                <w:bCs/>
                <w:noProof w:val="0"/>
                <w:sz w:val="26"/>
                <w:szCs w:val="26"/>
                <w:rtl/>
              </w:rPr>
            </w:pPr>
          </w:p>
          <w:p w:rsidR="006816EC" w:rsidRPr="00CD0055" w:rsidRDefault="00802FC8">
            <w:pPr>
              <w:rPr>
                <w:rFonts w:ascii="Arial (W1)" w:hAnsi="Arial (W1)"/>
                <w:b/>
                <w:bCs/>
                <w:noProof w:val="0"/>
                <w:sz w:val="26"/>
                <w:szCs w:val="26"/>
              </w:rPr>
            </w:pPr>
            <w:sdt>
              <w:sdtPr>
                <w:rPr>
                  <w:rFonts w:hint="cs"/>
                  <w:sz w:val="26"/>
                  <w:szCs w:val="26"/>
                  <w:rtl/>
                </w:rPr>
                <w:alias w:val="1184"/>
                <w:tag w:val="1184"/>
                <w:id w:val="-910234160"/>
                <w:text w:multiLine="1"/>
              </w:sdtPr>
              <w:sdtEndPr/>
              <w:sdtContent>
                <w:r w:rsidR="008F3455">
                  <w:rPr>
                    <w:rFonts w:hint="cs"/>
                    <w:b/>
                    <w:bCs/>
                    <w:noProof w:val="0"/>
                    <w:sz w:val="26"/>
                    <w:szCs w:val="26"/>
                    <w:rtl/>
                  </w:rPr>
                  <w:t xml:space="preserve">המשיבות: </w:t>
                </w:r>
              </w:sdtContent>
            </w:sdt>
          </w:p>
        </w:tc>
        <w:tc>
          <w:tcPr>
            <w:tcW w:w="5571" w:type="dxa"/>
          </w:tcPr>
          <w:p w:rsidR="006816EC" w:rsidRPr="00CD0055" w:rsidRDefault="006816EC">
            <w:pPr>
              <w:rPr>
                <w:rFonts w:ascii="Arial (W1)" w:hAnsi="Arial (W1)"/>
                <w:b/>
                <w:bCs/>
                <w:noProof w:val="0"/>
                <w:sz w:val="26"/>
                <w:szCs w:val="26"/>
                <w:rtl/>
              </w:rPr>
            </w:pPr>
          </w:p>
          <w:p w:rsidR="00295DD1" w:rsidRDefault="00802FC8">
            <w:pPr>
              <w:rPr>
                <w:sz w:val="26"/>
                <w:szCs w:val="26"/>
                <w:rtl/>
              </w:rPr>
            </w:pPr>
            <w:sdt>
              <w:sdtPr>
                <w:rPr>
                  <w:rFonts w:hint="cs"/>
                  <w:sz w:val="26"/>
                  <w:szCs w:val="26"/>
                  <w:rtl/>
                </w:rPr>
                <w:alias w:val="1571"/>
                <w:tag w:val="1571"/>
                <w:id w:val="-1361515445"/>
                <w:text w:multiLine="1"/>
              </w:sdtPr>
              <w:sdtEndPr/>
              <w:sdtContent>
                <w:r w:rsidR="006B5553">
                  <w:rPr>
                    <w:rFonts w:hint="cs"/>
                    <w:b/>
                    <w:bCs/>
                    <w:noProof w:val="0"/>
                    <w:sz w:val="26"/>
                    <w:szCs w:val="26"/>
                    <w:rtl/>
                  </w:rPr>
                  <w:t>1</w:t>
                </w:r>
              </w:sdtContent>
            </w:sdt>
            <w:r w:rsidR="006816EC" w:rsidRPr="00CD0055">
              <w:rPr>
                <w:rFonts w:hint="cs"/>
                <w:b/>
                <w:bCs/>
                <w:noProof w:val="0"/>
                <w:sz w:val="26"/>
                <w:szCs w:val="26"/>
                <w:rtl/>
              </w:rPr>
              <w:t>.</w:t>
            </w:r>
            <w:sdt>
              <w:sdtPr>
                <w:rPr>
                  <w:rFonts w:hint="cs"/>
                  <w:sz w:val="26"/>
                  <w:szCs w:val="26"/>
                  <w:rtl/>
                </w:rPr>
                <w:alias w:val="1486"/>
                <w:tag w:val="1486"/>
                <w:id w:val="1487590763"/>
                <w:text w:multiLine="1"/>
              </w:sdtPr>
              <w:sdtEndPr/>
              <w:sdtContent>
                <w:r w:rsidR="006B5553">
                  <w:rPr>
                    <w:rFonts w:hint="cs"/>
                    <w:b/>
                    <w:bCs/>
                    <w:noProof w:val="0"/>
                    <w:sz w:val="26"/>
                    <w:szCs w:val="26"/>
                    <w:rtl/>
                  </w:rPr>
                  <w:t xml:space="preserve">בית ארז חוות </w:t>
                </w:r>
                <w:proofErr w:type="spellStart"/>
                <w:r w:rsidR="006B5553">
                  <w:rPr>
                    <w:rFonts w:hint="cs"/>
                    <w:b/>
                    <w:bCs/>
                    <w:noProof w:val="0"/>
                    <w:sz w:val="26"/>
                    <w:szCs w:val="26"/>
                    <w:rtl/>
                  </w:rPr>
                  <w:t>מילטין</w:t>
                </w:r>
                <w:proofErr w:type="spellEnd"/>
                <w:r w:rsidR="006B5553">
                  <w:rPr>
                    <w:rFonts w:hint="cs"/>
                    <w:b/>
                    <w:bCs/>
                    <w:noProof w:val="0"/>
                    <w:sz w:val="26"/>
                    <w:szCs w:val="26"/>
                    <w:rtl/>
                  </w:rPr>
                  <w:t xml:space="preserve"> בע"מ</w:t>
                </w:r>
              </w:sdtContent>
            </w:sdt>
          </w:p>
          <w:p w:rsidR="00295DD1" w:rsidRDefault="00802FC8">
            <w:pPr>
              <w:rPr>
                <w:sz w:val="26"/>
                <w:szCs w:val="26"/>
                <w:rtl/>
              </w:rPr>
            </w:pPr>
            <w:sdt>
              <w:sdtPr>
                <w:rPr>
                  <w:rFonts w:hint="cs"/>
                  <w:sz w:val="26"/>
                  <w:szCs w:val="26"/>
                  <w:rtl/>
                </w:rPr>
                <w:alias w:val="1571"/>
                <w:tag w:val="1571"/>
                <w:id w:val="-388963835"/>
                <w:text w:multiLine="1"/>
              </w:sdtPr>
              <w:sdtEndPr/>
              <w:sdtContent>
                <w:r w:rsidR="006B5553">
                  <w:rPr>
                    <w:rFonts w:hint="cs"/>
                    <w:b/>
                    <w:bCs/>
                    <w:noProof w:val="0"/>
                    <w:sz w:val="26"/>
                    <w:szCs w:val="26"/>
                    <w:rtl/>
                  </w:rPr>
                  <w:t>2</w:t>
                </w:r>
              </w:sdtContent>
            </w:sdt>
            <w:r w:rsidR="006816EC" w:rsidRPr="00CD0055">
              <w:rPr>
                <w:rFonts w:hint="cs"/>
                <w:b/>
                <w:bCs/>
                <w:noProof w:val="0"/>
                <w:sz w:val="26"/>
                <w:szCs w:val="26"/>
                <w:rtl/>
              </w:rPr>
              <w:t>.</w:t>
            </w:r>
            <w:sdt>
              <w:sdtPr>
                <w:rPr>
                  <w:rFonts w:hint="cs"/>
                  <w:sz w:val="26"/>
                  <w:szCs w:val="26"/>
                  <w:rtl/>
                </w:rPr>
                <w:alias w:val="1486"/>
                <w:tag w:val="1486"/>
                <w:id w:val="-684988008"/>
                <w:text w:multiLine="1"/>
              </w:sdtPr>
              <w:sdtEndPr/>
              <w:sdtContent>
                <w:r w:rsidR="006B5553">
                  <w:rPr>
                    <w:rFonts w:hint="cs"/>
                    <w:b/>
                    <w:bCs/>
                    <w:noProof w:val="0"/>
                    <w:sz w:val="26"/>
                    <w:szCs w:val="26"/>
                    <w:rtl/>
                  </w:rPr>
                  <w:t xml:space="preserve">פיש אנד </w:t>
                </w:r>
                <w:proofErr w:type="spellStart"/>
                <w:r w:rsidR="006B5553">
                  <w:rPr>
                    <w:rFonts w:hint="cs"/>
                    <w:b/>
                    <w:bCs/>
                    <w:noProof w:val="0"/>
                    <w:sz w:val="26"/>
                    <w:szCs w:val="26"/>
                    <w:rtl/>
                  </w:rPr>
                  <w:t>פטס</w:t>
                </w:r>
                <w:proofErr w:type="spellEnd"/>
                <w:r w:rsidR="006B5553">
                  <w:rPr>
                    <w:rFonts w:hint="cs"/>
                    <w:b/>
                    <w:bCs/>
                    <w:noProof w:val="0"/>
                    <w:sz w:val="26"/>
                    <w:szCs w:val="26"/>
                    <w:rtl/>
                  </w:rPr>
                  <w:t xml:space="preserve"> ישראל 1975 בע"מ</w:t>
                </w:r>
              </w:sdtContent>
            </w:sdt>
          </w:p>
          <w:p w:rsidR="006816EC" w:rsidRPr="008F3455" w:rsidRDefault="00295DD1">
            <w:pPr>
              <w:rPr>
                <w:rFonts w:ascii="Arial (W1)" w:hAnsi="Arial (W1)"/>
                <w:noProof w:val="0"/>
                <w:sz w:val="26"/>
                <w:szCs w:val="26"/>
                <w:rtl/>
              </w:rPr>
            </w:pPr>
            <w:r w:rsidRPr="008F3455">
              <w:rPr>
                <w:rFonts w:hint="cs"/>
                <w:sz w:val="26"/>
                <w:szCs w:val="26"/>
                <w:rtl/>
              </w:rPr>
              <w:t>ע"י ב"כ עו"ד</w:t>
            </w:r>
            <w:r w:rsidR="008F3455" w:rsidRPr="008F3455">
              <w:rPr>
                <w:rFonts w:ascii="Arial (W1)" w:hAnsi="Arial (W1)" w:hint="cs"/>
                <w:noProof w:val="0"/>
                <w:sz w:val="26"/>
                <w:szCs w:val="26"/>
                <w:rtl/>
              </w:rPr>
              <w:t xml:space="preserve"> אודי ראש </w:t>
            </w:r>
          </w:p>
          <w:p w:rsidR="008F3455" w:rsidRPr="00CD0055" w:rsidRDefault="008F3455">
            <w:pPr>
              <w:rPr>
                <w:rFonts w:ascii="Arial (W1)" w:hAnsi="Arial (W1)"/>
                <w:b/>
                <w:bCs/>
                <w:noProof w:val="0"/>
                <w:sz w:val="26"/>
                <w:szCs w:val="26"/>
              </w:rPr>
            </w:pPr>
          </w:p>
          <w:p w:rsidR="00295DD1" w:rsidRDefault="00802FC8">
            <w:pPr>
              <w:rPr>
                <w:sz w:val="26"/>
                <w:szCs w:val="26"/>
                <w:rtl/>
              </w:rPr>
            </w:pPr>
            <w:sdt>
              <w:sdtPr>
                <w:rPr>
                  <w:rFonts w:hint="cs"/>
                  <w:sz w:val="26"/>
                  <w:szCs w:val="26"/>
                  <w:rtl/>
                </w:rPr>
                <w:alias w:val="1571"/>
                <w:tag w:val="1571"/>
                <w:id w:val="-1654915209"/>
                <w:text w:multiLine="1"/>
              </w:sdtPr>
              <w:sdtEndPr/>
              <w:sdtContent>
                <w:r w:rsidR="006B5553">
                  <w:rPr>
                    <w:rFonts w:hint="cs"/>
                    <w:b/>
                    <w:bCs/>
                    <w:noProof w:val="0"/>
                    <w:sz w:val="26"/>
                    <w:szCs w:val="26"/>
                    <w:rtl/>
                  </w:rPr>
                  <w:t>3</w:t>
                </w:r>
              </w:sdtContent>
            </w:sdt>
            <w:r w:rsidR="006816EC" w:rsidRPr="00CD0055">
              <w:rPr>
                <w:rFonts w:hint="cs"/>
                <w:b/>
                <w:bCs/>
                <w:noProof w:val="0"/>
                <w:sz w:val="26"/>
                <w:szCs w:val="26"/>
                <w:rtl/>
              </w:rPr>
              <w:t>.</w:t>
            </w:r>
            <w:sdt>
              <w:sdtPr>
                <w:rPr>
                  <w:rFonts w:hint="cs"/>
                  <w:sz w:val="26"/>
                  <w:szCs w:val="26"/>
                  <w:rtl/>
                </w:rPr>
                <w:alias w:val="1486"/>
                <w:tag w:val="1486"/>
                <w:id w:val="1618407043"/>
                <w:text w:multiLine="1"/>
              </w:sdtPr>
              <w:sdtEndPr/>
              <w:sdtContent>
                <w:r w:rsidR="006B5553">
                  <w:rPr>
                    <w:rFonts w:hint="cs"/>
                    <w:b/>
                    <w:bCs/>
                    <w:noProof w:val="0"/>
                    <w:sz w:val="26"/>
                    <w:szCs w:val="26"/>
                    <w:rtl/>
                  </w:rPr>
                  <w:t>מלך האריות השקעות בע"מ</w:t>
                </w:r>
              </w:sdtContent>
            </w:sdt>
          </w:p>
          <w:p w:rsidR="00295DD1" w:rsidRDefault="00802FC8">
            <w:pPr>
              <w:rPr>
                <w:sz w:val="26"/>
                <w:szCs w:val="26"/>
                <w:rtl/>
              </w:rPr>
            </w:pPr>
            <w:sdt>
              <w:sdtPr>
                <w:rPr>
                  <w:rFonts w:hint="cs"/>
                  <w:sz w:val="26"/>
                  <w:szCs w:val="26"/>
                  <w:rtl/>
                </w:rPr>
                <w:alias w:val="1571"/>
                <w:tag w:val="1571"/>
                <w:id w:val="1203593113"/>
                <w:text w:multiLine="1"/>
              </w:sdtPr>
              <w:sdtEndPr/>
              <w:sdtContent>
                <w:r w:rsidR="006B5553">
                  <w:rPr>
                    <w:rFonts w:hint="cs"/>
                    <w:b/>
                    <w:bCs/>
                    <w:noProof w:val="0"/>
                    <w:sz w:val="26"/>
                    <w:szCs w:val="26"/>
                    <w:rtl/>
                  </w:rPr>
                  <w:t>4</w:t>
                </w:r>
              </w:sdtContent>
            </w:sdt>
            <w:r w:rsidR="006816EC" w:rsidRPr="00CD0055">
              <w:rPr>
                <w:rFonts w:hint="cs"/>
                <w:b/>
                <w:bCs/>
                <w:noProof w:val="0"/>
                <w:sz w:val="26"/>
                <w:szCs w:val="26"/>
                <w:rtl/>
              </w:rPr>
              <w:t>.</w:t>
            </w:r>
            <w:sdt>
              <w:sdtPr>
                <w:rPr>
                  <w:rFonts w:hint="cs"/>
                  <w:sz w:val="26"/>
                  <w:szCs w:val="26"/>
                  <w:rtl/>
                </w:rPr>
                <w:alias w:val="1486"/>
                <w:tag w:val="1486"/>
                <w:id w:val="1547184294"/>
                <w:text w:multiLine="1"/>
              </w:sdtPr>
              <w:sdtEndPr/>
              <w:sdtContent>
                <w:r w:rsidR="006B5553">
                  <w:rPr>
                    <w:rFonts w:hint="cs"/>
                    <w:b/>
                    <w:bCs/>
                    <w:noProof w:val="0"/>
                    <w:sz w:val="26"/>
                    <w:szCs w:val="26"/>
                    <w:rtl/>
                  </w:rPr>
                  <w:t>מלך האריות מזון וציוד בע"מ</w:t>
                </w:r>
              </w:sdtContent>
            </w:sdt>
          </w:p>
          <w:p w:rsidR="006816EC" w:rsidRPr="00CD0055" w:rsidRDefault="006816EC">
            <w:pPr>
              <w:rPr>
                <w:rFonts w:ascii="Arial (W1)" w:hAnsi="Arial (W1)"/>
                <w:b/>
                <w:bCs/>
                <w:noProof w:val="0"/>
                <w:sz w:val="26"/>
                <w:szCs w:val="26"/>
              </w:rPr>
            </w:pPr>
          </w:p>
        </w:tc>
      </w:tr>
    </w:tbl>
    <w:p w:rsidR="006816EC" w:rsidRDefault="006816EC" w:rsidP="006816EC">
      <w:pPr>
        <w:suppressLineNumbers/>
        <w:rPr>
          <w:rFonts w:ascii="Arial (W1)" w:hAnsi="Arial (W1)"/>
          <w:sz w:val="28"/>
          <w:szCs w:val="28"/>
          <w:rtl/>
        </w:rPr>
      </w:pPr>
    </w:p>
    <w:p w:rsidR="006816EC" w:rsidRDefault="006816EC" w:rsidP="003823DA">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DD1437" w:rsidRPr="001E63BA" w:rsidRDefault="00DD1437" w:rsidP="001E63BA">
      <w:pPr>
        <w:spacing w:line="360" w:lineRule="auto"/>
        <w:jc w:val="both"/>
        <w:rPr>
          <w:rFonts w:ascii="David" w:hAnsi="David"/>
          <w:b/>
          <w:bCs/>
          <w:noProof w:val="0"/>
          <w:u w:val="single"/>
          <w:rtl/>
        </w:rPr>
      </w:pPr>
      <w:r w:rsidRPr="001E63BA">
        <w:rPr>
          <w:rFonts w:ascii="David" w:hAnsi="David" w:hint="cs"/>
          <w:b/>
          <w:bCs/>
          <w:noProof w:val="0"/>
          <w:u w:val="single"/>
          <w:rtl/>
        </w:rPr>
        <w:t xml:space="preserve">השופטת י. סרוסי </w:t>
      </w:r>
    </w:p>
    <w:p w:rsidR="001E63BA" w:rsidRDefault="00DD1437" w:rsidP="001E63BA">
      <w:pPr>
        <w:spacing w:line="360" w:lineRule="auto"/>
        <w:contextualSpacing/>
        <w:jc w:val="both"/>
        <w:rPr>
          <w:rFonts w:ascii="David" w:hAnsi="David"/>
          <w:noProof w:val="0"/>
          <w:rtl/>
        </w:rPr>
      </w:pPr>
      <w:r w:rsidRPr="001E63BA">
        <w:rPr>
          <w:rFonts w:ascii="David" w:hAnsi="David"/>
          <w:noProof w:val="0"/>
          <w:rtl/>
        </w:rPr>
        <w:t xml:space="preserve">לפנינו ערעור על החלטת בית המשפט השלום בהרצליה (כב' השופט צחי אלמוג) מיום 10.6.2024 בהליך ת"א 40909-07-23 </w:t>
      </w:r>
      <w:r w:rsidRPr="001E63BA">
        <w:rPr>
          <w:rFonts w:ascii="David" w:hAnsi="David"/>
          <w:b/>
          <w:bCs/>
          <w:noProof w:val="0"/>
          <w:rtl/>
        </w:rPr>
        <w:t xml:space="preserve">בית ארז חוות </w:t>
      </w:r>
      <w:proofErr w:type="spellStart"/>
      <w:r w:rsidRPr="001E63BA">
        <w:rPr>
          <w:rFonts w:ascii="David" w:hAnsi="David"/>
          <w:b/>
          <w:bCs/>
          <w:noProof w:val="0"/>
          <w:rtl/>
        </w:rPr>
        <w:t>מילטין</w:t>
      </w:r>
      <w:proofErr w:type="spellEnd"/>
      <w:r w:rsidRPr="001E63BA">
        <w:rPr>
          <w:rFonts w:ascii="David" w:hAnsi="David"/>
          <w:b/>
          <w:bCs/>
          <w:noProof w:val="0"/>
          <w:rtl/>
        </w:rPr>
        <w:t xml:space="preserve"> בע"מ נ' מלך האריות השקעות בע"מ.</w:t>
      </w:r>
      <w:r w:rsidRPr="001E63BA">
        <w:rPr>
          <w:rFonts w:ascii="David" w:hAnsi="David"/>
          <w:noProof w:val="0"/>
          <w:rtl/>
        </w:rPr>
        <w:t xml:space="preserve"> עניינו של הערעור בשאלת גילויו של מידע על ידי רשות המסים.</w:t>
      </w:r>
    </w:p>
    <w:p w:rsidR="001E63BA" w:rsidRPr="001E63BA" w:rsidRDefault="001E63BA" w:rsidP="001E63BA">
      <w:pPr>
        <w:spacing w:line="360" w:lineRule="auto"/>
        <w:contextualSpacing/>
        <w:jc w:val="both"/>
        <w:rPr>
          <w:rFonts w:ascii="David" w:hAnsi="David"/>
          <w:noProof w:val="0"/>
        </w:rPr>
      </w:pPr>
    </w:p>
    <w:p w:rsidR="00DD1437" w:rsidRPr="001E63BA" w:rsidRDefault="00DD1437" w:rsidP="001E63BA">
      <w:pPr>
        <w:spacing w:line="360" w:lineRule="auto"/>
        <w:contextualSpacing/>
        <w:jc w:val="both"/>
        <w:rPr>
          <w:rFonts w:ascii="David" w:hAnsi="David"/>
          <w:b/>
          <w:bCs/>
          <w:noProof w:val="0"/>
          <w:u w:val="single"/>
          <w:rtl/>
        </w:rPr>
      </w:pPr>
      <w:r w:rsidRPr="001E63BA">
        <w:rPr>
          <w:rFonts w:ascii="David" w:hAnsi="David"/>
          <w:b/>
          <w:bCs/>
          <w:noProof w:val="0"/>
          <w:u w:val="single"/>
          <w:rtl/>
        </w:rPr>
        <w:t>רקע בתמצית</w:t>
      </w:r>
    </w:p>
    <w:p w:rsidR="00DD1437"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 xml:space="preserve">המשיבות 1 ו-2, בית ארז חוות </w:t>
      </w:r>
      <w:proofErr w:type="spellStart"/>
      <w:r w:rsidRPr="001E63BA">
        <w:rPr>
          <w:rFonts w:ascii="David" w:hAnsi="David"/>
          <w:noProof w:val="0"/>
          <w:rtl/>
        </w:rPr>
        <w:t>מילטין</w:t>
      </w:r>
      <w:proofErr w:type="spellEnd"/>
      <w:r w:rsidRPr="001E63BA">
        <w:rPr>
          <w:rFonts w:ascii="David" w:hAnsi="David"/>
          <w:noProof w:val="0"/>
          <w:rtl/>
        </w:rPr>
        <w:t xml:space="preserve"> בע"מ ופיש אנד </w:t>
      </w:r>
      <w:proofErr w:type="spellStart"/>
      <w:r w:rsidRPr="001E63BA">
        <w:rPr>
          <w:rFonts w:ascii="David" w:hAnsi="David"/>
          <w:noProof w:val="0"/>
          <w:rtl/>
        </w:rPr>
        <w:t>פטס</w:t>
      </w:r>
      <w:proofErr w:type="spellEnd"/>
      <w:r w:rsidRPr="001E63BA">
        <w:rPr>
          <w:rFonts w:ascii="David" w:hAnsi="David"/>
          <w:noProof w:val="0"/>
          <w:rtl/>
        </w:rPr>
        <w:t xml:space="preserve"> ישראל 1975 בע"מ (להלן: "</w:t>
      </w:r>
      <w:r w:rsidRPr="001E63BA">
        <w:rPr>
          <w:rFonts w:ascii="David" w:hAnsi="David"/>
          <w:b/>
          <w:bCs/>
          <w:noProof w:val="0"/>
          <w:rtl/>
        </w:rPr>
        <w:t>המשיבות</w:t>
      </w:r>
      <w:r w:rsidRPr="001E63BA">
        <w:rPr>
          <w:rFonts w:ascii="David" w:hAnsi="David"/>
          <w:noProof w:val="0"/>
          <w:rtl/>
        </w:rPr>
        <w:t>"), הגישו מספר תובענות שאוחדו כנגד המשיבות 3 ו-4, מלך האריות השקעות בע"מ ומלך האריות מזון וציוד בע"מ (להלן: "</w:t>
      </w:r>
      <w:r w:rsidRPr="001E63BA">
        <w:rPr>
          <w:rFonts w:ascii="David" w:hAnsi="David"/>
          <w:b/>
          <w:bCs/>
          <w:noProof w:val="0"/>
          <w:rtl/>
        </w:rPr>
        <w:t>הנתבעות</w:t>
      </w:r>
      <w:r w:rsidRPr="001E63BA">
        <w:rPr>
          <w:rFonts w:ascii="David" w:hAnsi="David"/>
          <w:noProof w:val="0"/>
          <w:rtl/>
        </w:rPr>
        <w:t>"), אשר נידונות בפני בית המשפט קמא (להלן: "</w:t>
      </w:r>
      <w:r w:rsidRPr="001E63BA">
        <w:rPr>
          <w:rFonts w:ascii="David" w:hAnsi="David"/>
          <w:b/>
          <w:bCs/>
          <w:noProof w:val="0"/>
          <w:rtl/>
        </w:rPr>
        <w:t>התובענות</w:t>
      </w:r>
      <w:r w:rsidRPr="001E63BA">
        <w:rPr>
          <w:rFonts w:ascii="David" w:hAnsi="David"/>
          <w:noProof w:val="0"/>
          <w:rtl/>
        </w:rPr>
        <w:t>").</w:t>
      </w:r>
    </w:p>
    <w:p w:rsidR="001E63BA" w:rsidRPr="001E63BA" w:rsidRDefault="001E63BA" w:rsidP="001E63BA">
      <w:pPr>
        <w:spacing w:line="360" w:lineRule="auto"/>
        <w:ind w:left="360"/>
        <w:contextualSpacing/>
        <w:jc w:val="both"/>
        <w:rPr>
          <w:rFonts w:ascii="David" w:hAnsi="David"/>
          <w:noProof w:val="0"/>
          <w:rtl/>
        </w:rPr>
      </w:pPr>
    </w:p>
    <w:p w:rsidR="00DD1437"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במסגרת התובענות טוענות המשיבות כי הנתבעות לא שילמו עבור סחורה שהמשיבות סיפקו להן. הנתבעות מכחישות את טענות המשיבות כאשר לטענתן, הסחורה לא סופקה להן. יצוין כי המשיבות הנפיקו לנתבעות חשבוניות מס עבור הסחורה והן צורפו לתובענות.</w:t>
      </w:r>
    </w:p>
    <w:p w:rsidR="001E63BA" w:rsidRPr="001E63BA" w:rsidRDefault="001E63BA" w:rsidP="001E63BA">
      <w:pPr>
        <w:spacing w:line="360" w:lineRule="auto"/>
        <w:ind w:left="360"/>
        <w:contextualSpacing/>
        <w:jc w:val="both"/>
        <w:rPr>
          <w:rFonts w:ascii="David" w:hAnsi="David"/>
          <w:noProof w:val="0"/>
        </w:rPr>
      </w:pPr>
    </w:p>
    <w:p w:rsidR="00DD1437"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המשיבות הגישו לבית המשפט קמא בקשה למתן צו למסירת מסמכים ומידע מרשות המיסים (להלן: "</w:t>
      </w:r>
      <w:r w:rsidRPr="001E63BA">
        <w:rPr>
          <w:rFonts w:ascii="David" w:hAnsi="David"/>
          <w:b/>
          <w:bCs/>
          <w:noProof w:val="0"/>
          <w:rtl/>
        </w:rPr>
        <w:t>המערערת</w:t>
      </w:r>
      <w:r w:rsidRPr="001E63BA">
        <w:rPr>
          <w:rFonts w:ascii="David" w:hAnsi="David"/>
          <w:noProof w:val="0"/>
          <w:rtl/>
        </w:rPr>
        <w:t xml:space="preserve">") ביחס לשאלה האם הנתבעות השתמשו בחשבוניות המס לצורך קבלת </w:t>
      </w:r>
      <w:r w:rsidRPr="001E63BA">
        <w:rPr>
          <w:rFonts w:ascii="David" w:hAnsi="David"/>
          <w:noProof w:val="0"/>
          <w:rtl/>
        </w:rPr>
        <w:lastRenderedPageBreak/>
        <w:t>החזר של מס תשומות במע"מ או ניכוי הוצאות במס הכנסה. לדידן, אם יתברר כי הנתבעות השתמשו בחשבוניות לקיזוז תשומות או ניכוי הוצאות, הדבר מהווה הודאת בעל דין בכך שהן קיבלו את הסחורה.</w:t>
      </w:r>
    </w:p>
    <w:p w:rsidR="00AE739E" w:rsidRPr="001E63BA" w:rsidRDefault="00AE739E" w:rsidP="00AE739E">
      <w:pPr>
        <w:spacing w:line="360" w:lineRule="auto"/>
        <w:ind w:left="360"/>
        <w:contextualSpacing/>
        <w:jc w:val="both"/>
        <w:rPr>
          <w:rFonts w:ascii="David" w:hAnsi="David"/>
          <w:noProof w:val="0"/>
        </w:rPr>
      </w:pPr>
    </w:p>
    <w:p w:rsidR="00DD1437"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בית המשפט קמא נעתר לבקשת המשיבות בהחלטה מיום 9.4.2024, והוא הוציא צו למערערת להודיע בתוך 30 ימים בתעודת עובד ציבור אם הנתבעות השתמשו בחשבוניות המס כאמור (להלן: "</w:t>
      </w:r>
      <w:r w:rsidRPr="001E63BA">
        <w:rPr>
          <w:rFonts w:ascii="David" w:hAnsi="David"/>
          <w:b/>
          <w:bCs/>
          <w:noProof w:val="0"/>
          <w:rtl/>
        </w:rPr>
        <w:t>ההחלטה על הוצאת הצו</w:t>
      </w:r>
      <w:r w:rsidRPr="001E63BA">
        <w:rPr>
          <w:rFonts w:ascii="David" w:hAnsi="David"/>
          <w:noProof w:val="0"/>
          <w:rtl/>
        </w:rPr>
        <w:t>").</w:t>
      </w:r>
    </w:p>
    <w:p w:rsidR="00AE739E" w:rsidRPr="001E63BA" w:rsidRDefault="00AE739E" w:rsidP="00AE739E">
      <w:pPr>
        <w:spacing w:line="360" w:lineRule="auto"/>
        <w:ind w:left="360"/>
        <w:contextualSpacing/>
        <w:jc w:val="both"/>
        <w:rPr>
          <w:rFonts w:ascii="David" w:hAnsi="David"/>
          <w:noProof w:val="0"/>
        </w:rPr>
      </w:pPr>
    </w:p>
    <w:p w:rsidR="00DD1437"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בנימוקי ההחלטה על הוצאת הצו, קבע בית המשפט קמא כי המבחן הנוגע לגילוי מסמכים הוא רחב וכי המידע רלוונטי לבירור ההליך; כי המסמכים שייכים לצדדים להליך וכי במובן זה רשות המס היא אך בבחינת "מחזיקה" במסמכים ואין אינטרס כלשהו של רשות המיסים שייפגע; וכי החשבוניות אינן סודיות או חסויות, ואף אם יש ממש בטענת החיסיון, הרי שמדובר בחיסיון יחסי שכפוף לשיקול דעת בית המשפט. במקרה זה, סבר בית המשפט קמא "</w:t>
      </w:r>
      <w:r w:rsidRPr="001E63BA">
        <w:rPr>
          <w:rFonts w:ascii="David" w:hAnsi="David"/>
          <w:b/>
          <w:bCs/>
          <w:noProof w:val="0"/>
          <w:rtl/>
        </w:rPr>
        <w:t>כי המידע המבוקש עשוי לסייע לרדת לחקר האמת</w:t>
      </w:r>
      <w:r w:rsidRPr="001E63BA">
        <w:rPr>
          <w:rFonts w:ascii="David" w:hAnsi="David"/>
          <w:noProof w:val="0"/>
          <w:rtl/>
        </w:rPr>
        <w:t>" (סעיף 11 להחלטה על הוצאת הצו).</w:t>
      </w:r>
    </w:p>
    <w:p w:rsidR="00AE739E" w:rsidRPr="001E63BA" w:rsidRDefault="00AE739E" w:rsidP="00AE739E">
      <w:pPr>
        <w:spacing w:line="360" w:lineRule="auto"/>
        <w:ind w:left="360"/>
        <w:contextualSpacing/>
        <w:jc w:val="both"/>
        <w:rPr>
          <w:rFonts w:ascii="David" w:hAnsi="David"/>
          <w:noProof w:val="0"/>
        </w:rPr>
      </w:pPr>
    </w:p>
    <w:p w:rsidR="00DD1437"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ראוי לציין כי בית המשפט קמא קבע בסעיף 6 להחלטה על הוצאת הצו כי: "</w:t>
      </w:r>
      <w:r w:rsidRPr="001E63BA">
        <w:rPr>
          <w:rFonts w:ascii="David" w:hAnsi="David"/>
          <w:b/>
          <w:bCs/>
          <w:noProof w:val="0"/>
          <w:rtl/>
        </w:rPr>
        <w:t>איני נכנס למחלוקת בין הצדדים האם עצם העובדה (אם תוכח) שהנתבעים 1-2 עשו שימוש בחשבוניות שהוצגו, אצל רשויות המס, הינה הודאה בקבלת הסחורה, כלשון התובעות, או דווקא לא מוכ</w:t>
      </w:r>
      <w:r w:rsidR="00D632EE">
        <w:rPr>
          <w:rFonts w:ascii="David" w:hAnsi="David"/>
          <w:b/>
          <w:bCs/>
          <w:noProof w:val="0"/>
          <w:rtl/>
        </w:rPr>
        <w:t>יחה דבר, בהתאם לנסיבות, לפי דעת</w:t>
      </w:r>
      <w:r w:rsidRPr="001E63BA">
        <w:rPr>
          <w:rFonts w:ascii="David" w:hAnsi="David"/>
          <w:b/>
          <w:bCs/>
          <w:noProof w:val="0"/>
          <w:rtl/>
        </w:rPr>
        <w:t xml:space="preserve"> הנתבעים. המדובר בעניין השמור לשלב ההוכחות והסיכומים</w:t>
      </w:r>
      <w:r w:rsidR="00D632EE">
        <w:rPr>
          <w:rFonts w:ascii="David" w:hAnsi="David"/>
          <w:noProof w:val="0"/>
          <w:rtl/>
        </w:rPr>
        <w:t xml:space="preserve">" </w:t>
      </w:r>
      <w:r w:rsidRPr="001E63BA">
        <w:rPr>
          <w:rFonts w:ascii="David" w:hAnsi="David"/>
          <w:noProof w:val="0"/>
          <w:rtl/>
        </w:rPr>
        <w:t>.</w:t>
      </w:r>
    </w:p>
    <w:p w:rsidR="00AE739E" w:rsidRPr="001E63BA" w:rsidRDefault="00AE739E" w:rsidP="00AE739E">
      <w:pPr>
        <w:spacing w:line="360" w:lineRule="auto"/>
        <w:ind w:left="360"/>
        <w:contextualSpacing/>
        <w:jc w:val="both"/>
        <w:rPr>
          <w:rFonts w:ascii="David" w:hAnsi="David"/>
          <w:noProof w:val="0"/>
        </w:rPr>
      </w:pPr>
    </w:p>
    <w:p w:rsidR="00DD1437"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 xml:space="preserve">המערערת הגישה לבית המשפט קמא בקשה לביטול הצו. לטענתה, חלה עליה חובת סודיות שאוסרת עליה למסור פרטים כאמור בצו. </w:t>
      </w:r>
    </w:p>
    <w:p w:rsidR="00AE739E" w:rsidRPr="001E63BA" w:rsidRDefault="00AE739E" w:rsidP="00AE739E">
      <w:pPr>
        <w:spacing w:line="360" w:lineRule="auto"/>
        <w:ind w:left="360"/>
        <w:contextualSpacing/>
        <w:jc w:val="both"/>
        <w:rPr>
          <w:rFonts w:ascii="David" w:hAnsi="David"/>
          <w:noProof w:val="0"/>
        </w:rPr>
      </w:pPr>
    </w:p>
    <w:p w:rsidR="00DD1437"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בהחלטה מיום 10.6.2024 דחה בית המשפט קמא את בקשת המערערת לביטול הצו והורה לה להעביר את המידע (להלן: "</w:t>
      </w:r>
      <w:r w:rsidRPr="001E63BA">
        <w:rPr>
          <w:rFonts w:ascii="David" w:hAnsi="David"/>
          <w:b/>
          <w:bCs/>
          <w:noProof w:val="0"/>
          <w:rtl/>
        </w:rPr>
        <w:t>ההחלטה</w:t>
      </w:r>
      <w:r w:rsidRPr="001E63BA">
        <w:rPr>
          <w:rFonts w:ascii="David" w:hAnsi="David"/>
          <w:noProof w:val="0"/>
          <w:rtl/>
        </w:rPr>
        <w:t>"). בית המשפט דחה את טענות המערערת לסודיות וקבע כי מדובר בחיסיון יחסי אשר כפוף לשיקול דעתו של בית המשפט. בנסיבות העניין, בית המשפט קמא סבר כי עֵרֶךְ בירור האמת גובר על תכליות חובת הסודיות וכי "</w:t>
      </w:r>
      <w:r w:rsidRPr="001E63BA">
        <w:rPr>
          <w:rFonts w:ascii="David" w:hAnsi="David"/>
          <w:b/>
          <w:bCs/>
          <w:noProof w:val="0"/>
          <w:rtl/>
        </w:rPr>
        <w:t xml:space="preserve">הצו ניתן בין היתר כדי לברר האם עצם העובדה (אם תוכח) שהנתבעים 1-2 עשו שימוש בחשבוניות שהוצגו, אצל רשויות המס, הינה הודאה בקבלת הסחורה (לעניין זה ראו: ע"א (מחוזי ב"ש) 2722-04-16 משוב עבודות עפר ובטון בע"מ נ' </w:t>
      </w:r>
      <w:proofErr w:type="spellStart"/>
      <w:r w:rsidRPr="001E63BA">
        <w:rPr>
          <w:rFonts w:ascii="David" w:hAnsi="David"/>
          <w:b/>
          <w:bCs/>
          <w:noProof w:val="0"/>
          <w:rtl/>
        </w:rPr>
        <w:t>ט.ר</w:t>
      </w:r>
      <w:proofErr w:type="spellEnd"/>
      <w:r w:rsidRPr="001E63BA">
        <w:rPr>
          <w:rFonts w:ascii="David" w:hAnsi="David"/>
          <w:b/>
          <w:bCs/>
          <w:noProof w:val="0"/>
          <w:rtl/>
        </w:rPr>
        <w:t xml:space="preserve"> הנדסה אזרחית בע"מ (נבו 04.09.201). לפיכך, אני סבור כי מידת הרלוונטיות של המידע הנדרש לשם הכרעה במחלוקות שבתיק הינה משמעותית ביותר, והיא גוברת על חובת הסודיות</w:t>
      </w:r>
      <w:r w:rsidRPr="001E63BA">
        <w:rPr>
          <w:rFonts w:ascii="David" w:hAnsi="David"/>
          <w:noProof w:val="0"/>
          <w:rtl/>
        </w:rPr>
        <w:t>" (פס' 9 להחלטה).</w:t>
      </w:r>
    </w:p>
    <w:p w:rsidR="00AE739E" w:rsidRPr="001E63BA" w:rsidRDefault="00AE739E" w:rsidP="00AE739E">
      <w:pPr>
        <w:spacing w:line="360" w:lineRule="auto"/>
        <w:ind w:left="360"/>
        <w:contextualSpacing/>
        <w:jc w:val="both"/>
        <w:rPr>
          <w:rFonts w:ascii="David" w:hAnsi="David"/>
          <w:noProof w:val="0"/>
        </w:rPr>
      </w:pPr>
    </w:p>
    <w:p w:rsidR="00DD1437"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על החלטה זו הוגש הערעור דנן. יוער כי בית המשפט קמא עיכב את ביצועה של ההחלטה עד להכרעה בערעור.</w:t>
      </w:r>
    </w:p>
    <w:p w:rsidR="00AE739E" w:rsidRPr="001E63BA" w:rsidRDefault="00AE739E" w:rsidP="00AE739E">
      <w:pPr>
        <w:spacing w:line="360" w:lineRule="auto"/>
        <w:ind w:left="360"/>
        <w:contextualSpacing/>
        <w:jc w:val="both"/>
        <w:rPr>
          <w:rFonts w:ascii="David" w:hAnsi="David"/>
          <w:noProof w:val="0"/>
        </w:rPr>
      </w:pPr>
    </w:p>
    <w:p w:rsidR="00DD1437" w:rsidRPr="001E63BA" w:rsidRDefault="00DD1437" w:rsidP="001E63BA">
      <w:pPr>
        <w:spacing w:line="360" w:lineRule="auto"/>
        <w:contextualSpacing/>
        <w:jc w:val="both"/>
        <w:rPr>
          <w:rFonts w:ascii="David" w:hAnsi="David"/>
          <w:b/>
          <w:bCs/>
          <w:noProof w:val="0"/>
          <w:u w:val="single"/>
        </w:rPr>
      </w:pPr>
      <w:r w:rsidRPr="001E63BA">
        <w:rPr>
          <w:rFonts w:ascii="David" w:hAnsi="David"/>
          <w:b/>
          <w:bCs/>
          <w:noProof w:val="0"/>
          <w:u w:val="single"/>
          <w:rtl/>
        </w:rPr>
        <w:t>טענות המערערת בתמצית</w:t>
      </w:r>
    </w:p>
    <w:p w:rsidR="00DD1437"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בהתאם לדין, המערערת מנועה מלמסור כל מידע המצוי ברשותה ואשר הגיע אליה מתוקף תפקידה, לרבות לבית המשפט. זאת, אלא אם כן נדרש המידע על ידי בית המשפט לצורך ביצועו של אחד מחוקי המס או בהתקיים מחלוקת בין הנישום ובין רשות המס. חובת הסודיות הפיסקאלית מקימה חיסיון על המידע המצוי אצל רשות המסים.</w:t>
      </w:r>
    </w:p>
    <w:p w:rsidR="00AE739E" w:rsidRPr="001E63BA" w:rsidRDefault="00AE739E" w:rsidP="00AE739E">
      <w:pPr>
        <w:spacing w:line="360" w:lineRule="auto"/>
        <w:ind w:left="360"/>
        <w:contextualSpacing/>
        <w:jc w:val="both"/>
        <w:rPr>
          <w:rFonts w:ascii="David" w:hAnsi="David"/>
          <w:noProof w:val="0"/>
        </w:rPr>
      </w:pPr>
    </w:p>
    <w:p w:rsidR="00DD1437"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בענייננו הצד שכנגד הוא שמסרב להציג את המידע והוא זה שלא מאפשר את ליבון הפלוגתות וחקר האמת. הדבר אינו נוגע למערערת, שחל עליה איסור לחשוף את המידע.</w:t>
      </w:r>
    </w:p>
    <w:p w:rsidR="00AE739E" w:rsidRPr="001E63BA" w:rsidRDefault="00AE739E" w:rsidP="00AE739E">
      <w:pPr>
        <w:spacing w:line="360" w:lineRule="auto"/>
        <w:ind w:left="360"/>
        <w:contextualSpacing/>
        <w:jc w:val="both"/>
        <w:rPr>
          <w:rFonts w:ascii="David" w:hAnsi="David"/>
          <w:noProof w:val="0"/>
        </w:rPr>
      </w:pPr>
    </w:p>
    <w:p w:rsidR="00DD1437"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אין הכרח במסמכים מרשות המסים מכיוון שניתן להביא ראיות אחרות תומכות. כמו כן, בענייננו חלה החזקה שבעל דין לא יימנע מלהביא ראיה הפועלת לטובתו, ולפיכך, ניתן להסיק שאילו הייתה מובאת הייתה פועלת נגדו. נוסף על כך, מדובר במסמכים ששייכים לנתבעות, וניתן לדרוש מהן לחשוף מסמכים אלו במסגרת ההליך, למשל בדרך של הליך גילוי מסמכים, מבלי לאלץ את רשות המסים להפר את הוראות המחוקק.</w:t>
      </w:r>
    </w:p>
    <w:p w:rsidR="00AE739E" w:rsidRPr="001E63BA" w:rsidRDefault="00AE739E" w:rsidP="00AE739E">
      <w:pPr>
        <w:spacing w:line="360" w:lineRule="auto"/>
        <w:ind w:left="360"/>
        <w:contextualSpacing/>
        <w:jc w:val="both"/>
        <w:rPr>
          <w:rFonts w:ascii="David" w:hAnsi="David"/>
          <w:noProof w:val="0"/>
        </w:rPr>
      </w:pPr>
    </w:p>
    <w:p w:rsidR="00DD1437"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 xml:space="preserve">החיסיון מאפשר את פעילותה התקינה של מערכת גביית המס במדינה. קיים חשש ממשי כי אם יֵדְעוּ נישומים שהמידע שאותו מסרו לרשות המסים צפוי לשמש כנגדם ביום מן הימים במסגרת הליך משפטי אזרחי, הם יירתעו מלהגיש דיווחי אמת ולשתף פעולה. בכך תפגע גביית המס בישראל פגיעה קשה. </w:t>
      </w:r>
    </w:p>
    <w:p w:rsidR="00AE739E" w:rsidRPr="001E63BA" w:rsidRDefault="00AE739E" w:rsidP="00AE739E">
      <w:pPr>
        <w:spacing w:line="360" w:lineRule="auto"/>
        <w:ind w:left="360"/>
        <w:contextualSpacing/>
        <w:jc w:val="both"/>
        <w:rPr>
          <w:rFonts w:ascii="David" w:hAnsi="David"/>
          <w:noProof w:val="0"/>
        </w:rPr>
      </w:pPr>
    </w:p>
    <w:p w:rsidR="00DD1437" w:rsidRPr="001E63BA" w:rsidRDefault="00DD1437" w:rsidP="001E63BA">
      <w:pPr>
        <w:spacing w:line="360" w:lineRule="auto"/>
        <w:contextualSpacing/>
        <w:jc w:val="both"/>
        <w:rPr>
          <w:rFonts w:ascii="David" w:hAnsi="David"/>
          <w:b/>
          <w:bCs/>
          <w:noProof w:val="0"/>
          <w:u w:val="single"/>
        </w:rPr>
      </w:pPr>
      <w:r w:rsidRPr="001E63BA">
        <w:rPr>
          <w:rFonts w:ascii="David" w:hAnsi="David"/>
          <w:b/>
          <w:bCs/>
          <w:noProof w:val="0"/>
          <w:u w:val="single"/>
          <w:rtl/>
        </w:rPr>
        <w:t>טענות המשיבות בתמצית</w:t>
      </w:r>
    </w:p>
    <w:p w:rsidR="00DD1437"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לעמדת המשיבות דין הערעור להידחות. מדובר בחיסיון יחסי שכפוף לשיקול דעתו של בית המשפט. ההחלטה מפורטת ומנומקת ונקבע בה כי גילוי האמת גובר על חובת הסודיות.</w:t>
      </w:r>
    </w:p>
    <w:p w:rsidR="00AE739E" w:rsidRPr="001E63BA" w:rsidRDefault="00AE739E" w:rsidP="00AE739E">
      <w:pPr>
        <w:spacing w:line="360" w:lineRule="auto"/>
        <w:ind w:left="360"/>
        <w:contextualSpacing/>
        <w:jc w:val="both"/>
        <w:rPr>
          <w:rFonts w:ascii="David" w:hAnsi="David"/>
          <w:noProof w:val="0"/>
        </w:rPr>
      </w:pPr>
    </w:p>
    <w:p w:rsidR="00DD1437"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הצו עוסק אך ורק בחשבוניות שהוציאו המשיבות לנתבעות בעסקאות שקשורות אך ורק לתובענות, ועל כן אין כל מקום להתייחס לנתבעות כ"צד שלישי" ואין כאן כל הפרה של חובת סודיות.</w:t>
      </w:r>
    </w:p>
    <w:p w:rsidR="00AE739E" w:rsidRPr="001E63BA" w:rsidRDefault="00AE739E" w:rsidP="00AE739E">
      <w:pPr>
        <w:spacing w:line="360" w:lineRule="auto"/>
        <w:ind w:left="360"/>
        <w:contextualSpacing/>
        <w:jc w:val="both"/>
        <w:rPr>
          <w:rFonts w:ascii="David" w:hAnsi="David"/>
          <w:noProof w:val="0"/>
        </w:rPr>
      </w:pPr>
    </w:p>
    <w:p w:rsidR="00DD1437"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lastRenderedPageBreak/>
        <w:t>בענייננו האינטרס להגיע לחקר האמת ולהותיר את הצו על כנו הוא גם של רשויות המס שכן, אם יתברר כי הנתבעות דיווחו לרשויות המס על החשבוניות לצורך קבלת החזר של מס תשומות או ניכוי הוצאות וזאת חרף טענותיהן בדבר אי קבלת הסחורה, הרי שחובה על רשויות המס לדרוש מהנתבעות השבה של הסכומים.</w:t>
      </w:r>
    </w:p>
    <w:p w:rsidR="00AE739E" w:rsidRPr="001E63BA" w:rsidRDefault="00AE739E" w:rsidP="00AE739E">
      <w:pPr>
        <w:spacing w:line="360" w:lineRule="auto"/>
        <w:ind w:left="360"/>
        <w:contextualSpacing/>
        <w:jc w:val="both"/>
        <w:rPr>
          <w:rFonts w:ascii="David" w:hAnsi="David"/>
          <w:noProof w:val="0"/>
        </w:rPr>
      </w:pPr>
    </w:p>
    <w:p w:rsidR="00DD1437"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יצוין, כי המשיבות 3 ו-4 (הנתבעות) לא הגישו כל תשובה לערעור.</w:t>
      </w:r>
    </w:p>
    <w:p w:rsidR="00AE739E" w:rsidRPr="001E63BA" w:rsidRDefault="00AE739E" w:rsidP="00AE739E">
      <w:pPr>
        <w:spacing w:line="360" w:lineRule="auto"/>
        <w:ind w:left="360"/>
        <w:contextualSpacing/>
        <w:jc w:val="both"/>
        <w:rPr>
          <w:rFonts w:ascii="David" w:hAnsi="David"/>
          <w:noProof w:val="0"/>
        </w:rPr>
      </w:pPr>
    </w:p>
    <w:p w:rsidR="00DD1437" w:rsidRPr="001E63BA" w:rsidRDefault="00DD1437" w:rsidP="001E63BA">
      <w:pPr>
        <w:spacing w:line="360" w:lineRule="auto"/>
        <w:contextualSpacing/>
        <w:jc w:val="both"/>
        <w:rPr>
          <w:rFonts w:ascii="David" w:hAnsi="David"/>
          <w:b/>
          <w:bCs/>
          <w:noProof w:val="0"/>
          <w:u w:val="single"/>
        </w:rPr>
      </w:pPr>
      <w:r w:rsidRPr="001E63BA">
        <w:rPr>
          <w:rFonts w:ascii="David" w:hAnsi="David"/>
          <w:b/>
          <w:bCs/>
          <w:noProof w:val="0"/>
          <w:u w:val="single"/>
          <w:rtl/>
        </w:rPr>
        <w:t>דיון והכרעה</w:t>
      </w:r>
    </w:p>
    <w:p w:rsidR="00DD1437"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אני סבורה כי יש לקבל את הערעור וכך גם אציע לחבריי לעשות.</w:t>
      </w:r>
    </w:p>
    <w:p w:rsidR="00AE739E" w:rsidRPr="001E63BA" w:rsidRDefault="00AE739E" w:rsidP="00AE739E">
      <w:pPr>
        <w:spacing w:line="360" w:lineRule="auto"/>
        <w:ind w:left="360"/>
        <w:contextualSpacing/>
        <w:jc w:val="both"/>
        <w:rPr>
          <w:rFonts w:ascii="David" w:hAnsi="David"/>
          <w:noProof w:val="0"/>
        </w:rPr>
      </w:pPr>
    </w:p>
    <w:p w:rsidR="00DD1437"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המשיבות מבקשות לקבל מידע הנוגע לקיזוז מס תשומות במע"מ וניכוי הוצאות במס הכנסה. כלומר, המשיבות מבקשות לקבל מידע שהגיע לרשות המסים במסגרת התנהלותה של רשות המסים מול הנתבעות מתוקף חוק מס ערך מוסף, התשל"ו-1975 (להלן:</w:t>
      </w:r>
      <w:r w:rsidRPr="001E63BA">
        <w:rPr>
          <w:rFonts w:ascii="David" w:hAnsi="David"/>
          <w:noProof w:val="0"/>
        </w:rPr>
        <w:t xml:space="preserve"> </w:t>
      </w:r>
      <w:r w:rsidRPr="001E63BA">
        <w:rPr>
          <w:rFonts w:ascii="David" w:hAnsi="David"/>
          <w:noProof w:val="0"/>
          <w:rtl/>
        </w:rPr>
        <w:t>"</w:t>
      </w:r>
      <w:r w:rsidRPr="001E63BA">
        <w:rPr>
          <w:rFonts w:ascii="David" w:hAnsi="David"/>
          <w:b/>
          <w:bCs/>
          <w:noProof w:val="0"/>
          <w:rtl/>
        </w:rPr>
        <w:t>חוק מע"מ</w:t>
      </w:r>
      <w:r w:rsidRPr="001E63BA">
        <w:rPr>
          <w:rFonts w:ascii="David" w:hAnsi="David"/>
          <w:noProof w:val="0"/>
          <w:rtl/>
        </w:rPr>
        <w:t>") או פקודת מס הכנסה [נוסח חדש], התשכ"א-1961 (להלן: "</w:t>
      </w:r>
      <w:r w:rsidRPr="001E63BA">
        <w:rPr>
          <w:rFonts w:ascii="David" w:hAnsi="David"/>
          <w:b/>
          <w:bCs/>
          <w:noProof w:val="0"/>
          <w:rtl/>
        </w:rPr>
        <w:t>הפקודה</w:t>
      </w:r>
      <w:r w:rsidRPr="001E63BA">
        <w:rPr>
          <w:rFonts w:ascii="David" w:hAnsi="David"/>
          <w:noProof w:val="0"/>
          <w:rtl/>
        </w:rPr>
        <w:t>").</w:t>
      </w:r>
    </w:p>
    <w:p w:rsidR="00AE739E" w:rsidRPr="001E63BA" w:rsidRDefault="00AE739E" w:rsidP="00AE739E">
      <w:pPr>
        <w:spacing w:line="360" w:lineRule="auto"/>
        <w:ind w:left="360"/>
        <w:contextualSpacing/>
        <w:jc w:val="both"/>
        <w:rPr>
          <w:rFonts w:ascii="David" w:hAnsi="David"/>
          <w:noProof w:val="0"/>
        </w:rPr>
      </w:pPr>
    </w:p>
    <w:p w:rsidR="00DD1437"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הן בחוק מע"מ והן בפקודה קבועות הוראות סודיות הנוגעות למידע שהתקבל אצל רשות המסים אגב ביצוע תפקידיה לפי חוק.</w:t>
      </w:r>
    </w:p>
    <w:p w:rsidR="00AE739E" w:rsidRPr="001E63BA" w:rsidRDefault="00AE739E" w:rsidP="00AE739E">
      <w:pPr>
        <w:spacing w:line="360" w:lineRule="auto"/>
        <w:ind w:left="360"/>
        <w:contextualSpacing/>
        <w:jc w:val="both"/>
        <w:rPr>
          <w:rFonts w:ascii="David" w:hAnsi="David"/>
          <w:noProof w:val="0"/>
        </w:rPr>
      </w:pPr>
    </w:p>
    <w:p w:rsidR="00DD1437" w:rsidRPr="001E63BA"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סעיף 142 לחוק מע"מ, תחת הכותרת "</w:t>
      </w:r>
      <w:r w:rsidRPr="001E63BA">
        <w:rPr>
          <w:rFonts w:ascii="David" w:hAnsi="David"/>
          <w:b/>
          <w:bCs/>
          <w:noProof w:val="0"/>
          <w:rtl/>
        </w:rPr>
        <w:t>סודיות</w:t>
      </w:r>
      <w:r w:rsidRPr="001E63BA">
        <w:rPr>
          <w:rFonts w:ascii="David" w:hAnsi="David"/>
          <w:noProof w:val="0"/>
          <w:rtl/>
        </w:rPr>
        <w:t>", קובע כדלהלן:</w:t>
      </w:r>
    </w:p>
    <w:p w:rsidR="00DD1437" w:rsidRPr="001E63BA" w:rsidRDefault="00DD1437" w:rsidP="001E63BA">
      <w:pPr>
        <w:spacing w:line="360" w:lineRule="auto"/>
        <w:ind w:left="720"/>
        <w:contextualSpacing/>
        <w:jc w:val="both"/>
        <w:rPr>
          <w:rFonts w:ascii="David" w:hAnsi="David"/>
          <w:b/>
          <w:bCs/>
          <w:noProof w:val="0"/>
        </w:rPr>
      </w:pPr>
      <w:r w:rsidRPr="001E63BA">
        <w:rPr>
          <w:rFonts w:ascii="David" w:hAnsi="David"/>
          <w:noProof w:val="0"/>
          <w:rtl/>
        </w:rPr>
        <w:t>"</w:t>
      </w:r>
      <w:r w:rsidRPr="001E63BA">
        <w:rPr>
          <w:rFonts w:ascii="David" w:hAnsi="David"/>
          <w:b/>
          <w:bCs/>
          <w:noProof w:val="0"/>
        </w:rPr>
        <w:t>142</w:t>
      </w:r>
      <w:r w:rsidRPr="001E63BA">
        <w:rPr>
          <w:rFonts w:ascii="David" w:hAnsi="David"/>
          <w:b/>
          <w:bCs/>
          <w:noProof w:val="0"/>
          <w:rtl/>
        </w:rPr>
        <w:t>. (א)  לא יגלה אדם ידיעה שהגיעה אליו אגב ביצוע חוק זה, אלא אם –</w:t>
      </w:r>
    </w:p>
    <w:p w:rsidR="00DD1437" w:rsidRPr="001E63BA" w:rsidRDefault="00DD1437" w:rsidP="001E63BA">
      <w:pPr>
        <w:spacing w:line="360" w:lineRule="auto"/>
        <w:ind w:left="1440" w:firstLine="720"/>
        <w:contextualSpacing/>
        <w:jc w:val="both"/>
        <w:rPr>
          <w:rFonts w:ascii="David" w:hAnsi="David"/>
          <w:b/>
          <w:bCs/>
          <w:noProof w:val="0"/>
          <w:rtl/>
        </w:rPr>
      </w:pPr>
      <w:r w:rsidRPr="001E63BA">
        <w:rPr>
          <w:rFonts w:ascii="David" w:hAnsi="David"/>
          <w:b/>
          <w:bCs/>
          <w:noProof w:val="0"/>
          <w:rtl/>
        </w:rPr>
        <w:t>(1)   שר האוצר התיר לגלותה;</w:t>
      </w:r>
    </w:p>
    <w:p w:rsidR="00DD1437" w:rsidRPr="001E63BA" w:rsidRDefault="00DD1437" w:rsidP="001E63BA">
      <w:pPr>
        <w:spacing w:line="360" w:lineRule="auto"/>
        <w:ind w:left="2160"/>
        <w:contextualSpacing/>
        <w:jc w:val="both"/>
        <w:rPr>
          <w:rFonts w:ascii="David" w:hAnsi="David"/>
          <w:b/>
          <w:bCs/>
          <w:noProof w:val="0"/>
          <w:rtl/>
        </w:rPr>
      </w:pPr>
      <w:r w:rsidRPr="001E63BA">
        <w:rPr>
          <w:rFonts w:ascii="David" w:hAnsi="David"/>
          <w:b/>
          <w:bCs/>
          <w:noProof w:val="0"/>
          <w:rtl/>
        </w:rPr>
        <w:t>(2)   נדרש לגלותה בהליך משפטי על פי חוק זה או חוק מסים כמשמעותו בחוק לתיקון דיני מסים (חילופי ידיעות בין רשויות המס), תשכ"ז-1967;</w:t>
      </w:r>
    </w:p>
    <w:p w:rsidR="00DD1437" w:rsidRPr="001E63BA" w:rsidRDefault="00DD1437" w:rsidP="001E63BA">
      <w:pPr>
        <w:spacing w:line="360" w:lineRule="auto"/>
        <w:ind w:left="2160"/>
        <w:contextualSpacing/>
        <w:jc w:val="both"/>
        <w:rPr>
          <w:rFonts w:ascii="David" w:hAnsi="David"/>
          <w:b/>
          <w:bCs/>
          <w:noProof w:val="0"/>
          <w:rtl/>
        </w:rPr>
      </w:pPr>
      <w:r w:rsidRPr="001E63BA">
        <w:rPr>
          <w:rFonts w:ascii="David" w:hAnsi="David"/>
          <w:b/>
          <w:bCs/>
          <w:noProof w:val="0"/>
          <w:rtl/>
        </w:rPr>
        <w:t>(3)   המידע הוא כמפורט בסעיף 384א לחוק הביטוח הלאומי [נוסח משולב], התשנ"ה-1995 או בתקנות לפיו, ובלבד שמידע כאמור יימסר למוסד לביטוח לאומי ושמידע זה נדרש לתכליות האמורות באותו סעיף, ובמידה שנדרש.</w:t>
      </w:r>
    </w:p>
    <w:p w:rsidR="00DD1437" w:rsidRPr="001E63BA" w:rsidRDefault="00DD1437" w:rsidP="00AE739E">
      <w:pPr>
        <w:spacing w:line="360" w:lineRule="auto"/>
        <w:ind w:left="1350"/>
        <w:contextualSpacing/>
        <w:jc w:val="both"/>
        <w:rPr>
          <w:rFonts w:ascii="David" w:hAnsi="David"/>
          <w:b/>
          <w:bCs/>
          <w:noProof w:val="0"/>
          <w:rtl/>
        </w:rPr>
      </w:pPr>
      <w:r w:rsidRPr="001E63BA">
        <w:rPr>
          <w:rFonts w:ascii="David" w:hAnsi="David"/>
          <w:b/>
          <w:bCs/>
          <w:noProof w:val="0"/>
          <w:rtl/>
        </w:rPr>
        <w:t xml:space="preserve">(א1)  </w:t>
      </w:r>
      <w:proofErr w:type="spellStart"/>
      <w:r w:rsidRPr="001E63BA">
        <w:rPr>
          <w:rFonts w:ascii="David" w:hAnsi="David"/>
          <w:b/>
          <w:bCs/>
          <w:noProof w:val="0"/>
          <w:rtl/>
        </w:rPr>
        <w:t>לענין</w:t>
      </w:r>
      <w:proofErr w:type="spellEnd"/>
      <w:r w:rsidRPr="001E63BA">
        <w:rPr>
          <w:rFonts w:ascii="David" w:hAnsi="David"/>
          <w:b/>
          <w:bCs/>
          <w:noProof w:val="0"/>
          <w:rtl/>
        </w:rPr>
        <w:t xml:space="preserve"> סעיף קטן (א)(1) רשאי שר האוצר לתת גם היתר לגילוי מידע לסוגיו, ובלבד שהיתר כאמור יינתן לבעלי תפקידים שצוינו בו לצורך מילוי תפקידם כדין, ומנימוקים שיירשמו.</w:t>
      </w:r>
    </w:p>
    <w:p w:rsidR="00DD1437" w:rsidRPr="001E63BA" w:rsidRDefault="00DD1437" w:rsidP="001E63BA">
      <w:pPr>
        <w:spacing w:line="360" w:lineRule="auto"/>
        <w:ind w:left="1350"/>
        <w:contextualSpacing/>
        <w:jc w:val="both"/>
        <w:rPr>
          <w:rFonts w:ascii="David" w:hAnsi="David"/>
          <w:b/>
          <w:bCs/>
          <w:noProof w:val="0"/>
          <w:rtl/>
        </w:rPr>
      </w:pPr>
      <w:r w:rsidRPr="001E63BA">
        <w:rPr>
          <w:rFonts w:ascii="David" w:hAnsi="David"/>
          <w:b/>
          <w:bCs/>
          <w:noProof w:val="0"/>
          <w:rtl/>
        </w:rPr>
        <w:t>(ב)  הגיעה לאדם ידיעה על פי סעיף קטן (א), יראוהו כמי שקיבל אותה אגב ביצוע חוק זה.</w:t>
      </w:r>
    </w:p>
    <w:p w:rsidR="00DD1437" w:rsidRDefault="00DD1437" w:rsidP="001E63BA">
      <w:pPr>
        <w:spacing w:line="360" w:lineRule="auto"/>
        <w:ind w:left="1350"/>
        <w:contextualSpacing/>
        <w:jc w:val="both"/>
        <w:rPr>
          <w:rFonts w:ascii="David" w:hAnsi="David"/>
          <w:noProof w:val="0"/>
          <w:rtl/>
        </w:rPr>
      </w:pPr>
      <w:r w:rsidRPr="001E63BA">
        <w:rPr>
          <w:rFonts w:ascii="David" w:hAnsi="David"/>
          <w:b/>
          <w:bCs/>
          <w:noProof w:val="0"/>
          <w:rtl/>
        </w:rPr>
        <w:lastRenderedPageBreak/>
        <w:t>(ג)   גילה אדם שלא כדין ידיעה שהגיעה אליו אגב ביצועו של חוק זה, דינו - מאסר שנה או קנס 20,000 לירות</w:t>
      </w:r>
      <w:r w:rsidRPr="001E63BA">
        <w:rPr>
          <w:rFonts w:ascii="David" w:hAnsi="David"/>
          <w:noProof w:val="0"/>
          <w:rtl/>
        </w:rPr>
        <w:t>".</w:t>
      </w:r>
    </w:p>
    <w:p w:rsidR="00AE739E" w:rsidRPr="001E63BA" w:rsidRDefault="00AE739E" w:rsidP="00AE739E">
      <w:pPr>
        <w:spacing w:line="360" w:lineRule="auto"/>
        <w:contextualSpacing/>
        <w:jc w:val="both"/>
        <w:rPr>
          <w:rFonts w:ascii="David" w:hAnsi="David"/>
          <w:noProof w:val="0"/>
          <w:rtl/>
        </w:rPr>
      </w:pPr>
    </w:p>
    <w:p w:rsidR="00DD1437" w:rsidRPr="001E63BA"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סעיף 232 לפקודה, תחת הכותרת "</w:t>
      </w:r>
      <w:r w:rsidRPr="001E63BA">
        <w:rPr>
          <w:rFonts w:ascii="David" w:hAnsi="David"/>
          <w:b/>
          <w:bCs/>
          <w:noProof w:val="0"/>
          <w:rtl/>
        </w:rPr>
        <w:t>עובד מס הכנסה לא יידרש לגלות סוד</w:t>
      </w:r>
      <w:r w:rsidRPr="001E63BA">
        <w:rPr>
          <w:rFonts w:ascii="David" w:hAnsi="David"/>
          <w:noProof w:val="0"/>
          <w:rtl/>
        </w:rPr>
        <w:t>", קובע כדלהלן:</w:t>
      </w:r>
    </w:p>
    <w:p w:rsidR="00DD1437" w:rsidRDefault="00DD1437" w:rsidP="001E63BA">
      <w:pPr>
        <w:spacing w:line="360" w:lineRule="auto"/>
        <w:ind w:left="720"/>
        <w:contextualSpacing/>
        <w:jc w:val="both"/>
        <w:rPr>
          <w:rFonts w:ascii="David" w:hAnsi="David"/>
          <w:noProof w:val="0"/>
          <w:rtl/>
        </w:rPr>
      </w:pPr>
      <w:r w:rsidRPr="001E63BA">
        <w:rPr>
          <w:rFonts w:ascii="David" w:hAnsi="David"/>
          <w:noProof w:val="0"/>
          <w:rtl/>
        </w:rPr>
        <w:t>"</w:t>
      </w:r>
      <w:r w:rsidRPr="001E63BA">
        <w:rPr>
          <w:rFonts w:ascii="David" w:hAnsi="David"/>
          <w:b/>
          <w:bCs/>
          <w:noProof w:val="0"/>
          <w:rtl/>
        </w:rPr>
        <w:t>מי שנתמנה לפי הוראות הפקודה, או מי שמועסק בביצועה, לא יידרש להראות לבית משפט כל דו"ח, תעודה או שומה, או לגלות לבית המשפט או להודיע לו, כל דבר שהגיע לידיעתו אגב מילוי תפקידו לפי הפקודה, אלא במידה שדרוש לעשות כן להפעלת הוראות הפקודה או מתוך כוונה לתבוע לדין על עבירה שנעברה במס הכנסה, או תוך כדי בירור תביעה כאמור</w:t>
      </w:r>
      <w:r w:rsidRPr="001E63BA">
        <w:rPr>
          <w:rFonts w:ascii="David" w:hAnsi="David"/>
          <w:noProof w:val="0"/>
          <w:rtl/>
        </w:rPr>
        <w:t>".</w:t>
      </w:r>
    </w:p>
    <w:p w:rsidR="00AE739E" w:rsidRPr="001E63BA" w:rsidRDefault="00AE739E" w:rsidP="001E63BA">
      <w:pPr>
        <w:spacing w:line="360" w:lineRule="auto"/>
        <w:ind w:left="720"/>
        <w:contextualSpacing/>
        <w:jc w:val="both"/>
        <w:rPr>
          <w:rFonts w:ascii="David" w:hAnsi="David"/>
          <w:noProof w:val="0"/>
        </w:rPr>
      </w:pPr>
    </w:p>
    <w:p w:rsidR="00DD1437"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לא יכולה להיות מחלוקת כי המידע המבוקש הוא בגדר ידיעה שהגיעה לרשות המסים אגב ביצוע חוק מע"מ או מילוי תפקידה לפי הפקודה. בהתאם, הסעיפים הנ"ל מציבים תנאים ברורים שעל פיהם ניתן לגלות את המידע המבוקש. לא יכולה להיות גם מחלוקת כי המידע המבוקש אינו עומד באף לא אחד מהתנאים המפורטים בסעיפים לעיל.</w:t>
      </w:r>
    </w:p>
    <w:p w:rsidR="00AE739E" w:rsidRPr="001E63BA" w:rsidRDefault="00AE739E" w:rsidP="00AE739E">
      <w:pPr>
        <w:spacing w:line="360" w:lineRule="auto"/>
        <w:ind w:left="360"/>
        <w:contextualSpacing/>
        <w:jc w:val="both"/>
        <w:rPr>
          <w:rFonts w:ascii="David" w:hAnsi="David"/>
          <w:noProof w:val="0"/>
        </w:rPr>
      </w:pPr>
    </w:p>
    <w:p w:rsidR="00DD1437"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 xml:space="preserve">משכך, על פי לשון החוק, אין מקום לגלות את המידע המבוקש. ויודגש, כי הוראות החוק מתייחסות במפורש לגילוי המידע גם במסגרת של הליך משפטי, והן מסייגות את הגילוי אך לגילוי בהליך משפטי </w:t>
      </w:r>
      <w:r w:rsidRPr="001E63BA">
        <w:rPr>
          <w:rFonts w:ascii="David" w:hAnsi="David"/>
          <w:noProof w:val="0"/>
          <w:u w:val="single"/>
          <w:rtl/>
        </w:rPr>
        <w:t>שנוגע לחוקי המס</w:t>
      </w:r>
      <w:r w:rsidRPr="001E63BA">
        <w:rPr>
          <w:rFonts w:ascii="David" w:hAnsi="David"/>
          <w:noProof w:val="0"/>
          <w:rtl/>
        </w:rPr>
        <w:t>.</w:t>
      </w:r>
    </w:p>
    <w:p w:rsidR="00AE739E" w:rsidRPr="001E63BA" w:rsidRDefault="00AE739E" w:rsidP="00AE739E">
      <w:pPr>
        <w:spacing w:line="360" w:lineRule="auto"/>
        <w:ind w:left="360"/>
        <w:contextualSpacing/>
        <w:jc w:val="both"/>
        <w:rPr>
          <w:rFonts w:ascii="David" w:hAnsi="David"/>
          <w:noProof w:val="0"/>
        </w:rPr>
      </w:pPr>
    </w:p>
    <w:p w:rsidR="00DD1437"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 xml:space="preserve">בית המשפט קמא נימק החלטתו בכך שמדובר בחיסיון יחסי שכפוף לשיקול דעתו של בית המשפט, תוך שהביא מדבריו של כב' השופט יצחק עמית בספרו </w:t>
      </w:r>
      <w:r w:rsidRPr="001E63BA">
        <w:rPr>
          <w:rFonts w:ascii="David" w:hAnsi="David"/>
          <w:b/>
          <w:bCs/>
          <w:noProof w:val="0"/>
          <w:rtl/>
        </w:rPr>
        <w:t>חסינות ואינטרסים מוגנים – הליכי גילוי ועיון במשפט האזרחי והפלילי</w:t>
      </w:r>
      <w:r w:rsidRPr="001E63BA">
        <w:rPr>
          <w:rFonts w:ascii="David" w:hAnsi="David"/>
          <w:noProof w:val="0"/>
          <w:rtl/>
        </w:rPr>
        <w:t xml:space="preserve"> 1016 ו-1026 (2021).</w:t>
      </w:r>
    </w:p>
    <w:p w:rsidR="00AE739E" w:rsidRPr="001E63BA" w:rsidRDefault="00AE739E" w:rsidP="00AE739E">
      <w:pPr>
        <w:spacing w:line="360" w:lineRule="auto"/>
        <w:ind w:left="360"/>
        <w:contextualSpacing/>
        <w:jc w:val="both"/>
        <w:rPr>
          <w:rFonts w:ascii="David" w:hAnsi="David"/>
          <w:noProof w:val="0"/>
        </w:rPr>
      </w:pPr>
    </w:p>
    <w:p w:rsidR="00AE739E" w:rsidRPr="00AE739E" w:rsidRDefault="00DD1437" w:rsidP="00AE739E">
      <w:pPr>
        <w:numPr>
          <w:ilvl w:val="0"/>
          <w:numId w:val="1"/>
        </w:numPr>
        <w:spacing w:line="360" w:lineRule="auto"/>
        <w:contextualSpacing/>
        <w:jc w:val="both"/>
        <w:rPr>
          <w:rFonts w:ascii="David" w:hAnsi="David"/>
          <w:noProof w:val="0"/>
        </w:rPr>
      </w:pPr>
      <w:r w:rsidRPr="001E63BA">
        <w:rPr>
          <w:rFonts w:ascii="David" w:hAnsi="David"/>
          <w:noProof w:val="0"/>
          <w:rtl/>
        </w:rPr>
        <w:t xml:space="preserve">אולם, גם כאשר מדובר בחיסיון יציר הפסיקה שנגזר מחובת הסודיות, </w:t>
      </w:r>
      <w:r w:rsidRPr="001E63BA">
        <w:rPr>
          <w:rFonts w:ascii="David" w:hAnsi="David"/>
          <w:noProof w:val="0"/>
          <w:u w:val="single"/>
          <w:rtl/>
        </w:rPr>
        <w:t>יש לפרש את החיסיון בהתאם לחובת הסודיות</w:t>
      </w:r>
      <w:r w:rsidRPr="001E63BA">
        <w:rPr>
          <w:rFonts w:ascii="David" w:hAnsi="David"/>
          <w:noProof w:val="0"/>
          <w:rtl/>
        </w:rPr>
        <w:t xml:space="preserve">. זאת, כפי שקבע כב' המשנה לנשיא (כתוארו אז) א' ברק בגדרי רע"א 6546/94 </w:t>
      </w:r>
      <w:r w:rsidRPr="001E63BA">
        <w:rPr>
          <w:rFonts w:ascii="David" w:hAnsi="David"/>
          <w:b/>
          <w:bCs/>
          <w:noProof w:val="0"/>
          <w:rtl/>
        </w:rPr>
        <w:t>בנק איגוד לישראל בע"מ נ' אזולאי</w:t>
      </w:r>
      <w:r w:rsidRPr="001E63BA">
        <w:rPr>
          <w:rFonts w:ascii="David" w:hAnsi="David"/>
          <w:noProof w:val="0"/>
          <w:rtl/>
        </w:rPr>
        <w:t>, פ"ד מט(4) 54, 66 (1995) (להלן:</w:t>
      </w:r>
      <w:r w:rsidRPr="001E63BA">
        <w:rPr>
          <w:rFonts w:ascii="David" w:hAnsi="David"/>
          <w:noProof w:val="0"/>
        </w:rPr>
        <w:t xml:space="preserve"> </w:t>
      </w:r>
      <w:r w:rsidRPr="001E63BA">
        <w:rPr>
          <w:rFonts w:ascii="David" w:hAnsi="David"/>
          <w:noProof w:val="0"/>
          <w:rtl/>
        </w:rPr>
        <w:t xml:space="preserve">"עניין </w:t>
      </w:r>
      <w:r w:rsidRPr="001E63BA">
        <w:rPr>
          <w:rFonts w:ascii="David" w:hAnsi="David"/>
          <w:b/>
          <w:bCs/>
          <w:noProof w:val="0"/>
          <w:rtl/>
        </w:rPr>
        <w:t>אזולאי</w:t>
      </w:r>
      <w:r w:rsidRPr="001E63BA">
        <w:rPr>
          <w:rFonts w:ascii="David" w:hAnsi="David"/>
          <w:noProof w:val="0"/>
          <w:rtl/>
        </w:rPr>
        <w:t>") ביחס להוראת הסודיות הקבועה בסעיף 15א לפקודת הבנקאות, 1941 (להלן: "</w:t>
      </w:r>
      <w:r w:rsidRPr="001E63BA">
        <w:rPr>
          <w:rFonts w:ascii="David" w:hAnsi="David"/>
          <w:b/>
          <w:bCs/>
          <w:noProof w:val="0"/>
          <w:rtl/>
        </w:rPr>
        <w:t>פקודת הבנקאות</w:t>
      </w:r>
      <w:r w:rsidRPr="001E63BA">
        <w:rPr>
          <w:rFonts w:ascii="David" w:hAnsi="David"/>
          <w:noProof w:val="0"/>
          <w:rtl/>
        </w:rPr>
        <w:t>"):</w:t>
      </w:r>
    </w:p>
    <w:p w:rsidR="00AE739E" w:rsidRDefault="00DD1437" w:rsidP="00AE739E">
      <w:pPr>
        <w:spacing w:line="360" w:lineRule="auto"/>
        <w:ind w:left="720"/>
        <w:contextualSpacing/>
        <w:jc w:val="both"/>
        <w:rPr>
          <w:rFonts w:ascii="David" w:hAnsi="David"/>
          <w:noProof w:val="0"/>
          <w:rtl/>
        </w:rPr>
      </w:pPr>
      <w:r w:rsidRPr="001E63BA">
        <w:rPr>
          <w:rFonts w:ascii="David" w:hAnsi="David"/>
          <w:noProof w:val="0"/>
          <w:rtl/>
        </w:rPr>
        <w:t>"</w:t>
      </w:r>
      <w:r w:rsidRPr="001E63BA">
        <w:rPr>
          <w:rFonts w:ascii="David" w:hAnsi="David"/>
          <w:b/>
          <w:bCs/>
          <w:noProof w:val="0"/>
          <w:rtl/>
        </w:rPr>
        <w:t xml:space="preserve">אמת הדבר, סודיותה של ידיעה אינה גוררת ממילא חיסיון כנגד גילויה. סודיות לחוד וחיסיון לחוד... </w:t>
      </w:r>
      <w:r w:rsidRPr="001E63BA">
        <w:rPr>
          <w:rFonts w:ascii="David" w:hAnsi="David"/>
          <w:b/>
          <w:bCs/>
          <w:noProof w:val="0"/>
          <w:u w:val="single"/>
          <w:rtl/>
        </w:rPr>
        <w:t xml:space="preserve">עם זאת, הוראת חוק הקובעת סודיות מידע עשויה להתפרש כמשתרעת גם על סודיות המידע בהליך שיפוטי, ובכך להביא לידי יצירתו של חיסיון. כך, למשל, נקבעה בסעיף 142 לחוק מס ערך מוסף, תשל"ו-1975, הוראה ולפיה 'לא יגלה אדם ידיעה שהגיעה אליו אגב ביצוע חוק זה...'. הוראה זו </w:t>
      </w:r>
      <w:proofErr w:type="spellStart"/>
      <w:r w:rsidRPr="001E63BA">
        <w:rPr>
          <w:rFonts w:ascii="David" w:hAnsi="David"/>
          <w:b/>
          <w:bCs/>
          <w:noProof w:val="0"/>
          <w:u w:val="single"/>
          <w:rtl/>
        </w:rPr>
        <w:t>נתפרשה</w:t>
      </w:r>
      <w:proofErr w:type="spellEnd"/>
      <w:r w:rsidRPr="001E63BA">
        <w:rPr>
          <w:rFonts w:ascii="David" w:hAnsi="David"/>
          <w:b/>
          <w:bCs/>
          <w:noProof w:val="0"/>
          <w:u w:val="single"/>
          <w:rtl/>
        </w:rPr>
        <w:t xml:space="preserve"> כמעניקה חיסיון מפני גילוי </w:t>
      </w:r>
      <w:r w:rsidRPr="001E63BA">
        <w:rPr>
          <w:rFonts w:ascii="David" w:hAnsi="David"/>
          <w:b/>
          <w:bCs/>
          <w:noProof w:val="0"/>
          <w:u w:val="single"/>
          <w:rtl/>
        </w:rPr>
        <w:lastRenderedPageBreak/>
        <w:t>המידע</w:t>
      </w:r>
      <w:r w:rsidRPr="001E63BA">
        <w:rPr>
          <w:rFonts w:ascii="David" w:hAnsi="David"/>
          <w:b/>
          <w:bCs/>
          <w:noProof w:val="0"/>
          <w:rtl/>
        </w:rPr>
        <w:t xml:space="preserve"> (ראה בג"צ 174/83 שכנר ואח' נ' שר האוצר, בעמ' 922; רע"א 68/88 זילברמן ואח' נ' בנק אמריקאי ישראלי). אכן, הכול תלוי בלשון החיקוק ובתכליתו. נראה לי, כי </w:t>
      </w:r>
      <w:r w:rsidRPr="001E63BA">
        <w:rPr>
          <w:rFonts w:ascii="David" w:hAnsi="David"/>
          <w:b/>
          <w:bCs/>
          <w:noProof w:val="0"/>
          <w:u w:val="single"/>
          <w:rtl/>
        </w:rPr>
        <w:t>פירוש לשונו של סעיף 15א לפקודת הבנקאות על רקע תכליתו מוביל למסקנה כי דין הסודיות הקבוע לידיעה באותה הוראה גוזר מקרבו חיסיון מפני גילוי הידיעה בהליך שיפוטי</w:t>
      </w:r>
      <w:r w:rsidRPr="001E63BA">
        <w:rPr>
          <w:rFonts w:ascii="David" w:hAnsi="David"/>
          <w:b/>
          <w:bCs/>
          <w:noProof w:val="0"/>
          <w:rtl/>
        </w:rPr>
        <w:t xml:space="preserve">. דבר זה מתבקש מלשונו של סעיף 15א(א) לפקודת הבנקאות שלפיה "מותר לגלות ידיעה אם הנגיד יראה צורך בכך לצרכי תביעה פלילית...". הנחת היסוד כאן הינה כי הראיה היא חסויה במשפט, ורק הסכמת הנגיד – בגדרי הליך משפטי פלילי – מאפשרת גילויה. אך מעבר לכך: התכלית המונחת ביסוד סעיף 15א לפקודת הבנקאות מובילה אף היא למסקנה זו. תכלית זו הינה כפולה: התכלית הראשונה והעיקרית מבקשת להבטיח קיומו של פיקוח יעיל על מערכת הבנקאות – אשר מצדו נועד להבטיח יציבות הבנקים, אמינותם וטובת הציבור – באמצעות הבטחת סודיות ידיעות המושגת תוך כדי אותו פיקוח... פיקוח זה לא ישיג את יעדו אם לא יוקפד על סודיות המידע הזורם במסגרתו. התכלית השנייה המונחת ביסוד הוראת הסודיות היא לעודד שיתוף פעולה בכל הרמות בין הבנק לבין גורמי הפיקוח עליו... </w:t>
      </w:r>
      <w:r w:rsidRPr="001E63BA">
        <w:rPr>
          <w:rFonts w:ascii="David" w:hAnsi="David"/>
          <w:b/>
          <w:bCs/>
          <w:noProof w:val="0"/>
          <w:u w:val="single"/>
          <w:rtl/>
        </w:rPr>
        <w:t>על הבנק הוטלה חובה סטטוטורית למסור מידע ולשתף פעולה עם הפיקוח על הבנקים מחד גיסא, והובטחה לו סודיות אותו מידע שיימסר על-ידיו מאידך גיסא. השימוש במידע הוגבל למטרת החיקוק הספציפי שבגינו הוא נתבקש. אינטרס הציבור הוא כי במסירת המידע על-ידי הבנק לפיקוח יהא הבנק חופשי מהחשש כי המידע עלול לשמש כנגדו בסכסוך אזרחי בין שני פרטים. לשם כך יש להבטיח חיסיון מפני גילוי</w:t>
      </w:r>
      <w:r w:rsidRPr="001E63BA">
        <w:rPr>
          <w:rFonts w:ascii="David" w:hAnsi="David"/>
          <w:noProof w:val="0"/>
          <w:rtl/>
        </w:rPr>
        <w:t xml:space="preserve">" [כל ההדגשות בפסק הדין הן שלי – </w:t>
      </w:r>
      <w:proofErr w:type="spellStart"/>
      <w:r w:rsidRPr="001E63BA">
        <w:rPr>
          <w:rFonts w:ascii="David" w:hAnsi="David"/>
          <w:noProof w:val="0"/>
          <w:rtl/>
        </w:rPr>
        <w:t>י"ס</w:t>
      </w:r>
      <w:proofErr w:type="spellEnd"/>
      <w:r w:rsidRPr="001E63BA">
        <w:rPr>
          <w:rFonts w:ascii="David" w:hAnsi="David"/>
          <w:noProof w:val="0"/>
          <w:rtl/>
        </w:rPr>
        <w:t>].</w:t>
      </w:r>
    </w:p>
    <w:p w:rsidR="00AE739E" w:rsidRPr="001E63BA" w:rsidRDefault="00AE739E" w:rsidP="00AE739E">
      <w:pPr>
        <w:spacing w:line="360" w:lineRule="auto"/>
        <w:ind w:left="720"/>
        <w:contextualSpacing/>
        <w:jc w:val="both"/>
        <w:rPr>
          <w:rFonts w:ascii="David" w:hAnsi="David"/>
          <w:noProof w:val="0"/>
        </w:rPr>
      </w:pPr>
    </w:p>
    <w:p w:rsidR="00DD1437" w:rsidRDefault="00DD1437" w:rsidP="001E63BA">
      <w:pPr>
        <w:spacing w:line="360" w:lineRule="auto"/>
        <w:ind w:left="360"/>
        <w:contextualSpacing/>
        <w:jc w:val="both"/>
        <w:rPr>
          <w:rFonts w:ascii="David" w:hAnsi="David"/>
          <w:noProof w:val="0"/>
          <w:rtl/>
        </w:rPr>
      </w:pPr>
      <w:r w:rsidRPr="001E63BA">
        <w:rPr>
          <w:rFonts w:ascii="David" w:hAnsi="David"/>
          <w:noProof w:val="0"/>
          <w:rtl/>
        </w:rPr>
        <w:t>למען לא ייצא הנייר חסר, סעיף 15א לפקודת הבנקאות קובע כי "</w:t>
      </w:r>
      <w:r w:rsidRPr="001E63BA">
        <w:rPr>
          <w:rFonts w:ascii="David" w:hAnsi="David"/>
          <w:b/>
          <w:bCs/>
          <w:noProof w:val="0"/>
          <w:rtl/>
        </w:rPr>
        <w:t>לא יגלה אדם ידיעה שנמסרה לו ולא יראה מסמך שהוגש לו לפי פקודה זו או לפי חוק הבנקאות (רישוי), אולם מותר לגלות ידיעה אם הנגיד יראה צורך בכך לצרכי תביעה פלילית, או אם הידיעה או המסמך נתקבלו מתאגיד בנקאי – בהסכמתו</w:t>
      </w:r>
      <w:r w:rsidRPr="001E63BA">
        <w:rPr>
          <w:rFonts w:ascii="David" w:hAnsi="David"/>
          <w:noProof w:val="0"/>
          <w:rtl/>
        </w:rPr>
        <w:t>".</w:t>
      </w:r>
    </w:p>
    <w:p w:rsidR="00AE739E" w:rsidRPr="001E63BA" w:rsidRDefault="00AE739E" w:rsidP="001E63BA">
      <w:pPr>
        <w:spacing w:line="360" w:lineRule="auto"/>
        <w:ind w:left="360"/>
        <w:contextualSpacing/>
        <w:jc w:val="both"/>
        <w:rPr>
          <w:rFonts w:ascii="David" w:hAnsi="David"/>
          <w:noProof w:val="0"/>
        </w:rPr>
      </w:pPr>
    </w:p>
    <w:p w:rsidR="00DD1437" w:rsidRPr="001E63BA" w:rsidRDefault="00DD1437" w:rsidP="001E63BA">
      <w:pPr>
        <w:spacing w:line="360" w:lineRule="auto"/>
        <w:ind w:left="360"/>
        <w:contextualSpacing/>
        <w:jc w:val="both"/>
        <w:rPr>
          <w:rFonts w:ascii="David" w:hAnsi="David"/>
          <w:noProof w:val="0"/>
        </w:rPr>
      </w:pPr>
      <w:r w:rsidRPr="001E63BA">
        <w:rPr>
          <w:rFonts w:ascii="David" w:hAnsi="David"/>
          <w:noProof w:val="0"/>
          <w:rtl/>
        </w:rPr>
        <w:t xml:space="preserve">כמו כן, התכליות העומדות בבסיס הוראות הסודיות בחוק מע"מ ובפקודה דומות לתכליות העומדות בבסיס הוראת הסודיות בפקודת הבנקאות – עידוד שיתוף הפעולה בין הגורם מוסר המידע (הבנק או הנישום) לגורם מקבל המידע (הפיקוח על הבנקים או רשות המסים). על התכלית שבבסיס הוראות הסודיות הפיסקאליות עמד בית המשפט העליון בבג"ץ 174/83 </w:t>
      </w:r>
      <w:r w:rsidRPr="001E63BA">
        <w:rPr>
          <w:rFonts w:ascii="David" w:hAnsi="David"/>
          <w:b/>
          <w:bCs/>
          <w:noProof w:val="0"/>
          <w:rtl/>
        </w:rPr>
        <w:t>שכנר נ' שר האוצר</w:t>
      </w:r>
      <w:r w:rsidRPr="001E63BA">
        <w:rPr>
          <w:rFonts w:ascii="David" w:hAnsi="David"/>
          <w:noProof w:val="0"/>
          <w:rtl/>
        </w:rPr>
        <w:t xml:space="preserve">, פ"ד </w:t>
      </w:r>
      <w:proofErr w:type="spellStart"/>
      <w:r w:rsidRPr="001E63BA">
        <w:rPr>
          <w:rFonts w:ascii="David" w:hAnsi="David"/>
          <w:noProof w:val="0"/>
          <w:rtl/>
        </w:rPr>
        <w:t>לז</w:t>
      </w:r>
      <w:proofErr w:type="spellEnd"/>
      <w:r w:rsidRPr="001E63BA">
        <w:rPr>
          <w:rFonts w:ascii="David" w:hAnsi="David"/>
          <w:noProof w:val="0"/>
          <w:rtl/>
        </w:rPr>
        <w:t xml:space="preserve">(3) 225, 227 (1983) (להלן: "עניין </w:t>
      </w:r>
      <w:r w:rsidRPr="001E63BA">
        <w:rPr>
          <w:rFonts w:ascii="David" w:hAnsi="David"/>
          <w:b/>
          <w:bCs/>
          <w:noProof w:val="0"/>
          <w:rtl/>
        </w:rPr>
        <w:t>שכנר</w:t>
      </w:r>
      <w:r w:rsidRPr="001E63BA">
        <w:rPr>
          <w:rFonts w:ascii="David" w:hAnsi="David"/>
          <w:noProof w:val="0"/>
          <w:rtl/>
        </w:rPr>
        <w:t>"):</w:t>
      </w:r>
    </w:p>
    <w:p w:rsidR="00DD1437" w:rsidRPr="001E63BA" w:rsidRDefault="00DD1437" w:rsidP="001E63BA">
      <w:pPr>
        <w:spacing w:line="360" w:lineRule="auto"/>
        <w:ind w:left="720"/>
        <w:contextualSpacing/>
        <w:jc w:val="both"/>
        <w:rPr>
          <w:rFonts w:ascii="David" w:hAnsi="David"/>
          <w:noProof w:val="0"/>
          <w:rtl/>
        </w:rPr>
      </w:pPr>
      <w:r w:rsidRPr="001E63BA">
        <w:rPr>
          <w:rFonts w:ascii="David" w:hAnsi="David"/>
          <w:noProof w:val="0"/>
          <w:rtl/>
        </w:rPr>
        <w:t>"</w:t>
      </w:r>
      <w:r w:rsidRPr="001E63BA">
        <w:rPr>
          <w:rFonts w:ascii="David" w:hAnsi="David"/>
          <w:b/>
          <w:bCs/>
          <w:noProof w:val="0"/>
          <w:rtl/>
        </w:rPr>
        <w:t xml:space="preserve">טעמו של </w:t>
      </w:r>
      <w:proofErr w:type="spellStart"/>
      <w:r w:rsidRPr="001E63BA">
        <w:rPr>
          <w:rFonts w:ascii="David" w:hAnsi="David"/>
          <w:b/>
          <w:bCs/>
          <w:noProof w:val="0"/>
          <w:rtl/>
        </w:rPr>
        <w:t>החסיון</w:t>
      </w:r>
      <w:proofErr w:type="spellEnd"/>
      <w:r w:rsidRPr="001E63BA">
        <w:rPr>
          <w:rFonts w:ascii="David" w:hAnsi="David"/>
          <w:b/>
          <w:bCs/>
          <w:noProof w:val="0"/>
          <w:rtl/>
        </w:rPr>
        <w:t xml:space="preserve"> שנקבע בחוק מע"מ (ובחוקי מס אחרים) הוא לאפשר לשלטונות המס לקבל מידע מלא ואמין ככל הניתן, הן מאת הנישום והן אודות הנישום, כדי שיוכלו לעשות </w:t>
      </w:r>
      <w:r w:rsidRPr="001E63BA">
        <w:rPr>
          <w:rFonts w:ascii="David" w:hAnsi="David"/>
          <w:b/>
          <w:bCs/>
          <w:noProof w:val="0"/>
          <w:rtl/>
        </w:rPr>
        <w:lastRenderedPageBreak/>
        <w:t>עבודתם נאמנה, לטובת המדינה והציבור. כך מובטח אדם, הפותח בפני שלטונות המס את ספריו ועסקיו, מפני החשש שמידע עלול לדלוף למתחריו וכדומה</w:t>
      </w:r>
      <w:r w:rsidRPr="001E63BA">
        <w:rPr>
          <w:rFonts w:ascii="David" w:hAnsi="David"/>
          <w:noProof w:val="0"/>
          <w:rtl/>
        </w:rPr>
        <w:t>".</w:t>
      </w:r>
    </w:p>
    <w:p w:rsidR="00DD1437" w:rsidRPr="001E63BA" w:rsidRDefault="00DD1437" w:rsidP="001E63BA">
      <w:pPr>
        <w:spacing w:line="360" w:lineRule="auto"/>
        <w:ind w:left="360"/>
        <w:contextualSpacing/>
        <w:jc w:val="both"/>
        <w:rPr>
          <w:rFonts w:ascii="David" w:hAnsi="David"/>
          <w:noProof w:val="0"/>
          <w:rtl/>
        </w:rPr>
      </w:pPr>
      <w:r w:rsidRPr="001E63BA">
        <w:rPr>
          <w:rFonts w:ascii="David" w:hAnsi="David"/>
          <w:noProof w:val="0"/>
          <w:rtl/>
        </w:rPr>
        <w:t>ובהמשך, בעמ' 229:</w:t>
      </w:r>
    </w:p>
    <w:p w:rsidR="00DD1437" w:rsidRDefault="00DD1437" w:rsidP="001E63BA">
      <w:pPr>
        <w:spacing w:line="360" w:lineRule="auto"/>
        <w:ind w:left="720"/>
        <w:contextualSpacing/>
        <w:jc w:val="both"/>
        <w:rPr>
          <w:rFonts w:ascii="David" w:hAnsi="David"/>
          <w:noProof w:val="0"/>
          <w:rtl/>
        </w:rPr>
      </w:pPr>
      <w:r w:rsidRPr="001E63BA">
        <w:rPr>
          <w:rFonts w:ascii="David" w:hAnsi="David"/>
          <w:noProof w:val="0"/>
          <w:rtl/>
        </w:rPr>
        <w:t>"</w:t>
      </w:r>
      <w:r w:rsidRPr="001E63BA">
        <w:rPr>
          <w:rFonts w:ascii="David" w:hAnsi="David"/>
          <w:b/>
          <w:bCs/>
          <w:noProof w:val="0"/>
          <w:rtl/>
        </w:rPr>
        <w:t>החיסיון שבסעיף 142(א) לחוק מס ערך מוסף הינו לטובת הנישום והמדינה כאחד. לטובת הנישום – כדי למנוע הימנו חשש כלשהו, שמסירת פרטי הדברים בדבר עסקיו והכנסתו לשלטונות המס יגיעו לידיעתו של אחר; לטובת המדינה – למען אפשר לשלטונות המס להגיע לחקר האמת על ידי קבלת מידע מגורמים אחרים, אשר ייאותו לכך אם זהותם תישאר חסויה</w:t>
      </w:r>
      <w:r w:rsidRPr="001E63BA">
        <w:rPr>
          <w:rFonts w:ascii="David" w:hAnsi="David"/>
          <w:noProof w:val="0"/>
          <w:rtl/>
        </w:rPr>
        <w:t>".</w:t>
      </w:r>
    </w:p>
    <w:p w:rsidR="00AE739E" w:rsidRPr="001E63BA" w:rsidRDefault="00AE739E" w:rsidP="001E63BA">
      <w:pPr>
        <w:spacing w:line="360" w:lineRule="auto"/>
        <w:ind w:left="720"/>
        <w:contextualSpacing/>
        <w:jc w:val="both"/>
        <w:rPr>
          <w:rFonts w:ascii="David" w:hAnsi="David"/>
          <w:noProof w:val="0"/>
          <w:rtl/>
        </w:rPr>
      </w:pPr>
    </w:p>
    <w:p w:rsidR="00DD1437"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 xml:space="preserve">ניתן להיווכח כי הן לשון סעיף 15א לפקודת הבנקאות והן התכליות שעומדות בבסיס הוראת הסודיות הקבועה באותו סעיף, דומות לענייננו (ולא בכדי הפנה בית המשפט העליון בעניין </w:t>
      </w:r>
      <w:r w:rsidRPr="001E63BA">
        <w:rPr>
          <w:rFonts w:ascii="David" w:hAnsi="David"/>
          <w:b/>
          <w:bCs/>
          <w:noProof w:val="0"/>
          <w:rtl/>
        </w:rPr>
        <w:t>אזולאי</w:t>
      </w:r>
      <w:r w:rsidRPr="001E63BA">
        <w:rPr>
          <w:rFonts w:ascii="David" w:hAnsi="David"/>
          <w:noProof w:val="0"/>
          <w:rtl/>
        </w:rPr>
        <w:t xml:space="preserve"> להוראת סעיף 142 לחוק מע"מ). בדומה, אני סבורה כי הן מבחינת לשון הוראות הסודיות בחוק מע"מ ובפקודה (שמתייחסת במפורש לגילוי במסגרת הליך משפטי) והן מבחינת התכליות שעומדות בבסיס אותן הוראות הסודיות – </w:t>
      </w:r>
      <w:r w:rsidRPr="001E63BA">
        <w:rPr>
          <w:rFonts w:ascii="David" w:hAnsi="David"/>
          <w:noProof w:val="0"/>
          <w:u w:val="single"/>
          <w:rtl/>
        </w:rPr>
        <w:t>הוראות הסודיות בחוק מע"מ ובפקודה גוזרות מקרבן חיסיון מפני גילוי הידיעה בהליך שיפוטי אזרחי בין שני צדדים פרטיים</w:t>
      </w:r>
      <w:r w:rsidRPr="001E63BA">
        <w:rPr>
          <w:rFonts w:ascii="David" w:hAnsi="David"/>
          <w:noProof w:val="0"/>
          <w:rtl/>
        </w:rPr>
        <w:t xml:space="preserve">. </w:t>
      </w:r>
    </w:p>
    <w:p w:rsidR="00AE739E" w:rsidRPr="001E63BA" w:rsidRDefault="00AE739E" w:rsidP="00AE739E">
      <w:pPr>
        <w:spacing w:line="360" w:lineRule="auto"/>
        <w:ind w:left="360"/>
        <w:contextualSpacing/>
        <w:jc w:val="both"/>
        <w:rPr>
          <w:rFonts w:ascii="David" w:hAnsi="David"/>
          <w:noProof w:val="0"/>
        </w:rPr>
      </w:pPr>
    </w:p>
    <w:p w:rsidR="00DD1437" w:rsidRPr="001E63BA"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 xml:space="preserve">היתר לגלות מידע במקרה כגון דא, תביעה אזרחית "רגילה" בין שני צדדים פרטיים, תחתור תחת התכליות ותפגע באופן רוחבי בהליך גביית המס. יפים לענייננו הדברים האמורים ב-רע"א 68/88 </w:t>
      </w:r>
      <w:r w:rsidRPr="001E63BA">
        <w:rPr>
          <w:rFonts w:ascii="David" w:hAnsi="David"/>
          <w:b/>
          <w:bCs/>
          <w:noProof w:val="0"/>
          <w:rtl/>
        </w:rPr>
        <w:t>זילברמן נ' בנק אמריקאי ישראלי</w:t>
      </w:r>
      <w:r w:rsidRPr="001E63BA">
        <w:rPr>
          <w:rFonts w:ascii="David" w:hAnsi="David"/>
          <w:noProof w:val="0"/>
          <w:rtl/>
        </w:rPr>
        <w:t xml:space="preserve">, פ"ד </w:t>
      </w:r>
      <w:proofErr w:type="spellStart"/>
      <w:r w:rsidRPr="001E63BA">
        <w:rPr>
          <w:rFonts w:ascii="David" w:hAnsi="David"/>
          <w:noProof w:val="0"/>
          <w:rtl/>
        </w:rPr>
        <w:t>מב</w:t>
      </w:r>
      <w:proofErr w:type="spellEnd"/>
      <w:r w:rsidRPr="001E63BA">
        <w:rPr>
          <w:rFonts w:ascii="David" w:hAnsi="David"/>
          <w:noProof w:val="0"/>
          <w:rtl/>
        </w:rPr>
        <w:t xml:space="preserve">(2) 383, 390 (1988) (להלן: "עניין </w:t>
      </w:r>
      <w:r w:rsidRPr="001E63BA">
        <w:rPr>
          <w:rFonts w:ascii="David" w:hAnsi="David"/>
          <w:b/>
          <w:bCs/>
          <w:noProof w:val="0"/>
          <w:rtl/>
        </w:rPr>
        <w:t>זילברמן</w:t>
      </w:r>
      <w:r w:rsidRPr="001E63BA">
        <w:rPr>
          <w:rFonts w:ascii="David" w:hAnsi="David"/>
          <w:noProof w:val="0"/>
          <w:rtl/>
        </w:rPr>
        <w:t>"):</w:t>
      </w:r>
    </w:p>
    <w:p w:rsidR="00DD1437" w:rsidRDefault="00DD1437" w:rsidP="001E63BA">
      <w:pPr>
        <w:spacing w:line="360" w:lineRule="auto"/>
        <w:ind w:left="720"/>
        <w:contextualSpacing/>
        <w:jc w:val="both"/>
        <w:rPr>
          <w:rFonts w:ascii="David" w:hAnsi="David"/>
          <w:noProof w:val="0"/>
          <w:rtl/>
        </w:rPr>
      </w:pPr>
      <w:r w:rsidRPr="001E63BA">
        <w:rPr>
          <w:rFonts w:ascii="David" w:hAnsi="David"/>
          <w:noProof w:val="0"/>
          <w:rtl/>
        </w:rPr>
        <w:t>"</w:t>
      </w:r>
      <w:r w:rsidRPr="001E63BA">
        <w:rPr>
          <w:rFonts w:ascii="David" w:hAnsi="David"/>
          <w:b/>
          <w:bCs/>
          <w:noProof w:val="0"/>
          <w:rtl/>
        </w:rPr>
        <w:t>מובן, אם כן, כי מתן פרשנות מרחיבה לסעיף 142(א) דנן, באופן שיתאפשר לגלות ראיות – שמטבען, כאמור, סודיות המה – לצורך שימוש בסכסוך אזרחי בין שני צדדים פרטיים, נוגד את תכליתו האמורה של סעיף 142(א), שכן אם יידע נישום, כי מידע שמסר לשלטונות המס עשוי להיחשף ולשמש גורמים אחרים (ולמעט, כמובן, רשויות המדינה), העלולים להגיש תובענה כנגדו, עלול הוא להימנע מלמסור אותו המידע לשלטונות המס</w:t>
      </w:r>
      <w:r w:rsidRPr="001E63BA">
        <w:rPr>
          <w:rFonts w:ascii="David" w:hAnsi="David"/>
          <w:noProof w:val="0"/>
          <w:rtl/>
        </w:rPr>
        <w:t>".</w:t>
      </w:r>
    </w:p>
    <w:p w:rsidR="00AE739E" w:rsidRPr="001E63BA" w:rsidRDefault="00AE739E" w:rsidP="00AE739E">
      <w:pPr>
        <w:spacing w:line="360" w:lineRule="auto"/>
        <w:contextualSpacing/>
        <w:jc w:val="both"/>
        <w:rPr>
          <w:rFonts w:ascii="David" w:hAnsi="David"/>
          <w:noProof w:val="0"/>
        </w:rPr>
      </w:pPr>
    </w:p>
    <w:p w:rsidR="00DD1437"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 xml:space="preserve">ואכן, בתי המשפט השונים קבעו באופן חוזר ונשנה כי עקב חובת הסודיות שחלה ביחס למידע שהתקבל במסגרת חוקי המס השונים, חל חיסיון על המידע וניתן לגלותו אך לפי התנאים המפורטים בחוק, וראו למשל: בג"ץ 207/70 </w:t>
      </w:r>
      <w:r w:rsidRPr="001E63BA">
        <w:rPr>
          <w:rFonts w:ascii="David" w:hAnsi="David"/>
          <w:b/>
          <w:bCs/>
          <w:noProof w:val="0"/>
          <w:rtl/>
        </w:rPr>
        <w:t>יהלומי נ' שר האוצר</w:t>
      </w:r>
      <w:r w:rsidRPr="001E63BA">
        <w:rPr>
          <w:rFonts w:ascii="David" w:hAnsi="David"/>
          <w:noProof w:val="0"/>
          <w:rtl/>
        </w:rPr>
        <w:t xml:space="preserve">, פ"ד כה(1) 126 (1971); עניין </w:t>
      </w:r>
      <w:r w:rsidRPr="001E63BA">
        <w:rPr>
          <w:rFonts w:ascii="David" w:hAnsi="David"/>
          <w:b/>
          <w:bCs/>
          <w:noProof w:val="0"/>
          <w:rtl/>
        </w:rPr>
        <w:t>שכנר</w:t>
      </w:r>
      <w:r w:rsidRPr="001E63BA">
        <w:rPr>
          <w:rFonts w:ascii="David" w:hAnsi="David"/>
          <w:noProof w:val="0"/>
          <w:rtl/>
        </w:rPr>
        <w:t xml:space="preserve">; עניין </w:t>
      </w:r>
      <w:r w:rsidRPr="001E63BA">
        <w:rPr>
          <w:rFonts w:ascii="David" w:hAnsi="David"/>
          <w:b/>
          <w:bCs/>
          <w:noProof w:val="0"/>
          <w:rtl/>
        </w:rPr>
        <w:t>זילברמן</w:t>
      </w:r>
      <w:r w:rsidRPr="001E63BA">
        <w:rPr>
          <w:rFonts w:ascii="David" w:hAnsi="David"/>
          <w:noProof w:val="0"/>
          <w:rtl/>
        </w:rPr>
        <w:t>;</w:t>
      </w:r>
      <w:r w:rsidRPr="001E63BA">
        <w:rPr>
          <w:rFonts w:ascii="David" w:hAnsi="David"/>
          <w:rtl/>
        </w:rPr>
        <w:t xml:space="preserve"> </w:t>
      </w:r>
      <w:r w:rsidRPr="001E63BA">
        <w:rPr>
          <w:rFonts w:ascii="David" w:hAnsi="David"/>
          <w:noProof w:val="0"/>
          <w:rtl/>
        </w:rPr>
        <w:t xml:space="preserve">בש"א (מחוזי חיפה) 3273/04 </w:t>
      </w:r>
      <w:r w:rsidRPr="001E63BA">
        <w:rPr>
          <w:rFonts w:ascii="David" w:hAnsi="David"/>
          <w:b/>
          <w:bCs/>
          <w:noProof w:val="0"/>
          <w:rtl/>
        </w:rPr>
        <w:t xml:space="preserve">אמין נ' אבו </w:t>
      </w:r>
      <w:proofErr w:type="spellStart"/>
      <w:r w:rsidRPr="001E63BA">
        <w:rPr>
          <w:rFonts w:ascii="David" w:hAnsi="David"/>
          <w:b/>
          <w:bCs/>
          <w:noProof w:val="0"/>
          <w:rtl/>
        </w:rPr>
        <w:t>נוארה</w:t>
      </w:r>
      <w:proofErr w:type="spellEnd"/>
      <w:r w:rsidRPr="001E63BA">
        <w:rPr>
          <w:rFonts w:ascii="David" w:hAnsi="David"/>
          <w:noProof w:val="0"/>
          <w:rtl/>
        </w:rPr>
        <w:t xml:space="preserve"> (20.2.2004); ת"א (מחוזי חי') 7670-06-09 </w:t>
      </w:r>
      <w:r w:rsidRPr="001E63BA">
        <w:rPr>
          <w:rFonts w:ascii="David" w:hAnsi="David"/>
          <w:b/>
          <w:bCs/>
          <w:noProof w:val="0"/>
          <w:rtl/>
        </w:rPr>
        <w:t xml:space="preserve">דר נ' </w:t>
      </w:r>
      <w:proofErr w:type="spellStart"/>
      <w:r w:rsidRPr="001E63BA">
        <w:rPr>
          <w:rFonts w:ascii="David" w:hAnsi="David"/>
          <w:b/>
          <w:bCs/>
          <w:noProof w:val="0"/>
          <w:rtl/>
        </w:rPr>
        <w:t>ותד</w:t>
      </w:r>
      <w:proofErr w:type="spellEnd"/>
      <w:r w:rsidRPr="001E63BA">
        <w:rPr>
          <w:rFonts w:ascii="David" w:hAnsi="David"/>
          <w:noProof w:val="0"/>
          <w:rtl/>
        </w:rPr>
        <w:t xml:space="preserve"> (31.3.2010); </w:t>
      </w:r>
      <w:proofErr w:type="spellStart"/>
      <w:r w:rsidRPr="001E63BA">
        <w:rPr>
          <w:rFonts w:ascii="David" w:hAnsi="David"/>
          <w:noProof w:val="0"/>
          <w:rtl/>
        </w:rPr>
        <w:t>ה"פ</w:t>
      </w:r>
      <w:proofErr w:type="spellEnd"/>
      <w:r w:rsidRPr="001E63BA">
        <w:rPr>
          <w:rFonts w:ascii="David" w:hAnsi="David"/>
          <w:noProof w:val="0"/>
          <w:rtl/>
        </w:rPr>
        <w:t xml:space="preserve"> (מחוזי ת"א) 44691-10-15 </w:t>
      </w:r>
      <w:r w:rsidRPr="001E63BA">
        <w:rPr>
          <w:rFonts w:ascii="David" w:hAnsi="David"/>
          <w:b/>
          <w:bCs/>
          <w:noProof w:val="0"/>
          <w:rtl/>
        </w:rPr>
        <w:t>עירית חולון נ' רשות מיסוי מקרקעין</w:t>
      </w:r>
      <w:r w:rsidRPr="001E63BA">
        <w:rPr>
          <w:rFonts w:ascii="David" w:hAnsi="David"/>
          <w:noProof w:val="0"/>
          <w:rtl/>
        </w:rPr>
        <w:t xml:space="preserve"> (10.8.2017); </w:t>
      </w:r>
      <w:proofErr w:type="spellStart"/>
      <w:r w:rsidRPr="001E63BA">
        <w:rPr>
          <w:rFonts w:ascii="David" w:hAnsi="David"/>
          <w:noProof w:val="0"/>
          <w:rtl/>
        </w:rPr>
        <w:t>רמ"ש</w:t>
      </w:r>
      <w:proofErr w:type="spellEnd"/>
      <w:r w:rsidRPr="001E63BA">
        <w:rPr>
          <w:rFonts w:ascii="David" w:hAnsi="David"/>
          <w:noProof w:val="0"/>
          <w:rtl/>
        </w:rPr>
        <w:t xml:space="preserve"> (מחוזי חיפה) 68114-07-23 </w:t>
      </w:r>
      <w:r w:rsidRPr="001E63BA">
        <w:rPr>
          <w:rFonts w:ascii="David" w:hAnsi="David"/>
          <w:b/>
          <w:bCs/>
          <w:noProof w:val="0"/>
          <w:rtl/>
        </w:rPr>
        <w:t>א' ג' נ' ב' ג'</w:t>
      </w:r>
      <w:r w:rsidRPr="001E63BA">
        <w:rPr>
          <w:rFonts w:ascii="David" w:hAnsi="David"/>
          <w:noProof w:val="0"/>
          <w:rtl/>
        </w:rPr>
        <w:t>, פס' 26 (20.12.2023);</w:t>
      </w:r>
      <w:r w:rsidRPr="001E63BA">
        <w:rPr>
          <w:rFonts w:ascii="David" w:hAnsi="David"/>
          <w:rtl/>
        </w:rPr>
        <w:t xml:space="preserve"> </w:t>
      </w:r>
      <w:r w:rsidRPr="001E63BA">
        <w:rPr>
          <w:rFonts w:ascii="David" w:hAnsi="David"/>
          <w:noProof w:val="0"/>
          <w:rtl/>
        </w:rPr>
        <w:t xml:space="preserve">רע"א (מחוזי נצרת) 24613-05-24 </w:t>
      </w:r>
      <w:r w:rsidRPr="001E63BA">
        <w:rPr>
          <w:rFonts w:ascii="David" w:hAnsi="David"/>
          <w:b/>
          <w:bCs/>
          <w:noProof w:val="0"/>
          <w:rtl/>
        </w:rPr>
        <w:t xml:space="preserve">מדינת ישראל נ' </w:t>
      </w:r>
      <w:proofErr w:type="spellStart"/>
      <w:r w:rsidRPr="001E63BA">
        <w:rPr>
          <w:rFonts w:ascii="David" w:hAnsi="David"/>
          <w:b/>
          <w:bCs/>
          <w:noProof w:val="0"/>
          <w:rtl/>
        </w:rPr>
        <w:t>נאסימי</w:t>
      </w:r>
      <w:proofErr w:type="spellEnd"/>
      <w:r w:rsidRPr="001E63BA">
        <w:rPr>
          <w:rFonts w:ascii="David" w:hAnsi="David"/>
          <w:noProof w:val="0"/>
          <w:rtl/>
        </w:rPr>
        <w:t xml:space="preserve"> (23.7.2024) בו </w:t>
      </w:r>
      <w:r w:rsidRPr="001E63BA">
        <w:rPr>
          <w:rFonts w:ascii="David" w:hAnsi="David"/>
          <w:noProof w:val="0"/>
          <w:rtl/>
        </w:rPr>
        <w:lastRenderedPageBreak/>
        <w:t xml:space="preserve">התקבל ערעור על ת"א (שלום נצרת) 9911-06-22 </w:t>
      </w:r>
      <w:r w:rsidRPr="001E63BA">
        <w:rPr>
          <w:rFonts w:ascii="David" w:hAnsi="David"/>
          <w:b/>
          <w:bCs/>
          <w:noProof w:val="0"/>
          <w:rtl/>
        </w:rPr>
        <w:t xml:space="preserve">הראל חברה לביטוח בע"מ נ' </w:t>
      </w:r>
      <w:proofErr w:type="spellStart"/>
      <w:r w:rsidRPr="001E63BA">
        <w:rPr>
          <w:rFonts w:ascii="David" w:hAnsi="David"/>
          <w:b/>
          <w:bCs/>
          <w:noProof w:val="0"/>
          <w:rtl/>
        </w:rPr>
        <w:t>נאסימי</w:t>
      </w:r>
      <w:proofErr w:type="spellEnd"/>
      <w:r w:rsidRPr="001E63BA">
        <w:rPr>
          <w:rFonts w:ascii="David" w:hAnsi="David"/>
          <w:noProof w:val="0"/>
          <w:rtl/>
        </w:rPr>
        <w:t xml:space="preserve"> (29.2.2024).</w:t>
      </w:r>
    </w:p>
    <w:p w:rsidR="00AE739E" w:rsidRPr="001E63BA" w:rsidRDefault="00AE739E" w:rsidP="00AE739E">
      <w:pPr>
        <w:spacing w:line="360" w:lineRule="auto"/>
        <w:ind w:left="360"/>
        <w:contextualSpacing/>
        <w:jc w:val="both"/>
        <w:rPr>
          <w:rFonts w:ascii="David" w:hAnsi="David"/>
          <w:noProof w:val="0"/>
        </w:rPr>
      </w:pPr>
    </w:p>
    <w:p w:rsidR="00DD1437"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 xml:space="preserve">רק במקרים פרטניים ומיוחדים – דוגמת רע"א 291/99 </w:t>
      </w:r>
      <w:proofErr w:type="spellStart"/>
      <w:r w:rsidRPr="001E63BA">
        <w:rPr>
          <w:rFonts w:ascii="David" w:hAnsi="David"/>
          <w:b/>
          <w:bCs/>
          <w:noProof w:val="0"/>
          <w:rtl/>
        </w:rPr>
        <w:t>ד.נ.ד</w:t>
      </w:r>
      <w:proofErr w:type="spellEnd"/>
      <w:r w:rsidRPr="001E63BA">
        <w:rPr>
          <w:rFonts w:ascii="David" w:hAnsi="David"/>
          <w:b/>
          <w:bCs/>
          <w:noProof w:val="0"/>
          <w:rtl/>
        </w:rPr>
        <w:t>. אספקת אבן ירושלים נ' מנהל מס ערך מוסף</w:t>
      </w:r>
      <w:r w:rsidRPr="001E63BA">
        <w:rPr>
          <w:rFonts w:ascii="David" w:hAnsi="David"/>
          <w:noProof w:val="0"/>
          <w:rtl/>
        </w:rPr>
        <w:t xml:space="preserve">, פ"ד נח(4) 221 (2004) שבו המידע נמסר </w:t>
      </w:r>
      <w:r w:rsidRPr="001E63BA">
        <w:rPr>
          <w:rFonts w:ascii="David" w:hAnsi="David"/>
          <w:noProof w:val="0"/>
          <w:u w:val="single"/>
          <w:rtl/>
        </w:rPr>
        <w:t>לנישום עצמו</w:t>
      </w:r>
      <w:r w:rsidRPr="001E63BA">
        <w:rPr>
          <w:rFonts w:ascii="David" w:hAnsi="David"/>
          <w:noProof w:val="0"/>
          <w:rtl/>
        </w:rPr>
        <w:t xml:space="preserve"> על מנת לברר השגתו </w:t>
      </w:r>
      <w:r w:rsidRPr="001E63BA">
        <w:rPr>
          <w:rFonts w:ascii="David" w:hAnsi="David"/>
          <w:noProof w:val="0"/>
          <w:u w:val="single"/>
          <w:rtl/>
        </w:rPr>
        <w:t>במסגרת הליך המס</w:t>
      </w:r>
      <w:r w:rsidRPr="001E63BA">
        <w:rPr>
          <w:rFonts w:ascii="David" w:hAnsi="David"/>
          <w:noProof w:val="0"/>
          <w:rtl/>
        </w:rPr>
        <w:t xml:space="preserve">, או רע"א 9153/12 </w:t>
      </w:r>
      <w:r w:rsidRPr="001E63BA">
        <w:rPr>
          <w:rFonts w:ascii="David" w:hAnsi="David"/>
          <w:b/>
          <w:bCs/>
          <w:noProof w:val="0"/>
          <w:rtl/>
        </w:rPr>
        <w:t>מנהל מס ערך מוסף, אשדוד נ' הקורנס מפעלי עופרת בע"מ</w:t>
      </w:r>
      <w:r w:rsidRPr="001E63BA">
        <w:rPr>
          <w:rFonts w:ascii="David" w:hAnsi="David"/>
          <w:noProof w:val="0"/>
          <w:rtl/>
        </w:rPr>
        <w:t xml:space="preserve"> (25.2.2013) (להלן: "עניין </w:t>
      </w:r>
      <w:r w:rsidRPr="001E63BA">
        <w:rPr>
          <w:rFonts w:ascii="David" w:hAnsi="David"/>
          <w:b/>
          <w:bCs/>
          <w:noProof w:val="0"/>
          <w:rtl/>
        </w:rPr>
        <w:t>הקורנס</w:t>
      </w:r>
      <w:r w:rsidRPr="001E63BA">
        <w:rPr>
          <w:rFonts w:ascii="David" w:hAnsi="David"/>
          <w:noProof w:val="0"/>
          <w:rtl/>
        </w:rPr>
        <w:t xml:space="preserve">") שבו המידע התבקש </w:t>
      </w:r>
      <w:r w:rsidRPr="001E63BA">
        <w:rPr>
          <w:rFonts w:ascii="David" w:hAnsi="David"/>
          <w:noProof w:val="0"/>
          <w:u w:val="single"/>
          <w:rtl/>
        </w:rPr>
        <w:t>במסגרת הליך מס</w:t>
      </w:r>
      <w:r w:rsidRPr="001E63BA">
        <w:rPr>
          <w:rFonts w:ascii="David" w:hAnsi="David"/>
          <w:noProof w:val="0"/>
          <w:rtl/>
        </w:rPr>
        <w:t xml:space="preserve"> והיה בקשר </w:t>
      </w:r>
      <w:r w:rsidRPr="001E63BA">
        <w:rPr>
          <w:rFonts w:ascii="David" w:hAnsi="David"/>
          <w:noProof w:val="0"/>
          <w:u w:val="single"/>
          <w:rtl/>
        </w:rPr>
        <w:t>לחברות קש שהוקמו במעשי תרמית</w:t>
      </w:r>
      <w:r w:rsidRPr="001E63BA">
        <w:rPr>
          <w:rFonts w:ascii="David" w:hAnsi="David"/>
          <w:noProof w:val="0"/>
          <w:rtl/>
        </w:rPr>
        <w:t xml:space="preserve"> – מצא בית המשפט להורות על גילוי המידע. בשונה מענייננו, אותם הליכים התנהלו על פי חוקי המס, ולא התקיימו בהם התכליות המצדיקות את חיסיון המידע. לא בכדי, המשיבות לא הציגו ולו מקרה אחד שנסיבותיו דומות לענייננו, שבו בית המשפט מצא לנכון לגלות את המידע הסודי.</w:t>
      </w:r>
    </w:p>
    <w:p w:rsidR="00AE739E" w:rsidRPr="001E63BA" w:rsidRDefault="00AE739E" w:rsidP="00AE739E">
      <w:pPr>
        <w:spacing w:line="360" w:lineRule="auto"/>
        <w:ind w:left="360"/>
        <w:contextualSpacing/>
        <w:jc w:val="both"/>
        <w:rPr>
          <w:rFonts w:ascii="David" w:hAnsi="David"/>
          <w:noProof w:val="0"/>
        </w:rPr>
      </w:pPr>
    </w:p>
    <w:p w:rsidR="00DD1437"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יתרה מזו, אף אם יש מקום לפרש את החיסיון היחסי כחיסיון שניתן להסירו גם בהליך שיפוטי אזרחי בין שני צדדים פרטיים, עדיין הדעת נותנת כי לאור לשון חוק מע"מ והפקודה והתכליות שעומדות בבסיס הוראות הסודיות, החיסיון יוסר אך במקרים חריגים ויוצאי דופן במיוחד (וראו האמור בספרו של עמית בעמ' 1028 – 1030: "</w:t>
      </w:r>
      <w:r w:rsidRPr="001E63BA">
        <w:rPr>
          <w:rFonts w:ascii="David" w:hAnsi="David"/>
          <w:b/>
          <w:bCs/>
          <w:noProof w:val="0"/>
          <w:rtl/>
        </w:rPr>
        <w:t xml:space="preserve">נסקור להלן כמה מקרים שבהם נדונה בפסיקה טענת חיסיון כאשר בעל דין ביקש מרשויות המס לגלות מידע שברשותן הנוגע לבעל הדין שכנגד או לצדדים שלישיים... </w:t>
      </w:r>
      <w:r w:rsidRPr="001E63BA">
        <w:rPr>
          <w:rFonts w:ascii="David" w:hAnsi="David"/>
          <w:b/>
          <w:bCs/>
          <w:noProof w:val="0"/>
          <w:u w:val="single"/>
          <w:rtl/>
        </w:rPr>
        <w:t>מהדוגמאות דלעיל עולה כי במקרים שבהם מעורבים צדדים שלישיים, יש בכך כדי להטות את הכף ולהוביל לקביעה שהמידע המבוקש חסוי</w:t>
      </w:r>
      <w:r w:rsidRPr="001E63BA">
        <w:rPr>
          <w:rFonts w:ascii="David" w:hAnsi="David"/>
          <w:noProof w:val="0"/>
          <w:rtl/>
        </w:rPr>
        <w:t>").</w:t>
      </w:r>
    </w:p>
    <w:p w:rsidR="00AE739E" w:rsidRPr="001E63BA" w:rsidRDefault="00AE739E" w:rsidP="00AE739E">
      <w:pPr>
        <w:spacing w:line="360" w:lineRule="auto"/>
        <w:ind w:left="360"/>
        <w:contextualSpacing/>
        <w:jc w:val="both"/>
        <w:rPr>
          <w:rFonts w:ascii="David" w:hAnsi="David"/>
          <w:noProof w:val="0"/>
        </w:rPr>
      </w:pPr>
    </w:p>
    <w:p w:rsidR="00DD1437" w:rsidRPr="001E63BA"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איני סבורה כי המקרה דנן נמנה על אותם מקרים חריגים ויוצאי דופן במיוחד.</w:t>
      </w:r>
    </w:p>
    <w:p w:rsidR="00DD1437" w:rsidRPr="001E63BA" w:rsidRDefault="00DD1437" w:rsidP="001E63BA">
      <w:pPr>
        <w:spacing w:line="360" w:lineRule="auto"/>
        <w:ind w:left="360"/>
        <w:contextualSpacing/>
        <w:jc w:val="both"/>
        <w:rPr>
          <w:rFonts w:ascii="David" w:hAnsi="David"/>
          <w:noProof w:val="0"/>
        </w:rPr>
      </w:pPr>
      <w:r w:rsidRPr="001E63BA">
        <w:rPr>
          <w:rFonts w:ascii="David" w:hAnsi="David"/>
          <w:b/>
          <w:bCs/>
          <w:noProof w:val="0"/>
          <w:rtl/>
        </w:rPr>
        <w:t>ראשית</w:t>
      </w:r>
      <w:r w:rsidRPr="001E63BA">
        <w:rPr>
          <w:rFonts w:ascii="David" w:hAnsi="David"/>
          <w:noProof w:val="0"/>
          <w:rtl/>
        </w:rPr>
        <w:t xml:space="preserve">, אף אם יתקבל המידע, הוא אינו מהווה הוכחה חותכת לכך שהתקבלה הסחורה, כפי שבית המשפט קמא אף קבע בתחילה בפס' 6 להחלטה על הוצאת הצו. קיזוז תשומות וניכוי הוצאות אינם מלמדים בהכרח כי הסחורה התקבלה, וניתן מבחינה מעשית לקזז תשומות ולדרוש הוצאה במס הכנסה (שלא כדין) גם אם התשומה או ההוצאה לא התקבלה בפועל. הנתבעות אינן עומדות למשפט על העלמת מס, כי אם על אי-תשלום עבור סחורה שקיבלו לכאורה מהמשיבות. </w:t>
      </w:r>
    </w:p>
    <w:p w:rsidR="00DD1437" w:rsidRPr="001E63BA" w:rsidRDefault="00DD1437" w:rsidP="001E63BA">
      <w:pPr>
        <w:spacing w:line="360" w:lineRule="auto"/>
        <w:ind w:left="360"/>
        <w:contextualSpacing/>
        <w:jc w:val="both"/>
        <w:rPr>
          <w:rFonts w:ascii="David" w:hAnsi="David"/>
          <w:noProof w:val="0"/>
        </w:rPr>
      </w:pPr>
      <w:r w:rsidRPr="001E63BA">
        <w:rPr>
          <w:rFonts w:ascii="David" w:hAnsi="David"/>
          <w:noProof w:val="0"/>
          <w:rtl/>
        </w:rPr>
        <w:t xml:space="preserve">אף אם היה מדובר בהודאת בעל דין על קבלת הסחורה (ואין בכוונתי לקבוע כך במסגרת פסק דין זה), לכל היותר, מדובר בראיה נוספת במארג הראיות הכולל, וראו האמור ב-רע"א 7636/16 </w:t>
      </w:r>
      <w:proofErr w:type="spellStart"/>
      <w:r w:rsidRPr="001E63BA">
        <w:rPr>
          <w:rFonts w:ascii="David" w:hAnsi="David"/>
          <w:b/>
          <w:bCs/>
          <w:noProof w:val="0"/>
          <w:rtl/>
        </w:rPr>
        <w:t>ט.ר</w:t>
      </w:r>
      <w:proofErr w:type="spellEnd"/>
      <w:r w:rsidRPr="001E63BA">
        <w:rPr>
          <w:rFonts w:ascii="David" w:hAnsi="David"/>
          <w:b/>
          <w:bCs/>
          <w:noProof w:val="0"/>
          <w:rtl/>
        </w:rPr>
        <w:t>. הנדסה אזרחית בע"מ נ' משוב עבודות עפר ובטון בע"מ</w:t>
      </w:r>
      <w:r w:rsidRPr="001E63BA">
        <w:rPr>
          <w:rFonts w:ascii="David" w:hAnsi="David"/>
          <w:noProof w:val="0"/>
          <w:rtl/>
        </w:rPr>
        <w:t xml:space="preserve">, פס' 4 (10.10.2016), שניתן בבקשת רשות ערעור על פסק הדין שקבע כי בעצם השימוש בחשבוניות מס יש הודאת בעל דין לסכום החוב והסחורה שסופקה (ע"א (מחוזי ב"ש) 2722-04-16 </w:t>
      </w:r>
      <w:r w:rsidRPr="001E63BA">
        <w:rPr>
          <w:rFonts w:ascii="David" w:hAnsi="David"/>
          <w:b/>
          <w:bCs/>
          <w:noProof w:val="0"/>
          <w:rtl/>
        </w:rPr>
        <w:t xml:space="preserve">משוב עבודות עפר ובטון בע"מ נ' </w:t>
      </w:r>
      <w:proofErr w:type="spellStart"/>
      <w:r w:rsidRPr="001E63BA">
        <w:rPr>
          <w:rFonts w:ascii="David" w:hAnsi="David"/>
          <w:b/>
          <w:bCs/>
          <w:noProof w:val="0"/>
          <w:rtl/>
        </w:rPr>
        <w:t>ט.ר</w:t>
      </w:r>
      <w:proofErr w:type="spellEnd"/>
      <w:r w:rsidRPr="001E63BA">
        <w:rPr>
          <w:rFonts w:ascii="David" w:hAnsi="David"/>
          <w:b/>
          <w:bCs/>
          <w:noProof w:val="0"/>
          <w:rtl/>
        </w:rPr>
        <w:t xml:space="preserve"> הנדסה אזרחית בע"מ</w:t>
      </w:r>
      <w:r w:rsidRPr="001E63BA">
        <w:rPr>
          <w:rFonts w:ascii="David" w:hAnsi="David"/>
          <w:noProof w:val="0"/>
          <w:rtl/>
        </w:rPr>
        <w:t xml:space="preserve"> (4.9.2016)):</w:t>
      </w:r>
    </w:p>
    <w:p w:rsidR="00DD1437" w:rsidRPr="001E63BA" w:rsidRDefault="00DD1437" w:rsidP="001E63BA">
      <w:pPr>
        <w:spacing w:line="360" w:lineRule="auto"/>
        <w:ind w:left="720"/>
        <w:contextualSpacing/>
        <w:jc w:val="both"/>
        <w:rPr>
          <w:rFonts w:ascii="David" w:hAnsi="David"/>
          <w:noProof w:val="0"/>
        </w:rPr>
      </w:pPr>
      <w:r w:rsidRPr="001E63BA">
        <w:rPr>
          <w:rFonts w:ascii="David" w:hAnsi="David"/>
          <w:noProof w:val="0"/>
          <w:rtl/>
        </w:rPr>
        <w:lastRenderedPageBreak/>
        <w:t>"</w:t>
      </w:r>
      <w:r w:rsidRPr="001E63BA">
        <w:rPr>
          <w:rFonts w:ascii="David" w:hAnsi="David"/>
          <w:b/>
          <w:bCs/>
          <w:noProof w:val="0"/>
          <w:rtl/>
        </w:rPr>
        <w:t xml:space="preserve">פסק הדין של בית המשפט המחוזי תוחם עצמו לנסיבות המקרה הפרטניות, ומשכך – לא ראיתי עילה למתן רשות לערער. </w:t>
      </w:r>
      <w:r w:rsidRPr="001E63BA">
        <w:rPr>
          <w:rFonts w:ascii="David" w:hAnsi="David"/>
          <w:b/>
          <w:bCs/>
          <w:noProof w:val="0"/>
          <w:u w:val="single"/>
          <w:rtl/>
        </w:rPr>
        <w:t>הכרעתו נשענת על הראיות והעדויות שהציגו הצדדים שעל בסיסן נקבע כי לא הוכחה טענת המבקשת כי הסחורה שבמחלוקת לא סופקה לה</w:t>
      </w:r>
      <w:r w:rsidRPr="001E63BA">
        <w:rPr>
          <w:rFonts w:ascii="David" w:hAnsi="David"/>
          <w:b/>
          <w:bCs/>
          <w:noProof w:val="0"/>
          <w:rtl/>
        </w:rPr>
        <w:t>. קביעות אלו הן קביעות עובדתיות ופרטניות ואינן מעוררות שאלה משפטית רחבה יותר</w:t>
      </w:r>
      <w:r w:rsidRPr="001E63BA">
        <w:rPr>
          <w:rFonts w:ascii="David" w:hAnsi="David"/>
          <w:noProof w:val="0"/>
          <w:rtl/>
        </w:rPr>
        <w:t>".</w:t>
      </w:r>
    </w:p>
    <w:p w:rsidR="00A554DA" w:rsidRDefault="00A554DA" w:rsidP="001E63BA">
      <w:pPr>
        <w:spacing w:line="360" w:lineRule="auto"/>
        <w:ind w:left="360"/>
        <w:contextualSpacing/>
        <w:jc w:val="both"/>
        <w:rPr>
          <w:rFonts w:ascii="David" w:hAnsi="David"/>
          <w:noProof w:val="0"/>
          <w:rtl/>
        </w:rPr>
      </w:pPr>
    </w:p>
    <w:p w:rsidR="00DD1437" w:rsidRPr="001E63BA" w:rsidRDefault="00DD1437" w:rsidP="001E63BA">
      <w:pPr>
        <w:spacing w:line="360" w:lineRule="auto"/>
        <w:ind w:left="360"/>
        <w:contextualSpacing/>
        <w:jc w:val="both"/>
        <w:rPr>
          <w:rFonts w:ascii="David" w:hAnsi="David"/>
          <w:noProof w:val="0"/>
        </w:rPr>
      </w:pPr>
      <w:r w:rsidRPr="001E63BA">
        <w:rPr>
          <w:rFonts w:ascii="David" w:hAnsi="David"/>
          <w:noProof w:val="0"/>
          <w:rtl/>
        </w:rPr>
        <w:t>כן ראו האמור בהחלטת בית המשפט קמא בבקשה לעיכוב ביצוע מיום 21.7.2024 ביחס לעיכוב התובענות עד להכרעה בערעור: "</w:t>
      </w:r>
      <w:r w:rsidRPr="001E63BA">
        <w:rPr>
          <w:rFonts w:ascii="David" w:hAnsi="David"/>
          <w:b/>
          <w:bCs/>
          <w:noProof w:val="0"/>
          <w:rtl/>
        </w:rPr>
        <w:t xml:space="preserve">אין מדובר בעיכוב מוחלט שכן הצו נשוא ההחלטה שאת ביצועה מבוקש לעכב, אינו ראיה – בלעדיה – אין (הגם שאני סבור כי היא חשובה לבירור המחלוקת) והצדדים יכולים להביא ראיות אחרות. </w:t>
      </w:r>
      <w:r w:rsidRPr="001E63BA">
        <w:rPr>
          <w:rFonts w:ascii="David" w:hAnsi="David"/>
          <w:b/>
          <w:bCs/>
          <w:noProof w:val="0"/>
          <w:u w:val="single"/>
          <w:rtl/>
        </w:rPr>
        <w:t>ככל שהערעור יידחה, הרי שהמידע נשוא הצו עשוי לשמש ראיה נוספת</w:t>
      </w:r>
      <w:r w:rsidRPr="001E63BA">
        <w:rPr>
          <w:rFonts w:ascii="David" w:hAnsi="David"/>
          <w:noProof w:val="0"/>
          <w:rtl/>
        </w:rPr>
        <w:t>".</w:t>
      </w:r>
    </w:p>
    <w:p w:rsidR="00DD1437" w:rsidRPr="001E63BA" w:rsidRDefault="00DD1437" w:rsidP="001E63BA">
      <w:pPr>
        <w:spacing w:line="360" w:lineRule="auto"/>
        <w:ind w:left="360"/>
        <w:contextualSpacing/>
        <w:jc w:val="both"/>
        <w:rPr>
          <w:rFonts w:ascii="David" w:hAnsi="David"/>
          <w:noProof w:val="0"/>
          <w:rtl/>
        </w:rPr>
      </w:pPr>
      <w:r w:rsidRPr="001E63BA">
        <w:rPr>
          <w:rFonts w:ascii="David" w:hAnsi="David"/>
          <w:noProof w:val="0"/>
          <w:rtl/>
        </w:rPr>
        <w:t>לא בכדי, הן בפס' 11 להחלטה על הוצאת הצו והן בהחלטה לעיכוב ביצוע, מסייג עצמו בית המשפט קמא וקובע כי המידע "</w:t>
      </w:r>
      <w:r w:rsidRPr="001E63BA">
        <w:rPr>
          <w:rFonts w:ascii="David" w:hAnsi="David"/>
          <w:b/>
          <w:bCs/>
          <w:noProof w:val="0"/>
          <w:u w:val="single"/>
          <w:rtl/>
        </w:rPr>
        <w:t>עשוי</w:t>
      </w:r>
      <w:r w:rsidRPr="001E63BA">
        <w:rPr>
          <w:rFonts w:ascii="David" w:hAnsi="David"/>
          <w:noProof w:val="0"/>
          <w:rtl/>
        </w:rPr>
        <w:t xml:space="preserve"> </w:t>
      </w:r>
      <w:r w:rsidRPr="001E63BA">
        <w:rPr>
          <w:rFonts w:ascii="David" w:hAnsi="David"/>
          <w:b/>
          <w:bCs/>
          <w:noProof w:val="0"/>
          <w:rtl/>
        </w:rPr>
        <w:t>לסייע לרדת לחקר האמת</w:t>
      </w:r>
      <w:r w:rsidRPr="001E63BA">
        <w:rPr>
          <w:rFonts w:ascii="David" w:hAnsi="David"/>
          <w:noProof w:val="0"/>
          <w:rtl/>
        </w:rPr>
        <w:t>" ו"</w:t>
      </w:r>
      <w:r w:rsidRPr="001E63BA">
        <w:rPr>
          <w:rFonts w:ascii="David" w:hAnsi="David"/>
          <w:b/>
          <w:bCs/>
          <w:noProof w:val="0"/>
          <w:u w:val="single"/>
          <w:rtl/>
        </w:rPr>
        <w:t>עשוי</w:t>
      </w:r>
      <w:r w:rsidRPr="001E63BA">
        <w:rPr>
          <w:rFonts w:ascii="David" w:hAnsi="David"/>
          <w:b/>
          <w:bCs/>
          <w:noProof w:val="0"/>
          <w:rtl/>
        </w:rPr>
        <w:t xml:space="preserve"> לשמש ראיה נוספת</w:t>
      </w:r>
      <w:r w:rsidRPr="001E63BA">
        <w:rPr>
          <w:rFonts w:ascii="David" w:hAnsi="David"/>
          <w:noProof w:val="0"/>
          <w:rtl/>
        </w:rPr>
        <w:t>".</w:t>
      </w:r>
    </w:p>
    <w:p w:rsidR="00DD1437" w:rsidRPr="001E63BA" w:rsidRDefault="00DD1437" w:rsidP="001E63BA">
      <w:pPr>
        <w:spacing w:line="360" w:lineRule="auto"/>
        <w:ind w:left="360"/>
        <w:contextualSpacing/>
        <w:jc w:val="both"/>
        <w:rPr>
          <w:rFonts w:ascii="David" w:hAnsi="David"/>
          <w:noProof w:val="0"/>
        </w:rPr>
      </w:pPr>
      <w:r w:rsidRPr="001E63BA">
        <w:rPr>
          <w:rFonts w:ascii="David" w:hAnsi="David"/>
          <w:b/>
          <w:bCs/>
          <w:noProof w:val="0"/>
          <w:rtl/>
        </w:rPr>
        <w:t>שנית</w:t>
      </w:r>
      <w:r w:rsidRPr="001E63BA">
        <w:rPr>
          <w:rFonts w:ascii="David" w:hAnsi="David"/>
          <w:noProof w:val="0"/>
          <w:rtl/>
        </w:rPr>
        <w:t>, אם אף הייתי מניחה כי מדובר בראיה חותכת שמלמדת על הודאת הנתבעות בקבלת הסחורה, הרי שאין צורך לגלותה על מנת להכריע בתיק, וזאת לאור הכלל הראייתי הידוע "</w:t>
      </w:r>
      <w:r w:rsidRPr="001E63BA">
        <w:rPr>
          <w:rFonts w:ascii="David" w:hAnsi="David"/>
          <w:b/>
          <w:bCs/>
          <w:noProof w:val="0"/>
          <w:rtl/>
        </w:rPr>
        <w:t xml:space="preserve">שלפיו כשבעל-דין נמנע מהבאת ראייה הנמצאת בחזקתו – קמה חזקה שאילו הובאה הראיה </w:t>
      </w:r>
      <w:proofErr w:type="spellStart"/>
      <w:r w:rsidRPr="001E63BA">
        <w:rPr>
          <w:rFonts w:ascii="David" w:hAnsi="David"/>
          <w:b/>
          <w:bCs/>
          <w:noProof w:val="0"/>
          <w:rtl/>
        </w:rPr>
        <w:t>היתה</w:t>
      </w:r>
      <w:proofErr w:type="spellEnd"/>
      <w:r w:rsidRPr="001E63BA">
        <w:rPr>
          <w:rFonts w:ascii="David" w:hAnsi="David"/>
          <w:b/>
          <w:bCs/>
          <w:noProof w:val="0"/>
          <w:rtl/>
        </w:rPr>
        <w:t xml:space="preserve"> פועלת כנגדו</w:t>
      </w:r>
      <w:r w:rsidRPr="001E63BA">
        <w:rPr>
          <w:rFonts w:ascii="David" w:hAnsi="David"/>
          <w:noProof w:val="0"/>
          <w:rtl/>
        </w:rPr>
        <w:t xml:space="preserve">" (ע"א 3886/12 </w:t>
      </w:r>
      <w:r w:rsidRPr="001E63BA">
        <w:rPr>
          <w:rFonts w:ascii="David" w:hAnsi="David"/>
          <w:b/>
          <w:bCs/>
          <w:noProof w:val="0"/>
          <w:rtl/>
        </w:rPr>
        <w:t>זאב שרון קבלנות בנין ועפר בע"מ נ' מנהל מע"מ</w:t>
      </w:r>
      <w:r w:rsidRPr="001E63BA">
        <w:rPr>
          <w:rFonts w:ascii="David" w:hAnsi="David"/>
          <w:noProof w:val="0"/>
          <w:rtl/>
        </w:rPr>
        <w:t>, פס' 33 (26.8.2014)). המידע על קיזוז התשומות וניכוי ההוצאות נמצא בחזקת הנתבעות, ולחלופין, הנתבעות יכולות לתת את אישורן לכך שרשות המסים תגלה את המידע. משהנתבעות נמנעות מלחשוף את המידע ולהביא כראיה את אי-קיזוז התשומות ואי-ניכוי ההוצאות הגלומות בחשבוניות, לבית משפט קמא נתונה האפשרות להשתמש בכלל הראייתי האמור, אם ימצא לנכון, ולקבוע כי הראיה הנוגעת לשימוש בחשבוניות מול רשות המסים הייתה פועלת כנגדן.</w:t>
      </w:r>
    </w:p>
    <w:p w:rsidR="00DD1437" w:rsidRPr="001E63BA" w:rsidRDefault="00DD1437" w:rsidP="001E63BA">
      <w:pPr>
        <w:spacing w:line="360" w:lineRule="auto"/>
        <w:ind w:left="360"/>
        <w:contextualSpacing/>
        <w:jc w:val="both"/>
        <w:rPr>
          <w:rFonts w:ascii="David" w:hAnsi="David"/>
          <w:noProof w:val="0"/>
        </w:rPr>
      </w:pPr>
      <w:r w:rsidRPr="001E63BA">
        <w:rPr>
          <w:rFonts w:ascii="David" w:hAnsi="David"/>
          <w:b/>
          <w:bCs/>
          <w:noProof w:val="0"/>
          <w:rtl/>
        </w:rPr>
        <w:t>שלישית</w:t>
      </w:r>
      <w:r w:rsidRPr="001E63BA">
        <w:rPr>
          <w:rFonts w:ascii="David" w:hAnsi="David"/>
          <w:noProof w:val="0"/>
          <w:rtl/>
        </w:rPr>
        <w:t xml:space="preserve">, המידע המבוקש מצוי אצל הנתבעות. במסגרת ההליך האזרחי נתונים כלים רבים לבית המשפט והצדדים להביא לחשיפת המידע הרלוונטי שנמצא אצל הצדדים וניהול ההליך "בקלפים גלויים". ניתן להשתמש בכלים הללו, ולא לצוות על רשות המסים לגלות מידע שחלה עליו חובת סודיות, חלף שימוש באותם הכלים (על ההבחנה שבין חיובו של בעל דין לגלות מסמך שבשליטתו ובין חיובו של צד שלישי לגלות מסמך הנוגע לאותו בעל דין, ראו פסק הדין של בית המשפט העליון שניתן לאחרונה: רע"א 41448-09-24 </w:t>
      </w:r>
      <w:r w:rsidRPr="001E63BA">
        <w:rPr>
          <w:rFonts w:ascii="David" w:hAnsi="David"/>
          <w:b/>
          <w:bCs/>
          <w:noProof w:val="0"/>
          <w:rtl/>
        </w:rPr>
        <w:t xml:space="preserve">שמואל נ' </w:t>
      </w:r>
      <w:proofErr w:type="spellStart"/>
      <w:r w:rsidRPr="001E63BA">
        <w:rPr>
          <w:rFonts w:ascii="David" w:hAnsi="David"/>
          <w:b/>
          <w:bCs/>
          <w:noProof w:val="0"/>
          <w:rtl/>
        </w:rPr>
        <w:t>תיבון</w:t>
      </w:r>
      <w:proofErr w:type="spellEnd"/>
      <w:r w:rsidRPr="001E63BA">
        <w:rPr>
          <w:rFonts w:ascii="David" w:hAnsi="David"/>
          <w:noProof w:val="0"/>
          <w:rtl/>
        </w:rPr>
        <w:t xml:space="preserve"> (7.1.2025)).</w:t>
      </w:r>
    </w:p>
    <w:p w:rsidR="00A554DA" w:rsidRDefault="00A554DA" w:rsidP="001E63BA">
      <w:pPr>
        <w:spacing w:line="360" w:lineRule="auto"/>
        <w:ind w:left="360"/>
        <w:contextualSpacing/>
        <w:jc w:val="both"/>
        <w:rPr>
          <w:rFonts w:ascii="David" w:hAnsi="David"/>
          <w:noProof w:val="0"/>
          <w:rtl/>
        </w:rPr>
      </w:pPr>
    </w:p>
    <w:p w:rsidR="00A554DA" w:rsidRPr="001E63BA" w:rsidRDefault="00DD1437" w:rsidP="00A554DA">
      <w:pPr>
        <w:spacing w:line="360" w:lineRule="auto"/>
        <w:ind w:left="360"/>
        <w:contextualSpacing/>
        <w:jc w:val="both"/>
        <w:rPr>
          <w:rFonts w:ascii="David" w:hAnsi="David"/>
          <w:noProof w:val="0"/>
          <w:rtl/>
        </w:rPr>
      </w:pPr>
      <w:r w:rsidRPr="001E63BA">
        <w:rPr>
          <w:rFonts w:ascii="David" w:hAnsi="David"/>
          <w:noProof w:val="0"/>
          <w:rtl/>
        </w:rPr>
        <w:t xml:space="preserve">מתשובת המשיבות לכתב הערעור ומפס' 7 להחלטה על הוצאת הצו עולה כי המשיבות לא עשו דבר במישור הדיוני הרגיל והן מיהרו והגישו את הבקשה למתן הצו. בכך הן לא פעלו כראוי מבחינה דיונית, והיה עליהן לדרוש את גילוי המידע במסגרת ההליכים המקדמיים או בדרך של מתן עדות (והשוו לפס' 11 לעניין </w:t>
      </w:r>
      <w:r w:rsidRPr="001E63BA">
        <w:rPr>
          <w:rFonts w:ascii="David" w:hAnsi="David"/>
          <w:b/>
          <w:bCs/>
          <w:noProof w:val="0"/>
          <w:rtl/>
        </w:rPr>
        <w:t>הקורנס</w:t>
      </w:r>
      <w:r w:rsidRPr="001E63BA">
        <w:rPr>
          <w:rFonts w:ascii="David" w:hAnsi="David"/>
          <w:noProof w:val="0"/>
          <w:rtl/>
        </w:rPr>
        <w:t>). מחדל המשיבות אינו צריך להביא להפרת חובת הסודיות על ידי המערערת.</w:t>
      </w:r>
    </w:p>
    <w:p w:rsidR="00DD1437"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lastRenderedPageBreak/>
        <w:t>בהקשר זה אציין, כי אין ממש בטענה כי מדובר בחשבוניות של המשיבות ועל כן לא מדובר במידע סודי או במידע של צד שלישי. המידע המבוקש אינו גילוי החשבוניות עצמן, אלא המענה לשאלה אם הנתבעות השתמשו בחשבוניות ביחסיהן מול רשות המסים. מדובר במידע שקשור אך למערכת היחסים שבין הנתבעות לרשות המסים, ולא ליחסים שבין המשיבות לנתבעות. משכך, מדובר במידע סודי על פי האמור בחוק מע"מ ובפקודה, וכל עוד הנתבעות אינן מסכימות לגלותו, רשות המסים חייבת לשמור על סודיותו.</w:t>
      </w:r>
    </w:p>
    <w:p w:rsidR="00A554DA" w:rsidRPr="001E63BA" w:rsidRDefault="00A554DA" w:rsidP="00A554DA">
      <w:pPr>
        <w:spacing w:line="360" w:lineRule="auto"/>
        <w:ind w:left="360"/>
        <w:contextualSpacing/>
        <w:jc w:val="both"/>
        <w:rPr>
          <w:rFonts w:ascii="David" w:hAnsi="David"/>
          <w:noProof w:val="0"/>
        </w:rPr>
      </w:pPr>
    </w:p>
    <w:p w:rsidR="00DD1437"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בכל הנוגע לטענת המשיבות כי האינטרס בגילוי המידע הוא גם של רשות המסים, הרי שעל מנת שרשות המסים תעמוד על תשלום המס הנכון, אין כל צורך לגלות את המידע במסגרת ההליך תוך הפרת חובת הסודיות.</w:t>
      </w:r>
    </w:p>
    <w:p w:rsidR="00A554DA" w:rsidRPr="001E63BA" w:rsidRDefault="00A554DA" w:rsidP="00A554DA">
      <w:pPr>
        <w:spacing w:line="360" w:lineRule="auto"/>
        <w:ind w:left="360"/>
        <w:contextualSpacing/>
        <w:jc w:val="both"/>
        <w:rPr>
          <w:rFonts w:ascii="David" w:hAnsi="David"/>
          <w:noProof w:val="0"/>
        </w:rPr>
      </w:pPr>
    </w:p>
    <w:p w:rsidR="00DD1437" w:rsidRPr="001E63BA" w:rsidRDefault="00DD1437" w:rsidP="001E63BA">
      <w:pPr>
        <w:numPr>
          <w:ilvl w:val="0"/>
          <w:numId w:val="1"/>
        </w:numPr>
        <w:spacing w:line="360" w:lineRule="auto"/>
        <w:contextualSpacing/>
        <w:jc w:val="both"/>
        <w:rPr>
          <w:rFonts w:ascii="David" w:hAnsi="David"/>
          <w:noProof w:val="0"/>
        </w:rPr>
      </w:pPr>
      <w:r w:rsidRPr="001E63BA">
        <w:rPr>
          <w:rFonts w:ascii="David" w:hAnsi="David"/>
          <w:noProof w:val="0"/>
          <w:rtl/>
        </w:rPr>
        <w:t>סיכומם של דברים, אני סבורה כי יש לקבל את הערעור וכך אני ממליצה לחבריי לעשות. משלא נפסקו הוצאות בבית המשפט קמא, אמליץ שלא להטיל הוצאות אף בערעור.</w:t>
      </w:r>
    </w:p>
    <w:tbl>
      <w:tblPr>
        <w:tblStyle w:val="a9"/>
        <w:tblpPr w:leftFromText="180" w:rightFromText="180" w:vertAnchor="text" w:horzAnchor="margin" w:tblpY="-23"/>
        <w:bidiVisual/>
        <w:tblW w:w="2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747"/>
      </w:tblGrid>
      <w:tr w:rsidR="00CE5F97" w:rsidRPr="00861D25" w:rsidTr="00CE5F97">
        <w:trPr>
          <w:trHeight w:val="1400"/>
        </w:trPr>
        <w:tc>
          <w:tcPr>
            <w:tcW w:w="2747" w:type="dxa"/>
            <w:tcBorders>
              <w:top w:val="nil"/>
              <w:left w:val="nil"/>
              <w:bottom w:val="single" w:sz="4" w:space="0" w:color="auto"/>
              <w:right w:val="nil"/>
            </w:tcBorders>
            <w:vAlign w:val="center"/>
          </w:tcPr>
          <w:p w:rsidR="00CE5F97" w:rsidRPr="00861D25" w:rsidRDefault="00CE5F97" w:rsidP="00CE5F97">
            <w:pPr>
              <w:jc w:val="center"/>
              <w:rPr>
                <w:rFonts w:ascii="Courier New" w:hAnsi="Courier New"/>
                <w:b/>
                <w:bCs/>
                <w:sz w:val="20"/>
                <w:szCs w:val="20"/>
                <w:lang w:eastAsia="he-IL"/>
              </w:rPr>
            </w:pPr>
            <w:r w:rsidRPr="00861D25">
              <w:rPr>
                <w:rFonts w:ascii="Courier New" w:hAnsi="Courier New"/>
                <w:b/>
                <w:bCs/>
                <w:sz w:val="20"/>
                <w:szCs w:val="20"/>
                <w:rtl/>
              </w:rPr>
              <w:drawing>
                <wp:inline distT="0" distB="0" distL="0" distR="0" wp14:anchorId="75D1BC37" wp14:editId="0A2E86BD">
                  <wp:extent cx="1038225" cy="438150"/>
                  <wp:effectExtent l="0" t="0" r="9525" b="0"/>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8225" cy="438150"/>
                          </a:xfrm>
                          <a:prstGeom prst="rect">
                            <a:avLst/>
                          </a:prstGeom>
                          <a:noFill/>
                          <a:ln>
                            <a:noFill/>
                          </a:ln>
                        </pic:spPr>
                      </pic:pic>
                    </a:graphicData>
                  </a:graphic>
                </wp:inline>
              </w:drawing>
            </w:r>
          </w:p>
        </w:tc>
      </w:tr>
      <w:tr w:rsidR="00CE5F97" w:rsidRPr="00861D25" w:rsidTr="00CE5F97">
        <w:trPr>
          <w:trHeight w:val="580"/>
        </w:trPr>
        <w:tc>
          <w:tcPr>
            <w:tcW w:w="2747" w:type="dxa"/>
            <w:tcBorders>
              <w:top w:val="single" w:sz="4" w:space="0" w:color="auto"/>
              <w:left w:val="nil"/>
              <w:bottom w:val="nil"/>
              <w:right w:val="nil"/>
            </w:tcBorders>
            <w:vAlign w:val="center"/>
          </w:tcPr>
          <w:p w:rsidR="00CE5F97" w:rsidRPr="00861D25" w:rsidRDefault="00CE5F97" w:rsidP="00CE5F97">
            <w:pPr>
              <w:jc w:val="center"/>
              <w:rPr>
                <w:rFonts w:ascii="Courier New" w:hAnsi="Courier New"/>
                <w:b/>
                <w:bCs/>
                <w:rtl/>
                <w:lang w:eastAsia="he-IL"/>
              </w:rPr>
            </w:pPr>
            <w:r>
              <w:rPr>
                <w:rFonts w:ascii="Courier New" w:hAnsi="Courier New" w:hint="cs"/>
                <w:b/>
                <w:bCs/>
                <w:rtl/>
                <w:lang w:eastAsia="he-IL"/>
              </w:rPr>
              <w:t>ירדנה סרוסי</w:t>
            </w:r>
            <w:r w:rsidRPr="00861D25">
              <w:rPr>
                <w:rFonts w:ascii="Courier New" w:hAnsi="Courier New"/>
                <w:b/>
                <w:bCs/>
                <w:rtl/>
                <w:lang w:eastAsia="he-IL"/>
              </w:rPr>
              <w:t>, שופט</w:t>
            </w:r>
            <w:r>
              <w:rPr>
                <w:rFonts w:ascii="Courier New" w:hAnsi="Courier New" w:hint="cs"/>
                <w:b/>
                <w:bCs/>
                <w:rtl/>
                <w:lang w:eastAsia="he-IL"/>
              </w:rPr>
              <w:t>ת</w:t>
            </w:r>
          </w:p>
          <w:p w:rsidR="00CE5F97" w:rsidRPr="00861D25" w:rsidRDefault="00CE5F97" w:rsidP="00CE5F97">
            <w:pPr>
              <w:jc w:val="center"/>
              <w:rPr>
                <w:rFonts w:ascii="Courier New" w:hAnsi="Courier New"/>
                <w:b/>
                <w:bCs/>
                <w:lang w:eastAsia="he-IL"/>
              </w:rPr>
            </w:pPr>
          </w:p>
        </w:tc>
      </w:tr>
    </w:tbl>
    <w:p w:rsidR="00CE5F97" w:rsidRPr="001B00AE" w:rsidRDefault="00CE5F97" w:rsidP="001B00AE">
      <w:pPr>
        <w:spacing w:after="160" w:line="259" w:lineRule="auto"/>
        <w:rPr>
          <w:rFonts w:asciiTheme="minorHAnsi" w:hAnsiTheme="minorHAnsi" w:cs="Arial"/>
          <w:sz w:val="22"/>
          <w:szCs w:val="22"/>
          <w:rtl/>
        </w:rPr>
      </w:pPr>
    </w:p>
    <w:p w:rsidR="00CE5F97" w:rsidRPr="001B00AE" w:rsidRDefault="00CE5F97" w:rsidP="001B00AE">
      <w:pPr>
        <w:rPr>
          <w:rtl/>
          <w:lang w:eastAsia="he-IL"/>
        </w:rPr>
      </w:pPr>
    </w:p>
    <w:p w:rsidR="00694556" w:rsidRDefault="00694556">
      <w:pPr>
        <w:spacing w:line="360" w:lineRule="auto"/>
        <w:jc w:val="both"/>
        <w:rPr>
          <w:rFonts w:ascii="Arial" w:hAnsi="Arial"/>
          <w:noProof w:val="0"/>
          <w:rtl/>
        </w:rPr>
      </w:pPr>
    </w:p>
    <w:p w:rsidR="00CE5F97" w:rsidRDefault="00CE5F97">
      <w:pPr>
        <w:spacing w:line="360" w:lineRule="auto"/>
        <w:jc w:val="both"/>
        <w:rPr>
          <w:rFonts w:ascii="Arial" w:hAnsi="Arial"/>
          <w:noProof w:val="0"/>
          <w:rtl/>
        </w:rPr>
      </w:pPr>
    </w:p>
    <w:p w:rsidR="00CE5F97" w:rsidRDefault="00CE5F97">
      <w:pPr>
        <w:spacing w:line="360" w:lineRule="auto"/>
        <w:jc w:val="both"/>
        <w:rPr>
          <w:rFonts w:ascii="Arial" w:hAnsi="Arial"/>
          <w:noProof w:val="0"/>
          <w:rtl/>
        </w:rPr>
      </w:pPr>
    </w:p>
    <w:p w:rsidR="00CE5F97" w:rsidRDefault="00CE5F97">
      <w:pPr>
        <w:spacing w:line="360" w:lineRule="auto"/>
        <w:jc w:val="both"/>
        <w:rPr>
          <w:rFonts w:ascii="Arial" w:hAnsi="Arial"/>
          <w:b/>
          <w:bCs/>
          <w:noProof w:val="0"/>
          <w:u w:val="single"/>
          <w:rtl/>
        </w:rPr>
      </w:pPr>
    </w:p>
    <w:p w:rsidR="00CE5F97" w:rsidRPr="00CE5F97" w:rsidRDefault="00D632EE">
      <w:pPr>
        <w:spacing w:line="360" w:lineRule="auto"/>
        <w:jc w:val="both"/>
        <w:rPr>
          <w:rFonts w:ascii="Arial" w:hAnsi="Arial"/>
          <w:b/>
          <w:bCs/>
          <w:noProof w:val="0"/>
          <w:u w:val="single"/>
          <w:rtl/>
        </w:rPr>
      </w:pPr>
      <w:r>
        <w:rPr>
          <w:rFonts w:ascii="Arial" w:hAnsi="Arial" w:hint="cs"/>
          <w:b/>
          <w:bCs/>
          <w:noProof w:val="0"/>
          <w:u w:val="single"/>
          <w:rtl/>
        </w:rPr>
        <w:t xml:space="preserve">השופט י. </w:t>
      </w:r>
      <w:proofErr w:type="spellStart"/>
      <w:r>
        <w:rPr>
          <w:rFonts w:ascii="Arial" w:hAnsi="Arial" w:hint="cs"/>
          <w:b/>
          <w:bCs/>
          <w:noProof w:val="0"/>
          <w:u w:val="single"/>
          <w:rtl/>
        </w:rPr>
        <w:t>אטדגי</w:t>
      </w:r>
      <w:proofErr w:type="spellEnd"/>
    </w:p>
    <w:p w:rsidR="00694556" w:rsidRDefault="00CE5F97">
      <w:pPr>
        <w:spacing w:line="360" w:lineRule="auto"/>
        <w:jc w:val="both"/>
        <w:rPr>
          <w:rFonts w:ascii="Arial" w:hAnsi="Arial"/>
          <w:noProof w:val="0"/>
          <w:rtl/>
        </w:rPr>
      </w:pPr>
      <w:r>
        <w:rPr>
          <w:rFonts w:ascii="Arial" w:hAnsi="Arial" w:hint="cs"/>
          <w:noProof w:val="0"/>
          <w:rtl/>
        </w:rPr>
        <w:t xml:space="preserve">אני מסכים. </w:t>
      </w:r>
    </w:p>
    <w:tbl>
      <w:tblPr>
        <w:tblStyle w:val="a9"/>
        <w:tblpPr w:leftFromText="180" w:rightFromText="180" w:vertAnchor="text" w:horzAnchor="margin" w:tblpY="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788"/>
      </w:tblGrid>
      <w:tr w:rsidR="001E63BA" w:rsidRPr="00916A9C" w:rsidTr="001E63BA">
        <w:trPr>
          <w:trHeight w:val="1424"/>
        </w:trPr>
        <w:tc>
          <w:tcPr>
            <w:tcW w:w="2788" w:type="dxa"/>
            <w:tcBorders>
              <w:top w:val="nil"/>
              <w:left w:val="nil"/>
              <w:bottom w:val="single" w:sz="4" w:space="0" w:color="auto"/>
              <w:right w:val="nil"/>
            </w:tcBorders>
            <w:vAlign w:val="center"/>
          </w:tcPr>
          <w:p w:rsidR="001E63BA" w:rsidRPr="00916A9C" w:rsidRDefault="001E63BA" w:rsidP="001E63BA">
            <w:pPr>
              <w:jc w:val="center"/>
              <w:rPr>
                <w:rFonts w:ascii="Courier New" w:hAnsi="Courier New"/>
                <w:b/>
                <w:bCs/>
              </w:rPr>
            </w:pPr>
            <w:r>
              <w:drawing>
                <wp:anchor distT="0" distB="0" distL="114300" distR="114300" simplePos="0" relativeHeight="251659264" behindDoc="0" locked="0" layoutInCell="1" allowOverlap="1" wp14:anchorId="5D5F9547" wp14:editId="36EEA78D">
                  <wp:simplePos x="0" y="0"/>
                  <wp:positionH relativeFrom="column">
                    <wp:posOffset>100330</wp:posOffset>
                  </wp:positionH>
                  <wp:positionV relativeFrom="paragraph">
                    <wp:posOffset>66675</wp:posOffset>
                  </wp:positionV>
                  <wp:extent cx="1263650" cy="781050"/>
                  <wp:effectExtent l="0" t="0" r="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3650" cy="7810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E63BA" w:rsidRPr="00916A9C" w:rsidTr="001E63BA">
        <w:trPr>
          <w:trHeight w:val="377"/>
        </w:trPr>
        <w:tc>
          <w:tcPr>
            <w:tcW w:w="2788" w:type="dxa"/>
            <w:tcBorders>
              <w:top w:val="single" w:sz="4" w:space="0" w:color="auto"/>
              <w:left w:val="nil"/>
              <w:bottom w:val="nil"/>
              <w:right w:val="nil"/>
            </w:tcBorders>
            <w:vAlign w:val="bottom"/>
          </w:tcPr>
          <w:p w:rsidR="001E63BA" w:rsidRPr="00916A9C" w:rsidRDefault="001E63BA" w:rsidP="001E63BA">
            <w:pPr>
              <w:jc w:val="center"/>
              <w:rPr>
                <w:rFonts w:ascii="Courier New" w:hAnsi="Courier New"/>
                <w:b/>
                <w:bCs/>
                <w:rtl/>
              </w:rPr>
            </w:pPr>
            <w:r>
              <w:rPr>
                <w:rFonts w:ascii="Courier New" w:hAnsi="Courier New"/>
                <w:b/>
                <w:bCs/>
                <w:rtl/>
              </w:rPr>
              <w:t>יונה אטדגי, שופט</w:t>
            </w:r>
          </w:p>
          <w:p w:rsidR="001E63BA" w:rsidRPr="00916A9C" w:rsidRDefault="001E63BA" w:rsidP="001E63BA">
            <w:pPr>
              <w:jc w:val="center"/>
              <w:rPr>
                <w:rFonts w:ascii="Courier New" w:hAnsi="Courier New"/>
                <w:b/>
                <w:bCs/>
              </w:rPr>
            </w:pPr>
          </w:p>
        </w:tc>
      </w:tr>
    </w:tbl>
    <w:p w:rsidR="001E63BA" w:rsidRDefault="001E63BA" w:rsidP="006C47A9">
      <w:pPr>
        <w:rPr>
          <w:rtl/>
        </w:rPr>
      </w:pPr>
    </w:p>
    <w:p w:rsidR="001E63BA" w:rsidRDefault="001E63BA" w:rsidP="006C47A9">
      <w:pPr>
        <w:rPr>
          <w:rtl/>
        </w:rPr>
      </w:pPr>
    </w:p>
    <w:p w:rsidR="001E63BA" w:rsidRDefault="001E63BA" w:rsidP="006C47A9">
      <w:pPr>
        <w:rPr>
          <w:rtl/>
        </w:rPr>
      </w:pPr>
    </w:p>
    <w:p w:rsidR="001E63BA" w:rsidRDefault="001E63BA" w:rsidP="006C47A9">
      <w:pPr>
        <w:rPr>
          <w:rtl/>
        </w:rPr>
      </w:pPr>
    </w:p>
    <w:p w:rsidR="001E63BA" w:rsidRPr="003A3B41" w:rsidRDefault="001E63BA" w:rsidP="006C47A9"/>
    <w:p w:rsidR="001E63BA" w:rsidRDefault="001E63BA"/>
    <w:p w:rsidR="00CE5F97" w:rsidRDefault="00CE5F97">
      <w:pPr>
        <w:spacing w:line="360" w:lineRule="auto"/>
        <w:jc w:val="both"/>
        <w:rPr>
          <w:rFonts w:ascii="Arial" w:hAnsi="Arial"/>
          <w:noProof w:val="0"/>
          <w:rtl/>
        </w:rPr>
      </w:pPr>
    </w:p>
    <w:p w:rsidR="001E63BA" w:rsidRDefault="001E63BA">
      <w:pPr>
        <w:spacing w:line="360" w:lineRule="auto"/>
        <w:jc w:val="both"/>
        <w:rPr>
          <w:rFonts w:ascii="Arial" w:hAnsi="Arial"/>
          <w:b/>
          <w:bCs/>
          <w:noProof w:val="0"/>
          <w:u w:val="single"/>
          <w:rtl/>
        </w:rPr>
      </w:pPr>
    </w:p>
    <w:p w:rsidR="00CE5F97" w:rsidRPr="00CE5F97" w:rsidRDefault="00CE5F97">
      <w:pPr>
        <w:spacing w:line="360" w:lineRule="auto"/>
        <w:jc w:val="both"/>
        <w:rPr>
          <w:rFonts w:ascii="Arial" w:hAnsi="Arial"/>
          <w:b/>
          <w:bCs/>
          <w:noProof w:val="0"/>
          <w:u w:val="single"/>
          <w:rtl/>
        </w:rPr>
      </w:pPr>
      <w:r w:rsidRPr="00CE5F97">
        <w:rPr>
          <w:rFonts w:ascii="Arial" w:hAnsi="Arial" w:hint="cs"/>
          <w:b/>
          <w:bCs/>
          <w:noProof w:val="0"/>
          <w:u w:val="single"/>
          <w:rtl/>
        </w:rPr>
        <w:t xml:space="preserve">השופטת ט. לוי-מיכאלי </w:t>
      </w:r>
    </w:p>
    <w:p w:rsidR="001E63BA" w:rsidRPr="00A554DA" w:rsidRDefault="00CE5F97" w:rsidP="00A554DA">
      <w:pPr>
        <w:spacing w:line="360" w:lineRule="auto"/>
        <w:jc w:val="both"/>
        <w:rPr>
          <w:rFonts w:ascii="Arial" w:hAnsi="Arial"/>
          <w:noProof w:val="0"/>
        </w:rPr>
      </w:pPr>
      <w:r>
        <w:rPr>
          <w:rFonts w:ascii="Arial" w:hAnsi="Arial" w:hint="cs"/>
          <w:noProof w:val="0"/>
          <w:rtl/>
        </w:rPr>
        <w:t>אני מסכימה.</w:t>
      </w:r>
    </w:p>
    <w:tbl>
      <w:tblPr>
        <w:tblStyle w:val="a9"/>
        <w:bidiVisual/>
        <w:tblW w:w="2644" w:type="dxa"/>
        <w:tblInd w:w="5539" w:type="dxa"/>
        <w:tblBorders>
          <w:top w:val="none" w:sz="0" w:space="0" w:color="auto"/>
          <w:left w:val="none" w:sz="0" w:space="0" w:color="auto"/>
          <w:bottom w:val="none" w:sz="0" w:space="0" w:color="auto"/>
          <w:right w:val="none" w:sz="0" w:space="0" w:color="auto"/>
        </w:tblBorders>
        <w:tblLook w:val="01E0" w:firstRow="1" w:lastRow="1" w:firstColumn="1" w:lastColumn="1" w:noHBand="0" w:noVBand="0"/>
      </w:tblPr>
      <w:tblGrid>
        <w:gridCol w:w="2644"/>
      </w:tblGrid>
      <w:tr w:rsidR="001E63BA" w:rsidTr="001E63BA">
        <w:trPr>
          <w:trHeight w:val="484"/>
        </w:trPr>
        <w:tc>
          <w:tcPr>
            <w:tcW w:w="2644" w:type="dxa"/>
            <w:tcBorders>
              <w:top w:val="nil"/>
              <w:left w:val="nil"/>
              <w:bottom w:val="single" w:sz="4" w:space="0" w:color="auto"/>
              <w:right w:val="nil"/>
            </w:tcBorders>
            <w:hideMark/>
          </w:tcPr>
          <w:p w:rsidR="001E63BA" w:rsidRDefault="001E63BA">
            <w:pPr>
              <w:jc w:val="center"/>
              <w:rPr>
                <w:rtl/>
              </w:rPr>
            </w:pPr>
            <w:r>
              <w:drawing>
                <wp:inline distT="0" distB="0" distL="0" distR="0" wp14:anchorId="78192D91" wp14:editId="78F60291">
                  <wp:extent cx="704850" cy="361950"/>
                  <wp:effectExtent l="0" t="0" r="0" b="0"/>
                  <wp:docPr id="3" name="Picture 1"/>
                  <wp:cNvGraphicFramePr/>
                  <a:graphic xmlns:a="http://schemas.openxmlformats.org/drawingml/2006/main">
                    <a:graphicData uri="http://schemas.openxmlformats.org/drawingml/2006/picture">
                      <pic:pic xmlns:pic="http://schemas.openxmlformats.org/drawingml/2006/picture">
                        <pic:nvPicPr>
                          <pic:cNvPr id="3" name="Picture 1"/>
                          <pic:cNvPicPr/>
                        </pic:nvPicPr>
                        <pic:blipFill>
                          <a:blip r:embed="rId10" cstate="print">
                            <a:extLst/>
                          </a:blip>
                          <a:stretch>
                            <a:fillRect/>
                          </a:stretch>
                        </pic:blipFill>
                        <pic:spPr>
                          <a:xfrm>
                            <a:off x="0" y="0"/>
                            <a:ext cx="704850" cy="361950"/>
                          </a:xfrm>
                          <a:prstGeom prst="rect">
                            <a:avLst/>
                          </a:prstGeom>
                        </pic:spPr>
                      </pic:pic>
                    </a:graphicData>
                  </a:graphic>
                </wp:inline>
              </w:drawing>
            </w:r>
          </w:p>
        </w:tc>
      </w:tr>
      <w:tr w:rsidR="001E63BA" w:rsidTr="001E63BA">
        <w:trPr>
          <w:trHeight w:val="573"/>
        </w:trPr>
        <w:tc>
          <w:tcPr>
            <w:tcW w:w="2644" w:type="dxa"/>
            <w:tcBorders>
              <w:top w:val="single" w:sz="4" w:space="0" w:color="auto"/>
              <w:left w:val="nil"/>
              <w:bottom w:val="nil"/>
              <w:right w:val="nil"/>
            </w:tcBorders>
            <w:hideMark/>
          </w:tcPr>
          <w:p w:rsidR="001E63BA" w:rsidRDefault="001E63BA">
            <w:pPr>
              <w:jc w:val="center"/>
              <w:rPr>
                <w:b/>
                <w:bCs/>
                <w:rtl/>
              </w:rPr>
            </w:pPr>
            <w:r>
              <w:rPr>
                <w:rFonts w:hint="cs"/>
                <w:b/>
                <w:bCs/>
                <w:rtl/>
              </w:rPr>
              <w:t>טל לוי מיכאלי</w:t>
            </w:r>
            <w:r>
              <w:rPr>
                <w:b/>
                <w:bCs/>
                <w:rtl/>
              </w:rPr>
              <w:t>, שופטת</w:t>
            </w:r>
          </w:p>
        </w:tc>
      </w:tr>
    </w:tbl>
    <w:p w:rsidR="00776008" w:rsidRDefault="00776008">
      <w:pPr>
        <w:spacing w:line="360" w:lineRule="auto"/>
        <w:jc w:val="both"/>
        <w:rPr>
          <w:rFonts w:ascii="Arial" w:hAnsi="Arial"/>
          <w:b/>
          <w:bCs/>
          <w:noProof w:val="0"/>
          <w:rtl/>
        </w:rPr>
      </w:pPr>
    </w:p>
    <w:p w:rsidR="00694556" w:rsidRPr="00CE5F97" w:rsidRDefault="00CE5F97">
      <w:pPr>
        <w:spacing w:line="360" w:lineRule="auto"/>
        <w:jc w:val="both"/>
        <w:rPr>
          <w:rFonts w:ascii="Arial" w:hAnsi="Arial"/>
          <w:b/>
          <w:bCs/>
          <w:noProof w:val="0"/>
          <w:u w:val="single"/>
          <w:rtl/>
        </w:rPr>
      </w:pPr>
      <w:r w:rsidRPr="00CE5F97">
        <w:rPr>
          <w:rFonts w:ascii="Arial" w:hAnsi="Arial" w:hint="cs"/>
          <w:b/>
          <w:bCs/>
          <w:noProof w:val="0"/>
          <w:u w:val="single"/>
          <w:rtl/>
        </w:rPr>
        <w:lastRenderedPageBreak/>
        <w:t xml:space="preserve">תוצאה </w:t>
      </w:r>
    </w:p>
    <w:p w:rsidR="00CE5F97" w:rsidRDefault="00CE5F97">
      <w:pPr>
        <w:spacing w:line="360" w:lineRule="auto"/>
        <w:jc w:val="both"/>
        <w:rPr>
          <w:rFonts w:ascii="Arial" w:hAnsi="Arial"/>
          <w:noProof w:val="0"/>
          <w:rtl/>
        </w:rPr>
      </w:pPr>
      <w:r>
        <w:rPr>
          <w:rFonts w:ascii="Arial" w:hAnsi="Arial" w:hint="cs"/>
          <w:noProof w:val="0"/>
          <w:rtl/>
        </w:rPr>
        <w:t xml:space="preserve">הערעור מתקבל. </w:t>
      </w:r>
    </w:p>
    <w:p w:rsidR="00CE5F97" w:rsidRDefault="00CE5F97">
      <w:pPr>
        <w:spacing w:line="360" w:lineRule="auto"/>
        <w:jc w:val="both"/>
        <w:rPr>
          <w:rFonts w:ascii="Arial" w:hAnsi="Arial"/>
          <w:noProof w:val="0"/>
          <w:rtl/>
        </w:rPr>
      </w:pPr>
      <w:r>
        <w:rPr>
          <w:rFonts w:ascii="Arial" w:hAnsi="Arial" w:hint="cs"/>
          <w:noProof w:val="0"/>
          <w:rtl/>
        </w:rPr>
        <w:t xml:space="preserve">החלטת בית משפט קמא מבוטלת. </w:t>
      </w:r>
    </w:p>
    <w:p w:rsidR="00CE5F97" w:rsidRDefault="00CE5F97">
      <w:pPr>
        <w:spacing w:line="360" w:lineRule="auto"/>
        <w:jc w:val="both"/>
        <w:rPr>
          <w:rFonts w:ascii="Arial" w:hAnsi="Arial"/>
          <w:noProof w:val="0"/>
          <w:rtl/>
        </w:rPr>
      </w:pPr>
      <w:r>
        <w:rPr>
          <w:rFonts w:ascii="Arial" w:hAnsi="Arial" w:hint="cs"/>
          <w:noProof w:val="0"/>
          <w:rtl/>
        </w:rPr>
        <w:t xml:space="preserve">אין צו להוצאות. </w:t>
      </w:r>
    </w:p>
    <w:p w:rsidR="00CE5F97" w:rsidRDefault="00CE5F97">
      <w:pPr>
        <w:spacing w:line="360" w:lineRule="auto"/>
        <w:jc w:val="both"/>
        <w:rPr>
          <w:rFonts w:ascii="Arial" w:hAnsi="Arial"/>
          <w:noProof w:val="0"/>
          <w:rtl/>
        </w:rPr>
      </w:pPr>
    </w:p>
    <w:p w:rsidR="00CE5F97" w:rsidRDefault="00CE5F97">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5B0F49" w:rsidRDefault="00005C8B" w:rsidP="001542E9">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י"ד טבת תשפ"ה</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14 ינואר 2025</w:t>
          </w:r>
        </w:sdtContent>
      </w:sdt>
      <w:r>
        <w:rPr>
          <w:rFonts w:ascii="Arial" w:hAnsi="Arial"/>
          <w:noProof w:val="0"/>
          <w:rtl/>
        </w:rPr>
        <w:t>, בהעדר הצדדים.</w:t>
      </w:r>
      <w:r w:rsidR="005B0F49">
        <w:rPr>
          <w:rFonts w:ascii="Arial" w:hAnsi="Arial" w:hint="cs"/>
          <w:noProof w:val="0"/>
          <w:rtl/>
        </w:rPr>
        <w:tab/>
      </w:r>
      <w:r w:rsidR="005B0F49">
        <w:rPr>
          <w:rFonts w:ascii="Arial" w:hAnsi="Arial" w:hint="cs"/>
          <w:noProof w:val="0"/>
          <w:rtl/>
        </w:rPr>
        <w:tab/>
      </w:r>
      <w:r w:rsidR="005B0F49">
        <w:rPr>
          <w:rFonts w:ascii="Arial" w:hAnsi="Arial" w:hint="cs"/>
          <w:noProof w:val="0"/>
          <w:rtl/>
        </w:rPr>
        <w:tab/>
      </w:r>
      <w:r w:rsidR="005B0F49">
        <w:rPr>
          <w:rFonts w:ascii="Arial" w:hAnsi="Arial" w:hint="cs"/>
          <w:noProof w:val="0"/>
          <w:rtl/>
        </w:rPr>
        <w:tab/>
      </w:r>
      <w:r w:rsidR="005B0F49">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sidR="005B0F49">
        <w:rPr>
          <w:rFonts w:ascii="Arial" w:hAnsi="Arial" w:hint="cs"/>
          <w:noProof w:val="0"/>
          <w:rtl/>
        </w:rPr>
        <w:tab/>
      </w:r>
      <w:r w:rsidR="005B0F49">
        <w:rPr>
          <w:rFonts w:ascii="Arial" w:hAnsi="Arial" w:hint="cs"/>
          <w:noProof w:val="0"/>
          <w:rtl/>
        </w:rPr>
        <w:tab/>
      </w:r>
      <w:r w:rsidR="00633C4F">
        <w:rPr>
          <w:rFonts w:ascii="Arial" w:hAnsi="Arial"/>
          <w:noProof w:val="0"/>
          <w:rtl/>
        </w:rPr>
        <w:t xml:space="preserve"> </w:t>
      </w:r>
    </w:p>
    <w:tbl>
      <w:tblPr>
        <w:tblStyle w:val="a9"/>
        <w:tblpPr w:leftFromText="180" w:rightFromText="180" w:vertAnchor="text" w:horzAnchor="margin" w:tblpXSpec="center" w:tblpY="310"/>
        <w:bidiVisual/>
        <w:tblW w:w="24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444"/>
      </w:tblGrid>
      <w:tr w:rsidR="00B50811" w:rsidRPr="00861D25" w:rsidTr="00B50811">
        <w:trPr>
          <w:trHeight w:val="1288"/>
        </w:trPr>
        <w:tc>
          <w:tcPr>
            <w:tcW w:w="2444" w:type="dxa"/>
            <w:tcBorders>
              <w:top w:val="nil"/>
              <w:left w:val="nil"/>
              <w:bottom w:val="single" w:sz="4" w:space="0" w:color="auto"/>
              <w:right w:val="nil"/>
            </w:tcBorders>
            <w:vAlign w:val="center"/>
          </w:tcPr>
          <w:p w:rsidR="00B50811" w:rsidRPr="00861D25" w:rsidRDefault="00B50811" w:rsidP="00B50811">
            <w:pPr>
              <w:jc w:val="center"/>
              <w:rPr>
                <w:rFonts w:ascii="Courier New" w:hAnsi="Courier New"/>
                <w:b/>
                <w:bCs/>
                <w:sz w:val="20"/>
                <w:szCs w:val="20"/>
                <w:lang w:eastAsia="he-IL"/>
              </w:rPr>
            </w:pPr>
            <w:r w:rsidRPr="00861D25">
              <w:rPr>
                <w:rFonts w:ascii="Courier New" w:hAnsi="Courier New"/>
                <w:b/>
                <w:bCs/>
                <w:sz w:val="20"/>
                <w:szCs w:val="20"/>
                <w:rtl/>
              </w:rPr>
              <w:drawing>
                <wp:inline distT="0" distB="0" distL="0" distR="0" wp14:anchorId="6629C4DD" wp14:editId="6B723D95">
                  <wp:extent cx="1070565" cy="451798"/>
                  <wp:effectExtent l="0" t="0" r="0" b="5715"/>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2049" cy="452424"/>
                          </a:xfrm>
                          <a:prstGeom prst="rect">
                            <a:avLst/>
                          </a:prstGeom>
                          <a:noFill/>
                          <a:ln>
                            <a:noFill/>
                          </a:ln>
                        </pic:spPr>
                      </pic:pic>
                    </a:graphicData>
                  </a:graphic>
                </wp:inline>
              </w:drawing>
            </w:r>
          </w:p>
        </w:tc>
      </w:tr>
      <w:tr w:rsidR="00B50811" w:rsidRPr="00861D25" w:rsidTr="00B50811">
        <w:trPr>
          <w:trHeight w:val="533"/>
        </w:trPr>
        <w:tc>
          <w:tcPr>
            <w:tcW w:w="2444" w:type="dxa"/>
            <w:tcBorders>
              <w:top w:val="single" w:sz="4" w:space="0" w:color="auto"/>
              <w:left w:val="nil"/>
              <w:bottom w:val="nil"/>
              <w:right w:val="nil"/>
            </w:tcBorders>
            <w:vAlign w:val="center"/>
          </w:tcPr>
          <w:p w:rsidR="00B50811" w:rsidRPr="00861D25" w:rsidRDefault="00B50811" w:rsidP="00B50811">
            <w:pPr>
              <w:jc w:val="center"/>
              <w:rPr>
                <w:rFonts w:ascii="Courier New" w:hAnsi="Courier New"/>
                <w:b/>
                <w:bCs/>
                <w:rtl/>
                <w:lang w:eastAsia="he-IL"/>
              </w:rPr>
            </w:pPr>
            <w:r>
              <w:rPr>
                <w:rFonts w:ascii="Courier New" w:hAnsi="Courier New" w:hint="cs"/>
                <w:b/>
                <w:bCs/>
                <w:rtl/>
                <w:lang w:eastAsia="he-IL"/>
              </w:rPr>
              <w:t>ירדנה סרוסי</w:t>
            </w:r>
            <w:r w:rsidRPr="00861D25">
              <w:rPr>
                <w:rFonts w:ascii="Courier New" w:hAnsi="Courier New"/>
                <w:b/>
                <w:bCs/>
                <w:rtl/>
                <w:lang w:eastAsia="he-IL"/>
              </w:rPr>
              <w:t>, שופט</w:t>
            </w:r>
            <w:r>
              <w:rPr>
                <w:rFonts w:ascii="Courier New" w:hAnsi="Courier New" w:hint="cs"/>
                <w:b/>
                <w:bCs/>
                <w:rtl/>
                <w:lang w:eastAsia="he-IL"/>
              </w:rPr>
              <w:t>ת</w:t>
            </w:r>
          </w:p>
          <w:p w:rsidR="00B50811" w:rsidRPr="00861D25" w:rsidRDefault="00B50811" w:rsidP="00B50811">
            <w:pPr>
              <w:jc w:val="center"/>
              <w:rPr>
                <w:rFonts w:ascii="Courier New" w:hAnsi="Courier New"/>
                <w:b/>
                <w:bCs/>
                <w:lang w:eastAsia="he-IL"/>
              </w:rPr>
            </w:pPr>
          </w:p>
        </w:tc>
      </w:tr>
    </w:tbl>
    <w:tbl>
      <w:tblPr>
        <w:tblStyle w:val="a9"/>
        <w:tblpPr w:leftFromText="180" w:rightFromText="180" w:vertAnchor="text" w:horzAnchor="margin" w:tblpXSpec="right" w:tblpY="28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58"/>
      </w:tblGrid>
      <w:tr w:rsidR="00B50811" w:rsidRPr="00916A9C" w:rsidTr="00B50811">
        <w:trPr>
          <w:trHeight w:val="1342"/>
        </w:trPr>
        <w:tc>
          <w:tcPr>
            <w:tcW w:w="2658" w:type="dxa"/>
            <w:tcBorders>
              <w:top w:val="nil"/>
              <w:left w:val="nil"/>
              <w:bottom w:val="single" w:sz="4" w:space="0" w:color="auto"/>
              <w:right w:val="nil"/>
            </w:tcBorders>
            <w:vAlign w:val="center"/>
          </w:tcPr>
          <w:p w:rsidR="00B50811" w:rsidRPr="00916A9C" w:rsidRDefault="00B50811" w:rsidP="001542E9">
            <w:pPr>
              <w:rPr>
                <w:rFonts w:ascii="Courier New" w:hAnsi="Courier New"/>
                <w:b/>
                <w:bCs/>
              </w:rPr>
            </w:pPr>
            <w:r>
              <w:drawing>
                <wp:anchor distT="0" distB="0" distL="114300" distR="114300" simplePos="0" relativeHeight="251661312" behindDoc="0" locked="0" layoutInCell="1" allowOverlap="1" wp14:anchorId="1AA19666" wp14:editId="441378BB">
                  <wp:simplePos x="0" y="0"/>
                  <wp:positionH relativeFrom="column">
                    <wp:posOffset>276225</wp:posOffset>
                  </wp:positionH>
                  <wp:positionV relativeFrom="paragraph">
                    <wp:posOffset>-64135</wp:posOffset>
                  </wp:positionV>
                  <wp:extent cx="962025" cy="594360"/>
                  <wp:effectExtent l="0" t="0" r="9525" b="0"/>
                  <wp:wrapNone/>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62025" cy="59436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B50811" w:rsidRPr="00916A9C" w:rsidTr="00B50811">
        <w:trPr>
          <w:trHeight w:val="355"/>
        </w:trPr>
        <w:tc>
          <w:tcPr>
            <w:tcW w:w="2658" w:type="dxa"/>
            <w:tcBorders>
              <w:top w:val="single" w:sz="4" w:space="0" w:color="auto"/>
              <w:left w:val="nil"/>
              <w:bottom w:val="nil"/>
              <w:right w:val="nil"/>
            </w:tcBorders>
            <w:vAlign w:val="bottom"/>
          </w:tcPr>
          <w:p w:rsidR="00B50811" w:rsidRPr="00916A9C" w:rsidRDefault="00B50811" w:rsidP="00B50811">
            <w:pPr>
              <w:jc w:val="center"/>
              <w:rPr>
                <w:rFonts w:ascii="Courier New" w:hAnsi="Courier New"/>
                <w:b/>
                <w:bCs/>
                <w:rtl/>
              </w:rPr>
            </w:pPr>
            <w:r>
              <w:rPr>
                <w:rFonts w:ascii="Courier New" w:hAnsi="Courier New"/>
                <w:b/>
                <w:bCs/>
                <w:rtl/>
              </w:rPr>
              <w:t>יונה אטדגי, שופט</w:t>
            </w:r>
          </w:p>
          <w:p w:rsidR="00B50811" w:rsidRPr="00916A9C" w:rsidRDefault="00B50811" w:rsidP="00B50811">
            <w:pPr>
              <w:jc w:val="center"/>
              <w:rPr>
                <w:rFonts w:ascii="Courier New" w:hAnsi="Courier New"/>
                <w:b/>
                <w:bCs/>
              </w:rPr>
            </w:pPr>
          </w:p>
        </w:tc>
      </w:tr>
    </w:tbl>
    <w:tbl>
      <w:tblPr>
        <w:tblStyle w:val="a9"/>
        <w:tblpPr w:leftFromText="180" w:rightFromText="180" w:vertAnchor="text" w:horzAnchor="page" w:tblpX="2215" w:tblpY="331"/>
        <w:bidiVisual/>
        <w:tblW w:w="2241" w:type="dxa"/>
        <w:tblBorders>
          <w:top w:val="none" w:sz="0" w:space="0" w:color="auto"/>
          <w:left w:val="none" w:sz="0" w:space="0" w:color="auto"/>
          <w:bottom w:val="none" w:sz="0" w:space="0" w:color="auto"/>
          <w:right w:val="none" w:sz="0" w:space="0" w:color="auto"/>
        </w:tblBorders>
        <w:tblLook w:val="01E0" w:firstRow="1" w:lastRow="1" w:firstColumn="1" w:lastColumn="1" w:noHBand="0" w:noVBand="0"/>
      </w:tblPr>
      <w:tblGrid>
        <w:gridCol w:w="2241"/>
      </w:tblGrid>
      <w:tr w:rsidR="001542E9" w:rsidTr="001542E9">
        <w:trPr>
          <w:trHeight w:val="672"/>
        </w:trPr>
        <w:tc>
          <w:tcPr>
            <w:tcW w:w="2241" w:type="dxa"/>
            <w:tcBorders>
              <w:top w:val="nil"/>
              <w:left w:val="nil"/>
              <w:bottom w:val="single" w:sz="4" w:space="0" w:color="auto"/>
              <w:right w:val="nil"/>
            </w:tcBorders>
            <w:hideMark/>
          </w:tcPr>
          <w:p w:rsidR="001542E9" w:rsidRDefault="001542E9" w:rsidP="001542E9">
            <w:pPr>
              <w:jc w:val="center"/>
            </w:pPr>
          </w:p>
          <w:p w:rsidR="001542E9" w:rsidRDefault="001542E9" w:rsidP="001542E9">
            <w:pPr>
              <w:jc w:val="center"/>
              <w:rPr>
                <w:rtl/>
              </w:rPr>
            </w:pPr>
            <w:r>
              <w:drawing>
                <wp:inline distT="0" distB="0" distL="0" distR="0" wp14:anchorId="4558B4F2" wp14:editId="77226F2B">
                  <wp:extent cx="825689" cy="477466"/>
                  <wp:effectExtent l="0" t="0" r="0" b="0"/>
                  <wp:docPr id="6" name="Picture 1"/>
                  <wp:cNvGraphicFramePr/>
                  <a:graphic xmlns:a="http://schemas.openxmlformats.org/drawingml/2006/main">
                    <a:graphicData uri="http://schemas.openxmlformats.org/drawingml/2006/picture">
                      <pic:pic xmlns:pic="http://schemas.openxmlformats.org/drawingml/2006/picture">
                        <pic:nvPicPr>
                          <pic:cNvPr id="3" name="Picture 1"/>
                          <pic:cNvPicPr/>
                        </pic:nvPicPr>
                        <pic:blipFill>
                          <a:blip r:embed="rId10" cstate="print">
                            <a:extLst/>
                          </a:blip>
                          <a:stretch>
                            <a:fillRect/>
                          </a:stretch>
                        </pic:blipFill>
                        <pic:spPr>
                          <a:xfrm>
                            <a:off x="0" y="0"/>
                            <a:ext cx="864608" cy="499971"/>
                          </a:xfrm>
                          <a:prstGeom prst="rect">
                            <a:avLst/>
                          </a:prstGeom>
                        </pic:spPr>
                      </pic:pic>
                    </a:graphicData>
                  </a:graphic>
                </wp:inline>
              </w:drawing>
            </w:r>
          </w:p>
          <w:p w:rsidR="001542E9" w:rsidRPr="001542E9" w:rsidRDefault="001542E9" w:rsidP="001542E9">
            <w:pPr>
              <w:jc w:val="center"/>
              <w:rPr>
                <w:rtl/>
              </w:rPr>
            </w:pPr>
          </w:p>
        </w:tc>
      </w:tr>
      <w:tr w:rsidR="001542E9" w:rsidTr="001542E9">
        <w:trPr>
          <w:trHeight w:val="797"/>
        </w:trPr>
        <w:tc>
          <w:tcPr>
            <w:tcW w:w="2241" w:type="dxa"/>
            <w:tcBorders>
              <w:top w:val="single" w:sz="4" w:space="0" w:color="auto"/>
              <w:left w:val="nil"/>
              <w:bottom w:val="nil"/>
              <w:right w:val="nil"/>
            </w:tcBorders>
            <w:hideMark/>
          </w:tcPr>
          <w:p w:rsidR="001542E9" w:rsidRDefault="001542E9" w:rsidP="001542E9">
            <w:pPr>
              <w:jc w:val="center"/>
              <w:rPr>
                <w:b/>
                <w:bCs/>
                <w:rtl/>
              </w:rPr>
            </w:pPr>
            <w:r>
              <w:rPr>
                <w:rFonts w:hint="cs"/>
                <w:b/>
                <w:bCs/>
                <w:rtl/>
              </w:rPr>
              <w:t>טל לוי מיכאלי</w:t>
            </w:r>
            <w:r>
              <w:rPr>
                <w:b/>
                <w:bCs/>
                <w:rtl/>
              </w:rPr>
              <w:t>, שופטת</w:t>
            </w:r>
          </w:p>
        </w:tc>
      </w:tr>
    </w:tbl>
    <w:p w:rsidR="00694556" w:rsidRDefault="00694556">
      <w:pPr>
        <w:spacing w:line="360" w:lineRule="auto"/>
        <w:jc w:val="both"/>
        <w:rPr>
          <w:rFonts w:ascii="Arial" w:hAnsi="Arial"/>
          <w:noProof w:val="0"/>
        </w:rPr>
      </w:pPr>
    </w:p>
    <w:sectPr w:rsidR="00694556" w:rsidSect="00DD1437">
      <w:headerReference w:type="even" r:id="rId11"/>
      <w:headerReference w:type="default" r:id="rId12"/>
      <w:footerReference w:type="even" r:id="rId13"/>
      <w:footerReference w:type="default" r:id="rId14"/>
      <w:headerReference w:type="first" r:id="rId15"/>
      <w:footerReference w:type="first" r:id="rId16"/>
      <w:pgSz w:w="11907" w:h="16840" w:code="9"/>
      <w:pgMar w:top="1440" w:right="1800" w:bottom="1440" w:left="1800"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FC8" w:rsidRDefault="00802FC8">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802FC8">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802FC8">
      <w:rPr>
        <w:rStyle w:val="ab"/>
        <w:rtl/>
      </w:rPr>
      <w:t>11</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FC8" w:rsidRDefault="00802FC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FC8" w:rsidRDefault="00802FC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5DD70561" wp14:editId="1CF64098">
          <wp:extent cx="371475" cy="466725"/>
          <wp:effectExtent l="0" t="0" r="9525" b="9525"/>
          <wp:docPr id="1"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rsidTr="00541598">
      <w:trPr>
        <w:trHeight w:hRule="exact" w:val="670"/>
        <w:jc w:val="center"/>
      </w:trPr>
      <w:sdt>
        <w:sdtPr>
          <w:rPr>
            <w:sz w:val="32"/>
            <w:szCs w:val="32"/>
            <w:rtl/>
          </w:rPr>
          <w:alias w:val="1174"/>
          <w:tag w:val="1174"/>
          <w:id w:val="-1775709220"/>
          <w:text/>
        </w:sdtPr>
        <w:sdtEndPr/>
        <w:sdtContent>
          <w:tc>
            <w:tcPr>
              <w:tcW w:w="8721" w:type="dxa"/>
              <w:gridSpan w:val="2"/>
            </w:tcPr>
            <w:p w:rsidR="00694556" w:rsidRPr="00CD0055"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המשפט המחוזי בתל אביב -יפו</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rsidRPr="00CD0055">
      <w:trPr>
        <w:trHeight w:val="337"/>
        <w:jc w:val="center"/>
      </w:trPr>
      <w:tc>
        <w:tcPr>
          <w:tcW w:w="8721" w:type="dxa"/>
          <w:gridSpan w:val="2"/>
        </w:tcPr>
        <w:p w:rsidR="00694556" w:rsidRPr="00CD0055" w:rsidRDefault="00802FC8">
          <w:pPr>
            <w:rPr>
              <w:b/>
              <w:bCs/>
              <w:noProof w:val="0"/>
              <w:sz w:val="26"/>
              <w:szCs w:val="26"/>
              <w:rtl/>
            </w:rPr>
          </w:pPr>
          <w:sdt>
            <w:sdtPr>
              <w:rPr>
                <w:b/>
                <w:bCs/>
                <w:noProof w:val="0"/>
                <w:sz w:val="26"/>
                <w:szCs w:val="26"/>
                <w:rtl/>
              </w:rPr>
              <w:alias w:val="1170"/>
              <w:tag w:val="1170"/>
              <w:id w:val="299038016"/>
              <w:text w:multiLine="1"/>
            </w:sdtPr>
            <w:sdtEndPr/>
            <w:sdtContent>
              <w:r w:rsidR="006B5553">
                <w:rPr>
                  <w:b/>
                  <w:bCs/>
                  <w:noProof w:val="0"/>
                  <w:sz w:val="26"/>
                  <w:szCs w:val="26"/>
                  <w:rtl/>
                </w:rPr>
                <w:t>ע"א</w:t>
              </w:r>
            </w:sdtContent>
          </w:sdt>
          <w:r w:rsidR="00005C8B" w:rsidRPr="00CD0055">
            <w:rPr>
              <w:b/>
              <w:bCs/>
              <w:noProof w:val="0"/>
              <w:sz w:val="26"/>
              <w:szCs w:val="26"/>
              <w:rtl/>
            </w:rPr>
            <w:t xml:space="preserve"> </w:t>
          </w:r>
          <w:bookmarkStart w:id="0" w:name="_GoBack"/>
          <w:sdt>
            <w:sdtPr>
              <w:rPr>
                <w:b/>
                <w:bCs/>
                <w:noProof w:val="0"/>
                <w:sz w:val="26"/>
                <w:szCs w:val="26"/>
                <w:rtl/>
              </w:rPr>
              <w:alias w:val="1171"/>
              <w:tag w:val="1171"/>
              <w:id w:val="81650337"/>
              <w:text w:multiLine="1"/>
            </w:sdtPr>
            <w:sdtEndPr/>
            <w:sdtContent>
              <w:r w:rsidR="006B5553">
                <w:rPr>
                  <w:b/>
                  <w:bCs/>
                  <w:noProof w:val="0"/>
                  <w:sz w:val="26"/>
                  <w:szCs w:val="26"/>
                  <w:rtl/>
                </w:rPr>
                <w:t>66978-09-24</w:t>
              </w:r>
            </w:sdtContent>
          </w:sdt>
          <w:bookmarkEnd w:id="0"/>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6B5553">
                <w:rPr>
                  <w:b/>
                  <w:bCs/>
                  <w:noProof w:val="0"/>
                  <w:sz w:val="26"/>
                  <w:szCs w:val="26"/>
                  <w:rtl/>
                </w:rPr>
                <w:t xml:space="preserve">מדינת ישראל -רשות המיסים נ' בית ארז חוות </w:t>
              </w:r>
              <w:proofErr w:type="spellStart"/>
              <w:r w:rsidR="006B5553">
                <w:rPr>
                  <w:b/>
                  <w:bCs/>
                  <w:noProof w:val="0"/>
                  <w:sz w:val="26"/>
                  <w:szCs w:val="26"/>
                  <w:rtl/>
                </w:rPr>
                <w:t>מילטין</w:t>
              </w:r>
              <w:proofErr w:type="spellEnd"/>
              <w:r w:rsidR="006B5553">
                <w:rPr>
                  <w:b/>
                  <w:bCs/>
                  <w:noProof w:val="0"/>
                  <w:sz w:val="26"/>
                  <w:szCs w:val="26"/>
                  <w:rtl/>
                </w:rPr>
                <w:t xml:space="preserve"> בע"מ ואח'</w:t>
              </w:r>
            </w:sdtContent>
          </w:sdt>
        </w:p>
        <w:p w:rsidR="00694556" w:rsidRPr="00CD0055" w:rsidRDefault="00694556">
          <w:pPr>
            <w:rPr>
              <w:b/>
              <w:bCs/>
              <w:noProof w:val="0"/>
              <w:sz w:val="26"/>
              <w:szCs w:val="26"/>
              <w:rtl/>
            </w:rPr>
          </w:pPr>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FC8" w:rsidRDefault="00802FC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EF40F3"/>
    <w:multiLevelType w:val="multilevel"/>
    <w:tmpl w:val="F7CCE868"/>
    <w:lvl w:ilvl="0">
      <w:start w:val="1"/>
      <w:numFmt w:val="decimal"/>
      <w:lvlText w:val="%1."/>
      <w:lvlJc w:val="left"/>
      <w:pPr>
        <w:ind w:left="360" w:hanging="360"/>
      </w:pPr>
      <w:rPr>
        <w:rFonts w:ascii="David" w:hAnsi="David" w:cs="David" w:hint="default"/>
        <w:b w:val="0"/>
        <w:bCs w:val="0"/>
        <w:sz w:val="26"/>
        <w:szCs w:val="26"/>
        <w:lang w:val="en-U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29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5C8B"/>
    <w:rsid w:val="000146C2"/>
    <w:rsid w:val="00016C35"/>
    <w:rsid w:val="000258FD"/>
    <w:rsid w:val="000564AB"/>
    <w:rsid w:val="000B2E97"/>
    <w:rsid w:val="000D4A02"/>
    <w:rsid w:val="001072A9"/>
    <w:rsid w:val="00121F97"/>
    <w:rsid w:val="001277D7"/>
    <w:rsid w:val="00132017"/>
    <w:rsid w:val="0014234E"/>
    <w:rsid w:val="00145A87"/>
    <w:rsid w:val="001542E9"/>
    <w:rsid w:val="001C4003"/>
    <w:rsid w:val="001E63BA"/>
    <w:rsid w:val="001F5474"/>
    <w:rsid w:val="00225BA6"/>
    <w:rsid w:val="002352F7"/>
    <w:rsid w:val="00295DD1"/>
    <w:rsid w:val="00381D3A"/>
    <w:rsid w:val="003823DA"/>
    <w:rsid w:val="0043595F"/>
    <w:rsid w:val="0047645A"/>
    <w:rsid w:val="004D49A3"/>
    <w:rsid w:val="004E6E3C"/>
    <w:rsid w:val="005124F1"/>
    <w:rsid w:val="0051350E"/>
    <w:rsid w:val="00530BAD"/>
    <w:rsid w:val="00541598"/>
    <w:rsid w:val="00547DB7"/>
    <w:rsid w:val="00567324"/>
    <w:rsid w:val="005B0F49"/>
    <w:rsid w:val="005C7EC6"/>
    <w:rsid w:val="005D4BDB"/>
    <w:rsid w:val="00622BAA"/>
    <w:rsid w:val="00625C89"/>
    <w:rsid w:val="00633C4F"/>
    <w:rsid w:val="00671BD5"/>
    <w:rsid w:val="006805C1"/>
    <w:rsid w:val="006816EC"/>
    <w:rsid w:val="00694556"/>
    <w:rsid w:val="006B5553"/>
    <w:rsid w:val="006E1A53"/>
    <w:rsid w:val="007056AA"/>
    <w:rsid w:val="00744F41"/>
    <w:rsid w:val="00776008"/>
    <w:rsid w:val="007A24FE"/>
    <w:rsid w:val="007A35AA"/>
    <w:rsid w:val="007F1048"/>
    <w:rsid w:val="00802FC8"/>
    <w:rsid w:val="00820005"/>
    <w:rsid w:val="0083107C"/>
    <w:rsid w:val="00846D27"/>
    <w:rsid w:val="008610A7"/>
    <w:rsid w:val="008E1332"/>
    <w:rsid w:val="008F3455"/>
    <w:rsid w:val="00903896"/>
    <w:rsid w:val="00927813"/>
    <w:rsid w:val="00944D13"/>
    <w:rsid w:val="00957C90"/>
    <w:rsid w:val="00995513"/>
    <w:rsid w:val="009E0263"/>
    <w:rsid w:val="00A0260A"/>
    <w:rsid w:val="00A267CF"/>
    <w:rsid w:val="00A43458"/>
    <w:rsid w:val="00A554DA"/>
    <w:rsid w:val="00AC4E19"/>
    <w:rsid w:val="00AE739E"/>
    <w:rsid w:val="00AF1ED6"/>
    <w:rsid w:val="00B32C61"/>
    <w:rsid w:val="00B368FE"/>
    <w:rsid w:val="00B50811"/>
    <w:rsid w:val="00B80CBD"/>
    <w:rsid w:val="00BC3369"/>
    <w:rsid w:val="00BF77EE"/>
    <w:rsid w:val="00C32E0F"/>
    <w:rsid w:val="00C42BF9"/>
    <w:rsid w:val="00C83E56"/>
    <w:rsid w:val="00CD0055"/>
    <w:rsid w:val="00CE5F97"/>
    <w:rsid w:val="00D319B3"/>
    <w:rsid w:val="00D5034F"/>
    <w:rsid w:val="00D53924"/>
    <w:rsid w:val="00D60849"/>
    <w:rsid w:val="00D632EE"/>
    <w:rsid w:val="00D96D8C"/>
    <w:rsid w:val="00DD1437"/>
    <w:rsid w:val="00DD337E"/>
    <w:rsid w:val="00E00B6F"/>
    <w:rsid w:val="00E50B33"/>
    <w:rsid w:val="00E54642"/>
    <w:rsid w:val="00E97908"/>
    <w:rsid w:val="00EF3ED0"/>
    <w:rsid w:val="00F17E56"/>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9025"/>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uiPriority w:val="59"/>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986660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27C29"/>
    <w:rsid w:val="00CC55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3004</Words>
  <Characters>15025</Characters>
  <Application>Microsoft Office Word</Application>
  <DocSecurity>4</DocSecurity>
  <Lines>125</Lines>
  <Paragraphs>35</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נעה בקר</cp:lastModifiedBy>
  <cp:revision>2</cp:revision>
  <dcterms:created xsi:type="dcterms:W3CDTF">2025-01-16T11:11:00Z</dcterms:created>
  <dcterms:modified xsi:type="dcterms:W3CDTF">2025-01-16T11:11:00Z</dcterms:modified>
</cp:coreProperties>
</file>