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4CF" w:rsidRPr="00D41012" w:rsidRDefault="001034CF" w:rsidP="00D5338F">
      <w:pPr>
        <w:pStyle w:val="BODYVERDICT"/>
        <w:jc w:val="center"/>
        <w:rPr>
          <w:rFonts w:cs="Miriam"/>
          <w:sz w:val="24"/>
          <w:szCs w:val="24"/>
          <w:u w:val="single"/>
          <w:rtl/>
        </w:rPr>
      </w:pPr>
      <w:bookmarkStart w:id="0" w:name="Writer_Name"/>
      <w:bookmarkEnd w:id="0"/>
      <w:r w:rsidRPr="00D41012">
        <w:rPr>
          <w:rFonts w:cs="Miriam" w:hint="cs"/>
          <w:sz w:val="24"/>
          <w:szCs w:val="24"/>
          <w:u w:val="single"/>
          <w:rtl/>
        </w:rPr>
        <w:t>בג"ץ 6510/21 כהנא-דרור נ'  נשיא בית הדין הרבני הגדול (10.8.2022)</w:t>
      </w:r>
    </w:p>
    <w:p w:rsidR="001034CF" w:rsidRPr="00D41012" w:rsidRDefault="001034CF" w:rsidP="00D5338F">
      <w:pPr>
        <w:pStyle w:val="BODYVERDICT"/>
        <w:jc w:val="center"/>
        <w:rPr>
          <w:rFonts w:ascii="Century" w:hAnsi="Century"/>
          <w:rtl/>
        </w:rPr>
      </w:pPr>
    </w:p>
    <w:p w:rsidR="001B286E" w:rsidRPr="00D41012" w:rsidRDefault="001B286E" w:rsidP="00D41012">
      <w:pPr>
        <w:tabs>
          <w:tab w:val="left" w:pos="800"/>
        </w:tabs>
        <w:jc w:val="both"/>
        <w:rPr>
          <w:rFonts w:ascii="Century" w:hAnsi="Century" w:cs="FrankRuehl"/>
          <w:spacing w:val="10"/>
          <w:sz w:val="22"/>
          <w:szCs w:val="28"/>
          <w:rtl/>
        </w:rPr>
      </w:pPr>
      <w:r w:rsidRPr="00D41012">
        <w:rPr>
          <w:rFonts w:ascii="Century" w:hAnsi="Century" w:cs="FrankRuehl" w:hint="eastAsia"/>
          <w:b/>
          <w:bCs/>
          <w:spacing w:val="10"/>
          <w:sz w:val="22"/>
          <w:szCs w:val="28"/>
          <w:rtl/>
        </w:rPr>
        <w:t>תאריך</w:t>
      </w:r>
      <w:r w:rsidRPr="00D41012">
        <w:rPr>
          <w:rFonts w:ascii="Century" w:hAnsi="Century" w:cs="FrankRuehl"/>
          <w:b/>
          <w:bCs/>
          <w:spacing w:val="10"/>
          <w:sz w:val="22"/>
          <w:szCs w:val="28"/>
          <w:rtl/>
        </w:rPr>
        <w:t xml:space="preserve"> פסק הדין</w:t>
      </w:r>
      <w:r w:rsidR="00D41012">
        <w:rPr>
          <w:rFonts w:ascii="Century" w:hAnsi="Century" w:cs="FrankRuehl" w:hint="cs"/>
          <w:spacing w:val="10"/>
          <w:sz w:val="22"/>
          <w:szCs w:val="28"/>
          <w:rtl/>
        </w:rPr>
        <w:t xml:space="preserve">: </w:t>
      </w:r>
      <w:r w:rsidRPr="00D41012">
        <w:rPr>
          <w:rFonts w:ascii="Century" w:hAnsi="Century" w:cs="FrankRuehl" w:hint="eastAsia"/>
          <w:spacing w:val="10"/>
          <w:sz w:val="22"/>
          <w:szCs w:val="28"/>
          <w:rtl/>
        </w:rPr>
        <w:t>‏</w:t>
      </w:r>
      <w:r w:rsidRPr="00D41012">
        <w:rPr>
          <w:rFonts w:ascii="Century" w:hAnsi="Century" w:cs="FrankRuehl" w:hint="cs"/>
          <w:spacing w:val="10"/>
          <w:sz w:val="22"/>
          <w:szCs w:val="28"/>
          <w:rtl/>
        </w:rPr>
        <w:t xml:space="preserve">י"ג באב </w:t>
      </w:r>
      <w:proofErr w:type="spellStart"/>
      <w:r w:rsidRPr="00D41012">
        <w:rPr>
          <w:rFonts w:ascii="Century" w:hAnsi="Century" w:cs="FrankRuehl" w:hint="eastAsia"/>
          <w:spacing w:val="10"/>
          <w:sz w:val="22"/>
          <w:szCs w:val="28"/>
          <w:rtl/>
        </w:rPr>
        <w:t>התשפ</w:t>
      </w:r>
      <w:r w:rsidRPr="00D41012">
        <w:rPr>
          <w:rFonts w:ascii="Century" w:hAnsi="Century" w:cs="FrankRuehl"/>
          <w:spacing w:val="10"/>
          <w:sz w:val="22"/>
          <w:szCs w:val="28"/>
          <w:rtl/>
        </w:rPr>
        <w:t>"</w:t>
      </w:r>
      <w:r w:rsidRPr="00D41012">
        <w:rPr>
          <w:rFonts w:ascii="Century" w:hAnsi="Century" w:cs="FrankRuehl" w:hint="eastAsia"/>
          <w:spacing w:val="10"/>
          <w:sz w:val="22"/>
          <w:szCs w:val="28"/>
          <w:rtl/>
        </w:rPr>
        <w:t>ב</w:t>
      </w:r>
      <w:proofErr w:type="spellEnd"/>
      <w:r w:rsidRPr="00D41012">
        <w:rPr>
          <w:rFonts w:ascii="Century" w:hAnsi="Century" w:cs="FrankRuehl"/>
          <w:spacing w:val="10"/>
          <w:sz w:val="22"/>
          <w:szCs w:val="28"/>
          <w:rtl/>
        </w:rPr>
        <w:t xml:space="preserve"> (</w:t>
      </w:r>
      <w:r w:rsidRPr="00D41012">
        <w:rPr>
          <w:rFonts w:ascii="Century" w:hAnsi="Century" w:cs="FrankRuehl" w:hint="eastAsia"/>
          <w:spacing w:val="10"/>
          <w:sz w:val="22"/>
          <w:szCs w:val="28"/>
          <w:rtl/>
        </w:rPr>
        <w:t>‏</w:t>
      </w:r>
      <w:r w:rsidRPr="00D41012">
        <w:rPr>
          <w:rFonts w:ascii="Century" w:hAnsi="Century" w:cs="FrankRuehl" w:hint="cs"/>
          <w:spacing w:val="10"/>
          <w:sz w:val="22"/>
          <w:szCs w:val="28"/>
          <w:rtl/>
        </w:rPr>
        <w:t>10</w:t>
      </w:r>
      <w:r w:rsidRPr="00D41012">
        <w:rPr>
          <w:rFonts w:ascii="Century" w:hAnsi="Century" w:cs="FrankRuehl"/>
          <w:spacing w:val="10"/>
          <w:sz w:val="22"/>
          <w:szCs w:val="28"/>
          <w:rtl/>
        </w:rPr>
        <w:t>.</w:t>
      </w:r>
      <w:r w:rsidRPr="00D41012">
        <w:rPr>
          <w:rFonts w:ascii="Century" w:hAnsi="Century" w:cs="FrankRuehl" w:hint="cs"/>
          <w:spacing w:val="10"/>
          <w:sz w:val="22"/>
          <w:szCs w:val="28"/>
          <w:rtl/>
        </w:rPr>
        <w:t>8</w:t>
      </w:r>
      <w:r w:rsidRPr="00D41012">
        <w:rPr>
          <w:rFonts w:ascii="Century" w:hAnsi="Century" w:cs="FrankRuehl"/>
          <w:spacing w:val="10"/>
          <w:sz w:val="22"/>
          <w:szCs w:val="28"/>
          <w:rtl/>
        </w:rPr>
        <w:t>.2022).</w:t>
      </w:r>
    </w:p>
    <w:p w:rsidR="00E84746" w:rsidRDefault="00E84746" w:rsidP="00A35CD3">
      <w:pPr>
        <w:pStyle w:val="Ruller41"/>
        <w:rPr>
          <w:rFonts w:ascii="Century" w:hAnsi="Century"/>
          <w:b/>
          <w:bCs/>
          <w:rtl/>
        </w:rPr>
      </w:pPr>
    </w:p>
    <w:p w:rsidR="001B286E" w:rsidRPr="00D41012" w:rsidRDefault="001B286E" w:rsidP="00A35CD3">
      <w:pPr>
        <w:pStyle w:val="Ruller41"/>
        <w:rPr>
          <w:rFonts w:ascii="Century" w:hAnsi="Century"/>
          <w:rtl/>
        </w:rPr>
      </w:pPr>
      <w:bookmarkStart w:id="1" w:name="_GoBack"/>
      <w:bookmarkEnd w:id="1"/>
      <w:r w:rsidRPr="00D41012">
        <w:rPr>
          <w:rFonts w:ascii="Century" w:hAnsi="Century" w:hint="eastAsia"/>
          <w:b/>
          <w:bCs/>
          <w:rtl/>
        </w:rPr>
        <w:t>הרכב</w:t>
      </w:r>
      <w:r w:rsidRPr="00D41012">
        <w:rPr>
          <w:rFonts w:ascii="Century" w:hAnsi="Century"/>
          <w:b/>
          <w:bCs/>
          <w:rtl/>
        </w:rPr>
        <w:t xml:space="preserve"> </w:t>
      </w:r>
      <w:r w:rsidRPr="00D41012">
        <w:rPr>
          <w:rFonts w:ascii="Century" w:hAnsi="Century" w:hint="eastAsia"/>
          <w:b/>
          <w:bCs/>
          <w:rtl/>
        </w:rPr>
        <w:t>השופטים</w:t>
      </w:r>
      <w:r w:rsidRPr="00D41012">
        <w:rPr>
          <w:rFonts w:ascii="Century" w:hAnsi="Century"/>
          <w:rtl/>
        </w:rPr>
        <w:t xml:space="preserve">: </w:t>
      </w:r>
      <w:r w:rsidRPr="00D41012">
        <w:rPr>
          <w:rFonts w:ascii="Century" w:hAnsi="Century" w:hint="cs"/>
          <w:rtl/>
        </w:rPr>
        <w:t xml:space="preserve">המשנה לנשיאה </w:t>
      </w:r>
      <w:r w:rsidRPr="00D41012">
        <w:rPr>
          <w:rFonts w:ascii="Century" w:hAnsi="Century" w:cs="Miriam" w:hint="eastAsia"/>
          <w:b/>
          <w:spacing w:val="0"/>
          <w:szCs w:val="24"/>
          <w:rtl/>
        </w:rPr>
        <w:t>ע</w:t>
      </w:r>
      <w:r w:rsidRPr="00D41012">
        <w:rPr>
          <w:rFonts w:ascii="Century" w:hAnsi="Century" w:cs="Miriam"/>
          <w:b/>
          <w:spacing w:val="0"/>
          <w:szCs w:val="24"/>
          <w:rtl/>
        </w:rPr>
        <w:t xml:space="preserve">' </w:t>
      </w:r>
      <w:r w:rsidRPr="00D41012">
        <w:rPr>
          <w:rFonts w:ascii="Century" w:hAnsi="Century" w:cs="Miriam" w:hint="eastAsia"/>
          <w:b/>
          <w:spacing w:val="0"/>
          <w:szCs w:val="24"/>
          <w:rtl/>
        </w:rPr>
        <w:t>פוגלמן</w:t>
      </w:r>
      <w:r w:rsidRPr="00D41012">
        <w:rPr>
          <w:rFonts w:ascii="Century" w:hAnsi="Century"/>
          <w:rtl/>
        </w:rPr>
        <w:t xml:space="preserve">; השופטת </w:t>
      </w:r>
      <w:r w:rsidRPr="00D41012">
        <w:rPr>
          <w:rFonts w:ascii="Century" w:hAnsi="Century" w:cs="Miriam" w:hint="eastAsia"/>
          <w:b/>
          <w:spacing w:val="0"/>
          <w:szCs w:val="24"/>
          <w:rtl/>
        </w:rPr>
        <w:t>ד</w:t>
      </w:r>
      <w:r w:rsidRPr="00D41012">
        <w:rPr>
          <w:rFonts w:ascii="Century" w:hAnsi="Century" w:cs="Miriam"/>
          <w:b/>
          <w:spacing w:val="0"/>
          <w:szCs w:val="24"/>
          <w:rtl/>
        </w:rPr>
        <w:t xml:space="preserve">' </w:t>
      </w:r>
      <w:r w:rsidRPr="00D41012">
        <w:rPr>
          <w:rFonts w:ascii="Century" w:hAnsi="Century" w:cs="Miriam" w:hint="eastAsia"/>
          <w:b/>
          <w:spacing w:val="0"/>
          <w:szCs w:val="24"/>
          <w:rtl/>
        </w:rPr>
        <w:t>ברק</w:t>
      </w:r>
      <w:r w:rsidRPr="00D41012">
        <w:rPr>
          <w:rFonts w:ascii="Century" w:hAnsi="Century" w:cs="Miriam"/>
          <w:b/>
          <w:spacing w:val="0"/>
          <w:szCs w:val="24"/>
          <w:rtl/>
        </w:rPr>
        <w:t>-ארז</w:t>
      </w:r>
      <w:r w:rsidRPr="00D41012">
        <w:rPr>
          <w:rFonts w:ascii="Century" w:hAnsi="Century"/>
          <w:rtl/>
        </w:rPr>
        <w:t xml:space="preserve">; </w:t>
      </w:r>
      <w:r w:rsidRPr="00D41012">
        <w:rPr>
          <w:rFonts w:ascii="Century" w:hAnsi="Century" w:hint="cs"/>
          <w:rtl/>
        </w:rPr>
        <w:t>ו</w:t>
      </w:r>
      <w:r w:rsidRPr="00D41012">
        <w:rPr>
          <w:rFonts w:ascii="Century" w:hAnsi="Century"/>
          <w:rtl/>
        </w:rPr>
        <w:t>השופט</w:t>
      </w:r>
      <w:r w:rsidRPr="00D41012">
        <w:rPr>
          <w:rFonts w:ascii="Century" w:hAnsi="Century" w:hint="cs"/>
          <w:rtl/>
        </w:rPr>
        <w:t>ת</w:t>
      </w:r>
      <w:r w:rsidRPr="00D41012">
        <w:rPr>
          <w:rFonts w:ascii="Century" w:hAnsi="Century"/>
          <w:rtl/>
        </w:rPr>
        <w:t xml:space="preserve"> </w:t>
      </w:r>
      <w:r w:rsidRPr="00D41012">
        <w:rPr>
          <w:rFonts w:ascii="Century" w:hAnsi="Century" w:cs="Miriam" w:hint="cs"/>
          <w:b/>
          <w:spacing w:val="0"/>
          <w:szCs w:val="24"/>
          <w:rtl/>
        </w:rPr>
        <w:t>י</w:t>
      </w:r>
      <w:r w:rsidRPr="00D41012">
        <w:rPr>
          <w:rFonts w:ascii="Century" w:hAnsi="Century" w:cs="Miriam"/>
          <w:b/>
          <w:spacing w:val="0"/>
          <w:szCs w:val="24"/>
          <w:rtl/>
        </w:rPr>
        <w:t xml:space="preserve">' </w:t>
      </w:r>
      <w:r w:rsidRPr="00D41012">
        <w:rPr>
          <w:rFonts w:ascii="Century" w:hAnsi="Century" w:cs="Miriam" w:hint="cs"/>
          <w:b/>
          <w:spacing w:val="0"/>
          <w:szCs w:val="24"/>
          <w:rtl/>
        </w:rPr>
        <w:t>וילנר</w:t>
      </w:r>
      <w:r w:rsidRPr="00D41012">
        <w:rPr>
          <w:rFonts w:ascii="Century" w:hAnsi="Century"/>
          <w:rtl/>
        </w:rPr>
        <w:t>.</w:t>
      </w:r>
    </w:p>
    <w:p w:rsidR="001034CF" w:rsidRPr="00D41012" w:rsidRDefault="001034CF" w:rsidP="00D5338F">
      <w:pPr>
        <w:pStyle w:val="BODYVERDICT"/>
        <w:spacing w:line="360" w:lineRule="auto"/>
        <w:jc w:val="both"/>
        <w:rPr>
          <w:rFonts w:ascii="Century" w:hAnsi="Century"/>
          <w:rtl/>
        </w:rPr>
      </w:pPr>
    </w:p>
    <w:p w:rsidR="001034CF" w:rsidRDefault="001034CF" w:rsidP="00A35CD3">
      <w:pPr>
        <w:pStyle w:val="BODYVERDICT"/>
        <w:spacing w:line="360" w:lineRule="auto"/>
        <w:jc w:val="both"/>
        <w:rPr>
          <w:rFonts w:ascii="Century" w:hAnsi="Century"/>
          <w:rtl/>
        </w:rPr>
      </w:pPr>
      <w:r>
        <w:rPr>
          <w:rFonts w:ascii="Century" w:hAnsi="Century" w:hint="cs"/>
          <w:rtl/>
        </w:rPr>
        <w:t xml:space="preserve">פסק הדין </w:t>
      </w:r>
      <w:r w:rsidR="001B286E">
        <w:rPr>
          <w:rFonts w:ascii="Century" w:hAnsi="Century" w:hint="cs"/>
          <w:rtl/>
        </w:rPr>
        <w:t>נסב על עתירה שעניינה אופן הטיפול ב</w:t>
      </w:r>
      <w:r>
        <w:rPr>
          <w:rFonts w:ascii="Century" w:hAnsi="Century" w:hint="cs"/>
          <w:rtl/>
        </w:rPr>
        <w:t>בעיית ניגוד העניינים הכרוכה בכך שנשיא בית הדין הרבני הגדול נדרש לקבל החלטות על מינוי דיינים</w:t>
      </w:r>
      <w:r w:rsidR="001B286E">
        <w:rPr>
          <w:rFonts w:ascii="Century" w:hAnsi="Century" w:hint="cs"/>
          <w:rtl/>
        </w:rPr>
        <w:t xml:space="preserve">, </w:t>
      </w:r>
      <w:r>
        <w:rPr>
          <w:rFonts w:ascii="Century" w:hAnsi="Century" w:hint="cs"/>
          <w:rtl/>
        </w:rPr>
        <w:t>שלהם יש לו קירבה אישית</w:t>
      </w:r>
      <w:r w:rsidR="00D5338F">
        <w:rPr>
          <w:rFonts w:ascii="Century" w:hAnsi="Century" w:hint="cs"/>
          <w:rtl/>
        </w:rPr>
        <w:t xml:space="preserve"> או משפחתית</w:t>
      </w:r>
      <w:r w:rsidR="001B286E">
        <w:rPr>
          <w:rFonts w:ascii="Century" w:hAnsi="Century" w:hint="cs"/>
          <w:rtl/>
        </w:rPr>
        <w:t>, לתפקידים במערכת בתי הדין הרבניים</w:t>
      </w:r>
      <w:r>
        <w:rPr>
          <w:rFonts w:ascii="Century" w:hAnsi="Century" w:hint="cs"/>
          <w:rtl/>
        </w:rPr>
        <w:t>. זאת, מאחר שלפי חוק הדיינים</w:t>
      </w:r>
      <w:r w:rsidR="00D5338F">
        <w:rPr>
          <w:rFonts w:ascii="Century" w:hAnsi="Century" w:hint="cs"/>
          <w:rtl/>
        </w:rPr>
        <w:t>, התשט"ו-1955</w:t>
      </w:r>
      <w:r>
        <w:rPr>
          <w:rFonts w:ascii="Century" w:hAnsi="Century" w:hint="cs"/>
          <w:rtl/>
        </w:rPr>
        <w:t xml:space="preserve"> </w:t>
      </w:r>
      <w:r w:rsidR="001B286E">
        <w:rPr>
          <w:rFonts w:ascii="Century" w:hAnsi="Century" w:hint="cs"/>
          <w:rtl/>
        </w:rPr>
        <w:t xml:space="preserve">ההחלטה על מינוי </w:t>
      </w:r>
      <w:r>
        <w:rPr>
          <w:rFonts w:ascii="Century" w:hAnsi="Century" w:hint="cs"/>
          <w:rtl/>
        </w:rPr>
        <w:t>של אבות בית-דין וראשי אבות בית-דין מסור</w:t>
      </w:r>
      <w:r w:rsidR="001B286E">
        <w:rPr>
          <w:rFonts w:ascii="Century" w:hAnsi="Century" w:hint="cs"/>
          <w:rtl/>
        </w:rPr>
        <w:t>ה</w:t>
      </w:r>
      <w:r>
        <w:rPr>
          <w:rFonts w:ascii="Century" w:hAnsi="Century" w:hint="cs"/>
          <w:rtl/>
        </w:rPr>
        <w:t xml:space="preserve"> </w:t>
      </w:r>
      <w:r w:rsidR="001B286E">
        <w:rPr>
          <w:rFonts w:ascii="Century" w:hAnsi="Century" w:hint="cs"/>
          <w:rtl/>
        </w:rPr>
        <w:t>ל</w:t>
      </w:r>
      <w:r>
        <w:rPr>
          <w:rFonts w:ascii="Century" w:hAnsi="Century" w:hint="cs"/>
          <w:rtl/>
        </w:rPr>
        <w:t>נשיא בית הדין הרבני הגדול</w:t>
      </w:r>
      <w:r w:rsidR="00D5338F">
        <w:rPr>
          <w:rFonts w:ascii="Century" w:hAnsi="Century" w:hint="cs"/>
          <w:rtl/>
        </w:rPr>
        <w:t xml:space="preserve"> בלבד</w:t>
      </w:r>
      <w:r>
        <w:rPr>
          <w:rFonts w:ascii="Century" w:hAnsi="Century" w:hint="cs"/>
          <w:rtl/>
        </w:rPr>
        <w:t xml:space="preserve">. </w:t>
      </w:r>
      <w:r w:rsidR="001B286E">
        <w:rPr>
          <w:rFonts w:ascii="Century" w:hAnsi="Century" w:hint="cs"/>
          <w:rtl/>
        </w:rPr>
        <w:t xml:space="preserve">באופן </w:t>
      </w:r>
      <w:r w:rsidR="00A35CD3">
        <w:rPr>
          <w:rFonts w:ascii="Century" w:hAnsi="Century" w:hint="cs"/>
          <w:rtl/>
        </w:rPr>
        <w:t>פרטני</w:t>
      </w:r>
      <w:r w:rsidR="001B286E">
        <w:rPr>
          <w:rFonts w:ascii="Century" w:hAnsi="Century" w:hint="cs"/>
          <w:rtl/>
        </w:rPr>
        <w:t xml:space="preserve">, העתירה עסקה בהחלטתו של </w:t>
      </w:r>
      <w:r>
        <w:rPr>
          <w:rFonts w:ascii="Century" w:hAnsi="Century" w:hint="cs"/>
          <w:rtl/>
        </w:rPr>
        <w:t xml:space="preserve">נשיא בית הדין הרבני הגדול (הרב הראשי, הרב דוד לאו) </w:t>
      </w:r>
      <w:r w:rsidR="001B286E">
        <w:rPr>
          <w:rFonts w:ascii="Century" w:hAnsi="Century" w:hint="cs"/>
          <w:rtl/>
        </w:rPr>
        <w:t xml:space="preserve">למנות </w:t>
      </w:r>
      <w:r>
        <w:rPr>
          <w:rFonts w:ascii="Century" w:hAnsi="Century" w:hint="cs"/>
          <w:rtl/>
        </w:rPr>
        <w:t xml:space="preserve">לתפקיד </w:t>
      </w:r>
      <w:r w:rsidR="00D5338F">
        <w:rPr>
          <w:rFonts w:ascii="Century" w:hAnsi="Century" w:hint="cs"/>
          <w:rtl/>
        </w:rPr>
        <w:t xml:space="preserve">של אב-בית דין </w:t>
      </w:r>
      <w:r>
        <w:rPr>
          <w:rFonts w:ascii="Century" w:hAnsi="Century" w:hint="cs"/>
          <w:rtl/>
        </w:rPr>
        <w:t>את גיסו</w:t>
      </w:r>
      <w:r w:rsidR="00D5338F">
        <w:rPr>
          <w:rFonts w:ascii="Century" w:hAnsi="Century" w:hint="cs"/>
          <w:rtl/>
        </w:rPr>
        <w:t xml:space="preserve">, הרב </w:t>
      </w:r>
      <w:proofErr w:type="spellStart"/>
      <w:r w:rsidR="00D5338F">
        <w:rPr>
          <w:rFonts w:ascii="Century" w:hAnsi="Century" w:hint="cs"/>
          <w:rtl/>
        </w:rPr>
        <w:t>רלב"ג</w:t>
      </w:r>
      <w:proofErr w:type="spellEnd"/>
      <w:r>
        <w:rPr>
          <w:rFonts w:ascii="Century" w:hAnsi="Century" w:hint="cs"/>
          <w:rtl/>
        </w:rPr>
        <w:t>. המינוי בוצע על-פי המלצה של "ועדת שניים", המורכבת משני דיינים בדימוס</w:t>
      </w:r>
      <w:r w:rsidR="001B286E">
        <w:rPr>
          <w:rFonts w:ascii="Century" w:hAnsi="Century" w:hint="cs"/>
          <w:rtl/>
        </w:rPr>
        <w:t xml:space="preserve"> שמונו על-ידי נשיא בית הדין הרבני הגדול</w:t>
      </w:r>
      <w:r>
        <w:rPr>
          <w:rFonts w:ascii="Century" w:hAnsi="Century" w:hint="cs"/>
          <w:rtl/>
        </w:rPr>
        <w:t xml:space="preserve">. היועץ המשפטי לשיפוט הרבני חיווה דעתו בפני נשיא בית הדין הרבני הגדול כי עריכת המינוי בדרך זו אינה מרחיקה </w:t>
      </w:r>
      <w:r w:rsidR="00D5338F">
        <w:rPr>
          <w:rFonts w:ascii="Century" w:hAnsi="Century" w:hint="cs"/>
          <w:rtl/>
        </w:rPr>
        <w:t>את ה</w:t>
      </w:r>
      <w:r>
        <w:rPr>
          <w:rFonts w:ascii="Century" w:hAnsi="Century" w:hint="cs"/>
          <w:rtl/>
        </w:rPr>
        <w:t>חשש לניגוד עניינים, אולם נשיא בית הדין הרבני הגדול לא קיבל את דעתו.</w:t>
      </w:r>
      <w:r w:rsidR="00D5338F">
        <w:rPr>
          <w:rFonts w:ascii="Century" w:hAnsi="Century" w:hint="cs"/>
          <w:rtl/>
        </w:rPr>
        <w:t xml:space="preserve"> </w:t>
      </w:r>
      <w:r>
        <w:rPr>
          <w:rFonts w:ascii="Century" w:hAnsi="Century" w:hint="cs"/>
          <w:rtl/>
        </w:rPr>
        <w:t>עריכת המינוי בדרך זו לא הייתה אף על דעתו של היועץ המשפטי לממשלה. סמוך לאחר עריכת המינוי הוגשה העתירה.</w:t>
      </w:r>
    </w:p>
    <w:p w:rsidR="001B286E" w:rsidRDefault="001B286E" w:rsidP="00D5338F">
      <w:pPr>
        <w:pStyle w:val="BODYVERDICT"/>
        <w:spacing w:line="360" w:lineRule="auto"/>
        <w:jc w:val="both"/>
        <w:rPr>
          <w:rFonts w:ascii="Century" w:hAnsi="Century"/>
          <w:rtl/>
        </w:rPr>
      </w:pPr>
    </w:p>
    <w:p w:rsidR="001034CF" w:rsidRDefault="001034CF" w:rsidP="00A35CD3">
      <w:pPr>
        <w:pStyle w:val="BODYVERDICT"/>
        <w:spacing w:line="360" w:lineRule="auto"/>
        <w:jc w:val="both"/>
        <w:rPr>
          <w:rFonts w:ascii="Century" w:hAnsi="Century"/>
          <w:rtl/>
        </w:rPr>
      </w:pPr>
      <w:r>
        <w:rPr>
          <w:rFonts w:ascii="Century" w:hAnsi="Century" w:hint="cs"/>
          <w:rtl/>
        </w:rPr>
        <w:t>במהלך הזמן שבו העתירה הייתה תלויה ועומדת נבחנו פתרונות שונים</w:t>
      </w:r>
      <w:r w:rsidR="00313A63">
        <w:rPr>
          <w:rFonts w:ascii="Century" w:hAnsi="Century" w:hint="cs"/>
          <w:rtl/>
        </w:rPr>
        <w:t>.</w:t>
      </w:r>
      <w:r>
        <w:rPr>
          <w:rFonts w:ascii="Century" w:hAnsi="Century" w:hint="cs"/>
          <w:rtl/>
        </w:rPr>
        <w:t xml:space="preserve"> </w:t>
      </w:r>
      <w:r w:rsidR="00A35CD3">
        <w:rPr>
          <w:rFonts w:ascii="Century" w:hAnsi="Century" w:hint="cs"/>
          <w:rtl/>
        </w:rPr>
        <w:t>בין השאר,</w:t>
      </w:r>
      <w:r w:rsidR="00313A63">
        <w:rPr>
          <w:rFonts w:ascii="Century" w:hAnsi="Century" w:hint="cs"/>
          <w:rtl/>
        </w:rPr>
        <w:t xml:space="preserve"> הועלתה ההצעה ל</w:t>
      </w:r>
      <w:r>
        <w:rPr>
          <w:rFonts w:ascii="Century" w:hAnsi="Century" w:hint="cs"/>
          <w:rtl/>
        </w:rPr>
        <w:t xml:space="preserve">קביעת הסדר עקרוני לפיו </w:t>
      </w:r>
      <w:r w:rsidR="00A35CD3">
        <w:rPr>
          <w:rFonts w:ascii="Century" w:hAnsi="Century" w:hint="cs"/>
          <w:rtl/>
        </w:rPr>
        <w:t xml:space="preserve">במקרה שבו </w:t>
      </w:r>
      <w:r>
        <w:rPr>
          <w:rFonts w:ascii="Century" w:hAnsi="Century" w:hint="cs"/>
          <w:rtl/>
        </w:rPr>
        <w:t xml:space="preserve">מתעורר </w:t>
      </w:r>
      <w:r w:rsidR="001B286E">
        <w:rPr>
          <w:rFonts w:ascii="Century" w:hAnsi="Century" w:hint="cs"/>
          <w:rtl/>
        </w:rPr>
        <w:t>חשש ל</w:t>
      </w:r>
      <w:r>
        <w:rPr>
          <w:rFonts w:ascii="Century" w:hAnsi="Century" w:hint="cs"/>
          <w:rtl/>
        </w:rPr>
        <w:t>ניגוד עניינים בשל קרבתו של המועמד לנשיא בית הדין הרבני הגדול</w:t>
      </w:r>
      <w:r w:rsidR="001B286E">
        <w:rPr>
          <w:rFonts w:ascii="Century" w:hAnsi="Century" w:hint="cs"/>
          <w:rtl/>
        </w:rPr>
        <w:t>,</w:t>
      </w:r>
      <w:r>
        <w:rPr>
          <w:rFonts w:ascii="Century" w:hAnsi="Century" w:hint="cs"/>
          <w:rtl/>
        </w:rPr>
        <w:t xml:space="preserve"> המינוי יתבצע </w:t>
      </w:r>
      <w:r w:rsidR="001B286E">
        <w:rPr>
          <w:rFonts w:ascii="Century" w:hAnsi="Century" w:hint="cs"/>
          <w:rtl/>
        </w:rPr>
        <w:t>בהתאם לעמדת</w:t>
      </w:r>
      <w:r w:rsidR="00313A63">
        <w:rPr>
          <w:rFonts w:ascii="Century" w:hAnsi="Century" w:hint="cs"/>
          <w:rtl/>
        </w:rPr>
        <w:t>ה של</w:t>
      </w:r>
      <w:r w:rsidR="001B286E">
        <w:rPr>
          <w:rFonts w:ascii="Century" w:hAnsi="Century" w:hint="cs"/>
          <w:rtl/>
        </w:rPr>
        <w:t xml:space="preserve"> ועדה בלתי תלויה</w:t>
      </w:r>
      <w:r w:rsidR="00313A63">
        <w:rPr>
          <w:rFonts w:ascii="Century" w:hAnsi="Century" w:hint="cs"/>
          <w:rtl/>
        </w:rPr>
        <w:t xml:space="preserve">, שזהות חבריה לא תיקבע על-ידי נשיא בית </w:t>
      </w:r>
      <w:r w:rsidR="00313A63">
        <w:rPr>
          <w:rFonts w:ascii="Century" w:hAnsi="Century" w:hint="cs"/>
          <w:rtl/>
        </w:rPr>
        <w:lastRenderedPageBreak/>
        <w:t>הדין הרבני הגדול בעצמו (</w:t>
      </w:r>
      <w:r w:rsidR="00A35CD3">
        <w:rPr>
          <w:rFonts w:ascii="Century" w:hAnsi="Century" w:hint="cs"/>
          <w:rtl/>
        </w:rPr>
        <w:t>למשל, ש</w:t>
      </w:r>
      <w:r w:rsidR="00313A63">
        <w:rPr>
          <w:rFonts w:ascii="Century" w:hAnsi="Century" w:hint="cs"/>
          <w:rtl/>
        </w:rPr>
        <w:t xml:space="preserve">חברי הוועדה יהיו דיינים בדימוס </w:t>
      </w:r>
      <w:r w:rsidR="00A35CD3">
        <w:rPr>
          <w:rFonts w:ascii="Century" w:hAnsi="Century" w:hint="cs"/>
          <w:rtl/>
        </w:rPr>
        <w:t>שאין להם זיקה עכשווית לבתי הדין הרבניים</w:t>
      </w:r>
      <w:r w:rsidR="00313A63">
        <w:rPr>
          <w:rFonts w:ascii="Century" w:hAnsi="Century" w:hint="cs"/>
          <w:rtl/>
        </w:rPr>
        <w:t xml:space="preserve"> וכן משפטנים בשירות המדינה). </w:t>
      </w:r>
      <w:r>
        <w:rPr>
          <w:rFonts w:ascii="Century" w:hAnsi="Century" w:hint="cs"/>
          <w:rtl/>
        </w:rPr>
        <w:t>חרף ההתקדמות לא הושגה הסכמה בעניין זה בין כלל המשיבים (נשיא בית הדין הרבני הגדול והיועצת המשפטית לממשלה).</w:t>
      </w:r>
    </w:p>
    <w:p w:rsidR="001B286E" w:rsidRDefault="001B286E" w:rsidP="00D5338F">
      <w:pPr>
        <w:pStyle w:val="BODYVERDICT"/>
        <w:spacing w:line="360" w:lineRule="auto"/>
        <w:jc w:val="both"/>
        <w:rPr>
          <w:rFonts w:ascii="Century" w:hAnsi="Century"/>
          <w:rtl/>
        </w:rPr>
      </w:pPr>
    </w:p>
    <w:p w:rsidR="003F1F97" w:rsidRDefault="001034CF" w:rsidP="00D41012">
      <w:pPr>
        <w:pStyle w:val="BODYVERDICT"/>
        <w:spacing w:line="360" w:lineRule="auto"/>
        <w:jc w:val="both"/>
        <w:rPr>
          <w:rtl/>
        </w:rPr>
      </w:pPr>
      <w:r>
        <w:rPr>
          <w:rFonts w:ascii="Century" w:hAnsi="Century" w:hint="cs"/>
          <w:rtl/>
        </w:rPr>
        <w:t xml:space="preserve">בנסיבות אלה, </w:t>
      </w:r>
      <w:r w:rsidR="00A35CD3">
        <w:rPr>
          <w:rFonts w:ascii="Century" w:hAnsi="Century" w:hint="cs"/>
          <w:rtl/>
        </w:rPr>
        <w:t xml:space="preserve">ובהיעדר הסכמה, </w:t>
      </w:r>
      <w:r>
        <w:rPr>
          <w:rFonts w:ascii="Century" w:hAnsi="Century" w:hint="cs"/>
          <w:rtl/>
        </w:rPr>
        <w:t xml:space="preserve">בית המשפט העליון בשבתו כבג"ץ קבע כי המינוי של הרב </w:t>
      </w:r>
      <w:proofErr w:type="spellStart"/>
      <w:r>
        <w:rPr>
          <w:rFonts w:ascii="Century" w:hAnsi="Century" w:hint="cs"/>
          <w:rtl/>
        </w:rPr>
        <w:t>רלב"ג</w:t>
      </w:r>
      <w:proofErr w:type="spellEnd"/>
      <w:r>
        <w:rPr>
          <w:rFonts w:ascii="Century" w:hAnsi="Century" w:hint="cs"/>
          <w:rtl/>
        </w:rPr>
        <w:t xml:space="preserve"> כא</w:t>
      </w:r>
      <w:r w:rsidR="00D5338F">
        <w:rPr>
          <w:rFonts w:ascii="Century" w:hAnsi="Century" w:hint="cs"/>
          <w:rtl/>
        </w:rPr>
        <w:t>ב-בית-דין</w:t>
      </w:r>
      <w:r>
        <w:rPr>
          <w:rFonts w:ascii="Century" w:hAnsi="Century" w:hint="cs"/>
          <w:rtl/>
        </w:rPr>
        <w:t xml:space="preserve"> לא יכול לעמוד</w:t>
      </w:r>
      <w:r w:rsidR="00313A63">
        <w:rPr>
          <w:rFonts w:ascii="Century" w:hAnsi="Century" w:hint="cs"/>
          <w:rtl/>
        </w:rPr>
        <w:t>,</w:t>
      </w:r>
      <w:r>
        <w:rPr>
          <w:rFonts w:ascii="Century" w:hAnsi="Century" w:hint="cs"/>
          <w:rtl/>
        </w:rPr>
        <w:t xml:space="preserve"> בשל כך ש</w:t>
      </w:r>
      <w:r w:rsidR="00313A63">
        <w:rPr>
          <w:rFonts w:ascii="Century" w:hAnsi="Century" w:hint="cs"/>
          <w:rtl/>
        </w:rPr>
        <w:t>נעשה</w:t>
      </w:r>
      <w:r>
        <w:rPr>
          <w:rFonts w:ascii="Century" w:hAnsi="Century" w:hint="cs"/>
          <w:rtl/>
        </w:rPr>
        <w:t xml:space="preserve"> ללא הסדר מתאים </w:t>
      </w:r>
      <w:r w:rsidR="00313A63">
        <w:rPr>
          <w:rFonts w:ascii="Century" w:hAnsi="Century" w:hint="cs"/>
          <w:rtl/>
        </w:rPr>
        <w:t>שיש בו  לתת</w:t>
      </w:r>
      <w:r w:rsidR="00D5338F">
        <w:rPr>
          <w:rFonts w:ascii="Century" w:hAnsi="Century" w:hint="cs"/>
          <w:rtl/>
        </w:rPr>
        <w:t xml:space="preserve"> </w:t>
      </w:r>
      <w:r>
        <w:rPr>
          <w:rFonts w:ascii="Century" w:hAnsi="Century" w:hint="cs"/>
          <w:rtl/>
        </w:rPr>
        <w:t>מענה לבעיה של ניגוד עניינים</w:t>
      </w:r>
      <w:r w:rsidR="00313A63">
        <w:rPr>
          <w:rFonts w:ascii="Century" w:hAnsi="Century" w:hint="cs"/>
          <w:rtl/>
        </w:rPr>
        <w:t xml:space="preserve">. לצד זאת, </w:t>
      </w:r>
      <w:r w:rsidR="00A35CD3">
        <w:rPr>
          <w:rFonts w:ascii="Century" w:hAnsi="Century" w:hint="cs"/>
          <w:rtl/>
        </w:rPr>
        <w:t>בשל ה</w:t>
      </w:r>
      <w:r w:rsidR="00313A63">
        <w:rPr>
          <w:rFonts w:ascii="Century" w:hAnsi="Century" w:hint="cs"/>
          <w:rtl/>
        </w:rPr>
        <w:t xml:space="preserve">צורך </w:t>
      </w:r>
      <w:r w:rsidR="00A35CD3">
        <w:rPr>
          <w:rFonts w:ascii="Century" w:hAnsi="Century" w:hint="cs"/>
          <w:rtl/>
        </w:rPr>
        <w:t xml:space="preserve">לתת </w:t>
      </w:r>
      <w:r w:rsidR="00313A63">
        <w:rPr>
          <w:rFonts w:ascii="Century" w:hAnsi="Century" w:hint="cs"/>
          <w:rtl/>
        </w:rPr>
        <w:t xml:space="preserve">זמן היערכות מתאים, נקבע כי ביטול המינוי ייכנס לתוקפו רק בחלוף 60 ימים. כמו כן, נקבע כי בשלב זה נשיא בית הדין הרבני הגדול </w:t>
      </w:r>
      <w:r>
        <w:rPr>
          <w:rFonts w:ascii="Century" w:hAnsi="Century" w:hint="cs"/>
          <w:rtl/>
        </w:rPr>
        <w:t>לא יוכל ל</w:t>
      </w:r>
      <w:r w:rsidR="00313A63">
        <w:rPr>
          <w:rFonts w:ascii="Century" w:hAnsi="Century" w:hint="cs"/>
          <w:rtl/>
        </w:rPr>
        <w:t xml:space="preserve">החליט על מינויים נוספים של הרב </w:t>
      </w:r>
      <w:proofErr w:type="spellStart"/>
      <w:r w:rsidR="00313A63">
        <w:rPr>
          <w:rFonts w:ascii="Century" w:hAnsi="Century" w:hint="cs"/>
          <w:rtl/>
        </w:rPr>
        <w:t>רלב"ג</w:t>
      </w:r>
      <w:proofErr w:type="spellEnd"/>
      <w:r w:rsidR="00313A63">
        <w:rPr>
          <w:rFonts w:ascii="Century" w:hAnsi="Century" w:hint="cs"/>
          <w:rtl/>
        </w:rPr>
        <w:t xml:space="preserve"> קודם </w:t>
      </w:r>
      <w:r w:rsidR="00A35CD3">
        <w:rPr>
          <w:rFonts w:ascii="Century" w:hAnsi="Century" w:hint="cs"/>
          <w:rtl/>
        </w:rPr>
        <w:t xml:space="preserve">שייקבע </w:t>
      </w:r>
      <w:r w:rsidR="00313A63">
        <w:rPr>
          <w:rFonts w:ascii="Century" w:hAnsi="Century" w:hint="cs"/>
          <w:rtl/>
        </w:rPr>
        <w:t xml:space="preserve"> הסדר </w:t>
      </w:r>
      <w:r w:rsidR="00A35CD3">
        <w:rPr>
          <w:rFonts w:ascii="Century" w:hAnsi="Century" w:hint="cs"/>
          <w:rtl/>
        </w:rPr>
        <w:t xml:space="preserve">מתאים </w:t>
      </w:r>
      <w:r w:rsidR="00313A63">
        <w:rPr>
          <w:rFonts w:ascii="Century" w:hAnsi="Century" w:hint="cs"/>
          <w:rtl/>
        </w:rPr>
        <w:t>לפתרון בעיית ניגוד העניינים. בצד זאת,</w:t>
      </w:r>
      <w:r>
        <w:rPr>
          <w:rFonts w:ascii="Century" w:hAnsi="Century" w:hint="cs"/>
          <w:rtl/>
        </w:rPr>
        <w:t xml:space="preserve"> בית המשפט העליון הדגיש כי אין בפסק דינו משום הטלת </w:t>
      </w:r>
      <w:r w:rsidR="00313A63">
        <w:rPr>
          <w:rFonts w:ascii="Century" w:hAnsi="Century" w:hint="cs"/>
          <w:rtl/>
        </w:rPr>
        <w:t xml:space="preserve">כל </w:t>
      </w:r>
      <w:r>
        <w:rPr>
          <w:rFonts w:ascii="Century" w:hAnsi="Century" w:hint="cs"/>
          <w:rtl/>
        </w:rPr>
        <w:t xml:space="preserve">דופי ברב </w:t>
      </w:r>
      <w:proofErr w:type="spellStart"/>
      <w:r>
        <w:rPr>
          <w:rFonts w:ascii="Century" w:hAnsi="Century" w:hint="cs"/>
          <w:rtl/>
        </w:rPr>
        <w:t>רלב"ג</w:t>
      </w:r>
      <w:proofErr w:type="spellEnd"/>
      <w:r w:rsidR="00313A63">
        <w:rPr>
          <w:rFonts w:ascii="Century" w:hAnsi="Century" w:hint="cs"/>
          <w:rtl/>
        </w:rPr>
        <w:t xml:space="preserve"> </w:t>
      </w:r>
      <w:r w:rsidR="00A35CD3">
        <w:rPr>
          <w:rFonts w:ascii="Century" w:hAnsi="Century" w:hint="cs"/>
          <w:rtl/>
        </w:rPr>
        <w:t xml:space="preserve">או הבעת עמדה באשר להחלטות שצריכות להתקבל, </w:t>
      </w:r>
      <w:r>
        <w:rPr>
          <w:rFonts w:ascii="Century" w:hAnsi="Century" w:hint="cs"/>
          <w:rtl/>
        </w:rPr>
        <w:t>והוסיף כי על הצדדים לפעול במהרה כך שיושג הסדר מתאים בהתייעצות עם היועצת המשפטית לממשלה.</w:t>
      </w:r>
      <w:bookmarkStart w:id="2" w:name="Start_Write"/>
      <w:bookmarkEnd w:id="2"/>
    </w:p>
    <w:sectPr w:rsidR="003F1F97" w:rsidSect="00591983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endnotePr>
        <w:numFmt w:val="lowerLetter"/>
      </w:endnotePr>
      <w:pgSz w:w="11906" w:h="16838" w:code="9"/>
      <w:pgMar w:top="1134" w:right="1797" w:bottom="1440" w:left="1797" w:header="567" w:footer="397" w:gutter="0"/>
      <w:cols w:space="720"/>
      <w:titlePg/>
      <w:bidi/>
      <w:rtlGutter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3">
      <wne:acd wne:acdName="acd0"/>
    </wne:keymap>
    <wne:keymap wne:kcmPrimary="0434">
      <wne:acd wne:acdName="acd1"/>
    </wne:keymap>
    <wne:keymap wne:kcmPrimary="0435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rgValue="AgBSAHUAbABsAGUAcgAgADMA" wne:acdName="acd0" wne:fciIndexBasedOn="0065"/>
    <wne:acd wne:argValue="AgBSAHUAbABsAGUAcgA0AA==" wne:acdName="acd1" wne:fciIndexBasedOn="0065"/>
    <wne:acd wne:argValue="AgBSAHUAbABsAGUAcgA1AA=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5EB" w:rsidRDefault="003D55EB">
      <w:r>
        <w:separator/>
      </w:r>
    </w:p>
  </w:endnote>
  <w:endnote w:type="continuationSeparator" w:id="0">
    <w:p w:rsidR="003D55EB" w:rsidRDefault="003D5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rial TUR">
    <w:altName w:val="Arial"/>
    <w:charset w:val="00"/>
    <w:family w:val="swiss"/>
    <w:pitch w:val="variable"/>
    <w:sig w:usb0="E0002EFF" w:usb1="C000785B" w:usb2="00000009" w:usb3="00000000" w:csb0="000001FF" w:csb1="00000000"/>
  </w:font>
  <w:font w:name="DavidFix">
    <w:charset w:val="B1"/>
    <w:family w:val="auto"/>
    <w:pitch w:val="variable"/>
    <w:sig w:usb0="00001801" w:usb1="00000000" w:usb2="00000000" w:usb3="00000000" w:csb0="00000020" w:csb1="00000000"/>
  </w:font>
  <w:font w:name="Guttman Yad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02" w:rsidRDefault="00377102">
    <w:pPr>
      <w:pStyle w:val="a3"/>
      <w:framePr w:wrap="around" w:vAnchor="text" w:hAnchor="margin" w:xAlign="center" w:y="1"/>
      <w:rPr>
        <w:rStyle w:val="a4"/>
        <w:rtl/>
      </w:rPr>
    </w:pPr>
    <w:r>
      <w:rPr>
        <w:rStyle w:val="a4"/>
        <w:rtl/>
      </w:rPr>
      <w:fldChar w:fldCharType="begin"/>
    </w:r>
    <w:r>
      <w:rPr>
        <w:rStyle w:val="a4"/>
      </w:rPr>
      <w:instrText xml:space="preserve">PAGE  </w:instrText>
    </w:r>
    <w:r>
      <w:rPr>
        <w:rStyle w:val="a4"/>
        <w:rtl/>
      </w:rPr>
      <w:fldChar w:fldCharType="separate"/>
    </w:r>
    <w:r w:rsidR="00BC0E82">
      <w:rPr>
        <w:rStyle w:val="a4"/>
        <w:noProof/>
        <w:rtl/>
      </w:rPr>
      <w:t>1</w:t>
    </w:r>
    <w:r>
      <w:rPr>
        <w:rStyle w:val="a4"/>
        <w:rtl/>
      </w:rPr>
      <w:fldChar w:fldCharType="end"/>
    </w:r>
  </w:p>
  <w:p w:rsidR="00377102" w:rsidRDefault="00377102">
    <w:pPr>
      <w:pStyle w:val="a3"/>
      <w:rPr>
        <w:rtl/>
      </w:rPr>
    </w:pPr>
  </w:p>
  <w:p w:rsidR="00377102" w:rsidRDefault="003771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B4D" w:rsidRPr="00F959DB" w:rsidRDefault="00045B4D" w:rsidP="00914156">
    <w:pPr>
      <w:pStyle w:val="a3"/>
      <w:bidi w:val="0"/>
      <w:jc w:val="right"/>
      <w:rPr>
        <w:sz w:val="16"/>
        <w:szCs w:val="16"/>
      </w:rPr>
    </w:pPr>
    <w:bookmarkStart w:id="3" w:name="footer_line"/>
    <w:bookmarkEnd w:id="3"/>
  </w:p>
  <w:p w:rsidR="00045B4D" w:rsidRDefault="00045B4D">
    <w:pPr>
      <w:pStyle w:val="a3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5EB" w:rsidRDefault="003D55EB">
      <w:r>
        <w:separator/>
      </w:r>
    </w:p>
  </w:footnote>
  <w:footnote w:type="continuationSeparator" w:id="0">
    <w:p w:rsidR="003D55EB" w:rsidRDefault="003D55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02" w:rsidRDefault="00377102">
    <w:pPr>
      <w:pStyle w:val="a5"/>
      <w:framePr w:wrap="around" w:vAnchor="text" w:hAnchor="margin" w:xAlign="center" w:y="1"/>
      <w:rPr>
        <w:rStyle w:val="a4"/>
        <w:rtl/>
      </w:rPr>
    </w:pPr>
    <w:r>
      <w:rPr>
        <w:rStyle w:val="a4"/>
        <w:rtl/>
      </w:rPr>
      <w:fldChar w:fldCharType="begin"/>
    </w:r>
    <w:r>
      <w:rPr>
        <w:rStyle w:val="a4"/>
      </w:rPr>
      <w:instrText xml:space="preserve">PAGE  </w:instrText>
    </w:r>
    <w:r>
      <w:rPr>
        <w:rStyle w:val="a4"/>
        <w:rtl/>
      </w:rPr>
      <w:fldChar w:fldCharType="separate"/>
    </w:r>
    <w:r w:rsidR="00BC0E82">
      <w:rPr>
        <w:rStyle w:val="a4"/>
        <w:noProof/>
        <w:rtl/>
      </w:rPr>
      <w:t>1</w:t>
    </w:r>
    <w:r>
      <w:rPr>
        <w:rStyle w:val="a4"/>
        <w:rtl/>
      </w:rPr>
      <w:fldChar w:fldCharType="end"/>
    </w:r>
  </w:p>
  <w:p w:rsidR="00377102" w:rsidRDefault="00377102">
    <w:pPr>
      <w:pStyle w:val="a5"/>
      <w:rPr>
        <w:rtl/>
      </w:rPr>
    </w:pPr>
  </w:p>
  <w:p w:rsidR="00377102" w:rsidRDefault="003771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02" w:rsidRDefault="00377102">
    <w:pPr>
      <w:pStyle w:val="a5"/>
      <w:framePr w:wrap="around" w:vAnchor="text" w:hAnchor="margin" w:xAlign="center" w:y="1"/>
      <w:rPr>
        <w:rStyle w:val="a4"/>
        <w:rtl/>
      </w:rPr>
    </w:pPr>
    <w:r>
      <w:rPr>
        <w:rStyle w:val="a4"/>
        <w:rtl/>
      </w:rPr>
      <w:fldChar w:fldCharType="begin"/>
    </w:r>
    <w:r>
      <w:rPr>
        <w:rStyle w:val="a4"/>
      </w:rPr>
      <w:instrText xml:space="preserve">PAGE  </w:instrText>
    </w:r>
    <w:r>
      <w:rPr>
        <w:rStyle w:val="a4"/>
        <w:rtl/>
      </w:rPr>
      <w:fldChar w:fldCharType="separate"/>
    </w:r>
    <w:r w:rsidR="00E84746">
      <w:rPr>
        <w:rStyle w:val="a4"/>
        <w:noProof/>
        <w:rtl/>
      </w:rPr>
      <w:t>2</w:t>
    </w:r>
    <w:r>
      <w:rPr>
        <w:rStyle w:val="a4"/>
        <w:rtl/>
      </w:rPr>
      <w:fldChar w:fldCharType="end"/>
    </w:r>
  </w:p>
  <w:p w:rsidR="00377102" w:rsidRDefault="00377102">
    <w:pPr>
      <w:pStyle w:val="a5"/>
      <w:rPr>
        <w:rtl/>
      </w:rPr>
    </w:pPr>
  </w:p>
  <w:p w:rsidR="00377102" w:rsidRDefault="003771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8363" w:type="dxa"/>
      <w:tblLook w:val="0000" w:firstRow="0" w:lastRow="0" w:firstColumn="0" w:lastColumn="0" w:noHBand="0" w:noVBand="0"/>
    </w:tblPr>
    <w:tblGrid>
      <w:gridCol w:w="8363"/>
    </w:tblGrid>
    <w:tr w:rsidR="00045B4D" w:rsidTr="00EC23AC">
      <w:trPr>
        <w:trHeight w:val="342"/>
      </w:trPr>
      <w:tc>
        <w:tcPr>
          <w:tcW w:w="9828" w:type="dxa"/>
        </w:tcPr>
        <w:p w:rsidR="00E84746" w:rsidRDefault="00E84746" w:rsidP="00E84746">
          <w:pPr>
            <w:tabs>
              <w:tab w:val="left" w:pos="800"/>
            </w:tabs>
            <w:spacing w:line="360" w:lineRule="auto"/>
            <w:jc w:val="center"/>
            <w:rPr>
              <w:rFonts w:ascii="Arial TUR" w:hAnsi="Arial TUR"/>
              <w:b/>
              <w:bCs/>
              <w:color w:val="000080"/>
              <w:sz w:val="28"/>
              <w:szCs w:val="32"/>
              <w:rtl/>
            </w:rPr>
          </w:pPr>
          <w:r w:rsidRPr="0012560F">
            <w:rPr>
              <w:noProof/>
            </w:rPr>
            <w:drawing>
              <wp:inline distT="0" distB="0" distL="0" distR="0" wp14:anchorId="6CD628B0" wp14:editId="6EE3CE70">
                <wp:extent cx="525145" cy="621030"/>
                <wp:effectExtent l="0" t="0" r="8255" b="7620"/>
                <wp:docPr id="2" name="תמונה 2" descr="seme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seme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5145" cy="621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77102" w:rsidRPr="00E84746" w:rsidRDefault="00E84746" w:rsidP="00E84746">
          <w:pPr>
            <w:tabs>
              <w:tab w:val="left" w:pos="800"/>
            </w:tabs>
            <w:spacing w:line="360" w:lineRule="auto"/>
            <w:jc w:val="center"/>
            <w:rPr>
              <w:rFonts w:ascii="Arial TUR" w:hAnsi="Arial TUR"/>
              <w:b/>
              <w:bCs/>
              <w:color w:val="000080"/>
              <w:sz w:val="28"/>
              <w:szCs w:val="32"/>
              <w:rtl/>
            </w:rPr>
          </w:pPr>
          <w:r w:rsidRPr="00A964EC">
            <w:rPr>
              <w:rFonts w:ascii="Arial TUR" w:hAnsi="Arial TUR" w:hint="cs"/>
              <w:b/>
              <w:bCs/>
              <w:color w:val="000080"/>
              <w:sz w:val="28"/>
              <w:szCs w:val="32"/>
              <w:rtl/>
            </w:rPr>
            <w:t>בית המשפט העליון</w:t>
          </w:r>
        </w:p>
      </w:tc>
    </w:tr>
  </w:tbl>
  <w:p w:rsidR="00045B4D" w:rsidRDefault="00045B4D" w:rsidP="00045B4D">
    <w:pPr>
      <w:pStyle w:val="a5"/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77A4F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B8EE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485F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3003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20465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1CCE6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0264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21A09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046C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B800B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394D18"/>
    <w:multiLevelType w:val="hybridMultilevel"/>
    <w:tmpl w:val="2B40A3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A6001B"/>
    <w:multiLevelType w:val="hybridMultilevel"/>
    <w:tmpl w:val="B2C4B5E4"/>
    <w:lvl w:ilvl="0" w:tplc="5F9C772A">
      <w:start w:val="1"/>
      <w:numFmt w:val="decimal"/>
      <w:pStyle w:val="Ruller4"/>
      <w:lvlText w:val="%1."/>
      <w:lvlJc w:val="left"/>
      <w:pPr>
        <w:tabs>
          <w:tab w:val="num" w:pos="90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E70B62"/>
    <w:multiLevelType w:val="hybridMultilevel"/>
    <w:tmpl w:val="ADA8711E"/>
    <w:lvl w:ilvl="0" w:tplc="DBB0A036">
      <w:start w:val="1"/>
      <w:numFmt w:val="hebrew1"/>
      <w:pStyle w:val="Ruller40"/>
      <w:lvlText w:val="%1."/>
      <w:lvlJc w:val="left"/>
      <w:pPr>
        <w:tabs>
          <w:tab w:val="num" w:pos="90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1A4633E"/>
    <w:multiLevelType w:val="hybridMultilevel"/>
    <w:tmpl w:val="B48C0F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1"/>
  </w:num>
  <w:num w:numId="12">
    <w:abstractNumId w:val="12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20"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27"/>
    <w:rsid w:val="00016EF1"/>
    <w:rsid w:val="00032036"/>
    <w:rsid w:val="00036227"/>
    <w:rsid w:val="00044953"/>
    <w:rsid w:val="00045B4D"/>
    <w:rsid w:val="000725F5"/>
    <w:rsid w:val="00072AD2"/>
    <w:rsid w:val="000B1478"/>
    <w:rsid w:val="000C4690"/>
    <w:rsid w:val="000D25C4"/>
    <w:rsid w:val="000F2F59"/>
    <w:rsid w:val="001034CF"/>
    <w:rsid w:val="00124DD8"/>
    <w:rsid w:val="00134A67"/>
    <w:rsid w:val="001A0164"/>
    <w:rsid w:val="001B286E"/>
    <w:rsid w:val="001D239E"/>
    <w:rsid w:val="00200D6B"/>
    <w:rsid w:val="00265F6E"/>
    <w:rsid w:val="00282182"/>
    <w:rsid w:val="0028645E"/>
    <w:rsid w:val="002876BF"/>
    <w:rsid w:val="002A4A7A"/>
    <w:rsid w:val="002A4BF3"/>
    <w:rsid w:val="002F7BB6"/>
    <w:rsid w:val="00313A63"/>
    <w:rsid w:val="00315743"/>
    <w:rsid w:val="003448B2"/>
    <w:rsid w:val="00361DB2"/>
    <w:rsid w:val="00366EEE"/>
    <w:rsid w:val="0037622E"/>
    <w:rsid w:val="00377102"/>
    <w:rsid w:val="0038246A"/>
    <w:rsid w:val="0039709B"/>
    <w:rsid w:val="003D55EB"/>
    <w:rsid w:val="003D72DA"/>
    <w:rsid w:val="003F1F97"/>
    <w:rsid w:val="003F4F27"/>
    <w:rsid w:val="0041048F"/>
    <w:rsid w:val="00437D59"/>
    <w:rsid w:val="004610A4"/>
    <w:rsid w:val="0048220B"/>
    <w:rsid w:val="004B29FF"/>
    <w:rsid w:val="004C7868"/>
    <w:rsid w:val="004E6EE9"/>
    <w:rsid w:val="00503A3E"/>
    <w:rsid w:val="00527F02"/>
    <w:rsid w:val="005803E2"/>
    <w:rsid w:val="0058440A"/>
    <w:rsid w:val="00591983"/>
    <w:rsid w:val="00624A42"/>
    <w:rsid w:val="006341FE"/>
    <w:rsid w:val="006446AE"/>
    <w:rsid w:val="0065522F"/>
    <w:rsid w:val="006A30F7"/>
    <w:rsid w:val="006C42AD"/>
    <w:rsid w:val="006F31F3"/>
    <w:rsid w:val="00725345"/>
    <w:rsid w:val="00741CC0"/>
    <w:rsid w:val="00796650"/>
    <w:rsid w:val="007B512F"/>
    <w:rsid w:val="007F7512"/>
    <w:rsid w:val="00810894"/>
    <w:rsid w:val="008143AB"/>
    <w:rsid w:val="00814A5B"/>
    <w:rsid w:val="0083345F"/>
    <w:rsid w:val="00836667"/>
    <w:rsid w:val="00866D0F"/>
    <w:rsid w:val="008C2F11"/>
    <w:rsid w:val="008D78B9"/>
    <w:rsid w:val="008E3F85"/>
    <w:rsid w:val="009051E8"/>
    <w:rsid w:val="00914156"/>
    <w:rsid w:val="00916FF8"/>
    <w:rsid w:val="00922093"/>
    <w:rsid w:val="00930C85"/>
    <w:rsid w:val="009B38DA"/>
    <w:rsid w:val="009F2F53"/>
    <w:rsid w:val="009F4187"/>
    <w:rsid w:val="00A06DF0"/>
    <w:rsid w:val="00A12E0F"/>
    <w:rsid w:val="00A32783"/>
    <w:rsid w:val="00A35CD3"/>
    <w:rsid w:val="00A51FAE"/>
    <w:rsid w:val="00A80845"/>
    <w:rsid w:val="00A85AD8"/>
    <w:rsid w:val="00AB69F7"/>
    <w:rsid w:val="00AD097B"/>
    <w:rsid w:val="00AD64B9"/>
    <w:rsid w:val="00AE022B"/>
    <w:rsid w:val="00B009CC"/>
    <w:rsid w:val="00B0782A"/>
    <w:rsid w:val="00B62B8C"/>
    <w:rsid w:val="00B63343"/>
    <w:rsid w:val="00B835E9"/>
    <w:rsid w:val="00B87FF7"/>
    <w:rsid w:val="00BA0B08"/>
    <w:rsid w:val="00BC0E82"/>
    <w:rsid w:val="00BD40F9"/>
    <w:rsid w:val="00BF7E19"/>
    <w:rsid w:val="00C41C86"/>
    <w:rsid w:val="00C63A6C"/>
    <w:rsid w:val="00C6706D"/>
    <w:rsid w:val="00CA13AF"/>
    <w:rsid w:val="00CA1444"/>
    <w:rsid w:val="00CA7A9F"/>
    <w:rsid w:val="00CB1590"/>
    <w:rsid w:val="00CB7600"/>
    <w:rsid w:val="00CC0E9D"/>
    <w:rsid w:val="00CC3639"/>
    <w:rsid w:val="00D00B1D"/>
    <w:rsid w:val="00D00CB7"/>
    <w:rsid w:val="00D20C3D"/>
    <w:rsid w:val="00D25F16"/>
    <w:rsid w:val="00D41012"/>
    <w:rsid w:val="00D5338F"/>
    <w:rsid w:val="00D70D33"/>
    <w:rsid w:val="00DC556A"/>
    <w:rsid w:val="00E20797"/>
    <w:rsid w:val="00E21CA9"/>
    <w:rsid w:val="00E31063"/>
    <w:rsid w:val="00E36FE9"/>
    <w:rsid w:val="00E73E98"/>
    <w:rsid w:val="00E75223"/>
    <w:rsid w:val="00E84746"/>
    <w:rsid w:val="00E90D72"/>
    <w:rsid w:val="00EA0BE1"/>
    <w:rsid w:val="00EB06A7"/>
    <w:rsid w:val="00EC23AC"/>
    <w:rsid w:val="00EC2992"/>
    <w:rsid w:val="00EC7F28"/>
    <w:rsid w:val="00ED46A4"/>
    <w:rsid w:val="00ED6FD9"/>
    <w:rsid w:val="00EE3810"/>
    <w:rsid w:val="00EE6DD2"/>
    <w:rsid w:val="00F0441A"/>
    <w:rsid w:val="00F63C3B"/>
    <w:rsid w:val="00F959DB"/>
    <w:rsid w:val="00FC0252"/>
    <w:rsid w:val="00FE46D9"/>
    <w:rsid w:val="00FF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6C4EA0"/>
  <w15:chartTrackingRefBased/>
  <w15:docId w15:val="{1C7F00BA-BA52-4CA6-AE55-C66F1896B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bidi/>
      <w:adjustRightInd w:val="0"/>
      <w:textAlignment w:val="baseline"/>
    </w:pPr>
    <w:rPr>
      <w:rFonts w:cs="David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uller3">
    <w:name w:val="Ruller 3"/>
    <w:basedOn w:val="a"/>
    <w:rsid w:val="00A51FAE"/>
    <w:pPr>
      <w:tabs>
        <w:tab w:val="left" w:pos="3210"/>
        <w:tab w:val="left" w:pos="6753"/>
      </w:tabs>
      <w:spacing w:line="360" w:lineRule="auto"/>
    </w:pPr>
    <w:rPr>
      <w:rFonts w:cs="FrankRuehl"/>
      <w:spacing w:val="10"/>
      <w:sz w:val="22"/>
      <w:szCs w:val="28"/>
    </w:rPr>
  </w:style>
  <w:style w:type="paragraph" w:customStyle="1" w:styleId="Pskdinhead">
    <w:name w:val="Pskdin head"/>
    <w:basedOn w:val="a"/>
    <w:pPr>
      <w:spacing w:line="360" w:lineRule="auto"/>
    </w:pPr>
    <w:rPr>
      <w:b/>
      <w:bCs/>
      <w:u w:val="single"/>
    </w:rPr>
  </w:style>
  <w:style w:type="paragraph" w:customStyle="1" w:styleId="FileNumber">
    <w:name w:val="File Number"/>
    <w:basedOn w:val="a"/>
    <w:pPr>
      <w:spacing w:line="360" w:lineRule="auto"/>
      <w:jc w:val="right"/>
    </w:pPr>
    <w:rPr>
      <w:bCs/>
    </w:rPr>
  </w:style>
  <w:style w:type="paragraph" w:customStyle="1" w:styleId="FirstpagestylePsakdin">
    <w:name w:val="First page style Psak din"/>
    <w:basedOn w:val="Ruller3"/>
    <w:pPr>
      <w:tabs>
        <w:tab w:val="clear" w:pos="3210"/>
        <w:tab w:val="left" w:pos="3209"/>
      </w:tabs>
    </w:pPr>
    <w:rPr>
      <w:bCs/>
    </w:rPr>
  </w:style>
  <w:style w:type="paragraph" w:customStyle="1" w:styleId="TyutaDate">
    <w:name w:val="Tyuta Date"/>
    <w:basedOn w:val="a"/>
    <w:pPr>
      <w:jc w:val="center"/>
    </w:pPr>
    <w:rPr>
      <w:b/>
      <w:bCs/>
      <w:i/>
      <w:iCs/>
      <w:sz w:val="28"/>
      <w:szCs w:val="28"/>
    </w:rPr>
  </w:style>
  <w:style w:type="paragraph" w:customStyle="1" w:styleId="DocumentHead">
    <w:name w:val="Document Head"/>
    <w:basedOn w:val="a"/>
    <w:pPr>
      <w:spacing w:line="360" w:lineRule="auto"/>
      <w:jc w:val="center"/>
    </w:pPr>
    <w:rPr>
      <w:bCs/>
      <w:spacing w:val="30"/>
      <w:szCs w:val="28"/>
      <w:u w:val="single"/>
    </w:rPr>
  </w:style>
  <w:style w:type="paragraph" w:customStyle="1" w:styleId="TfutzaList">
    <w:name w:val="Tfutza List"/>
    <w:basedOn w:val="a"/>
    <w:rPr>
      <w:i/>
      <w:iCs/>
    </w:rPr>
  </w:style>
  <w:style w:type="paragraph" w:customStyle="1" w:styleId="Ruller41">
    <w:name w:val="Ruller4"/>
    <w:basedOn w:val="a"/>
    <w:rsid w:val="00A51FAE"/>
    <w:pPr>
      <w:tabs>
        <w:tab w:val="left" w:pos="800"/>
      </w:tabs>
      <w:spacing w:line="360" w:lineRule="auto"/>
      <w:jc w:val="both"/>
    </w:pPr>
    <w:rPr>
      <w:rFonts w:ascii="Arial TUR" w:hAnsi="Arial TUR" w:cs="FrankRuehl"/>
      <w:spacing w:val="10"/>
      <w:sz w:val="22"/>
      <w:szCs w:val="28"/>
    </w:rPr>
  </w:style>
  <w:style w:type="paragraph" w:customStyle="1" w:styleId="Ruller5">
    <w:name w:val="Ruller5"/>
    <w:basedOn w:val="a"/>
    <w:rsid w:val="00A51FAE"/>
    <w:pPr>
      <w:ind w:left="1642" w:right="1282"/>
      <w:jc w:val="both"/>
    </w:pPr>
    <w:rPr>
      <w:rFonts w:ascii="Arial TUR" w:hAnsi="Arial TUR" w:cs="FrankRuehl"/>
      <w:spacing w:val="10"/>
      <w:sz w:val="22"/>
      <w:szCs w:val="28"/>
    </w:rPr>
  </w:style>
  <w:style w:type="paragraph" w:customStyle="1" w:styleId="Ruller6">
    <w:name w:val="Ruller6"/>
    <w:basedOn w:val="a"/>
    <w:rsid w:val="00A51FAE"/>
    <w:pPr>
      <w:tabs>
        <w:tab w:val="left" w:pos="794"/>
        <w:tab w:val="left" w:pos="2268"/>
        <w:tab w:val="left" w:pos="5783"/>
        <w:tab w:val="left" w:pos="7371"/>
      </w:tabs>
    </w:pPr>
    <w:rPr>
      <w:rFonts w:ascii="Arial TUR" w:hAnsi="Arial TUR" w:cs="DavidFix"/>
      <w:spacing w:val="10"/>
      <w:sz w:val="22"/>
      <w:szCs w:val="20"/>
    </w:rPr>
  </w:style>
  <w:style w:type="character" w:customStyle="1" w:styleId="Delete">
    <w:name w:val="Delete"/>
    <w:rPr>
      <w:strike/>
    </w:rPr>
  </w:style>
  <w:style w:type="paragraph" w:customStyle="1" w:styleId="WriterName">
    <w:name w:val="Writer Name"/>
    <w:basedOn w:val="Ruller41"/>
    <w:next w:val="Ruller41"/>
    <w:rPr>
      <w:rFonts w:cs="David"/>
      <w:b/>
      <w:bCs/>
      <w:u w:val="single"/>
    </w:rPr>
  </w:style>
  <w:style w:type="character" w:customStyle="1" w:styleId="Hand">
    <w:name w:val="Hand"/>
    <w:rPr>
      <w:rFonts w:cs="Guttman Yad"/>
    </w:rPr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customStyle="1" w:styleId="2">
    <w:name w:val="ñâðåï2"/>
    <w:basedOn w:val="a"/>
    <w:pPr>
      <w:overflowPunct/>
      <w:textAlignment w:val="auto"/>
    </w:pPr>
    <w:rPr>
      <w:rFonts w:cs="Times New Roman"/>
    </w:rPr>
  </w:style>
  <w:style w:type="paragraph" w:customStyle="1" w:styleId="Casenameintextbody">
    <w:name w:val="Case name in text body"/>
    <w:basedOn w:val="a"/>
    <w:pPr>
      <w:overflowPunct/>
      <w:jc w:val="right"/>
      <w:textAlignment w:val="auto"/>
    </w:pPr>
    <w:rPr>
      <w:rFonts w:cs="Times New Roman"/>
      <w:b/>
      <w:bCs/>
      <w:u w:val="single"/>
    </w:rPr>
  </w:style>
  <w:style w:type="paragraph" w:customStyle="1" w:styleId="precasestyle">
    <w:name w:val="pre_case style"/>
    <w:basedOn w:val="a"/>
    <w:pPr>
      <w:tabs>
        <w:tab w:val="left" w:pos="2552"/>
      </w:tabs>
      <w:overflowPunct/>
      <w:ind w:right="2549"/>
      <w:textAlignment w:val="auto"/>
    </w:pPr>
    <w:rPr>
      <w:rFonts w:cs="Times New Roman"/>
    </w:rPr>
  </w:style>
  <w:style w:type="paragraph" w:customStyle="1" w:styleId="BodyRuller">
    <w:name w:val="Body Ruller"/>
    <w:basedOn w:val="a"/>
    <w:rPr>
      <w:sz w:val="22"/>
      <w:szCs w:val="28"/>
    </w:rPr>
  </w:style>
  <w:style w:type="paragraph" w:customStyle="1" w:styleId="Ruller38">
    <w:name w:val="סגנון Ruller 3 + (מורכב) ‏8 נק"/>
    <w:basedOn w:val="BodyRuller"/>
    <w:rPr>
      <w:szCs w:val="16"/>
    </w:rPr>
  </w:style>
  <w:style w:type="character" w:customStyle="1" w:styleId="Ruller30">
    <w:name w:val="Ruller 3 תו"/>
    <w:rPr>
      <w:rFonts w:cs="FrankRuehl"/>
      <w:sz w:val="22"/>
      <w:szCs w:val="28"/>
      <w:lang w:val="en-US" w:eastAsia="en-US" w:bidi="he-IL"/>
    </w:rPr>
  </w:style>
  <w:style w:type="character" w:customStyle="1" w:styleId="BodyRuller0">
    <w:name w:val="Body Ruller תו"/>
    <w:rPr>
      <w:rFonts w:cs="David"/>
      <w:sz w:val="22"/>
      <w:szCs w:val="28"/>
      <w:lang w:val="en-US" w:eastAsia="en-US" w:bidi="he-IL"/>
    </w:rPr>
  </w:style>
  <w:style w:type="character" w:customStyle="1" w:styleId="Ruller380">
    <w:name w:val="סגנון Ruller 3 + (מורכב) ‏8 נק תו"/>
    <w:rPr>
      <w:rFonts w:cs="David"/>
      <w:sz w:val="22"/>
      <w:szCs w:val="16"/>
      <w:lang w:val="en-US" w:eastAsia="en-US" w:bidi="he-IL"/>
    </w:rPr>
  </w:style>
  <w:style w:type="paragraph" w:customStyle="1" w:styleId="FileNumber0">
    <w:name w:val="סגנון File Number + ימין"/>
    <w:basedOn w:val="FileNumber"/>
    <w:rsid w:val="004C7868"/>
    <w:pPr>
      <w:jc w:val="left"/>
    </w:pPr>
    <w:rPr>
      <w:szCs w:val="28"/>
    </w:rPr>
  </w:style>
  <w:style w:type="paragraph" w:customStyle="1" w:styleId="BODYVERDICT">
    <w:name w:val="BODY VERDICT"/>
    <w:basedOn w:val="a"/>
    <w:rsid w:val="00036227"/>
    <w:rPr>
      <w:rFonts w:cs="FrankRuehl"/>
      <w:spacing w:val="10"/>
      <w:sz w:val="22"/>
      <w:szCs w:val="28"/>
    </w:rPr>
  </w:style>
  <w:style w:type="character" w:styleId="Hyperlink">
    <w:name w:val="Hyperlink"/>
    <w:rsid w:val="003F1F97"/>
    <w:rPr>
      <w:color w:val="0000FF"/>
      <w:u w:val="single"/>
    </w:rPr>
  </w:style>
  <w:style w:type="table" w:styleId="a6">
    <w:name w:val="Table Grid"/>
    <w:basedOn w:val="a1"/>
    <w:rsid w:val="003F1F97"/>
    <w:pPr>
      <w:overflowPunct w:val="0"/>
      <w:autoSpaceDE w:val="0"/>
      <w:autoSpaceDN w:val="0"/>
      <w:bidi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rsid w:val="0058440A"/>
    <w:rPr>
      <w:color w:val="954F72" w:themeColor="followedHyperlink"/>
      <w:u w:val="single"/>
    </w:rPr>
  </w:style>
  <w:style w:type="character" w:styleId="a7">
    <w:name w:val="annotation reference"/>
    <w:basedOn w:val="a0"/>
    <w:rsid w:val="00D00B1D"/>
    <w:rPr>
      <w:sz w:val="16"/>
      <w:szCs w:val="16"/>
    </w:rPr>
  </w:style>
  <w:style w:type="paragraph" w:styleId="a8">
    <w:name w:val="annotation text"/>
    <w:basedOn w:val="a"/>
    <w:link w:val="a9"/>
    <w:rsid w:val="00D00B1D"/>
    <w:rPr>
      <w:szCs w:val="20"/>
    </w:rPr>
  </w:style>
  <w:style w:type="character" w:customStyle="1" w:styleId="a9">
    <w:name w:val="טקסט הערה תו"/>
    <w:basedOn w:val="a0"/>
    <w:link w:val="a8"/>
    <w:rsid w:val="00D00B1D"/>
    <w:rPr>
      <w:rFonts w:cs="David"/>
    </w:rPr>
  </w:style>
  <w:style w:type="paragraph" w:styleId="aa">
    <w:name w:val="annotation subject"/>
    <w:basedOn w:val="a8"/>
    <w:next w:val="a8"/>
    <w:link w:val="ab"/>
    <w:rsid w:val="00D00B1D"/>
    <w:rPr>
      <w:b/>
      <w:bCs/>
    </w:rPr>
  </w:style>
  <w:style w:type="character" w:customStyle="1" w:styleId="ab">
    <w:name w:val="נושא הערה תו"/>
    <w:basedOn w:val="a9"/>
    <w:link w:val="aa"/>
    <w:rsid w:val="00D00B1D"/>
    <w:rPr>
      <w:rFonts w:cs="David"/>
      <w:b/>
      <w:bCs/>
    </w:rPr>
  </w:style>
  <w:style w:type="paragraph" w:styleId="ac">
    <w:name w:val="Balloon Text"/>
    <w:basedOn w:val="a"/>
    <w:link w:val="ad"/>
    <w:rsid w:val="00D00B1D"/>
    <w:rPr>
      <w:rFonts w:ascii="Tahoma" w:hAnsi="Tahoma" w:cs="Tahoma"/>
      <w:sz w:val="18"/>
      <w:szCs w:val="18"/>
    </w:rPr>
  </w:style>
  <w:style w:type="character" w:customStyle="1" w:styleId="ad">
    <w:name w:val="טקסט בלונים תו"/>
    <w:basedOn w:val="a0"/>
    <w:link w:val="ac"/>
    <w:rsid w:val="00D00B1D"/>
    <w:rPr>
      <w:rFonts w:ascii="Tahoma" w:hAnsi="Tahoma" w:cs="Tahoma"/>
      <w:sz w:val="18"/>
      <w:szCs w:val="18"/>
    </w:rPr>
  </w:style>
  <w:style w:type="paragraph" w:customStyle="1" w:styleId="Ruller4">
    <w:name w:val="Ruller 4 ממוספר"/>
    <w:basedOn w:val="Ruller41"/>
    <w:next w:val="Ruller41"/>
    <w:rsid w:val="006F31F3"/>
    <w:pPr>
      <w:numPr>
        <w:numId w:val="11"/>
      </w:numPr>
    </w:pPr>
    <w:rPr>
      <w:rFonts w:ascii="Garamond" w:hAnsi="Garamond"/>
      <w:sz w:val="24"/>
    </w:rPr>
  </w:style>
  <w:style w:type="paragraph" w:customStyle="1" w:styleId="Ruller40">
    <w:name w:val="Ruller4 אלפביתי"/>
    <w:basedOn w:val="Ruller41"/>
    <w:next w:val="Ruller41"/>
    <w:rsid w:val="006F31F3"/>
    <w:pPr>
      <w:numPr>
        <w:numId w:val="12"/>
      </w:numPr>
    </w:pPr>
  </w:style>
  <w:style w:type="paragraph" w:customStyle="1" w:styleId="ruller400">
    <w:name w:val="ruller40"/>
    <w:basedOn w:val="a"/>
    <w:rsid w:val="006F31F3"/>
    <w:pPr>
      <w:adjustRightInd/>
      <w:spacing w:line="360" w:lineRule="auto"/>
      <w:jc w:val="both"/>
      <w:textAlignment w:val="auto"/>
    </w:pPr>
    <w:rPr>
      <w:rFonts w:ascii="Arial TUR" w:hAnsi="Arial TUR" w:cs="Arial TUR"/>
      <w:spacing w:val="10"/>
      <w:sz w:val="22"/>
      <w:szCs w:val="22"/>
      <w:lang w:bidi="ar-SA"/>
    </w:rPr>
  </w:style>
  <w:style w:type="paragraph" w:styleId="ae">
    <w:name w:val="Revision"/>
    <w:hidden/>
    <w:uiPriority w:val="99"/>
    <w:semiHidden/>
    <w:rsid w:val="006F31F3"/>
    <w:rPr>
      <w:rFonts w:ascii="Century" w:hAnsi="Century" w:cs="FrankRuehl"/>
      <w:spacing w:val="1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1802</Characters>
  <Application>Microsoft Office Word</Application>
  <DocSecurity>4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פסק-דין בתיק בג"ץ  6510/21</vt:lpstr>
    </vt:vector>
  </TitlesOfParts>
  <Company>supreme court of israel</Company>
  <LinksUpToDate>false</LinksUpToDate>
  <CharactersWithSpaces>2184</CharactersWithSpaces>
  <SharedDoc>false</SharedDoc>
  <HLinks>
    <vt:vector size="6" baseType="variant">
      <vt:variant>
        <vt:i4>1966158</vt:i4>
      </vt:variant>
      <vt:variant>
        <vt:i4>12</vt:i4>
      </vt:variant>
      <vt:variant>
        <vt:i4>0</vt:i4>
      </vt:variant>
      <vt:variant>
        <vt:i4>5</vt:i4>
      </vt:variant>
      <vt:variant>
        <vt:lpwstr>http://www.court.gov.il/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פסק-דין בתיק בג"ץ  6510/21</dc:title>
  <dc:subject/>
  <dc:creator>Administrator</dc:creator>
  <cp:keywords/>
  <dc:description/>
  <cp:lastModifiedBy>הדס לרנר</cp:lastModifiedBy>
  <cp:revision>2</cp:revision>
  <cp:lastPrinted>2009-02-15T09:12:00Z</cp:lastPrinted>
  <dcterms:created xsi:type="dcterms:W3CDTF">2022-08-10T14:28:00Z</dcterms:created>
  <dcterms:modified xsi:type="dcterms:W3CDTF">2022-08-10T14:28:00Z</dcterms:modified>
</cp:coreProperties>
</file>