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Default="0094424E" w:rsidP="00D44968">
      <w:pPr>
        <w:suppressLineNumbers/>
        <w:rPr>
          <w:rtl/>
        </w:rPr>
      </w:pPr>
      <w:r>
        <w:rPr>
          <w:rtl/>
        </w:rPr>
        <w:t xml:space="preserve"> </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trPr>
          <w:jc w:val="center"/>
        </w:trPr>
        <w:tc>
          <w:tcPr>
            <w:tcW w:w="743" w:type="dxa"/>
          </w:tcPr>
          <w:p w:rsidR="0094424E" w:rsidRPr="00DD05A8" w:rsidRDefault="0094424E" w:rsidP="00D44968">
            <w:pPr>
              <w:suppressLineNumbers/>
              <w:jc w:val="both"/>
              <w:rPr>
                <w:rFonts w:ascii="Arial" w:hAnsi="Arial"/>
                <w:b/>
                <w:bCs/>
                <w:sz w:val="26"/>
                <w:szCs w:val="26"/>
                <w:rtl/>
              </w:rPr>
            </w:pPr>
            <w:r w:rsidRPr="00DD05A8">
              <w:rPr>
                <w:rFonts w:ascii="Arial" w:hAnsi="Arial" w:hint="cs"/>
                <w:b/>
                <w:bCs/>
                <w:sz w:val="26"/>
                <w:szCs w:val="26"/>
                <w:rtl/>
              </w:rPr>
              <w:t>ב</w:t>
            </w:r>
            <w:r w:rsidRPr="00DD05A8">
              <w:rPr>
                <w:rFonts w:ascii="Arial" w:hAnsi="Arial"/>
                <w:b/>
                <w:bCs/>
                <w:sz w:val="26"/>
                <w:szCs w:val="26"/>
                <w:rtl/>
              </w:rPr>
              <w:t xml:space="preserve">פני </w:t>
            </w:r>
          </w:p>
        </w:tc>
        <w:tc>
          <w:tcPr>
            <w:tcW w:w="8077" w:type="dxa"/>
            <w:gridSpan w:val="2"/>
          </w:tcPr>
          <w:p w:rsidR="0094424E" w:rsidRPr="00DD05A8" w:rsidRDefault="000529D2" w:rsidP="00E9269D">
            <w:pPr>
              <w:suppressLineNumbers/>
              <w:rPr>
                <w:rFonts w:ascii="Arial" w:hAnsi="Arial"/>
                <w:b/>
                <w:bCs/>
                <w:sz w:val="26"/>
                <w:szCs w:val="26"/>
                <w:rtl/>
              </w:rPr>
            </w:pPr>
            <w:r w:rsidRPr="00DD05A8">
              <w:rPr>
                <w:rFonts w:ascii="Arial" w:hAnsi="Arial" w:hint="cs"/>
                <w:b/>
                <w:bCs/>
                <w:sz w:val="26"/>
                <w:szCs w:val="26"/>
                <w:rtl/>
              </w:rPr>
              <w:t>כבוד</w:t>
            </w:r>
            <w:r w:rsidR="0094424E" w:rsidRPr="00DD05A8">
              <w:rPr>
                <w:rFonts w:ascii="Arial" w:hAnsi="Arial" w:hint="cs"/>
                <w:b/>
                <w:bCs/>
                <w:sz w:val="26"/>
                <w:szCs w:val="26"/>
                <w:rtl/>
              </w:rPr>
              <w:t xml:space="preserve"> ה</w:t>
            </w:r>
            <w:sdt>
              <w:sdtPr>
                <w:rPr>
                  <w:sz w:val="26"/>
                  <w:szCs w:val="26"/>
                  <w:rtl/>
                </w:rPr>
                <w:alias w:val="1574"/>
                <w:tag w:val="1574"/>
                <w:id w:val="414602899"/>
                <w:text w:multiLine="1"/>
              </w:sdtPr>
              <w:sdtEndPr/>
              <w:sdtContent>
                <w:r>
                  <w:rPr>
                    <w:rFonts w:ascii="Arial" w:hAnsi="Arial"/>
                    <w:b/>
                    <w:bCs/>
                    <w:sz w:val="26"/>
                    <w:szCs w:val="26"/>
                    <w:rtl/>
                  </w:rPr>
                  <w:t>שופט</w:t>
                </w:r>
              </w:sdtContent>
            </w:sdt>
            <w:r w:rsidR="0094424E" w:rsidRPr="00DD05A8">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ישראל פת</w:t>
                </w:r>
              </w:sdtContent>
            </w:sdt>
          </w:p>
          <w:p w:rsidR="0094424E" w:rsidRPr="00DD05A8" w:rsidRDefault="0094424E" w:rsidP="00D44968">
            <w:pPr>
              <w:suppressLineNumbers/>
              <w:rPr>
                <w:rFonts w:ascii="Arial" w:hAnsi="Arial" w:cs="FrankRuehl"/>
                <w:sz w:val="26"/>
                <w:szCs w:val="26"/>
                <w:highlight w:val="yellow"/>
              </w:rPr>
            </w:pPr>
          </w:p>
        </w:tc>
      </w:tr>
      <w:tr w:rsidR="0094424E" w:rsidTr="00465D36">
        <w:trPr>
          <w:jc w:val="center"/>
        </w:trPr>
        <w:tc>
          <w:tcPr>
            <w:tcW w:w="3249" w:type="dxa"/>
            <w:gridSpan w:val="2"/>
          </w:tcPr>
          <w:p w:rsidR="0094424E" w:rsidRDefault="0094424E" w:rsidP="00D44968">
            <w:pPr>
              <w:suppressLineNumbers/>
              <w:rPr>
                <w:rFonts w:ascii="Arial" w:hAnsi="Arial"/>
                <w:b/>
                <w:bCs/>
                <w:noProof w:val="0"/>
                <w:sz w:val="26"/>
                <w:szCs w:val="26"/>
              </w:rPr>
            </w:pPr>
          </w:p>
          <w:sdt>
            <w:sdtPr>
              <w:rPr>
                <w:rtl/>
              </w:rPr>
              <w:alias w:val="1180"/>
              <w:tag w:val="1180"/>
              <w:id w:val="637458750"/>
              <w:text w:multiLine="1"/>
            </w:sdtPr>
            <w:sdtEndPr/>
            <w:sdtContent>
              <w:p w:rsidR="00454164" w:rsidRDefault="0075578C" w:rsidP="0075578C">
                <w:pPr>
                  <w:suppressLineNumbers/>
                  <w:rPr>
                    <w:rFonts w:ascii="Arial" w:hAnsi="Arial"/>
                    <w:b/>
                    <w:bCs/>
                    <w:noProof w:val="0"/>
                    <w:sz w:val="26"/>
                    <w:szCs w:val="26"/>
                    <w:rtl/>
                  </w:rPr>
                </w:pPr>
                <w:r>
                  <w:rPr>
                    <w:rFonts w:ascii="Arial" w:hAnsi="Arial" w:hint="cs"/>
                    <w:b/>
                    <w:bCs/>
                    <w:noProof w:val="0"/>
                    <w:sz w:val="26"/>
                    <w:szCs w:val="26"/>
                    <w:rtl/>
                  </w:rPr>
                  <w:t>ה</w:t>
                </w:r>
                <w:r w:rsidR="00113348">
                  <w:rPr>
                    <w:rFonts w:ascii="Arial" w:hAnsi="Arial"/>
                    <w:b/>
                    <w:bCs/>
                    <w:noProof w:val="0"/>
                    <w:sz w:val="26"/>
                    <w:szCs w:val="26"/>
                    <w:rtl/>
                  </w:rPr>
                  <w:t>תובע</w:t>
                </w:r>
              </w:p>
            </w:sdtContent>
          </w:sdt>
        </w:tc>
        <w:tc>
          <w:tcPr>
            <w:tcW w:w="5571" w:type="dxa"/>
          </w:tcPr>
          <w:p w:rsidR="0094424E" w:rsidRDefault="0094424E" w:rsidP="00D44968">
            <w:pPr>
              <w:suppressLineNumbers/>
              <w:rPr>
                <w:rFonts w:ascii="Arial" w:hAnsi="Arial"/>
                <w:b/>
                <w:bCs/>
                <w:noProof w:val="0"/>
                <w:sz w:val="26"/>
                <w:szCs w:val="26"/>
                <w:rtl/>
              </w:rPr>
            </w:pPr>
          </w:p>
          <w:p w:rsidR="0094424E" w:rsidRDefault="007C2453" w:rsidP="0075578C">
            <w:pPr>
              <w:suppressLineNumbers/>
              <w:rPr>
                <w:b/>
                <w:bCs/>
                <w:noProof w:val="0"/>
                <w:sz w:val="26"/>
                <w:szCs w:val="26"/>
              </w:rPr>
            </w:pPr>
            <w:r w:rsidRPr="007C2453">
              <w:rPr>
                <w:rFonts w:ascii="Arial" w:hAnsi="Arial" w:hint="cs"/>
                <w:b/>
                <w:bCs/>
                <w:noProof w:val="0"/>
                <w:sz w:val="26"/>
                <w:szCs w:val="26"/>
                <w:rtl/>
              </w:rPr>
              <w:t xml:space="preserve"> </w:t>
            </w:r>
            <w:sdt>
              <w:sdtPr>
                <w:rPr>
                  <w:rFonts w:ascii="Arial" w:hAnsi="Arial" w:hint="cs"/>
                  <w:b/>
                  <w:bCs/>
                  <w:noProof w:val="0"/>
                  <w:sz w:val="26"/>
                  <w:szCs w:val="26"/>
                  <w:rtl/>
                </w:rPr>
                <w:alias w:val="3151"/>
                <w:tag w:val="3151"/>
                <w:id w:val="1398553265"/>
                <w:placeholder>
                  <w:docPart w:val="7D8E46D2581B4CD9ACC623ACA7D52F75"/>
                </w:placeholder>
                <w:text w:multiLine="1"/>
              </w:sdtPr>
              <w:sdtEndPr/>
              <w:sdtContent>
                <w:r w:rsidR="00B859C5">
                  <w:rPr>
                    <w:rFonts w:ascii="Arial" w:hAnsi="Arial" w:hint="eastAsia"/>
                    <w:b/>
                    <w:bCs/>
                    <w:noProof w:val="0"/>
                    <w:sz w:val="26"/>
                    <w:szCs w:val="26"/>
                    <w:rtl/>
                  </w:rPr>
                  <w:t>יורם אורגד</w:t>
                </w:r>
              </w:sdtContent>
            </w:sdt>
            <w:r w:rsidR="0075578C">
              <w:rPr>
                <w:rFonts w:hint="cs"/>
                <w:rtl/>
              </w:rPr>
              <w:t xml:space="preserve">, </w:t>
            </w:r>
            <w:r w:rsidR="0075578C">
              <w:rPr>
                <w:rFonts w:ascii="Arial" w:hAnsi="Arial"/>
                <w:b/>
                <w:bCs/>
                <w:noProof w:val="0"/>
                <w:sz w:val="26"/>
                <w:szCs w:val="26"/>
                <w:rtl/>
              </w:rPr>
              <w:t>עו</w:t>
            </w:r>
            <w:r w:rsidR="00B859C5">
              <w:rPr>
                <w:rFonts w:ascii="Arial" w:hAnsi="Arial"/>
                <w:b/>
                <w:bCs/>
                <w:noProof w:val="0"/>
                <w:sz w:val="26"/>
                <w:szCs w:val="26"/>
                <w:rtl/>
              </w:rPr>
              <w:t>"ד</w:t>
            </w:r>
            <w:r w:rsidR="0075578C">
              <w:rPr>
                <w:rFonts w:hint="cs"/>
                <w:b/>
                <w:bCs/>
                <w:noProof w:val="0"/>
                <w:sz w:val="26"/>
                <w:szCs w:val="26"/>
                <w:rtl/>
              </w:rPr>
              <w:t xml:space="preserve"> (בעצמו)</w:t>
            </w:r>
          </w:p>
        </w:tc>
      </w:tr>
      <w:tr w:rsidR="0094424E">
        <w:trPr>
          <w:jc w:val="center"/>
        </w:trPr>
        <w:tc>
          <w:tcPr>
            <w:tcW w:w="8820" w:type="dxa"/>
            <w:gridSpan w:val="3"/>
          </w:tcPr>
          <w:p w:rsidR="0094424E" w:rsidRDefault="0094424E" w:rsidP="00D44968">
            <w:pPr>
              <w:suppressLineNumbers/>
              <w:rPr>
                <w:rFonts w:ascii="Arial" w:hAnsi="Arial"/>
                <w:b/>
                <w:bCs/>
                <w:noProof w:val="0"/>
                <w:sz w:val="26"/>
                <w:szCs w:val="26"/>
                <w:rtl/>
              </w:rPr>
            </w:pPr>
          </w:p>
          <w:p w:rsidR="0094424E" w:rsidRDefault="0094424E" w:rsidP="00D44968">
            <w:pPr>
              <w:suppressLineNumbers/>
              <w:jc w:val="center"/>
              <w:rPr>
                <w:rFonts w:ascii="Arial" w:hAnsi="Arial"/>
                <w:b/>
                <w:bCs/>
                <w:noProof w:val="0"/>
                <w:sz w:val="26"/>
                <w:szCs w:val="26"/>
                <w:rtl/>
              </w:rPr>
            </w:pPr>
            <w:r>
              <w:rPr>
                <w:rFonts w:ascii="Arial" w:hAnsi="Arial"/>
                <w:b/>
                <w:bCs/>
                <w:noProof w:val="0"/>
                <w:sz w:val="26"/>
                <w:szCs w:val="26"/>
                <w:rtl/>
              </w:rPr>
              <w:t>נגד</w:t>
            </w:r>
          </w:p>
          <w:p w:rsidR="0094424E" w:rsidRDefault="0094424E" w:rsidP="00D44968">
            <w:pPr>
              <w:suppressLineNumbers/>
              <w:rPr>
                <w:rFonts w:ascii="Arial" w:hAnsi="Arial"/>
                <w:b/>
                <w:bCs/>
                <w:noProof w:val="0"/>
                <w:sz w:val="26"/>
                <w:szCs w:val="26"/>
              </w:rPr>
            </w:pPr>
          </w:p>
        </w:tc>
      </w:tr>
      <w:tr w:rsidR="0094424E" w:rsidTr="009E461A">
        <w:trPr>
          <w:jc w:val="center"/>
        </w:trPr>
        <w:tc>
          <w:tcPr>
            <w:tcW w:w="3249" w:type="dxa"/>
            <w:gridSpan w:val="2"/>
          </w:tcPr>
          <w:p w:rsidR="0094424E" w:rsidRDefault="00864CA0" w:rsidP="0075578C">
            <w:pPr>
              <w:suppressLineNumbers/>
              <w:rPr>
                <w:rFonts w:ascii="Arial" w:hAnsi="Arial"/>
                <w:b/>
                <w:bCs/>
                <w:noProof w:val="0"/>
                <w:sz w:val="26"/>
                <w:szCs w:val="26"/>
              </w:rPr>
            </w:pPr>
            <w:sdt>
              <w:sdtPr>
                <w:rPr>
                  <w:rFonts w:ascii="Arial" w:hAnsi="Arial"/>
                  <w:b/>
                  <w:bCs/>
                  <w:noProof w:val="0"/>
                  <w:sz w:val="26"/>
                  <w:szCs w:val="26"/>
                  <w:rtl/>
                </w:rPr>
                <w:alias w:val="1184"/>
                <w:tag w:val="1184"/>
                <w:id w:val="-340621022"/>
                <w:text w:multiLine="1"/>
              </w:sdtPr>
              <w:sdtEndPr/>
              <w:sdtContent>
                <w:r w:rsidR="0075578C" w:rsidRPr="0075578C">
                  <w:rPr>
                    <w:rFonts w:ascii="Arial" w:hAnsi="Arial" w:hint="cs"/>
                    <w:b/>
                    <w:bCs/>
                    <w:noProof w:val="0"/>
                    <w:sz w:val="26"/>
                    <w:szCs w:val="26"/>
                    <w:rtl/>
                  </w:rPr>
                  <w:t>ה</w:t>
                </w:r>
                <w:r w:rsidR="00B859C5" w:rsidRPr="0075578C">
                  <w:rPr>
                    <w:rFonts w:ascii="Arial" w:hAnsi="Arial"/>
                    <w:b/>
                    <w:bCs/>
                    <w:noProof w:val="0"/>
                    <w:sz w:val="26"/>
                    <w:szCs w:val="26"/>
                    <w:rtl/>
                  </w:rPr>
                  <w:t>נתבע</w:t>
                </w:r>
                <w:r w:rsidR="0075578C" w:rsidRPr="0075578C">
                  <w:rPr>
                    <w:rFonts w:ascii="Arial" w:hAnsi="Arial" w:hint="cs"/>
                    <w:b/>
                    <w:bCs/>
                    <w:noProof w:val="0"/>
                    <w:sz w:val="26"/>
                    <w:szCs w:val="26"/>
                    <w:rtl/>
                  </w:rPr>
                  <w:t>ת</w:t>
                </w:r>
              </w:sdtContent>
            </w:sdt>
          </w:p>
        </w:tc>
        <w:tc>
          <w:tcPr>
            <w:tcW w:w="5571" w:type="dxa"/>
          </w:tcPr>
          <w:p w:rsidR="0075578C" w:rsidRDefault="007C2453" w:rsidP="007C2453">
            <w:pPr>
              <w:suppressLineNumbers/>
              <w:rPr>
                <w:rFonts w:ascii="Arial" w:hAnsi="Arial"/>
                <w:b/>
                <w:bCs/>
                <w:noProof w:val="0"/>
                <w:sz w:val="26"/>
                <w:szCs w:val="26"/>
                <w:rtl/>
              </w:rPr>
            </w:pPr>
            <w:r>
              <w:rPr>
                <w:rFonts w:ascii="Arial" w:hAnsi="Arial" w:hint="cs"/>
                <w:b/>
                <w:bCs/>
                <w:noProof w:val="0"/>
                <w:sz w:val="26"/>
                <w:szCs w:val="26"/>
                <w:rtl/>
              </w:rPr>
              <w:t xml:space="preserve"> </w:t>
            </w:r>
            <w:sdt>
              <w:sdtPr>
                <w:rPr>
                  <w:rFonts w:ascii="Arial" w:hAnsi="Arial" w:hint="cs"/>
                  <w:b/>
                  <w:bCs/>
                  <w:noProof w:val="0"/>
                  <w:sz w:val="26"/>
                  <w:szCs w:val="26"/>
                  <w:rtl/>
                </w:rPr>
                <w:alias w:val="3152"/>
                <w:tag w:val="3152"/>
                <w:id w:val="1920052440"/>
                <w:placeholder>
                  <w:docPart w:val="C3B0FBA23B684176B12DDEEA2C39785F"/>
                </w:placeholder>
                <w:text w:multiLine="1"/>
              </w:sdtPr>
              <w:sdtEndPr/>
              <w:sdtContent>
                <w:r w:rsidR="00B859C5">
                  <w:rPr>
                    <w:rFonts w:ascii="Arial" w:hAnsi="Arial" w:hint="eastAsia"/>
                    <w:b/>
                    <w:bCs/>
                    <w:noProof w:val="0"/>
                    <w:sz w:val="26"/>
                    <w:szCs w:val="26"/>
                    <w:rtl/>
                  </w:rPr>
                  <w:t>אילנית מירון</w:t>
                </w:r>
              </w:sdtContent>
            </w:sdt>
            <w:r w:rsidR="00B859C5" w:rsidRPr="0075578C">
              <w:rPr>
                <w:rFonts w:ascii="Arial" w:hAnsi="Arial" w:hint="cs"/>
                <w:b/>
                <w:bCs/>
                <w:noProof w:val="0"/>
                <w:sz w:val="26"/>
                <w:szCs w:val="26"/>
                <w:rtl/>
              </w:rPr>
              <w:t xml:space="preserve"> </w:t>
            </w:r>
          </w:p>
          <w:p w:rsidR="00CF6BB7" w:rsidRPr="0075578C" w:rsidRDefault="00B859C5" w:rsidP="007C2453">
            <w:pPr>
              <w:suppressLineNumbers/>
              <w:rPr>
                <w:rFonts w:ascii="Arial" w:hAnsi="Arial"/>
                <w:b/>
                <w:bCs/>
                <w:noProof w:val="0"/>
                <w:sz w:val="26"/>
                <w:szCs w:val="26"/>
                <w:rtl/>
              </w:rPr>
            </w:pPr>
            <w:r>
              <w:rPr>
                <w:rFonts w:ascii="Arial" w:hAnsi="Arial"/>
                <w:b/>
                <w:bCs/>
                <w:noProof w:val="0"/>
                <w:sz w:val="26"/>
                <w:szCs w:val="26"/>
                <w:rtl/>
              </w:rPr>
              <w:t>ע"י ב"כ עוה"ד</w:t>
            </w:r>
            <w:r w:rsidR="0075578C" w:rsidRPr="0075578C">
              <w:rPr>
                <w:rFonts w:ascii="Arial" w:hAnsi="Arial" w:hint="cs"/>
                <w:b/>
                <w:bCs/>
                <w:noProof w:val="0"/>
                <w:sz w:val="26"/>
                <w:szCs w:val="26"/>
                <w:rtl/>
              </w:rPr>
              <w:t xml:space="preserve"> יהונתן יוסף קלינגר ואלדד בן גיורא</w:t>
            </w:r>
          </w:p>
        </w:tc>
      </w:tr>
      <w:tr w:rsidR="00CF6BB7" w:rsidTr="00280865">
        <w:trPr>
          <w:jc w:val="center"/>
        </w:trPr>
        <w:tc>
          <w:tcPr>
            <w:tcW w:w="8820" w:type="dxa"/>
            <w:gridSpan w:val="3"/>
          </w:tcPr>
          <w:p w:rsidR="00CF6BB7" w:rsidRPr="0075578C" w:rsidRDefault="00CF6BB7" w:rsidP="00D44968">
            <w:pPr>
              <w:suppressLineNumbers/>
              <w:rPr>
                <w:rFonts w:ascii="Arial" w:hAnsi="Arial"/>
                <w:b/>
                <w:bCs/>
                <w:noProof w:val="0"/>
                <w:sz w:val="26"/>
                <w:szCs w:val="26"/>
              </w:rPr>
            </w:pPr>
          </w:p>
          <w:p w:rsidR="00CF6BB7" w:rsidRPr="0075578C" w:rsidRDefault="00CF6BB7" w:rsidP="00D44968">
            <w:pPr>
              <w:suppressLineNumbers/>
              <w:rPr>
                <w:rFonts w:ascii="Arial" w:hAnsi="Arial"/>
                <w:b/>
                <w:bCs/>
                <w:noProof w:val="0"/>
                <w:sz w:val="26"/>
                <w:szCs w:val="26"/>
                <w:rtl/>
              </w:rPr>
            </w:pPr>
          </w:p>
          <w:p w:rsidR="00CF6BB7" w:rsidRPr="0075578C" w:rsidRDefault="00CF6BB7" w:rsidP="00D44968">
            <w:pPr>
              <w:suppressLineNumbers/>
              <w:rPr>
                <w:rFonts w:ascii="Arial" w:hAnsi="Arial"/>
                <w:b/>
                <w:bCs/>
                <w:noProof w:val="0"/>
                <w:sz w:val="26"/>
                <w:szCs w:val="26"/>
                <w:rtl/>
              </w:rPr>
            </w:pPr>
          </w:p>
        </w:tc>
      </w:tr>
      <w:tr w:rsidR="00CF6BB7">
        <w:trPr>
          <w:jc w:val="center"/>
        </w:trPr>
        <w:tc>
          <w:tcPr>
            <w:tcW w:w="3249" w:type="dxa"/>
            <w:gridSpan w:val="2"/>
          </w:tcPr>
          <w:p w:rsidR="00A46717" w:rsidRPr="00272E32" w:rsidRDefault="00864CA0" w:rsidP="00A46717">
            <w:pPr>
              <w:rPr>
                <w:rFonts w:ascii="Arial" w:hAnsi="Arial"/>
                <w:b/>
                <w:bCs/>
                <w:noProof w:val="0"/>
                <w:sz w:val="26"/>
                <w:szCs w:val="26"/>
              </w:rPr>
            </w:pPr>
            <w:sdt>
              <w:sdtPr>
                <w:rPr>
                  <w:rFonts w:ascii="Arial" w:hAnsi="Arial"/>
                  <w:b/>
                  <w:bCs/>
                  <w:noProof w:val="0"/>
                  <w:sz w:val="26"/>
                  <w:szCs w:val="26"/>
                  <w:rtl/>
                </w:rPr>
                <w:alias w:val="2360"/>
                <w:tag w:val="2360"/>
                <w:id w:val="-1765608184"/>
                <w:lock w:val="contentLocked"/>
                <w:placeholder>
                  <w:docPart w:val="C0D9D4EB038F4D9DB24B5A2B7A8F2E7B"/>
                </w:placeholder>
                <w:text w:multiLine="1"/>
              </w:sdtPr>
              <w:sdtEndPr/>
              <w:sdtContent/>
            </w:sdt>
          </w:p>
        </w:tc>
        <w:tc>
          <w:tcPr>
            <w:tcW w:w="5571" w:type="dxa"/>
          </w:tcPr>
          <w:p w:rsidR="00A46717" w:rsidRPr="007C2453" w:rsidRDefault="00864CA0" w:rsidP="00A46717">
            <w:pPr>
              <w:rPr>
                <w:rFonts w:ascii="Arial" w:hAnsi="Arial"/>
                <w:b/>
                <w:bCs/>
                <w:noProof w:val="0"/>
                <w:sz w:val="26"/>
                <w:szCs w:val="26"/>
              </w:rPr>
            </w:pPr>
            <w:sdt>
              <w:sdtPr>
                <w:rPr>
                  <w:rFonts w:ascii="Arial" w:hAnsi="Arial"/>
                  <w:b/>
                  <w:bCs/>
                  <w:noProof w:val="0"/>
                  <w:sz w:val="26"/>
                  <w:szCs w:val="26"/>
                  <w:rtl/>
                </w:rPr>
                <w:alias w:val="3153"/>
                <w:tag w:val="3153"/>
                <w:id w:val="-1834055329"/>
                <w:lock w:val="contentLocked"/>
                <w:placeholder>
                  <w:docPart w:val="D0835A28627A476594973290286577B2"/>
                </w:placeholder>
                <w:text w:multiLine="1"/>
              </w:sdtPr>
              <w:sdtEndPr/>
              <w:sdtContent/>
            </w:sdt>
          </w:p>
        </w:tc>
      </w:tr>
      <w:tr w:rsidR="004C17EE" w:rsidTr="00D620FD">
        <w:trPr>
          <w:jc w:val="center"/>
        </w:trPr>
        <w:tc>
          <w:tcPr>
            <w:tcW w:w="8820" w:type="dxa"/>
            <w:gridSpan w:val="3"/>
          </w:tcPr>
          <w:p w:rsidR="00454164" w:rsidRDefault="00454164">
            <w:pPr>
              <w:suppressLineNumbers/>
              <w:rPr>
                <w:rFonts w:ascii="Arial" w:hAnsi="Arial"/>
                <w:b/>
                <w:bCs/>
                <w:noProof w:val="0"/>
                <w:sz w:val="26"/>
                <w:szCs w:val="26"/>
                <w:rtl/>
              </w:rPr>
            </w:pPr>
          </w:p>
        </w:tc>
      </w:tr>
    </w:tbl>
    <w:p w:rsidR="0094424E" w:rsidRDefault="0094424E" w:rsidP="00D44968">
      <w:pPr>
        <w:suppressLineNumbers/>
        <w:rPr>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DE1E7D">
        <w:trPr>
          <w:jc w:val="center"/>
        </w:trPr>
        <w:tc>
          <w:tcPr>
            <w:tcW w:w="8820" w:type="dxa"/>
          </w:tcPr>
          <w:p w:rsidR="00694556" w:rsidRDefault="003E38C7">
            <w:pPr>
              <w:bidi w:val="0"/>
              <w:jc w:val="center"/>
              <w:rPr>
                <w:rFonts w:ascii="Arial" w:hAnsi="Arial"/>
                <w:b/>
                <w:bCs/>
                <w:noProof w:val="0"/>
                <w:sz w:val="28"/>
                <w:szCs w:val="28"/>
                <w:u w:val="single"/>
                <w:rtl/>
              </w:rPr>
            </w:pPr>
            <w:r>
              <w:rPr>
                <w:rFonts w:ascii="Arial" w:hAnsi="Arial" w:hint="cs"/>
                <w:b/>
                <w:bCs/>
                <w:noProof w:val="0"/>
                <w:sz w:val="28"/>
                <w:szCs w:val="28"/>
                <w:u w:val="single"/>
                <w:rtl/>
              </w:rPr>
              <w:t>פסק דין</w:t>
            </w:r>
          </w:p>
          <w:p w:rsidR="00D44968" w:rsidRPr="00D44968" w:rsidRDefault="00D44968" w:rsidP="00D44968">
            <w:pPr>
              <w:bidi w:val="0"/>
              <w:jc w:val="center"/>
              <w:rPr>
                <w:rFonts w:ascii="Arial" w:hAnsi="Arial"/>
                <w:b/>
                <w:bCs/>
                <w:noProof w:val="0"/>
                <w:sz w:val="28"/>
                <w:szCs w:val="28"/>
                <w:u w:val="single"/>
              </w:rPr>
            </w:pPr>
          </w:p>
        </w:tc>
      </w:tr>
    </w:tbl>
    <w:p w:rsidR="0075578C" w:rsidRDefault="0075578C" w:rsidP="0075578C">
      <w:pPr>
        <w:spacing w:line="360" w:lineRule="auto"/>
        <w:rPr>
          <w:rFonts w:ascii="David" w:hAnsi="David"/>
          <w:rtl/>
        </w:rPr>
      </w:pPr>
      <w:bookmarkStart w:id="0" w:name="NGCSBookmark"/>
      <w:bookmarkEnd w:id="0"/>
    </w:p>
    <w:p w:rsidR="0075578C" w:rsidRDefault="0075578C" w:rsidP="0075578C">
      <w:pPr>
        <w:spacing w:line="360" w:lineRule="auto"/>
        <w:rPr>
          <w:rFonts w:ascii="David" w:hAnsi="David"/>
          <w:b/>
          <w:bCs/>
          <w:u w:val="single"/>
          <w:rtl/>
        </w:rPr>
      </w:pPr>
      <w:r>
        <w:rPr>
          <w:rFonts w:ascii="David" w:hAnsi="David"/>
          <w:b/>
          <w:bCs/>
          <w:u w:val="single"/>
          <w:rtl/>
        </w:rPr>
        <w:t>רקע כללי ותמצית טענות הצדדים בקליפת אגוז</w:t>
      </w:r>
    </w:p>
    <w:p w:rsidR="0075578C" w:rsidRDefault="0075578C" w:rsidP="0075578C">
      <w:pPr>
        <w:pStyle w:val="ad"/>
        <w:numPr>
          <w:ilvl w:val="0"/>
          <w:numId w:val="1"/>
        </w:numPr>
        <w:spacing w:line="360" w:lineRule="auto"/>
        <w:jc w:val="both"/>
        <w:rPr>
          <w:rFonts w:ascii="David" w:hAnsi="David" w:cs="David"/>
          <w:sz w:val="24"/>
          <w:szCs w:val="24"/>
          <w:rtl/>
        </w:rPr>
      </w:pPr>
      <w:r>
        <w:rPr>
          <w:rFonts w:ascii="David" w:hAnsi="David" w:cs="David"/>
          <w:sz w:val="24"/>
          <w:szCs w:val="24"/>
          <w:rtl/>
        </w:rPr>
        <w:t xml:space="preserve">האם ניתן לראות בפעולה של הסרת חבר מקבוצת </w:t>
      </w:r>
      <w:r>
        <w:rPr>
          <w:rFonts w:ascii="David" w:hAnsi="David" w:cs="David"/>
          <w:sz w:val="24"/>
          <w:szCs w:val="24"/>
        </w:rPr>
        <w:t>WhatsApp</w:t>
      </w:r>
      <w:r>
        <w:rPr>
          <w:rFonts w:ascii="David" w:hAnsi="David" w:cs="David"/>
          <w:sz w:val="24"/>
          <w:szCs w:val="24"/>
          <w:rtl/>
        </w:rPr>
        <w:t xml:space="preserve"> (ווטס-אפ) כדי "פרסום" כמובנו </w:t>
      </w:r>
      <w:hyperlink r:id="rId10" w:history="1">
        <w:r>
          <w:rPr>
            <w:rStyle w:val="Hyperlink"/>
            <w:rFonts w:ascii="David" w:hAnsi="David" w:cs="David"/>
            <w:sz w:val="24"/>
            <w:szCs w:val="24"/>
            <w:rtl/>
          </w:rPr>
          <w:t>בסעיף 2</w:t>
        </w:r>
      </w:hyperlink>
      <w:r>
        <w:rPr>
          <w:rFonts w:ascii="David" w:hAnsi="David" w:cs="David"/>
          <w:sz w:val="24"/>
          <w:szCs w:val="24"/>
          <w:rtl/>
        </w:rPr>
        <w:t xml:space="preserve"> ל</w:t>
      </w:r>
      <w:hyperlink r:id="rId11" w:history="1">
        <w:r>
          <w:rPr>
            <w:rStyle w:val="Hyperlink"/>
            <w:rFonts w:ascii="David" w:hAnsi="David" w:cs="David"/>
            <w:sz w:val="24"/>
            <w:szCs w:val="24"/>
            <w:rtl/>
          </w:rPr>
          <w:t>חוק איסור לשון הרע</w:t>
        </w:r>
      </w:hyperlink>
      <w:r>
        <w:rPr>
          <w:rFonts w:ascii="David" w:hAnsi="David" w:cs="David"/>
          <w:sz w:val="24"/>
          <w:szCs w:val="24"/>
          <w:rtl/>
        </w:rPr>
        <w:t xml:space="preserve">, התשכ"ה-1965 (להלן: </w:t>
      </w:r>
      <w:r>
        <w:rPr>
          <w:rFonts w:ascii="David" w:hAnsi="David" w:cs="David"/>
          <w:b/>
          <w:bCs/>
          <w:sz w:val="24"/>
          <w:szCs w:val="24"/>
          <w:rtl/>
        </w:rPr>
        <w:t>חוק איסור לשון הרע</w:t>
      </w:r>
      <w:r>
        <w:rPr>
          <w:rFonts w:ascii="David" w:hAnsi="David" w:cs="David"/>
          <w:sz w:val="24"/>
          <w:szCs w:val="24"/>
          <w:rtl/>
        </w:rPr>
        <w:t xml:space="preserve"> או </w:t>
      </w:r>
      <w:r>
        <w:rPr>
          <w:rFonts w:ascii="David" w:hAnsi="David" w:cs="David"/>
          <w:b/>
          <w:bCs/>
          <w:sz w:val="24"/>
          <w:szCs w:val="24"/>
          <w:rtl/>
        </w:rPr>
        <w:t>החוק</w:t>
      </w:r>
      <w:r>
        <w:rPr>
          <w:rFonts w:ascii="David" w:hAnsi="David" w:cs="David"/>
          <w:sz w:val="24"/>
          <w:szCs w:val="24"/>
          <w:rtl/>
        </w:rPr>
        <w:t xml:space="preserve">)? זו בתמצית הסוגיה מושא פסק הדין שלפנינו. </w:t>
      </w:r>
    </w:p>
    <w:p w:rsidR="0075578C" w:rsidRDefault="0075578C" w:rsidP="0075578C">
      <w:pPr>
        <w:pStyle w:val="ad"/>
        <w:spacing w:line="360" w:lineRule="auto"/>
        <w:jc w:val="both"/>
        <w:rPr>
          <w:rFonts w:ascii="David" w:hAnsi="David" w:cs="David"/>
          <w:sz w:val="24"/>
          <w:szCs w:val="24"/>
          <w:rtl/>
        </w:rPr>
      </w:pPr>
    </w:p>
    <w:p w:rsidR="0075578C" w:rsidRDefault="0075578C" w:rsidP="0075578C">
      <w:pPr>
        <w:pStyle w:val="ad"/>
        <w:numPr>
          <w:ilvl w:val="0"/>
          <w:numId w:val="1"/>
        </w:numPr>
        <w:spacing w:line="360" w:lineRule="auto"/>
        <w:jc w:val="both"/>
        <w:rPr>
          <w:rFonts w:ascii="David" w:hAnsi="David" w:cs="David"/>
          <w:sz w:val="24"/>
          <w:szCs w:val="24"/>
        </w:rPr>
      </w:pPr>
      <w:r>
        <w:rPr>
          <w:rFonts w:ascii="David" w:hAnsi="David" w:cs="David"/>
          <w:sz w:val="24"/>
          <w:szCs w:val="24"/>
          <w:rtl/>
        </w:rPr>
        <w:t>אחל בסקירת המקרה לגופו ובסקירת תמצית טענות הצדדים.</w:t>
      </w:r>
    </w:p>
    <w:p w:rsidR="0075578C" w:rsidRDefault="0075578C" w:rsidP="0075578C">
      <w:pPr>
        <w:spacing w:line="360" w:lineRule="auto"/>
        <w:ind w:left="720"/>
        <w:jc w:val="both"/>
        <w:rPr>
          <w:rFonts w:ascii="David" w:hAnsi="David"/>
          <w:rtl/>
        </w:rPr>
      </w:pPr>
      <w:r>
        <w:rPr>
          <w:rFonts w:ascii="David" w:hAnsi="David"/>
          <w:rtl/>
        </w:rPr>
        <w:t xml:space="preserve">הנתבעת והתובע, משתתפים באימוני ספינינג (יחד עם כ-60 חברים אחרים) שאותם מעבירה מאמנת הכושר ומקימת הקבוצה – גב' קרן רוזנבלט-אהרונוביץ' (להלן: </w:t>
      </w:r>
      <w:r>
        <w:rPr>
          <w:rFonts w:ascii="David" w:hAnsi="David"/>
          <w:b/>
          <w:bCs/>
          <w:rtl/>
        </w:rPr>
        <w:t>קרן</w:t>
      </w:r>
      <w:r>
        <w:rPr>
          <w:rFonts w:ascii="David" w:hAnsi="David"/>
          <w:rtl/>
        </w:rPr>
        <w:t xml:space="preserve">) בסניף הוד השרון של מועדון הכושר והבריאות מרשת "הולמס פלייס" (להלן: </w:t>
      </w:r>
      <w:r>
        <w:rPr>
          <w:rFonts w:ascii="David" w:hAnsi="David"/>
          <w:b/>
          <w:bCs/>
          <w:rtl/>
        </w:rPr>
        <w:t>קבוצת הספינינג</w:t>
      </w:r>
      <w:r>
        <w:rPr>
          <w:rFonts w:ascii="David" w:hAnsi="David"/>
          <w:rtl/>
        </w:rPr>
        <w:t>). חברי קבוצת הספינינג התאמנו בעבר בספורטן ובהמשך במועדון ה-</w:t>
      </w:r>
      <w:r>
        <w:rPr>
          <w:rFonts w:ascii="David" w:hAnsi="David"/>
        </w:rPr>
        <w:t>JOY</w:t>
      </w:r>
      <w:r>
        <w:rPr>
          <w:rFonts w:ascii="David" w:hAnsi="David"/>
          <w:rtl/>
        </w:rPr>
        <w:t>, ולאחר שזה נרכש ע"י רשת "הולמס פלייס", הם מתאמנים במסגרת זו (להלן:</w:t>
      </w:r>
      <w:r>
        <w:rPr>
          <w:rFonts w:ascii="David" w:hAnsi="David"/>
          <w:b/>
          <w:bCs/>
          <w:rtl/>
        </w:rPr>
        <w:t xml:space="preserve"> מועדון הכושר</w:t>
      </w:r>
      <w:r>
        <w:rPr>
          <w:rFonts w:ascii="David" w:hAnsi="David"/>
          <w:rtl/>
        </w:rPr>
        <w:t>). כפי שעולה מכתבי הטענות, חברי הקבוצה משתתפים בקבוצת הספינינג משך תקופה של שנים רבות.</w:t>
      </w:r>
      <w:r>
        <w:rPr>
          <w:rFonts w:ascii="David" w:hAnsi="David"/>
        </w:rPr>
        <w:t xml:space="preserve"> </w:t>
      </w:r>
    </w:p>
    <w:p w:rsidR="0075578C" w:rsidRDefault="0075578C" w:rsidP="0075578C">
      <w:pPr>
        <w:spacing w:line="360" w:lineRule="auto"/>
        <w:ind w:left="720"/>
        <w:jc w:val="both"/>
        <w:rPr>
          <w:rFonts w:ascii="David" w:hAnsi="David"/>
          <w:rtl/>
        </w:rPr>
      </w:pPr>
      <w:r>
        <w:rPr>
          <w:rFonts w:ascii="David" w:hAnsi="David"/>
          <w:rtl/>
        </w:rPr>
        <w:t xml:space="preserve">קרן הקימה ומנהלת את קבוצת הווטס-אפ "ספינינג </w:t>
      </w:r>
      <w:r>
        <w:rPr>
          <w:rFonts w:ascii="David" w:hAnsi="David"/>
        </w:rPr>
        <w:t>JOY VIP</w:t>
      </w:r>
      <w:r>
        <w:rPr>
          <w:rFonts w:ascii="David" w:hAnsi="David"/>
          <w:rtl/>
        </w:rPr>
        <w:t xml:space="preserve">" (להלן: </w:t>
      </w:r>
      <w:r>
        <w:rPr>
          <w:rFonts w:ascii="David" w:hAnsi="David"/>
          <w:b/>
          <w:bCs/>
          <w:rtl/>
        </w:rPr>
        <w:t xml:space="preserve">הקבוצה </w:t>
      </w:r>
      <w:r>
        <w:rPr>
          <w:rFonts w:ascii="David" w:hAnsi="David"/>
          <w:rtl/>
        </w:rPr>
        <w:t>או</w:t>
      </w:r>
      <w:r>
        <w:rPr>
          <w:rFonts w:ascii="David" w:hAnsi="David"/>
          <w:b/>
          <w:bCs/>
          <w:rtl/>
        </w:rPr>
        <w:t xml:space="preserve"> קבוצת הווטס-אפ</w:t>
      </w:r>
      <w:r>
        <w:rPr>
          <w:rFonts w:ascii="David" w:hAnsi="David"/>
          <w:rtl/>
        </w:rPr>
        <w:t>), שעניינה בהעברת מסרים מיידיים, תמונות, מסמכים, קבצים וכיו"ב בין חברי קבוצת הספינינג, והנתבעת מסייעת על ידה ומנהלת את הקבוצה מטעמה של קרן. קרן אף צירפה את התובע ובת זוגו לשעבר, גב' דורית רוזנר, לקבוצה.</w:t>
      </w:r>
    </w:p>
    <w:p w:rsidR="0075578C" w:rsidRDefault="0075578C" w:rsidP="0075578C">
      <w:pPr>
        <w:pStyle w:val="ad"/>
        <w:numPr>
          <w:ilvl w:val="0"/>
          <w:numId w:val="1"/>
        </w:numPr>
        <w:spacing w:line="360" w:lineRule="auto"/>
        <w:jc w:val="both"/>
        <w:rPr>
          <w:rFonts w:ascii="David" w:hAnsi="David" w:cs="David"/>
          <w:sz w:val="24"/>
          <w:szCs w:val="24"/>
          <w:rtl/>
        </w:rPr>
      </w:pPr>
      <w:r>
        <w:rPr>
          <w:rFonts w:ascii="David" w:hAnsi="David" w:cs="David"/>
          <w:sz w:val="24"/>
          <w:szCs w:val="24"/>
          <w:rtl/>
        </w:rPr>
        <w:lastRenderedPageBreak/>
        <w:t xml:space="preserve">לטענת התובע, בחלוף כשנה ומחצה ממועד צירופם לקבוצה, ביום 14.3.22, הסירה הנתבעת את התובע ואת בת הזוג מהקבוצה. לטענת התובע, נעשתה פעולת ההסרה ע"י הנתבעת שלא כדין, שלא בסמכות ושלא ברשות של קרן. </w:t>
      </w:r>
    </w:p>
    <w:p w:rsidR="0075578C" w:rsidRDefault="0075578C" w:rsidP="0075578C">
      <w:pPr>
        <w:pStyle w:val="ad"/>
        <w:spacing w:line="360" w:lineRule="auto"/>
        <w:jc w:val="both"/>
        <w:rPr>
          <w:rFonts w:ascii="David" w:hAnsi="David" w:cs="David"/>
          <w:sz w:val="24"/>
          <w:szCs w:val="24"/>
          <w:rtl/>
        </w:rPr>
      </w:pPr>
    </w:p>
    <w:p w:rsidR="0075578C" w:rsidRDefault="0075578C" w:rsidP="0075578C">
      <w:pPr>
        <w:pStyle w:val="ad"/>
        <w:numPr>
          <w:ilvl w:val="0"/>
          <w:numId w:val="1"/>
        </w:numPr>
        <w:spacing w:line="360" w:lineRule="auto"/>
        <w:jc w:val="both"/>
        <w:rPr>
          <w:rFonts w:ascii="David" w:hAnsi="David" w:cs="David"/>
          <w:sz w:val="24"/>
          <w:szCs w:val="24"/>
        </w:rPr>
      </w:pPr>
      <w:r>
        <w:rPr>
          <w:rFonts w:ascii="David" w:hAnsi="David" w:cs="David"/>
          <w:sz w:val="24"/>
          <w:szCs w:val="24"/>
          <w:rtl/>
        </w:rPr>
        <w:t xml:space="preserve">מכתבי הטענות של הצדדים עולה כי בין התובע לבין מקצת מחברי קבוצת הספינינג וחברי קבוצת הווטס-אפ התגלעה מחלוקת באשר לציונם של מועדים שונים, ובכלל זה, חגי ישראל וימי הולדת, בחגיגות המלוות באכילה ובשתיה, במסגרת קבוצת הספינינג, כאשר לטענת הנתבעת וחברים נוספים, זו התנהלה בהתאם למסורת של שנים בקבוצה וללא כל פגיעה בשיעורים ובאימונים עצמם; ואילו לטענת התובע, הדברים נעשו תוך שילוב של שתיית אלכוהול, ובמהלך האימונים. נקודת השבר התרחשה כאשר קרן יצאה לחופשת לידה ומדריך אחר החליף אותה באימון חברי הקבוצה. באחד המקרים, הגיש התובע מכתב תלונה להנהלת מועדון הכושר ביחס להתנהלות המדריך המחליף, שאפשר ניהול חגיגות כאלו, לטענת התובע, בזמן שיעור הספינינג עצמו. מנגד, התנגדה קבוצת חברים, ובכללם הנתבעת, למעשיו של התובע; והנתבעת (בהתייעצות עם חבר קבוצת הווטס-אפ, בשם עודד ישראלי) פעלה להסרת חברותו של התובע מקבוצת הווטס-אפ. יוער כי לשיטת התובע, מעולם לא התנהל כל עימות אישי בינו לבין הנתבעת והיכרותם היא מאימוני הספינינג המשותפים ומקבוצת הווטס-אפ, כמו גם בהחלפת מילות נימוס, בלבד. </w:t>
      </w:r>
    </w:p>
    <w:p w:rsidR="0075578C" w:rsidRDefault="0075578C" w:rsidP="0075578C">
      <w:pPr>
        <w:pStyle w:val="ad"/>
        <w:spacing w:line="360" w:lineRule="auto"/>
        <w:jc w:val="both"/>
        <w:rPr>
          <w:rFonts w:ascii="David" w:hAnsi="David" w:cs="David"/>
          <w:sz w:val="24"/>
          <w:szCs w:val="24"/>
          <w:rtl/>
        </w:rPr>
      </w:pPr>
    </w:p>
    <w:p w:rsidR="0075578C" w:rsidRDefault="0075578C" w:rsidP="0075578C">
      <w:pPr>
        <w:pStyle w:val="ad"/>
        <w:numPr>
          <w:ilvl w:val="0"/>
          <w:numId w:val="1"/>
        </w:numPr>
        <w:spacing w:line="360" w:lineRule="auto"/>
        <w:jc w:val="both"/>
        <w:rPr>
          <w:rFonts w:ascii="David" w:hAnsi="David" w:cs="David"/>
          <w:sz w:val="24"/>
          <w:szCs w:val="24"/>
        </w:rPr>
      </w:pPr>
      <w:r>
        <w:rPr>
          <w:rFonts w:ascii="David" w:hAnsi="David" w:cs="David"/>
          <w:sz w:val="24"/>
          <w:szCs w:val="24"/>
          <w:rtl/>
        </w:rPr>
        <w:t>לקראת חג הפורים פורסמה הודעה בקבוצה שלפיה חברי הקבוצה מוזמנים לבוא מחופשים (רשות) ובמצב רוח שמח (חובה) ולהביא עמם רעשנים, אביזרים, משקאות בריאות וחטיפי אנרגיה.</w:t>
      </w:r>
    </w:p>
    <w:p w:rsidR="0075578C" w:rsidRDefault="0075578C" w:rsidP="0075578C">
      <w:pPr>
        <w:spacing w:line="360" w:lineRule="auto"/>
        <w:ind w:left="720"/>
        <w:jc w:val="both"/>
        <w:rPr>
          <w:rFonts w:ascii="David" w:hAnsi="David"/>
          <w:rtl/>
        </w:rPr>
      </w:pPr>
      <w:r>
        <w:rPr>
          <w:rFonts w:ascii="David" w:hAnsi="David"/>
          <w:rtl/>
        </w:rPr>
        <w:t>סמוך לאחר פרסום ההודעה הנ"ל, הוצאה בת זוגו דאז של התובע, גב' רוזנר, מהקבוצה, וסמוך לאחר מכן הוצא התובע עצמו מהקבוצה.</w:t>
      </w:r>
    </w:p>
    <w:p w:rsidR="0075578C" w:rsidRDefault="0075578C" w:rsidP="0075578C">
      <w:pPr>
        <w:pStyle w:val="ad"/>
        <w:numPr>
          <w:ilvl w:val="0"/>
          <w:numId w:val="1"/>
        </w:numPr>
        <w:spacing w:line="360" w:lineRule="auto"/>
        <w:jc w:val="both"/>
        <w:rPr>
          <w:rFonts w:ascii="David" w:hAnsi="David" w:cs="David"/>
          <w:sz w:val="24"/>
          <w:szCs w:val="24"/>
          <w:rtl/>
        </w:rPr>
      </w:pPr>
      <w:r>
        <w:rPr>
          <w:rFonts w:ascii="David" w:hAnsi="David" w:cs="David"/>
          <w:sz w:val="24"/>
          <w:szCs w:val="24"/>
          <w:rtl/>
        </w:rPr>
        <w:t>בשל הסרתו של התובע מהקבוצה קיבל התובע את הודעה כדלקמן:</w:t>
      </w:r>
    </w:p>
    <w:p w:rsidR="0075578C" w:rsidRDefault="0075578C" w:rsidP="0075578C">
      <w:pPr>
        <w:spacing w:line="360" w:lineRule="auto"/>
        <w:ind w:left="720" w:firstLine="720"/>
        <w:jc w:val="both"/>
        <w:rPr>
          <w:rFonts w:ascii="David" w:hAnsi="David"/>
          <w:rtl/>
        </w:rPr>
      </w:pPr>
      <w:r>
        <w:rPr>
          <w:rFonts w:ascii="David" w:hAnsi="David"/>
          <w:b/>
          <w:bCs/>
          <w:rtl/>
        </w:rPr>
        <w:t>"אילנית מירון/ ספינינג ג'וי הסיר/ה אותך מהקבוצה"</w:t>
      </w:r>
    </w:p>
    <w:p w:rsidR="0075578C" w:rsidRDefault="0075578C" w:rsidP="0075578C">
      <w:pPr>
        <w:spacing w:line="360" w:lineRule="auto"/>
        <w:ind w:left="720" w:firstLine="720"/>
        <w:jc w:val="both"/>
        <w:rPr>
          <w:rFonts w:ascii="David" w:hAnsi="David"/>
          <w:rtl/>
        </w:rPr>
      </w:pPr>
    </w:p>
    <w:p w:rsidR="0075578C" w:rsidRDefault="0075578C" w:rsidP="0075578C">
      <w:pPr>
        <w:pStyle w:val="ad"/>
        <w:numPr>
          <w:ilvl w:val="0"/>
          <w:numId w:val="1"/>
        </w:numPr>
        <w:spacing w:line="360" w:lineRule="auto"/>
        <w:jc w:val="both"/>
        <w:rPr>
          <w:rFonts w:ascii="David" w:hAnsi="David" w:cs="David"/>
          <w:sz w:val="24"/>
          <w:szCs w:val="24"/>
          <w:rtl/>
        </w:rPr>
      </w:pPr>
      <w:r>
        <w:rPr>
          <w:rFonts w:ascii="David" w:hAnsi="David" w:cs="David"/>
          <w:sz w:val="24"/>
          <w:szCs w:val="24"/>
          <w:rtl/>
        </w:rPr>
        <w:t>בהקשר זה מציין התובע עצמו, בדבריו לפר' הדיון מיום 19.4.23, כי –</w:t>
      </w:r>
    </w:p>
    <w:p w:rsidR="0075578C" w:rsidRDefault="0075578C" w:rsidP="0075578C">
      <w:pPr>
        <w:spacing w:line="360" w:lineRule="auto"/>
        <w:ind w:left="1440"/>
        <w:jc w:val="both"/>
        <w:rPr>
          <w:rFonts w:ascii="David" w:hAnsi="David"/>
          <w:rtl/>
        </w:rPr>
      </w:pPr>
      <w:r>
        <w:rPr>
          <w:rFonts w:ascii="David" w:hAnsi="David"/>
          <w:b/>
          <w:bCs/>
          <w:rtl/>
        </w:rPr>
        <w:t xml:space="preserve">"וואטסאפ עשו שינוי. היום אם מישהו עוזב קבוצה רק מנהל הקבוצה רואה את זה." </w:t>
      </w:r>
      <w:r>
        <w:rPr>
          <w:rFonts w:ascii="David" w:hAnsi="David"/>
          <w:rtl/>
        </w:rPr>
        <w:t xml:space="preserve">(עמ' 2, ש' 10). </w:t>
      </w:r>
    </w:p>
    <w:p w:rsidR="0075578C" w:rsidRDefault="0075578C" w:rsidP="0075578C">
      <w:pPr>
        <w:spacing w:line="360" w:lineRule="auto"/>
        <w:ind w:left="720"/>
        <w:jc w:val="both"/>
        <w:rPr>
          <w:rFonts w:ascii="David" w:hAnsi="David"/>
          <w:rtl/>
        </w:rPr>
      </w:pPr>
      <w:r>
        <w:rPr>
          <w:rFonts w:ascii="David" w:hAnsi="David"/>
          <w:rtl/>
        </w:rPr>
        <w:t xml:space="preserve">כלומר: הודעת ההסרה איננה מטעם המסיר אלא מדובר בהודעה אוטומטית של מערכת הווטס-אפ. יתירה מכך: גם לשיטת התובע, נכון להיום, ההודעה איננה אמור להגיע לעיונו </w:t>
      </w:r>
      <w:r>
        <w:rPr>
          <w:rFonts w:ascii="David" w:hAnsi="David"/>
          <w:rtl/>
        </w:rPr>
        <w:lastRenderedPageBreak/>
        <w:t>של איש לבד ממנהל הקבוצה. דא עקא שבמועד ההסרה, קיבלה הודעת ההסרה תפוצה בין חברי הקבוצה, ומכאן התביעה שלפניי.</w:t>
      </w:r>
    </w:p>
    <w:p w:rsidR="0075578C" w:rsidRDefault="0075578C" w:rsidP="0075578C">
      <w:pPr>
        <w:spacing w:line="360" w:lineRule="auto"/>
        <w:ind w:left="720"/>
        <w:jc w:val="both"/>
        <w:rPr>
          <w:rFonts w:ascii="David" w:hAnsi="David"/>
        </w:rPr>
      </w:pPr>
    </w:p>
    <w:p w:rsidR="0075578C" w:rsidRDefault="0075578C" w:rsidP="0075578C">
      <w:pPr>
        <w:pStyle w:val="ad"/>
        <w:numPr>
          <w:ilvl w:val="0"/>
          <w:numId w:val="1"/>
        </w:numPr>
        <w:spacing w:line="360" w:lineRule="auto"/>
        <w:jc w:val="both"/>
        <w:rPr>
          <w:rFonts w:ascii="David" w:hAnsi="David" w:cs="David"/>
          <w:sz w:val="24"/>
          <w:szCs w:val="24"/>
          <w:rtl/>
        </w:rPr>
      </w:pPr>
      <w:r>
        <w:rPr>
          <w:rFonts w:ascii="David" w:hAnsi="David" w:cs="David"/>
          <w:sz w:val="24"/>
          <w:szCs w:val="24"/>
          <w:rtl/>
        </w:rPr>
        <w:t>לטענת התובע, לאחר הסרתו מהקבוצה החלו חברי הקבוצה במסע רינונים באשר לנסיבות הוצאתו מהקבוצה, אשר נתמך ולובה ע"י גורם אחר בקבוצה. יוער כבר בשלב זה כי התובע לא טען כי ברשותו ראיות בעניין, באשר התובע כבר הוצא מהקבוצה וממילא כל טענה בדבר רינון וכיו"ב היא בגדר השערה בלבד (אא"כ הומצאה ראיה בעניין וראיה כזו לא צורפה לעניין זה ר' התייחסות מפורשת בהמשך). מכל מקום, בהתאם לסע' 5.15, לטענת התובע, הדברים לובו ע"י גורם אחר בקבוצה מסיבותיו האישיות. זאת ועוד: התובע עצמו מבהיר בסע' 5.17 לכתב התביעה כי איננו יכול לדעת מה נכתב עליו ומהי חרושת השמועות לגביו לאחר מעשה. עוד טוען התובע (בסע' 5.26 לכתב התביעה) כי בעקבות המעשה הוא הפך ללעג וקלס בעיני חברי הקבוצה. יודגש ויובהר בשלב זה כי משענייננו בתביעת לשון הרע הרי שלא די בהעלאת טענה סתמית והשערות בדבר רינונים ולשון הרע לאחר הוצאתו של התובע מהקבוצה, אלא יש להצביע על הפרסום המדוייק של לשון הרע שהופץ. משכך, ענייננו, אפוא, במעשה ההסרה עצמו והאם פעולת ההסרה מהווה לשון הרע?! הא ותו לא.</w:t>
      </w:r>
    </w:p>
    <w:p w:rsidR="0075578C" w:rsidRDefault="0075578C" w:rsidP="0075578C">
      <w:pPr>
        <w:pStyle w:val="ad"/>
        <w:spacing w:line="360" w:lineRule="auto"/>
        <w:jc w:val="both"/>
        <w:rPr>
          <w:rFonts w:ascii="David" w:hAnsi="David" w:cs="David"/>
          <w:sz w:val="24"/>
          <w:szCs w:val="24"/>
          <w:rtl/>
        </w:rPr>
      </w:pPr>
    </w:p>
    <w:p w:rsidR="0075578C" w:rsidRDefault="0075578C" w:rsidP="0075578C">
      <w:pPr>
        <w:pStyle w:val="ad"/>
        <w:numPr>
          <w:ilvl w:val="0"/>
          <w:numId w:val="1"/>
        </w:numPr>
        <w:spacing w:line="360" w:lineRule="auto"/>
        <w:jc w:val="both"/>
        <w:rPr>
          <w:rFonts w:ascii="David" w:hAnsi="David" w:cs="David"/>
          <w:sz w:val="24"/>
          <w:szCs w:val="24"/>
        </w:rPr>
      </w:pPr>
      <w:r>
        <w:rPr>
          <w:rFonts w:ascii="David" w:hAnsi="David" w:cs="David"/>
          <w:sz w:val="24"/>
          <w:szCs w:val="24"/>
          <w:rtl/>
        </w:rPr>
        <w:t xml:space="preserve">בשל הסרתו של התובע מהקבוצה החליט התובע להגיש תביעתו דנא כנגד הנתבעת בדרישה לפיצוי העומד על הסך של 100,000 ₪ בעילת לשון הרע. לדבריו, סכום התביעה הועמד על ידו משיקוליו שלו, באשר לשיטתו, משענייננו בלשון הרע במטרה לפגוע הרי שניתן להעמיד את סכום התביעה ללא הוכחת נזק על סכום הכפול מסכום הפיצוי הרגיל, העומד על הסך של 50,000 ₪, כאשר כפל פיצוי עומד על הסך של 100,000 ש"ח, וכאשר סכום זה מוצמד נכון למועד הגשת התביעה הוא אמור לעמוד על הסך של 148,038 ₪. </w:t>
      </w:r>
    </w:p>
    <w:p w:rsidR="0075578C" w:rsidRDefault="0075578C" w:rsidP="0075578C">
      <w:pPr>
        <w:spacing w:before="240" w:line="360" w:lineRule="auto"/>
        <w:ind w:left="720"/>
        <w:jc w:val="both"/>
        <w:rPr>
          <w:rFonts w:ascii="David" w:hAnsi="David"/>
          <w:rtl/>
        </w:rPr>
      </w:pPr>
      <w:r>
        <w:rPr>
          <w:rFonts w:ascii="David" w:hAnsi="David"/>
          <w:rtl/>
        </w:rPr>
        <w:t>בהקשר זה נקבע ב</w:t>
      </w:r>
      <w:hyperlink r:id="rId12" w:history="1">
        <w:r>
          <w:rPr>
            <w:rStyle w:val="Hyperlink"/>
            <w:rFonts w:ascii="David" w:hAnsi="David"/>
            <w:rtl/>
          </w:rPr>
          <w:t>סע' 7א(ב)</w:t>
        </w:r>
      </w:hyperlink>
      <w:r>
        <w:rPr>
          <w:rFonts w:ascii="David" w:hAnsi="David"/>
          <w:rtl/>
        </w:rPr>
        <w:t xml:space="preserve"> לחוק סכום הפיצוי ללא הוכחת נזק כדלקמן:</w:t>
      </w:r>
    </w:p>
    <w:p w:rsidR="0075578C" w:rsidRDefault="0075578C" w:rsidP="0075578C">
      <w:pPr>
        <w:spacing w:after="240" w:line="360" w:lineRule="auto"/>
        <w:ind w:left="1440"/>
        <w:jc w:val="both"/>
        <w:rPr>
          <w:rFonts w:ascii="David" w:hAnsi="David"/>
          <w:b/>
          <w:bCs/>
          <w:rtl/>
        </w:rPr>
      </w:pPr>
      <w:r>
        <w:rPr>
          <w:rFonts w:ascii="David" w:hAnsi="David"/>
          <w:b/>
          <w:bCs/>
          <w:rtl/>
        </w:rPr>
        <w:t xml:space="preserve">"במשפט בשל עוולה אזרחית לפי חוק זה רשאי בית המשפט לחייב את הנתבע לשלם לנפגע פיצוי שלא יעלה על 50,000 שקלים חדשים, ללא הוכחת נזק."  </w:t>
      </w:r>
    </w:p>
    <w:p w:rsidR="0075578C" w:rsidRDefault="0075578C" w:rsidP="0075578C">
      <w:pPr>
        <w:spacing w:after="240" w:line="360" w:lineRule="auto"/>
        <w:ind w:left="720"/>
        <w:jc w:val="both"/>
        <w:rPr>
          <w:rFonts w:ascii="David" w:hAnsi="David"/>
          <w:rtl/>
        </w:rPr>
      </w:pPr>
      <w:r>
        <w:rPr>
          <w:rFonts w:ascii="David" w:hAnsi="David"/>
          <w:rtl/>
        </w:rPr>
        <w:t>סע' משנה (ג) קובע כי במקרה שבו הייתה כוונה של המפרסם לפגוע הרי שהנזק יעמוד על כפל הפיצוי הנ"ל כדלקמן:</w:t>
      </w:r>
    </w:p>
    <w:p w:rsidR="0075578C" w:rsidRDefault="0075578C" w:rsidP="0075578C">
      <w:pPr>
        <w:spacing w:line="360" w:lineRule="auto"/>
        <w:ind w:left="1440"/>
        <w:jc w:val="both"/>
        <w:rPr>
          <w:rFonts w:ascii="David" w:hAnsi="David"/>
          <w:rtl/>
        </w:rPr>
      </w:pPr>
      <w:r>
        <w:rPr>
          <w:rFonts w:ascii="David" w:hAnsi="David"/>
          <w:b/>
          <w:bCs/>
          <w:rtl/>
        </w:rPr>
        <w:t xml:space="preserve">"במשפט בשל עוולה אזרחית לפי חוק זה, שבו הוכח כי </w:t>
      </w:r>
      <w:r>
        <w:rPr>
          <w:rFonts w:ascii="David" w:hAnsi="David"/>
          <w:b/>
          <w:bCs/>
          <w:u w:val="single"/>
          <w:rtl/>
        </w:rPr>
        <w:t>לשון הרע פורסמה בכוונה לפגוע</w:t>
      </w:r>
      <w:r>
        <w:rPr>
          <w:rFonts w:ascii="David" w:hAnsi="David"/>
          <w:b/>
          <w:bCs/>
          <w:rtl/>
        </w:rPr>
        <w:t xml:space="preserve">, רשאי בית המשפט לחייב את הנתבע לשלם לנפגע, פיצוי שלא יעלה על כפל הסכום כאמור בסעיף קטן (ב), ללא הוכחת נזק." </w:t>
      </w:r>
      <w:r>
        <w:rPr>
          <w:rFonts w:ascii="David" w:hAnsi="David"/>
          <w:rtl/>
        </w:rPr>
        <w:t>(ההדגשות כאן ולהלן – שלי. י"פ).</w:t>
      </w:r>
    </w:p>
    <w:p w:rsidR="0075578C" w:rsidRDefault="0075578C" w:rsidP="0075578C">
      <w:pPr>
        <w:spacing w:line="360" w:lineRule="auto"/>
        <w:ind w:firstLine="720"/>
        <w:jc w:val="both"/>
        <w:rPr>
          <w:rFonts w:ascii="David" w:hAnsi="David"/>
          <w:rtl/>
        </w:rPr>
      </w:pPr>
      <w:r>
        <w:rPr>
          <w:rFonts w:ascii="David" w:hAnsi="David"/>
          <w:rtl/>
        </w:rPr>
        <w:t>מכל מקום וכאמור לעיל, העמיד התובע את סכום התביעה על הסך של 100,000 ₪ בלבד.</w:t>
      </w:r>
    </w:p>
    <w:p w:rsidR="0075578C" w:rsidRDefault="0075578C" w:rsidP="0075578C">
      <w:pPr>
        <w:pStyle w:val="ad"/>
        <w:numPr>
          <w:ilvl w:val="0"/>
          <w:numId w:val="1"/>
        </w:numPr>
        <w:spacing w:line="360" w:lineRule="auto"/>
        <w:jc w:val="both"/>
        <w:rPr>
          <w:rFonts w:ascii="David" w:hAnsi="David" w:cs="David"/>
          <w:sz w:val="24"/>
          <w:szCs w:val="24"/>
          <w:rtl/>
        </w:rPr>
      </w:pPr>
      <w:r>
        <w:rPr>
          <w:rFonts w:ascii="David" w:hAnsi="David" w:cs="David"/>
          <w:sz w:val="24"/>
          <w:szCs w:val="24"/>
          <w:rtl/>
        </w:rPr>
        <w:lastRenderedPageBreak/>
        <w:t xml:space="preserve">מנגד, טוענת הנתבעת כי התביעה דנא היא תביעת השתקה. לשיטת הנתבעת, כתב התביעה איננו מגלה כלל עילת תביעה. עיקר טענתה של הנתבעת היא שהתובע איננו יכול להצביע על קיומו של "פרסום" במסגרת מעשה "ההסרה", לא היה פרסום ומעשה ההסרה לא מהווה לשון הרע. לגופו של עניין טוענת הנתבעת, כי הוציאה את התובע מהקבוצה לאחר התנהגות לא הולמת של התובע. עוד מוסיפה הנתבעת, כי הנתבעת ויתר חברי הקבוצה נהגו לחגוג ימי הולדת ואירועים שונים, כאמור, במסגרת האימונים. התובע התלונן בפני הנהלת מועדון הכושר על המדריך שאפשר וכן דרש כי לא יתאפשר לחברי הקבוצה לחגוג את חג הפורים במסגרת קבוצת הספינינג, וזו אכן נדחתה חרף רצונם של כלל חברי הקבוצה. באותו היום הסירה הנתבעת את התובע מהקבוצה. ההוצאה נבעה מנסיונו של התובע לפגוע במרקם הקבוצתי וההווי החברתי על ידי איומים על המדריך שיתלונן עליו בפני הנהלת מועדון הכושר אם יפעל על פי מנהגי הקבוצה. </w:t>
      </w:r>
    </w:p>
    <w:p w:rsidR="0075578C" w:rsidRDefault="0075578C" w:rsidP="0075578C">
      <w:pPr>
        <w:pStyle w:val="ad"/>
        <w:spacing w:line="360" w:lineRule="auto"/>
        <w:jc w:val="both"/>
        <w:rPr>
          <w:rFonts w:ascii="David" w:hAnsi="David" w:cs="David"/>
          <w:sz w:val="24"/>
          <w:szCs w:val="24"/>
          <w:rtl/>
        </w:rPr>
      </w:pPr>
    </w:p>
    <w:p w:rsidR="0075578C" w:rsidRDefault="0075578C" w:rsidP="0075578C">
      <w:pPr>
        <w:pStyle w:val="ad"/>
        <w:numPr>
          <w:ilvl w:val="0"/>
          <w:numId w:val="1"/>
        </w:numPr>
        <w:spacing w:line="360" w:lineRule="auto"/>
        <w:jc w:val="both"/>
        <w:rPr>
          <w:rFonts w:ascii="David" w:hAnsi="David" w:cs="David"/>
          <w:sz w:val="24"/>
          <w:szCs w:val="24"/>
        </w:rPr>
      </w:pPr>
      <w:r>
        <w:rPr>
          <w:rFonts w:ascii="David" w:hAnsi="David" w:cs="David"/>
          <w:sz w:val="24"/>
          <w:szCs w:val="24"/>
          <w:rtl/>
        </w:rPr>
        <w:t xml:space="preserve">לשיטת הנתבעת, התובע הטריד, שיבש ומנע מהחברים בקבוצה לחגוג. התובע אינו חייב להיות חבר בקבוצת הספינינג ובקבוצת הווטס-אפ והוא יכול להתאמן עם אנשים אחרים. הוא בחר להתאמן יחד עם אנשים שאינם מעוניינים בחברתו, וזאת, נוכח התנהגותו, ואינו יכול כעת להכריח להשיבו לקבוצה ולאפשר לו להמשיך להטריד אחרים. משכך, טוענת הנתבעת כי גם אם תתקבל הטענה כי ענייננו ב"פרסום של לשון הרע" הרי שהפרסום הוא בגדר אמת לאמיתה. עוד טוענת הנתבעת כי התובע רשאי ויכול היה להקים קבוצה חלופית. </w:t>
      </w:r>
    </w:p>
    <w:p w:rsidR="0075578C" w:rsidRDefault="0075578C" w:rsidP="0075578C">
      <w:pPr>
        <w:pStyle w:val="ad"/>
        <w:spacing w:line="360" w:lineRule="auto"/>
        <w:jc w:val="both"/>
        <w:rPr>
          <w:rFonts w:ascii="David" w:hAnsi="David" w:cs="David"/>
          <w:sz w:val="24"/>
          <w:szCs w:val="24"/>
        </w:rPr>
      </w:pPr>
    </w:p>
    <w:p w:rsidR="0075578C" w:rsidRDefault="0075578C" w:rsidP="0075578C">
      <w:pPr>
        <w:pStyle w:val="ad"/>
        <w:numPr>
          <w:ilvl w:val="0"/>
          <w:numId w:val="1"/>
        </w:numPr>
        <w:spacing w:line="360" w:lineRule="auto"/>
        <w:jc w:val="both"/>
        <w:rPr>
          <w:rFonts w:ascii="David" w:hAnsi="David" w:cs="David"/>
          <w:sz w:val="24"/>
          <w:szCs w:val="24"/>
        </w:rPr>
      </w:pPr>
      <w:r>
        <w:rPr>
          <w:rFonts w:ascii="David" w:hAnsi="David" w:cs="David"/>
          <w:sz w:val="24"/>
          <w:szCs w:val="24"/>
          <w:rtl/>
        </w:rPr>
        <w:t>התובע הגיש כתב תשובה מטעמו, כאשר במסגרתו טען לפגיעה בחופש הביטוי שלו, כאשר הנתבעת (הטוענת כי הגיש תביעת השתקה) היא שמנסה למנוע ממנו להטיל ביקורת בקבוצה. לדבריו, הביטוי "תביעת השתקה" משקף מצב שבו מוגשת תביעה נגד פרט ע"י גוף חזק יותר שהפעילות שהפרט מנהל מנוגדת לאינטרסים שלו. מאידך גיסא, במקרה שלפנינו, לשיטת התובע, הנתבעת, והקליניקה המייצגת אותה, הן הגוף החזק. לגופו של עניין, טוען התובע כי ההתנהלות של חברי הקבוצה בעריכת החגיגות במסגרת האימונים נעשתה בניגוד לכללי מועדון הכושר.</w:t>
      </w:r>
    </w:p>
    <w:p w:rsidR="0075578C" w:rsidRDefault="0075578C" w:rsidP="0075578C">
      <w:pPr>
        <w:pStyle w:val="ad"/>
        <w:spacing w:line="360" w:lineRule="auto"/>
        <w:jc w:val="both"/>
        <w:rPr>
          <w:rFonts w:ascii="David" w:hAnsi="David" w:cs="David"/>
          <w:sz w:val="24"/>
          <w:szCs w:val="24"/>
          <w:rtl/>
        </w:rPr>
      </w:pPr>
    </w:p>
    <w:p w:rsidR="0075578C" w:rsidRDefault="0075578C" w:rsidP="0075578C">
      <w:pPr>
        <w:pStyle w:val="ad"/>
        <w:numPr>
          <w:ilvl w:val="0"/>
          <w:numId w:val="1"/>
        </w:numPr>
        <w:spacing w:line="360" w:lineRule="auto"/>
        <w:jc w:val="both"/>
        <w:rPr>
          <w:rFonts w:ascii="David" w:hAnsi="David" w:cs="David"/>
          <w:sz w:val="24"/>
          <w:szCs w:val="24"/>
        </w:rPr>
      </w:pPr>
      <w:r>
        <w:rPr>
          <w:rFonts w:ascii="David" w:hAnsi="David" w:cs="David"/>
          <w:sz w:val="24"/>
          <w:szCs w:val="24"/>
          <w:rtl/>
        </w:rPr>
        <w:t xml:space="preserve">בשולי הדברים אפנה לדבריו של התובע במהלך דיון קדם המשפט לפניי, שלפיהם - </w:t>
      </w:r>
    </w:p>
    <w:p w:rsidR="0075578C" w:rsidRDefault="0075578C" w:rsidP="0075578C">
      <w:pPr>
        <w:spacing w:line="360" w:lineRule="auto"/>
        <w:ind w:left="1440"/>
        <w:jc w:val="both"/>
        <w:rPr>
          <w:rFonts w:ascii="David" w:hAnsi="David"/>
          <w:b/>
          <w:bCs/>
        </w:rPr>
      </w:pPr>
      <w:r>
        <w:rPr>
          <w:rFonts w:ascii="David" w:hAnsi="David"/>
          <w:b/>
          <w:bCs/>
          <w:rtl/>
        </w:rPr>
        <w:t>"</w:t>
      </w:r>
      <w:r>
        <w:rPr>
          <w:rFonts w:ascii="David" w:hAnsi="David"/>
          <w:b/>
          <w:bCs/>
          <w:u w:val="single"/>
          <w:rtl/>
        </w:rPr>
        <w:t>הנתבעת אינה אשמה במקרה הזה</w:t>
      </w:r>
      <w:r>
        <w:rPr>
          <w:rFonts w:ascii="David" w:hAnsi="David"/>
          <w:b/>
          <w:bCs/>
          <w:rtl/>
        </w:rPr>
        <w:t xml:space="preserve"> מכיוון ש</w:t>
      </w:r>
      <w:r>
        <w:rPr>
          <w:rFonts w:ascii="David" w:hAnsi="David"/>
          <w:b/>
          <w:bCs/>
          <w:u w:val="single"/>
          <w:rtl/>
        </w:rPr>
        <w:t>היא הופעלה ע"י גורם אחר</w:t>
      </w:r>
      <w:r>
        <w:rPr>
          <w:rFonts w:ascii="David" w:hAnsi="David"/>
          <w:b/>
          <w:bCs/>
          <w:rtl/>
        </w:rPr>
        <w:t xml:space="preserve">, אבל את המעשה היא עשתה ועליה לשאת בתוצאות. זה שלנתבעת אין עמוד שידרה לא פותר </w:t>
      </w:r>
      <w:r>
        <w:rPr>
          <w:rFonts w:ascii="David" w:hAnsi="David"/>
          <w:rtl/>
        </w:rPr>
        <w:t>(צריך להיות:</w:t>
      </w:r>
      <w:r>
        <w:rPr>
          <w:rFonts w:ascii="David" w:hAnsi="David"/>
          <w:b/>
          <w:bCs/>
          <w:rtl/>
        </w:rPr>
        <w:t xml:space="preserve"> פוטר</w:t>
      </w:r>
      <w:r>
        <w:rPr>
          <w:rFonts w:ascii="David" w:hAnsi="David"/>
          <w:rtl/>
        </w:rPr>
        <w:t xml:space="preserve">. י"פ) </w:t>
      </w:r>
      <w:r>
        <w:rPr>
          <w:rFonts w:ascii="David" w:hAnsi="David"/>
          <w:b/>
          <w:bCs/>
          <w:rtl/>
        </w:rPr>
        <w:t xml:space="preserve">אותה מעונש.  </w:t>
      </w:r>
    </w:p>
    <w:p w:rsidR="0075578C" w:rsidRDefault="0075578C" w:rsidP="0075578C">
      <w:pPr>
        <w:spacing w:line="360" w:lineRule="auto"/>
        <w:ind w:left="1440"/>
        <w:jc w:val="both"/>
        <w:rPr>
          <w:rFonts w:ascii="David" w:hAnsi="David"/>
          <w:rtl/>
        </w:rPr>
      </w:pPr>
      <w:r>
        <w:rPr>
          <w:rFonts w:ascii="David" w:hAnsi="David"/>
          <w:b/>
          <w:bCs/>
          <w:rtl/>
        </w:rPr>
        <w:t xml:space="preserve">במבחן התוצאה היא עשתה מה שהיא עשתה. </w:t>
      </w:r>
      <w:r>
        <w:rPr>
          <w:rFonts w:ascii="David" w:hAnsi="David"/>
          <w:b/>
          <w:bCs/>
          <w:u w:val="single"/>
          <w:rtl/>
        </w:rPr>
        <w:t>היא הופעלה ע"י אחר בעל אינטרס</w:t>
      </w:r>
      <w:r>
        <w:rPr>
          <w:rFonts w:ascii="David" w:hAnsi="David"/>
          <w:b/>
          <w:bCs/>
          <w:rtl/>
        </w:rPr>
        <w:t>."</w:t>
      </w:r>
      <w:r>
        <w:rPr>
          <w:rFonts w:ascii="David" w:hAnsi="David"/>
          <w:rtl/>
        </w:rPr>
        <w:t xml:space="preserve"> (עמ' 1, ש' 14-16 לפר' מיום 19.4.23).</w:t>
      </w:r>
    </w:p>
    <w:p w:rsidR="0075578C" w:rsidRDefault="0075578C" w:rsidP="0075578C">
      <w:pPr>
        <w:spacing w:line="360" w:lineRule="auto"/>
        <w:ind w:left="720"/>
        <w:jc w:val="both"/>
        <w:rPr>
          <w:rFonts w:ascii="David" w:hAnsi="David"/>
          <w:rtl/>
        </w:rPr>
      </w:pPr>
      <w:r>
        <w:rPr>
          <w:rFonts w:ascii="David" w:hAnsi="David"/>
          <w:rtl/>
        </w:rPr>
        <w:lastRenderedPageBreak/>
        <w:t>כלומר: גם לשיטת התובע, אין מדובר במעשה שנעשה בכוונת מכוון. מכל מקום, לשיטת התובע, הנתבעת איננה פטורה מעונש. כך, כלשונו.</w:t>
      </w:r>
    </w:p>
    <w:p w:rsidR="0075578C" w:rsidRDefault="0075578C" w:rsidP="0075578C">
      <w:pPr>
        <w:spacing w:line="360" w:lineRule="auto"/>
        <w:jc w:val="both"/>
        <w:rPr>
          <w:rFonts w:ascii="David" w:hAnsi="David"/>
          <w:rtl/>
        </w:rPr>
      </w:pPr>
    </w:p>
    <w:p w:rsidR="0075578C" w:rsidRDefault="0075578C" w:rsidP="0075578C">
      <w:pPr>
        <w:spacing w:line="360" w:lineRule="auto"/>
        <w:jc w:val="both"/>
        <w:rPr>
          <w:rFonts w:ascii="David" w:hAnsi="David"/>
          <w:b/>
          <w:bCs/>
          <w:u w:val="single"/>
          <w:rtl/>
        </w:rPr>
      </w:pPr>
      <w:r>
        <w:rPr>
          <w:rFonts w:ascii="David" w:hAnsi="David"/>
          <w:b/>
          <w:bCs/>
          <w:u w:val="single"/>
          <w:rtl/>
        </w:rPr>
        <w:t>רקע דיוני</w:t>
      </w:r>
    </w:p>
    <w:p w:rsidR="0075578C" w:rsidRDefault="0075578C" w:rsidP="0075578C">
      <w:pPr>
        <w:pStyle w:val="ad"/>
        <w:numPr>
          <w:ilvl w:val="0"/>
          <w:numId w:val="1"/>
        </w:numPr>
        <w:spacing w:line="360" w:lineRule="auto"/>
        <w:jc w:val="both"/>
        <w:rPr>
          <w:rFonts w:ascii="David" w:hAnsi="David" w:cs="David"/>
          <w:sz w:val="24"/>
          <w:szCs w:val="24"/>
          <w:rtl/>
        </w:rPr>
      </w:pPr>
      <w:r>
        <w:rPr>
          <w:rFonts w:ascii="David" w:hAnsi="David" w:cs="David"/>
          <w:sz w:val="24"/>
          <w:szCs w:val="24"/>
          <w:rtl/>
        </w:rPr>
        <w:t>לא אלאה את הקורא בכל טענות הצדדים, באשר בהתאם להחלטתי בפר' הדיון מיום 19.4.23, ובהתאם לתקנה 63(ב) לתקנות סדר הדין האזרחי, תשע"ט-2018, ובמטרה לייעל את ההליך, לפשטו ולהחישו, ובהתאם לתקנת משנה 6 לתקנה הנ"ל, הוריתי על מתכונת ניהול ההליך, באופן שבו אברר תחילה האם במעשה "הסרה מקבוצה" יש בו משום "פרסום לשון הרע". בעניין זה נדרשתי לסיכומי הצדדים. בתחילה הוגשו סיכומי התובע, כאשר בעניין זה יוער כי התובע, עורך דין ומהנדס, מייצג את עצמו. לאחר מכן הוגשו סיכומי ב"כ הנתבעת, באמצעות הקליניקה למניעת תביעות השתקה, וכעת לפניי סיכומי תשובה מטעם התובע.</w:t>
      </w:r>
    </w:p>
    <w:p w:rsidR="0075578C" w:rsidRDefault="0075578C" w:rsidP="0075578C">
      <w:pPr>
        <w:spacing w:line="360" w:lineRule="auto"/>
        <w:ind w:left="720"/>
        <w:jc w:val="both"/>
        <w:rPr>
          <w:rFonts w:ascii="David" w:hAnsi="David"/>
          <w:rtl/>
        </w:rPr>
      </w:pPr>
      <w:r>
        <w:rPr>
          <w:rFonts w:ascii="David" w:hAnsi="David"/>
          <w:rtl/>
        </w:rPr>
        <w:t>לאחר קבלת כלל סיכומי הצדדים והעיון בהם, הוכשרה השעה למתן החלטה בעניין, כאשר אקדים ואומר כי הכרעתי תהא באמצעות פסק דין, נוכח קביעתי כי דינה של התביעה להידחות ולהיות מסולקת על הסף. אבאר את הכרעתי.</w:t>
      </w:r>
    </w:p>
    <w:p w:rsidR="0075578C" w:rsidRDefault="0075578C" w:rsidP="0075578C">
      <w:pPr>
        <w:spacing w:line="360" w:lineRule="auto"/>
        <w:ind w:left="720"/>
        <w:jc w:val="both"/>
        <w:rPr>
          <w:rFonts w:ascii="David" w:hAnsi="David"/>
          <w:rtl/>
        </w:rPr>
      </w:pPr>
    </w:p>
    <w:p w:rsidR="0075578C" w:rsidRDefault="0075578C" w:rsidP="0075578C">
      <w:pPr>
        <w:pStyle w:val="ad"/>
        <w:numPr>
          <w:ilvl w:val="0"/>
          <w:numId w:val="1"/>
        </w:numPr>
        <w:spacing w:line="360" w:lineRule="auto"/>
        <w:jc w:val="both"/>
        <w:rPr>
          <w:rFonts w:ascii="David" w:hAnsi="David" w:cs="David"/>
          <w:sz w:val="24"/>
          <w:szCs w:val="24"/>
          <w:rtl/>
        </w:rPr>
      </w:pPr>
      <w:r>
        <w:rPr>
          <w:rFonts w:ascii="David" w:hAnsi="David" w:cs="David"/>
          <w:sz w:val="24"/>
          <w:szCs w:val="24"/>
          <w:rtl/>
        </w:rPr>
        <w:t>בשולי פרק זה אפנה להודעת התובע עצמו (בסיפת תשובתו מיום 16.4.23) לפיה איננו נדרש לעדים נוספים מעבר לשבעת העדים שהנתבעת ביקשה לזמנם (כאשר ביניהם, הנתבעת עצמה, קרן, המאמן המחליף, מתאמנים נוספים בקבוצה ועוד). אמנם במסגרת סיכומי התשובה (סיפת סע' 3) מציע התובע לחקור את קרן ולשמוע מה דעתה באשר למהלך ההוצאה מהקבוצה; אולם כשלעצמי, לא מצאתי צורך בעדות זו. זאת, לאחר שנתתי דעתי לטענת התובע ולפיה קרן לא נתנה את הסכמתה להוצאתו ע"י הנתבעת מהקבוצה. משזו הטענה הרי שהיא איננה מקימה כשלעצמה עילה לתביעת לשון הרע. ודוק: משענייננו בתביעת התובע ללשון הרע בעצם הוצאתו מהקבוצה הרי שאין כל נפקא מינה לטענה בדבר העדר הסכמתה של קרן על מנת להקים עילה של תביעת לשון הרע.</w:t>
      </w:r>
    </w:p>
    <w:p w:rsidR="0075578C" w:rsidRDefault="0075578C" w:rsidP="0075578C">
      <w:pPr>
        <w:spacing w:line="360" w:lineRule="auto"/>
        <w:ind w:firstLine="720"/>
        <w:jc w:val="both"/>
        <w:rPr>
          <w:rFonts w:ascii="David" w:hAnsi="David"/>
          <w:rtl/>
        </w:rPr>
      </w:pPr>
      <w:r>
        <w:rPr>
          <w:rFonts w:ascii="David" w:hAnsi="David"/>
          <w:rtl/>
        </w:rPr>
        <w:t>נבחן, אפוא, האם אכן ענייננו ב"פרסום" של לשון הרע, כהוראת סע' 2 לחוק.</w:t>
      </w:r>
    </w:p>
    <w:p w:rsidR="0075578C" w:rsidRDefault="0075578C" w:rsidP="0075578C">
      <w:pPr>
        <w:spacing w:line="360" w:lineRule="auto"/>
        <w:jc w:val="both"/>
        <w:rPr>
          <w:rFonts w:ascii="David" w:hAnsi="David"/>
          <w:rtl/>
        </w:rPr>
      </w:pPr>
    </w:p>
    <w:p w:rsidR="0075578C" w:rsidRDefault="0075578C" w:rsidP="0075578C">
      <w:pPr>
        <w:spacing w:line="360" w:lineRule="auto"/>
        <w:jc w:val="both"/>
        <w:rPr>
          <w:rFonts w:ascii="David" w:hAnsi="David"/>
          <w:b/>
          <w:bCs/>
          <w:u w:val="single"/>
          <w:rtl/>
        </w:rPr>
      </w:pPr>
      <w:r>
        <w:rPr>
          <w:rFonts w:ascii="David" w:hAnsi="David"/>
          <w:b/>
          <w:bCs/>
          <w:u w:val="single"/>
          <w:rtl/>
        </w:rPr>
        <w:t>דיון והכרעה</w:t>
      </w:r>
    </w:p>
    <w:p w:rsidR="0075578C" w:rsidRDefault="0075578C" w:rsidP="0075578C">
      <w:pPr>
        <w:spacing w:line="360" w:lineRule="auto"/>
        <w:jc w:val="both"/>
        <w:rPr>
          <w:rFonts w:ascii="David" w:hAnsi="David"/>
          <w:b/>
          <w:bCs/>
          <w:u w:val="single"/>
          <w:rtl/>
        </w:rPr>
      </w:pPr>
      <w:r>
        <w:rPr>
          <w:rFonts w:ascii="David" w:hAnsi="David"/>
          <w:b/>
          <w:bCs/>
          <w:u w:val="single"/>
          <w:rtl/>
        </w:rPr>
        <w:t>המישור הנורמטיבי</w:t>
      </w:r>
    </w:p>
    <w:p w:rsidR="0075578C" w:rsidRDefault="0075578C" w:rsidP="0075578C">
      <w:pPr>
        <w:pStyle w:val="ad"/>
        <w:numPr>
          <w:ilvl w:val="0"/>
          <w:numId w:val="1"/>
        </w:numPr>
        <w:spacing w:line="360" w:lineRule="auto"/>
        <w:jc w:val="both"/>
        <w:rPr>
          <w:rFonts w:ascii="David" w:hAnsi="David" w:cs="David"/>
          <w:sz w:val="24"/>
          <w:szCs w:val="24"/>
          <w:rtl/>
        </w:rPr>
      </w:pPr>
      <w:r>
        <w:rPr>
          <w:rFonts w:ascii="David" w:hAnsi="David" w:cs="David"/>
          <w:sz w:val="24"/>
          <w:szCs w:val="24"/>
          <w:rtl/>
        </w:rPr>
        <w:t>ראשית, אבהיר את דרך הילוכו של חוק לשון הרע, כמו גם את דרך הילוכי בניתוח הסוגיה שלפניי: כב' השופטת אילה פרוקצ'יה מנתחת את הדברים בתמצית בע"א 89/04,</w:t>
      </w:r>
      <w:r>
        <w:rPr>
          <w:rFonts w:ascii="David" w:hAnsi="David" w:cs="David"/>
          <w:b/>
          <w:bCs/>
          <w:sz w:val="24"/>
          <w:szCs w:val="24"/>
          <w:rtl/>
        </w:rPr>
        <w:t xml:space="preserve"> ד"ר יולי נודלמן נ' נתן שרנסקי </w:t>
      </w:r>
      <w:r>
        <w:rPr>
          <w:rFonts w:ascii="David" w:hAnsi="David" w:cs="David"/>
          <w:sz w:val="24"/>
          <w:szCs w:val="24"/>
          <w:rtl/>
        </w:rPr>
        <w:t xml:space="preserve">(4.8.08, פסקה 17. להלן: </w:t>
      </w:r>
      <w:r>
        <w:rPr>
          <w:rFonts w:ascii="David" w:hAnsi="David" w:cs="David"/>
          <w:b/>
          <w:bCs/>
          <w:sz w:val="24"/>
          <w:szCs w:val="24"/>
          <w:rtl/>
        </w:rPr>
        <w:t>עניין נודלמן</w:t>
      </w:r>
      <w:r>
        <w:rPr>
          <w:rFonts w:ascii="David" w:hAnsi="David" w:cs="David"/>
          <w:sz w:val="24"/>
          <w:szCs w:val="24"/>
          <w:rtl/>
        </w:rPr>
        <w:t xml:space="preserve">) ומבהירה כי מהלך הניתוח של טענת הפגיעה בשם הטוב, המולידה עוולה בנזיקין ומזכה בפיצוי, בנוי מארבעה שלבים: </w:t>
      </w:r>
    </w:p>
    <w:p w:rsidR="0075578C" w:rsidRDefault="0075578C" w:rsidP="0075578C">
      <w:pPr>
        <w:pStyle w:val="ad"/>
        <w:spacing w:line="360" w:lineRule="auto"/>
        <w:jc w:val="both"/>
        <w:rPr>
          <w:rFonts w:ascii="David" w:hAnsi="David" w:cs="David"/>
          <w:sz w:val="24"/>
          <w:szCs w:val="24"/>
          <w:rtl/>
        </w:rPr>
      </w:pPr>
      <w:r>
        <w:rPr>
          <w:rFonts w:ascii="David" w:hAnsi="David" w:cs="David"/>
          <w:b/>
          <w:bCs/>
          <w:sz w:val="24"/>
          <w:szCs w:val="24"/>
          <w:rtl/>
        </w:rPr>
        <w:lastRenderedPageBreak/>
        <w:t>ראשית</w:t>
      </w:r>
      <w:r>
        <w:rPr>
          <w:rFonts w:ascii="David" w:hAnsi="David" w:cs="David"/>
          <w:sz w:val="24"/>
          <w:szCs w:val="24"/>
          <w:rtl/>
        </w:rPr>
        <w:t xml:space="preserve">, יש לפרש את </w:t>
      </w:r>
      <w:r>
        <w:rPr>
          <w:rFonts w:ascii="David" w:hAnsi="David" w:cs="David"/>
          <w:b/>
          <w:bCs/>
          <w:sz w:val="24"/>
          <w:szCs w:val="24"/>
          <w:rtl/>
        </w:rPr>
        <w:t>הביטוי</w:t>
      </w:r>
      <w:r>
        <w:rPr>
          <w:rFonts w:ascii="David" w:hAnsi="David" w:cs="David"/>
          <w:sz w:val="24"/>
          <w:szCs w:val="24"/>
          <w:rtl/>
        </w:rPr>
        <w:t xml:space="preserve">, בהקשר אובייקטיבי, ולשאוב ממנו את המשמעות העולה ממנו, על פי אמות מידה מקובלות על האדם הסביר, כאשר בעניין זה נבחנת גם אמירה "בין השורות". </w:t>
      </w:r>
      <w:r>
        <w:rPr>
          <w:rFonts w:ascii="David" w:hAnsi="David" w:cs="David"/>
          <w:b/>
          <w:bCs/>
          <w:sz w:val="24"/>
          <w:szCs w:val="24"/>
          <w:rtl/>
        </w:rPr>
        <w:t>שנית</w:t>
      </w:r>
      <w:r>
        <w:rPr>
          <w:rFonts w:ascii="David" w:hAnsi="David" w:cs="David"/>
          <w:sz w:val="24"/>
          <w:szCs w:val="24"/>
          <w:rtl/>
        </w:rPr>
        <w:t xml:space="preserve">, יש לבחון האם על פי משמעות זו, מהווים הדברים "לשון הרע" על פי </w:t>
      </w:r>
      <w:hyperlink r:id="rId13" w:history="1">
        <w:r>
          <w:rPr>
            <w:rStyle w:val="Hyperlink"/>
            <w:rFonts w:ascii="David" w:hAnsi="David" w:cs="David"/>
            <w:sz w:val="24"/>
            <w:szCs w:val="24"/>
            <w:rtl/>
          </w:rPr>
          <w:t>סעיף 1</w:t>
        </w:r>
      </w:hyperlink>
      <w:r>
        <w:rPr>
          <w:rFonts w:ascii="David" w:hAnsi="David" w:cs="David"/>
          <w:sz w:val="24"/>
          <w:szCs w:val="24"/>
          <w:rtl/>
        </w:rPr>
        <w:t xml:space="preserve"> לחוק, והאם אופן אמירתם מהווה </w:t>
      </w:r>
      <w:r>
        <w:rPr>
          <w:rFonts w:ascii="David" w:hAnsi="David" w:cs="David"/>
          <w:b/>
          <w:bCs/>
          <w:sz w:val="24"/>
          <w:szCs w:val="24"/>
          <w:rtl/>
        </w:rPr>
        <w:t>"פרסום"</w:t>
      </w:r>
      <w:r>
        <w:rPr>
          <w:rFonts w:ascii="David" w:hAnsi="David" w:cs="David"/>
          <w:sz w:val="24"/>
          <w:szCs w:val="24"/>
          <w:rtl/>
        </w:rPr>
        <w:t xml:space="preserve"> כמשמעותו על פי מבחני </w:t>
      </w:r>
      <w:hyperlink r:id="rId14" w:history="1">
        <w:r>
          <w:rPr>
            <w:rStyle w:val="Hyperlink"/>
            <w:rFonts w:ascii="David" w:hAnsi="David" w:cs="David"/>
            <w:sz w:val="24"/>
            <w:szCs w:val="24"/>
            <w:rtl/>
          </w:rPr>
          <w:t>סעיף 2</w:t>
        </w:r>
      </w:hyperlink>
      <w:r>
        <w:rPr>
          <w:rFonts w:ascii="David" w:hAnsi="David" w:cs="David"/>
          <w:sz w:val="24"/>
          <w:szCs w:val="24"/>
          <w:rtl/>
        </w:rPr>
        <w:t xml:space="preserve"> לחוק. </w:t>
      </w:r>
      <w:r>
        <w:rPr>
          <w:rFonts w:ascii="David" w:hAnsi="David" w:cs="David"/>
          <w:b/>
          <w:bCs/>
          <w:sz w:val="24"/>
          <w:szCs w:val="24"/>
          <w:rtl/>
        </w:rPr>
        <w:t>בשלב שלישי</w:t>
      </w:r>
      <w:r>
        <w:rPr>
          <w:rFonts w:ascii="David" w:hAnsi="David" w:cs="David"/>
          <w:sz w:val="24"/>
          <w:szCs w:val="24"/>
          <w:rtl/>
        </w:rPr>
        <w:t xml:space="preserve">, יש לבחון את תחולת ההגנות השונות  על הפרסום, על פי סעיפים </w:t>
      </w:r>
      <w:hyperlink r:id="rId15" w:history="1">
        <w:r>
          <w:rPr>
            <w:rStyle w:val="Hyperlink"/>
            <w:rFonts w:ascii="David" w:hAnsi="David" w:cs="David"/>
            <w:sz w:val="24"/>
            <w:szCs w:val="24"/>
            <w:rtl/>
          </w:rPr>
          <w:t>13 עד 15</w:t>
        </w:r>
      </w:hyperlink>
      <w:r>
        <w:rPr>
          <w:rFonts w:ascii="David" w:hAnsi="David" w:cs="David"/>
          <w:sz w:val="24"/>
          <w:szCs w:val="24"/>
          <w:rtl/>
        </w:rPr>
        <w:t xml:space="preserve"> לחוק. ולבסוף, </w:t>
      </w:r>
      <w:r>
        <w:rPr>
          <w:rFonts w:ascii="David" w:hAnsi="David" w:cs="David"/>
          <w:b/>
          <w:bCs/>
          <w:sz w:val="24"/>
          <w:szCs w:val="24"/>
          <w:rtl/>
        </w:rPr>
        <w:t>בשלב הרביעי</w:t>
      </w:r>
      <w:r>
        <w:rPr>
          <w:rFonts w:ascii="David" w:hAnsi="David" w:cs="David"/>
          <w:sz w:val="24"/>
          <w:szCs w:val="24"/>
          <w:rtl/>
        </w:rPr>
        <w:t>, אם ממלא הפרסום את תנאי שלושת השלבים הקודמים, נבחנת שאלת הסעדים, ובתוכם שאלת הפיצוי הראוי לתובע. השופטת פרוקצ'יה מדגישה כי על כלל השלבים חולש עקרון האיזון החוקתי בין הזכות לשם טוב ולפרטיות לבין הזכות לחופש ביטוי.</w:t>
      </w:r>
    </w:p>
    <w:p w:rsidR="0075578C" w:rsidRDefault="0075578C" w:rsidP="0075578C">
      <w:pPr>
        <w:pStyle w:val="ad"/>
        <w:spacing w:line="360" w:lineRule="auto"/>
        <w:jc w:val="both"/>
        <w:rPr>
          <w:rFonts w:ascii="David" w:hAnsi="David" w:cs="David"/>
          <w:sz w:val="24"/>
          <w:szCs w:val="24"/>
          <w:rtl/>
        </w:rPr>
      </w:pPr>
    </w:p>
    <w:p w:rsidR="0075578C" w:rsidRDefault="0075578C" w:rsidP="0075578C">
      <w:pPr>
        <w:pStyle w:val="ad"/>
        <w:numPr>
          <w:ilvl w:val="0"/>
          <w:numId w:val="1"/>
        </w:numPr>
        <w:spacing w:line="360" w:lineRule="auto"/>
        <w:jc w:val="both"/>
        <w:rPr>
          <w:rFonts w:ascii="David" w:hAnsi="David" w:cs="David"/>
          <w:sz w:val="24"/>
          <w:szCs w:val="24"/>
          <w:rtl/>
        </w:rPr>
      </w:pPr>
      <w:r>
        <w:rPr>
          <w:rFonts w:ascii="David" w:hAnsi="David" w:cs="David"/>
          <w:sz w:val="24"/>
          <w:szCs w:val="24"/>
          <w:rtl/>
        </w:rPr>
        <w:t xml:space="preserve">אקדים ואומר כי לטעמי, במקרה שלפניי, לא הוכחה כל אמירה, אפילו לא בין השורות, לא מצאתי כי נאמר או נכתב </w:t>
      </w:r>
      <w:r>
        <w:rPr>
          <w:rFonts w:ascii="David" w:hAnsi="David" w:cs="David"/>
          <w:b/>
          <w:bCs/>
          <w:sz w:val="24"/>
          <w:szCs w:val="24"/>
          <w:rtl/>
        </w:rPr>
        <w:t>ע"י הנתבעת</w:t>
      </w:r>
      <w:r>
        <w:rPr>
          <w:rFonts w:ascii="David" w:hAnsi="David" w:cs="David"/>
          <w:sz w:val="24"/>
          <w:szCs w:val="24"/>
          <w:rtl/>
        </w:rPr>
        <w:t xml:space="preserve"> איזשהו </w:t>
      </w:r>
      <w:r>
        <w:rPr>
          <w:rFonts w:ascii="David" w:hAnsi="David" w:cs="David"/>
          <w:b/>
          <w:bCs/>
          <w:sz w:val="24"/>
          <w:szCs w:val="24"/>
          <w:rtl/>
        </w:rPr>
        <w:t>"ביטוי"</w:t>
      </w:r>
      <w:r>
        <w:rPr>
          <w:rFonts w:ascii="David" w:hAnsi="David" w:cs="David"/>
          <w:sz w:val="24"/>
          <w:szCs w:val="24"/>
          <w:rtl/>
        </w:rPr>
        <w:t>, וודאי שלא הוכח "פרסום". משכך, התביעה איננה עוברת את שתי המשוכות הראשונות לבחינת עוולה בנזיקין המזכה בפיצוי. נפנה כעת לבחינת הוראות החוק וההלכה הפסוקה.</w:t>
      </w:r>
    </w:p>
    <w:p w:rsidR="0075578C" w:rsidRDefault="0075578C" w:rsidP="0075578C">
      <w:pPr>
        <w:pStyle w:val="ad"/>
        <w:spacing w:line="360" w:lineRule="auto"/>
        <w:jc w:val="both"/>
        <w:rPr>
          <w:rFonts w:ascii="David" w:hAnsi="David" w:cs="David"/>
          <w:sz w:val="24"/>
          <w:szCs w:val="24"/>
          <w:rtl/>
        </w:rPr>
      </w:pPr>
    </w:p>
    <w:p w:rsidR="0075578C" w:rsidRDefault="00864CA0" w:rsidP="0075578C">
      <w:pPr>
        <w:pStyle w:val="ad"/>
        <w:numPr>
          <w:ilvl w:val="0"/>
          <w:numId w:val="1"/>
        </w:numPr>
        <w:spacing w:line="360" w:lineRule="auto"/>
        <w:jc w:val="both"/>
        <w:rPr>
          <w:rFonts w:ascii="David" w:hAnsi="David" w:cs="David"/>
          <w:sz w:val="24"/>
          <w:szCs w:val="24"/>
        </w:rPr>
      </w:pPr>
      <w:hyperlink r:id="rId16" w:history="1">
        <w:r w:rsidR="0075578C">
          <w:rPr>
            <w:rStyle w:val="Hyperlink"/>
            <w:rFonts w:ascii="David" w:hAnsi="David" w:cs="David"/>
            <w:sz w:val="24"/>
            <w:szCs w:val="24"/>
            <w:rtl/>
          </w:rPr>
          <w:t>סע' 1</w:t>
        </w:r>
      </w:hyperlink>
      <w:r w:rsidR="0075578C">
        <w:rPr>
          <w:rFonts w:ascii="David" w:hAnsi="David" w:cs="David"/>
          <w:sz w:val="24"/>
          <w:szCs w:val="24"/>
          <w:rtl/>
        </w:rPr>
        <w:t xml:space="preserve"> לחוק איסור לשון הרע מגדיר מהי לשון הרע, כדלקמן:</w:t>
      </w:r>
    </w:p>
    <w:p w:rsidR="0075578C" w:rsidRDefault="0075578C" w:rsidP="0075578C">
      <w:pPr>
        <w:spacing w:line="360" w:lineRule="auto"/>
        <w:ind w:left="1440"/>
        <w:jc w:val="both"/>
        <w:rPr>
          <w:rFonts w:ascii="David" w:hAnsi="David"/>
          <w:b/>
          <w:bCs/>
          <w:rtl/>
        </w:rPr>
      </w:pPr>
      <w:r>
        <w:rPr>
          <w:rFonts w:ascii="David" w:hAnsi="David"/>
          <w:b/>
          <w:bCs/>
          <w:rtl/>
        </w:rPr>
        <w:t>"לשון הרע היא דבר שפרסומו עלול –</w:t>
      </w:r>
    </w:p>
    <w:p w:rsidR="0075578C" w:rsidRDefault="0075578C" w:rsidP="0075578C">
      <w:pPr>
        <w:spacing w:line="360" w:lineRule="auto"/>
        <w:ind w:left="1440"/>
        <w:jc w:val="both"/>
        <w:rPr>
          <w:rFonts w:ascii="David" w:hAnsi="David"/>
          <w:b/>
          <w:bCs/>
          <w:rtl/>
        </w:rPr>
      </w:pPr>
      <w:r>
        <w:rPr>
          <w:rFonts w:ascii="David" w:hAnsi="David"/>
          <w:b/>
          <w:bCs/>
          <w:rtl/>
        </w:rPr>
        <w:t xml:space="preserve">(1) </w:t>
      </w:r>
      <w:r>
        <w:rPr>
          <w:rFonts w:ascii="David" w:hAnsi="David"/>
          <w:b/>
          <w:bCs/>
          <w:u w:val="single"/>
          <w:rtl/>
        </w:rPr>
        <w:t>להשפיל אדם בעיני הבריות או לעשותו מטרה לשנאה, לבוז או ללעג מצדם</w:t>
      </w:r>
      <w:r>
        <w:rPr>
          <w:rFonts w:ascii="David" w:hAnsi="David"/>
          <w:b/>
          <w:bCs/>
          <w:rtl/>
        </w:rPr>
        <w:t>;</w:t>
      </w:r>
    </w:p>
    <w:p w:rsidR="0075578C" w:rsidRDefault="0075578C" w:rsidP="0075578C">
      <w:pPr>
        <w:spacing w:line="360" w:lineRule="auto"/>
        <w:ind w:left="1440"/>
        <w:jc w:val="both"/>
        <w:rPr>
          <w:rFonts w:ascii="David" w:hAnsi="David"/>
          <w:b/>
          <w:bCs/>
          <w:rtl/>
        </w:rPr>
      </w:pPr>
      <w:r>
        <w:rPr>
          <w:rFonts w:ascii="David" w:hAnsi="David"/>
          <w:b/>
          <w:bCs/>
          <w:rtl/>
        </w:rPr>
        <w:t xml:space="preserve">(2 ) </w:t>
      </w:r>
      <w:r>
        <w:rPr>
          <w:rFonts w:ascii="David" w:hAnsi="David"/>
          <w:b/>
          <w:bCs/>
          <w:u w:val="single"/>
          <w:rtl/>
        </w:rPr>
        <w:t>לבזות אדם בשל מעשים, התנהגות או תכונות המיוחסים לו</w:t>
      </w:r>
      <w:r>
        <w:rPr>
          <w:rFonts w:ascii="David" w:hAnsi="David"/>
          <w:b/>
          <w:bCs/>
          <w:rtl/>
        </w:rPr>
        <w:t>;</w:t>
      </w:r>
    </w:p>
    <w:p w:rsidR="0075578C" w:rsidRDefault="0075578C" w:rsidP="0075578C">
      <w:pPr>
        <w:spacing w:line="360" w:lineRule="auto"/>
        <w:ind w:left="1440"/>
        <w:jc w:val="both"/>
        <w:rPr>
          <w:rFonts w:ascii="David" w:hAnsi="David"/>
          <w:b/>
          <w:bCs/>
          <w:rtl/>
        </w:rPr>
      </w:pPr>
      <w:r>
        <w:rPr>
          <w:rFonts w:ascii="David" w:hAnsi="David"/>
          <w:b/>
          <w:bCs/>
          <w:rtl/>
        </w:rPr>
        <w:t xml:space="preserve">(3) </w:t>
      </w:r>
      <w:r>
        <w:rPr>
          <w:rFonts w:ascii="David" w:hAnsi="David"/>
          <w:b/>
          <w:bCs/>
          <w:u w:val="single"/>
          <w:rtl/>
        </w:rPr>
        <w:t>לפגוע באדם במשרתו</w:t>
      </w:r>
      <w:r>
        <w:rPr>
          <w:rFonts w:ascii="David" w:hAnsi="David"/>
          <w:b/>
          <w:bCs/>
          <w:rtl/>
        </w:rPr>
        <w:t>, אם משרה ציבורית ואם משרה אחרת, בעסקו, במשלח ידו או במקצועו;</w:t>
      </w:r>
    </w:p>
    <w:p w:rsidR="0075578C" w:rsidRDefault="0075578C" w:rsidP="0075578C">
      <w:pPr>
        <w:spacing w:after="240" w:line="360" w:lineRule="auto"/>
        <w:ind w:left="1440"/>
        <w:jc w:val="both"/>
        <w:rPr>
          <w:rFonts w:ascii="David" w:hAnsi="David"/>
          <w:b/>
          <w:bCs/>
          <w:rtl/>
        </w:rPr>
      </w:pPr>
      <w:r>
        <w:rPr>
          <w:rFonts w:ascii="David" w:hAnsi="David"/>
          <w:b/>
          <w:bCs/>
          <w:rtl/>
        </w:rPr>
        <w:t xml:space="preserve">(4) </w:t>
      </w:r>
      <w:r>
        <w:rPr>
          <w:rFonts w:ascii="David" w:hAnsi="David"/>
          <w:b/>
          <w:bCs/>
          <w:u w:val="single"/>
          <w:rtl/>
        </w:rPr>
        <w:t>לבזות אדם</w:t>
      </w:r>
      <w:r>
        <w:rPr>
          <w:rFonts w:ascii="David" w:hAnsi="David"/>
          <w:b/>
          <w:bCs/>
          <w:rtl/>
        </w:rPr>
        <w:t xml:space="preserve"> בשל גזעו, מוצאו, דתו, מקום מגוריו, גילו, מינו, נטייתו המינית או מוגבלותו;"  </w:t>
      </w:r>
    </w:p>
    <w:p w:rsidR="0075578C" w:rsidRDefault="0075578C" w:rsidP="0075578C">
      <w:pPr>
        <w:pStyle w:val="ad"/>
        <w:numPr>
          <w:ilvl w:val="0"/>
          <w:numId w:val="1"/>
        </w:numPr>
        <w:spacing w:line="360" w:lineRule="auto"/>
        <w:jc w:val="both"/>
        <w:rPr>
          <w:rFonts w:ascii="David" w:hAnsi="David" w:cs="David"/>
          <w:b/>
          <w:bCs/>
          <w:sz w:val="24"/>
          <w:szCs w:val="24"/>
          <w:rtl/>
        </w:rPr>
      </w:pPr>
      <w:r>
        <w:rPr>
          <w:rFonts w:ascii="David" w:hAnsi="David" w:cs="David"/>
          <w:sz w:val="24"/>
          <w:szCs w:val="24"/>
          <w:rtl/>
        </w:rPr>
        <w:t xml:space="preserve">כדי לבחון את התקיימותם של תנאים אלה, קבעה הפסיקה </w:t>
      </w:r>
      <w:r>
        <w:rPr>
          <w:rFonts w:ascii="David" w:hAnsi="David" w:cs="David"/>
          <w:b/>
          <w:bCs/>
          <w:sz w:val="24"/>
          <w:szCs w:val="24"/>
          <w:rtl/>
        </w:rPr>
        <w:t>מבחן אובייקטיבי</w:t>
      </w:r>
      <w:r>
        <w:rPr>
          <w:rFonts w:ascii="David" w:hAnsi="David" w:cs="David"/>
          <w:sz w:val="24"/>
          <w:szCs w:val="24"/>
          <w:rtl/>
        </w:rPr>
        <w:t xml:space="preserve"> שעל פיו על בית המשפט לבחון כיצד היו מתפרשים הדברים על ידי </w:t>
      </w:r>
      <w:r>
        <w:rPr>
          <w:rFonts w:ascii="David" w:hAnsi="David" w:cs="David"/>
          <w:b/>
          <w:bCs/>
          <w:sz w:val="24"/>
          <w:szCs w:val="24"/>
          <w:rtl/>
        </w:rPr>
        <w:t>הקורא הסביר</w:t>
      </w:r>
      <w:r>
        <w:rPr>
          <w:rFonts w:ascii="David" w:hAnsi="David" w:cs="David"/>
          <w:sz w:val="24"/>
          <w:szCs w:val="24"/>
          <w:rtl/>
        </w:rPr>
        <w:t>. פרשנות זו תיעשה בהתאם לנסיבות החיצוניות וללשון המשתמעת. וכך נקבע ב</w:t>
      </w:r>
      <w:hyperlink r:id="rId17" w:history="1">
        <w:r>
          <w:rPr>
            <w:rStyle w:val="Hyperlink"/>
            <w:rFonts w:ascii="David" w:hAnsi="David" w:cs="David" w:hint="cs"/>
            <w:sz w:val="24"/>
            <w:szCs w:val="24"/>
            <w:rtl/>
          </w:rPr>
          <w:t>ע"א 28/95</w:t>
        </w:r>
      </w:hyperlink>
      <w:r>
        <w:rPr>
          <w:rFonts w:ascii="David" w:hAnsi="David" w:cs="David"/>
          <w:sz w:val="24"/>
          <w:szCs w:val="24"/>
          <w:rtl/>
        </w:rPr>
        <w:t xml:space="preserve"> </w:t>
      </w:r>
      <w:r>
        <w:rPr>
          <w:rFonts w:ascii="David" w:hAnsi="David" w:cs="David" w:hint="cs"/>
          <w:b/>
          <w:bCs/>
          <w:sz w:val="24"/>
          <w:szCs w:val="24"/>
          <w:rtl/>
        </w:rPr>
        <w:t>פדרמן נ' טרנר</w:t>
      </w:r>
      <w:r>
        <w:rPr>
          <w:rFonts w:ascii="David" w:hAnsi="David" w:cs="David" w:hint="cs"/>
          <w:sz w:val="24"/>
          <w:szCs w:val="24"/>
          <w:rtl/>
        </w:rPr>
        <w:t>, פ"ד נו(1) 411, 420 (1995):</w:t>
      </w:r>
    </w:p>
    <w:p w:rsidR="0075578C" w:rsidRDefault="0075578C" w:rsidP="0075578C">
      <w:pPr>
        <w:spacing w:after="240" w:line="360" w:lineRule="auto"/>
        <w:ind w:left="1440"/>
        <w:jc w:val="both"/>
        <w:rPr>
          <w:rFonts w:ascii="David" w:hAnsi="David"/>
          <w:b/>
          <w:bCs/>
          <w:rtl/>
        </w:rPr>
      </w:pPr>
      <w:r>
        <w:rPr>
          <w:rFonts w:ascii="David" w:hAnsi="David"/>
        </w:rPr>
        <w:t xml:space="preserve">" </w:t>
      </w:r>
      <w:r>
        <w:rPr>
          <w:rFonts w:ascii="David" w:hAnsi="David"/>
          <w:b/>
          <w:bCs/>
          <w:u w:val="single"/>
          <w:rtl/>
        </w:rPr>
        <w:t>הבסיס לקביעה אם התקיים לשון הרע אינו תחושתו האישית של הנפגע</w:t>
      </w:r>
      <w:r>
        <w:rPr>
          <w:rFonts w:ascii="David" w:hAnsi="David"/>
          <w:b/>
          <w:bCs/>
          <w:rtl/>
        </w:rPr>
        <w:t xml:space="preserve">, שכן 'המבחן שבאמצעותו ייקבע אם אכן דברים מסוימים שפרסם פלוני עלולים להוות לשון הרע כלפי אדם פלמוני, אינו מבחן סובייקטיבי, המבחן הוא אובייקטיבי במהותו, לאמור: 'לא קובע מה חושב הנתבע המרגיש עצמו נפגע, אלא הקובע הוא </w:t>
      </w:r>
      <w:r>
        <w:rPr>
          <w:rFonts w:ascii="David" w:hAnsi="David"/>
          <w:b/>
          <w:bCs/>
          <w:u w:val="single"/>
          <w:rtl/>
        </w:rPr>
        <w:t>כיצד עלולה החברה לקבל את הדבר שבאותו פרסום'</w:t>
      </w:r>
      <w:r>
        <w:rPr>
          <w:rFonts w:ascii="David" w:hAnsi="David"/>
          <w:b/>
          <w:bCs/>
          <w:rtl/>
        </w:rPr>
        <w:t xml:space="preserve">". </w:t>
      </w:r>
    </w:p>
    <w:p w:rsidR="0075578C" w:rsidRDefault="0075578C" w:rsidP="0075578C">
      <w:pPr>
        <w:pStyle w:val="ad"/>
        <w:numPr>
          <w:ilvl w:val="0"/>
          <w:numId w:val="1"/>
        </w:numPr>
        <w:spacing w:line="360" w:lineRule="auto"/>
        <w:jc w:val="both"/>
        <w:rPr>
          <w:rFonts w:ascii="David" w:hAnsi="David" w:cs="David"/>
          <w:sz w:val="24"/>
          <w:szCs w:val="24"/>
        </w:rPr>
      </w:pPr>
      <w:r>
        <w:rPr>
          <w:rFonts w:ascii="David" w:hAnsi="David" w:cs="David"/>
          <w:sz w:val="24"/>
          <w:szCs w:val="24"/>
          <w:rtl/>
        </w:rPr>
        <w:lastRenderedPageBreak/>
        <w:t xml:space="preserve">כן ר': </w:t>
      </w:r>
      <w:hyperlink r:id="rId18" w:history="1">
        <w:r>
          <w:rPr>
            <w:rStyle w:val="Hyperlink"/>
            <w:rFonts w:ascii="David" w:hAnsi="David" w:cs="David" w:hint="cs"/>
            <w:sz w:val="24"/>
            <w:szCs w:val="24"/>
            <w:rtl/>
          </w:rPr>
          <w:t>ע"א 740/86</w:t>
        </w:r>
      </w:hyperlink>
      <w:r>
        <w:rPr>
          <w:rFonts w:ascii="David" w:hAnsi="David" w:cs="David"/>
          <w:sz w:val="24"/>
          <w:szCs w:val="24"/>
          <w:rtl/>
        </w:rPr>
        <w:t xml:space="preserve"> </w:t>
      </w:r>
      <w:r>
        <w:rPr>
          <w:rFonts w:ascii="David" w:hAnsi="David" w:cs="David" w:hint="cs"/>
          <w:b/>
          <w:bCs/>
          <w:sz w:val="24"/>
          <w:szCs w:val="24"/>
          <w:rtl/>
        </w:rPr>
        <w:t>תומרקין נ' העצני</w:t>
      </w:r>
      <w:r>
        <w:rPr>
          <w:rFonts w:ascii="David" w:hAnsi="David" w:cs="David" w:hint="cs"/>
          <w:sz w:val="24"/>
          <w:szCs w:val="24"/>
          <w:rtl/>
        </w:rPr>
        <w:t xml:space="preserve"> פד"י מ"ג (2) 333, 337, שבמסגרתו נקבע כי –</w:t>
      </w:r>
    </w:p>
    <w:p w:rsidR="0075578C" w:rsidRDefault="0075578C" w:rsidP="0075578C">
      <w:pPr>
        <w:spacing w:line="360" w:lineRule="auto"/>
        <w:ind w:left="1440"/>
        <w:jc w:val="both"/>
        <w:rPr>
          <w:rFonts w:ascii="David" w:hAnsi="David"/>
          <w:rtl/>
        </w:rPr>
      </w:pPr>
      <w:r>
        <w:rPr>
          <w:rFonts w:ascii="David" w:hAnsi="David"/>
          <w:b/>
          <w:bCs/>
          <w:rtl/>
        </w:rPr>
        <w:t xml:space="preserve">"המבחן הקובע הוא, מהי, לדעת השופט היושב בדין, המשמעות, </w:t>
      </w:r>
      <w:r>
        <w:rPr>
          <w:rFonts w:ascii="David" w:hAnsi="David"/>
          <w:b/>
          <w:bCs/>
          <w:u w:val="single"/>
          <w:rtl/>
        </w:rPr>
        <w:t>שקורא סביר היה מייחס למילים</w:t>
      </w:r>
      <w:r>
        <w:rPr>
          <w:rFonts w:ascii="David" w:hAnsi="David"/>
          <w:b/>
          <w:bCs/>
          <w:rtl/>
        </w:rPr>
        <w:t xml:space="preserve">". </w:t>
      </w:r>
    </w:p>
    <w:p w:rsidR="00572583" w:rsidRDefault="00572583" w:rsidP="0075578C">
      <w:pPr>
        <w:spacing w:line="360" w:lineRule="auto"/>
        <w:ind w:left="1440"/>
        <w:jc w:val="both"/>
        <w:rPr>
          <w:rFonts w:ascii="David" w:hAnsi="David"/>
          <w:rtl/>
        </w:rPr>
      </w:pPr>
    </w:p>
    <w:p w:rsidR="0075578C" w:rsidRDefault="0075578C" w:rsidP="0075578C">
      <w:pPr>
        <w:pStyle w:val="ad"/>
        <w:numPr>
          <w:ilvl w:val="0"/>
          <w:numId w:val="1"/>
        </w:numPr>
        <w:spacing w:line="360" w:lineRule="auto"/>
        <w:jc w:val="both"/>
        <w:rPr>
          <w:rFonts w:ascii="David" w:hAnsi="David" w:cs="David"/>
          <w:sz w:val="24"/>
          <w:szCs w:val="24"/>
          <w:rtl/>
        </w:rPr>
      </w:pPr>
      <w:r>
        <w:rPr>
          <w:rFonts w:ascii="David" w:hAnsi="David" w:cs="David"/>
          <w:sz w:val="24"/>
          <w:szCs w:val="24"/>
          <w:rtl/>
        </w:rPr>
        <w:t>ב</w:t>
      </w:r>
      <w:hyperlink r:id="rId19" w:history="1">
        <w:r>
          <w:rPr>
            <w:rStyle w:val="Hyperlink"/>
            <w:rFonts w:ascii="David" w:hAnsi="David" w:cs="David" w:hint="cs"/>
            <w:sz w:val="24"/>
            <w:szCs w:val="24"/>
            <w:rtl/>
          </w:rPr>
          <w:t>ע"א 723/74</w:t>
        </w:r>
      </w:hyperlink>
      <w:r>
        <w:rPr>
          <w:rFonts w:ascii="David" w:hAnsi="David" w:cs="David"/>
          <w:sz w:val="24"/>
          <w:szCs w:val="24"/>
          <w:rtl/>
        </w:rPr>
        <w:t xml:space="preserve"> </w:t>
      </w:r>
      <w:r>
        <w:rPr>
          <w:rFonts w:ascii="David" w:hAnsi="David" w:cs="David" w:hint="cs"/>
          <w:b/>
          <w:bCs/>
          <w:sz w:val="24"/>
          <w:szCs w:val="24"/>
          <w:rtl/>
        </w:rPr>
        <w:t>הוצאת עיתון "הארץ" בע"מ נ' חברת החשמל לישראל</w:t>
      </w:r>
      <w:r>
        <w:rPr>
          <w:rFonts w:ascii="David" w:hAnsi="David" w:cs="David" w:hint="cs"/>
          <w:sz w:val="24"/>
          <w:szCs w:val="24"/>
          <w:rtl/>
        </w:rPr>
        <w:t xml:space="preserve"> פד"י לא(2) 281, 300, נקבעו הדברים הבאים:</w:t>
      </w:r>
    </w:p>
    <w:p w:rsidR="0075578C" w:rsidRDefault="0075578C" w:rsidP="0075578C">
      <w:pPr>
        <w:spacing w:line="360" w:lineRule="auto"/>
        <w:ind w:left="1440"/>
        <w:jc w:val="both"/>
        <w:rPr>
          <w:rFonts w:ascii="David" w:hAnsi="David"/>
          <w:b/>
          <w:bCs/>
          <w:rtl/>
        </w:rPr>
      </w:pPr>
      <w:r>
        <w:rPr>
          <w:rFonts w:ascii="David" w:hAnsi="David"/>
          <w:b/>
          <w:bCs/>
          <w:rtl/>
        </w:rPr>
        <w:t xml:space="preserve">"הדעה המקובלת היא כי על מנת לקבוע משמעותו הפשוטה או המשתמעת של פרסום בעיני האדם הסביר והרגיל </w:t>
      </w:r>
      <w:r>
        <w:rPr>
          <w:rFonts w:ascii="David" w:hAnsi="David"/>
          <w:b/>
          <w:bCs/>
          <w:u w:val="single"/>
          <w:rtl/>
        </w:rPr>
        <w:t>יש לתת הדעת על ההקשר שבו הובאו הדברים</w:t>
      </w:r>
      <w:r>
        <w:rPr>
          <w:rFonts w:ascii="David" w:hAnsi="David"/>
          <w:b/>
          <w:bCs/>
          <w:rtl/>
        </w:rPr>
        <w:t xml:space="preserve"> הנטענים להיות לשון הרע". </w:t>
      </w:r>
    </w:p>
    <w:p w:rsidR="00572583" w:rsidRDefault="00572583" w:rsidP="0075578C">
      <w:pPr>
        <w:spacing w:line="360" w:lineRule="auto"/>
        <w:ind w:left="1440"/>
        <w:jc w:val="both"/>
        <w:rPr>
          <w:rFonts w:ascii="David" w:hAnsi="David"/>
          <w:b/>
          <w:bCs/>
        </w:rPr>
      </w:pPr>
    </w:p>
    <w:p w:rsidR="0075578C" w:rsidRDefault="0075578C" w:rsidP="0075578C">
      <w:pPr>
        <w:pStyle w:val="ad"/>
        <w:numPr>
          <w:ilvl w:val="0"/>
          <w:numId w:val="1"/>
        </w:numPr>
        <w:spacing w:line="360" w:lineRule="auto"/>
        <w:jc w:val="both"/>
        <w:rPr>
          <w:rFonts w:ascii="David" w:hAnsi="David" w:cs="David"/>
          <w:sz w:val="24"/>
          <w:szCs w:val="24"/>
          <w:rtl/>
        </w:rPr>
      </w:pPr>
      <w:r>
        <w:rPr>
          <w:rFonts w:ascii="David" w:hAnsi="David" w:cs="David"/>
          <w:sz w:val="24"/>
          <w:szCs w:val="24"/>
          <w:rtl/>
        </w:rPr>
        <w:t>עוד אפנה לעניין נודלמן (פסקה 18) כדלקמן:</w:t>
      </w:r>
    </w:p>
    <w:p w:rsidR="0075578C" w:rsidRDefault="0075578C" w:rsidP="0075578C">
      <w:pPr>
        <w:spacing w:line="360" w:lineRule="auto"/>
        <w:ind w:left="1440"/>
        <w:jc w:val="both"/>
        <w:rPr>
          <w:rFonts w:ascii="David" w:hAnsi="David"/>
          <w:b/>
          <w:bCs/>
          <w:rtl/>
        </w:rPr>
      </w:pPr>
      <w:r>
        <w:rPr>
          <w:rFonts w:ascii="David" w:hAnsi="David"/>
          <w:b/>
          <w:bCs/>
          <w:rtl/>
        </w:rPr>
        <w:t>"</w:t>
      </w:r>
      <w:r>
        <w:rPr>
          <w:rFonts w:ascii="David" w:hAnsi="David"/>
          <w:b/>
          <w:bCs/>
          <w:u w:val="single"/>
          <w:rtl/>
        </w:rPr>
        <w:t>אמירות מהוות לשון הרע כאשר קיימת אפשרות אובייקטיבית כי פרסומן עלול להביא להשפלתו של אדם, או לעשותו מטרה לשנאה, בוז או לעג מצד הבריות</w:t>
      </w:r>
      <w:r>
        <w:rPr>
          <w:rFonts w:ascii="David" w:hAnsi="David"/>
          <w:b/>
          <w:bCs/>
          <w:rtl/>
        </w:rPr>
        <w:t xml:space="preserve">. משמעות האמירות נלמדת מתוכן, והן מתפרשות על פי מובנן הרגיל והטבעי בהתאם לאמות מידה אובייקטיביות. </w:t>
      </w:r>
      <w:r>
        <w:rPr>
          <w:rFonts w:ascii="David" w:hAnsi="David"/>
          <w:b/>
          <w:bCs/>
          <w:u w:val="single"/>
          <w:rtl/>
        </w:rPr>
        <w:t>אמת המידה לבחינת האמירה כלשון הרע אינה תלויה בכוונת המפרסם, או באופן בו הובן הפרסום על ידי הנפגע</w:t>
      </w:r>
      <w:r>
        <w:rPr>
          <w:rFonts w:ascii="David" w:hAnsi="David"/>
          <w:b/>
          <w:bCs/>
          <w:rtl/>
        </w:rPr>
        <w:t xml:space="preserve"> (</w:t>
      </w:r>
      <w:hyperlink r:id="rId20" w:history="1">
        <w:r>
          <w:rPr>
            <w:rStyle w:val="Hyperlink"/>
            <w:rFonts w:ascii="David" w:hAnsi="David"/>
            <w:b/>
            <w:bCs/>
            <w:rtl/>
          </w:rPr>
          <w:t>ע"א 1104/00 דוד אפל נ' איילה חסון, פד"י נו</w:t>
        </w:r>
      </w:hyperlink>
      <w:r>
        <w:rPr>
          <w:rFonts w:ascii="David" w:hAnsi="David"/>
          <w:b/>
          <w:bCs/>
          <w:rtl/>
        </w:rPr>
        <w:t xml:space="preserve">(2) 607 (2002) (להלן: ענין אפל), פסקה 2). </w:t>
      </w:r>
      <w:r>
        <w:rPr>
          <w:rFonts w:ascii="David" w:hAnsi="David"/>
          <w:b/>
          <w:bCs/>
          <w:u w:val="single"/>
          <w:rtl/>
        </w:rPr>
        <w:t>על פי המבחן האובייקטיבי, נבחנת ההשפעה שיש לאמירות על ההערכה לה זוכה האדם בעיני הציבור</w:t>
      </w:r>
      <w:r>
        <w:rPr>
          <w:rFonts w:ascii="David" w:hAnsi="David"/>
          <w:b/>
          <w:bCs/>
          <w:rtl/>
        </w:rPr>
        <w:t xml:space="preserve"> (</w:t>
      </w:r>
      <w:hyperlink r:id="rId21" w:history="1">
        <w:r>
          <w:rPr>
            <w:rStyle w:val="Hyperlink"/>
            <w:rFonts w:ascii="David" w:hAnsi="David"/>
            <w:b/>
            <w:bCs/>
            <w:rtl/>
          </w:rPr>
          <w:t>ע"א 334/89 רבקה מיכאלי נ' בלה אלמוג, פד"י מו</w:t>
        </w:r>
      </w:hyperlink>
      <w:r>
        <w:rPr>
          <w:rFonts w:ascii="David" w:hAnsi="David"/>
          <w:b/>
          <w:bCs/>
          <w:rtl/>
        </w:rPr>
        <w:t xml:space="preserve">(5) 555 (1992) (להלן: ענין מיכאלי), 562; </w:t>
      </w:r>
      <w:hyperlink r:id="rId22" w:history="1">
        <w:r>
          <w:rPr>
            <w:rStyle w:val="Hyperlink"/>
            <w:rFonts w:ascii="David" w:hAnsi="David"/>
            <w:b/>
            <w:bCs/>
            <w:rtl/>
          </w:rPr>
          <w:t>ע"א 809/89 לוטפי משעור נ' אמיל חביבי, פד"י מז</w:t>
        </w:r>
      </w:hyperlink>
      <w:r>
        <w:rPr>
          <w:rFonts w:ascii="David" w:hAnsi="David"/>
          <w:b/>
          <w:bCs/>
          <w:rtl/>
        </w:rPr>
        <w:t xml:space="preserve">(1) 1 (1992) (להלן: ענין חביבי), 7). </w:t>
      </w:r>
      <w:r>
        <w:rPr>
          <w:rFonts w:ascii="David" w:hAnsi="David"/>
          <w:b/>
          <w:bCs/>
          <w:u w:val="single"/>
          <w:rtl/>
        </w:rPr>
        <w:t xml:space="preserve">לצורך גיבוש עוולה בגין לשון הרע, אין צורך להוכיח כי אדם בפועל הושפל או בוזה. די שהפרסום עלול היה להביא לתוצאה כזו </w:t>
      </w:r>
      <w:r>
        <w:rPr>
          <w:rFonts w:ascii="David" w:hAnsi="David"/>
          <w:b/>
          <w:bCs/>
          <w:rtl/>
        </w:rPr>
        <w:t xml:space="preserve">(אורי </w:t>
      </w:r>
      <w:hyperlink r:id="rId23" w:history="1">
        <w:r>
          <w:rPr>
            <w:rStyle w:val="Hyperlink"/>
            <w:rFonts w:ascii="David" w:hAnsi="David"/>
            <w:b/>
            <w:bCs/>
            <w:rtl/>
          </w:rPr>
          <w:t>שנהר, דיני לשון הרע</w:t>
        </w:r>
      </w:hyperlink>
      <w:r>
        <w:rPr>
          <w:rFonts w:ascii="David" w:hAnsi="David"/>
          <w:b/>
          <w:bCs/>
          <w:rtl/>
        </w:rPr>
        <w:t xml:space="preserve">, התשנ"ז-1997 (להלן: שנהר), 121; </w:t>
      </w:r>
      <w:hyperlink r:id="rId24" w:history="1">
        <w:r>
          <w:rPr>
            <w:rStyle w:val="Hyperlink"/>
            <w:rFonts w:ascii="David" w:hAnsi="David"/>
            <w:b/>
            <w:bCs/>
            <w:rtl/>
          </w:rPr>
          <w:t>ע"א 1003/96 מיכאל בן חורין נ' רן לוי, פד"י נז</w:t>
        </w:r>
      </w:hyperlink>
      <w:r>
        <w:rPr>
          <w:rFonts w:ascii="David" w:hAnsi="David"/>
          <w:b/>
          <w:bCs/>
          <w:rtl/>
        </w:rPr>
        <w:t xml:space="preserve"> (1) 424 (1998), 434; פרשת בן גביר, פסקה 6 לפסק דיני)." </w:t>
      </w:r>
    </w:p>
    <w:p w:rsidR="004D193F" w:rsidRDefault="004D193F" w:rsidP="0075578C">
      <w:pPr>
        <w:spacing w:line="360" w:lineRule="auto"/>
        <w:ind w:left="1440"/>
        <w:jc w:val="both"/>
        <w:rPr>
          <w:rFonts w:ascii="David" w:hAnsi="David"/>
          <w:b/>
          <w:bCs/>
          <w:rtl/>
        </w:rPr>
      </w:pPr>
    </w:p>
    <w:p w:rsidR="0075578C" w:rsidRDefault="0075578C" w:rsidP="0075578C">
      <w:pPr>
        <w:pStyle w:val="ad"/>
        <w:numPr>
          <w:ilvl w:val="0"/>
          <w:numId w:val="1"/>
        </w:numPr>
        <w:spacing w:line="360" w:lineRule="auto"/>
        <w:jc w:val="both"/>
        <w:rPr>
          <w:rFonts w:ascii="David" w:hAnsi="David" w:cs="David"/>
          <w:sz w:val="24"/>
          <w:szCs w:val="24"/>
          <w:rtl/>
        </w:rPr>
      </w:pPr>
      <w:r>
        <w:rPr>
          <w:rFonts w:ascii="David" w:hAnsi="David" w:cs="David"/>
          <w:sz w:val="24"/>
          <w:szCs w:val="24"/>
          <w:rtl/>
        </w:rPr>
        <w:t xml:space="preserve">סקירתי זו לא תהא שלמה אם לא אתייחס לפסק הדין ברע"א 817/23 </w:t>
      </w:r>
      <w:r>
        <w:rPr>
          <w:rFonts w:ascii="David" w:hAnsi="David" w:cs="David"/>
          <w:b/>
          <w:bCs/>
          <w:sz w:val="24"/>
          <w:szCs w:val="24"/>
          <w:rtl/>
        </w:rPr>
        <w:t>עמותת חוזה חדש נ' ח"כ מיקי (מכלוף) זוהר</w:t>
      </w:r>
      <w:r>
        <w:rPr>
          <w:rFonts w:ascii="David" w:hAnsi="David" w:cs="David"/>
          <w:sz w:val="24"/>
          <w:szCs w:val="24"/>
          <w:rtl/>
        </w:rPr>
        <w:t xml:space="preserve"> (30.5.23, פסקה 34 לחוות דעתו של כב' השופט נועם סולברג), הקובע כי -</w:t>
      </w:r>
    </w:p>
    <w:p w:rsidR="0075578C" w:rsidRDefault="0075578C" w:rsidP="0075578C">
      <w:pPr>
        <w:spacing w:line="360" w:lineRule="auto"/>
        <w:ind w:left="1440"/>
        <w:jc w:val="both"/>
        <w:rPr>
          <w:rFonts w:ascii="David" w:hAnsi="David"/>
          <w:b/>
          <w:bCs/>
          <w:rtl/>
        </w:rPr>
      </w:pPr>
      <w:r>
        <w:rPr>
          <w:rFonts w:ascii="David" w:hAnsi="David"/>
          <w:b/>
          <w:bCs/>
          <w:rtl/>
        </w:rPr>
        <w:t>"נראה שנותר עדיין מקום להסתפק אם הפרסום שעל הפרק ממלא אחר התנאי שלפיו "</w:t>
      </w:r>
      <w:r>
        <w:rPr>
          <w:rFonts w:ascii="David" w:hAnsi="David"/>
          <w:b/>
          <w:bCs/>
          <w:u w:val="single"/>
          <w:rtl/>
        </w:rPr>
        <w:t xml:space="preserve">אדם שנחשף לפרסום היה עשוי לשנות את דעתו על התובע. כלומר </w:t>
      </w:r>
      <w:r>
        <w:rPr>
          <w:rFonts w:ascii="David" w:hAnsi="David"/>
          <w:b/>
          <w:bCs/>
          <w:u w:val="single"/>
          <w:rtl/>
        </w:rPr>
        <w:lastRenderedPageBreak/>
        <w:t>[ש]הפרסום עשוי לפגוע בכבודו של התובע</w:t>
      </w:r>
      <w:r>
        <w:rPr>
          <w:rFonts w:ascii="David" w:hAnsi="David"/>
          <w:b/>
          <w:bCs/>
          <w:rtl/>
        </w:rPr>
        <w:t>" (גנאים, קרמניצר ושנור, עמוד 207);"</w:t>
      </w:r>
    </w:p>
    <w:p w:rsidR="0075578C" w:rsidRDefault="0075578C" w:rsidP="0075578C">
      <w:pPr>
        <w:spacing w:line="360" w:lineRule="auto"/>
        <w:ind w:left="720"/>
        <w:jc w:val="both"/>
        <w:rPr>
          <w:rFonts w:ascii="David" w:hAnsi="David"/>
          <w:rtl/>
        </w:rPr>
      </w:pPr>
      <w:r>
        <w:rPr>
          <w:rFonts w:ascii="David" w:hAnsi="David"/>
          <w:rtl/>
        </w:rPr>
        <w:t>כלומר: עלינו לבחון האם האדם הסביר היה משנה את דעתו ביחס לתובע נוכח הפרסום לגביו.</w:t>
      </w:r>
    </w:p>
    <w:p w:rsidR="004D193F" w:rsidRDefault="004D193F" w:rsidP="0075578C">
      <w:pPr>
        <w:spacing w:line="360" w:lineRule="auto"/>
        <w:ind w:left="720"/>
        <w:jc w:val="both"/>
        <w:rPr>
          <w:rFonts w:ascii="David" w:hAnsi="David"/>
          <w:rtl/>
        </w:rPr>
      </w:pPr>
    </w:p>
    <w:p w:rsidR="0075578C" w:rsidRDefault="0075578C" w:rsidP="0075578C">
      <w:pPr>
        <w:pStyle w:val="ad"/>
        <w:numPr>
          <w:ilvl w:val="0"/>
          <w:numId w:val="1"/>
        </w:numPr>
        <w:spacing w:line="360" w:lineRule="auto"/>
        <w:jc w:val="both"/>
        <w:rPr>
          <w:rFonts w:ascii="David" w:hAnsi="David" w:cs="David"/>
          <w:b/>
          <w:bCs/>
          <w:sz w:val="24"/>
          <w:szCs w:val="24"/>
          <w:rtl/>
        </w:rPr>
      </w:pPr>
      <w:r>
        <w:rPr>
          <w:rFonts w:ascii="David" w:hAnsi="David" w:cs="David"/>
          <w:b/>
          <w:bCs/>
          <w:sz w:val="24"/>
          <w:szCs w:val="24"/>
          <w:rtl/>
        </w:rPr>
        <w:t xml:space="preserve">עולה מן המקובץ עד עתה כי המבחן לפרסום לשון הרע הוא מבחן אובייקטיבי. </w:t>
      </w:r>
      <w:r>
        <w:rPr>
          <w:rFonts w:ascii="David" w:hAnsi="David" w:cs="David"/>
          <w:sz w:val="24"/>
          <w:szCs w:val="24"/>
          <w:rtl/>
        </w:rPr>
        <w:t>כלומר: האם האדם הסביר רואה בפרסום זה משום לשון הרע. בעניין זה עלינו לבחון גם את הקשר הדברים, את הקונטקסט. כאשר אדם הוצא מתוך קבוצה,</w:t>
      </w:r>
      <w:r>
        <w:rPr>
          <w:rFonts w:ascii="David" w:hAnsi="David" w:cs="David"/>
          <w:b/>
          <w:bCs/>
          <w:sz w:val="24"/>
          <w:szCs w:val="24"/>
          <w:rtl/>
        </w:rPr>
        <w:t xml:space="preserve"> לא ניתן למצוא איזה חוט מקשר בין פעולת ההוצאה מהקבוצה לבין גינוי, ביזויו או השפלתו של האדם שהוצא מהקבוצה.</w:t>
      </w:r>
    </w:p>
    <w:p w:rsidR="0075578C" w:rsidRDefault="0075578C" w:rsidP="0075578C">
      <w:pPr>
        <w:pStyle w:val="ad"/>
        <w:spacing w:line="360" w:lineRule="auto"/>
        <w:jc w:val="both"/>
        <w:rPr>
          <w:rFonts w:ascii="David" w:hAnsi="David" w:cs="David"/>
          <w:sz w:val="24"/>
          <w:szCs w:val="24"/>
          <w:rtl/>
        </w:rPr>
      </w:pPr>
    </w:p>
    <w:p w:rsidR="0075578C" w:rsidRDefault="0075578C" w:rsidP="0075578C">
      <w:pPr>
        <w:pStyle w:val="ad"/>
        <w:numPr>
          <w:ilvl w:val="0"/>
          <w:numId w:val="1"/>
        </w:numPr>
        <w:spacing w:line="360" w:lineRule="auto"/>
        <w:jc w:val="both"/>
        <w:rPr>
          <w:rFonts w:ascii="David" w:hAnsi="David" w:cs="David"/>
          <w:sz w:val="24"/>
          <w:szCs w:val="24"/>
        </w:rPr>
      </w:pPr>
      <w:r>
        <w:rPr>
          <w:rFonts w:ascii="David" w:hAnsi="David" w:cs="David"/>
          <w:sz w:val="24"/>
          <w:szCs w:val="24"/>
          <w:rtl/>
        </w:rPr>
        <w:t xml:space="preserve">כן נקבע בסע' 2 לחוק </w:t>
      </w:r>
      <w:r>
        <w:rPr>
          <w:rFonts w:ascii="David" w:hAnsi="David" w:cs="David"/>
          <w:b/>
          <w:bCs/>
          <w:sz w:val="24"/>
          <w:szCs w:val="24"/>
          <w:rtl/>
        </w:rPr>
        <w:t>מהו "פרסום",</w:t>
      </w:r>
      <w:r>
        <w:rPr>
          <w:rFonts w:ascii="David" w:hAnsi="David" w:cs="David"/>
          <w:sz w:val="24"/>
          <w:szCs w:val="24"/>
          <w:rtl/>
        </w:rPr>
        <w:t xml:space="preserve"> כדלקמן:</w:t>
      </w:r>
    </w:p>
    <w:p w:rsidR="0075578C" w:rsidRDefault="0075578C" w:rsidP="0075578C">
      <w:pPr>
        <w:spacing w:line="360" w:lineRule="auto"/>
        <w:ind w:left="1440"/>
        <w:jc w:val="both"/>
        <w:rPr>
          <w:rFonts w:ascii="David" w:hAnsi="David"/>
          <w:b/>
          <w:bCs/>
          <w:rtl/>
        </w:rPr>
      </w:pPr>
      <w:r>
        <w:rPr>
          <w:rFonts w:ascii="David" w:hAnsi="David"/>
          <w:b/>
          <w:bCs/>
          <w:rtl/>
        </w:rPr>
        <w:t xml:space="preserve">"(א) </w:t>
      </w:r>
      <w:r>
        <w:rPr>
          <w:rFonts w:ascii="David" w:hAnsi="David"/>
          <w:b/>
          <w:bCs/>
          <w:u w:val="single"/>
          <w:rtl/>
        </w:rPr>
        <w:t>פרסום, לענין לשון הרע – בין בעל פה ובין בכתב או בדפוס, לרבות ציור, דמות, תנועה, צליל וכל אמצעי אחר</w:t>
      </w:r>
      <w:r>
        <w:rPr>
          <w:rFonts w:ascii="David" w:hAnsi="David"/>
          <w:b/>
          <w:bCs/>
          <w:rtl/>
        </w:rPr>
        <w:t>.</w:t>
      </w:r>
    </w:p>
    <w:p w:rsidR="0075578C" w:rsidRDefault="0075578C" w:rsidP="0075578C">
      <w:pPr>
        <w:spacing w:line="360" w:lineRule="auto"/>
        <w:ind w:left="1440"/>
        <w:jc w:val="both"/>
        <w:rPr>
          <w:rFonts w:ascii="David" w:hAnsi="David"/>
          <w:b/>
          <w:bCs/>
          <w:rtl/>
        </w:rPr>
      </w:pPr>
      <w:r>
        <w:rPr>
          <w:rFonts w:ascii="David" w:hAnsi="David"/>
          <w:b/>
          <w:bCs/>
          <w:rtl/>
        </w:rPr>
        <w:t xml:space="preserve"> (ב) רואים כפרסום לשון הרע, בלי למעט מדרכי פרסום אחרות –</w:t>
      </w:r>
    </w:p>
    <w:p w:rsidR="0075578C" w:rsidRDefault="0075578C" w:rsidP="0075578C">
      <w:pPr>
        <w:spacing w:line="360" w:lineRule="auto"/>
        <w:ind w:left="2160"/>
        <w:jc w:val="both"/>
        <w:rPr>
          <w:rFonts w:ascii="David" w:hAnsi="David"/>
          <w:b/>
          <w:bCs/>
          <w:rtl/>
        </w:rPr>
      </w:pPr>
      <w:r>
        <w:rPr>
          <w:rFonts w:ascii="David" w:hAnsi="David"/>
          <w:b/>
          <w:bCs/>
          <w:rtl/>
        </w:rPr>
        <w:t xml:space="preserve">(1) אם היתה מיועדת </w:t>
      </w:r>
      <w:r>
        <w:rPr>
          <w:rFonts w:ascii="David" w:hAnsi="David"/>
          <w:b/>
          <w:bCs/>
          <w:u w:val="single"/>
          <w:rtl/>
        </w:rPr>
        <w:t>לאדם זולת הנפגע</w:t>
      </w:r>
      <w:r>
        <w:rPr>
          <w:rFonts w:ascii="David" w:hAnsi="David"/>
          <w:b/>
          <w:bCs/>
          <w:rtl/>
        </w:rPr>
        <w:t xml:space="preserve"> והגיעה לאותו אדם או לאדם אחר זולת הנפגע;</w:t>
      </w:r>
    </w:p>
    <w:p w:rsidR="0075578C" w:rsidRDefault="0075578C" w:rsidP="0075578C">
      <w:pPr>
        <w:spacing w:line="360" w:lineRule="auto"/>
        <w:ind w:left="2160"/>
        <w:jc w:val="both"/>
        <w:rPr>
          <w:rFonts w:ascii="David" w:hAnsi="David"/>
          <w:b/>
          <w:bCs/>
          <w:rtl/>
        </w:rPr>
      </w:pPr>
      <w:r>
        <w:rPr>
          <w:rFonts w:ascii="David" w:hAnsi="David"/>
          <w:b/>
          <w:bCs/>
          <w:rtl/>
        </w:rPr>
        <w:t xml:space="preserve">(2) </w:t>
      </w:r>
      <w:r>
        <w:rPr>
          <w:rFonts w:ascii="David" w:hAnsi="David"/>
          <w:b/>
          <w:bCs/>
          <w:u w:val="single"/>
          <w:rtl/>
        </w:rPr>
        <w:t>אם היתה בכתב</w:t>
      </w:r>
      <w:r>
        <w:rPr>
          <w:rFonts w:ascii="David" w:hAnsi="David"/>
          <w:b/>
          <w:bCs/>
          <w:rtl/>
        </w:rPr>
        <w:t xml:space="preserve"> והכתב עשוי היה, לפי הנסיבות, להגיע לאדם זולת הנפגע."  </w:t>
      </w:r>
    </w:p>
    <w:p w:rsidR="0075578C" w:rsidRDefault="0075578C" w:rsidP="0075578C">
      <w:pPr>
        <w:spacing w:line="360" w:lineRule="auto"/>
        <w:ind w:left="720"/>
        <w:jc w:val="both"/>
        <w:rPr>
          <w:rFonts w:ascii="David" w:hAnsi="David"/>
          <w:rtl/>
        </w:rPr>
      </w:pPr>
      <w:r>
        <w:rPr>
          <w:rFonts w:ascii="David" w:hAnsi="David"/>
          <w:rtl/>
        </w:rPr>
        <w:t>נחזור על מושכלות יסוד הנלמדות מלשונו של סע' 2 לחוק: הוראות הסעיף דורשות פרסום בכתב, בעל פה, או בכל צורה אחרת. ניתן לסכם ולומר כי המכנה המשותף של הדוגמאות המובאות בסעיף הוא מעשה אקטיבי של פרסום שמקובע ושניתן להציגו. אני מתקשה לראות כיצד הסרת אדם מקבוצה מהווה מעשה העומד בתנאי הסעיף.</w:t>
      </w:r>
    </w:p>
    <w:p w:rsidR="005F387C" w:rsidRDefault="005F387C" w:rsidP="0075578C">
      <w:pPr>
        <w:spacing w:line="360" w:lineRule="auto"/>
        <w:ind w:left="720"/>
        <w:jc w:val="both"/>
        <w:rPr>
          <w:rFonts w:ascii="David" w:hAnsi="David"/>
          <w:rtl/>
        </w:rPr>
      </w:pPr>
    </w:p>
    <w:p w:rsidR="0075578C" w:rsidRDefault="0075578C" w:rsidP="0075578C">
      <w:pPr>
        <w:pStyle w:val="ad"/>
        <w:numPr>
          <w:ilvl w:val="0"/>
          <w:numId w:val="1"/>
        </w:numPr>
        <w:spacing w:line="360" w:lineRule="auto"/>
        <w:jc w:val="both"/>
        <w:rPr>
          <w:rFonts w:ascii="David" w:hAnsi="David" w:cs="David"/>
          <w:sz w:val="24"/>
          <w:szCs w:val="24"/>
          <w:rtl/>
        </w:rPr>
      </w:pPr>
      <w:r>
        <w:rPr>
          <w:rFonts w:ascii="David" w:hAnsi="David" w:cs="David"/>
          <w:sz w:val="24"/>
          <w:szCs w:val="24"/>
          <w:rtl/>
        </w:rPr>
        <w:t>עוד אפנה להוראות סע' 3 לחוק, הקובעות את הכללים הבאים באשר לדרכי הבעת לשון הרע כדלקמן:</w:t>
      </w:r>
    </w:p>
    <w:p w:rsidR="0075578C" w:rsidRDefault="0075578C" w:rsidP="0075578C">
      <w:pPr>
        <w:spacing w:line="360" w:lineRule="auto"/>
        <w:ind w:left="1440"/>
        <w:jc w:val="both"/>
        <w:rPr>
          <w:rFonts w:ascii="David" w:hAnsi="David"/>
          <w:b/>
          <w:bCs/>
          <w:rtl/>
        </w:rPr>
      </w:pPr>
      <w:r>
        <w:rPr>
          <w:rFonts w:ascii="David" w:hAnsi="David"/>
          <w:b/>
          <w:bCs/>
          <w:rtl/>
        </w:rPr>
        <w:t xml:space="preserve">"אין נפקא מינה אם לשון הרע הובעה במישרין ובשלמות, או אם היא והתייחסותה לאדם הטוען שנפגע בה </w:t>
      </w:r>
      <w:r>
        <w:rPr>
          <w:rFonts w:ascii="David" w:hAnsi="David"/>
          <w:b/>
          <w:bCs/>
          <w:u w:val="single"/>
          <w:rtl/>
        </w:rPr>
        <w:t>משתמעות מן הפרסום או מנסיבות חיצוניות</w:t>
      </w:r>
      <w:r>
        <w:rPr>
          <w:rFonts w:ascii="David" w:hAnsi="David"/>
          <w:b/>
          <w:bCs/>
          <w:rtl/>
        </w:rPr>
        <w:t xml:space="preserve">, או מקצתן מזה ומקצתן מזה."  </w:t>
      </w:r>
    </w:p>
    <w:p w:rsidR="005F387C" w:rsidRDefault="005F387C" w:rsidP="0075578C">
      <w:pPr>
        <w:spacing w:line="360" w:lineRule="auto"/>
        <w:ind w:left="1440"/>
        <w:jc w:val="both"/>
        <w:rPr>
          <w:rFonts w:ascii="David" w:hAnsi="David"/>
          <w:b/>
          <w:bCs/>
          <w:rtl/>
        </w:rPr>
      </w:pPr>
    </w:p>
    <w:p w:rsidR="0075578C" w:rsidRDefault="0075578C" w:rsidP="0075578C">
      <w:pPr>
        <w:pStyle w:val="ad"/>
        <w:numPr>
          <w:ilvl w:val="0"/>
          <w:numId w:val="1"/>
        </w:numPr>
        <w:spacing w:line="360" w:lineRule="auto"/>
        <w:jc w:val="both"/>
        <w:rPr>
          <w:rFonts w:ascii="David" w:hAnsi="David" w:cs="David"/>
          <w:sz w:val="24"/>
          <w:szCs w:val="24"/>
          <w:rtl/>
        </w:rPr>
      </w:pPr>
      <w:r>
        <w:rPr>
          <w:rFonts w:ascii="David" w:hAnsi="David" w:cs="David"/>
          <w:sz w:val="24"/>
          <w:szCs w:val="24"/>
          <w:rtl/>
        </w:rPr>
        <w:t>בשולי הדברים אפנה גם להוראות סע' 11 לחוק הקובעות כי –</w:t>
      </w:r>
    </w:p>
    <w:p w:rsidR="0075578C" w:rsidRDefault="0075578C" w:rsidP="0075578C">
      <w:pPr>
        <w:pStyle w:val="ad"/>
        <w:spacing w:line="360" w:lineRule="auto"/>
        <w:ind w:left="1440"/>
        <w:jc w:val="both"/>
        <w:rPr>
          <w:rFonts w:ascii="David" w:hAnsi="David" w:cs="David"/>
          <w:b/>
          <w:bCs/>
          <w:sz w:val="24"/>
          <w:szCs w:val="24"/>
        </w:rPr>
      </w:pPr>
      <w:r>
        <w:rPr>
          <w:rFonts w:ascii="David" w:hAnsi="David" w:cs="David"/>
          <w:b/>
          <w:bCs/>
          <w:sz w:val="24"/>
          <w:szCs w:val="24"/>
          <w:rtl/>
        </w:rPr>
        <w:t>"(א)</w:t>
      </w:r>
      <w:r>
        <w:rPr>
          <w:rFonts w:ascii="David" w:hAnsi="David" w:cs="David"/>
          <w:b/>
          <w:bCs/>
          <w:sz w:val="24"/>
          <w:szCs w:val="24"/>
          <w:rtl/>
        </w:rPr>
        <w:tab/>
        <w:t xml:space="preserve">פורסמה לשון הרע באמצעי תקשורת, ישאו באחריות פלילית ואזרחית בשל לשון </w:t>
      </w:r>
    </w:p>
    <w:p w:rsidR="0075578C" w:rsidRDefault="0075578C" w:rsidP="0075578C">
      <w:pPr>
        <w:pStyle w:val="ad"/>
        <w:spacing w:line="360" w:lineRule="auto"/>
        <w:ind w:left="1440"/>
        <w:jc w:val="both"/>
        <w:rPr>
          <w:rFonts w:ascii="David" w:hAnsi="David" w:cs="David"/>
          <w:b/>
          <w:bCs/>
          <w:sz w:val="24"/>
          <w:szCs w:val="24"/>
          <w:rtl/>
        </w:rPr>
      </w:pPr>
      <w:r>
        <w:rPr>
          <w:rFonts w:ascii="David" w:hAnsi="David" w:cs="David"/>
          <w:b/>
          <w:bCs/>
          <w:sz w:val="24"/>
          <w:szCs w:val="24"/>
          <w:rtl/>
        </w:rPr>
        <w:lastRenderedPageBreak/>
        <w:t xml:space="preserve">הרע, האדם שהביא את דברי לשון הרע לאמצעי התקשורת וגרם בכך לפרסומו, </w:t>
      </w:r>
      <w:r>
        <w:rPr>
          <w:rFonts w:ascii="David" w:hAnsi="David" w:cs="David"/>
          <w:b/>
          <w:bCs/>
          <w:sz w:val="24"/>
          <w:szCs w:val="24"/>
          <w:u w:val="single"/>
          <w:rtl/>
        </w:rPr>
        <w:t>עורך אמצעי התקשורת ומי שהחליט בפועל על הפרסום, ובאחריות אזרחית ישא גם האחראי לאמצעי התקשורת</w:t>
      </w:r>
      <w:r>
        <w:rPr>
          <w:rFonts w:ascii="David" w:hAnsi="David" w:cs="David"/>
          <w:b/>
          <w:bCs/>
          <w:sz w:val="24"/>
          <w:szCs w:val="24"/>
          <w:rtl/>
        </w:rPr>
        <w:t xml:space="preserve">... </w:t>
      </w:r>
    </w:p>
    <w:p w:rsidR="0075578C" w:rsidRDefault="0075578C" w:rsidP="0075578C">
      <w:pPr>
        <w:pStyle w:val="ad"/>
        <w:spacing w:line="360" w:lineRule="auto"/>
        <w:ind w:left="1440"/>
        <w:jc w:val="both"/>
        <w:rPr>
          <w:rFonts w:ascii="David" w:hAnsi="David" w:cs="David"/>
          <w:sz w:val="24"/>
          <w:szCs w:val="24"/>
          <w:rtl/>
        </w:rPr>
      </w:pPr>
      <w:r>
        <w:rPr>
          <w:rFonts w:ascii="David" w:hAnsi="David" w:cs="David"/>
          <w:b/>
          <w:bCs/>
          <w:sz w:val="24"/>
          <w:szCs w:val="24"/>
          <w:rtl/>
        </w:rPr>
        <w:t xml:space="preserve">(ג) </w:t>
      </w:r>
      <w:r>
        <w:rPr>
          <w:rFonts w:ascii="David" w:hAnsi="David" w:cs="David"/>
          <w:b/>
          <w:bCs/>
          <w:sz w:val="24"/>
          <w:szCs w:val="24"/>
          <w:rtl/>
        </w:rPr>
        <w:tab/>
        <w:t>בחוק זה - "אמצעי תקשורת" - עתון כמשמעותו ב</w:t>
      </w:r>
      <w:hyperlink r:id="rId25" w:history="1">
        <w:r>
          <w:rPr>
            <w:rStyle w:val="Hyperlink"/>
            <w:rFonts w:ascii="David" w:hAnsi="David" w:cs="David"/>
            <w:b/>
            <w:bCs/>
            <w:sz w:val="24"/>
            <w:szCs w:val="24"/>
            <w:rtl/>
          </w:rPr>
          <w:t>פקודת העתונות</w:t>
        </w:r>
      </w:hyperlink>
      <w:r>
        <w:rPr>
          <w:rFonts w:ascii="David" w:hAnsi="David" w:cs="David"/>
          <w:b/>
          <w:bCs/>
          <w:sz w:val="24"/>
          <w:szCs w:val="24"/>
          <w:rtl/>
        </w:rPr>
        <w:t xml:space="preserve"> (להלן - עתון) וכן שידורי רדיו וטלויזיה הניתנים לציבור;</w:t>
      </w:r>
    </w:p>
    <w:p w:rsidR="0075578C" w:rsidRDefault="0075578C" w:rsidP="0075578C">
      <w:pPr>
        <w:pStyle w:val="ad"/>
        <w:spacing w:line="360" w:lineRule="auto"/>
        <w:ind w:left="1440"/>
        <w:jc w:val="both"/>
        <w:rPr>
          <w:rFonts w:ascii="David" w:hAnsi="David" w:cs="David"/>
          <w:sz w:val="24"/>
          <w:szCs w:val="24"/>
        </w:rPr>
      </w:pPr>
      <w:r>
        <w:rPr>
          <w:rFonts w:ascii="David" w:hAnsi="David" w:cs="David"/>
          <w:b/>
          <w:bCs/>
          <w:sz w:val="24"/>
          <w:szCs w:val="24"/>
          <w:u w:val="single"/>
          <w:rtl/>
        </w:rPr>
        <w:t xml:space="preserve">"עורך אמצעי תקשורת", בעתון - לרבות עורך בפועל, ובשידור - לרבות עורך התכנית שבה נעשה הפרסום; </w:t>
      </w:r>
    </w:p>
    <w:p w:rsidR="0075578C" w:rsidRDefault="0075578C" w:rsidP="0075578C">
      <w:pPr>
        <w:pStyle w:val="ad"/>
        <w:spacing w:line="360" w:lineRule="auto"/>
        <w:ind w:left="1440"/>
        <w:jc w:val="both"/>
        <w:rPr>
          <w:rFonts w:ascii="David" w:hAnsi="David" w:cs="David"/>
          <w:sz w:val="24"/>
          <w:szCs w:val="24"/>
        </w:rPr>
      </w:pPr>
      <w:r>
        <w:rPr>
          <w:rFonts w:ascii="David" w:hAnsi="David" w:cs="David"/>
          <w:b/>
          <w:bCs/>
          <w:sz w:val="24"/>
          <w:szCs w:val="24"/>
          <w:u w:val="single"/>
          <w:rtl/>
        </w:rPr>
        <w:t>"אחראי לאמצעי התקשורת", בעתון - המוציא לאור, ובשידורי רדיו וטלויזיה - מי שאחראי לקיומם</w:t>
      </w:r>
      <w:r>
        <w:rPr>
          <w:rFonts w:ascii="David" w:hAnsi="David" w:cs="David"/>
          <w:b/>
          <w:bCs/>
          <w:sz w:val="24"/>
          <w:szCs w:val="24"/>
          <w:rtl/>
        </w:rPr>
        <w:t>".</w:t>
      </w:r>
    </w:p>
    <w:p w:rsidR="0075578C" w:rsidRDefault="0075578C" w:rsidP="0075578C">
      <w:pPr>
        <w:spacing w:line="360" w:lineRule="auto"/>
        <w:ind w:left="720"/>
        <w:jc w:val="both"/>
        <w:rPr>
          <w:rFonts w:ascii="David" w:hAnsi="David"/>
          <w:rtl/>
        </w:rPr>
      </w:pPr>
      <w:r>
        <w:rPr>
          <w:rFonts w:ascii="David" w:hAnsi="David"/>
          <w:rtl/>
        </w:rPr>
        <w:t>בהלכה הפסוקה ניתנה הדעת לכך שענייננו בחוק ישן, שנכתב לפני כמעט ששה עשורים ויש צורך לעשות את ההתאמות הנדרשות לימינו. מכל מקום, אין כל חולק שבהתאם להלכה הפסוקה, האחריות לפרסום לשון הרע חלה גם באמצעי המדיה המודרניים, ומשכך לא מצאתי לנכון להידרש לעצם ההחלה של הוראות החוק על קבוצת הווטס-אפ מושא תביעה זו.</w:t>
      </w:r>
    </w:p>
    <w:p w:rsidR="005F387C" w:rsidRDefault="005F387C" w:rsidP="0075578C">
      <w:pPr>
        <w:spacing w:line="360" w:lineRule="auto"/>
        <w:ind w:left="720"/>
        <w:jc w:val="both"/>
        <w:rPr>
          <w:rFonts w:ascii="David" w:hAnsi="David"/>
          <w:rtl/>
        </w:rPr>
      </w:pPr>
    </w:p>
    <w:p w:rsidR="0075578C" w:rsidRDefault="0075578C" w:rsidP="0075578C">
      <w:pPr>
        <w:pStyle w:val="ad"/>
        <w:numPr>
          <w:ilvl w:val="0"/>
          <w:numId w:val="1"/>
        </w:numPr>
        <w:spacing w:line="360" w:lineRule="auto"/>
        <w:jc w:val="both"/>
        <w:rPr>
          <w:rFonts w:ascii="David" w:hAnsi="David" w:cs="David"/>
          <w:sz w:val="24"/>
          <w:szCs w:val="24"/>
          <w:rtl/>
        </w:rPr>
      </w:pPr>
      <w:r>
        <w:rPr>
          <w:rFonts w:ascii="David" w:hAnsi="David" w:cs="David"/>
          <w:sz w:val="24"/>
          <w:szCs w:val="24"/>
          <w:rtl/>
        </w:rPr>
        <w:t>כעת,  כאשר הצטיידתי בהוראות החוק</w:t>
      </w:r>
      <w:r w:rsidR="005F387C">
        <w:rPr>
          <w:rFonts w:ascii="David" w:hAnsi="David" w:cs="David" w:hint="cs"/>
          <w:sz w:val="24"/>
          <w:szCs w:val="24"/>
          <w:rtl/>
        </w:rPr>
        <w:t xml:space="preserve"> וההלכה הפסוקה</w:t>
      </w:r>
      <w:r>
        <w:rPr>
          <w:rFonts w:ascii="David" w:hAnsi="David" w:cs="David"/>
          <w:sz w:val="24"/>
          <w:szCs w:val="24"/>
          <w:rtl/>
        </w:rPr>
        <w:t>, אוכל לבחון את המקרה שלפניי.</w:t>
      </w:r>
    </w:p>
    <w:p w:rsidR="0075578C" w:rsidRDefault="0075578C" w:rsidP="0075578C">
      <w:pPr>
        <w:spacing w:line="360" w:lineRule="auto"/>
        <w:jc w:val="both"/>
        <w:rPr>
          <w:rFonts w:ascii="David" w:hAnsi="David"/>
        </w:rPr>
      </w:pPr>
    </w:p>
    <w:p w:rsidR="0075578C" w:rsidRDefault="0075578C" w:rsidP="0075578C">
      <w:pPr>
        <w:spacing w:line="360" w:lineRule="auto"/>
        <w:jc w:val="both"/>
        <w:rPr>
          <w:rFonts w:ascii="David" w:hAnsi="David"/>
          <w:b/>
          <w:bCs/>
          <w:u w:val="single"/>
          <w:rtl/>
        </w:rPr>
      </w:pPr>
      <w:r>
        <w:rPr>
          <w:rFonts w:ascii="David" w:hAnsi="David"/>
          <w:b/>
          <w:bCs/>
          <w:u w:val="single"/>
          <w:rtl/>
        </w:rPr>
        <w:t>לימוד על דרך ההיקש מהלכות שונות שעניינן בצורות פרסום שונות</w:t>
      </w:r>
    </w:p>
    <w:p w:rsidR="0075578C" w:rsidRDefault="0075578C" w:rsidP="0075578C">
      <w:pPr>
        <w:pStyle w:val="ad"/>
        <w:numPr>
          <w:ilvl w:val="0"/>
          <w:numId w:val="1"/>
        </w:numPr>
        <w:spacing w:line="360" w:lineRule="auto"/>
        <w:jc w:val="both"/>
        <w:rPr>
          <w:rFonts w:ascii="David" w:hAnsi="David" w:cs="David"/>
          <w:sz w:val="24"/>
          <w:szCs w:val="24"/>
        </w:rPr>
      </w:pPr>
      <w:r>
        <w:rPr>
          <w:rFonts w:ascii="David" w:hAnsi="David" w:cs="David"/>
          <w:sz w:val="24"/>
          <w:szCs w:val="24"/>
          <w:rtl/>
        </w:rPr>
        <w:t>כפי שציין בצדק ב"כ הנתבעת טרם נמצאה התייחסות בערכאות השונות לתביעת לשון הרע בגין הסרה מקבוצת ווטס-אפ. משכך, לא נותרת לנו ברירה אלא לכתת רגלינו בין ההלכות השונות שנקבעו ביחס לפרסומים שונים וללמוד מהן לענייננו על דרך ההיקש.</w:t>
      </w:r>
    </w:p>
    <w:p w:rsidR="0075578C" w:rsidRDefault="0075578C" w:rsidP="0075578C">
      <w:pPr>
        <w:pStyle w:val="ad"/>
        <w:spacing w:line="360" w:lineRule="auto"/>
        <w:jc w:val="both"/>
        <w:rPr>
          <w:rFonts w:ascii="David" w:hAnsi="David" w:cs="David"/>
          <w:sz w:val="24"/>
          <w:szCs w:val="24"/>
          <w:rtl/>
        </w:rPr>
      </w:pPr>
    </w:p>
    <w:p w:rsidR="0075578C" w:rsidRDefault="0075578C" w:rsidP="0075578C">
      <w:pPr>
        <w:pStyle w:val="ad"/>
        <w:numPr>
          <w:ilvl w:val="0"/>
          <w:numId w:val="1"/>
        </w:numPr>
        <w:spacing w:line="360" w:lineRule="auto"/>
        <w:jc w:val="both"/>
        <w:rPr>
          <w:rFonts w:ascii="David" w:hAnsi="David" w:cs="David"/>
          <w:sz w:val="24"/>
          <w:szCs w:val="24"/>
        </w:rPr>
      </w:pPr>
      <w:r>
        <w:rPr>
          <w:rFonts w:ascii="David" w:hAnsi="David" w:cs="David"/>
          <w:sz w:val="24"/>
          <w:szCs w:val="24"/>
          <w:rtl/>
        </w:rPr>
        <w:t xml:space="preserve">ברע"א 1239/19 </w:t>
      </w:r>
      <w:r>
        <w:rPr>
          <w:rFonts w:ascii="David" w:hAnsi="David" w:cs="David"/>
          <w:b/>
          <w:bCs/>
          <w:sz w:val="24"/>
          <w:szCs w:val="24"/>
          <w:rtl/>
        </w:rPr>
        <w:t xml:space="preserve">יואל שאול נ' חברת ניידלי תקשורת בע"מ </w:t>
      </w:r>
      <w:r>
        <w:rPr>
          <w:rFonts w:ascii="David" w:hAnsi="David" w:cs="David"/>
          <w:sz w:val="24"/>
          <w:szCs w:val="24"/>
          <w:rtl/>
        </w:rPr>
        <w:t xml:space="preserve">(8.1.20. להלן: </w:t>
      </w:r>
      <w:r>
        <w:rPr>
          <w:rFonts w:ascii="David" w:hAnsi="David" w:cs="David"/>
          <w:b/>
          <w:bCs/>
          <w:sz w:val="24"/>
          <w:szCs w:val="24"/>
          <w:rtl/>
        </w:rPr>
        <w:t>עניין שאול</w:t>
      </w:r>
      <w:r>
        <w:rPr>
          <w:rFonts w:ascii="David" w:hAnsi="David" w:cs="David"/>
          <w:sz w:val="24"/>
          <w:szCs w:val="24"/>
          <w:rtl/>
        </w:rPr>
        <w:t>) נדונה השאלה הבאה:</w:t>
      </w:r>
    </w:p>
    <w:p w:rsidR="0075578C" w:rsidRDefault="0075578C" w:rsidP="0075578C">
      <w:pPr>
        <w:pStyle w:val="Ruller40"/>
        <w:ind w:left="1440"/>
        <w:rPr>
          <w:rFonts w:ascii="David" w:eastAsiaTheme="minorHAnsi" w:hAnsi="David" w:cs="David"/>
          <w:b/>
          <w:bCs/>
          <w:spacing w:val="0"/>
          <w:sz w:val="24"/>
          <w:szCs w:val="24"/>
          <w:rtl/>
        </w:rPr>
      </w:pPr>
      <w:r>
        <w:rPr>
          <w:rFonts w:ascii="David" w:eastAsiaTheme="minorHAnsi" w:hAnsi="David" w:cs="David"/>
          <w:b/>
          <w:bCs/>
          <w:spacing w:val="0"/>
          <w:sz w:val="24"/>
          <w:szCs w:val="24"/>
          <w:rtl/>
        </w:rPr>
        <w:t>"פרסום שנעשה ברשת החברתית פייסבוק (</w:t>
      </w:r>
      <w:r>
        <w:rPr>
          <w:rFonts w:ascii="David" w:eastAsiaTheme="minorHAnsi" w:hAnsi="David" w:cs="David"/>
          <w:b/>
          <w:bCs/>
          <w:spacing w:val="0"/>
          <w:sz w:val="24"/>
          <w:szCs w:val="24"/>
        </w:rPr>
        <w:t>Facebook</w:t>
      </w:r>
      <w:r>
        <w:rPr>
          <w:rFonts w:ascii="David" w:eastAsiaTheme="minorHAnsi" w:hAnsi="David" w:cs="David"/>
          <w:b/>
          <w:bCs/>
          <w:spacing w:val="0"/>
          <w:sz w:val="24"/>
          <w:szCs w:val="24"/>
          <w:rtl/>
        </w:rPr>
        <w:t>) זוכה ל"שיתוף" (</w:t>
      </w:r>
      <w:r>
        <w:rPr>
          <w:rFonts w:ascii="David" w:eastAsiaTheme="minorHAnsi" w:hAnsi="David" w:cs="David"/>
          <w:b/>
          <w:bCs/>
          <w:spacing w:val="0"/>
          <w:sz w:val="24"/>
          <w:szCs w:val="24"/>
        </w:rPr>
        <w:t>Share</w:t>
      </w:r>
      <w:r>
        <w:rPr>
          <w:rFonts w:ascii="David" w:eastAsiaTheme="minorHAnsi" w:hAnsi="David" w:cs="David"/>
          <w:b/>
          <w:bCs/>
          <w:spacing w:val="0"/>
          <w:sz w:val="24"/>
          <w:szCs w:val="24"/>
          <w:rtl/>
        </w:rPr>
        <w:t>) או לסימון הידוע כ"לייק" (</w:t>
      </w:r>
      <w:r>
        <w:rPr>
          <w:rFonts w:ascii="David" w:eastAsiaTheme="minorHAnsi" w:hAnsi="David" w:cs="David"/>
          <w:b/>
          <w:bCs/>
          <w:spacing w:val="0"/>
          <w:sz w:val="24"/>
          <w:szCs w:val="24"/>
        </w:rPr>
        <w:t>Like</w:t>
      </w:r>
      <w:r>
        <w:rPr>
          <w:rFonts w:ascii="David" w:eastAsiaTheme="minorHAnsi" w:hAnsi="David" w:cs="David"/>
          <w:b/>
          <w:bCs/>
          <w:spacing w:val="0"/>
          <w:sz w:val="24"/>
          <w:szCs w:val="24"/>
          <w:rtl/>
        </w:rPr>
        <w:t xml:space="preserve">). באותם מקרים שבהם הפרסום המקורי עלה כדי לשון הרע, האם ה"הדהוד" הנוסף שלו בדרך של שיתוף או סימון לייק משמש בסיס לתביעת נזיקין? במילים אחרות, האם פעולות השיתוף והלייק עולות כדי "פרסום" כמובנו </w:t>
      </w:r>
      <w:hyperlink r:id="rId26" w:history="1">
        <w:r>
          <w:rPr>
            <w:rStyle w:val="Hyperlink"/>
            <w:rFonts w:ascii="David" w:eastAsiaTheme="minorHAnsi" w:hAnsi="David" w:cs="David"/>
            <w:b/>
            <w:bCs/>
            <w:spacing w:val="0"/>
            <w:sz w:val="24"/>
            <w:szCs w:val="24"/>
            <w:rtl/>
          </w:rPr>
          <w:t>בסעיף 2</w:t>
        </w:r>
      </w:hyperlink>
      <w:r>
        <w:rPr>
          <w:rFonts w:ascii="David" w:eastAsiaTheme="minorHAnsi" w:hAnsi="David" w:cs="David"/>
          <w:b/>
          <w:bCs/>
          <w:spacing w:val="0"/>
          <w:sz w:val="24"/>
          <w:szCs w:val="24"/>
          <w:rtl/>
        </w:rPr>
        <w:t xml:space="preserve"> ל</w:t>
      </w:r>
      <w:hyperlink r:id="rId27" w:history="1">
        <w:r>
          <w:rPr>
            <w:rStyle w:val="Hyperlink"/>
            <w:rFonts w:ascii="David" w:eastAsiaTheme="minorHAnsi" w:hAnsi="David" w:cs="David"/>
            <w:b/>
            <w:bCs/>
            <w:spacing w:val="0"/>
            <w:sz w:val="24"/>
            <w:szCs w:val="24"/>
            <w:rtl/>
          </w:rPr>
          <w:t>חוק איסור לשון הרע</w:t>
        </w:r>
      </w:hyperlink>
      <w:r>
        <w:rPr>
          <w:rFonts w:ascii="David" w:eastAsiaTheme="minorHAnsi" w:hAnsi="David" w:cs="David"/>
          <w:b/>
          <w:bCs/>
          <w:spacing w:val="0"/>
          <w:sz w:val="24"/>
          <w:szCs w:val="24"/>
          <w:rtl/>
        </w:rPr>
        <w:t>, התשכ"ה-1965 (להלן: חוק איסור לשון הרע או החוק)? זוהי, בתמצית, השאלה שעמדה במרכז ההליך שבפנינו."</w:t>
      </w:r>
    </w:p>
    <w:p w:rsidR="0075578C" w:rsidRDefault="0075578C" w:rsidP="0075578C">
      <w:pPr>
        <w:pStyle w:val="ad"/>
        <w:spacing w:line="360" w:lineRule="auto"/>
        <w:jc w:val="both"/>
        <w:rPr>
          <w:rFonts w:ascii="David" w:hAnsi="David" w:cs="David"/>
          <w:sz w:val="24"/>
          <w:szCs w:val="24"/>
          <w:rtl/>
        </w:rPr>
      </w:pPr>
    </w:p>
    <w:p w:rsidR="0075578C" w:rsidRDefault="0075578C" w:rsidP="0075578C">
      <w:pPr>
        <w:pStyle w:val="ad"/>
        <w:spacing w:line="360" w:lineRule="auto"/>
        <w:jc w:val="both"/>
        <w:rPr>
          <w:rFonts w:ascii="David" w:hAnsi="David" w:cs="David"/>
          <w:sz w:val="24"/>
          <w:szCs w:val="24"/>
          <w:rtl/>
        </w:rPr>
      </w:pPr>
      <w:r>
        <w:rPr>
          <w:rFonts w:ascii="David" w:hAnsi="David" w:cs="David"/>
          <w:sz w:val="24"/>
          <w:szCs w:val="24"/>
          <w:rtl/>
        </w:rPr>
        <w:lastRenderedPageBreak/>
        <w:t>באותו עניין נקבע כי יש לראות בפעולת השיתוף (</w:t>
      </w:r>
      <w:r>
        <w:rPr>
          <w:rFonts w:ascii="David" w:hAnsi="David" w:cs="David"/>
          <w:sz w:val="24"/>
          <w:szCs w:val="24"/>
        </w:rPr>
        <w:t>Share</w:t>
      </w:r>
      <w:r>
        <w:rPr>
          <w:rFonts w:ascii="David" w:hAnsi="David" w:cs="David"/>
          <w:sz w:val="24"/>
          <w:szCs w:val="24"/>
          <w:rtl/>
        </w:rPr>
        <w:t>) ברשתות חברתיות (בשונה מ-לייק) כ</w:t>
      </w:r>
      <w:r>
        <w:rPr>
          <w:rFonts w:ascii="David" w:hAnsi="David" w:cs="David"/>
          <w:b/>
          <w:bCs/>
          <w:sz w:val="24"/>
          <w:szCs w:val="24"/>
          <w:rtl/>
        </w:rPr>
        <w:t>"פרסום"</w:t>
      </w:r>
      <w:r>
        <w:rPr>
          <w:rFonts w:ascii="David" w:hAnsi="David" w:cs="David"/>
          <w:sz w:val="24"/>
          <w:szCs w:val="24"/>
          <w:rtl/>
        </w:rPr>
        <w:t xml:space="preserve"> הבא בגדרי </w:t>
      </w:r>
      <w:hyperlink r:id="rId28" w:history="1">
        <w:r>
          <w:rPr>
            <w:rStyle w:val="Hyperlink"/>
            <w:rFonts w:ascii="David" w:hAnsi="David" w:cs="David"/>
            <w:sz w:val="24"/>
            <w:szCs w:val="24"/>
            <w:rtl/>
          </w:rPr>
          <w:t>חוק איסור לשון הרע</w:t>
        </w:r>
      </w:hyperlink>
      <w:r>
        <w:rPr>
          <w:rFonts w:ascii="David" w:hAnsi="David" w:cs="David"/>
          <w:sz w:val="24"/>
          <w:szCs w:val="24"/>
          <w:rtl/>
        </w:rPr>
        <w:t>, ואשר עשוי להקים עילת תביעה נגד משתמש המשתף תוכן עוולתי. בשולי עניין זה מתייחסת כב' השופטת דפנה ברק ארז בפסק דינה המקיף לסוגיית ה"לייק" וקובעת שאין בלייק משום "פרסום" כדלקמן (פסקאות 42-46):</w:t>
      </w:r>
    </w:p>
    <w:p w:rsidR="0075578C" w:rsidRDefault="0075578C" w:rsidP="0075578C">
      <w:pPr>
        <w:pStyle w:val="ad"/>
        <w:spacing w:line="360" w:lineRule="auto"/>
        <w:ind w:left="1440"/>
        <w:jc w:val="both"/>
        <w:rPr>
          <w:rFonts w:ascii="David" w:hAnsi="David" w:cs="David"/>
          <w:b/>
          <w:bCs/>
          <w:sz w:val="24"/>
          <w:szCs w:val="24"/>
          <w:rtl/>
        </w:rPr>
      </w:pPr>
      <w:r>
        <w:rPr>
          <w:rFonts w:ascii="David" w:hAnsi="David" w:cs="David"/>
          <w:b/>
          <w:bCs/>
          <w:sz w:val="24"/>
          <w:szCs w:val="24"/>
          <w:rtl/>
        </w:rPr>
        <w:t>"</w:t>
      </w:r>
      <w:r>
        <w:rPr>
          <w:rFonts w:ascii="David" w:hAnsi="David" w:cs="David"/>
          <w:b/>
          <w:bCs/>
          <w:sz w:val="24"/>
          <w:szCs w:val="24"/>
          <w:u w:val="single"/>
          <w:rtl/>
        </w:rPr>
        <w:t>בשלב זה של התפתחות הפסיקה לא יכול להיות ספק כי פעולה ישירה של כתיבת "סטטוס" או "פוסט" ברשת החברתית היא אכן פרסום כמובנו בחוק, ועל כן עשויה להקים עילה לתביעה ככל שיש בו משום לשון הרע</w:t>
      </w:r>
      <w:r>
        <w:rPr>
          <w:rFonts w:ascii="David" w:hAnsi="David" w:cs="David"/>
          <w:b/>
          <w:bCs/>
          <w:sz w:val="24"/>
          <w:szCs w:val="24"/>
          <w:rtl/>
        </w:rPr>
        <w:t>.... השאלה המתחדדת בפנינו נוגעת לפעולות שאינן יוצרות מסר חדש ועצמאי ושעיקר מטרתן היא להתייחס לתוכן שפורסם על ידי משתמש אחר ברשת או להדהד אותו, ומכאן המורכבות הכרוכה בהכרעה לגביהן....</w:t>
      </w:r>
    </w:p>
    <w:p w:rsidR="0075578C" w:rsidRDefault="0075578C" w:rsidP="0075578C">
      <w:pPr>
        <w:pStyle w:val="Ruller40"/>
        <w:ind w:left="1440"/>
        <w:rPr>
          <w:rFonts w:ascii="David" w:eastAsiaTheme="minorHAnsi" w:hAnsi="David" w:cs="David"/>
          <w:b/>
          <w:bCs/>
          <w:spacing w:val="0"/>
          <w:sz w:val="24"/>
          <w:szCs w:val="24"/>
          <w:rtl/>
        </w:rPr>
      </w:pPr>
      <w:r>
        <w:rPr>
          <w:rFonts w:ascii="David" w:eastAsiaTheme="minorHAnsi" w:hAnsi="David" w:cs="David"/>
          <w:b/>
          <w:bCs/>
          <w:spacing w:val="0"/>
          <w:sz w:val="24"/>
          <w:szCs w:val="24"/>
          <w:rtl/>
        </w:rPr>
        <w:t xml:space="preserve">.... </w:t>
      </w:r>
      <w:r>
        <w:rPr>
          <w:rFonts w:ascii="David" w:eastAsiaTheme="minorHAnsi" w:hAnsi="David" w:cs="David"/>
          <w:b/>
          <w:bCs/>
          <w:spacing w:val="0"/>
          <w:sz w:val="24"/>
          <w:szCs w:val="24"/>
          <w:u w:val="single"/>
          <w:rtl/>
        </w:rPr>
        <w:t>יש להבחין בין פעולת השיתוף לבין סימון הלייק</w:t>
      </w:r>
      <w:r>
        <w:rPr>
          <w:rFonts w:ascii="David" w:eastAsiaTheme="minorHAnsi" w:hAnsi="David" w:cs="David"/>
          <w:b/>
          <w:bCs/>
          <w:spacing w:val="0"/>
          <w:sz w:val="24"/>
          <w:szCs w:val="24"/>
          <w:rtl/>
        </w:rPr>
        <w:t xml:space="preserve"> (או סימוני "תחושה" דומים) ולקבוע כי </w:t>
      </w:r>
      <w:r>
        <w:rPr>
          <w:rFonts w:ascii="David" w:eastAsiaTheme="minorHAnsi" w:hAnsi="David" w:cs="David"/>
          <w:b/>
          <w:bCs/>
          <w:spacing w:val="0"/>
          <w:sz w:val="24"/>
          <w:szCs w:val="24"/>
          <w:u w:val="single"/>
          <w:rtl/>
        </w:rPr>
        <w:t>רק הראשונה עולה כדי פרסום</w:t>
      </w:r>
      <w:r>
        <w:rPr>
          <w:rFonts w:ascii="David" w:eastAsiaTheme="minorHAnsi" w:hAnsi="David" w:cs="David"/>
          <w:b/>
          <w:bCs/>
          <w:spacing w:val="0"/>
          <w:sz w:val="24"/>
          <w:szCs w:val="24"/>
          <w:rtl/>
        </w:rPr>
        <w:t xml:space="preserve"> כמובנו ב</w:t>
      </w:r>
      <w:hyperlink r:id="rId29" w:history="1">
        <w:r>
          <w:rPr>
            <w:rStyle w:val="Hyperlink"/>
            <w:rFonts w:ascii="David" w:eastAsiaTheme="minorHAnsi" w:hAnsi="David" w:cs="David"/>
            <w:b/>
            <w:bCs/>
            <w:spacing w:val="0"/>
            <w:sz w:val="24"/>
            <w:szCs w:val="24"/>
            <w:rtl/>
          </w:rPr>
          <w:t>חוק איסור לשון הרע</w:t>
        </w:r>
      </w:hyperlink>
      <w:r>
        <w:rPr>
          <w:rFonts w:ascii="David" w:eastAsiaTheme="minorHAnsi" w:hAnsi="David" w:cs="David"/>
          <w:b/>
          <w:bCs/>
          <w:spacing w:val="0"/>
          <w:sz w:val="24"/>
          <w:szCs w:val="24"/>
          <w:rtl/>
        </w:rPr>
        <w:t>.....</w:t>
      </w:r>
    </w:p>
    <w:p w:rsidR="0075578C" w:rsidRDefault="0075578C" w:rsidP="0075578C">
      <w:pPr>
        <w:pStyle w:val="Ruller40"/>
        <w:ind w:left="1440"/>
        <w:rPr>
          <w:rFonts w:ascii="David" w:eastAsiaTheme="minorHAnsi" w:hAnsi="David" w:cs="David"/>
          <w:b/>
          <w:bCs/>
          <w:spacing w:val="0"/>
          <w:sz w:val="24"/>
          <w:szCs w:val="24"/>
          <w:rtl/>
        </w:rPr>
      </w:pPr>
      <w:r>
        <w:rPr>
          <w:rFonts w:ascii="David" w:eastAsiaTheme="minorHAnsi" w:hAnsi="David" w:cs="David"/>
          <w:b/>
          <w:bCs/>
          <w:spacing w:val="0"/>
          <w:sz w:val="24"/>
          <w:szCs w:val="24"/>
          <w:rtl/>
        </w:rPr>
        <w:t xml:space="preserve">פעולת השיתוף יוצרת מעין "עותק" של הפרסום העוולתי אשר יוצג לחבריו או עוקביו של המשתף ברשת החברתית. מדובר אפוא בפעולה של חזרה על פרסום מסוים החושפת אותו למשתמשים נוספים – בדרך כלל, מי שמצוי ברשימת החברים או העוקבים של המשתף, שאולי לא נחשפו לפרסום המקורי. </w:t>
      </w:r>
      <w:r>
        <w:rPr>
          <w:rFonts w:ascii="David" w:eastAsiaTheme="minorHAnsi" w:hAnsi="David" w:cs="David"/>
          <w:b/>
          <w:bCs/>
          <w:spacing w:val="0"/>
          <w:sz w:val="24"/>
          <w:szCs w:val="24"/>
          <w:u w:val="single"/>
          <w:rtl/>
        </w:rPr>
        <w:t>באופן כללי ניתן לומר כי פעולה של שיתוף עשויה להקנות לפרסום מסוים תפוצה נרחבת ותהודה רבה</w:t>
      </w:r>
      <w:r>
        <w:rPr>
          <w:rFonts w:ascii="David" w:eastAsiaTheme="minorHAnsi" w:hAnsi="David" w:cs="David"/>
          <w:b/>
          <w:bCs/>
          <w:spacing w:val="0"/>
          <w:sz w:val="24"/>
          <w:szCs w:val="24"/>
          <w:rtl/>
        </w:rPr>
        <w:t>....</w:t>
      </w:r>
    </w:p>
    <w:p w:rsidR="0075578C" w:rsidRDefault="0075578C" w:rsidP="0075578C">
      <w:pPr>
        <w:pStyle w:val="Ruller40"/>
        <w:ind w:left="1440"/>
        <w:rPr>
          <w:rFonts w:ascii="David" w:eastAsiaTheme="minorHAnsi" w:hAnsi="David" w:cs="David"/>
          <w:b/>
          <w:bCs/>
          <w:spacing w:val="0"/>
          <w:sz w:val="24"/>
          <w:szCs w:val="24"/>
          <w:rtl/>
        </w:rPr>
      </w:pPr>
      <w:r>
        <w:rPr>
          <w:rFonts w:ascii="David" w:eastAsiaTheme="minorHAnsi" w:hAnsi="David" w:cs="David"/>
          <w:b/>
          <w:bCs/>
          <w:spacing w:val="0"/>
          <w:sz w:val="24"/>
          <w:szCs w:val="24"/>
          <w:rtl/>
        </w:rPr>
        <w:t xml:space="preserve">מנגד, </w:t>
      </w:r>
      <w:r>
        <w:rPr>
          <w:rFonts w:ascii="David" w:eastAsiaTheme="minorHAnsi" w:hAnsi="David" w:cs="David"/>
          <w:b/>
          <w:bCs/>
          <w:spacing w:val="0"/>
          <w:sz w:val="24"/>
          <w:szCs w:val="24"/>
          <w:u w:val="single"/>
          <w:rtl/>
        </w:rPr>
        <w:t>קשה לראות בסימון לייק יצירת "עותק" של הדברים וחזרה עליהם</w:t>
      </w:r>
      <w:r>
        <w:rPr>
          <w:rFonts w:ascii="David" w:eastAsiaTheme="minorHAnsi" w:hAnsi="David" w:cs="David"/>
          <w:b/>
          <w:bCs/>
          <w:spacing w:val="0"/>
          <w:sz w:val="24"/>
          <w:szCs w:val="24"/>
          <w:rtl/>
        </w:rPr>
        <w:t xml:space="preserve">. </w:t>
      </w:r>
      <w:r>
        <w:rPr>
          <w:rFonts w:ascii="David" w:eastAsiaTheme="minorHAnsi" w:hAnsi="David" w:cs="David"/>
          <w:b/>
          <w:bCs/>
          <w:spacing w:val="0"/>
          <w:sz w:val="24"/>
          <w:szCs w:val="24"/>
          <w:u w:val="single"/>
          <w:rtl/>
        </w:rPr>
        <w:t>אכן, לעתים האלגוריתם של הרשת החברתית מוביל לעדכונם של משתמשים נוספים ברשת בדבר התרחשותה של הפעולה, וכפועל יוצא מכך משתמשים אלו נחשפים גם לפרסום המקורי מושא הלייק. אולם, במצב דברים זה אין לומר שהמשתמש עצמו</w:t>
      </w:r>
      <w:r>
        <w:rPr>
          <w:rFonts w:ascii="David" w:eastAsiaTheme="minorHAnsi" w:hAnsi="David" w:cs="David"/>
          <w:b/>
          <w:bCs/>
          <w:spacing w:val="0"/>
          <w:sz w:val="24"/>
          <w:szCs w:val="24"/>
          <w:rtl/>
        </w:rPr>
        <w:t xml:space="preserve"> – אשר לא ביקש ליצור עותק של הפרסום המקורי – הוא שחוזר עליו בפני משתמשים אלו, אלא אך משפיע בעקיפין על פעולת האלגוריתם של הרשת החברתית...."</w:t>
      </w:r>
    </w:p>
    <w:p w:rsidR="0075578C" w:rsidRDefault="0075578C" w:rsidP="0075578C">
      <w:pPr>
        <w:pStyle w:val="Ruller40"/>
        <w:ind w:left="720"/>
        <w:rPr>
          <w:rFonts w:ascii="David" w:eastAsiaTheme="minorHAnsi" w:hAnsi="David" w:cs="David"/>
          <w:spacing w:val="0"/>
          <w:sz w:val="24"/>
          <w:szCs w:val="24"/>
          <w:rtl/>
        </w:rPr>
      </w:pPr>
      <w:r>
        <w:rPr>
          <w:rFonts w:ascii="David" w:eastAsiaTheme="minorHAnsi" w:hAnsi="David" w:cs="David"/>
          <w:spacing w:val="0"/>
          <w:sz w:val="24"/>
          <w:szCs w:val="24"/>
          <w:rtl/>
        </w:rPr>
        <w:t xml:space="preserve">הדברים מדברים בעד עצמם: </w:t>
      </w:r>
      <w:r>
        <w:rPr>
          <w:rFonts w:ascii="David" w:eastAsiaTheme="minorHAnsi" w:hAnsi="David" w:cs="David"/>
          <w:b/>
          <w:bCs/>
          <w:spacing w:val="0"/>
          <w:sz w:val="24"/>
          <w:szCs w:val="24"/>
          <w:rtl/>
        </w:rPr>
        <w:t>פעולת לייק אין בה משום פרסום לשון הרע, הגם שיש בה משום פעולת תמיכה אקטיבית בפרסום</w:t>
      </w:r>
      <w:r>
        <w:rPr>
          <w:rFonts w:ascii="David" w:eastAsiaTheme="minorHAnsi" w:hAnsi="David" w:cs="David"/>
          <w:spacing w:val="0"/>
          <w:sz w:val="24"/>
          <w:szCs w:val="24"/>
          <w:rtl/>
        </w:rPr>
        <w:t xml:space="preserve">, אולם אין לה תהודה והדהוד של הפרסום המקורי לקהלים חדשים </w:t>
      </w:r>
      <w:r>
        <w:rPr>
          <w:rFonts w:ascii="David" w:hAnsi="David" w:cs="David"/>
          <w:sz w:val="24"/>
          <w:szCs w:val="24"/>
          <w:rtl/>
        </w:rPr>
        <w:t>(לעניין זה ר' גם חוות דעתה הקצרה של כב' השופטת יעל וילנר באותו עניין)</w:t>
      </w:r>
      <w:r>
        <w:rPr>
          <w:rFonts w:ascii="David" w:eastAsiaTheme="minorHAnsi" w:hAnsi="David" w:cs="David"/>
          <w:spacing w:val="0"/>
          <w:sz w:val="24"/>
          <w:szCs w:val="24"/>
          <w:rtl/>
        </w:rPr>
        <w:t xml:space="preserve">. </w:t>
      </w:r>
      <w:r>
        <w:rPr>
          <w:rFonts w:ascii="David" w:eastAsiaTheme="minorHAnsi" w:hAnsi="David" w:cs="David"/>
          <w:b/>
          <w:bCs/>
          <w:spacing w:val="0"/>
          <w:sz w:val="24"/>
          <w:szCs w:val="24"/>
          <w:rtl/>
        </w:rPr>
        <w:t>כל זאת, גם אם אלגוריתם של הרשת החברתית (כמו במקרה שלפניי) מוביל לעדכון המשתתפים</w:t>
      </w:r>
      <w:r>
        <w:rPr>
          <w:rFonts w:ascii="David" w:eastAsiaTheme="minorHAnsi" w:hAnsi="David" w:cs="David"/>
          <w:spacing w:val="0"/>
          <w:sz w:val="24"/>
          <w:szCs w:val="24"/>
          <w:rtl/>
        </w:rPr>
        <w:t>. אולם אפילו במקרה זה אין בפרסום לייק משום פרסום.</w:t>
      </w:r>
      <w:r>
        <w:rPr>
          <w:rFonts w:ascii="David" w:eastAsiaTheme="minorHAnsi" w:hAnsi="David" w:cs="David"/>
          <w:b/>
          <w:bCs/>
          <w:spacing w:val="0"/>
          <w:sz w:val="24"/>
          <w:szCs w:val="24"/>
          <w:rtl/>
        </w:rPr>
        <w:t xml:space="preserve"> </w:t>
      </w:r>
      <w:r>
        <w:rPr>
          <w:rFonts w:ascii="David" w:eastAsiaTheme="minorHAnsi" w:hAnsi="David" w:cs="David"/>
          <w:spacing w:val="0"/>
          <w:sz w:val="24"/>
          <w:szCs w:val="24"/>
          <w:rtl/>
        </w:rPr>
        <w:t xml:space="preserve">הדברים יפים מקל וחומר לענייננו: ככל שלא היה פרסום אקטיבי ובר קיימא של </w:t>
      </w:r>
      <w:r>
        <w:rPr>
          <w:rFonts w:ascii="David" w:eastAsiaTheme="minorHAnsi" w:hAnsi="David" w:cs="David"/>
          <w:spacing w:val="0"/>
          <w:sz w:val="24"/>
          <w:szCs w:val="24"/>
          <w:rtl/>
        </w:rPr>
        <w:lastRenderedPageBreak/>
        <w:t xml:space="preserve">לשון הרע הרי שאין בכך משום פרסום כהוראת סע' 2 לחוק. ויודגש: במקרה שלפניי (בשונה מפעולת ה"לייק") לא פורסם דבר, לא ברמיזה, לא בין השיטין ולא בכל דרך אחרת. </w:t>
      </w:r>
    </w:p>
    <w:p w:rsidR="0075578C" w:rsidRDefault="0075578C" w:rsidP="0075578C">
      <w:pPr>
        <w:pStyle w:val="ad"/>
        <w:spacing w:line="360" w:lineRule="auto"/>
        <w:ind w:left="1440"/>
        <w:jc w:val="both"/>
        <w:rPr>
          <w:rFonts w:ascii="David" w:hAnsi="David" w:cs="David"/>
          <w:b/>
          <w:bCs/>
          <w:sz w:val="24"/>
          <w:szCs w:val="24"/>
          <w:rtl/>
        </w:rPr>
      </w:pPr>
    </w:p>
    <w:p w:rsidR="0075578C" w:rsidRDefault="0075578C" w:rsidP="0075578C">
      <w:pPr>
        <w:pStyle w:val="ad"/>
        <w:numPr>
          <w:ilvl w:val="0"/>
          <w:numId w:val="1"/>
        </w:numPr>
        <w:spacing w:line="360" w:lineRule="auto"/>
        <w:jc w:val="both"/>
        <w:rPr>
          <w:rFonts w:ascii="David" w:hAnsi="David" w:cs="David"/>
          <w:sz w:val="24"/>
          <w:szCs w:val="24"/>
          <w:rtl/>
        </w:rPr>
      </w:pPr>
      <w:r>
        <w:rPr>
          <w:rFonts w:ascii="David" w:hAnsi="David" w:cs="David"/>
          <w:sz w:val="24"/>
          <w:szCs w:val="24"/>
          <w:rtl/>
        </w:rPr>
        <w:t>יתירה מכך: דומה כי לא ניתן לומר שיש בפעולת ההסרה אף לא משום פרסום פסיבי, באשר פעולת ההסרה אין בה משום פרסום כלל: אין בה לא הודעה בכתב ולא בעל פה, לא בדפוס, לא בציור, דמות, תנועה, צליל או כל אמצעי אחר.</w:t>
      </w:r>
    </w:p>
    <w:p w:rsidR="0075578C" w:rsidRDefault="0075578C" w:rsidP="0075578C">
      <w:pPr>
        <w:pStyle w:val="ad"/>
        <w:spacing w:line="360" w:lineRule="auto"/>
        <w:jc w:val="both"/>
        <w:rPr>
          <w:rFonts w:ascii="David" w:hAnsi="David" w:cs="David"/>
          <w:sz w:val="24"/>
          <w:szCs w:val="24"/>
        </w:rPr>
      </w:pPr>
    </w:p>
    <w:p w:rsidR="0075578C" w:rsidRDefault="0075578C" w:rsidP="0075578C">
      <w:pPr>
        <w:pStyle w:val="ad"/>
        <w:numPr>
          <w:ilvl w:val="0"/>
          <w:numId w:val="1"/>
        </w:numPr>
        <w:spacing w:line="360" w:lineRule="auto"/>
        <w:jc w:val="both"/>
        <w:rPr>
          <w:rFonts w:ascii="David" w:hAnsi="David" w:cs="David"/>
          <w:sz w:val="24"/>
          <w:szCs w:val="24"/>
        </w:rPr>
      </w:pPr>
      <w:r>
        <w:rPr>
          <w:rFonts w:ascii="David" w:hAnsi="David" w:cs="David"/>
          <w:sz w:val="24"/>
          <w:szCs w:val="24"/>
          <w:rtl/>
        </w:rPr>
        <w:t xml:space="preserve">כן אפנה לפסק דין שאליו מפנה ב"כ הנתבעת בסיכומיו, ושעניינו בתביעה לפיצוי בגין לשון הרע במקרה של עיקול רכב ע"י עיריה, בת"א 31089-03-12, </w:t>
      </w:r>
      <w:r>
        <w:rPr>
          <w:rFonts w:ascii="David" w:hAnsi="David" w:cs="David"/>
          <w:b/>
          <w:bCs/>
          <w:sz w:val="24"/>
          <w:szCs w:val="24"/>
          <w:rtl/>
        </w:rPr>
        <w:t>ויסולי נ' עיריית חיפה ואח'</w:t>
      </w:r>
      <w:r>
        <w:rPr>
          <w:rFonts w:ascii="David" w:hAnsi="David" w:cs="David"/>
          <w:sz w:val="24"/>
          <w:szCs w:val="24"/>
          <w:rtl/>
        </w:rPr>
        <w:t xml:space="preserve"> (25.9.16). באותו עניין קבע כב' השופט ערן נוה כי איננו סבור כי יש בכך משום פרסום העולה כדי פגיעה בתובעת. עיקול זה אינו מפורסם ברבים ולכל היותר מי שיודע על כך הם התובעת ואולי מי שהיה רוצה לקנות את רכבה. משכך, הוא קובע כי לא מצא בפעולת העיקול משום פגיעה בשמה הטוב של התובעת. הדברים אמורים מקל וחומר בענייננו, שלא מצאתי כי היה במסגרתו כלל "פרסום".</w:t>
      </w:r>
    </w:p>
    <w:p w:rsidR="0075578C" w:rsidRDefault="0075578C" w:rsidP="0075578C">
      <w:pPr>
        <w:pStyle w:val="ad"/>
        <w:spacing w:line="360" w:lineRule="auto"/>
        <w:jc w:val="both"/>
        <w:rPr>
          <w:rFonts w:ascii="David" w:hAnsi="David" w:cs="David"/>
          <w:sz w:val="24"/>
          <w:szCs w:val="24"/>
        </w:rPr>
      </w:pPr>
    </w:p>
    <w:p w:rsidR="0075578C" w:rsidRDefault="0075578C" w:rsidP="0075578C">
      <w:pPr>
        <w:pStyle w:val="ad"/>
        <w:numPr>
          <w:ilvl w:val="0"/>
          <w:numId w:val="1"/>
        </w:numPr>
        <w:spacing w:line="360" w:lineRule="auto"/>
        <w:jc w:val="both"/>
        <w:rPr>
          <w:rFonts w:ascii="David" w:hAnsi="David" w:cs="David"/>
          <w:sz w:val="24"/>
          <w:szCs w:val="24"/>
        </w:rPr>
      </w:pPr>
      <w:r>
        <w:rPr>
          <w:rFonts w:ascii="David" w:hAnsi="David" w:cs="David"/>
          <w:sz w:val="24"/>
          <w:szCs w:val="24"/>
          <w:rtl/>
        </w:rPr>
        <w:t>בשולי חוות דעתה של השופטת ברק ארז בעניין שאול היא מתייחסת לאינטרסים השונים שיש להגן עליהם: כמו האיזון בין הזכות לחופש הביטוי לבין הזכות לשם טוב, שיקולי מדיניות, חשש מפני הצפת בית המשפט, הקמת מחסום דיוני בפני תובע חסר תום לב, העושה שימוש לרעה בהליכי משפט ועוד. מבחינת הסוגיה שלפניי עולה כי מכל אחד משיקולים אלו בנפרד ומכולם יחדיו יש להגיע למסקנה כי אין מקום להגשת תביעה בגין הסרת חבר מקבוצה: אין כאן לא פרסום, לא מעשה אקטיבי, לא מטרה לפגוע, לא מטרה לבזות אדם בעיני הזולת, ולא פרסום לאדם זולת הנפגע. יתירה מכך: משיקולים של מדיניות משפטית אין מקום לקבל הגשת תביעה זו, שיש בה משום שימוש בזכות משפטית שלא בתום לב, כמו גם פגיעה בחופש הביטוי של הרשתות החברתיות. זאת, במיוחד בשים לב לכך שתביעה זו איננה מפרטת את הפרסום שיש בו משום לשון הרע. ויודגש: העובדה שכתוצר לוואי של הליך ההסרה הודיעה המערכת האוטומטית של ווטס-אפ לתובע ולחברי הקבוצה על עצם ההסרה, אין בה כשלעצמה להקים עילת תביעה, באשר אין בכך משום פרסום ע"י הנתבעת, וודאי שבפרסום זה אין כל מטרה לפגוע בתובע.</w:t>
      </w:r>
    </w:p>
    <w:p w:rsidR="0075578C" w:rsidRDefault="0075578C" w:rsidP="0075578C">
      <w:pPr>
        <w:pStyle w:val="ad"/>
        <w:spacing w:line="360" w:lineRule="auto"/>
        <w:jc w:val="both"/>
        <w:rPr>
          <w:rFonts w:ascii="David" w:hAnsi="David" w:cs="David"/>
          <w:sz w:val="24"/>
          <w:szCs w:val="24"/>
          <w:rtl/>
        </w:rPr>
      </w:pPr>
    </w:p>
    <w:p w:rsidR="0075578C" w:rsidRDefault="0075578C" w:rsidP="0075578C">
      <w:pPr>
        <w:pStyle w:val="ad"/>
        <w:numPr>
          <w:ilvl w:val="0"/>
          <w:numId w:val="1"/>
        </w:numPr>
        <w:spacing w:line="360" w:lineRule="auto"/>
        <w:jc w:val="both"/>
        <w:rPr>
          <w:rFonts w:ascii="David" w:hAnsi="David" w:cs="David"/>
          <w:sz w:val="24"/>
          <w:szCs w:val="24"/>
        </w:rPr>
      </w:pPr>
      <w:r>
        <w:rPr>
          <w:rFonts w:ascii="David" w:hAnsi="David" w:cs="David"/>
          <w:sz w:val="24"/>
          <w:szCs w:val="24"/>
          <w:rtl/>
        </w:rPr>
        <w:t>משכך, אין לי אלא לקבוע כי התובע לא השכיל להצביע על פרסום לשון הרע המקים עילת תביעה.</w:t>
      </w:r>
    </w:p>
    <w:p w:rsidR="0075578C" w:rsidRDefault="0075578C" w:rsidP="0075578C">
      <w:pPr>
        <w:pStyle w:val="ad"/>
        <w:rPr>
          <w:rFonts w:ascii="David" w:hAnsi="David" w:cs="David"/>
          <w:sz w:val="24"/>
          <w:szCs w:val="24"/>
        </w:rPr>
      </w:pPr>
    </w:p>
    <w:p w:rsidR="0075578C" w:rsidRDefault="0075578C" w:rsidP="0075578C">
      <w:pPr>
        <w:pStyle w:val="ad"/>
        <w:numPr>
          <w:ilvl w:val="0"/>
          <w:numId w:val="1"/>
        </w:numPr>
        <w:spacing w:line="360" w:lineRule="auto"/>
        <w:jc w:val="both"/>
        <w:rPr>
          <w:rFonts w:ascii="David" w:hAnsi="David" w:cs="David"/>
          <w:sz w:val="24"/>
          <w:szCs w:val="24"/>
          <w:rtl/>
        </w:rPr>
      </w:pPr>
      <w:r>
        <w:rPr>
          <w:rFonts w:ascii="David" w:hAnsi="David" w:cs="David"/>
          <w:sz w:val="24"/>
          <w:szCs w:val="24"/>
          <w:rtl/>
        </w:rPr>
        <w:t xml:space="preserve">בשולי הדברים אפנה לפסק דינו של כב' השופט אבישי רובס בת"א (חי') 7685-10-16, </w:t>
      </w:r>
      <w:r>
        <w:rPr>
          <w:rFonts w:ascii="David" w:hAnsi="David" w:cs="David"/>
          <w:b/>
          <w:bCs/>
          <w:sz w:val="24"/>
          <w:szCs w:val="24"/>
          <w:rtl/>
        </w:rPr>
        <w:t>צבי (ציקי) אבישר נ' ניר פוטר</w:t>
      </w:r>
      <w:r>
        <w:rPr>
          <w:rFonts w:ascii="David" w:hAnsi="David" w:cs="David"/>
          <w:sz w:val="24"/>
          <w:szCs w:val="24"/>
          <w:rtl/>
        </w:rPr>
        <w:t xml:space="preserve"> (27.9.18), שבמסגרתו נקבעה אחריותו של מנהל קבוצת </w:t>
      </w:r>
      <w:r>
        <w:rPr>
          <w:rFonts w:ascii="David" w:hAnsi="David" w:cs="David"/>
          <w:sz w:val="24"/>
          <w:szCs w:val="24"/>
          <w:rtl/>
        </w:rPr>
        <w:lastRenderedPageBreak/>
        <w:t>פייסבוק לפרסומים פוגעניים של אחרים (ובכללם טרולים, מתחזים) בקבוצה. בהקשר זה הוא קובע (בפסקה 23 לפסק דינו) כי –</w:t>
      </w:r>
    </w:p>
    <w:p w:rsidR="0075578C" w:rsidRDefault="0075578C" w:rsidP="0075578C">
      <w:pPr>
        <w:pStyle w:val="ad"/>
        <w:rPr>
          <w:rFonts w:ascii="David" w:hAnsi="David" w:cs="David"/>
          <w:sz w:val="24"/>
          <w:szCs w:val="24"/>
        </w:rPr>
      </w:pPr>
    </w:p>
    <w:p w:rsidR="0075578C" w:rsidRDefault="0075578C" w:rsidP="0075578C">
      <w:pPr>
        <w:spacing w:line="360" w:lineRule="auto"/>
        <w:ind w:left="1440"/>
        <w:jc w:val="both"/>
        <w:rPr>
          <w:rFonts w:ascii="Arial" w:hAnsi="Arial" w:cstheme="minorBidi"/>
          <w:sz w:val="22"/>
          <w:szCs w:val="22"/>
          <w:rtl/>
        </w:rPr>
      </w:pPr>
      <w:r>
        <w:rPr>
          <w:rFonts w:ascii="David" w:hAnsi="David"/>
          <w:b/>
          <w:bCs/>
          <w:rtl/>
        </w:rPr>
        <w:t>"</w:t>
      </w:r>
      <w:r>
        <w:rPr>
          <w:rFonts w:ascii="David" w:hAnsi="David"/>
          <w:b/>
          <w:bCs/>
          <w:u w:val="single"/>
          <w:rtl/>
        </w:rPr>
        <w:t>ראוי להזהר בהטלת נטל כבד מדי על מנהלי אתרים</w:t>
      </w:r>
      <w:r>
        <w:rPr>
          <w:rFonts w:ascii="David" w:hAnsi="David"/>
          <w:b/>
          <w:bCs/>
          <w:rtl/>
        </w:rPr>
        <w:t xml:space="preserve">, שאין באפשרותם לשאת בו, </w:t>
      </w:r>
      <w:r>
        <w:rPr>
          <w:rFonts w:ascii="David" w:hAnsi="David"/>
          <w:b/>
          <w:bCs/>
          <w:u w:val="single"/>
          <w:rtl/>
        </w:rPr>
        <w:t>ואשר יגרור אחריו פגיעה בחופש הביטוי</w:t>
      </w:r>
      <w:r>
        <w:rPr>
          <w:rFonts w:ascii="David" w:hAnsi="David"/>
          <w:b/>
          <w:bCs/>
          <w:rtl/>
        </w:rPr>
        <w:t>, רק בשל הסיכוי שלא הוסר באופן מיידי פרסום שנטען לגביו כי הוא לשון הרע.</w:t>
      </w:r>
      <w:r>
        <w:rPr>
          <w:rFonts w:ascii="Arial" w:hAnsi="Arial"/>
          <w:rtl/>
        </w:rPr>
        <w:t xml:space="preserve">" </w:t>
      </w:r>
    </w:p>
    <w:p w:rsidR="0075578C" w:rsidRDefault="0075578C" w:rsidP="0075578C">
      <w:pPr>
        <w:pStyle w:val="ad"/>
        <w:spacing w:line="360" w:lineRule="auto"/>
        <w:jc w:val="both"/>
        <w:rPr>
          <w:rFonts w:ascii="David" w:hAnsi="David" w:cs="David"/>
          <w:sz w:val="24"/>
          <w:szCs w:val="24"/>
          <w:rtl/>
        </w:rPr>
      </w:pPr>
      <w:r>
        <w:rPr>
          <w:rFonts w:ascii="David" w:hAnsi="David" w:cs="David"/>
          <w:sz w:val="24"/>
          <w:szCs w:val="24"/>
          <w:rtl/>
        </w:rPr>
        <w:t>כאמור לעיל, משענייננו, במנהלת קבוצה שלא פרסמה דבר, הרי שקבלת התביעה כנגדה תהווה פגיעה אדירה בחופש הביטוי, כמו גם ביכולת הניהול של הקבוצה ובפעילותה.</w:t>
      </w:r>
    </w:p>
    <w:p w:rsidR="0075578C" w:rsidRDefault="0075578C" w:rsidP="0075578C">
      <w:pPr>
        <w:pStyle w:val="ad"/>
        <w:rPr>
          <w:rFonts w:ascii="David" w:hAnsi="David" w:cs="David"/>
          <w:sz w:val="24"/>
          <w:szCs w:val="24"/>
        </w:rPr>
      </w:pPr>
    </w:p>
    <w:p w:rsidR="0075578C" w:rsidRDefault="0075578C" w:rsidP="0075578C">
      <w:pPr>
        <w:pStyle w:val="ad"/>
        <w:numPr>
          <w:ilvl w:val="0"/>
          <w:numId w:val="1"/>
        </w:numPr>
        <w:spacing w:line="360" w:lineRule="auto"/>
        <w:jc w:val="both"/>
        <w:rPr>
          <w:rFonts w:ascii="David" w:hAnsi="David" w:cs="David"/>
          <w:sz w:val="24"/>
          <w:szCs w:val="24"/>
          <w:rtl/>
        </w:rPr>
      </w:pPr>
      <w:r>
        <w:rPr>
          <w:rFonts w:ascii="David" w:hAnsi="David" w:cs="David"/>
          <w:sz w:val="24"/>
          <w:szCs w:val="24"/>
          <w:rtl/>
        </w:rPr>
        <w:t>לא זו אף זו שלא מצאתי בפעולת ההסרה מושא התביעה דנא משום כוונה לפגוע. לעניין זה אפנה ל</w:t>
      </w:r>
      <w:hyperlink r:id="rId30" w:history="1">
        <w:r>
          <w:rPr>
            <w:rStyle w:val="Hyperlink"/>
            <w:rFonts w:ascii="David" w:hAnsi="David" w:cs="David" w:hint="cs"/>
            <w:sz w:val="24"/>
            <w:szCs w:val="24"/>
            <w:rtl/>
          </w:rPr>
          <w:t>רע"א 5022/13</w:t>
        </w:r>
      </w:hyperlink>
      <w:r>
        <w:rPr>
          <w:rFonts w:ascii="David" w:hAnsi="David" w:cs="David"/>
          <w:sz w:val="24"/>
          <w:szCs w:val="24"/>
          <w:rtl/>
        </w:rPr>
        <w:t xml:space="preserve"> </w:t>
      </w:r>
      <w:r>
        <w:rPr>
          <w:rFonts w:ascii="David" w:hAnsi="David" w:cs="David" w:hint="cs"/>
          <w:b/>
          <w:bCs/>
          <w:sz w:val="24"/>
          <w:szCs w:val="24"/>
          <w:rtl/>
        </w:rPr>
        <w:t>הרב אמנון יצחק נ' דנון תקשורת בע"מ</w:t>
      </w:r>
      <w:r>
        <w:rPr>
          <w:rFonts w:ascii="David" w:hAnsi="David" w:cs="David" w:hint="cs"/>
          <w:sz w:val="24"/>
          <w:szCs w:val="24"/>
          <w:rtl/>
        </w:rPr>
        <w:t xml:space="preserve"> (8.9.13). שם דן כב' השופט צבי זילברטל בשאלה מתי יוכח יסוד הכוונה לפגוע. השופט זילברטל מבהיר כי -</w:t>
      </w:r>
    </w:p>
    <w:p w:rsidR="0075578C" w:rsidRDefault="0075578C" w:rsidP="0075578C">
      <w:pPr>
        <w:pStyle w:val="ad"/>
        <w:spacing w:line="360" w:lineRule="auto"/>
        <w:ind w:left="1440"/>
        <w:jc w:val="both"/>
        <w:rPr>
          <w:rFonts w:ascii="David" w:hAnsi="David"/>
          <w:sz w:val="24"/>
          <w:szCs w:val="24"/>
          <w:rtl/>
        </w:rPr>
      </w:pPr>
      <w:r>
        <w:rPr>
          <w:rFonts w:ascii="David" w:hAnsi="David" w:cs="David"/>
          <w:b/>
          <w:bCs/>
          <w:sz w:val="24"/>
          <w:szCs w:val="24"/>
          <w:rtl/>
        </w:rPr>
        <w:t xml:space="preserve">"די יהיה בקיומה של צפיות שהפרסום המעוול יפגע במושא הדברים על מנת שייקבע כי מדובר בפרסום שנעשה בכוונה לפגוע, נמצא שכל פרסום שיש בו לשון הרע, בשל טבעו ככזה, ייחשב כפרסום שנעשה בכוונה לפגוע. </w:t>
      </w:r>
      <w:r>
        <w:rPr>
          <w:rFonts w:ascii="David" w:hAnsi="David" w:cs="David"/>
          <w:b/>
          <w:bCs/>
          <w:sz w:val="24"/>
          <w:szCs w:val="24"/>
          <w:u w:val="single"/>
          <w:rtl/>
        </w:rPr>
        <w:t>נדרש, אפוא, קיומו של יסוד נוסף, של התנהגות זדונית, של כוונה 'של ממש'</w:t>
      </w:r>
      <w:r>
        <w:rPr>
          <w:rFonts w:ascii="David" w:hAnsi="David" w:cs="David"/>
          <w:b/>
          <w:bCs/>
          <w:sz w:val="24"/>
          <w:szCs w:val="24"/>
          <w:rtl/>
        </w:rPr>
        <w:t xml:space="preserve"> לפגוע, שקיומו לא הוכח במקרה דנא. לפיכך ניתן, לכאורה, להתבסס על ההלכות שנקבעו לגבי העבירה הפלילית של פרסום לשון הרע .....". </w:t>
      </w:r>
    </w:p>
    <w:p w:rsidR="0075578C" w:rsidRDefault="0075578C" w:rsidP="0075578C">
      <w:pPr>
        <w:pStyle w:val="ad"/>
        <w:spacing w:line="360" w:lineRule="auto"/>
        <w:jc w:val="both"/>
        <w:rPr>
          <w:rFonts w:ascii="David" w:hAnsi="David" w:cs="David"/>
          <w:sz w:val="24"/>
          <w:szCs w:val="24"/>
          <w:rtl/>
        </w:rPr>
      </w:pPr>
    </w:p>
    <w:p w:rsidR="0075578C" w:rsidRDefault="0075578C" w:rsidP="0075578C">
      <w:pPr>
        <w:pStyle w:val="ad"/>
        <w:spacing w:line="360" w:lineRule="auto"/>
        <w:jc w:val="both"/>
        <w:rPr>
          <w:rFonts w:ascii="David" w:hAnsi="David" w:cs="David"/>
          <w:sz w:val="24"/>
          <w:szCs w:val="24"/>
          <w:rtl/>
        </w:rPr>
      </w:pPr>
      <w:r>
        <w:rPr>
          <w:rFonts w:ascii="David" w:hAnsi="David" w:cs="David"/>
          <w:sz w:val="24"/>
          <w:szCs w:val="24"/>
          <w:rtl/>
        </w:rPr>
        <w:t>כאמור לעיל, לא מצאתי כי פעולת ההסרה יש בה משום התנהגות זדונית של ממש שכוונתה לפגוע, ודומה כי אף התובע מודה בכך, שהנתבעת היא שלוחתם של אחרים, כדבריו לפר' שצוטטו לעיל.</w:t>
      </w:r>
    </w:p>
    <w:p w:rsidR="0075578C" w:rsidRDefault="0075578C" w:rsidP="0075578C">
      <w:pPr>
        <w:pStyle w:val="ad"/>
        <w:spacing w:line="360" w:lineRule="auto"/>
        <w:jc w:val="both"/>
        <w:rPr>
          <w:rFonts w:ascii="David" w:hAnsi="David" w:cs="David"/>
          <w:sz w:val="24"/>
          <w:szCs w:val="24"/>
          <w:rtl/>
        </w:rPr>
      </w:pPr>
    </w:p>
    <w:p w:rsidR="0075578C" w:rsidRDefault="0075578C" w:rsidP="0075578C">
      <w:pPr>
        <w:pStyle w:val="ad"/>
        <w:numPr>
          <w:ilvl w:val="0"/>
          <w:numId w:val="1"/>
        </w:numPr>
        <w:spacing w:line="360" w:lineRule="auto"/>
        <w:jc w:val="both"/>
        <w:rPr>
          <w:rFonts w:ascii="David" w:hAnsi="David" w:cs="David"/>
          <w:sz w:val="24"/>
          <w:szCs w:val="24"/>
        </w:rPr>
      </w:pPr>
      <w:r>
        <w:rPr>
          <w:rFonts w:ascii="David" w:hAnsi="David" w:cs="David"/>
          <w:sz w:val="24"/>
          <w:szCs w:val="24"/>
          <w:rtl/>
        </w:rPr>
        <w:t xml:space="preserve">למעלה מן הנדרש אוסיף, כי הגם שחיוויתי דעתי כי לא מצאתי במקרה שלפניי כל פרסום, וממילא גם לא אמירה פוגענית שיש בה משום לשון הרע, הרי שאין מקום לשמיעת התביעה לגופה, וזאת, נוכח ההלכה שלפיה </w:t>
      </w:r>
      <w:r>
        <w:rPr>
          <w:rFonts w:ascii="David" w:hAnsi="David" w:cs="David"/>
          <w:b/>
          <w:bCs/>
          <w:sz w:val="24"/>
          <w:szCs w:val="24"/>
          <w:rtl/>
        </w:rPr>
        <w:t>כאשר בית המשפט נתקל בקושי פרשני, עליו להעדיף את הפרשנות שלפיה הביטוי איננו לשון הרע</w:t>
      </w:r>
      <w:r>
        <w:rPr>
          <w:rFonts w:ascii="David" w:hAnsi="David" w:cs="David"/>
          <w:sz w:val="24"/>
          <w:szCs w:val="24"/>
          <w:rtl/>
        </w:rPr>
        <w:t xml:space="preserve"> (</w:t>
      </w:r>
      <w:hyperlink r:id="rId31" w:history="1">
        <w:r>
          <w:rPr>
            <w:rStyle w:val="Hyperlink"/>
            <w:rFonts w:ascii="David" w:hAnsi="David" w:cs="David"/>
            <w:sz w:val="24"/>
            <w:szCs w:val="24"/>
            <w:rtl/>
          </w:rPr>
          <w:t xml:space="preserve">ע"א 4534/02 </w:t>
        </w:r>
        <w:r>
          <w:rPr>
            <w:rStyle w:val="Hyperlink"/>
            <w:rFonts w:ascii="David" w:hAnsi="David" w:cs="David"/>
            <w:b/>
            <w:bCs/>
            <w:sz w:val="24"/>
            <w:szCs w:val="24"/>
            <w:rtl/>
          </w:rPr>
          <w:t xml:space="preserve">רשת שוקן בע"מ נגד הרציקוביץ' </w:t>
        </w:r>
        <w:r>
          <w:rPr>
            <w:rStyle w:val="Hyperlink"/>
            <w:rFonts w:ascii="David" w:hAnsi="David" w:cs="David"/>
            <w:sz w:val="24"/>
            <w:szCs w:val="24"/>
            <w:rtl/>
          </w:rPr>
          <w:t xml:space="preserve"> פ"ד נח</w:t>
        </w:r>
      </w:hyperlink>
      <w:r>
        <w:rPr>
          <w:rFonts w:ascii="David" w:hAnsi="David" w:cs="David"/>
          <w:sz w:val="24"/>
          <w:szCs w:val="24"/>
          <w:rtl/>
        </w:rPr>
        <w:t>(3) 558, 570, סיפת פסקה 13 לחוות דעתו של כב' הנשיא אהרון ברק). ברי כי אין מקום לספק בענייננו, אולם גם לו היה קיים ספק כזה הרי שדינו לקולא.</w:t>
      </w:r>
    </w:p>
    <w:p w:rsidR="0075578C" w:rsidRDefault="0075578C" w:rsidP="0075578C">
      <w:pPr>
        <w:spacing w:line="360" w:lineRule="auto"/>
        <w:jc w:val="both"/>
        <w:rPr>
          <w:rFonts w:ascii="David" w:hAnsi="David"/>
          <w:rtl/>
        </w:rPr>
      </w:pPr>
    </w:p>
    <w:p w:rsidR="0075578C" w:rsidRDefault="0075578C" w:rsidP="0075578C">
      <w:pPr>
        <w:spacing w:line="360" w:lineRule="auto"/>
        <w:jc w:val="both"/>
        <w:rPr>
          <w:rFonts w:ascii="David" w:hAnsi="David"/>
          <w:b/>
          <w:bCs/>
          <w:u w:val="single"/>
          <w:rtl/>
        </w:rPr>
      </w:pPr>
      <w:r>
        <w:rPr>
          <w:rFonts w:ascii="David" w:hAnsi="David"/>
          <w:b/>
          <w:bCs/>
          <w:u w:val="single"/>
          <w:rtl/>
        </w:rPr>
        <w:t>סילוק על הסף בתביעות לשון הרע</w:t>
      </w:r>
    </w:p>
    <w:p w:rsidR="0075578C" w:rsidRDefault="0075578C" w:rsidP="0075578C">
      <w:pPr>
        <w:pStyle w:val="ad"/>
        <w:numPr>
          <w:ilvl w:val="0"/>
          <w:numId w:val="1"/>
        </w:numPr>
        <w:spacing w:before="240" w:after="0" w:line="360" w:lineRule="auto"/>
        <w:jc w:val="both"/>
        <w:rPr>
          <w:rFonts w:ascii="David" w:eastAsia="Times New Roman" w:hAnsi="David" w:cs="David"/>
          <w:sz w:val="24"/>
          <w:szCs w:val="24"/>
        </w:rPr>
      </w:pPr>
      <w:r>
        <w:rPr>
          <w:rFonts w:ascii="David" w:eastAsia="Times New Roman" w:hAnsi="David" w:cs="David"/>
          <w:sz w:val="24"/>
          <w:szCs w:val="24"/>
          <w:rtl/>
        </w:rPr>
        <w:t>על פי ההלכה הפסוקה, סילוק על הסף הוא סעד קיצוני ומרחיק לכת. לעניין זה נקבע בהלכה הפסוקה כי -</w:t>
      </w:r>
    </w:p>
    <w:p w:rsidR="0075578C" w:rsidRDefault="0075578C" w:rsidP="0075578C">
      <w:pPr>
        <w:spacing w:before="240" w:line="360" w:lineRule="auto"/>
        <w:ind w:left="1440"/>
        <w:jc w:val="both"/>
        <w:rPr>
          <w:rFonts w:ascii="David" w:hAnsi="David"/>
          <w:rtl/>
        </w:rPr>
      </w:pPr>
      <w:r>
        <w:rPr>
          <w:rFonts w:ascii="David" w:hAnsi="David"/>
          <w:b/>
          <w:bCs/>
          <w:rtl/>
        </w:rPr>
        <w:lastRenderedPageBreak/>
        <w:t>"סעד מרחיק לכת מאד, שמטרתו להציב סכר על סף הדיון המשפטי בפני תובע, המבקש לעבור את הסף, ולהשמיע את ראיותיו ולשטוח את טענותיו לפני השופט היושב לדין. לפיכך, בבוא בית המשפט להכריע בבקשה כזו, עליו לנהוג זהירות יתרה ולעשות שימוש באמצעי חמור זה רק באותם מקרים, בהם ברור לו, לשופט, כי בשום פנים ואופן אין התובע יכול לקבל את הסעד שהוא מבקש על פי העובדות והטענות העולות מתביעתו... דחיה על הסף תיעשה, רק כאשר בית המשפט משוכנע, שגם אם היה נשמע הדיון לגופו, אחד דינו – להדחות ... למצב העובדתי והמשפטי, כפי שהוא משתקף מכתבי הטענות שהוגשו על ידי בעלי הדין, יש פנים לכאן ולכאן, וישנו סיכוי כלשהו, אפילו קלוש, שהתביעה תתקבל, אזי אין למחוק תביעה שכזו על הסף ..."</w:t>
      </w:r>
      <w:r>
        <w:rPr>
          <w:rFonts w:ascii="David" w:hAnsi="David"/>
          <w:rtl/>
        </w:rPr>
        <w:t xml:space="preserve"> (ע"א 335/78, </w:t>
      </w:r>
      <w:r>
        <w:rPr>
          <w:rFonts w:ascii="David" w:hAnsi="David"/>
          <w:b/>
          <w:bCs/>
          <w:rtl/>
        </w:rPr>
        <w:t>יוסף שאלתיאל נ' אריה שני</w:t>
      </w:r>
      <w:r>
        <w:rPr>
          <w:rFonts w:ascii="David" w:hAnsi="David"/>
          <w:rtl/>
        </w:rPr>
        <w:t>, 25.08.1981).</w:t>
      </w:r>
    </w:p>
    <w:p w:rsidR="0075578C" w:rsidRDefault="0075578C" w:rsidP="0075578C">
      <w:pPr>
        <w:pStyle w:val="ad"/>
        <w:spacing w:before="240" w:after="0" w:line="360" w:lineRule="auto"/>
        <w:jc w:val="both"/>
        <w:rPr>
          <w:rFonts w:ascii="David" w:eastAsia="Times New Roman" w:hAnsi="David" w:cs="David"/>
          <w:b/>
          <w:bCs/>
          <w:sz w:val="24"/>
          <w:szCs w:val="24"/>
        </w:rPr>
      </w:pPr>
      <w:r>
        <w:rPr>
          <w:rFonts w:ascii="David" w:eastAsia="Times New Roman" w:hAnsi="David" w:cs="David"/>
          <w:sz w:val="24"/>
          <w:szCs w:val="24"/>
          <w:rtl/>
        </w:rPr>
        <w:t>כן נפסק כי</w:t>
      </w:r>
      <w:r>
        <w:rPr>
          <w:rFonts w:ascii="David" w:eastAsia="Times New Roman" w:hAnsi="David" w:cs="David"/>
          <w:b/>
          <w:bCs/>
          <w:sz w:val="24"/>
          <w:szCs w:val="24"/>
          <w:rtl/>
        </w:rPr>
        <w:t xml:space="preserve"> -</w:t>
      </w:r>
    </w:p>
    <w:p w:rsidR="0075578C" w:rsidRDefault="0075578C" w:rsidP="0075578C">
      <w:pPr>
        <w:pStyle w:val="ad"/>
        <w:spacing w:before="240" w:after="0" w:line="360" w:lineRule="auto"/>
        <w:ind w:left="1440"/>
        <w:jc w:val="both"/>
        <w:rPr>
          <w:rFonts w:ascii="David" w:eastAsia="Times New Roman" w:hAnsi="David" w:cs="David"/>
          <w:noProof/>
          <w:sz w:val="24"/>
          <w:szCs w:val="24"/>
          <w:rtl/>
        </w:rPr>
      </w:pPr>
      <w:r>
        <w:rPr>
          <w:rFonts w:ascii="David" w:eastAsia="Times New Roman" w:hAnsi="David" w:cs="David"/>
          <w:b/>
          <w:bCs/>
          <w:sz w:val="24"/>
          <w:szCs w:val="24"/>
          <w:rtl/>
        </w:rPr>
        <w:t>"די בכך שקיימת אפשרות, אפילו קלושה, שעל-פי העובדות, המהוות את עילת התביעה, יזכה התובע בסעד שהוא מבקש, כדי שהתביעה לא תימחק באיבה"</w:t>
      </w:r>
      <w:r>
        <w:rPr>
          <w:rFonts w:ascii="David" w:eastAsia="Times New Roman" w:hAnsi="David" w:cs="David"/>
          <w:sz w:val="24"/>
          <w:szCs w:val="24"/>
          <w:rtl/>
        </w:rPr>
        <w:t xml:space="preserve"> (ע"א 35/83 36/83, </w:t>
      </w:r>
      <w:r>
        <w:rPr>
          <w:rFonts w:ascii="David" w:eastAsia="Times New Roman" w:hAnsi="David" w:cs="David"/>
          <w:b/>
          <w:bCs/>
          <w:sz w:val="24"/>
          <w:szCs w:val="24"/>
          <w:rtl/>
        </w:rPr>
        <w:t>לאה חסין נ' רחל פלדמן</w:t>
      </w:r>
      <w:r>
        <w:rPr>
          <w:rFonts w:ascii="David" w:eastAsia="Times New Roman" w:hAnsi="David" w:cs="David"/>
          <w:sz w:val="24"/>
          <w:szCs w:val="24"/>
          <w:rtl/>
        </w:rPr>
        <w:t>, פ"ד לז(4) 721, 724-725, 1983).</w:t>
      </w:r>
    </w:p>
    <w:p w:rsidR="0075578C" w:rsidRDefault="0075578C" w:rsidP="0075578C">
      <w:pPr>
        <w:pStyle w:val="ad"/>
        <w:spacing w:before="240" w:after="0" w:line="360" w:lineRule="auto"/>
        <w:jc w:val="both"/>
        <w:rPr>
          <w:rFonts w:ascii="David" w:eastAsia="Times New Roman" w:hAnsi="David" w:cs="David"/>
          <w:sz w:val="24"/>
          <w:szCs w:val="24"/>
          <w:rtl/>
        </w:rPr>
      </w:pPr>
    </w:p>
    <w:p w:rsidR="0075578C" w:rsidRDefault="0075578C" w:rsidP="0075578C">
      <w:pPr>
        <w:pStyle w:val="ad"/>
        <w:numPr>
          <w:ilvl w:val="0"/>
          <w:numId w:val="1"/>
        </w:numPr>
        <w:spacing w:before="240" w:after="0" w:line="360" w:lineRule="auto"/>
        <w:jc w:val="both"/>
        <w:rPr>
          <w:rFonts w:ascii="David" w:eastAsia="Times New Roman" w:hAnsi="David" w:cs="David"/>
          <w:sz w:val="24"/>
          <w:szCs w:val="24"/>
        </w:rPr>
      </w:pPr>
      <w:r>
        <w:rPr>
          <w:rFonts w:ascii="David" w:eastAsia="Times New Roman" w:hAnsi="David" w:cs="David"/>
          <w:sz w:val="24"/>
          <w:szCs w:val="24"/>
          <w:rtl/>
        </w:rPr>
        <w:t xml:space="preserve">מכאן, כעולה מהפסיקה, סעד של מחיקת התביעה על הסף הוא סעד קיצוני, אשר רק במקרים שבית המשפט משוכנע כי דין התביעה להידחות, ייעתר לו בית המשפט, שכן די באפשרות קלושה שהתביעה תתקבל, כדי שהתביעה לא תימחק או תידחה. </w:t>
      </w:r>
    </w:p>
    <w:p w:rsidR="0075578C" w:rsidRDefault="0075578C" w:rsidP="0075578C">
      <w:pPr>
        <w:pStyle w:val="ad"/>
        <w:spacing w:line="360" w:lineRule="auto"/>
        <w:jc w:val="both"/>
        <w:rPr>
          <w:rFonts w:ascii="David" w:hAnsi="David" w:cs="David"/>
          <w:sz w:val="24"/>
          <w:szCs w:val="24"/>
          <w:rtl/>
        </w:rPr>
      </w:pPr>
    </w:p>
    <w:p w:rsidR="0075578C" w:rsidRDefault="0075578C" w:rsidP="0075578C">
      <w:pPr>
        <w:pStyle w:val="ad"/>
        <w:numPr>
          <w:ilvl w:val="0"/>
          <w:numId w:val="1"/>
        </w:numPr>
        <w:spacing w:line="360" w:lineRule="auto"/>
        <w:jc w:val="both"/>
        <w:rPr>
          <w:rFonts w:ascii="David" w:hAnsi="David" w:cs="David"/>
          <w:sz w:val="24"/>
          <w:szCs w:val="24"/>
        </w:rPr>
      </w:pPr>
      <w:r>
        <w:rPr>
          <w:rFonts w:ascii="David" w:hAnsi="David" w:cs="David"/>
          <w:sz w:val="24"/>
          <w:szCs w:val="24"/>
          <w:rtl/>
        </w:rPr>
        <w:t>עם זאת, לא כך הם פני הדברים בתביעת לשון הרע. כידוע, בתביעות שעניינן לשון הרע נקבעו הלכות ייחודיות, בשל הצורך של הנתבע להתגונן מפני אמירה קונקרטית שלטענת התובע אמר אותה. משכך, לא ניתן לכלול בכתב תביעה בגין לשון הרע קביעות סתמיות, שהנתבע איננו יכול להיערך להגנה מפניהן.</w:t>
      </w:r>
    </w:p>
    <w:p w:rsidR="0075578C" w:rsidRDefault="0075578C" w:rsidP="0075578C">
      <w:pPr>
        <w:pStyle w:val="ad"/>
        <w:spacing w:line="360" w:lineRule="auto"/>
        <w:jc w:val="both"/>
        <w:rPr>
          <w:rFonts w:ascii="David" w:hAnsi="David" w:cs="David"/>
          <w:sz w:val="24"/>
          <w:szCs w:val="24"/>
          <w:rtl/>
        </w:rPr>
      </w:pPr>
    </w:p>
    <w:p w:rsidR="0075578C" w:rsidRDefault="0075578C" w:rsidP="0075578C">
      <w:pPr>
        <w:pStyle w:val="ad"/>
        <w:numPr>
          <w:ilvl w:val="0"/>
          <w:numId w:val="1"/>
        </w:numPr>
        <w:spacing w:line="360" w:lineRule="auto"/>
        <w:jc w:val="both"/>
        <w:rPr>
          <w:rFonts w:ascii="David" w:hAnsi="David" w:cs="David"/>
          <w:sz w:val="24"/>
          <w:szCs w:val="24"/>
        </w:rPr>
      </w:pPr>
      <w:r>
        <w:rPr>
          <w:rFonts w:ascii="David" w:hAnsi="David" w:cs="David"/>
          <w:sz w:val="24"/>
          <w:szCs w:val="24"/>
          <w:rtl/>
        </w:rPr>
        <w:t>לעניין זה אפנה להלכה ב</w:t>
      </w:r>
      <w:hyperlink r:id="rId32" w:history="1">
        <w:r>
          <w:rPr>
            <w:rStyle w:val="Hyperlink"/>
            <w:rFonts w:ascii="David" w:hAnsi="David" w:cs="David"/>
            <w:sz w:val="24"/>
            <w:szCs w:val="24"/>
            <w:rtl/>
          </w:rPr>
          <w:t>רע"א 2291/12</w:t>
        </w:r>
      </w:hyperlink>
      <w:r>
        <w:rPr>
          <w:rFonts w:ascii="David" w:hAnsi="David" w:cs="David"/>
          <w:sz w:val="24"/>
          <w:szCs w:val="24"/>
          <w:rtl/>
        </w:rPr>
        <w:t xml:space="preserve"> </w:t>
      </w:r>
      <w:r>
        <w:rPr>
          <w:rFonts w:ascii="David" w:hAnsi="David" w:cs="David" w:hint="cs"/>
          <w:b/>
          <w:bCs/>
          <w:sz w:val="24"/>
          <w:szCs w:val="24"/>
          <w:rtl/>
        </w:rPr>
        <w:t>מרדכי הלפרין נ' חיים איצקוביץ</w:t>
      </w:r>
      <w:r>
        <w:rPr>
          <w:rFonts w:ascii="David" w:hAnsi="David" w:cs="David" w:hint="cs"/>
          <w:sz w:val="24"/>
          <w:szCs w:val="24"/>
          <w:rtl/>
        </w:rPr>
        <w:t xml:space="preserve"> (25.6.12):</w:t>
      </w:r>
    </w:p>
    <w:p w:rsidR="0075578C" w:rsidRDefault="0075578C" w:rsidP="0075578C">
      <w:pPr>
        <w:spacing w:line="360" w:lineRule="auto"/>
        <w:ind w:left="1440"/>
        <w:jc w:val="both"/>
        <w:rPr>
          <w:rFonts w:ascii="David" w:hAnsi="David"/>
          <w:rtl/>
        </w:rPr>
      </w:pPr>
      <w:r>
        <w:rPr>
          <w:rFonts w:ascii="David" w:hAnsi="David"/>
          <w:b/>
          <w:bCs/>
          <w:rtl/>
        </w:rPr>
        <w:t xml:space="preserve">"יתרה מכך, כאשר מדובר בהוצאת דיבה, </w:t>
      </w:r>
      <w:r>
        <w:rPr>
          <w:rFonts w:ascii="David" w:hAnsi="David"/>
          <w:b/>
          <w:bCs/>
          <w:u w:val="single"/>
          <w:rtl/>
        </w:rPr>
        <w:t>המילים (או המעשה, לפי העניין) מהוות את הבסיס העיקרי להקמת העילה, ובלעדיהן אין. על כן, כבר נקבע, כי התובע על פי החוק אינו יכול להסתפק בטענה שהנתבע הוציא דיבתו, ועליו לציין בכתב תביעתו את "פירוט המילים, בכתב או בע"פ, בהן השתמש התובע" ואשר מולידות לטענתו את עילת התביעה</w:t>
      </w:r>
      <w:r>
        <w:rPr>
          <w:rFonts w:ascii="David" w:hAnsi="David"/>
          <w:b/>
          <w:bCs/>
          <w:rtl/>
        </w:rPr>
        <w:t xml:space="preserve"> (</w:t>
      </w:r>
      <w:hyperlink r:id="rId33" w:history="1">
        <w:r>
          <w:rPr>
            <w:rStyle w:val="Hyperlink"/>
            <w:rFonts w:ascii="David" w:hAnsi="David"/>
            <w:b/>
            <w:bCs/>
            <w:rtl/>
          </w:rPr>
          <w:t>ע"א 594/66 אהרוני נ' בנק י. ל. פויכטונגר בע"מ, פ"ד כא</w:t>
        </w:r>
      </w:hyperlink>
      <w:r>
        <w:rPr>
          <w:rFonts w:ascii="David" w:hAnsi="David"/>
          <w:b/>
          <w:bCs/>
          <w:rtl/>
        </w:rPr>
        <w:t xml:space="preserve">(1), 160, 163 (1967); </w:t>
      </w:r>
      <w:hyperlink r:id="rId34" w:history="1">
        <w:r>
          <w:rPr>
            <w:rStyle w:val="Hyperlink"/>
            <w:rFonts w:ascii="David" w:hAnsi="David"/>
            <w:b/>
            <w:bCs/>
            <w:rtl/>
          </w:rPr>
          <w:t>המר' (מחוזי י-ם) 688/66 בנק י. ל. פויכטונגר בע"מ נ' אהרוני, פ"מ נד</w:t>
        </w:r>
      </w:hyperlink>
      <w:r>
        <w:rPr>
          <w:rFonts w:ascii="David" w:hAnsi="David"/>
          <w:b/>
          <w:bCs/>
          <w:rtl/>
        </w:rPr>
        <w:t xml:space="preserve"> 291, 295-293 (1966); </w:t>
      </w:r>
      <w:hyperlink r:id="rId35" w:history="1">
        <w:r>
          <w:rPr>
            <w:rStyle w:val="Hyperlink"/>
            <w:rFonts w:ascii="David" w:hAnsi="David"/>
            <w:b/>
            <w:bCs/>
            <w:rtl/>
          </w:rPr>
          <w:t xml:space="preserve">ת"פ (מחוזי י-ם) </w:t>
        </w:r>
        <w:r>
          <w:rPr>
            <w:rStyle w:val="Hyperlink"/>
            <w:rFonts w:ascii="David" w:hAnsi="David"/>
            <w:b/>
            <w:bCs/>
            <w:rtl/>
          </w:rPr>
          <w:lastRenderedPageBreak/>
          <w:t>119/53</w:t>
        </w:r>
      </w:hyperlink>
      <w:r>
        <w:rPr>
          <w:rFonts w:ascii="David" w:hAnsi="David"/>
          <w:b/>
          <w:bCs/>
          <w:color w:val="000000"/>
          <w:rtl/>
        </w:rPr>
        <w:t xml:space="preserve"> היועץ המשפטי לממשלת ישראל נ' "קול העם", בערבון מוגבל, </w:t>
      </w:r>
      <w:r>
        <w:rPr>
          <w:rFonts w:ascii="David" w:hAnsi="David"/>
          <w:b/>
          <w:bCs/>
          <w:rtl/>
        </w:rPr>
        <w:t xml:space="preserve">[פורסם בנבו] </w:t>
      </w:r>
      <w:r>
        <w:rPr>
          <w:rFonts w:ascii="David" w:hAnsi="David"/>
          <w:b/>
          <w:bCs/>
          <w:color w:val="000000"/>
          <w:rtl/>
        </w:rPr>
        <w:t>פ"מ ח</w:t>
      </w:r>
      <w:r>
        <w:rPr>
          <w:rFonts w:ascii="David" w:hAnsi="David"/>
          <w:b/>
          <w:bCs/>
          <w:rtl/>
        </w:rPr>
        <w:t xml:space="preserve"> 396 (1953), בפס' 5 לפסק דינו של השופט ב' הלוי; אורי </w:t>
      </w:r>
      <w:hyperlink r:id="rId36" w:history="1">
        <w:r>
          <w:rPr>
            <w:rStyle w:val="Hyperlink"/>
            <w:rFonts w:ascii="David" w:hAnsi="David"/>
            <w:b/>
            <w:bCs/>
            <w:rtl/>
          </w:rPr>
          <w:t>שנהר דיני לשון הרע</w:t>
        </w:r>
      </w:hyperlink>
      <w:r>
        <w:rPr>
          <w:rFonts w:ascii="David" w:hAnsi="David"/>
          <w:b/>
          <w:bCs/>
          <w:rtl/>
        </w:rPr>
        <w:t xml:space="preserve"> 421-420 (1997); ראו גם: </w:t>
      </w:r>
      <w:r>
        <w:rPr>
          <w:rFonts w:ascii="David" w:hAnsi="David"/>
          <w:b/>
          <w:bCs/>
        </w:rPr>
        <w:t>Collins v Jones [1955] 1 Q.B. 564, at 571</w:t>
      </w:r>
      <w:r>
        <w:rPr>
          <w:rFonts w:ascii="David" w:hAnsi="David"/>
          <w:b/>
          <w:bCs/>
          <w:rtl/>
        </w:rPr>
        <w:t xml:space="preserve">). אמנם, </w:t>
      </w:r>
      <w:r>
        <w:rPr>
          <w:rFonts w:ascii="David" w:hAnsi="David"/>
          <w:b/>
          <w:bCs/>
          <w:u w:val="single"/>
          <w:rtl/>
        </w:rPr>
        <w:t>כאשר פרסום לשון הרע נעשה בכתב, מהווה אותו פרסום "מסמך מהותי", והתובע צריך לצרפו לכתב התביעה</w:t>
      </w:r>
      <w:r>
        <w:rPr>
          <w:rFonts w:ascii="David" w:hAnsi="David"/>
          <w:b/>
          <w:bCs/>
          <w:rtl/>
        </w:rPr>
        <w:t xml:space="preserve"> (סדרי הדין האזרחי, בעמ' 177-174)" </w:t>
      </w:r>
      <w:r>
        <w:rPr>
          <w:rFonts w:ascii="David" w:hAnsi="David"/>
          <w:rtl/>
        </w:rPr>
        <w:t xml:space="preserve"> </w:t>
      </w:r>
    </w:p>
    <w:p w:rsidR="005F387C" w:rsidRDefault="005F387C" w:rsidP="0075578C">
      <w:pPr>
        <w:spacing w:line="360" w:lineRule="auto"/>
        <w:ind w:left="1440"/>
        <w:jc w:val="both"/>
        <w:rPr>
          <w:rFonts w:ascii="David" w:hAnsi="David"/>
          <w:rtl/>
        </w:rPr>
      </w:pPr>
    </w:p>
    <w:p w:rsidR="0075578C" w:rsidRDefault="0075578C" w:rsidP="0075578C">
      <w:pPr>
        <w:pStyle w:val="ad"/>
        <w:numPr>
          <w:ilvl w:val="0"/>
          <w:numId w:val="1"/>
        </w:numPr>
        <w:spacing w:line="360" w:lineRule="auto"/>
        <w:jc w:val="both"/>
        <w:rPr>
          <w:rFonts w:ascii="David" w:hAnsi="David" w:cs="David"/>
          <w:b/>
          <w:bCs/>
          <w:sz w:val="24"/>
          <w:szCs w:val="24"/>
          <w:rtl/>
        </w:rPr>
      </w:pPr>
      <w:r>
        <w:rPr>
          <w:rFonts w:ascii="David" w:hAnsi="David" w:cs="David"/>
          <w:sz w:val="24"/>
          <w:szCs w:val="24"/>
          <w:rtl/>
        </w:rPr>
        <w:t>כן נקבע ב</w:t>
      </w:r>
      <w:hyperlink r:id="rId37" w:history="1">
        <w:r>
          <w:rPr>
            <w:rStyle w:val="Hyperlink"/>
            <w:rFonts w:ascii="David" w:hAnsi="David" w:cs="David"/>
            <w:sz w:val="24"/>
            <w:szCs w:val="24"/>
            <w:rtl/>
          </w:rPr>
          <w:t>סע"ש (ב"ש) 1268-11-15</w:t>
        </w:r>
      </w:hyperlink>
      <w:r>
        <w:rPr>
          <w:rFonts w:ascii="David" w:hAnsi="David" w:cs="David"/>
          <w:b/>
          <w:bCs/>
          <w:sz w:val="24"/>
          <w:szCs w:val="24"/>
          <w:rtl/>
        </w:rPr>
        <w:t xml:space="preserve"> </w:t>
      </w:r>
      <w:r>
        <w:rPr>
          <w:rFonts w:ascii="David" w:hAnsi="David" w:cs="David" w:hint="cs"/>
          <w:b/>
          <w:bCs/>
          <w:sz w:val="24"/>
          <w:szCs w:val="24"/>
          <w:rtl/>
        </w:rPr>
        <w:t xml:space="preserve">ליאת שמואל נ' חיצים אגש"ק בע"מ </w:t>
      </w:r>
      <w:r>
        <w:rPr>
          <w:rFonts w:ascii="David" w:hAnsi="David" w:cs="David"/>
          <w:sz w:val="24"/>
          <w:szCs w:val="24"/>
          <w:rtl/>
        </w:rPr>
        <w:t>(24.7.16) כדלקמן:</w:t>
      </w:r>
    </w:p>
    <w:p w:rsidR="0075578C" w:rsidRDefault="0075578C" w:rsidP="0075578C">
      <w:pPr>
        <w:spacing w:line="360" w:lineRule="auto"/>
        <w:ind w:left="1440"/>
        <w:jc w:val="both"/>
        <w:rPr>
          <w:rFonts w:ascii="David" w:hAnsi="David"/>
          <w:b/>
          <w:bCs/>
          <w:rtl/>
        </w:rPr>
      </w:pPr>
      <w:r>
        <w:rPr>
          <w:rFonts w:ascii="David" w:hAnsi="David"/>
          <w:b/>
          <w:bCs/>
          <w:rtl/>
        </w:rPr>
        <w:t xml:space="preserve">"באשר לתביעת התובעת לפי </w:t>
      </w:r>
      <w:hyperlink r:id="rId38" w:history="1">
        <w:r>
          <w:rPr>
            <w:rStyle w:val="Hyperlink"/>
            <w:rFonts w:ascii="David" w:hAnsi="David"/>
            <w:b/>
            <w:bCs/>
            <w:rtl/>
          </w:rPr>
          <w:t>חוק איסור לשון הרע</w:t>
        </w:r>
      </w:hyperlink>
      <w:r>
        <w:rPr>
          <w:rFonts w:ascii="David" w:hAnsi="David"/>
          <w:b/>
          <w:bCs/>
          <w:rtl/>
        </w:rPr>
        <w:t xml:space="preserve"> – ב</w:t>
      </w:r>
      <w:r>
        <w:rPr>
          <w:rFonts w:ascii="David" w:hAnsi="David"/>
          <w:b/>
          <w:bCs/>
          <w:color w:val="000000"/>
          <w:rtl/>
        </w:rPr>
        <w:t xml:space="preserve">בר"ע 7192-02-13 </w:t>
      </w:r>
      <w:r>
        <w:rPr>
          <w:rFonts w:ascii="David" w:hAnsi="David"/>
          <w:b/>
          <w:bCs/>
          <w:rtl/>
        </w:rPr>
        <w:t xml:space="preserve"> די.אס. פי. גרופ בע"מ נ' אלי אסולין, מיום 26.5.13 סיכמה השופטת לאה גליקסמן בסעיפים 9 ו-10 להחלטתה את חובת הפירוט המוטלת על תובע בתביעה על פי </w:t>
      </w:r>
      <w:hyperlink r:id="rId39" w:history="1">
        <w:r>
          <w:rPr>
            <w:rStyle w:val="Hyperlink"/>
            <w:rFonts w:ascii="David" w:hAnsi="David"/>
            <w:b/>
            <w:bCs/>
            <w:rtl/>
          </w:rPr>
          <w:t>חוק איסור לשון הרע</w:t>
        </w:r>
      </w:hyperlink>
      <w:r>
        <w:rPr>
          <w:rFonts w:ascii="David" w:hAnsi="David"/>
          <w:b/>
          <w:bCs/>
          <w:rtl/>
        </w:rPr>
        <w:t>, התשכ"ה – 1965:</w:t>
      </w:r>
    </w:p>
    <w:p w:rsidR="0075578C" w:rsidRDefault="0075578C" w:rsidP="0075578C">
      <w:pPr>
        <w:spacing w:line="360" w:lineRule="auto"/>
        <w:ind w:left="1440"/>
        <w:jc w:val="both"/>
        <w:rPr>
          <w:rFonts w:ascii="David" w:hAnsi="David"/>
          <w:b/>
          <w:bCs/>
          <w:rtl/>
        </w:rPr>
      </w:pPr>
      <w:r>
        <w:rPr>
          <w:rFonts w:ascii="David" w:hAnsi="David"/>
          <w:b/>
          <w:bCs/>
          <w:rtl/>
        </w:rPr>
        <w:t xml:space="preserve">".9. נאמר בספרו של אורי </w:t>
      </w:r>
      <w:hyperlink r:id="rId40" w:history="1">
        <w:r>
          <w:rPr>
            <w:rStyle w:val="Hyperlink"/>
            <w:rFonts w:ascii="David" w:hAnsi="David"/>
            <w:b/>
            <w:bCs/>
            <w:rtl/>
          </w:rPr>
          <w:t>שנהר, דיני לשון הרע</w:t>
        </w:r>
      </w:hyperlink>
      <w:r>
        <w:rPr>
          <w:rFonts w:ascii="David" w:hAnsi="David"/>
          <w:b/>
          <w:bCs/>
          <w:rtl/>
        </w:rPr>
        <w:t xml:space="preserve"> (1997) כמפורט להלן:</w:t>
      </w:r>
    </w:p>
    <w:p w:rsidR="0075578C" w:rsidRDefault="0075578C" w:rsidP="0075578C">
      <w:pPr>
        <w:spacing w:line="360" w:lineRule="auto"/>
        <w:ind w:left="1440"/>
        <w:jc w:val="both"/>
        <w:rPr>
          <w:rFonts w:ascii="David" w:hAnsi="David"/>
          <w:b/>
          <w:bCs/>
        </w:rPr>
      </w:pPr>
      <w:r>
        <w:rPr>
          <w:rFonts w:ascii="David" w:hAnsi="David"/>
          <w:b/>
          <w:bCs/>
          <w:rtl/>
        </w:rPr>
        <w:t>"</w:t>
      </w:r>
      <w:r>
        <w:rPr>
          <w:rFonts w:ascii="David" w:hAnsi="David"/>
          <w:b/>
          <w:bCs/>
          <w:u w:val="single"/>
          <w:rtl/>
        </w:rPr>
        <w:t>בכתב תביעה במשפט לשון הרע יש להצביע על העובדות המקימות את כל מרכיביה של עילת העוולה האזרחית, היינו: את מרכיב ה"פרסום"; מרכיב "לשון הרע"; והעובדות שמהן נגזרת אחריותו של כל אחד מהנתבעים. תובע אינו יכול להסתפק בטענה שהנתבע הוציא עליו דיבה, והוא חייב לציין בכתב תביעתו את "פירוט המילים, בכתב או בע"פ, שבהם השתמש הנתבע". כאשר לשון הרע נאמרה בעל פה, על התובע לציין בכתב תביעתו את המילים המדוייקות שנאמרו, והוא אינו יכול להסתפק במסירת תוכנן</w:t>
      </w:r>
      <w:r>
        <w:rPr>
          <w:rFonts w:ascii="David" w:hAnsi="David"/>
          <w:b/>
          <w:bCs/>
          <w:rtl/>
        </w:rPr>
        <w:t>. כאשר פרסום לשון הרע נעשה בכתב, מהווה אותו פרסום "מסמך מהותי" והתובע צריך לצרפו לכתב התביעה". (ע' 421).</w:t>
      </w:r>
    </w:p>
    <w:p w:rsidR="0075578C" w:rsidRDefault="0075578C" w:rsidP="0075578C">
      <w:pPr>
        <w:spacing w:line="360" w:lineRule="auto"/>
        <w:ind w:left="1440"/>
        <w:jc w:val="both"/>
        <w:rPr>
          <w:rFonts w:ascii="David" w:hAnsi="David"/>
          <w:b/>
          <w:bCs/>
          <w:rtl/>
        </w:rPr>
      </w:pPr>
      <w:r>
        <w:rPr>
          <w:rFonts w:ascii="David" w:hAnsi="David"/>
          <w:b/>
          <w:bCs/>
          <w:rtl/>
        </w:rPr>
        <w:t>10. בהקשר לחובת הפירוט המוטלת על תובע בתביעה בגין פרסום לשון הרע נקבע בפסיקה כי - "כאשר מדובר בהוצאת דיבה, המילים (או המעשה, לפי העניין), מהוות את הבסיס העיקרי להקמת העילה ובלעדיהן אין. על כן, כבר נקבע, כי התובע על פי החוק אינו יכול להסתפק בטענה שהנתבע הוציא את דיבתו, ועליו לציין בכתב תביעתו "את פירוט המילים, בכתב או בע"פ, בהן השתמש הנתבע", ואשר מולידות לטענתו את עילת התביעה..."</w:t>
      </w:r>
    </w:p>
    <w:p w:rsidR="005F387C" w:rsidRDefault="005F387C" w:rsidP="0075578C">
      <w:pPr>
        <w:spacing w:line="360" w:lineRule="auto"/>
        <w:ind w:left="1440"/>
        <w:jc w:val="both"/>
        <w:rPr>
          <w:rFonts w:ascii="David" w:hAnsi="David"/>
          <w:b/>
          <w:bCs/>
          <w:rtl/>
        </w:rPr>
      </w:pPr>
    </w:p>
    <w:p w:rsidR="0075578C" w:rsidRDefault="0075578C" w:rsidP="0075578C">
      <w:pPr>
        <w:pStyle w:val="ad"/>
        <w:numPr>
          <w:ilvl w:val="0"/>
          <w:numId w:val="1"/>
        </w:numPr>
        <w:spacing w:line="360" w:lineRule="auto"/>
        <w:jc w:val="both"/>
        <w:rPr>
          <w:rFonts w:ascii="David" w:hAnsi="David" w:cs="David"/>
          <w:sz w:val="24"/>
          <w:szCs w:val="24"/>
          <w:rtl/>
        </w:rPr>
      </w:pPr>
      <w:r>
        <w:rPr>
          <w:rFonts w:ascii="David" w:hAnsi="David" w:cs="David"/>
          <w:sz w:val="24"/>
          <w:szCs w:val="24"/>
          <w:rtl/>
        </w:rPr>
        <w:t>הדברים חזרו ונשנו ב</w:t>
      </w:r>
      <w:hyperlink r:id="rId41" w:history="1">
        <w:r>
          <w:rPr>
            <w:rStyle w:val="Hyperlink"/>
            <w:rFonts w:ascii="David" w:hAnsi="David" w:cs="David"/>
            <w:sz w:val="24"/>
            <w:szCs w:val="24"/>
            <w:rtl/>
          </w:rPr>
          <w:t>ת"א (ב"ש) 42724-07-17</w:t>
        </w:r>
      </w:hyperlink>
      <w:r>
        <w:rPr>
          <w:rFonts w:ascii="David" w:hAnsi="David" w:cs="David"/>
          <w:sz w:val="24"/>
          <w:szCs w:val="24"/>
          <w:rtl/>
        </w:rPr>
        <w:t xml:space="preserve"> </w:t>
      </w:r>
      <w:r>
        <w:rPr>
          <w:rFonts w:ascii="David" w:hAnsi="David" w:cs="David" w:hint="cs"/>
          <w:b/>
          <w:bCs/>
          <w:sz w:val="24"/>
          <w:szCs w:val="24"/>
          <w:rtl/>
        </w:rPr>
        <w:t xml:space="preserve">יוסף אנידג'ר נ' יניב הגי </w:t>
      </w:r>
      <w:r>
        <w:rPr>
          <w:rFonts w:ascii="David" w:hAnsi="David" w:cs="David" w:hint="cs"/>
          <w:sz w:val="24"/>
          <w:szCs w:val="24"/>
          <w:rtl/>
        </w:rPr>
        <w:t>(21.2.19)</w:t>
      </w:r>
    </w:p>
    <w:p w:rsidR="005224FA" w:rsidRDefault="0075578C" w:rsidP="0075578C">
      <w:pPr>
        <w:spacing w:line="360" w:lineRule="auto"/>
        <w:ind w:left="1440"/>
        <w:contextualSpacing/>
        <w:jc w:val="both"/>
        <w:rPr>
          <w:rFonts w:ascii="David" w:hAnsi="David"/>
          <w:b/>
          <w:bCs/>
          <w:rtl/>
        </w:rPr>
      </w:pPr>
      <w:r>
        <w:rPr>
          <w:rFonts w:ascii="David" w:hAnsi="David"/>
          <w:b/>
          <w:bCs/>
          <w:rtl/>
        </w:rPr>
        <w:t>"</w:t>
      </w:r>
      <w:r>
        <w:rPr>
          <w:rFonts w:ascii="David" w:hAnsi="David"/>
          <w:b/>
          <w:bCs/>
          <w:u w:val="single"/>
          <w:rtl/>
        </w:rPr>
        <w:t xml:space="preserve">היעדר הפירוט והביסוס הנדרש מהווה מכשול חמור אף יותר כאשר עסקינן בעילת תביעה בלשון הרע. על שכמו של תובע המבקש לתבוע בעילת לשון הרע </w:t>
      </w:r>
      <w:r>
        <w:rPr>
          <w:rFonts w:ascii="David" w:hAnsi="David"/>
          <w:b/>
          <w:bCs/>
          <w:u w:val="single"/>
          <w:rtl/>
        </w:rPr>
        <w:lastRenderedPageBreak/>
        <w:t>מוטלת החובה להצביע ולפרט את כל רכיביה של עילת לשון הרע הנטענת</w:t>
      </w:r>
      <w:r>
        <w:rPr>
          <w:rFonts w:ascii="David" w:hAnsi="David"/>
          <w:b/>
          <w:bCs/>
          <w:rtl/>
        </w:rPr>
        <w:t xml:space="preserve">...... (על "הנטל" המוטל על שכמו של תובע בעילת לשון ראו בספרו של שנהר, בעמודים 419-422. ובייחוד, לענייננו, ראו בעמוד 428 והערה 88 וההפניות שם)". </w:t>
      </w:r>
    </w:p>
    <w:p w:rsidR="0075578C" w:rsidRDefault="0075578C" w:rsidP="0075578C">
      <w:pPr>
        <w:spacing w:line="360" w:lineRule="auto"/>
        <w:ind w:left="1440"/>
        <w:contextualSpacing/>
        <w:jc w:val="both"/>
        <w:rPr>
          <w:rFonts w:ascii="David" w:hAnsi="David"/>
          <w:b/>
          <w:bCs/>
          <w:rtl/>
        </w:rPr>
      </w:pPr>
      <w:r>
        <w:rPr>
          <w:rFonts w:ascii="David" w:hAnsi="David"/>
          <w:b/>
          <w:bCs/>
          <w:rtl/>
        </w:rPr>
        <w:t xml:space="preserve"> </w:t>
      </w:r>
    </w:p>
    <w:p w:rsidR="0075578C" w:rsidRDefault="0075578C" w:rsidP="0075578C">
      <w:pPr>
        <w:pStyle w:val="ad"/>
        <w:numPr>
          <w:ilvl w:val="0"/>
          <w:numId w:val="1"/>
        </w:numPr>
        <w:spacing w:line="360" w:lineRule="auto"/>
        <w:jc w:val="both"/>
        <w:rPr>
          <w:rFonts w:ascii="David" w:hAnsi="David" w:cs="David"/>
          <w:sz w:val="24"/>
          <w:szCs w:val="24"/>
          <w:rtl/>
        </w:rPr>
      </w:pPr>
      <w:r>
        <w:rPr>
          <w:rFonts w:ascii="David" w:hAnsi="David" w:cs="David"/>
          <w:sz w:val="24"/>
          <w:szCs w:val="24"/>
          <w:rtl/>
        </w:rPr>
        <w:t xml:space="preserve">עולה מן המקובץ, כי חרף ההלכה הפסוקה הקובעת כי סילוק על הסף ייעשה רק במקרים קיצוניים, הרי שבמקרה שלפניי לא הוצגה עילת תביעה, לא הוכח "פרסום" או אפילו רמיזה בין השורות ללשון הרע, וממילא דינה של התביעה סילוק על הסף. </w:t>
      </w:r>
    </w:p>
    <w:p w:rsidR="0075578C" w:rsidRDefault="0075578C" w:rsidP="0075578C">
      <w:pPr>
        <w:spacing w:line="360" w:lineRule="auto"/>
        <w:jc w:val="both"/>
        <w:rPr>
          <w:rFonts w:ascii="David" w:hAnsi="David"/>
          <w:b/>
          <w:bCs/>
          <w:u w:val="single"/>
          <w:rtl/>
        </w:rPr>
      </w:pPr>
    </w:p>
    <w:p w:rsidR="0075578C" w:rsidRDefault="0075578C" w:rsidP="0075578C">
      <w:pPr>
        <w:spacing w:line="360" w:lineRule="auto"/>
        <w:jc w:val="both"/>
        <w:rPr>
          <w:rFonts w:ascii="David" w:hAnsi="David"/>
          <w:b/>
          <w:bCs/>
          <w:u w:val="single"/>
          <w:rtl/>
        </w:rPr>
      </w:pPr>
      <w:r>
        <w:rPr>
          <w:rFonts w:ascii="David" w:hAnsi="David"/>
          <w:b/>
          <w:bCs/>
          <w:u w:val="single"/>
          <w:rtl/>
        </w:rPr>
        <w:t>תביעת השתקה או תביעה טורדנית וקנטרנית</w:t>
      </w:r>
    </w:p>
    <w:p w:rsidR="0075578C" w:rsidRDefault="0075578C" w:rsidP="0075578C">
      <w:pPr>
        <w:pStyle w:val="ad"/>
        <w:numPr>
          <w:ilvl w:val="0"/>
          <w:numId w:val="1"/>
        </w:numPr>
        <w:spacing w:line="360" w:lineRule="auto"/>
        <w:jc w:val="both"/>
        <w:rPr>
          <w:rFonts w:ascii="David" w:hAnsi="David" w:cs="David"/>
          <w:sz w:val="24"/>
          <w:szCs w:val="24"/>
          <w:rtl/>
        </w:rPr>
      </w:pPr>
      <w:r>
        <w:rPr>
          <w:rFonts w:ascii="David" w:hAnsi="David" w:cs="David"/>
          <w:sz w:val="24"/>
          <w:szCs w:val="24"/>
          <w:rtl/>
        </w:rPr>
        <w:t xml:space="preserve">למעלה מן הצורך אדרש לטענת ב"כ הנתבעת בדבר השימוש לרעה בהליכי משפט ע"י התובע, כמו גם הטענה כי ענייננו בתביעת השתקה. באשר לטענה בדבר תביעת השתקה, הרי שטענה זו עלתה בכתב ההגנה והתובע אף נדרש לה בכתב התשובה, כדלעיל, אולם לא מצאתי כי בא זכרה בסיכומי ב"כ הנתבעת. משכך ובהתאם להלכה הפסוקה – </w:t>
      </w:r>
    </w:p>
    <w:p w:rsidR="0075578C" w:rsidRDefault="0075578C" w:rsidP="0075578C">
      <w:pPr>
        <w:pStyle w:val="ad"/>
        <w:spacing w:line="360" w:lineRule="auto"/>
        <w:ind w:left="1440"/>
        <w:jc w:val="both"/>
        <w:rPr>
          <w:rFonts w:ascii="David" w:hAnsi="David" w:cs="David"/>
          <w:sz w:val="24"/>
          <w:szCs w:val="24"/>
        </w:rPr>
      </w:pPr>
      <w:r>
        <w:rPr>
          <w:rFonts w:ascii="David" w:hAnsi="David" w:cs="David"/>
          <w:b/>
          <w:bCs/>
          <w:sz w:val="24"/>
          <w:szCs w:val="24"/>
          <w:rtl/>
        </w:rPr>
        <w:t xml:space="preserve">"דין טענה שנטענה בכתב הטענות אך לא הועלתה בסיכומים – אם בשל שגגה או במכוון – כדין טענה שנזנחה, ובית המשפט לא ישעה לה" </w:t>
      </w:r>
      <w:r>
        <w:rPr>
          <w:rFonts w:ascii="David" w:hAnsi="David" w:cs="David"/>
          <w:sz w:val="24"/>
          <w:szCs w:val="24"/>
          <w:rtl/>
        </w:rPr>
        <w:t>(ע"א 172/89</w:t>
      </w:r>
      <w:r>
        <w:rPr>
          <w:rFonts w:ascii="David" w:hAnsi="David" w:cs="David"/>
          <w:b/>
          <w:bCs/>
          <w:sz w:val="24"/>
          <w:szCs w:val="24"/>
          <w:rtl/>
        </w:rPr>
        <w:t xml:space="preserve"> סלע חברה לביטוח בע"מ נ' סולל בונה בע"מ ואח', </w:t>
      </w:r>
      <w:r>
        <w:rPr>
          <w:rFonts w:ascii="David" w:hAnsi="David" w:cs="David"/>
          <w:sz w:val="24"/>
          <w:szCs w:val="24"/>
          <w:rtl/>
        </w:rPr>
        <w:t>פ"ד מז(1), 311).</w:t>
      </w:r>
    </w:p>
    <w:p w:rsidR="0075578C" w:rsidRDefault="0075578C" w:rsidP="0075578C">
      <w:pPr>
        <w:pStyle w:val="ad"/>
        <w:spacing w:line="360" w:lineRule="auto"/>
        <w:jc w:val="both"/>
        <w:rPr>
          <w:rFonts w:ascii="David" w:hAnsi="David" w:cs="David"/>
          <w:sz w:val="24"/>
          <w:szCs w:val="24"/>
        </w:rPr>
      </w:pPr>
    </w:p>
    <w:p w:rsidR="0075578C" w:rsidRDefault="0075578C" w:rsidP="0075578C">
      <w:pPr>
        <w:pStyle w:val="ad"/>
        <w:numPr>
          <w:ilvl w:val="0"/>
          <w:numId w:val="1"/>
        </w:numPr>
        <w:spacing w:line="360" w:lineRule="auto"/>
        <w:jc w:val="both"/>
        <w:rPr>
          <w:rFonts w:ascii="David" w:hAnsi="David" w:cs="David"/>
          <w:sz w:val="24"/>
          <w:szCs w:val="24"/>
        </w:rPr>
      </w:pPr>
      <w:r>
        <w:rPr>
          <w:rFonts w:ascii="David" w:hAnsi="David" w:cs="David"/>
          <w:sz w:val="24"/>
          <w:szCs w:val="24"/>
          <w:rtl/>
        </w:rPr>
        <w:t xml:space="preserve">עם זאת, הטענה כי ענייננו בשימוש לרעה בהליכי משפט נטענת גם נטענת לאורך כל הדרך. </w:t>
      </w:r>
    </w:p>
    <w:p w:rsidR="0075578C" w:rsidRDefault="0075578C" w:rsidP="0075578C">
      <w:pPr>
        <w:pStyle w:val="ad"/>
        <w:spacing w:line="360" w:lineRule="auto"/>
        <w:jc w:val="both"/>
        <w:rPr>
          <w:rFonts w:ascii="David" w:hAnsi="David" w:cs="David"/>
          <w:sz w:val="24"/>
          <w:szCs w:val="24"/>
        </w:rPr>
      </w:pPr>
    </w:p>
    <w:p w:rsidR="0075578C" w:rsidRDefault="0075578C" w:rsidP="0075578C">
      <w:pPr>
        <w:pStyle w:val="ad"/>
        <w:numPr>
          <w:ilvl w:val="0"/>
          <w:numId w:val="1"/>
        </w:numPr>
        <w:spacing w:line="360" w:lineRule="auto"/>
        <w:jc w:val="both"/>
        <w:rPr>
          <w:rFonts w:ascii="David" w:hAnsi="David" w:cs="David"/>
          <w:b/>
          <w:bCs/>
          <w:sz w:val="24"/>
          <w:szCs w:val="24"/>
          <w:rtl/>
        </w:rPr>
      </w:pPr>
      <w:r>
        <w:rPr>
          <w:rFonts w:ascii="David" w:hAnsi="David" w:cs="David"/>
          <w:sz w:val="24"/>
          <w:szCs w:val="24"/>
          <w:rtl/>
        </w:rPr>
        <w:t>משאלו הם פני הדברים, אתייחס בקצרה לסוגיית תביעת ההשתקה, כמו גם לטענות בדבר התנהלותו של התובע שלא בתום לב: באשר לתביעת השתקה הרי שכפי שנקבע ב</w:t>
      </w:r>
      <w:hyperlink r:id="rId42" w:history="1">
        <w:r>
          <w:rPr>
            <w:rStyle w:val="Hyperlink"/>
            <w:rFonts w:ascii="David" w:hAnsi="David" w:cs="David"/>
            <w:sz w:val="24"/>
            <w:szCs w:val="24"/>
            <w:rtl/>
          </w:rPr>
          <w:t>רע"א 1688/18</w:t>
        </w:r>
      </w:hyperlink>
      <w:r>
        <w:rPr>
          <w:rFonts w:ascii="David" w:hAnsi="David" w:cs="David"/>
          <w:sz w:val="24"/>
          <w:szCs w:val="24"/>
          <w:rtl/>
        </w:rPr>
        <w:t xml:space="preserve">, </w:t>
      </w:r>
      <w:r>
        <w:rPr>
          <w:rFonts w:ascii="David" w:hAnsi="David" w:cs="David"/>
          <w:b/>
          <w:bCs/>
          <w:sz w:val="24"/>
          <w:szCs w:val="24"/>
          <w:rtl/>
        </w:rPr>
        <w:t>סרנה נ' נתניהו</w:t>
      </w:r>
      <w:r>
        <w:rPr>
          <w:rFonts w:ascii="David" w:hAnsi="David" w:cs="David"/>
          <w:sz w:val="24"/>
          <w:szCs w:val="24"/>
          <w:rtl/>
        </w:rPr>
        <w:t xml:space="preserve"> (15.4.18, מפי כב' הש' יצחק עמית): </w:t>
      </w:r>
    </w:p>
    <w:p w:rsidR="0075578C" w:rsidRDefault="0075578C" w:rsidP="0075578C">
      <w:pPr>
        <w:pStyle w:val="ad"/>
        <w:rPr>
          <w:rFonts w:ascii="David" w:hAnsi="David" w:cs="David"/>
          <w:b/>
          <w:bCs/>
          <w:sz w:val="24"/>
          <w:szCs w:val="24"/>
        </w:rPr>
      </w:pPr>
    </w:p>
    <w:p w:rsidR="0075578C" w:rsidRDefault="0075578C" w:rsidP="0075578C">
      <w:pPr>
        <w:pStyle w:val="ad"/>
        <w:spacing w:line="360" w:lineRule="auto"/>
        <w:ind w:firstLine="720"/>
        <w:jc w:val="both"/>
        <w:rPr>
          <w:rFonts w:ascii="David" w:hAnsi="David" w:cs="David"/>
          <w:sz w:val="24"/>
          <w:szCs w:val="24"/>
          <w:rtl/>
        </w:rPr>
      </w:pPr>
      <w:r>
        <w:rPr>
          <w:rFonts w:ascii="David" w:hAnsi="David" w:cs="David"/>
          <w:b/>
          <w:bCs/>
          <w:sz w:val="24"/>
          <w:szCs w:val="24"/>
          <w:rtl/>
        </w:rPr>
        <w:t xml:space="preserve">"טרם התפתחה בישראל דוקטרינת תביעות ההשתקה". </w:t>
      </w:r>
    </w:p>
    <w:p w:rsidR="0075578C" w:rsidRDefault="0075578C" w:rsidP="0075578C">
      <w:pPr>
        <w:pStyle w:val="ad"/>
        <w:spacing w:line="360" w:lineRule="auto"/>
        <w:jc w:val="both"/>
        <w:rPr>
          <w:rFonts w:ascii="David" w:hAnsi="David" w:cs="David"/>
          <w:sz w:val="24"/>
          <w:szCs w:val="24"/>
          <w:rtl/>
        </w:rPr>
      </w:pPr>
    </w:p>
    <w:p w:rsidR="0075578C" w:rsidRDefault="0075578C" w:rsidP="0075578C">
      <w:pPr>
        <w:pStyle w:val="ad"/>
        <w:spacing w:line="360" w:lineRule="auto"/>
        <w:jc w:val="both"/>
        <w:rPr>
          <w:rFonts w:ascii="David" w:hAnsi="David" w:cs="David"/>
          <w:sz w:val="24"/>
          <w:szCs w:val="24"/>
          <w:rtl/>
        </w:rPr>
      </w:pPr>
      <w:r>
        <w:rPr>
          <w:rFonts w:ascii="David" w:hAnsi="David" w:cs="David"/>
          <w:sz w:val="24"/>
          <w:szCs w:val="24"/>
          <w:rtl/>
        </w:rPr>
        <w:t>עם זאת, ב</w:t>
      </w:r>
      <w:hyperlink r:id="rId43" w:history="1">
        <w:r>
          <w:rPr>
            <w:rStyle w:val="Hyperlink"/>
            <w:rFonts w:ascii="David" w:hAnsi="David" w:cs="David" w:hint="cs"/>
            <w:sz w:val="24"/>
            <w:szCs w:val="24"/>
            <w:rtl/>
          </w:rPr>
          <w:t>רע"א 7426/14</w:t>
        </w:r>
      </w:hyperlink>
      <w:r>
        <w:rPr>
          <w:rFonts w:ascii="David" w:hAnsi="David" w:cs="David" w:hint="cs"/>
          <w:sz w:val="24"/>
          <w:szCs w:val="24"/>
          <w:rtl/>
        </w:rPr>
        <w:t xml:space="preserve">, </w:t>
      </w:r>
      <w:r>
        <w:rPr>
          <w:rFonts w:ascii="David" w:hAnsi="David" w:cs="David" w:hint="cs"/>
          <w:b/>
          <w:bCs/>
          <w:sz w:val="24"/>
          <w:szCs w:val="24"/>
          <w:rtl/>
        </w:rPr>
        <w:t>פלונית נ' דניאל</w:t>
      </w:r>
      <w:r>
        <w:rPr>
          <w:rFonts w:ascii="David" w:hAnsi="David" w:cs="David" w:hint="cs"/>
          <w:sz w:val="24"/>
          <w:szCs w:val="24"/>
          <w:rtl/>
        </w:rPr>
        <w:t xml:space="preserve"> (14.3.16) נקבע (ע"י השופט עמית עצמו) כדלקמן: </w:t>
      </w:r>
    </w:p>
    <w:p w:rsidR="0075578C" w:rsidRDefault="0075578C" w:rsidP="0075578C">
      <w:pPr>
        <w:pStyle w:val="ad"/>
        <w:spacing w:line="360" w:lineRule="auto"/>
        <w:ind w:left="1440"/>
        <w:jc w:val="both"/>
        <w:rPr>
          <w:rFonts w:ascii="David" w:hAnsi="David" w:cs="David"/>
          <w:b/>
          <w:bCs/>
          <w:sz w:val="24"/>
          <w:szCs w:val="24"/>
          <w:rtl/>
        </w:rPr>
      </w:pPr>
      <w:r>
        <w:rPr>
          <w:rFonts w:ascii="David" w:hAnsi="David" w:cs="David"/>
          <w:b/>
          <w:bCs/>
          <w:sz w:val="24"/>
          <w:szCs w:val="24"/>
          <w:rtl/>
        </w:rPr>
        <w:t xml:space="preserve">"חשוב שבית המשפט יתן את דעתו, בכל מקרה ומקרה לפי נסיבותיו, לשאלה האם תביעת לשון הרע שבפניו היא תביעה שמטרתה היא אך הגנה על השם הטוב או גם אמצעי להתרעה ולהפחדה מצדו של </w:t>
      </w:r>
      <w:r>
        <w:rPr>
          <w:rFonts w:ascii="David" w:hAnsi="David" w:cs="David"/>
          <w:b/>
          <w:bCs/>
          <w:sz w:val="24"/>
          <w:szCs w:val="24"/>
          <w:u w:val="single"/>
          <w:rtl/>
        </w:rPr>
        <w:t>מי שיש לו נגישות עדיפה למשאבי משפט</w:t>
      </w:r>
      <w:r>
        <w:rPr>
          <w:rFonts w:ascii="David" w:hAnsi="David" w:cs="David"/>
          <w:b/>
          <w:bCs/>
          <w:sz w:val="24"/>
          <w:szCs w:val="24"/>
          <w:rtl/>
        </w:rPr>
        <w:t>...."</w:t>
      </w:r>
    </w:p>
    <w:p w:rsidR="0075578C" w:rsidRDefault="0075578C" w:rsidP="0075578C">
      <w:pPr>
        <w:pStyle w:val="ad"/>
        <w:spacing w:line="360" w:lineRule="auto"/>
        <w:jc w:val="both"/>
        <w:rPr>
          <w:rFonts w:ascii="David" w:hAnsi="David" w:cs="David"/>
          <w:sz w:val="24"/>
          <w:szCs w:val="24"/>
          <w:rtl/>
        </w:rPr>
      </w:pPr>
    </w:p>
    <w:p w:rsidR="0075578C" w:rsidRDefault="0075578C" w:rsidP="0075578C">
      <w:pPr>
        <w:pStyle w:val="ad"/>
        <w:numPr>
          <w:ilvl w:val="0"/>
          <w:numId w:val="1"/>
        </w:numPr>
        <w:spacing w:line="360" w:lineRule="auto"/>
        <w:jc w:val="both"/>
        <w:rPr>
          <w:rFonts w:ascii="David" w:hAnsi="David" w:cs="David"/>
          <w:sz w:val="24"/>
          <w:szCs w:val="24"/>
        </w:rPr>
      </w:pPr>
      <w:r>
        <w:rPr>
          <w:rFonts w:ascii="David" w:hAnsi="David" w:cs="David"/>
          <w:sz w:val="24"/>
          <w:szCs w:val="24"/>
          <w:rtl/>
        </w:rPr>
        <w:t xml:space="preserve">ומן הכלל אל הפרט: ברי כי לא היה מקום להגיש תביעה מעין זו. הדברים אמורים במיוחד כאשר לתובע נגישות עדיפה למשאבי משפט, ומבלי להכריע בסוגיית תביעת ההשתקה, </w:t>
      </w:r>
      <w:r>
        <w:rPr>
          <w:rFonts w:ascii="David" w:hAnsi="David" w:cs="David"/>
          <w:sz w:val="24"/>
          <w:szCs w:val="24"/>
          <w:rtl/>
        </w:rPr>
        <w:lastRenderedPageBreak/>
        <w:t>שעניינה נזנח, כאמור, ונוכח הפסיקה הנוהגת בישראל. דווקא התובע, כמשפטן האמון על קריאת החוק ועל ההלכות הפסוקות שהובאו לעיל, לעיין באלו עובר להגשת תביעתו. בהקשר זה אין מנוס מלהתייחס לסוגיית השימוש לרעה בהליכי משפט, בהתאם לתקנה 151(ג) לתקנות סדר הדין האזרחי, תשע"ט-2018, במסגרת פסיקת הוצאות המשפט. בשולי עניין זה אעיר כי התובע עצמו היה מודע לקלישות טענותיו וניסה את מזלו, כפי שהדברים עולים מדבריו (בעמ' 1 , ש' 19-21 לפר'):</w:t>
      </w:r>
    </w:p>
    <w:p w:rsidR="0075578C" w:rsidRDefault="0075578C" w:rsidP="0075578C">
      <w:pPr>
        <w:pStyle w:val="ad"/>
        <w:spacing w:line="360" w:lineRule="auto"/>
        <w:ind w:left="1440"/>
        <w:jc w:val="both"/>
        <w:rPr>
          <w:rFonts w:ascii="David" w:hAnsi="David" w:cs="David"/>
          <w:b/>
          <w:bCs/>
          <w:sz w:val="24"/>
          <w:szCs w:val="24"/>
        </w:rPr>
      </w:pPr>
      <w:r>
        <w:rPr>
          <w:rFonts w:ascii="David" w:hAnsi="David" w:cs="David"/>
          <w:b/>
          <w:bCs/>
          <w:sz w:val="24"/>
          <w:szCs w:val="24"/>
          <w:rtl/>
        </w:rPr>
        <w:t xml:space="preserve">"אני מוכן לעבור את כל ההליך </w:t>
      </w:r>
      <w:r>
        <w:rPr>
          <w:rFonts w:ascii="David" w:hAnsi="David" w:cs="David"/>
          <w:b/>
          <w:bCs/>
          <w:sz w:val="24"/>
          <w:szCs w:val="24"/>
          <w:u w:val="single"/>
          <w:rtl/>
        </w:rPr>
        <w:t>ושהתביעה תידחה בסופו של דבר</w:t>
      </w:r>
      <w:r>
        <w:rPr>
          <w:rFonts w:ascii="David" w:hAnsi="David" w:cs="David"/>
          <w:b/>
          <w:bCs/>
          <w:sz w:val="24"/>
          <w:szCs w:val="24"/>
          <w:rtl/>
        </w:rPr>
        <w:t xml:space="preserve">. </w:t>
      </w:r>
    </w:p>
    <w:p w:rsidR="0075578C" w:rsidRDefault="0075578C" w:rsidP="0075578C">
      <w:pPr>
        <w:pStyle w:val="ad"/>
        <w:spacing w:line="360" w:lineRule="auto"/>
        <w:ind w:left="1440"/>
        <w:jc w:val="both"/>
        <w:rPr>
          <w:rFonts w:ascii="David" w:hAnsi="David" w:cs="David"/>
          <w:b/>
          <w:bCs/>
          <w:sz w:val="24"/>
          <w:szCs w:val="24"/>
        </w:rPr>
      </w:pPr>
      <w:r>
        <w:rPr>
          <w:rFonts w:ascii="David" w:hAnsi="David" w:cs="David"/>
          <w:b/>
          <w:bCs/>
          <w:sz w:val="24"/>
          <w:szCs w:val="24"/>
          <w:u w:val="single"/>
          <w:rtl/>
        </w:rPr>
        <w:t>מחיר האמת אם הוא ידרוש ממני לשלם הוצאות</w:t>
      </w:r>
      <w:r>
        <w:rPr>
          <w:rFonts w:ascii="David" w:hAnsi="David" w:cs="David"/>
          <w:b/>
          <w:bCs/>
          <w:sz w:val="24"/>
          <w:szCs w:val="24"/>
          <w:rtl/>
        </w:rPr>
        <w:t xml:space="preserve"> אבל האמת תצא לאור בסופו של דבר – אני מסכים. </w:t>
      </w:r>
      <w:r>
        <w:rPr>
          <w:rFonts w:ascii="David" w:hAnsi="David" w:cs="David"/>
          <w:b/>
          <w:bCs/>
          <w:sz w:val="24"/>
          <w:szCs w:val="24"/>
          <w:u w:val="single"/>
          <w:rtl/>
        </w:rPr>
        <w:t>ויש סיכוי שאני אנצח</w:t>
      </w:r>
      <w:r>
        <w:rPr>
          <w:rFonts w:ascii="David" w:hAnsi="David" w:cs="David"/>
          <w:b/>
          <w:bCs/>
          <w:sz w:val="24"/>
          <w:szCs w:val="24"/>
          <w:rtl/>
        </w:rPr>
        <w:t>."</w:t>
      </w:r>
    </w:p>
    <w:p w:rsidR="0075578C" w:rsidRDefault="0075578C" w:rsidP="0075578C">
      <w:pPr>
        <w:spacing w:line="360" w:lineRule="auto"/>
        <w:ind w:left="720"/>
        <w:jc w:val="both"/>
        <w:rPr>
          <w:rFonts w:ascii="David" w:hAnsi="David"/>
          <w:rtl/>
        </w:rPr>
      </w:pPr>
      <w:r>
        <w:rPr>
          <w:rFonts w:ascii="David" w:hAnsi="David"/>
          <w:rtl/>
        </w:rPr>
        <w:t>מנגד, לנתבעת אין את הנגישות להליכי המשפט כמו לתובע, והיא הסתכנה בחיובה במלוא הסכום הנתבע, וכל זאת, כאשר גם התובע עצמו מודה כי היא הופעלה ע"י אחר (ש' 16, שם). ברי כי בנסיבות העניין, אין מנוס מלהתחשב בדברים אלו במסגרת פסיקת ההוצאות.</w:t>
      </w:r>
    </w:p>
    <w:p w:rsidR="0075578C" w:rsidRDefault="0075578C" w:rsidP="0075578C">
      <w:pPr>
        <w:pStyle w:val="ad"/>
        <w:spacing w:line="360" w:lineRule="auto"/>
        <w:jc w:val="both"/>
        <w:rPr>
          <w:rFonts w:ascii="David" w:hAnsi="David" w:cs="David"/>
          <w:sz w:val="24"/>
          <w:szCs w:val="24"/>
          <w:rtl/>
        </w:rPr>
      </w:pPr>
    </w:p>
    <w:p w:rsidR="0075578C" w:rsidRDefault="0075578C" w:rsidP="0075578C">
      <w:pPr>
        <w:spacing w:line="360" w:lineRule="auto"/>
        <w:jc w:val="both"/>
        <w:rPr>
          <w:rFonts w:ascii="David" w:hAnsi="David"/>
          <w:b/>
          <w:bCs/>
          <w:u w:val="single"/>
          <w:rtl/>
        </w:rPr>
      </w:pPr>
      <w:r>
        <w:rPr>
          <w:rFonts w:ascii="David" w:hAnsi="David"/>
          <w:b/>
          <w:bCs/>
          <w:u w:val="single"/>
          <w:rtl/>
        </w:rPr>
        <w:t>סוף דבר ותוצאה</w:t>
      </w:r>
    </w:p>
    <w:p w:rsidR="0075578C" w:rsidRDefault="0075578C" w:rsidP="0075578C">
      <w:pPr>
        <w:pStyle w:val="ad"/>
        <w:numPr>
          <w:ilvl w:val="0"/>
          <w:numId w:val="1"/>
        </w:numPr>
        <w:spacing w:line="360" w:lineRule="auto"/>
        <w:jc w:val="both"/>
        <w:rPr>
          <w:rFonts w:ascii="David" w:hAnsi="David" w:cs="David"/>
          <w:sz w:val="24"/>
          <w:szCs w:val="24"/>
          <w:rtl/>
        </w:rPr>
      </w:pPr>
      <w:r>
        <w:rPr>
          <w:rFonts w:ascii="David" w:hAnsi="David" w:cs="David"/>
          <w:sz w:val="24"/>
          <w:szCs w:val="24"/>
          <w:rtl/>
        </w:rPr>
        <w:t xml:space="preserve">אשר על כן ולאחר שלא מצאתי כי התובע הצביע על עילת תביעה, כמו גם לא עמד בהוראות ההלכה הפסוקה, ולא השכיל להבהיר כיצד יש בהסרתו מקבוצה משום פרסום המנוגד להוראות סע' 2 לחוק, וכיצד יש בפרסום זה (ככל שניתן לראות בו משום "פרסום") כוונה לפגוע, או אפילו פגיעה אובייקטיבית, הרי שאין מנוס מלהורות על סילוק תביעתו של התובע כבר בשלב זה. ויודגש: משענייננו בתביעת לשון הרע הרי שעל יסודות התביעה להופיע כבר בשלב של הגשת כתב התביעה. כתב התביעה נעדר כל פירוט וביסוס הנדרשים ובכלל זה, החובה להצביע ולפרט את כל רכיביה של עילת לשון הרע הנטענת. כאמור לעיל, התובע לא עמד בכך. </w:t>
      </w:r>
    </w:p>
    <w:p w:rsidR="0075578C" w:rsidRDefault="0075578C" w:rsidP="0075578C">
      <w:pPr>
        <w:spacing w:line="360" w:lineRule="auto"/>
        <w:ind w:firstLine="720"/>
        <w:jc w:val="both"/>
        <w:rPr>
          <w:rFonts w:ascii="David" w:hAnsi="David"/>
          <w:rtl/>
        </w:rPr>
      </w:pPr>
      <w:r>
        <w:rPr>
          <w:rFonts w:ascii="David" w:hAnsi="David"/>
          <w:rtl/>
        </w:rPr>
        <w:t>משכך, אני מורה על סילוקה של התביעה על הסף.</w:t>
      </w:r>
    </w:p>
    <w:p w:rsidR="005224FA" w:rsidRDefault="005224FA" w:rsidP="0075578C">
      <w:pPr>
        <w:spacing w:line="360" w:lineRule="auto"/>
        <w:ind w:firstLine="720"/>
        <w:jc w:val="both"/>
        <w:rPr>
          <w:rFonts w:ascii="David" w:hAnsi="David"/>
          <w:rtl/>
        </w:rPr>
      </w:pPr>
    </w:p>
    <w:p w:rsidR="0075578C" w:rsidRDefault="0075578C" w:rsidP="0075578C">
      <w:pPr>
        <w:pStyle w:val="ad"/>
        <w:numPr>
          <w:ilvl w:val="0"/>
          <w:numId w:val="1"/>
        </w:numPr>
        <w:spacing w:line="360" w:lineRule="auto"/>
        <w:jc w:val="both"/>
        <w:rPr>
          <w:rFonts w:ascii="David" w:hAnsi="David" w:cs="David"/>
          <w:sz w:val="24"/>
          <w:szCs w:val="24"/>
          <w:rtl/>
        </w:rPr>
      </w:pPr>
      <w:r>
        <w:rPr>
          <w:rFonts w:ascii="David" w:hAnsi="David" w:cs="David"/>
          <w:sz w:val="24"/>
          <w:szCs w:val="24"/>
          <w:rtl/>
        </w:rPr>
        <w:t>בשים לב לכך שבמסגרת ההליך התקיים דיון מקדמי בלבד ללא ניהול הוכחות, ולאחר עיון בסיכומי הצדדים, ונוכח האמור בפרק הקודם, אני מורה לתובע לשאת בשכר טרחת עו"ד ב"כ של הנתבעת בסך של 7,500 ₪ בלבד. כן יישא התובע בהוצאות הנתבעת עצמה בסך של 1,000 ₪. בנסיבות העניין, אני מורה על פטור ממחצית שניה של האגרה ועל החזר יתרת האגרה.</w:t>
      </w:r>
    </w:p>
    <w:p w:rsidR="0075578C" w:rsidRDefault="0075578C" w:rsidP="0075578C">
      <w:pPr>
        <w:spacing w:line="360" w:lineRule="auto"/>
        <w:jc w:val="both"/>
        <w:rPr>
          <w:rFonts w:ascii="David" w:hAnsi="David"/>
          <w:rtl/>
        </w:rPr>
      </w:pPr>
    </w:p>
    <w:p w:rsidR="0075578C" w:rsidRDefault="0075578C" w:rsidP="0075578C">
      <w:pPr>
        <w:spacing w:line="360" w:lineRule="auto"/>
        <w:jc w:val="both"/>
        <w:rPr>
          <w:rFonts w:ascii="David" w:hAnsi="David"/>
          <w:rtl/>
        </w:rPr>
      </w:pPr>
      <w:r>
        <w:rPr>
          <w:rFonts w:ascii="David" w:hAnsi="David"/>
          <w:rtl/>
        </w:rPr>
        <w:t>זכות ערעור לבית המשפט המחוזי מרכז בלוד בתוך 60 ימים מהיום.</w:t>
      </w:r>
    </w:p>
    <w:p w:rsidR="00EB1815" w:rsidRDefault="00EB1815" w:rsidP="0075578C">
      <w:pPr>
        <w:spacing w:line="360" w:lineRule="auto"/>
        <w:jc w:val="both"/>
        <w:rPr>
          <w:rFonts w:ascii="David" w:hAnsi="David"/>
          <w:rtl/>
        </w:rPr>
      </w:pPr>
    </w:p>
    <w:p w:rsidR="00EB1815" w:rsidRDefault="00EB1815" w:rsidP="0075578C">
      <w:pPr>
        <w:spacing w:line="360" w:lineRule="auto"/>
        <w:jc w:val="both"/>
        <w:rPr>
          <w:rFonts w:ascii="David" w:hAnsi="David"/>
          <w:rtl/>
        </w:rPr>
      </w:pPr>
      <w:r>
        <w:rPr>
          <w:rFonts w:ascii="David" w:hAnsi="David" w:hint="cs"/>
          <w:rtl/>
        </w:rPr>
        <w:lastRenderedPageBreak/>
        <w:t>המזכירות תדוור את פסק הדין לצדדים ולב"כ.</w:t>
      </w:r>
    </w:p>
    <w:p w:rsidR="0075578C" w:rsidRDefault="0075578C" w:rsidP="0075578C">
      <w:pPr>
        <w:spacing w:line="360" w:lineRule="auto"/>
        <w:jc w:val="both"/>
        <w:rPr>
          <w:rFonts w:ascii="David" w:hAnsi="David"/>
          <w:rtl/>
        </w:rPr>
      </w:pPr>
    </w:p>
    <w:p w:rsidR="00694556" w:rsidRPr="00C770E3" w:rsidRDefault="00694556">
      <w:pPr>
        <w:spacing w:line="360" w:lineRule="auto"/>
        <w:jc w:val="both"/>
        <w:rPr>
          <w:rFonts w:ascii="Arial" w:hAnsi="Arial"/>
          <w:noProof w:val="0"/>
          <w:rtl/>
        </w:rPr>
      </w:pPr>
    </w:p>
    <w:p w:rsidR="00694556" w:rsidRPr="00C770E3" w:rsidRDefault="00694556">
      <w:pPr>
        <w:spacing w:line="360" w:lineRule="auto"/>
        <w:jc w:val="both"/>
        <w:rPr>
          <w:rFonts w:ascii="Arial" w:hAnsi="Arial"/>
          <w:noProof w:val="0"/>
          <w:rtl/>
        </w:rPr>
      </w:pPr>
    </w:p>
    <w:p w:rsidR="00694556" w:rsidRPr="00C770E3" w:rsidRDefault="00694556">
      <w:pPr>
        <w:spacing w:line="360" w:lineRule="auto"/>
        <w:jc w:val="both"/>
        <w:rPr>
          <w:rFonts w:ascii="Arial" w:hAnsi="Arial"/>
          <w:noProof w:val="0"/>
          <w:rtl/>
        </w:rPr>
      </w:pPr>
    </w:p>
    <w:p w:rsidR="00694556" w:rsidRPr="00C770E3" w:rsidRDefault="00694556">
      <w:pPr>
        <w:spacing w:line="360" w:lineRule="auto"/>
        <w:jc w:val="both"/>
        <w:rPr>
          <w:rFonts w:ascii="Arial" w:hAnsi="Arial"/>
          <w:noProof w:val="0"/>
          <w:rtl/>
        </w:rPr>
      </w:pPr>
    </w:p>
    <w:p w:rsidR="00694556" w:rsidRDefault="0043502B" w:rsidP="00860102">
      <w:pPr>
        <w:spacing w:line="360" w:lineRule="auto"/>
        <w:jc w:val="both"/>
        <w:rPr>
          <w:rFonts w:ascii="Arial" w:hAnsi="Arial"/>
          <w:noProof w:val="0"/>
          <w:rtl/>
        </w:rPr>
      </w:pPr>
      <w:r>
        <w:rPr>
          <w:rFonts w:ascii="Arial" w:hAnsi="Arial"/>
          <w:noProof w:val="0"/>
          <w:rtl/>
        </w:rPr>
        <w:t>נית</w:t>
      </w:r>
      <w:r w:rsidR="00860102">
        <w:rPr>
          <w:rFonts w:ascii="Arial" w:hAnsi="Arial" w:hint="cs"/>
          <w:noProof w:val="0"/>
          <w:rtl/>
        </w:rPr>
        <w:t>ן</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כ"ט אב תשפ"ג</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16 אוגוסט 2023</w:t>
          </w:r>
        </w:sdtContent>
      </w:sdt>
      <w:r w:rsidR="00005C8B">
        <w:rPr>
          <w:rFonts w:ascii="Arial" w:hAnsi="Arial"/>
          <w:noProof w:val="0"/>
          <w:rtl/>
        </w:rPr>
        <w:t>, בהעדר הצדדים.</w:t>
      </w:r>
    </w:p>
    <w:p w:rsidR="00C43648" w:rsidRDefault="00864CA0"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571737884"/>
        </w:sdtPr>
        <w:sdtEndPr/>
        <w:sdtContent>
          <w:r w:rsidR="00701FA2">
            <w:drawing>
              <wp:inline distT="0" distB="0" distL="0" distR="0" wp14:editId="50D07946">
                <wp:extent cx="1428750" cy="962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44" cstate="print">
                          <a:extLst/>
                        </a:blip>
                        <a:stretch>
                          <a:fillRect/>
                        </a:stretch>
                      </pic:blipFill>
                      <pic:spPr>
                        <a:xfrm>
                          <a:off x="0" y="0"/>
                          <a:ext cx="1428750" cy="962025"/>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891F42">
      <w:headerReference w:type="even" r:id="rId45"/>
      <w:headerReference w:type="default" r:id="rId46"/>
      <w:footerReference w:type="even" r:id="rId47"/>
      <w:footerReference w:type="default" r:id="rId48"/>
      <w:headerReference w:type="first" r:id="rId49"/>
      <w:footerReference w:type="first" r:id="rId50"/>
      <w:pgSz w:w="11907" w:h="16840" w:code="9"/>
      <w:pgMar w:top="1440" w:right="1800" w:bottom="1440"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4CA0" w:rsidRDefault="00864CA0">
      <w:r>
        <w:separator/>
      </w:r>
    </w:p>
  </w:endnote>
  <w:endnote w:type="continuationSeparator" w:id="0">
    <w:p w:rsidR="00864CA0" w:rsidRDefault="00864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TUR">
    <w:altName w:val="Arial"/>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453" w:rsidRDefault="007C2453">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0C3B60">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FC129F">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FC129F">
      <w:rPr>
        <w:rStyle w:val="ab"/>
        <w:rtl/>
      </w:rPr>
      <w:t>17</w:t>
    </w:r>
    <w:r w:rsidRPr="004E6E3C">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453" w:rsidRDefault="007C2453">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4CA0" w:rsidRDefault="00864CA0">
      <w:r>
        <w:separator/>
      </w:r>
    </w:p>
  </w:footnote>
  <w:footnote w:type="continuationSeparator" w:id="0">
    <w:p w:rsidR="00864CA0" w:rsidRDefault="00864C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453" w:rsidRDefault="007C2453">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1"/>
      <w:gridCol w:w="3496"/>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משפט השלום ברחובות</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7D45E3" w:rsidRDefault="00864CA0" w:rsidP="007C2453">
          <w:pPr>
            <w:rPr>
              <w:b/>
              <w:bCs/>
              <w:noProof w:val="0"/>
              <w:sz w:val="26"/>
              <w:szCs w:val="26"/>
              <w:rtl/>
            </w:rPr>
          </w:pPr>
          <w:sdt>
            <w:sdtPr>
              <w:rPr>
                <w:rtl/>
              </w:rPr>
              <w:alias w:val="1170"/>
              <w:tag w:val="1170"/>
              <w:id w:val="1066377040"/>
              <w:text w:multiLine="1"/>
            </w:sdtPr>
            <w:sdtEndPr/>
            <w:sdtContent>
              <w:r w:rsidR="00B859C5">
                <w:rPr>
                  <w:b/>
                  <w:bCs/>
                  <w:noProof w:val="0"/>
                  <w:sz w:val="26"/>
                  <w:szCs w:val="26"/>
                  <w:rtl/>
                </w:rPr>
                <w:t>ת"א</w:t>
              </w:r>
            </w:sdtContent>
          </w:sdt>
          <w:r w:rsidR="00005C8B">
            <w:rPr>
              <w:b/>
              <w:bCs/>
              <w:noProof w:val="0"/>
              <w:sz w:val="26"/>
              <w:szCs w:val="26"/>
              <w:rtl/>
            </w:rPr>
            <w:t xml:space="preserve"> </w:t>
          </w:r>
          <w:bookmarkStart w:id="1" w:name="_GoBack"/>
          <w:sdt>
            <w:sdtPr>
              <w:rPr>
                <w:rtl/>
              </w:rPr>
              <w:alias w:val="1171"/>
              <w:tag w:val="1171"/>
              <w:id w:val="257034231"/>
              <w:text w:multiLine="1"/>
            </w:sdtPr>
            <w:sdtEndPr/>
            <w:sdtContent>
              <w:r w:rsidR="00B859C5">
                <w:rPr>
                  <w:b/>
                  <w:bCs/>
                  <w:noProof w:val="0"/>
                  <w:sz w:val="26"/>
                  <w:szCs w:val="26"/>
                  <w:rtl/>
                </w:rPr>
                <w:t>64723-03-22</w:t>
              </w:r>
            </w:sdtContent>
          </w:sdt>
          <w:bookmarkEnd w:id="1"/>
          <w:r w:rsidR="00005C8B">
            <w:rPr>
              <w:b/>
              <w:bCs/>
              <w:noProof w:val="0"/>
              <w:sz w:val="26"/>
              <w:szCs w:val="26"/>
              <w:rtl/>
            </w:rPr>
            <w:t xml:space="preserve"> </w:t>
          </w:r>
          <w:sdt>
            <w:sdtPr>
              <w:rPr>
                <w:b/>
                <w:bCs/>
                <w:noProof w:val="0"/>
                <w:sz w:val="26"/>
                <w:szCs w:val="26"/>
                <w:rtl/>
              </w:rPr>
              <w:alias w:val="3154"/>
              <w:tag w:val="3154"/>
              <w:id w:val="-1285889662"/>
              <w:placeholder>
                <w:docPart w:val="F5EF4663D5094D57BB3FEC6B89CF5C8E"/>
              </w:placeholder>
              <w:text w:multiLine="1"/>
            </w:sdtPr>
            <w:sdtEndPr/>
            <w:sdtContent>
              <w:r w:rsidR="00B859C5">
                <w:rPr>
                  <w:b/>
                  <w:bCs/>
                  <w:noProof w:val="0"/>
                  <w:sz w:val="26"/>
                  <w:szCs w:val="26"/>
                  <w:rtl/>
                </w:rPr>
                <w:t>אורגד נ' מירון</w:t>
              </w:r>
            </w:sdtContent>
          </w:sdt>
          <w:r w:rsidR="007C2453">
            <w:rPr>
              <w:b/>
              <w:bCs/>
              <w:noProof w:val="0"/>
              <w:sz w:val="26"/>
              <w:szCs w:val="26"/>
              <w:rtl/>
            </w:rPr>
            <w:t xml:space="preserve"> </w:t>
          </w:r>
        </w:p>
        <w:p w:rsidR="007D45E3" w:rsidRPr="007B7765" w:rsidRDefault="007D45E3" w:rsidP="007D45E3">
          <w:pPr>
            <w:rPr>
              <w:b/>
              <w:bCs/>
              <w:noProof w:val="0"/>
              <w:sz w:val="2"/>
              <w:szCs w:val="2"/>
              <w:rtl/>
            </w:rPr>
          </w:pPr>
        </w:p>
        <w:p w:rsidR="007D45E3" w:rsidRDefault="007D45E3" w:rsidP="007D45E3">
          <w:pPr>
            <w:rPr>
              <w:sz w:val="20"/>
              <w:szCs w:val="20"/>
              <w:rtl/>
            </w:rPr>
          </w:pPr>
          <w:r>
            <w:rPr>
              <w:rFonts w:hint="cs"/>
              <w:rtl/>
            </w:rPr>
            <w:t xml:space="preserve">                           </w:t>
          </w:r>
          <w:r>
            <w:rPr>
              <w:rFonts w:hint="cs"/>
              <w:sz w:val="20"/>
              <w:szCs w:val="20"/>
              <w:rtl/>
            </w:rPr>
            <w:t xml:space="preserve">                                       </w:t>
          </w:r>
        </w:p>
        <w:p w:rsidR="008D10B2" w:rsidRPr="00E1068A" w:rsidRDefault="008D10B2" w:rsidP="007D45E3">
          <w:pPr>
            <w:rPr>
              <w:sz w:val="20"/>
              <w:szCs w:val="20"/>
              <w:rtl/>
            </w:rPr>
          </w:pPr>
          <w:r w:rsidRPr="00E1068A">
            <w:rPr>
              <w:rFonts w:hint="cs"/>
              <w:sz w:val="20"/>
              <w:szCs w:val="20"/>
              <w:rtl/>
            </w:rPr>
            <w:t xml:space="preserve">תיק חיצוני: </w:t>
          </w:r>
          <w:sdt>
            <w:sdtPr>
              <w:rPr>
                <w:rFonts w:hint="cs"/>
                <w:sz w:val="20"/>
                <w:szCs w:val="20"/>
                <w:rtl/>
              </w:rPr>
              <w:alias w:val="1198"/>
              <w:tag w:val="1198"/>
              <w:id w:val="-1755966748"/>
              <w:lock w:val="contentLocked"/>
              <w:placeholder>
                <w:docPart w:val="D290653DA13E4E738B7E725F79D73329"/>
              </w:placeholder>
              <w:text w:multiLine="1"/>
            </w:sdtPr>
            <w:sdtEndPr/>
            <w:sdtContent/>
          </w:sdt>
          <w:r w:rsidR="007D45E3" w:rsidRPr="00E1068A">
            <w:rPr>
              <w:rFonts w:hint="cs"/>
              <w:sz w:val="20"/>
              <w:szCs w:val="20"/>
              <w:rtl/>
            </w:rPr>
            <w:t xml:space="preserve"> </w:t>
          </w:r>
          <w:r w:rsidR="007D45E3" w:rsidRPr="00E1068A">
            <w:rPr>
              <w:sz w:val="20"/>
              <w:szCs w:val="20"/>
              <w:rtl/>
            </w:rPr>
            <w:t xml:space="preserve"> </w:t>
          </w:r>
          <w:r w:rsidR="001173C6">
            <w:rPr>
              <w:sz w:val="20"/>
              <w:szCs w:val="20"/>
              <w:rtl/>
            </w:rPr>
            <w:t xml:space="preserve"> </w:t>
          </w: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453" w:rsidRDefault="007C245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C761BA"/>
    <w:multiLevelType w:val="hybridMultilevel"/>
    <w:tmpl w:val="8E7CA430"/>
    <w:lvl w:ilvl="0" w:tplc="4EEAFACE">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79163338"/>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Locale=&amp;quot;he-IL&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79163338&amp;lt;/CaseID&amp;gt;_x000d__x000a_        &amp;lt;CaseMonth&amp;gt;3&amp;lt;/CaseMonth&amp;gt;_x000d__x000a_        &amp;lt;CaseYear&amp;gt;2022&amp;lt;/CaseYear&amp;gt;_x000d__x000a_        &amp;lt;CaseNumber&amp;gt;64723&amp;lt;/CaseNumber&amp;gt;_x000d__x000a_        &amp;lt;NumeratorGroupID&amp;gt;1&amp;lt;/NumeratorGroupID&amp;gt;_x000d__x000a_        &amp;lt;CaseName&amp;gt;אורגד נ&amp;#39; מירון&amp;lt;/CaseName&amp;gt;_x000d__x000a_        &amp;lt;CourtID&amp;gt;37&amp;lt;/CourtID&amp;gt;_x000d__x000a_        &amp;lt;CaseTypeID&amp;gt;1&amp;lt;/CaseTypeID&amp;gt;_x000d__x000a_        &amp;lt;CaseInterestID&amp;gt;46&amp;lt;/CaseInterestID&amp;gt;_x000d__x000a_        &amp;lt;CaseJudgeName&amp;gt;ישראל פת&amp;lt;/CaseJudgeName&amp;gt;_x000d__x000a_        &amp;lt;ProcedureID&amp;gt;1&amp;lt;/ProcedureID&amp;gt;_x000d__x000a_        &amp;lt;CaseStatusID&amp;gt;1&amp;lt;/CaseStatusID&amp;gt;_x000d__x000a_        &amp;lt;ProceedingID&amp;gt;1&amp;lt;/ProceedingID&amp;gt;_x000d__x000a_        &amp;lt;IsCaseLinked&amp;gt;false&amp;lt;/IsCaseLinked&amp;gt;_x000d__x000a_        &amp;lt;PrivilegeID&amp;gt;1&amp;lt;/PrivilegeID&amp;gt;_x000d__x000a_        &amp;lt;IsAppealingCaseExist&amp;gt;false&amp;lt;/IsAppealingCaseExist&amp;gt;_x000d__x000a_        &amp;lt;CaseDisplayIdentifier&amp;gt;64723-03-22&amp;lt;/CaseDisplayIdentifier&amp;gt;_x000d__x000a_        &amp;lt;CaseTypeDesc&amp;gt;ת&amp;quot;א&amp;lt;/CaseTypeDesc&amp;gt;_x000d__x000a_        &amp;lt;CourtDesc&amp;gt;שלום רחובות&amp;lt;/CourtDesc&amp;gt;_x000d__x000a_        &amp;lt;CaseStageDesc&amp;gt;תיק אלקטרוני&amp;lt;/CaseStageDesc&amp;gt;_x000d__x000a_        &amp;lt;IsPendingExemptionDecision&amp;gt;false&amp;lt;/IsPendingExemptionDecision&amp;gt;_x000d__x000a_        &amp;lt;IsPendingEntitlementDecision&amp;gt;false&amp;lt;/IsPendingEntitlementDecision&amp;gt;_x000d__x000a_        &amp;lt;IsUnpaidFeeExist&amp;gt;false&amp;lt;/IsUnpaidFeeExist&amp;gt;_x000d__x000a_        &amp;lt;CasePreviousSessionDate&amp;gt;2023-04-19T08:30:00+03:00&amp;lt;/CasePreviousSessionDate&amp;gt;_x000d__x000a_        &amp;lt;CaseNextDeterminingTask&amp;gt;34&amp;lt;/CaseNextDeterminingTask&amp;gt;_x000d__x000a_        &amp;lt;TemporaryAidStatus /&amp;gt;_x000d__x000a_        &amp;lt;CaseOpenDate&amp;gt;2022-03-29T15:18:00+03:00&amp;lt;/CaseOpenDate&amp;gt;_x000d__x000a_        &amp;lt;PleaTypeID&amp;gt;4&amp;lt;/PleaTypeID&amp;gt;_x000d__x000a_        &amp;lt;CourtLevelID&amp;gt;1&amp;lt;/CourtLevelID&amp;gt;_x000d__x000a_        &amp;lt;CourtLevelCaseTypeInterestID&amp;gt;5&amp;lt;/CourtLevelCaseTypeInterestID&amp;gt;_x000d__x000a_        &amp;lt;CaseJudgeFirstName&amp;gt;ישראל&amp;lt;/CaseJudgeFirstName&amp;gt;_x000d__x000a_        &amp;lt;CaseJudgeLastName&amp;gt;פת&amp;lt;/CaseJudgeLastName&amp;gt;_x000d__x000a_        &amp;lt;JudicalPersonID&amp;gt;022209035@GOV.IL&amp;lt;/JudicalPersonID&amp;gt;_x000d__x000a_        &amp;lt;IsJudicalPanel&amp;gt;false&amp;lt;/IsJudicalPanel&amp;gt;_x000d__x000a_        &amp;lt;CourtDisplayName&amp;gt;בית משפט השלום ברחובות&amp;lt;/CourtDisplayName&amp;gt;_x000d__x000a_        &amp;lt;IsAllStartDataCollected&amp;gt;true&amp;lt;/IsAllStartDataCollected&amp;gt;_x000d__x000a_        &amp;lt;CaseDesc /&amp;gt;_x000d__x000a_        &amp;lt;isExistMinorSide&amp;gt;false&amp;lt;/isExistMinorSide&amp;gt;_x000d__x000a_        &amp;lt;isExistMinorWitness&amp;gt;false&amp;lt;/isExistMinorWitness&amp;gt;_x000d__x000a_        &amp;lt;CasePreviousSessionTypeID&amp;gt;1&amp;lt;/CasePreviousSessionTypeID&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tru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79163338&amp;lt;/CaseID&amp;gt;_x000d__x000a_        &amp;lt;CaseMonth&amp;gt;3&amp;lt;/CaseMonth&amp;gt;_x000d__x000a_        &amp;lt;CaseYear&amp;gt;2022&amp;lt;/CaseYear&amp;gt;_x000d__x000a_        &amp;lt;CaseNumber&amp;gt;64723&amp;lt;/CaseNumber&amp;gt;_x000d__x000a_        &amp;lt;NumeratorGroupID&amp;gt;1&amp;lt;/NumeratorGroupID&amp;gt;_x000d__x000a_        &amp;lt;CaseName&amp;gt;אורגד נ&amp;#39; מירון&amp;lt;/CaseName&amp;gt;_x000d__x000a_        &amp;lt;CourtID&amp;gt;37&amp;lt;/CourtID&amp;gt;_x000d__x000a_        &amp;lt;CaseTypeID&amp;gt;1&amp;lt;/CaseTypeID&amp;gt;_x000d__x000a_        &amp;lt;CaseInterestID&amp;gt;46&amp;lt;/CaseInterestID&amp;gt;_x000d__x000a_        &amp;lt;CaseJudgeName&amp;gt;ישראל פת&amp;lt;/CaseJudgeName&amp;gt;_x000d__x000a_        &amp;lt;ProcedureID&amp;gt;1&amp;lt;/ProcedureID&amp;gt;_x000d__x000a_        &amp;lt;CaseStatusID&amp;gt;1&amp;lt;/CaseStatusID&amp;gt;_x000d__x000a_        &amp;lt;ProceedingID&amp;gt;1&amp;lt;/ProceedingID&amp;gt;_x000d__x000a_        &amp;lt;IsCaseLinked&amp;gt;false&amp;lt;/IsCaseLinked&amp;gt;_x000d__x000a_        &amp;lt;PrivilegeID&amp;gt;1&amp;lt;/PrivilegeID&amp;gt;_x000d__x000a_        &amp;lt;IsAppealingCaseExist&amp;gt;false&amp;lt;/IsAppealingCaseExist&amp;gt;_x000d__x000a_        &amp;lt;CaseDisplayIdentifier&amp;gt;64723-03-22&amp;lt;/CaseDisplayIdentifier&amp;gt;_x000d__x000a_        &amp;lt;CaseTypeDesc&amp;gt;ת&amp;quot;א&amp;lt;/CaseTypeDesc&amp;gt;_x000d__x000a_        &amp;lt;CourtDesc&amp;gt;שלום רחובות&amp;lt;/CourtDesc&amp;gt;_x000d__x000a_        &amp;lt;CaseStageDesc&amp;gt;תיק אלקטרוני&amp;lt;/CaseStageDesc&amp;gt;_x000d__x000a_        &amp;lt;CaseNextDeterminingTask&amp;gt;34&amp;lt;/CaseNextDeterminingTask&amp;gt;_x000d__x000a_        &amp;lt;CaseOpenDate&amp;gt;2022-03-29T15:18:00+03:00&amp;lt;/CaseOpenDate&amp;gt;_x000d__x000a_        &amp;lt;PleaTypeID&amp;gt;4&amp;lt;/PleaTypeID&amp;gt;_x000d__x000a_        &amp;lt;CourtLevelID&amp;gt;1&amp;lt;/CourtLevelID&amp;gt;_x000d__x000a_        &amp;lt;CourtLevelCaseTypeInterestID&amp;gt;5&amp;lt;/CourtLevelCaseTypeInterestID&amp;gt;_x000d__x000a_        &amp;lt;CaseJudgeFirstName&amp;gt;ישראל&amp;lt;/CaseJudgeFirstName&amp;gt;_x000d__x000a_        &amp;lt;CaseJudgeLastName&amp;gt;פת&amp;lt;/CaseJudgeLastName&amp;gt;_x000d__x000a_        &amp;lt;JudicalPersonID&amp;gt;022209035@GOV.IL&amp;lt;/JudicalPersonID&amp;gt;_x000d__x000a_        &amp;lt;IsJudicalPanel&amp;gt;false&amp;lt;/IsJudicalPanel&amp;gt;_x000d__x000a_        &amp;lt;CourtDisplayName&amp;gt;בית משפט השלום ברחובות&amp;lt;/CourtDisplayName&amp;gt;_x000d__x000a_        &amp;lt;IsAllStartDataCollected&amp;gt;true&amp;lt;/IsAllStartDataCollected&amp;gt;_x000d__x000a_        &amp;lt;CaseDesc /&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37"/>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 msdata:EnforceConstraints=&amp;quot;False&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 diffgr:hasChanges=&amp;quot;inserted&amp;quot;&amp;gt;_x000d__x000a_        &amp;lt;DecisionID&amp;gt;0&amp;lt;/DecisionID&amp;gt;_x000d__x000a_        &amp;lt;DecisionStatusID&amp;gt;1&amp;lt;/DecisionStatusID&amp;gt;_x000d__x000a_        &amp;lt;DecisionStatusChangeDate&amp;gt;2023-08-16T18:14:02.437593+03:00&amp;lt;/DecisionStatusChangeDate&amp;gt;_x000d__x000a_        &amp;lt;DecisionSignatureDate&amp;gt;2023-08-16T18:14:02.437593+03:00&amp;lt;/DecisionSignatureDate&amp;gt;_x000d__x000a_        &amp;lt;DecisionSignatureUserID&amp;gt;022209035@GOV.IL&amp;lt;/DecisionSignatureUserID&amp;gt;_x000d__x000a_        &amp;lt;DecisionCreateDate&amp;gt;2023-08-16T18:14:02.437593+03:00&amp;lt;/DecisionCreateDate&amp;gt;_x000d__x000a_        &amp;lt;DecisionChangeDate&amp;gt;2023-08-16T18:14:02.437593+03:00&amp;lt;/DecisionChangeDate&amp;gt;_x000d__x000a_        &amp;lt;DecisionChangeUserID&amp;gt;022209035@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PrivilegeID&amp;gt;1&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22209035@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22209035@GOV.IL&amp;lt;/DecisionCreationUserID&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9&amp;lt;/DecisionNumberInCase&amp;gt;_x000d__x000a_      &amp;lt;/dt_Decision&amp;gt;_x000d__x000a_      &amp;lt;dt_DecisionCase diffgr:id=&amp;quot;dt_DecisionCase1&amp;quot; msdata:rowOrder=&amp;quot;0&amp;quot; diffgr:hasChanges=&amp;quot;inserted&amp;quot;&amp;gt;_x000d__x000a_        &amp;lt;DecisionID&amp;gt;0&amp;lt;/DecisionID&amp;gt;_x000d__x000a_        &amp;lt;CaseID&amp;gt;79163338&amp;lt;/CaseID&amp;gt;_x000d__x000a_        &amp;lt;IsOriginal&amp;gt;true&amp;lt;/IsOriginal&amp;gt;_x000d__x000a_        &amp;lt;IsDeleted&amp;gt;false&amp;lt;/IsDeleted&amp;gt;_x000d__x000a_      &amp;lt;/dt_DecisionCase&amp;gt;_x000d__x000a_    &amp;lt;/DecisionDS&amp;gt;_x000d__x000a_  &amp;lt;/diffgr:diffgram&amp;gt;_x000d__x000a_&amp;lt;/DecisionDS&amp;gt;"/>
    <w:docVar w:name="NGCS.TemplateCaseInterestID" w:val="46"/>
    <w:docVar w:name="NGCS.TemplateCaseTypeID" w:val="1"/>
    <w:docVar w:name="NGCS.TemplateCategoryID" w:val="80"/>
    <w:docVar w:name="NGCS.TemplateCourtID" w:val="37"/>
    <w:docVar w:name="NGCS.TemplateProceedingID" w:val="1"/>
    <w:docVar w:name="SelectedDocumentID" w:val="0"/>
    <w:docVar w:name="WordClientAssemblyName" w:val="NGCS.Decision.ClientWordBL"/>
    <w:docVar w:name="WordClientClassName" w:val="NGCS.Decision.ClientWordBL.DecisionClient"/>
  </w:docVars>
  <w:rsids>
    <w:rsidRoot w:val="00694556"/>
    <w:rsid w:val="00000062"/>
    <w:rsid w:val="0000226B"/>
    <w:rsid w:val="00005C8B"/>
    <w:rsid w:val="000529D2"/>
    <w:rsid w:val="000564AB"/>
    <w:rsid w:val="00064FBD"/>
    <w:rsid w:val="00082AB2"/>
    <w:rsid w:val="000906FE"/>
    <w:rsid w:val="00096AF7"/>
    <w:rsid w:val="000B344B"/>
    <w:rsid w:val="000C3B0F"/>
    <w:rsid w:val="000C3B60"/>
    <w:rsid w:val="000E0DD2"/>
    <w:rsid w:val="000E3AF1"/>
    <w:rsid w:val="000F0BC8"/>
    <w:rsid w:val="000F0DD6"/>
    <w:rsid w:val="00107E6D"/>
    <w:rsid w:val="0011194C"/>
    <w:rsid w:val="00113348"/>
    <w:rsid w:val="0011424C"/>
    <w:rsid w:val="001173C6"/>
    <w:rsid w:val="00122A9F"/>
    <w:rsid w:val="001367BC"/>
    <w:rsid w:val="00144D2A"/>
    <w:rsid w:val="0014653E"/>
    <w:rsid w:val="00180519"/>
    <w:rsid w:val="00191C82"/>
    <w:rsid w:val="001C4003"/>
    <w:rsid w:val="001D4DBF"/>
    <w:rsid w:val="001E75CA"/>
    <w:rsid w:val="002265FF"/>
    <w:rsid w:val="0027175B"/>
    <w:rsid w:val="00271B56"/>
    <w:rsid w:val="00272E32"/>
    <w:rsid w:val="002C344E"/>
    <w:rsid w:val="002E75E9"/>
    <w:rsid w:val="002F0B1E"/>
    <w:rsid w:val="00307A6A"/>
    <w:rsid w:val="00307C40"/>
    <w:rsid w:val="00320433"/>
    <w:rsid w:val="003230C7"/>
    <w:rsid w:val="00327E50"/>
    <w:rsid w:val="0033597A"/>
    <w:rsid w:val="00343D89"/>
    <w:rsid w:val="00362612"/>
    <w:rsid w:val="0036743F"/>
    <w:rsid w:val="003715DD"/>
    <w:rsid w:val="003823E0"/>
    <w:rsid w:val="003A4521"/>
    <w:rsid w:val="003D1C8C"/>
    <w:rsid w:val="003E38C7"/>
    <w:rsid w:val="0040096C"/>
    <w:rsid w:val="00414F1F"/>
    <w:rsid w:val="0043125D"/>
    <w:rsid w:val="0043502B"/>
    <w:rsid w:val="004443AC"/>
    <w:rsid w:val="00444B02"/>
    <w:rsid w:val="00451E28"/>
    <w:rsid w:val="00454164"/>
    <w:rsid w:val="00462C62"/>
    <w:rsid w:val="00465D36"/>
    <w:rsid w:val="004C17EE"/>
    <w:rsid w:val="004C4BDF"/>
    <w:rsid w:val="004D1187"/>
    <w:rsid w:val="004D193F"/>
    <w:rsid w:val="004D3AA0"/>
    <w:rsid w:val="004E1987"/>
    <w:rsid w:val="004E2E15"/>
    <w:rsid w:val="004E6E3C"/>
    <w:rsid w:val="00520898"/>
    <w:rsid w:val="005224FA"/>
    <w:rsid w:val="00523621"/>
    <w:rsid w:val="00524986"/>
    <w:rsid w:val="005268F6"/>
    <w:rsid w:val="00534284"/>
    <w:rsid w:val="00546D39"/>
    <w:rsid w:val="00547DB7"/>
    <w:rsid w:val="00557717"/>
    <w:rsid w:val="00572583"/>
    <w:rsid w:val="00576A86"/>
    <w:rsid w:val="005F387C"/>
    <w:rsid w:val="005F4F09"/>
    <w:rsid w:val="00603F73"/>
    <w:rsid w:val="0061431B"/>
    <w:rsid w:val="00622BAA"/>
    <w:rsid w:val="006306CF"/>
    <w:rsid w:val="00644E9A"/>
    <w:rsid w:val="00671BD5"/>
    <w:rsid w:val="006805C1"/>
    <w:rsid w:val="00686C21"/>
    <w:rsid w:val="006931C1"/>
    <w:rsid w:val="0069443B"/>
    <w:rsid w:val="00694556"/>
    <w:rsid w:val="006C30C5"/>
    <w:rsid w:val="006D3B31"/>
    <w:rsid w:val="006E0D96"/>
    <w:rsid w:val="006E1A53"/>
    <w:rsid w:val="006F56E6"/>
    <w:rsid w:val="00701FA2"/>
    <w:rsid w:val="00704EDA"/>
    <w:rsid w:val="00721122"/>
    <w:rsid w:val="00734689"/>
    <w:rsid w:val="007351F7"/>
    <w:rsid w:val="00753019"/>
    <w:rsid w:val="00754801"/>
    <w:rsid w:val="0075578C"/>
    <w:rsid w:val="00761441"/>
    <w:rsid w:val="00795365"/>
    <w:rsid w:val="007A351D"/>
    <w:rsid w:val="007B7765"/>
    <w:rsid w:val="007C2453"/>
    <w:rsid w:val="007C5BDD"/>
    <w:rsid w:val="007D45E3"/>
    <w:rsid w:val="007E6115"/>
    <w:rsid w:val="007F4609"/>
    <w:rsid w:val="00805EFF"/>
    <w:rsid w:val="00814468"/>
    <w:rsid w:val="008176A1"/>
    <w:rsid w:val="00820005"/>
    <w:rsid w:val="00844318"/>
    <w:rsid w:val="00860102"/>
    <w:rsid w:val="00863F5D"/>
    <w:rsid w:val="00864CA0"/>
    <w:rsid w:val="00870890"/>
    <w:rsid w:val="00873602"/>
    <w:rsid w:val="00875D12"/>
    <w:rsid w:val="00876170"/>
    <w:rsid w:val="0088479D"/>
    <w:rsid w:val="00891F42"/>
    <w:rsid w:val="00896889"/>
    <w:rsid w:val="008A6E97"/>
    <w:rsid w:val="008C5714"/>
    <w:rsid w:val="008D10B2"/>
    <w:rsid w:val="00903896"/>
    <w:rsid w:val="00906F3D"/>
    <w:rsid w:val="0094424E"/>
    <w:rsid w:val="00955642"/>
    <w:rsid w:val="009622DF"/>
    <w:rsid w:val="0096493F"/>
    <w:rsid w:val="00967DFF"/>
    <w:rsid w:val="00994341"/>
    <w:rsid w:val="009D1A48"/>
    <w:rsid w:val="009E1CE7"/>
    <w:rsid w:val="009E461A"/>
    <w:rsid w:val="009E4EA5"/>
    <w:rsid w:val="009F164B"/>
    <w:rsid w:val="009F323C"/>
    <w:rsid w:val="00A3392B"/>
    <w:rsid w:val="00A46717"/>
    <w:rsid w:val="00A85E34"/>
    <w:rsid w:val="00A9144F"/>
    <w:rsid w:val="00A94B64"/>
    <w:rsid w:val="00AA3229"/>
    <w:rsid w:val="00AA7596"/>
    <w:rsid w:val="00AB3AE3"/>
    <w:rsid w:val="00AB5E52"/>
    <w:rsid w:val="00AC3B02"/>
    <w:rsid w:val="00AC3B7B"/>
    <w:rsid w:val="00AC5209"/>
    <w:rsid w:val="00AE0E34"/>
    <w:rsid w:val="00AE729E"/>
    <w:rsid w:val="00AE7752"/>
    <w:rsid w:val="00AF7FDA"/>
    <w:rsid w:val="00B5356E"/>
    <w:rsid w:val="00B809AD"/>
    <w:rsid w:val="00B80CBD"/>
    <w:rsid w:val="00B859C5"/>
    <w:rsid w:val="00B86096"/>
    <w:rsid w:val="00B964D9"/>
    <w:rsid w:val="00BA0A7C"/>
    <w:rsid w:val="00BA517C"/>
    <w:rsid w:val="00BB3D05"/>
    <w:rsid w:val="00BB53D3"/>
    <w:rsid w:val="00BB73BE"/>
    <w:rsid w:val="00BC2D89"/>
    <w:rsid w:val="00BD6531"/>
    <w:rsid w:val="00BE05B2"/>
    <w:rsid w:val="00BF1908"/>
    <w:rsid w:val="00C22D93"/>
    <w:rsid w:val="00C23458"/>
    <w:rsid w:val="00C23AC9"/>
    <w:rsid w:val="00C31120"/>
    <w:rsid w:val="00C34482"/>
    <w:rsid w:val="00C43648"/>
    <w:rsid w:val="00C50A9F"/>
    <w:rsid w:val="00C642FA"/>
    <w:rsid w:val="00C770E3"/>
    <w:rsid w:val="00CA1DC9"/>
    <w:rsid w:val="00CC7622"/>
    <w:rsid w:val="00CD608F"/>
    <w:rsid w:val="00CF6BB7"/>
    <w:rsid w:val="00D04AA4"/>
    <w:rsid w:val="00D27982"/>
    <w:rsid w:val="00D33B86"/>
    <w:rsid w:val="00D44968"/>
    <w:rsid w:val="00D53924"/>
    <w:rsid w:val="00D55D0C"/>
    <w:rsid w:val="00D96D8C"/>
    <w:rsid w:val="00DA6649"/>
    <w:rsid w:val="00DC1259"/>
    <w:rsid w:val="00DC1BD2"/>
    <w:rsid w:val="00DC2571"/>
    <w:rsid w:val="00DC487C"/>
    <w:rsid w:val="00DD05A8"/>
    <w:rsid w:val="00DD4335"/>
    <w:rsid w:val="00DE1E7D"/>
    <w:rsid w:val="00DE6BF6"/>
    <w:rsid w:val="00E00709"/>
    <w:rsid w:val="00E1068A"/>
    <w:rsid w:val="00E25884"/>
    <w:rsid w:val="00E25B55"/>
    <w:rsid w:val="00E31C2B"/>
    <w:rsid w:val="00E5426A"/>
    <w:rsid w:val="00E54642"/>
    <w:rsid w:val="00E6243A"/>
    <w:rsid w:val="00E80CBE"/>
    <w:rsid w:val="00E9269D"/>
    <w:rsid w:val="00E962E3"/>
    <w:rsid w:val="00EB1815"/>
    <w:rsid w:val="00EB6C79"/>
    <w:rsid w:val="00EC37E9"/>
    <w:rsid w:val="00F038D8"/>
    <w:rsid w:val="00F06995"/>
    <w:rsid w:val="00F12D66"/>
    <w:rsid w:val="00F13623"/>
    <w:rsid w:val="00F44D1D"/>
    <w:rsid w:val="00F84B6D"/>
    <w:rsid w:val="00F957E8"/>
    <w:rsid w:val="00FA311A"/>
    <w:rsid w:val="00FA5FDA"/>
    <w:rsid w:val="00FB6AB3"/>
    <w:rsid w:val="00FC129F"/>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character" w:styleId="Hyperlink">
    <w:name w:val="Hyperlink"/>
    <w:semiHidden/>
    <w:unhideWhenUsed/>
    <w:rsid w:val="0075578C"/>
    <w:rPr>
      <w:color w:val="0000FF"/>
      <w:u w:val="single"/>
    </w:rPr>
  </w:style>
  <w:style w:type="paragraph" w:styleId="ad">
    <w:name w:val="List Paragraph"/>
    <w:basedOn w:val="a"/>
    <w:uiPriority w:val="34"/>
    <w:qFormat/>
    <w:rsid w:val="0075578C"/>
    <w:pPr>
      <w:spacing w:after="160" w:line="256" w:lineRule="auto"/>
      <w:ind w:left="720"/>
      <w:contextualSpacing/>
    </w:pPr>
    <w:rPr>
      <w:rFonts w:asciiTheme="minorHAnsi" w:eastAsiaTheme="minorHAnsi" w:hAnsiTheme="minorHAnsi" w:cstheme="minorBidi"/>
      <w:noProof w:val="0"/>
      <w:sz w:val="22"/>
      <w:szCs w:val="22"/>
    </w:rPr>
  </w:style>
  <w:style w:type="character" w:customStyle="1" w:styleId="Ruller4">
    <w:name w:val="Ruller4 תו"/>
    <w:link w:val="Ruller40"/>
    <w:locked/>
    <w:rsid w:val="0075578C"/>
    <w:rPr>
      <w:rFonts w:ascii="Arial TUR" w:hAnsi="Arial TUR" w:cs="FrankRuehl"/>
      <w:spacing w:val="10"/>
      <w:szCs w:val="28"/>
    </w:rPr>
  </w:style>
  <w:style w:type="paragraph" w:customStyle="1" w:styleId="Ruller40">
    <w:name w:val="Ruller4"/>
    <w:basedOn w:val="a"/>
    <w:link w:val="Ruller4"/>
    <w:rsid w:val="0075578C"/>
    <w:pPr>
      <w:tabs>
        <w:tab w:val="left" w:pos="800"/>
      </w:tabs>
      <w:overflowPunct w:val="0"/>
      <w:autoSpaceDE w:val="0"/>
      <w:autoSpaceDN w:val="0"/>
      <w:adjustRightInd w:val="0"/>
      <w:spacing w:line="360" w:lineRule="auto"/>
      <w:jc w:val="both"/>
    </w:pPr>
    <w:rPr>
      <w:rFonts w:ascii="Arial TUR" w:hAnsi="Arial TUR" w:cs="FrankRuehl"/>
      <w:noProof w:val="0"/>
      <w:spacing w:val="10"/>
      <w:sz w:val="20"/>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09403946">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hyperlink" Target="http://www.nevo.co.il/law/74372/1" TargetMode="External"/><Relationship Id="rId18" Type="http://schemas.openxmlformats.org/officeDocument/2006/relationships/hyperlink" Target="http://www.nevo.co.il/case/17931016" TargetMode="External"/><Relationship Id="rId26" Type="http://schemas.openxmlformats.org/officeDocument/2006/relationships/hyperlink" Target="http://www.nevo.co.il/law/74372/2" TargetMode="External"/><Relationship Id="rId39" Type="http://schemas.openxmlformats.org/officeDocument/2006/relationships/hyperlink" Target="http://www.nevo.co.il/law/74372" TargetMode="External"/><Relationship Id="rId21" Type="http://schemas.openxmlformats.org/officeDocument/2006/relationships/hyperlink" Target="http://www.nevo.co.il/case/6189769" TargetMode="External"/><Relationship Id="rId34" Type="http://schemas.openxmlformats.org/officeDocument/2006/relationships/hyperlink" Target="http://www.nevo.co.il/case/20008086" TargetMode="External"/><Relationship Id="rId42" Type="http://schemas.openxmlformats.org/officeDocument/2006/relationships/hyperlink" Target="http://www.nevo.co.il/case/23751570" TargetMode="External"/><Relationship Id="rId47" Type="http://schemas.openxmlformats.org/officeDocument/2006/relationships/footer" Target="footer1.xml"/><Relationship Id="rId50" Type="http://schemas.openxmlformats.org/officeDocument/2006/relationships/footer" Target="footer3.xml"/><Relationship Id="rId7" Type="http://schemas.openxmlformats.org/officeDocument/2006/relationships/webSettings" Target="webSettings.xml"/><Relationship Id="rId2" Type="http://schemas.openxmlformats.org/officeDocument/2006/relationships/customXml" Target="../customXml/item1.xml"/><Relationship Id="rId16" Type="http://schemas.openxmlformats.org/officeDocument/2006/relationships/hyperlink" Target="http://www.nevo.co.il/law/74372/1" TargetMode="External"/><Relationship Id="rId29" Type="http://schemas.openxmlformats.org/officeDocument/2006/relationships/hyperlink" Target="http://www.nevo.co.il/law/74372" TargetMode="External"/><Relationship Id="rId11" Type="http://schemas.openxmlformats.org/officeDocument/2006/relationships/hyperlink" Target="http://www.nevo.co.il/law/74372" TargetMode="External"/><Relationship Id="rId24" Type="http://schemas.openxmlformats.org/officeDocument/2006/relationships/hyperlink" Target="http://www.nevo.co.il/case/716849" TargetMode="External"/><Relationship Id="rId32" Type="http://schemas.openxmlformats.org/officeDocument/2006/relationships/hyperlink" Target="http://www.nevo.co.il/case/5579122" TargetMode="External"/><Relationship Id="rId37" Type="http://schemas.openxmlformats.org/officeDocument/2006/relationships/hyperlink" Target="http://www.nevo.co.il/case/20683524" TargetMode="External"/><Relationship Id="rId40" Type="http://schemas.openxmlformats.org/officeDocument/2006/relationships/hyperlink" Target="http://www.nevo.co.il/safrut/bookgroup/434" TargetMode="External"/><Relationship Id="rId45" Type="http://schemas.openxmlformats.org/officeDocument/2006/relationships/header" Target="header1.xml"/><Relationship Id="rId53" Type="http://schemas.openxmlformats.org/officeDocument/2006/relationships/theme" Target="theme/theme1.xml"/><Relationship Id="rId5" Type="http://schemas.openxmlformats.org/officeDocument/2006/relationships/styles" Target="styles.xml"/><Relationship Id="rId10" Type="http://schemas.openxmlformats.org/officeDocument/2006/relationships/hyperlink" Target="http://www.nevo.co.il/law/74372/2" TargetMode="External"/><Relationship Id="rId19" Type="http://schemas.openxmlformats.org/officeDocument/2006/relationships/hyperlink" Target="http://www.nevo.co.il/case/17005217" TargetMode="External"/><Relationship Id="rId31" Type="http://schemas.openxmlformats.org/officeDocument/2006/relationships/hyperlink" Target="http://www.nevo.co.il/case/5962502" TargetMode="External"/><Relationship Id="rId44" Type="http://schemas.openxmlformats.org/officeDocument/2006/relationships/image" Target="media/image1.jpg"/><Relationship Id="rId52"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nevo.co.il/law/74372/2" TargetMode="External"/><Relationship Id="rId22" Type="http://schemas.openxmlformats.org/officeDocument/2006/relationships/hyperlink" Target="http://www.nevo.co.il/case/6195311" TargetMode="External"/><Relationship Id="rId27" Type="http://schemas.openxmlformats.org/officeDocument/2006/relationships/hyperlink" Target="http://www.nevo.co.il/law/74372" TargetMode="External"/><Relationship Id="rId30" Type="http://schemas.openxmlformats.org/officeDocument/2006/relationships/hyperlink" Target="http://www.nevo.co.il/case/7791181" TargetMode="External"/><Relationship Id="rId35" Type="http://schemas.openxmlformats.org/officeDocument/2006/relationships/hyperlink" Target="http://www.nevo.co.il/case/20681815" TargetMode="External"/><Relationship Id="rId43" Type="http://schemas.openxmlformats.org/officeDocument/2006/relationships/hyperlink" Target="http://www.nevo.co.il/case/18699871" TargetMode="External"/><Relationship Id="rId48" Type="http://schemas.openxmlformats.org/officeDocument/2006/relationships/footer" Target="footer2.xml"/><Relationship Id="rId8" Type="http://schemas.openxmlformats.org/officeDocument/2006/relationships/footnotes" Target="footnotes.xml"/><Relationship Id="rId51" Type="http://schemas.openxmlformats.org/officeDocument/2006/relationships/fontTable" Target="fontTable.xml"/><Relationship Id="rId3" Type="http://schemas.openxmlformats.org/officeDocument/2006/relationships/customXml" Target="../customXml/item2.xml"/><Relationship Id="rId12" Type="http://schemas.openxmlformats.org/officeDocument/2006/relationships/hyperlink" Target="http://www.nevo.co.il/law/74372/7a.b" TargetMode="External"/><Relationship Id="rId17" Type="http://schemas.openxmlformats.org/officeDocument/2006/relationships/hyperlink" Target="http://www.nevo.co.il/case/778459%20" TargetMode="External"/><Relationship Id="rId25" Type="http://schemas.openxmlformats.org/officeDocument/2006/relationships/hyperlink" Target="http://www.nevo.co.il/law/4528" TargetMode="External"/><Relationship Id="rId33" Type="http://schemas.openxmlformats.org/officeDocument/2006/relationships/hyperlink" Target="http://www.nevo.co.il/case/17928336" TargetMode="External"/><Relationship Id="rId38" Type="http://schemas.openxmlformats.org/officeDocument/2006/relationships/hyperlink" Target="http://www.nevo.co.il/law/74372" TargetMode="External"/><Relationship Id="rId46" Type="http://schemas.openxmlformats.org/officeDocument/2006/relationships/header" Target="header2.xml"/><Relationship Id="rId20" Type="http://schemas.openxmlformats.org/officeDocument/2006/relationships/hyperlink" Target="http://www.nevo.co.il/case/5746394" TargetMode="External"/><Relationship Id="rId41" Type="http://schemas.openxmlformats.org/officeDocument/2006/relationships/hyperlink" Target="http://www.nevo.co.il/case/22842300" TargetMode="External"/><Relationship Id="rId1" Type="http://schemas.microsoft.com/office/2006/relationships/keyMapCustomizations" Target="customizations.xml"/><Relationship Id="rId6" Type="http://schemas.openxmlformats.org/officeDocument/2006/relationships/settings" Target="settings.xml"/><Relationship Id="rId15" Type="http://schemas.openxmlformats.org/officeDocument/2006/relationships/hyperlink" Target="http://www.nevo.co.il/law/74372/13;14;15" TargetMode="External"/><Relationship Id="rId23" Type="http://schemas.openxmlformats.org/officeDocument/2006/relationships/hyperlink" Target="http://www.nevo.co.il/safrut/bookgroup/434" TargetMode="External"/><Relationship Id="rId28" Type="http://schemas.openxmlformats.org/officeDocument/2006/relationships/hyperlink" Target="http://www.nevo.co.il/law/74372" TargetMode="External"/><Relationship Id="rId36" Type="http://schemas.openxmlformats.org/officeDocument/2006/relationships/hyperlink" Target="http://www.nevo.co.il/safrut/bookgroup/434" TargetMode="External"/><Relationship Id="rId49"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D72922" w:rsidP="00D72922">
          <w:pPr>
            <w:pStyle w:val="E460D38E05664FF79D4EFF282EF8EC9926"/>
          </w:pPr>
          <w:r>
            <w:rPr>
              <w:rFonts w:hint="cs"/>
              <w:rtl/>
            </w:rPr>
            <w:t xml:space="preserve">     </w:t>
          </w:r>
        </w:p>
      </w:docPartBody>
    </w:docPart>
    <w:docPart>
      <w:docPartPr>
        <w:name w:val="D290653DA13E4E738B7E725F79D73329"/>
        <w:category>
          <w:name w:val="כללי"/>
          <w:gallery w:val="placeholder"/>
        </w:category>
        <w:types>
          <w:type w:val="bbPlcHdr"/>
        </w:types>
        <w:behaviors>
          <w:behavior w:val="content"/>
        </w:behaviors>
        <w:guid w:val="{A03D6ABB-52CE-4E84-8467-25FC78F3B2B0}"/>
      </w:docPartPr>
      <w:docPartBody>
        <w:p w:rsidR="00E31BF6" w:rsidRDefault="00817811" w:rsidP="00817811">
          <w:pPr>
            <w:pStyle w:val="D290653DA13E4E738B7E725F79D7332918"/>
          </w:pPr>
          <w:r>
            <w:rPr>
              <w:rFonts w:hint="eastAsia"/>
              <w:sz w:val="20"/>
              <w:szCs w:val="20"/>
              <w:rtl/>
            </w:rPr>
            <w:t>מספר</w:t>
          </w:r>
          <w:r>
            <w:rPr>
              <w:sz w:val="20"/>
              <w:szCs w:val="20"/>
              <w:rtl/>
            </w:rPr>
            <w:t xml:space="preserve"> תיק חיצוני</w:t>
          </w:r>
        </w:p>
      </w:docPartBody>
    </w:docPart>
    <w:docPart>
      <w:docPartPr>
        <w:name w:val="F5EF4663D5094D57BB3FEC6B89CF5C8E"/>
        <w:category>
          <w:name w:val="כללי"/>
          <w:gallery w:val="placeholder"/>
        </w:category>
        <w:types>
          <w:type w:val="bbPlcHdr"/>
        </w:types>
        <w:behaviors>
          <w:behavior w:val="content"/>
        </w:behaviors>
        <w:guid w:val="{7E0A614E-80C5-44FD-87E0-2CF97AE84F43}"/>
      </w:docPartPr>
      <w:docPartBody>
        <w:p w:rsidR="00CE1DCB" w:rsidRDefault="00817811" w:rsidP="00817811">
          <w:pPr>
            <w:pStyle w:val="F5EF4663D5094D57BB3FEC6B89CF5C8E3"/>
          </w:pPr>
          <w:r>
            <w:rPr>
              <w:b/>
              <w:bCs/>
              <w:noProof w:val="0"/>
              <w:sz w:val="26"/>
              <w:szCs w:val="26"/>
              <w:rtl/>
            </w:rPr>
            <w:t>שם תיק ללא שמות חסויים</w:t>
          </w:r>
        </w:p>
      </w:docPartBody>
    </w:docPart>
    <w:docPart>
      <w:docPartPr>
        <w:name w:val="7D8E46D2581B4CD9ACC623ACA7D52F75"/>
        <w:category>
          <w:name w:val="כללי"/>
          <w:gallery w:val="placeholder"/>
        </w:category>
        <w:types>
          <w:type w:val="bbPlcHdr"/>
        </w:types>
        <w:behaviors>
          <w:behavior w:val="content"/>
        </w:behaviors>
        <w:guid w:val="{1296321F-BC41-4B5F-9896-EB0575AEB2E4}"/>
      </w:docPartPr>
      <w:docPartBody>
        <w:p w:rsidR="00CE1DCB" w:rsidRDefault="00817811" w:rsidP="00817811">
          <w:pPr>
            <w:pStyle w:val="7D8E46D2581B4CD9ACC623ACA7D52F753"/>
          </w:pPr>
          <w:r w:rsidRPr="007C2453">
            <w:rPr>
              <w:rFonts w:ascii="Arial" w:hAnsi="Arial" w:hint="eastAsia"/>
              <w:b/>
              <w:bCs/>
              <w:noProof w:val="0"/>
              <w:sz w:val="26"/>
              <w:szCs w:val="26"/>
              <w:rtl/>
            </w:rPr>
            <w:t>שם</w:t>
          </w:r>
          <w:r w:rsidRPr="007C2453">
            <w:rPr>
              <w:rFonts w:ascii="Arial" w:hAnsi="Arial"/>
              <w:b/>
              <w:bCs/>
              <w:noProof w:val="0"/>
              <w:sz w:val="26"/>
              <w:szCs w:val="26"/>
              <w:rtl/>
            </w:rPr>
            <w:t xml:space="preserve"> צד א' ללא שם של חסוי</w:t>
          </w:r>
        </w:p>
      </w:docPartBody>
    </w:docPart>
    <w:docPart>
      <w:docPartPr>
        <w:name w:val="C3B0FBA23B684176B12DDEEA2C39785F"/>
        <w:category>
          <w:name w:val="כללי"/>
          <w:gallery w:val="placeholder"/>
        </w:category>
        <w:types>
          <w:type w:val="bbPlcHdr"/>
        </w:types>
        <w:behaviors>
          <w:behavior w:val="content"/>
        </w:behaviors>
        <w:guid w:val="{B2AB7A4C-E167-4A48-8910-769B91690B71}"/>
      </w:docPartPr>
      <w:docPartBody>
        <w:p w:rsidR="00CE1DCB" w:rsidRDefault="00817811" w:rsidP="00817811">
          <w:pPr>
            <w:pStyle w:val="C3B0FBA23B684176B12DDEEA2C39785F3"/>
          </w:pPr>
          <w:r>
            <w:rPr>
              <w:rFonts w:ascii="Arial" w:hAnsi="Arial" w:hint="eastAsia"/>
              <w:b/>
              <w:bCs/>
              <w:noProof w:val="0"/>
              <w:sz w:val="26"/>
              <w:szCs w:val="26"/>
              <w:rtl/>
            </w:rPr>
            <w:t>שם</w:t>
          </w:r>
          <w:r>
            <w:rPr>
              <w:rFonts w:ascii="Arial" w:hAnsi="Arial"/>
              <w:b/>
              <w:bCs/>
              <w:noProof w:val="0"/>
              <w:sz w:val="26"/>
              <w:szCs w:val="26"/>
              <w:rtl/>
            </w:rPr>
            <w:t xml:space="preserve"> צד ב' ללא שם של חסוי</w:t>
          </w:r>
        </w:p>
      </w:docPartBody>
    </w:docPart>
    <w:docPart>
      <w:docPartPr>
        <w:name w:val="D0835A28627A476594973290286577B2"/>
        <w:category>
          <w:name w:val="כללי"/>
          <w:gallery w:val="placeholder"/>
        </w:category>
        <w:types>
          <w:type w:val="bbPlcHdr"/>
        </w:types>
        <w:behaviors>
          <w:behavior w:val="content"/>
        </w:behaviors>
        <w:guid w:val="{B58AC2E4-A63A-41F5-B07A-05150DB4A8E9}"/>
      </w:docPartPr>
      <w:docPartBody>
        <w:p w:rsidR="00817811" w:rsidRDefault="00817811" w:rsidP="00817811">
          <w:pPr>
            <w:pStyle w:val="D0835A28627A476594973290286577B21"/>
          </w:pPr>
          <w:r w:rsidRPr="007C2453">
            <w:rPr>
              <w:rFonts w:ascii="Arial" w:hAnsi="Arial"/>
              <w:b/>
              <w:bCs/>
              <w:noProof w:val="0"/>
              <w:sz w:val="26"/>
              <w:szCs w:val="26"/>
              <w:rtl/>
            </w:rPr>
            <w:t>שם צד ג' ללא שם של חסוי</w:t>
          </w:r>
        </w:p>
      </w:docPartBody>
    </w:docPart>
    <w:docPart>
      <w:docPartPr>
        <w:name w:val="C0D9D4EB038F4D9DB24B5A2B7A8F2E7B"/>
        <w:category>
          <w:name w:val="כללי"/>
          <w:gallery w:val="placeholder"/>
        </w:category>
        <w:types>
          <w:type w:val="bbPlcHdr"/>
        </w:types>
        <w:behaviors>
          <w:behavior w:val="content"/>
        </w:behaviors>
        <w:guid w:val="{22B7C322-3B71-4615-99D1-4C2603CD5190}"/>
      </w:docPartPr>
      <w:docPartBody>
        <w:p w:rsidR="00817811" w:rsidRDefault="00817811" w:rsidP="00817811">
          <w:pPr>
            <w:pStyle w:val="C0D9D4EB038F4D9DB24B5A2B7A8F2E7B1"/>
          </w:pPr>
          <w:r w:rsidRPr="00272E32">
            <w:rPr>
              <w:rFonts w:ascii="Arial" w:hAnsi="Arial"/>
              <w:b/>
              <w:bCs/>
              <w:noProof w:val="0"/>
              <w:sz w:val="26"/>
              <w:szCs w:val="26"/>
              <w:rtl/>
            </w:rPr>
            <w:t>מעמד.כינוי צד ג'</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TUR">
    <w:altName w:val="Arial"/>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77CC"/>
    <w:rsid w:val="000A4ACE"/>
    <w:rsid w:val="000E47EB"/>
    <w:rsid w:val="002D02C4"/>
    <w:rsid w:val="00345C9D"/>
    <w:rsid w:val="0048651F"/>
    <w:rsid w:val="005157ED"/>
    <w:rsid w:val="005171E8"/>
    <w:rsid w:val="00556D67"/>
    <w:rsid w:val="00793995"/>
    <w:rsid w:val="007C6F98"/>
    <w:rsid w:val="007E254A"/>
    <w:rsid w:val="00817811"/>
    <w:rsid w:val="008B4366"/>
    <w:rsid w:val="009133C7"/>
    <w:rsid w:val="009178E4"/>
    <w:rsid w:val="00961B27"/>
    <w:rsid w:val="009A4BEE"/>
    <w:rsid w:val="00A51CA1"/>
    <w:rsid w:val="00AA7CE3"/>
    <w:rsid w:val="00AD53D7"/>
    <w:rsid w:val="00B50DB2"/>
    <w:rsid w:val="00B91FA3"/>
    <w:rsid w:val="00BE6557"/>
    <w:rsid w:val="00C96C06"/>
    <w:rsid w:val="00CE1DCB"/>
    <w:rsid w:val="00D24521"/>
    <w:rsid w:val="00D72922"/>
    <w:rsid w:val="00E31BF6"/>
    <w:rsid w:val="00E81DB1"/>
    <w:rsid w:val="00F00DF8"/>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72922"/>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F00DF8"/>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F00DF8"/>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F00DF8"/>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F00DF8"/>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F00DF8"/>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F00DF8"/>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F00DF8"/>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F00DF8"/>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F00DF8"/>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A51CA1"/>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A51CA1"/>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A51CA1"/>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A51CA1"/>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A51CA1"/>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A51CA1"/>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A51CA1"/>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A51CA1"/>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A51CA1"/>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9A4BEE"/>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9A4BEE"/>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9A4BEE"/>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A4BEE"/>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A4BEE"/>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A4BEE"/>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A4BEE"/>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A4BEE"/>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9A4BEE"/>
    <w:pPr>
      <w:bidi/>
      <w:spacing w:after="0" w:line="240" w:lineRule="auto"/>
    </w:pPr>
    <w:rPr>
      <w:rFonts w:ascii="Times New Roman" w:eastAsia="Times New Roman" w:hAnsi="Times New Roman" w:cs="David"/>
      <w:noProof/>
      <w:sz w:val="24"/>
      <w:szCs w:val="24"/>
    </w:rPr>
  </w:style>
  <w:style w:type="paragraph" w:customStyle="1" w:styleId="7D8E46D2581B4CD9ACC623ACA7D52F75">
    <w:name w:val="7D8E46D2581B4CD9ACC623ACA7D52F75"/>
    <w:rsid w:val="00CE1DCB"/>
    <w:pPr>
      <w:bidi/>
      <w:spacing w:after="0" w:line="240" w:lineRule="auto"/>
    </w:pPr>
    <w:rPr>
      <w:rFonts w:ascii="Times New Roman" w:eastAsia="Times New Roman" w:hAnsi="Times New Roman" w:cs="David"/>
      <w:noProof/>
      <w:sz w:val="24"/>
      <w:szCs w:val="24"/>
    </w:rPr>
  </w:style>
  <w:style w:type="paragraph" w:customStyle="1" w:styleId="C3B0FBA23B684176B12DDEEA2C39785F">
    <w:name w:val="C3B0FBA23B684176B12DDEEA2C39785F"/>
    <w:rsid w:val="00CE1DCB"/>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CE1DCB"/>
    <w:pPr>
      <w:bidi/>
      <w:spacing w:after="0" w:line="240" w:lineRule="auto"/>
    </w:pPr>
    <w:rPr>
      <w:rFonts w:ascii="Times New Roman" w:eastAsia="Times New Roman" w:hAnsi="Times New Roman" w:cs="David"/>
      <w:noProof/>
      <w:sz w:val="24"/>
      <w:szCs w:val="24"/>
    </w:rPr>
  </w:style>
  <w:style w:type="paragraph" w:customStyle="1" w:styleId="CE26ADB1C1994B8A94D39E5A254497AA">
    <w:name w:val="CE26ADB1C1994B8A94D39E5A254497AA"/>
    <w:rsid w:val="00CE1DCB"/>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CE1DCB"/>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CE1DCB"/>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CE1DCB"/>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CE1DCB"/>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CE1DCB"/>
    <w:pPr>
      <w:bidi/>
      <w:spacing w:after="0" w:line="240" w:lineRule="auto"/>
    </w:pPr>
    <w:rPr>
      <w:rFonts w:ascii="Times New Roman" w:eastAsia="Times New Roman" w:hAnsi="Times New Roman" w:cs="David"/>
      <w:noProof/>
      <w:sz w:val="24"/>
      <w:szCs w:val="24"/>
    </w:rPr>
  </w:style>
  <w:style w:type="paragraph" w:customStyle="1" w:styleId="F5EF4663D5094D57BB3FEC6B89CF5C8E">
    <w:name w:val="F5EF4663D5094D57BB3FEC6B89CF5C8E"/>
    <w:rsid w:val="00CE1DCB"/>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CE1DCB"/>
    <w:pPr>
      <w:bidi/>
      <w:spacing w:after="0" w:line="240" w:lineRule="auto"/>
    </w:pPr>
    <w:rPr>
      <w:rFonts w:ascii="Times New Roman" w:eastAsia="Times New Roman" w:hAnsi="Times New Roman" w:cs="David"/>
      <w:noProof/>
      <w:sz w:val="24"/>
      <w:szCs w:val="24"/>
    </w:rPr>
  </w:style>
  <w:style w:type="paragraph" w:customStyle="1" w:styleId="32C57370D60D49D08DBB7279C159E425">
    <w:name w:val="32C57370D60D49D08DBB7279C159E425"/>
    <w:rsid w:val="00CE1DCB"/>
    <w:pPr>
      <w:bidi/>
      <w:spacing w:after="160" w:line="259" w:lineRule="auto"/>
    </w:pPr>
  </w:style>
  <w:style w:type="paragraph" w:customStyle="1" w:styleId="7D8E46D2581B4CD9ACC623ACA7D52F751">
    <w:name w:val="7D8E46D2581B4CD9ACC623ACA7D52F751"/>
    <w:rsid w:val="00AD53D7"/>
    <w:pPr>
      <w:bidi/>
      <w:spacing w:after="0" w:line="240" w:lineRule="auto"/>
    </w:pPr>
    <w:rPr>
      <w:rFonts w:ascii="Times New Roman" w:eastAsia="Times New Roman" w:hAnsi="Times New Roman" w:cs="David"/>
      <w:noProof/>
      <w:sz w:val="24"/>
      <w:szCs w:val="24"/>
    </w:rPr>
  </w:style>
  <w:style w:type="paragraph" w:customStyle="1" w:styleId="C3B0FBA23B684176B12DDEEA2C39785F1">
    <w:name w:val="C3B0FBA23B684176B12DDEEA2C39785F1"/>
    <w:rsid w:val="00AD53D7"/>
    <w:pPr>
      <w:bidi/>
      <w:spacing w:after="0" w:line="240" w:lineRule="auto"/>
    </w:pPr>
    <w:rPr>
      <w:rFonts w:ascii="Times New Roman" w:eastAsia="Times New Roman" w:hAnsi="Times New Roman" w:cs="David"/>
      <w:noProof/>
      <w:sz w:val="24"/>
      <w:szCs w:val="24"/>
    </w:rPr>
  </w:style>
  <w:style w:type="paragraph" w:customStyle="1" w:styleId="5FE133EA4EB14C2CAB6C483B10D59812">
    <w:name w:val="5FE133EA4EB14C2CAB6C483B10D59812"/>
    <w:rsid w:val="00AD53D7"/>
    <w:pPr>
      <w:bidi/>
      <w:spacing w:after="0" w:line="240" w:lineRule="auto"/>
    </w:pPr>
    <w:rPr>
      <w:rFonts w:ascii="Times New Roman" w:eastAsia="Times New Roman" w:hAnsi="Times New Roman" w:cs="David"/>
      <w:noProof/>
      <w:sz w:val="24"/>
      <w:szCs w:val="24"/>
    </w:rPr>
  </w:style>
  <w:style w:type="paragraph" w:customStyle="1" w:styleId="32C57370D60D49D08DBB7279C159E4251">
    <w:name w:val="32C57370D60D49D08DBB7279C159E4251"/>
    <w:rsid w:val="00AD53D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AD53D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AD53D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AD53D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AD53D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AD53D7"/>
    <w:pPr>
      <w:bidi/>
      <w:spacing w:after="0" w:line="240" w:lineRule="auto"/>
    </w:pPr>
    <w:rPr>
      <w:rFonts w:ascii="Times New Roman" w:eastAsia="Times New Roman" w:hAnsi="Times New Roman" w:cs="David"/>
      <w:noProof/>
      <w:sz w:val="24"/>
      <w:szCs w:val="24"/>
    </w:rPr>
  </w:style>
  <w:style w:type="paragraph" w:customStyle="1" w:styleId="F5EF4663D5094D57BB3FEC6B89CF5C8E1">
    <w:name w:val="F5EF4663D5094D57BB3FEC6B89CF5C8E1"/>
    <w:rsid w:val="00AD53D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AD53D7"/>
    <w:pPr>
      <w:bidi/>
      <w:spacing w:after="0" w:line="240" w:lineRule="auto"/>
    </w:pPr>
    <w:rPr>
      <w:rFonts w:ascii="Times New Roman" w:eastAsia="Times New Roman" w:hAnsi="Times New Roman" w:cs="David"/>
      <w:noProof/>
      <w:sz w:val="24"/>
      <w:szCs w:val="24"/>
    </w:rPr>
  </w:style>
  <w:style w:type="paragraph" w:customStyle="1" w:styleId="7D8E46D2581B4CD9ACC623ACA7D52F752">
    <w:name w:val="7D8E46D2581B4CD9ACC623ACA7D52F752"/>
    <w:rsid w:val="000177CC"/>
    <w:pPr>
      <w:bidi/>
      <w:spacing w:after="0" w:line="240" w:lineRule="auto"/>
    </w:pPr>
    <w:rPr>
      <w:rFonts w:ascii="Times New Roman" w:eastAsia="Times New Roman" w:hAnsi="Times New Roman" w:cs="David"/>
      <w:noProof/>
      <w:sz w:val="24"/>
      <w:szCs w:val="24"/>
    </w:rPr>
  </w:style>
  <w:style w:type="paragraph" w:customStyle="1" w:styleId="C3B0FBA23B684176B12DDEEA2C39785F2">
    <w:name w:val="C3B0FBA23B684176B12DDEEA2C39785F2"/>
    <w:rsid w:val="000177CC"/>
    <w:pPr>
      <w:bidi/>
      <w:spacing w:after="0" w:line="240" w:lineRule="auto"/>
    </w:pPr>
    <w:rPr>
      <w:rFonts w:ascii="Times New Roman" w:eastAsia="Times New Roman" w:hAnsi="Times New Roman" w:cs="David"/>
      <w:noProof/>
      <w:sz w:val="24"/>
      <w:szCs w:val="24"/>
    </w:rPr>
  </w:style>
  <w:style w:type="paragraph" w:customStyle="1" w:styleId="5FE133EA4EB14C2CAB6C483B10D598121">
    <w:name w:val="5FE133EA4EB14C2CAB6C483B10D598121"/>
    <w:rsid w:val="000177CC"/>
    <w:pPr>
      <w:bidi/>
      <w:spacing w:after="0" w:line="240" w:lineRule="auto"/>
    </w:pPr>
    <w:rPr>
      <w:rFonts w:ascii="Times New Roman" w:eastAsia="Times New Roman" w:hAnsi="Times New Roman" w:cs="David"/>
      <w:noProof/>
      <w:sz w:val="24"/>
      <w:szCs w:val="24"/>
    </w:rPr>
  </w:style>
  <w:style w:type="paragraph" w:customStyle="1" w:styleId="32C57370D60D49D08DBB7279C159E4252">
    <w:name w:val="32C57370D60D49D08DBB7279C159E4252"/>
    <w:rsid w:val="000177CC"/>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0177CC"/>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0177CC"/>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0177CC"/>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0177C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0177CC"/>
    <w:pPr>
      <w:bidi/>
      <w:spacing w:after="0" w:line="240" w:lineRule="auto"/>
    </w:pPr>
    <w:rPr>
      <w:rFonts w:ascii="Times New Roman" w:eastAsia="Times New Roman" w:hAnsi="Times New Roman" w:cs="David"/>
      <w:noProof/>
      <w:sz w:val="24"/>
      <w:szCs w:val="24"/>
    </w:rPr>
  </w:style>
  <w:style w:type="paragraph" w:customStyle="1" w:styleId="F5EF4663D5094D57BB3FEC6B89CF5C8E2">
    <w:name w:val="F5EF4663D5094D57BB3FEC6B89CF5C8E2"/>
    <w:rsid w:val="000177C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0177CC"/>
    <w:pPr>
      <w:bidi/>
      <w:spacing w:after="0" w:line="240" w:lineRule="auto"/>
    </w:pPr>
    <w:rPr>
      <w:rFonts w:ascii="Times New Roman" w:eastAsia="Times New Roman" w:hAnsi="Times New Roman" w:cs="David"/>
      <w:noProof/>
      <w:sz w:val="24"/>
      <w:szCs w:val="24"/>
    </w:rPr>
  </w:style>
  <w:style w:type="paragraph" w:customStyle="1" w:styleId="D0835A28627A476594973290286577B2">
    <w:name w:val="D0835A28627A476594973290286577B2"/>
    <w:rsid w:val="000177CC"/>
    <w:pPr>
      <w:bidi/>
      <w:spacing w:after="160" w:line="259" w:lineRule="auto"/>
    </w:pPr>
  </w:style>
  <w:style w:type="paragraph" w:customStyle="1" w:styleId="C0D9D4EB038F4D9DB24B5A2B7A8F2E7B">
    <w:name w:val="C0D9D4EB038F4D9DB24B5A2B7A8F2E7B"/>
    <w:rsid w:val="000177CC"/>
    <w:pPr>
      <w:bidi/>
      <w:spacing w:after="160" w:line="259" w:lineRule="auto"/>
    </w:pPr>
  </w:style>
  <w:style w:type="paragraph" w:customStyle="1" w:styleId="7D8E46D2581B4CD9ACC623ACA7D52F753">
    <w:name w:val="7D8E46D2581B4CD9ACC623ACA7D52F753"/>
    <w:rsid w:val="00817811"/>
    <w:pPr>
      <w:bidi/>
      <w:spacing w:after="0" w:line="240" w:lineRule="auto"/>
    </w:pPr>
    <w:rPr>
      <w:rFonts w:ascii="Times New Roman" w:eastAsia="Times New Roman" w:hAnsi="Times New Roman" w:cs="David"/>
      <w:noProof/>
      <w:sz w:val="24"/>
      <w:szCs w:val="24"/>
    </w:rPr>
  </w:style>
  <w:style w:type="paragraph" w:customStyle="1" w:styleId="C3B0FBA23B684176B12DDEEA2C39785F3">
    <w:name w:val="C3B0FBA23B684176B12DDEEA2C39785F3"/>
    <w:rsid w:val="00817811"/>
    <w:pPr>
      <w:bidi/>
      <w:spacing w:after="0" w:line="240" w:lineRule="auto"/>
    </w:pPr>
    <w:rPr>
      <w:rFonts w:ascii="Times New Roman" w:eastAsia="Times New Roman" w:hAnsi="Times New Roman" w:cs="David"/>
      <w:noProof/>
      <w:sz w:val="24"/>
      <w:szCs w:val="24"/>
    </w:rPr>
  </w:style>
  <w:style w:type="paragraph" w:customStyle="1" w:styleId="C0D9D4EB038F4D9DB24B5A2B7A8F2E7B1">
    <w:name w:val="C0D9D4EB038F4D9DB24B5A2B7A8F2E7B1"/>
    <w:rsid w:val="00817811"/>
    <w:pPr>
      <w:bidi/>
      <w:spacing w:after="0" w:line="240" w:lineRule="auto"/>
    </w:pPr>
    <w:rPr>
      <w:rFonts w:ascii="Times New Roman" w:eastAsia="Times New Roman" w:hAnsi="Times New Roman" w:cs="David"/>
      <w:noProof/>
      <w:sz w:val="24"/>
      <w:szCs w:val="24"/>
    </w:rPr>
  </w:style>
  <w:style w:type="paragraph" w:customStyle="1" w:styleId="D0835A28627A476594973290286577B21">
    <w:name w:val="D0835A28627A476594973290286577B21"/>
    <w:rsid w:val="00817811"/>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817811"/>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817811"/>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817811"/>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817811"/>
    <w:pPr>
      <w:bidi/>
      <w:spacing w:after="0" w:line="240" w:lineRule="auto"/>
    </w:pPr>
    <w:rPr>
      <w:rFonts w:ascii="Times New Roman" w:eastAsia="Times New Roman" w:hAnsi="Times New Roman" w:cs="David"/>
      <w:noProof/>
      <w:sz w:val="24"/>
      <w:szCs w:val="24"/>
    </w:rPr>
  </w:style>
  <w:style w:type="paragraph" w:customStyle="1" w:styleId="F5EF4663D5094D57BB3FEC6B89CF5C8E3">
    <w:name w:val="F5EF4663D5094D57BB3FEC6B89CF5C8E3"/>
    <w:rsid w:val="00817811"/>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D72922"/>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ecisionTemplateDS>
  <dt_Decision>
    <DecisionID>0</DecisionID>
    <CaseID>79163338</CaseID>
    <CaseJudicialPersonPresentationDS>
      <CaseJudicalPersonActive>
        <CaseID>79163338</CaseID>
        <JudicialPersonID>022209035@GOV.IL</JudicialPersonID>
        <JudicialPersonTypeID>1</JudicialPersonTypeID>
        <JudicialTypeID>1</JudicialTypeID>
        <IsChairman>false</IsChairman>
        <TreatmentStartDate>2022-03-29T15:54:50.393+03:00</TreatmentStartDate>
        <TreatmentFinishDate>9999-12-31T23:59:59.997+02:00</TreatmentFinishDate>
        <IdentificationCardNumber>022209035</IdentificationCardNumber>
        <DisplayName>ישראל פת</DisplayName>
        <JudicialTypeName>שופט</JudicialTypeName>
        <CaseJudicialGroupNumber>0</CaseJudicialGroupNumber>
        <FirstName>ישראל</FirstName>
        <LastName>פת</LastName>
        <JudicialPersonTitle>שופט</JudicialPersonTitle>
      </CaseJudicalPersonActive>
    </CaseJudicialPersonPresentationDS>
    <CasePartiesSelectionDS>
      <CaseParties>
        <PartyTypeName>מסייע</PartyTypeName>
        <ProceedingType>כתב טענות עיקרי</ProceedingType>
        <PleaName>כתב תביעה</PleaName>
        <PartyBelonging> - </PartyBelonging>
        <RoleName>מגשר מהו"ת</RoleName>
        <IsSubProceeding>FALSE</IsSubProceeding>
        <FullName>יואב ביין</FullName>
        <FirstName>יואב</FirstName>
        <LastName>ביין</LastName>
        <PartyPropertyName/>
        <AuthenticationTypeAndNumber>ת"ז 024453706</AuthenticationTypeAndNumber>
        <RepresentatedOrRepresentativesNames/>
        <RepresentatedOrRepresentativesCount>0</RepresentatedOrRepresentativesCount>
        <InvitedBy/>
        <CaseID>79163338</CaseID>
        <CaseJudicialPersonPresentationDS>
          <CaseJudicalPersonActive>
            <CaseID>79163338</CaseID>
            <JudicialPersonID>022209035@GOV.IL</JudicialPersonID>
            <JudicialPersonTypeID>1</JudicialPersonTypeID>
            <JudicialTypeID>1</JudicialTypeID>
            <IsChairman>false</IsChairman>
            <TreatmentStartDate>2022-03-29T15:54:50.393+03:00</TreatmentStartDate>
            <TreatmentFinishDate>9999-12-31T23:59:59.997+02:00</TreatmentFinishDate>
            <IdentificationCardNumber>022209035</IdentificationCardNumber>
            <DisplayName>ישראל פת</DisplayName>
            <JudicialTypeName>שופט</JudicialTypeName>
            <CaseJudicialGroupNumber>0</CaseJudicialGroupNumber>
            <FirstName>ישראל</FirstName>
            <LastName>פת</LastName>
            <JudicialPersonTitle>שופט</JudicialPersonTitle>
          </CaseJudicalPersonActive>
        </CaseJudicialPersonPresentationDS>
        <CasePartyID>244893795</CasePartyID>
        <PartyTypeID>3</PartyTypeID>
        <ActivityStatusID>1</ActivityStatusID>
        <LegalEntityID>75874055</LegalEntityID>
        <CaseLegalEntityID>120992738</CaseLegalEntityID>
        <AssistantRoleID>103</AssistantRoleID>
        <AuthenticationTypeID>1</AuthenticationTypeID>
        <AuthenticationTypeName>ת"ז</AuthenticationTypeName>
        <LegalEntityNumber>024453706</LegalEntityNumber>
        <IsMainPartyType>true</IsMainPartyType>
        <CaseDisplayIdentifier>64723-03-22</CaseDisplayIdentifier>
        <CaseTypeID>1</CaseTypeID>
        <CaseTypeName>תיק אזרחי בסדר דין רגיל (ת"א)</CaseTypeName>
        <CaseName>אורגד נ' מירון</CaseName>
        <FullAddress>דניאל 1 פינת הנביאים 8 חיפה </FullAddress>
        <EmailAddress>yoav@beinlaw.co.il</EmailAddress>
        <MotionID>0</MotionID>
        <CasePleaID>0</CasePleaID>
        <LinkedCaseID>0</LinkedCaseID>
        <PartyID>1</PartyID>
        <CasePartyCategoryID>2</CasePartyCategoryID>
        <LegalEntityAddressID>84269144</LegalEntityAddressID>
        <LegalEntityEmailAddressID>67925014</LegalEntityEmailAddressID>
        <PleaTypeID>4</PleaTypeID>
        <GroupPartyAlias/>
        <IsConverted>false</IsConverted>
        <LegalEntityNameID>82820165</LegalEntityNameID>
        <RepresentatedNamesOfAssistant/>
        <LegalEntityTypeID>11</LegalEntityTypeID>
        <IsVerdictExists>false</IsVerdictExists>
        <IsAsirAzir>false</IsAsirAzir>
        <IsPublicationProhibited>false</IsPublicationProhibited>
        <PublicationProhibitedFullName>יואב ביין</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יורם אורגד</FullName>
        <FirstName>יורם אהרון</FirstName>
        <LastName>אורגד</LastName>
        <PartyPropertyName/>
        <AuthenticationTypeAndNumber>ת"ז 057184558</AuthenticationTypeAndNumber>
        <RepresentatedOrRepresentativesNames>יורם אורגד</RepresentatedOrRepresentativesNames>
        <RepresentatedOrRepresentativesCount>1</RepresentatedOrRepresentativesCount>
        <InvitedBy/>
        <CaseID>79163338</CaseID>
        <CaseJudicialPersonPresentationDS>
          <CaseJudicalPersonActive>
            <CaseID>79163338</CaseID>
            <JudicialPersonID>022209035@GOV.IL</JudicialPersonID>
            <JudicialPersonTypeID>1</JudicialPersonTypeID>
            <JudicialTypeID>1</JudicialTypeID>
            <IsChairman>false</IsChairman>
            <TreatmentStartDate>2022-03-29T15:54:50.393+03:00</TreatmentStartDate>
            <TreatmentFinishDate>9999-12-31T23:59:59.997+02:00</TreatmentFinishDate>
            <IdentificationCardNumber>022209035</IdentificationCardNumber>
            <DisplayName>ישראל פת</DisplayName>
            <JudicialTypeName>שופט</JudicialTypeName>
            <CaseJudicialGroupNumber>0</CaseJudicialGroupNumber>
            <FirstName>ישראל</FirstName>
            <LastName>פת</LastName>
            <JudicialPersonTitle>שופט</JudicialPersonTitle>
          </CaseJudicalPersonActive>
        </CaseJudicialPersonPresentationDS>
        <CasePartyID>239286346</CasePartyID>
        <PartyTypeID>1</PartyTypeID>
        <ActivityStatusID>1</ActivityStatusID>
        <PartyAliasID>1</PartyAliasID>
        <PartyAliasName>תובע</PartyAliasName>
        <OrdinalNumber>1</OrdinalNumber>
        <LegalEntityID>74745084</LegalEntityID>
        <CaseLegalEntityID>119236320</CaseLegalEntityID>
        <AuthenticationTypeID>1</AuthenticationTypeID>
        <AuthenticationTypeName>ת"ז</AuthenticationTypeName>
        <LegalEntityNumber>057184558</LegalEntityNumber>
        <IsMainPartyType>true</IsMainPartyType>
        <CaseDisplayIdentifier>64723-03-22</CaseDisplayIdentifier>
        <CaseTypeID>1</CaseTypeID>
        <CaseTypeName>תיק אזרחי בסדר דין רגיל (ת"א)</CaseTypeName>
        <CaseName>אורגד נ' מירון</CaseName>
        <FullAddress>אפרים קציר 20 הוד השרון </FullAddress>
        <MotionID>0</MotionID>
        <CasePleaID>0</CasePleaID>
        <FatherName>יצחק</FatherName>
        <LinkedCaseID>0</LinkedCaseID>
        <PartyID>1</PartyID>
        <CasePartyCategoryID>2</CasePartyCategoryID>
        <LegalEntityAddressID>86351489</LegalEntityAddressID>
        <GrandfatherName/>
        <DrivingLicenseNumber>3008470</DrivingLicenseNumber>
        <PleaTypeID>4</PleaTypeID>
        <GroupPartyAlias>תובעים</GroupPartyAlias>
        <IsConverted>false</IsConverted>
        <LegalEntityRegisteredNameID>9448306</LegalEntityRegisteredNameID>
        <LegalEntityNameID>92905764</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יורם אורגד</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יורם אורגד</FullName>
        <FirstName>יורם</FirstName>
        <LastName>אורגד</LastName>
        <PartyPropertyName/>
        <AuthenticationTypeAndNumber>מ.ר. 44618</AuthenticationTypeAndNumber>
        <RepresentatedOrRepresentativesNames>יורם אורגד</RepresentatedOrRepresentativesNames>
        <RepresentatedOrRepresentativesCount>1</RepresentatedOrRepresentativesCount>
        <InvitedBy/>
        <CaseID>79163338</CaseID>
        <CaseJudicialPersonPresentationDS>
          <CaseJudicalPersonActive>
            <CaseID>79163338</CaseID>
            <JudicialPersonID>022209035@GOV.IL</JudicialPersonID>
            <JudicialPersonTypeID>1</JudicialPersonTypeID>
            <JudicialTypeID>1</JudicialTypeID>
            <IsChairman>false</IsChairman>
            <TreatmentStartDate>2022-03-29T15:54:50.393+03:00</TreatmentStartDate>
            <TreatmentFinishDate>9999-12-31T23:59:59.997+02:00</TreatmentFinishDate>
            <IdentificationCardNumber>022209035</IdentificationCardNumber>
            <DisplayName>ישראל פת</DisplayName>
            <JudicialTypeName>שופט</JudicialTypeName>
            <CaseJudicialGroupNumber>0</CaseJudicialGroupNumber>
            <FirstName>ישראל</FirstName>
            <LastName>פת</LastName>
            <JudicialPersonTitle>שופט</JudicialPersonTitle>
          </CaseJudicalPersonActive>
        </CaseJudicialPersonPresentationDS>
        <CasePartyID>239286347</CasePartyID>
        <PartyTypeID>2</PartyTypeID>
        <ActivityStatusID>1</ActivityStatusID>
        <PartyAliasID>20</PartyAliasID>
        <PartyAliasName>בא כוח תובעים</PartyAliasName>
        <OrdinalNumber>1</OrdinalNumber>
        <LegalEntityID>12752475</LegalEntityID>
        <CaseLegalEntityID>119236321</CaseLegalEntityID>
        <AuthenticationTypeID>4</AuthenticationTypeID>
        <AuthenticationTypeName>מ.ר.</AuthenticationTypeName>
        <LegalEntityNumber>44618</LegalEntityNumber>
        <IsMainPartyType>true</IsMainPartyType>
        <CaseDisplayIdentifier>64723-03-22</CaseDisplayIdentifier>
        <CaseTypeID>1</CaseTypeID>
        <CaseTypeName>תיק אזרחי בסדר דין רגיל (ת"א)</CaseTypeName>
        <CaseName>אורגד נ' מירון</CaseName>
        <FullAddress>הארבעה 28 תל אביב -יפו </FullAddress>
        <EmailAddress>yoram@oryo-law.co.il</EmailAddress>
        <MotionID>0</MotionID>
        <CasePleaID>0</CasePleaID>
        <LinkedCaseID>0</LinkedCaseID>
        <PartyID>1</PartyID>
        <CasePartyCategoryID>2</CasePartyCategoryID>
        <LegalEntityAddressID>85868097</LegalEntityAddressID>
        <LegalEntityEmailAddressID>67856283</LegalEntityEmailAddressID>
        <PleaTypeID>4</PleaTypeID>
        <GroupPartyAlias/>
        <IsConverted>false</IsConverted>
        <LegalEntityNameID>12525158</LegalEntityNameID>
        <RepresentatedNamesOfAssistant/>
        <LegalEntityTypeID>4</LegalEntityTypeID>
        <IsVerdictExists>false</IsVerdictExists>
        <IsAsirAzir>false</IsAsirAzir>
        <IsPublicationProhibited>false</IsPublicationProhibited>
        <PublicationProhibitedFullName>יורם אורגד</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אילנית מירון</FullName>
        <FirstName>אילנית</FirstName>
        <LastName>מירון</LastName>
        <PartyPropertyName/>
        <AuthenticationTypeAndNumber>ת"ז 025503335</AuthenticationTypeAndNumber>
        <RepresentatedOrRepresentativesNames>יהונתן יוסף קלינגר</RepresentatedOrRepresentativesNames>
        <RepresentatedOrRepresentativesCount>1</RepresentatedOrRepresentativesCount>
        <InvitedBy/>
        <CaseID>79163338</CaseID>
        <CaseJudicialPersonPresentationDS>
          <CaseJudicalPersonActive>
            <CaseID>79163338</CaseID>
            <JudicialPersonID>022209035@GOV.IL</JudicialPersonID>
            <JudicialPersonTypeID>1</JudicialPersonTypeID>
            <JudicialTypeID>1</JudicialTypeID>
            <IsChairman>false</IsChairman>
            <TreatmentStartDate>2022-03-29T15:54:50.393+03:00</TreatmentStartDate>
            <TreatmentFinishDate>9999-12-31T23:59:59.997+02:00</TreatmentFinishDate>
            <IdentificationCardNumber>022209035</IdentificationCardNumber>
            <DisplayName>ישראל פת</DisplayName>
            <JudicialTypeName>שופט</JudicialTypeName>
            <CaseJudicialGroupNumber>0</CaseJudicialGroupNumber>
            <FirstName>ישראל</FirstName>
            <LastName>פת</LastName>
            <JudicialPersonTitle>שופט</JudicialPersonTitle>
          </CaseJudicalPersonActive>
        </CaseJudicialPersonPresentationDS>
        <CasePartyID>239286348</CasePartyID>
        <PartyTypeID>1</PartyTypeID>
        <ActivityStatusID>1</ActivityStatusID>
        <PartyAliasID>2</PartyAliasID>
        <PartyAliasName>נתבע</PartyAliasName>
        <OrdinalNumber>1</OrdinalNumber>
        <LegalEntityID>69621786</LegalEntityID>
        <CaseLegalEntityID>119236322</CaseLegalEntityID>
        <AuthenticationTypeID>1</AuthenticationTypeID>
        <AuthenticationTypeName>ת"ז</AuthenticationTypeName>
        <LegalEntityNumber>025503335</LegalEntityNumber>
        <IsMainPartyType>true</IsMainPartyType>
        <CaseDisplayIdentifier>64723-03-22</CaseDisplayIdentifier>
        <CaseTypeID>1</CaseTypeID>
        <CaseTypeName>תיק אזרחי בסדר דין רגיל (ת"א)</CaseTypeName>
        <CaseName>אורגד נ' מירון</CaseName>
        <FullAddress>הפשוש 2 הוד השרון </FullAddress>
        <MotionID>0</MotionID>
        <CasePleaID>0</CasePleaID>
        <FatherName>ראובן</FatherName>
        <LinkedCaseID>0</LinkedCaseID>
        <PartyID>2</PartyID>
        <CasePartyCategoryID>2</CasePartyCategoryID>
        <LegalEntityAddressID>86351490</LegalEntityAddressID>
        <PleaTypeID>4</PleaTypeID>
        <GroupPartyAlias>נתבעים</GroupPartyAlias>
        <IsConverted>false</IsConverted>
        <LegalEntityRegisteredNameID>6399582</LegalEntityRegisteredNameID>
        <LegalEntityNameID>92905765</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אילנית מירון</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יהונתן יוסף קלינגר</FullName>
        <FirstName>יהונתן יוסף</FirstName>
        <LastName>קלינגר</LastName>
        <PartyPropertyName/>
        <AuthenticationTypeAndNumber>מ.ר. 42220</AuthenticationTypeAndNumber>
        <RepresentatedOrRepresentativesNames>אילנית מירון</RepresentatedOrRepresentativesNames>
        <RepresentatedOrRepresentativesCount>1</RepresentatedOrRepresentativesCount>
        <InvitedBy/>
        <CaseID>79163338</CaseID>
        <CaseJudicialPersonPresentationDS>
          <CaseJudicalPersonActive>
            <CaseID>79163338</CaseID>
            <JudicialPersonID>022209035@GOV.IL</JudicialPersonID>
            <JudicialPersonTypeID>1</JudicialPersonTypeID>
            <JudicialTypeID>1</JudicialTypeID>
            <IsChairman>false</IsChairman>
            <TreatmentStartDate>2022-03-29T15:54:50.393+03:00</TreatmentStartDate>
            <TreatmentFinishDate>9999-12-31T23:59:59.997+02:00</TreatmentFinishDate>
            <IdentificationCardNumber>022209035</IdentificationCardNumber>
            <DisplayName>ישראל פת</DisplayName>
            <JudicialTypeName>שופט</JudicialTypeName>
            <CaseJudicialGroupNumber>0</CaseJudicialGroupNumber>
            <FirstName>ישראל</FirstName>
            <LastName>פת</LastName>
            <JudicialPersonTitle>שופט</JudicialPersonTitle>
          </CaseJudicalPersonActive>
        </CaseJudicialPersonPresentationDS>
        <CasePartyID>241337404</CasePartyID>
        <PartyTypeID>2</PartyTypeID>
        <ActivityStatusID>1</ActivityStatusID>
        <PartyAliasID>21</PartyAliasID>
        <PartyAliasName>בא כוח נתבעים</PartyAliasName>
        <OrdinalNumber>1</OrdinalNumber>
        <LegalEntityID>418938</LegalEntityID>
        <CaseLegalEntityID>119874647</CaseLegalEntityID>
        <AuthenticationTypeID>4</AuthenticationTypeID>
        <AuthenticationTypeName>מ.ר.</AuthenticationTypeName>
        <LegalEntityNumber>42220</LegalEntityNumber>
        <IsMainPartyType>true</IsMainPartyType>
        <CaseDisplayIdentifier>64723-03-22</CaseDisplayIdentifier>
        <CaseTypeID>1</CaseTypeID>
        <CaseTypeName>תיק אזרחי בסדר דין רגיל (ת"א)</CaseTypeName>
        <CaseName>אורגד נ' מירון</CaseName>
        <FullAddress>חטיבת אלכסנדרוני 2,  כתובת עיקרית</FullAddress>
        <EmailAddress>info@jonathanklinger.com</EmailAddress>
        <MotionID>0</MotionID>
        <CasePleaID>0</CasePleaID>
        <LinkedCaseID>0</LinkedCaseID>
        <PartyID>2</PartyID>
        <CasePartyCategoryID>2</CasePartyCategoryID>
        <LegalEntityAddressID>80323066</LegalEntityAddressID>
        <LegalEntityEmailAddressID>67838250</LegalEntityEmailAddressID>
        <PleaTypeID>4</PleaTypeID>
        <LawyerOfficeName>משרד עו"ד: יהונתן יוסף קלינגר</LawyerOfficeName>
        <LawyerOfficeID>459582</LawyerOfficeID>
        <GroupPartyAlias/>
        <IsConverted>false</IsConverted>
        <LegalEntityNameID>39922</LegalEntityNameID>
        <RepresentatedNamesOfAssistant/>
        <LegalEntityTypeID>4</LegalEntityTypeID>
        <IsVerdictExists>false</IsVerdictExists>
        <IsAsirAzir>false</IsAsirAzir>
        <IsPublicationProhibited>false</IsPublicationProhibited>
        <PublicationProhibitedFullName>יהונתן יוסף קלינגר</PublicationProhibitedFullName>
      </CaseParties>
    </CasePartiesSelectionDS>
    <DecisionName>פסק דין  שניתנה ע"י  ישראל פת</DecisionName>
    <CourtDisplayName>בית משפט השלום ברחובות</CourtDisplayName>
    <IsCaseJudgePanel>false</IsCaseJudgePanel>
    <DecisionSignatureDate>2023-08-16T18:14:02.437593+03:00</DecisionSignatureDate>
    <OpenCaseDate>2022-03-29T15:18:00+03:00</OpenCaseDate>
    <CaseFeeSum>100000.000</CaseFeeSum>
    <DecisionTypeID>2</DecisionTypeID>
    <DecisionSignatureUserName>ישראל פת</DecisionSignatureUserName>
    <DecisionSignatureDateHebrew>2023-08-16T18:14:02.437593+03:00</DecisionSignatureDateHebrew>
    <DecisionWriterID>022209035@GOV.IL</DecisionWriterID>
    <CourtAddress>רח' רוז'נסקי 9, רחובות 76453</CourtAddress>
    <IsAutoTextInCaseExist>false</IsAutoTextInCaseExist>
    <DecisionSignatureRoleName>שופט</DecisionSignatureRoleName>
    <DecisionSignatureUserTitleName>שופט</DecisionSignatureUserTitleName>
    <CaseName>אורגד נ' מירון</CaseName>
    <DecisionNumberInCase>9</DecisionNumberInCase>
  </dt_Decision>
  <dt_DecisionCase>
    <DecisionID>0</DecisionID>
    <CaseID>79163338</CaseID>
    <CaseJudicialPersonPresentationDS>
      <CaseJudicalPersonActive>
        <CaseID>79163338</CaseID>
        <JudicialPersonID>022209035@GOV.IL</JudicialPersonID>
        <JudicialPersonTypeID>1</JudicialPersonTypeID>
        <JudicialTypeID>1</JudicialTypeID>
        <IsChairman>false</IsChairman>
        <TreatmentStartDate>2022-03-29T15:54:50.393+03:00</TreatmentStartDate>
        <TreatmentFinishDate>9999-12-31T23:59:59.997+02:00</TreatmentFinishDate>
        <IdentificationCardNumber>022209035</IdentificationCardNumber>
        <DisplayName>ישראל פת</DisplayName>
        <JudicialTypeName>שופט</JudicialTypeName>
        <CaseJudicialGroupNumber>0</CaseJudicialGroupNumber>
        <FirstName>ישראל</FirstName>
        <LastName>פת</LastName>
        <JudicialPersonTitle>שופט</JudicialPersonTitle>
      </CaseJudicalPersonActive>
    </CaseJudicialPersonPresentationDS>
    <CasePartiesSelectionDS>
      <CaseParties>
        <PartyTypeName>מסייע</PartyTypeName>
        <ProceedingType>כתב טענות עיקרי</ProceedingType>
        <PleaName>כתב תביעה</PleaName>
        <PartyBelonging> - </PartyBelonging>
        <RoleName>מגשר מהו"ת</RoleName>
        <IsSubProceeding>FALSE</IsSubProceeding>
        <FullName>יואב ביין</FullName>
        <FirstName>יואב</FirstName>
        <LastName>ביין</LastName>
        <PartyPropertyName/>
        <AuthenticationTypeAndNumber>ת"ז 024453706</AuthenticationTypeAndNumber>
        <RepresentatedOrRepresentativesNames/>
        <RepresentatedOrRepresentativesCount>0</RepresentatedOrRepresentativesCount>
        <InvitedBy/>
        <CaseID>79163338</CaseID>
        <CaseJudicialPersonPresentationDS>
          <CaseJudicalPersonActive>
            <CaseID>79163338</CaseID>
            <JudicialPersonID>022209035@GOV.IL</JudicialPersonID>
            <JudicialPersonTypeID>1</JudicialPersonTypeID>
            <JudicialTypeID>1</JudicialTypeID>
            <IsChairman>false</IsChairman>
            <TreatmentStartDate>2022-03-29T15:54:50.393+03:00</TreatmentStartDate>
            <TreatmentFinishDate>9999-12-31T23:59:59.997+02:00</TreatmentFinishDate>
            <IdentificationCardNumber>022209035</IdentificationCardNumber>
            <DisplayName>ישראל פת</DisplayName>
            <JudicialTypeName>שופט</JudicialTypeName>
            <CaseJudicialGroupNumber>0</CaseJudicialGroupNumber>
            <FirstName>ישראל</FirstName>
            <LastName>פת</LastName>
            <JudicialPersonTitle>שופט</JudicialPersonTitle>
          </CaseJudicalPersonActive>
        </CaseJudicialPersonPresentationDS>
        <CasePartyID>244893795</CasePartyID>
        <PartyTypeID>3</PartyTypeID>
        <ActivityStatusID>1</ActivityStatusID>
        <LegalEntityID>75874055</LegalEntityID>
        <CaseLegalEntityID>120992738</CaseLegalEntityID>
        <AssistantRoleID>103</AssistantRoleID>
        <AuthenticationTypeID>1</AuthenticationTypeID>
        <AuthenticationTypeName>ת"ז</AuthenticationTypeName>
        <LegalEntityNumber>024453706</LegalEntityNumber>
        <IsMainPartyType>true</IsMainPartyType>
        <CaseDisplayIdentifier>64723-03-22</CaseDisplayIdentifier>
        <CaseTypeID>1</CaseTypeID>
        <CaseTypeName>תיק אזרחי בסדר דין רגיל (ת"א)</CaseTypeName>
        <CaseName>אורגד נ' מירון</CaseName>
        <FullAddress>דניאל 1 פינת הנביאים 8 חיפה </FullAddress>
        <EmailAddress>yoav@beinlaw.co.il</EmailAddress>
        <MotionID>0</MotionID>
        <CasePleaID>0</CasePleaID>
        <LinkedCaseID>0</LinkedCaseID>
        <PartyID>1</PartyID>
        <CasePartyCategoryID>2</CasePartyCategoryID>
        <LegalEntityAddressID>84269144</LegalEntityAddressID>
        <LegalEntityEmailAddressID>67925014</LegalEntityEmailAddressID>
        <PleaTypeID>4</PleaTypeID>
        <GroupPartyAlias/>
        <IsConverted>false</IsConverted>
        <LegalEntityNameID>82820165</LegalEntityNameID>
        <RepresentatedNamesOfAssistant/>
        <LegalEntityTypeID>11</LegalEntityTypeID>
        <IsVerdictExists>false</IsVerdictExists>
        <IsAsirAzir>false</IsAsirAzir>
        <IsPublicationProhibited>false</IsPublicationProhibited>
        <PublicationProhibitedFullName>יואב ביין</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יורם אורגד</FullName>
        <FirstName>יורם אהרון</FirstName>
        <LastName>אורגד</LastName>
        <PartyPropertyName/>
        <AuthenticationTypeAndNumber>ת"ז 057184558</AuthenticationTypeAndNumber>
        <RepresentatedOrRepresentativesNames>יורם אורגד</RepresentatedOrRepresentativesNames>
        <RepresentatedOrRepresentativesCount>1</RepresentatedOrRepresentativesCount>
        <InvitedBy/>
        <CaseID>79163338</CaseID>
        <CaseJudicialPersonPresentationDS>
          <CaseJudicalPersonActive>
            <CaseID>79163338</CaseID>
            <JudicialPersonID>022209035@GOV.IL</JudicialPersonID>
            <JudicialPersonTypeID>1</JudicialPersonTypeID>
            <JudicialTypeID>1</JudicialTypeID>
            <IsChairman>false</IsChairman>
            <TreatmentStartDate>2022-03-29T15:54:50.393+03:00</TreatmentStartDate>
            <TreatmentFinishDate>9999-12-31T23:59:59.997+02:00</TreatmentFinishDate>
            <IdentificationCardNumber>022209035</IdentificationCardNumber>
            <DisplayName>ישראל פת</DisplayName>
            <JudicialTypeName>שופט</JudicialTypeName>
            <CaseJudicialGroupNumber>0</CaseJudicialGroupNumber>
            <FirstName>ישראל</FirstName>
            <LastName>פת</LastName>
            <JudicialPersonTitle>שופט</JudicialPersonTitle>
          </CaseJudicalPersonActive>
        </CaseJudicialPersonPresentationDS>
        <CasePartyID>239286346</CasePartyID>
        <PartyTypeID>1</PartyTypeID>
        <ActivityStatusID>1</ActivityStatusID>
        <PartyAliasID>1</PartyAliasID>
        <PartyAliasName>תובע</PartyAliasName>
        <OrdinalNumber>1</OrdinalNumber>
        <LegalEntityID>74745084</LegalEntityID>
        <CaseLegalEntityID>119236320</CaseLegalEntityID>
        <AuthenticationTypeID>1</AuthenticationTypeID>
        <AuthenticationTypeName>ת"ז</AuthenticationTypeName>
        <LegalEntityNumber>057184558</LegalEntityNumber>
        <IsMainPartyType>true</IsMainPartyType>
        <CaseDisplayIdentifier>64723-03-22</CaseDisplayIdentifier>
        <CaseTypeID>1</CaseTypeID>
        <CaseTypeName>תיק אזרחי בסדר דין רגיל (ת"א)</CaseTypeName>
        <CaseName>אורגד נ' מירון</CaseName>
        <FullAddress>אפרים קציר 20 הוד השרון </FullAddress>
        <MotionID>0</MotionID>
        <CasePleaID>0</CasePleaID>
        <FatherName>יצחק</FatherName>
        <LinkedCaseID>0</LinkedCaseID>
        <PartyID>1</PartyID>
        <CasePartyCategoryID>2</CasePartyCategoryID>
        <LegalEntityAddressID>86351489</LegalEntityAddressID>
        <GrandfatherName/>
        <DrivingLicenseNumber>3008470</DrivingLicenseNumber>
        <PleaTypeID>4</PleaTypeID>
        <GroupPartyAlias>תובעים</GroupPartyAlias>
        <IsConverted>false</IsConverted>
        <LegalEntityRegisteredNameID>9448306</LegalEntityRegisteredNameID>
        <LegalEntityNameID>92905764</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יורם אורגד</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יורם אורגד</FullName>
        <FirstName>יורם</FirstName>
        <LastName>אורגד</LastName>
        <PartyPropertyName/>
        <AuthenticationTypeAndNumber>מ.ר. 44618</AuthenticationTypeAndNumber>
        <RepresentatedOrRepresentativesNames>יורם אורגד</RepresentatedOrRepresentativesNames>
        <RepresentatedOrRepresentativesCount>1</RepresentatedOrRepresentativesCount>
        <InvitedBy/>
        <CaseID>79163338</CaseID>
        <CaseJudicialPersonPresentationDS>
          <CaseJudicalPersonActive>
            <CaseID>79163338</CaseID>
            <JudicialPersonID>022209035@GOV.IL</JudicialPersonID>
            <JudicialPersonTypeID>1</JudicialPersonTypeID>
            <JudicialTypeID>1</JudicialTypeID>
            <IsChairman>false</IsChairman>
            <TreatmentStartDate>2022-03-29T15:54:50.393+03:00</TreatmentStartDate>
            <TreatmentFinishDate>9999-12-31T23:59:59.997+02:00</TreatmentFinishDate>
            <IdentificationCardNumber>022209035</IdentificationCardNumber>
            <DisplayName>ישראל פת</DisplayName>
            <JudicialTypeName>שופט</JudicialTypeName>
            <CaseJudicialGroupNumber>0</CaseJudicialGroupNumber>
            <FirstName>ישראל</FirstName>
            <LastName>פת</LastName>
            <JudicialPersonTitle>שופט</JudicialPersonTitle>
          </CaseJudicalPersonActive>
        </CaseJudicialPersonPresentationDS>
        <CasePartyID>239286347</CasePartyID>
        <PartyTypeID>2</PartyTypeID>
        <ActivityStatusID>1</ActivityStatusID>
        <PartyAliasID>20</PartyAliasID>
        <PartyAliasName>בא כוח תובעים</PartyAliasName>
        <OrdinalNumber>1</OrdinalNumber>
        <LegalEntityID>12752475</LegalEntityID>
        <CaseLegalEntityID>119236321</CaseLegalEntityID>
        <AuthenticationTypeID>4</AuthenticationTypeID>
        <AuthenticationTypeName>מ.ר.</AuthenticationTypeName>
        <LegalEntityNumber>44618</LegalEntityNumber>
        <IsMainPartyType>true</IsMainPartyType>
        <CaseDisplayIdentifier>64723-03-22</CaseDisplayIdentifier>
        <CaseTypeID>1</CaseTypeID>
        <CaseTypeName>תיק אזרחי בסדר דין רגיל (ת"א)</CaseTypeName>
        <CaseName>אורגד נ' מירון</CaseName>
        <FullAddress>הארבעה 28 תל אביב -יפו </FullAddress>
        <EmailAddress>yoram@oryo-law.co.il</EmailAddress>
        <MotionID>0</MotionID>
        <CasePleaID>0</CasePleaID>
        <LinkedCaseID>0</LinkedCaseID>
        <PartyID>1</PartyID>
        <CasePartyCategoryID>2</CasePartyCategoryID>
        <LegalEntityAddressID>85868097</LegalEntityAddressID>
        <LegalEntityEmailAddressID>67856283</LegalEntityEmailAddressID>
        <PleaTypeID>4</PleaTypeID>
        <GroupPartyAlias/>
        <IsConverted>false</IsConverted>
        <LegalEntityNameID>12525158</LegalEntityNameID>
        <RepresentatedNamesOfAssistant/>
        <LegalEntityTypeID>4</LegalEntityTypeID>
        <IsVerdictExists>false</IsVerdictExists>
        <IsAsirAzir>false</IsAsirAzir>
        <IsPublicationProhibited>false</IsPublicationProhibited>
        <PublicationProhibitedFullName>יורם אורגד</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אילנית מירון</FullName>
        <FirstName>אילנית</FirstName>
        <LastName>מירון</LastName>
        <PartyPropertyName/>
        <AuthenticationTypeAndNumber>ת"ז 025503335</AuthenticationTypeAndNumber>
        <RepresentatedOrRepresentativesNames>יהונתן יוסף קלינגר</RepresentatedOrRepresentativesNames>
        <RepresentatedOrRepresentativesCount>1</RepresentatedOrRepresentativesCount>
        <InvitedBy/>
        <CaseID>79163338</CaseID>
        <CaseJudicialPersonPresentationDS>
          <CaseJudicalPersonActive>
            <CaseID>79163338</CaseID>
            <JudicialPersonID>022209035@GOV.IL</JudicialPersonID>
            <JudicialPersonTypeID>1</JudicialPersonTypeID>
            <JudicialTypeID>1</JudicialTypeID>
            <IsChairman>false</IsChairman>
            <TreatmentStartDate>2022-03-29T15:54:50.393+03:00</TreatmentStartDate>
            <TreatmentFinishDate>9999-12-31T23:59:59.997+02:00</TreatmentFinishDate>
            <IdentificationCardNumber>022209035</IdentificationCardNumber>
            <DisplayName>ישראל פת</DisplayName>
            <JudicialTypeName>שופט</JudicialTypeName>
            <CaseJudicialGroupNumber>0</CaseJudicialGroupNumber>
            <FirstName>ישראל</FirstName>
            <LastName>פת</LastName>
            <JudicialPersonTitle>שופט</JudicialPersonTitle>
          </CaseJudicalPersonActive>
        </CaseJudicialPersonPresentationDS>
        <CasePartyID>239286348</CasePartyID>
        <PartyTypeID>1</PartyTypeID>
        <ActivityStatusID>1</ActivityStatusID>
        <PartyAliasID>2</PartyAliasID>
        <PartyAliasName>נתבע</PartyAliasName>
        <OrdinalNumber>1</OrdinalNumber>
        <LegalEntityID>69621786</LegalEntityID>
        <CaseLegalEntityID>119236322</CaseLegalEntityID>
        <AuthenticationTypeID>1</AuthenticationTypeID>
        <AuthenticationTypeName>ת"ז</AuthenticationTypeName>
        <LegalEntityNumber>025503335</LegalEntityNumber>
        <IsMainPartyType>true</IsMainPartyType>
        <CaseDisplayIdentifier>64723-03-22</CaseDisplayIdentifier>
        <CaseTypeID>1</CaseTypeID>
        <CaseTypeName>תיק אזרחי בסדר דין רגיל (ת"א)</CaseTypeName>
        <CaseName>אורגד נ' מירון</CaseName>
        <FullAddress>הפשוש 2 הוד השרון </FullAddress>
        <MotionID>0</MotionID>
        <CasePleaID>0</CasePleaID>
        <FatherName>ראובן</FatherName>
        <LinkedCaseID>0</LinkedCaseID>
        <PartyID>2</PartyID>
        <CasePartyCategoryID>2</CasePartyCategoryID>
        <LegalEntityAddressID>86351490</LegalEntityAddressID>
        <PleaTypeID>4</PleaTypeID>
        <GroupPartyAlias>נתבעים</GroupPartyAlias>
        <IsConverted>false</IsConverted>
        <LegalEntityRegisteredNameID>6399582</LegalEntityRegisteredNameID>
        <LegalEntityNameID>92905765</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אילנית מירון</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יהונתן יוסף קלינגר</FullName>
        <FirstName>יהונתן יוסף</FirstName>
        <LastName>קלינגר</LastName>
        <PartyPropertyName/>
        <AuthenticationTypeAndNumber>מ.ר. 42220</AuthenticationTypeAndNumber>
        <RepresentatedOrRepresentativesNames>אילנית מירון</RepresentatedOrRepresentativesNames>
        <RepresentatedOrRepresentativesCount>1</RepresentatedOrRepresentativesCount>
        <InvitedBy/>
        <CaseID>79163338</CaseID>
        <CaseJudicialPersonPresentationDS>
          <CaseJudicalPersonActive>
            <CaseID>79163338</CaseID>
            <JudicialPersonID>022209035@GOV.IL</JudicialPersonID>
            <JudicialPersonTypeID>1</JudicialPersonTypeID>
            <JudicialTypeID>1</JudicialTypeID>
            <IsChairman>false</IsChairman>
            <TreatmentStartDate>2022-03-29T15:54:50.393+03:00</TreatmentStartDate>
            <TreatmentFinishDate>9999-12-31T23:59:59.997+02:00</TreatmentFinishDate>
            <IdentificationCardNumber>022209035</IdentificationCardNumber>
            <DisplayName>ישראל פת</DisplayName>
            <JudicialTypeName>שופט</JudicialTypeName>
            <CaseJudicialGroupNumber>0</CaseJudicialGroupNumber>
            <FirstName>ישראל</FirstName>
            <LastName>פת</LastName>
            <JudicialPersonTitle>שופט</JudicialPersonTitle>
          </CaseJudicalPersonActive>
        </CaseJudicialPersonPresentationDS>
        <CasePartyID>241337404</CasePartyID>
        <PartyTypeID>2</PartyTypeID>
        <ActivityStatusID>1</ActivityStatusID>
        <PartyAliasID>21</PartyAliasID>
        <PartyAliasName>בא כוח נתבעים</PartyAliasName>
        <OrdinalNumber>1</OrdinalNumber>
        <LegalEntityID>418938</LegalEntityID>
        <CaseLegalEntityID>119874647</CaseLegalEntityID>
        <AuthenticationTypeID>4</AuthenticationTypeID>
        <AuthenticationTypeName>מ.ר.</AuthenticationTypeName>
        <LegalEntityNumber>42220</LegalEntityNumber>
        <IsMainPartyType>true</IsMainPartyType>
        <CaseDisplayIdentifier>64723-03-22</CaseDisplayIdentifier>
        <CaseTypeID>1</CaseTypeID>
        <CaseTypeName>תיק אזרחי בסדר דין רגיל (ת"א)</CaseTypeName>
        <CaseName>אורגד נ' מירון</CaseName>
        <FullAddress>חטיבת אלכסנדרוני 2,  כתובת עיקרית</FullAddress>
        <EmailAddress>info@jonathanklinger.com</EmailAddress>
        <MotionID>0</MotionID>
        <CasePleaID>0</CasePleaID>
        <LinkedCaseID>0</LinkedCaseID>
        <PartyID>2</PartyID>
        <CasePartyCategoryID>2</CasePartyCategoryID>
        <LegalEntityAddressID>80323066</LegalEntityAddressID>
        <LegalEntityEmailAddressID>67838250</LegalEntityEmailAddressID>
        <PleaTypeID>4</PleaTypeID>
        <LawyerOfficeName>משרד עו"ד: יהונתן יוסף קלינגר</LawyerOfficeName>
        <LawyerOfficeID>459582</LawyerOfficeID>
        <GroupPartyAlias/>
        <IsConverted>false</IsConverted>
        <LegalEntityNameID>39922</LegalEntityNameID>
        <RepresentatedNamesOfAssistant/>
        <LegalEntityTypeID>4</LegalEntityTypeID>
        <IsVerdictExists>false</IsVerdictExists>
        <IsAsirAzir>false</IsAsirAzir>
        <IsPublicationProhibited>false</IsPublicationProhibited>
        <PublicationProhibitedFullName>יהונתן יוסף קלינגר</PublicationProhibitedFullName>
      </CaseParties>
    </CasePartiesSelectionDS>
    <CaseName>אורגד נ' מירון</CaseName>
    <CaseDisplayIdentifier>64723-03-22</CaseDisplayIdentifier>
    <CaseInterestID>46</CaseInterestID>
    <CaseTypeShortName>ת"א</CaseTypeShortName>
  </dt_DecisionCase>
  <dt_DecisionJudgePanel>
    <JudgeID>022209035@GOV.IL</JudgeID>
    <DisplayName>ישראל פת</DisplayName>
    <RoleName>שופט</RoleName>
    <UserTitleName>שופט</UserTitleName>
  </dt_DecisionJudgePanel>
  <dt_LegalEntityDetails>
    <Fax>04-8668991</Fax>
    <Phone>050-5604929</Phone>
    <AddressDesc/>
    <PartyID>1</PartyID>
    <PartyTypeID>3</PartyTypeID>
    <DecisionID>0</DecisionID>
    <AssistantRoleID>103</AssistantRoleID>
    <StreetName>דניאל 1 פינת הנביאים 8 </StreetName>
    <CityName>חיפה</CityName>
    <FullName>יואב  ביין</FullName>
    <Email>yoav@beinlaw.co.il</Email>
    <IsPublicationProhibited>false</IsPublicationProhibited>
  </dt_LegalEntityDetails>
  <dt_LegalEntityDetails>
    <PartyID>1</PartyID>
    <PartyTypeID>1</PartyTypeID>
    <DecisionID>0</DecisionID>
    <StreetName>אפרים קציר 20</StreetName>
    <CityName>הוד השרון</CityName>
    <FullName>יורם אורגד</FullName>
    <IsPublicationProhibited>false</IsPublicationProhibited>
  </dt_LegalEntityDetails>
  <dt_LegalEntityDetails>
    <Fax>153-36495225</Fax>
    <Phone>03-6395395</Phone>
    <PartyID>1</PartyID>
    <PartyTypeID>2</PartyTypeID>
    <DecisionID>0</DecisionID>
    <StreetName>הארבעה 28</StreetName>
    <ZipCode>6473925</ZipCode>
    <CityName>תל אביב -יפו</CityName>
    <FullName>יורם אורגד</FullName>
    <Email>yoram@oryo-law.co.il</Email>
    <IsPublicationProhibited>false</IsPublicationProhibited>
  </dt_LegalEntityDetails>
  <dt_LegalEntityDetails>
    <PartyID>2</PartyID>
    <PartyTypeID>1</PartyTypeID>
    <DecisionID>0</DecisionID>
    <StreetName>הפשוש 2</StreetName>
    <CityName>הוד השרון</CityName>
    <FullName>אילנית מירון</FullName>
    <IsPublicationProhibited>false</IsPublicationProhibited>
  </dt_LegalEntityDetails>
  <dt_LegalEntityDetails>
    <Fax>077-4701695</Fax>
    <AddressDesc>כתובת עיקרית</AddressDesc>
    <PartyID>2</PartyID>
    <PartyTypeID>2</PartyTypeID>
    <DecisionID>0</DecisionID>
    <StreetName>חטיבת אלכסנדרוני 2,</StreetName>
    <ZipCode>4730702</ZipCode>
    <FullName>יהונתן יוסף קלינגר</FullName>
    <Email>info@jonathanklinger.com</Email>
    <IsPublicationProhibited>false</IsPublicationProhibited>
  </dt_LegalEntityDetails>
  <dt_CaseJudicalPersonActive>
    <CaseJudicalPerson>שופט ישראל פת</CaseJudicalPerson>
  </dt_CaseJudicalPersonActive>
  <dt_Sitting>
    <PreviousMeetingDate>2023-04-19T08:30:00+03:00</PreviousMeetingDate>
    <PreviousSittingTypeID>1</PreviousSittingTypeID>
    <PreviousMeetingDisplayName>שופט ישראל פת</PreviousMeetingDisplayName>
    <PreviousMeetingRoleName>שופט</PreviousMeetingRoleName>
    <PreviousMeetingUserTitleName>שופט</PreviousMeetingUserTitleName>
    <PreviousMeetingUserUPN>022209035@GOV.IL</PreviousMeetingUserUPN>
  </dt_Sitting>
</DecisionTemplateD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B59E0A-46A3-4B5A-9D50-526DD99936DD}">
  <ds:schemaRefs/>
</ds:datastoreItem>
</file>

<file path=customXml/itemProps2.xml><?xml version="1.0" encoding="utf-8"?>
<ds:datastoreItem xmlns:ds="http://schemas.openxmlformats.org/officeDocument/2006/customXml" ds:itemID="{C7C019E9-1EF1-4023-A417-CBBE4CFBA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5144</Words>
  <Characters>25720</Characters>
  <Application>Microsoft Office Word</Application>
  <DocSecurity>0</DocSecurity>
  <Lines>214</Lines>
  <Paragraphs>61</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30803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dcterms:created xsi:type="dcterms:W3CDTF">2023-08-20T11:19:00Z</dcterms:created>
  <dcterms:modified xsi:type="dcterms:W3CDTF">2023-08-20T11:19:00Z</dcterms:modified>
</cp:coreProperties>
</file>