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94424E" w:rsidP="00D44968">
            <w:pPr>
              <w:suppressLineNumbers/>
              <w:jc w:val="both"/>
              <w:rPr>
                <w:rFonts w:ascii="Arial" w:hAnsi="Arial"/>
                <w:b/>
                <w:bCs/>
                <w:sz w:val="26"/>
                <w:szCs w:val="26"/>
                <w:rtl/>
              </w:rPr>
            </w:pPr>
            <w:r w:rsidRPr="00DD05A8">
              <w:rPr>
                <w:rFonts w:ascii="Arial" w:hAnsi="Arial" w:hint="cs"/>
                <w:b/>
                <w:bCs/>
                <w:sz w:val="26"/>
                <w:szCs w:val="26"/>
                <w:rtl/>
              </w:rPr>
              <w:t>ב</w:t>
            </w:r>
            <w:r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קרן מילר</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9B4BC6" w:rsidRDefault="00995B9F" w:rsidP="0037207E">
                <w:pPr>
                  <w:suppressLineNumbers/>
                  <w:rPr>
                    <w:rFonts w:ascii="Arial" w:hAnsi="Arial"/>
                    <w:b/>
                    <w:bCs/>
                    <w:noProof w:val="0"/>
                    <w:sz w:val="26"/>
                    <w:szCs w:val="26"/>
                    <w:rtl/>
                  </w:rPr>
                </w:pPr>
                <w:r>
                  <w:rPr>
                    <w:rFonts w:ascii="Arial" w:hAnsi="Arial"/>
                    <w:b/>
                    <w:bCs/>
                    <w:noProof w:val="0"/>
                    <w:sz w:val="26"/>
                    <w:szCs w:val="26"/>
                    <w:rtl/>
                  </w:rPr>
                  <w:t>תובע</w:t>
                </w:r>
                <w:r w:rsidR="0037207E">
                  <w:rPr>
                    <w:rFonts w:ascii="Arial" w:hAnsi="Arial" w:hint="cs"/>
                    <w:b/>
                    <w:bCs/>
                    <w:noProof w:val="0"/>
                    <w:sz w:val="26"/>
                    <w:szCs w:val="26"/>
                    <w:rtl/>
                  </w:rPr>
                  <w:t>ת</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7C2453" w:rsidP="007C2453">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A46717">
                  <w:rPr>
                    <w:rFonts w:ascii="Arial" w:hAnsi="Arial" w:hint="eastAsia"/>
                    <w:b/>
                    <w:bCs/>
                    <w:noProof w:val="0"/>
                    <w:sz w:val="26"/>
                    <w:szCs w:val="26"/>
                    <w:rtl/>
                  </w:rPr>
                  <w:t>רד תקשורת מחשבים בע"מ</w:t>
                </w:r>
              </w:sdtContent>
            </w:sdt>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735B7B" w:rsidP="0037207E">
            <w:pPr>
              <w:suppressLineNumbers/>
              <w:rPr>
                <w:rFonts w:ascii="Arial" w:hAnsi="Arial"/>
                <w:b/>
                <w:bCs/>
                <w:noProof w:val="0"/>
                <w:sz w:val="26"/>
                <w:szCs w:val="26"/>
              </w:rPr>
            </w:pPr>
            <w:sdt>
              <w:sdtPr>
                <w:rPr>
                  <w:rtl/>
                </w:rPr>
                <w:alias w:val="1184"/>
                <w:tag w:val="1184"/>
                <w:id w:val="-340621022"/>
                <w:text w:multiLine="1"/>
              </w:sdtPr>
              <w:sdtEndPr/>
              <w:sdtContent>
                <w:r w:rsidR="00A46717">
                  <w:rPr>
                    <w:rFonts w:ascii="Arial" w:hAnsi="Arial"/>
                    <w:b/>
                    <w:bCs/>
                    <w:noProof w:val="0"/>
                    <w:sz w:val="26"/>
                    <w:szCs w:val="26"/>
                    <w:rtl/>
                  </w:rPr>
                  <w:t>נתבע</w:t>
                </w:r>
                <w:r w:rsidR="0037207E">
                  <w:rPr>
                    <w:rFonts w:ascii="Arial" w:hAnsi="Arial" w:hint="cs"/>
                    <w:b/>
                    <w:bCs/>
                    <w:noProof w:val="0"/>
                    <w:sz w:val="26"/>
                    <w:szCs w:val="26"/>
                    <w:rtl/>
                  </w:rPr>
                  <w:t>ת</w:t>
                </w:r>
              </w:sdtContent>
            </w:sdt>
          </w:p>
        </w:tc>
        <w:tc>
          <w:tcPr>
            <w:tcW w:w="5571" w:type="dxa"/>
          </w:tcPr>
          <w:p w:rsidR="00CF6BB7" w:rsidRPr="009E461A" w:rsidRDefault="007C2453" w:rsidP="007C2453">
            <w:pPr>
              <w:suppressLineNumbers/>
              <w:rPr>
                <w:rtl/>
              </w:rPr>
            </w:pP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A46717">
                  <w:rPr>
                    <w:rFonts w:ascii="Arial" w:hAnsi="Arial" w:hint="eastAsia"/>
                    <w:b/>
                    <w:bCs/>
                    <w:noProof w:val="0"/>
                    <w:sz w:val="26"/>
                    <w:szCs w:val="26"/>
                    <w:rtl/>
                  </w:rPr>
                  <w:t>הועדה המקומית לתכנון ובניה ירושלים</w:t>
                </w:r>
              </w:sdtContent>
            </w:sdt>
          </w:p>
        </w:tc>
      </w:tr>
      <w:tr w:rsidR="00CF6BB7" w:rsidTr="00280865">
        <w:trPr>
          <w:jc w:val="center"/>
        </w:trPr>
        <w:tc>
          <w:tcPr>
            <w:tcW w:w="8820" w:type="dxa"/>
            <w:gridSpan w:val="3"/>
          </w:tcPr>
          <w:p w:rsidR="00CF6BB7" w:rsidRDefault="00CF6BB7" w:rsidP="00D44968">
            <w:pPr>
              <w:suppressLineNumbers/>
            </w:pPr>
          </w:p>
          <w:p w:rsidR="00CF6BB7" w:rsidRDefault="00CF6BB7" w:rsidP="00D44968">
            <w:pPr>
              <w:suppressLineNumbers/>
              <w:rPr>
                <w:rtl/>
              </w:rPr>
            </w:pPr>
          </w:p>
          <w:p w:rsidR="00CF6BB7" w:rsidRDefault="00CF6BB7" w:rsidP="00D44968">
            <w:pPr>
              <w:suppressLineNumbers/>
              <w:rPr>
                <w:rtl/>
              </w:rPr>
            </w:pPr>
          </w:p>
        </w:tc>
      </w:tr>
      <w:tr w:rsidR="00CF6BB7">
        <w:trPr>
          <w:jc w:val="center"/>
        </w:trPr>
        <w:tc>
          <w:tcPr>
            <w:tcW w:w="3249" w:type="dxa"/>
            <w:gridSpan w:val="2"/>
          </w:tcPr>
          <w:p w:rsidR="00A46717" w:rsidRPr="00272E32" w:rsidRDefault="00735B7B" w:rsidP="00A46717">
            <w:pPr>
              <w:rPr>
                <w:rFonts w:ascii="Arial" w:hAnsi="Arial"/>
                <w:b/>
                <w:bCs/>
                <w:noProof w:val="0"/>
                <w:sz w:val="26"/>
                <w:szCs w:val="26"/>
              </w:rPr>
            </w:pPr>
            <w:sdt>
              <w:sdtPr>
                <w:rPr>
                  <w:rFonts w:ascii="Arial" w:hAnsi="Arial"/>
                  <w:b/>
                  <w:bCs/>
                  <w:noProof w:val="0"/>
                  <w:sz w:val="26"/>
                  <w:szCs w:val="26"/>
                  <w:rtl/>
                </w:rPr>
                <w:alias w:val="2360"/>
                <w:tag w:val="2360"/>
                <w:id w:val="-1765608184"/>
                <w:lock w:val="contentLocked"/>
                <w:placeholder>
                  <w:docPart w:val="C0D9D4EB038F4D9DB24B5A2B7A8F2E7B"/>
                </w:placeholder>
                <w:text w:multiLine="1"/>
              </w:sdtPr>
              <w:sdtEndPr/>
              <w:sdtContent/>
            </w:sdt>
          </w:p>
        </w:tc>
        <w:tc>
          <w:tcPr>
            <w:tcW w:w="5571" w:type="dxa"/>
          </w:tcPr>
          <w:p w:rsidR="00A46717" w:rsidRPr="007C2453" w:rsidRDefault="00735B7B" w:rsidP="00A46717">
            <w:pPr>
              <w:rPr>
                <w:rFonts w:ascii="Arial" w:hAnsi="Arial"/>
                <w:b/>
                <w:bCs/>
                <w:noProof w:val="0"/>
                <w:sz w:val="26"/>
                <w:szCs w:val="26"/>
              </w:rPr>
            </w:pPr>
            <w:sdt>
              <w:sdtPr>
                <w:rPr>
                  <w:rFonts w:ascii="Arial" w:hAnsi="Arial"/>
                  <w:b/>
                  <w:bCs/>
                  <w:noProof w:val="0"/>
                  <w:sz w:val="26"/>
                  <w:szCs w:val="26"/>
                  <w:rtl/>
                </w:rPr>
                <w:alias w:val="3153"/>
                <w:tag w:val="3153"/>
                <w:id w:val="-1834055329"/>
                <w:lock w:val="contentLocked"/>
                <w:placeholder>
                  <w:docPart w:val="D0835A28627A476594973290286577B2"/>
                </w:placeholder>
                <w:text w:multiLine="1"/>
              </w:sdtPr>
              <w:sdtEndPr/>
              <w:sdtContent/>
            </w:sdt>
          </w:p>
        </w:tc>
      </w:tr>
      <w:tr w:rsidR="004C17EE" w:rsidTr="00D620FD">
        <w:trPr>
          <w:jc w:val="center"/>
        </w:trPr>
        <w:tc>
          <w:tcPr>
            <w:tcW w:w="8820" w:type="dxa"/>
            <w:gridSpan w:val="3"/>
          </w:tcPr>
          <w:p w:rsidR="0037207E" w:rsidRDefault="0037207E" w:rsidP="0037207E">
            <w:pPr>
              <w:suppressLineNumbers/>
              <w:rPr>
                <w:rFonts w:ascii="Arial" w:hAnsi="Arial"/>
                <w:b/>
                <w:bCs/>
                <w:noProof w:val="0"/>
                <w:sz w:val="26"/>
                <w:szCs w:val="26"/>
              </w:rPr>
            </w:pPr>
            <w:r>
              <w:rPr>
                <w:rFonts w:ascii="Arial" w:hAnsi="Arial"/>
                <w:b/>
                <w:bCs/>
                <w:noProof w:val="0"/>
                <w:sz w:val="26"/>
                <w:szCs w:val="26"/>
                <w:rtl/>
              </w:rPr>
              <w:t>ב"כ התובעת עו"ד מוטי איצקוביץ ועו"ד ארז טל</w:t>
            </w:r>
          </w:p>
          <w:p w:rsidR="009B4BC6" w:rsidRDefault="0037207E" w:rsidP="0037207E">
            <w:pPr>
              <w:suppressLineNumbers/>
              <w:rPr>
                <w:rFonts w:ascii="Arial" w:hAnsi="Arial"/>
                <w:b/>
                <w:bCs/>
                <w:noProof w:val="0"/>
                <w:sz w:val="26"/>
                <w:szCs w:val="26"/>
                <w:rtl/>
              </w:rPr>
            </w:pPr>
            <w:r>
              <w:rPr>
                <w:rFonts w:ascii="Arial" w:hAnsi="Arial"/>
                <w:b/>
                <w:bCs/>
                <w:noProof w:val="0"/>
                <w:sz w:val="26"/>
                <w:szCs w:val="26"/>
                <w:rtl/>
              </w:rPr>
              <w:t>ב"כ הנתבעת עו"ד ארז שפירא</w:t>
            </w: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r w:rsidR="0037207E">
              <w:rPr>
                <w:rFonts w:ascii="Arial" w:hAnsi="Arial" w:hint="cs"/>
                <w:b/>
                <w:bCs/>
                <w:noProof w:val="0"/>
                <w:sz w:val="28"/>
                <w:szCs w:val="28"/>
                <w:u w:val="single"/>
                <w:rtl/>
              </w:rPr>
              <w:t xml:space="preserve"> (משלים)</w:t>
            </w:r>
          </w:p>
          <w:p w:rsidR="00D44968" w:rsidRPr="00D44968" w:rsidRDefault="00D44968" w:rsidP="00D44968">
            <w:pPr>
              <w:bidi w:val="0"/>
              <w:jc w:val="center"/>
              <w:rPr>
                <w:rFonts w:ascii="Arial" w:hAnsi="Arial"/>
                <w:b/>
                <w:bCs/>
                <w:noProof w:val="0"/>
                <w:sz w:val="28"/>
                <w:szCs w:val="28"/>
                <w:u w:val="single"/>
              </w:rPr>
            </w:pPr>
          </w:p>
        </w:tc>
      </w:tr>
    </w:tbl>
    <w:p w:rsidR="0037207E" w:rsidRDefault="0037207E" w:rsidP="0037207E">
      <w:pPr>
        <w:pStyle w:val="ad"/>
        <w:numPr>
          <w:ilvl w:val="0"/>
          <w:numId w:val="1"/>
        </w:numPr>
        <w:spacing w:line="360" w:lineRule="auto"/>
        <w:jc w:val="both"/>
        <w:rPr>
          <w:rFonts w:ascii="David" w:hAnsi="David" w:cs="David"/>
          <w:sz w:val="24"/>
          <w:szCs w:val="24"/>
          <w:rtl/>
        </w:rPr>
      </w:pPr>
      <w:bookmarkStart w:id="1" w:name="NGCSBookmark"/>
      <w:bookmarkEnd w:id="1"/>
      <w:r>
        <w:rPr>
          <w:rFonts w:ascii="David" w:hAnsi="David" w:cs="David"/>
          <w:sz w:val="24"/>
          <w:szCs w:val="24"/>
          <w:rtl/>
        </w:rPr>
        <w:t xml:space="preserve">ביום 24.11.21 ניתן פסק דין חלקי בהליך זה. </w:t>
      </w:r>
    </w:p>
    <w:p w:rsidR="0037207E" w:rsidRDefault="0037207E" w:rsidP="0037207E">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בסיכום פסק הדין נקבע כי- </w:t>
      </w:r>
    </w:p>
    <w:p w:rsidR="0037207E" w:rsidRDefault="0037207E" w:rsidP="0037207E">
      <w:pPr>
        <w:pStyle w:val="ad"/>
        <w:spacing w:line="360" w:lineRule="auto"/>
        <w:ind w:left="1440"/>
        <w:jc w:val="both"/>
        <w:rPr>
          <w:rFonts w:ascii="David" w:hAnsi="David" w:cs="David"/>
          <w:sz w:val="24"/>
          <w:szCs w:val="24"/>
        </w:rPr>
      </w:pPr>
      <w:r>
        <w:rPr>
          <w:rFonts w:ascii="David" w:hAnsi="David" w:cs="David"/>
          <w:sz w:val="24"/>
          <w:szCs w:val="24"/>
          <w:rtl/>
        </w:rPr>
        <w:t xml:space="preserve">"המסקנה העולה מן האמור לעיל היא כי יש לאמץ עמדת ביניים לפיה הוועדה המקומית לא תחויב בתשלום ריבית פיגורים עד החלטה מוסמכת המורה על הפחתת היטל ההשבחה שנקבע על ידי הוועדה המקומית. בגין תקופה זו תחויב הוועדה המקומית בהשבת סכומים ששולמו ביתר בצירוף הפרשי הצמדה וריבית לפי חוק פסיקת ריבית. עם זאת, כאשר ניתנת החלטה מוסמכת על הפחתת היטל ההשבחה, גם אם אין מדובר בהחלטה חלוטה, כגון כאשר ניתנת החלטת שמאי מכריע, על הוועדה המקומית להשיב את ההפרש שנגבה ביתר תוך 30 יום מעת הגעת ההחלטה לידיעת הוועדה המקומית, שאם לא כן תחויב בריבית פיגורים. </w:t>
      </w:r>
    </w:p>
    <w:p w:rsidR="0037207E" w:rsidRDefault="0037207E" w:rsidP="0037207E">
      <w:pPr>
        <w:pStyle w:val="ad"/>
        <w:spacing w:line="360" w:lineRule="auto"/>
        <w:ind w:left="1440"/>
        <w:jc w:val="both"/>
        <w:rPr>
          <w:rFonts w:ascii="David" w:hAnsi="David" w:cs="David"/>
          <w:sz w:val="24"/>
          <w:szCs w:val="24"/>
        </w:rPr>
      </w:pPr>
      <w:r>
        <w:rPr>
          <w:rFonts w:ascii="David" w:hAnsi="David" w:cs="David"/>
          <w:sz w:val="24"/>
          <w:szCs w:val="24"/>
          <w:rtl/>
        </w:rPr>
        <w:t xml:space="preserve">אעיר כי בענייננו עמדת הנתבעת היא שככל שלא הוחזר תשלום היתר תוך 30 יום ממועד ההחלטה המורה על השבה, תתווסף ריבית הפיגורים ממועד ההחלטה (ולא מחלוף 30 ימי החסד) ועד ההשבה בפועל. לפיכך יש לאמץ בענייננו עמדה זו מבלי להביע עמדה לגביה". </w:t>
      </w:r>
    </w:p>
    <w:p w:rsidR="0037207E" w:rsidRDefault="0037207E" w:rsidP="0037207E">
      <w:pPr>
        <w:pStyle w:val="ad"/>
        <w:numPr>
          <w:ilvl w:val="0"/>
          <w:numId w:val="1"/>
        </w:numPr>
        <w:spacing w:line="360" w:lineRule="auto"/>
        <w:jc w:val="both"/>
        <w:rPr>
          <w:rFonts w:ascii="David" w:hAnsi="David" w:cs="David"/>
          <w:sz w:val="24"/>
          <w:szCs w:val="24"/>
        </w:rPr>
      </w:pPr>
      <w:r>
        <w:rPr>
          <w:rFonts w:ascii="David" w:hAnsi="David" w:cs="David"/>
          <w:sz w:val="24"/>
          <w:szCs w:val="24"/>
          <w:rtl/>
        </w:rPr>
        <w:lastRenderedPageBreak/>
        <w:t>בהתאם למסקנה האמורה נקבעו בפסק הדין החלקי עקרונות החישוב. הוריתי לצדדים להגיש חישוב חדש בהתאם לעקרונות שנקבעו.</w:t>
      </w:r>
    </w:p>
    <w:p w:rsidR="0037207E" w:rsidRDefault="0037207E" w:rsidP="0037207E">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התובעת הגישה חישוב לפיו נדרשת הנתבעת להשיב לתובעת סך של 619,218 ₪ נכון להיום. </w:t>
      </w:r>
    </w:p>
    <w:p w:rsidR="0037207E" w:rsidRDefault="0037207E" w:rsidP="0037207E">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הנתבעת הגיבה וטענה כי יש להורות על השבה של 528,952 ₪ בלבד. מתגובת הנתבעת עולה כי היא מסכימה לחישוב עצמו אך טוענת כי מיום 17.5.2018 יש להורות על הפרשי הצמדה וריבית בלבד ולא על ריבית פיגורים. זאת, מאחר והצדדים ניהלו הליכים משפטיים בתקופה זו וכן מאחר שפסק הדין סטה מהקביעות בפסקי דין קודמים בנושא. </w:t>
      </w:r>
    </w:p>
    <w:p w:rsidR="0037207E" w:rsidRDefault="0037207E" w:rsidP="0037207E">
      <w:pPr>
        <w:pStyle w:val="ad"/>
        <w:numPr>
          <w:ilvl w:val="0"/>
          <w:numId w:val="1"/>
        </w:numPr>
        <w:spacing w:line="360" w:lineRule="auto"/>
        <w:jc w:val="both"/>
        <w:rPr>
          <w:rFonts w:ascii="David" w:hAnsi="David" w:cs="David"/>
          <w:sz w:val="24"/>
          <w:szCs w:val="24"/>
        </w:rPr>
      </w:pPr>
      <w:r>
        <w:rPr>
          <w:rFonts w:ascii="David" w:hAnsi="David" w:cs="David"/>
          <w:sz w:val="24"/>
          <w:szCs w:val="24"/>
          <w:rtl/>
        </w:rPr>
        <w:t>התובעת בתגובה טוענת, בין היתר, כי התובעת מתעלמת מהקביעות בפסק הדין החלקי.</w:t>
      </w:r>
    </w:p>
    <w:p w:rsidR="0037207E" w:rsidRDefault="0037207E" w:rsidP="0037207E">
      <w:pPr>
        <w:pStyle w:val="ad"/>
        <w:numPr>
          <w:ilvl w:val="0"/>
          <w:numId w:val="1"/>
        </w:numPr>
        <w:spacing w:line="360" w:lineRule="auto"/>
        <w:jc w:val="both"/>
        <w:rPr>
          <w:rFonts w:ascii="David" w:hAnsi="David" w:cs="David"/>
          <w:sz w:val="24"/>
          <w:szCs w:val="24"/>
        </w:rPr>
      </w:pPr>
      <w:r>
        <w:rPr>
          <w:rFonts w:ascii="David" w:hAnsi="David" w:cs="David"/>
          <w:sz w:val="24"/>
          <w:szCs w:val="24"/>
          <w:rtl/>
        </w:rPr>
        <w:t>לאחר העיון אני סבורה כי יש לקבל את חישוב התובעת, אשר הוא כשלעצמו אינו שנוי במחלוקת. בצדק טענה התובעת כי טענות הנתבעת סוטות מהאמור בפסק הדין החלקי ולפיכך נראה כי יש בבקשת הנתבעת בקשה לשנות או לתקן את פסק הדין החלקי. מעבר לדרוש אעיר כי אכן מדובר בהלכה חדשה, אך כפי שפורט בפסק הדין החלקי איני סבורה כי היא סוטה מפסקי הדין הקודמים שניתנו בנושא אלא מתייחסת למקרה שטרם נידון. חידושה של ההלכה יובא בחשבון במסגרת הוצאות ההליך.</w:t>
      </w:r>
    </w:p>
    <w:p w:rsidR="0037207E" w:rsidRDefault="0037207E" w:rsidP="0037207E">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לאור האמור תשלם הנתבעת לתובעת סך של 619,218 ₪. </w:t>
      </w:r>
    </w:p>
    <w:p w:rsidR="0037207E" w:rsidRDefault="0037207E" w:rsidP="0037207E">
      <w:pPr>
        <w:pStyle w:val="ad"/>
        <w:numPr>
          <w:ilvl w:val="0"/>
          <w:numId w:val="1"/>
        </w:numPr>
        <w:spacing w:line="360" w:lineRule="auto"/>
        <w:jc w:val="both"/>
        <w:rPr>
          <w:rFonts w:ascii="David" w:hAnsi="David" w:cs="David"/>
          <w:sz w:val="24"/>
          <w:szCs w:val="24"/>
        </w:rPr>
      </w:pPr>
      <w:r>
        <w:rPr>
          <w:rFonts w:ascii="David" w:hAnsi="David" w:cs="David"/>
          <w:sz w:val="24"/>
          <w:szCs w:val="24"/>
          <w:rtl/>
        </w:rPr>
        <w:t>בפסיקת הוצאות ההליך יש להביא בחשבון את הסכום שנפסק, אך לצידו גם את העובדה שלא התנהל הליך הוכחות בתיק ופסק הדין ניתן על בסיס סיכומי הצדדים בלבד; את העובדה כי מדובר במחלוקת כנה באשר למקרה בו טרם נקבע הלכה; ואת העובדה כי לא התקבלה עמדת התובעת במלואה אלא עמדת ביניים בין עמדות הצדדים. לפיכך תשלם הנתבעת לתובעת שכ"ט עו"ד בסך של 25,000 ₪ והחזר אגרות משפט.</w:t>
      </w:r>
    </w:p>
    <w:p w:rsidR="0037207E" w:rsidRDefault="0037207E" w:rsidP="0037207E">
      <w:pPr>
        <w:pStyle w:val="ad"/>
        <w:numPr>
          <w:ilvl w:val="0"/>
          <w:numId w:val="1"/>
        </w:numPr>
        <w:spacing w:line="360" w:lineRule="auto"/>
        <w:jc w:val="both"/>
        <w:rPr>
          <w:rFonts w:ascii="David" w:hAnsi="David" w:cs="David"/>
          <w:sz w:val="24"/>
          <w:szCs w:val="24"/>
        </w:rPr>
      </w:pPr>
      <w:r>
        <w:rPr>
          <w:rFonts w:ascii="David" w:hAnsi="David" w:cs="David"/>
          <w:sz w:val="24"/>
          <w:szCs w:val="24"/>
          <w:rtl/>
        </w:rPr>
        <w:lastRenderedPageBreak/>
        <w:t>כלל הסכומים ישולמו תוך 30 יום.</w:t>
      </w: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 שבט תשפ"ב</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12 ינואר 2022</w:t>
          </w:r>
        </w:sdtContent>
      </w:sdt>
      <w:r w:rsidR="00005C8B">
        <w:rPr>
          <w:rFonts w:ascii="Arial" w:hAnsi="Arial"/>
          <w:noProof w:val="0"/>
          <w:rtl/>
        </w:rPr>
        <w:t>, בהעדר הצדדים.</w:t>
      </w:r>
    </w:p>
    <w:p w:rsidR="00C43648" w:rsidRDefault="00735B7B"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657810858"/>
        </w:sdtPr>
        <w:sdtEndPr/>
        <w:sdtContent>
          <w:r w:rsidR="00C53B43">
            <w:drawing>
              <wp:inline distT="0" distB="0" distL="0" distR="0" wp14:editId="50D07946">
                <wp:extent cx="1228725"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228725" cy="7810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default" r:id="rId9"/>
      <w:footerReference w:type="default" r:id="rId10"/>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735B7B">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735B7B">
      <w:rPr>
        <w:rStyle w:val="ab"/>
        <w:rtl/>
      </w:rPr>
      <w:t>2</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735B7B" w:rsidP="007C2453">
          <w:pPr>
            <w:rPr>
              <w:b/>
              <w:bCs/>
              <w:noProof w:val="0"/>
              <w:sz w:val="26"/>
              <w:szCs w:val="26"/>
              <w:rtl/>
            </w:rPr>
          </w:pPr>
          <w:sdt>
            <w:sdtPr>
              <w:rPr>
                <w:rtl/>
              </w:rPr>
              <w:alias w:val="1170"/>
              <w:tag w:val="1170"/>
              <w:id w:val="1066377040"/>
              <w:text w:multiLine="1"/>
            </w:sdtPr>
            <w:sdtEndPr/>
            <w:sdtContent>
              <w:r w:rsidR="00A46717">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A46717">
                <w:rPr>
                  <w:b/>
                  <w:bCs/>
                  <w:noProof w:val="0"/>
                  <w:sz w:val="26"/>
                  <w:szCs w:val="26"/>
                  <w:rtl/>
                </w:rPr>
                <w:t>62913-05-19</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A46717">
                <w:rPr>
                  <w:b/>
                  <w:bCs/>
                  <w:noProof w:val="0"/>
                  <w:sz w:val="26"/>
                  <w:szCs w:val="26"/>
                  <w:rtl/>
                </w:rPr>
                <w:t>רד תקשורת מחשבים בע"מ נ' הועדה המקומית לתכנון ובניה ירושלים</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F4F85"/>
    <w:multiLevelType w:val="hybridMultilevel"/>
    <w:tmpl w:val="27B262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211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367BC"/>
    <w:rsid w:val="00144D2A"/>
    <w:rsid w:val="0014653E"/>
    <w:rsid w:val="00180519"/>
    <w:rsid w:val="00191C82"/>
    <w:rsid w:val="001C4003"/>
    <w:rsid w:val="001D4DBF"/>
    <w:rsid w:val="001E75CA"/>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7207E"/>
    <w:rsid w:val="003823E0"/>
    <w:rsid w:val="003A4521"/>
    <w:rsid w:val="003D1C8C"/>
    <w:rsid w:val="003E38C7"/>
    <w:rsid w:val="0040096C"/>
    <w:rsid w:val="00414F1F"/>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7DB7"/>
    <w:rsid w:val="00557717"/>
    <w:rsid w:val="00576A86"/>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35B7B"/>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4424E"/>
    <w:rsid w:val="00955642"/>
    <w:rsid w:val="009622DF"/>
    <w:rsid w:val="0096493F"/>
    <w:rsid w:val="00967DFF"/>
    <w:rsid w:val="00994341"/>
    <w:rsid w:val="00995B9F"/>
    <w:rsid w:val="009B4BC6"/>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53B43"/>
    <w:rsid w:val="00C642FA"/>
    <w:rsid w:val="00C770E3"/>
    <w:rsid w:val="00CC7622"/>
    <w:rsid w:val="00CD608F"/>
    <w:rsid w:val="00CF6BB7"/>
    <w:rsid w:val="00D04AA4"/>
    <w:rsid w:val="00D27982"/>
    <w:rsid w:val="00D33B86"/>
    <w:rsid w:val="00D44968"/>
    <w:rsid w:val="00D53924"/>
    <w:rsid w:val="00D55D0C"/>
    <w:rsid w:val="00D96D8C"/>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196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37207E"/>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703178">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39389329">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820B91" w:rsidP="00820B91">
          <w:pPr>
            <w:pStyle w:val="E460D38E05664FF79D4EFF282EF8EC9925"/>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0177CC" w:rsidP="000177CC">
          <w:pPr>
            <w:pStyle w:val="D290653DA13E4E738B7E725F79D7332917"/>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0177CC" w:rsidP="000177CC">
          <w:pPr>
            <w:pStyle w:val="F5EF4663D5094D57BB3FEC6B89CF5C8E2"/>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0177CC" w:rsidP="000177CC">
          <w:pPr>
            <w:pStyle w:val="7D8E46D2581B4CD9ACC623ACA7D52F752"/>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0177CC" w:rsidP="000177CC">
          <w:pPr>
            <w:pStyle w:val="C3B0FBA23B684176B12DDEEA2C39785F2"/>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
      <w:docPartPr>
        <w:name w:val="D0835A28627A476594973290286577B2"/>
        <w:category>
          <w:name w:val="כללי"/>
          <w:gallery w:val="placeholder"/>
        </w:category>
        <w:types>
          <w:type w:val="bbPlcHdr"/>
        </w:types>
        <w:behaviors>
          <w:behavior w:val="content"/>
        </w:behaviors>
        <w:guid w:val="{B58AC2E4-A63A-41F5-B07A-05150DB4A8E9}"/>
      </w:docPartPr>
      <w:docPartBody>
        <w:p w:rsidR="00820B91" w:rsidRDefault="000177CC" w:rsidP="000177CC">
          <w:pPr>
            <w:pStyle w:val="D0835A28627A476594973290286577B2"/>
          </w:pPr>
          <w:r w:rsidRPr="007C2453">
            <w:rPr>
              <w:rFonts w:ascii="Arial" w:hAnsi="Arial"/>
              <w:b/>
              <w:bCs/>
              <w:sz w:val="26"/>
              <w:szCs w:val="26"/>
              <w:rtl/>
            </w:rPr>
            <w:t>שם צד ג' ללא שם של חסוי</w:t>
          </w:r>
        </w:p>
      </w:docPartBody>
    </w:docPart>
    <w:docPart>
      <w:docPartPr>
        <w:name w:val="C0D9D4EB038F4D9DB24B5A2B7A8F2E7B"/>
        <w:category>
          <w:name w:val="כללי"/>
          <w:gallery w:val="placeholder"/>
        </w:category>
        <w:types>
          <w:type w:val="bbPlcHdr"/>
        </w:types>
        <w:behaviors>
          <w:behavior w:val="content"/>
        </w:behaviors>
        <w:guid w:val="{22B7C322-3B71-4615-99D1-4C2603CD5190}"/>
      </w:docPartPr>
      <w:docPartBody>
        <w:p w:rsidR="00820B91" w:rsidRDefault="000177CC" w:rsidP="000177CC">
          <w:pPr>
            <w:pStyle w:val="C0D9D4EB038F4D9DB24B5A2B7A8F2E7B"/>
          </w:pPr>
          <w:r w:rsidRPr="00272E32">
            <w:rPr>
              <w:rFonts w:ascii="Arial" w:hAnsi="Arial"/>
              <w:b/>
              <w:bCs/>
              <w:sz w:val="26"/>
              <w:szCs w:val="26"/>
              <w:rtl/>
            </w:rPr>
            <w:t>מעמד.כינוי צד ג'</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45C9D"/>
    <w:rsid w:val="0048651F"/>
    <w:rsid w:val="005157ED"/>
    <w:rsid w:val="005171E8"/>
    <w:rsid w:val="00556D67"/>
    <w:rsid w:val="00793995"/>
    <w:rsid w:val="007C6F98"/>
    <w:rsid w:val="007E254A"/>
    <w:rsid w:val="00820B9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20B91"/>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E460D38E05664FF79D4EFF282EF8EC9925">
    <w:name w:val="E460D38E05664FF79D4EFF282EF8EC9925"/>
    <w:rsid w:val="00820B91"/>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2120</Characters>
  <Application>Microsoft Office Word</Application>
  <DocSecurity>4</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2022-08-11T15:01:00Z</dcterms:created>
  <dcterms:modified xsi:type="dcterms:W3CDTF">2022-08-11T15:01:00Z</dcterms:modified>
</cp:coreProperties>
</file>