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rsidRPr="00CD0055" w:rsidTr="006816EC">
        <w:trPr>
          <w:jc w:val="center"/>
        </w:trPr>
        <w:tc>
          <w:tcPr>
            <w:tcW w:w="743" w:type="dxa"/>
            <w:hideMark/>
          </w:tcPr>
          <w:p w:rsidR="006816EC" w:rsidRPr="00CD0055" w:rsidRDefault="00295DD1">
            <w:pPr>
              <w:jc w:val="both"/>
              <w:rPr>
                <w:rFonts w:ascii="Arial (W1)" w:hAnsi="Arial (W1)"/>
                <w:b/>
                <w:bCs/>
                <w:sz w:val="26"/>
                <w:szCs w:val="26"/>
              </w:rPr>
            </w:pPr>
            <w:bookmarkStart w:id="0" w:name="_GoBack"/>
            <w:bookmarkEnd w:id="0"/>
            <w:r>
              <w:rPr>
                <w:rFonts w:hint="cs"/>
                <w:b/>
                <w:bCs/>
                <w:sz w:val="26"/>
                <w:szCs w:val="26"/>
                <w:rtl/>
              </w:rPr>
              <w:t>ל</w:t>
            </w:r>
            <w:r w:rsidR="006816EC" w:rsidRPr="00CD0055">
              <w:rPr>
                <w:rFonts w:hint="cs"/>
                <w:b/>
                <w:bCs/>
                <w:sz w:val="26"/>
                <w:szCs w:val="26"/>
                <w:rtl/>
              </w:rPr>
              <w:t xml:space="preserve">פני </w:t>
            </w:r>
          </w:p>
        </w:tc>
        <w:tc>
          <w:tcPr>
            <w:tcW w:w="8077" w:type="dxa"/>
            <w:gridSpan w:val="2"/>
            <w:hideMark/>
          </w:tcPr>
          <w:p w:rsidR="006816EC" w:rsidRPr="00CD0055" w:rsidRDefault="00B32C61" w:rsidP="006816EC">
            <w:pPr>
              <w:rPr>
                <w:rFonts w:ascii="Arial" w:hAnsi="Arial"/>
                <w:b/>
                <w:bCs/>
                <w:sz w:val="26"/>
                <w:szCs w:val="26"/>
                <w:rtl/>
              </w:rPr>
            </w:pPr>
            <w:r w:rsidRPr="00CD0055">
              <w:rPr>
                <w:rFonts w:ascii="Arial" w:hAnsi="Arial" w:hint="cs"/>
                <w:b/>
                <w:bCs/>
                <w:sz w:val="26"/>
                <w:szCs w:val="26"/>
                <w:rtl/>
              </w:rPr>
              <w:t>כבוד</w:t>
            </w:r>
            <w:r w:rsidR="006816EC" w:rsidRPr="00CD0055">
              <w:rPr>
                <w:rFonts w:ascii="Arial" w:hAnsi="Arial" w:hint="cs"/>
                <w:b/>
                <w:bCs/>
                <w:sz w:val="26"/>
                <w:szCs w:val="26"/>
                <w:rtl/>
              </w:rPr>
              <w:t xml:space="preserve"> ה</w:t>
            </w:r>
            <w:sdt>
              <w:sdtPr>
                <w:rPr>
                  <w:sz w:val="26"/>
                  <w:szCs w:val="26"/>
                  <w:rtl/>
                </w:rPr>
                <w:alias w:val="1574"/>
                <w:tag w:val="1574"/>
                <w:id w:val="-868990752"/>
                <w:text w:multiLine="1"/>
              </w:sdtPr>
              <w:sdtEndPr/>
              <w:sdtContent>
                <w:r>
                  <w:rPr>
                    <w:rFonts w:ascii="Arial" w:hAnsi="Arial"/>
                    <w:b/>
                    <w:bCs/>
                    <w:sz w:val="26"/>
                    <w:szCs w:val="26"/>
                    <w:rtl/>
                  </w:rPr>
                  <w:t>שופט</w:t>
                </w:r>
              </w:sdtContent>
            </w:sdt>
            <w:r w:rsidR="006816EC" w:rsidRPr="00CD0055">
              <w:rPr>
                <w:rFonts w:ascii="Arial" w:hAnsi="Arial" w:hint="cs"/>
                <w:b/>
                <w:bCs/>
                <w:sz w:val="26"/>
                <w:szCs w:val="26"/>
                <w:rtl/>
              </w:rPr>
              <w:t xml:space="preserve">  </w:t>
            </w:r>
            <w:sdt>
              <w:sdtPr>
                <w:rPr>
                  <w:sz w:val="26"/>
                  <w:szCs w:val="26"/>
                  <w:rtl/>
                </w:rPr>
                <w:alias w:val="1573"/>
                <w:tag w:val="1573"/>
                <w:id w:val="407734867"/>
                <w:text w:multiLine="1"/>
              </w:sdtPr>
              <w:sdtEndPr/>
              <w:sdtContent>
                <w:r>
                  <w:rPr>
                    <w:rFonts w:ascii="Arial" w:hAnsi="Arial"/>
                    <w:b/>
                    <w:bCs/>
                    <w:sz w:val="26"/>
                    <w:szCs w:val="26"/>
                    <w:rtl/>
                  </w:rPr>
                  <w:t>נפתלי שילה</w:t>
                </w:r>
              </w:sdtContent>
            </w:sdt>
          </w:p>
          <w:p w:rsidR="006816EC" w:rsidRPr="00CD0055" w:rsidRDefault="006816EC" w:rsidP="006816EC">
            <w:pPr>
              <w:rPr>
                <w:sz w:val="26"/>
                <w:szCs w:val="26"/>
              </w:rPr>
            </w:pPr>
          </w:p>
        </w:tc>
      </w:tr>
      <w:tr w:rsidR="006816EC" w:rsidRPr="00CD0055" w:rsidTr="006816EC">
        <w:trPr>
          <w:jc w:val="center"/>
        </w:trPr>
        <w:tc>
          <w:tcPr>
            <w:tcW w:w="3249" w:type="dxa"/>
            <w:gridSpan w:val="2"/>
          </w:tcPr>
          <w:p w:rsidR="006816EC" w:rsidRPr="00CD0055" w:rsidRDefault="006816EC">
            <w:pPr>
              <w:bidi w:val="0"/>
              <w:rPr>
                <w:rFonts w:ascii="Arial (W1)" w:hAnsi="Arial (W1)"/>
                <w:b/>
                <w:bCs/>
                <w:noProof w:val="0"/>
                <w:sz w:val="26"/>
                <w:szCs w:val="26"/>
                <w:rtl/>
              </w:rPr>
            </w:pPr>
          </w:p>
          <w:sdt>
            <w:sdtPr>
              <w:rPr>
                <w:rFonts w:hint="cs"/>
                <w:sz w:val="26"/>
                <w:szCs w:val="26"/>
                <w:rtl/>
              </w:rPr>
              <w:alias w:val="1180"/>
              <w:tag w:val="1180"/>
              <w:id w:val="-803768281"/>
              <w:text w:multiLine="1"/>
            </w:sdtPr>
            <w:sdtEndPr/>
            <w:sdtContent>
              <w:p w:rsidR="0093463E" w:rsidRDefault="00596F33" w:rsidP="00596F33">
                <w:pPr>
                  <w:rPr>
                    <w:rFonts w:ascii="Arial (W1)" w:hAnsi="Arial (W1)"/>
                    <w:b/>
                    <w:bCs/>
                    <w:noProof w:val="0"/>
                    <w:sz w:val="26"/>
                    <w:szCs w:val="26"/>
                  </w:rPr>
                </w:pPr>
                <w:r>
                  <w:rPr>
                    <w:rFonts w:hint="cs"/>
                    <w:b/>
                    <w:bCs/>
                    <w:noProof w:val="0"/>
                    <w:sz w:val="26"/>
                    <w:szCs w:val="26"/>
                    <w:rtl/>
                  </w:rPr>
                  <w:t>ה</w:t>
                </w:r>
                <w:r w:rsidR="00D97CE1">
                  <w:rPr>
                    <w:rFonts w:hint="cs"/>
                    <w:b/>
                    <w:bCs/>
                    <w:noProof w:val="0"/>
                    <w:sz w:val="26"/>
                    <w:szCs w:val="26"/>
                    <w:rtl/>
                  </w:rPr>
                  <w:t>מבקש</w:t>
                </w:r>
                <w:r>
                  <w:rPr>
                    <w:rFonts w:hint="cs"/>
                    <w:b/>
                    <w:bCs/>
                    <w:noProof w:val="0"/>
                    <w:sz w:val="26"/>
                    <w:szCs w:val="26"/>
                    <w:rtl/>
                  </w:rPr>
                  <w:t>ת</w:t>
                </w:r>
              </w:p>
            </w:sdtContent>
          </w:sdt>
        </w:tc>
        <w:tc>
          <w:tcPr>
            <w:tcW w:w="5571" w:type="dxa"/>
          </w:tcPr>
          <w:p w:rsidR="006816EC" w:rsidRPr="00CD0055" w:rsidRDefault="006816EC">
            <w:pPr>
              <w:rPr>
                <w:rFonts w:ascii="Arial (W1)" w:hAnsi="Arial (W1)"/>
                <w:b/>
                <w:bCs/>
                <w:noProof w:val="0"/>
                <w:sz w:val="26"/>
                <w:szCs w:val="26"/>
                <w:rtl/>
              </w:rPr>
            </w:pPr>
          </w:p>
          <w:p w:rsidR="00295DD1" w:rsidRDefault="008C22DD" w:rsidP="007F5FCF">
            <w:pPr>
              <w:rPr>
                <w:sz w:val="26"/>
                <w:szCs w:val="26"/>
                <w:rtl/>
              </w:rPr>
            </w:pPr>
            <w:sdt>
              <w:sdtPr>
                <w:rPr>
                  <w:rFonts w:hint="cs"/>
                  <w:sz w:val="26"/>
                  <w:szCs w:val="26"/>
                  <w:rtl/>
                </w:rPr>
                <w:alias w:val="1478"/>
                <w:tag w:val="1478"/>
                <w:id w:val="160126198"/>
                <w:text w:multiLine="1"/>
              </w:sdtPr>
              <w:sdtEndPr/>
              <w:sdtContent>
                <w:r w:rsidR="007F5FCF">
                  <w:rPr>
                    <w:rFonts w:hint="cs"/>
                    <w:b/>
                    <w:bCs/>
                    <w:noProof w:val="0"/>
                    <w:sz w:val="26"/>
                    <w:szCs w:val="26"/>
                    <w:rtl/>
                  </w:rPr>
                  <w:t>פלונית</w:t>
                </w:r>
              </w:sdtContent>
            </w:sdt>
          </w:p>
          <w:p w:rsidR="006816EC" w:rsidRPr="00CD0055" w:rsidRDefault="00295DD1">
            <w:pPr>
              <w:rPr>
                <w:rFonts w:ascii="Arial (W1)" w:hAnsi="Arial (W1)"/>
                <w:b/>
                <w:bCs/>
                <w:noProof w:val="0"/>
                <w:sz w:val="26"/>
                <w:szCs w:val="26"/>
              </w:rPr>
            </w:pPr>
            <w:r>
              <w:rPr>
                <w:rFonts w:hint="cs"/>
                <w:sz w:val="26"/>
                <w:szCs w:val="26"/>
                <w:rtl/>
              </w:rPr>
              <w:t>ע"י ב"כ עו"ד</w:t>
            </w:r>
            <w:r w:rsidR="00596F33">
              <w:rPr>
                <w:rFonts w:ascii="Arial (W1)" w:hAnsi="Arial (W1)" w:hint="cs"/>
                <w:b/>
                <w:bCs/>
                <w:noProof w:val="0"/>
                <w:sz w:val="26"/>
                <w:szCs w:val="26"/>
                <w:rtl/>
              </w:rPr>
              <w:t xml:space="preserve"> </w:t>
            </w:r>
            <w:r w:rsidR="00596F33" w:rsidRPr="000D5819">
              <w:rPr>
                <w:rFonts w:ascii="Arial (W1)" w:hAnsi="Arial (W1)" w:hint="cs"/>
                <w:noProof w:val="0"/>
                <w:sz w:val="26"/>
                <w:szCs w:val="26"/>
                <w:rtl/>
              </w:rPr>
              <w:t>בעז קראוס</w:t>
            </w:r>
          </w:p>
        </w:tc>
      </w:tr>
      <w:tr w:rsidR="006816EC" w:rsidRPr="00CD0055" w:rsidTr="006816EC">
        <w:trPr>
          <w:jc w:val="center"/>
        </w:trPr>
        <w:tc>
          <w:tcPr>
            <w:tcW w:w="8820" w:type="dxa"/>
            <w:gridSpan w:val="3"/>
          </w:tcPr>
          <w:p w:rsidR="006816EC" w:rsidRPr="00CD0055" w:rsidRDefault="006816EC">
            <w:pPr>
              <w:rPr>
                <w:rFonts w:ascii="Arial (W1)" w:hAnsi="Arial (W1)"/>
                <w:b/>
                <w:bCs/>
                <w:noProof w:val="0"/>
                <w:sz w:val="26"/>
                <w:szCs w:val="26"/>
                <w:rtl/>
              </w:rPr>
            </w:pPr>
          </w:p>
          <w:p w:rsidR="006816EC" w:rsidRPr="00CD0055" w:rsidRDefault="006816EC">
            <w:pPr>
              <w:jc w:val="center"/>
              <w:rPr>
                <w:b/>
                <w:bCs/>
                <w:noProof w:val="0"/>
                <w:sz w:val="26"/>
                <w:szCs w:val="26"/>
                <w:rtl/>
              </w:rPr>
            </w:pPr>
            <w:r w:rsidRPr="00CD0055">
              <w:rPr>
                <w:rFonts w:hint="cs"/>
                <w:b/>
                <w:bCs/>
                <w:noProof w:val="0"/>
                <w:sz w:val="26"/>
                <w:szCs w:val="26"/>
                <w:rtl/>
              </w:rPr>
              <w:t>נגד</w:t>
            </w:r>
          </w:p>
          <w:p w:rsidR="006816EC" w:rsidRPr="00CD0055" w:rsidRDefault="006816EC">
            <w:pPr>
              <w:rPr>
                <w:rFonts w:ascii="Arial (W1)" w:hAnsi="Arial (W1)"/>
                <w:b/>
                <w:bCs/>
                <w:noProof w:val="0"/>
                <w:sz w:val="26"/>
                <w:szCs w:val="26"/>
              </w:rPr>
            </w:pPr>
          </w:p>
        </w:tc>
      </w:tr>
      <w:tr w:rsidR="006816EC" w:rsidRPr="00CD0055" w:rsidTr="006816EC">
        <w:trPr>
          <w:jc w:val="center"/>
        </w:trPr>
        <w:tc>
          <w:tcPr>
            <w:tcW w:w="3249" w:type="dxa"/>
            <w:gridSpan w:val="2"/>
          </w:tcPr>
          <w:p w:rsidR="006816EC" w:rsidRPr="00CD0055" w:rsidRDefault="008C22DD">
            <w:pPr>
              <w:rPr>
                <w:rFonts w:ascii="Arial (W1)" w:hAnsi="Arial (W1)"/>
                <w:b/>
                <w:bCs/>
                <w:noProof w:val="0"/>
                <w:sz w:val="26"/>
                <w:szCs w:val="26"/>
              </w:rPr>
            </w:pPr>
            <w:sdt>
              <w:sdtPr>
                <w:rPr>
                  <w:rFonts w:hint="cs"/>
                  <w:sz w:val="26"/>
                  <w:szCs w:val="26"/>
                  <w:rtl/>
                </w:rPr>
                <w:alias w:val="1184"/>
                <w:tag w:val="1184"/>
                <w:id w:val="-910234160"/>
                <w:text w:multiLine="1"/>
              </w:sdtPr>
              <w:sdtEndPr/>
              <w:sdtContent>
                <w:r w:rsidR="00596F33">
                  <w:rPr>
                    <w:rFonts w:hint="cs"/>
                    <w:b/>
                    <w:bCs/>
                    <w:noProof w:val="0"/>
                    <w:sz w:val="26"/>
                    <w:szCs w:val="26"/>
                    <w:rtl/>
                  </w:rPr>
                  <w:t>ה</w:t>
                </w:r>
                <w:r w:rsidR="006B5553">
                  <w:rPr>
                    <w:rFonts w:hint="cs"/>
                    <w:b/>
                    <w:bCs/>
                    <w:noProof w:val="0"/>
                    <w:sz w:val="26"/>
                    <w:szCs w:val="26"/>
                    <w:rtl/>
                  </w:rPr>
                  <w:t>משיבים</w:t>
                </w:r>
              </w:sdtContent>
            </w:sdt>
          </w:p>
        </w:tc>
        <w:tc>
          <w:tcPr>
            <w:tcW w:w="5571" w:type="dxa"/>
          </w:tcPr>
          <w:p w:rsidR="00295DD1" w:rsidRDefault="008C22DD" w:rsidP="007F5FCF">
            <w:pPr>
              <w:rPr>
                <w:sz w:val="26"/>
                <w:szCs w:val="26"/>
                <w:rtl/>
              </w:rPr>
            </w:pPr>
            <w:sdt>
              <w:sdtPr>
                <w:rPr>
                  <w:rFonts w:hint="cs"/>
                  <w:sz w:val="26"/>
                  <w:szCs w:val="26"/>
                  <w:rtl/>
                </w:rPr>
                <w:alias w:val="1571"/>
                <w:tag w:val="1571"/>
                <w:id w:val="-1361515445"/>
                <w:text w:multiLine="1"/>
              </w:sdtPr>
              <w:sdtEndPr/>
              <w:sdtContent>
                <w:r w:rsidR="006B5553">
                  <w:rPr>
                    <w:rFonts w:hint="cs"/>
                    <w:b/>
                    <w:bCs/>
                    <w:noProof w:val="0"/>
                    <w:sz w:val="26"/>
                    <w:szCs w:val="26"/>
                    <w:rtl/>
                  </w:rPr>
                  <w:t>1</w:t>
                </w:r>
              </w:sdtContent>
            </w:sdt>
            <w:r w:rsidR="006816EC" w:rsidRPr="00CD0055">
              <w:rPr>
                <w:rFonts w:hint="cs"/>
                <w:b/>
                <w:bCs/>
                <w:noProof w:val="0"/>
                <w:sz w:val="26"/>
                <w:szCs w:val="26"/>
                <w:rtl/>
              </w:rPr>
              <w:t>.</w:t>
            </w:r>
            <w:sdt>
              <w:sdtPr>
                <w:rPr>
                  <w:rFonts w:hint="cs"/>
                  <w:sz w:val="26"/>
                  <w:szCs w:val="26"/>
                  <w:rtl/>
                </w:rPr>
                <w:alias w:val="1486"/>
                <w:tag w:val="1486"/>
                <w:id w:val="1029919426"/>
                <w:text w:multiLine="1"/>
              </w:sdtPr>
              <w:sdtEndPr/>
              <w:sdtContent>
                <w:r w:rsidR="000D5819">
                  <w:rPr>
                    <w:rFonts w:hint="cs"/>
                    <w:b/>
                    <w:bCs/>
                    <w:noProof w:val="0"/>
                    <w:sz w:val="26"/>
                    <w:szCs w:val="26"/>
                    <w:rtl/>
                  </w:rPr>
                  <w:t xml:space="preserve"> </w:t>
                </w:r>
                <w:r w:rsidR="007F5FCF">
                  <w:rPr>
                    <w:rFonts w:hint="cs"/>
                    <w:b/>
                    <w:bCs/>
                    <w:noProof w:val="0"/>
                    <w:sz w:val="26"/>
                    <w:szCs w:val="26"/>
                    <w:rtl/>
                  </w:rPr>
                  <w:t>אלמונית</w:t>
                </w:r>
              </w:sdtContent>
            </w:sdt>
          </w:p>
          <w:p w:rsidR="00295DD1" w:rsidRDefault="008C22DD" w:rsidP="007F5FCF">
            <w:pPr>
              <w:rPr>
                <w:sz w:val="26"/>
                <w:szCs w:val="26"/>
                <w:rtl/>
              </w:rPr>
            </w:pPr>
            <w:sdt>
              <w:sdtPr>
                <w:rPr>
                  <w:rFonts w:hint="cs"/>
                  <w:sz w:val="26"/>
                  <w:szCs w:val="26"/>
                  <w:rtl/>
                </w:rPr>
                <w:alias w:val="1571"/>
                <w:tag w:val="1571"/>
                <w:id w:val="-1309538358"/>
                <w:text w:multiLine="1"/>
              </w:sdtPr>
              <w:sdtEndPr/>
              <w:sdtContent>
                <w:r w:rsidR="00596F33">
                  <w:rPr>
                    <w:rFonts w:hint="cs"/>
                    <w:sz w:val="26"/>
                    <w:szCs w:val="26"/>
                    <w:rtl/>
                  </w:rPr>
                  <w:t>2</w:t>
                </w:r>
              </w:sdtContent>
            </w:sdt>
            <w:r w:rsidR="006816EC" w:rsidRPr="00CD0055">
              <w:rPr>
                <w:rFonts w:hint="cs"/>
                <w:b/>
                <w:bCs/>
                <w:noProof w:val="0"/>
                <w:sz w:val="26"/>
                <w:szCs w:val="26"/>
                <w:rtl/>
              </w:rPr>
              <w:t>.</w:t>
            </w:r>
            <w:sdt>
              <w:sdtPr>
                <w:rPr>
                  <w:rFonts w:hint="cs"/>
                  <w:sz w:val="26"/>
                  <w:szCs w:val="26"/>
                  <w:rtl/>
                </w:rPr>
                <w:alias w:val="1486"/>
                <w:tag w:val="1486"/>
                <w:id w:val="268518632"/>
                <w:text w:multiLine="1"/>
              </w:sdtPr>
              <w:sdtEndPr/>
              <w:sdtContent>
                <w:r w:rsidR="000D5819">
                  <w:rPr>
                    <w:rFonts w:hint="cs"/>
                    <w:sz w:val="26"/>
                    <w:szCs w:val="26"/>
                    <w:rtl/>
                  </w:rPr>
                  <w:t xml:space="preserve"> </w:t>
                </w:r>
                <w:r w:rsidR="007F5FCF">
                  <w:rPr>
                    <w:rFonts w:hint="cs"/>
                    <w:b/>
                    <w:bCs/>
                    <w:noProof w:val="0"/>
                    <w:sz w:val="26"/>
                    <w:szCs w:val="26"/>
                    <w:rtl/>
                  </w:rPr>
                  <w:t>אלמוני</w:t>
                </w:r>
              </w:sdtContent>
            </w:sdt>
          </w:p>
          <w:p w:rsidR="006816EC" w:rsidRPr="00CD0055" w:rsidRDefault="00295DD1">
            <w:pPr>
              <w:rPr>
                <w:rFonts w:ascii="Arial (W1)" w:hAnsi="Arial (W1)"/>
                <w:b/>
                <w:bCs/>
                <w:noProof w:val="0"/>
                <w:sz w:val="26"/>
                <w:szCs w:val="26"/>
              </w:rPr>
            </w:pPr>
            <w:r>
              <w:rPr>
                <w:rFonts w:hint="cs"/>
                <w:sz w:val="26"/>
                <w:szCs w:val="26"/>
                <w:rtl/>
              </w:rPr>
              <w:t>ע"י ב"כ עו"ד</w:t>
            </w:r>
            <w:r w:rsidR="00596F33">
              <w:rPr>
                <w:rFonts w:hint="cs"/>
                <w:sz w:val="26"/>
                <w:szCs w:val="26"/>
                <w:rtl/>
              </w:rPr>
              <w:t xml:space="preserve"> חגי קאשי</w:t>
            </w:r>
          </w:p>
          <w:p w:rsidR="00295DD1" w:rsidRDefault="008C22DD" w:rsidP="007F5FCF">
            <w:pPr>
              <w:rPr>
                <w:sz w:val="26"/>
                <w:szCs w:val="26"/>
                <w:rtl/>
              </w:rPr>
            </w:pPr>
            <w:sdt>
              <w:sdtPr>
                <w:rPr>
                  <w:rFonts w:hint="cs"/>
                  <w:sz w:val="26"/>
                  <w:szCs w:val="26"/>
                  <w:rtl/>
                </w:rPr>
                <w:alias w:val="1571"/>
                <w:tag w:val="1571"/>
                <w:id w:val="1969538853"/>
                <w:text w:multiLine="1"/>
              </w:sdtPr>
              <w:sdtEndPr/>
              <w:sdtContent>
                <w:r w:rsidR="00596F33">
                  <w:rPr>
                    <w:rFonts w:hint="cs"/>
                    <w:b/>
                    <w:bCs/>
                    <w:noProof w:val="0"/>
                    <w:sz w:val="26"/>
                    <w:szCs w:val="26"/>
                    <w:rtl/>
                  </w:rPr>
                  <w:t>3</w:t>
                </w:r>
              </w:sdtContent>
            </w:sdt>
            <w:r w:rsidR="006816EC" w:rsidRPr="00CD0055">
              <w:rPr>
                <w:rFonts w:hint="cs"/>
                <w:b/>
                <w:bCs/>
                <w:noProof w:val="0"/>
                <w:sz w:val="26"/>
                <w:szCs w:val="26"/>
                <w:rtl/>
              </w:rPr>
              <w:t>.</w:t>
            </w:r>
            <w:sdt>
              <w:sdtPr>
                <w:rPr>
                  <w:rFonts w:hint="cs"/>
                  <w:sz w:val="26"/>
                  <w:szCs w:val="26"/>
                  <w:rtl/>
                </w:rPr>
                <w:alias w:val="1486"/>
                <w:tag w:val="1486"/>
                <w:id w:val="-1726129513"/>
                <w:text w:multiLine="1"/>
              </w:sdtPr>
              <w:sdtEndPr/>
              <w:sdtContent>
                <w:r w:rsidR="000D5819">
                  <w:rPr>
                    <w:rFonts w:hint="cs"/>
                    <w:b/>
                    <w:bCs/>
                    <w:noProof w:val="0"/>
                    <w:sz w:val="26"/>
                    <w:szCs w:val="26"/>
                    <w:rtl/>
                  </w:rPr>
                  <w:t xml:space="preserve"> </w:t>
                </w:r>
                <w:r w:rsidR="007F5FCF">
                  <w:rPr>
                    <w:rFonts w:hint="cs"/>
                    <w:b/>
                    <w:bCs/>
                    <w:noProof w:val="0"/>
                    <w:sz w:val="26"/>
                    <w:szCs w:val="26"/>
                    <w:rtl/>
                  </w:rPr>
                  <w:t>פלמונית</w:t>
                </w:r>
              </w:sdtContent>
            </w:sdt>
          </w:p>
          <w:p w:rsidR="006816EC" w:rsidRPr="00CD0055" w:rsidRDefault="00295DD1">
            <w:pPr>
              <w:rPr>
                <w:rFonts w:ascii="Arial (W1)" w:hAnsi="Arial (W1)"/>
                <w:b/>
                <w:bCs/>
                <w:noProof w:val="0"/>
                <w:sz w:val="26"/>
                <w:szCs w:val="26"/>
              </w:rPr>
            </w:pPr>
            <w:r>
              <w:rPr>
                <w:rFonts w:hint="cs"/>
                <w:sz w:val="26"/>
                <w:szCs w:val="26"/>
                <w:rtl/>
              </w:rPr>
              <w:t>ע"י ב"כ עו"ד</w:t>
            </w:r>
            <w:r w:rsidR="00596F33">
              <w:rPr>
                <w:rFonts w:hint="cs"/>
                <w:sz w:val="26"/>
                <w:szCs w:val="26"/>
                <w:rtl/>
              </w:rPr>
              <w:t xml:space="preserve"> רבקה אורמן</w:t>
            </w:r>
          </w:p>
        </w:tc>
      </w:tr>
    </w:tbl>
    <w:p w:rsidR="006816EC" w:rsidRPr="00596F33" w:rsidRDefault="006816EC" w:rsidP="006816EC">
      <w:pPr>
        <w:suppressLineNumbers/>
        <w:rPr>
          <w:rFonts w:ascii="Arial (W1)" w:hAnsi="Arial (W1)"/>
          <w:sz w:val="28"/>
          <w:szCs w:val="28"/>
          <w:rtl/>
        </w:rPr>
      </w:pPr>
    </w:p>
    <w:p w:rsidR="006816EC" w:rsidRDefault="006816EC" w:rsidP="003823DA">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005C8B">
            <w:pPr>
              <w:bidi w:val="0"/>
              <w:jc w:val="center"/>
              <w:rPr>
                <w:rFonts w:ascii="Arial" w:hAnsi="Arial"/>
                <w:b/>
                <w:bCs/>
                <w:noProof w:val="0"/>
                <w:sz w:val="28"/>
                <w:szCs w:val="28"/>
                <w:u w:val="single"/>
                <w:rtl/>
              </w:rPr>
            </w:pPr>
            <w:r>
              <w:rPr>
                <w:rFonts w:ascii="Arial" w:hAnsi="Arial"/>
                <w:b/>
                <w:bCs/>
                <w:noProof w:val="0"/>
                <w:sz w:val="28"/>
                <w:szCs w:val="28"/>
                <w:u w:val="single"/>
                <w:rtl/>
              </w:rPr>
              <w:t>פסק דין</w:t>
            </w:r>
          </w:p>
          <w:p w:rsidR="000D5819" w:rsidRDefault="000D5819" w:rsidP="000D5819">
            <w:pPr>
              <w:bidi w:val="0"/>
              <w:jc w:val="center"/>
              <w:rPr>
                <w:rFonts w:ascii="Arial" w:hAnsi="Arial"/>
                <w:b/>
                <w:bCs/>
                <w:noProof w:val="0"/>
                <w:sz w:val="28"/>
                <w:szCs w:val="28"/>
                <w:u w:val="single"/>
              </w:rPr>
            </w:pPr>
          </w:p>
        </w:tc>
      </w:tr>
    </w:tbl>
    <w:p w:rsidR="00596F33" w:rsidRDefault="00596F33" w:rsidP="00F219E4">
      <w:pPr>
        <w:spacing w:line="360" w:lineRule="auto"/>
        <w:ind w:left="-765"/>
        <w:jc w:val="both"/>
        <w:rPr>
          <w:rFonts w:ascii="Arial" w:hAnsi="Arial"/>
          <w:noProof w:val="0"/>
          <w:rtl/>
        </w:rPr>
      </w:pPr>
      <w:r w:rsidRPr="00584008">
        <w:rPr>
          <w:rFonts w:ascii="Arial" w:hAnsi="Arial" w:hint="cs"/>
          <w:b/>
          <w:bCs/>
          <w:noProof w:val="0"/>
          <w:rtl/>
        </w:rPr>
        <w:t xml:space="preserve">בקשת רשות ערעור על החלטת בית המשפט לענייני משפחה מיום </w:t>
      </w:r>
      <w:r w:rsidR="00F219E4">
        <w:rPr>
          <w:rFonts w:ascii="Arial" w:hAnsi="Arial" w:hint="cs"/>
          <w:b/>
          <w:bCs/>
          <w:noProof w:val="0"/>
          <w:rtl/>
        </w:rPr>
        <w:t>20.3.</w:t>
      </w:r>
      <w:r w:rsidR="00F219E4" w:rsidRPr="002B43BB">
        <w:rPr>
          <w:rFonts w:ascii="Arial" w:hAnsi="Arial" w:hint="cs"/>
          <w:b/>
          <w:bCs/>
          <w:noProof w:val="0"/>
          <w:rtl/>
        </w:rPr>
        <w:t>22</w:t>
      </w:r>
      <w:r w:rsidR="00F219E4">
        <w:rPr>
          <w:rFonts w:ascii="Arial" w:hAnsi="Arial" w:hint="cs"/>
          <w:b/>
          <w:bCs/>
          <w:noProof w:val="0"/>
          <w:rtl/>
        </w:rPr>
        <w:t xml:space="preserve"> (כב' השופט שמואל בר-</w:t>
      </w:r>
      <w:r w:rsidRPr="00584008">
        <w:rPr>
          <w:rFonts w:ascii="Arial" w:hAnsi="Arial" w:hint="cs"/>
          <w:b/>
          <w:bCs/>
          <w:noProof w:val="0"/>
          <w:rtl/>
        </w:rPr>
        <w:t>יוסף בתמ"ש 40388-06-20) שדחה את בקשת המבקשת להציג למומחה שמונה מטעם בית המשפט חוות דעת פרטית בשלב הגשת שאלות ההבהרה</w:t>
      </w:r>
      <w:r>
        <w:rPr>
          <w:rFonts w:ascii="Arial" w:hAnsi="Arial" w:hint="cs"/>
          <w:noProof w:val="0"/>
          <w:rtl/>
        </w:rPr>
        <w:t>.</w:t>
      </w:r>
    </w:p>
    <w:p w:rsidR="00596F33" w:rsidRPr="00834794" w:rsidRDefault="00596F33" w:rsidP="000D5819">
      <w:pPr>
        <w:spacing w:line="360" w:lineRule="auto"/>
        <w:ind w:left="-57" w:hanging="708"/>
        <w:jc w:val="both"/>
        <w:rPr>
          <w:rFonts w:ascii="David" w:hAnsi="David"/>
          <w:noProof w:val="0"/>
          <w:sz w:val="20"/>
          <w:szCs w:val="20"/>
          <w:rtl/>
        </w:rPr>
      </w:pPr>
    </w:p>
    <w:p w:rsidR="00596F33" w:rsidRPr="000D5819" w:rsidRDefault="00596F33" w:rsidP="000D5819">
      <w:pPr>
        <w:pStyle w:val="ad"/>
        <w:numPr>
          <w:ilvl w:val="0"/>
          <w:numId w:val="1"/>
        </w:numPr>
        <w:spacing w:line="360" w:lineRule="auto"/>
        <w:ind w:left="-57" w:hanging="708"/>
        <w:jc w:val="both"/>
        <w:rPr>
          <w:rFonts w:ascii="David" w:hAnsi="David"/>
          <w:b/>
          <w:bCs/>
          <w:noProof w:val="0"/>
        </w:rPr>
      </w:pPr>
      <w:r w:rsidRPr="000D5819">
        <w:rPr>
          <w:rFonts w:ascii="David" w:hAnsi="David"/>
          <w:b/>
          <w:bCs/>
          <w:noProof w:val="0"/>
          <w:rtl/>
        </w:rPr>
        <w:t>רקע עובדתי</w:t>
      </w:r>
    </w:p>
    <w:p w:rsidR="00596F33" w:rsidRPr="000D5819" w:rsidRDefault="00596F33" w:rsidP="000D5819">
      <w:pPr>
        <w:spacing w:line="360" w:lineRule="auto"/>
        <w:ind w:left="-57" w:hanging="708"/>
        <w:jc w:val="both"/>
        <w:rPr>
          <w:rFonts w:ascii="David" w:hAnsi="David"/>
          <w:noProof w:val="0"/>
          <w:sz w:val="16"/>
          <w:szCs w:val="16"/>
          <w:rtl/>
        </w:rPr>
      </w:pPr>
    </w:p>
    <w:p w:rsidR="00694556" w:rsidRPr="000D5819" w:rsidRDefault="00220E92" w:rsidP="000D5819">
      <w:pPr>
        <w:pStyle w:val="ad"/>
        <w:numPr>
          <w:ilvl w:val="0"/>
          <w:numId w:val="2"/>
        </w:numPr>
        <w:spacing w:line="360" w:lineRule="auto"/>
        <w:ind w:left="-57" w:hanging="708"/>
        <w:jc w:val="both"/>
        <w:rPr>
          <w:rFonts w:ascii="David" w:hAnsi="David"/>
          <w:noProof w:val="0"/>
        </w:rPr>
      </w:pPr>
      <w:r w:rsidRPr="000D5819">
        <w:rPr>
          <w:rFonts w:ascii="David" w:hAnsi="David"/>
          <w:noProof w:val="0"/>
          <w:rtl/>
        </w:rPr>
        <w:t xml:space="preserve">המשיבים 1-2 (להלן: </w:t>
      </w:r>
      <w:r w:rsidRPr="000D5819">
        <w:rPr>
          <w:rFonts w:ascii="David" w:hAnsi="David"/>
          <w:b/>
          <w:bCs/>
          <w:noProof w:val="0"/>
          <w:rtl/>
        </w:rPr>
        <w:t>התובעים</w:t>
      </w:r>
      <w:r w:rsidRPr="000D5819">
        <w:rPr>
          <w:rFonts w:ascii="David" w:hAnsi="David"/>
          <w:noProof w:val="0"/>
          <w:rtl/>
        </w:rPr>
        <w:t xml:space="preserve">) הגישו תביעה לביטול עסקת מתנה שבמסגרתה מכרה המשיבה 3 (להלן: </w:t>
      </w:r>
      <w:r w:rsidRPr="000D5819">
        <w:rPr>
          <w:rFonts w:ascii="David" w:hAnsi="David"/>
          <w:b/>
          <w:bCs/>
          <w:noProof w:val="0"/>
          <w:rtl/>
        </w:rPr>
        <w:t>המוכרת</w:t>
      </w:r>
      <w:r w:rsidRPr="000D5819">
        <w:rPr>
          <w:rFonts w:ascii="David" w:hAnsi="David"/>
          <w:noProof w:val="0"/>
          <w:rtl/>
        </w:rPr>
        <w:t>) את דירתה למבקשת</w:t>
      </w:r>
      <w:r w:rsidR="004F503E" w:rsidRPr="000D5819">
        <w:rPr>
          <w:rFonts w:ascii="David" w:hAnsi="David"/>
          <w:noProof w:val="0"/>
          <w:rtl/>
        </w:rPr>
        <w:t xml:space="preserve"> ביום 23.11.18</w:t>
      </w:r>
      <w:r w:rsidRPr="000D5819">
        <w:rPr>
          <w:rFonts w:ascii="David" w:hAnsi="David"/>
          <w:noProof w:val="0"/>
          <w:rtl/>
        </w:rPr>
        <w:t>.</w:t>
      </w:r>
    </w:p>
    <w:p w:rsidR="00220E92" w:rsidRPr="00F219E4" w:rsidRDefault="00220E92" w:rsidP="000D5819">
      <w:pPr>
        <w:spacing w:line="360" w:lineRule="auto"/>
        <w:ind w:left="-57" w:hanging="708"/>
        <w:jc w:val="both"/>
        <w:rPr>
          <w:rFonts w:ascii="David" w:hAnsi="David"/>
          <w:noProof w:val="0"/>
          <w:sz w:val="16"/>
          <w:szCs w:val="16"/>
          <w:rtl/>
        </w:rPr>
      </w:pPr>
    </w:p>
    <w:p w:rsidR="00220E92" w:rsidRPr="000D5819" w:rsidRDefault="00220E92" w:rsidP="00F219E4">
      <w:pPr>
        <w:pStyle w:val="ad"/>
        <w:numPr>
          <w:ilvl w:val="0"/>
          <w:numId w:val="2"/>
        </w:numPr>
        <w:spacing w:line="360" w:lineRule="auto"/>
        <w:ind w:left="-57" w:hanging="708"/>
        <w:jc w:val="both"/>
        <w:rPr>
          <w:rFonts w:ascii="David" w:hAnsi="David"/>
          <w:noProof w:val="0"/>
        </w:rPr>
      </w:pPr>
      <w:r w:rsidRPr="000D5819">
        <w:rPr>
          <w:rFonts w:ascii="David" w:hAnsi="David"/>
          <w:noProof w:val="0"/>
          <w:rtl/>
        </w:rPr>
        <w:t xml:space="preserve">מאחר </w:t>
      </w:r>
      <w:r w:rsidR="00F219E4">
        <w:rPr>
          <w:rFonts w:ascii="David" w:hAnsi="David" w:hint="cs"/>
          <w:noProof w:val="0"/>
          <w:rtl/>
        </w:rPr>
        <w:t>ש</w:t>
      </w:r>
      <w:r w:rsidR="00F219E4" w:rsidRPr="000D5819">
        <w:rPr>
          <w:rFonts w:ascii="David" w:hAnsi="David"/>
          <w:noProof w:val="0"/>
          <w:rtl/>
        </w:rPr>
        <w:t>בין היתר</w:t>
      </w:r>
      <w:r w:rsidR="00F219E4">
        <w:rPr>
          <w:rFonts w:ascii="David" w:hAnsi="David" w:hint="cs"/>
          <w:noProof w:val="0"/>
          <w:rtl/>
        </w:rPr>
        <w:t xml:space="preserve"> </w:t>
      </w:r>
      <w:r w:rsidRPr="000D5819">
        <w:rPr>
          <w:rFonts w:ascii="David" w:hAnsi="David"/>
          <w:noProof w:val="0"/>
          <w:rtl/>
        </w:rPr>
        <w:t>נטען ע"י התובעים כי המוכרת לא היתה כשירה</w:t>
      </w:r>
      <w:r w:rsidR="004F503E" w:rsidRPr="000D5819">
        <w:rPr>
          <w:rFonts w:ascii="David" w:hAnsi="David"/>
          <w:noProof w:val="0"/>
          <w:rtl/>
        </w:rPr>
        <w:t xml:space="preserve"> במועד המכירה</w:t>
      </w:r>
      <w:r w:rsidRPr="000D5819">
        <w:rPr>
          <w:rFonts w:ascii="David" w:hAnsi="David"/>
          <w:noProof w:val="0"/>
          <w:rtl/>
        </w:rPr>
        <w:t xml:space="preserve">, מינה ביהמ"ש קמא בהסכמת הצדדים מומחה רפואי מטעמו (להלן: </w:t>
      </w:r>
      <w:r w:rsidRPr="000D5819">
        <w:rPr>
          <w:rFonts w:ascii="David" w:hAnsi="David"/>
          <w:b/>
          <w:bCs/>
          <w:noProof w:val="0"/>
          <w:rtl/>
        </w:rPr>
        <w:t>המומחה</w:t>
      </w:r>
      <w:r w:rsidRPr="000D5819">
        <w:rPr>
          <w:rFonts w:ascii="David" w:hAnsi="David"/>
          <w:noProof w:val="0"/>
          <w:rtl/>
        </w:rPr>
        <w:t xml:space="preserve">) על מנת שיחווה דעתו </w:t>
      </w:r>
      <w:r w:rsidR="00584008" w:rsidRPr="000D5819">
        <w:rPr>
          <w:rFonts w:ascii="David" w:hAnsi="David"/>
          <w:noProof w:val="0"/>
          <w:rtl/>
        </w:rPr>
        <w:t xml:space="preserve">בשאלה </w:t>
      </w:r>
      <w:r w:rsidRPr="000D5819">
        <w:rPr>
          <w:rFonts w:ascii="David" w:hAnsi="David"/>
          <w:noProof w:val="0"/>
          <w:rtl/>
        </w:rPr>
        <w:t>האם המוכרת היתה כשירה להעניק למבקשת את דירתה</w:t>
      </w:r>
      <w:r w:rsidR="00584008" w:rsidRPr="000D5819">
        <w:rPr>
          <w:rFonts w:ascii="David" w:hAnsi="David"/>
          <w:noProof w:val="0"/>
          <w:rtl/>
        </w:rPr>
        <w:t xml:space="preserve"> במתנה</w:t>
      </w:r>
      <w:r w:rsidRPr="000D5819">
        <w:rPr>
          <w:rFonts w:ascii="David" w:hAnsi="David"/>
          <w:noProof w:val="0"/>
          <w:rtl/>
        </w:rPr>
        <w:t>.</w:t>
      </w:r>
    </w:p>
    <w:p w:rsidR="00220E92" w:rsidRPr="00834794" w:rsidRDefault="00220E92" w:rsidP="000D5819">
      <w:pPr>
        <w:pStyle w:val="ad"/>
        <w:ind w:left="-57" w:hanging="708"/>
        <w:rPr>
          <w:rFonts w:ascii="David" w:hAnsi="David"/>
          <w:noProof w:val="0"/>
          <w:sz w:val="16"/>
          <w:szCs w:val="16"/>
          <w:rtl/>
        </w:rPr>
      </w:pPr>
    </w:p>
    <w:p w:rsidR="00220E92" w:rsidRPr="000D5819" w:rsidRDefault="00220E92" w:rsidP="000D5819">
      <w:pPr>
        <w:pStyle w:val="ad"/>
        <w:numPr>
          <w:ilvl w:val="0"/>
          <w:numId w:val="2"/>
        </w:numPr>
        <w:spacing w:line="360" w:lineRule="auto"/>
        <w:ind w:left="-57" w:hanging="708"/>
        <w:jc w:val="both"/>
        <w:rPr>
          <w:rFonts w:ascii="David" w:hAnsi="David"/>
          <w:noProof w:val="0"/>
        </w:rPr>
      </w:pPr>
      <w:r w:rsidRPr="000D5819">
        <w:rPr>
          <w:rFonts w:ascii="David" w:hAnsi="David"/>
          <w:noProof w:val="0"/>
          <w:rtl/>
        </w:rPr>
        <w:t>במסגרת החלטת מינוי המומחה</w:t>
      </w:r>
      <w:r w:rsidR="00597951" w:rsidRPr="000D5819">
        <w:rPr>
          <w:rFonts w:ascii="David" w:hAnsi="David"/>
          <w:noProof w:val="0"/>
          <w:rtl/>
        </w:rPr>
        <w:t xml:space="preserve"> </w:t>
      </w:r>
      <w:r w:rsidR="003827E2" w:rsidRPr="000D5819">
        <w:rPr>
          <w:rFonts w:ascii="David" w:hAnsi="David"/>
          <w:noProof w:val="0"/>
          <w:rtl/>
        </w:rPr>
        <w:t xml:space="preserve">נקבע </w:t>
      </w:r>
      <w:r w:rsidR="00B94DB8">
        <w:rPr>
          <w:rFonts w:ascii="David" w:hAnsi="David" w:hint="cs"/>
          <w:noProof w:val="0"/>
          <w:rtl/>
        </w:rPr>
        <w:t xml:space="preserve">בהתאם להסכמת הצדדים </w:t>
      </w:r>
      <w:r w:rsidR="003827E2" w:rsidRPr="000D5819">
        <w:rPr>
          <w:rFonts w:ascii="David" w:hAnsi="David"/>
          <w:noProof w:val="0"/>
          <w:rtl/>
        </w:rPr>
        <w:t xml:space="preserve">כי </w:t>
      </w:r>
      <w:r w:rsidR="00597951" w:rsidRPr="000D5819">
        <w:rPr>
          <w:rFonts w:ascii="David" w:hAnsi="David"/>
          <w:noProof w:val="0"/>
          <w:rtl/>
        </w:rPr>
        <w:t>"</w:t>
      </w:r>
      <w:r w:rsidR="003827E2" w:rsidRPr="000D5819">
        <w:rPr>
          <w:rFonts w:ascii="David" w:hAnsi="David"/>
          <w:b/>
          <w:bCs/>
          <w:noProof w:val="0"/>
          <w:rtl/>
        </w:rPr>
        <w:t xml:space="preserve">לא </w:t>
      </w:r>
      <w:r w:rsidR="00597951" w:rsidRPr="000D5819">
        <w:rPr>
          <w:rFonts w:ascii="David" w:hAnsi="David"/>
          <w:b/>
          <w:bCs/>
          <w:noProof w:val="0"/>
          <w:rtl/>
        </w:rPr>
        <w:t>תוצג למומחה חוות דעת כלשהי</w:t>
      </w:r>
      <w:r w:rsidR="00597951" w:rsidRPr="000D5819">
        <w:rPr>
          <w:rFonts w:ascii="David" w:hAnsi="David"/>
          <w:noProof w:val="0"/>
          <w:rtl/>
        </w:rPr>
        <w:t xml:space="preserve">". </w:t>
      </w:r>
    </w:p>
    <w:p w:rsidR="003827E2" w:rsidRPr="000D5819" w:rsidRDefault="003827E2" w:rsidP="000D5819">
      <w:pPr>
        <w:pStyle w:val="ad"/>
        <w:ind w:left="-57" w:hanging="708"/>
        <w:rPr>
          <w:rFonts w:ascii="David" w:hAnsi="David"/>
          <w:noProof w:val="0"/>
          <w:rtl/>
        </w:rPr>
      </w:pPr>
    </w:p>
    <w:p w:rsidR="00C72DC6" w:rsidRPr="000D5819" w:rsidRDefault="003827E2" w:rsidP="00241012">
      <w:pPr>
        <w:pStyle w:val="ad"/>
        <w:numPr>
          <w:ilvl w:val="0"/>
          <w:numId w:val="2"/>
        </w:numPr>
        <w:spacing w:line="360" w:lineRule="auto"/>
        <w:ind w:left="-57" w:hanging="708"/>
        <w:jc w:val="both"/>
        <w:rPr>
          <w:rFonts w:ascii="David" w:hAnsi="David"/>
          <w:noProof w:val="0"/>
        </w:rPr>
      </w:pPr>
      <w:r w:rsidRPr="000D5819">
        <w:rPr>
          <w:rFonts w:ascii="David" w:hAnsi="David"/>
          <w:noProof w:val="0"/>
          <w:rtl/>
        </w:rPr>
        <w:t>לאחר שהמומחה הגיש את חוות דעתו</w:t>
      </w:r>
      <w:r w:rsidR="00597951" w:rsidRPr="000D5819">
        <w:rPr>
          <w:rFonts w:ascii="David" w:hAnsi="David"/>
          <w:noProof w:val="0"/>
          <w:rtl/>
        </w:rPr>
        <w:t xml:space="preserve"> ביום 11.1.22</w:t>
      </w:r>
      <w:r w:rsidRPr="000D5819">
        <w:rPr>
          <w:rFonts w:ascii="David" w:hAnsi="David"/>
          <w:noProof w:val="0"/>
          <w:rtl/>
        </w:rPr>
        <w:t>, פנתה המבקשת למומחה בשאלות הבהרה</w:t>
      </w:r>
      <w:r w:rsidR="00241012">
        <w:rPr>
          <w:rFonts w:ascii="David" w:hAnsi="David" w:hint="cs"/>
          <w:noProof w:val="0"/>
          <w:rtl/>
        </w:rPr>
        <w:t>,</w:t>
      </w:r>
      <w:r w:rsidRPr="000D5819">
        <w:rPr>
          <w:rFonts w:ascii="David" w:hAnsi="David"/>
          <w:noProof w:val="0"/>
          <w:rtl/>
        </w:rPr>
        <w:t xml:space="preserve"> ובין היתר</w:t>
      </w:r>
      <w:r w:rsidR="00241012">
        <w:rPr>
          <w:rFonts w:ascii="David" w:hAnsi="David" w:hint="cs"/>
          <w:noProof w:val="0"/>
          <w:rtl/>
        </w:rPr>
        <w:t>,</w:t>
      </w:r>
      <w:r w:rsidRPr="000D5819">
        <w:rPr>
          <w:rFonts w:ascii="David" w:hAnsi="David"/>
          <w:noProof w:val="0"/>
          <w:rtl/>
        </w:rPr>
        <w:t xml:space="preserve"> היא צירפה </w:t>
      </w:r>
      <w:r w:rsidR="00584008" w:rsidRPr="000D5819">
        <w:rPr>
          <w:rFonts w:ascii="David" w:hAnsi="David"/>
          <w:noProof w:val="0"/>
          <w:rtl/>
        </w:rPr>
        <w:t xml:space="preserve">לשאלותיה </w:t>
      </w:r>
      <w:r w:rsidRPr="000D5819">
        <w:rPr>
          <w:rFonts w:ascii="David" w:hAnsi="David"/>
          <w:noProof w:val="0"/>
          <w:rtl/>
        </w:rPr>
        <w:t xml:space="preserve">תעודה רפואית של הפסיכיאטר ד"ר </w:t>
      </w:r>
      <w:r w:rsidR="004F503E" w:rsidRPr="000D5819">
        <w:rPr>
          <w:rFonts w:ascii="David" w:hAnsi="David"/>
          <w:noProof w:val="0"/>
          <w:rtl/>
        </w:rPr>
        <w:t xml:space="preserve">גורביץ </w:t>
      </w:r>
      <w:r w:rsidR="00C72DC6" w:rsidRPr="000D5819">
        <w:rPr>
          <w:rFonts w:ascii="David" w:hAnsi="David"/>
          <w:noProof w:val="0"/>
          <w:rtl/>
        </w:rPr>
        <w:t xml:space="preserve">(להלן: </w:t>
      </w:r>
      <w:r w:rsidR="00C72DC6" w:rsidRPr="000D5819">
        <w:rPr>
          <w:rFonts w:ascii="David" w:hAnsi="David"/>
          <w:b/>
          <w:bCs/>
          <w:noProof w:val="0"/>
          <w:rtl/>
        </w:rPr>
        <w:t>חו"ד גורביץ</w:t>
      </w:r>
      <w:r w:rsidR="00C72DC6" w:rsidRPr="000D5819">
        <w:rPr>
          <w:rFonts w:ascii="David" w:hAnsi="David"/>
          <w:noProof w:val="0"/>
          <w:rtl/>
        </w:rPr>
        <w:t xml:space="preserve">) </w:t>
      </w:r>
      <w:r w:rsidR="004F503E" w:rsidRPr="000D5819">
        <w:rPr>
          <w:rFonts w:ascii="David" w:hAnsi="David"/>
          <w:noProof w:val="0"/>
          <w:rtl/>
        </w:rPr>
        <w:t xml:space="preserve">שבדק את המוכרת ביום 12.12.18, </w:t>
      </w:r>
      <w:r w:rsidR="00584008" w:rsidRPr="000D5819">
        <w:rPr>
          <w:rFonts w:ascii="David" w:hAnsi="David"/>
          <w:noProof w:val="0"/>
          <w:rtl/>
        </w:rPr>
        <w:t>כמה שבועות</w:t>
      </w:r>
      <w:r w:rsidR="004F503E" w:rsidRPr="000D5819">
        <w:rPr>
          <w:rFonts w:ascii="David" w:hAnsi="David"/>
          <w:noProof w:val="0"/>
          <w:rtl/>
        </w:rPr>
        <w:t xml:space="preserve"> לאחר חתימת </w:t>
      </w:r>
      <w:r w:rsidR="009F0A61" w:rsidRPr="000D5819">
        <w:rPr>
          <w:rFonts w:ascii="David" w:hAnsi="David"/>
          <w:noProof w:val="0"/>
          <w:rtl/>
        </w:rPr>
        <w:t xml:space="preserve">תצהיר </w:t>
      </w:r>
      <w:r w:rsidR="004F503E" w:rsidRPr="000D5819">
        <w:rPr>
          <w:rFonts w:ascii="David" w:hAnsi="David"/>
          <w:noProof w:val="0"/>
          <w:rtl/>
        </w:rPr>
        <w:t>המתנה</w:t>
      </w:r>
      <w:r w:rsidR="00860C08">
        <w:rPr>
          <w:rFonts w:ascii="David" w:hAnsi="David" w:hint="cs"/>
          <w:noProof w:val="0"/>
          <w:rtl/>
        </w:rPr>
        <w:t>,</w:t>
      </w:r>
      <w:r w:rsidR="004F503E" w:rsidRPr="000D5819">
        <w:rPr>
          <w:rFonts w:ascii="David" w:hAnsi="David"/>
          <w:noProof w:val="0"/>
          <w:rtl/>
        </w:rPr>
        <w:t xml:space="preserve"> וביקש</w:t>
      </w:r>
      <w:r w:rsidR="00C72DC6" w:rsidRPr="000D5819">
        <w:rPr>
          <w:rFonts w:ascii="David" w:hAnsi="David"/>
          <w:noProof w:val="0"/>
          <w:rtl/>
        </w:rPr>
        <w:t>ה</w:t>
      </w:r>
      <w:r w:rsidR="004F503E" w:rsidRPr="000D5819">
        <w:rPr>
          <w:rFonts w:ascii="David" w:hAnsi="David"/>
          <w:noProof w:val="0"/>
          <w:rtl/>
        </w:rPr>
        <w:t xml:space="preserve"> </w:t>
      </w:r>
      <w:r w:rsidR="00A51055" w:rsidRPr="000D5819">
        <w:rPr>
          <w:rFonts w:ascii="David" w:hAnsi="David"/>
          <w:noProof w:val="0"/>
          <w:rtl/>
        </w:rPr>
        <w:t>ש</w:t>
      </w:r>
      <w:r w:rsidR="00C72DC6" w:rsidRPr="000D5819">
        <w:rPr>
          <w:rFonts w:ascii="David" w:hAnsi="David"/>
          <w:noProof w:val="0"/>
          <w:rtl/>
        </w:rPr>
        <w:t>המומחה ישיב האם לאור חו"ד גורביץ ניתן לקבוע שהמוכרת היתה כשירה להעניק את דירתה במתנה.</w:t>
      </w:r>
    </w:p>
    <w:p w:rsidR="00C72DC6" w:rsidRPr="00F219E4" w:rsidRDefault="00C72DC6" w:rsidP="000D5819">
      <w:pPr>
        <w:pStyle w:val="ad"/>
        <w:ind w:left="-57" w:hanging="708"/>
        <w:rPr>
          <w:rFonts w:ascii="David" w:hAnsi="David"/>
          <w:noProof w:val="0"/>
          <w:rtl/>
        </w:rPr>
      </w:pPr>
    </w:p>
    <w:p w:rsidR="00E24045" w:rsidRPr="000D5819" w:rsidRDefault="00C72DC6" w:rsidP="000D5819">
      <w:pPr>
        <w:pStyle w:val="ad"/>
        <w:numPr>
          <w:ilvl w:val="0"/>
          <w:numId w:val="2"/>
        </w:numPr>
        <w:spacing w:line="360" w:lineRule="auto"/>
        <w:ind w:left="-57" w:hanging="708"/>
        <w:jc w:val="both"/>
        <w:rPr>
          <w:rFonts w:ascii="David" w:hAnsi="David"/>
          <w:noProof w:val="0"/>
        </w:rPr>
      </w:pPr>
      <w:r w:rsidRPr="000D5819">
        <w:rPr>
          <w:rFonts w:ascii="David" w:hAnsi="David"/>
          <w:noProof w:val="0"/>
          <w:rtl/>
        </w:rPr>
        <w:t xml:space="preserve">התובעים התנגדו לשאלה זו וטענו </w:t>
      </w:r>
      <w:r w:rsidR="00E24045" w:rsidRPr="000D5819">
        <w:rPr>
          <w:rFonts w:ascii="David" w:hAnsi="David"/>
          <w:noProof w:val="0"/>
          <w:rtl/>
        </w:rPr>
        <w:t>ש</w:t>
      </w:r>
      <w:r w:rsidRPr="000D5819">
        <w:rPr>
          <w:rFonts w:ascii="David" w:hAnsi="David"/>
          <w:noProof w:val="0"/>
          <w:rtl/>
        </w:rPr>
        <w:t>המומחה אינו רשאי לעיין בחו</w:t>
      </w:r>
      <w:r w:rsidR="00584008" w:rsidRPr="000D5819">
        <w:rPr>
          <w:rFonts w:ascii="David" w:hAnsi="David"/>
          <w:noProof w:val="0"/>
          <w:rtl/>
        </w:rPr>
        <w:t>"</w:t>
      </w:r>
      <w:r w:rsidRPr="000D5819">
        <w:rPr>
          <w:rFonts w:ascii="David" w:hAnsi="David"/>
          <w:noProof w:val="0"/>
          <w:rtl/>
        </w:rPr>
        <w:t>ד</w:t>
      </w:r>
      <w:r w:rsidR="00E24045" w:rsidRPr="000D5819">
        <w:rPr>
          <w:rFonts w:ascii="David" w:hAnsi="David"/>
          <w:noProof w:val="0"/>
          <w:rtl/>
        </w:rPr>
        <w:t xml:space="preserve"> גורביץ היות שמדובר בחוות דעת פרטית שנאסר להציגה למומחה.</w:t>
      </w:r>
    </w:p>
    <w:p w:rsidR="00E24045" w:rsidRPr="000D5819" w:rsidRDefault="00E24045" w:rsidP="000D5819">
      <w:pPr>
        <w:pStyle w:val="ad"/>
        <w:ind w:left="-57" w:hanging="708"/>
        <w:rPr>
          <w:rFonts w:ascii="David" w:hAnsi="David"/>
          <w:noProof w:val="0"/>
          <w:rtl/>
        </w:rPr>
      </w:pPr>
    </w:p>
    <w:p w:rsidR="00E24045" w:rsidRPr="002B43BB" w:rsidRDefault="00E24045" w:rsidP="00252406">
      <w:pPr>
        <w:pStyle w:val="ad"/>
        <w:numPr>
          <w:ilvl w:val="0"/>
          <w:numId w:val="2"/>
        </w:numPr>
        <w:spacing w:line="360" w:lineRule="auto"/>
        <w:ind w:left="-57" w:hanging="708"/>
        <w:jc w:val="both"/>
        <w:rPr>
          <w:rFonts w:ascii="David" w:hAnsi="David"/>
          <w:noProof w:val="0"/>
        </w:rPr>
      </w:pPr>
      <w:r w:rsidRPr="000D5819">
        <w:rPr>
          <w:rFonts w:ascii="David" w:hAnsi="David"/>
          <w:noProof w:val="0"/>
          <w:rtl/>
        </w:rPr>
        <w:lastRenderedPageBreak/>
        <w:t xml:space="preserve">המומחה הודיע לצדדים כי לאור המחלוקת </w:t>
      </w:r>
      <w:r w:rsidR="00584008" w:rsidRPr="000D5819">
        <w:rPr>
          <w:rFonts w:ascii="David" w:hAnsi="David"/>
          <w:noProof w:val="0"/>
          <w:rtl/>
        </w:rPr>
        <w:t xml:space="preserve">ביניהם </w:t>
      </w:r>
      <w:r w:rsidRPr="000D5819">
        <w:rPr>
          <w:rFonts w:ascii="David" w:hAnsi="David"/>
          <w:noProof w:val="0"/>
          <w:rtl/>
        </w:rPr>
        <w:t xml:space="preserve">בנושא זה, עליו לקבל הנחיות </w:t>
      </w:r>
      <w:r w:rsidR="00584008" w:rsidRPr="000D5819">
        <w:rPr>
          <w:rFonts w:ascii="David" w:hAnsi="David"/>
          <w:noProof w:val="0"/>
          <w:rtl/>
        </w:rPr>
        <w:t xml:space="preserve">מבית המשפט </w:t>
      </w:r>
      <w:r w:rsidRPr="000D5819">
        <w:rPr>
          <w:rFonts w:ascii="David" w:hAnsi="David"/>
          <w:noProof w:val="0"/>
          <w:rtl/>
        </w:rPr>
        <w:t xml:space="preserve">על מנת שיוכל להשיב לשאלות ההבהרה. לפיכך, פנתה המבקשת לבית משפט קמא </w:t>
      </w:r>
      <w:r w:rsidRPr="002B43BB">
        <w:rPr>
          <w:rFonts w:ascii="David" w:hAnsi="David"/>
          <w:noProof w:val="0"/>
          <w:rtl/>
        </w:rPr>
        <w:t>וב</w:t>
      </w:r>
      <w:r w:rsidR="00F219E4" w:rsidRPr="002B43BB">
        <w:rPr>
          <w:rFonts w:ascii="David" w:hAnsi="David" w:hint="cs"/>
          <w:noProof w:val="0"/>
          <w:rtl/>
        </w:rPr>
        <w:t>י</w:t>
      </w:r>
      <w:r w:rsidRPr="002B43BB">
        <w:rPr>
          <w:rFonts w:ascii="David" w:hAnsi="David"/>
          <w:noProof w:val="0"/>
          <w:rtl/>
        </w:rPr>
        <w:t xml:space="preserve">קשה </w:t>
      </w:r>
      <w:r w:rsidR="00252406">
        <w:rPr>
          <w:rFonts w:ascii="David" w:hAnsi="David" w:hint="cs"/>
          <w:noProof w:val="0"/>
          <w:rtl/>
        </w:rPr>
        <w:t>ש</w:t>
      </w:r>
      <w:r w:rsidRPr="002B43BB">
        <w:rPr>
          <w:rFonts w:ascii="David" w:hAnsi="David"/>
          <w:noProof w:val="0"/>
          <w:rtl/>
        </w:rPr>
        <w:t>יתאפשר לה להציג למומחה את חו"ד גורביץ במסגרת שאלות ההבהרה.</w:t>
      </w:r>
      <w:r w:rsidR="00B94DB8">
        <w:rPr>
          <w:rFonts w:ascii="David" w:hAnsi="David" w:hint="cs"/>
          <w:noProof w:val="0"/>
          <w:rtl/>
        </w:rPr>
        <w:t xml:space="preserve"> התברר גם</w:t>
      </w:r>
      <w:r w:rsidR="00252406">
        <w:rPr>
          <w:rFonts w:ascii="David" w:hAnsi="David" w:hint="cs"/>
          <w:noProof w:val="0"/>
          <w:rtl/>
        </w:rPr>
        <w:t>,</w:t>
      </w:r>
      <w:r w:rsidR="00B94DB8">
        <w:rPr>
          <w:rFonts w:ascii="David" w:hAnsi="David" w:hint="cs"/>
          <w:noProof w:val="0"/>
          <w:rtl/>
        </w:rPr>
        <w:t xml:space="preserve"> כי המומחה נתן חוות דעת ביחס לתאריך שגוי ועליו להכין חוות דעת חדשה, לתאריך הנכון שבו נערכה עסקת המתנה. </w:t>
      </w:r>
    </w:p>
    <w:p w:rsidR="00E24045" w:rsidRPr="00CF6B88" w:rsidRDefault="00E24045" w:rsidP="000D5819">
      <w:pPr>
        <w:pStyle w:val="ad"/>
        <w:ind w:left="-57" w:hanging="708"/>
        <w:rPr>
          <w:rFonts w:ascii="David" w:hAnsi="David"/>
          <w:noProof w:val="0"/>
          <w:sz w:val="18"/>
          <w:szCs w:val="18"/>
          <w:rtl/>
        </w:rPr>
      </w:pPr>
    </w:p>
    <w:p w:rsidR="00E24045" w:rsidRPr="000D5819" w:rsidRDefault="00E24045" w:rsidP="00252406">
      <w:pPr>
        <w:pStyle w:val="ad"/>
        <w:numPr>
          <w:ilvl w:val="0"/>
          <w:numId w:val="2"/>
        </w:numPr>
        <w:spacing w:line="360" w:lineRule="auto"/>
        <w:ind w:left="-57" w:hanging="708"/>
        <w:jc w:val="both"/>
        <w:rPr>
          <w:rFonts w:ascii="David" w:hAnsi="David"/>
          <w:noProof w:val="0"/>
        </w:rPr>
      </w:pPr>
      <w:r w:rsidRPr="002B43BB">
        <w:rPr>
          <w:rFonts w:ascii="David" w:hAnsi="David"/>
          <w:noProof w:val="0"/>
          <w:rtl/>
        </w:rPr>
        <w:t>ביום 2.3.22 דחה בית המשפט קמא את הבקשה ואסר ל</w:t>
      </w:r>
      <w:r w:rsidR="008C53BD" w:rsidRPr="002B43BB">
        <w:rPr>
          <w:rFonts w:ascii="David" w:hAnsi="David" w:hint="cs"/>
          <w:noProof w:val="0"/>
          <w:rtl/>
        </w:rPr>
        <w:t>ה</w:t>
      </w:r>
      <w:r w:rsidRPr="002B43BB">
        <w:rPr>
          <w:rFonts w:ascii="David" w:hAnsi="David"/>
          <w:noProof w:val="0"/>
          <w:rtl/>
        </w:rPr>
        <w:t>ציג למומחה את</w:t>
      </w:r>
      <w:r w:rsidRPr="000D5819">
        <w:rPr>
          <w:rFonts w:ascii="David" w:hAnsi="David"/>
          <w:noProof w:val="0"/>
          <w:rtl/>
        </w:rPr>
        <w:t xml:space="preserve"> חו"ד גורביץ אף בשלב הגשת שאלות ההבהרה.</w:t>
      </w:r>
      <w:r w:rsidR="00DF7247" w:rsidRPr="000D5819">
        <w:rPr>
          <w:rFonts w:ascii="David" w:hAnsi="David"/>
          <w:noProof w:val="0"/>
          <w:rtl/>
        </w:rPr>
        <w:t xml:space="preserve"> בין היתר נקבע בהחלטה כי </w:t>
      </w:r>
      <w:r w:rsidR="00B94DB8">
        <w:rPr>
          <w:rFonts w:ascii="David" w:hAnsi="David" w:hint="cs"/>
          <w:noProof w:val="0"/>
          <w:rtl/>
        </w:rPr>
        <w:t>"</w:t>
      </w:r>
      <w:r w:rsidR="00B94DB8" w:rsidRPr="00252406">
        <w:rPr>
          <w:rFonts w:ascii="David" w:hAnsi="David" w:hint="cs"/>
          <w:b/>
          <w:bCs/>
          <w:noProof w:val="0"/>
          <w:rtl/>
        </w:rPr>
        <w:t>הסכמת הצדדים שקיבלה תוקף של החלטה היתה ללא סייג"</w:t>
      </w:r>
      <w:r w:rsidR="00B94DB8">
        <w:rPr>
          <w:rFonts w:ascii="David" w:hAnsi="David" w:hint="cs"/>
          <w:noProof w:val="0"/>
          <w:rtl/>
        </w:rPr>
        <w:t xml:space="preserve"> והנימוק העיקרי </w:t>
      </w:r>
      <w:r w:rsidR="00252406">
        <w:rPr>
          <w:rFonts w:ascii="David" w:hAnsi="David" w:hint="cs"/>
          <w:noProof w:val="0"/>
          <w:rtl/>
        </w:rPr>
        <w:t xml:space="preserve">להחלטה היה </w:t>
      </w:r>
      <w:r w:rsidR="00B94DB8">
        <w:rPr>
          <w:rFonts w:ascii="David" w:hAnsi="David" w:hint="cs"/>
          <w:noProof w:val="0"/>
          <w:rtl/>
        </w:rPr>
        <w:t>ש</w:t>
      </w:r>
      <w:r w:rsidR="00DF7247" w:rsidRPr="000D5819">
        <w:rPr>
          <w:rFonts w:ascii="David" w:hAnsi="David"/>
          <w:noProof w:val="0"/>
          <w:rtl/>
        </w:rPr>
        <w:t>על פי הפסיקה ניתן להגיש למומחה רק חומר רפואי גולמי או שוטף וחו"ד גורביץ "</w:t>
      </w:r>
      <w:r w:rsidR="00DF7247" w:rsidRPr="000D5819">
        <w:rPr>
          <w:rFonts w:ascii="David" w:hAnsi="David"/>
          <w:b/>
          <w:bCs/>
          <w:noProof w:val="0"/>
          <w:rtl/>
        </w:rPr>
        <w:t>איננה חומר רפואי גולמי או שוטף. בנסיבות המקרה אף ראוי לראות בה מסמך שהוכן לצורך הליך משפטי צפוי</w:t>
      </w:r>
      <w:r w:rsidR="00DF7247" w:rsidRPr="000D5819">
        <w:rPr>
          <w:rFonts w:ascii="David" w:hAnsi="David"/>
          <w:noProof w:val="0"/>
          <w:rtl/>
        </w:rPr>
        <w:t>"</w:t>
      </w:r>
      <w:r w:rsidR="00252406">
        <w:rPr>
          <w:rFonts w:ascii="David" w:hAnsi="David" w:hint="cs"/>
          <w:noProof w:val="0"/>
          <w:rtl/>
        </w:rPr>
        <w:t xml:space="preserve"> (להלן: </w:t>
      </w:r>
      <w:r w:rsidR="00252406" w:rsidRPr="004359AE">
        <w:rPr>
          <w:rFonts w:ascii="David" w:hAnsi="David" w:hint="cs"/>
          <w:b/>
          <w:bCs/>
          <w:noProof w:val="0"/>
          <w:rtl/>
        </w:rPr>
        <w:t>ההחלטה מיום 2.3.22</w:t>
      </w:r>
      <w:r w:rsidR="004359AE">
        <w:rPr>
          <w:rFonts w:ascii="David" w:hAnsi="David" w:hint="cs"/>
          <w:noProof w:val="0"/>
          <w:rtl/>
        </w:rPr>
        <w:t>)</w:t>
      </w:r>
      <w:r w:rsidR="00DF7247" w:rsidRPr="000D5819">
        <w:rPr>
          <w:rFonts w:ascii="David" w:hAnsi="David"/>
          <w:noProof w:val="0"/>
          <w:rtl/>
        </w:rPr>
        <w:t xml:space="preserve">.   </w:t>
      </w:r>
    </w:p>
    <w:p w:rsidR="00E24045" w:rsidRPr="00CF6B88" w:rsidRDefault="00E24045" w:rsidP="000D5819">
      <w:pPr>
        <w:pStyle w:val="ad"/>
        <w:ind w:left="-57" w:hanging="708"/>
        <w:rPr>
          <w:rFonts w:ascii="David" w:hAnsi="David"/>
          <w:noProof w:val="0"/>
          <w:sz w:val="18"/>
          <w:szCs w:val="18"/>
          <w:rtl/>
        </w:rPr>
      </w:pPr>
    </w:p>
    <w:p w:rsidR="00A0745C" w:rsidRDefault="00E24045" w:rsidP="008C53BD">
      <w:pPr>
        <w:pStyle w:val="ad"/>
        <w:numPr>
          <w:ilvl w:val="0"/>
          <w:numId w:val="2"/>
        </w:numPr>
        <w:spacing w:line="360" w:lineRule="auto"/>
        <w:ind w:left="-57" w:hanging="708"/>
        <w:jc w:val="both"/>
        <w:rPr>
          <w:rFonts w:ascii="David" w:hAnsi="David"/>
          <w:noProof w:val="0"/>
        </w:rPr>
      </w:pPr>
      <w:r w:rsidRPr="000D5819">
        <w:rPr>
          <w:rFonts w:ascii="David" w:hAnsi="David"/>
          <w:noProof w:val="0"/>
          <w:rtl/>
        </w:rPr>
        <w:t xml:space="preserve">המבקשת הגישה בקשה לעיון חוזר </w:t>
      </w:r>
      <w:r w:rsidR="008C53BD">
        <w:rPr>
          <w:rFonts w:ascii="David" w:hAnsi="David"/>
          <w:noProof w:val="0"/>
          <w:rtl/>
        </w:rPr>
        <w:t xml:space="preserve">שבמסגרתה </w:t>
      </w:r>
      <w:r w:rsidR="00A0745C" w:rsidRPr="000D5819">
        <w:rPr>
          <w:rFonts w:ascii="David" w:hAnsi="David"/>
          <w:noProof w:val="0"/>
          <w:rtl/>
        </w:rPr>
        <w:t>טע</w:t>
      </w:r>
      <w:r w:rsidR="00584008" w:rsidRPr="000D5819">
        <w:rPr>
          <w:rFonts w:ascii="David" w:hAnsi="David"/>
          <w:noProof w:val="0"/>
          <w:rtl/>
        </w:rPr>
        <w:t>נה</w:t>
      </w:r>
      <w:r w:rsidR="00A0745C" w:rsidRPr="000D5819">
        <w:rPr>
          <w:rFonts w:ascii="David" w:hAnsi="David"/>
          <w:noProof w:val="0"/>
          <w:rtl/>
        </w:rPr>
        <w:t xml:space="preserve"> </w:t>
      </w:r>
      <w:r w:rsidR="00584008" w:rsidRPr="000D5819">
        <w:rPr>
          <w:rFonts w:ascii="David" w:hAnsi="David"/>
          <w:noProof w:val="0"/>
          <w:rtl/>
        </w:rPr>
        <w:t>ש</w:t>
      </w:r>
      <w:r w:rsidR="00A0745C" w:rsidRPr="000D5819">
        <w:rPr>
          <w:rFonts w:ascii="David" w:hAnsi="David"/>
          <w:noProof w:val="0"/>
          <w:rtl/>
        </w:rPr>
        <w:t xml:space="preserve">ההלכה לפיה לא ניתן להציג בפני מומחה </w:t>
      </w:r>
      <w:r w:rsidR="00584008" w:rsidRPr="000D5819">
        <w:rPr>
          <w:rFonts w:ascii="David" w:hAnsi="David"/>
          <w:noProof w:val="0"/>
          <w:rtl/>
        </w:rPr>
        <w:t xml:space="preserve">שמונה ע"י בית המשפט </w:t>
      </w:r>
      <w:r w:rsidR="00A0745C" w:rsidRPr="000D5819">
        <w:rPr>
          <w:rFonts w:ascii="David" w:hAnsi="David"/>
          <w:noProof w:val="0"/>
          <w:rtl/>
        </w:rPr>
        <w:t>חוות דעת פרטיות חלה רק עד המועד שבו מוגשת חוות דעת המומחה שמונה. אולם, לאחר שלב הגשת חוות הדעת</w:t>
      </w:r>
      <w:r w:rsidR="00F6449E" w:rsidRPr="000D5819">
        <w:rPr>
          <w:rFonts w:ascii="David" w:hAnsi="David"/>
          <w:noProof w:val="0"/>
          <w:rtl/>
        </w:rPr>
        <w:t>,</w:t>
      </w:r>
      <w:r w:rsidR="00A0745C" w:rsidRPr="000D5819">
        <w:rPr>
          <w:rFonts w:ascii="David" w:hAnsi="David"/>
          <w:noProof w:val="0"/>
          <w:rtl/>
        </w:rPr>
        <w:t xml:space="preserve"> ניתן לשאול את המומחה כל שאלה רלוונטית ול</w:t>
      </w:r>
      <w:r w:rsidR="008C53BD" w:rsidRPr="002B43BB">
        <w:rPr>
          <w:rFonts w:ascii="David" w:hAnsi="David" w:hint="cs"/>
          <w:noProof w:val="0"/>
          <w:rtl/>
        </w:rPr>
        <w:t>ה</w:t>
      </w:r>
      <w:r w:rsidR="00A0745C" w:rsidRPr="000D5819">
        <w:rPr>
          <w:rFonts w:ascii="David" w:hAnsi="David"/>
          <w:noProof w:val="0"/>
          <w:rtl/>
        </w:rPr>
        <w:t>ציג לו כל מסמך</w:t>
      </w:r>
      <w:r w:rsidRPr="000D5819">
        <w:rPr>
          <w:rFonts w:ascii="David" w:hAnsi="David"/>
          <w:noProof w:val="0"/>
          <w:rtl/>
        </w:rPr>
        <w:t xml:space="preserve"> </w:t>
      </w:r>
      <w:r w:rsidR="00F6449E" w:rsidRPr="000D5819">
        <w:rPr>
          <w:rFonts w:ascii="David" w:hAnsi="David"/>
          <w:noProof w:val="0"/>
          <w:rtl/>
        </w:rPr>
        <w:t xml:space="preserve">לרבות חוות דעת פרטית </w:t>
      </w:r>
      <w:r w:rsidR="00A0745C" w:rsidRPr="000D5819">
        <w:rPr>
          <w:rFonts w:ascii="David" w:hAnsi="David"/>
          <w:noProof w:val="0"/>
          <w:rtl/>
        </w:rPr>
        <w:t>ולכן יש להתיר למבקשת להעביר לעיון המומחה את חו"ד גורביץ ולשאול אותו בדבר עמדתו לאחר שיעיין בחוות הדעת.</w:t>
      </w:r>
      <w:r w:rsidR="00783119">
        <w:rPr>
          <w:rFonts w:ascii="David" w:hAnsi="David" w:hint="cs"/>
          <w:noProof w:val="0"/>
          <w:rtl/>
        </w:rPr>
        <w:t xml:space="preserve"> </w:t>
      </w:r>
    </w:p>
    <w:p w:rsidR="00783119" w:rsidRPr="00783119" w:rsidRDefault="00783119" w:rsidP="00783119">
      <w:pPr>
        <w:pStyle w:val="ad"/>
        <w:rPr>
          <w:rFonts w:ascii="David" w:hAnsi="David"/>
          <w:noProof w:val="0"/>
          <w:rtl/>
        </w:rPr>
      </w:pPr>
    </w:p>
    <w:p w:rsidR="00783119" w:rsidRPr="00783119" w:rsidRDefault="00783119" w:rsidP="00783119">
      <w:pPr>
        <w:pStyle w:val="ad"/>
        <w:numPr>
          <w:ilvl w:val="0"/>
          <w:numId w:val="2"/>
        </w:numPr>
        <w:spacing w:line="360" w:lineRule="auto"/>
        <w:ind w:left="-57" w:hanging="708"/>
        <w:jc w:val="both"/>
        <w:rPr>
          <w:rFonts w:ascii="David" w:hAnsi="David"/>
          <w:b/>
          <w:bCs/>
          <w:noProof w:val="0"/>
        </w:rPr>
      </w:pPr>
      <w:r>
        <w:rPr>
          <w:rFonts w:ascii="David" w:hAnsi="David" w:hint="cs"/>
          <w:noProof w:val="0"/>
          <w:rtl/>
        </w:rPr>
        <w:t>ביום 5.3.22 החליט ביהמ"ש קמא כי: "</w:t>
      </w:r>
      <w:r w:rsidRPr="00783119">
        <w:rPr>
          <w:rFonts w:ascii="David" w:hAnsi="David" w:hint="cs"/>
          <w:b/>
          <w:bCs/>
          <w:noProof w:val="0"/>
          <w:rtl/>
        </w:rPr>
        <w:t xml:space="preserve">לאחר שיקול דעת נוסף </w:t>
      </w:r>
      <w:r w:rsidRPr="00783119">
        <w:rPr>
          <w:rFonts w:ascii="David" w:hAnsi="David"/>
          <w:b/>
          <w:bCs/>
          <w:noProof w:val="0"/>
          <w:rtl/>
        </w:rPr>
        <w:t>–</w:t>
      </w:r>
      <w:r w:rsidRPr="00783119">
        <w:rPr>
          <w:rFonts w:ascii="David" w:hAnsi="David" w:hint="cs"/>
          <w:b/>
          <w:bCs/>
          <w:noProof w:val="0"/>
          <w:rtl/>
        </w:rPr>
        <w:t xml:space="preserve"> מאחר שלא יכול להיות חולק על הזכות לחקור את המומחה ולעמת אותו בחקירה עם תעודת הרופא, ומשעה ששאלות ההבהרה נועדו, בין השאר, לייעל חקירה </w:t>
      </w:r>
      <w:r w:rsidRPr="00783119">
        <w:rPr>
          <w:rFonts w:ascii="David" w:hAnsi="David"/>
          <w:b/>
          <w:bCs/>
          <w:noProof w:val="0"/>
          <w:rtl/>
        </w:rPr>
        <w:t>–</w:t>
      </w:r>
      <w:r w:rsidRPr="00783119">
        <w:rPr>
          <w:rFonts w:ascii="David" w:hAnsi="David" w:hint="cs"/>
          <w:b/>
          <w:bCs/>
          <w:noProof w:val="0"/>
          <w:rtl/>
        </w:rPr>
        <w:t xml:space="preserve"> יכול ויש ממש בנטען. יואילו התובעים להתייחס לנקודה זו בלבד, תוך 10 ימים</w:t>
      </w:r>
      <w:r w:rsidRPr="007978A0">
        <w:rPr>
          <w:rFonts w:ascii="David" w:hAnsi="David" w:hint="cs"/>
          <w:noProof w:val="0"/>
          <w:rtl/>
        </w:rPr>
        <w:t>".</w:t>
      </w:r>
      <w:r w:rsidRPr="00783119">
        <w:rPr>
          <w:rFonts w:ascii="David" w:hAnsi="David" w:hint="cs"/>
          <w:b/>
          <w:bCs/>
          <w:noProof w:val="0"/>
          <w:rtl/>
        </w:rPr>
        <w:t xml:space="preserve"> </w:t>
      </w:r>
    </w:p>
    <w:p w:rsidR="00A0745C" w:rsidRPr="00834794" w:rsidRDefault="00A0745C" w:rsidP="000D5819">
      <w:pPr>
        <w:pStyle w:val="ad"/>
        <w:ind w:left="-57" w:hanging="708"/>
        <w:rPr>
          <w:rFonts w:ascii="David" w:hAnsi="David"/>
          <w:noProof w:val="0"/>
          <w:sz w:val="18"/>
          <w:szCs w:val="18"/>
          <w:rtl/>
        </w:rPr>
      </w:pPr>
    </w:p>
    <w:p w:rsidR="00417ACF" w:rsidRPr="000D5819" w:rsidRDefault="00A0745C" w:rsidP="00860C08">
      <w:pPr>
        <w:pStyle w:val="ad"/>
        <w:numPr>
          <w:ilvl w:val="0"/>
          <w:numId w:val="2"/>
        </w:numPr>
        <w:spacing w:line="360" w:lineRule="auto"/>
        <w:ind w:left="-57" w:hanging="708"/>
        <w:jc w:val="both"/>
        <w:rPr>
          <w:rFonts w:ascii="David" w:hAnsi="David"/>
          <w:noProof w:val="0"/>
        </w:rPr>
      </w:pPr>
      <w:r w:rsidRPr="000D5819">
        <w:rPr>
          <w:rFonts w:ascii="David" w:hAnsi="David"/>
          <w:noProof w:val="0"/>
          <w:rtl/>
        </w:rPr>
        <w:t xml:space="preserve">המוכרים התנגדו לבקשה </w:t>
      </w:r>
      <w:r w:rsidR="009F0A61" w:rsidRPr="000D5819">
        <w:rPr>
          <w:rFonts w:ascii="David" w:hAnsi="David"/>
          <w:noProof w:val="0"/>
          <w:rtl/>
        </w:rPr>
        <w:t>וטענו בין היתר שחוות הדעת הפרטית של ד"ר גורביץ נעשתה לצורך הליך משפטי עתידי ובעת מינוי המומחה נקבע במפורש שלא תוגש לו כל חוות דעת פרטית ללא כל סייג והכוונה היתה אף לשלב שאלות ההבהרה</w:t>
      </w:r>
      <w:r w:rsidR="00860C08">
        <w:rPr>
          <w:rFonts w:ascii="David" w:hAnsi="David" w:hint="cs"/>
          <w:noProof w:val="0"/>
          <w:rtl/>
        </w:rPr>
        <w:t>.</w:t>
      </w:r>
      <w:r w:rsidR="009F0A61" w:rsidRPr="000D5819">
        <w:rPr>
          <w:rFonts w:ascii="David" w:hAnsi="David"/>
          <w:noProof w:val="0"/>
          <w:rtl/>
        </w:rPr>
        <w:t xml:space="preserve"> זאת, על מנת שלא יושפע ממומחה אחר. </w:t>
      </w:r>
      <w:r w:rsidRPr="000D5819">
        <w:rPr>
          <w:rFonts w:ascii="David" w:hAnsi="David"/>
          <w:noProof w:val="0"/>
          <w:rtl/>
        </w:rPr>
        <w:t xml:space="preserve">בית המשפט קמא דחה את בקשת המבקשת וקבע </w:t>
      </w:r>
      <w:r w:rsidR="009F0A61" w:rsidRPr="000D5819">
        <w:rPr>
          <w:rFonts w:ascii="David" w:hAnsi="David"/>
          <w:noProof w:val="0"/>
          <w:rtl/>
        </w:rPr>
        <w:t>ש</w:t>
      </w:r>
      <w:r w:rsidR="00E61BAC">
        <w:rPr>
          <w:rFonts w:ascii="David" w:hAnsi="David" w:hint="cs"/>
          <w:noProof w:val="0"/>
          <w:rtl/>
        </w:rPr>
        <w:t>ה</w:t>
      </w:r>
      <w:r w:rsidRPr="000D5819">
        <w:rPr>
          <w:rFonts w:ascii="David" w:hAnsi="David"/>
          <w:noProof w:val="0"/>
          <w:rtl/>
        </w:rPr>
        <w:t xml:space="preserve">איסור </w:t>
      </w:r>
      <w:r w:rsidR="00E61BAC">
        <w:rPr>
          <w:rFonts w:ascii="David" w:hAnsi="David" w:hint="cs"/>
          <w:noProof w:val="0"/>
          <w:rtl/>
        </w:rPr>
        <w:t xml:space="preserve">על </w:t>
      </w:r>
      <w:r w:rsidRPr="000D5819">
        <w:rPr>
          <w:rFonts w:ascii="David" w:hAnsi="David"/>
          <w:noProof w:val="0"/>
          <w:rtl/>
        </w:rPr>
        <w:t xml:space="preserve">הצגת חוות דעת פרטיות חל </w:t>
      </w:r>
      <w:r w:rsidR="00417ACF" w:rsidRPr="000D5819">
        <w:rPr>
          <w:rFonts w:ascii="David" w:hAnsi="David"/>
          <w:noProof w:val="0"/>
          <w:rtl/>
        </w:rPr>
        <w:t>אף בשלבים שלאחר הגשת חוות דעת מטעם המומחה שמונה ונאסר להציג</w:t>
      </w:r>
      <w:r w:rsidR="00E61BAC">
        <w:rPr>
          <w:rFonts w:ascii="David" w:hAnsi="David" w:hint="cs"/>
          <w:noProof w:val="0"/>
          <w:rtl/>
        </w:rPr>
        <w:t>ה</w:t>
      </w:r>
      <w:r w:rsidR="00417ACF" w:rsidRPr="000D5819">
        <w:rPr>
          <w:rFonts w:ascii="David" w:hAnsi="David"/>
          <w:noProof w:val="0"/>
          <w:rtl/>
        </w:rPr>
        <w:t xml:space="preserve"> אף בשלב משלוח שאלות ההבהרה ואף בשלב חקירת המומחה (להלן: </w:t>
      </w:r>
      <w:r w:rsidR="00417ACF" w:rsidRPr="000D5819">
        <w:rPr>
          <w:rFonts w:ascii="David" w:hAnsi="David"/>
          <w:b/>
          <w:bCs/>
          <w:noProof w:val="0"/>
          <w:rtl/>
        </w:rPr>
        <w:t>ההחלטה</w:t>
      </w:r>
      <w:r w:rsidR="00417ACF" w:rsidRPr="000D5819">
        <w:rPr>
          <w:rFonts w:ascii="David" w:hAnsi="David"/>
          <w:noProof w:val="0"/>
          <w:rtl/>
        </w:rPr>
        <w:t>).</w:t>
      </w:r>
    </w:p>
    <w:p w:rsidR="00417ACF" w:rsidRPr="00834794" w:rsidRDefault="00417ACF" w:rsidP="000D5819">
      <w:pPr>
        <w:pStyle w:val="ad"/>
        <w:ind w:left="-57" w:hanging="708"/>
        <w:rPr>
          <w:rFonts w:ascii="David" w:hAnsi="David"/>
          <w:noProof w:val="0"/>
          <w:sz w:val="18"/>
          <w:szCs w:val="18"/>
          <w:rtl/>
        </w:rPr>
      </w:pPr>
    </w:p>
    <w:p w:rsidR="00417ACF" w:rsidRPr="000D5819" w:rsidRDefault="00417ACF" w:rsidP="00430C2F">
      <w:pPr>
        <w:pStyle w:val="ad"/>
        <w:numPr>
          <w:ilvl w:val="0"/>
          <w:numId w:val="2"/>
        </w:numPr>
        <w:spacing w:line="360" w:lineRule="auto"/>
        <w:ind w:left="-57" w:hanging="708"/>
        <w:jc w:val="both"/>
        <w:rPr>
          <w:rFonts w:ascii="David" w:hAnsi="David"/>
          <w:noProof w:val="0"/>
        </w:rPr>
      </w:pPr>
      <w:r w:rsidRPr="000D5819">
        <w:rPr>
          <w:rFonts w:ascii="David" w:hAnsi="David"/>
          <w:noProof w:val="0"/>
          <w:rtl/>
        </w:rPr>
        <w:t>המבקשת לא השלימה עם ההחלטה והגישה בקשת רשות ערעור. לאחר עיון בבקשה הוריתי למשיבים להשיב לבקשה</w:t>
      </w:r>
      <w:r w:rsidR="00430C2F">
        <w:rPr>
          <w:rFonts w:ascii="David" w:hAnsi="David" w:hint="cs"/>
          <w:noProof w:val="0"/>
          <w:rtl/>
        </w:rPr>
        <w:t xml:space="preserve"> ותשובתם הוגשה</w:t>
      </w:r>
      <w:r w:rsidRPr="000D5819">
        <w:rPr>
          <w:rFonts w:ascii="David" w:hAnsi="David"/>
          <w:noProof w:val="0"/>
          <w:rtl/>
        </w:rPr>
        <w:t>.</w:t>
      </w:r>
      <w:r w:rsidR="00E61BAC">
        <w:rPr>
          <w:rFonts w:ascii="David" w:hAnsi="David" w:hint="cs"/>
          <w:noProof w:val="0"/>
          <w:rtl/>
        </w:rPr>
        <w:t xml:space="preserve"> </w:t>
      </w:r>
      <w:r w:rsidR="00430C2F">
        <w:rPr>
          <w:rFonts w:ascii="David" w:hAnsi="David" w:hint="cs"/>
          <w:noProof w:val="0"/>
          <w:rtl/>
        </w:rPr>
        <w:t>המשיבים 1-2 ביקשו לדחות את הבקשה ו</w:t>
      </w:r>
      <w:r w:rsidR="00E61BAC">
        <w:rPr>
          <w:rFonts w:ascii="David" w:hAnsi="David" w:hint="cs"/>
          <w:noProof w:val="0"/>
          <w:rtl/>
        </w:rPr>
        <w:t xml:space="preserve">המשיבה 3 הודיעה </w:t>
      </w:r>
      <w:r w:rsidR="00430C2F">
        <w:rPr>
          <w:rFonts w:ascii="David" w:hAnsi="David" w:hint="cs"/>
          <w:noProof w:val="0"/>
          <w:rtl/>
        </w:rPr>
        <w:t>ש</w:t>
      </w:r>
      <w:r w:rsidR="00E61BAC">
        <w:rPr>
          <w:rFonts w:ascii="David" w:hAnsi="David" w:hint="cs"/>
          <w:noProof w:val="0"/>
          <w:rtl/>
        </w:rPr>
        <w:t>למרות שלדעתה ניתן להציג למומחה חוות דעת פרטית בשלב שאלות ההבהרה או החקירה "ואין באמור כדי ל"זהם" את ההליך המשפטי ו</w:t>
      </w:r>
      <w:r w:rsidR="005A269C">
        <w:rPr>
          <w:rFonts w:ascii="David" w:hAnsi="David" w:hint="cs"/>
          <w:noProof w:val="0"/>
          <w:rtl/>
        </w:rPr>
        <w:t>/או לפגוע בחוות הדעת אשר נערכה על ידו זה מכבר", היא מותירה את ההכרעה לשיקול דעתו של בית המשפט.</w:t>
      </w:r>
    </w:p>
    <w:p w:rsidR="009F0A61" w:rsidRPr="00CF6B88" w:rsidRDefault="009F0A61" w:rsidP="000D5819">
      <w:pPr>
        <w:pStyle w:val="ad"/>
        <w:ind w:left="-57" w:hanging="708"/>
        <w:rPr>
          <w:rFonts w:ascii="David" w:hAnsi="David"/>
          <w:noProof w:val="0"/>
          <w:sz w:val="20"/>
          <w:szCs w:val="20"/>
          <w:rtl/>
        </w:rPr>
      </w:pPr>
    </w:p>
    <w:p w:rsidR="00417ACF" w:rsidRPr="000D5819" w:rsidRDefault="00417ACF" w:rsidP="000D5819">
      <w:pPr>
        <w:pStyle w:val="ad"/>
        <w:numPr>
          <w:ilvl w:val="0"/>
          <w:numId w:val="1"/>
        </w:numPr>
        <w:spacing w:line="360" w:lineRule="auto"/>
        <w:ind w:left="-57" w:hanging="708"/>
        <w:jc w:val="both"/>
        <w:rPr>
          <w:rFonts w:ascii="David" w:hAnsi="David"/>
          <w:b/>
          <w:bCs/>
          <w:noProof w:val="0"/>
        </w:rPr>
      </w:pPr>
      <w:r w:rsidRPr="000D5819">
        <w:rPr>
          <w:rFonts w:ascii="David" w:hAnsi="David"/>
          <w:b/>
          <w:bCs/>
          <w:noProof w:val="0"/>
          <w:rtl/>
        </w:rPr>
        <w:t>תמצית ההחלטה</w:t>
      </w:r>
    </w:p>
    <w:p w:rsidR="00417ACF" w:rsidRPr="00CF6B88" w:rsidRDefault="00417ACF" w:rsidP="000D5819">
      <w:pPr>
        <w:spacing w:line="360" w:lineRule="auto"/>
        <w:ind w:left="-57" w:hanging="708"/>
        <w:jc w:val="both"/>
        <w:rPr>
          <w:rFonts w:ascii="David" w:hAnsi="David"/>
          <w:noProof w:val="0"/>
          <w:sz w:val="12"/>
          <w:szCs w:val="12"/>
          <w:rtl/>
        </w:rPr>
      </w:pPr>
    </w:p>
    <w:p w:rsidR="003A2212" w:rsidRDefault="003A2212" w:rsidP="008C53BD">
      <w:pPr>
        <w:pStyle w:val="ad"/>
        <w:numPr>
          <w:ilvl w:val="0"/>
          <w:numId w:val="3"/>
        </w:numPr>
        <w:spacing w:line="360" w:lineRule="auto"/>
        <w:ind w:left="-57" w:hanging="708"/>
        <w:jc w:val="both"/>
        <w:rPr>
          <w:rFonts w:ascii="David" w:hAnsi="David"/>
          <w:noProof w:val="0"/>
        </w:rPr>
      </w:pPr>
      <w:r w:rsidRPr="000D5819">
        <w:rPr>
          <w:rFonts w:ascii="David" w:hAnsi="David"/>
          <w:noProof w:val="0"/>
          <w:rtl/>
        </w:rPr>
        <w:t xml:space="preserve">בבע"מ 8412/14 </w:t>
      </w:r>
      <w:r w:rsidRPr="000D5819">
        <w:rPr>
          <w:rFonts w:ascii="David" w:hAnsi="David"/>
          <w:b/>
          <w:bCs/>
          <w:noProof w:val="0"/>
          <w:rtl/>
        </w:rPr>
        <w:t>פלונים נ' פלונית</w:t>
      </w:r>
      <w:r w:rsidRPr="000D5819">
        <w:rPr>
          <w:rFonts w:ascii="David" w:hAnsi="David"/>
          <w:noProof w:val="0"/>
          <w:rtl/>
        </w:rPr>
        <w:t xml:space="preserve"> (18.1.</w:t>
      </w:r>
      <w:r w:rsidR="00300274">
        <w:rPr>
          <w:rFonts w:ascii="David" w:hAnsi="David" w:hint="cs"/>
          <w:noProof w:val="0"/>
          <w:rtl/>
        </w:rPr>
        <w:t>20</w:t>
      </w:r>
      <w:r w:rsidRPr="000D5819">
        <w:rPr>
          <w:rFonts w:ascii="David" w:hAnsi="David"/>
          <w:noProof w:val="0"/>
          <w:rtl/>
        </w:rPr>
        <w:t xml:space="preserve">15 – להלן:  </w:t>
      </w:r>
      <w:r w:rsidRPr="00834794">
        <w:rPr>
          <w:rFonts w:ascii="David" w:hAnsi="David"/>
          <w:b/>
          <w:bCs/>
          <w:noProof w:val="0"/>
          <w:rtl/>
        </w:rPr>
        <w:t>הבע"מ</w:t>
      </w:r>
      <w:r w:rsidRPr="000D5819">
        <w:rPr>
          <w:rFonts w:ascii="David" w:hAnsi="David"/>
          <w:noProof w:val="0"/>
          <w:rtl/>
        </w:rPr>
        <w:t xml:space="preserve">) אושרו החלטות בית המשפט לענייני משפחה ובית המשפט המחוזי לפיהן ניתן להגיש למומחה מטעם בית המשפט לענייני משפחה רק חומר רפואי גולמי ולא חוות דעת </w:t>
      </w:r>
      <w:r w:rsidR="000C1768" w:rsidRPr="000D5819">
        <w:rPr>
          <w:rFonts w:ascii="David" w:hAnsi="David"/>
          <w:noProof w:val="0"/>
          <w:rtl/>
        </w:rPr>
        <w:t xml:space="preserve">פרטיות </w:t>
      </w:r>
      <w:r w:rsidRPr="000D5819">
        <w:rPr>
          <w:rFonts w:ascii="David" w:hAnsi="David"/>
          <w:noProof w:val="0"/>
          <w:rtl/>
        </w:rPr>
        <w:t>וזאת על מנת שלא להטות</w:t>
      </w:r>
      <w:r w:rsidR="000C1768" w:rsidRPr="000D5819">
        <w:rPr>
          <w:rFonts w:ascii="David" w:hAnsi="David"/>
          <w:noProof w:val="0"/>
          <w:rtl/>
        </w:rPr>
        <w:t xml:space="preserve"> ולהשפיע </w:t>
      </w:r>
      <w:r w:rsidRPr="000D5819">
        <w:rPr>
          <w:rFonts w:ascii="David" w:hAnsi="David"/>
          <w:noProof w:val="0"/>
          <w:rtl/>
        </w:rPr>
        <w:t xml:space="preserve">בשלב הכנת חוות הדעת </w:t>
      </w:r>
      <w:r w:rsidR="00EF7AFD" w:rsidRPr="000D5819">
        <w:rPr>
          <w:rFonts w:ascii="David" w:hAnsi="David"/>
          <w:noProof w:val="0"/>
          <w:rtl/>
        </w:rPr>
        <w:t>על</w:t>
      </w:r>
      <w:r w:rsidRPr="000D5819">
        <w:rPr>
          <w:rFonts w:ascii="David" w:hAnsi="David"/>
          <w:noProof w:val="0"/>
          <w:rtl/>
        </w:rPr>
        <w:t xml:space="preserve"> עמדת המומחה. הדין החל בבית המשפט לענייני משפחה קובע שלא יוגשו חוות דעת פרטיות מטעם הצדדים אלא ימונה מומחה אחד מטעם בית המשפט. הסדר זה דומה לסדרי הדין הקבועים בתקנות הפיצויים לנפגעי תאונות דרכים</w:t>
      </w:r>
      <w:r w:rsidR="00E46C33" w:rsidRPr="000D5819">
        <w:rPr>
          <w:rFonts w:ascii="David" w:hAnsi="David"/>
          <w:noProof w:val="0"/>
          <w:rtl/>
        </w:rPr>
        <w:t xml:space="preserve"> (מומחים)</w:t>
      </w:r>
      <w:r w:rsidR="008C53BD">
        <w:rPr>
          <w:rFonts w:ascii="David" w:hAnsi="David" w:hint="cs"/>
          <w:noProof w:val="0"/>
          <w:rtl/>
        </w:rPr>
        <w:t>,</w:t>
      </w:r>
      <w:r w:rsidR="00E46C33" w:rsidRPr="000D5819">
        <w:rPr>
          <w:rFonts w:ascii="David" w:hAnsi="David"/>
          <w:noProof w:val="0"/>
          <w:rtl/>
        </w:rPr>
        <w:t xml:space="preserve"> </w:t>
      </w:r>
      <w:r w:rsidR="008C53BD">
        <w:rPr>
          <w:rFonts w:ascii="David" w:hAnsi="David" w:hint="cs"/>
          <w:noProof w:val="0"/>
          <w:rtl/>
        </w:rPr>
        <w:t>ה</w:t>
      </w:r>
      <w:r w:rsidR="00E46C33" w:rsidRPr="000D5819">
        <w:rPr>
          <w:rFonts w:ascii="David" w:hAnsi="David"/>
          <w:noProof w:val="0"/>
          <w:rtl/>
        </w:rPr>
        <w:t>תשמ"ז-1986</w:t>
      </w:r>
      <w:r w:rsidR="005A73AF" w:rsidRPr="000D5819">
        <w:rPr>
          <w:rFonts w:ascii="David" w:hAnsi="David"/>
          <w:noProof w:val="0"/>
          <w:rtl/>
        </w:rPr>
        <w:t xml:space="preserve"> (להלן: </w:t>
      </w:r>
      <w:r w:rsidR="00E46C33" w:rsidRPr="000D5819">
        <w:rPr>
          <w:rFonts w:ascii="David" w:hAnsi="David"/>
          <w:b/>
          <w:bCs/>
          <w:noProof w:val="0"/>
          <w:rtl/>
        </w:rPr>
        <w:t>ת</w:t>
      </w:r>
      <w:r w:rsidR="008C53BD">
        <w:rPr>
          <w:rFonts w:ascii="David" w:hAnsi="David"/>
          <w:b/>
          <w:bCs/>
          <w:noProof w:val="0"/>
          <w:rtl/>
        </w:rPr>
        <w:t xml:space="preserve">קנות </w:t>
      </w:r>
      <w:r w:rsidR="005A73AF" w:rsidRPr="000D5819">
        <w:rPr>
          <w:rFonts w:ascii="David" w:hAnsi="David"/>
          <w:b/>
          <w:bCs/>
          <w:noProof w:val="0"/>
          <w:rtl/>
        </w:rPr>
        <w:t>הפלת"ד</w:t>
      </w:r>
      <w:r w:rsidR="005A73AF" w:rsidRPr="000D5819">
        <w:rPr>
          <w:rFonts w:ascii="David" w:hAnsi="David"/>
          <w:noProof w:val="0"/>
          <w:rtl/>
        </w:rPr>
        <w:t>)</w:t>
      </w:r>
      <w:r w:rsidRPr="000D5819">
        <w:rPr>
          <w:rFonts w:ascii="David" w:hAnsi="David"/>
          <w:noProof w:val="0"/>
          <w:rtl/>
        </w:rPr>
        <w:t xml:space="preserve">. כשם שביחס לתאונות דרכים נקבע בפסיקה </w:t>
      </w:r>
      <w:r w:rsidR="00EF7AFD" w:rsidRPr="000D5819">
        <w:rPr>
          <w:rFonts w:ascii="David" w:hAnsi="David"/>
          <w:noProof w:val="0"/>
          <w:rtl/>
        </w:rPr>
        <w:t>ש</w:t>
      </w:r>
      <w:r w:rsidRPr="000D5819">
        <w:rPr>
          <w:rFonts w:ascii="David" w:hAnsi="David"/>
          <w:noProof w:val="0"/>
          <w:rtl/>
        </w:rPr>
        <w:t xml:space="preserve">נאסר להגיש למומחה שמונה מטעם בית המשפט חוות דעת פרטיות אף בשלב הגשת שאלות ההבהרה ואף בשלב החקירה הנגדית, הוא הדין לבית המשפט לענייני משפחה.   </w:t>
      </w:r>
    </w:p>
    <w:p w:rsidR="00860C08" w:rsidRPr="007978A0" w:rsidRDefault="00860C08" w:rsidP="00860C08">
      <w:pPr>
        <w:spacing w:line="360" w:lineRule="auto"/>
        <w:jc w:val="both"/>
        <w:rPr>
          <w:rFonts w:ascii="David" w:hAnsi="David"/>
          <w:noProof w:val="0"/>
          <w:sz w:val="16"/>
          <w:szCs w:val="16"/>
        </w:rPr>
      </w:pPr>
    </w:p>
    <w:p w:rsidR="003A2212" w:rsidRPr="000D5819" w:rsidRDefault="003A2212" w:rsidP="000D5819">
      <w:pPr>
        <w:pStyle w:val="ad"/>
        <w:numPr>
          <w:ilvl w:val="0"/>
          <w:numId w:val="3"/>
        </w:numPr>
        <w:spacing w:after="240" w:line="360" w:lineRule="auto"/>
        <w:ind w:left="-57" w:hanging="708"/>
        <w:jc w:val="both"/>
        <w:rPr>
          <w:rFonts w:ascii="David" w:hAnsi="David"/>
          <w:noProof w:val="0"/>
        </w:rPr>
      </w:pPr>
      <w:r w:rsidRPr="000D5819">
        <w:rPr>
          <w:rFonts w:ascii="David" w:hAnsi="David"/>
          <w:noProof w:val="0"/>
          <w:rtl/>
        </w:rPr>
        <w:t>הצגת חוות דעת פרטית למומחה בשלב הגשת שאלות ההבהרה או חקירתו הנגדית:</w:t>
      </w:r>
    </w:p>
    <w:p w:rsidR="003A2212" w:rsidRPr="000D5819" w:rsidRDefault="003A2212" w:rsidP="00B3341E">
      <w:pPr>
        <w:spacing w:after="240" w:line="360" w:lineRule="auto"/>
        <w:ind w:left="-57"/>
        <w:jc w:val="both"/>
        <w:rPr>
          <w:rFonts w:ascii="David" w:hAnsi="David"/>
          <w:b/>
          <w:bCs/>
          <w:noProof w:val="0"/>
          <w:rtl/>
        </w:rPr>
      </w:pPr>
      <w:r w:rsidRPr="000D5819">
        <w:rPr>
          <w:rFonts w:ascii="David" w:hAnsi="David"/>
          <w:noProof w:val="0"/>
          <w:rtl/>
        </w:rPr>
        <w:t>"</w:t>
      </w:r>
      <w:r w:rsidRPr="000D5819">
        <w:rPr>
          <w:rFonts w:ascii="David" w:hAnsi="David"/>
          <w:b/>
          <w:bCs/>
          <w:noProof w:val="0"/>
          <w:rtl/>
        </w:rPr>
        <w:t>לא רק שהיא נושאת עמה סיכון של פגיעה בעצמאות שיקול דעתו, אלא היא חותרת תחת דרך המלך להכרעת הדין לפי חוות דעת של מומחה מטעם בית המשפט</w:t>
      </w:r>
      <w:r w:rsidR="008C53BD">
        <w:rPr>
          <w:rFonts w:ascii="David" w:hAnsi="David" w:hint="cs"/>
          <w:b/>
          <w:bCs/>
          <w:noProof w:val="0"/>
          <w:rtl/>
        </w:rPr>
        <w:t xml:space="preserve"> </w:t>
      </w:r>
      <w:r w:rsidRPr="000D5819">
        <w:rPr>
          <w:rFonts w:ascii="David" w:hAnsi="David"/>
          <w:b/>
          <w:bCs/>
          <w:noProof w:val="0"/>
          <w:rtl/>
        </w:rPr>
        <w:t>... הטעמים התומכים בהלכה דלעיל, בנוגע להליך לפי הפלת"ד, יפים וטובים גם להליכים בבית משפט זה. הצגת חוות דעת למומחה מטעם בית המשפט, מחייבת את המומחה להתייחס לגוף חוות הדעת. כך מתאפשר להכניס בעד החלון את שנאסר להכניס בעד הדלת. הצגת חוות דעת אף עלולה לפגוע בשיקול דעתו העצמאי של המומחה הממונה. אמנם, מדובר בשלב בו כבר מונחת חוות הדעת בפני בית המשפט, עובדה המקטינה את מידת הפגיעה, אך לא מבטלת אותה כליל. בסופו של יום, מטרת הצגת חוות הדעת למומחה הממונה היא לגרום לו להתייחס (אל) ולהתעמת (עם) חוות הדעת הפרטית. התייחסות זו הופכת (אמנם לא להלכה, אך למעשה) את חוות הדעת לחלק מהראיות דרך תשובות המומחה. בכך נפגעות מהותית התכליות התומכות במינוי מומחה מטעם בית המשפט. יתירה מזו, הטענה לפיה עם הגשת חוות הדעת אין עוד אפשרות להשפיע עליה, איננה מדויקת. נפקותה של חוות דעתו של מומחה ממונה נקבעת רק בפסק הדין, ולכן ניתן להשפיע על שיקול דעתו גם בשלב שאלות ההבהרה וגם בשלב החקירה הנגדית. זאת ועוד, היתר להציג חוות דעת בשלב שאלות ההבהרה והחקירה הנגדית תעודד בעלי דין להצטייד בחוות דעת פרטיות, ועלולה להאריך את הדיון ולסרבל אותו. בכלל זה הצגת חוות דעת למומחה ממונה, תעודד בקשות להגשת חוות הדעת פרטיות, על מנת להתמודד עם תשובות שהשיב המומחה הממונה בנוגע לאותן חוות דעת. מניעת האפשרות להציג חוות דעת למומחה ממונה, כאמור לעיל, איננה פוגעת בזכות הטיעון של בעל הדין, מאחר שזכות זו לא כללה, מעיקרו של דבר, את הזכות להישען על חוות דעת פרטית. בלשון אחרת, באשר הדין מורה שדרך המלך היא הכרעה לפי חוות דעת של מומחה ממונה ושלילת האפשרות להגיש חוות דעת פרטית (אלא אם תותר), ממילא הוצאה חוות דעת כזו מארגז הכלים העומד לרשותו של בעל הדין. לכן, לא נפגעת זכות דיונית, שהרי לא תיתכן פגיעה במה שלא הוקנה. אשר לזכות לאתגר את חוות דעתו של המומחה הממונה, פתוחות בפני בעל הדין כל האפשרויות הלגיטימיות, לרבות הצגת תזה כזו או אחרת, או שימוש בספרות מקצועית וכו', ובלבד שהדבר לא ייעשה על דרך הצגת חוות הדעת או ציטוטה</w:t>
      </w:r>
      <w:r w:rsidRPr="00B3341E">
        <w:rPr>
          <w:rFonts w:ascii="David" w:hAnsi="David"/>
          <w:noProof w:val="0"/>
          <w:rtl/>
        </w:rPr>
        <w:t>".</w:t>
      </w:r>
    </w:p>
    <w:p w:rsidR="003A2212" w:rsidRDefault="003A2212" w:rsidP="000D5819">
      <w:pPr>
        <w:pStyle w:val="ad"/>
        <w:numPr>
          <w:ilvl w:val="0"/>
          <w:numId w:val="3"/>
        </w:numPr>
        <w:spacing w:after="240" w:line="360" w:lineRule="auto"/>
        <w:ind w:left="-57" w:hanging="708"/>
        <w:jc w:val="both"/>
        <w:rPr>
          <w:rFonts w:ascii="David" w:hAnsi="David"/>
          <w:noProof w:val="0"/>
        </w:rPr>
      </w:pPr>
      <w:r w:rsidRPr="000D5819">
        <w:rPr>
          <w:rFonts w:ascii="David" w:hAnsi="David"/>
          <w:noProof w:val="0"/>
          <w:rtl/>
        </w:rPr>
        <w:t xml:space="preserve">המבקשת רשאית לאתגר את המומחה בחקירה הנגדית על ידי הנחת תזה כזו או אחרת, והיא יכולה לעשות כן תוך ציון העובדה שהתזה האמורה נתמכת בחוות דעת פרטית. ברם, להציג את חוות הדעת או לצטט ממנה, </w:t>
      </w:r>
      <w:r w:rsidR="00EF7AFD" w:rsidRPr="000D5819">
        <w:rPr>
          <w:rFonts w:ascii="David" w:hAnsi="David"/>
          <w:noProof w:val="0"/>
          <w:rtl/>
        </w:rPr>
        <w:t xml:space="preserve">היא </w:t>
      </w:r>
      <w:r w:rsidRPr="000D5819">
        <w:rPr>
          <w:rFonts w:ascii="David" w:hAnsi="David"/>
          <w:noProof w:val="0"/>
          <w:rtl/>
        </w:rPr>
        <w:t>אינה יכולה.</w:t>
      </w:r>
    </w:p>
    <w:p w:rsidR="00FA7529" w:rsidRDefault="00FA7529" w:rsidP="00FA7529">
      <w:pPr>
        <w:pStyle w:val="ad"/>
        <w:spacing w:after="240" w:line="360" w:lineRule="auto"/>
        <w:ind w:left="-57"/>
        <w:jc w:val="both"/>
        <w:rPr>
          <w:rFonts w:ascii="David" w:hAnsi="David"/>
          <w:noProof w:val="0"/>
        </w:rPr>
      </w:pPr>
    </w:p>
    <w:p w:rsidR="003A2212" w:rsidRPr="000D5819" w:rsidRDefault="003A2212" w:rsidP="000D5819">
      <w:pPr>
        <w:pStyle w:val="ad"/>
        <w:numPr>
          <w:ilvl w:val="0"/>
          <w:numId w:val="1"/>
        </w:numPr>
        <w:spacing w:after="240" w:line="360" w:lineRule="auto"/>
        <w:ind w:left="-57" w:hanging="708"/>
        <w:jc w:val="both"/>
        <w:rPr>
          <w:rFonts w:ascii="David" w:hAnsi="David"/>
          <w:b/>
          <w:bCs/>
          <w:noProof w:val="0"/>
        </w:rPr>
      </w:pPr>
      <w:r w:rsidRPr="000D5819">
        <w:rPr>
          <w:rFonts w:ascii="David" w:hAnsi="David"/>
          <w:b/>
          <w:bCs/>
          <w:noProof w:val="0"/>
          <w:rtl/>
        </w:rPr>
        <w:t>תמצית טענות המבקשת</w:t>
      </w:r>
    </w:p>
    <w:p w:rsidR="003A2212" w:rsidRPr="00B3341E" w:rsidRDefault="003A2212" w:rsidP="000D5819">
      <w:pPr>
        <w:pStyle w:val="ad"/>
        <w:spacing w:after="240" w:line="360" w:lineRule="auto"/>
        <w:ind w:left="-57" w:hanging="708"/>
        <w:jc w:val="both"/>
        <w:rPr>
          <w:rFonts w:ascii="David" w:hAnsi="David"/>
          <w:noProof w:val="0"/>
          <w:sz w:val="16"/>
          <w:szCs w:val="16"/>
          <w:rtl/>
        </w:rPr>
      </w:pPr>
    </w:p>
    <w:p w:rsidR="005A73AF" w:rsidRDefault="00B3341E" w:rsidP="002B43BB">
      <w:pPr>
        <w:pStyle w:val="ad"/>
        <w:numPr>
          <w:ilvl w:val="0"/>
          <w:numId w:val="5"/>
        </w:numPr>
        <w:spacing w:after="240" w:line="360" w:lineRule="auto"/>
        <w:ind w:left="-57" w:hanging="708"/>
        <w:jc w:val="both"/>
        <w:rPr>
          <w:rFonts w:ascii="David" w:hAnsi="David"/>
          <w:noProof w:val="0"/>
        </w:rPr>
      </w:pPr>
      <w:r>
        <w:rPr>
          <w:rFonts w:ascii="David" w:hAnsi="David"/>
          <w:noProof w:val="0"/>
          <w:rtl/>
        </w:rPr>
        <w:t xml:space="preserve">ההיקש שעשה בית </w:t>
      </w:r>
      <w:r w:rsidR="005A73AF" w:rsidRPr="000D5819">
        <w:rPr>
          <w:rFonts w:ascii="David" w:hAnsi="David"/>
          <w:noProof w:val="0"/>
          <w:rtl/>
        </w:rPr>
        <w:t xml:space="preserve">משפט קמא להליכים המתנהלים על פי </w:t>
      </w:r>
      <w:r w:rsidR="00E46C33" w:rsidRPr="000D5819">
        <w:rPr>
          <w:rFonts w:ascii="David" w:hAnsi="David"/>
          <w:noProof w:val="0"/>
          <w:rtl/>
        </w:rPr>
        <w:t xml:space="preserve">תקנות </w:t>
      </w:r>
      <w:r w:rsidR="005A73AF" w:rsidRPr="000D5819">
        <w:rPr>
          <w:rFonts w:ascii="David" w:hAnsi="David"/>
          <w:noProof w:val="0"/>
          <w:rtl/>
        </w:rPr>
        <w:t xml:space="preserve">הפלת"ד אינו נכון. בהליכי פלת"ד אין למומחה הפרטי כל יתרון על פני מומחה שמונה ע"י בית המשפט. שניהם בודקים את הנפגע </w:t>
      </w:r>
      <w:r w:rsidR="005A73AF" w:rsidRPr="000D5819">
        <w:rPr>
          <w:rFonts w:ascii="David" w:hAnsi="David"/>
          <w:noProof w:val="0"/>
          <w:u w:val="single"/>
          <w:rtl/>
        </w:rPr>
        <w:t>לאחר</w:t>
      </w:r>
      <w:r w:rsidR="005A73AF" w:rsidRPr="000D5819">
        <w:rPr>
          <w:rFonts w:ascii="David" w:hAnsi="David"/>
          <w:noProof w:val="0"/>
          <w:rtl/>
        </w:rPr>
        <w:t xml:space="preserve"> התאונה. ברם, במקרה כמו מקרה דנן</w:t>
      </w:r>
      <w:r w:rsidR="00860C08">
        <w:rPr>
          <w:rFonts w:ascii="David" w:hAnsi="David" w:hint="cs"/>
          <w:noProof w:val="0"/>
          <w:rtl/>
        </w:rPr>
        <w:t>,</w:t>
      </w:r>
      <w:r w:rsidR="005A73AF" w:rsidRPr="000D5819">
        <w:rPr>
          <w:rFonts w:ascii="David" w:hAnsi="David"/>
          <w:noProof w:val="0"/>
          <w:rtl/>
        </w:rPr>
        <w:t xml:space="preserve"> שהמומחה מונה לבדיקת כשירות ביחס למועד קודם</w:t>
      </w:r>
      <w:r w:rsidR="00914A46" w:rsidRPr="000D5819">
        <w:rPr>
          <w:rFonts w:ascii="David" w:hAnsi="David"/>
          <w:noProof w:val="0"/>
          <w:rtl/>
        </w:rPr>
        <w:t xml:space="preserve"> (פוסט מורטום)</w:t>
      </w:r>
      <w:r w:rsidR="005A73AF" w:rsidRPr="000D5819">
        <w:rPr>
          <w:rFonts w:ascii="David" w:hAnsi="David"/>
          <w:noProof w:val="0"/>
          <w:rtl/>
        </w:rPr>
        <w:t xml:space="preserve">, יש הבדל משמעותי בין חוות דעת המומחה שבודק מצב לאחר </w:t>
      </w:r>
      <w:r w:rsidR="00463FDE" w:rsidRPr="000D5819">
        <w:rPr>
          <w:rFonts w:ascii="David" w:hAnsi="David"/>
          <w:noProof w:val="0"/>
          <w:rtl/>
        </w:rPr>
        <w:t xml:space="preserve">"האירוע הנבדק" </w:t>
      </w:r>
      <w:r w:rsidR="005A73AF" w:rsidRPr="000D5819">
        <w:rPr>
          <w:rFonts w:ascii="David" w:hAnsi="David"/>
          <w:noProof w:val="0"/>
          <w:rtl/>
        </w:rPr>
        <w:t>לבין חוות הדעת שנערכה לנ</w:t>
      </w:r>
      <w:r w:rsidR="00463FDE" w:rsidRPr="000D5819">
        <w:rPr>
          <w:rFonts w:ascii="David" w:hAnsi="David"/>
          <w:noProof w:val="0"/>
          <w:rtl/>
        </w:rPr>
        <w:t>ב</w:t>
      </w:r>
      <w:r w:rsidR="005A73AF" w:rsidRPr="000D5819">
        <w:rPr>
          <w:rFonts w:ascii="David" w:hAnsi="David"/>
          <w:noProof w:val="0"/>
          <w:rtl/>
        </w:rPr>
        <w:t>דק בזמן אמת. לכן, אין להשוות בין המקרים ויש לאפשר למומחה להתייחס לחוות דעת שנערכה בזמן אמת</w:t>
      </w:r>
      <w:r w:rsidR="00463FDE" w:rsidRPr="000D5819">
        <w:rPr>
          <w:rFonts w:ascii="David" w:hAnsi="David"/>
          <w:noProof w:val="0"/>
          <w:rtl/>
        </w:rPr>
        <w:t>,</w:t>
      </w:r>
      <w:r w:rsidR="005A73AF" w:rsidRPr="000D5819">
        <w:rPr>
          <w:rFonts w:ascii="David" w:hAnsi="David"/>
          <w:noProof w:val="0"/>
          <w:rtl/>
        </w:rPr>
        <w:t xml:space="preserve"> במיוחד שעה שלמסמך זה קיימת חשיבות רבה לצורך הסקת מסקנות</w:t>
      </w:r>
      <w:r w:rsidR="00463FDE" w:rsidRPr="000D5819">
        <w:rPr>
          <w:rFonts w:ascii="David" w:hAnsi="David"/>
          <w:noProof w:val="0"/>
          <w:rtl/>
        </w:rPr>
        <w:t xml:space="preserve"> בדבר כשירות המוכרת</w:t>
      </w:r>
      <w:r w:rsidR="005A73AF" w:rsidRPr="000D5819">
        <w:rPr>
          <w:rFonts w:ascii="David" w:hAnsi="David"/>
          <w:noProof w:val="0"/>
          <w:rtl/>
        </w:rPr>
        <w:t>.</w:t>
      </w:r>
    </w:p>
    <w:p w:rsidR="00B3341E" w:rsidRPr="00B3341E" w:rsidRDefault="00B3341E" w:rsidP="00B3341E">
      <w:pPr>
        <w:pStyle w:val="ad"/>
        <w:spacing w:after="240" w:line="360" w:lineRule="auto"/>
        <w:ind w:left="-57"/>
        <w:jc w:val="both"/>
        <w:rPr>
          <w:rFonts w:ascii="David" w:hAnsi="David"/>
          <w:noProof w:val="0"/>
          <w:sz w:val="16"/>
          <w:szCs w:val="16"/>
        </w:rPr>
      </w:pPr>
    </w:p>
    <w:p w:rsidR="00E46C33" w:rsidRDefault="00E46C33" w:rsidP="000D5819">
      <w:pPr>
        <w:pStyle w:val="ad"/>
        <w:numPr>
          <w:ilvl w:val="0"/>
          <w:numId w:val="5"/>
        </w:numPr>
        <w:spacing w:after="240" w:line="360" w:lineRule="auto"/>
        <w:ind w:left="-57" w:hanging="708"/>
        <w:jc w:val="both"/>
        <w:rPr>
          <w:rFonts w:ascii="David" w:hAnsi="David"/>
          <w:noProof w:val="0"/>
        </w:rPr>
      </w:pPr>
      <w:r w:rsidRPr="000D5819">
        <w:rPr>
          <w:rFonts w:ascii="David" w:hAnsi="David"/>
          <w:noProof w:val="0"/>
          <w:rtl/>
        </w:rPr>
        <w:t xml:space="preserve">על מנת להמחיש את תוצאות ההחלטה תובא הדוגמה הבאה: אדם שערך צוואה או נתן מתנה ובאותו יום הוא </w:t>
      </w:r>
      <w:r w:rsidR="00463FDE" w:rsidRPr="000D5819">
        <w:rPr>
          <w:rFonts w:ascii="David" w:hAnsi="David"/>
          <w:noProof w:val="0"/>
          <w:rtl/>
        </w:rPr>
        <w:t>ה</w:t>
      </w:r>
      <w:r w:rsidRPr="000D5819">
        <w:rPr>
          <w:rFonts w:ascii="David" w:hAnsi="David"/>
          <w:noProof w:val="0"/>
          <w:rtl/>
        </w:rPr>
        <w:t xml:space="preserve">זמין פסיכיאטר פרטי על מנת שיחווה דעתו </w:t>
      </w:r>
      <w:r w:rsidR="00463FDE" w:rsidRPr="000D5819">
        <w:rPr>
          <w:rFonts w:ascii="David" w:hAnsi="David"/>
          <w:noProof w:val="0"/>
          <w:rtl/>
        </w:rPr>
        <w:t xml:space="preserve">בדבר </w:t>
      </w:r>
      <w:r w:rsidRPr="000D5819">
        <w:rPr>
          <w:rFonts w:ascii="David" w:hAnsi="David"/>
          <w:noProof w:val="0"/>
          <w:rtl/>
        </w:rPr>
        <w:t>כשיר</w:t>
      </w:r>
      <w:r w:rsidR="00463FDE" w:rsidRPr="000D5819">
        <w:rPr>
          <w:rFonts w:ascii="David" w:hAnsi="David"/>
          <w:noProof w:val="0"/>
          <w:rtl/>
        </w:rPr>
        <w:t>ותו</w:t>
      </w:r>
      <w:r w:rsidRPr="000D5819">
        <w:rPr>
          <w:rFonts w:ascii="David" w:hAnsi="David"/>
          <w:noProof w:val="0"/>
          <w:rtl/>
        </w:rPr>
        <w:t xml:space="preserve"> לבצע את הפעולה. כעבור כמה שנים מתנהל הליך ביחס לצוואה או למתנה. משמעות ההחלטה היא "כי לעולם לא ניתן להציג למומחה מטעם בית המשפט את חוות הדעת שנערכה בזמן אמת</w:t>
      </w:r>
      <w:r w:rsidR="00190AB4">
        <w:rPr>
          <w:rFonts w:ascii="David" w:hAnsi="David" w:hint="cs"/>
          <w:noProof w:val="0"/>
          <w:rtl/>
        </w:rPr>
        <w:t xml:space="preserve"> </w:t>
      </w:r>
      <w:r w:rsidRPr="000D5819">
        <w:rPr>
          <w:rFonts w:ascii="David" w:hAnsi="David"/>
          <w:noProof w:val="0"/>
          <w:rtl/>
        </w:rPr>
        <w:t>... במילים אחרות – אדם שחפץ לערוך צוואה או לתת מתנה וחפץ להבטיח את תקפותה בבדיקה רפואית – לעולם לא יוכל לעשות זאת, שכן לעולם לא ניתן יהיה להציגה בפני המומחה".</w:t>
      </w:r>
    </w:p>
    <w:p w:rsidR="00B3341E" w:rsidRPr="00B3341E" w:rsidRDefault="00B3341E" w:rsidP="00B3341E">
      <w:pPr>
        <w:pStyle w:val="ad"/>
        <w:rPr>
          <w:rFonts w:ascii="David" w:hAnsi="David"/>
          <w:noProof w:val="0"/>
          <w:rtl/>
        </w:rPr>
      </w:pPr>
    </w:p>
    <w:p w:rsidR="00E46C33" w:rsidRDefault="00E46C33" w:rsidP="000D5819">
      <w:pPr>
        <w:pStyle w:val="ad"/>
        <w:numPr>
          <w:ilvl w:val="0"/>
          <w:numId w:val="5"/>
        </w:numPr>
        <w:spacing w:after="240" w:line="360" w:lineRule="auto"/>
        <w:ind w:left="-57" w:hanging="708"/>
        <w:jc w:val="both"/>
        <w:rPr>
          <w:rFonts w:ascii="David" w:hAnsi="David"/>
          <w:noProof w:val="0"/>
        </w:rPr>
      </w:pPr>
      <w:r w:rsidRPr="000D5819">
        <w:rPr>
          <w:rFonts w:ascii="David" w:hAnsi="David"/>
          <w:noProof w:val="0"/>
          <w:rtl/>
        </w:rPr>
        <w:t>כמו כן, בסעיף 8 לתקנות הפלת"ד נאמר במפורש שאין להגיש למומחה שמונה מטעם בית המשפט חוות דעת רפואית והוראה זו לא נקבעה בתקנות בית המשפט לענייני משפחה.</w:t>
      </w:r>
    </w:p>
    <w:p w:rsidR="00B3341E" w:rsidRPr="00B3341E" w:rsidRDefault="00B3341E" w:rsidP="00B3341E">
      <w:pPr>
        <w:pStyle w:val="ad"/>
        <w:rPr>
          <w:rFonts w:ascii="David" w:hAnsi="David"/>
          <w:noProof w:val="0"/>
          <w:rtl/>
        </w:rPr>
      </w:pPr>
    </w:p>
    <w:p w:rsidR="00E46C33" w:rsidRDefault="00E46C33" w:rsidP="00190AB4">
      <w:pPr>
        <w:pStyle w:val="ad"/>
        <w:numPr>
          <w:ilvl w:val="0"/>
          <w:numId w:val="5"/>
        </w:numPr>
        <w:spacing w:after="240" w:line="360" w:lineRule="auto"/>
        <w:ind w:left="-57" w:hanging="708"/>
        <w:jc w:val="both"/>
        <w:rPr>
          <w:rFonts w:ascii="David" w:hAnsi="David"/>
          <w:noProof w:val="0"/>
        </w:rPr>
      </w:pPr>
      <w:r w:rsidRPr="000D5819">
        <w:rPr>
          <w:rFonts w:ascii="David" w:hAnsi="David"/>
          <w:noProof w:val="0"/>
          <w:rtl/>
        </w:rPr>
        <w:t>העובדה שבתקנה 25(ג)</w:t>
      </w:r>
      <w:r w:rsidR="00190AB4">
        <w:rPr>
          <w:rFonts w:ascii="David" w:hAnsi="David" w:hint="cs"/>
          <w:noProof w:val="0"/>
          <w:rtl/>
        </w:rPr>
        <w:t xml:space="preserve"> </w:t>
      </w:r>
      <w:r w:rsidRPr="00190AB4">
        <w:rPr>
          <w:rFonts w:ascii="David" w:hAnsi="David"/>
          <w:noProof w:val="0"/>
          <w:rtl/>
        </w:rPr>
        <w:t>ל</w:t>
      </w:r>
      <w:r w:rsidRPr="00190AB4">
        <w:rPr>
          <w:rFonts w:ascii="David" w:hAnsi="David"/>
          <w:b/>
          <w:bCs/>
          <w:noProof w:val="0"/>
          <w:rtl/>
        </w:rPr>
        <w:t>תקנות בית המשפט לענייני משפחה (סדרי דין)</w:t>
      </w:r>
      <w:r w:rsidR="00190AB4">
        <w:rPr>
          <w:rFonts w:ascii="David" w:hAnsi="David" w:hint="cs"/>
          <w:noProof w:val="0"/>
          <w:rtl/>
        </w:rPr>
        <w:t>,</w:t>
      </w:r>
      <w:r w:rsidRPr="000D5819">
        <w:rPr>
          <w:rFonts w:ascii="David" w:hAnsi="David"/>
          <w:noProof w:val="0"/>
          <w:rtl/>
        </w:rPr>
        <w:t xml:space="preserve"> </w:t>
      </w:r>
      <w:r w:rsidR="00190AB4">
        <w:rPr>
          <w:rFonts w:ascii="David" w:hAnsi="David" w:hint="cs"/>
          <w:noProof w:val="0"/>
          <w:rtl/>
        </w:rPr>
        <w:t>ה</w:t>
      </w:r>
      <w:r w:rsidRPr="000D5819">
        <w:rPr>
          <w:rFonts w:ascii="David" w:hAnsi="David"/>
          <w:noProof w:val="0"/>
          <w:rtl/>
        </w:rPr>
        <w:t xml:space="preserve">תשפ"א–2020 (להלן: </w:t>
      </w:r>
      <w:r w:rsidRPr="000D5819">
        <w:rPr>
          <w:rFonts w:ascii="David" w:hAnsi="David"/>
          <w:b/>
          <w:bCs/>
          <w:noProof w:val="0"/>
          <w:rtl/>
        </w:rPr>
        <w:t>תקנות המשפחה</w:t>
      </w:r>
      <w:r w:rsidRPr="000D5819">
        <w:rPr>
          <w:rFonts w:ascii="David" w:hAnsi="David"/>
          <w:noProof w:val="0"/>
          <w:rtl/>
        </w:rPr>
        <w:t xml:space="preserve">) נקבע </w:t>
      </w:r>
      <w:r w:rsidR="00463FDE" w:rsidRPr="000D5819">
        <w:rPr>
          <w:rFonts w:ascii="David" w:hAnsi="David"/>
          <w:noProof w:val="0"/>
          <w:rtl/>
        </w:rPr>
        <w:t>ש</w:t>
      </w:r>
      <w:r w:rsidRPr="000D5819">
        <w:rPr>
          <w:rFonts w:ascii="David" w:hAnsi="David"/>
          <w:noProof w:val="0"/>
          <w:rtl/>
        </w:rPr>
        <w:t>יועברו מסמכים למומחה "</w:t>
      </w:r>
      <w:r w:rsidRPr="00086577">
        <w:rPr>
          <w:rFonts w:ascii="David" w:hAnsi="David"/>
          <w:b/>
          <w:bCs/>
          <w:noProof w:val="0"/>
          <w:rtl/>
        </w:rPr>
        <w:t>לפי הוראת בית המשפט</w:t>
      </w:r>
      <w:r w:rsidRPr="000D5819">
        <w:rPr>
          <w:rFonts w:ascii="David" w:hAnsi="David"/>
          <w:noProof w:val="0"/>
          <w:rtl/>
        </w:rPr>
        <w:t xml:space="preserve">", אין משמעותה איסור גורף </w:t>
      </w:r>
      <w:r w:rsidR="00463FDE" w:rsidRPr="000D5819">
        <w:rPr>
          <w:rFonts w:ascii="David" w:hAnsi="David"/>
          <w:noProof w:val="0"/>
          <w:rtl/>
        </w:rPr>
        <w:t xml:space="preserve">על הגשת מסמכים פרטיים </w:t>
      </w:r>
      <w:r w:rsidRPr="000D5819">
        <w:rPr>
          <w:rFonts w:ascii="David" w:hAnsi="David"/>
          <w:noProof w:val="0"/>
          <w:rtl/>
        </w:rPr>
        <w:t>וניתן להגיש למומחה מסמכים מסוג זה במסגרת שאלות ההבהרה והחקירה.</w:t>
      </w:r>
    </w:p>
    <w:p w:rsidR="00B3341E" w:rsidRPr="00B3341E" w:rsidRDefault="00B3341E" w:rsidP="00B3341E">
      <w:pPr>
        <w:pStyle w:val="ad"/>
        <w:rPr>
          <w:rFonts w:ascii="David" w:hAnsi="David"/>
          <w:noProof w:val="0"/>
          <w:rtl/>
        </w:rPr>
      </w:pPr>
    </w:p>
    <w:p w:rsidR="00EE7642" w:rsidRDefault="00E46C33" w:rsidP="000D5819">
      <w:pPr>
        <w:pStyle w:val="ad"/>
        <w:numPr>
          <w:ilvl w:val="0"/>
          <w:numId w:val="5"/>
        </w:numPr>
        <w:spacing w:after="240" w:line="360" w:lineRule="auto"/>
        <w:ind w:left="-57" w:hanging="708"/>
        <w:jc w:val="both"/>
        <w:rPr>
          <w:rFonts w:ascii="David" w:hAnsi="David"/>
          <w:noProof w:val="0"/>
        </w:rPr>
      </w:pPr>
      <w:r w:rsidRPr="000D5819">
        <w:rPr>
          <w:rFonts w:ascii="David" w:hAnsi="David"/>
          <w:noProof w:val="0"/>
          <w:rtl/>
        </w:rPr>
        <w:t>שלילת האפשרות להעביר לעיון המומחה חוות דעת שנערכה בזמן אמת משמע</w:t>
      </w:r>
      <w:r w:rsidR="00B86D80">
        <w:rPr>
          <w:rFonts w:ascii="David" w:hAnsi="David" w:hint="cs"/>
          <w:noProof w:val="0"/>
          <w:rtl/>
        </w:rPr>
        <w:t>ה</w:t>
      </w:r>
      <w:r w:rsidRPr="000D5819">
        <w:rPr>
          <w:rFonts w:ascii="David" w:hAnsi="David"/>
          <w:noProof w:val="0"/>
          <w:rtl/>
        </w:rPr>
        <w:t xml:space="preserve"> שלילת האפשרות מאדם לבסס בזמן אמת את כשירותו ולנסות למנוע התנגדויות והשגות לאחר מכן, שכן לא ניתן יהיה להציג תעודה רפואית זו בעתיד. </w:t>
      </w:r>
      <w:r w:rsidR="00EE7642" w:rsidRPr="000D5819">
        <w:rPr>
          <w:rFonts w:ascii="David" w:hAnsi="David"/>
          <w:noProof w:val="0"/>
          <w:rtl/>
        </w:rPr>
        <w:t>הדבר יביא אף לריבוי הליכים והתדיינויות</w:t>
      </w:r>
      <w:r w:rsidR="005B0443" w:rsidRPr="000D5819">
        <w:rPr>
          <w:rFonts w:ascii="David" w:hAnsi="David"/>
          <w:noProof w:val="0"/>
          <w:rtl/>
        </w:rPr>
        <w:t>,</w:t>
      </w:r>
      <w:r w:rsidR="00EE7642" w:rsidRPr="000D5819">
        <w:rPr>
          <w:rFonts w:ascii="David" w:hAnsi="David"/>
          <w:noProof w:val="0"/>
          <w:rtl/>
        </w:rPr>
        <w:t xml:space="preserve"> שעה שלא ניתן יהיה לעשות שימוש בחוות דעת שניתנה בזמן אמת.</w:t>
      </w:r>
    </w:p>
    <w:p w:rsidR="00B3341E" w:rsidRPr="00B3341E" w:rsidRDefault="00B3341E" w:rsidP="00B3341E">
      <w:pPr>
        <w:pStyle w:val="ad"/>
        <w:rPr>
          <w:rFonts w:ascii="David" w:hAnsi="David"/>
          <w:noProof w:val="0"/>
          <w:rtl/>
        </w:rPr>
      </w:pPr>
    </w:p>
    <w:p w:rsidR="00EE7642" w:rsidRDefault="00EE7642" w:rsidP="000D5819">
      <w:pPr>
        <w:pStyle w:val="ad"/>
        <w:numPr>
          <w:ilvl w:val="0"/>
          <w:numId w:val="5"/>
        </w:numPr>
        <w:spacing w:after="240" w:line="360" w:lineRule="auto"/>
        <w:ind w:left="-57" w:hanging="708"/>
        <w:jc w:val="both"/>
        <w:rPr>
          <w:rFonts w:ascii="David" w:hAnsi="David"/>
          <w:noProof w:val="0"/>
        </w:rPr>
      </w:pPr>
      <w:r w:rsidRPr="000D5819">
        <w:rPr>
          <w:rFonts w:ascii="David" w:hAnsi="David"/>
          <w:noProof w:val="0"/>
          <w:rtl/>
        </w:rPr>
        <w:t xml:space="preserve">מגבלה על הגשת חוות דעת יכולה לחול ביחס לחוות דעת פרטית שנערכה לאחר </w:t>
      </w:r>
      <w:r w:rsidR="005B0443" w:rsidRPr="000D5819">
        <w:rPr>
          <w:rFonts w:ascii="David" w:hAnsi="David"/>
          <w:noProof w:val="0"/>
          <w:rtl/>
        </w:rPr>
        <w:t xml:space="preserve">"האירוע הנבדק" </w:t>
      </w:r>
      <w:r w:rsidRPr="000D5819">
        <w:rPr>
          <w:rFonts w:ascii="David" w:hAnsi="David"/>
          <w:noProof w:val="0"/>
          <w:rtl/>
        </w:rPr>
        <w:t>אולם לא ביחס לתעודה רפואית המבוססת על בדיקה בזמן אמת.</w:t>
      </w:r>
    </w:p>
    <w:p w:rsidR="00B3341E" w:rsidRPr="00B3341E" w:rsidRDefault="00B3341E" w:rsidP="00B3341E">
      <w:pPr>
        <w:pStyle w:val="ad"/>
        <w:rPr>
          <w:rFonts w:ascii="David" w:hAnsi="David"/>
          <w:noProof w:val="0"/>
          <w:rtl/>
        </w:rPr>
      </w:pPr>
    </w:p>
    <w:p w:rsidR="00EE7642" w:rsidRDefault="00EE7642" w:rsidP="00086577">
      <w:pPr>
        <w:pStyle w:val="ad"/>
        <w:numPr>
          <w:ilvl w:val="0"/>
          <w:numId w:val="5"/>
        </w:numPr>
        <w:spacing w:after="240" w:line="360" w:lineRule="auto"/>
        <w:ind w:left="-57" w:hanging="708"/>
        <w:jc w:val="both"/>
        <w:rPr>
          <w:rFonts w:ascii="David" w:hAnsi="David"/>
          <w:noProof w:val="0"/>
        </w:rPr>
      </w:pPr>
      <w:r w:rsidRPr="000D5819">
        <w:rPr>
          <w:rFonts w:ascii="David" w:hAnsi="David"/>
          <w:noProof w:val="0"/>
          <w:rtl/>
        </w:rPr>
        <w:t xml:space="preserve">בבע"מ נקבע במפורש שניתן להציג בפני המומחה חוות דעת פרטית לאחר הגשת חוות הדעת לרבות במסגרת </w:t>
      </w:r>
      <w:r w:rsidR="005B0443" w:rsidRPr="000D5819">
        <w:rPr>
          <w:rFonts w:ascii="David" w:hAnsi="David"/>
          <w:noProof w:val="0"/>
          <w:rtl/>
        </w:rPr>
        <w:t>הגשת שאלות ההבהרה ו</w:t>
      </w:r>
      <w:r w:rsidRPr="000D5819">
        <w:rPr>
          <w:rFonts w:ascii="David" w:hAnsi="David"/>
          <w:noProof w:val="0"/>
          <w:rtl/>
        </w:rPr>
        <w:t>חקירתו וההחלטה היא בניגוד לפסיקת בית המשפט העליון. לכן, יש לבטל את ההחלטה ולאפשר למבקשת להציג למומחה את חו"ד גורביץ הן במסגרת שאלות ההבהרה והן בחקירה הנגדית.</w:t>
      </w:r>
    </w:p>
    <w:p w:rsidR="00B3341E" w:rsidRPr="00B3341E" w:rsidRDefault="00B3341E" w:rsidP="00B3341E">
      <w:pPr>
        <w:pStyle w:val="ad"/>
        <w:rPr>
          <w:rFonts w:ascii="David" w:hAnsi="David"/>
          <w:noProof w:val="0"/>
          <w:rtl/>
        </w:rPr>
      </w:pPr>
    </w:p>
    <w:p w:rsidR="006E04CA" w:rsidRDefault="006E04CA" w:rsidP="000D5819">
      <w:pPr>
        <w:pStyle w:val="ad"/>
        <w:numPr>
          <w:ilvl w:val="0"/>
          <w:numId w:val="1"/>
        </w:numPr>
        <w:spacing w:after="240" w:line="360" w:lineRule="auto"/>
        <w:ind w:left="-57" w:hanging="708"/>
        <w:jc w:val="both"/>
        <w:rPr>
          <w:rFonts w:ascii="David" w:hAnsi="David"/>
          <w:b/>
          <w:bCs/>
          <w:noProof w:val="0"/>
        </w:rPr>
      </w:pPr>
      <w:r w:rsidRPr="00B3341E">
        <w:rPr>
          <w:rFonts w:ascii="David" w:hAnsi="David"/>
          <w:b/>
          <w:bCs/>
          <w:noProof w:val="0"/>
          <w:rtl/>
        </w:rPr>
        <w:t>תמצית טענות המשיבים</w:t>
      </w:r>
      <w:r w:rsidR="005A269C">
        <w:rPr>
          <w:rFonts w:ascii="David" w:hAnsi="David" w:hint="cs"/>
          <w:b/>
          <w:bCs/>
          <w:noProof w:val="0"/>
          <w:rtl/>
        </w:rPr>
        <w:t xml:space="preserve"> 1-2</w:t>
      </w:r>
    </w:p>
    <w:p w:rsidR="00B3341E" w:rsidRPr="00190AB4" w:rsidRDefault="00B3341E" w:rsidP="00B3341E">
      <w:pPr>
        <w:pStyle w:val="ad"/>
        <w:spacing w:after="240" w:line="360" w:lineRule="auto"/>
        <w:ind w:left="-57"/>
        <w:jc w:val="both"/>
        <w:rPr>
          <w:rFonts w:ascii="David" w:hAnsi="David"/>
          <w:noProof w:val="0"/>
          <w:sz w:val="16"/>
          <w:szCs w:val="16"/>
          <w:rtl/>
        </w:rPr>
      </w:pPr>
    </w:p>
    <w:p w:rsidR="004725C2" w:rsidRDefault="00B86D80" w:rsidP="004B4141">
      <w:pPr>
        <w:pStyle w:val="ad"/>
        <w:numPr>
          <w:ilvl w:val="0"/>
          <w:numId w:val="7"/>
        </w:numPr>
        <w:spacing w:after="240" w:line="360" w:lineRule="auto"/>
        <w:ind w:left="-57" w:hanging="708"/>
        <w:jc w:val="both"/>
        <w:rPr>
          <w:rFonts w:ascii="David" w:hAnsi="David"/>
          <w:noProof w:val="0"/>
        </w:rPr>
      </w:pPr>
      <w:r w:rsidRPr="00783119">
        <w:rPr>
          <w:rFonts w:ascii="David" w:hAnsi="David" w:hint="cs"/>
          <w:noProof w:val="0"/>
          <w:rtl/>
        </w:rPr>
        <w:t xml:space="preserve">המבקשת </w:t>
      </w:r>
      <w:r w:rsidR="004725C2" w:rsidRPr="00783119">
        <w:rPr>
          <w:rFonts w:ascii="David" w:hAnsi="David" w:hint="cs"/>
          <w:noProof w:val="0"/>
          <w:rtl/>
        </w:rPr>
        <w:t>מנסה לשבש את חקר האמת על ידי הסטת דעת המומחה האובייקטיבי שמונה ל"ממצאים" מעוררי תמיהות של מומחה פרטי שנשכר, על מנת "להבטיח את ביצוע הגזל".</w:t>
      </w:r>
      <w:r w:rsidR="00660A0C" w:rsidRPr="00783119">
        <w:rPr>
          <w:rFonts w:ascii="David" w:hAnsi="David" w:hint="cs"/>
          <w:noProof w:val="0"/>
          <w:rtl/>
        </w:rPr>
        <w:t xml:space="preserve"> הבקש</w:t>
      </w:r>
      <w:r w:rsidR="00712B64" w:rsidRPr="00783119">
        <w:rPr>
          <w:rFonts w:ascii="David" w:hAnsi="David" w:hint="cs"/>
          <w:noProof w:val="0"/>
          <w:rtl/>
        </w:rPr>
        <w:t xml:space="preserve">ה אף אינה עומדת בתנאים למתן רשות ערעור ומדובר בהחלטה הנוגעת לסדרי דין שאין להתערב בה. </w:t>
      </w:r>
    </w:p>
    <w:p w:rsidR="00FE2C72" w:rsidRPr="008322BB" w:rsidRDefault="00FE2C72" w:rsidP="00FE2C72">
      <w:pPr>
        <w:pStyle w:val="ad"/>
        <w:spacing w:after="240" w:line="360" w:lineRule="auto"/>
        <w:ind w:left="-57"/>
        <w:jc w:val="both"/>
        <w:rPr>
          <w:rFonts w:ascii="David" w:hAnsi="David"/>
          <w:noProof w:val="0"/>
          <w:sz w:val="16"/>
          <w:szCs w:val="16"/>
        </w:rPr>
      </w:pPr>
    </w:p>
    <w:p w:rsidR="00712B64" w:rsidRDefault="004725C2" w:rsidP="00FA7529">
      <w:pPr>
        <w:pStyle w:val="ad"/>
        <w:numPr>
          <w:ilvl w:val="0"/>
          <w:numId w:val="7"/>
        </w:numPr>
        <w:spacing w:after="240" w:line="360" w:lineRule="auto"/>
        <w:ind w:left="-57" w:hanging="708"/>
        <w:jc w:val="both"/>
        <w:rPr>
          <w:rFonts w:ascii="David" w:hAnsi="David"/>
          <w:noProof w:val="0"/>
        </w:rPr>
      </w:pPr>
      <w:r>
        <w:rPr>
          <w:rFonts w:ascii="David" w:hAnsi="David" w:hint="cs"/>
          <w:noProof w:val="0"/>
          <w:rtl/>
        </w:rPr>
        <w:t xml:space="preserve">המבקשת למעשה משיגה על ההחלטה מיום 2.3.22 שדחתה את הבקשה להציג למומחה את חוות דעת גורביץ </w:t>
      </w:r>
      <w:r w:rsidR="00712B64">
        <w:rPr>
          <w:rFonts w:ascii="David" w:hAnsi="David" w:hint="cs"/>
          <w:noProof w:val="0"/>
          <w:rtl/>
        </w:rPr>
        <w:t xml:space="preserve">משלושה נימוקים, </w:t>
      </w:r>
      <w:r>
        <w:rPr>
          <w:rFonts w:ascii="David" w:hAnsi="David" w:hint="cs"/>
          <w:noProof w:val="0"/>
          <w:rtl/>
        </w:rPr>
        <w:t>והיא לא יכולה באמצעות השגה על ההחלטה שניתנה בבקשה לעיון חוזר, להשיג על ההחלטה מיום 2.3.22 שחלף המועד להשיג עליה.</w:t>
      </w:r>
      <w:r w:rsidR="008322BB">
        <w:rPr>
          <w:rFonts w:ascii="David" w:hAnsi="David" w:hint="cs"/>
          <w:noProof w:val="0"/>
          <w:rtl/>
        </w:rPr>
        <w:t xml:space="preserve"> היה על</w:t>
      </w:r>
      <w:r w:rsidR="00FA7529">
        <w:rPr>
          <w:rFonts w:ascii="David" w:hAnsi="David" w:hint="cs"/>
          <w:noProof w:val="0"/>
          <w:rtl/>
        </w:rPr>
        <w:t xml:space="preserve"> המבקשת </w:t>
      </w:r>
      <w:r w:rsidR="008322BB">
        <w:rPr>
          <w:rFonts w:ascii="David" w:hAnsi="David" w:hint="cs"/>
          <w:noProof w:val="0"/>
          <w:rtl/>
        </w:rPr>
        <w:t xml:space="preserve">להגיש </w:t>
      </w:r>
      <w:r w:rsidR="00712B64">
        <w:rPr>
          <w:rFonts w:ascii="David" w:hAnsi="David" w:hint="cs"/>
          <w:noProof w:val="0"/>
          <w:rtl/>
        </w:rPr>
        <w:t xml:space="preserve">בקשת רשות ערעור על החלטה </w:t>
      </w:r>
      <w:r w:rsidR="00086577">
        <w:rPr>
          <w:rFonts w:ascii="David" w:hAnsi="David" w:hint="cs"/>
          <w:noProof w:val="0"/>
          <w:rtl/>
        </w:rPr>
        <w:t xml:space="preserve">מיום 2.3.22 </w:t>
      </w:r>
      <w:r w:rsidR="00712B64">
        <w:rPr>
          <w:rFonts w:ascii="David" w:hAnsi="David" w:hint="cs"/>
          <w:noProof w:val="0"/>
          <w:rtl/>
        </w:rPr>
        <w:t xml:space="preserve">עד ליום 3.4.22 והיא לא עשתה כן. </w:t>
      </w:r>
    </w:p>
    <w:p w:rsidR="00712B64" w:rsidRPr="00086577" w:rsidRDefault="00712B64" w:rsidP="00712B64">
      <w:pPr>
        <w:pStyle w:val="ad"/>
        <w:rPr>
          <w:rFonts w:ascii="David" w:hAnsi="David"/>
          <w:noProof w:val="0"/>
          <w:rtl/>
        </w:rPr>
      </w:pPr>
    </w:p>
    <w:p w:rsidR="004725C2" w:rsidRDefault="00712B64" w:rsidP="00745FA7">
      <w:pPr>
        <w:pStyle w:val="ad"/>
        <w:numPr>
          <w:ilvl w:val="0"/>
          <w:numId w:val="7"/>
        </w:numPr>
        <w:spacing w:after="240" w:line="360" w:lineRule="auto"/>
        <w:ind w:left="-57" w:hanging="708"/>
        <w:jc w:val="both"/>
        <w:rPr>
          <w:rFonts w:ascii="David" w:hAnsi="David"/>
          <w:noProof w:val="0"/>
        </w:rPr>
      </w:pPr>
      <w:r>
        <w:rPr>
          <w:rFonts w:ascii="David" w:hAnsi="David" w:hint="cs"/>
          <w:noProof w:val="0"/>
          <w:rtl/>
        </w:rPr>
        <w:t xml:space="preserve">המבקשת לא מצביעה על כל טעות משפטית בסירוב ביהמ"ש קמא לעיין </w:t>
      </w:r>
      <w:r w:rsidR="00507121">
        <w:rPr>
          <w:rFonts w:ascii="David" w:hAnsi="David" w:hint="cs"/>
          <w:noProof w:val="0"/>
          <w:rtl/>
        </w:rPr>
        <w:t>מחדש בהחלטה מיום 2.3.22. כידוע, בעל דין אינו רשאי להאריך באופן מלאכותי את המועד להגשת בקשת רשות</w:t>
      </w:r>
      <w:r w:rsidR="008322BB">
        <w:rPr>
          <w:rFonts w:ascii="David" w:hAnsi="David" w:hint="cs"/>
          <w:noProof w:val="0"/>
          <w:rtl/>
        </w:rPr>
        <w:t xml:space="preserve"> ערעור באמצעות בקשה לעיון חוזר. לכן, יש לדחות את הבקשה על</w:t>
      </w:r>
      <w:r w:rsidR="00507121">
        <w:rPr>
          <w:rFonts w:ascii="David" w:hAnsi="David" w:hint="cs"/>
          <w:noProof w:val="0"/>
          <w:rtl/>
        </w:rPr>
        <w:t xml:space="preserve"> הסף. </w:t>
      </w:r>
      <w:r w:rsidR="004725C2">
        <w:rPr>
          <w:rFonts w:ascii="David" w:hAnsi="David" w:hint="cs"/>
          <w:noProof w:val="0"/>
          <w:rtl/>
        </w:rPr>
        <w:t xml:space="preserve"> </w:t>
      </w:r>
    </w:p>
    <w:p w:rsidR="004725C2" w:rsidRPr="00660A0C" w:rsidRDefault="004725C2" w:rsidP="004725C2">
      <w:pPr>
        <w:pStyle w:val="ad"/>
        <w:rPr>
          <w:rFonts w:ascii="David" w:hAnsi="David"/>
          <w:noProof w:val="0"/>
          <w:rtl/>
        </w:rPr>
      </w:pPr>
    </w:p>
    <w:p w:rsidR="00EA60DF" w:rsidRDefault="00660A0C" w:rsidP="000E792B">
      <w:pPr>
        <w:pStyle w:val="ad"/>
        <w:numPr>
          <w:ilvl w:val="0"/>
          <w:numId w:val="7"/>
        </w:numPr>
        <w:spacing w:after="240" w:line="360" w:lineRule="auto"/>
        <w:ind w:left="-57" w:hanging="708"/>
        <w:jc w:val="both"/>
        <w:rPr>
          <w:rFonts w:ascii="David" w:hAnsi="David"/>
          <w:noProof w:val="0"/>
        </w:rPr>
      </w:pPr>
      <w:r>
        <w:rPr>
          <w:rFonts w:ascii="David" w:hAnsi="David" w:hint="cs"/>
          <w:noProof w:val="0"/>
          <w:rtl/>
        </w:rPr>
        <w:t>המבקשת מתעלמת בבקשתה מכך שאחד מנימוקי ביהמ"ש קמא היה שה</w:t>
      </w:r>
      <w:r w:rsidR="000E792B">
        <w:rPr>
          <w:rFonts w:ascii="David" w:hAnsi="David" w:hint="cs"/>
          <w:noProof w:val="0"/>
          <w:rtl/>
        </w:rPr>
        <w:t xml:space="preserve">מבקשת </w:t>
      </w:r>
      <w:r>
        <w:rPr>
          <w:rFonts w:ascii="David" w:hAnsi="David" w:hint="cs"/>
          <w:noProof w:val="0"/>
          <w:rtl/>
        </w:rPr>
        <w:t>הסכימה שלא תוצג חוות דעת פרטית בכל שלב</w:t>
      </w:r>
      <w:r w:rsidR="00507121">
        <w:rPr>
          <w:rFonts w:ascii="David" w:hAnsi="David" w:hint="cs"/>
          <w:noProof w:val="0"/>
          <w:rtl/>
        </w:rPr>
        <w:t xml:space="preserve"> וללא כל סייג</w:t>
      </w:r>
      <w:r>
        <w:rPr>
          <w:rFonts w:ascii="David" w:hAnsi="David" w:hint="cs"/>
          <w:noProof w:val="0"/>
          <w:rtl/>
        </w:rPr>
        <w:t>. אין להתערב בקביעה העובדתית של ביהמ"ש קמא שהיתה הסכמה לאי הצגת חוות דעת פרטית בכל שלב.</w:t>
      </w:r>
      <w:r w:rsidR="00507121">
        <w:rPr>
          <w:rFonts w:ascii="David" w:hAnsi="David" w:hint="cs"/>
          <w:noProof w:val="0"/>
          <w:rtl/>
        </w:rPr>
        <w:t xml:space="preserve"> לכן, משהמבקשת לא השיגה על נימוק זה ולא ערערה עליו, בקשה דנן לא תוכל להועיל לה. </w:t>
      </w:r>
    </w:p>
    <w:p w:rsidR="00EA60DF" w:rsidRPr="00EA60DF" w:rsidRDefault="00EA60DF" w:rsidP="00EA60DF">
      <w:pPr>
        <w:pStyle w:val="ad"/>
        <w:rPr>
          <w:rFonts w:ascii="David" w:hAnsi="David"/>
          <w:noProof w:val="0"/>
          <w:rtl/>
        </w:rPr>
      </w:pPr>
    </w:p>
    <w:p w:rsidR="00660A0C" w:rsidRDefault="00EA60DF" w:rsidP="00745FA7">
      <w:pPr>
        <w:pStyle w:val="ad"/>
        <w:numPr>
          <w:ilvl w:val="0"/>
          <w:numId w:val="7"/>
        </w:numPr>
        <w:spacing w:after="240" w:line="360" w:lineRule="auto"/>
        <w:ind w:left="-57" w:hanging="708"/>
        <w:jc w:val="both"/>
        <w:rPr>
          <w:rFonts w:ascii="David" w:hAnsi="David"/>
          <w:noProof w:val="0"/>
        </w:rPr>
      </w:pPr>
      <w:r>
        <w:rPr>
          <w:rFonts w:ascii="David" w:hAnsi="David" w:hint="cs"/>
          <w:noProof w:val="0"/>
          <w:rtl/>
        </w:rPr>
        <w:t>בדיון מיום 17.9.20 אמר ב"כ המבקש</w:t>
      </w:r>
      <w:r w:rsidR="00921A2B">
        <w:rPr>
          <w:rFonts w:ascii="David" w:hAnsi="David" w:hint="cs"/>
          <w:noProof w:val="0"/>
          <w:rtl/>
        </w:rPr>
        <w:t>ת</w:t>
      </w:r>
      <w:r>
        <w:rPr>
          <w:rFonts w:ascii="David" w:hAnsi="David" w:hint="cs"/>
          <w:noProof w:val="0"/>
          <w:rtl/>
        </w:rPr>
        <w:t xml:space="preserve"> </w:t>
      </w:r>
      <w:r w:rsidR="00086577">
        <w:rPr>
          <w:rFonts w:ascii="David" w:hAnsi="David" w:hint="cs"/>
          <w:noProof w:val="0"/>
          <w:rtl/>
        </w:rPr>
        <w:t>ש</w:t>
      </w:r>
      <w:r>
        <w:rPr>
          <w:rFonts w:ascii="David" w:hAnsi="David" w:hint="cs"/>
          <w:noProof w:val="0"/>
          <w:rtl/>
        </w:rPr>
        <w:t>הוא מבקש שבפני המומחה תונ</w:t>
      </w:r>
      <w:r w:rsidR="000E792B">
        <w:rPr>
          <w:rFonts w:ascii="David" w:hAnsi="David" w:hint="cs"/>
          <w:noProof w:val="0"/>
          <w:rtl/>
        </w:rPr>
        <w:t>ח</w:t>
      </w:r>
      <w:r>
        <w:rPr>
          <w:rFonts w:ascii="David" w:hAnsi="David" w:hint="cs"/>
          <w:noProof w:val="0"/>
          <w:rtl/>
        </w:rPr>
        <w:t xml:space="preserve"> גם חו"ד גורביץ ומאחר שכידוע לא מציגים </w:t>
      </w:r>
      <w:r w:rsidR="008322BB">
        <w:rPr>
          <w:rFonts w:ascii="David" w:hAnsi="David" w:hint="cs"/>
          <w:noProof w:val="0"/>
          <w:rtl/>
        </w:rPr>
        <w:t>בפני המומחה חוות דעת פרטית לפני</w:t>
      </w:r>
      <w:r>
        <w:rPr>
          <w:rFonts w:ascii="David" w:hAnsi="David" w:hint="cs"/>
          <w:noProof w:val="0"/>
          <w:rtl/>
        </w:rPr>
        <w:t xml:space="preserve"> שמוגשת חוות דעתו, הרי </w:t>
      </w:r>
      <w:r w:rsidR="00B33C43">
        <w:rPr>
          <w:rFonts w:ascii="David" w:hAnsi="David" w:hint="cs"/>
          <w:noProof w:val="0"/>
          <w:rtl/>
        </w:rPr>
        <w:t xml:space="preserve">שברור שהוא ביקש להציג את חו"ד גורביץ בשלב שאלות ההבהרה. ברם, בקשה זו נדחתה ע"י ביהמ"ש קמא עוד  ביום 17.9.20 ומכאן שכבר אז נדחתה בקשת המבקשת להציג בפני המומחה את חו"ד גורביץ במסגרת שאלות ההבהרה. לכן, הבקשה דנן לא תועיל למבקשת. </w:t>
      </w:r>
      <w:r>
        <w:rPr>
          <w:rFonts w:ascii="David" w:hAnsi="David" w:hint="cs"/>
          <w:noProof w:val="0"/>
          <w:rtl/>
        </w:rPr>
        <w:t xml:space="preserve"> </w:t>
      </w:r>
      <w:r w:rsidR="00507121">
        <w:rPr>
          <w:rFonts w:ascii="David" w:hAnsi="David" w:hint="cs"/>
          <w:noProof w:val="0"/>
          <w:rtl/>
        </w:rPr>
        <w:t xml:space="preserve"> </w:t>
      </w:r>
    </w:p>
    <w:p w:rsidR="00660A0C" w:rsidRPr="00660A0C" w:rsidRDefault="00660A0C" w:rsidP="00660A0C">
      <w:pPr>
        <w:pStyle w:val="ad"/>
        <w:rPr>
          <w:rFonts w:ascii="David" w:hAnsi="David"/>
          <w:noProof w:val="0"/>
          <w:rtl/>
        </w:rPr>
      </w:pPr>
    </w:p>
    <w:p w:rsidR="00190AB4" w:rsidRDefault="00660A0C" w:rsidP="00B33C43">
      <w:pPr>
        <w:pStyle w:val="ad"/>
        <w:numPr>
          <w:ilvl w:val="0"/>
          <w:numId w:val="7"/>
        </w:numPr>
        <w:spacing w:after="240" w:line="360" w:lineRule="auto"/>
        <w:ind w:left="-57" w:hanging="708"/>
        <w:jc w:val="both"/>
        <w:rPr>
          <w:rFonts w:ascii="David" w:hAnsi="David"/>
          <w:noProof w:val="0"/>
        </w:rPr>
      </w:pPr>
      <w:r>
        <w:rPr>
          <w:rFonts w:ascii="David" w:hAnsi="David" w:hint="cs"/>
          <w:noProof w:val="0"/>
          <w:rtl/>
        </w:rPr>
        <w:t>שאלות ההבהרה נועדו להבהיר את הנכתב בחוות הדעת ואין בהצגת חוות דעת פרטית בכדי להבהיר את חוות הדעת אלא לכל היותר להתעמת או להתפלמס עם המומחה ואין לכך מקום במסגרת שאלות ההבהרה.</w:t>
      </w:r>
      <w:r w:rsidR="00B86D80">
        <w:rPr>
          <w:rFonts w:ascii="David" w:hAnsi="David" w:hint="cs"/>
          <w:noProof w:val="0"/>
          <w:rtl/>
        </w:rPr>
        <w:t xml:space="preserve"> </w:t>
      </w:r>
      <w:r>
        <w:rPr>
          <w:rFonts w:ascii="David" w:hAnsi="David" w:hint="cs"/>
          <w:noProof w:val="0"/>
          <w:rtl/>
        </w:rPr>
        <w:t>בנוסף, חו"ד גורביץ "מעוררת תמיהות" והצגתה תפגע בחקר האמת.</w:t>
      </w:r>
      <w:r w:rsidR="00673C26">
        <w:rPr>
          <w:rFonts w:ascii="David" w:hAnsi="David" w:hint="cs"/>
          <w:noProof w:val="0"/>
          <w:rtl/>
        </w:rPr>
        <w:t xml:space="preserve"> נראה כי ד"ר גורביץ שינה את ממצאי הבדיקה שערך על מנת שתתאים לדרישת המזמינה.</w:t>
      </w:r>
    </w:p>
    <w:p w:rsidR="00E869AA" w:rsidRPr="00745FA7" w:rsidRDefault="00E869AA" w:rsidP="00E869AA">
      <w:pPr>
        <w:pStyle w:val="ad"/>
        <w:spacing w:after="240" w:line="360" w:lineRule="auto"/>
        <w:ind w:left="-57"/>
        <w:jc w:val="both"/>
        <w:rPr>
          <w:rFonts w:ascii="David" w:hAnsi="David"/>
          <w:noProof w:val="0"/>
          <w:sz w:val="16"/>
          <w:szCs w:val="16"/>
        </w:rPr>
      </w:pPr>
    </w:p>
    <w:p w:rsidR="00E869AA" w:rsidRDefault="00B33C43" w:rsidP="00D541CD">
      <w:pPr>
        <w:pStyle w:val="ad"/>
        <w:numPr>
          <w:ilvl w:val="0"/>
          <w:numId w:val="7"/>
        </w:numPr>
        <w:spacing w:after="240" w:line="360" w:lineRule="auto"/>
        <w:ind w:left="-57" w:hanging="708"/>
        <w:jc w:val="both"/>
        <w:rPr>
          <w:rFonts w:ascii="David" w:hAnsi="David"/>
          <w:noProof w:val="0"/>
        </w:rPr>
      </w:pPr>
      <w:r>
        <w:rPr>
          <w:rFonts w:ascii="David" w:hAnsi="David" w:hint="cs"/>
          <w:noProof w:val="0"/>
          <w:rtl/>
        </w:rPr>
        <w:t xml:space="preserve">האבחנה שהמבקשת מנסה לערוך בין תקנות הפלת"ד לבין תקנות </w:t>
      </w:r>
      <w:r w:rsidR="00086577">
        <w:rPr>
          <w:rFonts w:ascii="David" w:hAnsi="David" w:hint="cs"/>
          <w:noProof w:val="0"/>
          <w:rtl/>
        </w:rPr>
        <w:t xml:space="preserve">המשפחה </w:t>
      </w:r>
      <w:r>
        <w:rPr>
          <w:rFonts w:ascii="David" w:hAnsi="David" w:hint="cs"/>
          <w:noProof w:val="0"/>
          <w:rtl/>
        </w:rPr>
        <w:t>"תפגע בהרמוניה החקיקתית" ותגרום לכך שאו</w:t>
      </w:r>
      <w:r w:rsidR="00673C26">
        <w:rPr>
          <w:rFonts w:ascii="David" w:hAnsi="David" w:hint="cs"/>
          <w:noProof w:val="0"/>
          <w:rtl/>
        </w:rPr>
        <w:t>תם מנגנונים יפורשו ויופעלו אחרת בערכאות השונות. כמו כן, משמונה מומחה מטעם בית המשפט נאסר על הגשת חוות דעת פרטית.</w:t>
      </w:r>
      <w:r>
        <w:rPr>
          <w:rFonts w:ascii="David" w:hAnsi="David" w:hint="cs"/>
          <w:noProof w:val="0"/>
          <w:rtl/>
        </w:rPr>
        <w:t xml:space="preserve"> </w:t>
      </w:r>
    </w:p>
    <w:p w:rsidR="00ED496B" w:rsidRPr="00ED496B" w:rsidRDefault="00ED496B" w:rsidP="00ED496B">
      <w:pPr>
        <w:pStyle w:val="ad"/>
        <w:rPr>
          <w:rFonts w:ascii="David" w:hAnsi="David"/>
          <w:noProof w:val="0"/>
          <w:rtl/>
        </w:rPr>
      </w:pPr>
    </w:p>
    <w:p w:rsidR="000C1F96" w:rsidRPr="00783119" w:rsidRDefault="00ED496B" w:rsidP="00921A2B">
      <w:pPr>
        <w:pStyle w:val="ad"/>
        <w:numPr>
          <w:ilvl w:val="0"/>
          <w:numId w:val="7"/>
        </w:numPr>
        <w:spacing w:after="240" w:line="360" w:lineRule="auto"/>
        <w:ind w:left="-57" w:hanging="708"/>
        <w:jc w:val="both"/>
        <w:rPr>
          <w:rFonts w:ascii="David" w:hAnsi="David"/>
          <w:noProof w:val="0"/>
        </w:rPr>
      </w:pPr>
      <w:r w:rsidRPr="00783119">
        <w:rPr>
          <w:rFonts w:ascii="David" w:hAnsi="David" w:hint="cs"/>
          <w:noProof w:val="0"/>
          <w:rtl/>
        </w:rPr>
        <w:t>בבע"מ לא נקבעה הלכה שניתן להצי</w:t>
      </w:r>
      <w:r w:rsidR="005142A9">
        <w:rPr>
          <w:rFonts w:ascii="David" w:hAnsi="David" w:hint="cs"/>
          <w:noProof w:val="0"/>
          <w:rtl/>
        </w:rPr>
        <w:t>ג</w:t>
      </w:r>
      <w:r w:rsidRPr="00783119">
        <w:rPr>
          <w:rFonts w:ascii="David" w:hAnsi="David" w:hint="cs"/>
          <w:noProof w:val="0"/>
          <w:rtl/>
        </w:rPr>
        <w:t xml:space="preserve"> חוות דעת פרטית בשלב שאלות ההבהרה וכל שנקבע שם </w:t>
      </w:r>
      <w:r w:rsidR="00D541CD">
        <w:rPr>
          <w:rFonts w:ascii="David" w:hAnsi="David" w:hint="cs"/>
          <w:noProof w:val="0"/>
          <w:rtl/>
        </w:rPr>
        <w:t xml:space="preserve">הוא </w:t>
      </w:r>
      <w:r w:rsidR="00921A2B">
        <w:rPr>
          <w:rFonts w:ascii="David" w:hAnsi="David" w:hint="cs"/>
          <w:noProof w:val="0"/>
          <w:rtl/>
        </w:rPr>
        <w:t>ש</w:t>
      </w:r>
      <w:r w:rsidRPr="00783119">
        <w:rPr>
          <w:rFonts w:ascii="David" w:hAnsi="David" w:hint="cs"/>
          <w:noProof w:val="0"/>
          <w:rtl/>
        </w:rPr>
        <w:t xml:space="preserve">אין להתערב בשיקול דעת פרטני של הערכה הדיונית וכי "הדין המנחה הוא דין הפלת"ד" שבו אסורה הגשת חוות דעת פרטית בכל שלב. </w:t>
      </w:r>
      <w:r w:rsidR="009271FD" w:rsidRPr="00783119">
        <w:rPr>
          <w:rFonts w:ascii="David" w:hAnsi="David" w:hint="cs"/>
          <w:noProof w:val="0"/>
          <w:rtl/>
        </w:rPr>
        <w:t>גם בתיק פלת"ד ייתכן שמאן דהו</w:t>
      </w:r>
      <w:r w:rsidR="008322BB" w:rsidRPr="00D541CD">
        <w:rPr>
          <w:rFonts w:ascii="David" w:hAnsi="David" w:hint="cs"/>
          <w:noProof w:val="0"/>
          <w:rtl/>
        </w:rPr>
        <w:t>א</w:t>
      </w:r>
      <w:r w:rsidR="009271FD" w:rsidRPr="00783119">
        <w:rPr>
          <w:rFonts w:ascii="David" w:hAnsi="David" w:hint="cs"/>
          <w:noProof w:val="0"/>
          <w:rtl/>
        </w:rPr>
        <w:t xml:space="preserve"> יבקש להגיש חוות דעת מוקד</w:t>
      </w:r>
      <w:r w:rsidR="005142A9">
        <w:rPr>
          <w:rFonts w:ascii="David" w:hAnsi="David" w:hint="cs"/>
          <w:noProof w:val="0"/>
          <w:rtl/>
        </w:rPr>
        <w:t>מת</w:t>
      </w:r>
      <w:r w:rsidR="009271FD" w:rsidRPr="00783119">
        <w:rPr>
          <w:rFonts w:ascii="David" w:hAnsi="David" w:hint="cs"/>
          <w:noProof w:val="0"/>
          <w:rtl/>
        </w:rPr>
        <w:t xml:space="preserve"> לתאונה ולא יותר לו</w:t>
      </w:r>
      <w:r w:rsidR="008322BB">
        <w:rPr>
          <w:rFonts w:ascii="David" w:hAnsi="David" w:hint="cs"/>
          <w:noProof w:val="0"/>
          <w:rtl/>
        </w:rPr>
        <w:t>,</w:t>
      </w:r>
      <w:r w:rsidR="009271FD" w:rsidRPr="00783119">
        <w:rPr>
          <w:rFonts w:ascii="David" w:hAnsi="David" w:hint="cs"/>
          <w:noProof w:val="0"/>
          <w:rtl/>
        </w:rPr>
        <w:t xml:space="preserve"> ולכן גם בבית המשפט לענייני משפחה אין לאבחן בין חוות דעת "מזמן אמת" לבין חוות דעת בדיעבד ומכל הנימוקים הנ</w:t>
      </w:r>
      <w:r w:rsidR="005142A9">
        <w:rPr>
          <w:rFonts w:ascii="David" w:hAnsi="David" w:hint="cs"/>
          <w:noProof w:val="0"/>
          <w:rtl/>
        </w:rPr>
        <w:t>"</w:t>
      </w:r>
      <w:r w:rsidR="009271FD" w:rsidRPr="00783119">
        <w:rPr>
          <w:rFonts w:ascii="David" w:hAnsi="David" w:hint="cs"/>
          <w:noProof w:val="0"/>
          <w:rtl/>
        </w:rPr>
        <w:t>ל יש לדחות את הבקשה.</w:t>
      </w:r>
    </w:p>
    <w:p w:rsidR="00CF6B88" w:rsidRPr="00745FA7" w:rsidRDefault="00CF6B88" w:rsidP="00CF6B88">
      <w:pPr>
        <w:pStyle w:val="ad"/>
        <w:spacing w:after="240" w:line="360" w:lineRule="auto"/>
        <w:ind w:left="-57"/>
        <w:jc w:val="both"/>
        <w:rPr>
          <w:rFonts w:ascii="David" w:hAnsi="David"/>
          <w:noProof w:val="0"/>
          <w:sz w:val="18"/>
          <w:szCs w:val="18"/>
          <w:rtl/>
        </w:rPr>
      </w:pPr>
    </w:p>
    <w:p w:rsidR="006E04CA" w:rsidRDefault="006E04CA" w:rsidP="000D5819">
      <w:pPr>
        <w:pStyle w:val="ad"/>
        <w:numPr>
          <w:ilvl w:val="0"/>
          <w:numId w:val="1"/>
        </w:numPr>
        <w:spacing w:after="240" w:line="360" w:lineRule="auto"/>
        <w:ind w:left="-57" w:hanging="708"/>
        <w:jc w:val="both"/>
        <w:rPr>
          <w:rFonts w:ascii="David" w:hAnsi="David"/>
          <w:b/>
          <w:bCs/>
          <w:noProof w:val="0"/>
        </w:rPr>
      </w:pPr>
      <w:r w:rsidRPr="000D5819">
        <w:rPr>
          <w:rFonts w:ascii="David" w:hAnsi="David"/>
          <w:b/>
          <w:bCs/>
          <w:noProof w:val="0"/>
          <w:rtl/>
        </w:rPr>
        <w:t>דיון והכרעה</w:t>
      </w:r>
    </w:p>
    <w:p w:rsidR="00B3341E" w:rsidRPr="00B20F35" w:rsidRDefault="00B3341E" w:rsidP="00B3341E">
      <w:pPr>
        <w:pStyle w:val="ad"/>
        <w:rPr>
          <w:rFonts w:ascii="David" w:hAnsi="David"/>
          <w:b/>
          <w:bCs/>
          <w:noProof w:val="0"/>
          <w:sz w:val="16"/>
          <w:szCs w:val="16"/>
          <w:rtl/>
        </w:rPr>
      </w:pPr>
    </w:p>
    <w:p w:rsidR="00C83883" w:rsidRDefault="00B20F35" w:rsidP="00E869AA">
      <w:pPr>
        <w:pStyle w:val="ad"/>
        <w:numPr>
          <w:ilvl w:val="0"/>
          <w:numId w:val="6"/>
        </w:numPr>
        <w:spacing w:after="240" w:line="360" w:lineRule="auto"/>
        <w:ind w:left="-57" w:hanging="708"/>
        <w:jc w:val="both"/>
        <w:rPr>
          <w:rFonts w:ascii="David" w:hAnsi="David"/>
          <w:b/>
          <w:bCs/>
          <w:noProof w:val="0"/>
        </w:rPr>
      </w:pPr>
      <w:r>
        <w:rPr>
          <w:rFonts w:ascii="David" w:hAnsi="David"/>
          <w:noProof w:val="0"/>
          <w:rtl/>
        </w:rPr>
        <w:t xml:space="preserve">לאחר עיון </w:t>
      </w:r>
      <w:r w:rsidRPr="00E869AA">
        <w:rPr>
          <w:rFonts w:ascii="David" w:hAnsi="David"/>
          <w:noProof w:val="0"/>
          <w:rtl/>
        </w:rPr>
        <w:t>בבקשה ובתשוב</w:t>
      </w:r>
      <w:r w:rsidR="00E869AA" w:rsidRPr="00E869AA">
        <w:rPr>
          <w:rFonts w:ascii="David" w:hAnsi="David" w:hint="cs"/>
          <w:noProof w:val="0"/>
          <w:rtl/>
        </w:rPr>
        <w:t>ות</w:t>
      </w:r>
      <w:r w:rsidR="006E04CA" w:rsidRPr="000D5819">
        <w:rPr>
          <w:rFonts w:ascii="David" w:hAnsi="David"/>
          <w:noProof w:val="0"/>
          <w:rtl/>
        </w:rPr>
        <w:t>, אני סבור שיש לתת רשות ערעור ואף לקבל את הערעור לגופו. יש לדון בבקשה כבר עתה</w:t>
      </w:r>
      <w:r w:rsidR="00C83883" w:rsidRPr="000D5819">
        <w:rPr>
          <w:rFonts w:ascii="David" w:hAnsi="David"/>
          <w:noProof w:val="0"/>
          <w:rtl/>
        </w:rPr>
        <w:t>,</w:t>
      </w:r>
      <w:r w:rsidR="006E04CA" w:rsidRPr="000D5819">
        <w:rPr>
          <w:rFonts w:ascii="David" w:hAnsi="David"/>
          <w:noProof w:val="0"/>
          <w:rtl/>
        </w:rPr>
        <w:t xml:space="preserve"> היות שאם ההחלטה </w:t>
      </w:r>
      <w:r w:rsidR="006E04CA" w:rsidRPr="000C1F96">
        <w:rPr>
          <w:rFonts w:ascii="David" w:hAnsi="David"/>
          <w:noProof w:val="0"/>
          <w:rtl/>
        </w:rPr>
        <w:t>ת</w:t>
      </w:r>
      <w:r w:rsidRPr="000C1F96">
        <w:rPr>
          <w:rFonts w:ascii="David" w:hAnsi="David" w:hint="cs"/>
          <w:noProof w:val="0"/>
          <w:rtl/>
        </w:rPr>
        <w:t>י</w:t>
      </w:r>
      <w:r w:rsidR="006E04CA" w:rsidRPr="000C1F96">
        <w:rPr>
          <w:rFonts w:ascii="David" w:hAnsi="David"/>
          <w:noProof w:val="0"/>
          <w:rtl/>
        </w:rPr>
        <w:t>בחן רק בסיום ההליך, יכול לה</w:t>
      </w:r>
      <w:r w:rsidR="00C83883" w:rsidRPr="000C1F96">
        <w:rPr>
          <w:rFonts w:ascii="David" w:hAnsi="David"/>
          <w:noProof w:val="0"/>
          <w:rtl/>
        </w:rPr>
        <w:t>י</w:t>
      </w:r>
      <w:r w:rsidR="006E04CA" w:rsidRPr="000C1F96">
        <w:rPr>
          <w:rFonts w:ascii="David" w:hAnsi="David"/>
          <w:noProof w:val="0"/>
          <w:rtl/>
        </w:rPr>
        <w:t xml:space="preserve">ווצר מצב </w:t>
      </w:r>
      <w:r w:rsidR="00190AB4" w:rsidRPr="000C1F96">
        <w:rPr>
          <w:rFonts w:ascii="David" w:hAnsi="David" w:hint="cs"/>
          <w:noProof w:val="0"/>
          <w:rtl/>
        </w:rPr>
        <w:t>ש</w:t>
      </w:r>
      <w:r w:rsidR="006E04CA" w:rsidRPr="000C1F96">
        <w:rPr>
          <w:rFonts w:ascii="David" w:hAnsi="David"/>
          <w:noProof w:val="0"/>
          <w:rtl/>
        </w:rPr>
        <w:t>בו יהיה צורך להשיב את התיק לבית המשפט קמא להשלמת חקירת המומחה ו</w:t>
      </w:r>
      <w:r w:rsidRPr="000C1F96">
        <w:rPr>
          <w:rFonts w:ascii="David" w:hAnsi="David" w:hint="cs"/>
          <w:noProof w:val="0"/>
          <w:rtl/>
        </w:rPr>
        <w:t>יהיה צורך ב</w:t>
      </w:r>
      <w:r w:rsidR="006E04CA" w:rsidRPr="000D5819">
        <w:rPr>
          <w:rFonts w:ascii="David" w:hAnsi="David"/>
          <w:noProof w:val="0"/>
          <w:rtl/>
        </w:rPr>
        <w:t>מתן פסק דין חדש</w:t>
      </w:r>
      <w:r w:rsidR="00C83883" w:rsidRPr="000D5819">
        <w:rPr>
          <w:rFonts w:ascii="David" w:hAnsi="David"/>
          <w:noProof w:val="0"/>
          <w:rtl/>
        </w:rPr>
        <w:t>.</w:t>
      </w:r>
      <w:r w:rsidR="00231C14" w:rsidRPr="000D5819">
        <w:rPr>
          <w:rFonts w:ascii="David" w:hAnsi="David"/>
          <w:noProof w:val="0"/>
          <w:rtl/>
        </w:rPr>
        <w:t xml:space="preserve"> לכן</w:t>
      </w:r>
      <w:r w:rsidR="00C83883" w:rsidRPr="000D5819">
        <w:rPr>
          <w:rFonts w:ascii="David" w:hAnsi="David"/>
          <w:noProof w:val="0"/>
          <w:rtl/>
        </w:rPr>
        <w:t>,</w:t>
      </w:r>
      <w:r w:rsidR="00231C14" w:rsidRPr="000D5819">
        <w:rPr>
          <w:rFonts w:ascii="David" w:hAnsi="David"/>
          <w:noProof w:val="0"/>
          <w:rtl/>
        </w:rPr>
        <w:t xml:space="preserve"> הבקשה עומדת ב</w:t>
      </w:r>
      <w:r w:rsidR="00C83883" w:rsidRPr="000D5819">
        <w:rPr>
          <w:rFonts w:ascii="David" w:hAnsi="David"/>
          <w:noProof w:val="0"/>
          <w:rtl/>
        </w:rPr>
        <w:t xml:space="preserve">תנאי </w:t>
      </w:r>
      <w:r w:rsidR="00231C14" w:rsidRPr="000D5819">
        <w:rPr>
          <w:rFonts w:ascii="David" w:hAnsi="David"/>
          <w:noProof w:val="0"/>
          <w:rtl/>
        </w:rPr>
        <w:t>סעיף 52(ב) ל</w:t>
      </w:r>
      <w:r w:rsidR="00190AB4">
        <w:rPr>
          <w:rFonts w:ascii="David" w:hAnsi="David"/>
          <w:b/>
          <w:bCs/>
          <w:noProof w:val="0"/>
          <w:rtl/>
        </w:rPr>
        <w:t>חוק בתי המשפט (נוסח משולב)</w:t>
      </w:r>
      <w:r w:rsidR="00190AB4" w:rsidRPr="00745FA7">
        <w:rPr>
          <w:rFonts w:ascii="David" w:hAnsi="David" w:hint="cs"/>
          <w:noProof w:val="0"/>
          <w:rtl/>
        </w:rPr>
        <w:t>,</w:t>
      </w:r>
      <w:r w:rsidR="00190AB4">
        <w:rPr>
          <w:rFonts w:ascii="David" w:hAnsi="David" w:hint="cs"/>
          <w:b/>
          <w:bCs/>
          <w:noProof w:val="0"/>
          <w:rtl/>
        </w:rPr>
        <w:t xml:space="preserve"> </w:t>
      </w:r>
      <w:r w:rsidR="00190AB4">
        <w:rPr>
          <w:rFonts w:ascii="David" w:hAnsi="David" w:hint="cs"/>
          <w:noProof w:val="0"/>
          <w:rtl/>
        </w:rPr>
        <w:t>ה</w:t>
      </w:r>
      <w:r w:rsidR="00231C14" w:rsidRPr="000D5819">
        <w:rPr>
          <w:rFonts w:ascii="David" w:hAnsi="David"/>
          <w:noProof w:val="0"/>
          <w:rtl/>
        </w:rPr>
        <w:t>תשמ"ד – 1984</w:t>
      </w:r>
      <w:r w:rsidR="00190AB4">
        <w:rPr>
          <w:rFonts w:ascii="David" w:hAnsi="David" w:hint="cs"/>
          <w:noProof w:val="0"/>
          <w:rtl/>
        </w:rPr>
        <w:t>,</w:t>
      </w:r>
      <w:r w:rsidR="00231C14" w:rsidRPr="000D5819">
        <w:rPr>
          <w:rFonts w:ascii="David" w:hAnsi="David"/>
          <w:noProof w:val="0"/>
          <w:rtl/>
        </w:rPr>
        <w:t xml:space="preserve"> הקובע שתינתן רשות ערעור אם "</w:t>
      </w:r>
      <w:r w:rsidR="00231C14" w:rsidRPr="000D5819">
        <w:rPr>
          <w:rFonts w:ascii="David" w:hAnsi="David"/>
          <w:b/>
          <w:bCs/>
          <w:noProof w:val="0"/>
          <w:rtl/>
        </w:rPr>
        <w:t>יהיה בכך כדי להשפיע באופן ממשי על זכויות הצדדים או שעלול להיגרם לצד להליך נזק של ממש או שעלול להתנהל הליך מיותר או בדרך שגויה</w:t>
      </w:r>
      <w:r w:rsidR="00231C14" w:rsidRPr="00190AB4">
        <w:rPr>
          <w:rFonts w:ascii="David" w:hAnsi="David"/>
          <w:noProof w:val="0"/>
          <w:rtl/>
        </w:rPr>
        <w:t>".</w:t>
      </w:r>
    </w:p>
    <w:p w:rsidR="00190AB4" w:rsidRPr="00834794" w:rsidRDefault="00190AB4" w:rsidP="00190AB4">
      <w:pPr>
        <w:pStyle w:val="ad"/>
        <w:spacing w:after="240" w:line="360" w:lineRule="auto"/>
        <w:ind w:left="-57"/>
        <w:jc w:val="both"/>
        <w:rPr>
          <w:rFonts w:ascii="David" w:hAnsi="David"/>
          <w:b/>
          <w:bCs/>
          <w:noProof w:val="0"/>
          <w:sz w:val="16"/>
          <w:szCs w:val="16"/>
        </w:rPr>
      </w:pPr>
    </w:p>
    <w:p w:rsidR="004B3402" w:rsidRDefault="00783119" w:rsidP="00CE0A2E">
      <w:pPr>
        <w:pStyle w:val="ad"/>
        <w:numPr>
          <w:ilvl w:val="0"/>
          <w:numId w:val="6"/>
        </w:numPr>
        <w:spacing w:after="240" w:line="360" w:lineRule="auto"/>
        <w:ind w:left="-57" w:hanging="708"/>
        <w:jc w:val="both"/>
        <w:rPr>
          <w:rFonts w:ascii="David" w:hAnsi="David"/>
          <w:noProof w:val="0"/>
        </w:rPr>
      </w:pPr>
      <w:r>
        <w:rPr>
          <w:rFonts w:ascii="David" w:hAnsi="David" w:hint="cs"/>
          <w:noProof w:val="0"/>
          <w:rtl/>
        </w:rPr>
        <w:t xml:space="preserve">ראשית אתייחס לטענה הדיונית </w:t>
      </w:r>
      <w:r w:rsidR="004B3402">
        <w:rPr>
          <w:rFonts w:ascii="David" w:hAnsi="David" w:hint="cs"/>
          <w:noProof w:val="0"/>
          <w:rtl/>
        </w:rPr>
        <w:t xml:space="preserve">של המשיבים </w:t>
      </w:r>
      <w:r>
        <w:rPr>
          <w:rFonts w:ascii="David" w:hAnsi="David" w:hint="cs"/>
          <w:noProof w:val="0"/>
          <w:rtl/>
        </w:rPr>
        <w:t>לפיה המבקשת הגישה את הבקשה באיחור והיה עליה להגיש בקשת רשות ערעור על ההחלטה מיום 2.3.22 שדחתה את הבקשה להגשת חוות דעת גורביץ במסגרת שאלות ההבהרה ולא ניתן להגישה כיום לאחר ש</w:t>
      </w:r>
      <w:r w:rsidR="00E607F1">
        <w:rPr>
          <w:rFonts w:ascii="David" w:hAnsi="David" w:hint="cs"/>
          <w:noProof w:val="0"/>
          <w:rtl/>
        </w:rPr>
        <w:t>נ</w:t>
      </w:r>
      <w:r>
        <w:rPr>
          <w:rFonts w:ascii="David" w:hAnsi="David" w:hint="cs"/>
          <w:noProof w:val="0"/>
          <w:rtl/>
        </w:rPr>
        <w:t xml:space="preserve">דחתה הבקשה לעיון חוזר. </w:t>
      </w:r>
      <w:r w:rsidR="00037855">
        <w:rPr>
          <w:rFonts w:ascii="David" w:hAnsi="David" w:hint="cs"/>
          <w:noProof w:val="0"/>
          <w:rtl/>
        </w:rPr>
        <w:t xml:space="preserve">אכן, נפסק לא אחת </w:t>
      </w:r>
      <w:r w:rsidR="00921A2B">
        <w:rPr>
          <w:rFonts w:ascii="David" w:hAnsi="David" w:hint="cs"/>
          <w:noProof w:val="0"/>
          <w:rtl/>
        </w:rPr>
        <w:t xml:space="preserve">שלא ניתן </w:t>
      </w:r>
      <w:r w:rsidR="00037855">
        <w:rPr>
          <w:rFonts w:ascii="David" w:hAnsi="David" w:hint="cs"/>
          <w:noProof w:val="0"/>
          <w:rtl/>
        </w:rPr>
        <w:t>להאריך באופן מלאכותי את המועד שבו היה על</w:t>
      </w:r>
      <w:r w:rsidR="00921A2B">
        <w:rPr>
          <w:rFonts w:ascii="David" w:hAnsi="David" w:hint="cs"/>
          <w:noProof w:val="0"/>
          <w:rtl/>
        </w:rPr>
        <w:t xml:space="preserve"> מבקש</w:t>
      </w:r>
      <w:r w:rsidR="00037855">
        <w:rPr>
          <w:rFonts w:ascii="David" w:hAnsi="David" w:hint="cs"/>
          <w:noProof w:val="0"/>
          <w:rtl/>
        </w:rPr>
        <w:t xml:space="preserve"> להגיש את בקשת רשות ערעור באמצעות בקשה לעיון חוזר (רע"א 11449-05 </w:t>
      </w:r>
      <w:r w:rsidR="00037855" w:rsidRPr="00D541CD">
        <w:rPr>
          <w:rFonts w:ascii="David" w:hAnsi="David" w:hint="cs"/>
          <w:b/>
          <w:bCs/>
          <w:noProof w:val="0"/>
          <w:rtl/>
        </w:rPr>
        <w:t>הועדה המקומית לתכנון ובניה ירושלים נ'</w:t>
      </w:r>
      <w:r w:rsidR="00037855">
        <w:rPr>
          <w:rFonts w:ascii="David" w:hAnsi="David" w:hint="cs"/>
          <w:noProof w:val="0"/>
          <w:rtl/>
        </w:rPr>
        <w:t xml:space="preserve"> </w:t>
      </w:r>
      <w:r w:rsidR="00037855" w:rsidRPr="00D541CD">
        <w:rPr>
          <w:rFonts w:ascii="David" w:hAnsi="David" w:hint="cs"/>
          <w:b/>
          <w:bCs/>
          <w:noProof w:val="0"/>
          <w:rtl/>
        </w:rPr>
        <w:t>תורג'מן</w:t>
      </w:r>
      <w:r w:rsidR="00037855">
        <w:rPr>
          <w:rFonts w:ascii="David" w:hAnsi="David" w:hint="cs"/>
          <w:noProof w:val="0"/>
          <w:rtl/>
        </w:rPr>
        <w:t xml:space="preserve"> (6.2.</w:t>
      </w:r>
      <w:r w:rsidR="00745FA7">
        <w:rPr>
          <w:rFonts w:ascii="David" w:hAnsi="David" w:hint="cs"/>
          <w:noProof w:val="0"/>
          <w:rtl/>
        </w:rPr>
        <w:t>20</w:t>
      </w:r>
      <w:r w:rsidR="00037855">
        <w:rPr>
          <w:rFonts w:ascii="David" w:hAnsi="David" w:hint="cs"/>
          <w:noProof w:val="0"/>
          <w:rtl/>
        </w:rPr>
        <w:t xml:space="preserve">06)). ברם, מקרה דנן שונה. </w:t>
      </w:r>
      <w:r w:rsidR="00AC01A2">
        <w:rPr>
          <w:rFonts w:ascii="David" w:hAnsi="David" w:hint="cs"/>
          <w:noProof w:val="0"/>
          <w:rtl/>
        </w:rPr>
        <w:t xml:space="preserve">בעניינינו, </w:t>
      </w:r>
      <w:r w:rsidR="00926E25">
        <w:rPr>
          <w:rFonts w:ascii="David" w:hAnsi="David" w:hint="cs"/>
          <w:noProof w:val="0"/>
          <w:rtl/>
        </w:rPr>
        <w:t>בית המשפט קמא בהחלטתו מיום 5.3.22 הביע דע</w:t>
      </w:r>
      <w:r w:rsidR="008322BB">
        <w:rPr>
          <w:rFonts w:ascii="David" w:hAnsi="David" w:hint="cs"/>
          <w:noProof w:val="0"/>
          <w:rtl/>
        </w:rPr>
        <w:t xml:space="preserve">תו שייתכן שיש ממש בטענת המבקשת </w:t>
      </w:r>
      <w:r w:rsidR="00926E25">
        <w:rPr>
          <w:rFonts w:ascii="David" w:hAnsi="David" w:hint="cs"/>
          <w:noProof w:val="0"/>
          <w:rtl/>
        </w:rPr>
        <w:t xml:space="preserve">וביקש למעשה התייחסות מחודשת </w:t>
      </w:r>
      <w:r w:rsidR="00E607F1">
        <w:rPr>
          <w:rFonts w:ascii="David" w:hAnsi="David" w:hint="cs"/>
          <w:noProof w:val="0"/>
          <w:rtl/>
        </w:rPr>
        <w:t xml:space="preserve">מהמשיבים </w:t>
      </w:r>
      <w:r w:rsidR="00926E25">
        <w:rPr>
          <w:rFonts w:ascii="David" w:hAnsi="David" w:hint="cs"/>
          <w:noProof w:val="0"/>
          <w:rtl/>
        </w:rPr>
        <w:t xml:space="preserve">ביחס לנושא זה. </w:t>
      </w:r>
      <w:r w:rsidR="00B96846">
        <w:rPr>
          <w:rFonts w:ascii="David" w:hAnsi="David" w:hint="cs"/>
          <w:noProof w:val="0"/>
          <w:rtl/>
        </w:rPr>
        <w:t>ההחלטה מושא בקשה דנן לא דנה כלל בשאלה האם יש מקום לעיון מחדש מבחינת הכללים שנקבעו בפסיקה</w:t>
      </w:r>
      <w:r w:rsidR="00AC01A2">
        <w:rPr>
          <w:rFonts w:ascii="David" w:hAnsi="David" w:hint="cs"/>
          <w:noProof w:val="0"/>
          <w:rtl/>
        </w:rPr>
        <w:t xml:space="preserve"> </w:t>
      </w:r>
      <w:r w:rsidR="00D541CD">
        <w:rPr>
          <w:rFonts w:ascii="David" w:hAnsi="David" w:hint="cs"/>
          <w:noProof w:val="0"/>
          <w:rtl/>
        </w:rPr>
        <w:t xml:space="preserve">לעיון מחדש </w:t>
      </w:r>
      <w:r w:rsidR="00AC01A2">
        <w:rPr>
          <w:rFonts w:ascii="David" w:hAnsi="David" w:hint="cs"/>
          <w:noProof w:val="0"/>
          <w:rtl/>
        </w:rPr>
        <w:t xml:space="preserve">(כגון שינוי נסיבות) </w:t>
      </w:r>
      <w:r w:rsidR="00B96846">
        <w:rPr>
          <w:rFonts w:ascii="David" w:hAnsi="David" w:hint="cs"/>
          <w:noProof w:val="0"/>
          <w:rtl/>
        </w:rPr>
        <w:t xml:space="preserve">וניתנה החלטה מנומקת </w:t>
      </w:r>
      <w:r w:rsidR="00AC01A2">
        <w:rPr>
          <w:rFonts w:ascii="David" w:hAnsi="David" w:hint="cs"/>
          <w:noProof w:val="0"/>
          <w:rtl/>
        </w:rPr>
        <w:t xml:space="preserve">ומפורטת </w:t>
      </w:r>
      <w:r w:rsidR="00B96846">
        <w:rPr>
          <w:rFonts w:ascii="David" w:hAnsi="David" w:hint="cs"/>
          <w:noProof w:val="0"/>
          <w:rtl/>
        </w:rPr>
        <w:t>שב</w:t>
      </w:r>
      <w:r w:rsidR="00AC01A2">
        <w:rPr>
          <w:rFonts w:ascii="David" w:hAnsi="David" w:hint="cs"/>
          <w:noProof w:val="0"/>
          <w:rtl/>
        </w:rPr>
        <w:t>ה</w:t>
      </w:r>
      <w:r w:rsidR="00B96846">
        <w:rPr>
          <w:rFonts w:ascii="David" w:hAnsi="David" w:hint="cs"/>
          <w:noProof w:val="0"/>
          <w:rtl/>
        </w:rPr>
        <w:t xml:space="preserve"> בוצע ניתוח של השאלה </w:t>
      </w:r>
      <w:r w:rsidR="00E607F1">
        <w:rPr>
          <w:rFonts w:ascii="David" w:hAnsi="David" w:hint="cs"/>
          <w:noProof w:val="0"/>
          <w:rtl/>
        </w:rPr>
        <w:t>המרכזית</w:t>
      </w:r>
      <w:r w:rsidR="00921A2B">
        <w:rPr>
          <w:rFonts w:ascii="David" w:hAnsi="David" w:hint="cs"/>
          <w:noProof w:val="0"/>
          <w:rtl/>
        </w:rPr>
        <w:t xml:space="preserve"> -</w:t>
      </w:r>
      <w:r w:rsidR="00E607F1">
        <w:rPr>
          <w:rFonts w:ascii="David" w:hAnsi="David" w:hint="cs"/>
          <w:noProof w:val="0"/>
          <w:rtl/>
        </w:rPr>
        <w:t xml:space="preserve"> </w:t>
      </w:r>
      <w:r w:rsidR="00921A2B">
        <w:rPr>
          <w:rFonts w:ascii="David" w:hAnsi="David" w:hint="cs"/>
          <w:noProof w:val="0"/>
          <w:rtl/>
        </w:rPr>
        <w:t>ה</w:t>
      </w:r>
      <w:r w:rsidR="00D541CD">
        <w:rPr>
          <w:rFonts w:ascii="David" w:hAnsi="David" w:hint="cs"/>
          <w:noProof w:val="0"/>
          <w:rtl/>
        </w:rPr>
        <w:t>אם קיימת</w:t>
      </w:r>
      <w:r w:rsidR="00E607F1">
        <w:rPr>
          <w:rFonts w:ascii="David" w:hAnsi="David" w:hint="cs"/>
          <w:noProof w:val="0"/>
          <w:rtl/>
        </w:rPr>
        <w:t xml:space="preserve"> אפשרות לשלוח חוות דעת פרטית במסגרת שאלות הבהרה</w:t>
      </w:r>
      <w:r w:rsidR="00921A2B">
        <w:rPr>
          <w:rFonts w:ascii="David" w:hAnsi="David" w:hint="cs"/>
          <w:noProof w:val="0"/>
          <w:rtl/>
        </w:rPr>
        <w:t xml:space="preserve"> -</w:t>
      </w:r>
      <w:r w:rsidR="00E607F1">
        <w:rPr>
          <w:rFonts w:ascii="David" w:hAnsi="David" w:hint="cs"/>
          <w:noProof w:val="0"/>
          <w:rtl/>
        </w:rPr>
        <w:t xml:space="preserve"> </w:t>
      </w:r>
      <w:r w:rsidR="00B96846">
        <w:rPr>
          <w:rFonts w:ascii="David" w:hAnsi="David" w:hint="cs"/>
          <w:noProof w:val="0"/>
          <w:rtl/>
        </w:rPr>
        <w:t xml:space="preserve">תוך התייחסות נרחבת לבע"מ. בסיום ההחלטה אף לא נפסקו הוצאות וביהמ"ש קמא קבע </w:t>
      </w:r>
      <w:r w:rsidR="00CE0A2E">
        <w:rPr>
          <w:rFonts w:ascii="David" w:hAnsi="David" w:hint="cs"/>
          <w:noProof w:val="0"/>
          <w:rtl/>
        </w:rPr>
        <w:t>ש</w:t>
      </w:r>
      <w:r w:rsidR="00E607F1">
        <w:rPr>
          <w:rFonts w:ascii="David" w:hAnsi="David" w:hint="cs"/>
          <w:noProof w:val="0"/>
          <w:rtl/>
        </w:rPr>
        <w:t>מ</w:t>
      </w:r>
      <w:r w:rsidR="00B96846">
        <w:rPr>
          <w:rFonts w:ascii="David" w:hAnsi="David" w:hint="cs"/>
          <w:noProof w:val="0"/>
          <w:rtl/>
        </w:rPr>
        <w:t xml:space="preserve">דובר בבקשה "ראויה לדיון". לפיכך, יש לראות בהחלטה כמעין החלטה משלימה ומפורטת יותר להחלטה מיום 2.3.22 שניתנה </w:t>
      </w:r>
      <w:r w:rsidR="00E607F1">
        <w:rPr>
          <w:rFonts w:ascii="David" w:hAnsi="David" w:hint="cs"/>
          <w:noProof w:val="0"/>
          <w:rtl/>
        </w:rPr>
        <w:t xml:space="preserve">בקצרה </w:t>
      </w:r>
      <w:r w:rsidR="00B96846">
        <w:rPr>
          <w:rFonts w:ascii="David" w:hAnsi="David" w:hint="cs"/>
          <w:noProof w:val="0"/>
          <w:rtl/>
        </w:rPr>
        <w:t xml:space="preserve">בפתקית ולפיכך, בקשה </w:t>
      </w:r>
      <w:r w:rsidR="00D541CD">
        <w:rPr>
          <w:rFonts w:ascii="David" w:hAnsi="David" w:hint="cs"/>
          <w:noProof w:val="0"/>
          <w:rtl/>
        </w:rPr>
        <w:t xml:space="preserve">דנן </w:t>
      </w:r>
      <w:r w:rsidR="00B96846">
        <w:rPr>
          <w:rFonts w:ascii="David" w:hAnsi="David" w:hint="cs"/>
          <w:noProof w:val="0"/>
          <w:rtl/>
        </w:rPr>
        <w:t>הוגשה במועד</w:t>
      </w:r>
      <w:r w:rsidR="00B072C3">
        <w:rPr>
          <w:rFonts w:ascii="David" w:hAnsi="David" w:hint="cs"/>
          <w:noProof w:val="0"/>
          <w:rtl/>
        </w:rPr>
        <w:t>,</w:t>
      </w:r>
      <w:r w:rsidR="00E607F1">
        <w:rPr>
          <w:rFonts w:ascii="David" w:hAnsi="David" w:hint="cs"/>
          <w:noProof w:val="0"/>
          <w:rtl/>
        </w:rPr>
        <w:t xml:space="preserve"> היות שהיא התייחסה להחלטה המרכזית שהכריע</w:t>
      </w:r>
      <w:r w:rsidR="008322BB" w:rsidRPr="00D541CD">
        <w:rPr>
          <w:rFonts w:ascii="David" w:hAnsi="David" w:hint="cs"/>
          <w:noProof w:val="0"/>
          <w:rtl/>
        </w:rPr>
        <w:t>ה</w:t>
      </w:r>
      <w:r w:rsidR="00E607F1">
        <w:rPr>
          <w:rFonts w:ascii="David" w:hAnsi="David" w:hint="cs"/>
          <w:noProof w:val="0"/>
          <w:rtl/>
        </w:rPr>
        <w:t xml:space="preserve"> בשאלה זו</w:t>
      </w:r>
      <w:r w:rsidR="00D541CD">
        <w:rPr>
          <w:rFonts w:ascii="David" w:hAnsi="David" w:hint="cs"/>
          <w:noProof w:val="0"/>
          <w:rtl/>
        </w:rPr>
        <w:t xml:space="preserve"> ובמסגרתה ניתנו הנימוקים המפורטים להחלטה מיום 2.3.22</w:t>
      </w:r>
      <w:r w:rsidR="00B96846">
        <w:rPr>
          <w:rFonts w:ascii="David" w:hAnsi="David" w:hint="cs"/>
          <w:noProof w:val="0"/>
          <w:rtl/>
        </w:rPr>
        <w:t xml:space="preserve">. למעלה מן הצורך אציין כי אף שהיה ראוי </w:t>
      </w:r>
      <w:r w:rsidR="004B3402">
        <w:rPr>
          <w:rFonts w:ascii="David" w:hAnsi="David" w:hint="cs"/>
          <w:noProof w:val="0"/>
          <w:rtl/>
        </w:rPr>
        <w:t xml:space="preserve">שהמבקשת תציין בבקשתה </w:t>
      </w:r>
      <w:r w:rsidR="00B072C3">
        <w:rPr>
          <w:rFonts w:ascii="David" w:hAnsi="David" w:hint="cs"/>
          <w:noProof w:val="0"/>
          <w:rtl/>
        </w:rPr>
        <w:t>ש</w:t>
      </w:r>
      <w:r w:rsidR="00B96846">
        <w:rPr>
          <w:rFonts w:ascii="David" w:hAnsi="David" w:hint="cs"/>
          <w:noProof w:val="0"/>
          <w:rtl/>
        </w:rPr>
        <w:t xml:space="preserve">בקשת רשות הערעור מתייחסת גם להחלטה מיום 2.3.22, למעשה אם נספור את </w:t>
      </w:r>
      <w:r w:rsidR="004B3402">
        <w:rPr>
          <w:rFonts w:ascii="David" w:hAnsi="David" w:hint="cs"/>
          <w:noProof w:val="0"/>
          <w:rtl/>
        </w:rPr>
        <w:t xml:space="preserve">שלושים </w:t>
      </w:r>
      <w:r w:rsidR="00B96846">
        <w:rPr>
          <w:rFonts w:ascii="David" w:hAnsi="David" w:hint="cs"/>
          <w:noProof w:val="0"/>
          <w:rtl/>
        </w:rPr>
        <w:t xml:space="preserve">הימים </w:t>
      </w:r>
      <w:r w:rsidR="004B3402">
        <w:rPr>
          <w:rFonts w:ascii="David" w:hAnsi="David" w:hint="cs"/>
          <w:noProof w:val="0"/>
          <w:rtl/>
        </w:rPr>
        <w:t>מיום 3.3.22 שאז נצפתה ההחלטה ע"י ב"כ המבקשים בהתאם לרישום בנט</w:t>
      </w:r>
      <w:r w:rsidR="00A41112">
        <w:rPr>
          <w:rFonts w:ascii="David" w:hAnsi="David" w:hint="cs"/>
          <w:noProof w:val="0"/>
          <w:rtl/>
        </w:rPr>
        <w:t xml:space="preserve">, המבקשת הגישה את הרמ"ש במועד </w:t>
      </w:r>
      <w:r w:rsidR="00A41112">
        <w:rPr>
          <w:rFonts w:ascii="David" w:hAnsi="David"/>
          <w:noProof w:val="0"/>
          <w:rtl/>
        </w:rPr>
        <w:t>–</w:t>
      </w:r>
      <w:r w:rsidR="004B3402">
        <w:rPr>
          <w:rFonts w:ascii="David" w:hAnsi="David" w:hint="cs"/>
          <w:noProof w:val="0"/>
          <w:rtl/>
        </w:rPr>
        <w:t xml:space="preserve"> ביום האחרון </w:t>
      </w:r>
      <w:r w:rsidR="004B3402">
        <w:rPr>
          <w:rFonts w:ascii="David" w:hAnsi="David"/>
          <w:noProof w:val="0"/>
          <w:rtl/>
        </w:rPr>
        <w:t>–</w:t>
      </w:r>
      <w:r w:rsidR="004B3402">
        <w:rPr>
          <w:rFonts w:ascii="David" w:hAnsi="David" w:hint="cs"/>
          <w:noProof w:val="0"/>
          <w:rtl/>
        </w:rPr>
        <w:t xml:space="preserve"> ביום 4.4.22 ולא איחרה את המועד.</w:t>
      </w:r>
    </w:p>
    <w:p w:rsidR="00D3159A" w:rsidRDefault="004B3402" w:rsidP="005F3BE2">
      <w:pPr>
        <w:pStyle w:val="ad"/>
        <w:numPr>
          <w:ilvl w:val="0"/>
          <w:numId w:val="6"/>
        </w:numPr>
        <w:spacing w:after="240" w:line="360" w:lineRule="auto"/>
        <w:ind w:left="-57" w:hanging="708"/>
        <w:jc w:val="both"/>
        <w:rPr>
          <w:rFonts w:ascii="David" w:hAnsi="David"/>
          <w:noProof w:val="0"/>
        </w:rPr>
      </w:pPr>
      <w:r>
        <w:rPr>
          <w:rFonts w:ascii="David" w:hAnsi="David" w:hint="cs"/>
          <w:noProof w:val="0"/>
          <w:rtl/>
        </w:rPr>
        <w:t>בנוסף, יש לדחות את טענת המשיבים</w:t>
      </w:r>
      <w:r w:rsidR="00E607F1">
        <w:rPr>
          <w:rFonts w:ascii="David" w:hAnsi="David" w:hint="cs"/>
          <w:noProof w:val="0"/>
          <w:rtl/>
        </w:rPr>
        <w:t xml:space="preserve"> </w:t>
      </w:r>
      <w:r w:rsidR="005F3BE2">
        <w:rPr>
          <w:rFonts w:ascii="David" w:hAnsi="David" w:hint="cs"/>
          <w:noProof w:val="0"/>
          <w:rtl/>
        </w:rPr>
        <w:t>ש</w:t>
      </w:r>
      <w:r w:rsidR="00E607F1">
        <w:rPr>
          <w:rFonts w:ascii="David" w:hAnsi="David" w:hint="cs"/>
          <w:noProof w:val="0"/>
          <w:rtl/>
        </w:rPr>
        <w:t>אין להתערב בממצא עובדתי של בית המשפט קמא לפיו הסכמת הצדדים שלא תוגש חוות דעת פרטית "היתה ללא סייג". לא מדובר בקביעה עובדתית שניתנה לאחר שמיעת עדים או ראיות. מדובר בהסקת מסקנה מהסכמת ב"כ הצדדים בדיון ולערכאה הדיונית אין יתרון על פני ערכאה זו בפרשנות ההסכמה. בהעדר ראיות חיצונית, יש לפרש את הסכמת הצדדים ואומד דעתם כך שהיא תהיה תואמת למצב המשפטי בשאלה זו ואין כל רמז לכך שה</w:t>
      </w:r>
      <w:r w:rsidR="00D3159A">
        <w:rPr>
          <w:rFonts w:ascii="David" w:hAnsi="David" w:hint="cs"/>
          <w:noProof w:val="0"/>
          <w:rtl/>
        </w:rPr>
        <w:t xml:space="preserve">הסכמה היתה ללא </w:t>
      </w:r>
      <w:r w:rsidR="005F3BE2">
        <w:rPr>
          <w:rFonts w:ascii="David" w:hAnsi="David" w:hint="cs"/>
          <w:noProof w:val="0"/>
          <w:rtl/>
        </w:rPr>
        <w:t xml:space="preserve">כל </w:t>
      </w:r>
      <w:r w:rsidR="00D3159A">
        <w:rPr>
          <w:rFonts w:ascii="David" w:hAnsi="David" w:hint="cs"/>
          <w:noProof w:val="0"/>
          <w:rtl/>
        </w:rPr>
        <w:t>סי</w:t>
      </w:r>
      <w:r w:rsidR="00A41112">
        <w:rPr>
          <w:rFonts w:ascii="David" w:hAnsi="David" w:hint="cs"/>
          <w:noProof w:val="0"/>
          <w:rtl/>
        </w:rPr>
        <w:t>יג וכללה גם את שלב שאלות ההבהרה</w:t>
      </w:r>
      <w:r w:rsidR="00D3159A">
        <w:rPr>
          <w:rFonts w:ascii="David" w:hAnsi="David" w:hint="cs"/>
          <w:noProof w:val="0"/>
          <w:rtl/>
        </w:rPr>
        <w:t xml:space="preserve"> וחקירת המומחה.</w:t>
      </w:r>
      <w:r w:rsidR="005142A9">
        <w:rPr>
          <w:rFonts w:ascii="David" w:hAnsi="David" w:hint="cs"/>
          <w:noProof w:val="0"/>
          <w:rtl/>
        </w:rPr>
        <w:t xml:space="preserve"> כמו כן, ביהמ"ש קמא לא נתן כל החלטה עניינית מטעמו בשאלת הצגת חוות דעת פרטית והוא רק נתן תוקף של החלטה להסכמת הצדדים שהוכתבה לפרוטוקול.</w:t>
      </w:r>
    </w:p>
    <w:p w:rsidR="00D3159A" w:rsidRPr="00D3159A" w:rsidRDefault="00D3159A" w:rsidP="00D3159A">
      <w:pPr>
        <w:pStyle w:val="ad"/>
        <w:rPr>
          <w:rFonts w:ascii="David" w:hAnsi="David"/>
          <w:noProof w:val="0"/>
          <w:rtl/>
        </w:rPr>
      </w:pPr>
    </w:p>
    <w:p w:rsidR="005142A9" w:rsidRDefault="00D3159A" w:rsidP="005F3BE2">
      <w:pPr>
        <w:pStyle w:val="ad"/>
        <w:numPr>
          <w:ilvl w:val="0"/>
          <w:numId w:val="6"/>
        </w:numPr>
        <w:spacing w:after="240" w:line="360" w:lineRule="auto"/>
        <w:ind w:left="-57" w:hanging="708"/>
        <w:jc w:val="both"/>
        <w:rPr>
          <w:rFonts w:ascii="David" w:hAnsi="David"/>
          <w:noProof w:val="0"/>
        </w:rPr>
      </w:pPr>
      <w:r>
        <w:rPr>
          <w:rFonts w:ascii="David" w:hAnsi="David" w:hint="cs"/>
          <w:noProof w:val="0"/>
          <w:rtl/>
        </w:rPr>
        <w:t>ביהמ"ש קמא בהחלטה מיום 2.3.22 קבע כי הנימוק העיקרי הוא הנימוק המשפטי בהתאם לבע"מ. בהחלטה</w:t>
      </w:r>
      <w:r w:rsidR="00CE0A2E">
        <w:rPr>
          <w:rFonts w:ascii="David" w:hAnsi="David" w:hint="cs"/>
          <w:noProof w:val="0"/>
          <w:rtl/>
        </w:rPr>
        <w:t>,</w:t>
      </w:r>
      <w:r>
        <w:rPr>
          <w:rFonts w:ascii="David" w:hAnsi="David" w:hint="cs"/>
          <w:noProof w:val="0"/>
          <w:rtl/>
        </w:rPr>
        <w:t xml:space="preserve"> ביהמ"ש קמא </w:t>
      </w:r>
      <w:r w:rsidR="005F3BE2">
        <w:rPr>
          <w:rFonts w:ascii="David" w:hAnsi="David" w:hint="cs"/>
          <w:noProof w:val="0"/>
          <w:rtl/>
        </w:rPr>
        <w:t xml:space="preserve">אף לא חזר </w:t>
      </w:r>
      <w:r>
        <w:rPr>
          <w:rFonts w:ascii="David" w:hAnsi="David" w:hint="cs"/>
          <w:noProof w:val="0"/>
          <w:rtl/>
        </w:rPr>
        <w:t xml:space="preserve">על הנימוק לפיו הסכמת הצדדים היתה ללא סייג והוא התמקד רק בנימוק המשפטי. </w:t>
      </w:r>
    </w:p>
    <w:p w:rsidR="00303028" w:rsidRPr="00303028" w:rsidRDefault="00303028" w:rsidP="00303028">
      <w:pPr>
        <w:pStyle w:val="ad"/>
        <w:rPr>
          <w:rFonts w:ascii="David" w:hAnsi="David"/>
          <w:noProof w:val="0"/>
          <w:rtl/>
        </w:rPr>
      </w:pPr>
    </w:p>
    <w:p w:rsidR="006E04CA" w:rsidRPr="000D5819" w:rsidRDefault="00231C14" w:rsidP="000D5819">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 xml:space="preserve">במסגרת תמ"ש 49931-08 </w:t>
      </w:r>
      <w:r w:rsidRPr="000D5819">
        <w:rPr>
          <w:rFonts w:ascii="David" w:hAnsi="David"/>
          <w:b/>
          <w:bCs/>
          <w:noProof w:val="0"/>
          <w:rtl/>
        </w:rPr>
        <w:t>פלוני נ' פלונית</w:t>
      </w:r>
      <w:r w:rsidRPr="000D5819">
        <w:rPr>
          <w:rFonts w:ascii="David" w:hAnsi="David"/>
          <w:noProof w:val="0"/>
          <w:rtl/>
        </w:rPr>
        <w:t xml:space="preserve"> (2.5.</w:t>
      </w:r>
      <w:r w:rsidR="00300274">
        <w:rPr>
          <w:rFonts w:ascii="David" w:hAnsi="David" w:hint="cs"/>
          <w:noProof w:val="0"/>
          <w:rtl/>
        </w:rPr>
        <w:t>20</w:t>
      </w:r>
      <w:r w:rsidRPr="000D5819">
        <w:rPr>
          <w:rFonts w:ascii="David" w:hAnsi="David"/>
          <w:noProof w:val="0"/>
          <w:rtl/>
        </w:rPr>
        <w:t>10) דנתי בנושא הגשת חוות דעת פרטית ל</w:t>
      </w:r>
      <w:r w:rsidR="00C9671E" w:rsidRPr="000D5819">
        <w:rPr>
          <w:rFonts w:ascii="David" w:hAnsi="David"/>
          <w:noProof w:val="0"/>
          <w:rtl/>
        </w:rPr>
        <w:t xml:space="preserve">עיונו של </w:t>
      </w:r>
      <w:r w:rsidRPr="000D5819">
        <w:rPr>
          <w:rFonts w:ascii="David" w:hAnsi="David"/>
          <w:noProof w:val="0"/>
          <w:rtl/>
        </w:rPr>
        <w:t xml:space="preserve">מומחה שמונה ע"י בית המשפט </w:t>
      </w:r>
      <w:r w:rsidR="006D0FEE" w:rsidRPr="000D5819">
        <w:rPr>
          <w:rFonts w:ascii="David" w:hAnsi="David"/>
          <w:noProof w:val="0"/>
          <w:rtl/>
        </w:rPr>
        <w:t xml:space="preserve">לענייני משפחה </w:t>
      </w:r>
      <w:r w:rsidRPr="000D5819">
        <w:rPr>
          <w:rFonts w:ascii="David" w:hAnsi="David"/>
          <w:noProof w:val="0"/>
          <w:rtl/>
        </w:rPr>
        <w:t xml:space="preserve">תוך השוואה לתקנות הפלת"ד וציינתי כי:  </w:t>
      </w:r>
      <w:r w:rsidR="006E04CA" w:rsidRPr="000D5819">
        <w:rPr>
          <w:rFonts w:ascii="David" w:hAnsi="David"/>
          <w:noProof w:val="0"/>
          <w:rtl/>
        </w:rPr>
        <w:t xml:space="preserve">   </w:t>
      </w:r>
    </w:p>
    <w:p w:rsidR="00231C14" w:rsidRPr="000D5819" w:rsidRDefault="00231C14" w:rsidP="00190AB4">
      <w:pPr>
        <w:spacing w:line="360" w:lineRule="auto"/>
        <w:ind w:left="-57"/>
        <w:jc w:val="both"/>
        <w:rPr>
          <w:rFonts w:ascii="David" w:hAnsi="David"/>
          <w:b/>
          <w:bCs/>
          <w:noProof w:val="0"/>
          <w:rtl/>
        </w:rPr>
      </w:pPr>
      <w:r w:rsidRPr="000D5819">
        <w:rPr>
          <w:rFonts w:ascii="David" w:hAnsi="David"/>
          <w:noProof w:val="0"/>
          <w:rtl/>
        </w:rPr>
        <w:t>"</w:t>
      </w:r>
      <w:r w:rsidRPr="000D5819">
        <w:rPr>
          <w:rFonts w:ascii="David" w:hAnsi="David"/>
          <w:b/>
          <w:bCs/>
          <w:noProof w:val="0"/>
          <w:rtl/>
        </w:rPr>
        <w:t>אני סבור כי על אף שבתקנות העוסקות בתובענות בענייני משפחה לא קיימת הוראה ספציפית האוסרת על העברת חוות דעת פרטית למומחה כפי שנקבע בתקנות המומחים, יש להחיל בד"כ הוראה זו בדבר איסור הצגת חוות דעת רפואית פרטית למומחה מטעם בית המשפט, גם ביחס למומחים המתמנים ע"י בית המשפט לענייני משפחה.</w:t>
      </w:r>
    </w:p>
    <w:p w:rsidR="00231C14" w:rsidRPr="000D5819" w:rsidRDefault="00231C14" w:rsidP="00190AB4">
      <w:pPr>
        <w:spacing w:line="360" w:lineRule="auto"/>
        <w:ind w:left="-57"/>
        <w:jc w:val="both"/>
        <w:rPr>
          <w:rFonts w:ascii="David" w:hAnsi="David"/>
          <w:b/>
          <w:bCs/>
          <w:noProof w:val="0"/>
          <w:rtl/>
        </w:rPr>
      </w:pPr>
      <w:r w:rsidRPr="000D5819">
        <w:rPr>
          <w:rFonts w:ascii="David" w:hAnsi="David"/>
          <w:b/>
          <w:bCs/>
          <w:noProof w:val="0"/>
          <w:rtl/>
        </w:rPr>
        <w:t>הנימוקים המפורטים לעיל, בדבר הצורך בשמירה על אובייקטיביות מרבית של המומחה והעדר פגיעה במראית פני הצדק, מחייבים את המסקנה כי יש לאסור הצגת חוות דעת פרטיות מטעם הצדדים, למומחה שמונה ע"י בית המשפט.</w:t>
      </w:r>
    </w:p>
    <w:p w:rsidR="00231C14" w:rsidRPr="000D5819" w:rsidRDefault="00231C14" w:rsidP="00190AB4">
      <w:pPr>
        <w:spacing w:line="360" w:lineRule="auto"/>
        <w:ind w:left="-57"/>
        <w:jc w:val="both"/>
        <w:rPr>
          <w:rFonts w:ascii="David" w:hAnsi="David"/>
          <w:b/>
          <w:bCs/>
          <w:noProof w:val="0"/>
          <w:rtl/>
        </w:rPr>
      </w:pPr>
      <w:r w:rsidRPr="000D5819">
        <w:rPr>
          <w:rFonts w:ascii="David" w:hAnsi="David"/>
          <w:b/>
          <w:bCs/>
          <w:noProof w:val="0"/>
          <w:rtl/>
        </w:rPr>
        <w:t xml:space="preserve">זאת ועוד: אחת המטרות במינוי מומחה מטעם בית המשפט היא צמצום העלויות של בעלי הדין, באופן שלא יצטרך כל צד לשכור מומחה מטעמו. במצב בו יתאפשר לצדדים להציג בפני המומחה מטעם בית המשפט חוות דעת פרטית מטעמו, תסוכל גם מטרה זו. כל צד ירוץ ויצטייד בחוות דעת של מומחה מטעמו  וכך, יוכנסו "בדלת האחורית" חוות דעת "מטעם", דבר שאותו בדיוק ביקש המחוקק למנוע בהסדר המיוחד שקבע.  </w:t>
      </w:r>
    </w:p>
    <w:p w:rsidR="00231C14" w:rsidRPr="000D5819" w:rsidRDefault="00231C14" w:rsidP="00190AB4">
      <w:pPr>
        <w:spacing w:line="360" w:lineRule="auto"/>
        <w:ind w:left="-57"/>
        <w:jc w:val="both"/>
        <w:rPr>
          <w:rFonts w:ascii="David" w:hAnsi="David"/>
          <w:noProof w:val="0"/>
          <w:rtl/>
        </w:rPr>
      </w:pPr>
      <w:r w:rsidRPr="000D5819">
        <w:rPr>
          <w:rFonts w:ascii="David" w:hAnsi="David"/>
          <w:b/>
          <w:bCs/>
          <w:noProof w:val="0"/>
          <w:rtl/>
        </w:rPr>
        <w:t>שמירת האובייקטיביות של מומחים רפואיים המתמנים על ידי בית המשפט לענייני משפחה והצורך כי בעלי הדין יתנו בהם אמון רב ככל הניתן, חשובה מאוד דווקא בבית המשפט לענייני משפחה. בית משפט זה ממנה מומחים בתחומים רגישים ביותר כגון בסוגיות של מסוגלות הורית, הגירה ואימוץ ולחוות דעת אלו, השפעה רבה ביותר על זכויות קטינים וטובתם. אין המדובר רק בחוות דעת שמטרתם לקבוע גובה של פיצוי כספי כמו בחוק הפיצויים, אלא לעיתים חוות הדעת עוסקות בדיני נפשות ממש. יש צורך כי המומחים המתמנים על ידי בית המשפט לענייני משפחה, יישמרו ככל ניתן על אובייקטיביות ברמה הגבוהה ביותר ואחת הדרכים לכך, היא באמצעות איסור הצגת חוות דעת פרטיות ומוזמנות בפניהם. על אף ההערכה הרבה למקצועיותם של מומחים,  יש לעשות הכ</w:t>
      </w:r>
      <w:r w:rsidR="006D0FEE" w:rsidRPr="000D5819">
        <w:rPr>
          <w:rFonts w:ascii="David" w:hAnsi="David"/>
          <w:b/>
          <w:bCs/>
          <w:noProof w:val="0"/>
          <w:rtl/>
        </w:rPr>
        <w:t>ו</w:t>
      </w:r>
      <w:r w:rsidRPr="000D5819">
        <w:rPr>
          <w:rFonts w:ascii="David" w:hAnsi="David"/>
          <w:b/>
          <w:bCs/>
          <w:noProof w:val="0"/>
          <w:rtl/>
        </w:rPr>
        <w:t>ל על מנת להבטיח תשתית דיונית שתבטיח אובייקטיביות גבוהה ואמון רב ככל הניתן של הצדדים במומחה".</w:t>
      </w:r>
    </w:p>
    <w:p w:rsidR="006D0FEE" w:rsidRPr="00300274" w:rsidRDefault="006D0FEE" w:rsidP="000D5819">
      <w:pPr>
        <w:spacing w:line="360" w:lineRule="auto"/>
        <w:ind w:left="-57" w:hanging="708"/>
        <w:jc w:val="both"/>
        <w:rPr>
          <w:rFonts w:ascii="David" w:hAnsi="David"/>
          <w:noProof w:val="0"/>
          <w:sz w:val="16"/>
          <w:szCs w:val="16"/>
          <w:rtl/>
        </w:rPr>
      </w:pPr>
    </w:p>
    <w:p w:rsidR="00E46C33" w:rsidRDefault="00231C14" w:rsidP="00300274">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 xml:space="preserve">ברם, יש להבחין הבחן היטב בין </w:t>
      </w:r>
      <w:r w:rsidR="00D97CE1" w:rsidRPr="000D5819">
        <w:rPr>
          <w:rFonts w:ascii="David" w:hAnsi="David"/>
          <w:noProof w:val="0"/>
          <w:rtl/>
        </w:rPr>
        <w:t>הגשת חוות דעת פרטית שנערכה אף היא "פוסט מורטום" ולא בזמן אמת שאותה נאסר להגיש למומחה בכל שלב</w:t>
      </w:r>
      <w:r w:rsidR="00852223" w:rsidRPr="000D5819">
        <w:rPr>
          <w:rFonts w:ascii="David" w:hAnsi="David"/>
          <w:noProof w:val="0"/>
          <w:rtl/>
        </w:rPr>
        <w:t xml:space="preserve">, לרבות במסגרת משלוח שאלות הבהרה או בחקירה הנגדית, </w:t>
      </w:r>
      <w:r w:rsidR="00D97CE1" w:rsidRPr="000D5819">
        <w:rPr>
          <w:rFonts w:ascii="David" w:hAnsi="David"/>
          <w:noProof w:val="0"/>
          <w:rtl/>
        </w:rPr>
        <w:t xml:space="preserve">לבין הגשת חוות דעת פרטית </w:t>
      </w:r>
      <w:r w:rsidR="002636F4" w:rsidRPr="000D5819">
        <w:rPr>
          <w:rFonts w:ascii="David" w:hAnsi="David"/>
          <w:noProof w:val="0"/>
          <w:rtl/>
        </w:rPr>
        <w:t>שנערכה בסמוך לאירוע הנבדק. ביחס לחוות דעת שנערכה "בזמן אמת", יש לבצע אי</w:t>
      </w:r>
      <w:r w:rsidR="00C9671E" w:rsidRPr="000D5819">
        <w:rPr>
          <w:rFonts w:ascii="David" w:hAnsi="David"/>
          <w:noProof w:val="0"/>
          <w:rtl/>
        </w:rPr>
        <w:t>זון</w:t>
      </w:r>
      <w:r w:rsidR="002636F4" w:rsidRPr="000D5819">
        <w:rPr>
          <w:rFonts w:ascii="David" w:hAnsi="David"/>
          <w:noProof w:val="0"/>
          <w:rtl/>
        </w:rPr>
        <w:t xml:space="preserve"> בין שני אינטרסים נוגדים: מצד אחד יש לשמור על רמת אובייקטיביות מרבית של המומחה ומניעת השפעה</w:t>
      </w:r>
      <w:r w:rsidR="00081C2D" w:rsidRPr="000D5819">
        <w:rPr>
          <w:rFonts w:ascii="David" w:hAnsi="David"/>
          <w:noProof w:val="0"/>
          <w:rtl/>
        </w:rPr>
        <w:t xml:space="preserve"> עליו ממומחים מטעם הצדדים ומהצד השני</w:t>
      </w:r>
      <w:r w:rsidR="00C9671E" w:rsidRPr="000D5819">
        <w:rPr>
          <w:rFonts w:ascii="David" w:hAnsi="David"/>
          <w:noProof w:val="0"/>
          <w:rtl/>
        </w:rPr>
        <w:t>,</w:t>
      </w:r>
      <w:r w:rsidR="00081C2D" w:rsidRPr="000D5819">
        <w:rPr>
          <w:rFonts w:ascii="David" w:hAnsi="David"/>
          <w:noProof w:val="0"/>
          <w:rtl/>
        </w:rPr>
        <w:t xml:space="preserve"> יש לאפשר להביא בפני המומחה כל מידע רלוונטי בדבר מצב הנבדק בזמן אמת. </w:t>
      </w:r>
      <w:r w:rsidR="00D97CE1" w:rsidRPr="000D5819">
        <w:rPr>
          <w:rFonts w:ascii="David" w:hAnsi="David"/>
          <w:noProof w:val="0"/>
          <w:rtl/>
        </w:rPr>
        <w:t xml:space="preserve"> </w:t>
      </w:r>
      <w:r w:rsidR="00EE7642" w:rsidRPr="000D5819">
        <w:rPr>
          <w:rFonts w:ascii="David" w:hAnsi="David"/>
          <w:noProof w:val="0"/>
          <w:rtl/>
        </w:rPr>
        <w:t xml:space="preserve">  </w:t>
      </w:r>
    </w:p>
    <w:p w:rsidR="00300274" w:rsidRPr="00300274" w:rsidRDefault="00300274" w:rsidP="00300274">
      <w:pPr>
        <w:pStyle w:val="ad"/>
        <w:spacing w:after="240" w:line="360" w:lineRule="auto"/>
        <w:ind w:left="-57"/>
        <w:jc w:val="both"/>
        <w:rPr>
          <w:rFonts w:ascii="David" w:hAnsi="David"/>
          <w:noProof w:val="0"/>
          <w:sz w:val="16"/>
          <w:szCs w:val="16"/>
        </w:rPr>
      </w:pPr>
    </w:p>
    <w:p w:rsidR="00081C2D" w:rsidRDefault="00081C2D" w:rsidP="00B072C3">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 xml:space="preserve">האיזון הראוי בין שני האינטרסים הנוגדים </w:t>
      </w:r>
      <w:r w:rsidR="00B072C3">
        <w:rPr>
          <w:rFonts w:ascii="David" w:hAnsi="David" w:hint="cs"/>
          <w:noProof w:val="0"/>
          <w:rtl/>
        </w:rPr>
        <w:t>הוא</w:t>
      </w:r>
      <w:r w:rsidRPr="000D5819">
        <w:rPr>
          <w:rFonts w:ascii="David" w:hAnsi="David"/>
          <w:noProof w:val="0"/>
          <w:rtl/>
        </w:rPr>
        <w:t xml:space="preserve"> באמצעות קביעת "קו גבול" שיפריד בין השלב שעד הגשת חוות דעת המומחה לבין השלב שלאחר הגשת חוות הדעת. בכל הנוגע לשלב שעד הגשת חוות הדעת</w:t>
      </w:r>
      <w:r w:rsidR="00CE0A2E">
        <w:rPr>
          <w:rFonts w:ascii="David" w:hAnsi="David" w:hint="cs"/>
          <w:noProof w:val="0"/>
          <w:rtl/>
        </w:rPr>
        <w:t>,</w:t>
      </w:r>
      <w:r w:rsidRPr="000D5819">
        <w:rPr>
          <w:rFonts w:ascii="David" w:hAnsi="David"/>
          <w:noProof w:val="0"/>
          <w:rtl/>
        </w:rPr>
        <w:t xml:space="preserve"> יש ל</w:t>
      </w:r>
      <w:r w:rsidR="00C9671E" w:rsidRPr="000D5819">
        <w:rPr>
          <w:rFonts w:ascii="David" w:hAnsi="David"/>
          <w:noProof w:val="0"/>
          <w:rtl/>
        </w:rPr>
        <w:t xml:space="preserve">דאוג </w:t>
      </w:r>
      <w:r w:rsidR="00B072C3">
        <w:rPr>
          <w:rFonts w:ascii="David" w:hAnsi="David" w:hint="cs"/>
          <w:noProof w:val="0"/>
          <w:rtl/>
        </w:rPr>
        <w:t>ש</w:t>
      </w:r>
      <w:r w:rsidR="00C9671E" w:rsidRPr="000D5819">
        <w:rPr>
          <w:rFonts w:ascii="David" w:hAnsi="David"/>
          <w:noProof w:val="0"/>
          <w:rtl/>
        </w:rPr>
        <w:t>המומחה יהיה ב</w:t>
      </w:r>
      <w:r w:rsidRPr="000D5819">
        <w:rPr>
          <w:rFonts w:ascii="David" w:hAnsi="David"/>
          <w:noProof w:val="0"/>
          <w:rtl/>
        </w:rPr>
        <w:t xml:space="preserve">"סטריליות" מרבית ולכן עליו להיחשף לחומר רפואי גולמי בלבד ויש לאסור להגיש לו חוות דעת פרטיות שנערכו בהזמנת </w:t>
      </w:r>
      <w:r w:rsidR="00C9671E" w:rsidRPr="000D5819">
        <w:rPr>
          <w:rFonts w:ascii="David" w:hAnsi="David"/>
          <w:noProof w:val="0"/>
          <w:rtl/>
        </w:rPr>
        <w:t>מי מ</w:t>
      </w:r>
      <w:r w:rsidRPr="000D5819">
        <w:rPr>
          <w:rFonts w:ascii="David" w:hAnsi="David"/>
          <w:noProof w:val="0"/>
          <w:rtl/>
        </w:rPr>
        <w:t>הצדדים. זאת, על מנת שהמומחה לא יושפע מעמדות מומחים אחרים והוא יבצע ניתוח של כל חומר</w:t>
      </w:r>
      <w:r w:rsidR="00CE0A2E">
        <w:rPr>
          <w:rFonts w:ascii="David" w:hAnsi="David" w:hint="cs"/>
          <w:noProof w:val="0"/>
          <w:rtl/>
        </w:rPr>
        <w:t>י</w:t>
      </w:r>
      <w:r w:rsidRPr="000D5819">
        <w:rPr>
          <w:rFonts w:ascii="David" w:hAnsi="David"/>
          <w:noProof w:val="0"/>
          <w:rtl/>
        </w:rPr>
        <w:t xml:space="preserve"> הגלם הרפואיים באופן אובייקטיבי </w:t>
      </w:r>
      <w:r w:rsidR="00C9671E" w:rsidRPr="000D5819">
        <w:rPr>
          <w:rFonts w:ascii="David" w:hAnsi="David"/>
          <w:noProof w:val="0"/>
          <w:rtl/>
        </w:rPr>
        <w:t xml:space="preserve">ככל הניתן </w:t>
      </w:r>
      <w:r w:rsidRPr="000D5819">
        <w:rPr>
          <w:rFonts w:ascii="David" w:hAnsi="David"/>
          <w:noProof w:val="0"/>
          <w:rtl/>
        </w:rPr>
        <w:t>וללא הטיות</w:t>
      </w:r>
      <w:r w:rsidR="00C9671E" w:rsidRPr="000D5819">
        <w:rPr>
          <w:rFonts w:ascii="David" w:hAnsi="David"/>
          <w:noProof w:val="0"/>
          <w:rtl/>
        </w:rPr>
        <w:t xml:space="preserve"> והשפעות מעמדתם של מומחים אחרים</w:t>
      </w:r>
      <w:r w:rsidRPr="000D5819">
        <w:rPr>
          <w:rFonts w:ascii="David" w:hAnsi="David"/>
          <w:noProof w:val="0"/>
          <w:rtl/>
        </w:rPr>
        <w:t>.</w:t>
      </w:r>
    </w:p>
    <w:p w:rsidR="00300274" w:rsidRPr="00B20F35" w:rsidRDefault="00300274" w:rsidP="00300274">
      <w:pPr>
        <w:pStyle w:val="ad"/>
        <w:rPr>
          <w:rFonts w:ascii="David" w:hAnsi="David"/>
          <w:noProof w:val="0"/>
          <w:sz w:val="18"/>
          <w:szCs w:val="18"/>
          <w:rtl/>
        </w:rPr>
      </w:pPr>
    </w:p>
    <w:p w:rsidR="008C720D" w:rsidRDefault="00081C2D" w:rsidP="00300274">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ברם, לאחר שה</w:t>
      </w:r>
      <w:r w:rsidR="008C720D" w:rsidRPr="000D5819">
        <w:rPr>
          <w:rFonts w:ascii="David" w:hAnsi="David"/>
          <w:noProof w:val="0"/>
          <w:rtl/>
        </w:rPr>
        <w:t>מ</w:t>
      </w:r>
      <w:r w:rsidRPr="000D5819">
        <w:rPr>
          <w:rFonts w:ascii="David" w:hAnsi="David"/>
          <w:noProof w:val="0"/>
          <w:rtl/>
        </w:rPr>
        <w:t>ומחה גיבש את מסקנותיו והגיש את חוות הדעת, יש לאפשר לצדדים להגיש למומחה חוות דעת פרטיות שנערכו לנבדק "</w:t>
      </w:r>
      <w:r w:rsidR="008C720D" w:rsidRPr="000D5819">
        <w:rPr>
          <w:rFonts w:ascii="David" w:hAnsi="David"/>
          <w:noProof w:val="0"/>
          <w:rtl/>
        </w:rPr>
        <w:t>בזמן אמת". למרות שמדובר בחוות דעת מוזמנות שיש לבחון את מסקנותיהן בזהירות המתבקשת</w:t>
      </w:r>
      <w:r w:rsidR="00C9671E" w:rsidRPr="000D5819">
        <w:rPr>
          <w:rFonts w:ascii="David" w:hAnsi="David"/>
          <w:noProof w:val="0"/>
          <w:rtl/>
        </w:rPr>
        <w:t xml:space="preserve"> וב"ערבון מוגבל".</w:t>
      </w:r>
      <w:r w:rsidR="008C720D" w:rsidRPr="000D5819">
        <w:rPr>
          <w:rFonts w:ascii="David" w:hAnsi="David"/>
          <w:noProof w:val="0"/>
          <w:rtl/>
        </w:rPr>
        <w:t xml:space="preserve"> יש לחוות דעת אלו חשיבות רבה מאחר שהן משקפות בדיקה שנערכה סמוך לאירוע הנבדק ועל מנת להגיע לחקר האמת ולאפשר לצדדים למצות את זכותם להביא את כל ראיותיהם, יש לאפשר להגיש אותם למומחה במסגרת שאלות ההבהרה ואף לעמת את המומחה עם מסקנותיהן במסגרת חקירתו הנגדית.</w:t>
      </w:r>
    </w:p>
    <w:p w:rsidR="00300274" w:rsidRPr="00300274" w:rsidRDefault="00300274" w:rsidP="00300274">
      <w:pPr>
        <w:pStyle w:val="ad"/>
        <w:rPr>
          <w:rFonts w:ascii="David" w:hAnsi="David"/>
          <w:noProof w:val="0"/>
          <w:rtl/>
        </w:rPr>
      </w:pPr>
    </w:p>
    <w:p w:rsidR="005D48AF" w:rsidRPr="000D5819" w:rsidRDefault="008C720D" w:rsidP="00CE0A2E">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 xml:space="preserve">לכן, יש להבחין בין מינוי מומחה במסגרת חוק הפלת"ד לבין מינוי מומחה לבדיקת כשרות בבית </w:t>
      </w:r>
      <w:r w:rsidR="00BF70FE" w:rsidRPr="000D5819">
        <w:rPr>
          <w:rFonts w:ascii="David" w:hAnsi="David"/>
          <w:noProof w:val="0"/>
          <w:rtl/>
        </w:rPr>
        <w:t>המשפט לענייני משפחה</w:t>
      </w:r>
      <w:r w:rsidR="00C9671E" w:rsidRPr="000D5819">
        <w:rPr>
          <w:rFonts w:ascii="David" w:hAnsi="David"/>
          <w:noProof w:val="0"/>
          <w:rtl/>
        </w:rPr>
        <w:t xml:space="preserve"> בנוגע לאירוע שבוצע בעבר</w:t>
      </w:r>
      <w:r w:rsidR="00BF70FE" w:rsidRPr="000D5819">
        <w:rPr>
          <w:rFonts w:ascii="David" w:hAnsi="David"/>
          <w:noProof w:val="0"/>
          <w:rtl/>
        </w:rPr>
        <w:t>. כשמומחה ממונה לבחינת שיעור הנכות והנזק שאירע לנפגע בתאונת דרכים, נאסר על הגשת חוות דעת פרטית בכל שלב, גם לאחר הגשת חוות הדעת</w:t>
      </w:r>
      <w:r w:rsidR="00C9671E" w:rsidRPr="000D5819">
        <w:rPr>
          <w:rFonts w:ascii="David" w:hAnsi="David"/>
          <w:noProof w:val="0"/>
          <w:rtl/>
        </w:rPr>
        <w:t>,</w:t>
      </w:r>
      <w:r w:rsidR="00BF70FE" w:rsidRPr="000D5819">
        <w:rPr>
          <w:rFonts w:ascii="David" w:hAnsi="David"/>
          <w:noProof w:val="0"/>
          <w:rtl/>
        </w:rPr>
        <w:t xml:space="preserve"> היות שגם חוות הדעת הפרטית היא "פוסט מורטום" והגשתה בשלב שאלות ההבהרה או החקירה הנגדית תכניס "בדלת האחורית" חוות דעת פרטית שאסור להציגה. ואולם, הגשת חוות דעת פרטית אודות כשירות שנערכה בזמן אמת היא חוות דעת מסוג אחר. למרות שהיא הוזמנה ע"י אחד הצדדים, היא מלמדת על מצבו של הנבדק </w:t>
      </w:r>
      <w:r w:rsidR="00BF70FE" w:rsidRPr="000D5819">
        <w:rPr>
          <w:rFonts w:ascii="David" w:hAnsi="David"/>
          <w:noProof w:val="0"/>
          <w:u w:val="single"/>
          <w:rtl/>
        </w:rPr>
        <w:t>בזמן אמת</w:t>
      </w:r>
      <w:r w:rsidR="00BF70FE" w:rsidRPr="000D5819">
        <w:rPr>
          <w:rFonts w:ascii="David" w:hAnsi="David"/>
          <w:noProof w:val="0"/>
          <w:rtl/>
        </w:rPr>
        <w:t xml:space="preserve"> ובדיקה זו שונה מחוות דעת המומחה שמונה ש</w:t>
      </w:r>
      <w:r w:rsidR="00C9671E" w:rsidRPr="000D5819">
        <w:rPr>
          <w:rFonts w:ascii="David" w:hAnsi="David"/>
          <w:noProof w:val="0"/>
          <w:rtl/>
        </w:rPr>
        <w:t xml:space="preserve">יכול לבדוק </w:t>
      </w:r>
      <w:r w:rsidR="00CE0A2E">
        <w:rPr>
          <w:rFonts w:ascii="David" w:hAnsi="David" w:hint="cs"/>
          <w:noProof w:val="0"/>
          <w:rtl/>
        </w:rPr>
        <w:t xml:space="preserve">רק </w:t>
      </w:r>
      <w:r w:rsidR="00BF70FE" w:rsidRPr="000D5819">
        <w:rPr>
          <w:rFonts w:ascii="David" w:hAnsi="David"/>
          <w:noProof w:val="0"/>
          <w:rtl/>
        </w:rPr>
        <w:t>את המסמכים הגולמיים</w:t>
      </w:r>
      <w:r w:rsidR="00414EF0" w:rsidRPr="000D5819">
        <w:rPr>
          <w:rFonts w:ascii="David" w:hAnsi="David"/>
          <w:noProof w:val="0"/>
          <w:rtl/>
        </w:rPr>
        <w:t xml:space="preserve"> </w:t>
      </w:r>
      <w:r w:rsidR="00BF70FE" w:rsidRPr="000D5819">
        <w:rPr>
          <w:rFonts w:ascii="David" w:hAnsi="David"/>
          <w:noProof w:val="0"/>
          <w:u w:val="single"/>
          <w:rtl/>
        </w:rPr>
        <w:t>לאחר מעשה</w:t>
      </w:r>
      <w:r w:rsidR="00CE0A2E" w:rsidRPr="005D1B73">
        <w:rPr>
          <w:rFonts w:ascii="David" w:hAnsi="David" w:hint="cs"/>
          <w:noProof w:val="0"/>
          <w:rtl/>
        </w:rPr>
        <w:t xml:space="preserve"> </w:t>
      </w:r>
      <w:r w:rsidR="00CE0A2E" w:rsidRPr="00874EA3">
        <w:rPr>
          <w:rFonts w:ascii="David" w:hAnsi="David" w:hint="cs"/>
          <w:noProof w:val="0"/>
          <w:rtl/>
        </w:rPr>
        <w:t>ולא את הנבדק אישית</w:t>
      </w:r>
      <w:r w:rsidR="00BF70FE" w:rsidRPr="00874EA3">
        <w:rPr>
          <w:rFonts w:ascii="David" w:hAnsi="David"/>
          <w:noProof w:val="0"/>
          <w:rtl/>
        </w:rPr>
        <w:t>. מאחר שלחוות דעת שנערכה בזמן אמת יש חשיבות רבה, יש לאפשר למומחה לבחון אותה לאחר</w:t>
      </w:r>
      <w:r w:rsidR="00BF70FE" w:rsidRPr="000D5819">
        <w:rPr>
          <w:rFonts w:ascii="David" w:hAnsi="David"/>
          <w:noProof w:val="0"/>
          <w:rtl/>
        </w:rPr>
        <w:t xml:space="preserve"> שתוגש חוות הדעת וזאת, על מנת שת</w:t>
      </w:r>
      <w:r w:rsidR="00300274">
        <w:rPr>
          <w:rFonts w:ascii="David" w:hAnsi="David" w:hint="cs"/>
          <w:noProof w:val="0"/>
          <w:rtl/>
        </w:rPr>
        <w:t>י</w:t>
      </w:r>
      <w:r w:rsidR="00BF70FE" w:rsidRPr="000D5819">
        <w:rPr>
          <w:rFonts w:ascii="David" w:hAnsi="David"/>
          <w:noProof w:val="0"/>
          <w:rtl/>
        </w:rPr>
        <w:t>ב</w:t>
      </w:r>
      <w:r w:rsidR="00414EF0" w:rsidRPr="000D5819">
        <w:rPr>
          <w:rFonts w:ascii="David" w:hAnsi="David"/>
          <w:noProof w:val="0"/>
          <w:rtl/>
        </w:rPr>
        <w:t>דק</w:t>
      </w:r>
      <w:r w:rsidR="00BF70FE" w:rsidRPr="000D5819">
        <w:rPr>
          <w:rFonts w:ascii="David" w:hAnsi="David"/>
          <w:noProof w:val="0"/>
          <w:rtl/>
        </w:rPr>
        <w:t xml:space="preserve"> עוד פיסת מידע מזמ</w:t>
      </w:r>
      <w:r w:rsidR="005D48AF" w:rsidRPr="000D5819">
        <w:rPr>
          <w:rFonts w:ascii="David" w:hAnsi="David"/>
          <w:noProof w:val="0"/>
          <w:rtl/>
        </w:rPr>
        <w:t>ן אמת, שיש לה חשיבות לבחינת מצבו של הנבדק.</w:t>
      </w:r>
    </w:p>
    <w:p w:rsidR="00F06D77" w:rsidRPr="000D5819" w:rsidRDefault="00F06D77" w:rsidP="00B20F35">
      <w:pPr>
        <w:spacing w:after="240" w:line="360" w:lineRule="auto"/>
        <w:ind w:left="-57"/>
        <w:jc w:val="both"/>
        <w:rPr>
          <w:rFonts w:ascii="David" w:hAnsi="David"/>
          <w:noProof w:val="0"/>
        </w:rPr>
      </w:pPr>
      <w:r w:rsidRPr="000D5819">
        <w:rPr>
          <w:rFonts w:ascii="David" w:hAnsi="David"/>
          <w:noProof w:val="0"/>
          <w:rtl/>
        </w:rPr>
        <w:t xml:space="preserve">ראו גם: רמ"ש </w:t>
      </w:r>
      <w:r w:rsidR="008805E1" w:rsidRPr="000D5819">
        <w:rPr>
          <w:rFonts w:ascii="David" w:hAnsi="David"/>
          <w:noProof w:val="0"/>
          <w:rtl/>
        </w:rPr>
        <w:t xml:space="preserve">9235-06-20 </w:t>
      </w:r>
      <w:r w:rsidRPr="000D5819">
        <w:rPr>
          <w:rFonts w:ascii="David" w:hAnsi="David"/>
          <w:b/>
          <w:bCs/>
          <w:noProof w:val="0"/>
          <w:rtl/>
        </w:rPr>
        <w:t>פלוני נ' אלמונית</w:t>
      </w:r>
      <w:r w:rsidR="008805E1" w:rsidRPr="000D5819">
        <w:rPr>
          <w:rFonts w:ascii="David" w:hAnsi="David"/>
          <w:noProof w:val="0"/>
          <w:rtl/>
        </w:rPr>
        <w:t xml:space="preserve"> (1.7.</w:t>
      </w:r>
      <w:r w:rsidR="00A83C9E">
        <w:rPr>
          <w:rFonts w:ascii="David" w:hAnsi="David" w:hint="cs"/>
          <w:noProof w:val="0"/>
          <w:rtl/>
        </w:rPr>
        <w:t>20</w:t>
      </w:r>
      <w:r w:rsidR="008805E1" w:rsidRPr="000D5819">
        <w:rPr>
          <w:rFonts w:ascii="David" w:hAnsi="David"/>
          <w:noProof w:val="0"/>
          <w:rtl/>
        </w:rPr>
        <w:t>20)</w:t>
      </w:r>
      <w:r w:rsidR="00B20F35">
        <w:rPr>
          <w:rFonts w:ascii="David" w:hAnsi="David" w:hint="cs"/>
          <w:noProof w:val="0"/>
          <w:rtl/>
        </w:rPr>
        <w:t>,</w:t>
      </w:r>
      <w:r w:rsidR="005254B9" w:rsidRPr="000D5819">
        <w:rPr>
          <w:rFonts w:ascii="David" w:hAnsi="David"/>
          <w:noProof w:val="0"/>
          <w:rtl/>
        </w:rPr>
        <w:t xml:space="preserve"> וכן החלטתי בא"פ 16460-03-10 </w:t>
      </w:r>
      <w:r w:rsidR="005254B9" w:rsidRPr="000D5819">
        <w:rPr>
          <w:rFonts w:ascii="David" w:hAnsi="David"/>
          <w:b/>
          <w:bCs/>
          <w:noProof w:val="0"/>
          <w:rtl/>
        </w:rPr>
        <w:t>פלוני נ' אלמונית</w:t>
      </w:r>
      <w:r w:rsidR="005254B9" w:rsidRPr="000D5819">
        <w:rPr>
          <w:rFonts w:ascii="David" w:hAnsi="David"/>
          <w:noProof w:val="0"/>
          <w:rtl/>
        </w:rPr>
        <w:t xml:space="preserve"> (15.2.</w:t>
      </w:r>
      <w:r w:rsidR="00300274">
        <w:rPr>
          <w:rFonts w:ascii="David" w:hAnsi="David" w:hint="cs"/>
          <w:noProof w:val="0"/>
          <w:rtl/>
        </w:rPr>
        <w:t>20</w:t>
      </w:r>
      <w:r w:rsidR="005254B9" w:rsidRPr="000D5819">
        <w:rPr>
          <w:rFonts w:ascii="David" w:hAnsi="David"/>
          <w:noProof w:val="0"/>
          <w:rtl/>
        </w:rPr>
        <w:t>11)</w:t>
      </w:r>
      <w:r w:rsidR="005A7477" w:rsidRPr="000D5819">
        <w:rPr>
          <w:rFonts w:ascii="David" w:hAnsi="David"/>
          <w:noProof w:val="0"/>
          <w:rtl/>
        </w:rPr>
        <w:t>.</w:t>
      </w:r>
    </w:p>
    <w:p w:rsidR="00A4081F" w:rsidRPr="000D5819" w:rsidRDefault="005D48AF" w:rsidP="00874EA3">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ברור שה</w:t>
      </w:r>
      <w:r w:rsidR="00874EA3">
        <w:rPr>
          <w:rFonts w:ascii="David" w:hAnsi="David" w:hint="cs"/>
          <w:noProof w:val="0"/>
          <w:rtl/>
        </w:rPr>
        <w:t>א</w:t>
      </w:r>
      <w:r w:rsidRPr="002B43BB">
        <w:rPr>
          <w:rFonts w:ascii="David" w:hAnsi="David"/>
          <w:noProof w:val="0"/>
          <w:rtl/>
        </w:rPr>
        <w:t>ב</w:t>
      </w:r>
      <w:r w:rsidRPr="000D5819">
        <w:rPr>
          <w:rFonts w:ascii="David" w:hAnsi="David"/>
          <w:noProof w:val="0"/>
          <w:rtl/>
        </w:rPr>
        <w:t xml:space="preserve">חנה הנ"ל קיימת רק שעה שמדובר על הגשת חוות דעת מזמן אמת ולא </w:t>
      </w:r>
      <w:r w:rsidR="00303028">
        <w:rPr>
          <w:rFonts w:ascii="David" w:hAnsi="David" w:hint="cs"/>
          <w:noProof w:val="0"/>
          <w:rtl/>
        </w:rPr>
        <w:t>כשמדובר ב</w:t>
      </w:r>
      <w:r w:rsidRPr="000D5819">
        <w:rPr>
          <w:rFonts w:ascii="David" w:hAnsi="David"/>
          <w:noProof w:val="0"/>
          <w:rtl/>
        </w:rPr>
        <w:t>חוות דעת פרטית שנערכה אף היא לאחר שחלף זמן מהאירוע ולצורך ההליך המשפטי. ביחס לחוות דעת מסוג זה, האיסור תקף אף לאחר שלב הגשת חוות הדעת, בדיוק כפי שנפסק בתביעות לפי חוק הפלת"ד.</w:t>
      </w:r>
      <w:r w:rsidR="001F14C2" w:rsidRPr="000D5819">
        <w:rPr>
          <w:rFonts w:ascii="David" w:hAnsi="David"/>
          <w:noProof w:val="0"/>
          <w:rtl/>
        </w:rPr>
        <w:t xml:space="preserve"> לכן, במקרה שבו למשל מתמנה מומחה לבדיקת מסוגלות הורית או טובת קטין בתביעת הגירה, תיאסר הגשת חוות דעת פרטית ב</w:t>
      </w:r>
      <w:r w:rsidR="00414EF0" w:rsidRPr="000D5819">
        <w:rPr>
          <w:rFonts w:ascii="David" w:hAnsi="David"/>
          <w:noProof w:val="0"/>
          <w:rtl/>
        </w:rPr>
        <w:t>כ</w:t>
      </w:r>
      <w:r w:rsidR="001F14C2" w:rsidRPr="000D5819">
        <w:rPr>
          <w:rFonts w:ascii="David" w:hAnsi="David"/>
          <w:noProof w:val="0"/>
          <w:rtl/>
        </w:rPr>
        <w:t>ל שלב בדיוק כמו בתביעות פלת"ד, מאחר שלא מדובר בחוות דעת "פוס</w:t>
      </w:r>
      <w:r w:rsidR="00414EF0" w:rsidRPr="000D5819">
        <w:rPr>
          <w:rFonts w:ascii="David" w:hAnsi="David"/>
          <w:noProof w:val="0"/>
          <w:rtl/>
        </w:rPr>
        <w:t>ט</w:t>
      </w:r>
      <w:r w:rsidR="001F14C2" w:rsidRPr="000D5819">
        <w:rPr>
          <w:rFonts w:ascii="David" w:hAnsi="David"/>
          <w:noProof w:val="0"/>
          <w:rtl/>
        </w:rPr>
        <w:t xml:space="preserve"> מורטום" אל</w:t>
      </w:r>
      <w:r w:rsidR="00414EF0" w:rsidRPr="000D5819">
        <w:rPr>
          <w:rFonts w:ascii="David" w:hAnsi="David"/>
          <w:noProof w:val="0"/>
          <w:rtl/>
        </w:rPr>
        <w:t>א</w:t>
      </w:r>
      <w:r w:rsidR="001F14C2" w:rsidRPr="000D5819">
        <w:rPr>
          <w:rFonts w:ascii="David" w:hAnsi="David"/>
          <w:noProof w:val="0"/>
          <w:rtl/>
        </w:rPr>
        <w:t xml:space="preserve"> בחוות דעת לבחינת מצב קיים ובמקרים אלו, יש לאסור המצאת חוות דעת מומחה פרטי בכל </w:t>
      </w:r>
      <w:r w:rsidR="00414EF0" w:rsidRPr="000D5819">
        <w:rPr>
          <w:rFonts w:ascii="David" w:hAnsi="David"/>
          <w:noProof w:val="0"/>
          <w:rtl/>
        </w:rPr>
        <w:t>עת</w:t>
      </w:r>
      <w:r w:rsidR="001F14C2" w:rsidRPr="000D5819">
        <w:rPr>
          <w:rFonts w:ascii="David" w:hAnsi="David"/>
          <w:noProof w:val="0"/>
          <w:rtl/>
        </w:rPr>
        <w:t xml:space="preserve">, היות שכוונת המחוקק היתה שרק מומחה מטעם בית המשפט ייבחן את השאלה ואין לאפשר הכנסת </w:t>
      </w:r>
      <w:r w:rsidR="004A7DDA" w:rsidRPr="000D5819">
        <w:rPr>
          <w:rFonts w:ascii="David" w:hAnsi="David"/>
          <w:noProof w:val="0"/>
          <w:rtl/>
        </w:rPr>
        <w:t>חוות דעת פרטיות "בדלת האחורית" במסגרת שאלות הבהרה או חקירת המומחה.</w:t>
      </w:r>
    </w:p>
    <w:p w:rsidR="005D48AF" w:rsidRPr="000D5819" w:rsidRDefault="00A4081F" w:rsidP="00300274">
      <w:pPr>
        <w:spacing w:after="240" w:line="360" w:lineRule="auto"/>
        <w:ind w:left="-57"/>
        <w:jc w:val="both"/>
        <w:rPr>
          <w:rFonts w:ascii="David" w:hAnsi="David"/>
          <w:noProof w:val="0"/>
          <w:rtl/>
        </w:rPr>
      </w:pPr>
      <w:r w:rsidRPr="000D5819">
        <w:rPr>
          <w:rFonts w:ascii="David" w:hAnsi="David"/>
          <w:noProof w:val="0"/>
          <w:rtl/>
        </w:rPr>
        <w:t xml:space="preserve">ראו גם: רמ"ש (חיפה) 33112-05-18 </w:t>
      </w:r>
      <w:r w:rsidRPr="000D5819">
        <w:rPr>
          <w:rFonts w:ascii="David" w:hAnsi="David"/>
          <w:b/>
          <w:bCs/>
          <w:noProof w:val="0"/>
          <w:rtl/>
        </w:rPr>
        <w:t>אשתו השנייה של המנוח נ' בנותיו מנישואיו הראשונים</w:t>
      </w:r>
      <w:r w:rsidRPr="000D5819">
        <w:rPr>
          <w:rFonts w:ascii="David" w:hAnsi="David"/>
          <w:noProof w:val="0"/>
          <w:rtl/>
        </w:rPr>
        <w:t xml:space="preserve"> (8.7.</w:t>
      </w:r>
      <w:r w:rsidR="00B20F35">
        <w:rPr>
          <w:rFonts w:ascii="David" w:hAnsi="David" w:hint="cs"/>
          <w:noProof w:val="0"/>
          <w:rtl/>
        </w:rPr>
        <w:t>20</w:t>
      </w:r>
      <w:r w:rsidRPr="000D5819">
        <w:rPr>
          <w:rFonts w:ascii="David" w:hAnsi="David"/>
          <w:noProof w:val="0"/>
          <w:rtl/>
        </w:rPr>
        <w:t>18).</w:t>
      </w:r>
      <w:r w:rsidR="001F14C2" w:rsidRPr="000D5819">
        <w:rPr>
          <w:rFonts w:ascii="David" w:hAnsi="David"/>
          <w:noProof w:val="0"/>
          <w:rtl/>
        </w:rPr>
        <w:t xml:space="preserve">   </w:t>
      </w:r>
    </w:p>
    <w:p w:rsidR="000F1434" w:rsidRDefault="000C1F96" w:rsidP="00B072C3">
      <w:pPr>
        <w:pStyle w:val="ad"/>
        <w:numPr>
          <w:ilvl w:val="0"/>
          <w:numId w:val="6"/>
        </w:numPr>
        <w:spacing w:after="240" w:line="360" w:lineRule="auto"/>
        <w:ind w:left="-57" w:hanging="708"/>
        <w:jc w:val="both"/>
        <w:rPr>
          <w:rFonts w:ascii="David" w:hAnsi="David"/>
          <w:b/>
          <w:bCs/>
          <w:noProof w:val="0"/>
        </w:rPr>
      </w:pPr>
      <w:r>
        <w:rPr>
          <w:rFonts w:ascii="David" w:hAnsi="David" w:hint="cs"/>
          <w:noProof w:val="0"/>
          <w:rtl/>
        </w:rPr>
        <w:t>א</w:t>
      </w:r>
      <w:r w:rsidR="007D0CAA" w:rsidRPr="000C1F96">
        <w:rPr>
          <w:rFonts w:ascii="David" w:hAnsi="David"/>
          <w:noProof w:val="0"/>
          <w:rtl/>
        </w:rPr>
        <w:t xml:space="preserve">בחנה זו אף </w:t>
      </w:r>
      <w:r w:rsidR="00B072C3">
        <w:rPr>
          <w:rFonts w:ascii="David" w:hAnsi="David" w:hint="cs"/>
          <w:noProof w:val="0"/>
          <w:rtl/>
        </w:rPr>
        <w:t>מ</w:t>
      </w:r>
      <w:r w:rsidR="007D0CAA" w:rsidRPr="000C1F96">
        <w:rPr>
          <w:rFonts w:ascii="David" w:hAnsi="David"/>
          <w:noProof w:val="0"/>
          <w:rtl/>
        </w:rPr>
        <w:t xml:space="preserve">תיישבת עם הפסיקה שקבעה </w:t>
      </w:r>
      <w:r w:rsidR="00B072C3">
        <w:rPr>
          <w:rFonts w:ascii="David" w:hAnsi="David" w:hint="cs"/>
          <w:noProof w:val="0"/>
          <w:rtl/>
        </w:rPr>
        <w:t>ש</w:t>
      </w:r>
      <w:r w:rsidR="007D0CAA" w:rsidRPr="000C1F96">
        <w:rPr>
          <w:rFonts w:ascii="David" w:hAnsi="David"/>
          <w:noProof w:val="0"/>
          <w:rtl/>
        </w:rPr>
        <w:t xml:space="preserve">לאחר </w:t>
      </w:r>
      <w:r w:rsidR="00B20F35" w:rsidRPr="000C1F96">
        <w:rPr>
          <w:rFonts w:ascii="David" w:hAnsi="David" w:hint="cs"/>
          <w:noProof w:val="0"/>
          <w:rtl/>
        </w:rPr>
        <w:t>ה</w:t>
      </w:r>
      <w:r w:rsidR="007D0CAA" w:rsidRPr="000C1F96">
        <w:rPr>
          <w:rFonts w:ascii="David" w:hAnsi="David"/>
          <w:noProof w:val="0"/>
          <w:rtl/>
        </w:rPr>
        <w:t>גשת חוות</w:t>
      </w:r>
      <w:r w:rsidR="007D0CAA" w:rsidRPr="000D5819">
        <w:rPr>
          <w:rFonts w:ascii="David" w:hAnsi="David"/>
          <w:noProof w:val="0"/>
          <w:rtl/>
        </w:rPr>
        <w:t xml:space="preserve"> דעתו של המומחה ניתן להעביר אליו אף מסמכים או הקלטות שאינן בגדר חומר רפואי כלל, על מנת שייבחן האם יש בהם בכדי לשנות או לחזק את מסקנתו. לדוגמא: ברמ"ש 14042-04-18 </w:t>
      </w:r>
      <w:r w:rsidR="007D0CAA" w:rsidRPr="00300274">
        <w:rPr>
          <w:rFonts w:ascii="David" w:hAnsi="David"/>
          <w:b/>
          <w:bCs/>
          <w:noProof w:val="0"/>
          <w:rtl/>
        </w:rPr>
        <w:t>ג.פ. נ' כ.פ.</w:t>
      </w:r>
      <w:r w:rsidR="007D0CAA" w:rsidRPr="000D5819">
        <w:rPr>
          <w:rFonts w:ascii="David" w:hAnsi="David"/>
          <w:noProof w:val="0"/>
          <w:rtl/>
        </w:rPr>
        <w:t xml:space="preserve"> (1.8.</w:t>
      </w:r>
      <w:r w:rsidR="00300274">
        <w:rPr>
          <w:rFonts w:ascii="David" w:hAnsi="David" w:hint="cs"/>
          <w:noProof w:val="0"/>
          <w:rtl/>
        </w:rPr>
        <w:t>20</w:t>
      </w:r>
      <w:r w:rsidR="007D0CAA" w:rsidRPr="000D5819">
        <w:rPr>
          <w:rFonts w:ascii="David" w:hAnsi="David"/>
          <w:noProof w:val="0"/>
          <w:rtl/>
        </w:rPr>
        <w:t xml:space="preserve">18) התיר כב' השופט שוחט הצגת תמליל הקלטה למומחה לאחר הגשת חוות הדעת ובמסגרת שאלות ההבהרה </w:t>
      </w:r>
      <w:r w:rsidR="000F1434" w:rsidRPr="000D5819">
        <w:rPr>
          <w:rFonts w:ascii="David" w:hAnsi="David"/>
          <w:noProof w:val="0"/>
          <w:rtl/>
        </w:rPr>
        <w:t>ו</w:t>
      </w:r>
      <w:r w:rsidR="007D0CAA" w:rsidRPr="000D5819">
        <w:rPr>
          <w:rFonts w:ascii="David" w:hAnsi="David"/>
          <w:noProof w:val="0"/>
          <w:rtl/>
        </w:rPr>
        <w:t xml:space="preserve">פסק כי: </w:t>
      </w:r>
      <w:r w:rsidR="007D0CAA" w:rsidRPr="000D5819">
        <w:rPr>
          <w:rFonts w:ascii="David" w:hAnsi="David"/>
          <w:rtl/>
        </w:rPr>
        <w:t>"</w:t>
      </w:r>
      <w:r w:rsidR="007D0CAA" w:rsidRPr="000D5819">
        <w:rPr>
          <w:rFonts w:ascii="David" w:hAnsi="David"/>
          <w:b/>
          <w:bCs/>
          <w:rtl/>
        </w:rPr>
        <w:t>בית המשפט קמא לא סתם את הגולל על הצגת ההקלטה למומחה הרפואי, אלא הותיר אפשרות לבקש הצגתה למומחה במסגרת שאלות ההבהרה או בשלב חקירת המומחה</w:t>
      </w:r>
      <w:r w:rsidR="007D0CAA" w:rsidRPr="00300274">
        <w:rPr>
          <w:rFonts w:ascii="David" w:hAnsi="David"/>
          <w:rtl/>
        </w:rPr>
        <w:t>".</w:t>
      </w:r>
    </w:p>
    <w:p w:rsidR="00300274" w:rsidRPr="00EF38B8" w:rsidRDefault="00300274" w:rsidP="00300274">
      <w:pPr>
        <w:pStyle w:val="ad"/>
        <w:spacing w:after="240" w:line="360" w:lineRule="auto"/>
        <w:ind w:left="-57"/>
        <w:jc w:val="both"/>
        <w:rPr>
          <w:rFonts w:ascii="David" w:hAnsi="David"/>
          <w:b/>
          <w:bCs/>
          <w:noProof w:val="0"/>
          <w:sz w:val="16"/>
          <w:szCs w:val="16"/>
        </w:rPr>
      </w:pPr>
    </w:p>
    <w:p w:rsidR="00F347DC" w:rsidRPr="000D5819" w:rsidRDefault="000C1F96" w:rsidP="00874EA3">
      <w:pPr>
        <w:pStyle w:val="ad"/>
        <w:numPr>
          <w:ilvl w:val="0"/>
          <w:numId w:val="6"/>
        </w:numPr>
        <w:spacing w:after="240" w:line="360" w:lineRule="auto"/>
        <w:ind w:left="-57" w:hanging="708"/>
        <w:jc w:val="both"/>
        <w:rPr>
          <w:rFonts w:ascii="David" w:hAnsi="David"/>
          <w:noProof w:val="0"/>
        </w:rPr>
      </w:pPr>
      <w:r>
        <w:rPr>
          <w:rFonts w:ascii="David" w:hAnsi="David" w:hint="cs"/>
          <w:noProof w:val="0"/>
          <w:rtl/>
        </w:rPr>
        <w:t>א</w:t>
      </w:r>
      <w:r w:rsidR="00AF6758" w:rsidRPr="000D5819">
        <w:rPr>
          <w:rFonts w:ascii="David" w:hAnsi="David"/>
          <w:noProof w:val="0"/>
          <w:rtl/>
        </w:rPr>
        <w:t>בחנה זו עולה בקנה אחד עם דברי כב' השופט רובינשטיין בבע"מ ש</w:t>
      </w:r>
      <w:r w:rsidR="00414EF0" w:rsidRPr="000D5819">
        <w:rPr>
          <w:rFonts w:ascii="David" w:hAnsi="David"/>
          <w:noProof w:val="0"/>
          <w:rtl/>
        </w:rPr>
        <w:t>ב</w:t>
      </w:r>
      <w:r w:rsidR="00AF6758" w:rsidRPr="000D5819">
        <w:rPr>
          <w:rFonts w:ascii="David" w:hAnsi="David"/>
          <w:noProof w:val="0"/>
          <w:rtl/>
        </w:rPr>
        <w:t xml:space="preserve">ה </w:t>
      </w:r>
      <w:r w:rsidR="00414EF0" w:rsidRPr="000D5819">
        <w:rPr>
          <w:rFonts w:ascii="David" w:hAnsi="David"/>
          <w:noProof w:val="0"/>
          <w:rtl/>
        </w:rPr>
        <w:t>נ</w:t>
      </w:r>
      <w:r w:rsidR="00AF6758" w:rsidRPr="000D5819">
        <w:rPr>
          <w:rFonts w:ascii="David" w:hAnsi="David"/>
          <w:noProof w:val="0"/>
          <w:rtl/>
        </w:rPr>
        <w:t xml:space="preserve">קבע כי: </w:t>
      </w:r>
    </w:p>
    <w:p w:rsidR="00081C2D" w:rsidRPr="000D5819" w:rsidRDefault="00AF6758" w:rsidP="00300274">
      <w:pPr>
        <w:spacing w:after="240" w:line="360" w:lineRule="auto"/>
        <w:ind w:left="-57"/>
        <w:jc w:val="both"/>
        <w:rPr>
          <w:rFonts w:ascii="David" w:hAnsi="David"/>
          <w:noProof w:val="0"/>
        </w:rPr>
      </w:pPr>
      <w:r w:rsidRPr="000D5819">
        <w:rPr>
          <w:rFonts w:ascii="David" w:hAnsi="David"/>
          <w:noProof w:val="0"/>
          <w:rtl/>
        </w:rPr>
        <w:t>"</w:t>
      </w:r>
      <w:r w:rsidRPr="000D5819">
        <w:rPr>
          <w:rFonts w:ascii="David" w:hAnsi="David"/>
          <w:b/>
          <w:bCs/>
          <w:noProof w:val="0"/>
          <w:rtl/>
        </w:rPr>
        <w:t xml:space="preserve">כפי שציינו בתי המשפט הקודמים בעניינינו, לאחר שתינתן חוות דעתו של המומחה יוכלו המבקשים להעיד את הרופאים שחיוו דעתם באופן פרטי, וכן לחקור את המומחה אחרי שיובאו לידיעתו מראש, בטרם עדותו, אותן חוות דעת פרטיות...במקביל, אפשר בית המשפט לצדדים, לאחר שתינתן חוות דעת המומחה מטעמו, להעיד את כותבי חוות הדעת הפרטיות ולעמת </w:t>
      </w:r>
      <w:r w:rsidR="00F347DC" w:rsidRPr="000D5819">
        <w:rPr>
          <w:rFonts w:ascii="David" w:hAnsi="David"/>
          <w:b/>
          <w:bCs/>
          <w:noProof w:val="0"/>
          <w:rtl/>
        </w:rPr>
        <w:t>את המומחה מטעם בית המשפט עם תוכנן (ושוב, זאת כמובן לאחר שיתאפשר למומחה לעיין בחומר לקראת עדותו</w:t>
      </w:r>
      <w:r w:rsidR="00414EF0" w:rsidRPr="000D5819">
        <w:rPr>
          <w:rFonts w:ascii="David" w:hAnsi="David"/>
          <w:b/>
          <w:bCs/>
          <w:noProof w:val="0"/>
          <w:rtl/>
        </w:rPr>
        <w:t xml:space="preserve">) </w:t>
      </w:r>
      <w:r w:rsidR="00F347DC" w:rsidRPr="000D5819">
        <w:rPr>
          <w:rFonts w:ascii="David" w:hAnsi="David"/>
          <w:b/>
          <w:bCs/>
          <w:noProof w:val="0"/>
          <w:rtl/>
        </w:rPr>
        <w:t>...</w:t>
      </w:r>
      <w:r w:rsidR="00EF38B8">
        <w:rPr>
          <w:rFonts w:ascii="David" w:hAnsi="David" w:hint="cs"/>
          <w:b/>
          <w:bCs/>
          <w:noProof w:val="0"/>
          <w:rtl/>
        </w:rPr>
        <w:t xml:space="preserve"> </w:t>
      </w:r>
      <w:r w:rsidR="00F347DC" w:rsidRPr="000D5819">
        <w:rPr>
          <w:rFonts w:ascii="David" w:hAnsi="David"/>
          <w:b/>
          <w:bCs/>
          <w:noProof w:val="0"/>
          <w:rtl/>
        </w:rPr>
        <w:t>נראה – בכל הכבוד – כי בתי המשפט איזנו נכונה בין הצורך בחוות דעת מומנה שאינה מושפעת מחוות דעת קיימת, לבין מתן הזדמנות לבעלי הדין להציג את חוות הדעת אשר בידם באופן ראוי בשל</w:t>
      </w:r>
      <w:r w:rsidR="00414EF0" w:rsidRPr="000D5819">
        <w:rPr>
          <w:rFonts w:ascii="David" w:hAnsi="David"/>
          <w:b/>
          <w:bCs/>
          <w:noProof w:val="0"/>
          <w:rtl/>
        </w:rPr>
        <w:t>ב</w:t>
      </w:r>
      <w:r w:rsidR="00F347DC" w:rsidRPr="000D5819">
        <w:rPr>
          <w:rFonts w:ascii="David" w:hAnsi="David"/>
          <w:b/>
          <w:bCs/>
          <w:noProof w:val="0"/>
          <w:rtl/>
        </w:rPr>
        <w:t xml:space="preserve"> הבא</w:t>
      </w:r>
      <w:r w:rsidR="00F347DC" w:rsidRPr="000D5819">
        <w:rPr>
          <w:rFonts w:ascii="David" w:hAnsi="David"/>
          <w:noProof w:val="0"/>
          <w:rtl/>
        </w:rPr>
        <w:t>"</w:t>
      </w:r>
      <w:r w:rsidRPr="000D5819">
        <w:rPr>
          <w:rFonts w:ascii="David" w:hAnsi="David"/>
          <w:noProof w:val="0"/>
          <w:rtl/>
        </w:rPr>
        <w:t xml:space="preserve">.  </w:t>
      </w:r>
      <w:r w:rsidR="00BF70FE" w:rsidRPr="000D5819">
        <w:rPr>
          <w:rFonts w:ascii="David" w:hAnsi="David"/>
          <w:noProof w:val="0"/>
          <w:rtl/>
        </w:rPr>
        <w:t xml:space="preserve">  </w:t>
      </w:r>
      <w:r w:rsidR="008C720D" w:rsidRPr="000D5819">
        <w:rPr>
          <w:rFonts w:ascii="David" w:hAnsi="David"/>
          <w:noProof w:val="0"/>
          <w:rtl/>
        </w:rPr>
        <w:t xml:space="preserve"> </w:t>
      </w:r>
    </w:p>
    <w:p w:rsidR="00303028" w:rsidRDefault="00F347DC" w:rsidP="00BA01F6">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 xml:space="preserve">גישה זו אף תעודד בדיקה מתאימה להוכחת כשירות בטרם שמבוצעת עסקת מכר או מתנה או לפני עריכת צוואה. </w:t>
      </w:r>
      <w:r w:rsidR="00886CC5" w:rsidRPr="000D5819">
        <w:rPr>
          <w:rFonts w:ascii="David" w:hAnsi="David"/>
          <w:noProof w:val="0"/>
          <w:rtl/>
        </w:rPr>
        <w:t>כידוע, הליכים רבים מתנהלים בנו</w:t>
      </w:r>
      <w:r w:rsidR="005E2317">
        <w:rPr>
          <w:rFonts w:ascii="David" w:hAnsi="David" w:hint="cs"/>
          <w:noProof w:val="0"/>
          <w:rtl/>
        </w:rPr>
        <w:t>ג</w:t>
      </w:r>
      <w:r w:rsidR="00886CC5" w:rsidRPr="000D5819">
        <w:rPr>
          <w:rFonts w:ascii="David" w:hAnsi="David"/>
          <w:noProof w:val="0"/>
          <w:rtl/>
        </w:rPr>
        <w:t>ע לכשירות של מעניקי מתנות ועורכי צווא</w:t>
      </w:r>
      <w:r w:rsidR="00414EF0" w:rsidRPr="000D5819">
        <w:rPr>
          <w:rFonts w:ascii="David" w:hAnsi="David"/>
          <w:noProof w:val="0"/>
          <w:rtl/>
        </w:rPr>
        <w:t>ות</w:t>
      </w:r>
      <w:r w:rsidR="00886CC5" w:rsidRPr="000D5819">
        <w:rPr>
          <w:rFonts w:ascii="David" w:hAnsi="David"/>
          <w:noProof w:val="0"/>
          <w:rtl/>
        </w:rPr>
        <w:t>. בצדק טוענת המבקש</w:t>
      </w:r>
      <w:r w:rsidR="00414EF0" w:rsidRPr="000D5819">
        <w:rPr>
          <w:rFonts w:ascii="David" w:hAnsi="David"/>
          <w:noProof w:val="0"/>
          <w:rtl/>
        </w:rPr>
        <w:t>ת</w:t>
      </w:r>
      <w:r w:rsidR="00886CC5" w:rsidRPr="000D5819">
        <w:rPr>
          <w:rFonts w:ascii="David" w:hAnsi="David"/>
          <w:noProof w:val="0"/>
          <w:rtl/>
        </w:rPr>
        <w:t xml:space="preserve"> כי ההחלטה שבה נקבע שיש לאסור באופן גורף הגשת חוות דעת פרטית מזמן אמת</w:t>
      </w:r>
      <w:r w:rsidR="00414EF0" w:rsidRPr="000D5819">
        <w:rPr>
          <w:rFonts w:ascii="David" w:hAnsi="David"/>
          <w:noProof w:val="0"/>
          <w:rtl/>
        </w:rPr>
        <w:t xml:space="preserve"> בכל שלבי ההליך</w:t>
      </w:r>
      <w:r w:rsidR="00886CC5" w:rsidRPr="000D5819">
        <w:rPr>
          <w:rFonts w:ascii="David" w:hAnsi="David"/>
          <w:noProof w:val="0"/>
          <w:rtl/>
        </w:rPr>
        <w:t xml:space="preserve">, </w:t>
      </w:r>
      <w:r w:rsidR="004A7DDA" w:rsidRPr="000D5819">
        <w:rPr>
          <w:rFonts w:ascii="David" w:hAnsi="David"/>
          <w:noProof w:val="0"/>
          <w:rtl/>
        </w:rPr>
        <w:t>פוגעת בזכותו של כל אדם להצטייד בתעודה רפואית מתאימה להוכחת כשירותו ככל שבעתיד תועלה טענה כזו. אדרבא, רצוי לעודד קיומה של בדיקת כשרות במועד עריכת צוואה או ביצוע עסקה כשיש בכך צורך וכ</w:t>
      </w:r>
      <w:r w:rsidR="00BA01F6">
        <w:rPr>
          <w:rFonts w:ascii="David" w:hAnsi="David" w:hint="cs"/>
          <w:noProof w:val="0"/>
          <w:rtl/>
        </w:rPr>
        <w:t>ש</w:t>
      </w:r>
      <w:r w:rsidR="004A7DDA" w:rsidRPr="000D5819">
        <w:rPr>
          <w:rFonts w:ascii="David" w:hAnsi="David"/>
          <w:noProof w:val="0"/>
          <w:rtl/>
        </w:rPr>
        <w:t xml:space="preserve">קיימת צפייה </w:t>
      </w:r>
      <w:r w:rsidR="00BA01F6">
        <w:rPr>
          <w:rFonts w:ascii="David" w:hAnsi="David" w:hint="cs"/>
          <w:noProof w:val="0"/>
          <w:rtl/>
        </w:rPr>
        <w:t>ש</w:t>
      </w:r>
      <w:r w:rsidR="004A7DDA" w:rsidRPr="000D5819">
        <w:rPr>
          <w:rFonts w:ascii="David" w:hAnsi="David"/>
          <w:noProof w:val="0"/>
          <w:rtl/>
        </w:rPr>
        <w:t>בעתיד יהיה מי שינסה לערער על פעולה זו. הצטיידות בחוות דעת פרטית עשויה למנוע תביעות והתדיינויות לאחר מכן ולמצער לסייע לבחון האם מבצע הפעולה המשפטית היה כשיר.</w:t>
      </w:r>
    </w:p>
    <w:p w:rsidR="00A83C9E" w:rsidRPr="00BB2D8E" w:rsidRDefault="00A83C9E" w:rsidP="00A83C9E">
      <w:pPr>
        <w:pStyle w:val="ad"/>
        <w:spacing w:after="240" w:line="360" w:lineRule="auto"/>
        <w:ind w:left="-57"/>
        <w:jc w:val="both"/>
        <w:rPr>
          <w:rFonts w:ascii="David" w:hAnsi="David"/>
          <w:noProof w:val="0"/>
          <w:sz w:val="16"/>
          <w:szCs w:val="16"/>
        </w:rPr>
      </w:pPr>
    </w:p>
    <w:p w:rsidR="00303028" w:rsidRDefault="00303028" w:rsidP="00BB2D8E">
      <w:pPr>
        <w:pStyle w:val="ad"/>
        <w:numPr>
          <w:ilvl w:val="0"/>
          <w:numId w:val="6"/>
        </w:numPr>
        <w:spacing w:after="240" w:line="360" w:lineRule="auto"/>
        <w:ind w:left="-57" w:hanging="708"/>
        <w:jc w:val="both"/>
        <w:rPr>
          <w:rFonts w:ascii="David" w:hAnsi="David"/>
          <w:noProof w:val="0"/>
        </w:rPr>
      </w:pPr>
      <w:r>
        <w:rPr>
          <w:rFonts w:ascii="David" w:hAnsi="David" w:hint="cs"/>
          <w:noProof w:val="0"/>
          <w:rtl/>
        </w:rPr>
        <w:t xml:space="preserve">יש לדחות גם את טענת המשיבים כי שאלות הבהרה באות רק להבהיר את חוות דעת ולא להתעמת עם חוות הדעת ולכן יש למנוע משלוח שאלות הקשורות להשפעת חו"ד גורביץ על חוות דעת המומחה. אכן, כפי שנקבע ברע"א 1017/01 </w:t>
      </w:r>
      <w:r w:rsidRPr="006568B7">
        <w:rPr>
          <w:rFonts w:ascii="David" w:hAnsi="David" w:hint="cs"/>
          <w:b/>
          <w:bCs/>
          <w:noProof w:val="0"/>
          <w:rtl/>
        </w:rPr>
        <w:t>אלבטרוניס בע"מ נ' בר</w:t>
      </w:r>
      <w:r>
        <w:rPr>
          <w:rFonts w:ascii="David" w:hAnsi="David" w:hint="cs"/>
          <w:noProof w:val="0"/>
          <w:rtl/>
        </w:rPr>
        <w:t xml:space="preserve"> (8.5.</w:t>
      </w:r>
      <w:r w:rsidR="00BB2D8E">
        <w:rPr>
          <w:rFonts w:ascii="David" w:hAnsi="David" w:hint="cs"/>
          <w:noProof w:val="0"/>
          <w:rtl/>
        </w:rPr>
        <w:t>20</w:t>
      </w:r>
      <w:r>
        <w:rPr>
          <w:rFonts w:ascii="David" w:hAnsi="David" w:hint="cs"/>
          <w:noProof w:val="0"/>
          <w:rtl/>
        </w:rPr>
        <w:t>01) ככלל "</w:t>
      </w:r>
      <w:r w:rsidRPr="006568B7">
        <w:rPr>
          <w:rFonts w:ascii="David" w:hAnsi="David" w:hint="cs"/>
          <w:b/>
          <w:bCs/>
          <w:noProof w:val="0"/>
          <w:rtl/>
        </w:rPr>
        <w:t xml:space="preserve">שאלות ההבהרה, </w:t>
      </w:r>
      <w:r>
        <w:rPr>
          <w:rFonts w:ascii="David" w:hAnsi="David" w:hint="cs"/>
          <w:b/>
          <w:bCs/>
          <w:noProof w:val="0"/>
          <w:rtl/>
        </w:rPr>
        <w:t>כ</w:t>
      </w:r>
      <w:r w:rsidRPr="006568B7">
        <w:rPr>
          <w:rFonts w:ascii="David" w:hAnsi="David" w:hint="cs"/>
          <w:b/>
          <w:bCs/>
          <w:noProof w:val="0"/>
          <w:rtl/>
        </w:rPr>
        <w:t>שמן כן הן, נועדו להבהיר את האמור בחוות הדעת ואילו החקירה הנג</w:t>
      </w:r>
      <w:r>
        <w:rPr>
          <w:rFonts w:ascii="David" w:hAnsi="David" w:hint="cs"/>
          <w:b/>
          <w:bCs/>
          <w:noProof w:val="0"/>
          <w:rtl/>
        </w:rPr>
        <w:t>ד</w:t>
      </w:r>
      <w:r w:rsidRPr="006568B7">
        <w:rPr>
          <w:rFonts w:ascii="David" w:hAnsi="David" w:hint="cs"/>
          <w:b/>
          <w:bCs/>
          <w:noProof w:val="0"/>
          <w:rtl/>
        </w:rPr>
        <w:t>ית מטרתה לסתור את המסקנות העולות מחוות הדעת ולא הרי אלו כהרי זו</w:t>
      </w:r>
      <w:r>
        <w:rPr>
          <w:rFonts w:ascii="David" w:hAnsi="David" w:hint="cs"/>
          <w:noProof w:val="0"/>
          <w:rtl/>
        </w:rPr>
        <w:t xml:space="preserve">". יחד עם זאת, במיוחד שעה שעל פי תקנה 25(ו) </w:t>
      </w:r>
      <w:r w:rsidRPr="00086577">
        <w:rPr>
          <w:rFonts w:ascii="David" w:hAnsi="David" w:hint="cs"/>
          <w:noProof w:val="0"/>
          <w:rtl/>
        </w:rPr>
        <w:t>לתקנות המשפחה</w:t>
      </w:r>
      <w:r>
        <w:rPr>
          <w:rFonts w:ascii="David" w:hAnsi="David" w:hint="cs"/>
          <w:noProof w:val="0"/>
          <w:rtl/>
        </w:rPr>
        <w:t xml:space="preserve">, ככלל, יש לשלוח שאלות הבהרה למומחה לפני שמוגשת בקשה לחקירתו, יש לאפשר משלוח שאלות הבהרה בדבר השפעת חוו"ד גורביץ על מסקנות חוות הדעת ולאור תשובותיו ניתן יהיה לשקול האם יש צורך גם לזמנו לחקירה. כמו כן, הצגת חוות הדעת למומחה רק במהלך חקירתו, לא תאפשר לו להתכונן כדבעי וליתן תשובות מושכלות לאחר בדיקה שיערוך ולכן רצוי להעלות נושא זה כבר במסגרת שאלות הבהרה.        </w:t>
      </w:r>
    </w:p>
    <w:p w:rsidR="00303028" w:rsidRPr="00BB2D8E" w:rsidRDefault="00303028" w:rsidP="00303028">
      <w:pPr>
        <w:pStyle w:val="ad"/>
        <w:rPr>
          <w:rFonts w:ascii="David" w:hAnsi="David"/>
          <w:noProof w:val="0"/>
          <w:sz w:val="20"/>
          <w:szCs w:val="20"/>
          <w:rtl/>
        </w:rPr>
      </w:pPr>
    </w:p>
    <w:p w:rsidR="00C662BC" w:rsidRDefault="004A7DDA" w:rsidP="000D5819">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מתן אפשרות להציג א</w:t>
      </w:r>
      <w:r w:rsidR="00C662BC" w:rsidRPr="000D5819">
        <w:rPr>
          <w:rFonts w:ascii="David" w:hAnsi="David"/>
          <w:noProof w:val="0"/>
          <w:rtl/>
        </w:rPr>
        <w:t>ת חוות הדעת הפרטית לאחר שתוגש חוות דעת המומחה שמונה ע"י בית המשפט תאפשר עשיית שימוש בחוות הדעת ותסייע בגילוי האמת</w:t>
      </w:r>
      <w:r w:rsidR="00414EF0" w:rsidRPr="000D5819">
        <w:rPr>
          <w:rFonts w:ascii="David" w:hAnsi="David"/>
          <w:noProof w:val="0"/>
          <w:rtl/>
        </w:rPr>
        <w:t>,</w:t>
      </w:r>
      <w:r w:rsidR="00C662BC" w:rsidRPr="000D5819">
        <w:rPr>
          <w:rFonts w:ascii="David" w:hAnsi="David"/>
          <w:noProof w:val="0"/>
          <w:rtl/>
        </w:rPr>
        <w:t xml:space="preserve"> תוך שבית המשפט ישקול את משקלה של חוות הדעת שהוזמנה ע"י צד בצפייה להליך משפטי עתידי.</w:t>
      </w:r>
    </w:p>
    <w:p w:rsidR="00EF38B8" w:rsidRPr="00EF38B8" w:rsidRDefault="00EF38B8" w:rsidP="00EF38B8">
      <w:pPr>
        <w:pStyle w:val="ad"/>
        <w:rPr>
          <w:rFonts w:ascii="David" w:hAnsi="David"/>
          <w:noProof w:val="0"/>
          <w:rtl/>
        </w:rPr>
      </w:pPr>
    </w:p>
    <w:p w:rsidR="00CF032F" w:rsidRDefault="00C662BC" w:rsidP="000D5819">
      <w:pPr>
        <w:pStyle w:val="ad"/>
        <w:numPr>
          <w:ilvl w:val="0"/>
          <w:numId w:val="6"/>
        </w:numPr>
        <w:spacing w:after="240" w:line="360" w:lineRule="auto"/>
        <w:ind w:left="-57" w:hanging="708"/>
        <w:jc w:val="both"/>
        <w:rPr>
          <w:rFonts w:ascii="David" w:hAnsi="David"/>
          <w:noProof w:val="0"/>
        </w:rPr>
      </w:pPr>
      <w:r w:rsidRPr="000D5819">
        <w:rPr>
          <w:rFonts w:ascii="David" w:hAnsi="David"/>
          <w:b/>
          <w:bCs/>
          <w:noProof w:val="0"/>
          <w:rtl/>
        </w:rPr>
        <w:t>סיכומו של דבר</w:t>
      </w:r>
      <w:r w:rsidRPr="000D5819">
        <w:rPr>
          <w:rFonts w:ascii="David" w:hAnsi="David"/>
          <w:noProof w:val="0"/>
          <w:rtl/>
        </w:rPr>
        <w:t xml:space="preserve">: הבקשה מתקבלת ואף הערעור לגופו וההחלטה מבוטלת. </w:t>
      </w:r>
      <w:r w:rsidR="00BA01F6">
        <w:rPr>
          <w:rFonts w:ascii="David" w:hAnsi="David" w:hint="cs"/>
          <w:noProof w:val="0"/>
          <w:rtl/>
        </w:rPr>
        <w:t xml:space="preserve">לאחר שתוגש חוות הדעת המתוקנת </w:t>
      </w:r>
      <w:r w:rsidR="00874EA3">
        <w:rPr>
          <w:rFonts w:ascii="David" w:hAnsi="David" w:hint="cs"/>
          <w:noProof w:val="0"/>
          <w:rtl/>
        </w:rPr>
        <w:t xml:space="preserve">של המומחה </w:t>
      </w:r>
      <w:r w:rsidR="00BA01F6">
        <w:rPr>
          <w:rFonts w:ascii="David" w:hAnsi="David" w:hint="cs"/>
          <w:noProof w:val="0"/>
          <w:rtl/>
        </w:rPr>
        <w:t xml:space="preserve">(ככל שטרם הוגשה), </w:t>
      </w:r>
      <w:r w:rsidRPr="000D5819">
        <w:rPr>
          <w:rFonts w:ascii="David" w:hAnsi="David"/>
          <w:noProof w:val="0"/>
          <w:rtl/>
        </w:rPr>
        <w:t>המומחה ישיב לשאלות ההבהרה בעניין חו"ד גורביץ והמבקשת א</w:t>
      </w:r>
      <w:r w:rsidR="00110DA5">
        <w:rPr>
          <w:rFonts w:ascii="David" w:hAnsi="David"/>
          <w:noProof w:val="0"/>
          <w:rtl/>
        </w:rPr>
        <w:t>ף תוכל להגיש בקשה לחקירת המומחה</w:t>
      </w:r>
      <w:r w:rsidRPr="000D5819">
        <w:rPr>
          <w:rFonts w:ascii="David" w:hAnsi="David"/>
          <w:noProof w:val="0"/>
          <w:rtl/>
        </w:rPr>
        <w:t xml:space="preserve"> ולעמת אותו עם חו"ד גורביץ.   </w:t>
      </w:r>
    </w:p>
    <w:p w:rsidR="00EF38B8" w:rsidRPr="00EF38B8" w:rsidRDefault="00EF38B8" w:rsidP="00EF38B8">
      <w:pPr>
        <w:pStyle w:val="ad"/>
        <w:rPr>
          <w:rFonts w:ascii="David" w:hAnsi="David"/>
          <w:noProof w:val="0"/>
          <w:rtl/>
        </w:rPr>
      </w:pPr>
    </w:p>
    <w:p w:rsidR="00CF032F" w:rsidRDefault="00CF032F" w:rsidP="00874EA3">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המשיבים</w:t>
      </w:r>
      <w:r w:rsidR="005A269C">
        <w:rPr>
          <w:rFonts w:ascii="David" w:hAnsi="David" w:hint="cs"/>
          <w:noProof w:val="0"/>
          <w:rtl/>
        </w:rPr>
        <w:t xml:space="preserve"> 1-2 </w:t>
      </w:r>
      <w:r w:rsidRPr="000D5819">
        <w:rPr>
          <w:rFonts w:ascii="David" w:hAnsi="David"/>
          <w:noProof w:val="0"/>
          <w:rtl/>
        </w:rPr>
        <w:t>ישלמו למבקשת</w:t>
      </w:r>
      <w:r w:rsidR="0032125A">
        <w:rPr>
          <w:rFonts w:ascii="David" w:hAnsi="David" w:hint="cs"/>
          <w:noProof w:val="0"/>
          <w:rtl/>
        </w:rPr>
        <w:t xml:space="preserve"> הוצאות </w:t>
      </w:r>
      <w:r w:rsidR="00874EA3">
        <w:rPr>
          <w:rFonts w:ascii="David" w:hAnsi="David" w:hint="cs"/>
          <w:noProof w:val="0"/>
          <w:rtl/>
        </w:rPr>
        <w:t xml:space="preserve">ושכ"ט עו"ד </w:t>
      </w:r>
      <w:r w:rsidR="000C1F96">
        <w:rPr>
          <w:rFonts w:ascii="David" w:hAnsi="David" w:hint="cs"/>
          <w:noProof w:val="0"/>
          <w:rtl/>
        </w:rPr>
        <w:t>בסך</w:t>
      </w:r>
      <w:r w:rsidR="00C85D53">
        <w:rPr>
          <w:rFonts w:ascii="David" w:hAnsi="David" w:hint="cs"/>
          <w:noProof w:val="0"/>
          <w:rtl/>
        </w:rPr>
        <w:t xml:space="preserve"> של </w:t>
      </w:r>
      <w:r w:rsidR="000C1F96">
        <w:rPr>
          <w:rFonts w:ascii="David" w:hAnsi="David" w:hint="cs"/>
          <w:noProof w:val="0"/>
          <w:rtl/>
        </w:rPr>
        <w:t xml:space="preserve"> 10</w:t>
      </w:r>
      <w:r w:rsidR="0032125A" w:rsidRPr="000C1F96">
        <w:rPr>
          <w:rFonts w:ascii="David" w:hAnsi="David" w:hint="cs"/>
          <w:noProof w:val="0"/>
          <w:rtl/>
        </w:rPr>
        <w:t>,000 ₪</w:t>
      </w:r>
      <w:r w:rsidR="0032125A">
        <w:rPr>
          <w:rFonts w:ascii="David" w:hAnsi="David" w:hint="cs"/>
          <w:noProof w:val="0"/>
          <w:rtl/>
        </w:rPr>
        <w:t xml:space="preserve"> </w:t>
      </w:r>
      <w:r w:rsidR="00874EA3">
        <w:rPr>
          <w:rFonts w:ascii="David" w:hAnsi="David" w:hint="cs"/>
          <w:noProof w:val="0"/>
          <w:rtl/>
        </w:rPr>
        <w:t>ו</w:t>
      </w:r>
      <w:r w:rsidRPr="00EF38B8">
        <w:rPr>
          <w:rFonts w:ascii="David" w:hAnsi="David"/>
          <w:noProof w:val="0"/>
          <w:rtl/>
        </w:rPr>
        <w:t>הערובה על פירותיה תושב למבקשת באמצעות ב"כ.</w:t>
      </w:r>
    </w:p>
    <w:p w:rsidR="00EF38B8" w:rsidRPr="00EF38B8" w:rsidRDefault="00EF38B8" w:rsidP="00EF38B8">
      <w:pPr>
        <w:pStyle w:val="ad"/>
        <w:spacing w:after="240" w:line="360" w:lineRule="auto"/>
        <w:ind w:left="-57"/>
        <w:jc w:val="both"/>
        <w:rPr>
          <w:rFonts w:ascii="David" w:hAnsi="David"/>
          <w:noProof w:val="0"/>
          <w:sz w:val="16"/>
          <w:szCs w:val="16"/>
        </w:rPr>
      </w:pPr>
    </w:p>
    <w:p w:rsidR="003A2212" w:rsidRPr="000D5819" w:rsidRDefault="00CF032F" w:rsidP="000D5819">
      <w:pPr>
        <w:pStyle w:val="ad"/>
        <w:numPr>
          <w:ilvl w:val="0"/>
          <w:numId w:val="6"/>
        </w:numPr>
        <w:spacing w:after="240" w:line="360" w:lineRule="auto"/>
        <w:ind w:left="-57" w:hanging="708"/>
        <w:jc w:val="both"/>
        <w:rPr>
          <w:rFonts w:ascii="David" w:hAnsi="David"/>
          <w:noProof w:val="0"/>
        </w:rPr>
      </w:pPr>
      <w:r w:rsidRPr="000D5819">
        <w:rPr>
          <w:rFonts w:ascii="David" w:hAnsi="David"/>
          <w:noProof w:val="0"/>
          <w:rtl/>
        </w:rPr>
        <w:t>פסק הדין מותר לפרסום בכפוף להשמטת הפרטים המזהים.</w:t>
      </w:r>
      <w:r w:rsidR="005A73AF" w:rsidRPr="000D5819">
        <w:rPr>
          <w:rFonts w:ascii="David" w:hAnsi="David"/>
          <w:noProof w:val="0"/>
          <w:rtl/>
        </w:rPr>
        <w:t xml:space="preserve"> </w:t>
      </w:r>
    </w:p>
    <w:p w:rsidR="00694556" w:rsidRDefault="00005C8B" w:rsidP="0032125A">
      <w:pPr>
        <w:spacing w:line="360" w:lineRule="auto"/>
        <w:ind w:hanging="57"/>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ט' אייר תשפ"ב</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10 מאי 2022</w:t>
          </w:r>
        </w:sdtContent>
      </w:sdt>
      <w:r>
        <w:rPr>
          <w:rFonts w:ascii="Arial" w:hAnsi="Arial"/>
          <w:noProof w:val="0"/>
          <w:rtl/>
        </w:rPr>
        <w:t>, בהעדר הצדדים.</w:t>
      </w:r>
    </w:p>
    <w:p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8C22DD" w:rsidP="00633C4F">
      <w:pPr>
        <w:spacing w:line="360" w:lineRule="auto"/>
        <w:ind w:left="3600" w:firstLine="720"/>
      </w:pPr>
      <w:sdt>
        <w:sdtPr>
          <w:rPr>
            <w:rtl/>
          </w:rPr>
          <w:alias w:val="MergeField"/>
          <w:tag w:val="1237"/>
          <w:id w:val="-1523625288"/>
        </w:sdtPr>
        <w:sdtEndPr/>
        <w:sdtContent>
          <w:r w:rsidR="005D1B73">
            <w:drawing>
              <wp:inline distT="0" distB="0" distL="0" distR="0" wp14:editId="50D07946">
                <wp:extent cx="13335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333500" cy="704850"/>
                        </a:xfrm>
                        <a:prstGeom prst="rect">
                          <a:avLst/>
                        </a:prstGeom>
                      </pic:spPr>
                    </pic:pic>
                  </a:graphicData>
                </a:graphic>
              </wp:inline>
            </w:drawing>
          </w:r>
        </w:sdtContent>
      </w:sdt>
    </w:p>
    <w:p w:rsidR="00694556" w:rsidRDefault="00694556" w:rsidP="00633C4F">
      <w:pPr>
        <w:spacing w:line="360" w:lineRule="auto"/>
        <w:ind w:left="3600" w:firstLine="720"/>
        <w:rPr>
          <w:rFonts w:ascii="Arial" w:hAnsi="Arial"/>
          <w:noProof w:val="0"/>
          <w:rtl/>
        </w:rPr>
      </w:pPr>
    </w:p>
    <w:p w:rsidR="00694556" w:rsidRDefault="00694556">
      <w:pPr>
        <w:spacing w:line="360" w:lineRule="auto"/>
        <w:jc w:val="both"/>
        <w:rPr>
          <w:rFonts w:ascii="Arial" w:hAnsi="Arial"/>
          <w:noProof w:val="0"/>
          <w:rtl/>
        </w:rPr>
      </w:pPr>
    </w:p>
    <w:sectPr w:rsidR="00694556" w:rsidSect="006B5553">
      <w:headerReference w:type="default" r:id="rId9"/>
      <w:footerReference w:type="default" r:id="rId10"/>
      <w:pgSz w:w="11907" w:h="16840" w:code="9"/>
      <w:pgMar w:top="1440" w:right="1800" w:bottom="1440" w:left="1800"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32" w:rsidRDefault="00D54532">
      <w:r>
        <w:separator/>
      </w:r>
    </w:p>
  </w:endnote>
  <w:endnote w:type="continuationSeparator" w:id="0">
    <w:p w:rsidR="00D54532" w:rsidRDefault="00D5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altName w:val="Malgun Gothic Semilight"/>
    <w:charset w:val="00"/>
    <w:family w:val="swiss"/>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8C22DD">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8C22DD">
      <w:rPr>
        <w:rStyle w:val="ab"/>
        <w:rtl/>
      </w:rPr>
      <w:t>1</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32" w:rsidRDefault="00D54532">
      <w:r>
        <w:separator/>
      </w:r>
    </w:p>
  </w:footnote>
  <w:footnote w:type="continuationSeparator" w:id="0">
    <w:p w:rsidR="00D54532" w:rsidRDefault="00D5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r>
      <w:rPr>
        <w:rFonts w:cs="FrankRuehl"/>
        <w:sz w:val="28"/>
        <w:szCs w:val="28"/>
      </w:rPr>
      <w:drawing>
        <wp:inline distT="0" distB="0" distL="0" distR="0" wp14:anchorId="5DD70561" wp14:editId="1CF64098">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8307"/>
    </w:tblGrid>
    <w:tr w:rsidR="00694556" w:rsidTr="000D5819">
      <w:trPr>
        <w:trHeight w:hRule="exact" w:val="670"/>
        <w:jc w:val="center"/>
      </w:trPr>
      <w:sdt>
        <w:sdtPr>
          <w:rPr>
            <w:sz w:val="32"/>
            <w:szCs w:val="32"/>
            <w:rtl/>
          </w:rPr>
          <w:alias w:val="1174"/>
          <w:tag w:val="1174"/>
          <w:id w:val="-1775709220"/>
          <w:text/>
        </w:sdtPr>
        <w:sdtEndPr/>
        <w:sdtContent>
          <w:tc>
            <w:tcPr>
              <w:tcW w:w="8307" w:type="dxa"/>
            </w:tcPr>
            <w:p w:rsidR="00694556" w:rsidRPr="00CD0055" w:rsidRDefault="00005C8B">
              <w:pPr>
                <w:pStyle w:val="a3"/>
                <w:jc w:val="center"/>
                <w:rPr>
                  <w:rFonts w:ascii="Tahoma" w:hAnsi="Tahoma"/>
                  <w:noProof w:val="0"/>
                  <w:color w:val="000080"/>
                  <w:sz w:val="32"/>
                  <w:szCs w:val="32"/>
                  <w:rtl/>
                </w:rPr>
              </w:pPr>
              <w:r w:rsidRPr="00CD0055">
                <w:rPr>
                  <w:rFonts w:ascii="Tahoma" w:hAnsi="Tahoma"/>
                  <w:b/>
                  <w:bCs/>
                  <w:noProof w:val="0"/>
                  <w:color w:val="000080"/>
                  <w:sz w:val="32"/>
                  <w:szCs w:val="32"/>
                  <w:rtl/>
                </w:rPr>
                <w:t>בית המשפט המחוזי בתל אביב - יפו בשבתו כבית-משפט לערעורים אזרחיים</w:t>
              </w:r>
            </w:p>
          </w:tc>
        </w:sdtContent>
      </w:sdt>
    </w:tr>
    <w:tr w:rsidR="00694556" w:rsidRPr="00CD0055" w:rsidTr="000D5819">
      <w:trPr>
        <w:trHeight w:val="337"/>
        <w:jc w:val="center"/>
      </w:trPr>
      <w:tc>
        <w:tcPr>
          <w:tcW w:w="8307" w:type="dxa"/>
        </w:tcPr>
        <w:p w:rsidR="00957C90" w:rsidRPr="00CD0055" w:rsidRDefault="008C22DD" w:rsidP="007F5FCF">
          <w:pPr>
            <w:rPr>
              <w:b/>
              <w:bCs/>
              <w:noProof w:val="0"/>
              <w:sz w:val="26"/>
              <w:szCs w:val="26"/>
              <w:rtl/>
            </w:rPr>
          </w:pPr>
          <w:sdt>
            <w:sdtPr>
              <w:rPr>
                <w:b/>
                <w:bCs/>
                <w:noProof w:val="0"/>
                <w:sz w:val="26"/>
                <w:szCs w:val="26"/>
                <w:rtl/>
              </w:rPr>
              <w:alias w:val="1170"/>
              <w:tag w:val="1170"/>
              <w:id w:val="299038016"/>
              <w:text w:multiLine="1"/>
            </w:sdtPr>
            <w:sdtEndPr/>
            <w:sdtContent>
              <w:r w:rsidR="006B5553">
                <w:rPr>
                  <w:b/>
                  <w:bCs/>
                  <w:noProof w:val="0"/>
                  <w:sz w:val="26"/>
                  <w:szCs w:val="26"/>
                  <w:rtl/>
                </w:rPr>
                <w:t>רמ"ש</w:t>
              </w:r>
            </w:sdtContent>
          </w:sdt>
          <w:r w:rsidR="00005C8B" w:rsidRPr="00CD0055">
            <w:rPr>
              <w:b/>
              <w:bCs/>
              <w:noProof w:val="0"/>
              <w:sz w:val="26"/>
              <w:szCs w:val="26"/>
              <w:rtl/>
            </w:rPr>
            <w:t xml:space="preserve"> </w:t>
          </w:r>
          <w:sdt>
            <w:sdtPr>
              <w:rPr>
                <w:b/>
                <w:bCs/>
                <w:noProof w:val="0"/>
                <w:sz w:val="26"/>
                <w:szCs w:val="26"/>
                <w:rtl/>
              </w:rPr>
              <w:alias w:val="1171"/>
              <w:tag w:val="1171"/>
              <w:id w:val="81650337"/>
              <w:text w:multiLine="1"/>
            </w:sdtPr>
            <w:sdtEndPr/>
            <w:sdtContent>
              <w:r w:rsidR="006B5553">
                <w:rPr>
                  <w:b/>
                  <w:bCs/>
                  <w:noProof w:val="0"/>
                  <w:sz w:val="26"/>
                  <w:szCs w:val="26"/>
                  <w:rtl/>
                </w:rPr>
                <w:t>6211-04-22</w:t>
              </w:r>
            </w:sdtContent>
          </w:sdt>
          <w:r w:rsidR="00005C8B" w:rsidRPr="00CD0055">
            <w:rPr>
              <w:b/>
              <w:bCs/>
              <w:noProof w:val="0"/>
              <w:sz w:val="26"/>
              <w:szCs w:val="26"/>
              <w:rtl/>
            </w:rPr>
            <w:t xml:space="preserve"> </w:t>
          </w:r>
          <w:sdt>
            <w:sdtPr>
              <w:rPr>
                <w:b/>
                <w:bCs/>
                <w:noProof w:val="0"/>
                <w:sz w:val="26"/>
                <w:szCs w:val="26"/>
                <w:rtl/>
              </w:rPr>
              <w:alias w:val="1172"/>
              <w:tag w:val="1172"/>
              <w:id w:val="-1742169342"/>
              <w:text w:multiLine="1"/>
            </w:sdtPr>
            <w:sdtEndPr/>
            <w:sdtContent>
              <w:r w:rsidR="007F5FCF">
                <w:rPr>
                  <w:rFonts w:hint="cs"/>
                  <w:b/>
                  <w:bCs/>
                  <w:noProof w:val="0"/>
                  <w:sz w:val="26"/>
                  <w:szCs w:val="26"/>
                  <w:rtl/>
                </w:rPr>
                <w:t xml:space="preserve">פלונית </w:t>
              </w:r>
              <w:r w:rsidR="006B5553">
                <w:rPr>
                  <w:b/>
                  <w:bCs/>
                  <w:noProof w:val="0"/>
                  <w:sz w:val="26"/>
                  <w:szCs w:val="26"/>
                  <w:rtl/>
                </w:rPr>
                <w:t>נ' הסיוע המשפטי - מחוז ת"א (אפוטרופסות) ואח'</w:t>
              </w:r>
            </w:sdtContent>
          </w:sdt>
        </w:p>
      </w:tc>
    </w:tr>
  </w:tbl>
  <w:p w:rsidR="00694556" w:rsidRPr="00CD0055" w:rsidRDefault="00694556">
    <w:pPr>
      <w:pStyle w:val="a3"/>
      <w:rPr>
        <w:noProof w:val="0"/>
        <w:sz w:val="26"/>
        <w:szCs w:val="26"/>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B1DD6"/>
    <w:multiLevelType w:val="hybridMultilevel"/>
    <w:tmpl w:val="7894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1643D"/>
    <w:multiLevelType w:val="hybridMultilevel"/>
    <w:tmpl w:val="EF02D742"/>
    <w:lvl w:ilvl="0" w:tplc="A87895FA">
      <w:start w:val="1"/>
      <w:numFmt w:val="decimal"/>
      <w:lvlText w:val="%1."/>
      <w:lvlJc w:val="left"/>
      <w:pPr>
        <w:ind w:left="720" w:hanging="360"/>
      </w:pPr>
      <w:rPr>
        <w:rFonts w:ascii="Arial" w:hAnsi="Arial" w:cs="Times New Roman" w:hint="default"/>
        <w:b w:val="0"/>
        <w:bCs w:val="0"/>
        <w:sz w:val="26"/>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F038D9"/>
    <w:multiLevelType w:val="hybridMultilevel"/>
    <w:tmpl w:val="60E8127C"/>
    <w:lvl w:ilvl="0" w:tplc="2E2496F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 w15:restartNumberingAfterBreak="0">
    <w:nsid w:val="4F901932"/>
    <w:multiLevelType w:val="hybridMultilevel"/>
    <w:tmpl w:val="B30432C8"/>
    <w:lvl w:ilvl="0" w:tplc="7E8EAE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E260A"/>
    <w:multiLevelType w:val="hybridMultilevel"/>
    <w:tmpl w:val="83024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11E05"/>
    <w:multiLevelType w:val="hybridMultilevel"/>
    <w:tmpl w:val="0EE823D0"/>
    <w:lvl w:ilvl="0" w:tplc="0F28C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0D2DAE"/>
    <w:multiLevelType w:val="hybridMultilevel"/>
    <w:tmpl w:val="91981162"/>
    <w:lvl w:ilvl="0" w:tplc="B66011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4C7"/>
    <w:rsid w:val="00005C8B"/>
    <w:rsid w:val="0000781E"/>
    <w:rsid w:val="000146C2"/>
    <w:rsid w:val="00016C35"/>
    <w:rsid w:val="000258FD"/>
    <w:rsid w:val="00037855"/>
    <w:rsid w:val="000446C0"/>
    <w:rsid w:val="000564AB"/>
    <w:rsid w:val="00081C2D"/>
    <w:rsid w:val="00086577"/>
    <w:rsid w:val="0009069A"/>
    <w:rsid w:val="000B2E97"/>
    <w:rsid w:val="000C1768"/>
    <w:rsid w:val="000C1F96"/>
    <w:rsid w:val="000D4A02"/>
    <w:rsid w:val="000D5819"/>
    <w:rsid w:val="000E04C2"/>
    <w:rsid w:val="000E792B"/>
    <w:rsid w:val="000F1434"/>
    <w:rsid w:val="001072A9"/>
    <w:rsid w:val="00110DA5"/>
    <w:rsid w:val="00121F97"/>
    <w:rsid w:val="001277D7"/>
    <w:rsid w:val="00132017"/>
    <w:rsid w:val="0014234E"/>
    <w:rsid w:val="00143B36"/>
    <w:rsid w:val="00145A87"/>
    <w:rsid w:val="00153446"/>
    <w:rsid w:val="00181326"/>
    <w:rsid w:val="00190AB4"/>
    <w:rsid w:val="001940F1"/>
    <w:rsid w:val="001C4003"/>
    <w:rsid w:val="001F14C2"/>
    <w:rsid w:val="001F5474"/>
    <w:rsid w:val="00220E92"/>
    <w:rsid w:val="00231C14"/>
    <w:rsid w:val="002352F7"/>
    <w:rsid w:val="00241012"/>
    <w:rsid w:val="00252406"/>
    <w:rsid w:val="002636F4"/>
    <w:rsid w:val="00295DD1"/>
    <w:rsid w:val="002A18DF"/>
    <w:rsid w:val="002B4396"/>
    <w:rsid w:val="002B43BB"/>
    <w:rsid w:val="002C4189"/>
    <w:rsid w:val="00300274"/>
    <w:rsid w:val="00303028"/>
    <w:rsid w:val="0032125A"/>
    <w:rsid w:val="0037639F"/>
    <w:rsid w:val="00381D3A"/>
    <w:rsid w:val="003823DA"/>
    <w:rsid w:val="003827E2"/>
    <w:rsid w:val="003A2212"/>
    <w:rsid w:val="003D16FF"/>
    <w:rsid w:val="00414EF0"/>
    <w:rsid w:val="00417ACF"/>
    <w:rsid w:val="00430C2F"/>
    <w:rsid w:val="0043595F"/>
    <w:rsid w:val="004359AE"/>
    <w:rsid w:val="00463FDE"/>
    <w:rsid w:val="00466DCD"/>
    <w:rsid w:val="004725C2"/>
    <w:rsid w:val="0047645A"/>
    <w:rsid w:val="004909BE"/>
    <w:rsid w:val="004A7DDA"/>
    <w:rsid w:val="004B3402"/>
    <w:rsid w:val="004C4C99"/>
    <w:rsid w:val="004D49A3"/>
    <w:rsid w:val="004E6E3C"/>
    <w:rsid w:val="004F46C5"/>
    <w:rsid w:val="004F503E"/>
    <w:rsid w:val="00507121"/>
    <w:rsid w:val="005124F1"/>
    <w:rsid w:val="0051350E"/>
    <w:rsid w:val="005142A9"/>
    <w:rsid w:val="005254B9"/>
    <w:rsid w:val="00530BAD"/>
    <w:rsid w:val="00541598"/>
    <w:rsid w:val="00547DB7"/>
    <w:rsid w:val="00561139"/>
    <w:rsid w:val="00567324"/>
    <w:rsid w:val="005819D4"/>
    <w:rsid w:val="00584008"/>
    <w:rsid w:val="00596F33"/>
    <w:rsid w:val="00597951"/>
    <w:rsid w:val="005A269C"/>
    <w:rsid w:val="005A73AF"/>
    <w:rsid w:val="005A7477"/>
    <w:rsid w:val="005B0443"/>
    <w:rsid w:val="005B0F49"/>
    <w:rsid w:val="005C6354"/>
    <w:rsid w:val="005C7EC6"/>
    <w:rsid w:val="005D1B73"/>
    <w:rsid w:val="005D48AF"/>
    <w:rsid w:val="005D4BDB"/>
    <w:rsid w:val="005E2317"/>
    <w:rsid w:val="005E35F5"/>
    <w:rsid w:val="005F3BE2"/>
    <w:rsid w:val="00622BAA"/>
    <w:rsid w:val="00625C89"/>
    <w:rsid w:val="00633C4F"/>
    <w:rsid w:val="00654342"/>
    <w:rsid w:val="006568B7"/>
    <w:rsid w:val="00660A0C"/>
    <w:rsid w:val="00671BD5"/>
    <w:rsid w:val="00673C26"/>
    <w:rsid w:val="006805C1"/>
    <w:rsid w:val="006816EC"/>
    <w:rsid w:val="00694556"/>
    <w:rsid w:val="006B5553"/>
    <w:rsid w:val="006D0FEE"/>
    <w:rsid w:val="006E04CA"/>
    <w:rsid w:val="006E1A53"/>
    <w:rsid w:val="007056AA"/>
    <w:rsid w:val="00712B64"/>
    <w:rsid w:val="007319AA"/>
    <w:rsid w:val="00744F41"/>
    <w:rsid w:val="00745FA7"/>
    <w:rsid w:val="00750CE8"/>
    <w:rsid w:val="00783119"/>
    <w:rsid w:val="007978A0"/>
    <w:rsid w:val="007A177C"/>
    <w:rsid w:val="007A24FE"/>
    <w:rsid w:val="007A35AA"/>
    <w:rsid w:val="007D0CAA"/>
    <w:rsid w:val="007F1048"/>
    <w:rsid w:val="007F5FCF"/>
    <w:rsid w:val="00802ABE"/>
    <w:rsid w:val="00820005"/>
    <w:rsid w:val="0083107C"/>
    <w:rsid w:val="008322BB"/>
    <w:rsid w:val="00834794"/>
    <w:rsid w:val="00846D27"/>
    <w:rsid w:val="00852223"/>
    <w:rsid w:val="00860C08"/>
    <w:rsid w:val="008610A7"/>
    <w:rsid w:val="008715BC"/>
    <w:rsid w:val="00874EA3"/>
    <w:rsid w:val="008805E1"/>
    <w:rsid w:val="00886CC5"/>
    <w:rsid w:val="008C22DD"/>
    <w:rsid w:val="008C53BD"/>
    <w:rsid w:val="008C720D"/>
    <w:rsid w:val="008E1332"/>
    <w:rsid w:val="008E55A6"/>
    <w:rsid w:val="00903896"/>
    <w:rsid w:val="00914A46"/>
    <w:rsid w:val="00921A2B"/>
    <w:rsid w:val="00926E25"/>
    <w:rsid w:val="009271FD"/>
    <w:rsid w:val="00927813"/>
    <w:rsid w:val="0093463E"/>
    <w:rsid w:val="00944D13"/>
    <w:rsid w:val="00957C90"/>
    <w:rsid w:val="009E0263"/>
    <w:rsid w:val="009E2F53"/>
    <w:rsid w:val="009F0A61"/>
    <w:rsid w:val="00A016C7"/>
    <w:rsid w:val="00A0260A"/>
    <w:rsid w:val="00A0745C"/>
    <w:rsid w:val="00A267CF"/>
    <w:rsid w:val="00A4081F"/>
    <w:rsid w:val="00A41112"/>
    <w:rsid w:val="00A43458"/>
    <w:rsid w:val="00A51055"/>
    <w:rsid w:val="00A83C9E"/>
    <w:rsid w:val="00AB43CC"/>
    <w:rsid w:val="00AC01A2"/>
    <w:rsid w:val="00AC4E19"/>
    <w:rsid w:val="00AF1ED6"/>
    <w:rsid w:val="00AF5D5A"/>
    <w:rsid w:val="00AF6758"/>
    <w:rsid w:val="00AF7F08"/>
    <w:rsid w:val="00B072C3"/>
    <w:rsid w:val="00B20F35"/>
    <w:rsid w:val="00B32C61"/>
    <w:rsid w:val="00B3341E"/>
    <w:rsid w:val="00B33C43"/>
    <w:rsid w:val="00B368FE"/>
    <w:rsid w:val="00B6272C"/>
    <w:rsid w:val="00B80CBD"/>
    <w:rsid w:val="00B86D80"/>
    <w:rsid w:val="00B94DB8"/>
    <w:rsid w:val="00B96846"/>
    <w:rsid w:val="00BA01F6"/>
    <w:rsid w:val="00BB2D8E"/>
    <w:rsid w:val="00BC3369"/>
    <w:rsid w:val="00BD52FE"/>
    <w:rsid w:val="00BF70FE"/>
    <w:rsid w:val="00BF77EE"/>
    <w:rsid w:val="00C32E0F"/>
    <w:rsid w:val="00C42BF9"/>
    <w:rsid w:val="00C46F4D"/>
    <w:rsid w:val="00C662BC"/>
    <w:rsid w:val="00C72DC6"/>
    <w:rsid w:val="00C83883"/>
    <w:rsid w:val="00C83E56"/>
    <w:rsid w:val="00C85D53"/>
    <w:rsid w:val="00C9671E"/>
    <w:rsid w:val="00CB6606"/>
    <w:rsid w:val="00CD0055"/>
    <w:rsid w:val="00CE0A2E"/>
    <w:rsid w:val="00CF032F"/>
    <w:rsid w:val="00CF26EF"/>
    <w:rsid w:val="00CF6B88"/>
    <w:rsid w:val="00D3159A"/>
    <w:rsid w:val="00D319B3"/>
    <w:rsid w:val="00D53924"/>
    <w:rsid w:val="00D541CD"/>
    <w:rsid w:val="00D54532"/>
    <w:rsid w:val="00D60849"/>
    <w:rsid w:val="00D67B24"/>
    <w:rsid w:val="00D7042D"/>
    <w:rsid w:val="00D96D8C"/>
    <w:rsid w:val="00D97CE1"/>
    <w:rsid w:val="00DD337E"/>
    <w:rsid w:val="00DF5D76"/>
    <w:rsid w:val="00DF7247"/>
    <w:rsid w:val="00E00B6F"/>
    <w:rsid w:val="00E0311B"/>
    <w:rsid w:val="00E123D7"/>
    <w:rsid w:val="00E24045"/>
    <w:rsid w:val="00E46C33"/>
    <w:rsid w:val="00E50B33"/>
    <w:rsid w:val="00E54642"/>
    <w:rsid w:val="00E607F1"/>
    <w:rsid w:val="00E61BAC"/>
    <w:rsid w:val="00E83069"/>
    <w:rsid w:val="00E869AA"/>
    <w:rsid w:val="00E97908"/>
    <w:rsid w:val="00EA60DF"/>
    <w:rsid w:val="00EB03E5"/>
    <w:rsid w:val="00ED1A33"/>
    <w:rsid w:val="00ED496B"/>
    <w:rsid w:val="00EE7642"/>
    <w:rsid w:val="00EF38B8"/>
    <w:rsid w:val="00EF3ED0"/>
    <w:rsid w:val="00EF7AFD"/>
    <w:rsid w:val="00F06D77"/>
    <w:rsid w:val="00F17E56"/>
    <w:rsid w:val="00F219E4"/>
    <w:rsid w:val="00F347DC"/>
    <w:rsid w:val="00F6449E"/>
    <w:rsid w:val="00F93E9D"/>
    <w:rsid w:val="00FA7529"/>
    <w:rsid w:val="00FE2C72"/>
    <w:rsid w:val="00FE7391"/>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596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70158">
      <w:bodyDiv w:val="1"/>
      <w:marLeft w:val="0"/>
      <w:marRight w:val="0"/>
      <w:marTop w:val="0"/>
      <w:marBottom w:val="0"/>
      <w:divBdr>
        <w:top w:val="none" w:sz="0" w:space="0" w:color="auto"/>
        <w:left w:val="none" w:sz="0" w:space="0" w:color="auto"/>
        <w:bottom w:val="none" w:sz="0" w:space="0" w:color="auto"/>
        <w:right w:val="none" w:sz="0" w:space="0" w:color="auto"/>
      </w:divBdr>
    </w:div>
    <w:div w:id="582682633">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227C29"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altName w:val="Malgun Gothic Semilight"/>
    <w:charset w:val="00"/>
    <w:family w:val="swiss"/>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227C29"/>
    <w:rsid w:val="007B1DE1"/>
    <w:rsid w:val="00CC55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5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3607</Words>
  <Characters>18038</Characters>
  <Application>Microsoft Office Word</Application>
  <DocSecurity>4</DocSecurity>
  <Lines>150</Lines>
  <Paragraphs>43</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הדס לרנר</cp:lastModifiedBy>
  <cp:revision>2</cp:revision>
  <dcterms:created xsi:type="dcterms:W3CDTF">2022-05-18T12:00:00Z</dcterms:created>
  <dcterms:modified xsi:type="dcterms:W3CDTF">2022-05-18T12:00:00Z</dcterms:modified>
</cp:coreProperties>
</file>