
<file path=[Content_Types].xml><?xml version="1.0" encoding="utf-8"?>
<Types xmlns="http://schemas.openxmlformats.org/package/2006/content-types">
  <Default Extension="bin" ContentType="application/vnd.ms-word.attachedToolbar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customizations.xml" ContentType="application/vnd.ms-word.keyMapCustomization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816EC" w:rsidRDefault="006816EC" w:rsidP="006816EC">
      <w:pPr>
        <w:suppressLineNumbers/>
        <w:rPr>
          <w:sz w:val="26"/>
          <w:szCs w:val="26"/>
        </w:rPr>
      </w:pPr>
      <w:bookmarkStart w:id="0" w:name="_GoBack"/>
      <w:bookmarkEnd w:id="0"/>
    </w:p>
    <w:tbl>
      <w:tblPr>
        <w:tblStyle w:val="a9"/>
        <w:bidiVisual/>
        <w:tblW w:w="8820"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743"/>
        <w:gridCol w:w="2506"/>
        <w:gridCol w:w="1800"/>
        <w:gridCol w:w="3771"/>
      </w:tblGrid>
      <w:tr w:rsidR="006816EC" w:rsidTr="006816EC">
        <w:trPr>
          <w:trHeight w:val="295"/>
          <w:jc w:val="center"/>
        </w:trPr>
        <w:tc>
          <w:tcPr>
            <w:tcW w:w="5049" w:type="dxa"/>
            <w:gridSpan w:val="3"/>
          </w:tcPr>
          <w:p w:rsidR="006816EC" w:rsidRDefault="006816EC">
            <w:pPr>
              <w:rPr>
                <w:rFonts w:ascii="Arial (W1)" w:hAnsi="Arial (W1)"/>
                <w:b/>
                <w:bCs/>
                <w:noProof w:val="0"/>
                <w:sz w:val="28"/>
                <w:szCs w:val="28"/>
              </w:rPr>
            </w:pPr>
          </w:p>
        </w:tc>
        <w:tc>
          <w:tcPr>
            <w:tcW w:w="3771" w:type="dxa"/>
            <w:hideMark/>
          </w:tcPr>
          <w:p w:rsidR="006816EC" w:rsidRDefault="006816EC">
            <w:pPr>
              <w:rPr>
                <w:rFonts w:ascii="Arial (W1)" w:hAnsi="Arial (W1)"/>
                <w:szCs w:val="28"/>
              </w:rPr>
            </w:pPr>
            <w:r>
              <w:rPr>
                <w:rFonts w:hint="cs"/>
                <w:b/>
                <w:bCs/>
                <w:noProof w:val="0"/>
                <w:sz w:val="28"/>
                <w:rtl/>
              </w:rPr>
              <w:t>מספר בקשה:</w:t>
            </w:r>
            <w:sdt>
              <w:sdtPr>
                <w:rPr>
                  <w:rFonts w:hint="cs"/>
                  <w:rtl/>
                </w:rPr>
                <w:alias w:val="1193"/>
                <w:tag w:val="1193"/>
                <w:id w:val="-1269692480"/>
                <w:text w:multiLine="1"/>
              </w:sdtPr>
              <w:sdtEndPr/>
              <w:sdtContent>
                <w:r>
                  <w:rPr>
                    <w:rFonts w:hint="cs"/>
                    <w:b/>
                    <w:bCs/>
                    <w:noProof w:val="0"/>
                    <w:sz w:val="28"/>
                    <w:rtl/>
                  </w:rPr>
                  <w:t>9</w:t>
                </w:r>
              </w:sdtContent>
            </w:sdt>
          </w:p>
        </w:tc>
      </w:tr>
      <w:tr w:rsidR="006816EC" w:rsidTr="006816EC">
        <w:trPr>
          <w:jc w:val="center"/>
        </w:trPr>
        <w:tc>
          <w:tcPr>
            <w:tcW w:w="743" w:type="dxa"/>
            <w:hideMark/>
          </w:tcPr>
          <w:p w:rsidR="006816EC" w:rsidRDefault="006816EC">
            <w:pPr>
              <w:jc w:val="both"/>
              <w:rPr>
                <w:rFonts w:ascii="Arial (W1)" w:hAnsi="Arial (W1)"/>
                <w:b/>
                <w:bCs/>
                <w:sz w:val="28"/>
                <w:szCs w:val="28"/>
              </w:rPr>
            </w:pPr>
            <w:r>
              <w:rPr>
                <w:rFonts w:hint="cs"/>
                <w:b/>
                <w:bCs/>
                <w:sz w:val="28"/>
                <w:rtl/>
              </w:rPr>
              <w:t xml:space="preserve">בפני </w:t>
            </w:r>
          </w:p>
        </w:tc>
        <w:tc>
          <w:tcPr>
            <w:tcW w:w="8077" w:type="dxa"/>
            <w:gridSpan w:val="3"/>
            <w:hideMark/>
          </w:tcPr>
          <w:p w:rsidR="006816EC" w:rsidRPr="00D41C0C" w:rsidRDefault="00BD455B" w:rsidP="006816EC">
            <w:pPr>
              <w:rPr>
                <w:b/>
                <w:bCs/>
              </w:rPr>
            </w:pPr>
            <w:r>
              <w:rPr>
                <w:rFonts w:ascii="David" w:hAnsi="David"/>
                <w:b/>
                <w:bCs/>
                <w:rtl/>
              </w:rPr>
              <w:t xml:space="preserve">בפני </w:t>
            </w:r>
            <w:r>
              <w:rPr>
                <w:rFonts w:ascii="David" w:hAnsi="David" w:hint="cs"/>
                <w:b/>
                <w:bCs/>
                <w:rtl/>
              </w:rPr>
              <w:t xml:space="preserve">כב' </w:t>
            </w:r>
            <w:r w:rsidR="005B15B2">
              <w:rPr>
                <w:rFonts w:ascii="David" w:hAnsi="David"/>
                <w:b/>
                <w:bCs/>
                <w:rtl/>
              </w:rPr>
              <w:t>השופט הבכיר, רמזי חדיד</w:t>
            </w:r>
          </w:p>
        </w:tc>
      </w:tr>
      <w:tr w:rsidR="006816EC" w:rsidTr="006816EC">
        <w:trPr>
          <w:jc w:val="center"/>
        </w:trPr>
        <w:tc>
          <w:tcPr>
            <w:tcW w:w="3249" w:type="dxa"/>
            <w:gridSpan w:val="2"/>
          </w:tcPr>
          <w:p w:rsidR="006816EC" w:rsidRDefault="006816EC">
            <w:pPr>
              <w:bidi w:val="0"/>
              <w:rPr>
                <w:rFonts w:ascii="Arial (W1)" w:hAnsi="Arial (W1)"/>
                <w:b/>
                <w:bCs/>
                <w:noProof w:val="0"/>
                <w:sz w:val="28"/>
                <w:szCs w:val="28"/>
                <w:rtl/>
              </w:rPr>
            </w:pPr>
          </w:p>
          <w:sdt>
            <w:sdtPr>
              <w:rPr>
                <w:rFonts w:hint="cs"/>
                <w:rtl/>
              </w:rPr>
              <w:alias w:val="1180"/>
              <w:tag w:val="1180"/>
              <w:id w:val="-803768281"/>
              <w:text w:multiLine="1"/>
            </w:sdtPr>
            <w:sdtEndPr/>
            <w:sdtContent>
              <w:p w:rsidR="00974F7A" w:rsidRDefault="00DC1FF8" w:rsidP="00DC1FF8">
                <w:pPr>
                  <w:rPr>
                    <w:rFonts w:ascii="Arial (W1)" w:hAnsi="Arial (W1)"/>
                    <w:b/>
                    <w:bCs/>
                    <w:noProof w:val="0"/>
                    <w:sz w:val="28"/>
                    <w:szCs w:val="28"/>
                  </w:rPr>
                </w:pPr>
                <w:r>
                  <w:rPr>
                    <w:rFonts w:hint="cs"/>
                    <w:b/>
                    <w:bCs/>
                    <w:noProof w:val="0"/>
                    <w:sz w:val="28"/>
                    <w:rtl/>
                  </w:rPr>
                  <w:t>תובע</w:t>
                </w:r>
              </w:p>
            </w:sdtContent>
          </w:sdt>
        </w:tc>
        <w:tc>
          <w:tcPr>
            <w:tcW w:w="5571" w:type="dxa"/>
            <w:gridSpan w:val="2"/>
          </w:tcPr>
          <w:p w:rsidR="006816EC" w:rsidRDefault="006816EC">
            <w:pPr>
              <w:rPr>
                <w:rFonts w:ascii="Arial (W1)" w:hAnsi="Arial (W1)"/>
                <w:b/>
                <w:bCs/>
                <w:noProof w:val="0"/>
                <w:sz w:val="28"/>
                <w:szCs w:val="28"/>
                <w:rtl/>
              </w:rPr>
            </w:pPr>
          </w:p>
          <w:p w:rsidR="006816EC" w:rsidRDefault="00114735" w:rsidP="00DC1FF8">
            <w:pPr>
              <w:rPr>
                <w:rFonts w:ascii="Arial (W1)" w:hAnsi="Arial (W1)"/>
                <w:b/>
                <w:bCs/>
                <w:noProof w:val="0"/>
                <w:sz w:val="28"/>
                <w:szCs w:val="28"/>
              </w:rPr>
            </w:pPr>
            <w:sdt>
              <w:sdtPr>
                <w:rPr>
                  <w:rFonts w:hint="cs"/>
                  <w:rtl/>
                </w:rPr>
                <w:alias w:val="1478"/>
                <w:tag w:val="1478"/>
                <w:id w:val="160126198"/>
                <w:text w:multiLine="1"/>
              </w:sdtPr>
              <w:sdtEndPr/>
              <w:sdtContent>
                <w:r w:rsidR="00DC1FF8">
                  <w:rPr>
                    <w:rFonts w:hint="cs"/>
                    <w:b/>
                    <w:bCs/>
                    <w:noProof w:val="0"/>
                    <w:sz w:val="28"/>
                    <w:rtl/>
                  </w:rPr>
                  <w:t>נואף עראידה</w:t>
                </w:r>
                <w:r w:rsidR="00DC1FF8">
                  <w:rPr>
                    <w:b/>
                    <w:bCs/>
                    <w:noProof w:val="0"/>
                    <w:sz w:val="28"/>
                    <w:rtl/>
                  </w:rPr>
                  <w:br/>
                </w:r>
                <w:r w:rsidR="00DC1FF8">
                  <w:rPr>
                    <w:rFonts w:hint="cs"/>
                    <w:b/>
                    <w:bCs/>
                    <w:noProof w:val="0"/>
                    <w:sz w:val="28"/>
                    <w:rtl/>
                  </w:rPr>
                  <w:t>באמצעות ב"כ עוה"ד כרם הנו</w:t>
                </w:r>
              </w:sdtContent>
            </w:sdt>
          </w:p>
        </w:tc>
      </w:tr>
      <w:tr w:rsidR="006816EC" w:rsidTr="006816EC">
        <w:trPr>
          <w:jc w:val="center"/>
        </w:trPr>
        <w:tc>
          <w:tcPr>
            <w:tcW w:w="8820" w:type="dxa"/>
            <w:gridSpan w:val="4"/>
          </w:tcPr>
          <w:p w:rsidR="006816EC" w:rsidRDefault="006816EC">
            <w:pPr>
              <w:rPr>
                <w:rFonts w:ascii="Arial (W1)" w:hAnsi="Arial (W1)"/>
                <w:b/>
                <w:bCs/>
                <w:noProof w:val="0"/>
                <w:sz w:val="28"/>
                <w:szCs w:val="28"/>
                <w:rtl/>
              </w:rPr>
            </w:pPr>
          </w:p>
          <w:p w:rsidR="006816EC" w:rsidRDefault="006816EC">
            <w:pPr>
              <w:jc w:val="center"/>
              <w:rPr>
                <w:b/>
                <w:bCs/>
                <w:noProof w:val="0"/>
                <w:sz w:val="28"/>
                <w:rtl/>
              </w:rPr>
            </w:pPr>
            <w:r>
              <w:rPr>
                <w:rFonts w:hint="cs"/>
                <w:b/>
                <w:bCs/>
                <w:noProof w:val="0"/>
                <w:sz w:val="28"/>
                <w:rtl/>
              </w:rPr>
              <w:t>נגד</w:t>
            </w:r>
          </w:p>
          <w:p w:rsidR="006816EC" w:rsidRDefault="006816EC">
            <w:pPr>
              <w:rPr>
                <w:rFonts w:ascii="Arial (W1)" w:hAnsi="Arial (W1)"/>
                <w:b/>
                <w:bCs/>
                <w:noProof w:val="0"/>
                <w:sz w:val="28"/>
                <w:szCs w:val="28"/>
              </w:rPr>
            </w:pPr>
          </w:p>
        </w:tc>
      </w:tr>
      <w:tr w:rsidR="006816EC" w:rsidTr="006816EC">
        <w:trPr>
          <w:jc w:val="center"/>
        </w:trPr>
        <w:tc>
          <w:tcPr>
            <w:tcW w:w="3249" w:type="dxa"/>
            <w:gridSpan w:val="2"/>
          </w:tcPr>
          <w:p w:rsidR="006816EC" w:rsidRDefault="00114735" w:rsidP="00DC1FF8">
            <w:pPr>
              <w:rPr>
                <w:rFonts w:ascii="Arial (W1)" w:hAnsi="Arial (W1)"/>
                <w:b/>
                <w:bCs/>
                <w:noProof w:val="0"/>
                <w:sz w:val="28"/>
                <w:szCs w:val="28"/>
              </w:rPr>
            </w:pPr>
            <w:sdt>
              <w:sdtPr>
                <w:rPr>
                  <w:rFonts w:hint="cs"/>
                  <w:rtl/>
                </w:rPr>
                <w:alias w:val="1184"/>
                <w:tag w:val="1184"/>
                <w:id w:val="-910234160"/>
                <w:text w:multiLine="1"/>
              </w:sdtPr>
              <w:sdtEndPr/>
              <w:sdtContent>
                <w:r w:rsidR="00DC1FF8">
                  <w:rPr>
                    <w:rFonts w:hint="cs"/>
                    <w:b/>
                    <w:bCs/>
                    <w:noProof w:val="0"/>
                    <w:sz w:val="28"/>
                    <w:rtl/>
                  </w:rPr>
                  <w:t>נתבע</w:t>
                </w:r>
              </w:sdtContent>
            </w:sdt>
          </w:p>
        </w:tc>
        <w:tc>
          <w:tcPr>
            <w:tcW w:w="5571" w:type="dxa"/>
            <w:gridSpan w:val="2"/>
          </w:tcPr>
          <w:p w:rsidR="006816EC" w:rsidRDefault="00114735" w:rsidP="00DC1FF8">
            <w:pPr>
              <w:rPr>
                <w:rFonts w:ascii="Arial (W1)" w:hAnsi="Arial (W1)"/>
                <w:b/>
                <w:bCs/>
                <w:noProof w:val="0"/>
                <w:sz w:val="28"/>
                <w:szCs w:val="28"/>
              </w:rPr>
            </w:pPr>
            <w:sdt>
              <w:sdtPr>
                <w:rPr>
                  <w:rFonts w:hint="cs"/>
                  <w:b/>
                  <w:bCs/>
                  <w:rtl/>
                </w:rPr>
                <w:alias w:val="1486"/>
                <w:tag w:val="1486"/>
                <w:id w:val="1487590763"/>
                <w:text w:multiLine="1"/>
              </w:sdtPr>
              <w:sdtEndPr/>
              <w:sdtContent>
                <w:r w:rsidR="00DC1FF8" w:rsidRPr="00DC1FF8">
                  <w:rPr>
                    <w:rFonts w:hint="cs"/>
                    <w:b/>
                    <w:bCs/>
                    <w:noProof w:val="0"/>
                    <w:sz w:val="28"/>
                    <w:rtl/>
                  </w:rPr>
                  <w:t>בנק מזרחי טפחות בע"מ</w:t>
                </w:r>
                <w:r w:rsidR="00DC1FF8" w:rsidRPr="00DC1FF8">
                  <w:rPr>
                    <w:b/>
                    <w:bCs/>
                    <w:noProof w:val="0"/>
                    <w:sz w:val="28"/>
                    <w:rtl/>
                  </w:rPr>
                  <w:br/>
                </w:r>
                <w:r w:rsidR="00DC1FF8" w:rsidRPr="00DC1FF8">
                  <w:rPr>
                    <w:rFonts w:hint="cs"/>
                    <w:b/>
                    <w:bCs/>
                    <w:rtl/>
                  </w:rPr>
                  <w:t>באמצעות ב"כ עוה"ד נאדר אליאס</w:t>
                </w:r>
              </w:sdtContent>
            </w:sdt>
          </w:p>
        </w:tc>
      </w:tr>
    </w:tbl>
    <w:p w:rsidR="006816EC" w:rsidRDefault="006816EC" w:rsidP="003823DA">
      <w:pPr>
        <w:suppressLineNumbers/>
      </w:pPr>
    </w:p>
    <w:tbl>
      <w:tblPr>
        <w:tblStyle w:val="a9"/>
        <w:bidiVisual/>
        <w:tblW w:w="8820"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8820"/>
      </w:tblGrid>
      <w:tr w:rsidR="00694556">
        <w:trPr>
          <w:jc w:val="center"/>
        </w:trPr>
        <w:tc>
          <w:tcPr>
            <w:tcW w:w="8820" w:type="dxa"/>
          </w:tcPr>
          <w:p w:rsidR="00694556" w:rsidRDefault="00005C8B">
            <w:pPr>
              <w:bidi w:val="0"/>
              <w:jc w:val="center"/>
              <w:rPr>
                <w:rFonts w:ascii="Arial" w:hAnsi="Arial"/>
                <w:b/>
                <w:bCs/>
                <w:noProof w:val="0"/>
                <w:sz w:val="28"/>
                <w:szCs w:val="28"/>
                <w:u w:val="single"/>
              </w:rPr>
            </w:pPr>
            <w:r>
              <w:rPr>
                <w:rFonts w:ascii="Arial" w:hAnsi="Arial"/>
                <w:b/>
                <w:bCs/>
                <w:noProof w:val="0"/>
                <w:sz w:val="28"/>
                <w:szCs w:val="28"/>
                <w:u w:val="single"/>
                <w:rtl/>
              </w:rPr>
              <w:t>פסק דין</w:t>
            </w:r>
          </w:p>
        </w:tc>
      </w:tr>
    </w:tbl>
    <w:p w:rsidR="00694556" w:rsidRDefault="00694556">
      <w:pPr>
        <w:spacing w:line="360" w:lineRule="auto"/>
        <w:jc w:val="both"/>
        <w:rPr>
          <w:rFonts w:ascii="Arial" w:hAnsi="Arial"/>
          <w:noProof w:val="0"/>
          <w:rtl/>
        </w:rPr>
      </w:pPr>
    </w:p>
    <w:p w:rsidR="00694556" w:rsidRDefault="00DC1FF8" w:rsidP="00596F19">
      <w:pPr>
        <w:pStyle w:val="ad"/>
        <w:numPr>
          <w:ilvl w:val="0"/>
          <w:numId w:val="1"/>
        </w:numPr>
        <w:spacing w:line="360" w:lineRule="auto"/>
        <w:jc w:val="both"/>
        <w:rPr>
          <w:rFonts w:ascii="Arial" w:hAnsi="Arial"/>
          <w:noProof w:val="0"/>
        </w:rPr>
      </w:pPr>
      <w:r>
        <w:rPr>
          <w:rFonts w:ascii="Arial" w:hAnsi="Arial" w:hint="cs"/>
          <w:noProof w:val="0"/>
          <w:rtl/>
        </w:rPr>
        <w:t>להלן תינתן החלטתי בבקשת הנתבע ל</w:t>
      </w:r>
      <w:r w:rsidR="00596F19">
        <w:rPr>
          <w:rFonts w:ascii="Arial" w:hAnsi="Arial" w:hint="cs"/>
          <w:noProof w:val="0"/>
          <w:rtl/>
        </w:rPr>
        <w:t xml:space="preserve">סילוק </w:t>
      </w:r>
      <w:r>
        <w:rPr>
          <w:rFonts w:ascii="Arial" w:hAnsi="Arial" w:hint="cs"/>
          <w:noProof w:val="0"/>
          <w:rtl/>
        </w:rPr>
        <w:t>התביעה על הסף ב</w:t>
      </w:r>
      <w:r w:rsidR="00596F19">
        <w:rPr>
          <w:rFonts w:ascii="Arial" w:hAnsi="Arial" w:hint="cs"/>
          <w:noProof w:val="0"/>
          <w:rtl/>
        </w:rPr>
        <w:t>טענה ל</w:t>
      </w:r>
      <w:r>
        <w:rPr>
          <w:rFonts w:ascii="Arial" w:hAnsi="Arial" w:hint="cs"/>
          <w:noProof w:val="0"/>
          <w:rtl/>
        </w:rPr>
        <w:t>העדר סמכות עניינית.</w:t>
      </w:r>
    </w:p>
    <w:p w:rsidR="00DC1FF8" w:rsidRDefault="00DC1FF8" w:rsidP="00DC1FF8">
      <w:pPr>
        <w:pStyle w:val="ad"/>
        <w:spacing w:line="360" w:lineRule="auto"/>
        <w:jc w:val="both"/>
        <w:rPr>
          <w:rFonts w:ascii="Arial" w:hAnsi="Arial"/>
          <w:noProof w:val="0"/>
        </w:rPr>
      </w:pPr>
    </w:p>
    <w:p w:rsidR="00DC1FF8" w:rsidRDefault="00A46652" w:rsidP="00DC1FF8">
      <w:pPr>
        <w:pStyle w:val="ad"/>
        <w:numPr>
          <w:ilvl w:val="0"/>
          <w:numId w:val="1"/>
        </w:numPr>
        <w:spacing w:line="360" w:lineRule="auto"/>
        <w:jc w:val="both"/>
        <w:rPr>
          <w:rFonts w:ascii="Arial" w:hAnsi="Arial"/>
          <w:noProof w:val="0"/>
        </w:rPr>
      </w:pPr>
      <w:r>
        <w:rPr>
          <w:rFonts w:ascii="Arial" w:hAnsi="Arial" w:hint="cs"/>
          <w:noProof w:val="0"/>
          <w:rtl/>
        </w:rPr>
        <w:t xml:space="preserve">אלה </w:t>
      </w:r>
      <w:r w:rsidR="0063080C">
        <w:rPr>
          <w:rFonts w:ascii="Arial" w:hAnsi="Arial" w:hint="cs"/>
          <w:noProof w:val="0"/>
          <w:rtl/>
        </w:rPr>
        <w:t>הטענות העובד</w:t>
      </w:r>
      <w:r w:rsidR="00404311">
        <w:rPr>
          <w:rFonts w:ascii="Arial" w:hAnsi="Arial" w:hint="cs"/>
          <w:noProof w:val="0"/>
          <w:rtl/>
        </w:rPr>
        <w:t>ת</w:t>
      </w:r>
      <w:r w:rsidR="0063080C">
        <w:rPr>
          <w:rFonts w:ascii="Arial" w:hAnsi="Arial" w:hint="cs"/>
          <w:noProof w:val="0"/>
          <w:rtl/>
        </w:rPr>
        <w:t>יות</w:t>
      </w:r>
      <w:r w:rsidR="00404311">
        <w:rPr>
          <w:rFonts w:ascii="Arial" w:hAnsi="Arial" w:hint="cs"/>
          <w:noProof w:val="0"/>
          <w:rtl/>
        </w:rPr>
        <w:t xml:space="preserve"> הרלוונטיות לדיון ו</w:t>
      </w:r>
      <w:r w:rsidR="00596F19">
        <w:rPr>
          <w:rFonts w:ascii="Arial" w:hAnsi="Arial" w:hint="cs"/>
          <w:noProof w:val="0"/>
          <w:rtl/>
        </w:rPr>
        <w:t>ל</w:t>
      </w:r>
      <w:r w:rsidR="00404311">
        <w:rPr>
          <w:rFonts w:ascii="Arial" w:hAnsi="Arial" w:hint="cs"/>
          <w:noProof w:val="0"/>
          <w:rtl/>
        </w:rPr>
        <w:t>הכרעה בבקשה:</w:t>
      </w:r>
    </w:p>
    <w:p w:rsidR="00404311" w:rsidRPr="00404311" w:rsidRDefault="00404311" w:rsidP="00596F19">
      <w:pPr>
        <w:pStyle w:val="ad"/>
        <w:spacing w:line="360" w:lineRule="auto"/>
        <w:rPr>
          <w:rFonts w:ascii="Arial" w:hAnsi="Arial"/>
          <w:noProof w:val="0"/>
          <w:rtl/>
        </w:rPr>
      </w:pPr>
    </w:p>
    <w:p w:rsidR="007D01BB" w:rsidRDefault="0063080C" w:rsidP="00553D21">
      <w:pPr>
        <w:pStyle w:val="ad"/>
        <w:spacing w:line="360" w:lineRule="auto"/>
        <w:jc w:val="both"/>
        <w:rPr>
          <w:rFonts w:ascii="Arial" w:hAnsi="Arial"/>
          <w:noProof w:val="0"/>
          <w:rtl/>
        </w:rPr>
      </w:pPr>
      <w:r>
        <w:rPr>
          <w:rFonts w:ascii="Arial" w:hAnsi="Arial" w:hint="cs"/>
          <w:noProof w:val="0"/>
          <w:rtl/>
        </w:rPr>
        <w:t>ב</w:t>
      </w:r>
      <w:r w:rsidR="00BC0D64">
        <w:rPr>
          <w:rFonts w:ascii="Arial" w:hAnsi="Arial" w:hint="cs"/>
          <w:noProof w:val="0"/>
          <w:rtl/>
        </w:rPr>
        <w:t>מועדים הרלוונטיים לתביעה העמיד טפחות בנק משכנתאות לישראל בע''מ, ואשר לימים התמזג עם בנק אחר ויחד הקימו את הבנק ה</w:t>
      </w:r>
      <w:r>
        <w:rPr>
          <w:rFonts w:ascii="Arial" w:hAnsi="Arial" w:hint="cs"/>
          <w:noProof w:val="0"/>
          <w:rtl/>
        </w:rPr>
        <w:t>נתבע, הלוואה לה"ה עראידה פהד ו</w:t>
      </w:r>
      <w:r w:rsidR="005F5261">
        <w:rPr>
          <w:rFonts w:ascii="Arial" w:hAnsi="Arial" w:hint="cs"/>
          <w:noProof w:val="0"/>
          <w:rtl/>
        </w:rPr>
        <w:t>-</w:t>
      </w:r>
      <w:r>
        <w:rPr>
          <w:rFonts w:ascii="Arial" w:hAnsi="Arial" w:hint="cs"/>
          <w:noProof w:val="0"/>
          <w:rtl/>
        </w:rPr>
        <w:t xml:space="preserve">הדיה </w:t>
      </w:r>
      <w:r>
        <w:rPr>
          <w:rFonts w:ascii="Arial" w:hAnsi="Arial" w:hint="cs"/>
          <w:b/>
          <w:bCs/>
          <w:noProof w:val="0"/>
          <w:rtl/>
        </w:rPr>
        <w:t xml:space="preserve">(להלן: </w:t>
      </w:r>
      <w:r w:rsidR="005F5261">
        <w:rPr>
          <w:rFonts w:ascii="Arial" w:hAnsi="Arial" w:hint="cs"/>
          <w:b/>
          <w:bCs/>
          <w:noProof w:val="0"/>
          <w:rtl/>
        </w:rPr>
        <w:t xml:space="preserve">''ההלוואה'' </w:t>
      </w:r>
      <w:r w:rsidR="005F5261">
        <w:rPr>
          <w:rFonts w:ascii="Arial" w:hAnsi="Arial" w:hint="cs"/>
          <w:noProof w:val="0"/>
          <w:rtl/>
        </w:rPr>
        <w:t>ו-</w:t>
      </w:r>
      <w:r>
        <w:rPr>
          <w:rFonts w:ascii="Arial" w:hAnsi="Arial" w:hint="cs"/>
          <w:b/>
          <w:bCs/>
          <w:noProof w:val="0"/>
          <w:rtl/>
        </w:rPr>
        <w:t>"הלווים"</w:t>
      </w:r>
      <w:r w:rsidR="005F5261">
        <w:rPr>
          <w:rFonts w:ascii="Arial" w:hAnsi="Arial" w:hint="cs"/>
          <w:b/>
          <w:bCs/>
          <w:noProof w:val="0"/>
          <w:rtl/>
        </w:rPr>
        <w:t xml:space="preserve"> </w:t>
      </w:r>
      <w:r w:rsidR="005F5261">
        <w:rPr>
          <w:rFonts w:ascii="Arial" w:hAnsi="Arial" w:hint="cs"/>
          <w:noProof w:val="0"/>
          <w:rtl/>
        </w:rPr>
        <w:t>בהתאם</w:t>
      </w:r>
      <w:r>
        <w:rPr>
          <w:rFonts w:ascii="Arial" w:hAnsi="Arial" w:hint="cs"/>
          <w:b/>
          <w:bCs/>
          <w:noProof w:val="0"/>
          <w:rtl/>
        </w:rPr>
        <w:t>)</w:t>
      </w:r>
      <w:r w:rsidR="00BC0D64">
        <w:rPr>
          <w:rFonts w:ascii="Arial" w:hAnsi="Arial" w:hint="cs"/>
          <w:b/>
          <w:bCs/>
          <w:noProof w:val="0"/>
          <w:rtl/>
        </w:rPr>
        <w:t>.</w:t>
      </w:r>
      <w:r>
        <w:rPr>
          <w:rFonts w:ascii="Arial" w:hAnsi="Arial" w:hint="cs"/>
          <w:b/>
          <w:bCs/>
          <w:noProof w:val="0"/>
          <w:rtl/>
        </w:rPr>
        <w:t xml:space="preserve"> </w:t>
      </w:r>
      <w:r>
        <w:rPr>
          <w:rFonts w:ascii="Arial" w:hAnsi="Arial" w:hint="cs"/>
          <w:noProof w:val="0"/>
          <w:rtl/>
        </w:rPr>
        <w:t>הנתבע</w:t>
      </w:r>
      <w:r w:rsidR="00BC0D64">
        <w:rPr>
          <w:rFonts w:ascii="Arial" w:hAnsi="Arial" w:hint="cs"/>
          <w:noProof w:val="0"/>
          <w:rtl/>
        </w:rPr>
        <w:t>,</w:t>
      </w:r>
      <w:r>
        <w:rPr>
          <w:rFonts w:ascii="Arial" w:hAnsi="Arial" w:hint="cs"/>
          <w:noProof w:val="0"/>
          <w:rtl/>
        </w:rPr>
        <w:t xml:space="preserve"> יחד עם אדם נוסף, </w:t>
      </w:r>
      <w:r w:rsidR="00404311">
        <w:rPr>
          <w:rFonts w:ascii="Arial" w:hAnsi="Arial" w:hint="cs"/>
          <w:noProof w:val="0"/>
          <w:rtl/>
        </w:rPr>
        <w:t>מר טריף סהיר נימר</w:t>
      </w:r>
      <w:r>
        <w:rPr>
          <w:rFonts w:ascii="Arial" w:hAnsi="Arial" w:hint="cs"/>
          <w:noProof w:val="0"/>
          <w:rtl/>
        </w:rPr>
        <w:t xml:space="preserve"> שמו</w:t>
      </w:r>
      <w:r w:rsidR="00404311">
        <w:rPr>
          <w:rFonts w:ascii="Arial" w:hAnsi="Arial" w:hint="cs"/>
          <w:noProof w:val="0"/>
          <w:rtl/>
        </w:rPr>
        <w:t xml:space="preserve"> </w:t>
      </w:r>
      <w:r w:rsidR="00404311">
        <w:rPr>
          <w:rFonts w:ascii="Arial" w:hAnsi="Arial" w:hint="cs"/>
          <w:b/>
          <w:bCs/>
          <w:noProof w:val="0"/>
          <w:rtl/>
        </w:rPr>
        <w:t>(להלן: "טריף")</w:t>
      </w:r>
      <w:r>
        <w:rPr>
          <w:rFonts w:ascii="Arial" w:hAnsi="Arial" w:hint="cs"/>
          <w:noProof w:val="0"/>
          <w:rtl/>
        </w:rPr>
        <w:t>, חתמו כערבים ל</w:t>
      </w:r>
      <w:r w:rsidR="005F5261">
        <w:rPr>
          <w:rFonts w:ascii="Arial" w:hAnsi="Arial" w:hint="cs"/>
          <w:noProof w:val="0"/>
          <w:rtl/>
        </w:rPr>
        <w:t>סילוק ההלוואה</w:t>
      </w:r>
      <w:r w:rsidR="00404311">
        <w:rPr>
          <w:rFonts w:ascii="Arial" w:hAnsi="Arial" w:hint="cs"/>
          <w:noProof w:val="0"/>
          <w:rtl/>
        </w:rPr>
        <w:t xml:space="preserve">. </w:t>
      </w:r>
      <w:r w:rsidR="00FE461F">
        <w:rPr>
          <w:rFonts w:ascii="Arial" w:hAnsi="Arial" w:hint="cs"/>
          <w:noProof w:val="0"/>
          <w:rtl/>
        </w:rPr>
        <w:t>משלא עמדו הלווים בהתחייבויותיהם</w:t>
      </w:r>
      <w:r w:rsidR="00521876">
        <w:rPr>
          <w:rFonts w:ascii="Arial" w:hAnsi="Arial" w:hint="cs"/>
          <w:noProof w:val="0"/>
          <w:rtl/>
        </w:rPr>
        <w:t xml:space="preserve"> כלפי הנתבע</w:t>
      </w:r>
      <w:r w:rsidR="00FE461F">
        <w:rPr>
          <w:rFonts w:ascii="Arial" w:hAnsi="Arial" w:hint="cs"/>
          <w:noProof w:val="0"/>
          <w:rtl/>
        </w:rPr>
        <w:t xml:space="preserve">, </w:t>
      </w:r>
      <w:r w:rsidR="005F5261">
        <w:rPr>
          <w:rFonts w:ascii="Arial" w:hAnsi="Arial" w:hint="cs"/>
          <w:noProof w:val="0"/>
          <w:rtl/>
        </w:rPr>
        <w:t>הגיש ה</w:t>
      </w:r>
      <w:r w:rsidR="00BC0D64">
        <w:rPr>
          <w:rFonts w:ascii="Arial" w:hAnsi="Arial" w:hint="cs"/>
          <w:noProof w:val="0"/>
          <w:rtl/>
        </w:rPr>
        <w:t>אחרון</w:t>
      </w:r>
      <w:r w:rsidR="005F5261">
        <w:rPr>
          <w:rFonts w:ascii="Arial" w:hAnsi="Arial" w:hint="cs"/>
          <w:noProof w:val="0"/>
          <w:rtl/>
        </w:rPr>
        <w:t xml:space="preserve"> נגד התובע ונגד טריף </w:t>
      </w:r>
      <w:r w:rsidR="00FE461F">
        <w:rPr>
          <w:rFonts w:ascii="Arial" w:hAnsi="Arial" w:hint="cs"/>
          <w:noProof w:val="0"/>
          <w:rtl/>
        </w:rPr>
        <w:t>תביעה</w:t>
      </w:r>
      <w:r w:rsidR="005F5261">
        <w:rPr>
          <w:rFonts w:ascii="Arial" w:hAnsi="Arial" w:hint="cs"/>
          <w:noProof w:val="0"/>
          <w:rtl/>
        </w:rPr>
        <w:t xml:space="preserve"> לבית משפט השלום בחיפה ב-ת''א 16441/03 לפיה הוא ביקש לחייבם בסילוק חוב ההלוואה</w:t>
      </w:r>
      <w:r w:rsidR="00521876">
        <w:rPr>
          <w:rFonts w:ascii="Arial" w:hAnsi="Arial" w:hint="cs"/>
          <w:noProof w:val="0"/>
          <w:rtl/>
        </w:rPr>
        <w:t xml:space="preserve"> </w:t>
      </w:r>
      <w:r w:rsidR="00521876">
        <w:rPr>
          <w:rFonts w:ascii="Arial" w:hAnsi="Arial" w:hint="cs"/>
          <w:b/>
          <w:bCs/>
          <w:noProof w:val="0"/>
          <w:rtl/>
        </w:rPr>
        <w:t>(להלן: "ההליך הקודם")</w:t>
      </w:r>
      <w:r w:rsidR="00521876">
        <w:rPr>
          <w:rFonts w:ascii="Arial" w:hAnsi="Arial" w:hint="cs"/>
          <w:noProof w:val="0"/>
          <w:rtl/>
        </w:rPr>
        <w:t xml:space="preserve">. </w:t>
      </w:r>
      <w:r w:rsidR="005F5261">
        <w:rPr>
          <w:rFonts w:ascii="Arial" w:hAnsi="Arial" w:hint="cs"/>
          <w:noProof w:val="0"/>
          <w:rtl/>
        </w:rPr>
        <w:t xml:space="preserve">משלא הוגש כתב הגנה בהליך הקודם, ניתן לבקשת הנתבע </w:t>
      </w:r>
      <w:r w:rsidR="007D01BB">
        <w:rPr>
          <w:rFonts w:ascii="Arial" w:hAnsi="Arial" w:hint="cs"/>
          <w:noProof w:val="0"/>
          <w:rtl/>
        </w:rPr>
        <w:t>ביום 26.02.2004 פסק דין נגד</w:t>
      </w:r>
      <w:r w:rsidR="00521876">
        <w:rPr>
          <w:rFonts w:ascii="Arial" w:hAnsi="Arial" w:hint="cs"/>
          <w:noProof w:val="0"/>
          <w:rtl/>
        </w:rPr>
        <w:t xml:space="preserve"> התובע ו</w:t>
      </w:r>
      <w:r w:rsidR="005747A3">
        <w:rPr>
          <w:rFonts w:ascii="Arial" w:hAnsi="Arial" w:hint="cs"/>
          <w:noProof w:val="0"/>
          <w:rtl/>
        </w:rPr>
        <w:t>-</w:t>
      </w:r>
      <w:r w:rsidR="00521876">
        <w:rPr>
          <w:rFonts w:ascii="Arial" w:hAnsi="Arial" w:hint="cs"/>
          <w:noProof w:val="0"/>
          <w:rtl/>
        </w:rPr>
        <w:t>טריף</w:t>
      </w:r>
      <w:r w:rsidR="007D01BB">
        <w:rPr>
          <w:rFonts w:ascii="Arial" w:hAnsi="Arial" w:hint="cs"/>
          <w:noProof w:val="0"/>
          <w:rtl/>
        </w:rPr>
        <w:t xml:space="preserve"> </w:t>
      </w:r>
      <w:r w:rsidR="005747A3">
        <w:rPr>
          <w:rFonts w:ascii="Arial" w:hAnsi="Arial" w:hint="cs"/>
          <w:noProof w:val="0"/>
          <w:rtl/>
        </w:rPr>
        <w:t xml:space="preserve">לפיו הם חויבו בתשלום סך של 288,612 ₪ נכון ליום 24.07.2003, הוצאות משפט ושכ"ט עו"ד </w:t>
      </w:r>
      <w:r w:rsidR="005747A3">
        <w:rPr>
          <w:rFonts w:ascii="Arial" w:hAnsi="Arial" w:hint="cs"/>
          <w:b/>
          <w:bCs/>
          <w:noProof w:val="0"/>
          <w:rtl/>
        </w:rPr>
        <w:t>(להלן: "פסק הדין")</w:t>
      </w:r>
      <w:r w:rsidR="005747A3">
        <w:rPr>
          <w:rFonts w:ascii="Arial" w:hAnsi="Arial" w:hint="cs"/>
          <w:noProof w:val="0"/>
          <w:rtl/>
        </w:rPr>
        <w:t xml:space="preserve">. </w:t>
      </w:r>
      <w:r w:rsidR="007D01BB" w:rsidRPr="007D01BB">
        <w:rPr>
          <w:rFonts w:ascii="Arial" w:hAnsi="Arial" w:hint="cs"/>
          <w:noProof w:val="0"/>
          <w:rtl/>
        </w:rPr>
        <w:t>לצורך ביצוע</w:t>
      </w:r>
      <w:r w:rsidR="005747A3">
        <w:rPr>
          <w:rFonts w:ascii="Arial" w:hAnsi="Arial" w:hint="cs"/>
          <w:noProof w:val="0"/>
          <w:rtl/>
        </w:rPr>
        <w:t xml:space="preserve"> פסק הדין</w:t>
      </w:r>
      <w:r w:rsidR="00521876">
        <w:rPr>
          <w:rFonts w:ascii="Arial" w:hAnsi="Arial" w:hint="cs"/>
          <w:noProof w:val="0"/>
          <w:rtl/>
        </w:rPr>
        <w:t xml:space="preserve"> </w:t>
      </w:r>
      <w:r w:rsidR="005747A3">
        <w:rPr>
          <w:rFonts w:ascii="Arial" w:hAnsi="Arial" w:hint="cs"/>
          <w:noProof w:val="0"/>
          <w:rtl/>
        </w:rPr>
        <w:t xml:space="preserve">פתח הנתבע נגד התובע ו-טריף </w:t>
      </w:r>
      <w:r w:rsidR="007D01BB" w:rsidRPr="007D01BB">
        <w:rPr>
          <w:rFonts w:ascii="Arial" w:hAnsi="Arial" w:hint="cs"/>
          <w:noProof w:val="0"/>
          <w:rtl/>
        </w:rPr>
        <w:t xml:space="preserve">תיק הוצאה לפועל במסגרתו </w:t>
      </w:r>
      <w:r w:rsidR="00553D21">
        <w:rPr>
          <w:rFonts w:ascii="Arial" w:hAnsi="Arial" w:hint="cs"/>
          <w:noProof w:val="0"/>
          <w:rtl/>
        </w:rPr>
        <w:t>הוטלו</w:t>
      </w:r>
      <w:r w:rsidR="005747A3">
        <w:rPr>
          <w:rFonts w:ascii="Arial" w:hAnsi="Arial" w:hint="cs"/>
          <w:noProof w:val="0"/>
          <w:rtl/>
        </w:rPr>
        <w:t xml:space="preserve">  עיקולים על זכויות </w:t>
      </w:r>
      <w:r w:rsidR="007D01BB" w:rsidRPr="007D01BB">
        <w:rPr>
          <w:rFonts w:ascii="Arial" w:hAnsi="Arial" w:hint="cs"/>
          <w:noProof w:val="0"/>
          <w:rtl/>
        </w:rPr>
        <w:t xml:space="preserve">התובע </w:t>
      </w:r>
      <w:r w:rsidR="007D01BB" w:rsidRPr="007D01BB">
        <w:rPr>
          <w:rFonts w:ascii="Arial" w:hAnsi="Arial" w:hint="cs"/>
          <w:b/>
          <w:bCs/>
          <w:noProof w:val="0"/>
          <w:rtl/>
        </w:rPr>
        <w:t>(להלן: "תיק ההוצל"פ"</w:t>
      </w:r>
      <w:r w:rsidR="005747A3" w:rsidRPr="005747A3">
        <w:rPr>
          <w:rFonts w:ascii="Arial" w:hAnsi="Arial" w:hint="cs"/>
          <w:b/>
          <w:bCs/>
          <w:noProof w:val="0"/>
          <w:rtl/>
        </w:rPr>
        <w:t>).</w:t>
      </w:r>
    </w:p>
    <w:p w:rsidR="00521876" w:rsidRDefault="00521876" w:rsidP="00521876">
      <w:pPr>
        <w:pStyle w:val="ad"/>
        <w:spacing w:line="360" w:lineRule="auto"/>
        <w:jc w:val="both"/>
        <w:rPr>
          <w:rFonts w:ascii="Arial" w:hAnsi="Arial"/>
          <w:noProof w:val="0"/>
          <w:rtl/>
        </w:rPr>
      </w:pPr>
    </w:p>
    <w:p w:rsidR="00521876" w:rsidRDefault="005747A3" w:rsidP="00553D21">
      <w:pPr>
        <w:pStyle w:val="ad"/>
        <w:numPr>
          <w:ilvl w:val="0"/>
          <w:numId w:val="1"/>
        </w:numPr>
        <w:spacing w:line="360" w:lineRule="auto"/>
        <w:jc w:val="both"/>
        <w:rPr>
          <w:rFonts w:ascii="Arial" w:hAnsi="Arial"/>
          <w:noProof w:val="0"/>
        </w:rPr>
      </w:pPr>
      <w:r>
        <w:rPr>
          <w:rFonts w:ascii="Arial" w:hAnsi="Arial" w:hint="cs"/>
          <w:noProof w:val="0"/>
          <w:rtl/>
        </w:rPr>
        <w:lastRenderedPageBreak/>
        <w:t xml:space="preserve">במסגרת תביעה דנן עתר התובע למתן פסק דין הצהרתי בדבר ביטול פסק הדין, </w:t>
      </w:r>
      <w:r w:rsidR="00C71DBB">
        <w:rPr>
          <w:rFonts w:ascii="Arial" w:hAnsi="Arial" w:hint="cs"/>
          <w:noProof w:val="0"/>
          <w:rtl/>
        </w:rPr>
        <w:t xml:space="preserve">להורות על סגירת תיק ההוצל"פ, עיכוב ההליכים בהם נקט הנתבע במסגרתו </w:t>
      </w:r>
      <w:r w:rsidR="00553D21">
        <w:rPr>
          <w:rFonts w:ascii="Arial" w:hAnsi="Arial" w:hint="cs"/>
          <w:noProof w:val="0"/>
          <w:rtl/>
        </w:rPr>
        <w:t>עד להכרעה בתביעה וכן להמצ</w:t>
      </w:r>
      <w:r w:rsidR="00C71DBB">
        <w:rPr>
          <w:rFonts w:ascii="Arial" w:hAnsi="Arial" w:hint="cs"/>
          <w:noProof w:val="0"/>
          <w:rtl/>
        </w:rPr>
        <w:t>א</w:t>
      </w:r>
      <w:r w:rsidR="00553D21">
        <w:rPr>
          <w:rFonts w:ascii="Arial" w:hAnsi="Arial" w:hint="cs"/>
          <w:noProof w:val="0"/>
          <w:rtl/>
        </w:rPr>
        <w:t>ת</w:t>
      </w:r>
      <w:r w:rsidR="00C71DBB">
        <w:rPr>
          <w:rFonts w:ascii="Arial" w:hAnsi="Arial" w:hint="cs"/>
          <w:noProof w:val="0"/>
          <w:rtl/>
        </w:rPr>
        <w:t xml:space="preserve"> מסמכים שונים ביחס להלוואה. בנדון נטען כי התובע לא</w:t>
      </w:r>
      <w:r w:rsidR="00895B2C">
        <w:rPr>
          <w:rFonts w:ascii="Arial" w:hAnsi="Arial" w:hint="cs"/>
          <w:noProof w:val="0"/>
          <w:rtl/>
        </w:rPr>
        <w:t xml:space="preserve"> קיבל את כתב התביעה בהליך הקודם</w:t>
      </w:r>
      <w:r w:rsidR="00553D21">
        <w:rPr>
          <w:rFonts w:ascii="Arial" w:hAnsi="Arial" w:hint="cs"/>
          <w:noProof w:val="0"/>
          <w:rtl/>
        </w:rPr>
        <w:t xml:space="preserve"> ולא ידע על קיומו. כן טען התובע כי הוא</w:t>
      </w:r>
      <w:r w:rsidR="00895B2C">
        <w:rPr>
          <w:rFonts w:ascii="Arial" w:hAnsi="Arial" w:hint="cs"/>
          <w:noProof w:val="0"/>
          <w:rtl/>
        </w:rPr>
        <w:t xml:space="preserve"> </w:t>
      </w:r>
      <w:r w:rsidR="00553D21">
        <w:rPr>
          <w:rFonts w:ascii="Arial" w:hAnsi="Arial" w:hint="cs"/>
          <w:noProof w:val="0"/>
          <w:rtl/>
        </w:rPr>
        <w:t xml:space="preserve">לא קיבל </w:t>
      </w:r>
      <w:r w:rsidR="00895B2C">
        <w:rPr>
          <w:rFonts w:ascii="Arial" w:hAnsi="Arial" w:hint="cs"/>
          <w:noProof w:val="0"/>
          <w:rtl/>
        </w:rPr>
        <w:t>אזהרה בדבר פתיחת</w:t>
      </w:r>
      <w:r w:rsidR="00C71DBB">
        <w:rPr>
          <w:rFonts w:ascii="Arial" w:hAnsi="Arial" w:hint="cs"/>
          <w:noProof w:val="0"/>
          <w:rtl/>
        </w:rPr>
        <w:t xml:space="preserve"> תיק ההוצל"פ</w:t>
      </w:r>
      <w:r w:rsidR="00553D21">
        <w:rPr>
          <w:rFonts w:ascii="Arial" w:hAnsi="Arial" w:hint="cs"/>
          <w:noProof w:val="0"/>
          <w:rtl/>
        </w:rPr>
        <w:t xml:space="preserve"> ונודע לו על קיומו רק </w:t>
      </w:r>
      <w:r w:rsidR="00C71DBB">
        <w:rPr>
          <w:rFonts w:ascii="Arial" w:hAnsi="Arial" w:hint="cs"/>
          <w:noProof w:val="0"/>
          <w:rtl/>
        </w:rPr>
        <w:t>מש</w:t>
      </w:r>
      <w:r w:rsidR="00895B2C">
        <w:rPr>
          <w:rFonts w:ascii="Arial" w:hAnsi="Arial" w:hint="cs"/>
          <w:noProof w:val="0"/>
          <w:rtl/>
        </w:rPr>
        <w:t>הוטלו</w:t>
      </w:r>
      <w:r w:rsidR="00553D21">
        <w:rPr>
          <w:rFonts w:ascii="Arial" w:hAnsi="Arial" w:hint="cs"/>
          <w:noProof w:val="0"/>
          <w:rtl/>
        </w:rPr>
        <w:t xml:space="preserve"> במסגרתו </w:t>
      </w:r>
      <w:r w:rsidR="00895B2C">
        <w:rPr>
          <w:rFonts w:ascii="Arial" w:hAnsi="Arial" w:hint="cs"/>
          <w:noProof w:val="0"/>
          <w:rtl/>
        </w:rPr>
        <w:t xml:space="preserve">עיקולים </w:t>
      </w:r>
      <w:r w:rsidR="00553D21">
        <w:rPr>
          <w:rFonts w:ascii="Arial" w:hAnsi="Arial" w:hint="cs"/>
          <w:noProof w:val="0"/>
          <w:rtl/>
        </w:rPr>
        <w:t>על זכויותיו</w:t>
      </w:r>
      <w:r w:rsidR="00895B2C">
        <w:rPr>
          <w:rFonts w:ascii="Arial" w:hAnsi="Arial" w:hint="cs"/>
          <w:noProof w:val="0"/>
          <w:rtl/>
        </w:rPr>
        <w:t xml:space="preserve">. </w:t>
      </w:r>
      <w:r w:rsidR="006E0ED5">
        <w:rPr>
          <w:rFonts w:ascii="Arial" w:hAnsi="Arial" w:hint="cs"/>
          <w:noProof w:val="0"/>
          <w:rtl/>
        </w:rPr>
        <w:t xml:space="preserve">כן טען התובע כי פסק הדין ניתן בשל תרמית מצד הנתבע משלא מיצה את ההליכים נגד הלווים ולא מימש את הבטוחה אשר העמידו הנ''ל לפירעון ההלוואה </w:t>
      </w:r>
      <w:r w:rsidR="006E0ED5">
        <w:rPr>
          <w:rFonts w:ascii="Arial" w:hAnsi="Arial"/>
          <w:noProof w:val="0"/>
          <w:rtl/>
        </w:rPr>
        <w:t>–</w:t>
      </w:r>
      <w:r w:rsidR="006E0ED5">
        <w:rPr>
          <w:rFonts w:ascii="Arial" w:hAnsi="Arial" w:hint="cs"/>
          <w:noProof w:val="0"/>
          <w:rtl/>
        </w:rPr>
        <w:t xml:space="preserve"> נכס שבבעלותם. </w:t>
      </w:r>
    </w:p>
    <w:p w:rsidR="00895B2C" w:rsidRDefault="00895B2C" w:rsidP="00895B2C">
      <w:pPr>
        <w:pStyle w:val="ad"/>
        <w:spacing w:line="360" w:lineRule="auto"/>
        <w:jc w:val="both"/>
        <w:rPr>
          <w:rFonts w:ascii="Arial" w:hAnsi="Arial"/>
          <w:noProof w:val="0"/>
        </w:rPr>
      </w:pPr>
    </w:p>
    <w:p w:rsidR="00895B2C" w:rsidRDefault="00895B2C" w:rsidP="009F3E8A">
      <w:pPr>
        <w:pStyle w:val="ad"/>
        <w:numPr>
          <w:ilvl w:val="0"/>
          <w:numId w:val="1"/>
        </w:numPr>
        <w:spacing w:line="360" w:lineRule="auto"/>
        <w:jc w:val="both"/>
        <w:rPr>
          <w:rFonts w:ascii="Arial" w:hAnsi="Arial"/>
          <w:noProof w:val="0"/>
        </w:rPr>
      </w:pPr>
      <w:r>
        <w:rPr>
          <w:rFonts w:ascii="Arial" w:hAnsi="Arial" w:hint="cs"/>
          <w:noProof w:val="0"/>
          <w:rtl/>
        </w:rPr>
        <w:t>במסגרת בקשת</w:t>
      </w:r>
      <w:r w:rsidR="00553D21">
        <w:rPr>
          <w:rFonts w:ascii="Arial" w:hAnsi="Arial" w:hint="cs"/>
          <w:noProof w:val="0"/>
          <w:rtl/>
        </w:rPr>
        <w:t xml:space="preserve"> </w:t>
      </w:r>
      <w:r>
        <w:rPr>
          <w:rFonts w:ascii="Arial" w:hAnsi="Arial" w:hint="cs"/>
          <w:noProof w:val="0"/>
          <w:rtl/>
        </w:rPr>
        <w:t>הנתבע ל</w:t>
      </w:r>
      <w:r w:rsidR="00C71DBB">
        <w:rPr>
          <w:rFonts w:ascii="Arial" w:hAnsi="Arial" w:hint="cs"/>
          <w:noProof w:val="0"/>
          <w:rtl/>
        </w:rPr>
        <w:t xml:space="preserve">סילוק </w:t>
      </w:r>
      <w:r w:rsidR="00A269B9">
        <w:rPr>
          <w:rFonts w:ascii="Arial" w:hAnsi="Arial" w:hint="cs"/>
          <w:noProof w:val="0"/>
          <w:rtl/>
        </w:rPr>
        <w:t>התביעה</w:t>
      </w:r>
      <w:r w:rsidR="009F3E8A">
        <w:rPr>
          <w:rFonts w:ascii="Arial" w:hAnsi="Arial" w:hint="cs"/>
          <w:noProof w:val="0"/>
          <w:rtl/>
        </w:rPr>
        <w:t xml:space="preserve"> טען הנתבע </w:t>
      </w:r>
      <w:r w:rsidR="00C71DBB">
        <w:rPr>
          <w:rFonts w:ascii="Arial" w:hAnsi="Arial" w:hint="cs"/>
          <w:noProof w:val="0"/>
          <w:rtl/>
        </w:rPr>
        <w:t>ל</w:t>
      </w:r>
      <w:r w:rsidR="00A269B9">
        <w:rPr>
          <w:rFonts w:ascii="Arial" w:hAnsi="Arial" w:hint="cs"/>
          <w:noProof w:val="0"/>
          <w:rtl/>
        </w:rPr>
        <w:t>העדר סמכות</w:t>
      </w:r>
      <w:r w:rsidR="00C71DBB">
        <w:rPr>
          <w:rFonts w:ascii="Arial" w:hAnsi="Arial" w:hint="cs"/>
          <w:noProof w:val="0"/>
          <w:rtl/>
        </w:rPr>
        <w:t xml:space="preserve"> עניינית </w:t>
      </w:r>
      <w:r w:rsidR="009F3E8A">
        <w:rPr>
          <w:rFonts w:ascii="Arial" w:hAnsi="Arial" w:hint="cs"/>
          <w:noProof w:val="0"/>
          <w:rtl/>
        </w:rPr>
        <w:t xml:space="preserve">של פורום זה לדון בתביעה, שכן </w:t>
      </w:r>
      <w:r w:rsidR="00C71DBB">
        <w:rPr>
          <w:rFonts w:ascii="Arial" w:hAnsi="Arial" w:hint="cs"/>
          <w:noProof w:val="0"/>
          <w:rtl/>
        </w:rPr>
        <w:t xml:space="preserve">הדרך בה נקט התובע - </w:t>
      </w:r>
      <w:r w:rsidR="00A269B9">
        <w:rPr>
          <w:rFonts w:ascii="Arial" w:hAnsi="Arial" w:hint="cs"/>
          <w:noProof w:val="0"/>
          <w:rtl/>
        </w:rPr>
        <w:t>תביעה למתן סעד הצהרתי בדבר ב</w:t>
      </w:r>
      <w:r w:rsidR="00C71DBB">
        <w:rPr>
          <w:rFonts w:ascii="Arial" w:hAnsi="Arial" w:hint="cs"/>
          <w:noProof w:val="0"/>
          <w:rtl/>
        </w:rPr>
        <w:t>י</w:t>
      </w:r>
      <w:r w:rsidR="00A269B9">
        <w:rPr>
          <w:rFonts w:ascii="Arial" w:hAnsi="Arial" w:hint="cs"/>
          <w:noProof w:val="0"/>
          <w:rtl/>
        </w:rPr>
        <w:t>ט</w:t>
      </w:r>
      <w:r w:rsidR="00C71DBB">
        <w:rPr>
          <w:rFonts w:ascii="Arial" w:hAnsi="Arial" w:hint="cs"/>
          <w:noProof w:val="0"/>
          <w:rtl/>
        </w:rPr>
        <w:t>ול</w:t>
      </w:r>
      <w:r w:rsidR="00A269B9">
        <w:rPr>
          <w:rFonts w:ascii="Arial" w:hAnsi="Arial" w:hint="cs"/>
          <w:noProof w:val="0"/>
          <w:rtl/>
        </w:rPr>
        <w:t xml:space="preserve"> פסק הדין </w:t>
      </w:r>
      <w:r w:rsidR="00C71DBB">
        <w:rPr>
          <w:rFonts w:ascii="Arial" w:hAnsi="Arial"/>
          <w:noProof w:val="0"/>
          <w:rtl/>
        </w:rPr>
        <w:t>–</w:t>
      </w:r>
      <w:r w:rsidR="00C71DBB">
        <w:rPr>
          <w:rFonts w:ascii="Arial" w:hAnsi="Arial" w:hint="cs"/>
          <w:noProof w:val="0"/>
          <w:rtl/>
        </w:rPr>
        <w:t xml:space="preserve"> אינה ההליך המתאים בנסיבות העניין והיא נועדה לעקוף את ההליך הראוי והמתאים שנקבע בדין.</w:t>
      </w:r>
      <w:r w:rsidR="00A269B9">
        <w:rPr>
          <w:rFonts w:ascii="Arial" w:hAnsi="Arial" w:hint="cs"/>
          <w:noProof w:val="0"/>
          <w:rtl/>
        </w:rPr>
        <w:t xml:space="preserve"> </w:t>
      </w:r>
    </w:p>
    <w:p w:rsidR="00A269B9" w:rsidRPr="00A269B9" w:rsidRDefault="00A269B9" w:rsidP="009F3E8A">
      <w:pPr>
        <w:pStyle w:val="ad"/>
        <w:spacing w:line="360" w:lineRule="auto"/>
        <w:rPr>
          <w:rFonts w:ascii="Arial" w:hAnsi="Arial"/>
          <w:noProof w:val="0"/>
          <w:rtl/>
        </w:rPr>
      </w:pPr>
    </w:p>
    <w:p w:rsidR="00A269B9" w:rsidRDefault="009F3E8A" w:rsidP="0048662D">
      <w:pPr>
        <w:pStyle w:val="ad"/>
        <w:numPr>
          <w:ilvl w:val="0"/>
          <w:numId w:val="1"/>
        </w:numPr>
        <w:spacing w:line="360" w:lineRule="auto"/>
        <w:jc w:val="both"/>
        <w:rPr>
          <w:rFonts w:ascii="Arial" w:hAnsi="Arial"/>
          <w:noProof w:val="0"/>
        </w:rPr>
      </w:pPr>
      <w:r>
        <w:rPr>
          <w:rFonts w:ascii="Arial" w:hAnsi="Arial" w:hint="cs"/>
          <w:noProof w:val="0"/>
          <w:rtl/>
        </w:rPr>
        <w:t xml:space="preserve">בתשובתו לבקשה טען התובע </w:t>
      </w:r>
      <w:r w:rsidR="00A269B9">
        <w:rPr>
          <w:rFonts w:ascii="Arial" w:hAnsi="Arial" w:hint="cs"/>
          <w:noProof w:val="0"/>
          <w:rtl/>
        </w:rPr>
        <w:t xml:space="preserve">כי </w:t>
      </w:r>
      <w:r w:rsidR="00C71DBB">
        <w:rPr>
          <w:rFonts w:ascii="Arial" w:hAnsi="Arial" w:hint="cs"/>
          <w:noProof w:val="0"/>
          <w:rtl/>
        </w:rPr>
        <w:t>ענייננו</w:t>
      </w:r>
      <w:r w:rsidR="00A269B9">
        <w:rPr>
          <w:rFonts w:ascii="Arial" w:hAnsi="Arial" w:hint="cs"/>
          <w:noProof w:val="0"/>
          <w:rtl/>
        </w:rPr>
        <w:t xml:space="preserve"> בת</w:t>
      </w:r>
      <w:r w:rsidR="00C71DBB">
        <w:rPr>
          <w:rFonts w:ascii="Arial" w:hAnsi="Arial" w:hint="cs"/>
          <w:noProof w:val="0"/>
          <w:rtl/>
        </w:rPr>
        <w:t xml:space="preserve">ביעה לביטול פסק דין בהעדר הגנה וכי על אף </w:t>
      </w:r>
      <w:r w:rsidR="00A269B9">
        <w:rPr>
          <w:rFonts w:ascii="Arial" w:hAnsi="Arial" w:hint="cs"/>
          <w:noProof w:val="0"/>
          <w:rtl/>
        </w:rPr>
        <w:t xml:space="preserve">כותרת </w:t>
      </w:r>
      <w:r w:rsidR="00C71DBB">
        <w:rPr>
          <w:rFonts w:ascii="Arial" w:hAnsi="Arial" w:hint="cs"/>
          <w:noProof w:val="0"/>
          <w:rtl/>
        </w:rPr>
        <w:t xml:space="preserve">כתב התביעה </w:t>
      </w:r>
      <w:r w:rsidR="00E32B53">
        <w:rPr>
          <w:rFonts w:ascii="Arial" w:hAnsi="Arial" w:hint="cs"/>
          <w:noProof w:val="0"/>
          <w:rtl/>
        </w:rPr>
        <w:t xml:space="preserve">- </w:t>
      </w:r>
      <w:r w:rsidR="00A269B9">
        <w:rPr>
          <w:rFonts w:ascii="Arial" w:hAnsi="Arial" w:hint="cs"/>
          <w:noProof w:val="0"/>
          <w:rtl/>
        </w:rPr>
        <w:t>מתן פסק דין הצהרתי</w:t>
      </w:r>
      <w:r w:rsidR="00E32B53">
        <w:rPr>
          <w:rFonts w:ascii="Arial" w:hAnsi="Arial" w:hint="cs"/>
          <w:noProof w:val="0"/>
          <w:rtl/>
        </w:rPr>
        <w:t xml:space="preserve"> - </w:t>
      </w:r>
      <w:r w:rsidR="00A31A3D">
        <w:rPr>
          <w:rFonts w:ascii="Arial" w:hAnsi="Arial" w:hint="cs"/>
          <w:noProof w:val="0"/>
          <w:rtl/>
        </w:rPr>
        <w:t>היא הוגש</w:t>
      </w:r>
      <w:r w:rsidR="00E32B53">
        <w:rPr>
          <w:rFonts w:ascii="Arial" w:hAnsi="Arial" w:hint="cs"/>
          <w:noProof w:val="0"/>
          <w:rtl/>
        </w:rPr>
        <w:t>ה לערכאה המוס</w:t>
      </w:r>
      <w:r>
        <w:rPr>
          <w:rFonts w:ascii="Arial" w:hAnsi="Arial" w:hint="cs"/>
          <w:noProof w:val="0"/>
          <w:rtl/>
        </w:rPr>
        <w:t>מ</w:t>
      </w:r>
      <w:r w:rsidR="00E32B53">
        <w:rPr>
          <w:rFonts w:ascii="Arial" w:hAnsi="Arial" w:hint="cs"/>
          <w:noProof w:val="0"/>
          <w:rtl/>
        </w:rPr>
        <w:t xml:space="preserve">כת מבחינה עניינית. </w:t>
      </w:r>
      <w:r>
        <w:rPr>
          <w:rFonts w:ascii="Arial" w:hAnsi="Arial" w:hint="cs"/>
          <w:noProof w:val="0"/>
          <w:rtl/>
        </w:rPr>
        <w:t xml:space="preserve">הוסיף התובע וטען כי </w:t>
      </w:r>
      <w:r w:rsidR="00A31A3D">
        <w:rPr>
          <w:rFonts w:ascii="Arial" w:hAnsi="Arial" w:hint="cs"/>
          <w:noProof w:val="0"/>
          <w:rtl/>
        </w:rPr>
        <w:t>בה</w:t>
      </w:r>
      <w:r>
        <w:rPr>
          <w:rFonts w:ascii="Arial" w:hAnsi="Arial" w:hint="cs"/>
          <w:noProof w:val="0"/>
          <w:rtl/>
        </w:rPr>
        <w:t>לכה הפסוקה לא נקבע כי יש להגיש ב</w:t>
      </w:r>
      <w:r w:rsidR="00A31A3D">
        <w:rPr>
          <w:rFonts w:ascii="Arial" w:hAnsi="Arial" w:hint="cs"/>
          <w:noProof w:val="0"/>
          <w:rtl/>
        </w:rPr>
        <w:t xml:space="preserve">קשה לביטול פסק דין בפני אותו מותב </w:t>
      </w:r>
      <w:r>
        <w:rPr>
          <w:rFonts w:ascii="Arial" w:hAnsi="Arial" w:hint="cs"/>
          <w:noProof w:val="0"/>
          <w:rtl/>
        </w:rPr>
        <w:t>א</w:t>
      </w:r>
      <w:r w:rsidR="00E32B53">
        <w:rPr>
          <w:rFonts w:ascii="Arial" w:hAnsi="Arial" w:hint="cs"/>
          <w:noProof w:val="0"/>
          <w:rtl/>
        </w:rPr>
        <w:t xml:space="preserve">שר </w:t>
      </w:r>
      <w:r>
        <w:rPr>
          <w:rFonts w:ascii="Arial" w:hAnsi="Arial" w:hint="cs"/>
          <w:noProof w:val="0"/>
          <w:rtl/>
        </w:rPr>
        <w:t>נתן את</w:t>
      </w:r>
      <w:r w:rsidR="0090444B">
        <w:rPr>
          <w:rFonts w:ascii="Arial" w:hAnsi="Arial" w:hint="cs"/>
          <w:noProof w:val="0"/>
          <w:rtl/>
        </w:rPr>
        <w:t xml:space="preserve"> פסק הדין. כן טען התובע כי </w:t>
      </w:r>
      <w:r w:rsidR="0048662D">
        <w:rPr>
          <w:rFonts w:ascii="Arial" w:hAnsi="Arial" w:hint="cs"/>
          <w:noProof w:val="0"/>
          <w:rtl/>
        </w:rPr>
        <w:t>רשם</w:t>
      </w:r>
      <w:r w:rsidR="00CB00EE">
        <w:rPr>
          <w:rFonts w:ascii="Arial" w:hAnsi="Arial" w:hint="cs"/>
          <w:noProof w:val="0"/>
          <w:rtl/>
        </w:rPr>
        <w:t xml:space="preserve"> ההוצאה לפועל נתן אישור מיצוי הליכים כנגד הלווים </w:t>
      </w:r>
      <w:r w:rsidR="0090444B">
        <w:rPr>
          <w:rFonts w:ascii="Arial" w:hAnsi="Arial"/>
          <w:noProof w:val="0"/>
          <w:rtl/>
        </w:rPr>
        <w:t>–</w:t>
      </w:r>
      <w:r w:rsidR="0090444B">
        <w:rPr>
          <w:rFonts w:ascii="Arial" w:hAnsi="Arial" w:hint="cs"/>
          <w:noProof w:val="0"/>
          <w:rtl/>
        </w:rPr>
        <w:t xml:space="preserve"> אישור </w:t>
      </w:r>
      <w:r w:rsidR="0048662D">
        <w:rPr>
          <w:rFonts w:ascii="Arial" w:hAnsi="Arial" w:hint="cs"/>
          <w:noProof w:val="0"/>
          <w:rtl/>
        </w:rPr>
        <w:t>שהינו תנאי להגשת ת</w:t>
      </w:r>
      <w:r w:rsidR="0090444B">
        <w:rPr>
          <w:rFonts w:ascii="Arial" w:hAnsi="Arial" w:hint="cs"/>
          <w:noProof w:val="0"/>
          <w:rtl/>
        </w:rPr>
        <w:t>ביעה נגד ערב</w:t>
      </w:r>
      <w:r w:rsidR="0048662D">
        <w:rPr>
          <w:rFonts w:ascii="Arial" w:hAnsi="Arial" w:hint="cs"/>
          <w:noProof w:val="0"/>
          <w:rtl/>
        </w:rPr>
        <w:t xml:space="preserve"> מוגן, כבמקרה דנן </w:t>
      </w:r>
      <w:r w:rsidR="0090444B">
        <w:rPr>
          <w:rFonts w:ascii="Arial" w:hAnsi="Arial" w:hint="cs"/>
          <w:noProof w:val="0"/>
          <w:rtl/>
        </w:rPr>
        <w:t xml:space="preserve">- </w:t>
      </w:r>
      <w:r w:rsidR="00CB00EE">
        <w:rPr>
          <w:rFonts w:ascii="Arial" w:hAnsi="Arial" w:hint="cs"/>
          <w:noProof w:val="0"/>
          <w:rtl/>
        </w:rPr>
        <w:t>בעקבות תרמית והטעיה מצד הנתבע</w:t>
      </w:r>
      <w:r w:rsidR="00A16DBA">
        <w:rPr>
          <w:rFonts w:ascii="Arial" w:hAnsi="Arial" w:hint="cs"/>
          <w:noProof w:val="0"/>
          <w:rtl/>
        </w:rPr>
        <w:t>. בנדון הנתבע ה</w:t>
      </w:r>
      <w:r w:rsidR="00CB00EE">
        <w:rPr>
          <w:rFonts w:ascii="Arial" w:hAnsi="Arial" w:hint="cs"/>
          <w:noProof w:val="0"/>
          <w:rtl/>
        </w:rPr>
        <w:t>ציג בפני</w:t>
      </w:r>
      <w:r w:rsidR="00A16DBA">
        <w:rPr>
          <w:rFonts w:ascii="Arial" w:hAnsi="Arial" w:hint="cs"/>
          <w:noProof w:val="0"/>
          <w:rtl/>
        </w:rPr>
        <w:t xml:space="preserve"> ר</w:t>
      </w:r>
      <w:r w:rsidR="0048662D">
        <w:rPr>
          <w:rFonts w:ascii="Arial" w:hAnsi="Arial" w:hint="cs"/>
          <w:noProof w:val="0"/>
          <w:rtl/>
        </w:rPr>
        <w:t>שם</w:t>
      </w:r>
      <w:r w:rsidR="00A16DBA">
        <w:rPr>
          <w:rFonts w:ascii="Arial" w:hAnsi="Arial" w:hint="cs"/>
          <w:noProof w:val="0"/>
          <w:rtl/>
        </w:rPr>
        <w:t xml:space="preserve"> הה</w:t>
      </w:r>
      <w:r w:rsidR="00CB00EE">
        <w:rPr>
          <w:rFonts w:ascii="Arial" w:hAnsi="Arial" w:hint="cs"/>
          <w:noProof w:val="0"/>
          <w:rtl/>
        </w:rPr>
        <w:t>ו</w:t>
      </w:r>
      <w:r w:rsidR="00A16DBA">
        <w:rPr>
          <w:rFonts w:ascii="Arial" w:hAnsi="Arial" w:hint="cs"/>
          <w:noProof w:val="0"/>
          <w:rtl/>
        </w:rPr>
        <w:t>צאה לפועל</w:t>
      </w:r>
      <w:r w:rsidR="00CB00EE">
        <w:rPr>
          <w:rFonts w:ascii="Arial" w:hAnsi="Arial" w:hint="cs"/>
          <w:noProof w:val="0"/>
          <w:rtl/>
        </w:rPr>
        <w:t xml:space="preserve"> מצג שווא כאילו נמסרה לתובע הודעה על הגשת בקש</w:t>
      </w:r>
      <w:r w:rsidR="00A16DBA">
        <w:rPr>
          <w:rFonts w:ascii="Arial" w:hAnsi="Arial" w:hint="cs"/>
          <w:noProof w:val="0"/>
          <w:rtl/>
        </w:rPr>
        <w:t xml:space="preserve">תו </w:t>
      </w:r>
      <w:r w:rsidR="00CB00EE">
        <w:rPr>
          <w:rFonts w:ascii="Arial" w:hAnsi="Arial" w:hint="cs"/>
          <w:noProof w:val="0"/>
          <w:rtl/>
        </w:rPr>
        <w:t xml:space="preserve">למיצוי הלכים, כשבפועל </w:t>
      </w:r>
      <w:r w:rsidR="00A16DBA">
        <w:rPr>
          <w:rFonts w:ascii="Arial" w:hAnsi="Arial" w:hint="cs"/>
          <w:noProof w:val="0"/>
          <w:rtl/>
        </w:rPr>
        <w:t>אין הדבר כך,</w:t>
      </w:r>
      <w:r w:rsidR="00CB00EE">
        <w:rPr>
          <w:rFonts w:ascii="Arial" w:hAnsi="Arial" w:hint="cs"/>
          <w:noProof w:val="0"/>
          <w:rtl/>
        </w:rPr>
        <w:t xml:space="preserve"> וכי הנתבע טען בפני ר</w:t>
      </w:r>
      <w:r w:rsidR="0048662D">
        <w:rPr>
          <w:rFonts w:ascii="Arial" w:hAnsi="Arial" w:hint="cs"/>
          <w:noProof w:val="0"/>
          <w:rtl/>
        </w:rPr>
        <w:t xml:space="preserve">שם </w:t>
      </w:r>
      <w:r w:rsidR="00CB00EE">
        <w:rPr>
          <w:rFonts w:ascii="Arial" w:hAnsi="Arial" w:hint="cs"/>
          <w:noProof w:val="0"/>
          <w:rtl/>
        </w:rPr>
        <w:t>ה</w:t>
      </w:r>
      <w:r w:rsidR="0090444B">
        <w:rPr>
          <w:rFonts w:ascii="Arial" w:hAnsi="Arial" w:hint="cs"/>
          <w:noProof w:val="0"/>
          <w:rtl/>
        </w:rPr>
        <w:t>הוצאה לפועל כי לא ניתן לממש את הנכס שהעמידו הלווים להבטחת פירעון ההלוואה מאחר והוא מצוי במגזר הערבי.</w:t>
      </w:r>
      <w:r w:rsidR="00A16DBA">
        <w:rPr>
          <w:rFonts w:ascii="Arial" w:hAnsi="Arial" w:hint="cs"/>
          <w:noProof w:val="0"/>
          <w:rtl/>
        </w:rPr>
        <w:t xml:space="preserve"> יוצא אפוא כי פסק הדין ניתן בעקבות תרמית והטעיה ולפיכך בדין הוגשה תביעה דנן על מנת להצה</w:t>
      </w:r>
      <w:r w:rsidR="009F0C38">
        <w:rPr>
          <w:rFonts w:ascii="Arial" w:hAnsi="Arial" w:hint="cs"/>
          <w:noProof w:val="0"/>
          <w:rtl/>
        </w:rPr>
        <w:t>יר על ביטולו</w:t>
      </w:r>
      <w:r w:rsidR="00A16DBA">
        <w:rPr>
          <w:rFonts w:ascii="Arial" w:hAnsi="Arial" w:hint="cs"/>
          <w:noProof w:val="0"/>
          <w:rtl/>
        </w:rPr>
        <w:t xml:space="preserve"> .</w:t>
      </w:r>
      <w:r w:rsidR="0090444B">
        <w:rPr>
          <w:rFonts w:ascii="Arial" w:hAnsi="Arial" w:hint="cs"/>
          <w:noProof w:val="0"/>
          <w:rtl/>
        </w:rPr>
        <w:t xml:space="preserve"> </w:t>
      </w:r>
    </w:p>
    <w:p w:rsidR="002A75F4" w:rsidRPr="009F3E8A" w:rsidRDefault="002A75F4" w:rsidP="009F3E8A">
      <w:pPr>
        <w:pStyle w:val="ad"/>
        <w:spacing w:line="360" w:lineRule="auto"/>
        <w:rPr>
          <w:rFonts w:ascii="Arial" w:hAnsi="Arial"/>
          <w:noProof w:val="0"/>
          <w:rtl/>
        </w:rPr>
      </w:pPr>
    </w:p>
    <w:p w:rsidR="002A75F4" w:rsidRDefault="002A75F4" w:rsidP="002A75F4">
      <w:pPr>
        <w:pStyle w:val="ad"/>
        <w:numPr>
          <w:ilvl w:val="0"/>
          <w:numId w:val="1"/>
        </w:numPr>
        <w:spacing w:line="360" w:lineRule="auto"/>
        <w:jc w:val="both"/>
        <w:rPr>
          <w:rFonts w:ascii="Arial" w:hAnsi="Arial"/>
          <w:noProof w:val="0"/>
        </w:rPr>
      </w:pPr>
      <w:r>
        <w:rPr>
          <w:rFonts w:ascii="Arial" w:hAnsi="Arial" w:hint="cs"/>
          <w:noProof w:val="0"/>
          <w:rtl/>
        </w:rPr>
        <w:t>שקלתי מכלול טענות הצדדים ומצאתי לקבל את הבקשה.</w:t>
      </w:r>
    </w:p>
    <w:p w:rsidR="002A75F4" w:rsidRPr="002A75F4" w:rsidRDefault="002A75F4" w:rsidP="009F3E8A">
      <w:pPr>
        <w:pStyle w:val="ad"/>
        <w:spacing w:line="360" w:lineRule="auto"/>
        <w:rPr>
          <w:rFonts w:ascii="Arial" w:hAnsi="Arial"/>
          <w:noProof w:val="0"/>
          <w:rtl/>
        </w:rPr>
      </w:pPr>
    </w:p>
    <w:p w:rsidR="009A3356" w:rsidRDefault="003D52FC" w:rsidP="00504B90">
      <w:pPr>
        <w:pStyle w:val="ad"/>
        <w:numPr>
          <w:ilvl w:val="0"/>
          <w:numId w:val="1"/>
        </w:numPr>
        <w:spacing w:line="360" w:lineRule="auto"/>
        <w:jc w:val="both"/>
        <w:rPr>
          <w:rFonts w:ascii="Arial" w:hAnsi="Arial"/>
          <w:noProof w:val="0"/>
        </w:rPr>
      </w:pPr>
      <w:r>
        <w:rPr>
          <w:rFonts w:ascii="Arial" w:hAnsi="Arial" w:hint="cs"/>
          <w:noProof w:val="0"/>
          <w:rtl/>
        </w:rPr>
        <w:lastRenderedPageBreak/>
        <w:t>ביטול פסק דין עלול לחתור תחת עיקרון סופיות הדיון</w:t>
      </w:r>
      <w:r w:rsidR="00696EC6">
        <w:rPr>
          <w:rFonts w:ascii="Arial" w:hAnsi="Arial" w:hint="cs"/>
          <w:noProof w:val="0"/>
          <w:rtl/>
        </w:rPr>
        <w:t xml:space="preserve">, אף כי בהתקיים החריגים שנקבעו בדין, ניתן לבטלו. </w:t>
      </w:r>
      <w:r>
        <w:rPr>
          <w:rFonts w:ascii="Arial" w:hAnsi="Arial" w:hint="cs"/>
          <w:noProof w:val="0"/>
          <w:rtl/>
        </w:rPr>
        <w:t>על העיקרון הנ''</w:t>
      </w:r>
      <w:r w:rsidR="00696EC6">
        <w:rPr>
          <w:rFonts w:ascii="Arial" w:hAnsi="Arial" w:hint="cs"/>
          <w:noProof w:val="0"/>
          <w:rtl/>
        </w:rPr>
        <w:t>ל</w:t>
      </w:r>
      <w:r w:rsidR="009A3356">
        <w:rPr>
          <w:rFonts w:ascii="Arial" w:hAnsi="Arial" w:hint="cs"/>
          <w:noProof w:val="0"/>
          <w:rtl/>
        </w:rPr>
        <w:t xml:space="preserve"> </w:t>
      </w:r>
      <w:r w:rsidR="00696EC6">
        <w:rPr>
          <w:rFonts w:ascii="Arial" w:hAnsi="Arial" w:hint="cs"/>
          <w:noProof w:val="0"/>
          <w:rtl/>
        </w:rPr>
        <w:t>ו</w:t>
      </w:r>
      <w:r w:rsidR="009A3356">
        <w:rPr>
          <w:rFonts w:ascii="Arial" w:hAnsi="Arial" w:hint="cs"/>
          <w:noProof w:val="0"/>
          <w:rtl/>
        </w:rPr>
        <w:t>אפשרות החריגה ממנו</w:t>
      </w:r>
      <w:r w:rsidR="00504B90">
        <w:rPr>
          <w:rFonts w:ascii="Arial" w:hAnsi="Arial" w:hint="cs"/>
          <w:noProof w:val="0"/>
          <w:rtl/>
        </w:rPr>
        <w:t xml:space="preserve"> </w:t>
      </w:r>
      <w:r w:rsidR="0048662D">
        <w:rPr>
          <w:rFonts w:ascii="Arial" w:hAnsi="Arial" w:hint="cs"/>
          <w:noProof w:val="0"/>
          <w:rtl/>
        </w:rPr>
        <w:t>בהתאם ל</w:t>
      </w:r>
      <w:r w:rsidR="00504B90">
        <w:rPr>
          <w:rFonts w:ascii="Arial" w:hAnsi="Arial" w:hint="cs"/>
          <w:noProof w:val="0"/>
          <w:rtl/>
        </w:rPr>
        <w:t xml:space="preserve">אחד משני מסלולים שנקבעו בדין </w:t>
      </w:r>
      <w:r w:rsidR="00504B90">
        <w:rPr>
          <w:rFonts w:ascii="Arial" w:hAnsi="Arial"/>
          <w:noProof w:val="0"/>
          <w:rtl/>
        </w:rPr>
        <w:t>–</w:t>
      </w:r>
      <w:r w:rsidR="00504B90">
        <w:rPr>
          <w:rFonts w:ascii="Arial" w:hAnsi="Arial" w:hint="cs"/>
          <w:noProof w:val="0"/>
          <w:rtl/>
        </w:rPr>
        <w:t xml:space="preserve"> משפט חוזר אזרחי וביטול פסק דין שניתן בהעדר </w:t>
      </w:r>
      <w:r w:rsidR="003D0AFF">
        <w:rPr>
          <w:rFonts w:ascii="Arial" w:hAnsi="Arial" w:hint="cs"/>
          <w:noProof w:val="0"/>
          <w:rtl/>
        </w:rPr>
        <w:t xml:space="preserve">בהתאם לתקנות סדר הדין האזרחי </w:t>
      </w:r>
      <w:r w:rsidR="00504B90">
        <w:rPr>
          <w:rFonts w:ascii="Arial" w:hAnsi="Arial" w:hint="cs"/>
          <w:noProof w:val="0"/>
          <w:rtl/>
        </w:rPr>
        <w:t xml:space="preserve">- </w:t>
      </w:r>
      <w:r w:rsidR="009A3356">
        <w:rPr>
          <w:rFonts w:ascii="Arial" w:hAnsi="Arial" w:hint="cs"/>
          <w:noProof w:val="0"/>
          <w:rtl/>
        </w:rPr>
        <w:t>עמד בית המשפט ב-</w:t>
      </w:r>
      <w:r w:rsidR="009A3356">
        <w:rPr>
          <w:rFonts w:ascii="Arial" w:hAnsi="Arial" w:hint="cs"/>
          <w:b/>
          <w:bCs/>
          <w:noProof w:val="0"/>
          <w:rtl/>
        </w:rPr>
        <w:t>ע"א 3255/19 טליה פבזנר נ' יונתן שפר (פורסם בנבו)</w:t>
      </w:r>
      <w:r w:rsidR="00696EC6">
        <w:rPr>
          <w:rFonts w:ascii="Arial" w:hAnsi="Arial" w:hint="cs"/>
          <w:b/>
          <w:bCs/>
          <w:noProof w:val="0"/>
          <w:rtl/>
        </w:rPr>
        <w:t>(להלן: ''פס''ד פבזנר'')</w:t>
      </w:r>
      <w:r w:rsidR="009A3356">
        <w:rPr>
          <w:rFonts w:ascii="Arial" w:hAnsi="Arial" w:hint="cs"/>
          <w:noProof w:val="0"/>
          <w:rtl/>
        </w:rPr>
        <w:t>, באומרו:</w:t>
      </w:r>
    </w:p>
    <w:p w:rsidR="009A3356" w:rsidRDefault="009A3356" w:rsidP="009A3356">
      <w:pPr>
        <w:pStyle w:val="Ruller4"/>
        <w:numPr>
          <w:ilvl w:val="0"/>
          <w:numId w:val="0"/>
        </w:numPr>
        <w:rPr>
          <w:rFonts w:ascii="Arial" w:hAnsi="Arial" w:cs="David"/>
          <w:spacing w:val="0"/>
          <w:szCs w:val="24"/>
          <w:rtl/>
        </w:rPr>
      </w:pPr>
    </w:p>
    <w:p w:rsidR="009A3356" w:rsidRPr="009A3356" w:rsidRDefault="00241DB6" w:rsidP="00241DB6">
      <w:pPr>
        <w:pStyle w:val="Ruller4"/>
        <w:numPr>
          <w:ilvl w:val="0"/>
          <w:numId w:val="0"/>
        </w:numPr>
        <w:ind w:left="1440" w:hanging="12"/>
        <w:rPr>
          <w:rFonts w:ascii="David" w:hAnsi="David" w:cs="David"/>
          <w:b/>
          <w:bCs/>
          <w:szCs w:val="24"/>
        </w:rPr>
      </w:pPr>
      <w:r>
        <w:rPr>
          <w:rFonts w:ascii="David" w:hAnsi="David" w:cs="David"/>
          <w:b/>
          <w:bCs/>
          <w:szCs w:val="24"/>
          <w:rtl/>
        </w:rPr>
        <w:tab/>
      </w:r>
      <w:r w:rsidR="009A3356">
        <w:rPr>
          <w:rFonts w:ascii="David" w:hAnsi="David" w:cs="David" w:hint="cs"/>
          <w:b/>
          <w:bCs/>
          <w:szCs w:val="24"/>
          <w:rtl/>
        </w:rPr>
        <w:t>"</w:t>
      </w:r>
      <w:r w:rsidR="009A3356" w:rsidRPr="009A3356">
        <w:rPr>
          <w:rFonts w:ascii="David" w:hAnsi="David" w:cs="David"/>
          <w:b/>
          <w:bCs/>
          <w:szCs w:val="24"/>
          <w:rtl/>
        </w:rPr>
        <w:t>ככלל, עקרון סופיות הדיון מחייב שלא ני</w:t>
      </w:r>
      <w:r w:rsidR="00E73FF4">
        <w:rPr>
          <w:rFonts w:ascii="David" w:hAnsi="David" w:cs="David"/>
          <w:b/>
          <w:bCs/>
          <w:szCs w:val="24"/>
          <w:rtl/>
        </w:rPr>
        <w:t>תן יהיה לבטל פסק דין שהפך חלוט.</w:t>
      </w:r>
      <w:r w:rsidR="00E73FF4">
        <w:rPr>
          <w:rFonts w:ascii="David" w:hAnsi="David" w:cs="David" w:hint="cs"/>
          <w:b/>
          <w:bCs/>
          <w:szCs w:val="24"/>
          <w:rtl/>
        </w:rPr>
        <w:t xml:space="preserve"> </w:t>
      </w:r>
      <w:r w:rsidR="009A3356" w:rsidRPr="009A3356">
        <w:rPr>
          <w:rFonts w:ascii="David" w:hAnsi="David" w:cs="David"/>
          <w:b/>
          <w:bCs/>
          <w:szCs w:val="24"/>
          <w:rtl/>
        </w:rPr>
        <w:t xml:space="preserve">אם לעולם יתאפשר לבעל דין לעורר מחדש מחלוקות בין הצדדים שהוכרעו זה מכבר – שוב ושוב, באותו עניין – ברי כי לא יהיה טעם של ממש בפניה לפתרון הסכסוך בבית המשפט מלכתחילה; כפי שציינתי בעבר: </w:t>
      </w:r>
      <w:r w:rsidR="009A3356">
        <w:rPr>
          <w:rFonts w:ascii="David" w:hAnsi="David" w:cs="David" w:hint="cs"/>
          <w:b/>
          <w:bCs/>
          <w:spacing w:val="0"/>
          <w:szCs w:val="24"/>
          <w:rtl/>
        </w:rPr>
        <w:t>'</w:t>
      </w:r>
      <w:r w:rsidR="009A3356" w:rsidRPr="009A3356">
        <w:rPr>
          <w:rFonts w:ascii="David" w:hAnsi="David" w:cs="David"/>
          <w:b/>
          <w:bCs/>
          <w:spacing w:val="0"/>
          <w:szCs w:val="24"/>
          <w:rtl/>
        </w:rPr>
        <w:t>דעת לנבון נקל, כי סופיות הדיון איננה 'לעומתית' לצדק. התדיינות שאינה פוסקת, היא-היא היוצרת עיוות, מבוכה ועוול</w:t>
      </w:r>
      <w:r w:rsidR="009A3356">
        <w:rPr>
          <w:rFonts w:ascii="David" w:hAnsi="David" w:cs="David" w:hint="cs"/>
          <w:b/>
          <w:bCs/>
          <w:spacing w:val="0"/>
          <w:szCs w:val="24"/>
          <w:rtl/>
        </w:rPr>
        <w:t>'</w:t>
      </w:r>
      <w:r w:rsidR="009A3356">
        <w:rPr>
          <w:rFonts w:ascii="David" w:hAnsi="David" w:cs="David" w:hint="cs"/>
          <w:b/>
          <w:bCs/>
          <w:szCs w:val="24"/>
          <w:rtl/>
        </w:rPr>
        <w:t>....</w:t>
      </w:r>
    </w:p>
    <w:p w:rsidR="009A3356" w:rsidRDefault="009A3356" w:rsidP="009A3356">
      <w:pPr>
        <w:pStyle w:val="Ruller4"/>
        <w:numPr>
          <w:ilvl w:val="0"/>
          <w:numId w:val="0"/>
        </w:numPr>
        <w:rPr>
          <w:rFonts w:ascii="David" w:hAnsi="David" w:cs="David"/>
          <w:b/>
          <w:bCs/>
          <w:szCs w:val="24"/>
          <w:rtl/>
        </w:rPr>
      </w:pPr>
      <w:r>
        <w:rPr>
          <w:rFonts w:ascii="David" w:hAnsi="David" w:cs="David"/>
          <w:b/>
          <w:bCs/>
          <w:szCs w:val="24"/>
          <w:rtl/>
        </w:rPr>
        <w:tab/>
      </w:r>
    </w:p>
    <w:p w:rsidR="009A3356" w:rsidRPr="009A3356" w:rsidRDefault="009A3356" w:rsidP="00241DB6">
      <w:pPr>
        <w:pStyle w:val="Ruller4"/>
        <w:numPr>
          <w:ilvl w:val="0"/>
          <w:numId w:val="0"/>
        </w:numPr>
        <w:tabs>
          <w:tab w:val="clear" w:pos="800"/>
        </w:tabs>
        <w:ind w:left="1428"/>
        <w:rPr>
          <w:rFonts w:ascii="David" w:hAnsi="David" w:cs="David"/>
          <w:b/>
          <w:bCs/>
          <w:szCs w:val="24"/>
          <w:rtl/>
        </w:rPr>
      </w:pPr>
      <w:r w:rsidRPr="009A3356">
        <w:rPr>
          <w:rFonts w:ascii="David" w:hAnsi="David" w:cs="David"/>
          <w:b/>
          <w:bCs/>
          <w:szCs w:val="24"/>
          <w:rtl/>
        </w:rPr>
        <w:t>יחד עם זאת, סופיות הדיון אינה חזות הכו</w:t>
      </w:r>
      <w:r w:rsidR="00E73FF4">
        <w:rPr>
          <w:rFonts w:ascii="David" w:hAnsi="David" w:cs="David"/>
          <w:b/>
          <w:bCs/>
          <w:szCs w:val="24"/>
          <w:rtl/>
        </w:rPr>
        <w:t>ל. לעיתים, גם לאחר שנוהל ההליך,</w:t>
      </w:r>
      <w:r w:rsidR="00E73FF4">
        <w:rPr>
          <w:rFonts w:ascii="David" w:hAnsi="David" w:cs="David" w:hint="cs"/>
          <w:b/>
          <w:bCs/>
          <w:szCs w:val="24"/>
          <w:rtl/>
        </w:rPr>
        <w:t xml:space="preserve"> </w:t>
      </w:r>
      <w:r w:rsidRPr="009A3356">
        <w:rPr>
          <w:rFonts w:ascii="David" w:hAnsi="David" w:cs="David"/>
          <w:b/>
          <w:bCs/>
          <w:szCs w:val="24"/>
          <w:rtl/>
        </w:rPr>
        <w:t xml:space="preserve">ופסק הדין הפך חלוט, גוברים בדיעבד שיקולי צדק על הטעמים שביסוד עקרון סופיות הדיון. בכגון דא, דורשת שורת הדין כי פסק הדין יבוטל, והמחלוקת בין הצדדים תלובן ותבורר מחדש </w:t>
      </w:r>
      <w:r>
        <w:rPr>
          <w:rFonts w:ascii="David" w:hAnsi="David" w:cs="David" w:hint="cs"/>
          <w:b/>
          <w:bCs/>
          <w:szCs w:val="24"/>
          <w:rtl/>
        </w:rPr>
        <w:t>....</w:t>
      </w:r>
      <w:r w:rsidRPr="009A3356">
        <w:rPr>
          <w:rFonts w:ascii="David" w:hAnsi="David" w:cs="David"/>
          <w:b/>
          <w:bCs/>
          <w:szCs w:val="24"/>
          <w:rtl/>
        </w:rPr>
        <w:t>. בהתאם, ניתן למצוא בפסיקה כי עומדת לבית המשפט סמכות עקרונית, טבועה, לבטל פסק דין אזרחי; הליך שזכה לכי</w:t>
      </w:r>
      <w:r>
        <w:rPr>
          <w:rFonts w:ascii="David" w:hAnsi="David" w:cs="David"/>
          <w:b/>
          <w:bCs/>
          <w:szCs w:val="24"/>
          <w:rtl/>
        </w:rPr>
        <w:t>נוי 'משפט חוזר אזרחי'</w:t>
      </w:r>
      <w:r>
        <w:rPr>
          <w:rFonts w:ascii="David" w:hAnsi="David" w:cs="David" w:hint="cs"/>
          <w:b/>
          <w:bCs/>
          <w:szCs w:val="24"/>
          <w:rtl/>
        </w:rPr>
        <w:t>....</w:t>
      </w:r>
    </w:p>
    <w:p w:rsidR="009A3356" w:rsidRPr="009A3356" w:rsidRDefault="009A3356" w:rsidP="009A3356">
      <w:pPr>
        <w:pStyle w:val="Ruller41"/>
        <w:spacing w:line="240" w:lineRule="auto"/>
        <w:rPr>
          <w:rFonts w:ascii="David" w:hAnsi="David" w:cs="David"/>
          <w:b/>
          <w:bCs/>
          <w:sz w:val="24"/>
          <w:szCs w:val="24"/>
          <w:rtl/>
        </w:rPr>
      </w:pPr>
    </w:p>
    <w:p w:rsidR="009A3356" w:rsidRDefault="00E73FF4" w:rsidP="00241DB6">
      <w:pPr>
        <w:pStyle w:val="Ruller4"/>
        <w:numPr>
          <w:ilvl w:val="0"/>
          <w:numId w:val="0"/>
        </w:numPr>
        <w:ind w:left="1428" w:hanging="360"/>
        <w:rPr>
          <w:rFonts w:ascii="David" w:hAnsi="David" w:cs="David"/>
          <w:szCs w:val="24"/>
          <w:rtl/>
        </w:rPr>
      </w:pPr>
      <w:r>
        <w:rPr>
          <w:rFonts w:ascii="David" w:hAnsi="David" w:cs="David"/>
          <w:b/>
          <w:bCs/>
          <w:szCs w:val="24"/>
          <w:rtl/>
        </w:rPr>
        <w:tab/>
      </w:r>
      <w:r>
        <w:rPr>
          <w:rFonts w:ascii="David" w:hAnsi="David" w:cs="David"/>
          <w:b/>
          <w:bCs/>
          <w:szCs w:val="24"/>
          <w:rtl/>
        </w:rPr>
        <w:tab/>
      </w:r>
      <w:r w:rsidR="009A3356" w:rsidRPr="009A3356">
        <w:rPr>
          <w:rFonts w:ascii="David" w:hAnsi="David" w:cs="David"/>
          <w:b/>
          <w:bCs/>
          <w:szCs w:val="24"/>
          <w:rtl/>
        </w:rPr>
        <w:t xml:space="preserve">לבד מן המסלול הנ"ל, אשר פותח פתח צר, למקרים חריגים שבחריגים, קיימת אפשרות נוספת לבקש ביטול של פסק דין שניתן במעמד צד אחד, בהתאם לקבוע </w:t>
      </w:r>
      <w:hyperlink r:id="rId9" w:history="1">
        <w:r w:rsidR="009A3356" w:rsidRPr="00E73FF4">
          <w:rPr>
            <w:rStyle w:val="Hyperlink"/>
            <w:rFonts w:ascii="David" w:hAnsi="David" w:cs="David"/>
            <w:b/>
            <w:bCs/>
            <w:color w:val="auto"/>
            <w:szCs w:val="24"/>
            <w:u w:val="none"/>
            <w:rtl/>
          </w:rPr>
          <w:t>בתקנה 131</w:t>
        </w:r>
      </w:hyperlink>
      <w:r w:rsidR="009A3356" w:rsidRPr="00E73FF4">
        <w:rPr>
          <w:rFonts w:ascii="David" w:hAnsi="David" w:cs="David"/>
          <w:b/>
          <w:bCs/>
          <w:szCs w:val="24"/>
          <w:rtl/>
        </w:rPr>
        <w:t xml:space="preserve"> ל</w:t>
      </w:r>
      <w:hyperlink r:id="rId10" w:history="1">
        <w:r w:rsidR="009A3356" w:rsidRPr="00E73FF4">
          <w:rPr>
            <w:rStyle w:val="Hyperlink"/>
            <w:rFonts w:ascii="David" w:hAnsi="David" w:cs="David"/>
            <w:b/>
            <w:bCs/>
            <w:color w:val="auto"/>
            <w:szCs w:val="24"/>
            <w:u w:val="none"/>
            <w:rtl/>
          </w:rPr>
          <w:t>תקנות סדר הדין האזרחי, התשע"ט</w:t>
        </w:r>
      </w:hyperlink>
      <w:r w:rsidR="009A3356" w:rsidRPr="009A3356">
        <w:rPr>
          <w:rFonts w:ascii="David" w:hAnsi="David" w:cs="David"/>
          <w:b/>
          <w:bCs/>
          <w:szCs w:val="24"/>
          <w:rtl/>
        </w:rPr>
        <w:t xml:space="preserve">-2018 (להלן: </w:t>
      </w:r>
      <w:r w:rsidR="009A3356" w:rsidRPr="009A3356">
        <w:rPr>
          <w:rFonts w:ascii="David" w:hAnsi="David" w:cs="David"/>
          <w:b/>
          <w:bCs/>
          <w:spacing w:val="0"/>
          <w:szCs w:val="24"/>
          <w:rtl/>
        </w:rPr>
        <w:t>התקנות החדשות</w:t>
      </w:r>
      <w:r w:rsidR="009A3356" w:rsidRPr="009A3356">
        <w:rPr>
          <w:rFonts w:ascii="David" w:hAnsi="David" w:cs="David"/>
          <w:b/>
          <w:bCs/>
          <w:szCs w:val="24"/>
          <w:rtl/>
        </w:rPr>
        <w:t xml:space="preserve">). במסגרת תקנה זו, ניתנה לבית המשפט סמכות לבטל פסק דין כאמור, </w:t>
      </w:r>
      <w:r>
        <w:rPr>
          <w:rFonts w:ascii="David" w:hAnsi="David" w:cs="David" w:hint="cs"/>
          <w:b/>
          <w:bCs/>
          <w:spacing w:val="0"/>
          <w:szCs w:val="24"/>
          <w:rtl/>
        </w:rPr>
        <w:t>'</w:t>
      </w:r>
      <w:r w:rsidR="009A3356" w:rsidRPr="009A3356">
        <w:rPr>
          <w:rFonts w:ascii="David" w:hAnsi="David" w:cs="David"/>
          <w:b/>
          <w:bCs/>
          <w:spacing w:val="0"/>
          <w:szCs w:val="24"/>
          <w:rtl/>
        </w:rPr>
        <w:t>בתנאים שייראו לו</w:t>
      </w:r>
      <w:r>
        <w:rPr>
          <w:rFonts w:ascii="David" w:hAnsi="David" w:cs="David" w:hint="cs"/>
          <w:b/>
          <w:bCs/>
          <w:spacing w:val="0"/>
          <w:szCs w:val="24"/>
          <w:rtl/>
        </w:rPr>
        <w:t>'</w:t>
      </w:r>
      <w:r w:rsidR="009A3356" w:rsidRPr="009A3356">
        <w:rPr>
          <w:rFonts w:ascii="David" w:hAnsi="David" w:cs="David"/>
          <w:b/>
          <w:bCs/>
          <w:szCs w:val="24"/>
          <w:rtl/>
        </w:rPr>
        <w:t xml:space="preserve">, אם הוגשה בקשת ביטול מטעם בעל הדין </w:t>
      </w:r>
      <w:r>
        <w:rPr>
          <w:rFonts w:ascii="David" w:hAnsi="David" w:cs="David" w:hint="cs"/>
          <w:b/>
          <w:bCs/>
          <w:spacing w:val="0"/>
          <w:szCs w:val="24"/>
          <w:rtl/>
        </w:rPr>
        <w:t>'</w:t>
      </w:r>
      <w:r w:rsidR="009A3356" w:rsidRPr="009A3356">
        <w:rPr>
          <w:rFonts w:ascii="David" w:hAnsi="David" w:cs="David"/>
          <w:b/>
          <w:bCs/>
          <w:spacing w:val="0"/>
          <w:szCs w:val="24"/>
          <w:rtl/>
        </w:rPr>
        <w:t>שנגדו ניתנה ההחלטה</w:t>
      </w:r>
      <w:r>
        <w:rPr>
          <w:rFonts w:ascii="David" w:hAnsi="David" w:cs="David" w:hint="cs"/>
          <w:b/>
          <w:bCs/>
          <w:spacing w:val="0"/>
          <w:szCs w:val="24"/>
          <w:rtl/>
        </w:rPr>
        <w:t>'</w:t>
      </w:r>
      <w:r w:rsidR="009A3356" w:rsidRPr="009A3356">
        <w:rPr>
          <w:rFonts w:ascii="David" w:hAnsi="David" w:cs="David"/>
          <w:b/>
          <w:bCs/>
          <w:szCs w:val="24"/>
          <w:rtl/>
        </w:rPr>
        <w:t xml:space="preserve"> בתוך 30 ימים למן היום שבו הומצאה לו </w:t>
      </w:r>
      <w:r>
        <w:rPr>
          <w:rFonts w:ascii="David" w:hAnsi="David" w:cs="David" w:hint="cs"/>
          <w:b/>
          <w:bCs/>
          <w:szCs w:val="24"/>
          <w:rtl/>
        </w:rPr>
        <w:t>......</w:t>
      </w:r>
      <w:r w:rsidR="009A3356" w:rsidRPr="009A3356">
        <w:rPr>
          <w:rFonts w:ascii="David" w:hAnsi="David" w:cs="David"/>
          <w:b/>
          <w:bCs/>
          <w:szCs w:val="24"/>
          <w:rtl/>
        </w:rPr>
        <w:t xml:space="preserve"> תקנה זו באה בנעלי </w:t>
      </w:r>
      <w:hyperlink r:id="rId11" w:history="1">
        <w:r w:rsidR="009A3356" w:rsidRPr="00E73FF4">
          <w:rPr>
            <w:rStyle w:val="Hyperlink"/>
            <w:rFonts w:ascii="David" w:hAnsi="David" w:cs="David"/>
            <w:b/>
            <w:bCs/>
            <w:color w:val="auto"/>
            <w:szCs w:val="24"/>
            <w:u w:val="none"/>
            <w:rtl/>
          </w:rPr>
          <w:t>תקנה 201</w:t>
        </w:r>
      </w:hyperlink>
      <w:r w:rsidR="009A3356" w:rsidRPr="00E73FF4">
        <w:rPr>
          <w:rFonts w:ascii="David" w:hAnsi="David" w:cs="David"/>
          <w:b/>
          <w:bCs/>
          <w:szCs w:val="24"/>
          <w:rtl/>
        </w:rPr>
        <w:t xml:space="preserve"> </w:t>
      </w:r>
      <w:r w:rsidR="009A3356" w:rsidRPr="009A3356">
        <w:rPr>
          <w:rFonts w:ascii="David" w:hAnsi="David" w:cs="David"/>
          <w:b/>
          <w:bCs/>
          <w:szCs w:val="24"/>
          <w:rtl/>
        </w:rPr>
        <w:t>לתקנות הקודמות, אולם לצורך ענייננו כ</w:t>
      </w:r>
      <w:r>
        <w:rPr>
          <w:rFonts w:ascii="David" w:hAnsi="David" w:cs="David"/>
          <w:b/>
          <w:bCs/>
          <w:szCs w:val="24"/>
          <w:rtl/>
        </w:rPr>
        <w:t>אן, אין לשינוי זה השלכה מהותית.</w:t>
      </w:r>
      <w:r>
        <w:rPr>
          <w:rFonts w:ascii="David" w:hAnsi="David" w:cs="David" w:hint="cs"/>
          <w:b/>
          <w:bCs/>
          <w:szCs w:val="24"/>
          <w:rtl/>
        </w:rPr>
        <w:t>....</w:t>
      </w:r>
      <w:r w:rsidR="009A3356" w:rsidRPr="009A3356">
        <w:rPr>
          <w:rFonts w:ascii="David" w:hAnsi="David" w:cs="David"/>
          <w:b/>
          <w:bCs/>
          <w:szCs w:val="24"/>
          <w:rtl/>
        </w:rPr>
        <w:t xml:space="preserve"> הסדר זה, יסודו בכך שפסק דין המטיל חובות על אדם, מבלי שניתן לו יומו בבית המשפט, ובלא שהיתה לו הזדמנות להתגונן מפני ה</w:t>
      </w:r>
      <w:r w:rsidR="00571F72">
        <w:rPr>
          <w:rFonts w:ascii="David" w:hAnsi="David" w:cs="David"/>
          <w:b/>
          <w:bCs/>
          <w:szCs w:val="24"/>
          <w:rtl/>
        </w:rPr>
        <w:t>תביעה נגדו – הריהו פסק דין פגום</w:t>
      </w:r>
      <w:r>
        <w:rPr>
          <w:rFonts w:ascii="David" w:hAnsi="David" w:cs="David" w:hint="cs"/>
          <w:b/>
          <w:bCs/>
          <w:szCs w:val="24"/>
          <w:rtl/>
        </w:rPr>
        <w:t>....</w:t>
      </w:r>
      <w:r w:rsidR="009A3356" w:rsidRPr="009A3356">
        <w:rPr>
          <w:rFonts w:ascii="David" w:hAnsi="David" w:cs="David"/>
          <w:b/>
          <w:bCs/>
          <w:szCs w:val="24"/>
          <w:rtl/>
        </w:rPr>
        <w:t xml:space="preserve">. על כן, נקבע בפסיקה כי הנטייה תהא להורות על ביטול פסקי דין מעין אלה, ככל שניתן טעם מספיק להעדר ההתגוננות או ההתייצבות, תוך חיוב בעל הדין מבקש הביטול בהוצאות, בהתאם לנסיבות העניין </w:t>
      </w:r>
      <w:r>
        <w:rPr>
          <w:rFonts w:ascii="David" w:hAnsi="David" w:cs="David" w:hint="cs"/>
          <w:b/>
          <w:bCs/>
          <w:szCs w:val="24"/>
          <w:rtl/>
        </w:rPr>
        <w:t>....</w:t>
      </w:r>
      <w:r w:rsidR="00980D74">
        <w:rPr>
          <w:rFonts w:ascii="David" w:hAnsi="David" w:cs="David" w:hint="cs"/>
          <w:b/>
          <w:bCs/>
          <w:szCs w:val="24"/>
          <w:rtl/>
        </w:rPr>
        <w:t>''</w:t>
      </w:r>
      <w:r w:rsidR="00980D74">
        <w:rPr>
          <w:rFonts w:ascii="David" w:hAnsi="David" w:cs="David" w:hint="cs"/>
          <w:szCs w:val="24"/>
          <w:rtl/>
        </w:rPr>
        <w:t>(שם, פסקאות 12-13 ו-15 לפסק הדין).</w:t>
      </w:r>
    </w:p>
    <w:p w:rsidR="00980D74" w:rsidRDefault="00980D74" w:rsidP="00980D74">
      <w:pPr>
        <w:pStyle w:val="Ruller41"/>
        <w:rPr>
          <w:rtl/>
        </w:rPr>
      </w:pPr>
    </w:p>
    <w:p w:rsidR="00980D74" w:rsidRDefault="00DB7EAA" w:rsidP="00571F72">
      <w:pPr>
        <w:pStyle w:val="Ruller41"/>
        <w:ind w:left="708"/>
        <w:rPr>
          <w:rFonts w:ascii="David" w:hAnsi="David" w:cs="David"/>
          <w:sz w:val="24"/>
          <w:szCs w:val="24"/>
          <w:rtl/>
        </w:rPr>
      </w:pPr>
      <w:r>
        <w:rPr>
          <w:rFonts w:ascii="David" w:hAnsi="David" w:cs="David" w:hint="cs"/>
          <w:sz w:val="24"/>
          <w:szCs w:val="24"/>
          <w:rtl/>
        </w:rPr>
        <w:t xml:space="preserve">באשר לעילות ביטול פסק דין במסלול משפט חוזר אזרחי, </w:t>
      </w:r>
      <w:r w:rsidR="00980D74">
        <w:rPr>
          <w:rFonts w:ascii="David" w:hAnsi="David" w:cs="David" w:hint="cs"/>
          <w:sz w:val="24"/>
          <w:szCs w:val="24"/>
          <w:rtl/>
        </w:rPr>
        <w:t>הוסיף בית המשפט וקבע בפס''ד פבזנר</w:t>
      </w:r>
      <w:r>
        <w:rPr>
          <w:rFonts w:ascii="David" w:hAnsi="David" w:cs="David" w:hint="cs"/>
          <w:sz w:val="24"/>
          <w:szCs w:val="24"/>
          <w:rtl/>
        </w:rPr>
        <w:t>, באומרו:</w:t>
      </w:r>
    </w:p>
    <w:p w:rsidR="00980D74" w:rsidRDefault="00980D74" w:rsidP="00980D74">
      <w:pPr>
        <w:pStyle w:val="Ruller41"/>
        <w:rPr>
          <w:rFonts w:ascii="David" w:hAnsi="David" w:cs="David"/>
          <w:sz w:val="24"/>
          <w:szCs w:val="24"/>
          <w:rtl/>
        </w:rPr>
      </w:pPr>
    </w:p>
    <w:p w:rsidR="00980D74" w:rsidRPr="00DB7EAA" w:rsidRDefault="00980D74" w:rsidP="00241DB6">
      <w:pPr>
        <w:pStyle w:val="Ruller4"/>
        <w:numPr>
          <w:ilvl w:val="0"/>
          <w:numId w:val="0"/>
        </w:numPr>
        <w:ind w:left="1440" w:hanging="474"/>
        <w:rPr>
          <w:rFonts w:ascii="David" w:hAnsi="David" w:cs="David"/>
          <w:szCs w:val="24"/>
        </w:rPr>
      </w:pPr>
      <w:r>
        <w:rPr>
          <w:rFonts w:ascii="David" w:hAnsi="David" w:cs="David"/>
          <w:szCs w:val="24"/>
          <w:rtl/>
        </w:rPr>
        <w:tab/>
      </w:r>
      <w:r w:rsidR="00DB7EAA" w:rsidRPr="00241DB6">
        <w:rPr>
          <w:rFonts w:ascii="David" w:hAnsi="David" w:cs="David" w:hint="cs"/>
          <w:b/>
          <w:bCs/>
          <w:szCs w:val="24"/>
          <w:rtl/>
        </w:rPr>
        <w:t>''.</w:t>
      </w:r>
      <w:r w:rsidR="00241DB6" w:rsidRPr="00241DB6">
        <w:rPr>
          <w:rFonts w:ascii="David" w:hAnsi="David" w:cs="David" w:hint="cs"/>
          <w:b/>
          <w:bCs/>
          <w:szCs w:val="24"/>
          <w:rtl/>
        </w:rPr>
        <w:t>...</w:t>
      </w:r>
      <w:r w:rsidR="00DB7EAA" w:rsidRPr="00241DB6">
        <w:rPr>
          <w:rFonts w:ascii="David" w:hAnsi="David" w:cs="David" w:hint="cs"/>
          <w:b/>
          <w:bCs/>
          <w:szCs w:val="24"/>
          <w:rtl/>
        </w:rPr>
        <w:t>..</w:t>
      </w:r>
      <w:r w:rsidR="00DB7EAA">
        <w:rPr>
          <w:rFonts w:ascii="David" w:hAnsi="David" w:cs="David" w:hint="cs"/>
          <w:b/>
          <w:bCs/>
          <w:szCs w:val="24"/>
          <w:rtl/>
        </w:rPr>
        <w:t>ל</w:t>
      </w:r>
      <w:r w:rsidRPr="009A3356">
        <w:rPr>
          <w:rFonts w:ascii="David" w:hAnsi="David" w:cs="David"/>
          <w:b/>
          <w:bCs/>
          <w:szCs w:val="24"/>
          <w:rtl/>
        </w:rPr>
        <w:t>צד הכרה עקרונית בסמכות זו,</w:t>
      </w:r>
      <w:r w:rsidR="00DB7EAA">
        <w:rPr>
          <w:rFonts w:ascii="David" w:hAnsi="David" w:cs="David"/>
          <w:b/>
          <w:bCs/>
          <w:szCs w:val="24"/>
          <w:rtl/>
        </w:rPr>
        <w:t xml:space="preserve"> נוכח מעמדו הרם של עקרון סופיות</w:t>
      </w:r>
      <w:r>
        <w:rPr>
          <w:rFonts w:ascii="David" w:hAnsi="David" w:cs="David" w:hint="cs"/>
          <w:b/>
          <w:bCs/>
          <w:szCs w:val="24"/>
          <w:rtl/>
        </w:rPr>
        <w:t xml:space="preserve"> </w:t>
      </w:r>
      <w:r w:rsidRPr="009A3356">
        <w:rPr>
          <w:rFonts w:ascii="David" w:hAnsi="David" w:cs="David"/>
          <w:b/>
          <w:bCs/>
          <w:szCs w:val="24"/>
          <w:rtl/>
        </w:rPr>
        <w:t xml:space="preserve">הדיון, לבל יפרצו הסכרים, נקבע כי ביטול פסק דין אזרחי חלוט יֵעשה במקרים חריגים שבחריגים; לרוב, כאשר פסק הדין יסודו בתרמית, או כאשר נתגלו, לאחר שניתן, ראיות חדשות שבגינן אין מנוס מלקיים דיון מחודש במחלוקת </w:t>
      </w:r>
      <w:r>
        <w:rPr>
          <w:rFonts w:ascii="David" w:hAnsi="David" w:cs="David" w:hint="cs"/>
          <w:b/>
          <w:bCs/>
          <w:szCs w:val="24"/>
          <w:rtl/>
        </w:rPr>
        <w:t>....</w:t>
      </w:r>
      <w:r w:rsidR="00DB7EAA">
        <w:rPr>
          <w:rFonts w:ascii="David" w:hAnsi="David" w:cs="David" w:hint="cs"/>
          <w:b/>
          <w:bCs/>
          <w:szCs w:val="24"/>
          <w:rtl/>
        </w:rPr>
        <w:t>''</w:t>
      </w:r>
      <w:r w:rsidR="00DB7EAA" w:rsidRPr="00DB7EAA">
        <w:rPr>
          <w:rFonts w:ascii="David" w:hAnsi="David" w:cs="David" w:hint="cs"/>
          <w:szCs w:val="24"/>
          <w:rtl/>
        </w:rPr>
        <w:t>(שם,</w:t>
      </w:r>
      <w:r w:rsidR="003D0AFF">
        <w:rPr>
          <w:rFonts w:ascii="David" w:hAnsi="David" w:cs="David" w:hint="cs"/>
          <w:szCs w:val="24"/>
          <w:rtl/>
        </w:rPr>
        <w:t xml:space="preserve"> </w:t>
      </w:r>
      <w:r w:rsidR="00DB7EAA" w:rsidRPr="00DB7EAA">
        <w:rPr>
          <w:rFonts w:ascii="David" w:hAnsi="David" w:cs="David" w:hint="cs"/>
          <w:szCs w:val="24"/>
          <w:rtl/>
        </w:rPr>
        <w:t>פסקה 14 לפסה''ד)</w:t>
      </w:r>
      <w:r w:rsidR="00DB7EAA">
        <w:rPr>
          <w:rFonts w:ascii="David" w:hAnsi="David" w:cs="David" w:hint="cs"/>
          <w:szCs w:val="24"/>
          <w:rtl/>
        </w:rPr>
        <w:t>.</w:t>
      </w:r>
    </w:p>
    <w:p w:rsidR="00980D74" w:rsidRDefault="00980D74" w:rsidP="00980D74">
      <w:pPr>
        <w:pStyle w:val="Ruller41"/>
        <w:tabs>
          <w:tab w:val="clear" w:pos="800"/>
        </w:tabs>
        <w:ind w:left="992"/>
        <w:rPr>
          <w:rFonts w:ascii="David" w:hAnsi="David" w:cs="David"/>
          <w:sz w:val="24"/>
          <w:szCs w:val="24"/>
          <w:rtl/>
        </w:rPr>
      </w:pPr>
      <w:r>
        <w:rPr>
          <w:rFonts w:ascii="David" w:hAnsi="David" w:cs="David"/>
          <w:sz w:val="24"/>
          <w:szCs w:val="24"/>
          <w:rtl/>
        </w:rPr>
        <w:tab/>
      </w:r>
      <w:r>
        <w:rPr>
          <w:rFonts w:ascii="David" w:hAnsi="David" w:cs="David"/>
          <w:sz w:val="24"/>
          <w:szCs w:val="24"/>
          <w:rtl/>
        </w:rPr>
        <w:tab/>
      </w:r>
    </w:p>
    <w:p w:rsidR="00980D74" w:rsidRPr="00980D74" w:rsidRDefault="002D7BF1" w:rsidP="00571F72">
      <w:pPr>
        <w:pStyle w:val="Ruller41"/>
        <w:ind w:left="800"/>
        <w:rPr>
          <w:rFonts w:ascii="David" w:hAnsi="David" w:cs="David"/>
          <w:sz w:val="24"/>
          <w:szCs w:val="24"/>
          <w:rtl/>
        </w:rPr>
      </w:pPr>
      <w:r>
        <w:rPr>
          <w:rFonts w:ascii="David" w:hAnsi="David" w:cs="David" w:hint="cs"/>
          <w:sz w:val="24"/>
          <w:szCs w:val="24"/>
          <w:rtl/>
        </w:rPr>
        <w:t>על ה</w:t>
      </w:r>
      <w:r w:rsidR="00571F72">
        <w:rPr>
          <w:rFonts w:ascii="David" w:hAnsi="David" w:cs="David" w:hint="cs"/>
          <w:sz w:val="24"/>
          <w:szCs w:val="24"/>
          <w:rtl/>
        </w:rPr>
        <w:t xml:space="preserve">שוני </w:t>
      </w:r>
      <w:r>
        <w:rPr>
          <w:rFonts w:ascii="David" w:hAnsi="David" w:cs="David" w:hint="cs"/>
          <w:sz w:val="24"/>
          <w:szCs w:val="24"/>
          <w:rtl/>
        </w:rPr>
        <w:t xml:space="preserve">בין שני המסלולים לעיל לביטול פסק דין, נקבע </w:t>
      </w:r>
      <w:r w:rsidR="003D0AFF">
        <w:rPr>
          <w:rFonts w:ascii="David" w:hAnsi="David" w:cs="David" w:hint="cs"/>
          <w:sz w:val="24"/>
          <w:szCs w:val="24"/>
          <w:rtl/>
        </w:rPr>
        <w:t xml:space="preserve"> בפס''ד פבזנר כדלקמן:  </w:t>
      </w:r>
    </w:p>
    <w:p w:rsidR="009A3356" w:rsidRPr="009A3356" w:rsidRDefault="009A3356" w:rsidP="002D7BF1">
      <w:pPr>
        <w:pStyle w:val="Ruller41"/>
        <w:rPr>
          <w:rFonts w:ascii="David" w:hAnsi="David" w:cs="David"/>
          <w:b/>
          <w:bCs/>
          <w:sz w:val="24"/>
          <w:szCs w:val="24"/>
          <w:rtl/>
        </w:rPr>
      </w:pPr>
    </w:p>
    <w:p w:rsidR="009A3356" w:rsidRPr="009A3356" w:rsidRDefault="002D7BF1" w:rsidP="00241DB6">
      <w:pPr>
        <w:pStyle w:val="Ruller4"/>
        <w:numPr>
          <w:ilvl w:val="0"/>
          <w:numId w:val="0"/>
        </w:numPr>
        <w:tabs>
          <w:tab w:val="clear" w:pos="800"/>
        </w:tabs>
        <w:ind w:left="1440"/>
        <w:rPr>
          <w:rFonts w:ascii="David" w:hAnsi="David" w:cs="David"/>
          <w:b/>
          <w:bCs/>
          <w:szCs w:val="24"/>
          <w:rtl/>
        </w:rPr>
      </w:pPr>
      <w:r>
        <w:rPr>
          <w:rFonts w:ascii="David" w:hAnsi="David" w:cs="David" w:hint="cs"/>
          <w:b/>
          <w:bCs/>
          <w:szCs w:val="24"/>
          <w:rtl/>
        </w:rPr>
        <w:t>''</w:t>
      </w:r>
      <w:r w:rsidR="009A3356" w:rsidRPr="009A3356">
        <w:rPr>
          <w:rFonts w:ascii="David" w:hAnsi="David" w:cs="David"/>
          <w:b/>
          <w:bCs/>
          <w:szCs w:val="24"/>
          <w:rtl/>
        </w:rPr>
        <w:t>לפנינו אפוא שני מקורות סמכות אפשריים לביטול פסק דין אזרחי שהפך חלוט. הסמכויות הללו נבדלות זו מזו, הן ברף ההוכחה הדרוש לביטול פסק הדין, הן בעילות שבגינן עשויה להתקבל החלטת ביטול. כך, ביטול פסק דין מכוח הסמכות הטבועה יֵעשה במקרים חריגים ביותר, ככלל על יסוד עילות של תרמית או גילוי ראיות חדשות; לעומת זאת, פסק דין שניתן במעמד צד אחד לרוב יבוטל, בכפוף לפסיקת הוצאות, אם נימק מבקש הביטול, כנדרש, מהם הטעמים שבגינם לא התייצ</w:t>
      </w:r>
      <w:r w:rsidR="00E73FF4">
        <w:rPr>
          <w:rFonts w:ascii="David" w:hAnsi="David" w:cs="David"/>
          <w:b/>
          <w:bCs/>
          <w:szCs w:val="24"/>
          <w:rtl/>
        </w:rPr>
        <w:t>ב, או לא התגונן מפני ההליך נגדו</w:t>
      </w:r>
      <w:r w:rsidR="00E73FF4">
        <w:rPr>
          <w:rFonts w:ascii="David" w:hAnsi="David" w:cs="David" w:hint="cs"/>
          <w:b/>
          <w:bCs/>
          <w:szCs w:val="24"/>
          <w:rtl/>
        </w:rPr>
        <w:t>....</w:t>
      </w:r>
    </w:p>
    <w:p w:rsidR="009A3356" w:rsidRPr="009A3356" w:rsidRDefault="009A3356" w:rsidP="009A3356">
      <w:pPr>
        <w:pStyle w:val="Ruller41"/>
        <w:spacing w:line="240" w:lineRule="auto"/>
        <w:rPr>
          <w:rFonts w:ascii="David" w:hAnsi="David" w:cs="David"/>
          <w:b/>
          <w:bCs/>
          <w:sz w:val="24"/>
          <w:szCs w:val="24"/>
          <w:rtl/>
        </w:rPr>
      </w:pPr>
    </w:p>
    <w:p w:rsidR="009A3356" w:rsidRPr="009A3356" w:rsidRDefault="009A3356" w:rsidP="0052031C">
      <w:pPr>
        <w:pStyle w:val="Ruller4"/>
        <w:numPr>
          <w:ilvl w:val="0"/>
          <w:numId w:val="0"/>
        </w:numPr>
        <w:tabs>
          <w:tab w:val="clear" w:pos="800"/>
          <w:tab w:val="left" w:pos="1134"/>
        </w:tabs>
        <w:ind w:left="1440"/>
        <w:rPr>
          <w:rFonts w:ascii="David" w:hAnsi="David" w:cs="David"/>
          <w:b/>
          <w:bCs/>
          <w:szCs w:val="24"/>
          <w:rtl/>
        </w:rPr>
      </w:pPr>
      <w:r w:rsidRPr="009A3356">
        <w:rPr>
          <w:rFonts w:ascii="David" w:hAnsi="David" w:cs="David"/>
          <w:b/>
          <w:bCs/>
          <w:szCs w:val="24"/>
          <w:rtl/>
        </w:rPr>
        <w:t xml:space="preserve">אולם בכך לא סגי. השוני בין שני המסלולים בולט גם במישור הדיוני. כך, את הבקשה לביטול פסק דין שניתן לפי צד אחד, מכוח התקנות, יש להגיש </w:t>
      </w:r>
      <w:r w:rsidRPr="009A3356">
        <w:rPr>
          <w:rFonts w:ascii="David" w:hAnsi="David" w:cs="David"/>
          <w:b/>
          <w:bCs/>
          <w:spacing w:val="0"/>
          <w:szCs w:val="24"/>
          <w:rtl/>
        </w:rPr>
        <w:t>למותב שנתן את פסק הדין, כבקשה בתיק שבו ניתן</w:t>
      </w:r>
      <w:r w:rsidRPr="009A3356">
        <w:rPr>
          <w:rFonts w:ascii="David" w:hAnsi="David" w:cs="David"/>
          <w:b/>
          <w:bCs/>
          <w:szCs w:val="24"/>
          <w:rtl/>
        </w:rPr>
        <w:t>, כאשר מסגרת הזמן לנקיטת הליך מעין זה מוגבלת, כאמור, ל-30 ימים מיום שהומצא פסק הדין (</w:t>
      </w:r>
      <w:hyperlink r:id="rId12" w:history="1">
        <w:r w:rsidRPr="00E73FF4">
          <w:rPr>
            <w:rStyle w:val="Hyperlink"/>
            <w:rFonts w:ascii="David" w:hAnsi="David" w:cs="David"/>
            <w:b/>
            <w:bCs/>
            <w:color w:val="auto"/>
            <w:szCs w:val="24"/>
            <w:u w:val="none"/>
            <w:rtl/>
          </w:rPr>
          <w:t>תקנה 131</w:t>
        </w:r>
      </w:hyperlink>
      <w:r w:rsidRPr="00E73FF4">
        <w:rPr>
          <w:rFonts w:ascii="David" w:hAnsi="David" w:cs="David"/>
          <w:b/>
          <w:bCs/>
          <w:szCs w:val="24"/>
          <w:rtl/>
        </w:rPr>
        <w:t xml:space="preserve"> </w:t>
      </w:r>
      <w:r w:rsidRPr="009A3356">
        <w:rPr>
          <w:rFonts w:ascii="David" w:hAnsi="David" w:cs="David"/>
          <w:b/>
          <w:bCs/>
          <w:szCs w:val="24"/>
          <w:rtl/>
        </w:rPr>
        <w:t xml:space="preserve">לתקנות החדשות; </w:t>
      </w:r>
      <w:hyperlink r:id="rId13" w:history="1">
        <w:r w:rsidRPr="00E73FF4">
          <w:rPr>
            <w:rStyle w:val="Hyperlink"/>
            <w:rFonts w:ascii="David" w:hAnsi="David" w:cs="David"/>
            <w:b/>
            <w:bCs/>
            <w:color w:val="auto"/>
            <w:szCs w:val="24"/>
            <w:u w:val="none"/>
            <w:rtl/>
          </w:rPr>
          <w:t>תקנה 201</w:t>
        </w:r>
      </w:hyperlink>
      <w:r w:rsidRPr="009A3356">
        <w:rPr>
          <w:rFonts w:ascii="David" w:hAnsi="David" w:cs="David"/>
          <w:b/>
          <w:bCs/>
          <w:szCs w:val="24"/>
          <w:rtl/>
        </w:rPr>
        <w:t xml:space="preserve"> לתקנות הקודמות). לעומת זאת, הליך</w:t>
      </w:r>
      <w:r w:rsidRPr="009A3356">
        <w:rPr>
          <w:rFonts w:ascii="David" w:hAnsi="David" w:cs="David"/>
          <w:b/>
          <w:bCs/>
          <w:spacing w:val="0"/>
          <w:szCs w:val="24"/>
          <w:rtl/>
        </w:rPr>
        <w:t xml:space="preserve"> </w:t>
      </w:r>
      <w:r w:rsidRPr="009A3356">
        <w:rPr>
          <w:rFonts w:ascii="David" w:hAnsi="David" w:cs="David"/>
          <w:b/>
          <w:bCs/>
          <w:szCs w:val="24"/>
          <w:rtl/>
        </w:rPr>
        <w:t>של</w:t>
      </w:r>
      <w:r w:rsidRPr="009A3356">
        <w:rPr>
          <w:rFonts w:ascii="David" w:hAnsi="David" w:cs="David"/>
          <w:b/>
          <w:bCs/>
          <w:spacing w:val="0"/>
          <w:szCs w:val="24"/>
          <w:rtl/>
        </w:rPr>
        <w:t xml:space="preserve"> </w:t>
      </w:r>
      <w:r w:rsidRPr="009A3356">
        <w:rPr>
          <w:rFonts w:ascii="David" w:hAnsi="David" w:cs="David"/>
          <w:b/>
          <w:bCs/>
          <w:szCs w:val="24"/>
          <w:rtl/>
        </w:rPr>
        <w:t xml:space="preserve">ביטול פסק דין חלוט מכוח סמכותו הטבועה של בית המשפט ('משפט חוזר אזרחי'), יש להגיש </w:t>
      </w:r>
      <w:r w:rsidRPr="009A3356">
        <w:rPr>
          <w:rFonts w:ascii="David" w:hAnsi="David" w:cs="David"/>
          <w:b/>
          <w:bCs/>
          <w:spacing w:val="0"/>
          <w:szCs w:val="24"/>
          <w:rtl/>
        </w:rPr>
        <w:t>לבית המשפט שמלפניו יצא פסק הדין, כתביעה חדשה ונפרדת</w:t>
      </w:r>
      <w:r w:rsidRPr="009A3356">
        <w:rPr>
          <w:rFonts w:ascii="David" w:hAnsi="David" w:cs="David"/>
          <w:b/>
          <w:bCs/>
          <w:szCs w:val="24"/>
          <w:rtl/>
        </w:rPr>
        <w:t xml:space="preserve">, ואין מגבלת זמן נוקשה להגשתו </w:t>
      </w:r>
      <w:r w:rsidR="00E73FF4">
        <w:rPr>
          <w:rFonts w:ascii="David" w:hAnsi="David" w:cs="David" w:hint="cs"/>
          <w:b/>
          <w:bCs/>
          <w:szCs w:val="24"/>
          <w:rtl/>
        </w:rPr>
        <w:t>....</w:t>
      </w:r>
      <w:r w:rsidRPr="009A3356">
        <w:rPr>
          <w:rFonts w:ascii="David" w:hAnsi="David" w:cs="David"/>
          <w:b/>
          <w:bCs/>
          <w:szCs w:val="24"/>
          <w:rtl/>
        </w:rPr>
        <w:t xml:space="preserve">. כמו כן, בהליך הערעורי יש שוני מהותי בין שני המסלולים הללו: כאשר נדחית בקשה שהוגשה לפי </w:t>
      </w:r>
      <w:hyperlink r:id="rId14" w:history="1">
        <w:r w:rsidRPr="00E73FF4">
          <w:rPr>
            <w:rStyle w:val="Hyperlink"/>
            <w:rFonts w:ascii="David" w:hAnsi="David" w:cs="David"/>
            <w:b/>
            <w:bCs/>
            <w:color w:val="auto"/>
            <w:szCs w:val="24"/>
            <w:u w:val="none"/>
            <w:rtl/>
          </w:rPr>
          <w:t>תקנה 131</w:t>
        </w:r>
      </w:hyperlink>
      <w:r w:rsidRPr="009A3356">
        <w:rPr>
          <w:rFonts w:ascii="David" w:hAnsi="David" w:cs="David"/>
          <w:b/>
          <w:bCs/>
          <w:szCs w:val="24"/>
          <w:rtl/>
        </w:rPr>
        <w:t xml:space="preserve"> לתקנות </w:t>
      </w:r>
      <w:r w:rsidRPr="009A3356">
        <w:rPr>
          <w:rFonts w:ascii="David" w:hAnsi="David" w:cs="David"/>
          <w:b/>
          <w:bCs/>
          <w:szCs w:val="24"/>
          <w:rtl/>
        </w:rPr>
        <w:lastRenderedPageBreak/>
        <w:t>החדשות – הערעור עליה הוא ברשות בלבד, וכאשר היא מתקבלת – לא ניתן לערער על החלטה זו לבדה, כי אם בתום ההליך, במסגרת הערעור על פסק הדין כולו (</w:t>
      </w:r>
      <w:hyperlink r:id="rId15" w:history="1">
        <w:r w:rsidRPr="00E73FF4">
          <w:rPr>
            <w:rStyle w:val="Hyperlink"/>
            <w:rFonts w:ascii="David" w:hAnsi="David" w:cs="David"/>
            <w:b/>
            <w:bCs/>
            <w:color w:val="auto"/>
            <w:szCs w:val="24"/>
            <w:u w:val="none"/>
            <w:rtl/>
          </w:rPr>
          <w:t>סעיף 1(7)</w:t>
        </w:r>
      </w:hyperlink>
      <w:r w:rsidRPr="00E73FF4">
        <w:rPr>
          <w:rFonts w:ascii="David" w:hAnsi="David" w:cs="David"/>
          <w:b/>
          <w:bCs/>
          <w:szCs w:val="24"/>
          <w:rtl/>
        </w:rPr>
        <w:t xml:space="preserve"> ל</w:t>
      </w:r>
      <w:hyperlink r:id="rId16" w:history="1">
        <w:r w:rsidRPr="00E73FF4">
          <w:rPr>
            <w:rStyle w:val="Hyperlink"/>
            <w:rFonts w:ascii="David" w:hAnsi="David" w:cs="David"/>
            <w:b/>
            <w:bCs/>
            <w:color w:val="auto"/>
            <w:szCs w:val="24"/>
            <w:u w:val="none"/>
            <w:rtl/>
          </w:rPr>
          <w:t>צו בתי המשפט (סוגי החלטות שלא תינתן בהן רשות ערעור)</w:t>
        </w:r>
      </w:hyperlink>
      <w:r w:rsidRPr="009A3356">
        <w:rPr>
          <w:rFonts w:ascii="David" w:hAnsi="David" w:cs="David"/>
          <w:b/>
          <w:bCs/>
          <w:szCs w:val="24"/>
          <w:rtl/>
        </w:rPr>
        <w:t xml:space="preserve">, התשס"ט-2009); מנגד, הואיל והליך של בקשה ל'משפט חוזר אזרחי' מוגש כתביעה חדשה ונפרדת, הרי שעל פסק הדין שניתן בו – בין אם נתקבלה התביעה, בין אם לאו – ניתן לערער בזכות </w:t>
      </w:r>
      <w:r w:rsidR="00E73FF4">
        <w:rPr>
          <w:rFonts w:ascii="David" w:hAnsi="David" w:cs="David" w:hint="cs"/>
          <w:b/>
          <w:bCs/>
          <w:szCs w:val="24"/>
          <w:rtl/>
        </w:rPr>
        <w:t>.....</w:t>
      </w:r>
    </w:p>
    <w:p w:rsidR="00E73FF4" w:rsidRDefault="00E73FF4" w:rsidP="00E73FF4">
      <w:pPr>
        <w:pStyle w:val="Ruller4"/>
        <w:numPr>
          <w:ilvl w:val="0"/>
          <w:numId w:val="0"/>
        </w:numPr>
        <w:rPr>
          <w:rFonts w:ascii="David" w:hAnsi="David" w:cs="David"/>
          <w:b/>
          <w:bCs/>
          <w:szCs w:val="24"/>
          <w:rtl/>
        </w:rPr>
      </w:pPr>
    </w:p>
    <w:p w:rsidR="009A3356" w:rsidRDefault="009A3356" w:rsidP="0052031C">
      <w:pPr>
        <w:pStyle w:val="Ruller4"/>
        <w:numPr>
          <w:ilvl w:val="0"/>
          <w:numId w:val="0"/>
        </w:numPr>
        <w:ind w:left="1440"/>
        <w:rPr>
          <w:rFonts w:ascii="David" w:hAnsi="David" w:cs="David"/>
          <w:szCs w:val="24"/>
          <w:rtl/>
        </w:rPr>
      </w:pPr>
      <w:r w:rsidRPr="009A3356">
        <w:rPr>
          <w:rFonts w:ascii="David" w:hAnsi="David" w:cs="David"/>
          <w:b/>
          <w:bCs/>
          <w:szCs w:val="24"/>
          <w:rtl/>
        </w:rPr>
        <w:t>הנה כי כן, נמצאנו למדים כי על אף הדמיון הלכאורי בין שני המסלולים הנ"ל, באשר בגדרם-שניהם ניתן לקבל סעד של ביטול פסק דין שהפך חלוט, הרי שלמעשה מדובר בשני הסדרים מובחנים ושונים זה מזה; הן במישור המהותי, הן במישור הדיוני. עלינו לעמוד אפוא על המשמר; לא לערב מין בשאינו מינו, לא להלביש דין מהותי אחד במחלצות דיוניות של אחר</w:t>
      </w:r>
      <w:r w:rsidR="00E73FF4">
        <w:rPr>
          <w:rFonts w:ascii="David" w:hAnsi="David" w:cs="David" w:hint="cs"/>
          <w:b/>
          <w:bCs/>
          <w:szCs w:val="24"/>
          <w:rtl/>
        </w:rPr>
        <w:t xml:space="preserve">" </w:t>
      </w:r>
      <w:r w:rsidR="00E73FF4">
        <w:rPr>
          <w:rFonts w:ascii="David" w:hAnsi="David" w:cs="David" w:hint="cs"/>
          <w:szCs w:val="24"/>
          <w:rtl/>
        </w:rPr>
        <w:t>(שם, פסקאות 1</w:t>
      </w:r>
      <w:r w:rsidR="00241DB6">
        <w:rPr>
          <w:rFonts w:ascii="David" w:hAnsi="David" w:cs="David" w:hint="cs"/>
          <w:szCs w:val="24"/>
          <w:rtl/>
        </w:rPr>
        <w:t>7</w:t>
      </w:r>
      <w:r w:rsidR="00E73FF4">
        <w:rPr>
          <w:rFonts w:ascii="David" w:hAnsi="David" w:cs="David" w:hint="cs"/>
          <w:szCs w:val="24"/>
          <w:rtl/>
        </w:rPr>
        <w:t>-19 לפסק הדין).</w:t>
      </w:r>
    </w:p>
    <w:p w:rsidR="002A75F4" w:rsidRPr="001275CF" w:rsidRDefault="002A75F4" w:rsidP="0052031C">
      <w:pPr>
        <w:spacing w:line="360" w:lineRule="auto"/>
        <w:rPr>
          <w:rFonts w:ascii="Arial" w:hAnsi="Arial"/>
          <w:noProof w:val="0"/>
          <w:rtl/>
        </w:rPr>
      </w:pPr>
    </w:p>
    <w:p w:rsidR="002A75F4" w:rsidRPr="001275CF" w:rsidRDefault="00241DB6" w:rsidP="00241DB6">
      <w:pPr>
        <w:spacing w:line="360" w:lineRule="auto"/>
        <w:ind w:left="720"/>
        <w:jc w:val="both"/>
        <w:rPr>
          <w:rFonts w:ascii="Arial" w:hAnsi="Arial"/>
          <w:noProof w:val="0"/>
        </w:rPr>
      </w:pPr>
      <w:r>
        <w:rPr>
          <w:rFonts w:ascii="Arial" w:hAnsi="Arial" w:hint="cs"/>
          <w:noProof w:val="0"/>
          <w:rtl/>
        </w:rPr>
        <w:t xml:space="preserve">כמו כן, </w:t>
      </w:r>
      <w:r w:rsidR="001275CF" w:rsidRPr="001275CF">
        <w:rPr>
          <w:rFonts w:ascii="Arial" w:hAnsi="Arial" w:hint="cs"/>
          <w:noProof w:val="0"/>
          <w:rtl/>
        </w:rPr>
        <w:t>ב</w:t>
      </w:r>
      <w:r w:rsidR="006B3062" w:rsidRPr="001275CF">
        <w:rPr>
          <w:rFonts w:ascii="Arial" w:hAnsi="Arial" w:hint="cs"/>
          <w:noProof w:val="0"/>
          <w:rtl/>
        </w:rPr>
        <w:t>-</w:t>
      </w:r>
      <w:r w:rsidR="00001C16" w:rsidRPr="001275CF">
        <w:rPr>
          <w:rFonts w:ascii="Arial" w:hAnsi="Arial" w:hint="cs"/>
          <w:b/>
          <w:bCs/>
          <w:noProof w:val="0"/>
          <w:rtl/>
        </w:rPr>
        <w:t>ע</w:t>
      </w:r>
      <w:r w:rsidR="006B3062" w:rsidRPr="001275CF">
        <w:rPr>
          <w:rFonts w:ascii="Arial" w:hAnsi="Arial" w:hint="cs"/>
          <w:b/>
          <w:bCs/>
          <w:noProof w:val="0"/>
          <w:rtl/>
        </w:rPr>
        <w:t>"א 8625/06 דורון עותמי נ' עברי ברכה (פורסם בנבו)</w:t>
      </w:r>
      <w:r>
        <w:rPr>
          <w:rFonts w:ascii="Arial" w:hAnsi="Arial" w:hint="cs"/>
          <w:noProof w:val="0"/>
          <w:rtl/>
        </w:rPr>
        <w:t xml:space="preserve">, </w:t>
      </w:r>
      <w:r w:rsidR="001275CF" w:rsidRPr="001275CF">
        <w:rPr>
          <w:rFonts w:ascii="Arial" w:hAnsi="Arial" w:hint="cs"/>
          <w:noProof w:val="0"/>
          <w:rtl/>
        </w:rPr>
        <w:t>אליו ה</w:t>
      </w:r>
      <w:r>
        <w:rPr>
          <w:rFonts w:ascii="Arial" w:hAnsi="Arial" w:hint="cs"/>
          <w:noProof w:val="0"/>
          <w:rtl/>
        </w:rPr>
        <w:t xml:space="preserve">פנו </w:t>
      </w:r>
      <w:r w:rsidR="001275CF" w:rsidRPr="001275CF">
        <w:rPr>
          <w:rFonts w:ascii="Arial" w:hAnsi="Arial" w:hint="cs"/>
          <w:noProof w:val="0"/>
          <w:rtl/>
        </w:rPr>
        <w:t>שני הצדדים בטיעוניהם</w:t>
      </w:r>
      <w:r w:rsidR="006B3062" w:rsidRPr="001275CF">
        <w:rPr>
          <w:rFonts w:ascii="Arial" w:hAnsi="Arial" w:hint="cs"/>
          <w:noProof w:val="0"/>
          <w:rtl/>
        </w:rPr>
        <w:t xml:space="preserve">, </w:t>
      </w:r>
      <w:r w:rsidR="001275CF" w:rsidRPr="001275CF">
        <w:rPr>
          <w:rFonts w:ascii="Arial" w:hAnsi="Arial" w:hint="cs"/>
          <w:noProof w:val="0"/>
          <w:rtl/>
        </w:rPr>
        <w:t xml:space="preserve">נפסק </w:t>
      </w:r>
      <w:r w:rsidR="006B3062" w:rsidRPr="001275CF">
        <w:rPr>
          <w:rFonts w:ascii="Arial" w:hAnsi="Arial" w:hint="cs"/>
          <w:noProof w:val="0"/>
          <w:rtl/>
        </w:rPr>
        <w:t>כדלקמן:</w:t>
      </w:r>
    </w:p>
    <w:p w:rsidR="006B3062" w:rsidRDefault="006B3062" w:rsidP="006B3062">
      <w:pPr>
        <w:pStyle w:val="ad"/>
        <w:spacing w:line="360" w:lineRule="auto"/>
        <w:jc w:val="both"/>
        <w:rPr>
          <w:rFonts w:ascii="Arial" w:hAnsi="Arial"/>
          <w:noProof w:val="0"/>
          <w:rtl/>
        </w:rPr>
      </w:pPr>
    </w:p>
    <w:p w:rsidR="0085403A" w:rsidRPr="004F70AF" w:rsidRDefault="006B3062" w:rsidP="006F5434">
      <w:pPr>
        <w:pStyle w:val="ad"/>
        <w:spacing w:line="360" w:lineRule="auto"/>
        <w:ind w:left="1440"/>
        <w:jc w:val="both"/>
        <w:rPr>
          <w:rFonts w:ascii="Arial" w:hAnsi="Arial"/>
          <w:b/>
          <w:bCs/>
          <w:noProof w:val="0"/>
          <w:u w:val="single"/>
          <w:rtl/>
        </w:rPr>
      </w:pPr>
      <w:r>
        <w:rPr>
          <w:rFonts w:ascii="Arial" w:hAnsi="Arial" w:hint="cs"/>
          <w:b/>
          <w:bCs/>
          <w:noProof w:val="0"/>
          <w:rtl/>
        </w:rPr>
        <w:t>"... הדרך לשינוי או ביטול פסק הדין</w:t>
      </w:r>
      <w:r w:rsidR="0085403A">
        <w:rPr>
          <w:rFonts w:ascii="Arial" w:hAnsi="Arial" w:hint="cs"/>
          <w:b/>
          <w:bCs/>
          <w:noProof w:val="0"/>
          <w:rtl/>
        </w:rPr>
        <w:t>, והסכמות לעשות זאת, הינם בגידרה של הסמכות הערעורית הקנויה לערכאת הערעור. שעה שהמדובר בפסק דין שניתן בהעדר הנתבע, מוס</w:t>
      </w:r>
      <w:r w:rsidR="006F5434">
        <w:rPr>
          <w:rFonts w:ascii="Arial" w:hAnsi="Arial" w:hint="cs"/>
          <w:b/>
          <w:bCs/>
          <w:noProof w:val="0"/>
          <w:rtl/>
        </w:rPr>
        <w:t>מ</w:t>
      </w:r>
      <w:r w:rsidR="0085403A">
        <w:rPr>
          <w:rFonts w:ascii="Arial" w:hAnsi="Arial" w:hint="cs"/>
          <w:b/>
          <w:bCs/>
          <w:noProof w:val="0"/>
          <w:rtl/>
        </w:rPr>
        <w:t>כת גם הערכאה הדיונית לבטל את פסק הדין בהתאם לקבוע בתקנה 201 לתקנות סדר הדין האזרחי.</w:t>
      </w:r>
      <w:r w:rsidR="004F70AF">
        <w:rPr>
          <w:rFonts w:ascii="Arial" w:hAnsi="Arial" w:hint="cs"/>
          <w:b/>
          <w:bCs/>
          <w:noProof w:val="0"/>
          <w:rtl/>
        </w:rPr>
        <w:t xml:space="preserve"> </w:t>
      </w:r>
      <w:r w:rsidR="0085403A" w:rsidRPr="004F70AF">
        <w:rPr>
          <w:rFonts w:ascii="Arial" w:hAnsi="Arial" w:hint="cs"/>
          <w:b/>
          <w:bCs/>
          <w:noProof w:val="0"/>
          <w:rtl/>
        </w:rPr>
        <w:t xml:space="preserve">נניח, והנחה בלבד, כי המערערים לא הושתקו מלנסות לשוב ולתקוף את פסק דינו של בית משפט השלום לאחר שנדחתה בקשת אמם (אלמנת המנוח) לביטול פסק הדין. </w:t>
      </w:r>
      <w:r w:rsidR="0085403A" w:rsidRPr="004F70AF">
        <w:rPr>
          <w:rFonts w:ascii="Arial" w:hAnsi="Arial" w:hint="cs"/>
          <w:b/>
          <w:bCs/>
          <w:noProof w:val="0"/>
          <w:u w:val="single"/>
          <w:rtl/>
        </w:rPr>
        <w:t xml:space="preserve">בהנחה שכזו, הדרך בה היו רשאים לתקוף את פסק דינו של בית משפט השלום היתה בהגשת ערעור על פסק הדין לבית המשפט המחוזי או בפניה מטעמם לבית משפט השלום בבקשה משלהם לביטול פסק הדין שניתן בהעדרם. המערערים לא עשו זאת, אלא פנו בתביעה לסעד הצהרתי לבית המשפט המחוזי בדבר בטלות פסק דינו של בית משפט השלום. תובענה שכזו אינה מהדין, ודינה </w:t>
      </w:r>
      <w:r w:rsidR="0085403A" w:rsidRPr="004F70AF">
        <w:rPr>
          <w:rFonts w:ascii="Arial" w:hAnsi="Arial"/>
          <w:b/>
          <w:bCs/>
          <w:noProof w:val="0"/>
          <w:u w:val="single"/>
          <w:rtl/>
        </w:rPr>
        <w:t>–</w:t>
      </w:r>
      <w:r w:rsidR="0085403A" w:rsidRPr="004F70AF">
        <w:rPr>
          <w:rFonts w:ascii="Arial" w:hAnsi="Arial" w:hint="cs"/>
          <w:b/>
          <w:bCs/>
          <w:noProof w:val="0"/>
          <w:u w:val="single"/>
          <w:rtl/>
        </w:rPr>
        <w:t xml:space="preserve"> בנסיבות המתאימות </w:t>
      </w:r>
      <w:r w:rsidR="0085403A" w:rsidRPr="004F70AF">
        <w:rPr>
          <w:rFonts w:ascii="Arial" w:hAnsi="Arial"/>
          <w:b/>
          <w:bCs/>
          <w:noProof w:val="0"/>
          <w:u w:val="single"/>
          <w:rtl/>
        </w:rPr>
        <w:t>–</w:t>
      </w:r>
      <w:r w:rsidR="0085403A" w:rsidRPr="004F70AF">
        <w:rPr>
          <w:rFonts w:ascii="Arial" w:hAnsi="Arial" w:hint="cs"/>
          <w:b/>
          <w:bCs/>
          <w:noProof w:val="0"/>
          <w:u w:val="single"/>
          <w:rtl/>
        </w:rPr>
        <w:t xml:space="preserve"> להדחות על ה</w:t>
      </w:r>
      <w:r w:rsidR="004F70AF" w:rsidRPr="004F70AF">
        <w:rPr>
          <w:rFonts w:ascii="Arial" w:hAnsi="Arial" w:hint="cs"/>
          <w:b/>
          <w:bCs/>
          <w:noProof w:val="0"/>
          <w:u w:val="single"/>
          <w:rtl/>
        </w:rPr>
        <w:t>ס</w:t>
      </w:r>
      <w:r w:rsidR="0085403A" w:rsidRPr="004F70AF">
        <w:rPr>
          <w:rFonts w:ascii="Arial" w:hAnsi="Arial" w:hint="cs"/>
          <w:b/>
          <w:bCs/>
          <w:noProof w:val="0"/>
          <w:u w:val="single"/>
          <w:rtl/>
        </w:rPr>
        <w:t>ף. הדרך בה בחרו המערערים להגיש את תביעתם מנוגדת לעיקרון סופיות ההליכים ו</w:t>
      </w:r>
      <w:r w:rsidR="004F70AF" w:rsidRPr="004F70AF">
        <w:rPr>
          <w:rFonts w:ascii="Arial" w:hAnsi="Arial" w:hint="cs"/>
          <w:b/>
          <w:bCs/>
          <w:noProof w:val="0"/>
          <w:u w:val="single"/>
          <w:rtl/>
        </w:rPr>
        <w:t>למהותו של מוסד הערעור.</w:t>
      </w:r>
    </w:p>
    <w:p w:rsidR="00241DB6" w:rsidRDefault="00241DB6" w:rsidP="00686FDE">
      <w:pPr>
        <w:pStyle w:val="ad"/>
        <w:spacing w:line="360" w:lineRule="auto"/>
        <w:ind w:left="1440"/>
        <w:jc w:val="both"/>
        <w:rPr>
          <w:rFonts w:ascii="Arial" w:hAnsi="Arial"/>
          <w:b/>
          <w:bCs/>
          <w:noProof w:val="0"/>
          <w:rtl/>
        </w:rPr>
      </w:pPr>
    </w:p>
    <w:p w:rsidR="004F70AF" w:rsidRDefault="004F70AF" w:rsidP="00686FDE">
      <w:pPr>
        <w:pStyle w:val="ad"/>
        <w:spacing w:line="360" w:lineRule="auto"/>
        <w:ind w:left="1440"/>
        <w:jc w:val="both"/>
        <w:rPr>
          <w:rFonts w:ascii="Arial" w:hAnsi="Arial"/>
          <w:noProof w:val="0"/>
          <w:rtl/>
        </w:rPr>
      </w:pPr>
      <w:r>
        <w:rPr>
          <w:rFonts w:ascii="Arial" w:hAnsi="Arial" w:hint="cs"/>
          <w:b/>
          <w:bCs/>
          <w:noProof w:val="0"/>
          <w:rtl/>
        </w:rPr>
        <w:lastRenderedPageBreak/>
        <w:t xml:space="preserve">פסק דין שניתן על ידי הערכאה הדיונית ניתן לשינוי בדרך של ערעור עליו לערכאת הערעור. פסק דין שניתן בהעדר הגנה, או מחמת אי התייצבות, ניתן לביטול על ידי הערכאה הדיונית עצמה, כאשר החלטתה לעניין זה גם היא נתונה לביקורת ערעורית. </w:t>
      </w:r>
      <w:r w:rsidRPr="00686FDE">
        <w:rPr>
          <w:rFonts w:ascii="Arial" w:hAnsi="Arial" w:hint="cs"/>
          <w:b/>
          <w:bCs/>
          <w:noProof w:val="0"/>
          <w:u w:val="single"/>
          <w:rtl/>
        </w:rPr>
        <w:t xml:space="preserve">'המסלול העוקף' בו בחרו המערערים, לפיו צד שנפגע בפסק דין רשאי יהיה לפתוח בתביעה חדשה לסעד הצהרתי בדבר בטלות פסק הדין </w:t>
      </w:r>
      <w:r w:rsidRPr="00686FDE">
        <w:rPr>
          <w:rFonts w:ascii="Arial" w:hAnsi="Arial"/>
          <w:b/>
          <w:bCs/>
          <w:noProof w:val="0"/>
          <w:u w:val="single"/>
          <w:rtl/>
        </w:rPr>
        <w:t>–</w:t>
      </w:r>
      <w:r w:rsidRPr="00686FDE">
        <w:rPr>
          <w:rFonts w:ascii="Arial" w:hAnsi="Arial" w:hint="cs"/>
          <w:b/>
          <w:bCs/>
          <w:noProof w:val="0"/>
          <w:u w:val="single"/>
          <w:rtl/>
        </w:rPr>
        <w:t xml:space="preserve"> שלא הוגש עליו ערעור </w:t>
      </w:r>
      <w:r w:rsidRPr="00686FDE">
        <w:rPr>
          <w:rFonts w:ascii="Arial" w:hAnsi="Arial"/>
          <w:b/>
          <w:bCs/>
          <w:noProof w:val="0"/>
          <w:u w:val="single"/>
          <w:rtl/>
        </w:rPr>
        <w:t>–</w:t>
      </w:r>
      <w:r w:rsidRPr="00686FDE">
        <w:rPr>
          <w:rFonts w:ascii="Arial" w:hAnsi="Arial" w:hint="cs"/>
          <w:b/>
          <w:bCs/>
          <w:noProof w:val="0"/>
          <w:u w:val="single"/>
          <w:rtl/>
        </w:rPr>
        <w:t xml:space="preserve"> דינו יהיה בדרך כלל להדחות על הסף מן הטעם של העדר סמכות עניינית</w:t>
      </w:r>
      <w:r w:rsidR="00686FDE">
        <w:rPr>
          <w:rFonts w:ascii="Arial" w:hAnsi="Arial" w:hint="cs"/>
          <w:b/>
          <w:bCs/>
          <w:noProof w:val="0"/>
          <w:rtl/>
        </w:rPr>
        <w:t xml:space="preserve">..." </w:t>
      </w:r>
      <w:r w:rsidR="00686FDE">
        <w:rPr>
          <w:rFonts w:ascii="Arial" w:hAnsi="Arial" w:hint="cs"/>
          <w:noProof w:val="0"/>
          <w:rtl/>
        </w:rPr>
        <w:t>(שם, עמ' 10 לפסק הדין)</w:t>
      </w:r>
      <w:r w:rsidR="000851E7">
        <w:rPr>
          <w:rFonts w:ascii="Arial" w:hAnsi="Arial" w:hint="cs"/>
          <w:noProof w:val="0"/>
          <w:rtl/>
        </w:rPr>
        <w:t xml:space="preserve"> (ההדגשות אינן במקור </w:t>
      </w:r>
      <w:r w:rsidR="000851E7">
        <w:rPr>
          <w:rFonts w:ascii="Arial" w:hAnsi="Arial"/>
          <w:noProof w:val="0"/>
          <w:rtl/>
        </w:rPr>
        <w:t>–</w:t>
      </w:r>
      <w:r w:rsidR="000851E7">
        <w:rPr>
          <w:rFonts w:ascii="Arial" w:hAnsi="Arial" w:hint="cs"/>
          <w:noProof w:val="0"/>
          <w:rtl/>
        </w:rPr>
        <w:t xml:space="preserve"> ר.ח.)</w:t>
      </w:r>
      <w:r w:rsidR="00686FDE">
        <w:rPr>
          <w:rFonts w:ascii="Arial" w:hAnsi="Arial" w:hint="cs"/>
          <w:noProof w:val="0"/>
          <w:rtl/>
        </w:rPr>
        <w:t>.</w:t>
      </w:r>
    </w:p>
    <w:p w:rsidR="00686FDE" w:rsidRDefault="00686FDE" w:rsidP="00686FDE">
      <w:pPr>
        <w:spacing w:line="360" w:lineRule="auto"/>
        <w:jc w:val="both"/>
        <w:rPr>
          <w:rFonts w:ascii="Arial" w:hAnsi="Arial"/>
          <w:noProof w:val="0"/>
          <w:rtl/>
        </w:rPr>
      </w:pPr>
    </w:p>
    <w:p w:rsidR="00686FDE" w:rsidRDefault="00686FDE" w:rsidP="00686FDE">
      <w:pPr>
        <w:spacing w:line="360" w:lineRule="auto"/>
        <w:jc w:val="both"/>
        <w:rPr>
          <w:rFonts w:ascii="Arial" w:hAnsi="Arial"/>
          <w:noProof w:val="0"/>
          <w:rtl/>
        </w:rPr>
      </w:pPr>
      <w:r>
        <w:rPr>
          <w:rFonts w:ascii="Arial" w:hAnsi="Arial"/>
          <w:noProof w:val="0"/>
          <w:rtl/>
        </w:rPr>
        <w:tab/>
      </w:r>
      <w:r>
        <w:rPr>
          <w:rFonts w:ascii="Arial" w:hAnsi="Arial" w:hint="cs"/>
          <w:noProof w:val="0"/>
          <w:rtl/>
        </w:rPr>
        <w:t>ובהמשך:</w:t>
      </w:r>
    </w:p>
    <w:p w:rsidR="00686FDE" w:rsidRDefault="00686FDE" w:rsidP="00686FDE">
      <w:pPr>
        <w:spacing w:line="360" w:lineRule="auto"/>
        <w:jc w:val="both"/>
        <w:rPr>
          <w:rFonts w:ascii="Arial" w:hAnsi="Arial"/>
          <w:noProof w:val="0"/>
          <w:rtl/>
        </w:rPr>
      </w:pPr>
    </w:p>
    <w:p w:rsidR="00686FDE" w:rsidRDefault="00686FDE" w:rsidP="005F055D">
      <w:pPr>
        <w:spacing w:line="360" w:lineRule="auto"/>
        <w:ind w:left="1440"/>
        <w:jc w:val="both"/>
        <w:rPr>
          <w:rFonts w:ascii="Arial" w:hAnsi="Arial"/>
          <w:b/>
          <w:bCs/>
          <w:noProof w:val="0"/>
          <w:rtl/>
        </w:rPr>
      </w:pPr>
      <w:r>
        <w:rPr>
          <w:rFonts w:ascii="Arial" w:hAnsi="Arial" w:hint="cs"/>
          <w:b/>
          <w:bCs/>
          <w:noProof w:val="0"/>
          <w:rtl/>
        </w:rPr>
        <w:t xml:space="preserve">"התובעים רשאים היו לפנות לערכאת הערעור בבקשה להארכת המועד להגשת הערעור, ואם בקשתם היתה נעתרת היו מגישים את הערעור לגופו של פסק הדין. הם רשאים היו לבחור בדרך של הגשת בקשה לבית משפט השלום לביטול פסק הדין שניתן בהעדרם. </w:t>
      </w:r>
      <w:r w:rsidRPr="00686FDE">
        <w:rPr>
          <w:rFonts w:ascii="Arial" w:hAnsi="Arial" w:hint="cs"/>
          <w:b/>
          <w:bCs/>
          <w:noProof w:val="0"/>
          <w:u w:val="single"/>
          <w:rtl/>
        </w:rPr>
        <w:t>הם לא בחרו באחת משתי דרכים אלו, אלא בדרך שלישית של תובענה לסעד המצהיר על בטלות פסק דינה של הערכאה הדיונית. דרך ז</w:t>
      </w:r>
      <w:r w:rsidR="005F055D">
        <w:rPr>
          <w:rFonts w:ascii="Arial" w:hAnsi="Arial" w:hint="cs"/>
          <w:b/>
          <w:bCs/>
          <w:noProof w:val="0"/>
          <w:u w:val="single"/>
          <w:rtl/>
        </w:rPr>
        <w:t>ו</w:t>
      </w:r>
      <w:r w:rsidRPr="00686FDE">
        <w:rPr>
          <w:rFonts w:ascii="Arial" w:hAnsi="Arial" w:hint="cs"/>
          <w:b/>
          <w:bCs/>
          <w:noProof w:val="0"/>
          <w:u w:val="single"/>
          <w:rtl/>
        </w:rPr>
        <w:t xml:space="preserve"> אינה דרך.</w:t>
      </w:r>
      <w:r>
        <w:rPr>
          <w:rFonts w:ascii="Arial" w:hAnsi="Arial" w:hint="cs"/>
          <w:b/>
          <w:bCs/>
          <w:noProof w:val="0"/>
          <w:rtl/>
        </w:rPr>
        <w:t xml:space="preserve"> הפגם שבה אינו פרוצדוראלי טכני, אלא יורד הוא לעצם סמכותו של בית המשפט לדון בהליך שמהותו ערעורית </w:t>
      </w:r>
      <w:r>
        <w:rPr>
          <w:rFonts w:ascii="Arial" w:hAnsi="Arial"/>
          <w:b/>
          <w:bCs/>
          <w:noProof w:val="0"/>
          <w:rtl/>
        </w:rPr>
        <w:t>–</w:t>
      </w:r>
      <w:r>
        <w:rPr>
          <w:rFonts w:ascii="Arial" w:hAnsi="Arial" w:hint="cs"/>
          <w:b/>
          <w:bCs/>
          <w:noProof w:val="0"/>
          <w:rtl/>
        </w:rPr>
        <w:t xml:space="preserve"> בדרך, במותב ובסדרי דין שאינן ערעוריים כל עיקר" </w:t>
      </w:r>
      <w:r>
        <w:rPr>
          <w:rFonts w:ascii="Arial" w:hAnsi="Arial" w:hint="cs"/>
          <w:noProof w:val="0"/>
          <w:rtl/>
        </w:rPr>
        <w:t>(שם, עמ' 11 לפסק הדין)</w:t>
      </w:r>
      <w:r w:rsidR="000851E7">
        <w:rPr>
          <w:rFonts w:ascii="Arial" w:hAnsi="Arial" w:hint="cs"/>
          <w:noProof w:val="0"/>
          <w:rtl/>
        </w:rPr>
        <w:t xml:space="preserve"> (ההדגשות אינן במקור </w:t>
      </w:r>
      <w:r w:rsidR="000851E7">
        <w:rPr>
          <w:rFonts w:ascii="Arial" w:hAnsi="Arial"/>
          <w:noProof w:val="0"/>
          <w:rtl/>
        </w:rPr>
        <w:t>–</w:t>
      </w:r>
      <w:r w:rsidR="000851E7">
        <w:rPr>
          <w:rFonts w:ascii="Arial" w:hAnsi="Arial" w:hint="cs"/>
          <w:noProof w:val="0"/>
          <w:rtl/>
        </w:rPr>
        <w:t xml:space="preserve"> ר.ח.)</w:t>
      </w:r>
      <w:r w:rsidRPr="00686FDE">
        <w:rPr>
          <w:rFonts w:ascii="Arial" w:hAnsi="Arial" w:hint="cs"/>
          <w:noProof w:val="0"/>
          <w:rtl/>
        </w:rPr>
        <w:t>.</w:t>
      </w:r>
    </w:p>
    <w:p w:rsidR="00686FDE" w:rsidRDefault="00686FDE" w:rsidP="00686FDE">
      <w:pPr>
        <w:spacing w:line="360" w:lineRule="auto"/>
        <w:jc w:val="both"/>
        <w:rPr>
          <w:rFonts w:ascii="Arial" w:hAnsi="Arial"/>
          <w:b/>
          <w:bCs/>
          <w:noProof w:val="0"/>
          <w:rtl/>
        </w:rPr>
      </w:pPr>
    </w:p>
    <w:p w:rsidR="00686FDE" w:rsidRDefault="00686FDE" w:rsidP="00686FDE">
      <w:pPr>
        <w:spacing w:line="360" w:lineRule="auto"/>
        <w:jc w:val="both"/>
        <w:rPr>
          <w:rFonts w:ascii="Arial" w:hAnsi="Arial"/>
          <w:noProof w:val="0"/>
          <w:rtl/>
        </w:rPr>
      </w:pPr>
      <w:r>
        <w:rPr>
          <w:rFonts w:ascii="Arial" w:hAnsi="Arial"/>
          <w:b/>
          <w:bCs/>
          <w:noProof w:val="0"/>
          <w:rtl/>
        </w:rPr>
        <w:tab/>
      </w:r>
      <w:r>
        <w:rPr>
          <w:rFonts w:ascii="Arial" w:hAnsi="Arial" w:hint="cs"/>
          <w:noProof w:val="0"/>
          <w:rtl/>
        </w:rPr>
        <w:t>מן הכלל אל הפרט.</w:t>
      </w:r>
    </w:p>
    <w:p w:rsidR="001275CF" w:rsidRPr="00686FDE" w:rsidRDefault="001275CF" w:rsidP="00686FDE">
      <w:pPr>
        <w:spacing w:line="360" w:lineRule="auto"/>
        <w:jc w:val="both"/>
        <w:rPr>
          <w:rFonts w:ascii="Arial" w:hAnsi="Arial"/>
          <w:noProof w:val="0"/>
        </w:rPr>
      </w:pPr>
    </w:p>
    <w:p w:rsidR="00977B06" w:rsidRDefault="001275CF" w:rsidP="006E27DA">
      <w:pPr>
        <w:pStyle w:val="ad"/>
        <w:numPr>
          <w:ilvl w:val="0"/>
          <w:numId w:val="1"/>
        </w:numPr>
        <w:spacing w:line="360" w:lineRule="auto"/>
        <w:jc w:val="both"/>
        <w:rPr>
          <w:rFonts w:ascii="Arial" w:hAnsi="Arial"/>
          <w:noProof w:val="0"/>
        </w:rPr>
      </w:pPr>
      <w:r>
        <w:rPr>
          <w:rFonts w:ascii="Arial" w:hAnsi="Arial" w:hint="cs"/>
          <w:noProof w:val="0"/>
          <w:rtl/>
        </w:rPr>
        <w:t xml:space="preserve">מעיון בכתב התביעה </w:t>
      </w:r>
      <w:r w:rsidR="00977B06">
        <w:rPr>
          <w:rFonts w:ascii="Arial" w:hAnsi="Arial" w:hint="cs"/>
          <w:noProof w:val="0"/>
          <w:rtl/>
        </w:rPr>
        <w:t>עו</w:t>
      </w:r>
      <w:r w:rsidR="0052031C">
        <w:rPr>
          <w:rFonts w:ascii="Arial" w:hAnsi="Arial" w:hint="cs"/>
          <w:noProof w:val="0"/>
          <w:rtl/>
        </w:rPr>
        <w:t xml:space="preserve">לה כי עיקר טענתו של התובע כנגד </w:t>
      </w:r>
      <w:r w:rsidR="00977B06">
        <w:rPr>
          <w:rFonts w:ascii="Arial" w:hAnsi="Arial" w:hint="cs"/>
          <w:noProof w:val="0"/>
          <w:rtl/>
        </w:rPr>
        <w:t xml:space="preserve">הליך </w:t>
      </w:r>
      <w:r w:rsidR="0052031C">
        <w:rPr>
          <w:rFonts w:ascii="Arial" w:hAnsi="Arial" w:hint="cs"/>
          <w:noProof w:val="0"/>
          <w:rtl/>
        </w:rPr>
        <w:t>מתן</w:t>
      </w:r>
      <w:r w:rsidR="00977B06">
        <w:rPr>
          <w:rFonts w:ascii="Arial" w:hAnsi="Arial" w:hint="cs"/>
          <w:noProof w:val="0"/>
          <w:rtl/>
        </w:rPr>
        <w:t xml:space="preserve"> פסק הדין הוא כי כתבי הטענות לא נמסרו לידיו </w:t>
      </w:r>
      <w:r w:rsidR="0052031C">
        <w:rPr>
          <w:rFonts w:ascii="Arial" w:hAnsi="Arial" w:hint="cs"/>
          <w:noProof w:val="0"/>
          <w:rtl/>
        </w:rPr>
        <w:t>ו</w:t>
      </w:r>
      <w:r w:rsidR="00977B06">
        <w:rPr>
          <w:rFonts w:ascii="Arial" w:hAnsi="Arial" w:hint="cs"/>
          <w:noProof w:val="0"/>
          <w:rtl/>
        </w:rPr>
        <w:t xml:space="preserve">כי נודע לו על ההליך הקודם רק לאחר שהנתבע הטיל עליו עיקולים בתיק ההוצל"פ. </w:t>
      </w:r>
      <w:r w:rsidR="0052031C">
        <w:rPr>
          <w:rFonts w:ascii="Arial" w:hAnsi="Arial" w:hint="cs"/>
          <w:noProof w:val="0"/>
          <w:rtl/>
        </w:rPr>
        <w:t xml:space="preserve">בהתאם להלכה הפסוקה כמצוטט לעיל, </w:t>
      </w:r>
      <w:r w:rsidR="00977B06">
        <w:rPr>
          <w:rFonts w:ascii="Arial" w:hAnsi="Arial" w:hint="cs"/>
          <w:noProof w:val="0"/>
          <w:rtl/>
        </w:rPr>
        <w:t xml:space="preserve">לבירור טענות </w:t>
      </w:r>
      <w:r w:rsidR="0052031C">
        <w:rPr>
          <w:rFonts w:ascii="Arial" w:hAnsi="Arial" w:hint="cs"/>
          <w:noProof w:val="0"/>
          <w:rtl/>
        </w:rPr>
        <w:t xml:space="preserve">אלה </w:t>
      </w:r>
      <w:r w:rsidR="00977B06">
        <w:rPr>
          <w:rFonts w:ascii="Arial" w:hAnsi="Arial" w:hint="cs"/>
          <w:noProof w:val="0"/>
          <w:rtl/>
        </w:rPr>
        <w:t xml:space="preserve">היה על התובע להגיש בקשה לביטול פסק </w:t>
      </w:r>
      <w:r w:rsidR="00977B06">
        <w:rPr>
          <w:rFonts w:ascii="Arial" w:hAnsi="Arial" w:hint="cs"/>
          <w:noProof w:val="0"/>
          <w:rtl/>
        </w:rPr>
        <w:lastRenderedPageBreak/>
        <w:t>הדין במסגרת ההליך בו ניתן</w:t>
      </w:r>
      <w:r w:rsidR="00EC7F15">
        <w:rPr>
          <w:rFonts w:ascii="Arial" w:hAnsi="Arial" w:hint="cs"/>
          <w:noProof w:val="0"/>
          <w:rtl/>
        </w:rPr>
        <w:t xml:space="preserve">, ולא לעקוף זאת באמצעות הגשת תביעה למתן </w:t>
      </w:r>
      <w:r w:rsidR="006E27DA">
        <w:rPr>
          <w:rFonts w:ascii="Arial" w:hAnsi="Arial" w:hint="cs"/>
          <w:noProof w:val="0"/>
          <w:rtl/>
        </w:rPr>
        <w:t xml:space="preserve">סעד </w:t>
      </w:r>
      <w:r w:rsidR="00EC7F15">
        <w:rPr>
          <w:rFonts w:ascii="Arial" w:hAnsi="Arial" w:hint="cs"/>
          <w:noProof w:val="0"/>
          <w:rtl/>
        </w:rPr>
        <w:t>הצהרתי בדבר ביטול פסק הדין כפי שנעשה בפועל</w:t>
      </w:r>
      <w:r w:rsidR="00977B06">
        <w:rPr>
          <w:rFonts w:ascii="Arial" w:hAnsi="Arial" w:hint="cs"/>
          <w:noProof w:val="0"/>
          <w:rtl/>
        </w:rPr>
        <w:t xml:space="preserve">. בהקשר זה </w:t>
      </w:r>
      <w:r w:rsidR="0052031C">
        <w:rPr>
          <w:rFonts w:ascii="Arial" w:hAnsi="Arial" w:hint="cs"/>
          <w:noProof w:val="0"/>
          <w:rtl/>
        </w:rPr>
        <w:t xml:space="preserve">יובהר כי </w:t>
      </w:r>
      <w:r w:rsidR="00977B06">
        <w:rPr>
          <w:rFonts w:ascii="Arial" w:hAnsi="Arial" w:hint="cs"/>
          <w:noProof w:val="0"/>
          <w:rtl/>
        </w:rPr>
        <w:t>אין נפקא מינה באם המותב אשר נתן את פסק הדין יוכל לדון בבקשה לבטלו</w:t>
      </w:r>
      <w:r w:rsidR="0052031C">
        <w:rPr>
          <w:rFonts w:ascii="Arial" w:hAnsi="Arial" w:hint="cs"/>
          <w:noProof w:val="0"/>
          <w:rtl/>
        </w:rPr>
        <w:t>,</w:t>
      </w:r>
      <w:r w:rsidR="00977B06">
        <w:rPr>
          <w:rFonts w:ascii="Arial" w:hAnsi="Arial" w:hint="cs"/>
          <w:noProof w:val="0"/>
          <w:rtl/>
        </w:rPr>
        <w:t xml:space="preserve"> או שמא מטעם זה או אחר הדבר אינו מתאפשר. </w:t>
      </w:r>
    </w:p>
    <w:p w:rsidR="00977B06" w:rsidRDefault="00977B06" w:rsidP="00977B06">
      <w:pPr>
        <w:pStyle w:val="ad"/>
        <w:spacing w:line="360" w:lineRule="auto"/>
        <w:jc w:val="both"/>
        <w:rPr>
          <w:rFonts w:ascii="Arial" w:hAnsi="Arial"/>
          <w:noProof w:val="0"/>
        </w:rPr>
      </w:pPr>
    </w:p>
    <w:p w:rsidR="00977B06" w:rsidRDefault="00977B06" w:rsidP="009F0C38">
      <w:pPr>
        <w:pStyle w:val="ad"/>
        <w:numPr>
          <w:ilvl w:val="0"/>
          <w:numId w:val="1"/>
        </w:numPr>
        <w:spacing w:line="360" w:lineRule="auto"/>
        <w:jc w:val="both"/>
        <w:rPr>
          <w:rFonts w:ascii="Arial" w:hAnsi="Arial"/>
          <w:noProof w:val="0"/>
        </w:rPr>
      </w:pPr>
      <w:r w:rsidRPr="00996698">
        <w:rPr>
          <w:rFonts w:ascii="Arial" w:hAnsi="Arial" w:hint="cs"/>
          <w:noProof w:val="0"/>
          <w:rtl/>
        </w:rPr>
        <w:t>לא נעלמו מעיניי טענות התובע כאילו פסק הדין ניתן בתרמית ו</w:t>
      </w:r>
      <w:r w:rsidR="009F0C38">
        <w:rPr>
          <w:rFonts w:ascii="Arial" w:hAnsi="Arial" w:hint="cs"/>
          <w:noProof w:val="0"/>
          <w:rtl/>
        </w:rPr>
        <w:t xml:space="preserve">הטעיה, כמפורט בסעיף 5 לעיל. </w:t>
      </w:r>
      <w:r w:rsidRPr="00996698">
        <w:rPr>
          <w:rFonts w:ascii="Arial" w:hAnsi="Arial" w:hint="cs"/>
          <w:noProof w:val="0"/>
          <w:rtl/>
        </w:rPr>
        <w:t xml:space="preserve">דא </w:t>
      </w:r>
      <w:r w:rsidR="00996698">
        <w:rPr>
          <w:rFonts w:ascii="Arial" w:hAnsi="Arial" w:hint="cs"/>
          <w:noProof w:val="0"/>
          <w:rtl/>
        </w:rPr>
        <w:t>עקא, טיעון זה אינו משכנע בעיניי</w:t>
      </w:r>
      <w:r w:rsidR="009F0C38">
        <w:rPr>
          <w:rFonts w:ascii="Arial" w:hAnsi="Arial" w:hint="cs"/>
          <w:noProof w:val="0"/>
          <w:rtl/>
        </w:rPr>
        <w:t xml:space="preserve"> ואין בו לשנות מהתוצאה המתחייבת</w:t>
      </w:r>
      <w:r w:rsidR="00996698">
        <w:rPr>
          <w:rFonts w:ascii="Arial" w:hAnsi="Arial" w:hint="cs"/>
          <w:noProof w:val="0"/>
          <w:rtl/>
        </w:rPr>
        <w:t>. אנמק להלן.</w:t>
      </w:r>
    </w:p>
    <w:p w:rsidR="00996698" w:rsidRPr="00996698" w:rsidRDefault="00996698" w:rsidP="00EC7F15">
      <w:pPr>
        <w:pStyle w:val="ad"/>
        <w:spacing w:line="360" w:lineRule="auto"/>
        <w:rPr>
          <w:rFonts w:ascii="Arial" w:hAnsi="Arial"/>
          <w:noProof w:val="0"/>
          <w:rtl/>
        </w:rPr>
      </w:pPr>
    </w:p>
    <w:p w:rsidR="00996698" w:rsidRDefault="000E0F5F" w:rsidP="006E27DA">
      <w:pPr>
        <w:pStyle w:val="ad"/>
        <w:numPr>
          <w:ilvl w:val="0"/>
          <w:numId w:val="1"/>
        </w:numPr>
        <w:spacing w:line="360" w:lineRule="auto"/>
        <w:jc w:val="both"/>
        <w:rPr>
          <w:rFonts w:ascii="Arial" w:hAnsi="Arial"/>
          <w:noProof w:val="0"/>
          <w:rtl/>
        </w:rPr>
      </w:pPr>
      <w:r>
        <w:rPr>
          <w:rFonts w:ascii="Arial" w:hAnsi="Arial" w:hint="cs"/>
          <w:noProof w:val="0"/>
          <w:rtl/>
        </w:rPr>
        <w:t xml:space="preserve">הגשת </w:t>
      </w:r>
      <w:r w:rsidR="006E27DA">
        <w:rPr>
          <w:rFonts w:ascii="Arial" w:hAnsi="Arial" w:hint="cs"/>
          <w:noProof w:val="0"/>
          <w:rtl/>
        </w:rPr>
        <w:t xml:space="preserve">תביעה על ידי מלווה </w:t>
      </w:r>
      <w:r>
        <w:rPr>
          <w:rFonts w:ascii="Arial" w:hAnsi="Arial" w:hint="cs"/>
          <w:noProof w:val="0"/>
          <w:rtl/>
        </w:rPr>
        <w:t xml:space="preserve">נגד ערב מוגן, כבמקרה דנן, מותנית בקבלת </w:t>
      </w:r>
      <w:r w:rsidR="009F0C38">
        <w:rPr>
          <w:rFonts w:ascii="Arial" w:hAnsi="Arial" w:hint="cs"/>
          <w:noProof w:val="0"/>
          <w:rtl/>
        </w:rPr>
        <w:t>אישור ראש ההוצאה לפועל בדבר מיצוי הליכים נגד החייב העיקרי</w:t>
      </w:r>
      <w:r>
        <w:rPr>
          <w:rFonts w:ascii="Arial" w:hAnsi="Arial" w:hint="cs"/>
          <w:noProof w:val="0"/>
          <w:rtl/>
        </w:rPr>
        <w:t xml:space="preserve">. </w:t>
      </w:r>
      <w:r w:rsidR="006E27DA">
        <w:rPr>
          <w:rFonts w:ascii="Arial" w:hAnsi="Arial" w:hint="cs"/>
          <w:noProof w:val="0"/>
          <w:rtl/>
        </w:rPr>
        <w:t xml:space="preserve">כלל זה </w:t>
      </w:r>
      <w:r>
        <w:rPr>
          <w:rFonts w:ascii="Arial" w:hAnsi="Arial" w:hint="cs"/>
          <w:noProof w:val="0"/>
          <w:rtl/>
        </w:rPr>
        <w:t xml:space="preserve">מעוגן </w:t>
      </w:r>
      <w:r w:rsidR="00996698">
        <w:rPr>
          <w:rFonts w:ascii="Arial" w:hAnsi="Arial" w:hint="cs"/>
          <w:noProof w:val="0"/>
          <w:rtl/>
        </w:rPr>
        <w:t>בסעי</w:t>
      </w:r>
      <w:r w:rsidR="009F0C38">
        <w:rPr>
          <w:rFonts w:ascii="Arial" w:hAnsi="Arial" w:hint="cs"/>
          <w:noProof w:val="0"/>
          <w:rtl/>
        </w:rPr>
        <w:t xml:space="preserve">ף 27 לחוק הערבות, תשכ"ז-1967, </w:t>
      </w:r>
      <w:r w:rsidR="00BF5432">
        <w:rPr>
          <w:rFonts w:ascii="Arial" w:hAnsi="Arial" w:hint="cs"/>
          <w:noProof w:val="0"/>
          <w:rtl/>
        </w:rPr>
        <w:t>בו</w:t>
      </w:r>
      <w:r w:rsidR="00996698">
        <w:rPr>
          <w:rFonts w:ascii="Arial" w:hAnsi="Arial" w:hint="cs"/>
          <w:noProof w:val="0"/>
          <w:rtl/>
        </w:rPr>
        <w:t xml:space="preserve"> נקבע כדלקמן:</w:t>
      </w:r>
    </w:p>
    <w:p w:rsidR="00996698" w:rsidRDefault="00996698" w:rsidP="00996698">
      <w:pPr>
        <w:pStyle w:val="ad"/>
        <w:spacing w:line="360" w:lineRule="auto"/>
        <w:jc w:val="both"/>
        <w:rPr>
          <w:rFonts w:ascii="Arial" w:hAnsi="Arial"/>
          <w:noProof w:val="0"/>
          <w:rtl/>
        </w:rPr>
      </w:pPr>
    </w:p>
    <w:p w:rsidR="00996698" w:rsidRDefault="009F0C38" w:rsidP="00BF5432">
      <w:pPr>
        <w:pStyle w:val="ad"/>
        <w:spacing w:line="360" w:lineRule="auto"/>
        <w:ind w:firstLine="720"/>
        <w:jc w:val="both"/>
        <w:rPr>
          <w:rFonts w:ascii="Arial" w:hAnsi="Arial"/>
          <w:b/>
          <w:bCs/>
          <w:noProof w:val="0"/>
          <w:rtl/>
        </w:rPr>
      </w:pPr>
      <w:r>
        <w:rPr>
          <w:rFonts w:ascii="Arial" w:hAnsi="Arial" w:hint="cs"/>
          <w:b/>
          <w:bCs/>
          <w:noProof w:val="0"/>
          <w:rtl/>
        </w:rPr>
        <w:t>"א.</w:t>
      </w:r>
      <w:r>
        <w:rPr>
          <w:rFonts w:ascii="Arial" w:hAnsi="Arial" w:hint="cs"/>
          <w:b/>
          <w:bCs/>
          <w:noProof w:val="0"/>
          <w:rtl/>
        </w:rPr>
        <w:tab/>
      </w:r>
      <w:r w:rsidR="00BF5432">
        <w:rPr>
          <w:rFonts w:ascii="Arial" w:hAnsi="Arial" w:hint="cs"/>
          <w:b/>
          <w:bCs/>
          <w:noProof w:val="0"/>
          <w:rtl/>
        </w:rPr>
        <w:t>לא תוגש תובענה נגד ערב מוגן אלא לאחר שנתקיימו שניים אלה:</w:t>
      </w:r>
    </w:p>
    <w:p w:rsidR="00BF5432" w:rsidRDefault="00BF5432" w:rsidP="00BF5432">
      <w:pPr>
        <w:pStyle w:val="ad"/>
        <w:numPr>
          <w:ilvl w:val="0"/>
          <w:numId w:val="5"/>
        </w:numPr>
        <w:spacing w:line="360" w:lineRule="auto"/>
        <w:jc w:val="both"/>
        <w:rPr>
          <w:rFonts w:ascii="Arial" w:hAnsi="Arial"/>
          <w:b/>
          <w:bCs/>
          <w:noProof w:val="0"/>
        </w:rPr>
      </w:pPr>
      <w:r>
        <w:rPr>
          <w:rFonts w:ascii="Arial" w:hAnsi="Arial" w:hint="cs"/>
          <w:b/>
          <w:bCs/>
          <w:noProof w:val="0"/>
          <w:rtl/>
        </w:rPr>
        <w:t>ניתן פסק דין נגד החייב;</w:t>
      </w:r>
    </w:p>
    <w:p w:rsidR="00BF5432" w:rsidRPr="00BF5432" w:rsidRDefault="00BF5432" w:rsidP="00BF5432">
      <w:pPr>
        <w:pStyle w:val="ad"/>
        <w:numPr>
          <w:ilvl w:val="0"/>
          <w:numId w:val="5"/>
        </w:numPr>
        <w:spacing w:line="360" w:lineRule="auto"/>
        <w:jc w:val="both"/>
        <w:rPr>
          <w:rFonts w:ascii="Arial" w:hAnsi="Arial"/>
          <w:b/>
          <w:bCs/>
          <w:noProof w:val="0"/>
          <w:rtl/>
        </w:rPr>
      </w:pPr>
      <w:r>
        <w:rPr>
          <w:rFonts w:ascii="Arial" w:hAnsi="Arial" w:hint="cs"/>
          <w:b/>
          <w:bCs/>
          <w:noProof w:val="0"/>
          <w:rtl/>
        </w:rPr>
        <w:t>רשם ההוצאה לפועל אישר שעל מנת להיפרע מהחייב, ננקטו כל הליכי ההוצאה לפועל, לרבות הליכים למימוש משכנתה על דירת מגורים או למימוש משכון על זכויותיו בדירת מגורים והכל כשהם סבירים בנסיבות העניין..."</w:t>
      </w:r>
    </w:p>
    <w:p w:rsidR="00996698" w:rsidRDefault="00996698" w:rsidP="00996698">
      <w:pPr>
        <w:pStyle w:val="ad"/>
        <w:spacing w:line="360" w:lineRule="auto"/>
        <w:jc w:val="both"/>
        <w:rPr>
          <w:rFonts w:ascii="Arial" w:hAnsi="Arial"/>
          <w:noProof w:val="0"/>
          <w:rtl/>
        </w:rPr>
      </w:pPr>
    </w:p>
    <w:p w:rsidR="00194213" w:rsidRDefault="000E0F5F" w:rsidP="006E27DA">
      <w:pPr>
        <w:pStyle w:val="ad"/>
        <w:spacing w:line="360" w:lineRule="auto"/>
        <w:jc w:val="both"/>
        <w:rPr>
          <w:rFonts w:ascii="Arial" w:hAnsi="Arial"/>
          <w:noProof w:val="0"/>
          <w:rtl/>
        </w:rPr>
      </w:pPr>
      <w:r>
        <w:rPr>
          <w:rFonts w:ascii="Arial" w:hAnsi="Arial" w:hint="cs"/>
          <w:noProof w:val="0"/>
          <w:rtl/>
        </w:rPr>
        <w:t>בהתאם להלכה הפסוקה, כש</w:t>
      </w:r>
      <w:r w:rsidR="00194213" w:rsidRPr="000E0F5F">
        <w:rPr>
          <w:rFonts w:ascii="Arial" w:hAnsi="Arial" w:hint="cs"/>
          <w:noProof w:val="0"/>
          <w:rtl/>
        </w:rPr>
        <w:t>מו</w:t>
      </w:r>
      <w:r w:rsidR="00750306" w:rsidRPr="000E0F5F">
        <w:rPr>
          <w:rFonts w:ascii="Arial" w:hAnsi="Arial" w:hint="cs"/>
          <w:noProof w:val="0"/>
          <w:rtl/>
        </w:rPr>
        <w:t>גשת בקש</w:t>
      </w:r>
      <w:r>
        <w:rPr>
          <w:rFonts w:ascii="Arial" w:hAnsi="Arial" w:hint="cs"/>
          <w:noProof w:val="0"/>
          <w:rtl/>
        </w:rPr>
        <w:t xml:space="preserve">ת הנושה </w:t>
      </w:r>
      <w:r w:rsidR="00750306" w:rsidRPr="000E0F5F">
        <w:rPr>
          <w:rFonts w:ascii="Arial" w:hAnsi="Arial" w:hint="cs"/>
          <w:noProof w:val="0"/>
          <w:rtl/>
        </w:rPr>
        <w:t xml:space="preserve">למיצוי הליכים </w:t>
      </w:r>
      <w:r w:rsidR="00104870" w:rsidRPr="000E0F5F">
        <w:rPr>
          <w:rFonts w:ascii="Arial" w:hAnsi="Arial" w:hint="cs"/>
          <w:noProof w:val="0"/>
          <w:rtl/>
        </w:rPr>
        <w:t xml:space="preserve">יש לתת לערב זכות טיעון טרם </w:t>
      </w:r>
      <w:r>
        <w:rPr>
          <w:rFonts w:ascii="Arial" w:hAnsi="Arial" w:hint="cs"/>
          <w:noProof w:val="0"/>
          <w:rtl/>
        </w:rPr>
        <w:t>מ</w:t>
      </w:r>
      <w:r w:rsidR="00104870" w:rsidRPr="000E0F5F">
        <w:rPr>
          <w:rFonts w:ascii="Arial" w:hAnsi="Arial" w:hint="cs"/>
          <w:noProof w:val="0"/>
          <w:rtl/>
        </w:rPr>
        <w:t>תן החלט</w:t>
      </w:r>
      <w:r>
        <w:rPr>
          <w:rFonts w:ascii="Arial" w:hAnsi="Arial" w:hint="cs"/>
          <w:noProof w:val="0"/>
          <w:rtl/>
        </w:rPr>
        <w:t xml:space="preserve">ת </w:t>
      </w:r>
      <w:r w:rsidR="006E27DA">
        <w:rPr>
          <w:rFonts w:ascii="Arial" w:hAnsi="Arial" w:hint="cs"/>
          <w:noProof w:val="0"/>
          <w:rtl/>
        </w:rPr>
        <w:t>רשם</w:t>
      </w:r>
      <w:r>
        <w:rPr>
          <w:rFonts w:ascii="Arial" w:hAnsi="Arial" w:hint="cs"/>
          <w:noProof w:val="0"/>
          <w:rtl/>
        </w:rPr>
        <w:t xml:space="preserve"> ההוצאה לפועל בבקש</w:t>
      </w:r>
      <w:r w:rsidR="00104870" w:rsidRPr="000E0F5F">
        <w:rPr>
          <w:rFonts w:ascii="Arial" w:hAnsi="Arial" w:hint="cs"/>
          <w:noProof w:val="0"/>
          <w:rtl/>
        </w:rPr>
        <w:t>ה</w:t>
      </w:r>
      <w:r>
        <w:rPr>
          <w:rFonts w:ascii="Arial" w:hAnsi="Arial" w:hint="cs"/>
          <w:noProof w:val="0"/>
          <w:rtl/>
        </w:rPr>
        <w:t xml:space="preserve">. </w:t>
      </w:r>
      <w:r w:rsidR="00104870">
        <w:rPr>
          <w:rFonts w:ascii="Arial" w:hAnsi="Arial" w:hint="cs"/>
          <w:noProof w:val="0"/>
          <w:rtl/>
        </w:rPr>
        <w:t>ב</w:t>
      </w:r>
      <w:r>
        <w:rPr>
          <w:rFonts w:ascii="Arial" w:hAnsi="Arial" w:hint="cs"/>
          <w:noProof w:val="0"/>
          <w:rtl/>
        </w:rPr>
        <w:t xml:space="preserve">נדון </w:t>
      </w:r>
      <w:r w:rsidR="00104870">
        <w:rPr>
          <w:rFonts w:ascii="Arial" w:hAnsi="Arial" w:hint="cs"/>
          <w:noProof w:val="0"/>
          <w:rtl/>
        </w:rPr>
        <w:t xml:space="preserve">נפסק ב- </w:t>
      </w:r>
      <w:r w:rsidR="00104870">
        <w:rPr>
          <w:rFonts w:ascii="Arial" w:hAnsi="Arial" w:hint="cs"/>
          <w:b/>
          <w:bCs/>
          <w:noProof w:val="0"/>
          <w:rtl/>
        </w:rPr>
        <w:t>בר"ע (ת"א) 20275/99 בנק הפועלים בע"מ נ' רודניק דימיטרי (פורסם בנבו)</w:t>
      </w:r>
      <w:r w:rsidR="00104870">
        <w:rPr>
          <w:rFonts w:ascii="Arial" w:hAnsi="Arial" w:hint="cs"/>
          <w:noProof w:val="0"/>
          <w:rtl/>
        </w:rPr>
        <w:t>, כדלקמן:</w:t>
      </w:r>
    </w:p>
    <w:p w:rsidR="00104870" w:rsidRDefault="00104870" w:rsidP="00104870">
      <w:pPr>
        <w:pStyle w:val="ad"/>
        <w:spacing w:line="360" w:lineRule="auto"/>
        <w:jc w:val="both"/>
        <w:rPr>
          <w:rFonts w:ascii="Arial" w:hAnsi="Arial"/>
          <w:noProof w:val="0"/>
          <w:rtl/>
        </w:rPr>
      </w:pPr>
    </w:p>
    <w:p w:rsidR="00104870" w:rsidRPr="00104870" w:rsidRDefault="00104870" w:rsidP="00324460">
      <w:pPr>
        <w:pStyle w:val="10"/>
        <w:autoSpaceDE w:val="0"/>
        <w:autoSpaceDN w:val="0"/>
        <w:spacing w:after="0" w:line="360" w:lineRule="auto"/>
        <w:ind w:left="1440"/>
        <w:jc w:val="both"/>
        <w:rPr>
          <w:rFonts w:ascii="Arial" w:hAnsi="Arial" w:cs="David"/>
          <w:b/>
          <w:bCs/>
          <w:sz w:val="24"/>
          <w:szCs w:val="24"/>
        </w:rPr>
      </w:pPr>
      <w:r>
        <w:rPr>
          <w:rFonts w:ascii="David" w:hAnsi="David" w:cs="David" w:hint="cs"/>
          <w:b/>
          <w:bCs/>
          <w:sz w:val="24"/>
          <w:szCs w:val="24"/>
          <w:rtl/>
        </w:rPr>
        <w:lastRenderedPageBreak/>
        <w:t>"</w:t>
      </w:r>
      <w:r w:rsidRPr="00104870">
        <w:rPr>
          <w:rFonts w:ascii="Arial" w:hAnsi="Arial" w:cs="David"/>
          <w:b/>
          <w:bCs/>
          <w:sz w:val="24"/>
          <w:szCs w:val="24"/>
          <w:rtl/>
        </w:rPr>
        <w:t xml:space="preserve">דעתי היא כי פרשנותו הראויה של </w:t>
      </w:r>
      <w:hyperlink r:id="rId17" w:history="1">
        <w:r w:rsidRPr="00104870">
          <w:rPr>
            <w:rStyle w:val="Hyperlink"/>
            <w:rFonts w:ascii="Arial" w:hAnsi="Arial" w:cs="David"/>
            <w:b/>
            <w:bCs/>
            <w:color w:val="auto"/>
            <w:sz w:val="24"/>
            <w:szCs w:val="24"/>
            <w:u w:val="none"/>
            <w:rtl/>
          </w:rPr>
          <w:t>סעיף 27</w:t>
        </w:r>
      </w:hyperlink>
      <w:r w:rsidRPr="00104870">
        <w:rPr>
          <w:rFonts w:ascii="Arial" w:hAnsi="Arial" w:cs="David"/>
          <w:b/>
          <w:bCs/>
          <w:sz w:val="24"/>
          <w:szCs w:val="24"/>
          <w:rtl/>
        </w:rPr>
        <w:t xml:space="preserve"> ל</w:t>
      </w:r>
      <w:hyperlink r:id="rId18" w:history="1">
        <w:r w:rsidRPr="00104870">
          <w:rPr>
            <w:rStyle w:val="Hyperlink"/>
            <w:rFonts w:ascii="Arial" w:hAnsi="Arial" w:cs="David"/>
            <w:b/>
            <w:bCs/>
            <w:color w:val="auto"/>
            <w:sz w:val="24"/>
            <w:szCs w:val="24"/>
            <w:u w:val="none"/>
            <w:rtl/>
          </w:rPr>
          <w:t>חוק הערבות</w:t>
        </w:r>
      </w:hyperlink>
      <w:r w:rsidRPr="00104870">
        <w:rPr>
          <w:rFonts w:ascii="Arial" w:hAnsi="Arial" w:cs="David"/>
          <w:b/>
          <w:bCs/>
          <w:sz w:val="24"/>
          <w:szCs w:val="24"/>
          <w:rtl/>
        </w:rPr>
        <w:t xml:space="preserve"> מחייבת אותנו להורות על הזמנת הערבים לפני שייפתחו נגדם הליכים משפטיים ואין יסוד לתת החלטה בעניין זה במעמדו של הזוכה בלבד. הגשת תובענה כספית נגד הערבים עלולה להטיל עליהם חובות ניכרים בהיותם ערבים בלבד לפירעון חובות אלה. פסק הדין שיינתן נגדם עלול לגרום להם לקשיים כלכליים ככל שהחוב הפסוק גבוה יותר, ויהיה עליהם להתמודד זמן רב עם תוצאות ערבותם. על כן נכון יהיה להקנות לערבים זכות טיעון בטרם ייתן ראש ההוצאה לפועל את החלטתו. זכות זו של הערבים עשויה להביא איתה גם פירות מעשיים: יתכן שבידי הערבים מצוי מידע על יכולתו הכלכלית של החייב, בעוד שהזוכה איננו יודע על כך דבר. וככל שמתבררים פרטים נוספים על יכולתו הכלכלית של החייב - אין לפנות לערבים, ועל הזוכה להמשיך בתהליך מיצוי ההליכים נגד החייבים.</w:t>
      </w:r>
    </w:p>
    <w:p w:rsidR="00104870" w:rsidRPr="00104870" w:rsidRDefault="00104870" w:rsidP="00324460">
      <w:pPr>
        <w:autoSpaceDE w:val="0"/>
        <w:autoSpaceDN w:val="0"/>
        <w:spacing w:line="360" w:lineRule="auto"/>
        <w:jc w:val="both"/>
        <w:rPr>
          <w:rFonts w:ascii="Arial" w:hAnsi="Arial"/>
          <w:b/>
          <w:bCs/>
          <w:rtl/>
        </w:rPr>
      </w:pPr>
      <w:r w:rsidRPr="00104870">
        <w:rPr>
          <w:rFonts w:ascii="Arial" w:hAnsi="Arial"/>
          <w:b/>
          <w:bCs/>
          <w:rtl/>
        </w:rPr>
        <w:t xml:space="preserve"> </w:t>
      </w:r>
    </w:p>
    <w:p w:rsidR="00104870" w:rsidRDefault="00104870" w:rsidP="00324460">
      <w:pPr>
        <w:pStyle w:val="10"/>
        <w:autoSpaceDE w:val="0"/>
        <w:autoSpaceDN w:val="0"/>
        <w:spacing w:after="0" w:line="360" w:lineRule="auto"/>
        <w:ind w:left="1440"/>
        <w:jc w:val="both"/>
        <w:rPr>
          <w:rFonts w:ascii="Arial" w:hAnsi="Arial" w:cs="David"/>
          <w:b/>
          <w:bCs/>
          <w:sz w:val="24"/>
          <w:szCs w:val="24"/>
          <w:rtl/>
        </w:rPr>
      </w:pPr>
      <w:r w:rsidRPr="00104870">
        <w:rPr>
          <w:rFonts w:ascii="Arial" w:hAnsi="Arial" w:cs="David"/>
          <w:b/>
          <w:bCs/>
          <w:sz w:val="24"/>
          <w:szCs w:val="24"/>
          <w:rtl/>
        </w:rPr>
        <w:t>עיקר הדברים הוא שזכות הטיעון נתונה לכל ערב בפני ראש ההוצאה לפועל, כאשר מוגשת על ידי הזוכה בקשה שתוצאתה אמורה להביא לפתיחת הליכים משפטיים נגד הערב</w:t>
      </w:r>
      <w:r>
        <w:rPr>
          <w:rFonts w:ascii="Arial" w:hAnsi="Arial" w:cs="David" w:hint="cs"/>
          <w:b/>
          <w:bCs/>
          <w:sz w:val="24"/>
          <w:szCs w:val="24"/>
          <w:rtl/>
        </w:rPr>
        <w:t xml:space="preserve">" </w:t>
      </w:r>
      <w:r>
        <w:rPr>
          <w:rFonts w:ascii="Arial" w:hAnsi="Arial" w:cs="David" w:hint="cs"/>
          <w:sz w:val="24"/>
          <w:szCs w:val="24"/>
          <w:rtl/>
        </w:rPr>
        <w:t>(שם, פסקאות 4-5 לפסק הדין)</w:t>
      </w:r>
      <w:r w:rsidRPr="00104870">
        <w:rPr>
          <w:rFonts w:ascii="Arial" w:hAnsi="Arial" w:cs="David"/>
          <w:sz w:val="24"/>
          <w:szCs w:val="24"/>
          <w:rtl/>
        </w:rPr>
        <w:t>.</w:t>
      </w:r>
    </w:p>
    <w:p w:rsidR="00194213" w:rsidRDefault="00194213" w:rsidP="00996698">
      <w:pPr>
        <w:spacing w:line="360" w:lineRule="auto"/>
        <w:jc w:val="both"/>
        <w:rPr>
          <w:rFonts w:ascii="Arial" w:hAnsi="Arial"/>
          <w:noProof w:val="0"/>
          <w:rtl/>
        </w:rPr>
      </w:pPr>
    </w:p>
    <w:p w:rsidR="00CC5715" w:rsidRPr="00CC5715" w:rsidRDefault="00CC5715" w:rsidP="00607C60">
      <w:pPr>
        <w:spacing w:line="360" w:lineRule="auto"/>
        <w:ind w:left="720"/>
        <w:jc w:val="both"/>
        <w:rPr>
          <w:rFonts w:ascii="Arial" w:hAnsi="Arial"/>
          <w:b/>
          <w:bCs/>
          <w:noProof w:val="0"/>
          <w:rtl/>
        </w:rPr>
      </w:pPr>
      <w:r>
        <w:rPr>
          <w:rFonts w:ascii="Arial" w:hAnsi="Arial" w:hint="cs"/>
          <w:noProof w:val="0"/>
          <w:rtl/>
        </w:rPr>
        <w:t xml:space="preserve">לאותה הלכה ר' </w:t>
      </w:r>
      <w:r>
        <w:rPr>
          <w:rFonts w:ascii="Arial" w:hAnsi="Arial" w:hint="cs"/>
          <w:b/>
          <w:bCs/>
          <w:noProof w:val="0"/>
          <w:rtl/>
        </w:rPr>
        <w:t>בר''ע (חיפה) 264/00 בנק הפועלים בע''מ נ. חיים נאה, תשס(1), 51</w:t>
      </w:r>
      <w:r w:rsidR="00607C60">
        <w:rPr>
          <w:rFonts w:ascii="Arial" w:hAnsi="Arial" w:hint="cs"/>
          <w:b/>
          <w:bCs/>
          <w:noProof w:val="0"/>
          <w:rtl/>
        </w:rPr>
        <w:t xml:space="preserve">7, 525 </w:t>
      </w:r>
      <w:r>
        <w:rPr>
          <w:rFonts w:ascii="Arial" w:hAnsi="Arial" w:hint="cs"/>
          <w:b/>
          <w:bCs/>
          <w:noProof w:val="0"/>
          <w:rtl/>
        </w:rPr>
        <w:t xml:space="preserve"> </w:t>
      </w:r>
      <w:r>
        <w:rPr>
          <w:rFonts w:ascii="Arial" w:hAnsi="Arial" w:hint="cs"/>
          <w:noProof w:val="0"/>
          <w:rtl/>
        </w:rPr>
        <w:t xml:space="preserve">וכן </w:t>
      </w:r>
      <w:r>
        <w:rPr>
          <w:rFonts w:ascii="Arial" w:hAnsi="Arial" w:hint="cs"/>
          <w:b/>
          <w:bCs/>
          <w:noProof w:val="0"/>
          <w:rtl/>
        </w:rPr>
        <w:t>בר''ע (נצרת) 1116/04 בנק הפועלים בע''מ נ. עוביד, פסקה 8 (פורסמו בנבו).</w:t>
      </w:r>
    </w:p>
    <w:p w:rsidR="00CC5715" w:rsidRPr="007105D2" w:rsidRDefault="00CC5715" w:rsidP="00996698">
      <w:pPr>
        <w:spacing w:line="360" w:lineRule="auto"/>
        <w:jc w:val="both"/>
        <w:rPr>
          <w:rFonts w:ascii="Arial" w:hAnsi="Arial"/>
          <w:noProof w:val="0"/>
          <w:rtl/>
        </w:rPr>
      </w:pPr>
    </w:p>
    <w:p w:rsidR="007105D2" w:rsidRDefault="00996698" w:rsidP="006E27DA">
      <w:pPr>
        <w:pStyle w:val="ad"/>
        <w:spacing w:line="360" w:lineRule="auto"/>
        <w:jc w:val="both"/>
        <w:rPr>
          <w:rFonts w:ascii="Arial" w:hAnsi="Arial"/>
          <w:noProof w:val="0"/>
          <w:rtl/>
        </w:rPr>
      </w:pPr>
      <w:r>
        <w:rPr>
          <w:rFonts w:ascii="Arial" w:hAnsi="Arial" w:hint="cs"/>
          <w:noProof w:val="0"/>
          <w:rtl/>
        </w:rPr>
        <w:t xml:space="preserve">ערב </w:t>
      </w:r>
      <w:r w:rsidR="006E27DA">
        <w:rPr>
          <w:rFonts w:ascii="Arial" w:hAnsi="Arial" w:hint="cs"/>
          <w:noProof w:val="0"/>
          <w:rtl/>
        </w:rPr>
        <w:t xml:space="preserve">מוגן </w:t>
      </w:r>
      <w:r>
        <w:rPr>
          <w:rFonts w:ascii="Arial" w:hAnsi="Arial" w:hint="cs"/>
          <w:noProof w:val="0"/>
          <w:rtl/>
        </w:rPr>
        <w:t>המעוניין לחלוק על החלט</w:t>
      </w:r>
      <w:r w:rsidR="00607C60">
        <w:rPr>
          <w:rFonts w:ascii="Arial" w:hAnsi="Arial" w:hint="cs"/>
          <w:noProof w:val="0"/>
          <w:rtl/>
        </w:rPr>
        <w:t>ת רשם ההוצאה לפועל בדבר מיצוי ה</w:t>
      </w:r>
      <w:r>
        <w:rPr>
          <w:rFonts w:ascii="Arial" w:hAnsi="Arial" w:hint="cs"/>
          <w:noProof w:val="0"/>
          <w:rtl/>
        </w:rPr>
        <w:t>ליכים רשאי להגיש</w:t>
      </w:r>
      <w:r w:rsidR="007105D2" w:rsidRPr="00607C60">
        <w:rPr>
          <w:rFonts w:ascii="Arial" w:hAnsi="Arial" w:hint="cs"/>
          <w:noProof w:val="0"/>
          <w:rtl/>
        </w:rPr>
        <w:t xml:space="preserve"> בקשה לביטול </w:t>
      </w:r>
      <w:r w:rsidR="00AB400A" w:rsidRPr="00607C60">
        <w:rPr>
          <w:rFonts w:ascii="Arial" w:hAnsi="Arial" w:hint="cs"/>
          <w:noProof w:val="0"/>
          <w:rtl/>
        </w:rPr>
        <w:t>ההחלטה</w:t>
      </w:r>
      <w:r>
        <w:rPr>
          <w:rFonts w:ascii="Arial" w:hAnsi="Arial" w:hint="cs"/>
          <w:noProof w:val="0"/>
          <w:rtl/>
        </w:rPr>
        <w:t xml:space="preserve">, </w:t>
      </w:r>
      <w:r w:rsidR="00607C60">
        <w:rPr>
          <w:rFonts w:ascii="Arial" w:hAnsi="Arial" w:hint="cs"/>
          <w:noProof w:val="0"/>
          <w:rtl/>
        </w:rPr>
        <w:t xml:space="preserve">לרבות בטענה כי היא ניתנה </w:t>
      </w:r>
      <w:r>
        <w:rPr>
          <w:rFonts w:ascii="Arial" w:hAnsi="Arial" w:hint="cs"/>
          <w:noProof w:val="0"/>
          <w:rtl/>
        </w:rPr>
        <w:t>מבלי שהוזמן כדין</w:t>
      </w:r>
      <w:r w:rsidR="007105D2">
        <w:rPr>
          <w:rFonts w:ascii="Arial" w:hAnsi="Arial" w:hint="cs"/>
          <w:noProof w:val="0"/>
          <w:rtl/>
        </w:rPr>
        <w:t>. ב</w:t>
      </w:r>
      <w:r w:rsidR="00607C60">
        <w:rPr>
          <w:rFonts w:ascii="Arial" w:hAnsi="Arial" w:hint="cs"/>
          <w:noProof w:val="0"/>
          <w:rtl/>
        </w:rPr>
        <w:t xml:space="preserve">נדון </w:t>
      </w:r>
      <w:r w:rsidR="007105D2">
        <w:rPr>
          <w:rFonts w:ascii="Arial" w:hAnsi="Arial" w:hint="cs"/>
          <w:noProof w:val="0"/>
          <w:rtl/>
        </w:rPr>
        <w:t>נ</w:t>
      </w:r>
      <w:r w:rsidR="00AB400A">
        <w:rPr>
          <w:rFonts w:ascii="Arial" w:hAnsi="Arial" w:hint="cs"/>
          <w:noProof w:val="0"/>
          <w:rtl/>
        </w:rPr>
        <w:t>אמר</w:t>
      </w:r>
      <w:r w:rsidR="007105D2">
        <w:rPr>
          <w:rFonts w:ascii="Arial" w:hAnsi="Arial" w:hint="cs"/>
          <w:noProof w:val="0"/>
          <w:rtl/>
        </w:rPr>
        <w:t xml:space="preserve"> בספרו של </w:t>
      </w:r>
      <w:r w:rsidR="007105D2">
        <w:rPr>
          <w:rFonts w:ascii="Arial" w:hAnsi="Arial" w:hint="cs"/>
          <w:b/>
          <w:bCs/>
          <w:noProof w:val="0"/>
          <w:rtl/>
        </w:rPr>
        <w:t>דוד בר א</w:t>
      </w:r>
      <w:r w:rsidR="00AB400A">
        <w:rPr>
          <w:rFonts w:ascii="Arial" w:hAnsi="Arial" w:hint="cs"/>
          <w:b/>
          <w:bCs/>
          <w:noProof w:val="0"/>
          <w:rtl/>
        </w:rPr>
        <w:t xml:space="preserve">ופיר, הוצאה לפועל הליכים והלכות, </w:t>
      </w:r>
      <w:r w:rsidR="007105D2">
        <w:rPr>
          <w:rFonts w:ascii="Arial" w:hAnsi="Arial" w:hint="cs"/>
          <w:b/>
          <w:bCs/>
          <w:noProof w:val="0"/>
          <w:rtl/>
        </w:rPr>
        <w:t>כרך א'</w:t>
      </w:r>
      <w:r w:rsidR="00AB400A">
        <w:rPr>
          <w:rFonts w:ascii="Arial" w:hAnsi="Arial" w:hint="cs"/>
          <w:b/>
          <w:bCs/>
          <w:noProof w:val="0"/>
          <w:rtl/>
        </w:rPr>
        <w:t xml:space="preserve"> (יולי</w:t>
      </w:r>
      <w:r w:rsidR="007105D2">
        <w:rPr>
          <w:rFonts w:ascii="Arial" w:hAnsi="Arial" w:hint="cs"/>
          <w:b/>
          <w:bCs/>
          <w:noProof w:val="0"/>
          <w:rtl/>
        </w:rPr>
        <w:t xml:space="preserve"> 2022)</w:t>
      </w:r>
      <w:r w:rsidR="007105D2">
        <w:rPr>
          <w:rFonts w:ascii="Arial" w:hAnsi="Arial" w:hint="cs"/>
          <w:noProof w:val="0"/>
          <w:rtl/>
        </w:rPr>
        <w:t xml:space="preserve"> כדלקמן:</w:t>
      </w:r>
    </w:p>
    <w:p w:rsidR="007105D2" w:rsidRDefault="007105D2" w:rsidP="00696EC3">
      <w:pPr>
        <w:pStyle w:val="ad"/>
        <w:spacing w:line="360" w:lineRule="auto"/>
        <w:jc w:val="both"/>
        <w:rPr>
          <w:rFonts w:ascii="Arial" w:hAnsi="Arial"/>
          <w:noProof w:val="0"/>
          <w:rtl/>
        </w:rPr>
      </w:pPr>
    </w:p>
    <w:p w:rsidR="007105D2" w:rsidRPr="00AB400A" w:rsidRDefault="007105D2" w:rsidP="00AB400A">
      <w:pPr>
        <w:pStyle w:val="ad"/>
        <w:spacing w:line="360" w:lineRule="auto"/>
        <w:ind w:left="1440"/>
        <w:jc w:val="both"/>
        <w:rPr>
          <w:rFonts w:ascii="Arial" w:hAnsi="Arial"/>
          <w:noProof w:val="0"/>
          <w:rtl/>
        </w:rPr>
      </w:pPr>
      <w:r>
        <w:rPr>
          <w:rFonts w:ascii="Arial" w:hAnsi="Arial" w:hint="cs"/>
          <w:b/>
          <w:bCs/>
          <w:noProof w:val="0"/>
          <w:rtl/>
        </w:rPr>
        <w:t>"כאשר הזוכה מגיש בקשה לפתיחת הליכים</w:t>
      </w:r>
      <w:r w:rsidR="00AB400A">
        <w:rPr>
          <w:rFonts w:ascii="Arial" w:hAnsi="Arial" w:hint="cs"/>
          <w:b/>
          <w:bCs/>
          <w:noProof w:val="0"/>
          <w:rtl/>
        </w:rPr>
        <w:t xml:space="preserve"> משפטיים נגד הערב, נתונה זכות הטיעון לכל ערב בפני הרשם. ועל כן, יש להקפיד על כך שהערב יוזמן כדין לישיבה בה תידון הטענה שמוצו ההליכים נגד החייב. באין המצאה כדין לערב, ואם הדיון ייערך בהעדרו, תהיה ההחלטה פגומה ודינה להיבטל. הרשם מוסמך לבטל החלטה כזו, לפי הסמכות הרחבה שניתנה לו בתקנה 126א לתקנות, שעניינה תיקון כל פגם או טעות בכל הליך לפי החוק וכך </w:t>
      </w:r>
      <w:r w:rsidR="00AB400A">
        <w:rPr>
          <w:rFonts w:ascii="Arial" w:hAnsi="Arial" w:hint="cs"/>
          <w:b/>
          <w:bCs/>
          <w:noProof w:val="0"/>
          <w:rtl/>
        </w:rPr>
        <w:lastRenderedPageBreak/>
        <w:t>גם מתן הוראות בכל עניין אחר ככל שייראה לו צודק. סמכותו הכללית של הרשם נתונה לו לבטל כל החלטה שניתנה במעמד צד אחד, ומבלי שניתנה לצד השני אפשרות לטעון ולהגיב... פירוש הדבר הוא כי אם ניתנה החלטת הרשם מתוך זיקה לעמדת הצד השני, לא ניתן לבטל החלטה זו אלא באמצעות הליכי ערעור או ב</w:t>
      </w:r>
      <w:r w:rsidR="00E92760">
        <w:rPr>
          <w:rFonts w:ascii="Arial" w:hAnsi="Arial" w:hint="cs"/>
          <w:b/>
          <w:bCs/>
          <w:noProof w:val="0"/>
          <w:rtl/>
        </w:rPr>
        <w:t xml:space="preserve">קשה למתן רשות ערעור לפי העניין" </w:t>
      </w:r>
      <w:r w:rsidR="00AB400A">
        <w:rPr>
          <w:rFonts w:ascii="Arial" w:hAnsi="Arial" w:hint="cs"/>
          <w:noProof w:val="0"/>
          <w:rtl/>
        </w:rPr>
        <w:t>(שם, בעמ' 381-382).</w:t>
      </w:r>
    </w:p>
    <w:p w:rsidR="007105D2" w:rsidRDefault="007105D2" w:rsidP="00696EC3">
      <w:pPr>
        <w:pStyle w:val="ad"/>
        <w:spacing w:line="360" w:lineRule="auto"/>
        <w:jc w:val="both"/>
        <w:rPr>
          <w:rFonts w:ascii="Arial" w:hAnsi="Arial"/>
          <w:noProof w:val="0"/>
          <w:rtl/>
        </w:rPr>
      </w:pPr>
    </w:p>
    <w:p w:rsidR="009F13EE" w:rsidRPr="00996698" w:rsidRDefault="009F13EE" w:rsidP="00996698">
      <w:pPr>
        <w:pStyle w:val="ad"/>
        <w:spacing w:line="360" w:lineRule="auto"/>
        <w:jc w:val="both"/>
        <w:rPr>
          <w:rFonts w:ascii="Arial" w:hAnsi="Arial"/>
          <w:noProof w:val="0"/>
          <w:rtl/>
        </w:rPr>
      </w:pPr>
      <w:r>
        <w:rPr>
          <w:rFonts w:ascii="Arial" w:hAnsi="Arial" w:hint="cs"/>
          <w:noProof w:val="0"/>
          <w:rtl/>
        </w:rPr>
        <w:t xml:space="preserve">מן הכלל אל הפרט. </w:t>
      </w:r>
    </w:p>
    <w:p w:rsidR="00977B06" w:rsidRDefault="00977B06" w:rsidP="00977B06">
      <w:pPr>
        <w:pStyle w:val="ad"/>
        <w:spacing w:line="360" w:lineRule="auto"/>
        <w:jc w:val="both"/>
        <w:rPr>
          <w:rFonts w:ascii="Arial" w:hAnsi="Arial"/>
          <w:noProof w:val="0"/>
        </w:rPr>
      </w:pPr>
    </w:p>
    <w:p w:rsidR="00AB400A" w:rsidRPr="0048662D" w:rsidRDefault="00F75BD9" w:rsidP="008B7DEE">
      <w:pPr>
        <w:pStyle w:val="ad"/>
        <w:numPr>
          <w:ilvl w:val="0"/>
          <w:numId w:val="1"/>
        </w:numPr>
        <w:spacing w:line="360" w:lineRule="auto"/>
        <w:jc w:val="both"/>
        <w:rPr>
          <w:rFonts w:ascii="Arial" w:hAnsi="Arial"/>
          <w:noProof w:val="0"/>
          <w:rtl/>
        </w:rPr>
      </w:pPr>
      <w:r>
        <w:rPr>
          <w:rFonts w:ascii="Arial" w:hAnsi="Arial" w:hint="cs"/>
          <w:noProof w:val="0"/>
          <w:rtl/>
        </w:rPr>
        <w:t xml:space="preserve">מהמצוטט לעיל עולה כי </w:t>
      </w:r>
      <w:r w:rsidR="00E92760">
        <w:rPr>
          <w:rFonts w:ascii="Arial" w:hAnsi="Arial" w:hint="cs"/>
          <w:noProof w:val="0"/>
          <w:rtl/>
        </w:rPr>
        <w:t>טענ</w:t>
      </w:r>
      <w:r w:rsidR="009F13EE">
        <w:rPr>
          <w:rFonts w:ascii="Arial" w:hAnsi="Arial" w:hint="cs"/>
          <w:noProof w:val="0"/>
          <w:rtl/>
        </w:rPr>
        <w:t xml:space="preserve">ת התובע כאילו פסק הדין </w:t>
      </w:r>
      <w:r w:rsidR="00E92760">
        <w:rPr>
          <w:rFonts w:ascii="Arial" w:hAnsi="Arial" w:hint="cs"/>
          <w:noProof w:val="0"/>
          <w:rtl/>
        </w:rPr>
        <w:t>נגוע בתרמית והטעיה</w:t>
      </w:r>
      <w:r w:rsidR="006E27DA">
        <w:rPr>
          <w:rFonts w:ascii="Arial" w:hAnsi="Arial" w:hint="cs"/>
          <w:noProof w:val="0"/>
          <w:rtl/>
        </w:rPr>
        <w:t>, אם מא</w:t>
      </w:r>
      <w:r w:rsidR="00E92760">
        <w:rPr>
          <w:rFonts w:ascii="Arial" w:hAnsi="Arial" w:hint="cs"/>
          <w:noProof w:val="0"/>
          <w:rtl/>
        </w:rPr>
        <w:t>חר ו</w:t>
      </w:r>
      <w:r>
        <w:rPr>
          <w:rFonts w:ascii="Arial" w:hAnsi="Arial" w:hint="cs"/>
          <w:noProof w:val="0"/>
          <w:rtl/>
        </w:rPr>
        <w:t>הח</w:t>
      </w:r>
      <w:r w:rsidR="00E92760">
        <w:rPr>
          <w:rFonts w:ascii="Arial" w:hAnsi="Arial" w:hint="cs"/>
          <w:noProof w:val="0"/>
          <w:rtl/>
        </w:rPr>
        <w:t>לט</w:t>
      </w:r>
      <w:r>
        <w:rPr>
          <w:rFonts w:ascii="Arial" w:hAnsi="Arial" w:hint="cs"/>
          <w:noProof w:val="0"/>
          <w:rtl/>
        </w:rPr>
        <w:t xml:space="preserve">ת </w:t>
      </w:r>
      <w:r w:rsidR="00E92760">
        <w:rPr>
          <w:rFonts w:ascii="Arial" w:hAnsi="Arial" w:hint="cs"/>
          <w:noProof w:val="0"/>
          <w:rtl/>
        </w:rPr>
        <w:t>מיצוי ההליכים ניתנה על ידי רש</w:t>
      </w:r>
      <w:r w:rsidR="001E5259">
        <w:rPr>
          <w:rFonts w:ascii="Arial" w:hAnsi="Arial" w:hint="cs"/>
          <w:noProof w:val="0"/>
          <w:rtl/>
        </w:rPr>
        <w:t>ם</w:t>
      </w:r>
      <w:r w:rsidR="00E92760">
        <w:rPr>
          <w:rFonts w:ascii="Arial" w:hAnsi="Arial" w:hint="cs"/>
          <w:noProof w:val="0"/>
          <w:rtl/>
        </w:rPr>
        <w:t xml:space="preserve"> ההוצאה לפועל מבלי ש</w:t>
      </w:r>
      <w:r w:rsidR="00365459">
        <w:rPr>
          <w:rFonts w:ascii="Arial" w:hAnsi="Arial" w:hint="cs"/>
          <w:noProof w:val="0"/>
          <w:rtl/>
        </w:rPr>
        <w:t>הוזמן כדין להעלות טענותיו בנדון ו</w:t>
      </w:r>
      <w:r w:rsidR="006E27DA">
        <w:rPr>
          <w:rFonts w:ascii="Arial" w:hAnsi="Arial" w:hint="cs"/>
          <w:noProof w:val="0"/>
          <w:rtl/>
        </w:rPr>
        <w:t xml:space="preserve">אם לאור </w:t>
      </w:r>
      <w:r w:rsidR="00365459">
        <w:rPr>
          <w:rFonts w:ascii="Arial" w:hAnsi="Arial" w:hint="cs"/>
          <w:noProof w:val="0"/>
          <w:rtl/>
        </w:rPr>
        <w:t xml:space="preserve">טענת הנתבע </w:t>
      </w:r>
      <w:r w:rsidR="006E27DA">
        <w:rPr>
          <w:rFonts w:ascii="Arial" w:hAnsi="Arial" w:hint="cs"/>
          <w:noProof w:val="0"/>
          <w:rtl/>
        </w:rPr>
        <w:t xml:space="preserve">כאילו לא ניתן </w:t>
      </w:r>
      <w:r w:rsidR="00365459">
        <w:rPr>
          <w:rFonts w:ascii="Arial" w:hAnsi="Arial" w:hint="cs"/>
          <w:noProof w:val="0"/>
          <w:rtl/>
        </w:rPr>
        <w:t xml:space="preserve">לממש נכס של החייבים, כל אלה </w:t>
      </w:r>
      <w:r w:rsidR="001E5259">
        <w:rPr>
          <w:rFonts w:ascii="Arial" w:hAnsi="Arial" w:hint="cs"/>
          <w:noProof w:val="0"/>
          <w:rtl/>
        </w:rPr>
        <w:t xml:space="preserve">יש לברר במסגרת פנייה </w:t>
      </w:r>
      <w:r w:rsidR="009F13EE">
        <w:rPr>
          <w:rFonts w:ascii="Arial" w:hAnsi="Arial" w:hint="cs"/>
          <w:noProof w:val="0"/>
          <w:rtl/>
        </w:rPr>
        <w:t xml:space="preserve">לרשם ההוצאה לפועל </w:t>
      </w:r>
      <w:r w:rsidR="001E5259">
        <w:rPr>
          <w:rFonts w:ascii="Arial" w:hAnsi="Arial" w:hint="cs"/>
          <w:noProof w:val="0"/>
          <w:rtl/>
        </w:rPr>
        <w:t xml:space="preserve">ולא </w:t>
      </w:r>
      <w:r w:rsidR="009F13EE">
        <w:rPr>
          <w:rFonts w:ascii="Arial" w:hAnsi="Arial" w:hint="cs"/>
          <w:noProof w:val="0"/>
          <w:rtl/>
        </w:rPr>
        <w:t>ב</w:t>
      </w:r>
      <w:r w:rsidR="007350A6">
        <w:rPr>
          <w:rFonts w:ascii="Arial" w:hAnsi="Arial" w:hint="cs"/>
          <w:noProof w:val="0"/>
          <w:rtl/>
        </w:rPr>
        <w:t xml:space="preserve">תביעה למתן </w:t>
      </w:r>
      <w:r w:rsidR="008B7DEE">
        <w:rPr>
          <w:rFonts w:ascii="Arial" w:hAnsi="Arial" w:hint="cs"/>
          <w:noProof w:val="0"/>
          <w:rtl/>
        </w:rPr>
        <w:t>סעד</w:t>
      </w:r>
      <w:r w:rsidR="007350A6">
        <w:rPr>
          <w:rFonts w:ascii="Arial" w:hAnsi="Arial" w:hint="cs"/>
          <w:noProof w:val="0"/>
          <w:rtl/>
        </w:rPr>
        <w:t xml:space="preserve"> הצהרתי בדבר ביטול פסק הדין, כפי שנעשה בפועל</w:t>
      </w:r>
      <w:r w:rsidR="009F13EE">
        <w:rPr>
          <w:rFonts w:ascii="Arial" w:hAnsi="Arial" w:hint="cs"/>
          <w:noProof w:val="0"/>
          <w:rtl/>
        </w:rPr>
        <w:t xml:space="preserve">. </w:t>
      </w:r>
      <w:r w:rsidR="00365459">
        <w:rPr>
          <w:rFonts w:ascii="Arial" w:hAnsi="Arial" w:hint="cs"/>
          <w:noProof w:val="0"/>
          <w:rtl/>
        </w:rPr>
        <w:t>ודוק, בהתאם לס''ק 80(ב) לחוק ההוצאה לפועל, ערעור על החלטת רשם ההוצאה לפועל בבקשה כאמור תהיה ברשות לבית משפט השלום. מאידך, ערעור על פס</w:t>
      </w:r>
      <w:r>
        <w:rPr>
          <w:rFonts w:ascii="Arial" w:hAnsi="Arial" w:hint="cs"/>
          <w:noProof w:val="0"/>
          <w:rtl/>
        </w:rPr>
        <w:t xml:space="preserve">ק הדין שיינתן בתביעה דנן, ככל והיא תמשיך להתברר, יהיה בזכות בפני בית משפט המחוזי. יוצא אפוא כי תביעה דנן משבשת גם כן את </w:t>
      </w:r>
      <w:r w:rsidR="008B7DEE">
        <w:rPr>
          <w:rFonts w:ascii="Arial" w:hAnsi="Arial" w:hint="cs"/>
          <w:noProof w:val="0"/>
          <w:rtl/>
        </w:rPr>
        <w:t>הסדר הנכון ב</w:t>
      </w:r>
      <w:r>
        <w:rPr>
          <w:rFonts w:ascii="Arial" w:hAnsi="Arial" w:hint="cs"/>
          <w:noProof w:val="0"/>
          <w:rtl/>
        </w:rPr>
        <w:t xml:space="preserve">הליכי הערעור, היא היא התוצאה ממנה ביקש בית המשפט להימנע במסגרת פס''ד פבזנר </w:t>
      </w:r>
      <w:r w:rsidR="008B7DEE">
        <w:rPr>
          <w:rFonts w:ascii="Arial" w:hAnsi="Arial" w:hint="cs"/>
          <w:noProof w:val="0"/>
          <w:rtl/>
        </w:rPr>
        <w:t xml:space="preserve">כמצוטט </w:t>
      </w:r>
      <w:r>
        <w:rPr>
          <w:rFonts w:ascii="Arial" w:hAnsi="Arial" w:hint="cs"/>
          <w:noProof w:val="0"/>
          <w:rtl/>
        </w:rPr>
        <w:t xml:space="preserve">לעיל. </w:t>
      </w:r>
      <w:r w:rsidR="009F13EE">
        <w:rPr>
          <w:rFonts w:ascii="Arial" w:hAnsi="Arial" w:hint="cs"/>
          <w:noProof w:val="0"/>
          <w:rtl/>
        </w:rPr>
        <w:t xml:space="preserve"> </w:t>
      </w:r>
    </w:p>
    <w:p w:rsidR="00AB400A" w:rsidRPr="00324460" w:rsidRDefault="00AB400A" w:rsidP="00324460">
      <w:pPr>
        <w:spacing w:line="360" w:lineRule="auto"/>
        <w:ind w:left="360"/>
        <w:jc w:val="both"/>
        <w:rPr>
          <w:rFonts w:ascii="Arial" w:hAnsi="Arial"/>
          <w:noProof w:val="0"/>
        </w:rPr>
      </w:pPr>
    </w:p>
    <w:p w:rsidR="008C0370" w:rsidRDefault="008C0370" w:rsidP="00324460">
      <w:pPr>
        <w:pStyle w:val="ad"/>
        <w:numPr>
          <w:ilvl w:val="0"/>
          <w:numId w:val="1"/>
        </w:numPr>
        <w:spacing w:line="360" w:lineRule="auto"/>
        <w:jc w:val="both"/>
        <w:rPr>
          <w:rFonts w:ascii="Arial" w:hAnsi="Arial"/>
          <w:noProof w:val="0"/>
        </w:rPr>
      </w:pPr>
      <w:r w:rsidRPr="00324460">
        <w:rPr>
          <w:rFonts w:ascii="Arial" w:hAnsi="Arial" w:hint="cs"/>
          <w:noProof w:val="0"/>
          <w:rtl/>
        </w:rPr>
        <w:t>לאור האמור לעיל, אני מקבל את הבקשה</w:t>
      </w:r>
      <w:r w:rsidR="0048662D">
        <w:rPr>
          <w:rFonts w:ascii="Arial" w:hAnsi="Arial" w:hint="cs"/>
          <w:noProof w:val="0"/>
          <w:rtl/>
        </w:rPr>
        <w:t xml:space="preserve"> ובהתאם </w:t>
      </w:r>
      <w:r w:rsidR="008B7DEE">
        <w:rPr>
          <w:rFonts w:ascii="Arial" w:hAnsi="Arial" w:hint="cs"/>
          <w:noProof w:val="0"/>
          <w:rtl/>
        </w:rPr>
        <w:t xml:space="preserve">לכך </w:t>
      </w:r>
      <w:r w:rsidR="0048662D">
        <w:rPr>
          <w:rFonts w:ascii="Arial" w:hAnsi="Arial" w:hint="cs"/>
          <w:noProof w:val="0"/>
          <w:rtl/>
        </w:rPr>
        <w:t>אני מורה על סילוק התביעה</w:t>
      </w:r>
      <w:r w:rsidRPr="00324460">
        <w:rPr>
          <w:rFonts w:ascii="Arial" w:hAnsi="Arial" w:hint="cs"/>
          <w:noProof w:val="0"/>
          <w:rtl/>
        </w:rPr>
        <w:t>.</w:t>
      </w:r>
    </w:p>
    <w:p w:rsidR="00324460" w:rsidRDefault="00324460" w:rsidP="00324460">
      <w:pPr>
        <w:pStyle w:val="ad"/>
        <w:spacing w:line="360" w:lineRule="auto"/>
        <w:jc w:val="both"/>
        <w:rPr>
          <w:rFonts w:ascii="Arial" w:hAnsi="Arial"/>
          <w:noProof w:val="0"/>
        </w:rPr>
      </w:pPr>
    </w:p>
    <w:p w:rsidR="00B505A6" w:rsidRPr="00324460" w:rsidRDefault="008C0370" w:rsidP="0048662D">
      <w:pPr>
        <w:pStyle w:val="ad"/>
        <w:numPr>
          <w:ilvl w:val="0"/>
          <w:numId w:val="1"/>
        </w:numPr>
        <w:spacing w:line="360" w:lineRule="auto"/>
        <w:jc w:val="both"/>
        <w:rPr>
          <w:rFonts w:ascii="Arial" w:hAnsi="Arial"/>
          <w:noProof w:val="0"/>
        </w:rPr>
      </w:pPr>
      <w:r w:rsidRPr="00324460">
        <w:rPr>
          <w:rFonts w:ascii="Arial" w:hAnsi="Arial" w:hint="cs"/>
          <w:noProof w:val="0"/>
          <w:rtl/>
        </w:rPr>
        <w:t xml:space="preserve">התובע ישלם לנתבע, באמצעות בא כוחו, הוצאות </w:t>
      </w:r>
      <w:r w:rsidR="0048662D">
        <w:rPr>
          <w:rFonts w:ascii="Arial" w:hAnsi="Arial" w:hint="cs"/>
          <w:noProof w:val="0"/>
          <w:rtl/>
        </w:rPr>
        <w:t>משפט</w:t>
      </w:r>
      <w:r w:rsidRPr="00324460">
        <w:rPr>
          <w:rFonts w:ascii="Arial" w:hAnsi="Arial" w:hint="cs"/>
          <w:noProof w:val="0"/>
          <w:rtl/>
        </w:rPr>
        <w:t xml:space="preserve"> בסך של </w:t>
      </w:r>
      <w:r w:rsidR="0048662D">
        <w:rPr>
          <w:rFonts w:ascii="Arial" w:hAnsi="Arial" w:hint="cs"/>
          <w:noProof w:val="0"/>
          <w:rtl/>
        </w:rPr>
        <w:t xml:space="preserve">3,000 </w:t>
      </w:r>
      <w:r w:rsidRPr="00324460">
        <w:rPr>
          <w:rFonts w:ascii="Arial" w:hAnsi="Arial" w:hint="cs"/>
          <w:noProof w:val="0"/>
          <w:rtl/>
        </w:rPr>
        <w:t xml:space="preserve">₪ </w:t>
      </w:r>
      <w:r w:rsidR="0048662D">
        <w:rPr>
          <w:rFonts w:ascii="Arial" w:hAnsi="Arial" w:hint="cs"/>
          <w:noProof w:val="0"/>
          <w:rtl/>
        </w:rPr>
        <w:t xml:space="preserve">וזאת </w:t>
      </w:r>
      <w:r w:rsidRPr="00324460">
        <w:rPr>
          <w:rFonts w:ascii="Arial" w:hAnsi="Arial" w:hint="cs"/>
          <w:noProof w:val="0"/>
          <w:rtl/>
        </w:rPr>
        <w:t xml:space="preserve">עד ליום </w:t>
      </w:r>
      <w:r w:rsidR="0048662D">
        <w:rPr>
          <w:rFonts w:ascii="Arial" w:hAnsi="Arial" w:hint="cs"/>
          <w:noProof w:val="0"/>
          <w:rtl/>
        </w:rPr>
        <w:t>18.02.2024</w:t>
      </w:r>
      <w:r w:rsidRPr="00324460">
        <w:rPr>
          <w:rFonts w:ascii="Arial" w:hAnsi="Arial" w:hint="cs"/>
          <w:noProof w:val="0"/>
          <w:rtl/>
        </w:rPr>
        <w:t xml:space="preserve">, שאם לא כן הסכום יישא הפרשי הצמדה וריבית כחוק מהיום ועד התשלום המלא בפועל. </w:t>
      </w:r>
      <w:r w:rsidR="00DD71D4" w:rsidRPr="00324460">
        <w:rPr>
          <w:rFonts w:ascii="Arial" w:hAnsi="Arial" w:hint="cs"/>
          <w:noProof w:val="0"/>
          <w:rtl/>
        </w:rPr>
        <w:t xml:space="preserve"> </w:t>
      </w:r>
    </w:p>
    <w:p w:rsidR="00B505A6" w:rsidRPr="00B505A6" w:rsidRDefault="00B505A6" w:rsidP="00B505A6">
      <w:pPr>
        <w:spacing w:line="360" w:lineRule="auto"/>
        <w:jc w:val="both"/>
        <w:rPr>
          <w:rFonts w:ascii="Arial" w:hAnsi="Arial"/>
          <w:noProof w:val="0"/>
        </w:rPr>
      </w:pPr>
    </w:p>
    <w:p w:rsidR="00694556" w:rsidRDefault="00005C8B">
      <w:pPr>
        <w:spacing w:line="360" w:lineRule="auto"/>
        <w:jc w:val="both"/>
        <w:rPr>
          <w:rFonts w:ascii="Arial" w:hAnsi="Arial"/>
          <w:noProof w:val="0"/>
          <w:rtl/>
        </w:rPr>
      </w:pPr>
      <w:r>
        <w:rPr>
          <w:rFonts w:ascii="Arial" w:hAnsi="Arial"/>
          <w:noProof w:val="0"/>
          <w:rtl/>
        </w:rPr>
        <w:lastRenderedPageBreak/>
        <w:t xml:space="preserve">ניתן היום,  </w:t>
      </w:r>
      <w:sdt>
        <w:sdtPr>
          <w:rPr>
            <w:rtl/>
          </w:rPr>
          <w:alias w:val="1455"/>
          <w:tag w:val="1455"/>
          <w:id w:val="242217728"/>
          <w:text w:multiLine="1"/>
        </w:sdtPr>
        <w:sdtEndPr/>
        <w:sdtContent>
          <w:r>
            <w:rPr>
              <w:rFonts w:ascii="Arial" w:hAnsi="Arial"/>
              <w:noProof w:val="0"/>
              <w:rtl/>
            </w:rPr>
            <w:t>ז' שבט תשפ"ד</w:t>
          </w:r>
        </w:sdtContent>
      </w:sdt>
      <w:r>
        <w:rPr>
          <w:rFonts w:ascii="Arial" w:hAnsi="Arial"/>
          <w:noProof w:val="0"/>
          <w:rtl/>
        </w:rPr>
        <w:t xml:space="preserve">, </w:t>
      </w:r>
      <w:sdt>
        <w:sdtPr>
          <w:rPr>
            <w:rtl/>
          </w:rPr>
          <w:alias w:val="1456"/>
          <w:tag w:val="1456"/>
          <w:id w:val="-1101635932"/>
          <w:text w:multiLine="1"/>
        </w:sdtPr>
        <w:sdtEndPr/>
        <w:sdtContent>
          <w:r>
            <w:rPr>
              <w:rFonts w:ascii="Arial" w:hAnsi="Arial"/>
              <w:noProof w:val="0"/>
              <w:rtl/>
            </w:rPr>
            <w:t>17 ינואר 2024</w:t>
          </w:r>
        </w:sdtContent>
      </w:sdt>
      <w:r>
        <w:rPr>
          <w:rFonts w:ascii="Arial" w:hAnsi="Arial"/>
          <w:noProof w:val="0"/>
          <w:rtl/>
        </w:rPr>
        <w:t>, בהעדר הצדדים.</w:t>
      </w:r>
    </w:p>
    <w:p w:rsidR="008B7DEE" w:rsidRDefault="008B7DEE">
      <w:pPr>
        <w:spacing w:line="360" w:lineRule="auto"/>
        <w:jc w:val="both"/>
        <w:rPr>
          <w:rFonts w:ascii="Arial" w:hAnsi="Arial"/>
          <w:noProof w:val="0"/>
          <w:rtl/>
        </w:rPr>
      </w:pPr>
    </w:p>
    <w:p w:rsidR="005B0F49" w:rsidRDefault="005B0F49" w:rsidP="007A35AA">
      <w:pPr>
        <w:spacing w:line="360" w:lineRule="auto"/>
        <w:jc w:val="both"/>
        <w:rPr>
          <w:rFonts w:ascii="Arial" w:hAnsi="Arial"/>
          <w:noProof w:val="0"/>
          <w:rtl/>
        </w:rPr>
      </w:pPr>
      <w:r>
        <w:rPr>
          <w:rFonts w:ascii="Arial" w:hAnsi="Arial" w:hint="cs"/>
          <w:noProof w:val="0"/>
          <w:rtl/>
        </w:rPr>
        <w:tab/>
      </w:r>
      <w:r>
        <w:rPr>
          <w:rFonts w:ascii="Arial" w:hAnsi="Arial" w:hint="cs"/>
          <w:noProof w:val="0"/>
          <w:rtl/>
        </w:rPr>
        <w:tab/>
      </w:r>
      <w:r>
        <w:rPr>
          <w:rFonts w:ascii="Arial" w:hAnsi="Arial" w:hint="cs"/>
          <w:noProof w:val="0"/>
          <w:rtl/>
        </w:rPr>
        <w:tab/>
      </w:r>
      <w:r>
        <w:rPr>
          <w:rFonts w:ascii="Arial" w:hAnsi="Arial" w:hint="cs"/>
          <w:noProof w:val="0"/>
          <w:rtl/>
        </w:rPr>
        <w:tab/>
      </w:r>
      <w:r>
        <w:rPr>
          <w:rFonts w:ascii="Arial" w:hAnsi="Arial" w:hint="cs"/>
          <w:noProof w:val="0"/>
          <w:rtl/>
        </w:rPr>
        <w:tab/>
      </w:r>
      <w:r>
        <w:rPr>
          <w:rFonts w:ascii="Arial" w:hAnsi="Arial" w:hint="cs"/>
          <w:noProof w:val="0"/>
          <w:rtl/>
        </w:rPr>
        <w:tab/>
      </w:r>
      <w:r>
        <w:rPr>
          <w:rFonts w:ascii="Arial" w:hAnsi="Arial" w:hint="cs"/>
          <w:noProof w:val="0"/>
          <w:rtl/>
        </w:rPr>
        <w:tab/>
      </w:r>
    </w:p>
    <w:p w:rsidR="00694556" w:rsidRDefault="00114735" w:rsidP="00B368FE">
      <w:pPr>
        <w:spacing w:line="360" w:lineRule="auto"/>
        <w:ind w:left="3600" w:firstLine="720"/>
        <w:jc w:val="center"/>
      </w:pPr>
      <w:sdt>
        <w:sdtPr>
          <w:rPr>
            <w:rtl/>
          </w:rPr>
          <w:alias w:val="MergeField"/>
          <w:tag w:val="1237"/>
          <w:id w:val="1118562169"/>
        </w:sdtPr>
        <w:sdtEndPr/>
        <w:sdtContent>
          <w:r w:rsidR="00CE32EB">
            <w:drawing>
              <wp:inline distT="0" distB="0" distL="0" distR="0" wp14:editId="50D07946">
                <wp:extent cx="1733550" cy="6096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237.jpg"/>
                        <pic:cNvPicPr/>
                      </pic:nvPicPr>
                      <pic:blipFill>
                        <a:blip r:embed="rId19" cstate="print">
                          <a:extLst/>
                        </a:blip>
                        <a:stretch>
                          <a:fillRect/>
                        </a:stretch>
                      </pic:blipFill>
                      <pic:spPr>
                        <a:xfrm>
                          <a:off x="0" y="0"/>
                          <a:ext cx="1733550" cy="609600"/>
                        </a:xfrm>
                        <a:prstGeom prst="rect">
                          <a:avLst/>
                        </a:prstGeom>
                      </pic:spPr>
                    </pic:pic>
                  </a:graphicData>
                </a:graphic>
              </wp:inline>
            </w:drawing>
          </w:r>
        </w:sdtContent>
      </w:sdt>
    </w:p>
    <w:p w:rsidR="00694556" w:rsidRDefault="00694556" w:rsidP="00B368FE">
      <w:pPr>
        <w:spacing w:line="360" w:lineRule="auto"/>
        <w:ind w:left="3600" w:firstLine="720"/>
        <w:jc w:val="center"/>
        <w:rPr>
          <w:rFonts w:ascii="Arial" w:hAnsi="Arial"/>
          <w:noProof w:val="0"/>
          <w:rtl/>
        </w:rPr>
      </w:pPr>
    </w:p>
    <w:p w:rsidR="00694556" w:rsidRDefault="00694556">
      <w:pPr>
        <w:spacing w:line="360" w:lineRule="auto"/>
        <w:jc w:val="both"/>
        <w:rPr>
          <w:rFonts w:ascii="Arial" w:hAnsi="Arial"/>
          <w:noProof w:val="0"/>
          <w:rtl/>
        </w:rPr>
      </w:pPr>
    </w:p>
    <w:p w:rsidR="00694556" w:rsidRPr="00980D74" w:rsidRDefault="00694556">
      <w:pPr>
        <w:spacing w:line="360" w:lineRule="auto"/>
        <w:jc w:val="both"/>
        <w:rPr>
          <w:rFonts w:ascii="Arial" w:hAnsi="Arial"/>
          <w:noProof w:val="0"/>
          <w:rtl/>
        </w:rPr>
      </w:pPr>
    </w:p>
    <w:sectPr w:rsidR="00694556" w:rsidRPr="00980D74" w:rsidSect="00903896">
      <w:headerReference w:type="default" r:id="rId20"/>
      <w:footerReference w:type="default" r:id="rId21"/>
      <w:pgSz w:w="11907" w:h="16840" w:code="9"/>
      <w:pgMar w:top="720" w:right="1701" w:bottom="1134" w:left="1701" w:header="720" w:footer="737" w:gutter="0"/>
      <w:lnNumType w:countBy="1"/>
      <w:cols w:space="720"/>
      <w:rtlGutter/>
      <w:docGrid w:linePitch="360"/>
    </w:sectPr>
  </w:body>
</w:document>
</file>

<file path=word/customizations.xml><?xml version="1.0" encoding="utf-8"?>
<wne:tcg xmlns:r="http://schemas.openxmlformats.org/officeDocument/2006/relationships" xmlns:wne="http://schemas.microsoft.com/office/word/2006/wordml">
  <wne:keymaps>
    <wne:keymap wne:kcmPrimary="0072">
      <wne:macro wne:macroName="PROJECT.MODULE1.CONTROLWDKEYF3A"/>
    </wne:keymap>
    <wne:keymap wne:kcmPrimary="0073">
      <wne:macro wne:macroName="PROJECT.MODULE1.CONTROLWDKEYF4A"/>
    </wne:keymap>
    <wne:keymap wne:kcmPrimary="0431">
      <wne:macro wne:macroName="PROJECT.MODULE1.CONTROLWDKEY1"/>
    </wne:keymap>
    <wne:keymap wne:kcmPrimary="0432">
      <wne:macro wne:macroName="PROJECT.MODULE1.CONTROLWDKEY2"/>
    </wne:keymap>
    <wne:keymap wne:kcmPrimary="0433">
      <wne:macro wne:macroName="PROJECT.MODULE1.CONTROLWDKEY3"/>
    </wne:keymap>
    <wne:keymap wne:kcmPrimary="0434">
      <wne:macro wne:macroName="PROJECT.MODULE1.CONTROLWDKEY4"/>
    </wne:keymap>
    <wne:keymap wne:kcmPrimary="0435">
      <wne:macro wne:macroName="PROJECT.MODULE1.CONTROLWDKEY5"/>
    </wne:keymap>
    <wne:keymap wne:kcmPrimary="0436">
      <wne:macro wne:macroName="PROJECT.MODULE1.CONTROLWDKEY6"/>
    </wne:keymap>
    <wne:keymap wne:kcmPrimary="0437">
      <wne:macro wne:macroName="PROJECT.MODULE1.CONTROLWDKEY7"/>
    </wne:keymap>
    <wne:keymap wne:kcmPrimary="0441">
      <wne:macro wne:macroName="PROJECT.MODULE1.CONTROLWDKEYA"/>
    </wne:keymap>
    <wne:keymap wne:kcmPrimary="0442">
      <wne:macro wne:macroName="PROJECT.MODULE1.CONTROLWDKEYB"/>
    </wne:keymap>
    <wne:keymap wne:kcmPrimary="0443">
      <wne:macro wne:macroName="PROJECT.MODULE1.CONTROLWDKEYC"/>
    </wne:keymap>
    <wne:keymap wne:kcmPrimary="0444">
      <wne:macro wne:macroName="PROJECT.MODULE1.CONTROLWDKEYD"/>
    </wne:keymap>
    <wne:keymap wne:kcmPrimary="0445">
      <wne:macro wne:macroName="PROJECT.MODULE1.CONTROLWDKEYE"/>
    </wne:keymap>
    <wne:keymap wne:kcmPrimary="0446">
      <wne:macro wne:macroName="PROJECT.MODULE1.CONTROLWDKEYF"/>
    </wne:keymap>
    <wne:keymap wne:kcmPrimary="0447">
      <wne:macro wne:macroName="PROJECT.MODULE1.CONTROLWDKEYG"/>
    </wne:keymap>
    <wne:keymap wne:kcmPrimary="0448">
      <wne:macro wne:macroName="PROJECT.MODULE1.CONTROLWDKEYH"/>
    </wne:keymap>
    <wne:keymap wne:kcmPrimary="044A">
      <wne:macro wne:macroName="PROJECT.MODULE1.CONTROLWDKEYJ"/>
    </wne:keymap>
    <wne:keymap wne:kcmPrimary="044B">
      <wne:macro wne:macroName="PROJECT.MODULE1.CONTROLWDKEYK"/>
    </wne:keymap>
    <wne:keymap wne:kcmPrimary="044C">
      <wne:macro wne:macroName="PROJECT.MODULE1.CONTROLWDKEYL"/>
    </wne:keymap>
    <wne:keymap wne:kcmPrimary="044D">
      <wne:macro wne:macroName="PROJECT.MODULE1.CONTROLWDKEYM"/>
    </wne:keymap>
    <wne:keymap wne:kcmPrimary="044E">
      <wne:macro wne:macroName="PROJECT.MODULE1.CONTROLWDKEYN"/>
    </wne:keymap>
    <wne:keymap wne:kcmPrimary="0450">
      <wne:macro wne:macroName="PROJECT.MODULE1.CONTROLWDKEYP"/>
    </wne:keymap>
    <wne:keymap wne:kcmPrimary="0451">
      <wne:macro wne:macroName="PROJECT.MODULE1.CONTROLWDKEYQ"/>
    </wne:keymap>
    <wne:keymap wne:kcmPrimary="0452">
      <wne:macro wne:macroName="PROJECT.MODULE1.CONTROLWDKEYR"/>
    </wne:keymap>
    <wne:keymap wne:kcmPrimary="0453">
      <wne:macro wne:macroName="PROJECT.MODULE1.CONTROLWDKEYS"/>
    </wne:keymap>
    <wne:keymap wne:kcmPrimary="0454">
      <wne:macro wne:macroName="PROJECT.MODULE1.CONTROLWDKEYT"/>
    </wne:keymap>
    <wne:keymap wne:kcmPrimary="0455">
      <wne:macro wne:macroName="PROJECT.MODULE1.CONTROLWDKEYU"/>
    </wne:keymap>
    <wne:keymap wne:kcmPrimary="0456">
      <wne:macro wne:macroName="PROJECT.MODULE1.CONTROLWDKEYV"/>
    </wne:keymap>
    <wne:keymap wne:kcmPrimary="0457">
      <wne:macro wne:macroName="PROJECT.MODULE1.CONTROLWDKEYW"/>
    </wne:keymap>
    <wne:keymap wne:kcmPrimary="0458">
      <wne:macro wne:macroName="PROJECT.MODULE1.CONTROLWDKEYX"/>
    </wne:keymap>
    <wne:keymap wne:kcmPrimary="0459">
      <wne:macro wne:macroName="PROJECT.MODULE1.CONTROLWDKEYY"/>
    </wne:keymap>
    <wne:keymap wne:kcmPrimary="045A">
      <wne:macro wne:macroName="PROJECT.MODULE1.CONTROLWDKEYZ"/>
    </wne:keymap>
    <wne:keymap wne:kcmPrimary="0470">
      <wne:macro wne:macroName="PROJECT.MODULE1.CONTROLWDKEYF1"/>
    </wne:keymap>
    <wne:keymap wne:kcmPrimary="0471">
      <wne:macro wne:macroName="PROJECT.MODULE1.CONTROLWDKEYF2"/>
    </wne:keymap>
    <wne:keymap wne:kcmPrimary="0474">
      <wne:macro wne:macroName="PROJECT.MODULE1.CONTROLWDKEYF5"/>
    </wne:keymap>
    <wne:keymap wne:kcmPrimary="0475">
      <wne:macro wne:macroName="PROJECT.MODULE1.CONTROLWDKEYF6"/>
    </wne:keymap>
    <wne:keymap wne:kcmPrimary="0476">
      <wne:macro wne:macroName="PROJECT.MODULE1.CONTROLWDKEYF7"/>
    </wne:keymap>
    <wne:keymap wne:kcmPrimary="0478">
      <wne:macro wne:macroName="PROJECT.MODULE1.CONTROLWDKEYF9"/>
    </wne:keymap>
  </wne:keymaps>
  <wne:toolbars>
    <wne:toolbarData r:id="rId1"/>
  </wne:toolbars>
</wne:tcg>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14735" w:rsidRDefault="00114735">
      <w:r>
        <w:separator/>
      </w:r>
    </w:p>
  </w:endnote>
  <w:endnote w:type="continuationSeparator" w:id="0">
    <w:p w:rsidR="00114735" w:rsidRDefault="0011473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David">
    <w:panose1 w:val="020E0502060401010101"/>
    <w:charset w:val="00"/>
    <w:family w:val="swiss"/>
    <w:pitch w:val="variable"/>
    <w:sig w:usb0="00000803" w:usb1="00000000" w:usb2="00000000" w:usb3="00000000" w:csb0="00000021" w:csb1="00000000"/>
  </w:font>
  <w:font w:name="Arial">
    <w:panose1 w:val="020B0604020202020204"/>
    <w:charset w:val="00"/>
    <w:family w:val="swiss"/>
    <w:pitch w:val="variable"/>
    <w:sig w:usb0="E0002EFF" w:usb1="C000785B" w:usb2="00000009" w:usb3="00000000" w:csb0="000001FF" w:csb1="00000000"/>
  </w:font>
  <w:font w:name="Narkisim">
    <w:panose1 w:val="020E0502050101010101"/>
    <w:charset w:val="00"/>
    <w:family w:val="swiss"/>
    <w:pitch w:val="variable"/>
    <w:sig w:usb0="00000803" w:usb1="00000000" w:usb2="00000000" w:usb3="00000000" w:csb0="00000021" w:csb1="00000000"/>
  </w:font>
  <w:font w:name="Tahoma">
    <w:panose1 w:val="020B0604030504040204"/>
    <w:charset w:val="00"/>
    <w:family w:val="swiss"/>
    <w:pitch w:val="variable"/>
    <w:sig w:usb0="E1002EFF" w:usb1="C000605B" w:usb2="00000029" w:usb3="00000000" w:csb0="000101FF" w:csb1="00000000"/>
  </w:font>
  <w:font w:name="Arial TUR">
    <w:altName w:val="Arial"/>
    <w:charset w:val="00"/>
    <w:family w:val="swiss"/>
    <w:pitch w:val="variable"/>
    <w:sig w:usb0="00000000" w:usb1="C000785B" w:usb2="00000009" w:usb3="00000000" w:csb0="000001FF" w:csb1="00000000"/>
  </w:font>
  <w:font w:name="FrankRuehl">
    <w:panose1 w:val="020E0503060101010101"/>
    <w:charset w:val="00"/>
    <w:family w:val="swiss"/>
    <w:pitch w:val="variable"/>
    <w:sig w:usb0="00000803" w:usb1="00000000" w:usb2="00000000" w:usb3="00000000" w:csb0="00000021"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Arial (W1)">
    <w:altName w:val="Arial"/>
    <w:panose1 w:val="00000000000000000000"/>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94556" w:rsidRPr="004E6E3C" w:rsidRDefault="002352F7">
    <w:pPr>
      <w:pStyle w:val="a4"/>
      <w:jc w:val="center"/>
      <w:rPr>
        <w:rStyle w:val="ab"/>
      </w:rPr>
    </w:pPr>
    <w:r w:rsidRPr="004E6E3C">
      <w:rPr>
        <w:rStyle w:val="ab"/>
        <w:rFonts w:cs="Times New Roman"/>
      </w:rPr>
      <w:fldChar w:fldCharType="begin"/>
    </w:r>
    <w:r w:rsidR="00005C8B" w:rsidRPr="004E6E3C">
      <w:rPr>
        <w:rStyle w:val="ab"/>
        <w:rFonts w:cs="Times New Roman"/>
      </w:rPr>
      <w:instrText xml:space="preserve"> PAGE </w:instrText>
    </w:r>
    <w:r w:rsidRPr="004E6E3C">
      <w:rPr>
        <w:rStyle w:val="ab"/>
        <w:rFonts w:cs="Times New Roman"/>
      </w:rPr>
      <w:fldChar w:fldCharType="separate"/>
    </w:r>
    <w:r w:rsidR="005C15BB">
      <w:rPr>
        <w:rStyle w:val="ab"/>
        <w:rFonts w:cs="Times New Roman"/>
        <w:rtl/>
      </w:rPr>
      <w:t>1</w:t>
    </w:r>
    <w:r w:rsidRPr="004E6E3C">
      <w:rPr>
        <w:rStyle w:val="ab"/>
        <w:rFonts w:cs="Times New Roman"/>
      </w:rPr>
      <w:fldChar w:fldCharType="end"/>
    </w:r>
    <w:r w:rsidR="00005C8B" w:rsidRPr="004E6E3C">
      <w:rPr>
        <w:rStyle w:val="ab"/>
        <w:rFonts w:hint="cs"/>
        <w:rtl/>
      </w:rPr>
      <w:t xml:space="preserve"> מתוך </w:t>
    </w:r>
    <w:r w:rsidRPr="004E6E3C">
      <w:rPr>
        <w:rStyle w:val="ab"/>
      </w:rPr>
      <w:fldChar w:fldCharType="begin"/>
    </w:r>
    <w:r w:rsidR="00005C8B" w:rsidRPr="004E6E3C">
      <w:rPr>
        <w:rStyle w:val="ab"/>
      </w:rPr>
      <w:instrText xml:space="preserve"> NUMPAGES </w:instrText>
    </w:r>
    <w:r w:rsidRPr="004E6E3C">
      <w:rPr>
        <w:rStyle w:val="ab"/>
      </w:rPr>
      <w:fldChar w:fldCharType="separate"/>
    </w:r>
    <w:r w:rsidR="005C15BB">
      <w:rPr>
        <w:rStyle w:val="ab"/>
        <w:rtl/>
      </w:rPr>
      <w:t>1</w:t>
    </w:r>
    <w:r w:rsidRPr="004E6E3C">
      <w:rPr>
        <w:rStyle w:val="ab"/>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14735" w:rsidRDefault="00114735">
      <w:r>
        <w:separator/>
      </w:r>
    </w:p>
  </w:footnote>
  <w:footnote w:type="continuationSeparator" w:id="0">
    <w:p w:rsidR="00114735" w:rsidRDefault="0011473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94556" w:rsidRDefault="001277D7">
    <w:pPr>
      <w:pStyle w:val="a3"/>
      <w:jc w:val="center"/>
      <w:rPr>
        <w:rFonts w:cs="FrankRuehl"/>
        <w:noProof w:val="0"/>
        <w:sz w:val="28"/>
        <w:szCs w:val="28"/>
        <w:rtl/>
      </w:rPr>
    </w:pPr>
    <w:r>
      <w:rPr>
        <w:rFonts w:cs="FrankRuehl"/>
        <w:sz w:val="28"/>
        <w:szCs w:val="28"/>
      </w:rPr>
      <w:drawing>
        <wp:inline distT="0" distB="0" distL="0" distR="0" wp14:anchorId="10CE24A1" wp14:editId="4F5FE0B2">
          <wp:extent cx="371475" cy="466725"/>
          <wp:effectExtent l="0" t="0" r="9525" b="9525"/>
          <wp:docPr id="2" name="Picture 1" descr="ישראל - המנורה -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ישראל - המנורה -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71475" cy="466725"/>
                  </a:xfrm>
                  <a:prstGeom prst="rect">
                    <a:avLst/>
                  </a:prstGeom>
                  <a:noFill/>
                  <a:ln>
                    <a:noFill/>
                  </a:ln>
                </pic:spPr>
              </pic:pic>
            </a:graphicData>
          </a:graphic>
        </wp:inline>
      </w:drawing>
    </w:r>
  </w:p>
  <w:tbl>
    <w:tblPr>
      <w:bidiVisual/>
      <w:tblW w:w="0" w:type="auto"/>
      <w:jc w:val="center"/>
      <w:tblLook w:val="0000" w:firstRow="0" w:lastRow="0" w:firstColumn="0" w:lastColumn="0" w:noHBand="0" w:noVBand="0"/>
    </w:tblPr>
    <w:tblGrid>
      <w:gridCol w:w="4923"/>
      <w:gridCol w:w="3582"/>
    </w:tblGrid>
    <w:tr w:rsidR="00694556">
      <w:trPr>
        <w:trHeight w:hRule="exact" w:val="418"/>
        <w:jc w:val="center"/>
      </w:trPr>
      <w:sdt>
        <w:sdtPr>
          <w:rPr>
            <w:rtl/>
          </w:rPr>
          <w:alias w:val="1174"/>
          <w:tag w:val="1174"/>
          <w:id w:val="-1775709220"/>
          <w:text/>
        </w:sdtPr>
        <w:sdtEndPr/>
        <w:sdtContent>
          <w:tc>
            <w:tcPr>
              <w:tcW w:w="8721" w:type="dxa"/>
              <w:gridSpan w:val="2"/>
            </w:tcPr>
            <w:p w:rsidR="00694556" w:rsidRDefault="00005C8B">
              <w:pPr>
                <w:pStyle w:val="a3"/>
                <w:jc w:val="center"/>
                <w:rPr>
                  <w:rFonts w:ascii="Tahoma" w:hAnsi="Tahoma" w:cs="Tahoma"/>
                  <w:noProof w:val="0"/>
                  <w:color w:val="000080"/>
                  <w:rtl/>
                </w:rPr>
              </w:pPr>
              <w:r>
                <w:rPr>
                  <w:rFonts w:ascii="Tahoma" w:hAnsi="Tahoma" w:cs="Tahoma"/>
                  <w:b/>
                  <w:bCs/>
                  <w:noProof w:val="0"/>
                  <w:color w:val="000080"/>
                  <w:rtl/>
                </w:rPr>
                <w:t>בית משפט השלום בחיפה</w:t>
              </w:r>
            </w:p>
          </w:tc>
        </w:sdtContent>
      </w:sdt>
    </w:tr>
    <w:tr w:rsidR="00694556">
      <w:trPr>
        <w:trHeight w:val="337"/>
        <w:jc w:val="center"/>
      </w:trPr>
      <w:tc>
        <w:tcPr>
          <w:tcW w:w="5047" w:type="dxa"/>
        </w:tcPr>
        <w:p w:rsidR="00694556" w:rsidRDefault="00694556">
          <w:pPr>
            <w:rPr>
              <w:b/>
              <w:bCs/>
              <w:noProof w:val="0"/>
              <w:sz w:val="26"/>
              <w:szCs w:val="26"/>
              <w:rtl/>
            </w:rPr>
          </w:pPr>
        </w:p>
      </w:tc>
      <w:tc>
        <w:tcPr>
          <w:tcW w:w="3674" w:type="dxa"/>
        </w:tcPr>
        <w:p w:rsidR="00694556" w:rsidRDefault="00694556">
          <w:pPr>
            <w:pStyle w:val="a3"/>
            <w:jc w:val="right"/>
            <w:rPr>
              <w:b/>
              <w:bCs/>
              <w:noProof w:val="0"/>
              <w:sz w:val="26"/>
              <w:szCs w:val="26"/>
              <w:rtl/>
            </w:rPr>
          </w:pPr>
        </w:p>
      </w:tc>
    </w:tr>
    <w:tr w:rsidR="00694556">
      <w:trPr>
        <w:trHeight w:val="337"/>
        <w:jc w:val="center"/>
      </w:trPr>
      <w:tc>
        <w:tcPr>
          <w:tcW w:w="8721" w:type="dxa"/>
          <w:gridSpan w:val="2"/>
        </w:tcPr>
        <w:p w:rsidR="00694556" w:rsidRDefault="00114735">
          <w:pPr>
            <w:rPr>
              <w:b/>
              <w:bCs/>
              <w:noProof w:val="0"/>
              <w:sz w:val="26"/>
              <w:szCs w:val="26"/>
              <w:rtl/>
            </w:rPr>
          </w:pPr>
          <w:sdt>
            <w:sdtPr>
              <w:rPr>
                <w:b/>
                <w:bCs/>
                <w:noProof w:val="0"/>
                <w:sz w:val="26"/>
                <w:szCs w:val="26"/>
                <w:rtl/>
              </w:rPr>
              <w:alias w:val="1170"/>
              <w:tag w:val="1170"/>
              <w:id w:val="299038016"/>
              <w:text w:multiLine="1"/>
            </w:sdtPr>
            <w:sdtEndPr/>
            <w:sdtContent>
              <w:r w:rsidR="00BD455B">
                <w:rPr>
                  <w:b/>
                  <w:bCs/>
                  <w:noProof w:val="0"/>
                  <w:sz w:val="26"/>
                  <w:szCs w:val="26"/>
                  <w:rtl/>
                </w:rPr>
                <w:t>ת"א</w:t>
              </w:r>
            </w:sdtContent>
          </w:sdt>
          <w:r w:rsidR="00005C8B">
            <w:rPr>
              <w:b/>
              <w:bCs/>
              <w:noProof w:val="0"/>
              <w:sz w:val="26"/>
              <w:szCs w:val="26"/>
              <w:rtl/>
            </w:rPr>
            <w:t xml:space="preserve"> </w:t>
          </w:r>
          <w:sdt>
            <w:sdtPr>
              <w:rPr>
                <w:b/>
                <w:bCs/>
                <w:noProof w:val="0"/>
                <w:sz w:val="26"/>
                <w:szCs w:val="26"/>
                <w:rtl/>
              </w:rPr>
              <w:alias w:val="1171"/>
              <w:tag w:val="1171"/>
              <w:id w:val="81650337"/>
              <w:text w:multiLine="1"/>
            </w:sdtPr>
            <w:sdtEndPr/>
            <w:sdtContent>
              <w:r w:rsidR="00BD455B">
                <w:rPr>
                  <w:b/>
                  <w:bCs/>
                  <w:noProof w:val="0"/>
                  <w:sz w:val="26"/>
                  <w:szCs w:val="26"/>
                  <w:rtl/>
                </w:rPr>
                <w:t>62046-09-22</w:t>
              </w:r>
            </w:sdtContent>
          </w:sdt>
          <w:r w:rsidR="00005C8B">
            <w:rPr>
              <w:b/>
              <w:bCs/>
              <w:noProof w:val="0"/>
              <w:sz w:val="26"/>
              <w:szCs w:val="26"/>
              <w:rtl/>
            </w:rPr>
            <w:t xml:space="preserve"> </w:t>
          </w:r>
          <w:sdt>
            <w:sdtPr>
              <w:rPr>
                <w:b/>
                <w:bCs/>
                <w:noProof w:val="0"/>
                <w:sz w:val="26"/>
                <w:szCs w:val="26"/>
                <w:rtl/>
              </w:rPr>
              <w:alias w:val="1172"/>
              <w:tag w:val="1172"/>
              <w:id w:val="-1742169342"/>
              <w:text w:multiLine="1"/>
            </w:sdtPr>
            <w:sdtEndPr/>
            <w:sdtContent>
              <w:r w:rsidR="00BD455B">
                <w:rPr>
                  <w:b/>
                  <w:bCs/>
                  <w:noProof w:val="0"/>
                  <w:sz w:val="26"/>
                  <w:szCs w:val="26"/>
                  <w:rtl/>
                </w:rPr>
                <w:t>עראידה נ' בנק מזרחי טפחות בעמ</w:t>
              </w:r>
            </w:sdtContent>
          </w:sdt>
        </w:p>
        <w:p w:rsidR="00694556" w:rsidRPr="00957C90" w:rsidRDefault="00694556">
          <w:pPr>
            <w:rPr>
              <w:b/>
              <w:bCs/>
              <w:noProof w:val="0"/>
              <w:sz w:val="2"/>
              <w:szCs w:val="2"/>
              <w:rtl/>
            </w:rPr>
          </w:pPr>
        </w:p>
        <w:p w:rsidR="0043595F" w:rsidRDefault="00957C90" w:rsidP="00957C90">
          <w:pPr>
            <w:rPr>
              <w:b/>
              <w:bCs/>
              <w:noProof w:val="0"/>
              <w:sz w:val="26"/>
              <w:szCs w:val="26"/>
              <w:rtl/>
            </w:rPr>
          </w:pPr>
          <w:r w:rsidRPr="00957C90">
            <w:rPr>
              <w:rFonts w:hint="cs"/>
              <w:b/>
              <w:bCs/>
              <w:noProof w:val="0"/>
              <w:sz w:val="26"/>
              <w:szCs w:val="26"/>
              <w:rtl/>
            </w:rPr>
            <w:t xml:space="preserve"> </w:t>
          </w:r>
        </w:p>
        <w:p w:rsidR="00957C90" w:rsidRPr="00957C90" w:rsidRDefault="005C7EC6">
          <w:pPr>
            <w:rPr>
              <w:b/>
              <w:bCs/>
              <w:noProof w:val="0"/>
              <w:sz w:val="26"/>
              <w:szCs w:val="26"/>
              <w:rtl/>
            </w:rPr>
          </w:pPr>
          <w:r>
            <w:rPr>
              <w:rFonts w:hint="cs"/>
              <w:sz w:val="20"/>
              <w:szCs w:val="20"/>
              <w:rtl/>
            </w:rPr>
            <w:t xml:space="preserve">תיק חיצוני: </w:t>
          </w:r>
          <w:sdt>
            <w:sdtPr>
              <w:rPr>
                <w:rFonts w:hint="cs"/>
                <w:sz w:val="20"/>
                <w:szCs w:val="20"/>
                <w:rtl/>
              </w:rPr>
              <w:alias w:val="1572"/>
              <w:tag w:val="1572"/>
              <w:id w:val="940805582"/>
              <w:showingPlcHdr/>
              <w:text w:multiLine="1"/>
            </w:sdtPr>
            <w:sdtEndPr/>
            <w:sdtContent>
              <w:sdt>
                <w:sdtPr>
                  <w:rPr>
                    <w:rFonts w:hint="cs"/>
                    <w:sz w:val="20"/>
                    <w:szCs w:val="20"/>
                    <w:rtl/>
                  </w:rPr>
                  <w:alias w:val="1198"/>
                  <w:tag w:val="1198"/>
                  <w:id w:val="-51619777"/>
                  <w:text w:multiLine="1"/>
                </w:sdtPr>
                <w:sdtEndPr/>
                <w:sdtContent/>
              </w:sdt>
              <w:r>
                <w:rPr>
                  <w:rFonts w:hint="cs"/>
                  <w:sz w:val="20"/>
                  <w:szCs w:val="20"/>
                  <w:rtl/>
                </w:rPr>
                <w:t xml:space="preserve"> </w:t>
              </w:r>
            </w:sdtContent>
          </w:sdt>
          <w:r>
            <w:rPr>
              <w:rFonts w:hint="cs"/>
              <w:sz w:val="20"/>
              <w:szCs w:val="20"/>
              <w:rtl/>
            </w:rPr>
            <w:t xml:space="preserve"> </w:t>
          </w:r>
        </w:p>
      </w:tc>
    </w:tr>
  </w:tbl>
  <w:p w:rsidR="00694556" w:rsidRDefault="00005C8B">
    <w:pPr>
      <w:pStyle w:val="a3"/>
      <w:rPr>
        <w:noProof w:val="0"/>
        <w:rtl/>
      </w:rPr>
    </w:pPr>
    <w:r>
      <w:rPr>
        <w:noProof w:val="0"/>
        <w:rtl/>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AA02D7"/>
    <w:multiLevelType w:val="hybridMultilevel"/>
    <w:tmpl w:val="FE385C62"/>
    <w:lvl w:ilvl="0" w:tplc="B382122A">
      <w:start w:val="1"/>
      <w:numFmt w:val="decimal"/>
      <w:lvlText w:val="%1."/>
      <w:lvlJc w:val="left"/>
      <w:pPr>
        <w:ind w:left="720" w:hanging="360"/>
      </w:pPr>
      <w:rPr>
        <w:rFonts w:cs="David"/>
      </w:rPr>
    </w:lvl>
    <w:lvl w:ilvl="1" w:tplc="04090019">
      <w:start w:val="1"/>
      <w:numFmt w:val="lowerLetter"/>
      <w:lvlText w:val="%2."/>
      <w:lvlJc w:val="left"/>
      <w:pPr>
        <w:ind w:left="1440" w:hanging="360"/>
      </w:pPr>
      <w:rPr>
        <w:rFonts w:cs="Times New Roman"/>
      </w:rPr>
    </w:lvl>
    <w:lvl w:ilvl="2" w:tplc="0409001B">
      <w:start w:val="1"/>
      <w:numFmt w:val="lowerRoman"/>
      <w:lvlText w:val="%3."/>
      <w:lvlJc w:val="right"/>
      <w:pPr>
        <w:ind w:left="2160" w:hanging="180"/>
      </w:pPr>
      <w:rPr>
        <w:rFonts w:cs="Times New Roman"/>
      </w:rPr>
    </w:lvl>
    <w:lvl w:ilvl="3" w:tplc="0409000F">
      <w:start w:val="1"/>
      <w:numFmt w:val="decimal"/>
      <w:lvlText w:val="%4."/>
      <w:lvlJc w:val="left"/>
      <w:pPr>
        <w:ind w:left="2880" w:hanging="360"/>
      </w:pPr>
      <w:rPr>
        <w:rFonts w:cs="Times New Roman"/>
      </w:rPr>
    </w:lvl>
    <w:lvl w:ilvl="4" w:tplc="04090019">
      <w:start w:val="1"/>
      <w:numFmt w:val="lowerLetter"/>
      <w:lvlText w:val="%5."/>
      <w:lvlJc w:val="left"/>
      <w:pPr>
        <w:ind w:left="3600" w:hanging="360"/>
      </w:pPr>
      <w:rPr>
        <w:rFonts w:cs="Times New Roman"/>
      </w:rPr>
    </w:lvl>
    <w:lvl w:ilvl="5" w:tplc="0409001B">
      <w:start w:val="1"/>
      <w:numFmt w:val="lowerRoman"/>
      <w:lvlText w:val="%6."/>
      <w:lvlJc w:val="right"/>
      <w:pPr>
        <w:ind w:left="4320" w:hanging="180"/>
      </w:pPr>
      <w:rPr>
        <w:rFonts w:cs="Times New Roman"/>
      </w:rPr>
    </w:lvl>
    <w:lvl w:ilvl="6" w:tplc="0409000F">
      <w:start w:val="1"/>
      <w:numFmt w:val="decimal"/>
      <w:lvlText w:val="%7."/>
      <w:lvlJc w:val="left"/>
      <w:pPr>
        <w:ind w:left="5040" w:hanging="360"/>
      </w:pPr>
      <w:rPr>
        <w:rFonts w:cs="Times New Roman"/>
      </w:rPr>
    </w:lvl>
    <w:lvl w:ilvl="7" w:tplc="04090019">
      <w:start w:val="1"/>
      <w:numFmt w:val="lowerLetter"/>
      <w:lvlText w:val="%8."/>
      <w:lvlJc w:val="left"/>
      <w:pPr>
        <w:ind w:left="5760" w:hanging="360"/>
      </w:pPr>
      <w:rPr>
        <w:rFonts w:cs="Times New Roman"/>
      </w:rPr>
    </w:lvl>
    <w:lvl w:ilvl="8" w:tplc="0409001B">
      <w:start w:val="1"/>
      <w:numFmt w:val="lowerRoman"/>
      <w:lvlText w:val="%9."/>
      <w:lvlJc w:val="right"/>
      <w:pPr>
        <w:ind w:left="6480" w:hanging="180"/>
      </w:pPr>
      <w:rPr>
        <w:rFonts w:cs="Times New Roman"/>
      </w:rPr>
    </w:lvl>
  </w:abstractNum>
  <w:abstractNum w:abstractNumId="1" w15:restartNumberingAfterBreak="0">
    <w:nsid w:val="08A6001B"/>
    <w:multiLevelType w:val="hybridMultilevel"/>
    <w:tmpl w:val="F2F2E3AA"/>
    <w:lvl w:ilvl="0" w:tplc="7360B4B2">
      <w:start w:val="1"/>
      <w:numFmt w:val="decimal"/>
      <w:pStyle w:val="Ruller4"/>
      <w:lvlText w:val="%1."/>
      <w:lvlJc w:val="left"/>
      <w:pPr>
        <w:tabs>
          <w:tab w:val="num" w:pos="907"/>
        </w:tabs>
        <w:ind w:left="0" w:firstLine="0"/>
      </w:pPr>
      <w:rPr>
        <w:lang w:val="en-US"/>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2" w15:restartNumberingAfterBreak="0">
    <w:nsid w:val="0EC26355"/>
    <w:multiLevelType w:val="hybridMultilevel"/>
    <w:tmpl w:val="48E03F20"/>
    <w:lvl w:ilvl="0" w:tplc="EEBC32D4">
      <w:start w:val="12"/>
      <w:numFmt w:val="decimal"/>
      <w:lvlText w:val="%1."/>
      <w:lvlJc w:val="left"/>
      <w:pPr>
        <w:ind w:left="1350" w:hanging="360"/>
      </w:pPr>
      <w:rPr>
        <w:rFonts w:ascii="Arial" w:hAnsi="Arial" w:cs="David" w:hint="default"/>
      </w:rPr>
    </w:lvl>
    <w:lvl w:ilvl="1" w:tplc="04090019" w:tentative="1">
      <w:start w:val="1"/>
      <w:numFmt w:val="lowerLetter"/>
      <w:lvlText w:val="%2."/>
      <w:lvlJc w:val="left"/>
      <w:pPr>
        <w:ind w:left="2070" w:hanging="360"/>
      </w:pPr>
    </w:lvl>
    <w:lvl w:ilvl="2" w:tplc="0409001B" w:tentative="1">
      <w:start w:val="1"/>
      <w:numFmt w:val="lowerRoman"/>
      <w:lvlText w:val="%3."/>
      <w:lvlJc w:val="right"/>
      <w:pPr>
        <w:ind w:left="2790" w:hanging="180"/>
      </w:pPr>
    </w:lvl>
    <w:lvl w:ilvl="3" w:tplc="0409000F" w:tentative="1">
      <w:start w:val="1"/>
      <w:numFmt w:val="decimal"/>
      <w:lvlText w:val="%4."/>
      <w:lvlJc w:val="left"/>
      <w:pPr>
        <w:ind w:left="3510" w:hanging="360"/>
      </w:pPr>
    </w:lvl>
    <w:lvl w:ilvl="4" w:tplc="04090019" w:tentative="1">
      <w:start w:val="1"/>
      <w:numFmt w:val="lowerLetter"/>
      <w:lvlText w:val="%5."/>
      <w:lvlJc w:val="left"/>
      <w:pPr>
        <w:ind w:left="4230" w:hanging="360"/>
      </w:pPr>
    </w:lvl>
    <w:lvl w:ilvl="5" w:tplc="0409001B" w:tentative="1">
      <w:start w:val="1"/>
      <w:numFmt w:val="lowerRoman"/>
      <w:lvlText w:val="%6."/>
      <w:lvlJc w:val="right"/>
      <w:pPr>
        <w:ind w:left="4950" w:hanging="180"/>
      </w:pPr>
    </w:lvl>
    <w:lvl w:ilvl="6" w:tplc="0409000F" w:tentative="1">
      <w:start w:val="1"/>
      <w:numFmt w:val="decimal"/>
      <w:lvlText w:val="%7."/>
      <w:lvlJc w:val="left"/>
      <w:pPr>
        <w:ind w:left="5670" w:hanging="360"/>
      </w:pPr>
    </w:lvl>
    <w:lvl w:ilvl="7" w:tplc="04090019" w:tentative="1">
      <w:start w:val="1"/>
      <w:numFmt w:val="lowerLetter"/>
      <w:lvlText w:val="%8."/>
      <w:lvlJc w:val="left"/>
      <w:pPr>
        <w:ind w:left="6390" w:hanging="360"/>
      </w:pPr>
    </w:lvl>
    <w:lvl w:ilvl="8" w:tplc="0409001B" w:tentative="1">
      <w:start w:val="1"/>
      <w:numFmt w:val="lowerRoman"/>
      <w:lvlText w:val="%9."/>
      <w:lvlJc w:val="right"/>
      <w:pPr>
        <w:ind w:left="7110" w:hanging="180"/>
      </w:pPr>
    </w:lvl>
  </w:abstractNum>
  <w:abstractNum w:abstractNumId="3" w15:restartNumberingAfterBreak="0">
    <w:nsid w:val="15EC232B"/>
    <w:multiLevelType w:val="hybridMultilevel"/>
    <w:tmpl w:val="700AB49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71530E6"/>
    <w:multiLevelType w:val="hybridMultilevel"/>
    <w:tmpl w:val="50227C30"/>
    <w:lvl w:ilvl="0" w:tplc="7BC0E33E">
      <w:start w:val="1"/>
      <w:numFmt w:val="decimal"/>
      <w:lvlText w:val="(%1)"/>
      <w:lvlJc w:val="left"/>
      <w:pPr>
        <w:ind w:left="2490" w:hanging="360"/>
      </w:pPr>
      <w:rPr>
        <w:rFonts w:hint="default"/>
      </w:rPr>
    </w:lvl>
    <w:lvl w:ilvl="1" w:tplc="04090019" w:tentative="1">
      <w:start w:val="1"/>
      <w:numFmt w:val="lowerLetter"/>
      <w:lvlText w:val="%2."/>
      <w:lvlJc w:val="left"/>
      <w:pPr>
        <w:ind w:left="3210" w:hanging="360"/>
      </w:pPr>
    </w:lvl>
    <w:lvl w:ilvl="2" w:tplc="0409001B" w:tentative="1">
      <w:start w:val="1"/>
      <w:numFmt w:val="lowerRoman"/>
      <w:lvlText w:val="%3."/>
      <w:lvlJc w:val="right"/>
      <w:pPr>
        <w:ind w:left="3930" w:hanging="180"/>
      </w:pPr>
    </w:lvl>
    <w:lvl w:ilvl="3" w:tplc="0409000F" w:tentative="1">
      <w:start w:val="1"/>
      <w:numFmt w:val="decimal"/>
      <w:lvlText w:val="%4."/>
      <w:lvlJc w:val="left"/>
      <w:pPr>
        <w:ind w:left="4650" w:hanging="360"/>
      </w:pPr>
    </w:lvl>
    <w:lvl w:ilvl="4" w:tplc="04090019" w:tentative="1">
      <w:start w:val="1"/>
      <w:numFmt w:val="lowerLetter"/>
      <w:lvlText w:val="%5."/>
      <w:lvlJc w:val="left"/>
      <w:pPr>
        <w:ind w:left="5370" w:hanging="360"/>
      </w:pPr>
    </w:lvl>
    <w:lvl w:ilvl="5" w:tplc="0409001B" w:tentative="1">
      <w:start w:val="1"/>
      <w:numFmt w:val="lowerRoman"/>
      <w:lvlText w:val="%6."/>
      <w:lvlJc w:val="right"/>
      <w:pPr>
        <w:ind w:left="6090" w:hanging="180"/>
      </w:pPr>
    </w:lvl>
    <w:lvl w:ilvl="6" w:tplc="0409000F" w:tentative="1">
      <w:start w:val="1"/>
      <w:numFmt w:val="decimal"/>
      <w:lvlText w:val="%7."/>
      <w:lvlJc w:val="left"/>
      <w:pPr>
        <w:ind w:left="6810" w:hanging="360"/>
      </w:pPr>
    </w:lvl>
    <w:lvl w:ilvl="7" w:tplc="04090019" w:tentative="1">
      <w:start w:val="1"/>
      <w:numFmt w:val="lowerLetter"/>
      <w:lvlText w:val="%8."/>
      <w:lvlJc w:val="left"/>
      <w:pPr>
        <w:ind w:left="7530" w:hanging="360"/>
      </w:pPr>
    </w:lvl>
    <w:lvl w:ilvl="8" w:tplc="0409001B" w:tentative="1">
      <w:start w:val="1"/>
      <w:numFmt w:val="lowerRoman"/>
      <w:lvlText w:val="%9."/>
      <w:lvlJc w:val="right"/>
      <w:pPr>
        <w:ind w:left="8250" w:hanging="180"/>
      </w:pPr>
    </w:lvl>
  </w:abstractNum>
  <w:abstractNum w:abstractNumId="5" w15:restartNumberingAfterBreak="0">
    <w:nsid w:val="1A4A30E7"/>
    <w:multiLevelType w:val="hybridMultilevel"/>
    <w:tmpl w:val="D5CED10C"/>
    <w:lvl w:ilvl="0" w:tplc="126ABD46">
      <w:start w:val="14"/>
      <w:numFmt w:val="decimal"/>
      <w:lvlText w:val="%1."/>
      <w:lvlJc w:val="left"/>
      <w:pPr>
        <w:ind w:left="1380" w:hanging="360"/>
      </w:pPr>
      <w:rPr>
        <w:rFonts w:hint="default"/>
      </w:rPr>
    </w:lvl>
    <w:lvl w:ilvl="1" w:tplc="04090019">
      <w:start w:val="1"/>
      <w:numFmt w:val="lowerLetter"/>
      <w:lvlText w:val="%2."/>
      <w:lvlJc w:val="left"/>
      <w:pPr>
        <w:ind w:left="2100" w:hanging="360"/>
      </w:pPr>
    </w:lvl>
    <w:lvl w:ilvl="2" w:tplc="0409001B" w:tentative="1">
      <w:start w:val="1"/>
      <w:numFmt w:val="lowerRoman"/>
      <w:lvlText w:val="%3."/>
      <w:lvlJc w:val="right"/>
      <w:pPr>
        <w:ind w:left="2820" w:hanging="180"/>
      </w:pPr>
    </w:lvl>
    <w:lvl w:ilvl="3" w:tplc="0409000F" w:tentative="1">
      <w:start w:val="1"/>
      <w:numFmt w:val="decimal"/>
      <w:lvlText w:val="%4."/>
      <w:lvlJc w:val="left"/>
      <w:pPr>
        <w:ind w:left="3540" w:hanging="360"/>
      </w:pPr>
    </w:lvl>
    <w:lvl w:ilvl="4" w:tplc="04090019" w:tentative="1">
      <w:start w:val="1"/>
      <w:numFmt w:val="lowerLetter"/>
      <w:lvlText w:val="%5."/>
      <w:lvlJc w:val="left"/>
      <w:pPr>
        <w:ind w:left="4260" w:hanging="360"/>
      </w:pPr>
    </w:lvl>
    <w:lvl w:ilvl="5" w:tplc="0409001B" w:tentative="1">
      <w:start w:val="1"/>
      <w:numFmt w:val="lowerRoman"/>
      <w:lvlText w:val="%6."/>
      <w:lvlJc w:val="right"/>
      <w:pPr>
        <w:ind w:left="4980" w:hanging="180"/>
      </w:pPr>
    </w:lvl>
    <w:lvl w:ilvl="6" w:tplc="0409000F" w:tentative="1">
      <w:start w:val="1"/>
      <w:numFmt w:val="decimal"/>
      <w:lvlText w:val="%7."/>
      <w:lvlJc w:val="left"/>
      <w:pPr>
        <w:ind w:left="5700" w:hanging="360"/>
      </w:pPr>
    </w:lvl>
    <w:lvl w:ilvl="7" w:tplc="04090019" w:tentative="1">
      <w:start w:val="1"/>
      <w:numFmt w:val="lowerLetter"/>
      <w:lvlText w:val="%8."/>
      <w:lvlJc w:val="left"/>
      <w:pPr>
        <w:ind w:left="6420" w:hanging="360"/>
      </w:pPr>
    </w:lvl>
    <w:lvl w:ilvl="8" w:tplc="0409001B" w:tentative="1">
      <w:start w:val="1"/>
      <w:numFmt w:val="lowerRoman"/>
      <w:lvlText w:val="%9."/>
      <w:lvlJc w:val="right"/>
      <w:pPr>
        <w:ind w:left="7140" w:hanging="180"/>
      </w:pPr>
    </w:lvl>
  </w:abstractNum>
  <w:num w:numId="1">
    <w:abstractNumId w:val="3"/>
  </w:num>
  <w:num w:numId="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2"/>
  </w:num>
  <w:num w:numId="4">
    <w:abstractNumId w:val="5"/>
  </w:num>
  <w:num w:numId="5">
    <w:abstractNumId w:val="4"/>
  </w:num>
  <w:num w:numId="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aseID" w:val="79640818"/>
    <w:docVar w:name="CasePresentationDS" w:val="&amp;lt;?xml version=&amp;quot;1.0&amp;quot;?&amp;gt;_x000d__x000a_&amp;lt;CasePresentationDS&amp;gt;_x000d__x000a_  &amp;lt;xs:schema id=&amp;quot;CasePresentationDS&amp;quot; targetNamespace=&amp;quot;http://tempuri.org/CasePresentationDS.xsd&amp;quot; xmlns:mstns=&amp;quot;http://tempuri.org/CasePresentationDS.xsd&amp;quot; xmlns=&amp;quot;http://tempuri.org/CasePresentationDS.xsd&amp;quot; xmlns:xs=&amp;quot;http://www.w3.org/2001/XMLSchema&amp;quot; xmlns:msdata=&amp;quot;urn:schemas-microsoft-com:xml-msdata&amp;quot; attributeFormDefault=&amp;quot;qualified&amp;quot; elementFormDefault=&amp;quot;qualified&amp;quot;&amp;gt;_x000d__x000a_    &amp;lt;xs:element name=&amp;quot;CasePresentationDS&amp;quot; msdata:IsDataSet=&amp;quot;true&amp;quot; msdata:UseCurrentLocale=&amp;quot;true&amp;quot;&amp;gt;_x000d__x000a_      &amp;lt;xs:complexType&amp;gt;_x000d__x000a_        &amp;lt;xs:choice minOccurs=&amp;quot;0&amp;quot; maxOccurs=&amp;quot;unbounded&amp;quot;&amp;gt;_x000d__x000a_          &amp;lt;xs:element name=&amp;quot;CasePresentationDataSet&amp;quot;&amp;gt;_x000d__x000a_            &amp;lt;xs:complexType&amp;gt;_x000d__x000a_              &amp;lt;xs:sequence&amp;gt;_x000d__x000a_                &amp;lt;xs:element name=&amp;quot;CaseID&amp;quot; type=&amp;quot;xs:int&amp;quot; /&amp;gt;_x000d__x000a_                &amp;lt;xs:element name=&amp;quot;CaseMonth&amp;quot; type=&amp;quot;xs:int&amp;quot; /&amp;gt;_x000d__x000a_                &amp;lt;xs:element name=&amp;quot;CaseYear&amp;quot; type=&amp;quot;xs:int&amp;quot; /&amp;gt;_x000d__x000a_                &amp;lt;xs:element name=&amp;quot;CaseNumber&amp;quot; type=&amp;quot;xs:int&amp;quot; /&amp;gt;_x000d__x000a_                &amp;lt;xs:element name=&amp;quot;NumeratorGroupID&amp;quot; type=&amp;quot;xs:int&amp;quot; /&amp;gt;_x000d__x000a_                &amp;lt;xs:element name=&amp;quot;CaseName&amp;quot; type=&amp;quot;xs:string&amp;quot; /&amp;gt;_x000d__x000a_                &amp;lt;xs:element name=&amp;quot;CourtID&amp;quot; type=&amp;quot;xs:int&amp;quot; /&amp;gt;_x000d__x000a_                &amp;lt;xs:element name=&amp;quot;CaseTypeID&amp;quot; type=&amp;quot;xs:int&amp;quot; /&amp;gt;_x000d__x000a_                &amp;lt;xs:element name=&amp;quot;CaseInterestID&amp;quot; type=&amp;quot;xs:int&amp;quot; minOccurs=&amp;quot;0&amp;quot; /&amp;gt;_x000d__x000a_                &amp;lt;xs:element name=&amp;quot;CaseJudgeName&amp;quot; type=&amp;quot;xs:string&amp;quot; minOccurs=&amp;quot;0&amp;quot; /&amp;gt;_x000d__x000a_                &amp;lt;xs:element name=&amp;quot;CaseLinkTypeID&amp;quot; type=&amp;quot;xs:int&amp;quot; minOccurs=&amp;quot;0&amp;quot; /&amp;gt;_x000d__x000a_                &amp;lt;xs:element name=&amp;quot;ProcedureID&amp;quot; type=&amp;quot;xs:int&amp;quot; minOccurs=&amp;quot;0&amp;quot; /&amp;gt;_x000d__x000a_                &amp;lt;xs:element name=&amp;quot;PreviousCaseYear&amp;quot; type=&amp;quot;xs:string&amp;quot; minOccurs=&amp;quot;0&amp;quot; /&amp;gt;_x000d__x000a_                &amp;lt;xs:element name=&amp;quot;PreviousCaseNumber&amp;quot; type=&amp;quot;xs:int&amp;quot; minOccurs=&amp;quot;0&amp;quot; /&amp;gt;_x000d__x000a_                &amp;lt;xs:element name=&amp;quot;CaseStatusID&amp;quot; type=&amp;quot;xs:int&amp;quot; /&amp;gt;_x000d__x000a_                &amp;lt;xs:element name=&amp;quot;ProceedingID&amp;quot; type=&amp;quot;xs:int&amp;quot; /&amp;gt;_x000d__x000a_                &amp;lt;xs:element name=&amp;quot;IsCaseLinked&amp;quot; type=&amp;quot;xs:boolean&amp;quot; /&amp;gt;_x000d__x000a_                &amp;lt;xs:element name=&amp;quot;IsCaseConverted&amp;quot; type=&amp;quot;xs:boolean&amp;quot; minOccurs=&amp;quot;0&amp;quot; /&amp;gt;_x000d__x000a_                &amp;lt;xs:element name=&amp;quot;PrivilegeID&amp;quot; type=&amp;quot;xs:int&amp;quot; /&amp;gt;_x000d__x000a_                &amp;lt;xs:element name=&amp;quot;IsAppealingCaseExist&amp;quot; type=&amp;quot;xs:boolean&amp;quot; minOccurs=&amp;quot;0&amp;quot; /&amp;gt;_x000d__x000a_                &amp;lt;xs:element name=&amp;quot;CaseDisplayIdentifier&amp;quot; type=&amp;quot;xs:string&amp;quot; minOccurs=&amp;quot;0&amp;quot; /&amp;gt;_x000d__x000a_                &amp;lt;xs:element name=&amp;quot;CaseTypeDesc&amp;quot; type=&amp;quot;xs:string&amp;quot; minOccurs=&amp;quot;0&amp;quot; /&amp;gt;_x000d__x000a_                &amp;lt;xs:element name=&amp;quot;CourtDesc&amp;quot; type=&amp;quot;xs:string&amp;quot; minOccurs=&amp;quot;0&amp;quot; /&amp;gt;_x000d__x000a_                &amp;lt;xs:element name=&amp;quot;CaseStageDesc&amp;quot; type=&amp;quot;xs:string&amp;quot; /&amp;gt;_x000d__x000a_                &amp;lt;xs:element name=&amp;quot;IsPendingExemptionDecision&amp;quot; type=&amp;quot;xs:boolean&amp;quot; minOccurs=&amp;quot;0&amp;quot; /&amp;gt;_x000d__x000a_                &amp;lt;xs:element name=&amp;quot;IsPendingEntitlementDecision&amp;quot; type=&amp;quot;xs:boolean&amp;quot; minOccurs=&amp;quot;0&amp;quot; /&amp;gt;_x000d__x000a_                &amp;lt;xs:element name=&amp;quot;IsPendingDifferentCaseVerdict&amp;quot; type=&amp;quot;xs:boolean&amp;quot; minOccurs=&amp;quot;0&amp;quot; /&amp;gt;_x000d__x000a_                &amp;lt;xs:element name=&amp;quot;IsUnpaidFeeExist&amp;quot; type=&amp;quot;xs:boolean&amp;quot; minOccurs=&amp;quot;0&amp;quot; /&amp;gt;_x000d__x000a_                &amp;lt;xs:element name=&amp;quot;IsExecutionDelayed&amp;quot; type=&amp;quot;xs:boolean&amp;quot; minOccurs=&amp;quot;0&amp;quot; /&amp;gt;_x000d__x000a_                &amp;lt;xs:element name=&amp;quot;CaseEntitiesArrestResult&amp;quot; type=&amp;quot;xs:string&amp;quot; minOccurs=&amp;quot;0&amp;quot; /&amp;gt;_x000d__x000a_                &amp;lt;xs:element name=&amp;quot;CasePreviousSessionDate&amp;quot; type=&amp;quot;xs:dateTime&amp;quot; minOccurs=&amp;quot;0&amp;quot; /&amp;gt;_x000d__x000a_                &amp;lt;xs:element name=&amp;quot;CaseNextSessionDate&amp;quot; type=&amp;quot;xs:dateTime&amp;quot; minOccurs=&amp;quot;0&amp;quot; /&amp;gt;_x000d__x000a_                &amp;lt;xs:element name=&amp;quot;PreviousCaseNumberDesc&amp;quot; type=&amp;quot;xs:string&amp;quot; minOccurs=&amp;quot;0&amp;quot; /&amp;gt;_x000d__x000a_                &amp;lt;xs:element name=&amp;quot;SubCaseNumber&amp;quot; type=&amp;quot;xs:int&amp;quot; minOccurs=&amp;quot;0&amp;quot; /&amp;gt;_x000d__x000a_                &amp;lt;xs:element name=&amp;quot;CaseNextDeterminingTask&amp;quot; type=&amp;quot;xs:int&amp;quot; minOccurs=&amp;quot;0&amp;quot; /&amp;gt;_x000d__x000a_                &amp;lt;xs:element name=&amp;quot;TemporaryAidStatus&amp;quot; type=&amp;quot;xs:string&amp;quot; minOccurs=&amp;quot;0&amp;quot; /&amp;gt;_x000d__x000a_                &amp;lt;xs:element name=&amp;quot;CaseOpenDate&amp;quot; type=&amp;quot;xs:dateTime&amp;quot; /&amp;gt;_x000d__x000a_                &amp;lt;xs:element name=&amp;quot;PleaTypeID&amp;quot; type=&amp;quot;xs:int&amp;quot; minOccurs=&amp;quot;0&amp;quot; /&amp;gt;_x000d__x000a_                &amp;lt;xs:element name=&amp;quot;CourtLevelID&amp;quot; type=&amp;quot;xs:int&amp;quot; minOccurs=&amp;quot;0&amp;quot; /&amp;gt;_x000d__x000a_                &amp;lt;xs:element name=&amp;quot;CourtLevelCaseTypeInterestID&amp;quot; type=&amp;quot;xs:int&amp;quot; minOccurs=&amp;quot;0&amp;quot; /&amp;gt;_x000d__x000a_                &amp;lt;xs:element name=&amp;quot;CaseJudgeFirstName&amp;quot; type=&amp;quot;xs:string&amp;quot; minOccurs=&amp;quot;0&amp;quot; /&amp;gt;_x000d__x000a_                &amp;lt;xs:element name=&amp;quot;CaseJudgeLastName&amp;quot; type=&amp;quot;xs:string&amp;quot; minOccurs=&amp;quot;0&amp;quot; /&amp;gt;_x000d__x000a_                &amp;lt;xs:element name=&amp;quot;JudicalPersonID&amp;quot; type=&amp;quot;xs:string&amp;quot; minOccurs=&amp;quot;0&amp;quot; /&amp;gt;_x000d__x000a_                &amp;lt;xs:element name=&amp;quot;IsJudicalPanel&amp;quot; type=&amp;quot;xs:boolean&amp;quot; minOccurs=&amp;quot;0&amp;quot; /&amp;gt;_x000d__x000a_                &amp;lt;xs:element name=&amp;quot;CourtDisplayName&amp;quot; type=&amp;quot;xs:string&amp;quot; minOccurs=&amp;quot;0&amp;quot; /&amp;gt;_x000d__x000a_                &amp;lt;xs:element name=&amp;quot;IsAllStartDataCollected&amp;quot; type=&amp;quot;xs:boolean&amp;quot; minOccurs=&amp;quot;0&amp;quot; /&amp;gt;_x000d__x000a_                &amp;lt;xs:element name=&amp;quot;IsMainCase&amp;quot; type=&amp;quot;xs:boolean&amp;quot; minOccurs=&amp;quot;0&amp;quot; /&amp;gt;_x000d__x000a_                &amp;lt;xs:element name=&amp;quot;PreviousCourtID&amp;quot; type=&amp;quot;xs:int&amp;quot; minOccurs=&amp;quot;0&amp;quot; /&amp;gt;_x000d__x000a_                &amp;lt;xs:element name=&amp;quot;PreviousCaseTypeID&amp;quot; type=&amp;quot;xs:int&amp;quot; minOccurs=&amp;quot;0&amp;quot; /&amp;gt;_x000d__x000a_                &amp;lt;xs:element name=&amp;quot;CaseDesc&amp;quot; type=&amp;quot;xs:string&amp;quot; minOccurs=&amp;quot;0&amp;quot; /&amp;gt;_x000d__x000a_                &amp;lt;xs:element name=&amp;quot;isExistMinorSide&amp;quot; type=&amp;quot;xs:boolean&amp;quot; minOccurs=&amp;quot;0&amp;quot; /&amp;gt;_x000d__x000a_                &amp;lt;xs:element name=&amp;quot;isExistMinorWitness&amp;quot; type=&amp;quot;xs:boolean&amp;quot; minOccurs=&amp;quot;0&amp;quot; /&amp;gt;_x000d__x000a_                &amp;lt;xs:element name=&amp;quot;CaseNextSessionTypeID&amp;quot; type=&amp;quot;xs:int&amp;quot; minOccurs=&amp;quot;0&amp;quot; /&amp;gt;_x000d__x000a_                &amp;lt;xs:element name=&amp;quot;CasePreviousSessionTypeID&amp;quot; type=&amp;quot;xs:int&amp;quot; minOccurs=&amp;quot;0&amp;quot; /&amp;gt;_x000d__x000a_                &amp;lt;xs:element name=&amp;quot;CasePermitStatus&amp;quot; type=&amp;quot;xs:int&amp;quot; minOccurs=&amp;quot;0&amp;quot; /&amp;gt;_x000d__x000a_                &amp;lt;xs:element name=&amp;quot;InstitutionalPathID&amp;quot; type=&amp;quot;xs:int&amp;quot; minOccurs=&amp;quot;0&amp;quot; /&amp;gt;_x000d__x000a_                &amp;lt;xs:element name=&amp;quot;PreviousCaseIdentifier&amp;quot; type=&amp;quot;xs:string&amp;quot; minOccurs=&amp;quot;0&amp;quot; /&amp;gt;_x000d__x000a_                &amp;lt;xs:element name=&amp;quot;ArchivingActivityID&amp;quot; type=&amp;quot;xs:int&amp;quot; minOccurs=&amp;quot;0&amp;quot; /&amp;gt;_x000d__x000a_                &amp;lt;xs:element name=&amp;quot;GettingReasonID&amp;quot; type=&amp;quot;xs:int&amp;quot; minOccurs=&amp;quot;0&amp;quot; /&amp;gt;_x000d__x000a_                &amp;lt;xs:element name=&amp;quot;StorageDate&amp;quot; type=&amp;quot;xs:dateTime&amp;quot; minOccurs=&amp;quot;0&amp;quot; /&amp;gt;_x000d__x000a_                &amp;lt;xs:element name=&amp;quot;IsArchivingActivityManuallyUpdated&amp;quot; type=&amp;quot;xs:boolean&amp;quot; minOccurs=&amp;quot;0&amp;quot; /&amp;gt;_x000d__x000a_                &amp;lt;xs:element name=&amp;quot;StorageDateRecalculationDate&amp;quot; type=&amp;quot;xs:dateTime&amp;quot; minOccurs=&amp;quot;0&amp;quot; /&amp;gt;_x000d__x000a_                &amp;lt;xs:element name=&amp;quot;IsAccessibilityRequired&amp;quot; type=&amp;quot;xs:boolean&amp;quot; default=&amp;quot;false&amp;quot; /&amp;gt;_x000d__x000a_                &amp;lt;xs:element name=&amp;quot;IsDecisionTypeZaveElyon&amp;quot; type=&amp;quot;xs:boolean&amp;quot; minOccurs=&amp;quot;0&amp;quot; /&amp;gt;_x000d__x000a_                &amp;lt;xs:element name=&amp;quot;IsGuaranteeDeposit&amp;quot; type=&amp;quot;xs:boolean&amp;quot; minOccurs=&amp;quot;0&amp;quot; /&amp;gt;_x000d__x000a_                &amp;lt;xs:element name=&amp;quot;IsFeePaid&amp;quot; type=&amp;quot;xs:boolean&amp;quot; minOccurs=&amp;quot;0&amp;quot; /&amp;gt;_x000d__x000a_                &amp;lt;xs:element name=&amp;quot;IsExistCancelledArrest&amp;quot; type=&amp;quot;xs:boolean&amp;quot; minOccurs=&amp;quot;0&amp;quot; /&amp;gt;_x000d__x000a_                &amp;lt;xs:element name=&amp;quot;IsExistPrisoner&amp;quot; type=&amp;quot;xs:boolean&amp;quot; minOccurs=&amp;quot;0&amp;quot; /&amp;gt;_x000d__x000a_                &amp;lt;xs:element name=&amp;quot;IsExistDetainee&amp;quot; type=&amp;quot;xs:boolean&amp;quot; minOccurs=&amp;quot;0&amp;quot; /&amp;gt;_x000d__x000a_                &amp;lt;xs:element name=&amp;quot;IsDebitExist&amp;quot; type=&amp;quot;xs:boolean&amp;quot; minOccurs=&amp;quot;0&amp;quot; /&amp;gt;_x000d__x000a_                &amp;lt;xs:element name=&amp;quot;DebitExsitDate&amp;quot; type=&amp;quot;xs:dateTime&amp;quot; minOccurs=&amp;quot;0&amp;quot; /&amp;gt;_x000d__x000a_                &amp;lt;xs:element name=&amp;quot;OpenFeeIndication&amp;quot; type=&amp;quot;xs:int&amp;quot; minOccurs=&amp;quot;0&amp;quot; /&amp;gt;_x000d__x000a_                &amp;lt;xs:element name=&amp;quot;GuaranteeIndication&amp;quot; type=&amp;quot;xs:int&amp;quot; minOccurs=&amp;quot;0&amp;quot; /&amp;gt;_x000d__x000a_                &amp;lt;xs:element name=&amp;quot;DelayedPunishmentDate&amp;quot; type=&amp;quot;xs:dateTime&amp;quot; minOccurs=&amp;quot;0&amp;quot; /&amp;gt;_x000d__x000a_                &amp;lt;xs:element name=&amp;quot;IsExistSeizure&amp;quot; type=&amp;quot;xs:boolean&amp;quot; minOccurs=&amp;quot;0&amp;quot; /&amp;gt;_x000d__x000a_                &amp;lt;xs:element name=&amp;quot;IsExemptionExistInCase&amp;quot; type=&amp;quot;xs:boolean&amp;quot; minOccurs=&amp;quot;0&amp;quot; /&amp;gt;_x000d__x000a_                &amp;lt;xs:element name=&amp;quot;IsDebitTransferedInCase&amp;quot; type=&amp;quot;xs:boolean&amp;quot; minOccurs=&amp;quot;0&amp;quot; /&amp;gt;_x000d__x000a_                &amp;lt;xs:element name=&amp;quot;IsUnconvertedCase&amp;quot; type=&amp;quot;xs:boolean&amp;quot; minOccurs=&amp;quot;0&amp;quot; /&amp;gt;_x000d__x000a_                &amp;lt;xs:element name=&amp;quot;ActiveInCaseSuspendedLawyers&amp;quot; type=&amp;quot;xs:string&amp;quot; minOccurs=&amp;quot;0&amp;quot; /&amp;gt;_x000d__x000a_                &amp;lt;xs:element name=&amp;quot;IsElectronicallyMonitoredDetainee&amp;quot; type=&amp;quot;xs:boolean&amp;quot; minOccurs=&amp;quot;0&amp;quot; /&amp;gt;_x000d__x000a_                &amp;lt;xs:element name=&amp;quot;IsCasePredictedToAge&amp;quot; type=&amp;quot;xs:int&amp;quot; default=&amp;quot;0&amp;quot; minOccurs=&amp;quot;0&amp;quot; /&amp;gt;_x000d__x000a_                &amp;lt;xs:element name=&amp;quot;PendingWebSubmissionsQty&amp;quot; type=&amp;quot;xs:int&amp;quot; minOccurs=&amp;quot;0&amp;quot; /&amp;gt;_x000d__x000a_                &amp;lt;xs:element name=&amp;quot;PreviousSerialNumber&amp;quot; type=&amp;quot;xs:string&amp;quot; minOccurs=&amp;quot;0&amp;quot; /&amp;gt;_x000d__x000a_              &amp;lt;/xs:sequence&amp;gt;_x000d__x000a_            &amp;lt;/xs:complexType&amp;gt;_x000d__x000a_          &amp;lt;/xs:element&amp;gt;_x000d__x000a_        &amp;lt;/xs:choice&amp;gt;_x000d__x000a_      &amp;lt;/xs:complexType&amp;gt;_x000d__x000a_    &amp;lt;/xs:element&amp;gt;_x000d__x000a_  &amp;lt;/xs:schema&amp;gt;_x000d__x000a_  &amp;lt;diffgr:diffgram xmlns:msdata=&amp;quot;urn:schemas-microsoft-com:xml-msdata&amp;quot; xmlns:diffgr=&amp;quot;urn:schemas-microsoft-com:xml-diffgram-v1&amp;quot;&amp;gt;_x000d__x000a_    &amp;lt;CasePresentationDS xmlns=&amp;quot;http://tempuri.org/CasePresentationDS.xsd&amp;quot;&amp;gt;_x000d__x000a_      &amp;lt;CasePresentationDataSet diffgr:id=&amp;quot;CasePresentationDataSet1&amp;quot; msdata:rowOrder=&amp;quot;0&amp;quot; diffgr:hasChanges=&amp;quot;modified&amp;quot;&amp;gt;_x000d__x000a_        &amp;lt;CaseID&amp;gt;79640818&amp;lt;/CaseID&amp;gt;_x000d__x000a_        &amp;lt;CaseMonth&amp;gt;9&amp;lt;/CaseMonth&amp;gt;_x000d__x000a_        &amp;lt;CaseYear&amp;gt;2022&amp;lt;/CaseYear&amp;gt;_x000d__x000a_        &amp;lt;CaseNumber&amp;gt;62046&amp;lt;/CaseNumber&amp;gt;_x000d__x000a_        &amp;lt;NumeratorGroupID&amp;gt;1&amp;lt;/NumeratorGroupID&amp;gt;_x000d__x000a_        &amp;lt;CaseName&amp;gt;עראידה נ&amp;#39; בנק מזרחי טפחות בעמ&amp;lt;/CaseName&amp;gt;_x000d__x000a_        &amp;lt;CourtID&amp;gt;26&amp;lt;/CourtID&amp;gt;_x000d__x000a_        &amp;lt;CaseTypeID&amp;gt;1&amp;lt;/CaseTypeID&amp;gt;_x000d__x000a_        &amp;lt;CaseInterestID&amp;gt;38&amp;lt;/CaseInterestID&amp;gt;_x000d__x000a_        &amp;lt;CaseJudgeName&amp;gt;רמזי חדיד&amp;lt;/CaseJudgeName&amp;gt;_x000d__x000a_        &amp;lt;ProcedureID&amp;gt;1&amp;lt;/ProcedureID&amp;gt;_x000d__x000a_        &amp;lt;CaseStatusID&amp;gt;1&amp;lt;/CaseStatusID&amp;gt;_x000d__x000a_        &amp;lt;ProceedingID&amp;gt;1&amp;lt;/ProceedingID&amp;gt;_x000d__x000a_        &amp;lt;IsCaseLinked&amp;gt;false&amp;lt;/IsCaseLinked&amp;gt;_x000d__x000a_        &amp;lt;PrivilegeID&amp;gt;1&amp;lt;/PrivilegeID&amp;gt;_x000d__x000a_        &amp;lt;IsAppealingCaseExist&amp;gt;false&amp;lt;/IsAppealingCaseExist&amp;gt;_x000d__x000a_        &amp;lt;CaseDisplayIdentifier&amp;gt;62046-09-22&amp;lt;/CaseDisplayIdentifier&amp;gt;_x000d__x000a_        &amp;lt;CaseTypeDesc&amp;gt;ת&amp;quot;א&amp;lt;/CaseTypeDesc&amp;gt;_x000d__x000a_        &amp;lt;CourtDesc&amp;gt;שלום חיפה&amp;lt;/CourtDesc&amp;gt;_x000d__x000a_        &amp;lt;CaseStageDesc&amp;gt;תיק אלקטרוני&amp;lt;/CaseStageDesc&amp;gt;_x000d__x000a_        &amp;lt;IsUnpaidFeeExist&amp;gt;false&amp;lt;/IsUnpaidFeeExist&amp;gt;_x000d__x000a_        &amp;lt;CaseOpenDate&amp;gt;2022-09-29T13:45:00+03:00&amp;lt;/CaseOpenDate&amp;gt;_x000d__x000a_        &amp;lt;PleaTypeID&amp;gt;4&amp;lt;/PleaTypeID&amp;gt;_x000d__x000a_        &amp;lt;CourtLevelID&amp;gt;1&amp;lt;/CourtLevelID&amp;gt;_x000d__x000a_        &amp;lt;CourtLevelCaseTypeInterestID&amp;gt;2121&amp;lt;/CourtLevelCaseTypeInterestID&amp;gt;_x000d__x000a_        &amp;lt;CaseJudgeFirstName&amp;gt;רמזי&amp;lt;/CaseJudgeFirstName&amp;gt;_x000d__x000a_        &amp;lt;CaseJudgeLastName&amp;gt;חדיד&amp;lt;/CaseJudgeLastName&amp;gt;_x000d__x000a_        &amp;lt;JudicalPersonID&amp;gt;059352013@GOV.IL&amp;lt;/JudicalPersonID&amp;gt;_x000d__x000a_        &amp;lt;IsJudicalPanel&amp;gt;false&amp;lt;/IsJudicalPanel&amp;gt;_x000d__x000a_        &amp;lt;CourtDisplayName&amp;gt;בית משפט השלום בחיפה&amp;lt;/CourtDisplayName&amp;gt;_x000d__x000a_        &amp;lt;IsAllStartDataCollected&amp;gt;true&amp;lt;/IsAllStartDataCollected&amp;gt;_x000d__x000a_        &amp;lt;CaseDesc /&amp;gt;_x000d__x000a_        &amp;lt;isExistMinorSide&amp;gt;false&amp;lt;/isExistMinorSide&amp;gt;_x000d__x000a_        &amp;lt;isExistMinorWitness&amp;gt;false&amp;lt;/isExistMinorWitness&amp;gt;_x000d__x000a_        &amp;lt;ArchivingActivityID&amp;gt;1&amp;lt;/ArchivingActivityID&amp;gt;_x000d__x000a_        &amp;lt;IsAccessibilityRequired&amp;gt;false&amp;lt;/IsAccessibilityRequired&amp;gt;_x000d__x000a_        &amp;lt;IsDecisionTypeZaveElyon&amp;gt;false&amp;lt;/IsDecisionTypeZaveElyon&amp;gt;_x000d__x000a_        &amp;lt;IsFeePaid&amp;gt;true&amp;lt;/IsFeePaid&amp;gt;_x000d__x000a_        &amp;lt;IsExistPrisoner&amp;gt;false&amp;lt;/IsExistPrisoner&amp;gt;_x000d__x000a_        &amp;lt;IsExistDetainee&amp;gt;false&amp;lt;/IsExistDetainee&amp;gt;_x000d__x000a_        &amp;lt;IsDebitExist&amp;gt;false&amp;lt;/IsDebitExist&amp;gt;_x000d__x000a_        &amp;lt;IsExistSeizure&amp;gt;false&amp;lt;/IsExistSeizure&amp;gt;_x000d__x000a_        &amp;lt;IsExemptionExistInCase&amp;gt;false&amp;lt;/IsExemptionExistInCase&amp;gt;_x000d__x000a_        &amp;lt;IsDebitTransferedInCase&amp;gt;false&amp;lt;/IsDebitTransferedInCase&amp;gt;_x000d__x000a_        &amp;lt;IsElectronicallyMonitoredDetainee&amp;gt;false&amp;lt;/IsElectronicallyMonitoredDetainee&amp;gt;_x000d__x000a_        &amp;lt;IsCasePredictedToAge&amp;gt;0&amp;lt;/IsCasePredictedToAge&amp;gt;_x000d__x000a_        &amp;lt;PendingWebSubmissionsQty&amp;gt;0&amp;lt;/PendingWebSubmissionsQty&amp;gt;_x000d__x000a_      &amp;lt;/CasePresentationDataSet&amp;gt;_x000d__x000a_    &amp;lt;/CasePresentationDS&amp;gt;_x000d__x000a_    &amp;lt;diffgr:before&amp;gt;_x000d__x000a_      &amp;lt;CasePresentationDataSet diffgr:id=&amp;quot;CasePresentationDataSet1&amp;quot; msdata:rowOrder=&amp;quot;0&amp;quot; xmlns=&amp;quot;http://tempuri.org/CasePresentationDS.xsd&amp;quot;&amp;gt;_x000d__x000a_        &amp;lt;CaseID&amp;gt;79640818&amp;lt;/CaseID&amp;gt;_x000d__x000a_        &amp;lt;CaseMonth&amp;gt;9&amp;lt;/CaseMonth&amp;gt;_x000d__x000a_        &amp;lt;CaseYear&amp;gt;2022&amp;lt;/CaseYear&amp;gt;_x000d__x000a_        &amp;lt;CaseNumber&amp;gt;62046&amp;lt;/CaseNumber&amp;gt;_x000d__x000a_        &amp;lt;NumeratorGroupID&amp;gt;1&amp;lt;/NumeratorGroupID&amp;gt;_x000d__x000a_        &amp;lt;CaseName&amp;gt;עראידה נ&amp;#39; בנק מזרחי טפחות בעמ&amp;lt;/CaseName&amp;gt;_x000d__x000a_        &amp;lt;CourtID&amp;gt;26&amp;lt;/CourtID&amp;gt;_x000d__x000a_        &amp;lt;CaseTypeID&amp;gt;1&amp;lt;/CaseTypeID&amp;gt;_x000d__x000a_        &amp;lt;CaseInterestID&amp;gt;38&amp;lt;/CaseInterestID&amp;gt;_x000d__x000a_        &amp;lt;CaseJudgeName&amp;gt;רמזי חדיד&amp;lt;/CaseJudgeName&amp;gt;_x000d__x000a_        &amp;lt;ProcedureID&amp;gt;1&amp;lt;/ProcedureID&amp;gt;_x000d__x000a_        &amp;lt;CaseStatusID&amp;gt;1&amp;lt;/CaseStatusID&amp;gt;_x000d__x000a_        &amp;lt;ProceedingID&amp;gt;1&amp;lt;/ProceedingID&amp;gt;_x000d__x000a_        &amp;lt;IsCaseLinked&amp;gt;false&amp;lt;/IsCaseLinked&amp;gt;_x000d__x000a_        &amp;lt;PrivilegeID&amp;gt;1&amp;lt;/PrivilegeID&amp;gt;_x000d__x000a_        &amp;lt;IsAppealingCaseExist&amp;gt;false&amp;lt;/IsAppealingCaseExist&amp;gt;_x000d__x000a_        &amp;lt;CaseDisplayIdentifier&amp;gt;62046-09-22&amp;lt;/CaseDisplayIdentifier&amp;gt;_x000d__x000a_        &amp;lt;CaseTypeDesc&amp;gt;ת&amp;quot;א&amp;lt;/CaseTypeDesc&amp;gt;_x000d__x000a_        &amp;lt;CourtDesc&amp;gt;שלום חיפה&amp;lt;/CourtDesc&amp;gt;_x000d__x000a_        &amp;lt;CaseStageDesc&amp;gt;תיק אלקטרוני&amp;lt;/CaseStageDesc&amp;gt;_x000d__x000a_        &amp;lt;CaseOpenDate&amp;gt;2022-09-29T13:45:00+03:00&amp;lt;/CaseOpenDate&amp;gt;_x000d__x000a_        &amp;lt;PleaTypeID&amp;gt;4&amp;lt;/PleaTypeID&amp;gt;_x000d__x000a_        &amp;lt;CourtLevelID&amp;gt;1&amp;lt;/CourtLevelID&amp;gt;_x000d__x000a_        &amp;lt;CourtLevelCaseTypeInterestID&amp;gt;2121&amp;lt;/CourtLevelCaseTypeInterestID&amp;gt;_x000d__x000a_        &amp;lt;CaseJudgeFirstName&amp;gt;רמזי&amp;lt;/CaseJudgeFirstName&amp;gt;_x000d__x000a_        &amp;lt;CaseJudgeLastName&amp;gt;חדיד&amp;lt;/CaseJudgeLastName&amp;gt;_x000d__x000a_        &amp;lt;JudicalPersonID&amp;gt;059352013@GOV.IL&amp;lt;/JudicalPersonID&amp;gt;_x000d__x000a_        &amp;lt;IsJudicalPanel&amp;gt;false&amp;lt;/IsJudicalPanel&amp;gt;_x000d__x000a_        &amp;lt;CourtDisplayName&amp;gt;בית משפט השלום בחיפה&amp;lt;/CourtDisplayName&amp;gt;_x000d__x000a_        &amp;lt;IsAllStartDataCollected&amp;gt;true&amp;lt;/IsAllStartDataCollected&amp;gt;_x000d__x000a_        &amp;lt;CaseDesc /&amp;gt;_x000d__x000a_        &amp;lt;ArchivingActivityID&amp;gt;1&amp;lt;/ArchivingActivityID&amp;gt;_x000d__x000a_        &amp;lt;IsAccessibilityRequired&amp;gt;false&amp;lt;/IsAccessibilityRequired&amp;gt;_x000d__x000a_        &amp;lt;IsCasePredictedToAge&amp;gt;0&amp;lt;/IsCasePredictedToAge&amp;gt;_x000d__x000a_        &amp;lt;PendingWebSubmissionsQty&amp;gt;0&amp;lt;/PendingWebSubmissionsQty&amp;gt;_x000d__x000a_      &amp;lt;/CasePresentationDataSet&amp;gt;_x000d__x000a_    &amp;lt;/diffgr:before&amp;gt;_x000d__x000a_  &amp;lt;/diffgr:diffgram&amp;gt;_x000d__x000a_&amp;lt;/CasePresentationDS&amp;gt;"/>
    <w:docVar w:name="CourtID" w:val="26"/>
    <w:docVar w:name="DecisionDS" w:val="&amp;lt;?xml version=&amp;quot;1.0&amp;quot;?&amp;gt;_x000d__x000a_&amp;lt;DecisionDS&amp;gt;_x000d__x000a_  &amp;lt;xs:schema id=&amp;quot;DecisionDS&amp;quot; targetNamespace=&amp;quot;http://www.tempuri.org/DecisionDS.xsd&amp;quot; xmlns:mstns=&amp;quot;http://www.tempuri.org/DecisionDS.xsd&amp;quot; xmlns=&amp;quot;http://www.tempuri.org/DecisionDS.xsd&amp;quot; xmlns:xs=&amp;quot;http://www.w3.org/2001/XMLSchema&amp;quot; xmlns:msdata=&amp;quot;urn:schemas-microsoft-com:xml-msdata&amp;quot; attributeFormDefault=&amp;quot;qualified&amp;quot; elementFormDefault=&amp;quot;qualified&amp;quot;&amp;gt;_x000d__x000a_    &amp;lt;xs:element name=&amp;quot;DecisionDS&amp;quot; msdata:IsDataSet=&amp;quot;true&amp;quot; msdata:Locale=&amp;quot;he-IL&amp;quot;&amp;gt;_x000d__x000a_      &amp;lt;xs:complexType&amp;gt;_x000d__x000a_        &amp;lt;xs:choice minOccurs=&amp;quot;0&amp;quot; maxOccurs=&amp;quot;unbounded&amp;quot;&amp;gt;_x000d__x000a_          &amp;lt;xs:element name=&amp;quot;dt_Decision&amp;quot;&amp;gt;_x000d__x000a_            &amp;lt;xs:complexType&amp;gt;_x000d__x000a_              &amp;lt;xs:sequence&amp;gt;_x000d__x000a_                &amp;lt;xs:element name=&amp;quot;DecisionID&amp;quot; msdata:ReadOnly=&amp;quot;true&amp;quot; msdata:AutoIncrement=&amp;quot;true&amp;quot; type=&amp;quot;xs:int&amp;quot; /&amp;gt;_x000d__x000a_                &amp;lt;xs:element name=&amp;quot;DecisionNumber&amp;quot; type=&amp;quot;xs:int&amp;quot; minOccurs=&amp;quot;0&amp;quot; /&amp;gt;_x000d__x000a_                &amp;lt;xs:element name=&amp;quot;DecisionName&amp;quot; type=&amp;quot;xs:string&amp;quot; /&amp;gt;_x000d__x000a_                &amp;lt;xs:element name=&amp;quot;DecisionStatusID&amp;quot; type=&amp;quot;xs:int&amp;quot; /&amp;gt;_x000d__x000a_                &amp;lt;xs:element name=&amp;quot;DecisionStatusChangeDate&amp;quot; type=&amp;quot;xs:dateTime&amp;quot; /&amp;gt;_x000d__x000a_                &amp;lt;xs:element name=&amp;quot;DecisionSignatureDate&amp;quot; type=&amp;quot;xs:dateTime&amp;quot; minOccurs=&amp;quot;0&amp;quot; /&amp;gt;_x000d__x000a_                &amp;lt;xs:element name=&amp;quot;DecisionSignatureUserID&amp;quot; type=&amp;quot;xs:string&amp;quot; minOccurs=&amp;quot;0&amp;quot; /&amp;gt;_x000d__x000a_                &amp;lt;xs:element name=&amp;quot;DecisionCreateDate&amp;quot; type=&amp;quot;xs:dateTime&amp;quot; /&amp;gt;_x000d__x000a_                &amp;lt;xs:element name=&amp;quot;DecisionChangeDate&amp;quot; type=&amp;quot;xs:dateTime&amp;quot; minOccurs=&amp;quot;0&amp;quot; /&amp;gt;_x000d__x000a_                &amp;lt;xs:element name=&amp;quot;DecisionChangeUserID&amp;quot; type=&amp;quot;xs:string&amp;quot; minOccurs=&amp;quot;0&amp;quot; /&amp;gt;_x000d__x000a_                &amp;lt;xs:element name=&amp;quot;DecisionDesc&amp;quot; type=&amp;quot;xs:string&amp;quot; minOccurs=&amp;quot;0&amp;quot; /&amp;gt;_x000d__x000a_                &amp;lt;xs:element name=&amp;quot;IsChosenDecision&amp;quot; type=&amp;quot;xs:boolean&amp;quot; default=&amp;quot;false&amp;quot; /&amp;gt;_x000d__x000a_                &amp;lt;xs:element name=&amp;quot;IsDecisionImplementationTask&amp;quot; type=&amp;quot;xs:boolean&amp;quot; default=&amp;quot;false&amp;quot; minOccurs=&amp;quot;0&amp;quot; /&amp;gt;_x000d__x000a_                &amp;lt;xs:element name=&amp;quot;IsDecisionInProtocol&amp;quot; type=&amp;quot;xs:boolean&amp;quot; default=&amp;quot;false&amp;quot; /&amp;gt;_x000d__x000a_                &amp;lt;xs:element name=&amp;quot;DecisionTypeID&amp;quot; type=&amp;quot;xs:int&amp;quot; /&amp;gt;_x000d__x000a_                &amp;lt;xs:element name=&amp;quot;DecisionText&amp;quot; type=&amp;quot;xs:string&amp;quot; minOccurs=&amp;quot;0&amp;quot; /&amp;gt;_x000d__x000a_                &amp;lt;xs:element name=&amp;quot;IsOnlyOneParty&amp;quot; type=&amp;quot;xs:boolean&amp;quot; default=&amp;quot;false&amp;quot; /&amp;gt;_x000d__x000a_                &amp;lt;xs:element name=&amp;quot;IsCanceledDecision&amp;quot; type=&amp;quot;xs:boolean&amp;quot; default=&amp;quot;false&amp;quot; /&amp;gt;_x000d__x000a_                &amp;lt;xs:element name=&amp;quot;DecisionLinkID&amp;quot; type=&amp;quot;xs:int&amp;quot; minOccurs=&amp;quot;0&amp;quot; /&amp;gt;_x000d__x000a_                &amp;lt;xs:element name=&amp;quot;DecisionLinkTypeID&amp;quot; type=&amp;quot;xs:int&amp;quot; minOccurs=&amp;quot;0&amp;quot; /&amp;gt;_x000d__x000a_                &amp;lt;xs:element name=&amp;quot;DocumentID&amp;quot; type=&amp;quot;xs:int&amp;quot; minOccurs=&amp;quot;0&amp;quot; /&amp;gt;_x000d__x000a_                &amp;lt;xs:element name=&amp;quot;PrivilegeID&amp;quot; type=&amp;quot;xs:int&amp;quot; /&amp;gt;_x000d__x000a_                &amp;lt;xs:element name=&amp;quot;IsDecisionConverted&amp;quot; type=&amp;quot;xs:boolean&amp;quot; default=&amp;quot;false&amp;quot; /&amp;gt;_x000d__x000a_                &amp;lt;xs:element name=&amp;quot;SignatureUserTypeID&amp;quot; type=&amp;quot;xs:int&amp;quot; minOccurs=&amp;quot;0&amp;quot; /&amp;gt;_x000d__x000a_                &amp;lt;xs:element name=&amp;quot;IsOpenedToSecondSide&amp;quot; type=&amp;quot;xs:boolean&amp;quot; default=&amp;quot;false&amp;quot; /&amp;gt;_x000d__x000a_                &amp;lt;xs:element name=&amp;quot;IsDecisionAppeled&amp;quot; type=&amp;quot;xs:boolean&amp;quot; default=&amp;quot;false&amp;quot; /&amp;gt;_x000d__x000a_                &amp;lt;xs:element name=&amp;quot;DecisionWriterID&amp;quot; type=&amp;quot;xs:string&amp;quot; minOccurs=&amp;quot;0&amp;quot; /&amp;gt;_x000d__x000a_                &amp;lt;xs:element name=&amp;quot;IsInstruction&amp;quot; type=&amp;quot;xs:boolean&amp;quot; default=&amp;quot;false&amp;quot; /&amp;gt;_x000d__x000a_                &amp;lt;xs:element name=&amp;quot;PreviousCaseID&amp;quot; type=&amp;quot;xs:string&amp;quot; minOccurs=&amp;quot;0&amp;quot; /&amp;gt;_x000d__x000a_                &amp;lt;xs:element name=&amp;quot;IsNeedAllSignatures&amp;quot; type=&amp;quot;xs:boolean&amp;quot; default=&amp;quot;false&amp;quot; minOccurs=&amp;quot;0&amp;quot; /&amp;gt;_x000d__x000a_                &amp;lt;xs:element name=&amp;quot;DecisionAttributeID&amp;quot; type=&amp;quot;xs:int&amp;quot; minOccurs=&amp;quot;0&amp;quot; /&amp;gt;_x000d__x000a_                &amp;lt;xs:element name=&amp;quot;DecisionCreationUserID&amp;quot; type=&amp;quot;xs:string&amp;quot; /&amp;gt;_x000d__x000a_                &amp;lt;xs:element name=&amp;quot;DecisionLinkName&amp;quot; type=&amp;quot;xs:string&amp;quot; minOccurs=&amp;quot;0&amp;quot; /&amp;gt;_x000d__x000a_                &amp;lt;xs:element name=&amp;quot;DecisionLinkCaseID&amp;quot; type=&amp;quot;xs:int&amp;quot; minOccurs=&amp;quot;0&amp;quot; /&amp;gt;_x000d__x000a_                &amp;lt;xs:element name=&amp;quot;DecisionDisplayName&amp;quot; type=&amp;quot;xs:string&amp;quot; minOccurs=&amp;quot;0&amp;quot; /&amp;gt;_x000d__x000a_                &amp;lt;xs:element name=&amp;quot;IsScanned&amp;quot; type=&amp;quot;xs:boolean&amp;quot; minOccurs=&amp;quot;0&amp;quot; /&amp;gt;_x000d__x000a_                &amp;lt;xs:element name=&amp;quot;DecisionSignatureUserName&amp;quot; type=&amp;quot;xs:string&amp;quot; minOccurs=&amp;quot;0&amp;quot; /&amp;gt;_x000d__x000a_                &amp;lt;xs:element name=&amp;quot;ChangePrivilegeUserID&amp;quot; type=&amp;quot;xs:string&amp;quot; minOccurs=&amp;quot;0&amp;quot; /&amp;gt;_x000d__x000a_                &amp;lt;xs:element name=&amp;quot;PublishInWebUserID&amp;quot; type=&amp;quot;xs:string&amp;quot; minOccurs=&amp;quot;0&amp;quot; /&amp;gt;_x000d__x000a_                &amp;lt;xs:element name=&amp;quot;NotificationTypeID&amp;quot; type=&amp;quot;xs:int&amp;quot; default=&amp;quot;1&amp;quot; minOccurs=&amp;quot;0&amp;quot; /&amp;gt;_x000d__x000a_                &amp;lt;xs:element name=&amp;quot;NotificationAuthorizeUserID&amp;quot; type=&amp;quot;xs:string&amp;quot; minOccurs=&amp;quot;0&amp;quot; /&amp;gt;_x000d__x000a_                &amp;lt;xs:element name=&amp;quot;DecisionReleaseDate&amp;quot; type=&amp;quot;xs:dateTime&amp;quot; minOccurs=&amp;quot;0&amp;quot; /&amp;gt;_x000d__x000a_                &amp;lt;xs:element name=&amp;quot;IsDecisionInNote&amp;quot; type=&amp;quot;xs:boolean&amp;quot; default=&amp;quot;false&amp;quot; /&amp;gt;_x000d__x000a_                &amp;lt;xs:element name=&amp;quot;IsDecisionUrgency&amp;quot; type=&amp;quot;xs:boolean&amp;quot; default=&amp;quot;false&amp;quot; /&amp;gt;_x000d__x000a_                &amp;lt;xs:element name=&amp;quot;IsTechnicalCancel&amp;quot; type=&amp;quot;xs:boolean&amp;quot; minOccurs=&amp;quot;0&amp;quot; /&amp;gt;_x000d__x000a_                &amp;lt;xs:element name=&amp;quot;IsPublishSmallCensorVersion&amp;quot; type=&amp;quot;xs:boolean&amp;quot; default=&amp;quot;false&amp;quot; minOccurs=&amp;quot;0&amp;quot; /&amp;gt;_x000d__x000a_                &amp;lt;xs:element name=&amp;quot;IsIDCPublished&amp;quot; type=&amp;quot;xs:boolean&amp;quot; default=&amp;quot;false&amp;quot; minOccurs=&amp;quot;0&amp;quot; /&amp;gt;_x000d__x000a_                &amp;lt;xs:element name=&amp;quot;SummaryVersionDocumentID&amp;quot; type=&amp;quot;xs:int&amp;quot; minOccurs=&amp;quot;0&amp;quot; /&amp;gt;_x000d__x000a_                &amp;lt;xs:element name=&amp;quot;IsIDCPublishedForSummary&amp;quot; type=&amp;quot;xs:boolean&amp;quot; default=&amp;quot;false&amp;quot; minOccurs=&amp;quot;0&amp;quot; /&amp;gt;_x000d__x000a_                &amp;lt;xs:element name=&amp;quot;DecisionNumberInCase&amp;quot; type=&amp;quot;xs:int&amp;quot; minOccurs=&amp;quot;0&amp;quot; /&amp;gt;_x000d__x000a_                &amp;lt;xs:element name=&amp;quot;DecisionNote&amp;quot; type=&amp;quot;xs:string&amp;quot; minOccurs=&amp;quot;0&amp;quot; /&amp;gt;_x000d__x000a_                &amp;lt;xs:element name=&amp;quot;DecisionMeetingDate&amp;quot; type=&amp;quot;xs:dateTime&amp;quot; minOccurs=&amp;quot;0&amp;quot; /&amp;gt;_x000d__x000a_                &amp;lt;xs:element name=&amp;quot;IsViewInSiteChosenVerdict&amp;quot; type=&amp;quot;xs:boolean&amp;quot; minOccurs=&amp;quot;0&amp;quot; /&amp;gt;_x000d__x000a_                &amp;lt;xs:element name=&amp;quot;IsOriginal&amp;quot; type=&amp;quot;xs:boolean&amp;quot; minOccurs=&amp;quot;0&amp;quot; /&amp;gt;_x000d__x000a_              &amp;lt;/xs:sequence&amp;gt;_x000d__x000a_            &amp;lt;/xs:complexType&amp;gt;_x000d__x000a_          &amp;lt;/xs:element&amp;gt;_x000d__x000a_          &amp;lt;xs:element name=&amp;quot;dt_DecisionCase&amp;quot;&amp;gt;_x000d__x000a_            &amp;lt;xs:complexType&amp;gt;_x000d__x000a_              &amp;lt;xs:sequence&amp;gt;_x000d__x000a_                &amp;lt;xs:element name=&amp;quot;DecisionID&amp;quot; type=&amp;quot;xs:int&amp;quot; /&amp;gt;_x000d__x000a_                &amp;lt;xs:element name=&amp;quot;CaseID&amp;quot; type=&amp;quot;xs:int&amp;quot; /&amp;gt;_x000d__x000a_                &amp;lt;xs:element name=&amp;quot;IsOriginal&amp;quot; type=&amp;quot;xs:boolean&amp;quot; default=&amp;quot;false&amp;quot; minOccurs=&amp;quot;0&amp;quot; /&amp;gt;_x000d__x000a_                &amp;lt;xs:element name=&amp;quot;IsDeleted&amp;quot; type=&amp;quot;xs:boolean&amp;quot; default=&amp;quot;false&amp;quot; /&amp;gt;_x000d__x000a_                &amp;lt;xs:element name=&amp;quot;CaseLinkTypeID&amp;quot; type=&amp;quot;xs:int&amp;quot; minOccurs=&amp;quot;0&amp;quot; /&amp;gt;_x000d__x000a_                &amp;lt;xs:element name=&amp;quot;CaseName&amp;quot; type=&amp;quot;xs:string&amp;quot; minOccurs=&amp;quot;0&amp;quot; /&amp;gt;_x000d__x000a_                &amp;lt;xs:element name=&amp;quot;CaseDisplayIdentifier&amp;quot; type=&amp;quot;xs:string&amp;quot; minOccurs=&amp;quot;0&amp;quot; /&amp;gt;_x000d__x000a_              &amp;lt;/xs:sequence&amp;gt;_x000d__x000a_            &amp;lt;/xs:complexType&amp;gt;_x000d__x000a_          &amp;lt;/xs:element&amp;gt;_x000d__x000a_          &amp;lt;xs:element name=&amp;quot;dt_DecisionMotion&amp;quot;&amp;gt;_x000d__x000a_            &amp;lt;xs:complexType&amp;gt;_x000d__x000a_              &amp;lt;xs:sequence&amp;gt;_x000d__x000a_                &amp;lt;xs:element name=&amp;quot;DecisionID&amp;quot; type=&amp;quot;xs:int&amp;quot; /&amp;gt;_x000d__x000a_                &amp;lt;xs:element name=&amp;quot;MotionID&amp;quot; type=&amp;quot;xs:int&amp;quot; /&amp;gt;_x000d__x000a_                &amp;lt;xs:element name=&amp;quot;DecisionResultID&amp;quot; type=&amp;quot;xs:int&amp;quot; minOccurs=&amp;quot;0&amp;quot; /&amp;gt;_x000d__x000a_                &amp;lt;xs:element name=&amp;quot;IsOriginalMotion&amp;quot; type=&amp;quot;xs:boolean&amp;quot; default=&amp;quot;false&amp;quot; minOccurs=&amp;quot;0&amp;quot; /&amp;gt;_x000d__x000a_                &amp;lt;xs:element name=&amp;quot;MotionName&amp;quot; type=&amp;quot;xs:string&amp;quot; minOccurs=&amp;quot;0&amp;quot; /&amp;gt;_x000d__x000a_                &amp;lt;xs:element name=&amp;quot;MotionOpenDate&amp;quot; type=&amp;quot;xs:dateTime&amp;quot; minOccurs=&amp;quot;0&amp;quot; /&amp;gt;_x000d__x000a_                &amp;lt;xs:element name=&amp;quot;CaseID&amp;quot; type=&amp;quot;xs:int&amp;quot; minOccurs=&amp;quot;0&amp;quot; /&amp;gt;_x000d__x000a_                &amp;lt;xs:element name=&amp;quot;CaseDisplayIdentifier&amp;quot; type=&amp;quot;xs:string&amp;quot; minOccurs=&amp;quot;0&amp;quot; /&amp;gt;_x000d__x000a_                &amp;lt;xs:element name=&amp;quot;ProcessNumber&amp;quot; type=&amp;quot;xs:int&amp;quot; minOccurs=&amp;quot;0&amp;quot; /&amp;gt;_x000d__x000a_                &amp;lt;xs:element name=&amp;quot;ListOfProcessIds&amp;quot; type=&amp;quot;xs:string&amp;quot; minOccurs=&amp;quot;0&amp;quot; /&amp;gt;_x000d__x000a_              &amp;lt;/xs:sequence&amp;gt;_x000d__x000a_            &amp;lt;/xs:complexType&amp;gt;_x000d__x000a_          &amp;lt;/xs:element&amp;gt;_x000d__x000a_          &amp;lt;xs:element name=&amp;quot;dt_DecisionProtocol&amp;quot;&amp;gt;_x000d__x000a_            &amp;lt;xs:complexType&amp;gt;_x000d__x000a_              &amp;lt;xs:sequence&amp;gt;_x000d__x000a_                &amp;lt;xs:element name=&amp;quot;DecisionID&amp;quot; type=&amp;quot;xs:int&amp;quot; /&amp;gt;_x000d__x000a_                &amp;lt;xs:element name=&amp;quot;ProtocolID&amp;quot; type=&amp;quot;xs:int&amp;quot; /&amp;gt;_x000d__x000a_                &amp;lt;xs:element name=&amp;quot;ProtocolEventID&amp;quot; type=&amp;quot;xs:int&amp;quot; /&amp;gt;_x000d__x000a_              &amp;lt;/xs:sequence&amp;gt;_x000d__x000a_            &amp;lt;/xs:complexType&amp;gt;_x000d__x000a_          &amp;lt;/xs:element&amp;gt;_x000d__x000a_          &amp;lt;xs:element name=&amp;quot;dt_DecisionJudgePanel&amp;quot;&amp;gt;_x000d__x000a_            &amp;lt;xs:complexType&amp;gt;_x000d__x000a_              &amp;lt;xs:sequence&amp;gt;_x000d__x000a_                &amp;lt;xs:element name=&amp;quot;DecisionID&amp;quot; type=&amp;quot;xs:int&amp;quot; /&amp;gt;_x000d__x000a_                &amp;lt;xs:element name=&amp;quot;JudgeID&amp;quot; type=&amp;quot;xs:string&amp;quot; /&amp;gt;_x000d__x000a_                &amp;lt;xs:element name=&amp;quot;DocumentSendDate&amp;quot; type=&amp;quot;xs:dateTime&amp;quot; minOccurs=&amp;quot;0&amp;quot; /&amp;gt;_x000d__x000a_                &amp;lt;xs:element name=&amp;quot;FinalDate&amp;quot; type=&amp;quot;xs:dateTime&amp;quot; minOccurs=&amp;quot;0&amp;quot; /&amp;gt;_x000d__x000a_                &amp;lt;xs:element name=&amp;quot;SignatureDate&amp;quot; type=&amp;quot;xs:dateTime&amp;quot; minOccurs=&amp;quot;0&amp;quot; /&amp;gt;_x000d__x000a_                &amp;lt;xs:element name=&amp;quot;DocumentID&amp;quot; type=&amp;quot;xs:int&amp;quot; minOccurs=&amp;quot;0&amp;quot; /&amp;gt;_x000d__x000a_                &amp;lt;xs:element name=&amp;quot;DecisionOpinionDate&amp;quot; type=&amp;quot;xs:dateTime&amp;quot; minOccurs=&amp;quot;0&amp;quot; /&amp;gt;_x000d__x000a_                &amp;lt;xs:element name=&amp;quot;WriterViewedDraftDate&amp;quot; type=&amp;quot;xs:dateTime&amp;quot; minOccurs=&amp;quot;0&amp;quot; /&amp;gt;_x000d__x000a_                &amp;lt;xs:element name=&amp;quot;IsNeedAllSignatures&amp;quot; type=&amp;quot;xs:boolean&amp;quot; minOccurs=&amp;quot;0&amp;quot; /&amp;gt;_x000d__x000a_                &amp;lt;xs:element name=&amp;quot;DocumentIDNotes&amp;quot; type=&amp;quot;xs:int&amp;quot; minOccurs=&amp;quot;0&amp;quot; /&amp;gt;_x000d__x000a_                &amp;lt;xs:element name=&amp;quot;OrdinalNumber&amp;quot; type=&amp;quot;xs:int&amp;quot; minOccurs=&amp;quot;0&amp;quot; /&amp;gt;_x000d__x000a_              &amp;lt;/xs:sequence&amp;gt;_x000d__x000a_            &amp;lt;/xs:complexType&amp;gt;_x000d__x000a_          &amp;lt;/xs:element&amp;gt;_x000d__x000a_          &amp;lt;xs:element name=&amp;quot;dt_Attachments&amp;quot;&amp;gt;_x000d__x000a_            &amp;lt;xs:complexType&amp;gt;_x000d__x000a_              &amp;lt;xs:sequence&amp;gt;_x000d__x000a_                &amp;lt;xs:element name=&amp;quot;DocumentID&amp;quot; type=&amp;quot;xs:int&amp;quot; minOccurs=&amp;quot;0&amp;quot; /&amp;gt;_x000d__x000a_                &amp;lt;xs:element name=&amp;quot;DocumentStatusChangeDate&amp;quot; type=&amp;quot;xs:dateTime&amp;quot; minOccurs=&amp;quot;0&amp;quot; /&amp;gt;_x000d__x000a_                &amp;lt;xs:element name=&amp;quot;DocumentDesc&amp;quot; type=&amp;quot;xs:string&amp;quot; minOccurs=&amp;quot;0&amp;quot; /&amp;gt;_x000d__x000a_                &amp;lt;xs:element name=&amp;quot;DocumentMainID&amp;quot; type=&amp;quot;xs:int&amp;quot; minOccurs=&amp;quot;0&amp;quot; /&amp;gt;_x000d__x000a_                &amp;lt;xs:element name=&amp;quot;IsIDCPublished&amp;quot; type=&amp;quot;xs:boolean&amp;quot; default=&amp;quot;false&amp;quot; minOccurs=&amp;quot;0&amp;quot; /&amp;gt;_x000d__x000a_              &amp;lt;/xs:sequence&amp;gt;_x000d__x000a_            &amp;lt;/xs:complexType&amp;gt;_x000d__x000a_          &amp;lt;/xs:element&amp;gt;_x000d__x000a_        &amp;lt;/xs:choice&amp;gt;_x000d__x000a_      &amp;lt;/xs:complexType&amp;gt;_x000d__x000a_      &amp;lt;xs:unique name=&amp;quot;DecisionDSKey1&amp;quot; msdata:PrimaryKey=&amp;quot;true&amp;quot;&amp;gt;_x000d__x000a_        &amp;lt;xs:selector xpath=&amp;quot;.//mstns:dt_Decision&amp;quot; /&amp;gt;_x000d__x000a_        &amp;lt;xs:field xpath=&amp;quot;mstns:DecisionID&amp;quot; /&amp;gt;_x000d__x000a_      &amp;lt;/xs:unique&amp;gt;_x000d__x000a_      &amp;lt;xs:unique name=&amp;quot;DecisionDSKey2&amp;quot; msdata:PrimaryKey=&amp;quot;true&amp;quot;&amp;gt;_x000d__x000a_        &amp;lt;xs:selector xpath=&amp;quot;.//mstns:dt_DecisionCase&amp;quot; /&amp;gt;_x000d__x000a_        &amp;lt;xs:field xpath=&amp;quot;mstns:DecisionID&amp;quot; /&amp;gt;_x000d__x000a_        &amp;lt;xs:field xpath=&amp;quot;mstns:CaseID&amp;quot; /&amp;gt;_x000d__x000a_      &amp;lt;/xs:unique&amp;gt;_x000d__x000a_      &amp;lt;xs:unique name=&amp;quot;DecisionDSKey3&amp;quot; msdata:PrimaryKey=&amp;quot;true&amp;quot;&amp;gt;_x000d__x000a_        &amp;lt;xs:selector xpath=&amp;quot;.//mstns:dt_DecisionMotion&amp;quot; /&amp;gt;_x000d__x000a_        &amp;lt;xs:field xpath=&amp;quot;mstns:DecisionID&amp;quot; /&amp;gt;_x000d__x000a_        &amp;lt;xs:field xpath=&amp;quot;mstns:MotionID&amp;quot; /&amp;gt;_x000d__x000a_      &amp;lt;/xs:unique&amp;gt;_x000d__x000a_      &amp;lt;xs:unique name=&amp;quot;DecisionDSKey4&amp;quot; msdata:PrimaryKey=&amp;quot;true&amp;quot;&amp;gt;_x000d__x000a_        &amp;lt;xs:selector xpath=&amp;quot;.//mstns:dt_DecisionProtocol&amp;quot; /&amp;gt;_x000d__x000a_        &amp;lt;xs:field xpath=&amp;quot;mstns:DecisionID&amp;quot; /&amp;gt;_x000d__x000a_        &amp;lt;xs:field xpath=&amp;quot;mstns:ProtocolID&amp;quot; /&amp;gt;_x000d__x000a_        &amp;lt;xs:field xpath=&amp;quot;mstns:ProtocolEventID&amp;quot; /&amp;gt;_x000d__x000a_      &amp;lt;/xs:unique&amp;gt;_x000d__x000a_      &amp;lt;xs:unique name=&amp;quot;DecisionDSKey10&amp;quot; msdata:PrimaryKey=&amp;quot;true&amp;quot;&amp;gt;_x000d__x000a_        &amp;lt;xs:selector xpath=&amp;quot;.//mstns:dt_DecisionJudgePanel&amp;quot; /&amp;gt;_x000d__x000a_        &amp;lt;xs:field xpath=&amp;quot;mstns:DecisionID&amp;quot; /&amp;gt;_x000d__x000a_        &amp;lt;xs:field xpath=&amp;quot;mstns:JudgeID&amp;quot; /&amp;gt;_x000d__x000a_      &amp;lt;/xs:unique&amp;gt;_x000d__x000a_      &amp;lt;xs:keyref name=&amp;quot;dt_Decisiondt_DecisionJudgePanel&amp;quot; refer=&amp;quot;DecisionDSKey1&amp;quot;&amp;gt;_x000d__x000a_        &amp;lt;xs:selector xpath=&amp;quot;.//mstns:dt_DecisionJudgePanel&amp;quot; /&amp;gt;_x000d__x000a_        &amp;lt;xs:field xpath=&amp;quot;mstns:DecisionID&amp;quot; /&amp;gt;_x000d__x000a_      &amp;lt;/xs:keyref&amp;gt;_x000d__x000a_      &amp;lt;xs:keyref name=&amp;quot;dt_Decisiondt_DecisionProtocol&amp;quot; refer=&amp;quot;DecisionDSKey1&amp;quot;&amp;gt;_x000d__x000a_        &amp;lt;xs:selector xpath=&amp;quot;.//mstns:dt_DecisionProtocol&amp;quot; /&amp;gt;_x000d__x000a_        &amp;lt;xs:field xpath=&amp;quot;mstns:DecisionID&amp;quot; /&amp;gt;_x000d__x000a_      &amp;lt;/xs:keyref&amp;gt;_x000d__x000a_      &amp;lt;xs:keyref name=&amp;quot;dt_Decisiondt_DecisionMotion&amp;quot; refer=&amp;quot;DecisionDSKey1&amp;quot;&amp;gt;_x000d__x000a_        &amp;lt;xs:selector xpath=&amp;quot;.//mstns:dt_DecisionMotion&amp;quot; /&amp;gt;_x000d__x000a_        &amp;lt;xs:field xpath=&amp;quot;mstns:DecisionID&amp;quot; /&amp;gt;_x000d__x000a_      &amp;lt;/xs:keyref&amp;gt;_x000d__x000a_      &amp;lt;xs:keyref name=&amp;quot;dt_Decisiondt_DecisionCase&amp;quot; refer=&amp;quot;DecisionDSKey1&amp;quot;&amp;gt;_x000d__x000a_        &amp;lt;xs:selector xpath=&amp;quot;.//mstns:dt_DecisionCase&amp;quot; /&amp;gt;_x000d__x000a_        &amp;lt;xs:field xpath=&amp;quot;mstns:DecisionID&amp;quot; /&amp;gt;_x000d__x000a_      &amp;lt;/xs:keyref&amp;gt;_x000d__x000a_    &amp;lt;/xs:element&amp;gt;_x000d__x000a_  &amp;lt;/xs:schema&amp;gt;_x000d__x000a_  &amp;lt;diffgr:diffgram xmlns:msdata=&amp;quot;urn:schemas-microsoft-com:xml-msdata&amp;quot; xmlns:diffgr=&amp;quot;urn:schemas-microsoft-com:xml-diffgram-v1&amp;quot;&amp;gt;_x000d__x000a_    &amp;lt;DecisionDS xmlns=&amp;quot;http://www.tempuri.org/DecisionDS.xsd&amp;quot;&amp;gt;_x000d__x000a_      &amp;lt;dt_Decision diffgr:id=&amp;quot;dt_Decision1&amp;quot; msdata:rowOrder=&amp;quot;0&amp;quot;&amp;gt;_x000d__x000a_        &amp;lt;DecisionID&amp;gt;146464437&amp;lt;/DecisionID&amp;gt;_x000d__x000a_        &amp;lt;DecisionNumber&amp;gt;9&amp;lt;/DecisionNumber&amp;gt;_x000d__x000a_        &amp;lt;DecisionName&amp;gt;פסק דין  שניתנה ע&amp;quot;י  רמזי חדיד&amp;lt;/DecisionName&amp;gt;_x000d__x000a_        &amp;lt;DecisionStatusID&amp;gt;1&amp;lt;/DecisionStatusID&amp;gt;_x000d__x000a_        &amp;lt;DecisionStatusChangeDate&amp;gt;2024-01-17T12:39:58.563+02:00&amp;lt;/DecisionStatusChangeDate&amp;gt;_x000d__x000a_        &amp;lt;DecisionSignatureDate&amp;gt;2023-07-27T15:57:48.653+03:00&amp;lt;/DecisionSignatureDate&amp;gt;_x000d__x000a_        &amp;lt;DecisionSignatureUserID&amp;gt;059352013@GOV.IL&amp;lt;/DecisionSignatureUserID&amp;gt;_x000d__x000a_        &amp;lt;DecisionCreateDate&amp;gt;2023-07-26T14:18:05.853+03:00&amp;lt;/DecisionCreateDate&amp;gt;_x000d__x000a_        &amp;lt;DecisionChangeDate&amp;gt;2024-01-17T12:39:58.757+02:00&amp;lt;/DecisionChangeDate&amp;gt;_x000d__x000a_        &amp;lt;DecisionChangeUserID&amp;gt;300206646@GOV.IL&amp;lt;/DecisionChangeUserID&amp;gt;_x000d__x000a_        &amp;lt;IsChosenDecision&amp;gt;false&amp;lt;/IsChosenDecision&amp;gt;_x000d__x000a_        &amp;lt;IsDecisionImplementationTask&amp;gt;true&amp;lt;/IsDecisionImplementationTask&amp;gt;_x000d__x000a_        &amp;lt;IsDecisionInProtocol&amp;gt;false&amp;lt;/IsDecisionInProtocol&amp;gt;_x000d__x000a_        &amp;lt;DecisionTypeID&amp;gt;2&amp;lt;/DecisionTypeID&amp;gt;_x000d__x000a_        &amp;lt;IsOnlyOneParty&amp;gt;false&amp;lt;/IsOnlyOneParty&amp;gt;_x000d__x000a_        &amp;lt;IsCanceledDecision&amp;gt;false&amp;lt;/IsCanceledDecision&amp;gt;_x000d__x000a_        &amp;lt;DocumentID&amp;gt;418029246&amp;lt;/DocumentID&amp;gt;_x000d__x000a_        &amp;lt;PrivilegeID&amp;gt;1&amp;lt;/PrivilegeID&amp;gt;_x000d__x000a_        &amp;lt;IsDecisionConverted&amp;gt;false&amp;lt;/IsDecisionConverted&amp;gt;_x000d__x000a_        &amp;lt;IsOpenedToSecondSide&amp;gt;false&amp;lt;/IsOpenedToSecondSide&amp;gt;_x000d__x000a_        &amp;lt;IsDecisionAppeled&amp;gt;false&amp;lt;/IsDecisionAppeled&amp;gt;_x000d__x000a_        &amp;lt;DecisionWriterID&amp;gt;059352013@GOV.IL&amp;lt;/DecisionWriterID&amp;gt;_x000d__x000a_        &amp;lt;IsInstruction&amp;gt;false&amp;lt;/IsInstruction&amp;gt;_x000d__x000a_        &amp;lt;IsNeedAllSignatures&amp;gt;false&amp;lt;/IsNeedAllSignatures&amp;gt;_x000d__x000a_        &amp;lt;DecisionAttributeID&amp;gt;1&amp;lt;/DecisionAttributeID&amp;gt;_x000d__x000a_        &amp;lt;DecisionCreationUserID&amp;gt;300206646@GOV.IL&amp;lt;/DecisionCreationUserID&amp;gt;_x000d__x000a_        &amp;lt;DecisionDisplayName&amp;gt;פסק דין  שניתנה ע&amp;quot;י  רמזי חדיד&amp;lt;/DecisionDisplayName&amp;gt;_x000d__x000a_        &amp;lt;IsScanned&amp;gt;false&amp;lt;/IsScanned&amp;gt;_x000d__x000a_        &amp;lt;DecisionSignatureUserName&amp;gt;רמזי חדיד&amp;lt;/DecisionSignatureUserName&amp;gt;_x000d__x000a_        &amp;lt;NotificationTypeID&amp;gt;1&amp;lt;/NotificationTypeID&amp;gt;_x000d__x000a_        &amp;lt;IsDecisionInNote&amp;gt;false&amp;lt;/IsDecisionInNote&amp;gt;_x000d__x000a_        &amp;lt;IsDecisionUrgency&amp;gt;false&amp;lt;/IsDecisionUrgency&amp;gt;_x000d__x000a_        &amp;lt;IsPublishSmallCensorVersion&amp;gt;false&amp;lt;/IsPublishSmallCensorVersion&amp;gt;_x000d__x000a_        &amp;lt;IsIDCPublished&amp;gt;false&amp;lt;/IsIDCPublished&amp;gt;_x000d__x000a_        &amp;lt;IsIDCPublishedForSummary&amp;gt;false&amp;lt;/IsIDCPublishedForSummary&amp;gt;_x000d__x000a_        &amp;lt;DecisionNumberInCase&amp;gt;11&amp;lt;/DecisionNumberInCase&amp;gt;_x000d__x000a_      &amp;lt;/dt_Decision&amp;gt;_x000d__x000a_      &amp;lt;dt_DecisionCase diffgr:id=&amp;quot;dt_DecisionCase1&amp;quot; msdata:rowOrder=&amp;quot;0&amp;quot;&amp;gt;_x000d__x000a_        &amp;lt;DecisionID&amp;gt;146464437&amp;lt;/DecisionID&amp;gt;_x000d__x000a_        &amp;lt;CaseID&amp;gt;79640818&amp;lt;/CaseID&amp;gt;_x000d__x000a_        &amp;lt;IsOriginal&amp;gt;true&amp;lt;/IsOriginal&amp;gt;_x000d__x000a_        &amp;lt;IsDeleted&amp;gt;false&amp;lt;/IsDeleted&amp;gt;_x000d__x000a_        &amp;lt;CaseName&amp;gt;עראידה נ&amp;#39; בנק מזרחי טפחות בעמ&amp;lt;/CaseName&amp;gt;_x000d__x000a_        &amp;lt;CaseDisplayIdentifier&amp;gt;62046-09-22 ת&amp;quot;א&amp;lt;/CaseDisplayIdentifier&amp;gt;_x000d__x000a_      &amp;lt;/dt_DecisionCase&amp;gt;_x000d__x000a_      &amp;lt;dt_DecisionMotion diffgr:id=&amp;quot;dt_DecisionMotion1&amp;quot; msdata:rowOrder=&amp;quot;0&amp;quot;&amp;gt;_x000d__x000a_        &amp;lt;DecisionID&amp;gt;146464437&amp;lt;/DecisionID&amp;gt;_x000d__x000a_        &amp;lt;MotionID&amp;gt;105089415&amp;lt;/MotionID&amp;gt;_x000d__x000a_        &amp;lt;IsOriginalMotion&amp;gt;true&amp;lt;/IsOriginalMotion&amp;gt;_x000d__x000a_        &amp;lt;MotionName&amp;gt;בקשה של נתבע 1 בקשה לדחיית התביעה על הסף &amp;lt;/MotionName&amp;gt;_x000d__x000a_        &amp;lt;MotionOpenDate&amp;gt;2023-05-07T08:30:54.087+03:00&amp;lt;/MotionOpenDate&amp;gt;_x000d__x000a_        &amp;lt;CaseID&amp;gt;79640818&amp;lt;/CaseID&amp;gt;_x000d__x000a_        &amp;lt;CaseDisplayIdentifier&amp;gt;62046-09-22 ת&amp;quot;א&amp;lt;/CaseDisplayIdentifier&amp;gt;_x000d__x000a_        &amp;lt;ProcessNumber&amp;gt;9&amp;lt;/ProcessNumber&amp;gt;_x000d__x000a_        &amp;lt;ListOfProcessIds&amp;gt;9&amp;lt;/ListOfProcessIds&amp;gt;_x000d__x000a_      &amp;lt;/dt_DecisionMotion&amp;gt;_x000d__x000a_    &amp;lt;/DecisionDS&amp;gt;_x000d__x000a_  &amp;lt;/diffgr:diffgram&amp;gt;_x000d__x000a_&amp;lt;/DecisionDS&amp;gt;"/>
    <w:docVar w:name="DecisionID" w:val="146464437"/>
    <w:docVar w:name="WordClientAssemblyName" w:val="NGCS.Decision.ClientWordBL"/>
    <w:docVar w:name="WordClientClassName" w:val="NGCS.Decision.ClientWordBL.DecisionClient"/>
  </w:docVars>
  <w:rsids>
    <w:rsidRoot w:val="00694556"/>
    <w:rsid w:val="00001C16"/>
    <w:rsid w:val="00005C8B"/>
    <w:rsid w:val="00006B52"/>
    <w:rsid w:val="00016C35"/>
    <w:rsid w:val="000258FD"/>
    <w:rsid w:val="000564AB"/>
    <w:rsid w:val="000851E7"/>
    <w:rsid w:val="000E0F5F"/>
    <w:rsid w:val="00101876"/>
    <w:rsid w:val="00104870"/>
    <w:rsid w:val="001072A9"/>
    <w:rsid w:val="00114735"/>
    <w:rsid w:val="00121F97"/>
    <w:rsid w:val="001275CF"/>
    <w:rsid w:val="001277D7"/>
    <w:rsid w:val="00132017"/>
    <w:rsid w:val="0014234E"/>
    <w:rsid w:val="00145A87"/>
    <w:rsid w:val="00194213"/>
    <w:rsid w:val="001C4003"/>
    <w:rsid w:val="001C6482"/>
    <w:rsid w:val="001E5259"/>
    <w:rsid w:val="002352F7"/>
    <w:rsid w:val="00241DB6"/>
    <w:rsid w:val="002A75F4"/>
    <w:rsid w:val="002B6B9F"/>
    <w:rsid w:val="002D7BF1"/>
    <w:rsid w:val="00300A80"/>
    <w:rsid w:val="00324460"/>
    <w:rsid w:val="00365459"/>
    <w:rsid w:val="00381D3A"/>
    <w:rsid w:val="003823DA"/>
    <w:rsid w:val="003D0AFF"/>
    <w:rsid w:val="003D52FC"/>
    <w:rsid w:val="00403B01"/>
    <w:rsid w:val="00404311"/>
    <w:rsid w:val="0043595F"/>
    <w:rsid w:val="0047645A"/>
    <w:rsid w:val="0048662D"/>
    <w:rsid w:val="004D49A3"/>
    <w:rsid w:val="004E6E3C"/>
    <w:rsid w:val="004F4CCC"/>
    <w:rsid w:val="004F70AF"/>
    <w:rsid w:val="00504B90"/>
    <w:rsid w:val="005124F1"/>
    <w:rsid w:val="0052031C"/>
    <w:rsid w:val="00521876"/>
    <w:rsid w:val="00530BAD"/>
    <w:rsid w:val="00547DB7"/>
    <w:rsid w:val="00553D21"/>
    <w:rsid w:val="00567324"/>
    <w:rsid w:val="00571F72"/>
    <w:rsid w:val="005747A3"/>
    <w:rsid w:val="00582A71"/>
    <w:rsid w:val="0059090C"/>
    <w:rsid w:val="00596F19"/>
    <w:rsid w:val="005B0F49"/>
    <w:rsid w:val="005B15B2"/>
    <w:rsid w:val="005C15BB"/>
    <w:rsid w:val="005C7EC6"/>
    <w:rsid w:val="005D0D08"/>
    <w:rsid w:val="005D4BDB"/>
    <w:rsid w:val="005F055D"/>
    <w:rsid w:val="005F5261"/>
    <w:rsid w:val="005F7291"/>
    <w:rsid w:val="00607C60"/>
    <w:rsid w:val="00622BAA"/>
    <w:rsid w:val="00625C89"/>
    <w:rsid w:val="0063080C"/>
    <w:rsid w:val="00671BD5"/>
    <w:rsid w:val="00674C10"/>
    <w:rsid w:val="006805C1"/>
    <w:rsid w:val="006816EC"/>
    <w:rsid w:val="00686FDE"/>
    <w:rsid w:val="00694556"/>
    <w:rsid w:val="00696EC3"/>
    <w:rsid w:val="00696EC6"/>
    <w:rsid w:val="0069715D"/>
    <w:rsid w:val="006B3062"/>
    <w:rsid w:val="006E0ED5"/>
    <w:rsid w:val="006E1A53"/>
    <w:rsid w:val="006E27DA"/>
    <w:rsid w:val="006F5434"/>
    <w:rsid w:val="007056AA"/>
    <w:rsid w:val="007105D2"/>
    <w:rsid w:val="007350A6"/>
    <w:rsid w:val="00744F41"/>
    <w:rsid w:val="00750306"/>
    <w:rsid w:val="007A24FE"/>
    <w:rsid w:val="007A35AA"/>
    <w:rsid w:val="007A4AC7"/>
    <w:rsid w:val="007D01BB"/>
    <w:rsid w:val="007F1048"/>
    <w:rsid w:val="00820005"/>
    <w:rsid w:val="00846D27"/>
    <w:rsid w:val="0085403A"/>
    <w:rsid w:val="008610A7"/>
    <w:rsid w:val="00881E31"/>
    <w:rsid w:val="00895B2C"/>
    <w:rsid w:val="008B7DEE"/>
    <w:rsid w:val="008C0370"/>
    <w:rsid w:val="008E1332"/>
    <w:rsid w:val="00903896"/>
    <w:rsid w:val="0090444B"/>
    <w:rsid w:val="00927813"/>
    <w:rsid w:val="00944D13"/>
    <w:rsid w:val="00957C90"/>
    <w:rsid w:val="00974F7A"/>
    <w:rsid w:val="00977B06"/>
    <w:rsid w:val="00980D74"/>
    <w:rsid w:val="00996698"/>
    <w:rsid w:val="009A3356"/>
    <w:rsid w:val="009E0263"/>
    <w:rsid w:val="009F0C38"/>
    <w:rsid w:val="009F13EE"/>
    <w:rsid w:val="009F3E8A"/>
    <w:rsid w:val="00A16DBA"/>
    <w:rsid w:val="00A267CF"/>
    <w:rsid w:val="00A269B9"/>
    <w:rsid w:val="00A31A3D"/>
    <w:rsid w:val="00A43458"/>
    <w:rsid w:val="00A46652"/>
    <w:rsid w:val="00AB400A"/>
    <w:rsid w:val="00AC4E19"/>
    <w:rsid w:val="00AF1ED6"/>
    <w:rsid w:val="00B348BB"/>
    <w:rsid w:val="00B368FE"/>
    <w:rsid w:val="00B4772F"/>
    <w:rsid w:val="00B505A6"/>
    <w:rsid w:val="00B80CBD"/>
    <w:rsid w:val="00BC0D64"/>
    <w:rsid w:val="00BC3369"/>
    <w:rsid w:val="00BD455B"/>
    <w:rsid w:val="00BF5432"/>
    <w:rsid w:val="00BF77EE"/>
    <w:rsid w:val="00C32E0F"/>
    <w:rsid w:val="00C42BF9"/>
    <w:rsid w:val="00C653A3"/>
    <w:rsid w:val="00C71DBB"/>
    <w:rsid w:val="00C83E56"/>
    <w:rsid w:val="00CB00EE"/>
    <w:rsid w:val="00CC40B1"/>
    <w:rsid w:val="00CC5715"/>
    <w:rsid w:val="00CE32EB"/>
    <w:rsid w:val="00D0691D"/>
    <w:rsid w:val="00D319B3"/>
    <w:rsid w:val="00D41C0C"/>
    <w:rsid w:val="00D53924"/>
    <w:rsid w:val="00D60849"/>
    <w:rsid w:val="00D96D8C"/>
    <w:rsid w:val="00DB2550"/>
    <w:rsid w:val="00DB7EAA"/>
    <w:rsid w:val="00DC1FF8"/>
    <w:rsid w:val="00DD337E"/>
    <w:rsid w:val="00DD71D4"/>
    <w:rsid w:val="00E00B6F"/>
    <w:rsid w:val="00E32B53"/>
    <w:rsid w:val="00E54642"/>
    <w:rsid w:val="00E73FF4"/>
    <w:rsid w:val="00E92760"/>
    <w:rsid w:val="00E97908"/>
    <w:rsid w:val="00EA2167"/>
    <w:rsid w:val="00EC7F15"/>
    <w:rsid w:val="00EF3ED0"/>
    <w:rsid w:val="00F17E56"/>
    <w:rsid w:val="00F75BD9"/>
    <w:rsid w:val="00FE461F"/>
  </w:rsids>
  <m:mathPr>
    <m:mathFont m:val="Cambria Math"/>
    <m:brkBin m:val="before"/>
    <m:brkBinSub m:val="--"/>
    <m:smallFrac m:val="0"/>
    <m:dispDef/>
    <m:lMargin m:val="0"/>
    <m:rMargin m:val="0"/>
    <m:defJc m:val="centerGroup"/>
    <m:wrapIndent m:val="1440"/>
    <m:intLim m:val="subSup"/>
    <m:naryLim m:val="undOvr"/>
  </m:mathPr>
  <w:attachedSchema w:val="http://schemas.microsoft.com/InformationBridge/2004"/>
  <w:attachedSchema w:val="NGCS.MergeFields.Schema"/>
  <w:attachedSchema w:val="urn:schemas-microsoft-com:office:smarttags"/>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1E80D9A6-1C5D-4BC2-9543-3ABB23501C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he-IL"/>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C64423"/>
    <w:pPr>
      <w:bidi/>
    </w:pPr>
    <w:rPr>
      <w:rFonts w:cs="David"/>
      <w:noProof/>
      <w:sz w:val="24"/>
      <w:szCs w:val="24"/>
    </w:rPr>
  </w:style>
  <w:style w:type="paragraph" w:styleId="4">
    <w:name w:val="heading 4"/>
    <w:basedOn w:val="a"/>
    <w:next w:val="a"/>
    <w:qFormat/>
    <w:rsid w:val="00C64423"/>
    <w:pPr>
      <w:keepNext/>
      <w:ind w:left="5760" w:firstLine="720"/>
      <w:outlineLvl w:val="3"/>
    </w:pPr>
    <w:rPr>
      <w:rFonts w:cs="Narkisim"/>
      <w:b/>
      <w:bCs/>
      <w14:shadow w14:blurRad="50800" w14:dist="38100" w14:dir="2700000" w14:sx="100000" w14:sy="100000" w14:kx="0" w14:ky="0" w14:algn="tl">
        <w14:srgbClr w14:val="000000">
          <w14:alpha w14:val="60000"/>
        </w14:srgbClr>
      </w14:shadow>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rsid w:val="00C64423"/>
    <w:pPr>
      <w:tabs>
        <w:tab w:val="center" w:pos="4153"/>
        <w:tab w:val="right" w:pos="8306"/>
      </w:tabs>
    </w:pPr>
  </w:style>
  <w:style w:type="paragraph" w:styleId="a4">
    <w:name w:val="footer"/>
    <w:basedOn w:val="a"/>
    <w:rsid w:val="00C64423"/>
    <w:pPr>
      <w:tabs>
        <w:tab w:val="center" w:pos="4153"/>
        <w:tab w:val="right" w:pos="8306"/>
      </w:tabs>
    </w:pPr>
  </w:style>
  <w:style w:type="paragraph" w:customStyle="1" w:styleId="a5">
    <w:name w:val="סעיפים"/>
    <w:basedOn w:val="a"/>
    <w:rsid w:val="00C64423"/>
    <w:pPr>
      <w:tabs>
        <w:tab w:val="left" w:pos="567"/>
        <w:tab w:val="left" w:pos="1134"/>
        <w:tab w:val="left" w:pos="1701"/>
        <w:tab w:val="left" w:pos="2268"/>
        <w:tab w:val="left" w:pos="2835"/>
        <w:tab w:val="left" w:pos="3402"/>
        <w:tab w:val="left" w:pos="3969"/>
      </w:tabs>
      <w:spacing w:line="360" w:lineRule="auto"/>
      <w:jc w:val="both"/>
    </w:pPr>
    <w:rPr>
      <w:noProof w:val="0"/>
    </w:rPr>
  </w:style>
  <w:style w:type="paragraph" w:styleId="a6">
    <w:name w:val="annotation text"/>
    <w:basedOn w:val="a"/>
    <w:semiHidden/>
    <w:rsid w:val="00C64423"/>
    <w:rPr>
      <w:rFonts w:cs="Times New Roman"/>
      <w:noProof w:val="0"/>
    </w:rPr>
  </w:style>
  <w:style w:type="character" w:styleId="a7">
    <w:name w:val="annotation reference"/>
    <w:basedOn w:val="a0"/>
    <w:semiHidden/>
    <w:rsid w:val="00C64423"/>
    <w:rPr>
      <w:sz w:val="16"/>
      <w:szCs w:val="16"/>
    </w:rPr>
  </w:style>
  <w:style w:type="paragraph" w:styleId="a8">
    <w:name w:val="Balloon Text"/>
    <w:basedOn w:val="a"/>
    <w:semiHidden/>
    <w:rsid w:val="00C64423"/>
    <w:rPr>
      <w:rFonts w:ascii="Tahoma" w:hAnsi="Tahoma" w:cs="Tahoma"/>
      <w:sz w:val="16"/>
      <w:szCs w:val="16"/>
    </w:rPr>
  </w:style>
  <w:style w:type="table" w:styleId="a9">
    <w:name w:val="Table Grid"/>
    <w:basedOn w:val="a1"/>
    <w:rsid w:val="00C64423"/>
    <w:pPr>
      <w:bidi/>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a">
    <w:name w:val="line number"/>
    <w:basedOn w:val="a0"/>
    <w:rsid w:val="00C64423"/>
  </w:style>
  <w:style w:type="character" w:styleId="ab">
    <w:name w:val="page number"/>
    <w:basedOn w:val="a0"/>
    <w:rsid w:val="00C64423"/>
  </w:style>
  <w:style w:type="table" w:customStyle="1" w:styleId="1">
    <w:name w:val="טבלת רשת1"/>
    <w:basedOn w:val="a1"/>
    <w:next w:val="a9"/>
    <w:rsid w:val="001C4003"/>
    <w:pPr>
      <w:jc w:val="righ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c">
    <w:name w:val="Placeholder Text"/>
    <w:basedOn w:val="a0"/>
    <w:uiPriority w:val="99"/>
    <w:semiHidden/>
    <w:rsid w:val="00957C90"/>
    <w:rPr>
      <w:color w:val="808080"/>
    </w:rPr>
  </w:style>
  <w:style w:type="paragraph" w:styleId="ad">
    <w:name w:val="List Paragraph"/>
    <w:basedOn w:val="a"/>
    <w:uiPriority w:val="34"/>
    <w:qFormat/>
    <w:rsid w:val="00DC1FF8"/>
    <w:pPr>
      <w:ind w:left="720"/>
      <w:contextualSpacing/>
    </w:pPr>
  </w:style>
  <w:style w:type="character" w:styleId="Hyperlink">
    <w:name w:val="Hyperlink"/>
    <w:semiHidden/>
    <w:unhideWhenUsed/>
    <w:rsid w:val="009A3356"/>
    <w:rPr>
      <w:color w:val="0000FF"/>
      <w:u w:val="single"/>
    </w:rPr>
  </w:style>
  <w:style w:type="character" w:customStyle="1" w:styleId="Ruller40">
    <w:name w:val="Ruller4 תו"/>
    <w:link w:val="Ruller41"/>
    <w:locked/>
    <w:rsid w:val="009A3356"/>
    <w:rPr>
      <w:rFonts w:ascii="Arial TUR" w:hAnsi="Arial TUR" w:cs="FrankRuehl"/>
      <w:spacing w:val="10"/>
      <w:sz w:val="22"/>
      <w:szCs w:val="28"/>
    </w:rPr>
  </w:style>
  <w:style w:type="paragraph" w:customStyle="1" w:styleId="Ruller41">
    <w:name w:val="Ruller4"/>
    <w:basedOn w:val="a"/>
    <w:link w:val="Ruller40"/>
    <w:rsid w:val="009A3356"/>
    <w:pPr>
      <w:tabs>
        <w:tab w:val="left" w:pos="800"/>
      </w:tabs>
      <w:overflowPunct w:val="0"/>
      <w:autoSpaceDE w:val="0"/>
      <w:autoSpaceDN w:val="0"/>
      <w:adjustRightInd w:val="0"/>
      <w:spacing w:line="360" w:lineRule="auto"/>
      <w:jc w:val="both"/>
    </w:pPr>
    <w:rPr>
      <w:rFonts w:ascii="Arial TUR" w:hAnsi="Arial TUR" w:cs="FrankRuehl"/>
      <w:noProof w:val="0"/>
      <w:spacing w:val="10"/>
      <w:sz w:val="22"/>
      <w:szCs w:val="28"/>
    </w:rPr>
  </w:style>
  <w:style w:type="paragraph" w:customStyle="1" w:styleId="Ruller4">
    <w:name w:val="Ruller 4 ממוספר"/>
    <w:basedOn w:val="Ruller41"/>
    <w:next w:val="Ruller41"/>
    <w:rsid w:val="009A3356"/>
    <w:pPr>
      <w:numPr>
        <w:numId w:val="2"/>
      </w:numPr>
      <w:tabs>
        <w:tab w:val="clear" w:pos="907"/>
        <w:tab w:val="num" w:pos="360"/>
      </w:tabs>
      <w:ind w:left="720" w:hanging="360"/>
    </w:pPr>
    <w:rPr>
      <w:rFonts w:ascii="Garamond" w:hAnsi="Garamond"/>
      <w:sz w:val="24"/>
    </w:rPr>
  </w:style>
  <w:style w:type="paragraph" w:customStyle="1" w:styleId="10">
    <w:name w:val="פיסקת רשימה1"/>
    <w:basedOn w:val="a"/>
    <w:rsid w:val="00104870"/>
    <w:pPr>
      <w:spacing w:after="200" w:line="276" w:lineRule="auto"/>
      <w:ind w:left="720"/>
      <w:contextualSpacing/>
    </w:pPr>
    <w:rPr>
      <w:rFonts w:ascii="Calibri" w:hAnsi="Calibri" w:cs="Arial"/>
      <w:noProof w:val="0"/>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15510261">
      <w:bodyDiv w:val="1"/>
      <w:marLeft w:val="0"/>
      <w:marRight w:val="0"/>
      <w:marTop w:val="0"/>
      <w:marBottom w:val="0"/>
      <w:divBdr>
        <w:top w:val="none" w:sz="0" w:space="0" w:color="auto"/>
        <w:left w:val="none" w:sz="0" w:space="0" w:color="auto"/>
        <w:bottom w:val="none" w:sz="0" w:space="0" w:color="auto"/>
        <w:right w:val="none" w:sz="0" w:space="0" w:color="auto"/>
      </w:divBdr>
    </w:div>
    <w:div w:id="1215235742">
      <w:bodyDiv w:val="1"/>
      <w:marLeft w:val="0"/>
      <w:marRight w:val="0"/>
      <w:marTop w:val="0"/>
      <w:marBottom w:val="0"/>
      <w:divBdr>
        <w:top w:val="none" w:sz="0" w:space="0" w:color="auto"/>
        <w:left w:val="none" w:sz="0" w:space="0" w:color="auto"/>
        <w:bottom w:val="none" w:sz="0" w:space="0" w:color="auto"/>
        <w:right w:val="none" w:sz="0" w:space="0" w:color="auto"/>
      </w:divBdr>
    </w:div>
    <w:div w:id="1281112861">
      <w:bodyDiv w:val="1"/>
      <w:marLeft w:val="0"/>
      <w:marRight w:val="0"/>
      <w:marTop w:val="0"/>
      <w:marBottom w:val="0"/>
      <w:divBdr>
        <w:top w:val="none" w:sz="0" w:space="0" w:color="auto"/>
        <w:left w:val="none" w:sz="0" w:space="0" w:color="auto"/>
        <w:bottom w:val="none" w:sz="0" w:space="0" w:color="auto"/>
        <w:right w:val="none" w:sz="0" w:space="0" w:color="auto"/>
      </w:divBdr>
    </w:div>
    <w:div w:id="1307122835">
      <w:bodyDiv w:val="1"/>
      <w:marLeft w:val="0"/>
      <w:marRight w:val="0"/>
      <w:marTop w:val="0"/>
      <w:marBottom w:val="0"/>
      <w:divBdr>
        <w:top w:val="none" w:sz="0" w:space="0" w:color="auto"/>
        <w:left w:val="none" w:sz="0" w:space="0" w:color="auto"/>
        <w:bottom w:val="none" w:sz="0" w:space="0" w:color="auto"/>
        <w:right w:val="none" w:sz="0" w:space="0" w:color="auto"/>
      </w:divBdr>
    </w:div>
    <w:div w:id="1432820806">
      <w:bodyDiv w:val="1"/>
      <w:marLeft w:val="0"/>
      <w:marRight w:val="0"/>
      <w:marTop w:val="0"/>
      <w:marBottom w:val="0"/>
      <w:divBdr>
        <w:top w:val="none" w:sz="0" w:space="0" w:color="auto"/>
        <w:left w:val="none" w:sz="0" w:space="0" w:color="auto"/>
        <w:bottom w:val="none" w:sz="0" w:space="0" w:color="auto"/>
        <w:right w:val="none" w:sz="0" w:space="0" w:color="auto"/>
      </w:divBdr>
    </w:div>
    <w:div w:id="1498885548">
      <w:bodyDiv w:val="1"/>
      <w:marLeft w:val="0"/>
      <w:marRight w:val="0"/>
      <w:marTop w:val="0"/>
      <w:marBottom w:val="0"/>
      <w:divBdr>
        <w:top w:val="none" w:sz="0" w:space="0" w:color="auto"/>
        <w:left w:val="none" w:sz="0" w:space="0" w:color="auto"/>
        <w:bottom w:val="none" w:sz="0" w:space="0" w:color="auto"/>
        <w:right w:val="none" w:sz="0" w:space="0" w:color="auto"/>
      </w:divBdr>
    </w:div>
    <w:div w:id="16964673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www.nevo.co.il/law/74880/201" TargetMode="External"/><Relationship Id="rId18" Type="http://schemas.openxmlformats.org/officeDocument/2006/relationships/hyperlink" Target="http://www.nevo.co.il/law/4521" TargetMode="External"/><Relationship Id="rId3" Type="http://schemas.openxmlformats.org/officeDocument/2006/relationships/numbering" Target="numbering.xml"/><Relationship Id="rId21" Type="http://schemas.openxmlformats.org/officeDocument/2006/relationships/footer" Target="footer1.xml"/><Relationship Id="rId7" Type="http://schemas.openxmlformats.org/officeDocument/2006/relationships/footnotes" Target="footnotes.xml"/><Relationship Id="rId12" Type="http://schemas.openxmlformats.org/officeDocument/2006/relationships/hyperlink" Target="http://www.nevo.co.il/law/157751/131" TargetMode="External"/><Relationship Id="rId17" Type="http://schemas.openxmlformats.org/officeDocument/2006/relationships/hyperlink" Target="http://www.nevo.co.il/law/4521/27" TargetMode="External"/><Relationship Id="rId2" Type="http://schemas.openxmlformats.org/officeDocument/2006/relationships/customXml" Target="../customXml/item1.xml"/><Relationship Id="rId16" Type="http://schemas.openxmlformats.org/officeDocument/2006/relationships/hyperlink" Target="http://www.nevo.co.il/law/73385" TargetMode="External"/><Relationship Id="rId20" Type="http://schemas.openxmlformats.org/officeDocument/2006/relationships/header" Target="header1.xml"/><Relationship Id="rId1" Type="http://schemas.microsoft.com/office/2006/relationships/keyMapCustomizations" Target="customizations.xml"/><Relationship Id="rId6" Type="http://schemas.openxmlformats.org/officeDocument/2006/relationships/webSettings" Target="webSettings.xml"/><Relationship Id="rId11" Type="http://schemas.openxmlformats.org/officeDocument/2006/relationships/hyperlink" Target="http://www.nevo.co.il/law/74880/201" TargetMode="External"/><Relationship Id="rId5" Type="http://schemas.openxmlformats.org/officeDocument/2006/relationships/settings" Target="settings.xml"/><Relationship Id="rId15" Type="http://schemas.openxmlformats.org/officeDocument/2006/relationships/hyperlink" Target="http://www.nevo.co.il/law/73385/1.7" TargetMode="External"/><Relationship Id="rId23" Type="http://schemas.openxmlformats.org/officeDocument/2006/relationships/theme" Target="theme/theme1.xml"/><Relationship Id="rId10" Type="http://schemas.openxmlformats.org/officeDocument/2006/relationships/hyperlink" Target="http://www.nevo.co.il/law/157751" TargetMode="External"/><Relationship Id="rId19" Type="http://schemas.openxmlformats.org/officeDocument/2006/relationships/image" Target="media/image1.jpg"/><Relationship Id="rId4" Type="http://schemas.openxmlformats.org/officeDocument/2006/relationships/styles" Target="styles.xml"/><Relationship Id="rId9" Type="http://schemas.openxmlformats.org/officeDocument/2006/relationships/hyperlink" Target="http://www.nevo.co.il/law/157751/131" TargetMode="External"/><Relationship Id="rId14" Type="http://schemas.openxmlformats.org/officeDocument/2006/relationships/hyperlink" Target="http://www.nevo.co.il/law/157751/131" TargetMode="External"/><Relationship Id="rId22"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DecisionTemplateDS>
  <dt_Decision>
    <DecisionID>0</DecisionID>
    <CaseID>79640818</CaseID>
    <CaseJudicialPersonPresentationDS>
      <CaseJudicalPersonActive>
        <CaseID>79640818</CaseID>
        <JudicialPersonID>059352013@GOV.IL</JudicialPersonID>
        <JudicialPersonTypeID>1</JudicialPersonTypeID>
        <JudicialTypeID>1</JudicialTypeID>
        <IsChairman>false</IsChairman>
        <TreatmentStartDate>2023-05-15T15:25:07.41+03:00</TreatmentStartDate>
        <TreatmentFinishDate>9999-12-31T23:59:59.997+02:00</TreatmentFinishDate>
        <IdentificationCardNumber>059352013</IdentificationCardNumber>
        <DisplayName>רמזי חדיד</DisplayName>
        <JudicialTypeName>שופט</JudicialTypeName>
        <CaseJudicialGroupNumber>0</CaseJudicialGroupNumber>
        <DecisionID>145000512</DecisionID>
        <FirstName>רמזי</FirstName>
        <LastName>חדיד</LastName>
        <JudicialPersonTitle>שופט</JudicialPersonTitle>
      </CaseJudicalPersonActive>
    </CaseJudicialPersonPresentationDS>
    <CasePartiesSelectionDS>
      <CaseParties>
        <PartyTypeName>צד</PartyTypeName>
        <ProceedingType>בקשות</ProceedingType>
        <PleaName>בקשה של נתבע 1 בקשה לדחיית התביעה על הסף </PleaName>
        <PartyBelonging>צד א'</PartyBelonging>
        <RoleName>מבקש 1</RoleName>
        <IsSubProceeding>TRUE</IsSubProceeding>
        <FullName>בנק מזרחי טפחות בעמ</FullName>
        <LastName>בנק מזרחי טפחות בעמ</LastName>
        <PartyPropertyName/>
        <AuthenticationTypeAndNumber>חברות 520000522</AuthenticationTypeAndNumber>
        <RepresentatedOrRepresentativesNames>נאדר אליאס</RepresentatedOrRepresentativesNames>
        <RepresentatedOrRepresentativesCount>1</RepresentatedOrRepresentativesCount>
        <InvitedBy/>
        <CaseID>79640818</CaseID>
        <CaseJudicialPersonPresentationDS>
          <CaseJudicalPersonActive>
            <CaseID>79640818</CaseID>
            <JudicialPersonID>059352013@GOV.IL</JudicialPersonID>
            <JudicialPersonTypeID>1</JudicialPersonTypeID>
            <JudicialTypeID>1</JudicialTypeID>
            <IsChairman>false</IsChairman>
            <TreatmentStartDate>2023-05-15T15:25:07.41+03:00</TreatmentStartDate>
            <TreatmentFinishDate>9999-12-31T23:59:59.997+02:00</TreatmentFinishDate>
            <IdentificationCardNumber>059352013</IdentificationCardNumber>
            <DisplayName>רמזי חדיד</DisplayName>
            <JudicialTypeName>שופט</JudicialTypeName>
            <CaseJudicialGroupNumber>0</CaseJudicialGroupNumber>
            <DecisionID>145000512</DecisionID>
            <FirstName>רמזי</FirstName>
            <LastName>חדיד</LastName>
            <JudicialPersonTitle>שופט</JudicialPersonTitle>
          </CaseJudicalPersonActive>
        </CaseJudicialPersonPresentationDS>
        <CasePartyID>255251888</CasePartyID>
        <PartyTypeID>1</PartyTypeID>
        <ActivityStatusID>1</ActivityStatusID>
        <PartyAliasID>3</PartyAliasID>
        <PartyAliasName>מבקש</PartyAliasName>
        <OrdinalNumber>1</OrdinalNumber>
        <LegalEntityID>70604678</LegalEntityID>
        <CaseLegalEntityID>121457371</CaseLegalEntityID>
        <AuthenticationTypeID>3</AuthenticationTypeID>
        <AuthenticationTypeName>חברות</AuthenticationTypeName>
        <LegalEntityNumber>520000522</LegalEntityNumber>
        <IsMainPartyType>false</IsMainPartyType>
        <CaseDisplayIdentifier>62046-09-22</CaseDisplayIdentifier>
        <CaseTypeID>1</CaseTypeID>
        <CaseTypeName>תיק אזרחי בסדר דין רגיל (ת"א)</CaseTypeName>
        <CaseName>עראידה נ' בנק מזרחי טפחות בעמ</CaseName>
        <FullAddress>ז'בוטינסקי 7 רמת גן </FullAddress>
        <EmailAddress>roy@simchovitz.co.il</EmailAddress>
        <MotionID>105089415</MotionID>
        <CasePleaID>0</CasePleaID>
        <LinkedCaseID>0</LinkedCaseID>
        <PartyID>1</PartyID>
        <CasePartyCategoryID>4</CasePartyCategoryID>
        <LegalEntityAddressID>72102177</LegalEntityAddressID>
        <LegalEntityEmailAddressID>68100950</LegalEntityEmailAddressID>
        <PleaTypeID>60</PleaTypeID>
        <GroupPartyAlias>מבקשים</GroupPartyAlias>
        <IsConverted>false</IsConverted>
        <LegalEntityRegisteredNameID>2740249</LegalEntityRegisteredNameID>
        <RepresentatedNamesOfAssistant/>
        <LegalEntityTypeID>3</LegalEntityTypeID>
        <IsVerdictExists>false</IsVerdictExists>
        <IsAsirAzir>false</IsAsirAzir>
        <IsPublicationProhibited>false</IsPublicationProhibited>
        <PublicationProhibitedFullName>בנק מזרחי טפחות בעמ</PublicationProhibitedFullName>
      </CaseParties>
      <CaseParties>
        <PartyTypeName>צד</PartyTypeName>
        <ProceedingType>בקשות</ProceedingType>
        <PleaName>בקשה של נתבע 1 בקשה לדחיית התביעה על הסף </PleaName>
        <PartyBelonging>צד ב'</PartyBelonging>
        <RoleName>משיב 1</RoleName>
        <IsSubProceeding>TRUE</IsSubProceeding>
        <FullName>נואף עראידה</FullName>
        <FirstName>נואף</FirstName>
        <LastName>עראידה</LastName>
        <PartyPropertyName/>
        <AuthenticationTypeAndNumber>ת"ז 056897697</AuthenticationTypeAndNumber>
        <RepresentatedOrRepresentativesNames>כרם הנו</RepresentatedOrRepresentativesNames>
        <RepresentatedOrRepresentativesCount>1</RepresentatedOrRepresentativesCount>
        <InvitedBy/>
        <CaseID>79640818</CaseID>
        <CaseJudicialPersonPresentationDS>
          <CaseJudicalPersonActive>
            <CaseID>79640818</CaseID>
            <JudicialPersonID>059352013@GOV.IL</JudicialPersonID>
            <JudicialPersonTypeID>1</JudicialPersonTypeID>
            <JudicialTypeID>1</JudicialTypeID>
            <IsChairman>false</IsChairman>
            <TreatmentStartDate>2023-05-15T15:25:07.41+03:00</TreatmentStartDate>
            <TreatmentFinishDate>9999-12-31T23:59:59.997+02:00</TreatmentFinishDate>
            <IdentificationCardNumber>059352013</IdentificationCardNumber>
            <DisplayName>רמזי חדיד</DisplayName>
            <JudicialTypeName>שופט</JudicialTypeName>
            <CaseJudicialGroupNumber>0</CaseJudicialGroupNumber>
            <DecisionID>145000512</DecisionID>
            <FirstName>רמזי</FirstName>
            <LastName>חדיד</LastName>
            <JudicialPersonTitle>שופט</JudicialPersonTitle>
          </CaseJudicalPersonActive>
        </CaseJudicialPersonPresentationDS>
        <CasePartyID>255251889</CasePartyID>
        <PartyTypeID>1</PartyTypeID>
        <ActivityStatusID>1</ActivityStatusID>
        <PartyAliasID>4</PartyAliasID>
        <PartyAliasName>משיב</PartyAliasName>
        <OrdinalNumber>1</OrdinalNumber>
        <LegalEntityID>6198445</LegalEntityID>
        <CaseLegalEntityID>121457369</CaseLegalEntityID>
        <AuthenticationTypeID>1</AuthenticationTypeID>
        <AuthenticationTypeName>ת"ז</AuthenticationTypeName>
        <LegalEntityNumber>056897697</LegalEntityNumber>
        <IsMainPartyType>false</IsMainPartyType>
        <CaseDisplayIdentifier>62046-09-22</CaseDisplayIdentifier>
        <CaseTypeID>1</CaseTypeID>
        <CaseTypeName>תיק אזרחי בסדר דין רגיל (ת"א)</CaseTypeName>
        <CaseName>עראידה נ' בנק מזרחי טפחות בעמ</CaseName>
        <FullAddress>מגאר </FullAddress>
        <MotionID>105089415</MotionID>
        <CasePleaID>0</CasePleaID>
        <FatherName>סלאמה</FatherName>
        <LinkedCaseID>0</LinkedCaseID>
        <PartyID>2</PartyID>
        <CasePartyCategoryID>4</CasePartyCategoryID>
        <LegalEntityAddressID>87027827</LegalEntityAddressID>
        <PleaTypeID>60</PleaTypeID>
        <GroupPartyAlias>משיבים</GroupPartyAlias>
        <IsConverted>false</IsConverted>
        <LegalEntityRegisteredNameID>1865503</LegalEntityRegisteredNameID>
        <LegalEntityNameID>93755305</LegalEntityNameID>
        <RepresentatedNamesOfAssistant/>
        <PopulationRegisterVerificationStatusID>1</PopulationRegisterVerificationStatusID>
        <LegalEntityTypeID>1</LegalEntityTypeID>
        <IsVerdictExists>false</IsVerdictExists>
        <IsAsirAzir>false</IsAsirAzir>
        <IsPublicationProhibited>false</IsPublicationProhibited>
        <PublicationProhibitedFullName>נואף עראידה</PublicationProhibitedFullName>
      </CaseParties>
      <CaseParties>
        <PartyTypeName>בא כוח</PartyTypeName>
        <ProceedingType>כתב טענות עיקרי</ProceedingType>
        <PleaName>כתב תביעה</PleaName>
        <PartyBelonging> - </PartyBelonging>
        <RoleName>בא כוח תובעים</RoleName>
        <IsSubProceeding>FALSE</IsSubProceeding>
        <FullName>כרם הנו</FullName>
        <FirstName>כרם</FirstName>
        <LastName>הנו</LastName>
        <PartyPropertyName/>
        <AuthenticationTypeAndNumber>מ.ר. 53159</AuthenticationTypeAndNumber>
        <RepresentatedOrRepresentativesNames>נואף עראידה</RepresentatedOrRepresentativesNames>
        <RepresentatedOrRepresentativesCount>1</RepresentatedOrRepresentativesCount>
        <InvitedBy/>
        <CaseID>79640818</CaseID>
        <CaseJudicialPersonPresentationDS>
          <CaseJudicalPersonActive>
            <CaseID>79640818</CaseID>
            <JudicialPersonID>059352013@GOV.IL</JudicialPersonID>
            <JudicialPersonTypeID>1</JudicialPersonTypeID>
            <JudicialTypeID>1</JudicialTypeID>
            <IsChairman>false</IsChairman>
            <TreatmentStartDate>2023-05-15T15:25:07.41+03:00</TreatmentStartDate>
            <TreatmentFinishDate>9999-12-31T23:59:59.997+02:00</TreatmentFinishDate>
            <IdentificationCardNumber>059352013</IdentificationCardNumber>
            <DisplayName>רמזי חדיד</DisplayName>
            <JudicialTypeName>שופט</JudicialTypeName>
            <CaseJudicialGroupNumber>0</CaseJudicialGroupNumber>
            <DecisionID>145000512</DecisionID>
            <FirstName>רמזי</FirstName>
            <LastName>חדיד</LastName>
            <JudicialPersonTitle>שופט</JudicialPersonTitle>
          </CaseJudicalPersonActive>
        </CaseJudicialPersonPresentationDS>
        <CasePartyID>246316617</CasePartyID>
        <PartyTypeID>2</PartyTypeID>
        <ActivityStatusID>1</ActivityStatusID>
        <PartyAliasID>20</PartyAliasID>
        <PartyAliasName>בא כוח תובעים</PartyAliasName>
        <OrdinalNumber>1</OrdinalNumber>
        <LegalEntityID>33127925</LegalEntityID>
        <CaseLegalEntityID>121457370</CaseLegalEntityID>
        <AuthenticationTypeID>4</AuthenticationTypeID>
        <AuthenticationTypeName>מ.ר.</AuthenticationTypeName>
        <LegalEntityNumber>53159</LegalEntityNumber>
        <IsMainPartyType>true</IsMainPartyType>
        <CaseDisplayIdentifier>62046-09-22</CaseDisplayIdentifier>
        <CaseTypeID>1</CaseTypeID>
        <CaseTypeName>תיק אזרחי בסדר דין רגיל (ת"א)</CaseTypeName>
        <CaseName>עראידה נ' בנק מזרחי טפחות בעמ</CaseName>
        <FullAddress>ת.ד 4288 מגאר </FullAddress>
        <EmailAddress>karam.advs@gmail.com</EmailAddress>
        <MotionID>0</MotionID>
        <CasePleaID>0</CasePleaID>
        <LinkedCaseID>0</LinkedCaseID>
        <PartyID>1</PartyID>
        <CasePartyCategoryID>2</CasePartyCategoryID>
        <LegalEntityAddressID>73073321</LegalEntityAddressID>
        <LegalEntityEmailAddressID>68110441</LegalEntityEmailAddressID>
        <PleaTypeID>4</PleaTypeID>
        <LawyerOfficeName>משרד עו"ד כרם הנו</LawyerOfficeName>
        <LawyerOfficeID>33127926</LawyerOfficeID>
        <GroupPartyAlias/>
        <IsConverted>false</IsConverted>
        <LegalEntityNameID>34918296</LegalEntityNameID>
        <RepresentatedNamesOfAssistant/>
        <LegalEntityTypeID>4</LegalEntityTypeID>
        <IsVerdictExists>false</IsVerdictExists>
        <IsAsirAzir>false</IsAsirAzir>
        <IsPublicationProhibited>false</IsPublicationProhibited>
        <PublicationProhibitedFullName>כרם הנו</PublicationProhibitedFullName>
      </CaseParties>
      <CaseParties>
        <PartyTypeName>בא כוח</PartyTypeName>
        <ProceedingType>כתב טענות עיקרי</ProceedingType>
        <PleaName>כתב תביעה</PleaName>
        <PartyBelonging> - </PartyBelonging>
        <RoleName>בא כוח נתבעים</RoleName>
        <IsSubProceeding>FALSE</IsSubProceeding>
        <FullName>נאדר אליאס</FullName>
        <FirstName>נאדר</FirstName>
        <LastName>אליאס</LastName>
        <PartyPropertyName/>
        <AuthenticationTypeAndNumber>מ.ר. 20040</AuthenticationTypeAndNumber>
        <RepresentatedOrRepresentativesNames xml:space="preserve"> </RepresentatedOrRepresentativesNames>
        <RepresentatedOrRepresentativesCount>1</RepresentatedOrRepresentativesCount>
        <InvitedBy/>
        <CaseID>79640818</CaseID>
        <CaseJudicialPersonPresentationDS>
          <CaseJudicalPersonActive>
            <CaseID>79640818</CaseID>
            <JudicialPersonID>059352013@GOV.IL</JudicialPersonID>
            <JudicialPersonTypeID>1</JudicialPersonTypeID>
            <JudicialTypeID>1</JudicialTypeID>
            <IsChairman>false</IsChairman>
            <TreatmentStartDate>2023-05-15T15:25:07.41+03:00</TreatmentStartDate>
            <TreatmentFinishDate>9999-12-31T23:59:59.997+02:00</TreatmentFinishDate>
            <IdentificationCardNumber>059352013</IdentificationCardNumber>
            <DisplayName>רמזי חדיד</DisplayName>
            <JudicialTypeName>שופט</JudicialTypeName>
            <CaseJudicialGroupNumber>0</CaseJudicialGroupNumber>
            <DecisionID>145000512</DecisionID>
            <FirstName>רמזי</FirstName>
            <LastName>חדיד</LastName>
            <JudicialPersonTitle>שופט</JudicialPersonTitle>
          </CaseJudicalPersonActive>
        </CaseJudicialPersonPresentationDS>
        <CasePartyID>250952708</CasePartyID>
        <PartyTypeID>2</PartyTypeID>
        <ActivityStatusID>1</ActivityStatusID>
        <PartyAliasID>21</PartyAliasID>
        <PartyAliasName>בא כוח נתבעים</PartyAliasName>
        <OrdinalNumber>1</OrdinalNumber>
        <LegalEntityID>384936</LegalEntityID>
        <CaseLegalEntityID>122883233</CaseLegalEntityID>
        <AuthenticationTypeID>4</AuthenticationTypeID>
        <AuthenticationTypeName>מ.ר.</AuthenticationTypeName>
        <LegalEntityNumber>20040</LegalEntityNumber>
        <IsMainPartyType>true</IsMainPartyType>
        <CaseDisplayIdentifier>62046-09-22</CaseDisplayIdentifier>
        <CaseTypeID>1</CaseTypeID>
        <CaseTypeName>תיק אזרחי בסדר דין רגיל (ת"א)</CaseTypeName>
        <CaseName>עראידה נ' בנק מזרחי טפחות בעמ</CaseName>
        <FullAddress>חרמון 1 נוף הגליל ת.ד 4874</FullAddress>
        <EmailAddress>sigalit@elias-co.com</EmailAddress>
        <MotionID>0</MotionID>
        <CasePleaID>0</CasePleaID>
        <LinkedCaseID>0</LinkedCaseID>
        <PartyID>2</PartyID>
        <CasePartyCategoryID>2</CasePartyCategoryID>
        <LegalEntityAddressID>75187796</LegalEntityAddressID>
        <LegalEntityEmailAddressID>67909988</LegalEntityEmailAddressID>
        <PleaTypeID>4</PleaTypeID>
        <LawyerOfficeName>משרד עו"ד: נאדר אליאס</LawyerOfficeName>
        <LawyerOfficeID>425580</LawyerOfficeID>
        <GroupPartyAlias/>
        <IsConverted>false</IsConverted>
        <LegalEntityNameID>5920</LegalEntityNameID>
        <RepresentatedNamesOfAssistant/>
        <LegalEntityTypeID>4</LegalEntityTypeID>
        <IsVerdictExists>false</IsVerdictExists>
        <IsAsirAzir>false</IsAsirAzir>
        <IsPublicationProhibited>false</IsPublicationProhibited>
        <PublicationProhibitedFullName>נאדר אליאס</PublicationProhibitedFullName>
      </CaseParties>
    </CasePartiesSelectionDS>
    <DecisionName>פסק דין  שניתנה ע"י  רמזי חדיד</DecisionName>
    <CourtDisplayName>בית משפט השלום בחיפה</CourtDisplayName>
    <IsCaseJudgePanel>false</IsCaseJudgePanel>
    <DecisionSignatureDate>2023-07-26T14:12:46.3011268+03:00</DecisionSignatureDate>
    <OpenCaseDate>2022-09-29T13:45:00+03:00</OpenCaseDate>
    <CaseFeeSum>0.000</CaseFeeSum>
    <DecisionTypeID>2</DecisionTypeID>
    <DecisionSignatureUserName>רמזי חדיד</DecisionSignatureUserName>
    <MotionID>105089415</MotionID>
    <DecisionSignatureDateHebrew>2023-07-26T14:12:46.3011268+03:00</DecisionSignatureDateHebrew>
    <MotionNumber>9</MotionNumber>
    <DecisionWriterID>059352013@GOV.IL</DecisionWriterID>
    <CourtAddress>רח' פלי"ם 12 היכל המשפט, חיפה 33095</CourtAddress>
    <IsAutoTextInCaseExist>false</IsAutoTextInCaseExist>
    <DecisionSignatureRoleName>שופט</DecisionSignatureRoleName>
    <DecisionSignatureUserTitleName>שופט בכיר</DecisionSignatureUserTitleName>
    <CaseName>עראידה נ' בנק מזרחי טפחות בעמ</CaseName>
    <DecisionNumberInCase>11</DecisionNumberInCase>
  </dt_Decision>
  <dt_DecisionCase>
    <DecisionID>0</DecisionID>
    <CaseID>79640818</CaseID>
    <CaseJudicialPersonPresentationDS>
      <CaseJudicalPersonActive>
        <CaseID>79640818</CaseID>
        <JudicialPersonID>059352013@GOV.IL</JudicialPersonID>
        <JudicialPersonTypeID>1</JudicialPersonTypeID>
        <JudicialTypeID>1</JudicialTypeID>
        <IsChairman>false</IsChairman>
        <TreatmentStartDate>2023-05-15T15:25:07.41+03:00</TreatmentStartDate>
        <TreatmentFinishDate>9999-12-31T23:59:59.997+02:00</TreatmentFinishDate>
        <IdentificationCardNumber>059352013</IdentificationCardNumber>
        <DisplayName>רמזי חדיד</DisplayName>
        <JudicialTypeName>שופט</JudicialTypeName>
        <CaseJudicialGroupNumber>0</CaseJudicialGroupNumber>
        <DecisionID>145000512</DecisionID>
        <FirstName>רמזי</FirstName>
        <LastName>חדיד</LastName>
        <JudicialPersonTitle>שופט</JudicialPersonTitle>
      </CaseJudicalPersonActive>
    </CaseJudicialPersonPresentationDS>
    <CasePartiesSelectionDS>
      <CaseParties>
        <PartyTypeName>צד</PartyTypeName>
        <ProceedingType>בקשות</ProceedingType>
        <PleaName>בקשה של נתבע 1 בקשה לדחיית התביעה על הסף </PleaName>
        <PartyBelonging>צד א'</PartyBelonging>
        <RoleName>מבקש 1</RoleName>
        <IsSubProceeding>TRUE</IsSubProceeding>
        <FullName>בנק מזרחי טפחות בעמ</FullName>
        <LastName>בנק מזרחי טפחות בעמ</LastName>
        <PartyPropertyName/>
        <AuthenticationTypeAndNumber>חברות 520000522</AuthenticationTypeAndNumber>
        <RepresentatedOrRepresentativesNames>נאדר אליאס</RepresentatedOrRepresentativesNames>
        <RepresentatedOrRepresentativesCount>1</RepresentatedOrRepresentativesCount>
        <InvitedBy/>
        <CaseID>79640818</CaseID>
        <CaseJudicialPersonPresentationDS>
          <CaseJudicalPersonActive>
            <CaseID>79640818</CaseID>
            <JudicialPersonID>059352013@GOV.IL</JudicialPersonID>
            <JudicialPersonTypeID>1</JudicialPersonTypeID>
            <JudicialTypeID>1</JudicialTypeID>
            <IsChairman>false</IsChairman>
            <TreatmentStartDate>2023-05-15T15:25:07.41+03:00</TreatmentStartDate>
            <TreatmentFinishDate>9999-12-31T23:59:59.997+02:00</TreatmentFinishDate>
            <IdentificationCardNumber>059352013</IdentificationCardNumber>
            <DisplayName>רמזי חדיד</DisplayName>
            <JudicialTypeName>שופט</JudicialTypeName>
            <CaseJudicialGroupNumber>0</CaseJudicialGroupNumber>
            <DecisionID>145000512</DecisionID>
            <FirstName>רמזי</FirstName>
            <LastName>חדיד</LastName>
            <JudicialPersonTitle>שופט</JudicialPersonTitle>
          </CaseJudicalPersonActive>
        </CaseJudicialPersonPresentationDS>
        <CasePartyID>255251888</CasePartyID>
        <PartyTypeID>1</PartyTypeID>
        <ActivityStatusID>1</ActivityStatusID>
        <PartyAliasID>3</PartyAliasID>
        <PartyAliasName>מבקש</PartyAliasName>
        <OrdinalNumber>1</OrdinalNumber>
        <LegalEntityID>70604678</LegalEntityID>
        <CaseLegalEntityID>121457371</CaseLegalEntityID>
        <AuthenticationTypeID>3</AuthenticationTypeID>
        <AuthenticationTypeName>חברות</AuthenticationTypeName>
        <LegalEntityNumber>520000522</LegalEntityNumber>
        <IsMainPartyType>false</IsMainPartyType>
        <CaseDisplayIdentifier>62046-09-22</CaseDisplayIdentifier>
        <CaseTypeID>1</CaseTypeID>
        <CaseTypeName>תיק אזרחי בסדר דין רגיל (ת"א)</CaseTypeName>
        <CaseName>עראידה נ' בנק מזרחי טפחות בעמ</CaseName>
        <FullAddress>ז'בוטינסקי 7 רמת גן </FullAddress>
        <EmailAddress>roy@simchovitz.co.il</EmailAddress>
        <MotionID>105089415</MotionID>
        <CasePleaID>0</CasePleaID>
        <LinkedCaseID>0</LinkedCaseID>
        <PartyID>1</PartyID>
        <CasePartyCategoryID>4</CasePartyCategoryID>
        <LegalEntityAddressID>72102177</LegalEntityAddressID>
        <LegalEntityEmailAddressID>68100950</LegalEntityEmailAddressID>
        <PleaTypeID>60</PleaTypeID>
        <GroupPartyAlias>מבקשים</GroupPartyAlias>
        <IsConverted>false</IsConverted>
        <LegalEntityRegisteredNameID>2740249</LegalEntityRegisteredNameID>
        <RepresentatedNamesOfAssistant/>
        <LegalEntityTypeID>3</LegalEntityTypeID>
        <IsVerdictExists>false</IsVerdictExists>
        <IsAsirAzir>false</IsAsirAzir>
        <IsPublicationProhibited>false</IsPublicationProhibited>
        <PublicationProhibitedFullName>בנק מזרחי טפחות בעמ</PublicationProhibitedFullName>
      </CaseParties>
      <CaseParties>
        <PartyTypeName>צד</PartyTypeName>
        <ProceedingType>בקשות</ProceedingType>
        <PleaName>בקשה של נתבע 1 בקשה לדחיית התביעה על הסף </PleaName>
        <PartyBelonging>צד ב'</PartyBelonging>
        <RoleName>משיב 1</RoleName>
        <IsSubProceeding>TRUE</IsSubProceeding>
        <FullName>נואף עראידה</FullName>
        <FirstName>נואף</FirstName>
        <LastName>עראידה</LastName>
        <PartyPropertyName/>
        <AuthenticationTypeAndNumber>ת"ז 056897697</AuthenticationTypeAndNumber>
        <RepresentatedOrRepresentativesNames>כרם הנו</RepresentatedOrRepresentativesNames>
        <RepresentatedOrRepresentativesCount>1</RepresentatedOrRepresentativesCount>
        <InvitedBy/>
        <CaseID>79640818</CaseID>
        <CaseJudicialPersonPresentationDS>
          <CaseJudicalPersonActive>
            <CaseID>79640818</CaseID>
            <JudicialPersonID>059352013@GOV.IL</JudicialPersonID>
            <JudicialPersonTypeID>1</JudicialPersonTypeID>
            <JudicialTypeID>1</JudicialTypeID>
            <IsChairman>false</IsChairman>
            <TreatmentStartDate>2023-05-15T15:25:07.41+03:00</TreatmentStartDate>
            <TreatmentFinishDate>9999-12-31T23:59:59.997+02:00</TreatmentFinishDate>
            <IdentificationCardNumber>059352013</IdentificationCardNumber>
            <DisplayName>רמזי חדיד</DisplayName>
            <JudicialTypeName>שופט</JudicialTypeName>
            <CaseJudicialGroupNumber>0</CaseJudicialGroupNumber>
            <DecisionID>145000512</DecisionID>
            <FirstName>רמזי</FirstName>
            <LastName>חדיד</LastName>
            <JudicialPersonTitle>שופט</JudicialPersonTitle>
          </CaseJudicalPersonActive>
        </CaseJudicialPersonPresentationDS>
        <CasePartyID>255251889</CasePartyID>
        <PartyTypeID>1</PartyTypeID>
        <ActivityStatusID>1</ActivityStatusID>
        <PartyAliasID>4</PartyAliasID>
        <PartyAliasName>משיב</PartyAliasName>
        <OrdinalNumber>1</OrdinalNumber>
        <LegalEntityID>6198445</LegalEntityID>
        <CaseLegalEntityID>121457369</CaseLegalEntityID>
        <AuthenticationTypeID>1</AuthenticationTypeID>
        <AuthenticationTypeName>ת"ז</AuthenticationTypeName>
        <LegalEntityNumber>056897697</LegalEntityNumber>
        <IsMainPartyType>false</IsMainPartyType>
        <CaseDisplayIdentifier>62046-09-22</CaseDisplayIdentifier>
        <CaseTypeID>1</CaseTypeID>
        <CaseTypeName>תיק אזרחי בסדר דין רגיל (ת"א)</CaseTypeName>
        <CaseName>עראידה נ' בנק מזרחי טפחות בעמ</CaseName>
        <FullAddress>מגאר </FullAddress>
        <MotionID>105089415</MotionID>
        <CasePleaID>0</CasePleaID>
        <FatherName>סלאמה</FatherName>
        <LinkedCaseID>0</LinkedCaseID>
        <PartyID>2</PartyID>
        <CasePartyCategoryID>4</CasePartyCategoryID>
        <LegalEntityAddressID>87027827</LegalEntityAddressID>
        <PleaTypeID>60</PleaTypeID>
        <GroupPartyAlias>משיבים</GroupPartyAlias>
        <IsConverted>false</IsConverted>
        <LegalEntityRegisteredNameID>1865503</LegalEntityRegisteredNameID>
        <LegalEntityNameID>93755305</LegalEntityNameID>
        <RepresentatedNamesOfAssistant/>
        <PopulationRegisterVerificationStatusID>1</PopulationRegisterVerificationStatusID>
        <LegalEntityTypeID>1</LegalEntityTypeID>
        <IsVerdictExists>false</IsVerdictExists>
        <IsAsirAzir>false</IsAsirAzir>
        <IsPublicationProhibited>false</IsPublicationProhibited>
        <PublicationProhibitedFullName>נואף עראידה</PublicationProhibitedFullName>
      </CaseParties>
      <CaseParties>
        <PartyTypeName>בא כוח</PartyTypeName>
        <ProceedingType>כתב טענות עיקרי</ProceedingType>
        <PleaName>כתב תביעה</PleaName>
        <PartyBelonging> - </PartyBelonging>
        <RoleName>בא כוח תובעים</RoleName>
        <IsSubProceeding>FALSE</IsSubProceeding>
        <FullName>כרם הנו</FullName>
        <FirstName>כרם</FirstName>
        <LastName>הנו</LastName>
        <PartyPropertyName/>
        <AuthenticationTypeAndNumber>מ.ר. 53159</AuthenticationTypeAndNumber>
        <RepresentatedOrRepresentativesNames>נואף עראידה</RepresentatedOrRepresentativesNames>
        <RepresentatedOrRepresentativesCount>1</RepresentatedOrRepresentativesCount>
        <InvitedBy/>
        <CaseID>79640818</CaseID>
        <CaseJudicialPersonPresentationDS>
          <CaseJudicalPersonActive>
            <CaseID>79640818</CaseID>
            <JudicialPersonID>059352013@GOV.IL</JudicialPersonID>
            <JudicialPersonTypeID>1</JudicialPersonTypeID>
            <JudicialTypeID>1</JudicialTypeID>
            <IsChairman>false</IsChairman>
            <TreatmentStartDate>2023-05-15T15:25:07.41+03:00</TreatmentStartDate>
            <TreatmentFinishDate>9999-12-31T23:59:59.997+02:00</TreatmentFinishDate>
            <IdentificationCardNumber>059352013</IdentificationCardNumber>
            <DisplayName>רמזי חדיד</DisplayName>
            <JudicialTypeName>שופט</JudicialTypeName>
            <CaseJudicialGroupNumber>0</CaseJudicialGroupNumber>
            <DecisionID>145000512</DecisionID>
            <FirstName>רמזי</FirstName>
            <LastName>חדיד</LastName>
            <JudicialPersonTitle>שופט</JudicialPersonTitle>
          </CaseJudicalPersonActive>
        </CaseJudicialPersonPresentationDS>
        <CasePartyID>246316617</CasePartyID>
        <PartyTypeID>2</PartyTypeID>
        <ActivityStatusID>1</ActivityStatusID>
        <PartyAliasID>20</PartyAliasID>
        <PartyAliasName>בא כוח תובעים</PartyAliasName>
        <OrdinalNumber>1</OrdinalNumber>
        <LegalEntityID>33127925</LegalEntityID>
        <CaseLegalEntityID>121457370</CaseLegalEntityID>
        <AuthenticationTypeID>4</AuthenticationTypeID>
        <AuthenticationTypeName>מ.ר.</AuthenticationTypeName>
        <LegalEntityNumber>53159</LegalEntityNumber>
        <IsMainPartyType>true</IsMainPartyType>
        <CaseDisplayIdentifier>62046-09-22</CaseDisplayIdentifier>
        <CaseTypeID>1</CaseTypeID>
        <CaseTypeName>תיק אזרחי בסדר דין רגיל (ת"א)</CaseTypeName>
        <CaseName>עראידה נ' בנק מזרחי טפחות בעמ</CaseName>
        <FullAddress>ת.ד 4288 מגאר </FullAddress>
        <EmailAddress>karam.advs@gmail.com</EmailAddress>
        <MotionID>0</MotionID>
        <CasePleaID>0</CasePleaID>
        <LinkedCaseID>0</LinkedCaseID>
        <PartyID>1</PartyID>
        <CasePartyCategoryID>2</CasePartyCategoryID>
        <LegalEntityAddressID>73073321</LegalEntityAddressID>
        <LegalEntityEmailAddressID>68110441</LegalEntityEmailAddressID>
        <PleaTypeID>4</PleaTypeID>
        <LawyerOfficeName>משרד עו"ד כרם הנו</LawyerOfficeName>
        <LawyerOfficeID>33127926</LawyerOfficeID>
        <GroupPartyAlias/>
        <IsConverted>false</IsConverted>
        <LegalEntityNameID>34918296</LegalEntityNameID>
        <RepresentatedNamesOfAssistant/>
        <LegalEntityTypeID>4</LegalEntityTypeID>
        <IsVerdictExists>false</IsVerdictExists>
        <IsAsirAzir>false</IsAsirAzir>
        <IsPublicationProhibited>false</IsPublicationProhibited>
        <PublicationProhibitedFullName>כרם הנו</PublicationProhibitedFullName>
      </CaseParties>
      <CaseParties>
        <PartyTypeName>בא כוח</PartyTypeName>
        <ProceedingType>כתב טענות עיקרי</ProceedingType>
        <PleaName>כתב תביעה</PleaName>
        <PartyBelonging> - </PartyBelonging>
        <RoleName>בא כוח נתבעים</RoleName>
        <IsSubProceeding>FALSE</IsSubProceeding>
        <FullName>נאדר אליאס</FullName>
        <FirstName>נאדר</FirstName>
        <LastName>אליאס</LastName>
        <PartyPropertyName/>
        <AuthenticationTypeAndNumber>מ.ר. 20040</AuthenticationTypeAndNumber>
        <RepresentatedOrRepresentativesNames xml:space="preserve"> </RepresentatedOrRepresentativesNames>
        <RepresentatedOrRepresentativesCount>1</RepresentatedOrRepresentativesCount>
        <InvitedBy/>
        <CaseID>79640818</CaseID>
        <CaseJudicialPersonPresentationDS>
          <CaseJudicalPersonActive>
            <CaseID>79640818</CaseID>
            <JudicialPersonID>059352013@GOV.IL</JudicialPersonID>
            <JudicialPersonTypeID>1</JudicialPersonTypeID>
            <JudicialTypeID>1</JudicialTypeID>
            <IsChairman>false</IsChairman>
            <TreatmentStartDate>2023-05-15T15:25:07.41+03:00</TreatmentStartDate>
            <TreatmentFinishDate>9999-12-31T23:59:59.997+02:00</TreatmentFinishDate>
            <IdentificationCardNumber>059352013</IdentificationCardNumber>
            <DisplayName>רמזי חדיד</DisplayName>
            <JudicialTypeName>שופט</JudicialTypeName>
            <CaseJudicialGroupNumber>0</CaseJudicialGroupNumber>
            <DecisionID>145000512</DecisionID>
            <FirstName>רמזי</FirstName>
            <LastName>חדיד</LastName>
            <JudicialPersonTitle>שופט</JudicialPersonTitle>
          </CaseJudicalPersonActive>
        </CaseJudicialPersonPresentationDS>
        <CasePartyID>250952708</CasePartyID>
        <PartyTypeID>2</PartyTypeID>
        <ActivityStatusID>1</ActivityStatusID>
        <PartyAliasID>21</PartyAliasID>
        <PartyAliasName>בא כוח נתבעים</PartyAliasName>
        <OrdinalNumber>1</OrdinalNumber>
        <LegalEntityID>384936</LegalEntityID>
        <CaseLegalEntityID>122883233</CaseLegalEntityID>
        <AuthenticationTypeID>4</AuthenticationTypeID>
        <AuthenticationTypeName>מ.ר.</AuthenticationTypeName>
        <LegalEntityNumber>20040</LegalEntityNumber>
        <IsMainPartyType>true</IsMainPartyType>
        <CaseDisplayIdentifier>62046-09-22</CaseDisplayIdentifier>
        <CaseTypeID>1</CaseTypeID>
        <CaseTypeName>תיק אזרחי בסדר דין רגיל (ת"א)</CaseTypeName>
        <CaseName>עראידה נ' בנק מזרחי טפחות בעמ</CaseName>
        <FullAddress>חרמון 1 נוף הגליל ת.ד 4874</FullAddress>
        <EmailAddress>sigalit@elias-co.com</EmailAddress>
        <MotionID>0</MotionID>
        <CasePleaID>0</CasePleaID>
        <LinkedCaseID>0</LinkedCaseID>
        <PartyID>2</PartyID>
        <CasePartyCategoryID>2</CasePartyCategoryID>
        <LegalEntityAddressID>75187796</LegalEntityAddressID>
        <LegalEntityEmailAddressID>67909988</LegalEntityEmailAddressID>
        <PleaTypeID>4</PleaTypeID>
        <LawyerOfficeName>משרד עו"ד: נאדר אליאס</LawyerOfficeName>
        <LawyerOfficeID>425580</LawyerOfficeID>
        <GroupPartyAlias/>
        <IsConverted>false</IsConverted>
        <LegalEntityNameID>5920</LegalEntityNameID>
        <RepresentatedNamesOfAssistant/>
        <LegalEntityTypeID>4</LegalEntityTypeID>
        <IsVerdictExists>false</IsVerdictExists>
        <IsAsirAzir>false</IsAsirAzir>
        <IsPublicationProhibited>false</IsPublicationProhibited>
        <PublicationProhibitedFullName>נאדר אליאס</PublicationProhibitedFullName>
      </CaseParties>
    </CasePartiesSelectionDS>
    <CaseName>עראידה נ' בנק מזרחי טפחות בעמ</CaseName>
    <CaseDisplayIdentifier>62046-09-22</CaseDisplayIdentifier>
    <CaseInterestID>38</CaseInterestID>
    <CaseTypeShortName>ת"א</CaseTypeShortName>
  </dt_DecisionCase>
  <dt_DecisionJudgePanel>
    <JudgeID>059352013@GOV.IL</JudgeID>
    <DisplayName>רמזי חדיד</DisplayName>
    <RoleName>שופט</RoleName>
    <UserTitleName>שופט בכיר</UserTitleName>
  </dt_DecisionJudgePanel>
  <dt_LegalEntityDetails>
    <PartyID>1</PartyID>
    <PartyTypeID>1</PartyTypeID>
    <DecisionID>0</DecisionID>
    <ZipCode>2012800</ZipCode>
    <CityName>מגאר</CityName>
    <FullName>נואף עראידה</FullName>
    <IsPublicationProhibited>false</IsPublicationProhibited>
  </dt_LegalEntityDetails>
  <dt_LegalEntityDetails>
    <Fax>04-6786944</Fax>
    <Phone>04-6786944</Phone>
    <PartyID>1</PartyID>
    <PartyTypeID>2</PartyTypeID>
    <DecisionID>0</DecisionID>
    <StreetName>ת.ד 4288</StreetName>
    <CityName>מגאר</CityName>
    <FullName>כרם הנו</FullName>
    <Email>karam.advs@gmail.com</Email>
    <IsPublicationProhibited>false</IsPublicationProhibited>
  </dt_LegalEntityDetails>
  <dt_LegalEntityDetails>
    <PartyID>2</PartyID>
    <PartyTypeID>1</PartyTypeID>
    <DecisionID>0</DecisionID>
    <StreetName>ז'בוטינסקי 7</StreetName>
    <CityName>רמת גן</CityName>
    <FullName> בנק מזרחי טפחות בעמ</FullName>
    <Email>roy@simchovitz.co.il</Email>
    <IsPublicationProhibited>false</IsPublicationProhibited>
  </dt_LegalEntityDetails>
  <dt_LegalEntityDetails>
    <Fax>04-8707551</Fax>
    <Phone>04-8702828</Phone>
    <AddressDesc>ת.ד 4874</AddressDesc>
    <PartyID>2</PartyID>
    <PartyTypeID>2</PartyTypeID>
    <DecisionID>0</DecisionID>
    <StreetName>חרמון 1</StreetName>
    <ZipCode>1750222</ZipCode>
    <CityName>נוף הגליל</CityName>
    <FullName>נאדר אליאס</FullName>
    <Email>sigalit@elias-co.com</Email>
    <IsPublicationProhibited>false</IsPublicationProhibited>
  </dt_LegalEntityDetails>
  <dt_CaseJudicalPersonActive>
    <CaseJudicalPerson>שופט בכיר רמזי חדיד</CaseJudicalPerson>
  </dt_CaseJudicalPersonActive>
  <dt_Sitting/>
</DecisionTemplateDS>
</file>

<file path=customXml/itemProps1.xml><?xml version="1.0" encoding="utf-8"?>
<ds:datastoreItem xmlns:ds="http://schemas.openxmlformats.org/officeDocument/2006/customXml" ds:itemID="{B30EB5D0-0041-4B09-B9CC-37055BD6608E}">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10</Pages>
  <Words>2482</Words>
  <Characters>11245</Characters>
  <Application>Microsoft Office Word</Application>
  <DocSecurity>0</DocSecurity>
  <Lines>274</Lines>
  <Paragraphs>62</Paragraphs>
  <ScaleCrop>false</ScaleCrop>
  <HeadingPairs>
    <vt:vector size="2" baseType="variant">
      <vt:variant>
        <vt:lpstr>שם</vt:lpstr>
      </vt:variant>
      <vt:variant>
        <vt:i4>1</vt:i4>
      </vt:variant>
    </vt:vector>
  </HeadingPairs>
  <TitlesOfParts>
    <vt:vector size="1" baseType="lpstr">
      <vt:lpstr/>
    </vt:vector>
  </TitlesOfParts>
  <Company>Microsoft Corporation</Company>
  <LinksUpToDate>false</LinksUpToDate>
  <CharactersWithSpaces>13665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anatk</dc:creator>
  <cp:keywords/>
  <dc:description/>
  <cp:lastModifiedBy>גרמאו מנגיסטו</cp:lastModifiedBy>
  <cp:revision>2</cp:revision>
  <cp:lastPrinted>2024-01-15T11:27:00Z</cp:lastPrinted>
  <dcterms:created xsi:type="dcterms:W3CDTF">2024-01-22T11:40:00Z</dcterms:created>
  <dcterms:modified xsi:type="dcterms:W3CDTF">2024-01-22T11:40:00Z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aa4e805d0560c5eae19c064536154b360dd66e98c57f63b6afd54709cdc292d3</vt:lpwstr>
  </property>
</Properties>
</file>