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605F9A" w:rsidRPr="00605F9A" w:rsidTr="006816EC">
        <w:trPr>
          <w:jc w:val="center"/>
        </w:trPr>
        <w:tc>
          <w:tcPr>
            <w:tcW w:w="743" w:type="dxa"/>
            <w:hideMark/>
          </w:tcPr>
          <w:p w:rsidR="006816EC" w:rsidRPr="00611140" w:rsidRDefault="006816EC">
            <w:pPr>
              <w:jc w:val="both"/>
              <w:rPr>
                <w:rFonts w:ascii="FrankRuehl" w:hAnsi="FrankRuehl" w:cs="FrankRuehl"/>
                <w:b/>
                <w:bCs/>
                <w:sz w:val="28"/>
                <w:szCs w:val="28"/>
              </w:rPr>
            </w:pPr>
            <w:bookmarkStart w:id="0" w:name="_GoBack"/>
            <w:bookmarkEnd w:id="0"/>
            <w:r w:rsidRPr="00611140">
              <w:rPr>
                <w:rFonts w:ascii="FrankRuehl" w:hAnsi="FrankRuehl" w:cs="FrankRuehl"/>
                <w:b/>
                <w:bCs/>
                <w:sz w:val="28"/>
                <w:szCs w:val="28"/>
                <w:rtl/>
              </w:rPr>
              <w:t xml:space="preserve">בפני </w:t>
            </w:r>
          </w:p>
        </w:tc>
        <w:tc>
          <w:tcPr>
            <w:tcW w:w="8077" w:type="dxa"/>
            <w:gridSpan w:val="2"/>
            <w:hideMark/>
          </w:tcPr>
          <w:p w:rsidR="006816EC" w:rsidRPr="00611140" w:rsidRDefault="00B32C61" w:rsidP="006816EC">
            <w:pPr>
              <w:rPr>
                <w:rFonts w:ascii="FrankRuehl" w:hAnsi="FrankRuehl" w:cs="FrankRuehl"/>
                <w:b/>
                <w:bCs/>
                <w:sz w:val="28"/>
                <w:szCs w:val="28"/>
                <w:rtl/>
              </w:rPr>
            </w:pPr>
            <w:r w:rsidRPr="00611140">
              <w:rPr>
                <w:rFonts w:ascii="FrankRuehl" w:hAnsi="FrankRuehl" w:cs="FrankRuehl"/>
                <w:b/>
                <w:bCs/>
                <w:sz w:val="28"/>
                <w:szCs w:val="28"/>
                <w:rtl/>
              </w:rPr>
              <w:t>כבוד</w:t>
            </w:r>
            <w:r w:rsidR="006816EC" w:rsidRPr="00611140">
              <w:rPr>
                <w:rFonts w:ascii="FrankRuehl" w:hAnsi="FrankRuehl" w:cs="FrankRuehl"/>
                <w:b/>
                <w:bCs/>
                <w:sz w:val="28"/>
                <w:szCs w:val="28"/>
                <w:rtl/>
              </w:rPr>
              <w:t xml:space="preserve"> ה</w:t>
            </w:r>
            <w:r w:rsidRPr="00611140">
              <w:rPr>
                <w:rFonts w:ascii="FrankRuehl" w:hAnsi="FrankRuehl" w:cs="FrankRuehl"/>
                <w:b/>
                <w:bCs/>
                <w:sz w:val="28"/>
                <w:szCs w:val="28"/>
                <w:rtl/>
              </w:rPr>
              <w:t>שופטת</w:t>
            </w:r>
            <w:r w:rsidR="006816EC" w:rsidRPr="00611140">
              <w:rPr>
                <w:rFonts w:ascii="FrankRuehl" w:hAnsi="FrankRuehl" w:cs="FrankRuehl"/>
                <w:b/>
                <w:bCs/>
                <w:sz w:val="28"/>
                <w:szCs w:val="28"/>
                <w:rtl/>
              </w:rPr>
              <w:t xml:space="preserve">  </w:t>
            </w:r>
            <w:r w:rsidRPr="00611140">
              <w:rPr>
                <w:rFonts w:ascii="FrankRuehl" w:hAnsi="FrankRuehl" w:cs="FrankRuehl"/>
                <w:b/>
                <w:bCs/>
                <w:sz w:val="28"/>
                <w:szCs w:val="28"/>
                <w:rtl/>
              </w:rPr>
              <w:t>הילה גורביץ עובדיה</w:t>
            </w:r>
          </w:p>
          <w:p w:rsidR="006816EC" w:rsidRPr="00605F9A" w:rsidRDefault="006816EC" w:rsidP="006816EC"/>
        </w:tc>
      </w:tr>
      <w:tr w:rsidR="00605F9A" w:rsidRPr="00605F9A" w:rsidTr="006816EC">
        <w:trPr>
          <w:jc w:val="center"/>
        </w:trPr>
        <w:tc>
          <w:tcPr>
            <w:tcW w:w="3249" w:type="dxa"/>
            <w:gridSpan w:val="2"/>
          </w:tcPr>
          <w:p w:rsidR="006D5BC8" w:rsidRPr="00605F9A" w:rsidRDefault="00A02A88">
            <w:pPr>
              <w:rPr>
                <w:rFonts w:ascii="FrankRuehl" w:hAnsi="FrankRuehl" w:cs="FrankRuehl"/>
                <w:b/>
                <w:bCs/>
                <w:noProof w:val="0"/>
                <w:sz w:val="28"/>
                <w:szCs w:val="28"/>
              </w:rPr>
            </w:pPr>
            <w:r>
              <w:rPr>
                <w:rFonts w:ascii="FrankRuehl" w:hAnsi="FrankRuehl" w:cs="FrankRuehl" w:hint="cs"/>
                <w:b/>
                <w:bCs/>
                <w:noProof w:val="0"/>
                <w:sz w:val="28"/>
                <w:szCs w:val="28"/>
                <w:rtl/>
              </w:rPr>
              <w:t>התובעים:</w:t>
            </w:r>
          </w:p>
        </w:tc>
        <w:tc>
          <w:tcPr>
            <w:tcW w:w="5571" w:type="dxa"/>
          </w:tcPr>
          <w:p w:rsidR="006816EC" w:rsidRPr="00605F9A" w:rsidRDefault="0027277D" w:rsidP="00A02A88">
            <w:pPr>
              <w:rPr>
                <w:rFonts w:ascii="FrankRuehl" w:hAnsi="FrankRuehl" w:cs="FrankRuehl"/>
                <w:b/>
                <w:bCs/>
                <w:noProof w:val="0"/>
                <w:sz w:val="28"/>
                <w:szCs w:val="28"/>
              </w:rPr>
            </w:pPr>
            <w:r w:rsidRPr="00605F9A">
              <w:rPr>
                <w:rFonts w:ascii="FrankRuehl" w:hAnsi="FrankRuehl" w:cs="FrankRuehl"/>
                <w:b/>
                <w:bCs/>
                <w:noProof w:val="0"/>
                <w:sz w:val="28"/>
                <w:szCs w:val="28"/>
                <w:rtl/>
              </w:rPr>
              <w:t>1</w:t>
            </w:r>
            <w:r w:rsidR="006816EC" w:rsidRPr="00605F9A">
              <w:rPr>
                <w:rFonts w:ascii="FrankRuehl" w:hAnsi="FrankRuehl" w:cs="FrankRuehl"/>
                <w:b/>
                <w:bCs/>
                <w:noProof w:val="0"/>
                <w:sz w:val="28"/>
                <w:szCs w:val="28"/>
                <w:rtl/>
              </w:rPr>
              <w:t>.</w:t>
            </w:r>
            <w:r w:rsidR="00A02A88">
              <w:rPr>
                <w:rFonts w:ascii="FrankRuehl" w:hAnsi="FrankRuehl" w:cs="FrankRuehl" w:hint="cs"/>
                <w:b/>
                <w:bCs/>
                <w:noProof w:val="0"/>
                <w:sz w:val="28"/>
                <w:szCs w:val="28"/>
                <w:rtl/>
              </w:rPr>
              <w:t xml:space="preserve"> </w:t>
            </w:r>
            <w:r w:rsidR="00A02A88">
              <w:rPr>
                <w:rFonts w:ascii="FrankRuehl" w:hAnsi="FrankRuehl" w:cs="FrankRuehl"/>
                <w:b/>
                <w:bCs/>
                <w:noProof w:val="0"/>
                <w:sz w:val="28"/>
                <w:szCs w:val="28"/>
                <w:rtl/>
              </w:rPr>
              <w:t>ס.א.כ.</w:t>
            </w:r>
            <w:r w:rsidR="009C358E" w:rsidRPr="00605F9A">
              <w:rPr>
                <w:rFonts w:ascii="FrankRuehl" w:hAnsi="FrankRuehl" w:cs="FrankRuehl"/>
                <w:b/>
                <w:bCs/>
                <w:noProof w:val="0"/>
                <w:sz w:val="28"/>
                <w:szCs w:val="28"/>
                <w:rtl/>
              </w:rPr>
              <w:t xml:space="preserve"> </w:t>
            </w:r>
            <w:r w:rsidR="00A02A88">
              <w:rPr>
                <w:rFonts w:ascii="FrankRuehl" w:hAnsi="FrankRuehl" w:cs="FrankRuehl" w:hint="cs"/>
                <w:b/>
                <w:bCs/>
                <w:noProof w:val="0"/>
                <w:sz w:val="28"/>
                <w:szCs w:val="28"/>
                <w:rtl/>
              </w:rPr>
              <w:t xml:space="preserve">(הסב) </w:t>
            </w:r>
            <w:r w:rsidRPr="00605F9A">
              <w:rPr>
                <w:rFonts w:ascii="FrankRuehl" w:hAnsi="FrankRuehl" w:cs="FrankRuehl"/>
                <w:b/>
                <w:bCs/>
                <w:noProof w:val="0"/>
                <w:sz w:val="28"/>
                <w:szCs w:val="28"/>
                <w:rtl/>
              </w:rPr>
              <w:t>ת"ז</w:t>
            </w:r>
            <w:r w:rsidR="009C358E" w:rsidRPr="00605F9A">
              <w:rPr>
                <w:rFonts w:ascii="FrankRuehl" w:hAnsi="FrankRuehl" w:cs="FrankRuehl"/>
                <w:b/>
                <w:bCs/>
                <w:noProof w:val="0"/>
                <w:sz w:val="28"/>
                <w:szCs w:val="28"/>
                <w:rtl/>
              </w:rPr>
              <w:t xml:space="preserve"> </w:t>
            </w:r>
            <w:r w:rsidR="00A02A88">
              <w:rPr>
                <w:rFonts w:ascii="FrankRuehl" w:hAnsi="FrankRuehl" w:cs="FrankRuehl" w:hint="cs"/>
                <w:b/>
                <w:bCs/>
                <w:noProof w:val="0"/>
                <w:sz w:val="28"/>
                <w:szCs w:val="28"/>
                <w:rtl/>
              </w:rPr>
              <w:t>--------</w:t>
            </w:r>
          </w:p>
          <w:p w:rsidR="006816EC" w:rsidRPr="00605F9A" w:rsidRDefault="0027277D">
            <w:pPr>
              <w:rPr>
                <w:rFonts w:ascii="FrankRuehl" w:hAnsi="FrankRuehl" w:cs="FrankRuehl"/>
                <w:b/>
                <w:bCs/>
                <w:noProof w:val="0"/>
                <w:sz w:val="28"/>
                <w:szCs w:val="28"/>
                <w:rtl/>
              </w:rPr>
            </w:pPr>
            <w:r w:rsidRPr="00605F9A">
              <w:rPr>
                <w:rFonts w:ascii="FrankRuehl" w:hAnsi="FrankRuehl" w:cs="FrankRuehl"/>
                <w:b/>
                <w:bCs/>
                <w:noProof w:val="0"/>
                <w:sz w:val="28"/>
                <w:szCs w:val="28"/>
                <w:rtl/>
              </w:rPr>
              <w:t>2</w:t>
            </w:r>
            <w:r w:rsidR="006816EC" w:rsidRPr="00605F9A">
              <w:rPr>
                <w:rFonts w:ascii="FrankRuehl" w:hAnsi="FrankRuehl" w:cs="FrankRuehl"/>
                <w:b/>
                <w:bCs/>
                <w:noProof w:val="0"/>
                <w:sz w:val="28"/>
                <w:szCs w:val="28"/>
                <w:rtl/>
              </w:rPr>
              <w:t>.</w:t>
            </w:r>
            <w:r w:rsidR="00A02A88">
              <w:rPr>
                <w:rFonts w:ascii="FrankRuehl" w:hAnsi="FrankRuehl" w:cs="FrankRuehl" w:hint="cs"/>
                <w:b/>
                <w:bCs/>
                <w:noProof w:val="0"/>
                <w:sz w:val="28"/>
                <w:szCs w:val="28"/>
                <w:rtl/>
              </w:rPr>
              <w:t xml:space="preserve"> </w:t>
            </w:r>
            <w:r w:rsidR="00A02A88">
              <w:rPr>
                <w:rFonts w:ascii="FrankRuehl" w:hAnsi="FrankRuehl" w:cs="FrankRuehl"/>
                <w:b/>
                <w:bCs/>
                <w:noProof w:val="0"/>
                <w:sz w:val="28"/>
                <w:szCs w:val="28"/>
                <w:rtl/>
              </w:rPr>
              <w:t>ב.א.כ.</w:t>
            </w:r>
            <w:r w:rsidR="009C358E" w:rsidRPr="00605F9A">
              <w:rPr>
                <w:rFonts w:ascii="FrankRuehl" w:hAnsi="FrankRuehl" w:cs="FrankRuehl"/>
                <w:b/>
                <w:bCs/>
                <w:noProof w:val="0"/>
                <w:sz w:val="28"/>
                <w:szCs w:val="28"/>
                <w:rtl/>
              </w:rPr>
              <w:t xml:space="preserve"> </w:t>
            </w:r>
            <w:r w:rsidRPr="00605F9A">
              <w:rPr>
                <w:rFonts w:ascii="FrankRuehl" w:hAnsi="FrankRuehl" w:cs="FrankRuehl"/>
                <w:b/>
                <w:bCs/>
                <w:noProof w:val="0"/>
                <w:sz w:val="28"/>
                <w:szCs w:val="28"/>
                <w:rtl/>
              </w:rPr>
              <w:t>ת"ז</w:t>
            </w:r>
            <w:r w:rsidR="009C358E" w:rsidRPr="00605F9A">
              <w:rPr>
                <w:rFonts w:ascii="FrankRuehl" w:hAnsi="FrankRuehl" w:cs="FrankRuehl"/>
                <w:b/>
                <w:bCs/>
                <w:noProof w:val="0"/>
                <w:sz w:val="28"/>
                <w:szCs w:val="28"/>
                <w:rtl/>
              </w:rPr>
              <w:t xml:space="preserve"> </w:t>
            </w:r>
            <w:r w:rsidR="00A02A88">
              <w:rPr>
                <w:rFonts w:ascii="FrankRuehl" w:hAnsi="FrankRuehl" w:cs="FrankRuehl" w:hint="cs"/>
                <w:b/>
                <w:bCs/>
                <w:noProof w:val="0"/>
                <w:sz w:val="28"/>
                <w:szCs w:val="28"/>
                <w:rtl/>
              </w:rPr>
              <w:t>--------</w:t>
            </w:r>
          </w:p>
          <w:p w:rsidR="00EC50AC" w:rsidRPr="00605F9A" w:rsidRDefault="00EC50AC">
            <w:pPr>
              <w:rPr>
                <w:rFonts w:ascii="FrankRuehl" w:hAnsi="FrankRuehl" w:cs="FrankRuehl"/>
                <w:b/>
                <w:bCs/>
                <w:noProof w:val="0"/>
                <w:sz w:val="28"/>
                <w:szCs w:val="28"/>
              </w:rPr>
            </w:pPr>
            <w:r w:rsidRPr="00605F9A">
              <w:rPr>
                <w:rFonts w:ascii="FrankRuehl" w:hAnsi="FrankRuehl" w:cs="FrankRuehl"/>
                <w:b/>
                <w:bCs/>
                <w:noProof w:val="0"/>
                <w:sz w:val="28"/>
                <w:szCs w:val="28"/>
                <w:rtl/>
              </w:rPr>
              <w:t>ע"י ב"כ עוה"ד סוהיר זידאן</w:t>
            </w:r>
          </w:p>
        </w:tc>
      </w:tr>
      <w:tr w:rsidR="00605F9A" w:rsidRPr="00605F9A" w:rsidTr="006816EC">
        <w:trPr>
          <w:jc w:val="center"/>
        </w:trPr>
        <w:tc>
          <w:tcPr>
            <w:tcW w:w="8820" w:type="dxa"/>
            <w:gridSpan w:val="3"/>
          </w:tcPr>
          <w:p w:rsidR="006816EC" w:rsidRPr="00605F9A" w:rsidRDefault="006816EC">
            <w:pPr>
              <w:rPr>
                <w:rFonts w:ascii="FrankRuehl" w:hAnsi="FrankRuehl" w:cs="FrankRuehl"/>
                <w:b/>
                <w:bCs/>
                <w:noProof w:val="0"/>
                <w:sz w:val="28"/>
                <w:szCs w:val="28"/>
                <w:rtl/>
              </w:rPr>
            </w:pPr>
          </w:p>
          <w:p w:rsidR="006816EC" w:rsidRPr="00605F9A" w:rsidRDefault="006816EC">
            <w:pPr>
              <w:jc w:val="center"/>
              <w:rPr>
                <w:rFonts w:ascii="FrankRuehl" w:hAnsi="FrankRuehl" w:cs="FrankRuehl"/>
                <w:b/>
                <w:bCs/>
                <w:noProof w:val="0"/>
                <w:sz w:val="28"/>
                <w:szCs w:val="28"/>
                <w:rtl/>
              </w:rPr>
            </w:pPr>
            <w:r w:rsidRPr="00605F9A">
              <w:rPr>
                <w:rFonts w:ascii="FrankRuehl" w:hAnsi="FrankRuehl" w:cs="FrankRuehl"/>
                <w:b/>
                <w:bCs/>
                <w:noProof w:val="0"/>
                <w:sz w:val="28"/>
                <w:szCs w:val="28"/>
                <w:rtl/>
              </w:rPr>
              <w:t>נגד</w:t>
            </w:r>
          </w:p>
          <w:p w:rsidR="006816EC" w:rsidRPr="00605F9A" w:rsidRDefault="006816EC">
            <w:pPr>
              <w:rPr>
                <w:rFonts w:ascii="FrankRuehl" w:hAnsi="FrankRuehl" w:cs="FrankRuehl"/>
                <w:b/>
                <w:bCs/>
                <w:noProof w:val="0"/>
                <w:sz w:val="28"/>
                <w:szCs w:val="28"/>
              </w:rPr>
            </w:pPr>
          </w:p>
        </w:tc>
      </w:tr>
      <w:tr w:rsidR="006816EC" w:rsidRPr="00605F9A" w:rsidTr="006816EC">
        <w:trPr>
          <w:jc w:val="center"/>
        </w:trPr>
        <w:tc>
          <w:tcPr>
            <w:tcW w:w="3249" w:type="dxa"/>
            <w:gridSpan w:val="2"/>
          </w:tcPr>
          <w:p w:rsidR="006816EC" w:rsidRPr="00605F9A" w:rsidRDefault="00A02A88">
            <w:pPr>
              <w:rPr>
                <w:rFonts w:ascii="FrankRuehl" w:hAnsi="FrankRuehl" w:cs="FrankRuehl"/>
                <w:b/>
                <w:bCs/>
                <w:noProof w:val="0"/>
                <w:sz w:val="28"/>
                <w:szCs w:val="28"/>
              </w:rPr>
            </w:pPr>
            <w:r>
              <w:rPr>
                <w:rFonts w:ascii="FrankRuehl" w:hAnsi="FrankRuehl" w:cs="FrankRuehl" w:hint="cs"/>
                <w:b/>
                <w:bCs/>
                <w:noProof w:val="0"/>
                <w:sz w:val="28"/>
                <w:szCs w:val="28"/>
                <w:rtl/>
              </w:rPr>
              <w:t>הנתבעים:</w:t>
            </w:r>
          </w:p>
        </w:tc>
        <w:tc>
          <w:tcPr>
            <w:tcW w:w="5571" w:type="dxa"/>
          </w:tcPr>
          <w:p w:rsidR="006816EC" w:rsidRPr="00605F9A" w:rsidRDefault="0027277D">
            <w:pPr>
              <w:rPr>
                <w:rFonts w:ascii="FrankRuehl" w:hAnsi="FrankRuehl" w:cs="FrankRuehl"/>
                <w:b/>
                <w:bCs/>
                <w:noProof w:val="0"/>
                <w:sz w:val="28"/>
                <w:szCs w:val="28"/>
              </w:rPr>
            </w:pPr>
            <w:r w:rsidRPr="00605F9A">
              <w:rPr>
                <w:rFonts w:ascii="FrankRuehl" w:hAnsi="FrankRuehl" w:cs="FrankRuehl"/>
                <w:b/>
                <w:bCs/>
                <w:noProof w:val="0"/>
                <w:sz w:val="28"/>
                <w:szCs w:val="28"/>
                <w:rtl/>
              </w:rPr>
              <w:t>1</w:t>
            </w:r>
            <w:r w:rsidR="006816EC" w:rsidRPr="00605F9A">
              <w:rPr>
                <w:rFonts w:ascii="FrankRuehl" w:hAnsi="FrankRuehl" w:cs="FrankRuehl"/>
                <w:b/>
                <w:bCs/>
                <w:noProof w:val="0"/>
                <w:sz w:val="28"/>
                <w:szCs w:val="28"/>
                <w:rtl/>
              </w:rPr>
              <w:t>.</w:t>
            </w:r>
            <w:r w:rsidR="00EC50AC" w:rsidRPr="00605F9A">
              <w:rPr>
                <w:rFonts w:ascii="FrankRuehl" w:hAnsi="FrankRuehl" w:cs="FrankRuehl"/>
                <w:b/>
                <w:bCs/>
                <w:noProof w:val="0"/>
                <w:sz w:val="28"/>
                <w:szCs w:val="28"/>
                <w:rtl/>
              </w:rPr>
              <w:t xml:space="preserve"> </w:t>
            </w:r>
            <w:r w:rsidR="00A02A88">
              <w:rPr>
                <w:rFonts w:ascii="FrankRuehl" w:hAnsi="FrankRuehl" w:cs="FrankRuehl"/>
                <w:b/>
                <w:bCs/>
                <w:noProof w:val="0"/>
                <w:sz w:val="28"/>
                <w:szCs w:val="28"/>
                <w:rtl/>
              </w:rPr>
              <w:t>ע.א.כ.</w:t>
            </w:r>
            <w:r w:rsidR="00EC50AC" w:rsidRPr="00605F9A">
              <w:rPr>
                <w:rFonts w:ascii="FrankRuehl" w:hAnsi="FrankRuehl" w:cs="FrankRuehl"/>
                <w:b/>
                <w:bCs/>
                <w:noProof w:val="0"/>
                <w:sz w:val="28"/>
                <w:szCs w:val="28"/>
                <w:rtl/>
              </w:rPr>
              <w:t xml:space="preserve"> ת"ז </w:t>
            </w:r>
            <w:r w:rsidR="00A02A88">
              <w:rPr>
                <w:rFonts w:ascii="FrankRuehl" w:hAnsi="FrankRuehl" w:cs="FrankRuehl" w:hint="cs"/>
                <w:b/>
                <w:bCs/>
                <w:noProof w:val="0"/>
                <w:sz w:val="28"/>
                <w:szCs w:val="28"/>
                <w:rtl/>
              </w:rPr>
              <w:t xml:space="preserve">-------- </w:t>
            </w:r>
            <w:r w:rsidR="00CA0D09">
              <w:rPr>
                <w:rFonts w:ascii="FrankRuehl" w:hAnsi="FrankRuehl" w:cs="FrankRuehl" w:hint="cs"/>
                <w:b/>
                <w:bCs/>
                <w:noProof w:val="0"/>
                <w:sz w:val="28"/>
                <w:szCs w:val="28"/>
                <w:rtl/>
              </w:rPr>
              <w:t>(נמחק)</w:t>
            </w:r>
            <w:r w:rsidR="00EC50AC" w:rsidRPr="00605F9A">
              <w:rPr>
                <w:rFonts w:ascii="FrankRuehl" w:hAnsi="FrankRuehl" w:cs="FrankRuehl"/>
                <w:b/>
                <w:bCs/>
                <w:noProof w:val="0"/>
                <w:sz w:val="28"/>
                <w:szCs w:val="28"/>
                <w:rtl/>
              </w:rPr>
              <w:br/>
              <w:t xml:space="preserve">2. </w:t>
            </w:r>
            <w:r w:rsidR="00A02A88">
              <w:rPr>
                <w:rFonts w:ascii="FrankRuehl" w:hAnsi="FrankRuehl" w:cs="FrankRuehl"/>
                <w:b/>
                <w:bCs/>
                <w:noProof w:val="0"/>
                <w:sz w:val="28"/>
                <w:szCs w:val="28"/>
                <w:rtl/>
              </w:rPr>
              <w:t>ס.א.כ.</w:t>
            </w:r>
            <w:r w:rsidR="00A02A88">
              <w:rPr>
                <w:rFonts w:ascii="FrankRuehl" w:hAnsi="FrankRuehl" w:cs="FrankRuehl" w:hint="cs"/>
                <w:b/>
                <w:bCs/>
                <w:noProof w:val="0"/>
                <w:sz w:val="28"/>
                <w:szCs w:val="28"/>
                <w:rtl/>
              </w:rPr>
              <w:t xml:space="preserve"> (הנכד)</w:t>
            </w:r>
            <w:r w:rsidR="009C358E" w:rsidRPr="00605F9A">
              <w:rPr>
                <w:rFonts w:ascii="FrankRuehl" w:hAnsi="FrankRuehl" w:cs="FrankRuehl"/>
                <w:b/>
                <w:bCs/>
                <w:noProof w:val="0"/>
                <w:sz w:val="28"/>
                <w:szCs w:val="28"/>
                <w:rtl/>
              </w:rPr>
              <w:t xml:space="preserve"> </w:t>
            </w:r>
            <w:r w:rsidRPr="00605F9A">
              <w:rPr>
                <w:rFonts w:ascii="FrankRuehl" w:hAnsi="FrankRuehl" w:cs="FrankRuehl"/>
                <w:b/>
                <w:bCs/>
                <w:noProof w:val="0"/>
                <w:sz w:val="28"/>
                <w:szCs w:val="28"/>
                <w:rtl/>
              </w:rPr>
              <w:t>ת"ז</w:t>
            </w:r>
            <w:r w:rsidR="009C358E" w:rsidRPr="00605F9A">
              <w:rPr>
                <w:rFonts w:ascii="FrankRuehl" w:hAnsi="FrankRuehl" w:cs="FrankRuehl"/>
                <w:b/>
                <w:bCs/>
                <w:noProof w:val="0"/>
                <w:sz w:val="28"/>
                <w:szCs w:val="28"/>
                <w:rtl/>
              </w:rPr>
              <w:t xml:space="preserve"> </w:t>
            </w:r>
            <w:r w:rsidR="00A02A88">
              <w:rPr>
                <w:rFonts w:ascii="FrankRuehl" w:hAnsi="FrankRuehl" w:cs="FrankRuehl" w:hint="cs"/>
                <w:b/>
                <w:bCs/>
                <w:noProof w:val="0"/>
                <w:sz w:val="28"/>
                <w:szCs w:val="28"/>
                <w:rtl/>
              </w:rPr>
              <w:t>--------</w:t>
            </w:r>
          </w:p>
          <w:p w:rsidR="006816EC" w:rsidRPr="00605F9A" w:rsidRDefault="00EC50AC">
            <w:pPr>
              <w:rPr>
                <w:rFonts w:ascii="FrankRuehl" w:hAnsi="FrankRuehl" w:cs="FrankRuehl"/>
                <w:b/>
                <w:bCs/>
                <w:noProof w:val="0"/>
                <w:sz w:val="28"/>
                <w:szCs w:val="28"/>
              </w:rPr>
            </w:pPr>
            <w:r w:rsidRPr="00605F9A">
              <w:rPr>
                <w:rFonts w:ascii="FrankRuehl" w:hAnsi="FrankRuehl" w:cs="FrankRuehl"/>
                <w:b/>
                <w:bCs/>
                <w:noProof w:val="0"/>
                <w:sz w:val="28"/>
                <w:szCs w:val="28"/>
                <w:rtl/>
              </w:rPr>
              <w:t>ע"י ב"כ עו"ד גונן דוד</w:t>
            </w:r>
          </w:p>
        </w:tc>
      </w:tr>
      <w:tr w:rsidR="00605F9A" w:rsidRPr="00605F9A">
        <w:trPr>
          <w:jc w:val="center"/>
        </w:trPr>
        <w:tc>
          <w:tcPr>
            <w:tcW w:w="8820" w:type="dxa"/>
            <w:gridSpan w:val="3"/>
          </w:tcPr>
          <w:p w:rsidR="00A02A88" w:rsidRDefault="00A02A88" w:rsidP="00201F11">
            <w:pPr>
              <w:bidi w:val="0"/>
              <w:jc w:val="center"/>
              <w:rPr>
                <w:rFonts w:ascii="FrankRuehl" w:hAnsi="FrankRuehl" w:cs="FrankRuehl"/>
                <w:b/>
                <w:bCs/>
                <w:noProof w:val="0"/>
                <w:sz w:val="32"/>
                <w:szCs w:val="32"/>
                <w:u w:val="single"/>
                <w:rtl/>
              </w:rPr>
            </w:pPr>
          </w:p>
          <w:p w:rsidR="00EC50AC" w:rsidRDefault="00005C8B" w:rsidP="00A02A88">
            <w:pPr>
              <w:bidi w:val="0"/>
              <w:jc w:val="center"/>
              <w:rPr>
                <w:rFonts w:ascii="FrankRuehl" w:hAnsi="FrankRuehl" w:cs="FrankRuehl"/>
                <w:b/>
                <w:bCs/>
                <w:noProof w:val="0"/>
                <w:sz w:val="32"/>
                <w:szCs w:val="32"/>
                <w:u w:val="single"/>
                <w:rtl/>
              </w:rPr>
            </w:pPr>
            <w:r w:rsidRPr="00A02A88">
              <w:rPr>
                <w:rFonts w:ascii="FrankRuehl" w:hAnsi="FrankRuehl" w:cs="FrankRuehl"/>
                <w:b/>
                <w:bCs/>
                <w:noProof w:val="0"/>
                <w:sz w:val="32"/>
                <w:szCs w:val="32"/>
                <w:u w:val="single"/>
                <w:rtl/>
              </w:rPr>
              <w:t>פסק דין</w:t>
            </w:r>
          </w:p>
          <w:p w:rsidR="00A02A88" w:rsidRPr="00A02A88" w:rsidRDefault="00A02A88" w:rsidP="00A02A88">
            <w:pPr>
              <w:bidi w:val="0"/>
              <w:jc w:val="center"/>
              <w:rPr>
                <w:rFonts w:ascii="FrankRuehl" w:hAnsi="FrankRuehl" w:cs="FrankRuehl"/>
                <w:b/>
                <w:bCs/>
                <w:noProof w:val="0"/>
                <w:sz w:val="32"/>
                <w:szCs w:val="32"/>
                <w:u w:val="single"/>
              </w:rPr>
            </w:pPr>
          </w:p>
        </w:tc>
      </w:tr>
    </w:tbl>
    <w:p w:rsidR="00781DA5" w:rsidRPr="00605F9A" w:rsidRDefault="00781DA5" w:rsidP="00781DA5">
      <w:pPr>
        <w:spacing w:line="360" w:lineRule="auto"/>
        <w:jc w:val="both"/>
        <w:rPr>
          <w:rFonts w:ascii="FrankRuehl" w:hAnsi="FrankRuehl" w:cs="FrankRuehl"/>
          <w:noProof w:val="0"/>
          <w:sz w:val="28"/>
          <w:szCs w:val="28"/>
        </w:rPr>
      </w:pPr>
      <w:r w:rsidRPr="00605F9A">
        <w:rPr>
          <w:rFonts w:ascii="FrankRuehl" w:hAnsi="FrankRuehl" w:cs="FrankRuehl"/>
          <w:sz w:val="28"/>
          <w:szCs w:val="28"/>
          <w:rtl/>
        </w:rPr>
        <w:t>תביעה לביטול הסכם מתנה במקרקעין.</w:t>
      </w:r>
    </w:p>
    <w:p w:rsidR="00781DA5" w:rsidRPr="00605F9A" w:rsidRDefault="00781DA5" w:rsidP="00781DA5">
      <w:pPr>
        <w:spacing w:line="360" w:lineRule="auto"/>
        <w:jc w:val="both"/>
        <w:rPr>
          <w:rFonts w:ascii="FrankRuehl" w:hAnsi="FrankRuehl" w:cs="FrankRuehl"/>
          <w:sz w:val="28"/>
          <w:szCs w:val="28"/>
        </w:rPr>
      </w:pPr>
    </w:p>
    <w:p w:rsidR="00781DA5" w:rsidRPr="00605F9A" w:rsidRDefault="00781DA5" w:rsidP="00781DA5">
      <w:pPr>
        <w:spacing w:line="360" w:lineRule="auto"/>
        <w:jc w:val="both"/>
        <w:rPr>
          <w:rFonts w:ascii="FrankRuehl" w:hAnsi="FrankRuehl" w:cs="FrankRuehl"/>
          <w:sz w:val="28"/>
          <w:szCs w:val="28"/>
          <w:rtl/>
        </w:rPr>
      </w:pPr>
      <w:r w:rsidRPr="00605F9A">
        <w:rPr>
          <w:rFonts w:ascii="FrankRuehl" w:hAnsi="FrankRuehl" w:cs="FrankRuehl"/>
          <w:b/>
          <w:bCs/>
          <w:sz w:val="28"/>
          <w:szCs w:val="28"/>
          <w:u w:val="single"/>
          <w:rtl/>
        </w:rPr>
        <w:t>הצדדים וטענותיהם</w:t>
      </w:r>
      <w:r w:rsidRPr="00605F9A">
        <w:rPr>
          <w:rFonts w:ascii="FrankRuehl" w:hAnsi="FrankRuehl" w:cs="FrankRuehl"/>
          <w:sz w:val="28"/>
          <w:szCs w:val="28"/>
          <w:rtl/>
        </w:rPr>
        <w:t>:</w:t>
      </w:r>
    </w:p>
    <w:p w:rsidR="00781DA5" w:rsidRPr="00605F9A" w:rsidRDefault="00781DA5" w:rsidP="00781DA5">
      <w:pPr>
        <w:spacing w:line="360" w:lineRule="auto"/>
        <w:jc w:val="both"/>
        <w:rPr>
          <w:rFonts w:ascii="FrankRuehl" w:hAnsi="FrankRuehl" w:cs="FrankRuehl"/>
          <w:sz w:val="28"/>
          <w:szCs w:val="28"/>
          <w:rtl/>
        </w:rPr>
      </w:pPr>
    </w:p>
    <w:p w:rsidR="00781DA5" w:rsidRPr="00605F9A" w:rsidRDefault="00781DA5" w:rsidP="00781DA5">
      <w:pPr>
        <w:spacing w:line="360" w:lineRule="auto"/>
        <w:jc w:val="both"/>
        <w:rPr>
          <w:rFonts w:ascii="FrankRuehl" w:hAnsi="FrankRuehl" w:cs="FrankRuehl"/>
          <w:sz w:val="28"/>
          <w:szCs w:val="28"/>
          <w:rtl/>
        </w:rPr>
      </w:pPr>
      <w:r w:rsidRPr="00605F9A">
        <w:rPr>
          <w:rFonts w:ascii="FrankRuehl" w:hAnsi="FrankRuehl" w:cs="FrankRuehl"/>
          <w:sz w:val="28"/>
          <w:szCs w:val="28"/>
          <w:rtl/>
        </w:rPr>
        <w:t>1.</w:t>
      </w:r>
      <w:r w:rsidRPr="00605F9A">
        <w:rPr>
          <w:rFonts w:ascii="FrankRuehl" w:hAnsi="FrankRuehl" w:cs="FrankRuehl"/>
          <w:sz w:val="28"/>
          <w:szCs w:val="28"/>
          <w:rtl/>
        </w:rPr>
        <w:tab/>
        <w:t>התובעים הם בני זוג הנשואים זל"ז מיום 31.8.2008.</w:t>
      </w:r>
    </w:p>
    <w:p w:rsidR="00781DA5" w:rsidRPr="00605F9A" w:rsidRDefault="00781DA5" w:rsidP="00781DA5">
      <w:pPr>
        <w:spacing w:line="360" w:lineRule="auto"/>
        <w:jc w:val="both"/>
        <w:rPr>
          <w:rFonts w:ascii="FrankRuehl" w:hAnsi="FrankRuehl" w:cs="FrankRuehl"/>
          <w:sz w:val="28"/>
          <w:szCs w:val="28"/>
          <w:rtl/>
        </w:rPr>
      </w:pPr>
    </w:p>
    <w:p w:rsidR="00CA0D09" w:rsidRDefault="00781DA5" w:rsidP="00A02A88">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2.</w:t>
      </w:r>
      <w:r w:rsidRPr="00605F9A">
        <w:rPr>
          <w:rFonts w:ascii="FrankRuehl" w:hAnsi="FrankRuehl" w:cs="FrankRuehl"/>
          <w:sz w:val="28"/>
          <w:szCs w:val="28"/>
          <w:rtl/>
        </w:rPr>
        <w:tab/>
      </w:r>
      <w:r w:rsidR="00CA0D09">
        <w:rPr>
          <w:rFonts w:ascii="FrankRuehl" w:hAnsi="FrankRuehl" w:cs="FrankRuehl" w:hint="cs"/>
          <w:sz w:val="28"/>
          <w:szCs w:val="28"/>
          <w:rtl/>
        </w:rPr>
        <w:t>ה</w:t>
      </w:r>
      <w:r w:rsidRPr="00605F9A">
        <w:rPr>
          <w:rFonts w:ascii="FrankRuehl" w:hAnsi="FrankRuehl" w:cs="FrankRuehl"/>
          <w:sz w:val="28"/>
          <w:szCs w:val="28"/>
          <w:rtl/>
        </w:rPr>
        <w:t xml:space="preserve">נתבע הוא </w:t>
      </w:r>
      <w:r w:rsidR="00CA0D09">
        <w:rPr>
          <w:rFonts w:ascii="FrankRuehl" w:hAnsi="FrankRuehl" w:cs="FrankRuehl" w:hint="cs"/>
          <w:sz w:val="28"/>
          <w:szCs w:val="28"/>
          <w:rtl/>
        </w:rPr>
        <w:t xml:space="preserve">נכד תובע 1, </w:t>
      </w:r>
      <w:r w:rsidRPr="00605F9A">
        <w:rPr>
          <w:rFonts w:ascii="FrankRuehl" w:hAnsi="FrankRuehl" w:cs="FrankRuehl"/>
          <w:sz w:val="28"/>
          <w:szCs w:val="28"/>
          <w:rtl/>
        </w:rPr>
        <w:t xml:space="preserve">בנו של </w:t>
      </w:r>
      <w:r w:rsidR="00CA0D09" w:rsidRPr="00CA0D09">
        <w:rPr>
          <w:rFonts w:ascii="FrankRuehl" w:hAnsi="FrankRuehl" w:cs="FrankRuehl" w:hint="cs"/>
          <w:noProof w:val="0"/>
          <w:sz w:val="28"/>
          <w:szCs w:val="28"/>
          <w:rtl/>
        </w:rPr>
        <w:t xml:space="preserve">מר </w:t>
      </w:r>
      <w:r w:rsidR="00A02A88">
        <w:rPr>
          <w:rFonts w:ascii="FrankRuehl" w:hAnsi="FrankRuehl" w:cs="FrankRuehl"/>
          <w:noProof w:val="0"/>
          <w:sz w:val="28"/>
          <w:szCs w:val="28"/>
          <w:rtl/>
        </w:rPr>
        <w:t>ע.א.כ.</w:t>
      </w:r>
      <w:r w:rsidR="00CA0D09" w:rsidRPr="00CA0D09">
        <w:rPr>
          <w:rFonts w:ascii="FrankRuehl" w:hAnsi="FrankRuehl" w:cs="FrankRuehl"/>
          <w:noProof w:val="0"/>
          <w:sz w:val="28"/>
          <w:szCs w:val="28"/>
          <w:rtl/>
        </w:rPr>
        <w:t xml:space="preserve"> ת"ז </w:t>
      </w:r>
      <w:r w:rsidR="00A02A88">
        <w:rPr>
          <w:rFonts w:ascii="FrankRuehl" w:hAnsi="FrankRuehl" w:cs="FrankRuehl" w:hint="cs"/>
          <w:noProof w:val="0"/>
          <w:sz w:val="28"/>
          <w:szCs w:val="28"/>
          <w:rtl/>
        </w:rPr>
        <w:t>--------</w:t>
      </w:r>
      <w:r w:rsidR="00CA0D09">
        <w:rPr>
          <w:rFonts w:ascii="FrankRuehl" w:hAnsi="FrankRuehl" w:cs="FrankRuehl" w:hint="cs"/>
          <w:noProof w:val="0"/>
          <w:sz w:val="28"/>
          <w:szCs w:val="28"/>
          <w:rtl/>
        </w:rPr>
        <w:t xml:space="preserve"> </w:t>
      </w:r>
      <w:r w:rsidR="00CA0D09" w:rsidRPr="00605F9A">
        <w:rPr>
          <w:rFonts w:ascii="FrankRuehl" w:hAnsi="FrankRuehl" w:cs="FrankRuehl"/>
          <w:sz w:val="28"/>
          <w:szCs w:val="28"/>
          <w:rtl/>
        </w:rPr>
        <w:t xml:space="preserve">בנו של התובע מנישואין הקודמים </w:t>
      </w:r>
      <w:r w:rsidR="00CA0D09">
        <w:rPr>
          <w:rFonts w:ascii="FrankRuehl" w:hAnsi="FrankRuehl" w:cs="FrankRuehl"/>
          <w:sz w:val="28"/>
          <w:szCs w:val="28"/>
          <w:rtl/>
        </w:rPr>
        <w:t>לנישואיו לתובעת</w:t>
      </w:r>
      <w:r w:rsidR="00CA0D09">
        <w:rPr>
          <w:rFonts w:ascii="FrankRuehl" w:hAnsi="FrankRuehl" w:cs="FrankRuehl" w:hint="cs"/>
          <w:sz w:val="28"/>
          <w:szCs w:val="28"/>
          <w:rtl/>
        </w:rPr>
        <w:t>.</w:t>
      </w:r>
    </w:p>
    <w:p w:rsidR="00CA0D09" w:rsidRDefault="00CA0D09" w:rsidP="00CA0D09">
      <w:pPr>
        <w:spacing w:line="360" w:lineRule="auto"/>
        <w:jc w:val="both"/>
        <w:rPr>
          <w:rFonts w:ascii="FrankRuehl" w:hAnsi="FrankRuehl" w:cs="FrankRuehl"/>
          <w:sz w:val="28"/>
          <w:szCs w:val="28"/>
          <w:rtl/>
        </w:rPr>
      </w:pPr>
    </w:p>
    <w:p w:rsidR="00314684" w:rsidRPr="0018287B" w:rsidRDefault="00CA0D09" w:rsidP="00A02A88">
      <w:pPr>
        <w:spacing w:line="360" w:lineRule="auto"/>
        <w:ind w:left="720" w:hanging="720"/>
        <w:jc w:val="both"/>
        <w:rPr>
          <w:rFonts w:ascii="FrankRuehl" w:hAnsi="FrankRuehl" w:cs="FrankRuehl"/>
          <w:sz w:val="28"/>
          <w:szCs w:val="28"/>
          <w:rtl/>
        </w:rPr>
      </w:pPr>
      <w:r>
        <w:rPr>
          <w:rFonts w:ascii="FrankRuehl" w:hAnsi="FrankRuehl" w:cs="FrankRuehl" w:hint="cs"/>
          <w:sz w:val="28"/>
          <w:szCs w:val="28"/>
          <w:rtl/>
        </w:rPr>
        <w:t>3.</w:t>
      </w:r>
      <w:r>
        <w:rPr>
          <w:rFonts w:ascii="FrankRuehl" w:hAnsi="FrankRuehl" w:cs="FrankRuehl"/>
          <w:sz w:val="28"/>
          <w:szCs w:val="28"/>
          <w:rtl/>
        </w:rPr>
        <w:tab/>
      </w:r>
      <w:r>
        <w:rPr>
          <w:rFonts w:ascii="FrankRuehl" w:hAnsi="FrankRuehl" w:cs="FrankRuehl" w:hint="cs"/>
          <w:sz w:val="28"/>
          <w:szCs w:val="28"/>
          <w:rtl/>
        </w:rPr>
        <w:t xml:space="preserve">התביעה במקור הוגשה </w:t>
      </w:r>
      <w:r>
        <w:rPr>
          <w:rFonts w:ascii="FrankRuehl" w:hAnsi="FrankRuehl" w:cs="FrankRuehl" w:hint="cs"/>
          <w:noProof w:val="0"/>
          <w:sz w:val="28"/>
          <w:szCs w:val="28"/>
          <w:rtl/>
        </w:rPr>
        <w:t xml:space="preserve">גם נגד הבן, מר </w:t>
      </w:r>
      <w:r w:rsidR="00A02A88">
        <w:rPr>
          <w:rFonts w:ascii="FrankRuehl" w:hAnsi="FrankRuehl" w:cs="FrankRuehl"/>
          <w:noProof w:val="0"/>
          <w:sz w:val="28"/>
          <w:szCs w:val="28"/>
          <w:rtl/>
        </w:rPr>
        <w:t>ע.א.כ.</w:t>
      </w:r>
      <w:r>
        <w:rPr>
          <w:rFonts w:ascii="FrankRuehl" w:hAnsi="FrankRuehl" w:cs="FrankRuehl" w:hint="cs"/>
          <w:noProof w:val="0"/>
          <w:sz w:val="28"/>
          <w:szCs w:val="28"/>
          <w:rtl/>
        </w:rPr>
        <w:t xml:space="preserve">, אך מאחר ולא התבקש כנגדו כל סעד, הורתי ביום </w:t>
      </w:r>
      <w:r>
        <w:rPr>
          <w:rFonts w:ascii="FrankRuehl" w:hAnsi="FrankRuehl" w:cs="FrankRuehl" w:hint="cs"/>
          <w:sz w:val="28"/>
          <w:szCs w:val="28"/>
          <w:rtl/>
        </w:rPr>
        <w:t xml:space="preserve">6.2.2020 </w:t>
      </w:r>
      <w:r w:rsidR="00314684">
        <w:rPr>
          <w:rFonts w:ascii="FrankRuehl" w:hAnsi="FrankRuehl" w:cs="FrankRuehl" w:hint="cs"/>
          <w:sz w:val="28"/>
          <w:szCs w:val="28"/>
          <w:rtl/>
        </w:rPr>
        <w:t>על מחיקתו כבעל דין.</w:t>
      </w:r>
      <w:r w:rsidR="0018287B">
        <w:rPr>
          <w:rFonts w:ascii="FrankRuehl" w:hAnsi="FrankRuehl" w:cs="FrankRuehl" w:hint="cs"/>
          <w:sz w:val="28"/>
          <w:szCs w:val="28"/>
          <w:rtl/>
        </w:rPr>
        <w:t xml:space="preserve"> (להלן: </w:t>
      </w:r>
      <w:r w:rsidR="0018287B">
        <w:rPr>
          <w:rFonts w:ascii="FrankRuehl" w:hAnsi="FrankRuehl" w:cs="FrankRuehl" w:hint="cs"/>
          <w:b/>
          <w:bCs/>
          <w:sz w:val="28"/>
          <w:szCs w:val="28"/>
          <w:rtl/>
        </w:rPr>
        <w:t>"</w:t>
      </w:r>
      <w:r w:rsidR="00A02A88">
        <w:rPr>
          <w:rFonts w:ascii="FrankRuehl" w:hAnsi="FrankRuehl" w:cs="FrankRuehl" w:hint="cs"/>
          <w:b/>
          <w:bCs/>
          <w:sz w:val="28"/>
          <w:szCs w:val="28"/>
          <w:rtl/>
        </w:rPr>
        <w:t>ע'</w:t>
      </w:r>
      <w:r w:rsidR="0018287B">
        <w:rPr>
          <w:rFonts w:ascii="FrankRuehl" w:hAnsi="FrankRuehl" w:cs="FrankRuehl" w:hint="cs"/>
          <w:b/>
          <w:bCs/>
          <w:sz w:val="28"/>
          <w:szCs w:val="28"/>
          <w:rtl/>
        </w:rPr>
        <w:t>"</w:t>
      </w:r>
      <w:r w:rsidR="0018287B">
        <w:rPr>
          <w:rFonts w:ascii="FrankRuehl" w:hAnsi="FrankRuehl" w:cs="FrankRuehl" w:hint="cs"/>
          <w:sz w:val="28"/>
          <w:szCs w:val="28"/>
          <w:rtl/>
        </w:rPr>
        <w:t>).</w:t>
      </w:r>
    </w:p>
    <w:p w:rsidR="00781DA5" w:rsidRPr="00605F9A" w:rsidRDefault="00781DA5" w:rsidP="00781DA5">
      <w:pPr>
        <w:spacing w:line="360" w:lineRule="auto"/>
        <w:jc w:val="both"/>
        <w:rPr>
          <w:rFonts w:ascii="FrankRuehl" w:hAnsi="FrankRuehl" w:cs="FrankRuehl"/>
          <w:sz w:val="28"/>
          <w:szCs w:val="28"/>
          <w:rtl/>
        </w:rPr>
      </w:pPr>
    </w:p>
    <w:p w:rsidR="00781DA5" w:rsidRPr="00605F9A" w:rsidRDefault="00781DA5" w:rsidP="009256C8">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4.</w:t>
      </w:r>
      <w:r w:rsidRPr="00605F9A">
        <w:rPr>
          <w:rFonts w:ascii="FrankRuehl" w:hAnsi="FrankRuehl" w:cs="FrankRuehl"/>
          <w:sz w:val="28"/>
          <w:szCs w:val="28"/>
          <w:rtl/>
        </w:rPr>
        <w:tab/>
        <w:t xml:space="preserve">תובע 1 היה בעל זכויות דיירות מוגנת בדירה שברחוב </w:t>
      </w:r>
      <w:r w:rsidR="009256C8">
        <w:rPr>
          <w:rFonts w:ascii="FrankRuehl" w:hAnsi="FrankRuehl" w:cs="FrankRuehl" w:hint="cs"/>
          <w:sz w:val="28"/>
          <w:szCs w:val="28"/>
          <w:rtl/>
        </w:rPr>
        <w:t>----- בעיר ח'</w:t>
      </w:r>
      <w:r w:rsidRPr="00605F9A">
        <w:rPr>
          <w:rFonts w:ascii="FrankRuehl" w:hAnsi="FrankRuehl" w:cs="FrankRuehl"/>
          <w:sz w:val="28"/>
          <w:szCs w:val="28"/>
          <w:rtl/>
        </w:rPr>
        <w:t xml:space="preserve">, הרשומה כגוש </w:t>
      </w:r>
      <w:r w:rsidR="009256C8">
        <w:rPr>
          <w:rFonts w:ascii="FrankRuehl" w:hAnsi="FrankRuehl" w:cs="FrankRuehl" w:hint="cs"/>
          <w:sz w:val="28"/>
          <w:szCs w:val="28"/>
          <w:rtl/>
        </w:rPr>
        <w:t xml:space="preserve">---- </w:t>
      </w:r>
      <w:r w:rsidRPr="00605F9A">
        <w:rPr>
          <w:rFonts w:ascii="FrankRuehl" w:hAnsi="FrankRuehl" w:cs="FrankRuehl"/>
          <w:sz w:val="28"/>
          <w:szCs w:val="28"/>
          <w:rtl/>
        </w:rPr>
        <w:t xml:space="preserve">חלקה </w:t>
      </w:r>
      <w:r w:rsidR="009256C8">
        <w:rPr>
          <w:rFonts w:ascii="FrankRuehl" w:hAnsi="FrankRuehl" w:cs="FrankRuehl" w:hint="cs"/>
          <w:sz w:val="28"/>
          <w:szCs w:val="28"/>
          <w:rtl/>
        </w:rPr>
        <w:t>--</w:t>
      </w:r>
      <w:r w:rsidRPr="00605F9A">
        <w:rPr>
          <w:rFonts w:ascii="FrankRuehl" w:hAnsi="FrankRuehl" w:cs="FrankRuehl"/>
          <w:sz w:val="28"/>
          <w:szCs w:val="28"/>
          <w:rtl/>
        </w:rPr>
        <w:t xml:space="preserve"> תת חלקה </w:t>
      </w:r>
      <w:r w:rsidR="009256C8">
        <w:rPr>
          <w:rFonts w:ascii="FrankRuehl" w:hAnsi="FrankRuehl" w:cs="FrankRuehl" w:hint="cs"/>
          <w:sz w:val="28"/>
          <w:szCs w:val="28"/>
          <w:rtl/>
        </w:rPr>
        <w:t>--</w:t>
      </w:r>
      <w:r w:rsidRPr="00605F9A">
        <w:rPr>
          <w:rFonts w:ascii="FrankRuehl" w:hAnsi="FrankRuehl" w:cs="FrankRuehl"/>
          <w:sz w:val="28"/>
          <w:szCs w:val="28"/>
          <w:rtl/>
        </w:rPr>
        <w:t xml:space="preserve"> (להלן </w:t>
      </w:r>
      <w:r w:rsidRPr="00605F9A">
        <w:rPr>
          <w:rFonts w:ascii="FrankRuehl" w:hAnsi="FrankRuehl" w:cs="FrankRuehl"/>
          <w:b/>
          <w:bCs/>
          <w:sz w:val="28"/>
          <w:szCs w:val="28"/>
          <w:rtl/>
        </w:rPr>
        <w:t>"הדירה"</w:t>
      </w:r>
      <w:r w:rsidRPr="00605F9A">
        <w:rPr>
          <w:rFonts w:ascii="FrankRuehl" w:hAnsi="FrankRuehl" w:cs="FrankRuehl"/>
          <w:sz w:val="28"/>
          <w:szCs w:val="28"/>
          <w:rtl/>
        </w:rPr>
        <w:t xml:space="preserve">), בהתאם לחוזה שכירות מיום 23.4.1972 שנחתם בינו ובין </w:t>
      </w:r>
      <w:r w:rsidR="009256C8">
        <w:rPr>
          <w:rFonts w:ascii="FrankRuehl" w:hAnsi="FrankRuehl" w:cs="FrankRuehl" w:hint="cs"/>
          <w:sz w:val="28"/>
          <w:szCs w:val="28"/>
          <w:rtl/>
        </w:rPr>
        <w:t>"</w:t>
      </w:r>
      <w:r w:rsidRPr="00605F9A">
        <w:rPr>
          <w:rFonts w:ascii="FrankRuehl" w:hAnsi="FrankRuehl" w:cs="FrankRuehl"/>
          <w:sz w:val="28"/>
          <w:szCs w:val="28"/>
          <w:rtl/>
        </w:rPr>
        <w:t>עמידר החברה הלאומית לשיכון בישראל בע"מ</w:t>
      </w:r>
      <w:r w:rsidR="009256C8">
        <w:rPr>
          <w:rFonts w:ascii="FrankRuehl" w:hAnsi="FrankRuehl" w:cs="FrankRuehl" w:hint="cs"/>
          <w:sz w:val="28"/>
          <w:szCs w:val="28"/>
          <w:rtl/>
        </w:rPr>
        <w:t>"</w:t>
      </w:r>
      <w:r w:rsidRPr="00605F9A">
        <w:rPr>
          <w:rFonts w:ascii="FrankRuehl" w:hAnsi="FrankRuehl" w:cs="FrankRuehl"/>
          <w:sz w:val="28"/>
          <w:szCs w:val="28"/>
          <w:rtl/>
        </w:rPr>
        <w:t>, יחד עם הוראות חוק הגנת הדייר, התשל"ב-1972.</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781DA5">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5.</w:t>
      </w:r>
      <w:r w:rsidRPr="00605F9A">
        <w:rPr>
          <w:rFonts w:ascii="FrankRuehl" w:hAnsi="FrankRuehl" w:cs="FrankRuehl"/>
          <w:sz w:val="28"/>
          <w:szCs w:val="28"/>
          <w:rtl/>
        </w:rPr>
        <w:tab/>
        <w:t>תובעת 2 מתגוררת בדירה מיום נישואי התובעים.</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Default="00201F11" w:rsidP="009256C8">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lastRenderedPageBreak/>
        <w:t>6.</w:t>
      </w:r>
      <w:r w:rsidRPr="00605F9A">
        <w:rPr>
          <w:rFonts w:ascii="FrankRuehl" w:hAnsi="FrankRuehl" w:cs="FrankRuehl"/>
          <w:sz w:val="28"/>
          <w:szCs w:val="28"/>
          <w:rtl/>
        </w:rPr>
        <w:tab/>
        <w:t>בתאריך 23.10.2011 רכש תובע</w:t>
      </w:r>
      <w:r w:rsidRPr="00605F9A">
        <w:rPr>
          <w:rFonts w:ascii="FrankRuehl" w:hAnsi="FrankRuehl" w:cs="FrankRuehl" w:hint="cs"/>
          <w:sz w:val="28"/>
          <w:szCs w:val="28"/>
          <w:rtl/>
        </w:rPr>
        <w:t xml:space="preserve"> 1</w:t>
      </w:r>
      <w:r w:rsidR="00781DA5" w:rsidRPr="00605F9A">
        <w:rPr>
          <w:rFonts w:ascii="FrankRuehl" w:hAnsi="FrankRuehl" w:cs="FrankRuehl"/>
          <w:sz w:val="28"/>
          <w:szCs w:val="28"/>
          <w:rtl/>
        </w:rPr>
        <w:t xml:space="preserve"> את זכויות הבעלות בדירה לפי הסכם בינו ובין רשות הפיתוח באמצעות </w:t>
      </w:r>
      <w:r w:rsidR="009256C8">
        <w:rPr>
          <w:rFonts w:ascii="FrankRuehl" w:hAnsi="FrankRuehl" w:cs="FrankRuehl" w:hint="cs"/>
          <w:sz w:val="28"/>
          <w:szCs w:val="28"/>
          <w:rtl/>
        </w:rPr>
        <w:t>"</w:t>
      </w:r>
      <w:r w:rsidR="00781DA5" w:rsidRPr="00605F9A">
        <w:rPr>
          <w:rFonts w:ascii="FrankRuehl" w:hAnsi="FrankRuehl" w:cs="FrankRuehl"/>
          <w:sz w:val="28"/>
          <w:szCs w:val="28"/>
          <w:rtl/>
        </w:rPr>
        <w:t>עמידר החברה הלאומית לשיכון בישראל בע"מ</w:t>
      </w:r>
      <w:r w:rsidR="009256C8">
        <w:rPr>
          <w:rFonts w:ascii="FrankRuehl" w:hAnsi="FrankRuehl" w:cs="FrankRuehl" w:hint="cs"/>
          <w:sz w:val="28"/>
          <w:szCs w:val="28"/>
          <w:rtl/>
        </w:rPr>
        <w:t>"</w:t>
      </w:r>
      <w:r w:rsidR="00781DA5" w:rsidRPr="00605F9A">
        <w:rPr>
          <w:rFonts w:ascii="FrankRuehl" w:hAnsi="FrankRuehl" w:cs="FrankRuehl"/>
          <w:sz w:val="28"/>
          <w:szCs w:val="28"/>
          <w:rtl/>
        </w:rPr>
        <w:t xml:space="preserve"> וזאת תמורת תשלום סך </w:t>
      </w:r>
      <w:r w:rsidRPr="00605F9A">
        <w:rPr>
          <w:rFonts w:ascii="FrankRuehl" w:hAnsi="FrankRuehl" w:cs="FrankRuehl" w:hint="cs"/>
          <w:sz w:val="28"/>
          <w:szCs w:val="28"/>
          <w:rtl/>
        </w:rPr>
        <w:t>כ-</w:t>
      </w:r>
      <w:r w:rsidR="00781DA5" w:rsidRPr="00605F9A">
        <w:rPr>
          <w:rFonts w:ascii="FrankRuehl" w:hAnsi="FrankRuehl" w:cs="FrankRuehl"/>
          <w:sz w:val="28"/>
          <w:szCs w:val="28"/>
          <w:rtl/>
        </w:rPr>
        <w:t>75,000 ₪.</w:t>
      </w:r>
    </w:p>
    <w:p w:rsidR="0018287B" w:rsidRPr="00605F9A" w:rsidRDefault="0018287B" w:rsidP="00201F11">
      <w:pPr>
        <w:spacing w:line="360" w:lineRule="auto"/>
        <w:ind w:left="720" w:hanging="720"/>
        <w:jc w:val="both"/>
        <w:rPr>
          <w:rFonts w:ascii="FrankRuehl" w:hAnsi="FrankRuehl" w:cs="FrankRuehl"/>
          <w:sz w:val="28"/>
          <w:szCs w:val="28"/>
          <w:rtl/>
        </w:rPr>
      </w:pPr>
    </w:p>
    <w:p w:rsidR="00781DA5" w:rsidRPr="00605F9A" w:rsidRDefault="00781DA5" w:rsidP="0018287B">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7.</w:t>
      </w:r>
      <w:r w:rsidRPr="00605F9A">
        <w:rPr>
          <w:rFonts w:ascii="FrankRuehl" w:hAnsi="FrankRuehl" w:cs="FrankRuehl"/>
          <w:sz w:val="28"/>
          <w:szCs w:val="28"/>
          <w:rtl/>
        </w:rPr>
        <w:tab/>
        <w:t>מכוח מסמכי מתנה, תצהיר מתנה ובקשות להעברת זכויות שהוגשו ל</w:t>
      </w:r>
      <w:r w:rsidR="009256C8">
        <w:rPr>
          <w:rFonts w:ascii="FrankRuehl" w:hAnsi="FrankRuehl" w:cs="FrankRuehl" w:hint="cs"/>
          <w:sz w:val="28"/>
          <w:szCs w:val="28"/>
          <w:rtl/>
        </w:rPr>
        <w:t>-"</w:t>
      </w:r>
      <w:r w:rsidRPr="00605F9A">
        <w:rPr>
          <w:rFonts w:ascii="FrankRuehl" w:hAnsi="FrankRuehl" w:cs="FrankRuehl"/>
          <w:sz w:val="28"/>
          <w:szCs w:val="28"/>
          <w:rtl/>
        </w:rPr>
        <w:t>עמיד</w:t>
      </w:r>
      <w:r w:rsidR="009256C8">
        <w:rPr>
          <w:rFonts w:ascii="FrankRuehl" w:hAnsi="FrankRuehl" w:cs="FrankRuehl"/>
          <w:sz w:val="28"/>
          <w:szCs w:val="28"/>
          <w:rtl/>
        </w:rPr>
        <w:t xml:space="preserve">ר החברה הלאומית לשיכון בישראל </w:t>
      </w:r>
      <w:r w:rsidR="009256C8">
        <w:rPr>
          <w:rFonts w:ascii="FrankRuehl" w:hAnsi="FrankRuehl" w:cs="FrankRuehl" w:hint="cs"/>
          <w:sz w:val="28"/>
          <w:szCs w:val="28"/>
          <w:rtl/>
        </w:rPr>
        <w:t>ב</w:t>
      </w:r>
      <w:r w:rsidR="009256C8">
        <w:rPr>
          <w:rFonts w:ascii="FrankRuehl" w:hAnsi="FrankRuehl" w:cs="FrankRuehl"/>
          <w:sz w:val="28"/>
          <w:szCs w:val="28"/>
          <w:rtl/>
        </w:rPr>
        <w:t>ע</w:t>
      </w:r>
      <w:r w:rsidR="009256C8">
        <w:rPr>
          <w:rFonts w:ascii="FrankRuehl" w:hAnsi="FrankRuehl" w:cs="FrankRuehl" w:hint="cs"/>
          <w:sz w:val="28"/>
          <w:szCs w:val="28"/>
          <w:rtl/>
        </w:rPr>
        <w:t>"</w:t>
      </w:r>
      <w:r w:rsidRPr="00605F9A">
        <w:rPr>
          <w:rFonts w:ascii="FrankRuehl" w:hAnsi="FrankRuehl" w:cs="FrankRuehl"/>
          <w:sz w:val="28"/>
          <w:szCs w:val="28"/>
          <w:rtl/>
        </w:rPr>
        <w:t>מ</w:t>
      </w:r>
      <w:r w:rsidR="009256C8">
        <w:rPr>
          <w:rFonts w:ascii="FrankRuehl" w:hAnsi="FrankRuehl" w:cs="FrankRuehl" w:hint="cs"/>
          <w:sz w:val="28"/>
          <w:szCs w:val="28"/>
          <w:rtl/>
        </w:rPr>
        <w:t>"</w:t>
      </w:r>
      <w:r w:rsidRPr="00605F9A">
        <w:rPr>
          <w:rFonts w:ascii="FrankRuehl" w:hAnsi="FrankRuehl" w:cs="FrankRuehl"/>
          <w:sz w:val="28"/>
          <w:szCs w:val="28"/>
          <w:rtl/>
        </w:rPr>
        <w:t xml:space="preserve"> מיום 13.11.2011</w:t>
      </w:r>
      <w:r w:rsidR="00201F11" w:rsidRPr="00605F9A">
        <w:rPr>
          <w:rFonts w:ascii="FrankRuehl" w:hAnsi="FrankRuehl" w:cs="FrankRuehl" w:hint="cs"/>
          <w:sz w:val="28"/>
          <w:szCs w:val="28"/>
          <w:rtl/>
        </w:rPr>
        <w:t>,</w:t>
      </w:r>
      <w:r w:rsidRPr="00605F9A">
        <w:rPr>
          <w:rFonts w:ascii="FrankRuehl" w:hAnsi="FrankRuehl" w:cs="FrankRuehl"/>
          <w:sz w:val="28"/>
          <w:szCs w:val="28"/>
          <w:rtl/>
        </w:rPr>
        <w:t xml:space="preserve"> הועברו</w:t>
      </w:r>
      <w:r w:rsidR="00201F11" w:rsidRPr="00605F9A">
        <w:rPr>
          <w:rFonts w:ascii="FrankRuehl" w:hAnsi="FrankRuehl" w:cs="FrankRuehl" w:hint="cs"/>
          <w:sz w:val="28"/>
          <w:szCs w:val="28"/>
          <w:rtl/>
        </w:rPr>
        <w:t>,</w:t>
      </w:r>
      <w:r w:rsidRPr="00605F9A">
        <w:rPr>
          <w:rFonts w:ascii="FrankRuehl" w:hAnsi="FrankRuehl" w:cs="FrankRuehl"/>
          <w:sz w:val="28"/>
          <w:szCs w:val="28"/>
          <w:rtl/>
        </w:rPr>
        <w:t xml:space="preserve"> </w:t>
      </w:r>
      <w:r w:rsidR="00201F11" w:rsidRPr="00605F9A">
        <w:rPr>
          <w:rFonts w:ascii="FrankRuehl" w:hAnsi="FrankRuehl" w:cs="FrankRuehl" w:hint="cs"/>
          <w:sz w:val="28"/>
          <w:szCs w:val="28"/>
          <w:rtl/>
        </w:rPr>
        <w:t xml:space="preserve">בספרי עמידר, </w:t>
      </w:r>
      <w:r w:rsidRPr="00605F9A">
        <w:rPr>
          <w:rFonts w:ascii="FrankRuehl" w:hAnsi="FrankRuehl" w:cs="FrankRuehl"/>
          <w:sz w:val="28"/>
          <w:szCs w:val="28"/>
          <w:rtl/>
        </w:rPr>
        <w:t xml:space="preserve">זכויות תובע 1 בדירה על שם </w:t>
      </w:r>
      <w:r w:rsidR="0018287B">
        <w:rPr>
          <w:rFonts w:ascii="FrankRuehl" w:hAnsi="FrankRuehl" w:cs="FrankRuehl" w:hint="cs"/>
          <w:sz w:val="28"/>
          <w:szCs w:val="28"/>
          <w:rtl/>
        </w:rPr>
        <w:t>ה</w:t>
      </w:r>
      <w:r w:rsidRPr="00605F9A">
        <w:rPr>
          <w:rFonts w:ascii="FrankRuehl" w:hAnsi="FrankRuehl" w:cs="FrankRuehl"/>
          <w:sz w:val="28"/>
          <w:szCs w:val="28"/>
          <w:rtl/>
        </w:rPr>
        <w:t xml:space="preserve">נתבע (להלן: </w:t>
      </w:r>
      <w:r w:rsidRPr="00605F9A">
        <w:rPr>
          <w:rFonts w:ascii="FrankRuehl" w:hAnsi="FrankRuehl" w:cs="FrankRuehl"/>
          <w:b/>
          <w:bCs/>
          <w:sz w:val="28"/>
          <w:szCs w:val="28"/>
          <w:rtl/>
        </w:rPr>
        <w:t>"מסמכי המתנה"</w:t>
      </w:r>
      <w:r w:rsidRPr="00605F9A">
        <w:rPr>
          <w:rFonts w:ascii="FrankRuehl" w:hAnsi="FrankRuehl" w:cs="FrankRuehl"/>
          <w:sz w:val="28"/>
          <w:szCs w:val="28"/>
          <w:rtl/>
        </w:rPr>
        <w:t>).</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552081">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8.</w:t>
      </w:r>
      <w:r w:rsidRPr="00605F9A">
        <w:rPr>
          <w:rFonts w:ascii="FrankRuehl" w:hAnsi="FrankRuehl" w:cs="FrankRuehl"/>
          <w:sz w:val="28"/>
          <w:szCs w:val="28"/>
          <w:rtl/>
        </w:rPr>
        <w:tab/>
        <w:t>ביום 31.12.2017 ה</w:t>
      </w:r>
      <w:r w:rsidR="00552081" w:rsidRPr="00605F9A">
        <w:rPr>
          <w:rFonts w:ascii="FrankRuehl" w:hAnsi="FrankRuehl" w:cs="FrankRuehl" w:hint="cs"/>
          <w:sz w:val="28"/>
          <w:szCs w:val="28"/>
          <w:rtl/>
        </w:rPr>
        <w:t>גיש התובע</w:t>
      </w:r>
      <w:r w:rsidRPr="00605F9A">
        <w:rPr>
          <w:rFonts w:ascii="FrankRuehl" w:hAnsi="FrankRuehl" w:cs="FrankRuehl"/>
          <w:sz w:val="28"/>
          <w:szCs w:val="28"/>
          <w:rtl/>
        </w:rPr>
        <w:t xml:space="preserve"> תביעה לבית המשפט המחוזי בחיפה ב</w:t>
      </w:r>
      <w:r w:rsidR="00552081" w:rsidRPr="00605F9A">
        <w:rPr>
          <w:rFonts w:ascii="FrankRuehl" w:hAnsi="FrankRuehl" w:cs="FrankRuehl" w:hint="cs"/>
          <w:sz w:val="28"/>
          <w:szCs w:val="28"/>
          <w:rtl/>
        </w:rPr>
        <w:t xml:space="preserve">מסגרת </w:t>
      </w:r>
      <w:r w:rsidRPr="00605F9A">
        <w:rPr>
          <w:rFonts w:ascii="FrankRuehl" w:hAnsi="FrankRuehl" w:cs="FrankRuehl"/>
          <w:sz w:val="28"/>
          <w:szCs w:val="28"/>
          <w:rtl/>
        </w:rPr>
        <w:t>הליך</w:t>
      </w:r>
      <w:r w:rsidR="00496A9A" w:rsidRPr="00605F9A">
        <w:rPr>
          <w:rFonts w:ascii="FrankRuehl" w:hAnsi="FrankRuehl" w:cs="FrankRuehl" w:hint="cs"/>
          <w:sz w:val="28"/>
          <w:szCs w:val="28"/>
          <w:rtl/>
        </w:rPr>
        <w:t xml:space="preserve"> ת</w:t>
      </w:r>
      <w:r w:rsidR="00552081" w:rsidRPr="00605F9A">
        <w:rPr>
          <w:rFonts w:ascii="FrankRuehl" w:hAnsi="FrankRuehl" w:cs="FrankRuehl" w:hint="cs"/>
          <w:sz w:val="28"/>
          <w:szCs w:val="28"/>
          <w:rtl/>
        </w:rPr>
        <w:t xml:space="preserve">"א </w:t>
      </w:r>
      <w:r w:rsidR="00552081" w:rsidRPr="00605F9A">
        <w:rPr>
          <w:rFonts w:ascii="FrankRuehl" w:hAnsi="FrankRuehl" w:cs="FrankRuehl"/>
          <w:sz w:val="28"/>
          <w:szCs w:val="28"/>
          <w:rtl/>
        </w:rPr>
        <w:t xml:space="preserve">63494-12-17, </w:t>
      </w:r>
      <w:r w:rsidR="00552081" w:rsidRPr="00605F9A">
        <w:rPr>
          <w:rFonts w:ascii="FrankRuehl" w:hAnsi="FrankRuehl" w:cs="FrankRuehl" w:hint="cs"/>
          <w:sz w:val="28"/>
          <w:szCs w:val="28"/>
          <w:rtl/>
        </w:rPr>
        <w:t>ו</w:t>
      </w:r>
      <w:r w:rsidRPr="00605F9A">
        <w:rPr>
          <w:rFonts w:ascii="FrankRuehl" w:hAnsi="FrankRuehl" w:cs="FrankRuehl"/>
          <w:sz w:val="28"/>
          <w:szCs w:val="28"/>
          <w:rtl/>
        </w:rPr>
        <w:t>עתר לביטול המתנה</w:t>
      </w:r>
      <w:r w:rsidR="00552081" w:rsidRPr="00605F9A">
        <w:rPr>
          <w:rFonts w:ascii="FrankRuehl" w:hAnsi="FrankRuehl" w:cs="FrankRuehl" w:hint="cs"/>
          <w:sz w:val="28"/>
          <w:szCs w:val="28"/>
          <w:rtl/>
        </w:rPr>
        <w:t xml:space="preserve"> (להלן:</w:t>
      </w:r>
      <w:r w:rsidR="00552081" w:rsidRPr="00605F9A">
        <w:rPr>
          <w:rFonts w:ascii="FrankRuehl" w:hAnsi="FrankRuehl" w:cs="FrankRuehl" w:hint="cs"/>
          <w:b/>
          <w:bCs/>
          <w:sz w:val="28"/>
          <w:szCs w:val="28"/>
          <w:rtl/>
        </w:rPr>
        <w:t xml:space="preserve"> "ההליך הראשון"</w:t>
      </w:r>
      <w:r w:rsidR="00552081" w:rsidRPr="00605F9A">
        <w:rPr>
          <w:rFonts w:ascii="FrankRuehl" w:hAnsi="FrankRuehl" w:cs="FrankRuehl" w:hint="cs"/>
          <w:sz w:val="28"/>
          <w:szCs w:val="28"/>
          <w:rtl/>
        </w:rPr>
        <w:t>)</w:t>
      </w:r>
      <w:r w:rsidRPr="00605F9A">
        <w:rPr>
          <w:rFonts w:ascii="FrankRuehl" w:hAnsi="FrankRuehl" w:cs="FrankRuehl"/>
          <w:sz w:val="28"/>
          <w:szCs w:val="28"/>
          <w:rtl/>
        </w:rPr>
        <w:t xml:space="preserve">. </w:t>
      </w:r>
      <w:r w:rsidR="00201F11" w:rsidRPr="00605F9A">
        <w:rPr>
          <w:rFonts w:ascii="FrankRuehl" w:hAnsi="FrankRuehl" w:cs="FrankRuehl" w:hint="cs"/>
          <w:sz w:val="28"/>
          <w:szCs w:val="28"/>
          <w:rtl/>
        </w:rPr>
        <w:t xml:space="preserve">למעט כתב התביעה, </w:t>
      </w:r>
      <w:r w:rsidRPr="00605F9A">
        <w:rPr>
          <w:rFonts w:ascii="FrankRuehl" w:hAnsi="FrankRuehl" w:cs="FrankRuehl"/>
          <w:sz w:val="28"/>
          <w:szCs w:val="28"/>
          <w:rtl/>
        </w:rPr>
        <w:t xml:space="preserve">הצדדים לא הגישו את המסמכים מהליך זה, אך נטען כי התביעה שם נמחקה בשל חוסר סמכות עניינית. </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EE76B4" w:rsidP="009256C8">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9</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בתביעה שבפני נטען כי בשנת 2017 לאחר ש</w:t>
      </w:r>
      <w:r w:rsidR="009256C8">
        <w:rPr>
          <w:rFonts w:ascii="FrankRuehl" w:hAnsi="FrankRuehl" w:cs="FrankRuehl" w:hint="cs"/>
          <w:sz w:val="28"/>
          <w:szCs w:val="28"/>
          <w:rtl/>
        </w:rPr>
        <w:t>-ע'</w:t>
      </w:r>
      <w:r w:rsidR="0018287B">
        <w:rPr>
          <w:rFonts w:ascii="FrankRuehl" w:hAnsi="FrankRuehl" w:cs="FrankRuehl" w:hint="cs"/>
          <w:sz w:val="28"/>
          <w:szCs w:val="28"/>
          <w:rtl/>
        </w:rPr>
        <w:t xml:space="preserve">, אביו של הנתבע </w:t>
      </w:r>
      <w:r w:rsidR="00781DA5" w:rsidRPr="00605F9A">
        <w:rPr>
          <w:rFonts w:ascii="FrankRuehl" w:hAnsi="FrankRuehl" w:cs="FrankRuehl"/>
          <w:sz w:val="28"/>
          <w:szCs w:val="28"/>
          <w:rtl/>
        </w:rPr>
        <w:t>ניסה לסלק את התובעים מהדירה, התברר לתובעים, לתדהמתם, כי הזכויות בדירה נרשמו ע</w:t>
      </w:r>
      <w:r w:rsidR="0018287B">
        <w:rPr>
          <w:rFonts w:ascii="FrankRuehl" w:hAnsi="FrankRuehl" w:cs="FrankRuehl"/>
          <w:sz w:val="28"/>
          <w:szCs w:val="28"/>
          <w:rtl/>
        </w:rPr>
        <w:t xml:space="preserve">ל שם </w:t>
      </w:r>
      <w:r w:rsidR="0018287B">
        <w:rPr>
          <w:rFonts w:ascii="FrankRuehl" w:hAnsi="FrankRuehl" w:cs="FrankRuehl" w:hint="cs"/>
          <w:sz w:val="28"/>
          <w:szCs w:val="28"/>
          <w:rtl/>
        </w:rPr>
        <w:t>ה</w:t>
      </w:r>
      <w:r w:rsidR="0018287B">
        <w:rPr>
          <w:rFonts w:ascii="FrankRuehl" w:hAnsi="FrankRuehl" w:cs="FrankRuehl"/>
          <w:sz w:val="28"/>
          <w:szCs w:val="28"/>
          <w:rtl/>
        </w:rPr>
        <w:t>נתבע</w:t>
      </w:r>
      <w:r w:rsidR="00781DA5" w:rsidRPr="00605F9A">
        <w:rPr>
          <w:rFonts w:ascii="FrankRuehl" w:hAnsi="FrankRuehl" w:cs="FrankRuehl"/>
          <w:sz w:val="28"/>
          <w:szCs w:val="28"/>
          <w:rtl/>
        </w:rPr>
        <w:t>. התובעים טענו</w:t>
      </w:r>
      <w:r w:rsidR="0018287B">
        <w:rPr>
          <w:rFonts w:ascii="FrankRuehl" w:hAnsi="FrankRuehl" w:cs="FrankRuehl"/>
          <w:sz w:val="28"/>
          <w:szCs w:val="28"/>
          <w:rtl/>
        </w:rPr>
        <w:t xml:space="preserve"> כי מאחר ולא העבירו את הזכויו</w:t>
      </w:r>
      <w:r w:rsidR="0018287B">
        <w:rPr>
          <w:rFonts w:ascii="FrankRuehl" w:hAnsi="FrankRuehl" w:cs="FrankRuehl" w:hint="cs"/>
          <w:sz w:val="28"/>
          <w:szCs w:val="28"/>
          <w:rtl/>
        </w:rPr>
        <w:t>ת</w:t>
      </w:r>
      <w:r w:rsidR="00781DA5" w:rsidRPr="00605F9A">
        <w:rPr>
          <w:rFonts w:ascii="FrankRuehl" w:hAnsi="FrankRuehl" w:cs="FrankRuehl"/>
          <w:sz w:val="28"/>
          <w:szCs w:val="28"/>
          <w:rtl/>
        </w:rPr>
        <w:t>, הם מיד פנו לי</w:t>
      </w:r>
      <w:r w:rsidR="009256C8">
        <w:rPr>
          <w:rFonts w:ascii="FrankRuehl" w:hAnsi="FrankRuehl" w:cs="FrankRuehl" w:hint="cs"/>
          <w:sz w:val="28"/>
          <w:szCs w:val="28"/>
          <w:rtl/>
        </w:rPr>
        <w:t>י</w:t>
      </w:r>
      <w:r w:rsidR="00781DA5" w:rsidRPr="00605F9A">
        <w:rPr>
          <w:rFonts w:ascii="FrankRuehl" w:hAnsi="FrankRuehl" w:cs="FrankRuehl"/>
          <w:sz w:val="28"/>
          <w:szCs w:val="28"/>
          <w:rtl/>
        </w:rPr>
        <w:t>עוץ משפטי ושכרו שרותיו של עו"ד פייסל וצד ג' נוסף על מנת להשיב את ה</w:t>
      </w:r>
      <w:r w:rsidR="00201F11" w:rsidRPr="00605F9A">
        <w:rPr>
          <w:rFonts w:ascii="FrankRuehl" w:hAnsi="FrankRuehl" w:cs="FrankRuehl"/>
          <w:sz w:val="28"/>
          <w:szCs w:val="28"/>
          <w:rtl/>
        </w:rPr>
        <w:t>רישום לשם התובע, אך מפאת בורותם</w:t>
      </w:r>
      <w:r w:rsidR="00201F11" w:rsidRPr="00605F9A">
        <w:rPr>
          <w:rFonts w:ascii="FrankRuehl" w:hAnsi="FrankRuehl" w:cs="FrankRuehl" w:hint="cs"/>
          <w:sz w:val="28"/>
          <w:szCs w:val="28"/>
          <w:rtl/>
        </w:rPr>
        <w:t xml:space="preserve"> </w:t>
      </w:r>
      <w:r w:rsidR="009256C8">
        <w:rPr>
          <w:rFonts w:ascii="FrankRuehl" w:hAnsi="FrankRuehl" w:cs="FrankRuehl" w:hint="cs"/>
          <w:sz w:val="28"/>
          <w:szCs w:val="28"/>
          <w:rtl/>
        </w:rPr>
        <w:t>"</w:t>
      </w:r>
      <w:r w:rsidR="00781DA5" w:rsidRPr="00605F9A">
        <w:rPr>
          <w:rFonts w:ascii="FrankRuehl" w:hAnsi="FrankRuehl" w:cs="FrankRuehl"/>
          <w:sz w:val="28"/>
          <w:szCs w:val="28"/>
          <w:rtl/>
        </w:rPr>
        <w:t>נפלו בין הכיסאות</w:t>
      </w:r>
      <w:r w:rsidR="009256C8">
        <w:rPr>
          <w:rFonts w:ascii="FrankRuehl" w:hAnsi="FrankRuehl" w:cs="FrankRuehl" w:hint="cs"/>
          <w:sz w:val="28"/>
          <w:szCs w:val="28"/>
          <w:rtl/>
        </w:rPr>
        <w:t>"</w:t>
      </w:r>
      <w:r w:rsidR="00781DA5" w:rsidRPr="00605F9A">
        <w:rPr>
          <w:rFonts w:ascii="FrankRuehl" w:hAnsi="FrankRuehl" w:cs="FrankRuehl"/>
          <w:sz w:val="28"/>
          <w:szCs w:val="28"/>
          <w:rtl/>
        </w:rPr>
        <w:t xml:space="preserve"> ואותם אנשים גזלו את כספם ולא עשו דבר. נטען כי בהמשך בעת שפנו לב"כ כאן, התברר כי הוגשה מטעם התובע תביעה לבית המשפט המחוזי בהליך</w:t>
      </w:r>
      <w:r w:rsidR="00552081" w:rsidRPr="00605F9A">
        <w:rPr>
          <w:rFonts w:ascii="FrankRuehl" w:hAnsi="FrankRuehl" w:cs="FrankRuehl" w:hint="cs"/>
          <w:sz w:val="28"/>
          <w:szCs w:val="28"/>
          <w:rtl/>
        </w:rPr>
        <w:t xml:space="preserve"> ת"א</w:t>
      </w:r>
      <w:r w:rsidR="00781DA5" w:rsidRPr="00605F9A">
        <w:rPr>
          <w:rFonts w:ascii="FrankRuehl" w:hAnsi="FrankRuehl" w:cs="FrankRuehl"/>
          <w:sz w:val="28"/>
          <w:szCs w:val="28"/>
          <w:rtl/>
        </w:rPr>
        <w:t xml:space="preserve"> 63494-12-17 שם לכאורה יוצגו ע"י עו"ד טואפשה</w:t>
      </w:r>
      <w:r w:rsidR="00201F11" w:rsidRPr="00605F9A">
        <w:rPr>
          <w:rFonts w:ascii="FrankRuehl" w:hAnsi="FrankRuehl" w:cs="FrankRuehl" w:hint="cs"/>
          <w:sz w:val="28"/>
          <w:szCs w:val="28"/>
          <w:rtl/>
        </w:rPr>
        <w:t xml:space="preserve">. נטען כי </w:t>
      </w:r>
      <w:r w:rsidR="00781DA5" w:rsidRPr="00605F9A">
        <w:rPr>
          <w:rFonts w:ascii="FrankRuehl" w:hAnsi="FrankRuehl" w:cs="FrankRuehl"/>
          <w:sz w:val="28"/>
          <w:szCs w:val="28"/>
          <w:rtl/>
        </w:rPr>
        <w:t xml:space="preserve">התביעה </w:t>
      </w:r>
      <w:r w:rsidR="00201F11" w:rsidRPr="00605F9A">
        <w:rPr>
          <w:rFonts w:ascii="FrankRuehl" w:hAnsi="FrankRuehl" w:cs="FrankRuehl" w:hint="cs"/>
          <w:sz w:val="28"/>
          <w:szCs w:val="28"/>
          <w:rtl/>
        </w:rPr>
        <w:t xml:space="preserve">שהוגשה לבית המשפט המחוזי </w:t>
      </w:r>
      <w:r w:rsidR="009256C8">
        <w:rPr>
          <w:rFonts w:ascii="FrankRuehl" w:hAnsi="FrankRuehl" w:cs="FrankRuehl"/>
          <w:sz w:val="28"/>
          <w:szCs w:val="28"/>
          <w:rtl/>
        </w:rPr>
        <w:t>נמחקה בשל אי</w:t>
      </w:r>
      <w:r w:rsidR="009256C8">
        <w:rPr>
          <w:rFonts w:ascii="FrankRuehl" w:hAnsi="FrankRuehl" w:cs="FrankRuehl" w:hint="cs"/>
          <w:sz w:val="28"/>
          <w:szCs w:val="28"/>
          <w:rtl/>
        </w:rPr>
        <w:t>-</w:t>
      </w:r>
      <w:r w:rsidR="00781DA5" w:rsidRPr="00605F9A">
        <w:rPr>
          <w:rFonts w:ascii="FrankRuehl" w:hAnsi="FrankRuehl" w:cs="FrankRuehl"/>
          <w:sz w:val="28"/>
          <w:szCs w:val="28"/>
          <w:rtl/>
        </w:rPr>
        <w:t xml:space="preserve">הגשת תגובה וחוסר סמכות עניינית. נטען כי אותה תביעה היא חלק משרשרת פעולות מרמה והונאה להן התובעים </w:t>
      </w:r>
      <w:r w:rsidR="00201F11" w:rsidRPr="00605F9A">
        <w:rPr>
          <w:rFonts w:ascii="FrankRuehl" w:hAnsi="FrankRuehl" w:cs="FrankRuehl"/>
          <w:sz w:val="28"/>
          <w:szCs w:val="28"/>
          <w:rtl/>
        </w:rPr>
        <w:t>נפלו קורבן</w:t>
      </w:r>
      <w:r w:rsidR="00201F11" w:rsidRPr="00605F9A">
        <w:rPr>
          <w:rFonts w:ascii="FrankRuehl" w:hAnsi="FrankRuehl" w:cs="FrankRuehl" w:hint="cs"/>
          <w:sz w:val="28"/>
          <w:szCs w:val="28"/>
          <w:rtl/>
        </w:rPr>
        <w:t>,</w:t>
      </w:r>
      <w:r w:rsidR="00201F11" w:rsidRPr="00605F9A">
        <w:rPr>
          <w:rFonts w:ascii="FrankRuehl" w:hAnsi="FrankRuehl" w:cs="FrankRuehl"/>
          <w:sz w:val="28"/>
          <w:szCs w:val="28"/>
          <w:rtl/>
        </w:rPr>
        <w:t xml:space="preserve"> </w:t>
      </w:r>
      <w:r w:rsidR="00781DA5" w:rsidRPr="00605F9A">
        <w:rPr>
          <w:rFonts w:ascii="FrankRuehl" w:hAnsi="FrankRuehl" w:cs="FrankRuehl"/>
          <w:sz w:val="28"/>
          <w:szCs w:val="28"/>
          <w:rtl/>
        </w:rPr>
        <w:t xml:space="preserve">על מנת לגזול את קורת הגג שלהם. נטען כי </w:t>
      </w:r>
      <w:r w:rsidR="009256C8">
        <w:rPr>
          <w:rFonts w:ascii="FrankRuehl" w:hAnsi="FrankRuehl" w:cs="FrankRuehl" w:hint="cs"/>
          <w:sz w:val="28"/>
          <w:szCs w:val="28"/>
          <w:rtl/>
        </w:rPr>
        <w:t>ע'</w:t>
      </w:r>
      <w:r w:rsidR="00781DA5" w:rsidRPr="00605F9A">
        <w:rPr>
          <w:rFonts w:ascii="FrankRuehl" w:hAnsi="FrankRuehl" w:cs="FrankRuehl"/>
          <w:sz w:val="28"/>
          <w:szCs w:val="28"/>
          <w:rtl/>
        </w:rPr>
        <w:t xml:space="preserve"> נטל 20,000 ₪ למשמרת מכספי התובע ובאמתלה זו אמר כי הוא מחתים אותו על מסמכי הלוואה על סך 20,000 ₪. </w:t>
      </w:r>
      <w:r w:rsidR="00201F11" w:rsidRPr="00605F9A">
        <w:rPr>
          <w:rFonts w:ascii="FrankRuehl" w:hAnsi="FrankRuehl" w:cs="FrankRuehl" w:hint="cs"/>
          <w:sz w:val="28"/>
          <w:szCs w:val="28"/>
          <w:rtl/>
        </w:rPr>
        <w:t xml:space="preserve">עוד </w:t>
      </w:r>
      <w:r w:rsidR="00781DA5" w:rsidRPr="00605F9A">
        <w:rPr>
          <w:rFonts w:ascii="FrankRuehl" w:hAnsi="FrankRuehl" w:cs="FrankRuehl"/>
          <w:sz w:val="28"/>
          <w:szCs w:val="28"/>
          <w:rtl/>
        </w:rPr>
        <w:t xml:space="preserve">נטען כי בפועל התברר </w:t>
      </w:r>
      <w:r w:rsidR="00201F11" w:rsidRPr="00605F9A">
        <w:rPr>
          <w:rFonts w:ascii="FrankRuehl" w:hAnsi="FrankRuehl" w:cs="FrankRuehl" w:hint="cs"/>
          <w:sz w:val="28"/>
          <w:szCs w:val="28"/>
          <w:rtl/>
        </w:rPr>
        <w:t>ש</w:t>
      </w:r>
      <w:r w:rsidR="00781DA5" w:rsidRPr="00605F9A">
        <w:rPr>
          <w:rFonts w:ascii="FrankRuehl" w:hAnsi="FrankRuehl" w:cs="FrankRuehl"/>
          <w:sz w:val="28"/>
          <w:szCs w:val="28"/>
          <w:rtl/>
        </w:rPr>
        <w:t>התובע הוחתם על מסמכי העברה ללא תמורה לנתבע. נטען כי התובע אינו יודע לקרוא ולכתוב ואינו יודע עברית ויש להורות על ביטול מסמכי העברה ללא תמורה, מחמת טעות, הטעייה, עושק, כפייה, ניצול חולשה או מצוקה.</w:t>
      </w:r>
    </w:p>
    <w:p w:rsidR="00781DA5" w:rsidRPr="00605F9A" w:rsidRDefault="00781DA5" w:rsidP="00781DA5">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r>
    </w:p>
    <w:p w:rsidR="00781DA5" w:rsidRPr="00605F9A" w:rsidRDefault="00781DA5" w:rsidP="00781DA5">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t>נטען כי תובעת 2 בעלת זכויות בדירה מכוח נישואיה לתובע, וגם מכוח היותה יורשת פוטנציאלית וגם מכוח היותה זוכה לפי צוואה שחתם התובע ביום 23.1.2011.</w:t>
      </w:r>
    </w:p>
    <w:p w:rsidR="00781DA5" w:rsidRPr="00605F9A" w:rsidRDefault="00781DA5" w:rsidP="00201F11">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r>
      <w:r w:rsidR="00201F11" w:rsidRPr="00605F9A">
        <w:rPr>
          <w:rFonts w:ascii="FrankRuehl" w:hAnsi="FrankRuehl" w:cs="FrankRuehl" w:hint="cs"/>
          <w:sz w:val="28"/>
          <w:szCs w:val="28"/>
          <w:rtl/>
        </w:rPr>
        <w:t xml:space="preserve">וגם </w:t>
      </w:r>
      <w:r w:rsidRPr="00605F9A">
        <w:rPr>
          <w:rFonts w:ascii="FrankRuehl" w:hAnsi="FrankRuehl" w:cs="FrankRuehl"/>
          <w:sz w:val="28"/>
          <w:szCs w:val="28"/>
          <w:rtl/>
        </w:rPr>
        <w:t>נטען כי מאחר והזכויות טרם נרשמו, המתנה לא הושלמה</w:t>
      </w:r>
      <w:r w:rsidR="00201F11" w:rsidRPr="00605F9A">
        <w:rPr>
          <w:rFonts w:ascii="FrankRuehl" w:hAnsi="FrankRuehl" w:cs="FrankRuehl" w:hint="cs"/>
          <w:sz w:val="28"/>
          <w:szCs w:val="28"/>
          <w:rtl/>
        </w:rPr>
        <w:t>,</w:t>
      </w:r>
      <w:r w:rsidRPr="00605F9A">
        <w:rPr>
          <w:rFonts w:ascii="FrankRuehl" w:hAnsi="FrankRuehl" w:cs="FrankRuehl"/>
          <w:sz w:val="28"/>
          <w:szCs w:val="28"/>
          <w:rtl/>
        </w:rPr>
        <w:t xml:space="preserve"> יש לבטלה ולרשום את הזכויות על שם התובעים.</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EE76B4" w:rsidP="007F3E1E">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10</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הנתבע הכחיש את הטענות בכתב התביעה. נטען כ</w:t>
      </w:r>
      <w:r w:rsidR="009256C8">
        <w:rPr>
          <w:rFonts w:ascii="FrankRuehl" w:hAnsi="FrankRuehl" w:cs="FrankRuehl"/>
          <w:sz w:val="28"/>
          <w:szCs w:val="28"/>
          <w:rtl/>
        </w:rPr>
        <w:t>י התביעה הוגשה בחוסר תום לב ובנ</w:t>
      </w:r>
      <w:r w:rsidR="009256C8">
        <w:rPr>
          <w:rFonts w:ascii="FrankRuehl" w:hAnsi="FrankRuehl" w:cs="FrankRuehl" w:hint="cs"/>
          <w:sz w:val="28"/>
          <w:szCs w:val="28"/>
          <w:rtl/>
        </w:rPr>
        <w:t>ִ</w:t>
      </w:r>
      <w:r w:rsidR="00781DA5" w:rsidRPr="00605F9A">
        <w:rPr>
          <w:rFonts w:ascii="FrankRuehl" w:hAnsi="FrankRuehl" w:cs="FrankRuehl"/>
          <w:sz w:val="28"/>
          <w:szCs w:val="28"/>
          <w:rtl/>
        </w:rPr>
        <w:t xml:space="preserve">סיון לעשות עושר ולא במשפט לאחר שתביעה קודמת באותו עניין נמחקה. נטען כי אין יריבות בין תובעת 2 </w:t>
      </w:r>
      <w:r w:rsidR="00690AB5">
        <w:rPr>
          <w:rFonts w:ascii="FrankRuehl" w:hAnsi="FrankRuehl" w:cs="FrankRuehl" w:hint="cs"/>
          <w:sz w:val="28"/>
          <w:szCs w:val="28"/>
          <w:rtl/>
        </w:rPr>
        <w:t>ובין ה</w:t>
      </w:r>
      <w:r w:rsidR="00781DA5" w:rsidRPr="00605F9A">
        <w:rPr>
          <w:rFonts w:ascii="FrankRuehl" w:hAnsi="FrankRuehl" w:cs="FrankRuehl"/>
          <w:sz w:val="28"/>
          <w:szCs w:val="28"/>
          <w:rtl/>
        </w:rPr>
        <w:t>נתבע. נטען כי התובע מבוגר, בשנות ה-80 לחייו והתובעת שגילה כמחצית מהתובע, תושבת השטחים, אינה אזרחית ישראל, נישאה לתובע לפני כ-10 שנים ומנסה להשתלט על רכושו כשהיא זורעת סכסוכים, מריבות וחילוקי דעות במשפחה כדי ליצור קרע ולהסית את התובע כנגד משפחתו</w:t>
      </w:r>
      <w:r w:rsidR="00393FBF" w:rsidRPr="00605F9A">
        <w:rPr>
          <w:rFonts w:ascii="FrankRuehl" w:hAnsi="FrankRuehl" w:cs="FrankRuehl" w:hint="cs"/>
          <w:sz w:val="28"/>
          <w:szCs w:val="28"/>
          <w:rtl/>
        </w:rPr>
        <w:t>,</w:t>
      </w:r>
      <w:r w:rsidR="009256C8">
        <w:rPr>
          <w:rFonts w:ascii="FrankRuehl" w:hAnsi="FrankRuehl" w:cs="FrankRuehl"/>
          <w:sz w:val="28"/>
          <w:szCs w:val="28"/>
          <w:rtl/>
        </w:rPr>
        <w:t xml:space="preserve"> </w:t>
      </w:r>
      <w:r w:rsidR="009256C8">
        <w:rPr>
          <w:rFonts w:ascii="FrankRuehl" w:hAnsi="FrankRuehl" w:cs="FrankRuehl" w:hint="cs"/>
          <w:sz w:val="28"/>
          <w:szCs w:val="28"/>
          <w:rtl/>
        </w:rPr>
        <w:t xml:space="preserve">ועל </w:t>
      </w:r>
      <w:r w:rsidR="00781DA5" w:rsidRPr="00605F9A">
        <w:rPr>
          <w:rFonts w:ascii="FrankRuehl" w:hAnsi="FrankRuehl" w:cs="FrankRuehl"/>
          <w:sz w:val="28"/>
          <w:szCs w:val="28"/>
          <w:rtl/>
        </w:rPr>
        <w:t xml:space="preserve">כן גם נולדה תביעה זו. </w:t>
      </w:r>
      <w:r w:rsidR="00393FBF" w:rsidRPr="00605F9A">
        <w:rPr>
          <w:rFonts w:ascii="FrankRuehl" w:hAnsi="FrankRuehl" w:cs="FrankRuehl" w:hint="cs"/>
          <w:sz w:val="28"/>
          <w:szCs w:val="28"/>
          <w:rtl/>
        </w:rPr>
        <w:t xml:space="preserve">לגוף העובדות </w:t>
      </w:r>
      <w:r w:rsidR="00781DA5" w:rsidRPr="00605F9A">
        <w:rPr>
          <w:rFonts w:ascii="FrankRuehl" w:hAnsi="FrankRuehl" w:cs="FrankRuehl"/>
          <w:sz w:val="28"/>
          <w:szCs w:val="28"/>
          <w:rtl/>
        </w:rPr>
        <w:t xml:space="preserve">נטען כי לאחר </w:t>
      </w:r>
      <w:r w:rsidR="009256C8">
        <w:rPr>
          <w:rFonts w:ascii="FrankRuehl" w:hAnsi="FrankRuehl" w:cs="FrankRuehl" w:hint="cs"/>
          <w:sz w:val="28"/>
          <w:szCs w:val="28"/>
          <w:rtl/>
        </w:rPr>
        <w:t>ש</w:t>
      </w:r>
      <w:r w:rsidR="00781DA5" w:rsidRPr="00605F9A">
        <w:rPr>
          <w:rFonts w:ascii="FrankRuehl" w:hAnsi="FrankRuehl" w:cs="FrankRuehl"/>
          <w:sz w:val="28"/>
          <w:szCs w:val="28"/>
          <w:rtl/>
        </w:rPr>
        <w:t xml:space="preserve">קיבל </w:t>
      </w:r>
      <w:r w:rsidR="009256C8">
        <w:rPr>
          <w:rFonts w:ascii="FrankRuehl" w:hAnsi="FrankRuehl" w:cs="FrankRuehl" w:hint="cs"/>
          <w:sz w:val="28"/>
          <w:szCs w:val="28"/>
          <w:rtl/>
        </w:rPr>
        <w:t xml:space="preserve">התובע </w:t>
      </w:r>
      <w:r w:rsidR="00781DA5" w:rsidRPr="00605F9A">
        <w:rPr>
          <w:rFonts w:ascii="FrankRuehl" w:hAnsi="FrankRuehl" w:cs="FrankRuehl"/>
          <w:sz w:val="28"/>
          <w:szCs w:val="28"/>
          <w:rtl/>
        </w:rPr>
        <w:t xml:space="preserve">הצעה מעמידר לרכוש את הזכויות הוא פנה למשפחתו לגייס את התמורה. באותה עת, לבקשת התובע, </w:t>
      </w:r>
      <w:r w:rsidR="0018287B">
        <w:rPr>
          <w:rFonts w:ascii="FrankRuehl" w:hAnsi="FrankRuehl" w:cs="FrankRuehl" w:hint="cs"/>
          <w:sz w:val="28"/>
          <w:szCs w:val="28"/>
          <w:rtl/>
        </w:rPr>
        <w:t>ה</w:t>
      </w:r>
      <w:r w:rsidR="0018287B">
        <w:rPr>
          <w:rFonts w:ascii="FrankRuehl" w:hAnsi="FrankRuehl" w:cs="FrankRuehl"/>
          <w:sz w:val="28"/>
          <w:szCs w:val="28"/>
          <w:rtl/>
        </w:rPr>
        <w:t>נתבע</w:t>
      </w:r>
      <w:r w:rsidR="00781DA5" w:rsidRPr="00605F9A">
        <w:rPr>
          <w:rFonts w:ascii="FrankRuehl" w:hAnsi="FrankRuehl" w:cs="FrankRuehl"/>
          <w:sz w:val="28"/>
          <w:szCs w:val="28"/>
          <w:rtl/>
        </w:rPr>
        <w:t xml:space="preserve"> הלווה לתובע כספים והוסכם</w:t>
      </w:r>
      <w:r w:rsidR="0018287B">
        <w:rPr>
          <w:rFonts w:ascii="FrankRuehl" w:hAnsi="FrankRuehl" w:cs="FrankRuehl"/>
          <w:sz w:val="28"/>
          <w:szCs w:val="28"/>
          <w:rtl/>
        </w:rPr>
        <w:t xml:space="preserve"> כי הדירה תועבר ללא תמורה לנתבע</w:t>
      </w:r>
      <w:r w:rsidR="00781DA5" w:rsidRPr="00605F9A">
        <w:rPr>
          <w:rFonts w:ascii="FrankRuehl" w:hAnsi="FrankRuehl" w:cs="FrankRuehl"/>
          <w:sz w:val="28"/>
          <w:szCs w:val="28"/>
          <w:rtl/>
        </w:rPr>
        <w:t xml:space="preserve"> כשהתובע רשאי להמשיך ולהתגורר בה כל חייו. נטען כי עסקת ההעברה ללא תמורה הסתיימה ברישום ביום 23.5.2012</w:t>
      </w:r>
      <w:r w:rsidR="00393FBF" w:rsidRPr="00605F9A">
        <w:rPr>
          <w:rFonts w:ascii="FrankRuehl" w:hAnsi="FrankRuehl" w:cs="FrankRuehl" w:hint="cs"/>
          <w:sz w:val="28"/>
          <w:szCs w:val="28"/>
          <w:rtl/>
        </w:rPr>
        <w:t xml:space="preserve"> ו</w:t>
      </w:r>
      <w:r w:rsidR="00781DA5" w:rsidRPr="00605F9A">
        <w:rPr>
          <w:rFonts w:ascii="FrankRuehl" w:hAnsi="FrankRuehl" w:cs="FrankRuehl"/>
          <w:sz w:val="28"/>
          <w:szCs w:val="28"/>
          <w:rtl/>
        </w:rPr>
        <w:t>דבר המתנה היה ידוע לכל בני המשפחה. הנתבע הצביע על כך שבתביעה שהוגשה לבית המשפט המחוזי נטענה על ידי התובעים גירסה אחרת ובמסגרתה הודו במתן המתנה וטענו כי התובע לווה 40,000 ₪ מהנתבע לשם רכישת הזכויות בדירה. עוד נטען כי לתובעת 2 אין כל זכויות בדירה ומתן המתנה לא הצריך אישורה. הנתבע הדגיש כי לא ביקש</w:t>
      </w:r>
      <w:r w:rsidR="00690AB5">
        <w:rPr>
          <w:rFonts w:ascii="FrankRuehl" w:hAnsi="FrankRuehl" w:cs="FrankRuehl" w:hint="cs"/>
          <w:sz w:val="28"/>
          <w:szCs w:val="28"/>
          <w:rtl/>
        </w:rPr>
        <w:t xml:space="preserve"> הוא או אביו </w:t>
      </w:r>
      <w:r w:rsidR="007F3E1E">
        <w:rPr>
          <w:rFonts w:ascii="FrankRuehl" w:hAnsi="FrankRuehl" w:cs="FrankRuehl" w:hint="cs"/>
          <w:sz w:val="28"/>
          <w:szCs w:val="28"/>
          <w:rtl/>
        </w:rPr>
        <w:t>ע'</w:t>
      </w:r>
      <w:r w:rsidR="00781DA5" w:rsidRPr="00605F9A">
        <w:rPr>
          <w:rFonts w:ascii="FrankRuehl" w:hAnsi="FrankRuehl" w:cs="FrankRuehl"/>
          <w:sz w:val="28"/>
          <w:szCs w:val="28"/>
          <w:rtl/>
        </w:rPr>
        <w:t xml:space="preserve"> שהתובע יפנה את הדירה וכבר בתביעה </w:t>
      </w:r>
      <w:r w:rsidR="00393FBF" w:rsidRPr="00605F9A">
        <w:rPr>
          <w:rFonts w:ascii="FrankRuehl" w:hAnsi="FrankRuehl" w:cs="FrankRuehl" w:hint="cs"/>
          <w:sz w:val="28"/>
          <w:szCs w:val="28"/>
          <w:rtl/>
        </w:rPr>
        <w:t xml:space="preserve">בבית המשפט המחוזי </w:t>
      </w:r>
      <w:r w:rsidR="00781DA5" w:rsidRPr="00605F9A">
        <w:rPr>
          <w:rFonts w:ascii="FrankRuehl" w:hAnsi="FrankRuehl" w:cs="FrankRuehl"/>
          <w:sz w:val="28"/>
          <w:szCs w:val="28"/>
          <w:rtl/>
        </w:rPr>
        <w:t>הסכי</w:t>
      </w:r>
      <w:r w:rsidR="00690AB5">
        <w:rPr>
          <w:rFonts w:ascii="FrankRuehl" w:hAnsi="FrankRuehl" w:cs="FrankRuehl" w:hint="cs"/>
          <w:sz w:val="28"/>
          <w:szCs w:val="28"/>
          <w:rtl/>
        </w:rPr>
        <w:t>ם</w:t>
      </w:r>
      <w:r w:rsidR="00781DA5" w:rsidRPr="00605F9A">
        <w:rPr>
          <w:rFonts w:ascii="FrankRuehl" w:hAnsi="FrankRuehl" w:cs="FrankRuehl"/>
          <w:sz w:val="28"/>
          <w:szCs w:val="28"/>
          <w:rtl/>
        </w:rPr>
        <w:t xml:space="preserve"> כי יינתן פסק דין לפיו לתובע זכות מגורים בדירה, ללא תמורה וללא תנאי, לכל חייו. בית המשפט התבקש לדחות את התביעה.</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EE76B4" w:rsidP="00781D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11</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עדויות ראשיות הוגשו בתצהירים.</w:t>
      </w:r>
    </w:p>
    <w:p w:rsidR="00781DA5" w:rsidRPr="00605F9A" w:rsidRDefault="00781DA5" w:rsidP="007F3E1E">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t xml:space="preserve">מטעם תובעים 1-2 הוגשו תצהיר תובע 1 מוצג </w:t>
      </w:r>
      <w:r w:rsidRPr="00605F9A">
        <w:rPr>
          <w:rFonts w:ascii="FrankRuehl" w:hAnsi="FrankRuehl" w:cs="FrankRuehl"/>
          <w:b/>
          <w:bCs/>
          <w:sz w:val="28"/>
          <w:szCs w:val="28"/>
          <w:rtl/>
        </w:rPr>
        <w:t>ת/ 2</w:t>
      </w:r>
      <w:r w:rsidRPr="00605F9A">
        <w:rPr>
          <w:rFonts w:ascii="FrankRuehl" w:hAnsi="FrankRuehl" w:cs="FrankRuehl"/>
          <w:sz w:val="28"/>
          <w:szCs w:val="28"/>
          <w:rtl/>
        </w:rPr>
        <w:t xml:space="preserve">, תצהיר תובעת 2 מוצג </w:t>
      </w:r>
      <w:r w:rsidRPr="00605F9A">
        <w:rPr>
          <w:rFonts w:ascii="FrankRuehl" w:hAnsi="FrankRuehl" w:cs="FrankRuehl"/>
          <w:b/>
          <w:bCs/>
          <w:sz w:val="28"/>
          <w:szCs w:val="28"/>
          <w:rtl/>
        </w:rPr>
        <w:t>ת/1</w:t>
      </w:r>
      <w:r w:rsidRPr="00605F9A">
        <w:rPr>
          <w:rFonts w:ascii="FrankRuehl" w:hAnsi="FrankRuehl" w:cs="FrankRuehl"/>
          <w:sz w:val="28"/>
          <w:szCs w:val="28"/>
          <w:rtl/>
        </w:rPr>
        <w:t xml:space="preserve"> וגם הוגשו, אישורי תשלומים לעמידר מוצג </w:t>
      </w:r>
      <w:r w:rsidRPr="00605F9A">
        <w:rPr>
          <w:rFonts w:ascii="FrankRuehl" w:hAnsi="FrankRuehl" w:cs="FrankRuehl"/>
          <w:b/>
          <w:bCs/>
          <w:sz w:val="28"/>
          <w:szCs w:val="28"/>
          <w:rtl/>
        </w:rPr>
        <w:t>ת/3</w:t>
      </w:r>
      <w:r w:rsidRPr="00605F9A">
        <w:rPr>
          <w:rFonts w:ascii="FrankRuehl" w:hAnsi="FrankRuehl" w:cs="FrankRuehl"/>
          <w:sz w:val="28"/>
          <w:szCs w:val="28"/>
          <w:rtl/>
        </w:rPr>
        <w:t xml:space="preserve"> ודפי חשבון מוצג </w:t>
      </w:r>
      <w:r w:rsidRPr="00605F9A">
        <w:rPr>
          <w:rFonts w:ascii="FrankRuehl" w:hAnsi="FrankRuehl" w:cs="FrankRuehl"/>
          <w:b/>
          <w:bCs/>
          <w:sz w:val="28"/>
          <w:szCs w:val="28"/>
          <w:rtl/>
        </w:rPr>
        <w:t>ת/4</w:t>
      </w:r>
      <w:r w:rsidRPr="00605F9A">
        <w:rPr>
          <w:rFonts w:ascii="FrankRuehl" w:hAnsi="FrankRuehl" w:cs="FrankRuehl"/>
          <w:sz w:val="28"/>
          <w:szCs w:val="28"/>
          <w:rtl/>
        </w:rPr>
        <w:t xml:space="preserve">.תצהיר אחיו של תובע 1, מר </w:t>
      </w:r>
      <w:r w:rsidR="007F3E1E">
        <w:rPr>
          <w:rFonts w:ascii="FrankRuehl" w:hAnsi="FrankRuehl" w:cs="FrankRuehl" w:hint="cs"/>
          <w:sz w:val="28"/>
          <w:szCs w:val="28"/>
          <w:rtl/>
        </w:rPr>
        <w:t>פ.א.כ.</w:t>
      </w:r>
      <w:r w:rsidRPr="00605F9A">
        <w:rPr>
          <w:rFonts w:ascii="FrankRuehl" w:hAnsi="FrankRuehl" w:cs="FrankRuehl"/>
          <w:sz w:val="28"/>
          <w:szCs w:val="28"/>
          <w:rtl/>
        </w:rPr>
        <w:t xml:space="preserve">, הוצא מהתיק לאחר שלא התייצב </w:t>
      </w:r>
      <w:r w:rsidR="007F3E1E">
        <w:rPr>
          <w:rFonts w:ascii="FrankRuehl" w:hAnsi="FrankRuehl" w:cs="FrankRuehl"/>
          <w:sz w:val="28"/>
          <w:szCs w:val="28"/>
          <w:rtl/>
        </w:rPr>
        <w:t>לחקירה והתובעים ויתרו על עדותו.</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9256C8">
      <w:pPr>
        <w:spacing w:line="360" w:lineRule="auto"/>
        <w:ind w:left="720"/>
        <w:jc w:val="both"/>
        <w:rPr>
          <w:rFonts w:ascii="FrankRuehl" w:hAnsi="FrankRuehl" w:cs="FrankRuehl"/>
          <w:sz w:val="28"/>
          <w:szCs w:val="28"/>
          <w:rtl/>
        </w:rPr>
      </w:pPr>
      <w:r w:rsidRPr="00605F9A">
        <w:rPr>
          <w:rFonts w:ascii="FrankRuehl" w:hAnsi="FrankRuehl" w:cs="FrankRuehl"/>
          <w:sz w:val="28"/>
          <w:szCs w:val="28"/>
          <w:rtl/>
        </w:rPr>
        <w:t xml:space="preserve">מטעם הנתבע הוגשו תצהיר </w:t>
      </w:r>
      <w:r w:rsidR="0018287B">
        <w:rPr>
          <w:rFonts w:ascii="FrankRuehl" w:hAnsi="FrankRuehl" w:cs="FrankRuehl" w:hint="cs"/>
          <w:sz w:val="28"/>
          <w:szCs w:val="28"/>
          <w:rtl/>
        </w:rPr>
        <w:t xml:space="preserve">הנתבע, </w:t>
      </w:r>
      <w:r w:rsidRPr="00605F9A">
        <w:rPr>
          <w:rFonts w:ascii="FrankRuehl" w:hAnsi="FrankRuehl" w:cs="FrankRuehl"/>
          <w:sz w:val="28"/>
          <w:szCs w:val="28"/>
          <w:rtl/>
        </w:rPr>
        <w:t xml:space="preserve">מוצג </w:t>
      </w:r>
      <w:r w:rsidRPr="00605F9A">
        <w:rPr>
          <w:rFonts w:ascii="FrankRuehl" w:hAnsi="FrankRuehl" w:cs="FrankRuehl"/>
          <w:b/>
          <w:bCs/>
          <w:sz w:val="28"/>
          <w:szCs w:val="28"/>
          <w:rtl/>
        </w:rPr>
        <w:t>נ/1</w:t>
      </w:r>
      <w:r w:rsidRPr="00605F9A">
        <w:rPr>
          <w:rFonts w:ascii="FrankRuehl" w:hAnsi="FrankRuehl" w:cs="FrankRuehl"/>
          <w:sz w:val="28"/>
          <w:szCs w:val="28"/>
          <w:rtl/>
        </w:rPr>
        <w:t xml:space="preserve"> </w:t>
      </w:r>
      <w:r w:rsidR="0018287B">
        <w:rPr>
          <w:rFonts w:ascii="FrankRuehl" w:hAnsi="FrankRuehl" w:cs="FrankRuehl" w:hint="cs"/>
          <w:sz w:val="28"/>
          <w:szCs w:val="28"/>
          <w:rtl/>
        </w:rPr>
        <w:t xml:space="preserve">ותצהיר אביו, מר </w:t>
      </w:r>
      <w:r w:rsidR="009256C8">
        <w:rPr>
          <w:rFonts w:ascii="FrankRuehl" w:hAnsi="FrankRuehl" w:cs="FrankRuehl" w:hint="cs"/>
          <w:sz w:val="28"/>
          <w:szCs w:val="28"/>
          <w:rtl/>
        </w:rPr>
        <w:t xml:space="preserve">ע.א.כ. </w:t>
      </w:r>
      <w:r w:rsidR="0018287B" w:rsidRPr="00605F9A">
        <w:rPr>
          <w:rFonts w:ascii="FrankRuehl" w:hAnsi="FrankRuehl" w:cs="FrankRuehl"/>
          <w:sz w:val="28"/>
          <w:szCs w:val="28"/>
          <w:rtl/>
        </w:rPr>
        <w:t xml:space="preserve">מוצג </w:t>
      </w:r>
      <w:r w:rsidR="0018287B" w:rsidRPr="00605F9A">
        <w:rPr>
          <w:rFonts w:ascii="FrankRuehl" w:hAnsi="FrankRuehl" w:cs="FrankRuehl"/>
          <w:b/>
          <w:bCs/>
          <w:sz w:val="28"/>
          <w:szCs w:val="28"/>
          <w:rtl/>
        </w:rPr>
        <w:t xml:space="preserve">נ/2 </w:t>
      </w:r>
      <w:r w:rsidRPr="00605F9A">
        <w:rPr>
          <w:rFonts w:ascii="FrankRuehl" w:hAnsi="FrankRuehl" w:cs="FrankRuehl"/>
          <w:sz w:val="28"/>
          <w:szCs w:val="28"/>
          <w:rtl/>
        </w:rPr>
        <w:t>עוד זומנו לעדות: עו"ד זיאד דעים, עדים מטעם ר"פ, מר סמי פייסל, עו"ד קאהר אבו יונס ועו"ד ויאסם אל טואפשי.  רק עו"ד זיאד דעים התייצב לחקירתו וה</w:t>
      </w:r>
      <w:r w:rsidR="00393FBF" w:rsidRPr="00605F9A">
        <w:rPr>
          <w:rFonts w:ascii="FrankRuehl" w:hAnsi="FrankRuehl" w:cs="FrankRuehl" w:hint="cs"/>
          <w:sz w:val="28"/>
          <w:szCs w:val="28"/>
          <w:rtl/>
        </w:rPr>
        <w:t xml:space="preserve">צדדים </w:t>
      </w:r>
      <w:r w:rsidRPr="00605F9A">
        <w:rPr>
          <w:rFonts w:ascii="FrankRuehl" w:hAnsi="FrankRuehl" w:cs="FrankRuehl"/>
          <w:sz w:val="28"/>
          <w:szCs w:val="28"/>
          <w:rtl/>
        </w:rPr>
        <w:t>ויתרו על חקירת העדים הנוספים.</w:t>
      </w:r>
    </w:p>
    <w:p w:rsidR="00781DA5" w:rsidRDefault="00781DA5" w:rsidP="00781DA5">
      <w:pPr>
        <w:spacing w:line="360" w:lineRule="auto"/>
        <w:ind w:left="720" w:hanging="720"/>
        <w:jc w:val="both"/>
        <w:rPr>
          <w:rFonts w:ascii="FrankRuehl" w:hAnsi="FrankRuehl" w:cs="FrankRuehl"/>
          <w:sz w:val="28"/>
          <w:szCs w:val="28"/>
          <w:u w:val="single"/>
          <w:rtl/>
        </w:rPr>
      </w:pPr>
    </w:p>
    <w:p w:rsidR="009256C8" w:rsidRPr="00605F9A" w:rsidRDefault="009256C8" w:rsidP="00781DA5">
      <w:pPr>
        <w:spacing w:line="360" w:lineRule="auto"/>
        <w:ind w:left="720" w:hanging="720"/>
        <w:jc w:val="both"/>
        <w:rPr>
          <w:rFonts w:ascii="FrankRuehl" w:hAnsi="FrankRuehl" w:cs="FrankRuehl"/>
          <w:sz w:val="28"/>
          <w:szCs w:val="28"/>
          <w:u w:val="single"/>
          <w:rtl/>
        </w:rPr>
      </w:pPr>
    </w:p>
    <w:p w:rsidR="00781DA5" w:rsidRPr="009256C8" w:rsidRDefault="009256C8" w:rsidP="00781DA5">
      <w:pPr>
        <w:spacing w:line="360" w:lineRule="auto"/>
        <w:ind w:left="720" w:hanging="720"/>
        <w:jc w:val="both"/>
        <w:rPr>
          <w:rFonts w:ascii="FrankRuehl" w:hAnsi="FrankRuehl" w:cs="FrankRuehl"/>
          <w:sz w:val="28"/>
          <w:szCs w:val="28"/>
          <w:rtl/>
        </w:rPr>
      </w:pPr>
      <w:r>
        <w:rPr>
          <w:rFonts w:ascii="FrankRuehl" w:hAnsi="FrankRuehl" w:cs="FrankRuehl"/>
          <w:b/>
          <w:bCs/>
          <w:sz w:val="28"/>
          <w:szCs w:val="28"/>
          <w:u w:val="single"/>
          <w:rtl/>
        </w:rPr>
        <w:t>דיון והכרעה</w:t>
      </w:r>
      <w:r>
        <w:rPr>
          <w:rFonts w:ascii="FrankRuehl" w:hAnsi="FrankRuehl" w:cs="FrankRuehl" w:hint="cs"/>
          <w:sz w:val="28"/>
          <w:szCs w:val="28"/>
          <w:rtl/>
        </w:rPr>
        <w:t>:</w:t>
      </w:r>
    </w:p>
    <w:p w:rsidR="00781DA5" w:rsidRPr="00605F9A" w:rsidRDefault="00781DA5" w:rsidP="00781DA5">
      <w:pPr>
        <w:spacing w:line="360" w:lineRule="auto"/>
        <w:ind w:left="720" w:hanging="720"/>
        <w:jc w:val="both"/>
        <w:rPr>
          <w:rFonts w:ascii="FrankRuehl" w:hAnsi="FrankRuehl" w:cs="FrankRuehl"/>
          <w:sz w:val="28"/>
          <w:szCs w:val="28"/>
          <w:u w:val="single"/>
          <w:rtl/>
        </w:rPr>
      </w:pPr>
    </w:p>
    <w:p w:rsidR="00781DA5" w:rsidRPr="00605F9A" w:rsidRDefault="00781DA5" w:rsidP="00EE76B4">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1</w:t>
      </w:r>
      <w:r w:rsidR="00EE76B4" w:rsidRPr="00605F9A">
        <w:rPr>
          <w:rFonts w:ascii="FrankRuehl" w:hAnsi="FrankRuehl" w:cs="FrankRuehl" w:hint="cs"/>
          <w:sz w:val="28"/>
          <w:szCs w:val="28"/>
          <w:rtl/>
        </w:rPr>
        <w:t>2</w:t>
      </w:r>
      <w:r w:rsidRPr="00605F9A">
        <w:rPr>
          <w:rFonts w:ascii="FrankRuehl" w:hAnsi="FrankRuehl" w:cs="FrankRuehl"/>
          <w:sz w:val="28"/>
          <w:szCs w:val="28"/>
          <w:rtl/>
        </w:rPr>
        <w:t>.</w:t>
      </w:r>
      <w:r w:rsidRPr="00605F9A">
        <w:rPr>
          <w:rFonts w:ascii="FrankRuehl" w:hAnsi="FrankRuehl" w:cs="FrankRuehl"/>
          <w:sz w:val="28"/>
          <w:szCs w:val="28"/>
          <w:rtl/>
        </w:rPr>
        <w:tab/>
        <w:t xml:space="preserve">תמצית טענת התובעים היא לפגמים ברצון בעת החתימה על הסכם המתנה. </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503D36">
      <w:pPr>
        <w:spacing w:line="360" w:lineRule="auto"/>
        <w:ind w:left="720"/>
        <w:jc w:val="both"/>
        <w:rPr>
          <w:rFonts w:ascii="FrankRuehl" w:hAnsi="FrankRuehl" w:cs="FrankRuehl"/>
          <w:b/>
          <w:bCs/>
          <w:sz w:val="28"/>
          <w:szCs w:val="28"/>
          <w:rtl/>
        </w:rPr>
      </w:pPr>
      <w:r w:rsidRPr="00605F9A">
        <w:rPr>
          <w:rFonts w:ascii="FrankRuehl" w:hAnsi="FrankRuehl" w:cs="FrankRuehl"/>
          <w:sz w:val="28"/>
          <w:szCs w:val="28"/>
          <w:rtl/>
        </w:rPr>
        <w:t>המחלוקת בין הצדדים אינה משפטית או פרשנית - אלא עובדתית בלבד. קבלת גרסת התובעים תתאפשר, ככול שמהראיות והעדויות יעלו תימוכין לגרסתם</w:t>
      </w:r>
      <w:r w:rsidR="00503D36">
        <w:rPr>
          <w:rFonts w:ascii="FrankRuehl" w:hAnsi="FrankRuehl" w:cs="FrankRuehl" w:hint="cs"/>
          <w:sz w:val="28"/>
          <w:szCs w:val="28"/>
          <w:rtl/>
        </w:rPr>
        <w:t xml:space="preserve"> והיא תהא </w:t>
      </w:r>
      <w:r w:rsidRPr="00605F9A">
        <w:rPr>
          <w:rFonts w:ascii="FrankRuehl" w:hAnsi="FrankRuehl" w:cs="FrankRuehl"/>
          <w:sz w:val="28"/>
          <w:szCs w:val="28"/>
          <w:rtl/>
        </w:rPr>
        <w:t>הגרסה הסבירה יותר</w:t>
      </w:r>
      <w:r w:rsidR="00503D36">
        <w:rPr>
          <w:rFonts w:ascii="FrankRuehl" w:hAnsi="FrankRuehl" w:cs="FrankRuehl" w:hint="cs"/>
          <w:sz w:val="28"/>
          <w:szCs w:val="28"/>
          <w:rtl/>
        </w:rPr>
        <w:t xml:space="preserve"> </w:t>
      </w:r>
      <w:r w:rsidR="00503D36">
        <w:rPr>
          <w:rFonts w:ascii="FrankRuehl" w:hAnsi="FrankRuehl" w:cs="FrankRuehl"/>
          <w:sz w:val="28"/>
          <w:szCs w:val="28"/>
          <w:rtl/>
        </w:rPr>
        <w:t>–</w:t>
      </w:r>
      <w:r w:rsidR="00503D36">
        <w:rPr>
          <w:rFonts w:ascii="FrankRuehl" w:hAnsi="FrankRuehl" w:cs="FrankRuehl" w:hint="cs"/>
          <w:sz w:val="28"/>
          <w:szCs w:val="28"/>
          <w:rtl/>
        </w:rPr>
        <w:t xml:space="preserve"> כך שהם יעמדו </w:t>
      </w:r>
      <w:r w:rsidR="00393FBF" w:rsidRPr="00605F9A">
        <w:rPr>
          <w:rFonts w:ascii="FrankRuehl" w:hAnsi="FrankRuehl" w:cs="FrankRuehl" w:hint="cs"/>
          <w:sz w:val="28"/>
          <w:szCs w:val="28"/>
          <w:rtl/>
        </w:rPr>
        <w:t>בנטל ההוכחה המוטל עליהם</w:t>
      </w:r>
      <w:r w:rsidRPr="00605F9A">
        <w:rPr>
          <w:rFonts w:ascii="FrankRuehl" w:hAnsi="FrankRuehl" w:cs="FrankRuehl"/>
          <w:sz w:val="28"/>
          <w:szCs w:val="28"/>
          <w:rtl/>
        </w:rPr>
        <w:t xml:space="preserve">. </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EE76B4" w:rsidP="008B38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13</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לאחר שבחנתי העדויות והראיות שהוגשו ונטל ההוכחה המוטל על כל אחד מהצדדים, אני דוחה את התביעה</w:t>
      </w:r>
      <w:r w:rsidR="00393FBF" w:rsidRPr="00605F9A">
        <w:rPr>
          <w:rFonts w:ascii="FrankRuehl" w:hAnsi="FrankRuehl" w:cs="FrankRuehl" w:hint="cs"/>
          <w:sz w:val="28"/>
          <w:szCs w:val="28"/>
          <w:rtl/>
        </w:rPr>
        <w:t xml:space="preserve"> מאחר והתובעים לא עמדו בנטל להוכיח טענותיהם </w:t>
      </w:r>
      <w:r w:rsidR="00781DA5" w:rsidRPr="00605F9A">
        <w:rPr>
          <w:rFonts w:ascii="FrankRuehl" w:hAnsi="FrankRuehl" w:cs="FrankRuehl"/>
          <w:sz w:val="28"/>
          <w:szCs w:val="28"/>
          <w:rtl/>
        </w:rPr>
        <w:t>וקיימות ראיות התומכות יותר בגרסת הנתבע .לא זו אף זו אלא שהתובע למעשה מושתק מלטעון כנגד אי הבנתו וידיעתו את עסקת המתנה ו</w:t>
      </w:r>
      <w:r w:rsidR="00393FBF" w:rsidRPr="00605F9A">
        <w:rPr>
          <w:rFonts w:ascii="FrankRuehl" w:hAnsi="FrankRuehl" w:cs="FrankRuehl" w:hint="cs"/>
          <w:sz w:val="28"/>
          <w:szCs w:val="28"/>
          <w:rtl/>
        </w:rPr>
        <w:t xml:space="preserve">למעשה, </w:t>
      </w:r>
      <w:r w:rsidR="00781DA5" w:rsidRPr="00605F9A">
        <w:rPr>
          <w:rFonts w:ascii="FrankRuehl" w:hAnsi="FrankRuehl" w:cs="FrankRuehl"/>
          <w:sz w:val="28"/>
          <w:szCs w:val="28"/>
          <w:rtl/>
        </w:rPr>
        <w:t xml:space="preserve">די </w:t>
      </w:r>
      <w:r w:rsidR="00393FBF" w:rsidRPr="00605F9A">
        <w:rPr>
          <w:rFonts w:ascii="FrankRuehl" w:hAnsi="FrankRuehl" w:cs="FrankRuehl" w:hint="cs"/>
          <w:sz w:val="28"/>
          <w:szCs w:val="28"/>
          <w:rtl/>
        </w:rPr>
        <w:t xml:space="preserve">היה </w:t>
      </w:r>
      <w:r w:rsidR="00781DA5" w:rsidRPr="00605F9A">
        <w:rPr>
          <w:rFonts w:ascii="FrankRuehl" w:hAnsi="FrankRuehl" w:cs="FrankRuehl"/>
          <w:sz w:val="28"/>
          <w:szCs w:val="28"/>
          <w:rtl/>
        </w:rPr>
        <w:t>בכך להביא לדחיית התביעה.</w:t>
      </w:r>
    </w:p>
    <w:p w:rsidR="00781DA5" w:rsidRPr="00605F9A" w:rsidRDefault="00781DA5" w:rsidP="00781DA5">
      <w:pPr>
        <w:spacing w:line="360" w:lineRule="auto"/>
        <w:ind w:left="720" w:hanging="720"/>
        <w:jc w:val="both"/>
        <w:rPr>
          <w:rFonts w:ascii="FrankRuehl" w:hAnsi="FrankRuehl" w:cs="FrankRuehl"/>
          <w:sz w:val="28"/>
          <w:szCs w:val="28"/>
          <w:rtl/>
        </w:rPr>
      </w:pPr>
    </w:p>
    <w:p w:rsidR="00393FBF" w:rsidRPr="00605F9A" w:rsidRDefault="007F3E1E" w:rsidP="00781DA5">
      <w:pPr>
        <w:spacing w:line="360" w:lineRule="auto"/>
        <w:ind w:left="720" w:hanging="720"/>
        <w:jc w:val="both"/>
        <w:rPr>
          <w:rFonts w:ascii="FrankRuehl" w:hAnsi="FrankRuehl" w:cs="FrankRuehl"/>
          <w:sz w:val="28"/>
          <w:szCs w:val="28"/>
          <w:rtl/>
        </w:rPr>
      </w:pPr>
      <w:r>
        <w:rPr>
          <w:rFonts w:ascii="FrankRuehl" w:hAnsi="FrankRuehl" w:cs="FrankRuehl"/>
          <w:sz w:val="28"/>
          <w:szCs w:val="28"/>
          <w:rtl/>
        </w:rPr>
        <w:t>14.</w:t>
      </w:r>
      <w:r>
        <w:rPr>
          <w:rFonts w:ascii="FrankRuehl" w:hAnsi="FrankRuehl" w:cs="FrankRuehl"/>
          <w:sz w:val="28"/>
          <w:szCs w:val="28"/>
          <w:rtl/>
        </w:rPr>
        <w:tab/>
        <w:t>אתחיל בהשתק שיפוטי.</w:t>
      </w:r>
    </w:p>
    <w:p w:rsidR="00393FBF" w:rsidRPr="00605F9A" w:rsidRDefault="00393FBF" w:rsidP="00781DA5">
      <w:pPr>
        <w:spacing w:line="360" w:lineRule="auto"/>
        <w:ind w:left="720" w:hanging="720"/>
        <w:jc w:val="both"/>
        <w:rPr>
          <w:rFonts w:ascii="FrankRuehl" w:hAnsi="FrankRuehl" w:cs="FrankRuehl"/>
          <w:sz w:val="28"/>
          <w:szCs w:val="28"/>
          <w:rtl/>
        </w:rPr>
      </w:pPr>
    </w:p>
    <w:p w:rsidR="00781DA5" w:rsidRPr="00605F9A" w:rsidRDefault="00EE76B4" w:rsidP="00781D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15.</w:t>
      </w:r>
      <w:r w:rsidRPr="00605F9A">
        <w:rPr>
          <w:rFonts w:ascii="FrankRuehl" w:hAnsi="FrankRuehl" w:cs="FrankRuehl" w:hint="cs"/>
          <w:sz w:val="28"/>
          <w:szCs w:val="28"/>
          <w:rtl/>
        </w:rPr>
        <w:tab/>
        <w:t>ד</w:t>
      </w:r>
      <w:r w:rsidR="00781DA5" w:rsidRPr="00605F9A">
        <w:rPr>
          <w:rFonts w:ascii="FrankRuehl" w:hAnsi="FrankRuehl" w:cs="FrankRuehl"/>
          <w:sz w:val="28"/>
          <w:szCs w:val="28"/>
          <w:rtl/>
        </w:rPr>
        <w:t>וקטרינת ההשתק השיפוטי קובעת כי :</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605F9A">
      <w:pPr>
        <w:ind w:left="1134" w:right="1134"/>
        <w:jc w:val="both"/>
        <w:rPr>
          <w:rFonts w:ascii="Miriam" w:hAnsi="Miriam" w:cs="Miriam"/>
          <w:rtl/>
        </w:rPr>
      </w:pPr>
      <w:r w:rsidRPr="00605F9A">
        <w:rPr>
          <w:rFonts w:ascii="Miriam" w:hAnsi="Miriam" w:cs="Miriam"/>
          <w:spacing w:val="10"/>
          <w:rtl/>
        </w:rPr>
        <w:t>"...בעל דין אשר טען טענה משפטית או עובדתית מושתק מלטעון - בהליך אחר או בגדרי אותו הליך - טענה הסותרת טענה זו. כלל זה, המכונה השתק שיפוטי, נגזר מעקרון תום הלב ונועד לשמור על טוהר ההליך השיפוטי ולמנוע ניצול לרעה של בתי המשפט [ראו, למשל: ע"א 513/89 </w:t>
      </w:r>
      <w:r w:rsidRPr="00605F9A">
        <w:rPr>
          <w:rFonts w:ascii="Miriam" w:hAnsi="Miriam" w:cs="Miriam"/>
          <w:spacing w:val="10"/>
        </w:rPr>
        <w:t>Interlego A/S</w:t>
      </w:r>
      <w:r w:rsidRPr="00605F9A">
        <w:rPr>
          <w:rFonts w:ascii="Miriam" w:hAnsi="Miriam" w:cs="Miriam"/>
          <w:spacing w:val="10"/>
          <w:rtl/>
        </w:rPr>
        <w:t> נ'</w:t>
      </w:r>
      <w:r w:rsidRPr="00605F9A">
        <w:rPr>
          <w:rFonts w:ascii="Miriam" w:hAnsi="Miriam" w:cs="Miriam"/>
          <w:spacing w:val="10"/>
        </w:rPr>
        <w:t>Exin-Lines Bros.S.A</w:t>
      </w:r>
      <w:r w:rsidRPr="00605F9A">
        <w:rPr>
          <w:rFonts w:ascii="Miriam" w:hAnsi="Miriam" w:cs="Miriam"/>
          <w:spacing w:val="10"/>
          <w:rtl/>
        </w:rPr>
        <w:t>., פ"ד מח(4) 133, 194 (1994).</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781DA5">
      <w:pPr>
        <w:spacing w:line="360" w:lineRule="auto"/>
        <w:ind w:left="720"/>
        <w:jc w:val="both"/>
        <w:rPr>
          <w:rFonts w:ascii="FrankRuehl" w:hAnsi="FrankRuehl" w:cs="FrankRuehl"/>
          <w:sz w:val="28"/>
          <w:szCs w:val="28"/>
          <w:rtl/>
        </w:rPr>
      </w:pPr>
      <w:r w:rsidRPr="00605F9A">
        <w:rPr>
          <w:rFonts w:ascii="FrankRuehl" w:hAnsi="FrankRuehl" w:cs="FrankRuehl"/>
          <w:sz w:val="28"/>
          <w:szCs w:val="28"/>
          <w:rtl/>
        </w:rPr>
        <w:t>לשון אחר, לפי דוקטרינת השתק שיפוטי בעל דין מושתק להעלות בהליך אחד, טענות עובדתיות או משפטיות הפוכות לטענות שטען בהליך אחר, גם אם הטענות נכונות. תכלית הדוקטרינה של השתק שיפוטי היא שמירה על הטוהר, שמירה על אמון הציבור במערכת בתי המשפט ומניעת ניצול לרעה של הליכים משפטיים וגם, יישום בפועל של החובה לנהל הליכים בתום לב.</w:t>
      </w:r>
    </w:p>
    <w:p w:rsidR="00781DA5" w:rsidRPr="00605F9A" w:rsidRDefault="00781DA5" w:rsidP="00781DA5">
      <w:pPr>
        <w:spacing w:line="360" w:lineRule="auto"/>
        <w:ind w:left="720" w:hanging="720"/>
        <w:jc w:val="both"/>
        <w:rPr>
          <w:rFonts w:ascii="FrankRuehl" w:hAnsi="FrankRuehl" w:cs="FrankRuehl"/>
          <w:sz w:val="28"/>
          <w:szCs w:val="28"/>
          <w:rtl/>
        </w:rPr>
      </w:pPr>
    </w:p>
    <w:p w:rsidR="00496A9A" w:rsidRPr="00605F9A" w:rsidRDefault="00781DA5" w:rsidP="00393FBF">
      <w:pPr>
        <w:spacing w:line="360" w:lineRule="auto"/>
        <w:ind w:left="720"/>
        <w:jc w:val="both"/>
        <w:rPr>
          <w:rFonts w:ascii="FrankRuehl" w:hAnsi="FrankRuehl" w:cs="FrankRuehl"/>
          <w:sz w:val="28"/>
          <w:szCs w:val="28"/>
          <w:shd w:val="clear" w:color="auto" w:fill="FFFFFF"/>
          <w:rtl/>
        </w:rPr>
      </w:pPr>
      <w:r w:rsidRPr="00503D36">
        <w:rPr>
          <w:rFonts w:ascii="FrankRuehl" w:hAnsi="FrankRuehl" w:cs="FrankRuehl"/>
          <w:sz w:val="28"/>
          <w:szCs w:val="28"/>
          <w:rtl/>
        </w:rPr>
        <w:t xml:space="preserve">נפסק כי </w:t>
      </w:r>
      <w:r w:rsidR="00393FBF" w:rsidRPr="00503D36">
        <w:rPr>
          <w:rFonts w:ascii="FrankRuehl" w:hAnsi="FrankRuehl" w:cs="FrankRuehl" w:hint="cs"/>
          <w:sz w:val="28"/>
          <w:szCs w:val="28"/>
          <w:rtl/>
        </w:rPr>
        <w:t>מאחר וסעיף 61 לחוק החוזים (</w:t>
      </w:r>
      <w:r w:rsidRPr="00503D36">
        <w:rPr>
          <w:rFonts w:ascii="FrankRuehl" w:hAnsi="FrankRuehl" w:cs="FrankRuehl"/>
          <w:sz w:val="28"/>
          <w:szCs w:val="28"/>
          <w:rtl/>
        </w:rPr>
        <w:t>חלק כללי</w:t>
      </w:r>
      <w:r w:rsidR="00393FBF" w:rsidRPr="00503D36">
        <w:rPr>
          <w:rFonts w:ascii="FrankRuehl" w:hAnsi="FrankRuehl" w:cs="FrankRuehl" w:hint="cs"/>
          <w:sz w:val="28"/>
          <w:szCs w:val="28"/>
          <w:rtl/>
        </w:rPr>
        <w:t>)</w:t>
      </w:r>
      <w:r w:rsidRPr="00503D36">
        <w:rPr>
          <w:rFonts w:ascii="FrankRuehl" w:hAnsi="FrankRuehl" w:cs="FrankRuehl"/>
          <w:sz w:val="28"/>
          <w:szCs w:val="28"/>
          <w:rtl/>
        </w:rPr>
        <w:t xml:space="preserve"> התשל"ג-1973, </w:t>
      </w:r>
      <w:r w:rsidR="00393FBF" w:rsidRPr="00503D36">
        <w:rPr>
          <w:rFonts w:ascii="FrankRuehl" w:hAnsi="FrankRuehl" w:cs="FrankRuehl" w:hint="cs"/>
          <w:sz w:val="28"/>
          <w:szCs w:val="28"/>
          <w:rtl/>
        </w:rPr>
        <w:t xml:space="preserve">מטיל </w:t>
      </w:r>
      <w:r w:rsidRPr="00503D36">
        <w:rPr>
          <w:rFonts w:ascii="FrankRuehl" w:hAnsi="FrankRuehl" w:cs="FrankRuehl"/>
          <w:sz w:val="28"/>
          <w:szCs w:val="28"/>
          <w:rtl/>
        </w:rPr>
        <w:t xml:space="preserve">חובה לנהוג בתום לב </w:t>
      </w:r>
      <w:r w:rsidR="003F6FD5" w:rsidRPr="00503D36">
        <w:rPr>
          <w:rFonts w:ascii="FrankRuehl" w:hAnsi="FrankRuehl" w:cs="FrankRuehl" w:hint="cs"/>
          <w:sz w:val="28"/>
          <w:szCs w:val="28"/>
          <w:rtl/>
        </w:rPr>
        <w:t>ה</w:t>
      </w:r>
      <w:r w:rsidRPr="00503D36">
        <w:rPr>
          <w:rFonts w:ascii="FrankRuehl" w:hAnsi="FrankRuehl" w:cs="FrankRuehl"/>
          <w:sz w:val="28"/>
          <w:szCs w:val="28"/>
          <w:rtl/>
        </w:rPr>
        <w:t xml:space="preserve">חלה גם </w:t>
      </w:r>
      <w:r w:rsidR="00393FBF" w:rsidRPr="00605F9A">
        <w:rPr>
          <w:rFonts w:ascii="FrankRuehl" w:hAnsi="FrankRuehl" w:cs="FrankRuehl" w:hint="cs"/>
          <w:sz w:val="28"/>
          <w:szCs w:val="28"/>
          <w:rtl/>
        </w:rPr>
        <w:t xml:space="preserve">בעת </w:t>
      </w:r>
      <w:r w:rsidRPr="00605F9A">
        <w:rPr>
          <w:rFonts w:ascii="FrankRuehl" w:hAnsi="FrankRuehl" w:cs="FrankRuehl"/>
          <w:sz w:val="28"/>
          <w:szCs w:val="28"/>
          <w:rtl/>
        </w:rPr>
        <w:t>ניהול הליכים משפטיים,</w:t>
      </w:r>
      <w:r w:rsidR="00393FBF" w:rsidRPr="00605F9A">
        <w:rPr>
          <w:rFonts w:ascii="FrankRuehl" w:hAnsi="FrankRuehl" w:cs="FrankRuehl" w:hint="cs"/>
          <w:sz w:val="28"/>
          <w:szCs w:val="28"/>
          <w:rtl/>
        </w:rPr>
        <w:t xml:space="preserve"> הרי שאין</w:t>
      </w:r>
      <w:r w:rsidRPr="00605F9A">
        <w:rPr>
          <w:rFonts w:ascii="FrankRuehl" w:hAnsi="FrankRuehl" w:cs="FrankRuehl"/>
          <w:sz w:val="28"/>
          <w:szCs w:val="28"/>
          <w:shd w:val="clear" w:color="auto" w:fill="FFFFFF"/>
          <w:rtl/>
        </w:rPr>
        <w:t xml:space="preserve">  הכרח כי טענת בעל הדין, שהועלתה בהליך הקודם, צלחה בידו או העניקה לו הנאה</w:t>
      </w:r>
      <w:r w:rsidR="00393FBF" w:rsidRPr="00605F9A">
        <w:rPr>
          <w:rFonts w:ascii="FrankRuehl" w:hAnsi="FrankRuehl" w:cs="FrankRuehl" w:hint="cs"/>
          <w:sz w:val="28"/>
          <w:szCs w:val="28"/>
          <w:shd w:val="clear" w:color="auto" w:fill="FFFFFF"/>
          <w:rtl/>
        </w:rPr>
        <w:t xml:space="preserve"> כדי שתחול דוקטרינת ההשתק השיפוטי</w:t>
      </w:r>
      <w:r w:rsidRPr="00605F9A">
        <w:rPr>
          <w:rFonts w:ascii="FrankRuehl" w:hAnsi="FrankRuehl" w:cs="FrankRuehl"/>
          <w:sz w:val="28"/>
          <w:szCs w:val="28"/>
          <w:shd w:val="clear" w:color="auto" w:fill="FFFFFF"/>
          <w:rtl/>
        </w:rPr>
        <w:t xml:space="preserve">. </w:t>
      </w:r>
    </w:p>
    <w:p w:rsidR="00781DA5" w:rsidRPr="00605F9A" w:rsidRDefault="00781DA5" w:rsidP="00496A9A">
      <w:pPr>
        <w:spacing w:line="360" w:lineRule="auto"/>
        <w:ind w:left="720"/>
        <w:jc w:val="both"/>
        <w:rPr>
          <w:rFonts w:ascii="FrankRuehl" w:hAnsi="FrankRuehl" w:cs="FrankRuehl"/>
          <w:strike/>
          <w:sz w:val="28"/>
          <w:szCs w:val="28"/>
          <w:shd w:val="clear" w:color="auto" w:fill="FFFFFF"/>
          <w:rtl/>
        </w:rPr>
      </w:pPr>
      <w:r w:rsidRPr="00605F9A">
        <w:rPr>
          <w:rFonts w:ascii="FrankRuehl" w:hAnsi="FrankRuehl" w:cs="FrankRuehl"/>
          <w:sz w:val="28"/>
          <w:szCs w:val="28"/>
          <w:shd w:val="clear" w:color="auto" w:fill="FFFFFF"/>
          <w:rtl/>
        </w:rPr>
        <w:t xml:space="preserve">הבסיס </w:t>
      </w:r>
      <w:r w:rsidR="00496A9A" w:rsidRPr="00605F9A">
        <w:rPr>
          <w:rFonts w:ascii="FrankRuehl" w:hAnsi="FrankRuehl" w:cs="FrankRuehl" w:hint="cs"/>
          <w:sz w:val="28"/>
          <w:szCs w:val="28"/>
          <w:shd w:val="clear" w:color="auto" w:fill="FFFFFF"/>
          <w:rtl/>
        </w:rPr>
        <w:t xml:space="preserve">במקרה זה, הוא </w:t>
      </w:r>
      <w:r w:rsidRPr="00605F9A">
        <w:rPr>
          <w:rFonts w:ascii="FrankRuehl" w:hAnsi="FrankRuehl" w:cs="FrankRuehl"/>
          <w:sz w:val="28"/>
          <w:szCs w:val="28"/>
          <w:shd w:val="clear" w:color="auto" w:fill="FFFFFF"/>
          <w:rtl/>
        </w:rPr>
        <w:t>מוסרי, והדרישה היא להתנהלות כנה והגינות</w:t>
      </w:r>
      <w:r w:rsidR="00496A9A" w:rsidRPr="00605F9A">
        <w:rPr>
          <w:rFonts w:ascii="FrankRuehl" w:hAnsi="FrankRuehl" w:cs="FrankRuehl" w:hint="cs"/>
          <w:sz w:val="28"/>
          <w:szCs w:val="28"/>
          <w:shd w:val="clear" w:color="auto" w:fill="FFFFFF"/>
          <w:rtl/>
        </w:rPr>
        <w:t>, ולא ל</w:t>
      </w:r>
      <w:r w:rsidRPr="00605F9A">
        <w:rPr>
          <w:rFonts w:ascii="FrankRuehl" w:hAnsi="FrankRuehl" w:cs="FrankRuehl"/>
          <w:sz w:val="28"/>
          <w:szCs w:val="28"/>
          <w:shd w:val="clear" w:color="auto" w:fill="FFFFFF"/>
          <w:rtl/>
        </w:rPr>
        <w:t>התנהלות שאינה בנויה אך על צרכים טקטיים</w:t>
      </w:r>
      <w:r w:rsidR="00496A9A" w:rsidRPr="00605F9A">
        <w:rPr>
          <w:rFonts w:ascii="FrankRuehl" w:hAnsi="FrankRuehl" w:cs="FrankRuehl" w:hint="cs"/>
          <w:sz w:val="28"/>
          <w:szCs w:val="28"/>
          <w:shd w:val="clear" w:color="auto" w:fill="FFFFFF"/>
          <w:rtl/>
        </w:rPr>
        <w:t xml:space="preserve">, כך שלא </w:t>
      </w:r>
      <w:r w:rsidRPr="00605F9A">
        <w:rPr>
          <w:rFonts w:ascii="FrankRuehl" w:hAnsi="FrankRuehl" w:cs="FrankRuehl"/>
          <w:sz w:val="28"/>
          <w:szCs w:val="28"/>
          <w:shd w:val="clear" w:color="auto" w:fill="FFFFFF"/>
          <w:rtl/>
        </w:rPr>
        <w:t xml:space="preserve">יתאפשר לטוען להעלות טענות כאילו המדובר ב"תכנית כבקשתך". ראו רע"א 4224/04‏ </w:t>
      </w:r>
      <w:r w:rsidRPr="00605F9A">
        <w:rPr>
          <w:rFonts w:ascii="FrankRuehl" w:hAnsi="FrankRuehl" w:cs="FrankRuehl"/>
          <w:b/>
          <w:bCs/>
          <w:sz w:val="28"/>
          <w:szCs w:val="28"/>
          <w:shd w:val="clear" w:color="auto" w:fill="FFFFFF"/>
          <w:rtl/>
        </w:rPr>
        <w:t>בית ששון בע"מ נ' שיכון עובדים והשקעות בע"מ</w:t>
      </w:r>
      <w:r w:rsidRPr="00605F9A">
        <w:rPr>
          <w:rFonts w:ascii="FrankRuehl" w:hAnsi="FrankRuehl" w:cs="FrankRuehl"/>
          <w:sz w:val="28"/>
          <w:szCs w:val="28"/>
          <w:shd w:val="clear" w:color="auto" w:fill="FFFFFF"/>
          <w:rtl/>
        </w:rPr>
        <w:t xml:space="preserve">, פ''ד נט(6) 625, 637 ואילך (השווה </w:t>
      </w:r>
      <w:r w:rsidRPr="00605F9A">
        <w:rPr>
          <w:rFonts w:ascii="FrankRuehl" w:hAnsi="FrankRuehl" w:cs="FrankRuehl"/>
          <w:spacing w:val="10"/>
          <w:sz w:val="28"/>
          <w:szCs w:val="28"/>
          <w:rtl/>
        </w:rPr>
        <w:t>ע"א 513/89 </w:t>
      </w:r>
      <w:r w:rsidRPr="0038179A">
        <w:rPr>
          <w:rFonts w:ascii="FrankRuehl" w:hAnsi="FrankRuehl" w:cs="FrankRuehl"/>
          <w:spacing w:val="10"/>
        </w:rPr>
        <w:t>Interlego A/S</w:t>
      </w:r>
      <w:r w:rsidRPr="0038179A">
        <w:rPr>
          <w:rFonts w:ascii="FrankRuehl" w:hAnsi="FrankRuehl" w:cs="FrankRuehl"/>
          <w:spacing w:val="10"/>
          <w:rtl/>
        </w:rPr>
        <w:t> </w:t>
      </w:r>
      <w:r w:rsidRPr="00605F9A">
        <w:rPr>
          <w:rFonts w:ascii="FrankRuehl" w:hAnsi="FrankRuehl" w:cs="FrankRuehl"/>
          <w:spacing w:val="10"/>
          <w:sz w:val="28"/>
          <w:szCs w:val="28"/>
          <w:rtl/>
        </w:rPr>
        <w:t>נ'</w:t>
      </w:r>
      <w:r w:rsidRPr="0038179A">
        <w:rPr>
          <w:rFonts w:ascii="FrankRuehl" w:hAnsi="FrankRuehl" w:cs="FrankRuehl"/>
          <w:spacing w:val="10"/>
        </w:rPr>
        <w:t>Exin-Lines Bros.S.A</w:t>
      </w:r>
      <w:r w:rsidRPr="0038179A">
        <w:rPr>
          <w:rFonts w:ascii="FrankRuehl" w:hAnsi="FrankRuehl" w:cs="FrankRuehl"/>
          <w:spacing w:val="10"/>
          <w:rtl/>
        </w:rPr>
        <w:t>.</w:t>
      </w:r>
      <w:r w:rsidRPr="00605F9A">
        <w:rPr>
          <w:rFonts w:ascii="FrankRuehl" w:hAnsi="FrankRuehl" w:cs="FrankRuehl"/>
          <w:spacing w:val="10"/>
          <w:sz w:val="28"/>
          <w:szCs w:val="28"/>
          <w:rtl/>
        </w:rPr>
        <w:t>, פ"ד מח(4) 133, 194 שאוזכר לעיל), קל וחומר בהליכים המתנהלים ב</w:t>
      </w:r>
      <w:r w:rsidRPr="00605F9A">
        <w:rPr>
          <w:rFonts w:ascii="FrankRuehl" w:hAnsi="FrankRuehl" w:cs="FrankRuehl"/>
          <w:sz w:val="28"/>
          <w:szCs w:val="28"/>
          <w:shd w:val="clear" w:color="auto" w:fill="FFFFFF"/>
          <w:rtl/>
        </w:rPr>
        <w:t>בית המשפט לענייני משפחה אשר ההגינות והשקיפות בו מתחייבת, ההליך מתנהל בקלפים פתוחים ו</w:t>
      </w:r>
      <w:r w:rsidR="00496A9A" w:rsidRPr="00605F9A">
        <w:rPr>
          <w:rFonts w:ascii="FrankRuehl" w:hAnsi="FrankRuehl" w:cs="FrankRuehl"/>
          <w:sz w:val="28"/>
          <w:szCs w:val="28"/>
          <w:shd w:val="clear" w:color="auto" w:fill="FFFFFF"/>
          <w:rtl/>
        </w:rPr>
        <w:t>קיימת חובה לגילוי מוקדם</w:t>
      </w:r>
      <w:r w:rsidR="0038179A">
        <w:rPr>
          <w:rFonts w:ascii="FrankRuehl" w:hAnsi="FrankRuehl" w:cs="FrankRuehl" w:hint="cs"/>
          <w:sz w:val="28"/>
          <w:szCs w:val="28"/>
          <w:shd w:val="clear" w:color="auto" w:fill="FFFFFF"/>
          <w:rtl/>
        </w:rPr>
        <w:t>.</w:t>
      </w:r>
    </w:p>
    <w:p w:rsidR="00781DA5" w:rsidRPr="00605F9A" w:rsidRDefault="00781DA5" w:rsidP="00781DA5">
      <w:pPr>
        <w:spacing w:line="360" w:lineRule="auto"/>
        <w:jc w:val="both"/>
        <w:rPr>
          <w:rFonts w:ascii="FrankRuehl" w:hAnsi="FrankRuehl" w:cs="FrankRuehl"/>
          <w:sz w:val="28"/>
          <w:szCs w:val="28"/>
          <w:shd w:val="clear" w:color="auto" w:fill="FFFFFF"/>
          <w:rtl/>
        </w:rPr>
      </w:pPr>
    </w:p>
    <w:p w:rsidR="00781DA5" w:rsidRPr="00605F9A" w:rsidRDefault="00EE76B4" w:rsidP="00552081">
      <w:pPr>
        <w:spacing w:line="360" w:lineRule="auto"/>
        <w:ind w:left="720" w:hanging="720"/>
        <w:jc w:val="both"/>
        <w:rPr>
          <w:rFonts w:ascii="FrankRuehl" w:hAnsi="FrankRuehl" w:cs="FrankRuehl"/>
          <w:noProof w:val="0"/>
          <w:sz w:val="28"/>
          <w:szCs w:val="28"/>
          <w:rtl/>
        </w:rPr>
      </w:pPr>
      <w:r w:rsidRPr="00605F9A">
        <w:rPr>
          <w:rFonts w:ascii="FrankRuehl" w:hAnsi="FrankRuehl" w:cs="FrankRuehl" w:hint="cs"/>
          <w:sz w:val="28"/>
          <w:szCs w:val="28"/>
          <w:shd w:val="clear" w:color="auto" w:fill="FFFFFF"/>
          <w:rtl/>
        </w:rPr>
        <w:t>16</w:t>
      </w:r>
      <w:r w:rsidR="00781DA5" w:rsidRPr="00605F9A">
        <w:rPr>
          <w:rFonts w:ascii="FrankRuehl" w:hAnsi="FrankRuehl" w:cs="FrankRuehl"/>
          <w:sz w:val="28"/>
          <w:szCs w:val="28"/>
          <w:shd w:val="clear" w:color="auto" w:fill="FFFFFF"/>
          <w:rtl/>
        </w:rPr>
        <w:t>.</w:t>
      </w:r>
      <w:r w:rsidR="00781DA5" w:rsidRPr="00605F9A">
        <w:rPr>
          <w:rFonts w:ascii="FrankRuehl" w:hAnsi="FrankRuehl" w:cs="FrankRuehl"/>
          <w:sz w:val="28"/>
          <w:szCs w:val="28"/>
          <w:shd w:val="clear" w:color="auto" w:fill="FFFFFF"/>
          <w:rtl/>
        </w:rPr>
        <w:tab/>
        <w:t xml:space="preserve">במקרה כאן, גרסתו העובדתית של התובע בהליך שלפני </w:t>
      </w:r>
      <w:r w:rsidR="00781DA5" w:rsidRPr="00605F9A">
        <w:rPr>
          <w:rFonts w:ascii="FrankRuehl" w:hAnsi="FrankRuehl" w:cs="FrankRuehl"/>
          <w:b/>
          <w:bCs/>
          <w:sz w:val="28"/>
          <w:szCs w:val="28"/>
          <w:shd w:val="clear" w:color="auto" w:fill="FFFFFF"/>
          <w:rtl/>
        </w:rPr>
        <w:t>סותרת חזיתית</w:t>
      </w:r>
      <w:r w:rsidR="00781DA5" w:rsidRPr="00605F9A">
        <w:rPr>
          <w:rFonts w:ascii="FrankRuehl" w:hAnsi="FrankRuehl" w:cs="FrankRuehl"/>
          <w:sz w:val="28"/>
          <w:szCs w:val="28"/>
          <w:shd w:val="clear" w:color="auto" w:fill="FFFFFF"/>
          <w:rtl/>
        </w:rPr>
        <w:t xml:space="preserve"> את גרסתו </w:t>
      </w:r>
      <w:r w:rsidR="00552081" w:rsidRPr="00605F9A">
        <w:rPr>
          <w:rFonts w:ascii="FrankRuehl" w:hAnsi="FrankRuehl" w:cs="FrankRuehl" w:hint="cs"/>
          <w:sz w:val="28"/>
          <w:szCs w:val="28"/>
          <w:shd w:val="clear" w:color="auto" w:fill="FFFFFF"/>
          <w:rtl/>
        </w:rPr>
        <w:t xml:space="preserve">כפי שפורטה </w:t>
      </w:r>
      <w:r w:rsidR="00781DA5" w:rsidRPr="00605F9A">
        <w:rPr>
          <w:rFonts w:ascii="FrankRuehl" w:hAnsi="FrankRuehl" w:cs="FrankRuehl"/>
          <w:sz w:val="28"/>
          <w:szCs w:val="28"/>
          <w:shd w:val="clear" w:color="auto" w:fill="FFFFFF"/>
          <w:rtl/>
        </w:rPr>
        <w:t>בתביעתו בהליך</w:t>
      </w:r>
      <w:r w:rsidR="00552081" w:rsidRPr="00605F9A">
        <w:rPr>
          <w:rFonts w:ascii="FrankRuehl" w:hAnsi="FrankRuehl" w:cs="FrankRuehl" w:hint="cs"/>
          <w:sz w:val="28"/>
          <w:szCs w:val="28"/>
          <w:shd w:val="clear" w:color="auto" w:fill="FFFFFF"/>
          <w:rtl/>
        </w:rPr>
        <w:t xml:space="preserve"> הראשון, ת"א</w:t>
      </w:r>
      <w:r w:rsidR="00781DA5" w:rsidRPr="00605F9A">
        <w:rPr>
          <w:rFonts w:ascii="FrankRuehl" w:hAnsi="FrankRuehl" w:cs="FrankRuehl"/>
          <w:sz w:val="28"/>
          <w:szCs w:val="28"/>
          <w:shd w:val="clear" w:color="auto" w:fill="FFFFFF"/>
          <w:rtl/>
        </w:rPr>
        <w:t xml:space="preserve"> </w:t>
      </w:r>
      <w:r w:rsidR="00781DA5" w:rsidRPr="00605F9A">
        <w:rPr>
          <w:rFonts w:ascii="FrankRuehl" w:hAnsi="FrankRuehl" w:cs="FrankRuehl"/>
          <w:sz w:val="28"/>
          <w:szCs w:val="28"/>
          <w:rtl/>
        </w:rPr>
        <w:t xml:space="preserve">63494-12-17 </w:t>
      </w:r>
      <w:r w:rsidR="00552081" w:rsidRPr="00605F9A">
        <w:rPr>
          <w:rFonts w:ascii="FrankRuehl" w:hAnsi="FrankRuehl" w:cs="FrankRuehl" w:hint="cs"/>
          <w:sz w:val="28"/>
          <w:szCs w:val="28"/>
          <w:rtl/>
        </w:rPr>
        <w:t>במחוזי חיפה</w:t>
      </w:r>
      <w:r w:rsidR="00781DA5" w:rsidRPr="00605F9A">
        <w:rPr>
          <w:rFonts w:ascii="FrankRuehl" w:hAnsi="FrankRuehl" w:cs="FrankRuehl"/>
          <w:sz w:val="28"/>
          <w:szCs w:val="28"/>
          <w:rtl/>
        </w:rPr>
        <w:t>. בתביעה שם בסעיפים 6-10 נטען (הניסוח והטעויות במקור</w:t>
      </w:r>
      <w:r w:rsidR="00496A9A" w:rsidRPr="00605F9A">
        <w:rPr>
          <w:rFonts w:ascii="FrankRuehl" w:hAnsi="FrankRuehl" w:cs="FrankRuehl" w:hint="cs"/>
          <w:sz w:val="28"/>
          <w:szCs w:val="28"/>
          <w:rtl/>
        </w:rPr>
        <w:t>)</w:t>
      </w:r>
      <w:r w:rsidR="00781DA5" w:rsidRPr="00605F9A">
        <w:rPr>
          <w:rFonts w:ascii="FrankRuehl" w:hAnsi="FrankRuehl" w:cs="FrankRuehl"/>
          <w:sz w:val="28"/>
          <w:szCs w:val="28"/>
          <w:rtl/>
        </w:rPr>
        <w:t>:</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781DA5" w:rsidP="009256C8">
      <w:pPr>
        <w:ind w:left="1134" w:right="1134"/>
        <w:jc w:val="both"/>
        <w:rPr>
          <w:rFonts w:ascii="Miriam" w:hAnsi="Miriam" w:cs="Miriam"/>
          <w:rtl/>
        </w:rPr>
      </w:pPr>
      <w:r w:rsidRPr="00605F9A">
        <w:rPr>
          <w:rFonts w:ascii="Miriam" w:hAnsi="Miriam" w:cs="Miriam"/>
          <w:rtl/>
        </w:rPr>
        <w:t xml:space="preserve">"התובע ועל מנת לרכוש את הדירה לווה 40,000 ₪ מאת נכדו </w:t>
      </w:r>
      <w:r w:rsidR="009256C8">
        <w:rPr>
          <w:rFonts w:ascii="Miriam" w:hAnsi="Miriam" w:cs="Miriam" w:hint="cs"/>
          <w:rtl/>
        </w:rPr>
        <w:t>ס'</w:t>
      </w:r>
      <w:r w:rsidRPr="00605F9A">
        <w:rPr>
          <w:rFonts w:ascii="Miriam" w:hAnsi="Miriam" w:cs="Miriam"/>
          <w:rtl/>
        </w:rPr>
        <w:t xml:space="preserve"> שהינו הנתבע ואביו שהינו בנו של התובע. הנתבע ואביו ביום 13.11.2011 לחצו על הנתבע שרוצים את הכסף שלהם בחזרה מאחר והתובע הינו בן אדם מבוגר וסיכמו שיפנו לעו"ד על מנת לחתום על הסכם בגין הכספים בלבד שלווה התובע. התובע והנתבע ואביו הגיעו לעו"ד קאהר אס(ב)ו יונס וזיאד דעים אולם עורכי הדין הסבירו לתובע שהוא ועמד לחתום על תצהיר מתנה לנכדו הנתבע. מצ"ב מסמכי המתנה. הנתבעו אביו לחצו על התובע המבוגר והצליחו לשכנע אותם לחתום על הסכם המתנה והבטיחו לו שכל עוד הוא ואשתו השנייה בחיים אף אדם לא יתקרב לדירה ורק לאחר מות התובע ואשתו </w:t>
      </w:r>
      <w:r w:rsidR="009256C8">
        <w:rPr>
          <w:rFonts w:ascii="Miriam" w:hAnsi="Miriam" w:cs="Miriam" w:hint="cs"/>
          <w:rtl/>
        </w:rPr>
        <w:t>ב.ח.ג. ו-כ'</w:t>
      </w:r>
      <w:r w:rsidRPr="00605F9A">
        <w:rPr>
          <w:rFonts w:ascii="Miriam" w:hAnsi="Miriam" w:cs="Miriam"/>
          <w:rtl/>
        </w:rPr>
        <w:t xml:space="preserve">....הם ייכנסו לדירה וישתמשו בה. התובע </w:t>
      </w:r>
      <w:r w:rsidRPr="00605F9A">
        <w:rPr>
          <w:rFonts w:ascii="Miriam" w:hAnsi="Miriam" w:cs="Miriam"/>
          <w:b/>
          <w:bCs/>
          <w:rtl/>
        </w:rPr>
        <w:t xml:space="preserve">חתם </w:t>
      </w:r>
      <w:r w:rsidRPr="00605F9A">
        <w:rPr>
          <w:rFonts w:ascii="Miriam" w:hAnsi="Miriam" w:cs="Miriam"/>
          <w:rtl/>
        </w:rPr>
        <w:t>תחת לחץ והבטחה בעל פה מהנתבע ואביו על מסמכי המתנה..."</w:t>
      </w:r>
    </w:p>
    <w:p w:rsidR="00781DA5" w:rsidRPr="00605F9A" w:rsidRDefault="00781DA5" w:rsidP="00781DA5">
      <w:pPr>
        <w:ind w:left="720" w:hanging="720"/>
        <w:jc w:val="both"/>
        <w:rPr>
          <w:rFonts w:ascii="Miriam" w:hAnsi="Miriam" w:cs="Miriam"/>
          <w:rtl/>
        </w:rPr>
      </w:pPr>
    </w:p>
    <w:p w:rsidR="00781DA5" w:rsidRPr="00605F9A" w:rsidRDefault="00781DA5" w:rsidP="00781DA5">
      <w:pPr>
        <w:ind w:left="720"/>
        <w:jc w:val="both"/>
        <w:rPr>
          <w:rFonts w:ascii="FrankRuehl" w:hAnsi="FrankRuehl" w:cs="FrankRuehl"/>
          <w:sz w:val="28"/>
          <w:szCs w:val="28"/>
          <w:rtl/>
        </w:rPr>
      </w:pPr>
      <w:r w:rsidRPr="00605F9A">
        <w:rPr>
          <w:rFonts w:ascii="FrankRuehl" w:hAnsi="FrankRuehl" w:cs="FrankRuehl"/>
          <w:sz w:val="28"/>
          <w:szCs w:val="28"/>
          <w:rtl/>
        </w:rPr>
        <w:t>בהמשך, בפרק הסעדים, סעיף 15 לתביעה בהליך</w:t>
      </w:r>
      <w:r w:rsidR="00552081" w:rsidRPr="00605F9A">
        <w:rPr>
          <w:rFonts w:ascii="FrankRuehl" w:hAnsi="FrankRuehl" w:cs="FrankRuehl" w:hint="cs"/>
          <w:sz w:val="28"/>
          <w:szCs w:val="28"/>
          <w:rtl/>
        </w:rPr>
        <w:t xml:space="preserve"> הראשון ת"א</w:t>
      </w:r>
      <w:r w:rsidRPr="00605F9A">
        <w:rPr>
          <w:rFonts w:ascii="FrankRuehl" w:hAnsi="FrankRuehl" w:cs="FrankRuehl"/>
          <w:sz w:val="28"/>
          <w:szCs w:val="28"/>
          <w:rtl/>
        </w:rPr>
        <w:t xml:space="preserve"> 63494-12-17 עתר התובע:</w:t>
      </w:r>
    </w:p>
    <w:p w:rsidR="00781DA5" w:rsidRPr="00605F9A" w:rsidRDefault="00781DA5" w:rsidP="00781DA5">
      <w:pPr>
        <w:ind w:left="720"/>
        <w:jc w:val="both"/>
        <w:rPr>
          <w:rFonts w:ascii="FrankRuehl" w:hAnsi="FrankRuehl" w:cs="FrankRuehl"/>
          <w:sz w:val="28"/>
          <w:szCs w:val="28"/>
          <w:rtl/>
        </w:rPr>
      </w:pPr>
    </w:p>
    <w:p w:rsidR="00781DA5" w:rsidRPr="00605F9A" w:rsidRDefault="00781DA5" w:rsidP="00781DA5">
      <w:pPr>
        <w:ind w:left="720"/>
        <w:jc w:val="both"/>
        <w:rPr>
          <w:rFonts w:ascii="FrankRuehl" w:hAnsi="FrankRuehl" w:cs="FrankRuehl"/>
          <w:sz w:val="28"/>
          <w:szCs w:val="28"/>
          <w:rtl/>
        </w:rPr>
      </w:pPr>
      <w:r w:rsidRPr="00605F9A">
        <w:rPr>
          <w:rFonts w:ascii="Miriam" w:hAnsi="Miriam" w:cs="Miriam"/>
          <w:rtl/>
        </w:rPr>
        <w:t>"אשר על כן, כבוד ביהמ"ש מתבקש בזאת להזמין את הנתבע לדין, ולהורות על ביטול עסקת המתנה מיום 13.11.2011..."</w:t>
      </w:r>
    </w:p>
    <w:p w:rsidR="00781DA5" w:rsidRPr="00605F9A" w:rsidRDefault="00781DA5" w:rsidP="00781DA5">
      <w:pPr>
        <w:jc w:val="both"/>
        <w:rPr>
          <w:rFonts w:ascii="FrankRuehl" w:hAnsi="FrankRuehl" w:cs="FrankRuehl"/>
          <w:sz w:val="28"/>
          <w:szCs w:val="28"/>
          <w:rtl/>
        </w:rPr>
      </w:pPr>
    </w:p>
    <w:p w:rsidR="00781DA5" w:rsidRPr="00605F9A" w:rsidRDefault="00EE76B4" w:rsidP="00781D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17</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 xml:space="preserve">מול גרסה זו של התובע עומדת גרסתו בהליך שלפני, בסעיפים 10 ו- 12 לתצהירו מוצג ת/2. שם הצהיר </w:t>
      </w:r>
      <w:r w:rsidR="0038179A">
        <w:rPr>
          <w:rFonts w:ascii="FrankRuehl" w:hAnsi="FrankRuehl" w:cs="FrankRuehl"/>
          <w:sz w:val="28"/>
          <w:szCs w:val="28"/>
          <w:rtl/>
        </w:rPr>
        <w:t>כי</w:t>
      </w:r>
      <w:r w:rsidR="00781DA5" w:rsidRPr="00605F9A">
        <w:rPr>
          <w:rFonts w:ascii="FrankRuehl" w:hAnsi="FrankRuehl" w:cs="FrankRuehl"/>
          <w:sz w:val="28"/>
          <w:szCs w:val="28"/>
          <w:rtl/>
        </w:rPr>
        <w:t>:</w:t>
      </w:r>
    </w:p>
    <w:p w:rsidR="00781DA5" w:rsidRPr="00605F9A" w:rsidRDefault="00781DA5" w:rsidP="00781DA5">
      <w:pPr>
        <w:jc w:val="both"/>
        <w:rPr>
          <w:rFonts w:ascii="FrankRuehl" w:hAnsi="FrankRuehl" w:cs="FrankRuehl"/>
          <w:sz w:val="28"/>
          <w:szCs w:val="28"/>
          <w:rtl/>
        </w:rPr>
      </w:pPr>
    </w:p>
    <w:p w:rsidR="00781DA5" w:rsidRPr="00605F9A" w:rsidRDefault="00781DA5" w:rsidP="00A02A88">
      <w:pPr>
        <w:ind w:left="1134" w:right="1134"/>
        <w:jc w:val="both"/>
        <w:rPr>
          <w:rFonts w:ascii="Miriam" w:hAnsi="Miriam" w:cs="Miriam"/>
          <w:rtl/>
        </w:rPr>
      </w:pPr>
      <w:r w:rsidRPr="00605F9A">
        <w:rPr>
          <w:rFonts w:ascii="Miriam" w:hAnsi="Miriam" w:cs="Miriam"/>
          <w:rtl/>
        </w:rPr>
        <w:t xml:space="preserve">"מעולם לא לוויתי כספים כלשהם מהנתבע או מאביו </w:t>
      </w:r>
      <w:r w:rsidR="00A02A88">
        <w:rPr>
          <w:rFonts w:ascii="Miriam" w:hAnsi="Miriam" w:cs="Miriam" w:hint="cs"/>
          <w:rtl/>
        </w:rPr>
        <w:t>ע'</w:t>
      </w:r>
      <w:r w:rsidRPr="00605F9A">
        <w:rPr>
          <w:rFonts w:ascii="Miriam" w:hAnsi="Miriam" w:cs="Miriam"/>
          <w:rtl/>
        </w:rPr>
        <w:t xml:space="preserve"> (להלן בני) לרכישת הזכויות של עמידר בדירה. אני רכשתי את דירתנו ממיטב כספנו לרבות כספי פיצויים שקיבלתי...בני לקח אותי אצל עורך דין </w:t>
      </w:r>
      <w:r w:rsidRPr="00605F9A">
        <w:rPr>
          <w:rFonts w:ascii="Miriam" w:hAnsi="Miriam" w:cs="Miriam"/>
          <w:b/>
          <w:bCs/>
          <w:rtl/>
        </w:rPr>
        <w:t>מטעמו</w:t>
      </w:r>
      <w:r w:rsidRPr="00605F9A">
        <w:rPr>
          <w:rFonts w:ascii="Miriam" w:hAnsi="Miriam" w:cs="Miriam"/>
          <w:rtl/>
        </w:rPr>
        <w:t xml:space="preserve"> כדי להחתים אותי על כך ששאלתי ממנו סך של 20,000 ₪ שיהיו לי בכיס "ספייר" אולם התברר לי לתדהמתי ולאחר בדיקת העניין ברישומי עמידר בשנת 2017, כי הוא החתים אותי, במקום על האמור ברישא של סעיף זה, על מסמכי מתנה לטובת נכדי הנתבע מבלי ידיעתי או הסכמתי ובוודאי לא בידיעת אשתי או הסכמתה".</w:t>
      </w:r>
    </w:p>
    <w:p w:rsidR="00781DA5" w:rsidRPr="00605F9A" w:rsidRDefault="00781DA5" w:rsidP="00781DA5">
      <w:pPr>
        <w:ind w:left="720"/>
        <w:jc w:val="both"/>
        <w:rPr>
          <w:rFonts w:ascii="FrankRuehl" w:hAnsi="FrankRuehl" w:cs="FrankRuehl"/>
          <w:sz w:val="28"/>
          <w:szCs w:val="28"/>
          <w:rtl/>
        </w:rPr>
      </w:pPr>
    </w:p>
    <w:p w:rsidR="00496A9A" w:rsidRPr="00605F9A" w:rsidRDefault="00EE76B4" w:rsidP="00781D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18</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הסתירה העובדתית בין הגרסאות ברורה. ולאור טענות התובע בהליך הראשון, הוא מו</w:t>
      </w:r>
      <w:r w:rsidR="0038179A">
        <w:rPr>
          <w:rFonts w:ascii="FrankRuehl" w:hAnsi="FrankRuehl" w:cs="FrankRuehl"/>
          <w:sz w:val="28"/>
          <w:szCs w:val="28"/>
          <w:rtl/>
        </w:rPr>
        <w:t>שתק מלטעון כי לא ידע על מה חתם.</w:t>
      </w:r>
    </w:p>
    <w:p w:rsidR="00496A9A" w:rsidRPr="00605F9A" w:rsidRDefault="00496A9A" w:rsidP="00781DA5">
      <w:pPr>
        <w:spacing w:line="360" w:lineRule="auto"/>
        <w:ind w:left="720" w:hanging="720"/>
        <w:jc w:val="both"/>
        <w:rPr>
          <w:rFonts w:ascii="FrankRuehl" w:hAnsi="FrankRuehl" w:cs="FrankRuehl"/>
          <w:sz w:val="28"/>
          <w:szCs w:val="28"/>
          <w:rtl/>
        </w:rPr>
      </w:pPr>
    </w:p>
    <w:p w:rsidR="00781DA5" w:rsidRDefault="00EE76B4" w:rsidP="00781D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19</w:t>
      </w:r>
      <w:r w:rsidR="00496A9A" w:rsidRPr="00605F9A">
        <w:rPr>
          <w:rFonts w:ascii="FrankRuehl" w:hAnsi="FrankRuehl" w:cs="FrankRuehl" w:hint="cs"/>
          <w:sz w:val="28"/>
          <w:szCs w:val="28"/>
          <w:rtl/>
        </w:rPr>
        <w:t>.</w:t>
      </w:r>
      <w:r w:rsidR="00496A9A" w:rsidRPr="00605F9A">
        <w:rPr>
          <w:rFonts w:ascii="FrankRuehl" w:hAnsi="FrankRuehl" w:cs="FrankRuehl" w:hint="cs"/>
          <w:sz w:val="28"/>
          <w:szCs w:val="28"/>
          <w:rtl/>
        </w:rPr>
        <w:tab/>
        <w:t xml:space="preserve">כאמור, </w:t>
      </w:r>
      <w:r w:rsidR="00781DA5" w:rsidRPr="00605F9A">
        <w:rPr>
          <w:rFonts w:ascii="FrankRuehl" w:hAnsi="FrankRuehl" w:cs="FrankRuehl"/>
          <w:sz w:val="28"/>
          <w:szCs w:val="28"/>
          <w:rtl/>
        </w:rPr>
        <w:t>די בכך להביא לדחיית תביעתו.</w:t>
      </w:r>
    </w:p>
    <w:p w:rsidR="00307068" w:rsidRPr="00605F9A" w:rsidRDefault="00307068" w:rsidP="00781DA5">
      <w:pPr>
        <w:spacing w:line="360" w:lineRule="auto"/>
        <w:ind w:left="720" w:hanging="720"/>
        <w:jc w:val="both"/>
        <w:rPr>
          <w:rFonts w:ascii="FrankRuehl" w:hAnsi="FrankRuehl" w:cs="FrankRuehl"/>
          <w:sz w:val="28"/>
          <w:szCs w:val="28"/>
          <w:rtl/>
        </w:rPr>
      </w:pPr>
    </w:p>
    <w:p w:rsidR="00781DA5" w:rsidRPr="00605F9A" w:rsidRDefault="00EE76B4" w:rsidP="00496A9A">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20</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r>
      <w:r w:rsidR="00496A9A" w:rsidRPr="00605F9A">
        <w:rPr>
          <w:rFonts w:ascii="FrankRuehl" w:hAnsi="FrankRuehl" w:cs="FrankRuehl" w:hint="cs"/>
          <w:sz w:val="28"/>
          <w:szCs w:val="28"/>
          <w:rtl/>
        </w:rPr>
        <w:t xml:space="preserve">אציין כי </w:t>
      </w:r>
      <w:r w:rsidR="00781DA5" w:rsidRPr="00605F9A">
        <w:rPr>
          <w:rFonts w:ascii="FrankRuehl" w:hAnsi="FrankRuehl" w:cs="FrankRuehl"/>
          <w:sz w:val="28"/>
          <w:szCs w:val="28"/>
          <w:rtl/>
        </w:rPr>
        <w:t>לא נעל</w:t>
      </w:r>
      <w:r w:rsidR="00496A9A" w:rsidRPr="00605F9A">
        <w:rPr>
          <w:rFonts w:ascii="FrankRuehl" w:hAnsi="FrankRuehl" w:cs="FrankRuehl" w:hint="cs"/>
          <w:sz w:val="28"/>
          <w:szCs w:val="28"/>
          <w:rtl/>
        </w:rPr>
        <w:t xml:space="preserve">מה </w:t>
      </w:r>
      <w:r w:rsidR="00781DA5" w:rsidRPr="00605F9A">
        <w:rPr>
          <w:rFonts w:ascii="FrankRuehl" w:hAnsi="FrankRuehl" w:cs="FrankRuehl"/>
          <w:sz w:val="28"/>
          <w:szCs w:val="28"/>
          <w:rtl/>
        </w:rPr>
        <w:t xml:space="preserve">מעיני </w:t>
      </w:r>
      <w:r w:rsidR="00496A9A" w:rsidRPr="00605F9A">
        <w:rPr>
          <w:rFonts w:ascii="FrankRuehl" w:hAnsi="FrankRuehl" w:cs="FrankRuehl" w:hint="cs"/>
          <w:sz w:val="28"/>
          <w:szCs w:val="28"/>
          <w:rtl/>
        </w:rPr>
        <w:t xml:space="preserve">טענת התובע כי </w:t>
      </w:r>
      <w:r w:rsidR="00781DA5" w:rsidRPr="00605F9A">
        <w:rPr>
          <w:rFonts w:ascii="FrankRuehl" w:hAnsi="FrankRuehl" w:cs="FrankRuehl"/>
          <w:sz w:val="28"/>
          <w:szCs w:val="28"/>
          <w:rtl/>
        </w:rPr>
        <w:t xml:space="preserve">התביעה בהליך הראשון הוגשה שלא בידיעתו, לא על דעתו והיא חלק מההונאה שנרקמה </w:t>
      </w:r>
      <w:r w:rsidR="00496A9A" w:rsidRPr="00605F9A">
        <w:rPr>
          <w:rFonts w:ascii="FrankRuehl" w:hAnsi="FrankRuehl" w:cs="FrankRuehl" w:hint="cs"/>
          <w:sz w:val="28"/>
          <w:szCs w:val="28"/>
          <w:rtl/>
        </w:rPr>
        <w:t xml:space="preserve">כנגדו </w:t>
      </w:r>
      <w:r w:rsidR="00781DA5" w:rsidRPr="00605F9A">
        <w:rPr>
          <w:rFonts w:ascii="FrankRuehl" w:hAnsi="FrankRuehl" w:cs="FrankRuehl"/>
          <w:sz w:val="28"/>
          <w:szCs w:val="28"/>
          <w:rtl/>
        </w:rPr>
        <w:t>לקבלת הזכויות, אך התובע לא זימן לעדות את עוה"ד שחתם על התביעה</w:t>
      </w:r>
      <w:r w:rsidR="00496A9A" w:rsidRPr="00605F9A">
        <w:rPr>
          <w:rFonts w:ascii="FrankRuehl" w:hAnsi="FrankRuehl" w:cs="FrankRuehl" w:hint="cs"/>
          <w:sz w:val="28"/>
          <w:szCs w:val="28"/>
          <w:rtl/>
        </w:rPr>
        <w:t xml:space="preserve"> בהליך הראשון ת"א 63494-12-17</w:t>
      </w:r>
      <w:r w:rsidR="00781DA5" w:rsidRPr="00605F9A">
        <w:rPr>
          <w:rFonts w:ascii="FrankRuehl" w:hAnsi="FrankRuehl" w:cs="FrankRuehl"/>
          <w:sz w:val="28"/>
          <w:szCs w:val="28"/>
          <w:rtl/>
        </w:rPr>
        <w:t xml:space="preserve"> והגישה, עו"ד </w:t>
      </w:r>
      <w:r w:rsidR="00496A9A" w:rsidRPr="00605F9A">
        <w:rPr>
          <w:rFonts w:ascii="FrankRuehl" w:hAnsi="FrankRuehl" w:cs="FrankRuehl" w:hint="cs"/>
          <w:sz w:val="28"/>
          <w:szCs w:val="28"/>
          <w:rtl/>
        </w:rPr>
        <w:t xml:space="preserve">ויסאם אל </w:t>
      </w:r>
      <w:r w:rsidR="00781DA5" w:rsidRPr="00605F9A">
        <w:rPr>
          <w:rFonts w:ascii="FrankRuehl" w:hAnsi="FrankRuehl" w:cs="FrankRuehl"/>
          <w:sz w:val="28"/>
          <w:szCs w:val="28"/>
          <w:rtl/>
        </w:rPr>
        <w:t xml:space="preserve">טואפשי, כפי שלא זימן את עו"ד קאהר אבו יונס או עו"ד זיאד דיעם שאישרו את חתימתו על תצהיר העברה ללא תמורה מיום 13.11.2011, על מסמכי העברת הזכויות בחברת </w:t>
      </w:r>
      <w:r w:rsidR="0038179A">
        <w:rPr>
          <w:rFonts w:ascii="FrankRuehl" w:hAnsi="FrankRuehl" w:cs="FrankRuehl" w:hint="cs"/>
          <w:sz w:val="28"/>
          <w:szCs w:val="28"/>
          <w:rtl/>
        </w:rPr>
        <w:t>"</w:t>
      </w:r>
      <w:r w:rsidR="00781DA5" w:rsidRPr="00605F9A">
        <w:rPr>
          <w:rFonts w:ascii="FrankRuehl" w:hAnsi="FrankRuehl" w:cs="FrankRuehl"/>
          <w:sz w:val="28"/>
          <w:szCs w:val="28"/>
          <w:rtl/>
        </w:rPr>
        <w:t>עמידר החברה הלאומית לשיכון בישראל בע"מ</w:t>
      </w:r>
      <w:r w:rsidR="0038179A">
        <w:rPr>
          <w:rFonts w:ascii="FrankRuehl" w:hAnsi="FrankRuehl" w:cs="FrankRuehl" w:hint="cs"/>
          <w:sz w:val="28"/>
          <w:szCs w:val="28"/>
          <w:rtl/>
        </w:rPr>
        <w:t>"</w:t>
      </w:r>
      <w:r w:rsidR="00781DA5" w:rsidRPr="00605F9A">
        <w:rPr>
          <w:rFonts w:ascii="FrankRuehl" w:hAnsi="FrankRuehl" w:cs="FrankRuehl"/>
          <w:sz w:val="28"/>
          <w:szCs w:val="28"/>
          <w:rtl/>
        </w:rPr>
        <w:t xml:space="preserve"> מאותו מועד או על ייפוי כוח שניתן להם – ראו </w:t>
      </w:r>
      <w:r w:rsidR="00781DA5" w:rsidRPr="00605F9A">
        <w:rPr>
          <w:rFonts w:ascii="FrankRuehl" w:hAnsi="FrankRuehl" w:cs="FrankRuehl"/>
          <w:b/>
          <w:bCs/>
          <w:sz w:val="28"/>
          <w:szCs w:val="28"/>
          <w:rtl/>
        </w:rPr>
        <w:t>נספחים ח/1-ח/6 למוצג ת/2</w:t>
      </w:r>
      <w:r w:rsidR="00781DA5" w:rsidRPr="00605F9A">
        <w:rPr>
          <w:rFonts w:ascii="FrankRuehl" w:hAnsi="FrankRuehl" w:cs="FrankRuehl"/>
          <w:sz w:val="28"/>
          <w:szCs w:val="28"/>
          <w:rtl/>
        </w:rPr>
        <w:t xml:space="preserve"> תצהיר עדות התובע.</w:t>
      </w:r>
    </w:p>
    <w:p w:rsidR="00781DA5" w:rsidRPr="00605F9A" w:rsidRDefault="00781DA5" w:rsidP="00781DA5">
      <w:pPr>
        <w:spacing w:line="360" w:lineRule="auto"/>
        <w:ind w:left="720" w:hanging="720"/>
        <w:jc w:val="both"/>
        <w:rPr>
          <w:rFonts w:ascii="FrankRuehl" w:hAnsi="FrankRuehl" w:cs="FrankRuehl"/>
          <w:sz w:val="28"/>
          <w:szCs w:val="28"/>
          <w:rtl/>
        </w:rPr>
      </w:pPr>
    </w:p>
    <w:p w:rsidR="00496A9A" w:rsidRPr="00605F9A" w:rsidRDefault="00781DA5" w:rsidP="00690AB5">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t>יתר על כן, לאחר שהתובע לא זימן א</w:t>
      </w:r>
      <w:r w:rsidR="00690AB5">
        <w:rPr>
          <w:rFonts w:ascii="FrankRuehl" w:hAnsi="FrankRuehl" w:cs="FrankRuehl"/>
          <w:sz w:val="28"/>
          <w:szCs w:val="28"/>
          <w:rtl/>
        </w:rPr>
        <w:t>ת עורכי הדין הנ"ל לעדות , הנתבע</w:t>
      </w:r>
      <w:r w:rsidRPr="00605F9A">
        <w:rPr>
          <w:rFonts w:ascii="FrankRuehl" w:hAnsi="FrankRuehl" w:cs="FrankRuehl"/>
          <w:sz w:val="28"/>
          <w:szCs w:val="28"/>
          <w:rtl/>
        </w:rPr>
        <w:t xml:space="preserve"> עתרו לזימונם – אך לעדות הגיע עו"ד דעים בלבד </w:t>
      </w:r>
      <w:r w:rsidRPr="00605F9A">
        <w:rPr>
          <w:rFonts w:ascii="FrankRuehl" w:hAnsi="FrankRuehl" w:cs="FrankRuehl"/>
          <w:b/>
          <w:bCs/>
          <w:sz w:val="28"/>
          <w:szCs w:val="28"/>
          <w:u w:val="single"/>
          <w:rtl/>
        </w:rPr>
        <w:t>והצדדים</w:t>
      </w:r>
      <w:r w:rsidRPr="00605F9A">
        <w:rPr>
          <w:rFonts w:ascii="FrankRuehl" w:hAnsi="FrankRuehl" w:cs="FrankRuehl"/>
          <w:sz w:val="28"/>
          <w:szCs w:val="28"/>
          <w:rtl/>
        </w:rPr>
        <w:t xml:space="preserve"> ויתרו על עדות העדים הנוספים. </w:t>
      </w:r>
    </w:p>
    <w:p w:rsidR="00496A9A" w:rsidRPr="00605F9A" w:rsidRDefault="00496A9A" w:rsidP="00496A9A">
      <w:pPr>
        <w:spacing w:line="360" w:lineRule="auto"/>
        <w:ind w:left="720" w:hanging="720"/>
        <w:jc w:val="both"/>
        <w:rPr>
          <w:rFonts w:ascii="FrankRuehl" w:hAnsi="FrankRuehl" w:cs="FrankRuehl"/>
          <w:sz w:val="28"/>
          <w:szCs w:val="28"/>
          <w:rtl/>
        </w:rPr>
      </w:pPr>
    </w:p>
    <w:p w:rsidR="00956D7E" w:rsidRDefault="00496A9A" w:rsidP="0038179A">
      <w:pPr>
        <w:spacing w:line="360" w:lineRule="auto"/>
        <w:ind w:left="720" w:hanging="720"/>
        <w:jc w:val="both"/>
        <w:rPr>
          <w:rFonts w:ascii="Arial" w:hAnsi="Arial" w:cs="FrankRuehl"/>
          <w:noProof w:val="0"/>
          <w:sz w:val="28"/>
          <w:szCs w:val="28"/>
          <w:rtl/>
        </w:rPr>
      </w:pPr>
      <w:r w:rsidRPr="00605F9A">
        <w:rPr>
          <w:rFonts w:ascii="FrankRuehl" w:hAnsi="FrankRuehl" w:cs="FrankRuehl"/>
          <w:sz w:val="28"/>
          <w:szCs w:val="28"/>
          <w:rtl/>
        </w:rPr>
        <w:tab/>
      </w:r>
      <w:r w:rsidRPr="00605F9A">
        <w:rPr>
          <w:rFonts w:ascii="FrankRuehl" w:hAnsi="FrankRuehl" w:cs="FrankRuehl" w:hint="cs"/>
          <w:sz w:val="28"/>
          <w:szCs w:val="28"/>
          <w:rtl/>
        </w:rPr>
        <w:t xml:space="preserve">עוד ובאותו הקשר, </w:t>
      </w:r>
      <w:r w:rsidR="00552081" w:rsidRPr="00605F9A">
        <w:rPr>
          <w:rFonts w:ascii="FrankRuehl" w:hAnsi="FrankRuehl" w:cs="FrankRuehl" w:hint="cs"/>
          <w:sz w:val="28"/>
          <w:szCs w:val="28"/>
          <w:rtl/>
        </w:rPr>
        <w:t>התובע ביקש</w:t>
      </w:r>
      <w:r w:rsidR="00503D36">
        <w:rPr>
          <w:rFonts w:ascii="FrankRuehl" w:hAnsi="FrankRuehl" w:cs="FrankRuehl" w:hint="cs"/>
          <w:sz w:val="28"/>
          <w:szCs w:val="28"/>
          <w:rtl/>
        </w:rPr>
        <w:t xml:space="preserve"> </w:t>
      </w:r>
      <w:r w:rsidR="00503D36" w:rsidRPr="00503D36">
        <w:rPr>
          <w:rFonts w:ascii="FrankRuehl" w:hAnsi="FrankRuehl" w:cs="FrankRuehl" w:hint="cs"/>
          <w:sz w:val="28"/>
          <w:szCs w:val="28"/>
          <w:rtl/>
        </w:rPr>
        <w:t xml:space="preserve">לטעון כי התביעה בהליך הראשון לא הוגשה בידיעתו ולבקשתו. לשם כך הפנה התובע למכתב ב"כ עו"ד ויסאם טואפשי מרחוב </w:t>
      </w:r>
      <w:r w:rsidR="0038179A">
        <w:rPr>
          <w:rFonts w:ascii="FrankRuehl" w:hAnsi="FrankRuehl" w:cs="FrankRuehl" w:hint="cs"/>
          <w:sz w:val="28"/>
          <w:szCs w:val="28"/>
          <w:rtl/>
        </w:rPr>
        <w:t>י' בעיר ח'</w:t>
      </w:r>
      <w:r w:rsidR="00503D36" w:rsidRPr="00503D36">
        <w:rPr>
          <w:rFonts w:ascii="FrankRuehl" w:hAnsi="FrankRuehl" w:cs="FrankRuehl" w:hint="cs"/>
          <w:sz w:val="28"/>
          <w:szCs w:val="28"/>
          <w:rtl/>
        </w:rPr>
        <w:t xml:space="preserve"> ולמענה שקיבל מב"כ של עו"ד ויסאם טואפשי הנ"ל, </w:t>
      </w:r>
      <w:r w:rsidR="009173C7" w:rsidRPr="00503D36">
        <w:rPr>
          <w:rFonts w:ascii="FrankRuehl" w:hAnsi="FrankRuehl" w:cs="FrankRuehl" w:hint="cs"/>
          <w:sz w:val="28"/>
          <w:szCs w:val="28"/>
          <w:rtl/>
        </w:rPr>
        <w:t>עו"ד אלפרד סאדר (</w:t>
      </w:r>
      <w:r w:rsidR="009173C7" w:rsidRPr="00503D36">
        <w:rPr>
          <w:rFonts w:ascii="FrankRuehl" w:hAnsi="FrankRuehl" w:cs="FrankRuehl" w:hint="cs"/>
          <w:b/>
          <w:bCs/>
          <w:sz w:val="28"/>
          <w:szCs w:val="28"/>
          <w:rtl/>
        </w:rPr>
        <w:t>נספחים ו/1-ו/2 של מוצג ת/2</w:t>
      </w:r>
      <w:r w:rsidR="009173C7" w:rsidRPr="00503D36">
        <w:rPr>
          <w:rFonts w:ascii="FrankRuehl" w:hAnsi="FrankRuehl" w:cs="FrankRuehl" w:hint="cs"/>
          <w:sz w:val="28"/>
          <w:szCs w:val="28"/>
          <w:rtl/>
        </w:rPr>
        <w:t>)</w:t>
      </w:r>
      <w:r w:rsidR="00D96807" w:rsidRPr="00503D36">
        <w:rPr>
          <w:rFonts w:ascii="FrankRuehl" w:hAnsi="FrankRuehl" w:cs="FrankRuehl" w:hint="cs"/>
          <w:sz w:val="28"/>
          <w:szCs w:val="28"/>
          <w:rtl/>
        </w:rPr>
        <w:t xml:space="preserve"> </w:t>
      </w:r>
      <w:r w:rsidR="00503D36" w:rsidRPr="00503D36">
        <w:rPr>
          <w:rFonts w:ascii="FrankRuehl" w:hAnsi="FrankRuehl" w:cs="FrankRuehl" w:hint="cs"/>
          <w:sz w:val="28"/>
          <w:szCs w:val="28"/>
          <w:rtl/>
        </w:rPr>
        <w:t xml:space="preserve">אשר השיב כי מרשו, עו"ד ויסאם אל טואפשי </w:t>
      </w:r>
      <w:r w:rsidR="0038179A">
        <w:rPr>
          <w:rFonts w:ascii="FrankRuehl" w:hAnsi="FrankRuehl" w:cs="FrankRuehl" w:hint="cs"/>
          <w:sz w:val="28"/>
          <w:szCs w:val="28"/>
          <w:rtl/>
        </w:rPr>
        <w:t>מרח' י' בעיר ח'</w:t>
      </w:r>
      <w:r w:rsidR="00503D36" w:rsidRPr="00503D36">
        <w:rPr>
          <w:rFonts w:ascii="FrankRuehl" w:hAnsi="FrankRuehl" w:cs="FrankRuehl" w:hint="cs"/>
          <w:sz w:val="28"/>
          <w:szCs w:val="28"/>
          <w:rtl/>
        </w:rPr>
        <w:t xml:space="preserve">, לא ייצג בהליך הראשון ואינו מכיר את התובע. דע עקא, </w:t>
      </w:r>
      <w:r w:rsidRPr="00503D36">
        <w:rPr>
          <w:rFonts w:ascii="FrankRuehl" w:hAnsi="FrankRuehl" w:cs="FrankRuehl" w:hint="cs"/>
          <w:sz w:val="28"/>
          <w:szCs w:val="28"/>
          <w:rtl/>
        </w:rPr>
        <w:t xml:space="preserve">שעל כתב התביעה שהוגש בהליך הראשון </w:t>
      </w:r>
      <w:r w:rsidR="00552081" w:rsidRPr="00503D36">
        <w:rPr>
          <w:rFonts w:ascii="FrankRuehl" w:hAnsi="FrankRuehl" w:cs="FrankRuehl" w:hint="cs"/>
          <w:sz w:val="28"/>
          <w:szCs w:val="28"/>
          <w:rtl/>
        </w:rPr>
        <w:t xml:space="preserve">חתום עו"ד ויסאם אל טואפשי מרחוב </w:t>
      </w:r>
      <w:r w:rsidR="0038179A">
        <w:rPr>
          <w:rFonts w:ascii="FrankRuehl" w:hAnsi="FrankRuehl" w:cs="FrankRuehl" w:hint="cs"/>
          <w:sz w:val="28"/>
          <w:szCs w:val="28"/>
          <w:rtl/>
        </w:rPr>
        <w:t>ח'</w:t>
      </w:r>
      <w:r w:rsidR="00552081" w:rsidRPr="00503D36">
        <w:rPr>
          <w:rFonts w:ascii="FrankRuehl" w:hAnsi="FrankRuehl" w:cs="FrankRuehl" w:hint="cs"/>
          <w:sz w:val="28"/>
          <w:szCs w:val="28"/>
          <w:rtl/>
        </w:rPr>
        <w:t xml:space="preserve"> </w:t>
      </w:r>
      <w:r w:rsidR="0038179A">
        <w:rPr>
          <w:rFonts w:ascii="FrankRuehl" w:hAnsi="FrankRuehl" w:cs="FrankRuehl" w:hint="cs"/>
          <w:sz w:val="28"/>
          <w:szCs w:val="28"/>
          <w:rtl/>
        </w:rPr>
        <w:t>בעיר ח'</w:t>
      </w:r>
      <w:r w:rsidR="00552081" w:rsidRPr="00503D36">
        <w:rPr>
          <w:rFonts w:ascii="FrankRuehl" w:hAnsi="FrankRuehl" w:cs="FrankRuehl" w:hint="cs"/>
          <w:sz w:val="28"/>
          <w:szCs w:val="28"/>
          <w:rtl/>
        </w:rPr>
        <w:t xml:space="preserve">, </w:t>
      </w:r>
      <w:r w:rsidR="00503D36" w:rsidRPr="00503D36">
        <w:rPr>
          <w:rFonts w:ascii="FrankRuehl" w:hAnsi="FrankRuehl" w:cs="FrankRuehl" w:hint="cs"/>
          <w:sz w:val="28"/>
          <w:szCs w:val="28"/>
          <w:rtl/>
        </w:rPr>
        <w:t xml:space="preserve">ולא </w:t>
      </w:r>
      <w:r w:rsidR="00552081" w:rsidRPr="00503D36">
        <w:rPr>
          <w:rFonts w:ascii="FrankRuehl" w:hAnsi="FrankRuehl" w:cs="FrankRuehl" w:hint="cs"/>
          <w:sz w:val="28"/>
          <w:szCs w:val="28"/>
          <w:rtl/>
        </w:rPr>
        <w:t xml:space="preserve">עו"ד ויסאם טואפשי מרחוב </w:t>
      </w:r>
      <w:r w:rsidR="0038179A">
        <w:rPr>
          <w:rFonts w:ascii="FrankRuehl" w:hAnsi="FrankRuehl" w:cs="FrankRuehl" w:hint="cs"/>
          <w:sz w:val="28"/>
          <w:szCs w:val="28"/>
          <w:rtl/>
        </w:rPr>
        <w:t>י' בעיר ח'</w:t>
      </w:r>
      <w:r w:rsidR="00503D36" w:rsidRPr="00503D36">
        <w:rPr>
          <w:rFonts w:ascii="FrankRuehl" w:hAnsi="FrankRuehl" w:cs="FrankRuehl" w:hint="cs"/>
          <w:sz w:val="28"/>
          <w:szCs w:val="28"/>
          <w:rtl/>
        </w:rPr>
        <w:t xml:space="preserve">. </w:t>
      </w:r>
      <w:r w:rsidR="00552081" w:rsidRPr="00503D36">
        <w:rPr>
          <w:rFonts w:ascii="FrankRuehl" w:hAnsi="FrankRuehl" w:cs="FrankRuehl" w:hint="cs"/>
          <w:sz w:val="28"/>
          <w:szCs w:val="28"/>
          <w:rtl/>
        </w:rPr>
        <w:t>התובע לא הסביר ולא הבהיר האם אכן מדו</w:t>
      </w:r>
      <w:r w:rsidR="009173C7" w:rsidRPr="00503D36">
        <w:rPr>
          <w:rFonts w:ascii="FrankRuehl" w:hAnsi="FrankRuehl" w:cs="FrankRuehl" w:hint="cs"/>
          <w:sz w:val="28"/>
          <w:szCs w:val="28"/>
          <w:rtl/>
        </w:rPr>
        <w:t>ב</w:t>
      </w:r>
      <w:r w:rsidR="0038179A">
        <w:rPr>
          <w:rFonts w:ascii="FrankRuehl" w:hAnsi="FrankRuehl" w:cs="FrankRuehl" w:hint="cs"/>
          <w:sz w:val="28"/>
          <w:szCs w:val="28"/>
          <w:rtl/>
        </w:rPr>
        <w:t>ר באותו אדם</w:t>
      </w:r>
      <w:r w:rsidR="00552081" w:rsidRPr="00503D36">
        <w:rPr>
          <w:rFonts w:ascii="FrankRuehl" w:hAnsi="FrankRuehl" w:cs="FrankRuehl" w:hint="cs"/>
          <w:sz w:val="28"/>
          <w:szCs w:val="28"/>
          <w:rtl/>
        </w:rPr>
        <w:t xml:space="preserve"> כך שלא הוכח כי </w:t>
      </w:r>
      <w:r w:rsidR="00552081" w:rsidRPr="00503D36">
        <w:rPr>
          <w:rFonts w:ascii="FrankRuehl" w:hAnsi="FrankRuehl" w:cs="FrankRuehl" w:hint="cs"/>
          <w:b/>
          <w:bCs/>
          <w:sz w:val="28"/>
          <w:szCs w:val="28"/>
          <w:rtl/>
        </w:rPr>
        <w:t xml:space="preserve">נספח </w:t>
      </w:r>
      <w:r w:rsidR="00503D36">
        <w:rPr>
          <w:rFonts w:ascii="FrankRuehl" w:hAnsi="FrankRuehl" w:cs="FrankRuehl" w:hint="cs"/>
          <w:b/>
          <w:bCs/>
          <w:sz w:val="28"/>
          <w:szCs w:val="28"/>
          <w:rtl/>
        </w:rPr>
        <w:t>ו/1-</w:t>
      </w:r>
      <w:r w:rsidR="00552081" w:rsidRPr="00503D36">
        <w:rPr>
          <w:rFonts w:ascii="FrankRuehl" w:hAnsi="FrankRuehl" w:cs="FrankRuehl" w:hint="cs"/>
          <w:b/>
          <w:bCs/>
          <w:sz w:val="28"/>
          <w:szCs w:val="28"/>
          <w:rtl/>
        </w:rPr>
        <w:t>ו/2</w:t>
      </w:r>
      <w:r w:rsidR="00552081" w:rsidRPr="00503D36">
        <w:rPr>
          <w:rFonts w:ascii="FrankRuehl" w:hAnsi="FrankRuehl" w:cs="FrankRuehl" w:hint="cs"/>
          <w:sz w:val="28"/>
          <w:szCs w:val="28"/>
          <w:rtl/>
        </w:rPr>
        <w:t xml:space="preserve"> </w:t>
      </w:r>
      <w:r w:rsidR="009173C7" w:rsidRPr="00503D36">
        <w:rPr>
          <w:rFonts w:ascii="FrankRuehl" w:hAnsi="FrankRuehl" w:cs="FrankRuehl" w:hint="cs"/>
          <w:sz w:val="28"/>
          <w:szCs w:val="28"/>
          <w:rtl/>
        </w:rPr>
        <w:t>רלוונטי</w:t>
      </w:r>
      <w:r w:rsidR="00503D36" w:rsidRPr="00503D36">
        <w:rPr>
          <w:rFonts w:ascii="FrankRuehl" w:hAnsi="FrankRuehl" w:cs="FrankRuehl" w:hint="cs"/>
          <w:sz w:val="28"/>
          <w:szCs w:val="28"/>
          <w:rtl/>
        </w:rPr>
        <w:t xml:space="preserve"> ו</w:t>
      </w:r>
      <w:r w:rsidR="009173C7" w:rsidRPr="00503D36">
        <w:rPr>
          <w:rFonts w:ascii="FrankRuehl" w:hAnsi="FrankRuehl" w:cs="FrankRuehl" w:hint="cs"/>
          <w:sz w:val="28"/>
          <w:szCs w:val="28"/>
          <w:rtl/>
        </w:rPr>
        <w:t>כאמור</w:t>
      </w:r>
      <w:r w:rsidR="00503D36" w:rsidRPr="00503D36">
        <w:rPr>
          <w:rFonts w:ascii="FrankRuehl" w:hAnsi="FrankRuehl" w:cs="FrankRuehl" w:hint="cs"/>
          <w:sz w:val="28"/>
          <w:szCs w:val="28"/>
          <w:rtl/>
        </w:rPr>
        <w:t>,</w:t>
      </w:r>
      <w:r w:rsidR="009173C7" w:rsidRPr="00503D36">
        <w:rPr>
          <w:rFonts w:ascii="FrankRuehl" w:hAnsi="FrankRuehl" w:cs="FrankRuehl" w:hint="cs"/>
          <w:sz w:val="28"/>
          <w:szCs w:val="28"/>
          <w:rtl/>
        </w:rPr>
        <w:t xml:space="preserve"> התובעים לא זימנו את עוה"ד הרלוונטי לעדות. </w:t>
      </w:r>
      <w:r w:rsidR="00D94520" w:rsidRPr="00503D36">
        <w:rPr>
          <w:rFonts w:ascii="FrankRuehl" w:hAnsi="FrankRuehl" w:cs="FrankRuehl" w:hint="cs"/>
          <w:sz w:val="28"/>
          <w:szCs w:val="28"/>
          <w:rtl/>
        </w:rPr>
        <w:t xml:space="preserve">מה גם </w:t>
      </w:r>
      <w:r w:rsidR="00D96807" w:rsidRPr="00503D36">
        <w:rPr>
          <w:rFonts w:ascii="FrankRuehl" w:hAnsi="FrankRuehl" w:cs="FrankRuehl" w:hint="cs"/>
          <w:sz w:val="28"/>
          <w:szCs w:val="28"/>
          <w:rtl/>
        </w:rPr>
        <w:t xml:space="preserve">שבכתבי </w:t>
      </w:r>
      <w:r w:rsidR="00D94520" w:rsidRPr="00503D36">
        <w:rPr>
          <w:rFonts w:ascii="FrankRuehl" w:hAnsi="FrankRuehl" w:cs="FrankRuehl" w:hint="cs"/>
          <w:sz w:val="28"/>
          <w:szCs w:val="28"/>
          <w:rtl/>
        </w:rPr>
        <w:t xml:space="preserve"> הטענות, בתצהיר ובסיכומים נכתב כי הפנייה הייתה לעו"ד טואפשה.</w:t>
      </w:r>
    </w:p>
    <w:p w:rsidR="0038179A" w:rsidRPr="00503D36" w:rsidRDefault="0038179A" w:rsidP="00503D36">
      <w:pPr>
        <w:spacing w:line="360" w:lineRule="auto"/>
        <w:ind w:left="720" w:hanging="720"/>
        <w:jc w:val="both"/>
        <w:rPr>
          <w:rFonts w:ascii="Arial" w:hAnsi="Arial" w:cs="FrankRuehl"/>
          <w:noProof w:val="0"/>
          <w:sz w:val="28"/>
          <w:szCs w:val="28"/>
          <w:rtl/>
        </w:rPr>
      </w:pPr>
    </w:p>
    <w:p w:rsidR="00956D7E" w:rsidRPr="00605F9A" w:rsidRDefault="00956D7E" w:rsidP="0038179A">
      <w:pPr>
        <w:spacing w:line="360" w:lineRule="auto"/>
        <w:ind w:left="720"/>
        <w:jc w:val="both"/>
        <w:rPr>
          <w:rFonts w:ascii="FrankRuehl" w:hAnsi="FrankRuehl" w:cs="FrankRuehl"/>
          <w:noProof w:val="0"/>
          <w:sz w:val="28"/>
          <w:szCs w:val="28"/>
        </w:rPr>
      </w:pPr>
      <w:r w:rsidRPr="00605F9A">
        <w:rPr>
          <w:rFonts w:ascii="Arial" w:hAnsi="Arial" w:cs="FrankRuehl"/>
          <w:noProof w:val="0"/>
          <w:sz w:val="28"/>
          <w:szCs w:val="28"/>
          <w:rtl/>
        </w:rPr>
        <w:t>הלכה פסוקה היא כי הימנעות בעל דין מלהציג ראיה, להביא עד או בוודאי להתייצב לעדותו כאשר המדובר בראיה או עדות אשר הייתה תומכת בטענותיו ותורמת לגילוי האמת - יש להניח כי המדובר בראיה הפועלת לרעתו ותשמש כנגדו, על אחת כמה וכמה כאשר המדובר בראיות או בעדות שהן בשליטת בעל דין. ראו</w:t>
      </w:r>
      <w:r w:rsidRPr="00605F9A">
        <w:rPr>
          <w:rFonts w:ascii="Arial" w:hAnsi="Arial" w:cs="FrankRuehl" w:hint="cs"/>
          <w:noProof w:val="0"/>
          <w:sz w:val="28"/>
          <w:szCs w:val="28"/>
          <w:rtl/>
        </w:rPr>
        <w:t xml:space="preserve"> </w:t>
      </w:r>
      <w:r w:rsidRPr="00605F9A">
        <w:rPr>
          <w:rFonts w:ascii="Arial" w:hAnsi="Arial" w:cs="FrankRuehl"/>
          <w:noProof w:val="0"/>
          <w:sz w:val="28"/>
          <w:szCs w:val="28"/>
          <w:rtl/>
        </w:rPr>
        <w:t xml:space="preserve">בין היתר, ע"א 465/88 </w:t>
      </w:r>
      <w:r w:rsidRPr="00605F9A">
        <w:rPr>
          <w:rFonts w:ascii="Arial" w:hAnsi="Arial" w:cs="FrankRuehl"/>
          <w:b/>
          <w:bCs/>
          <w:noProof w:val="0"/>
          <w:sz w:val="28"/>
          <w:szCs w:val="28"/>
          <w:rtl/>
        </w:rPr>
        <w:t>הבנק למימון מסחר בע"מ נ' סלימה מתיתיהו ואח'</w:t>
      </w:r>
      <w:r w:rsidRPr="00605F9A">
        <w:rPr>
          <w:rFonts w:ascii="Arial" w:hAnsi="Arial" w:cs="FrankRuehl"/>
          <w:noProof w:val="0"/>
          <w:sz w:val="28"/>
          <w:szCs w:val="28"/>
          <w:rtl/>
        </w:rPr>
        <w:t xml:space="preserve">, פד"י מ"ה (4) 651, 658-659 וגם ע"א 795/99 </w:t>
      </w:r>
      <w:r w:rsidRPr="00605F9A">
        <w:rPr>
          <w:rFonts w:ascii="Arial" w:hAnsi="Arial" w:cs="FrankRuehl"/>
          <w:b/>
          <w:bCs/>
          <w:noProof w:val="0"/>
          <w:sz w:val="28"/>
          <w:szCs w:val="28"/>
          <w:rtl/>
        </w:rPr>
        <w:t>פרנסואה נ' פוזיל</w:t>
      </w:r>
      <w:r w:rsidRPr="00605F9A">
        <w:rPr>
          <w:rFonts w:ascii="Arial" w:hAnsi="Arial" w:cs="FrankRuehl" w:hint="cs"/>
          <w:noProof w:val="0"/>
          <w:sz w:val="28"/>
          <w:szCs w:val="28"/>
          <w:rtl/>
        </w:rPr>
        <w:t>,</w:t>
      </w:r>
      <w:r w:rsidRPr="00605F9A">
        <w:rPr>
          <w:rFonts w:ascii="Arial" w:hAnsi="Arial" w:cs="FrankRuehl"/>
          <w:noProof w:val="0"/>
          <w:sz w:val="28"/>
          <w:szCs w:val="28"/>
          <w:rtl/>
        </w:rPr>
        <w:t xml:space="preserve"> פד"י נ"ד (3) 107, 117-118. </w:t>
      </w:r>
      <w:r w:rsidRPr="00605F9A">
        <w:rPr>
          <w:rFonts w:ascii="Arial" w:hAnsi="Arial" w:cs="FrankRuehl" w:hint="cs"/>
          <w:noProof w:val="0"/>
          <w:sz w:val="28"/>
          <w:szCs w:val="28"/>
          <w:rtl/>
        </w:rPr>
        <w:t xml:space="preserve">וגם </w:t>
      </w:r>
      <w:r w:rsidR="009D06CB" w:rsidRPr="00605F9A">
        <w:rPr>
          <w:rFonts w:ascii="Arial" w:hAnsi="Arial" w:cs="FrankRuehl" w:hint="cs"/>
          <w:noProof w:val="0"/>
          <w:sz w:val="28"/>
          <w:szCs w:val="28"/>
          <w:rtl/>
        </w:rPr>
        <w:t>עמוד 8 ל</w:t>
      </w:r>
      <w:r w:rsidRPr="00605F9A">
        <w:rPr>
          <w:rFonts w:ascii="Arial" w:hAnsi="Arial" w:cs="FrankRuehl" w:hint="cs"/>
          <w:noProof w:val="0"/>
          <w:sz w:val="28"/>
          <w:szCs w:val="28"/>
          <w:rtl/>
        </w:rPr>
        <w:t>פסק דיני ב</w:t>
      </w:r>
      <w:r w:rsidRPr="00605F9A">
        <w:rPr>
          <w:rFonts w:ascii="FrankRuehl" w:hAnsi="FrankRuehl" w:cs="FrankRuehl"/>
          <w:noProof w:val="0"/>
          <w:sz w:val="28"/>
          <w:szCs w:val="28"/>
          <w:rtl/>
        </w:rPr>
        <w:t xml:space="preserve">תמ"ש 43173-07-17 </w:t>
      </w:r>
      <w:r w:rsidRPr="00605F9A">
        <w:rPr>
          <w:rFonts w:ascii="FrankRuehl" w:hAnsi="FrankRuehl" w:cs="FrankRuehl"/>
          <w:b/>
          <w:bCs/>
          <w:noProof w:val="0"/>
          <w:sz w:val="28"/>
          <w:szCs w:val="28"/>
          <w:rtl/>
        </w:rPr>
        <w:t>א' נ' א' ואח'</w:t>
      </w:r>
      <w:r w:rsidRPr="00605F9A">
        <w:rPr>
          <w:rFonts w:ascii="FrankRuehl" w:hAnsi="FrankRuehl" w:cs="FrankRuehl" w:hint="cs"/>
          <w:noProof w:val="0"/>
          <w:sz w:val="28"/>
          <w:szCs w:val="28"/>
          <w:rtl/>
        </w:rPr>
        <w:t xml:space="preserve">, מיום </w:t>
      </w:r>
      <w:r w:rsidR="0038179A">
        <w:rPr>
          <w:rFonts w:ascii="FrankRuehl" w:hAnsi="FrankRuehl" w:cs="FrankRuehl" w:hint="cs"/>
          <w:noProof w:val="0"/>
          <w:sz w:val="28"/>
          <w:szCs w:val="28"/>
          <w:rtl/>
        </w:rPr>
        <w:t>05</w:t>
      </w:r>
      <w:r w:rsidR="009D06CB" w:rsidRPr="00605F9A">
        <w:rPr>
          <w:rFonts w:ascii="FrankRuehl" w:hAnsi="FrankRuehl" w:cs="FrankRuehl" w:hint="cs"/>
          <w:noProof w:val="0"/>
          <w:sz w:val="28"/>
          <w:szCs w:val="28"/>
          <w:rtl/>
        </w:rPr>
        <w:t>.</w:t>
      </w:r>
      <w:r w:rsidR="0038179A">
        <w:rPr>
          <w:rFonts w:ascii="FrankRuehl" w:hAnsi="FrankRuehl" w:cs="FrankRuehl" w:hint="cs"/>
          <w:noProof w:val="0"/>
          <w:sz w:val="28"/>
          <w:szCs w:val="28"/>
          <w:rtl/>
        </w:rPr>
        <w:t>09</w:t>
      </w:r>
      <w:r w:rsidR="009D06CB" w:rsidRPr="00605F9A">
        <w:rPr>
          <w:rFonts w:ascii="FrankRuehl" w:hAnsi="FrankRuehl" w:cs="FrankRuehl" w:hint="cs"/>
          <w:noProof w:val="0"/>
          <w:sz w:val="28"/>
          <w:szCs w:val="28"/>
          <w:rtl/>
        </w:rPr>
        <w:t>.</w:t>
      </w:r>
      <w:r w:rsidR="0038179A">
        <w:rPr>
          <w:rFonts w:ascii="FrankRuehl" w:hAnsi="FrankRuehl" w:cs="FrankRuehl" w:hint="cs"/>
          <w:noProof w:val="0"/>
          <w:sz w:val="28"/>
          <w:szCs w:val="28"/>
          <w:rtl/>
        </w:rPr>
        <w:t>2019</w:t>
      </w:r>
      <w:r w:rsidR="009D06CB" w:rsidRPr="00605F9A">
        <w:rPr>
          <w:rFonts w:ascii="FrankRuehl" w:hAnsi="FrankRuehl" w:cs="FrankRuehl" w:hint="cs"/>
          <w:noProof w:val="0"/>
          <w:sz w:val="28"/>
          <w:szCs w:val="28"/>
          <w:rtl/>
        </w:rPr>
        <w:t>.</w:t>
      </w:r>
    </w:p>
    <w:p w:rsidR="00496A9A" w:rsidRPr="00605F9A" w:rsidRDefault="00496A9A" w:rsidP="00496A9A">
      <w:pPr>
        <w:spacing w:line="360" w:lineRule="auto"/>
        <w:ind w:left="720" w:hanging="720"/>
        <w:jc w:val="both"/>
        <w:rPr>
          <w:rFonts w:ascii="FrankRuehl" w:hAnsi="FrankRuehl" w:cs="FrankRuehl"/>
          <w:sz w:val="28"/>
          <w:szCs w:val="28"/>
          <w:rtl/>
        </w:rPr>
      </w:pPr>
    </w:p>
    <w:p w:rsidR="00781DA5" w:rsidRPr="00605F9A" w:rsidRDefault="00EE76B4" w:rsidP="00781DA5">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21</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t>לאור האמור התובע מושתק מלטעון כי לא ידע על מה חתם או כי הוטעה לחתום על מסמכי המתנה. משזו טענתו היחידה, יש לדחות תביעתו.</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605F9A" w:rsidRDefault="00EE76B4" w:rsidP="00D96807">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22</w:t>
      </w:r>
      <w:r w:rsidR="009D06CB" w:rsidRPr="00605F9A">
        <w:rPr>
          <w:rFonts w:ascii="FrankRuehl" w:hAnsi="FrankRuehl" w:cs="FrankRuehl"/>
          <w:sz w:val="28"/>
          <w:szCs w:val="28"/>
          <w:rtl/>
        </w:rPr>
        <w:t xml:space="preserve">. </w:t>
      </w:r>
      <w:r w:rsidR="009D06CB" w:rsidRPr="00605F9A">
        <w:rPr>
          <w:rFonts w:ascii="FrankRuehl" w:hAnsi="FrankRuehl" w:cs="FrankRuehl"/>
          <w:sz w:val="28"/>
          <w:szCs w:val="28"/>
          <w:rtl/>
        </w:rPr>
        <w:tab/>
        <w:t>מבלי לגרוע מהאמור,</w:t>
      </w:r>
      <w:r w:rsidR="009D06CB" w:rsidRPr="00605F9A">
        <w:rPr>
          <w:rFonts w:ascii="FrankRuehl" w:hAnsi="FrankRuehl" w:cs="FrankRuehl" w:hint="cs"/>
          <w:sz w:val="28"/>
          <w:szCs w:val="28"/>
          <w:rtl/>
        </w:rPr>
        <w:t xml:space="preserve"> ולשם שלמות התמונה אפרט כי גם לגופן של טענות יש לדחות טענות התובע מאחר וכאמור לא עמד בנטל </w:t>
      </w:r>
      <w:r w:rsidR="00781DA5" w:rsidRPr="00503D36">
        <w:rPr>
          <w:rFonts w:ascii="FrankRuehl" w:hAnsi="FrankRuehl" w:cs="FrankRuehl"/>
          <w:sz w:val="28"/>
          <w:szCs w:val="28"/>
          <w:rtl/>
        </w:rPr>
        <w:t xml:space="preserve">להוכיח כי </w:t>
      </w:r>
      <w:r w:rsidR="009D06CB" w:rsidRPr="00503D36">
        <w:rPr>
          <w:rFonts w:ascii="FrankRuehl" w:hAnsi="FrankRuehl" w:cs="FrankRuehl" w:hint="cs"/>
          <w:sz w:val="28"/>
          <w:szCs w:val="28"/>
          <w:rtl/>
        </w:rPr>
        <w:t xml:space="preserve">חתימתו על מסמכי המתנה הושגה בשל טעות, הטעייה, עושק או כפייה. למעשה מהעדויות והראיות עלה כי קיימת </w:t>
      </w:r>
      <w:r w:rsidR="00781DA5" w:rsidRPr="00503D36">
        <w:rPr>
          <w:rFonts w:ascii="FrankRuehl" w:hAnsi="FrankRuehl" w:cs="FrankRuehl"/>
          <w:sz w:val="28"/>
          <w:szCs w:val="28"/>
          <w:rtl/>
        </w:rPr>
        <w:t>סבירות גבוהה</w:t>
      </w:r>
      <w:r w:rsidR="009D06CB" w:rsidRPr="00503D36">
        <w:rPr>
          <w:rFonts w:ascii="FrankRuehl" w:hAnsi="FrankRuehl" w:cs="FrankRuehl" w:hint="cs"/>
          <w:sz w:val="28"/>
          <w:szCs w:val="28"/>
          <w:rtl/>
        </w:rPr>
        <w:t xml:space="preserve"> יותר כי</w:t>
      </w:r>
      <w:r w:rsidR="00781DA5" w:rsidRPr="00503D36">
        <w:rPr>
          <w:rFonts w:ascii="FrankRuehl" w:hAnsi="FrankRuehl" w:cs="FrankRuehl"/>
          <w:sz w:val="28"/>
          <w:szCs w:val="28"/>
          <w:rtl/>
        </w:rPr>
        <w:t xml:space="preserve"> ניתנה ברצון ומרצון</w:t>
      </w:r>
      <w:r w:rsidR="009D06CB" w:rsidRPr="00503D36">
        <w:rPr>
          <w:rFonts w:ascii="FrankRuehl" w:hAnsi="FrankRuehl" w:cs="FrankRuehl" w:hint="cs"/>
          <w:sz w:val="28"/>
          <w:szCs w:val="28"/>
          <w:rtl/>
        </w:rPr>
        <w:t xml:space="preserve"> והרקע לתביעה הוא </w:t>
      </w:r>
      <w:r w:rsidR="00D96807" w:rsidRPr="00503D36">
        <w:rPr>
          <w:rFonts w:ascii="FrankRuehl" w:hAnsi="FrankRuehl" w:cs="FrankRuehl" w:hint="cs"/>
          <w:sz w:val="28"/>
          <w:szCs w:val="28"/>
          <w:rtl/>
        </w:rPr>
        <w:t xml:space="preserve">הסכסוך </w:t>
      </w:r>
      <w:r w:rsidR="009D06CB" w:rsidRPr="00605F9A">
        <w:rPr>
          <w:rFonts w:ascii="FrankRuehl" w:hAnsi="FrankRuehl" w:cs="FrankRuehl" w:hint="cs"/>
          <w:sz w:val="28"/>
          <w:szCs w:val="28"/>
          <w:rtl/>
        </w:rPr>
        <w:t>בין תובעת 2 למשפחת הת</w:t>
      </w:r>
      <w:r w:rsidR="00BB1286" w:rsidRPr="00605F9A">
        <w:rPr>
          <w:rFonts w:ascii="FrankRuehl" w:hAnsi="FrankRuehl" w:cs="FrankRuehl" w:hint="cs"/>
          <w:sz w:val="28"/>
          <w:szCs w:val="28"/>
          <w:rtl/>
        </w:rPr>
        <w:t>ובע</w:t>
      </w:r>
      <w:r w:rsidR="00781DA5" w:rsidRPr="00605F9A">
        <w:rPr>
          <w:rFonts w:ascii="FrankRuehl" w:hAnsi="FrankRuehl" w:cs="FrankRuehl"/>
          <w:sz w:val="28"/>
          <w:szCs w:val="28"/>
          <w:rtl/>
        </w:rPr>
        <w:t>. ואפרט,</w:t>
      </w:r>
    </w:p>
    <w:p w:rsidR="00781DA5" w:rsidRPr="00605F9A" w:rsidRDefault="00781DA5" w:rsidP="00781DA5">
      <w:pPr>
        <w:spacing w:line="360" w:lineRule="auto"/>
        <w:ind w:left="720" w:hanging="720"/>
        <w:jc w:val="both"/>
        <w:rPr>
          <w:rFonts w:ascii="FrankRuehl" w:hAnsi="FrankRuehl" w:cs="FrankRuehl"/>
          <w:sz w:val="28"/>
          <w:szCs w:val="28"/>
          <w:rtl/>
        </w:rPr>
      </w:pPr>
    </w:p>
    <w:p w:rsidR="00DD6AEF" w:rsidRPr="00605F9A" w:rsidRDefault="00EE76B4" w:rsidP="00903102">
      <w:pPr>
        <w:spacing w:line="360" w:lineRule="auto"/>
        <w:ind w:left="720" w:hanging="720"/>
        <w:jc w:val="both"/>
        <w:rPr>
          <w:rFonts w:ascii="Calibri" w:hAnsi="Calibri" w:cs="FrankRuehl"/>
          <w:sz w:val="28"/>
          <w:szCs w:val="28"/>
          <w:rtl/>
        </w:rPr>
      </w:pPr>
      <w:r w:rsidRPr="00605F9A">
        <w:rPr>
          <w:rFonts w:ascii="FrankRuehl" w:hAnsi="FrankRuehl" w:cs="FrankRuehl" w:hint="cs"/>
          <w:sz w:val="28"/>
          <w:szCs w:val="28"/>
          <w:rtl/>
        </w:rPr>
        <w:t>23</w:t>
      </w:r>
      <w:r w:rsidR="00781DA5" w:rsidRPr="00605F9A">
        <w:rPr>
          <w:rFonts w:ascii="FrankRuehl" w:hAnsi="FrankRuehl" w:cs="FrankRuehl"/>
          <w:sz w:val="28"/>
          <w:szCs w:val="28"/>
          <w:rtl/>
        </w:rPr>
        <w:t>.</w:t>
      </w:r>
      <w:r w:rsidR="00781DA5" w:rsidRPr="00605F9A">
        <w:rPr>
          <w:rFonts w:ascii="FrankRuehl" w:hAnsi="FrankRuehl" w:cs="FrankRuehl"/>
          <w:sz w:val="28"/>
          <w:szCs w:val="28"/>
          <w:rtl/>
        </w:rPr>
        <w:tab/>
      </w:r>
      <w:r w:rsidR="00DD6AEF" w:rsidRPr="00605F9A">
        <w:rPr>
          <w:rFonts w:ascii="Calibri" w:hAnsi="Calibri" w:cs="FrankRuehl"/>
          <w:sz w:val="28"/>
          <w:szCs w:val="28"/>
          <w:rtl/>
        </w:rPr>
        <w:t>על פי סעיף 2 לחוק הכשרות המשפטית והאפוטרופסות, התשכ"ב-1962</w:t>
      </w:r>
      <w:r w:rsidR="00DD6AEF" w:rsidRPr="00605F9A">
        <w:rPr>
          <w:rFonts w:ascii="Calibri" w:hAnsi="Calibri" w:cs="Miriam"/>
          <w:sz w:val="26"/>
          <w:szCs w:val="26"/>
          <w:rtl/>
        </w:rPr>
        <w:t>"</w:t>
      </w:r>
      <w:r w:rsidR="00DD6AEF" w:rsidRPr="00605F9A">
        <w:rPr>
          <w:rFonts w:ascii="Calibri" w:hAnsi="Calibri" w:cs="Miriam"/>
          <w:rtl/>
        </w:rPr>
        <w:t>כל אדם כשר לפעולות משפטיות, זולת אם נשללה או הוגבלה כשרות זו בחוק או בפסק דין של בית משפט"</w:t>
      </w:r>
      <w:r w:rsidR="00DD6AEF" w:rsidRPr="00605F9A">
        <w:rPr>
          <w:rFonts w:ascii="Calibri" w:hAnsi="Calibri" w:cs="FrankRuehl"/>
          <w:sz w:val="26"/>
          <w:szCs w:val="26"/>
          <w:rtl/>
        </w:rPr>
        <w:t xml:space="preserve">. </w:t>
      </w:r>
      <w:r w:rsidR="00DD6AEF" w:rsidRPr="00605F9A">
        <w:rPr>
          <w:rFonts w:ascii="Calibri" w:hAnsi="Calibri" w:cs="FrankRuehl"/>
          <w:sz w:val="28"/>
          <w:szCs w:val="28"/>
          <w:rtl/>
        </w:rPr>
        <w:t xml:space="preserve">משמעות הדבר כי </w:t>
      </w:r>
      <w:r w:rsidR="00DD6AEF" w:rsidRPr="00605F9A">
        <w:rPr>
          <w:rFonts w:ascii="Calibri" w:hAnsi="Calibri" w:cs="FrankRuehl" w:hint="cs"/>
          <w:sz w:val="28"/>
          <w:szCs w:val="28"/>
          <w:rtl/>
        </w:rPr>
        <w:t xml:space="preserve">אין מחלוקת שבעת החתימה על מסמכי המתנה התובע היה כשיר לחתום עליהם. </w:t>
      </w:r>
      <w:r w:rsidR="00DD6AEF" w:rsidRPr="00605F9A">
        <w:rPr>
          <w:rFonts w:ascii="Calibri" w:hAnsi="Calibri" w:cs="FrankRuehl"/>
          <w:sz w:val="28"/>
          <w:szCs w:val="28"/>
          <w:rtl/>
        </w:rPr>
        <w:t xml:space="preserve">ראו רע"א 3323/98 </w:t>
      </w:r>
      <w:r w:rsidR="00DD6AEF" w:rsidRPr="00605F9A">
        <w:rPr>
          <w:rFonts w:ascii="Calibri" w:hAnsi="Calibri" w:cs="FrankRuehl"/>
          <w:b/>
          <w:bCs/>
          <w:sz w:val="28"/>
          <w:szCs w:val="28"/>
          <w:rtl/>
        </w:rPr>
        <w:t>זקן נ' קצין התגמולים</w:t>
      </w:r>
      <w:r w:rsidR="00DD6AEF" w:rsidRPr="00605F9A">
        <w:rPr>
          <w:rFonts w:ascii="Calibri" w:hAnsi="Calibri" w:cs="FrankRuehl"/>
          <w:sz w:val="28"/>
          <w:szCs w:val="28"/>
          <w:rtl/>
        </w:rPr>
        <w:t>, פ"ד נז (5) 577, 586 – פסה"ד אמנם עוסק בפסול דין אך הדברים שנאמרו שם, טובים גם לענייננו.</w:t>
      </w:r>
    </w:p>
    <w:p w:rsidR="00DD6AEF" w:rsidRPr="00605F9A" w:rsidRDefault="00DD6AEF" w:rsidP="00DD6AEF">
      <w:pPr>
        <w:spacing w:line="360" w:lineRule="auto"/>
        <w:ind w:left="720" w:hanging="720"/>
        <w:jc w:val="both"/>
        <w:rPr>
          <w:rFonts w:ascii="Calibri" w:hAnsi="Calibri" w:cs="FrankRuehl"/>
          <w:sz w:val="28"/>
          <w:szCs w:val="28"/>
          <w:rtl/>
        </w:rPr>
      </w:pPr>
    </w:p>
    <w:p w:rsidR="00DD6AEF" w:rsidRPr="00605F9A" w:rsidRDefault="00DD6AEF" w:rsidP="00EE76B4">
      <w:pPr>
        <w:spacing w:line="360" w:lineRule="auto"/>
        <w:ind w:left="720" w:hanging="720"/>
        <w:jc w:val="both"/>
        <w:rPr>
          <w:rFonts w:ascii="Calibri" w:hAnsi="Calibri" w:cs="FrankRuehl"/>
          <w:sz w:val="28"/>
          <w:szCs w:val="28"/>
          <w:rtl/>
        </w:rPr>
      </w:pPr>
      <w:r w:rsidRPr="00605F9A">
        <w:rPr>
          <w:rFonts w:ascii="Calibri" w:hAnsi="Calibri" w:cs="FrankRuehl"/>
          <w:sz w:val="28"/>
          <w:szCs w:val="28"/>
          <w:rtl/>
        </w:rPr>
        <w:t>24.</w:t>
      </w:r>
      <w:r w:rsidRPr="00605F9A">
        <w:rPr>
          <w:rFonts w:ascii="Calibri" w:hAnsi="Calibri" w:cs="FrankRuehl"/>
          <w:sz w:val="28"/>
          <w:szCs w:val="28"/>
          <w:rtl/>
        </w:rPr>
        <w:tab/>
      </w:r>
      <w:r w:rsidR="003B4779" w:rsidRPr="00605F9A">
        <w:rPr>
          <w:rFonts w:ascii="Calibri" w:hAnsi="Calibri" w:cs="FrankRuehl"/>
          <w:sz w:val="28"/>
          <w:szCs w:val="28"/>
          <w:rtl/>
        </w:rPr>
        <w:t xml:space="preserve">מתנה היא חוזה אשר לו שני צדדים, הוא אינו פעולה חד צדדית כגון צוואה או הרשאה והוא משתכלל ככול חוזה - בהצעה מצד אחד וקיבול של צד שני. </w:t>
      </w:r>
      <w:r w:rsidR="003B4779" w:rsidRPr="00605F9A">
        <w:rPr>
          <w:rFonts w:ascii="Calibri" w:hAnsi="Calibri" w:cs="FrankRuehl" w:hint="cs"/>
          <w:sz w:val="28"/>
          <w:szCs w:val="28"/>
          <w:rtl/>
        </w:rPr>
        <w:t xml:space="preserve">הדבר עולה מהוראת סעיף 2 </w:t>
      </w:r>
      <w:r w:rsidRPr="00605F9A">
        <w:rPr>
          <w:rFonts w:ascii="Calibri" w:hAnsi="Calibri" w:cs="FrankRuehl"/>
          <w:sz w:val="28"/>
          <w:szCs w:val="28"/>
          <w:rtl/>
        </w:rPr>
        <w:t xml:space="preserve">לחוק המתנה </w:t>
      </w:r>
      <w:r w:rsidR="003B4779" w:rsidRPr="00605F9A">
        <w:rPr>
          <w:rFonts w:ascii="Calibri" w:hAnsi="Calibri" w:cs="FrankRuehl" w:hint="cs"/>
          <w:sz w:val="28"/>
          <w:szCs w:val="28"/>
          <w:rtl/>
        </w:rPr>
        <w:t xml:space="preserve">התשכ"ח-1968, </w:t>
      </w:r>
      <w:r w:rsidRPr="00605F9A">
        <w:rPr>
          <w:rFonts w:ascii="Calibri" w:hAnsi="Calibri" w:cs="FrankRuehl"/>
          <w:sz w:val="28"/>
          <w:szCs w:val="28"/>
          <w:rtl/>
        </w:rPr>
        <w:t xml:space="preserve">כי </w:t>
      </w:r>
      <w:r w:rsidRPr="00605F9A">
        <w:rPr>
          <w:rFonts w:ascii="Calibri" w:hAnsi="Calibri" w:cs="Miriam"/>
          <w:rtl/>
        </w:rPr>
        <w:t>"מתנה נגמרת בהקניית דבר-המתנה על-ידי הנותן למקבל תוך הסכמה ביניהם שהדבר ניתן במתנה"</w:t>
      </w:r>
      <w:r w:rsidRPr="00605F9A">
        <w:rPr>
          <w:rFonts w:ascii="Calibri" w:hAnsi="Calibri" w:cs="FrankRuehl"/>
          <w:sz w:val="26"/>
          <w:szCs w:val="26"/>
          <w:rtl/>
        </w:rPr>
        <w:t xml:space="preserve">. </w:t>
      </w:r>
      <w:r w:rsidR="003B4779" w:rsidRPr="00605F9A">
        <w:rPr>
          <w:rFonts w:ascii="Calibri" w:hAnsi="Calibri" w:cs="FrankRuehl"/>
          <w:sz w:val="28"/>
          <w:szCs w:val="28"/>
          <w:rtl/>
        </w:rPr>
        <w:t xml:space="preserve">ראו ע"א 495/80 </w:t>
      </w:r>
      <w:r w:rsidR="003B4779" w:rsidRPr="00605F9A">
        <w:rPr>
          <w:rFonts w:ascii="Calibri" w:hAnsi="Calibri" w:cs="FrankRuehl"/>
          <w:b/>
          <w:bCs/>
          <w:sz w:val="28"/>
          <w:szCs w:val="28"/>
          <w:rtl/>
        </w:rPr>
        <w:t>ברקוביץ נ' קלימר</w:t>
      </w:r>
      <w:r w:rsidR="003B4779" w:rsidRPr="00605F9A">
        <w:rPr>
          <w:rFonts w:ascii="Calibri" w:hAnsi="Calibri" w:cs="FrankRuehl"/>
          <w:sz w:val="28"/>
          <w:szCs w:val="28"/>
          <w:rtl/>
        </w:rPr>
        <w:t>, פ"ד</w:t>
      </w:r>
      <w:r w:rsidR="00EE76B4" w:rsidRPr="00605F9A">
        <w:rPr>
          <w:rFonts w:ascii="Calibri" w:hAnsi="Calibri" w:cs="FrankRuehl"/>
          <w:sz w:val="28"/>
          <w:szCs w:val="28"/>
          <w:rtl/>
        </w:rPr>
        <w:t xml:space="preserve"> 68(4) 57, 61</w:t>
      </w:r>
      <w:r w:rsidR="00EE76B4" w:rsidRPr="00605F9A">
        <w:rPr>
          <w:rFonts w:ascii="Calibri" w:hAnsi="Calibri" w:cs="FrankRuehl" w:hint="cs"/>
          <w:sz w:val="28"/>
          <w:szCs w:val="28"/>
          <w:rtl/>
        </w:rPr>
        <w:t xml:space="preserve"> וגם, </w:t>
      </w:r>
      <w:r w:rsidRPr="00605F9A">
        <w:rPr>
          <w:rFonts w:ascii="Calibri" w:hAnsi="Calibri" w:cs="FrankRuehl"/>
          <w:sz w:val="28"/>
          <w:szCs w:val="28"/>
          <w:rtl/>
        </w:rPr>
        <w:t xml:space="preserve">פרופ' מ.א. ראבילו במאמרו, </w:t>
      </w:r>
      <w:r w:rsidRPr="00605F9A">
        <w:rPr>
          <w:rFonts w:ascii="Calibri" w:hAnsi="Calibri" w:cs="FrankRuehl"/>
          <w:b/>
          <w:bCs/>
          <w:sz w:val="28"/>
          <w:szCs w:val="28"/>
          <w:rtl/>
        </w:rPr>
        <w:t>חוק המתנה תשכ"ח – 1968פירוש ל</w:t>
      </w:r>
      <w:hyperlink r:id="rId7" w:history="1">
        <w:r w:rsidRPr="00605F9A">
          <w:rPr>
            <w:rStyle w:val="Hyperlink"/>
            <w:rFonts w:ascii="Calibri" w:hAnsi="Calibri" w:cs="FrankRuehl"/>
            <w:b/>
            <w:bCs/>
            <w:color w:val="auto"/>
            <w:sz w:val="28"/>
            <w:szCs w:val="28"/>
            <w:u w:val="none"/>
            <w:rtl/>
          </w:rPr>
          <w:t>חוק החוזים</w:t>
        </w:r>
      </w:hyperlink>
      <w:r w:rsidRPr="00605F9A">
        <w:rPr>
          <w:rFonts w:ascii="Calibri" w:hAnsi="Calibri" w:cs="FrankRuehl"/>
          <w:b/>
          <w:bCs/>
          <w:sz w:val="28"/>
          <w:szCs w:val="28"/>
          <w:rtl/>
        </w:rPr>
        <w:t>,</w:t>
      </w:r>
      <w:r w:rsidRPr="00605F9A">
        <w:rPr>
          <w:rFonts w:ascii="Calibri" w:hAnsi="Calibri" w:cs="FrankRuehl"/>
          <w:sz w:val="28"/>
          <w:szCs w:val="28"/>
          <w:rtl/>
        </w:rPr>
        <w:t xml:space="preserve"> המכון למחקרי חקיקה ולמשפט השווא' , ג' טדסקי, תשל"ט בעמוד 18: </w:t>
      </w:r>
    </w:p>
    <w:p w:rsidR="003B4779" w:rsidRPr="00605F9A" w:rsidRDefault="00DD6AEF" w:rsidP="00307068">
      <w:pPr>
        <w:ind w:left="1134" w:right="1134"/>
        <w:jc w:val="both"/>
        <w:rPr>
          <w:rFonts w:ascii="Calibri" w:hAnsi="Calibri" w:cs="FrankRuehl"/>
          <w:sz w:val="28"/>
          <w:szCs w:val="28"/>
          <w:rtl/>
        </w:rPr>
      </w:pPr>
      <w:r w:rsidRPr="00605F9A">
        <w:rPr>
          <w:rFonts w:ascii="Calibri" w:hAnsi="Calibri" w:cs="Miriam"/>
          <w:rtl/>
        </w:rPr>
        <w:t>"סעיף 2 דורש כי הצדדים יסכימו כי דבר-המתנה ניתן במתנה; מדרישה זו למדים אנו כי החוק רואה במתנה חוזה. ברור, אם</w:t>
      </w:r>
      <w:r w:rsidRPr="00605F9A">
        <w:rPr>
          <w:rFonts w:ascii="Calibri" w:hAnsi="Calibri" w:cs="Miriam"/>
        </w:rPr>
        <w:t xml:space="preserve"> </w:t>
      </w:r>
      <w:r w:rsidRPr="00605F9A">
        <w:rPr>
          <w:rFonts w:ascii="Calibri" w:hAnsi="Calibri" w:cs="Miriam"/>
          <w:rtl/>
        </w:rPr>
        <w:t>כן, כי המתנה היא עסקה דו-צדדית הדורשת מפגש הרצונות, הצהרת רצון של המציע וזו של הניצע".</w:t>
      </w:r>
      <w:r w:rsidRPr="00605F9A">
        <w:rPr>
          <w:rFonts w:ascii="Calibri" w:hAnsi="Calibri" w:cs="FrankRuehl"/>
          <w:rtl/>
        </w:rPr>
        <w:t xml:space="preserve"> </w:t>
      </w:r>
    </w:p>
    <w:p w:rsidR="00DD6AEF" w:rsidRPr="00605F9A" w:rsidRDefault="00DD6AEF" w:rsidP="00DD6AEF">
      <w:pPr>
        <w:spacing w:line="360" w:lineRule="auto"/>
        <w:ind w:left="720"/>
        <w:jc w:val="both"/>
        <w:rPr>
          <w:rFonts w:ascii="Calibri" w:hAnsi="Calibri" w:cs="FrankRuehl"/>
          <w:sz w:val="28"/>
          <w:szCs w:val="28"/>
          <w:rtl/>
        </w:rPr>
      </w:pPr>
    </w:p>
    <w:p w:rsidR="00DD6AEF" w:rsidRPr="00605F9A" w:rsidRDefault="00DD6AEF" w:rsidP="00EE76B4">
      <w:pPr>
        <w:spacing w:line="360" w:lineRule="auto"/>
        <w:ind w:left="720" w:hanging="720"/>
        <w:jc w:val="both"/>
        <w:rPr>
          <w:rFonts w:ascii="Calibri" w:hAnsi="Calibri" w:cs="FrankRuehl"/>
          <w:sz w:val="28"/>
          <w:szCs w:val="28"/>
          <w:rtl/>
        </w:rPr>
      </w:pPr>
      <w:r w:rsidRPr="00605F9A">
        <w:rPr>
          <w:rFonts w:ascii="Calibri" w:hAnsi="Calibri" w:cs="FrankRuehl"/>
          <w:sz w:val="28"/>
          <w:szCs w:val="28"/>
          <w:rtl/>
        </w:rPr>
        <w:t xml:space="preserve">25. </w:t>
      </w:r>
      <w:r w:rsidRPr="00605F9A">
        <w:rPr>
          <w:rFonts w:ascii="Calibri" w:hAnsi="Calibri" w:cs="FrankRuehl"/>
          <w:sz w:val="28"/>
          <w:szCs w:val="28"/>
          <w:rtl/>
        </w:rPr>
        <w:tab/>
        <w:t>כפועל יוצא, על הסכם מתנה חלות שתי מערכות דינים – הן הדינים המיוחדים הקבועים בחוק המתנה, תשכ"ח- 1968 (להלן:</w:t>
      </w:r>
      <w:r w:rsidRPr="00605F9A">
        <w:rPr>
          <w:rFonts w:ascii="Calibri" w:hAnsi="Calibri" w:cs="FrankRuehl"/>
          <w:sz w:val="28"/>
          <w:szCs w:val="28"/>
        </w:rPr>
        <w:t xml:space="preserve"> </w:t>
      </w:r>
      <w:r w:rsidRPr="00605F9A">
        <w:rPr>
          <w:rFonts w:ascii="Calibri" w:hAnsi="Calibri" w:cs="FrankRuehl"/>
          <w:sz w:val="28"/>
          <w:szCs w:val="28"/>
          <w:rtl/>
        </w:rPr>
        <w:t>"חוק המתנה") והן דיני החוזים הכללים. דיני החוזים הכללים חלים בכל נושא שלא הוסדר בחוק המתנה</w:t>
      </w:r>
      <w:r w:rsidR="00EE76B4" w:rsidRPr="00605F9A">
        <w:rPr>
          <w:rFonts w:ascii="Calibri" w:hAnsi="Calibri" w:cs="FrankRuehl" w:hint="cs"/>
          <w:sz w:val="28"/>
          <w:szCs w:val="28"/>
          <w:rtl/>
        </w:rPr>
        <w:t>, התשכ"ח-1968</w:t>
      </w:r>
      <w:r w:rsidRPr="00605F9A">
        <w:rPr>
          <w:rFonts w:ascii="Calibri" w:hAnsi="Calibri" w:cs="FrankRuehl"/>
          <w:sz w:val="28"/>
          <w:szCs w:val="28"/>
          <w:rtl/>
        </w:rPr>
        <w:t xml:space="preserve">, כגון </w:t>
      </w:r>
      <w:r w:rsidRPr="00605F9A">
        <w:rPr>
          <w:rFonts w:ascii="Calibri" w:hAnsi="Calibri" w:cs="Miriam"/>
          <w:rtl/>
        </w:rPr>
        <w:t>"אופן קשירת חוזה, בטלותו והזכות לבטלו. העובדה, שנותן המתנה אינו יכול לחזור בו ממנה איננה עומדת בסתירה לאפשרות ביטול הסכם המתנה בגלל הפגמים בחוזה".</w:t>
      </w:r>
      <w:r w:rsidRPr="00605F9A">
        <w:rPr>
          <w:rFonts w:ascii="Calibri" w:hAnsi="Calibri" w:cs="Miriam"/>
          <w:sz w:val="26"/>
          <w:szCs w:val="26"/>
          <w:rtl/>
        </w:rPr>
        <w:t xml:space="preserve"> </w:t>
      </w:r>
      <w:r w:rsidRPr="00605F9A">
        <w:rPr>
          <w:rFonts w:ascii="Calibri" w:hAnsi="Calibri" w:cs="FrankRuehl"/>
          <w:sz w:val="28"/>
          <w:szCs w:val="28"/>
          <w:rtl/>
        </w:rPr>
        <w:t xml:space="preserve">ראו ע"א 173/72 </w:t>
      </w:r>
      <w:r w:rsidRPr="00605F9A">
        <w:rPr>
          <w:rFonts w:ascii="Calibri" w:hAnsi="Calibri" w:cs="FrankRuehl"/>
          <w:b/>
          <w:bCs/>
          <w:sz w:val="28"/>
          <w:szCs w:val="28"/>
          <w:rtl/>
        </w:rPr>
        <w:t>גנאיים ואח' נ' גנאיים</w:t>
      </w:r>
      <w:r w:rsidRPr="00605F9A">
        <w:rPr>
          <w:rFonts w:ascii="Calibri" w:hAnsi="Calibri" w:cs="FrankRuehl"/>
          <w:sz w:val="28"/>
          <w:szCs w:val="28"/>
          <w:rtl/>
        </w:rPr>
        <w:t>, פ"ד כז(1) 414, 420.</w:t>
      </w:r>
    </w:p>
    <w:p w:rsidR="00DD6AEF" w:rsidRPr="00605F9A" w:rsidRDefault="00DD6AEF" w:rsidP="00DD6AEF">
      <w:pPr>
        <w:spacing w:line="360" w:lineRule="auto"/>
        <w:ind w:left="720" w:hanging="720"/>
        <w:jc w:val="both"/>
        <w:rPr>
          <w:rFonts w:ascii="Calibri" w:hAnsi="Calibri" w:cs="FrankRuehl"/>
          <w:sz w:val="28"/>
          <w:szCs w:val="28"/>
          <w:rtl/>
        </w:rPr>
      </w:pPr>
    </w:p>
    <w:p w:rsidR="00DD6AEF" w:rsidRPr="00605F9A" w:rsidRDefault="00DD6AEF" w:rsidP="00DD6AEF">
      <w:pPr>
        <w:spacing w:line="360" w:lineRule="auto"/>
        <w:ind w:left="720" w:hanging="720"/>
        <w:jc w:val="both"/>
        <w:rPr>
          <w:rFonts w:ascii="Calibri" w:hAnsi="Calibri" w:cs="FrankRuehl"/>
          <w:sz w:val="28"/>
          <w:szCs w:val="28"/>
          <w:rtl/>
        </w:rPr>
      </w:pPr>
      <w:r w:rsidRPr="00605F9A">
        <w:rPr>
          <w:rFonts w:ascii="Calibri" w:hAnsi="Calibri" w:cs="FrankRuehl"/>
          <w:sz w:val="28"/>
          <w:szCs w:val="28"/>
          <w:rtl/>
        </w:rPr>
        <w:t>26.</w:t>
      </w:r>
      <w:r w:rsidRPr="00605F9A">
        <w:rPr>
          <w:rFonts w:ascii="Calibri" w:hAnsi="Calibri" w:cs="FrankRuehl"/>
          <w:sz w:val="28"/>
          <w:szCs w:val="28"/>
          <w:rtl/>
        </w:rPr>
        <w:tab/>
        <w:t>בהתאמה, יש לבחון האם התקיימו כל היסודות הקבועים בדיני חוזים לצורך ה</w:t>
      </w:r>
      <w:r w:rsidR="00EE76B4" w:rsidRPr="00605F9A">
        <w:rPr>
          <w:rFonts w:ascii="Calibri" w:hAnsi="Calibri" w:cs="FrankRuehl"/>
          <w:sz w:val="28"/>
          <w:szCs w:val="28"/>
          <w:rtl/>
        </w:rPr>
        <w:t>שתכללות חוזה המתנה לחוזה מחייב</w:t>
      </w:r>
      <w:r w:rsidR="00EE76B4" w:rsidRPr="00605F9A">
        <w:rPr>
          <w:rFonts w:ascii="Calibri" w:hAnsi="Calibri" w:cs="FrankRuehl" w:hint="cs"/>
          <w:sz w:val="28"/>
          <w:szCs w:val="28"/>
          <w:rtl/>
        </w:rPr>
        <w:t>.</w:t>
      </w:r>
    </w:p>
    <w:p w:rsidR="00DD6AEF" w:rsidRPr="00605F9A" w:rsidRDefault="00DD6AEF" w:rsidP="00DD6AEF">
      <w:pPr>
        <w:spacing w:line="360" w:lineRule="auto"/>
        <w:ind w:left="720" w:hanging="720"/>
        <w:jc w:val="both"/>
        <w:rPr>
          <w:rFonts w:ascii="Calibri" w:hAnsi="Calibri" w:cs="FrankRuehl"/>
          <w:sz w:val="28"/>
          <w:szCs w:val="28"/>
          <w:rtl/>
        </w:rPr>
      </w:pPr>
    </w:p>
    <w:p w:rsidR="00EE76B4" w:rsidRPr="00605F9A" w:rsidRDefault="00DD6AEF" w:rsidP="004F0913">
      <w:pPr>
        <w:spacing w:line="360" w:lineRule="auto"/>
        <w:ind w:left="720" w:hanging="720"/>
        <w:jc w:val="both"/>
        <w:rPr>
          <w:rFonts w:ascii="FrankRuehl" w:hAnsi="FrankRuehl" w:cs="FrankRuehl"/>
          <w:sz w:val="28"/>
          <w:szCs w:val="28"/>
          <w:rtl/>
        </w:rPr>
      </w:pPr>
      <w:r w:rsidRPr="00605F9A">
        <w:rPr>
          <w:rFonts w:ascii="Calibri" w:hAnsi="Calibri" w:cs="FrankRuehl"/>
          <w:sz w:val="28"/>
          <w:szCs w:val="28"/>
          <w:rtl/>
        </w:rPr>
        <w:t>27.</w:t>
      </w:r>
      <w:r w:rsidRPr="00605F9A">
        <w:rPr>
          <w:rFonts w:ascii="Calibri" w:hAnsi="Calibri" w:cs="FrankRuehl"/>
          <w:sz w:val="28"/>
          <w:szCs w:val="28"/>
          <w:rtl/>
        </w:rPr>
        <w:tab/>
        <w:t>אחד היסודות ההכרחיים ל</w:t>
      </w:r>
      <w:r w:rsidR="004F0913">
        <w:rPr>
          <w:rFonts w:ascii="Calibri" w:hAnsi="Calibri" w:cs="FrankRuehl" w:hint="cs"/>
          <w:sz w:val="28"/>
          <w:szCs w:val="28"/>
          <w:rtl/>
        </w:rPr>
        <w:t>קיומו של חו</w:t>
      </w:r>
      <w:r w:rsidRPr="00605F9A">
        <w:rPr>
          <w:rFonts w:ascii="Calibri" w:hAnsi="Calibri" w:cs="FrankRuehl"/>
          <w:sz w:val="28"/>
          <w:szCs w:val="28"/>
          <w:rtl/>
        </w:rPr>
        <w:t>זה מחייב, הוא גמירות דעת המתקשר בחוזה. במקרה כאן טענת התובעים היא כי נפל פגם בגמירות דעת</w:t>
      </w:r>
      <w:r w:rsidR="00EE76B4" w:rsidRPr="00605F9A">
        <w:rPr>
          <w:rFonts w:ascii="Calibri" w:hAnsi="Calibri" w:cs="FrankRuehl" w:hint="cs"/>
          <w:sz w:val="28"/>
          <w:szCs w:val="28"/>
          <w:rtl/>
        </w:rPr>
        <w:t xml:space="preserve"> התובע </w:t>
      </w:r>
      <w:r w:rsidRPr="00605F9A">
        <w:rPr>
          <w:rFonts w:ascii="Calibri" w:hAnsi="Calibri" w:cs="FrankRuehl"/>
          <w:sz w:val="28"/>
          <w:szCs w:val="28"/>
          <w:rtl/>
        </w:rPr>
        <w:t xml:space="preserve">בעת החתימה על </w:t>
      </w:r>
      <w:r w:rsidR="00EE76B4" w:rsidRPr="00605F9A">
        <w:rPr>
          <w:rFonts w:ascii="Calibri" w:hAnsi="Calibri" w:cs="FrankRuehl" w:hint="cs"/>
          <w:sz w:val="28"/>
          <w:szCs w:val="28"/>
          <w:rtl/>
        </w:rPr>
        <w:t xml:space="preserve">מסמכי המתנה. טענתם היא למעשה כי נפלו פגמים ברצון </w:t>
      </w:r>
      <w:r w:rsidR="00503D36">
        <w:rPr>
          <w:rFonts w:ascii="Calibri" w:hAnsi="Calibri" w:cs="FrankRuehl" w:hint="cs"/>
          <w:sz w:val="28"/>
          <w:szCs w:val="28"/>
          <w:rtl/>
        </w:rPr>
        <w:t xml:space="preserve">ולכן יש לבטל את </w:t>
      </w:r>
      <w:r w:rsidR="00EE76B4" w:rsidRPr="00605F9A">
        <w:rPr>
          <w:rFonts w:ascii="Calibri" w:hAnsi="Calibri" w:cs="FrankRuehl" w:hint="cs"/>
          <w:sz w:val="28"/>
          <w:szCs w:val="28"/>
          <w:rtl/>
        </w:rPr>
        <w:t>מסמכי המתנה</w:t>
      </w:r>
      <w:r w:rsidR="00503D36">
        <w:rPr>
          <w:rFonts w:ascii="Calibri" w:hAnsi="Calibri" w:cs="FrankRuehl" w:hint="cs"/>
          <w:sz w:val="28"/>
          <w:szCs w:val="28"/>
          <w:rtl/>
        </w:rPr>
        <w:t>.</w:t>
      </w:r>
    </w:p>
    <w:p w:rsidR="00EE76B4" w:rsidRPr="00605F9A" w:rsidRDefault="00EE76B4" w:rsidP="00EE76B4">
      <w:pPr>
        <w:spacing w:line="360" w:lineRule="auto"/>
        <w:ind w:left="720" w:hanging="720"/>
        <w:jc w:val="both"/>
        <w:rPr>
          <w:rFonts w:ascii="FrankRuehl" w:hAnsi="FrankRuehl" w:cs="FrankRuehl"/>
          <w:sz w:val="28"/>
          <w:szCs w:val="28"/>
          <w:rtl/>
        </w:rPr>
      </w:pPr>
    </w:p>
    <w:p w:rsidR="00C71C28" w:rsidRDefault="00EE76B4" w:rsidP="00D957BA">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28.</w:t>
      </w:r>
      <w:r w:rsidRPr="00605F9A">
        <w:rPr>
          <w:rFonts w:ascii="FrankRuehl" w:hAnsi="FrankRuehl" w:cs="FrankRuehl" w:hint="cs"/>
          <w:sz w:val="28"/>
          <w:szCs w:val="28"/>
          <w:rtl/>
        </w:rPr>
        <w:tab/>
        <w:t>במקרה כאן, למעט טענת התובע עצמו, לא הובאה בפני ראייה לפגם ברצון. לא זו אף זו אלא שגם ביחס לטענת התובע, טענות התובע נטענו באופן כללי, לא קוהרנטי או סדור  וללא פירוט גם של עובדות שלכאורה היו יכולות לתמוך בטענתו</w:t>
      </w:r>
      <w:r w:rsidR="008B4DC1" w:rsidRPr="00605F9A">
        <w:rPr>
          <w:rFonts w:ascii="FrankRuehl" w:hAnsi="FrankRuehl" w:cs="FrankRuehl" w:hint="cs"/>
          <w:sz w:val="28"/>
          <w:szCs w:val="28"/>
          <w:rtl/>
        </w:rPr>
        <w:t xml:space="preserve">. עוד, לא הוזמנו עדים שיכולים היו לתמוך בגרסתו. כך למשל </w:t>
      </w:r>
      <w:r w:rsidRPr="00605F9A">
        <w:rPr>
          <w:rFonts w:ascii="FrankRuehl" w:hAnsi="FrankRuehl" w:cs="FrankRuehl" w:hint="cs"/>
          <w:sz w:val="28"/>
          <w:szCs w:val="28"/>
          <w:rtl/>
        </w:rPr>
        <w:t>התובע לא פירט</w:t>
      </w:r>
      <w:r w:rsidR="008B4DC1" w:rsidRPr="00605F9A">
        <w:rPr>
          <w:rFonts w:ascii="FrankRuehl" w:hAnsi="FrankRuehl" w:cs="FrankRuehl" w:hint="cs"/>
          <w:sz w:val="28"/>
          <w:szCs w:val="28"/>
          <w:rtl/>
        </w:rPr>
        <w:t xml:space="preserve"> את זהות בני </w:t>
      </w:r>
      <w:r w:rsidR="00D957BA">
        <w:rPr>
          <w:rFonts w:ascii="FrankRuehl" w:hAnsi="FrankRuehl" w:cs="FrankRuehl" w:hint="cs"/>
          <w:sz w:val="28"/>
          <w:szCs w:val="28"/>
          <w:rtl/>
        </w:rPr>
        <w:t xml:space="preserve">המשפחה </w:t>
      </w:r>
      <w:r w:rsidR="008B4DC1" w:rsidRPr="00605F9A">
        <w:rPr>
          <w:rFonts w:ascii="FrankRuehl" w:hAnsi="FrankRuehl" w:cs="FrankRuehl" w:hint="cs"/>
          <w:sz w:val="28"/>
          <w:szCs w:val="28"/>
          <w:rtl/>
        </w:rPr>
        <w:t xml:space="preserve"> מהם לכאורה "למד" על מתן המתנה, לא פירט את זהות הנוכחים בעת החתימה על מסמכי המתנה, לא פירט אפילו את כתובת "בית הקפה" בו הוא טוען כי נחתמו מסמכי המתנה, לא הסביר מדוע לא שלח הודעת ביטול, לא צירף </w:t>
      </w:r>
      <w:r w:rsidR="008B4DC1" w:rsidRPr="004F0913">
        <w:rPr>
          <w:rFonts w:ascii="FrankRuehl" w:hAnsi="FrankRuehl" w:cs="FrankRuehl" w:hint="cs"/>
          <w:sz w:val="28"/>
          <w:szCs w:val="28"/>
          <w:rtl/>
        </w:rPr>
        <w:t>מסמכים להוכיח טענתו כי הזכויות נרכשו מכספי</w:t>
      </w:r>
      <w:r w:rsidR="00FF21EE" w:rsidRPr="004F0913">
        <w:rPr>
          <w:rFonts w:ascii="FrankRuehl" w:hAnsi="FrankRuehl" w:cs="FrankRuehl" w:hint="cs"/>
          <w:sz w:val="28"/>
          <w:szCs w:val="28"/>
          <w:rtl/>
        </w:rPr>
        <w:t xml:space="preserve"> פיצויים שפדה, </w:t>
      </w:r>
      <w:r w:rsidR="00946E41" w:rsidRPr="004F0913">
        <w:rPr>
          <w:rFonts w:ascii="FrankRuehl" w:hAnsi="FrankRuehl" w:cs="FrankRuehl" w:hint="cs"/>
          <w:sz w:val="28"/>
          <w:szCs w:val="28"/>
          <w:rtl/>
        </w:rPr>
        <w:t xml:space="preserve">מדפי חשבון הבנק שצורפו, מוצג </w:t>
      </w:r>
      <w:r w:rsidR="00946E41" w:rsidRPr="004F0913">
        <w:rPr>
          <w:rFonts w:ascii="FrankRuehl" w:hAnsi="FrankRuehl" w:cs="FrankRuehl" w:hint="cs"/>
          <w:b/>
          <w:bCs/>
          <w:sz w:val="28"/>
          <w:szCs w:val="28"/>
          <w:rtl/>
        </w:rPr>
        <w:t xml:space="preserve">ת/4 </w:t>
      </w:r>
      <w:r w:rsidR="00946E41" w:rsidRPr="004F0913">
        <w:rPr>
          <w:rFonts w:ascii="FrankRuehl" w:hAnsi="FrankRuehl" w:cs="FrankRuehl" w:hint="cs"/>
          <w:sz w:val="28"/>
          <w:szCs w:val="28"/>
          <w:rtl/>
        </w:rPr>
        <w:t xml:space="preserve">עלה כי כספים שיקבל מחברת מנורה (פיצויים) שימשו למחייתו ואין משיכה </w:t>
      </w:r>
      <w:r w:rsidR="00D957BA" w:rsidRPr="004F0913">
        <w:rPr>
          <w:rFonts w:ascii="FrankRuehl" w:hAnsi="FrankRuehl" w:cs="FrankRuehl" w:hint="cs"/>
          <w:sz w:val="28"/>
          <w:szCs w:val="28"/>
          <w:rtl/>
        </w:rPr>
        <w:t>בחודש</w:t>
      </w:r>
      <w:r w:rsidR="00946E41" w:rsidRPr="004F0913">
        <w:rPr>
          <w:rFonts w:ascii="FrankRuehl" w:hAnsi="FrankRuehl" w:cs="FrankRuehl" w:hint="cs"/>
          <w:sz w:val="28"/>
          <w:szCs w:val="28"/>
          <w:rtl/>
        </w:rPr>
        <w:t xml:space="preserve"> אוקטובר 2011 של כספים לתשלום הרכישה או בכלל, </w:t>
      </w:r>
      <w:r w:rsidR="008B4DC1" w:rsidRPr="004F0913">
        <w:rPr>
          <w:rFonts w:ascii="FrankRuehl" w:hAnsi="FrankRuehl" w:cs="FrankRuehl" w:hint="cs"/>
          <w:sz w:val="28"/>
          <w:szCs w:val="28"/>
          <w:rtl/>
        </w:rPr>
        <w:t xml:space="preserve">לא צירף את כתב ההגנה והחלטות ההליך </w:t>
      </w:r>
      <w:r w:rsidR="008B4DC1" w:rsidRPr="00605F9A">
        <w:rPr>
          <w:rFonts w:ascii="FrankRuehl" w:hAnsi="FrankRuehl" w:cs="FrankRuehl" w:hint="cs"/>
          <w:sz w:val="28"/>
          <w:szCs w:val="28"/>
          <w:rtl/>
        </w:rPr>
        <w:t>הראשון</w:t>
      </w:r>
      <w:r w:rsidR="00C71C28" w:rsidRPr="00605F9A">
        <w:rPr>
          <w:rFonts w:ascii="FrankRuehl" w:hAnsi="FrankRuehl" w:cs="FrankRuehl" w:hint="cs"/>
          <w:sz w:val="28"/>
          <w:szCs w:val="28"/>
          <w:rtl/>
        </w:rPr>
        <w:t xml:space="preserve">, לא פעל לאתר את עוה"ד שהגיש את </w:t>
      </w:r>
      <w:r w:rsidR="00C71C28" w:rsidRPr="004F0913">
        <w:rPr>
          <w:rFonts w:ascii="FrankRuehl" w:hAnsi="FrankRuehl" w:cs="FrankRuehl" w:hint="cs"/>
          <w:sz w:val="28"/>
          <w:szCs w:val="28"/>
          <w:rtl/>
        </w:rPr>
        <w:t xml:space="preserve">ההליך הראשון (אם לא היה זה עו"ד טואפשה אליו פנה) </w:t>
      </w:r>
      <w:r w:rsidR="00C71C28" w:rsidRPr="004F0913">
        <w:rPr>
          <w:rFonts w:ascii="FrankRuehl" w:hAnsi="FrankRuehl" w:cs="FrankRuehl"/>
          <w:sz w:val="28"/>
          <w:szCs w:val="28"/>
          <w:rtl/>
        </w:rPr>
        <w:t>–</w:t>
      </w:r>
      <w:r w:rsidR="00C71C28" w:rsidRPr="004F0913">
        <w:rPr>
          <w:rFonts w:ascii="FrankRuehl" w:hAnsi="FrankRuehl" w:cs="FrankRuehl" w:hint="cs"/>
          <w:sz w:val="28"/>
          <w:szCs w:val="28"/>
          <w:rtl/>
        </w:rPr>
        <w:t xml:space="preserve"> למצער </w:t>
      </w:r>
      <w:r w:rsidR="00C71C28" w:rsidRPr="004F0913">
        <w:rPr>
          <w:rFonts w:ascii="FrankRuehl" w:hAnsi="FrankRuehl" w:cs="FrankRuehl"/>
          <w:sz w:val="28"/>
          <w:szCs w:val="28"/>
          <w:rtl/>
        </w:rPr>
        <w:t xml:space="preserve">מצופה היה כי התובע </w:t>
      </w:r>
      <w:r w:rsidR="00C71C28" w:rsidRPr="004F0913">
        <w:rPr>
          <w:rFonts w:ascii="FrankRuehl" w:hAnsi="FrankRuehl" w:cs="FrankRuehl" w:hint="cs"/>
          <w:sz w:val="28"/>
          <w:szCs w:val="28"/>
          <w:rtl/>
        </w:rPr>
        <w:t xml:space="preserve">יפנה </w:t>
      </w:r>
      <w:r w:rsidR="00C71C28" w:rsidRPr="004F0913">
        <w:rPr>
          <w:rFonts w:ascii="FrankRuehl" w:hAnsi="FrankRuehl" w:cs="FrankRuehl"/>
          <w:sz w:val="28"/>
          <w:szCs w:val="28"/>
          <w:rtl/>
        </w:rPr>
        <w:t xml:space="preserve">למזכירות בית המשפט לקבל </w:t>
      </w:r>
      <w:r w:rsidR="00C71C28" w:rsidRPr="004F0913">
        <w:rPr>
          <w:rFonts w:ascii="FrankRuehl" w:hAnsi="FrankRuehl" w:cs="FrankRuehl" w:hint="cs"/>
          <w:sz w:val="28"/>
          <w:szCs w:val="28"/>
          <w:rtl/>
        </w:rPr>
        <w:t xml:space="preserve">זהות </w:t>
      </w:r>
      <w:r w:rsidR="00C71C28" w:rsidRPr="004F0913">
        <w:rPr>
          <w:rFonts w:ascii="FrankRuehl" w:hAnsi="FrankRuehl" w:cs="FrankRuehl"/>
          <w:sz w:val="28"/>
          <w:szCs w:val="28"/>
          <w:rtl/>
        </w:rPr>
        <w:t>משלם האגרה</w:t>
      </w:r>
      <w:r w:rsidR="00C71C28" w:rsidRPr="004F0913">
        <w:rPr>
          <w:rFonts w:ascii="FrankRuehl" w:hAnsi="FrankRuehl" w:cs="FrankRuehl" w:hint="cs"/>
          <w:sz w:val="28"/>
          <w:szCs w:val="28"/>
          <w:rtl/>
        </w:rPr>
        <w:t xml:space="preserve"> בשמו</w:t>
      </w:r>
      <w:r w:rsidR="00C71C28" w:rsidRPr="004F0913">
        <w:rPr>
          <w:rFonts w:ascii="FrankRuehl" w:hAnsi="FrankRuehl" w:cs="FrankRuehl"/>
          <w:sz w:val="28"/>
          <w:szCs w:val="28"/>
          <w:rtl/>
        </w:rPr>
        <w:t xml:space="preserve">, </w:t>
      </w:r>
      <w:r w:rsidR="00C71C28" w:rsidRPr="004F0913">
        <w:rPr>
          <w:rFonts w:ascii="FrankRuehl" w:hAnsi="FrankRuehl" w:cs="FrankRuehl" w:hint="cs"/>
          <w:sz w:val="28"/>
          <w:szCs w:val="28"/>
          <w:rtl/>
        </w:rPr>
        <w:t xml:space="preserve">מספר </w:t>
      </w:r>
      <w:r w:rsidR="00C71C28" w:rsidRPr="004F0913">
        <w:rPr>
          <w:rFonts w:ascii="FrankRuehl" w:hAnsi="FrankRuehl" w:cs="FrankRuehl"/>
          <w:sz w:val="28"/>
          <w:szCs w:val="28"/>
          <w:rtl/>
        </w:rPr>
        <w:t xml:space="preserve">רישיון עוה"ד שבמערכת </w:t>
      </w:r>
      <w:r w:rsidR="00D957BA" w:rsidRPr="004F0913">
        <w:rPr>
          <w:rFonts w:ascii="FrankRuehl" w:hAnsi="FrankRuehl" w:cs="FrankRuehl" w:hint="cs"/>
          <w:sz w:val="28"/>
          <w:szCs w:val="28"/>
          <w:rtl/>
        </w:rPr>
        <w:t>ש</w:t>
      </w:r>
      <w:r w:rsidR="00C71C28" w:rsidRPr="004F0913">
        <w:rPr>
          <w:rFonts w:ascii="FrankRuehl" w:hAnsi="FrankRuehl" w:cs="FrankRuehl" w:hint="cs"/>
          <w:sz w:val="28"/>
          <w:szCs w:val="28"/>
          <w:rtl/>
        </w:rPr>
        <w:t xml:space="preserve">הגיש </w:t>
      </w:r>
      <w:r w:rsidR="00C71C28" w:rsidRPr="00605F9A">
        <w:rPr>
          <w:rFonts w:ascii="FrankRuehl" w:hAnsi="FrankRuehl" w:cs="FrankRuehl" w:hint="cs"/>
          <w:sz w:val="28"/>
          <w:szCs w:val="28"/>
          <w:rtl/>
        </w:rPr>
        <w:t xml:space="preserve">את התביעה בשמו </w:t>
      </w:r>
      <w:r w:rsidR="00C71C28" w:rsidRPr="00605F9A">
        <w:rPr>
          <w:rFonts w:ascii="FrankRuehl" w:hAnsi="FrankRuehl" w:cs="FrankRuehl"/>
          <w:sz w:val="28"/>
          <w:szCs w:val="28"/>
          <w:rtl/>
        </w:rPr>
        <w:t>או כל פרט אחר</w:t>
      </w:r>
      <w:r w:rsidR="00C71C28" w:rsidRPr="00605F9A">
        <w:rPr>
          <w:rFonts w:ascii="FrankRuehl" w:hAnsi="FrankRuehl" w:cs="FrankRuehl" w:hint="cs"/>
          <w:sz w:val="28"/>
          <w:szCs w:val="28"/>
          <w:rtl/>
        </w:rPr>
        <w:t>.</w:t>
      </w:r>
    </w:p>
    <w:p w:rsidR="00903102" w:rsidRPr="00605F9A" w:rsidRDefault="00903102" w:rsidP="00D957BA">
      <w:pPr>
        <w:spacing w:line="360" w:lineRule="auto"/>
        <w:ind w:left="720" w:hanging="720"/>
        <w:jc w:val="both"/>
        <w:rPr>
          <w:rFonts w:ascii="FrankRuehl" w:hAnsi="FrankRuehl" w:cs="FrankRuehl"/>
          <w:sz w:val="28"/>
          <w:szCs w:val="28"/>
          <w:rtl/>
        </w:rPr>
      </w:pPr>
    </w:p>
    <w:p w:rsidR="00EE76B4" w:rsidRPr="00605F9A" w:rsidRDefault="00C71C28" w:rsidP="00C71C28">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29.</w:t>
      </w:r>
      <w:r w:rsidRPr="00605F9A">
        <w:rPr>
          <w:rFonts w:ascii="FrankRuehl" w:hAnsi="FrankRuehl" w:cs="FrankRuehl" w:hint="cs"/>
          <w:sz w:val="28"/>
          <w:szCs w:val="28"/>
          <w:rtl/>
        </w:rPr>
        <w:tab/>
      </w:r>
      <w:r w:rsidR="00FF21EE" w:rsidRPr="00605F9A">
        <w:rPr>
          <w:rFonts w:ascii="FrankRuehl" w:hAnsi="FrankRuehl" w:cs="FrankRuehl" w:hint="cs"/>
          <w:sz w:val="28"/>
          <w:szCs w:val="28"/>
          <w:rtl/>
        </w:rPr>
        <w:t xml:space="preserve">נוסף על כך, </w:t>
      </w:r>
      <w:r w:rsidR="008B4DC1" w:rsidRPr="00605F9A">
        <w:rPr>
          <w:rFonts w:ascii="FrankRuehl" w:hAnsi="FrankRuehl" w:cs="FrankRuehl" w:hint="cs"/>
          <w:sz w:val="28"/>
          <w:szCs w:val="28"/>
          <w:rtl/>
        </w:rPr>
        <w:t xml:space="preserve">התובע לא זימן לעדות </w:t>
      </w:r>
      <w:r w:rsidR="00FF21EE" w:rsidRPr="00605F9A">
        <w:rPr>
          <w:rFonts w:ascii="FrankRuehl" w:hAnsi="FrankRuehl" w:cs="FrankRuehl" w:hint="cs"/>
          <w:sz w:val="28"/>
          <w:szCs w:val="28"/>
          <w:rtl/>
        </w:rPr>
        <w:t>עדים מהותיים, לא את בני המשפחה (העלומים) שמהם לכאורה למד על מסמכי המתנה, לא את עורכי הדין שערכו את מסמכי המתנה</w:t>
      </w:r>
      <w:r w:rsidR="00917B05" w:rsidRPr="00605F9A">
        <w:rPr>
          <w:rFonts w:ascii="FrankRuehl" w:hAnsi="FrankRuehl" w:cs="FrankRuehl" w:hint="cs"/>
          <w:sz w:val="28"/>
          <w:szCs w:val="28"/>
          <w:rtl/>
        </w:rPr>
        <w:t xml:space="preserve"> וגם </w:t>
      </w:r>
      <w:r w:rsidR="00FF21EE" w:rsidRPr="00605F9A">
        <w:rPr>
          <w:rFonts w:ascii="FrankRuehl" w:hAnsi="FrankRuehl" w:cs="FrankRuehl" w:hint="cs"/>
          <w:sz w:val="28"/>
          <w:szCs w:val="28"/>
          <w:rtl/>
        </w:rPr>
        <w:t xml:space="preserve">לא את עוה"ד </w:t>
      </w:r>
      <w:r w:rsidR="00917B05" w:rsidRPr="00605F9A">
        <w:rPr>
          <w:rFonts w:ascii="FrankRuehl" w:hAnsi="FrankRuehl" w:cs="FrankRuehl" w:hint="cs"/>
          <w:sz w:val="28"/>
          <w:szCs w:val="28"/>
          <w:rtl/>
        </w:rPr>
        <w:t>שייצגו בה</w:t>
      </w:r>
      <w:r w:rsidR="00FF21EE" w:rsidRPr="00605F9A">
        <w:rPr>
          <w:rFonts w:ascii="FrankRuehl" w:hAnsi="FrankRuehl" w:cs="FrankRuehl" w:hint="cs"/>
          <w:sz w:val="28"/>
          <w:szCs w:val="28"/>
          <w:rtl/>
        </w:rPr>
        <w:t xml:space="preserve">ליך הראשון </w:t>
      </w:r>
      <w:r w:rsidR="00FF21EE" w:rsidRPr="00605F9A">
        <w:rPr>
          <w:rFonts w:ascii="FrankRuehl" w:hAnsi="FrankRuehl" w:cs="FrankRuehl"/>
          <w:sz w:val="28"/>
          <w:szCs w:val="28"/>
          <w:rtl/>
        </w:rPr>
        <w:t>–</w:t>
      </w:r>
      <w:r w:rsidR="00FF21EE" w:rsidRPr="00605F9A">
        <w:rPr>
          <w:rFonts w:ascii="FrankRuehl" w:hAnsi="FrankRuehl" w:cs="FrankRuehl" w:hint="cs"/>
          <w:sz w:val="28"/>
          <w:szCs w:val="28"/>
          <w:rtl/>
        </w:rPr>
        <w:t xml:space="preserve"> לא של התובעים ולא של הנתבע שם.</w:t>
      </w:r>
    </w:p>
    <w:p w:rsidR="00C71C28" w:rsidRPr="00605F9A" w:rsidRDefault="00C71C28" w:rsidP="00917B05">
      <w:pPr>
        <w:spacing w:line="360" w:lineRule="auto"/>
        <w:ind w:left="720"/>
        <w:jc w:val="both"/>
        <w:rPr>
          <w:rFonts w:ascii="FrankRuehl" w:hAnsi="FrankRuehl" w:cs="FrankRuehl"/>
          <w:sz w:val="28"/>
          <w:szCs w:val="28"/>
          <w:rtl/>
        </w:rPr>
      </w:pPr>
    </w:p>
    <w:p w:rsidR="00C71C28" w:rsidRDefault="00C71C28" w:rsidP="00C71C28">
      <w:pPr>
        <w:spacing w:line="360" w:lineRule="auto"/>
        <w:ind w:left="720"/>
        <w:jc w:val="both"/>
        <w:rPr>
          <w:rFonts w:ascii="FrankRuehl" w:hAnsi="FrankRuehl" w:cs="FrankRuehl"/>
          <w:sz w:val="28"/>
          <w:szCs w:val="28"/>
          <w:rtl/>
        </w:rPr>
      </w:pPr>
      <w:r w:rsidRPr="00605F9A">
        <w:rPr>
          <w:rFonts w:ascii="FrankRuehl" w:hAnsi="FrankRuehl" w:cs="FrankRuehl" w:hint="cs"/>
          <w:sz w:val="28"/>
          <w:szCs w:val="28"/>
          <w:rtl/>
        </w:rPr>
        <w:t xml:space="preserve">ודוק, </w:t>
      </w:r>
      <w:r w:rsidRPr="00605F9A">
        <w:rPr>
          <w:rFonts w:ascii="FrankRuehl" w:hAnsi="FrankRuehl" w:cs="FrankRuehl"/>
          <w:sz w:val="28"/>
          <w:szCs w:val="28"/>
          <w:rtl/>
        </w:rPr>
        <w:t>למרות טענותיו של התובע בדבר מעורבות צדדי ג' בקנוניה, אף אחד מאותם צדדי ג' לא זומנו להעיד מטעם התובע. אפנה לטענות התובע בסעיפים 8-9 לתצהיר</w:t>
      </w:r>
      <w:r w:rsidRPr="00605F9A">
        <w:rPr>
          <w:rFonts w:ascii="FrankRuehl" w:hAnsi="FrankRuehl" w:cs="FrankRuehl" w:hint="cs"/>
          <w:sz w:val="28"/>
          <w:szCs w:val="28"/>
          <w:rtl/>
        </w:rPr>
        <w:t>ו</w:t>
      </w:r>
      <w:r w:rsidRPr="00605F9A">
        <w:rPr>
          <w:rFonts w:ascii="FrankRuehl" w:hAnsi="FrankRuehl" w:cs="FrankRuehl"/>
          <w:sz w:val="28"/>
          <w:szCs w:val="28"/>
          <w:rtl/>
        </w:rPr>
        <w:t xml:space="preserve"> מוצג </w:t>
      </w:r>
      <w:r w:rsidRPr="00605F9A">
        <w:rPr>
          <w:rFonts w:ascii="FrankRuehl" w:hAnsi="FrankRuehl" w:cs="FrankRuehl"/>
          <w:b/>
          <w:bCs/>
          <w:sz w:val="28"/>
          <w:szCs w:val="28"/>
          <w:rtl/>
        </w:rPr>
        <w:t>ת/2</w:t>
      </w:r>
      <w:r w:rsidRPr="00605F9A">
        <w:rPr>
          <w:rFonts w:ascii="FrankRuehl" w:hAnsi="FrankRuehl" w:cs="FrankRuehl"/>
          <w:sz w:val="28"/>
          <w:szCs w:val="28"/>
          <w:rtl/>
        </w:rPr>
        <w:t>:</w:t>
      </w:r>
    </w:p>
    <w:p w:rsidR="00C71C28" w:rsidRPr="00605F9A" w:rsidRDefault="00C71C28" w:rsidP="00A02A88">
      <w:pPr>
        <w:ind w:left="1134" w:right="1134"/>
        <w:jc w:val="both"/>
        <w:rPr>
          <w:rFonts w:ascii="Miriam" w:hAnsi="Miriam" w:cs="Miriam"/>
          <w:rtl/>
        </w:rPr>
      </w:pPr>
      <w:r w:rsidRPr="00605F9A">
        <w:rPr>
          <w:rFonts w:ascii="Miriam" w:hAnsi="Miriam" w:cs="Miriam"/>
          <w:rtl/>
        </w:rPr>
        <w:t xml:space="preserve">"לימים ובמרוצת שנת 2017 התגלה לנו כי הדירה רשומה בספרי עמידר ע"ש נכדי ואשר עונה על אותו שם וזאת בעקבות נסיונות אביו, בני </w:t>
      </w:r>
      <w:r w:rsidR="00A02A88">
        <w:rPr>
          <w:rFonts w:ascii="Miriam" w:hAnsi="Miriam" w:cs="Miriam" w:hint="cs"/>
          <w:rtl/>
        </w:rPr>
        <w:t>ע'</w:t>
      </w:r>
      <w:r w:rsidRPr="00605F9A">
        <w:rPr>
          <w:rFonts w:ascii="Miriam" w:hAnsi="Miriam" w:cs="Miriam"/>
          <w:rtl/>
        </w:rPr>
        <w:t xml:space="preserve">, לסלקנו מהדירה ועקב הדברים ששמענו מיתר בניי לפיהם טענו שנתתי את הדירה במתנה לנכדי, דבר המוכחש מכל וכל. מיד בסמוך להיוודענו את האמור בס.ק.א. פנינו אשתי ואני על מנת לשכור שירותי עורך דין על מנת לייעץ לנו ולטפל לנו בעניין החזרת הרישום של זכויותיי בדירה על שמי. פנינו אל עו"ד בשם סמי פייסל ...ולא עשה עבורנו מאומה...הופנינו לאדם אחר אשר התחזה לעו"ד...בימים אלו פנינו אל עו"ד סוהיר זידאן (להלן עו"ד זידאן) אשר בדקה עבורנו את נסיבות  העניין ואז התגלה...הוגשה תביעה בשמי לביהמ"ש המחוזי...אנו </w:t>
      </w:r>
      <w:r w:rsidRPr="00605F9A">
        <w:rPr>
          <w:rFonts w:ascii="Miriam" w:hAnsi="Miriam" w:cs="Miriam"/>
          <w:b/>
          <w:bCs/>
          <w:rtl/>
        </w:rPr>
        <w:t>לא</w:t>
      </w:r>
      <w:r w:rsidRPr="00605F9A">
        <w:rPr>
          <w:rFonts w:ascii="Miriam" w:hAnsi="Miriam" w:cs="Miriam"/>
          <w:rtl/>
        </w:rPr>
        <w:t xml:space="preserve"> מילאנו את ידו של עו"ד טואפשה או מי מטעמו לטפל עבורנו בהגשת התביעה הנ"ל..."</w:t>
      </w:r>
      <w:r w:rsidR="00903102">
        <w:rPr>
          <w:rFonts w:ascii="Miriam" w:hAnsi="Miriam" w:cs="Miriam" w:hint="cs"/>
          <w:rtl/>
        </w:rPr>
        <w:t>.</w:t>
      </w:r>
    </w:p>
    <w:p w:rsidR="00C71C28" w:rsidRPr="00605F9A" w:rsidRDefault="00C71C28" w:rsidP="00C71C28">
      <w:pPr>
        <w:jc w:val="both"/>
        <w:rPr>
          <w:rFonts w:ascii="FrankRuehl" w:hAnsi="FrankRuehl" w:cs="FrankRuehl"/>
          <w:sz w:val="28"/>
          <w:szCs w:val="28"/>
          <w:rtl/>
        </w:rPr>
      </w:pPr>
    </w:p>
    <w:p w:rsidR="00C71C28" w:rsidRPr="00605F9A" w:rsidRDefault="00C71C28" w:rsidP="00C71C28">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30.</w:t>
      </w:r>
      <w:r w:rsidRPr="00605F9A">
        <w:rPr>
          <w:rFonts w:ascii="FrankRuehl" w:hAnsi="FrankRuehl" w:cs="FrankRuehl" w:hint="cs"/>
          <w:sz w:val="28"/>
          <w:szCs w:val="28"/>
          <w:rtl/>
        </w:rPr>
        <w:tab/>
      </w:r>
      <w:r w:rsidRPr="00605F9A">
        <w:rPr>
          <w:rFonts w:ascii="FrankRuehl" w:hAnsi="FrankRuehl" w:cs="FrankRuehl"/>
          <w:sz w:val="28"/>
          <w:szCs w:val="28"/>
          <w:rtl/>
        </w:rPr>
        <w:t>יוער כי בחקירתו חזר בו מטענותיו ביחס לעורכי הדין הנ"ל. ראו עמוד 18 שורה 21 ואילך לתמליל.</w:t>
      </w:r>
    </w:p>
    <w:p w:rsidR="00C71C28" w:rsidRPr="00605F9A" w:rsidRDefault="00C71C28" w:rsidP="00C71C28">
      <w:pPr>
        <w:spacing w:line="360" w:lineRule="auto"/>
        <w:jc w:val="both"/>
        <w:rPr>
          <w:rFonts w:ascii="Arial" w:hAnsi="Arial"/>
          <w:rtl/>
        </w:rPr>
      </w:pPr>
    </w:p>
    <w:p w:rsidR="004705B4" w:rsidRPr="004F0913" w:rsidRDefault="00C71C28" w:rsidP="004F0913">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31.</w:t>
      </w:r>
      <w:r w:rsidRPr="00605F9A">
        <w:rPr>
          <w:rFonts w:ascii="FrankRuehl" w:hAnsi="FrankRuehl" w:cs="FrankRuehl" w:hint="cs"/>
          <w:sz w:val="28"/>
          <w:szCs w:val="28"/>
          <w:rtl/>
        </w:rPr>
        <w:tab/>
      </w:r>
      <w:r w:rsidR="00917B05" w:rsidRPr="00605F9A">
        <w:rPr>
          <w:rFonts w:ascii="FrankRuehl" w:hAnsi="FrankRuehl" w:cs="FrankRuehl" w:hint="cs"/>
          <w:sz w:val="28"/>
          <w:szCs w:val="28"/>
          <w:rtl/>
        </w:rPr>
        <w:t xml:space="preserve">מנגד, טענות הנתבע נתמכו </w:t>
      </w:r>
      <w:r w:rsidR="004705B4" w:rsidRPr="00605F9A">
        <w:rPr>
          <w:rFonts w:ascii="FrankRuehl" w:hAnsi="FrankRuehl" w:cs="FrankRuehl" w:hint="cs"/>
          <w:sz w:val="28"/>
          <w:szCs w:val="28"/>
          <w:rtl/>
        </w:rPr>
        <w:t xml:space="preserve">בעדות </w:t>
      </w:r>
      <w:r w:rsidR="00DD6AEF" w:rsidRPr="00605F9A">
        <w:rPr>
          <w:rFonts w:ascii="FrankRuehl" w:hAnsi="FrankRuehl" w:cs="FrankRuehl"/>
          <w:sz w:val="28"/>
          <w:szCs w:val="28"/>
          <w:rtl/>
        </w:rPr>
        <w:t>עו"ד דע</w:t>
      </w:r>
      <w:r w:rsidR="00DD6AEF" w:rsidRPr="004F0913">
        <w:rPr>
          <w:rFonts w:ascii="FrankRuehl" w:hAnsi="FrankRuehl" w:cs="FrankRuehl"/>
          <w:sz w:val="28"/>
          <w:szCs w:val="28"/>
          <w:rtl/>
        </w:rPr>
        <w:t xml:space="preserve">ים </w:t>
      </w:r>
      <w:r w:rsidR="004705B4" w:rsidRPr="004F0913">
        <w:rPr>
          <w:rFonts w:ascii="FrankRuehl" w:hAnsi="FrankRuehl" w:cs="FrankRuehl" w:hint="cs"/>
          <w:sz w:val="28"/>
          <w:szCs w:val="28"/>
          <w:rtl/>
        </w:rPr>
        <w:t>שזומן על ידם. עו"ד דעים הוא עוה"ד שאימת את חתימות התובע על מסמכי המתנה ועל</w:t>
      </w:r>
      <w:r w:rsidR="004F0913" w:rsidRPr="004F0913">
        <w:rPr>
          <w:rFonts w:ascii="FrankRuehl" w:hAnsi="FrankRuehl" w:cs="FrankRuehl" w:hint="cs"/>
          <w:sz w:val="28"/>
          <w:szCs w:val="28"/>
          <w:rtl/>
        </w:rPr>
        <w:t xml:space="preserve"> </w:t>
      </w:r>
      <w:r w:rsidR="004705B4" w:rsidRPr="004F0913">
        <w:rPr>
          <w:rFonts w:ascii="FrankRuehl" w:hAnsi="FrankRuehl" w:cs="FrankRuehl" w:hint="cs"/>
          <w:sz w:val="28"/>
          <w:szCs w:val="28"/>
          <w:rtl/>
        </w:rPr>
        <w:t>מסמכי העברת הזכויות שהוגשו ל</w:t>
      </w:r>
      <w:r w:rsidR="00903102">
        <w:rPr>
          <w:rFonts w:ascii="FrankRuehl" w:hAnsi="FrankRuehl" w:cs="FrankRuehl" w:hint="cs"/>
          <w:sz w:val="28"/>
          <w:szCs w:val="28"/>
          <w:rtl/>
        </w:rPr>
        <w:t>-"</w:t>
      </w:r>
      <w:r w:rsidR="004705B4" w:rsidRPr="004F0913">
        <w:rPr>
          <w:rFonts w:ascii="FrankRuehl" w:hAnsi="FrankRuehl" w:cs="FrankRuehl" w:hint="cs"/>
          <w:sz w:val="28"/>
          <w:szCs w:val="28"/>
          <w:rtl/>
        </w:rPr>
        <w:t xml:space="preserve">עמידר החברה </w:t>
      </w:r>
      <w:r w:rsidR="00D957BA" w:rsidRPr="004F0913">
        <w:rPr>
          <w:rFonts w:ascii="FrankRuehl" w:hAnsi="FrankRuehl" w:cs="FrankRuehl" w:hint="cs"/>
          <w:sz w:val="28"/>
          <w:szCs w:val="28"/>
          <w:rtl/>
        </w:rPr>
        <w:t xml:space="preserve">הלאומית </w:t>
      </w:r>
      <w:r w:rsidR="00903102">
        <w:rPr>
          <w:rFonts w:ascii="FrankRuehl" w:hAnsi="FrankRuehl" w:cs="FrankRuehl" w:hint="cs"/>
          <w:sz w:val="28"/>
          <w:szCs w:val="28"/>
          <w:rtl/>
        </w:rPr>
        <w:t>לשכון בישראל בע"מ".</w:t>
      </w:r>
    </w:p>
    <w:p w:rsidR="004705B4" w:rsidRPr="004F0913" w:rsidRDefault="004705B4" w:rsidP="004705B4">
      <w:pPr>
        <w:spacing w:line="360" w:lineRule="auto"/>
        <w:ind w:left="720" w:hanging="720"/>
        <w:jc w:val="both"/>
        <w:rPr>
          <w:rFonts w:ascii="FrankRuehl" w:hAnsi="FrankRuehl" w:cs="FrankRuehl"/>
          <w:sz w:val="28"/>
          <w:szCs w:val="28"/>
          <w:rtl/>
        </w:rPr>
      </w:pPr>
    </w:p>
    <w:p w:rsidR="00DD6AEF" w:rsidRPr="00605F9A" w:rsidRDefault="004705B4" w:rsidP="004705B4">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r>
      <w:r w:rsidRPr="00605F9A">
        <w:rPr>
          <w:rFonts w:ascii="FrankRuehl" w:hAnsi="FrankRuehl" w:cs="FrankRuehl" w:hint="cs"/>
          <w:sz w:val="28"/>
          <w:szCs w:val="28"/>
          <w:rtl/>
        </w:rPr>
        <w:t xml:space="preserve">עו"ד דעים </w:t>
      </w:r>
      <w:r w:rsidR="00DD6AEF" w:rsidRPr="00605F9A">
        <w:rPr>
          <w:rFonts w:ascii="FrankRuehl" w:hAnsi="FrankRuehl" w:cs="FrankRuehl"/>
          <w:sz w:val="28"/>
          <w:szCs w:val="28"/>
          <w:rtl/>
        </w:rPr>
        <w:t>העיד, כי התובע חתם על מסמכי המתנה בפניו והוסברה לתובע העסקה בשפה הערבית אותה הוא דובר. על עדותו זו חזר מספר פעמים. ראו בין היתר, עמוד 14 שורות 18-36, עמוד 16 שורות 10-12, עמוד 18 שורות 22-26, עמוד 19 שורות 1-2, 21-22, עמוד 20 שורות 31-35, עמוד 21 שורה 1, ועוד.</w:t>
      </w:r>
    </w:p>
    <w:p w:rsidR="00DD6AEF" w:rsidRPr="00605F9A" w:rsidRDefault="00DD6AEF" w:rsidP="00DD6AEF">
      <w:pPr>
        <w:spacing w:line="360" w:lineRule="auto"/>
        <w:ind w:left="720" w:hanging="720"/>
        <w:jc w:val="both"/>
        <w:rPr>
          <w:rFonts w:ascii="FrankRuehl" w:hAnsi="FrankRuehl" w:cs="FrankRuehl"/>
          <w:sz w:val="28"/>
          <w:szCs w:val="28"/>
          <w:rtl/>
        </w:rPr>
      </w:pPr>
    </w:p>
    <w:p w:rsidR="00DD6AEF" w:rsidRPr="00605F9A" w:rsidRDefault="00C71C28" w:rsidP="00C71C28">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32</w:t>
      </w:r>
      <w:r w:rsidR="00D2227A" w:rsidRPr="00605F9A">
        <w:rPr>
          <w:rFonts w:ascii="FrankRuehl" w:hAnsi="FrankRuehl" w:cs="FrankRuehl" w:hint="cs"/>
          <w:sz w:val="28"/>
          <w:szCs w:val="28"/>
          <w:rtl/>
        </w:rPr>
        <w:t>.</w:t>
      </w:r>
      <w:r w:rsidR="00D2227A" w:rsidRPr="00605F9A">
        <w:rPr>
          <w:rFonts w:ascii="FrankRuehl" w:hAnsi="FrankRuehl" w:cs="FrankRuehl" w:hint="cs"/>
          <w:sz w:val="28"/>
          <w:szCs w:val="28"/>
          <w:rtl/>
        </w:rPr>
        <w:tab/>
      </w:r>
      <w:r w:rsidR="00DD6AEF" w:rsidRPr="00605F9A">
        <w:rPr>
          <w:rFonts w:ascii="FrankRuehl" w:hAnsi="FrankRuehl" w:cs="FrankRuehl"/>
          <w:sz w:val="28"/>
          <w:szCs w:val="28"/>
          <w:rtl/>
        </w:rPr>
        <w:t xml:space="preserve">אציין כי בעדותו, התובע הכחיש את חתימתו על מסמכי המתנה כמו גם על תצהיר עדותו מוצג ת/2. </w:t>
      </w:r>
      <w:r w:rsidR="00946E41" w:rsidRPr="00605F9A">
        <w:rPr>
          <w:rFonts w:ascii="FrankRuehl" w:hAnsi="FrankRuehl" w:cs="FrankRuehl" w:hint="cs"/>
          <w:sz w:val="28"/>
          <w:szCs w:val="28"/>
          <w:rtl/>
        </w:rPr>
        <w:t xml:space="preserve">ראו </w:t>
      </w:r>
      <w:r w:rsidR="00946E41" w:rsidRPr="00605F9A">
        <w:rPr>
          <w:rFonts w:ascii="FrankRuehl" w:hAnsi="FrankRuehl" w:cs="FrankRuehl"/>
          <w:sz w:val="28"/>
          <w:szCs w:val="28"/>
          <w:rtl/>
        </w:rPr>
        <w:t>עדותו, בין היתר בעמוד 22 שורות 9-12, עמוד 26 שורות 9-15, 25-27</w:t>
      </w:r>
      <w:r w:rsidR="00946E41" w:rsidRPr="00605F9A">
        <w:rPr>
          <w:rFonts w:ascii="FrankRuehl" w:hAnsi="FrankRuehl" w:cs="FrankRuehl" w:hint="cs"/>
          <w:sz w:val="28"/>
          <w:szCs w:val="28"/>
          <w:rtl/>
        </w:rPr>
        <w:t xml:space="preserve">. גרסתו זו בחקירתו, כי החתימות על מסמכי המתנה אינן חתימותיו, משמעותה כי </w:t>
      </w:r>
      <w:r w:rsidR="00946E41" w:rsidRPr="00605F9A">
        <w:rPr>
          <w:rFonts w:ascii="FrankRuehl" w:hAnsi="FrankRuehl" w:cs="FrankRuehl"/>
          <w:sz w:val="28"/>
          <w:szCs w:val="28"/>
          <w:rtl/>
        </w:rPr>
        <w:t>נשמט הבסיס מ</w:t>
      </w:r>
      <w:r w:rsidR="00946E41" w:rsidRPr="00605F9A">
        <w:rPr>
          <w:rFonts w:ascii="FrankRuehl" w:hAnsi="FrankRuehl" w:cs="FrankRuehl" w:hint="cs"/>
          <w:sz w:val="28"/>
          <w:szCs w:val="28"/>
          <w:rtl/>
        </w:rPr>
        <w:t xml:space="preserve">התביעה, </w:t>
      </w:r>
      <w:r w:rsidR="00946E41" w:rsidRPr="00605F9A">
        <w:rPr>
          <w:rFonts w:ascii="FrankRuehl" w:hAnsi="FrankRuehl" w:cs="FrankRuehl"/>
          <w:sz w:val="28"/>
          <w:szCs w:val="28"/>
          <w:rtl/>
        </w:rPr>
        <w:t>שהרי טענת</w:t>
      </w:r>
      <w:r w:rsidR="00946E41" w:rsidRPr="00605F9A">
        <w:rPr>
          <w:rFonts w:ascii="FrankRuehl" w:hAnsi="FrankRuehl" w:cs="FrankRuehl" w:hint="cs"/>
          <w:sz w:val="28"/>
          <w:szCs w:val="28"/>
          <w:rtl/>
        </w:rPr>
        <w:t xml:space="preserve"> התובעים</w:t>
      </w:r>
      <w:r w:rsidR="00946E41" w:rsidRPr="00605F9A">
        <w:rPr>
          <w:rFonts w:ascii="FrankRuehl" w:hAnsi="FrankRuehl" w:cs="FrankRuehl"/>
          <w:sz w:val="28"/>
          <w:szCs w:val="28"/>
          <w:rtl/>
        </w:rPr>
        <w:t xml:space="preserve"> כי </w:t>
      </w:r>
      <w:r w:rsidR="00946E41" w:rsidRPr="00605F9A">
        <w:rPr>
          <w:rFonts w:ascii="FrankRuehl" w:hAnsi="FrankRuehl" w:cs="FrankRuehl" w:hint="cs"/>
          <w:sz w:val="28"/>
          <w:szCs w:val="28"/>
          <w:rtl/>
        </w:rPr>
        <w:t xml:space="preserve">התובע </w:t>
      </w:r>
      <w:r w:rsidR="00946E41" w:rsidRPr="00605F9A">
        <w:rPr>
          <w:rFonts w:ascii="FrankRuehl" w:hAnsi="FrankRuehl" w:cs="FrankRuehl" w:hint="cs"/>
          <w:b/>
          <w:bCs/>
          <w:sz w:val="28"/>
          <w:szCs w:val="28"/>
          <w:rtl/>
        </w:rPr>
        <w:t>חתם</w:t>
      </w:r>
      <w:r w:rsidRPr="00605F9A">
        <w:rPr>
          <w:rFonts w:ascii="FrankRuehl" w:hAnsi="FrankRuehl" w:cs="FrankRuehl" w:hint="cs"/>
          <w:sz w:val="28"/>
          <w:szCs w:val="28"/>
          <w:rtl/>
        </w:rPr>
        <w:t xml:space="preserve"> בשל טעות, </w:t>
      </w:r>
      <w:r w:rsidR="00946E41" w:rsidRPr="00605F9A">
        <w:rPr>
          <w:rFonts w:ascii="FrankRuehl" w:hAnsi="FrankRuehl" w:cs="FrankRuehl"/>
          <w:sz w:val="28"/>
          <w:szCs w:val="28"/>
          <w:rtl/>
        </w:rPr>
        <w:t>הטעייה</w:t>
      </w:r>
      <w:r w:rsidR="00946E41" w:rsidRPr="00605F9A">
        <w:rPr>
          <w:rFonts w:ascii="FrankRuehl" w:hAnsi="FrankRuehl" w:cs="FrankRuehl" w:hint="cs"/>
          <w:sz w:val="28"/>
          <w:szCs w:val="28"/>
          <w:rtl/>
        </w:rPr>
        <w:t>, עושק כפייה, טענות</w:t>
      </w:r>
      <w:r w:rsidR="00946E41" w:rsidRPr="00605F9A">
        <w:rPr>
          <w:rFonts w:ascii="FrankRuehl" w:hAnsi="FrankRuehl" w:cs="FrankRuehl"/>
          <w:sz w:val="28"/>
          <w:szCs w:val="28"/>
          <w:rtl/>
        </w:rPr>
        <w:t xml:space="preserve"> הגובלות בטענת האפסות (</w:t>
      </w:r>
      <w:r w:rsidR="00946E41" w:rsidRPr="00903102">
        <w:rPr>
          <w:rFonts w:ascii="FrankRuehl" w:hAnsi="FrankRuehl" w:cs="FrankRuehl"/>
        </w:rPr>
        <w:t>non est factum</w:t>
      </w:r>
      <w:r w:rsidR="00D957BA">
        <w:rPr>
          <w:rFonts w:ascii="FrankRuehl" w:hAnsi="FrankRuehl" w:cs="FrankRuehl" w:hint="cs"/>
          <w:sz w:val="28"/>
          <w:szCs w:val="28"/>
          <w:rtl/>
        </w:rPr>
        <w:t>)</w:t>
      </w:r>
      <w:r w:rsidRPr="00605F9A">
        <w:rPr>
          <w:rFonts w:ascii="FrankRuehl" w:hAnsi="FrankRuehl" w:cs="FrankRuehl" w:hint="cs"/>
          <w:sz w:val="28"/>
          <w:szCs w:val="28"/>
          <w:rtl/>
        </w:rPr>
        <w:t xml:space="preserve">. טענות אלו מגמלות </w:t>
      </w:r>
      <w:r w:rsidR="00946E41" w:rsidRPr="00605F9A">
        <w:rPr>
          <w:rFonts w:ascii="FrankRuehl" w:hAnsi="FrankRuehl" w:cs="FrankRuehl"/>
          <w:sz w:val="28"/>
          <w:szCs w:val="28"/>
          <w:rtl/>
        </w:rPr>
        <w:t>בחוב</w:t>
      </w:r>
      <w:r w:rsidRPr="00605F9A">
        <w:rPr>
          <w:rFonts w:ascii="FrankRuehl" w:hAnsi="FrankRuehl" w:cs="FrankRuehl" w:hint="cs"/>
          <w:sz w:val="28"/>
          <w:szCs w:val="28"/>
          <w:rtl/>
        </w:rPr>
        <w:t>ן</w:t>
      </w:r>
      <w:r w:rsidR="00946E41" w:rsidRPr="00605F9A">
        <w:rPr>
          <w:rFonts w:ascii="FrankRuehl" w:hAnsi="FrankRuehl" w:cs="FrankRuehl"/>
          <w:sz w:val="28"/>
          <w:szCs w:val="28"/>
          <w:rtl/>
        </w:rPr>
        <w:t xml:space="preserve"> את ההנחה כי </w:t>
      </w:r>
      <w:r w:rsidRPr="00605F9A">
        <w:rPr>
          <w:rFonts w:ascii="FrankRuehl" w:hAnsi="FrankRuehl" w:cs="FrankRuehl" w:hint="cs"/>
          <w:sz w:val="28"/>
          <w:szCs w:val="28"/>
          <w:rtl/>
        </w:rPr>
        <w:t xml:space="preserve">התובע חתם. </w:t>
      </w:r>
      <w:r w:rsidR="00946E41" w:rsidRPr="00605F9A">
        <w:rPr>
          <w:rFonts w:ascii="FrankRuehl" w:hAnsi="FrankRuehl" w:cs="FrankRuehl" w:hint="cs"/>
          <w:sz w:val="28"/>
          <w:szCs w:val="28"/>
          <w:rtl/>
        </w:rPr>
        <w:t>השווה</w:t>
      </w:r>
      <w:r w:rsidRPr="00605F9A">
        <w:rPr>
          <w:rFonts w:ascii="FrankRuehl" w:hAnsi="FrankRuehl" w:cs="FrankRuehl" w:hint="cs"/>
          <w:sz w:val="28"/>
          <w:szCs w:val="28"/>
          <w:rtl/>
        </w:rPr>
        <w:t xml:space="preserve"> גרסתו הנ"ל ל</w:t>
      </w:r>
      <w:r w:rsidR="00946E41" w:rsidRPr="00605F9A">
        <w:rPr>
          <w:rFonts w:ascii="FrankRuehl" w:hAnsi="FrankRuehl" w:cs="FrankRuehl" w:hint="cs"/>
          <w:sz w:val="28"/>
          <w:szCs w:val="28"/>
          <w:rtl/>
        </w:rPr>
        <w:t xml:space="preserve">גרסה מפי ב"כ שהעירה במהלך עדותו </w:t>
      </w:r>
      <w:r w:rsidR="004705B4" w:rsidRPr="00605F9A">
        <w:rPr>
          <w:rFonts w:ascii="FrankRuehl" w:hAnsi="FrankRuehl" w:cs="FrankRuehl" w:hint="cs"/>
          <w:sz w:val="28"/>
          <w:szCs w:val="28"/>
          <w:rtl/>
        </w:rPr>
        <w:t>שהחתימה היא חתימ</w:t>
      </w:r>
      <w:r w:rsidR="00946E41" w:rsidRPr="00605F9A">
        <w:rPr>
          <w:rFonts w:ascii="FrankRuehl" w:hAnsi="FrankRuehl" w:cs="FrankRuehl" w:hint="cs"/>
          <w:sz w:val="28"/>
          <w:szCs w:val="28"/>
          <w:rtl/>
        </w:rPr>
        <w:t xml:space="preserve">תו. ראו </w:t>
      </w:r>
      <w:r w:rsidR="00903102">
        <w:rPr>
          <w:rFonts w:ascii="FrankRuehl" w:hAnsi="FrankRuehl" w:cs="FrankRuehl"/>
          <w:sz w:val="28"/>
          <w:szCs w:val="28"/>
          <w:rtl/>
        </w:rPr>
        <w:t>דברי ב"כ בעמוד 15 שורות 3-5</w:t>
      </w:r>
      <w:r w:rsidR="00903102">
        <w:rPr>
          <w:rFonts w:ascii="FrankRuehl" w:hAnsi="FrankRuehl" w:cs="FrankRuehl" w:hint="cs"/>
          <w:sz w:val="28"/>
          <w:szCs w:val="28"/>
          <w:rtl/>
        </w:rPr>
        <w:t>.</w:t>
      </w:r>
    </w:p>
    <w:p w:rsidR="00D2227A" w:rsidRPr="00605F9A" w:rsidRDefault="00DD6AEF" w:rsidP="00C71C28">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t xml:space="preserve"> </w:t>
      </w:r>
    </w:p>
    <w:p w:rsidR="00DD6AEF" w:rsidRPr="00605F9A" w:rsidRDefault="00C71C28" w:rsidP="00C71C28">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33</w:t>
      </w:r>
      <w:r w:rsidR="00D2227A" w:rsidRPr="00605F9A">
        <w:rPr>
          <w:rFonts w:ascii="FrankRuehl" w:hAnsi="FrankRuehl" w:cs="FrankRuehl" w:hint="cs"/>
          <w:sz w:val="28"/>
          <w:szCs w:val="28"/>
          <w:rtl/>
        </w:rPr>
        <w:t>.</w:t>
      </w:r>
      <w:r w:rsidR="00D2227A" w:rsidRPr="00605F9A">
        <w:rPr>
          <w:rFonts w:ascii="FrankRuehl" w:hAnsi="FrankRuehl" w:cs="FrankRuehl" w:hint="cs"/>
          <w:sz w:val="28"/>
          <w:szCs w:val="28"/>
          <w:rtl/>
        </w:rPr>
        <w:tab/>
        <w:t>גם גרסת</w:t>
      </w:r>
      <w:r w:rsidRPr="00605F9A">
        <w:rPr>
          <w:rFonts w:ascii="FrankRuehl" w:hAnsi="FrankRuehl" w:cs="FrankRuehl" w:hint="cs"/>
          <w:sz w:val="28"/>
          <w:szCs w:val="28"/>
          <w:rtl/>
        </w:rPr>
        <w:t xml:space="preserve"> התובע</w:t>
      </w:r>
      <w:r w:rsidR="00D2227A" w:rsidRPr="00605F9A">
        <w:rPr>
          <w:rFonts w:ascii="FrankRuehl" w:hAnsi="FrankRuehl" w:cs="FrankRuehl" w:hint="cs"/>
          <w:sz w:val="28"/>
          <w:szCs w:val="28"/>
          <w:rtl/>
        </w:rPr>
        <w:t xml:space="preserve"> אשר לסכום הכספים שניתן בידו וזהות נותן הכספים, הייתה לא קוהרנטית. </w:t>
      </w:r>
    </w:p>
    <w:p w:rsidR="00781DA5" w:rsidRPr="00605F9A" w:rsidRDefault="00781DA5" w:rsidP="00781DA5">
      <w:pPr>
        <w:spacing w:line="360" w:lineRule="auto"/>
        <w:ind w:left="720" w:hanging="720"/>
        <w:jc w:val="both"/>
        <w:rPr>
          <w:rFonts w:ascii="FrankRuehl" w:hAnsi="FrankRuehl" w:cs="FrankRuehl"/>
          <w:sz w:val="28"/>
          <w:szCs w:val="28"/>
          <w:rtl/>
        </w:rPr>
      </w:pPr>
    </w:p>
    <w:p w:rsidR="00D2227A" w:rsidRPr="00605F9A" w:rsidRDefault="00D2227A" w:rsidP="009256C8">
      <w:pPr>
        <w:spacing w:line="360" w:lineRule="auto"/>
        <w:ind w:left="720"/>
        <w:jc w:val="both"/>
        <w:rPr>
          <w:rFonts w:ascii="FrankRuehl" w:hAnsi="FrankRuehl" w:cs="FrankRuehl"/>
          <w:sz w:val="28"/>
          <w:szCs w:val="28"/>
          <w:rtl/>
        </w:rPr>
      </w:pPr>
      <w:r w:rsidRPr="00605F9A">
        <w:rPr>
          <w:rFonts w:ascii="FrankRuehl" w:hAnsi="FrankRuehl" w:cs="FrankRuehl" w:hint="cs"/>
          <w:sz w:val="28"/>
          <w:szCs w:val="28"/>
          <w:rtl/>
        </w:rPr>
        <w:t xml:space="preserve">לפי גרסה אחת, </w:t>
      </w:r>
      <w:r w:rsidR="00CA0D79" w:rsidRPr="00605F9A">
        <w:rPr>
          <w:rFonts w:ascii="FrankRuehl" w:hAnsi="FrankRuehl" w:cs="FrankRuehl" w:hint="cs"/>
          <w:sz w:val="28"/>
          <w:szCs w:val="28"/>
          <w:rtl/>
        </w:rPr>
        <w:t>לא לקח כספים כלל מאת הנתבע</w:t>
      </w:r>
      <w:r w:rsidR="0018287B">
        <w:rPr>
          <w:rFonts w:ascii="FrankRuehl" w:hAnsi="FrankRuehl" w:cs="FrankRuehl" w:hint="cs"/>
          <w:sz w:val="28"/>
          <w:szCs w:val="28"/>
          <w:rtl/>
        </w:rPr>
        <w:t xml:space="preserve"> או מ</w:t>
      </w:r>
      <w:r w:rsidR="007F3E1E">
        <w:rPr>
          <w:rFonts w:ascii="FrankRuehl" w:hAnsi="FrankRuehl" w:cs="FrankRuehl" w:hint="cs"/>
          <w:sz w:val="28"/>
          <w:szCs w:val="28"/>
          <w:rtl/>
        </w:rPr>
        <w:t>ע</w:t>
      </w:r>
      <w:r w:rsidR="007F3E1E">
        <w:rPr>
          <w:rFonts w:ascii="FrankRuehl" w:hAnsi="FrankRuehl" w:cs="FrankRuehl"/>
          <w:sz w:val="28"/>
          <w:szCs w:val="28"/>
          <w:rtl/>
        </w:rPr>
        <w:t>'</w:t>
      </w:r>
      <w:r w:rsidR="00CA0D79" w:rsidRPr="00605F9A">
        <w:rPr>
          <w:rFonts w:ascii="FrankRuehl" w:hAnsi="FrankRuehl" w:cs="FrankRuehl" w:hint="cs"/>
          <w:sz w:val="28"/>
          <w:szCs w:val="28"/>
          <w:rtl/>
        </w:rPr>
        <w:t xml:space="preserve">, </w:t>
      </w:r>
      <w:r w:rsidR="00CA0D79" w:rsidRPr="00605F9A">
        <w:rPr>
          <w:rFonts w:ascii="Miriam" w:hAnsi="Miriam" w:cs="Miriam"/>
          <w:rtl/>
        </w:rPr>
        <w:t>"שקל אחד לא לקחתי"</w:t>
      </w:r>
      <w:r w:rsidR="00CA0D79" w:rsidRPr="00605F9A">
        <w:rPr>
          <w:rFonts w:ascii="FrankRuehl" w:hAnsi="FrankRuehl" w:cs="FrankRuehl" w:hint="cs"/>
          <w:sz w:val="28"/>
          <w:szCs w:val="28"/>
          <w:rtl/>
        </w:rPr>
        <w:t xml:space="preserve"> ראו עדותו בעמוד 24 לתמליל שורות 12-14, לפי גרסה שניה, נטל כספים מ</w:t>
      </w:r>
      <w:r w:rsidR="0018287B">
        <w:rPr>
          <w:rFonts w:ascii="FrankRuehl" w:hAnsi="FrankRuehl" w:cs="FrankRuehl" w:hint="cs"/>
          <w:sz w:val="28"/>
          <w:szCs w:val="28"/>
          <w:rtl/>
        </w:rPr>
        <w:t>הנתבע</w:t>
      </w:r>
      <w:r w:rsidR="00CA0D79" w:rsidRPr="00605F9A">
        <w:rPr>
          <w:rFonts w:ascii="FrankRuehl" w:hAnsi="FrankRuehl" w:cs="FrankRuehl" w:hint="cs"/>
          <w:sz w:val="28"/>
          <w:szCs w:val="28"/>
          <w:rtl/>
        </w:rPr>
        <w:t xml:space="preserve"> </w:t>
      </w:r>
      <w:r w:rsidR="00CA0D79" w:rsidRPr="00605F9A">
        <w:rPr>
          <w:rFonts w:ascii="Miriam" w:hAnsi="Miriam" w:cs="Miriam"/>
          <w:rtl/>
        </w:rPr>
        <w:t>"</w:t>
      </w:r>
      <w:r w:rsidR="009256C8">
        <w:rPr>
          <w:rFonts w:ascii="Miriam" w:hAnsi="Miriam" w:cs="Miriam" w:hint="cs"/>
          <w:rtl/>
        </w:rPr>
        <w:t>ס'</w:t>
      </w:r>
      <w:r w:rsidR="00CA0D79" w:rsidRPr="00605F9A">
        <w:rPr>
          <w:rFonts w:ascii="Miriam" w:hAnsi="Miriam" w:cs="Miriam"/>
          <w:rtl/>
        </w:rPr>
        <w:t xml:space="preserve"> נתן לי כסף"</w:t>
      </w:r>
      <w:r w:rsidR="00CA0D79" w:rsidRPr="00605F9A">
        <w:rPr>
          <w:rFonts w:ascii="FrankRuehl" w:hAnsi="FrankRuehl" w:cs="FrankRuehl" w:hint="cs"/>
          <w:sz w:val="28"/>
          <w:szCs w:val="28"/>
          <w:rtl/>
        </w:rPr>
        <w:t xml:space="preserve">, ראו עדותו </w:t>
      </w:r>
      <w:r w:rsidRPr="00605F9A">
        <w:rPr>
          <w:rFonts w:ascii="FrankRuehl" w:hAnsi="FrankRuehl" w:cs="FrankRuehl"/>
          <w:sz w:val="28"/>
          <w:szCs w:val="28"/>
          <w:rtl/>
        </w:rPr>
        <w:t xml:space="preserve">בעמוד 24 </w:t>
      </w:r>
      <w:r w:rsidRPr="00605F9A">
        <w:rPr>
          <w:rFonts w:ascii="FrankRuehl" w:hAnsi="FrankRuehl" w:cs="FrankRuehl" w:hint="cs"/>
          <w:sz w:val="28"/>
          <w:szCs w:val="28"/>
          <w:rtl/>
        </w:rPr>
        <w:t xml:space="preserve">לתמליל, </w:t>
      </w:r>
      <w:r w:rsidRPr="00605F9A">
        <w:rPr>
          <w:rFonts w:ascii="FrankRuehl" w:hAnsi="FrankRuehl" w:cs="FrankRuehl"/>
          <w:sz w:val="28"/>
          <w:szCs w:val="28"/>
          <w:rtl/>
        </w:rPr>
        <w:t xml:space="preserve">שורות 15-16 </w:t>
      </w:r>
      <w:r w:rsidR="00CA0D79" w:rsidRPr="00605F9A">
        <w:rPr>
          <w:rFonts w:ascii="FrankRuehl" w:hAnsi="FrankRuehl" w:cs="FrankRuehl" w:hint="cs"/>
          <w:sz w:val="28"/>
          <w:szCs w:val="28"/>
          <w:rtl/>
        </w:rPr>
        <w:t xml:space="preserve">ואילו לפי גרסה שלישית, </w:t>
      </w:r>
      <w:r w:rsidR="0018287B">
        <w:rPr>
          <w:rFonts w:ascii="FrankRuehl" w:hAnsi="FrankRuehl" w:cs="FrankRuehl" w:hint="cs"/>
          <w:sz w:val="28"/>
          <w:szCs w:val="28"/>
          <w:rtl/>
        </w:rPr>
        <w:t xml:space="preserve">בנו </w:t>
      </w:r>
      <w:r w:rsidR="007F3E1E">
        <w:rPr>
          <w:rFonts w:ascii="FrankRuehl" w:hAnsi="FrankRuehl" w:cs="FrankRuehl" w:hint="cs"/>
          <w:sz w:val="28"/>
          <w:szCs w:val="28"/>
          <w:rtl/>
        </w:rPr>
        <w:t>ע</w:t>
      </w:r>
      <w:r w:rsidR="007F3E1E">
        <w:rPr>
          <w:rFonts w:ascii="FrankRuehl" w:hAnsi="FrankRuehl" w:cs="FrankRuehl"/>
          <w:sz w:val="28"/>
          <w:szCs w:val="28"/>
          <w:rtl/>
        </w:rPr>
        <w:t>'</w:t>
      </w:r>
      <w:r w:rsidR="0018287B">
        <w:rPr>
          <w:rFonts w:ascii="FrankRuehl" w:hAnsi="FrankRuehl" w:cs="FrankRuehl" w:hint="cs"/>
          <w:sz w:val="28"/>
          <w:szCs w:val="28"/>
          <w:rtl/>
        </w:rPr>
        <w:t>- אביו של הנתבע</w:t>
      </w:r>
      <w:r w:rsidR="00CA0D79" w:rsidRPr="00605F9A">
        <w:rPr>
          <w:rFonts w:ascii="FrankRuehl" w:hAnsi="FrankRuehl" w:cs="FrankRuehl" w:hint="cs"/>
          <w:sz w:val="28"/>
          <w:szCs w:val="28"/>
          <w:rtl/>
        </w:rPr>
        <w:t xml:space="preserve">, נתן לו בידו כספים למשמרת, </w:t>
      </w:r>
      <w:r w:rsidR="00CA0D79" w:rsidRPr="00605F9A">
        <w:rPr>
          <w:rFonts w:ascii="Miriam" w:hAnsi="Miriam" w:cs="Miriam" w:hint="cs"/>
          <w:rtl/>
        </w:rPr>
        <w:t>"שיהיה לי כסף מיותר"</w:t>
      </w:r>
      <w:r w:rsidR="0018287B">
        <w:rPr>
          <w:rFonts w:ascii="FrankRuehl" w:hAnsi="FrankRuehl" w:cs="FrankRuehl" w:hint="cs"/>
          <w:sz w:val="28"/>
          <w:szCs w:val="28"/>
          <w:rtl/>
        </w:rPr>
        <w:t xml:space="preserve">, </w:t>
      </w:r>
      <w:r w:rsidR="00CA0D79" w:rsidRPr="00605F9A">
        <w:rPr>
          <w:rFonts w:ascii="FrankRuehl" w:hAnsi="FrankRuehl" w:cs="FrankRuehl" w:hint="cs"/>
          <w:sz w:val="28"/>
          <w:szCs w:val="28"/>
          <w:rtl/>
        </w:rPr>
        <w:t>לאחר ש</w:t>
      </w:r>
      <w:r w:rsidR="007F3E1E">
        <w:rPr>
          <w:rFonts w:ascii="FrankRuehl" w:hAnsi="FrankRuehl" w:cs="FrankRuehl" w:hint="cs"/>
          <w:sz w:val="28"/>
          <w:szCs w:val="28"/>
          <w:rtl/>
        </w:rPr>
        <w:t>ע</w:t>
      </w:r>
      <w:r w:rsidR="007F3E1E">
        <w:rPr>
          <w:rFonts w:ascii="FrankRuehl" w:hAnsi="FrankRuehl" w:cs="FrankRuehl"/>
          <w:sz w:val="28"/>
          <w:szCs w:val="28"/>
          <w:rtl/>
        </w:rPr>
        <w:t>'</w:t>
      </w:r>
      <w:r w:rsidR="0018287B">
        <w:rPr>
          <w:rFonts w:ascii="FrankRuehl" w:hAnsi="FrankRuehl" w:cs="FrankRuehl" w:hint="cs"/>
          <w:sz w:val="28"/>
          <w:szCs w:val="28"/>
          <w:rtl/>
        </w:rPr>
        <w:t xml:space="preserve"> </w:t>
      </w:r>
      <w:r w:rsidR="00CA0D79" w:rsidRPr="00605F9A">
        <w:rPr>
          <w:rFonts w:ascii="FrankRuehl" w:hAnsi="FrankRuehl" w:cs="FrankRuehl" w:hint="cs"/>
          <w:sz w:val="28"/>
          <w:szCs w:val="28"/>
          <w:rtl/>
        </w:rPr>
        <w:t xml:space="preserve"> אמר ל</w:t>
      </w:r>
      <w:r w:rsidR="0018287B">
        <w:rPr>
          <w:rFonts w:ascii="FrankRuehl" w:hAnsi="FrankRuehl" w:cs="FrankRuehl" w:hint="cs"/>
          <w:sz w:val="28"/>
          <w:szCs w:val="28"/>
          <w:rtl/>
        </w:rPr>
        <w:t xml:space="preserve">תובע </w:t>
      </w:r>
      <w:r w:rsidR="00CA0D79" w:rsidRPr="00605F9A">
        <w:rPr>
          <w:rFonts w:ascii="FrankRuehl" w:hAnsi="FrankRuehl" w:cs="FrankRuehl" w:hint="cs"/>
          <w:sz w:val="28"/>
          <w:szCs w:val="28"/>
          <w:rtl/>
        </w:rPr>
        <w:t>שהוא נותן לו את הכספים כדי לא יגנבו ממנ</w:t>
      </w:r>
      <w:r w:rsidR="00C7385B" w:rsidRPr="00605F9A">
        <w:rPr>
          <w:rFonts w:ascii="FrankRuehl" w:hAnsi="FrankRuehl" w:cs="FrankRuehl" w:hint="cs"/>
          <w:sz w:val="28"/>
          <w:szCs w:val="28"/>
          <w:rtl/>
        </w:rPr>
        <w:t>ו (מ</w:t>
      </w:r>
      <w:r w:rsidR="007F3E1E">
        <w:rPr>
          <w:rFonts w:ascii="FrankRuehl" w:hAnsi="FrankRuehl" w:cs="FrankRuehl" w:hint="cs"/>
          <w:sz w:val="28"/>
          <w:szCs w:val="28"/>
          <w:rtl/>
        </w:rPr>
        <w:t>ע</w:t>
      </w:r>
      <w:r w:rsidR="007F3E1E">
        <w:rPr>
          <w:rFonts w:ascii="FrankRuehl" w:hAnsi="FrankRuehl" w:cs="FrankRuehl"/>
          <w:sz w:val="28"/>
          <w:szCs w:val="28"/>
          <w:rtl/>
        </w:rPr>
        <w:t>'</w:t>
      </w:r>
      <w:r w:rsidR="00C7385B" w:rsidRPr="00605F9A">
        <w:rPr>
          <w:rFonts w:ascii="FrankRuehl" w:hAnsi="FrankRuehl" w:cs="FrankRuehl" w:hint="cs"/>
          <w:sz w:val="28"/>
          <w:szCs w:val="28"/>
          <w:rtl/>
        </w:rPr>
        <w:t xml:space="preserve">). ראו </w:t>
      </w:r>
      <w:r w:rsidRPr="00605F9A">
        <w:rPr>
          <w:rFonts w:ascii="FrankRuehl" w:hAnsi="FrankRuehl" w:cs="FrankRuehl" w:hint="cs"/>
          <w:sz w:val="28"/>
          <w:szCs w:val="28"/>
          <w:rtl/>
        </w:rPr>
        <w:t xml:space="preserve">עדותו בעמוד </w:t>
      </w:r>
      <w:r w:rsidR="00781DA5" w:rsidRPr="00605F9A">
        <w:rPr>
          <w:rFonts w:ascii="FrankRuehl" w:hAnsi="FrankRuehl" w:cs="FrankRuehl"/>
          <w:sz w:val="28"/>
          <w:szCs w:val="28"/>
          <w:rtl/>
        </w:rPr>
        <w:t xml:space="preserve">25 </w:t>
      </w:r>
      <w:r w:rsidRPr="00605F9A">
        <w:rPr>
          <w:rFonts w:ascii="FrankRuehl" w:hAnsi="FrankRuehl" w:cs="FrankRuehl" w:hint="cs"/>
          <w:sz w:val="28"/>
          <w:szCs w:val="28"/>
          <w:rtl/>
        </w:rPr>
        <w:t xml:space="preserve">לתמליל </w:t>
      </w:r>
      <w:r w:rsidR="00781DA5" w:rsidRPr="00605F9A">
        <w:rPr>
          <w:rFonts w:ascii="FrankRuehl" w:hAnsi="FrankRuehl" w:cs="FrankRuehl"/>
          <w:sz w:val="28"/>
          <w:szCs w:val="28"/>
          <w:rtl/>
        </w:rPr>
        <w:t>שורות 1-12 לתמליל</w:t>
      </w:r>
      <w:r w:rsidRPr="00605F9A">
        <w:rPr>
          <w:rFonts w:ascii="FrankRuehl" w:hAnsi="FrankRuehl" w:cs="FrankRuehl" w:hint="cs"/>
          <w:sz w:val="28"/>
          <w:szCs w:val="28"/>
          <w:rtl/>
        </w:rPr>
        <w:t xml:space="preserve">, </w:t>
      </w:r>
      <w:r w:rsidR="00781DA5" w:rsidRPr="00605F9A">
        <w:rPr>
          <w:rFonts w:ascii="FrankRuehl" w:hAnsi="FrankRuehl" w:cs="FrankRuehl"/>
          <w:sz w:val="28"/>
          <w:szCs w:val="28"/>
          <w:rtl/>
        </w:rPr>
        <w:t xml:space="preserve">שם תיאר כי </w:t>
      </w:r>
      <w:r w:rsidRPr="00605F9A">
        <w:rPr>
          <w:rFonts w:ascii="FrankRuehl" w:hAnsi="FrankRuehl" w:cs="FrankRuehl" w:hint="cs"/>
          <w:sz w:val="28"/>
          <w:szCs w:val="28"/>
          <w:rtl/>
        </w:rPr>
        <w:t xml:space="preserve"> </w:t>
      </w:r>
      <w:r w:rsidR="007F3E1E">
        <w:rPr>
          <w:rFonts w:ascii="FrankRuehl" w:hAnsi="FrankRuehl" w:cs="FrankRuehl" w:hint="cs"/>
          <w:sz w:val="28"/>
          <w:szCs w:val="28"/>
          <w:rtl/>
        </w:rPr>
        <w:t>ע</w:t>
      </w:r>
      <w:r w:rsidR="007F3E1E">
        <w:rPr>
          <w:rFonts w:ascii="FrankRuehl" w:hAnsi="FrankRuehl" w:cs="FrankRuehl"/>
          <w:sz w:val="28"/>
          <w:szCs w:val="28"/>
          <w:rtl/>
        </w:rPr>
        <w:t>'</w:t>
      </w:r>
      <w:r w:rsidR="0018287B">
        <w:rPr>
          <w:rFonts w:ascii="FrankRuehl" w:hAnsi="FrankRuehl" w:cs="FrankRuehl" w:hint="cs"/>
          <w:sz w:val="28"/>
          <w:szCs w:val="28"/>
          <w:rtl/>
        </w:rPr>
        <w:t xml:space="preserve"> </w:t>
      </w:r>
      <w:r w:rsidR="00781DA5" w:rsidRPr="00605F9A">
        <w:rPr>
          <w:rFonts w:ascii="FrankRuehl" w:hAnsi="FrankRuehl" w:cs="FrankRuehl"/>
          <w:sz w:val="28"/>
          <w:szCs w:val="28"/>
          <w:rtl/>
        </w:rPr>
        <w:t xml:space="preserve">נתן לו </w:t>
      </w:r>
      <w:r w:rsidR="00C7385B" w:rsidRPr="00605F9A">
        <w:rPr>
          <w:rFonts w:ascii="Miriam" w:hAnsi="Miriam" w:cs="Miriam"/>
          <w:rtl/>
        </w:rPr>
        <w:t>"בכוח"</w:t>
      </w:r>
      <w:r w:rsidR="00C7385B" w:rsidRPr="00605F9A">
        <w:rPr>
          <w:rFonts w:ascii="FrankRuehl" w:hAnsi="FrankRuehl" w:cs="FrankRuehl" w:hint="cs"/>
          <w:sz w:val="28"/>
          <w:szCs w:val="28"/>
          <w:rtl/>
        </w:rPr>
        <w:t xml:space="preserve"> </w:t>
      </w:r>
      <w:r w:rsidRPr="00605F9A">
        <w:rPr>
          <w:rFonts w:ascii="FrankRuehl" w:hAnsi="FrankRuehl" w:cs="FrankRuehl" w:hint="cs"/>
          <w:sz w:val="28"/>
          <w:szCs w:val="28"/>
          <w:rtl/>
        </w:rPr>
        <w:t xml:space="preserve">את </w:t>
      </w:r>
      <w:r w:rsidR="00903102">
        <w:rPr>
          <w:rFonts w:ascii="FrankRuehl" w:hAnsi="FrankRuehl" w:cs="FrankRuehl"/>
          <w:sz w:val="28"/>
          <w:szCs w:val="28"/>
          <w:rtl/>
        </w:rPr>
        <w:t>הכספים.</w:t>
      </w:r>
    </w:p>
    <w:p w:rsidR="00C71C28" w:rsidRPr="00605F9A" w:rsidRDefault="00C71C28" w:rsidP="00C7385B">
      <w:pPr>
        <w:spacing w:line="360" w:lineRule="auto"/>
        <w:ind w:left="720"/>
        <w:jc w:val="both"/>
        <w:rPr>
          <w:rFonts w:ascii="FrankRuehl" w:hAnsi="FrankRuehl" w:cs="FrankRuehl"/>
          <w:sz w:val="28"/>
          <w:szCs w:val="28"/>
          <w:rtl/>
        </w:rPr>
      </w:pPr>
    </w:p>
    <w:p w:rsidR="00AA4118" w:rsidRPr="00605F9A" w:rsidRDefault="00C71C28" w:rsidP="00AA4118">
      <w:pPr>
        <w:spacing w:line="360" w:lineRule="auto"/>
        <w:ind w:left="720" w:hanging="720"/>
        <w:jc w:val="both"/>
        <w:rPr>
          <w:rFonts w:ascii="FrankRuehl" w:hAnsi="FrankRuehl" w:cs="FrankRuehl"/>
          <w:sz w:val="28"/>
          <w:szCs w:val="28"/>
          <w:shd w:val="clear" w:color="auto" w:fill="FFFFFF"/>
          <w:rtl/>
        </w:rPr>
      </w:pPr>
      <w:r w:rsidRPr="00605F9A">
        <w:rPr>
          <w:rFonts w:ascii="FrankRuehl" w:hAnsi="FrankRuehl" w:cs="FrankRuehl" w:hint="cs"/>
          <w:sz w:val="28"/>
          <w:szCs w:val="28"/>
          <w:rtl/>
        </w:rPr>
        <w:t>34.</w:t>
      </w:r>
      <w:r w:rsidRPr="00605F9A">
        <w:rPr>
          <w:rFonts w:ascii="FrankRuehl" w:hAnsi="FrankRuehl" w:cs="FrankRuehl" w:hint="cs"/>
          <w:sz w:val="28"/>
          <w:szCs w:val="28"/>
          <w:rtl/>
        </w:rPr>
        <w:tab/>
      </w:r>
      <w:r w:rsidR="00AA4118" w:rsidRPr="00605F9A">
        <w:rPr>
          <w:rFonts w:ascii="FrankRuehl" w:hAnsi="FrankRuehl" w:cs="FrankRuehl" w:hint="cs"/>
          <w:sz w:val="28"/>
          <w:szCs w:val="28"/>
          <w:rtl/>
        </w:rPr>
        <w:t>סעיף 54 לפקו</w:t>
      </w:r>
      <w:r w:rsidR="00913D92" w:rsidRPr="00605F9A">
        <w:rPr>
          <w:rFonts w:ascii="FrankRuehl" w:hAnsi="FrankRuehl" w:cs="FrankRuehl" w:hint="cs"/>
          <w:sz w:val="28"/>
          <w:szCs w:val="28"/>
          <w:rtl/>
        </w:rPr>
        <w:t>ד</w:t>
      </w:r>
      <w:r w:rsidR="00AA4118" w:rsidRPr="00605F9A">
        <w:rPr>
          <w:rFonts w:ascii="FrankRuehl" w:hAnsi="FrankRuehl" w:cs="FrankRuehl" w:hint="cs"/>
          <w:sz w:val="28"/>
          <w:szCs w:val="28"/>
          <w:rtl/>
        </w:rPr>
        <w:t xml:space="preserve">ת הראיות [נוסח חדש], התשל"א-1971 קובע כי </w:t>
      </w:r>
      <w:r w:rsidR="00AA4118" w:rsidRPr="00605F9A">
        <w:rPr>
          <w:rFonts w:ascii="FrankRuehl" w:hAnsi="FrankRuehl" w:cs="FrankRuehl"/>
          <w:sz w:val="28"/>
          <w:szCs w:val="28"/>
          <w:shd w:val="clear" w:color="auto" w:fill="FFFFFF"/>
          <w:rtl/>
        </w:rPr>
        <w:t>לא ניתן ל</w:t>
      </w:r>
      <w:r w:rsidR="00AA4118" w:rsidRPr="00605F9A">
        <w:rPr>
          <w:rFonts w:ascii="FrankRuehl" w:hAnsi="FrankRuehl" w:cs="FrankRuehl" w:hint="cs"/>
          <w:sz w:val="28"/>
          <w:szCs w:val="28"/>
          <w:shd w:val="clear" w:color="auto" w:fill="FFFFFF"/>
          <w:rtl/>
        </w:rPr>
        <w:t xml:space="preserve">קבל גרסת בעל דין, </w:t>
      </w:r>
      <w:r w:rsidR="00AA4118" w:rsidRPr="00605F9A">
        <w:rPr>
          <w:rFonts w:ascii="FrankRuehl" w:hAnsi="FrankRuehl" w:cs="FrankRuehl"/>
          <w:sz w:val="28"/>
          <w:szCs w:val="28"/>
          <w:shd w:val="clear" w:color="auto" w:fill="FFFFFF"/>
          <w:rtl/>
        </w:rPr>
        <w:t>בהסתמך רק על עדות</w:t>
      </w:r>
      <w:r w:rsidR="00AA4118" w:rsidRPr="00605F9A">
        <w:rPr>
          <w:rFonts w:ascii="FrankRuehl" w:hAnsi="FrankRuehl" w:cs="FrankRuehl" w:hint="cs"/>
          <w:sz w:val="28"/>
          <w:szCs w:val="28"/>
          <w:shd w:val="clear" w:color="auto" w:fill="FFFFFF"/>
          <w:rtl/>
        </w:rPr>
        <w:t>ו שהיא עדות יחידה ו</w:t>
      </w:r>
      <w:r w:rsidR="00AA4118" w:rsidRPr="00605F9A">
        <w:rPr>
          <w:rFonts w:ascii="FrankRuehl" w:hAnsi="FrankRuehl" w:cs="FrankRuehl"/>
          <w:sz w:val="28"/>
          <w:szCs w:val="28"/>
          <w:shd w:val="clear" w:color="auto" w:fill="FFFFFF"/>
          <w:rtl/>
        </w:rPr>
        <w:t>ללא סיוע - אלא  במקרים חריגים ומטעמים מיוחדים שיירשמ</w:t>
      </w:r>
      <w:r w:rsidR="00903102">
        <w:rPr>
          <w:rFonts w:ascii="FrankRuehl" w:hAnsi="FrankRuehl" w:cs="FrankRuehl" w:hint="cs"/>
          <w:sz w:val="28"/>
          <w:szCs w:val="28"/>
          <w:shd w:val="clear" w:color="auto" w:fill="FFFFFF"/>
          <w:rtl/>
        </w:rPr>
        <w:t>ו.</w:t>
      </w:r>
    </w:p>
    <w:p w:rsidR="00AA4118" w:rsidRPr="00605F9A" w:rsidRDefault="00AA4118" w:rsidP="00AA4118">
      <w:pPr>
        <w:spacing w:line="360" w:lineRule="auto"/>
        <w:ind w:left="720" w:hanging="720"/>
        <w:jc w:val="both"/>
        <w:rPr>
          <w:rFonts w:ascii="FrankRuehl" w:hAnsi="FrankRuehl" w:cs="FrankRuehl"/>
          <w:sz w:val="28"/>
          <w:szCs w:val="28"/>
          <w:shd w:val="clear" w:color="auto" w:fill="FFFFFF"/>
          <w:rtl/>
        </w:rPr>
      </w:pPr>
    </w:p>
    <w:p w:rsidR="00742A13" w:rsidRPr="00605F9A" w:rsidRDefault="00AA4118" w:rsidP="00333338">
      <w:pPr>
        <w:spacing w:line="360" w:lineRule="auto"/>
        <w:ind w:left="720"/>
        <w:jc w:val="both"/>
        <w:rPr>
          <w:rFonts w:ascii="FrankRuehl" w:hAnsi="FrankRuehl" w:cs="FrankRuehl"/>
          <w:sz w:val="28"/>
          <w:szCs w:val="28"/>
          <w:rtl/>
        </w:rPr>
      </w:pPr>
      <w:r w:rsidRPr="00605F9A">
        <w:rPr>
          <w:rFonts w:ascii="FrankRuehl" w:hAnsi="FrankRuehl" w:cs="FrankRuehl"/>
          <w:sz w:val="28"/>
          <w:szCs w:val="28"/>
          <w:shd w:val="clear" w:color="auto" w:fill="FFFFFF"/>
          <w:rtl/>
        </w:rPr>
        <w:t>במקרה כאן</w:t>
      </w:r>
      <w:r w:rsidRPr="00605F9A">
        <w:rPr>
          <w:rFonts w:ascii="FrankRuehl" w:hAnsi="FrankRuehl" w:cs="FrankRuehl" w:hint="cs"/>
          <w:sz w:val="28"/>
          <w:szCs w:val="28"/>
          <w:shd w:val="clear" w:color="auto" w:fill="FFFFFF"/>
          <w:rtl/>
        </w:rPr>
        <w:t xml:space="preserve">, לא נטען מפי התובע כי מתקיים החריג הקבוע בסעיף 54 לפקדות הראיות [נוסח חדש], התשל"א-1971. לא זו אף זו שגם לגוף השאלה הנ"ל, לא מצאתי טעמים </w:t>
      </w:r>
      <w:r w:rsidRPr="00605F9A">
        <w:rPr>
          <w:rFonts w:ascii="FrankRuehl" w:hAnsi="FrankRuehl" w:cs="FrankRuehl"/>
          <w:sz w:val="28"/>
          <w:szCs w:val="28"/>
          <w:shd w:val="clear" w:color="auto" w:fill="FFFFFF"/>
          <w:rtl/>
        </w:rPr>
        <w:t>מיוחדים</w:t>
      </w:r>
      <w:r w:rsidRPr="00605F9A">
        <w:rPr>
          <w:rFonts w:ascii="FrankRuehl" w:hAnsi="FrankRuehl" w:cs="FrankRuehl" w:hint="cs"/>
          <w:sz w:val="28"/>
          <w:szCs w:val="28"/>
          <w:shd w:val="clear" w:color="auto" w:fill="FFFFFF"/>
          <w:rtl/>
        </w:rPr>
        <w:t xml:space="preserve"> לפסוק על בסיס עדות יחידה של בעל דין וללא סיוע, בפרט מקום בו התובע </w:t>
      </w:r>
      <w:r w:rsidRPr="00605F9A">
        <w:rPr>
          <w:rFonts w:ascii="FrankRuehl" w:hAnsi="FrankRuehl" w:cs="FrankRuehl"/>
          <w:sz w:val="28"/>
          <w:szCs w:val="28"/>
          <w:shd w:val="clear" w:color="auto" w:fill="FFFFFF"/>
          <w:rtl/>
        </w:rPr>
        <w:t>לא הסביר מדוע לא טע</w:t>
      </w:r>
      <w:r w:rsidRPr="00605F9A">
        <w:rPr>
          <w:rFonts w:ascii="FrankRuehl" w:hAnsi="FrankRuehl" w:cs="FrankRuehl" w:hint="cs"/>
          <w:sz w:val="28"/>
          <w:szCs w:val="28"/>
          <w:shd w:val="clear" w:color="auto" w:fill="FFFFFF"/>
          <w:rtl/>
        </w:rPr>
        <w:t xml:space="preserve">ן </w:t>
      </w:r>
      <w:r w:rsidRPr="00605F9A">
        <w:rPr>
          <w:rFonts w:ascii="FrankRuehl" w:hAnsi="FrankRuehl" w:cs="FrankRuehl"/>
          <w:sz w:val="28"/>
          <w:szCs w:val="28"/>
          <w:shd w:val="clear" w:color="auto" w:fill="FFFFFF"/>
          <w:rtl/>
        </w:rPr>
        <w:t>טענותי</w:t>
      </w:r>
      <w:r w:rsidRPr="00605F9A">
        <w:rPr>
          <w:rFonts w:ascii="FrankRuehl" w:hAnsi="FrankRuehl" w:cs="FrankRuehl" w:hint="cs"/>
          <w:sz w:val="28"/>
          <w:szCs w:val="28"/>
          <w:shd w:val="clear" w:color="auto" w:fill="FFFFFF"/>
          <w:rtl/>
        </w:rPr>
        <w:t xml:space="preserve">ו </w:t>
      </w:r>
      <w:r w:rsidRPr="00605F9A">
        <w:rPr>
          <w:rFonts w:ascii="FrankRuehl" w:hAnsi="FrankRuehl" w:cs="FrankRuehl"/>
          <w:sz w:val="28"/>
          <w:szCs w:val="28"/>
          <w:shd w:val="clear" w:color="auto" w:fill="FFFFFF"/>
          <w:rtl/>
        </w:rPr>
        <w:t>קודם ל</w:t>
      </w:r>
      <w:r w:rsidRPr="00605F9A">
        <w:rPr>
          <w:rFonts w:ascii="FrankRuehl" w:hAnsi="FrankRuehl" w:cs="FrankRuehl" w:hint="cs"/>
          <w:sz w:val="28"/>
          <w:szCs w:val="28"/>
          <w:shd w:val="clear" w:color="auto" w:fill="FFFFFF"/>
          <w:rtl/>
        </w:rPr>
        <w:t xml:space="preserve">הגשת התביעה (אם אכן התביעה בהליך </w:t>
      </w:r>
      <w:r w:rsidRPr="00CE55A8">
        <w:rPr>
          <w:rFonts w:ascii="FrankRuehl" w:hAnsi="FrankRuehl" w:cs="FrankRuehl" w:hint="cs"/>
          <w:sz w:val="28"/>
          <w:szCs w:val="28"/>
          <w:shd w:val="clear" w:color="auto" w:fill="FFFFFF"/>
          <w:rtl/>
        </w:rPr>
        <w:t xml:space="preserve">הראשון לא הוגשה מטעמו ואם אכן נודע לו דבר המתנה, בשנת 2017) ועוד לא הסביר מדוע לא </w:t>
      </w:r>
      <w:r w:rsidR="00333338" w:rsidRPr="00CE55A8">
        <w:rPr>
          <w:rFonts w:ascii="FrankRuehl" w:hAnsi="FrankRuehl" w:cs="FrankRuehl" w:hint="cs"/>
          <w:sz w:val="28"/>
          <w:szCs w:val="28"/>
          <w:shd w:val="clear" w:color="auto" w:fill="FFFFFF"/>
          <w:rtl/>
        </w:rPr>
        <w:t xml:space="preserve">הביא </w:t>
      </w:r>
      <w:r w:rsidR="00903102">
        <w:rPr>
          <w:rFonts w:ascii="FrankRuehl" w:hAnsi="FrankRuehl" w:cs="FrankRuehl" w:hint="cs"/>
          <w:sz w:val="28"/>
          <w:szCs w:val="28"/>
          <w:shd w:val="clear" w:color="auto" w:fill="FFFFFF"/>
          <w:rtl/>
        </w:rPr>
        <w:t>עדים נוספים לתמיכה בטענותיו.</w:t>
      </w:r>
    </w:p>
    <w:p w:rsidR="00351EEA" w:rsidRPr="00605F9A" w:rsidRDefault="00351EEA" w:rsidP="00351EEA">
      <w:pPr>
        <w:spacing w:line="360" w:lineRule="auto"/>
        <w:jc w:val="both"/>
        <w:rPr>
          <w:rFonts w:ascii="FrankRuehl" w:hAnsi="FrankRuehl" w:cs="FrankRuehl"/>
          <w:sz w:val="28"/>
          <w:szCs w:val="28"/>
          <w:rtl/>
        </w:rPr>
      </w:pPr>
    </w:p>
    <w:p w:rsidR="00351EEA" w:rsidRPr="00605F9A" w:rsidRDefault="00351EEA" w:rsidP="00333338">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35.</w:t>
      </w:r>
      <w:r w:rsidRPr="00605F9A">
        <w:rPr>
          <w:rFonts w:ascii="FrankRuehl" w:hAnsi="FrankRuehl" w:cs="FrankRuehl" w:hint="cs"/>
          <w:sz w:val="28"/>
          <w:szCs w:val="28"/>
          <w:rtl/>
        </w:rPr>
        <w:tab/>
        <w:t xml:space="preserve">טענותיו לעושק או כפייה או ניצול נזנחו בסיכומיו וממילא גם לא נמצאו להן ראיות וגם לא הוסבר מעת שפסקה הכפייה, מדוע לא פנה התובע לבית המשפט. ראו בהקשר זה הוראת סעיף 20 לחוק </w:t>
      </w:r>
      <w:r w:rsidR="00333338">
        <w:rPr>
          <w:rFonts w:ascii="FrankRuehl" w:hAnsi="FrankRuehl" w:cs="FrankRuehl" w:hint="cs"/>
          <w:sz w:val="28"/>
          <w:szCs w:val="28"/>
          <w:rtl/>
        </w:rPr>
        <w:t>החוזים</w:t>
      </w:r>
      <w:r w:rsidRPr="00605F9A">
        <w:rPr>
          <w:rFonts w:ascii="FrankRuehl" w:hAnsi="FrankRuehl" w:cs="FrankRuehl" w:hint="cs"/>
          <w:sz w:val="28"/>
          <w:szCs w:val="28"/>
          <w:rtl/>
        </w:rPr>
        <w:t xml:space="preserve"> (חלק כללי), התשל"ג-1973 הקובע כי:</w:t>
      </w:r>
    </w:p>
    <w:p w:rsidR="00351EEA" w:rsidRPr="00605F9A" w:rsidRDefault="00351EEA" w:rsidP="00351EEA">
      <w:pPr>
        <w:spacing w:line="360" w:lineRule="auto"/>
        <w:ind w:left="720" w:hanging="720"/>
        <w:jc w:val="both"/>
        <w:rPr>
          <w:rFonts w:ascii="FrankRuehl" w:hAnsi="FrankRuehl" w:cs="FrankRuehl"/>
          <w:sz w:val="28"/>
          <w:szCs w:val="28"/>
          <w:rtl/>
        </w:rPr>
      </w:pPr>
    </w:p>
    <w:p w:rsidR="00351EEA" w:rsidRPr="004F0913" w:rsidRDefault="00351EEA" w:rsidP="00307068">
      <w:pPr>
        <w:ind w:left="1134" w:right="1134"/>
        <w:jc w:val="both"/>
        <w:rPr>
          <w:rFonts w:ascii="Miriam" w:hAnsi="Miriam" w:cs="Miriam"/>
          <w:shd w:val="clear" w:color="auto" w:fill="FFFFFF"/>
          <w:rtl/>
        </w:rPr>
      </w:pPr>
      <w:r w:rsidRPr="00605F9A">
        <w:rPr>
          <w:rFonts w:ascii="Miriam" w:hAnsi="Miriam" w:cs="Miriam" w:hint="cs"/>
          <w:shd w:val="clear" w:color="auto" w:fill="FFFFFF"/>
          <w:rtl/>
        </w:rPr>
        <w:t>"</w:t>
      </w:r>
      <w:r w:rsidRPr="00605F9A">
        <w:rPr>
          <w:rFonts w:ascii="Miriam" w:hAnsi="Miriam" w:cs="Miriam"/>
          <w:shd w:val="clear" w:color="auto" w:fill="FFFFFF"/>
          <w:rtl/>
        </w:rPr>
        <w:t>ביטול החוזה יהיה בהודעת המתקשר לצד השני תוך זמן סביר לאחר שנודע לו על עילת הביטול, ובמקרה של כפיה – תוך זמן סביר לאחר שנודע לו שפסקה הכפיה</w:t>
      </w:r>
      <w:r w:rsidRPr="00605F9A">
        <w:rPr>
          <w:rFonts w:ascii="Miriam" w:hAnsi="Miriam" w:cs="Miriam" w:hint="cs"/>
          <w:shd w:val="clear" w:color="auto" w:fill="FFFFFF"/>
          <w:rtl/>
        </w:rPr>
        <w:t>".</w:t>
      </w:r>
    </w:p>
    <w:p w:rsidR="00351EEA" w:rsidRPr="004F0913" w:rsidRDefault="00351EEA" w:rsidP="00351EEA">
      <w:pPr>
        <w:ind w:left="720"/>
        <w:jc w:val="both"/>
        <w:rPr>
          <w:rFonts w:ascii="Miriam" w:hAnsi="Miriam" w:cs="Miriam"/>
          <w:shd w:val="clear" w:color="auto" w:fill="FFFFFF"/>
          <w:rtl/>
        </w:rPr>
      </w:pPr>
      <w:r w:rsidRPr="004F0913">
        <w:rPr>
          <w:rFonts w:ascii="Miriam" w:hAnsi="Miriam" w:cs="Miriam"/>
          <w:rtl/>
        </w:rPr>
        <w:t xml:space="preserve"> </w:t>
      </w:r>
    </w:p>
    <w:p w:rsidR="004F0913" w:rsidRPr="004F0913" w:rsidRDefault="00AA4118" w:rsidP="004840F5">
      <w:pPr>
        <w:spacing w:line="360" w:lineRule="auto"/>
        <w:ind w:left="720" w:hanging="720"/>
        <w:jc w:val="both"/>
        <w:rPr>
          <w:rFonts w:ascii="FrankRuehl" w:hAnsi="FrankRuehl" w:cs="FrankRuehl"/>
          <w:sz w:val="28"/>
          <w:szCs w:val="28"/>
          <w:rtl/>
        </w:rPr>
      </w:pPr>
      <w:r w:rsidRPr="004F0913">
        <w:rPr>
          <w:rFonts w:ascii="FrankRuehl" w:hAnsi="FrankRuehl" w:cs="FrankRuehl" w:hint="cs"/>
          <w:sz w:val="28"/>
          <w:szCs w:val="28"/>
          <w:rtl/>
        </w:rPr>
        <w:t>35</w:t>
      </w:r>
      <w:r w:rsidR="00781DA5" w:rsidRPr="004F0913">
        <w:rPr>
          <w:rFonts w:ascii="FrankRuehl" w:hAnsi="FrankRuehl" w:cs="FrankRuehl"/>
          <w:sz w:val="28"/>
          <w:szCs w:val="28"/>
          <w:rtl/>
        </w:rPr>
        <w:t>.</w:t>
      </w:r>
      <w:r w:rsidR="00781DA5" w:rsidRPr="004F0913">
        <w:rPr>
          <w:rFonts w:ascii="FrankRuehl" w:hAnsi="FrankRuehl" w:cs="FrankRuehl"/>
          <w:sz w:val="28"/>
          <w:szCs w:val="28"/>
          <w:rtl/>
        </w:rPr>
        <w:tab/>
      </w:r>
      <w:r w:rsidRPr="004F0913">
        <w:rPr>
          <w:rFonts w:ascii="FrankRuehl" w:hAnsi="FrankRuehl" w:cs="FrankRuehl"/>
          <w:sz w:val="28"/>
          <w:szCs w:val="28"/>
          <w:rtl/>
        </w:rPr>
        <w:t>על כן התובע</w:t>
      </w:r>
      <w:r w:rsidR="004840F5" w:rsidRPr="004F0913">
        <w:rPr>
          <w:rFonts w:ascii="FrankRuehl" w:hAnsi="FrankRuehl" w:cs="FrankRuehl" w:hint="cs"/>
          <w:sz w:val="28"/>
          <w:szCs w:val="28"/>
          <w:rtl/>
        </w:rPr>
        <w:t xml:space="preserve"> </w:t>
      </w:r>
      <w:r w:rsidRPr="004F0913">
        <w:rPr>
          <w:rFonts w:ascii="FrankRuehl" w:hAnsi="FrankRuehl" w:cs="FrankRuehl"/>
          <w:sz w:val="28"/>
          <w:szCs w:val="28"/>
          <w:rtl/>
        </w:rPr>
        <w:t xml:space="preserve"> לא עמד בנטל להוכיח</w:t>
      </w:r>
      <w:r w:rsidR="004840F5" w:rsidRPr="004F0913">
        <w:rPr>
          <w:rFonts w:ascii="FrankRuehl" w:hAnsi="FrankRuehl" w:cs="FrankRuehl" w:hint="cs"/>
          <w:sz w:val="28"/>
          <w:szCs w:val="28"/>
          <w:rtl/>
        </w:rPr>
        <w:t xml:space="preserve"> </w:t>
      </w:r>
      <w:r w:rsidR="00903102">
        <w:rPr>
          <w:rFonts w:ascii="FrankRuehl" w:hAnsi="FrankRuehl" w:cs="FrankRuehl" w:hint="cs"/>
          <w:sz w:val="28"/>
          <w:szCs w:val="28"/>
          <w:rtl/>
        </w:rPr>
        <w:t>תביעתו.</w:t>
      </w:r>
    </w:p>
    <w:p w:rsidR="00351EEA" w:rsidRPr="00605F9A" w:rsidRDefault="00351EEA" w:rsidP="00AA4118">
      <w:pPr>
        <w:spacing w:line="360" w:lineRule="auto"/>
        <w:ind w:left="720" w:hanging="720"/>
        <w:jc w:val="both"/>
        <w:rPr>
          <w:rFonts w:ascii="FrankRuehl" w:hAnsi="FrankRuehl" w:cs="FrankRuehl"/>
          <w:sz w:val="28"/>
          <w:szCs w:val="28"/>
          <w:rtl/>
        </w:rPr>
      </w:pPr>
    </w:p>
    <w:p w:rsidR="00AA41AC" w:rsidRDefault="00351EEA" w:rsidP="004F0913">
      <w:pPr>
        <w:spacing w:line="360" w:lineRule="auto"/>
        <w:ind w:left="720" w:hanging="720"/>
        <w:jc w:val="both"/>
        <w:rPr>
          <w:rFonts w:ascii="FrankRuehl" w:hAnsi="FrankRuehl" w:cs="FrankRuehl"/>
          <w:sz w:val="28"/>
          <w:szCs w:val="28"/>
          <w:rtl/>
        </w:rPr>
      </w:pPr>
      <w:r w:rsidRPr="00605F9A">
        <w:rPr>
          <w:rFonts w:ascii="FrankRuehl" w:hAnsi="FrankRuehl" w:cs="FrankRuehl" w:hint="cs"/>
          <w:sz w:val="28"/>
          <w:szCs w:val="28"/>
          <w:rtl/>
        </w:rPr>
        <w:t>36.</w:t>
      </w:r>
      <w:r w:rsidRPr="00605F9A">
        <w:rPr>
          <w:rFonts w:ascii="FrankRuehl" w:hAnsi="FrankRuehl" w:cs="FrankRuehl" w:hint="cs"/>
          <w:sz w:val="28"/>
          <w:szCs w:val="28"/>
          <w:rtl/>
        </w:rPr>
        <w:tab/>
        <w:t xml:space="preserve">אשר לטענות התובעת, התובעים לא הסבירו </w:t>
      </w:r>
      <w:r w:rsidR="00AA41AC" w:rsidRPr="00605F9A">
        <w:rPr>
          <w:rFonts w:ascii="FrankRuehl" w:hAnsi="FrankRuehl" w:cs="FrankRuehl" w:hint="cs"/>
          <w:sz w:val="28"/>
          <w:szCs w:val="28"/>
          <w:rtl/>
        </w:rPr>
        <w:t xml:space="preserve">מהי עילת התביעה העומדת לתובעת, </w:t>
      </w:r>
      <w:r w:rsidR="00307068">
        <w:rPr>
          <w:rFonts w:ascii="FrankRuehl" w:hAnsi="FrankRuehl" w:cs="FrankRuehl" w:hint="cs"/>
          <w:sz w:val="28"/>
          <w:szCs w:val="28"/>
          <w:rtl/>
        </w:rPr>
        <w:t xml:space="preserve">בשלה יש להורות על </w:t>
      </w:r>
      <w:r w:rsidR="00AA41AC" w:rsidRPr="00605F9A">
        <w:rPr>
          <w:rFonts w:ascii="FrankRuehl" w:hAnsi="FrankRuehl" w:cs="FrankRuehl" w:hint="cs"/>
          <w:sz w:val="28"/>
          <w:szCs w:val="28"/>
          <w:rtl/>
        </w:rPr>
        <w:t>ביטול מסמכי המ</w:t>
      </w:r>
      <w:r w:rsidRPr="00605F9A">
        <w:rPr>
          <w:rFonts w:ascii="FrankRuehl" w:hAnsi="FrankRuehl" w:cs="FrankRuehl" w:hint="cs"/>
          <w:sz w:val="28"/>
          <w:szCs w:val="28"/>
          <w:rtl/>
        </w:rPr>
        <w:t>ת</w:t>
      </w:r>
      <w:r w:rsidR="00AA41AC" w:rsidRPr="00605F9A">
        <w:rPr>
          <w:rFonts w:ascii="FrankRuehl" w:hAnsi="FrankRuehl" w:cs="FrankRuehl" w:hint="cs"/>
          <w:sz w:val="28"/>
          <w:szCs w:val="28"/>
          <w:rtl/>
        </w:rPr>
        <w:t>נ</w:t>
      </w:r>
      <w:r w:rsidRPr="00605F9A">
        <w:rPr>
          <w:rFonts w:ascii="FrankRuehl" w:hAnsi="FrankRuehl" w:cs="FrankRuehl" w:hint="cs"/>
          <w:sz w:val="28"/>
          <w:szCs w:val="28"/>
          <w:rtl/>
        </w:rPr>
        <w:t>ה</w:t>
      </w:r>
      <w:r w:rsidR="00AA41AC" w:rsidRPr="00605F9A">
        <w:rPr>
          <w:rFonts w:ascii="FrankRuehl" w:hAnsi="FrankRuehl" w:cs="FrankRuehl" w:hint="cs"/>
          <w:sz w:val="28"/>
          <w:szCs w:val="28"/>
          <w:rtl/>
        </w:rPr>
        <w:t>.</w:t>
      </w:r>
      <w:r w:rsidR="00781DA5" w:rsidRPr="00605F9A">
        <w:rPr>
          <w:rFonts w:ascii="FrankRuehl" w:hAnsi="FrankRuehl" w:cs="FrankRuehl"/>
          <w:sz w:val="28"/>
          <w:szCs w:val="28"/>
          <w:rtl/>
        </w:rPr>
        <w:t xml:space="preserve"> נישואיה לתובע אינם מקנים ל</w:t>
      </w:r>
      <w:r w:rsidR="00AA41AC" w:rsidRPr="00605F9A">
        <w:rPr>
          <w:rFonts w:ascii="FrankRuehl" w:hAnsi="FrankRuehl" w:cs="FrankRuehl" w:hint="cs"/>
          <w:sz w:val="28"/>
          <w:szCs w:val="28"/>
          <w:rtl/>
        </w:rPr>
        <w:t>תובעת</w:t>
      </w:r>
      <w:r w:rsidR="00781DA5" w:rsidRPr="00605F9A">
        <w:rPr>
          <w:rFonts w:ascii="FrankRuehl" w:hAnsi="FrankRuehl" w:cs="FrankRuehl"/>
          <w:sz w:val="28"/>
          <w:szCs w:val="28"/>
          <w:rtl/>
        </w:rPr>
        <w:t xml:space="preserve"> זכות תביעה </w:t>
      </w:r>
      <w:r w:rsidR="00AA41AC" w:rsidRPr="00605F9A">
        <w:rPr>
          <w:rFonts w:ascii="FrankRuehl" w:hAnsi="FrankRuehl" w:cs="FrankRuehl" w:hint="cs"/>
          <w:sz w:val="28"/>
          <w:szCs w:val="28"/>
          <w:rtl/>
        </w:rPr>
        <w:t>מכוח פגם ברצון של התובע, מקום בו הטענה לפגם ברצון נדחתה. אשר לטענות הנובעות מהעובדה כי התובעת נישאה לתובע, הרי ש</w:t>
      </w:r>
      <w:r w:rsidR="004F0913">
        <w:rPr>
          <w:rFonts w:ascii="FrankRuehl" w:hAnsi="FrankRuehl" w:cs="FrankRuehl" w:hint="cs"/>
          <w:sz w:val="28"/>
          <w:szCs w:val="28"/>
          <w:rtl/>
        </w:rPr>
        <w:t xml:space="preserve">על התובעים חל משטר רכושי כקבוע בחוק יחסי ממון בין בני זוג, התשל"ג-1973. לכן, </w:t>
      </w:r>
      <w:r w:rsidR="00781DA5" w:rsidRPr="00605F9A">
        <w:rPr>
          <w:rFonts w:ascii="FrankRuehl" w:hAnsi="FrankRuehl" w:cs="FrankRuehl"/>
          <w:sz w:val="28"/>
          <w:szCs w:val="28"/>
          <w:rtl/>
        </w:rPr>
        <w:t>הגם שמדובר בנכס שנרכש לאחר הנישואין</w:t>
      </w:r>
      <w:r w:rsidR="00AA41AC" w:rsidRPr="00605F9A">
        <w:rPr>
          <w:rFonts w:ascii="FrankRuehl" w:hAnsi="FrankRuehl" w:cs="FrankRuehl" w:hint="cs"/>
          <w:sz w:val="28"/>
          <w:szCs w:val="28"/>
          <w:rtl/>
        </w:rPr>
        <w:t>, הרי שזכותה היא לא</w:t>
      </w:r>
      <w:r w:rsidR="00781DA5" w:rsidRPr="00605F9A">
        <w:rPr>
          <w:rFonts w:ascii="FrankRuehl" w:hAnsi="FrankRuehl" w:cs="FrankRuehl"/>
          <w:sz w:val="28"/>
          <w:szCs w:val="28"/>
          <w:rtl/>
        </w:rPr>
        <w:t xml:space="preserve">יזון משאבים </w:t>
      </w:r>
      <w:r w:rsidR="00AA41AC" w:rsidRPr="00605F9A">
        <w:rPr>
          <w:rFonts w:ascii="FrankRuehl" w:hAnsi="FrankRuehl" w:cs="FrankRuehl" w:hint="cs"/>
          <w:sz w:val="28"/>
          <w:szCs w:val="28"/>
          <w:rtl/>
        </w:rPr>
        <w:t>ולא נטענה בתביעה טענה לזכות קניין, אם מכוח שיתוף ספציפי, אם מכוח דין אחר.</w:t>
      </w:r>
    </w:p>
    <w:p w:rsidR="00307068" w:rsidRPr="00605F9A" w:rsidRDefault="00307068" w:rsidP="00307068">
      <w:pPr>
        <w:spacing w:line="360" w:lineRule="auto"/>
        <w:ind w:left="720" w:hanging="720"/>
        <w:jc w:val="both"/>
        <w:rPr>
          <w:rFonts w:ascii="FrankRuehl" w:hAnsi="FrankRuehl" w:cs="FrankRuehl"/>
          <w:sz w:val="28"/>
          <w:szCs w:val="28"/>
          <w:rtl/>
        </w:rPr>
      </w:pPr>
    </w:p>
    <w:p w:rsidR="00D94520" w:rsidRPr="00605F9A" w:rsidRDefault="00D94520" w:rsidP="00605F9A">
      <w:pPr>
        <w:spacing w:line="360" w:lineRule="auto"/>
        <w:ind w:left="720" w:hanging="720"/>
        <w:jc w:val="both"/>
        <w:rPr>
          <w:rFonts w:ascii="FrankRuehl" w:hAnsi="FrankRuehl" w:cs="FrankRuehl"/>
          <w:sz w:val="28"/>
          <w:szCs w:val="28"/>
          <w:rtl/>
        </w:rPr>
      </w:pPr>
      <w:r w:rsidRPr="00605F9A">
        <w:rPr>
          <w:rFonts w:ascii="FrankRuehl" w:hAnsi="FrankRuehl" w:cs="FrankRuehl"/>
          <w:sz w:val="28"/>
          <w:szCs w:val="28"/>
          <w:rtl/>
        </w:rPr>
        <w:tab/>
      </w:r>
      <w:r w:rsidRPr="00605F9A">
        <w:rPr>
          <w:rFonts w:ascii="FrankRuehl" w:hAnsi="FrankRuehl" w:cs="FrankRuehl" w:hint="cs"/>
          <w:sz w:val="28"/>
          <w:szCs w:val="28"/>
          <w:rtl/>
        </w:rPr>
        <w:t>הטענה כי היה על עו"ד דעים לברר עמדת התובעת אשר למתנה וכי הוא לא יוצג כראוי על ידו בעת החתימה על מסמכי המתנה אינה מקימה עילת תביעה כנגד הנתבע.</w:t>
      </w:r>
    </w:p>
    <w:p w:rsidR="00781DA5" w:rsidRPr="00605F9A" w:rsidRDefault="00781DA5" w:rsidP="00781DA5">
      <w:pPr>
        <w:spacing w:line="360" w:lineRule="auto"/>
        <w:ind w:left="720" w:hanging="720"/>
        <w:jc w:val="both"/>
        <w:rPr>
          <w:rFonts w:ascii="FrankRuehl" w:hAnsi="FrankRuehl" w:cs="FrankRuehl"/>
          <w:sz w:val="28"/>
          <w:szCs w:val="28"/>
          <w:rtl/>
        </w:rPr>
      </w:pPr>
    </w:p>
    <w:p w:rsidR="00781DA5" w:rsidRPr="002408BC" w:rsidRDefault="00781DA5" w:rsidP="00781DA5">
      <w:pPr>
        <w:spacing w:line="360" w:lineRule="auto"/>
        <w:ind w:left="720" w:hanging="720"/>
        <w:jc w:val="both"/>
        <w:rPr>
          <w:rFonts w:ascii="FrankRuehl" w:hAnsi="FrankRuehl" w:cs="FrankRuehl"/>
          <w:b/>
          <w:bCs/>
          <w:sz w:val="28"/>
          <w:szCs w:val="28"/>
          <w:rtl/>
        </w:rPr>
      </w:pPr>
      <w:r w:rsidRPr="00605F9A">
        <w:rPr>
          <w:rFonts w:ascii="FrankRuehl" w:hAnsi="FrankRuehl" w:cs="FrankRuehl"/>
          <w:sz w:val="28"/>
          <w:szCs w:val="28"/>
          <w:rtl/>
        </w:rPr>
        <w:t>24.</w:t>
      </w:r>
      <w:r w:rsidRPr="00605F9A">
        <w:rPr>
          <w:rFonts w:ascii="FrankRuehl" w:hAnsi="FrankRuehl" w:cs="FrankRuehl"/>
          <w:sz w:val="28"/>
          <w:szCs w:val="28"/>
          <w:rtl/>
        </w:rPr>
        <w:tab/>
      </w:r>
      <w:r w:rsidRPr="002408BC">
        <w:rPr>
          <w:rFonts w:ascii="FrankRuehl" w:hAnsi="FrankRuehl" w:cs="FrankRuehl"/>
          <w:b/>
          <w:bCs/>
          <w:sz w:val="28"/>
          <w:szCs w:val="28"/>
          <w:rtl/>
        </w:rPr>
        <w:t>לאור האמור אני דוחה את התביעה.</w:t>
      </w:r>
    </w:p>
    <w:p w:rsidR="00781DA5" w:rsidRPr="002408BC" w:rsidRDefault="00781DA5" w:rsidP="00690AB5">
      <w:pPr>
        <w:spacing w:line="360" w:lineRule="auto"/>
        <w:ind w:left="720" w:hanging="720"/>
        <w:jc w:val="both"/>
        <w:rPr>
          <w:rFonts w:ascii="FrankRuehl" w:hAnsi="FrankRuehl" w:cs="FrankRuehl"/>
          <w:b/>
          <w:bCs/>
          <w:sz w:val="28"/>
          <w:szCs w:val="28"/>
          <w:rtl/>
        </w:rPr>
      </w:pPr>
      <w:r w:rsidRPr="002408BC">
        <w:rPr>
          <w:rFonts w:ascii="FrankRuehl" w:hAnsi="FrankRuehl" w:cs="FrankRuehl"/>
          <w:b/>
          <w:bCs/>
          <w:sz w:val="28"/>
          <w:szCs w:val="28"/>
          <w:rtl/>
        </w:rPr>
        <w:tab/>
        <w:t>התובעים ישלמו לנתבע הוצאות משפט סך 2,000 ₪ ושכר טרחת עו"ד סך 12,000 ₪.</w:t>
      </w:r>
    </w:p>
    <w:p w:rsidR="00781DA5" w:rsidRDefault="00781DA5" w:rsidP="00781DA5">
      <w:pPr>
        <w:spacing w:line="360" w:lineRule="auto"/>
        <w:ind w:left="720" w:hanging="720"/>
        <w:jc w:val="both"/>
        <w:rPr>
          <w:rFonts w:ascii="FrankRuehl" w:hAnsi="FrankRuehl" w:cs="FrankRuehl"/>
          <w:sz w:val="28"/>
          <w:szCs w:val="28"/>
          <w:rtl/>
        </w:rPr>
      </w:pPr>
    </w:p>
    <w:p w:rsidR="004F0913" w:rsidRDefault="004F0913" w:rsidP="004C3DF3">
      <w:pPr>
        <w:spacing w:line="360" w:lineRule="auto"/>
        <w:ind w:left="720" w:hanging="720"/>
        <w:jc w:val="both"/>
        <w:rPr>
          <w:rFonts w:ascii="FrankRuehl" w:hAnsi="FrankRuehl" w:cs="FrankRuehl"/>
          <w:sz w:val="28"/>
          <w:szCs w:val="28"/>
          <w:rtl/>
        </w:rPr>
      </w:pPr>
      <w:r>
        <w:rPr>
          <w:rFonts w:ascii="FrankRuehl" w:hAnsi="FrankRuehl" w:cs="FrankRuehl" w:hint="cs"/>
          <w:sz w:val="28"/>
          <w:szCs w:val="28"/>
          <w:rtl/>
        </w:rPr>
        <w:t>25.</w:t>
      </w:r>
      <w:r>
        <w:rPr>
          <w:rFonts w:ascii="FrankRuehl" w:hAnsi="FrankRuehl" w:cs="FrankRuehl" w:hint="cs"/>
          <w:sz w:val="28"/>
          <w:szCs w:val="28"/>
          <w:rtl/>
        </w:rPr>
        <w:tab/>
        <w:t xml:space="preserve">אשר לפיצול סעדים, אני מתירה לתובע לפצל סעדיו </w:t>
      </w:r>
      <w:r w:rsidR="004C3DF3">
        <w:rPr>
          <w:rFonts w:ascii="FrankRuehl" w:hAnsi="FrankRuehl" w:cs="FrankRuehl" w:hint="cs"/>
          <w:sz w:val="28"/>
          <w:szCs w:val="28"/>
          <w:rtl/>
        </w:rPr>
        <w:t xml:space="preserve">בנוגע להגשת </w:t>
      </w:r>
      <w:r>
        <w:rPr>
          <w:rFonts w:ascii="FrankRuehl" w:hAnsi="FrankRuehl" w:cs="FrankRuehl" w:hint="cs"/>
          <w:sz w:val="28"/>
          <w:szCs w:val="28"/>
          <w:rtl/>
        </w:rPr>
        <w:t xml:space="preserve">תביעה לביטול מתנה </w:t>
      </w:r>
      <w:r w:rsidR="004C3DF3">
        <w:rPr>
          <w:rFonts w:ascii="FrankRuehl" w:hAnsi="FrankRuehl" w:cs="FrankRuehl" w:hint="cs"/>
          <w:sz w:val="28"/>
          <w:szCs w:val="28"/>
          <w:rtl/>
        </w:rPr>
        <w:t xml:space="preserve">על בסיס סעיף 5 להוראות חוק </w:t>
      </w:r>
      <w:r w:rsidR="004C3DF3" w:rsidRPr="00605F9A">
        <w:rPr>
          <w:rFonts w:ascii="Calibri" w:hAnsi="Calibri" w:cs="FrankRuehl"/>
          <w:sz w:val="28"/>
          <w:szCs w:val="28"/>
          <w:rtl/>
        </w:rPr>
        <w:t xml:space="preserve">המתנה </w:t>
      </w:r>
      <w:r w:rsidR="004C3DF3" w:rsidRPr="00605F9A">
        <w:rPr>
          <w:rFonts w:ascii="Calibri" w:hAnsi="Calibri" w:cs="FrankRuehl" w:hint="cs"/>
          <w:sz w:val="28"/>
          <w:szCs w:val="28"/>
          <w:rtl/>
        </w:rPr>
        <w:t>התשכ"ח-1968</w:t>
      </w:r>
      <w:r w:rsidR="004C3DF3">
        <w:rPr>
          <w:rFonts w:ascii="FrankRuehl" w:hAnsi="FrankRuehl" w:cs="FrankRuehl" w:hint="cs"/>
          <w:sz w:val="28"/>
          <w:szCs w:val="28"/>
          <w:rtl/>
        </w:rPr>
        <w:t>, ככול שהוא חל ומ</w:t>
      </w:r>
      <w:r>
        <w:rPr>
          <w:rFonts w:ascii="FrankRuehl" w:hAnsi="FrankRuehl" w:cs="FrankRuehl" w:hint="cs"/>
          <w:sz w:val="28"/>
          <w:szCs w:val="28"/>
          <w:rtl/>
        </w:rPr>
        <w:t xml:space="preserve">בלי </w:t>
      </w:r>
      <w:r w:rsidR="004C3DF3">
        <w:rPr>
          <w:rFonts w:ascii="FrankRuehl" w:hAnsi="FrankRuehl" w:cs="FrankRuehl" w:hint="cs"/>
          <w:sz w:val="28"/>
          <w:szCs w:val="28"/>
          <w:rtl/>
        </w:rPr>
        <w:t xml:space="preserve">להביע עמדה </w:t>
      </w:r>
      <w:r>
        <w:rPr>
          <w:rFonts w:ascii="FrankRuehl" w:hAnsi="FrankRuehl" w:cs="FrankRuehl" w:hint="cs"/>
          <w:sz w:val="28"/>
          <w:szCs w:val="28"/>
          <w:rtl/>
        </w:rPr>
        <w:t>אשר ל</w:t>
      </w:r>
      <w:r w:rsidR="004C3DF3">
        <w:rPr>
          <w:rFonts w:ascii="FrankRuehl" w:hAnsi="FrankRuehl" w:cs="FrankRuehl" w:hint="cs"/>
          <w:sz w:val="28"/>
          <w:szCs w:val="28"/>
          <w:rtl/>
        </w:rPr>
        <w:t>סיכויי התביעה הנ"ל. אשר לטענות כנגד עו"ד דעים, אין צורך בפיצול סעדים.</w:t>
      </w:r>
    </w:p>
    <w:p w:rsidR="004C3DF3" w:rsidRPr="00605F9A" w:rsidRDefault="004C3DF3" w:rsidP="004C3DF3">
      <w:pPr>
        <w:spacing w:line="360" w:lineRule="auto"/>
        <w:ind w:left="720" w:hanging="720"/>
        <w:jc w:val="both"/>
        <w:rPr>
          <w:rFonts w:ascii="FrankRuehl" w:hAnsi="FrankRuehl" w:cs="FrankRuehl"/>
          <w:sz w:val="28"/>
          <w:szCs w:val="28"/>
          <w:rtl/>
        </w:rPr>
      </w:pPr>
    </w:p>
    <w:p w:rsidR="00781DA5" w:rsidRPr="00605F9A" w:rsidRDefault="00781DA5" w:rsidP="00781DA5">
      <w:pPr>
        <w:spacing w:line="360" w:lineRule="auto"/>
        <w:ind w:left="720" w:hanging="720"/>
        <w:jc w:val="both"/>
        <w:rPr>
          <w:rFonts w:ascii="FrankRuehl" w:hAnsi="FrankRuehl" w:cs="FrankRuehl"/>
          <w:b/>
          <w:bCs/>
          <w:sz w:val="28"/>
          <w:szCs w:val="28"/>
          <w:u w:val="single"/>
          <w:rtl/>
        </w:rPr>
      </w:pPr>
      <w:r w:rsidRPr="00605F9A">
        <w:rPr>
          <w:rFonts w:ascii="FrankRuehl" w:hAnsi="FrankRuehl" w:cs="FrankRuehl"/>
          <w:b/>
          <w:bCs/>
          <w:sz w:val="28"/>
          <w:szCs w:val="28"/>
          <w:u w:val="single"/>
          <w:rtl/>
        </w:rPr>
        <w:t>מותר לפירסום בהשמטת פרטים מזהים תיקוני הגהה ועריכה</w:t>
      </w:r>
      <w:r w:rsidRPr="00DE0C04">
        <w:rPr>
          <w:rFonts w:ascii="FrankRuehl" w:hAnsi="FrankRuehl" w:cs="FrankRuehl"/>
          <w:b/>
          <w:bCs/>
          <w:sz w:val="28"/>
          <w:szCs w:val="28"/>
          <w:rtl/>
        </w:rPr>
        <w:t>.</w:t>
      </w:r>
    </w:p>
    <w:p w:rsidR="00781DA5" w:rsidRPr="00605F9A" w:rsidRDefault="00781DA5" w:rsidP="00781DA5">
      <w:pPr>
        <w:spacing w:line="360" w:lineRule="auto"/>
        <w:ind w:left="720" w:hanging="720"/>
        <w:jc w:val="both"/>
        <w:rPr>
          <w:rFonts w:ascii="FrankRuehl" w:hAnsi="FrankRuehl" w:cs="FrankRuehl"/>
          <w:b/>
          <w:bCs/>
          <w:sz w:val="28"/>
          <w:szCs w:val="28"/>
          <w:u w:val="single"/>
          <w:rtl/>
        </w:rPr>
      </w:pPr>
      <w:r w:rsidRPr="00605F9A">
        <w:rPr>
          <w:rFonts w:ascii="FrankRuehl" w:hAnsi="FrankRuehl" w:cs="FrankRuehl"/>
          <w:b/>
          <w:bCs/>
          <w:sz w:val="28"/>
          <w:szCs w:val="28"/>
          <w:u w:val="single"/>
          <w:rtl/>
        </w:rPr>
        <w:t>המזכירות תמציא לצדדים ותסגור ההליך</w:t>
      </w:r>
      <w:r w:rsidRPr="00DE0C04">
        <w:rPr>
          <w:rFonts w:ascii="FrankRuehl" w:hAnsi="FrankRuehl" w:cs="FrankRuehl"/>
          <w:b/>
          <w:bCs/>
          <w:sz w:val="28"/>
          <w:szCs w:val="28"/>
          <w:rtl/>
        </w:rPr>
        <w:t>.</w:t>
      </w:r>
    </w:p>
    <w:p w:rsidR="005B0F49" w:rsidRPr="00605F9A" w:rsidRDefault="00611140" w:rsidP="00611140">
      <w:pPr>
        <w:spacing w:line="360" w:lineRule="auto"/>
        <w:jc w:val="both"/>
        <w:rPr>
          <w:rFonts w:ascii="FrankRuehl" w:hAnsi="FrankRuehl" w:cs="FrankRuehl"/>
          <w:noProof w:val="0"/>
          <w:sz w:val="28"/>
          <w:szCs w:val="28"/>
          <w:rtl/>
        </w:rPr>
      </w:pPr>
      <w:r>
        <w:drawing>
          <wp:anchor distT="0" distB="0" distL="114300" distR="114300" simplePos="0" relativeHeight="251658240" behindDoc="1" locked="0" layoutInCell="1" allowOverlap="1">
            <wp:simplePos x="0" y="0"/>
            <wp:positionH relativeFrom="margin">
              <wp:align>left</wp:align>
            </wp:positionH>
            <wp:positionV relativeFrom="paragraph">
              <wp:posOffset>127635</wp:posOffset>
            </wp:positionV>
            <wp:extent cx="1619250" cy="723900"/>
            <wp:effectExtent l="0" t="0" r="0" b="0"/>
            <wp:wrapNone/>
            <wp:docPr id="2" name="תמונה 2"/>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5F9A" w:rsidRPr="00605F9A">
        <w:rPr>
          <w:rFonts w:ascii="FrankRuehl" w:hAnsi="FrankRuehl" w:cs="FrankRuehl"/>
          <w:noProof w:val="0"/>
          <w:sz w:val="28"/>
          <w:szCs w:val="28"/>
          <w:rtl/>
        </w:rPr>
        <w:t>ניתן היום,  כ"ג שבט תשפ"ב, 25 ינואר 2022, בהעדר הצדדים.</w:t>
      </w:r>
    </w:p>
    <w:sectPr w:rsidR="005B0F49" w:rsidRPr="00605F9A" w:rsidSect="00903896">
      <w:headerReference w:type="default" r:id="rId9"/>
      <w:footerReference w:type="default" r:id="rId10"/>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CB7" w:rsidRDefault="00BD7CB7">
      <w:r>
        <w:separator/>
      </w:r>
    </w:p>
  </w:endnote>
  <w:endnote w:type="continuationSeparator" w:id="0">
    <w:p w:rsidR="00BD7CB7" w:rsidRDefault="00BD7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Narkisi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2352F7">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096FFD">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096FFD">
      <w:rPr>
        <w:rStyle w:val="ab"/>
        <w:rtl/>
      </w:rPr>
      <w:t>1</w:t>
    </w:r>
    <w:r w:rsidRPr="004E6E3C">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CB7" w:rsidRDefault="00BD7CB7">
      <w:r>
        <w:separator/>
      </w:r>
    </w:p>
  </w:footnote>
  <w:footnote w:type="continuationSeparator" w:id="0">
    <w:p w:rsidR="00BD7CB7" w:rsidRDefault="00BD7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096FFD">
    <w:pPr>
      <w:pStyle w:val="a3"/>
      <w:jc w:val="center"/>
      <w:rPr>
        <w:rFonts w:cs="FrankRuehl"/>
        <w:noProof w:val="0"/>
        <w:sz w:val="28"/>
        <w:szCs w:val="28"/>
        <w:rtl/>
      </w:rPr>
    </w:pPr>
    <w:r>
      <w:rPr>
        <w:rFonts w:cs="FrankRuehl"/>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478.1pt;height:86.95pt;rotation:315;z-index:251659264;mso-position-horizontal:center;mso-position-horizontal-relative:margin;mso-position-vertical:center;mso-position-vertical-relative:margin" fillcolor="silver" stroked="f">
          <v:stroke r:id="rId1" o:title=""/>
          <v:shadow color="#868686"/>
          <v:textpath style="font-family:&quot;Times New Roman&quot;;font-size:1pt;v-text-kern:t" trim="t" fitpath="t" string="."/>
          <o:lock v:ext="edit" aspectratio="t"/>
          <w10:wrap anchorx="margin" anchory="margin"/>
        </v:shape>
      </w:pict>
    </w:r>
    <w:r w:rsidR="001277D7">
      <w:rPr>
        <w:rFonts w:cs="FrankRuehl"/>
        <w:sz w:val="28"/>
        <w:szCs w:val="28"/>
      </w:rPr>
      <w:drawing>
        <wp:inline distT="0" distB="0" distL="0" distR="0" wp14:anchorId="1F9F84A5" wp14:editId="45B07E1D">
          <wp:extent cx="371475" cy="466725"/>
          <wp:effectExtent l="0" t="0" r="9525" b="9525"/>
          <wp:docPr id="4"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8505"/>
    </w:tblGrid>
    <w:tr w:rsidR="00694556" w:rsidTr="00A02A88">
      <w:trPr>
        <w:trHeight w:hRule="exact" w:val="670"/>
        <w:jc w:val="center"/>
      </w:trPr>
      <w:sdt>
        <w:sdtPr>
          <w:rPr>
            <w:rtl/>
          </w:rPr>
          <w:alias w:val="1174"/>
          <w:tag w:val="1174"/>
          <w:id w:val="-1775709220"/>
          <w:text/>
        </w:sdtPr>
        <w:sdtEndPr/>
        <w:sdtContent>
          <w:tc>
            <w:tcPr>
              <w:tcW w:w="8505" w:type="dxa"/>
            </w:tcPr>
            <w:p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בחיפה</w:t>
              </w:r>
            </w:p>
          </w:tc>
        </w:sdtContent>
      </w:sdt>
    </w:tr>
    <w:tr w:rsidR="00694556" w:rsidTr="00A02A88">
      <w:trPr>
        <w:trHeight w:val="337"/>
        <w:jc w:val="center"/>
      </w:trPr>
      <w:tc>
        <w:tcPr>
          <w:tcW w:w="8505" w:type="dxa"/>
        </w:tcPr>
        <w:p w:rsidR="00957C90" w:rsidRPr="00201F11" w:rsidRDefault="0027277D" w:rsidP="00A02A88">
          <w:pPr>
            <w:rPr>
              <w:rFonts w:ascii="FrankRuehl" w:hAnsi="FrankRuehl" w:cs="FrankRuehl"/>
              <w:b/>
              <w:bCs/>
              <w:noProof w:val="0"/>
              <w:sz w:val="28"/>
              <w:szCs w:val="28"/>
              <w:rtl/>
            </w:rPr>
          </w:pPr>
          <w:r w:rsidRPr="00201F11">
            <w:rPr>
              <w:rFonts w:ascii="FrankRuehl" w:hAnsi="FrankRuehl" w:cs="FrankRuehl"/>
              <w:b/>
              <w:bCs/>
              <w:noProof w:val="0"/>
              <w:sz w:val="28"/>
              <w:szCs w:val="28"/>
              <w:rtl/>
            </w:rPr>
            <w:t>תמ"ש</w:t>
          </w:r>
          <w:r w:rsidR="00005C8B" w:rsidRPr="00201F11">
            <w:rPr>
              <w:rFonts w:ascii="FrankRuehl" w:hAnsi="FrankRuehl" w:cs="FrankRuehl"/>
              <w:b/>
              <w:bCs/>
              <w:noProof w:val="0"/>
              <w:sz w:val="28"/>
              <w:szCs w:val="28"/>
              <w:rtl/>
            </w:rPr>
            <w:t xml:space="preserve"> </w:t>
          </w:r>
          <w:r w:rsidRPr="00201F11">
            <w:rPr>
              <w:rFonts w:ascii="FrankRuehl" w:hAnsi="FrankRuehl" w:cs="FrankRuehl"/>
              <w:b/>
              <w:bCs/>
              <w:noProof w:val="0"/>
              <w:sz w:val="28"/>
              <w:szCs w:val="28"/>
              <w:rtl/>
            </w:rPr>
            <w:t>6069-03-19</w:t>
          </w:r>
          <w:r w:rsidR="00005C8B" w:rsidRPr="00201F11">
            <w:rPr>
              <w:rFonts w:ascii="FrankRuehl" w:hAnsi="FrankRuehl" w:cs="FrankRuehl"/>
              <w:b/>
              <w:bCs/>
              <w:noProof w:val="0"/>
              <w:sz w:val="28"/>
              <w:szCs w:val="28"/>
              <w:rtl/>
            </w:rPr>
            <w:t xml:space="preserve"> </w:t>
          </w:r>
          <w:r w:rsidR="00A02A88">
            <w:rPr>
              <w:rFonts w:ascii="FrankRuehl" w:hAnsi="FrankRuehl" w:cs="FrankRuehl" w:hint="cs"/>
              <w:b/>
              <w:bCs/>
              <w:noProof w:val="0"/>
              <w:sz w:val="28"/>
              <w:szCs w:val="28"/>
              <w:rtl/>
            </w:rPr>
            <w:t xml:space="preserve">ס.א.כ </w:t>
          </w:r>
          <w:r w:rsidRPr="00201F11">
            <w:rPr>
              <w:rFonts w:ascii="FrankRuehl" w:hAnsi="FrankRuehl" w:cs="FrankRuehl"/>
              <w:b/>
              <w:bCs/>
              <w:noProof w:val="0"/>
              <w:sz w:val="28"/>
              <w:szCs w:val="28"/>
              <w:rtl/>
            </w:rPr>
            <w:t xml:space="preserve">נ' </w:t>
          </w:r>
          <w:r w:rsidR="00A02A88">
            <w:rPr>
              <w:rFonts w:ascii="FrankRuehl" w:hAnsi="FrankRuehl" w:cs="FrankRuehl" w:hint="cs"/>
              <w:b/>
              <w:bCs/>
              <w:noProof w:val="0"/>
              <w:sz w:val="28"/>
              <w:szCs w:val="28"/>
              <w:rtl/>
            </w:rPr>
            <w:t xml:space="preserve">ע.א.כ. </w:t>
          </w:r>
          <w:r w:rsidRPr="00201F11">
            <w:rPr>
              <w:rFonts w:ascii="FrankRuehl" w:hAnsi="FrankRuehl" w:cs="FrankRuehl"/>
              <w:b/>
              <w:bCs/>
              <w:noProof w:val="0"/>
              <w:sz w:val="28"/>
              <w:szCs w:val="28"/>
              <w:rtl/>
            </w:rPr>
            <w:t>ואח'</w:t>
          </w:r>
        </w:p>
      </w:tc>
    </w:tr>
  </w:tbl>
  <w:p w:rsidR="00694556" w:rsidRDefault="00005C8B">
    <w:pPr>
      <w:pStyle w:val="a3"/>
      <w:rPr>
        <w:noProof w:val="0"/>
        <w:rtl/>
      </w:rPr>
    </w:pPr>
    <w:r>
      <w:rPr>
        <w:noProof w:val="0"/>
        <w:rt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6261464"/>
    <w:docVar w:name="CourtID" w:val="26"/>
    <w:docVar w:name="DocumentDS" w:val="&amp;lt;?xml version=&amp;quot;1.0&amp;quot;?&amp;gt;_x000d__x000a_&amp;lt;DocumentDS&amp;gt;_x000d__x000a_  &amp;lt;xs:schema id=&amp;quot;DocumentDS&amp;quot; targetNamespace=&amp;quot;http://www.tempuri.org/DocumentDS.xsd&amp;quot; xmlns:mstns=&amp;quot;http://www.tempuri.org/DocumentDS.xsd&amp;quot; xmlns=&amp;quot;http://www.tempuri.org/DocumentDS.xsd&amp;quot; xmlns:xs=&amp;quot;http://www.w3.org/2001/XMLSchema&amp;quot; xmlns:msdata=&amp;quot;urn:schemas-microsoft-com:xml-msdata&amp;quot; attributeFormDefault=&amp;quot;qualified&amp;quot; elementFormDefault=&amp;quot;qualified&amp;quot;&amp;gt;_x000d__x000a_    &amp;lt;xs:element name=&amp;quot;DocumentDS&amp;quot; msdata:IsDataSet=&amp;quot;true&amp;quot; msdata:Locale=&amp;quot;en-US&amp;quot;&amp;gt;_x000d__x000a_      &amp;lt;xs:complexType&amp;gt;_x000d__x000a_        &amp;lt;xs:choice minOccurs=&amp;quot;0&amp;quot; maxOccurs=&amp;quot;unbounded&amp;quot;&amp;gt;_x000d__x000a_          &amp;lt;xs:element name=&amp;quot;dt_DocumentCase&amp;quot;&amp;gt;_x000d__x000a_            &amp;lt;xs:complexType&amp;gt;_x000d__x000a_              &amp;lt;xs:sequence&amp;gt;_x000d__x000a_                &amp;lt;xs:element name=&amp;quot;CaseID&amp;quot; type=&amp;quot;xs:int&amp;quot; /&amp;gt;_x000d__x000a_                &amp;lt;xs:element name=&amp;quot;DocumentID&amp;quot; type=&amp;quot;xs:int&amp;quot; /&amp;gt;_x000d__x000a_              &amp;lt;/xs:sequence&amp;gt;_x000d__x000a_            &amp;lt;/xs:complexType&amp;gt;_x000d__x000a_          &amp;lt;/xs:element&amp;gt;_x000d__x000a_          &amp;lt;xs:element name=&amp;quot;dt_Bookmark&amp;quot;&amp;gt;_x000d__x000a_            &amp;lt;xs:complexType&amp;gt;_x000d__x000a_              &amp;lt;xs:sequence&amp;gt;_x000d__x000a_                &amp;lt;xs:element name=&amp;quot;BookmarkID&amp;quot; msdata:ReadOnly=&amp;quot;true&amp;quot; msdata:AutoIncrement=&amp;quot;true&amp;quot; msdata:AutoIncrementSeed=&amp;quot;-1&amp;quot; msdata:AutoIncrementStep=&amp;quot;-1&amp;quot; type=&amp;quot;xs:int&amp;quot; /&amp;gt;_x000d__x000a_                &amp;lt;xs:element name=&amp;quot;DocumentID&amp;quot; type=&amp;quot;xs:int&amp;quot; /&amp;gt;_x000d__x000a_                &amp;lt;xs:element name=&amp;quot;BookmarkName&amp;quot; type=&amp;quot;xs:string&amp;quot; minOccurs=&amp;quot;0&amp;quot; /&amp;gt;_x000d__x000a_                &amp;lt;xs:element name=&amp;quot;DocumentPage&amp;quot; type=&amp;quot;xs:int&amp;quot; minOccurs=&amp;quot;0&amp;quot; /&amp;gt;_x000d__x000a_              &amp;lt;/xs:sequence&amp;gt;_x000d__x000a_            &amp;lt;/xs:complexType&amp;gt;_x000d__x000a_          &amp;lt;/xs:element&amp;gt;_x000d__x000a_          &amp;lt;xs:element name=&amp;quot;dt_Document&amp;quot;&amp;gt;_x000d__x000a_            &amp;lt;xs:complexType&amp;gt;_x000d__x000a_              &amp;lt;xs:sequence&amp;gt;_x000d__x000a_                &amp;lt;xs:element name=&amp;quot;DocumentID&amp;quot; msdata:ReadOnly=&amp;quot;true&amp;quot; msdata:AutoIncrement=&amp;quot;true&amp;quot; msdata:AutoIncrementSeed=&amp;quot;-1&amp;quot; msdata:AutoIncrementStep=&amp;quot;-1&amp;quot; type=&amp;quot;xs:int&amp;quot; /&amp;gt;_x000d__x000a_                &amp;lt;xs:element name=&amp;quot;DocumentMainID&amp;quot; type=&amp;quot;xs:int&amp;quot; /&amp;gt;_x000d__x000a_                &amp;lt;xs:element name=&amp;quot;CaseID&amp;quot; type=&amp;quot;xs:int&amp;quot; minOccurs=&amp;quot;0&amp;quot; /&amp;gt;_x000d__x000a_                &amp;lt;xs:element name=&amp;quot;ConvertCaseID&amp;quot; type=&amp;quot;xs:int&amp;quot; minOccurs=&amp;quot;0&amp;quot; /&amp;gt;_x000d__x000a_                &amp;lt;xs:element name=&amp;quot;OldDocumentID&amp;quot; type=&amp;quot;xs:string&amp;quot; minOccurs=&amp;quot;0&amp;quot; /&amp;gt;_x000d__x000a_                &amp;lt;xs:element name=&amp;quot;OldCaseID&amp;quot; type=&amp;quot;xs:string&amp;quot; minOccurs=&amp;quot;0&amp;quot; /&amp;gt;_x000d__x000a_                &amp;lt;xs:element name=&amp;quot;DocumentIncludedDate&amp;quot; type=&amp;quot;xs:dateTime&amp;quot; /&amp;gt;_x000d__x000a_                &amp;lt;xs:element name=&amp;quot;DocumentDesc&amp;quot; type=&amp;quot;xs:string&amp;quot; /&amp;gt;_x000d__x000a_                &amp;lt;xs:element name=&amp;quot;DocumentDirectionID&amp;quot; type=&amp;quot;xs:int&amp;quot; minOccurs=&amp;quot;0&amp;quot; /&amp;gt;_x000d__x000a_                &amp;lt;xs:element name=&amp;quot;SourceID&amp;quot; type=&amp;quot;xs:int&amp;quot; minOccurs=&amp;quot;0&amp;quot; /&amp;gt;_x000d__x000a_                &amp;lt;xs:element name=&amp;quot;SavingMethodID&amp;quot; type=&amp;quot;xs:int&amp;quot; minOccurs=&amp;quot;0&amp;quot; /&amp;gt;_x000d__x000a_                &amp;lt;xs:element name=&amp;quot;PaperDocumentSavingPlace&amp;quot; type=&amp;quot;xs:string&amp;quot; minOccurs=&amp;quot;0&amp;quot; /&amp;gt;_x000d__x000a_                &amp;lt;xs:element name=&amp;quot;VersionNumber&amp;quot; type=&amp;quot;xs:int&amp;quot; /&amp;gt;_x000d__x000a_                &amp;lt;xs:element name=&amp;quot;DocumentVersionTypeID&amp;quot; type=&amp;quot;xs:int&amp;quot; minOccurs=&amp;quot;0&amp;quot; /&amp;gt;_x000d__x000a_                &amp;lt;xs:element name=&amp;quot;IsAttachment&amp;quot; type=&amp;quot;xs:boolean&amp;quot; /&amp;gt;_x000d__x000a_                &amp;lt;xs:element name=&amp;quot;AttachmentOrdinalNumber&amp;quot; type=&amp;quot;xs:int&amp;quot; minOccurs=&amp;quot;0&amp;quot; /&amp;gt;_x000d__x000a_                &amp;lt;xs:element name=&amp;quot;DocumentTypeID&amp;quot; type=&amp;quot;xs:int&amp;quot; minOccurs=&amp;quot;0&amp;quot; /&amp;gt;_x000d__x000a_                &amp;lt;xs:element name=&amp;quot;DocumentSavingDate&amp;quot; type=&amp;quot;xs:dateTime&amp;quot; minOccurs=&amp;quot;0&amp;quot; /&amp;gt;_x000d__x000a_                &amp;lt;xs:element name=&amp;quot;DocumentChangeDate&amp;quot; type=&amp;quot;xs:dateTime&amp;quot; /&amp;gt;_x000d__x000a_                &amp;lt;xs:element name=&amp;quot;IsScanned&amp;quot; type=&amp;quot;xs:boolean&amp;quot; minOccurs=&amp;quot;0&amp;quot; /&amp;gt;_x000d__x000a_                &amp;lt;xs:element name=&amp;quot;DocumentScanningDate&amp;quot; type=&amp;quot;xs:dateTime&amp;quot; minOccurs=&amp;quot;0&amp;quot; /&amp;gt;_x000d__x000a_                &amp;lt;xs:element name=&amp;quot;PageQuantity&amp;quot; type=&amp;quot;xs:int&amp;quot; minOccurs=&amp;quot;0&amp;quot; /&amp;gt;_x000d__x000a_                &amp;lt;xs:element name=&amp;quot;DocumentStatusID&amp;quot; type=&amp;quot;xs:int&amp;quot; minOccurs=&amp;quot;0&amp;quot; /&amp;gt;_x000d__x000a_                &amp;lt;xs:element name=&amp;quot;DocumentStatusChangeDate&amp;quot; type=&amp;quot;xs:dateTime&amp;quot; minOccurs=&amp;quot;0&amp;quot; /&amp;gt;_x000d__x000a_                &amp;lt;xs:element name=&amp;quot;TemplateID&amp;quot; type=&amp;quot;xs:int&amp;quot; minOccurs=&amp;quot;0&amp;quot; /&amp;gt;_x000d__x000a_                &amp;lt;xs:element name=&amp;quot;TemplateVersionID&amp;quot; type=&amp;quot;xs:int&amp;quot; minOccurs=&amp;quot;0&amp;quot; /&amp;gt;_x000d__x000a_                &amp;lt;xs:element name=&amp;quot;DocumentChangeUserID&amp;quot; type=&amp;quot;xs:string&amp;quot; minOccurs=&amp;quot;0&amp;quot; /&amp;gt;_x000d__x000a_                &amp;lt;xs:element name=&amp;quot;DocumentCreationUserID&amp;quot; type=&amp;quot;xs:string&amp;quot; minOccurs=&amp;quot;0&amp;quot; /&amp;gt;_x000d__x000a_                &amp;lt;xs:element name=&amp;quot;OriginalDocumentID&amp;quot; type=&amp;quot;xs:int&amp;quot; minOccurs=&amp;quot;0&amp;quot; /&amp;gt;_x000d__x000a_                &amp;lt;xs:element name=&amp;quot;PrivillegeID&amp;quot; type=&amp;quot;xs:int&amp;quot; /&amp;gt;_x000d__x000a_                &amp;lt;xs:element name=&amp;quot;FromPage&amp;quot; type=&amp;quot;xs:int&amp;quot; default=&amp;quot;0&amp;quot; minOccurs=&amp;quot;0&amp;quot; /&amp;gt;_x000d__x000a_                &amp;lt;xs:element name=&amp;quot;ToPage&amp;quot; type=&amp;quot;xs:int&amp;quot; default=&amp;quot;0&amp;quot; minOccurs=&amp;quot;0&amp;quot; /&amp;gt;_x000d__x000a_                &amp;lt;xs:element name=&amp;quot;IsScannedWithoutEntity&amp;quot; type=&amp;quot;xs:boolean&amp;quot; minOccurs=&amp;quot;0&amp;quot; /&amp;gt;_x000d__x000a_                &amp;lt;xs:element name=&amp;quot;DocumentComment&amp;quot; type=&amp;quot;xs:string&amp;quot; minOccurs=&amp;quot;0&amp;quot; /&amp;gt;_x000d__x000a_                &amp;lt;xs:element name=&amp;quot;BoxNumber&amp;quot; type=&amp;quot;xs:string&amp;quot; minOccurs=&amp;quot;0&amp;quot; /&amp;gt;_x000d__x000a_                &amp;lt;xs:element name=&amp;quot;Archive&amp;quot; type=&amp;quot;xs:string&amp;quot; minOccurs=&amp;quot;0&amp;quot; /&amp;gt;_x000d__x000a_                &amp;lt;xs:element name=&amp;quot;CasePartyID&amp;quot; type=&amp;quot;xs:int&amp;quot; minOccurs=&amp;quot;0&amp;quot; /&amp;gt;_x000d__x000a_                &amp;lt;xs:element name=&amp;quot;FileID&amp;quot; type=&amp;quot;xs:string&amp;quot; minOccurs=&amp;quot;0&amp;quot; /&amp;gt;_x000d__x000a_                &amp;lt;xs:element name=&amp;quot;OriginalFileID&amp;quot; type=&amp;quot;xs:string&amp;quot; minOccurs=&amp;quot;0&amp;quot; /&amp;gt;_x000d__x000a_                &amp;lt;xs:element name=&amp;quot;CaseDisplayNumber&amp;quot; type=&amp;quot;xs:string&amp;quot; minOccurs=&amp;quot;0&amp;quot; /&amp;gt;_x000d__x000a_                &amp;lt;xs:element name=&amp;quot;URL&amp;quot; type=&amp;quot;xs:string&amp;quot; minOccurs=&amp;quot;0&amp;quot; /&amp;gt;_x000d__x000a_                &amp;lt;xs:element name=&amp;quot;SplittedNumberOfPages&amp;quot; type=&amp;quot;xs:int&amp;quot; minOccurs=&amp;quot;0&amp;quot; /&amp;gt;_x000d__x000a_                &amp;lt;xs:element name=&amp;quot;isOliveProcessed&amp;quot; type=&amp;quot;xs:boolean&amp;quot; minOccurs=&amp;quot;0&amp;quot; /&amp;gt;_x000d__x000a_                &amp;lt;xs:element name=&amp;quot;CasePartyDisplayName&amp;quot; type=&amp;quot;xs:string&amp;quot; minOccurs=&amp;quot;0&amp;quot; /&amp;gt;_x000d__x000a_                &amp;lt;xs:element name=&amp;quot;OlivePriority&amp;quot; type=&amp;quot;xs:int&amp;quot; default=&amp;quot;1&amp;quot; minOccurs=&amp;quot;0&amp;quot; /&amp;gt;_x000d__x000a_                &amp;lt;xs:element name=&amp;quot;PreFetchUrl&amp;quot; type=&amp;quot;xs:string&amp;quot; minOccurs=&amp;quot;0&amp;quot; /&amp;gt;_x000d__x000a_                &amp;lt;xs:element name=&amp;quot;DocumentCdImportID&amp;quot; type=&amp;quot;xs:string&amp;quot; minOccurs=&amp;quot;0&amp;quot; /&amp;gt;_x000d__x000a_                &amp;lt;xs:element name=&amp;quot;MetaDataTypeID&amp;quot; type=&amp;quot;xs:int&amp;quot; minOccurs=&amp;quot;0&amp;quot; /&amp;gt;_x000d__x000a_                &amp;lt;xs:element name=&amp;quot;MetaDataChangeDate&amp;quot; type=&amp;quot;xs:dateTime&amp;quot; minOccurs=&amp;quot;0&amp;quot; /&amp;gt;_x000d__x000a_                &amp;lt;xs:element name=&amp;quot;MetaData&amp;quot; type=&amp;quot;xs:string&amp;quot; minOccurs=&amp;quot;0&amp;quot; /&amp;gt;_x000d__x000a_                &amp;lt;xs:element name=&amp;quot;NewVersionRequired&amp;quot; type=&amp;quot;xs:boolean&amp;quot; minOccurs=&amp;quot;0&amp;quot; /&amp;gt;_x000d__x000a_                &amp;lt;xs:element name=&amp;quot;IsReturned&amp;quot; type=&amp;quot;xs:boolean&amp;quot; default=&amp;quot;false&amp;quot; /&amp;gt;_x000d__x000a_                &amp;lt;xs:element name=&amp;quot;SignatureURL&amp;quot; type=&amp;quot;xs:string&amp;quot; minOccurs=&amp;quot;0&amp;quot; /&amp;gt;_x000d__x000a_                &amp;lt;xs:element name=&amp;quot;IsCritical&amp;quot; type=&amp;quot;xs:boolean&amp;quot; default=&amp;quot;false&amp;quot; minOccurs=&amp;quot;0&amp;quot; /&amp;gt;_x000d__x000a_                &amp;lt;xs:element name=&amp;quot;IsEntityCanceled&amp;quot; type=&amp;quot;xs:boolean&amp;quot; default=&amp;quot;false&amp;quot; /&amp;gt;_x000d__x000a_                &amp;lt;xs:element name=&amp;quot;IsRepresentativeRegistryOpenToPublic&amp;quot; type=&amp;quot;xs:boolean&amp;quot; default=&amp;quot;false&amp;quot; minOccurs=&amp;quot;0&amp;quot; /&amp;gt;_x000d__x000a_                &amp;lt;xs:element name=&amp;quot;PresentationDate&amp;quot; type=&amp;quot;xs:dateTime&amp;quot; minOccurs=&amp;quot;0&amp;quot; /&amp;gt;_x000d__x000a_                &amp;lt;xs:element name=&amp;quot;IsIDCPublished&amp;quot; type=&amp;quot;xs:boolean&amp;quot; minOccurs=&amp;quot;0&amp;quot; /&amp;gt;_x000d__x000a_                &amp;lt;xs:element name=&amp;quot;IsDocumentPipexed&amp;quot; type=&amp;quot;xs:boolean&amp;quot; minOccurs=&amp;quot;0&amp;quot; /&amp;gt;_x000d__x000a_                &amp;lt;xs:element name=&amp;quot;ConvertToPdf&amp;quot; type=&amp;quot;xs:int&amp;quot; minOccurs=&amp;quot;0&amp;quot; /&amp;gt;_x000d__x000a_                &amp;lt;xs:element name=&amp;quot;PublishToIDC&amp;quot; type=&amp;quot;xs:int&amp;quot; minOccurs=&amp;quot;0&amp;quot; /&amp;gt;_x000d__x000a_                &amp;lt;xs:element name=&amp;quot;OCR&amp;quot; type=&amp;quot;xs:int&amp;quot; minOccurs=&amp;quot;0&amp;quot; /&amp;gt;_x000d__x000a_                &amp;lt;xs:element name=&amp;quot;DesicionPublish&amp;quot; type=&amp;quot;xs:int&amp;quot; minOccurs=&amp;quot;0&amp;quot; /&amp;gt;_x000d__x000a_                &amp;lt;xs:element name=&amp;quot;IsProof&amp;quot; type=&amp;quot;xs:int&amp;quot; minOccurs=&amp;quot;0&amp;quot; /&amp;gt;_x000d__x000a_                &amp;lt;xs:element name=&amp;quot;Summarization&amp;quot; type=&amp;quot;xs:int&amp;quot; minOccurs=&amp;quot;0&amp;quot; /&amp;gt;_x000d__x000a_                &amp;lt;xs:element name=&amp;quot;GetPunishmentData&amp;quot; type=&amp;quot;xs:int&amp;quot; minOccurs=&amp;quot;0&amp;quot; /&amp;gt;_x000d__x000a_                &amp;lt;xs:element name=&amp;quot;AutomaticallyDelivery&amp;quot; type=&amp;quot;xs:int&amp;quot; minOccurs=&amp;quot;0&amp;quot; /&amp;gt;_x000d__x000a_                &amp;lt;xs:element name=&amp;quot;Send2ELK&amp;quot; type=&amp;quot;xs:int&amp;quot; minOccurs=&amp;quot;0&amp;quot; /&amp;gt;_x000d__x000a_                &amp;lt;xs:element name=&amp;quot;TransportFineExtract&amp;quot; type=&amp;quot;xs:int&amp;quot; minOccurs=&amp;quot;0&amp;quot; /&amp;gt;_x000d__x000a_              &amp;lt;/xs:sequence&amp;gt;_x000d__x000a_            &amp;lt;/xs:complexType&amp;gt;_x000d__x000a_          &amp;lt;/xs:element&amp;gt;_x000d__x000a_          &amp;lt;xs:element name=&amp;quot;dt_DocumentNote&amp;quot;&amp;gt;_x000d__x000a_            &amp;lt;xs:complexType&amp;gt;_x000d__x000a_              &amp;lt;xs:sequence&amp;gt;_x000d__x000a_                &amp;lt;xs:element name=&amp;quot;DocumentNoteID&amp;quot; msdata:ReadOnly=&amp;quot;true&amp;quot; msdata:AutoIncrement=&amp;quot;true&amp;quot; msdata:AutoIncrementSeed=&amp;quot;-1&amp;quot; msdata:AutoIncrementStep=&amp;quot;-1&amp;quot; type=&amp;quot;xs:int&amp;quot; /&amp;gt;_x000d__x000a_                &amp;lt;xs:element name=&amp;quot;DocumentID&amp;quot; type=&amp;quot;xs:int&amp;quot; /&amp;gt;_x000d__x000a_                &amp;lt;xs:element name=&amp;quot;DocumentNoteCreateDate&amp;quot; type=&amp;quot;xs:dateTime&amp;quot; /&amp;gt;_x000d__x000a_                &amp;lt;xs:element name=&amp;quot;CreationUserID&amp;quot; type=&amp;quot;xs:string&amp;quot; /&amp;gt;_x000d__x000a_                &amp;lt;xs:element name=&amp;quot;DocumentNoteDesc&amp;quot; type=&amp;quot;xs:string&amp;quot; minOccurs=&amp;quot;0&amp;quot; /&amp;gt;_x000d__x000a_                &amp;lt;xs:element name=&amp;quot;DocumentNoteXML&amp;quot; type=&amp;quot;xs:string&amp;quot; minOccurs=&amp;quot;0&amp;quot; /&amp;gt;_x000d__x000a_                &amp;lt;xs:element name=&amp;quot;DescriptionPageNumber&amp;quot; type=&amp;quot;xs:int&amp;quot; minOccurs=&amp;quot;0&amp;quot; /&amp;gt;_x000d__x000a_                &amp;lt;xs:element name=&amp;quot;AccessTypeID&amp;quot; type=&amp;quot;xs:int&amp;quot; minOccurs=&amp;quot;0&amp;quot; /&amp;gt;_x000d__x000a_                &amp;lt;xs:element name=&amp;quot;NoteTypeID&amp;quot; type=&amp;quot;xs:int&amp;quot; minOccurs=&amp;quot;0&amp;quot; /&amp;gt;_x000d__x000a_                &amp;lt;xs:element name=&amp;quot;X1Location&amp;quot; type=&amp;quot;xs:decimal&amp;quot; /&amp;gt;_x000d__x000a_                &amp;lt;xs:element name=&amp;quot;X2Location&amp;quot; type=&amp;quot;xs:decimal&amp;quot; /&amp;gt;_x000d__x000a_                &amp;lt;xs:element name=&amp;quot;Y1Location&amp;quot; type=&amp;quot;xs:decimal&amp;quot; /&amp;gt;_x000d__x000a_                &amp;lt;xs:element name=&amp;quot;Y2Location&amp;quot; type=&amp;quot;xs:decimal&amp;quot; /&amp;gt;_x000d__x000a_                &amp;lt;xs:element name=&amp;quot;XmlContent&amp;quot; type=&amp;quot;xs:string&amp;quot; minOccurs=&amp;quot;0&amp;quot; /&amp;gt;_x000d__x000a_                &amp;lt;xs:element name=&amp;quot;X1RectLocation&amp;quot; type=&amp;quot;xs:decimal&amp;quot; /&amp;gt;_x000d__x000a_                &amp;lt;xs:element name=&amp;quot;X2RectLocation&amp;quot; type=&amp;quot;xs:decimal&amp;quot; /&amp;gt;_x000d__x000a_                &amp;lt;xs:element name=&amp;quot;Y1RectLocation&amp;quot; type=&amp;quot;xs:decimal&amp;quot; /&amp;gt;_x000d__x000a_                &amp;lt;xs:element name=&amp;quot;Y2RectLocation&amp;quot; type=&amp;quot;xs:decimal&amp;quot; /&amp;gt;_x000d__x000a_                &amp;lt;xs:element name=&amp;quot;IsPopupOpen&amp;quot; type=&amp;quot;xs:boolean&amp;quot; /&amp;gt;_x000d__x000a_                &amp;lt;xs:element name=&amp;quot;CDATA&amp;quot; type=&amp;quot;xs:string&amp;quot; minOccurs=&amp;quot;0&amp;quot; /&amp;gt;_x000d__x000a_                &amp;lt;xs:element name=&amp;quot;Title&amp;quot; type=&amp;quot;xs:string&amp;quot; minOccurs=&amp;quot;0&amp;quot; /&amp;gt;_x000d__x000a_                &amp;lt;xs:element name=&amp;quot;Page&amp;quot; type=&amp;quot;xs:int&amp;quot; minOccurs=&amp;quot;0&amp;quot; /&amp;gt;_x000d__x000a_                &amp;lt;xs:element name=&amp;quot;IsVisiable&amp;quot; type=&amp;quot;xs:boolean&amp;quot; default=&amp;quot;false&amp;quot; /&amp;gt;_x000d__x000a_                &amp;lt;xs:element name=&amp;quot;ActivityStatusID&amp;quot; type=&amp;quot;xs:int&amp;quot; default=&amp;quot;1&amp;quot; /&amp;gt;_x000d__x000a_                &amp;lt;xs:element name=&amp;quot;NoteCaseTitle&amp;quot; type=&amp;quot;xs:string&amp;quot; minOccurs=&amp;quot;0&amp;quot; /&amp;gt;_x000d__x000a_                &amp;lt;xs:element name=&amp;quot;NoteComposerTitle&amp;quot; type=&amp;quot;xs:string&amp;quot; minOccurs=&amp;quot;0&amp;quot; /&amp;gt;_x000d__x000a_                &amp;lt;xs:element name=&amp;quot;NoteZoom&amp;quot; type=&amp;quot;xs:decimal&amp;quot; minOccurs=&amp;quot;0&amp;quot; /&amp;gt;_x000d__x000a_              &amp;lt;/xs:sequence&amp;gt;_x000d__x000a_            &amp;lt;/xs:complexType&amp;gt;_x000d__x000a_          &amp;lt;/xs:element&amp;gt;_x000d__x000a_          &amp;lt;xs:element name=&amp;quot;dt_MLDocsAnalysisPunishment&amp;quot;&amp;gt;_x000d__x000a_            &amp;lt;xs:complexType&amp;gt;_x000d__x000a_              &amp;lt;xs:sequence&amp;gt;_x000d__x000a_                &amp;lt;xs:element name=&amp;quot;MLDocsAnalysisPunishmentID&amp;quot; msdata:AutoIncrement=&amp;quot;true&amp;quot; msdata:AutoIncrementSeed=&amp;quot;-1&amp;quot; msdata:AutoIncrementStep=&amp;quot;-1&amp;quot; type=&amp;quot;xs:int&amp;quot; /&amp;gt;_x000d__x000a_                &amp;lt;xs:element name=&amp;quot;MLDocsAnalysisID&amp;quot; type=&amp;quot;xs:int&amp;quot; /&amp;gt;_x000d__x000a_                &amp;lt;xs:element name=&amp;quot;FileID&amp;quot; type=&amp;quot;xs:string&amp;quot; /&amp;gt;_x000d__x000a_                &amp;lt;xs:element name=&amp;quot;DocumentID&amp;quot; type=&amp;quot;xs:int&amp;quot; /&amp;gt;_x000d__x000a_                &amp;lt;xs:element name=&amp;quot;PunishmentType&amp;quot; type=&amp;quot;xs:int&amp;quot; /&amp;gt;_x000d__x000a_                &amp;lt;xs:element name=&amp;quot;Result&amp;quot; type=&amp;quot;xs:string&amp;quot; minOccurs=&amp;quot;0&amp;quot; /&amp;gt;_x000d__x000a_              &amp;lt;/xs:sequence&amp;gt;_x000d__x000a_            &amp;lt;/xs:complexType&amp;gt;_x000d__x000a_          &amp;lt;/xs:element&amp;gt;_x000d__x000a_          &amp;lt;xs:element name=&amp;quot;dt_DocumentSummaryVersion&amp;quot;&amp;gt;_x000d__x000a_            &amp;lt;xs:complexType&amp;gt;_x000d__x000a_              &amp;lt;xs:sequence&amp;gt;_x000d__x000a_                &amp;lt;xs:element name=&amp;quot;DocumentID&amp;quot; type=&amp;quot;xs:int&amp;quot; minOccurs=&amp;quot;0&amp;quot; /&amp;gt;_x000d__x000a_                &amp;lt;xs:element name=&amp;quot;DocumentChangeDate&amp;quot; type=&amp;quot;xs:dateTime&amp;quot; minOccurs=&amp;quot;0&amp;quot; /&amp;gt;_x000d__x000a_                &amp;lt;xs:element name=&amp;quot;DocumentDesc&amp;quot; type=&amp;quot;xs:string&amp;quot; minOccurs=&amp;quot;0&amp;quot; /&amp;gt;_x000d__x000a_                &amp;lt;xs:element name=&amp;quot;IsCritical&amp;quot; type=&amp;quot;xs:boolean&amp;quot; minOccurs=&amp;quot;0&amp;quot; /&amp;gt;_x000d__x000a_                &amp;lt;xs:element name=&amp;quot;IsScanned&amp;quot; type=&amp;quot;xs:boolean&amp;quot; minOccurs=&amp;quot;0&amp;quot; /&amp;gt;_x000d__x000a_              &amp;lt;/xs:sequence&amp;gt;_x000d__x000a_            &amp;lt;/xs:complexType&amp;gt;_x000d__x000a_          &amp;lt;/xs:element&amp;gt;_x000d__x000a_        &amp;lt;/xs:choice&amp;gt;_x000d__x000a_      &amp;lt;/xs:complexType&amp;gt;_x000d__x000a_      &amp;lt;xs:unique name=&amp;quot;Constraint1&amp;quot; msdata:PrimaryKey=&amp;quot;true&amp;quot;&amp;gt;_x000d__x000a_        &amp;lt;xs:selector xpath=&amp;quot;.//mstns:dt_DocumentCase&amp;quot; /&amp;gt;_x000d__x000a_        &amp;lt;xs:field xpath=&amp;quot;mstns:CaseID&amp;quot; /&amp;gt;_x000d__x000a_        &amp;lt;xs:field xpath=&amp;quot;mstns:DocumentID&amp;quot; /&amp;gt;_x000d__x000a_      &amp;lt;/xs:unique&amp;gt;_x000d__x000a_      &amp;lt;xs:unique name=&amp;quot;dt_Bookmark_Constraint1&amp;quot; msdata:ConstraintName=&amp;quot;Constraint1&amp;quot; msdata:PrimaryKey=&amp;quot;true&amp;quot;&amp;gt;_x000d__x000a_        &amp;lt;xs:selector xpath=&amp;quot;.//mstns:dt_Bookmark&amp;quot; /&amp;gt;_x000d__x000a_        &amp;lt;xs:field xpath=&amp;quot;mstns:BookmarkID&amp;quot; /&amp;gt;_x000d__x000a_      &amp;lt;/xs:unique&amp;gt;_x000d__x000a_      &amp;lt;xs:unique name=&amp;quot;dt_Document_Constraint1&amp;quot; msdata:ConstraintName=&amp;quot;Constraint1&amp;quot; msdata:PrimaryKey=&amp;quot;true&amp;quot;&amp;gt;_x000d__x000a_        &amp;lt;xs:selector xpath=&amp;quot;.//mstns:dt_Document&amp;quot; /&amp;gt;_x000d__x000a_        &amp;lt;xs:field xpath=&amp;quot;mstns:DocumentID&amp;quot; /&amp;gt;_x000d__x000a_      &amp;lt;/xs:unique&amp;gt;_x000d__x000a_      &amp;lt;xs:unique name=&amp;quot;DocumentDSKey1&amp;quot; msdata:PrimaryKey=&amp;quot;true&amp;quot;&amp;gt;_x000d__x000a_        &amp;lt;xs:selector xpath=&amp;quot;.//mstns:dt_DocumentNote&amp;quot; /&amp;gt;_x000d__x000a_        &amp;lt;xs:field xpath=&amp;quot;mstns:DocumentNoteID&amp;quot; /&amp;gt;_x000d__x000a_      &amp;lt;/xs:unique&amp;gt;_x000d__x000a_      &amp;lt;xs:keyref name=&amp;quot;dt_Documentdt_DocumentNote&amp;quot; refer=&amp;quot;dt_Document_Constraint1&amp;quot;&amp;gt;_x000d__x000a_        &amp;lt;xs:selector xpath=&amp;quot;.//mstns:dt_DocumentNote&amp;quot; /&amp;gt;_x000d__x000a_        &amp;lt;xs:field xpath=&amp;quot;mstns:DocumentID&amp;quot; /&amp;gt;_x000d__x000a_      &amp;lt;/xs:keyref&amp;gt;_x000d__x000a_      &amp;lt;xs:keyref name=&amp;quot;dt_Documentdt_Bookmark&amp;quot; refer=&amp;quot;dt_Document_Constraint1&amp;quot;&amp;gt;_x000d__x000a_        &amp;lt;xs:selector xpath=&amp;quot;.//mstns:dt_Bookmark&amp;quot; /&amp;gt;_x000d__x000a_        &amp;lt;xs:field xpath=&amp;quot;mstns:DocumentID&amp;quot; /&amp;gt;_x000d__x000a_      &amp;lt;/xs:keyref&amp;gt;_x000d__x000a_      &amp;lt;xs:keyref name=&amp;quot;dt_Documentdt_DocumentCase&amp;quot; refer=&amp;quot;dt_Document_Constraint1&amp;quot;&amp;gt;_x000d__x000a_        &amp;lt;xs:selector xpath=&amp;quot;.//mstns:dt_DocumentCase&amp;quot; /&amp;gt;_x000d__x000a_        &amp;lt;xs:field xpath=&amp;quot;mstns:DocumentID&amp;quot; /&amp;gt;_x000d__x000a_      &amp;lt;/xs:keyref&amp;gt;_x000d__x000a_    &amp;lt;/xs:element&amp;gt;_x000d__x000a_    &amp;lt;xs:annotation&amp;gt;_x000d__x000a_      &amp;lt;xs:appinfo&amp;gt;_x000d__x000a_        &amp;lt;msdata:Relationship name=&amp;quot;dt_Document_dt_DocumentSummaryVersion&amp;quot; msdata:parent=&amp;quot;dt_Document&amp;quot; msdata:child=&amp;quot;dt_DocumentSummaryVersion&amp;quot; msdata:parentkey=&amp;quot;OriginalDocumentID&amp;quot; msdata:childkey=&amp;quot;DocumentID&amp;quot; /&amp;gt;_x000d__x000a_      &amp;lt;/xs:appinfo&amp;gt;_x000d__x000a_    &amp;lt;/xs:annotation&amp;gt;_x000d__x000a_  &amp;lt;/xs:schema&amp;gt;_x000d__x000a_  &amp;lt;diffgr:diffgram xmlns:msdata=&amp;quot;urn:schemas-microsoft-com:xml-msdata&amp;quot; xmlns:diffgr=&amp;quot;urn:schemas-microsoft-com:xml-diffgram-v1&amp;quot;&amp;gt;_x000d__x000a_    &amp;lt;DocumentDS xmlns=&amp;quot;http://www.tempuri.org/DocumentDS.xsd&amp;quot;&amp;gt;_x000d__x000a_      &amp;lt;dt_DocumentCase diffgr:id=&amp;quot;dt_DocumentCase1&amp;quot; msdata:rowOrder=&amp;quot;0&amp;quot;&amp;gt;_x000d__x000a_        &amp;lt;CaseID&amp;gt;76261464&amp;lt;/CaseID&amp;gt;_x000d__x000a_        &amp;lt;DocumentID&amp;gt;383251662&amp;lt;/DocumentID&amp;gt;_x000d__x000a_      &amp;lt;/dt_DocumentCase&amp;gt;_x000d__x000a_      &amp;lt;dt_Document diffgr:id=&amp;quot;dt_Document1&amp;quot; msdata:rowOrder=&amp;quot;0&amp;quot; diffgr:hasChanges=&amp;quot;modified&amp;quot;&amp;gt;_x000d__x000a_        &amp;lt;DocumentID&amp;gt;383251662&amp;lt;/DocumentID&amp;gt;_x000d__x000a_        &amp;lt;DocumentMainID&amp;gt;0&amp;lt;/DocumentMainID&amp;gt;_x000d__x000a_        &amp;lt;CaseID&amp;gt;76261464&amp;lt;/CaseID&amp;gt;_x000d__x000a_        &amp;lt;DocumentIncludedDate&amp;gt;2022-07-07T10:02:04.743+03:00&amp;lt;/DocumentIncludedDate&amp;gt;_x000d__x000a_        &amp;lt;DocumentDesc&amp;gt;פסק דין  שניתנה ע&amp;quot;י  הילה גורביץ עובדיה&amp;lt;/DocumentDesc&amp;gt;_x000d__x000a_        &amp;lt;DocumentDirectionID&amp;gt;2&amp;lt;/DocumentDirectionID&amp;gt;_x000d__x000a_        &amp;lt;SourceID&amp;gt;1&amp;lt;/SourceID&amp;gt;_x000d__x000a_        &amp;lt;VersionNumber&amp;gt;1&amp;lt;/VersionNumber&amp;gt;_x000d__x000a_        &amp;lt;DocumentVersionTypeID&amp;gt;2&amp;lt;/DocumentVersionTypeID&amp;gt;_x000d__x000a_        &amp;lt;IsAttachment&amp;gt;false&amp;lt;/IsAttachment&amp;gt;_x000d__x000a_        &amp;lt;AttachmentOrdinalNumber&amp;gt;0&amp;lt;/AttachmentOrdinalNumber&amp;gt;_x000d__x000a_        &amp;lt;DocumentTypeID&amp;gt;73&amp;lt;/DocumentTypeID&amp;gt;_x000d__x000a_        &amp;lt;DocumentSavingDate&amp;gt;2022-07-07T10:02:04.743+03:00&amp;lt;/DocumentSavingDate&amp;gt;_x000d__x000a_        &amp;lt;DocumentChangeDate&amp;gt;2022-07-07T10:28:15.68+03:00&amp;lt;/DocumentChangeDate&amp;gt;_x000d__x000a_        &amp;lt;IsScanned&amp;gt;false&amp;lt;/IsScanned&amp;gt;_x000d__x000a_        &amp;lt;PageQuantity&amp;gt;0&amp;lt;/PageQuantity&amp;gt;_x000d__x000a_        &amp;lt;DocumentStatusID&amp;gt;2&amp;lt;/DocumentStatusID&amp;gt;_x000d__x000a_        &amp;lt;DocumentStatusChangeDate&amp;gt;2022-07-07T10:02:04.98+03:00&amp;lt;/DocumentStatusChangeDate&amp;gt;_x000d__x000a_        &amp;lt;TemplateVersionID&amp;gt;1&amp;lt;/TemplateVersionID&amp;gt;_x000d__x000a_        &amp;lt;DocumentChangeUserID&amp;gt;303910004@GOV.IL&amp;lt;/DocumentChangeUserID&amp;gt;_x000d__x000a_        &amp;lt;DocumentCreationUserID&amp;gt;303910004@GOV.IL&amp;lt;/DocumentCreationUserID&amp;gt;_x000d__x000a_        &amp;lt;OriginalDocumentID&amp;gt;368316469&amp;lt;/OriginalDocumentID&amp;gt;_x000d__x000a_        &amp;lt;PrivillegeID&amp;gt;2&amp;lt;/PrivillegeID&amp;gt;_x000d__x000a_        &amp;lt;FromPage&amp;gt;0&amp;lt;/FromPage&amp;gt;_x000d__x000a_        &amp;lt;ToPage&amp;gt;0&amp;lt;/ToPage&amp;gt;_x000d__x000a_        &amp;lt;FileID&amp;gt;753d77d781010000090037f6a370f3f9&amp;lt;/FileID&amp;gt;_x000d__x000a_        &amp;lt;CaseDisplayNumber&amp;gt;6069-03-19&amp;lt;/CaseDisplayNumber&amp;gt;_x000d__x000a_        &amp;lt;URL&amp;gt;\\CTLNFSV02\doc_repository\832\817\753d77d781010000090037f6a370f3f9.docx&amp;lt;/URL&amp;gt;_x000d__x000a_        &amp;lt;OlivePriority&amp;gt;1&amp;lt;/OlivePriority&amp;gt;_x000d__x000a_        &amp;lt;MetaDataTypeID&amp;gt;1&amp;lt;/MetaDataTypeID&amp;gt;_x000d__x000a_        &amp;lt;MetaDataChangeDate&amp;gt;2022-07-07T10:02:04.98+03:00&amp;lt;/MetaDataChangeDate&amp;gt;_x000d__x000a_        &amp;lt;MetaData&amp;gt;&amp;amp;lt;?xml version=&amp;quot;1.0&amp;quot; encoding=&amp;quot;utf-16&amp;quot;?&amp;amp;gt;_x000d__x000a_&amp;amp;lt;MetaDataSerializableObject xmlns:xsd=&amp;quot;http://www.w3.org/2001/XMLSchema&amp;quot; xmlns:xsi=&amp;quot;http://www.w3.org/2001/XMLSchema-instance&amp;quot;&amp;amp;gt;_x000d__x000a_  &amp;amp;lt;_keys&amp;amp;gt;_x000d__x000a_    &amp;amp;lt;string&amp;amp;gt;decisionType&amp;amp;lt;/string&amp;amp;gt;_x000d__x000a_    &amp;amp;lt;string&amp;amp;gt;technicalDecision&amp;amp;lt;/string&amp;amp;gt;_x000d__x000a_    &amp;amp;lt;string&amp;amp;gt;judgeName&amp;amp;lt;/string&amp;amp;gt;_x000d__x000a_    &amp;amp;lt;string&amp;amp;gt;decisionDate&amp;amp;lt;/string&amp;amp;gt;_x000d__x000a_  &amp;amp;lt;/_keys&amp;amp;gt;_x000d__x000a_  &amp;amp;lt;_values&amp;amp;gt;_x000d__x000a_    &amp;amp;lt;anyType xsi:type=&amp;quot;xsd:string&amp;quot;&amp;amp;gt;2&amp;amp;lt;/anyType&amp;amp;gt;_x000d__x000a_    &amp;amp;lt;anyType xsi:type=&amp;quot;xsd:string&amp;quot;&amp;amp;gt;1&amp;amp;lt;/anyType&amp;amp;gt;_x000d__x000a_    &amp;amp;lt;anyType xsi:type=&amp;quot;xsd:string&amp;quot;&amp;amp;gt;הילה גורביץ עובדיה&amp;amp;lt;/anyType&amp;amp;gt;_x000d__x000a_    &amp;amp;lt;anyType xsi:type=&amp;quot;xsd:dateTime&amp;quot;&amp;amp;gt;2022-01-27T14:12:54.667&amp;amp;lt;/anyType&amp;amp;gt;_x000d__x000a_  &amp;amp;lt;/_values&amp;amp;gt;_x000d__x000a_&amp;amp;lt;/MetaDataSerializableObject&amp;amp;gt;&amp;lt;/MetaData&amp;gt;_x000d__x000a_        &amp;lt;IsReturned&amp;gt;false&amp;lt;/IsReturned&amp;gt;_x000d__x000a_        &amp;lt;IsCritical&amp;gt;true&amp;lt;/IsCritical&amp;gt;_x000d__x000a_        &amp;lt;IsEntityCanceled&amp;gt;false&amp;lt;/IsEntityCanceled&amp;gt;_x000d__x000a_        &amp;lt;IsRepresentativeRegistryOpenToPublic&amp;gt;false&amp;lt;/IsRepresentativeRegistryOpenToPublic&amp;gt;_x000d__x000a_        &amp;lt;PresentationDate&amp;gt;2022-01-27T14:12:54.667+02:00&amp;lt;/PresentationDate&amp;gt;_x000d__x000a_      &amp;lt;/dt_Document&amp;gt;_x000d__x000a_    &amp;lt;/DocumentDS&amp;gt;_x000d__x000a_    &amp;lt;diffgr:before&amp;gt;_x000d__x000a_      &amp;lt;dt_Document diffgr:id=&amp;quot;dt_Document1&amp;quot; msdata:rowOrder=&amp;quot;0&amp;quot; xmlns=&amp;quot;http://www.tempuri.org/DocumentDS.xsd&amp;quot;&amp;gt;_x000d__x000a_        &amp;lt;DocumentID&amp;gt;383251662&amp;lt;/DocumentID&amp;gt;_x000d__x000a_        &amp;lt;DocumentMainID&amp;gt;0&amp;lt;/DocumentMainID&amp;gt;_x000d__x000a_        &amp;lt;CaseID&amp;gt;76261464&amp;lt;/CaseID&amp;gt;_x000d__x000a_        &amp;lt;DocumentIncludedDate&amp;gt;2022-07-07T10:02:04.743+03:00&amp;lt;/DocumentIncludedDate&amp;gt;_x000d__x000a_        &amp;lt;DocumentDesc&amp;gt;פסק דין  שניתנה ע&amp;quot;י  הילה גורביץ עובדיה&amp;lt;/DocumentDesc&amp;gt;_x000d__x000a_        &amp;lt;DocumentDirectionID&amp;gt;2&amp;lt;/DocumentDirectionID&amp;gt;_x000d__x000a_        &amp;lt;SourceID&amp;gt;1&amp;lt;/SourceID&amp;gt;_x000d__x000a_        &amp;lt;VersionNumber&amp;gt;1&amp;lt;/VersionNumber&amp;gt;_x000d__x000a_        &amp;lt;DocumentVersionTypeID&amp;gt;2&amp;lt;/DocumentVersionTypeID&amp;gt;_x000d__x000a_        &amp;lt;IsAttachment&amp;gt;false&amp;lt;/IsAttachment&amp;gt;_x000d__x000a_        &amp;lt;AttachmentOrdinalNumber&amp;gt;0&amp;lt;/AttachmentOrdinalNumber&amp;gt;_x000d__x000a_        &amp;lt;DocumentTypeID&amp;gt;73&amp;lt;/DocumentTypeID&amp;gt;_x000d__x000a_        &amp;lt;DocumentSavingDate&amp;gt;2022-07-07T10:02:04.743+03:00&amp;lt;/DocumentSavingDate&amp;gt;_x000d__x000a_        &amp;lt;DocumentChangeDate&amp;gt;2022-07-07T10:28:15.68+03:00&amp;lt;/DocumentChangeDate&amp;gt;_x000d__x000a_        &amp;lt;IsScanned&amp;gt;false&amp;lt;/IsScanned&amp;gt;_x000d__x000a_        &amp;lt;PageQuantity&amp;gt;0&amp;lt;/PageQuantity&amp;gt;_x000d__x000a_        &amp;lt;DocumentStatusID&amp;gt;2&amp;lt;/DocumentStatusID&amp;gt;_x000d__x000a_        &amp;lt;DocumentStatusChangeDate&amp;gt;2022-07-07T10:02:04.98+03:00&amp;lt;/DocumentStatusChangeDate&amp;gt;_x000d__x000a_        &amp;lt;TemplateVersionID&amp;gt;1&amp;lt;/TemplateVersionID&amp;gt;_x000d__x000a_        &amp;lt;DocumentChangeUserID&amp;gt;303910004@GOV.IL&amp;lt;/DocumentChangeUserID&amp;gt;_x000d__x000a_        &amp;lt;DocumentCreationUserID&amp;gt;303910004@GOV.IL&amp;lt;/DocumentCreationUserID&amp;gt;_x000d__x000a_        &amp;lt;OriginalDocumentID&amp;gt;368316469&amp;lt;/OriginalDocumentID&amp;gt;_x000d__x000a_        &amp;lt;PrivillegeID&amp;gt;2&amp;lt;/PrivillegeID&amp;gt;_x000d__x000a_        &amp;lt;FromPage&amp;gt;0&amp;lt;/FromPage&amp;gt;_x000d__x000a_        &amp;lt;ToPage&amp;gt;0&amp;lt;/ToPage&amp;gt;_x000d__x000a_        &amp;lt;FileID&amp;gt;753d77d781010000090037f6a370f3f9&amp;lt;/FileID&amp;gt;_x000d__x000a_        &amp;lt;CaseDisplayNumber&amp;gt;6069-03-19&amp;lt;/CaseDisplayNumber&amp;gt;_x000d__x000a_        &amp;lt;URL /&amp;gt;_x000d__x000a_        &amp;lt;OlivePriority&amp;gt;1&amp;lt;/OlivePriority&amp;gt;_x000d__x000a_        &amp;lt;MetaDataTypeID&amp;gt;1&amp;lt;/MetaDataTypeID&amp;gt;_x000d__x000a_        &amp;lt;MetaDataChangeDate&amp;gt;2022-07-07T10:02:04.98+03:00&amp;lt;/MetaDataChangeDate&amp;gt;_x000d__x000a_        &amp;lt;MetaData&amp;gt;&amp;amp;lt;?xml version=&amp;quot;1.0&amp;quot; encoding=&amp;quot;utf-16&amp;quot;?&amp;amp;gt;_x000d__x000a_&amp;amp;lt;MetaDataSerializableObject xmlns:xsd=&amp;quot;http://www.w3.org/2001/XMLSchema&amp;quot; xmlns:xsi=&amp;quot;http://www.w3.org/2001/XMLSchema-instance&amp;quot;&amp;amp;gt;_x000d__x000a_  &amp;amp;lt;_keys&amp;amp;gt;_x000d__x000a_    &amp;amp;lt;string&amp;amp;gt;decisionType&amp;amp;lt;/string&amp;amp;gt;_x000d__x000a_    &amp;amp;lt;string&amp;amp;gt;technicalDecision&amp;amp;lt;/string&amp;amp;gt;_x000d__x000a_    &amp;amp;lt;string&amp;amp;gt;judgeName&amp;amp;lt;/string&amp;amp;gt;_x000d__x000a_    &amp;amp;lt;string&amp;amp;gt;decisionDate&amp;amp;lt;/string&amp;amp;gt;_x000d__x000a_  &amp;amp;lt;/_keys&amp;amp;gt;_x000d__x000a_  &amp;amp;lt;_values&amp;amp;gt;_x000d__x000a_    &amp;amp;lt;anyType xsi:type=&amp;quot;xsd:string&amp;quot;&amp;amp;gt;2&amp;amp;lt;/anyType&amp;amp;gt;_x000d__x000a_    &amp;amp;lt;anyType xsi:type=&amp;quot;xsd:string&amp;quot;&amp;amp;gt;1&amp;amp;lt;/anyType&amp;amp;gt;_x000d__x000a_    &amp;amp;lt;anyType xsi:type=&amp;quot;xsd:string&amp;quot;&amp;amp;gt;הילה גורביץ עובדיה&amp;amp;lt;/anyType&amp;amp;gt;_x000d__x000a_    &amp;amp;lt;anyType xsi:type=&amp;quot;xsd:dateTime&amp;quot;&amp;amp;gt;2022-01-27T14:12:54.667&amp;amp;lt;/anyType&amp;amp;gt;_x000d__x000a_  &amp;amp;lt;/_values&amp;amp;gt;_x000d__x000a_&amp;amp;lt;/MetaDataSerializableObject&amp;amp;gt;&amp;lt;/MetaData&amp;gt;_x000d__x000a_        &amp;lt;IsReturned&amp;gt;false&amp;lt;/IsReturned&amp;gt;_x000d__x000a_        &amp;lt;IsCritical&amp;gt;true&amp;lt;/IsCritical&amp;gt;_x000d__x000a_        &amp;lt;IsEntityCanceled&amp;gt;false&amp;lt;/IsEntityCanceled&amp;gt;_x000d__x000a_        &amp;lt;IsRepresentativeRegistryOpenToPublic&amp;gt;false&amp;lt;/IsRepresentativeRegistryOpenToPublic&amp;gt;_x000d__x000a_        &amp;lt;PresentationDate&amp;gt;2022-01-27T14:12:54.667+02:00&amp;lt;/PresentationDate&amp;gt;_x000d__x000a_      &amp;lt;/dt_Document&amp;gt;_x000d__x000a_    &amp;lt;/diffgr:before&amp;gt;_x000d__x000a_  &amp;lt;/diffgr:diffgram&amp;gt;_x000d__x000a_&amp;lt;/DocumentDS&amp;gt;"/>
    <w:docVar w:name="WordClientAssemblyName" w:val="NGCS.Decision.ClientWordBL"/>
    <w:docVar w:name="WordClientClassName" w:val="NGCS.Decision.ClientWordBL.VersionWordClient"/>
  </w:docVars>
  <w:rsids>
    <w:rsidRoot w:val="00694556"/>
    <w:rsid w:val="00005C8B"/>
    <w:rsid w:val="000146C2"/>
    <w:rsid w:val="00016C35"/>
    <w:rsid w:val="000258FD"/>
    <w:rsid w:val="000564AB"/>
    <w:rsid w:val="0008218A"/>
    <w:rsid w:val="00096FFD"/>
    <w:rsid w:val="000C115C"/>
    <w:rsid w:val="000D4A02"/>
    <w:rsid w:val="001072A9"/>
    <w:rsid w:val="00121F97"/>
    <w:rsid w:val="001277D7"/>
    <w:rsid w:val="00130729"/>
    <w:rsid w:val="00132017"/>
    <w:rsid w:val="0014234E"/>
    <w:rsid w:val="00145A87"/>
    <w:rsid w:val="0018287B"/>
    <w:rsid w:val="001C4003"/>
    <w:rsid w:val="001F5474"/>
    <w:rsid w:val="00201F11"/>
    <w:rsid w:val="002352F7"/>
    <w:rsid w:val="002408BC"/>
    <w:rsid w:val="0027277D"/>
    <w:rsid w:val="002C77C4"/>
    <w:rsid w:val="00307068"/>
    <w:rsid w:val="00314684"/>
    <w:rsid w:val="00333338"/>
    <w:rsid w:val="00351EEA"/>
    <w:rsid w:val="0038179A"/>
    <w:rsid w:val="00381D3A"/>
    <w:rsid w:val="003823DA"/>
    <w:rsid w:val="00382432"/>
    <w:rsid w:val="00393FBF"/>
    <w:rsid w:val="003B4779"/>
    <w:rsid w:val="003B7F76"/>
    <w:rsid w:val="003F6FD5"/>
    <w:rsid w:val="0043595F"/>
    <w:rsid w:val="004705B4"/>
    <w:rsid w:val="0047645A"/>
    <w:rsid w:val="004840F5"/>
    <w:rsid w:val="00496A9A"/>
    <w:rsid w:val="004C3DF3"/>
    <w:rsid w:val="004D49A3"/>
    <w:rsid w:val="004D50AC"/>
    <w:rsid w:val="004E6E3C"/>
    <w:rsid w:val="004F0913"/>
    <w:rsid w:val="004F363C"/>
    <w:rsid w:val="00503D36"/>
    <w:rsid w:val="005124F1"/>
    <w:rsid w:val="00530BAD"/>
    <w:rsid w:val="00541598"/>
    <w:rsid w:val="00547DB7"/>
    <w:rsid w:val="00552081"/>
    <w:rsid w:val="00567324"/>
    <w:rsid w:val="005B040E"/>
    <w:rsid w:val="005B0F49"/>
    <w:rsid w:val="005C7EC6"/>
    <w:rsid w:val="005D4BDB"/>
    <w:rsid w:val="00605ED6"/>
    <w:rsid w:val="00605F9A"/>
    <w:rsid w:val="00611140"/>
    <w:rsid w:val="00621074"/>
    <w:rsid w:val="00622BAA"/>
    <w:rsid w:val="00625C89"/>
    <w:rsid w:val="00633C4F"/>
    <w:rsid w:val="00671BD5"/>
    <w:rsid w:val="006805C1"/>
    <w:rsid w:val="006816EC"/>
    <w:rsid w:val="00690AB5"/>
    <w:rsid w:val="00694556"/>
    <w:rsid w:val="006B3666"/>
    <w:rsid w:val="006C499D"/>
    <w:rsid w:val="006D5BC8"/>
    <w:rsid w:val="006E1A53"/>
    <w:rsid w:val="007056AA"/>
    <w:rsid w:val="00742A13"/>
    <w:rsid w:val="00744F41"/>
    <w:rsid w:val="00781DA5"/>
    <w:rsid w:val="007A24FE"/>
    <w:rsid w:val="007A35AA"/>
    <w:rsid w:val="007F1048"/>
    <w:rsid w:val="007F3E1E"/>
    <w:rsid w:val="00820005"/>
    <w:rsid w:val="00846D27"/>
    <w:rsid w:val="008610A7"/>
    <w:rsid w:val="008B38A5"/>
    <w:rsid w:val="008B4DC1"/>
    <w:rsid w:val="008E1332"/>
    <w:rsid w:val="00903102"/>
    <w:rsid w:val="00903896"/>
    <w:rsid w:val="00913D92"/>
    <w:rsid w:val="009173C7"/>
    <w:rsid w:val="00917B05"/>
    <w:rsid w:val="009256C8"/>
    <w:rsid w:val="00927813"/>
    <w:rsid w:val="00943461"/>
    <w:rsid w:val="00944D13"/>
    <w:rsid w:val="00946E41"/>
    <w:rsid w:val="00956D7E"/>
    <w:rsid w:val="00957C90"/>
    <w:rsid w:val="009C358E"/>
    <w:rsid w:val="009D06CB"/>
    <w:rsid w:val="009E0263"/>
    <w:rsid w:val="00A02A88"/>
    <w:rsid w:val="00A267CF"/>
    <w:rsid w:val="00A43458"/>
    <w:rsid w:val="00AA4118"/>
    <w:rsid w:val="00AA41AC"/>
    <w:rsid w:val="00AC4E19"/>
    <w:rsid w:val="00AF1ED6"/>
    <w:rsid w:val="00B32C61"/>
    <w:rsid w:val="00B368FE"/>
    <w:rsid w:val="00B80CBD"/>
    <w:rsid w:val="00B87EC6"/>
    <w:rsid w:val="00BB1286"/>
    <w:rsid w:val="00BC3369"/>
    <w:rsid w:val="00BD7CB7"/>
    <w:rsid w:val="00BF77EE"/>
    <w:rsid w:val="00C32E0F"/>
    <w:rsid w:val="00C42BF9"/>
    <w:rsid w:val="00C71C28"/>
    <w:rsid w:val="00C7385B"/>
    <w:rsid w:val="00C83E56"/>
    <w:rsid w:val="00C8509C"/>
    <w:rsid w:val="00CA0D09"/>
    <w:rsid w:val="00CA0D79"/>
    <w:rsid w:val="00CC514E"/>
    <w:rsid w:val="00CC63CE"/>
    <w:rsid w:val="00CE55A8"/>
    <w:rsid w:val="00CE6E0D"/>
    <w:rsid w:val="00D2227A"/>
    <w:rsid w:val="00D319B3"/>
    <w:rsid w:val="00D36A71"/>
    <w:rsid w:val="00D53924"/>
    <w:rsid w:val="00D60849"/>
    <w:rsid w:val="00D94520"/>
    <w:rsid w:val="00D957BA"/>
    <w:rsid w:val="00D96807"/>
    <w:rsid w:val="00D96D8C"/>
    <w:rsid w:val="00DA755B"/>
    <w:rsid w:val="00DC1857"/>
    <w:rsid w:val="00DD337E"/>
    <w:rsid w:val="00DD6AEF"/>
    <w:rsid w:val="00DE0C04"/>
    <w:rsid w:val="00E00B6F"/>
    <w:rsid w:val="00E54642"/>
    <w:rsid w:val="00E97908"/>
    <w:rsid w:val="00EB25DB"/>
    <w:rsid w:val="00EC50AC"/>
    <w:rsid w:val="00EE76B4"/>
    <w:rsid w:val="00EF3ED0"/>
    <w:rsid w:val="00F17E56"/>
    <w:rsid w:val="00FF21EE"/>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2">
    <w:name w:val="heading 2"/>
    <w:basedOn w:val="a"/>
    <w:next w:val="a"/>
    <w:link w:val="20"/>
    <w:semiHidden/>
    <w:unhideWhenUsed/>
    <w:qFormat/>
    <w:rsid w:val="00351E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character" w:styleId="Hyperlink">
    <w:name w:val="Hyperlink"/>
    <w:basedOn w:val="a0"/>
    <w:uiPriority w:val="99"/>
    <w:semiHidden/>
    <w:unhideWhenUsed/>
    <w:rsid w:val="00781DA5"/>
    <w:rPr>
      <w:color w:val="0000FF"/>
      <w:u w:val="single"/>
    </w:rPr>
  </w:style>
  <w:style w:type="paragraph" w:styleId="ad">
    <w:name w:val="List Paragraph"/>
    <w:basedOn w:val="a"/>
    <w:uiPriority w:val="34"/>
    <w:qFormat/>
    <w:rsid w:val="00EC50AC"/>
    <w:pPr>
      <w:ind w:left="720"/>
      <w:contextualSpacing/>
    </w:pPr>
  </w:style>
  <w:style w:type="character" w:styleId="FollowedHyperlink">
    <w:name w:val="FollowedHyperlink"/>
    <w:basedOn w:val="a0"/>
    <w:semiHidden/>
    <w:unhideWhenUsed/>
    <w:rsid w:val="00DD6AEF"/>
    <w:rPr>
      <w:color w:val="800080" w:themeColor="followedHyperlink"/>
      <w:u w:val="single"/>
    </w:rPr>
  </w:style>
  <w:style w:type="character" w:customStyle="1" w:styleId="20">
    <w:name w:val="כותרת 2 תו"/>
    <w:basedOn w:val="a0"/>
    <w:link w:val="2"/>
    <w:semiHidden/>
    <w:rsid w:val="00351EEA"/>
    <w:rPr>
      <w:rFonts w:asciiTheme="majorHAnsi" w:eastAsiaTheme="majorEastAsia" w:hAnsiTheme="majorHAnsi" w:cstheme="majorBidi"/>
      <w:noProof/>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135854">
      <w:bodyDiv w:val="1"/>
      <w:marLeft w:val="0"/>
      <w:marRight w:val="0"/>
      <w:marTop w:val="0"/>
      <w:marBottom w:val="0"/>
      <w:divBdr>
        <w:top w:val="none" w:sz="0" w:space="0" w:color="auto"/>
        <w:left w:val="none" w:sz="0" w:space="0" w:color="auto"/>
        <w:bottom w:val="none" w:sz="0" w:space="0" w:color="auto"/>
        <w:right w:val="none" w:sz="0" w:space="0" w:color="auto"/>
      </w:divBdr>
    </w:div>
    <w:div w:id="866259896">
      <w:bodyDiv w:val="1"/>
      <w:marLeft w:val="0"/>
      <w:marRight w:val="0"/>
      <w:marTop w:val="0"/>
      <w:marBottom w:val="0"/>
      <w:divBdr>
        <w:top w:val="none" w:sz="0" w:space="0" w:color="auto"/>
        <w:left w:val="none" w:sz="0" w:space="0" w:color="auto"/>
        <w:bottom w:val="none" w:sz="0" w:space="0" w:color="auto"/>
        <w:right w:val="none" w:sz="0" w:space="0" w:color="auto"/>
      </w:divBdr>
    </w:div>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348941968">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48276787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nevo.co.il/law/71888" TargetMode="External"/><Relationship Id="rId12" Type="http://schemas.openxmlformats.org/officeDocument/2006/relationships/theme" Target="theme/theme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3004</Words>
  <Characters>15020</Characters>
  <Application>Microsoft Office Word</Application>
  <DocSecurity>4</DocSecurity>
  <Lines>125</Lines>
  <Paragraphs>35</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הדס לרנר</cp:lastModifiedBy>
  <cp:revision>2</cp:revision>
  <dcterms:created xsi:type="dcterms:W3CDTF">2022-07-07T18:01:00Z</dcterms:created>
  <dcterms:modified xsi:type="dcterms:W3CDTF">2022-07-07T18:01:00Z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