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DCAA0" w14:textId="77777777" w:rsidR="00E13F6E" w:rsidRPr="00BE37EF" w:rsidRDefault="000E372F" w:rsidP="00057497">
      <w:pPr>
        <w:spacing w:before="508" w:after="120" w:line="276" w:lineRule="auto"/>
        <w:jc w:val="center"/>
        <w:outlineLvl w:val="0"/>
        <w:rPr>
          <w:rFonts w:ascii="FrankRuehl" w:hAnsi="FrankRuehl" w:cs="FrankRuehl"/>
          <w:b/>
          <w:bCs/>
          <w:color w:val="002060"/>
          <w:sz w:val="32"/>
          <w:szCs w:val="32"/>
          <w:u w:val="single"/>
          <w:rtl/>
        </w:rPr>
      </w:pPr>
      <w:r w:rsidRPr="00BE37EF">
        <w:rPr>
          <w:rFonts w:ascii="FrankRuehl" w:hAnsi="FrankRuehl" w:cs="FrankRuehl"/>
          <w:b/>
          <w:bCs/>
          <w:color w:val="002060"/>
          <w:sz w:val="32"/>
          <w:szCs w:val="32"/>
          <w:u w:val="single"/>
          <w:rtl/>
        </w:rPr>
        <w:t xml:space="preserve">תקציר </w:t>
      </w:r>
      <w:r w:rsidR="00BE37EF" w:rsidRPr="00BE37EF">
        <w:rPr>
          <w:rFonts w:ascii="FrankRuehl" w:hAnsi="FrankRuehl" w:cs="FrankRuehl" w:hint="cs"/>
          <w:b/>
          <w:bCs/>
          <w:color w:val="002060"/>
          <w:sz w:val="32"/>
          <w:szCs w:val="32"/>
          <w:u w:val="single"/>
          <w:rtl/>
        </w:rPr>
        <w:t>גזר-דין ת"פ 60016-11-25</w:t>
      </w:r>
      <w:r w:rsidRPr="00BE37EF">
        <w:rPr>
          <w:rFonts w:ascii="FrankRuehl" w:hAnsi="FrankRuehl" w:cs="FrankRuehl" w:hint="cs"/>
          <w:b/>
          <w:bCs/>
          <w:color w:val="002060"/>
          <w:sz w:val="32"/>
          <w:szCs w:val="32"/>
          <w:u w:val="single"/>
          <w:rtl/>
        </w:rPr>
        <w:t xml:space="preserve"> </w:t>
      </w:r>
      <w:r w:rsidR="00BE37EF" w:rsidRPr="00BE37EF">
        <w:rPr>
          <w:rFonts w:ascii="FrankRuehl" w:hAnsi="FrankRuehl" w:cs="FrankRuehl" w:hint="cs"/>
          <w:b/>
          <w:bCs/>
          <w:color w:val="002060"/>
          <w:sz w:val="32"/>
          <w:szCs w:val="32"/>
          <w:u w:val="single"/>
          <w:rtl/>
        </w:rPr>
        <w:t xml:space="preserve">מדינת ישראל </w:t>
      </w:r>
      <w:r w:rsidRPr="00BE37EF">
        <w:rPr>
          <w:rFonts w:ascii="FrankRuehl" w:hAnsi="FrankRuehl" w:cs="FrankRuehl" w:hint="cs"/>
          <w:b/>
          <w:bCs/>
          <w:color w:val="002060"/>
          <w:sz w:val="32"/>
          <w:szCs w:val="32"/>
          <w:u w:val="single"/>
          <w:rtl/>
        </w:rPr>
        <w:t xml:space="preserve">נ' </w:t>
      </w:r>
      <w:r w:rsidR="00BE37EF" w:rsidRPr="00BE37EF">
        <w:rPr>
          <w:rFonts w:ascii="FrankRuehl" w:hAnsi="FrankRuehl" w:cs="FrankRuehl" w:hint="cs"/>
          <w:b/>
          <w:bCs/>
          <w:color w:val="002060"/>
          <w:sz w:val="32"/>
          <w:szCs w:val="32"/>
          <w:u w:val="single"/>
          <w:rtl/>
        </w:rPr>
        <w:t>אביטן</w:t>
      </w:r>
    </w:p>
    <w:p w14:paraId="00A3415B" w14:textId="77777777" w:rsidR="00E13F6E" w:rsidRDefault="000E372F" w:rsidP="00057497">
      <w:pPr>
        <w:spacing w:after="120" w:line="276" w:lineRule="auto"/>
        <w:jc w:val="center"/>
        <w:outlineLvl w:val="1"/>
        <w:rPr>
          <w:rFonts w:ascii="FrankRuehl" w:hAnsi="FrankRuehl" w:cs="FrankRuehl"/>
          <w:b/>
          <w:bCs/>
          <w:color w:val="002060"/>
          <w:sz w:val="32"/>
          <w:szCs w:val="32"/>
          <w:rtl/>
        </w:rPr>
      </w:pPr>
      <w:r>
        <w:rPr>
          <w:rFonts w:ascii="FrankRuehl" w:hAnsi="FrankRuehl" w:cs="FrankRuehl" w:hint="cs"/>
          <w:b/>
          <w:bCs/>
          <w:color w:val="002060"/>
          <w:sz w:val="32"/>
          <w:szCs w:val="32"/>
          <w:rtl/>
        </w:rPr>
        <w:t>ביהמ"ש השלום רמלה, סגנית הנשיא השופטת דורית סבן נוי</w:t>
      </w:r>
    </w:p>
    <w:p w14:paraId="120F02BF" w14:textId="77777777" w:rsidR="00BE37EF" w:rsidRDefault="000E372F" w:rsidP="00F00485">
      <w:pPr>
        <w:spacing w:before="465" w:after="0" w:line="360" w:lineRule="auto"/>
        <w:jc w:val="both"/>
        <w:rPr>
          <w:rFonts w:ascii="David" w:hAnsi="David" w:cs="David"/>
          <w:sz w:val="24"/>
          <w:szCs w:val="24"/>
          <w:rtl/>
        </w:rPr>
      </w:pPr>
      <w:r w:rsidRPr="00BE37EF">
        <w:rPr>
          <w:rFonts w:ascii="David" w:hAnsi="David" w:cs="David"/>
          <w:sz w:val="24"/>
          <w:szCs w:val="24"/>
          <w:rtl/>
        </w:rPr>
        <w:t>הנאשם בעל עבר פלילי, אשר הורשע בביצוע פעילות מרמתית רחבת היקף, שנמשכה על-פני תקופה של כ-14 חודשים שמרביתה במלחמת "חרבות ברזל", במסגרתה הציג הנאשם מצגי מרמה מתוכננים ומתוחכמים, כלפי 21 קורבנות עבירה</w:t>
      </w:r>
      <w:r>
        <w:rPr>
          <w:rFonts w:ascii="David" w:hAnsi="David" w:cs="David" w:hint="cs"/>
          <w:sz w:val="24"/>
          <w:szCs w:val="24"/>
          <w:rtl/>
        </w:rPr>
        <w:t xml:space="preserve"> </w:t>
      </w:r>
      <w:r>
        <w:rPr>
          <w:rFonts w:ascii="David" w:hAnsi="David" w:cs="David"/>
          <w:sz w:val="24"/>
          <w:szCs w:val="24"/>
          <w:rtl/>
        </w:rPr>
        <w:t>ו</w:t>
      </w:r>
      <w:r w:rsidRPr="00BE37EF">
        <w:rPr>
          <w:rFonts w:ascii="David" w:hAnsi="David" w:cs="David"/>
          <w:sz w:val="24"/>
          <w:szCs w:val="24"/>
          <w:rtl/>
        </w:rPr>
        <w:t>קיבל במרמה</w:t>
      </w:r>
      <w:r>
        <w:rPr>
          <w:rFonts w:ascii="David" w:hAnsi="David" w:cs="David"/>
          <w:sz w:val="24"/>
          <w:szCs w:val="24"/>
          <w:rtl/>
        </w:rPr>
        <w:t xml:space="preserve"> סך כולל של 2,729,432.2</w:t>
      </w:r>
      <w:r>
        <w:rPr>
          <w:rFonts w:ascii="David" w:hAnsi="David" w:cs="David" w:hint="cs"/>
          <w:sz w:val="24"/>
          <w:szCs w:val="24"/>
          <w:rtl/>
        </w:rPr>
        <w:t xml:space="preserve"> </w:t>
      </w:r>
      <w:r w:rsidRPr="00BE37EF">
        <w:rPr>
          <w:rFonts w:ascii="David" w:hAnsi="David" w:cs="David"/>
          <w:sz w:val="24"/>
          <w:szCs w:val="24"/>
          <w:rtl/>
        </w:rPr>
        <w:t>₪.</w:t>
      </w:r>
      <w:r>
        <w:rPr>
          <w:rFonts w:ascii="David" w:hAnsi="David" w:cs="David" w:hint="cs"/>
          <w:sz w:val="24"/>
          <w:szCs w:val="24"/>
        </w:rPr>
        <w:t xml:space="preserve"> </w:t>
      </w:r>
      <w:r>
        <w:rPr>
          <w:rFonts w:ascii="David" w:hAnsi="David" w:cs="David"/>
          <w:sz w:val="24"/>
          <w:szCs w:val="24"/>
        </w:rPr>
        <w:t xml:space="preserve"> </w:t>
      </w:r>
      <w:r w:rsidR="00DC13E6">
        <w:rPr>
          <w:rFonts w:ascii="David" w:hAnsi="David" w:cs="David" w:hint="cs"/>
          <w:sz w:val="24"/>
          <w:szCs w:val="24"/>
          <w:rtl/>
        </w:rPr>
        <w:t xml:space="preserve">סגנית הנשיא </w:t>
      </w:r>
      <w:r>
        <w:rPr>
          <w:rFonts w:ascii="David" w:hAnsi="David" w:cs="David" w:hint="cs"/>
          <w:sz w:val="24"/>
          <w:szCs w:val="24"/>
          <w:rtl/>
        </w:rPr>
        <w:t>השופטת דורית סבן נוי</w:t>
      </w:r>
      <w:r w:rsidR="00DC13E6">
        <w:rPr>
          <w:rFonts w:ascii="David" w:hAnsi="David" w:cs="David" w:hint="cs"/>
          <w:sz w:val="24"/>
          <w:szCs w:val="24"/>
          <w:rtl/>
        </w:rPr>
        <w:t xml:space="preserve">, </w:t>
      </w:r>
      <w:r>
        <w:rPr>
          <w:rFonts w:ascii="David" w:hAnsi="David" w:cs="David" w:hint="cs"/>
          <w:sz w:val="24"/>
          <w:szCs w:val="24"/>
          <w:rtl/>
        </w:rPr>
        <w:t xml:space="preserve"> גזרה על הנאשם </w:t>
      </w:r>
      <w:r w:rsidR="00F00485">
        <w:rPr>
          <w:rFonts w:ascii="David" w:hAnsi="David" w:cs="David" w:hint="cs"/>
          <w:sz w:val="24"/>
          <w:szCs w:val="24"/>
          <w:rtl/>
        </w:rPr>
        <w:t xml:space="preserve"> </w:t>
      </w:r>
      <w:r w:rsidR="008B5817">
        <w:rPr>
          <w:rFonts w:ascii="David" w:hAnsi="David" w:cs="David" w:hint="cs"/>
          <w:sz w:val="24"/>
          <w:szCs w:val="24"/>
          <w:rtl/>
        </w:rPr>
        <w:t xml:space="preserve">10 </w:t>
      </w:r>
      <w:r w:rsidR="00F00485">
        <w:rPr>
          <w:rFonts w:ascii="David" w:hAnsi="David" w:cs="David" w:hint="cs"/>
          <w:sz w:val="24"/>
          <w:szCs w:val="24"/>
          <w:rtl/>
        </w:rPr>
        <w:t xml:space="preserve">שנות מאסר ושלושה חודשים, מאסרים מותנים, </w:t>
      </w:r>
      <w:r>
        <w:rPr>
          <w:rFonts w:ascii="David" w:hAnsi="David" w:cs="David" w:hint="cs"/>
          <w:sz w:val="24"/>
          <w:szCs w:val="24"/>
          <w:rtl/>
        </w:rPr>
        <w:t>פיצוי כספי לכל אחד מנפגעי העבירה</w:t>
      </w:r>
      <w:r w:rsidR="00F00485">
        <w:rPr>
          <w:rFonts w:ascii="David" w:hAnsi="David" w:cs="David" w:hint="cs"/>
          <w:sz w:val="24"/>
          <w:szCs w:val="24"/>
          <w:rtl/>
        </w:rPr>
        <w:t xml:space="preserve"> וקנס בסך 1</w:t>
      </w:r>
      <w:r w:rsidR="008B5817">
        <w:rPr>
          <w:rFonts w:ascii="David" w:hAnsi="David" w:cs="David" w:hint="cs"/>
          <w:sz w:val="24"/>
          <w:szCs w:val="24"/>
          <w:rtl/>
        </w:rPr>
        <w:t>0</w:t>
      </w:r>
      <w:r w:rsidR="00F00485">
        <w:rPr>
          <w:rFonts w:ascii="David" w:hAnsi="David" w:cs="David" w:hint="cs"/>
          <w:sz w:val="24"/>
          <w:szCs w:val="24"/>
          <w:rtl/>
        </w:rPr>
        <w:t>0,000 ₪</w:t>
      </w:r>
      <w:r>
        <w:rPr>
          <w:rFonts w:ascii="David" w:hAnsi="David" w:cs="David" w:hint="cs"/>
          <w:sz w:val="24"/>
          <w:szCs w:val="24"/>
          <w:rtl/>
        </w:rPr>
        <w:t xml:space="preserve">. </w:t>
      </w:r>
    </w:p>
    <w:p w14:paraId="64E92630" w14:textId="77777777" w:rsidR="00A01126" w:rsidRDefault="000E372F" w:rsidP="00CA568E">
      <w:pPr>
        <w:pStyle w:val="ListParagraph"/>
        <w:spacing w:before="354" w:after="0" w:line="360" w:lineRule="auto"/>
        <w:ind w:left="0"/>
        <w:contextualSpacing w:val="0"/>
        <w:jc w:val="both"/>
        <w:rPr>
          <w:rFonts w:ascii="David" w:hAnsi="David" w:cs="David"/>
          <w:sz w:val="24"/>
          <w:szCs w:val="24"/>
          <w:rtl/>
        </w:rPr>
      </w:pPr>
      <w:r w:rsidRPr="00BE37EF">
        <w:rPr>
          <w:rFonts w:ascii="David" w:hAnsi="David" w:cs="David"/>
          <w:sz w:val="24"/>
          <w:szCs w:val="24"/>
          <w:rtl/>
        </w:rPr>
        <w:t>הנאשם הורשע על יסוד הו</w:t>
      </w:r>
      <w:r>
        <w:rPr>
          <w:rFonts w:ascii="David" w:hAnsi="David" w:cs="David"/>
          <w:sz w:val="24"/>
          <w:szCs w:val="24"/>
          <w:rtl/>
        </w:rPr>
        <w:t>דאתו</w:t>
      </w:r>
      <w:r w:rsidR="008B5817">
        <w:rPr>
          <w:rFonts w:ascii="David" w:hAnsi="David" w:cs="David" w:hint="cs"/>
          <w:sz w:val="24"/>
          <w:szCs w:val="24"/>
          <w:rtl/>
        </w:rPr>
        <w:t xml:space="preserve">, בהסדר </w:t>
      </w:r>
      <w:r w:rsidR="00DE2445">
        <w:rPr>
          <w:rFonts w:ascii="David" w:hAnsi="David" w:cs="David" w:hint="cs"/>
          <w:sz w:val="24"/>
          <w:szCs w:val="24"/>
          <w:rtl/>
        </w:rPr>
        <w:t xml:space="preserve">טיעון </w:t>
      </w:r>
      <w:r w:rsidR="008B5817">
        <w:rPr>
          <w:rFonts w:ascii="David" w:hAnsi="David" w:cs="David" w:hint="cs"/>
          <w:sz w:val="24"/>
          <w:szCs w:val="24"/>
          <w:rtl/>
        </w:rPr>
        <w:t>דיוני ללא הסכמה עונשית,</w:t>
      </w:r>
      <w:r>
        <w:rPr>
          <w:rFonts w:ascii="David" w:hAnsi="David" w:cs="David"/>
          <w:sz w:val="24"/>
          <w:szCs w:val="24"/>
          <w:rtl/>
        </w:rPr>
        <w:t xml:space="preserve"> ב</w:t>
      </w:r>
      <w:r w:rsidR="0092189F">
        <w:rPr>
          <w:rFonts w:ascii="David" w:hAnsi="David" w:cs="David" w:hint="cs"/>
          <w:sz w:val="24"/>
          <w:szCs w:val="24"/>
          <w:rtl/>
        </w:rPr>
        <w:t>שני כתבי אישום האוחזים 20 אישומים</w:t>
      </w:r>
      <w:r>
        <w:rPr>
          <w:rFonts w:ascii="David" w:hAnsi="David" w:cs="David" w:hint="cs"/>
          <w:sz w:val="24"/>
          <w:szCs w:val="24"/>
          <w:rtl/>
        </w:rPr>
        <w:t>.</w:t>
      </w:r>
    </w:p>
    <w:p w14:paraId="5F6AEBBF" w14:textId="77777777" w:rsidR="008B5817" w:rsidRPr="00057497" w:rsidRDefault="000E372F" w:rsidP="00057497">
      <w:pPr>
        <w:pStyle w:val="ListParagraph"/>
        <w:spacing w:after="0" w:line="360" w:lineRule="auto"/>
        <w:ind w:left="0"/>
        <w:jc w:val="both"/>
        <w:rPr>
          <w:rFonts w:ascii="David" w:hAnsi="David" w:cs="David"/>
          <w:sz w:val="24"/>
          <w:szCs w:val="24"/>
          <w:rtl/>
        </w:rPr>
      </w:pPr>
      <w:r>
        <w:rPr>
          <w:rFonts w:ascii="David" w:hAnsi="David" w:cs="David" w:hint="cs"/>
          <w:sz w:val="24"/>
          <w:szCs w:val="24"/>
          <w:rtl/>
        </w:rPr>
        <w:t>ל</w:t>
      </w:r>
      <w:r w:rsidR="00A01126">
        <w:rPr>
          <w:rFonts w:ascii="David" w:hAnsi="David" w:cs="David" w:hint="cs"/>
          <w:sz w:val="24"/>
          <w:szCs w:val="24"/>
          <w:rtl/>
        </w:rPr>
        <w:t>נאשם</w:t>
      </w:r>
      <w:r w:rsidR="00057497">
        <w:rPr>
          <w:rFonts w:ascii="David" w:hAnsi="David" w:cs="David" w:hint="cs"/>
          <w:sz w:val="24"/>
          <w:szCs w:val="24"/>
          <w:rtl/>
        </w:rPr>
        <w:t xml:space="preserve"> מיוחסות</w:t>
      </w:r>
      <w:r>
        <w:rPr>
          <w:rFonts w:ascii="David" w:hAnsi="David" w:cs="David" w:hint="cs"/>
          <w:sz w:val="24"/>
          <w:szCs w:val="24"/>
          <w:rtl/>
        </w:rPr>
        <w:t xml:space="preserve"> </w:t>
      </w:r>
      <w:r w:rsidR="00BE37EF" w:rsidRPr="00BE37EF">
        <w:rPr>
          <w:rFonts w:ascii="David" w:hAnsi="David" w:cs="David"/>
          <w:sz w:val="24"/>
          <w:szCs w:val="24"/>
          <w:rtl/>
        </w:rPr>
        <w:t>עבירות של קבלת דבר במרמה בנסיבות מחמירות (</w:t>
      </w:r>
      <w:r>
        <w:rPr>
          <w:rFonts w:ascii="David" w:hAnsi="David" w:cs="David" w:hint="cs"/>
          <w:sz w:val="24"/>
          <w:szCs w:val="24"/>
          <w:rtl/>
        </w:rPr>
        <w:t>21</w:t>
      </w:r>
      <w:r w:rsidR="00BE37EF" w:rsidRPr="00BE37EF">
        <w:rPr>
          <w:rFonts w:ascii="David" w:hAnsi="David" w:cs="David"/>
          <w:sz w:val="24"/>
          <w:szCs w:val="24"/>
          <w:rtl/>
        </w:rPr>
        <w:t xml:space="preserve"> עבירות), זיוף בכוונה לקבל דבר ובנסיבות מחמירות (13 עבירות), והתחזות כאדם אחר, קבלת דבר במרמה בנסיבות מחמירות (4 עבירות), הוצאת שיק ללא כיסוי (</w:t>
      </w:r>
      <w:r>
        <w:rPr>
          <w:rFonts w:ascii="David" w:hAnsi="David" w:cs="David" w:hint="cs"/>
          <w:sz w:val="24"/>
          <w:szCs w:val="24"/>
          <w:rtl/>
        </w:rPr>
        <w:t>41</w:t>
      </w:r>
      <w:r w:rsidR="00BE37EF" w:rsidRPr="00BE37EF">
        <w:rPr>
          <w:rFonts w:ascii="David" w:hAnsi="David" w:cs="David"/>
          <w:sz w:val="24"/>
          <w:szCs w:val="24"/>
          <w:rtl/>
        </w:rPr>
        <w:t xml:space="preserve"> עבירות),</w:t>
      </w:r>
      <w:r w:rsidR="00BE37EF">
        <w:rPr>
          <w:rFonts w:ascii="David" w:hAnsi="David" w:cs="David" w:hint="cs"/>
          <w:sz w:val="24"/>
          <w:szCs w:val="24"/>
          <w:rtl/>
        </w:rPr>
        <w:t xml:space="preserve"> </w:t>
      </w:r>
      <w:r w:rsidR="00BE37EF" w:rsidRPr="00BE37EF">
        <w:rPr>
          <w:rFonts w:ascii="David" w:hAnsi="David" w:cs="David"/>
          <w:sz w:val="24"/>
          <w:szCs w:val="24"/>
          <w:rtl/>
        </w:rPr>
        <w:t>שימוש במסמך מזויף בכוונה לקבל באמצעותו דבר (</w:t>
      </w:r>
      <w:r>
        <w:rPr>
          <w:rFonts w:ascii="David" w:hAnsi="David" w:cs="David" w:hint="cs"/>
          <w:sz w:val="24"/>
          <w:szCs w:val="24"/>
          <w:rtl/>
        </w:rPr>
        <w:t>17</w:t>
      </w:r>
      <w:r w:rsidR="00BE37EF" w:rsidRPr="00BE37EF">
        <w:rPr>
          <w:rFonts w:ascii="David" w:hAnsi="David" w:cs="David"/>
          <w:sz w:val="24"/>
          <w:szCs w:val="24"/>
          <w:rtl/>
        </w:rPr>
        <w:t xml:space="preserve"> עבירות), וזיוף בכוונה לקבל ד</w:t>
      </w:r>
      <w:r w:rsidR="00BE37EF">
        <w:rPr>
          <w:rFonts w:ascii="David" w:hAnsi="David" w:cs="David"/>
          <w:sz w:val="24"/>
          <w:szCs w:val="24"/>
          <w:rtl/>
        </w:rPr>
        <w:t>בר ובנסיבות מחמירות (</w:t>
      </w:r>
      <w:r>
        <w:rPr>
          <w:rFonts w:ascii="David" w:hAnsi="David" w:cs="David" w:hint="cs"/>
          <w:sz w:val="24"/>
          <w:szCs w:val="24"/>
          <w:rtl/>
        </w:rPr>
        <w:t xml:space="preserve">16 </w:t>
      </w:r>
      <w:r w:rsidR="00BE37EF">
        <w:rPr>
          <w:rFonts w:ascii="David" w:hAnsi="David" w:cs="David"/>
          <w:sz w:val="24"/>
          <w:szCs w:val="24"/>
          <w:rtl/>
        </w:rPr>
        <w:t>עבירות)</w:t>
      </w:r>
      <w:r w:rsidR="00BE37EF">
        <w:rPr>
          <w:rFonts w:ascii="David" w:hAnsi="David" w:cs="David" w:hint="cs"/>
          <w:sz w:val="24"/>
          <w:szCs w:val="24"/>
          <w:rtl/>
        </w:rPr>
        <w:t xml:space="preserve"> ועוד.</w:t>
      </w:r>
    </w:p>
    <w:p w14:paraId="23E2DA8D" w14:textId="77777777" w:rsidR="00BE37EF" w:rsidRDefault="000E372F" w:rsidP="00A01126">
      <w:pPr>
        <w:pStyle w:val="ListParagraph"/>
        <w:spacing w:after="0" w:line="360" w:lineRule="auto"/>
        <w:ind w:left="0"/>
        <w:jc w:val="both"/>
        <w:rPr>
          <w:rFonts w:ascii="David" w:hAnsi="David" w:cs="David"/>
          <w:sz w:val="24"/>
          <w:szCs w:val="24"/>
          <w:rtl/>
        </w:rPr>
      </w:pPr>
      <w:r>
        <w:rPr>
          <w:rFonts w:ascii="David" w:hAnsi="David" w:cs="David"/>
          <w:sz w:val="24"/>
          <w:szCs w:val="24"/>
          <w:rtl/>
        </w:rPr>
        <w:t xml:space="preserve">על-פי </w:t>
      </w:r>
      <w:r w:rsidRPr="00BE37EF">
        <w:rPr>
          <w:rFonts w:ascii="David" w:hAnsi="David" w:cs="David"/>
          <w:sz w:val="24"/>
          <w:szCs w:val="24"/>
          <w:rtl/>
        </w:rPr>
        <w:t>כתב</w:t>
      </w:r>
      <w:r w:rsidR="0092189F">
        <w:rPr>
          <w:rFonts w:ascii="David" w:hAnsi="David" w:cs="David" w:hint="cs"/>
          <w:sz w:val="24"/>
          <w:szCs w:val="24"/>
          <w:rtl/>
        </w:rPr>
        <w:t>י</w:t>
      </w:r>
      <w:r w:rsidRPr="00BE37EF">
        <w:rPr>
          <w:rFonts w:ascii="David" w:hAnsi="David" w:cs="David"/>
          <w:sz w:val="24"/>
          <w:szCs w:val="24"/>
          <w:rtl/>
        </w:rPr>
        <w:t xml:space="preserve"> האישום, במהלך החודשים </w:t>
      </w:r>
      <w:r w:rsidR="00F00485">
        <w:rPr>
          <w:rFonts w:ascii="David" w:hAnsi="David" w:cs="David" w:hint="cs"/>
          <w:sz w:val="24"/>
          <w:szCs w:val="24"/>
          <w:rtl/>
        </w:rPr>
        <w:t xml:space="preserve">יוני </w:t>
      </w:r>
      <w:r w:rsidR="0092189F">
        <w:rPr>
          <w:rFonts w:ascii="David" w:hAnsi="David" w:cs="David" w:hint="cs"/>
          <w:sz w:val="24"/>
          <w:szCs w:val="24"/>
          <w:rtl/>
        </w:rPr>
        <w:t>2023</w:t>
      </w:r>
      <w:r w:rsidRPr="00BE37EF">
        <w:rPr>
          <w:rFonts w:ascii="David" w:hAnsi="David" w:cs="David"/>
          <w:sz w:val="24"/>
          <w:szCs w:val="24"/>
          <w:rtl/>
        </w:rPr>
        <w:t xml:space="preserve"> </w:t>
      </w:r>
      <w:r w:rsidR="0092189F">
        <w:rPr>
          <w:rFonts w:ascii="David" w:hAnsi="David" w:cs="David" w:hint="cs"/>
          <w:sz w:val="24"/>
          <w:szCs w:val="24"/>
          <w:rtl/>
        </w:rPr>
        <w:t>ו</w:t>
      </w:r>
      <w:r w:rsidRPr="00BE37EF">
        <w:rPr>
          <w:rFonts w:ascii="David" w:hAnsi="David" w:cs="David"/>
          <w:sz w:val="24"/>
          <w:szCs w:val="24"/>
          <w:rtl/>
        </w:rPr>
        <w:t xml:space="preserve">עד אוקטובר 2024, פנה הנאשם לבתי עסק רבים, ביצע הזמנות של מוצרי מזון, משקאות ופחמים, והתחייב לשלם תמורתם, שעה שידע שלא יעמוד בהתחייבויותיו. כחלק מהמצג הכוזב ועל מנת להסוות את זהותו, מסר הנאשם, בעת עריכת העסקאות, פרטי זהות כוזבים אודותיו והשתמש במספרי טלפון שונים. </w:t>
      </w:r>
    </w:p>
    <w:p w14:paraId="50E716BB" w14:textId="77777777" w:rsidR="00BE37EF" w:rsidRPr="00BE37EF" w:rsidRDefault="000E372F" w:rsidP="00A01126">
      <w:pPr>
        <w:pStyle w:val="ListParagraph"/>
        <w:spacing w:before="354" w:after="0" w:line="360" w:lineRule="auto"/>
        <w:ind w:left="0"/>
        <w:contextualSpacing w:val="0"/>
        <w:jc w:val="both"/>
        <w:rPr>
          <w:rFonts w:ascii="David" w:hAnsi="David" w:cs="David"/>
          <w:sz w:val="24"/>
          <w:szCs w:val="24"/>
          <w:rtl/>
        </w:rPr>
      </w:pPr>
      <w:r w:rsidRPr="00BE37EF">
        <w:rPr>
          <w:rFonts w:ascii="David" w:hAnsi="David" w:cs="David"/>
          <w:sz w:val="24"/>
          <w:szCs w:val="24"/>
          <w:rtl/>
        </w:rPr>
        <w:t>בחלק מן המקרים, הזדהה הנאשם בכזב כבעל מלון בהרצליה המארח אזרחים מעוטף עזה ומהצפון</w:t>
      </w:r>
      <w:r w:rsidR="00A01126">
        <w:rPr>
          <w:rFonts w:ascii="David" w:hAnsi="David" w:cs="David" w:hint="cs"/>
          <w:sz w:val="24"/>
          <w:szCs w:val="24"/>
          <w:rtl/>
        </w:rPr>
        <w:t>,</w:t>
      </w:r>
      <w:r w:rsidRPr="00BE37EF">
        <w:rPr>
          <w:rFonts w:ascii="David" w:hAnsi="David" w:cs="David"/>
          <w:sz w:val="24"/>
          <w:szCs w:val="24"/>
          <w:rtl/>
        </w:rPr>
        <w:t xml:space="preserve"> </w:t>
      </w:r>
      <w:r w:rsidR="00A01126">
        <w:rPr>
          <w:rFonts w:ascii="David" w:hAnsi="David" w:cs="David" w:hint="cs"/>
          <w:sz w:val="24"/>
          <w:szCs w:val="24"/>
          <w:rtl/>
        </w:rPr>
        <w:t>ש</w:t>
      </w:r>
      <w:r w:rsidRPr="00BE37EF">
        <w:rPr>
          <w:rFonts w:ascii="David" w:hAnsi="David" w:cs="David"/>
          <w:sz w:val="24"/>
          <w:szCs w:val="24"/>
          <w:rtl/>
        </w:rPr>
        <w:t xml:space="preserve">פונו מבתיהם בעקבות מלחמת חרבות ברזל וטען בכזב כי הסחורה שהזמין מיועדת למפונים. על סמך המצג הכוזב, העבירו בתי העסק לידי הנאשם את הסחורות שהזמין מהם. </w:t>
      </w:r>
    </w:p>
    <w:p w14:paraId="4C5FF706" w14:textId="77777777" w:rsidR="008B5817" w:rsidRPr="00BE37EF" w:rsidRDefault="000E372F" w:rsidP="00057497">
      <w:pPr>
        <w:pStyle w:val="ListParagraph"/>
        <w:spacing w:after="0" w:line="360" w:lineRule="auto"/>
        <w:ind w:left="0"/>
        <w:jc w:val="both"/>
        <w:rPr>
          <w:rFonts w:ascii="David" w:hAnsi="David" w:cs="David"/>
          <w:sz w:val="24"/>
          <w:szCs w:val="24"/>
          <w:rtl/>
        </w:rPr>
      </w:pPr>
      <w:r w:rsidRPr="00BE37EF">
        <w:rPr>
          <w:rFonts w:ascii="David" w:hAnsi="David" w:cs="David"/>
          <w:sz w:val="24"/>
          <w:szCs w:val="24"/>
          <w:rtl/>
        </w:rPr>
        <w:t xml:space="preserve">בחלק מן המקרים, בתמורה לסחורה שקיבל, מסר הנאשם לבתי העסק, שיקים שהגיעו לידיו בדרך שאינה ידועה, ללא ידיעת בעליהם, למרות שידע בבירור שאלה יחוללו על ידי הבנק. </w:t>
      </w:r>
    </w:p>
    <w:p w14:paraId="18947B05" w14:textId="77777777" w:rsidR="008B5817" w:rsidRPr="00BE37EF" w:rsidRDefault="000E372F" w:rsidP="00057497">
      <w:pPr>
        <w:pStyle w:val="ListParagraph"/>
        <w:spacing w:after="0" w:line="360" w:lineRule="auto"/>
        <w:ind w:left="0"/>
        <w:jc w:val="both"/>
        <w:rPr>
          <w:rFonts w:ascii="David" w:hAnsi="David" w:cs="David"/>
          <w:sz w:val="24"/>
          <w:szCs w:val="24"/>
          <w:rtl/>
        </w:rPr>
      </w:pPr>
      <w:r w:rsidRPr="00BE37EF">
        <w:rPr>
          <w:rFonts w:ascii="David" w:hAnsi="David" w:cs="David"/>
          <w:sz w:val="24"/>
          <w:szCs w:val="24"/>
          <w:rtl/>
        </w:rPr>
        <w:t xml:space="preserve">משהתברר לבתי העסק כי השיקים שמסר להם הנאשם חוללו, פנו אל הנאשם ודרשו ממנו לעמוד בהתחייבויותיו ולשלם להם. בתגובה העביר להם הנאשם שיקים נוספים שידע שיחוללו על ידי הבנק, ו/או העביר להם בוואטסאפ מסמך מזויף בגין העברה בנקאית.  </w:t>
      </w:r>
    </w:p>
    <w:p w14:paraId="1340407E" w14:textId="77777777" w:rsidR="00BE37EF" w:rsidRPr="008B5817" w:rsidRDefault="000E372F" w:rsidP="0092189F">
      <w:pPr>
        <w:pStyle w:val="ListParagraph"/>
        <w:spacing w:after="0" w:line="360" w:lineRule="auto"/>
        <w:ind w:left="0"/>
        <w:jc w:val="both"/>
        <w:rPr>
          <w:rFonts w:ascii="David" w:hAnsi="David" w:cs="David"/>
          <w:b/>
          <w:bCs/>
          <w:sz w:val="24"/>
          <w:szCs w:val="24"/>
          <w:rtl/>
        </w:rPr>
      </w:pPr>
      <w:r w:rsidRPr="008B5817">
        <w:rPr>
          <w:rFonts w:ascii="David" w:hAnsi="David" w:cs="David"/>
          <w:b/>
          <w:bCs/>
          <w:sz w:val="24"/>
          <w:szCs w:val="24"/>
          <w:rtl/>
        </w:rPr>
        <w:t>ממעשיו אלו, הנאשם קיבל לידיו במרמה סחורות בשווי כולל של כ</w:t>
      </w:r>
      <w:r w:rsidR="0092189F" w:rsidRPr="008B5817">
        <w:rPr>
          <w:rFonts w:ascii="David" w:hAnsi="David" w:cs="David" w:hint="cs"/>
          <w:b/>
          <w:bCs/>
          <w:sz w:val="24"/>
          <w:szCs w:val="24"/>
          <w:rtl/>
        </w:rPr>
        <w:t>-2,729,432.2</w:t>
      </w:r>
      <w:r w:rsidRPr="008B5817">
        <w:rPr>
          <w:rFonts w:ascii="David" w:hAnsi="David" w:cs="David"/>
          <w:b/>
          <w:bCs/>
          <w:sz w:val="24"/>
          <w:szCs w:val="24"/>
          <w:rtl/>
        </w:rPr>
        <w:t xml:space="preserve"> ₪.</w:t>
      </w:r>
    </w:p>
    <w:p w14:paraId="22F6D4CD" w14:textId="77777777" w:rsidR="008B5817" w:rsidRDefault="000E372F" w:rsidP="008B5817">
      <w:pPr>
        <w:spacing w:after="0" w:line="360" w:lineRule="auto"/>
        <w:jc w:val="both"/>
        <w:rPr>
          <w:rFonts w:ascii="David" w:hAnsi="David" w:cs="David"/>
          <w:color w:val="000000"/>
          <w:sz w:val="24"/>
          <w:szCs w:val="24"/>
          <w:rtl/>
        </w:rPr>
      </w:pPr>
      <w:r>
        <w:rPr>
          <w:rFonts w:ascii="David" w:hAnsi="David" w:cs="David" w:hint="cs"/>
          <w:color w:val="000000"/>
          <w:sz w:val="24"/>
          <w:szCs w:val="24"/>
          <w:rtl/>
        </w:rPr>
        <w:t xml:space="preserve">בית המשפט קבע כי מידת הפגיעה של  הנאשם בערכים המוגנים הינה משמעותית ראש וראשונה, נוכח ניצול קורבנות תמימים בתקופה כה קשה שמדינת ישראל לא ידעה כמותה. ודוק, התקופה בה בחר הנאשם לבצע את מרבית העבירות והרקע להן, הם בבחינת נסיבה לחומרה שיש בכוחה להשפיע באופן משמעותי על עיצוב מתחם הענישה, שכן אין דינו של עבריין מרמה בסכומי כסף מצטברים בהיקף כה ניכר לדינו של עבריין מרמה שניצל את השבר הלאומי במדינת ישראל לצורך הפקת רווח כלכלי אישי, תוך ניצול תמימותם וטוב ליבם של קורבנות העבירה על לא עוול בכפם. נוכח האמור, </w:t>
      </w:r>
      <w:r>
        <w:rPr>
          <w:rFonts w:ascii="David" w:hAnsi="David" w:cs="David" w:hint="cs"/>
          <w:color w:val="000000"/>
          <w:sz w:val="24"/>
          <w:szCs w:val="24"/>
          <w:rtl/>
        </w:rPr>
        <w:lastRenderedPageBreak/>
        <w:t xml:space="preserve">נקבע מתחם ענישה הולם הנע בין 7 ל-11 שנות מאסר בפועל לצד עונשים נלווים בדמות מאסר מותנה, קנס ופיצוי לקורבנות העבירה. </w:t>
      </w:r>
    </w:p>
    <w:p w14:paraId="724E8AB2" w14:textId="77777777" w:rsidR="0092189F" w:rsidRPr="00BE37EF" w:rsidRDefault="000E372F" w:rsidP="00057497">
      <w:pPr>
        <w:spacing w:before="354" w:after="0" w:line="360" w:lineRule="auto"/>
        <w:jc w:val="both"/>
        <w:rPr>
          <w:rFonts w:ascii="David" w:hAnsi="David" w:cs="David"/>
          <w:sz w:val="24"/>
          <w:szCs w:val="24"/>
        </w:rPr>
      </w:pPr>
      <w:r w:rsidRPr="00BE37EF">
        <w:rPr>
          <w:rFonts w:ascii="David" w:hAnsi="David" w:cs="David"/>
          <w:color w:val="000000"/>
          <w:sz w:val="24"/>
          <w:szCs w:val="24"/>
          <w:rtl/>
        </w:rPr>
        <w:t>בית המשפט נתן דעתו לשיקול הרתעת הרבים, שעה שמדובר בעבירות מרמה שהופנו כלפי קורבנות תמימים, אשר נפלו קורבן למעשי המרמה על לא עוול בכפם, ללא הכנה מוקדמת, הקלות בביצוע העבירות והקושי הגלום בגילוי העבריין. לא זו אף זו, אלא שיש להרתיע כל עבריין מפני עשיית שימוש ציני בתקופת מלחמה ובאחדות העם כשכל רצון הציבור לסייע איש לרעהו בתקופה זו.</w:t>
      </w:r>
    </w:p>
    <w:p w14:paraId="4A2BC0C8" w14:textId="77777777" w:rsidR="008B5817" w:rsidRPr="00BE37EF" w:rsidRDefault="000E372F" w:rsidP="00057497">
      <w:pPr>
        <w:spacing w:before="354" w:after="0" w:line="360" w:lineRule="auto"/>
        <w:jc w:val="both"/>
        <w:rPr>
          <w:rFonts w:ascii="David" w:hAnsi="David" w:cs="David"/>
          <w:color w:val="323E4F" w:themeColor="text2" w:themeShade="BF"/>
          <w:sz w:val="26"/>
          <w:szCs w:val="26"/>
          <w:rtl/>
        </w:rPr>
      </w:pPr>
      <w:r>
        <w:rPr>
          <w:rFonts w:ascii="David" w:eastAsia="Times New Roman" w:hAnsi="David" w:cs="David" w:hint="cs"/>
          <w:color w:val="000000"/>
          <w:sz w:val="24"/>
          <w:szCs w:val="24"/>
          <w:rtl/>
        </w:rPr>
        <w:t>ה</w:t>
      </w:r>
      <w:r w:rsidR="00BE37EF" w:rsidRPr="00BE37EF">
        <w:rPr>
          <w:rFonts w:ascii="David" w:eastAsia="Times New Roman" w:hAnsi="David" w:cs="David"/>
          <w:color w:val="000000"/>
          <w:sz w:val="24"/>
          <w:szCs w:val="24"/>
          <w:rtl/>
        </w:rPr>
        <w:t xml:space="preserve">נאשם </w:t>
      </w:r>
      <w:r>
        <w:rPr>
          <w:rFonts w:ascii="David" w:eastAsia="Times New Roman" w:hAnsi="David" w:cs="David" w:hint="cs"/>
          <w:color w:val="000000"/>
          <w:sz w:val="24"/>
          <w:szCs w:val="24"/>
          <w:rtl/>
        </w:rPr>
        <w:t xml:space="preserve">בעל עבר פלילי מכביד בתחום המרמה, </w:t>
      </w:r>
      <w:r w:rsidR="00BE37EF" w:rsidRPr="00BE37EF">
        <w:rPr>
          <w:rFonts w:ascii="David" w:eastAsia="Times New Roman" w:hAnsi="David" w:cs="David"/>
          <w:color w:val="000000"/>
          <w:sz w:val="24"/>
          <w:szCs w:val="24"/>
          <w:rtl/>
        </w:rPr>
        <w:t>הסובל, כך לדבריו, מבעיית הימורים קשה, אשר יוצא ונכנס בשערי בית האסורים ושב לבצע עבירות מרמה מבלי שמאסריו הממושכים מרתיעים אותו מלשוב ולבצען, פעם אחר פעם.</w:t>
      </w:r>
    </w:p>
    <w:p w14:paraId="0B8F84B6" w14:textId="77777777" w:rsidR="008B5817" w:rsidRDefault="000E372F" w:rsidP="00057497">
      <w:pPr>
        <w:pStyle w:val="ListParagraph"/>
        <w:spacing w:after="0" w:line="360" w:lineRule="auto"/>
        <w:ind w:left="0"/>
        <w:jc w:val="both"/>
        <w:rPr>
          <w:rFonts w:ascii="David" w:hAnsi="David" w:cs="David"/>
          <w:color w:val="000000"/>
          <w:sz w:val="24"/>
          <w:szCs w:val="24"/>
          <w:rtl/>
        </w:rPr>
      </w:pPr>
      <w:r w:rsidRPr="00BE37EF">
        <w:rPr>
          <w:rFonts w:ascii="David" w:hAnsi="David" w:cs="David"/>
          <w:color w:val="000000"/>
          <w:sz w:val="24"/>
          <w:szCs w:val="24"/>
          <w:rtl/>
        </w:rPr>
        <w:t xml:space="preserve">זעקת קורבן העבירה אשר העיד לעונש אודות הפגיעה הנפשית, הכלכלית והפיזית שנגרמה לו כתוצאה ממעשיו של הנאשם, מהדהדת באוזני בית המשפט ומשקפת את זעקת קורבנות המרמה והעקיצה אותם על בית המשפט לשוות לנגד עיניו על מנת למגר תופעה רעה זו. </w:t>
      </w:r>
    </w:p>
    <w:p w14:paraId="1BE2FB9B" w14:textId="77777777" w:rsidR="00BE37EF" w:rsidRPr="00BE37EF" w:rsidRDefault="000E372F" w:rsidP="00CA568E">
      <w:pPr>
        <w:pStyle w:val="ListParagraph"/>
        <w:spacing w:after="0" w:line="360" w:lineRule="auto"/>
        <w:ind w:left="0"/>
        <w:jc w:val="both"/>
        <w:rPr>
          <w:rFonts w:ascii="David" w:hAnsi="David" w:cs="David"/>
          <w:color w:val="000000"/>
          <w:sz w:val="24"/>
          <w:szCs w:val="24"/>
        </w:rPr>
      </w:pPr>
      <w:r w:rsidRPr="00BE37EF">
        <w:rPr>
          <w:rFonts w:ascii="David" w:hAnsi="David" w:cs="David"/>
          <w:color w:val="000000"/>
          <w:sz w:val="24"/>
          <w:szCs w:val="24"/>
          <w:rtl/>
        </w:rPr>
        <w:t xml:space="preserve">עבירות מסוג זה, לא זו בלבד שגורמות לאובדן התמימות והאמון, אלא שהן פוגעות בחיי מסחר תקינים במדינה. </w:t>
      </w:r>
    </w:p>
    <w:p w14:paraId="6DDB39B4" w14:textId="77777777" w:rsidR="008B5817" w:rsidRDefault="000E372F" w:rsidP="00057497">
      <w:pPr>
        <w:spacing w:before="384" w:after="0" w:line="360" w:lineRule="auto"/>
        <w:jc w:val="both"/>
        <w:rPr>
          <w:rFonts w:ascii="David" w:eastAsia="Times New Roman" w:hAnsi="David" w:cs="David"/>
          <w:color w:val="000000"/>
          <w:sz w:val="24"/>
          <w:szCs w:val="24"/>
          <w:rtl/>
        </w:rPr>
      </w:pPr>
      <w:r w:rsidRPr="00FA14DC">
        <w:rPr>
          <w:rFonts w:ascii="David" w:eastAsia="Times New Roman" w:hAnsi="David" w:cs="David"/>
          <w:color w:val="000000"/>
          <w:sz w:val="24"/>
          <w:szCs w:val="24"/>
          <w:rtl/>
        </w:rPr>
        <w:t>אשר לרכיבים הכלכליים</w:t>
      </w:r>
      <w:r>
        <w:rPr>
          <w:rFonts w:ascii="David" w:eastAsia="Times New Roman" w:hAnsi="David" w:cs="David"/>
          <w:color w:val="000000"/>
          <w:sz w:val="24"/>
          <w:szCs w:val="24"/>
          <w:rtl/>
        </w:rPr>
        <w:t xml:space="preserve"> קנס ופיצוי לקורבנות העבירה נת</w:t>
      </w:r>
      <w:r>
        <w:rPr>
          <w:rFonts w:ascii="David" w:eastAsia="Times New Roman" w:hAnsi="David" w:cs="David" w:hint="cs"/>
          <w:color w:val="000000"/>
          <w:sz w:val="24"/>
          <w:szCs w:val="24"/>
          <w:rtl/>
        </w:rPr>
        <w:t>נה השופטת</w:t>
      </w:r>
      <w:r>
        <w:rPr>
          <w:rFonts w:ascii="David" w:eastAsia="Times New Roman" w:hAnsi="David" w:cs="David"/>
          <w:color w:val="000000"/>
          <w:sz w:val="24"/>
          <w:szCs w:val="24"/>
          <w:rtl/>
        </w:rPr>
        <w:t xml:space="preserve"> דעת</w:t>
      </w:r>
      <w:r>
        <w:rPr>
          <w:rFonts w:ascii="David" w:eastAsia="Times New Roman" w:hAnsi="David" w:cs="David" w:hint="cs"/>
          <w:color w:val="000000"/>
          <w:sz w:val="24"/>
          <w:szCs w:val="24"/>
          <w:rtl/>
        </w:rPr>
        <w:t>ה</w:t>
      </w:r>
      <w:r w:rsidRPr="00FA14DC">
        <w:rPr>
          <w:rFonts w:ascii="David" w:eastAsia="Times New Roman" w:hAnsi="David" w:cs="David"/>
          <w:color w:val="000000"/>
          <w:sz w:val="24"/>
          <w:szCs w:val="24"/>
          <w:rtl/>
        </w:rPr>
        <w:t xml:space="preserve">, </w:t>
      </w:r>
      <w:r w:rsidRPr="00FA14DC">
        <w:rPr>
          <w:rFonts w:ascii="David" w:eastAsia="Times New Roman" w:hAnsi="David" w:cs="David" w:hint="cs"/>
          <w:color w:val="000000"/>
          <w:sz w:val="24"/>
          <w:szCs w:val="24"/>
          <w:rtl/>
        </w:rPr>
        <w:t>לאופיין וטיבן של העבירות בהן הורשע, לכך שישנם סוגי קורבנות עבירה שונים, חלקם נפגעו מכך שהמחאותיהם חוללו, חלקם ניזוקו באופן ישיר מגזל הסחורה שלא הושבה ואף לא הרווחים הכלכליים</w:t>
      </w:r>
      <w:r>
        <w:rPr>
          <w:rFonts w:ascii="David" w:eastAsia="Times New Roman" w:hAnsi="David" w:cs="David" w:hint="cs"/>
          <w:color w:val="000000"/>
          <w:sz w:val="24"/>
          <w:szCs w:val="24"/>
          <w:rtl/>
        </w:rPr>
        <w:t>.</w:t>
      </w:r>
    </w:p>
    <w:p w14:paraId="0E41AAC6" w14:textId="77777777" w:rsidR="00A01126" w:rsidRPr="00DC13E6" w:rsidRDefault="000E372F" w:rsidP="00DC13E6">
      <w:pPr>
        <w:spacing w:after="0" w:line="360" w:lineRule="auto"/>
        <w:jc w:val="both"/>
        <w:rPr>
          <w:rFonts w:ascii="David" w:hAnsi="David" w:cs="David"/>
          <w:color w:val="323E4F" w:themeColor="text2" w:themeShade="BF"/>
          <w:sz w:val="26"/>
          <w:szCs w:val="26"/>
          <w:rtl/>
        </w:rPr>
      </w:pPr>
      <w:r>
        <w:rPr>
          <w:rFonts w:ascii="David" w:eastAsia="Times New Roman" w:hAnsi="David" w:cs="David" w:hint="cs"/>
          <w:color w:val="000000"/>
          <w:sz w:val="24"/>
          <w:szCs w:val="24"/>
          <w:rtl/>
        </w:rPr>
        <w:t>עוד נתנה דעתה לנ</w:t>
      </w:r>
      <w:r w:rsidRPr="00307AE8">
        <w:rPr>
          <w:rFonts w:ascii="David" w:eastAsia="Times New Roman" w:hAnsi="David" w:cs="David"/>
          <w:color w:val="000000"/>
          <w:sz w:val="24"/>
          <w:szCs w:val="24"/>
          <w:rtl/>
        </w:rPr>
        <w:t>סיבות חיי</w:t>
      </w:r>
      <w:r>
        <w:rPr>
          <w:rFonts w:ascii="David" w:eastAsia="Times New Roman" w:hAnsi="David" w:cs="David" w:hint="cs"/>
          <w:color w:val="000000"/>
          <w:sz w:val="24"/>
          <w:szCs w:val="24"/>
          <w:rtl/>
        </w:rPr>
        <w:t>ו</w:t>
      </w:r>
      <w:r w:rsidRPr="00307AE8">
        <w:rPr>
          <w:rFonts w:ascii="David" w:eastAsia="Times New Roman" w:hAnsi="David" w:cs="David"/>
          <w:color w:val="000000"/>
          <w:sz w:val="24"/>
          <w:szCs w:val="24"/>
          <w:rtl/>
        </w:rPr>
        <w:t xml:space="preserve"> המורכבות וביניהן; </w:t>
      </w:r>
      <w:r>
        <w:rPr>
          <w:rFonts w:ascii="David" w:eastAsia="Times New Roman" w:hAnsi="David" w:cs="David" w:hint="cs"/>
          <w:color w:val="000000"/>
          <w:sz w:val="24"/>
          <w:szCs w:val="24"/>
          <w:rtl/>
        </w:rPr>
        <w:t xml:space="preserve">היותו גרוש, היחסים העכורים עם בתו מזה מספר שנים והנתק עם בני משפחתו המורחבת. אכן, לאף דיון לא התייצב חבר או בן משפחה מטעמו. </w:t>
      </w:r>
      <w:r w:rsidRPr="00BE37EF">
        <w:rPr>
          <w:rFonts w:ascii="David" w:hAnsi="David" w:cs="David"/>
          <w:color w:val="000000"/>
          <w:sz w:val="24"/>
          <w:szCs w:val="24"/>
          <w:rtl/>
        </w:rPr>
        <w:t>הנאשם</w:t>
      </w:r>
      <w:r w:rsidRPr="00BE37EF">
        <w:rPr>
          <w:rFonts w:ascii="David" w:eastAsia="Times New Roman" w:hAnsi="David" w:cs="David"/>
          <w:color w:val="000000"/>
          <w:sz w:val="24"/>
          <w:szCs w:val="24"/>
          <w:rtl/>
        </w:rPr>
        <w:t xml:space="preserve"> אמנם הביע חרטה במלל על מעשיו, אך לא השיב את הגזילה. מקום בו לא הושבה הגזילה שנלקחה מידי קורבנות העבירה, הרי שלא ניתן לראות בהבעת החרטה כשלמה. הבעת חרטה במלל אינה שוות ערך להבעת חרטה במעש, בפרט שעה שעסקינן בעבירות מרמה ומעילה</w:t>
      </w:r>
      <w:r>
        <w:rPr>
          <w:rFonts w:ascii="David" w:hAnsi="David" w:cs="David" w:hint="cs"/>
          <w:color w:val="323E4F" w:themeColor="text2" w:themeShade="BF"/>
          <w:sz w:val="26"/>
          <w:szCs w:val="26"/>
          <w:rtl/>
        </w:rPr>
        <w:t>.</w:t>
      </w:r>
    </w:p>
    <w:p w14:paraId="0841357D" w14:textId="77777777" w:rsidR="00BE37EF" w:rsidRPr="00057497" w:rsidRDefault="000E372F" w:rsidP="00BE37EF">
      <w:pPr>
        <w:spacing w:before="384" w:after="0" w:line="360" w:lineRule="auto"/>
        <w:jc w:val="both"/>
        <w:rPr>
          <w:rFonts w:ascii="David" w:hAnsi="David" w:cs="David"/>
          <w:sz w:val="24"/>
          <w:szCs w:val="24"/>
          <w:rtl/>
        </w:rPr>
      </w:pPr>
      <w:r w:rsidRPr="00057497">
        <w:rPr>
          <w:rFonts w:ascii="David" w:hAnsi="David" w:cs="David"/>
          <w:sz w:val="24"/>
          <w:szCs w:val="24"/>
          <w:rtl/>
        </w:rPr>
        <w:t>השופטת דורית סבן נוי גזרה על הנאשם</w:t>
      </w:r>
      <w:r w:rsidR="006D7FD8" w:rsidRPr="00057497">
        <w:rPr>
          <w:rFonts w:ascii="David" w:hAnsi="David" w:cs="David"/>
          <w:sz w:val="24"/>
          <w:szCs w:val="24"/>
          <w:rtl/>
        </w:rPr>
        <w:t xml:space="preserve"> </w:t>
      </w:r>
      <w:r w:rsidR="008B5817" w:rsidRPr="00057497">
        <w:rPr>
          <w:rFonts w:ascii="David" w:hAnsi="David" w:cs="David"/>
          <w:sz w:val="24"/>
          <w:szCs w:val="24"/>
          <w:rtl/>
        </w:rPr>
        <w:t>10</w:t>
      </w:r>
      <w:r w:rsidRPr="00057497">
        <w:rPr>
          <w:rFonts w:ascii="David" w:hAnsi="David" w:cs="David"/>
          <w:sz w:val="24"/>
          <w:szCs w:val="24"/>
          <w:rtl/>
        </w:rPr>
        <w:t xml:space="preserve"> שנות מאסר בפועל</w:t>
      </w:r>
      <w:r w:rsidR="008B5817" w:rsidRPr="00057497">
        <w:rPr>
          <w:rFonts w:ascii="David" w:hAnsi="David" w:cs="David"/>
          <w:sz w:val="24"/>
          <w:szCs w:val="24"/>
          <w:rtl/>
        </w:rPr>
        <w:t xml:space="preserve"> ושלושה חודשים</w:t>
      </w:r>
      <w:r w:rsidRPr="00057497">
        <w:rPr>
          <w:rFonts w:ascii="David" w:hAnsi="David" w:cs="David"/>
          <w:sz w:val="24"/>
          <w:szCs w:val="24"/>
          <w:rtl/>
        </w:rPr>
        <w:t>.</w:t>
      </w:r>
    </w:p>
    <w:p w14:paraId="48ADC1CB" w14:textId="77777777" w:rsidR="008B5817" w:rsidRPr="00057497" w:rsidRDefault="000E372F" w:rsidP="00BE37EF">
      <w:pPr>
        <w:spacing w:after="0" w:line="360" w:lineRule="auto"/>
        <w:jc w:val="both"/>
        <w:rPr>
          <w:rFonts w:ascii="David" w:hAnsi="David" w:cs="David"/>
          <w:sz w:val="24"/>
          <w:szCs w:val="24"/>
          <w:rtl/>
        </w:rPr>
      </w:pPr>
      <w:r w:rsidRPr="00057497">
        <w:rPr>
          <w:rFonts w:ascii="David" w:hAnsi="David" w:cs="David"/>
          <w:sz w:val="24"/>
          <w:szCs w:val="24"/>
          <w:rtl/>
        </w:rPr>
        <w:t>מאסרים מותנים, קנס בסך 100,000 ₪ או שנת מאסר תמורתו</w:t>
      </w:r>
    </w:p>
    <w:p w14:paraId="4CF06A3A" w14:textId="77777777" w:rsidR="00E13F6E" w:rsidRPr="00057497" w:rsidRDefault="000E372F" w:rsidP="00524588">
      <w:pPr>
        <w:spacing w:after="0" w:line="360" w:lineRule="auto"/>
        <w:jc w:val="both"/>
        <w:rPr>
          <w:rFonts w:ascii="David" w:hAnsi="David" w:cs="David"/>
          <w:sz w:val="24"/>
          <w:szCs w:val="24"/>
        </w:rPr>
      </w:pPr>
      <w:r w:rsidRPr="00057497">
        <w:rPr>
          <w:rFonts w:ascii="David" w:hAnsi="David" w:cs="David"/>
          <w:sz w:val="24"/>
          <w:szCs w:val="24"/>
          <w:rtl/>
        </w:rPr>
        <w:t>ו</w:t>
      </w:r>
      <w:r w:rsidR="00BE37EF" w:rsidRPr="00057497">
        <w:rPr>
          <w:rFonts w:ascii="David" w:hAnsi="David" w:cs="David"/>
          <w:sz w:val="24"/>
          <w:szCs w:val="24"/>
          <w:rtl/>
        </w:rPr>
        <w:t>פיצוי לכל אחד מנפגעי העבירה</w:t>
      </w:r>
      <w:r w:rsidR="006D7FD8" w:rsidRPr="00057497">
        <w:rPr>
          <w:rFonts w:ascii="David" w:hAnsi="David" w:cs="David"/>
          <w:sz w:val="24"/>
          <w:szCs w:val="24"/>
          <w:rtl/>
        </w:rPr>
        <w:t xml:space="preserve"> בסך</w:t>
      </w:r>
      <w:r w:rsidR="00A01126" w:rsidRPr="00057497">
        <w:rPr>
          <w:rFonts w:ascii="David" w:hAnsi="David" w:cs="David"/>
          <w:sz w:val="24"/>
          <w:szCs w:val="24"/>
          <w:rtl/>
        </w:rPr>
        <w:t xml:space="preserve"> כולל של </w:t>
      </w:r>
      <w:r w:rsidR="006D7FD8" w:rsidRPr="00057497">
        <w:rPr>
          <w:rFonts w:ascii="David" w:hAnsi="David" w:cs="David"/>
          <w:sz w:val="24"/>
          <w:szCs w:val="24"/>
          <w:rtl/>
        </w:rPr>
        <w:t xml:space="preserve"> </w:t>
      </w:r>
      <w:r w:rsidR="00A01126" w:rsidRPr="00057497">
        <w:rPr>
          <w:rFonts w:ascii="David" w:hAnsi="David" w:cs="David"/>
          <w:sz w:val="24"/>
          <w:szCs w:val="24"/>
          <w:rtl/>
        </w:rPr>
        <w:t xml:space="preserve">1,589,670 ₪. </w:t>
      </w:r>
    </w:p>
    <w:p w14:paraId="3E2818F9" w14:textId="77777777" w:rsidR="00E13F6E" w:rsidRPr="000071E5" w:rsidRDefault="000E372F" w:rsidP="00BE37EF">
      <w:pPr>
        <w:spacing w:before="510" w:after="392" w:line="360" w:lineRule="auto"/>
        <w:jc w:val="center"/>
        <w:rPr>
          <w:rFonts w:ascii="FrankRuehl" w:hAnsi="FrankRuehl" w:cs="FrankRuehl"/>
          <w:b/>
          <w:bCs/>
          <w:color w:val="002060"/>
          <w:sz w:val="26"/>
          <w:szCs w:val="26"/>
        </w:rPr>
      </w:pPr>
      <w:r w:rsidRPr="000071E5">
        <w:rPr>
          <w:rFonts w:ascii="FrankRuehl" w:hAnsi="FrankRuehl" w:cs="FrankRuehl" w:hint="cs"/>
          <w:b/>
          <w:bCs/>
          <w:color w:val="002060"/>
          <w:sz w:val="26"/>
          <w:szCs w:val="26"/>
          <w:rtl/>
        </w:rPr>
        <w:t xml:space="preserve">*** </w:t>
      </w:r>
      <w:r>
        <w:rPr>
          <w:rFonts w:ascii="FrankRuehl" w:hAnsi="FrankRuehl" w:cs="FrankRuehl"/>
          <w:b/>
          <w:bCs/>
          <w:color w:val="002060"/>
          <w:sz w:val="26"/>
          <w:szCs w:val="26"/>
          <w:rtl/>
        </w:rPr>
        <w:t xml:space="preserve">הנוסח המחייב הוא </w:t>
      </w:r>
      <w:r w:rsidRPr="000071E5">
        <w:rPr>
          <w:rFonts w:ascii="FrankRuehl" w:hAnsi="FrankRuehl" w:cs="FrankRuehl"/>
          <w:b/>
          <w:bCs/>
          <w:color w:val="002060"/>
          <w:sz w:val="26"/>
          <w:szCs w:val="26"/>
          <w:rtl/>
        </w:rPr>
        <w:t xml:space="preserve">של </w:t>
      </w:r>
      <w:r w:rsidR="00BE37EF">
        <w:rPr>
          <w:rFonts w:ascii="FrankRuehl" w:hAnsi="FrankRuehl" w:cs="FrankRuehl" w:hint="cs"/>
          <w:b/>
          <w:bCs/>
          <w:color w:val="002060"/>
          <w:sz w:val="26"/>
          <w:szCs w:val="26"/>
          <w:rtl/>
        </w:rPr>
        <w:t>גזר</w:t>
      </w:r>
      <w:r>
        <w:rPr>
          <w:rFonts w:ascii="FrankRuehl" w:hAnsi="FrankRuehl" w:cs="FrankRuehl" w:hint="cs"/>
          <w:b/>
          <w:bCs/>
          <w:color w:val="002060"/>
          <w:sz w:val="26"/>
          <w:szCs w:val="26"/>
          <w:rtl/>
        </w:rPr>
        <w:t xml:space="preserve"> </w:t>
      </w:r>
      <w:r w:rsidRPr="000071E5">
        <w:rPr>
          <w:rFonts w:ascii="FrankRuehl" w:hAnsi="FrankRuehl" w:cs="FrankRuehl"/>
          <w:b/>
          <w:bCs/>
          <w:color w:val="002060"/>
          <w:sz w:val="26"/>
          <w:szCs w:val="26"/>
          <w:rtl/>
        </w:rPr>
        <w:t>הדין המלא</w:t>
      </w:r>
      <w:r w:rsidRPr="000071E5">
        <w:rPr>
          <w:rFonts w:ascii="FrankRuehl" w:hAnsi="FrankRuehl" w:cs="FrankRuehl" w:hint="cs"/>
          <w:b/>
          <w:bCs/>
          <w:color w:val="002060"/>
          <w:sz w:val="26"/>
          <w:szCs w:val="26"/>
          <w:rtl/>
        </w:rPr>
        <w:t xml:space="preserve"> ***</w:t>
      </w:r>
    </w:p>
    <w:sectPr w:rsidR="00E13F6E" w:rsidRPr="000071E5"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458CA" w14:textId="77777777" w:rsidR="00A465BD" w:rsidRDefault="00A465BD">
      <w:pPr>
        <w:spacing w:after="0" w:line="240" w:lineRule="auto"/>
      </w:pPr>
      <w:r>
        <w:separator/>
      </w:r>
    </w:p>
  </w:endnote>
  <w:endnote w:type="continuationSeparator" w:id="0">
    <w:p w14:paraId="7B4133F6" w14:textId="77777777" w:rsidR="00A465BD" w:rsidRDefault="00A46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75275" w14:textId="77777777" w:rsidR="003A639C" w:rsidRPr="003A639C" w:rsidRDefault="000E372F" w:rsidP="003A639C">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A639C">
      <w:rPr>
        <w:rFonts w:ascii="Times New Roman" w:eastAsia="Times New Roman" w:hAnsi="Times New Roman" w:cs="FrankRuehl"/>
        <w:b/>
        <w:bCs/>
        <w:color w:val="000080"/>
        <w:spacing w:val="6"/>
        <w:sz w:val="24"/>
        <w:szCs w:val="24"/>
        <w:rtl/>
      </w:rPr>
      <w:t>________________________________________________________________</w:t>
    </w:r>
  </w:p>
  <w:p w14:paraId="1CA30B74" w14:textId="77777777" w:rsidR="003A639C" w:rsidRPr="003A639C" w:rsidRDefault="000E372F" w:rsidP="003A639C">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sidRPr="003A639C">
      <w:rPr>
        <w:rFonts w:ascii="Times New Roman" w:eastAsia="Times New Roman" w:hAnsi="Times New Roman" w:cs="FrankRuehl" w:hint="cs"/>
        <w:b/>
        <w:bCs/>
        <w:color w:val="000080"/>
        <w:spacing w:val="6"/>
        <w:sz w:val="24"/>
        <w:szCs w:val="24"/>
        <w:rtl/>
      </w:rPr>
      <w:t xml:space="preserve">בית משפט העליון | דרך השופט מאיר שמגר 1 | </w:t>
    </w:r>
    <w:proofErr w:type="spellStart"/>
    <w:r w:rsidRPr="003A639C">
      <w:rPr>
        <w:rFonts w:ascii="Times New Roman" w:eastAsia="Times New Roman" w:hAnsi="Times New Roman" w:cs="FrankRuehl" w:hint="cs"/>
        <w:b/>
        <w:bCs/>
        <w:color w:val="000080"/>
        <w:spacing w:val="6"/>
        <w:sz w:val="24"/>
        <w:szCs w:val="24"/>
        <w:rtl/>
      </w:rPr>
      <w:t>קרית</w:t>
    </w:r>
    <w:proofErr w:type="spellEnd"/>
    <w:r w:rsidRPr="003A639C">
      <w:rPr>
        <w:rFonts w:ascii="Times New Roman" w:eastAsia="Times New Roman" w:hAnsi="Times New Roman" w:cs="FrankRuehl" w:hint="cs"/>
        <w:b/>
        <w:bCs/>
        <w:color w:val="000080"/>
        <w:spacing w:val="6"/>
        <w:sz w:val="24"/>
        <w:szCs w:val="24"/>
        <w:rtl/>
      </w:rPr>
      <w:t xml:space="preserve"> בן גוריון | ירושלים</w:t>
    </w:r>
  </w:p>
  <w:p w14:paraId="35FB2D6B" w14:textId="77777777" w:rsidR="003C61AF" w:rsidRPr="003A639C" w:rsidRDefault="000E372F" w:rsidP="003A639C">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sidRPr="003A639C">
      <w:rPr>
        <w:rFonts w:ascii="Times New Roman" w:eastAsia="Times New Roman" w:hAnsi="Times New Roman" w:cs="FrankRuehl" w:hint="cs"/>
        <w:b/>
        <w:bCs/>
        <w:color w:val="000080"/>
        <w:spacing w:val="6"/>
        <w:sz w:val="24"/>
        <w:szCs w:val="24"/>
        <w:rtl/>
      </w:rPr>
      <w:t xml:space="preserve">טל: </w:t>
    </w:r>
    <w:r w:rsidRPr="003A639C">
      <w:rPr>
        <w:rFonts w:ascii="Times New Roman" w:eastAsia="Times New Roman" w:hAnsi="Times New Roman" w:cs="FrankRuehl"/>
        <w:b/>
        <w:bCs/>
        <w:color w:val="000080"/>
        <w:spacing w:val="6"/>
        <w:sz w:val="24"/>
        <w:szCs w:val="24"/>
      </w:rPr>
      <w:t>074-7480412</w:t>
    </w:r>
    <w:r w:rsidRPr="003A639C">
      <w:rPr>
        <w:rFonts w:ascii="Times New Roman" w:eastAsia="Times New Roman" w:hAnsi="Times New Roman" w:cs="FrankRuehl" w:hint="cs"/>
        <w:b/>
        <w:bCs/>
        <w:color w:val="000080"/>
        <w:spacing w:val="6"/>
        <w:sz w:val="24"/>
        <w:szCs w:val="24"/>
        <w:rtl/>
      </w:rPr>
      <w:t xml:space="preserve">                       דוא"ל</w:t>
    </w:r>
    <w:r w:rsidRPr="003A639C">
      <w:rPr>
        <w:rFonts w:ascii="Times New Roman" w:eastAsia="Times New Roman" w:hAnsi="Times New Roman" w:cs="FrankRuehl"/>
        <w:b/>
        <w:bCs/>
        <w:color w:val="000080"/>
        <w:spacing w:val="6"/>
        <w:sz w:val="24"/>
        <w:szCs w:val="24"/>
      </w:rPr>
      <w:t>:</w:t>
    </w:r>
    <w:r w:rsidRPr="003A639C">
      <w:rPr>
        <w:rFonts w:ascii="Times New Roman" w:eastAsia="Times New Roman" w:hAnsi="Times New Roman" w:cs="FrankRuehl" w:hint="cs"/>
        <w:b/>
        <w:bCs/>
        <w:color w:val="000080"/>
        <w:spacing w:val="6"/>
        <w:sz w:val="24"/>
        <w:szCs w:val="24"/>
        <w:rtl/>
      </w:rPr>
      <w:t xml:space="preserve">  </w:t>
    </w:r>
    <w:hyperlink r:id="rId1" w:tooltip="Dover@court.gov.il" w:history="1">
      <w:r w:rsidRPr="003A639C">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13059" w14:textId="77777777" w:rsidR="00A465BD" w:rsidRDefault="00A465BD">
      <w:pPr>
        <w:spacing w:after="0" w:line="240" w:lineRule="auto"/>
      </w:pPr>
      <w:r>
        <w:separator/>
      </w:r>
    </w:p>
  </w:footnote>
  <w:footnote w:type="continuationSeparator" w:id="0">
    <w:p w14:paraId="1FFEB634" w14:textId="77777777" w:rsidR="00A465BD" w:rsidRDefault="00A46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592FC" w14:textId="0AA20DD5" w:rsidR="005253B2" w:rsidRPr="005253B2" w:rsidRDefault="009757A7"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Pr>
        <w:noProof/>
      </w:rPr>
      <w:drawing>
        <wp:anchor distT="0" distB="0" distL="114300" distR="114300" simplePos="0" relativeHeight="251658240" behindDoc="1" locked="0" layoutInCell="1" allowOverlap="1" wp14:anchorId="05F96246" wp14:editId="0BE0F9F2">
          <wp:simplePos x="0" y="0"/>
          <wp:positionH relativeFrom="rightMargin">
            <wp:align>left</wp:align>
          </wp:positionH>
          <wp:positionV relativeFrom="paragraph">
            <wp:posOffset>7620</wp:posOffset>
          </wp:positionV>
          <wp:extent cx="264160" cy="264160"/>
          <wp:effectExtent l="0" t="0" r="2540" b="2540"/>
          <wp:wrapNone/>
          <wp:docPr id="525065019" name="תמונה 1" descr="מסמך נגי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מסמך נגיש"/>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14:sizeRelH relativeFrom="margin">
            <wp14:pctWidth>0</wp14:pctWidth>
          </wp14:sizeRelH>
        </wp:anchor>
      </w:drawing>
    </w:r>
    <w:r w:rsidR="000E372F" w:rsidRPr="005253B2">
      <w:rPr>
        <w:rFonts w:ascii="Times New Roman" w:eastAsia="Times New Roman" w:hAnsi="Times New Roman" w:cs="David"/>
        <w:noProof/>
        <w:sz w:val="20"/>
        <w:szCs w:val="24"/>
      </w:rPr>
      <w:drawing>
        <wp:inline distT="0" distB="0" distL="0" distR="0" wp14:anchorId="3615C5CE" wp14:editId="7C523A76">
          <wp:extent cx="523875" cy="619125"/>
          <wp:effectExtent l="0" t="0" r="9525" b="9525"/>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2" descr="תיאור: semel"/>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23875" cy="619125"/>
                  </a:xfrm>
                  <a:prstGeom prst="rect">
                    <a:avLst/>
                  </a:prstGeom>
                  <a:noFill/>
                  <a:ln>
                    <a:noFill/>
                  </a:ln>
                </pic:spPr>
              </pic:pic>
            </a:graphicData>
          </a:graphic>
        </wp:inline>
      </w:drawing>
    </w:r>
    <w:r w:rsidR="000E372F" w:rsidRPr="005253B2">
      <w:rPr>
        <w:rFonts w:ascii="Century" w:eastAsia="Times New Roman" w:hAnsi="Century" w:cs="FrankRuehl" w:hint="cs"/>
        <w:noProof/>
        <w:spacing w:val="10"/>
        <w:sz w:val="20"/>
        <w:szCs w:val="28"/>
        <w:rtl/>
        <w:lang w:eastAsia="he-IL"/>
      </w:rPr>
      <w:t xml:space="preserve"> </w:t>
    </w:r>
  </w:p>
  <w:p w14:paraId="3FF4BB64" w14:textId="77777777" w:rsidR="005253B2" w:rsidRPr="005253B2" w:rsidRDefault="000E372F"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rtl/>
        <w:lang w:eastAsia="he-IL"/>
      </w:rPr>
    </w:pPr>
    <w:r w:rsidRPr="005253B2">
      <w:rPr>
        <w:rFonts w:ascii="Times New Roman" w:eastAsia="Times New Roman" w:hAnsi="Times New Roman" w:cs="FrankRuehl" w:hint="cs"/>
        <w:b/>
        <w:bCs/>
        <w:color w:val="000080"/>
        <w:spacing w:val="6"/>
        <w:sz w:val="28"/>
        <w:szCs w:val="28"/>
        <w:rtl/>
        <w:lang w:eastAsia="he-IL"/>
      </w:rPr>
      <w:t>מערכת בתי המשפט</w:t>
    </w:r>
  </w:p>
  <w:p w14:paraId="2AC5D042" w14:textId="77777777" w:rsidR="007007D7" w:rsidRPr="005253B2" w:rsidRDefault="000E372F"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lang w:eastAsia="he-IL"/>
      </w:rPr>
    </w:pPr>
    <w:r w:rsidRPr="005253B2">
      <w:rPr>
        <w:rFonts w:ascii="Times New Roman" w:eastAsia="Times New Roman" w:hAnsi="Times New Roman" w:cs="FrankRuehl" w:hint="cs"/>
        <w:b/>
        <w:bCs/>
        <w:color w:val="000080"/>
        <w:spacing w:val="6"/>
        <w:sz w:val="28"/>
        <w:szCs w:val="28"/>
        <w:rtl/>
        <w:lang w:eastAsia="he-IL"/>
      </w:rPr>
      <w:t>דוברות והסברה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1" w15:restartNumberingAfterBreak="0">
    <w:nsid w:val="0C9905FA"/>
    <w:multiLevelType w:val="hybridMultilevel"/>
    <w:tmpl w:val="8042C5B0"/>
    <w:lvl w:ilvl="0" w:tplc="F9524318">
      <w:start w:val="1"/>
      <w:numFmt w:val="decimal"/>
      <w:lvlText w:val="%1."/>
      <w:lvlJc w:val="left"/>
      <w:pPr>
        <w:ind w:left="643" w:hanging="360"/>
      </w:pPr>
      <w:rPr>
        <w:rFonts w:ascii="David" w:hAnsi="David" w:cs="David" w:hint="default"/>
        <w:b w:val="0"/>
        <w:bCs w:val="0"/>
        <w:sz w:val="24"/>
        <w:szCs w:val="24"/>
      </w:rPr>
    </w:lvl>
    <w:lvl w:ilvl="1" w:tplc="631A60E8" w:tentative="1">
      <w:start w:val="1"/>
      <w:numFmt w:val="lowerLetter"/>
      <w:lvlText w:val="%2."/>
      <w:lvlJc w:val="left"/>
      <w:pPr>
        <w:ind w:left="1440" w:hanging="360"/>
      </w:pPr>
    </w:lvl>
    <w:lvl w:ilvl="2" w:tplc="0BB22676" w:tentative="1">
      <w:start w:val="1"/>
      <w:numFmt w:val="lowerRoman"/>
      <w:lvlText w:val="%3."/>
      <w:lvlJc w:val="right"/>
      <w:pPr>
        <w:ind w:left="2160" w:hanging="180"/>
      </w:pPr>
    </w:lvl>
    <w:lvl w:ilvl="3" w:tplc="F306CC62" w:tentative="1">
      <w:start w:val="1"/>
      <w:numFmt w:val="decimal"/>
      <w:lvlText w:val="%4."/>
      <w:lvlJc w:val="left"/>
      <w:pPr>
        <w:ind w:left="2880" w:hanging="360"/>
      </w:pPr>
    </w:lvl>
    <w:lvl w:ilvl="4" w:tplc="40102A36" w:tentative="1">
      <w:start w:val="1"/>
      <w:numFmt w:val="lowerLetter"/>
      <w:lvlText w:val="%5."/>
      <w:lvlJc w:val="left"/>
      <w:pPr>
        <w:ind w:left="3600" w:hanging="360"/>
      </w:pPr>
    </w:lvl>
    <w:lvl w:ilvl="5" w:tplc="B2C48DE2" w:tentative="1">
      <w:start w:val="1"/>
      <w:numFmt w:val="lowerRoman"/>
      <w:lvlText w:val="%6."/>
      <w:lvlJc w:val="right"/>
      <w:pPr>
        <w:ind w:left="4320" w:hanging="180"/>
      </w:pPr>
    </w:lvl>
    <w:lvl w:ilvl="6" w:tplc="AF68BC4E" w:tentative="1">
      <w:start w:val="1"/>
      <w:numFmt w:val="decimal"/>
      <w:lvlText w:val="%7."/>
      <w:lvlJc w:val="left"/>
      <w:pPr>
        <w:ind w:left="5040" w:hanging="360"/>
      </w:pPr>
    </w:lvl>
    <w:lvl w:ilvl="7" w:tplc="6BFCFE54" w:tentative="1">
      <w:start w:val="1"/>
      <w:numFmt w:val="lowerLetter"/>
      <w:lvlText w:val="%8."/>
      <w:lvlJc w:val="left"/>
      <w:pPr>
        <w:ind w:left="5760" w:hanging="360"/>
      </w:pPr>
    </w:lvl>
    <w:lvl w:ilvl="8" w:tplc="9F482AAE" w:tentative="1">
      <w:start w:val="1"/>
      <w:numFmt w:val="lowerRoman"/>
      <w:lvlText w:val="%9."/>
      <w:lvlJc w:val="right"/>
      <w:pPr>
        <w:ind w:left="6480" w:hanging="180"/>
      </w:pPr>
    </w:lvl>
  </w:abstractNum>
  <w:num w:numId="1" w16cid:durableId="882060041">
    <w:abstractNumId w:val="0"/>
  </w:num>
  <w:num w:numId="2" w16cid:durableId="12191256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0753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3CF"/>
    <w:rsid w:val="000011AE"/>
    <w:rsid w:val="000071E5"/>
    <w:rsid w:val="00025761"/>
    <w:rsid w:val="00057497"/>
    <w:rsid w:val="000C4D75"/>
    <w:rsid w:val="000E372F"/>
    <w:rsid w:val="001305B6"/>
    <w:rsid w:val="001D42A7"/>
    <w:rsid w:val="002453CF"/>
    <w:rsid w:val="002C0E83"/>
    <w:rsid w:val="002E1F90"/>
    <w:rsid w:val="00307AE8"/>
    <w:rsid w:val="003921C3"/>
    <w:rsid w:val="003A639C"/>
    <w:rsid w:val="003C61AF"/>
    <w:rsid w:val="003E6E39"/>
    <w:rsid w:val="003E7EB7"/>
    <w:rsid w:val="00426AA7"/>
    <w:rsid w:val="00515986"/>
    <w:rsid w:val="00524588"/>
    <w:rsid w:val="005253B2"/>
    <w:rsid w:val="00541C9E"/>
    <w:rsid w:val="005D0FAF"/>
    <w:rsid w:val="00631744"/>
    <w:rsid w:val="00690B6F"/>
    <w:rsid w:val="006B7B96"/>
    <w:rsid w:val="006C3B1F"/>
    <w:rsid w:val="006D7FD8"/>
    <w:rsid w:val="006E63D5"/>
    <w:rsid w:val="006F1E1F"/>
    <w:rsid w:val="007007D7"/>
    <w:rsid w:val="00711675"/>
    <w:rsid w:val="007169DF"/>
    <w:rsid w:val="00730CA1"/>
    <w:rsid w:val="007B7899"/>
    <w:rsid w:val="00832AD7"/>
    <w:rsid w:val="00841B21"/>
    <w:rsid w:val="008B5817"/>
    <w:rsid w:val="008C02E0"/>
    <w:rsid w:val="008C67EE"/>
    <w:rsid w:val="008E416F"/>
    <w:rsid w:val="008E74CD"/>
    <w:rsid w:val="0092189F"/>
    <w:rsid w:val="00922125"/>
    <w:rsid w:val="009757A7"/>
    <w:rsid w:val="00983123"/>
    <w:rsid w:val="009E5C0E"/>
    <w:rsid w:val="00A01126"/>
    <w:rsid w:val="00A465BD"/>
    <w:rsid w:val="00AD7644"/>
    <w:rsid w:val="00B16422"/>
    <w:rsid w:val="00B22AFC"/>
    <w:rsid w:val="00B26F1D"/>
    <w:rsid w:val="00B66FD9"/>
    <w:rsid w:val="00B924BB"/>
    <w:rsid w:val="00BA3143"/>
    <w:rsid w:val="00BE37EF"/>
    <w:rsid w:val="00C22E08"/>
    <w:rsid w:val="00C37F37"/>
    <w:rsid w:val="00C50C55"/>
    <w:rsid w:val="00C529CC"/>
    <w:rsid w:val="00C842A7"/>
    <w:rsid w:val="00C85A27"/>
    <w:rsid w:val="00C9112E"/>
    <w:rsid w:val="00CA2D6A"/>
    <w:rsid w:val="00CA568E"/>
    <w:rsid w:val="00CB4940"/>
    <w:rsid w:val="00CD280B"/>
    <w:rsid w:val="00D11F77"/>
    <w:rsid w:val="00D205AB"/>
    <w:rsid w:val="00D43C0E"/>
    <w:rsid w:val="00D5319F"/>
    <w:rsid w:val="00D5398B"/>
    <w:rsid w:val="00DC13E6"/>
    <w:rsid w:val="00DE2445"/>
    <w:rsid w:val="00E13F6E"/>
    <w:rsid w:val="00E35DF3"/>
    <w:rsid w:val="00E73837"/>
    <w:rsid w:val="00EA6DF3"/>
    <w:rsid w:val="00EB6609"/>
    <w:rsid w:val="00F00485"/>
    <w:rsid w:val="00F46250"/>
    <w:rsid w:val="00FA14DC"/>
    <w:rsid w:val="00FF555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226FB"/>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6AA7"/>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426AA7"/>
    <w:rPr>
      <w:rFonts w:ascii="Tahoma" w:hAnsi="Tahoma" w:cs="Tahoma"/>
      <w:sz w:val="18"/>
      <w:szCs w:val="18"/>
    </w:rPr>
  </w:style>
  <w:style w:type="character" w:styleId="Hyperlink">
    <w:name w:val="Hyperlink"/>
    <w:basedOn w:val="DefaultParagraphFont"/>
    <w:uiPriority w:val="99"/>
    <w:unhideWhenUsed/>
    <w:rsid w:val="00E35DF3"/>
    <w:rPr>
      <w:color w:val="0563C1" w:themeColor="hyperlink"/>
      <w:u w:val="single"/>
    </w:rPr>
  </w:style>
  <w:style w:type="paragraph" w:styleId="Header">
    <w:name w:val="header"/>
    <w:basedOn w:val="Normal"/>
    <w:link w:val="HeaderChar"/>
    <w:uiPriority w:val="99"/>
    <w:unhideWhenUsed/>
    <w:rsid w:val="00730CA1"/>
    <w:pPr>
      <w:tabs>
        <w:tab w:val="center" w:pos="4153"/>
        <w:tab w:val="right" w:pos="8306"/>
      </w:tabs>
      <w:spacing w:after="0" w:line="240" w:lineRule="auto"/>
    </w:pPr>
  </w:style>
  <w:style w:type="character" w:customStyle="1" w:styleId="HeaderChar">
    <w:name w:val="Header Char"/>
    <w:basedOn w:val="DefaultParagraphFont"/>
    <w:link w:val="Header"/>
    <w:uiPriority w:val="99"/>
    <w:rsid w:val="00730CA1"/>
  </w:style>
  <w:style w:type="paragraph" w:styleId="Footer">
    <w:name w:val="footer"/>
    <w:basedOn w:val="Normal"/>
    <w:link w:val="FooterChar"/>
    <w:uiPriority w:val="99"/>
    <w:unhideWhenUsed/>
    <w:rsid w:val="00730CA1"/>
    <w:pPr>
      <w:tabs>
        <w:tab w:val="center" w:pos="4153"/>
        <w:tab w:val="right" w:pos="8306"/>
      </w:tabs>
      <w:spacing w:after="0" w:line="240" w:lineRule="auto"/>
    </w:pPr>
  </w:style>
  <w:style w:type="character" w:customStyle="1" w:styleId="FooterChar">
    <w:name w:val="Footer Char"/>
    <w:basedOn w:val="DefaultParagraphFont"/>
    <w:link w:val="Footer"/>
    <w:uiPriority w:val="99"/>
    <w:rsid w:val="00730CA1"/>
  </w:style>
  <w:style w:type="paragraph" w:styleId="ListParagraph">
    <w:name w:val="List Paragraph"/>
    <w:basedOn w:val="Normal"/>
    <w:link w:val="ListParagraphChar"/>
    <w:uiPriority w:val="34"/>
    <w:qFormat/>
    <w:rsid w:val="00BE37EF"/>
    <w:pPr>
      <w:ind w:left="720"/>
      <w:contextualSpacing/>
    </w:pPr>
  </w:style>
  <w:style w:type="character" w:customStyle="1" w:styleId="ListParagraphChar">
    <w:name w:val="List Paragraph Char"/>
    <w:link w:val="ListParagraph"/>
    <w:uiPriority w:val="34"/>
    <w:locked/>
    <w:rsid w:val="00BE37EF"/>
  </w:style>
  <w:style w:type="paragraph" w:styleId="Revision">
    <w:name w:val="Revision"/>
    <w:hidden/>
    <w:uiPriority w:val="99"/>
    <w:semiHidden/>
    <w:rsid w:val="00F004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85B93155-641B-4D14-875E-193B48F85BA0}">
  <ds:schemaRefs>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632</Words>
  <Characters>3606</Characters>
  <Application>Microsoft Office Word</Application>
  <DocSecurity>0</DocSecurity>
  <Lines>30</Lines>
  <Paragraphs>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תקציר גזר דין 60016-11-24.docx</vt:lpstr>
      <vt:lpstr/>
    </vt:vector>
  </TitlesOfParts>
  <Company>court</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תקציר גזר דין 60016-11-24.docx</dc:title>
  <dc:creator>נירית לזימי</dc:creator>
  <cp:lastModifiedBy>Moran Almog - Hever Translations</cp:lastModifiedBy>
  <cp:revision>4</cp:revision>
  <cp:lastPrinted>2026-06-14T06:01:00Z</cp:lastPrinted>
  <dcterms:created xsi:type="dcterms:W3CDTF">2026-09-02T11:54:00Z</dcterms:created>
  <dcterms:modified xsi:type="dcterms:W3CDTF">2026-10-12T11:03:00Z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11 ביוני 2026</vt:lpwstr>
  </property>
  <property fmtid="{D5CDD505-2E9C-101B-9397-08002B2CF9AE}" pid="3" name="DocDateHeb">
    <vt:lpwstr>כ"ו בסיוון תשפ"ו</vt:lpwstr>
  </property>
  <property fmtid="{D5CDD505-2E9C-101B-9397-08002B2CF9AE}" pid="4" name="DocNumber">
    <vt:lpwstr>4700-1039-2026-003520</vt:lpwstr>
  </property>
  <property fmtid="{D5CDD505-2E9C-101B-9397-08002B2CF9AE}" pid="5" name="DocObjectName">
    <vt:lpwstr>תקציר גזר דין 60016-11-24 מדינת ישראל נגד אביטן</vt:lpwstr>
  </property>
  <property fmtid="{D5CDD505-2E9C-101B-9397-08002B2CF9AE}" pid="6" name="DocRecipientsName">
    <vt:lpwstr/>
  </property>
  <property fmtid="{D5CDD505-2E9C-101B-9397-08002B2CF9AE}" pid="7" name="DocToName">
    <vt:lpwstr/>
  </property>
</Properties>
</file>