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rFonts w:hint="cs"/>
          <w:sz w:val="26"/>
          <w:szCs w:val="26"/>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CD0055" w:rsidTr="006816EC">
        <w:trPr>
          <w:jc w:val="center"/>
        </w:trPr>
        <w:tc>
          <w:tcPr>
            <w:tcW w:w="743" w:type="dxa"/>
            <w:hideMark/>
          </w:tcPr>
          <w:p w:rsidR="006816EC" w:rsidRPr="00CD0055" w:rsidRDefault="00295DD1">
            <w:pPr>
              <w:jc w:val="both"/>
              <w:rPr>
                <w:rFonts w:ascii="Arial (W1)" w:hAnsi="Arial (W1)"/>
                <w:b/>
                <w:bCs/>
                <w:sz w:val="26"/>
                <w:szCs w:val="26"/>
              </w:rPr>
            </w:pPr>
            <w:r>
              <w:rPr>
                <w:rFonts w:hint="cs"/>
                <w:b/>
                <w:bCs/>
                <w:sz w:val="26"/>
                <w:szCs w:val="26"/>
                <w:rtl/>
              </w:rPr>
              <w:t>ל</w:t>
            </w:r>
            <w:r w:rsidR="006816EC" w:rsidRPr="00CD0055">
              <w:rPr>
                <w:rFonts w:hint="cs"/>
                <w:b/>
                <w:bCs/>
                <w:sz w:val="26"/>
                <w:szCs w:val="26"/>
                <w:rtl/>
              </w:rPr>
              <w:t xml:space="preserve">פני </w:t>
            </w:r>
          </w:p>
        </w:tc>
        <w:tc>
          <w:tcPr>
            <w:tcW w:w="8077" w:type="dxa"/>
            <w:gridSpan w:val="2"/>
            <w:hideMark/>
          </w:tcPr>
          <w:p w:rsidR="007F22E7" w:rsidRDefault="007F22E7" w:rsidP="0084590C">
            <w:pPr>
              <w:rPr>
                <w:rFonts w:ascii="David" w:hAnsi="David"/>
                <w:b/>
                <w:bCs/>
                <w:noProof w:val="0"/>
                <w:sz w:val="26"/>
                <w:szCs w:val="26"/>
              </w:rPr>
            </w:pPr>
            <w:r>
              <w:rPr>
                <w:rFonts w:ascii="David" w:hAnsi="David"/>
                <w:b/>
                <w:bCs/>
                <w:sz w:val="26"/>
                <w:szCs w:val="26"/>
                <w:rtl/>
              </w:rPr>
              <w:t xml:space="preserve">כבוד </w:t>
            </w:r>
            <w:r w:rsidR="0084590C">
              <w:rPr>
                <w:rFonts w:ascii="David" w:hAnsi="David" w:hint="cs"/>
                <w:b/>
                <w:bCs/>
                <w:sz w:val="26"/>
                <w:szCs w:val="26"/>
                <w:rtl/>
              </w:rPr>
              <w:t>השופט שאול שוחט</w:t>
            </w:r>
            <w:r>
              <w:rPr>
                <w:rFonts w:ascii="David" w:hAnsi="David"/>
                <w:b/>
                <w:bCs/>
                <w:sz w:val="26"/>
                <w:szCs w:val="26"/>
                <w:rtl/>
              </w:rPr>
              <w:t>, סג"נ -אב"ד</w:t>
            </w:r>
          </w:p>
          <w:p w:rsidR="007F22E7" w:rsidRDefault="007F22E7" w:rsidP="007F22E7">
            <w:pPr>
              <w:rPr>
                <w:rFonts w:ascii="David" w:hAnsi="David"/>
                <w:b/>
                <w:bCs/>
                <w:sz w:val="26"/>
                <w:szCs w:val="26"/>
              </w:rPr>
            </w:pPr>
          </w:p>
          <w:p w:rsidR="007F22E7" w:rsidRDefault="007F22E7" w:rsidP="007F22E7">
            <w:pPr>
              <w:rPr>
                <w:rFonts w:ascii="David" w:hAnsi="David"/>
                <w:b/>
                <w:bCs/>
                <w:sz w:val="26"/>
                <w:szCs w:val="26"/>
              </w:rPr>
            </w:pPr>
            <w:r>
              <w:rPr>
                <w:rFonts w:ascii="David" w:hAnsi="David"/>
                <w:b/>
                <w:bCs/>
                <w:sz w:val="26"/>
                <w:szCs w:val="26"/>
                <w:rtl/>
              </w:rPr>
              <w:t xml:space="preserve">כבוד השופטת עינת רביד </w:t>
            </w:r>
          </w:p>
          <w:p w:rsidR="007F22E7" w:rsidRDefault="007F22E7" w:rsidP="007F22E7">
            <w:pPr>
              <w:rPr>
                <w:rFonts w:ascii="David" w:hAnsi="David"/>
                <w:b/>
                <w:bCs/>
                <w:sz w:val="26"/>
                <w:szCs w:val="26"/>
              </w:rPr>
            </w:pPr>
          </w:p>
          <w:p w:rsidR="007F22E7" w:rsidRDefault="007F22E7" w:rsidP="007F22E7">
            <w:pPr>
              <w:rPr>
                <w:rFonts w:ascii="FrankRuehl" w:hAnsi="FrankRuehl" w:cs="FrankRuehl"/>
                <w:b/>
                <w:bCs/>
                <w:sz w:val="26"/>
                <w:szCs w:val="26"/>
              </w:rPr>
            </w:pPr>
            <w:r>
              <w:rPr>
                <w:rFonts w:ascii="David" w:hAnsi="David"/>
                <w:b/>
                <w:bCs/>
                <w:sz w:val="26"/>
                <w:szCs w:val="26"/>
                <w:rtl/>
              </w:rPr>
              <w:t>כבוד השופט נפתלי שילה</w:t>
            </w:r>
          </w:p>
          <w:p w:rsidR="006816EC" w:rsidRPr="00CD0055" w:rsidRDefault="007F22E7" w:rsidP="007F22E7">
            <w:pPr>
              <w:rPr>
                <w:sz w:val="26"/>
                <w:szCs w:val="26"/>
              </w:rPr>
            </w:pPr>
            <w:r w:rsidRPr="00CD0055">
              <w:rPr>
                <w:sz w:val="26"/>
                <w:szCs w:val="26"/>
              </w:rPr>
              <w:t xml:space="preserve"> </w:t>
            </w:r>
          </w:p>
        </w:tc>
      </w:tr>
      <w:tr w:rsidR="006816EC" w:rsidRPr="00CD0055" w:rsidTr="006816EC">
        <w:trPr>
          <w:jc w:val="center"/>
        </w:trPr>
        <w:tc>
          <w:tcPr>
            <w:tcW w:w="3249" w:type="dxa"/>
            <w:gridSpan w:val="2"/>
          </w:tcPr>
          <w:p w:rsidR="006816EC" w:rsidRPr="00CD0055" w:rsidRDefault="006816EC">
            <w:pPr>
              <w:bidi w:val="0"/>
              <w:rPr>
                <w:rFonts w:ascii="Arial (W1)" w:hAnsi="Arial (W1)"/>
                <w:b/>
                <w:bCs/>
                <w:noProof w:val="0"/>
                <w:sz w:val="26"/>
                <w:szCs w:val="26"/>
                <w:rtl/>
              </w:rPr>
            </w:pPr>
          </w:p>
          <w:sdt>
            <w:sdtPr>
              <w:rPr>
                <w:rFonts w:hint="cs"/>
                <w:sz w:val="26"/>
                <w:szCs w:val="26"/>
                <w:rtl/>
              </w:rPr>
              <w:alias w:val="1180"/>
              <w:tag w:val="1180"/>
              <w:id w:val="-803768281"/>
              <w:text w:multiLine="1"/>
            </w:sdtPr>
            <w:sdtEndPr/>
            <w:sdtContent>
              <w:p w:rsidR="006476EA" w:rsidRDefault="007F22E7" w:rsidP="004D5C30">
                <w:pPr>
                  <w:rPr>
                    <w:rFonts w:ascii="Arial (W1)" w:hAnsi="Arial (W1)"/>
                    <w:b/>
                    <w:bCs/>
                    <w:noProof w:val="0"/>
                    <w:sz w:val="26"/>
                    <w:szCs w:val="26"/>
                  </w:rPr>
                </w:pPr>
                <w:r>
                  <w:rPr>
                    <w:rFonts w:hint="cs"/>
                    <w:b/>
                    <w:bCs/>
                    <w:noProof w:val="0"/>
                    <w:sz w:val="26"/>
                    <w:szCs w:val="26"/>
                    <w:rtl/>
                  </w:rPr>
                  <w:t>מערער</w:t>
                </w:r>
                <w:r w:rsidR="004D5C30">
                  <w:rPr>
                    <w:rFonts w:hint="cs"/>
                    <w:b/>
                    <w:bCs/>
                    <w:noProof w:val="0"/>
                    <w:sz w:val="26"/>
                    <w:szCs w:val="26"/>
                    <w:rtl/>
                  </w:rPr>
                  <w:t>ת</w:t>
                </w:r>
              </w:p>
            </w:sdtContent>
          </w:sdt>
        </w:tc>
        <w:tc>
          <w:tcPr>
            <w:tcW w:w="5571" w:type="dxa"/>
          </w:tcPr>
          <w:p w:rsidR="006816EC" w:rsidRPr="00CD0055" w:rsidRDefault="006816EC">
            <w:pPr>
              <w:rPr>
                <w:rFonts w:ascii="Arial (W1)" w:hAnsi="Arial (W1)"/>
                <w:b/>
                <w:bCs/>
                <w:noProof w:val="0"/>
                <w:sz w:val="26"/>
                <w:szCs w:val="26"/>
                <w:rtl/>
              </w:rPr>
            </w:pPr>
          </w:p>
          <w:p w:rsidR="00295DD1" w:rsidRDefault="00DE6506">
            <w:pPr>
              <w:rPr>
                <w:sz w:val="26"/>
                <w:szCs w:val="26"/>
                <w:rtl/>
              </w:rPr>
            </w:pPr>
            <w:sdt>
              <w:sdtPr>
                <w:rPr>
                  <w:rFonts w:hint="cs"/>
                  <w:sz w:val="26"/>
                  <w:szCs w:val="26"/>
                  <w:rtl/>
                </w:rPr>
                <w:alias w:val="1478"/>
                <w:tag w:val="1478"/>
                <w:id w:val="160126198"/>
                <w:text w:multiLine="1"/>
              </w:sdtPr>
              <w:sdtEndPr/>
              <w:sdtContent>
                <w:r w:rsidR="006B5553">
                  <w:rPr>
                    <w:rFonts w:hint="cs"/>
                    <w:b/>
                    <w:bCs/>
                    <w:noProof w:val="0"/>
                    <w:sz w:val="26"/>
                    <w:szCs w:val="26"/>
                    <w:rtl/>
                  </w:rPr>
                  <w:t>פלונית אלמונית</w:t>
                </w:r>
              </w:sdtContent>
            </w:sdt>
          </w:p>
          <w:p w:rsidR="006816EC" w:rsidRPr="00CD0055" w:rsidRDefault="00295DD1">
            <w:pPr>
              <w:rPr>
                <w:rFonts w:ascii="Arial (W1)" w:hAnsi="Arial (W1)"/>
                <w:b/>
                <w:bCs/>
                <w:noProof w:val="0"/>
                <w:sz w:val="26"/>
                <w:szCs w:val="26"/>
              </w:rPr>
            </w:pPr>
            <w:r>
              <w:rPr>
                <w:rFonts w:hint="cs"/>
                <w:sz w:val="26"/>
                <w:szCs w:val="26"/>
                <w:rtl/>
              </w:rPr>
              <w:t>ע"י ב"כ עו"ד</w:t>
            </w:r>
            <w:r w:rsidR="004D5C30">
              <w:rPr>
                <w:rFonts w:ascii="Arial (W1)" w:hAnsi="Arial (W1)" w:hint="cs"/>
                <w:b/>
                <w:bCs/>
                <w:noProof w:val="0"/>
                <w:sz w:val="26"/>
                <w:szCs w:val="26"/>
                <w:rtl/>
              </w:rPr>
              <w:t xml:space="preserve"> עודד יחיאל ועו"ד דנה גרינוולד </w:t>
            </w:r>
          </w:p>
        </w:tc>
      </w:tr>
      <w:tr w:rsidR="006816EC" w:rsidRPr="00CD0055" w:rsidTr="006816EC">
        <w:trPr>
          <w:jc w:val="center"/>
        </w:trPr>
        <w:tc>
          <w:tcPr>
            <w:tcW w:w="8820" w:type="dxa"/>
            <w:gridSpan w:val="3"/>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CD0055" w:rsidRDefault="006816EC">
            <w:pPr>
              <w:rPr>
                <w:rFonts w:ascii="Arial (W1)" w:hAnsi="Arial (W1)"/>
                <w:b/>
                <w:bCs/>
                <w:noProof w:val="0"/>
                <w:sz w:val="26"/>
                <w:szCs w:val="26"/>
              </w:rPr>
            </w:pPr>
          </w:p>
        </w:tc>
      </w:tr>
      <w:tr w:rsidR="006816EC" w:rsidRPr="00CD0055" w:rsidTr="006816EC">
        <w:trPr>
          <w:jc w:val="center"/>
        </w:trPr>
        <w:tc>
          <w:tcPr>
            <w:tcW w:w="3249" w:type="dxa"/>
            <w:gridSpan w:val="2"/>
          </w:tcPr>
          <w:p w:rsidR="006816EC" w:rsidRPr="00CD0055" w:rsidRDefault="006816EC">
            <w:pPr>
              <w:rPr>
                <w:rFonts w:ascii="Arial (W1)" w:hAnsi="Arial (W1)"/>
                <w:b/>
                <w:bCs/>
                <w:noProof w:val="0"/>
                <w:sz w:val="26"/>
                <w:szCs w:val="26"/>
                <w:rtl/>
              </w:rPr>
            </w:pPr>
          </w:p>
          <w:p w:rsidR="006816EC" w:rsidRPr="00CD0055" w:rsidRDefault="00DE6506" w:rsidP="004D5C30">
            <w:pPr>
              <w:rPr>
                <w:rFonts w:ascii="Arial (W1)" w:hAnsi="Arial (W1)"/>
                <w:b/>
                <w:bCs/>
                <w:noProof w:val="0"/>
                <w:sz w:val="26"/>
                <w:szCs w:val="26"/>
              </w:rPr>
            </w:pPr>
            <w:sdt>
              <w:sdtPr>
                <w:rPr>
                  <w:rFonts w:hint="cs"/>
                  <w:sz w:val="26"/>
                  <w:szCs w:val="26"/>
                  <w:rtl/>
                </w:rPr>
                <w:alias w:val="1184"/>
                <w:tag w:val="1184"/>
                <w:id w:val="-910234160"/>
                <w:text w:multiLine="1"/>
              </w:sdtPr>
              <w:sdtEndPr/>
              <w:sdtContent>
                <w:r w:rsidR="006B5553">
                  <w:rPr>
                    <w:rFonts w:hint="cs"/>
                    <w:b/>
                    <w:bCs/>
                    <w:noProof w:val="0"/>
                    <w:sz w:val="26"/>
                    <w:szCs w:val="26"/>
                    <w:rtl/>
                  </w:rPr>
                  <w:t>משיב</w:t>
                </w:r>
                <w:r w:rsidR="004D5C30">
                  <w:rPr>
                    <w:rFonts w:hint="cs"/>
                    <w:b/>
                    <w:bCs/>
                    <w:noProof w:val="0"/>
                    <w:sz w:val="26"/>
                    <w:szCs w:val="26"/>
                    <w:rtl/>
                  </w:rPr>
                  <w:t>ה</w:t>
                </w:r>
              </w:sdtContent>
            </w:sdt>
          </w:p>
        </w:tc>
        <w:tc>
          <w:tcPr>
            <w:tcW w:w="5571" w:type="dxa"/>
          </w:tcPr>
          <w:p w:rsidR="006816EC" w:rsidRPr="00CD0055" w:rsidRDefault="006816EC">
            <w:pPr>
              <w:rPr>
                <w:rFonts w:ascii="Arial (W1)" w:hAnsi="Arial (W1)"/>
                <w:b/>
                <w:bCs/>
                <w:noProof w:val="0"/>
                <w:sz w:val="26"/>
                <w:szCs w:val="26"/>
                <w:rtl/>
              </w:rPr>
            </w:pPr>
          </w:p>
          <w:p w:rsidR="00295DD1" w:rsidRDefault="00DE6506" w:rsidP="004D5C30">
            <w:pPr>
              <w:rPr>
                <w:sz w:val="26"/>
                <w:szCs w:val="26"/>
                <w:rtl/>
              </w:rPr>
            </w:pPr>
            <w:sdt>
              <w:sdtPr>
                <w:rPr>
                  <w:rFonts w:hint="cs"/>
                  <w:sz w:val="26"/>
                  <w:szCs w:val="26"/>
                  <w:rtl/>
                </w:rPr>
                <w:alias w:val="1486"/>
                <w:tag w:val="1486"/>
                <w:id w:val="1487590763"/>
                <w:text w:multiLine="1"/>
              </w:sdtPr>
              <w:sdtEndPr/>
              <w:sdtContent>
                <w:r w:rsidR="006B5553">
                  <w:rPr>
                    <w:rFonts w:hint="cs"/>
                    <w:b/>
                    <w:bCs/>
                    <w:noProof w:val="0"/>
                    <w:sz w:val="26"/>
                    <w:szCs w:val="26"/>
                    <w:rtl/>
                  </w:rPr>
                  <w:t>איי.די.איי. חברה לביטוח בע"מ</w:t>
                </w:r>
              </w:sdtContent>
            </w:sdt>
          </w:p>
          <w:p w:rsidR="006816EC" w:rsidRPr="00CD0055" w:rsidRDefault="004D5C30">
            <w:pPr>
              <w:rPr>
                <w:rFonts w:ascii="Arial (W1)" w:hAnsi="Arial (W1)"/>
                <w:b/>
                <w:bCs/>
                <w:noProof w:val="0"/>
                <w:sz w:val="26"/>
                <w:szCs w:val="26"/>
              </w:rPr>
            </w:pPr>
            <w:r>
              <w:rPr>
                <w:rFonts w:hint="cs"/>
                <w:sz w:val="26"/>
                <w:szCs w:val="26"/>
                <w:rtl/>
              </w:rPr>
              <w:t xml:space="preserve">ע"י ב"כ עו"ד </w:t>
            </w:r>
            <w:r w:rsidRPr="004D5C30">
              <w:rPr>
                <w:rFonts w:hint="cs"/>
                <w:b/>
                <w:bCs/>
                <w:sz w:val="26"/>
                <w:szCs w:val="26"/>
                <w:rtl/>
              </w:rPr>
              <w:t>אלון ביתן</w:t>
            </w:r>
            <w:r>
              <w:rPr>
                <w:rFonts w:hint="cs"/>
                <w:sz w:val="26"/>
                <w:szCs w:val="26"/>
                <w:rtl/>
              </w:rPr>
              <w:t xml:space="preserve"> </w:t>
            </w:r>
          </w:p>
        </w:tc>
      </w:tr>
    </w:tbl>
    <w:p w:rsidR="006816EC" w:rsidRDefault="006816EC" w:rsidP="006816EC">
      <w:pPr>
        <w:suppressLineNumbers/>
        <w:rPr>
          <w:rFonts w:ascii="Arial (W1)" w:hAnsi="Arial (W1)"/>
          <w:sz w:val="28"/>
          <w:szCs w:val="28"/>
          <w:rtl/>
        </w:rPr>
      </w:pPr>
    </w:p>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4D5C30" w:rsidRDefault="004D5C30" w:rsidP="004D5C30">
      <w:pPr>
        <w:spacing w:before="240" w:after="240" w:line="360" w:lineRule="auto"/>
        <w:jc w:val="both"/>
        <w:rPr>
          <w:rFonts w:ascii="David" w:hAnsi="David"/>
          <w:rtl/>
        </w:rPr>
      </w:pPr>
      <w:r>
        <w:rPr>
          <w:rFonts w:ascii="David" w:hAnsi="David" w:hint="cs"/>
          <w:b/>
          <w:bCs/>
          <w:u w:val="single"/>
          <w:rtl/>
        </w:rPr>
        <w:t>ה</w:t>
      </w:r>
      <w:r>
        <w:rPr>
          <w:rFonts w:ascii="David" w:hAnsi="David"/>
          <w:b/>
          <w:bCs/>
          <w:u w:val="single"/>
          <w:rtl/>
        </w:rPr>
        <w:t>שופטת עינת רביד</w:t>
      </w:r>
      <w:r>
        <w:rPr>
          <w:rFonts w:ascii="David" w:hAnsi="David"/>
          <w:rtl/>
        </w:rPr>
        <w:t xml:space="preserve">: </w:t>
      </w:r>
    </w:p>
    <w:p w:rsidR="004D5C30" w:rsidRDefault="004D5C30" w:rsidP="00D84A7C">
      <w:pPr>
        <w:spacing w:before="240" w:after="240" w:line="360" w:lineRule="auto"/>
        <w:jc w:val="both"/>
        <w:rPr>
          <w:rFonts w:ascii="David" w:hAnsi="David"/>
          <w:rtl/>
        </w:rPr>
      </w:pPr>
      <w:r>
        <w:rPr>
          <w:rFonts w:ascii="David" w:hAnsi="David"/>
          <w:rtl/>
        </w:rPr>
        <w:lastRenderedPageBreak/>
        <w:t>ערעור על פסק דין מיום 27.4.2020 של בית משפט השלום בתל אביב-יפו (תא"ק 3041-05-16, כבוד השופט</w:t>
      </w:r>
      <w:r w:rsidR="00D84A7C">
        <w:rPr>
          <w:rFonts w:ascii="David" w:hAnsi="David" w:hint="cs"/>
          <w:rtl/>
        </w:rPr>
        <w:t>, סג"נ,</w:t>
      </w:r>
      <w:r>
        <w:rPr>
          <w:rFonts w:ascii="David" w:hAnsi="David"/>
          <w:rtl/>
        </w:rPr>
        <w:t xml:space="preserve"> רמי חיימוביץ) בגדרו נדחתה תביעת המערערת ונקבע </w:t>
      </w:r>
      <w:r w:rsidR="00D84A7C">
        <w:rPr>
          <w:rFonts w:ascii="David" w:hAnsi="David" w:hint="cs"/>
          <w:rtl/>
        </w:rPr>
        <w:t>ש</w:t>
      </w:r>
      <w:r>
        <w:rPr>
          <w:rFonts w:ascii="David" w:hAnsi="David"/>
          <w:rtl/>
        </w:rPr>
        <w:t xml:space="preserve">פוליסות ביטוח חיים של בעלה המנוח של המערערת (להלן: </w:t>
      </w:r>
      <w:r>
        <w:rPr>
          <w:rFonts w:ascii="David" w:hAnsi="David"/>
          <w:b/>
          <w:bCs/>
          <w:rtl/>
        </w:rPr>
        <w:t>המנוח</w:t>
      </w:r>
      <w:r>
        <w:rPr>
          <w:rFonts w:ascii="David" w:hAnsi="David"/>
          <w:rtl/>
        </w:rPr>
        <w:t>) בוטלו ביום 24.7.2014</w:t>
      </w:r>
      <w:r w:rsidR="001639C3">
        <w:rPr>
          <w:rFonts w:ascii="David" w:hAnsi="David" w:hint="cs"/>
          <w:rtl/>
        </w:rPr>
        <w:t>,</w:t>
      </w:r>
      <w:r>
        <w:rPr>
          <w:rFonts w:ascii="David" w:hAnsi="David"/>
          <w:rtl/>
        </w:rPr>
        <w:t xml:space="preserve"> ולכן במועד מקרה הביטוח</w:t>
      </w:r>
      <w:r w:rsidR="001639C3">
        <w:rPr>
          <w:rFonts w:ascii="David" w:hAnsi="David" w:hint="cs"/>
          <w:rtl/>
        </w:rPr>
        <w:t>,</w:t>
      </w:r>
      <w:r>
        <w:rPr>
          <w:rFonts w:ascii="David" w:hAnsi="David"/>
          <w:rtl/>
        </w:rPr>
        <w:t xml:space="preserve"> ביום 25.8.2014</w:t>
      </w:r>
      <w:r w:rsidR="001639C3">
        <w:rPr>
          <w:rFonts w:ascii="David" w:hAnsi="David" w:hint="cs"/>
          <w:rtl/>
        </w:rPr>
        <w:t>,</w:t>
      </w:r>
      <w:r>
        <w:rPr>
          <w:rFonts w:ascii="David" w:hAnsi="David"/>
          <w:rtl/>
        </w:rPr>
        <w:t xml:space="preserve"> לא היה כיסוי ביטוחי תקף אצל המשיבה.</w:t>
      </w:r>
    </w:p>
    <w:p w:rsidR="004D5C30" w:rsidRDefault="004D5C30" w:rsidP="004D5C30">
      <w:pPr>
        <w:spacing w:before="240" w:after="240" w:line="360" w:lineRule="auto"/>
        <w:jc w:val="both"/>
        <w:rPr>
          <w:rFonts w:ascii="David" w:hAnsi="David"/>
          <w:b/>
          <w:bCs/>
          <w:rtl/>
        </w:rPr>
      </w:pPr>
      <w:r>
        <w:rPr>
          <w:rFonts w:ascii="David" w:hAnsi="David"/>
          <w:b/>
          <w:bCs/>
          <w:rtl/>
        </w:rPr>
        <w:t>תמצית פסק הדין של בית משפט השלום</w:t>
      </w:r>
    </w:p>
    <w:p w:rsidR="004D5C30" w:rsidRDefault="004D5C30" w:rsidP="002B5913">
      <w:pPr>
        <w:pStyle w:val="ad"/>
        <w:numPr>
          <w:ilvl w:val="0"/>
          <w:numId w:val="1"/>
        </w:numPr>
        <w:spacing w:before="240" w:after="240" w:line="360" w:lineRule="auto"/>
        <w:ind w:left="357" w:hanging="357"/>
        <w:contextualSpacing w:val="0"/>
        <w:jc w:val="both"/>
        <w:rPr>
          <w:rFonts w:ascii="David" w:hAnsi="David"/>
          <w:noProof w:val="0"/>
          <w:rtl/>
        </w:rPr>
      </w:pPr>
      <w:r>
        <w:rPr>
          <w:rFonts w:ascii="David" w:hAnsi="David"/>
          <w:noProof w:val="0"/>
          <w:rtl/>
        </w:rPr>
        <w:t xml:space="preserve">המנוח, היה בחייו </w:t>
      </w:r>
      <w:r w:rsidR="00D51B92">
        <w:rPr>
          <w:rFonts w:ascii="David" w:hAnsi="David" w:hint="cs"/>
          <w:noProof w:val="0"/>
        </w:rPr>
        <w:t>XXXX</w:t>
      </w:r>
      <w:r>
        <w:rPr>
          <w:rFonts w:ascii="David" w:hAnsi="David"/>
          <w:noProof w:val="0"/>
          <w:rtl/>
        </w:rPr>
        <w:t xml:space="preserve"> ועבד במשך עשרות שנים כ</w:t>
      </w:r>
      <w:r w:rsidR="002B5913">
        <w:rPr>
          <w:rFonts w:ascii="David" w:hAnsi="David"/>
          <w:noProof w:val="0"/>
        </w:rPr>
        <w:t xml:space="preserve">XXX </w:t>
      </w:r>
      <w:r w:rsidR="002B5913">
        <w:rPr>
          <w:rFonts w:ascii="David" w:hAnsi="David" w:hint="cs"/>
          <w:noProof w:val="0"/>
          <w:rtl/>
        </w:rPr>
        <w:t xml:space="preserve"> </w:t>
      </w:r>
      <w:r>
        <w:rPr>
          <w:rFonts w:ascii="David" w:hAnsi="David"/>
          <w:noProof w:val="0"/>
          <w:rtl/>
        </w:rPr>
        <w:t xml:space="preserve">ובהמשך </w:t>
      </w:r>
      <w:r w:rsidRPr="002B5913">
        <w:rPr>
          <w:rFonts w:ascii="David" w:hAnsi="David"/>
          <w:noProof w:val="0"/>
          <w:rtl/>
        </w:rPr>
        <w:t>כ</w:t>
      </w:r>
      <w:r w:rsidR="00D51B92" w:rsidRPr="002B5913">
        <w:rPr>
          <w:rFonts w:ascii="David" w:hAnsi="David" w:hint="cs"/>
          <w:noProof w:val="0"/>
        </w:rPr>
        <w:t>XXXX</w:t>
      </w:r>
      <w:r w:rsidR="002B5913">
        <w:rPr>
          <w:rFonts w:ascii="David" w:hAnsi="David"/>
          <w:noProof w:val="0"/>
        </w:rPr>
        <w:t xml:space="preserve"> </w:t>
      </w:r>
      <w:r>
        <w:rPr>
          <w:rFonts w:ascii="David" w:hAnsi="David"/>
          <w:noProof w:val="0"/>
          <w:rtl/>
        </w:rPr>
        <w:t xml:space="preserve">. ביום </w:t>
      </w:r>
      <w:r>
        <w:rPr>
          <w:rFonts w:ascii="David" w:hAnsi="David"/>
          <w:b/>
          <w:bCs/>
          <w:noProof w:val="0"/>
          <w:rtl/>
        </w:rPr>
        <w:t>25.8.2014</w:t>
      </w:r>
      <w:r>
        <w:rPr>
          <w:rFonts w:ascii="David" w:hAnsi="David"/>
          <w:noProof w:val="0"/>
          <w:rtl/>
        </w:rPr>
        <w:t xml:space="preserve">, בהיותו כבן </w:t>
      </w:r>
      <w:r w:rsidR="00D51B92">
        <w:rPr>
          <w:rFonts w:ascii="David" w:hAnsi="David" w:hint="cs"/>
          <w:noProof w:val="0"/>
        </w:rPr>
        <w:t>XXX</w:t>
      </w:r>
      <w:r>
        <w:rPr>
          <w:rFonts w:ascii="David" w:hAnsi="David"/>
          <w:noProof w:val="0"/>
          <w:rtl/>
        </w:rPr>
        <w:t>, מצא את מותו הטראגי כשאדם רעול פנים נכנס ל</w:t>
      </w:r>
      <w:r w:rsidR="00D51B92">
        <w:rPr>
          <w:rFonts w:ascii="David" w:hAnsi="David" w:hint="cs"/>
          <w:noProof w:val="0"/>
        </w:rPr>
        <w:t xml:space="preserve">XXXX </w:t>
      </w:r>
      <w:r w:rsidR="00D51B92">
        <w:rPr>
          <w:rFonts w:ascii="David" w:hAnsi="David" w:hint="cs"/>
          <w:noProof w:val="0"/>
          <w:rtl/>
        </w:rPr>
        <w:t xml:space="preserve"> </w:t>
      </w:r>
      <w:r>
        <w:rPr>
          <w:rFonts w:ascii="David" w:hAnsi="David"/>
          <w:noProof w:val="0"/>
          <w:rtl/>
        </w:rPr>
        <w:t xml:space="preserve">וירה בו למוות לעיני הנוכחים במקום. הרקע לרצח היה, ככל הנראה, החלטה על </w:t>
      </w:r>
      <w:r w:rsidR="00D51B92">
        <w:rPr>
          <w:rFonts w:ascii="David" w:hAnsi="David" w:hint="cs"/>
          <w:noProof w:val="0"/>
        </w:rPr>
        <w:t xml:space="preserve">XXXXX </w:t>
      </w:r>
      <w:r>
        <w:rPr>
          <w:rFonts w:ascii="David" w:hAnsi="David"/>
          <w:noProof w:val="0"/>
          <w:rtl/>
        </w:rPr>
        <w:t xml:space="preserve"> (תפ"ח </w:t>
      </w:r>
      <w:r w:rsidR="00D51B92">
        <w:rPr>
          <w:rFonts w:ascii="David" w:hAnsi="David" w:hint="cs"/>
          <w:noProof w:val="0"/>
          <w:rtl/>
        </w:rPr>
        <w:t>............</w:t>
      </w:r>
      <w:r>
        <w:rPr>
          <w:rFonts w:ascii="David" w:hAnsi="David"/>
          <w:noProof w:val="0"/>
          <w:rtl/>
        </w:rPr>
        <w:t xml:space="preserve">).   </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המנוח רכש בחייו מספר פוליסות ביטוח חיים מחברות ביטוח שונות. לאחר מותו קיבלה משפחתו פיצוי מחברות</w:t>
      </w:r>
      <w:r w:rsidR="00D84A7C">
        <w:rPr>
          <w:rFonts w:ascii="David" w:hAnsi="David" w:hint="cs"/>
          <w:noProof w:val="0"/>
          <w:rtl/>
        </w:rPr>
        <w:t xml:space="preserve"> הביטוח</w:t>
      </w:r>
      <w:r>
        <w:rPr>
          <w:rFonts w:ascii="David" w:hAnsi="David"/>
          <w:noProof w:val="0"/>
          <w:rtl/>
        </w:rPr>
        <w:t xml:space="preserve"> </w:t>
      </w:r>
      <w:r w:rsidR="00D84A7C">
        <w:rPr>
          <w:rFonts w:ascii="David" w:hAnsi="David" w:hint="cs"/>
          <w:noProof w:val="0"/>
          <w:rtl/>
        </w:rPr>
        <w:t>"</w:t>
      </w:r>
      <w:r>
        <w:rPr>
          <w:rFonts w:ascii="David" w:hAnsi="David"/>
          <w:noProof w:val="0"/>
          <w:rtl/>
        </w:rPr>
        <w:t>כלל</w:t>
      </w:r>
      <w:r w:rsidR="00D84A7C">
        <w:rPr>
          <w:rFonts w:ascii="David" w:hAnsi="David" w:hint="cs"/>
          <w:noProof w:val="0"/>
          <w:rtl/>
        </w:rPr>
        <w:t>"</w:t>
      </w:r>
      <w:r>
        <w:rPr>
          <w:rFonts w:ascii="David" w:hAnsi="David"/>
          <w:noProof w:val="0"/>
          <w:rtl/>
        </w:rPr>
        <w:t xml:space="preserve"> ו</w:t>
      </w:r>
      <w:r w:rsidR="00D84A7C">
        <w:rPr>
          <w:rFonts w:ascii="David" w:hAnsi="David" w:hint="cs"/>
          <w:noProof w:val="0"/>
          <w:rtl/>
        </w:rPr>
        <w:t>"</w:t>
      </w:r>
      <w:r>
        <w:rPr>
          <w:rFonts w:ascii="David" w:hAnsi="David"/>
          <w:noProof w:val="0"/>
          <w:rtl/>
        </w:rPr>
        <w:t>הראל</w:t>
      </w:r>
      <w:r w:rsidR="00D84A7C">
        <w:rPr>
          <w:rFonts w:ascii="David" w:hAnsi="David" w:hint="cs"/>
          <w:noProof w:val="0"/>
          <w:rtl/>
        </w:rPr>
        <w:t>"</w:t>
      </w:r>
      <w:r>
        <w:rPr>
          <w:rFonts w:ascii="David" w:hAnsi="David"/>
          <w:noProof w:val="0"/>
          <w:rtl/>
        </w:rPr>
        <w:t>. ב-2003 רכש מהמשיבה שתי פוליסות ביטוח חיים בסכום כולל של כ-550,000 ₪</w:t>
      </w:r>
      <w:r w:rsidR="00D84A7C">
        <w:rPr>
          <w:rFonts w:ascii="David" w:hAnsi="David" w:hint="cs"/>
          <w:noProof w:val="0"/>
          <w:rtl/>
        </w:rPr>
        <w:t>,</w:t>
      </w:r>
      <w:r>
        <w:rPr>
          <w:rFonts w:ascii="David" w:hAnsi="David"/>
          <w:noProof w:val="0"/>
          <w:rtl/>
        </w:rPr>
        <w:t xml:space="preserve"> שכללו כיסוי למקרה של מוות</w:t>
      </w:r>
      <w:r w:rsidR="00D84A7C">
        <w:rPr>
          <w:rFonts w:ascii="David" w:hAnsi="David" w:hint="cs"/>
          <w:noProof w:val="0"/>
          <w:rtl/>
        </w:rPr>
        <w:t>,</w:t>
      </w:r>
      <w:r>
        <w:rPr>
          <w:rFonts w:ascii="David" w:hAnsi="David"/>
          <w:noProof w:val="0"/>
          <w:rtl/>
        </w:rPr>
        <w:t xml:space="preserve"> לרבות מוות בתאונה. </w:t>
      </w:r>
    </w:p>
    <w:p w:rsidR="004D5C30" w:rsidRDefault="004D5C30" w:rsidP="004D5C30">
      <w:pPr>
        <w:pStyle w:val="ad"/>
        <w:spacing w:before="240" w:after="240" w:line="360" w:lineRule="auto"/>
        <w:ind w:left="357"/>
        <w:contextualSpacing w:val="0"/>
        <w:jc w:val="both"/>
        <w:rPr>
          <w:rFonts w:ascii="David" w:hAnsi="David"/>
          <w:noProof w:val="0"/>
        </w:rPr>
      </w:pPr>
      <w:r>
        <w:rPr>
          <w:rFonts w:ascii="David" w:hAnsi="David"/>
          <w:noProof w:val="0"/>
          <w:rtl/>
        </w:rPr>
        <w:lastRenderedPageBreak/>
        <w:t xml:space="preserve">מדצמבר 2013 ועד 24.7.2014 התקיימו מספר שיחות טלפוניות מוקלטות בין המנוח לנציגי המשיבה. שלוש שיחות בדצמבר 2013, שיחה ביום 27.4.2014, שלוש שיחות ביום 28.4.2014 ושיחת הביטול ביום </w:t>
      </w:r>
      <w:r>
        <w:rPr>
          <w:rFonts w:ascii="David" w:hAnsi="David"/>
          <w:b/>
          <w:bCs/>
          <w:noProof w:val="0"/>
          <w:rtl/>
        </w:rPr>
        <w:t>24.7.2014</w:t>
      </w:r>
      <w:r>
        <w:rPr>
          <w:rFonts w:ascii="David" w:hAnsi="David"/>
          <w:noProof w:val="0"/>
          <w:rtl/>
        </w:rPr>
        <w:t xml:space="preserve"> (להלן: </w:t>
      </w:r>
      <w:r>
        <w:rPr>
          <w:rFonts w:ascii="David" w:hAnsi="David"/>
          <w:b/>
          <w:bCs/>
          <w:noProof w:val="0"/>
          <w:rtl/>
        </w:rPr>
        <w:t>שיחת הביטול</w:t>
      </w:r>
      <w:r>
        <w:rPr>
          <w:rFonts w:ascii="David" w:hAnsi="David"/>
          <w:noProof w:val="0"/>
          <w:rtl/>
        </w:rPr>
        <w:t>), אשר עיקריהן מפורטים בפסק הדין. המנוח לא שבע נחת מהתשלומים שנדרשו ממנו</w:t>
      </w:r>
      <w:r w:rsidR="00D84A7C">
        <w:rPr>
          <w:rFonts w:ascii="David" w:hAnsi="David" w:hint="cs"/>
          <w:noProof w:val="0"/>
          <w:rtl/>
        </w:rPr>
        <w:t xml:space="preserve"> לצורך הביטוח</w:t>
      </w:r>
      <w:r>
        <w:rPr>
          <w:rFonts w:ascii="David" w:hAnsi="David"/>
          <w:noProof w:val="0"/>
          <w:rtl/>
        </w:rPr>
        <w:t xml:space="preserve"> והדבר בא לידי ביטוי היטב בשיחות הטלפון.</w:t>
      </w:r>
    </w:p>
    <w:p w:rsidR="004D5C30" w:rsidRPr="001639C3" w:rsidRDefault="004D5C30" w:rsidP="001639C3">
      <w:pPr>
        <w:spacing w:before="240" w:after="240" w:line="360" w:lineRule="auto"/>
        <w:ind w:left="340"/>
        <w:jc w:val="both"/>
        <w:rPr>
          <w:rFonts w:ascii="David" w:hAnsi="David"/>
          <w:noProof w:val="0"/>
        </w:rPr>
      </w:pPr>
      <w:r w:rsidRPr="001639C3">
        <w:rPr>
          <w:rFonts w:ascii="David" w:hAnsi="David"/>
          <w:noProof w:val="0"/>
          <w:rtl/>
        </w:rPr>
        <w:t>בעקבות שיחת הביטול, ביטלה המשיבה את הפוליסות. המנוח לא שילם פרמיה בחודש אוגוסט 2014. כמו כן נשלחה למנוח המחאת החזר יחסי של הפרמיות בסכום של 379.41 ₪ והמנוח פדה אותה ביום 7.8.</w:t>
      </w:r>
      <w:r w:rsidR="00D84A7C" w:rsidRPr="001639C3">
        <w:rPr>
          <w:rFonts w:ascii="David" w:hAnsi="David" w:hint="cs"/>
          <w:noProof w:val="0"/>
          <w:rtl/>
        </w:rPr>
        <w:t>20</w:t>
      </w:r>
      <w:r w:rsidRPr="001639C3">
        <w:rPr>
          <w:rFonts w:ascii="David" w:hAnsi="David"/>
          <w:noProof w:val="0"/>
          <w:rtl/>
        </w:rPr>
        <w:t xml:space="preserve">14. </w:t>
      </w:r>
    </w:p>
    <w:p w:rsidR="004D5C30" w:rsidRDefault="004D5C30" w:rsidP="001639C3">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לאחר פטירת</w:t>
      </w:r>
      <w:r w:rsidR="001639C3">
        <w:rPr>
          <w:rFonts w:ascii="David" w:hAnsi="David" w:hint="cs"/>
          <w:noProof w:val="0"/>
          <w:rtl/>
        </w:rPr>
        <w:t xml:space="preserve"> המנוח</w:t>
      </w:r>
      <w:r>
        <w:rPr>
          <w:rFonts w:ascii="David" w:hAnsi="David"/>
          <w:noProof w:val="0"/>
          <w:rtl/>
        </w:rPr>
        <w:t xml:space="preserve"> פנה בנו למשיבה ביחס לפוליסות הביטוח, והובהר לו כי הללו בוטלו. </w:t>
      </w:r>
    </w:p>
    <w:p w:rsidR="004D5C30" w:rsidRDefault="004D5C30" w:rsidP="00D84A7C">
      <w:pPr>
        <w:pStyle w:val="ad"/>
        <w:numPr>
          <w:ilvl w:val="0"/>
          <w:numId w:val="1"/>
        </w:numPr>
        <w:spacing w:before="240" w:after="240" w:line="360" w:lineRule="auto"/>
        <w:contextualSpacing w:val="0"/>
        <w:jc w:val="both"/>
        <w:rPr>
          <w:rFonts w:ascii="David" w:hAnsi="David"/>
          <w:noProof w:val="0"/>
          <w:u w:val="single"/>
        </w:rPr>
      </w:pPr>
      <w:r>
        <w:rPr>
          <w:rFonts w:ascii="David" w:hAnsi="David"/>
          <w:noProof w:val="0"/>
          <w:rtl/>
        </w:rPr>
        <w:t xml:space="preserve">המערערת, אשת המנוח, הגישה תביעה לבית המשפט השלום לקבוע כי אין תוקף לביטול הפוליסות שכן המנוח לא שלח הודעה בכתב כנדרש על פי סעיף 45(א) לחוק חוזה ביטוח תשמ"א-1981 (להלן: </w:t>
      </w:r>
      <w:r>
        <w:rPr>
          <w:rFonts w:ascii="David" w:hAnsi="David"/>
          <w:b/>
          <w:bCs/>
          <w:noProof w:val="0"/>
          <w:rtl/>
        </w:rPr>
        <w:t xml:space="preserve">החוק </w:t>
      </w:r>
      <w:r>
        <w:rPr>
          <w:rFonts w:ascii="David" w:hAnsi="David"/>
          <w:noProof w:val="0"/>
          <w:rtl/>
        </w:rPr>
        <w:t>ו-</w:t>
      </w:r>
      <w:r>
        <w:rPr>
          <w:rFonts w:ascii="David" w:hAnsi="David"/>
          <w:b/>
          <w:bCs/>
          <w:noProof w:val="0"/>
          <w:rtl/>
        </w:rPr>
        <w:t xml:space="preserve"> סעיף 45</w:t>
      </w:r>
      <w:r>
        <w:rPr>
          <w:rFonts w:ascii="David" w:hAnsi="David"/>
          <w:noProof w:val="0"/>
          <w:rtl/>
        </w:rPr>
        <w:t>). לטענתה</w:t>
      </w:r>
      <w:r w:rsidR="00D84A7C">
        <w:rPr>
          <w:rFonts w:ascii="David" w:hAnsi="David" w:hint="cs"/>
          <w:noProof w:val="0"/>
          <w:rtl/>
        </w:rPr>
        <w:t>,</w:t>
      </w:r>
      <w:r>
        <w:rPr>
          <w:rFonts w:ascii="David" w:hAnsi="David"/>
          <w:noProof w:val="0"/>
          <w:rtl/>
        </w:rPr>
        <w:t xml:space="preserve"> דרישת הכתב היא דרישה שלא ניתן להתנות עליה ומטרתה להבטיח שהמבוטח ישקול היטב את ביטולה של פוליסת ביטוח חיים. עוד נטען</w:t>
      </w:r>
      <w:r w:rsidR="00D84A7C">
        <w:rPr>
          <w:rFonts w:ascii="David" w:hAnsi="David" w:hint="cs"/>
          <w:noProof w:val="0"/>
          <w:rtl/>
        </w:rPr>
        <w:t>,</w:t>
      </w:r>
      <w:r>
        <w:rPr>
          <w:rFonts w:ascii="David" w:hAnsi="David"/>
          <w:noProof w:val="0"/>
          <w:rtl/>
        </w:rPr>
        <w:t xml:space="preserve">  </w:t>
      </w:r>
      <w:r w:rsidR="00D84A7C">
        <w:rPr>
          <w:rFonts w:ascii="David" w:hAnsi="David" w:hint="cs"/>
          <w:noProof w:val="0"/>
          <w:rtl/>
        </w:rPr>
        <w:t>ש</w:t>
      </w:r>
      <w:r>
        <w:rPr>
          <w:rFonts w:ascii="David" w:hAnsi="David"/>
          <w:noProof w:val="0"/>
          <w:rtl/>
        </w:rPr>
        <w:t xml:space="preserve">האשם בביטול הפוליסה מונח לפתחה של המשיבה משום שלא נתנה למנוח את ההנחה המובטחת, דבר שגרם לו כעס רב והביאו להודיע על ביטולה אף שלא באמת רצה זאת. לטענתה טעות זו מהווה רשלנות של המשיבה וגם היא מצדיקה בטלות הביטול. </w:t>
      </w:r>
    </w:p>
    <w:p w:rsidR="004D5C30" w:rsidRDefault="004D5C30" w:rsidP="00823A42">
      <w:pPr>
        <w:pStyle w:val="10"/>
        <w:numPr>
          <w:ilvl w:val="0"/>
          <w:numId w:val="1"/>
        </w:numPr>
        <w:spacing w:before="240" w:after="240" w:line="360" w:lineRule="auto"/>
        <w:contextualSpacing w:val="0"/>
        <w:jc w:val="both"/>
        <w:rPr>
          <w:rFonts w:ascii="David" w:hAnsi="David"/>
          <w:noProof w:val="0"/>
          <w:u w:val="single"/>
        </w:rPr>
      </w:pPr>
      <w:r>
        <w:rPr>
          <w:rFonts w:ascii="David" w:hAnsi="David"/>
          <w:noProof w:val="0"/>
          <w:rtl/>
        </w:rPr>
        <w:lastRenderedPageBreak/>
        <w:t>המשיבה טענה מנגד כי היא עובדת עם לקוחותיה באמצעות שיחות מוקלטות כדבר שבשגרה, וכי השיחות עם המנוח מלמדות על רצונו לבטל את הפוליסות ועל גמ</w:t>
      </w:r>
      <w:r w:rsidR="00823A42">
        <w:rPr>
          <w:rFonts w:ascii="David" w:hAnsi="David" w:hint="cs"/>
          <w:noProof w:val="0"/>
          <w:rtl/>
        </w:rPr>
        <w:t>י</w:t>
      </w:r>
      <w:r>
        <w:rPr>
          <w:rFonts w:ascii="David" w:hAnsi="David"/>
          <w:noProof w:val="0"/>
          <w:rtl/>
        </w:rPr>
        <w:t xml:space="preserve">רת דעת מוחלטת בנושא.  עוד נטען, </w:t>
      </w:r>
      <w:r w:rsidR="00823A42">
        <w:rPr>
          <w:rFonts w:ascii="David" w:hAnsi="David" w:hint="cs"/>
          <w:noProof w:val="0"/>
          <w:rtl/>
        </w:rPr>
        <w:t>ש</w:t>
      </w:r>
      <w:r>
        <w:rPr>
          <w:rFonts w:ascii="David" w:hAnsi="David"/>
          <w:noProof w:val="0"/>
          <w:rtl/>
        </w:rPr>
        <w:t>דרישת הכתב בסעיף 45 היא ראייתית במהותה, הקלטת שיחה עונה על דרישת הכתב, וממילא ניתן להתנות עליה לטובת הלקוח בהתאם לסעיף 52</w:t>
      </w:r>
      <w:r w:rsidR="001639C3">
        <w:rPr>
          <w:rFonts w:ascii="David" w:hAnsi="David" w:hint="cs"/>
          <w:noProof w:val="0"/>
          <w:rtl/>
        </w:rPr>
        <w:t xml:space="preserve"> לחוק</w:t>
      </w:r>
      <w:r>
        <w:rPr>
          <w:rFonts w:ascii="David" w:hAnsi="David"/>
          <w:noProof w:val="0"/>
          <w:rtl/>
        </w:rPr>
        <w:t>, וכך נעשה במקרה הנוכחי. המשיבה טענה</w:t>
      </w:r>
      <w:r w:rsidR="00823A42">
        <w:rPr>
          <w:rFonts w:ascii="David" w:hAnsi="David" w:hint="cs"/>
          <w:noProof w:val="0"/>
          <w:rtl/>
        </w:rPr>
        <w:t>,</w:t>
      </w:r>
      <w:r>
        <w:rPr>
          <w:rFonts w:ascii="David" w:hAnsi="David"/>
          <w:noProof w:val="0"/>
          <w:rtl/>
        </w:rPr>
        <w:t xml:space="preserve"> </w:t>
      </w:r>
      <w:r w:rsidR="00823A42">
        <w:rPr>
          <w:rFonts w:ascii="David" w:hAnsi="David" w:hint="cs"/>
          <w:noProof w:val="0"/>
          <w:rtl/>
        </w:rPr>
        <w:t>ש</w:t>
      </w:r>
      <w:r>
        <w:rPr>
          <w:rFonts w:ascii="David" w:hAnsi="David"/>
          <w:noProof w:val="0"/>
          <w:rtl/>
        </w:rPr>
        <w:t xml:space="preserve">לא התרשלה, וגם אם נעשתה טעות בכך שלא עודכנה ההנחה בחודש יולי אין </w:t>
      </w:r>
      <w:r w:rsidRPr="001639C3">
        <w:rPr>
          <w:rFonts w:ascii="David" w:hAnsi="David"/>
          <w:noProof w:val="0"/>
          <w:rtl/>
        </w:rPr>
        <w:t>בכך כדי להצדיק את ביטול הפוליסה</w:t>
      </w:r>
      <w:r w:rsidR="00746F95">
        <w:rPr>
          <w:rFonts w:ascii="David" w:hAnsi="David" w:hint="cs"/>
          <w:noProof w:val="0"/>
          <w:rtl/>
        </w:rPr>
        <w:t xml:space="preserve"> על ידי המנוח</w:t>
      </w:r>
      <w:r>
        <w:rPr>
          <w:rFonts w:ascii="David" w:hAnsi="David"/>
          <w:noProof w:val="0"/>
          <w:rtl/>
        </w:rPr>
        <w:t xml:space="preserve">. המשיבה הדגישה </w:t>
      </w:r>
      <w:r w:rsidR="00823A42">
        <w:rPr>
          <w:rFonts w:ascii="David" w:hAnsi="David" w:hint="cs"/>
          <w:noProof w:val="0"/>
          <w:rtl/>
        </w:rPr>
        <w:t>ש</w:t>
      </w:r>
      <w:r>
        <w:rPr>
          <w:rFonts w:ascii="David" w:hAnsi="David"/>
          <w:noProof w:val="0"/>
          <w:rtl/>
        </w:rPr>
        <w:t xml:space="preserve">לא נגבתה פרמיה בחודש אוגוסט, כך שהפוליסה לא הייתה בתוקף. טענה נוספת היא שמדובר ברצח מתוכנן ולכן לא מדובר ב"תאונה" כהגדרתה בפוליסה. </w:t>
      </w:r>
    </w:p>
    <w:p w:rsidR="004D5C30" w:rsidRDefault="004D5C30" w:rsidP="00D15941">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בפסק דינו של בית המשפט השלום נקבע כי ההקלטות שנערכו עם המנוח הן בבחינת "ראיית הזהב". בחינת התמלילים וההקלטות מובילה למסקנה</w:t>
      </w:r>
      <w:r w:rsidR="00D15941">
        <w:rPr>
          <w:rFonts w:ascii="David" w:hAnsi="David" w:hint="cs"/>
          <w:noProof w:val="0"/>
          <w:rtl/>
        </w:rPr>
        <w:t>,</w:t>
      </w:r>
      <w:r>
        <w:rPr>
          <w:rFonts w:ascii="David" w:hAnsi="David"/>
          <w:noProof w:val="0"/>
          <w:rtl/>
        </w:rPr>
        <w:t xml:space="preserve"> </w:t>
      </w:r>
      <w:r w:rsidR="00D15941">
        <w:rPr>
          <w:rFonts w:ascii="David" w:hAnsi="David" w:hint="cs"/>
          <w:noProof w:val="0"/>
          <w:rtl/>
        </w:rPr>
        <w:t>ש</w:t>
      </w:r>
      <w:r>
        <w:rPr>
          <w:rFonts w:ascii="David" w:hAnsi="David"/>
          <w:noProof w:val="0"/>
          <w:rtl/>
        </w:rPr>
        <w:t>המנוח גמר בדעתו לבטל את הפוליסות, דרש את הביטול והיה מודע היטב לביטול והשלכותיו.</w:t>
      </w:r>
    </w:p>
    <w:p w:rsidR="004D5C30" w:rsidRDefault="004D5C30" w:rsidP="001639C3">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באשר לטענות המערערת כי דרישת הכתב המעוגנת בסעיף 45 לחוק היא דרישה קוגנטית, נקבע </w:t>
      </w:r>
      <w:r w:rsidR="001639C3">
        <w:rPr>
          <w:rFonts w:ascii="David" w:hAnsi="David" w:hint="cs"/>
          <w:noProof w:val="0"/>
          <w:rtl/>
        </w:rPr>
        <w:t xml:space="preserve">שזו </w:t>
      </w:r>
      <w:r>
        <w:rPr>
          <w:rFonts w:ascii="David" w:hAnsi="David"/>
          <w:noProof w:val="0"/>
          <w:rtl/>
        </w:rPr>
        <w:t xml:space="preserve">טענה שאינה מבוססת. נקבע </w:t>
      </w:r>
      <w:r w:rsidR="001639C3">
        <w:rPr>
          <w:rFonts w:ascii="David" w:hAnsi="David" w:hint="cs"/>
          <w:noProof w:val="0"/>
          <w:rtl/>
        </w:rPr>
        <w:t>ש</w:t>
      </w:r>
      <w:r>
        <w:rPr>
          <w:rFonts w:ascii="David" w:hAnsi="David"/>
          <w:noProof w:val="0"/>
          <w:rtl/>
        </w:rPr>
        <w:t>סעיף 45 נועד להגן על מבוטחים, אך העיקר בו הוא הא</w:t>
      </w:r>
      <w:r w:rsidR="00D15941">
        <w:rPr>
          <w:rFonts w:ascii="David" w:hAnsi="David"/>
          <w:noProof w:val="0"/>
          <w:rtl/>
        </w:rPr>
        <w:t xml:space="preserve">פשרות לבטל את פוליסת </w:t>
      </w:r>
      <w:r>
        <w:rPr>
          <w:rFonts w:ascii="David" w:hAnsi="David"/>
          <w:noProof w:val="0"/>
          <w:rtl/>
        </w:rPr>
        <w:t xml:space="preserve">ביטוח החיים בכל עת כדי לא לכבול את המבוטח לחוזה ארוך טווח ולאפשר לו להתאימו ולבטלו בהתאם לתנאי השוק ולנסיבות חייו המשתנות. </w:t>
      </w:r>
      <w:r w:rsidR="001B00A4">
        <w:rPr>
          <w:rFonts w:ascii="David" w:hAnsi="David" w:hint="cs"/>
          <w:noProof w:val="0"/>
          <w:rtl/>
        </w:rPr>
        <w:t>עוד נקבע</w:t>
      </w:r>
      <w:r w:rsidR="007C6A77">
        <w:rPr>
          <w:rFonts w:ascii="David" w:hAnsi="David" w:hint="cs"/>
          <w:noProof w:val="0"/>
          <w:rtl/>
        </w:rPr>
        <w:t>,</w:t>
      </w:r>
      <w:r w:rsidR="001B00A4">
        <w:rPr>
          <w:rFonts w:ascii="David" w:hAnsi="David" w:hint="cs"/>
          <w:noProof w:val="0"/>
          <w:rtl/>
        </w:rPr>
        <w:t xml:space="preserve"> "</w:t>
      </w:r>
      <w:r w:rsidRPr="001B00A4">
        <w:rPr>
          <w:rFonts w:ascii="David" w:hAnsi="David"/>
          <w:b/>
          <w:bCs/>
          <w:noProof w:val="0"/>
          <w:rtl/>
        </w:rPr>
        <w:t xml:space="preserve">נוכח תכליתו הברורה של הסעיף ברי כי לא ניתן להתנות על עצם האפשרות לביטול הפוליסה בכל עת או להציב תנאים לביטול, ולא יתכן </w:t>
      </w:r>
      <w:r w:rsidR="001B00A4" w:rsidRPr="001B00A4">
        <w:rPr>
          <w:rFonts w:ascii="David" w:hAnsi="David" w:hint="cs"/>
          <w:b/>
          <w:bCs/>
          <w:noProof w:val="0"/>
          <w:rtl/>
        </w:rPr>
        <w:t xml:space="preserve">גם </w:t>
      </w:r>
      <w:r w:rsidRPr="001B00A4">
        <w:rPr>
          <w:rFonts w:ascii="David" w:hAnsi="David"/>
          <w:b/>
          <w:bCs/>
          <w:noProof w:val="0"/>
          <w:rtl/>
        </w:rPr>
        <w:t xml:space="preserve">כי הגבלת </w:t>
      </w:r>
      <w:r w:rsidRPr="001B00A4">
        <w:rPr>
          <w:rFonts w:ascii="David" w:hAnsi="David"/>
          <w:b/>
          <w:bCs/>
          <w:noProof w:val="0"/>
          <w:rtl/>
        </w:rPr>
        <w:lastRenderedPageBreak/>
        <w:t>זכותו המוחלטת של המבוטח לבטל את הפוליסה תהא "לטובתו"</w:t>
      </w:r>
      <w:r w:rsidR="001B00A4" w:rsidRPr="001B00A4">
        <w:rPr>
          <w:rFonts w:ascii="David" w:hAnsi="David" w:hint="cs"/>
          <w:b/>
          <w:bCs/>
          <w:noProof w:val="0"/>
          <w:rtl/>
        </w:rPr>
        <w:t>....</w:t>
      </w:r>
      <w:r w:rsidRPr="001B00A4">
        <w:rPr>
          <w:rFonts w:ascii="David" w:hAnsi="David"/>
          <w:b/>
          <w:bCs/>
          <w:noProof w:val="0"/>
          <w:rtl/>
        </w:rPr>
        <w:t xml:space="preserve"> מכאן שאפשרות ההתניה הקבועה בסעיף 52 </w:t>
      </w:r>
      <w:r w:rsidR="001639C3" w:rsidRPr="001B00A4">
        <w:rPr>
          <w:rFonts w:ascii="David" w:hAnsi="David" w:hint="cs"/>
          <w:b/>
          <w:bCs/>
          <w:noProof w:val="0"/>
          <w:rtl/>
        </w:rPr>
        <w:t xml:space="preserve">לחוק </w:t>
      </w:r>
      <w:r w:rsidRPr="001B00A4">
        <w:rPr>
          <w:rFonts w:ascii="David" w:hAnsi="David"/>
          <w:b/>
          <w:bCs/>
          <w:noProof w:val="0"/>
          <w:rtl/>
        </w:rPr>
        <w:t>(לטובת המבוטח) יכולה להתייחס אך ורק לצורת הביטול, היינו – לדרישת הכתב</w:t>
      </w:r>
      <w:r>
        <w:rPr>
          <w:rFonts w:ascii="David" w:hAnsi="David"/>
          <w:noProof w:val="0"/>
          <w:rtl/>
        </w:rPr>
        <w:t>.</w:t>
      </w:r>
      <w:r w:rsidR="001B00A4">
        <w:rPr>
          <w:rFonts w:ascii="David" w:hAnsi="David" w:hint="cs"/>
          <w:noProof w:val="0"/>
          <w:rtl/>
        </w:rPr>
        <w:t>"</w:t>
      </w:r>
      <w:r w:rsidR="00FF13F3">
        <w:rPr>
          <w:rFonts w:ascii="David" w:hAnsi="David" w:hint="cs"/>
          <w:noProof w:val="0"/>
          <w:rtl/>
        </w:rPr>
        <w:t xml:space="preserve"> (סעיף 25 לפסק הדין). </w:t>
      </w:r>
    </w:p>
    <w:p w:rsidR="004D5C30" w:rsidRDefault="004D5C30" w:rsidP="001639C3">
      <w:pPr>
        <w:pStyle w:val="10"/>
        <w:spacing w:before="240" w:after="240" w:line="360" w:lineRule="auto"/>
        <w:ind w:left="340"/>
        <w:contextualSpacing w:val="0"/>
        <w:jc w:val="both"/>
      </w:pPr>
      <w:r>
        <w:rPr>
          <w:rtl/>
        </w:rPr>
        <w:t xml:space="preserve">במועד חקיקת החוק לא היו חלופות ראויות לדרישת הכתב, אך כיום ישנם אמצעים טכנולוגיים שהמרכזי שבהם הוא הקלטת שיחות ושמירתן, אשר עונים על אותם צרכים של דרישת הכתב תוך שהם מקלים גם על המבוטחים וחוסכים להם טרחה ובירוקרטיה. לעניין זה מפנה בית המשפט </w:t>
      </w:r>
      <w:r>
        <w:rPr>
          <w:rFonts w:ascii="David" w:hAnsi="David"/>
          <w:rtl/>
        </w:rPr>
        <w:t>לחוזר ביטול פוליסת ביטוח</w:t>
      </w:r>
      <w:r>
        <w:rPr>
          <w:rtl/>
        </w:rPr>
        <w:t xml:space="preserve"> של רשות שוק ההון, ביטוח וחיסכון במשרד האוצר (חוזר ביטוח 2017-1-3 מיום </w:t>
      </w:r>
      <w:r w:rsidR="00D15941">
        <w:rPr>
          <w:rFonts w:hint="cs"/>
          <w:rtl/>
        </w:rPr>
        <w:t>1.2.2017</w:t>
      </w:r>
      <w:r>
        <w:rPr>
          <w:rtl/>
        </w:rPr>
        <w:t xml:space="preserve">), שהוחל גם על ביטול פוליסות </w:t>
      </w:r>
      <w:r>
        <w:rPr>
          <w:rFonts w:ascii="David" w:hAnsi="David"/>
          <w:rtl/>
        </w:rPr>
        <w:t>ביטוח חיים,</w:t>
      </w:r>
      <w:r>
        <w:rPr>
          <w:rtl/>
        </w:rPr>
        <w:t xml:space="preserve"> ומאפשר ביטול פוליסה "</w:t>
      </w:r>
      <w:r>
        <w:rPr>
          <w:b/>
          <w:bCs/>
          <w:rtl/>
        </w:rPr>
        <w:t>באמצעות פניה טלפונית למוקד השירות של המבטח</w:t>
      </w:r>
      <w:r>
        <w:rPr>
          <w:rtl/>
        </w:rPr>
        <w:t xml:space="preserve">", תוך עמידה על הכללים שנקבעו בחוזר. צוין כי חוזר זה מ-2017 אינו חל על המקרה הנוכחי מ-2014, אך הוא מלמד על השינוי התפיסתי בנוגע לדרישת הכתב, על היותה דרישה ראייתית במהותה, ועל הצורך בהתאמת אמצעי התקשורת שבין המבטח והמבוטח לאמצעים הטכנולוגיים העדכניים. </w:t>
      </w:r>
    </w:p>
    <w:p w:rsidR="004D5C30" w:rsidRDefault="004D5C30" w:rsidP="001639C3">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נקבע </w:t>
      </w:r>
      <w:r w:rsidR="001639C3">
        <w:rPr>
          <w:rFonts w:ascii="David" w:hAnsi="David" w:hint="cs"/>
          <w:rtl/>
        </w:rPr>
        <w:t>ש</w:t>
      </w:r>
      <w:r>
        <w:rPr>
          <w:rFonts w:ascii="David" w:hAnsi="David"/>
          <w:rtl/>
        </w:rPr>
        <w:t xml:space="preserve">שיחה מוקלטת, בידיעת המבוטח, המלמדת על רצון שני הצדדים והבנתם </w:t>
      </w:r>
      <w:r w:rsidR="001639C3">
        <w:rPr>
          <w:rFonts w:ascii="David" w:hAnsi="David" w:hint="cs"/>
          <w:rtl/>
        </w:rPr>
        <w:t>ש</w:t>
      </w:r>
      <w:r>
        <w:rPr>
          <w:rFonts w:ascii="David" w:hAnsi="David"/>
          <w:rtl/>
        </w:rPr>
        <w:t>הפוליסה מבוטלת</w:t>
      </w:r>
      <w:r w:rsidR="007402BC">
        <w:rPr>
          <w:rFonts w:ascii="David" w:hAnsi="David" w:hint="cs"/>
          <w:rtl/>
        </w:rPr>
        <w:t>,</w:t>
      </w:r>
      <w:r>
        <w:rPr>
          <w:rFonts w:ascii="David" w:hAnsi="David"/>
          <w:rtl/>
        </w:rPr>
        <w:t xml:space="preserve"> שקולה להודעה בכתב ועונה לדרישות החוק, שכן היא לטובת המבוטח.</w:t>
      </w:r>
    </w:p>
    <w:p w:rsidR="004D5C30" w:rsidRDefault="004D5C30" w:rsidP="00F63BA2">
      <w:pPr>
        <w:pStyle w:val="10"/>
        <w:numPr>
          <w:ilvl w:val="0"/>
          <w:numId w:val="1"/>
        </w:numPr>
        <w:spacing w:before="240" w:after="240" w:line="360" w:lineRule="auto"/>
        <w:contextualSpacing w:val="0"/>
        <w:jc w:val="both"/>
        <w:rPr>
          <w:rFonts w:ascii="David" w:hAnsi="David"/>
        </w:rPr>
      </w:pPr>
      <w:r>
        <w:rPr>
          <w:rFonts w:ascii="David" w:hAnsi="David"/>
          <w:rtl/>
        </w:rPr>
        <w:lastRenderedPageBreak/>
        <w:t xml:space="preserve">עוד קבע בית המשפט, </w:t>
      </w:r>
      <w:r w:rsidR="007402BC">
        <w:rPr>
          <w:rFonts w:ascii="David" w:hAnsi="David" w:hint="cs"/>
          <w:rtl/>
        </w:rPr>
        <w:t>ש</w:t>
      </w:r>
      <w:r>
        <w:rPr>
          <w:rFonts w:ascii="David" w:hAnsi="David"/>
          <w:rtl/>
        </w:rPr>
        <w:t>נוכח תוכנן של השיחות המוקלטות</w:t>
      </w:r>
      <w:r w:rsidR="007402BC">
        <w:rPr>
          <w:rFonts w:ascii="David" w:hAnsi="David" w:hint="cs"/>
          <w:rtl/>
        </w:rPr>
        <w:t>,</w:t>
      </w:r>
      <w:r>
        <w:rPr>
          <w:rFonts w:ascii="David" w:hAnsi="David"/>
          <w:rtl/>
        </w:rPr>
        <w:t xml:space="preserve"> מהן עולה </w:t>
      </w:r>
      <w:r w:rsidR="007402BC">
        <w:rPr>
          <w:rFonts w:ascii="David" w:hAnsi="David" w:hint="cs"/>
          <w:rtl/>
        </w:rPr>
        <w:t>ש</w:t>
      </w:r>
      <w:r>
        <w:rPr>
          <w:rFonts w:ascii="David" w:hAnsi="David"/>
          <w:rtl/>
        </w:rPr>
        <w:t>המנוח הוא שביקש את ביטול הפוליסות, דבר הביטול הגיע בפועל לידיעתו והוא אישר אותו ואף הדגיש כי הוא כותב את הדברים</w:t>
      </w:r>
      <w:r w:rsidR="007402BC">
        <w:rPr>
          <w:rFonts w:ascii="David" w:hAnsi="David" w:hint="cs"/>
          <w:rtl/>
        </w:rPr>
        <w:t>.</w:t>
      </w:r>
      <w:r>
        <w:rPr>
          <w:rFonts w:ascii="David" w:hAnsi="David"/>
          <w:rtl/>
        </w:rPr>
        <w:t xml:space="preserve"> כ</w:t>
      </w:r>
      <w:r w:rsidR="007402BC">
        <w:rPr>
          <w:rFonts w:ascii="David" w:hAnsi="David" w:hint="cs"/>
          <w:rtl/>
        </w:rPr>
        <w:t xml:space="preserve">ן נקבע שלמנוח </w:t>
      </w:r>
      <w:r>
        <w:rPr>
          <w:rFonts w:ascii="David" w:hAnsi="David"/>
          <w:rtl/>
        </w:rPr>
        <w:t>הוסבר שמרגע הביטול לא יהיה מכוסה בכיסוי ביטוחי בפוליסות והוא היה מודע לכך, וכ</w:t>
      </w:r>
      <w:r w:rsidR="007402BC">
        <w:rPr>
          <w:rFonts w:ascii="David" w:hAnsi="David" w:hint="cs"/>
          <w:rtl/>
        </w:rPr>
        <w:t>ך</w:t>
      </w:r>
      <w:r>
        <w:rPr>
          <w:rFonts w:ascii="David" w:hAnsi="David"/>
          <w:rtl/>
        </w:rPr>
        <w:t xml:space="preserve"> המנוח לא שילם את הפרמיה לחודש אוגוסט ואף פדה את הפרשי הפרמיה. בנסיבות אלו, ובשל עיקרון תום הלב, מנועה משפחת המנוח לטעון בדיעבד </w:t>
      </w:r>
      <w:r w:rsidR="007402BC">
        <w:rPr>
          <w:rFonts w:ascii="David" w:hAnsi="David" w:hint="cs"/>
          <w:rtl/>
        </w:rPr>
        <w:t>ש</w:t>
      </w:r>
      <w:r>
        <w:rPr>
          <w:rFonts w:ascii="David" w:hAnsi="David"/>
          <w:rtl/>
        </w:rPr>
        <w:t xml:space="preserve">הפוליסה שרירה וקיימת משום שהמנוח לא מסר את הודעת הביטול בכתב. הדברים נכונים מקל וחומר לטענה החוזית שמעלים התובעים ולפיה הפוליסה </w:t>
      </w:r>
      <w:r w:rsidR="00F63BA2">
        <w:rPr>
          <w:rFonts w:ascii="David" w:hAnsi="David" w:hint="cs"/>
          <w:rtl/>
        </w:rPr>
        <w:t>דורשת</w:t>
      </w:r>
      <w:r>
        <w:rPr>
          <w:rFonts w:ascii="David" w:hAnsi="David"/>
          <w:rtl/>
        </w:rPr>
        <w:t xml:space="preserve"> ביטול בכתב, וברי כי חוזה כפוף לחובת תום הלב. </w:t>
      </w:r>
    </w:p>
    <w:p w:rsidR="004D5C30" w:rsidRDefault="004D5C30" w:rsidP="007402BC">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בהתייחס לטענת המערערת בדבר התרשלותה של המשיבה נקבע כי אין לקבל הטענה. בקשתו של המנוח לביטול לא הייתה גחמה חד פעמית שנבעה מכעס או "עידנה דריתחה" אלא בקשה חוזרת שהועלתה במספר שיחות על פני תקופה ארוכה ונבעה ממניעים כלכליים </w:t>
      </w:r>
      <w:r>
        <w:rPr>
          <w:rFonts w:ascii="David" w:hAnsi="David"/>
          <w:rtl/>
        </w:rPr>
        <w:t>– מחיר הפוליסה, העדר רכיב חיסכון</w:t>
      </w:r>
      <w:r w:rsidR="007C6A77">
        <w:rPr>
          <w:rFonts w:ascii="David" w:hAnsi="David" w:hint="cs"/>
          <w:rtl/>
        </w:rPr>
        <w:t>,</w:t>
      </w:r>
      <w:r>
        <w:rPr>
          <w:rFonts w:ascii="David" w:hAnsi="David"/>
          <w:rtl/>
        </w:rPr>
        <w:t xml:space="preserve"> שנראה למנוח כבזבוז, וקיומן של פוליסות נוספות.</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rtl/>
        </w:rPr>
        <w:t>אף כי נדחתה תביעת המערערת, דן בית המשפט בטענת המשיבה לפיה רצח אינו בגדר מקרה ביטוח, ודחה את הטענה תוך שנקבע כי הרצח מהווה "תאונה" כהגדרתה בפוליסה.</w:t>
      </w:r>
    </w:p>
    <w:p w:rsidR="004D5C30" w:rsidRDefault="004D5C30" w:rsidP="004D5C30">
      <w:pPr>
        <w:spacing w:before="240" w:after="240" w:line="360" w:lineRule="auto"/>
        <w:jc w:val="both"/>
        <w:rPr>
          <w:rFonts w:ascii="David" w:hAnsi="David"/>
          <w:b/>
          <w:bCs/>
          <w:noProof w:val="0"/>
        </w:rPr>
      </w:pPr>
      <w:r>
        <w:rPr>
          <w:rFonts w:ascii="David" w:hAnsi="David"/>
          <w:b/>
          <w:bCs/>
          <w:rtl/>
        </w:rPr>
        <w:t>טענות המערערת</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lastRenderedPageBreak/>
        <w:t xml:space="preserve">לטענת המערערת שגה בית המשפט קמא, שכן סעיף 45 יוחד על ידי המחוקק לביטוח חיים בלבד, וקובע כי הדרך לבטלו היא על ידי משלוח הודעה בכתב, בעוד שסעיף 10 לחוק </w:t>
      </w:r>
      <w:r w:rsidR="001639C3">
        <w:rPr>
          <w:rFonts w:ascii="David" w:hAnsi="David" w:hint="cs"/>
          <w:noProof w:val="0"/>
          <w:rtl/>
        </w:rPr>
        <w:t xml:space="preserve">(להלן: </w:t>
      </w:r>
      <w:r w:rsidR="001639C3" w:rsidRPr="001639C3">
        <w:rPr>
          <w:rFonts w:ascii="David" w:hAnsi="David" w:hint="cs"/>
          <w:b/>
          <w:bCs/>
          <w:noProof w:val="0"/>
          <w:rtl/>
        </w:rPr>
        <w:t>סעיף 10</w:t>
      </w:r>
      <w:r w:rsidR="001639C3">
        <w:rPr>
          <w:rFonts w:ascii="David" w:hAnsi="David" w:hint="cs"/>
          <w:noProof w:val="0"/>
          <w:rtl/>
        </w:rPr>
        <w:t xml:space="preserve">) </w:t>
      </w:r>
      <w:r>
        <w:rPr>
          <w:rFonts w:ascii="David" w:hAnsi="David"/>
          <w:noProof w:val="0"/>
          <w:rtl/>
        </w:rPr>
        <w:t>הוא סעיף ביטול כללי הנוגע לכל סוגי הביטוח, למעט ביטוח חיים.</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פרשנותו של בית המשפט קמא לפיה הדרישה הקבועה בסעיף 45 היא ראייתית מייתרת את הצורך בסעיף 45 ומרוקנת מתוכן את המילים "בהודעה בכתב".</w:t>
      </w:r>
    </w:p>
    <w:p w:rsidR="004D5C30" w:rsidRDefault="004D5C30" w:rsidP="0002455C">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בית המשפט קמא הפנה לספרו של </w:t>
      </w:r>
      <w:r w:rsidR="007402BC">
        <w:rPr>
          <w:rFonts w:ascii="David" w:hAnsi="David"/>
          <w:noProof w:val="0"/>
          <w:rtl/>
        </w:rPr>
        <w:t xml:space="preserve">ירון אליאס, </w:t>
      </w:r>
      <w:r w:rsidR="007402BC">
        <w:rPr>
          <w:rFonts w:ascii="David" w:hAnsi="David"/>
          <w:b/>
          <w:bCs/>
          <w:noProof w:val="0"/>
          <w:rtl/>
        </w:rPr>
        <w:t>דיני ביטוח</w:t>
      </w:r>
      <w:r w:rsidR="007402BC">
        <w:rPr>
          <w:rFonts w:ascii="David" w:hAnsi="David"/>
          <w:noProof w:val="0"/>
          <w:rtl/>
        </w:rPr>
        <w:t xml:space="preserve"> (מהדורה שלישית, 2016)</w:t>
      </w:r>
      <w:r w:rsidR="007402BC">
        <w:rPr>
          <w:rFonts w:ascii="David" w:hAnsi="David" w:hint="cs"/>
          <w:noProof w:val="0"/>
          <w:rtl/>
        </w:rPr>
        <w:t xml:space="preserve"> (להלן: </w:t>
      </w:r>
      <w:r w:rsidR="007402BC" w:rsidRPr="007402BC">
        <w:rPr>
          <w:rFonts w:ascii="David" w:hAnsi="David" w:hint="cs"/>
          <w:b/>
          <w:bCs/>
          <w:noProof w:val="0"/>
          <w:rtl/>
        </w:rPr>
        <w:t>ספרו של אליאס</w:t>
      </w:r>
      <w:r w:rsidR="007402BC">
        <w:rPr>
          <w:rFonts w:ascii="David" w:hAnsi="David" w:hint="cs"/>
          <w:noProof w:val="0"/>
          <w:rtl/>
        </w:rPr>
        <w:t xml:space="preserve">) </w:t>
      </w:r>
      <w:r>
        <w:rPr>
          <w:rFonts w:ascii="David" w:hAnsi="David"/>
          <w:noProof w:val="0"/>
          <w:rtl/>
        </w:rPr>
        <w:t xml:space="preserve">להנמקה לקביעתו לפיה המטרה בחקיקת סעיף 45 היא מתן אפשרות למבוטח להשתחרר מחוזה הביטוח בכל עת, אך בספרו של אליאס צוין </w:t>
      </w:r>
      <w:r w:rsidR="0002455C">
        <w:rPr>
          <w:rFonts w:ascii="David" w:hAnsi="David" w:hint="cs"/>
          <w:noProof w:val="0"/>
          <w:rtl/>
        </w:rPr>
        <w:t>ש</w:t>
      </w:r>
      <w:r>
        <w:rPr>
          <w:rFonts w:ascii="David" w:hAnsi="David"/>
          <w:noProof w:val="0"/>
          <w:rtl/>
        </w:rPr>
        <w:t xml:space="preserve">ביטול חוזה ביטוח חיים מחייב קיומה של הודעה בכתב. </w:t>
      </w:r>
    </w:p>
    <w:p w:rsidR="004D5C30" w:rsidRDefault="004D5C30" w:rsidP="001639C3">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לטענת המערערת, עת המדובר בדרישת כתב מהותית אין להזדקק לתחליפי כתב והדיון הראייתי בפסק הדין ביחס לידע</w:t>
      </w:r>
      <w:r w:rsidR="001639C3">
        <w:rPr>
          <w:rFonts w:ascii="David" w:hAnsi="David" w:hint="cs"/>
          <w:noProof w:val="0"/>
          <w:rtl/>
        </w:rPr>
        <w:t>,</w:t>
      </w:r>
      <w:r>
        <w:rPr>
          <w:rFonts w:ascii="David" w:hAnsi="David"/>
          <w:noProof w:val="0"/>
          <w:rtl/>
        </w:rPr>
        <w:t xml:space="preserve"> להבנה ולכוונות המנוח הי</w:t>
      </w:r>
      <w:r w:rsidR="001639C3">
        <w:rPr>
          <w:rFonts w:ascii="David" w:hAnsi="David" w:hint="cs"/>
          <w:noProof w:val="0"/>
          <w:rtl/>
        </w:rPr>
        <w:t>ה</w:t>
      </w:r>
      <w:r>
        <w:rPr>
          <w:rFonts w:ascii="David" w:hAnsi="David"/>
          <w:noProof w:val="0"/>
          <w:rtl/>
        </w:rPr>
        <w:t xml:space="preserve"> שגוי. עצם העובדה</w:t>
      </w:r>
      <w:r w:rsidR="001639C3">
        <w:rPr>
          <w:rFonts w:ascii="David" w:hAnsi="David" w:hint="cs"/>
          <w:noProof w:val="0"/>
          <w:rtl/>
        </w:rPr>
        <w:t>,</w:t>
      </w:r>
      <w:r>
        <w:rPr>
          <w:rFonts w:ascii="David" w:hAnsi="David"/>
          <w:noProof w:val="0"/>
          <w:rtl/>
        </w:rPr>
        <w:t xml:space="preserve"> </w:t>
      </w:r>
      <w:r w:rsidR="001639C3">
        <w:rPr>
          <w:rFonts w:ascii="David" w:hAnsi="David" w:hint="cs"/>
          <w:noProof w:val="0"/>
          <w:rtl/>
        </w:rPr>
        <w:t>ש</w:t>
      </w:r>
      <w:r>
        <w:rPr>
          <w:rFonts w:ascii="David" w:hAnsi="David"/>
          <w:noProof w:val="0"/>
          <w:rtl/>
        </w:rPr>
        <w:t>המחוקק ייחד הוראת ביטול קוגנטית בפרק ביטוח חיים מעידה כי המדובר בדרישת צורה מהותית.</w:t>
      </w:r>
    </w:p>
    <w:p w:rsidR="004D5C30" w:rsidRDefault="004D5C30" w:rsidP="007C6A77">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עוד טוענת המע</w:t>
      </w:r>
      <w:r w:rsidR="007C6A77">
        <w:rPr>
          <w:rFonts w:ascii="David" w:hAnsi="David" w:hint="cs"/>
          <w:noProof w:val="0"/>
          <w:rtl/>
        </w:rPr>
        <w:t>ר</w:t>
      </w:r>
      <w:r>
        <w:rPr>
          <w:rFonts w:ascii="David" w:hAnsi="David"/>
          <w:noProof w:val="0"/>
          <w:rtl/>
        </w:rPr>
        <w:t xml:space="preserve">ערת </w:t>
      </w:r>
      <w:r w:rsidR="0002455C">
        <w:rPr>
          <w:rFonts w:ascii="David" w:hAnsi="David" w:hint="cs"/>
          <w:noProof w:val="0"/>
          <w:rtl/>
        </w:rPr>
        <w:t>ש</w:t>
      </w:r>
      <w:r>
        <w:rPr>
          <w:rFonts w:ascii="David" w:hAnsi="David"/>
          <w:noProof w:val="0"/>
          <w:rtl/>
        </w:rPr>
        <w:t xml:space="preserve">פסק הדין מנוגד לפסיקה הקובעת </w:t>
      </w:r>
      <w:r w:rsidR="0002455C">
        <w:rPr>
          <w:rFonts w:ascii="David" w:hAnsi="David" w:hint="cs"/>
          <w:noProof w:val="0"/>
          <w:rtl/>
        </w:rPr>
        <w:t>ש</w:t>
      </w:r>
      <w:r>
        <w:rPr>
          <w:rFonts w:ascii="David" w:hAnsi="David"/>
          <w:noProof w:val="0"/>
          <w:rtl/>
        </w:rPr>
        <w:t>דרישת הכתב הקבועה בחוק ובסעיף 45 בפרט</w:t>
      </w:r>
      <w:r w:rsidR="0002455C">
        <w:rPr>
          <w:rFonts w:ascii="David" w:hAnsi="David" w:hint="cs"/>
          <w:noProof w:val="0"/>
          <w:rtl/>
        </w:rPr>
        <w:t>,</w:t>
      </w:r>
      <w:r>
        <w:rPr>
          <w:rFonts w:ascii="David" w:hAnsi="David"/>
          <w:noProof w:val="0"/>
          <w:rtl/>
        </w:rPr>
        <w:t xml:space="preserve"> היא מהותית. לעניין זה מפנה המערערת לת"א 102284/99 </w:t>
      </w:r>
      <w:r>
        <w:rPr>
          <w:rFonts w:ascii="David" w:hAnsi="David"/>
          <w:b/>
          <w:bCs/>
          <w:noProof w:val="0"/>
          <w:rtl/>
        </w:rPr>
        <w:t>פנינה מריאמי נ' כלל חברה לביטוח</w:t>
      </w:r>
      <w:r>
        <w:rPr>
          <w:rFonts w:ascii="David" w:hAnsi="David"/>
          <w:noProof w:val="0"/>
          <w:rtl/>
        </w:rPr>
        <w:t xml:space="preserve"> (17.3.02, להלן: </w:t>
      </w:r>
      <w:r>
        <w:rPr>
          <w:rFonts w:ascii="David" w:hAnsi="David"/>
          <w:b/>
          <w:bCs/>
          <w:noProof w:val="0"/>
          <w:rtl/>
        </w:rPr>
        <w:t>פסק דין מריאמי</w:t>
      </w:r>
      <w:r>
        <w:rPr>
          <w:rFonts w:ascii="David" w:hAnsi="David"/>
          <w:noProof w:val="0"/>
          <w:rtl/>
        </w:rPr>
        <w:t>) ;ת"א 10229-01-</w:t>
      </w:r>
      <w:r>
        <w:rPr>
          <w:rFonts w:ascii="David" w:hAnsi="David"/>
          <w:noProof w:val="0"/>
          <w:rtl/>
        </w:rPr>
        <w:lastRenderedPageBreak/>
        <w:t xml:space="preserve">09 </w:t>
      </w:r>
      <w:r>
        <w:rPr>
          <w:rFonts w:ascii="David" w:hAnsi="David"/>
          <w:b/>
          <w:bCs/>
          <w:noProof w:val="0"/>
          <w:rtl/>
        </w:rPr>
        <w:t>קלוטיד כהן נ' מגדל חברה לביטוח</w:t>
      </w:r>
      <w:r>
        <w:rPr>
          <w:rFonts w:ascii="David" w:hAnsi="David"/>
          <w:b/>
          <w:bCs/>
          <w:noProof w:val="0"/>
        </w:rPr>
        <w:t xml:space="preserve"> </w:t>
      </w:r>
      <w:r>
        <w:rPr>
          <w:rFonts w:ascii="David" w:hAnsi="David"/>
          <w:noProof w:val="0"/>
          <w:rtl/>
        </w:rPr>
        <w:t xml:space="preserve">(29.1.09, להלן: </w:t>
      </w:r>
      <w:r>
        <w:rPr>
          <w:rFonts w:ascii="David" w:hAnsi="David"/>
          <w:b/>
          <w:bCs/>
          <w:noProof w:val="0"/>
          <w:rtl/>
        </w:rPr>
        <w:t>פסק דין כהן</w:t>
      </w:r>
      <w:r>
        <w:rPr>
          <w:rFonts w:ascii="David" w:hAnsi="David"/>
          <w:noProof w:val="0"/>
          <w:rtl/>
        </w:rPr>
        <w:t xml:space="preserve">) ; ת"א (י-ם) 3128/05 </w:t>
      </w:r>
      <w:r>
        <w:rPr>
          <w:rFonts w:ascii="David" w:hAnsi="David"/>
          <w:b/>
          <w:bCs/>
          <w:noProof w:val="0"/>
          <w:rtl/>
        </w:rPr>
        <w:t xml:space="preserve">פהמי מוסא נ' סלאח רפאת </w:t>
      </w:r>
      <w:r>
        <w:rPr>
          <w:rFonts w:ascii="David" w:hAnsi="David"/>
          <w:noProof w:val="0"/>
          <w:rtl/>
        </w:rPr>
        <w:t>(20.2.06,</w:t>
      </w:r>
      <w:r>
        <w:rPr>
          <w:rFonts w:ascii="David" w:hAnsi="David"/>
          <w:b/>
          <w:bCs/>
          <w:noProof w:val="0"/>
          <w:rtl/>
        </w:rPr>
        <w:t xml:space="preserve"> </w:t>
      </w:r>
      <w:r>
        <w:rPr>
          <w:rFonts w:ascii="David" w:hAnsi="David"/>
          <w:noProof w:val="0"/>
          <w:rtl/>
        </w:rPr>
        <w:t>להלן:</w:t>
      </w:r>
      <w:r>
        <w:rPr>
          <w:rFonts w:ascii="David" w:hAnsi="David"/>
          <w:b/>
          <w:bCs/>
          <w:noProof w:val="0"/>
          <w:rtl/>
        </w:rPr>
        <w:t xml:space="preserve"> פסק דין מוסא</w:t>
      </w:r>
      <w:r>
        <w:rPr>
          <w:rFonts w:ascii="David" w:hAnsi="David"/>
          <w:noProof w:val="0"/>
          <w:rtl/>
        </w:rPr>
        <w:t xml:space="preserve">); ת"א (ת"א) 36580/95 </w:t>
      </w:r>
      <w:r>
        <w:rPr>
          <w:rFonts w:ascii="David" w:hAnsi="David"/>
          <w:b/>
          <w:bCs/>
          <w:noProof w:val="0"/>
          <w:rtl/>
        </w:rPr>
        <w:t xml:space="preserve">נעמי פז נ' נמרוד שניר </w:t>
      </w:r>
      <w:r>
        <w:rPr>
          <w:rFonts w:ascii="David" w:hAnsi="David"/>
          <w:noProof w:val="0"/>
          <w:rtl/>
        </w:rPr>
        <w:t xml:space="preserve">(להלן: </w:t>
      </w:r>
      <w:r>
        <w:rPr>
          <w:rFonts w:ascii="David" w:hAnsi="David"/>
          <w:b/>
          <w:bCs/>
          <w:noProof w:val="0"/>
          <w:rtl/>
        </w:rPr>
        <w:t>פסק דין פז</w:t>
      </w:r>
      <w:r w:rsidR="0002455C">
        <w:rPr>
          <w:rFonts w:ascii="David" w:hAnsi="David"/>
          <w:noProof w:val="0"/>
          <w:rtl/>
        </w:rPr>
        <w:t xml:space="preserve">). </w:t>
      </w:r>
      <w:r w:rsidR="0002455C">
        <w:rPr>
          <w:rFonts w:ascii="David" w:hAnsi="David" w:hint="cs"/>
          <w:noProof w:val="0"/>
          <w:rtl/>
        </w:rPr>
        <w:t xml:space="preserve">לטענתה, </w:t>
      </w:r>
      <w:r>
        <w:rPr>
          <w:rFonts w:ascii="David" w:hAnsi="David"/>
          <w:noProof w:val="0"/>
          <w:rtl/>
        </w:rPr>
        <w:t xml:space="preserve">אף </w:t>
      </w:r>
      <w:r w:rsidR="0002455C">
        <w:rPr>
          <w:rFonts w:ascii="David" w:hAnsi="David" w:hint="cs"/>
          <w:noProof w:val="0"/>
          <w:rtl/>
        </w:rPr>
        <w:t xml:space="preserve">עמדת </w:t>
      </w:r>
      <w:r w:rsidR="007C6A77">
        <w:rPr>
          <w:rFonts w:ascii="David" w:hAnsi="David" w:hint="cs"/>
          <w:noProof w:val="0"/>
          <w:rtl/>
        </w:rPr>
        <w:t>חברות הביטוח</w:t>
      </w:r>
      <w:r>
        <w:rPr>
          <w:rFonts w:ascii="David" w:hAnsi="David"/>
          <w:noProof w:val="0"/>
          <w:rtl/>
        </w:rPr>
        <w:t xml:space="preserve"> ב</w:t>
      </w:r>
      <w:r w:rsidR="007C6A77">
        <w:rPr>
          <w:rFonts w:ascii="David" w:hAnsi="David" w:hint="cs"/>
          <w:noProof w:val="0"/>
          <w:rtl/>
        </w:rPr>
        <w:t>פסקי דין אחרים</w:t>
      </w:r>
      <w:r>
        <w:rPr>
          <w:rFonts w:ascii="David" w:hAnsi="David"/>
          <w:noProof w:val="0"/>
          <w:rtl/>
        </w:rPr>
        <w:t xml:space="preserve"> </w:t>
      </w:r>
      <w:r w:rsidR="0002455C">
        <w:rPr>
          <w:rFonts w:ascii="David" w:hAnsi="David" w:hint="cs"/>
          <w:noProof w:val="0"/>
          <w:rtl/>
        </w:rPr>
        <w:t>היא</w:t>
      </w:r>
      <w:r w:rsidR="007C6A77">
        <w:rPr>
          <w:rFonts w:ascii="David" w:hAnsi="David" w:hint="cs"/>
          <w:noProof w:val="0"/>
          <w:rtl/>
        </w:rPr>
        <w:t>,</w:t>
      </w:r>
      <w:r w:rsidR="0002455C">
        <w:rPr>
          <w:rFonts w:ascii="David" w:hAnsi="David" w:hint="cs"/>
          <w:noProof w:val="0"/>
          <w:rtl/>
        </w:rPr>
        <w:t xml:space="preserve"> ש</w:t>
      </w:r>
      <w:r>
        <w:rPr>
          <w:rFonts w:ascii="David" w:hAnsi="David"/>
          <w:noProof w:val="0"/>
          <w:rtl/>
        </w:rPr>
        <w:t>דרישת הכתב היא מהותית.</w:t>
      </w:r>
    </w:p>
    <w:p w:rsidR="004D5C30" w:rsidRDefault="004D5C30" w:rsidP="0002455C">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סעיף 45 בא להגן על מבוטח פני ביטול חפוז ואובדן זכויות פזיז</w:t>
      </w:r>
      <w:r w:rsidR="0002455C">
        <w:rPr>
          <w:rFonts w:ascii="David" w:hAnsi="David" w:hint="cs"/>
          <w:noProof w:val="0"/>
          <w:rtl/>
        </w:rPr>
        <w:t>,</w:t>
      </w:r>
      <w:r>
        <w:rPr>
          <w:rFonts w:ascii="David" w:hAnsi="David"/>
          <w:noProof w:val="0"/>
          <w:rtl/>
        </w:rPr>
        <w:t xml:space="preserve"> ולפיכך קבע </w:t>
      </w:r>
      <w:r w:rsidR="00F63BA2">
        <w:rPr>
          <w:rFonts w:ascii="David" w:hAnsi="David" w:hint="cs"/>
          <w:noProof w:val="0"/>
          <w:rtl/>
        </w:rPr>
        <w:t xml:space="preserve">המחוקק </w:t>
      </w:r>
      <w:r>
        <w:rPr>
          <w:rFonts w:ascii="David" w:hAnsi="David"/>
          <w:noProof w:val="0"/>
          <w:rtl/>
        </w:rPr>
        <w:t>דרישה קוגנטית של ביטול. לטענתה, לדרישת הכתב תפקיד נוסף והוא לגרום לוודאות ולמנוע מחלוקות בין הצדדים</w:t>
      </w:r>
      <w:r w:rsidR="0002455C">
        <w:rPr>
          <w:rFonts w:ascii="David" w:hAnsi="David" w:hint="cs"/>
          <w:noProof w:val="0"/>
          <w:rtl/>
        </w:rPr>
        <w:t>,</w:t>
      </w:r>
      <w:r>
        <w:rPr>
          <w:rFonts w:ascii="David" w:hAnsi="David"/>
          <w:noProof w:val="0"/>
          <w:rtl/>
        </w:rPr>
        <w:t xml:space="preserve"> שכן מימוש הביטוח נעשה כשמהבוטח כבר אינו בחיים ואינו יכול להעיד. המחוקק קבע </w:t>
      </w:r>
      <w:r w:rsidR="0002455C">
        <w:rPr>
          <w:rFonts w:ascii="David" w:hAnsi="David" w:hint="cs"/>
          <w:noProof w:val="0"/>
          <w:rtl/>
        </w:rPr>
        <w:t>ש</w:t>
      </w:r>
      <w:r>
        <w:rPr>
          <w:rFonts w:ascii="David" w:hAnsi="David"/>
          <w:noProof w:val="0"/>
          <w:rtl/>
        </w:rPr>
        <w:t>דרישת הכתב נועדה להגן על המובטח, המבטחת ציינה את דרישת המחוקק במפורש בפוליסה, ואין לאפשר לה לפעול בניגוד להוראה שהיא בעצמה קבעה.</w:t>
      </w:r>
    </w:p>
    <w:p w:rsidR="004D5C30" w:rsidRDefault="004D5C30" w:rsidP="001639C3">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פרשנות בית המשפט קמא עלולה להביא לביטול מאסיבי של ביטוחי חיים בקלות ועל ידי </w:t>
      </w:r>
      <w:r w:rsidR="0002455C">
        <w:rPr>
          <w:rFonts w:ascii="David" w:hAnsi="David" w:hint="cs"/>
          <w:noProof w:val="0"/>
          <w:rtl/>
        </w:rPr>
        <w:t>שתי</w:t>
      </w:r>
      <w:r>
        <w:rPr>
          <w:rFonts w:ascii="David" w:hAnsi="David"/>
          <w:noProof w:val="0"/>
          <w:rtl/>
        </w:rPr>
        <w:t xml:space="preserve"> שיחות טלפו</w:t>
      </w:r>
      <w:r w:rsidR="001639C3">
        <w:rPr>
          <w:rFonts w:ascii="David" w:hAnsi="David" w:hint="cs"/>
          <w:noProof w:val="0"/>
          <w:rtl/>
        </w:rPr>
        <w:t>ן</w:t>
      </w:r>
      <w:r>
        <w:rPr>
          <w:rFonts w:ascii="David" w:hAnsi="David"/>
          <w:noProof w:val="0"/>
          <w:rtl/>
        </w:rPr>
        <w:t>, בעוד שסעיף 15 לחוק קובע</w:t>
      </w:r>
      <w:r w:rsidR="0002455C">
        <w:rPr>
          <w:rFonts w:ascii="David" w:hAnsi="David" w:hint="cs"/>
          <w:noProof w:val="0"/>
          <w:rtl/>
        </w:rPr>
        <w:t>,</w:t>
      </w:r>
      <w:r>
        <w:rPr>
          <w:rFonts w:ascii="David" w:hAnsi="David"/>
          <w:noProof w:val="0"/>
          <w:rtl/>
        </w:rPr>
        <w:t xml:space="preserve"> </w:t>
      </w:r>
      <w:r w:rsidR="0002455C">
        <w:rPr>
          <w:rFonts w:ascii="David" w:hAnsi="David" w:hint="cs"/>
          <w:noProof w:val="0"/>
          <w:rtl/>
        </w:rPr>
        <w:t>ש</w:t>
      </w:r>
      <w:r>
        <w:rPr>
          <w:rFonts w:ascii="David" w:hAnsi="David"/>
          <w:noProof w:val="0"/>
          <w:rtl/>
        </w:rPr>
        <w:t>ביטול מחמת אי תשלום חייב להיעשות בשתי הודעות בכתב מצד המבטח.</w:t>
      </w:r>
    </w:p>
    <w:p w:rsidR="004D5C30" w:rsidRDefault="004D5C30" w:rsidP="0002455C">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לטענתה, שגה בית המשפט קמא בקביעתו </w:t>
      </w:r>
      <w:r w:rsidR="0002455C">
        <w:rPr>
          <w:rFonts w:ascii="David" w:hAnsi="David" w:hint="cs"/>
          <w:noProof w:val="0"/>
          <w:rtl/>
        </w:rPr>
        <w:t>ש</w:t>
      </w:r>
      <w:r>
        <w:rPr>
          <w:rFonts w:ascii="David" w:hAnsi="David"/>
          <w:noProof w:val="0"/>
          <w:rtl/>
        </w:rPr>
        <w:t>ביטול חוזה ביטוח חיים בשיחת טלפון מהווה התנאה לטובת המבוטח. לטענתה, התנאה לטובת המבוטח אין פירושה ביטול ההודעה בכתב,</w:t>
      </w:r>
      <w:r w:rsidR="001639C3">
        <w:rPr>
          <w:rFonts w:ascii="David" w:hAnsi="David" w:hint="cs"/>
          <w:noProof w:val="0"/>
          <w:rtl/>
        </w:rPr>
        <w:t xml:space="preserve"> אלא</w:t>
      </w:r>
      <w:r>
        <w:rPr>
          <w:rFonts w:ascii="David" w:hAnsi="David"/>
          <w:noProof w:val="0"/>
          <w:rtl/>
        </w:rPr>
        <w:t xml:space="preserve"> </w:t>
      </w:r>
      <w:r w:rsidR="001639C3">
        <w:rPr>
          <w:rFonts w:ascii="David" w:hAnsi="David" w:hint="cs"/>
          <w:noProof w:val="0"/>
          <w:rtl/>
        </w:rPr>
        <w:t>ה</w:t>
      </w:r>
      <w:r>
        <w:rPr>
          <w:rFonts w:ascii="David" w:hAnsi="David"/>
          <w:noProof w:val="0"/>
          <w:rtl/>
        </w:rPr>
        <w:t>התנאה לטובתו יכולה להיות על ידי הוספת זכות למבוטח לחזור בו מהביטול תוך שמירה על זכויות חיתומיות.</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lastRenderedPageBreak/>
        <w:t>פסק הדין מנוגד להוראות הפוליסה הקובעות כי ביטול הפוליסה ייעשה בכתב.</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עוד מלינה המערערת על התעלמות בית המשפט קמא מעדויות נציגי המשיבה כי ביטלו פוליסות על סמך שיחות בעל פה עם מבוטחים ובניגוד לפוליסה ולחוק, וכן לכך שהמשיבה לא גילתה שיחות נוספות שנערכו עם המנוח, ואשר היו בידיה.</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לטענתה, לא ניתן להקיש מריכוך דרישת הכתב בחוק המקרקעין לביטול פוליסת ביטוח חיים.</w:t>
      </w:r>
    </w:p>
    <w:p w:rsidR="004D5C30" w:rsidRDefault="004D5C30" w:rsidP="0002455C">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עוד טוענת המערערת כי שגה בית המשפט בקביעת</w:t>
      </w:r>
      <w:r w:rsidR="0002455C">
        <w:rPr>
          <w:rFonts w:ascii="David" w:hAnsi="David" w:hint="cs"/>
          <w:noProof w:val="0"/>
          <w:rtl/>
        </w:rPr>
        <w:t>ו ש</w:t>
      </w:r>
      <w:r>
        <w:rPr>
          <w:rFonts w:ascii="David" w:hAnsi="David"/>
          <w:noProof w:val="0"/>
          <w:rtl/>
        </w:rPr>
        <w:t>המשיבה לא התרשלה כלפי המנוח, בכך שלא קיימה התחייבויותיה להפחתת הפרמיות, התנהלות אשר היא זו שהובילה לביטול הפוליסות על ידי המנוח.</w:t>
      </w:r>
    </w:p>
    <w:p w:rsidR="004D5C30" w:rsidRDefault="004D5C30" w:rsidP="004D5C30">
      <w:pPr>
        <w:spacing w:before="240" w:after="240" w:line="360" w:lineRule="auto"/>
        <w:jc w:val="both"/>
        <w:rPr>
          <w:rFonts w:ascii="David" w:hAnsi="David"/>
          <w:b/>
          <w:bCs/>
          <w:noProof w:val="0"/>
        </w:rPr>
      </w:pPr>
      <w:r>
        <w:rPr>
          <w:rFonts w:ascii="David" w:hAnsi="David"/>
          <w:b/>
          <w:bCs/>
          <w:rtl/>
        </w:rPr>
        <w:t>טענות המשיבה</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לטענת המשיבה תכלית הוראת סעיף 45 היא להגן על זכותו של מבוטח לבטל ביטוח חיים בכל עת. </w:t>
      </w:r>
    </w:p>
    <w:p w:rsidR="004D5C30" w:rsidRDefault="004D5C30" w:rsidP="0002455C">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הוראות סעיפים 45 ו- 10 אינן שוללות ז</w:t>
      </w:r>
      <w:r w:rsidR="0002455C">
        <w:rPr>
          <w:rFonts w:ascii="David" w:hAnsi="David" w:hint="cs"/>
          <w:noProof w:val="0"/>
          <w:rtl/>
        </w:rPr>
        <w:t>ו</w:t>
      </w:r>
      <w:r>
        <w:rPr>
          <w:rFonts w:ascii="David" w:hAnsi="David"/>
          <w:noProof w:val="0"/>
          <w:rtl/>
        </w:rPr>
        <w:t xml:space="preserve"> את ז</w:t>
      </w:r>
      <w:r w:rsidR="0002455C">
        <w:rPr>
          <w:rFonts w:ascii="David" w:hAnsi="David" w:hint="cs"/>
          <w:noProof w:val="0"/>
          <w:rtl/>
        </w:rPr>
        <w:t>ו</w:t>
      </w:r>
      <w:r>
        <w:rPr>
          <w:rFonts w:ascii="David" w:hAnsi="David"/>
          <w:noProof w:val="0"/>
          <w:rtl/>
        </w:rPr>
        <w:t>. אלא הן משלימות האחת את השנייה, כך שביטול על פי סעיף 45 כפ</w:t>
      </w:r>
      <w:r w:rsidR="0002455C">
        <w:rPr>
          <w:rFonts w:ascii="David" w:hAnsi="David"/>
          <w:noProof w:val="0"/>
          <w:rtl/>
        </w:rPr>
        <w:t>וף למסגרת הזמן הקבועה בסעיף 10</w:t>
      </w:r>
      <w:r w:rsidR="0002455C">
        <w:rPr>
          <w:rFonts w:ascii="David" w:hAnsi="David" w:hint="cs"/>
          <w:noProof w:val="0"/>
          <w:rtl/>
        </w:rPr>
        <w:t>.</w:t>
      </w:r>
    </w:p>
    <w:p w:rsidR="004D5C30" w:rsidRDefault="004D5C30" w:rsidP="001639C3">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lastRenderedPageBreak/>
        <w:t>צדק בית המשפט בקביע</w:t>
      </w:r>
      <w:r w:rsidR="001639C3">
        <w:rPr>
          <w:rFonts w:ascii="David" w:hAnsi="David" w:hint="cs"/>
          <w:noProof w:val="0"/>
          <w:rtl/>
        </w:rPr>
        <w:t>ה,</w:t>
      </w:r>
      <w:r>
        <w:rPr>
          <w:rFonts w:ascii="David" w:hAnsi="David"/>
          <w:noProof w:val="0"/>
          <w:rtl/>
        </w:rPr>
        <w:t xml:space="preserve"> </w:t>
      </w:r>
      <w:r w:rsidR="001639C3">
        <w:rPr>
          <w:rFonts w:ascii="David" w:hAnsi="David" w:hint="cs"/>
          <w:noProof w:val="0"/>
          <w:rtl/>
        </w:rPr>
        <w:t>ש</w:t>
      </w:r>
      <w:r>
        <w:rPr>
          <w:rFonts w:ascii="David" w:hAnsi="David"/>
          <w:noProof w:val="0"/>
          <w:rtl/>
        </w:rPr>
        <w:t xml:space="preserve">אפשרות ההתניה הקבועה בסעיף 52 לחוק יכולה להתייחס רק לצורת הביטול, קרי דרישת הכתב. לטענתה, יש לדחות את טענת המערערת לפיה ההתניה יכולה להיות על התיבה "מבטח" כך שהמבוטח יוכל להודיע בכתב על הביטול לכל גורם אחר שאינו המבטח, טענה שיש לדחותה מחמת שהועלתה </w:t>
      </w:r>
      <w:r w:rsidR="0002455C">
        <w:rPr>
          <w:rFonts w:ascii="David" w:hAnsi="David" w:hint="cs"/>
          <w:noProof w:val="0"/>
          <w:rtl/>
        </w:rPr>
        <w:t xml:space="preserve">רק </w:t>
      </w:r>
      <w:r>
        <w:rPr>
          <w:rFonts w:ascii="David" w:hAnsi="David"/>
          <w:noProof w:val="0"/>
          <w:rtl/>
        </w:rPr>
        <w:t>בכתב הערעור ובהיותה אבסורדית.</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גישת בית המשפט לפיה דרישת הכתב היא תכליתית,</w:t>
      </w:r>
      <w:r w:rsidR="0002455C">
        <w:rPr>
          <w:rFonts w:ascii="David" w:hAnsi="David"/>
          <w:noProof w:val="0"/>
          <w:rtl/>
        </w:rPr>
        <w:t xml:space="preserve"> היא חלק מהגישה הנוהגת בספרות ו</w:t>
      </w:r>
      <w:r w:rsidR="0002455C">
        <w:rPr>
          <w:rFonts w:ascii="David" w:hAnsi="David" w:hint="cs"/>
          <w:noProof w:val="0"/>
          <w:rtl/>
        </w:rPr>
        <w:t>ב</w:t>
      </w:r>
      <w:r>
        <w:rPr>
          <w:rFonts w:ascii="David" w:hAnsi="David"/>
          <w:noProof w:val="0"/>
          <w:rtl/>
        </w:rPr>
        <w:t>פסיקה לפיה בכל האמור בחוזי ביטוח קש</w:t>
      </w:r>
      <w:r w:rsidR="0002455C">
        <w:rPr>
          <w:rFonts w:ascii="David" w:hAnsi="David"/>
          <w:noProof w:val="0"/>
          <w:rtl/>
        </w:rPr>
        <w:t xml:space="preserve">ה להצביע על שיקולים מעבר לצורך </w:t>
      </w:r>
      <w:r w:rsidR="0002455C">
        <w:rPr>
          <w:rFonts w:ascii="David" w:hAnsi="David" w:hint="cs"/>
          <w:noProof w:val="0"/>
          <w:rtl/>
        </w:rPr>
        <w:t>ב</w:t>
      </w:r>
      <w:r>
        <w:rPr>
          <w:rFonts w:ascii="David" w:hAnsi="David"/>
          <w:noProof w:val="0"/>
          <w:rtl/>
        </w:rPr>
        <w:t>הוכחה מהימנה</w:t>
      </w:r>
      <w:r w:rsidR="0002455C">
        <w:rPr>
          <w:rFonts w:ascii="David" w:hAnsi="David" w:hint="cs"/>
          <w:noProof w:val="0"/>
          <w:rtl/>
        </w:rPr>
        <w:t>,</w:t>
      </w:r>
      <w:r>
        <w:rPr>
          <w:rFonts w:ascii="David" w:hAnsi="David"/>
          <w:noProof w:val="0"/>
          <w:rtl/>
        </w:rPr>
        <w:t xml:space="preserve"> שיחייבו קביעת הכתב כיסוד מהותי של ההסכם ותכליתו היא תכלית ראייתית.</w:t>
      </w:r>
    </w:p>
    <w:p w:rsidR="004D5C30" w:rsidRDefault="004D5C30" w:rsidP="0002455C">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בניגוד לטענת המערערת, דרישת הכתב לא נועדה להגן על מבוטח מפני "ביטול חפוז", </w:t>
      </w:r>
      <w:r w:rsidR="0002455C">
        <w:rPr>
          <w:rFonts w:ascii="David" w:hAnsi="David" w:hint="cs"/>
          <w:noProof w:val="0"/>
          <w:rtl/>
        </w:rPr>
        <w:t>ו</w:t>
      </w:r>
      <w:r w:rsidR="0002455C">
        <w:rPr>
          <w:rFonts w:ascii="David" w:hAnsi="David"/>
          <w:noProof w:val="0"/>
          <w:rtl/>
        </w:rPr>
        <w:t>סעיף 10</w:t>
      </w:r>
      <w:r w:rsidR="0002455C">
        <w:rPr>
          <w:rFonts w:ascii="David" w:hAnsi="David" w:hint="cs"/>
          <w:noProof w:val="0"/>
          <w:rtl/>
        </w:rPr>
        <w:t xml:space="preserve"> </w:t>
      </w:r>
      <w:r>
        <w:rPr>
          <w:rFonts w:ascii="David" w:hAnsi="David"/>
          <w:noProof w:val="0"/>
          <w:rtl/>
        </w:rPr>
        <w:t>הוא זה המעניק למבוטח אורכה של 3 ימים לחזור בו מביטול</w:t>
      </w:r>
      <w:r w:rsidR="0002455C">
        <w:rPr>
          <w:rFonts w:ascii="David" w:hAnsi="David" w:hint="cs"/>
          <w:noProof w:val="0"/>
          <w:rtl/>
        </w:rPr>
        <w:t>,</w:t>
      </w:r>
      <w:r>
        <w:rPr>
          <w:rFonts w:ascii="David" w:hAnsi="David"/>
          <w:noProof w:val="0"/>
          <w:rtl/>
        </w:rPr>
        <w:t xml:space="preserve"> שנעשה מכל סיבה שהיא.</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גישתו של בית המשפט קמא לפיה השיחה המוקלטת עונה לדרישת הכתב, יונקת חיותה מהפסיקה הנוהגת, חוזרי המפקח על שוק ההון, וגישת המלומד אליאס.</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בניגוד לטענת המערערת בדבר קיומן של הקלטות גם בעת חקיקת החוק, אזי ומן המפורסמות הוא כי הדין הכללי אינו מרתיע בתי משפט מלדון ולהכריע במחלוקות הנובעות מכך תוך הכרה במציאות המשתנה. באופן דומה, המציאות בה חברות ביטוח ישיר מנהלות </w:t>
      </w:r>
      <w:r>
        <w:rPr>
          <w:rFonts w:ascii="David" w:hAnsi="David"/>
          <w:noProof w:val="0"/>
          <w:rtl/>
        </w:rPr>
        <w:lastRenderedPageBreak/>
        <w:t>עסקאות ביטוח באופן טלפוני אגב הקלטתן מקדימה את המציאות המשפטית. על כן בצדק נקבע כי בהתקשרות העכשווית בין מבטח למבוטח יש לאפשר שימוש באמצעים מתקדמים ובלבד שזכויות המבוטח נשמרות.</w:t>
      </w:r>
    </w:p>
    <w:p w:rsidR="004D5C30" w:rsidRDefault="004D5C30" w:rsidP="00253F2D">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עוד טוענת המשיבה</w:t>
      </w:r>
      <w:r w:rsidR="001639C3">
        <w:rPr>
          <w:rFonts w:ascii="David" w:hAnsi="David" w:hint="cs"/>
          <w:noProof w:val="0"/>
          <w:rtl/>
        </w:rPr>
        <w:t>,</w:t>
      </w:r>
      <w:r>
        <w:rPr>
          <w:rFonts w:ascii="David" w:hAnsi="David"/>
          <w:noProof w:val="0"/>
          <w:rtl/>
        </w:rPr>
        <w:t xml:space="preserve"> </w:t>
      </w:r>
      <w:r w:rsidR="0002455C">
        <w:rPr>
          <w:rFonts w:ascii="David" w:hAnsi="David" w:hint="cs"/>
          <w:noProof w:val="0"/>
          <w:rtl/>
        </w:rPr>
        <w:t>ש</w:t>
      </w:r>
      <w:r>
        <w:rPr>
          <w:rFonts w:ascii="David" w:hAnsi="David"/>
          <w:noProof w:val="0"/>
          <w:rtl/>
        </w:rPr>
        <w:t xml:space="preserve">ההשוואה </w:t>
      </w:r>
      <w:r w:rsidR="00253F2D">
        <w:rPr>
          <w:rFonts w:ascii="David" w:hAnsi="David" w:hint="cs"/>
          <w:noProof w:val="0"/>
          <w:rtl/>
        </w:rPr>
        <w:t xml:space="preserve">בין </w:t>
      </w:r>
      <w:r>
        <w:rPr>
          <w:rFonts w:ascii="David" w:hAnsi="David"/>
          <w:noProof w:val="0"/>
          <w:rtl/>
        </w:rPr>
        <w:t xml:space="preserve">דרישת הכתב בסעיף 45 </w:t>
      </w:r>
      <w:r w:rsidR="00253F2D">
        <w:rPr>
          <w:rFonts w:ascii="David" w:hAnsi="David" w:hint="cs"/>
          <w:noProof w:val="0"/>
          <w:rtl/>
        </w:rPr>
        <w:t>ל</w:t>
      </w:r>
      <w:r>
        <w:rPr>
          <w:rFonts w:ascii="David" w:hAnsi="David"/>
          <w:noProof w:val="0"/>
          <w:rtl/>
        </w:rPr>
        <w:t xml:space="preserve">בין </w:t>
      </w:r>
      <w:r w:rsidR="00253F2D">
        <w:rPr>
          <w:rFonts w:ascii="David" w:hAnsi="David" w:hint="cs"/>
          <w:noProof w:val="0"/>
          <w:rtl/>
        </w:rPr>
        <w:t>דרישת הכתב ב</w:t>
      </w:r>
      <w:r>
        <w:rPr>
          <w:rFonts w:ascii="David" w:hAnsi="David"/>
          <w:noProof w:val="0"/>
          <w:rtl/>
        </w:rPr>
        <w:t>חוק המקרקעין ו</w:t>
      </w:r>
      <w:r w:rsidR="00253F2D">
        <w:rPr>
          <w:rFonts w:ascii="David" w:hAnsi="David" w:hint="cs"/>
          <w:noProof w:val="0"/>
          <w:rtl/>
        </w:rPr>
        <w:t>ב</w:t>
      </w:r>
      <w:r>
        <w:rPr>
          <w:rFonts w:ascii="David" w:hAnsi="David"/>
          <w:noProof w:val="0"/>
          <w:rtl/>
        </w:rPr>
        <w:t xml:space="preserve">חוק המתנה אינה רלוונטית. לעניין זה היא מוסיפה </w:t>
      </w:r>
      <w:r w:rsidR="00253F2D">
        <w:rPr>
          <w:rFonts w:ascii="David" w:hAnsi="David" w:hint="cs"/>
          <w:noProof w:val="0"/>
          <w:rtl/>
        </w:rPr>
        <w:t>ש</w:t>
      </w:r>
      <w:r>
        <w:rPr>
          <w:rFonts w:ascii="David" w:hAnsi="David"/>
          <w:noProof w:val="0"/>
          <w:rtl/>
        </w:rPr>
        <w:t>בניגוד לטענת המערערת</w:t>
      </w:r>
      <w:r w:rsidR="00253F2D">
        <w:rPr>
          <w:rFonts w:ascii="David" w:hAnsi="David" w:hint="cs"/>
          <w:noProof w:val="0"/>
          <w:rtl/>
        </w:rPr>
        <w:t>,</w:t>
      </w:r>
      <w:r>
        <w:rPr>
          <w:rFonts w:ascii="David" w:hAnsi="David"/>
          <w:noProof w:val="0"/>
          <w:rtl/>
        </w:rPr>
        <w:t xml:space="preserve"> לפיה ריכוך דרישת הכתב במקרקעין נעשית רק במקרי תרמית, עולה מהפסיקה </w:t>
      </w:r>
      <w:r w:rsidR="00253F2D">
        <w:rPr>
          <w:rFonts w:ascii="David" w:hAnsi="David" w:hint="cs"/>
          <w:noProof w:val="0"/>
          <w:rtl/>
        </w:rPr>
        <w:t>ש</w:t>
      </w:r>
      <w:r>
        <w:rPr>
          <w:rFonts w:ascii="David" w:hAnsi="David"/>
          <w:noProof w:val="0"/>
          <w:rtl/>
        </w:rPr>
        <w:t>די במסמך המעיד על התחייבות</w:t>
      </w:r>
      <w:r w:rsidR="001639C3">
        <w:rPr>
          <w:rFonts w:ascii="David" w:hAnsi="David" w:hint="cs"/>
          <w:noProof w:val="0"/>
          <w:rtl/>
        </w:rPr>
        <w:t>,</w:t>
      </w:r>
      <w:r>
        <w:rPr>
          <w:rFonts w:ascii="David" w:hAnsi="David"/>
          <w:noProof w:val="0"/>
          <w:rtl/>
        </w:rPr>
        <w:t xml:space="preserve"> וויתור על דרישת הכתב יעשה מכוח עיקרון תום הלב.</w:t>
      </w:r>
    </w:p>
    <w:p w:rsidR="004D5C30" w:rsidRDefault="004D5C30" w:rsidP="001639C3">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סעיף 15 לחוק עוסק בפרוצדורת משלוח התראות טרם ביטול הפוליסה על ידי המבטח וזאת מחמת אי תשלום פרמיות על ידי המבוטח. דרישת הכתב בסעיף זה היא ברורה והיא להביא לידי המבוטח דבר ביטול הפוליסה ככל שלא יוסדר החוב. בעוד במקרה דנן המנוח הוא שביקש לבטל את הפוליסה.</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אף עיקרון תום הלב חייב את דחיית התביעה ודחיית הערעור.</w:t>
      </w:r>
    </w:p>
    <w:p w:rsidR="004D5C30" w:rsidRDefault="004D5C30" w:rsidP="004D5C30">
      <w:pPr>
        <w:spacing w:before="240" w:after="240" w:line="360" w:lineRule="auto"/>
        <w:jc w:val="both"/>
        <w:rPr>
          <w:rFonts w:ascii="David" w:hAnsi="David"/>
          <w:b/>
          <w:bCs/>
          <w:noProof w:val="0"/>
        </w:rPr>
      </w:pPr>
      <w:r>
        <w:rPr>
          <w:rFonts w:ascii="David" w:hAnsi="David"/>
          <w:b/>
          <w:bCs/>
          <w:rtl/>
        </w:rPr>
        <w:t xml:space="preserve">ההליכים בערעור </w:t>
      </w:r>
    </w:p>
    <w:p w:rsidR="004D5C30" w:rsidRDefault="004D5C30" w:rsidP="00A5383C">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lastRenderedPageBreak/>
        <w:t xml:space="preserve">במסגרת פרוטוקול הדיון בערעור מיום 25.3.2021, ולאחר שמיעת טיעוני הצדדים, ציין ההרכב </w:t>
      </w:r>
      <w:r w:rsidR="00A5383C">
        <w:rPr>
          <w:rFonts w:ascii="David" w:hAnsi="David" w:hint="cs"/>
          <w:noProof w:val="0"/>
          <w:rtl/>
        </w:rPr>
        <w:t>ש</w:t>
      </w:r>
      <w:r>
        <w:rPr>
          <w:rFonts w:ascii="David" w:hAnsi="David"/>
          <w:noProof w:val="0"/>
          <w:rtl/>
        </w:rPr>
        <w:t xml:space="preserve">נוכח השלכות רוחב למבוטחים ולחברות הביטוח, באשר לפרשנות סעיף 45(א) לחוק, שכן לא קיימת בעניין פסיקה של בית המשפט העליון, ייתכן שתתבקש עמדת הממונה על שוק ההון ביטוח וחיסכון (להלן: </w:t>
      </w:r>
      <w:r>
        <w:rPr>
          <w:rFonts w:ascii="David" w:hAnsi="David"/>
          <w:b/>
          <w:bCs/>
          <w:noProof w:val="0"/>
          <w:rtl/>
        </w:rPr>
        <w:t>הממונה</w:t>
      </w:r>
      <w:r>
        <w:rPr>
          <w:rFonts w:ascii="David" w:hAnsi="David"/>
          <w:noProof w:val="0"/>
          <w:rtl/>
        </w:rPr>
        <w:t xml:space="preserve">). </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בהחלטה מיום 9.5.2021, התבקש הממונה ליתן עמדתו בסוגיה שבמחלוקת, קרי האם דרישת הכתב הקבועה בסעיף 45 לחוק היא ראייתית או מהותית.</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עמדת הממונה הוגשה וממנה עולה כי כל עוד הודעת הביטול עומדת במבחנים אובייקטיביים, וסובייקטיביים, כמפורט בעמדתו, ואשר מהם ניתן ללמוד כי המבוטח עמד על ביטול הביטוח, יש לקבל הודעת הביטול, אף אם לא נעשתה בכתב.  </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לאחר קבלת עמדת הממונה הגישו הצדדים התייחסותם לעמדתו. </w:t>
      </w:r>
    </w:p>
    <w:p w:rsidR="004D5C30" w:rsidRDefault="004D5C30" w:rsidP="00253F2D">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בתשובת המערערת לעמדת הממונה נטען</w:t>
      </w:r>
      <w:r w:rsidR="00253F2D">
        <w:rPr>
          <w:rFonts w:ascii="David" w:hAnsi="David" w:hint="cs"/>
          <w:noProof w:val="0"/>
          <w:rtl/>
        </w:rPr>
        <w:t>,</w:t>
      </w:r>
      <w:r>
        <w:rPr>
          <w:rFonts w:ascii="David" w:hAnsi="David"/>
          <w:noProof w:val="0"/>
          <w:rtl/>
        </w:rPr>
        <w:t xml:space="preserve"> </w:t>
      </w:r>
      <w:r w:rsidR="00253F2D">
        <w:rPr>
          <w:rFonts w:ascii="David" w:hAnsi="David" w:hint="cs"/>
          <w:noProof w:val="0"/>
          <w:rtl/>
        </w:rPr>
        <w:t>ש</w:t>
      </w:r>
      <w:r>
        <w:rPr>
          <w:rFonts w:ascii="David" w:hAnsi="David"/>
          <w:noProof w:val="0"/>
          <w:rtl/>
        </w:rPr>
        <w:t xml:space="preserve">אין בעמדת הממונה כל תשובה לשאלה מהי עמדתו במחלוקת האם דרישת הכתב הקבועה בסעיף 45 היא מהותית או ראייתית; </w:t>
      </w:r>
      <w:r w:rsidR="00253F2D">
        <w:rPr>
          <w:rFonts w:ascii="David" w:hAnsi="David" w:hint="cs"/>
          <w:noProof w:val="0"/>
          <w:rtl/>
        </w:rPr>
        <w:t>ש</w:t>
      </w:r>
      <w:r>
        <w:rPr>
          <w:rFonts w:ascii="David" w:hAnsi="David"/>
          <w:noProof w:val="0"/>
          <w:rtl/>
        </w:rPr>
        <w:t xml:space="preserve">הממונה חרג מהחלטת בית המשפט עת הביע דעתו ביחס לעובדות המקרה, תחת התייחסות לשאלה המשפטית שהובאה בפניו; </w:t>
      </w:r>
      <w:r w:rsidR="00253F2D">
        <w:rPr>
          <w:rFonts w:ascii="David" w:hAnsi="David" w:hint="cs"/>
          <w:noProof w:val="0"/>
          <w:rtl/>
        </w:rPr>
        <w:t>ש</w:t>
      </w:r>
      <w:r>
        <w:rPr>
          <w:rFonts w:ascii="David" w:hAnsi="David"/>
          <w:noProof w:val="0"/>
          <w:rtl/>
        </w:rPr>
        <w:t>הניתוח המשפטי שנעשה על ידו באשר למהותה של דרישת הכתב מצביע על חוסר הבנה מושגי בעניין זה.</w:t>
      </w:r>
    </w:p>
    <w:p w:rsidR="004D5C30" w:rsidRDefault="004D5C30" w:rsidP="00253F2D">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lastRenderedPageBreak/>
        <w:t>המשיבה הגישה התייחסותה לעמדת הממונה ו</w:t>
      </w:r>
      <w:r w:rsidR="00253F2D">
        <w:rPr>
          <w:rFonts w:ascii="David" w:hAnsi="David" w:hint="cs"/>
          <w:noProof w:val="0"/>
          <w:rtl/>
        </w:rPr>
        <w:t>ה</w:t>
      </w:r>
      <w:r>
        <w:rPr>
          <w:rFonts w:ascii="David" w:hAnsi="David"/>
          <w:noProof w:val="0"/>
          <w:rtl/>
        </w:rPr>
        <w:t xml:space="preserve">סכימה עם האמור בה. </w:t>
      </w:r>
    </w:p>
    <w:p w:rsidR="00730976" w:rsidRPr="007C6A77" w:rsidRDefault="001B00A4" w:rsidP="00FF13F3">
      <w:pPr>
        <w:pStyle w:val="ad"/>
        <w:numPr>
          <w:ilvl w:val="0"/>
          <w:numId w:val="1"/>
        </w:numPr>
        <w:spacing w:before="240" w:after="240" w:line="360" w:lineRule="auto"/>
        <w:ind w:left="357" w:hanging="357"/>
        <w:contextualSpacing w:val="0"/>
        <w:jc w:val="both"/>
        <w:rPr>
          <w:rFonts w:ascii="David" w:hAnsi="David"/>
          <w:noProof w:val="0"/>
        </w:rPr>
      </w:pPr>
      <w:r w:rsidRPr="007C6A77">
        <w:rPr>
          <w:rFonts w:ascii="David" w:hAnsi="David" w:hint="cs"/>
          <w:noProof w:val="0"/>
          <w:rtl/>
        </w:rPr>
        <w:t xml:space="preserve">אעיר, כי המערערת הגישה בקשה להגשת השלמת טיעון מטעמה ביחס לעמדת הממונה, ואף צירפה </w:t>
      </w:r>
      <w:r w:rsidR="00730976" w:rsidRPr="007C6A77">
        <w:rPr>
          <w:rFonts w:ascii="David" w:hAnsi="David" w:hint="cs"/>
          <w:noProof w:val="0"/>
          <w:rtl/>
        </w:rPr>
        <w:t>את השלמת הטיעון</w:t>
      </w:r>
      <w:r w:rsidRPr="007C6A77">
        <w:rPr>
          <w:rFonts w:ascii="David" w:hAnsi="David" w:hint="cs"/>
          <w:noProof w:val="0"/>
          <w:rtl/>
        </w:rPr>
        <w:t xml:space="preserve"> לבקשה</w:t>
      </w:r>
      <w:r w:rsidR="00730976" w:rsidRPr="007C6A77">
        <w:rPr>
          <w:rFonts w:ascii="David" w:hAnsi="David" w:hint="cs"/>
          <w:noProof w:val="0"/>
          <w:rtl/>
        </w:rPr>
        <w:t>, ללא שקיבלה רשות לכך</w:t>
      </w:r>
      <w:r w:rsidR="00FF13F3" w:rsidRPr="007C6A77">
        <w:rPr>
          <w:rFonts w:ascii="David" w:hAnsi="David" w:hint="cs"/>
          <w:noProof w:val="0"/>
          <w:rtl/>
        </w:rPr>
        <w:t xml:space="preserve">. </w:t>
      </w:r>
      <w:r w:rsidR="00730976" w:rsidRPr="007C6A77">
        <w:rPr>
          <w:rFonts w:ascii="David" w:hAnsi="David" w:hint="cs"/>
          <w:noProof w:val="0"/>
          <w:rtl/>
        </w:rPr>
        <w:t xml:space="preserve">מסמך אשר המשיבה </w:t>
      </w:r>
      <w:r w:rsidR="00FF13F3" w:rsidRPr="007C6A77">
        <w:rPr>
          <w:rFonts w:ascii="David" w:hAnsi="David" w:hint="cs"/>
          <w:noProof w:val="0"/>
          <w:rtl/>
        </w:rPr>
        <w:t>התנגדה להגשתו</w:t>
      </w:r>
      <w:r w:rsidR="00730976" w:rsidRPr="007C6A77">
        <w:rPr>
          <w:rFonts w:ascii="David" w:hAnsi="David" w:hint="cs"/>
          <w:noProof w:val="0"/>
          <w:rtl/>
        </w:rPr>
        <w:t xml:space="preserve">. בשים לב כי לצדדים ניתנה האפשרות להגשת התייחסותם לעמדת הממונה איני מוצאת מקום להתיר את הגשת </w:t>
      </w:r>
      <w:r w:rsidR="00FF13F3" w:rsidRPr="007C6A77">
        <w:rPr>
          <w:rFonts w:ascii="David" w:hAnsi="David" w:hint="cs"/>
          <w:noProof w:val="0"/>
          <w:rtl/>
        </w:rPr>
        <w:t>השלמת הטיעון מטעם המערערת</w:t>
      </w:r>
      <w:r w:rsidR="00730976" w:rsidRPr="007C6A77">
        <w:rPr>
          <w:rFonts w:ascii="David" w:hAnsi="David" w:hint="cs"/>
          <w:noProof w:val="0"/>
          <w:rtl/>
        </w:rPr>
        <w:t xml:space="preserve">. </w:t>
      </w:r>
    </w:p>
    <w:p w:rsidR="004D5C30" w:rsidRPr="00730976" w:rsidRDefault="004D5C30" w:rsidP="00730976">
      <w:pPr>
        <w:spacing w:before="240" w:after="240" w:line="360" w:lineRule="auto"/>
        <w:jc w:val="both"/>
        <w:rPr>
          <w:rFonts w:ascii="David" w:hAnsi="David"/>
          <w:b/>
          <w:bCs/>
          <w:noProof w:val="0"/>
        </w:rPr>
      </w:pPr>
      <w:r w:rsidRPr="00730976">
        <w:rPr>
          <w:rFonts w:ascii="David" w:hAnsi="David"/>
          <w:b/>
          <w:bCs/>
          <w:rtl/>
        </w:rPr>
        <w:t xml:space="preserve">דיון והכרעה </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לאחר עיון בטענות הצדדים כמו גם בעמדת הממונה, אציע לחברי לדחות את הערעור. זאת כמפורט להלן. </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סעיף 45(א) לחוק קובע : "</w:t>
      </w:r>
      <w:r>
        <w:rPr>
          <w:rFonts w:ascii="David" w:hAnsi="David"/>
          <w:b/>
          <w:bCs/>
          <w:noProof w:val="0"/>
          <w:rtl/>
        </w:rPr>
        <w:t>המבוטח רשאי בכל עת לבטל את החוזה בהודעה בכתב למבטח</w:t>
      </w:r>
      <w:r>
        <w:rPr>
          <w:rFonts w:ascii="David" w:hAnsi="David"/>
          <w:noProof w:val="0"/>
          <w:rtl/>
        </w:rPr>
        <w:t>".</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המחלוקת העיקרית בין הצדדים היא בשאלת דרישת הכתב הקבועה בסעיף 45(א) לחוק, האם המדובר בדרישת כתב מהותית, אשר בלעדיה הביטול אינו משתכלל, כטענת המערערת, או שמא המדובר בדרישה ראייתית כטענת המשיבה, שאז אין מניעה לקבל את ביטול הפוליסות שנעשה בשיחות המוקלטות שנערכו עם המנוח. </w:t>
      </w:r>
    </w:p>
    <w:p w:rsidR="004D5C30" w:rsidRDefault="004D5C30" w:rsidP="004D5C30">
      <w:pPr>
        <w:pStyle w:val="ad"/>
        <w:numPr>
          <w:ilvl w:val="0"/>
          <w:numId w:val="1"/>
        </w:numPr>
        <w:spacing w:before="240" w:after="240" w:line="360" w:lineRule="auto"/>
        <w:contextualSpacing w:val="0"/>
        <w:jc w:val="both"/>
        <w:rPr>
          <w:rFonts w:ascii="David" w:hAnsi="David"/>
          <w:noProof w:val="0"/>
        </w:rPr>
      </w:pPr>
      <w:r>
        <w:rPr>
          <w:rFonts w:ascii="David" w:hAnsi="David"/>
          <w:noProof w:val="0"/>
          <w:rtl/>
        </w:rPr>
        <w:lastRenderedPageBreak/>
        <w:t xml:space="preserve">במחלוקת זאת, יש לאמץ את עמדתו המנומקת של בית משפט השלום, כפי שבאה לידי ביטוי גם בעמדת הממונה, ולפיה המדובר בדרישה ראייתית. </w:t>
      </w:r>
    </w:p>
    <w:p w:rsidR="004D5C30" w:rsidRDefault="004D5C30" w:rsidP="00253F2D">
      <w:pPr>
        <w:pStyle w:val="ad"/>
        <w:numPr>
          <w:ilvl w:val="0"/>
          <w:numId w:val="1"/>
        </w:numPr>
        <w:spacing w:before="240" w:after="240" w:line="360" w:lineRule="auto"/>
        <w:contextualSpacing w:val="0"/>
        <w:jc w:val="both"/>
        <w:rPr>
          <w:rFonts w:ascii="David" w:hAnsi="David"/>
          <w:noProof w:val="0"/>
        </w:rPr>
      </w:pPr>
      <w:r>
        <w:rPr>
          <w:rFonts w:ascii="David" w:hAnsi="David"/>
          <w:noProof w:val="0"/>
          <w:rtl/>
        </w:rPr>
        <w:t>דרישת הכתב הקבועה בסעיף 45 היא בראש ובראשונה הגנה על מבוטח</w:t>
      </w:r>
      <w:r w:rsidR="00253F2D">
        <w:rPr>
          <w:rFonts w:ascii="David" w:hAnsi="David" w:hint="cs"/>
          <w:noProof w:val="0"/>
          <w:rtl/>
        </w:rPr>
        <w:t>.</w:t>
      </w:r>
      <w:r>
        <w:rPr>
          <w:rFonts w:ascii="David" w:hAnsi="David"/>
          <w:noProof w:val="0"/>
          <w:rtl/>
        </w:rPr>
        <w:t xml:space="preserve"> מדובר באמצעי ביטחון עבור מבוטח הנועד למניעת מצבים של ביטול הפוליסה ללא אישורו. לטעמי אין לעמוד על דרישת הכתב מקום בו ברור </w:t>
      </w:r>
      <w:r w:rsidR="00253F2D">
        <w:rPr>
          <w:rFonts w:ascii="David" w:hAnsi="David" w:hint="cs"/>
          <w:noProof w:val="0"/>
          <w:rtl/>
        </w:rPr>
        <w:t>ש</w:t>
      </w:r>
      <w:r>
        <w:rPr>
          <w:rFonts w:ascii="David" w:hAnsi="David"/>
          <w:noProof w:val="0"/>
          <w:rtl/>
        </w:rPr>
        <w:t>המבוטח עומד על ביטול הפוליסה</w:t>
      </w:r>
      <w:r w:rsidR="00F63BA2">
        <w:rPr>
          <w:rFonts w:ascii="David" w:hAnsi="David" w:hint="cs"/>
          <w:noProof w:val="0"/>
          <w:rtl/>
        </w:rPr>
        <w:t xml:space="preserve"> וקיים תיעוד לכך</w:t>
      </w:r>
      <w:r>
        <w:rPr>
          <w:rFonts w:ascii="David" w:hAnsi="David"/>
          <w:noProof w:val="0"/>
          <w:rtl/>
        </w:rPr>
        <w:t xml:space="preserve">, כבמקרה הנדון. </w:t>
      </w:r>
    </w:p>
    <w:p w:rsidR="004D5C30" w:rsidRDefault="004D5C30" w:rsidP="00F63BA2">
      <w:pPr>
        <w:pStyle w:val="ad"/>
        <w:numPr>
          <w:ilvl w:val="0"/>
          <w:numId w:val="1"/>
        </w:numPr>
        <w:spacing w:before="240" w:after="240" w:line="360" w:lineRule="auto"/>
        <w:contextualSpacing w:val="0"/>
        <w:jc w:val="both"/>
        <w:rPr>
          <w:rFonts w:ascii="David" w:hAnsi="David"/>
          <w:noProof w:val="0"/>
        </w:rPr>
      </w:pPr>
      <w:r>
        <w:rPr>
          <w:rFonts w:ascii="David" w:hAnsi="David"/>
          <w:noProof w:val="0"/>
          <w:rtl/>
        </w:rPr>
        <w:t>כפי שצוין בחוות דעתו של הממונה ישנו קושי להתחקות אחר התכלית הסובייקטיבית של סעיף 45 לחוק, וזאת נוכח העדר התייחסות מפורשת בדברי ההסבר לחוק ובדיוני הכנסת, ונוכח העמדות השונות שנקטו מדינות אחר</w:t>
      </w:r>
      <w:r w:rsidR="00253F2D">
        <w:rPr>
          <w:rFonts w:ascii="David" w:hAnsi="David" w:hint="cs"/>
          <w:noProof w:val="0"/>
          <w:rtl/>
        </w:rPr>
        <w:t>ו</w:t>
      </w:r>
      <w:r>
        <w:rPr>
          <w:rFonts w:ascii="David" w:hAnsi="David"/>
          <w:noProof w:val="0"/>
          <w:rtl/>
        </w:rPr>
        <w:t xml:space="preserve">ת בנושא, עליהן התבססה הצעת חוק הביטוח. יחד עם זאת, ולטעמי נוכח מטרתו של החוק בכללותו, כמפורט להלן, יש לקבוע </w:t>
      </w:r>
      <w:r w:rsidR="00A5383C">
        <w:rPr>
          <w:rFonts w:ascii="David" w:hAnsi="David" w:hint="cs"/>
          <w:noProof w:val="0"/>
          <w:rtl/>
        </w:rPr>
        <w:t>שב</w:t>
      </w:r>
      <w:r>
        <w:rPr>
          <w:rFonts w:ascii="David" w:hAnsi="David"/>
          <w:noProof w:val="0"/>
          <w:rtl/>
        </w:rPr>
        <w:t>נסיבות העניין</w:t>
      </w:r>
      <w:r w:rsidR="00A5383C">
        <w:rPr>
          <w:rFonts w:ascii="David" w:hAnsi="David" w:hint="cs"/>
          <w:noProof w:val="0"/>
          <w:rtl/>
        </w:rPr>
        <w:t xml:space="preserve"> יש </w:t>
      </w:r>
      <w:r w:rsidR="00F63BA2">
        <w:rPr>
          <w:rFonts w:ascii="David" w:hAnsi="David" w:hint="cs"/>
          <w:noProof w:val="0"/>
          <w:rtl/>
        </w:rPr>
        <w:t xml:space="preserve">בכך </w:t>
      </w:r>
      <w:r w:rsidR="00A5383C">
        <w:rPr>
          <w:rFonts w:ascii="David" w:hAnsi="David" w:hint="cs"/>
          <w:noProof w:val="0"/>
          <w:rtl/>
        </w:rPr>
        <w:t>די</w:t>
      </w:r>
      <w:r>
        <w:rPr>
          <w:rFonts w:ascii="David" w:hAnsi="David"/>
          <w:noProof w:val="0"/>
          <w:rtl/>
        </w:rPr>
        <w:t xml:space="preserve"> כדי לקבל את ביטול ההסכם גם באמצעות </w:t>
      </w:r>
      <w:r w:rsidR="00F63BA2">
        <w:rPr>
          <w:rFonts w:ascii="David" w:hAnsi="David" w:hint="cs"/>
          <w:noProof w:val="0"/>
          <w:rtl/>
        </w:rPr>
        <w:t>השיחות עם המנוח שהוקלטו.</w:t>
      </w:r>
    </w:p>
    <w:p w:rsidR="004D5C30" w:rsidRDefault="004D5C30" w:rsidP="004D5C30">
      <w:pPr>
        <w:pStyle w:val="ad"/>
        <w:numPr>
          <w:ilvl w:val="0"/>
          <w:numId w:val="1"/>
        </w:numPr>
        <w:spacing w:before="240" w:after="240" w:line="360" w:lineRule="auto"/>
        <w:contextualSpacing w:val="0"/>
        <w:jc w:val="both"/>
        <w:rPr>
          <w:rFonts w:ascii="David" w:hAnsi="David"/>
          <w:noProof w:val="0"/>
        </w:rPr>
      </w:pPr>
      <w:r>
        <w:rPr>
          <w:rFonts w:ascii="David" w:hAnsi="David"/>
          <w:noProof w:val="0"/>
          <w:rtl/>
        </w:rPr>
        <w:t xml:space="preserve">חוק חוזה הביטוח הוא חוק צרכני, אשר מטרתו להגן בעיקר על המבוטח מול המבטח הנהנה מיתרון כלכלי ומקצועי גדול (ראו  ע"א 1809/95 </w:t>
      </w:r>
      <w:r>
        <w:rPr>
          <w:rFonts w:ascii="David" w:hAnsi="David"/>
          <w:b/>
          <w:bCs/>
          <w:noProof w:val="0"/>
          <w:rtl/>
        </w:rPr>
        <w:t>הלמן נ' לה נסיונאל חברה לביטוח בע"מ</w:t>
      </w:r>
      <w:r>
        <w:rPr>
          <w:rFonts w:ascii="David" w:hAnsi="David"/>
          <w:noProof w:val="0"/>
          <w:rtl/>
        </w:rPr>
        <w:t xml:space="preserve">, פ"ד נ(3) 77, 82 (1996); ע"א 1530/02 </w:t>
      </w:r>
      <w:r>
        <w:rPr>
          <w:rFonts w:ascii="David" w:hAnsi="David"/>
          <w:b/>
          <w:bCs/>
          <w:noProof w:val="0"/>
          <w:rtl/>
        </w:rPr>
        <w:t>מנורה חברה לביטוח בע"מ  נ' יובלים אגודה שיתופית</w:t>
      </w:r>
      <w:r>
        <w:rPr>
          <w:rFonts w:ascii="David" w:hAnsi="David"/>
          <w:noProof w:val="0"/>
          <w:rtl/>
        </w:rPr>
        <w:t>, פ"ד נח(6) 822, 834 (2004)).</w:t>
      </w:r>
    </w:p>
    <w:p w:rsidR="004D5C30" w:rsidRDefault="004D5C30" w:rsidP="00F63BA2">
      <w:pPr>
        <w:pStyle w:val="ad"/>
        <w:numPr>
          <w:ilvl w:val="0"/>
          <w:numId w:val="1"/>
        </w:numPr>
        <w:spacing w:before="240" w:after="240" w:line="360" w:lineRule="auto"/>
        <w:contextualSpacing w:val="0"/>
        <w:jc w:val="both"/>
        <w:rPr>
          <w:rFonts w:ascii="David" w:hAnsi="David"/>
        </w:rPr>
      </w:pPr>
      <w:r>
        <w:rPr>
          <w:rFonts w:ascii="David" w:hAnsi="David"/>
          <w:rtl/>
        </w:rPr>
        <w:lastRenderedPageBreak/>
        <w:t>בפסק הדין ע"א 10611/03 </w:t>
      </w:r>
      <w:r>
        <w:rPr>
          <w:rFonts w:ascii="David" w:hAnsi="David"/>
          <w:b/>
          <w:bCs/>
          <w:rtl/>
        </w:rPr>
        <w:t>מגדל חברה לביטוח בע"מ נ' הארגון למימוש האמנה על ביטחון סוציאלי</w:t>
      </w:r>
      <w:r>
        <w:rPr>
          <w:rFonts w:ascii="David" w:hAnsi="David"/>
          <w:rtl/>
        </w:rPr>
        <w:t xml:space="preserve"> (11.12.</w:t>
      </w:r>
      <w:r w:rsidR="00F63BA2">
        <w:rPr>
          <w:rFonts w:ascii="David" w:hAnsi="David" w:hint="cs"/>
          <w:rtl/>
        </w:rPr>
        <w:t xml:space="preserve">2006) </w:t>
      </w:r>
      <w:r>
        <w:rPr>
          <w:rFonts w:ascii="David" w:hAnsi="David"/>
          <w:rtl/>
        </w:rPr>
        <w:t xml:space="preserve"> </w:t>
      </w:r>
      <w:r w:rsidR="00F63BA2">
        <w:rPr>
          <w:rFonts w:ascii="David" w:hAnsi="David" w:hint="cs"/>
          <w:rtl/>
        </w:rPr>
        <w:t>(</w:t>
      </w:r>
      <w:r>
        <w:rPr>
          <w:rFonts w:ascii="David" w:hAnsi="David"/>
          <w:rtl/>
        </w:rPr>
        <w:t xml:space="preserve">להלן: </w:t>
      </w:r>
      <w:r>
        <w:rPr>
          <w:rFonts w:ascii="David" w:hAnsi="David"/>
          <w:b/>
          <w:bCs/>
          <w:rtl/>
        </w:rPr>
        <w:t>פסק דין מגדל</w:t>
      </w:r>
      <w:r>
        <w:rPr>
          <w:rFonts w:ascii="David" w:hAnsi="David"/>
        </w:rPr>
        <w:t>(</w:t>
      </w:r>
      <w:r>
        <w:rPr>
          <w:rFonts w:ascii="David" w:hAnsi="David"/>
          <w:rtl/>
        </w:rPr>
        <w:t xml:space="preserve"> התייחס בית המשפט למטרתו של סעיף 45 לחוק:  </w:t>
      </w:r>
    </w:p>
    <w:p w:rsidR="004D5C30" w:rsidRDefault="004D5C30" w:rsidP="004D5C30">
      <w:pPr>
        <w:spacing w:before="240" w:after="240" w:line="360" w:lineRule="auto"/>
        <w:ind w:left="357"/>
        <w:jc w:val="both"/>
        <w:rPr>
          <w:rFonts w:ascii="David" w:hAnsi="David"/>
        </w:rPr>
      </w:pPr>
      <w:r>
        <w:rPr>
          <w:rFonts w:ascii="David" w:hAnsi="David"/>
          <w:b/>
          <w:bCs/>
          <w:rtl/>
        </w:rPr>
        <w:t xml:space="preserve">"קיומה של ההוראה אשר בסעיף 45(א) לחוק נעוץ בכך שחוזה ביטוח חיים הינו, על פי רוב, חוזה לטווח ארוך המחייב את המבוטח לשלם דמי ביטוח במשך תקופה ארוכה. </w:t>
      </w:r>
      <w:r>
        <w:rPr>
          <w:rFonts w:ascii="David" w:hAnsi="David"/>
          <w:b/>
          <w:bCs/>
          <w:u w:val="single"/>
          <w:rtl/>
        </w:rPr>
        <w:t>תכליתה העיקרית של זכות הביטול הינה לאיין את ההכבדה אשר עשויה הייתה להיגרם למבוטח כתוצאה מעובדה זו</w:t>
      </w:r>
      <w:r>
        <w:rPr>
          <w:rFonts w:ascii="David" w:hAnsi="David"/>
          <w:b/>
          <w:bCs/>
          <w:rtl/>
        </w:rPr>
        <w:t xml:space="preserve"> (ראו, הצעת חוק הביטוח, תשל"ו-1975, ה"ח  1209, עמ' 31; ידין, עמ' 121-120; עוד ראו, י' אליאס, דיני ביטוח - כרך א' (להלן - אליאס א'), עמ' 368 (הערת שוליים 67)). ברי אם כן, </w:t>
      </w:r>
      <w:r>
        <w:rPr>
          <w:rFonts w:ascii="David" w:hAnsi="David"/>
          <w:b/>
          <w:bCs/>
          <w:u w:val="single"/>
          <w:rtl/>
        </w:rPr>
        <w:t>כי ההוראה האמורה, כמו הוראות אחרות הכלולות בחוק, נועדה להגן על האינטרס של המבוטח מפני כוחו של המבטח</w:t>
      </w:r>
      <w:r>
        <w:rPr>
          <w:rFonts w:ascii="David" w:hAnsi="David"/>
          <w:b/>
          <w:bCs/>
          <w:rtl/>
        </w:rPr>
        <w:t>"</w:t>
      </w:r>
      <w:r>
        <w:rPr>
          <w:rFonts w:ascii="David" w:hAnsi="David"/>
          <w:rtl/>
        </w:rPr>
        <w:t xml:space="preserve">. (סעיף 11 לפסק הדין). </w:t>
      </w:r>
    </w:p>
    <w:p w:rsidR="004D5C30" w:rsidRDefault="004D5C30" w:rsidP="00746F95">
      <w:pPr>
        <w:pStyle w:val="ad"/>
        <w:numPr>
          <w:ilvl w:val="0"/>
          <w:numId w:val="1"/>
        </w:numPr>
        <w:spacing w:before="240" w:after="240" w:line="360" w:lineRule="auto"/>
        <w:contextualSpacing w:val="0"/>
        <w:jc w:val="both"/>
        <w:rPr>
          <w:rFonts w:ascii="David" w:hAnsi="David"/>
          <w:noProof w:val="0"/>
        </w:rPr>
      </w:pPr>
      <w:r>
        <w:rPr>
          <w:rFonts w:ascii="David" w:hAnsi="David"/>
          <w:noProof w:val="0"/>
          <w:rtl/>
        </w:rPr>
        <w:t xml:space="preserve">וראו גם בספרו של אליאס, בעמודים 778-779, באשר לאפשרותו של מבוטח לבטל את פוליסת הביטוח בהתאם לסעיף 45 לחוק: </w:t>
      </w:r>
    </w:p>
    <w:p w:rsidR="004D5C30" w:rsidRDefault="004D5C30" w:rsidP="004D5C30">
      <w:pPr>
        <w:pStyle w:val="ad"/>
        <w:spacing w:before="240" w:after="240" w:line="360" w:lineRule="auto"/>
        <w:ind w:left="360"/>
        <w:contextualSpacing w:val="0"/>
        <w:jc w:val="both"/>
        <w:rPr>
          <w:rFonts w:ascii="David" w:hAnsi="David"/>
          <w:noProof w:val="0"/>
        </w:rPr>
      </w:pPr>
      <w:r>
        <w:rPr>
          <w:rFonts w:ascii="David" w:hAnsi="David"/>
          <w:b/>
          <w:bCs/>
          <w:noProof w:val="0"/>
          <w:rtl/>
        </w:rPr>
        <w:t xml:space="preserve">"סעיף 45(א) לחוק חוזה הביטוח מקנה למבוטח זכות קוגנטית לבטל את חוזה הביטוח בכל עת שהיא לפני תום תקופת הביטוח, לפי שיקול דעתו. התערבות פטרנליסטית זו של המחוקק מבטאת את ייחודו של ביטוח החיים כחוזה ארוך טווח, ומגשימה את הצורך הקבוע והמתמשך להתאימו לנסיבות משתנות. כך למשל, התחרות הגוברת בשוק ביטוח החיים במהלך העשור האחרון מזמנת לעתים למבוטחים אפשרות להחליף את הפוליסה שברשותם בפוליסה אחרת או במכשיר פיננסי אחר (כגון קרן פנסיה </w:t>
      </w:r>
      <w:r>
        <w:rPr>
          <w:rFonts w:ascii="David" w:hAnsi="David"/>
          <w:b/>
          <w:bCs/>
          <w:noProof w:val="0"/>
          <w:rtl/>
        </w:rPr>
        <w:lastRenderedPageBreak/>
        <w:t xml:space="preserve">או קופת גמל) שמחירם נמוך יותר ותנאיהם טובים יותר. מובן כי אלמלא ניתנה למבוטח זכות לבטל את החוזה, הוא היה נותר במקרים מסוימים כבול לפוליסה שתנאיה נחותים. כבילה מעין זו עשויה הייתה להכביד על המבוטח גם במקרים שבהם הוא ניצב בפני קושי ממשי להמשיך ולשלם את דמי הביטוח או במקרים שבהם הוא שינה את העדפותיו במידה כזו שאין הוא מעוניין עוד בביטוח חיים. </w:t>
      </w:r>
      <w:r>
        <w:rPr>
          <w:rFonts w:ascii="David" w:hAnsi="David"/>
          <w:b/>
          <w:bCs/>
          <w:noProof w:val="0"/>
          <w:u w:val="single"/>
          <w:rtl/>
        </w:rPr>
        <w:t>תכליתה העיקרית של זכות הביטול הינה אפוא "לאיין את ההכבדה" אשר עשויה הייתה להיגרם למבוטח נוכח היותו של החוזה לביטוח חיים חוזה ארוך טווח המחייב אותו לשלם דמי ביטוח במשך תקופה ארוכה. ברי אם כן, כי הוראת סעיף 45(א), כמו הוראות אחרות הכלולות בחוק חוזה הביטוח, נועדה להגן על האינטרס של המבוטח</w:t>
      </w:r>
      <w:r>
        <w:rPr>
          <w:rFonts w:ascii="David" w:hAnsi="David"/>
          <w:b/>
          <w:bCs/>
          <w:noProof w:val="0"/>
          <w:rtl/>
        </w:rPr>
        <w:t xml:space="preserve">." </w:t>
      </w:r>
      <w:r>
        <w:rPr>
          <w:rFonts w:ascii="David" w:hAnsi="David"/>
          <w:noProof w:val="0"/>
          <w:rtl/>
        </w:rPr>
        <w:t>(ההדגשה הוספה – ע' ר').</w:t>
      </w:r>
    </w:p>
    <w:p w:rsidR="004D5C30" w:rsidRDefault="004D5C30" w:rsidP="00A5383C">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מטרת החוק היא אם כן, להגן על האינטרס של המבוטח, וכדבריו של המלומד אליאס "לאיין את ההכבדה" למבוטח המחויב להסכם ביטוח ארוך טווח. האם משמעות איון ההכבדה היא </w:t>
      </w:r>
      <w:r w:rsidR="0093723E">
        <w:rPr>
          <w:rFonts w:ascii="David" w:hAnsi="David" w:hint="cs"/>
          <w:noProof w:val="0"/>
          <w:rtl/>
        </w:rPr>
        <w:t>לקב</w:t>
      </w:r>
      <w:r w:rsidR="00A5383C">
        <w:rPr>
          <w:rFonts w:ascii="David" w:hAnsi="David" w:hint="cs"/>
          <w:noProof w:val="0"/>
          <w:rtl/>
        </w:rPr>
        <w:t>ו</w:t>
      </w:r>
      <w:r w:rsidR="0093723E">
        <w:rPr>
          <w:rFonts w:ascii="David" w:hAnsi="David" w:hint="cs"/>
          <w:noProof w:val="0"/>
          <w:rtl/>
        </w:rPr>
        <w:t xml:space="preserve">ע שגם </w:t>
      </w:r>
      <w:r>
        <w:rPr>
          <w:rFonts w:ascii="David" w:hAnsi="David"/>
          <w:noProof w:val="0"/>
          <w:rtl/>
        </w:rPr>
        <w:t xml:space="preserve">בנסיבות בהן הוכח בוודאות כי המבוטח ביקש לבטל את </w:t>
      </w:r>
      <w:r w:rsidR="00A5383C">
        <w:rPr>
          <w:rFonts w:ascii="David" w:hAnsi="David" w:hint="cs"/>
          <w:noProof w:val="0"/>
          <w:rtl/>
        </w:rPr>
        <w:t>ה</w:t>
      </w:r>
      <w:r>
        <w:rPr>
          <w:rFonts w:ascii="David" w:hAnsi="David"/>
          <w:noProof w:val="0"/>
          <w:rtl/>
        </w:rPr>
        <w:t>פוליס</w:t>
      </w:r>
      <w:r w:rsidR="00A5383C">
        <w:rPr>
          <w:rFonts w:ascii="David" w:hAnsi="David" w:hint="cs"/>
          <w:noProof w:val="0"/>
          <w:rtl/>
        </w:rPr>
        <w:t>ה,</w:t>
      </w:r>
      <w:r>
        <w:rPr>
          <w:rFonts w:ascii="David" w:hAnsi="David"/>
          <w:noProof w:val="0"/>
          <w:rtl/>
        </w:rPr>
        <w:t xml:space="preserve"> הביטוח אינו בטל והוא ממשיך לעמוד בתוק</w:t>
      </w:r>
      <w:r w:rsidR="00A5383C">
        <w:rPr>
          <w:rFonts w:ascii="David" w:hAnsi="David" w:hint="cs"/>
          <w:noProof w:val="0"/>
          <w:rtl/>
        </w:rPr>
        <w:t>פו</w:t>
      </w:r>
      <w:r>
        <w:rPr>
          <w:rFonts w:ascii="David" w:hAnsi="David"/>
          <w:noProof w:val="0"/>
          <w:rtl/>
        </w:rPr>
        <w:t xml:space="preserve"> עד אשר ישלח המבוטח הודעת ביטול בכתב?  משמע, </w:t>
      </w:r>
      <w:r w:rsidR="00746F95">
        <w:rPr>
          <w:rFonts w:ascii="David" w:hAnsi="David" w:hint="cs"/>
          <w:noProof w:val="0"/>
          <w:rtl/>
        </w:rPr>
        <w:t>ש</w:t>
      </w:r>
      <w:r>
        <w:rPr>
          <w:rFonts w:ascii="David" w:hAnsi="David"/>
          <w:noProof w:val="0"/>
          <w:rtl/>
        </w:rPr>
        <w:t xml:space="preserve">על אף רצונו הברור והחד משמעי של המבוטח </w:t>
      </w:r>
      <w:r w:rsidR="00746F95">
        <w:rPr>
          <w:rFonts w:ascii="David" w:hAnsi="David" w:hint="cs"/>
          <w:noProof w:val="0"/>
          <w:rtl/>
        </w:rPr>
        <w:t xml:space="preserve">בדבר </w:t>
      </w:r>
      <w:r>
        <w:rPr>
          <w:rFonts w:ascii="David" w:hAnsi="David"/>
          <w:noProof w:val="0"/>
          <w:rtl/>
        </w:rPr>
        <w:t xml:space="preserve">רצונו לבטל את הפוליסה יש להמשיך ולחייבו לשלם לחברת הביטוח וזאת עד שלא יודיע בכתב על ביטול הפוליסה? על כך לטעמי יש להשיב בשלילה. </w:t>
      </w:r>
    </w:p>
    <w:p w:rsidR="004D5C30" w:rsidRDefault="004D5C30" w:rsidP="00FB6272">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lastRenderedPageBreak/>
        <w:t xml:space="preserve">לעניין האמור, הביע הממונה את דעתו, </w:t>
      </w:r>
      <w:r w:rsidR="00FB6272">
        <w:rPr>
          <w:rFonts w:ascii="David" w:hAnsi="David" w:hint="cs"/>
          <w:noProof w:val="0"/>
          <w:rtl/>
        </w:rPr>
        <w:t>ש</w:t>
      </w:r>
      <w:r>
        <w:rPr>
          <w:rFonts w:ascii="David" w:hAnsi="David"/>
          <w:noProof w:val="0"/>
          <w:rtl/>
        </w:rPr>
        <w:t xml:space="preserve">אם פעולת הביטול עמדה במבחנים </w:t>
      </w:r>
      <w:r w:rsidR="00FB6272">
        <w:rPr>
          <w:rFonts w:ascii="David" w:hAnsi="David" w:hint="cs"/>
          <w:noProof w:val="0"/>
          <w:rtl/>
        </w:rPr>
        <w:t>ה</w:t>
      </w:r>
      <w:r>
        <w:rPr>
          <w:rFonts w:ascii="David" w:hAnsi="David"/>
          <w:noProof w:val="0"/>
          <w:rtl/>
        </w:rPr>
        <w:t>סובייקטיביים והאובייקטיביים, מהם ניתן ללמוד</w:t>
      </w:r>
      <w:r w:rsidR="00FB6272">
        <w:rPr>
          <w:rFonts w:ascii="David" w:hAnsi="David" w:hint="cs"/>
          <w:noProof w:val="0"/>
          <w:rtl/>
        </w:rPr>
        <w:t>,</w:t>
      </w:r>
      <w:r>
        <w:rPr>
          <w:rFonts w:ascii="David" w:hAnsi="David"/>
          <w:noProof w:val="0"/>
          <w:rtl/>
        </w:rPr>
        <w:t xml:space="preserve"> </w:t>
      </w:r>
      <w:r w:rsidR="00FB6272">
        <w:rPr>
          <w:rFonts w:ascii="David" w:hAnsi="David" w:hint="cs"/>
          <w:noProof w:val="0"/>
          <w:rtl/>
        </w:rPr>
        <w:t>ש</w:t>
      </w:r>
      <w:r>
        <w:rPr>
          <w:rFonts w:ascii="David" w:hAnsi="David"/>
          <w:noProof w:val="0"/>
          <w:rtl/>
        </w:rPr>
        <w:t xml:space="preserve">המבוטח הסכים לביטול והבין את השלכותיו, </w:t>
      </w:r>
      <w:r w:rsidR="00FB6272">
        <w:rPr>
          <w:rFonts w:ascii="David" w:hAnsi="David" w:hint="cs"/>
          <w:noProof w:val="0"/>
          <w:rtl/>
        </w:rPr>
        <w:t xml:space="preserve">הרי </w:t>
      </w:r>
      <w:r>
        <w:rPr>
          <w:rFonts w:ascii="David" w:hAnsi="David"/>
          <w:noProof w:val="0"/>
          <w:rtl/>
        </w:rPr>
        <w:t>עמידה דווקנית על ביטול באמצעות פניה בכתב עשויה להביא לפגיעה בציבור המבוטחים</w:t>
      </w:r>
      <w:r w:rsidR="00FB6272">
        <w:rPr>
          <w:rFonts w:ascii="David" w:hAnsi="David" w:hint="cs"/>
          <w:noProof w:val="0"/>
          <w:rtl/>
        </w:rPr>
        <w:t>, שכן</w:t>
      </w:r>
      <w:r>
        <w:rPr>
          <w:rFonts w:ascii="David" w:hAnsi="David"/>
          <w:noProof w:val="0"/>
          <w:rtl/>
        </w:rPr>
        <w:t xml:space="preserve"> חברת הביטוח תסרב לבטל את הפוליסה ותמשיך לגבות פרמיות עד להגשת בקשה בכתב מטעם המובטח בדואר רשום או באמצעים טכנולוגיים אחרים. דרישה ז</w:t>
      </w:r>
      <w:r w:rsidR="00FB6272">
        <w:rPr>
          <w:rFonts w:ascii="David" w:hAnsi="David" w:hint="cs"/>
          <w:noProof w:val="0"/>
          <w:rtl/>
        </w:rPr>
        <w:t>ו</w:t>
      </w:r>
      <w:r>
        <w:rPr>
          <w:rFonts w:ascii="David" w:hAnsi="David"/>
          <w:noProof w:val="0"/>
          <w:rtl/>
        </w:rPr>
        <w:t xml:space="preserve"> עשויה להכביד על אוכלוסיות חלשות. לעניין זה מפנה המפקח על הביטוח לחוזר ביטול פוליסת ביטוח המציין את הצורך בקביעת מגוון אופנים לביטול פוליסות על ידי מבוטחים, מבלי לגרוע מחובת הכתב</w:t>
      </w:r>
      <w:r w:rsidR="00FB6272">
        <w:rPr>
          <w:rFonts w:ascii="David" w:hAnsi="David" w:hint="cs"/>
          <w:noProof w:val="0"/>
          <w:rtl/>
        </w:rPr>
        <w:t>,</w:t>
      </w:r>
      <w:r>
        <w:rPr>
          <w:rFonts w:ascii="David" w:hAnsi="David"/>
          <w:noProof w:val="0"/>
          <w:rtl/>
        </w:rPr>
        <w:t xml:space="preserve"> ככל שקיימת, ואשר מטרתו לפשט ולהנגיש למבוטח את פעולת ביטול הפוליסה.</w:t>
      </w:r>
    </w:p>
    <w:p w:rsidR="004D5C30" w:rsidRDefault="004D5C30" w:rsidP="00FB6272">
      <w:pPr>
        <w:pStyle w:val="ad"/>
        <w:numPr>
          <w:ilvl w:val="0"/>
          <w:numId w:val="1"/>
        </w:numPr>
        <w:spacing w:before="240" w:after="240" w:line="360" w:lineRule="auto"/>
        <w:contextualSpacing w:val="0"/>
        <w:jc w:val="both"/>
        <w:rPr>
          <w:rFonts w:ascii="David" w:hAnsi="David"/>
          <w:noProof w:val="0"/>
        </w:rPr>
      </w:pPr>
      <w:r>
        <w:rPr>
          <w:rFonts w:ascii="David" w:hAnsi="David"/>
          <w:noProof w:val="0"/>
          <w:rtl/>
        </w:rPr>
        <w:t>ביטוי לגישה זאת ניתן למצוא אף בחוזר הביטוח מס' 2017-1-3 מיום 1.2.2017, המאפשר ביטול פוליסה גם באמצעות פניה טלפונית למוקד השירות של המבטח</w:t>
      </w:r>
      <w:r w:rsidR="00FB6272">
        <w:rPr>
          <w:rFonts w:ascii="David" w:hAnsi="David" w:hint="cs"/>
          <w:noProof w:val="0"/>
          <w:rtl/>
        </w:rPr>
        <w:t>,</w:t>
      </w:r>
      <w:r>
        <w:rPr>
          <w:rFonts w:ascii="David" w:hAnsi="David"/>
          <w:noProof w:val="0"/>
          <w:rtl/>
        </w:rPr>
        <w:t xml:space="preserve"> תוך עמידה על הכללים שנקבעו בחוזר. אומנם חוזר זה לא חל על מקרה הביטוח מושא ההליך (שכן האירועים מושא ההליך הם משנת 2014), אך יש בו כדי ללמד על השינוי בכל הנוגע לדרישת הכתב ותכליתה הראייתית, בביטול חוזה ביטוח.</w:t>
      </w:r>
    </w:p>
    <w:p w:rsidR="004D5C30" w:rsidRDefault="004D5C30" w:rsidP="004D5C30">
      <w:pPr>
        <w:pStyle w:val="ad"/>
        <w:numPr>
          <w:ilvl w:val="0"/>
          <w:numId w:val="1"/>
        </w:numPr>
        <w:spacing w:before="240" w:after="240" w:line="360" w:lineRule="auto"/>
        <w:contextualSpacing w:val="0"/>
        <w:jc w:val="both"/>
        <w:rPr>
          <w:rFonts w:ascii="David" w:hAnsi="David"/>
          <w:noProof w:val="0"/>
        </w:rPr>
      </w:pPr>
      <w:r>
        <w:rPr>
          <w:rFonts w:ascii="David" w:hAnsi="David"/>
          <w:noProof w:val="0"/>
          <w:rtl/>
        </w:rPr>
        <w:t>על האפשרות להתנות על דרישת הכתב כל עוד הדבר נעשה לטובת המבוטח ניתן ללמוד גם מסעיף</w:t>
      </w:r>
      <w:r>
        <w:rPr>
          <w:rFonts w:ascii="David" w:hAnsi="David"/>
          <w:rtl/>
        </w:rPr>
        <w:t xml:space="preserve"> 52(ב) לחוק האוסר להתנות על סעיף 45 לחוק, כמו גם על הוראות נוספות, "</w:t>
      </w:r>
      <w:r>
        <w:rPr>
          <w:rFonts w:ascii="David" w:hAnsi="David"/>
          <w:b/>
          <w:bCs/>
          <w:rtl/>
        </w:rPr>
        <w:t>אלא לטובת המבוטח או המוטב</w:t>
      </w:r>
      <w:r>
        <w:rPr>
          <w:rFonts w:ascii="David" w:hAnsi="David"/>
          <w:rtl/>
        </w:rPr>
        <w:t>"</w:t>
      </w:r>
      <w:r>
        <w:rPr>
          <w:rFonts w:ascii="David" w:hAnsi="David"/>
          <w:noProof w:val="0"/>
          <w:rtl/>
        </w:rPr>
        <w:t xml:space="preserve">. </w:t>
      </w:r>
    </w:p>
    <w:p w:rsidR="004D5C30" w:rsidRDefault="004D5C30" w:rsidP="00E824B4">
      <w:pPr>
        <w:pStyle w:val="ad"/>
        <w:spacing w:before="240" w:after="240" w:line="360" w:lineRule="auto"/>
        <w:ind w:left="360"/>
        <w:contextualSpacing w:val="0"/>
        <w:jc w:val="both"/>
        <w:rPr>
          <w:rFonts w:ascii="David" w:hAnsi="David"/>
          <w:noProof w:val="0"/>
        </w:rPr>
      </w:pPr>
      <w:r>
        <w:rPr>
          <w:rFonts w:ascii="David" w:hAnsi="David"/>
          <w:noProof w:val="0"/>
          <w:rtl/>
        </w:rPr>
        <w:lastRenderedPageBreak/>
        <w:t>היות ולא ניתן להתנות על חלקו הראשון של סעיף 45 לחוק הקובע</w:t>
      </w:r>
      <w:r w:rsidR="00E824B4">
        <w:rPr>
          <w:rFonts w:ascii="David" w:hAnsi="David" w:hint="cs"/>
          <w:noProof w:val="0"/>
          <w:rtl/>
        </w:rPr>
        <w:t>,</w:t>
      </w:r>
      <w:r>
        <w:rPr>
          <w:rFonts w:ascii="David" w:hAnsi="David"/>
          <w:noProof w:val="0"/>
          <w:rtl/>
        </w:rPr>
        <w:t xml:space="preserve"> </w:t>
      </w:r>
      <w:r w:rsidR="00E824B4">
        <w:rPr>
          <w:rFonts w:ascii="David" w:hAnsi="David" w:hint="cs"/>
          <w:noProof w:val="0"/>
          <w:rtl/>
        </w:rPr>
        <w:t>ש</w:t>
      </w:r>
      <w:r>
        <w:rPr>
          <w:rFonts w:ascii="David" w:hAnsi="David"/>
          <w:noProof w:val="0"/>
          <w:rtl/>
        </w:rPr>
        <w:t xml:space="preserve">המבוטח רשאי בכל עת לבטל את החוזה (ראו לעניין זה פסק הדין בעניין מגדל, ספרו של שחר ולר, </w:t>
      </w:r>
      <w:r>
        <w:rPr>
          <w:rFonts w:ascii="David" w:hAnsi="David"/>
          <w:b/>
          <w:bCs/>
          <w:noProof w:val="0"/>
          <w:rtl/>
        </w:rPr>
        <w:t>חוק חוזה הביטוח</w:t>
      </w:r>
      <w:r>
        <w:rPr>
          <w:rFonts w:ascii="David" w:hAnsi="David"/>
          <w:noProof w:val="0"/>
          <w:rtl/>
        </w:rPr>
        <w:t xml:space="preserve">, תשמ"א - 1981 (כרך ב', 2005), בעמוד 61, </w:t>
      </w:r>
      <w:r w:rsidR="00AF723C">
        <w:rPr>
          <w:rFonts w:ascii="David" w:hAnsi="David" w:hint="cs"/>
          <w:noProof w:val="0"/>
          <w:rtl/>
        </w:rPr>
        <w:t xml:space="preserve">להלן: </w:t>
      </w:r>
      <w:r w:rsidR="00AF723C" w:rsidRPr="00495FB3">
        <w:rPr>
          <w:rFonts w:ascii="David" w:hAnsi="David" w:hint="cs"/>
          <w:b/>
          <w:bCs/>
          <w:noProof w:val="0"/>
          <w:rtl/>
        </w:rPr>
        <w:t>ספרו של ולר</w:t>
      </w:r>
      <w:r w:rsidR="00AF723C">
        <w:rPr>
          <w:rFonts w:ascii="David" w:hAnsi="David" w:hint="cs"/>
          <w:noProof w:val="0"/>
          <w:rtl/>
        </w:rPr>
        <w:t xml:space="preserve">, </w:t>
      </w:r>
      <w:r>
        <w:rPr>
          <w:rFonts w:ascii="David" w:hAnsi="David"/>
          <w:noProof w:val="0"/>
          <w:rtl/>
        </w:rPr>
        <w:t xml:space="preserve">וספרו של אליאס בעמודים 781-780), מכאן שניתן להתנות על חלקו השני של הסעיף הקובע כי הביטול יעשה בכתב, ובלבד שהדבר נעשה לטובת המבוטח. </w:t>
      </w:r>
    </w:p>
    <w:p w:rsidR="004D5C30" w:rsidRDefault="004D5C30" w:rsidP="00E824B4">
      <w:pPr>
        <w:pStyle w:val="ad"/>
        <w:numPr>
          <w:ilvl w:val="0"/>
          <w:numId w:val="1"/>
        </w:numPr>
        <w:spacing w:before="240" w:after="240" w:line="360" w:lineRule="auto"/>
        <w:ind w:left="357" w:hanging="357"/>
        <w:contextualSpacing w:val="0"/>
        <w:jc w:val="both"/>
        <w:rPr>
          <w:rFonts w:ascii="David" w:hAnsi="David"/>
          <w:noProof w:val="0"/>
          <w:rtl/>
        </w:rPr>
      </w:pPr>
      <w:r>
        <w:rPr>
          <w:rFonts w:ascii="David" w:hAnsi="David"/>
          <w:noProof w:val="0"/>
          <w:rtl/>
        </w:rPr>
        <w:t>היות והמנוח עמד על הודעת הביטול במספר שיחות טלפון מוקלטות שנעשו עמו, ואשר מהן עולה</w:t>
      </w:r>
      <w:r w:rsidR="00E824B4">
        <w:rPr>
          <w:rFonts w:ascii="David" w:hAnsi="David" w:hint="cs"/>
          <w:noProof w:val="0"/>
          <w:rtl/>
        </w:rPr>
        <w:t>,</w:t>
      </w:r>
      <w:r>
        <w:rPr>
          <w:rFonts w:ascii="David" w:hAnsi="David"/>
          <w:noProof w:val="0"/>
          <w:rtl/>
        </w:rPr>
        <w:t xml:space="preserve"> </w:t>
      </w:r>
      <w:r w:rsidR="00E824B4">
        <w:rPr>
          <w:rFonts w:ascii="David" w:hAnsi="David" w:hint="cs"/>
          <w:noProof w:val="0"/>
          <w:rtl/>
        </w:rPr>
        <w:t>ש</w:t>
      </w:r>
      <w:r>
        <w:rPr>
          <w:rFonts w:ascii="David" w:hAnsi="David"/>
          <w:noProof w:val="0"/>
          <w:rtl/>
        </w:rPr>
        <w:t>הבין שהפוליסות יבוטלו ומשמעות ביטולן, יש בקבלת הודעת הביטול, גם אם נעשתה בשיחת טלפון</w:t>
      </w:r>
      <w:r w:rsidR="00E824B4">
        <w:rPr>
          <w:rFonts w:ascii="David" w:hAnsi="David" w:hint="cs"/>
          <w:noProof w:val="0"/>
          <w:rtl/>
        </w:rPr>
        <w:t>,</w:t>
      </w:r>
      <w:r>
        <w:rPr>
          <w:rFonts w:ascii="David" w:hAnsi="David"/>
          <w:noProof w:val="0"/>
          <w:rtl/>
        </w:rPr>
        <w:t xml:space="preserve"> כדי לעמוד בדרישת ההודעה הקבועה בסעיף 45.</w:t>
      </w:r>
    </w:p>
    <w:p w:rsidR="004D5C30" w:rsidRDefault="004D5C30" w:rsidP="00E824B4">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באשר לטענת המערערת לפיה השימוש בהודעה בכתב נועד לאפשר למבוטח לשקול את ביטול הפוליסה, ולחזור בו מההודעה, ועל כן אין לאפשר קבלת הודעת ביטול שנעשתה בטלפון, אזי לטעמי הסעיף המקיים את הרציונל הזה הוא דווקא סעיף 10 לחוק הקובע</w:t>
      </w:r>
      <w:r w:rsidR="00E824B4">
        <w:rPr>
          <w:rFonts w:ascii="David" w:hAnsi="David" w:hint="cs"/>
          <w:noProof w:val="0"/>
          <w:rtl/>
        </w:rPr>
        <w:t>,</w:t>
      </w:r>
      <w:r>
        <w:rPr>
          <w:rFonts w:ascii="David" w:hAnsi="David"/>
          <w:noProof w:val="0"/>
          <w:rtl/>
        </w:rPr>
        <w:t xml:space="preserve"> </w:t>
      </w:r>
      <w:r w:rsidR="00E824B4">
        <w:rPr>
          <w:rFonts w:ascii="David" w:hAnsi="David" w:hint="cs"/>
          <w:noProof w:val="0"/>
          <w:rtl/>
        </w:rPr>
        <w:t>ש</w:t>
      </w:r>
      <w:r>
        <w:rPr>
          <w:rFonts w:ascii="David" w:hAnsi="David"/>
          <w:noProof w:val="0"/>
          <w:rtl/>
        </w:rPr>
        <w:t xml:space="preserve">בעת שהביטול נעשה על ידי המבוטח הוא ייכנס לתוקפו כעבור 3 ימים: </w:t>
      </w:r>
    </w:p>
    <w:p w:rsidR="004D5C30" w:rsidRDefault="004D5C30" w:rsidP="004D5C30">
      <w:pPr>
        <w:spacing w:before="240" w:after="240" w:line="360" w:lineRule="auto"/>
        <w:ind w:left="357"/>
        <w:jc w:val="both"/>
        <w:rPr>
          <w:rFonts w:ascii="David" w:hAnsi="David"/>
          <w:b/>
          <w:bCs/>
          <w:noProof w:val="0"/>
        </w:rPr>
      </w:pPr>
      <w:r>
        <w:rPr>
          <w:rFonts w:ascii="David" w:hAnsi="David"/>
          <w:b/>
          <w:bCs/>
          <w:rtl/>
        </w:rPr>
        <w:t>"10.(א) הודיע המבטח על ביטול החוזה על פי תנאיו או על פי חוק זה, מתבטל החוזה כעבור 15 ימים מהיום שבו נמסרה הודעת הביטול למבוטח.</w:t>
      </w:r>
    </w:p>
    <w:p w:rsidR="004D5C30" w:rsidRDefault="004D5C30" w:rsidP="004D5C30">
      <w:pPr>
        <w:spacing w:before="240" w:after="240" w:line="360" w:lineRule="auto"/>
        <w:ind w:left="357"/>
        <w:jc w:val="both"/>
        <w:rPr>
          <w:rFonts w:ascii="David" w:hAnsi="David"/>
          <w:b/>
          <w:bCs/>
        </w:rPr>
      </w:pPr>
      <w:r>
        <w:rPr>
          <w:rFonts w:ascii="David" w:hAnsi="David"/>
          <w:b/>
          <w:bCs/>
          <w:rtl/>
        </w:rPr>
        <w:lastRenderedPageBreak/>
        <w:t xml:space="preserve"> (ב) הודיע המבוטח על ביטול החוזה על פי תנאיו או על פי חוק זה, מתבטל החוזה כעבור שלושה ימים מהיום שבו נמסרה הודעת הביטול למבטח."</w:t>
      </w:r>
    </w:p>
    <w:p w:rsidR="00F63BA2" w:rsidRDefault="00F63BA2" w:rsidP="008358E7">
      <w:pPr>
        <w:pStyle w:val="ad"/>
        <w:spacing w:before="240" w:after="240" w:line="360" w:lineRule="auto"/>
        <w:ind w:left="357"/>
        <w:contextualSpacing w:val="0"/>
        <w:jc w:val="both"/>
        <w:rPr>
          <w:rFonts w:ascii="David" w:hAnsi="David"/>
          <w:noProof w:val="0"/>
        </w:rPr>
      </w:pPr>
      <w:r>
        <w:rPr>
          <w:rFonts w:ascii="David" w:hAnsi="David" w:hint="cs"/>
          <w:noProof w:val="0"/>
          <w:rtl/>
        </w:rPr>
        <w:t>סעיפים 45א ו- 10 לחו</w:t>
      </w:r>
      <w:r w:rsidR="00171D9F">
        <w:rPr>
          <w:rFonts w:ascii="David" w:hAnsi="David" w:hint="cs"/>
          <w:noProof w:val="0"/>
          <w:rtl/>
        </w:rPr>
        <w:t xml:space="preserve">ק </w:t>
      </w:r>
      <w:r w:rsidR="00EB06EE">
        <w:rPr>
          <w:rFonts w:ascii="David" w:hAnsi="David" w:hint="cs"/>
          <w:noProof w:val="0"/>
          <w:rtl/>
        </w:rPr>
        <w:t>אינם שוללים זה את זה. הם משלימים זה את זה. סעיף 10 חל על כל סוגי הביטוחים. הוא ממוקם בפרק א' שכותרתו "</w:t>
      </w:r>
      <w:r w:rsidR="00EB06EE" w:rsidRPr="00E15AB2">
        <w:rPr>
          <w:rFonts w:ascii="David" w:hAnsi="David" w:hint="cs"/>
          <w:b/>
          <w:bCs/>
          <w:noProof w:val="0"/>
          <w:rtl/>
        </w:rPr>
        <w:t>הוראות לכל סוגי הביטוח</w:t>
      </w:r>
      <w:r w:rsidR="00EB06EE">
        <w:rPr>
          <w:rFonts w:ascii="David" w:hAnsi="David" w:hint="cs"/>
          <w:noProof w:val="0"/>
          <w:rtl/>
        </w:rPr>
        <w:t xml:space="preserve">" ועוסק במועד בו נכנס הביטול לתוקף בין אם בוטל על ידי המבוטח בין אם על ידי המבטח. הוא לא עוסק בצורה בה נדרשת להיות הודעת הביטול או האופן בו תימסר. </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בפסק הדין בעניין מגדל התייחס בית המשפט העליון למטרתו של סעיף 10 לחוק והיחס בינו לבין סעיף 45 : </w:t>
      </w:r>
    </w:p>
    <w:p w:rsidR="004D5C30" w:rsidRDefault="004D5C30" w:rsidP="004D5C30">
      <w:pPr>
        <w:pStyle w:val="ad"/>
        <w:spacing w:before="240" w:after="240" w:line="360" w:lineRule="auto"/>
        <w:ind w:left="360"/>
        <w:contextualSpacing w:val="0"/>
        <w:jc w:val="both"/>
        <w:rPr>
          <w:rFonts w:ascii="David" w:hAnsi="David"/>
          <w:b/>
          <w:bCs/>
        </w:rPr>
      </w:pPr>
      <w:r>
        <w:rPr>
          <w:rFonts w:ascii="David" w:hAnsi="David"/>
          <w:b/>
          <w:bCs/>
          <w:rtl/>
        </w:rPr>
        <w:t>"</w:t>
      </w:r>
      <w:r w:rsidR="00E824B4">
        <w:rPr>
          <w:rFonts w:ascii="David" w:hAnsi="David" w:hint="cs"/>
          <w:b/>
          <w:bCs/>
          <w:rtl/>
        </w:rPr>
        <w:t>ה</w:t>
      </w:r>
      <w:r>
        <w:rPr>
          <w:rFonts w:ascii="David" w:hAnsi="David"/>
          <w:b/>
          <w:bCs/>
          <w:rtl/>
        </w:rPr>
        <w:t xml:space="preserve">אם חלה הוראת סעיף 10 לחוק אף ביחס לביטול חוזה לביטוח חיים על ידי מבוטח, מכוחו של סעיף 45(א) לחוק. על מנת להכריע בשאלה זו נדרשים אנו ליתן דעתנו לתכליתו של סעיף 10 האמור. תכלית הסעיף בכל הנוגע לביטול חוזה ביטוח על ידי המבטח הינה ברורה - להותיר בידי המבוטח פרק זמן לצורך רכישת ביטוח חילופי, כך שלא ימצא עצמו חסר כיסוי ביטוחי בתקופת הביניים. אולם, השהיית תוקפו של הביטול למשך חמישה עשר ימים חלה לא רק לגבי ביטול מצידו של המבטח, אלא אף ביחס לביטול על ידי המבוטח. לכאורה ניתן לטעון כי אין הצדקה לסימטריה זו, שהרי המבטח, בניגוד למבוטח, אינו זקוק להתראה מראש בדבר ביטול החוזה (ולר, עמ' 361). </w:t>
      </w:r>
      <w:r>
        <w:rPr>
          <w:rFonts w:ascii="David" w:hAnsi="David"/>
          <w:b/>
          <w:bCs/>
          <w:u w:val="single"/>
          <w:rtl/>
        </w:rPr>
        <w:t xml:space="preserve">אלא שדומה כי החלתה של הוראת הסעיף אף ביחס לביטול חוזה ביטוח </w:t>
      </w:r>
      <w:r>
        <w:rPr>
          <w:rFonts w:ascii="David" w:hAnsi="David"/>
          <w:b/>
          <w:bCs/>
          <w:u w:val="single"/>
          <w:rtl/>
        </w:rPr>
        <w:lastRenderedPageBreak/>
        <w:t>מצידו של המבוטח, מהווה הוראה מעין-פטרנליסטית אשר נועדה להגן דווקא על המבוטח עצמו. דחיית כניסתו של הביטול לתוקף מבטיחה כי המבוטח יזכה לכיסוי ביטוחי למשך פרק זמן קצר נוסף. פרק זמן זה מאפשר למבוטח לבטח עצמו אצל מבטח אחר או לחזור בו מן הביטול</w:t>
      </w:r>
      <w:r>
        <w:rPr>
          <w:rFonts w:ascii="David" w:hAnsi="David"/>
          <w:b/>
          <w:bCs/>
          <w:rtl/>
        </w:rPr>
        <w:t xml:space="preserve"> (ולר, עמ' 362-361; לדיון בסוגית ההתערבות בתוכנו של חוזה ביטוח מטעמים פטרנליסטיים ראו שם, עמ' 128-122)." </w:t>
      </w:r>
      <w:r>
        <w:rPr>
          <w:rFonts w:ascii="David" w:hAnsi="David"/>
          <w:rtl/>
        </w:rPr>
        <w:t>(סעיף 15 לפסק הדין. ההדגשה הוספה – ע' ר').</w:t>
      </w:r>
    </w:p>
    <w:p w:rsidR="004D5C30" w:rsidRDefault="004D5C30" w:rsidP="00820B50">
      <w:pPr>
        <w:pStyle w:val="ad"/>
        <w:spacing w:before="240" w:after="240" w:line="360" w:lineRule="auto"/>
        <w:ind w:left="357"/>
        <w:contextualSpacing w:val="0"/>
        <w:jc w:val="both"/>
        <w:rPr>
          <w:rFonts w:ascii="David" w:hAnsi="David"/>
          <w:noProof w:val="0"/>
          <w:rtl/>
        </w:rPr>
      </w:pPr>
      <w:r>
        <w:rPr>
          <w:rFonts w:ascii="David" w:hAnsi="David"/>
          <w:noProof w:val="0"/>
          <w:rtl/>
        </w:rPr>
        <w:t xml:space="preserve">על כן, וככל שהמנוח רצה לחזור בו מהודעת הביטול, יכול היה לעשות כן </w:t>
      </w:r>
      <w:r w:rsidR="00820B50">
        <w:rPr>
          <w:rFonts w:ascii="David" w:hAnsi="David" w:hint="cs"/>
          <w:noProof w:val="0"/>
          <w:rtl/>
        </w:rPr>
        <w:t>שלושה</w:t>
      </w:r>
      <w:r>
        <w:rPr>
          <w:rFonts w:ascii="David" w:hAnsi="David"/>
          <w:noProof w:val="0"/>
          <w:rtl/>
        </w:rPr>
        <w:t xml:space="preserve"> ימים לאחר שיחת הביטול. </w:t>
      </w:r>
    </w:p>
    <w:p w:rsidR="004D5C30" w:rsidRDefault="004D5C30" w:rsidP="00820B5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באשר לפסק הדין בעניין פז, עליו נסמכת המערערת, כמו גם המלומדים ולר ואליאס, באשר לחוב</w:t>
      </w:r>
      <w:r w:rsidR="00820B50">
        <w:rPr>
          <w:rFonts w:ascii="David" w:hAnsi="David" w:hint="cs"/>
          <w:noProof w:val="0"/>
          <w:rtl/>
        </w:rPr>
        <w:t>ת</w:t>
      </w:r>
      <w:r>
        <w:rPr>
          <w:rFonts w:ascii="David" w:hAnsi="David"/>
          <w:noProof w:val="0"/>
          <w:rtl/>
        </w:rPr>
        <w:t xml:space="preserve"> קיומה של דרישת הכתב, אזי המדובר בפסק דין של בית משפט שלום, אשר אינו בגדר הלכה מחייבת</w:t>
      </w:r>
      <w:r w:rsidR="00F63BA2">
        <w:rPr>
          <w:rFonts w:ascii="David" w:hAnsi="David" w:hint="cs"/>
          <w:noProof w:val="0"/>
          <w:rtl/>
        </w:rPr>
        <w:t xml:space="preserve"> או מנחה</w:t>
      </w:r>
      <w:r>
        <w:rPr>
          <w:rFonts w:ascii="David" w:hAnsi="David"/>
          <w:noProof w:val="0"/>
          <w:rtl/>
        </w:rPr>
        <w:t xml:space="preserve">. זאת ועוד, באותו פסק דין </w:t>
      </w:r>
      <w:r w:rsidR="00820B50">
        <w:rPr>
          <w:rFonts w:ascii="David" w:hAnsi="David" w:hint="cs"/>
          <w:noProof w:val="0"/>
          <w:rtl/>
        </w:rPr>
        <w:t>נדון</w:t>
      </w:r>
      <w:r>
        <w:rPr>
          <w:rFonts w:ascii="David" w:hAnsi="David"/>
          <w:noProof w:val="0"/>
          <w:rtl/>
        </w:rPr>
        <w:t xml:space="preserve"> ביטול פוליסת ביטוח אובדן כושר עבודה בהתאם לסעיף 15 לחוק (בגין אי תשלום דמי ביטוח), </w:t>
      </w:r>
      <w:r>
        <w:rPr>
          <w:rFonts w:ascii="David" w:hAnsi="David"/>
          <w:noProof w:val="0"/>
          <w:u w:val="single"/>
          <w:rtl/>
        </w:rPr>
        <w:t>הנעשית על ידי המבטח</w:t>
      </w:r>
      <w:r>
        <w:rPr>
          <w:rFonts w:ascii="David" w:hAnsi="David"/>
          <w:noProof w:val="0"/>
          <w:rtl/>
        </w:rPr>
        <w:t>. שם קובע בית המשפט</w:t>
      </w:r>
      <w:r w:rsidR="00820B50">
        <w:rPr>
          <w:rFonts w:ascii="David" w:hAnsi="David" w:hint="cs"/>
          <w:noProof w:val="0"/>
          <w:rtl/>
        </w:rPr>
        <w:t>,</w:t>
      </w:r>
      <w:r>
        <w:rPr>
          <w:rFonts w:ascii="David" w:hAnsi="David"/>
          <w:noProof w:val="0"/>
          <w:rtl/>
        </w:rPr>
        <w:t xml:space="preserve"> </w:t>
      </w:r>
      <w:r w:rsidR="00820B50">
        <w:rPr>
          <w:rFonts w:ascii="David" w:hAnsi="David" w:hint="cs"/>
          <w:noProof w:val="0"/>
          <w:rtl/>
        </w:rPr>
        <w:t>ש</w:t>
      </w:r>
      <w:r>
        <w:rPr>
          <w:rFonts w:ascii="David" w:hAnsi="David"/>
          <w:noProof w:val="0"/>
          <w:rtl/>
        </w:rPr>
        <w:t xml:space="preserve">דרישת הכתב היא מהותית ולא ראייתית זאת נוכח הנסיבות הספציפיות של אותו המקרה שהונח בפניו, בו מי שהודיע על ביטול הפוליסה, לא הייתה המבוטחת אלא סוכן הביטוח, וללא הוכחה כי זאת הייתה דרישת המבוטחת: </w:t>
      </w:r>
    </w:p>
    <w:p w:rsidR="004D5C30" w:rsidRDefault="004D5C30" w:rsidP="004D5C30">
      <w:pPr>
        <w:spacing w:before="240" w:after="240" w:line="360" w:lineRule="auto"/>
        <w:ind w:left="357"/>
        <w:jc w:val="both"/>
        <w:rPr>
          <w:rFonts w:ascii="David" w:hAnsi="David"/>
          <w:b/>
          <w:bCs/>
          <w:noProof w:val="0"/>
        </w:rPr>
      </w:pPr>
      <w:r>
        <w:rPr>
          <w:rFonts w:ascii="David" w:hAnsi="David"/>
          <w:b/>
          <w:bCs/>
          <w:rtl/>
        </w:rPr>
        <w:lastRenderedPageBreak/>
        <w:t xml:space="preserve">"על כורחך אתה אומר, כי דרישת הכתב בסעיף 45(א) לחוק היא דרישה מהותית שכן, דרישת כתב זו, באה להגן על המבוטח </w:t>
      </w:r>
      <w:r>
        <w:rPr>
          <w:rFonts w:ascii="David" w:hAnsi="David"/>
          <w:b/>
          <w:bCs/>
          <w:u w:val="single"/>
          <w:rtl/>
        </w:rPr>
        <w:t>ולמנוע מקרים של ביטול הפוליסה ללא אישורו המפורש</w:t>
      </w:r>
      <w:r>
        <w:rPr>
          <w:rFonts w:ascii="David" w:hAnsi="David"/>
          <w:b/>
          <w:bCs/>
          <w:rtl/>
        </w:rPr>
        <w:t>. זהו אמצעי בטחון של המבוטח, ולכן כל נסיון לפגוע באמצעי בטחון זה, לטובת המבטחים, אינו ראוי.</w:t>
      </w:r>
    </w:p>
    <w:p w:rsidR="004D5C30" w:rsidRDefault="004D5C30" w:rsidP="004D5C30">
      <w:pPr>
        <w:spacing w:before="240" w:after="240" w:line="360" w:lineRule="auto"/>
        <w:ind w:left="357"/>
        <w:jc w:val="both"/>
        <w:rPr>
          <w:rFonts w:ascii="David" w:hAnsi="David"/>
          <w:b/>
          <w:bCs/>
          <w:rtl/>
        </w:rPr>
      </w:pPr>
      <w:r>
        <w:rPr>
          <w:rFonts w:ascii="David" w:hAnsi="David"/>
          <w:b/>
          <w:bCs/>
          <w:rtl/>
        </w:rPr>
        <w:t xml:space="preserve">תוכן - הודעת הביטול צריכה להיות של המבוטח (כפי שיובהר להלן, ניתן להקל ולהסתפק בהודעה בכתב מטעם המעביד - בעל הפוליסה), אך בשום פנים ואופן, אין להסתפק בהודעת סוכן הביטוח בכתב, מטעם המבוטח ו/או המעביד." </w:t>
      </w:r>
    </w:p>
    <w:p w:rsidR="004D5C30" w:rsidRDefault="004D5C30" w:rsidP="00820B5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שונים הם פני הדברים</w:t>
      </w:r>
      <w:r w:rsidR="00820B50">
        <w:rPr>
          <w:rFonts w:ascii="David" w:hAnsi="David" w:hint="cs"/>
          <w:noProof w:val="0"/>
          <w:rtl/>
        </w:rPr>
        <w:t>,</w:t>
      </w:r>
      <w:r>
        <w:rPr>
          <w:rFonts w:ascii="David" w:hAnsi="David"/>
          <w:noProof w:val="0"/>
          <w:rtl/>
        </w:rPr>
        <w:t xml:space="preserve"> עת בפני בית המשפט מונחות מספר הקלטות של המנוח עצמו</w:t>
      </w:r>
      <w:r w:rsidR="00F63BA2">
        <w:rPr>
          <w:rFonts w:ascii="David" w:hAnsi="David" w:hint="cs"/>
          <w:noProof w:val="0"/>
          <w:rtl/>
        </w:rPr>
        <w:t xml:space="preserve">, המבוטח, </w:t>
      </w:r>
      <w:r>
        <w:rPr>
          <w:rFonts w:ascii="David" w:hAnsi="David"/>
          <w:noProof w:val="0"/>
          <w:rtl/>
        </w:rPr>
        <w:t xml:space="preserve"> מהן עולה בצורה ברורה ומפורשת, אשר אינה משתמעת לשני פנים, כי המנוח עומד על ביטול הפוליסה, פעם אחר פעם. זאת ועוד, להקלטה מצטרפות פעולות נוספות</w:t>
      </w:r>
      <w:r w:rsidR="00820B50">
        <w:rPr>
          <w:rFonts w:ascii="David" w:hAnsi="David" w:hint="cs"/>
          <w:noProof w:val="0"/>
          <w:rtl/>
        </w:rPr>
        <w:t xml:space="preserve"> של המנוח</w:t>
      </w:r>
      <w:r>
        <w:rPr>
          <w:rFonts w:ascii="David" w:hAnsi="David"/>
          <w:noProof w:val="0"/>
          <w:rtl/>
        </w:rPr>
        <w:t>, אשר יחד עם ההקלטות מלמדות על רצונו לבטל את הפוליסה והן</w:t>
      </w:r>
      <w:r w:rsidR="00820B50">
        <w:rPr>
          <w:rFonts w:ascii="David" w:hAnsi="David" w:hint="cs"/>
          <w:noProof w:val="0"/>
          <w:rtl/>
        </w:rPr>
        <w:t>:</w:t>
      </w:r>
      <w:r>
        <w:rPr>
          <w:rFonts w:ascii="David" w:hAnsi="David"/>
          <w:noProof w:val="0"/>
          <w:rtl/>
        </w:rPr>
        <w:t xml:space="preserve"> הפסקת גביית הפרמיות </w:t>
      </w:r>
      <w:r w:rsidR="00820B50">
        <w:rPr>
          <w:rFonts w:ascii="David" w:hAnsi="David" w:hint="cs"/>
          <w:noProof w:val="0"/>
          <w:rtl/>
        </w:rPr>
        <w:t>ו</w:t>
      </w:r>
      <w:r>
        <w:rPr>
          <w:rFonts w:ascii="David" w:hAnsi="David"/>
          <w:noProof w:val="0"/>
          <w:rtl/>
        </w:rPr>
        <w:t xml:space="preserve">פדיון החזר הפרמיה. כל אלו יחד מהווים אישור מפורש של המנוח על רצונו בביטול הפוליסה. </w:t>
      </w:r>
    </w:p>
    <w:p w:rsidR="004D5C30" w:rsidRDefault="004D5C30" w:rsidP="00E15AB2">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באשר לפסקי הדין הנוספים אליהם הפנתה המערערת בעניין מריאמי, כהן ומוסא, לא מצאתי כי יש בהם כדי לסייע למערערת. בשלושת פסקי הדין</w:t>
      </w:r>
      <w:r w:rsidR="00820B50">
        <w:rPr>
          <w:rFonts w:ascii="David" w:hAnsi="David" w:hint="cs"/>
          <w:noProof w:val="0"/>
          <w:rtl/>
        </w:rPr>
        <w:t xml:space="preserve"> עסקו</w:t>
      </w:r>
      <w:r>
        <w:rPr>
          <w:rFonts w:ascii="David" w:hAnsi="David"/>
          <w:noProof w:val="0"/>
          <w:rtl/>
        </w:rPr>
        <w:t xml:space="preserve"> בביטול פוליסה על ידי </w:t>
      </w:r>
      <w:r>
        <w:rPr>
          <w:rFonts w:ascii="David" w:hAnsi="David"/>
          <w:noProof w:val="0"/>
          <w:u w:val="single"/>
          <w:rtl/>
        </w:rPr>
        <w:t>המבטחת בהתאם לסעיף 15 לחוק,</w:t>
      </w:r>
      <w:r w:rsidR="00820B50">
        <w:rPr>
          <w:rFonts w:ascii="David" w:hAnsi="David" w:hint="cs"/>
          <w:noProof w:val="0"/>
          <w:rtl/>
        </w:rPr>
        <w:t xml:space="preserve"> </w:t>
      </w:r>
      <w:r>
        <w:rPr>
          <w:rFonts w:ascii="David" w:hAnsi="David"/>
          <w:noProof w:val="0"/>
          <w:rtl/>
        </w:rPr>
        <w:t xml:space="preserve">ובשאלה האם עמדה המבטחת בחובתה לשלוח הודעת ביטול כקבוע בחוק. </w:t>
      </w:r>
      <w:r w:rsidR="00EB06EE">
        <w:rPr>
          <w:rFonts w:ascii="David" w:hAnsi="David" w:hint="cs"/>
          <w:noProof w:val="0"/>
          <w:rtl/>
        </w:rPr>
        <w:t xml:space="preserve">ויודגש, סעיף 15 קובע את האופן בו המבוטח צריך לפעול על מנת לבטל פוליסה של מבוטח שלא שילם </w:t>
      </w:r>
      <w:r w:rsidR="00EB06EE">
        <w:rPr>
          <w:rFonts w:ascii="David" w:hAnsi="David" w:hint="cs"/>
          <w:noProof w:val="0"/>
          <w:rtl/>
        </w:rPr>
        <w:lastRenderedPageBreak/>
        <w:t>דמי ביטוח. לפי הוראת סעיף 39(ב) ניתן להתנות על הוראת סעיף 15 אבל "</w:t>
      </w:r>
      <w:r w:rsidR="00EB06EE" w:rsidRPr="00E15AB2">
        <w:rPr>
          <w:rFonts w:ascii="David" w:hAnsi="David" w:hint="cs"/>
          <w:b/>
          <w:bCs/>
          <w:noProof w:val="0"/>
          <w:rtl/>
        </w:rPr>
        <w:t>רק לטובת המבוטח או המוטב</w:t>
      </w:r>
      <w:r w:rsidR="00EB06EE">
        <w:rPr>
          <w:rFonts w:ascii="David" w:hAnsi="David" w:hint="cs"/>
          <w:noProof w:val="0"/>
          <w:rtl/>
        </w:rPr>
        <w:t xml:space="preserve">". מכאן ברור שלא ניתן לקבוע פרוצדורה קלה יותר ולהפוך כתב לעל פה בהקשר לסעיף 15 שכן זה לא לטובת המבוטח. </w:t>
      </w:r>
    </w:p>
    <w:p w:rsidR="004D5C30" w:rsidRDefault="004D5C30" w:rsidP="00820B5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אף כי קבעתי כי יש לאפשר </w:t>
      </w:r>
      <w:r>
        <w:rPr>
          <w:rFonts w:ascii="David" w:hAnsi="David"/>
          <w:noProof w:val="0"/>
          <w:u w:val="single"/>
          <w:rtl/>
        </w:rPr>
        <w:t>למבוטח</w:t>
      </w:r>
      <w:r>
        <w:rPr>
          <w:rFonts w:ascii="David" w:hAnsi="David"/>
          <w:noProof w:val="0"/>
          <w:rtl/>
        </w:rPr>
        <w:t xml:space="preserve"> (וזאת בשונה מחובתו של המבטח להודיע על ביטול חוזה בכתב, </w:t>
      </w:r>
      <w:r w:rsidRPr="00820B50">
        <w:rPr>
          <w:rFonts w:ascii="David" w:hAnsi="David"/>
          <w:noProof w:val="0"/>
          <w:u w:val="single"/>
          <w:rtl/>
        </w:rPr>
        <w:t>חיוב אשר אין בפסק דין זה כדי לשנותו</w:t>
      </w:r>
      <w:r>
        <w:rPr>
          <w:rFonts w:ascii="David" w:hAnsi="David"/>
          <w:noProof w:val="0"/>
          <w:rtl/>
        </w:rPr>
        <w:t xml:space="preserve">, ראו סעיף 15 לחוק) להודיע על ביטול חוזה ביטוח חיים גם באמצעות הקלטה, אזי יש לטעמי לאמץ את עמדת הממונה, כמפורט להלן, באשר למבחנים אותם יש להחיל לצורך קבלת הודעת הביטול גם אם לא נעשתה בכתב. </w:t>
      </w:r>
    </w:p>
    <w:p w:rsidR="004D5C30" w:rsidRDefault="004D5C30" w:rsidP="004D5C3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בהתאם לעמדת הממונה על הודעת הביטול לעמוד במבחנים אובייקטיבים וסובייקטיביים. </w:t>
      </w:r>
    </w:p>
    <w:p w:rsidR="004D5C30" w:rsidRDefault="004D5C30" w:rsidP="00820B50">
      <w:pPr>
        <w:pStyle w:val="ad"/>
        <w:spacing w:before="240" w:after="240" w:line="360" w:lineRule="auto"/>
        <w:ind w:left="357"/>
        <w:contextualSpacing w:val="0"/>
        <w:jc w:val="both"/>
        <w:rPr>
          <w:rFonts w:ascii="David" w:hAnsi="David"/>
          <w:noProof w:val="0"/>
        </w:rPr>
      </w:pPr>
      <w:r>
        <w:rPr>
          <w:rFonts w:ascii="David" w:hAnsi="David"/>
          <w:noProof w:val="0"/>
          <w:rtl/>
        </w:rPr>
        <w:t xml:space="preserve">בעניין </w:t>
      </w:r>
      <w:r w:rsidRPr="00820B50">
        <w:rPr>
          <w:rFonts w:ascii="David" w:hAnsi="David"/>
          <w:noProof w:val="0"/>
          <w:u w:val="single"/>
          <w:rtl/>
        </w:rPr>
        <w:t>המבחן האובייקטיבי</w:t>
      </w:r>
      <w:r>
        <w:rPr>
          <w:rFonts w:ascii="David" w:hAnsi="David"/>
          <w:noProof w:val="0"/>
          <w:rtl/>
        </w:rPr>
        <w:t xml:space="preserve">, נדרש </w:t>
      </w:r>
      <w:r w:rsidRPr="00820B50">
        <w:rPr>
          <w:rFonts w:ascii="David" w:hAnsi="David"/>
          <w:noProof w:val="0"/>
          <w:u w:val="single"/>
          <w:rtl/>
        </w:rPr>
        <w:t>שפעולת הביטול</w:t>
      </w:r>
      <w:r>
        <w:rPr>
          <w:rFonts w:ascii="David" w:hAnsi="David"/>
          <w:noProof w:val="0"/>
          <w:rtl/>
        </w:rPr>
        <w:t xml:space="preserve"> תהיה וודאית</w:t>
      </w:r>
      <w:r w:rsidR="00820B50">
        <w:rPr>
          <w:rFonts w:ascii="David" w:hAnsi="David" w:hint="cs"/>
          <w:noProof w:val="0"/>
          <w:rtl/>
        </w:rPr>
        <w:t>,</w:t>
      </w:r>
      <w:r>
        <w:rPr>
          <w:rFonts w:ascii="David" w:hAnsi="David"/>
          <w:noProof w:val="0"/>
          <w:rtl/>
        </w:rPr>
        <w:t xml:space="preserve"> סופית וברורה לכל, על מנת למנוע ביטול ביטוח</w:t>
      </w:r>
      <w:r w:rsidR="00820B50">
        <w:rPr>
          <w:rFonts w:ascii="David" w:hAnsi="David" w:hint="cs"/>
          <w:noProof w:val="0"/>
          <w:rtl/>
        </w:rPr>
        <w:t>,</w:t>
      </w:r>
      <w:r>
        <w:rPr>
          <w:rFonts w:ascii="David" w:hAnsi="David"/>
          <w:noProof w:val="0"/>
          <w:rtl/>
        </w:rPr>
        <w:t xml:space="preserve"> אשר יש לו השפעות משמעותיות </w:t>
      </w:r>
      <w:r w:rsidR="00820B50">
        <w:rPr>
          <w:rFonts w:ascii="David" w:hAnsi="David" w:hint="cs"/>
          <w:noProof w:val="0"/>
          <w:rtl/>
        </w:rPr>
        <w:t>על ה</w:t>
      </w:r>
      <w:r>
        <w:rPr>
          <w:rFonts w:ascii="David" w:hAnsi="David"/>
          <w:noProof w:val="0"/>
          <w:rtl/>
        </w:rPr>
        <w:t>מבוטח ושאריו. קיומה של פעולה נוספת מצדו של מבוטח, מלבד עצם בקשת הביטול, לפיה הוא מעוניין בביטול הפוליסה עשויה להצביע על כוונה חד משמעית וסופית מצד</w:t>
      </w:r>
      <w:r w:rsidR="00820B50">
        <w:rPr>
          <w:rFonts w:ascii="David" w:hAnsi="David" w:hint="cs"/>
          <w:noProof w:val="0"/>
          <w:rtl/>
        </w:rPr>
        <w:t>ו</w:t>
      </w:r>
      <w:r>
        <w:rPr>
          <w:rFonts w:ascii="David" w:hAnsi="David"/>
          <w:noProof w:val="0"/>
          <w:rtl/>
        </w:rPr>
        <w:t xml:space="preserve"> לפיה הוא מעוניין בביטול הפוליסה. בנוסף נדרש לייחס לכתב שני מאפיינים מרכזיים: נגישות לקריאה חוזרת ואפשרות לשמירה ואחזור.</w:t>
      </w:r>
    </w:p>
    <w:p w:rsidR="004D5C30" w:rsidRDefault="004D5C30" w:rsidP="004D5C30">
      <w:pPr>
        <w:pStyle w:val="ad"/>
        <w:spacing w:before="240" w:after="240" w:line="360" w:lineRule="auto"/>
        <w:ind w:left="357"/>
        <w:contextualSpacing w:val="0"/>
        <w:jc w:val="both"/>
        <w:rPr>
          <w:rFonts w:ascii="David" w:hAnsi="David"/>
          <w:noProof w:val="0"/>
        </w:rPr>
      </w:pPr>
      <w:r>
        <w:rPr>
          <w:rFonts w:ascii="David" w:hAnsi="David"/>
          <w:noProof w:val="0"/>
          <w:rtl/>
        </w:rPr>
        <w:t xml:space="preserve">עוד יש לעמוד </w:t>
      </w:r>
      <w:r w:rsidRPr="00820B50">
        <w:rPr>
          <w:rFonts w:ascii="David" w:hAnsi="David"/>
          <w:noProof w:val="0"/>
          <w:u w:val="single"/>
          <w:rtl/>
        </w:rPr>
        <w:t>במבחן סובייקטיבי</w:t>
      </w:r>
      <w:r>
        <w:rPr>
          <w:rFonts w:ascii="David" w:hAnsi="David"/>
          <w:noProof w:val="0"/>
          <w:rtl/>
        </w:rPr>
        <w:t xml:space="preserve">, כך שמפעולת הביטול ניתן יהיה ללמוד על </w:t>
      </w:r>
      <w:r w:rsidRPr="00820B50">
        <w:rPr>
          <w:rFonts w:ascii="David" w:hAnsi="David"/>
          <w:noProof w:val="0"/>
          <w:u w:val="single"/>
          <w:rtl/>
        </w:rPr>
        <w:t>אומד דעתו</w:t>
      </w:r>
      <w:r>
        <w:rPr>
          <w:rFonts w:ascii="David" w:hAnsi="David"/>
          <w:noProof w:val="0"/>
          <w:rtl/>
        </w:rPr>
        <w:t xml:space="preserve"> של המבוטח ועל רצונו בביטול הפוליסה, ושהחלטתו בעניין התקבלה באופן מושכל, תוך הבנת ההשלכות של ביטול הפוליסה. בהתאם ניתן יהיה לעמוד בדרישה זאת במקרים </w:t>
      </w:r>
      <w:r>
        <w:rPr>
          <w:rFonts w:ascii="David" w:hAnsi="David"/>
          <w:noProof w:val="0"/>
          <w:rtl/>
        </w:rPr>
        <w:lastRenderedPageBreak/>
        <w:t xml:space="preserve">בהם נערכה פעולה אקטיבית מצד מבוטח המבטאת את רצינות וסופיות הפעולה ושממנה ניתן יהיה ללמוד על קבלת החלטה מושכלת וסופית לסיום ההתקשרות. </w:t>
      </w:r>
    </w:p>
    <w:p w:rsidR="004D5C30" w:rsidRDefault="004D5C30" w:rsidP="00C752F0">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בבחינת המבחנים לעיל עולה כי הודעת הביטול של המנוח עומדת במבחנים אלו </w:t>
      </w:r>
      <w:r w:rsidR="00820B50">
        <w:rPr>
          <w:rFonts w:ascii="David" w:hAnsi="David" w:hint="cs"/>
          <w:noProof w:val="0"/>
          <w:rtl/>
        </w:rPr>
        <w:t xml:space="preserve">וניתן </w:t>
      </w:r>
      <w:r>
        <w:rPr>
          <w:rFonts w:ascii="David" w:hAnsi="David"/>
          <w:noProof w:val="0"/>
          <w:rtl/>
        </w:rPr>
        <w:t xml:space="preserve">להכיר בה כהודעת ביטול על פי סעיף 45 לחוק, </w:t>
      </w:r>
      <w:r w:rsidR="00820B50">
        <w:rPr>
          <w:rFonts w:ascii="David" w:hAnsi="David" w:hint="cs"/>
          <w:noProof w:val="0"/>
          <w:rtl/>
        </w:rPr>
        <w:t>נ</w:t>
      </w:r>
      <w:r>
        <w:rPr>
          <w:rFonts w:ascii="David" w:hAnsi="David"/>
          <w:noProof w:val="0"/>
          <w:rtl/>
        </w:rPr>
        <w:t xml:space="preserve">וכח השיחות המוקלטות שנערכו עם המנוח במסגרתן חזר על רצונו לבטל את הפוליסות, </w:t>
      </w:r>
      <w:r w:rsidR="00820B50">
        <w:rPr>
          <w:rFonts w:ascii="David" w:hAnsi="David" w:hint="cs"/>
          <w:noProof w:val="0"/>
          <w:rtl/>
        </w:rPr>
        <w:t xml:space="preserve">להן נוספו, </w:t>
      </w:r>
      <w:r>
        <w:rPr>
          <w:rFonts w:ascii="David" w:hAnsi="David"/>
          <w:noProof w:val="0"/>
          <w:rtl/>
        </w:rPr>
        <w:t>לאחר שיחת הביטול, הפסק</w:t>
      </w:r>
      <w:r w:rsidR="00820B50">
        <w:rPr>
          <w:rFonts w:ascii="David" w:hAnsi="David" w:hint="cs"/>
          <w:noProof w:val="0"/>
          <w:rtl/>
        </w:rPr>
        <w:t>ת</w:t>
      </w:r>
      <w:r>
        <w:rPr>
          <w:rFonts w:ascii="David" w:hAnsi="David"/>
          <w:noProof w:val="0"/>
          <w:rtl/>
        </w:rPr>
        <w:t xml:space="preserve"> תשלומי הפרמיות ו</w:t>
      </w:r>
      <w:r w:rsidR="00820B50">
        <w:rPr>
          <w:rFonts w:ascii="David" w:hAnsi="David" w:hint="cs"/>
          <w:noProof w:val="0"/>
          <w:rtl/>
        </w:rPr>
        <w:t>פדיון</w:t>
      </w:r>
      <w:r>
        <w:rPr>
          <w:rFonts w:ascii="David" w:hAnsi="David"/>
          <w:noProof w:val="0"/>
          <w:rtl/>
        </w:rPr>
        <w:t xml:space="preserve"> המחאת ההחזר היחסי</w:t>
      </w:r>
      <w:r w:rsidR="00C752F0">
        <w:rPr>
          <w:rFonts w:ascii="David" w:hAnsi="David" w:hint="cs"/>
          <w:noProof w:val="0"/>
          <w:rtl/>
        </w:rPr>
        <w:t>,</w:t>
      </w:r>
      <w:r>
        <w:rPr>
          <w:rFonts w:ascii="David" w:hAnsi="David"/>
          <w:noProof w:val="0"/>
          <w:rtl/>
        </w:rPr>
        <w:t xml:space="preserve"> שהועבר למנוח מהמשיבה. התנהלות זאת של המנוח מוכיחה כי </w:t>
      </w:r>
      <w:r w:rsidR="00C752F0">
        <w:rPr>
          <w:rFonts w:ascii="David" w:hAnsi="David" w:hint="cs"/>
          <w:noProof w:val="0"/>
          <w:rtl/>
        </w:rPr>
        <w:t xml:space="preserve">רצה בביטול הפוליסה, </w:t>
      </w:r>
      <w:r>
        <w:rPr>
          <w:rFonts w:ascii="David" w:hAnsi="David"/>
          <w:noProof w:val="0"/>
          <w:rtl/>
        </w:rPr>
        <w:t xml:space="preserve">ידע על </w:t>
      </w:r>
      <w:r w:rsidR="00C752F0">
        <w:rPr>
          <w:rFonts w:ascii="David" w:hAnsi="David" w:hint="cs"/>
          <w:noProof w:val="0"/>
          <w:rtl/>
        </w:rPr>
        <w:t>ה</w:t>
      </w:r>
      <w:r>
        <w:rPr>
          <w:rFonts w:ascii="David" w:hAnsi="David"/>
          <w:noProof w:val="0"/>
          <w:rtl/>
        </w:rPr>
        <w:t>ביטול</w:t>
      </w:r>
      <w:r w:rsidR="00C752F0">
        <w:rPr>
          <w:rFonts w:ascii="David" w:hAnsi="David" w:hint="cs"/>
          <w:noProof w:val="0"/>
          <w:rtl/>
        </w:rPr>
        <w:t xml:space="preserve"> בפועל,</w:t>
      </w:r>
      <w:r>
        <w:rPr>
          <w:rFonts w:ascii="David" w:hAnsi="David"/>
          <w:noProof w:val="0"/>
          <w:rtl/>
        </w:rPr>
        <w:t xml:space="preserve"> והסכים לכך. </w:t>
      </w:r>
    </w:p>
    <w:p w:rsidR="004D5C30" w:rsidRDefault="004D5C30" w:rsidP="005C79BF">
      <w:pPr>
        <w:pStyle w:val="ad"/>
        <w:numPr>
          <w:ilvl w:val="0"/>
          <w:numId w:val="1"/>
        </w:numPr>
        <w:spacing w:before="240" w:after="240" w:line="360" w:lineRule="auto"/>
        <w:ind w:left="357" w:hanging="357"/>
        <w:contextualSpacing w:val="0"/>
        <w:jc w:val="both"/>
        <w:rPr>
          <w:rFonts w:ascii="David" w:hAnsi="David"/>
          <w:noProof w:val="0"/>
        </w:rPr>
      </w:pPr>
      <w:r>
        <w:rPr>
          <w:rFonts w:ascii="David" w:hAnsi="David"/>
          <w:noProof w:val="0"/>
          <w:rtl/>
        </w:rPr>
        <w:t xml:space="preserve">עוד אוסיף, כי הפרשנות לעיל, נדרשת </w:t>
      </w:r>
      <w:r>
        <w:rPr>
          <w:rFonts w:ascii="David" w:hAnsi="David"/>
          <w:rtl/>
        </w:rPr>
        <w:t xml:space="preserve">אף מחובת תום הלב החלה ביחס לביטול לפי סעיף 45(א) לחוק (ראו סעיפים 39 ו-61(ב) לחוק החוזים (חלק כללי), תשל"ג-1973). </w:t>
      </w:r>
      <w:r>
        <w:rPr>
          <w:rFonts w:ascii="David" w:hAnsi="David"/>
          <w:noProof w:val="0"/>
          <w:rtl/>
        </w:rPr>
        <w:t>לא ניתן לקבל, מעיקרון תום הלב, מצב בו מבוטח עומד על ביטולה של הפוליסה, אינו משלם פרמיות, פודה את ההחזר שהתקבל על ידי המבטחת, ועדיין יתאפשר ל</w:t>
      </w:r>
      <w:r w:rsidR="00E962FF">
        <w:rPr>
          <w:rFonts w:ascii="David" w:hAnsi="David" w:hint="cs"/>
          <w:noProof w:val="0"/>
          <w:rtl/>
        </w:rPr>
        <w:t>שארי</w:t>
      </w:r>
      <w:r w:rsidR="005C79BF">
        <w:rPr>
          <w:rFonts w:ascii="David" w:hAnsi="David" w:hint="cs"/>
          <w:noProof w:val="0"/>
          <w:rtl/>
        </w:rPr>
        <w:t>ו</w:t>
      </w:r>
      <w:r>
        <w:rPr>
          <w:rFonts w:ascii="David" w:hAnsi="David"/>
          <w:noProof w:val="0"/>
          <w:rtl/>
        </w:rPr>
        <w:t xml:space="preserve"> לטעון</w:t>
      </w:r>
      <w:r w:rsidR="00C752F0">
        <w:rPr>
          <w:rFonts w:ascii="David" w:hAnsi="David" w:hint="cs"/>
          <w:noProof w:val="0"/>
          <w:rtl/>
        </w:rPr>
        <w:t>,</w:t>
      </w:r>
      <w:r>
        <w:rPr>
          <w:rFonts w:ascii="David" w:hAnsi="David"/>
          <w:noProof w:val="0"/>
          <w:rtl/>
        </w:rPr>
        <w:t xml:space="preserve"> </w:t>
      </w:r>
      <w:r w:rsidR="00C752F0">
        <w:rPr>
          <w:rFonts w:ascii="David" w:hAnsi="David" w:hint="cs"/>
          <w:noProof w:val="0"/>
          <w:rtl/>
        </w:rPr>
        <w:t>ש</w:t>
      </w:r>
      <w:r>
        <w:rPr>
          <w:rFonts w:ascii="David" w:hAnsi="David"/>
          <w:noProof w:val="0"/>
          <w:rtl/>
        </w:rPr>
        <w:t xml:space="preserve">אין לקבל את פעולת הביטול שבוצעה על ידו, שכן לא עמדה בדרישת הכתב הנזכרת בסעיף 45 לחוק.  </w:t>
      </w:r>
    </w:p>
    <w:p w:rsidR="004D5C30" w:rsidRDefault="004D5C30" w:rsidP="00F63BA2">
      <w:pPr>
        <w:pStyle w:val="ad"/>
        <w:spacing w:before="240" w:after="240" w:line="360" w:lineRule="auto"/>
        <w:ind w:left="357"/>
        <w:contextualSpacing w:val="0"/>
        <w:jc w:val="both"/>
        <w:rPr>
          <w:rFonts w:ascii="David" w:hAnsi="David"/>
          <w:noProof w:val="0"/>
        </w:rPr>
      </w:pPr>
      <w:r>
        <w:rPr>
          <w:rFonts w:ascii="David" w:hAnsi="David"/>
          <w:noProof w:val="0"/>
          <w:rtl/>
        </w:rPr>
        <w:lastRenderedPageBreak/>
        <w:t xml:space="preserve">לעניין זה יש לציין את הערת בית משפט קמא, המקובלת גם עלי, ולפיה המקרה הנדון הוא </w:t>
      </w:r>
      <w:r w:rsidR="00F63BA2">
        <w:rPr>
          <w:rFonts w:ascii="David" w:hAnsi="David" w:hint="cs"/>
          <w:noProof w:val="0"/>
          <w:rtl/>
        </w:rPr>
        <w:t>מקרה קשה</w:t>
      </w:r>
      <w:r>
        <w:rPr>
          <w:rFonts w:ascii="David" w:hAnsi="David"/>
          <w:noProof w:val="0"/>
          <w:rtl/>
        </w:rPr>
        <w:t xml:space="preserve"> בו המבוטח הלך לעולמו</w:t>
      </w:r>
      <w:r w:rsidR="00E962FF">
        <w:rPr>
          <w:rFonts w:ascii="David" w:hAnsi="David" w:hint="cs"/>
          <w:noProof w:val="0"/>
          <w:rtl/>
        </w:rPr>
        <w:t>, לצערנו,</w:t>
      </w:r>
      <w:r>
        <w:rPr>
          <w:rFonts w:ascii="David" w:hAnsi="David"/>
          <w:noProof w:val="0"/>
          <w:rtl/>
        </w:rPr>
        <w:t xml:space="preserve"> כחודש לאחר ביטול הפוליסה, אך מה היה קורה אם היה הולך לעולמו זמן רב לאחר ביטולה של הפוליסה, ללא ששילם פרמיות, האם גם אז הייתה המערערת טוענת כי כל עוד לא בוטלה הפוליסה בכתב הביטול לא נכנס לתוקף? </w:t>
      </w:r>
    </w:p>
    <w:p w:rsidR="00694556" w:rsidRDefault="004D5C30" w:rsidP="004D5C30">
      <w:pPr>
        <w:pStyle w:val="ad"/>
        <w:numPr>
          <w:ilvl w:val="0"/>
          <w:numId w:val="1"/>
        </w:numPr>
        <w:spacing w:before="240" w:after="240" w:line="360" w:lineRule="auto"/>
        <w:ind w:left="357" w:hanging="357"/>
        <w:contextualSpacing w:val="0"/>
        <w:jc w:val="both"/>
        <w:rPr>
          <w:rFonts w:ascii="Arial" w:hAnsi="Arial"/>
          <w:noProof w:val="0"/>
        </w:rPr>
      </w:pPr>
      <w:r w:rsidRPr="004D5C30">
        <w:rPr>
          <w:rFonts w:ascii="David" w:hAnsi="David"/>
          <w:noProof w:val="0"/>
          <w:rtl/>
        </w:rPr>
        <w:t xml:space="preserve">באשר ליתר טענות המערערת </w:t>
      </w:r>
      <w:r w:rsidRPr="004D5C30">
        <w:rPr>
          <w:rFonts w:ascii="David" w:hAnsi="David" w:hint="cs"/>
          <w:noProof w:val="0"/>
          <w:rtl/>
        </w:rPr>
        <w:t xml:space="preserve">בערעור, </w:t>
      </w:r>
      <w:r w:rsidRPr="004D5C30">
        <w:rPr>
          <w:rFonts w:ascii="David" w:hAnsi="David"/>
          <w:noProof w:val="0"/>
          <w:rtl/>
        </w:rPr>
        <w:t>אזי לא מצאתי כי יש</w:t>
      </w:r>
      <w:r>
        <w:rPr>
          <w:rFonts w:ascii="David" w:hAnsi="David"/>
          <w:noProof w:val="0"/>
          <w:rtl/>
        </w:rPr>
        <w:t xml:space="preserve"> להתערב </w:t>
      </w:r>
      <w:r>
        <w:rPr>
          <w:rFonts w:ascii="David" w:hAnsi="David" w:hint="cs"/>
          <w:noProof w:val="0"/>
          <w:rtl/>
        </w:rPr>
        <w:t xml:space="preserve">בקביעותיו </w:t>
      </w:r>
      <w:r>
        <w:rPr>
          <w:rFonts w:ascii="David" w:hAnsi="David"/>
          <w:noProof w:val="0"/>
          <w:rtl/>
        </w:rPr>
        <w:t>של בית משפט קמא</w:t>
      </w:r>
      <w:r>
        <w:rPr>
          <w:rFonts w:ascii="David" w:hAnsi="David" w:hint="cs"/>
          <w:noProof w:val="0"/>
          <w:rtl/>
        </w:rPr>
        <w:t xml:space="preserve">, ויש להותיר הכרעתו על כנה. </w:t>
      </w:r>
    </w:p>
    <w:p w:rsidR="00730976" w:rsidRDefault="00730976" w:rsidP="004D5C30">
      <w:pPr>
        <w:spacing w:before="240" w:after="240" w:line="360" w:lineRule="auto"/>
        <w:jc w:val="both"/>
        <w:rPr>
          <w:rFonts w:ascii="Arial" w:hAnsi="Arial"/>
          <w:b/>
          <w:bCs/>
          <w:noProof w:val="0"/>
          <w:rtl/>
        </w:rPr>
      </w:pPr>
    </w:p>
    <w:p w:rsidR="004D5C30" w:rsidRPr="004D5C30" w:rsidRDefault="004D5C30" w:rsidP="004D5C30">
      <w:pPr>
        <w:spacing w:before="240" w:after="240" w:line="360" w:lineRule="auto"/>
        <w:jc w:val="both"/>
        <w:rPr>
          <w:rFonts w:ascii="Arial" w:hAnsi="Arial"/>
          <w:b/>
          <w:bCs/>
          <w:noProof w:val="0"/>
        </w:rPr>
      </w:pPr>
      <w:r w:rsidRPr="004D5C30">
        <w:rPr>
          <w:rFonts w:ascii="Arial" w:hAnsi="Arial" w:hint="cs"/>
          <w:b/>
          <w:bCs/>
          <w:noProof w:val="0"/>
          <w:rtl/>
        </w:rPr>
        <w:t xml:space="preserve">סוף דבר </w:t>
      </w:r>
    </w:p>
    <w:p w:rsidR="004D5C30" w:rsidRDefault="004D5C30" w:rsidP="004D5C30">
      <w:pPr>
        <w:pStyle w:val="ad"/>
        <w:numPr>
          <w:ilvl w:val="0"/>
          <w:numId w:val="1"/>
        </w:numPr>
        <w:spacing w:before="240" w:after="240" w:line="360" w:lineRule="auto"/>
        <w:ind w:left="357" w:hanging="357"/>
        <w:contextualSpacing w:val="0"/>
        <w:jc w:val="both"/>
        <w:rPr>
          <w:rFonts w:ascii="Arial" w:hAnsi="Arial"/>
          <w:noProof w:val="0"/>
        </w:rPr>
      </w:pPr>
      <w:r>
        <w:rPr>
          <w:rFonts w:ascii="Arial" w:hAnsi="Arial" w:hint="cs"/>
          <w:noProof w:val="0"/>
          <w:rtl/>
        </w:rPr>
        <w:t xml:space="preserve">הערעור נדחה. </w:t>
      </w:r>
    </w:p>
    <w:p w:rsidR="004D5C30" w:rsidRDefault="00E962FF" w:rsidP="004D5C30">
      <w:pPr>
        <w:pStyle w:val="ad"/>
        <w:numPr>
          <w:ilvl w:val="0"/>
          <w:numId w:val="1"/>
        </w:numPr>
        <w:spacing w:before="240" w:after="240" w:line="360" w:lineRule="auto"/>
        <w:ind w:left="357" w:hanging="357"/>
        <w:contextualSpacing w:val="0"/>
        <w:jc w:val="both"/>
        <w:rPr>
          <w:rFonts w:ascii="Arial" w:hAnsi="Arial"/>
          <w:noProof w:val="0"/>
        </w:rPr>
      </w:pPr>
      <w:r>
        <w:rPr>
          <w:rFonts w:ascii="Arial" w:hAnsi="Arial" w:hint="cs"/>
          <w:noProof w:val="0"/>
          <w:rtl/>
        </w:rPr>
        <w:t>בנסיבות תיק זה, כאשר טרם נתגבשה הלכה מחייבת, אמליץ לחברי שלא לפסוק הוצאות.</w:t>
      </w:r>
    </w:p>
    <w:p w:rsidR="004D5C30" w:rsidRDefault="00746F95" w:rsidP="004D5C30">
      <w:pPr>
        <w:pStyle w:val="ad"/>
        <w:numPr>
          <w:ilvl w:val="0"/>
          <w:numId w:val="1"/>
        </w:numPr>
        <w:spacing w:before="240" w:after="240" w:line="360" w:lineRule="auto"/>
        <w:ind w:left="357" w:hanging="357"/>
        <w:contextualSpacing w:val="0"/>
        <w:jc w:val="both"/>
        <w:rPr>
          <w:rFonts w:ascii="Arial" w:hAnsi="Arial"/>
          <w:noProof w:val="0"/>
        </w:rPr>
      </w:pPr>
      <w:r>
        <w:rPr>
          <w:rFonts w:ascii="Arial" w:hAnsi="Arial" w:hint="cs"/>
          <w:noProof w:val="0"/>
          <w:rtl/>
        </w:rPr>
        <w:t>העירבו</w:t>
      </w:r>
      <w:r>
        <w:rPr>
          <w:rFonts w:ascii="Arial" w:hAnsi="Arial" w:hint="eastAsia"/>
          <w:noProof w:val="0"/>
          <w:rtl/>
        </w:rPr>
        <w:t>ן</w:t>
      </w:r>
      <w:r w:rsidR="00E962FF">
        <w:rPr>
          <w:rFonts w:ascii="Arial" w:hAnsi="Arial" w:hint="cs"/>
          <w:noProof w:val="0"/>
          <w:rtl/>
        </w:rPr>
        <w:t xml:space="preserve"> הכספי על פירותיו יושב למערערת באמצעות באי כוחה.</w:t>
      </w:r>
    </w:p>
    <w:p w:rsidR="00694556" w:rsidRDefault="00694556">
      <w:pPr>
        <w:spacing w:line="360" w:lineRule="auto"/>
        <w:jc w:val="both"/>
        <w:rPr>
          <w:rFonts w:ascii="Arial" w:hAnsi="Arial"/>
          <w:noProof w:val="0"/>
          <w:rtl/>
        </w:rPr>
      </w:pPr>
    </w:p>
    <w:p w:rsidR="004D5C30" w:rsidRDefault="004D5C30" w:rsidP="004D5C30">
      <w:pPr>
        <w:ind w:left="1440"/>
      </w:pPr>
      <w:r>
        <w:lastRenderedPageBreak/>
        <w:drawing>
          <wp:anchor distT="0" distB="0" distL="114300" distR="114300" simplePos="0" relativeHeight="251659264" behindDoc="0" locked="0" layoutInCell="1" allowOverlap="1">
            <wp:simplePos x="0" y="0"/>
            <wp:positionH relativeFrom="column">
              <wp:posOffset>428625</wp:posOffset>
            </wp:positionH>
            <wp:positionV relativeFrom="paragraph">
              <wp:posOffset>72390</wp:posOffset>
            </wp:positionV>
            <wp:extent cx="1282700" cy="558165"/>
            <wp:effectExtent l="0" t="0" r="0" b="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0" cy="558165"/>
                    </a:xfrm>
                    <a:prstGeom prst="rect">
                      <a:avLst/>
                    </a:prstGeom>
                    <a:noFill/>
                  </pic:spPr>
                </pic:pic>
              </a:graphicData>
            </a:graphic>
            <wp14:sizeRelH relativeFrom="page">
              <wp14:pctWidth>0</wp14:pctWidth>
            </wp14:sizeRelH>
            <wp14:sizeRelV relativeFrom="page">
              <wp14:pctHeight>0</wp14:pctHeight>
            </wp14:sizeRelV>
          </wp:anchor>
        </w:drawing>
      </w:r>
    </w:p>
    <w:p w:rsidR="004D5C30" w:rsidRDefault="004D5C30" w:rsidP="004D5C30">
      <w:pPr>
        <w:ind w:left="5040"/>
        <w:rPr>
          <w:rtl/>
        </w:rPr>
      </w:pPr>
    </w:p>
    <w:p w:rsidR="004D5C30" w:rsidRDefault="004D5C30" w:rsidP="004D5C30">
      <w:pPr>
        <w:ind w:left="5040"/>
        <w:rPr>
          <w:rtl/>
        </w:rPr>
      </w:pPr>
    </w:p>
    <w:p w:rsidR="004D5C30" w:rsidRDefault="004D5C30" w:rsidP="004D5C30">
      <w:pPr>
        <w:ind w:left="5040"/>
        <w:rPr>
          <w:rtl/>
        </w:rPr>
      </w:pPr>
    </w:p>
    <w:tbl>
      <w:tblPr>
        <w:tblStyle w:val="a9"/>
        <w:bidiVisual/>
        <w:tblW w:w="0" w:type="auto"/>
        <w:tblInd w:w="50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19"/>
      </w:tblGrid>
      <w:tr w:rsidR="004D5C30" w:rsidTr="004D5C30">
        <w:tc>
          <w:tcPr>
            <w:tcW w:w="2919" w:type="dxa"/>
            <w:tcBorders>
              <w:top w:val="nil"/>
              <w:left w:val="nil"/>
              <w:bottom w:val="single" w:sz="4" w:space="0" w:color="auto"/>
              <w:right w:val="nil"/>
            </w:tcBorders>
            <w:vAlign w:val="center"/>
          </w:tcPr>
          <w:p w:rsidR="004D5C30" w:rsidRDefault="004D5C30">
            <w:pPr>
              <w:jc w:val="center"/>
              <w:rPr>
                <w:rFonts w:ascii="Courier New" w:hAnsi="Courier New"/>
                <w:b/>
                <w:bCs/>
                <w:rtl/>
              </w:rPr>
            </w:pPr>
          </w:p>
        </w:tc>
      </w:tr>
      <w:tr w:rsidR="004D5C30" w:rsidTr="004D5C30">
        <w:tc>
          <w:tcPr>
            <w:tcW w:w="2919" w:type="dxa"/>
            <w:tcBorders>
              <w:top w:val="single" w:sz="4" w:space="0" w:color="auto"/>
              <w:left w:val="nil"/>
              <w:bottom w:val="nil"/>
              <w:right w:val="nil"/>
            </w:tcBorders>
            <w:vAlign w:val="bottom"/>
          </w:tcPr>
          <w:p w:rsidR="004D5C30" w:rsidRDefault="004D5C30">
            <w:pPr>
              <w:jc w:val="center"/>
              <w:rPr>
                <w:rFonts w:ascii="Courier New" w:hAnsi="Courier New"/>
                <w:b/>
                <w:bCs/>
                <w:sz w:val="26"/>
                <w:szCs w:val="26"/>
                <w:rtl/>
              </w:rPr>
            </w:pPr>
            <w:r>
              <w:rPr>
                <w:rFonts w:ascii="Courier New" w:hAnsi="Courier New"/>
                <w:b/>
                <w:bCs/>
                <w:sz w:val="26"/>
                <w:szCs w:val="26"/>
                <w:rtl/>
              </w:rPr>
              <w:t>עינת רביד, שופטת</w:t>
            </w:r>
          </w:p>
          <w:p w:rsidR="004D5C30" w:rsidRDefault="004D5C30">
            <w:pPr>
              <w:jc w:val="center"/>
              <w:rPr>
                <w:rFonts w:ascii="Courier New" w:hAnsi="Courier New"/>
                <w:b/>
                <w:bCs/>
                <w:sz w:val="26"/>
                <w:szCs w:val="26"/>
              </w:rPr>
            </w:pPr>
          </w:p>
        </w:tc>
      </w:tr>
    </w:tbl>
    <w:p w:rsidR="004D5C30" w:rsidRDefault="004D5C30" w:rsidP="004D5C30"/>
    <w:p w:rsidR="004D5C30" w:rsidRPr="00746F95" w:rsidRDefault="004D5C30" w:rsidP="00D84A7C">
      <w:pPr>
        <w:spacing w:line="360" w:lineRule="auto"/>
        <w:jc w:val="both"/>
        <w:rPr>
          <w:rFonts w:ascii="David" w:hAnsi="David"/>
          <w:noProof w:val="0"/>
          <w:sz w:val="26"/>
          <w:szCs w:val="26"/>
          <w:u w:val="single"/>
        </w:rPr>
      </w:pPr>
      <w:r w:rsidRPr="00746F95">
        <w:rPr>
          <w:rFonts w:ascii="David" w:hAnsi="David"/>
          <w:b/>
          <w:bCs/>
          <w:sz w:val="26"/>
          <w:szCs w:val="26"/>
          <w:u w:val="single"/>
          <w:rtl/>
        </w:rPr>
        <w:t xml:space="preserve">כבוד השופט </w:t>
      </w:r>
      <w:r w:rsidR="00D84A7C" w:rsidRPr="00746F95">
        <w:rPr>
          <w:rFonts w:ascii="David" w:hAnsi="David" w:hint="cs"/>
          <w:b/>
          <w:bCs/>
          <w:sz w:val="26"/>
          <w:szCs w:val="26"/>
          <w:u w:val="single"/>
          <w:rtl/>
        </w:rPr>
        <w:t>שאול שוחט</w:t>
      </w:r>
      <w:r w:rsidRPr="00746F95">
        <w:rPr>
          <w:rFonts w:ascii="David" w:hAnsi="David"/>
          <w:b/>
          <w:bCs/>
          <w:sz w:val="26"/>
          <w:szCs w:val="26"/>
          <w:u w:val="single"/>
          <w:rtl/>
        </w:rPr>
        <w:t xml:space="preserve">, סג"נ -אב"ד : </w:t>
      </w:r>
    </w:p>
    <w:p w:rsidR="004D5C30" w:rsidRDefault="004D5C30" w:rsidP="00D84A7C">
      <w:pPr>
        <w:spacing w:line="360" w:lineRule="auto"/>
        <w:jc w:val="both"/>
        <w:rPr>
          <w:rFonts w:ascii="David" w:hAnsi="David"/>
          <w:noProof w:val="0"/>
          <w:rtl/>
        </w:rPr>
      </w:pPr>
      <w:r w:rsidRPr="00746F95">
        <w:rPr>
          <w:rFonts w:ascii="David" w:hAnsi="David"/>
          <w:rtl/>
        </w:rPr>
        <w:t>אני מסכי</w:t>
      </w:r>
      <w:r w:rsidR="00D84A7C" w:rsidRPr="00746F95">
        <w:rPr>
          <w:rFonts w:ascii="David" w:hAnsi="David" w:hint="cs"/>
          <w:rtl/>
        </w:rPr>
        <w:t>ם</w:t>
      </w:r>
      <w:r w:rsidRPr="00746F95">
        <w:rPr>
          <w:rFonts w:ascii="David" w:hAnsi="David"/>
          <w:rtl/>
        </w:rPr>
        <w:t>.</w:t>
      </w:r>
    </w:p>
    <w:p w:rsidR="004D5C30" w:rsidRDefault="004D5C30" w:rsidP="004D5C30"/>
    <w:tbl>
      <w:tblPr>
        <w:bidiVisual/>
        <w:tblW w:w="0" w:type="auto"/>
        <w:tblInd w:w="4932" w:type="dxa"/>
        <w:tblCellMar>
          <w:left w:w="0" w:type="dxa"/>
          <w:right w:w="0" w:type="dxa"/>
        </w:tblCellMar>
        <w:tblLook w:val="04A0" w:firstRow="1" w:lastRow="0" w:firstColumn="1" w:lastColumn="0" w:noHBand="0" w:noVBand="1"/>
      </w:tblPr>
      <w:tblGrid>
        <w:gridCol w:w="2916"/>
      </w:tblGrid>
      <w:tr w:rsidR="00746F95" w:rsidTr="00746F95">
        <w:tc>
          <w:tcPr>
            <w:tcW w:w="2916" w:type="dxa"/>
            <w:tcBorders>
              <w:top w:val="nil"/>
              <w:left w:val="nil"/>
              <w:bottom w:val="single" w:sz="8" w:space="0" w:color="auto"/>
              <w:right w:val="nil"/>
            </w:tcBorders>
            <w:tcMar>
              <w:top w:w="0" w:type="dxa"/>
              <w:left w:w="108" w:type="dxa"/>
              <w:bottom w:w="0" w:type="dxa"/>
              <w:right w:w="108" w:type="dxa"/>
            </w:tcMar>
            <w:vAlign w:val="center"/>
            <w:hideMark/>
          </w:tcPr>
          <w:p w:rsidR="00746F95" w:rsidRDefault="00746F95">
            <w:pPr>
              <w:spacing w:line="256" w:lineRule="auto"/>
              <w:ind w:left="360"/>
              <w:jc w:val="center"/>
              <w:rPr>
                <w:rFonts w:ascii="David" w:hAnsi="David"/>
                <w:b/>
                <w:bCs/>
                <w:rtl/>
              </w:rPr>
            </w:pPr>
            <w:r>
              <w:rPr>
                <w:rFonts w:ascii="David" w:hAnsi="David"/>
              </w:rPr>
              <w:drawing>
                <wp:inline distT="0" distB="0" distL="0" distR="0">
                  <wp:extent cx="1485900" cy="742950"/>
                  <wp:effectExtent l="0" t="0" r="0" b="0"/>
                  <wp:docPr id="8" name="תמונה 8" descr="cid:image002.gif@01D5D9AF.3D52D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gif@01D5D9AF.3D52D30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485900" cy="742950"/>
                          </a:xfrm>
                          <a:prstGeom prst="rect">
                            <a:avLst/>
                          </a:prstGeom>
                          <a:noFill/>
                          <a:ln>
                            <a:noFill/>
                          </a:ln>
                        </pic:spPr>
                      </pic:pic>
                    </a:graphicData>
                  </a:graphic>
                </wp:inline>
              </w:drawing>
            </w:r>
          </w:p>
        </w:tc>
      </w:tr>
      <w:tr w:rsidR="00746F95" w:rsidTr="00746F95">
        <w:tc>
          <w:tcPr>
            <w:tcW w:w="2916" w:type="dxa"/>
            <w:tcMar>
              <w:top w:w="0" w:type="dxa"/>
              <w:left w:w="108" w:type="dxa"/>
              <w:bottom w:w="0" w:type="dxa"/>
              <w:right w:w="108" w:type="dxa"/>
            </w:tcMar>
            <w:hideMark/>
          </w:tcPr>
          <w:p w:rsidR="00746F95" w:rsidRDefault="00746F95">
            <w:pPr>
              <w:spacing w:line="256" w:lineRule="auto"/>
              <w:ind w:left="360"/>
              <w:jc w:val="center"/>
              <w:rPr>
                <w:rFonts w:ascii="David" w:hAnsi="David"/>
                <w:b/>
                <w:bCs/>
                <w:sz w:val="26"/>
                <w:szCs w:val="26"/>
              </w:rPr>
            </w:pPr>
            <w:r>
              <w:rPr>
                <w:rFonts w:ascii="David" w:hAnsi="David"/>
                <w:b/>
                <w:bCs/>
                <w:sz w:val="26"/>
                <w:szCs w:val="26"/>
                <w:rtl/>
              </w:rPr>
              <w:t>שאול שוחט, שופט</w:t>
            </w:r>
          </w:p>
          <w:p w:rsidR="00746F95" w:rsidRDefault="00746F95">
            <w:pPr>
              <w:spacing w:line="256" w:lineRule="auto"/>
              <w:ind w:left="360"/>
              <w:jc w:val="center"/>
              <w:rPr>
                <w:rFonts w:ascii="David" w:hAnsi="David"/>
                <w:b/>
                <w:bCs/>
              </w:rPr>
            </w:pPr>
            <w:r>
              <w:rPr>
                <w:rFonts w:ascii="David" w:hAnsi="David"/>
                <w:b/>
                <w:bCs/>
                <w:sz w:val="26"/>
                <w:szCs w:val="26"/>
                <w:rtl/>
              </w:rPr>
              <w:t>סג"נ-אב"ד</w:t>
            </w:r>
            <w:r>
              <w:rPr>
                <w:rFonts w:ascii="David" w:hAnsi="David"/>
                <w:b/>
                <w:bCs/>
                <w:rtl/>
              </w:rPr>
              <w:t xml:space="preserve"> </w:t>
            </w:r>
          </w:p>
        </w:tc>
      </w:tr>
    </w:tbl>
    <w:p w:rsidR="004D5C30" w:rsidRDefault="004D5C30" w:rsidP="004D5C30">
      <w:pPr>
        <w:bidi w:val="0"/>
        <w:ind w:left="720"/>
        <w:rPr>
          <w:rtl/>
        </w:rPr>
      </w:pPr>
    </w:p>
    <w:p w:rsidR="004D5C30" w:rsidRDefault="004D5C30" w:rsidP="004D5C30"/>
    <w:p w:rsidR="004D5C30" w:rsidRDefault="004D5C30" w:rsidP="004D5C30">
      <w:pPr>
        <w:spacing w:line="360" w:lineRule="auto"/>
        <w:jc w:val="both"/>
        <w:rPr>
          <w:rFonts w:ascii="David" w:hAnsi="David"/>
          <w:b/>
          <w:bCs/>
          <w:sz w:val="26"/>
          <w:szCs w:val="26"/>
          <w:u w:val="single"/>
          <w:rtl/>
        </w:rPr>
      </w:pPr>
      <w:r>
        <w:rPr>
          <w:rFonts w:ascii="David" w:hAnsi="David"/>
          <w:b/>
          <w:bCs/>
          <w:sz w:val="26"/>
          <w:szCs w:val="26"/>
          <w:u w:val="single"/>
          <w:rtl/>
        </w:rPr>
        <w:t>כבוד השופט נפתלי שילה:</w:t>
      </w:r>
    </w:p>
    <w:p w:rsidR="004D5C30" w:rsidRDefault="004D5C30" w:rsidP="004D5C30">
      <w:pPr>
        <w:spacing w:line="360" w:lineRule="auto"/>
        <w:jc w:val="both"/>
        <w:rPr>
          <w:rFonts w:ascii="David" w:hAnsi="David"/>
          <w:rtl/>
        </w:rPr>
      </w:pPr>
      <w:r>
        <w:rPr>
          <w:rFonts w:ascii="David" w:hAnsi="David"/>
          <w:rtl/>
        </w:rPr>
        <w:t xml:space="preserve">אני מסכים. </w:t>
      </w:r>
    </w:p>
    <w:tbl>
      <w:tblPr>
        <w:bidiVisual/>
        <w:tblW w:w="0" w:type="auto"/>
        <w:tblInd w:w="4932" w:type="dxa"/>
        <w:tblCellMar>
          <w:left w:w="0" w:type="dxa"/>
          <w:right w:w="0" w:type="dxa"/>
        </w:tblCellMar>
        <w:tblLook w:val="04A0" w:firstRow="1" w:lastRow="0" w:firstColumn="1" w:lastColumn="0" w:noHBand="0" w:noVBand="1"/>
      </w:tblPr>
      <w:tblGrid>
        <w:gridCol w:w="2872"/>
      </w:tblGrid>
      <w:tr w:rsidR="004D5C30" w:rsidTr="004D5C30">
        <w:tc>
          <w:tcPr>
            <w:tcW w:w="2872" w:type="dxa"/>
            <w:tcBorders>
              <w:top w:val="nil"/>
              <w:left w:val="nil"/>
              <w:bottom w:val="single" w:sz="8" w:space="0" w:color="auto"/>
              <w:right w:val="nil"/>
            </w:tcBorders>
            <w:tcMar>
              <w:top w:w="0" w:type="dxa"/>
              <w:left w:w="108" w:type="dxa"/>
              <w:bottom w:w="0" w:type="dxa"/>
              <w:right w:w="108" w:type="dxa"/>
            </w:tcMar>
            <w:hideMark/>
          </w:tcPr>
          <w:p w:rsidR="004D5C30" w:rsidRDefault="004D5C30">
            <w:pPr>
              <w:spacing w:line="360" w:lineRule="auto"/>
              <w:ind w:left="360"/>
              <w:jc w:val="both"/>
              <w:rPr>
                <w:rFonts w:ascii="David" w:hAnsi="David"/>
                <w:rtl/>
              </w:rPr>
            </w:pPr>
            <w:r>
              <w:rPr>
                <w:rFonts w:ascii="David" w:hAnsi="David"/>
              </w:rPr>
              <w:lastRenderedPageBreak/>
              <w:drawing>
                <wp:inline distT="0" distB="0" distL="0" distR="0">
                  <wp:extent cx="1333500" cy="533400"/>
                  <wp:effectExtent l="0" t="0" r="0" b="0"/>
                  <wp:docPr id="2" name="תמונה 2" descr="cid:image003.png@01D5D9AF.3D52D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5D9AF.3D52D30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33500" cy="533400"/>
                          </a:xfrm>
                          <a:prstGeom prst="rect">
                            <a:avLst/>
                          </a:prstGeom>
                          <a:noFill/>
                          <a:ln>
                            <a:noFill/>
                          </a:ln>
                        </pic:spPr>
                      </pic:pic>
                    </a:graphicData>
                  </a:graphic>
                </wp:inline>
              </w:drawing>
            </w:r>
          </w:p>
        </w:tc>
      </w:tr>
      <w:tr w:rsidR="004D5C30" w:rsidTr="004D5C30">
        <w:tc>
          <w:tcPr>
            <w:tcW w:w="2872" w:type="dxa"/>
            <w:tcMar>
              <w:top w:w="0" w:type="dxa"/>
              <w:left w:w="108" w:type="dxa"/>
              <w:bottom w:w="0" w:type="dxa"/>
              <w:right w:w="108" w:type="dxa"/>
            </w:tcMar>
            <w:hideMark/>
          </w:tcPr>
          <w:p w:rsidR="004D5C30" w:rsidRDefault="004D5C30">
            <w:pPr>
              <w:spacing w:line="360" w:lineRule="auto"/>
              <w:ind w:left="360"/>
              <w:jc w:val="center"/>
              <w:rPr>
                <w:rFonts w:ascii="David" w:hAnsi="David"/>
                <w:b/>
                <w:bCs/>
                <w:sz w:val="26"/>
                <w:szCs w:val="26"/>
                <w:rtl/>
              </w:rPr>
            </w:pPr>
            <w:r>
              <w:rPr>
                <w:rFonts w:ascii="David" w:hAnsi="David"/>
                <w:b/>
                <w:bCs/>
                <w:sz w:val="26"/>
                <w:szCs w:val="26"/>
                <w:rtl/>
              </w:rPr>
              <w:t>נפתלי שילה, שופט</w:t>
            </w:r>
          </w:p>
        </w:tc>
      </w:tr>
    </w:tbl>
    <w:p w:rsidR="004D5C30" w:rsidRDefault="004D5C30" w:rsidP="004D5C30">
      <w:pPr>
        <w:rPr>
          <w:rFonts w:ascii="Calibri" w:hAnsi="Calibri" w:cs="Calibri"/>
          <w:sz w:val="22"/>
          <w:szCs w:val="22"/>
        </w:rPr>
      </w:pPr>
    </w:p>
    <w:p w:rsidR="004D5C30" w:rsidRDefault="004D5C30" w:rsidP="004D5C30">
      <w:pPr>
        <w:spacing w:line="360" w:lineRule="auto"/>
        <w:rPr>
          <w:rFonts w:ascii="Arial" w:hAnsi="Arial"/>
          <w:noProof w:val="0"/>
          <w:rtl/>
        </w:rPr>
      </w:pPr>
      <w:r>
        <w:rPr>
          <w:rFonts w:ascii="Arial" w:hAnsi="Arial"/>
          <w:noProof w:val="0"/>
          <w:rtl/>
        </w:rPr>
        <w:t xml:space="preserve">הוחלט בהתאם לפסק דינה של השופטת רביד. </w:t>
      </w:r>
    </w:p>
    <w:p w:rsidR="004D5C30" w:rsidRDefault="004D5C30" w:rsidP="004D5C30">
      <w:pPr>
        <w:spacing w:line="360" w:lineRule="auto"/>
        <w:rPr>
          <w:rFonts w:ascii="Arial" w:hAnsi="Arial"/>
          <w:noProof w:val="0"/>
          <w:rtl/>
        </w:rPr>
      </w:pPr>
    </w:p>
    <w:p w:rsidR="00746F95" w:rsidRDefault="00746F95" w:rsidP="004D5C30">
      <w:pPr>
        <w:spacing w:line="360" w:lineRule="auto"/>
        <w:jc w:val="both"/>
        <w:rPr>
          <w:rFonts w:ascii="Arial" w:hAnsi="Arial"/>
          <w:noProof w:val="0"/>
          <w:rtl/>
        </w:rPr>
      </w:pPr>
    </w:p>
    <w:p w:rsidR="004D5C30" w:rsidRDefault="004D5C30" w:rsidP="004D5C30">
      <w:pPr>
        <w:spacing w:line="360" w:lineRule="auto"/>
        <w:jc w:val="both"/>
        <w:rPr>
          <w:rFonts w:ascii="Arial" w:hAnsi="Arial"/>
          <w:noProof w:val="0"/>
          <w:rtl/>
        </w:rPr>
      </w:pPr>
      <w:r>
        <w:rPr>
          <w:rFonts w:ascii="Arial" w:hAnsi="Arial"/>
          <w:noProof w:val="0"/>
          <w:rtl/>
        </w:rPr>
        <w:t>המזכירות תמציא העתק מפסק הדין לב"כ הצדדים.</w:t>
      </w:r>
    </w:p>
    <w:p w:rsidR="007816EC" w:rsidRDefault="007816EC" w:rsidP="004D5C30">
      <w:pPr>
        <w:spacing w:line="360" w:lineRule="auto"/>
        <w:jc w:val="both"/>
        <w:rPr>
          <w:rFonts w:ascii="Arial" w:hAnsi="Arial"/>
          <w:noProof w:val="0"/>
          <w:rtl/>
        </w:rPr>
      </w:pPr>
    </w:p>
    <w:p w:rsidR="007816EC" w:rsidRDefault="007816EC" w:rsidP="004D5C30">
      <w:pPr>
        <w:spacing w:line="360" w:lineRule="auto"/>
        <w:jc w:val="both"/>
        <w:rPr>
          <w:rFonts w:ascii="Arial" w:hAnsi="Arial"/>
          <w:noProof w:val="0"/>
          <w:rtl/>
        </w:rPr>
      </w:pPr>
      <w:r>
        <w:rPr>
          <w:rFonts w:ascii="Arial" w:hAnsi="Arial" w:hint="cs"/>
          <w:noProof w:val="0"/>
          <w:rtl/>
        </w:rPr>
        <w:t>פסק הדין מותר בפרסום בכפוף להשמטת פרטים מזהים.</w:t>
      </w:r>
    </w:p>
    <w:p w:rsidR="004D5C30" w:rsidRDefault="004D5C30">
      <w:pPr>
        <w:spacing w:line="360" w:lineRule="auto"/>
        <w:jc w:val="both"/>
        <w:rPr>
          <w:rFonts w:ascii="Arial" w:hAnsi="Arial"/>
          <w:noProof w:val="0"/>
          <w:rtl/>
        </w:rPr>
      </w:pPr>
    </w:p>
    <w:p w:rsidR="004D5C30" w:rsidRDefault="004D5C30">
      <w:pPr>
        <w:spacing w:line="360" w:lineRule="auto"/>
        <w:jc w:val="both"/>
        <w:rPr>
          <w:rFonts w:ascii="Arial" w:hAnsi="Arial"/>
          <w:noProof w:val="0"/>
          <w:rtl/>
        </w:rPr>
      </w:pPr>
    </w:p>
    <w:p w:rsidR="00694556" w:rsidRDefault="00005C8B" w:rsidP="007816EC">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hint="cs"/>
              <w:noProof w:val="0"/>
              <w:rtl/>
            </w:rPr>
            <w:t>כ"ו אדר ב' תשפ"ב</w:t>
          </w:r>
        </w:sdtContent>
      </w:sdt>
      <w:r>
        <w:rPr>
          <w:rFonts w:ascii="Arial" w:hAnsi="Arial"/>
          <w:noProof w:val="0"/>
          <w:rtl/>
        </w:rPr>
        <w:t xml:space="preserve">, </w:t>
      </w:r>
      <w:sdt>
        <w:sdtPr>
          <w:rPr>
            <w:rtl/>
          </w:rPr>
          <w:alias w:val="1456"/>
          <w:tag w:val="1456"/>
          <w:id w:val="-1101635932"/>
          <w:text w:multiLine="1"/>
        </w:sdtPr>
        <w:sdtEndPr/>
        <w:sdtContent>
          <w:r>
            <w:rPr>
              <w:rFonts w:ascii="Arial" w:hAnsi="Arial" w:hint="cs"/>
              <w:noProof w:val="0"/>
              <w:rtl/>
            </w:rPr>
            <w:t>29 מרץ 2022</w:t>
          </w:r>
        </w:sdtContent>
      </w:sdt>
      <w:r>
        <w:rPr>
          <w:rFonts w:ascii="Arial" w:hAnsi="Arial"/>
          <w:noProof w:val="0"/>
          <w:rtl/>
        </w:rPr>
        <w:t>, בהעדר הצדדים.</w:t>
      </w:r>
    </w:p>
    <w:p w:rsidR="00227353" w:rsidRDefault="00227353" w:rsidP="00227353">
      <w:pPr>
        <w:spacing w:line="360" w:lineRule="auto"/>
        <w:jc w:val="both"/>
        <w:rPr>
          <w:rFonts w:ascii="Arial" w:hAnsi="Arial"/>
          <w:noProof w:val="0"/>
          <w:rtl/>
        </w:rPr>
      </w:pPr>
    </w:p>
    <w:p w:rsidR="005B0F49" w:rsidRDefault="005B0F49" w:rsidP="00633C4F">
      <w:pPr>
        <w:spacing w:line="360" w:lineRule="auto"/>
        <w:jc w:val="both"/>
        <w:rPr>
          <w:rFonts w:ascii="Arial" w:hAnsi="Arial"/>
          <w:noProof w:val="0"/>
          <w:rtl/>
        </w:rPr>
      </w:pPr>
      <w:r>
        <w:rPr>
          <w:rFonts w:ascii="Arial" w:hAnsi="Arial" w:hint="cs"/>
          <w:noProof w:val="0"/>
          <w:rtl/>
        </w:rPr>
        <w:lastRenderedPageBreak/>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tbl>
      <w:tblPr>
        <w:bidiVisual/>
        <w:tblW w:w="8597" w:type="dxa"/>
        <w:tblCellMar>
          <w:left w:w="0" w:type="dxa"/>
          <w:right w:w="0" w:type="dxa"/>
        </w:tblCellMar>
        <w:tblLook w:val="04A0" w:firstRow="1" w:lastRow="0" w:firstColumn="1" w:lastColumn="0" w:noHBand="0" w:noVBand="1"/>
      </w:tblPr>
      <w:tblGrid>
        <w:gridCol w:w="2988"/>
        <w:gridCol w:w="238"/>
        <w:gridCol w:w="2321"/>
        <w:gridCol w:w="303"/>
        <w:gridCol w:w="2747"/>
      </w:tblGrid>
      <w:tr w:rsidR="00746F95" w:rsidTr="00746F95">
        <w:trPr>
          <w:trHeight w:val="1117"/>
        </w:trPr>
        <w:tc>
          <w:tcPr>
            <w:tcW w:w="2988" w:type="dxa"/>
            <w:tcBorders>
              <w:top w:val="nil"/>
              <w:left w:val="nil"/>
              <w:bottom w:val="single" w:sz="8" w:space="0" w:color="auto"/>
              <w:right w:val="nil"/>
            </w:tcBorders>
            <w:tcMar>
              <w:top w:w="0" w:type="dxa"/>
              <w:left w:w="108" w:type="dxa"/>
              <w:bottom w:w="0" w:type="dxa"/>
              <w:right w:w="108" w:type="dxa"/>
            </w:tcMar>
            <w:vAlign w:val="center"/>
            <w:hideMark/>
          </w:tcPr>
          <w:p w:rsidR="00746F95" w:rsidRDefault="00746F95">
            <w:pPr>
              <w:spacing w:line="256" w:lineRule="auto"/>
              <w:jc w:val="center"/>
              <w:rPr>
                <w:rFonts w:ascii="David" w:hAnsi="David"/>
                <w:b/>
                <w:bCs/>
                <w:lang w:eastAsia="he-IL"/>
              </w:rPr>
            </w:pPr>
            <w:r>
              <w:rPr>
                <w:rFonts w:ascii="Courier New" w:hAnsi="Courier New" w:cs="Courier New"/>
                <w:b/>
                <w:bCs/>
                <w:sz w:val="20"/>
                <w:szCs w:val="20"/>
              </w:rPr>
              <w:drawing>
                <wp:inline distT="0" distB="0" distL="0" distR="0">
                  <wp:extent cx="1485900" cy="742950"/>
                  <wp:effectExtent l="0" t="0" r="0" b="0"/>
                  <wp:docPr id="14" name="תמונה 14" descr="cid:image004.png@01D56948.29CD4D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id:image004.png@01D56948.29CD4D6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485900" cy="742950"/>
                          </a:xfrm>
                          <a:prstGeom prst="rect">
                            <a:avLst/>
                          </a:prstGeom>
                          <a:noFill/>
                          <a:ln>
                            <a:noFill/>
                          </a:ln>
                        </pic:spPr>
                      </pic:pic>
                    </a:graphicData>
                  </a:graphic>
                </wp:inline>
              </w:drawing>
            </w:r>
          </w:p>
        </w:tc>
        <w:tc>
          <w:tcPr>
            <w:tcW w:w="238" w:type="dxa"/>
            <w:tcMar>
              <w:top w:w="0" w:type="dxa"/>
              <w:left w:w="108" w:type="dxa"/>
              <w:bottom w:w="0" w:type="dxa"/>
              <w:right w:w="108" w:type="dxa"/>
            </w:tcMar>
            <w:vAlign w:val="center"/>
          </w:tcPr>
          <w:p w:rsidR="00746F95" w:rsidRDefault="00746F95">
            <w:pPr>
              <w:spacing w:line="256" w:lineRule="auto"/>
              <w:jc w:val="center"/>
              <w:rPr>
                <w:rFonts w:ascii="Courier New" w:hAnsi="Courier New" w:cs="Courier New"/>
                <w:b/>
                <w:bCs/>
                <w:lang w:eastAsia="he-IL"/>
              </w:rPr>
            </w:pPr>
          </w:p>
        </w:tc>
        <w:tc>
          <w:tcPr>
            <w:tcW w:w="2321" w:type="dxa"/>
            <w:tcBorders>
              <w:top w:val="nil"/>
              <w:left w:val="nil"/>
              <w:bottom w:val="single" w:sz="8" w:space="0" w:color="auto"/>
              <w:right w:val="nil"/>
            </w:tcBorders>
            <w:tcMar>
              <w:top w:w="0" w:type="dxa"/>
              <w:left w:w="108" w:type="dxa"/>
              <w:bottom w:w="0" w:type="dxa"/>
              <w:right w:w="108" w:type="dxa"/>
            </w:tcMar>
            <w:vAlign w:val="center"/>
          </w:tcPr>
          <w:p w:rsidR="00746F95" w:rsidRDefault="00746F95">
            <w:pPr>
              <w:spacing w:line="256" w:lineRule="auto"/>
              <w:jc w:val="center"/>
              <w:rPr>
                <w:rFonts w:ascii="Courier New" w:hAnsi="Courier New" w:cs="Courier New"/>
                <w:b/>
                <w:bCs/>
                <w:sz w:val="20"/>
                <w:szCs w:val="20"/>
                <w:rtl/>
                <w:lang w:eastAsia="he-IL"/>
              </w:rPr>
            </w:pPr>
            <w:r>
              <w:drawing>
                <wp:inline distT="0" distB="0" distL="0" distR="0">
                  <wp:extent cx="1285875" cy="561975"/>
                  <wp:effectExtent l="0" t="0" r="9525" b="9525"/>
                  <wp:docPr id="13" name="תמונה 13" descr="cid:image001.png@01D56948.29CD4D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id:image001.png@01D56948.29CD4D60"/>
                          <pic:cNvPicPr>
                            <a:picLocks noChangeAspect="1" noChangeArrowheads="1"/>
                          </pic:cNvPicPr>
                        </pic:nvPicPr>
                        <pic:blipFill>
                          <a:blip r:embed="rId8" r:link="rId15">
                            <a:extLst>
                              <a:ext uri="{28A0092B-C50C-407E-A947-70E740481C1C}">
                                <a14:useLocalDpi xmlns:a14="http://schemas.microsoft.com/office/drawing/2010/main" val="0"/>
                              </a:ext>
                            </a:extLst>
                          </a:blip>
                          <a:srcRect/>
                          <a:stretch>
                            <a:fillRect/>
                          </a:stretch>
                        </pic:blipFill>
                        <pic:spPr bwMode="auto">
                          <a:xfrm>
                            <a:off x="0" y="0"/>
                            <a:ext cx="1285875" cy="561975"/>
                          </a:xfrm>
                          <a:prstGeom prst="rect">
                            <a:avLst/>
                          </a:prstGeom>
                          <a:noFill/>
                          <a:ln>
                            <a:noFill/>
                          </a:ln>
                        </pic:spPr>
                      </pic:pic>
                    </a:graphicData>
                  </a:graphic>
                </wp:inline>
              </w:drawing>
            </w:r>
          </w:p>
          <w:p w:rsidR="00746F95" w:rsidRDefault="00746F95">
            <w:pPr>
              <w:spacing w:line="256" w:lineRule="auto"/>
              <w:jc w:val="center"/>
              <w:rPr>
                <w:rFonts w:ascii="David" w:hAnsi="David"/>
                <w:b/>
                <w:bCs/>
                <w:sz w:val="20"/>
                <w:szCs w:val="20"/>
                <w:rtl/>
                <w:lang w:eastAsia="he-IL"/>
              </w:rPr>
            </w:pPr>
          </w:p>
        </w:tc>
        <w:tc>
          <w:tcPr>
            <w:tcW w:w="303" w:type="dxa"/>
            <w:tcMar>
              <w:top w:w="0" w:type="dxa"/>
              <w:left w:w="108" w:type="dxa"/>
              <w:bottom w:w="0" w:type="dxa"/>
              <w:right w:w="108" w:type="dxa"/>
            </w:tcMar>
            <w:vAlign w:val="center"/>
          </w:tcPr>
          <w:p w:rsidR="00746F95" w:rsidRDefault="00746F95">
            <w:pPr>
              <w:spacing w:line="256" w:lineRule="auto"/>
              <w:jc w:val="center"/>
              <w:rPr>
                <w:rFonts w:ascii="Courier New" w:hAnsi="Courier New" w:cs="Courier New"/>
                <w:b/>
                <w:bCs/>
                <w:rtl/>
                <w:lang w:eastAsia="he-IL"/>
              </w:rPr>
            </w:pPr>
          </w:p>
        </w:tc>
        <w:tc>
          <w:tcPr>
            <w:tcW w:w="2747" w:type="dxa"/>
            <w:tcBorders>
              <w:top w:val="nil"/>
              <w:left w:val="nil"/>
              <w:bottom w:val="single" w:sz="8" w:space="0" w:color="auto"/>
              <w:right w:val="nil"/>
            </w:tcBorders>
            <w:tcMar>
              <w:top w:w="0" w:type="dxa"/>
              <w:left w:w="108" w:type="dxa"/>
              <w:bottom w:w="0" w:type="dxa"/>
              <w:right w:w="108" w:type="dxa"/>
            </w:tcMar>
            <w:vAlign w:val="center"/>
            <w:hideMark/>
          </w:tcPr>
          <w:p w:rsidR="00746F95" w:rsidRDefault="00746F95">
            <w:pPr>
              <w:spacing w:line="256" w:lineRule="auto"/>
              <w:jc w:val="center"/>
              <w:rPr>
                <w:rFonts w:ascii="Courier New" w:hAnsi="Courier New" w:cs="Courier New"/>
                <w:b/>
                <w:bCs/>
                <w:sz w:val="20"/>
                <w:szCs w:val="20"/>
                <w:lang w:eastAsia="he-IL"/>
              </w:rPr>
            </w:pPr>
            <w:r>
              <w:drawing>
                <wp:inline distT="0" distB="0" distL="0" distR="0">
                  <wp:extent cx="1333500" cy="533400"/>
                  <wp:effectExtent l="0" t="0" r="0" b="0"/>
                  <wp:docPr id="12" name="תמונה 12" descr="cid:image003.png@01D56948.29CD4D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id:image003.png@01D56948.29CD4D60"/>
                          <pic:cNvPicPr>
                            <a:picLocks noChangeAspect="1" noChangeArrowheads="1"/>
                          </pic:cNvPicPr>
                        </pic:nvPicPr>
                        <pic:blipFill>
                          <a:blip r:embed="rId11" r:link="rId16">
                            <a:extLst>
                              <a:ext uri="{28A0092B-C50C-407E-A947-70E740481C1C}">
                                <a14:useLocalDpi xmlns:a14="http://schemas.microsoft.com/office/drawing/2010/main" val="0"/>
                              </a:ext>
                            </a:extLst>
                          </a:blip>
                          <a:srcRect/>
                          <a:stretch>
                            <a:fillRect/>
                          </a:stretch>
                        </pic:blipFill>
                        <pic:spPr bwMode="auto">
                          <a:xfrm>
                            <a:off x="0" y="0"/>
                            <a:ext cx="1333500" cy="533400"/>
                          </a:xfrm>
                          <a:prstGeom prst="rect">
                            <a:avLst/>
                          </a:prstGeom>
                          <a:noFill/>
                          <a:ln>
                            <a:noFill/>
                          </a:ln>
                        </pic:spPr>
                      </pic:pic>
                    </a:graphicData>
                  </a:graphic>
                </wp:inline>
              </w:drawing>
            </w:r>
          </w:p>
        </w:tc>
      </w:tr>
      <w:tr w:rsidR="00746F95" w:rsidTr="00746F95">
        <w:trPr>
          <w:trHeight w:val="580"/>
        </w:trPr>
        <w:tc>
          <w:tcPr>
            <w:tcW w:w="2988" w:type="dxa"/>
            <w:tcMar>
              <w:top w:w="0" w:type="dxa"/>
              <w:left w:w="108" w:type="dxa"/>
              <w:bottom w:w="0" w:type="dxa"/>
              <w:right w:w="108" w:type="dxa"/>
            </w:tcMar>
            <w:vAlign w:val="center"/>
          </w:tcPr>
          <w:p w:rsidR="00746F95" w:rsidRDefault="00746F95">
            <w:pPr>
              <w:spacing w:line="256" w:lineRule="auto"/>
              <w:jc w:val="center"/>
              <w:rPr>
                <w:rFonts w:ascii="David" w:hAnsi="David"/>
                <w:b/>
                <w:bCs/>
                <w:sz w:val="26"/>
                <w:szCs w:val="26"/>
                <w:lang w:eastAsia="he-IL"/>
              </w:rPr>
            </w:pPr>
          </w:p>
          <w:p w:rsidR="00746F95" w:rsidRDefault="00746F95">
            <w:pPr>
              <w:spacing w:line="256" w:lineRule="auto"/>
              <w:jc w:val="center"/>
              <w:rPr>
                <w:rFonts w:ascii="David" w:hAnsi="David"/>
                <w:b/>
                <w:bCs/>
                <w:sz w:val="26"/>
                <w:szCs w:val="26"/>
                <w:rtl/>
                <w:lang w:eastAsia="he-IL"/>
              </w:rPr>
            </w:pPr>
            <w:r>
              <w:rPr>
                <w:rFonts w:ascii="David" w:hAnsi="David"/>
                <w:b/>
                <w:bCs/>
                <w:sz w:val="26"/>
                <w:szCs w:val="26"/>
                <w:rtl/>
                <w:lang w:eastAsia="he-IL"/>
              </w:rPr>
              <w:t>שאול שוחט, שופט</w:t>
            </w:r>
          </w:p>
          <w:p w:rsidR="00746F95" w:rsidRDefault="00746F95">
            <w:pPr>
              <w:spacing w:line="256" w:lineRule="auto"/>
              <w:jc w:val="center"/>
              <w:rPr>
                <w:rFonts w:ascii="David" w:hAnsi="David"/>
                <w:b/>
                <w:bCs/>
                <w:sz w:val="26"/>
                <w:szCs w:val="26"/>
                <w:lang w:eastAsia="he-IL"/>
              </w:rPr>
            </w:pPr>
            <w:r>
              <w:rPr>
                <w:rFonts w:ascii="David" w:hAnsi="David"/>
                <w:b/>
                <w:bCs/>
                <w:sz w:val="26"/>
                <w:szCs w:val="26"/>
                <w:rtl/>
                <w:lang w:eastAsia="he-IL"/>
              </w:rPr>
              <w:t>סג"נ-אב"ד</w:t>
            </w:r>
          </w:p>
        </w:tc>
        <w:tc>
          <w:tcPr>
            <w:tcW w:w="238" w:type="dxa"/>
            <w:tcMar>
              <w:top w:w="0" w:type="dxa"/>
              <w:left w:w="108" w:type="dxa"/>
              <w:bottom w:w="0" w:type="dxa"/>
              <w:right w:w="108" w:type="dxa"/>
            </w:tcMar>
            <w:vAlign w:val="center"/>
          </w:tcPr>
          <w:p w:rsidR="00746F95" w:rsidRDefault="00746F95">
            <w:pPr>
              <w:spacing w:line="256" w:lineRule="auto"/>
              <w:jc w:val="center"/>
              <w:rPr>
                <w:rFonts w:ascii="David" w:hAnsi="David"/>
                <w:b/>
                <w:bCs/>
                <w:sz w:val="26"/>
                <w:szCs w:val="26"/>
                <w:lang w:eastAsia="he-IL"/>
              </w:rPr>
            </w:pPr>
          </w:p>
        </w:tc>
        <w:tc>
          <w:tcPr>
            <w:tcW w:w="2321" w:type="dxa"/>
            <w:tcMar>
              <w:top w:w="0" w:type="dxa"/>
              <w:left w:w="108" w:type="dxa"/>
              <w:bottom w:w="0" w:type="dxa"/>
              <w:right w:w="108" w:type="dxa"/>
            </w:tcMar>
            <w:vAlign w:val="center"/>
            <w:hideMark/>
          </w:tcPr>
          <w:p w:rsidR="00746F95" w:rsidRDefault="00746F95">
            <w:pPr>
              <w:spacing w:line="256" w:lineRule="auto"/>
              <w:jc w:val="center"/>
              <w:rPr>
                <w:rFonts w:ascii="David" w:hAnsi="David"/>
                <w:b/>
                <w:bCs/>
                <w:sz w:val="26"/>
                <w:szCs w:val="26"/>
                <w:lang w:eastAsia="he-IL"/>
              </w:rPr>
            </w:pPr>
            <w:r>
              <w:rPr>
                <w:rFonts w:ascii="David" w:hAnsi="David"/>
                <w:b/>
                <w:bCs/>
                <w:sz w:val="26"/>
                <w:szCs w:val="26"/>
                <w:rtl/>
                <w:lang w:eastAsia="he-IL"/>
              </w:rPr>
              <w:t>עינת רביד, שופטת</w:t>
            </w:r>
          </w:p>
        </w:tc>
        <w:tc>
          <w:tcPr>
            <w:tcW w:w="303" w:type="dxa"/>
            <w:tcMar>
              <w:top w:w="0" w:type="dxa"/>
              <w:left w:w="108" w:type="dxa"/>
              <w:bottom w:w="0" w:type="dxa"/>
              <w:right w:w="108" w:type="dxa"/>
            </w:tcMar>
            <w:vAlign w:val="center"/>
          </w:tcPr>
          <w:p w:rsidR="00746F95" w:rsidRDefault="00746F95">
            <w:pPr>
              <w:spacing w:line="256" w:lineRule="auto"/>
              <w:jc w:val="center"/>
              <w:rPr>
                <w:rFonts w:ascii="David" w:hAnsi="David"/>
                <w:b/>
                <w:bCs/>
                <w:sz w:val="26"/>
                <w:szCs w:val="26"/>
                <w:rtl/>
                <w:lang w:eastAsia="he-IL"/>
              </w:rPr>
            </w:pPr>
          </w:p>
        </w:tc>
        <w:tc>
          <w:tcPr>
            <w:tcW w:w="2747" w:type="dxa"/>
            <w:tcMar>
              <w:top w:w="0" w:type="dxa"/>
              <w:left w:w="108" w:type="dxa"/>
              <w:bottom w:w="0" w:type="dxa"/>
              <w:right w:w="108" w:type="dxa"/>
            </w:tcMar>
            <w:vAlign w:val="center"/>
            <w:hideMark/>
          </w:tcPr>
          <w:p w:rsidR="00746F95" w:rsidRDefault="00746F95">
            <w:pPr>
              <w:spacing w:line="256" w:lineRule="auto"/>
              <w:jc w:val="center"/>
              <w:rPr>
                <w:rFonts w:ascii="David" w:hAnsi="David"/>
                <w:b/>
                <w:bCs/>
                <w:sz w:val="26"/>
                <w:szCs w:val="26"/>
                <w:rtl/>
                <w:lang w:eastAsia="he-IL"/>
              </w:rPr>
            </w:pPr>
            <w:r>
              <w:rPr>
                <w:rFonts w:ascii="David" w:hAnsi="David"/>
                <w:b/>
                <w:bCs/>
                <w:sz w:val="26"/>
                <w:szCs w:val="26"/>
                <w:rtl/>
                <w:lang w:eastAsia="he-IL"/>
              </w:rPr>
              <w:t>נפתלי שילה, שופט</w:t>
            </w:r>
          </w:p>
        </w:tc>
      </w:tr>
    </w:tbl>
    <w:p w:rsidR="00694556" w:rsidRDefault="00694556">
      <w:pPr>
        <w:spacing w:line="360" w:lineRule="auto"/>
        <w:jc w:val="both"/>
        <w:rPr>
          <w:rFonts w:ascii="Arial" w:hAnsi="Arial"/>
          <w:noProof w:val="0"/>
          <w:rtl/>
        </w:rPr>
      </w:pPr>
    </w:p>
    <w:sectPr w:rsidR="00694556" w:rsidSect="006B5553">
      <w:headerReference w:type="even" r:id="rId17"/>
      <w:headerReference w:type="default" r:id="rId18"/>
      <w:footerReference w:type="even" r:id="rId19"/>
      <w:footerReference w:type="default" r:id="rId20"/>
      <w:headerReference w:type="first" r:id="rId21"/>
      <w:footerReference w:type="first" r:id="rId22"/>
      <w:pgSz w:w="11907" w:h="16840" w:code="9"/>
      <w:pgMar w:top="1440" w:right="1800" w:bottom="1440" w:left="1800"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D37" w:rsidRDefault="00536D37">
      <w:r>
        <w:separator/>
      </w:r>
    </w:p>
  </w:endnote>
  <w:endnote w:type="continuationSeparator" w:id="0">
    <w:p w:rsidR="00536D37" w:rsidRDefault="00536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000" w:usb1="00000000" w:usb2="00000000" w:usb3="00000000" w:csb0="00000021" w:csb1="00000000"/>
  </w:font>
  <w:font w:name="Narkisim">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altName w:val="Times New Roman"/>
    <w:charset w:val="00"/>
    <w:family w:val="swiss"/>
    <w:pitch w:val="variable"/>
    <w:sig w:usb0="00000000"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06" w:rsidRDefault="00DE650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DE6506">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DE6506">
      <w:rPr>
        <w:rStyle w:val="ab"/>
        <w:rtl/>
      </w:rPr>
      <w:t>18</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06" w:rsidRDefault="00DE650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D37" w:rsidRDefault="00536D37">
      <w:r>
        <w:separator/>
      </w:r>
    </w:p>
  </w:footnote>
  <w:footnote w:type="continuationSeparator" w:id="0">
    <w:p w:rsidR="00536D37" w:rsidRDefault="00536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06" w:rsidRDefault="00DE650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 יפו בשבתו כבית-משפט לערעורים אזרחיים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DE6506">
          <w:pPr>
            <w:rPr>
              <w:b/>
              <w:bCs/>
              <w:noProof w:val="0"/>
              <w:sz w:val="26"/>
              <w:szCs w:val="26"/>
              <w:rtl/>
            </w:rPr>
          </w:pPr>
          <w:sdt>
            <w:sdtPr>
              <w:rPr>
                <w:b/>
                <w:bCs/>
                <w:noProof w:val="0"/>
                <w:sz w:val="26"/>
                <w:szCs w:val="26"/>
                <w:rtl/>
              </w:rPr>
              <w:alias w:val="1170"/>
              <w:tag w:val="1170"/>
              <w:id w:val="299038016"/>
              <w:text w:multiLine="1"/>
            </w:sdtPr>
            <w:sdtEndPr/>
            <w:sdtContent>
              <w:r w:rsidR="006B5553">
                <w:rPr>
                  <w:b/>
                  <w:bCs/>
                  <w:noProof w:val="0"/>
                  <w:sz w:val="26"/>
                  <w:szCs w:val="26"/>
                  <w:rtl/>
                </w:rPr>
                <w:t>ע"א</w:t>
              </w:r>
            </w:sdtContent>
          </w:sdt>
          <w:r w:rsidR="00005C8B" w:rsidRPr="00CD0055">
            <w:rPr>
              <w:b/>
              <w:bCs/>
              <w:noProof w:val="0"/>
              <w:sz w:val="26"/>
              <w:szCs w:val="26"/>
              <w:rtl/>
            </w:rPr>
            <w:t xml:space="preserve"> </w:t>
          </w:r>
          <w:bookmarkStart w:id="0" w:name="_GoBack"/>
          <w:sdt>
            <w:sdtPr>
              <w:rPr>
                <w:b/>
                <w:bCs/>
                <w:noProof w:val="0"/>
                <w:sz w:val="26"/>
                <w:szCs w:val="26"/>
                <w:rtl/>
              </w:rPr>
              <w:alias w:val="1171"/>
              <w:tag w:val="1171"/>
              <w:id w:val="81650337"/>
              <w:text w:multiLine="1"/>
            </w:sdtPr>
            <w:sdtEndPr/>
            <w:sdtContent>
              <w:r w:rsidR="006B5553">
                <w:rPr>
                  <w:b/>
                  <w:bCs/>
                  <w:noProof w:val="0"/>
                  <w:sz w:val="26"/>
                  <w:szCs w:val="26"/>
                  <w:rtl/>
                </w:rPr>
                <w:t>59020-06-20</w:t>
              </w:r>
            </w:sdtContent>
          </w:sdt>
          <w:bookmarkEnd w:id="0"/>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6B5553">
                <w:rPr>
                  <w:b/>
                  <w:bCs/>
                  <w:noProof w:val="0"/>
                  <w:sz w:val="26"/>
                  <w:szCs w:val="26"/>
                  <w:rtl/>
                </w:rPr>
                <w:t>אלמונית נ' איי.די.איי. חברה לביטוח בע"מ ואח'</w:t>
              </w:r>
            </w:sdtContent>
          </w:sdt>
        </w:p>
        <w:p w:rsidR="00694556" w:rsidRPr="00CD0055" w:rsidRDefault="00694556">
          <w:pPr>
            <w:rPr>
              <w:b/>
              <w:bCs/>
              <w:noProof w:val="0"/>
              <w:sz w:val="26"/>
              <w:szCs w:val="26"/>
              <w:rtl/>
            </w:rPr>
          </w:pPr>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06" w:rsidRDefault="00DE650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3456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455C"/>
    <w:rsid w:val="000258FD"/>
    <w:rsid w:val="000564AB"/>
    <w:rsid w:val="000B2E97"/>
    <w:rsid w:val="000D4A02"/>
    <w:rsid w:val="001072A9"/>
    <w:rsid w:val="00121F97"/>
    <w:rsid w:val="001277D7"/>
    <w:rsid w:val="00132017"/>
    <w:rsid w:val="0014234E"/>
    <w:rsid w:val="00145A87"/>
    <w:rsid w:val="001639C3"/>
    <w:rsid w:val="00171D9F"/>
    <w:rsid w:val="001B00A4"/>
    <w:rsid w:val="001C4003"/>
    <w:rsid w:val="001D0A5A"/>
    <w:rsid w:val="001F5474"/>
    <w:rsid w:val="00227353"/>
    <w:rsid w:val="002352F7"/>
    <w:rsid w:val="00253F2D"/>
    <w:rsid w:val="00295DD1"/>
    <w:rsid w:val="002B5913"/>
    <w:rsid w:val="002E6E58"/>
    <w:rsid w:val="003072F8"/>
    <w:rsid w:val="00381D3A"/>
    <w:rsid w:val="003823DA"/>
    <w:rsid w:val="0043595F"/>
    <w:rsid w:val="00460285"/>
    <w:rsid w:val="0047645A"/>
    <w:rsid w:val="00495FB3"/>
    <w:rsid w:val="004D49A3"/>
    <w:rsid w:val="004D5C30"/>
    <w:rsid w:val="004E6E3C"/>
    <w:rsid w:val="005124F1"/>
    <w:rsid w:val="0051350E"/>
    <w:rsid w:val="00530BAD"/>
    <w:rsid w:val="00536D37"/>
    <w:rsid w:val="00541598"/>
    <w:rsid w:val="00547DB7"/>
    <w:rsid w:val="00567324"/>
    <w:rsid w:val="005B0F49"/>
    <w:rsid w:val="005C79BF"/>
    <w:rsid w:val="005C7EC6"/>
    <w:rsid w:val="005D4BDB"/>
    <w:rsid w:val="00622BAA"/>
    <w:rsid w:val="00625C89"/>
    <w:rsid w:val="00633C4F"/>
    <w:rsid w:val="006476EA"/>
    <w:rsid w:val="00671BD5"/>
    <w:rsid w:val="006805C1"/>
    <w:rsid w:val="006816EC"/>
    <w:rsid w:val="00694556"/>
    <w:rsid w:val="006B5553"/>
    <w:rsid w:val="006E1A53"/>
    <w:rsid w:val="007056AA"/>
    <w:rsid w:val="00730976"/>
    <w:rsid w:val="007402BC"/>
    <w:rsid w:val="00744F41"/>
    <w:rsid w:val="00746F95"/>
    <w:rsid w:val="00775EC3"/>
    <w:rsid w:val="007769A5"/>
    <w:rsid w:val="007816EC"/>
    <w:rsid w:val="007A24FE"/>
    <w:rsid w:val="007A35AA"/>
    <w:rsid w:val="007B6F02"/>
    <w:rsid w:val="007C6A77"/>
    <w:rsid w:val="007F1048"/>
    <w:rsid w:val="007F22E7"/>
    <w:rsid w:val="00820005"/>
    <w:rsid w:val="00820B50"/>
    <w:rsid w:val="00823A42"/>
    <w:rsid w:val="0083107C"/>
    <w:rsid w:val="008358E7"/>
    <w:rsid w:val="0084590C"/>
    <w:rsid w:val="00846D27"/>
    <w:rsid w:val="008610A7"/>
    <w:rsid w:val="008E1332"/>
    <w:rsid w:val="00903896"/>
    <w:rsid w:val="00927813"/>
    <w:rsid w:val="0093723E"/>
    <w:rsid w:val="00944D13"/>
    <w:rsid w:val="00957C90"/>
    <w:rsid w:val="009D3E94"/>
    <w:rsid w:val="009E0263"/>
    <w:rsid w:val="00A0260A"/>
    <w:rsid w:val="00A267CF"/>
    <w:rsid w:val="00A43458"/>
    <w:rsid w:val="00A5383C"/>
    <w:rsid w:val="00A97E8A"/>
    <w:rsid w:val="00AC4E19"/>
    <w:rsid w:val="00AF1ED6"/>
    <w:rsid w:val="00AF723C"/>
    <w:rsid w:val="00B32C61"/>
    <w:rsid w:val="00B368FE"/>
    <w:rsid w:val="00B72119"/>
    <w:rsid w:val="00B80CBD"/>
    <w:rsid w:val="00BC3369"/>
    <w:rsid w:val="00BF77EE"/>
    <w:rsid w:val="00C32E0F"/>
    <w:rsid w:val="00C42BF9"/>
    <w:rsid w:val="00C752F0"/>
    <w:rsid w:val="00C83E56"/>
    <w:rsid w:val="00CD0055"/>
    <w:rsid w:val="00D012A9"/>
    <w:rsid w:val="00D15941"/>
    <w:rsid w:val="00D319B3"/>
    <w:rsid w:val="00D51B92"/>
    <w:rsid w:val="00D53924"/>
    <w:rsid w:val="00D60849"/>
    <w:rsid w:val="00D84A7C"/>
    <w:rsid w:val="00D96D8C"/>
    <w:rsid w:val="00DD337E"/>
    <w:rsid w:val="00DE6506"/>
    <w:rsid w:val="00E00B6F"/>
    <w:rsid w:val="00E01537"/>
    <w:rsid w:val="00E15AB2"/>
    <w:rsid w:val="00E50B33"/>
    <w:rsid w:val="00E54642"/>
    <w:rsid w:val="00E6781A"/>
    <w:rsid w:val="00E824B4"/>
    <w:rsid w:val="00E962FF"/>
    <w:rsid w:val="00E97908"/>
    <w:rsid w:val="00EB06EE"/>
    <w:rsid w:val="00EF3ED0"/>
    <w:rsid w:val="00F17E56"/>
    <w:rsid w:val="00F63BA2"/>
    <w:rsid w:val="00FB6272"/>
    <w:rsid w:val="00FF13F3"/>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uiPriority w:val="59"/>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4D5C30"/>
    <w:pPr>
      <w:ind w:left="720"/>
      <w:contextualSpacing/>
    </w:pPr>
  </w:style>
  <w:style w:type="paragraph" w:customStyle="1" w:styleId="10">
    <w:name w:val="פיסקת רשימה1"/>
    <w:basedOn w:val="a"/>
    <w:rsid w:val="004D5C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071975">
      <w:bodyDiv w:val="1"/>
      <w:marLeft w:val="0"/>
      <w:marRight w:val="0"/>
      <w:marTop w:val="0"/>
      <w:marBottom w:val="0"/>
      <w:divBdr>
        <w:top w:val="none" w:sz="0" w:space="0" w:color="auto"/>
        <w:left w:val="none" w:sz="0" w:space="0" w:color="auto"/>
        <w:bottom w:val="none" w:sz="0" w:space="0" w:color="auto"/>
        <w:right w:val="none" w:sz="0" w:space="0" w:color="auto"/>
      </w:divBdr>
    </w:div>
    <w:div w:id="589240399">
      <w:bodyDiv w:val="1"/>
      <w:marLeft w:val="0"/>
      <w:marRight w:val="0"/>
      <w:marTop w:val="0"/>
      <w:marBottom w:val="0"/>
      <w:divBdr>
        <w:top w:val="none" w:sz="0" w:space="0" w:color="auto"/>
        <w:left w:val="none" w:sz="0" w:space="0" w:color="auto"/>
        <w:bottom w:val="none" w:sz="0" w:space="0" w:color="auto"/>
        <w:right w:val="none" w:sz="0" w:space="0" w:color="auto"/>
      </w:divBdr>
    </w:div>
    <w:div w:id="710961166">
      <w:bodyDiv w:val="1"/>
      <w:marLeft w:val="0"/>
      <w:marRight w:val="0"/>
      <w:marTop w:val="0"/>
      <w:marBottom w:val="0"/>
      <w:divBdr>
        <w:top w:val="none" w:sz="0" w:space="0" w:color="auto"/>
        <w:left w:val="none" w:sz="0" w:space="0" w:color="auto"/>
        <w:bottom w:val="none" w:sz="0" w:space="0" w:color="auto"/>
        <w:right w:val="none" w:sz="0" w:space="0" w:color="auto"/>
      </w:divBdr>
    </w:div>
    <w:div w:id="727385771">
      <w:bodyDiv w:val="1"/>
      <w:marLeft w:val="0"/>
      <w:marRight w:val="0"/>
      <w:marTop w:val="0"/>
      <w:marBottom w:val="0"/>
      <w:divBdr>
        <w:top w:val="none" w:sz="0" w:space="0" w:color="auto"/>
        <w:left w:val="none" w:sz="0" w:space="0" w:color="auto"/>
        <w:bottom w:val="none" w:sz="0" w:space="0" w:color="auto"/>
        <w:right w:val="none" w:sz="0" w:space="0" w:color="auto"/>
      </w:divBdr>
    </w:div>
    <w:div w:id="1116293971">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96845518">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98882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gi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cid:image003.png@01D5D9AF.3D52D300"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cid:image003.png@01D56948.29CD4D60" TargetMode="External"/><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cid:image001.png@01D56948.29CD4D60" TargetMode="External"/><Relationship Id="rId23" Type="http://schemas.openxmlformats.org/officeDocument/2006/relationships/fontTable" Target="fontTable.xml"/><Relationship Id="rId10" Type="http://schemas.openxmlformats.org/officeDocument/2006/relationships/image" Target="cid:image002.gif@01D5D9AF.3D52D30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cid:image004.png@01D56948.29CD4D60"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000" w:usb1="00000000" w:usb2="00000000" w:usb3="00000000" w:csb0="00000021" w:csb1="00000000"/>
  </w:font>
  <w:font w:name="Narkisim">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altName w:val="Times New Roman"/>
    <w:charset w:val="00"/>
    <w:family w:val="swiss"/>
    <w:pitch w:val="variable"/>
    <w:sig w:usb0="00000000"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960C10"/>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4001</Words>
  <Characters>20008</Characters>
  <Application>Microsoft Office Word</Application>
  <DocSecurity>4</DocSecurity>
  <Lines>166</Lines>
  <Paragraphs>47</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2022-04-07T12:41:00Z</dcterms:created>
  <dcterms:modified xsi:type="dcterms:W3CDTF">2022-04-07T12:41:00Z</dcterms:modified>
</cp:coreProperties>
</file>