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914D6">
        <w:trPr>
          <w:jc w:val="center"/>
        </w:trPr>
        <w:tc>
          <w:tcPr>
            <w:tcW w:w="743" w:type="dxa"/>
          </w:tcPr>
          <w:p w:rsidR="002914D6" w:rsidRDefault="00011212">
            <w:pPr>
              <w:jc w:val="both"/>
              <w:rPr>
                <w:rFonts w:ascii="Arial" w:hAnsi="Arial"/>
                <w:b/>
                <w:bCs/>
              </w:rPr>
            </w:pPr>
            <w:bookmarkStart w:id="0" w:name="_GoBack"/>
            <w:bookmarkEnd w:id="0"/>
            <w:r>
              <w:rPr>
                <w:rFonts w:ascii="Arial" w:hAnsi="Arial" w:hint="cs"/>
                <w:b/>
                <w:bCs/>
                <w:rtl/>
              </w:rPr>
              <w:t>ב</w:t>
            </w:r>
            <w:r>
              <w:rPr>
                <w:rFonts w:ascii="Arial" w:hAnsi="Arial"/>
                <w:b/>
                <w:bCs/>
                <w:rtl/>
              </w:rPr>
              <w:t xml:space="preserve">פני </w:t>
            </w:r>
          </w:p>
        </w:tc>
        <w:tc>
          <w:tcPr>
            <w:tcW w:w="8077" w:type="dxa"/>
            <w:gridSpan w:val="2"/>
          </w:tcPr>
          <w:p w:rsidR="002914D6" w:rsidRDefault="00011212">
            <w:pPr>
              <w:rPr>
                <w:rFonts w:ascii="Arial" w:hAnsi="Arial"/>
                <w:b/>
                <w:bCs/>
                <w:rtl/>
              </w:rPr>
            </w:pPr>
            <w:r>
              <w:rPr>
                <w:rFonts w:ascii="Arial" w:hAnsi="Arial" w:hint="cs"/>
                <w:b/>
                <w:bCs/>
                <w:rtl/>
              </w:rPr>
              <w:t>כב' ה</w:t>
            </w:r>
            <w:sdt>
              <w:sdtPr>
                <w:rPr>
                  <w:rtl/>
                </w:rPr>
                <w:alias w:val="1574"/>
                <w:tag w:val="1574"/>
                <w:id w:val="874660890"/>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188843600"/>
                <w:text w:multiLine="1"/>
              </w:sdtPr>
              <w:sdtEndPr/>
              <w:sdtContent>
                <w:r>
                  <w:rPr>
                    <w:rFonts w:ascii="Arial" w:hAnsi="Arial"/>
                    <w:b/>
                    <w:bCs/>
                    <w:rtl/>
                  </w:rPr>
                  <w:t>יהורם שקד</w:t>
                </w:r>
              </w:sdtContent>
            </w:sdt>
          </w:p>
          <w:p w:rsidR="002914D6" w:rsidRDefault="002914D6">
            <w:pPr>
              <w:rPr>
                <w:rFonts w:ascii="Arial" w:hAnsi="Arial" w:cs="FrankRuehl"/>
                <w:sz w:val="28"/>
                <w:szCs w:val="28"/>
                <w:highlight w:val="yellow"/>
              </w:rPr>
            </w:pPr>
          </w:p>
        </w:tc>
      </w:tr>
      <w:tr w:rsidR="002914D6">
        <w:trPr>
          <w:jc w:val="center"/>
        </w:trPr>
        <w:tc>
          <w:tcPr>
            <w:tcW w:w="3249" w:type="dxa"/>
            <w:gridSpan w:val="2"/>
          </w:tcPr>
          <w:sdt>
            <w:sdtPr>
              <w:alias w:val="1180"/>
              <w:tag w:val="1180"/>
              <w:id w:val="1559975633"/>
              <w:text w:multiLine="1"/>
            </w:sdtPr>
            <w:sdtEndPr/>
            <w:sdtContent>
              <w:p w:rsidR="000C18C1" w:rsidRPr="00290B93" w:rsidRDefault="00603950" w:rsidP="00DB267F">
                <w:pPr>
                  <w:bidi w:val="0"/>
                  <w:jc w:val="right"/>
                  <w:rPr>
                    <w:rFonts w:ascii="Arial" w:hAnsi="Arial"/>
                    <w:b/>
                    <w:bCs/>
                    <w:noProof w:val="0"/>
                    <w:rtl/>
                  </w:rPr>
                </w:pPr>
                <w:r w:rsidRPr="00290B93">
                  <w:rPr>
                    <w:rFonts w:ascii="Arial" w:hAnsi="Arial"/>
                    <w:b/>
                    <w:bCs/>
                    <w:noProof w:val="0"/>
                    <w:rtl/>
                  </w:rPr>
                  <w:t>תובע</w:t>
                </w:r>
              </w:p>
            </w:sdtContent>
          </w:sdt>
        </w:tc>
        <w:tc>
          <w:tcPr>
            <w:tcW w:w="5571" w:type="dxa"/>
          </w:tcPr>
          <w:p w:rsidR="002914D6" w:rsidRPr="00290B93" w:rsidRDefault="00767BD4" w:rsidP="00DE2396">
            <w:pPr>
              <w:rPr>
                <w:rtl/>
              </w:rPr>
            </w:pPr>
            <w:sdt>
              <w:sdtPr>
                <w:rPr>
                  <w:rtl/>
                </w:rPr>
                <w:alias w:val="1478"/>
                <w:tag w:val="1478"/>
                <w:id w:val="-1896729429"/>
                <w:text w:multiLine="1"/>
              </w:sdtPr>
              <w:sdtEndPr/>
              <w:sdtContent>
                <w:r w:rsidR="00DE2396">
                  <w:rPr>
                    <w:rFonts w:ascii="Arial" w:hAnsi="Arial" w:hint="cs"/>
                    <w:b/>
                    <w:bCs/>
                    <w:noProof w:val="0"/>
                    <w:rtl/>
                  </w:rPr>
                  <w:t>פלוני</w:t>
                </w:r>
              </w:sdtContent>
            </w:sdt>
            <w:sdt>
              <w:sdtPr>
                <w:rPr>
                  <w:rtl/>
                </w:rPr>
                <w:alias w:val="2316"/>
                <w:tag w:val="2316"/>
                <w:id w:val="1341505390"/>
                <w:showingPlcHdr/>
                <w:text w:multiLine="1"/>
              </w:sdtPr>
              <w:sdtEndPr/>
              <w:sdtContent>
                <w:r w:rsidR="00DE2396">
                  <w:rPr>
                    <w:rtl/>
                  </w:rPr>
                  <w:t xml:space="preserve">     </w:t>
                </w:r>
              </w:sdtContent>
            </w:sdt>
          </w:p>
          <w:p w:rsidR="00DB267F" w:rsidRPr="00290B93" w:rsidRDefault="00DB267F" w:rsidP="00DB267F">
            <w:pPr>
              <w:rPr>
                <w:b/>
                <w:bCs/>
                <w:noProof w:val="0"/>
              </w:rPr>
            </w:pPr>
            <w:r w:rsidRPr="00290B93">
              <w:rPr>
                <w:rFonts w:hint="cs"/>
                <w:b/>
                <w:bCs/>
                <w:rtl/>
              </w:rPr>
              <w:t>ע"י ב"כ עו"ד עמרי דרוד</w:t>
            </w:r>
          </w:p>
        </w:tc>
      </w:tr>
      <w:tr w:rsidR="002914D6">
        <w:trPr>
          <w:jc w:val="center"/>
        </w:trPr>
        <w:tc>
          <w:tcPr>
            <w:tcW w:w="8820" w:type="dxa"/>
            <w:gridSpan w:val="3"/>
          </w:tcPr>
          <w:p w:rsidR="002914D6" w:rsidRPr="00290B93" w:rsidRDefault="002914D6">
            <w:pPr>
              <w:rPr>
                <w:rFonts w:ascii="Arial" w:hAnsi="Arial"/>
                <w:b/>
                <w:bCs/>
                <w:noProof w:val="0"/>
                <w:rtl/>
              </w:rPr>
            </w:pPr>
          </w:p>
          <w:p w:rsidR="002914D6" w:rsidRPr="00290B93" w:rsidRDefault="00011212">
            <w:pPr>
              <w:jc w:val="center"/>
              <w:rPr>
                <w:rFonts w:ascii="Arial" w:hAnsi="Arial"/>
                <w:b/>
                <w:bCs/>
                <w:noProof w:val="0"/>
                <w:rtl/>
              </w:rPr>
            </w:pPr>
            <w:r w:rsidRPr="00290B93">
              <w:rPr>
                <w:rFonts w:ascii="Arial" w:hAnsi="Arial"/>
                <w:b/>
                <w:bCs/>
                <w:noProof w:val="0"/>
                <w:rtl/>
              </w:rPr>
              <w:t>נגד</w:t>
            </w:r>
          </w:p>
          <w:p w:rsidR="002914D6" w:rsidRPr="00290B93" w:rsidRDefault="002914D6">
            <w:pPr>
              <w:rPr>
                <w:rFonts w:ascii="Arial" w:hAnsi="Arial"/>
                <w:b/>
                <w:bCs/>
                <w:noProof w:val="0"/>
              </w:rPr>
            </w:pPr>
          </w:p>
        </w:tc>
      </w:tr>
      <w:tr w:rsidR="002914D6">
        <w:trPr>
          <w:jc w:val="center"/>
        </w:trPr>
        <w:tc>
          <w:tcPr>
            <w:tcW w:w="3249" w:type="dxa"/>
            <w:gridSpan w:val="2"/>
          </w:tcPr>
          <w:p w:rsidR="002914D6" w:rsidRPr="00290B93" w:rsidRDefault="00767BD4" w:rsidP="00DB267F">
            <w:pPr>
              <w:rPr>
                <w:rFonts w:ascii="Arial" w:hAnsi="Arial"/>
                <w:b/>
                <w:bCs/>
                <w:noProof w:val="0"/>
              </w:rPr>
            </w:pPr>
            <w:sdt>
              <w:sdtPr>
                <w:rPr>
                  <w:rtl/>
                </w:rPr>
                <w:alias w:val="1184"/>
                <w:tag w:val="1184"/>
                <w:id w:val="386307046"/>
                <w:text w:multiLine="1"/>
              </w:sdtPr>
              <w:sdtEndPr/>
              <w:sdtContent>
                <w:r w:rsidR="00094813" w:rsidRPr="00290B93">
                  <w:rPr>
                    <w:rFonts w:ascii="Arial" w:hAnsi="Arial"/>
                    <w:b/>
                    <w:bCs/>
                    <w:noProof w:val="0"/>
                    <w:rtl/>
                  </w:rPr>
                  <w:t>נתבע</w:t>
                </w:r>
              </w:sdtContent>
            </w:sdt>
          </w:p>
        </w:tc>
        <w:tc>
          <w:tcPr>
            <w:tcW w:w="5571" w:type="dxa"/>
          </w:tcPr>
          <w:p w:rsidR="002914D6" w:rsidRPr="00290B93" w:rsidRDefault="00767BD4" w:rsidP="00DE2396">
            <w:pPr>
              <w:rPr>
                <w:rtl/>
              </w:rPr>
            </w:pPr>
            <w:sdt>
              <w:sdtPr>
                <w:rPr>
                  <w:rtl/>
                </w:rPr>
                <w:alias w:val="1486"/>
                <w:tag w:val="1486"/>
                <w:id w:val="2063827857"/>
                <w:text w:multiLine="1"/>
              </w:sdtPr>
              <w:sdtEndPr/>
              <w:sdtContent>
                <w:r w:rsidR="00DE2396">
                  <w:rPr>
                    <w:rFonts w:ascii="Arial" w:hAnsi="Arial" w:hint="cs"/>
                    <w:b/>
                    <w:bCs/>
                    <w:noProof w:val="0"/>
                    <w:rtl/>
                  </w:rPr>
                  <w:t>אלמוני</w:t>
                </w:r>
              </w:sdtContent>
            </w:sdt>
            <w:sdt>
              <w:sdtPr>
                <w:rPr>
                  <w:rtl/>
                </w:rPr>
                <w:alias w:val="2318"/>
                <w:tag w:val="2318"/>
                <w:id w:val="-304548180"/>
                <w:showingPlcHdr/>
                <w:text w:multiLine="1"/>
              </w:sdtPr>
              <w:sdtEndPr/>
              <w:sdtContent>
                <w:r w:rsidR="00DE2396">
                  <w:rPr>
                    <w:rtl/>
                  </w:rPr>
                  <w:t xml:space="preserve">     </w:t>
                </w:r>
              </w:sdtContent>
            </w:sdt>
          </w:p>
          <w:p w:rsidR="00DB267F" w:rsidRPr="00290B93" w:rsidRDefault="00DB267F" w:rsidP="00DB267F">
            <w:pPr>
              <w:rPr>
                <w:b/>
                <w:bCs/>
                <w:noProof w:val="0"/>
                <w:rtl/>
              </w:rPr>
            </w:pPr>
            <w:r w:rsidRPr="00290B93">
              <w:rPr>
                <w:rFonts w:hint="cs"/>
                <w:b/>
                <w:bCs/>
                <w:rtl/>
              </w:rPr>
              <w:t>ע"י ב"כ עו"ד רות דיין וולפנר</w:t>
            </w:r>
          </w:p>
        </w:tc>
      </w:tr>
    </w:tbl>
    <w:p w:rsidR="002914D6" w:rsidRPr="00DB267F" w:rsidRDefault="002914D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2914D6">
        <w:trPr>
          <w:jc w:val="center"/>
        </w:trPr>
        <w:tc>
          <w:tcPr>
            <w:tcW w:w="8820" w:type="dxa"/>
          </w:tcPr>
          <w:p w:rsidR="002914D6" w:rsidRPr="0086382C" w:rsidRDefault="002914D6">
            <w:pPr>
              <w:bidi w:val="0"/>
              <w:jc w:val="center"/>
              <w:rPr>
                <w:rFonts w:ascii="Arial" w:hAnsi="Arial"/>
                <w:b/>
                <w:bCs/>
                <w:noProof w:val="0"/>
                <w:sz w:val="12"/>
                <w:szCs w:val="12"/>
                <w:u w:val="single"/>
              </w:rPr>
            </w:pPr>
          </w:p>
          <w:p w:rsidR="002914D6" w:rsidRDefault="00530E94">
            <w:pPr>
              <w:bidi w:val="0"/>
              <w:jc w:val="center"/>
              <w:rPr>
                <w:rFonts w:ascii="Arial" w:hAnsi="Arial"/>
                <w:b/>
                <w:bCs/>
                <w:noProof w:val="0"/>
                <w:sz w:val="28"/>
                <w:szCs w:val="28"/>
                <w:u w:val="single"/>
                <w:rtl/>
              </w:rPr>
            </w:pPr>
            <w:r>
              <w:rPr>
                <w:rFonts w:ascii="Arial" w:hAnsi="Arial" w:hint="cs"/>
                <w:b/>
                <w:bCs/>
                <w:noProof w:val="0"/>
                <w:sz w:val="28"/>
                <w:szCs w:val="28"/>
                <w:u w:val="single"/>
                <w:rtl/>
              </w:rPr>
              <w:t>החלטה</w:t>
            </w:r>
          </w:p>
        </w:tc>
      </w:tr>
    </w:tbl>
    <w:p w:rsidR="002914D6" w:rsidRPr="0086382C" w:rsidRDefault="002914D6">
      <w:pPr>
        <w:spacing w:line="360" w:lineRule="auto"/>
        <w:jc w:val="both"/>
        <w:rPr>
          <w:rFonts w:ascii="Arial" w:hAnsi="Arial"/>
          <w:noProof w:val="0"/>
          <w:sz w:val="12"/>
          <w:szCs w:val="12"/>
          <w:rtl/>
        </w:rPr>
      </w:pPr>
    </w:p>
    <w:p w:rsidR="00DB267F" w:rsidRDefault="00DB267F" w:rsidP="00DB267F">
      <w:pPr>
        <w:spacing w:line="360" w:lineRule="auto"/>
        <w:jc w:val="both"/>
        <w:rPr>
          <w:rFonts w:ascii="Arial" w:hAnsi="Arial"/>
          <w:noProof w:val="0"/>
          <w:rtl/>
        </w:rPr>
      </w:pPr>
      <w:r>
        <w:rPr>
          <w:rFonts w:ascii="Arial" w:hAnsi="Arial" w:hint="cs"/>
          <w:noProof w:val="0"/>
          <w:rtl/>
        </w:rPr>
        <w:t>זוהי החלטה בבקשתו של התובע לפירוק השיתוף בבית מגורים.</w:t>
      </w:r>
    </w:p>
    <w:p w:rsidR="00DB267F" w:rsidRPr="00F233CA" w:rsidRDefault="00DB267F" w:rsidP="00DB267F">
      <w:pPr>
        <w:spacing w:line="360" w:lineRule="auto"/>
        <w:jc w:val="both"/>
        <w:rPr>
          <w:rFonts w:ascii="Arial" w:hAnsi="Arial"/>
          <w:noProof w:val="0"/>
          <w:sz w:val="16"/>
          <w:szCs w:val="16"/>
          <w:rtl/>
        </w:rPr>
      </w:pPr>
    </w:p>
    <w:p w:rsidR="00DB267F" w:rsidRPr="00290B93" w:rsidRDefault="00290B93" w:rsidP="00DB267F">
      <w:pPr>
        <w:spacing w:line="360" w:lineRule="auto"/>
        <w:jc w:val="both"/>
        <w:rPr>
          <w:rFonts w:ascii="Arial" w:hAnsi="Arial"/>
          <w:b/>
          <w:bCs/>
          <w:noProof w:val="0"/>
          <w:rtl/>
        </w:rPr>
      </w:pPr>
      <w:r>
        <w:rPr>
          <w:rFonts w:ascii="Arial" w:hAnsi="Arial" w:hint="cs"/>
          <w:b/>
          <w:bCs/>
          <w:noProof w:val="0"/>
          <w:rtl/>
        </w:rPr>
        <w:t xml:space="preserve">א - </w:t>
      </w:r>
      <w:r w:rsidR="00DB267F" w:rsidRPr="00290B93">
        <w:rPr>
          <w:rFonts w:ascii="Arial" w:hAnsi="Arial" w:hint="cs"/>
          <w:b/>
          <w:bCs/>
          <w:noProof w:val="0"/>
          <w:rtl/>
        </w:rPr>
        <w:t>העובדות הצריכות לעניין:</w:t>
      </w:r>
    </w:p>
    <w:p w:rsidR="00DB267F" w:rsidRPr="00F233CA" w:rsidRDefault="00DB267F" w:rsidP="00DB267F">
      <w:pPr>
        <w:spacing w:line="360" w:lineRule="auto"/>
        <w:jc w:val="both"/>
        <w:rPr>
          <w:rFonts w:ascii="Arial" w:hAnsi="Arial"/>
          <w:noProof w:val="0"/>
          <w:sz w:val="16"/>
          <w:szCs w:val="16"/>
          <w:rtl/>
        </w:rPr>
      </w:pPr>
    </w:p>
    <w:p w:rsidR="0086382C" w:rsidRDefault="00DB267F" w:rsidP="00DE2396">
      <w:pPr>
        <w:pStyle w:val="ac"/>
        <w:numPr>
          <w:ilvl w:val="0"/>
          <w:numId w:val="1"/>
        </w:numPr>
        <w:spacing w:line="360" w:lineRule="auto"/>
        <w:ind w:left="567" w:hanging="567"/>
        <w:jc w:val="both"/>
        <w:rPr>
          <w:rFonts w:ascii="Arial" w:hAnsi="Arial"/>
          <w:noProof w:val="0"/>
        </w:rPr>
      </w:pPr>
      <w:r>
        <w:rPr>
          <w:rFonts w:ascii="Arial" w:hAnsi="Arial" w:hint="cs"/>
          <w:noProof w:val="0"/>
          <w:rtl/>
        </w:rPr>
        <w:t xml:space="preserve">התובע והנתבע הם אחים, ילדיהם של </w:t>
      </w:r>
      <w:r w:rsidR="00DE2396">
        <w:rPr>
          <w:rFonts w:ascii="Arial" w:hAnsi="Arial" w:hint="cs"/>
          <w:noProof w:val="0"/>
          <w:rtl/>
        </w:rPr>
        <w:t xml:space="preserve">המנוחה ... </w:t>
      </w:r>
      <w:r>
        <w:rPr>
          <w:rFonts w:ascii="Arial" w:hAnsi="Arial" w:hint="cs"/>
          <w:noProof w:val="0"/>
          <w:rtl/>
        </w:rPr>
        <w:t>ז"ל ו</w:t>
      </w:r>
      <w:r w:rsidR="00DE2396">
        <w:rPr>
          <w:rFonts w:ascii="Arial" w:hAnsi="Arial" w:hint="cs"/>
          <w:noProof w:val="0"/>
          <w:rtl/>
        </w:rPr>
        <w:t xml:space="preserve">מר .... </w:t>
      </w:r>
      <w:r>
        <w:rPr>
          <w:rFonts w:ascii="Arial" w:hAnsi="Arial" w:hint="cs"/>
          <w:noProof w:val="0"/>
          <w:rtl/>
        </w:rPr>
        <w:t>יבל"א. הנכס מושא החלטתי זו הוא בית מגורים ברחוב</w:t>
      </w:r>
      <w:r w:rsidR="00DE2396">
        <w:rPr>
          <w:rFonts w:ascii="Arial" w:hAnsi="Arial" w:hint="cs"/>
          <w:noProof w:val="0"/>
          <w:rtl/>
        </w:rPr>
        <w:t xml:space="preserve">... </w:t>
      </w:r>
      <w:r>
        <w:rPr>
          <w:rFonts w:ascii="Arial" w:hAnsi="Arial" w:hint="cs"/>
          <w:noProof w:val="0"/>
          <w:rtl/>
        </w:rPr>
        <w:t xml:space="preserve">ברמת גן (להלן: </w:t>
      </w:r>
      <w:r w:rsidRPr="00F233CA">
        <w:rPr>
          <w:rFonts w:ascii="Arial" w:hAnsi="Arial" w:hint="cs"/>
          <w:b/>
          <w:bCs/>
          <w:noProof w:val="0"/>
          <w:rtl/>
        </w:rPr>
        <w:t>הנכס</w:t>
      </w:r>
      <w:r w:rsidR="00F233CA">
        <w:rPr>
          <w:rFonts w:ascii="Arial" w:hAnsi="Arial" w:hint="cs"/>
          <w:noProof w:val="0"/>
          <w:rtl/>
        </w:rPr>
        <w:t xml:space="preserve"> / </w:t>
      </w:r>
      <w:r w:rsidR="00F233CA" w:rsidRPr="00F233CA">
        <w:rPr>
          <w:rFonts w:ascii="Arial" w:hAnsi="Arial" w:hint="cs"/>
          <w:b/>
          <w:bCs/>
          <w:noProof w:val="0"/>
          <w:rtl/>
        </w:rPr>
        <w:t>בית המגורים</w:t>
      </w:r>
      <w:r>
        <w:rPr>
          <w:rFonts w:ascii="Arial" w:hAnsi="Arial" w:hint="cs"/>
          <w:noProof w:val="0"/>
          <w:rtl/>
        </w:rPr>
        <w:t xml:space="preserve">). </w:t>
      </w:r>
      <w:r w:rsidRPr="00DB267F">
        <w:rPr>
          <w:rFonts w:ascii="Arial" w:hAnsi="Arial" w:hint="cs"/>
          <w:noProof w:val="0"/>
          <w:rtl/>
        </w:rPr>
        <w:t>זכויותיו של הנתבע בנכס (מחצית) הועברו לו מכח צוואת אמו המנוחה ואילו חלקו של התובע בנכס (מחצית) הועברו לו מכח עסקת מתנה בינו לבין אביו.</w:t>
      </w:r>
      <w:r w:rsidR="0086382C" w:rsidRPr="0086382C">
        <w:rPr>
          <w:rFonts w:ascii="Arial" w:hAnsi="Arial" w:hint="cs"/>
          <w:noProof w:val="0"/>
          <w:rtl/>
        </w:rPr>
        <w:t xml:space="preserve"> </w:t>
      </w:r>
      <w:r w:rsidR="0086382C">
        <w:rPr>
          <w:rFonts w:ascii="Arial" w:hAnsi="Arial" w:hint="cs"/>
          <w:noProof w:val="0"/>
          <w:rtl/>
        </w:rPr>
        <w:t>בנכס מתגורר הנתבע והוא עושה בו שימוש בלעדי.</w:t>
      </w:r>
    </w:p>
    <w:p w:rsidR="00DB267F" w:rsidRPr="00F233CA" w:rsidRDefault="00DB267F" w:rsidP="00DB267F">
      <w:pPr>
        <w:pStyle w:val="ac"/>
        <w:spacing w:line="360" w:lineRule="auto"/>
        <w:ind w:left="567"/>
        <w:jc w:val="both"/>
        <w:rPr>
          <w:rFonts w:ascii="Arial" w:hAnsi="Arial"/>
          <w:noProof w:val="0"/>
          <w:sz w:val="16"/>
          <w:szCs w:val="16"/>
        </w:rPr>
      </w:pPr>
    </w:p>
    <w:p w:rsidR="00CC19E9" w:rsidRDefault="0086382C" w:rsidP="0086382C">
      <w:pPr>
        <w:pStyle w:val="ac"/>
        <w:numPr>
          <w:ilvl w:val="0"/>
          <w:numId w:val="1"/>
        </w:numPr>
        <w:spacing w:line="360" w:lineRule="auto"/>
        <w:ind w:left="567" w:hanging="567"/>
        <w:jc w:val="both"/>
        <w:rPr>
          <w:rFonts w:ascii="Arial" w:hAnsi="Arial"/>
          <w:noProof w:val="0"/>
        </w:rPr>
      </w:pPr>
      <w:r>
        <w:rPr>
          <w:rFonts w:ascii="Arial" w:hAnsi="Arial" w:hint="cs"/>
          <w:noProof w:val="0"/>
          <w:rtl/>
        </w:rPr>
        <w:t xml:space="preserve">כתבי הטענות מלמדים על </w:t>
      </w:r>
      <w:r w:rsidR="00CC19E9">
        <w:rPr>
          <w:rFonts w:ascii="Arial" w:hAnsi="Arial" w:hint="cs"/>
          <w:noProof w:val="0"/>
          <w:rtl/>
        </w:rPr>
        <w:t xml:space="preserve">סכסוך משפחתי מר ביותר בין שתי 'קבוצות' במשפחה. האחת </w:t>
      </w:r>
      <w:r w:rsidR="00CC19E9">
        <w:rPr>
          <w:rFonts w:ascii="Arial" w:hAnsi="Arial"/>
          <w:noProof w:val="0"/>
          <w:rtl/>
        </w:rPr>
        <w:t>–</w:t>
      </w:r>
      <w:r w:rsidR="00CC19E9">
        <w:rPr>
          <w:rFonts w:ascii="Arial" w:hAnsi="Arial" w:hint="cs"/>
          <w:noProof w:val="0"/>
          <w:rtl/>
        </w:rPr>
        <w:t xml:space="preserve"> התובע ואביו. השנייה </w:t>
      </w:r>
      <w:r w:rsidR="00CC19E9">
        <w:rPr>
          <w:rFonts w:ascii="Arial" w:hAnsi="Arial"/>
          <w:noProof w:val="0"/>
          <w:rtl/>
        </w:rPr>
        <w:t>–</w:t>
      </w:r>
      <w:r w:rsidR="00CC19E9">
        <w:rPr>
          <w:rFonts w:ascii="Arial" w:hAnsi="Arial" w:hint="cs"/>
          <w:noProof w:val="0"/>
          <w:rtl/>
        </w:rPr>
        <w:t xml:space="preserve"> המנוחה </w:t>
      </w:r>
      <w:r>
        <w:rPr>
          <w:rFonts w:ascii="Arial" w:hAnsi="Arial" w:hint="cs"/>
          <w:noProof w:val="0"/>
          <w:rtl/>
        </w:rPr>
        <w:t xml:space="preserve">(בחייה) </w:t>
      </w:r>
      <w:r w:rsidR="00CC19E9">
        <w:rPr>
          <w:rFonts w:ascii="Arial" w:hAnsi="Arial" w:hint="cs"/>
          <w:noProof w:val="0"/>
          <w:rtl/>
        </w:rPr>
        <w:t>והנתבע. דבר זה מסביר את הורשת מלוא עיזבונה של האם לנתבע, כמו גם את העברת זכויותיו של האב בדירה לטובת התובע.</w:t>
      </w:r>
    </w:p>
    <w:p w:rsidR="00CC19E9" w:rsidRPr="0086382C" w:rsidRDefault="00CC19E9" w:rsidP="00CC19E9">
      <w:pPr>
        <w:pStyle w:val="ac"/>
        <w:rPr>
          <w:rFonts w:ascii="Arial" w:hAnsi="Arial"/>
          <w:noProof w:val="0"/>
          <w:sz w:val="18"/>
          <w:szCs w:val="18"/>
          <w:rtl/>
        </w:rPr>
      </w:pPr>
    </w:p>
    <w:p w:rsidR="00CC19E9" w:rsidRDefault="00CC19E9" w:rsidP="0086382C">
      <w:pPr>
        <w:pStyle w:val="ac"/>
        <w:numPr>
          <w:ilvl w:val="0"/>
          <w:numId w:val="1"/>
        </w:numPr>
        <w:spacing w:line="360" w:lineRule="auto"/>
        <w:ind w:left="567" w:hanging="567"/>
        <w:jc w:val="both"/>
        <w:rPr>
          <w:rFonts w:ascii="Arial" w:hAnsi="Arial"/>
          <w:noProof w:val="0"/>
        </w:rPr>
      </w:pPr>
      <w:r>
        <w:rPr>
          <w:rFonts w:ascii="Arial" w:hAnsi="Arial" w:hint="cs"/>
          <w:noProof w:val="0"/>
          <w:rtl/>
        </w:rPr>
        <w:t>התובע ביקש לפרק את השיתוף בנכס, ו</w:t>
      </w:r>
      <w:r w:rsidR="0086382C">
        <w:rPr>
          <w:rFonts w:ascii="Arial" w:hAnsi="Arial" w:hint="cs"/>
          <w:noProof w:val="0"/>
          <w:rtl/>
        </w:rPr>
        <w:t>ל</w:t>
      </w:r>
      <w:r>
        <w:rPr>
          <w:rFonts w:ascii="Arial" w:hAnsi="Arial" w:hint="cs"/>
          <w:noProof w:val="0"/>
          <w:rtl/>
        </w:rPr>
        <w:t>זאת מתנגד הנתבע. לטענת הנתבע, בהיותו יורשה של המנוחה אשר נכנס בנעליה, הוא זכאי למחצית מכלל זכויות האב מכ</w:t>
      </w:r>
      <w:r w:rsidR="0086382C">
        <w:rPr>
          <w:rFonts w:ascii="Arial" w:hAnsi="Arial" w:hint="cs"/>
          <w:noProof w:val="0"/>
          <w:rtl/>
        </w:rPr>
        <w:t>ח</w:t>
      </w:r>
      <w:r>
        <w:rPr>
          <w:rFonts w:ascii="Arial" w:hAnsi="Arial" w:hint="cs"/>
          <w:noProof w:val="0"/>
          <w:rtl/>
        </w:rPr>
        <w:t xml:space="preserve"> הלכת השיתוף שחלה בין האם לבין האב. יצויין כי הנתבע אף הגיש תביעה בדיוק בעניין זה כנגד האב. במסגרת </w:t>
      </w:r>
      <w:r>
        <w:rPr>
          <w:rFonts w:ascii="Arial" w:hAnsi="Arial" w:hint="cs"/>
          <w:noProof w:val="0"/>
          <w:rtl/>
        </w:rPr>
        <w:lastRenderedPageBreak/>
        <w:t xml:space="preserve">התביעה שהוגשה, עתר הנתבע למתן סעד זמני בדמות איסור עשיית דיספוזיציה בנכסי האב, לרבות בחלקו בבית המגורים הנ"ל, אשר טרם נרשם ע"ש של התובע משום שלדברי </w:t>
      </w:r>
      <w:r w:rsidR="00C11707">
        <w:rPr>
          <w:rFonts w:ascii="Arial" w:hAnsi="Arial" w:hint="cs"/>
          <w:noProof w:val="0"/>
          <w:rtl/>
        </w:rPr>
        <w:t>התובע, הנתבע מסרב לאפשר כניסתו של מודד לנכס לשם עריכת מדידה וסיום הרישום.</w:t>
      </w:r>
    </w:p>
    <w:p w:rsidR="00C11707" w:rsidRPr="0086382C" w:rsidRDefault="00C11707" w:rsidP="00C11707">
      <w:pPr>
        <w:pStyle w:val="ac"/>
        <w:rPr>
          <w:rFonts w:ascii="Arial" w:hAnsi="Arial"/>
          <w:noProof w:val="0"/>
          <w:sz w:val="16"/>
          <w:szCs w:val="16"/>
          <w:rtl/>
        </w:rPr>
      </w:pPr>
    </w:p>
    <w:p w:rsidR="00C11707" w:rsidRDefault="00C11707" w:rsidP="00C11707">
      <w:pPr>
        <w:pStyle w:val="ac"/>
        <w:numPr>
          <w:ilvl w:val="0"/>
          <w:numId w:val="1"/>
        </w:numPr>
        <w:spacing w:line="360" w:lineRule="auto"/>
        <w:ind w:left="567" w:hanging="567"/>
        <w:jc w:val="both"/>
        <w:rPr>
          <w:rFonts w:ascii="Arial" w:hAnsi="Arial"/>
          <w:noProof w:val="0"/>
        </w:rPr>
      </w:pPr>
      <w:r>
        <w:rPr>
          <w:rFonts w:ascii="Arial" w:hAnsi="Arial" w:hint="cs"/>
          <w:noProof w:val="0"/>
          <w:rtl/>
        </w:rPr>
        <w:t xml:space="preserve">עיון בתיק הממוחשב העלה כי כב' הרשמת לא נעתרה לבקשה בעניין בית המגורים, ויחד עם זאת נתנה צווים </w:t>
      </w:r>
      <w:r w:rsidR="0086382C">
        <w:rPr>
          <w:rFonts w:ascii="Arial" w:hAnsi="Arial" w:hint="cs"/>
          <w:noProof w:val="0"/>
          <w:rtl/>
        </w:rPr>
        <w:t xml:space="preserve">זמניים במעמד צד אחד </w:t>
      </w:r>
      <w:r>
        <w:rPr>
          <w:rFonts w:ascii="Arial" w:hAnsi="Arial" w:hint="cs"/>
          <w:noProof w:val="0"/>
          <w:rtl/>
        </w:rPr>
        <w:t>באשר למחצית זכויות האב כפי שפורטו על ידי הנתבע.</w:t>
      </w:r>
    </w:p>
    <w:p w:rsidR="00C11707" w:rsidRPr="0086382C" w:rsidRDefault="00C11707" w:rsidP="00C11707">
      <w:pPr>
        <w:pStyle w:val="ac"/>
        <w:rPr>
          <w:rFonts w:ascii="Arial" w:hAnsi="Arial"/>
          <w:noProof w:val="0"/>
          <w:sz w:val="16"/>
          <w:szCs w:val="16"/>
          <w:rtl/>
        </w:rPr>
      </w:pPr>
    </w:p>
    <w:p w:rsidR="00C11707" w:rsidRDefault="00C11707" w:rsidP="0086382C">
      <w:pPr>
        <w:pStyle w:val="ac"/>
        <w:numPr>
          <w:ilvl w:val="0"/>
          <w:numId w:val="1"/>
        </w:numPr>
        <w:spacing w:line="360" w:lineRule="auto"/>
        <w:ind w:left="567" w:hanging="567"/>
        <w:jc w:val="both"/>
        <w:rPr>
          <w:rFonts w:ascii="Arial" w:hAnsi="Arial"/>
          <w:noProof w:val="0"/>
        </w:rPr>
      </w:pPr>
      <w:r>
        <w:rPr>
          <w:rFonts w:ascii="Arial" w:hAnsi="Arial" w:hint="cs"/>
          <w:noProof w:val="0"/>
          <w:rtl/>
        </w:rPr>
        <w:t>בקדם המשפט שהתקיים בפני בתביעתו של התובע לפירוק השיתוף בנכס, ביקשתי לברר עם הנתבע מהן טענות ההגנה שלו מפני התביעה ולאחר ששמעתי את דברי ב"כ ולאחר ששבתי לכתב הגנתו, אין עלי אלא לקבוע כי לנתבע אין כל טענת הגנה מבוררת, לא כל שכן, כזו שיש בה כדי למנוע או לעכב את פירוק השיתוף, וכל זאת אנ</w:t>
      </w:r>
      <w:r w:rsidR="0086382C">
        <w:rPr>
          <w:rFonts w:ascii="Arial" w:hAnsi="Arial" w:hint="cs"/>
          <w:noProof w:val="0"/>
          <w:rtl/>
        </w:rPr>
        <w:t>מ</w:t>
      </w:r>
      <w:r>
        <w:rPr>
          <w:rFonts w:ascii="Arial" w:hAnsi="Arial" w:hint="cs"/>
          <w:noProof w:val="0"/>
          <w:rtl/>
        </w:rPr>
        <w:t>ק.</w:t>
      </w:r>
    </w:p>
    <w:p w:rsidR="00CC19E9" w:rsidRDefault="00CC19E9" w:rsidP="00CC19E9">
      <w:pPr>
        <w:pStyle w:val="ac"/>
        <w:rPr>
          <w:rFonts w:ascii="Arial" w:hAnsi="Arial"/>
          <w:noProof w:val="0"/>
          <w:rtl/>
        </w:rPr>
      </w:pPr>
    </w:p>
    <w:p w:rsidR="00DE2396" w:rsidRDefault="00DE2396" w:rsidP="00CC19E9">
      <w:pPr>
        <w:pStyle w:val="ac"/>
        <w:rPr>
          <w:rFonts w:ascii="Arial" w:hAnsi="Arial"/>
          <w:noProof w:val="0"/>
          <w:rtl/>
        </w:rPr>
      </w:pPr>
    </w:p>
    <w:p w:rsidR="00DE2396" w:rsidRDefault="00DE2396" w:rsidP="00CC19E9">
      <w:pPr>
        <w:pStyle w:val="ac"/>
        <w:rPr>
          <w:rFonts w:ascii="Arial" w:hAnsi="Arial"/>
          <w:noProof w:val="0"/>
          <w:rtl/>
        </w:rPr>
      </w:pPr>
    </w:p>
    <w:p w:rsidR="00290B93" w:rsidRPr="00290B93" w:rsidRDefault="00290B93" w:rsidP="00CC19E9">
      <w:pPr>
        <w:rPr>
          <w:rFonts w:ascii="Arial" w:hAnsi="Arial"/>
          <w:b/>
          <w:bCs/>
          <w:noProof w:val="0"/>
          <w:rtl/>
        </w:rPr>
      </w:pPr>
      <w:r>
        <w:rPr>
          <w:rFonts w:ascii="Arial" w:hAnsi="Arial" w:hint="cs"/>
          <w:b/>
          <w:bCs/>
          <w:noProof w:val="0"/>
          <w:rtl/>
        </w:rPr>
        <w:t xml:space="preserve">ב - </w:t>
      </w:r>
      <w:r w:rsidRPr="00290B93">
        <w:rPr>
          <w:rFonts w:ascii="Arial" w:hAnsi="Arial" w:hint="cs"/>
          <w:b/>
          <w:bCs/>
          <w:noProof w:val="0"/>
          <w:rtl/>
        </w:rPr>
        <w:t>דיון:</w:t>
      </w:r>
    </w:p>
    <w:p w:rsidR="00290B93" w:rsidRPr="0086382C" w:rsidRDefault="00290B93" w:rsidP="00CC19E9">
      <w:pPr>
        <w:pStyle w:val="ac"/>
        <w:rPr>
          <w:rFonts w:ascii="Arial" w:hAnsi="Arial"/>
          <w:noProof w:val="0"/>
          <w:sz w:val="16"/>
          <w:szCs w:val="16"/>
          <w:rtl/>
        </w:rPr>
      </w:pPr>
    </w:p>
    <w:p w:rsidR="00DB267F" w:rsidRPr="00C11707" w:rsidRDefault="00DB267F" w:rsidP="0086382C">
      <w:pPr>
        <w:pStyle w:val="ac"/>
        <w:numPr>
          <w:ilvl w:val="0"/>
          <w:numId w:val="1"/>
        </w:numPr>
        <w:spacing w:line="360" w:lineRule="auto"/>
        <w:ind w:left="567" w:hanging="567"/>
        <w:jc w:val="both"/>
        <w:rPr>
          <w:rFonts w:ascii="Arial" w:hAnsi="Arial"/>
          <w:noProof w:val="0"/>
        </w:rPr>
      </w:pPr>
      <w:r>
        <w:rPr>
          <w:rtl/>
        </w:rPr>
        <w:t xml:space="preserve">סעיף 37(א) לחוק המקרקעין, התשכ"ט 1969 קובע כי: </w:t>
      </w:r>
      <w:r w:rsidRPr="00C11707">
        <w:rPr>
          <w:b/>
          <w:bCs/>
          <w:rtl/>
        </w:rPr>
        <w:t>"כל שותף במקרקעין משותפים זכאי בכל עת לדרוש פירוק השיתוף"</w:t>
      </w:r>
      <w:r>
        <w:rPr>
          <w:rtl/>
        </w:rPr>
        <w:t xml:space="preserve">. בהתאמה, קובע סעיף 10 (א) לחוק המיטלטלין כי: </w:t>
      </w:r>
      <w:r w:rsidRPr="00C11707">
        <w:rPr>
          <w:b/>
          <w:bCs/>
          <w:rtl/>
        </w:rPr>
        <w:t>"כל שותף זכאי בכל עת לדרוש את פירוק השיתוף"</w:t>
      </w:r>
      <w:r>
        <w:rPr>
          <w:rtl/>
        </w:rPr>
        <w:t>.</w:t>
      </w:r>
      <w:r w:rsidR="00C11707">
        <w:rPr>
          <w:rFonts w:hint="cs"/>
          <w:rtl/>
        </w:rPr>
        <w:t xml:space="preserve"> </w:t>
      </w:r>
      <w:r>
        <w:rPr>
          <w:rtl/>
        </w:rPr>
        <w:t xml:space="preserve">הוראות החוק הנ"ל הינם ביטוי מובהק של המחוקק כי יש להביא יחסי שיתוף לקיצם בדרישה של שותף אחד בלבד. שיקול הדעת של בית המשפט בעניין הינו מצומצם ביותר, אם בכלל, כדבריו של בית המשפט המחוזי בת"א (ת"א) 115/89 </w:t>
      </w:r>
      <w:r w:rsidRPr="00C11707">
        <w:rPr>
          <w:b/>
          <w:bCs/>
          <w:rtl/>
        </w:rPr>
        <w:t>הלוי נ' הלוי</w:t>
      </w:r>
      <w:r w:rsidR="00F233CA">
        <w:rPr>
          <w:rFonts w:hint="cs"/>
          <w:rtl/>
        </w:rPr>
        <w:t xml:space="preserve"> (נבו, 4.4.1993)</w:t>
      </w:r>
      <w:r>
        <w:rPr>
          <w:rtl/>
        </w:rPr>
        <w:t xml:space="preserve">, לאמור: </w:t>
      </w:r>
      <w:r w:rsidRPr="00C11707">
        <w:rPr>
          <w:b/>
          <w:bCs/>
          <w:rtl/>
        </w:rPr>
        <w:t>"לבית המשפט אין שיקול דעת בתביעה לפירוק שיתוף, הזכות לפירוק נתונה לאחד השותפים כזכות מהותית"</w:t>
      </w:r>
      <w:r>
        <w:rPr>
          <w:rtl/>
        </w:rPr>
        <w:t>.</w:t>
      </w:r>
    </w:p>
    <w:p w:rsidR="00C11707" w:rsidRPr="0086382C" w:rsidRDefault="00C11707" w:rsidP="00C11707">
      <w:pPr>
        <w:pStyle w:val="ac"/>
        <w:rPr>
          <w:rFonts w:ascii="Arial" w:hAnsi="Arial"/>
          <w:noProof w:val="0"/>
          <w:sz w:val="16"/>
          <w:szCs w:val="16"/>
          <w:rtl/>
        </w:rPr>
      </w:pPr>
    </w:p>
    <w:p w:rsidR="00DB267F" w:rsidRPr="00C11707" w:rsidRDefault="00DB267F" w:rsidP="00F233CA">
      <w:pPr>
        <w:pStyle w:val="ac"/>
        <w:numPr>
          <w:ilvl w:val="0"/>
          <w:numId w:val="1"/>
        </w:numPr>
        <w:spacing w:line="360" w:lineRule="auto"/>
        <w:ind w:left="567" w:hanging="567"/>
        <w:jc w:val="both"/>
        <w:rPr>
          <w:rFonts w:ascii="Arial" w:hAnsi="Arial"/>
          <w:noProof w:val="0"/>
        </w:rPr>
      </w:pPr>
      <w:r>
        <w:rPr>
          <w:rtl/>
        </w:rPr>
        <w:lastRenderedPageBreak/>
        <w:t xml:space="preserve">הזכות לדרוש את פירוק השיתוף הינה זכות יסוד העומדת לשותפים בכל עת, כדברי בית המשפט העליון בע"א 319/74 </w:t>
      </w:r>
      <w:r w:rsidRPr="00C11707">
        <w:rPr>
          <w:b/>
          <w:bCs/>
          <w:rtl/>
        </w:rPr>
        <w:t>רובינשטיין נ' פיין</w:t>
      </w:r>
      <w:r>
        <w:rPr>
          <w:rtl/>
        </w:rPr>
        <w:t xml:space="preserve">, פד"י ל(1) 454: </w:t>
      </w:r>
      <w:r w:rsidRPr="00C11707">
        <w:rPr>
          <w:b/>
          <w:bCs/>
          <w:rtl/>
        </w:rPr>
        <w:t>"... זה נובע ברורות מהוראת היסוד שבסעיף 37 (א) של חוק המקרקעין...  "בכל עת" נאמר, ולא בעת ששותפיו יסכימו לפירוק, יהיו הטעמים אשר יהיו... המדיניות החקיקתית המונחת ביסוד ההוראה הזאת היא לא רק ששיתוף במקרקעין עלול לגרום לריב ומדנים... אלא שפירוק השיתוף מעודד בדרך כלל את המגמה הרצויה של פיתוח המקרקעין..."</w:t>
      </w:r>
      <w:r>
        <w:rPr>
          <w:rtl/>
        </w:rPr>
        <w:t xml:space="preserve">. בית המשפט העליון ממשיך ומביע פליאה על הניסיון למנוע את פירוק השיתוף לאמור: </w:t>
      </w:r>
      <w:r w:rsidRPr="00C11707">
        <w:rPr>
          <w:b/>
          <w:bCs/>
          <w:rtl/>
        </w:rPr>
        <w:t>"לשון החוק כה ברורה שאני מתקשה להאריך את הדיבור על ההשגות השונות שהועלו בשתי ההחלטות שבערעור ובטענותיהם של המשיבים לפנינו..."</w:t>
      </w:r>
      <w:r>
        <w:rPr>
          <w:rtl/>
        </w:rPr>
        <w:t>.</w:t>
      </w:r>
      <w:r w:rsidR="00C11707">
        <w:rPr>
          <w:rFonts w:hint="cs"/>
          <w:rtl/>
        </w:rPr>
        <w:t xml:space="preserve"> </w:t>
      </w:r>
      <w:r>
        <w:rPr>
          <w:rtl/>
        </w:rPr>
        <w:t xml:space="preserve">הלכה זו צוטטה בפסקי דין רבים לאחר מכן, כגון: ע"א 1849/91 </w:t>
      </w:r>
      <w:r w:rsidRPr="00C11707">
        <w:rPr>
          <w:b/>
          <w:bCs/>
          <w:rtl/>
        </w:rPr>
        <w:t>פרידמן נ' פנחס</w:t>
      </w:r>
      <w:r>
        <w:rPr>
          <w:rtl/>
        </w:rPr>
        <w:t>,</w:t>
      </w:r>
      <w:r w:rsidR="00F233CA">
        <w:rPr>
          <w:rFonts w:hint="cs"/>
          <w:rtl/>
        </w:rPr>
        <w:t xml:space="preserve"> פד"י מז(5) 588; </w:t>
      </w:r>
      <w:r>
        <w:rPr>
          <w:rtl/>
        </w:rPr>
        <w:t xml:space="preserve">רע"א 1017/97 </w:t>
      </w:r>
      <w:r w:rsidRPr="00C11707">
        <w:rPr>
          <w:b/>
          <w:bCs/>
          <w:rtl/>
        </w:rPr>
        <w:t>רידלביץ נ' מודעי</w:t>
      </w:r>
      <w:r>
        <w:rPr>
          <w:rtl/>
        </w:rPr>
        <w:t>, פד"י נב (4) 625, 632.</w:t>
      </w:r>
    </w:p>
    <w:p w:rsidR="00C11707" w:rsidRPr="0086382C" w:rsidRDefault="00C11707" w:rsidP="00C11707">
      <w:pPr>
        <w:pStyle w:val="ac"/>
        <w:rPr>
          <w:rFonts w:ascii="Arial" w:hAnsi="Arial"/>
          <w:noProof w:val="0"/>
          <w:sz w:val="16"/>
          <w:szCs w:val="16"/>
          <w:rtl/>
        </w:rPr>
      </w:pPr>
    </w:p>
    <w:p w:rsidR="00F80870" w:rsidRDefault="00DB267F" w:rsidP="00F80870">
      <w:pPr>
        <w:pStyle w:val="ac"/>
        <w:numPr>
          <w:ilvl w:val="0"/>
          <w:numId w:val="1"/>
        </w:numPr>
        <w:spacing w:line="360" w:lineRule="auto"/>
        <w:ind w:left="567" w:hanging="567"/>
        <w:jc w:val="both"/>
        <w:rPr>
          <w:rFonts w:ascii="Arial" w:hAnsi="Arial"/>
          <w:noProof w:val="0"/>
        </w:rPr>
      </w:pPr>
      <w:r>
        <w:rPr>
          <w:rtl/>
        </w:rPr>
        <w:t xml:space="preserve">בשים לב להתנהלות הצדדים במהלך השנים, </w:t>
      </w:r>
      <w:r w:rsidR="00F80870">
        <w:rPr>
          <w:rFonts w:hint="cs"/>
          <w:rtl/>
        </w:rPr>
        <w:t xml:space="preserve">לרבות בנתק שהיה ביניהם (אין חולק שמשנת 2012 אין האב והאם התגוררו יחדיו) אני סבור כי </w:t>
      </w:r>
      <w:r>
        <w:rPr>
          <w:rtl/>
        </w:rPr>
        <w:t xml:space="preserve">יש להורות על פירוק השיתוף </w:t>
      </w:r>
      <w:r w:rsidRPr="00F80870">
        <w:rPr>
          <w:b/>
          <w:bCs/>
          <w:u w:val="single"/>
          <w:rtl/>
        </w:rPr>
        <w:t>מיידית</w:t>
      </w:r>
      <w:r>
        <w:rPr>
          <w:rtl/>
        </w:rPr>
        <w:t xml:space="preserve">. ברע"א 4358/01 </w:t>
      </w:r>
      <w:r w:rsidRPr="00F80870">
        <w:rPr>
          <w:b/>
          <w:bCs/>
          <w:rtl/>
        </w:rPr>
        <w:t>בר-אל נ' בר-אל</w:t>
      </w:r>
      <w:r>
        <w:rPr>
          <w:rtl/>
        </w:rPr>
        <w:t xml:space="preserve">, פד"י נה (5) 856) סיכם בית המשפט העליון את העיקרון לפיו יש להורות על פירוק לאלתר וללא דיחוי, לאמור: </w:t>
      </w:r>
      <w:r w:rsidRPr="00F80870">
        <w:rPr>
          <w:b/>
          <w:bCs/>
          <w:rtl/>
        </w:rPr>
        <w:t>"דחיית הליכי פירוק השיתוף בדירה יכולה להכביד על אחד הצדדים באופן שאינו נאות. במצב כזה טוב יעשה בית המשפט אם יורה לפרק את השיתוף ללא עיכובים נוספים מלבד אלה הנקובים בסעיף 40א לחוק המקרקעין"</w:t>
      </w:r>
      <w:r>
        <w:rPr>
          <w:rtl/>
        </w:rPr>
        <w:t xml:space="preserve"> (שם, עמ' 863)</w:t>
      </w:r>
      <w:r w:rsidR="00F80870">
        <w:rPr>
          <w:rFonts w:hint="cs"/>
          <w:rtl/>
        </w:rPr>
        <w:t>.</w:t>
      </w:r>
    </w:p>
    <w:p w:rsidR="00F80870" w:rsidRPr="0086382C" w:rsidRDefault="00F80870" w:rsidP="00F80870">
      <w:pPr>
        <w:pStyle w:val="ac"/>
        <w:rPr>
          <w:sz w:val="16"/>
          <w:szCs w:val="16"/>
          <w:rtl/>
        </w:rPr>
      </w:pPr>
    </w:p>
    <w:p w:rsidR="00920463" w:rsidRPr="00920463" w:rsidRDefault="00DB267F" w:rsidP="0086382C">
      <w:pPr>
        <w:pStyle w:val="ac"/>
        <w:numPr>
          <w:ilvl w:val="0"/>
          <w:numId w:val="1"/>
        </w:numPr>
        <w:spacing w:line="360" w:lineRule="auto"/>
        <w:ind w:left="567" w:hanging="567"/>
        <w:jc w:val="both"/>
        <w:rPr>
          <w:rFonts w:ascii="Narkisim" w:hAnsi="Narkisim" w:cs="Narkisim"/>
          <w:sz w:val="28"/>
          <w:szCs w:val="28"/>
        </w:rPr>
      </w:pPr>
      <w:r>
        <w:rPr>
          <w:rtl/>
        </w:rPr>
        <w:t>במקרה דנן, לא כל שכן ל</w:t>
      </w:r>
      <w:r w:rsidR="00F80870">
        <w:rPr>
          <w:rFonts w:hint="cs"/>
          <w:rtl/>
        </w:rPr>
        <w:t>נוכח אופי טענות הנתבע, אני סבור כי הנתבע חותר להימשכות הליכים כאשר כל אותה העת הוא</w:t>
      </w:r>
      <w:r w:rsidR="00F80870" w:rsidRPr="00920463">
        <w:rPr>
          <w:rFonts w:ascii="David" w:hAnsi="David"/>
          <w:rtl/>
        </w:rPr>
        <w:t xml:space="preserve"> יוסיף להתגורר בנכס באין מפריע. אמנם, יש וראוי לעיתים </w:t>
      </w:r>
      <w:r w:rsidRPr="00920463">
        <w:rPr>
          <w:rFonts w:ascii="David" w:hAnsi="David"/>
          <w:rtl/>
        </w:rPr>
        <w:t xml:space="preserve">לעכב את פירוק השיתוף בדירת מגורים </w:t>
      </w:r>
      <w:r w:rsidR="00F80870" w:rsidRPr="00920463">
        <w:rPr>
          <w:rFonts w:ascii="David" w:hAnsi="David"/>
          <w:rtl/>
        </w:rPr>
        <w:t xml:space="preserve">של </w:t>
      </w:r>
      <w:r w:rsidR="00F80870" w:rsidRPr="0086382C">
        <w:rPr>
          <w:rFonts w:ascii="David" w:hAnsi="David"/>
          <w:i/>
          <w:iCs/>
          <w:rtl/>
        </w:rPr>
        <w:t>בני זוג</w:t>
      </w:r>
      <w:r w:rsidR="00F80870" w:rsidRPr="00920463">
        <w:rPr>
          <w:rFonts w:ascii="David" w:hAnsi="David"/>
          <w:rtl/>
        </w:rPr>
        <w:t xml:space="preserve"> </w:t>
      </w:r>
      <w:r w:rsidRPr="00920463">
        <w:rPr>
          <w:rFonts w:ascii="David" w:hAnsi="David"/>
          <w:rtl/>
        </w:rPr>
        <w:t>על-מנת להסדיר את הסכסוך בי</w:t>
      </w:r>
      <w:r w:rsidR="00F80870" w:rsidRPr="00920463">
        <w:rPr>
          <w:rFonts w:ascii="David" w:hAnsi="David"/>
          <w:rtl/>
        </w:rPr>
        <w:t xml:space="preserve">ניהם </w:t>
      </w:r>
      <w:r w:rsidRPr="00920463">
        <w:rPr>
          <w:rFonts w:ascii="David" w:hAnsi="David"/>
          <w:rtl/>
        </w:rPr>
        <w:t>באופן כולל,</w:t>
      </w:r>
      <w:r w:rsidR="00F80870" w:rsidRPr="00920463">
        <w:rPr>
          <w:rFonts w:ascii="David" w:hAnsi="David"/>
          <w:rtl/>
        </w:rPr>
        <w:t xml:space="preserve"> </w:t>
      </w:r>
      <w:r w:rsidRPr="00920463">
        <w:rPr>
          <w:rFonts w:ascii="David" w:hAnsi="David"/>
          <w:rtl/>
        </w:rPr>
        <w:t>עם זאת הובהר והודגש כי בנסיבות המתאימות - למשל כאשר ההתדיינות עלולה להיות מורכבת וארוכה - לא יהסס בי</w:t>
      </w:r>
      <w:r w:rsidR="0086382C">
        <w:rPr>
          <w:rFonts w:ascii="David" w:hAnsi="David" w:hint="cs"/>
          <w:rtl/>
        </w:rPr>
        <w:t>ת המשפט</w:t>
      </w:r>
      <w:r w:rsidRPr="00920463">
        <w:rPr>
          <w:rFonts w:ascii="David" w:hAnsi="David"/>
          <w:rtl/>
        </w:rPr>
        <w:t xml:space="preserve"> להורות על פירוק השיתוף בשלב מקדמי של הדיון</w:t>
      </w:r>
      <w:r w:rsidR="00F80870" w:rsidRPr="00920463">
        <w:rPr>
          <w:rFonts w:ascii="David" w:hAnsi="David"/>
          <w:rtl/>
        </w:rPr>
        <w:t xml:space="preserve">, כפי שנקבע </w:t>
      </w:r>
      <w:r w:rsidRPr="00920463">
        <w:rPr>
          <w:rFonts w:ascii="David" w:hAnsi="David"/>
          <w:rtl/>
        </w:rPr>
        <w:t xml:space="preserve">בענין </w:t>
      </w:r>
      <w:r w:rsidRPr="00F233CA">
        <w:rPr>
          <w:rFonts w:ascii="David" w:hAnsi="David"/>
          <w:b/>
          <w:bCs/>
          <w:u w:val="single"/>
          <w:rtl/>
        </w:rPr>
        <w:t>בראל</w:t>
      </w:r>
      <w:r w:rsidRPr="00920463">
        <w:rPr>
          <w:rFonts w:ascii="David" w:hAnsi="David"/>
          <w:rtl/>
        </w:rPr>
        <w:t xml:space="preserve"> </w:t>
      </w:r>
      <w:r w:rsidR="00F80870" w:rsidRPr="00920463">
        <w:rPr>
          <w:rFonts w:ascii="David" w:hAnsi="David"/>
          <w:rtl/>
        </w:rPr>
        <w:t xml:space="preserve">הנ"ל: </w:t>
      </w:r>
      <w:r w:rsidRPr="00920463">
        <w:rPr>
          <w:rFonts w:ascii="David" w:hAnsi="David"/>
          <w:b/>
          <w:bCs/>
          <w:rtl/>
        </w:rPr>
        <w:t xml:space="preserve">"...דחיית הליכי פירוק השיתוף בדירה יכולה להכביד על </w:t>
      </w:r>
      <w:r w:rsidRPr="00920463">
        <w:rPr>
          <w:rFonts w:ascii="David" w:hAnsi="David"/>
          <w:b/>
          <w:bCs/>
          <w:rtl/>
        </w:rPr>
        <w:lastRenderedPageBreak/>
        <w:t xml:space="preserve">אחד הצדדים באופן שאינו נאות. </w:t>
      </w:r>
      <w:r w:rsidRPr="00920463">
        <w:rPr>
          <w:rFonts w:ascii="David" w:hAnsi="David"/>
          <w:b/>
          <w:bCs/>
          <w:u w:val="single"/>
          <w:rtl/>
        </w:rPr>
        <w:t>במצב שכזה טוב יעשה בית-המשפט אם יורה לפרק את השיתוף ללא עיכובים נוספים מלבד אלה הנקובים בסעיף 40א לחוק המקרקעין. דיון מורכב שצפוי להימשך זמן רב יכול שיהווה שיקול המתנגד לעיכוב פירוק השיתוף בדירת המגורים</w:t>
      </w:r>
      <w:r w:rsidR="00F80870" w:rsidRPr="00920463">
        <w:rPr>
          <w:rFonts w:ascii="David" w:hAnsi="David"/>
          <w:b/>
          <w:bCs/>
          <w:rtl/>
        </w:rPr>
        <w:t>...</w:t>
      </w:r>
      <w:r w:rsidRPr="00920463">
        <w:rPr>
          <w:rFonts w:ascii="David" w:hAnsi="David"/>
          <w:b/>
          <w:bCs/>
          <w:rtl/>
        </w:rPr>
        <w:t>. לפעמים יכול פירוק שיתוף מהיר יחסית בדירת המגורים להסיר "...אבן נגף להסדרת יתר הנושאים הנתונים במחלוקת..."</w:t>
      </w:r>
      <w:r w:rsidR="00F80870" w:rsidRPr="00920463">
        <w:rPr>
          <w:rFonts w:ascii="David" w:hAnsi="David"/>
          <w:b/>
          <w:bCs/>
          <w:rtl/>
        </w:rPr>
        <w:t>...</w:t>
      </w:r>
      <w:r w:rsidRPr="00920463">
        <w:rPr>
          <w:rFonts w:ascii="David" w:hAnsi="David"/>
          <w:b/>
          <w:bCs/>
          <w:rtl/>
        </w:rPr>
        <w:t xml:space="preserve"> לכן גם כשקיימת יכולת לבית-המשפט לענייני משפחה לעכב פירוק שיתוף בדירת המגורים של בני-זוג, יהיו מקרים שבהם פירוק שיתוף מהיר יהיה ראוי"</w:t>
      </w:r>
      <w:r w:rsidR="00F80870" w:rsidRPr="00920463">
        <w:rPr>
          <w:rFonts w:ascii="David" w:hAnsi="David"/>
          <w:rtl/>
        </w:rPr>
        <w:t>.</w:t>
      </w:r>
    </w:p>
    <w:p w:rsidR="00920463" w:rsidRPr="0086382C" w:rsidRDefault="00920463" w:rsidP="00920463">
      <w:pPr>
        <w:pStyle w:val="ac"/>
        <w:spacing w:line="360" w:lineRule="auto"/>
        <w:ind w:left="567"/>
        <w:jc w:val="both"/>
        <w:rPr>
          <w:rFonts w:ascii="David" w:hAnsi="David"/>
          <w:sz w:val="16"/>
          <w:szCs w:val="16"/>
          <w:rtl/>
        </w:rPr>
      </w:pPr>
    </w:p>
    <w:p w:rsidR="00DB267F" w:rsidRDefault="00DB267F" w:rsidP="00F233CA">
      <w:pPr>
        <w:pStyle w:val="ac"/>
        <w:spacing w:line="360" w:lineRule="auto"/>
        <w:ind w:left="567"/>
        <w:jc w:val="both"/>
        <w:rPr>
          <w:rFonts w:ascii="Narkisim" w:hAnsi="Narkisim" w:cs="Narkisim"/>
          <w:sz w:val="28"/>
          <w:szCs w:val="28"/>
          <w:rtl/>
        </w:rPr>
      </w:pPr>
      <w:r w:rsidRPr="00920463">
        <w:rPr>
          <w:rFonts w:ascii="David" w:hAnsi="David"/>
          <w:rtl/>
        </w:rPr>
        <w:t xml:space="preserve">ובדומה </w:t>
      </w:r>
      <w:r w:rsidR="00F80870" w:rsidRPr="00920463">
        <w:rPr>
          <w:rFonts w:ascii="David" w:hAnsi="David"/>
          <w:rtl/>
        </w:rPr>
        <w:t>נקבע ב</w:t>
      </w:r>
      <w:r w:rsidRPr="00920463">
        <w:rPr>
          <w:rFonts w:ascii="David" w:hAnsi="David"/>
          <w:rtl/>
        </w:rPr>
        <w:t xml:space="preserve">ע"מ 8873/06 </w:t>
      </w:r>
      <w:r w:rsidRPr="00920463">
        <w:rPr>
          <w:rFonts w:ascii="David" w:hAnsi="David"/>
          <w:b/>
          <w:bCs/>
          <w:rtl/>
        </w:rPr>
        <w:t>פלוני נ</w:t>
      </w:r>
      <w:r w:rsidR="00F80870" w:rsidRPr="00920463">
        <w:rPr>
          <w:rFonts w:ascii="David" w:hAnsi="David"/>
          <w:b/>
          <w:bCs/>
          <w:rtl/>
        </w:rPr>
        <w:t>'</w:t>
      </w:r>
      <w:r w:rsidRPr="00920463">
        <w:rPr>
          <w:rFonts w:ascii="David" w:hAnsi="David"/>
          <w:b/>
          <w:bCs/>
          <w:rtl/>
        </w:rPr>
        <w:t xml:space="preserve"> פלוני</w:t>
      </w:r>
      <w:r w:rsidRPr="00920463">
        <w:rPr>
          <w:rFonts w:ascii="David" w:hAnsi="David"/>
          <w:rtl/>
        </w:rPr>
        <w:t xml:space="preserve"> </w:t>
      </w:r>
      <w:r w:rsidR="00F80870" w:rsidRPr="00920463">
        <w:rPr>
          <w:rFonts w:ascii="David" w:hAnsi="David"/>
          <w:rtl/>
        </w:rPr>
        <w:t>(נבו,</w:t>
      </w:r>
      <w:r w:rsidR="00F233CA">
        <w:rPr>
          <w:rFonts w:ascii="David" w:hAnsi="David" w:hint="cs"/>
          <w:rtl/>
        </w:rPr>
        <w:t xml:space="preserve"> 7.6.2007</w:t>
      </w:r>
      <w:r w:rsidR="00F80870" w:rsidRPr="00920463">
        <w:rPr>
          <w:rFonts w:ascii="David" w:hAnsi="David"/>
          <w:rtl/>
        </w:rPr>
        <w:t>)</w:t>
      </w:r>
      <w:r w:rsidRPr="00920463">
        <w:rPr>
          <w:rFonts w:ascii="David" w:hAnsi="David"/>
          <w:rtl/>
        </w:rPr>
        <w:t xml:space="preserve"> כי</w:t>
      </w:r>
      <w:r w:rsidR="00F80870" w:rsidRPr="00920463">
        <w:rPr>
          <w:rFonts w:ascii="David" w:hAnsi="David"/>
          <w:rtl/>
        </w:rPr>
        <w:t xml:space="preserve">: </w:t>
      </w:r>
      <w:r w:rsidRPr="00920463">
        <w:rPr>
          <w:rFonts w:ascii="David" w:hAnsi="David"/>
          <w:b/>
          <w:bCs/>
          <w:rtl/>
        </w:rPr>
        <w:t>"</w:t>
      </w:r>
      <w:r w:rsidRPr="00920463">
        <w:rPr>
          <w:rFonts w:ascii="David" w:hAnsi="David"/>
          <w:b/>
          <w:bCs/>
          <w:u w:val="single"/>
          <w:rtl/>
        </w:rPr>
        <w:t>המציאות גם מעידה כי במקרים רבים "דחיית הליכי פירוק השיתוף בדירה יכולה להכביד על אחד הצדדים באופן שאינו נאות"</w:t>
      </w:r>
      <w:r w:rsidR="00F80870" w:rsidRPr="00920463">
        <w:rPr>
          <w:rFonts w:ascii="David" w:hAnsi="David"/>
          <w:b/>
          <w:bCs/>
          <w:rtl/>
        </w:rPr>
        <w:t xml:space="preserve">... </w:t>
      </w:r>
      <w:r w:rsidRPr="00920463">
        <w:rPr>
          <w:rFonts w:ascii="David" w:hAnsi="David"/>
          <w:b/>
          <w:bCs/>
          <w:rtl/>
        </w:rPr>
        <w:t xml:space="preserve">- </w:t>
      </w:r>
      <w:r w:rsidRPr="00920463">
        <w:rPr>
          <w:rFonts w:ascii="David" w:hAnsi="David"/>
          <w:b/>
          <w:bCs/>
          <w:u w:val="single"/>
          <w:rtl/>
        </w:rPr>
        <w:t>גם כאן, נאותות הפגיעה היא עניין לבית המשפט לענות בו, בגדרי השכל הישר, הסבירות ועל כולנה ההגינות</w:t>
      </w:r>
      <w:r w:rsidRPr="00920463">
        <w:rPr>
          <w:rFonts w:ascii="David" w:hAnsi="David"/>
          <w:b/>
          <w:bCs/>
          <w:rtl/>
        </w:rPr>
        <w:t>. בבואו לבחון את סבירות השעייתה של הזכות הקניינית, על בית המשפט להתחשב בשורה של משתנים, לרבות הסיכוי להגיע להסדר כולל בתוך זמן סביר; השפעת מימושן של הזכויות הקנייניות על הסיכוי האמור (לטוב או למוטב); הנזק העלול להיגרם למי מבני הזוג כתוצאה מהעיכוב; השלכות העיכוב על צדדים שלישיים, ושיקולים נוספים לפי הנסיבות הספציפיות</w:t>
      </w:r>
      <w:r w:rsidR="00920463">
        <w:rPr>
          <w:rFonts w:ascii="David" w:hAnsi="David" w:hint="cs"/>
          <w:b/>
          <w:bCs/>
          <w:rtl/>
        </w:rPr>
        <w:t>"</w:t>
      </w:r>
      <w:r w:rsidR="00920463">
        <w:rPr>
          <w:rFonts w:ascii="David" w:hAnsi="David" w:hint="cs"/>
          <w:rtl/>
        </w:rPr>
        <w:t xml:space="preserve"> </w:t>
      </w:r>
      <w:r w:rsidRPr="00920463">
        <w:rPr>
          <w:rFonts w:ascii="David" w:hAnsi="David"/>
          <w:rtl/>
        </w:rPr>
        <w:t>(</w:t>
      </w:r>
      <w:r w:rsidR="00F80870" w:rsidRPr="00920463">
        <w:rPr>
          <w:rFonts w:ascii="David" w:hAnsi="David"/>
          <w:rtl/>
        </w:rPr>
        <w:t xml:space="preserve">ר' והשווה גם: </w:t>
      </w:r>
      <w:r w:rsidRPr="00920463">
        <w:rPr>
          <w:rFonts w:ascii="David" w:hAnsi="David"/>
          <w:rtl/>
        </w:rPr>
        <w:t xml:space="preserve">בע"מ 1334/12 </w:t>
      </w:r>
      <w:r w:rsidRPr="00920463">
        <w:rPr>
          <w:rFonts w:ascii="David" w:hAnsi="David"/>
          <w:b/>
          <w:bCs/>
          <w:rtl/>
        </w:rPr>
        <w:t>פלוני נ' פלונית</w:t>
      </w:r>
      <w:r w:rsidRPr="00920463">
        <w:rPr>
          <w:rFonts w:ascii="David" w:hAnsi="David"/>
          <w:rtl/>
        </w:rPr>
        <w:t xml:space="preserve"> (</w:t>
      </w:r>
      <w:r w:rsidR="00F80870" w:rsidRPr="00920463">
        <w:rPr>
          <w:rFonts w:ascii="David" w:hAnsi="David"/>
          <w:rtl/>
        </w:rPr>
        <w:t>נבו</w:t>
      </w:r>
      <w:r w:rsidR="00920463" w:rsidRPr="00920463">
        <w:rPr>
          <w:rFonts w:ascii="David" w:hAnsi="David"/>
          <w:rtl/>
        </w:rPr>
        <w:t xml:space="preserve">, </w:t>
      </w:r>
      <w:r w:rsidR="00F233CA">
        <w:rPr>
          <w:rFonts w:ascii="David" w:hAnsi="David" w:hint="cs"/>
          <w:rtl/>
        </w:rPr>
        <w:t>27.8.2012</w:t>
      </w:r>
      <w:r w:rsidR="00920463" w:rsidRPr="00920463">
        <w:rPr>
          <w:rFonts w:ascii="David" w:hAnsi="David"/>
          <w:rtl/>
        </w:rPr>
        <w:t>)</w:t>
      </w:r>
      <w:r w:rsidR="00920463">
        <w:rPr>
          <w:rFonts w:ascii="David" w:hAnsi="David" w:hint="cs"/>
          <w:rtl/>
        </w:rPr>
        <w:t>)</w:t>
      </w:r>
      <w:r w:rsidR="00920463" w:rsidRPr="00920463">
        <w:rPr>
          <w:rFonts w:ascii="David" w:hAnsi="David"/>
          <w:rtl/>
        </w:rPr>
        <w:t>.</w:t>
      </w:r>
      <w:r w:rsidR="00920463">
        <w:rPr>
          <w:rFonts w:ascii="Narkisim" w:hAnsi="Narkisim" w:cs="Narkisim" w:hint="cs"/>
          <w:sz w:val="28"/>
          <w:szCs w:val="28"/>
          <w:rtl/>
        </w:rPr>
        <w:t xml:space="preserve"> </w:t>
      </w:r>
    </w:p>
    <w:p w:rsidR="00DB267F" w:rsidRPr="0086382C" w:rsidRDefault="00DB267F" w:rsidP="00DB267F">
      <w:pPr>
        <w:spacing w:line="360" w:lineRule="auto"/>
        <w:jc w:val="both"/>
        <w:rPr>
          <w:rFonts w:ascii="Narkisim" w:hAnsi="Narkisim" w:cs="Narkisim"/>
          <w:sz w:val="16"/>
          <w:szCs w:val="16"/>
          <w:rtl/>
        </w:rPr>
      </w:pPr>
    </w:p>
    <w:p w:rsidR="006F214A" w:rsidRDefault="00920463" w:rsidP="0086382C">
      <w:pPr>
        <w:pStyle w:val="ac"/>
        <w:numPr>
          <w:ilvl w:val="0"/>
          <w:numId w:val="1"/>
        </w:numPr>
        <w:spacing w:line="360" w:lineRule="auto"/>
        <w:ind w:left="567" w:hanging="567"/>
        <w:jc w:val="both"/>
        <w:rPr>
          <w:rFonts w:ascii="Arial" w:hAnsi="Arial"/>
          <w:noProof w:val="0"/>
        </w:rPr>
      </w:pPr>
      <w:r>
        <w:rPr>
          <w:rFonts w:ascii="Arial" w:hAnsi="Arial" w:hint="cs"/>
          <w:noProof w:val="0"/>
          <w:rtl/>
        </w:rPr>
        <w:t>עתירתו של הנתבע לעכב את פירוק השיתוף עד לבירור כלל טענותיו (בנעלי אמו המנוחה) כנגד האב, משולה בעיני לדרישה למתן צו עיקול זמני או צו מניעה זמני על חלקו של האב בבית המגורים, שהועבר לתובע, וכל זאת שלא במסגרת דיונית מתאימה. לא נעלמה מעיני טענת הנתבע משל העברת הזכויות בבית המגורים מהאב אל התובע הייתה בבחינת העברת מרמה כדי למנוע מהאם לממש את זכותה הרכושית כלפי האב, אולם בשלב זה מסקנתי היא כי מדובר בטענה בעלמא שאין מאחוריה כל ראיה טובה. דווקא הסברו של הת</w:t>
      </w:r>
      <w:r w:rsidR="0086382C">
        <w:rPr>
          <w:rFonts w:ascii="Arial" w:hAnsi="Arial" w:hint="cs"/>
          <w:noProof w:val="0"/>
          <w:rtl/>
        </w:rPr>
        <w:t>ו</w:t>
      </w:r>
      <w:r>
        <w:rPr>
          <w:rFonts w:ascii="Arial" w:hAnsi="Arial" w:hint="cs"/>
          <w:noProof w:val="0"/>
          <w:rtl/>
        </w:rPr>
        <w:t xml:space="preserve">בע משל האב העביר את זכויותיו לבנו לאחר פטירת האם כדי למנוע הליכים משפטיים מול בנו (הנתבע) נשמעת הגיונית הרבה יותר והיא גם משתלבת היטב עם </w:t>
      </w:r>
      <w:r>
        <w:rPr>
          <w:rFonts w:ascii="Arial" w:hAnsi="Arial" w:hint="cs"/>
          <w:noProof w:val="0"/>
          <w:rtl/>
        </w:rPr>
        <w:lastRenderedPageBreak/>
        <w:t xml:space="preserve">יתר הראיות שבתיק, </w:t>
      </w:r>
      <w:r w:rsidR="006F214A">
        <w:rPr>
          <w:rFonts w:ascii="Arial" w:hAnsi="Arial" w:hint="cs"/>
          <w:noProof w:val="0"/>
          <w:rtl/>
        </w:rPr>
        <w:t>לרבות אי הגשת הליכים משפטיים בין ההורים בחיי האם, היעדר כל ראיה כי היה בכוונת האם לעמוד על זכויותיה כלפי האב והנתק הפיזי שבין הצדדים, החל משנת 2012.</w:t>
      </w:r>
    </w:p>
    <w:p w:rsidR="0086382C" w:rsidRPr="0086382C" w:rsidRDefault="0086382C" w:rsidP="0086382C">
      <w:pPr>
        <w:pStyle w:val="ac"/>
        <w:spacing w:line="360" w:lineRule="auto"/>
        <w:ind w:left="567"/>
        <w:jc w:val="both"/>
        <w:rPr>
          <w:rFonts w:ascii="Arial" w:hAnsi="Arial"/>
          <w:noProof w:val="0"/>
          <w:sz w:val="16"/>
          <w:szCs w:val="16"/>
        </w:rPr>
      </w:pPr>
    </w:p>
    <w:p w:rsidR="006F214A" w:rsidRDefault="006F214A" w:rsidP="0086382C">
      <w:pPr>
        <w:pStyle w:val="ac"/>
        <w:numPr>
          <w:ilvl w:val="0"/>
          <w:numId w:val="1"/>
        </w:numPr>
        <w:spacing w:line="360" w:lineRule="auto"/>
        <w:ind w:left="567" w:hanging="567"/>
        <w:jc w:val="both"/>
        <w:rPr>
          <w:rFonts w:ascii="Arial" w:hAnsi="Arial"/>
          <w:noProof w:val="0"/>
        </w:rPr>
      </w:pPr>
      <w:r>
        <w:rPr>
          <w:rFonts w:ascii="Arial" w:hAnsi="Arial" w:hint="cs"/>
          <w:noProof w:val="0"/>
          <w:rtl/>
        </w:rPr>
        <w:t>הנתבע טוען בשם האם כי האב הבריח מהאם רכוש וזכויות, וטענותיו אלה תתבררנה במסגרת הדיונית המתאימה. כמובן שאין בדעתי להביע דעתי על אודות סיכויי התביעה, לא כל שכן, כאשר טרם הוגש כתב הגנה, ויחד עם זאת, אף אם תאמר כי מלוא טענותיו של הנתבע תתקבלנה כאמת לאמיתה, עדיין אין בכוח</w:t>
      </w:r>
      <w:r w:rsidR="0086382C">
        <w:rPr>
          <w:rFonts w:ascii="Arial" w:hAnsi="Arial" w:hint="cs"/>
          <w:noProof w:val="0"/>
          <w:rtl/>
        </w:rPr>
        <w:t>ן</w:t>
      </w:r>
      <w:r>
        <w:rPr>
          <w:rFonts w:ascii="Arial" w:hAnsi="Arial" w:hint="cs"/>
          <w:noProof w:val="0"/>
          <w:rtl/>
        </w:rPr>
        <w:t xml:space="preserve"> למנוע את פירוק השיתוף בינו לבין אחיו, התובע ו/או בינו לבין אביו, מעביר הזכויות לתובע.</w:t>
      </w:r>
    </w:p>
    <w:p w:rsidR="006F214A" w:rsidRPr="00693168" w:rsidRDefault="006F214A" w:rsidP="006F214A">
      <w:pPr>
        <w:pStyle w:val="ac"/>
        <w:spacing w:line="360" w:lineRule="auto"/>
        <w:ind w:left="567"/>
        <w:jc w:val="both"/>
        <w:rPr>
          <w:rFonts w:ascii="Arial" w:hAnsi="Arial"/>
          <w:noProof w:val="0"/>
          <w:sz w:val="16"/>
          <w:szCs w:val="16"/>
        </w:rPr>
      </w:pPr>
    </w:p>
    <w:p w:rsidR="0000462A" w:rsidRDefault="006F214A" w:rsidP="00920463">
      <w:pPr>
        <w:pStyle w:val="ac"/>
        <w:numPr>
          <w:ilvl w:val="0"/>
          <w:numId w:val="1"/>
        </w:numPr>
        <w:spacing w:line="360" w:lineRule="auto"/>
        <w:ind w:left="567" w:hanging="567"/>
        <w:jc w:val="both"/>
        <w:rPr>
          <w:rFonts w:ascii="Arial" w:hAnsi="Arial"/>
          <w:noProof w:val="0"/>
        </w:rPr>
      </w:pPr>
      <w:r>
        <w:rPr>
          <w:rFonts w:ascii="Arial" w:hAnsi="Arial" w:hint="cs"/>
          <w:noProof w:val="0"/>
          <w:rtl/>
        </w:rPr>
        <w:t>אף אם תאמר כי בסופו של יום יזכה הנתבע לזכויות וכספים מאת האב שיהיה בהם כדי לאפשר לו לרכוש את חלקו של התובע בבית המגורים, אין בכך כדי למנוע מהתובע את זכותו לממש את חלקו בבית המגורים. למותר לציין כי לנתבע, בהיותו יורש המנוחה, אין כל עדיפות על פני אחיו ברכישת זכו</w:t>
      </w:r>
      <w:r w:rsidR="0000462A">
        <w:rPr>
          <w:rFonts w:ascii="Arial" w:hAnsi="Arial" w:hint="cs"/>
          <w:noProof w:val="0"/>
          <w:rtl/>
        </w:rPr>
        <w:t>יותיו ואין לו זכות ראשונים לרכוש את זכויות משנהו.</w:t>
      </w:r>
    </w:p>
    <w:p w:rsidR="0000462A" w:rsidRDefault="0000462A" w:rsidP="00693168">
      <w:pPr>
        <w:pStyle w:val="ac"/>
        <w:numPr>
          <w:ilvl w:val="0"/>
          <w:numId w:val="1"/>
        </w:numPr>
        <w:spacing w:line="360" w:lineRule="auto"/>
        <w:ind w:left="567" w:hanging="567"/>
        <w:jc w:val="both"/>
        <w:rPr>
          <w:rFonts w:ascii="Arial" w:hAnsi="Arial"/>
          <w:noProof w:val="0"/>
        </w:rPr>
      </w:pPr>
      <w:r>
        <w:rPr>
          <w:rFonts w:ascii="Arial" w:hAnsi="Arial" w:hint="cs"/>
          <w:noProof w:val="0"/>
          <w:rtl/>
        </w:rPr>
        <w:t xml:space="preserve">יהיו טעמי הנתבע אשר יהיו; בין בטעמים </w:t>
      </w:r>
      <w:r w:rsidR="00693168">
        <w:rPr>
          <w:rFonts w:ascii="Arial" w:hAnsi="Arial" w:hint="cs"/>
          <w:noProof w:val="0"/>
          <w:rtl/>
        </w:rPr>
        <w:t xml:space="preserve">כנים </w:t>
      </w:r>
      <w:r>
        <w:rPr>
          <w:rFonts w:ascii="Arial" w:hAnsi="Arial" w:hint="cs"/>
          <w:noProof w:val="0"/>
          <w:rtl/>
        </w:rPr>
        <w:t xml:space="preserve">הכרוכים בחלוקת נכסים מאוזנת עם </w:t>
      </w:r>
      <w:r w:rsidRPr="0000462A">
        <w:rPr>
          <w:rFonts w:ascii="Arial" w:hAnsi="Arial" w:hint="cs"/>
          <w:i/>
          <w:iCs/>
          <w:noProof w:val="0"/>
          <w:rtl/>
        </w:rPr>
        <w:t>האב</w:t>
      </w:r>
      <w:r>
        <w:rPr>
          <w:rFonts w:ascii="Arial" w:hAnsi="Arial" w:hint="cs"/>
          <w:noProof w:val="0"/>
          <w:rtl/>
        </w:rPr>
        <w:t xml:space="preserve"> ובין בטעמים שלא בתום לב לעכב את פירוק השיתוף בינו לבין </w:t>
      </w:r>
      <w:r w:rsidRPr="0000462A">
        <w:rPr>
          <w:rFonts w:ascii="Arial" w:hAnsi="Arial" w:hint="cs"/>
          <w:i/>
          <w:iCs/>
          <w:noProof w:val="0"/>
          <w:rtl/>
        </w:rPr>
        <w:t>אחיו</w:t>
      </w:r>
      <w:r>
        <w:rPr>
          <w:rFonts w:ascii="Arial" w:hAnsi="Arial" w:hint="cs"/>
          <w:noProof w:val="0"/>
          <w:rtl/>
        </w:rPr>
        <w:t xml:space="preserve"> </w:t>
      </w:r>
      <w:r>
        <w:rPr>
          <w:rFonts w:ascii="Arial" w:hAnsi="Arial"/>
          <w:noProof w:val="0"/>
          <w:rtl/>
        </w:rPr>
        <w:t>–</w:t>
      </w:r>
      <w:r>
        <w:rPr>
          <w:rFonts w:ascii="Arial" w:hAnsi="Arial" w:hint="cs"/>
          <w:noProof w:val="0"/>
          <w:rtl/>
        </w:rPr>
        <w:t xml:space="preserve"> לשיטתי, אין לעכב את פירוק השיתוף, </w:t>
      </w:r>
      <w:r w:rsidR="00693168">
        <w:rPr>
          <w:rFonts w:ascii="Arial" w:hAnsi="Arial" w:hint="cs"/>
          <w:noProof w:val="0"/>
          <w:rtl/>
        </w:rPr>
        <w:t>ו</w:t>
      </w:r>
      <w:r>
        <w:rPr>
          <w:rFonts w:ascii="Arial" w:hAnsi="Arial" w:hint="cs"/>
          <w:noProof w:val="0"/>
          <w:rtl/>
        </w:rPr>
        <w:t>זאת למדתי הן מעצמת הטענות ההדדיות שבין הצדדים והן משום אי הנכונות להגיע לכל פשרה. לטעמי, דרישתו של הנתבע לעכב את פירוק השיתוף עד בירור כלל טענות</w:t>
      </w:r>
      <w:r w:rsidR="00693168">
        <w:rPr>
          <w:rFonts w:ascii="Arial" w:hAnsi="Arial" w:hint="cs"/>
          <w:noProof w:val="0"/>
          <w:rtl/>
        </w:rPr>
        <w:t>יו</w:t>
      </w:r>
      <w:r>
        <w:rPr>
          <w:rFonts w:ascii="Arial" w:hAnsi="Arial" w:hint="cs"/>
          <w:noProof w:val="0"/>
          <w:rtl/>
        </w:rPr>
        <w:t xml:space="preserve"> (כיורש האם) מול האב, לא כל שכן כאשר האם נמנעה מלעשות כן בחייה, ה</w:t>
      </w:r>
      <w:r w:rsidR="00290B93">
        <w:rPr>
          <w:rFonts w:ascii="Arial" w:hAnsi="Arial" w:hint="cs"/>
          <w:noProof w:val="0"/>
          <w:rtl/>
        </w:rPr>
        <w:t>י</w:t>
      </w:r>
      <w:r>
        <w:rPr>
          <w:rFonts w:ascii="Arial" w:hAnsi="Arial" w:hint="cs"/>
          <w:noProof w:val="0"/>
          <w:rtl/>
        </w:rPr>
        <w:t>א</w:t>
      </w:r>
      <w:r w:rsidR="00290B93">
        <w:rPr>
          <w:rFonts w:ascii="Arial" w:hAnsi="Arial" w:hint="cs"/>
          <w:noProof w:val="0"/>
          <w:rtl/>
        </w:rPr>
        <w:t xml:space="preserve"> דרישה בלתי מידתית ובלתי סבירה ואיננה עולה כלל ועיקר עם הדין החל. </w:t>
      </w:r>
    </w:p>
    <w:p w:rsidR="0000462A" w:rsidRPr="00693168" w:rsidRDefault="0000462A" w:rsidP="0000462A">
      <w:pPr>
        <w:pStyle w:val="ac"/>
        <w:rPr>
          <w:rFonts w:ascii="Arial" w:hAnsi="Arial"/>
          <w:noProof w:val="0"/>
          <w:sz w:val="16"/>
          <w:szCs w:val="16"/>
          <w:rtl/>
        </w:rPr>
      </w:pPr>
    </w:p>
    <w:p w:rsidR="00920463" w:rsidRDefault="0000462A" w:rsidP="00F233CA">
      <w:pPr>
        <w:pStyle w:val="ac"/>
        <w:numPr>
          <w:ilvl w:val="0"/>
          <w:numId w:val="1"/>
        </w:numPr>
        <w:spacing w:line="360" w:lineRule="auto"/>
        <w:ind w:left="567" w:hanging="567"/>
        <w:jc w:val="both"/>
        <w:rPr>
          <w:rFonts w:ascii="Arial" w:hAnsi="Arial"/>
          <w:noProof w:val="0"/>
        </w:rPr>
      </w:pPr>
      <w:r>
        <w:rPr>
          <w:rFonts w:ascii="Arial" w:hAnsi="Arial" w:hint="cs"/>
          <w:noProof w:val="0"/>
          <w:rtl/>
        </w:rPr>
        <w:t>אשר על כן ומכל המקובץ, אינני רו</w:t>
      </w:r>
      <w:r w:rsidR="00290B93">
        <w:rPr>
          <w:rFonts w:ascii="Arial" w:hAnsi="Arial" w:hint="cs"/>
          <w:noProof w:val="0"/>
          <w:rtl/>
        </w:rPr>
        <w:t xml:space="preserve">אה כל מנוס אלא מלהורות על פירוק השיתוף בנכס. ב"כ הצדדים יודיעו בתוך </w:t>
      </w:r>
      <w:r w:rsidR="00F233CA">
        <w:rPr>
          <w:rFonts w:ascii="Arial" w:hAnsi="Arial" w:hint="cs"/>
          <w:noProof w:val="0"/>
          <w:rtl/>
        </w:rPr>
        <w:t>5</w:t>
      </w:r>
      <w:r w:rsidR="00290B93">
        <w:rPr>
          <w:rFonts w:ascii="Arial" w:hAnsi="Arial" w:hint="cs"/>
          <w:noProof w:val="0"/>
          <w:rtl/>
        </w:rPr>
        <w:t xml:space="preserve"> ימים האם ברצונם להתמנות ככונסי נכסים לשם מכירת הנכס בהקדם ולכל המרבה במחיר. בלית הודעה מתאימה, </w:t>
      </w:r>
      <w:r w:rsidR="00F233CA">
        <w:rPr>
          <w:rFonts w:ascii="Arial" w:hAnsi="Arial" w:hint="cs"/>
          <w:noProof w:val="0"/>
          <w:rtl/>
        </w:rPr>
        <w:t xml:space="preserve">ובהתאם לשיקול דעתי, </w:t>
      </w:r>
      <w:r w:rsidR="00290B93">
        <w:rPr>
          <w:rFonts w:ascii="Arial" w:hAnsi="Arial" w:hint="cs"/>
          <w:noProof w:val="0"/>
          <w:rtl/>
        </w:rPr>
        <w:t xml:space="preserve">לא מן הנמנע כי </w:t>
      </w:r>
      <w:r w:rsidR="00F233CA">
        <w:rPr>
          <w:rFonts w:ascii="Arial" w:hAnsi="Arial" w:hint="cs"/>
          <w:noProof w:val="0"/>
          <w:rtl/>
        </w:rPr>
        <w:t>א</w:t>
      </w:r>
      <w:r w:rsidR="00290B93">
        <w:rPr>
          <w:rFonts w:ascii="Arial" w:hAnsi="Arial" w:hint="cs"/>
          <w:noProof w:val="0"/>
          <w:rtl/>
        </w:rPr>
        <w:t>ורה על מינוי כונס שאינו מבין ב"כ הצדדים.</w:t>
      </w:r>
    </w:p>
    <w:p w:rsidR="00290B93" w:rsidRPr="00693168" w:rsidRDefault="00290B93" w:rsidP="00290B93">
      <w:pPr>
        <w:pStyle w:val="ac"/>
        <w:rPr>
          <w:rFonts w:ascii="Arial" w:hAnsi="Arial"/>
          <w:noProof w:val="0"/>
          <w:sz w:val="16"/>
          <w:szCs w:val="16"/>
          <w:rtl/>
        </w:rPr>
      </w:pPr>
    </w:p>
    <w:p w:rsidR="00290B93" w:rsidRDefault="00290B93" w:rsidP="00290B93">
      <w:pPr>
        <w:pStyle w:val="ac"/>
        <w:numPr>
          <w:ilvl w:val="0"/>
          <w:numId w:val="1"/>
        </w:numPr>
        <w:spacing w:line="360" w:lineRule="auto"/>
        <w:ind w:left="567" w:hanging="567"/>
        <w:jc w:val="both"/>
        <w:rPr>
          <w:rFonts w:ascii="Arial" w:hAnsi="Arial"/>
          <w:noProof w:val="0"/>
        </w:rPr>
      </w:pPr>
      <w:r>
        <w:rPr>
          <w:rFonts w:ascii="Arial" w:hAnsi="Arial" w:hint="cs"/>
          <w:noProof w:val="0"/>
          <w:rtl/>
        </w:rPr>
        <w:t>אתן דעתי להוצאות ההליך במסגרת פסק הדין (אישור הסכם המכר).</w:t>
      </w:r>
    </w:p>
    <w:p w:rsidR="00290B93" w:rsidRPr="00693168" w:rsidRDefault="00290B93" w:rsidP="00290B93">
      <w:pPr>
        <w:pStyle w:val="ac"/>
        <w:rPr>
          <w:rFonts w:ascii="Arial" w:hAnsi="Arial"/>
          <w:noProof w:val="0"/>
          <w:sz w:val="16"/>
          <w:szCs w:val="16"/>
          <w:rtl/>
        </w:rPr>
      </w:pPr>
    </w:p>
    <w:p w:rsidR="00290B93" w:rsidRDefault="00290B93" w:rsidP="00290B93">
      <w:pPr>
        <w:pStyle w:val="ac"/>
        <w:numPr>
          <w:ilvl w:val="0"/>
          <w:numId w:val="1"/>
        </w:numPr>
        <w:spacing w:line="360" w:lineRule="auto"/>
        <w:ind w:left="567" w:hanging="567"/>
        <w:jc w:val="both"/>
        <w:rPr>
          <w:rFonts w:ascii="Arial" w:hAnsi="Arial"/>
          <w:noProof w:val="0"/>
        </w:rPr>
      </w:pPr>
      <w:r>
        <w:rPr>
          <w:rFonts w:ascii="Arial" w:hAnsi="Arial" w:hint="cs"/>
          <w:noProof w:val="0"/>
          <w:rtl/>
        </w:rPr>
        <w:t>לבקשתו של הנתבע, ניתן צו עיכוב ביצוע בן 7 ימים מהיום.</w:t>
      </w:r>
    </w:p>
    <w:p w:rsidR="00920463" w:rsidRPr="00693168" w:rsidRDefault="00920463" w:rsidP="00920463">
      <w:pPr>
        <w:pStyle w:val="ac"/>
        <w:rPr>
          <w:rFonts w:ascii="Arial" w:hAnsi="Arial"/>
          <w:noProof w:val="0"/>
          <w:sz w:val="16"/>
          <w:szCs w:val="16"/>
          <w:rtl/>
        </w:rPr>
      </w:pPr>
    </w:p>
    <w:p w:rsidR="00920463" w:rsidRPr="00F80870" w:rsidRDefault="00F233CA" w:rsidP="00920463">
      <w:pPr>
        <w:pStyle w:val="ac"/>
        <w:numPr>
          <w:ilvl w:val="0"/>
          <w:numId w:val="1"/>
        </w:numPr>
        <w:spacing w:line="360" w:lineRule="auto"/>
        <w:ind w:left="567" w:hanging="567"/>
        <w:jc w:val="both"/>
        <w:rPr>
          <w:rFonts w:ascii="Arial" w:hAnsi="Arial"/>
          <w:noProof w:val="0"/>
        </w:rPr>
      </w:pPr>
      <w:r>
        <w:rPr>
          <w:rFonts w:ascii="Arial" w:hAnsi="Arial" w:hint="cs"/>
          <w:noProof w:val="0"/>
          <w:rtl/>
        </w:rPr>
        <w:t>ת"פ בהתאם.</w:t>
      </w:r>
    </w:p>
    <w:p w:rsidR="00094813" w:rsidRDefault="00094813">
      <w:pPr>
        <w:spacing w:line="360" w:lineRule="auto"/>
        <w:jc w:val="both"/>
        <w:rPr>
          <w:rFonts w:ascii="Arial" w:hAnsi="Arial"/>
          <w:noProof w:val="0"/>
          <w:rtl/>
        </w:rPr>
      </w:pP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81669360"/>
          <w:text w:multiLine="1"/>
        </w:sdtPr>
        <w:sdtEndPr/>
        <w:sdtContent>
          <w:r>
            <w:rPr>
              <w:rFonts w:ascii="Arial" w:hAnsi="Arial"/>
              <w:noProof w:val="0"/>
              <w:rtl/>
            </w:rPr>
            <w:t>כ"ח שבט תשפ"ג</w:t>
          </w:r>
        </w:sdtContent>
      </w:sdt>
      <w:r>
        <w:rPr>
          <w:rFonts w:ascii="Arial" w:hAnsi="Arial"/>
          <w:noProof w:val="0"/>
          <w:rtl/>
        </w:rPr>
        <w:t xml:space="preserve">, </w:t>
      </w:r>
      <w:sdt>
        <w:sdtPr>
          <w:rPr>
            <w:rtl/>
          </w:rPr>
          <w:alias w:val="1456"/>
          <w:tag w:val="1456"/>
          <w:id w:val="-1091704228"/>
          <w:text w:multiLine="1"/>
        </w:sdtPr>
        <w:sdtEndPr/>
        <w:sdtContent>
          <w:r>
            <w:rPr>
              <w:rFonts w:ascii="Arial" w:hAnsi="Arial"/>
              <w:noProof w:val="0"/>
              <w:rtl/>
            </w:rPr>
            <w:t>19 פברואר 2023</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767BD4">
      <w:pPr>
        <w:spacing w:line="360" w:lineRule="auto"/>
        <w:ind w:left="3600" w:firstLine="720"/>
        <w:jc w:val="both"/>
      </w:pPr>
      <w:sdt>
        <w:sdtPr>
          <w:rPr>
            <w:rtl/>
          </w:rPr>
          <w:alias w:val="MergeField"/>
          <w:tag w:val="1237"/>
          <w:id w:val="-626008942"/>
        </w:sdtPr>
        <w:sdtEndPr/>
        <w:sdtContent>
          <w:r w:rsidR="002F4549">
            <w:drawing>
              <wp:inline distT="0" distB="0" distL="0" distR="0" wp14:editId="50D07946">
                <wp:extent cx="2809875" cy="838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2809875" cy="838200"/>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2914D6">
      <w:pPr>
        <w:spacing w:line="360" w:lineRule="auto"/>
        <w:jc w:val="both"/>
        <w:rPr>
          <w:rFonts w:ascii="Arial" w:hAnsi="Arial"/>
          <w:noProof w:val="0"/>
          <w:rtl/>
        </w:rPr>
      </w:pPr>
    </w:p>
    <w:sectPr w:rsidR="002914D6" w:rsidSect="002914D6">
      <w:headerReference w:type="default" r:id="rId9"/>
      <w:footerReference w:type="default" r:id="rId10"/>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BD4" w:rsidRDefault="00767BD4">
      <w:r>
        <w:separator/>
      </w:r>
    </w:p>
  </w:endnote>
  <w:endnote w:type="continuationSeparator" w:id="0">
    <w:p w:rsidR="00767BD4" w:rsidRDefault="0076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242BA8">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F158D1">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F158D1">
      <w:rPr>
        <w:rStyle w:val="ab"/>
        <w:rtl/>
      </w:rPr>
      <w:t>1</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BD4" w:rsidRDefault="00767BD4">
      <w:r>
        <w:separator/>
      </w:r>
    </w:p>
  </w:footnote>
  <w:footnote w:type="continuationSeparator" w:id="0">
    <w:p w:rsidR="00767BD4" w:rsidRDefault="00767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946045">
    <w:pPr>
      <w:pStyle w:val="a3"/>
      <w:jc w:val="center"/>
      <w:rPr>
        <w:rFonts w:cs="FrankRuehl"/>
        <w:noProof w:val="0"/>
        <w:sz w:val="28"/>
        <w:szCs w:val="28"/>
        <w:rtl/>
      </w:rPr>
    </w:pPr>
    <w:r>
      <w:rPr>
        <w:rFonts w:cs="FrankRuehl"/>
        <w:sz w:val="28"/>
        <w:szCs w:val="28"/>
      </w:rPr>
      <w:drawing>
        <wp:inline distT="0" distB="0" distL="0" distR="0">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1271863099"/>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 יפו</w:t>
              </w:r>
            </w:p>
          </w:tc>
        </w:sdtContent>
      </w:sdt>
    </w:tr>
    <w:tr w:rsidR="002914D6">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914D6">
      <w:trPr>
        <w:trHeight w:val="337"/>
        <w:jc w:val="center"/>
      </w:trPr>
      <w:tc>
        <w:tcPr>
          <w:tcW w:w="8721" w:type="dxa"/>
          <w:gridSpan w:val="2"/>
        </w:tcPr>
        <w:p w:rsidR="002914D6" w:rsidRDefault="00767BD4" w:rsidP="00DE2396">
          <w:pPr>
            <w:rPr>
              <w:b/>
              <w:bCs/>
              <w:noProof w:val="0"/>
              <w:sz w:val="26"/>
              <w:szCs w:val="26"/>
              <w:rtl/>
            </w:rPr>
          </w:pPr>
          <w:sdt>
            <w:sdtPr>
              <w:rPr>
                <w:rtl/>
              </w:rPr>
              <w:alias w:val="1170"/>
              <w:tag w:val="1170"/>
              <w:id w:val="922609164"/>
              <w:text w:multiLine="1"/>
            </w:sdtPr>
            <w:sdtEndPr/>
            <w:sdtContent>
              <w:r w:rsidR="00094813">
                <w:rPr>
                  <w:b/>
                  <w:bCs/>
                  <w:noProof w:val="0"/>
                  <w:sz w:val="26"/>
                  <w:szCs w:val="26"/>
                  <w:rtl/>
                </w:rPr>
                <w:t>תמ"ש</w:t>
              </w:r>
            </w:sdtContent>
          </w:sdt>
          <w:r w:rsidR="00011212">
            <w:rPr>
              <w:b/>
              <w:bCs/>
              <w:noProof w:val="0"/>
              <w:sz w:val="26"/>
              <w:szCs w:val="26"/>
              <w:rtl/>
            </w:rPr>
            <w:t xml:space="preserve"> </w:t>
          </w:r>
          <w:sdt>
            <w:sdtPr>
              <w:rPr>
                <w:rtl/>
              </w:rPr>
              <w:alias w:val="1171"/>
              <w:tag w:val="1171"/>
              <w:id w:val="-1035651213"/>
              <w:text w:multiLine="1"/>
            </w:sdtPr>
            <w:sdtEndPr/>
            <w:sdtContent>
              <w:r w:rsidR="00094813">
                <w:rPr>
                  <w:b/>
                  <w:bCs/>
                  <w:noProof w:val="0"/>
                  <w:sz w:val="26"/>
                  <w:szCs w:val="26"/>
                  <w:rtl/>
                </w:rPr>
                <w:t>58316-11-22</w:t>
              </w:r>
            </w:sdtContent>
          </w:sdt>
          <w:r w:rsidR="00011212">
            <w:rPr>
              <w:b/>
              <w:bCs/>
              <w:noProof w:val="0"/>
              <w:sz w:val="26"/>
              <w:szCs w:val="26"/>
              <w:rtl/>
            </w:rPr>
            <w:t xml:space="preserve"> </w:t>
          </w:r>
          <w:sdt>
            <w:sdtPr>
              <w:rPr>
                <w:rtl/>
              </w:rPr>
              <w:alias w:val="1172"/>
              <w:tag w:val="1172"/>
              <w:id w:val="-1735694493"/>
              <w:text w:multiLine="1"/>
            </w:sdtPr>
            <w:sdtEndPr/>
            <w:sdtContent>
              <w:r w:rsidR="00DE2396">
                <w:rPr>
                  <w:rFonts w:hint="cs"/>
                  <w:b/>
                  <w:bCs/>
                  <w:noProof w:val="0"/>
                  <w:sz w:val="26"/>
                  <w:szCs w:val="26"/>
                  <w:rtl/>
                </w:rPr>
                <w:t>פלוני נ' אלמוני</w:t>
              </w:r>
            </w:sdtContent>
          </w:sdt>
        </w:p>
        <w:p w:rsidR="002914D6" w:rsidRDefault="002914D6">
          <w:pPr>
            <w:rPr>
              <w:rtl/>
            </w:rPr>
          </w:pPr>
        </w:p>
      </w:tc>
    </w:tr>
  </w:tbl>
  <w:p w:rsidR="002914D6" w:rsidRDefault="00011212">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B367FD"/>
    <w:multiLevelType w:val="hybridMultilevel"/>
    <w:tmpl w:val="BB3C66BA"/>
    <w:lvl w:ilvl="0" w:tplc="758E32D0">
      <w:start w:val="1"/>
      <w:numFmt w:val="decimal"/>
      <w:lvlText w:val="%1."/>
      <w:lvlJc w:val="left"/>
      <w:pPr>
        <w:ind w:left="720" w:hanging="360"/>
      </w:pPr>
      <w:rPr>
        <w:rFonts w:ascii="David" w:hAnsi="David"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D6"/>
    <w:rsid w:val="0000462A"/>
    <w:rsid w:val="00011212"/>
    <w:rsid w:val="00094813"/>
    <w:rsid w:val="000C18C1"/>
    <w:rsid w:val="0014058F"/>
    <w:rsid w:val="001E0EB7"/>
    <w:rsid w:val="00242BA8"/>
    <w:rsid w:val="00290B93"/>
    <w:rsid w:val="002914D6"/>
    <w:rsid w:val="002F4549"/>
    <w:rsid w:val="002F5307"/>
    <w:rsid w:val="003C2B44"/>
    <w:rsid w:val="003C669B"/>
    <w:rsid w:val="004646CE"/>
    <w:rsid w:val="00503A57"/>
    <w:rsid w:val="00530E94"/>
    <w:rsid w:val="00603950"/>
    <w:rsid w:val="00693168"/>
    <w:rsid w:val="006D7FDF"/>
    <w:rsid w:val="006F214A"/>
    <w:rsid w:val="00767BD4"/>
    <w:rsid w:val="007C3C70"/>
    <w:rsid w:val="00822AA5"/>
    <w:rsid w:val="0086382C"/>
    <w:rsid w:val="00920463"/>
    <w:rsid w:val="00946045"/>
    <w:rsid w:val="00A54660"/>
    <w:rsid w:val="00A7661B"/>
    <w:rsid w:val="00B31305"/>
    <w:rsid w:val="00C11707"/>
    <w:rsid w:val="00C226D6"/>
    <w:rsid w:val="00CC19E9"/>
    <w:rsid w:val="00CE7F78"/>
    <w:rsid w:val="00DB267F"/>
    <w:rsid w:val="00DE2396"/>
    <w:rsid w:val="00EC08AF"/>
    <w:rsid w:val="00F158D1"/>
    <w:rsid w:val="00F233CA"/>
    <w:rsid w:val="00F50E07"/>
    <w:rsid w:val="00F80870"/>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080795-B35A-4724-886A-2E62E016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paragraph" w:styleId="ac">
    <w:name w:val="List Paragraph"/>
    <w:basedOn w:val="a"/>
    <w:uiPriority w:val="34"/>
    <w:qFormat/>
    <w:rsid w:val="00DB26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68499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6218</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2023-02-19T12:46:00Z</cp:lastPrinted>
  <dcterms:created xsi:type="dcterms:W3CDTF">2025-03-09T14:24:00Z</dcterms:created>
  <dcterms:modified xsi:type="dcterms:W3CDTF">2025-03-09T14:24:00Z</dcterms:modified>
</cp:coreProperties>
</file>