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24E" w:rsidRPr="00FA4EAF" w:rsidRDefault="0094424E" w:rsidP="0094424E">
      <w:pPr>
        <w:rPr>
          <w:sz w:val="26"/>
          <w:szCs w:val="26"/>
          <w:rtl/>
        </w:rPr>
      </w:pPr>
      <w:bookmarkStart w:id="0" w:name="_GoBack"/>
      <w:bookmarkEnd w:id="0"/>
      <w:r w:rsidRPr="00FA4EAF">
        <w:rPr>
          <w:sz w:val="26"/>
          <w:szCs w:val="26"/>
          <w:rtl/>
        </w:rPr>
        <w:t xml:space="preserve"> </w:t>
      </w: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1800"/>
        <w:gridCol w:w="3771"/>
      </w:tblGrid>
      <w:tr w:rsidR="0094424E" w:rsidRPr="00FA4EAF">
        <w:trPr>
          <w:trHeight w:val="295"/>
          <w:jc w:val="center"/>
        </w:trPr>
        <w:tc>
          <w:tcPr>
            <w:tcW w:w="5049" w:type="dxa"/>
            <w:gridSpan w:val="3"/>
          </w:tcPr>
          <w:p w:rsidR="0094424E" w:rsidRPr="00FA4EAF" w:rsidRDefault="0094424E">
            <w:pPr>
              <w:rPr>
                <w:rFonts w:ascii="Arial" w:hAnsi="Arial"/>
                <w:b/>
                <w:bCs/>
                <w:noProof w:val="0"/>
                <w:sz w:val="26"/>
                <w:szCs w:val="26"/>
                <w:rtl/>
              </w:rPr>
            </w:pPr>
          </w:p>
        </w:tc>
        <w:tc>
          <w:tcPr>
            <w:tcW w:w="3771" w:type="dxa"/>
          </w:tcPr>
          <w:p w:rsidR="0094424E" w:rsidRPr="00FA4EAF" w:rsidRDefault="0094424E" w:rsidP="00896889">
            <w:pPr>
              <w:rPr>
                <w:rFonts w:ascii="Arial" w:hAnsi="Arial"/>
                <w:b/>
                <w:bCs/>
                <w:noProof w:val="0"/>
                <w:sz w:val="26"/>
                <w:szCs w:val="26"/>
                <w:rtl/>
              </w:rPr>
            </w:pPr>
            <w:r w:rsidRPr="00FA4EAF">
              <w:rPr>
                <w:rFonts w:ascii="Arial" w:hAnsi="Arial"/>
                <w:b/>
                <w:bCs/>
                <w:noProof w:val="0"/>
                <w:sz w:val="26"/>
                <w:szCs w:val="26"/>
                <w:rtl/>
              </w:rPr>
              <w:t>מספר בקשה:</w:t>
            </w:r>
            <w:sdt>
              <w:sdtPr>
                <w:rPr>
                  <w:sz w:val="26"/>
                  <w:szCs w:val="26"/>
                  <w:rtl/>
                </w:rPr>
                <w:alias w:val="1193"/>
                <w:tag w:val="1193"/>
                <w:id w:val="-636028727"/>
                <w:text w:multiLine="1"/>
              </w:sdtPr>
              <w:sdtEndPr/>
              <w:sdtContent>
                <w:r>
                  <w:rPr>
                    <w:rFonts w:ascii="Arial" w:hAnsi="Arial"/>
                    <w:b/>
                    <w:bCs/>
                    <w:noProof w:val="0"/>
                    <w:sz w:val="26"/>
                    <w:szCs w:val="26"/>
                    <w:rtl/>
                  </w:rPr>
                  <w:t>6</w:t>
                </w:r>
              </w:sdtContent>
            </w:sdt>
          </w:p>
        </w:tc>
      </w:tr>
      <w:tr w:rsidR="0094424E" w:rsidRPr="00FA4EAF">
        <w:trPr>
          <w:jc w:val="center"/>
        </w:trPr>
        <w:tc>
          <w:tcPr>
            <w:tcW w:w="743" w:type="dxa"/>
          </w:tcPr>
          <w:p w:rsidR="0094424E" w:rsidRPr="00FA4EAF" w:rsidRDefault="00D74378" w:rsidP="00E962E3">
            <w:pPr>
              <w:jc w:val="both"/>
              <w:rPr>
                <w:rFonts w:ascii="Arial" w:hAnsi="Arial"/>
                <w:b/>
                <w:bCs/>
                <w:sz w:val="26"/>
                <w:szCs w:val="26"/>
                <w:rtl/>
              </w:rPr>
            </w:pPr>
            <w:r>
              <w:rPr>
                <w:rFonts w:ascii="Arial" w:hAnsi="Arial" w:hint="cs"/>
                <w:b/>
                <w:bCs/>
                <w:sz w:val="26"/>
                <w:szCs w:val="26"/>
                <w:rtl/>
              </w:rPr>
              <w:t>ל</w:t>
            </w:r>
            <w:r w:rsidR="0094424E" w:rsidRPr="00FA4EAF">
              <w:rPr>
                <w:rFonts w:ascii="Arial" w:hAnsi="Arial"/>
                <w:b/>
                <w:bCs/>
                <w:sz w:val="26"/>
                <w:szCs w:val="26"/>
                <w:rtl/>
              </w:rPr>
              <w:t xml:space="preserve">פני </w:t>
            </w:r>
          </w:p>
        </w:tc>
        <w:tc>
          <w:tcPr>
            <w:tcW w:w="8077" w:type="dxa"/>
            <w:gridSpan w:val="3"/>
          </w:tcPr>
          <w:p w:rsidR="0094424E" w:rsidRPr="00FA4EAF" w:rsidRDefault="000529D2">
            <w:pPr>
              <w:rPr>
                <w:rFonts w:ascii="Arial" w:hAnsi="Arial"/>
                <w:b/>
                <w:bCs/>
                <w:sz w:val="26"/>
                <w:szCs w:val="26"/>
                <w:rtl/>
              </w:rPr>
            </w:pPr>
            <w:r w:rsidRPr="00FA4EAF">
              <w:rPr>
                <w:rFonts w:ascii="Arial" w:hAnsi="Arial" w:hint="cs"/>
                <w:b/>
                <w:bCs/>
                <w:sz w:val="26"/>
                <w:szCs w:val="26"/>
                <w:rtl/>
              </w:rPr>
              <w:t>כבוד</w:t>
            </w:r>
            <w:r w:rsidR="0094424E" w:rsidRPr="00FA4EAF">
              <w:rPr>
                <w:rFonts w:ascii="Arial" w:hAnsi="Arial" w:hint="cs"/>
                <w:b/>
                <w:bCs/>
                <w:sz w:val="26"/>
                <w:szCs w:val="26"/>
                <w:rtl/>
              </w:rPr>
              <w:t xml:space="preserve"> ה</w:t>
            </w:r>
            <w:sdt>
              <w:sdtPr>
                <w:rPr>
                  <w:sz w:val="26"/>
                  <w:szCs w:val="26"/>
                  <w:rtl/>
                </w:rPr>
                <w:alias w:val="1574"/>
                <w:tag w:val="1574"/>
                <w:id w:val="414602899"/>
                <w:text w:multiLine="1"/>
              </w:sdtPr>
              <w:sdtEndPr/>
              <w:sdtContent>
                <w:r>
                  <w:rPr>
                    <w:rFonts w:ascii="Arial" w:hAnsi="Arial"/>
                    <w:b/>
                    <w:bCs/>
                    <w:sz w:val="26"/>
                    <w:szCs w:val="26"/>
                    <w:rtl/>
                  </w:rPr>
                  <w:t>שופטת</w:t>
                </w:r>
              </w:sdtContent>
            </w:sdt>
            <w:r w:rsidR="0094424E" w:rsidRPr="00FA4EAF">
              <w:rPr>
                <w:rFonts w:ascii="Arial" w:hAnsi="Arial" w:hint="cs"/>
                <w:b/>
                <w:bCs/>
                <w:sz w:val="26"/>
                <w:szCs w:val="26"/>
                <w:rtl/>
              </w:rPr>
              <w:t xml:space="preserve">  </w:t>
            </w:r>
            <w:sdt>
              <w:sdtPr>
                <w:rPr>
                  <w:sz w:val="26"/>
                  <w:szCs w:val="26"/>
                  <w:rtl/>
                </w:rPr>
                <w:alias w:val="1573"/>
                <w:tag w:val="1573"/>
                <w:id w:val="-1751030614"/>
                <w:text w:multiLine="1"/>
              </w:sdtPr>
              <w:sdtEndPr/>
              <w:sdtContent>
                <w:r>
                  <w:rPr>
                    <w:rFonts w:ascii="Arial" w:hAnsi="Arial"/>
                    <w:b/>
                    <w:bCs/>
                    <w:sz w:val="26"/>
                    <w:szCs w:val="26"/>
                    <w:rtl/>
                  </w:rPr>
                  <w:t>אירית קלמן ברום</w:t>
                </w:r>
              </w:sdtContent>
            </w:sdt>
          </w:p>
          <w:p w:rsidR="0094424E" w:rsidRPr="00FA4EAF" w:rsidRDefault="0094424E">
            <w:pPr>
              <w:rPr>
                <w:rFonts w:ascii="Arial" w:hAnsi="Arial" w:cs="FrankRuehl"/>
                <w:sz w:val="26"/>
                <w:szCs w:val="26"/>
                <w:highlight w:val="yellow"/>
              </w:rPr>
            </w:pPr>
          </w:p>
        </w:tc>
      </w:tr>
      <w:tr w:rsidR="0094424E" w:rsidRPr="00FA4EAF" w:rsidTr="00465D36">
        <w:trPr>
          <w:jc w:val="center"/>
        </w:trPr>
        <w:tc>
          <w:tcPr>
            <w:tcW w:w="3249" w:type="dxa"/>
            <w:gridSpan w:val="2"/>
          </w:tcPr>
          <w:p w:rsidR="0094424E" w:rsidRPr="00FA4EAF" w:rsidRDefault="0094424E" w:rsidP="00465D36">
            <w:pPr>
              <w:rPr>
                <w:rFonts w:ascii="Arial" w:hAnsi="Arial"/>
                <w:b/>
                <w:bCs/>
                <w:noProof w:val="0"/>
                <w:sz w:val="26"/>
                <w:szCs w:val="26"/>
              </w:rPr>
            </w:pPr>
          </w:p>
          <w:sdt>
            <w:sdtPr>
              <w:rPr>
                <w:sz w:val="26"/>
                <w:szCs w:val="26"/>
                <w:rtl/>
              </w:rPr>
              <w:alias w:val="1180"/>
              <w:tag w:val="1180"/>
              <w:id w:val="637458750"/>
              <w:text w:multiLine="1"/>
            </w:sdtPr>
            <w:sdtEndPr/>
            <w:sdtContent>
              <w:p w:rsidR="00BA2DBD" w:rsidRDefault="008F7BAB">
                <w:pPr>
                  <w:rPr>
                    <w:rFonts w:ascii="Arial" w:hAnsi="Arial"/>
                    <w:b/>
                    <w:bCs/>
                    <w:noProof w:val="0"/>
                    <w:sz w:val="26"/>
                    <w:szCs w:val="26"/>
                    <w:rtl/>
                  </w:rPr>
                </w:pPr>
                <w:r>
                  <w:rPr>
                    <w:rFonts w:ascii="Arial" w:hAnsi="Arial"/>
                    <w:b/>
                    <w:bCs/>
                    <w:noProof w:val="0"/>
                    <w:sz w:val="26"/>
                    <w:szCs w:val="26"/>
                    <w:rtl/>
                  </w:rPr>
                  <w:t>מבקש</w:t>
                </w:r>
                <w:r>
                  <w:rPr>
                    <w:rFonts w:ascii="Arial" w:hAnsi="Arial" w:hint="cs"/>
                    <w:b/>
                    <w:bCs/>
                    <w:noProof w:val="0"/>
                    <w:sz w:val="26"/>
                    <w:szCs w:val="26"/>
                    <w:rtl/>
                  </w:rPr>
                  <w:t>ת</w:t>
                </w:r>
              </w:p>
            </w:sdtContent>
          </w:sdt>
        </w:tc>
        <w:tc>
          <w:tcPr>
            <w:tcW w:w="5571" w:type="dxa"/>
            <w:gridSpan w:val="2"/>
          </w:tcPr>
          <w:p w:rsidR="0094424E" w:rsidRPr="00FA4EAF" w:rsidRDefault="0094424E">
            <w:pPr>
              <w:rPr>
                <w:rFonts w:ascii="Arial" w:hAnsi="Arial"/>
                <w:b/>
                <w:bCs/>
                <w:noProof w:val="0"/>
                <w:sz w:val="26"/>
                <w:szCs w:val="26"/>
                <w:rtl/>
              </w:rPr>
            </w:pPr>
          </w:p>
          <w:p w:rsidR="003763AB" w:rsidRDefault="00227DDF">
            <w:pPr>
              <w:rPr>
                <w:sz w:val="26"/>
                <w:szCs w:val="26"/>
                <w:rtl/>
              </w:rPr>
            </w:pPr>
            <w:sdt>
              <w:sdtPr>
                <w:rPr>
                  <w:sz w:val="26"/>
                  <w:szCs w:val="26"/>
                  <w:rtl/>
                </w:rPr>
                <w:alias w:val="1478"/>
                <w:tag w:val="1478"/>
                <w:id w:val="-2076122985"/>
                <w:text w:multiLine="1"/>
              </w:sdtPr>
              <w:sdtEndPr/>
              <w:sdtContent>
                <w:r w:rsidR="001F5DB6">
                  <w:rPr>
                    <w:rFonts w:ascii="Arial" w:hAnsi="Arial"/>
                    <w:b/>
                    <w:bCs/>
                    <w:noProof w:val="0"/>
                    <w:sz w:val="26"/>
                    <w:szCs w:val="26"/>
                    <w:rtl/>
                  </w:rPr>
                  <w:t>רום גבס חיפוי וקירוי (1997) בע"מ</w:t>
                </w:r>
              </w:sdtContent>
            </w:sdt>
          </w:p>
          <w:p w:rsidR="0094424E" w:rsidRPr="008F7BAB" w:rsidRDefault="001D3441">
            <w:pPr>
              <w:rPr>
                <w:noProof w:val="0"/>
                <w:sz w:val="26"/>
                <w:szCs w:val="26"/>
              </w:rPr>
            </w:pPr>
            <w:r>
              <w:rPr>
                <w:rFonts w:hint="cs"/>
                <w:sz w:val="26"/>
                <w:szCs w:val="26"/>
                <w:rtl/>
              </w:rPr>
              <w:t>ע"י ב"כ עו"ד</w:t>
            </w:r>
            <w:r w:rsidR="008F7BAB">
              <w:rPr>
                <w:rFonts w:hint="cs"/>
                <w:b/>
                <w:bCs/>
                <w:noProof w:val="0"/>
                <w:sz w:val="26"/>
                <w:szCs w:val="26"/>
                <w:rtl/>
              </w:rPr>
              <w:t xml:space="preserve"> </w:t>
            </w:r>
            <w:r w:rsidR="008F7BAB">
              <w:rPr>
                <w:rFonts w:hint="cs"/>
                <w:noProof w:val="0"/>
                <w:sz w:val="26"/>
                <w:szCs w:val="26"/>
                <w:rtl/>
              </w:rPr>
              <w:t>דורון דן, דנה וקנין</w:t>
            </w:r>
          </w:p>
        </w:tc>
      </w:tr>
      <w:tr w:rsidR="0094424E" w:rsidRPr="00FA4EAF">
        <w:trPr>
          <w:jc w:val="center"/>
        </w:trPr>
        <w:tc>
          <w:tcPr>
            <w:tcW w:w="8820" w:type="dxa"/>
            <w:gridSpan w:val="4"/>
          </w:tcPr>
          <w:p w:rsidR="0094424E" w:rsidRPr="00FA4EAF" w:rsidRDefault="0094424E">
            <w:pPr>
              <w:rPr>
                <w:rFonts w:ascii="Arial" w:hAnsi="Arial"/>
                <w:b/>
                <w:bCs/>
                <w:noProof w:val="0"/>
                <w:sz w:val="26"/>
                <w:szCs w:val="26"/>
                <w:rtl/>
              </w:rPr>
            </w:pPr>
          </w:p>
          <w:p w:rsidR="0094424E" w:rsidRPr="00FA4EAF" w:rsidRDefault="0094424E">
            <w:pPr>
              <w:jc w:val="center"/>
              <w:rPr>
                <w:rFonts w:ascii="Arial" w:hAnsi="Arial"/>
                <w:b/>
                <w:bCs/>
                <w:noProof w:val="0"/>
                <w:sz w:val="26"/>
                <w:szCs w:val="26"/>
                <w:rtl/>
              </w:rPr>
            </w:pPr>
            <w:r w:rsidRPr="00FA4EAF">
              <w:rPr>
                <w:rFonts w:ascii="Arial" w:hAnsi="Arial"/>
                <w:b/>
                <w:bCs/>
                <w:noProof w:val="0"/>
                <w:sz w:val="26"/>
                <w:szCs w:val="26"/>
                <w:rtl/>
              </w:rPr>
              <w:t>נגד</w:t>
            </w:r>
          </w:p>
          <w:p w:rsidR="0094424E" w:rsidRPr="00FA4EAF" w:rsidRDefault="0094424E">
            <w:pPr>
              <w:rPr>
                <w:rFonts w:ascii="Arial" w:hAnsi="Arial"/>
                <w:b/>
                <w:bCs/>
                <w:noProof w:val="0"/>
                <w:sz w:val="26"/>
                <w:szCs w:val="26"/>
              </w:rPr>
            </w:pPr>
          </w:p>
        </w:tc>
      </w:tr>
      <w:tr w:rsidR="0094424E" w:rsidRPr="00FA4EAF">
        <w:trPr>
          <w:jc w:val="center"/>
        </w:trPr>
        <w:tc>
          <w:tcPr>
            <w:tcW w:w="3249" w:type="dxa"/>
            <w:gridSpan w:val="2"/>
          </w:tcPr>
          <w:p w:rsidR="0094424E" w:rsidRPr="00FA4EAF" w:rsidRDefault="0094424E">
            <w:pPr>
              <w:rPr>
                <w:rFonts w:ascii="Arial" w:hAnsi="Arial"/>
                <w:b/>
                <w:bCs/>
                <w:noProof w:val="0"/>
                <w:sz w:val="26"/>
                <w:szCs w:val="26"/>
                <w:rtl/>
              </w:rPr>
            </w:pPr>
          </w:p>
          <w:p w:rsidR="0094424E" w:rsidRPr="00FA4EAF" w:rsidRDefault="00227DDF">
            <w:pPr>
              <w:rPr>
                <w:rFonts w:ascii="Arial" w:hAnsi="Arial"/>
                <w:b/>
                <w:bCs/>
                <w:noProof w:val="0"/>
                <w:sz w:val="26"/>
                <w:szCs w:val="26"/>
              </w:rPr>
            </w:pPr>
            <w:sdt>
              <w:sdtPr>
                <w:rPr>
                  <w:sz w:val="26"/>
                  <w:szCs w:val="26"/>
                  <w:rtl/>
                </w:rPr>
                <w:alias w:val="1184"/>
                <w:tag w:val="1184"/>
                <w:id w:val="-340621022"/>
                <w:text w:multiLine="1"/>
              </w:sdtPr>
              <w:sdtEndPr/>
              <w:sdtContent>
                <w:r w:rsidR="008F7BAB">
                  <w:rPr>
                    <w:rFonts w:ascii="Arial" w:hAnsi="Arial"/>
                    <w:b/>
                    <w:bCs/>
                    <w:noProof w:val="0"/>
                    <w:sz w:val="26"/>
                    <w:szCs w:val="26"/>
                    <w:rtl/>
                  </w:rPr>
                  <w:t>משיב</w:t>
                </w:r>
                <w:r w:rsidR="008F7BAB">
                  <w:rPr>
                    <w:rFonts w:ascii="Arial" w:hAnsi="Arial" w:hint="cs"/>
                    <w:b/>
                    <w:bCs/>
                    <w:noProof w:val="0"/>
                    <w:sz w:val="26"/>
                    <w:szCs w:val="26"/>
                    <w:rtl/>
                  </w:rPr>
                  <w:t>ה</w:t>
                </w:r>
              </w:sdtContent>
            </w:sdt>
          </w:p>
        </w:tc>
        <w:tc>
          <w:tcPr>
            <w:tcW w:w="5571" w:type="dxa"/>
            <w:gridSpan w:val="2"/>
          </w:tcPr>
          <w:p w:rsidR="0094424E" w:rsidRPr="00FA4EAF" w:rsidRDefault="0094424E">
            <w:pPr>
              <w:rPr>
                <w:rFonts w:ascii="Arial" w:hAnsi="Arial"/>
                <w:b/>
                <w:bCs/>
                <w:noProof w:val="0"/>
                <w:sz w:val="26"/>
                <w:szCs w:val="26"/>
                <w:rtl/>
              </w:rPr>
            </w:pPr>
          </w:p>
          <w:p w:rsidR="003763AB" w:rsidRDefault="00227DDF" w:rsidP="008F7BAB">
            <w:pPr>
              <w:rPr>
                <w:sz w:val="26"/>
                <w:szCs w:val="26"/>
                <w:rtl/>
              </w:rPr>
            </w:pPr>
            <w:sdt>
              <w:sdtPr>
                <w:rPr>
                  <w:sz w:val="26"/>
                  <w:szCs w:val="26"/>
                  <w:rtl/>
                </w:rPr>
                <w:alias w:val="1486"/>
                <w:tag w:val="1486"/>
                <w:id w:val="-309872140"/>
                <w:text w:multiLine="1"/>
              </w:sdtPr>
              <w:sdtEndPr/>
              <w:sdtContent>
                <w:r w:rsidR="001F5DB6">
                  <w:rPr>
                    <w:rFonts w:ascii="Arial" w:hAnsi="Arial"/>
                    <w:b/>
                    <w:bCs/>
                    <w:noProof w:val="0"/>
                    <w:sz w:val="26"/>
                    <w:szCs w:val="26"/>
                    <w:rtl/>
                  </w:rPr>
                  <w:t>פולדמיר בנין(1986) בע"מ</w:t>
                </w:r>
              </w:sdtContent>
            </w:sdt>
          </w:p>
          <w:p w:rsidR="008F7BAB" w:rsidRPr="008F7BAB" w:rsidRDefault="001D3441" w:rsidP="008F7BAB">
            <w:pPr>
              <w:rPr>
                <w:noProof w:val="0"/>
                <w:sz w:val="26"/>
                <w:szCs w:val="26"/>
              </w:rPr>
            </w:pPr>
            <w:r>
              <w:rPr>
                <w:rFonts w:hint="cs"/>
                <w:sz w:val="26"/>
                <w:szCs w:val="26"/>
                <w:rtl/>
              </w:rPr>
              <w:t>ע"י ב"כ עו"ד</w:t>
            </w:r>
            <w:r w:rsidR="008F7BAB">
              <w:rPr>
                <w:rFonts w:hint="cs"/>
                <w:b/>
                <w:bCs/>
                <w:noProof w:val="0"/>
                <w:sz w:val="26"/>
                <w:szCs w:val="26"/>
                <w:rtl/>
              </w:rPr>
              <w:t xml:space="preserve"> </w:t>
            </w:r>
            <w:r w:rsidR="008F7BAB">
              <w:rPr>
                <w:rFonts w:hint="cs"/>
                <w:noProof w:val="0"/>
                <w:sz w:val="26"/>
                <w:szCs w:val="26"/>
                <w:rtl/>
              </w:rPr>
              <w:t>אבי שרף, אורית טובים</w:t>
            </w:r>
          </w:p>
          <w:p w:rsidR="0094424E" w:rsidRPr="00FA4EAF" w:rsidRDefault="0094424E">
            <w:pPr>
              <w:rPr>
                <w:b/>
                <w:bCs/>
                <w:noProof w:val="0"/>
                <w:sz w:val="26"/>
                <w:szCs w:val="26"/>
                <w:rtl/>
              </w:rPr>
            </w:pPr>
          </w:p>
        </w:tc>
      </w:tr>
      <w:tr w:rsidR="004C17EE" w:rsidRPr="00FA4EAF" w:rsidTr="00D620FD">
        <w:trPr>
          <w:jc w:val="center"/>
        </w:trPr>
        <w:tc>
          <w:tcPr>
            <w:tcW w:w="8820" w:type="dxa"/>
            <w:gridSpan w:val="4"/>
          </w:tcPr>
          <w:p w:rsidR="00BA2DBD" w:rsidRDefault="00BA2DBD">
            <w:pPr>
              <w:rPr>
                <w:rFonts w:ascii="Arial" w:hAnsi="Arial"/>
                <w:b/>
                <w:bCs/>
                <w:noProof w:val="0"/>
                <w:sz w:val="26"/>
                <w:szCs w:val="26"/>
                <w:rtl/>
              </w:rPr>
            </w:pPr>
          </w:p>
        </w:tc>
      </w:tr>
    </w:tbl>
    <w:p w:rsidR="0094424E" w:rsidRDefault="0094424E" w:rsidP="0094424E">
      <w:pPr>
        <w:rPr>
          <w:rtl/>
        </w:rPr>
      </w:pPr>
    </w:p>
    <w:p w:rsidR="00E31C2B" w:rsidRDefault="00E31C2B" w:rsidP="006D3B31">
      <w:pPr>
        <w:suppressLineNumbers/>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trPr>
          <w:jc w:val="center"/>
        </w:trPr>
        <w:tc>
          <w:tcPr>
            <w:tcW w:w="8820" w:type="dxa"/>
          </w:tcPr>
          <w:p w:rsidR="00694556" w:rsidRDefault="00180519">
            <w:pPr>
              <w:bidi w:val="0"/>
              <w:jc w:val="center"/>
              <w:rPr>
                <w:rFonts w:ascii="Arial" w:hAnsi="Arial"/>
                <w:b/>
                <w:bCs/>
                <w:noProof w:val="0"/>
                <w:sz w:val="28"/>
                <w:szCs w:val="28"/>
                <w:u w:val="single"/>
              </w:rPr>
            </w:pPr>
            <w:r>
              <w:rPr>
                <w:rFonts w:ascii="Arial" w:hAnsi="Arial" w:hint="cs"/>
                <w:b/>
                <w:bCs/>
                <w:noProof w:val="0"/>
                <w:sz w:val="28"/>
                <w:szCs w:val="28"/>
                <w:u w:val="single"/>
                <w:rtl/>
              </w:rPr>
              <w:t>החלטה</w:t>
            </w:r>
          </w:p>
        </w:tc>
      </w:tr>
    </w:tbl>
    <w:p w:rsidR="00694556" w:rsidRDefault="00694556">
      <w:pPr>
        <w:spacing w:line="360" w:lineRule="auto"/>
        <w:jc w:val="both"/>
        <w:rPr>
          <w:rFonts w:ascii="Arial" w:hAnsi="Arial"/>
          <w:noProof w:val="0"/>
          <w:rtl/>
        </w:rPr>
      </w:pPr>
    </w:p>
    <w:p w:rsidR="008F7BAB" w:rsidRDefault="008F7BAB" w:rsidP="008F7BAB">
      <w:pPr>
        <w:spacing w:after="120" w:line="480" w:lineRule="auto"/>
        <w:rPr>
          <w:rFonts w:ascii="David" w:hAnsi="David"/>
          <w:b/>
          <w:bCs/>
          <w:noProof w:val="0"/>
          <w:color w:val="000000"/>
        </w:rPr>
      </w:pPr>
      <w:bookmarkStart w:id="1" w:name="NGCSBookmark"/>
      <w:bookmarkEnd w:id="1"/>
      <w:r>
        <w:rPr>
          <w:rFonts w:ascii="David" w:hAnsi="David"/>
          <w:b/>
          <w:bCs/>
          <w:color w:val="000000"/>
          <w:rtl/>
        </w:rPr>
        <w:t>רקע בתמצית</w:t>
      </w:r>
    </w:p>
    <w:p w:rsidR="008F7BAB" w:rsidRDefault="008F7BAB" w:rsidP="008F7BAB">
      <w:pPr>
        <w:pStyle w:val="ad"/>
        <w:numPr>
          <w:ilvl w:val="0"/>
          <w:numId w:val="1"/>
        </w:numPr>
        <w:spacing w:after="120" w:line="480" w:lineRule="auto"/>
        <w:ind w:left="351" w:hanging="357"/>
        <w:contextualSpacing w:val="0"/>
        <w:jc w:val="both"/>
        <w:rPr>
          <w:rFonts w:ascii="David" w:hAnsi="David" w:cs="David"/>
          <w:sz w:val="24"/>
          <w:szCs w:val="24"/>
          <w:rtl/>
        </w:rPr>
      </w:pPr>
      <w:r>
        <w:rPr>
          <w:rFonts w:ascii="David" w:hAnsi="David" w:cs="David"/>
          <w:color w:val="000000"/>
          <w:sz w:val="24"/>
          <w:szCs w:val="24"/>
          <w:rtl/>
        </w:rPr>
        <w:t>המבקשת (להלן גם: "</w:t>
      </w:r>
      <w:r>
        <w:rPr>
          <w:rFonts w:ascii="David" w:hAnsi="David" w:cs="David"/>
          <w:b/>
          <w:bCs/>
          <w:color w:val="000000"/>
          <w:sz w:val="24"/>
          <w:szCs w:val="24"/>
          <w:rtl/>
        </w:rPr>
        <w:t>רום גבס</w:t>
      </w:r>
      <w:r>
        <w:rPr>
          <w:rFonts w:ascii="David" w:hAnsi="David" w:cs="David"/>
          <w:color w:val="000000"/>
          <w:sz w:val="24"/>
          <w:szCs w:val="24"/>
          <w:rtl/>
        </w:rPr>
        <w:t xml:space="preserve">") הגישה ביום 28.3.24 בקשה דחופה למתן </w:t>
      </w:r>
      <w:r>
        <w:rPr>
          <w:rFonts w:ascii="David" w:hAnsi="David" w:cs="David"/>
          <w:sz w:val="24"/>
          <w:szCs w:val="24"/>
          <w:rtl/>
        </w:rPr>
        <w:t>סעד ארעי במעמד צד אחד וסעד זמני, לאיסור חילוט ערבות בנקאית מס' 18152/00421 על סך 500,000 ₪ (להלן: "</w:t>
      </w:r>
      <w:r>
        <w:rPr>
          <w:rFonts w:ascii="David" w:hAnsi="David" w:cs="David"/>
          <w:b/>
          <w:bCs/>
          <w:sz w:val="24"/>
          <w:szCs w:val="24"/>
          <w:rtl/>
        </w:rPr>
        <w:t>הערבות</w:t>
      </w:r>
      <w:r>
        <w:rPr>
          <w:rFonts w:ascii="David" w:hAnsi="David" w:cs="David"/>
          <w:sz w:val="24"/>
          <w:szCs w:val="24"/>
          <w:rtl/>
        </w:rPr>
        <w:t>") אשר הוצאה על ידי בנק הפועלים לטובת המשיבה (להלן גם: "</w:t>
      </w:r>
      <w:r>
        <w:rPr>
          <w:rFonts w:ascii="David" w:hAnsi="David" w:cs="David"/>
          <w:b/>
          <w:bCs/>
          <w:sz w:val="24"/>
          <w:szCs w:val="24"/>
          <w:rtl/>
        </w:rPr>
        <w:t>פולדמיר</w:t>
      </w:r>
      <w:r>
        <w:rPr>
          <w:rFonts w:ascii="David" w:hAnsi="David" w:cs="David"/>
          <w:sz w:val="24"/>
          <w:szCs w:val="24"/>
          <w:rtl/>
        </w:rPr>
        <w:t>").</w:t>
      </w:r>
    </w:p>
    <w:p w:rsidR="008F7BAB" w:rsidRDefault="008F7BAB" w:rsidP="00C70602">
      <w:pPr>
        <w:pStyle w:val="ad"/>
        <w:numPr>
          <w:ilvl w:val="0"/>
          <w:numId w:val="1"/>
        </w:numPr>
        <w:spacing w:after="120" w:line="480" w:lineRule="auto"/>
        <w:ind w:left="351" w:hanging="357"/>
        <w:contextualSpacing w:val="0"/>
        <w:jc w:val="both"/>
        <w:rPr>
          <w:rFonts w:ascii="David" w:hAnsi="David" w:cs="David"/>
          <w:sz w:val="24"/>
          <w:szCs w:val="24"/>
        </w:rPr>
      </w:pPr>
      <w:r>
        <w:rPr>
          <w:rFonts w:ascii="David" w:hAnsi="David" w:cs="David"/>
          <w:sz w:val="24"/>
          <w:szCs w:val="24"/>
          <w:rtl/>
        </w:rPr>
        <w:t>ברקע הבקשה עומדת תביעה בסך כ-13 מיליון ₪ אשר הוגשה על ידי רום גבס ביום 26.12.23, נגד פולדמיר ונגד לסיכו בע"מ (להלן: "</w:t>
      </w:r>
      <w:r>
        <w:rPr>
          <w:rFonts w:ascii="David" w:hAnsi="David" w:cs="David"/>
          <w:b/>
          <w:bCs/>
          <w:sz w:val="24"/>
          <w:szCs w:val="24"/>
          <w:rtl/>
        </w:rPr>
        <w:t>הנתבעות</w:t>
      </w:r>
      <w:r>
        <w:rPr>
          <w:rFonts w:ascii="David" w:hAnsi="David" w:cs="David"/>
          <w:sz w:val="24"/>
          <w:szCs w:val="24"/>
          <w:rtl/>
        </w:rPr>
        <w:t>"), בטענה לאי-תשלום מלוא התמורה בהתאם להסכם שנחתם בין הצדדים במסגרת פרויקט בניה עבור רפאל</w:t>
      </w:r>
      <w:r w:rsidR="00C70602">
        <w:rPr>
          <w:rFonts w:ascii="David" w:hAnsi="David" w:cs="David" w:hint="cs"/>
          <w:sz w:val="24"/>
          <w:szCs w:val="24"/>
          <w:rtl/>
        </w:rPr>
        <w:t>,</w:t>
      </w:r>
      <w:r>
        <w:rPr>
          <w:rFonts w:ascii="David" w:hAnsi="David" w:cs="David"/>
          <w:sz w:val="24"/>
          <w:szCs w:val="24"/>
          <w:rtl/>
        </w:rPr>
        <w:t xml:space="preserve"> בו הנתבעות שימשו כקבלן ראשי. רום גבס נשכרה על ידי הנתבעות כקבלן משנה, לביצוע עבודות גמר שכללו, בין היתר, עבודות ריצוף, חיפוי, וצבע. עוד נתבקשו בגדרי התביעה סעדים הצהרתיים</w:t>
      </w:r>
      <w:r w:rsidR="00C70602">
        <w:rPr>
          <w:rFonts w:ascii="David" w:hAnsi="David" w:cs="David" w:hint="cs"/>
          <w:sz w:val="24"/>
          <w:szCs w:val="24"/>
          <w:rtl/>
        </w:rPr>
        <w:t>,</w:t>
      </w:r>
      <w:r>
        <w:rPr>
          <w:rFonts w:ascii="David" w:hAnsi="David" w:cs="David"/>
          <w:sz w:val="24"/>
          <w:szCs w:val="24"/>
          <w:rtl/>
        </w:rPr>
        <w:t xml:space="preserve"> פקיעת תוקפה של הערבות הבנקאית המוחזקת ביד</w:t>
      </w:r>
      <w:r w:rsidR="00C70602">
        <w:rPr>
          <w:rFonts w:ascii="David" w:hAnsi="David" w:cs="David"/>
          <w:sz w:val="24"/>
          <w:szCs w:val="24"/>
          <w:rtl/>
        </w:rPr>
        <w:t>י הנתבעות ובקשה למתן צו להשבתה.</w:t>
      </w:r>
    </w:p>
    <w:p w:rsidR="008F7BAB" w:rsidRDefault="008F7BAB" w:rsidP="008F7BAB">
      <w:pPr>
        <w:pStyle w:val="ad"/>
        <w:numPr>
          <w:ilvl w:val="0"/>
          <w:numId w:val="1"/>
        </w:numPr>
        <w:spacing w:after="120" w:line="480" w:lineRule="auto"/>
        <w:ind w:left="357"/>
        <w:contextualSpacing w:val="0"/>
        <w:jc w:val="both"/>
        <w:rPr>
          <w:rFonts w:ascii="David" w:hAnsi="David" w:cs="David"/>
          <w:sz w:val="24"/>
          <w:szCs w:val="24"/>
        </w:rPr>
      </w:pPr>
      <w:r>
        <w:rPr>
          <w:rFonts w:ascii="David" w:hAnsi="David" w:cs="David"/>
          <w:sz w:val="24"/>
          <w:szCs w:val="24"/>
          <w:rtl/>
        </w:rPr>
        <w:lastRenderedPageBreak/>
        <w:t>ביום 27.3.24 הגישו הנתבעות כתב הגנה בד בבד עם כתב תביעה שכנגד בסך כ-8.4 מיליון ₪</w:t>
      </w:r>
      <w:r w:rsidR="00E3654F">
        <w:rPr>
          <w:rFonts w:ascii="David" w:hAnsi="David" w:cs="David" w:hint="cs"/>
          <w:sz w:val="24"/>
          <w:szCs w:val="24"/>
          <w:rtl/>
        </w:rPr>
        <w:t>,</w:t>
      </w:r>
      <w:r>
        <w:rPr>
          <w:rFonts w:ascii="David" w:hAnsi="David" w:cs="David"/>
          <w:sz w:val="24"/>
          <w:szCs w:val="24"/>
          <w:rtl/>
        </w:rPr>
        <w:t xml:space="preserve"> נטען כי רום גבס עיכבה את ביצוע העבודות, הפעילה לחץ פסול על פולדמיר לשלם לה סכומים שאינם מגיעים לה גם עבור עבודות שטרם בוצעו, ועוד, באופן שהסב לפולדמיר נזקים כבדים לאחר שנאלצה לדאוג לביצוע חלק מהעבודות ותיקון הליקויים לשם מסירת הפרויקט ללקוח.</w:t>
      </w:r>
    </w:p>
    <w:p w:rsidR="008F7BAB" w:rsidRDefault="008F7BAB" w:rsidP="008F7BAB">
      <w:pPr>
        <w:pStyle w:val="ad"/>
        <w:numPr>
          <w:ilvl w:val="0"/>
          <w:numId w:val="1"/>
        </w:numPr>
        <w:spacing w:after="120" w:line="480" w:lineRule="auto"/>
        <w:ind w:left="357"/>
        <w:contextualSpacing w:val="0"/>
        <w:jc w:val="both"/>
        <w:rPr>
          <w:rFonts w:ascii="David" w:hAnsi="David" w:cs="David"/>
          <w:sz w:val="24"/>
          <w:szCs w:val="24"/>
        </w:rPr>
      </w:pPr>
      <w:r>
        <w:rPr>
          <w:rFonts w:ascii="David" w:hAnsi="David" w:cs="David"/>
          <w:sz w:val="24"/>
          <w:szCs w:val="24"/>
          <w:rtl/>
        </w:rPr>
        <w:t>בהחלטתי בבקשה לסעד זמני מיום 28.3.24 הוריתי על מתן צו ארעי המורה על עיכוב חילוט הערבות לזמן מוגבל ונקבע דיון בבקשה ליום 9.4.24 אשר לאחריו הגישו הצדדים סיכומיהם.</w:t>
      </w:r>
    </w:p>
    <w:p w:rsidR="008F7BAB" w:rsidRDefault="008F7BAB" w:rsidP="008F7BAB">
      <w:pPr>
        <w:spacing w:after="120" w:line="480" w:lineRule="auto"/>
        <w:rPr>
          <w:rFonts w:ascii="David" w:hAnsi="David"/>
          <w:b/>
          <w:bCs/>
        </w:rPr>
      </w:pPr>
      <w:r>
        <w:rPr>
          <w:rFonts w:ascii="David" w:hAnsi="David"/>
          <w:b/>
          <w:bCs/>
          <w:rtl/>
        </w:rPr>
        <w:t>טענות המבקשת בתמצית</w:t>
      </w:r>
    </w:p>
    <w:p w:rsidR="008F7BAB" w:rsidRDefault="008F7BAB" w:rsidP="008F7BAB">
      <w:pPr>
        <w:pStyle w:val="ad"/>
        <w:numPr>
          <w:ilvl w:val="0"/>
          <w:numId w:val="1"/>
        </w:numPr>
        <w:spacing w:after="120" w:line="480" w:lineRule="auto"/>
        <w:ind w:left="357"/>
        <w:contextualSpacing w:val="0"/>
        <w:jc w:val="both"/>
        <w:rPr>
          <w:rFonts w:ascii="David" w:hAnsi="David" w:cs="David"/>
          <w:sz w:val="24"/>
          <w:szCs w:val="24"/>
        </w:rPr>
      </w:pPr>
      <w:r>
        <w:rPr>
          <w:rFonts w:ascii="David" w:hAnsi="David" w:cs="David"/>
          <w:sz w:val="24"/>
          <w:szCs w:val="24"/>
          <w:rtl/>
        </w:rPr>
        <w:t xml:space="preserve">לטענת המבקשת מדובר בערבות שניתנה למשיבה למטרה ספציפית, "ערבות מקדמה" אשר ניתנה כנגד תשלום מקדמה כספית בסך 2 מיליון ₪. המשיבה מבקשת לחלט את הערבות למטרה אחרת, בחוסר תום לב קיצוני, העולה כדי תרמית. </w:t>
      </w:r>
    </w:p>
    <w:p w:rsidR="008F7BAB" w:rsidRDefault="008F7BAB" w:rsidP="008F7BAB">
      <w:pPr>
        <w:pStyle w:val="ad"/>
        <w:numPr>
          <w:ilvl w:val="0"/>
          <w:numId w:val="1"/>
        </w:numPr>
        <w:spacing w:after="120" w:line="480" w:lineRule="auto"/>
        <w:ind w:left="357"/>
        <w:contextualSpacing w:val="0"/>
        <w:jc w:val="both"/>
        <w:rPr>
          <w:rFonts w:ascii="David" w:hAnsi="David" w:cs="David"/>
          <w:sz w:val="24"/>
          <w:szCs w:val="24"/>
        </w:rPr>
      </w:pPr>
      <w:r>
        <w:rPr>
          <w:rFonts w:ascii="David" w:hAnsi="David" w:cs="David"/>
          <w:sz w:val="24"/>
          <w:szCs w:val="24"/>
          <w:rtl/>
        </w:rPr>
        <w:t>מתן הערבות הוסדר בתוספת השלישית להסכם בין הצדדים מיום 3.11.22 (להלן: "</w:t>
      </w:r>
      <w:r>
        <w:rPr>
          <w:rFonts w:ascii="David" w:hAnsi="David" w:cs="David"/>
          <w:b/>
          <w:bCs/>
          <w:sz w:val="24"/>
          <w:szCs w:val="24"/>
          <w:rtl/>
        </w:rPr>
        <w:t>התוספת השלישית</w:t>
      </w:r>
      <w:r>
        <w:rPr>
          <w:rFonts w:ascii="David" w:hAnsi="David" w:cs="David"/>
          <w:sz w:val="24"/>
          <w:szCs w:val="24"/>
          <w:rtl/>
        </w:rPr>
        <w:t>"). בהתאם למוסכם בתוספת השלישית, ערבות המקדמה תקטן לאחר אישור כל חשבון, עד לסילוקה המלא, וכך אכן הוקטנה הערבות מגובה 2 מיליון ₪ לסך של חצי מיליון ₪. הערבות לא נועדה להבטיח תשלום עבור כלל העבודות; הוסכם שגם לאחר סילוק הערבות, תמשיך המשיבה לבדוק חשבונות.</w:t>
      </w:r>
    </w:p>
    <w:p w:rsidR="008F7BAB" w:rsidRDefault="008F7BAB" w:rsidP="00370E18">
      <w:pPr>
        <w:pStyle w:val="ad"/>
        <w:numPr>
          <w:ilvl w:val="0"/>
          <w:numId w:val="1"/>
        </w:numPr>
        <w:spacing w:after="120" w:line="480" w:lineRule="auto"/>
        <w:ind w:left="357"/>
        <w:contextualSpacing w:val="0"/>
        <w:jc w:val="both"/>
        <w:rPr>
          <w:rFonts w:ascii="David" w:hAnsi="David" w:cs="David"/>
          <w:sz w:val="24"/>
          <w:szCs w:val="24"/>
        </w:rPr>
      </w:pPr>
      <w:r>
        <w:rPr>
          <w:rFonts w:ascii="David" w:hAnsi="David" w:cs="David"/>
          <w:sz w:val="24"/>
          <w:szCs w:val="24"/>
          <w:rtl/>
        </w:rPr>
        <w:lastRenderedPageBreak/>
        <w:t xml:space="preserve">הערבות נועדה להבטיח התחשבנות עבור עבודות שבוצעו ושיבוצעו על ידי המבקשת, כך למשל, במועד חתימת התוספת השלישית טרם נבדקו חשבונות אוגוסט </w:t>
      </w:r>
      <w:r w:rsidR="00370E18">
        <w:rPr>
          <w:rFonts w:ascii="David" w:hAnsi="David" w:cs="David" w:hint="cs"/>
          <w:sz w:val="24"/>
          <w:szCs w:val="24"/>
          <w:rtl/>
        </w:rPr>
        <w:t>-</w:t>
      </w:r>
      <w:r>
        <w:rPr>
          <w:rFonts w:ascii="David" w:hAnsi="David" w:cs="David"/>
          <w:sz w:val="24"/>
          <w:szCs w:val="24"/>
          <w:rtl/>
        </w:rPr>
        <w:t xml:space="preserve"> ספטמבר 2022 בגין עבודות שכבר בוצעו, אותם התחייבה המשיבה לבדוק בתוך 14 ימים, ולאחר מכן את חודש אוקטובר 2022 (סעיפים 4.3-4.2 לתוספת השלישית).</w:t>
      </w:r>
    </w:p>
    <w:p w:rsidR="008F7BAB" w:rsidRDefault="008F7BAB" w:rsidP="008F7BAB">
      <w:pPr>
        <w:pStyle w:val="ad"/>
        <w:numPr>
          <w:ilvl w:val="0"/>
          <w:numId w:val="1"/>
        </w:numPr>
        <w:spacing w:after="120" w:line="480" w:lineRule="auto"/>
        <w:ind w:left="357"/>
        <w:contextualSpacing w:val="0"/>
        <w:jc w:val="both"/>
        <w:rPr>
          <w:rFonts w:ascii="David" w:hAnsi="David" w:cs="David"/>
          <w:sz w:val="24"/>
          <w:szCs w:val="24"/>
        </w:rPr>
      </w:pPr>
      <w:r>
        <w:rPr>
          <w:rFonts w:ascii="David" w:hAnsi="David" w:cs="David"/>
          <w:sz w:val="24"/>
          <w:szCs w:val="24"/>
          <w:rtl/>
        </w:rPr>
        <w:t>המשיבה אישרה את חשבון מאי 2023 בחלקו בסך 275,000 ₪ אך לא שילמה את הסכום למבקשת ולא פעלה להקטנת הערבות, בניגוד להוראות התוספת השלישית; המשיבה חדלה מלבדוק את החשבונות שהגישה לה המבקשת בגינן  עליה לשלם מיליוני ₪ נוספים ומנעה את סילוק הערבות.</w:t>
      </w:r>
    </w:p>
    <w:p w:rsidR="008F7BAB" w:rsidRDefault="008F7BAB" w:rsidP="008F7BAB">
      <w:pPr>
        <w:pStyle w:val="ad"/>
        <w:numPr>
          <w:ilvl w:val="0"/>
          <w:numId w:val="1"/>
        </w:numPr>
        <w:spacing w:after="120" w:line="480" w:lineRule="auto"/>
        <w:ind w:left="357"/>
        <w:contextualSpacing w:val="0"/>
        <w:jc w:val="both"/>
        <w:rPr>
          <w:rFonts w:ascii="David" w:hAnsi="David" w:cs="David"/>
          <w:sz w:val="24"/>
          <w:szCs w:val="24"/>
        </w:rPr>
      </w:pPr>
      <w:r>
        <w:rPr>
          <w:rFonts w:ascii="David" w:hAnsi="David" w:cs="David"/>
          <w:sz w:val="24"/>
          <w:szCs w:val="24"/>
          <w:rtl/>
        </w:rPr>
        <w:t>המבקשת ביצעה עבודות בשיעור העולה על סכום המקדמה גם לאחר קיזוזים (המוכחשים לכשעצמם) שביצעה המשיבה ביחס לחשבון הסופי שנערך על ידה, בגין עבודות שבוצעו על ידי המשיבה או מי מטעמה, במקום המבקשת.</w:t>
      </w:r>
    </w:p>
    <w:p w:rsidR="008F7BAB" w:rsidRDefault="008F7BAB" w:rsidP="008F7BAB">
      <w:pPr>
        <w:pStyle w:val="ad"/>
        <w:numPr>
          <w:ilvl w:val="0"/>
          <w:numId w:val="1"/>
        </w:numPr>
        <w:spacing w:after="120" w:line="480" w:lineRule="auto"/>
        <w:ind w:left="357"/>
        <w:contextualSpacing w:val="0"/>
        <w:jc w:val="both"/>
        <w:rPr>
          <w:rFonts w:ascii="David" w:hAnsi="David" w:cs="David"/>
          <w:sz w:val="24"/>
          <w:szCs w:val="24"/>
        </w:rPr>
      </w:pPr>
      <w:r>
        <w:rPr>
          <w:rFonts w:ascii="David" w:hAnsi="David" w:cs="David"/>
          <w:sz w:val="24"/>
          <w:szCs w:val="24"/>
          <w:rtl/>
        </w:rPr>
        <w:t>המבקשת מוסיפה כי ערבות המקדמה לא נוגעת לנזקים ופיצויים חוזיים להם טוענת המשיבה, במובחן מ</w:t>
      </w:r>
      <w:r w:rsidR="00420F0B">
        <w:rPr>
          <w:rFonts w:ascii="David" w:hAnsi="David" w:cs="David"/>
          <w:sz w:val="24"/>
          <w:szCs w:val="24"/>
          <w:rtl/>
        </w:rPr>
        <w:t>ערבות ביצוע</w:t>
      </w:r>
      <w:r>
        <w:rPr>
          <w:rFonts w:ascii="David" w:hAnsi="David" w:cs="David"/>
          <w:sz w:val="24"/>
          <w:szCs w:val="24"/>
          <w:rtl/>
        </w:rPr>
        <w:t xml:space="preserve"> שהועמדה במועד החתימה על ההסכם העיקרי, והוחזרה למבקשת לאחר שהוחלפה בשיק ביטחון בחודש יוני 2022. </w:t>
      </w:r>
    </w:p>
    <w:p w:rsidR="008F7BAB" w:rsidRDefault="008F7BAB" w:rsidP="008F7BAB">
      <w:pPr>
        <w:pStyle w:val="ad"/>
        <w:numPr>
          <w:ilvl w:val="0"/>
          <w:numId w:val="1"/>
        </w:numPr>
        <w:spacing w:after="120" w:line="480" w:lineRule="auto"/>
        <w:ind w:left="357"/>
        <w:contextualSpacing w:val="0"/>
        <w:jc w:val="both"/>
        <w:rPr>
          <w:rFonts w:ascii="David" w:hAnsi="David" w:cs="David"/>
          <w:sz w:val="24"/>
          <w:szCs w:val="24"/>
        </w:rPr>
      </w:pPr>
      <w:r>
        <w:rPr>
          <w:rFonts w:ascii="David" w:hAnsi="David" w:cs="David"/>
          <w:sz w:val="24"/>
          <w:szCs w:val="24"/>
          <w:rtl/>
        </w:rPr>
        <w:t>חילוט הערבות יהפוך את הסעד שהתבקש במסגרת התביעה להשבת הערבות לתיאורטי. גם עיתוי הדרישה לחילוט הערבות, לאחר שהוחזקה והוארכה לאורך שנים, וכן שלושה חודשים לאחר הגשת תביעת המבקשת בלא שחל שינוי נסיבות, מצדיק אף הוא את קבלת הבקשה. בנוסף, חילוט הערבות יסב למבקשת נזקים כלכליים כבדים לרבות פגיעה במוניטין בפרט בפני בנק הפועלים עמו עובדת המבקשת דרך קבע.</w:t>
      </w:r>
    </w:p>
    <w:p w:rsidR="008F7BAB" w:rsidRDefault="008F7BAB" w:rsidP="008F7BAB">
      <w:pPr>
        <w:spacing w:after="120" w:line="480" w:lineRule="auto"/>
        <w:ind w:left="-3"/>
        <w:jc w:val="both"/>
        <w:rPr>
          <w:rFonts w:ascii="David" w:hAnsi="David"/>
          <w:b/>
          <w:bCs/>
        </w:rPr>
      </w:pPr>
      <w:r>
        <w:rPr>
          <w:rFonts w:ascii="David" w:hAnsi="David"/>
          <w:b/>
          <w:bCs/>
          <w:rtl/>
        </w:rPr>
        <w:t>טענות המשיבה בתמצית</w:t>
      </w:r>
    </w:p>
    <w:p w:rsidR="008F7BAB" w:rsidRDefault="008F7BAB" w:rsidP="008F7BAB">
      <w:pPr>
        <w:pStyle w:val="ad"/>
        <w:numPr>
          <w:ilvl w:val="0"/>
          <w:numId w:val="1"/>
        </w:numPr>
        <w:spacing w:after="120" w:line="480" w:lineRule="auto"/>
        <w:ind w:left="357"/>
        <w:contextualSpacing w:val="0"/>
        <w:jc w:val="both"/>
        <w:rPr>
          <w:rFonts w:ascii="David" w:hAnsi="David" w:cs="David"/>
          <w:sz w:val="24"/>
          <w:szCs w:val="24"/>
        </w:rPr>
      </w:pPr>
      <w:r>
        <w:rPr>
          <w:rFonts w:ascii="David" w:hAnsi="David" w:cs="David"/>
          <w:sz w:val="24"/>
          <w:szCs w:val="24"/>
          <w:rtl/>
        </w:rPr>
        <w:lastRenderedPageBreak/>
        <w:t xml:space="preserve">המשיבה גורסת כי קיומה של מחלוקת חוזית אינו תנאי מספיק למניעת חילוט הערבות ואין במחלוקת לחסות בצלו של חריג "הנסיבות המיוחדות" שיש בו למנוע חילוט שכזה. </w:t>
      </w:r>
    </w:p>
    <w:p w:rsidR="008F7BAB" w:rsidRDefault="008F7BAB" w:rsidP="008F7BAB">
      <w:pPr>
        <w:pStyle w:val="ad"/>
        <w:numPr>
          <w:ilvl w:val="0"/>
          <w:numId w:val="1"/>
        </w:numPr>
        <w:spacing w:after="120" w:line="480" w:lineRule="auto"/>
        <w:ind w:left="357"/>
        <w:contextualSpacing w:val="0"/>
        <w:jc w:val="both"/>
        <w:rPr>
          <w:rFonts w:ascii="David" w:hAnsi="David" w:cs="David"/>
          <w:sz w:val="24"/>
          <w:szCs w:val="24"/>
        </w:rPr>
      </w:pPr>
      <w:r>
        <w:rPr>
          <w:rFonts w:ascii="David" w:hAnsi="David" w:cs="David"/>
          <w:sz w:val="24"/>
          <w:szCs w:val="24"/>
          <w:rtl/>
        </w:rPr>
        <w:t>המשיבה טוענת כי המבקשת היא זו שהפרה את מערכת ההסכמים בין הצדדים שוב ושוב. מכל מקום, דינן של טענות הצדדים ביחס להפרות הנטענות להתברר בהליך העיקרי.</w:t>
      </w:r>
    </w:p>
    <w:p w:rsidR="008F7BAB" w:rsidRDefault="008F7BAB" w:rsidP="008F7BAB">
      <w:pPr>
        <w:pStyle w:val="ad"/>
        <w:numPr>
          <w:ilvl w:val="0"/>
          <w:numId w:val="1"/>
        </w:numPr>
        <w:spacing w:after="120" w:line="480" w:lineRule="auto"/>
        <w:ind w:left="357"/>
        <w:contextualSpacing w:val="0"/>
        <w:jc w:val="both"/>
        <w:rPr>
          <w:rFonts w:ascii="David" w:hAnsi="David" w:cs="David"/>
          <w:sz w:val="24"/>
          <w:szCs w:val="24"/>
        </w:rPr>
      </w:pPr>
      <w:r>
        <w:rPr>
          <w:rFonts w:ascii="David" w:hAnsi="David" w:cs="David"/>
          <w:sz w:val="24"/>
          <w:szCs w:val="24"/>
          <w:rtl/>
        </w:rPr>
        <w:t>המשיבה מוסיפה כי המבקשת הסתירה עובדות מהותיות וכי בקשתה הוגשה בחוסר ניקיון כפיים. כך למשל, המבקשת הסתירה את העובדה כי הערבות דנן הינה הערבות היחידה המצויה בידי המשיבה, לאחר שהאחרונה נעתרה לבקשת רום גבס להשיב לידיה את ערבות הביצוע באופן יוצא דופן; הערבות דנן ניתנה בסמוך להשבת ערבות הביצוע ומשכך נועדה גם היא להבטיח את השלמת ביצוע העבודות כמפורט בתוספת השלישית; הנתבעות הגישו תביעה כנגד רום גבס בשל הנזקים שגרמה להן רום גבס; מימוש הערבות לא נעשה על אתר נוכח מאמציה הממושכים של המשיבה ליישב את הסכסוך ולייתר את ההליכים המשפטיים, תוך נחישותה להשלים את הפרויקט.</w:t>
      </w:r>
    </w:p>
    <w:p w:rsidR="008F7BAB" w:rsidRDefault="008F7BAB" w:rsidP="00420F0B">
      <w:pPr>
        <w:pStyle w:val="ad"/>
        <w:numPr>
          <w:ilvl w:val="0"/>
          <w:numId w:val="1"/>
        </w:numPr>
        <w:spacing w:after="120" w:line="480" w:lineRule="auto"/>
        <w:ind w:left="357"/>
        <w:contextualSpacing w:val="0"/>
        <w:jc w:val="both"/>
        <w:rPr>
          <w:rFonts w:ascii="David" w:hAnsi="David" w:cs="David"/>
          <w:sz w:val="24"/>
          <w:szCs w:val="24"/>
        </w:rPr>
      </w:pPr>
      <w:r>
        <w:rPr>
          <w:rFonts w:ascii="David" w:hAnsi="David" w:cs="David"/>
          <w:sz w:val="24"/>
          <w:szCs w:val="24"/>
          <w:rtl/>
        </w:rPr>
        <w:t xml:space="preserve">עוד טוענת המשיבה כי במועד חתימת התוספת השלישית, הפרויקט היה מצוי בעיכובים חמורים ובשלב זה היה קושי להחליף את רום גבס ולהסתכן בעיכוב נוסף של לוחות הזמנים. על כן חתרה המשיבה לפתרון שיתמרץ את רום גבס להחיש את עבודותיה. בתוך כך </w:t>
      </w:r>
      <w:r w:rsidR="00420F0B">
        <w:rPr>
          <w:rFonts w:ascii="David" w:hAnsi="David" w:cs="David" w:hint="cs"/>
          <w:sz w:val="24"/>
          <w:szCs w:val="24"/>
          <w:rtl/>
        </w:rPr>
        <w:t>המבקשת</w:t>
      </w:r>
      <w:r>
        <w:rPr>
          <w:rFonts w:ascii="David" w:hAnsi="David" w:cs="David"/>
          <w:sz w:val="24"/>
          <w:szCs w:val="24"/>
          <w:rtl/>
        </w:rPr>
        <w:t xml:space="preserve"> עיכבה את עבודותיה של חברת 'אינובייט', חברת בת של המבקשת, אשר שימשה קבלן המשנה מטעמה, וזאת במטרה להקדים ולהגדיל תשלומים מהמשיבה. </w:t>
      </w:r>
      <w:r>
        <w:rPr>
          <w:rFonts w:ascii="David" w:hAnsi="David" w:cs="David"/>
          <w:sz w:val="24"/>
          <w:szCs w:val="24"/>
          <w:rtl/>
        </w:rPr>
        <w:lastRenderedPageBreak/>
        <w:t>לאחר חתימת הצדדים על התוספת השלישית, 'אינובייט' לא השלימה את עבודותיה על אף שהתמורה בגין העבודות שבוצעו על ידה בהתאם למדידות שולמה למבקשת במלואה.</w:t>
      </w:r>
    </w:p>
    <w:p w:rsidR="008F7BAB" w:rsidRDefault="008F7BAB" w:rsidP="008F7BAB">
      <w:pPr>
        <w:pStyle w:val="ad"/>
        <w:numPr>
          <w:ilvl w:val="0"/>
          <w:numId w:val="1"/>
        </w:numPr>
        <w:spacing w:after="120" w:line="480" w:lineRule="auto"/>
        <w:ind w:left="357"/>
        <w:contextualSpacing w:val="0"/>
        <w:jc w:val="both"/>
        <w:rPr>
          <w:rFonts w:ascii="David" w:hAnsi="David" w:cs="David"/>
          <w:sz w:val="24"/>
          <w:szCs w:val="24"/>
        </w:rPr>
      </w:pPr>
      <w:r>
        <w:rPr>
          <w:rFonts w:ascii="David" w:hAnsi="David" w:cs="David"/>
          <w:sz w:val="24"/>
          <w:szCs w:val="24"/>
          <w:rtl/>
        </w:rPr>
        <w:t>החל מחודש יוני 2023 נטשה המבקשת את האתר והעמידה צוות למראית עין של שיתוף פעולה ובמקביל דרשה את השבת הערבות ותשלום הבונוס בהתאם לתוספת השלישית. המשיבה הסבה את תשומת ליבה של המבקשת כי סך הערבויות שלה בפרויקט עומד על 500,000 ₪ כאשר מעבר להתחייבות להעמיד ערבות מקדמה, על רום גבס התחייבות חוזית להעמיד ערבות ביצוע ולכן דרישת רום גבס להשבת הערבות עומדת בסתירה להסכם. לאחר שהידברות בין הצדדים נכשלה, באוקטובר 2023 נאלצה המשיבה להתקשר באופן ישיר עם 'אינובייט' להשלמת העבודות.</w:t>
      </w:r>
    </w:p>
    <w:p w:rsidR="008F7BAB" w:rsidRDefault="008F7BAB" w:rsidP="008F7BAB">
      <w:pPr>
        <w:pStyle w:val="ad"/>
        <w:numPr>
          <w:ilvl w:val="0"/>
          <w:numId w:val="1"/>
        </w:numPr>
        <w:spacing w:after="120" w:line="480" w:lineRule="auto"/>
        <w:ind w:left="357"/>
        <w:contextualSpacing w:val="0"/>
        <w:jc w:val="both"/>
        <w:rPr>
          <w:rFonts w:ascii="David" w:hAnsi="David" w:cs="David"/>
          <w:sz w:val="24"/>
          <w:szCs w:val="24"/>
        </w:rPr>
      </w:pPr>
      <w:r>
        <w:rPr>
          <w:rFonts w:ascii="David" w:hAnsi="David" w:cs="David"/>
          <w:sz w:val="24"/>
          <w:szCs w:val="24"/>
          <w:rtl/>
        </w:rPr>
        <w:t>התוספת השלישית קבעה את לוחות הזמנים לביצוע כל העבודות עד 30.4.23 ובהתאם כוונת הצדדים היתה כי המקדמה תבטיח את השלמת העבודות עד למועד זה.  רק ביום 5.3.24 נמסר הפרויקט למזמין, כ-14 חודשים ממועד חתימת התוספת השלישית, ואז התגבשו לפולדמיר נזקים נוספים.</w:t>
      </w:r>
    </w:p>
    <w:p w:rsidR="008F7BAB" w:rsidRDefault="008F7BAB" w:rsidP="008F7BAB">
      <w:pPr>
        <w:spacing w:after="120" w:line="480" w:lineRule="auto"/>
        <w:jc w:val="both"/>
        <w:rPr>
          <w:rFonts w:ascii="David" w:hAnsi="David"/>
          <w:b/>
          <w:bCs/>
          <w:spacing w:val="6"/>
        </w:rPr>
      </w:pPr>
    </w:p>
    <w:p w:rsidR="008F7BAB" w:rsidRDefault="008F7BAB" w:rsidP="008F7BAB">
      <w:pPr>
        <w:spacing w:after="120" w:line="480" w:lineRule="auto"/>
        <w:jc w:val="both"/>
        <w:rPr>
          <w:rFonts w:ascii="David" w:hAnsi="David"/>
          <w:b/>
          <w:bCs/>
          <w:spacing w:val="6"/>
          <w:rtl/>
        </w:rPr>
      </w:pPr>
    </w:p>
    <w:p w:rsidR="008F7BAB" w:rsidRDefault="008F7BAB" w:rsidP="008F7BAB">
      <w:pPr>
        <w:spacing w:after="120" w:line="480" w:lineRule="auto"/>
        <w:jc w:val="both"/>
        <w:rPr>
          <w:rFonts w:ascii="David" w:hAnsi="David"/>
          <w:b/>
          <w:bCs/>
          <w:spacing w:val="6"/>
          <w:rtl/>
        </w:rPr>
      </w:pPr>
      <w:r>
        <w:rPr>
          <w:rFonts w:ascii="David" w:hAnsi="David"/>
          <w:b/>
          <w:bCs/>
          <w:spacing w:val="6"/>
          <w:rtl/>
        </w:rPr>
        <w:t>דיון והכרעה</w:t>
      </w:r>
    </w:p>
    <w:p w:rsidR="008F7BAB" w:rsidRDefault="008F7BAB" w:rsidP="008F7BAB">
      <w:pPr>
        <w:pStyle w:val="ad"/>
        <w:numPr>
          <w:ilvl w:val="0"/>
          <w:numId w:val="1"/>
        </w:numPr>
        <w:spacing w:after="120" w:line="480" w:lineRule="auto"/>
        <w:ind w:left="357" w:hanging="357"/>
        <w:contextualSpacing w:val="0"/>
        <w:jc w:val="both"/>
        <w:rPr>
          <w:rFonts w:ascii="David" w:hAnsi="David" w:cs="David"/>
          <w:spacing w:val="6"/>
          <w:sz w:val="24"/>
          <w:szCs w:val="24"/>
        </w:rPr>
      </w:pPr>
      <w:r>
        <w:rPr>
          <w:rFonts w:ascii="David" w:hAnsi="David" w:cs="David"/>
          <w:spacing w:val="6"/>
          <w:sz w:val="24"/>
          <w:szCs w:val="24"/>
          <w:rtl/>
        </w:rPr>
        <w:lastRenderedPageBreak/>
        <w:t xml:space="preserve">לאחר שעיינתי בכתבי הטענות, שמעתי את הצדדים ועיינתי בסיכומים, נחה דעתי כי מכלול השיקולים מוביל לדחיית הבקשה </w:t>
      </w:r>
      <w:r>
        <w:rPr>
          <w:rFonts w:ascii="David" w:hAnsi="David" w:cs="David"/>
          <w:sz w:val="24"/>
          <w:szCs w:val="24"/>
          <w:rtl/>
        </w:rPr>
        <w:t xml:space="preserve">לאיסור חילוט הערבות </w:t>
      </w:r>
      <w:r>
        <w:rPr>
          <w:rFonts w:ascii="David" w:hAnsi="David" w:cs="David"/>
          <w:spacing w:val="6"/>
          <w:sz w:val="24"/>
          <w:szCs w:val="24"/>
          <w:rtl/>
        </w:rPr>
        <w:t>כפי שהתבקש.</w:t>
      </w:r>
    </w:p>
    <w:p w:rsidR="008F7BAB" w:rsidRDefault="008F7BAB" w:rsidP="008F7BAB">
      <w:pPr>
        <w:pStyle w:val="ad"/>
        <w:numPr>
          <w:ilvl w:val="0"/>
          <w:numId w:val="1"/>
        </w:numPr>
        <w:spacing w:after="120" w:line="480" w:lineRule="auto"/>
        <w:contextualSpacing w:val="0"/>
        <w:jc w:val="both"/>
        <w:rPr>
          <w:rFonts w:ascii="David" w:hAnsi="David" w:cs="David"/>
          <w:spacing w:val="6"/>
          <w:sz w:val="24"/>
          <w:szCs w:val="24"/>
        </w:rPr>
      </w:pPr>
      <w:r>
        <w:rPr>
          <w:rFonts w:ascii="David" w:hAnsi="David" w:cs="David"/>
          <w:spacing w:val="6"/>
          <w:sz w:val="24"/>
          <w:szCs w:val="24"/>
          <w:rtl/>
        </w:rPr>
        <w:t xml:space="preserve">ככלל, על מנת לזכות בסעד הזמני על המבקשת להוכיח קיומם של שני תנאים מצטברים: סיכויים טובים לזכות בתביעה ומאזן נוחות הנוטה לטובתה. בין שני התנאים הללו מתקיים יחס של מקבילית כוחות, לפיו ככל שסיכויי התביעה גבוהים יותר כך ניתן להקל בדרישת מאזן הנוחות, ולהיפך. בתוך כך, הפסיקה העניקה לשיקול מאזן הנוחות מעמד בכורה. בנוסף, יש לבחון את שיקולי היושר והצדק בנסיבות העניין, תום לב של מבקש הסעד הזמני ומועד הגשת הבקשה (ר' למשל: רע"א 4999/23 </w:t>
      </w:r>
      <w:r>
        <w:rPr>
          <w:rFonts w:ascii="David" w:hAnsi="David" w:cs="David"/>
          <w:b/>
          <w:bCs/>
          <w:spacing w:val="6"/>
          <w:sz w:val="24"/>
          <w:szCs w:val="24"/>
          <w:rtl/>
        </w:rPr>
        <w:t>חלים דיב ג'רוס נ' עזבון המנוח נמר רידא ג'רוס ז"ל יורשיו</w:t>
      </w:r>
      <w:r>
        <w:rPr>
          <w:rFonts w:ascii="David" w:hAnsi="David" w:cs="David"/>
          <w:spacing w:val="6"/>
          <w:sz w:val="24"/>
          <w:szCs w:val="24"/>
          <w:rtl/>
        </w:rPr>
        <w:t>, פסקה 17 (‏29.8.2023)).</w:t>
      </w:r>
    </w:p>
    <w:p w:rsidR="008F7BAB" w:rsidRDefault="008F7BAB" w:rsidP="00DF1241">
      <w:pPr>
        <w:pStyle w:val="ad"/>
        <w:numPr>
          <w:ilvl w:val="0"/>
          <w:numId w:val="1"/>
        </w:numPr>
        <w:spacing w:after="120" w:line="480" w:lineRule="auto"/>
        <w:contextualSpacing w:val="0"/>
        <w:jc w:val="both"/>
        <w:rPr>
          <w:rFonts w:ascii="David" w:hAnsi="David" w:cs="David"/>
          <w:spacing w:val="6"/>
          <w:sz w:val="24"/>
          <w:szCs w:val="24"/>
        </w:rPr>
      </w:pPr>
      <w:r>
        <w:rPr>
          <w:rFonts w:ascii="David" w:hAnsi="David" w:cs="David"/>
          <w:spacing w:val="6"/>
          <w:sz w:val="24"/>
          <w:szCs w:val="24"/>
          <w:rtl/>
        </w:rPr>
        <w:t xml:space="preserve">הערבות הבנקאית האוטונומית הינה התחייבות בעלת מאפיינים ומעמד מיוחד, הערבות מתאפיינת בעצמאות ביחס לעסקת היסוד, מימושה מותנה בתנאים הכתובים בגוף הערבות ובכך יתרונה על ערבות רגילה. בענין זה נפסק מפי כב' השופט ד' מינץ ב-רע"א 5958/20 </w:t>
      </w:r>
      <w:r>
        <w:rPr>
          <w:rFonts w:ascii="David" w:hAnsi="David" w:cs="David"/>
          <w:b/>
          <w:bCs/>
          <w:spacing w:val="6"/>
          <w:sz w:val="24"/>
          <w:szCs w:val="24"/>
          <w:rtl/>
        </w:rPr>
        <w:t>י.ד. עשוש תשתיות בע"מ נ' אלסטום ישראל בע"מ</w:t>
      </w:r>
      <w:r>
        <w:rPr>
          <w:rFonts w:ascii="David" w:hAnsi="David" w:cs="David"/>
          <w:spacing w:val="6"/>
          <w:sz w:val="24"/>
          <w:szCs w:val="24"/>
          <w:rtl/>
        </w:rPr>
        <w:t>, בפסקה 9 (‏22.10.2020):</w:t>
      </w:r>
    </w:p>
    <w:p w:rsidR="008F7BAB" w:rsidRDefault="008F7BAB" w:rsidP="00C974DE">
      <w:pPr>
        <w:pStyle w:val="ad"/>
        <w:spacing w:after="120" w:line="360" w:lineRule="auto"/>
        <w:ind w:left="1503" w:right="992"/>
        <w:contextualSpacing w:val="0"/>
        <w:jc w:val="both"/>
        <w:rPr>
          <w:rFonts w:ascii="David" w:hAnsi="David" w:cs="David"/>
          <w:b/>
          <w:bCs/>
          <w:spacing w:val="6"/>
          <w:sz w:val="24"/>
          <w:szCs w:val="24"/>
        </w:rPr>
      </w:pPr>
      <w:r>
        <w:rPr>
          <w:rFonts w:ascii="David" w:hAnsi="David" w:cs="David"/>
          <w:b/>
          <w:bCs/>
          <w:sz w:val="24"/>
          <w:szCs w:val="24"/>
          <w:rtl/>
        </w:rPr>
        <w:t xml:space="preserve">"הפסיקה הכירה בשני מאפיינים המייחדים את הערבות הבנקאית האוטונומית מן הערבות הרגילה: "עיקרון העצמאות" ו"עיקרון ההתאמה". מאפיינה העיקרי של הערבות הבנקאית האוטונומית מתבטא במאפיין הראשון, ה"עצמאות" שבה, ביחס לעסקת היסוד. בעוד שערבות רגילה תלויה בחיוב העיקרי שבין הצדדים לעסקת היסוד וטפלה לו, מתאפיינת הערבות הבנקאית האוטונומית במידת </w:t>
      </w:r>
      <w:r>
        <w:rPr>
          <w:rFonts w:ascii="David" w:hAnsi="David" w:cs="David"/>
          <w:b/>
          <w:bCs/>
          <w:sz w:val="24"/>
          <w:szCs w:val="24"/>
          <w:rtl/>
        </w:rPr>
        <w:lastRenderedPageBreak/>
        <w:t>ניתוקה מעסקת היסוד שבין החייב, יוזם הערבות, לבין הנושה-המוטב ... עצמאותה של הערבות האוטונומית היא כה רבה, עד כי סווגה בפסיקה כ"התחייבות לשיפוי" בה מדבר סעיף 16 לחוק הערבות, התשכ"ז-1967</w:t>
      </w:r>
      <w:r>
        <w:rPr>
          <w:rFonts w:ascii="David" w:hAnsi="David" w:cs="David"/>
          <w:b/>
          <w:bCs/>
          <w:spacing w:val="6"/>
          <w:sz w:val="24"/>
          <w:szCs w:val="24"/>
          <w:rtl/>
        </w:rPr>
        <w:t>"</w:t>
      </w:r>
    </w:p>
    <w:p w:rsidR="008F7BAB" w:rsidRDefault="008F7BAB" w:rsidP="008F7BAB">
      <w:pPr>
        <w:spacing w:after="120" w:line="480" w:lineRule="auto"/>
        <w:ind w:right="993"/>
        <w:jc w:val="both"/>
        <w:rPr>
          <w:rFonts w:ascii="David" w:hAnsi="David"/>
          <w:spacing w:val="6"/>
          <w:rtl/>
        </w:rPr>
      </w:pPr>
      <w:r>
        <w:rPr>
          <w:rFonts w:ascii="David" w:hAnsi="David"/>
          <w:spacing w:val="6"/>
          <w:rtl/>
        </w:rPr>
        <w:t>ובהמשך (שם, בפסקה 12):</w:t>
      </w:r>
    </w:p>
    <w:p w:rsidR="008F7BAB" w:rsidRDefault="008F7BAB" w:rsidP="00C974DE">
      <w:pPr>
        <w:pStyle w:val="ad"/>
        <w:spacing w:after="240" w:line="360" w:lineRule="auto"/>
        <w:ind w:left="1503" w:right="992"/>
        <w:contextualSpacing w:val="0"/>
        <w:jc w:val="both"/>
        <w:rPr>
          <w:rFonts w:ascii="David" w:hAnsi="David" w:cs="David"/>
          <w:sz w:val="24"/>
          <w:szCs w:val="24"/>
          <w:rtl/>
        </w:rPr>
      </w:pPr>
      <w:r>
        <w:rPr>
          <w:rFonts w:ascii="David" w:hAnsi="David" w:cs="David"/>
          <w:b/>
          <w:bCs/>
          <w:sz w:val="24"/>
          <w:szCs w:val="24"/>
          <w:rtl/>
        </w:rPr>
        <w:t>"ערבות בנקאית אוטונומית מתאפיינת אפוא בכך שניתן לממשה ללא תלות בעסקת היסוד, ובהתאם לתנאים הקבועים בכתב הערבות. מדובר בבטוחה עצמאית אשר נועדה לספק וודאות ויציבות ללא צורך בניהול הליכים משפטיים סבוכים"</w:t>
      </w:r>
      <w:r>
        <w:rPr>
          <w:rFonts w:ascii="David" w:hAnsi="David" w:cs="David"/>
          <w:sz w:val="24"/>
          <w:szCs w:val="24"/>
          <w:rtl/>
        </w:rPr>
        <w:t>.</w:t>
      </w:r>
    </w:p>
    <w:p w:rsidR="008F7BAB" w:rsidRDefault="008F7BAB" w:rsidP="008F7BAB">
      <w:pPr>
        <w:pStyle w:val="ad"/>
        <w:numPr>
          <w:ilvl w:val="0"/>
          <w:numId w:val="1"/>
        </w:numPr>
        <w:spacing w:after="120" w:line="480" w:lineRule="auto"/>
        <w:ind w:left="357" w:hanging="357"/>
        <w:contextualSpacing w:val="0"/>
        <w:jc w:val="both"/>
        <w:rPr>
          <w:rFonts w:ascii="David" w:hAnsi="David" w:cs="David"/>
          <w:spacing w:val="6"/>
          <w:sz w:val="24"/>
          <w:szCs w:val="24"/>
        </w:rPr>
      </w:pPr>
      <w:r>
        <w:rPr>
          <w:rFonts w:ascii="David" w:hAnsi="David" w:cs="David" w:hint="cs"/>
          <w:spacing w:val="6"/>
          <w:sz w:val="24"/>
          <w:szCs w:val="24"/>
          <w:rtl/>
        </w:rPr>
        <w:t xml:space="preserve">לעיתים רחוקות בלבד יתערב בית המשפט בעצמאותה של הערבות האוטונומית, במקרים של מעשה מרמה חמור, חוסר תום לב קיצוני ובולט או בנסיבות מיוחדות שיתפרשו באופן צר (ר' שם, בפסקה 13; רע"א 7708/19 </w:t>
      </w:r>
      <w:r>
        <w:rPr>
          <w:rFonts w:ascii="David" w:hAnsi="David" w:cs="David" w:hint="cs"/>
          <w:b/>
          <w:bCs/>
          <w:spacing w:val="6"/>
          <w:sz w:val="24"/>
          <w:szCs w:val="24"/>
          <w:rtl/>
        </w:rPr>
        <w:t>מטרופוליס (פ.א.א) 2011 יזמות אורבנית בע"מ נ' א.דורי בניה בע"מ</w:t>
      </w:r>
      <w:r>
        <w:rPr>
          <w:rFonts w:ascii="David" w:hAnsi="David" w:cs="David" w:hint="cs"/>
          <w:spacing w:val="6"/>
          <w:sz w:val="24"/>
          <w:szCs w:val="24"/>
          <w:rtl/>
        </w:rPr>
        <w:t>, בפסקה 10 (‏2.1.2020)).</w:t>
      </w:r>
    </w:p>
    <w:p w:rsidR="008F7BAB" w:rsidRDefault="008F7BAB" w:rsidP="008F7BAB">
      <w:pPr>
        <w:spacing w:after="120" w:line="480" w:lineRule="auto"/>
        <w:jc w:val="both"/>
        <w:rPr>
          <w:rFonts w:ascii="David" w:hAnsi="David"/>
          <w:b/>
          <w:bCs/>
          <w:spacing w:val="6"/>
        </w:rPr>
      </w:pPr>
      <w:r>
        <w:rPr>
          <w:rFonts w:ascii="David" w:hAnsi="David"/>
          <w:b/>
          <w:bCs/>
          <w:spacing w:val="6"/>
          <w:rtl/>
        </w:rPr>
        <w:t>מן הכלל אל הפרט</w:t>
      </w:r>
    </w:p>
    <w:p w:rsidR="008F7BAB" w:rsidRDefault="008F7BAB" w:rsidP="008F7BAB">
      <w:pPr>
        <w:pStyle w:val="ad"/>
        <w:numPr>
          <w:ilvl w:val="0"/>
          <w:numId w:val="1"/>
        </w:numPr>
        <w:spacing w:after="120" w:line="480" w:lineRule="auto"/>
        <w:ind w:left="357" w:hanging="357"/>
        <w:contextualSpacing w:val="0"/>
        <w:jc w:val="both"/>
        <w:rPr>
          <w:rFonts w:ascii="David" w:hAnsi="David" w:cs="David"/>
          <w:spacing w:val="6"/>
          <w:sz w:val="24"/>
          <w:szCs w:val="24"/>
        </w:rPr>
      </w:pPr>
      <w:r>
        <w:rPr>
          <w:rFonts w:ascii="David" w:hAnsi="David" w:cs="David"/>
          <w:spacing w:val="6"/>
          <w:sz w:val="24"/>
          <w:szCs w:val="24"/>
          <w:rtl/>
        </w:rPr>
        <w:t>נוסח הערבות צורף כנספח 1 לבקשה ובמסגרתו התחייב בנק הפועלים "באופן אוטונומי ובלתי מותנה" לתשלום כל סכום עד לגובה הערבות "</w:t>
      </w:r>
      <w:r>
        <w:rPr>
          <w:rFonts w:ascii="David" w:hAnsi="David" w:cs="David"/>
          <w:b/>
          <w:bCs/>
          <w:spacing w:val="6"/>
          <w:sz w:val="24"/>
          <w:szCs w:val="24"/>
          <w:rtl/>
        </w:rPr>
        <w:t>בקשר לביצוע עבודות בפרויקט</w:t>
      </w:r>
      <w:r>
        <w:rPr>
          <w:rFonts w:ascii="David" w:hAnsi="David" w:cs="David"/>
          <w:spacing w:val="6"/>
          <w:sz w:val="24"/>
          <w:szCs w:val="24"/>
          <w:rtl/>
        </w:rPr>
        <w:t xml:space="preserve">..." (בסעיף 1  לערבות); "באופן אוטונומי, מוחלט ובלתי חוזר, לשלם לכם כל סכום הנקוב בדרישה ובלבד שלא יעלה על סכום הערבות, מבלי להטיל עליכם חובה לנמק או להוכיח את דרישתכם" (בסעיף 2 לערבות); "ערבות זו הינה אוטונומית, אינה מותנית..." </w:t>
      </w:r>
      <w:r w:rsidR="004A2CD8">
        <w:rPr>
          <w:rFonts w:ascii="David" w:hAnsi="David" w:cs="David" w:hint="cs"/>
          <w:spacing w:val="6"/>
          <w:sz w:val="24"/>
          <w:szCs w:val="24"/>
          <w:rtl/>
        </w:rPr>
        <w:t>(</w:t>
      </w:r>
      <w:r>
        <w:rPr>
          <w:rFonts w:ascii="David" w:hAnsi="David" w:cs="David"/>
          <w:spacing w:val="6"/>
          <w:sz w:val="24"/>
          <w:szCs w:val="24"/>
          <w:rtl/>
        </w:rPr>
        <w:t>בסעיף 7 לערבות).</w:t>
      </w:r>
    </w:p>
    <w:p w:rsidR="008F7BAB" w:rsidRDefault="008F7BAB" w:rsidP="008F7BAB">
      <w:pPr>
        <w:pStyle w:val="ad"/>
        <w:spacing w:after="120" w:line="480" w:lineRule="auto"/>
        <w:ind w:left="357"/>
        <w:contextualSpacing w:val="0"/>
        <w:jc w:val="both"/>
        <w:rPr>
          <w:rFonts w:ascii="David" w:hAnsi="David" w:cs="David"/>
          <w:spacing w:val="6"/>
          <w:sz w:val="24"/>
          <w:szCs w:val="24"/>
        </w:rPr>
      </w:pPr>
      <w:r>
        <w:rPr>
          <w:rFonts w:ascii="David" w:hAnsi="David" w:cs="David"/>
          <w:spacing w:val="6"/>
          <w:sz w:val="24"/>
          <w:szCs w:val="24"/>
          <w:rtl/>
        </w:rPr>
        <w:lastRenderedPageBreak/>
        <w:t>תוקף הערבות הוארך עד ליום 31.12.24 וסכומה הוקטן לסך 500,000 ₪ (נספח 19 לבקשה).</w:t>
      </w:r>
    </w:p>
    <w:p w:rsidR="008F7BAB" w:rsidRDefault="008F7BAB" w:rsidP="00085B2A">
      <w:pPr>
        <w:pStyle w:val="ad"/>
        <w:numPr>
          <w:ilvl w:val="0"/>
          <w:numId w:val="1"/>
        </w:numPr>
        <w:spacing w:after="120" w:line="480" w:lineRule="auto"/>
        <w:ind w:left="357" w:hanging="357"/>
        <w:contextualSpacing w:val="0"/>
        <w:jc w:val="both"/>
        <w:rPr>
          <w:rFonts w:ascii="David" w:hAnsi="David" w:cs="David"/>
          <w:spacing w:val="6"/>
          <w:sz w:val="24"/>
          <w:szCs w:val="24"/>
        </w:rPr>
      </w:pPr>
      <w:r>
        <w:rPr>
          <w:rFonts w:ascii="David" w:hAnsi="David" w:cs="David"/>
          <w:spacing w:val="6"/>
          <w:sz w:val="24"/>
          <w:szCs w:val="24"/>
          <w:rtl/>
        </w:rPr>
        <w:t xml:space="preserve">נוסחה </w:t>
      </w:r>
      <w:r w:rsidR="008D2BC0">
        <w:rPr>
          <w:rFonts w:ascii="David" w:hAnsi="David" w:cs="David" w:hint="cs"/>
          <w:spacing w:val="6"/>
          <w:sz w:val="24"/>
          <w:szCs w:val="24"/>
          <w:rtl/>
        </w:rPr>
        <w:t>של</w:t>
      </w:r>
      <w:r>
        <w:rPr>
          <w:rFonts w:ascii="David" w:hAnsi="David" w:cs="David"/>
          <w:spacing w:val="6"/>
          <w:sz w:val="24"/>
          <w:szCs w:val="24"/>
          <w:rtl/>
        </w:rPr>
        <w:t xml:space="preserve"> הערבות אוטונומי ובלתי מותנה </w:t>
      </w:r>
      <w:r w:rsidR="008D2BC0">
        <w:rPr>
          <w:rFonts w:ascii="David" w:hAnsi="David" w:cs="David" w:hint="cs"/>
          <w:spacing w:val="6"/>
          <w:sz w:val="24"/>
          <w:szCs w:val="24"/>
          <w:rtl/>
        </w:rPr>
        <w:t>ולשונה</w:t>
      </w:r>
      <w:r>
        <w:rPr>
          <w:rFonts w:ascii="David" w:hAnsi="David" w:cs="David"/>
          <w:spacing w:val="6"/>
          <w:sz w:val="24"/>
          <w:szCs w:val="24"/>
          <w:rtl/>
        </w:rPr>
        <w:t xml:space="preserve"> אינה כוללת את תנאי המקדמה הנטענים. הערבות נחזית כערבות בנקאית עצמאית לחלוטין שנועדה להבטיח </w:t>
      </w:r>
      <w:r w:rsidR="002808DD">
        <w:rPr>
          <w:rFonts w:ascii="David" w:hAnsi="David" w:cs="David" w:hint="cs"/>
          <w:spacing w:val="6"/>
          <w:sz w:val="24"/>
          <w:szCs w:val="24"/>
          <w:rtl/>
        </w:rPr>
        <w:t xml:space="preserve">את </w:t>
      </w:r>
      <w:r>
        <w:rPr>
          <w:rFonts w:ascii="David" w:hAnsi="David" w:cs="David"/>
          <w:spacing w:val="6"/>
          <w:sz w:val="24"/>
          <w:szCs w:val="24"/>
          <w:rtl/>
        </w:rPr>
        <w:t>קיום העבודות בפרויקט. יחד עם זאת</w:t>
      </w:r>
      <w:r w:rsidR="002808DD">
        <w:rPr>
          <w:rFonts w:ascii="David" w:hAnsi="David" w:cs="David" w:hint="cs"/>
          <w:spacing w:val="6"/>
          <w:sz w:val="24"/>
          <w:szCs w:val="24"/>
          <w:rtl/>
        </w:rPr>
        <w:t>,</w:t>
      </w:r>
      <w:r>
        <w:rPr>
          <w:rFonts w:ascii="David" w:hAnsi="David" w:cs="David"/>
          <w:spacing w:val="6"/>
          <w:sz w:val="24"/>
          <w:szCs w:val="24"/>
          <w:rtl/>
        </w:rPr>
        <w:t xml:space="preserve"> אין מחלוקת בין הצדדים כי הערבות ניתנה במסגרת התוספת השלישית לחוזה. </w:t>
      </w:r>
      <w:r w:rsidR="00085B2A">
        <w:rPr>
          <w:rFonts w:ascii="David" w:hAnsi="David" w:cs="David" w:hint="cs"/>
          <w:spacing w:val="6"/>
          <w:sz w:val="24"/>
          <w:szCs w:val="24"/>
          <w:rtl/>
        </w:rPr>
        <w:t xml:space="preserve">למען הסר ספק </w:t>
      </w:r>
      <w:r>
        <w:rPr>
          <w:rFonts w:ascii="David" w:hAnsi="David" w:cs="David"/>
          <w:spacing w:val="6"/>
          <w:sz w:val="24"/>
          <w:szCs w:val="24"/>
          <w:rtl/>
        </w:rPr>
        <w:t xml:space="preserve">אבחן את נוסח התוספת השלישית לחוזה ותנאיה (נספח 7 לבקשה). בפתח התוספת הובהר כי היא מהווה חלק בלתי נפרד מההסכם המקורי על תוספותיו ובמקרה של סתירה יגברו הוראות התוספת השלישית. בהמשך </w:t>
      </w:r>
      <w:r w:rsidR="002808DD">
        <w:rPr>
          <w:rFonts w:ascii="David" w:hAnsi="David" w:cs="David" w:hint="cs"/>
          <w:spacing w:val="6"/>
          <w:sz w:val="24"/>
          <w:szCs w:val="24"/>
          <w:rtl/>
        </w:rPr>
        <w:t xml:space="preserve">לכך </w:t>
      </w:r>
      <w:r>
        <w:rPr>
          <w:rFonts w:ascii="David" w:hAnsi="David" w:cs="David"/>
          <w:spacing w:val="6"/>
          <w:sz w:val="24"/>
          <w:szCs w:val="24"/>
          <w:rtl/>
        </w:rPr>
        <w:t>עודכנו מועדי אבני הדרך ובכללן סיום כל העבודות הנדרשות מרום גבס. לבסוף עודכנו תנאי התשלום, ונקבע כי בתוך 3 ימים ממועד חתימת התוספת תעביר פולדמיר לרום גבס תשלום בסך 2 מיליון ₪ כנגד העברת ערבות מקדמה; פולדמיר תבדוק את החשבונות החלקיים שהוגשו על ידי רום גבס (לרבות מספר חשבונות קודמים כמפורט לעיל) וסכום החשבון לתשלום יקוזז מערבות המקדמה עד לסילוקה; פולדמיר תוסיף לבדוק את החשבונות בהתאם להוראות ההסכם גם לאחר סילוקה המלא של ערבות המקדמה; בנוסף נקבעה תוספת תשלום (בונוס) בגין עמידה בכל אחת מאבני הדרך, ומספר תנאים כלליים.</w:t>
      </w:r>
    </w:p>
    <w:p w:rsidR="008F7BAB" w:rsidRDefault="008F7BAB" w:rsidP="008F7BAB">
      <w:pPr>
        <w:pStyle w:val="ad"/>
        <w:numPr>
          <w:ilvl w:val="0"/>
          <w:numId w:val="1"/>
        </w:numPr>
        <w:spacing w:after="120" w:line="480" w:lineRule="auto"/>
        <w:ind w:left="357" w:hanging="357"/>
        <w:contextualSpacing w:val="0"/>
        <w:jc w:val="both"/>
        <w:rPr>
          <w:rFonts w:ascii="David" w:hAnsi="David" w:cs="David"/>
          <w:spacing w:val="6"/>
          <w:sz w:val="24"/>
          <w:szCs w:val="24"/>
        </w:rPr>
      </w:pPr>
      <w:r>
        <w:rPr>
          <w:rFonts w:ascii="David" w:hAnsi="David" w:cs="David"/>
          <w:spacing w:val="6"/>
          <w:sz w:val="24"/>
          <w:szCs w:val="24"/>
          <w:rtl/>
        </w:rPr>
        <w:t xml:space="preserve">הצדדים עמדו </w:t>
      </w:r>
      <w:r w:rsidR="00B92830">
        <w:rPr>
          <w:rFonts w:ascii="David" w:hAnsi="David" w:cs="David" w:hint="cs"/>
          <w:spacing w:val="6"/>
          <w:sz w:val="24"/>
          <w:szCs w:val="24"/>
          <w:rtl/>
        </w:rPr>
        <w:t xml:space="preserve">בטיעוניהם </w:t>
      </w:r>
      <w:r>
        <w:rPr>
          <w:rFonts w:ascii="David" w:hAnsi="David" w:cs="David"/>
          <w:spacing w:val="6"/>
          <w:sz w:val="24"/>
          <w:szCs w:val="24"/>
          <w:rtl/>
        </w:rPr>
        <w:t xml:space="preserve">על ההבחנה בין "ערבות ביצוע" ל-"ערבות מקדמה". לשיטת המבקשת יש לפרש את הערבות באופן מצומצם באופן שחלה רק עבור חשבונות שטרם הושלמו עד לגובה הערבות ואילו לשיטת המשיבה מדובר, למעשה, בערבות ביצוע שכן התשלומים ניתנים בעבור עבודה שצריכה להתבצע (ר' פרוטוקול הדיון, בעמ' 2). אין חולק כי ערבות המקדמה, ככינויה בתוספת השלישית, ניתנה מתוך ציפייה לביצוע עבודות מוסכמות, על כן טומנת בחובה מחויבות ביצוע ומשקפת ציפייה מסוימת להתלכדות בין ביצוע העבודות, העברת החשבונות ואישורם </w:t>
      </w:r>
      <w:r>
        <w:rPr>
          <w:rFonts w:ascii="David" w:hAnsi="David" w:cs="David"/>
          <w:spacing w:val="6"/>
          <w:sz w:val="24"/>
          <w:szCs w:val="24"/>
          <w:rtl/>
        </w:rPr>
        <w:lastRenderedPageBreak/>
        <w:t xml:space="preserve">כראיה לביצוע העבודה, ולבסוף ביצוע התשלום והקטנת הערבות באופן הדרגתי. הלכה למעשה כך נהגו הצדדים כאשר הערבות דנן הוקטנה מגובה 2 מיליון ₪ ועד לסכום של חצי מיליון ₪. </w:t>
      </w:r>
    </w:p>
    <w:p w:rsidR="008F7BAB" w:rsidRDefault="00085B2A" w:rsidP="00085B2A">
      <w:pPr>
        <w:pStyle w:val="ad"/>
        <w:numPr>
          <w:ilvl w:val="0"/>
          <w:numId w:val="1"/>
        </w:numPr>
        <w:spacing w:after="120" w:line="480" w:lineRule="auto"/>
        <w:ind w:left="357" w:hanging="357"/>
        <w:contextualSpacing w:val="0"/>
        <w:jc w:val="both"/>
        <w:rPr>
          <w:rFonts w:ascii="David" w:hAnsi="David" w:cs="David"/>
          <w:spacing w:val="6"/>
          <w:sz w:val="24"/>
          <w:szCs w:val="24"/>
        </w:rPr>
      </w:pPr>
      <w:r>
        <w:rPr>
          <w:rFonts w:ascii="David" w:hAnsi="David" w:cs="David" w:hint="cs"/>
          <w:spacing w:val="6"/>
          <w:sz w:val="24"/>
          <w:szCs w:val="24"/>
          <w:rtl/>
        </w:rPr>
        <w:t>ל</w:t>
      </w:r>
      <w:r w:rsidR="008F7BAB">
        <w:rPr>
          <w:rFonts w:ascii="David" w:hAnsi="David" w:cs="David"/>
          <w:spacing w:val="6"/>
          <w:sz w:val="24"/>
          <w:szCs w:val="24"/>
          <w:rtl/>
        </w:rPr>
        <w:t>טענת המשיבה המבקשת הסתירה בבקשתה את פניותיה החוזרות של המשיבה להגיש חשבונות ערוכים כדבעי חלף חשבונות שאינם ערוכים בהתאם למצב הקיים ובניגוד להוראות ההסכם ללא אסמכתאות, אלא "כהגשה לצורך הגשה", כפי שעולה מתכתובות בין הצדדים (נספחים 7 ו-14 לתגובת המשיבה לבקשה). עוד טוענת המשיבה כי על פי הסכם העיקרי, המהווה חלק בלתי נפרד מהתוספת השלישית, זכאית היא לנכות מרום גבס את עלויות העבודות שביצעה במקום רום גבס ורק בגין קיזוז זה, בסך 3.2 מיליון ₪, יתרת החשבון של רום גבס שלילית.</w:t>
      </w:r>
    </w:p>
    <w:p w:rsidR="008F7BAB" w:rsidRDefault="008F7BAB" w:rsidP="00B92830">
      <w:pPr>
        <w:pStyle w:val="ad"/>
        <w:numPr>
          <w:ilvl w:val="0"/>
          <w:numId w:val="1"/>
        </w:numPr>
        <w:spacing w:after="120" w:line="480" w:lineRule="auto"/>
        <w:ind w:left="357" w:hanging="357"/>
        <w:contextualSpacing w:val="0"/>
        <w:jc w:val="both"/>
        <w:rPr>
          <w:rFonts w:ascii="David" w:hAnsi="David" w:cs="David"/>
          <w:spacing w:val="6"/>
          <w:sz w:val="24"/>
          <w:szCs w:val="24"/>
        </w:rPr>
      </w:pPr>
      <w:r>
        <w:rPr>
          <w:rFonts w:ascii="David" w:hAnsi="David" w:cs="David"/>
          <w:spacing w:val="6"/>
          <w:sz w:val="24"/>
          <w:szCs w:val="24"/>
          <w:rtl/>
        </w:rPr>
        <w:t xml:space="preserve">על אף כינוי הערבות בשם "ערבות מקדמה" בתוספת השלישית, נוסח הערבות עצמה נותר אוטונומי לחלוטין כפי שהוסכם במסגרת התוספת השלישית (נוסח הערבות צורף לתוספת השלישית). נוסח זה מחזק את עמדת המשיבה לפיה הערבות במהותה הינה ערבות ביצוע. פסקת המימוש לא כללה כל תנאי ביחס להפרת תנאי החוזה למעט מתן הערבות ביחס לפרויקט מושא הסכסוך. לפיכך המסקנה היא שהערבות עצמה ניתנה בתנאי ערבות פיננסית אוטונומית טהורה ללא התניית החילוט. ערבות זו, במהותה, מנותקת מתנאי עסקת היסוד, כך על פי נוסחה. לא ניתן להתעלם גם מטענות המשיבה באשר לנסיבות מתן הערבות, במסגרת התוספת השלישית להסכם, מחד </w:t>
      </w:r>
      <w:r w:rsidR="00B92830">
        <w:rPr>
          <w:rFonts w:ascii="David" w:hAnsi="David" w:cs="David" w:hint="cs"/>
          <w:spacing w:val="6"/>
          <w:sz w:val="24"/>
          <w:szCs w:val="24"/>
          <w:rtl/>
        </w:rPr>
        <w:t>-</w:t>
      </w:r>
      <w:r>
        <w:rPr>
          <w:rFonts w:ascii="David" w:hAnsi="David" w:cs="David"/>
          <w:spacing w:val="6"/>
          <w:sz w:val="24"/>
          <w:szCs w:val="24"/>
          <w:rtl/>
        </w:rPr>
        <w:t xml:space="preserve"> על מנת לדרבן ולתמרץ את המבקשת להשלים את העבודות, ומנגד </w:t>
      </w:r>
      <w:r w:rsidR="00B92830">
        <w:rPr>
          <w:rFonts w:ascii="David" w:hAnsi="David" w:cs="David" w:hint="cs"/>
          <w:spacing w:val="6"/>
          <w:sz w:val="24"/>
          <w:szCs w:val="24"/>
          <w:rtl/>
        </w:rPr>
        <w:t>-</w:t>
      </w:r>
      <w:r>
        <w:rPr>
          <w:rFonts w:ascii="David" w:hAnsi="David" w:cs="David"/>
          <w:spacing w:val="6"/>
          <w:sz w:val="24"/>
          <w:szCs w:val="24"/>
          <w:rtl/>
        </w:rPr>
        <w:t xml:space="preserve"> להוות בטוחה מספקת לקיום חיובי המבקשת.</w:t>
      </w:r>
    </w:p>
    <w:p w:rsidR="008F7BAB" w:rsidRDefault="008F7BAB" w:rsidP="008F7BAB">
      <w:pPr>
        <w:pStyle w:val="ad"/>
        <w:numPr>
          <w:ilvl w:val="0"/>
          <w:numId w:val="1"/>
        </w:numPr>
        <w:spacing w:after="120" w:line="480" w:lineRule="auto"/>
        <w:ind w:left="357" w:hanging="357"/>
        <w:contextualSpacing w:val="0"/>
        <w:jc w:val="both"/>
        <w:rPr>
          <w:rFonts w:ascii="David" w:hAnsi="David" w:cs="David"/>
          <w:spacing w:val="6"/>
          <w:sz w:val="24"/>
          <w:szCs w:val="24"/>
        </w:rPr>
      </w:pPr>
      <w:r>
        <w:rPr>
          <w:rFonts w:ascii="David" w:hAnsi="David" w:cs="David"/>
          <w:spacing w:val="6"/>
          <w:sz w:val="24"/>
          <w:szCs w:val="24"/>
          <w:rtl/>
        </w:rPr>
        <w:lastRenderedPageBreak/>
        <w:t>די בניסוחה של הערבות כדי להגיע למסקנה שמדובר בערבות אוטונומית לביצוע כלל  המחויבות על פי ההסכם. גם אם נלך לשיטתה של המבקשת שאין להפריד את הערבות מנוסח התוספת השלישית ויש להתייחס לערבות כערבות מקדמה שנועדה להבטיח את תשלום המקדמה ששולמה למבקשת, הרי שלטענות המשיבה</w:t>
      </w:r>
      <w:r w:rsidR="002748AA">
        <w:rPr>
          <w:rFonts w:ascii="David" w:hAnsi="David" w:cs="David" w:hint="cs"/>
          <w:spacing w:val="6"/>
          <w:sz w:val="24"/>
          <w:szCs w:val="24"/>
          <w:rtl/>
        </w:rPr>
        <w:t>,</w:t>
      </w:r>
      <w:r>
        <w:rPr>
          <w:rFonts w:ascii="David" w:hAnsi="David" w:cs="David"/>
          <w:spacing w:val="6"/>
          <w:sz w:val="24"/>
          <w:szCs w:val="24"/>
          <w:rtl/>
        </w:rPr>
        <w:t xml:space="preserve"> המבקשת לא השלימה את עבודותיה, לא הגישה חשבונות בהתאם למוסכם. נטען שהחשבונות שהוגשו הינם חשבונות סתמיים</w:t>
      </w:r>
      <w:r w:rsidR="002748AA">
        <w:rPr>
          <w:rFonts w:ascii="David" w:hAnsi="David" w:cs="David" w:hint="cs"/>
          <w:spacing w:val="6"/>
          <w:sz w:val="24"/>
          <w:szCs w:val="24"/>
          <w:rtl/>
        </w:rPr>
        <w:t>,</w:t>
      </w:r>
      <w:r>
        <w:rPr>
          <w:rFonts w:ascii="David" w:hAnsi="David" w:cs="David"/>
          <w:spacing w:val="6"/>
          <w:sz w:val="24"/>
          <w:szCs w:val="24"/>
          <w:rtl/>
        </w:rPr>
        <w:t xml:space="preserve"> לא מגובים באסמכתאות הנדרשות, מכאן שהצדדים חלוקים על קיום תנאי התוספת השלישית, במקרה כזה ידה על המשיבה בבקשתה לחילוט הערבות האוטונומית על העליונה. המבקשת לא הוכיחה שהמשיבה נמנעה מאישור החשבונות באופן שרירותי ובכוונת זדון.</w:t>
      </w:r>
    </w:p>
    <w:p w:rsidR="008F7BAB" w:rsidRDefault="008F7BAB" w:rsidP="009B7685">
      <w:pPr>
        <w:pStyle w:val="ad"/>
        <w:numPr>
          <w:ilvl w:val="0"/>
          <w:numId w:val="1"/>
        </w:numPr>
        <w:spacing w:after="120" w:line="480" w:lineRule="auto"/>
        <w:ind w:left="357" w:hanging="357"/>
        <w:contextualSpacing w:val="0"/>
        <w:jc w:val="both"/>
        <w:rPr>
          <w:rFonts w:ascii="David" w:hAnsi="David" w:cs="David"/>
          <w:spacing w:val="6"/>
          <w:sz w:val="24"/>
          <w:szCs w:val="24"/>
        </w:rPr>
      </w:pPr>
      <w:r>
        <w:rPr>
          <w:rFonts w:ascii="David" w:hAnsi="David" w:cs="David"/>
          <w:spacing w:val="6"/>
          <w:sz w:val="24"/>
          <w:szCs w:val="24"/>
          <w:rtl/>
        </w:rPr>
        <w:t>לחיזוק טענותיה, מציינת המבקשת כי ניתן ללמוד שהמשיבה התייחסה לערבות זו כערבות מקדמה מכך שהקטינה את גובה הערבות בהתאם לחשבונות שאישרה. מנגד</w:t>
      </w:r>
      <w:r w:rsidR="009B7685">
        <w:rPr>
          <w:rFonts w:ascii="David" w:hAnsi="David" w:cs="David" w:hint="cs"/>
          <w:spacing w:val="6"/>
          <w:sz w:val="24"/>
          <w:szCs w:val="24"/>
          <w:rtl/>
        </w:rPr>
        <w:t>, טרם</w:t>
      </w:r>
      <w:r>
        <w:rPr>
          <w:rFonts w:ascii="David" w:hAnsi="David" w:cs="David"/>
          <w:spacing w:val="6"/>
          <w:sz w:val="24"/>
          <w:szCs w:val="24"/>
          <w:rtl/>
        </w:rPr>
        <w:t xml:space="preserve"> קבלת ערבות זו החזירה המשיבה לבקשת המבקשת את ערבות הביצוע וכך נותרה רק עם ערבות זו. מהתנהגות זו של המשיבה ניתן ללמוד כי הצדדים התייחסו לערבות בהתאם לניסוחה כערבות אוטונומית לקיום התחייבויותיה של המבקשת.</w:t>
      </w:r>
    </w:p>
    <w:p w:rsidR="008F7BAB" w:rsidRDefault="00D42C4F" w:rsidP="008F7BAB">
      <w:pPr>
        <w:pStyle w:val="ad"/>
        <w:numPr>
          <w:ilvl w:val="0"/>
          <w:numId w:val="1"/>
        </w:numPr>
        <w:spacing w:after="120" w:line="480" w:lineRule="auto"/>
        <w:ind w:left="357" w:hanging="357"/>
        <w:contextualSpacing w:val="0"/>
        <w:jc w:val="both"/>
        <w:rPr>
          <w:rFonts w:ascii="David" w:hAnsi="David" w:cs="David"/>
          <w:spacing w:val="6"/>
          <w:sz w:val="24"/>
          <w:szCs w:val="24"/>
        </w:rPr>
      </w:pPr>
      <w:r>
        <w:rPr>
          <w:rFonts w:ascii="David" w:hAnsi="David" w:cs="David"/>
          <w:spacing w:val="6"/>
          <w:sz w:val="24"/>
          <w:szCs w:val="24"/>
          <w:rtl/>
        </w:rPr>
        <w:t>על יסוד מכלול הנסיבות</w:t>
      </w:r>
      <w:r w:rsidR="008F7BAB">
        <w:rPr>
          <w:rFonts w:ascii="David" w:hAnsi="David" w:cs="David"/>
          <w:spacing w:val="6"/>
          <w:sz w:val="24"/>
          <w:szCs w:val="24"/>
          <w:rtl/>
        </w:rPr>
        <w:t xml:space="preserve">, הנני סבורה כי בנסיבות העניין הבכורה ניתנת לנוסחה המילולי  של הערבות – אשר הוסכם על ידי הצדדים לאורך ההתקשרות ואף במסגרת התוספת השלישית, וזכותה של המשיבה לממשה. בין הצדדים </w:t>
      </w:r>
      <w:r>
        <w:rPr>
          <w:rFonts w:ascii="David" w:hAnsi="David" w:cs="David" w:hint="cs"/>
          <w:spacing w:val="6"/>
          <w:sz w:val="24"/>
          <w:szCs w:val="24"/>
          <w:rtl/>
        </w:rPr>
        <w:t xml:space="preserve">קיימת </w:t>
      </w:r>
      <w:r w:rsidR="008F7BAB">
        <w:rPr>
          <w:rFonts w:ascii="David" w:hAnsi="David" w:cs="David"/>
          <w:spacing w:val="6"/>
          <w:sz w:val="24"/>
          <w:szCs w:val="24"/>
          <w:rtl/>
        </w:rPr>
        <w:t>מחלוקת חוזית באשר לביצוע ההסכם ובאשר לטיב העבודות והחשבונות שהוגשו בעניינן, מחלוקת זו תתברר בין הצדדים במסגרת התביעות שהוגשו (התביעה והתביעה שכנגד).</w:t>
      </w:r>
    </w:p>
    <w:p w:rsidR="008F7BAB" w:rsidRDefault="008F7BAB" w:rsidP="00D42C4F">
      <w:pPr>
        <w:pStyle w:val="ad"/>
        <w:numPr>
          <w:ilvl w:val="0"/>
          <w:numId w:val="1"/>
        </w:numPr>
        <w:spacing w:after="120" w:line="480" w:lineRule="auto"/>
        <w:contextualSpacing w:val="0"/>
        <w:jc w:val="both"/>
        <w:rPr>
          <w:rFonts w:ascii="David" w:hAnsi="David" w:cs="David"/>
          <w:spacing w:val="6"/>
          <w:sz w:val="24"/>
          <w:szCs w:val="24"/>
        </w:rPr>
      </w:pPr>
      <w:r>
        <w:rPr>
          <w:rFonts w:ascii="David" w:hAnsi="David" w:cs="David"/>
          <w:spacing w:val="6"/>
          <w:sz w:val="24"/>
          <w:szCs w:val="24"/>
          <w:rtl/>
        </w:rPr>
        <w:lastRenderedPageBreak/>
        <w:t xml:space="preserve">אין בקיומה של מחלוקת זו כדי למנוע מימוש ערבות בנקאית אוטונומית, לא מצאתי  שהתקיימו במקרה זה החריגים שהוכרו בפסיקה למניעת מימוש הערבות. לא הוכח ולו </w:t>
      </w:r>
      <w:r w:rsidR="00D42C4F">
        <w:rPr>
          <w:rFonts w:ascii="David" w:hAnsi="David" w:cs="David" w:hint="cs"/>
          <w:spacing w:val="6"/>
          <w:sz w:val="24"/>
          <w:szCs w:val="24"/>
          <w:rtl/>
        </w:rPr>
        <w:t>ב</w:t>
      </w:r>
      <w:r>
        <w:rPr>
          <w:rFonts w:ascii="David" w:hAnsi="David" w:cs="David"/>
          <w:spacing w:val="6"/>
          <w:sz w:val="24"/>
          <w:szCs w:val="24"/>
          <w:rtl/>
        </w:rPr>
        <w:t xml:space="preserve">ראשית ראיה </w:t>
      </w:r>
      <w:r w:rsidR="00FB549E">
        <w:rPr>
          <w:rFonts w:ascii="David" w:hAnsi="David" w:cs="David" w:hint="cs"/>
          <w:spacing w:val="6"/>
          <w:sz w:val="24"/>
          <w:szCs w:val="24"/>
          <w:rtl/>
        </w:rPr>
        <w:t>ל</w:t>
      </w:r>
      <w:r>
        <w:rPr>
          <w:rFonts w:ascii="David" w:hAnsi="David" w:cs="David"/>
          <w:spacing w:val="6"/>
          <w:sz w:val="24"/>
          <w:szCs w:val="24"/>
          <w:rtl/>
        </w:rPr>
        <w:t xml:space="preserve">מעשה מרמה חמור מצד המשיבה או חוסר תום לב קיצוני שמאפשרים להיכנס לחריגים אשר ימנעו את חילוט הערבות ולערער את תוקפה המסחרי. גם לא התרשמתי כי חילוט הערבות נובע ממניעים בלתי לגיטימיים שיש בהם למנוע בשלב זה את מימוש הערבות. הלכה היא כי אין די במחלוקת חוזית כדי להיכנס לגדרו של חריג "הנסיבות המיוחדות" (ר' ע"א 3130/99 </w:t>
      </w:r>
      <w:r>
        <w:rPr>
          <w:rFonts w:ascii="David" w:hAnsi="David" w:cs="David"/>
          <w:b/>
          <w:bCs/>
          <w:spacing w:val="6"/>
          <w:sz w:val="24"/>
          <w:szCs w:val="24"/>
          <w:rtl/>
        </w:rPr>
        <w:t>שובל הנדסה ובנין (1988) נ' י.ש.מ.פ. חברה קבלנית לבנין בע"מ</w:t>
      </w:r>
      <w:r>
        <w:rPr>
          <w:rFonts w:ascii="David" w:hAnsi="David" w:cs="David"/>
          <w:spacing w:val="6"/>
          <w:sz w:val="24"/>
          <w:szCs w:val="24"/>
          <w:rtl/>
        </w:rPr>
        <w:t xml:space="preserve">,בפסקה 13 (25.2.2004); רע"א 6513/14 </w:t>
      </w:r>
      <w:r>
        <w:rPr>
          <w:rFonts w:ascii="David" w:hAnsi="David" w:cs="David"/>
          <w:b/>
          <w:bCs/>
          <w:spacing w:val="6"/>
          <w:sz w:val="24"/>
          <w:szCs w:val="24"/>
          <w:rtl/>
        </w:rPr>
        <w:t>ש.י. גיל פרויקטים בע"מ נ' דולב מוצרי פלסטיק (אחזקות בע"מ)</w:t>
      </w:r>
      <w:r>
        <w:rPr>
          <w:rFonts w:ascii="David" w:hAnsi="David" w:cs="David"/>
          <w:spacing w:val="6"/>
          <w:sz w:val="24"/>
          <w:szCs w:val="24"/>
          <w:rtl/>
        </w:rPr>
        <w:t>, בפסקה י' (‏9.11.2014)).</w:t>
      </w:r>
    </w:p>
    <w:p w:rsidR="008F7BAB" w:rsidRDefault="008F7BAB" w:rsidP="008F7BAB">
      <w:pPr>
        <w:pStyle w:val="ad"/>
        <w:numPr>
          <w:ilvl w:val="0"/>
          <w:numId w:val="1"/>
        </w:numPr>
        <w:spacing w:after="120" w:line="480" w:lineRule="auto"/>
        <w:ind w:left="357" w:hanging="357"/>
        <w:contextualSpacing w:val="0"/>
        <w:jc w:val="both"/>
        <w:rPr>
          <w:rFonts w:ascii="David" w:hAnsi="David" w:cs="David"/>
          <w:spacing w:val="6"/>
          <w:sz w:val="24"/>
          <w:szCs w:val="24"/>
        </w:rPr>
      </w:pPr>
      <w:r>
        <w:rPr>
          <w:rFonts w:ascii="David" w:hAnsi="David" w:cs="David"/>
          <w:spacing w:val="6"/>
          <w:sz w:val="24"/>
          <w:szCs w:val="24"/>
          <w:rtl/>
        </w:rPr>
        <w:t xml:space="preserve">לא מצאתי כי הפיכת הסעד להשבת הערבות לתיאורטי שולל את מימוש הערבות. באשר למאזן הנוחות, לא נראה כי ייגרם למבקשת נזק בלתי הפיך עם מימוש הערבות, לכל היותר נזק כספי, אשר יתברר בסופו של יום במהלך התביעה שהגישה וככל שימצא לנכון תפוצה בגין נזק זה. הנזקים הנטענים על ידה, פגיעה במוניטין וכדומה, ניתנים לפיצוי </w:t>
      </w:r>
      <w:r w:rsidR="00D93025">
        <w:rPr>
          <w:rFonts w:ascii="David" w:hAnsi="David" w:cs="David" w:hint="cs"/>
          <w:spacing w:val="6"/>
          <w:sz w:val="24"/>
          <w:szCs w:val="24"/>
          <w:rtl/>
        </w:rPr>
        <w:t>ו</w:t>
      </w:r>
      <w:r>
        <w:rPr>
          <w:rFonts w:ascii="David" w:hAnsi="David" w:cs="David"/>
          <w:spacing w:val="6"/>
          <w:sz w:val="24"/>
          <w:szCs w:val="24"/>
          <w:rtl/>
        </w:rPr>
        <w:t xml:space="preserve">אינם נזקים בלתי הפיכים. ככל שהמבקשת חוששת מפגיעה שכזו היא יכולה להעביר את סכום הערבות לידי המשיבה כנגד השבת כתב הערבות. בשלב זה איני מוצאת כי סיכויי התביעה נוטים באופן ברור לצד זה או אחר. </w:t>
      </w:r>
    </w:p>
    <w:p w:rsidR="008F7BAB" w:rsidRDefault="008F7BAB" w:rsidP="008F7BAB">
      <w:pPr>
        <w:pStyle w:val="ad"/>
        <w:numPr>
          <w:ilvl w:val="0"/>
          <w:numId w:val="1"/>
        </w:numPr>
        <w:spacing w:after="120" w:line="480" w:lineRule="auto"/>
        <w:ind w:left="357" w:hanging="357"/>
        <w:contextualSpacing w:val="0"/>
        <w:jc w:val="both"/>
        <w:rPr>
          <w:rFonts w:ascii="David" w:hAnsi="David" w:cs="David"/>
          <w:spacing w:val="6"/>
          <w:sz w:val="24"/>
          <w:szCs w:val="24"/>
        </w:rPr>
      </w:pPr>
      <w:r>
        <w:rPr>
          <w:rFonts w:ascii="David" w:hAnsi="David" w:cs="David"/>
          <w:spacing w:val="6"/>
          <w:sz w:val="24"/>
          <w:szCs w:val="24"/>
          <w:rtl/>
        </w:rPr>
        <w:t xml:space="preserve">סוף דבר – הצו הארעי שהוטל על מימוש הערבות בטל, המשיבה רשאית לממש את הערבות. על מנת לאפשר למבקשת להעביר למשיבה את סכום הערבות כנגד קבלת כתב הערבות, הנני מורה על עיכוב ביצוע מימוש הערבות בהתחשב בחג הפסח הקרב עד ליום 1.5.24. </w:t>
      </w:r>
    </w:p>
    <w:p w:rsidR="008F7BAB" w:rsidRDefault="008F7BAB" w:rsidP="008F7BAB">
      <w:pPr>
        <w:pStyle w:val="ad"/>
        <w:spacing w:after="120" w:line="480" w:lineRule="auto"/>
        <w:ind w:left="357"/>
        <w:contextualSpacing w:val="0"/>
        <w:jc w:val="both"/>
        <w:rPr>
          <w:rFonts w:ascii="David" w:hAnsi="David" w:cs="David"/>
          <w:spacing w:val="6"/>
          <w:sz w:val="24"/>
          <w:szCs w:val="24"/>
        </w:rPr>
      </w:pPr>
      <w:r>
        <w:rPr>
          <w:rFonts w:ascii="David" w:hAnsi="David" w:cs="David"/>
          <w:spacing w:val="6"/>
          <w:sz w:val="24"/>
          <w:szCs w:val="24"/>
          <w:rtl/>
        </w:rPr>
        <w:t>המבקשת תישא בסך 10,000 ₪ הוצאות בקשה זו</w:t>
      </w:r>
      <w:r>
        <w:rPr>
          <w:rFonts w:ascii="David" w:hAnsi="David" w:cs="David"/>
          <w:sz w:val="24"/>
          <w:szCs w:val="24"/>
          <w:rtl/>
        </w:rPr>
        <w:t xml:space="preserve">. </w:t>
      </w:r>
    </w:p>
    <w:p w:rsidR="00694556" w:rsidRPr="008F7BAB"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p w:rsidR="00694556" w:rsidRDefault="0043502B">
      <w:pPr>
        <w:spacing w:line="360" w:lineRule="auto"/>
        <w:jc w:val="both"/>
        <w:rPr>
          <w:rFonts w:ascii="Arial" w:hAnsi="Arial"/>
          <w:noProof w:val="0"/>
          <w:rtl/>
        </w:rPr>
      </w:pPr>
      <w:r>
        <w:rPr>
          <w:rFonts w:ascii="Arial" w:hAnsi="Arial"/>
          <w:noProof w:val="0"/>
          <w:rtl/>
        </w:rPr>
        <w:t>נית</w:t>
      </w:r>
      <w:r>
        <w:rPr>
          <w:rFonts w:ascii="Arial" w:hAnsi="Arial" w:hint="cs"/>
          <w:noProof w:val="0"/>
          <w:rtl/>
        </w:rPr>
        <w:t>נה</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י"ג ניסן תשפ"ד</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noProof w:val="0"/>
              <w:rtl/>
            </w:rPr>
            <w:t>21 אפריל 2024</w:t>
          </w:r>
        </w:sdtContent>
      </w:sdt>
      <w:r w:rsidR="00005C8B">
        <w:rPr>
          <w:rFonts w:ascii="Arial" w:hAnsi="Arial"/>
          <w:noProof w:val="0"/>
          <w:rtl/>
        </w:rPr>
        <w:t>, בהעדר הצדדים.</w:t>
      </w:r>
    </w:p>
    <w:p w:rsidR="00C43648" w:rsidRDefault="00227DDF" w:rsidP="00BD6531">
      <w:pPr>
        <w:tabs>
          <w:tab w:val="left" w:pos="2553"/>
        </w:tabs>
        <w:ind w:left="5040"/>
        <w:rPr>
          <w:rtl/>
        </w:rPr>
      </w:pPr>
      <w:sdt>
        <w:sdtPr>
          <w:rPr>
            <w:rFonts w:hint="cs"/>
            <w:rtl/>
          </w:rPr>
          <w:alias w:val="2045"/>
          <w:tag w:val="2045"/>
          <w:id w:val="740689340"/>
          <w:placeholder>
            <w:docPart w:val="E460D38E05664FF79D4EFF282EF8EC99"/>
          </w:placeholder>
          <w:showingPlcHdr/>
          <w:text w:multiLine="1"/>
        </w:sdtPr>
        <w:sdtEndPr/>
        <w:sdtContent>
          <w:r w:rsidR="00C43648">
            <w:rPr>
              <w:rFonts w:hint="cs"/>
              <w:rtl/>
            </w:rPr>
            <w:t xml:space="preserve">     </w:t>
          </w:r>
        </w:sdtContent>
      </w:sdt>
    </w:p>
    <w:p w:rsidR="00694556" w:rsidRDefault="00BD6531" w:rsidP="00BD6531">
      <w:pPr>
        <w:tabs>
          <w:tab w:val="left" w:pos="2553"/>
        </w:tabs>
      </w:pPr>
      <w:r>
        <w:rPr>
          <w:rFonts w:hint="cs"/>
          <w:rtl/>
        </w:rPr>
        <w:tab/>
      </w:r>
      <w:r>
        <w:rPr>
          <w:rFonts w:hint="cs"/>
          <w:rtl/>
        </w:rPr>
        <w:tab/>
      </w:r>
      <w:r>
        <w:rPr>
          <w:rFonts w:hint="cs"/>
          <w:rtl/>
        </w:rPr>
        <w:tab/>
      </w:r>
      <w:r>
        <w:rPr>
          <w:rFonts w:hint="cs"/>
          <w:rtl/>
        </w:rPr>
        <w:tab/>
        <w:t xml:space="preserve">        </w:t>
      </w:r>
      <w:sdt>
        <w:sdtPr>
          <w:rPr>
            <w:rtl/>
          </w:rPr>
          <w:alias w:val="MergeField"/>
          <w:tag w:val="1237"/>
          <w:id w:val="491995329"/>
        </w:sdtPr>
        <w:sdtEndPr/>
        <w:sdtContent>
          <w:r w:rsidR="00DA5C48">
            <w:drawing>
              <wp:inline distT="0" distB="0" distL="0" distR="0" wp14:editId="50D07946">
                <wp:extent cx="1638300" cy="419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10" cstate="print">
                          <a:extLst/>
                        </a:blip>
                        <a:stretch>
                          <a:fillRect/>
                        </a:stretch>
                      </pic:blipFill>
                      <pic:spPr>
                        <a:xfrm>
                          <a:off x="0" y="0"/>
                          <a:ext cx="1638300" cy="419100"/>
                        </a:xfrm>
                        <a:prstGeom prst="rect">
                          <a:avLst/>
                        </a:prstGeom>
                      </pic:spPr>
                    </pic:pic>
                  </a:graphicData>
                </a:graphic>
              </wp:inline>
            </w:drawing>
          </w:r>
        </w:sdtContent>
      </w:sdt>
    </w:p>
    <w:p w:rsidR="00694556" w:rsidRDefault="00694556" w:rsidP="00BD6531">
      <w:pPr>
        <w:tabs>
          <w:tab w:val="left" w:pos="2553"/>
        </w:tabs>
        <w:rPr>
          <w:rFonts w:ascii="Arial" w:hAnsi="Arial"/>
          <w:noProof w:val="0"/>
          <w:rtl/>
        </w:rPr>
      </w:pPr>
    </w:p>
    <w:sectPr w:rsidR="00694556" w:rsidSect="001F5DB6">
      <w:headerReference w:type="default" r:id="rId11"/>
      <w:footerReference w:type="default" r:id="rId12"/>
      <w:pgSz w:w="11907" w:h="16840" w:code="9"/>
      <w:pgMar w:top="1440" w:right="1800" w:bottom="1440" w:left="1800" w:header="720" w:footer="510"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7DDF" w:rsidRDefault="00227DDF">
      <w:r>
        <w:separator/>
      </w:r>
    </w:p>
  </w:endnote>
  <w:endnote w:type="continuationSeparator" w:id="0">
    <w:p w:rsidR="00227DDF" w:rsidRDefault="00227D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0C3B60">
    <w:pPr>
      <w:pStyle w:val="a4"/>
      <w:jc w:val="center"/>
      <w:rPr>
        <w:rStyle w:val="ab"/>
      </w:rPr>
    </w:pPr>
    <w:r w:rsidRPr="004E6E3C">
      <w:rPr>
        <w:rStyle w:val="ab"/>
        <w:rFonts w:cs="Times New Roman"/>
      </w:rPr>
      <w:fldChar w:fldCharType="begin"/>
    </w:r>
    <w:r w:rsidR="00005C8B" w:rsidRPr="004E6E3C">
      <w:rPr>
        <w:rStyle w:val="ab"/>
        <w:rFonts w:cs="Times New Roman"/>
      </w:rPr>
      <w:instrText xml:space="preserve"> PAGE </w:instrText>
    </w:r>
    <w:r w:rsidRPr="004E6E3C">
      <w:rPr>
        <w:rStyle w:val="ab"/>
        <w:rFonts w:cs="Times New Roman"/>
      </w:rPr>
      <w:fldChar w:fldCharType="separate"/>
    </w:r>
    <w:r w:rsidR="009E70ED">
      <w:rPr>
        <w:rStyle w:val="ab"/>
        <w:rFonts w:cs="Times New Roman"/>
        <w:rtl/>
      </w:rPr>
      <w:t>1</w:t>
    </w:r>
    <w:r w:rsidRPr="004E6E3C">
      <w:rPr>
        <w:rStyle w:val="ab"/>
        <w:rFonts w:cs="Times New Roman"/>
      </w:rPr>
      <w:fldChar w:fldCharType="end"/>
    </w:r>
    <w:r w:rsidR="00005C8B" w:rsidRPr="004E6E3C">
      <w:rPr>
        <w:rStyle w:val="ab"/>
        <w:rFonts w:hint="cs"/>
        <w:rtl/>
      </w:rPr>
      <w:t xml:space="preserve"> מתוך </w:t>
    </w:r>
    <w:r w:rsidRPr="004E6E3C">
      <w:rPr>
        <w:rStyle w:val="ab"/>
      </w:rPr>
      <w:fldChar w:fldCharType="begin"/>
    </w:r>
    <w:r w:rsidR="00005C8B" w:rsidRPr="004E6E3C">
      <w:rPr>
        <w:rStyle w:val="ab"/>
      </w:rPr>
      <w:instrText xml:space="preserve"> NUMPAGES </w:instrText>
    </w:r>
    <w:r w:rsidRPr="004E6E3C">
      <w:rPr>
        <w:rStyle w:val="ab"/>
      </w:rPr>
      <w:fldChar w:fldCharType="separate"/>
    </w:r>
    <w:r w:rsidR="009E70ED">
      <w:rPr>
        <w:rStyle w:val="ab"/>
        <w:rtl/>
      </w:rPr>
      <w:t>1</w:t>
    </w:r>
    <w:r w:rsidRPr="004E6E3C">
      <w:rPr>
        <w:rStyle w:val="a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7DDF" w:rsidRDefault="00227DDF">
      <w:r>
        <w:separator/>
      </w:r>
    </w:p>
  </w:footnote>
  <w:footnote w:type="continuationSeparator" w:id="0">
    <w:p w:rsidR="00227DDF" w:rsidRDefault="00227D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5D3BA177" wp14:editId="53AE422C">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10"/>
      <w:gridCol w:w="3497"/>
    </w:tblGrid>
    <w:tr w:rsidR="00694556" w:rsidTr="00B95A71">
      <w:trPr>
        <w:trHeight w:hRule="exact" w:val="993"/>
        <w:jc w:val="center"/>
      </w:trPr>
      <w:sdt>
        <w:sdtPr>
          <w:rPr>
            <w:rFonts w:ascii="Tahoma" w:hAnsi="Tahoma"/>
            <w:b/>
            <w:bCs/>
            <w:color w:val="000080"/>
            <w:sz w:val="32"/>
            <w:szCs w:val="32"/>
            <w:rtl/>
          </w:rPr>
          <w:alias w:val="1174"/>
          <w:tag w:val="1174"/>
          <w:id w:val="-1585920285"/>
          <w:text w:multiLine="1"/>
        </w:sdtPr>
        <w:sdtEndPr/>
        <w:sdtContent>
          <w:tc>
            <w:tcPr>
              <w:tcW w:w="8721" w:type="dxa"/>
              <w:gridSpan w:val="2"/>
            </w:tcPr>
            <w:p w:rsidR="00694556" w:rsidRPr="00FA4EAF" w:rsidRDefault="003D1C8C" w:rsidP="003230C7">
              <w:pPr>
                <w:pStyle w:val="a3"/>
                <w:jc w:val="center"/>
                <w:rPr>
                  <w:rFonts w:ascii="Tahoma" w:hAnsi="Tahoma"/>
                  <w:noProof w:val="0"/>
                  <w:color w:val="000080"/>
                  <w:sz w:val="32"/>
                  <w:szCs w:val="32"/>
                  <w:rtl/>
                </w:rPr>
              </w:pPr>
              <w:r w:rsidRPr="00FA4EAF">
                <w:rPr>
                  <w:rFonts w:ascii="Tahoma" w:hAnsi="Tahoma"/>
                  <w:b/>
                  <w:bCs/>
                  <w:color w:val="000080"/>
                  <w:sz w:val="32"/>
                  <w:szCs w:val="32"/>
                  <w:rtl/>
                </w:rPr>
                <w:t>בית המשפט המחוזי בתל אביב -יפו</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rsidRPr="00FA4EAF">
      <w:trPr>
        <w:trHeight w:val="337"/>
        <w:jc w:val="center"/>
      </w:trPr>
      <w:tc>
        <w:tcPr>
          <w:tcW w:w="8721" w:type="dxa"/>
          <w:gridSpan w:val="2"/>
        </w:tcPr>
        <w:p w:rsidR="007D45E3" w:rsidRPr="00FA4EAF" w:rsidRDefault="00227DDF" w:rsidP="007D45E3">
          <w:pPr>
            <w:rPr>
              <w:b/>
              <w:bCs/>
              <w:noProof w:val="0"/>
              <w:sz w:val="26"/>
              <w:szCs w:val="26"/>
              <w:rtl/>
            </w:rPr>
          </w:pPr>
          <w:sdt>
            <w:sdtPr>
              <w:rPr>
                <w:sz w:val="26"/>
                <w:szCs w:val="26"/>
                <w:rtl/>
              </w:rPr>
              <w:alias w:val="1170"/>
              <w:tag w:val="1170"/>
              <w:id w:val="1066377040"/>
              <w:text w:multiLine="1"/>
            </w:sdtPr>
            <w:sdtEndPr/>
            <w:sdtContent>
              <w:r w:rsidR="001F5DB6">
                <w:rPr>
                  <w:b/>
                  <w:bCs/>
                  <w:noProof w:val="0"/>
                  <w:sz w:val="26"/>
                  <w:szCs w:val="26"/>
                  <w:rtl/>
                </w:rPr>
                <w:t>ת"א</w:t>
              </w:r>
            </w:sdtContent>
          </w:sdt>
          <w:r w:rsidR="00005C8B" w:rsidRPr="00FA4EAF">
            <w:rPr>
              <w:b/>
              <w:bCs/>
              <w:noProof w:val="0"/>
              <w:sz w:val="26"/>
              <w:szCs w:val="26"/>
              <w:rtl/>
            </w:rPr>
            <w:t xml:space="preserve"> </w:t>
          </w:r>
          <w:sdt>
            <w:sdtPr>
              <w:rPr>
                <w:sz w:val="26"/>
                <w:szCs w:val="26"/>
                <w:rtl/>
              </w:rPr>
              <w:alias w:val="1171"/>
              <w:tag w:val="1171"/>
              <w:id w:val="257034231"/>
              <w:text w:multiLine="1"/>
            </w:sdtPr>
            <w:sdtEndPr/>
            <w:sdtContent>
              <w:r w:rsidR="001F5DB6">
                <w:rPr>
                  <w:b/>
                  <w:bCs/>
                  <w:noProof w:val="0"/>
                  <w:sz w:val="26"/>
                  <w:szCs w:val="26"/>
                  <w:rtl/>
                </w:rPr>
                <w:t>55847-12-23</w:t>
              </w:r>
            </w:sdtContent>
          </w:sdt>
          <w:r w:rsidR="00005C8B" w:rsidRPr="00FA4EAF">
            <w:rPr>
              <w:b/>
              <w:bCs/>
              <w:noProof w:val="0"/>
              <w:sz w:val="26"/>
              <w:szCs w:val="26"/>
              <w:rtl/>
            </w:rPr>
            <w:t xml:space="preserve"> </w:t>
          </w:r>
          <w:sdt>
            <w:sdtPr>
              <w:rPr>
                <w:sz w:val="26"/>
                <w:szCs w:val="26"/>
                <w:rtl/>
              </w:rPr>
              <w:alias w:val="1172"/>
              <w:tag w:val="1172"/>
              <w:id w:val="-595170033"/>
              <w:text w:multiLine="1"/>
            </w:sdtPr>
            <w:sdtEndPr/>
            <w:sdtContent>
              <w:r w:rsidR="001F5DB6">
                <w:rPr>
                  <w:b/>
                  <w:bCs/>
                  <w:noProof w:val="0"/>
                  <w:sz w:val="26"/>
                  <w:szCs w:val="26"/>
                  <w:rtl/>
                </w:rPr>
                <w:t>רום גבס חיפוי וקירוי (1997) בע"מ ואח' נ' פולדמיר בנין(1986) בע"מ ואח'</w:t>
              </w:r>
            </w:sdtContent>
          </w:sdt>
        </w:p>
        <w:p w:rsidR="007D45E3" w:rsidRPr="00FA4EAF" w:rsidRDefault="007D45E3" w:rsidP="007D45E3">
          <w:pPr>
            <w:rPr>
              <w:b/>
              <w:bCs/>
              <w:noProof w:val="0"/>
              <w:sz w:val="26"/>
              <w:szCs w:val="26"/>
              <w:rtl/>
            </w:rPr>
          </w:pPr>
        </w:p>
        <w:p w:rsidR="008D10B2" w:rsidRPr="00FA4EAF" w:rsidRDefault="007D45E3" w:rsidP="009B4939">
          <w:pPr>
            <w:rPr>
              <w:sz w:val="26"/>
              <w:szCs w:val="26"/>
              <w:rtl/>
            </w:rPr>
          </w:pPr>
          <w:r w:rsidRPr="00FA4EAF">
            <w:rPr>
              <w:rFonts w:hint="cs"/>
              <w:sz w:val="26"/>
              <w:szCs w:val="26"/>
              <w:rtl/>
            </w:rPr>
            <w:t xml:space="preserve">                                                                  </w:t>
          </w:r>
          <w:r w:rsidRPr="00FA4EAF">
            <w:rPr>
              <w:sz w:val="26"/>
              <w:szCs w:val="26"/>
              <w:rtl/>
            </w:rPr>
            <w:t xml:space="preserve"> </w:t>
          </w:r>
          <w:r w:rsidR="001173C6" w:rsidRPr="00FA4EAF">
            <w:rPr>
              <w:sz w:val="26"/>
              <w:szCs w:val="26"/>
              <w:rtl/>
            </w:rPr>
            <w:t xml:space="preserve"> </w:t>
          </w:r>
        </w:p>
      </w:tc>
    </w:tr>
  </w:tbl>
  <w:p w:rsidR="00694556" w:rsidRPr="00FA4EAF" w:rsidRDefault="00694556">
    <w:pPr>
      <w:pStyle w:val="a3"/>
      <w:rPr>
        <w:noProof w:val="0"/>
        <w:sz w:val="26"/>
        <w:szCs w:val="26"/>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266E62"/>
    <w:multiLevelType w:val="hybridMultilevel"/>
    <w:tmpl w:val="B77CA5DC"/>
    <w:lvl w:ilvl="0" w:tplc="562AFBD2">
      <w:start w:val="1"/>
      <w:numFmt w:val="decimal"/>
      <w:lvlText w:val="%1."/>
      <w:lvlJc w:val="left"/>
      <w:pPr>
        <w:ind w:left="360" w:hanging="360"/>
      </w:pPr>
      <w:rPr>
        <w:color w:val="00000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80857415"/>
    <w:docVar w:name="CasePresentationDS" w:val="&amp;lt;?xml version=&amp;quot;1.0&amp;quot;?&amp;gt;_x000d__x000a_&amp;lt;CasePresentationDS&amp;gt;_x000d__x000a_  &amp;lt;xs:schema id=&amp;quot;CasePresentationDS&amp;quot; targetNamespace=&amp;quot;http://tempuri.org/CasePresentationDS.xsd&amp;quot; xmlns:mstns=&amp;quot;http://tempuri.org/CasePresentationDS.xsd&amp;quot; xmlns=&amp;quot;http://tempuri.org/CasePresentationDS.xsd&amp;quot; xmlns:xs=&amp;quot;http://www.w3.org/2001/XMLSchema&amp;quot; xmlns:msdata=&amp;quot;urn:schemas-microsoft-com:xml-msdata&amp;quot; attributeFormDefault=&amp;quot;qualified&amp;quot; elementFormDefault=&amp;quot;qualified&amp;quot;&amp;gt;_x000d__x000a_    &amp;lt;xs:element name=&amp;quot;CasePresentationDS&amp;quot; msdata:IsDataSet=&amp;quot;true&amp;quot; msdata:UseCurrentLocale=&amp;quot;true&amp;quot;&amp;gt;_x000d__x000a_      &amp;lt;xs:complexType&amp;gt;_x000d__x000a_        &amp;lt;xs:choice minOccurs=&amp;quot;0&amp;quot; maxOccurs=&amp;quot;unbounded&amp;quot;&amp;gt;_x000d__x000a_          &amp;lt;xs:element name=&amp;quot;CasePresentationDataSet&amp;quot;&amp;gt;_x000d__x000a_            &amp;lt;xs:complexType&amp;gt;_x000d__x000a_              &amp;lt;xs:sequence&amp;gt;_x000d__x000a_                &amp;lt;xs:element name=&amp;quot;CaseID&amp;quot; type=&amp;quot;xs:int&amp;quot; /&amp;gt;_x000d__x000a_                &amp;lt;xs:element name=&amp;quot;CaseMonth&amp;quot; type=&amp;quot;xs:int&amp;quot; /&amp;gt;_x000d__x000a_                &amp;lt;xs:element name=&amp;quot;CaseYear&amp;quot; type=&amp;quot;xs:int&amp;quot; /&amp;gt;_x000d__x000a_                &amp;lt;xs:element name=&amp;quot;CaseNumber&amp;quot; type=&amp;quot;xs:int&amp;quot; /&amp;gt;_x000d__x000a_                &amp;lt;xs:element name=&amp;quot;NumeratorGroupID&amp;quot; type=&amp;quot;xs:int&amp;quot; /&amp;gt;_x000d__x000a_                &amp;lt;xs:element name=&amp;quot;CaseName&amp;quot; type=&amp;quot;xs:string&amp;quot; /&amp;gt;_x000d__x000a_                &amp;lt;xs:element name=&amp;quot;CourtID&amp;quot; type=&amp;quot;xs:int&amp;quot; /&amp;gt;_x000d__x000a_                &amp;lt;xs:element name=&amp;quot;CaseTypeID&amp;quot; type=&amp;quot;xs:int&amp;quot; /&amp;gt;_x000d__x000a_                &amp;lt;xs:element name=&amp;quot;CaseInterestID&amp;quot; type=&amp;quot;xs:int&amp;quot; minOccurs=&amp;quot;0&amp;quot; /&amp;gt;_x000d__x000a_                &amp;lt;xs:element name=&amp;quot;CaseJudgeName&amp;quot; type=&amp;quot;xs:string&amp;quot; minOccurs=&amp;quot;0&amp;quot; /&amp;gt;_x000d__x000a_                &amp;lt;xs:element name=&amp;quot;CaseLinkTypeID&amp;quot; type=&amp;quot;xs:int&amp;quot; minOccurs=&amp;quot;0&amp;quot; /&amp;gt;_x000d__x000a_                &amp;lt;xs:element name=&amp;quot;ProcedureID&amp;quot; type=&amp;quot;xs:int&amp;quot; minOccurs=&amp;quot;0&amp;quot; /&amp;gt;_x000d__x000a_                &amp;lt;xs:element name=&amp;quot;PreviousCaseYear&amp;quot; type=&amp;quot;xs:string&amp;quot; minOccurs=&amp;quot;0&amp;quot; /&amp;gt;_x000d__x000a_                &amp;lt;xs:element name=&amp;quot;PreviousCaseNumber&amp;quot; type=&amp;quot;xs:int&amp;quot; minOccurs=&amp;quot;0&amp;quot; /&amp;gt;_x000d__x000a_                &amp;lt;xs:element name=&amp;quot;CaseStatusID&amp;quot; type=&amp;quot;xs:int&amp;quot; /&amp;gt;_x000d__x000a_                &amp;lt;xs:element name=&amp;quot;ProceedingID&amp;quot; type=&amp;quot;xs:int&amp;quot; /&amp;gt;_x000d__x000a_                &amp;lt;xs:element name=&amp;quot;IsCaseLinked&amp;quot; type=&amp;quot;xs:boolean&amp;quot; /&amp;gt;_x000d__x000a_                &amp;lt;xs:element name=&amp;quot;IsCaseConverted&amp;quot; type=&amp;quot;xs:boolean&amp;quot; minOccurs=&amp;quot;0&amp;quot; /&amp;gt;_x000d__x000a_                &amp;lt;xs:element name=&amp;quot;PrivilegeID&amp;quot; type=&amp;quot;xs:int&amp;quot; /&amp;gt;_x000d__x000a_                &amp;lt;xs:element name=&amp;quot;IsAppealingCaseExist&amp;quot; type=&amp;quot;xs:boolean&amp;quot; minOccurs=&amp;quot;0&amp;quot; /&amp;gt;_x000d__x000a_                &amp;lt;xs:element name=&amp;quot;CaseDisplayIdentifier&amp;quot; type=&amp;quot;xs:string&amp;quot; minOccurs=&amp;quot;0&amp;quot; /&amp;gt;_x000d__x000a_                &amp;lt;xs:element name=&amp;quot;CaseTypeDesc&amp;quot; type=&amp;quot;xs:string&amp;quot; minOccurs=&amp;quot;0&amp;quot; /&amp;gt;_x000d__x000a_                &amp;lt;xs:element name=&amp;quot;CourtDesc&amp;quot; type=&amp;quot;xs:string&amp;quot; minOccurs=&amp;quot;0&amp;quot; /&amp;gt;_x000d__x000a_                &amp;lt;xs:element name=&amp;quot;CaseStageDesc&amp;quot; type=&amp;quot;xs:string&amp;quot; /&amp;gt;_x000d__x000a_                &amp;lt;xs:element name=&amp;quot;IsPendingExemptionDecision&amp;quot; type=&amp;quot;xs:boolean&amp;quot; minOccurs=&amp;quot;0&amp;quot; /&amp;gt;_x000d__x000a_                &amp;lt;xs:element name=&amp;quot;IsPendingEntitlementDecision&amp;quot; type=&amp;quot;xs:boolean&amp;quot; minOccurs=&amp;quot;0&amp;quot; /&amp;gt;_x000d__x000a_                &amp;lt;xs:element name=&amp;quot;IsPendingDifferentCaseVerdict&amp;quot; type=&amp;quot;xs:boolean&amp;quot; minOccurs=&amp;quot;0&amp;quot; /&amp;gt;_x000d__x000a_                &amp;lt;xs:element name=&amp;quot;IsUnpaidFeeExist&amp;quot; type=&amp;quot;xs:boolean&amp;quot; minOccurs=&amp;quot;0&amp;quot; /&amp;gt;_x000d__x000a_                &amp;lt;xs:element name=&amp;quot;IsExecutionDelayed&amp;quot; type=&amp;quot;xs:boolean&amp;quot; minOccurs=&amp;quot;0&amp;quot; /&amp;gt;_x000d__x000a_                &amp;lt;xs:element name=&amp;quot;CaseEntitiesArrestResult&amp;quot; type=&amp;quot;xs:string&amp;quot; minOccurs=&amp;quot;0&amp;quot; /&amp;gt;_x000d__x000a_                &amp;lt;xs:element name=&amp;quot;CasePreviousSessionDate&amp;quot; type=&amp;quot;xs:dateTime&amp;quot; minOccurs=&amp;quot;0&amp;quot; /&amp;gt;_x000d__x000a_                &amp;lt;xs:element name=&amp;quot;CaseNextSessionDate&amp;quot; type=&amp;quot;xs:dateTime&amp;quot; minOccurs=&amp;quot;0&amp;quot; /&amp;gt;_x000d__x000a_                &amp;lt;xs:element name=&amp;quot;PreviousCaseNumberDesc&amp;quot; type=&amp;quot;xs:string&amp;quot; minOccurs=&amp;quot;0&amp;quot; /&amp;gt;_x000d__x000a_                &amp;lt;xs:element name=&amp;quot;SubCaseNumber&amp;quot; type=&amp;quot;xs:int&amp;quot; minOccurs=&amp;quot;0&amp;quot; /&amp;gt;_x000d__x000a_                &amp;lt;xs:element name=&amp;quot;CaseNextDeterminingTask&amp;quot; type=&amp;quot;xs:int&amp;quot; minOccurs=&amp;quot;0&amp;quot; /&amp;gt;_x000d__x000a_                &amp;lt;xs:element name=&amp;quot;TemporaryAidStatus&amp;quot; type=&amp;quot;xs:string&amp;quot; minOccurs=&amp;quot;0&amp;quot; /&amp;gt;_x000d__x000a_                &amp;lt;xs:element name=&amp;quot;CaseOpenDate&amp;quot; type=&amp;quot;xs:dateTime&amp;quot; /&amp;gt;_x000d__x000a_                &amp;lt;xs:element name=&amp;quot;PleaTypeID&amp;quot; type=&amp;quot;xs:int&amp;quot; minOccurs=&amp;quot;0&amp;quot; /&amp;gt;_x000d__x000a_                &amp;lt;xs:element name=&amp;quot;CourtLevelID&amp;quot; type=&amp;quot;xs:int&amp;quot; minOccurs=&amp;quot;0&amp;quot; /&amp;gt;_x000d__x000a_                &amp;lt;xs:element name=&amp;quot;CourtLevelCaseTypeInterestID&amp;quot; type=&amp;quot;xs:int&amp;quot; minOccurs=&amp;quot;0&amp;quot; /&amp;gt;_x000d__x000a_                &amp;lt;xs:element name=&amp;quot;CaseJudgeFirstName&amp;quot; type=&amp;quot;xs:string&amp;quot; minOccurs=&amp;quot;0&amp;quot; /&amp;gt;_x000d__x000a_                &amp;lt;xs:element name=&amp;quot;CaseJudgeLastName&amp;quot; type=&amp;quot;xs:string&amp;quot; minOccurs=&amp;quot;0&amp;quot; /&amp;gt;_x000d__x000a_                &amp;lt;xs:element name=&amp;quot;JudicalPersonID&amp;quot; type=&amp;quot;xs:string&amp;quot; minOccurs=&amp;quot;0&amp;quot; /&amp;gt;_x000d__x000a_                &amp;lt;xs:element name=&amp;quot;IsJudicalPanel&amp;quot; type=&amp;quot;xs:boolean&amp;quot; minOccurs=&amp;quot;0&amp;quot; /&amp;gt;_x000d__x000a_                &amp;lt;xs:element name=&amp;quot;CourtDisplayName&amp;quot; type=&amp;quot;xs:string&amp;quot; minOccurs=&amp;quot;0&amp;quot; /&amp;gt;_x000d__x000a_                &amp;lt;xs:element name=&amp;quot;IsAllStartDataCollected&amp;quot; type=&amp;quot;xs:boolean&amp;quot; minOccurs=&amp;quot;0&amp;quot; /&amp;gt;_x000d__x000a_                &amp;lt;xs:element name=&amp;quot;IsMainCase&amp;quot; type=&amp;quot;xs:boolean&amp;quot; minOccurs=&amp;quot;0&amp;quot; /&amp;gt;_x000d__x000a_                &amp;lt;xs:element name=&amp;quot;PreviousCourtID&amp;quot; type=&amp;quot;xs:int&amp;quot; minOccurs=&amp;quot;0&amp;quot; /&amp;gt;_x000d__x000a_                &amp;lt;xs:element name=&amp;quot;PreviousCaseTypeID&amp;quot; type=&amp;quot;xs:int&amp;quot; minOccurs=&amp;quot;0&amp;quot; /&amp;gt;_x000d__x000a_                &amp;lt;xs:element name=&amp;quot;CaseDesc&amp;quot; type=&amp;quot;xs:string&amp;quot; minOccurs=&amp;quot;0&amp;quot; /&amp;gt;_x000d__x000a_                &amp;lt;xs:element name=&amp;quot;isExistMinorSide&amp;quot; type=&amp;quot;xs:boolean&amp;quot; minOccurs=&amp;quot;0&amp;quot; /&amp;gt;_x000d__x000a_                &amp;lt;xs:element name=&amp;quot;isExistMinorWitness&amp;quot; type=&amp;quot;xs:boolean&amp;quot; minOccurs=&amp;quot;0&amp;quot; /&amp;gt;_x000d__x000a_                &amp;lt;xs:element name=&amp;quot;CaseNextSessionTypeID&amp;quot; type=&amp;quot;xs:int&amp;quot; minOccurs=&amp;quot;0&amp;quot; /&amp;gt;_x000d__x000a_                &amp;lt;xs:element name=&amp;quot;CasePreviousSessionTypeID&amp;quot; type=&amp;quot;xs:int&amp;quot; minOccurs=&amp;quot;0&amp;quot; /&amp;gt;_x000d__x000a_                &amp;lt;xs:element name=&amp;quot;CasePermitStatus&amp;quot; type=&amp;quot;xs:int&amp;quot; minOccurs=&amp;quot;0&amp;quot; /&amp;gt;_x000d__x000a_                &amp;lt;xs:element name=&amp;quot;InstitutionalPathID&amp;quot; type=&amp;quot;xs:int&amp;quot; minOccurs=&amp;quot;0&amp;quot; /&amp;gt;_x000d__x000a_                &amp;lt;xs:element name=&amp;quot;PreviousCaseIdentifier&amp;quot; type=&amp;quot;xs:string&amp;quot; minOccurs=&amp;quot;0&amp;quot; /&amp;gt;_x000d__x000a_                &amp;lt;xs:element name=&amp;quot;ArchivingActivityID&amp;quot; type=&amp;quot;xs:int&amp;quot; minOccurs=&amp;quot;0&amp;quot; /&amp;gt;_x000d__x000a_                &amp;lt;xs:element name=&amp;quot;GettingReasonID&amp;quot; type=&amp;quot;xs:int&amp;quot; minOccurs=&amp;quot;0&amp;quot; /&amp;gt;_x000d__x000a_                &amp;lt;xs:element name=&amp;quot;StorageDate&amp;quot; type=&amp;quot;xs:dateTime&amp;quot; minOccurs=&amp;quot;0&amp;quot; /&amp;gt;_x000d__x000a_                &amp;lt;xs:element name=&amp;quot;IsArchivingActivityManuallyUpdated&amp;quot; type=&amp;quot;xs:boolean&amp;quot; minOccurs=&amp;quot;0&amp;quot; /&amp;gt;_x000d__x000a_                &amp;lt;xs:element name=&amp;quot;StorageDateRecalculationDate&amp;quot; type=&amp;quot;xs:dateTime&amp;quot; minOccurs=&amp;quot;0&amp;quot; /&amp;gt;_x000d__x000a_                &amp;lt;xs:element name=&amp;quot;IsAccessibilityRequired&amp;quot; type=&amp;quot;xs:boolean&amp;quot; default=&amp;quot;false&amp;quot; /&amp;gt;_x000d__x000a_                &amp;lt;xs:element name=&amp;quot;IsDecisionTypeZaveElyon&amp;quot; type=&amp;quot;xs:boolean&amp;quot; minOccurs=&amp;quot;0&amp;quot; /&amp;gt;_x000d__x000a_                &amp;lt;xs:element name=&amp;quot;IsGuaranteeDeposit&amp;quot; type=&amp;quot;xs:boolean&amp;quot; minOccurs=&amp;quot;0&amp;quot; /&amp;gt;_x000d__x000a_                &amp;lt;xs:element name=&amp;quot;IsFeePaid&amp;quot; type=&amp;quot;xs:boolean&amp;quot; minOccurs=&amp;quot;0&amp;quot; /&amp;gt;_x000d__x000a_                &amp;lt;xs:element name=&amp;quot;IsExistCancelledArrest&amp;quot; type=&amp;quot;xs:boolean&amp;quot; minOccurs=&amp;quot;0&amp;quot; /&amp;gt;_x000d__x000a_                &amp;lt;xs:element name=&amp;quot;IsExistPrisoner&amp;quot; type=&amp;quot;xs:boolean&amp;quot; minOccurs=&amp;quot;0&amp;quot; /&amp;gt;_x000d__x000a_                &amp;lt;xs:element name=&amp;quot;IsExistDetainee&amp;quot; type=&amp;quot;xs:boolean&amp;quot; minOccurs=&amp;quot;0&amp;quot; /&amp;gt;_x000d__x000a_                &amp;lt;xs:element name=&amp;quot;IsDebitExist&amp;quot; type=&amp;quot;xs:boolean&amp;quot; minOccurs=&amp;quot;0&amp;quot; /&amp;gt;_x000d__x000a_                &amp;lt;xs:element name=&amp;quot;DebitExsitDate&amp;quot; type=&amp;quot;xs:dateTime&amp;quot; minOccurs=&amp;quot;0&amp;quot; /&amp;gt;_x000d__x000a_                &amp;lt;xs:element name=&amp;quot;OpenFeeIndication&amp;quot; type=&amp;quot;xs:int&amp;quot; minOccurs=&amp;quot;0&amp;quot; /&amp;gt;_x000d__x000a_                &amp;lt;xs:element name=&amp;quot;GuaranteeIndication&amp;quot; type=&amp;quot;xs:int&amp;quot; minOccurs=&amp;quot;0&amp;quot; /&amp;gt;_x000d__x000a_                &amp;lt;xs:element name=&amp;quot;DelayedPunishmentDate&amp;quot; type=&amp;quot;xs:dateTime&amp;quot; minOccurs=&amp;quot;0&amp;quot; /&amp;gt;_x000d__x000a_                &amp;lt;xs:element name=&amp;quot;IsExistSeizure&amp;quot; type=&amp;quot;xs:boolean&amp;quot; minOccurs=&amp;quot;0&amp;quot; /&amp;gt;_x000d__x000a_                &amp;lt;xs:element name=&amp;quot;IsExemptionExistInCase&amp;quot; type=&amp;quot;xs:boolean&amp;quot; minOccurs=&amp;quot;0&amp;quot; /&amp;gt;_x000d__x000a_                &amp;lt;xs:element name=&amp;quot;IsDebitTransferedInCase&amp;quot; type=&amp;quot;xs:boolean&amp;quot; minOccurs=&amp;quot;0&amp;quot; /&amp;gt;_x000d__x000a_                &amp;lt;xs:element name=&amp;quot;IsUnconvertedCase&amp;quot; type=&amp;quot;xs:boolean&amp;quot; minOccurs=&amp;quot;0&amp;quot; /&amp;gt;_x000d__x000a_                &amp;lt;xs:element name=&amp;quot;ActiveInCaseSuspendedLawyers&amp;quot; type=&amp;quot;xs:string&amp;quot; minOccurs=&amp;quot;0&amp;quot; /&amp;gt;_x000d__x000a_                &amp;lt;xs:element name=&amp;quot;IsElectronicallyMonitoredDetainee&amp;quot; type=&amp;quot;xs:boolean&amp;quot; minOccurs=&amp;quot;0&amp;quot; /&amp;gt;_x000d__x000a_                &amp;lt;xs:element name=&amp;quot;IsCasePredictedToAge&amp;quot; type=&amp;quot;xs:int&amp;quot; default=&amp;quot;0&amp;quot; minOccurs=&amp;quot;0&amp;quot; /&amp;gt;_x000d__x000a_                &amp;lt;xs:element name=&amp;quot;PendingWebSubmissionsQty&amp;quot; type=&amp;quot;xs:int&amp;quot; minOccurs=&amp;quot;0&amp;quot; /&amp;gt;_x000d__x000a_                &amp;lt;xs:element name=&amp;quot;PreviousSerialNumber&amp;quot; type=&amp;quot;xs:string&amp;quot; minOccurs=&amp;quot;0&amp;quot; /&amp;gt;_x000d__x000a_              &amp;lt;/xs:sequence&amp;gt;_x000d__x000a_            &amp;lt;/xs:complexType&amp;gt;_x000d__x000a_          &amp;lt;/xs:element&amp;gt;_x000d__x000a_        &amp;lt;/xs:choice&amp;gt;_x000d__x000a_      &amp;lt;/xs:complexType&amp;gt;_x000d__x000a_    &amp;lt;/xs:element&amp;gt;_x000d__x000a_  &amp;lt;/xs:schema&amp;gt;_x000d__x000a_  &amp;lt;diffgr:diffgram xmlns:msdata=&amp;quot;urn:schemas-microsoft-com:xml-msdata&amp;quot; xmlns:diffgr=&amp;quot;urn:schemas-microsoft-com:xml-diffgram-v1&amp;quot;&amp;gt;_x000d__x000a_    &amp;lt;CasePresentationDS xmlns=&amp;quot;http://tempuri.org/CasePresentationDS.xsd&amp;quot;&amp;gt;_x000d__x000a_      &amp;lt;CasePresentationDataSet diffgr:id=&amp;quot;CasePresentationDataSet1&amp;quot; msdata:rowOrder=&amp;quot;0&amp;quot; diffgr:hasChanges=&amp;quot;modified&amp;quot;&amp;gt;_x000d__x000a_        &amp;lt;CaseID&amp;gt;80857415&amp;lt;/CaseID&amp;gt;_x000d__x000a_        &amp;lt;CaseMonth&amp;gt;12&amp;lt;/CaseMonth&amp;gt;_x000d__x000a_        &amp;lt;CaseYear&amp;gt;2023&amp;lt;/CaseYear&amp;gt;_x000d__x000a_        &amp;lt;CaseNumber&amp;gt;55847&amp;lt;/CaseNumber&amp;gt;_x000d__x000a_        &amp;lt;NumeratorGroupID&amp;gt;1&amp;lt;/NumeratorGroupID&amp;gt;_x000d__x000a_        &amp;lt;CaseName&amp;gt;רום גבס חיפוי וקירוי (1997) בע&amp;quot;מ ואח&amp;#39; נ&amp;#39; פולדמיר בנין(1986) בע&amp;quot;מ ואח&amp;#39;&amp;lt;/CaseName&amp;gt;_x000d__x000a_        &amp;lt;CourtID&amp;gt;15&amp;lt;/CourtID&amp;gt;_x000d__x000a_        &amp;lt;CaseTypeID&amp;gt;1&amp;lt;/CaseTypeID&amp;gt;_x000d__x000a_        &amp;lt;CaseInterestID&amp;gt;41&amp;lt;/CaseInterestID&amp;gt;_x000d__x000a_        &amp;lt;CaseJudgeName&amp;gt;אירית קלמן ברום&amp;lt;/CaseJudgeName&amp;gt;_x000d__x000a_        &amp;lt;ProcedureID&amp;gt;1&amp;lt;/ProcedureID&amp;gt;_x000d__x000a_        &amp;lt;CaseStatusID&amp;gt;1&amp;lt;/CaseStatusID&amp;gt;_x000d__x000a_        &amp;lt;ProceedingID&amp;gt;1&amp;lt;/ProceedingID&amp;gt;_x000d__x000a_        &amp;lt;IsCaseLinked&amp;gt;false&amp;lt;/IsCaseLinked&amp;gt;_x000d__x000a_        &amp;lt;PrivilegeID&amp;gt;1&amp;lt;/PrivilegeID&amp;gt;_x000d__x000a_        &amp;lt;IsAppealingCaseExist&amp;gt;false&amp;lt;/IsAppealingCaseExist&amp;gt;_x000d__x000a_        &amp;lt;CaseDisplayIdentifier&amp;gt;55847-12-23&amp;lt;/CaseDisplayIdentifier&amp;gt;_x000d__x000a_        &amp;lt;CaseTypeDesc&amp;gt;ת&amp;quot;א&amp;lt;/CaseTypeDesc&amp;gt;_x000d__x000a_        &amp;lt;CourtDesc&amp;gt;המחוזי תל אביב - יפו&amp;lt;/CourtDesc&amp;gt;_x000d__x000a_        &amp;lt;CaseStageDesc&amp;gt;תיק אלקטרוני&amp;lt;/CaseStageDesc&amp;gt;_x000d__x000a_        &amp;lt;IsUnpaidFeeExist&amp;gt;false&amp;lt;/IsUnpaidFeeExist&amp;gt;_x000d__x000a_        &amp;lt;CaseNextDeterminingTask&amp;gt;151&amp;lt;/CaseNextDeterminingTask&amp;gt;_x000d__x000a_        &amp;lt;CaseOpenDate&amp;gt;2023-12-26T12:36:00+02:00&amp;lt;/CaseOpenDate&amp;gt;_x000d__x000a_        &amp;lt;PleaTypeID&amp;gt;4&amp;lt;/PleaTypeID&amp;gt;_x000d__x000a_        &amp;lt;CourtLevelID&amp;gt;2&amp;lt;/CourtLevelID&amp;gt;_x000d__x000a_        &amp;lt;CourtLevelCaseTypeInterestID&amp;gt;299&amp;lt;/CourtLevelCaseTypeInterestID&amp;gt;_x000d__x000a_        &amp;lt;CaseJudgeFirstName&amp;gt;אירית&amp;lt;/CaseJudgeFirstName&amp;gt;_x000d__x000a_        &amp;lt;CaseJudgeLastName&amp;gt;קלמן ברום&amp;lt;/CaseJudgeLastName&amp;gt;_x000d__x000a_        &amp;lt;JudicalPersonID&amp;gt;055503858@GOV.IL&amp;lt;/JudicalPersonID&amp;gt;_x000d__x000a_        &amp;lt;IsJudicalPanel&amp;gt;false&amp;lt;/IsJudicalPanel&amp;gt;_x000d__x000a_        &amp;lt;CourtDisplayName&amp;gt;בית המשפט המחוזי בתל אביב -יפו&amp;lt;/CourtDisplayName&amp;gt;_x000d__x000a_        &amp;lt;IsAllStartDataCollected&amp;gt;true&amp;lt;/IsAllStartDataCollected&amp;gt;_x000d__x000a_        &amp;lt;CaseDesc&amp;gt;ללשכת הש&amp;#39; קלמן - קבוע 9.4&amp;lt;/CaseDesc&amp;gt;_x000d__x000a_        &amp;lt;isExistMinorSide&amp;gt;false&amp;lt;/isExistMinorSide&amp;gt;_x000d__x000a_        &amp;lt;isExistMinorWitness&amp;gt;false&amp;lt;/isExistMinorWitness&amp;gt;_x000d__x000a_        &amp;lt;ArchivingActivityID&amp;gt;1&amp;lt;/ArchivingActivityID&amp;gt;_x000d__x000a_        &amp;lt;IsAccessibilityRequired&amp;gt;false&amp;lt;/IsAccessibilityRequired&amp;gt;_x000d__x000a_        &amp;lt;IsDecisionTypeZaveElyon&amp;gt;false&amp;lt;/IsDecisionTypeZaveElyon&amp;gt;_x000d__x000a_        &amp;lt;IsFeePaid&amp;gt;true&amp;lt;/IsFeePaid&amp;gt;_x000d__x000a_        &amp;lt;IsExistPrisoner&amp;gt;false&amp;lt;/IsExistPrisoner&amp;gt;_x000d__x000a_        &amp;lt;IsExistDetainee&amp;gt;false&amp;lt;/IsExistDetainee&amp;gt;_x000d__x000a_        &amp;lt;IsDebitExist&amp;gt;false&amp;lt;/IsDebitExist&amp;gt;_x000d__x000a_        &amp;lt;IsExistSeizure&amp;gt;false&amp;lt;/IsExistSeizure&amp;gt;_x000d__x000a_        &amp;lt;IsExemptionExistInCase&amp;gt;false&amp;lt;/IsExemptionExistInCase&amp;gt;_x000d__x000a_        &amp;lt;IsDebitTransferedInCase&amp;gt;false&amp;lt;/IsDebitTransferedInCase&amp;gt;_x000d__x000a_        &amp;lt;IsElectronicallyMonitoredDetainee&amp;gt;false&amp;lt;/IsElectronicallyMonitoredDetainee&amp;gt;_x000d__x000a_        &amp;lt;IsCasePredictedToAge&amp;gt;0&amp;lt;/IsCasePredictedToAge&amp;gt;_x000d__x000a_        &amp;lt;PendingWebSubmissionsQty&amp;gt;0&amp;lt;/PendingWebSubmissionsQty&amp;gt;_x000d__x000a_      &amp;lt;/CasePresentationDataSet&amp;gt;_x000d__x000a_    &amp;lt;/CasePresentationDS&amp;gt;_x000d__x000a_    &amp;lt;diffgr:before&amp;gt;_x000d__x000a_      &amp;lt;CasePresentationDataSet diffgr:id=&amp;quot;CasePresentationDataSet1&amp;quot; msdata:rowOrder=&amp;quot;0&amp;quot; xmlns=&amp;quot;http://tempuri.org/CasePresentationDS.xsd&amp;quot;&amp;gt;_x000d__x000a_        &amp;lt;CaseID&amp;gt;80857415&amp;lt;/CaseID&amp;gt;_x000d__x000a_        &amp;lt;CaseMonth&amp;gt;12&amp;lt;/CaseMonth&amp;gt;_x000d__x000a_        &amp;lt;CaseYear&amp;gt;2023&amp;lt;/CaseYear&amp;gt;_x000d__x000a_        &amp;lt;CaseNumber&amp;gt;55847&amp;lt;/CaseNumber&amp;gt;_x000d__x000a_        &amp;lt;NumeratorGroupID&amp;gt;1&amp;lt;/NumeratorGroupID&amp;gt;_x000d__x000a_        &amp;lt;CaseName&amp;gt;רום גבס חיפוי וקירוי (1997) בע&amp;quot;מ ואח&amp;#39; נ&amp;#39; פולדמיר בנין(1986) בע&amp;quot;מ ואח&amp;#39;&amp;lt;/CaseName&amp;gt;_x000d__x000a_        &amp;lt;CourtID&amp;gt;15&amp;lt;/CourtID&amp;gt;_x000d__x000a_        &amp;lt;CaseTypeID&amp;gt;1&amp;lt;/CaseTypeID&amp;gt;_x000d__x000a_        &amp;lt;CaseInterestID&amp;gt;41&amp;lt;/CaseInterestID&amp;gt;_x000d__x000a_        &amp;lt;CaseJudgeName&amp;gt;אירית קלמן ברום&amp;lt;/CaseJudgeName&amp;gt;_x000d__x000a_        &amp;lt;ProcedureID&amp;gt;1&amp;lt;/ProcedureID&amp;gt;_x000d__x000a_        &amp;lt;CaseStatusID&amp;gt;1&amp;lt;/CaseStatusID&amp;gt;_x000d__x000a_        &amp;lt;ProceedingID&amp;gt;1&amp;lt;/ProceedingID&amp;gt;_x000d__x000a_        &amp;lt;IsCaseLinked&amp;gt;false&amp;lt;/IsCaseLinked&amp;gt;_x000d__x000a_        &amp;lt;PrivilegeID&amp;gt;1&amp;lt;/PrivilegeID&amp;gt;_x000d__x000a_        &amp;lt;IsAppealingCaseExist&amp;gt;false&amp;lt;/IsAppealingCaseExist&amp;gt;_x000d__x000a_        &amp;lt;CaseDisplayIdentifier&amp;gt;55847-12-23&amp;lt;/CaseDisplayIdentifier&amp;gt;_x000d__x000a_        &amp;lt;CaseTypeDesc&amp;gt;ת&amp;quot;א&amp;lt;/CaseTypeDesc&amp;gt;_x000d__x000a_        &amp;lt;CourtDesc&amp;gt;המחוזי תל אביב - יפו&amp;lt;/CourtDesc&amp;gt;_x000d__x000a_        &amp;lt;CaseStageDesc&amp;gt;תיק אלקטרוני&amp;lt;/CaseStageDesc&amp;gt;_x000d__x000a_        &amp;lt;CaseNextDeterminingTask&amp;gt;151&amp;lt;/CaseNextDeterminingTask&amp;gt;_x000d__x000a_        &amp;lt;CaseOpenDate&amp;gt;2023-12-26T12:36:00+02:00&amp;lt;/CaseOpenDate&amp;gt;_x000d__x000a_        &amp;lt;PleaTypeID&amp;gt;4&amp;lt;/PleaTypeID&amp;gt;_x000d__x000a_        &amp;lt;CourtLevelID&amp;gt;2&amp;lt;/CourtLevelID&amp;gt;_x000d__x000a_        &amp;lt;CourtLevelCaseTypeInterestID&amp;gt;299&amp;lt;/CourtLevelCaseTypeInterestID&amp;gt;_x000d__x000a_        &amp;lt;CaseJudgeFirstName&amp;gt;אירית&amp;lt;/CaseJudgeFirstName&amp;gt;_x000d__x000a_        &amp;lt;CaseJudgeLastName&amp;gt;קלמן ברום&amp;lt;/CaseJudgeLastName&amp;gt;_x000d__x000a_        &amp;lt;JudicalPersonID&amp;gt;055503858@GOV.IL&amp;lt;/JudicalPersonID&amp;gt;_x000d__x000a_        &amp;lt;IsJudicalPanel&amp;gt;false&amp;lt;/IsJudicalPanel&amp;gt;_x000d__x000a_        &amp;lt;CourtDisplayName&amp;gt;בית המשפט המחוזי בתל אביב -יפו&amp;lt;/CourtDisplayName&amp;gt;_x000d__x000a_        &amp;lt;IsAllStartDataCollected&amp;gt;true&amp;lt;/IsAllStartDataCollected&amp;gt;_x000d__x000a_        &amp;lt;CaseDesc&amp;gt;ללשכת הש&amp;#39; קלמן - קבוע 9.4&amp;lt;/CaseDesc&amp;gt;_x000d__x000a_        &amp;lt;ArchivingActivityID&amp;gt;1&amp;lt;/ArchivingActivityID&amp;gt;_x000d__x000a_        &amp;lt;IsAccessibilityRequired&amp;gt;false&amp;lt;/IsAccessibilityRequired&amp;gt;_x000d__x000a_        &amp;lt;IsCasePredictedToAge&amp;gt;0&amp;lt;/IsCasePredictedToAge&amp;gt;_x000d__x000a_        &amp;lt;PendingWebSubmissionsQty&amp;gt;0&amp;lt;/PendingWebSubmissionsQty&amp;gt;_x000d__x000a_      &amp;lt;/CasePresentationDataSet&amp;gt;_x000d__x000a_    &amp;lt;/diffgr:before&amp;gt;_x000d__x000a_  &amp;lt;/diffgr:diffgram&amp;gt;_x000d__x000a_&amp;lt;/CasePresentationDS&amp;gt;"/>
    <w:docVar w:name="CourtID" w:val="15"/>
    <w:docVar w:name="DecisionDS" w:val="&amp;lt;?xml version=&amp;quot;1.0&amp;quot;?&amp;gt;_x000d__x000a_&amp;lt;DecisionDS&amp;gt;_x000d__x000a_  &amp;lt;xs:schema id=&amp;quot;DecisionDS&amp;quot; targetNamespace=&amp;quot;http://www.tempuri.org/DecisionDS.xsd&amp;quot; xmlns:mstns=&amp;quot;http://www.tempuri.org/DecisionDS.xsd&amp;quot; xmlns=&amp;quot;http://www.tempuri.org/DecisionDS.xsd&amp;quot; xmlns:xs=&amp;quot;http://www.w3.org/2001/XMLSchema&amp;quot; xmlns:msdata=&amp;quot;urn:schemas-microsoft-com:xml-msdata&amp;quot; attributeFormDefault=&amp;quot;qualified&amp;quot; elementFormDefault=&amp;quot;qualified&amp;quot;&amp;gt;_x000d__x000a_    &amp;lt;xs:element name=&amp;quot;DecisionDS&amp;quot; msdata:IsDataSet=&amp;quot;true&amp;quot; msdata:Locale=&amp;quot;he-IL&amp;quot;&amp;gt;_x000d__x000a_      &amp;lt;xs:complexType&amp;gt;_x000d__x000a_        &amp;lt;xs:choice minOccurs=&amp;quot;0&amp;quot; maxOccurs=&amp;quot;unbounded&amp;quot;&amp;gt;_x000d__x000a_          &amp;lt;xs:element name=&amp;quot;dt_Decision&amp;quot;&amp;gt;_x000d__x000a_            &amp;lt;xs:complexType&amp;gt;_x000d__x000a_              &amp;lt;xs:sequence&amp;gt;_x000d__x000a_                &amp;lt;xs:element name=&amp;quot;DecisionID&amp;quot; msdata:ReadOnly=&amp;quot;true&amp;quot; msdata:AutoIncrement=&amp;quot;true&amp;quot; type=&amp;quot;xs:int&amp;quot; /&amp;gt;_x000d__x000a_                &amp;lt;xs:element name=&amp;quot;DecisionNumber&amp;quot; type=&amp;quot;xs:int&amp;quot; minOccurs=&amp;quot;0&amp;quot; /&amp;gt;_x000d__x000a_                &amp;lt;xs:element name=&amp;quot;DecisionName&amp;quot; type=&amp;quot;xs:string&amp;quot; /&amp;gt;_x000d__x000a_                &amp;lt;xs:element name=&amp;quot;DecisionStatusID&amp;quot; type=&amp;quot;xs:int&amp;quot; /&amp;gt;_x000d__x000a_                &amp;lt;xs:element name=&amp;quot;DecisionStatusChangeDate&amp;quot; type=&amp;quot;xs:dateTime&amp;quot; /&amp;gt;_x000d__x000a_                &amp;lt;xs:element name=&amp;quot;DecisionSignatureDate&amp;quot; type=&amp;quot;xs:dateTime&amp;quot; minOccurs=&amp;quot;0&amp;quot; /&amp;gt;_x000d__x000a_                &amp;lt;xs:element name=&amp;quot;DecisionSignatureUserID&amp;quot; type=&amp;quot;xs:string&amp;quot; minOccurs=&amp;quot;0&amp;quot; /&amp;gt;_x000d__x000a_                &amp;lt;xs:element name=&amp;quot;DecisionCreateDate&amp;quot; type=&amp;quot;xs:dateTime&amp;quot; /&amp;gt;_x000d__x000a_                &amp;lt;xs:element name=&amp;quot;DecisionChangeDate&amp;quot; type=&amp;quot;xs:dateTime&amp;quot; minOccurs=&amp;quot;0&amp;quot; /&amp;gt;_x000d__x000a_                &amp;lt;xs:element name=&amp;quot;DecisionChangeUserID&amp;quot; type=&amp;quot;xs:string&amp;quot; minOccurs=&amp;quot;0&amp;quot; /&amp;gt;_x000d__x000a_                &amp;lt;xs:element name=&amp;quot;DecisionDesc&amp;quot; type=&amp;quot;xs:string&amp;quot; minOccurs=&amp;quot;0&amp;quot; /&amp;gt;_x000d__x000a_                &amp;lt;xs:element name=&amp;quot;IsChosenDecision&amp;quot; type=&amp;quot;xs:boolean&amp;quot; default=&amp;quot;false&amp;quot; /&amp;gt;_x000d__x000a_                &amp;lt;xs:element name=&amp;quot;IsDecisionImplementationTask&amp;quot; type=&amp;quot;xs:boolean&amp;quot; default=&amp;quot;false&amp;quot; minOccurs=&amp;quot;0&amp;quot; /&amp;gt;_x000d__x000a_                &amp;lt;xs:element name=&amp;quot;IsDecisionInProtocol&amp;quot; type=&amp;quot;xs:boolean&amp;quot; default=&amp;quot;false&amp;quot; /&amp;gt;_x000d__x000a_                &amp;lt;xs:element name=&amp;quot;DecisionTypeID&amp;quot; type=&amp;quot;xs:int&amp;quot; /&amp;gt;_x000d__x000a_                &amp;lt;xs:element name=&amp;quot;DecisionText&amp;quot; type=&amp;quot;xs:string&amp;quot; minOccurs=&amp;quot;0&amp;quot; /&amp;gt;_x000d__x000a_                &amp;lt;xs:element name=&amp;quot;IsOnlyOneParty&amp;quot; type=&amp;quot;xs:boolean&amp;quot; default=&amp;quot;false&amp;quot; /&amp;gt;_x000d__x000a_                &amp;lt;xs:element name=&amp;quot;IsCanceledDecision&amp;quot; type=&amp;quot;xs:boolean&amp;quot; default=&amp;quot;false&amp;quot; /&amp;gt;_x000d__x000a_                &amp;lt;xs:element name=&amp;quot;DecisionLinkID&amp;quot; type=&amp;quot;xs:int&amp;quot; minOccurs=&amp;quot;0&amp;quot; /&amp;gt;_x000d__x000a_                &amp;lt;xs:element name=&amp;quot;DecisionLinkTypeID&amp;quot; type=&amp;quot;xs:int&amp;quot; minOccurs=&amp;quot;0&amp;quot; /&amp;gt;_x000d__x000a_                &amp;lt;xs:element name=&amp;quot;DocumentID&amp;quot; type=&amp;quot;xs:int&amp;quot; minOccurs=&amp;quot;0&amp;quot; /&amp;gt;_x000d__x000a_                &amp;lt;xs:element name=&amp;quot;PrivilegeID&amp;quot; type=&amp;quot;xs:int&amp;quot; /&amp;gt;_x000d__x000a_                &amp;lt;xs:element name=&amp;quot;IsDecisionConverted&amp;quot; type=&amp;quot;xs:boolean&amp;quot; default=&amp;quot;false&amp;quot; /&amp;gt;_x000d__x000a_                &amp;lt;xs:element name=&amp;quot;SignatureUserTypeID&amp;quot; type=&amp;quot;xs:int&amp;quot; minOccurs=&amp;quot;0&amp;quot; /&amp;gt;_x000d__x000a_                &amp;lt;xs:element name=&amp;quot;IsOpenedToSecondSide&amp;quot; type=&amp;quot;xs:boolean&amp;quot; default=&amp;quot;false&amp;quot; /&amp;gt;_x000d__x000a_                &amp;lt;xs:element name=&amp;quot;IsDecisionAppeled&amp;quot; type=&amp;quot;xs:boolean&amp;quot; default=&amp;quot;false&amp;quot; /&amp;gt;_x000d__x000a_                &amp;lt;xs:element name=&amp;quot;DecisionWriterID&amp;quot; type=&amp;quot;xs:string&amp;quot; minOccurs=&amp;quot;0&amp;quot; /&amp;gt;_x000d__x000a_                &amp;lt;xs:element name=&amp;quot;IsInstruction&amp;quot; type=&amp;quot;xs:boolean&amp;quot; default=&amp;quot;false&amp;quot; /&amp;gt;_x000d__x000a_                &amp;lt;xs:element name=&amp;quot;PreviousCaseID&amp;quot; type=&amp;quot;xs:string&amp;quot; minOccurs=&amp;quot;0&amp;quot; /&amp;gt;_x000d__x000a_                &amp;lt;xs:element name=&amp;quot;IsNeedAllSignatures&amp;quot; type=&amp;quot;xs:boolean&amp;quot; default=&amp;quot;false&amp;quot; minOccurs=&amp;quot;0&amp;quot; /&amp;gt;_x000d__x000a_                &amp;lt;xs:element name=&amp;quot;DecisionAttributeID&amp;quot; type=&amp;quot;xs:int&amp;quot; minOccurs=&amp;quot;0&amp;quot; /&amp;gt;_x000d__x000a_                &amp;lt;xs:element name=&amp;quot;DecisionCreationUserID&amp;quot; type=&amp;quot;xs:string&amp;quot; /&amp;gt;_x000d__x000a_                &amp;lt;xs:element name=&amp;quot;DecisionLinkName&amp;quot; type=&amp;quot;xs:string&amp;quot; minOccurs=&amp;quot;0&amp;quot; /&amp;gt;_x000d__x000a_                &amp;lt;xs:element name=&amp;quot;DecisionLinkCaseID&amp;quot; type=&amp;quot;xs:int&amp;quot; minOccurs=&amp;quot;0&amp;quot; /&amp;gt;_x000d__x000a_                &amp;lt;xs:element name=&amp;quot;DecisionDisplayName&amp;quot; type=&amp;quot;xs:string&amp;quot; minOccurs=&amp;quot;0&amp;quot; /&amp;gt;_x000d__x000a_                &amp;lt;xs:element name=&amp;quot;IsScanned&amp;quot; type=&amp;quot;xs:boolean&amp;quot; minOccurs=&amp;quot;0&amp;quot; /&amp;gt;_x000d__x000a_                &amp;lt;xs:element name=&amp;quot;DecisionSignatureUserName&amp;quot; type=&amp;quot;xs:string&amp;quot; minOccurs=&amp;quot;0&amp;quot; /&amp;gt;_x000d__x000a_                &amp;lt;xs:element name=&amp;quot;ChangePrivilegeUserID&amp;quot; type=&amp;quot;xs:string&amp;quot; minOccurs=&amp;quot;0&amp;quot; /&amp;gt;_x000d__x000a_                &amp;lt;xs:element name=&amp;quot;PublishInWebUserID&amp;quot; type=&amp;quot;xs:string&amp;quot; minOccurs=&amp;quot;0&amp;quot; /&amp;gt;_x000d__x000a_                &amp;lt;xs:element name=&amp;quot;NotificationTypeID&amp;quot; type=&amp;quot;xs:int&amp;quot; default=&amp;quot;1&amp;quot; minOccurs=&amp;quot;0&amp;quot; /&amp;gt;_x000d__x000a_                &amp;lt;xs:element name=&amp;quot;NotificationAuthorizeUserID&amp;quot; type=&amp;quot;xs:string&amp;quot; minOccurs=&amp;quot;0&amp;quot; /&amp;gt;_x000d__x000a_                &amp;lt;xs:element name=&amp;quot;DecisionReleaseDate&amp;quot; type=&amp;quot;xs:dateTime&amp;quot; minOccurs=&amp;quot;0&amp;quot; /&amp;gt;_x000d__x000a_                &amp;lt;xs:element name=&amp;quot;IsDecisionInNote&amp;quot; type=&amp;quot;xs:boolean&amp;quot; default=&amp;quot;false&amp;quot; /&amp;gt;_x000d__x000a_                &amp;lt;xs:element name=&amp;quot;IsDecisionUrgency&amp;quot; type=&amp;quot;xs:boolean&amp;quot; default=&amp;quot;false&amp;quot; /&amp;gt;_x000d__x000a_                &amp;lt;xs:element name=&amp;quot;IsTechnicalCancel&amp;quot; type=&amp;quot;xs:boolean&amp;quot; minOccurs=&amp;quot;0&amp;quot; /&amp;gt;_x000d__x000a_                &amp;lt;xs:element name=&amp;quot;IsPublishSmallCensorVersion&amp;quot; type=&amp;quot;xs:boolean&amp;quot; default=&amp;quot;false&amp;quot; minOccurs=&amp;quot;0&amp;quot; /&amp;gt;_x000d__x000a_                &amp;lt;xs:element name=&amp;quot;IsIDCPublished&amp;quot; type=&amp;quot;xs:boolean&amp;quot; default=&amp;quot;false&amp;quot; minOccurs=&amp;quot;0&amp;quot; /&amp;gt;_x000d__x000a_                &amp;lt;xs:element name=&amp;quot;SummaryVersionDocumentID&amp;quot; type=&amp;quot;xs:int&amp;quot; minOccurs=&amp;quot;0&amp;quot; /&amp;gt;_x000d__x000a_                &amp;lt;xs:element name=&amp;quot;IsIDCPublishedForSummary&amp;quot; type=&amp;quot;xs:boolean&amp;quot; default=&amp;quot;false&amp;quot; minOccurs=&amp;quot;0&amp;quot; /&amp;gt;_x000d__x000a_                &amp;lt;xs:element name=&amp;quot;DecisionNumberInCase&amp;quot; type=&amp;quot;xs:int&amp;quot; minOccurs=&amp;quot;0&amp;quot; /&amp;gt;_x000d__x000a_                &amp;lt;xs:element name=&amp;quot;DecisionNote&amp;quot; type=&amp;quot;xs:string&amp;quot; minOccurs=&amp;quot;0&amp;quot; /&amp;gt;_x000d__x000a_                &amp;lt;xs:element name=&amp;quot;DecisionMeetingDate&amp;quot; type=&amp;quot;xs:dateTime&amp;quot; minOccurs=&amp;quot;0&amp;quot; /&amp;gt;_x000d__x000a_                &amp;lt;xs:element name=&amp;quot;IsViewInSiteChosenVerdict&amp;quot; type=&amp;quot;xs:boolean&amp;quot; minOccurs=&amp;quot;0&amp;quot; /&amp;gt;_x000d__x000a_                &amp;lt;xs:element name=&amp;quot;IsOriginal&amp;quot; type=&amp;quot;xs:boolean&amp;quot; minOccurs=&amp;quot;0&amp;quot; /&amp;gt;_x000d__x000a_              &amp;lt;/xs:sequence&amp;gt;_x000d__x000a_            &amp;lt;/xs:complexType&amp;gt;_x000d__x000a_          &amp;lt;/xs:element&amp;gt;_x000d__x000a_          &amp;lt;xs:element name=&amp;quot;dt_DecisionCase&amp;quot;&amp;gt;_x000d__x000a_            &amp;lt;xs:complexType&amp;gt;_x000d__x000a_              &amp;lt;xs:sequence&amp;gt;_x000d__x000a_                &amp;lt;xs:element name=&amp;quot;DecisionID&amp;quot; type=&amp;quot;xs:int&amp;quot; /&amp;gt;_x000d__x000a_                &amp;lt;xs:element name=&amp;quot;CaseID&amp;quot; type=&amp;quot;xs:int&amp;quot; /&amp;gt;_x000d__x000a_                &amp;lt;xs:element name=&amp;quot;IsOriginal&amp;quot; type=&amp;quot;xs:boolean&amp;quot; default=&amp;quot;false&amp;quot; minOccurs=&amp;quot;0&amp;quot; /&amp;gt;_x000d__x000a_                &amp;lt;xs:element name=&amp;quot;IsDeleted&amp;quot; type=&amp;quot;xs:boolean&amp;quot; default=&amp;quot;false&amp;quot; /&amp;gt;_x000d__x000a_                &amp;lt;xs:element name=&amp;quot;CaseLinkTypeID&amp;quot; type=&amp;quot;xs:int&amp;quot; minOccurs=&amp;quot;0&amp;quot; /&amp;gt;_x000d__x000a_                &amp;lt;xs:element name=&amp;quot;CaseName&amp;quot; type=&amp;quot;xs:string&amp;quot; minOccurs=&amp;quot;0&amp;quot; /&amp;gt;_x000d__x000a_                &amp;lt;xs:element name=&amp;quot;CaseDisplayIdentifier&amp;quot; type=&amp;quot;xs:string&amp;quot; minOccurs=&amp;quot;0&amp;quot; /&amp;gt;_x000d__x000a_              &amp;lt;/xs:sequence&amp;gt;_x000d__x000a_            &amp;lt;/xs:complexType&amp;gt;_x000d__x000a_          &amp;lt;/xs:element&amp;gt;_x000d__x000a_          &amp;lt;xs:element name=&amp;quot;dt_DecisionMotion&amp;quot;&amp;gt;_x000d__x000a_            &amp;lt;xs:complexType&amp;gt;_x000d__x000a_              &amp;lt;xs:sequence&amp;gt;_x000d__x000a_                &amp;lt;xs:element name=&amp;quot;DecisionID&amp;quot; type=&amp;quot;xs:int&amp;quot; /&amp;gt;_x000d__x000a_                &amp;lt;xs:element name=&amp;quot;MotionID&amp;quot; type=&amp;quot;xs:int&amp;quot; /&amp;gt;_x000d__x000a_                &amp;lt;xs:element name=&amp;quot;DecisionResultID&amp;quot; type=&amp;quot;xs:int&amp;quot; minOccurs=&amp;quot;0&amp;quot; /&amp;gt;_x000d__x000a_                &amp;lt;xs:element name=&amp;quot;IsOriginalMotion&amp;quot; type=&amp;quot;xs:boolean&amp;quot; default=&amp;quot;false&amp;quot; minOccurs=&amp;quot;0&amp;quot; /&amp;gt;_x000d__x000a_                &amp;lt;xs:element name=&amp;quot;MotionName&amp;quot; type=&amp;quot;xs:string&amp;quot; minOccurs=&amp;quot;0&amp;quot; /&amp;gt;_x000d__x000a_                &amp;lt;xs:element name=&amp;quot;MotionOpenDate&amp;quot; type=&amp;quot;xs:dateTime&amp;quot; minOccurs=&amp;quot;0&amp;quot; /&amp;gt;_x000d__x000a_                &amp;lt;xs:element name=&amp;quot;CaseID&amp;quot; type=&amp;quot;xs:int&amp;quot; minOccurs=&amp;quot;0&amp;quot; /&amp;gt;_x000d__x000a_                &amp;lt;xs:element name=&amp;quot;CaseDisplayIdentifier&amp;quot; type=&amp;quot;xs:string&amp;quot; minOccurs=&amp;quot;0&amp;quot; /&amp;gt;_x000d__x000a_                &amp;lt;xs:element name=&amp;quot;ProcessNumber&amp;quot; type=&amp;quot;xs:int&amp;quot; minOccurs=&amp;quot;0&amp;quot; /&amp;gt;_x000d__x000a_                &amp;lt;xs:element name=&amp;quot;ListOfProcessIds&amp;quot; type=&amp;quot;xs:string&amp;quot; minOccurs=&amp;quot;0&amp;quot; /&amp;gt;_x000d__x000a_              &amp;lt;/xs:sequence&amp;gt;_x000d__x000a_            &amp;lt;/xs:complexType&amp;gt;_x000d__x000a_          &amp;lt;/xs:element&amp;gt;_x000d__x000a_          &amp;lt;xs:element name=&amp;quot;dt_DecisionProtocol&amp;quot;&amp;gt;_x000d__x000a_            &amp;lt;xs:complexType&amp;gt;_x000d__x000a_              &amp;lt;xs:sequence&amp;gt;_x000d__x000a_                &amp;lt;xs:element name=&amp;quot;DecisionID&amp;quot; type=&amp;quot;xs:int&amp;quot; /&amp;gt;_x000d__x000a_                &amp;lt;xs:element name=&amp;quot;ProtocolID&amp;quot; type=&amp;quot;xs:int&amp;quot; /&amp;gt;_x000d__x000a_                &amp;lt;xs:element name=&amp;quot;ProtocolEventID&amp;quot; type=&amp;quot;xs:int&amp;quot; /&amp;gt;_x000d__x000a_              &amp;lt;/xs:sequence&amp;gt;_x000d__x000a_            &amp;lt;/xs:complexType&amp;gt;_x000d__x000a_          &amp;lt;/xs:element&amp;gt;_x000d__x000a_          &amp;lt;xs:element name=&amp;quot;dt_DecisionJudgePanel&amp;quot;&amp;gt;_x000d__x000a_            &amp;lt;xs:complexType&amp;gt;_x000d__x000a_              &amp;lt;xs:sequence&amp;gt;_x000d__x000a_                &amp;lt;xs:element name=&amp;quot;DecisionID&amp;quot; type=&amp;quot;xs:int&amp;quot; /&amp;gt;_x000d__x000a_                &amp;lt;xs:element name=&amp;quot;JudgeID&amp;quot; type=&amp;quot;xs:string&amp;quot; /&amp;gt;_x000d__x000a_                &amp;lt;xs:element name=&amp;quot;DocumentSendDate&amp;quot; type=&amp;quot;xs:dateTime&amp;quot; minOccurs=&amp;quot;0&amp;quot; /&amp;gt;_x000d__x000a_                &amp;lt;xs:element name=&amp;quot;FinalDate&amp;quot; type=&amp;quot;xs:dateTime&amp;quot; minOccurs=&amp;quot;0&amp;quot; /&amp;gt;_x000d__x000a_                &amp;lt;xs:element name=&amp;quot;SignatureDate&amp;quot; type=&amp;quot;xs:dateTime&amp;quot; minOccurs=&amp;quot;0&amp;quot; /&amp;gt;_x000d__x000a_                &amp;lt;xs:element name=&amp;quot;DocumentID&amp;quot; type=&amp;quot;xs:int&amp;quot; minOccurs=&amp;quot;0&amp;quot; /&amp;gt;_x000d__x000a_                &amp;lt;xs:element name=&amp;quot;DecisionOpinionDate&amp;quot; type=&amp;quot;xs:dateTime&amp;quot; minOccurs=&amp;quot;0&amp;quot; /&amp;gt;_x000d__x000a_                &amp;lt;xs:element name=&amp;quot;WriterViewedDraftDate&amp;quot; type=&amp;quot;xs:dateTime&amp;quot; minOccurs=&amp;quot;0&amp;quot; /&amp;gt;_x000d__x000a_                &amp;lt;xs:element name=&amp;quot;IsNeedAllSignatures&amp;quot; type=&amp;quot;xs:boolean&amp;quot; minOccurs=&amp;quot;0&amp;quot; /&amp;gt;_x000d__x000a_                &amp;lt;xs:element name=&amp;quot;DocumentIDNotes&amp;quot; type=&amp;quot;xs:int&amp;quot; minOccurs=&amp;quot;0&amp;quot; /&amp;gt;_x000d__x000a_                &amp;lt;xs:element name=&amp;quot;OrdinalNumber&amp;quot; type=&amp;quot;xs:int&amp;quot; minOccurs=&amp;quot;0&amp;quot; /&amp;gt;_x000d__x000a_              &amp;lt;/xs:sequence&amp;gt;_x000d__x000a_            &amp;lt;/xs:complexType&amp;gt;_x000d__x000a_          &amp;lt;/xs:element&amp;gt;_x000d__x000a_          &amp;lt;xs:element name=&amp;quot;dt_Attachments&amp;quot;&amp;gt;_x000d__x000a_            &amp;lt;xs:complexType&amp;gt;_x000d__x000a_              &amp;lt;xs:sequence&amp;gt;_x000d__x000a_                &amp;lt;xs:element name=&amp;quot;DocumentID&amp;quot; type=&amp;quot;xs:int&amp;quot; minOccurs=&amp;quot;0&amp;quot; /&amp;gt;_x000d__x000a_                &amp;lt;xs:element name=&amp;quot;DocumentStatusChangeDate&amp;quot; type=&amp;quot;xs:dateTime&amp;quot; minOccurs=&amp;quot;0&amp;quot; /&amp;gt;_x000d__x000a_                &amp;lt;xs:element name=&amp;quot;DocumentDesc&amp;quot; type=&amp;quot;xs:string&amp;quot; minOccurs=&amp;quot;0&amp;quot; /&amp;gt;_x000d__x000a_                &amp;lt;xs:element name=&amp;quot;DocumentMainID&amp;quot; type=&amp;quot;xs:int&amp;quot; minOccurs=&amp;quot;0&amp;quot; /&amp;gt;_x000d__x000a_                &amp;lt;xs:element name=&amp;quot;IsIDCPublished&amp;quot; type=&amp;quot;xs:boolean&amp;quot; default=&amp;quot;false&amp;quot; minOccurs=&amp;quot;0&amp;quot; /&amp;gt;_x000d__x000a_              &amp;lt;/xs:sequence&amp;gt;_x000d__x000a_            &amp;lt;/xs:complexType&amp;gt;_x000d__x000a_          &amp;lt;/xs:element&amp;gt;_x000d__x000a_        &amp;lt;/xs:choice&amp;gt;_x000d__x000a_      &amp;lt;/xs:complexType&amp;gt;_x000d__x000a_      &amp;lt;xs:unique name=&amp;quot;DecisionDSKey1&amp;quot; msdata:PrimaryKey=&amp;quot;true&amp;quot;&amp;gt;_x000d__x000a_        &amp;lt;xs:selector xpath=&amp;quot;.//mstns:dt_Decision&amp;quot; /&amp;gt;_x000d__x000a_        &amp;lt;xs:field xpath=&amp;quot;mstns:DecisionID&amp;quot; /&amp;gt;_x000d__x000a_      &amp;lt;/xs:unique&amp;gt;_x000d__x000a_      &amp;lt;xs:unique name=&amp;quot;DecisionDSKey2&amp;quot; msdata:PrimaryKey=&amp;quot;true&amp;quot;&amp;gt;_x000d__x000a_        &amp;lt;xs:selector xpath=&amp;quot;.//mstns:dt_DecisionCase&amp;quot; /&amp;gt;_x000d__x000a_        &amp;lt;xs:field xpath=&amp;quot;mstns:DecisionID&amp;quot; /&amp;gt;_x000d__x000a_        &amp;lt;xs:field xpath=&amp;quot;mstns:CaseID&amp;quot; /&amp;gt;_x000d__x000a_      &amp;lt;/xs:unique&amp;gt;_x000d__x000a_      &amp;lt;xs:unique name=&amp;quot;DecisionDSKey3&amp;quot; msdata:PrimaryKey=&amp;quot;true&amp;quot;&amp;gt;_x000d__x000a_        &amp;lt;xs:selector xpath=&amp;quot;.//mstns:dt_DecisionMotion&amp;quot; /&amp;gt;_x000d__x000a_        &amp;lt;xs:field xpath=&amp;quot;mstns:DecisionID&amp;quot; /&amp;gt;_x000d__x000a_        &amp;lt;xs:field xpath=&amp;quot;mstns:MotionID&amp;quot; /&amp;gt;_x000d__x000a_      &amp;lt;/xs:unique&amp;gt;_x000d__x000a_      &amp;lt;xs:unique name=&amp;quot;DecisionDSKey4&amp;quot; msdata:PrimaryKey=&amp;quot;true&amp;quot;&amp;gt;_x000d__x000a_        &amp;lt;xs:selector xpath=&amp;quot;.//mstns:dt_DecisionProtocol&amp;quot; /&amp;gt;_x000d__x000a_        &amp;lt;xs:field xpath=&amp;quot;mstns:DecisionID&amp;quot; /&amp;gt;_x000d__x000a_        &amp;lt;xs:field xpath=&amp;quot;mstns:ProtocolID&amp;quot; /&amp;gt;_x000d__x000a_        &amp;lt;xs:field xpath=&amp;quot;mstns:ProtocolEventID&amp;quot; /&amp;gt;_x000d__x000a_      &amp;lt;/xs:unique&amp;gt;_x000d__x000a_      &amp;lt;xs:unique name=&amp;quot;DecisionDSKey10&amp;quot; msdata:PrimaryKey=&amp;quot;true&amp;quot;&amp;gt;_x000d__x000a_        &amp;lt;xs:selector xpath=&amp;quot;.//mstns:dt_DecisionJudgePanel&amp;quot; /&amp;gt;_x000d__x000a_        &amp;lt;xs:field xpath=&amp;quot;mstns:DecisionID&amp;quot; /&amp;gt;_x000d__x000a_        &amp;lt;xs:field xpath=&amp;quot;mstns:JudgeID&amp;quot; /&amp;gt;_x000d__x000a_      &amp;lt;/xs:unique&amp;gt;_x000d__x000a_      &amp;lt;xs:keyref name=&amp;quot;dt_Decisiondt_DecisionJudgePanel&amp;quot; refer=&amp;quot;DecisionDSKey1&amp;quot;&amp;gt;_x000d__x000a_        &amp;lt;xs:selector xpath=&amp;quot;.//mstns:dt_DecisionJudgePanel&amp;quot; /&amp;gt;_x000d__x000a_        &amp;lt;xs:field xpath=&amp;quot;mstns:DecisionID&amp;quot; /&amp;gt;_x000d__x000a_      &amp;lt;/xs:keyref&amp;gt;_x000d__x000a_      &amp;lt;xs:keyref name=&amp;quot;dt_Decisiondt_DecisionProtocol&amp;quot; refer=&amp;quot;DecisionDSKey1&amp;quot;&amp;gt;_x000d__x000a_        &amp;lt;xs:selector xpath=&amp;quot;.//mstns:dt_DecisionProtocol&amp;quot; /&amp;gt;_x000d__x000a_        &amp;lt;xs:field xpath=&amp;quot;mstns:DecisionID&amp;quot; /&amp;gt;_x000d__x000a_      &amp;lt;/xs:keyref&amp;gt;_x000d__x000a_      &amp;lt;xs:keyref name=&amp;quot;dt_Decisiondt_DecisionMotion&amp;quot; refer=&amp;quot;DecisionDSKey1&amp;quot;&amp;gt;_x000d__x000a_        &amp;lt;xs:selector xpath=&amp;quot;.//mstns:dt_DecisionMotion&amp;quot; /&amp;gt;_x000d__x000a_        &amp;lt;xs:field xpath=&amp;quot;mstns:DecisionID&amp;quot; /&amp;gt;_x000d__x000a_      &amp;lt;/xs:keyref&amp;gt;_x000d__x000a_      &amp;lt;xs:keyref name=&amp;quot;dt_Decisiondt_DecisionCase&amp;quot; refer=&amp;quot;DecisionDSKey1&amp;quot;&amp;gt;_x000d__x000a_        &amp;lt;xs:selector xpath=&amp;quot;.//mstns:dt_DecisionCase&amp;quot; /&amp;gt;_x000d__x000a_        &amp;lt;xs:field xpath=&amp;quot;mstns:DecisionID&amp;quot; /&amp;gt;_x000d__x000a_      &amp;lt;/xs:keyref&amp;gt;_x000d__x000a_    &amp;lt;/xs:element&amp;gt;_x000d__x000a_  &amp;lt;/xs:schema&amp;gt;_x000d__x000a_  &amp;lt;diffgr:diffgram xmlns:msdata=&amp;quot;urn:schemas-microsoft-com:xml-msdata&amp;quot; xmlns:diffgr=&amp;quot;urn:schemas-microsoft-com:xml-diffgram-v1&amp;quot;&amp;gt;_x000d__x000a_    &amp;lt;DecisionDS xmlns=&amp;quot;http://www.tempuri.org/DecisionDS.xsd&amp;quot;&amp;gt;_x000d__x000a_      &amp;lt;dt_Decision diffgr:id=&amp;quot;dt_Decision1&amp;quot; msdata:rowOrder=&amp;quot;0&amp;quot;&amp;gt;_x000d__x000a_        &amp;lt;DecisionID&amp;gt;151278021&amp;lt;/DecisionID&amp;gt;_x000d__x000a_        &amp;lt;DecisionNumber&amp;gt;6&amp;lt;/DecisionNumber&amp;gt;_x000d__x000a_        &amp;lt;DecisionName&amp;gt;החלטה על בקשה של תובע 1 סעד זמני אחר&amp;lt;/DecisionName&amp;gt;_x000d__x000a_        &amp;lt;DecisionStatusID&amp;gt;1&amp;lt;/DecisionStatusID&amp;gt;_x000d__x000a_        &amp;lt;DecisionStatusChangeDate&amp;gt;2024-04-21T12:49:02.567+03:00&amp;lt;/DecisionStatusChangeDate&amp;gt;_x000d__x000a_        &amp;lt;DecisionSignatureDate&amp;gt;2024-04-21T12:49:01.39+03:00&amp;lt;/DecisionSignatureDate&amp;gt;_x000d__x000a_        &amp;lt;DecisionSignatureUserID&amp;gt;055503858@GOV.IL&amp;lt;/DecisionSignatureUserID&amp;gt;_x000d__x000a_        &amp;lt;DecisionCreateDate&amp;gt;2024-04-21T12:19:42.37+03:00&amp;lt;/DecisionCreateDate&amp;gt;_x000d__x000a_        &amp;lt;DecisionChangeDate&amp;gt;2024-04-21T12:49:02.763+03:00&amp;lt;/DecisionChangeDate&amp;gt;_x000d__x000a_        &amp;lt;DecisionChangeUserID&amp;gt;023771074@GOV.IL&amp;lt;/DecisionChangeUserID&amp;gt;_x000d__x000a_        &amp;lt;IsChosenDecision&amp;gt;false&amp;lt;/IsChosenDecision&amp;gt;_x000d__x000a_        &amp;lt;IsDecisionImplementationTask&amp;gt;true&amp;lt;/IsDecisionImplementationTask&amp;gt;_x000d__x000a_        &amp;lt;IsDecisionInProtocol&amp;gt;false&amp;lt;/IsDecisionInProtocol&amp;gt;_x000d__x000a_        &amp;lt;DecisionTypeID&amp;gt;1&amp;lt;/DecisionTypeID&amp;gt;_x000d__x000a_        &amp;lt;IsOnlyOneParty&amp;gt;true&amp;lt;/IsOnlyOneParty&amp;gt;_x000d__x000a_        &amp;lt;IsCanceledDecision&amp;gt;false&amp;lt;/IsCanceledDecision&amp;gt;_x000d__x000a_        &amp;lt;DocumentID&amp;gt;441206595&amp;lt;/DocumentID&amp;gt;_x000d__x000a_        &amp;lt;PrivilegeID&amp;gt;3&amp;lt;/PrivilegeID&amp;gt;_x000d__x000a_        &amp;lt;IsDecisionConverted&amp;gt;false&amp;lt;/IsDecisionConverted&amp;gt;_x000d__x000a_        &amp;lt;IsOpenedToSecondSide&amp;gt;false&amp;lt;/IsOpenedToSecondSide&amp;gt;_x000d__x000a_        &amp;lt;IsDecisionAppeled&amp;gt;false&amp;lt;/IsDecisionAppeled&amp;gt;_x000d__x000a_        &amp;lt;DecisionWriterID&amp;gt;055503858@GOV.IL&amp;lt;/DecisionWriterID&amp;gt;_x000d__x000a_        &amp;lt;IsInstruction&amp;gt;false&amp;lt;/IsInstruction&amp;gt;_x000d__x000a_        &amp;lt;IsNeedAllSignatures&amp;gt;false&amp;lt;/IsNeedAllSignatures&amp;gt;_x000d__x000a_        &amp;lt;DecisionAttributeID&amp;gt;1&amp;lt;/DecisionAttributeID&amp;gt;_x000d__x000a_        &amp;lt;DecisionCreationUserID&amp;gt;023771074@GOV.IL&amp;lt;/DecisionCreationUserID&amp;gt;_x000d__x000a_        &amp;lt;DecisionDisplayName&amp;gt;החלטה על בקשה של תובע 1 סעד זמני אחר&amp;lt;/DecisionDisplayName&amp;gt;_x000d__x000a_        &amp;lt;IsScanned&amp;gt;false&amp;lt;/IsScanned&amp;gt;_x000d__x000a_        &amp;lt;DecisionSignatureUserName&amp;gt;אירית קלמן ברום&amp;lt;/DecisionSignatureUserName&amp;gt;_x000d__x000a_        &amp;lt;NotificationTypeID&amp;gt;1&amp;lt;/NotificationTypeID&amp;gt;_x000d__x000a_        &amp;lt;IsDecisionInNote&amp;gt;false&amp;lt;/IsDecisionInNote&amp;gt;_x000d__x000a_        &amp;lt;IsDecisionUrgency&amp;gt;true&amp;lt;/IsDecisionUrgency&amp;gt;_x000d__x000a_        &amp;lt;IsPublishSmallCensorVersion&amp;gt;false&amp;lt;/IsPublishSmallCensorVersion&amp;gt;_x000d__x000a_        &amp;lt;IsIDCPublished&amp;gt;false&amp;lt;/IsIDCPublished&amp;gt;_x000d__x000a_        &amp;lt;IsIDCPublishedForSummary&amp;gt;false&amp;lt;/IsIDCPublishedForSummary&amp;gt;_x000d__x000a_        &amp;lt;DecisionNumberInCase&amp;gt;7&amp;lt;/DecisionNumberInCase&amp;gt;_x000d__x000a_      &amp;lt;/dt_Decision&amp;gt;_x000d__x000a_      &amp;lt;dt_DecisionCase diffgr:id=&amp;quot;dt_DecisionCase1&amp;quot; msdata:rowOrder=&amp;quot;0&amp;quot;&amp;gt;_x000d__x000a_        &amp;lt;DecisionID&amp;gt;151278021&amp;lt;/DecisionID&amp;gt;_x000d__x000a_        &amp;lt;CaseID&amp;gt;80857415&amp;lt;/CaseID&amp;gt;_x000d__x000a_        &amp;lt;IsOriginal&amp;gt;true&amp;lt;/IsOriginal&amp;gt;_x000d__x000a_        &amp;lt;IsDeleted&amp;gt;false&amp;lt;/IsDeleted&amp;gt;_x000d__x000a_        &amp;lt;CaseName&amp;gt;רום גבס חיפוי וקירוי (1997) בע&amp;quot;מ ואח&amp;#39; נ&amp;#39; פולדמיר בנין(1986) בע&amp;quot;מ ואח&amp;#39;&amp;lt;/CaseName&amp;gt;_x000d__x000a_        &amp;lt;CaseDisplayIdentifier&amp;gt;55847-12-23 ת&amp;quot;א&amp;lt;/CaseDisplayIdentifier&amp;gt;_x000d__x000a_      &amp;lt;/dt_DecisionCase&amp;gt;_x000d__x000a_      &amp;lt;dt_DecisionMotion diffgr:id=&amp;quot;dt_DecisionMotion1&amp;quot; msdata:rowOrder=&amp;quot;0&amp;quot;&amp;gt;_x000d__x000a_        &amp;lt;DecisionID&amp;gt;151278021&amp;lt;/DecisionID&amp;gt;_x000d__x000a_        &amp;lt;MotionID&amp;gt;107638970&amp;lt;/MotionID&amp;gt;_x000d__x000a_        &amp;lt;IsOriginalMotion&amp;gt;true&amp;lt;/IsOriginalMotion&amp;gt;_x000d__x000a_        &amp;lt;MotionName&amp;gt;בקשה של תובע 1 סעד זמני אחר&amp;lt;/MotionName&amp;gt;_x000d__x000a_        &amp;lt;MotionOpenDate&amp;gt;2024-03-28T13:25:34.563+02:00&amp;lt;/MotionOpenDate&amp;gt;_x000d__x000a_        &amp;lt;CaseID&amp;gt;80857415&amp;lt;/CaseID&amp;gt;_x000d__x000a_        &amp;lt;CaseDisplayIdentifier&amp;gt;55847-12-23 ת&amp;quot;א&amp;lt;/CaseDisplayIdentifier&amp;gt;_x000d__x000a_        &amp;lt;ProcessNumber&amp;gt;6&amp;lt;/ProcessNumber&amp;gt;_x000d__x000a_        &amp;lt;ListOfProcessIds&amp;gt;6&amp;lt;/ListOfProcessIds&amp;gt;_x000d__x000a_      &amp;lt;/dt_DecisionMotion&amp;gt;_x000d__x000a_    &amp;lt;/DecisionDS&amp;gt;_x000d__x000a_  &amp;lt;/diffgr:diffgram&amp;gt;_x000d__x000a_&amp;lt;/DecisionDS&amp;gt;"/>
    <w:docVar w:name="DecisionID" w:val="151278021"/>
    <w:docVar w:name="WordClientAssemblyName" w:val="NGCS.Decision.ClientWordBL"/>
    <w:docVar w:name="WordClientClassName" w:val="NGCS.Decision.ClientWordBL.DecisionClient"/>
  </w:docVars>
  <w:rsids>
    <w:rsidRoot w:val="00694556"/>
    <w:rsid w:val="00000062"/>
    <w:rsid w:val="0000226B"/>
    <w:rsid w:val="00005C8B"/>
    <w:rsid w:val="000529D2"/>
    <w:rsid w:val="000564AB"/>
    <w:rsid w:val="00064FBD"/>
    <w:rsid w:val="00082AB2"/>
    <w:rsid w:val="00085B2A"/>
    <w:rsid w:val="000906FE"/>
    <w:rsid w:val="00096AF7"/>
    <w:rsid w:val="000B344B"/>
    <w:rsid w:val="000C3B0F"/>
    <w:rsid w:val="000C3B60"/>
    <w:rsid w:val="000E0DD2"/>
    <w:rsid w:val="000E3AF1"/>
    <w:rsid w:val="000F0BC8"/>
    <w:rsid w:val="000F0DD6"/>
    <w:rsid w:val="00107E6D"/>
    <w:rsid w:val="0011194C"/>
    <w:rsid w:val="0011424C"/>
    <w:rsid w:val="001173C6"/>
    <w:rsid w:val="001367BC"/>
    <w:rsid w:val="00144D2A"/>
    <w:rsid w:val="0014653E"/>
    <w:rsid w:val="00180519"/>
    <w:rsid w:val="00191C82"/>
    <w:rsid w:val="001B48A4"/>
    <w:rsid w:val="001C37C0"/>
    <w:rsid w:val="001C3FD7"/>
    <w:rsid w:val="001C4003"/>
    <w:rsid w:val="001D3441"/>
    <w:rsid w:val="001D4DBF"/>
    <w:rsid w:val="001E75CA"/>
    <w:rsid w:val="001F5DB6"/>
    <w:rsid w:val="002265FF"/>
    <w:rsid w:val="00227DDF"/>
    <w:rsid w:val="002602EA"/>
    <w:rsid w:val="00271B56"/>
    <w:rsid w:val="002748AA"/>
    <w:rsid w:val="002808DD"/>
    <w:rsid w:val="00291593"/>
    <w:rsid w:val="002C344E"/>
    <w:rsid w:val="002E75E9"/>
    <w:rsid w:val="00307A6A"/>
    <w:rsid w:val="00307C40"/>
    <w:rsid w:val="00320433"/>
    <w:rsid w:val="003230C7"/>
    <w:rsid w:val="00327E50"/>
    <w:rsid w:val="0033597A"/>
    <w:rsid w:val="00343D89"/>
    <w:rsid w:val="00362612"/>
    <w:rsid w:val="0036743F"/>
    <w:rsid w:val="00370E18"/>
    <w:rsid w:val="003715DD"/>
    <w:rsid w:val="003763AB"/>
    <w:rsid w:val="003823E0"/>
    <w:rsid w:val="003A4521"/>
    <w:rsid w:val="003D1C8C"/>
    <w:rsid w:val="003D6D6D"/>
    <w:rsid w:val="0040096C"/>
    <w:rsid w:val="00414F1F"/>
    <w:rsid w:val="00420F0B"/>
    <w:rsid w:val="0043125D"/>
    <w:rsid w:val="0043502B"/>
    <w:rsid w:val="004443AC"/>
    <w:rsid w:val="00451E28"/>
    <w:rsid w:val="00462C62"/>
    <w:rsid w:val="00465D36"/>
    <w:rsid w:val="004A2CD8"/>
    <w:rsid w:val="004C17EE"/>
    <w:rsid w:val="004C4BDF"/>
    <w:rsid w:val="004D1187"/>
    <w:rsid w:val="004D3AA0"/>
    <w:rsid w:val="004E1987"/>
    <w:rsid w:val="004E2E15"/>
    <w:rsid w:val="004E6E3C"/>
    <w:rsid w:val="00520898"/>
    <w:rsid w:val="00521F38"/>
    <w:rsid w:val="00523621"/>
    <w:rsid w:val="00524986"/>
    <w:rsid w:val="005268F6"/>
    <w:rsid w:val="00534284"/>
    <w:rsid w:val="0054494A"/>
    <w:rsid w:val="00547DB7"/>
    <w:rsid w:val="005F4F09"/>
    <w:rsid w:val="0061431B"/>
    <w:rsid w:val="00617CEE"/>
    <w:rsid w:val="00622BAA"/>
    <w:rsid w:val="006306CF"/>
    <w:rsid w:val="00644E9A"/>
    <w:rsid w:val="00671BD5"/>
    <w:rsid w:val="006805C1"/>
    <w:rsid w:val="00686C21"/>
    <w:rsid w:val="006931C1"/>
    <w:rsid w:val="00694556"/>
    <w:rsid w:val="006C30C5"/>
    <w:rsid w:val="006D3B31"/>
    <w:rsid w:val="006E0D96"/>
    <w:rsid w:val="006E1A53"/>
    <w:rsid w:val="006F56E6"/>
    <w:rsid w:val="00704EDA"/>
    <w:rsid w:val="00721122"/>
    <w:rsid w:val="00744B1C"/>
    <w:rsid w:val="00753019"/>
    <w:rsid w:val="00754801"/>
    <w:rsid w:val="00774EE3"/>
    <w:rsid w:val="00795365"/>
    <w:rsid w:val="007A351D"/>
    <w:rsid w:val="007B7765"/>
    <w:rsid w:val="007C5BDD"/>
    <w:rsid w:val="007D45E3"/>
    <w:rsid w:val="007E6115"/>
    <w:rsid w:val="007F4609"/>
    <w:rsid w:val="008176A1"/>
    <w:rsid w:val="00820005"/>
    <w:rsid w:val="00844318"/>
    <w:rsid w:val="00863F5D"/>
    <w:rsid w:val="00870890"/>
    <w:rsid w:val="00873602"/>
    <w:rsid w:val="00875D12"/>
    <w:rsid w:val="008800CD"/>
    <w:rsid w:val="0088479D"/>
    <w:rsid w:val="00896889"/>
    <w:rsid w:val="008C5714"/>
    <w:rsid w:val="008D10B2"/>
    <w:rsid w:val="008D2BC0"/>
    <w:rsid w:val="008F7BAB"/>
    <w:rsid w:val="00903896"/>
    <w:rsid w:val="00906F3D"/>
    <w:rsid w:val="0094424E"/>
    <w:rsid w:val="00954C62"/>
    <w:rsid w:val="00955642"/>
    <w:rsid w:val="009622DF"/>
    <w:rsid w:val="00967DFF"/>
    <w:rsid w:val="00994341"/>
    <w:rsid w:val="009B4939"/>
    <w:rsid w:val="009B7685"/>
    <w:rsid w:val="009D1A48"/>
    <w:rsid w:val="009E0412"/>
    <w:rsid w:val="009E1CE7"/>
    <w:rsid w:val="009E4EA5"/>
    <w:rsid w:val="009E511A"/>
    <w:rsid w:val="009E70ED"/>
    <w:rsid w:val="009F164B"/>
    <w:rsid w:val="009F323C"/>
    <w:rsid w:val="00A3392B"/>
    <w:rsid w:val="00A61E74"/>
    <w:rsid w:val="00A94B64"/>
    <w:rsid w:val="00AA3229"/>
    <w:rsid w:val="00AA5041"/>
    <w:rsid w:val="00AA7596"/>
    <w:rsid w:val="00AB5E52"/>
    <w:rsid w:val="00AC3B02"/>
    <w:rsid w:val="00AC3B7B"/>
    <w:rsid w:val="00AC5209"/>
    <w:rsid w:val="00AD00A6"/>
    <w:rsid w:val="00AE729E"/>
    <w:rsid w:val="00AE7752"/>
    <w:rsid w:val="00AF7FDA"/>
    <w:rsid w:val="00B5356E"/>
    <w:rsid w:val="00B809AD"/>
    <w:rsid w:val="00B80CBD"/>
    <w:rsid w:val="00B86096"/>
    <w:rsid w:val="00B92830"/>
    <w:rsid w:val="00B95A71"/>
    <w:rsid w:val="00B964D9"/>
    <w:rsid w:val="00BA0A7C"/>
    <w:rsid w:val="00BA2DBD"/>
    <w:rsid w:val="00BA517C"/>
    <w:rsid w:val="00BB3D05"/>
    <w:rsid w:val="00BB73BE"/>
    <w:rsid w:val="00BC2D89"/>
    <w:rsid w:val="00BD6531"/>
    <w:rsid w:val="00BE05B2"/>
    <w:rsid w:val="00BE44F6"/>
    <w:rsid w:val="00BF1908"/>
    <w:rsid w:val="00BF7F3B"/>
    <w:rsid w:val="00C22D93"/>
    <w:rsid w:val="00C31120"/>
    <w:rsid w:val="00C34482"/>
    <w:rsid w:val="00C43648"/>
    <w:rsid w:val="00C50A9F"/>
    <w:rsid w:val="00C53EB8"/>
    <w:rsid w:val="00C642FA"/>
    <w:rsid w:val="00C65565"/>
    <w:rsid w:val="00C70602"/>
    <w:rsid w:val="00C765C1"/>
    <w:rsid w:val="00C974DE"/>
    <w:rsid w:val="00CC7622"/>
    <w:rsid w:val="00CD608F"/>
    <w:rsid w:val="00D27982"/>
    <w:rsid w:val="00D33B86"/>
    <w:rsid w:val="00D42C4F"/>
    <w:rsid w:val="00D53924"/>
    <w:rsid w:val="00D55D0C"/>
    <w:rsid w:val="00D627CF"/>
    <w:rsid w:val="00D71462"/>
    <w:rsid w:val="00D74378"/>
    <w:rsid w:val="00D93025"/>
    <w:rsid w:val="00D96D8C"/>
    <w:rsid w:val="00DA5C48"/>
    <w:rsid w:val="00DA6649"/>
    <w:rsid w:val="00DC1259"/>
    <w:rsid w:val="00DC1BD2"/>
    <w:rsid w:val="00DC2571"/>
    <w:rsid w:val="00DC487C"/>
    <w:rsid w:val="00DE6BF6"/>
    <w:rsid w:val="00DF1241"/>
    <w:rsid w:val="00E1068A"/>
    <w:rsid w:val="00E25884"/>
    <w:rsid w:val="00E25B55"/>
    <w:rsid w:val="00E31C2B"/>
    <w:rsid w:val="00E3654F"/>
    <w:rsid w:val="00E37181"/>
    <w:rsid w:val="00E5426A"/>
    <w:rsid w:val="00E54642"/>
    <w:rsid w:val="00E7038D"/>
    <w:rsid w:val="00E80CBE"/>
    <w:rsid w:val="00E962E3"/>
    <w:rsid w:val="00EB6C79"/>
    <w:rsid w:val="00EC37E9"/>
    <w:rsid w:val="00EC47B6"/>
    <w:rsid w:val="00F06995"/>
    <w:rsid w:val="00F13623"/>
    <w:rsid w:val="00F44D1D"/>
    <w:rsid w:val="00F84B6D"/>
    <w:rsid w:val="00F872D3"/>
    <w:rsid w:val="00FA4EAF"/>
    <w:rsid w:val="00FA5FDA"/>
    <w:rsid w:val="00FB549E"/>
    <w:rsid w:val="00FB6AB3"/>
    <w:rsid w:val="00FD1419"/>
    <w:rsid w:val="00FD79E4"/>
    <w:rsid w:val="00FE2894"/>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 w:type="paragraph" w:styleId="ad">
    <w:name w:val="List Paragraph"/>
    <w:basedOn w:val="a"/>
    <w:uiPriority w:val="34"/>
    <w:qFormat/>
    <w:rsid w:val="008F7BAB"/>
    <w:pPr>
      <w:spacing w:after="160" w:line="256" w:lineRule="auto"/>
      <w:ind w:left="720"/>
      <w:contextualSpacing/>
    </w:pPr>
    <w:rPr>
      <w:rFonts w:asciiTheme="minorHAnsi" w:eastAsiaTheme="minorHAnsi" w:hAnsiTheme="minorHAnsi" w:cstheme="minorBidi"/>
      <w:noProof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 w:id="1818493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3E1A82" w:rsidP="003E1A82">
          <w:pPr>
            <w:pStyle w:val="E460D38E05664FF79D4EFF282EF8EC9918"/>
          </w:pPr>
          <w:r>
            <w:rPr>
              <w:rFonts w:hint="cs"/>
              <w:rtl/>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A4ACE"/>
    <w:rsid w:val="002D02C4"/>
    <w:rsid w:val="002E734C"/>
    <w:rsid w:val="00334638"/>
    <w:rsid w:val="00345C9D"/>
    <w:rsid w:val="003E1A82"/>
    <w:rsid w:val="0048651F"/>
    <w:rsid w:val="00556D67"/>
    <w:rsid w:val="00793995"/>
    <w:rsid w:val="007C6F98"/>
    <w:rsid w:val="007E254A"/>
    <w:rsid w:val="008B4366"/>
    <w:rsid w:val="009133C7"/>
    <w:rsid w:val="009178E4"/>
    <w:rsid w:val="00961B27"/>
    <w:rsid w:val="00AA7CE3"/>
    <w:rsid w:val="00B91FA3"/>
    <w:rsid w:val="00C96C06"/>
    <w:rsid w:val="00CF21BB"/>
    <w:rsid w:val="00E31BF6"/>
    <w:rsid w:val="00E81DB1"/>
    <w:rsid w:val="00F04DC1"/>
    <w:rsid w:val="00F4674E"/>
    <w:rsid w:val="00F678C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E1A82"/>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334638"/>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334638"/>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334638"/>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334638"/>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334638"/>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334638"/>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334638"/>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4674E"/>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4674E"/>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4674E"/>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4674E"/>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4674E"/>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4674E"/>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4674E"/>
    <w:pPr>
      <w:bidi/>
      <w:spacing w:after="0" w:line="240" w:lineRule="auto"/>
    </w:pPr>
    <w:rPr>
      <w:rFonts w:ascii="Times New Roman" w:eastAsia="Times New Roman" w:hAnsi="Times New Roman" w:cs="David"/>
      <w:noProof/>
      <w:sz w:val="24"/>
      <w:szCs w:val="24"/>
    </w:rPr>
  </w:style>
  <w:style w:type="paragraph" w:customStyle="1" w:styleId="116EBBD5A99E4E519EE4A5661D82C50E4">
    <w:name w:val="116EBBD5A99E4E519EE4A5661D82C50E4"/>
    <w:rsid w:val="002E734C"/>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2E734C"/>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2E734C"/>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2E734C"/>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2E734C"/>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2E734C"/>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2E734C"/>
    <w:pPr>
      <w:bidi/>
      <w:spacing w:after="0" w:line="240" w:lineRule="auto"/>
    </w:pPr>
    <w:rPr>
      <w:rFonts w:ascii="Times New Roman" w:eastAsia="Times New Roman" w:hAnsi="Times New Roman" w:cs="David"/>
      <w:noProof/>
      <w:sz w:val="24"/>
      <w:szCs w:val="24"/>
    </w:rPr>
  </w:style>
  <w:style w:type="paragraph" w:customStyle="1" w:styleId="116EBBD5A99E4E519EE4A5661D82C50E5">
    <w:name w:val="116EBBD5A99E4E519EE4A5661D82C50E5"/>
    <w:rsid w:val="003E1A82"/>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3E1A82"/>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3E1A82"/>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3E1A82"/>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3E1A82"/>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3E1A82"/>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3E1A82"/>
    <w:pPr>
      <w:bidi/>
      <w:spacing w:after="0" w:line="240" w:lineRule="auto"/>
    </w:pPr>
    <w:rPr>
      <w:rFonts w:ascii="Times New Roman" w:eastAsia="Times New Roman" w:hAnsi="Times New Roman" w:cs="David"/>
      <w:noProof/>
      <w:sz w:val="24"/>
      <w:szCs w:val="24"/>
    </w:rPr>
  </w:style>
  <w:style w:type="paragraph" w:customStyle="1" w:styleId="116EBBD5A99E4E519EE4A5661D82C50E6">
    <w:name w:val="116EBBD5A99E4E519EE4A5661D82C50E6"/>
    <w:rsid w:val="003E1A8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3E1A8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3E1A8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3E1A8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3E1A8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3E1A82"/>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DecisionTemplateDS>
  <dt_Decision>
    <DecisionID>0</DecisionID>
    <CaseID>80857415</CaseID>
    <CaseJudicialPersonPresentationDS>
      <CaseJudicalPersonActive>
        <CaseID>80857415</CaseID>
        <MotionID>107638970</MotionID>
        <JudicialPersonID>055503858@GOV.IL</JudicialPersonID>
        <JudicialPersonTypeID>1</JudicialPersonTypeID>
        <JudicialTypeID>1</JudicialTypeID>
        <IsChairman>false</IsChairman>
        <TreatmentStartDate>2024-03-28T13:36:33.47+02:00</TreatmentStartDate>
        <TreatmentFinishDate>9999-12-31T23:59:59.997+02:00</TreatmentFinishDate>
        <IdentificationCardNumber>055503858</IdentificationCardNumber>
        <DisplayName>אירית קלמן ברום</DisplayName>
        <JudicialTypeName>שופט</JudicialTypeName>
        <CaseJudicialGroupNumber>0</CaseJudicialGroupNumber>
        <FirstName>אירית</FirstName>
        <LastName>קלמן ברום</LastName>
        <JudicialPersonTitle>שופט</JudicialPersonTitle>
      </CaseJudicalPersonActive>
    </CaseJudicialPersonPresentationDS>
    <CasePartiesSelectionDS>
      <CaseParties>
        <PartyTypeName>בא כוח</PartyTypeName>
        <ProceedingType>כתב טענות עיקרי</ProceedingType>
        <PleaName>כתב תביעה</PleaName>
        <PartyBelonging> - </PartyBelonging>
        <RoleName>בא כוח נתבעים</RoleName>
        <IsSubProceeding>FALSE</IsSubProceeding>
        <FullName>אבי שרף</FullName>
        <FirstName>אבי</FirstName>
        <LastName>שרף</LastName>
        <PartyPropertyName/>
        <AuthenticationTypeAndNumber>מ.ר. 16957</AuthenticationTypeAndNumber>
        <RepresentatedOrRepresentativesNames xml:space="preserve"> </RepresentatedOrRepresentativesNames>
        <RepresentatedOrRepresentativesCount>2</RepresentatedOrRepresentativesCount>
        <InvitedBy/>
        <CaseID>80857415</CaseID>
        <CaseJudicialPersonPresentationDS>
          <CaseJudicalPersonActive>
            <CaseID>80857415</CaseID>
            <MotionID>107638970</MotionID>
            <JudicialPersonID>055503858@GOV.IL</JudicialPersonID>
            <JudicialPersonTypeID>1</JudicialPersonTypeID>
            <JudicialTypeID>1</JudicialTypeID>
            <IsChairman>false</IsChairman>
            <TreatmentStartDate>2024-03-28T13:36:33.47+02:00</TreatmentStartDate>
            <TreatmentFinishDate>9999-12-31T23:59:59.997+02:00</TreatmentFinishDate>
            <IdentificationCardNumber>055503858</IdentificationCardNumber>
            <DisplayName>אירית קלמן ברום</DisplayName>
            <JudicialTypeName>שופט</JudicialTypeName>
            <CaseJudicialGroupNumber>0</CaseJudicialGroupNumber>
            <FirstName>אירית</FirstName>
            <LastName>קלמן ברום</LastName>
            <JudicialPersonTitle>שופט</JudicialPersonTitle>
          </CaseJudicalPersonActive>
        </CaseJudicialPersonPresentationDS>
        <CasePartyID>267025545</CasePartyID>
        <PartyTypeID>2</PartyTypeID>
        <ActivityStatusID>1</ActivityStatusID>
        <PartyAliasID>21</PartyAliasID>
        <PartyAliasName>בא כוח נתבעים</PartyAliasName>
        <LegalEntityID>384090</LegalEntityID>
        <CaseLegalEntityID>127965428</CaseLegalEntityID>
        <AuthenticationTypeID>4</AuthenticationTypeID>
        <AuthenticationTypeName>מ.ר.</AuthenticationTypeName>
        <LegalEntityNumber>16957</LegalEntityNumber>
        <IsMainPartyType>true</IsMainPartyType>
        <CaseDisplayIdentifier>55847-12-23</CaseDisplayIdentifier>
        <CaseTypeID>1</CaseTypeID>
        <CaseTypeName>תיק אזרחי בסדר דין רגיל (ת"א)</CaseTypeName>
        <CaseName>רום גבס חיפוי וקירוי (1997) בע"מ ואח' נ' פולדמיר בנין(1986) בע"מ ואח'</CaseName>
        <FullAddress>הארבעה 28 תל אביב -יפו מגדל צפוני, קומה 5</FullAddress>
        <EmailAddress>Scharf@zsjlaw.co.il</EmailAddress>
        <MotionID>0</MotionID>
        <CasePleaID>0</CasePleaID>
        <FatherName xml:space="preserve">        </FatherName>
        <LinkedCaseID>0</LinkedCaseID>
        <PartyID>2</PartyID>
        <CasePartyCategoryID>2</CasePartyCategoryID>
        <LegalEntityAddressID>88835668</LegalEntityAddressID>
        <LegalEntityEmailAddressID>68342745</LegalEntityEmailAddressID>
        <PleaTypeID>4</PleaTypeID>
        <LawyerOfficeName>משרד עו"ד:  ספרן, שרף ושות'</LawyerOfficeName>
        <LawyerOfficeID>424699</LawyerOfficeID>
        <GroupPartyAlias/>
        <IsConverted>false</IsConverted>
        <LegalEntityNameID>5074</LegalEntityNameID>
        <RepresentatedNamesOfAssistant/>
        <LegalEntityTypeID>4</LegalEntityTypeID>
        <IsVerdictExists>false</IsVerdictExists>
        <IsAsirAzir>false</IsAsirAzir>
        <IsPublicationProhibited>false</IsPublicationProhibited>
        <PublicationProhibitedFullName>אבי שרף</PublicationProhibitedFullName>
      </CaseParties>
      <CaseParties>
        <PartyTypeName>צד</PartyTypeName>
        <ProceedingType>בקשות</ProceedingType>
        <PleaName>בקשה של תובע 1 סעד זמני אחר</PleaName>
        <PartyBelonging>צד א'</PartyBelonging>
        <RoleName>מבקש 1</RoleName>
        <IsSubProceeding>TRUE</IsSubProceeding>
        <FullName>רום גבס חיפוי וקירוי (1997) בע"מ</FullName>
        <LastName>רום גבס חיפוי וקירוי (1997) בע"מ</LastName>
        <PartyPropertyName/>
        <AuthenticationTypeAndNumber>חברות 512476938</AuthenticationTypeAndNumber>
        <RepresentatedOrRepresentativesNames>דורון דן</RepresentatedOrRepresentativesNames>
        <RepresentatedOrRepresentativesCount>1</RepresentatedOrRepresentativesCount>
        <InvitedBy/>
        <CaseID>80857415</CaseID>
        <CaseJudicialPersonPresentationDS>
          <CaseJudicalPersonActive>
            <CaseID>80857415</CaseID>
            <MotionID>107638970</MotionID>
            <JudicialPersonID>055503858@GOV.IL</JudicialPersonID>
            <JudicialPersonTypeID>1</JudicialPersonTypeID>
            <JudicialTypeID>1</JudicialTypeID>
            <IsChairman>false</IsChairman>
            <TreatmentStartDate>2024-03-28T13:36:33.47+02:00</TreatmentStartDate>
            <TreatmentFinishDate>9999-12-31T23:59:59.997+02:00</TreatmentFinishDate>
            <IdentificationCardNumber>055503858</IdentificationCardNumber>
            <DisplayName>אירית קלמן ברום</DisplayName>
            <JudicialTypeName>שופט</JudicialTypeName>
            <CaseJudicialGroupNumber>0</CaseJudicialGroupNumber>
            <FirstName>אירית</FirstName>
            <LastName>קלמן ברום</LastName>
            <JudicialPersonTitle>שופט</JudicialPersonTitle>
          </CaseJudicalPersonActive>
        </CaseJudicialPersonPresentationDS>
        <CasePartyID>268323544</CasePartyID>
        <PartyTypeID>1</PartyTypeID>
        <ActivityStatusID>1</ActivityStatusID>
        <PartyAliasID>3</PartyAliasID>
        <PartyAliasName>מבקש</PartyAliasName>
        <OrdinalNumber>1</OrdinalNumber>
        <LegalEntityID>252713</LegalEntityID>
        <CaseLegalEntityID>127121241</CaseLegalEntityID>
        <AuthenticationTypeID>3</AuthenticationTypeID>
        <AuthenticationTypeName>חברות</AuthenticationTypeName>
        <LegalEntityNumber>512476938</LegalEntityNumber>
        <IsMainPartyType>false</IsMainPartyType>
        <CaseDisplayIdentifier>55847-12-23</CaseDisplayIdentifier>
        <CaseTypeID>1</CaseTypeID>
        <CaseTypeName>תיק אזרחי בסדר דין רגיל (ת"א)</CaseTypeName>
        <CaseName>רום גבס חיפוי וקירוי (1997) בע"מ ואח' נ' פולדמיר בנין(1986) בע"מ ואח'</CaseName>
        <FullAddress>ירושלים 34 רעננה </FullAddress>
        <MotionID>107638970</MotionID>
        <CasePleaID>0</CasePleaID>
        <LinkedCaseID>0</LinkedCaseID>
        <PartyID>1</PartyID>
        <CasePartyCategoryID>4</CasePartyCategoryID>
        <LegalEntityAddressID>72749923</LegalEntityAddressID>
        <PleaTypeID>60</PleaTypeID>
        <GroupPartyAlias>מבקשים</GroupPartyAlias>
        <IsConverted>false</IsConverted>
        <LegalEntityRegisteredNameID>201848</LegalEntityRegisteredNameID>
        <RepresentatedNamesOfAssistant/>
        <LegalEntityTypeID>3</LegalEntityTypeID>
        <IsVerdictExists>false</IsVerdictExists>
        <IsAsirAzir>false</IsAsirAzir>
        <IsPublicationProhibited>false</IsPublicationProhibited>
        <PublicationProhibitedFullName>רום גבס חיפוי וקירוי (1997) בע"מ</PublicationProhibitedFullName>
      </CaseParties>
      <CaseParties>
        <PartyTypeName>צד</PartyTypeName>
        <ProceedingType>בקשות</ProceedingType>
        <PleaName>בקשה של תובע 1 סעד זמני אחר</PleaName>
        <PartyBelonging>צד ב'</PartyBelonging>
        <RoleName>משיב 1</RoleName>
        <IsSubProceeding>TRUE</IsSubProceeding>
        <FullName>פולדמיר בנין(1986) בע"מ</FullName>
        <LastName>פולדמיר בנין(1986) בע"מ</LastName>
        <PartyPropertyName/>
        <AuthenticationTypeAndNumber>חברות 511122129</AuthenticationTypeAndNumber>
        <RepresentatedOrRepresentativesNames>אורית טובים, אבי שרף</RepresentatedOrRepresentativesNames>
        <RepresentatedOrRepresentativesCount>2</RepresentatedOrRepresentativesCount>
        <InvitedBy/>
        <CaseID>80857415</CaseID>
        <CaseJudicialPersonPresentationDS>
          <CaseJudicalPersonActive>
            <CaseID>80857415</CaseID>
            <MotionID>107638970</MotionID>
            <JudicialPersonID>055503858@GOV.IL</JudicialPersonID>
            <JudicialPersonTypeID>1</JudicialPersonTypeID>
            <JudicialTypeID>1</JudicialTypeID>
            <IsChairman>false</IsChairman>
            <TreatmentStartDate>2024-03-28T13:36:33.47+02:00</TreatmentStartDate>
            <TreatmentFinishDate>9999-12-31T23:59:59.997+02:00</TreatmentFinishDate>
            <IdentificationCardNumber>055503858</IdentificationCardNumber>
            <DisplayName>אירית קלמן ברום</DisplayName>
            <JudicialTypeName>שופט</JudicialTypeName>
            <CaseJudicialGroupNumber>0</CaseJudicialGroupNumber>
            <FirstName>אירית</FirstName>
            <LastName>קלמן ברום</LastName>
            <JudicialPersonTitle>שופט</JudicialPersonTitle>
          </CaseJudicalPersonActive>
        </CaseJudicialPersonPresentationDS>
        <CasePartyID>268323545</CasePartyID>
        <PartyTypeID>1</PartyTypeID>
        <ActivityStatusID>1</ActivityStatusID>
        <PartyAliasID>4</PartyAliasID>
        <PartyAliasName>משיב</PartyAliasName>
        <OrdinalNumber>1</OrdinalNumber>
        <LegalEntityID>98831</LegalEntityID>
        <CaseLegalEntityID>127121240</CaseLegalEntityID>
        <AuthenticationTypeID>3</AuthenticationTypeID>
        <AuthenticationTypeName>חברות</AuthenticationTypeName>
        <LegalEntityNumber>511122129</LegalEntityNumber>
        <IsMainPartyType>false</IsMainPartyType>
        <CaseDisplayIdentifier>55847-12-23</CaseDisplayIdentifier>
        <CaseTypeID>1</CaseTypeID>
        <CaseTypeName>תיק אזרחי בסדר דין רגיל (ת"א)</CaseTypeName>
        <CaseName>רום גבס חיפוי וקירוי (1997) בע"מ ואח' נ' פולדמיר בנין(1986) בע"מ ואח'</CaseName>
        <FullAddress>מרבד הקסמים 8 גדרה </FullAddress>
        <MotionID>107638970</MotionID>
        <CasePleaID>0</CasePleaID>
        <LinkedCaseID>0</LinkedCaseID>
        <PartyID>2</PartyID>
        <CasePartyCategoryID>4</CasePartyCategoryID>
        <LegalEntityAddressID>76446165</LegalEntityAddressID>
        <PleaTypeID>60</PleaTypeID>
        <GroupPartyAlias>משיבים</GroupPartyAlias>
        <IsConverted>false</IsConverted>
        <LegalEntityRegisteredNameID>97974</LegalEntityRegisteredNameID>
        <RepresentatedNamesOfAssistant/>
        <LegalEntityTypeID>3</LegalEntityTypeID>
        <IsVerdictExists>false</IsVerdictExists>
        <IsAsirAzir>false</IsAsirAzir>
        <IsPublicationProhibited>false</IsPublicationProhibited>
        <PublicationProhibitedFullName>פולדמיר בנין(1986) בע"מ</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דורון דן</FullName>
        <FirstName>דורון</FirstName>
        <LastName>דן</LastName>
        <PartyPropertyName/>
        <AuthenticationTypeAndNumber>מ.ר. 12681</AuthenticationTypeAndNumber>
        <RepresentatedOrRepresentativesNames xml:space="preserve"> </RepresentatedOrRepresentativesNames>
        <RepresentatedOrRepresentativesCount>1</RepresentatedOrRepresentativesCount>
        <InvitedBy/>
        <CaseID>80857415</CaseID>
        <CaseJudicialPersonPresentationDS>
          <CaseJudicalPersonActive>
            <CaseID>80857415</CaseID>
            <MotionID>107638970</MotionID>
            <JudicialPersonID>055503858@GOV.IL</JudicialPersonID>
            <JudicialPersonTypeID>1</JudicialPersonTypeID>
            <JudicialTypeID>1</JudicialTypeID>
            <IsChairman>false</IsChairman>
            <TreatmentStartDate>2024-03-28T13:36:33.47+02:00</TreatmentStartDate>
            <TreatmentFinishDate>9999-12-31T23:59:59.997+02:00</TreatmentFinishDate>
            <IdentificationCardNumber>055503858</IdentificationCardNumber>
            <DisplayName>אירית קלמן ברום</DisplayName>
            <JudicialTypeName>שופט</JudicialTypeName>
            <CaseJudicialGroupNumber>0</CaseJudicialGroupNumber>
            <FirstName>אירית</FirstName>
            <LastName>קלמן ברום</LastName>
            <JudicialPersonTitle>שופט</JudicialPersonTitle>
          </CaseJudicalPersonActive>
        </CaseJudicialPersonPresentationDS>
        <CasePartyID>264150646</CasePartyID>
        <PartyTypeID>2</PartyTypeID>
        <ActivityStatusID>1</ActivityStatusID>
        <PartyAliasID>20</PartyAliasID>
        <PartyAliasName>בא כוח תובעים</PartyAliasName>
        <OrdinalNumber>1</OrdinalNumber>
        <LegalEntityID>383374</LegalEntityID>
        <CaseLegalEntityID>127121242</CaseLegalEntityID>
        <AuthenticationTypeID>4</AuthenticationTypeID>
        <AuthenticationTypeName>מ.ר.</AuthenticationTypeName>
        <LegalEntityNumber>12681</LegalEntityNumber>
        <IsMainPartyType>true</IsMainPartyType>
        <CaseDisplayIdentifier>55847-12-23</CaseDisplayIdentifier>
        <CaseTypeID>1</CaseTypeID>
        <CaseTypeName>תיק אזרחי בסדר דין רגיל (ת"א)</CaseTypeName>
        <CaseName>רום גבס חיפוי וקירוי (1997) בע"מ ואח' נ' פולדמיר בנין(1986) בע"מ ואח'</CaseName>
        <FullAddress>יהודה הלוי 23 תל אביב -יפו </FullAddress>
        <EmailAddress>oritc@wblaw.co.il</EmailAddress>
        <MotionID>0</MotionID>
        <CasePleaID>0</CasePleaID>
        <LinkedCaseID>0</LinkedCaseID>
        <PartyID>1</PartyID>
        <CasePartyCategoryID>2</CasePartyCategoryID>
        <LegalEntityAddressID>80754521</LegalEntityAddressID>
        <LegalEntityEmailAddressID>68226832</LegalEntityEmailAddressID>
        <PleaTypeID>4</PleaTypeID>
        <LawyerOfficeName>משרד עו"ד: וקסלר ברגמן ושות'</LawyerOfficeName>
        <LawyerOfficeID>424018</LawyerOfficeID>
        <GroupPartyAlias/>
        <IsConverted>false</IsConverted>
        <LegalEntityNameID>4358</LegalEntityNameID>
        <RepresentatedNamesOfAssistant/>
        <LegalEntityTypeID>4</LegalEntityTypeID>
        <IsVerdictExists>false</IsVerdictExists>
        <IsAsirAzir>false</IsAsirAzir>
        <IsPublicationProhibited>false</IsPublicationProhibited>
        <PublicationProhibitedFullName>דורון דן</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אורית טובים</FullName>
        <FirstName>אורית</FirstName>
        <LastName>טובים</LastName>
        <PartyPropertyName/>
        <AuthenticationTypeAndNumber>מ.ר. 48904</AuthenticationTypeAndNumber>
        <RepresentatedOrRepresentativesNames xml:space="preserve"> </RepresentatedOrRepresentativesNames>
        <RepresentatedOrRepresentativesCount>2</RepresentatedOrRepresentativesCount>
        <InvitedBy/>
        <CaseID>80857415</CaseID>
        <CaseJudicialPersonPresentationDS>
          <CaseJudicalPersonActive>
            <CaseID>80857415</CaseID>
            <MotionID>107638970</MotionID>
            <JudicialPersonID>055503858@GOV.IL</JudicialPersonID>
            <JudicialPersonTypeID>1</JudicialPersonTypeID>
            <JudicialTypeID>1</JudicialTypeID>
            <IsChairman>false</IsChairman>
            <TreatmentStartDate>2024-03-28T13:36:33.47+02:00</TreatmentStartDate>
            <TreatmentFinishDate>9999-12-31T23:59:59.997+02:00</TreatmentFinishDate>
            <IdentificationCardNumber>055503858</IdentificationCardNumber>
            <DisplayName>אירית קלמן ברום</DisplayName>
            <JudicialTypeName>שופט</JudicialTypeName>
            <CaseJudicialGroupNumber>0</CaseJudicialGroupNumber>
            <FirstName>אירית</FirstName>
            <LastName>קלמן ברום</LastName>
            <JudicialPersonTitle>שופט</JudicialPersonTitle>
          </CaseJudicalPersonActive>
        </CaseJudicialPersonPresentationDS>
        <CasePartyID>266883067</CasePartyID>
        <PartyTypeID>2</PartyTypeID>
        <ActivityStatusID>1</ActivityStatusID>
        <PartyAliasID>21</PartyAliasID>
        <PartyAliasName>בא כוח נתבעים</PartyAliasName>
        <OrdinalNumber>1</OrdinalNumber>
        <LegalEntityID>15876912</LegalEntityID>
        <CaseLegalEntityID>127925146</CaseLegalEntityID>
        <AuthenticationTypeID>4</AuthenticationTypeID>
        <AuthenticationTypeName>מ.ר.</AuthenticationTypeName>
        <LegalEntityNumber>48904</LegalEntityNumber>
        <IsMainPartyType>true</IsMainPartyType>
        <CaseDisplayIdentifier>55847-12-23</CaseDisplayIdentifier>
        <CaseTypeID>1</CaseTypeID>
        <CaseTypeName>תיק אזרחי בסדר דין רגיל (ת"א)</CaseTypeName>
        <CaseName>רום גבס חיפוי וקירוי (1997) בע"מ ואח' נ' פולדמיר בנין(1986) בע"מ ואח'</CaseName>
        <FullAddress>ברקוביץ 4 תל אביב -יפו </FullAddress>
        <EmailAddress>orit@tovim-law.co.il</EmailAddress>
        <MotionID>0</MotionID>
        <CasePleaID>0</CasePleaID>
        <LinkedCaseID>0</LinkedCaseID>
        <PartyID>2</PartyID>
        <CasePartyCategoryID>2</CasePartyCategoryID>
        <LegalEntityAddressID>88064247</LegalEntityAddressID>
        <LegalEntityEmailAddressID>67973547</LegalEntityEmailAddressID>
        <PleaTypeID>4</PleaTypeID>
        <GroupPartyAlias/>
        <IsConverted>false</IsConverted>
        <LegalEntityNameID>17547404</LegalEntityNameID>
        <RepresentatedNamesOfAssistant/>
        <LegalEntityTypeID>4</LegalEntityTypeID>
        <IsVerdictExists>false</IsVerdictExists>
        <IsAsirAzir>false</IsAsirAzir>
        <IsPublicationProhibited>false</IsPublicationProhibited>
        <PublicationProhibitedFullName>אורית טובים</PublicationProhibitedFullName>
      </CaseParties>
      <CaseParties>
        <PartyTypeName>צד</PartyTypeName>
        <ProceedingType>בקשות</ProceedingType>
        <PleaName>בקשה של תובע 1 סעד זמני אחר</PleaName>
        <PartyBelonging>צד ב'</PartyBelonging>
        <RoleName>משיב 2</RoleName>
        <IsSubProceeding>TRUE</IsSubProceeding>
        <FullName>לסיכו בעמ</FullName>
        <LastName>לסיכו בעמ</LastName>
        <PartyPropertyName/>
        <AuthenticationTypeAndNumber>חברות 510512056</AuthenticationTypeAndNumber>
        <RepresentatedOrRepresentativesNames>אורית טובים, אבי שרף</RepresentatedOrRepresentativesNames>
        <RepresentatedOrRepresentativesCount>2</RepresentatedOrRepresentativesCount>
        <InvitedBy/>
        <CaseID>80857415</CaseID>
        <CaseJudicialPersonPresentationDS>
          <CaseJudicalPersonActive>
            <CaseID>80857415</CaseID>
            <MotionID>107638970</MotionID>
            <JudicialPersonID>055503858@GOV.IL</JudicialPersonID>
            <JudicialPersonTypeID>1</JudicialPersonTypeID>
            <JudicialTypeID>1</JudicialTypeID>
            <IsChairman>false</IsChairman>
            <TreatmentStartDate>2024-03-28T13:36:33.47+02:00</TreatmentStartDate>
            <TreatmentFinishDate>9999-12-31T23:59:59.997+02:00</TreatmentFinishDate>
            <IdentificationCardNumber>055503858</IdentificationCardNumber>
            <DisplayName>אירית קלמן ברום</DisplayName>
            <JudicialTypeName>שופט</JudicialTypeName>
            <CaseJudicialGroupNumber>0</CaseJudicialGroupNumber>
            <FirstName>אירית</FirstName>
            <LastName>קלמן ברום</LastName>
            <JudicialPersonTitle>שופט</JudicialPersonTitle>
          </CaseJudicalPersonActive>
        </CaseJudicialPersonPresentationDS>
        <CasePartyID>268323546</CasePartyID>
        <PartyTypeID>1</PartyTypeID>
        <ActivityStatusID>1</ActivityStatusID>
        <PartyAliasID>4</PartyAliasID>
        <PartyAliasName>משיב</PartyAliasName>
        <OrdinalNumber>2</OrdinalNumber>
        <LegalEntityID>43180</LegalEntityID>
        <CaseLegalEntityID>127121243</CaseLegalEntityID>
        <AuthenticationTypeID>3</AuthenticationTypeID>
        <AuthenticationTypeName>חברות</AuthenticationTypeName>
        <LegalEntityNumber>510512056</LegalEntityNumber>
        <IsMainPartyType>false</IsMainPartyType>
        <CaseDisplayIdentifier>55847-12-23</CaseDisplayIdentifier>
        <CaseTypeID>1</CaseTypeID>
        <CaseTypeName>תיק אזרחי בסדר דין רגיל (ת"א)</CaseTypeName>
        <CaseName>רום גבס חיפוי וקירוי (1997) בע"מ ואח' נ' פולדמיר בנין(1986) בע"מ ואח'</CaseName>
        <FullAddress>שד ירושלים 152 חולון </FullAddress>
        <EmailAddress>lesico@lesico.com</EmailAddress>
        <MotionID>107638970</MotionID>
        <CasePleaID>0</CasePleaID>
        <FatherName xml:space="preserve">        </FatherName>
        <LinkedCaseID>0</LinkedCaseID>
        <PartyID>2</PartyID>
        <CasePartyCategoryID>4</CasePartyCategoryID>
        <LegalEntityAddressID>77321238</LegalEntityAddressID>
        <LegalEntityEmailAddressID>68109477</LegalEntityEmailAddressID>
        <PleaTypeID>60</PleaTypeID>
        <GroupPartyAlias>משיבים</GroupPartyAlias>
        <IsConverted>false</IsConverted>
        <LegalEntityRegisteredNameID>42326</LegalEntityRegisteredNameID>
        <RepresentatedNamesOfAssistant/>
        <LegalEntityTypeID>3</LegalEntityTypeID>
        <IsVerdictExists>false</IsVerdictExists>
        <IsAsirAzir>false</IsAsirAzir>
        <IsPublicationProhibited>false</IsPublicationProhibited>
        <PublicationProhibitedFullName>לסיכו בעמ</PublicationProhibitedFullName>
      </CaseParties>
    </CasePartiesSelectionDS>
    <DecisionName>החלטה</DecisionName>
    <CourtDisplayName>בית המשפט המחוזי בתל אביב -יפו</CourtDisplayName>
    <IsCaseJudgePanel>false</IsCaseJudgePanel>
    <DecisionSignatureDate>2024-04-21T12:15:52.5238747+03:00</DecisionSignatureDate>
    <OpenCaseDate>2023-12-26T12:36:00+02:00</OpenCaseDate>
    <CaseFeeSum>13118791.900</CaseFeeSum>
    <DecisionTypeID>1</DecisionTypeID>
    <DecisionSignatureUserName>אירית קלמן ברום</DecisionSignatureUserName>
    <MotionID>107638970</MotionID>
    <DecisionSignatureDateHebrew>2024-04-21T12:15:52.5238747+03:00</DecisionSignatureDateHebrew>
    <MotionNumber>6</MotionNumber>
    <DecisionWriterID>055503858@GOV.IL</DecisionWriterID>
    <CourtAddress>רח' ויצמן  1 היכל המשפט, תל אביב -יפו 64239</CourtAddress>
    <IsAutoTextInCaseExist>false</IsAutoTextInCaseExist>
    <DecisionSignatureRoleName>שופט</DecisionSignatureRoleName>
    <DecisionSignatureUserTitleName>שופטת</DecisionSignatureUserTitleName>
    <CaseName>רום גבס חיפוי וקירוי (1997) בע"מ ואח' נ' פולדמיר בנין(1986) בע"מ ואח'</CaseName>
    <DecisionNumberInCase>7</DecisionNumberInCase>
  </dt_Decision>
  <dt_DecisionCase>
    <DecisionID>0</DecisionID>
    <CaseID>80857415</CaseID>
    <CaseJudicialPersonPresentationDS>
      <CaseJudicalPersonActive>
        <CaseID>80857415</CaseID>
        <MotionID>107638970</MotionID>
        <JudicialPersonID>055503858@GOV.IL</JudicialPersonID>
        <JudicialPersonTypeID>1</JudicialPersonTypeID>
        <JudicialTypeID>1</JudicialTypeID>
        <IsChairman>false</IsChairman>
        <TreatmentStartDate>2024-03-28T13:36:33.47+02:00</TreatmentStartDate>
        <TreatmentFinishDate>9999-12-31T23:59:59.997+02:00</TreatmentFinishDate>
        <IdentificationCardNumber>055503858</IdentificationCardNumber>
        <DisplayName>אירית קלמן ברום</DisplayName>
        <JudicialTypeName>שופט</JudicialTypeName>
        <CaseJudicialGroupNumber>0</CaseJudicialGroupNumber>
        <FirstName>אירית</FirstName>
        <LastName>קלמן ברום</LastName>
        <JudicialPersonTitle>שופט</JudicialPersonTitle>
      </CaseJudicalPersonActive>
    </CaseJudicialPersonPresentationDS>
    <CasePartiesSelectionDS>
      <CaseParties>
        <PartyTypeName>בא כוח</PartyTypeName>
        <ProceedingType>כתב טענות עיקרי</ProceedingType>
        <PleaName>כתב תביעה</PleaName>
        <PartyBelonging> - </PartyBelonging>
        <RoleName>בא כוח נתבעים</RoleName>
        <IsSubProceeding>FALSE</IsSubProceeding>
        <FullName>אבי שרף</FullName>
        <FirstName>אבי</FirstName>
        <LastName>שרף</LastName>
        <PartyPropertyName/>
        <AuthenticationTypeAndNumber>מ.ר. 16957</AuthenticationTypeAndNumber>
        <RepresentatedOrRepresentativesNames xml:space="preserve"> </RepresentatedOrRepresentativesNames>
        <RepresentatedOrRepresentativesCount>2</RepresentatedOrRepresentativesCount>
        <InvitedBy/>
        <CaseID>80857415</CaseID>
        <CaseJudicialPersonPresentationDS>
          <CaseJudicalPersonActive>
            <CaseID>80857415</CaseID>
            <MotionID>107638970</MotionID>
            <JudicialPersonID>055503858@GOV.IL</JudicialPersonID>
            <JudicialPersonTypeID>1</JudicialPersonTypeID>
            <JudicialTypeID>1</JudicialTypeID>
            <IsChairman>false</IsChairman>
            <TreatmentStartDate>2024-03-28T13:36:33.47+02:00</TreatmentStartDate>
            <TreatmentFinishDate>9999-12-31T23:59:59.997+02:00</TreatmentFinishDate>
            <IdentificationCardNumber>055503858</IdentificationCardNumber>
            <DisplayName>אירית קלמן ברום</DisplayName>
            <JudicialTypeName>שופט</JudicialTypeName>
            <CaseJudicialGroupNumber>0</CaseJudicialGroupNumber>
            <FirstName>אירית</FirstName>
            <LastName>קלמן ברום</LastName>
            <JudicialPersonTitle>שופט</JudicialPersonTitle>
          </CaseJudicalPersonActive>
        </CaseJudicialPersonPresentationDS>
        <CasePartyID>267025545</CasePartyID>
        <PartyTypeID>2</PartyTypeID>
        <ActivityStatusID>1</ActivityStatusID>
        <PartyAliasID>21</PartyAliasID>
        <PartyAliasName>בא כוח נתבעים</PartyAliasName>
        <LegalEntityID>384090</LegalEntityID>
        <CaseLegalEntityID>127965428</CaseLegalEntityID>
        <AuthenticationTypeID>4</AuthenticationTypeID>
        <AuthenticationTypeName>מ.ר.</AuthenticationTypeName>
        <LegalEntityNumber>16957</LegalEntityNumber>
        <IsMainPartyType>true</IsMainPartyType>
        <CaseDisplayIdentifier>55847-12-23</CaseDisplayIdentifier>
        <CaseTypeID>1</CaseTypeID>
        <CaseTypeName>תיק אזרחי בסדר דין רגיל (ת"א)</CaseTypeName>
        <CaseName>רום גבס חיפוי וקירוי (1997) בע"מ ואח' נ' פולדמיר בנין(1986) בע"מ ואח'</CaseName>
        <FullAddress>הארבעה 28 תל אביב -יפו מגדל צפוני, קומה 5</FullAddress>
        <EmailAddress>Scharf@zsjlaw.co.il</EmailAddress>
        <MotionID>0</MotionID>
        <CasePleaID>0</CasePleaID>
        <FatherName xml:space="preserve">        </FatherName>
        <LinkedCaseID>0</LinkedCaseID>
        <PartyID>2</PartyID>
        <CasePartyCategoryID>2</CasePartyCategoryID>
        <LegalEntityAddressID>88835668</LegalEntityAddressID>
        <LegalEntityEmailAddressID>68342745</LegalEntityEmailAddressID>
        <PleaTypeID>4</PleaTypeID>
        <LawyerOfficeName>משרד עו"ד:  ספרן, שרף ושות'</LawyerOfficeName>
        <LawyerOfficeID>424699</LawyerOfficeID>
        <GroupPartyAlias/>
        <IsConverted>false</IsConverted>
        <LegalEntityNameID>5074</LegalEntityNameID>
        <RepresentatedNamesOfAssistant/>
        <LegalEntityTypeID>4</LegalEntityTypeID>
        <IsVerdictExists>false</IsVerdictExists>
        <IsAsirAzir>false</IsAsirAzir>
        <IsPublicationProhibited>false</IsPublicationProhibited>
        <PublicationProhibitedFullName>אבי שרף</PublicationProhibitedFullName>
      </CaseParties>
      <CaseParties>
        <PartyTypeName>צד</PartyTypeName>
        <ProceedingType>בקשות</ProceedingType>
        <PleaName>בקשה של תובע 1 סעד זמני אחר</PleaName>
        <PartyBelonging>צד א'</PartyBelonging>
        <RoleName>מבקש 1</RoleName>
        <IsSubProceeding>TRUE</IsSubProceeding>
        <FullName>רום גבס חיפוי וקירוי (1997) בע"מ</FullName>
        <LastName>רום גבס חיפוי וקירוי (1997) בע"מ</LastName>
        <PartyPropertyName/>
        <AuthenticationTypeAndNumber>חברות 512476938</AuthenticationTypeAndNumber>
        <RepresentatedOrRepresentativesNames>דורון דן</RepresentatedOrRepresentativesNames>
        <RepresentatedOrRepresentativesCount>1</RepresentatedOrRepresentativesCount>
        <InvitedBy/>
        <CaseID>80857415</CaseID>
        <CaseJudicialPersonPresentationDS>
          <CaseJudicalPersonActive>
            <CaseID>80857415</CaseID>
            <MotionID>107638970</MotionID>
            <JudicialPersonID>055503858@GOV.IL</JudicialPersonID>
            <JudicialPersonTypeID>1</JudicialPersonTypeID>
            <JudicialTypeID>1</JudicialTypeID>
            <IsChairman>false</IsChairman>
            <TreatmentStartDate>2024-03-28T13:36:33.47+02:00</TreatmentStartDate>
            <TreatmentFinishDate>9999-12-31T23:59:59.997+02:00</TreatmentFinishDate>
            <IdentificationCardNumber>055503858</IdentificationCardNumber>
            <DisplayName>אירית קלמן ברום</DisplayName>
            <JudicialTypeName>שופט</JudicialTypeName>
            <CaseJudicialGroupNumber>0</CaseJudicialGroupNumber>
            <FirstName>אירית</FirstName>
            <LastName>קלמן ברום</LastName>
            <JudicialPersonTitle>שופט</JudicialPersonTitle>
          </CaseJudicalPersonActive>
        </CaseJudicialPersonPresentationDS>
        <CasePartyID>268323544</CasePartyID>
        <PartyTypeID>1</PartyTypeID>
        <ActivityStatusID>1</ActivityStatusID>
        <PartyAliasID>3</PartyAliasID>
        <PartyAliasName>מבקש</PartyAliasName>
        <OrdinalNumber>1</OrdinalNumber>
        <LegalEntityID>252713</LegalEntityID>
        <CaseLegalEntityID>127121241</CaseLegalEntityID>
        <AuthenticationTypeID>3</AuthenticationTypeID>
        <AuthenticationTypeName>חברות</AuthenticationTypeName>
        <LegalEntityNumber>512476938</LegalEntityNumber>
        <IsMainPartyType>false</IsMainPartyType>
        <CaseDisplayIdentifier>55847-12-23</CaseDisplayIdentifier>
        <CaseTypeID>1</CaseTypeID>
        <CaseTypeName>תיק אזרחי בסדר דין רגיל (ת"א)</CaseTypeName>
        <CaseName>רום גבס חיפוי וקירוי (1997) בע"מ ואח' נ' פולדמיר בנין(1986) בע"מ ואח'</CaseName>
        <FullAddress>ירושלים 34 רעננה </FullAddress>
        <MotionID>107638970</MotionID>
        <CasePleaID>0</CasePleaID>
        <LinkedCaseID>0</LinkedCaseID>
        <PartyID>1</PartyID>
        <CasePartyCategoryID>4</CasePartyCategoryID>
        <LegalEntityAddressID>72749923</LegalEntityAddressID>
        <PleaTypeID>60</PleaTypeID>
        <GroupPartyAlias>מבקשים</GroupPartyAlias>
        <IsConverted>false</IsConverted>
        <LegalEntityRegisteredNameID>201848</LegalEntityRegisteredNameID>
        <RepresentatedNamesOfAssistant/>
        <LegalEntityTypeID>3</LegalEntityTypeID>
        <IsVerdictExists>false</IsVerdictExists>
        <IsAsirAzir>false</IsAsirAzir>
        <IsPublicationProhibited>false</IsPublicationProhibited>
        <PublicationProhibitedFullName>רום גבס חיפוי וקירוי (1997) בע"מ</PublicationProhibitedFullName>
      </CaseParties>
      <CaseParties>
        <PartyTypeName>צד</PartyTypeName>
        <ProceedingType>בקשות</ProceedingType>
        <PleaName>בקשה של תובע 1 סעד זמני אחר</PleaName>
        <PartyBelonging>צד ב'</PartyBelonging>
        <RoleName>משיב 1</RoleName>
        <IsSubProceeding>TRUE</IsSubProceeding>
        <FullName>פולדמיר בנין(1986) בע"מ</FullName>
        <LastName>פולדמיר בנין(1986) בע"מ</LastName>
        <PartyPropertyName/>
        <AuthenticationTypeAndNumber>חברות 511122129</AuthenticationTypeAndNumber>
        <RepresentatedOrRepresentativesNames>אורית טובים, אבי שרף</RepresentatedOrRepresentativesNames>
        <RepresentatedOrRepresentativesCount>2</RepresentatedOrRepresentativesCount>
        <InvitedBy/>
        <CaseID>80857415</CaseID>
        <CaseJudicialPersonPresentationDS>
          <CaseJudicalPersonActive>
            <CaseID>80857415</CaseID>
            <MotionID>107638970</MotionID>
            <JudicialPersonID>055503858@GOV.IL</JudicialPersonID>
            <JudicialPersonTypeID>1</JudicialPersonTypeID>
            <JudicialTypeID>1</JudicialTypeID>
            <IsChairman>false</IsChairman>
            <TreatmentStartDate>2024-03-28T13:36:33.47+02:00</TreatmentStartDate>
            <TreatmentFinishDate>9999-12-31T23:59:59.997+02:00</TreatmentFinishDate>
            <IdentificationCardNumber>055503858</IdentificationCardNumber>
            <DisplayName>אירית קלמן ברום</DisplayName>
            <JudicialTypeName>שופט</JudicialTypeName>
            <CaseJudicialGroupNumber>0</CaseJudicialGroupNumber>
            <FirstName>אירית</FirstName>
            <LastName>קלמן ברום</LastName>
            <JudicialPersonTitle>שופט</JudicialPersonTitle>
          </CaseJudicalPersonActive>
        </CaseJudicialPersonPresentationDS>
        <CasePartyID>268323545</CasePartyID>
        <PartyTypeID>1</PartyTypeID>
        <ActivityStatusID>1</ActivityStatusID>
        <PartyAliasID>4</PartyAliasID>
        <PartyAliasName>משיב</PartyAliasName>
        <OrdinalNumber>1</OrdinalNumber>
        <LegalEntityID>98831</LegalEntityID>
        <CaseLegalEntityID>127121240</CaseLegalEntityID>
        <AuthenticationTypeID>3</AuthenticationTypeID>
        <AuthenticationTypeName>חברות</AuthenticationTypeName>
        <LegalEntityNumber>511122129</LegalEntityNumber>
        <IsMainPartyType>false</IsMainPartyType>
        <CaseDisplayIdentifier>55847-12-23</CaseDisplayIdentifier>
        <CaseTypeID>1</CaseTypeID>
        <CaseTypeName>תיק אזרחי בסדר דין רגיל (ת"א)</CaseTypeName>
        <CaseName>רום גבס חיפוי וקירוי (1997) בע"מ ואח' נ' פולדמיר בנין(1986) בע"מ ואח'</CaseName>
        <FullAddress>מרבד הקסמים 8 גדרה </FullAddress>
        <MotionID>107638970</MotionID>
        <CasePleaID>0</CasePleaID>
        <LinkedCaseID>0</LinkedCaseID>
        <PartyID>2</PartyID>
        <CasePartyCategoryID>4</CasePartyCategoryID>
        <LegalEntityAddressID>76446165</LegalEntityAddressID>
        <PleaTypeID>60</PleaTypeID>
        <GroupPartyAlias>משיבים</GroupPartyAlias>
        <IsConverted>false</IsConverted>
        <LegalEntityRegisteredNameID>97974</LegalEntityRegisteredNameID>
        <RepresentatedNamesOfAssistant/>
        <LegalEntityTypeID>3</LegalEntityTypeID>
        <IsVerdictExists>false</IsVerdictExists>
        <IsAsirAzir>false</IsAsirAzir>
        <IsPublicationProhibited>false</IsPublicationProhibited>
        <PublicationProhibitedFullName>פולדמיר בנין(1986) בע"מ</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דורון דן</FullName>
        <FirstName>דורון</FirstName>
        <LastName>דן</LastName>
        <PartyPropertyName/>
        <AuthenticationTypeAndNumber>מ.ר. 12681</AuthenticationTypeAndNumber>
        <RepresentatedOrRepresentativesNames xml:space="preserve"> </RepresentatedOrRepresentativesNames>
        <RepresentatedOrRepresentativesCount>1</RepresentatedOrRepresentativesCount>
        <InvitedBy/>
        <CaseID>80857415</CaseID>
        <CaseJudicialPersonPresentationDS>
          <CaseJudicalPersonActive>
            <CaseID>80857415</CaseID>
            <MotionID>107638970</MotionID>
            <JudicialPersonID>055503858@GOV.IL</JudicialPersonID>
            <JudicialPersonTypeID>1</JudicialPersonTypeID>
            <JudicialTypeID>1</JudicialTypeID>
            <IsChairman>false</IsChairman>
            <TreatmentStartDate>2024-03-28T13:36:33.47+02:00</TreatmentStartDate>
            <TreatmentFinishDate>9999-12-31T23:59:59.997+02:00</TreatmentFinishDate>
            <IdentificationCardNumber>055503858</IdentificationCardNumber>
            <DisplayName>אירית קלמן ברום</DisplayName>
            <JudicialTypeName>שופט</JudicialTypeName>
            <CaseJudicialGroupNumber>0</CaseJudicialGroupNumber>
            <FirstName>אירית</FirstName>
            <LastName>קלמן ברום</LastName>
            <JudicialPersonTitle>שופט</JudicialPersonTitle>
          </CaseJudicalPersonActive>
        </CaseJudicialPersonPresentationDS>
        <CasePartyID>264150646</CasePartyID>
        <PartyTypeID>2</PartyTypeID>
        <ActivityStatusID>1</ActivityStatusID>
        <PartyAliasID>20</PartyAliasID>
        <PartyAliasName>בא כוח תובעים</PartyAliasName>
        <OrdinalNumber>1</OrdinalNumber>
        <LegalEntityID>383374</LegalEntityID>
        <CaseLegalEntityID>127121242</CaseLegalEntityID>
        <AuthenticationTypeID>4</AuthenticationTypeID>
        <AuthenticationTypeName>מ.ר.</AuthenticationTypeName>
        <LegalEntityNumber>12681</LegalEntityNumber>
        <IsMainPartyType>true</IsMainPartyType>
        <CaseDisplayIdentifier>55847-12-23</CaseDisplayIdentifier>
        <CaseTypeID>1</CaseTypeID>
        <CaseTypeName>תיק אזרחי בסדר דין רגיל (ת"א)</CaseTypeName>
        <CaseName>רום גבס חיפוי וקירוי (1997) בע"מ ואח' נ' פולדמיר בנין(1986) בע"מ ואח'</CaseName>
        <FullAddress>יהודה הלוי 23 תל אביב -יפו </FullAddress>
        <EmailAddress>oritc@wblaw.co.il</EmailAddress>
        <MotionID>0</MotionID>
        <CasePleaID>0</CasePleaID>
        <LinkedCaseID>0</LinkedCaseID>
        <PartyID>1</PartyID>
        <CasePartyCategoryID>2</CasePartyCategoryID>
        <LegalEntityAddressID>80754521</LegalEntityAddressID>
        <LegalEntityEmailAddressID>68226832</LegalEntityEmailAddressID>
        <PleaTypeID>4</PleaTypeID>
        <LawyerOfficeName>משרד עו"ד: וקסלר ברגמן ושות'</LawyerOfficeName>
        <LawyerOfficeID>424018</LawyerOfficeID>
        <GroupPartyAlias/>
        <IsConverted>false</IsConverted>
        <LegalEntityNameID>4358</LegalEntityNameID>
        <RepresentatedNamesOfAssistant/>
        <LegalEntityTypeID>4</LegalEntityTypeID>
        <IsVerdictExists>false</IsVerdictExists>
        <IsAsirAzir>false</IsAsirAzir>
        <IsPublicationProhibited>false</IsPublicationProhibited>
        <PublicationProhibitedFullName>דורון דן</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אורית טובים</FullName>
        <FirstName>אורית</FirstName>
        <LastName>טובים</LastName>
        <PartyPropertyName/>
        <AuthenticationTypeAndNumber>מ.ר. 48904</AuthenticationTypeAndNumber>
        <RepresentatedOrRepresentativesNames xml:space="preserve"> </RepresentatedOrRepresentativesNames>
        <RepresentatedOrRepresentativesCount>2</RepresentatedOrRepresentativesCount>
        <InvitedBy/>
        <CaseID>80857415</CaseID>
        <CaseJudicialPersonPresentationDS>
          <CaseJudicalPersonActive>
            <CaseID>80857415</CaseID>
            <MotionID>107638970</MotionID>
            <JudicialPersonID>055503858@GOV.IL</JudicialPersonID>
            <JudicialPersonTypeID>1</JudicialPersonTypeID>
            <JudicialTypeID>1</JudicialTypeID>
            <IsChairman>false</IsChairman>
            <TreatmentStartDate>2024-03-28T13:36:33.47+02:00</TreatmentStartDate>
            <TreatmentFinishDate>9999-12-31T23:59:59.997+02:00</TreatmentFinishDate>
            <IdentificationCardNumber>055503858</IdentificationCardNumber>
            <DisplayName>אירית קלמן ברום</DisplayName>
            <JudicialTypeName>שופט</JudicialTypeName>
            <CaseJudicialGroupNumber>0</CaseJudicialGroupNumber>
            <FirstName>אירית</FirstName>
            <LastName>קלמן ברום</LastName>
            <JudicialPersonTitle>שופט</JudicialPersonTitle>
          </CaseJudicalPersonActive>
        </CaseJudicialPersonPresentationDS>
        <CasePartyID>266883067</CasePartyID>
        <PartyTypeID>2</PartyTypeID>
        <ActivityStatusID>1</ActivityStatusID>
        <PartyAliasID>21</PartyAliasID>
        <PartyAliasName>בא כוח נתבעים</PartyAliasName>
        <OrdinalNumber>1</OrdinalNumber>
        <LegalEntityID>15876912</LegalEntityID>
        <CaseLegalEntityID>127925146</CaseLegalEntityID>
        <AuthenticationTypeID>4</AuthenticationTypeID>
        <AuthenticationTypeName>מ.ר.</AuthenticationTypeName>
        <LegalEntityNumber>48904</LegalEntityNumber>
        <IsMainPartyType>true</IsMainPartyType>
        <CaseDisplayIdentifier>55847-12-23</CaseDisplayIdentifier>
        <CaseTypeID>1</CaseTypeID>
        <CaseTypeName>תיק אזרחי בסדר דין רגיל (ת"א)</CaseTypeName>
        <CaseName>רום גבס חיפוי וקירוי (1997) בע"מ ואח' נ' פולדמיר בנין(1986) בע"מ ואח'</CaseName>
        <FullAddress>ברקוביץ 4 תל אביב -יפו </FullAddress>
        <EmailAddress>orit@tovim-law.co.il</EmailAddress>
        <MotionID>0</MotionID>
        <CasePleaID>0</CasePleaID>
        <LinkedCaseID>0</LinkedCaseID>
        <PartyID>2</PartyID>
        <CasePartyCategoryID>2</CasePartyCategoryID>
        <LegalEntityAddressID>88064247</LegalEntityAddressID>
        <LegalEntityEmailAddressID>67973547</LegalEntityEmailAddressID>
        <PleaTypeID>4</PleaTypeID>
        <GroupPartyAlias/>
        <IsConverted>false</IsConverted>
        <LegalEntityNameID>17547404</LegalEntityNameID>
        <RepresentatedNamesOfAssistant/>
        <LegalEntityTypeID>4</LegalEntityTypeID>
        <IsVerdictExists>false</IsVerdictExists>
        <IsAsirAzir>false</IsAsirAzir>
        <IsPublicationProhibited>false</IsPublicationProhibited>
        <PublicationProhibitedFullName>אורית טובים</PublicationProhibitedFullName>
      </CaseParties>
      <CaseParties>
        <PartyTypeName>צד</PartyTypeName>
        <ProceedingType>בקשות</ProceedingType>
        <PleaName>בקשה של תובע 1 סעד זמני אחר</PleaName>
        <PartyBelonging>צד ב'</PartyBelonging>
        <RoleName>משיב 2</RoleName>
        <IsSubProceeding>TRUE</IsSubProceeding>
        <FullName>לסיכו בעמ</FullName>
        <LastName>לסיכו בעמ</LastName>
        <PartyPropertyName/>
        <AuthenticationTypeAndNumber>חברות 510512056</AuthenticationTypeAndNumber>
        <RepresentatedOrRepresentativesNames>אורית טובים, אבי שרף</RepresentatedOrRepresentativesNames>
        <RepresentatedOrRepresentativesCount>2</RepresentatedOrRepresentativesCount>
        <InvitedBy/>
        <CaseID>80857415</CaseID>
        <CaseJudicialPersonPresentationDS>
          <CaseJudicalPersonActive>
            <CaseID>80857415</CaseID>
            <MotionID>107638970</MotionID>
            <JudicialPersonID>055503858@GOV.IL</JudicialPersonID>
            <JudicialPersonTypeID>1</JudicialPersonTypeID>
            <JudicialTypeID>1</JudicialTypeID>
            <IsChairman>false</IsChairman>
            <TreatmentStartDate>2024-03-28T13:36:33.47+02:00</TreatmentStartDate>
            <TreatmentFinishDate>9999-12-31T23:59:59.997+02:00</TreatmentFinishDate>
            <IdentificationCardNumber>055503858</IdentificationCardNumber>
            <DisplayName>אירית קלמן ברום</DisplayName>
            <JudicialTypeName>שופט</JudicialTypeName>
            <CaseJudicialGroupNumber>0</CaseJudicialGroupNumber>
            <FirstName>אירית</FirstName>
            <LastName>קלמן ברום</LastName>
            <JudicialPersonTitle>שופט</JudicialPersonTitle>
          </CaseJudicalPersonActive>
        </CaseJudicialPersonPresentationDS>
        <CasePartyID>268323546</CasePartyID>
        <PartyTypeID>1</PartyTypeID>
        <ActivityStatusID>1</ActivityStatusID>
        <PartyAliasID>4</PartyAliasID>
        <PartyAliasName>משיב</PartyAliasName>
        <OrdinalNumber>2</OrdinalNumber>
        <LegalEntityID>43180</LegalEntityID>
        <CaseLegalEntityID>127121243</CaseLegalEntityID>
        <AuthenticationTypeID>3</AuthenticationTypeID>
        <AuthenticationTypeName>חברות</AuthenticationTypeName>
        <LegalEntityNumber>510512056</LegalEntityNumber>
        <IsMainPartyType>false</IsMainPartyType>
        <CaseDisplayIdentifier>55847-12-23</CaseDisplayIdentifier>
        <CaseTypeID>1</CaseTypeID>
        <CaseTypeName>תיק אזרחי בסדר דין רגיל (ת"א)</CaseTypeName>
        <CaseName>רום גבס חיפוי וקירוי (1997) בע"מ ואח' נ' פולדמיר בנין(1986) בע"מ ואח'</CaseName>
        <FullAddress>שד ירושלים 152 חולון </FullAddress>
        <EmailAddress>lesico@lesico.com</EmailAddress>
        <MotionID>107638970</MotionID>
        <CasePleaID>0</CasePleaID>
        <FatherName xml:space="preserve">        </FatherName>
        <LinkedCaseID>0</LinkedCaseID>
        <PartyID>2</PartyID>
        <CasePartyCategoryID>4</CasePartyCategoryID>
        <LegalEntityAddressID>77321238</LegalEntityAddressID>
        <LegalEntityEmailAddressID>68109477</LegalEntityEmailAddressID>
        <PleaTypeID>60</PleaTypeID>
        <GroupPartyAlias>משיבים</GroupPartyAlias>
        <IsConverted>false</IsConverted>
        <LegalEntityRegisteredNameID>42326</LegalEntityRegisteredNameID>
        <RepresentatedNamesOfAssistant/>
        <LegalEntityTypeID>3</LegalEntityTypeID>
        <IsVerdictExists>false</IsVerdictExists>
        <IsAsirAzir>false</IsAsirAzir>
        <IsPublicationProhibited>false</IsPublicationProhibited>
        <PublicationProhibitedFullName>לסיכו בעמ</PublicationProhibitedFullName>
      </CaseParties>
    </CasePartiesSelectionDS>
    <CaseName>רום גבס חיפוי וקירוי (1997) בע"מ ואח' נ' פולדמיר בנין(1986) בע"מ ואח'</CaseName>
    <CaseDisplayIdentifier>55847-12-23</CaseDisplayIdentifier>
    <CaseInterestID>41</CaseInterestID>
    <CaseTypeShortName>ת"א</CaseTypeShortName>
  </dt_DecisionCase>
  <dt_DecisionJudgePanel>
    <JudgeID>055503858@GOV.IL</JudgeID>
    <DisplayName>אירית קלמן ברום</DisplayName>
    <RoleName>שופט</RoleName>
    <UserTitleName>שופטת</UserTitleName>
  </dt_DecisionJudgePanel>
  <dt_LegalEntityDetails>
    <Fax>076-5100329</Fax>
    <Phone>076-5316677</Phone>
    <AddressDesc>מגדל צפוני, קומה 5</AddressDesc>
    <PartyID>2</PartyID>
    <PartyTypeID>2</PartyTypeID>
    <DecisionID>0</DecisionID>
    <StreetName>הארבעה 28</StreetName>
    <ZipCode>6473925</ZipCode>
    <CityName>תל אביב -יפו</CityName>
    <FullName>אבי שרף</FullName>
    <Email>Scharf@zsjlaw.co.il</Email>
    <IsPublicationProhibited>false</IsPublicationProhibited>
  </dt_LegalEntityDetails>
  <dt_LegalEntityDetails>
    <PartyID>2</PartyID>
    <PartyTypeID>1</PartyTypeID>
    <DecisionID>0</DecisionID>
    <StreetName>מרבד הקסמים 8</StreetName>
    <ZipCode>7070000</ZipCode>
    <CityName>גדרה</CityName>
    <FullName> פולדמיר בנין(1986) בע"מ</FullName>
    <IsPublicationProhibited>false</IsPublicationProhibited>
  </dt_LegalEntityDetails>
  <dt_LegalEntityDetails>
    <PartyID>1</PartyID>
    <PartyTypeID>1</PartyTypeID>
    <DecisionID>0</DecisionID>
    <StreetName>ירושלים 34</StreetName>
    <ZipCode>43501</ZipCode>
    <CityName>רעננה</CityName>
    <FullName> רום גבס חיפוי וקירוי (1997) בע"מ</FullName>
    <IsPublicationProhibited>false</IsPublicationProhibited>
  </dt_LegalEntityDetails>
  <dt_LegalEntityDetails>
    <Fax>03-5119394</Fax>
    <Phone>03-5119393</Phone>
    <PartyID>1</PartyID>
    <PartyTypeID>2</PartyTypeID>
    <DecisionID>0</DecisionID>
    <StreetName>יהודה הלוי 23</StreetName>
    <ZipCode>65136</ZipCode>
    <CityName>תל אביב -יפו</CityName>
    <FullName>דורון דן</FullName>
    <Email>oritc@wblaw.co.il</Email>
    <IsPublicationProhibited>false</IsPublicationProhibited>
  </dt_LegalEntityDetails>
  <dt_LegalEntityDetails>
    <Fax>03-9677759</Fax>
    <Phone>03-9661299</Phone>
    <PartyID>2</PartyID>
    <PartyTypeID>2</PartyTypeID>
    <DecisionID>0</DecisionID>
    <StreetName>ברקוביץ 4</StreetName>
    <CityName>תל אביב -יפו</CityName>
    <FullName>אורית טובים</FullName>
    <Email>orit@tovim-law.co.il</Email>
    <IsPublicationProhibited>false</IsPublicationProhibited>
  </dt_LegalEntityDetails>
  <dt_LegalEntityDetails>
    <PartyID>2</PartyID>
    <PartyTypeID>1</PartyTypeID>
    <DecisionID>0</DecisionID>
    <StreetName>שד ירושלים 152</StreetName>
    <ZipCode>5882752</ZipCode>
    <CityName>חולון</CityName>
    <FullName> לסיכו בעמ</FullName>
    <Email>lesico@lesico.com</Email>
    <IsPublicationProhibited>false</IsPublicationProhibited>
  </dt_LegalEntityDetails>
  <dt_CaseJudicalPersonActive>
    <CaseJudicalPerson>שופטת אירית קלמן ברום</CaseJudicalPerson>
  </dt_CaseJudicalPersonActive>
  <dt_Sitting>
    <PreviousMeetingDate>2024-04-09T13:00:00+03:00</PreviousMeetingDate>
    <PreviousSittingTypeID>6</PreviousSittingTypeID>
    <PreviousMeetingDisplayName>שופטת אירית קלמן ברום</PreviousMeetingDisplayName>
    <PreviousMeetingRoleName>שופט</PreviousMeetingRoleName>
    <PreviousMeetingUserTitleName>שופטת</PreviousMeetingUserTitleName>
    <PreviousMeetingUserUPN>055503858@GOV.IL</PreviousMeetingUserUPN>
  </dt_Sitting>
</DecisionTemplateD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A61C88-B234-47E8-B410-A7DD2541F4DA}">
  <ds:schemaRefs/>
</ds:datastoreItem>
</file>

<file path=customXml/itemProps2.xml><?xml version="1.0" encoding="utf-8"?>
<ds:datastoreItem xmlns:ds="http://schemas.openxmlformats.org/officeDocument/2006/customXml" ds:itemID="{90A454E2-B51C-43B4-8E41-1BA49C7351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2210</Words>
  <Characters>11055</Characters>
  <Application>Microsoft Office Word</Application>
  <DocSecurity>0</DocSecurity>
  <Lines>92</Lines>
  <Paragraphs>26</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13239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גרמאו מנגיסטו</cp:lastModifiedBy>
  <cp:revision>2</cp:revision>
  <cp:lastPrinted>2024-04-21T09:20:00Z</cp:lastPrinted>
  <dcterms:created xsi:type="dcterms:W3CDTF">2024-06-23T14:20:00Z</dcterms:created>
  <dcterms:modified xsi:type="dcterms:W3CDTF">2024-06-23T14:20:00Z</dcterms:modified>
</cp:coreProperties>
</file>