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4046" w:rsidRPr="00506A2B" w:rsidRDefault="00506A2B" w:rsidP="00506A2B">
      <w:pPr>
        <w:jc w:val="center"/>
        <w:rPr>
          <w:sz w:val="28"/>
          <w:szCs w:val="28"/>
          <w:rtl/>
        </w:rPr>
      </w:pPr>
      <w:bookmarkStart w:id="0" w:name="_GoBack"/>
      <w:bookmarkEnd w:id="0"/>
      <w:r w:rsidRPr="00506A2B">
        <w:rPr>
          <w:rFonts w:hint="cs"/>
          <w:b/>
          <w:bCs/>
          <w:sz w:val="28"/>
          <w:szCs w:val="28"/>
          <w:u w:val="single"/>
          <w:rtl/>
        </w:rPr>
        <w:t>תקציר פסק דין</w:t>
      </w:r>
    </w:p>
    <w:p w:rsidR="00506A2B" w:rsidRDefault="00506A2B" w:rsidP="00324046">
      <w:pPr>
        <w:rPr>
          <w:b/>
          <w:bCs/>
          <w:u w:val="single"/>
          <w:rtl/>
        </w:rPr>
      </w:pPr>
    </w:p>
    <w:p w:rsidR="00324046" w:rsidRDefault="00324046" w:rsidP="00223696">
      <w:pPr>
        <w:jc w:val="center"/>
        <w:rPr>
          <w:b/>
          <w:bCs/>
          <w:u w:val="single"/>
          <w:rtl/>
        </w:rPr>
      </w:pPr>
      <w:r w:rsidRPr="00AD72A2">
        <w:rPr>
          <w:rFonts w:hint="cs"/>
          <w:b/>
          <w:bCs/>
          <w:u w:val="single"/>
          <w:rtl/>
        </w:rPr>
        <w:t xml:space="preserve">עת"מ 54982-04-22 </w:t>
      </w:r>
      <w:r w:rsidRPr="00AD72A2">
        <w:rPr>
          <w:b/>
          <w:bCs/>
          <w:u w:val="single"/>
          <w:rtl/>
        </w:rPr>
        <w:t>–</w:t>
      </w:r>
      <w:r w:rsidRPr="00AD72A2">
        <w:rPr>
          <w:rFonts w:hint="cs"/>
          <w:b/>
          <w:bCs/>
          <w:u w:val="single"/>
          <w:rtl/>
        </w:rPr>
        <w:t xml:space="preserve"> וולמר נ' משרד הפנים </w:t>
      </w:r>
      <w:r w:rsidRPr="00AD72A2">
        <w:rPr>
          <w:b/>
          <w:bCs/>
          <w:u w:val="single"/>
          <w:rtl/>
        </w:rPr>
        <w:t>–</w:t>
      </w:r>
      <w:r w:rsidRPr="00AD72A2">
        <w:rPr>
          <w:rFonts w:hint="cs"/>
          <w:b/>
          <w:bCs/>
          <w:u w:val="single"/>
          <w:rtl/>
        </w:rPr>
        <w:t xml:space="preserve"> רשות האוכלוסין</w:t>
      </w:r>
    </w:p>
    <w:p w:rsidR="00324046" w:rsidRPr="00AD72A2" w:rsidRDefault="00324046" w:rsidP="00223696">
      <w:pPr>
        <w:jc w:val="center"/>
        <w:rPr>
          <w:b/>
          <w:bCs/>
          <w:u w:val="single"/>
          <w:rtl/>
        </w:rPr>
      </w:pPr>
      <w:r w:rsidRPr="00AD72A2">
        <w:rPr>
          <w:rFonts w:hint="cs"/>
          <w:b/>
          <w:bCs/>
          <w:u w:val="single"/>
          <w:rtl/>
        </w:rPr>
        <w:t xml:space="preserve">עת"מ 3505-05-22 </w:t>
      </w:r>
      <w:r w:rsidRPr="00AD72A2">
        <w:rPr>
          <w:b/>
          <w:bCs/>
          <w:u w:val="single"/>
          <w:rtl/>
        </w:rPr>
        <w:t>–</w:t>
      </w:r>
      <w:r w:rsidRPr="00AD72A2">
        <w:rPr>
          <w:rFonts w:hint="cs"/>
          <w:b/>
          <w:bCs/>
          <w:u w:val="single"/>
          <w:rtl/>
        </w:rPr>
        <w:t xml:space="preserve"> טובול נ' משרד הפנים </w:t>
      </w:r>
      <w:r w:rsidRPr="00AD72A2">
        <w:rPr>
          <w:b/>
          <w:bCs/>
          <w:u w:val="single"/>
          <w:rtl/>
        </w:rPr>
        <w:t>–</w:t>
      </w:r>
      <w:r w:rsidRPr="00AD72A2">
        <w:rPr>
          <w:rFonts w:hint="cs"/>
          <w:b/>
          <w:bCs/>
          <w:u w:val="single"/>
          <w:rtl/>
        </w:rPr>
        <w:t xml:space="preserve"> רשות האוכלוסין</w:t>
      </w:r>
    </w:p>
    <w:p w:rsidR="00324046" w:rsidRDefault="00324046">
      <w:pPr>
        <w:rPr>
          <w:rtl/>
        </w:rPr>
      </w:pPr>
    </w:p>
    <w:p w:rsidR="008C0D72" w:rsidRDefault="008C0D72" w:rsidP="008C0D72">
      <w:pPr>
        <w:ind w:left="2160" w:hanging="2160"/>
        <w:rPr>
          <w:rtl/>
        </w:rPr>
      </w:pPr>
      <w:r>
        <w:rPr>
          <w:rFonts w:hint="cs"/>
          <w:rtl/>
        </w:rPr>
        <w:t xml:space="preserve">באי-כוח העותרות: </w:t>
      </w:r>
      <w:r>
        <w:rPr>
          <w:rtl/>
        </w:rPr>
        <w:tab/>
      </w:r>
      <w:r>
        <w:rPr>
          <w:rFonts w:hint="cs"/>
          <w:rtl/>
        </w:rPr>
        <w:t>עו"ד מיכאל כהן-עד, עו"ד עדי גרינפלד, עו"ד אסף וייצן (משרד עו"ד תומר ורשה)</w:t>
      </w:r>
    </w:p>
    <w:p w:rsidR="008C0D72" w:rsidRDefault="008C0D72" w:rsidP="008C0D72">
      <w:pPr>
        <w:ind w:left="2160" w:hanging="2160"/>
        <w:rPr>
          <w:rtl/>
        </w:rPr>
      </w:pPr>
      <w:r>
        <w:rPr>
          <w:rFonts w:hint="cs"/>
          <w:rtl/>
        </w:rPr>
        <w:t>באות-כוח המשיב:</w:t>
      </w:r>
      <w:r>
        <w:rPr>
          <w:rtl/>
        </w:rPr>
        <w:tab/>
      </w:r>
      <w:r>
        <w:rPr>
          <w:rFonts w:hint="cs"/>
          <w:rtl/>
        </w:rPr>
        <w:t>עו"ד מיטל פוגל, עו"ד עידית צוראל (פרקליטות מחוז ירושלים (אזרחי)).</w:t>
      </w:r>
    </w:p>
    <w:p w:rsidR="008C0D72" w:rsidRDefault="008C0D72" w:rsidP="008C0D72">
      <w:pPr>
        <w:ind w:left="2160" w:hanging="2160"/>
        <w:rPr>
          <w:rtl/>
        </w:rPr>
      </w:pPr>
    </w:p>
    <w:p w:rsidR="008C0D72" w:rsidRDefault="00C52120" w:rsidP="00C52120">
      <w:pPr>
        <w:rPr>
          <w:rtl/>
        </w:rPr>
      </w:pPr>
      <w:r>
        <w:rPr>
          <w:rFonts w:hint="cs"/>
          <w:rtl/>
        </w:rPr>
        <w:t xml:space="preserve">בפסק הדין התקבלו עתירותיהן של </w:t>
      </w:r>
      <w:r w:rsidRPr="00C52120">
        <w:rPr>
          <w:rFonts w:hint="cs"/>
          <w:rtl/>
        </w:rPr>
        <w:t xml:space="preserve">שתי העותרות </w:t>
      </w:r>
      <w:r>
        <w:rPr>
          <w:rFonts w:hint="cs"/>
          <w:rtl/>
        </w:rPr>
        <w:t xml:space="preserve">ונקבע כי הגיור שעברו </w:t>
      </w:r>
      <w:r w:rsidRPr="00C52120">
        <w:rPr>
          <w:rFonts w:hint="cs"/>
          <w:rtl/>
        </w:rPr>
        <w:t>בבתי דין אורתודוכסיים פרטיים</w:t>
      </w:r>
      <w:r>
        <w:rPr>
          <w:rFonts w:hint="cs"/>
          <w:rtl/>
        </w:rPr>
        <w:t xml:space="preserve"> לגיור</w:t>
      </w:r>
      <w:r w:rsidRPr="00C52120">
        <w:rPr>
          <w:rFonts w:hint="cs"/>
          <w:rtl/>
        </w:rPr>
        <w:t xml:space="preserve">, </w:t>
      </w:r>
      <w:r>
        <w:rPr>
          <w:rFonts w:hint="cs"/>
          <w:rtl/>
        </w:rPr>
        <w:t xml:space="preserve">מוכר לשם קבלת מעמד עולה מכוח חוק השבות, תש"י-1950. בתי הדין לגיור אשר במסגרתם נערך הליך הגיור של העותרות נמנים </w:t>
      </w:r>
      <w:r w:rsidRPr="00C52120">
        <w:rPr>
          <w:rFonts w:hint="cs"/>
          <w:rtl/>
        </w:rPr>
        <w:t xml:space="preserve">עם רשת </w:t>
      </w:r>
      <w:r w:rsidRPr="00C52120">
        <w:rPr>
          <w:rFonts w:hint="cs"/>
          <w:b/>
          <w:bCs/>
          <w:rtl/>
        </w:rPr>
        <w:t>"גיור כהלכה – בית דין ציוני דתי לגיור"</w:t>
      </w:r>
      <w:r w:rsidRPr="00C52120">
        <w:rPr>
          <w:rFonts w:hint="cs"/>
          <w:rtl/>
        </w:rPr>
        <w:t>, שהקים הרב נחום רבינוביץ' ז"ל (2020-1928),</w:t>
      </w:r>
      <w:r>
        <w:rPr>
          <w:rFonts w:hint="cs"/>
          <w:rtl/>
        </w:rPr>
        <w:t xml:space="preserve"> שעם רבניו ודייניו נמנים כשישים רבנים ודיינים בולטים וחשובים מקרב הציונות הדתית, לרבות רבני צהר.</w:t>
      </w:r>
    </w:p>
    <w:p w:rsidR="00C52120" w:rsidRDefault="00C52120" w:rsidP="00C52120">
      <w:pPr>
        <w:rPr>
          <w:rtl/>
        </w:rPr>
      </w:pPr>
    </w:p>
    <w:p w:rsidR="00C52120" w:rsidRDefault="00C52120" w:rsidP="002116F9">
      <w:pPr>
        <w:rPr>
          <w:rtl/>
        </w:rPr>
      </w:pPr>
      <w:r>
        <w:rPr>
          <w:rFonts w:hint="cs"/>
          <w:rtl/>
        </w:rPr>
        <w:t>בעקבות פסק הדין שניתן ב</w:t>
      </w:r>
      <w:r w:rsidRPr="00C52120">
        <w:rPr>
          <w:rFonts w:hint="cs"/>
          <w:b/>
          <w:bCs/>
          <w:rtl/>
        </w:rPr>
        <w:t>פרשת שליט</w:t>
      </w:r>
      <w:r>
        <w:rPr>
          <w:rFonts w:hint="cs"/>
          <w:rtl/>
        </w:rPr>
        <w:t xml:space="preserve"> בשנת 1970 </w:t>
      </w:r>
      <w:r w:rsidR="00BA7169">
        <w:rPr>
          <w:rFonts w:hint="cs"/>
          <w:rtl/>
        </w:rPr>
        <w:t>(</w:t>
      </w:r>
      <w:r w:rsidR="00BA7169" w:rsidRPr="00BA7169">
        <w:rPr>
          <w:rFonts w:hint="cs"/>
          <w:rtl/>
        </w:rPr>
        <w:t xml:space="preserve">בג"ץ 58/68 </w:t>
      </w:r>
      <w:r w:rsidR="00BA7169" w:rsidRPr="00BA7169">
        <w:rPr>
          <w:rFonts w:hint="cs"/>
          <w:b/>
          <w:bCs/>
          <w:rtl/>
        </w:rPr>
        <w:t>שליט נ' שר הפנים</w:t>
      </w:r>
      <w:r w:rsidR="00BA7169" w:rsidRPr="00BA7169">
        <w:rPr>
          <w:rFonts w:hint="cs"/>
          <w:rtl/>
        </w:rPr>
        <w:t>, פ"ד כג(2) 477 (1970)</w:t>
      </w:r>
      <w:r w:rsidR="00BA7169">
        <w:rPr>
          <w:rFonts w:hint="cs"/>
          <w:rtl/>
        </w:rPr>
        <w:t xml:space="preserve">) </w:t>
      </w:r>
      <w:r>
        <w:rPr>
          <w:rFonts w:hint="cs"/>
          <w:rtl/>
        </w:rPr>
        <w:t xml:space="preserve">(אשר קבע כי בן לאב יהודי ולאם שאינה יהודייה, יירשם כיהודי במרשם האוכלוסין), תוקן חוק השבות ונקבע כי יהודי לעניין חוק </w:t>
      </w:r>
      <w:r w:rsidR="002116F9">
        <w:rPr>
          <w:rFonts w:hint="cs"/>
          <w:rtl/>
        </w:rPr>
        <w:t>זה</w:t>
      </w:r>
      <w:r>
        <w:rPr>
          <w:rFonts w:hint="cs"/>
          <w:rtl/>
        </w:rPr>
        <w:t xml:space="preserve"> הוא גם מי </w:t>
      </w:r>
      <w:r w:rsidRPr="00C52120">
        <w:rPr>
          <w:rFonts w:hint="cs"/>
          <w:b/>
          <w:bCs/>
          <w:rtl/>
        </w:rPr>
        <w:t>"שנתגייר"</w:t>
      </w:r>
      <w:r w:rsidR="002116F9">
        <w:rPr>
          <w:rFonts w:hint="cs"/>
          <w:rtl/>
        </w:rPr>
        <w:t xml:space="preserve">. אולם התיקון לא קבע הגדרה לגיור וכך </w:t>
      </w:r>
      <w:r>
        <w:rPr>
          <w:rFonts w:hint="cs"/>
          <w:rtl/>
        </w:rPr>
        <w:t>נמצא כי הגדרת</w:t>
      </w:r>
      <w:r w:rsidR="00BA7169">
        <w:rPr>
          <w:rFonts w:hint="cs"/>
          <w:rtl/>
        </w:rPr>
        <w:t xml:space="preserve"> </w:t>
      </w:r>
      <w:r w:rsidR="002116F9">
        <w:rPr>
          <w:rFonts w:hint="cs"/>
          <w:rtl/>
        </w:rPr>
        <w:t>"גיור"</w:t>
      </w:r>
      <w:r w:rsidR="00BA7169">
        <w:rPr>
          <w:rFonts w:hint="cs"/>
          <w:rtl/>
        </w:rPr>
        <w:t xml:space="preserve"> </w:t>
      </w:r>
      <w:r>
        <w:rPr>
          <w:rFonts w:hint="cs"/>
          <w:rtl/>
        </w:rPr>
        <w:t>עמדה במוקד פסקי דין שניתנו ב</w:t>
      </w:r>
      <w:r w:rsidR="002116F9">
        <w:rPr>
          <w:rFonts w:hint="cs"/>
          <w:rtl/>
        </w:rPr>
        <w:t xml:space="preserve">הרכבים מורחבים של </w:t>
      </w:r>
      <w:r>
        <w:rPr>
          <w:rFonts w:hint="cs"/>
          <w:rtl/>
        </w:rPr>
        <w:t>בית המשפט העליון</w:t>
      </w:r>
      <w:r w:rsidR="00BA7169">
        <w:rPr>
          <w:rFonts w:hint="cs"/>
          <w:rtl/>
        </w:rPr>
        <w:t xml:space="preserve"> </w:t>
      </w:r>
      <w:r w:rsidR="002116F9">
        <w:rPr>
          <w:rFonts w:hint="cs"/>
          <w:rtl/>
        </w:rPr>
        <w:t>ב</w:t>
      </w:r>
      <w:r w:rsidR="00BA7169">
        <w:rPr>
          <w:rFonts w:hint="cs"/>
          <w:rtl/>
        </w:rPr>
        <w:t>חמישים השנים האחרונות</w:t>
      </w:r>
      <w:r>
        <w:rPr>
          <w:rFonts w:hint="cs"/>
          <w:rtl/>
        </w:rPr>
        <w:t>. בכ</w:t>
      </w:r>
      <w:r w:rsidR="002116F9">
        <w:rPr>
          <w:rFonts w:hint="cs"/>
          <w:rtl/>
        </w:rPr>
        <w:t>ולם</w:t>
      </w:r>
      <w:r>
        <w:rPr>
          <w:rFonts w:hint="cs"/>
          <w:rtl/>
        </w:rPr>
        <w:t xml:space="preserve"> חזר בית המשפט העליון וקרא לכנסת להסדיר את נושא הגיור בחקיקה ואף השהה פעם אחר פעם מתן פסקי הדין כדי לאפשר את הסדרת הנושא בחקיקה, אך עד היום נמנעה הכנסת מהסדרת נושא הגיור בחקיקה.</w:t>
      </w:r>
    </w:p>
    <w:p w:rsidR="00C52120" w:rsidRDefault="00C52120" w:rsidP="00C52120">
      <w:pPr>
        <w:rPr>
          <w:rtl/>
        </w:rPr>
      </w:pPr>
    </w:p>
    <w:p w:rsidR="00C52120" w:rsidRDefault="00C52120" w:rsidP="002116F9">
      <w:pPr>
        <w:rPr>
          <w:rtl/>
        </w:rPr>
      </w:pPr>
      <w:r>
        <w:rPr>
          <w:rFonts w:hint="cs"/>
          <w:rtl/>
        </w:rPr>
        <w:t>בשנים 2004 ו-2005 ניתנו בבית המשפט העליון שני פסקי דין ב</w:t>
      </w:r>
      <w:r w:rsidRPr="00C52120">
        <w:rPr>
          <w:rFonts w:hint="cs"/>
          <w:b/>
          <w:bCs/>
          <w:rtl/>
        </w:rPr>
        <w:t>'פרשת טושביים'</w:t>
      </w:r>
      <w:r w:rsidRPr="00C52120">
        <w:rPr>
          <w:rFonts w:hint="cs"/>
          <w:rtl/>
        </w:rPr>
        <w:t xml:space="preserve"> (בג"ץ 2597/99 </w:t>
      </w:r>
      <w:r w:rsidRPr="00C52120">
        <w:rPr>
          <w:rFonts w:hint="cs"/>
          <w:b/>
          <w:bCs/>
          <w:rtl/>
        </w:rPr>
        <w:t>טושביים נ' שר הפנים</w:t>
      </w:r>
      <w:r w:rsidRPr="00C52120">
        <w:rPr>
          <w:rFonts w:hint="cs"/>
          <w:rtl/>
        </w:rPr>
        <w:t>, פ"ד נח(5), 412 (2004) (</w:t>
      </w:r>
      <w:r w:rsidRPr="00C52120">
        <w:rPr>
          <w:rFonts w:hint="cs"/>
          <w:b/>
          <w:bCs/>
          <w:rtl/>
        </w:rPr>
        <w:t>טושביים א'</w:t>
      </w:r>
      <w:r w:rsidRPr="00C52120">
        <w:rPr>
          <w:rFonts w:hint="cs"/>
          <w:rtl/>
        </w:rPr>
        <w:t xml:space="preserve">); בג"ץ 2597/99 </w:t>
      </w:r>
      <w:r w:rsidRPr="00C52120">
        <w:rPr>
          <w:rFonts w:hint="cs"/>
          <w:b/>
          <w:bCs/>
          <w:rtl/>
        </w:rPr>
        <w:t>טושביים נ' שר הפנים</w:t>
      </w:r>
      <w:r w:rsidRPr="00C52120">
        <w:rPr>
          <w:rFonts w:hint="cs"/>
          <w:rtl/>
        </w:rPr>
        <w:t>, פ"ד נט(6), 721 (2005) (</w:t>
      </w:r>
      <w:r w:rsidRPr="00C52120">
        <w:rPr>
          <w:rFonts w:hint="cs"/>
          <w:b/>
          <w:bCs/>
          <w:rtl/>
        </w:rPr>
        <w:t>טושביים ב'</w:t>
      </w:r>
      <w:r w:rsidRPr="00C52120">
        <w:rPr>
          <w:rFonts w:hint="cs"/>
          <w:rtl/>
        </w:rPr>
        <w:t>)</w:t>
      </w:r>
      <w:r>
        <w:rPr>
          <w:rFonts w:hint="cs"/>
          <w:rtl/>
        </w:rPr>
        <w:t>)</w:t>
      </w:r>
      <w:r w:rsidRPr="00C52120">
        <w:rPr>
          <w:rFonts w:hint="cs"/>
          <w:rtl/>
        </w:rPr>
        <w:t>.</w:t>
      </w:r>
      <w:r>
        <w:rPr>
          <w:rFonts w:hint="cs"/>
          <w:rtl/>
        </w:rPr>
        <w:t xml:space="preserve"> בפסק הדין הראשון נקבע כי חוק השבות חל גם על מי שבעת הגעתו לישראל לא היה יהודי ותוך כדי שהייתו בישראל התגייר כדין, בין בישראל ובין מחוץ לישראל. בפסק הדין השני נקבע כי </w:t>
      </w:r>
      <w:r w:rsidR="00BA7169">
        <w:rPr>
          <w:rFonts w:hint="cs"/>
          <w:rtl/>
        </w:rPr>
        <w:t>לעניין מעמד מכוח חוק השבות יש להכיר בגיורי העותרים</w:t>
      </w:r>
      <w:r>
        <w:rPr>
          <w:rFonts w:hint="cs"/>
          <w:rtl/>
        </w:rPr>
        <w:t xml:space="preserve">, אשר שהו בישראל כדין, החלו הליך גיור ולמדו לקראתו בישראל, אך את תהליך הגיור עברו מחוץ לישראל בבתי דין של הקהילה הרפורמית ושל הקהילה הקונסרבטיבית ומיד לאחר </w:t>
      </w:r>
      <w:r w:rsidR="002116F9">
        <w:rPr>
          <w:rFonts w:hint="cs"/>
          <w:rtl/>
        </w:rPr>
        <w:t xml:space="preserve">מכן חזרו </w:t>
      </w:r>
      <w:r>
        <w:rPr>
          <w:rFonts w:hint="cs"/>
          <w:rtl/>
        </w:rPr>
        <w:t>לישראל</w:t>
      </w:r>
      <w:r w:rsidR="00BA7169">
        <w:rPr>
          <w:rFonts w:hint="cs"/>
          <w:rtl/>
        </w:rPr>
        <w:t xml:space="preserve"> (גיור שכונה "גיורי קפיצה")</w:t>
      </w:r>
      <w:r>
        <w:rPr>
          <w:rFonts w:hint="cs"/>
          <w:rtl/>
        </w:rPr>
        <w:t xml:space="preserve">. </w:t>
      </w:r>
      <w:r w:rsidR="00BA7169">
        <w:rPr>
          <w:rFonts w:hint="cs"/>
          <w:rtl/>
        </w:rPr>
        <w:t xml:space="preserve">עם זאת נקבע </w:t>
      </w:r>
      <w:r w:rsidR="00224226">
        <w:rPr>
          <w:rFonts w:hint="cs"/>
          <w:rtl/>
        </w:rPr>
        <w:t xml:space="preserve">כי גיור שנערך מחוץ לישראל יוכר רק אם נערך </w:t>
      </w:r>
      <w:r>
        <w:rPr>
          <w:rFonts w:hint="cs"/>
          <w:rtl/>
        </w:rPr>
        <w:t>ב</w:t>
      </w:r>
      <w:r w:rsidRPr="00D96076">
        <w:rPr>
          <w:rFonts w:hint="cs"/>
          <w:b/>
          <w:bCs/>
          <w:rtl/>
        </w:rPr>
        <w:t>"קהילה יהודית מוכרת"</w:t>
      </w:r>
      <w:r>
        <w:rPr>
          <w:rFonts w:hint="cs"/>
          <w:rtl/>
        </w:rPr>
        <w:t>.</w:t>
      </w:r>
    </w:p>
    <w:p w:rsidR="00C52120" w:rsidRPr="00C52120" w:rsidRDefault="00C52120" w:rsidP="00C52120">
      <w:pPr>
        <w:rPr>
          <w:rtl/>
        </w:rPr>
      </w:pPr>
    </w:p>
    <w:p w:rsidR="00224226" w:rsidRPr="00224226" w:rsidRDefault="00224226" w:rsidP="002116F9">
      <w:pPr>
        <w:rPr>
          <w:rtl/>
        </w:rPr>
      </w:pPr>
      <w:r>
        <w:rPr>
          <w:rFonts w:hint="cs"/>
          <w:rtl/>
        </w:rPr>
        <w:t xml:space="preserve">בשנת 2016 ניתן פסק דין בפרשת </w:t>
      </w:r>
      <w:r w:rsidRPr="00224226">
        <w:rPr>
          <w:rFonts w:hint="cs"/>
          <w:b/>
          <w:bCs/>
          <w:rtl/>
        </w:rPr>
        <w:t>רגצ'ובה</w:t>
      </w:r>
      <w:r>
        <w:rPr>
          <w:rFonts w:hint="cs"/>
          <w:rtl/>
        </w:rPr>
        <w:t xml:space="preserve"> (</w:t>
      </w:r>
      <w:r w:rsidRPr="00224226">
        <w:rPr>
          <w:rFonts w:hint="cs"/>
          <w:rtl/>
        </w:rPr>
        <w:t xml:space="preserve">בג"ץ 7625/06 </w:t>
      </w:r>
      <w:r w:rsidRPr="00224226">
        <w:rPr>
          <w:rFonts w:hint="cs"/>
          <w:b/>
          <w:bCs/>
          <w:rtl/>
        </w:rPr>
        <w:t>רגצו'בה נ' משרד הפנים</w:t>
      </w:r>
      <w:r w:rsidRPr="00224226">
        <w:rPr>
          <w:rFonts w:hint="cs"/>
          <w:rtl/>
        </w:rPr>
        <w:t xml:space="preserve"> (31.3.2016))</w:t>
      </w:r>
      <w:r>
        <w:rPr>
          <w:rFonts w:hint="cs"/>
          <w:rtl/>
        </w:rPr>
        <w:t xml:space="preserve">, </w:t>
      </w:r>
      <w:r w:rsidR="002116F9">
        <w:rPr>
          <w:rFonts w:hint="cs"/>
          <w:rtl/>
        </w:rPr>
        <w:t>שבמסגרתו</w:t>
      </w:r>
      <w:r>
        <w:rPr>
          <w:rFonts w:hint="cs"/>
          <w:rtl/>
        </w:rPr>
        <w:t xml:space="preserve"> נדונו עתירות </w:t>
      </w:r>
      <w:r w:rsidR="002116F9">
        <w:rPr>
          <w:rFonts w:hint="cs"/>
          <w:rtl/>
        </w:rPr>
        <w:t xml:space="preserve">רבות </w:t>
      </w:r>
      <w:r>
        <w:rPr>
          <w:rFonts w:hint="cs"/>
          <w:rtl/>
        </w:rPr>
        <w:t xml:space="preserve">שהוגשו בשנת 2006, אך מתן פסק הדין הושהה </w:t>
      </w:r>
      <w:r w:rsidR="00BA7169">
        <w:rPr>
          <w:rFonts w:hint="cs"/>
          <w:rtl/>
        </w:rPr>
        <w:t xml:space="preserve">במשך כעשור, </w:t>
      </w:r>
      <w:r>
        <w:rPr>
          <w:rFonts w:hint="cs"/>
          <w:rtl/>
        </w:rPr>
        <w:t xml:space="preserve">כדי לאפשר לכנסת להסדיר את נושא הגיור בחקיקה. בפסק דין זה נקבע כי </w:t>
      </w:r>
      <w:r w:rsidRPr="00224226">
        <w:rPr>
          <w:rFonts w:hint="cs"/>
          <w:rtl/>
        </w:rPr>
        <w:t xml:space="preserve">לעניין מעמד מכוח חוק השבות, יש להחיל את מבחן </w:t>
      </w:r>
      <w:r w:rsidRPr="00224226">
        <w:rPr>
          <w:rFonts w:hint="cs"/>
          <w:b/>
          <w:bCs/>
          <w:rtl/>
        </w:rPr>
        <w:t>"הקהילה היהודית המוכרת"</w:t>
      </w:r>
      <w:r w:rsidRPr="00224226">
        <w:rPr>
          <w:rFonts w:hint="cs"/>
          <w:rtl/>
        </w:rPr>
        <w:t xml:space="preserve"> גם על גיור שנערך בישראל</w:t>
      </w:r>
      <w:r>
        <w:rPr>
          <w:rFonts w:hint="cs"/>
          <w:rtl/>
        </w:rPr>
        <w:t xml:space="preserve"> וכן כי </w:t>
      </w:r>
      <w:r w:rsidRPr="00224226">
        <w:rPr>
          <w:rFonts w:hint="cs"/>
          <w:rtl/>
        </w:rPr>
        <w:t xml:space="preserve">לא ניתן להגביל את הגיור רק לגיור באמצעות מערך הגיור הממלכתי. בהתאם לכך נקבע </w:t>
      </w:r>
      <w:r>
        <w:rPr>
          <w:rFonts w:hint="cs"/>
          <w:rtl/>
        </w:rPr>
        <w:t>כי</w:t>
      </w:r>
      <w:r w:rsidRPr="00224226">
        <w:rPr>
          <w:rFonts w:hint="cs"/>
          <w:rtl/>
        </w:rPr>
        <w:t xml:space="preserve"> יש להכיר </w:t>
      </w:r>
      <w:r w:rsidRPr="00224226">
        <w:rPr>
          <w:rFonts w:hint="cs"/>
          <w:rtl/>
        </w:rPr>
        <w:lastRenderedPageBreak/>
        <w:t>בגיור שנערך בבתי דין פרטיים אורתודוכסיים-חרדיים לגיור</w:t>
      </w:r>
      <w:r>
        <w:rPr>
          <w:rFonts w:hint="cs"/>
          <w:rtl/>
        </w:rPr>
        <w:t xml:space="preserve"> (בית הדין של הרב קרליץ בבני ברק ובית הדין של הרב פרנק בשכונת מאה שערים בירושלים)</w:t>
      </w:r>
      <w:r w:rsidRPr="00224226">
        <w:rPr>
          <w:rFonts w:hint="cs"/>
          <w:rtl/>
        </w:rPr>
        <w:t>.</w:t>
      </w:r>
    </w:p>
    <w:p w:rsidR="00224226" w:rsidRDefault="00224226" w:rsidP="00224226">
      <w:pPr>
        <w:rPr>
          <w:rtl/>
        </w:rPr>
      </w:pPr>
    </w:p>
    <w:p w:rsidR="00C52120" w:rsidRDefault="00F95CAD" w:rsidP="002116F9">
      <w:pPr>
        <w:rPr>
          <w:rtl/>
        </w:rPr>
      </w:pPr>
      <w:r>
        <w:rPr>
          <w:rFonts w:hint="cs"/>
          <w:rtl/>
        </w:rPr>
        <w:t>בשנת 2021 ניתן פסק דין בעניין עתירות רבות שהוגשו לבית המשפט העליון בשנים 2006-2005</w:t>
      </w:r>
      <w:r w:rsidR="00BA7169">
        <w:rPr>
          <w:rFonts w:hint="cs"/>
          <w:rtl/>
        </w:rPr>
        <w:t xml:space="preserve"> </w:t>
      </w:r>
      <w:r w:rsidR="002116F9">
        <w:rPr>
          <w:rFonts w:hint="cs"/>
          <w:rtl/>
        </w:rPr>
        <w:t xml:space="preserve">שעסק </w:t>
      </w:r>
      <w:r w:rsidR="00BA7169">
        <w:rPr>
          <w:rFonts w:hint="cs"/>
          <w:rtl/>
        </w:rPr>
        <w:t>בשאלת הגיור הרפורמי והקונסרבטיבי שנערך בישראל.</w:t>
      </w:r>
      <w:r>
        <w:rPr>
          <w:rFonts w:hint="cs"/>
          <w:rtl/>
        </w:rPr>
        <w:t xml:space="preserve"> </w:t>
      </w:r>
      <w:r w:rsidR="00BA7169">
        <w:rPr>
          <w:rFonts w:hint="cs"/>
          <w:rtl/>
        </w:rPr>
        <w:t xml:space="preserve">גם </w:t>
      </w:r>
      <w:r>
        <w:rPr>
          <w:rFonts w:hint="cs"/>
          <w:rtl/>
        </w:rPr>
        <w:t>ההכרעה ב</w:t>
      </w:r>
      <w:r w:rsidR="00BA7169">
        <w:rPr>
          <w:rFonts w:hint="cs"/>
          <w:rtl/>
        </w:rPr>
        <w:t>עתירות אלו</w:t>
      </w:r>
      <w:r>
        <w:rPr>
          <w:rFonts w:hint="cs"/>
          <w:rtl/>
        </w:rPr>
        <w:t xml:space="preserve"> הושהתה </w:t>
      </w:r>
      <w:r w:rsidR="00BA7169">
        <w:rPr>
          <w:rFonts w:hint="cs"/>
          <w:rtl/>
        </w:rPr>
        <w:t xml:space="preserve">במשך כשש-עשרה שנה </w:t>
      </w:r>
      <w:r>
        <w:rPr>
          <w:rFonts w:hint="cs"/>
          <w:rtl/>
        </w:rPr>
        <w:t xml:space="preserve">כדי לאפשר לכנסת לחוקק חוק שיסדיר את נושא הגיור. </w:t>
      </w:r>
      <w:r w:rsidR="00BA7169">
        <w:rPr>
          <w:rFonts w:hint="cs"/>
          <w:rtl/>
        </w:rPr>
        <w:t>לאחר שהכנסת נמנעה מכך, ניתן פסק הדין</w:t>
      </w:r>
      <w:r>
        <w:rPr>
          <w:rFonts w:hint="cs"/>
          <w:rtl/>
        </w:rPr>
        <w:t xml:space="preserve"> (</w:t>
      </w:r>
      <w:r w:rsidRPr="00F95CAD">
        <w:rPr>
          <w:rFonts w:hint="cs"/>
          <w:rtl/>
        </w:rPr>
        <w:t xml:space="preserve">בג"ץ 11013/05 </w:t>
      </w:r>
      <w:r w:rsidRPr="00F95CAD">
        <w:rPr>
          <w:rFonts w:hint="cs"/>
          <w:b/>
          <w:bCs/>
          <w:rtl/>
        </w:rPr>
        <w:t xml:space="preserve">דהן נ' שר הפנים </w:t>
      </w:r>
      <w:r w:rsidRPr="00F95CAD">
        <w:rPr>
          <w:rFonts w:hint="cs"/>
          <w:rtl/>
        </w:rPr>
        <w:t>(1.3.2021)</w:t>
      </w:r>
      <w:r>
        <w:rPr>
          <w:rFonts w:hint="cs"/>
          <w:rtl/>
        </w:rPr>
        <w:t>)</w:t>
      </w:r>
      <w:r w:rsidR="00A0449E">
        <w:rPr>
          <w:rFonts w:hint="cs"/>
          <w:rtl/>
        </w:rPr>
        <w:t xml:space="preserve">, </w:t>
      </w:r>
      <w:r w:rsidR="00BA7169">
        <w:rPr>
          <w:rFonts w:hint="cs"/>
          <w:rtl/>
        </w:rPr>
        <w:t xml:space="preserve">אשר </w:t>
      </w:r>
      <w:r w:rsidR="002116F9">
        <w:rPr>
          <w:rFonts w:hint="cs"/>
          <w:rtl/>
        </w:rPr>
        <w:t xml:space="preserve">קבע תוך יישום פסקי הדין הקודמים (בעניין </w:t>
      </w:r>
      <w:r w:rsidR="002116F9" w:rsidRPr="002116F9">
        <w:rPr>
          <w:rFonts w:hint="cs"/>
          <w:b/>
          <w:bCs/>
          <w:rtl/>
        </w:rPr>
        <w:t>טושביים</w:t>
      </w:r>
      <w:r w:rsidR="002116F9">
        <w:rPr>
          <w:rFonts w:hint="cs"/>
          <w:rtl/>
        </w:rPr>
        <w:t xml:space="preserve"> ובעניין </w:t>
      </w:r>
      <w:r w:rsidR="002116F9" w:rsidRPr="002116F9">
        <w:rPr>
          <w:rFonts w:hint="cs"/>
          <w:b/>
          <w:bCs/>
          <w:rtl/>
        </w:rPr>
        <w:t>רגצ'ובה</w:t>
      </w:r>
      <w:r w:rsidR="002116F9">
        <w:rPr>
          <w:rFonts w:hint="cs"/>
          <w:rtl/>
        </w:rPr>
        <w:t>)</w:t>
      </w:r>
      <w:r w:rsidR="00A0449E">
        <w:rPr>
          <w:rFonts w:hint="cs"/>
          <w:rtl/>
        </w:rPr>
        <w:t>, כי לעניין חוק השבות, יש להכיר בגיור שעברו העותרים בקהילות רפורמיות וקונסרבטיביות בישראל</w:t>
      </w:r>
      <w:r w:rsidR="002116F9">
        <w:rPr>
          <w:rFonts w:hint="cs"/>
          <w:rtl/>
        </w:rPr>
        <w:t xml:space="preserve"> בהיותן "קהילות מוכרות בישראל"</w:t>
      </w:r>
      <w:r w:rsidR="00A0449E">
        <w:rPr>
          <w:rFonts w:hint="cs"/>
          <w:rtl/>
        </w:rPr>
        <w:t xml:space="preserve">. </w:t>
      </w:r>
    </w:p>
    <w:p w:rsidR="00A0449E" w:rsidRDefault="00A0449E" w:rsidP="00A0449E">
      <w:pPr>
        <w:rPr>
          <w:rtl/>
        </w:rPr>
      </w:pPr>
    </w:p>
    <w:p w:rsidR="00A0449E" w:rsidRDefault="00A0449E" w:rsidP="002116F9">
      <w:r>
        <w:rPr>
          <w:rFonts w:hint="cs"/>
          <w:rtl/>
        </w:rPr>
        <w:t xml:space="preserve">בפסק הדין הנדון נקבע כי אמנם יש ממש בטענת משרד הפנים בדבר הקושי הממשי ליישם את </w:t>
      </w:r>
      <w:r w:rsidRPr="00A0449E">
        <w:rPr>
          <w:rFonts w:hint="cs"/>
          <w:b/>
          <w:bCs/>
          <w:rtl/>
        </w:rPr>
        <w:t xml:space="preserve">"מבחן הקהילה המוכרת </w:t>
      </w:r>
      <w:r w:rsidR="00BA7169">
        <w:rPr>
          <w:rFonts w:hint="cs"/>
          <w:b/>
          <w:bCs/>
          <w:rtl/>
        </w:rPr>
        <w:t>בישראל</w:t>
      </w:r>
      <w:r w:rsidRPr="00A0449E">
        <w:rPr>
          <w:rFonts w:hint="cs"/>
          <w:b/>
          <w:bCs/>
          <w:rtl/>
        </w:rPr>
        <w:t>"</w:t>
      </w:r>
      <w:r>
        <w:rPr>
          <w:rFonts w:hint="cs"/>
          <w:rtl/>
        </w:rPr>
        <w:t xml:space="preserve"> על גיורים שנערכו בישראל וזאת בשל השוני המהותי בין המבנה הקהילתי של קהילות </w:t>
      </w:r>
      <w:r w:rsidR="00BA7169">
        <w:rPr>
          <w:rFonts w:hint="cs"/>
          <w:rtl/>
        </w:rPr>
        <w:t xml:space="preserve">יהודיות </w:t>
      </w:r>
      <w:r>
        <w:rPr>
          <w:rFonts w:hint="cs"/>
          <w:rtl/>
        </w:rPr>
        <w:t>מחוץ לישראל לבין מסגרות הגיור בישראל. עם זאת נקבע, כי מעת שנקבע כי לא ניתן לחייב לעבור גיו</w:t>
      </w:r>
      <w:r w:rsidR="00BA7169">
        <w:rPr>
          <w:rFonts w:hint="cs"/>
          <w:rtl/>
        </w:rPr>
        <w:t xml:space="preserve">ר רק במסגרת מערך הגיור הממלכתי וכן נקבע </w:t>
      </w:r>
      <w:r>
        <w:rPr>
          <w:rFonts w:hint="cs"/>
          <w:rtl/>
        </w:rPr>
        <w:t xml:space="preserve">כי יש להכיר בגיור שנעשה בישראל בבתי דין פרטיים אורתודוכסיים-חרדים לגיור (פרשת </w:t>
      </w:r>
      <w:r w:rsidRPr="00BA7169">
        <w:rPr>
          <w:rFonts w:hint="cs"/>
          <w:b/>
          <w:bCs/>
          <w:rtl/>
        </w:rPr>
        <w:t>רגצ'ובה</w:t>
      </w:r>
      <w:r>
        <w:rPr>
          <w:rFonts w:hint="cs"/>
          <w:rtl/>
        </w:rPr>
        <w:t xml:space="preserve">) ואף נקבע כי יש להכיר בגיור שנעשה בישראל בקהילות קונסרבטיביות ורפורמיות (פרשת </w:t>
      </w:r>
      <w:r w:rsidRPr="00BA7169">
        <w:rPr>
          <w:rFonts w:hint="cs"/>
          <w:b/>
          <w:bCs/>
          <w:rtl/>
        </w:rPr>
        <w:t>דהן</w:t>
      </w:r>
      <w:r>
        <w:rPr>
          <w:rFonts w:hint="cs"/>
          <w:rtl/>
        </w:rPr>
        <w:t xml:space="preserve">), אף יש להכיר בגיור שנעשה בבתי הדין הפרטיים אורתודוכסיים לגיור של רשת </w:t>
      </w:r>
      <w:r w:rsidR="00BA7169" w:rsidRPr="00BA7169">
        <w:rPr>
          <w:rFonts w:hint="cs"/>
          <w:b/>
          <w:bCs/>
          <w:rtl/>
        </w:rPr>
        <w:t>"גיור כהלכה – בית דין ציוני דתי לגיור"</w:t>
      </w:r>
      <w:r>
        <w:rPr>
          <w:rFonts w:hint="cs"/>
          <w:rtl/>
        </w:rPr>
        <w:t xml:space="preserve">.  </w:t>
      </w:r>
    </w:p>
    <w:sectPr w:rsidR="00A0449E" w:rsidSect="004942BC">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046"/>
    <w:rsid w:val="00202D5A"/>
    <w:rsid w:val="002116F9"/>
    <w:rsid w:val="00223696"/>
    <w:rsid w:val="00224226"/>
    <w:rsid w:val="0028482E"/>
    <w:rsid w:val="00324046"/>
    <w:rsid w:val="003379F4"/>
    <w:rsid w:val="004942BC"/>
    <w:rsid w:val="00506A2B"/>
    <w:rsid w:val="008C0D72"/>
    <w:rsid w:val="00974A07"/>
    <w:rsid w:val="00A0449E"/>
    <w:rsid w:val="00B67777"/>
    <w:rsid w:val="00BA7169"/>
    <w:rsid w:val="00C52120"/>
    <w:rsid w:val="00F95CA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08F8AF-29E2-4596-9615-86B48996B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David" w:eastAsiaTheme="minorHAnsi" w:hAnsi="David" w:cs="David"/>
        <w:sz w:val="24"/>
        <w:szCs w:val="24"/>
        <w:lang w:val="en-US" w:eastAsia="en-US" w:bidi="he-IL"/>
      </w:rPr>
    </w:rPrDefault>
    <w:pPrDefault>
      <w:pPr>
        <w:bidi/>
        <w:spacing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604</Words>
  <Characters>3021</Characters>
  <Application>Microsoft Office Word</Application>
  <DocSecurity>4</DocSecurity>
  <Lines>25</Lines>
  <Paragraphs>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תמר בר-אשר</dc:creator>
  <cp:keywords/>
  <dc:description/>
  <cp:lastModifiedBy>הדס לרנר</cp:lastModifiedBy>
  <cp:revision>2</cp:revision>
  <dcterms:created xsi:type="dcterms:W3CDTF">2022-09-29T06:15:00Z</dcterms:created>
  <dcterms:modified xsi:type="dcterms:W3CDTF">2022-09-29T06:15:00Z</dcterms:modified>
</cp:coreProperties>
</file>