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E84102" w14:paraId="3ABA5D03" w14:textId="77777777" w:rsidTr="004910D0">
        <w:trPr>
          <w:jc w:val="center"/>
        </w:trPr>
        <w:tc>
          <w:tcPr>
            <w:tcW w:w="743" w:type="dxa"/>
          </w:tcPr>
          <w:p w14:paraId="2B351259" w14:textId="77777777" w:rsidR="00E84102" w:rsidRPr="008A59EE" w:rsidRDefault="0094424E" w:rsidP="004910D0">
            <w:pPr>
              <w:suppressLineNumbers/>
              <w:jc w:val="both"/>
              <w:rPr>
                <w:rFonts w:ascii="Arial" w:hAnsi="Arial"/>
                <w:b/>
                <w:bCs/>
                <w:sz w:val="26"/>
                <w:szCs w:val="26"/>
                <w:rtl/>
              </w:rPr>
            </w:pPr>
            <w:bookmarkStart w:id="0" w:name="_GoBack"/>
            <w:bookmarkEnd w:id="0"/>
            <w:r>
              <w:rPr>
                <w:rtl/>
              </w:rPr>
              <w:t xml:space="preserve"> </w:t>
            </w:r>
            <w:bookmarkStart w:id="1" w:name="NGCSBookmark"/>
            <w:bookmarkEnd w:id="1"/>
            <w:r w:rsidR="00E84102">
              <w:rPr>
                <w:rFonts w:ascii="Arial" w:hAnsi="Arial" w:hint="cs"/>
                <w:b/>
                <w:bCs/>
                <w:sz w:val="26"/>
                <w:szCs w:val="26"/>
                <w:rtl/>
              </w:rPr>
              <w:t>ל</w:t>
            </w:r>
            <w:r w:rsidR="00E84102" w:rsidRPr="008A59EE">
              <w:rPr>
                <w:rFonts w:ascii="Arial" w:hAnsi="Arial"/>
                <w:b/>
                <w:bCs/>
                <w:sz w:val="26"/>
                <w:szCs w:val="26"/>
                <w:rtl/>
              </w:rPr>
              <w:t xml:space="preserve">פני </w:t>
            </w:r>
          </w:p>
        </w:tc>
        <w:tc>
          <w:tcPr>
            <w:tcW w:w="8077" w:type="dxa"/>
            <w:gridSpan w:val="2"/>
          </w:tcPr>
          <w:p w14:paraId="2E0DB23B" w14:textId="77777777" w:rsidR="00E84102" w:rsidRPr="008A59EE" w:rsidRDefault="00E84102" w:rsidP="004910D0">
            <w:pPr>
              <w:suppressLineNumbers/>
              <w:rPr>
                <w:rFonts w:ascii="Arial" w:hAnsi="Arial"/>
                <w:b/>
                <w:bCs/>
                <w:sz w:val="26"/>
                <w:szCs w:val="26"/>
                <w:rtl/>
              </w:rPr>
            </w:pPr>
            <w:r w:rsidRPr="008A59EE">
              <w:rPr>
                <w:rFonts w:ascii="Arial" w:hAnsi="Arial" w:hint="cs"/>
                <w:b/>
                <w:bCs/>
                <w:sz w:val="26"/>
                <w:szCs w:val="26"/>
                <w:rtl/>
              </w:rPr>
              <w:t>כבוד ה</w:t>
            </w:r>
            <w:sdt>
              <w:sdtPr>
                <w:rPr>
                  <w:sz w:val="26"/>
                  <w:szCs w:val="26"/>
                  <w:rtl/>
                </w:rPr>
                <w:alias w:val="1574"/>
                <w:tag w:val="1574"/>
                <w:id w:val="-1646883368"/>
                <w:text w:multiLine="1"/>
              </w:sdtPr>
              <w:sdtEndPr/>
              <w:sdtContent>
                <w:r>
                  <w:rPr>
                    <w:rFonts w:ascii="Arial" w:hAnsi="Arial"/>
                    <w:b/>
                    <w:bCs/>
                    <w:sz w:val="26"/>
                    <w:szCs w:val="26"/>
                    <w:rtl/>
                  </w:rPr>
                  <w:t>שופט</w:t>
                </w:r>
              </w:sdtContent>
            </w:sdt>
            <w:r w:rsidRPr="008A59EE">
              <w:rPr>
                <w:rFonts w:ascii="Arial" w:hAnsi="Arial" w:hint="cs"/>
                <w:b/>
                <w:bCs/>
                <w:sz w:val="26"/>
                <w:szCs w:val="26"/>
                <w:rtl/>
              </w:rPr>
              <w:t xml:space="preserve"> </w:t>
            </w:r>
            <w:sdt>
              <w:sdtPr>
                <w:rPr>
                  <w:sz w:val="26"/>
                  <w:szCs w:val="26"/>
                  <w:rtl/>
                </w:rPr>
                <w:alias w:val="1573"/>
                <w:tag w:val="1573"/>
                <w:id w:val="-136262532"/>
                <w:text w:multiLine="1"/>
              </w:sdtPr>
              <w:sdtEndPr/>
              <w:sdtContent>
                <w:r>
                  <w:rPr>
                    <w:rFonts w:ascii="Arial" w:hAnsi="Arial"/>
                    <w:b/>
                    <w:bCs/>
                    <w:sz w:val="26"/>
                    <w:szCs w:val="26"/>
                    <w:rtl/>
                  </w:rPr>
                  <w:t>חננאל שרעבי</w:t>
                </w:r>
              </w:sdtContent>
            </w:sdt>
          </w:p>
          <w:p w14:paraId="5E7B495D" w14:textId="77777777" w:rsidR="00E84102" w:rsidRPr="008A59EE" w:rsidRDefault="00E84102" w:rsidP="004910D0">
            <w:pPr>
              <w:suppressLineNumbers/>
              <w:rPr>
                <w:sz w:val="26"/>
                <w:szCs w:val="26"/>
              </w:rPr>
            </w:pPr>
          </w:p>
        </w:tc>
      </w:tr>
      <w:tr w:rsidR="00E84102" w14:paraId="6B066D2A" w14:textId="77777777" w:rsidTr="004910D0">
        <w:trPr>
          <w:jc w:val="center"/>
        </w:trPr>
        <w:tc>
          <w:tcPr>
            <w:tcW w:w="3249" w:type="dxa"/>
            <w:gridSpan w:val="2"/>
          </w:tcPr>
          <w:p w14:paraId="1A8F08F8" w14:textId="77777777" w:rsidR="00E84102" w:rsidRDefault="00E84102" w:rsidP="004910D0">
            <w:pPr>
              <w:suppressLineNumbers/>
              <w:rPr>
                <w:rtl/>
              </w:rPr>
            </w:pPr>
          </w:p>
          <w:sdt>
            <w:sdtPr>
              <w:rPr>
                <w:rtl/>
              </w:rPr>
              <w:alias w:val="1180"/>
              <w:tag w:val="1180"/>
              <w:id w:val="462625860"/>
              <w:text w:multiLine="1"/>
            </w:sdtPr>
            <w:sdtEndPr/>
            <w:sdtContent>
              <w:p w14:paraId="7C57D381" w14:textId="77777777" w:rsidR="00E84102" w:rsidRDefault="00E84102" w:rsidP="004910D0">
                <w:pPr>
                  <w:suppressLineNumbers/>
                  <w:rPr>
                    <w:rFonts w:ascii="Arial" w:hAnsi="Arial"/>
                    <w:b/>
                    <w:bCs/>
                    <w:sz w:val="26"/>
                    <w:szCs w:val="26"/>
                    <w:rtl/>
                  </w:rPr>
                </w:pPr>
                <w:r>
                  <w:rPr>
                    <w:rFonts w:ascii="Arial" w:hAnsi="Arial"/>
                    <w:b/>
                    <w:bCs/>
                    <w:sz w:val="26"/>
                    <w:szCs w:val="26"/>
                    <w:rtl/>
                  </w:rPr>
                  <w:t>מבקש</w:t>
                </w:r>
              </w:p>
            </w:sdtContent>
          </w:sdt>
        </w:tc>
        <w:tc>
          <w:tcPr>
            <w:tcW w:w="5571" w:type="dxa"/>
          </w:tcPr>
          <w:p w14:paraId="5059EBA8" w14:textId="77777777" w:rsidR="00E84102" w:rsidRDefault="00E84102" w:rsidP="004910D0">
            <w:pPr>
              <w:suppressLineNumbers/>
              <w:rPr>
                <w:rtl/>
              </w:rPr>
            </w:pPr>
          </w:p>
          <w:p w14:paraId="24B2662C" w14:textId="12943513" w:rsidR="00E84102" w:rsidRDefault="000637C2" w:rsidP="004910D0">
            <w:pPr>
              <w:suppressLineNumbers/>
              <w:spacing w:line="360" w:lineRule="auto"/>
              <w:rPr>
                <w:b/>
                <w:bCs/>
                <w:sz w:val="26"/>
                <w:szCs w:val="26"/>
              </w:rPr>
            </w:pPr>
            <w:sdt>
              <w:sdtPr>
                <w:rPr>
                  <w:b/>
                  <w:bCs/>
                  <w:sz w:val="26"/>
                  <w:szCs w:val="26"/>
                  <w:rtl/>
                </w:rPr>
                <w:alias w:val="3151"/>
                <w:tag w:val="3151"/>
                <w:id w:val="-1231304975"/>
                <w:placeholder>
                  <w:docPart w:val="1791360F50904E9DB75F203B6FBA11D4"/>
                </w:placeholder>
                <w:text w:multiLine="1"/>
              </w:sdtPr>
              <w:sdtEndPr/>
              <w:sdtContent>
                <w:r w:rsidR="007E2284">
                  <w:rPr>
                    <w:rFonts w:hint="cs"/>
                    <w:b/>
                    <w:bCs/>
                    <w:sz w:val="26"/>
                    <w:szCs w:val="26"/>
                    <w:rtl/>
                  </w:rPr>
                  <w:t>המבקש</w:t>
                </w:r>
              </w:sdtContent>
            </w:sdt>
          </w:p>
        </w:tc>
      </w:tr>
      <w:tr w:rsidR="00E84102" w14:paraId="45C85DD7" w14:textId="77777777" w:rsidTr="004910D0">
        <w:trPr>
          <w:jc w:val="center"/>
        </w:trPr>
        <w:tc>
          <w:tcPr>
            <w:tcW w:w="8820" w:type="dxa"/>
            <w:gridSpan w:val="3"/>
          </w:tcPr>
          <w:p w14:paraId="7096D386" w14:textId="77777777" w:rsidR="00E84102" w:rsidRDefault="00E84102" w:rsidP="004910D0">
            <w:pPr>
              <w:suppressLineNumbers/>
              <w:rPr>
                <w:rFonts w:ascii="Arial" w:hAnsi="Arial"/>
                <w:b/>
                <w:bCs/>
                <w:sz w:val="26"/>
                <w:szCs w:val="26"/>
                <w:rtl/>
              </w:rPr>
            </w:pPr>
          </w:p>
          <w:p w14:paraId="653DB1D7" w14:textId="77777777" w:rsidR="00E84102" w:rsidRDefault="00E84102" w:rsidP="004910D0">
            <w:pPr>
              <w:suppressLineNumbers/>
              <w:spacing w:line="360" w:lineRule="auto"/>
              <w:jc w:val="center"/>
              <w:rPr>
                <w:rFonts w:ascii="Arial" w:hAnsi="Arial"/>
                <w:b/>
                <w:bCs/>
                <w:sz w:val="26"/>
                <w:szCs w:val="26"/>
                <w:rtl/>
              </w:rPr>
            </w:pPr>
            <w:r>
              <w:rPr>
                <w:rFonts w:ascii="Arial" w:hAnsi="Arial"/>
                <w:b/>
                <w:bCs/>
                <w:sz w:val="26"/>
                <w:szCs w:val="26"/>
                <w:rtl/>
              </w:rPr>
              <w:t>נגד</w:t>
            </w:r>
          </w:p>
          <w:p w14:paraId="0ADC702E" w14:textId="77777777" w:rsidR="00E84102" w:rsidRDefault="00E84102" w:rsidP="004910D0">
            <w:pPr>
              <w:suppressLineNumbers/>
              <w:rPr>
                <w:rFonts w:ascii="Arial" w:hAnsi="Arial"/>
                <w:b/>
                <w:bCs/>
                <w:sz w:val="26"/>
                <w:szCs w:val="26"/>
              </w:rPr>
            </w:pPr>
          </w:p>
        </w:tc>
      </w:tr>
      <w:tr w:rsidR="00E84102" w14:paraId="2432AF24" w14:textId="77777777" w:rsidTr="004910D0">
        <w:trPr>
          <w:jc w:val="center"/>
        </w:trPr>
        <w:tc>
          <w:tcPr>
            <w:tcW w:w="3249" w:type="dxa"/>
            <w:gridSpan w:val="2"/>
          </w:tcPr>
          <w:p w14:paraId="32C4E5BC" w14:textId="77777777" w:rsidR="00E84102" w:rsidRDefault="000637C2" w:rsidP="004910D0">
            <w:pPr>
              <w:suppressLineNumbers/>
              <w:rPr>
                <w:rFonts w:ascii="Arial" w:hAnsi="Arial"/>
                <w:b/>
                <w:bCs/>
                <w:sz w:val="26"/>
                <w:szCs w:val="26"/>
              </w:rPr>
            </w:pPr>
            <w:sdt>
              <w:sdtPr>
                <w:rPr>
                  <w:b/>
                  <w:bCs/>
                  <w:sz w:val="26"/>
                  <w:szCs w:val="26"/>
                  <w:rtl/>
                </w:rPr>
                <w:alias w:val="1184"/>
                <w:tag w:val="1184"/>
                <w:id w:val="2025122255"/>
                <w:text w:multiLine="1"/>
              </w:sdtPr>
              <w:sdtEndPr/>
              <w:sdtContent>
                <w:r w:rsidR="00E84102" w:rsidRPr="00720EDD">
                  <w:rPr>
                    <w:rFonts w:ascii="Arial" w:hAnsi="Arial"/>
                    <w:b/>
                    <w:bCs/>
                    <w:sz w:val="26"/>
                    <w:szCs w:val="26"/>
                    <w:rtl/>
                  </w:rPr>
                  <w:t>משיב</w:t>
                </w:r>
                <w:r w:rsidR="00E84102" w:rsidRPr="00720EDD">
                  <w:rPr>
                    <w:rFonts w:ascii="Arial" w:hAnsi="Arial" w:hint="cs"/>
                    <w:b/>
                    <w:bCs/>
                    <w:sz w:val="26"/>
                    <w:szCs w:val="26"/>
                    <w:rtl/>
                  </w:rPr>
                  <w:t>ה</w:t>
                </w:r>
                <w:r w:rsidR="00E84102" w:rsidRPr="00720EDD">
                  <w:rPr>
                    <w:rFonts w:ascii="Arial" w:hAnsi="Arial"/>
                    <w:b/>
                    <w:bCs/>
                    <w:sz w:val="26"/>
                    <w:szCs w:val="26"/>
                    <w:rtl/>
                  </w:rPr>
                  <w:br/>
                </w:r>
                <w:r w:rsidR="00E84102" w:rsidRPr="00720EDD">
                  <w:rPr>
                    <w:b/>
                    <w:bCs/>
                    <w:sz w:val="26"/>
                    <w:szCs w:val="26"/>
                    <w:rtl/>
                  </w:rPr>
                  <w:br/>
                </w:r>
                <w:r w:rsidR="00E84102" w:rsidRPr="00720EDD">
                  <w:rPr>
                    <w:b/>
                    <w:bCs/>
                    <w:sz w:val="26"/>
                    <w:szCs w:val="26"/>
                    <w:rtl/>
                  </w:rPr>
                  <w:br/>
                </w:r>
                <w:r w:rsidR="00E84102" w:rsidRPr="00720EDD">
                  <w:rPr>
                    <w:b/>
                    <w:bCs/>
                    <w:sz w:val="26"/>
                    <w:szCs w:val="26"/>
                    <w:rtl/>
                  </w:rPr>
                  <w:br/>
                </w:r>
                <w:r w:rsidR="00E84102">
                  <w:rPr>
                    <w:rFonts w:hint="cs"/>
                    <w:b/>
                    <w:bCs/>
                    <w:sz w:val="26"/>
                    <w:szCs w:val="26"/>
                    <w:rtl/>
                  </w:rPr>
                  <w:t>בעניין הקטינים</w:t>
                </w:r>
              </w:sdtContent>
            </w:sdt>
          </w:p>
        </w:tc>
        <w:tc>
          <w:tcPr>
            <w:tcW w:w="5571" w:type="dxa"/>
          </w:tcPr>
          <w:p w14:paraId="46AE34F7" w14:textId="6EFE9267" w:rsidR="00E84102" w:rsidRPr="00CD516B" w:rsidRDefault="000637C2" w:rsidP="004910D0">
            <w:pPr>
              <w:suppressLineNumbers/>
              <w:spacing w:after="120"/>
              <w:rPr>
                <w:rFonts w:ascii="Arial" w:hAnsi="Arial"/>
                <w:b/>
                <w:bCs/>
                <w:sz w:val="26"/>
                <w:szCs w:val="26"/>
                <w:rtl/>
              </w:rPr>
            </w:pPr>
            <w:sdt>
              <w:sdtPr>
                <w:rPr>
                  <w:b/>
                  <w:bCs/>
                  <w:sz w:val="26"/>
                  <w:szCs w:val="26"/>
                  <w:rtl/>
                </w:rPr>
                <w:alias w:val="3152"/>
                <w:tag w:val="3152"/>
                <w:id w:val="259644836"/>
                <w:placeholder>
                  <w:docPart w:val="B6A68D4CBDCF4B5CB139A47E40EF908D"/>
                </w:placeholder>
                <w:text w:multiLine="1"/>
              </w:sdtPr>
              <w:sdtEndPr/>
              <w:sdtContent>
                <w:r w:rsidR="007E2284">
                  <w:rPr>
                    <w:rFonts w:hint="cs"/>
                    <w:b/>
                    <w:bCs/>
                    <w:sz w:val="26"/>
                    <w:szCs w:val="26"/>
                    <w:rtl/>
                  </w:rPr>
                  <w:t>המשיבה</w:t>
                </w:r>
                <w:r w:rsidR="00E84102">
                  <w:rPr>
                    <w:b/>
                    <w:bCs/>
                    <w:sz w:val="26"/>
                    <w:szCs w:val="26"/>
                    <w:rtl/>
                  </w:rPr>
                  <w:br/>
                </w:r>
                <w:r w:rsidR="00E84102">
                  <w:rPr>
                    <w:b/>
                    <w:bCs/>
                    <w:sz w:val="26"/>
                    <w:szCs w:val="26"/>
                    <w:rtl/>
                  </w:rPr>
                  <w:br/>
                </w:r>
                <w:r w:rsidR="00E84102">
                  <w:rPr>
                    <w:b/>
                    <w:bCs/>
                    <w:sz w:val="26"/>
                    <w:szCs w:val="26"/>
                    <w:rtl/>
                  </w:rPr>
                  <w:br/>
                </w:r>
                <w:r w:rsidR="00E84102">
                  <w:rPr>
                    <w:b/>
                    <w:bCs/>
                    <w:sz w:val="26"/>
                    <w:szCs w:val="26"/>
                    <w:rtl/>
                  </w:rPr>
                  <w:br/>
                </w:r>
                <w:r w:rsidR="007E2284">
                  <w:rPr>
                    <w:rFonts w:hint="cs"/>
                    <w:b/>
                    <w:bCs/>
                    <w:sz w:val="26"/>
                    <w:szCs w:val="26"/>
                    <w:rtl/>
                  </w:rPr>
                  <w:t>ה'</w:t>
                </w:r>
                <w:r w:rsidR="00E84102">
                  <w:rPr>
                    <w:rFonts w:hint="cs"/>
                    <w:b/>
                    <w:bCs/>
                    <w:sz w:val="26"/>
                    <w:szCs w:val="26"/>
                    <w:rtl/>
                  </w:rPr>
                  <w:t xml:space="preserve"> </w:t>
                </w:r>
                <w:r w:rsidR="00E84102" w:rsidRPr="00720EDD">
                  <w:rPr>
                    <w:b/>
                    <w:bCs/>
                    <w:sz w:val="26"/>
                    <w:szCs w:val="26"/>
                    <w:rtl/>
                  </w:rPr>
                  <w:t xml:space="preserve">יליד </w:t>
                </w:r>
                <w:r w:rsidR="00E84102">
                  <w:rPr>
                    <w:rFonts w:hint="cs"/>
                    <w:b/>
                    <w:bCs/>
                    <w:sz w:val="26"/>
                    <w:szCs w:val="26"/>
                    <w:rtl/>
                  </w:rPr>
                  <w:t>2009</w:t>
                </w:r>
                <w:r w:rsidR="00E84102">
                  <w:rPr>
                    <w:b/>
                    <w:bCs/>
                    <w:sz w:val="26"/>
                    <w:szCs w:val="26"/>
                    <w:rtl/>
                  </w:rPr>
                  <w:br/>
                </w:r>
                <w:r w:rsidR="007E2284">
                  <w:rPr>
                    <w:rFonts w:hint="cs"/>
                    <w:b/>
                    <w:bCs/>
                    <w:sz w:val="26"/>
                    <w:szCs w:val="26"/>
                    <w:rtl/>
                  </w:rPr>
                  <w:t>א'</w:t>
                </w:r>
                <w:r w:rsidR="00E84102">
                  <w:rPr>
                    <w:rFonts w:hint="cs"/>
                    <w:b/>
                    <w:bCs/>
                    <w:sz w:val="26"/>
                    <w:szCs w:val="26"/>
                    <w:rtl/>
                  </w:rPr>
                  <w:t xml:space="preserve"> ילידת 2011</w:t>
                </w:r>
                <w:r w:rsidR="00E84102">
                  <w:rPr>
                    <w:b/>
                    <w:bCs/>
                    <w:sz w:val="26"/>
                    <w:szCs w:val="26"/>
                    <w:rtl/>
                  </w:rPr>
                  <w:br/>
                </w:r>
                <w:r w:rsidR="007E2284">
                  <w:rPr>
                    <w:rFonts w:hint="cs"/>
                    <w:b/>
                    <w:bCs/>
                    <w:sz w:val="26"/>
                    <w:szCs w:val="26"/>
                    <w:rtl/>
                  </w:rPr>
                  <w:t>ש'</w:t>
                </w:r>
                <w:r w:rsidR="00E84102">
                  <w:rPr>
                    <w:rFonts w:hint="cs"/>
                    <w:b/>
                    <w:bCs/>
                    <w:sz w:val="26"/>
                    <w:szCs w:val="26"/>
                    <w:rtl/>
                  </w:rPr>
                  <w:t xml:space="preserve"> יליד 2013</w:t>
                </w:r>
              </w:sdtContent>
            </w:sdt>
          </w:p>
        </w:tc>
      </w:tr>
    </w:tbl>
    <w:p w14:paraId="4775AF86" w14:textId="77777777" w:rsidR="00E84102" w:rsidRDefault="00E84102" w:rsidP="00E84102">
      <w:pPr>
        <w:suppressLineNumbers/>
        <w:rPr>
          <w:rtl/>
        </w:rPr>
      </w:pPr>
    </w:p>
    <w:p w14:paraId="08DB9168" w14:textId="77777777" w:rsidR="00E84102" w:rsidRDefault="00E84102" w:rsidP="00E84102">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E84102" w:rsidRPr="00DE1E7D" w14:paraId="3778162F" w14:textId="77777777" w:rsidTr="004910D0">
        <w:trPr>
          <w:jc w:val="center"/>
        </w:trPr>
        <w:tc>
          <w:tcPr>
            <w:tcW w:w="8820" w:type="dxa"/>
          </w:tcPr>
          <w:p w14:paraId="6A660192" w14:textId="77777777" w:rsidR="00E84102" w:rsidRDefault="00E84102" w:rsidP="004910D0">
            <w:pPr>
              <w:bidi w:val="0"/>
              <w:jc w:val="center"/>
              <w:rPr>
                <w:rFonts w:ascii="Arial" w:hAnsi="Arial"/>
                <w:b/>
                <w:bCs/>
                <w:sz w:val="28"/>
                <w:szCs w:val="28"/>
                <w:u w:val="single"/>
                <w:rtl/>
              </w:rPr>
            </w:pPr>
            <w:r w:rsidRPr="00D44968">
              <w:rPr>
                <w:rFonts w:ascii="Arial" w:hAnsi="Arial" w:hint="cs"/>
                <w:b/>
                <w:bCs/>
                <w:sz w:val="28"/>
                <w:szCs w:val="28"/>
                <w:u w:val="single"/>
                <w:rtl/>
              </w:rPr>
              <w:t>החלטה</w:t>
            </w:r>
          </w:p>
          <w:p w14:paraId="6657201E" w14:textId="77777777" w:rsidR="00E84102" w:rsidRPr="00D44968" w:rsidRDefault="00E84102" w:rsidP="004910D0">
            <w:pPr>
              <w:bidi w:val="0"/>
              <w:jc w:val="center"/>
              <w:rPr>
                <w:rFonts w:ascii="Arial" w:hAnsi="Arial"/>
                <w:b/>
                <w:bCs/>
                <w:sz w:val="28"/>
                <w:szCs w:val="28"/>
                <w:u w:val="single"/>
              </w:rPr>
            </w:pPr>
          </w:p>
        </w:tc>
      </w:tr>
    </w:tbl>
    <w:p w14:paraId="14F7E983" w14:textId="47AE70FB" w:rsidR="00E84102" w:rsidRDefault="00E84102" w:rsidP="00E84102">
      <w:pPr>
        <w:pStyle w:val="ad"/>
        <w:numPr>
          <w:ilvl w:val="0"/>
          <w:numId w:val="2"/>
        </w:numPr>
        <w:spacing w:after="120" w:line="360" w:lineRule="auto"/>
        <w:ind w:left="709" w:hanging="709"/>
        <w:contextualSpacing w:val="0"/>
        <w:jc w:val="both"/>
        <w:rPr>
          <w:rFonts w:ascii="Arial" w:hAnsi="Arial"/>
        </w:rPr>
      </w:pPr>
      <w:r w:rsidRPr="00EC576D">
        <w:rPr>
          <w:rFonts w:ascii="Arial" w:hAnsi="Arial"/>
          <w:rtl/>
        </w:rPr>
        <w:t xml:space="preserve">עסקינן בבקשת רשות ערעור על </w:t>
      </w:r>
      <w:r w:rsidRPr="00EC576D">
        <w:rPr>
          <w:rFonts w:ascii="Arial" w:hAnsi="Arial" w:hint="cs"/>
          <w:rtl/>
        </w:rPr>
        <w:t xml:space="preserve">שתי </w:t>
      </w:r>
      <w:r w:rsidRPr="00EC576D">
        <w:rPr>
          <w:rFonts w:ascii="Arial" w:hAnsi="Arial"/>
          <w:rtl/>
        </w:rPr>
        <w:t>החלט</w:t>
      </w:r>
      <w:r w:rsidRPr="00EC576D">
        <w:rPr>
          <w:rFonts w:ascii="Arial" w:hAnsi="Arial" w:hint="cs"/>
          <w:rtl/>
        </w:rPr>
        <w:t>ו</w:t>
      </w:r>
      <w:r w:rsidRPr="00EC576D">
        <w:rPr>
          <w:rFonts w:ascii="Arial" w:hAnsi="Arial"/>
          <w:rtl/>
        </w:rPr>
        <w:t xml:space="preserve">ת בית המשפט לענייני משפחה בקריות (כב' השופט ניר זיתוני) בתיק </w:t>
      </w:r>
      <w:proofErr w:type="spellStart"/>
      <w:r w:rsidRPr="00EC576D">
        <w:rPr>
          <w:rFonts w:ascii="Arial" w:hAnsi="Arial"/>
          <w:rtl/>
        </w:rPr>
        <w:t>תלה"מ</w:t>
      </w:r>
      <w:proofErr w:type="spellEnd"/>
      <w:r w:rsidRPr="00EC576D">
        <w:rPr>
          <w:rFonts w:ascii="Arial" w:hAnsi="Arial"/>
          <w:rtl/>
        </w:rPr>
        <w:t xml:space="preserve"> </w:t>
      </w:r>
      <w:r w:rsidRPr="00EC576D">
        <w:rPr>
          <w:rFonts w:ascii="Arial" w:hAnsi="Arial" w:hint="cs"/>
          <w:rtl/>
        </w:rPr>
        <w:t>53945</w:t>
      </w:r>
      <w:r w:rsidRPr="00EC576D">
        <w:rPr>
          <w:rFonts w:ascii="Arial" w:hAnsi="Arial"/>
          <w:rtl/>
        </w:rPr>
        <w:t>-</w:t>
      </w:r>
      <w:r w:rsidRPr="00EC576D">
        <w:rPr>
          <w:rFonts w:ascii="Arial" w:hAnsi="Arial" w:hint="cs"/>
          <w:rtl/>
        </w:rPr>
        <w:t>09</w:t>
      </w:r>
      <w:r w:rsidRPr="00EC576D">
        <w:rPr>
          <w:rFonts w:ascii="Arial" w:hAnsi="Arial"/>
          <w:rtl/>
        </w:rPr>
        <w:t>-</w:t>
      </w:r>
      <w:r w:rsidRPr="00EC576D">
        <w:rPr>
          <w:rFonts w:ascii="Arial" w:hAnsi="Arial" w:hint="cs"/>
          <w:rtl/>
        </w:rPr>
        <w:t>23 (להלן: "</w:t>
      </w:r>
      <w:r w:rsidRPr="00EC576D">
        <w:rPr>
          <w:rFonts w:ascii="Arial" w:hAnsi="Arial" w:hint="cs"/>
          <w:b/>
          <w:bCs/>
          <w:rtl/>
        </w:rPr>
        <w:t>התיק</w:t>
      </w:r>
      <w:r w:rsidRPr="00EC576D">
        <w:rPr>
          <w:rFonts w:ascii="Arial" w:hAnsi="Arial" w:hint="cs"/>
          <w:rtl/>
        </w:rPr>
        <w:t xml:space="preserve"> </w:t>
      </w:r>
      <w:r w:rsidRPr="00EC576D">
        <w:rPr>
          <w:rFonts w:ascii="Arial" w:hAnsi="Arial" w:hint="cs"/>
          <w:b/>
          <w:bCs/>
          <w:rtl/>
        </w:rPr>
        <w:t>קמא</w:t>
      </w:r>
      <w:r w:rsidRPr="00EC576D">
        <w:rPr>
          <w:rFonts w:ascii="Arial" w:hAnsi="Arial" w:hint="cs"/>
          <w:rtl/>
        </w:rPr>
        <w:t xml:space="preserve">"). האחת, </w:t>
      </w:r>
      <w:r w:rsidRPr="00EC576D">
        <w:rPr>
          <w:rFonts w:ascii="Arial" w:hAnsi="Arial"/>
          <w:rtl/>
        </w:rPr>
        <w:t xml:space="preserve">מיום </w:t>
      </w:r>
      <w:r w:rsidRPr="00EC576D">
        <w:rPr>
          <w:rFonts w:ascii="Arial" w:hAnsi="Arial" w:hint="cs"/>
          <w:rtl/>
        </w:rPr>
        <w:t>19</w:t>
      </w:r>
      <w:r w:rsidRPr="00EC576D">
        <w:rPr>
          <w:rFonts w:ascii="Arial" w:hAnsi="Arial"/>
          <w:rtl/>
        </w:rPr>
        <w:t>.</w:t>
      </w:r>
      <w:r w:rsidRPr="00EC576D">
        <w:rPr>
          <w:rFonts w:ascii="Arial" w:hAnsi="Arial" w:hint="cs"/>
          <w:rtl/>
        </w:rPr>
        <w:t>2</w:t>
      </w:r>
      <w:r w:rsidRPr="00EC576D">
        <w:rPr>
          <w:rFonts w:ascii="Arial" w:hAnsi="Arial"/>
          <w:rtl/>
        </w:rPr>
        <w:t>.</w:t>
      </w:r>
      <w:r w:rsidRPr="00EC576D">
        <w:rPr>
          <w:rFonts w:ascii="Arial" w:hAnsi="Arial" w:hint="cs"/>
          <w:rtl/>
        </w:rPr>
        <w:t xml:space="preserve">2025 </w:t>
      </w:r>
      <w:r w:rsidRPr="00EC576D">
        <w:rPr>
          <w:rFonts w:ascii="Arial" w:hAnsi="Arial"/>
          <w:rtl/>
        </w:rPr>
        <w:t>(להלן:</w:t>
      </w:r>
      <w:r w:rsidRPr="00EC576D">
        <w:rPr>
          <w:rFonts w:ascii="Arial" w:hAnsi="Arial" w:hint="cs"/>
          <w:rtl/>
        </w:rPr>
        <w:t xml:space="preserve"> </w:t>
      </w:r>
      <w:r w:rsidRPr="00EC576D">
        <w:rPr>
          <w:rFonts w:ascii="Arial" w:hAnsi="Arial"/>
          <w:rtl/>
        </w:rPr>
        <w:t>"</w:t>
      </w:r>
      <w:r w:rsidRPr="00EC576D">
        <w:rPr>
          <w:rFonts w:ascii="Arial" w:hAnsi="Arial"/>
          <w:b/>
          <w:bCs/>
          <w:rtl/>
        </w:rPr>
        <w:t>ההחלטה</w:t>
      </w:r>
      <w:r w:rsidRPr="00EC576D">
        <w:rPr>
          <w:rFonts w:ascii="Arial" w:hAnsi="Arial"/>
          <w:rtl/>
        </w:rPr>
        <w:t xml:space="preserve"> </w:t>
      </w:r>
      <w:r w:rsidRPr="00EC576D">
        <w:rPr>
          <w:rFonts w:ascii="Arial" w:hAnsi="Arial"/>
          <w:b/>
          <w:bCs/>
          <w:rtl/>
        </w:rPr>
        <w:t>קמא</w:t>
      </w:r>
      <w:r w:rsidRPr="00EC576D">
        <w:rPr>
          <w:rFonts w:ascii="Arial" w:hAnsi="Arial"/>
          <w:rtl/>
        </w:rPr>
        <w:t xml:space="preserve">"), </w:t>
      </w:r>
      <w:r w:rsidRPr="00EC576D">
        <w:rPr>
          <w:rFonts w:ascii="Arial" w:hAnsi="Arial" w:hint="cs"/>
          <w:rtl/>
        </w:rPr>
        <w:t xml:space="preserve">במסגרתה נדחתה בקשת המבקש לעיון מחדש בהחלטה מיום 28.11.24, שדחתה את בקשת המבקש לביטול חיובו במזונות הקטינים </w:t>
      </w:r>
      <w:r w:rsidR="007E2284">
        <w:rPr>
          <w:rFonts w:ascii="Arial" w:hAnsi="Arial" w:hint="cs"/>
          <w:rtl/>
        </w:rPr>
        <w:t>א'</w:t>
      </w:r>
      <w:r w:rsidRPr="00EC576D">
        <w:rPr>
          <w:rFonts w:ascii="Arial" w:hAnsi="Arial" w:hint="cs"/>
          <w:rtl/>
        </w:rPr>
        <w:t xml:space="preserve"> וש</w:t>
      </w:r>
      <w:r w:rsidR="007E2284">
        <w:rPr>
          <w:rFonts w:ascii="Arial" w:hAnsi="Arial" w:hint="cs"/>
          <w:rtl/>
        </w:rPr>
        <w:t>'</w:t>
      </w:r>
      <w:r w:rsidRPr="00EC576D">
        <w:rPr>
          <w:rFonts w:ascii="Arial" w:hAnsi="Arial" w:hint="cs"/>
          <w:rtl/>
        </w:rPr>
        <w:t xml:space="preserve"> לחודשים יולי-</w:t>
      </w:r>
      <w:r w:rsidRPr="00AB4FFF">
        <w:rPr>
          <w:rFonts w:ascii="Arial" w:hAnsi="Arial" w:hint="cs"/>
          <w:rtl/>
        </w:rPr>
        <w:t>אוגוסט</w:t>
      </w:r>
      <w:r>
        <w:rPr>
          <w:rFonts w:ascii="Arial" w:hAnsi="Arial" w:hint="cs"/>
          <w:rtl/>
        </w:rPr>
        <w:t xml:space="preserve"> 2024</w:t>
      </w:r>
      <w:r w:rsidRPr="00EC576D">
        <w:rPr>
          <w:rFonts w:ascii="Arial" w:hAnsi="Arial" w:hint="cs"/>
          <w:rtl/>
        </w:rPr>
        <w:t xml:space="preserve">, וכן ביטול חיובו במדור הקטין </w:t>
      </w:r>
      <w:r w:rsidR="007E2284">
        <w:rPr>
          <w:rFonts w:ascii="Arial" w:hAnsi="Arial" w:hint="cs"/>
          <w:rtl/>
        </w:rPr>
        <w:t>ה'</w:t>
      </w:r>
      <w:r w:rsidRPr="00EC576D">
        <w:rPr>
          <w:rFonts w:ascii="Arial" w:hAnsi="Arial" w:hint="cs"/>
          <w:rtl/>
        </w:rPr>
        <w:t xml:space="preserve"> מאז שעבר להתגורר עם המבקש.</w:t>
      </w:r>
    </w:p>
    <w:p w14:paraId="05C5F14E" w14:textId="77777777" w:rsidR="00E84102" w:rsidRPr="00EC576D" w:rsidRDefault="00E84102" w:rsidP="00E84102">
      <w:pPr>
        <w:pStyle w:val="ad"/>
        <w:spacing w:after="120" w:line="360" w:lineRule="auto"/>
        <w:ind w:left="709"/>
        <w:contextualSpacing w:val="0"/>
        <w:jc w:val="both"/>
        <w:rPr>
          <w:rFonts w:ascii="Arial" w:hAnsi="Arial"/>
          <w:rtl/>
        </w:rPr>
      </w:pPr>
      <w:r>
        <w:rPr>
          <w:rFonts w:ascii="Arial" w:hAnsi="Arial" w:hint="cs"/>
          <w:rtl/>
        </w:rPr>
        <w:t xml:space="preserve">ההחלטה השנייה ניתנה בדיון שהתקיים בתיק קמא ביום 2.3.25, במסגרתו נדחתה בקשת המבקש, ליתן צו לרשות האוכלוסין להמצאת טופס בירור פרטי נוסע עבור המשיבה, </w:t>
      </w:r>
      <w:r w:rsidRPr="00EC576D">
        <w:rPr>
          <w:rFonts w:ascii="Arial" w:hAnsi="Arial"/>
          <w:rtl/>
        </w:rPr>
        <w:t>והכל כפי שיפורט להלן.</w:t>
      </w:r>
    </w:p>
    <w:p w14:paraId="15C6DEFB" w14:textId="77777777" w:rsidR="00E84102" w:rsidRDefault="00E84102" w:rsidP="00E84102">
      <w:pPr>
        <w:spacing w:after="120" w:line="360" w:lineRule="auto"/>
        <w:ind w:left="720" w:hanging="720"/>
        <w:jc w:val="both"/>
        <w:rPr>
          <w:rFonts w:ascii="Arial" w:hAnsi="Arial"/>
          <w:rtl/>
        </w:rPr>
      </w:pPr>
    </w:p>
    <w:p w14:paraId="09650C04" w14:textId="77777777" w:rsidR="00E84102" w:rsidRDefault="00E84102" w:rsidP="00E84102">
      <w:pPr>
        <w:spacing w:after="120" w:line="360" w:lineRule="auto"/>
        <w:ind w:left="720" w:hanging="720"/>
        <w:jc w:val="both"/>
        <w:rPr>
          <w:rFonts w:ascii="Arial" w:hAnsi="Arial"/>
          <w:b/>
          <w:bCs/>
          <w:u w:val="single"/>
        </w:rPr>
      </w:pPr>
      <w:r>
        <w:rPr>
          <w:rFonts w:ascii="Arial" w:hAnsi="Arial"/>
          <w:b/>
          <w:bCs/>
          <w:u w:val="single"/>
          <w:rtl/>
        </w:rPr>
        <w:t>רקע וההחלטה קמא</w:t>
      </w:r>
    </w:p>
    <w:p w14:paraId="048ABE36" w14:textId="799A52E5" w:rsidR="00E84102" w:rsidRDefault="00E84102" w:rsidP="00E84102">
      <w:pPr>
        <w:spacing w:after="120" w:line="360" w:lineRule="auto"/>
        <w:ind w:left="720" w:hanging="720"/>
        <w:jc w:val="both"/>
        <w:rPr>
          <w:rFonts w:asciiTheme="minorHAnsi" w:hAnsiTheme="minorHAnsi"/>
          <w:rtl/>
        </w:rPr>
      </w:pPr>
      <w:r>
        <w:rPr>
          <w:rFonts w:ascii="Arial" w:hAnsi="Arial"/>
          <w:rtl/>
        </w:rPr>
        <w:t>2.</w:t>
      </w:r>
      <w:r>
        <w:rPr>
          <w:rFonts w:ascii="Arial" w:hAnsi="Arial"/>
          <w:rtl/>
        </w:rPr>
        <w:tab/>
      </w:r>
      <w:r>
        <w:rPr>
          <w:rFonts w:ascii="David" w:hAnsi="David"/>
          <w:rtl/>
        </w:rPr>
        <w:t>המבקש והמשיבה (להלן גם: "</w:t>
      </w:r>
      <w:r>
        <w:rPr>
          <w:rFonts w:ascii="David" w:hAnsi="David"/>
          <w:b/>
          <w:bCs/>
          <w:rtl/>
        </w:rPr>
        <w:t>הצדדים</w:t>
      </w:r>
      <w:r>
        <w:rPr>
          <w:rFonts w:ascii="David" w:hAnsi="David"/>
          <w:rtl/>
        </w:rPr>
        <w:t>" ו- "</w:t>
      </w:r>
      <w:r>
        <w:rPr>
          <w:rFonts w:ascii="David" w:hAnsi="David"/>
          <w:b/>
          <w:bCs/>
          <w:rtl/>
        </w:rPr>
        <w:t>האב</w:t>
      </w:r>
      <w:r>
        <w:rPr>
          <w:rFonts w:ascii="David" w:hAnsi="David"/>
          <w:rtl/>
        </w:rPr>
        <w:t>" ו-"</w:t>
      </w:r>
      <w:r>
        <w:rPr>
          <w:rFonts w:ascii="David" w:hAnsi="David"/>
          <w:b/>
          <w:bCs/>
          <w:rtl/>
        </w:rPr>
        <w:t>האם</w:t>
      </w:r>
      <w:r>
        <w:rPr>
          <w:rFonts w:ascii="David" w:hAnsi="David"/>
          <w:rtl/>
        </w:rPr>
        <w:t>" בהתאמה)</w:t>
      </w:r>
      <w:r>
        <w:rPr>
          <w:rFonts w:ascii="David" w:hAnsi="David" w:hint="cs"/>
          <w:rtl/>
        </w:rPr>
        <w:t xml:space="preserve"> </w:t>
      </w:r>
      <w:r>
        <w:rPr>
          <w:rFonts w:ascii="Arial" w:hAnsi="Arial" w:hint="cs"/>
          <w:rtl/>
        </w:rPr>
        <w:t>ניהלו קשר זוגי, ממנו הביאו לעולם שלושה קטינים שפרטיהם בכותרת.</w:t>
      </w:r>
      <w:r>
        <w:rPr>
          <w:rFonts w:asciiTheme="minorHAnsi" w:hAnsiTheme="minorHAnsi" w:hint="cs"/>
          <w:rtl/>
        </w:rPr>
        <w:t xml:space="preserve"> בין הצדדים מתנהלים מספר הליכים בבית משפט קמא, לרבות התביעה קמא, במסגרתה תבע המבקש כאן מספר סעדים, ובהם </w:t>
      </w:r>
      <w:r w:rsidRPr="00BD0B1C">
        <w:rPr>
          <w:rFonts w:asciiTheme="minorHAnsi" w:hAnsiTheme="minorHAnsi"/>
          <w:rtl/>
        </w:rPr>
        <w:t xml:space="preserve">השתת תשלום מזונות </w:t>
      </w:r>
      <w:r>
        <w:rPr>
          <w:rFonts w:asciiTheme="minorHAnsi" w:hAnsiTheme="minorHAnsi" w:hint="cs"/>
          <w:rtl/>
        </w:rPr>
        <w:t>ה</w:t>
      </w:r>
      <w:r w:rsidRPr="00BD0B1C">
        <w:rPr>
          <w:rFonts w:asciiTheme="minorHAnsi" w:hAnsiTheme="minorHAnsi"/>
          <w:rtl/>
        </w:rPr>
        <w:t xml:space="preserve">קטין </w:t>
      </w:r>
      <w:r w:rsidR="00740F30">
        <w:rPr>
          <w:rFonts w:asciiTheme="minorHAnsi" w:hAnsiTheme="minorHAnsi" w:hint="cs"/>
          <w:rtl/>
        </w:rPr>
        <w:t>ה'</w:t>
      </w:r>
      <w:r>
        <w:rPr>
          <w:rFonts w:asciiTheme="minorHAnsi" w:hAnsiTheme="minorHAnsi" w:hint="cs"/>
          <w:rtl/>
        </w:rPr>
        <w:t xml:space="preserve"> </w:t>
      </w:r>
      <w:r w:rsidRPr="00BD0B1C">
        <w:rPr>
          <w:rFonts w:asciiTheme="minorHAnsi" w:hAnsiTheme="minorHAnsi"/>
          <w:rtl/>
        </w:rPr>
        <w:t xml:space="preserve">ותשלום מדור על </w:t>
      </w:r>
      <w:r>
        <w:rPr>
          <w:rFonts w:asciiTheme="minorHAnsi" w:hAnsiTheme="minorHAnsi" w:hint="cs"/>
          <w:rtl/>
        </w:rPr>
        <w:t>המשיבה</w:t>
      </w:r>
      <w:r w:rsidRPr="00BD0B1C">
        <w:rPr>
          <w:rFonts w:asciiTheme="minorHAnsi" w:hAnsiTheme="minorHAnsi"/>
          <w:rtl/>
        </w:rPr>
        <w:t>, מיום מעבר הקטין</w:t>
      </w:r>
      <w:r>
        <w:rPr>
          <w:rFonts w:asciiTheme="minorHAnsi" w:hAnsiTheme="minorHAnsi" w:hint="cs"/>
          <w:rtl/>
        </w:rPr>
        <w:t xml:space="preserve"> </w:t>
      </w:r>
      <w:r w:rsidR="00740F30">
        <w:rPr>
          <w:rFonts w:asciiTheme="minorHAnsi" w:hAnsiTheme="minorHAnsi" w:hint="cs"/>
          <w:rtl/>
        </w:rPr>
        <w:t>ה'</w:t>
      </w:r>
      <w:r w:rsidRPr="00BD0B1C">
        <w:rPr>
          <w:rFonts w:asciiTheme="minorHAnsi" w:hAnsiTheme="minorHAnsi"/>
          <w:rtl/>
        </w:rPr>
        <w:t xml:space="preserve"> לבית </w:t>
      </w:r>
      <w:r>
        <w:rPr>
          <w:rFonts w:asciiTheme="minorHAnsi" w:hAnsiTheme="minorHAnsi" w:hint="cs"/>
          <w:rtl/>
        </w:rPr>
        <w:t>המבקש</w:t>
      </w:r>
      <w:r>
        <w:rPr>
          <w:rFonts w:asciiTheme="minorHAnsi" w:hAnsiTheme="minorHAnsi"/>
          <w:rtl/>
        </w:rPr>
        <w:t xml:space="preserve"> ועד בכלל</w:t>
      </w:r>
      <w:r>
        <w:rPr>
          <w:rFonts w:asciiTheme="minorHAnsi" w:hAnsiTheme="minorHAnsi" w:hint="cs"/>
          <w:rtl/>
        </w:rPr>
        <w:t xml:space="preserve">; </w:t>
      </w:r>
      <w:r w:rsidRPr="00BD0B1C">
        <w:rPr>
          <w:rFonts w:asciiTheme="minorHAnsi" w:hAnsiTheme="minorHAnsi"/>
          <w:rtl/>
        </w:rPr>
        <w:t xml:space="preserve">לפטור את </w:t>
      </w:r>
      <w:r>
        <w:rPr>
          <w:rFonts w:asciiTheme="minorHAnsi" w:hAnsiTheme="minorHAnsi" w:hint="cs"/>
          <w:rtl/>
        </w:rPr>
        <w:t>המבקש</w:t>
      </w:r>
      <w:r>
        <w:rPr>
          <w:rFonts w:asciiTheme="minorHAnsi" w:hAnsiTheme="minorHAnsi"/>
          <w:rtl/>
        </w:rPr>
        <w:t xml:space="preserve"> מנשיאת מזונות</w:t>
      </w:r>
      <w:r>
        <w:rPr>
          <w:rFonts w:asciiTheme="minorHAnsi" w:hAnsiTheme="minorHAnsi" w:hint="cs"/>
          <w:rtl/>
        </w:rPr>
        <w:t xml:space="preserve">יו של </w:t>
      </w:r>
      <w:r w:rsidR="00740F30">
        <w:rPr>
          <w:rFonts w:asciiTheme="minorHAnsi" w:hAnsiTheme="minorHAnsi" w:hint="cs"/>
          <w:rtl/>
        </w:rPr>
        <w:t>ה'</w:t>
      </w:r>
      <w:r>
        <w:rPr>
          <w:rFonts w:asciiTheme="minorHAnsi" w:hAnsiTheme="minorHAnsi"/>
          <w:rtl/>
        </w:rPr>
        <w:t xml:space="preserve"> למפרע</w:t>
      </w:r>
      <w:r>
        <w:rPr>
          <w:rFonts w:asciiTheme="minorHAnsi" w:hAnsiTheme="minorHAnsi" w:hint="cs"/>
          <w:rtl/>
        </w:rPr>
        <w:t xml:space="preserve">; </w:t>
      </w:r>
      <w:r w:rsidRPr="00BD0B1C">
        <w:rPr>
          <w:rFonts w:asciiTheme="minorHAnsi" w:hAnsiTheme="minorHAnsi"/>
          <w:rtl/>
        </w:rPr>
        <w:t xml:space="preserve">חיוב והשתת תשלומים בגין נסיעות </w:t>
      </w:r>
      <w:r>
        <w:rPr>
          <w:rFonts w:asciiTheme="minorHAnsi" w:hAnsiTheme="minorHAnsi" w:hint="cs"/>
          <w:rtl/>
        </w:rPr>
        <w:t>המבקש</w:t>
      </w:r>
      <w:r w:rsidRPr="00BD0B1C">
        <w:rPr>
          <w:rFonts w:asciiTheme="minorHAnsi" w:hAnsiTheme="minorHAnsi"/>
          <w:rtl/>
        </w:rPr>
        <w:t xml:space="preserve">, על </w:t>
      </w:r>
      <w:r>
        <w:rPr>
          <w:rFonts w:asciiTheme="minorHAnsi" w:hAnsiTheme="minorHAnsi" w:hint="cs"/>
          <w:rtl/>
        </w:rPr>
        <w:t xml:space="preserve">המשיבה; </w:t>
      </w:r>
      <w:r w:rsidRPr="00BD0B1C">
        <w:rPr>
          <w:rFonts w:asciiTheme="minorHAnsi" w:hAnsiTheme="minorHAnsi"/>
          <w:rtl/>
        </w:rPr>
        <w:t xml:space="preserve">לפטור את </w:t>
      </w:r>
      <w:r>
        <w:rPr>
          <w:rFonts w:asciiTheme="minorHAnsi" w:hAnsiTheme="minorHAnsi" w:hint="cs"/>
          <w:rtl/>
        </w:rPr>
        <w:t>המבקש</w:t>
      </w:r>
      <w:r w:rsidRPr="00BD0B1C">
        <w:rPr>
          <w:rFonts w:asciiTheme="minorHAnsi" w:hAnsiTheme="minorHAnsi"/>
          <w:rtl/>
        </w:rPr>
        <w:t xml:space="preserve"> מנשיאת מזונות </w:t>
      </w:r>
      <w:r>
        <w:rPr>
          <w:rFonts w:asciiTheme="minorHAnsi" w:hAnsiTheme="minorHAnsi" w:hint="cs"/>
          <w:rtl/>
        </w:rPr>
        <w:t xml:space="preserve">שלושת </w:t>
      </w:r>
      <w:r w:rsidRPr="00BD0B1C">
        <w:rPr>
          <w:rFonts w:asciiTheme="minorHAnsi" w:hAnsiTheme="minorHAnsi"/>
          <w:rtl/>
        </w:rPr>
        <w:t>הקטינים בחודשי הקיץ מיום 20.06 ועד יום 31.08 ולהשית מזונות</w:t>
      </w:r>
      <w:r>
        <w:rPr>
          <w:rFonts w:asciiTheme="minorHAnsi" w:hAnsiTheme="minorHAnsi" w:hint="cs"/>
          <w:rtl/>
        </w:rPr>
        <w:t xml:space="preserve"> </w:t>
      </w:r>
      <w:r w:rsidRPr="00BD0B1C">
        <w:rPr>
          <w:rFonts w:asciiTheme="minorHAnsi" w:hAnsiTheme="minorHAnsi"/>
          <w:rtl/>
        </w:rPr>
        <w:t xml:space="preserve">לתקופה זו על </w:t>
      </w:r>
      <w:r>
        <w:rPr>
          <w:rFonts w:asciiTheme="minorHAnsi" w:hAnsiTheme="minorHAnsi" w:hint="cs"/>
          <w:rtl/>
        </w:rPr>
        <w:t xml:space="preserve">המשיבה וכן </w:t>
      </w:r>
      <w:r w:rsidRPr="00BD0B1C">
        <w:rPr>
          <w:rFonts w:asciiTheme="minorHAnsi" w:hAnsiTheme="minorHAnsi"/>
          <w:rtl/>
        </w:rPr>
        <w:t xml:space="preserve">העברת קצבת הילדים ומענק החינוך מהמל"ל ישירות אל </w:t>
      </w:r>
      <w:r>
        <w:rPr>
          <w:rFonts w:asciiTheme="minorHAnsi" w:hAnsiTheme="minorHAnsi" w:hint="cs"/>
          <w:rtl/>
        </w:rPr>
        <w:t>המבקש.</w:t>
      </w:r>
    </w:p>
    <w:p w14:paraId="59AFDF67" w14:textId="77777777" w:rsidR="00E84102" w:rsidRDefault="00E84102" w:rsidP="00E84102">
      <w:pPr>
        <w:spacing w:after="120" w:line="360" w:lineRule="auto"/>
        <w:ind w:left="720" w:hanging="720"/>
        <w:jc w:val="both"/>
        <w:rPr>
          <w:rFonts w:asciiTheme="minorHAnsi" w:hAnsiTheme="minorHAnsi"/>
          <w:rtl/>
        </w:rPr>
      </w:pPr>
      <w:r>
        <w:rPr>
          <w:rFonts w:asciiTheme="minorHAnsi" w:hAnsiTheme="minorHAnsi" w:hint="cs"/>
          <w:rtl/>
        </w:rPr>
        <w:t>3.</w:t>
      </w:r>
      <w:r>
        <w:rPr>
          <w:rFonts w:asciiTheme="minorHAnsi" w:hAnsiTheme="minorHAnsi"/>
          <w:rtl/>
        </w:rPr>
        <w:tab/>
      </w:r>
      <w:r>
        <w:rPr>
          <w:rFonts w:asciiTheme="minorHAnsi" w:hAnsiTheme="minorHAnsi" w:hint="cs"/>
          <w:rtl/>
        </w:rPr>
        <w:t>רקע נרחב פורט בהחלטתי ברמ"ש 14590-09-24, במסגרתו נדחתה בקשת רשות ערעור שהגיש המבקש, על החלטת מזונות זמניים. אין צורך לחזור על הדברים.</w:t>
      </w:r>
    </w:p>
    <w:p w14:paraId="4B1A5EB0" w14:textId="5811816D" w:rsidR="00E84102" w:rsidRDefault="00E84102" w:rsidP="00E84102">
      <w:pPr>
        <w:spacing w:after="120" w:line="360" w:lineRule="auto"/>
        <w:ind w:left="720" w:hanging="720"/>
        <w:jc w:val="both"/>
        <w:rPr>
          <w:rFonts w:ascii="Arial" w:hAnsi="Arial"/>
          <w:rtl/>
        </w:rPr>
      </w:pPr>
      <w:r>
        <w:rPr>
          <w:rFonts w:asciiTheme="minorHAnsi" w:hAnsiTheme="minorHAnsi" w:hint="cs"/>
          <w:rtl/>
        </w:rPr>
        <w:lastRenderedPageBreak/>
        <w:t>4.</w:t>
      </w:r>
      <w:r>
        <w:rPr>
          <w:rFonts w:asciiTheme="minorHAnsi" w:hAnsiTheme="minorHAnsi"/>
          <w:rtl/>
        </w:rPr>
        <w:tab/>
      </w:r>
      <w:r>
        <w:rPr>
          <w:rFonts w:asciiTheme="minorHAnsi" w:hAnsiTheme="minorHAnsi" w:hint="cs"/>
          <w:rtl/>
        </w:rPr>
        <w:t xml:space="preserve">ביום </w:t>
      </w:r>
      <w:r>
        <w:rPr>
          <w:rFonts w:ascii="Arial" w:hAnsi="Arial"/>
          <w:rtl/>
        </w:rPr>
        <w:t xml:space="preserve">25.10.24 </w:t>
      </w:r>
      <w:r>
        <w:rPr>
          <w:rFonts w:ascii="Arial" w:hAnsi="Arial" w:hint="cs"/>
          <w:rtl/>
        </w:rPr>
        <w:t xml:space="preserve">הגיש המבקש בקשה בתיק קמא, </w:t>
      </w:r>
      <w:r>
        <w:rPr>
          <w:rFonts w:ascii="Arial" w:hAnsi="Arial"/>
          <w:rtl/>
        </w:rPr>
        <w:t>להקפ</w:t>
      </w:r>
      <w:r>
        <w:rPr>
          <w:rFonts w:ascii="Arial" w:hAnsi="Arial" w:hint="cs"/>
          <w:rtl/>
        </w:rPr>
        <w:t xml:space="preserve">את </w:t>
      </w:r>
      <w:r>
        <w:rPr>
          <w:rFonts w:ascii="Arial" w:hAnsi="Arial"/>
          <w:rtl/>
        </w:rPr>
        <w:t xml:space="preserve">הליכי ההוצל"פ </w:t>
      </w:r>
      <w:r>
        <w:rPr>
          <w:rFonts w:ascii="Arial" w:hAnsi="Arial" w:hint="cs"/>
          <w:rtl/>
        </w:rPr>
        <w:t>המתנהלים נגדו (</w:t>
      </w:r>
      <w:r>
        <w:rPr>
          <w:rFonts w:ascii="Arial" w:hAnsi="Arial"/>
          <w:rtl/>
        </w:rPr>
        <w:t>תיק</w:t>
      </w:r>
      <w:r>
        <w:rPr>
          <w:rFonts w:ascii="Arial" w:hAnsi="Arial" w:hint="cs"/>
          <w:rtl/>
        </w:rPr>
        <w:t xml:space="preserve"> הוצל"פ</w:t>
      </w:r>
      <w:r>
        <w:rPr>
          <w:rFonts w:ascii="Arial" w:hAnsi="Arial"/>
          <w:rtl/>
        </w:rPr>
        <w:t xml:space="preserve"> </w:t>
      </w:r>
      <w:r w:rsidR="00740F30">
        <w:rPr>
          <w:rFonts w:ascii="Arial" w:hAnsi="Arial" w:hint="cs"/>
          <w:rtl/>
        </w:rPr>
        <w:t>000000</w:t>
      </w:r>
      <w:r>
        <w:rPr>
          <w:rFonts w:ascii="Arial" w:hAnsi="Arial"/>
          <w:rtl/>
        </w:rPr>
        <w:t>-02-17</w:t>
      </w:r>
      <w:r>
        <w:rPr>
          <w:rFonts w:ascii="Arial" w:hAnsi="Arial" w:hint="cs"/>
          <w:rtl/>
        </w:rPr>
        <w:t xml:space="preserve">). אשר </w:t>
      </w:r>
      <w:r>
        <w:rPr>
          <w:rFonts w:ascii="Arial" w:hAnsi="Arial"/>
          <w:rtl/>
        </w:rPr>
        <w:t>עניינ</w:t>
      </w:r>
      <w:r>
        <w:rPr>
          <w:rFonts w:ascii="Arial" w:hAnsi="Arial" w:hint="cs"/>
          <w:rtl/>
        </w:rPr>
        <w:t>ם</w:t>
      </w:r>
      <w:r>
        <w:rPr>
          <w:rFonts w:ascii="Arial" w:hAnsi="Arial"/>
          <w:rtl/>
        </w:rPr>
        <w:t xml:space="preserve"> גביית חוב מזונות קטינים. </w:t>
      </w:r>
      <w:r>
        <w:rPr>
          <w:rFonts w:ascii="Arial" w:hAnsi="Arial" w:hint="cs"/>
          <w:rtl/>
        </w:rPr>
        <w:t>במסגרת</w:t>
      </w:r>
      <w:r>
        <w:rPr>
          <w:rFonts w:ascii="Arial" w:hAnsi="Arial"/>
          <w:rtl/>
        </w:rPr>
        <w:t xml:space="preserve"> </w:t>
      </w:r>
      <w:r>
        <w:rPr>
          <w:rFonts w:ascii="Arial" w:hAnsi="Arial" w:hint="cs"/>
          <w:rtl/>
        </w:rPr>
        <w:t>הבקשה,</w:t>
      </w:r>
      <w:r>
        <w:rPr>
          <w:rFonts w:ascii="Arial" w:hAnsi="Arial"/>
          <w:rtl/>
        </w:rPr>
        <w:t xml:space="preserve"> טען </w:t>
      </w:r>
      <w:r>
        <w:rPr>
          <w:rFonts w:ascii="Arial" w:hAnsi="Arial" w:hint="cs"/>
          <w:rtl/>
        </w:rPr>
        <w:t xml:space="preserve">המבקש </w:t>
      </w:r>
      <w:r>
        <w:rPr>
          <w:rFonts w:ascii="Arial" w:hAnsi="Arial"/>
          <w:rtl/>
        </w:rPr>
        <w:t xml:space="preserve">כי </w:t>
      </w:r>
      <w:r>
        <w:rPr>
          <w:rFonts w:ascii="Arial" w:hAnsi="Arial" w:hint="cs"/>
          <w:rtl/>
        </w:rPr>
        <w:t>הוא מחזיר הלוואות;</w:t>
      </w:r>
      <w:r>
        <w:rPr>
          <w:rFonts w:ascii="Arial" w:hAnsi="Arial"/>
          <w:rtl/>
        </w:rPr>
        <w:t xml:space="preserve"> כל חודש המינוס מעמיק</w:t>
      </w:r>
      <w:r>
        <w:rPr>
          <w:rFonts w:ascii="Arial" w:hAnsi="Arial" w:hint="cs"/>
          <w:rtl/>
        </w:rPr>
        <w:t>;</w:t>
      </w:r>
      <w:r>
        <w:rPr>
          <w:rFonts w:ascii="Arial" w:hAnsi="Arial"/>
          <w:rtl/>
        </w:rPr>
        <w:t xml:space="preserve"> </w:t>
      </w:r>
      <w:r>
        <w:rPr>
          <w:rFonts w:ascii="Arial" w:hAnsi="Arial" w:hint="cs"/>
          <w:rtl/>
        </w:rPr>
        <w:t>המשיבה</w:t>
      </w:r>
      <w:r>
        <w:rPr>
          <w:rFonts w:ascii="Arial" w:hAnsi="Arial"/>
          <w:rtl/>
        </w:rPr>
        <w:t xml:space="preserve"> לא מילאה הרצאת פרטים כנדרש ולא המציאה כל המסמכים הנדרשים</w:t>
      </w:r>
      <w:r>
        <w:rPr>
          <w:rFonts w:ascii="Arial" w:hAnsi="Arial" w:hint="cs"/>
          <w:rtl/>
        </w:rPr>
        <w:t xml:space="preserve">; </w:t>
      </w:r>
      <w:r>
        <w:rPr>
          <w:rFonts w:ascii="Arial" w:hAnsi="Arial"/>
          <w:rtl/>
        </w:rPr>
        <w:t xml:space="preserve">הקטין </w:t>
      </w:r>
      <w:r w:rsidR="00740F30">
        <w:rPr>
          <w:rFonts w:ascii="Arial" w:hAnsi="Arial" w:hint="cs"/>
          <w:rtl/>
        </w:rPr>
        <w:t>ה'</w:t>
      </w:r>
      <w:r>
        <w:rPr>
          <w:rFonts w:ascii="Arial" w:hAnsi="Arial"/>
          <w:rtl/>
        </w:rPr>
        <w:t xml:space="preserve"> חי עם </w:t>
      </w:r>
      <w:r>
        <w:rPr>
          <w:rFonts w:ascii="Arial" w:hAnsi="Arial" w:hint="cs"/>
          <w:rtl/>
        </w:rPr>
        <w:t>המבקש</w:t>
      </w:r>
      <w:r>
        <w:rPr>
          <w:rFonts w:ascii="Arial" w:hAnsi="Arial"/>
          <w:rtl/>
        </w:rPr>
        <w:t xml:space="preserve"> </w:t>
      </w:r>
      <w:r>
        <w:rPr>
          <w:rFonts w:ascii="Arial" w:hAnsi="Arial" w:hint="cs"/>
          <w:rtl/>
        </w:rPr>
        <w:t>כ</w:t>
      </w:r>
      <w:r>
        <w:rPr>
          <w:rFonts w:ascii="Arial" w:hAnsi="Arial"/>
          <w:rtl/>
        </w:rPr>
        <w:t xml:space="preserve">שלוש שנים </w:t>
      </w:r>
      <w:r>
        <w:rPr>
          <w:rFonts w:ascii="Arial" w:hAnsi="Arial" w:hint="cs"/>
          <w:rtl/>
        </w:rPr>
        <w:t>והמבקש</w:t>
      </w:r>
      <w:r>
        <w:rPr>
          <w:rFonts w:ascii="Arial" w:hAnsi="Arial"/>
          <w:rtl/>
        </w:rPr>
        <w:t xml:space="preserve"> נושא בכל הוצאותיו. </w:t>
      </w:r>
    </w:p>
    <w:p w14:paraId="4DAF71D5" w14:textId="77777777" w:rsidR="00E84102" w:rsidRDefault="00E84102" w:rsidP="00E84102">
      <w:pPr>
        <w:spacing w:after="120" w:line="360" w:lineRule="auto"/>
        <w:ind w:left="720"/>
        <w:jc w:val="both"/>
        <w:rPr>
          <w:rFonts w:ascii="Arial" w:hAnsi="Arial"/>
          <w:rtl/>
        </w:rPr>
      </w:pPr>
      <w:r>
        <w:rPr>
          <w:rFonts w:ascii="Arial" w:hAnsi="Arial" w:hint="cs"/>
          <w:rtl/>
        </w:rPr>
        <w:t>המבקש ביקש ל</w:t>
      </w:r>
      <w:r>
        <w:rPr>
          <w:rFonts w:ascii="Arial" w:hAnsi="Arial"/>
          <w:rtl/>
        </w:rPr>
        <w:t>הקפיא את כל הליכי ההוצל"פ</w:t>
      </w:r>
      <w:r>
        <w:rPr>
          <w:rFonts w:ascii="Arial" w:hAnsi="Arial" w:hint="cs"/>
          <w:rtl/>
        </w:rPr>
        <w:t>,</w:t>
      </w:r>
      <w:r>
        <w:rPr>
          <w:rFonts w:ascii="Arial" w:hAnsi="Arial"/>
          <w:rtl/>
        </w:rPr>
        <w:t xml:space="preserve"> כי הופקו עיקולים על זכויות</w:t>
      </w:r>
      <w:r>
        <w:rPr>
          <w:rFonts w:ascii="Arial" w:hAnsi="Arial" w:hint="cs"/>
          <w:rtl/>
        </w:rPr>
        <w:t>יו</w:t>
      </w:r>
      <w:r>
        <w:rPr>
          <w:rFonts w:ascii="Arial" w:hAnsi="Arial"/>
          <w:rtl/>
        </w:rPr>
        <w:t xml:space="preserve"> </w:t>
      </w:r>
      <w:r>
        <w:rPr>
          <w:rFonts w:ascii="Arial" w:hAnsi="Arial" w:hint="cs"/>
          <w:rtl/>
        </w:rPr>
        <w:t>ה</w:t>
      </w:r>
      <w:r>
        <w:rPr>
          <w:rFonts w:ascii="Arial" w:hAnsi="Arial"/>
          <w:rtl/>
        </w:rPr>
        <w:t xml:space="preserve">פנסיוניות.  </w:t>
      </w:r>
    </w:p>
    <w:p w14:paraId="5EAEE7CC" w14:textId="77777777" w:rsidR="00E84102" w:rsidRDefault="00E84102" w:rsidP="00E84102">
      <w:pPr>
        <w:spacing w:after="120" w:line="360" w:lineRule="auto"/>
        <w:ind w:left="720" w:hanging="720"/>
        <w:jc w:val="both"/>
        <w:rPr>
          <w:rFonts w:ascii="Arial" w:hAnsi="Arial"/>
          <w:rtl/>
        </w:rPr>
      </w:pPr>
      <w:r>
        <w:rPr>
          <w:rFonts w:ascii="Arial" w:hAnsi="Arial" w:hint="cs"/>
          <w:rtl/>
        </w:rPr>
        <w:t>5.</w:t>
      </w:r>
      <w:r>
        <w:rPr>
          <w:rFonts w:ascii="Arial" w:hAnsi="Arial"/>
          <w:rtl/>
        </w:rPr>
        <w:tab/>
      </w:r>
      <w:r w:rsidRPr="00E51410">
        <w:rPr>
          <w:rFonts w:ascii="Arial" w:hAnsi="Arial"/>
          <w:rtl/>
        </w:rPr>
        <w:t xml:space="preserve">ביום 30.10.24, </w:t>
      </w:r>
      <w:r>
        <w:rPr>
          <w:rFonts w:ascii="Arial" w:hAnsi="Arial" w:hint="cs"/>
          <w:rtl/>
        </w:rPr>
        <w:t xml:space="preserve">ניתנה החלטה בתיק קמא, שקיבלה את </w:t>
      </w:r>
      <w:r w:rsidRPr="00E51410">
        <w:rPr>
          <w:rFonts w:ascii="Arial" w:hAnsi="Arial"/>
          <w:rtl/>
        </w:rPr>
        <w:t xml:space="preserve">בקשת </w:t>
      </w:r>
      <w:r>
        <w:rPr>
          <w:rFonts w:ascii="Arial" w:hAnsi="Arial" w:hint="cs"/>
          <w:rtl/>
        </w:rPr>
        <w:t>המבקש,</w:t>
      </w:r>
      <w:r w:rsidRPr="00E51410">
        <w:rPr>
          <w:rFonts w:ascii="Arial" w:hAnsi="Arial"/>
          <w:rtl/>
        </w:rPr>
        <w:t xml:space="preserve"> </w:t>
      </w:r>
      <w:r>
        <w:rPr>
          <w:rFonts w:ascii="Arial" w:hAnsi="Arial" w:hint="cs"/>
          <w:rtl/>
        </w:rPr>
        <w:t xml:space="preserve">וניתן צו ארעי לעיכוב </w:t>
      </w:r>
      <w:r w:rsidRPr="00E51410">
        <w:rPr>
          <w:rFonts w:ascii="Arial" w:hAnsi="Arial"/>
          <w:rtl/>
        </w:rPr>
        <w:t>הליכי מימוש עיקול כספים בתיק ההוצל"פ</w:t>
      </w:r>
      <w:r>
        <w:rPr>
          <w:rFonts w:ascii="Arial" w:hAnsi="Arial" w:hint="cs"/>
          <w:rtl/>
        </w:rPr>
        <w:t>, עד להכרעה בבקשה.</w:t>
      </w:r>
    </w:p>
    <w:p w14:paraId="76FF5AC4" w14:textId="77777777" w:rsidR="00E84102" w:rsidRDefault="00E84102" w:rsidP="00E84102">
      <w:pPr>
        <w:spacing w:after="120" w:line="360" w:lineRule="auto"/>
        <w:ind w:left="720" w:hanging="720"/>
        <w:jc w:val="both"/>
        <w:rPr>
          <w:rFonts w:ascii="Arial" w:hAnsi="Arial"/>
          <w:rtl/>
        </w:rPr>
      </w:pPr>
      <w:r>
        <w:rPr>
          <w:rFonts w:ascii="Arial" w:hAnsi="Arial" w:hint="cs"/>
          <w:rtl/>
        </w:rPr>
        <w:t>6.</w:t>
      </w:r>
      <w:r>
        <w:rPr>
          <w:rFonts w:ascii="Arial" w:hAnsi="Arial"/>
          <w:rtl/>
        </w:rPr>
        <w:tab/>
      </w:r>
      <w:r w:rsidRPr="00E51410">
        <w:rPr>
          <w:rFonts w:ascii="Arial" w:hAnsi="Arial"/>
          <w:rtl/>
        </w:rPr>
        <w:t xml:space="preserve">ביום 18.11.24 הוגשה תגובת </w:t>
      </w:r>
      <w:r>
        <w:rPr>
          <w:rFonts w:ascii="Arial" w:hAnsi="Arial" w:hint="cs"/>
          <w:rtl/>
        </w:rPr>
        <w:t>המשיבה לבקשה, במסגרתה</w:t>
      </w:r>
      <w:r w:rsidRPr="00E51410">
        <w:rPr>
          <w:rFonts w:ascii="Arial" w:hAnsi="Arial"/>
          <w:rtl/>
        </w:rPr>
        <w:t xml:space="preserve"> הביעה תרעומת על הסעד הארעי</w:t>
      </w:r>
      <w:r>
        <w:rPr>
          <w:rFonts w:ascii="Arial" w:hAnsi="Arial" w:hint="cs"/>
          <w:rtl/>
        </w:rPr>
        <w:t xml:space="preserve"> שניתן למבקש</w:t>
      </w:r>
      <w:r w:rsidRPr="00E51410">
        <w:rPr>
          <w:rFonts w:ascii="Arial" w:hAnsi="Arial"/>
          <w:rtl/>
        </w:rPr>
        <w:t>.</w:t>
      </w:r>
    </w:p>
    <w:p w14:paraId="3D4A135B" w14:textId="010A4752" w:rsidR="00E84102" w:rsidRDefault="00E84102" w:rsidP="00E84102">
      <w:pPr>
        <w:spacing w:after="120" w:line="360" w:lineRule="auto"/>
        <w:ind w:left="720"/>
        <w:jc w:val="both"/>
        <w:rPr>
          <w:rFonts w:ascii="Arial" w:hAnsi="Arial"/>
          <w:rtl/>
        </w:rPr>
      </w:pPr>
      <w:r>
        <w:rPr>
          <w:rFonts w:ascii="Arial" w:hAnsi="Arial" w:hint="cs"/>
          <w:rtl/>
        </w:rPr>
        <w:t>עוד טענה בתגובתה, כי המבקש</w:t>
      </w:r>
      <w:r w:rsidRPr="00E51410">
        <w:rPr>
          <w:rFonts w:ascii="Arial" w:hAnsi="Arial"/>
          <w:rtl/>
        </w:rPr>
        <w:t xml:space="preserve"> מנסה לערער באמצעות הבקשה</w:t>
      </w:r>
      <w:r>
        <w:rPr>
          <w:rFonts w:ascii="Arial" w:hAnsi="Arial" w:hint="cs"/>
          <w:rtl/>
        </w:rPr>
        <w:t>,</w:t>
      </w:r>
      <w:r w:rsidRPr="00E51410">
        <w:rPr>
          <w:rFonts w:ascii="Arial" w:hAnsi="Arial"/>
          <w:rtl/>
        </w:rPr>
        <w:t xml:space="preserve"> על החלטת רשמת ההוצל"פ ועל החלטת בית המשפט המחוזי</w:t>
      </w:r>
      <w:r>
        <w:rPr>
          <w:rFonts w:ascii="Arial" w:hAnsi="Arial" w:hint="cs"/>
          <w:rtl/>
        </w:rPr>
        <w:t xml:space="preserve"> (במסגרתה נדחתה בקשת רשות ערעור על מזונות זמניים, ראו סעיף 3 לעיל)</w:t>
      </w:r>
      <w:r w:rsidRPr="00E51410">
        <w:rPr>
          <w:rFonts w:ascii="Arial" w:hAnsi="Arial"/>
          <w:rtl/>
        </w:rPr>
        <w:t xml:space="preserve">. </w:t>
      </w:r>
      <w:r>
        <w:rPr>
          <w:rFonts w:ascii="Arial" w:hAnsi="Arial" w:hint="cs"/>
          <w:rtl/>
        </w:rPr>
        <w:t xml:space="preserve">המבקש </w:t>
      </w:r>
      <w:r w:rsidRPr="00E51410">
        <w:rPr>
          <w:rFonts w:ascii="Arial" w:hAnsi="Arial"/>
          <w:rtl/>
        </w:rPr>
        <w:t>החליט על דעת עצמו לא לשלם מזונות ולא לשלם מחציות</w:t>
      </w:r>
      <w:r>
        <w:rPr>
          <w:rFonts w:ascii="Arial" w:hAnsi="Arial" w:hint="cs"/>
          <w:rtl/>
        </w:rPr>
        <w:t xml:space="preserve">, לרבות תשלום מזונות הקטינים </w:t>
      </w:r>
      <w:r w:rsidR="00740F30">
        <w:rPr>
          <w:rFonts w:ascii="Arial" w:hAnsi="Arial" w:hint="cs"/>
          <w:rtl/>
        </w:rPr>
        <w:t>א'</w:t>
      </w:r>
      <w:r>
        <w:rPr>
          <w:rFonts w:ascii="Arial" w:hAnsi="Arial" w:hint="cs"/>
          <w:rtl/>
        </w:rPr>
        <w:t xml:space="preserve"> וש</w:t>
      </w:r>
      <w:r w:rsidR="00740F30">
        <w:rPr>
          <w:rFonts w:ascii="Arial" w:hAnsi="Arial" w:hint="cs"/>
          <w:rtl/>
        </w:rPr>
        <w:t>'</w:t>
      </w:r>
      <w:r>
        <w:rPr>
          <w:rFonts w:ascii="Arial" w:hAnsi="Arial" w:hint="cs"/>
          <w:rtl/>
        </w:rPr>
        <w:t xml:space="preserve"> לחודשים יולי-אוגוסט 2024</w:t>
      </w:r>
      <w:r w:rsidRPr="00E51410">
        <w:rPr>
          <w:rFonts w:ascii="Arial" w:hAnsi="Arial"/>
          <w:rtl/>
        </w:rPr>
        <w:t xml:space="preserve">. </w:t>
      </w:r>
      <w:r>
        <w:rPr>
          <w:rFonts w:ascii="Arial" w:hAnsi="Arial" w:hint="cs"/>
          <w:rtl/>
        </w:rPr>
        <w:t>המבקש</w:t>
      </w:r>
      <w:r w:rsidRPr="00E51410">
        <w:rPr>
          <w:rFonts w:ascii="Arial" w:hAnsi="Arial"/>
          <w:rtl/>
        </w:rPr>
        <w:t xml:space="preserve"> לא מקיים הסדרי</w:t>
      </w:r>
      <w:r>
        <w:rPr>
          <w:rFonts w:ascii="Arial" w:hAnsi="Arial" w:hint="cs"/>
          <w:rtl/>
        </w:rPr>
        <w:t xml:space="preserve"> שהות</w:t>
      </w:r>
      <w:r w:rsidRPr="00E51410">
        <w:rPr>
          <w:rFonts w:ascii="Arial" w:hAnsi="Arial"/>
          <w:rtl/>
        </w:rPr>
        <w:t xml:space="preserve"> עם </w:t>
      </w:r>
      <w:r>
        <w:rPr>
          <w:rFonts w:ascii="Arial" w:hAnsi="Arial" w:hint="cs"/>
          <w:rtl/>
        </w:rPr>
        <w:t xml:space="preserve">הקטינים </w:t>
      </w:r>
      <w:r w:rsidR="00740F30">
        <w:rPr>
          <w:rFonts w:ascii="Arial" w:hAnsi="Arial" w:hint="cs"/>
          <w:rtl/>
        </w:rPr>
        <w:t>א'</w:t>
      </w:r>
      <w:r w:rsidRPr="00E51410">
        <w:rPr>
          <w:rFonts w:ascii="Arial" w:hAnsi="Arial"/>
          <w:rtl/>
        </w:rPr>
        <w:t xml:space="preserve"> </w:t>
      </w:r>
      <w:proofErr w:type="spellStart"/>
      <w:r w:rsidRPr="00E51410">
        <w:rPr>
          <w:rFonts w:ascii="Arial" w:hAnsi="Arial"/>
          <w:rtl/>
        </w:rPr>
        <w:t>וש</w:t>
      </w:r>
      <w:proofErr w:type="spellEnd"/>
      <w:r w:rsidR="00740F30">
        <w:rPr>
          <w:rFonts w:ascii="Arial" w:hAnsi="Arial" w:hint="cs"/>
          <w:rtl/>
        </w:rPr>
        <w:t>'</w:t>
      </w:r>
      <w:r w:rsidRPr="00E51410">
        <w:rPr>
          <w:rFonts w:ascii="Arial" w:hAnsi="Arial"/>
          <w:rtl/>
        </w:rPr>
        <w:t xml:space="preserve">. </w:t>
      </w:r>
      <w:r>
        <w:rPr>
          <w:rFonts w:ascii="Arial" w:hAnsi="Arial" w:hint="cs"/>
          <w:rtl/>
        </w:rPr>
        <w:t>המבקש</w:t>
      </w:r>
      <w:r w:rsidRPr="00E51410">
        <w:rPr>
          <w:rFonts w:ascii="Arial" w:hAnsi="Arial"/>
          <w:rtl/>
        </w:rPr>
        <w:t xml:space="preserve"> לא הציג </w:t>
      </w:r>
      <w:r>
        <w:rPr>
          <w:rFonts w:ascii="Arial" w:hAnsi="Arial" w:hint="cs"/>
          <w:rtl/>
        </w:rPr>
        <w:t>תמונת מצב אמיתית בעניין מצבו הכלכלי.</w:t>
      </w:r>
      <w:r w:rsidRPr="00E51410">
        <w:rPr>
          <w:rFonts w:ascii="Arial" w:hAnsi="Arial"/>
          <w:rtl/>
        </w:rPr>
        <w:t xml:space="preserve">  </w:t>
      </w:r>
      <w:r>
        <w:rPr>
          <w:rFonts w:ascii="Arial" w:hAnsi="Arial" w:hint="cs"/>
          <w:rtl/>
        </w:rPr>
        <w:t xml:space="preserve">התנהלות המבקש גורמת למשיבה ליטול הלוואות וליצור חובות. </w:t>
      </w:r>
      <w:r w:rsidRPr="00E51410">
        <w:rPr>
          <w:rFonts w:ascii="Arial" w:hAnsi="Arial"/>
          <w:rtl/>
        </w:rPr>
        <w:t xml:space="preserve">הוצאות המדור של </w:t>
      </w:r>
      <w:r>
        <w:rPr>
          <w:rFonts w:ascii="Arial" w:hAnsi="Arial" w:hint="cs"/>
          <w:rtl/>
        </w:rPr>
        <w:t>המשיבה</w:t>
      </w:r>
      <w:r w:rsidRPr="00E51410">
        <w:rPr>
          <w:rFonts w:ascii="Arial" w:hAnsi="Arial"/>
          <w:rtl/>
        </w:rPr>
        <w:t xml:space="preserve"> לא פחתו בעקבות מעבר הקטין </w:t>
      </w:r>
      <w:r w:rsidR="00740F30">
        <w:rPr>
          <w:rFonts w:ascii="Arial" w:hAnsi="Arial" w:hint="cs"/>
          <w:rtl/>
        </w:rPr>
        <w:t>ה'</w:t>
      </w:r>
      <w:r w:rsidRPr="00E51410">
        <w:rPr>
          <w:rFonts w:ascii="Arial" w:hAnsi="Arial"/>
          <w:rtl/>
        </w:rPr>
        <w:t xml:space="preserve"> ל</w:t>
      </w:r>
      <w:r>
        <w:rPr>
          <w:rFonts w:ascii="Arial" w:hAnsi="Arial" w:hint="cs"/>
          <w:rtl/>
        </w:rPr>
        <w:t>משיב</w:t>
      </w:r>
      <w:r w:rsidRPr="00E51410">
        <w:rPr>
          <w:rFonts w:ascii="Arial" w:hAnsi="Arial"/>
          <w:rtl/>
        </w:rPr>
        <w:t xml:space="preserve">, לאחר הסתה של </w:t>
      </w:r>
      <w:r>
        <w:rPr>
          <w:rFonts w:ascii="Arial" w:hAnsi="Arial" w:hint="cs"/>
          <w:rtl/>
        </w:rPr>
        <w:t>המשיב.</w:t>
      </w:r>
    </w:p>
    <w:p w14:paraId="5DD5512A" w14:textId="2494DF0C" w:rsidR="00E84102" w:rsidRDefault="00E84102" w:rsidP="00E84102">
      <w:pPr>
        <w:spacing w:after="120" w:line="360" w:lineRule="auto"/>
        <w:ind w:left="720" w:hanging="720"/>
        <w:jc w:val="both"/>
        <w:rPr>
          <w:rFonts w:ascii="Arial" w:hAnsi="Arial"/>
          <w:rtl/>
        </w:rPr>
      </w:pPr>
      <w:r>
        <w:rPr>
          <w:rFonts w:ascii="Arial" w:hAnsi="Arial" w:hint="cs"/>
          <w:rtl/>
        </w:rPr>
        <w:t>7.</w:t>
      </w:r>
      <w:r>
        <w:rPr>
          <w:rFonts w:ascii="Arial" w:hAnsi="Arial"/>
          <w:rtl/>
        </w:rPr>
        <w:tab/>
      </w:r>
      <w:r>
        <w:rPr>
          <w:rFonts w:ascii="Arial" w:hAnsi="Arial" w:hint="cs"/>
          <w:rtl/>
        </w:rPr>
        <w:t>ב</w:t>
      </w:r>
      <w:r>
        <w:rPr>
          <w:rFonts w:ascii="Arial" w:hAnsi="Arial"/>
          <w:rtl/>
        </w:rPr>
        <w:t xml:space="preserve">יום 28.11.24, הוגשה תשובת </w:t>
      </w:r>
      <w:r>
        <w:rPr>
          <w:rFonts w:ascii="Arial" w:hAnsi="Arial" w:hint="cs"/>
          <w:rtl/>
        </w:rPr>
        <w:t>המבקש</w:t>
      </w:r>
      <w:r>
        <w:rPr>
          <w:rFonts w:ascii="Arial" w:hAnsi="Arial"/>
          <w:rtl/>
        </w:rPr>
        <w:t xml:space="preserve"> לתגובת </w:t>
      </w:r>
      <w:r>
        <w:rPr>
          <w:rFonts w:ascii="Arial" w:hAnsi="Arial" w:hint="cs"/>
          <w:rtl/>
        </w:rPr>
        <w:t>המשיבה, במסגרתה פירט שוב לגבי מצבו הכלכלי העגום לדבריו</w:t>
      </w:r>
      <w:r>
        <w:rPr>
          <w:rFonts w:ascii="Arial" w:hAnsi="Arial"/>
          <w:rtl/>
        </w:rPr>
        <w:t xml:space="preserve">. </w:t>
      </w:r>
      <w:r>
        <w:rPr>
          <w:rFonts w:ascii="Arial" w:hAnsi="Arial" w:hint="cs"/>
          <w:rtl/>
        </w:rPr>
        <w:t>כן נימק כי ל</w:t>
      </w:r>
      <w:r>
        <w:rPr>
          <w:rFonts w:ascii="Arial" w:hAnsi="Arial"/>
          <w:rtl/>
        </w:rPr>
        <w:t xml:space="preserve">א שילם את מזונות </w:t>
      </w:r>
      <w:r>
        <w:rPr>
          <w:rFonts w:ascii="Arial" w:hAnsi="Arial" w:hint="cs"/>
          <w:rtl/>
        </w:rPr>
        <w:t xml:space="preserve">הקטינים </w:t>
      </w:r>
      <w:r w:rsidR="00740F30">
        <w:rPr>
          <w:rFonts w:ascii="Arial" w:hAnsi="Arial" w:hint="cs"/>
          <w:rtl/>
        </w:rPr>
        <w:t>א'</w:t>
      </w:r>
      <w:r>
        <w:rPr>
          <w:rFonts w:ascii="Arial" w:hAnsi="Arial"/>
          <w:rtl/>
        </w:rPr>
        <w:t xml:space="preserve"> וש</w:t>
      </w:r>
      <w:r w:rsidR="00740F30">
        <w:rPr>
          <w:rFonts w:ascii="Arial" w:hAnsi="Arial" w:hint="cs"/>
          <w:rtl/>
        </w:rPr>
        <w:t>'</w:t>
      </w:r>
      <w:r>
        <w:rPr>
          <w:rFonts w:ascii="Arial" w:hAnsi="Arial"/>
          <w:rtl/>
        </w:rPr>
        <w:t xml:space="preserve"> לחודשים יולי ואוגוסט</w:t>
      </w:r>
      <w:r>
        <w:rPr>
          <w:rFonts w:ascii="Arial" w:hAnsi="Arial" w:hint="cs"/>
          <w:rtl/>
        </w:rPr>
        <w:t>,</w:t>
      </w:r>
      <w:r>
        <w:rPr>
          <w:rFonts w:ascii="Arial" w:hAnsi="Arial"/>
          <w:rtl/>
        </w:rPr>
        <w:t xml:space="preserve"> כי בחודשים אלה הם שהו מעל 65% מהזמן א</w:t>
      </w:r>
      <w:r>
        <w:rPr>
          <w:rFonts w:ascii="Arial" w:hAnsi="Arial" w:hint="cs"/>
          <w:rtl/>
        </w:rPr>
        <w:t>צלו</w:t>
      </w:r>
      <w:r>
        <w:rPr>
          <w:rFonts w:ascii="Arial" w:hAnsi="Arial"/>
          <w:rtl/>
        </w:rPr>
        <w:t>.</w:t>
      </w:r>
    </w:p>
    <w:p w14:paraId="5B97A08E" w14:textId="77777777" w:rsidR="00E84102" w:rsidRDefault="00E84102" w:rsidP="00E84102">
      <w:pPr>
        <w:spacing w:after="120" w:line="360" w:lineRule="auto"/>
        <w:ind w:left="720" w:hanging="720"/>
        <w:jc w:val="both"/>
        <w:rPr>
          <w:rFonts w:ascii="Arial" w:hAnsi="Arial"/>
          <w:rtl/>
        </w:rPr>
      </w:pPr>
      <w:r>
        <w:rPr>
          <w:rFonts w:ascii="Arial" w:hAnsi="Arial" w:hint="cs"/>
          <w:rtl/>
        </w:rPr>
        <w:t>8.</w:t>
      </w:r>
      <w:r>
        <w:rPr>
          <w:rFonts w:ascii="Arial" w:hAnsi="Arial"/>
          <w:rtl/>
        </w:rPr>
        <w:tab/>
      </w:r>
      <w:r>
        <w:rPr>
          <w:rFonts w:ascii="David" w:hAnsi="David"/>
          <w:u w:val="single"/>
          <w:rtl/>
        </w:rPr>
        <w:t xml:space="preserve">ביום </w:t>
      </w:r>
      <w:r>
        <w:rPr>
          <w:rFonts w:ascii="David" w:hAnsi="David" w:hint="cs"/>
          <w:u w:val="single"/>
          <w:rtl/>
        </w:rPr>
        <w:t>28</w:t>
      </w:r>
      <w:r>
        <w:rPr>
          <w:rFonts w:ascii="David" w:hAnsi="David"/>
          <w:u w:val="single"/>
          <w:rtl/>
        </w:rPr>
        <w:t>.</w:t>
      </w:r>
      <w:r>
        <w:rPr>
          <w:rFonts w:ascii="David" w:hAnsi="David" w:hint="cs"/>
          <w:u w:val="single"/>
          <w:rtl/>
        </w:rPr>
        <w:t>11</w:t>
      </w:r>
      <w:r>
        <w:rPr>
          <w:rFonts w:ascii="David" w:hAnsi="David"/>
          <w:u w:val="single"/>
          <w:rtl/>
        </w:rPr>
        <w:t>.</w:t>
      </w:r>
      <w:r>
        <w:rPr>
          <w:rFonts w:ascii="David" w:hAnsi="David" w:hint="cs"/>
          <w:u w:val="single"/>
          <w:rtl/>
        </w:rPr>
        <w:t>2024</w:t>
      </w:r>
      <w:r>
        <w:rPr>
          <w:rFonts w:ascii="David" w:hAnsi="David"/>
          <w:u w:val="single"/>
          <w:rtl/>
        </w:rPr>
        <w:t xml:space="preserve"> ניתנה החלט</w:t>
      </w:r>
      <w:r>
        <w:rPr>
          <w:rFonts w:ascii="David" w:hAnsi="David" w:hint="cs"/>
          <w:u w:val="single"/>
          <w:rtl/>
        </w:rPr>
        <w:t xml:space="preserve">ת בית המשפט קמא בבקשת המבקש, שהתקבלה בחלקה. </w:t>
      </w:r>
      <w:r>
        <w:rPr>
          <w:rFonts w:ascii="David" w:hAnsi="David"/>
          <w:u w:val="single"/>
          <w:rtl/>
        </w:rPr>
        <w:t>להלן חלקה האופרטיבי</w:t>
      </w:r>
      <w:r>
        <w:rPr>
          <w:rFonts w:ascii="David" w:hAnsi="David"/>
          <w:rtl/>
        </w:rPr>
        <w:t>:</w:t>
      </w:r>
    </w:p>
    <w:p w14:paraId="62F761CB" w14:textId="4DB63229" w:rsidR="00E84102" w:rsidRPr="00223424" w:rsidRDefault="00E84102" w:rsidP="00E84102">
      <w:pPr>
        <w:numPr>
          <w:ilvl w:val="0"/>
          <w:numId w:val="1"/>
        </w:numPr>
        <w:spacing w:after="120" w:line="360" w:lineRule="auto"/>
        <w:ind w:left="1559" w:right="709" w:hanging="425"/>
        <w:jc w:val="both"/>
        <w:rPr>
          <w:rFonts w:ascii="David" w:hAnsi="David"/>
          <w:b/>
          <w:bCs/>
          <w:rtl/>
        </w:rPr>
      </w:pPr>
      <w:r w:rsidRPr="00223424">
        <w:rPr>
          <w:rFonts w:ascii="David" w:hAnsi="David"/>
          <w:b/>
          <w:bCs/>
          <w:rtl/>
        </w:rPr>
        <w:t xml:space="preserve">לאחר עיון בבקשה,  בתגובה,  ובתשובה לתגובה החלטתי לקבל את הבקשה בחלקה ולהורות על עיכוב הליכי הוצל"פ שעניינם  חיוב האב במזונות הקטין </w:t>
      </w:r>
      <w:r w:rsidR="00740F30">
        <w:rPr>
          <w:rFonts w:ascii="David" w:hAnsi="David" w:hint="cs"/>
          <w:b/>
          <w:bCs/>
          <w:rtl/>
        </w:rPr>
        <w:t>ה'</w:t>
      </w:r>
      <w:r w:rsidRPr="00223424">
        <w:rPr>
          <w:rFonts w:ascii="David" w:hAnsi="David"/>
          <w:b/>
          <w:bCs/>
          <w:rtl/>
        </w:rPr>
        <w:t xml:space="preserve"> מיום 1.10.21 ואילך מהטעמים שיפורטו להלן.  </w:t>
      </w:r>
    </w:p>
    <w:p w14:paraId="476F8C67" w14:textId="59DEB8B5" w:rsidR="00E84102" w:rsidRDefault="00E84102" w:rsidP="00E84102">
      <w:pPr>
        <w:numPr>
          <w:ilvl w:val="0"/>
          <w:numId w:val="1"/>
        </w:numPr>
        <w:spacing w:after="120" w:line="360" w:lineRule="auto"/>
        <w:ind w:left="1559" w:right="709" w:hanging="425"/>
        <w:jc w:val="both"/>
        <w:rPr>
          <w:rFonts w:ascii="David" w:hAnsi="David"/>
          <w:b/>
          <w:bCs/>
        </w:rPr>
      </w:pPr>
      <w:r w:rsidRPr="00223424">
        <w:rPr>
          <w:rFonts w:ascii="David" w:hAnsi="David"/>
          <w:b/>
          <w:bCs/>
          <w:rtl/>
        </w:rPr>
        <w:t>ראשית,  בקשת האב אינה פשוטה.  לאב תרומה של ממש למצב אליו נקלע כאשר עשה דין לעצמו בהפסקת תשלום חיובים פסוקים,  גם בחופשת הקיץ האחרונה בנוגע לא</w:t>
      </w:r>
      <w:r w:rsidR="00740F30">
        <w:rPr>
          <w:rFonts w:ascii="David" w:hAnsi="David" w:hint="cs"/>
          <w:b/>
          <w:bCs/>
          <w:rtl/>
        </w:rPr>
        <w:t xml:space="preserve">' </w:t>
      </w:r>
      <w:proofErr w:type="spellStart"/>
      <w:r w:rsidRPr="00223424">
        <w:rPr>
          <w:rFonts w:ascii="David" w:hAnsi="David"/>
          <w:b/>
          <w:bCs/>
          <w:rtl/>
        </w:rPr>
        <w:t>וש</w:t>
      </w:r>
      <w:proofErr w:type="spellEnd"/>
      <w:r w:rsidR="00740F30">
        <w:rPr>
          <w:rFonts w:ascii="David" w:hAnsi="David" w:hint="cs"/>
          <w:b/>
          <w:bCs/>
          <w:rtl/>
        </w:rPr>
        <w:t>'</w:t>
      </w:r>
      <w:r w:rsidRPr="00223424">
        <w:rPr>
          <w:rFonts w:ascii="David" w:hAnsi="David"/>
          <w:b/>
          <w:bCs/>
          <w:rtl/>
        </w:rPr>
        <w:t>.  עם זאת,  האב הראה במסמכים כי נקלע למצב כלכלי קשה המעמיד בסכנה את יכולתו לספק את צרכיו של ה</w:t>
      </w:r>
      <w:r w:rsidR="00740F30">
        <w:rPr>
          <w:rFonts w:ascii="David" w:hAnsi="David" w:hint="cs"/>
          <w:b/>
          <w:bCs/>
          <w:rtl/>
        </w:rPr>
        <w:t>'</w:t>
      </w:r>
      <w:r w:rsidRPr="00223424">
        <w:rPr>
          <w:rFonts w:ascii="David" w:hAnsi="David"/>
          <w:b/>
          <w:bCs/>
          <w:rtl/>
        </w:rPr>
        <w:t xml:space="preserve"> המתגורר אצלו.  </w:t>
      </w:r>
    </w:p>
    <w:p w14:paraId="1D6A153A" w14:textId="77777777" w:rsidR="00E84102" w:rsidRPr="00223424" w:rsidRDefault="00E84102" w:rsidP="00E84102">
      <w:pPr>
        <w:spacing w:after="120" w:line="360" w:lineRule="auto"/>
        <w:ind w:left="1559" w:right="709"/>
        <w:jc w:val="both"/>
        <w:rPr>
          <w:rFonts w:ascii="David" w:hAnsi="David"/>
          <w:b/>
          <w:bCs/>
          <w:rtl/>
        </w:rPr>
      </w:pPr>
      <w:r>
        <w:rPr>
          <w:rFonts w:ascii="David" w:hAnsi="David" w:hint="cs"/>
          <w:b/>
          <w:bCs/>
          <w:rtl/>
        </w:rPr>
        <w:t>...</w:t>
      </w:r>
      <w:r w:rsidRPr="00223424">
        <w:rPr>
          <w:rFonts w:ascii="David" w:hAnsi="David"/>
          <w:b/>
          <w:bCs/>
          <w:rtl/>
        </w:rPr>
        <w:t xml:space="preserve"> </w:t>
      </w:r>
    </w:p>
    <w:p w14:paraId="09BD0254" w14:textId="77777777" w:rsidR="00E84102" w:rsidRPr="00223424" w:rsidRDefault="00E84102" w:rsidP="00E84102">
      <w:pPr>
        <w:numPr>
          <w:ilvl w:val="0"/>
          <w:numId w:val="1"/>
        </w:numPr>
        <w:spacing w:after="120" w:line="360" w:lineRule="auto"/>
        <w:ind w:left="1559" w:right="709" w:hanging="425"/>
        <w:jc w:val="both"/>
        <w:rPr>
          <w:rFonts w:ascii="David" w:hAnsi="David"/>
          <w:b/>
          <w:bCs/>
          <w:rtl/>
        </w:rPr>
      </w:pPr>
      <w:r w:rsidRPr="00223424">
        <w:rPr>
          <w:rFonts w:ascii="David" w:hAnsi="David"/>
          <w:b/>
          <w:bCs/>
          <w:rtl/>
        </w:rPr>
        <w:t>שנית,  עיקול כספי פנסיה גורם נזק של ממש לאב בטווח הארוך.</w:t>
      </w:r>
      <w:r>
        <w:rPr>
          <w:rFonts w:ascii="David" w:hAnsi="David" w:hint="cs"/>
          <w:b/>
          <w:bCs/>
          <w:rtl/>
        </w:rPr>
        <w:t>..</w:t>
      </w:r>
    </w:p>
    <w:p w14:paraId="330F0318" w14:textId="77777777" w:rsidR="00E84102" w:rsidRDefault="00E84102" w:rsidP="00E84102">
      <w:pPr>
        <w:numPr>
          <w:ilvl w:val="0"/>
          <w:numId w:val="1"/>
        </w:numPr>
        <w:spacing w:after="120" w:line="360" w:lineRule="auto"/>
        <w:ind w:left="1559" w:right="709" w:hanging="425"/>
        <w:jc w:val="both"/>
        <w:rPr>
          <w:rFonts w:ascii="David" w:hAnsi="David"/>
          <w:b/>
          <w:bCs/>
        </w:rPr>
      </w:pPr>
      <w:r w:rsidRPr="00223424">
        <w:rPr>
          <w:rFonts w:ascii="David" w:hAnsi="David"/>
          <w:b/>
          <w:bCs/>
          <w:rtl/>
        </w:rPr>
        <w:t xml:space="preserve">שלישית,  החלטה זו אינה בבחינת ערעור על החלטת כב' הרשמת בתיק ההוצל"פ או על החלטת בית המשפט המחוזי, </w:t>
      </w:r>
      <w:r>
        <w:rPr>
          <w:rFonts w:ascii="David" w:hAnsi="David" w:hint="cs"/>
          <w:b/>
          <w:bCs/>
          <w:rtl/>
        </w:rPr>
        <w:t>א</w:t>
      </w:r>
      <w:r w:rsidRPr="00223424">
        <w:rPr>
          <w:rFonts w:ascii="David" w:hAnsi="David"/>
          <w:b/>
          <w:bCs/>
          <w:rtl/>
        </w:rPr>
        <w:t xml:space="preserve">שר דחה בקשת רשות ערעור של האב על החלטה שעניינה מזונות זמניים.  לכל החלטה יש נקודת מבט שונה.  לכל ערכאה סמכויות שונות. </w:t>
      </w:r>
    </w:p>
    <w:p w14:paraId="61F67A7F" w14:textId="77777777" w:rsidR="00E84102" w:rsidRPr="00223424" w:rsidRDefault="00E84102" w:rsidP="00E84102">
      <w:pPr>
        <w:spacing w:after="120" w:line="360" w:lineRule="auto"/>
        <w:ind w:left="1559" w:right="709" w:hanging="119"/>
        <w:jc w:val="both"/>
        <w:rPr>
          <w:rFonts w:ascii="David" w:hAnsi="David"/>
          <w:b/>
          <w:bCs/>
          <w:rtl/>
        </w:rPr>
      </w:pPr>
      <w:r>
        <w:rPr>
          <w:rFonts w:ascii="David" w:hAnsi="David" w:hint="cs"/>
          <w:b/>
          <w:bCs/>
          <w:rtl/>
        </w:rPr>
        <w:lastRenderedPageBreak/>
        <w:t>...</w:t>
      </w:r>
    </w:p>
    <w:p w14:paraId="47C63E9E" w14:textId="136A4C2A" w:rsidR="00E84102" w:rsidRPr="00223424" w:rsidRDefault="00E84102" w:rsidP="00E84102">
      <w:pPr>
        <w:numPr>
          <w:ilvl w:val="0"/>
          <w:numId w:val="1"/>
        </w:numPr>
        <w:spacing w:after="120" w:line="360" w:lineRule="auto"/>
        <w:ind w:left="1559" w:right="709" w:hanging="425"/>
        <w:jc w:val="both"/>
        <w:rPr>
          <w:rFonts w:ascii="David" w:hAnsi="David"/>
          <w:b/>
          <w:bCs/>
          <w:rtl/>
        </w:rPr>
      </w:pPr>
      <w:r w:rsidRPr="00223424">
        <w:rPr>
          <w:rFonts w:ascii="David" w:hAnsi="David"/>
          <w:b/>
          <w:bCs/>
          <w:rtl/>
        </w:rPr>
        <w:t>רביעית,  גם אם האב עדיין לא המציא כל מסמך אפשרי,  האב פרש תמונה טובה יותר מזו שהיתה מונחת קודם,  המאפשרת להתרשם כי מתן אפשרות לאם לפעול לגביית מזונות ה</w:t>
      </w:r>
      <w:r w:rsidR="00740F30">
        <w:rPr>
          <w:rFonts w:ascii="David" w:hAnsi="David" w:hint="cs"/>
          <w:b/>
          <w:bCs/>
          <w:rtl/>
        </w:rPr>
        <w:t>'</w:t>
      </w:r>
      <w:r w:rsidRPr="00223424">
        <w:rPr>
          <w:rFonts w:ascii="David" w:hAnsi="David"/>
          <w:b/>
          <w:bCs/>
          <w:rtl/>
        </w:rPr>
        <w:t xml:space="preserve"> עד להכרעה בתביעה זו,  אינה מוצדקת,  ועלולה לגרום לנזק של ממש לה</w:t>
      </w:r>
      <w:r w:rsidR="00740F30">
        <w:rPr>
          <w:rFonts w:ascii="David" w:hAnsi="David" w:hint="cs"/>
          <w:b/>
          <w:bCs/>
          <w:rtl/>
        </w:rPr>
        <w:t>'</w:t>
      </w:r>
      <w:r w:rsidRPr="00223424">
        <w:rPr>
          <w:rFonts w:ascii="David" w:hAnsi="David"/>
          <w:b/>
          <w:bCs/>
          <w:rtl/>
        </w:rPr>
        <w:t xml:space="preserve">.  </w:t>
      </w:r>
    </w:p>
    <w:p w14:paraId="1B5CFD21" w14:textId="77777777" w:rsidR="00E84102" w:rsidRPr="00223424" w:rsidRDefault="00E84102" w:rsidP="00E84102">
      <w:pPr>
        <w:numPr>
          <w:ilvl w:val="0"/>
          <w:numId w:val="1"/>
        </w:numPr>
        <w:spacing w:after="120" w:line="360" w:lineRule="auto"/>
        <w:ind w:left="1559" w:right="709" w:hanging="425"/>
        <w:jc w:val="both"/>
        <w:rPr>
          <w:rFonts w:ascii="David" w:hAnsi="David"/>
          <w:b/>
          <w:bCs/>
          <w:rtl/>
        </w:rPr>
      </w:pPr>
      <w:r w:rsidRPr="00223424">
        <w:rPr>
          <w:rFonts w:ascii="David" w:hAnsi="David"/>
          <w:b/>
          <w:bCs/>
          <w:rtl/>
        </w:rPr>
        <w:t xml:space="preserve">חמישית,  לא נסתרה טענת האב לפיה האם חיה עם בן זוג אמיד.  בן הזוג של האם אינו מחוייב לשאת במזונות ילדי הצדדים במקום האב,  אך די באמידותו הבלתי מוכחשת,  כדי להגיע למסקנה הלכאורית לפיה החלטה זו לא תחשוף את  האם ואת הקטינים הגרים עימה לחרפת רעב,  למרות שהאם מיוצגת בתיק זה ע"י הסיוע המשפטי.    </w:t>
      </w:r>
    </w:p>
    <w:p w14:paraId="5967AAA3" w14:textId="0A4845D0" w:rsidR="00E84102" w:rsidRDefault="00E84102" w:rsidP="00E84102">
      <w:pPr>
        <w:numPr>
          <w:ilvl w:val="0"/>
          <w:numId w:val="1"/>
        </w:numPr>
        <w:spacing w:after="120" w:line="360" w:lineRule="auto"/>
        <w:ind w:left="1559" w:right="709" w:hanging="425"/>
        <w:jc w:val="both"/>
        <w:rPr>
          <w:rFonts w:ascii="David" w:hAnsi="David"/>
          <w:b/>
          <w:bCs/>
        </w:rPr>
      </w:pPr>
      <w:r w:rsidRPr="00223424">
        <w:rPr>
          <w:rFonts w:ascii="David" w:hAnsi="David"/>
          <w:b/>
          <w:bCs/>
          <w:rtl/>
        </w:rPr>
        <w:t>על כן,  אני מורה על עיכוב הליכי גביית חיובי מזונות בגין הקטין ה</w:t>
      </w:r>
      <w:r w:rsidR="00740F30">
        <w:rPr>
          <w:rFonts w:ascii="David" w:hAnsi="David" w:hint="cs"/>
          <w:b/>
          <w:bCs/>
          <w:rtl/>
        </w:rPr>
        <w:t>'</w:t>
      </w:r>
      <w:r w:rsidRPr="00223424">
        <w:rPr>
          <w:rFonts w:ascii="David" w:hAnsi="David"/>
          <w:b/>
          <w:bCs/>
          <w:rtl/>
        </w:rPr>
        <w:t xml:space="preserve"> בתיק ההוצל"פ הנ"ל לתקופה מיום 1.10.21 ואילך,  עד להכרעה בתביעה זו.  כמו כן,  אני מותיר על כנו את הסעד הארעי במובן זה שלא ימומש העיקול שהוטל בתיק ההוצל"פ על כספי הפנסיה של האב אצל המחזיקה מנורה מבטחים פנסיה וגמל בע"מ.   </w:t>
      </w:r>
    </w:p>
    <w:p w14:paraId="790A0C46" w14:textId="77777777" w:rsidR="00E84102" w:rsidRDefault="00E84102" w:rsidP="00E84102">
      <w:pPr>
        <w:spacing w:after="120" w:line="360" w:lineRule="auto"/>
        <w:ind w:left="1559" w:right="709"/>
        <w:jc w:val="both"/>
        <w:rPr>
          <w:rFonts w:ascii="Arial" w:hAnsi="Arial"/>
          <w:rtl/>
        </w:rPr>
      </w:pPr>
      <w:r w:rsidRPr="00223424">
        <w:rPr>
          <w:rFonts w:ascii="David" w:hAnsi="David" w:hint="cs"/>
          <w:b/>
          <w:bCs/>
          <w:rtl/>
        </w:rPr>
        <w:t>...</w:t>
      </w:r>
      <w:r w:rsidRPr="00223424">
        <w:rPr>
          <w:rFonts w:ascii="David" w:hAnsi="David"/>
          <w:b/>
          <w:bCs/>
          <w:rtl/>
        </w:rPr>
        <w:t>".</w:t>
      </w:r>
    </w:p>
    <w:p w14:paraId="1185CA33" w14:textId="77777777" w:rsidR="00E84102" w:rsidRDefault="00E84102" w:rsidP="00E84102">
      <w:pPr>
        <w:spacing w:after="120" w:line="360" w:lineRule="auto"/>
        <w:ind w:left="720" w:hanging="720"/>
        <w:jc w:val="both"/>
        <w:rPr>
          <w:rFonts w:asciiTheme="minorHAnsi" w:hAnsiTheme="minorHAnsi"/>
          <w:rtl/>
        </w:rPr>
      </w:pPr>
      <w:r>
        <w:rPr>
          <w:rFonts w:asciiTheme="minorHAnsi" w:hAnsiTheme="minorHAnsi" w:hint="cs"/>
          <w:rtl/>
        </w:rPr>
        <w:t>9.</w:t>
      </w:r>
      <w:r>
        <w:rPr>
          <w:rFonts w:asciiTheme="minorHAnsi" w:hAnsiTheme="minorHAnsi"/>
          <w:rtl/>
        </w:rPr>
        <w:tab/>
      </w:r>
      <w:r w:rsidRPr="00AB4FFF">
        <w:rPr>
          <w:rFonts w:asciiTheme="minorHAnsi" w:hAnsiTheme="minorHAnsi" w:hint="cs"/>
          <w:u w:val="single"/>
          <w:rtl/>
        </w:rPr>
        <w:t>ביום 21.1.2025, הגיש המבקש בקשה בתיק קמא, להורות כדלקמן</w:t>
      </w:r>
      <w:r>
        <w:rPr>
          <w:rFonts w:asciiTheme="minorHAnsi" w:hAnsiTheme="minorHAnsi" w:hint="cs"/>
          <w:rtl/>
        </w:rPr>
        <w:t>:</w:t>
      </w:r>
    </w:p>
    <w:p w14:paraId="54AAC83D" w14:textId="70CAC2D5" w:rsidR="00E84102" w:rsidRDefault="00E84102" w:rsidP="00E84102">
      <w:pPr>
        <w:autoSpaceDE w:val="0"/>
        <w:autoSpaceDN w:val="0"/>
        <w:adjustRightInd w:val="0"/>
        <w:spacing w:after="120" w:line="360" w:lineRule="auto"/>
        <w:ind w:left="709"/>
        <w:jc w:val="both"/>
        <w:rPr>
          <w:rFonts w:ascii="David-Bold" w:cs="David-Bold"/>
          <w:b/>
          <w:bCs/>
          <w:rtl/>
        </w:rPr>
      </w:pPr>
      <w:r>
        <w:rPr>
          <w:rFonts w:asciiTheme="minorHAnsi" w:hAnsiTheme="minorHAnsi" w:cs="David-Bold" w:hint="cs"/>
          <w:b/>
          <w:bCs/>
          <w:rtl/>
        </w:rPr>
        <w:t xml:space="preserve">"55. </w:t>
      </w:r>
      <w:r>
        <w:rPr>
          <w:rFonts w:ascii="David-Bold" w:cs="David-Bold" w:hint="cs"/>
          <w:b/>
          <w:bCs/>
          <w:rtl/>
        </w:rPr>
        <w:t>מבוקש</w:t>
      </w:r>
      <w:r>
        <w:rPr>
          <w:rFonts w:ascii="David-Bold" w:cs="David-Bold"/>
          <w:b/>
          <w:bCs/>
          <w:rtl/>
        </w:rPr>
        <w:t xml:space="preserve"> </w:t>
      </w:r>
      <w:r>
        <w:rPr>
          <w:rFonts w:ascii="David-Bold" w:cs="David-Bold" w:hint="cs"/>
          <w:b/>
          <w:bCs/>
          <w:rtl/>
        </w:rPr>
        <w:t>כי</w:t>
      </w:r>
      <w:r>
        <w:rPr>
          <w:rFonts w:ascii="David-Bold" w:cs="David-Bold"/>
          <w:b/>
          <w:bCs/>
          <w:rtl/>
        </w:rPr>
        <w:t xml:space="preserve"> </w:t>
      </w:r>
      <w:r>
        <w:rPr>
          <w:rFonts w:ascii="David-Bold" w:cs="David-Bold" w:hint="cs"/>
          <w:b/>
          <w:bCs/>
          <w:rtl/>
        </w:rPr>
        <w:t>ביהמ</w:t>
      </w:r>
      <w:r>
        <w:rPr>
          <w:rFonts w:ascii="David-Bold" w:cs="David-Bold"/>
          <w:b/>
          <w:bCs/>
          <w:rtl/>
        </w:rPr>
        <w:t>"</w:t>
      </w:r>
      <w:r>
        <w:rPr>
          <w:rFonts w:ascii="David-Bold" w:cs="David-Bold" w:hint="cs"/>
          <w:b/>
          <w:bCs/>
          <w:rtl/>
        </w:rPr>
        <w:t>ש</w:t>
      </w:r>
      <w:r>
        <w:rPr>
          <w:rFonts w:ascii="David-Bold" w:cs="David-Bold"/>
          <w:b/>
          <w:bCs/>
          <w:rtl/>
        </w:rPr>
        <w:t xml:space="preserve"> </w:t>
      </w:r>
      <w:r>
        <w:rPr>
          <w:rFonts w:ascii="David-Bold" w:cs="David-Bold" w:hint="cs"/>
          <w:b/>
          <w:bCs/>
          <w:rtl/>
        </w:rPr>
        <w:t>יורה</w:t>
      </w:r>
      <w:r>
        <w:rPr>
          <w:rFonts w:ascii="David-Bold" w:cs="David-Bold"/>
          <w:b/>
          <w:bCs/>
          <w:rtl/>
        </w:rPr>
        <w:t xml:space="preserve"> </w:t>
      </w:r>
      <w:r>
        <w:rPr>
          <w:rFonts w:ascii="David-Bold" w:cs="David-Bold" w:hint="cs"/>
          <w:b/>
          <w:bCs/>
          <w:rtl/>
        </w:rPr>
        <w:t>להוצל</w:t>
      </w:r>
      <w:r>
        <w:rPr>
          <w:rFonts w:ascii="David-Bold" w:cs="David-Bold"/>
          <w:b/>
          <w:bCs/>
          <w:rtl/>
        </w:rPr>
        <w:t>"</w:t>
      </w:r>
      <w:r>
        <w:rPr>
          <w:rFonts w:ascii="David-Bold" w:cs="David-Bold" w:hint="cs"/>
          <w:b/>
          <w:bCs/>
          <w:rtl/>
        </w:rPr>
        <w:t>פ</w:t>
      </w:r>
      <w:r>
        <w:rPr>
          <w:rFonts w:ascii="David-Bold" w:cs="David-Bold"/>
          <w:b/>
          <w:bCs/>
          <w:rtl/>
        </w:rPr>
        <w:t xml:space="preserve"> </w:t>
      </w:r>
      <w:r>
        <w:rPr>
          <w:rFonts w:ascii="David-Bold" w:cs="David-Bold" w:hint="cs"/>
          <w:b/>
          <w:bCs/>
          <w:rtl/>
        </w:rPr>
        <w:t>לקזז</w:t>
      </w:r>
      <w:r>
        <w:rPr>
          <w:rFonts w:ascii="David-Bold" w:cs="David-Bold"/>
          <w:b/>
          <w:bCs/>
          <w:rtl/>
        </w:rPr>
        <w:t xml:space="preserve"> </w:t>
      </w:r>
      <w:r>
        <w:rPr>
          <w:rFonts w:ascii="David-Bold" w:cs="David-Bold" w:hint="cs"/>
          <w:b/>
          <w:bCs/>
          <w:rtl/>
        </w:rPr>
        <w:t>את</w:t>
      </w:r>
      <w:r>
        <w:rPr>
          <w:rFonts w:ascii="David-Bold" w:cs="David-Bold"/>
          <w:b/>
          <w:bCs/>
          <w:rtl/>
        </w:rPr>
        <w:t xml:space="preserve"> </w:t>
      </w:r>
      <w:r>
        <w:rPr>
          <w:rFonts w:ascii="David-Bold" w:cs="David-Bold" w:hint="cs"/>
          <w:b/>
          <w:bCs/>
          <w:rtl/>
        </w:rPr>
        <w:t>מרכיב</w:t>
      </w:r>
      <w:r>
        <w:rPr>
          <w:rFonts w:ascii="David-Bold" w:cs="David-Bold"/>
          <w:b/>
          <w:bCs/>
          <w:rtl/>
        </w:rPr>
        <w:t xml:space="preserve"> </w:t>
      </w:r>
      <w:r>
        <w:rPr>
          <w:rFonts w:ascii="David-Bold" w:cs="David-Bold" w:hint="cs"/>
          <w:b/>
          <w:bCs/>
          <w:rtl/>
        </w:rPr>
        <w:t>המדור</w:t>
      </w:r>
      <w:r>
        <w:rPr>
          <w:rFonts w:ascii="David-Bold" w:cs="David-Bold"/>
          <w:b/>
          <w:bCs/>
          <w:rtl/>
        </w:rPr>
        <w:t xml:space="preserve"> </w:t>
      </w:r>
      <w:r>
        <w:rPr>
          <w:rFonts w:ascii="David-Bold" w:cs="David-Bold" w:hint="cs"/>
          <w:b/>
          <w:bCs/>
          <w:rtl/>
        </w:rPr>
        <w:t>של</w:t>
      </w:r>
      <w:r>
        <w:rPr>
          <w:rFonts w:ascii="David-Bold" w:cs="David-Bold"/>
          <w:b/>
          <w:bCs/>
          <w:rtl/>
        </w:rPr>
        <w:t xml:space="preserve"> </w:t>
      </w:r>
      <w:r>
        <w:rPr>
          <w:rFonts w:ascii="David-Bold" w:cs="David-Bold" w:hint="cs"/>
          <w:b/>
          <w:bCs/>
          <w:rtl/>
        </w:rPr>
        <w:t>ה</w:t>
      </w:r>
      <w:r w:rsidR="00740F30">
        <w:rPr>
          <w:rFonts w:ascii="David-Bold" w:cs="David-Bold" w:hint="cs"/>
          <w:b/>
          <w:bCs/>
          <w:rtl/>
        </w:rPr>
        <w:t>'</w:t>
      </w:r>
      <w:r>
        <w:rPr>
          <w:rFonts w:ascii="David-Bold" w:cs="David-Bold"/>
          <w:b/>
          <w:bCs/>
          <w:rtl/>
        </w:rPr>
        <w:t xml:space="preserve"> </w:t>
      </w:r>
      <w:r>
        <w:rPr>
          <w:rFonts w:ascii="David-Bold" w:cs="David-Bold" w:hint="cs"/>
          <w:b/>
          <w:bCs/>
          <w:rtl/>
        </w:rPr>
        <w:t>בהתאמה</w:t>
      </w:r>
      <w:r>
        <w:rPr>
          <w:rFonts w:ascii="David-Bold" w:cs="David-Bold"/>
          <w:b/>
          <w:bCs/>
          <w:rtl/>
        </w:rPr>
        <w:t xml:space="preserve"> </w:t>
      </w:r>
      <w:r>
        <w:rPr>
          <w:rFonts w:ascii="David-Bold" w:cs="David-Bold" w:hint="cs"/>
          <w:b/>
          <w:bCs/>
          <w:rtl/>
        </w:rPr>
        <w:t>מיום</w:t>
      </w:r>
      <w:r>
        <w:rPr>
          <w:rFonts w:ascii="David-Bold" w:cs="David-Bold"/>
          <w:b/>
          <w:bCs/>
          <w:rtl/>
        </w:rPr>
        <w:t xml:space="preserve"> 01.09.21 </w:t>
      </w:r>
      <w:r>
        <w:rPr>
          <w:rFonts w:ascii="David-Bold" w:cs="David-Bold" w:hint="cs"/>
          <w:b/>
          <w:bCs/>
          <w:rtl/>
        </w:rPr>
        <w:t>ועד</w:t>
      </w:r>
      <w:r>
        <w:rPr>
          <w:rFonts w:ascii="David-Bold" w:cs="David-Bold"/>
          <w:b/>
          <w:bCs/>
          <w:rtl/>
        </w:rPr>
        <w:t xml:space="preserve"> </w:t>
      </w:r>
      <w:r>
        <w:rPr>
          <w:rFonts w:ascii="David-Bold" w:cs="David-Bold" w:hint="cs"/>
          <w:b/>
          <w:bCs/>
          <w:rtl/>
        </w:rPr>
        <w:t>היום</w:t>
      </w:r>
      <w:r>
        <w:rPr>
          <w:rFonts w:ascii="David-Bold" w:cs="David-Bold"/>
          <w:b/>
          <w:bCs/>
          <w:rtl/>
        </w:rPr>
        <w:t xml:space="preserve"> </w:t>
      </w:r>
      <w:r>
        <w:rPr>
          <w:rFonts w:ascii="David-Bold" w:cs="David-Bold" w:hint="cs"/>
          <w:b/>
          <w:bCs/>
          <w:rtl/>
        </w:rPr>
        <w:t>ועד בכלל</w:t>
      </w:r>
      <w:r>
        <w:rPr>
          <w:rFonts w:ascii="David-Bold" w:cs="David-Bold"/>
          <w:b/>
          <w:bCs/>
          <w:rtl/>
        </w:rPr>
        <w:t xml:space="preserve">. </w:t>
      </w:r>
      <w:r>
        <w:rPr>
          <w:rFonts w:ascii="David-Bold" w:cs="David-Bold" w:hint="cs"/>
          <w:b/>
          <w:bCs/>
          <w:rtl/>
        </w:rPr>
        <w:t>ולא</w:t>
      </w:r>
      <w:r>
        <w:rPr>
          <w:rFonts w:ascii="David-Bold" w:cs="David-Bold"/>
          <w:b/>
          <w:bCs/>
          <w:rtl/>
        </w:rPr>
        <w:t xml:space="preserve"> </w:t>
      </w:r>
      <w:r>
        <w:rPr>
          <w:rFonts w:ascii="David-Bold" w:cs="David-Bold" w:hint="cs"/>
          <w:b/>
          <w:bCs/>
          <w:rtl/>
        </w:rPr>
        <w:t>זו</w:t>
      </w:r>
      <w:r>
        <w:rPr>
          <w:rFonts w:ascii="David-Bold" w:cs="David-Bold"/>
          <w:b/>
          <w:bCs/>
          <w:rtl/>
        </w:rPr>
        <w:t xml:space="preserve"> </w:t>
      </w:r>
      <w:r>
        <w:rPr>
          <w:rFonts w:ascii="David-Bold" w:cs="David-Bold" w:hint="cs"/>
          <w:b/>
          <w:bCs/>
          <w:rtl/>
        </w:rPr>
        <w:t>בלבד</w:t>
      </w:r>
      <w:r>
        <w:rPr>
          <w:rFonts w:ascii="David-Bold" w:cs="David-Bold"/>
          <w:b/>
          <w:bCs/>
          <w:rtl/>
        </w:rPr>
        <w:t xml:space="preserve">, </w:t>
      </w:r>
      <w:r>
        <w:rPr>
          <w:rFonts w:ascii="David-Bold" w:cs="David-Bold" w:hint="cs"/>
          <w:b/>
          <w:bCs/>
          <w:rtl/>
        </w:rPr>
        <w:t>אלא</w:t>
      </w:r>
      <w:r>
        <w:rPr>
          <w:rFonts w:ascii="David-Bold" w:cs="David-Bold"/>
          <w:b/>
          <w:bCs/>
          <w:rtl/>
        </w:rPr>
        <w:t xml:space="preserve">, </w:t>
      </w:r>
      <w:r>
        <w:rPr>
          <w:rFonts w:ascii="David-Bold" w:cs="David-Bold" w:hint="cs"/>
          <w:b/>
          <w:bCs/>
          <w:rtl/>
        </w:rPr>
        <w:t>גם</w:t>
      </w:r>
      <w:r>
        <w:rPr>
          <w:rFonts w:ascii="David-Bold" w:cs="David-Bold"/>
          <w:b/>
          <w:bCs/>
          <w:rtl/>
        </w:rPr>
        <w:t xml:space="preserve"> </w:t>
      </w:r>
      <w:r>
        <w:rPr>
          <w:rFonts w:ascii="David-Bold" w:cs="David-Bold" w:hint="cs"/>
          <w:b/>
          <w:bCs/>
          <w:rtl/>
        </w:rPr>
        <w:t>את</w:t>
      </w:r>
      <w:r>
        <w:rPr>
          <w:rFonts w:ascii="David-Bold" w:cs="David-Bold"/>
          <w:b/>
          <w:bCs/>
          <w:rtl/>
        </w:rPr>
        <w:t xml:space="preserve"> </w:t>
      </w:r>
      <w:r>
        <w:rPr>
          <w:rFonts w:ascii="David-Bold" w:cs="David-Bold" w:hint="cs"/>
          <w:b/>
          <w:bCs/>
          <w:rtl/>
        </w:rPr>
        <w:t>כלל</w:t>
      </w:r>
      <w:r>
        <w:rPr>
          <w:rFonts w:ascii="David-Bold" w:cs="David-Bold"/>
          <w:b/>
          <w:bCs/>
          <w:rtl/>
        </w:rPr>
        <w:t xml:space="preserve"> </w:t>
      </w:r>
      <w:r>
        <w:rPr>
          <w:rFonts w:ascii="David-Bold" w:cs="David-Bold" w:hint="cs"/>
          <w:b/>
          <w:bCs/>
          <w:rtl/>
        </w:rPr>
        <w:t>ההצמדות</w:t>
      </w:r>
      <w:r>
        <w:rPr>
          <w:rFonts w:ascii="David-Bold" w:cs="David-Bold"/>
          <w:b/>
          <w:bCs/>
          <w:rtl/>
        </w:rPr>
        <w:t xml:space="preserve">, </w:t>
      </w:r>
      <w:r>
        <w:rPr>
          <w:rFonts w:ascii="David-Bold" w:cs="David-Bold" w:hint="cs"/>
          <w:b/>
          <w:bCs/>
          <w:rtl/>
        </w:rPr>
        <w:t>הריביות</w:t>
      </w:r>
      <w:r>
        <w:rPr>
          <w:rFonts w:ascii="David-Bold" w:cs="David-Bold"/>
          <w:b/>
          <w:bCs/>
          <w:rtl/>
        </w:rPr>
        <w:t xml:space="preserve"> </w:t>
      </w:r>
      <w:r>
        <w:rPr>
          <w:rFonts w:ascii="David-Bold" w:cs="David-Bold" w:hint="cs"/>
          <w:b/>
          <w:bCs/>
          <w:rtl/>
        </w:rPr>
        <w:t>והשיערוכים</w:t>
      </w:r>
      <w:r>
        <w:rPr>
          <w:rFonts w:ascii="David-Bold" w:cs="David-Bold"/>
          <w:b/>
          <w:bCs/>
          <w:rtl/>
        </w:rPr>
        <w:t xml:space="preserve"> </w:t>
      </w:r>
      <w:r>
        <w:rPr>
          <w:rFonts w:ascii="David-Bold" w:cs="David-Bold" w:hint="cs"/>
          <w:b/>
          <w:bCs/>
          <w:rtl/>
        </w:rPr>
        <w:t>שנוספו</w:t>
      </w:r>
      <w:r>
        <w:rPr>
          <w:rFonts w:ascii="David-Bold" w:cs="David-Bold"/>
          <w:b/>
          <w:bCs/>
          <w:rtl/>
        </w:rPr>
        <w:t xml:space="preserve"> </w:t>
      </w:r>
      <w:r>
        <w:rPr>
          <w:rFonts w:ascii="David-Bold" w:cs="David-Bold" w:hint="cs"/>
          <w:b/>
          <w:bCs/>
          <w:rtl/>
        </w:rPr>
        <w:t>אליהם</w:t>
      </w:r>
      <w:r>
        <w:rPr>
          <w:rFonts w:ascii="David-Bold" w:cs="David-Bold"/>
          <w:b/>
          <w:bCs/>
          <w:rtl/>
        </w:rPr>
        <w:t xml:space="preserve"> </w:t>
      </w:r>
      <w:r>
        <w:rPr>
          <w:rFonts w:ascii="David-Bold" w:cs="David-Bold" w:hint="cs"/>
          <w:b/>
          <w:bCs/>
          <w:rtl/>
        </w:rPr>
        <w:t>ואל</w:t>
      </w:r>
      <w:r>
        <w:rPr>
          <w:rFonts w:ascii="David-Bold" w:cs="David-Bold"/>
          <w:b/>
          <w:bCs/>
          <w:rtl/>
        </w:rPr>
        <w:t xml:space="preserve"> </w:t>
      </w:r>
      <w:r>
        <w:rPr>
          <w:rFonts w:ascii="David-Bold" w:cs="David-Bold" w:hint="cs"/>
          <w:b/>
          <w:bCs/>
          <w:rtl/>
        </w:rPr>
        <w:t>מזונותיו</w:t>
      </w:r>
      <w:r>
        <w:rPr>
          <w:rFonts w:ascii="David-Bold" w:cs="David-Bold"/>
          <w:b/>
          <w:bCs/>
          <w:rtl/>
        </w:rPr>
        <w:t xml:space="preserve"> </w:t>
      </w:r>
      <w:r>
        <w:rPr>
          <w:rFonts w:ascii="David-Bold" w:cs="David-Bold" w:hint="cs"/>
          <w:b/>
          <w:bCs/>
          <w:rtl/>
        </w:rPr>
        <w:t>של</w:t>
      </w:r>
      <w:r>
        <w:rPr>
          <w:rFonts w:ascii="David-Bold" w:cs="David-Bold"/>
          <w:b/>
          <w:bCs/>
          <w:rtl/>
        </w:rPr>
        <w:t xml:space="preserve"> </w:t>
      </w:r>
      <w:r>
        <w:rPr>
          <w:rFonts w:ascii="David-Bold" w:cs="David-Bold" w:hint="cs"/>
          <w:b/>
          <w:bCs/>
          <w:rtl/>
        </w:rPr>
        <w:t>ה</w:t>
      </w:r>
      <w:r w:rsidR="00740F30">
        <w:rPr>
          <w:rFonts w:ascii="David-Bold" w:cs="David-Bold" w:hint="cs"/>
          <w:b/>
          <w:bCs/>
          <w:rtl/>
        </w:rPr>
        <w:t>'</w:t>
      </w:r>
      <w:r>
        <w:rPr>
          <w:rFonts w:ascii="David-Bold" w:cs="David-Bold"/>
          <w:b/>
          <w:bCs/>
          <w:rtl/>
        </w:rPr>
        <w:t xml:space="preserve">, </w:t>
      </w:r>
      <w:r>
        <w:rPr>
          <w:rFonts w:ascii="David-Bold" w:cs="David-Bold" w:hint="cs"/>
          <w:b/>
          <w:bCs/>
          <w:rtl/>
        </w:rPr>
        <w:t>אשר העלו</w:t>
      </w:r>
      <w:r>
        <w:rPr>
          <w:rFonts w:ascii="David-Bold" w:cs="David-Bold"/>
          <w:b/>
          <w:bCs/>
          <w:rtl/>
        </w:rPr>
        <w:t xml:space="preserve"> </w:t>
      </w:r>
      <w:r>
        <w:rPr>
          <w:rFonts w:ascii="David-Bold" w:cs="David-Bold" w:hint="cs"/>
          <w:b/>
          <w:bCs/>
          <w:rtl/>
        </w:rPr>
        <w:t>את</w:t>
      </w:r>
      <w:r>
        <w:rPr>
          <w:rFonts w:ascii="David-Bold" w:cs="David-Bold"/>
          <w:b/>
          <w:bCs/>
          <w:rtl/>
        </w:rPr>
        <w:t xml:space="preserve"> </w:t>
      </w:r>
      <w:r>
        <w:rPr>
          <w:rFonts w:ascii="David-Bold" w:cs="David-Bold" w:hint="cs"/>
          <w:b/>
          <w:bCs/>
          <w:rtl/>
        </w:rPr>
        <w:t>החוב</w:t>
      </w:r>
      <w:r>
        <w:rPr>
          <w:rFonts w:ascii="David-Bold" w:cs="David-Bold"/>
          <w:b/>
          <w:bCs/>
          <w:rtl/>
        </w:rPr>
        <w:t xml:space="preserve"> </w:t>
      </w:r>
      <w:r>
        <w:rPr>
          <w:rFonts w:ascii="David-Bold" w:cs="David-Bold" w:hint="cs"/>
          <w:b/>
          <w:bCs/>
          <w:rtl/>
        </w:rPr>
        <w:t>המדומה</w:t>
      </w:r>
      <w:r>
        <w:rPr>
          <w:rFonts w:ascii="David-Bold" w:cs="David-Bold"/>
          <w:b/>
          <w:bCs/>
          <w:rtl/>
        </w:rPr>
        <w:t xml:space="preserve"> </w:t>
      </w:r>
      <w:r>
        <w:rPr>
          <w:rFonts w:ascii="David-Bold" w:cs="David-Bold" w:hint="cs"/>
          <w:b/>
          <w:bCs/>
          <w:rtl/>
        </w:rPr>
        <w:t>באלפי</w:t>
      </w:r>
      <w:r>
        <w:rPr>
          <w:rFonts w:ascii="David-Bold" w:cs="David-Bold"/>
          <w:b/>
          <w:bCs/>
          <w:rtl/>
        </w:rPr>
        <w:t xml:space="preserve"> </w:t>
      </w:r>
      <w:r>
        <w:rPr>
          <w:rFonts w:ascii="David-Bold" w:cs="David-Bold" w:hint="cs"/>
          <w:b/>
          <w:bCs/>
          <w:rtl/>
        </w:rPr>
        <w:t>שקלים</w:t>
      </w:r>
      <w:r>
        <w:rPr>
          <w:rFonts w:ascii="David-Bold" w:cs="David-Bold"/>
          <w:b/>
          <w:bCs/>
          <w:rtl/>
        </w:rPr>
        <w:t xml:space="preserve"> </w:t>
      </w:r>
      <w:r>
        <w:rPr>
          <w:rFonts w:ascii="David-Bold" w:cs="David-Bold" w:hint="cs"/>
          <w:b/>
          <w:bCs/>
          <w:rtl/>
        </w:rPr>
        <w:t>נוספים</w:t>
      </w:r>
      <w:r>
        <w:rPr>
          <w:rFonts w:ascii="David-Bold" w:cs="David-Bold"/>
          <w:b/>
          <w:bCs/>
          <w:rtl/>
        </w:rPr>
        <w:t xml:space="preserve">. </w:t>
      </w:r>
      <w:r>
        <w:rPr>
          <w:rFonts w:ascii="David-Bold" w:cs="David-Bold" w:hint="cs"/>
          <w:b/>
          <w:bCs/>
          <w:rtl/>
        </w:rPr>
        <w:t>לרבות</w:t>
      </w:r>
      <w:r>
        <w:rPr>
          <w:rFonts w:ascii="David-Bold" w:cs="David-Bold"/>
          <w:b/>
          <w:bCs/>
          <w:rtl/>
        </w:rPr>
        <w:t xml:space="preserve"> </w:t>
      </w:r>
      <w:r>
        <w:rPr>
          <w:rFonts w:ascii="David-Bold" w:cs="David-Bold" w:hint="cs"/>
          <w:b/>
          <w:bCs/>
          <w:rtl/>
        </w:rPr>
        <w:t>ריביות</w:t>
      </w:r>
      <w:r>
        <w:rPr>
          <w:rFonts w:ascii="David-Bold" w:cs="David-Bold"/>
          <w:b/>
          <w:bCs/>
          <w:rtl/>
        </w:rPr>
        <w:t xml:space="preserve">, </w:t>
      </w:r>
      <w:r>
        <w:rPr>
          <w:rFonts w:ascii="David-Bold" w:cs="David-Bold" w:hint="cs"/>
          <w:b/>
          <w:bCs/>
          <w:rtl/>
        </w:rPr>
        <w:t>הצמדות</w:t>
      </w:r>
      <w:r>
        <w:rPr>
          <w:rFonts w:ascii="David-Bold" w:cs="David-Bold"/>
          <w:b/>
          <w:bCs/>
          <w:rtl/>
        </w:rPr>
        <w:t xml:space="preserve"> </w:t>
      </w:r>
      <w:r>
        <w:rPr>
          <w:rFonts w:ascii="David-Bold" w:cs="David-Bold" w:hint="cs"/>
          <w:b/>
          <w:bCs/>
          <w:rtl/>
        </w:rPr>
        <w:t>ושיערוכים</w:t>
      </w:r>
      <w:r>
        <w:rPr>
          <w:rFonts w:ascii="David-Bold" w:cs="David-Bold"/>
          <w:b/>
          <w:bCs/>
          <w:rtl/>
        </w:rPr>
        <w:t xml:space="preserve"> </w:t>
      </w:r>
      <w:r>
        <w:rPr>
          <w:rFonts w:ascii="David-Bold" w:cs="David-Bold" w:hint="cs"/>
          <w:b/>
          <w:bCs/>
          <w:rtl/>
        </w:rPr>
        <w:t>שנוספו</w:t>
      </w:r>
      <w:r>
        <w:rPr>
          <w:rFonts w:ascii="David-Bold" w:cs="David-Bold"/>
          <w:b/>
          <w:bCs/>
          <w:rtl/>
        </w:rPr>
        <w:t xml:space="preserve"> </w:t>
      </w:r>
      <w:r>
        <w:rPr>
          <w:rFonts w:ascii="David-Bold" w:cs="David-Bold" w:hint="cs"/>
          <w:b/>
          <w:bCs/>
          <w:rtl/>
        </w:rPr>
        <w:t>בגין</w:t>
      </w:r>
      <w:r>
        <w:rPr>
          <w:rFonts w:ascii="David-Bold" w:cs="David-Bold"/>
          <w:b/>
          <w:bCs/>
          <w:rtl/>
        </w:rPr>
        <w:t xml:space="preserve"> </w:t>
      </w:r>
      <w:r>
        <w:rPr>
          <w:rFonts w:ascii="David-Bold" w:cs="David-Bold" w:hint="cs"/>
          <w:b/>
          <w:bCs/>
          <w:rtl/>
        </w:rPr>
        <w:t>אי</w:t>
      </w:r>
      <w:r>
        <w:rPr>
          <w:rFonts w:ascii="David-Bold" w:cs="David-Bold"/>
          <w:b/>
          <w:bCs/>
          <w:rtl/>
        </w:rPr>
        <w:t xml:space="preserve"> </w:t>
      </w:r>
      <w:r>
        <w:rPr>
          <w:rFonts w:ascii="David-Bold" w:cs="David-Bold" w:hint="cs"/>
          <w:b/>
          <w:bCs/>
          <w:rtl/>
        </w:rPr>
        <w:t>הקטנות</w:t>
      </w:r>
      <w:r>
        <w:rPr>
          <w:rFonts w:ascii="David-Bold" w:cs="David-Bold"/>
          <w:b/>
          <w:bCs/>
          <w:rtl/>
        </w:rPr>
        <w:t xml:space="preserve"> </w:t>
      </w:r>
      <w:r>
        <w:rPr>
          <w:rFonts w:ascii="David-Bold" w:cs="David-Bold" w:hint="cs"/>
          <w:b/>
          <w:bCs/>
          <w:rtl/>
        </w:rPr>
        <w:t>של האם</w:t>
      </w:r>
      <w:r>
        <w:rPr>
          <w:rFonts w:ascii="David-Bold" w:cs="David-Bold"/>
          <w:b/>
          <w:bCs/>
          <w:rtl/>
        </w:rPr>
        <w:t xml:space="preserve"> </w:t>
      </w:r>
      <w:r>
        <w:rPr>
          <w:rFonts w:ascii="David-Bold" w:cs="David-Bold" w:hint="cs"/>
          <w:b/>
          <w:bCs/>
          <w:rtl/>
        </w:rPr>
        <w:t>בתיק</w:t>
      </w:r>
      <w:r>
        <w:rPr>
          <w:rFonts w:ascii="David-Bold" w:cs="David-Bold"/>
          <w:b/>
          <w:bCs/>
          <w:rtl/>
        </w:rPr>
        <w:t xml:space="preserve">, </w:t>
      </w:r>
      <w:r>
        <w:rPr>
          <w:rFonts w:ascii="David-Bold" w:cs="David-Bold" w:hint="cs"/>
          <w:b/>
          <w:bCs/>
          <w:rtl/>
        </w:rPr>
        <w:t>והקטנות</w:t>
      </w:r>
      <w:r>
        <w:rPr>
          <w:rFonts w:ascii="David-Bold" w:cs="David-Bold"/>
          <w:b/>
          <w:bCs/>
          <w:rtl/>
        </w:rPr>
        <w:t xml:space="preserve"> </w:t>
      </w:r>
      <w:r>
        <w:rPr>
          <w:rFonts w:ascii="David-Bold" w:cs="David-Bold" w:hint="cs"/>
          <w:b/>
          <w:bCs/>
          <w:rtl/>
        </w:rPr>
        <w:t>שבוצעו</w:t>
      </w:r>
      <w:r>
        <w:rPr>
          <w:rFonts w:ascii="David-Bold" w:cs="David-Bold"/>
          <w:b/>
          <w:bCs/>
          <w:rtl/>
        </w:rPr>
        <w:t xml:space="preserve"> </w:t>
      </w:r>
      <w:r>
        <w:rPr>
          <w:rFonts w:ascii="David-Bold" w:cs="David-Bold" w:hint="cs"/>
          <w:b/>
          <w:bCs/>
          <w:rtl/>
        </w:rPr>
        <w:t>באיחור</w:t>
      </w:r>
      <w:r>
        <w:rPr>
          <w:rFonts w:ascii="David-Bold" w:cs="David-Bold"/>
          <w:b/>
          <w:bCs/>
          <w:rtl/>
        </w:rPr>
        <w:t xml:space="preserve"> </w:t>
      </w:r>
      <w:r>
        <w:rPr>
          <w:rFonts w:ascii="David-Bold" w:cs="David-Bold" w:hint="cs"/>
          <w:b/>
          <w:bCs/>
          <w:rtl/>
        </w:rPr>
        <w:t>אדיר</w:t>
      </w:r>
      <w:r>
        <w:rPr>
          <w:rFonts w:ascii="David-Bold" w:cs="David-Bold"/>
          <w:b/>
          <w:bCs/>
        </w:rPr>
        <w:t>.</w:t>
      </w:r>
    </w:p>
    <w:p w14:paraId="36D0B177" w14:textId="77777777" w:rsidR="00E84102" w:rsidRDefault="00E84102" w:rsidP="00E84102">
      <w:pPr>
        <w:autoSpaceDE w:val="0"/>
        <w:autoSpaceDN w:val="0"/>
        <w:adjustRightInd w:val="0"/>
        <w:spacing w:after="120" w:line="360" w:lineRule="auto"/>
        <w:ind w:left="709"/>
        <w:jc w:val="both"/>
        <w:rPr>
          <w:rFonts w:ascii="David-Bold" w:cs="David-Bold"/>
          <w:b/>
          <w:bCs/>
          <w:rtl/>
        </w:rPr>
      </w:pPr>
      <w:r>
        <w:rPr>
          <w:rFonts w:asciiTheme="minorHAnsi" w:hAnsiTheme="minorHAnsi" w:cs="David-Bold" w:hint="cs"/>
          <w:b/>
          <w:bCs/>
          <w:rtl/>
        </w:rPr>
        <w:t>56.</w:t>
      </w:r>
      <w:r>
        <w:rPr>
          <w:rFonts w:ascii="David-Bold" w:cs="David-Bold" w:hint="cs"/>
          <w:b/>
          <w:bCs/>
          <w:rtl/>
        </w:rPr>
        <w:t xml:space="preserve"> מבוקש</w:t>
      </w:r>
      <w:r>
        <w:rPr>
          <w:rFonts w:ascii="David-Bold" w:cs="David-Bold"/>
          <w:b/>
          <w:bCs/>
          <w:rtl/>
        </w:rPr>
        <w:t xml:space="preserve"> </w:t>
      </w:r>
      <w:r>
        <w:rPr>
          <w:rFonts w:ascii="David-Bold" w:cs="David-Bold" w:hint="cs"/>
          <w:b/>
          <w:bCs/>
          <w:rtl/>
        </w:rPr>
        <w:t>כי</w:t>
      </w:r>
      <w:r>
        <w:rPr>
          <w:rFonts w:ascii="David-Bold" w:cs="David-Bold"/>
          <w:b/>
          <w:bCs/>
          <w:rtl/>
        </w:rPr>
        <w:t xml:space="preserve"> </w:t>
      </w:r>
      <w:r>
        <w:rPr>
          <w:rFonts w:ascii="David-Bold" w:cs="David-Bold" w:hint="cs"/>
          <w:b/>
          <w:bCs/>
          <w:rtl/>
        </w:rPr>
        <w:t>ביהמ</w:t>
      </w:r>
      <w:r>
        <w:rPr>
          <w:rFonts w:ascii="David-Bold" w:cs="David-Bold"/>
          <w:b/>
          <w:bCs/>
          <w:rtl/>
        </w:rPr>
        <w:t>"</w:t>
      </w:r>
      <w:r>
        <w:rPr>
          <w:rFonts w:ascii="David-Bold" w:cs="David-Bold" w:hint="cs"/>
          <w:b/>
          <w:bCs/>
          <w:rtl/>
        </w:rPr>
        <w:t>ש</w:t>
      </w:r>
      <w:r>
        <w:rPr>
          <w:rFonts w:ascii="David-Bold" w:cs="David-Bold"/>
          <w:b/>
          <w:bCs/>
          <w:rtl/>
        </w:rPr>
        <w:t xml:space="preserve"> </w:t>
      </w:r>
      <w:r>
        <w:rPr>
          <w:rFonts w:ascii="David-Bold" w:cs="David-Bold" w:hint="cs"/>
          <w:b/>
          <w:bCs/>
          <w:rtl/>
        </w:rPr>
        <w:t>הנכבד</w:t>
      </w:r>
      <w:r>
        <w:rPr>
          <w:rFonts w:ascii="David-Bold" w:cs="David-Bold"/>
          <w:b/>
          <w:bCs/>
          <w:rtl/>
        </w:rPr>
        <w:t xml:space="preserve">, </w:t>
      </w:r>
      <w:r>
        <w:rPr>
          <w:rFonts w:ascii="David-Bold" w:cs="David-Bold" w:hint="cs"/>
          <w:b/>
          <w:bCs/>
          <w:rtl/>
        </w:rPr>
        <w:t>גם</w:t>
      </w:r>
      <w:r>
        <w:rPr>
          <w:rFonts w:ascii="David-Bold" w:cs="David-Bold"/>
          <w:b/>
          <w:bCs/>
          <w:rtl/>
        </w:rPr>
        <w:t xml:space="preserve"> </w:t>
      </w:r>
      <w:r>
        <w:rPr>
          <w:rFonts w:ascii="David-Bold" w:cs="David-Bold" w:hint="cs"/>
          <w:b/>
          <w:bCs/>
          <w:rtl/>
        </w:rPr>
        <w:t>יורה</w:t>
      </w:r>
      <w:r>
        <w:rPr>
          <w:rFonts w:ascii="David-Bold" w:cs="David-Bold"/>
          <w:b/>
          <w:bCs/>
          <w:rtl/>
        </w:rPr>
        <w:t xml:space="preserve"> </w:t>
      </w:r>
      <w:r>
        <w:rPr>
          <w:rFonts w:ascii="David-Bold" w:cs="David-Bold" w:hint="cs"/>
          <w:b/>
          <w:bCs/>
          <w:rtl/>
        </w:rPr>
        <w:t>על</w:t>
      </w:r>
      <w:r>
        <w:rPr>
          <w:rFonts w:ascii="David-Bold" w:cs="David-Bold"/>
          <w:b/>
          <w:bCs/>
          <w:rtl/>
        </w:rPr>
        <w:t xml:space="preserve"> </w:t>
      </w:r>
      <w:r>
        <w:rPr>
          <w:rFonts w:ascii="David-Bold" w:cs="David-Bold" w:hint="cs"/>
          <w:b/>
          <w:bCs/>
          <w:rtl/>
        </w:rPr>
        <w:t>הקפאת</w:t>
      </w:r>
      <w:r>
        <w:rPr>
          <w:rFonts w:ascii="David-Bold" w:cs="David-Bold"/>
          <w:b/>
          <w:bCs/>
          <w:rtl/>
        </w:rPr>
        <w:t xml:space="preserve"> </w:t>
      </w:r>
      <w:r>
        <w:rPr>
          <w:rFonts w:ascii="David-Bold" w:cs="David-Bold" w:hint="cs"/>
          <w:b/>
          <w:bCs/>
          <w:rtl/>
        </w:rPr>
        <w:t>החוב</w:t>
      </w:r>
      <w:r>
        <w:rPr>
          <w:rFonts w:ascii="David-Bold" w:cs="David-Bold"/>
          <w:b/>
          <w:bCs/>
          <w:rtl/>
        </w:rPr>
        <w:t xml:space="preserve"> </w:t>
      </w:r>
      <w:r>
        <w:rPr>
          <w:rFonts w:ascii="David-Bold" w:cs="David-Bold" w:hint="cs"/>
          <w:b/>
          <w:bCs/>
          <w:rtl/>
        </w:rPr>
        <w:t>הלכאורי</w:t>
      </w:r>
      <w:r>
        <w:rPr>
          <w:rFonts w:ascii="David-Bold" w:cs="David-Bold"/>
          <w:b/>
          <w:bCs/>
          <w:rtl/>
        </w:rPr>
        <w:t xml:space="preserve"> </w:t>
      </w:r>
      <w:r>
        <w:rPr>
          <w:rFonts w:ascii="David-Bold" w:cs="David-Bold" w:hint="cs"/>
          <w:b/>
          <w:bCs/>
          <w:rtl/>
        </w:rPr>
        <w:t>של</w:t>
      </w:r>
      <w:r>
        <w:rPr>
          <w:rFonts w:ascii="David-Bold" w:cs="David-Bold"/>
          <w:b/>
          <w:bCs/>
          <w:rtl/>
        </w:rPr>
        <w:t xml:space="preserve"> </w:t>
      </w:r>
      <w:r>
        <w:rPr>
          <w:rFonts w:ascii="David-Bold" w:cs="David-Bold" w:hint="cs"/>
          <w:b/>
          <w:bCs/>
          <w:rtl/>
        </w:rPr>
        <w:t>מזונות</w:t>
      </w:r>
      <w:r>
        <w:rPr>
          <w:rFonts w:ascii="David-Bold" w:cs="David-Bold"/>
          <w:b/>
          <w:bCs/>
          <w:rtl/>
        </w:rPr>
        <w:t xml:space="preserve"> </w:t>
      </w:r>
      <w:r>
        <w:rPr>
          <w:rFonts w:ascii="David-Bold" w:cs="David-Bold" w:hint="cs"/>
          <w:b/>
          <w:bCs/>
          <w:rtl/>
        </w:rPr>
        <w:t>יולי</w:t>
      </w:r>
      <w:r>
        <w:rPr>
          <w:rFonts w:ascii="David-Bold" w:cs="David-Bold"/>
          <w:b/>
          <w:bCs/>
          <w:rtl/>
        </w:rPr>
        <w:t xml:space="preserve"> </w:t>
      </w:r>
      <w:r>
        <w:rPr>
          <w:rFonts w:ascii="David-Bold" w:cs="David-Bold" w:hint="cs"/>
          <w:b/>
          <w:bCs/>
          <w:rtl/>
        </w:rPr>
        <w:t>ואוגוסט</w:t>
      </w:r>
      <w:r>
        <w:rPr>
          <w:rFonts w:ascii="David-Bold" w:cs="David-Bold"/>
          <w:b/>
          <w:bCs/>
          <w:rtl/>
        </w:rPr>
        <w:t xml:space="preserve"> 2024 , </w:t>
      </w:r>
      <w:r>
        <w:rPr>
          <w:rFonts w:ascii="David-Bold" w:cs="David-Bold" w:hint="cs"/>
          <w:b/>
          <w:bCs/>
          <w:rtl/>
        </w:rPr>
        <w:t>עד</w:t>
      </w:r>
      <w:r>
        <w:rPr>
          <w:rFonts w:ascii="David-Bold" w:cs="David-Bold"/>
          <w:b/>
          <w:bCs/>
          <w:rtl/>
        </w:rPr>
        <w:t xml:space="preserve"> </w:t>
      </w:r>
      <w:r>
        <w:rPr>
          <w:rFonts w:ascii="David-Bold" w:cs="David-Bold" w:hint="cs"/>
          <w:b/>
          <w:bCs/>
          <w:rtl/>
        </w:rPr>
        <w:t>לתום</w:t>
      </w:r>
      <w:r>
        <w:rPr>
          <w:rFonts w:ascii="David-Bold" w:cs="David-Bold"/>
          <w:b/>
          <w:bCs/>
          <w:rtl/>
        </w:rPr>
        <w:t xml:space="preserve"> </w:t>
      </w:r>
      <w:r>
        <w:rPr>
          <w:rFonts w:ascii="David-Bold" w:cs="David-Bold" w:hint="cs"/>
          <w:b/>
          <w:bCs/>
          <w:rtl/>
        </w:rPr>
        <w:t>בירור תביעת</w:t>
      </w:r>
      <w:r>
        <w:rPr>
          <w:rFonts w:ascii="David-Bold" w:cs="David-Bold"/>
          <w:b/>
          <w:bCs/>
          <w:rtl/>
        </w:rPr>
        <w:t xml:space="preserve"> </w:t>
      </w:r>
      <w:r>
        <w:rPr>
          <w:rFonts w:ascii="David-Bold" w:cs="David-Bold" w:hint="cs"/>
          <w:b/>
          <w:bCs/>
          <w:rtl/>
        </w:rPr>
        <w:t>המזונות</w:t>
      </w:r>
      <w:r>
        <w:rPr>
          <w:rFonts w:ascii="David-Bold" w:cs="David-Bold"/>
          <w:b/>
          <w:bCs/>
          <w:rtl/>
        </w:rPr>
        <w:t xml:space="preserve"> </w:t>
      </w:r>
      <w:r>
        <w:rPr>
          <w:rFonts w:ascii="David-Bold" w:cs="David-Bold" w:hint="cs"/>
          <w:b/>
          <w:bCs/>
          <w:rtl/>
        </w:rPr>
        <w:t>שהוגשה</w:t>
      </w:r>
      <w:r>
        <w:rPr>
          <w:rFonts w:ascii="David-Bold" w:cs="David-Bold"/>
          <w:b/>
          <w:bCs/>
        </w:rPr>
        <w:t>.</w:t>
      </w:r>
    </w:p>
    <w:p w14:paraId="7F34EBE2" w14:textId="77777777" w:rsidR="00E84102" w:rsidRPr="007A2C45" w:rsidRDefault="00E84102" w:rsidP="00E84102">
      <w:pPr>
        <w:autoSpaceDE w:val="0"/>
        <w:autoSpaceDN w:val="0"/>
        <w:adjustRightInd w:val="0"/>
        <w:spacing w:after="120" w:line="360" w:lineRule="auto"/>
        <w:ind w:left="709"/>
        <w:jc w:val="both"/>
        <w:rPr>
          <w:rFonts w:ascii="David-Bold" w:cs="David-Bold"/>
          <w:b/>
          <w:bCs/>
          <w:rtl/>
        </w:rPr>
      </w:pPr>
      <w:r>
        <w:rPr>
          <w:rFonts w:asciiTheme="minorHAnsi" w:hAnsiTheme="minorHAnsi" w:cs="David-Bold" w:hint="cs"/>
          <w:b/>
          <w:bCs/>
          <w:rtl/>
        </w:rPr>
        <w:t>57.</w:t>
      </w:r>
      <w:r>
        <w:rPr>
          <w:rFonts w:ascii="David-Bold" w:cs="David-Bold" w:hint="cs"/>
          <w:b/>
          <w:bCs/>
          <w:rtl/>
        </w:rPr>
        <w:t xml:space="preserve"> מבוקש</w:t>
      </w:r>
      <w:r>
        <w:rPr>
          <w:rFonts w:ascii="David-Bold" w:cs="David-Bold"/>
          <w:b/>
          <w:bCs/>
          <w:rtl/>
        </w:rPr>
        <w:t xml:space="preserve"> </w:t>
      </w:r>
      <w:r>
        <w:rPr>
          <w:rFonts w:ascii="David-Bold" w:cs="David-Bold" w:hint="cs"/>
          <w:b/>
          <w:bCs/>
          <w:rtl/>
        </w:rPr>
        <w:t>כי</w:t>
      </w:r>
      <w:r>
        <w:rPr>
          <w:rFonts w:ascii="David-Bold" w:cs="David-Bold"/>
          <w:b/>
          <w:bCs/>
          <w:rtl/>
        </w:rPr>
        <w:t xml:space="preserve"> </w:t>
      </w:r>
      <w:r>
        <w:rPr>
          <w:rFonts w:ascii="David-Bold" w:cs="David-Bold" w:hint="cs"/>
          <w:b/>
          <w:bCs/>
          <w:rtl/>
        </w:rPr>
        <w:t>ביהמ</w:t>
      </w:r>
      <w:r>
        <w:rPr>
          <w:rFonts w:ascii="David-Bold" w:cs="David-Bold"/>
          <w:b/>
          <w:bCs/>
          <w:rtl/>
        </w:rPr>
        <w:t>"</w:t>
      </w:r>
      <w:r>
        <w:rPr>
          <w:rFonts w:ascii="David-Bold" w:cs="David-Bold" w:hint="cs"/>
          <w:b/>
          <w:bCs/>
          <w:rtl/>
        </w:rPr>
        <w:t>ש</w:t>
      </w:r>
      <w:r>
        <w:rPr>
          <w:rFonts w:ascii="David-Bold" w:cs="David-Bold"/>
          <w:b/>
          <w:bCs/>
          <w:rtl/>
        </w:rPr>
        <w:t xml:space="preserve"> </w:t>
      </w:r>
      <w:r>
        <w:rPr>
          <w:rFonts w:ascii="David-Bold" w:cs="David-Bold" w:hint="cs"/>
          <w:b/>
          <w:bCs/>
          <w:rtl/>
        </w:rPr>
        <w:t>יורה</w:t>
      </w:r>
      <w:r>
        <w:rPr>
          <w:rFonts w:ascii="David-Bold" w:cs="David-Bold"/>
          <w:b/>
          <w:bCs/>
          <w:rtl/>
        </w:rPr>
        <w:t xml:space="preserve"> </w:t>
      </w:r>
      <w:r>
        <w:rPr>
          <w:rFonts w:ascii="David-Bold" w:cs="David-Bold" w:hint="cs"/>
          <w:b/>
          <w:bCs/>
          <w:rtl/>
        </w:rPr>
        <w:t>להשיב</w:t>
      </w:r>
      <w:r>
        <w:rPr>
          <w:rFonts w:ascii="David-Bold" w:cs="David-Bold"/>
          <w:b/>
          <w:bCs/>
          <w:rtl/>
        </w:rPr>
        <w:t xml:space="preserve"> </w:t>
      </w:r>
      <w:r>
        <w:rPr>
          <w:rFonts w:ascii="David-Bold" w:cs="David-Bold" w:hint="cs"/>
          <w:b/>
          <w:bCs/>
          <w:rtl/>
        </w:rPr>
        <w:t>לי</w:t>
      </w:r>
      <w:r>
        <w:rPr>
          <w:rFonts w:ascii="David-Bold" w:cs="David-Bold"/>
          <w:b/>
          <w:bCs/>
          <w:rtl/>
        </w:rPr>
        <w:t xml:space="preserve"> </w:t>
      </w:r>
      <w:r>
        <w:rPr>
          <w:rFonts w:ascii="David-Bold" w:cs="David-Bold" w:hint="cs"/>
          <w:b/>
          <w:bCs/>
          <w:rtl/>
        </w:rPr>
        <w:t>את</w:t>
      </w:r>
      <w:r>
        <w:rPr>
          <w:rFonts w:ascii="David-Bold" w:cs="David-Bold"/>
          <w:b/>
          <w:bCs/>
          <w:rtl/>
        </w:rPr>
        <w:t xml:space="preserve"> </w:t>
      </w:r>
      <w:r>
        <w:rPr>
          <w:rFonts w:ascii="David-Bold" w:cs="David-Bold" w:hint="cs"/>
          <w:b/>
          <w:bCs/>
          <w:rtl/>
        </w:rPr>
        <w:t>כל</w:t>
      </w:r>
      <w:r>
        <w:rPr>
          <w:rFonts w:ascii="David-Bold" w:cs="David-Bold"/>
          <w:b/>
          <w:bCs/>
          <w:rtl/>
        </w:rPr>
        <w:t xml:space="preserve"> </w:t>
      </w:r>
      <w:r>
        <w:rPr>
          <w:rFonts w:ascii="David-Bold" w:cs="David-Bold" w:hint="cs"/>
          <w:b/>
          <w:bCs/>
          <w:rtl/>
        </w:rPr>
        <w:t>משכורתי</w:t>
      </w:r>
      <w:r>
        <w:rPr>
          <w:rFonts w:ascii="David-Bold" w:cs="David-Bold"/>
          <w:b/>
          <w:bCs/>
          <w:rtl/>
        </w:rPr>
        <w:t xml:space="preserve"> </w:t>
      </w:r>
      <w:r>
        <w:rPr>
          <w:rFonts w:ascii="David-Bold" w:cs="David-Bold" w:hint="cs"/>
          <w:b/>
          <w:bCs/>
          <w:rtl/>
        </w:rPr>
        <w:t>שנלקחה</w:t>
      </w:r>
      <w:r>
        <w:rPr>
          <w:rFonts w:ascii="David-Bold" w:cs="David-Bold"/>
          <w:b/>
          <w:bCs/>
          <w:rtl/>
        </w:rPr>
        <w:t xml:space="preserve"> </w:t>
      </w:r>
      <w:r>
        <w:rPr>
          <w:rFonts w:ascii="David-Bold" w:cs="David-Bold" w:hint="cs"/>
          <w:b/>
          <w:bCs/>
          <w:rtl/>
        </w:rPr>
        <w:t>ממני</w:t>
      </w:r>
      <w:r>
        <w:rPr>
          <w:rFonts w:ascii="David-Bold" w:cs="David-Bold"/>
          <w:b/>
          <w:bCs/>
          <w:rtl/>
        </w:rPr>
        <w:t xml:space="preserve">, </w:t>
      </w:r>
      <w:r>
        <w:rPr>
          <w:rFonts w:ascii="David-Bold" w:cs="David-Bold" w:hint="cs"/>
          <w:b/>
          <w:bCs/>
          <w:rtl/>
        </w:rPr>
        <w:t>לרבות</w:t>
      </w:r>
      <w:r>
        <w:rPr>
          <w:rFonts w:ascii="David-Bold" w:cs="David-Bold"/>
          <w:b/>
          <w:bCs/>
          <w:rtl/>
        </w:rPr>
        <w:t xml:space="preserve"> </w:t>
      </w:r>
      <w:r>
        <w:rPr>
          <w:rFonts w:ascii="David-Bold" w:cs="David-Bold" w:hint="cs"/>
          <w:b/>
          <w:bCs/>
          <w:rtl/>
        </w:rPr>
        <w:t>הסכום</w:t>
      </w:r>
      <w:r>
        <w:rPr>
          <w:rFonts w:ascii="David-Bold" w:cs="David-Bold"/>
          <w:b/>
          <w:bCs/>
          <w:rtl/>
        </w:rPr>
        <w:t xml:space="preserve"> </w:t>
      </w:r>
      <w:r>
        <w:rPr>
          <w:rFonts w:ascii="David-Bold" w:cs="David-Bold" w:hint="cs"/>
          <w:b/>
          <w:bCs/>
          <w:rtl/>
        </w:rPr>
        <w:t>בסך</w:t>
      </w:r>
      <w:r>
        <w:rPr>
          <w:rFonts w:ascii="David-Bold" w:cs="David-Bold"/>
          <w:b/>
          <w:bCs/>
          <w:rtl/>
        </w:rPr>
        <w:t xml:space="preserve"> 4,000 </w:t>
      </w:r>
      <w:r>
        <w:rPr>
          <w:rFonts w:ascii="David-Bold" w:cs="David-Bold" w:hint="cs"/>
          <w:b/>
          <w:bCs/>
          <w:rtl/>
        </w:rPr>
        <w:t>₪</w:t>
      </w:r>
      <w:r>
        <w:rPr>
          <w:rFonts w:ascii="David-Bold" w:cs="David-Bold"/>
          <w:b/>
          <w:bCs/>
          <w:rtl/>
        </w:rPr>
        <w:t xml:space="preserve"> </w:t>
      </w:r>
      <w:r>
        <w:rPr>
          <w:rFonts w:ascii="David-Bold" w:cs="David-Bold" w:hint="cs"/>
          <w:b/>
          <w:bCs/>
          <w:rtl/>
        </w:rPr>
        <w:t>עליו</w:t>
      </w:r>
      <w:r>
        <w:rPr>
          <w:rFonts w:ascii="David-Bold" w:cs="David-Bold"/>
          <w:b/>
          <w:bCs/>
          <w:rtl/>
        </w:rPr>
        <w:t xml:space="preserve"> </w:t>
      </w:r>
      <w:r>
        <w:rPr>
          <w:rFonts w:ascii="David-Bold" w:cs="David-Bold" w:hint="cs"/>
          <w:b/>
          <w:bCs/>
          <w:rtl/>
        </w:rPr>
        <w:t>הורתה הרשמת</w:t>
      </w:r>
      <w:r>
        <w:rPr>
          <w:rFonts w:ascii="David-Bold" w:cs="David-Bold"/>
          <w:b/>
          <w:bCs/>
          <w:rtl/>
        </w:rPr>
        <w:t xml:space="preserve"> </w:t>
      </w:r>
      <w:r>
        <w:rPr>
          <w:rFonts w:ascii="David-Bold" w:cs="David-Bold" w:hint="cs"/>
          <w:b/>
          <w:bCs/>
          <w:rtl/>
        </w:rPr>
        <w:t>כי</w:t>
      </w:r>
      <w:r>
        <w:rPr>
          <w:rFonts w:ascii="David-Bold" w:cs="David-Bold"/>
          <w:b/>
          <w:bCs/>
          <w:rtl/>
        </w:rPr>
        <w:t xml:space="preserve"> </w:t>
      </w:r>
      <w:r>
        <w:rPr>
          <w:rFonts w:ascii="David-Bold" w:cs="David-Bold" w:hint="cs"/>
          <w:b/>
          <w:bCs/>
          <w:rtl/>
        </w:rPr>
        <w:t>ילקח</w:t>
      </w:r>
      <w:r>
        <w:rPr>
          <w:rFonts w:ascii="David-Bold" w:cs="David-Bold"/>
          <w:b/>
          <w:bCs/>
          <w:rtl/>
        </w:rPr>
        <w:t xml:space="preserve"> </w:t>
      </w:r>
      <w:r>
        <w:rPr>
          <w:rFonts w:ascii="David-Bold" w:cs="David-Bold" w:hint="cs"/>
          <w:b/>
          <w:bCs/>
          <w:rtl/>
        </w:rPr>
        <w:t>ממני</w:t>
      </w:r>
      <w:r>
        <w:rPr>
          <w:rFonts w:ascii="David-Bold" w:cs="David-Bold"/>
          <w:b/>
          <w:bCs/>
          <w:rtl/>
        </w:rPr>
        <w:t xml:space="preserve"> </w:t>
      </w:r>
      <w:r>
        <w:rPr>
          <w:rFonts w:ascii="David-Bold" w:cs="David-Bold" w:hint="cs"/>
          <w:b/>
          <w:bCs/>
          <w:rtl/>
        </w:rPr>
        <w:t>בכל</w:t>
      </w:r>
      <w:r>
        <w:rPr>
          <w:rFonts w:ascii="David-Bold" w:cs="David-Bold"/>
          <w:b/>
          <w:bCs/>
          <w:rtl/>
        </w:rPr>
        <w:t xml:space="preserve"> </w:t>
      </w:r>
      <w:r>
        <w:rPr>
          <w:rFonts w:ascii="David-Bold" w:cs="David-Bold" w:hint="cs"/>
          <w:b/>
          <w:bCs/>
          <w:rtl/>
        </w:rPr>
        <w:t>מקרה</w:t>
      </w:r>
      <w:r>
        <w:rPr>
          <w:rFonts w:ascii="David-Bold" w:cs="David-Bold"/>
          <w:b/>
          <w:bCs/>
          <w:rtl/>
        </w:rPr>
        <w:t xml:space="preserve">. </w:t>
      </w:r>
      <w:r>
        <w:rPr>
          <w:rFonts w:ascii="David-Bold" w:cs="David-Bold" w:hint="cs"/>
          <w:b/>
          <w:bCs/>
          <w:rtl/>
        </w:rPr>
        <w:t>ויבטל</w:t>
      </w:r>
      <w:r>
        <w:rPr>
          <w:rFonts w:ascii="David-Bold" w:cs="David-Bold"/>
          <w:b/>
          <w:bCs/>
          <w:rtl/>
        </w:rPr>
        <w:t xml:space="preserve"> </w:t>
      </w:r>
      <w:r>
        <w:rPr>
          <w:rFonts w:ascii="David-Bold" w:cs="David-Bold" w:hint="cs"/>
          <w:b/>
          <w:bCs/>
          <w:rtl/>
        </w:rPr>
        <w:t>את</w:t>
      </w:r>
      <w:r>
        <w:rPr>
          <w:rFonts w:ascii="David-Bold" w:cs="David-Bold"/>
          <w:b/>
          <w:bCs/>
          <w:rtl/>
        </w:rPr>
        <w:t xml:space="preserve"> </w:t>
      </w:r>
      <w:r>
        <w:rPr>
          <w:rFonts w:ascii="David-Bold" w:cs="David-Bold" w:hint="cs"/>
          <w:b/>
          <w:bCs/>
          <w:rtl/>
        </w:rPr>
        <w:t>כלל</w:t>
      </w:r>
      <w:r>
        <w:rPr>
          <w:rFonts w:ascii="David-Bold" w:cs="David-Bold"/>
          <w:b/>
          <w:bCs/>
          <w:rtl/>
        </w:rPr>
        <w:t xml:space="preserve"> </w:t>
      </w:r>
      <w:r>
        <w:rPr>
          <w:rFonts w:ascii="David-Bold" w:cs="David-Bold" w:hint="cs"/>
          <w:b/>
          <w:bCs/>
          <w:rtl/>
        </w:rPr>
        <w:t>העיקולים</w:t>
      </w:r>
      <w:r>
        <w:rPr>
          <w:rFonts w:ascii="David-Bold" w:cs="David-Bold"/>
          <w:b/>
          <w:bCs/>
          <w:rtl/>
        </w:rPr>
        <w:t xml:space="preserve"> </w:t>
      </w:r>
      <w:r>
        <w:rPr>
          <w:rFonts w:ascii="David-Bold" w:cs="David-Bold" w:hint="cs"/>
          <w:b/>
          <w:bCs/>
          <w:rtl/>
        </w:rPr>
        <w:t>למפרע</w:t>
      </w:r>
      <w:r>
        <w:rPr>
          <w:rFonts w:ascii="David-Bold" w:cs="David-Bold"/>
          <w:b/>
          <w:bCs/>
          <w:rtl/>
        </w:rPr>
        <w:t xml:space="preserve"> </w:t>
      </w:r>
      <w:r>
        <w:rPr>
          <w:rFonts w:ascii="David-Bold" w:cs="David-Bold" w:hint="cs"/>
          <w:b/>
          <w:bCs/>
          <w:rtl/>
        </w:rPr>
        <w:t>ולעתיד</w:t>
      </w:r>
      <w:r>
        <w:rPr>
          <w:rFonts w:ascii="David-Bold" w:cs="David-Bold"/>
          <w:b/>
          <w:bCs/>
          <w:rtl/>
        </w:rPr>
        <w:t xml:space="preserve">. </w:t>
      </w:r>
      <w:r>
        <w:rPr>
          <w:rFonts w:ascii="David-Bold" w:cs="David-Bold" w:hint="cs"/>
          <w:b/>
          <w:bCs/>
          <w:rtl/>
        </w:rPr>
        <w:t>הן</w:t>
      </w:r>
      <w:r>
        <w:rPr>
          <w:rFonts w:ascii="David-Bold" w:cs="David-Bold"/>
          <w:b/>
          <w:bCs/>
          <w:rtl/>
        </w:rPr>
        <w:t xml:space="preserve"> </w:t>
      </w:r>
      <w:r>
        <w:rPr>
          <w:rFonts w:ascii="David-Bold" w:cs="David-Bold" w:hint="cs"/>
          <w:b/>
          <w:bCs/>
          <w:rtl/>
        </w:rPr>
        <w:t>על</w:t>
      </w:r>
      <w:r>
        <w:rPr>
          <w:rFonts w:ascii="David-Bold" w:cs="David-Bold"/>
          <w:b/>
          <w:bCs/>
          <w:rtl/>
        </w:rPr>
        <w:t xml:space="preserve"> </w:t>
      </w:r>
      <w:r>
        <w:rPr>
          <w:rFonts w:ascii="David-Bold" w:cs="David-Bold" w:hint="cs"/>
          <w:b/>
          <w:bCs/>
          <w:rtl/>
        </w:rPr>
        <w:t>משכורתי</w:t>
      </w:r>
      <w:r>
        <w:rPr>
          <w:rFonts w:ascii="David-Bold" w:cs="David-Bold"/>
          <w:b/>
          <w:bCs/>
          <w:rtl/>
        </w:rPr>
        <w:t xml:space="preserve">, </w:t>
      </w:r>
      <w:r>
        <w:rPr>
          <w:rFonts w:ascii="David-Bold" w:cs="David-Bold" w:hint="cs"/>
          <w:b/>
          <w:bCs/>
          <w:rtl/>
        </w:rPr>
        <w:t>הן</w:t>
      </w:r>
      <w:r>
        <w:rPr>
          <w:rFonts w:ascii="David-Bold" w:cs="David-Bold"/>
          <w:b/>
          <w:bCs/>
          <w:rtl/>
        </w:rPr>
        <w:t xml:space="preserve"> </w:t>
      </w:r>
      <w:r>
        <w:rPr>
          <w:rFonts w:ascii="David-Bold" w:cs="David-Bold" w:hint="cs"/>
          <w:b/>
          <w:bCs/>
          <w:rtl/>
        </w:rPr>
        <w:t>בבנק</w:t>
      </w:r>
      <w:r>
        <w:rPr>
          <w:rFonts w:ascii="David-Bold" w:cs="David-Bold"/>
          <w:b/>
          <w:bCs/>
          <w:rtl/>
        </w:rPr>
        <w:t xml:space="preserve"> </w:t>
      </w:r>
      <w:r>
        <w:rPr>
          <w:rFonts w:ascii="David-Bold" w:cs="David-Bold" w:hint="cs"/>
          <w:b/>
          <w:bCs/>
          <w:rtl/>
        </w:rPr>
        <w:t>ישראל</w:t>
      </w:r>
      <w:r>
        <w:rPr>
          <w:rFonts w:ascii="David-Bold" w:cs="David-Bold"/>
          <w:b/>
          <w:bCs/>
          <w:rtl/>
        </w:rPr>
        <w:t xml:space="preserve">, </w:t>
      </w:r>
      <w:r>
        <w:rPr>
          <w:rFonts w:ascii="David-Bold" w:cs="David-Bold" w:hint="cs"/>
          <w:b/>
          <w:bCs/>
          <w:rtl/>
        </w:rPr>
        <w:t>הן בחברת</w:t>
      </w:r>
      <w:r>
        <w:rPr>
          <w:rFonts w:ascii="David-Bold" w:cs="David-Bold"/>
          <w:b/>
          <w:bCs/>
          <w:rtl/>
        </w:rPr>
        <w:t xml:space="preserve"> </w:t>
      </w:r>
      <w:r>
        <w:rPr>
          <w:rFonts w:ascii="David-Bold" w:cs="David-Bold" w:hint="cs"/>
          <w:b/>
          <w:bCs/>
          <w:rtl/>
        </w:rPr>
        <w:t>האשראי</w:t>
      </w:r>
      <w:r>
        <w:rPr>
          <w:rFonts w:ascii="David-Bold" w:cs="David-Bold"/>
          <w:b/>
          <w:bCs/>
          <w:rtl/>
        </w:rPr>
        <w:t xml:space="preserve">, </w:t>
      </w:r>
      <w:r>
        <w:rPr>
          <w:rFonts w:ascii="David-Bold" w:cs="David-Bold" w:hint="cs"/>
          <w:b/>
          <w:bCs/>
          <w:rtl/>
        </w:rPr>
        <w:t>הן</w:t>
      </w:r>
      <w:r>
        <w:rPr>
          <w:rFonts w:ascii="David-Bold" w:cs="David-Bold"/>
          <w:b/>
          <w:bCs/>
          <w:rtl/>
        </w:rPr>
        <w:t xml:space="preserve"> </w:t>
      </w:r>
      <w:r>
        <w:rPr>
          <w:rFonts w:ascii="David-Bold" w:cs="David-Bold" w:hint="cs"/>
          <w:b/>
          <w:bCs/>
          <w:rtl/>
        </w:rPr>
        <w:t>בבנק</w:t>
      </w:r>
      <w:r>
        <w:rPr>
          <w:rFonts w:ascii="David-Bold" w:cs="David-Bold"/>
          <w:b/>
          <w:bCs/>
          <w:rtl/>
        </w:rPr>
        <w:t xml:space="preserve"> </w:t>
      </w:r>
      <w:r>
        <w:rPr>
          <w:rFonts w:ascii="David-Bold" w:cs="David-Bold" w:hint="cs"/>
          <w:b/>
          <w:bCs/>
          <w:rtl/>
        </w:rPr>
        <w:t>יהב</w:t>
      </w:r>
      <w:r>
        <w:rPr>
          <w:rFonts w:ascii="David-Bold" w:cs="David-Bold"/>
          <w:b/>
          <w:bCs/>
          <w:rtl/>
        </w:rPr>
        <w:t xml:space="preserve">, </w:t>
      </w:r>
      <w:r>
        <w:rPr>
          <w:rFonts w:ascii="David-Bold" w:cs="David-Bold" w:hint="cs"/>
          <w:b/>
          <w:bCs/>
          <w:rtl/>
        </w:rPr>
        <w:t>ועל</w:t>
      </w:r>
      <w:r>
        <w:rPr>
          <w:rFonts w:ascii="David-Bold" w:cs="David-Bold"/>
          <w:b/>
          <w:bCs/>
          <w:rtl/>
        </w:rPr>
        <w:t xml:space="preserve"> </w:t>
      </w:r>
      <w:r>
        <w:rPr>
          <w:rFonts w:ascii="David-Bold" w:cs="David-Bold" w:hint="cs"/>
          <w:b/>
          <w:bCs/>
          <w:rtl/>
        </w:rPr>
        <w:t>כל</w:t>
      </w:r>
      <w:r>
        <w:rPr>
          <w:rFonts w:ascii="David-Bold" w:cs="David-Bold"/>
          <w:b/>
          <w:bCs/>
          <w:rtl/>
        </w:rPr>
        <w:t xml:space="preserve"> </w:t>
      </w:r>
      <w:r>
        <w:rPr>
          <w:rFonts w:ascii="David-Bold" w:cs="David-Bold" w:hint="cs"/>
          <w:b/>
          <w:bCs/>
          <w:rtl/>
        </w:rPr>
        <w:t>נכסי"</w:t>
      </w:r>
      <w:r>
        <w:rPr>
          <w:rFonts w:ascii="David-Bold" w:cs="David-Bold"/>
          <w:b/>
          <w:bCs/>
        </w:rPr>
        <w:t>.</w:t>
      </w:r>
    </w:p>
    <w:p w14:paraId="2C4A2C26" w14:textId="77777777" w:rsidR="00E84102" w:rsidRDefault="00E84102" w:rsidP="00E84102">
      <w:pPr>
        <w:spacing w:after="120" w:line="360" w:lineRule="auto"/>
        <w:ind w:left="720" w:hanging="720"/>
        <w:jc w:val="both"/>
        <w:rPr>
          <w:rFonts w:ascii="Arial" w:hAnsi="Arial"/>
          <w:rtl/>
        </w:rPr>
      </w:pPr>
      <w:r>
        <w:rPr>
          <w:rFonts w:ascii="Arial" w:hAnsi="Arial"/>
          <w:rtl/>
        </w:rPr>
        <w:tab/>
      </w:r>
      <w:r>
        <w:rPr>
          <w:rFonts w:ascii="Arial" w:hAnsi="Arial" w:hint="cs"/>
          <w:rtl/>
        </w:rPr>
        <w:t>לטענת המבקש, חרף ההחלטה קמא מיום 28.11.24, רשמת ההוצל"פ ממשיכה להטיל עליו עיקולים חדשים, לרבות על משכורתו וכן כספי קופה מחברת מנורה.</w:t>
      </w:r>
    </w:p>
    <w:p w14:paraId="348C68C6" w14:textId="77777777" w:rsidR="00E84102" w:rsidRDefault="00E84102" w:rsidP="00E84102">
      <w:pPr>
        <w:spacing w:after="120" w:line="360" w:lineRule="auto"/>
        <w:ind w:left="720" w:hanging="720"/>
        <w:jc w:val="both"/>
        <w:rPr>
          <w:rFonts w:ascii="Arial" w:hAnsi="Arial"/>
          <w:rtl/>
        </w:rPr>
      </w:pPr>
      <w:r>
        <w:rPr>
          <w:rFonts w:ascii="Arial" w:hAnsi="Arial" w:hint="cs"/>
          <w:rtl/>
        </w:rPr>
        <w:t>10.</w:t>
      </w:r>
      <w:r>
        <w:rPr>
          <w:rFonts w:ascii="Arial" w:hAnsi="Arial"/>
          <w:rtl/>
        </w:rPr>
        <w:tab/>
      </w:r>
      <w:r>
        <w:rPr>
          <w:rFonts w:ascii="Arial" w:hAnsi="Arial" w:hint="cs"/>
          <w:rtl/>
        </w:rPr>
        <w:t xml:space="preserve">בהחלטת בית המשפט קמא מיום 21.1.2025, נקבע כי הבקשה לעיל היא למעשה ערעור על רשמת ההוצל"פ, שיש לנקוט בגינה הליך נפרד מתאים. </w:t>
      </w:r>
    </w:p>
    <w:p w14:paraId="099C4BE6" w14:textId="3C667176" w:rsidR="00E84102" w:rsidRDefault="00E84102" w:rsidP="00E84102">
      <w:pPr>
        <w:spacing w:after="120" w:line="360" w:lineRule="auto"/>
        <w:ind w:left="720" w:hanging="720"/>
        <w:jc w:val="both"/>
        <w:rPr>
          <w:rFonts w:ascii="Arial" w:hAnsi="Arial"/>
          <w:rtl/>
        </w:rPr>
      </w:pPr>
      <w:r>
        <w:rPr>
          <w:rFonts w:ascii="Arial" w:hAnsi="Arial"/>
          <w:rtl/>
        </w:rPr>
        <w:tab/>
      </w:r>
      <w:r>
        <w:rPr>
          <w:rFonts w:ascii="Arial" w:hAnsi="Arial" w:hint="cs"/>
          <w:rtl/>
        </w:rPr>
        <w:t>בהחלטה נוספת מאותו יום, חידד בית משפט קמא וקבע כי "</w:t>
      </w:r>
      <w:r w:rsidRPr="00530019">
        <w:rPr>
          <w:rFonts w:ascii="Arial" w:hAnsi="Arial"/>
          <w:b/>
          <w:bCs/>
          <w:rtl/>
        </w:rPr>
        <w:t>לאור עיון נוסף בהחלטת כב' רשמת ההוצל"פ שצורפה לבקשה הקודמת של האב</w:t>
      </w:r>
      <w:r w:rsidRPr="00530019">
        <w:rPr>
          <w:rFonts w:ascii="Arial" w:hAnsi="Arial" w:hint="cs"/>
          <w:b/>
          <w:bCs/>
          <w:rtl/>
        </w:rPr>
        <w:t xml:space="preserve"> </w:t>
      </w:r>
      <w:r w:rsidRPr="00530019">
        <w:rPr>
          <w:rFonts w:ascii="Arial" w:hAnsi="Arial"/>
          <w:b/>
          <w:bCs/>
          <w:rtl/>
        </w:rPr>
        <w:t>מהיום , אני מורה לב"כ האם להגיב עד ליום 11.2.25 לבקשה הקודמת של האב</w:t>
      </w:r>
      <w:r w:rsidRPr="00530019">
        <w:rPr>
          <w:rFonts w:ascii="Arial" w:hAnsi="Arial" w:hint="cs"/>
          <w:b/>
          <w:bCs/>
          <w:rtl/>
        </w:rPr>
        <w:t xml:space="preserve"> </w:t>
      </w:r>
      <w:r w:rsidRPr="00530019">
        <w:rPr>
          <w:rFonts w:ascii="Arial" w:hAnsi="Arial"/>
          <w:b/>
          <w:bCs/>
          <w:rtl/>
        </w:rPr>
        <w:t>מהיום , רק לגבי הפחתת רכיב המדור המיוחס לה</w:t>
      </w:r>
      <w:r w:rsidR="00740F30">
        <w:rPr>
          <w:rFonts w:ascii="Arial" w:hAnsi="Arial" w:hint="cs"/>
          <w:b/>
          <w:bCs/>
          <w:rtl/>
        </w:rPr>
        <w:t xml:space="preserve">' </w:t>
      </w:r>
      <w:r w:rsidRPr="00530019">
        <w:rPr>
          <w:rFonts w:ascii="Arial" w:hAnsi="Arial"/>
          <w:b/>
          <w:bCs/>
          <w:rtl/>
        </w:rPr>
        <w:t>ובקשת האב לביטול החיוב במזונות לחודשים יולי</w:t>
      </w:r>
      <w:r w:rsidRPr="00530019">
        <w:rPr>
          <w:rFonts w:ascii="Arial" w:hAnsi="Arial" w:hint="cs"/>
          <w:b/>
          <w:bCs/>
          <w:rtl/>
        </w:rPr>
        <w:t xml:space="preserve"> אוגוסט 2024...</w:t>
      </w:r>
      <w:r>
        <w:rPr>
          <w:rFonts w:ascii="Arial" w:hAnsi="Arial" w:hint="cs"/>
          <w:rtl/>
        </w:rPr>
        <w:t>".</w:t>
      </w:r>
    </w:p>
    <w:p w14:paraId="4C187379" w14:textId="77777777" w:rsidR="00E84102" w:rsidRDefault="00E84102" w:rsidP="00E84102">
      <w:pPr>
        <w:spacing w:after="120" w:line="360" w:lineRule="auto"/>
        <w:ind w:left="720" w:hanging="720"/>
        <w:jc w:val="both"/>
        <w:rPr>
          <w:rFonts w:ascii="Arial" w:hAnsi="Arial"/>
          <w:rtl/>
        </w:rPr>
      </w:pPr>
      <w:r w:rsidRPr="001F10D4">
        <w:rPr>
          <w:rFonts w:ascii="Arial" w:hAnsi="Arial" w:hint="cs"/>
          <w:rtl/>
        </w:rPr>
        <w:lastRenderedPageBreak/>
        <w:t>11.</w:t>
      </w:r>
      <w:r>
        <w:rPr>
          <w:rFonts w:ascii="Arial" w:hAnsi="Arial" w:hint="cs"/>
          <w:rtl/>
        </w:rPr>
        <w:tab/>
      </w:r>
      <w:r w:rsidRPr="001F10D4">
        <w:rPr>
          <w:rFonts w:ascii="Arial" w:hAnsi="Arial"/>
          <w:rtl/>
        </w:rPr>
        <w:t xml:space="preserve">ביום 19.2.25 הוגשה תגובת </w:t>
      </w:r>
      <w:r>
        <w:rPr>
          <w:rFonts w:ascii="Arial" w:hAnsi="Arial" w:hint="cs"/>
          <w:rtl/>
        </w:rPr>
        <w:t>המשיבה</w:t>
      </w:r>
      <w:r w:rsidRPr="001F10D4">
        <w:rPr>
          <w:rFonts w:ascii="Arial" w:hAnsi="Arial"/>
          <w:rtl/>
        </w:rPr>
        <w:t xml:space="preserve">. </w:t>
      </w:r>
      <w:r>
        <w:rPr>
          <w:rFonts w:ascii="Arial" w:hAnsi="Arial" w:hint="cs"/>
          <w:rtl/>
        </w:rPr>
        <w:t xml:space="preserve">לטענתה, </w:t>
      </w:r>
      <w:r w:rsidRPr="001F10D4">
        <w:rPr>
          <w:rFonts w:ascii="Arial" w:hAnsi="Arial"/>
          <w:rtl/>
        </w:rPr>
        <w:t>מדובר בבקשה ממוחזרת. בית המשפט אינו ערכאת ערעור על עצמו</w:t>
      </w:r>
      <w:r>
        <w:rPr>
          <w:rFonts w:ascii="Arial" w:hAnsi="Arial" w:hint="cs"/>
          <w:rtl/>
        </w:rPr>
        <w:t xml:space="preserve">, והמבקש </w:t>
      </w:r>
      <w:r w:rsidRPr="001F10D4">
        <w:rPr>
          <w:rFonts w:ascii="Arial" w:hAnsi="Arial"/>
          <w:rtl/>
        </w:rPr>
        <w:t xml:space="preserve">לא </w:t>
      </w:r>
      <w:r>
        <w:rPr>
          <w:rFonts w:ascii="Arial" w:hAnsi="Arial" w:hint="cs"/>
          <w:rtl/>
        </w:rPr>
        <w:t>העלה</w:t>
      </w:r>
      <w:r w:rsidRPr="001F10D4">
        <w:rPr>
          <w:rFonts w:ascii="Arial" w:hAnsi="Arial"/>
          <w:rtl/>
        </w:rPr>
        <w:t xml:space="preserve"> טענות חדשות. </w:t>
      </w:r>
      <w:r>
        <w:rPr>
          <w:rFonts w:ascii="Arial" w:hAnsi="Arial" w:hint="cs"/>
          <w:rtl/>
        </w:rPr>
        <w:t>המשיבה חזרה על עמדתה כפי שהובעה בתגובתה לבקשה הקודמת (ראו סעיף 6 לעיל), והדגישה כי</w:t>
      </w:r>
      <w:r w:rsidRPr="001F10D4">
        <w:rPr>
          <w:rFonts w:ascii="Arial" w:hAnsi="Arial"/>
          <w:rtl/>
        </w:rPr>
        <w:t xml:space="preserve"> הסתמכה על פסק המזונות </w:t>
      </w:r>
      <w:r>
        <w:rPr>
          <w:rFonts w:ascii="Arial" w:hAnsi="Arial" w:hint="cs"/>
          <w:rtl/>
        </w:rPr>
        <w:t xml:space="preserve">עת </w:t>
      </w:r>
      <w:r w:rsidRPr="001F10D4">
        <w:rPr>
          <w:rFonts w:ascii="Arial" w:hAnsi="Arial"/>
          <w:rtl/>
        </w:rPr>
        <w:t>שכרה בית מותאם לשלושת הקטינים</w:t>
      </w:r>
      <w:r>
        <w:rPr>
          <w:rFonts w:ascii="Arial" w:hAnsi="Arial" w:hint="cs"/>
          <w:rtl/>
        </w:rPr>
        <w:t>.</w:t>
      </w:r>
      <w:r w:rsidRPr="001F10D4">
        <w:rPr>
          <w:rFonts w:ascii="Arial" w:hAnsi="Arial"/>
          <w:rtl/>
        </w:rPr>
        <w:t xml:space="preserve">  </w:t>
      </w:r>
    </w:p>
    <w:p w14:paraId="6112B648" w14:textId="77777777" w:rsidR="00E84102" w:rsidRDefault="00E84102" w:rsidP="00E84102">
      <w:pPr>
        <w:spacing w:after="120" w:line="360" w:lineRule="auto"/>
        <w:ind w:left="720" w:hanging="720"/>
        <w:jc w:val="both"/>
        <w:rPr>
          <w:rtl/>
        </w:rPr>
      </w:pPr>
      <w:r>
        <w:rPr>
          <w:rFonts w:ascii="Arial" w:hAnsi="Arial" w:hint="cs"/>
          <w:rtl/>
        </w:rPr>
        <w:t>12.</w:t>
      </w:r>
      <w:r>
        <w:rPr>
          <w:rFonts w:ascii="Arial" w:hAnsi="Arial"/>
          <w:rtl/>
        </w:rPr>
        <w:tab/>
      </w:r>
      <w:r w:rsidRPr="001F10D4">
        <w:rPr>
          <w:rFonts w:ascii="Arial" w:hAnsi="Arial" w:hint="cs"/>
          <w:u w:val="single"/>
          <w:rtl/>
        </w:rPr>
        <w:t>ביום 19.2.2025, ניתנה ההחלטה קמא, להלן עיקריה</w:t>
      </w:r>
      <w:r>
        <w:rPr>
          <w:rFonts w:ascii="Arial" w:hAnsi="Arial" w:hint="cs"/>
          <w:rtl/>
        </w:rPr>
        <w:t>:</w:t>
      </w:r>
    </w:p>
    <w:p w14:paraId="25E7D361" w14:textId="200929EB" w:rsidR="00E84102" w:rsidRPr="001F10D4" w:rsidRDefault="00E84102" w:rsidP="00E84102">
      <w:pPr>
        <w:pStyle w:val="ad"/>
        <w:numPr>
          <w:ilvl w:val="0"/>
          <w:numId w:val="3"/>
        </w:numPr>
        <w:spacing w:after="120" w:line="360" w:lineRule="auto"/>
        <w:ind w:left="1276" w:right="709" w:hanging="426"/>
        <w:contextualSpacing w:val="0"/>
        <w:jc w:val="both"/>
        <w:rPr>
          <w:rFonts w:ascii="Arial" w:hAnsi="Arial"/>
          <w:b/>
          <w:bCs/>
        </w:rPr>
      </w:pPr>
      <w:r w:rsidRPr="001F10D4">
        <w:rPr>
          <w:rFonts w:ascii="Arial" w:hAnsi="Arial"/>
          <w:b/>
          <w:bCs/>
          <w:rtl/>
        </w:rPr>
        <w:t>לפני בקשת האב מיום 21.1.25 לעיין מחדש בהחלטה מיום 28.11.24 ולהורות על ביטול חיוב האב במזונות הקטינים א</w:t>
      </w:r>
      <w:r w:rsidR="00740F30">
        <w:rPr>
          <w:rFonts w:ascii="Arial" w:hAnsi="Arial" w:hint="cs"/>
          <w:b/>
          <w:bCs/>
          <w:rtl/>
        </w:rPr>
        <w:t>'</w:t>
      </w:r>
      <w:r w:rsidRPr="001F10D4">
        <w:rPr>
          <w:rFonts w:ascii="Arial" w:hAnsi="Arial"/>
          <w:b/>
          <w:bCs/>
          <w:rtl/>
        </w:rPr>
        <w:t xml:space="preserve"> וש</w:t>
      </w:r>
      <w:r w:rsidR="00740F30">
        <w:rPr>
          <w:rFonts w:ascii="Arial" w:hAnsi="Arial" w:hint="cs"/>
          <w:b/>
          <w:bCs/>
          <w:rtl/>
        </w:rPr>
        <w:t xml:space="preserve">' </w:t>
      </w:r>
      <w:r w:rsidRPr="001F10D4">
        <w:rPr>
          <w:rFonts w:ascii="Arial" w:hAnsi="Arial"/>
          <w:b/>
          <w:bCs/>
          <w:rtl/>
        </w:rPr>
        <w:t>לחודשים יולי ואוגוסט 2024 בסך של 5,355 ₪,  וכן לבטל את רכיב המדור המתייחס לקטין ה</w:t>
      </w:r>
      <w:r w:rsidR="00740F30">
        <w:rPr>
          <w:rFonts w:ascii="Arial" w:hAnsi="Arial" w:hint="cs"/>
          <w:b/>
          <w:bCs/>
          <w:rtl/>
        </w:rPr>
        <w:t>'</w:t>
      </w:r>
      <w:r w:rsidRPr="001F10D4">
        <w:rPr>
          <w:rFonts w:ascii="Arial" w:hAnsi="Arial"/>
          <w:b/>
          <w:bCs/>
          <w:rtl/>
        </w:rPr>
        <w:t xml:space="preserve"> מאז שעבר לגור אצל האב בשיעור של שליש מרכיב המדור הכולל ובסך של 11,372 ₪ לפחות עד 1.12.24.  במסגרת הבקשה נתבקשו סעדים נוספים,  אך כבר נקבע בהחלטה קודמת כי </w:t>
      </w:r>
      <w:proofErr w:type="spellStart"/>
      <w:r w:rsidRPr="001F10D4">
        <w:rPr>
          <w:rFonts w:ascii="Arial" w:hAnsi="Arial"/>
          <w:b/>
          <w:bCs/>
          <w:rtl/>
        </w:rPr>
        <w:t>הסעדים</w:t>
      </w:r>
      <w:proofErr w:type="spellEnd"/>
      <w:r w:rsidRPr="001F10D4">
        <w:rPr>
          <w:rFonts w:ascii="Arial" w:hAnsi="Arial"/>
          <w:b/>
          <w:bCs/>
          <w:rtl/>
        </w:rPr>
        <w:t xml:space="preserve"> הנוספים הם למעשה ערעור של החלטת כב' רשמת ההוצל"פ מיום 8.1.25,  ולכן אדון רק בשני סעדים אלה.  </w:t>
      </w:r>
    </w:p>
    <w:p w14:paraId="49A5074E" w14:textId="77777777" w:rsidR="00E84102" w:rsidRPr="001F10D4" w:rsidRDefault="00E84102" w:rsidP="00E84102">
      <w:pPr>
        <w:pStyle w:val="ad"/>
        <w:spacing w:after="120" w:line="360" w:lineRule="auto"/>
        <w:ind w:left="1276" w:right="709"/>
        <w:contextualSpacing w:val="0"/>
        <w:jc w:val="both"/>
        <w:rPr>
          <w:rFonts w:ascii="Arial" w:hAnsi="Arial"/>
          <w:b/>
          <w:bCs/>
          <w:rtl/>
        </w:rPr>
      </w:pPr>
      <w:r>
        <w:rPr>
          <w:rFonts w:ascii="Arial" w:hAnsi="Arial" w:hint="cs"/>
          <w:b/>
          <w:bCs/>
          <w:rtl/>
        </w:rPr>
        <w:t>.</w:t>
      </w:r>
      <w:r w:rsidRPr="001F10D4">
        <w:rPr>
          <w:rFonts w:ascii="Arial" w:hAnsi="Arial" w:hint="cs"/>
          <w:b/>
          <w:bCs/>
          <w:rtl/>
        </w:rPr>
        <w:t>..</w:t>
      </w:r>
    </w:p>
    <w:p w14:paraId="5B1617B9" w14:textId="77777777" w:rsidR="00E84102" w:rsidRPr="001F10D4" w:rsidRDefault="00E84102" w:rsidP="00E84102">
      <w:pPr>
        <w:pStyle w:val="ad"/>
        <w:numPr>
          <w:ilvl w:val="0"/>
          <w:numId w:val="3"/>
        </w:numPr>
        <w:spacing w:after="120" w:line="360" w:lineRule="auto"/>
        <w:ind w:left="1276" w:right="709" w:hanging="426"/>
        <w:contextualSpacing w:val="0"/>
        <w:jc w:val="both"/>
        <w:rPr>
          <w:rFonts w:ascii="Arial" w:hAnsi="Arial"/>
          <w:b/>
          <w:bCs/>
        </w:rPr>
      </w:pPr>
      <w:r w:rsidRPr="001F10D4">
        <w:rPr>
          <w:rFonts w:ascii="Arial" w:hAnsi="Arial" w:hint="cs"/>
          <w:b/>
          <w:bCs/>
          <w:rtl/>
        </w:rPr>
        <w:t>...</w:t>
      </w:r>
    </w:p>
    <w:p w14:paraId="7998EC9F" w14:textId="77777777" w:rsidR="00E84102" w:rsidRPr="001F10D4" w:rsidRDefault="00E84102" w:rsidP="00E84102">
      <w:pPr>
        <w:pStyle w:val="ad"/>
        <w:numPr>
          <w:ilvl w:val="0"/>
          <w:numId w:val="3"/>
        </w:numPr>
        <w:spacing w:after="120" w:line="360" w:lineRule="auto"/>
        <w:ind w:left="1276" w:right="709" w:hanging="426"/>
        <w:contextualSpacing w:val="0"/>
        <w:jc w:val="both"/>
        <w:rPr>
          <w:rFonts w:ascii="Arial" w:hAnsi="Arial"/>
          <w:b/>
          <w:bCs/>
        </w:rPr>
      </w:pPr>
      <w:r w:rsidRPr="001F10D4">
        <w:rPr>
          <w:rFonts w:ascii="Arial" w:hAnsi="Arial"/>
          <w:b/>
          <w:bCs/>
          <w:rtl/>
        </w:rPr>
        <w:t xml:space="preserve">לאחר עיון בבקשה,  בתגובה ובתיק החלטתי לדחות את הבקשה מהטעמים שיפורטו להלן. </w:t>
      </w:r>
    </w:p>
    <w:p w14:paraId="7ABA767C" w14:textId="08197C9E" w:rsidR="00E84102" w:rsidRPr="001F10D4" w:rsidRDefault="00E84102" w:rsidP="00E84102">
      <w:pPr>
        <w:pStyle w:val="ad"/>
        <w:numPr>
          <w:ilvl w:val="0"/>
          <w:numId w:val="3"/>
        </w:numPr>
        <w:spacing w:after="120" w:line="360" w:lineRule="auto"/>
        <w:ind w:left="1276" w:right="709" w:hanging="426"/>
        <w:contextualSpacing w:val="0"/>
        <w:jc w:val="both"/>
        <w:rPr>
          <w:rFonts w:ascii="Arial" w:hAnsi="Arial"/>
          <w:b/>
          <w:bCs/>
        </w:rPr>
      </w:pPr>
      <w:r w:rsidRPr="001F10D4">
        <w:rPr>
          <w:rFonts w:ascii="Arial" w:hAnsi="Arial"/>
          <w:b/>
          <w:bCs/>
          <w:rtl/>
        </w:rPr>
        <w:t>ראשית,  בית המשפט כבר הלך כברת דרך לקראת האב כאשר הורה בשלב דיוני מוקדם על עיכוב הליכי גביית מזונות עבור הקטין ה</w:t>
      </w:r>
      <w:r w:rsidR="00740F30">
        <w:rPr>
          <w:rFonts w:ascii="Arial" w:hAnsi="Arial" w:hint="cs"/>
          <w:b/>
          <w:bCs/>
          <w:rtl/>
        </w:rPr>
        <w:t>'</w:t>
      </w:r>
      <w:r w:rsidRPr="001F10D4">
        <w:rPr>
          <w:rFonts w:ascii="Arial" w:hAnsi="Arial"/>
          <w:b/>
          <w:bCs/>
          <w:rtl/>
        </w:rPr>
        <w:t xml:space="preserve"> לתקופה מיום 1.10.21 ואילך .  מדובר בהחלטה חלוטה במובן זה שחלף המועד להגשת בקשת רשות ערעור על ההחלטה.  הגשת בקשה לעיון חוזר בהחלטה שכזו,  פוגעת לא רק באינטרס ההסתמכות של האם על כך שההחלטה לא תשתנה לפחות עד הדיון בתביעה,  אלא גם בכלל ציבור המתדיינים שנפגע בעקבות הנטייה של חלק מבעלי הדין לשוב ולפנות לבית המשפט </w:t>
      </w:r>
      <w:proofErr w:type="spellStart"/>
      <w:r w:rsidRPr="001F10D4">
        <w:rPr>
          <w:rFonts w:ascii="Arial" w:hAnsi="Arial"/>
          <w:b/>
          <w:bCs/>
          <w:rtl/>
        </w:rPr>
        <w:t>בענין</w:t>
      </w:r>
      <w:proofErr w:type="spellEnd"/>
      <w:r w:rsidRPr="001F10D4">
        <w:rPr>
          <w:rFonts w:ascii="Arial" w:hAnsi="Arial"/>
          <w:b/>
          <w:bCs/>
          <w:rtl/>
        </w:rPr>
        <w:t xml:space="preserve"> שכבר נדון והוכרע לאחר בחינת טענות שני הצדדים.  </w:t>
      </w:r>
    </w:p>
    <w:p w14:paraId="5E607472" w14:textId="77777777" w:rsidR="00E84102" w:rsidRPr="001F10D4" w:rsidRDefault="00E84102" w:rsidP="00E84102">
      <w:pPr>
        <w:pStyle w:val="ad"/>
        <w:numPr>
          <w:ilvl w:val="0"/>
          <w:numId w:val="3"/>
        </w:numPr>
        <w:spacing w:after="120" w:line="360" w:lineRule="auto"/>
        <w:ind w:left="1276" w:right="709" w:hanging="426"/>
        <w:contextualSpacing w:val="0"/>
        <w:jc w:val="both"/>
        <w:rPr>
          <w:rFonts w:ascii="Arial" w:hAnsi="Arial"/>
          <w:b/>
          <w:bCs/>
        </w:rPr>
      </w:pPr>
      <w:r w:rsidRPr="001F10D4">
        <w:rPr>
          <w:rFonts w:ascii="Arial" w:hAnsi="Arial"/>
          <w:b/>
          <w:bCs/>
          <w:rtl/>
        </w:rPr>
        <w:t xml:space="preserve">שנית,  בשלב מוקדם ולכאורי זה אין כל הצדקה לבטל את החיוב של האב במזונות עבור חודשי הקיץ האחרון ( יולי – אוגוסט 2024 ).  האב עשה דין לעצמו כאשר החליט שלא לשלם מזונות כי סבר שאין לכך הצדקה שכן הקטינים היו אצלו 65% מהזמן.  אין לעמדה זו כל בסיס משפטי.  כאשר הורים מסכימים על זמני שהות בתקופה מסוימת השונים מזמני השהות הפסוקים ואינם כוללים בהסכמה שינוי בדמי המזונות,  יש לשלם את דמי המזונות באותה תקופה לפי פסק הדין.  מי שנוהג אחרת,  כמו האב במקרה שלפני,  חושף עצמו להליכי גביית חוב מזונות ואין לו אלא להלין על עצמו.  </w:t>
      </w:r>
    </w:p>
    <w:p w14:paraId="35602DEE" w14:textId="2A5366B9" w:rsidR="00E84102" w:rsidRPr="001F10D4" w:rsidRDefault="00E84102" w:rsidP="00E84102">
      <w:pPr>
        <w:pStyle w:val="ad"/>
        <w:numPr>
          <w:ilvl w:val="0"/>
          <w:numId w:val="3"/>
        </w:numPr>
        <w:spacing w:after="120" w:line="360" w:lineRule="auto"/>
        <w:ind w:left="1276" w:right="709" w:hanging="426"/>
        <w:contextualSpacing w:val="0"/>
        <w:jc w:val="both"/>
        <w:rPr>
          <w:rFonts w:ascii="Arial" w:hAnsi="Arial"/>
          <w:b/>
          <w:bCs/>
        </w:rPr>
      </w:pPr>
      <w:r w:rsidRPr="001F10D4">
        <w:rPr>
          <w:rFonts w:ascii="Arial" w:hAnsi="Arial"/>
          <w:b/>
          <w:bCs/>
          <w:rtl/>
        </w:rPr>
        <w:t>שלישית,   גם באשר לרכיב המדור לא מצאתי הצדקה בשלב זה לשנות את נקודת האיזון העדינה בה בחרתי בהחלטה מיום 28.11.24.  יש ממש בטענת האם לפיה האם הסתמכה על כך ששלושת הקטינים גרים עימה כבית עיקרי כאשר שכרה בית גדול.  המעבר של ה</w:t>
      </w:r>
      <w:r w:rsidR="00740F30">
        <w:rPr>
          <w:rFonts w:ascii="Arial" w:hAnsi="Arial" w:hint="cs"/>
          <w:b/>
          <w:bCs/>
          <w:rtl/>
        </w:rPr>
        <w:t>'</w:t>
      </w:r>
      <w:r w:rsidRPr="001F10D4">
        <w:rPr>
          <w:rFonts w:ascii="Arial" w:hAnsi="Arial"/>
          <w:b/>
          <w:bCs/>
          <w:rtl/>
        </w:rPr>
        <w:t xml:space="preserve"> לאב לא נעשה בהחלטה שיפוטית אלא בעשיית דין עצמית,  שרק לאחר מעשה,  קיבלה גושפנקא </w:t>
      </w:r>
      <w:r w:rsidRPr="001F10D4">
        <w:rPr>
          <w:rFonts w:ascii="Arial" w:hAnsi="Arial"/>
          <w:b/>
          <w:bCs/>
          <w:rtl/>
        </w:rPr>
        <w:lastRenderedPageBreak/>
        <w:t>חלקית בהחלטות של שתי ערכאות,  תוך ביקורת על האב ועל הקטין ה</w:t>
      </w:r>
      <w:r w:rsidR="00740F30">
        <w:rPr>
          <w:rFonts w:ascii="Arial" w:hAnsi="Arial" w:hint="cs"/>
          <w:b/>
          <w:bCs/>
          <w:rtl/>
        </w:rPr>
        <w:t>'</w:t>
      </w:r>
      <w:r w:rsidRPr="001F10D4">
        <w:rPr>
          <w:rFonts w:ascii="Arial" w:hAnsi="Arial"/>
          <w:b/>
          <w:bCs/>
          <w:rtl/>
        </w:rPr>
        <w:t xml:space="preserve">.  במצב דברים שכזה אין הצדקה להוסיף על ההקלות שניתנו לאב,  בין אם מצבו קשה ובין אם לאו,  ע"י הפחתת שליש מרכיב המדור בדמי המזונות.  </w:t>
      </w:r>
    </w:p>
    <w:p w14:paraId="45CEC83F" w14:textId="77777777" w:rsidR="00E84102" w:rsidRPr="001F10D4" w:rsidRDefault="00E84102" w:rsidP="00E84102">
      <w:pPr>
        <w:pStyle w:val="ad"/>
        <w:spacing w:after="120" w:line="360" w:lineRule="auto"/>
        <w:ind w:left="1276" w:right="709"/>
        <w:contextualSpacing w:val="0"/>
        <w:jc w:val="both"/>
        <w:rPr>
          <w:rFonts w:ascii="Arial" w:hAnsi="Arial"/>
          <w:b/>
          <w:bCs/>
        </w:rPr>
      </w:pPr>
      <w:r w:rsidRPr="001F10D4">
        <w:rPr>
          <w:rFonts w:ascii="Arial" w:hAnsi="Arial" w:hint="cs"/>
          <w:b/>
          <w:bCs/>
          <w:rtl/>
        </w:rPr>
        <w:t>..."</w:t>
      </w:r>
    </w:p>
    <w:p w14:paraId="28E4E8FD" w14:textId="77777777" w:rsidR="00E84102" w:rsidRDefault="00E84102" w:rsidP="00E84102">
      <w:pPr>
        <w:spacing w:after="120" w:line="360" w:lineRule="auto"/>
        <w:ind w:left="720" w:hanging="720"/>
        <w:jc w:val="both"/>
        <w:rPr>
          <w:rFonts w:ascii="Arial" w:hAnsi="Arial"/>
          <w:rtl/>
        </w:rPr>
      </w:pPr>
      <w:r>
        <w:rPr>
          <w:rFonts w:ascii="Arial" w:hAnsi="Arial"/>
          <w:rtl/>
        </w:rPr>
        <w:tab/>
      </w:r>
      <w:r>
        <w:rPr>
          <w:rFonts w:ascii="Arial" w:hAnsi="Arial" w:hint="cs"/>
          <w:rtl/>
        </w:rPr>
        <w:t>בגין החלטה זו הוגשה בקשת רשות הערעור דנן.</w:t>
      </w:r>
    </w:p>
    <w:p w14:paraId="70CAEC0D" w14:textId="77777777" w:rsidR="00E84102" w:rsidRDefault="00E84102" w:rsidP="00E84102">
      <w:pPr>
        <w:spacing w:after="120" w:line="360" w:lineRule="auto"/>
        <w:ind w:left="720" w:hanging="720"/>
        <w:jc w:val="both"/>
        <w:rPr>
          <w:rFonts w:ascii="Arial" w:hAnsi="Arial"/>
          <w:rtl/>
        </w:rPr>
      </w:pPr>
      <w:r w:rsidRPr="001F10D4">
        <w:rPr>
          <w:rFonts w:ascii="Arial" w:hAnsi="Arial" w:hint="cs"/>
          <w:rtl/>
        </w:rPr>
        <w:t>13.</w:t>
      </w:r>
      <w:r>
        <w:rPr>
          <w:rFonts w:ascii="Arial" w:hAnsi="Arial"/>
          <w:rtl/>
        </w:rPr>
        <w:tab/>
      </w:r>
      <w:r>
        <w:rPr>
          <w:rFonts w:ascii="Arial" w:hAnsi="Arial" w:hint="cs"/>
          <w:rtl/>
        </w:rPr>
        <w:t xml:space="preserve">ביום 2.3.2025 התקיים דיון בתיק קמא, במהלכו נשמעו הצדדים בהרחבה. בסוף הדיון ניתנו הוראות בית משפט קמא לעניין הגשת תצהירי עדות ראשית, קביעת מועד לישיבת קדם משפט מסכם וכן מועד לישיבת הוכחות. </w:t>
      </w:r>
      <w:r w:rsidRPr="00424845">
        <w:rPr>
          <w:rFonts w:ascii="Arial" w:hAnsi="Arial" w:hint="cs"/>
          <w:u w:val="single"/>
          <w:rtl/>
        </w:rPr>
        <w:t xml:space="preserve">כמו כן קבע בית משפט קמא </w:t>
      </w:r>
      <w:r>
        <w:rPr>
          <w:rFonts w:ascii="Arial" w:hAnsi="Arial" w:hint="cs"/>
          <w:u w:val="single"/>
          <w:rtl/>
        </w:rPr>
        <w:t xml:space="preserve">בהחלטתו </w:t>
      </w:r>
      <w:r w:rsidRPr="00424845">
        <w:rPr>
          <w:rFonts w:ascii="Arial" w:hAnsi="Arial" w:hint="cs"/>
          <w:u w:val="single"/>
          <w:rtl/>
        </w:rPr>
        <w:t>כדלקמן</w:t>
      </w:r>
      <w:r>
        <w:rPr>
          <w:rFonts w:ascii="Arial" w:hAnsi="Arial" w:hint="cs"/>
          <w:rtl/>
        </w:rPr>
        <w:t>:</w:t>
      </w:r>
    </w:p>
    <w:p w14:paraId="33CEAD21" w14:textId="77777777" w:rsidR="00E84102" w:rsidRPr="00424845" w:rsidRDefault="00E84102" w:rsidP="00E84102">
      <w:pPr>
        <w:spacing w:after="120" w:line="360" w:lineRule="auto"/>
        <w:ind w:left="720" w:hanging="720"/>
        <w:jc w:val="both"/>
        <w:rPr>
          <w:rFonts w:ascii="Arial" w:hAnsi="Arial"/>
          <w:b/>
          <w:bCs/>
        </w:rPr>
      </w:pPr>
      <w:r>
        <w:rPr>
          <w:rFonts w:ascii="Arial" w:hAnsi="Arial"/>
          <w:rtl/>
        </w:rPr>
        <w:tab/>
      </w:r>
      <w:r>
        <w:rPr>
          <w:rFonts w:ascii="Arial" w:hAnsi="Arial" w:hint="cs"/>
          <w:rtl/>
        </w:rPr>
        <w:t>"</w:t>
      </w:r>
      <w:r w:rsidRPr="00424845">
        <w:rPr>
          <w:rFonts w:ascii="Arial" w:hAnsi="Arial" w:hint="cs"/>
          <w:b/>
          <w:bCs/>
          <w:rtl/>
        </w:rPr>
        <w:t>לאחר ששמעתי באריכות את הנוכחים לא מצאתי הצדקה להוסיף על החלטות הביניים הרבות שניתנו בתיק זה. כמו כן, לא מצאתי הצדקה לתת צו המורה למשרד הפנים להמציא טופס בירור פרטים על נוסע בכל הנוגע לנסיעות של הנתבעת לחו"ל.</w:t>
      </w:r>
    </w:p>
    <w:p w14:paraId="1AD48EF3" w14:textId="77777777" w:rsidR="00E84102" w:rsidRDefault="00E84102" w:rsidP="00E84102">
      <w:pPr>
        <w:spacing w:after="120" w:line="360" w:lineRule="auto"/>
        <w:ind w:left="720"/>
        <w:jc w:val="both"/>
        <w:rPr>
          <w:rFonts w:ascii="Arial" w:hAnsi="Arial"/>
          <w:rtl/>
        </w:rPr>
      </w:pPr>
      <w:r w:rsidRPr="00424845">
        <w:rPr>
          <w:rFonts w:ascii="Arial" w:hAnsi="Arial" w:hint="cs"/>
          <w:b/>
          <w:bCs/>
          <w:rtl/>
        </w:rPr>
        <w:t>מדובר בתביעה של האב לשינוי בחיובי המזונות, בעקבות שינויי נסיבות נטענים. בתביעה מסוג זה על בית המשפט לערוך השוואה בין נתוני היסוד לפסיקת מזונות שעיקרם הכנסות, יכולת כלכלית וזמני שהות במועד פסיקת המזונות הקיימת לעומת המועד בו הוגשה התביעה. ההיבט של רמת החיים של האם כפי שהוא משתקף בנסיעות לחו"ל הוא היבט שולי במידה שלא מצדיקה מתן צו בעניין זה</w:t>
      </w:r>
      <w:r>
        <w:rPr>
          <w:rFonts w:ascii="Arial" w:hAnsi="Arial" w:hint="cs"/>
          <w:rtl/>
        </w:rPr>
        <w:t>"</w:t>
      </w:r>
      <w:r w:rsidRPr="00424845">
        <w:rPr>
          <w:rFonts w:ascii="Arial" w:hAnsi="Arial" w:hint="cs"/>
          <w:rtl/>
        </w:rPr>
        <w:t>.</w:t>
      </w:r>
    </w:p>
    <w:p w14:paraId="677CD073" w14:textId="77777777" w:rsidR="00E84102" w:rsidRPr="00424845" w:rsidRDefault="00E84102" w:rsidP="00E84102">
      <w:pPr>
        <w:spacing w:after="120" w:line="360" w:lineRule="auto"/>
        <w:ind w:left="720"/>
        <w:jc w:val="both"/>
        <w:rPr>
          <w:rFonts w:ascii="Arial" w:hAnsi="Arial"/>
          <w:rtl/>
        </w:rPr>
      </w:pPr>
      <w:r w:rsidRPr="00424845">
        <w:rPr>
          <w:rFonts w:ascii="Arial" w:hAnsi="Arial" w:hint="cs"/>
          <w:rtl/>
        </w:rPr>
        <w:t>אף בגין רכיב זה בהחלטה מיום 2.3.25, הוגשה בקשת רשות הערעור דנן.</w:t>
      </w:r>
    </w:p>
    <w:p w14:paraId="3A55B341" w14:textId="77777777" w:rsidR="00E84102" w:rsidRDefault="00E84102" w:rsidP="00E84102">
      <w:pPr>
        <w:spacing w:after="120" w:line="360" w:lineRule="auto"/>
        <w:ind w:left="720" w:hanging="720"/>
        <w:jc w:val="both"/>
        <w:rPr>
          <w:rFonts w:ascii="Arial" w:hAnsi="Arial"/>
          <w:rtl/>
        </w:rPr>
      </w:pPr>
    </w:p>
    <w:p w14:paraId="04CA9889" w14:textId="77777777" w:rsidR="00E84102" w:rsidRDefault="00E84102" w:rsidP="00E84102">
      <w:pPr>
        <w:spacing w:after="120" w:line="360" w:lineRule="auto"/>
        <w:ind w:left="720" w:hanging="720"/>
        <w:jc w:val="both"/>
        <w:rPr>
          <w:rFonts w:ascii="Arial" w:hAnsi="Arial"/>
          <w:b/>
          <w:bCs/>
          <w:u w:val="single"/>
          <w:rtl/>
        </w:rPr>
      </w:pPr>
      <w:r>
        <w:rPr>
          <w:rFonts w:ascii="Arial" w:hAnsi="Arial"/>
          <w:b/>
          <w:bCs/>
          <w:u w:val="single"/>
          <w:rtl/>
        </w:rPr>
        <w:t>טענות המבקש בבקשת רשות הערעור</w:t>
      </w:r>
    </w:p>
    <w:p w14:paraId="6B4A8407" w14:textId="77777777" w:rsidR="00E84102" w:rsidRDefault="00E84102" w:rsidP="00E84102">
      <w:pPr>
        <w:spacing w:after="120" w:line="360" w:lineRule="auto"/>
        <w:ind w:left="720" w:hanging="720"/>
        <w:jc w:val="both"/>
        <w:rPr>
          <w:rFonts w:ascii="Arial" w:hAnsi="Arial"/>
          <w:rtl/>
        </w:rPr>
      </w:pPr>
      <w:r>
        <w:rPr>
          <w:rFonts w:ascii="Arial" w:hAnsi="Arial" w:hint="cs"/>
          <w:rtl/>
        </w:rPr>
        <w:t>14</w:t>
      </w:r>
      <w:r>
        <w:rPr>
          <w:rFonts w:ascii="Arial" w:hAnsi="Arial"/>
          <w:rtl/>
        </w:rPr>
        <w:t>.</w:t>
      </w:r>
      <w:r>
        <w:rPr>
          <w:rFonts w:ascii="Arial" w:hAnsi="Arial"/>
          <w:rtl/>
        </w:rPr>
        <w:tab/>
      </w:r>
      <w:r>
        <w:rPr>
          <w:rFonts w:ascii="Arial" w:hAnsi="Arial" w:hint="cs"/>
          <w:u w:val="single"/>
          <w:rtl/>
        </w:rPr>
        <w:t xml:space="preserve">המבקש חזר בהרחבה על הרקע ועל טענותיו בבקשה קמא. </w:t>
      </w:r>
      <w:r>
        <w:rPr>
          <w:rFonts w:ascii="Arial" w:hAnsi="Arial"/>
          <w:u w:val="single"/>
          <w:rtl/>
        </w:rPr>
        <w:t xml:space="preserve">להלן תמצית </w:t>
      </w:r>
      <w:r>
        <w:rPr>
          <w:rFonts w:ascii="Arial" w:hAnsi="Arial" w:hint="cs"/>
          <w:u w:val="single"/>
          <w:rtl/>
        </w:rPr>
        <w:t xml:space="preserve">עיקר </w:t>
      </w:r>
      <w:r>
        <w:rPr>
          <w:rFonts w:ascii="Arial" w:hAnsi="Arial"/>
          <w:u w:val="single"/>
          <w:rtl/>
        </w:rPr>
        <w:t>טענות המבקש בבקשת רשות הערעור</w:t>
      </w:r>
      <w:r>
        <w:rPr>
          <w:rFonts w:ascii="Arial" w:hAnsi="Arial"/>
          <w:rtl/>
        </w:rPr>
        <w:t>:</w:t>
      </w:r>
    </w:p>
    <w:p w14:paraId="24B7EC97" w14:textId="77777777" w:rsidR="00E84102" w:rsidRDefault="00E84102" w:rsidP="00E84102">
      <w:pPr>
        <w:spacing w:after="120" w:line="360" w:lineRule="auto"/>
        <w:ind w:left="720" w:hanging="720"/>
        <w:jc w:val="both"/>
        <w:rPr>
          <w:rFonts w:ascii="Arial" w:hAnsi="Arial"/>
          <w:rtl/>
        </w:rPr>
      </w:pPr>
      <w:r>
        <w:rPr>
          <w:rFonts w:ascii="Arial" w:hAnsi="Arial"/>
          <w:rtl/>
        </w:rPr>
        <w:tab/>
      </w:r>
      <w:r w:rsidRPr="00C110FC">
        <w:rPr>
          <w:rFonts w:ascii="Arial" w:hAnsi="Arial" w:hint="cs"/>
          <w:u w:val="single"/>
          <w:rtl/>
        </w:rPr>
        <w:t>בכל הקשור להחלטה קמא מיום 19.2.25</w:t>
      </w:r>
      <w:r>
        <w:rPr>
          <w:rFonts w:ascii="Arial" w:hAnsi="Arial" w:hint="cs"/>
          <w:rtl/>
        </w:rPr>
        <w:t>:</w:t>
      </w:r>
    </w:p>
    <w:p w14:paraId="3EFC33FF" w14:textId="77777777" w:rsidR="00E84102" w:rsidRPr="00AF474C" w:rsidRDefault="00E84102" w:rsidP="00E84102">
      <w:pPr>
        <w:pStyle w:val="ad"/>
        <w:numPr>
          <w:ilvl w:val="0"/>
          <w:numId w:val="4"/>
        </w:numPr>
        <w:spacing w:after="120" w:line="360" w:lineRule="auto"/>
        <w:jc w:val="both"/>
        <w:rPr>
          <w:rFonts w:ascii="Arial" w:hAnsi="Arial"/>
          <w:rtl/>
        </w:rPr>
      </w:pPr>
      <w:r w:rsidRPr="00AF474C">
        <w:rPr>
          <w:rFonts w:ascii="Arial" w:hAnsi="Arial" w:hint="cs"/>
          <w:rtl/>
        </w:rPr>
        <w:t>ההחלטה קמא</w:t>
      </w:r>
      <w:r w:rsidRPr="00AF474C">
        <w:rPr>
          <w:rFonts w:ascii="Arial" w:hAnsi="Arial"/>
          <w:rtl/>
        </w:rPr>
        <w:t xml:space="preserve"> </w:t>
      </w:r>
      <w:r w:rsidRPr="00AF474C">
        <w:rPr>
          <w:rFonts w:ascii="Arial" w:hAnsi="Arial" w:hint="cs"/>
          <w:rtl/>
        </w:rPr>
        <w:t xml:space="preserve">היא החלטה שבית משפט קמא </w:t>
      </w:r>
      <w:r w:rsidRPr="00AF474C">
        <w:rPr>
          <w:rFonts w:ascii="Arial" w:hAnsi="Arial"/>
          <w:rtl/>
        </w:rPr>
        <w:t>לא נתבקש לה, תוך שהפך את החלטתו</w:t>
      </w:r>
      <w:r w:rsidRPr="00AF474C">
        <w:rPr>
          <w:rFonts w:ascii="Arial" w:hAnsi="Arial" w:hint="cs"/>
          <w:rtl/>
        </w:rPr>
        <w:t xml:space="preserve"> </w:t>
      </w:r>
      <w:r w:rsidRPr="00AF474C">
        <w:rPr>
          <w:rFonts w:ascii="Arial" w:hAnsi="Arial"/>
          <w:rtl/>
        </w:rPr>
        <w:t>הקודמת מיום 28.11.24 בחוסר סמכות</w:t>
      </w:r>
      <w:r w:rsidRPr="00AF474C">
        <w:rPr>
          <w:rFonts w:ascii="Arial" w:hAnsi="Arial" w:hint="cs"/>
          <w:rtl/>
        </w:rPr>
        <w:t>,</w:t>
      </w:r>
      <w:r w:rsidRPr="00AF474C">
        <w:rPr>
          <w:rFonts w:ascii="Arial" w:hAnsi="Arial"/>
          <w:rtl/>
        </w:rPr>
        <w:t xml:space="preserve"> והכריע במרכיבי התביעה, מבלי שבכלל דן בה, ולא הביא את התיק לשמיעה.</w:t>
      </w:r>
      <w:r w:rsidRPr="00AF474C">
        <w:rPr>
          <w:rFonts w:ascii="Arial" w:hAnsi="Arial" w:hint="cs"/>
          <w:rtl/>
        </w:rPr>
        <w:t xml:space="preserve"> </w:t>
      </w:r>
    </w:p>
    <w:p w14:paraId="6C63A0FD" w14:textId="1D0FB5E3" w:rsidR="00E84102" w:rsidRDefault="00E84102" w:rsidP="00E84102">
      <w:pPr>
        <w:pStyle w:val="ad"/>
        <w:numPr>
          <w:ilvl w:val="0"/>
          <w:numId w:val="4"/>
        </w:numPr>
        <w:spacing w:after="120" w:line="360" w:lineRule="auto"/>
        <w:jc w:val="both"/>
        <w:rPr>
          <w:rFonts w:ascii="Arial" w:hAnsi="Arial"/>
        </w:rPr>
      </w:pPr>
      <w:r>
        <w:rPr>
          <w:rFonts w:ascii="Arial" w:hAnsi="Arial" w:hint="cs"/>
          <w:rtl/>
        </w:rPr>
        <w:t xml:space="preserve">בהחלטתו, </w:t>
      </w:r>
      <w:r w:rsidRPr="00AF474C">
        <w:rPr>
          <w:rFonts w:ascii="Arial" w:hAnsi="Arial" w:hint="cs"/>
          <w:rtl/>
        </w:rPr>
        <w:t>בית משפט קמא</w:t>
      </w:r>
      <w:r>
        <w:rPr>
          <w:rFonts w:ascii="Arial" w:hAnsi="Arial" w:hint="cs"/>
          <w:rtl/>
        </w:rPr>
        <w:t xml:space="preserve"> </w:t>
      </w:r>
      <w:r w:rsidRPr="00AF474C">
        <w:rPr>
          <w:rFonts w:ascii="Arial" w:hAnsi="Arial"/>
          <w:rtl/>
        </w:rPr>
        <w:t xml:space="preserve">לא הסתמך על מאום זולת טענות לכאוריות כלשונו, פגע בזכויות הדיוניות של </w:t>
      </w:r>
      <w:r>
        <w:rPr>
          <w:rFonts w:ascii="Arial" w:hAnsi="Arial" w:hint="cs"/>
          <w:rtl/>
        </w:rPr>
        <w:t>המבקש</w:t>
      </w:r>
      <w:r w:rsidRPr="00AF474C">
        <w:rPr>
          <w:rFonts w:ascii="Arial" w:hAnsi="Arial"/>
          <w:rtl/>
        </w:rPr>
        <w:t>, וקבע מסמרות בתביעה</w:t>
      </w:r>
      <w:r>
        <w:rPr>
          <w:rFonts w:ascii="Arial" w:hAnsi="Arial" w:hint="cs"/>
          <w:rtl/>
        </w:rPr>
        <w:t xml:space="preserve"> </w:t>
      </w:r>
      <w:r w:rsidRPr="00AF474C">
        <w:rPr>
          <w:rFonts w:ascii="Arial" w:hAnsi="Arial"/>
          <w:rtl/>
        </w:rPr>
        <w:t>שטרם דן בה או התבררה</w:t>
      </w:r>
      <w:r>
        <w:rPr>
          <w:rFonts w:ascii="Arial" w:hAnsi="Arial" w:hint="cs"/>
          <w:rtl/>
        </w:rPr>
        <w:t xml:space="preserve">. </w:t>
      </w:r>
      <w:r w:rsidRPr="00AF474C">
        <w:rPr>
          <w:rFonts w:ascii="Arial" w:hAnsi="Arial"/>
          <w:rtl/>
        </w:rPr>
        <w:t xml:space="preserve">חרף שפסק </w:t>
      </w:r>
      <w:r>
        <w:rPr>
          <w:rFonts w:ascii="Arial" w:hAnsi="Arial" w:hint="cs"/>
          <w:rtl/>
        </w:rPr>
        <w:t xml:space="preserve">כי </w:t>
      </w:r>
      <w:r w:rsidRPr="00AF474C">
        <w:rPr>
          <w:rFonts w:ascii="Arial" w:hAnsi="Arial"/>
          <w:rtl/>
        </w:rPr>
        <w:t>הקטין</w:t>
      </w:r>
      <w:r>
        <w:rPr>
          <w:rFonts w:ascii="Arial" w:hAnsi="Arial" w:hint="cs"/>
          <w:rtl/>
        </w:rPr>
        <w:t xml:space="preserve"> ה</w:t>
      </w:r>
      <w:r w:rsidR="0053255C">
        <w:rPr>
          <w:rFonts w:ascii="Arial" w:hAnsi="Arial" w:hint="cs"/>
          <w:rtl/>
        </w:rPr>
        <w:t>'</w:t>
      </w:r>
      <w:r w:rsidRPr="00AF474C">
        <w:rPr>
          <w:rFonts w:ascii="Arial" w:hAnsi="Arial"/>
          <w:rtl/>
        </w:rPr>
        <w:t xml:space="preserve"> יגור אצל אביו וחרף הקפאת מזונותיו בהחלטה שיפוטית,</w:t>
      </w:r>
      <w:r>
        <w:rPr>
          <w:rFonts w:ascii="Arial" w:hAnsi="Arial" w:hint="cs"/>
          <w:rtl/>
        </w:rPr>
        <w:t xml:space="preserve"> </w:t>
      </w:r>
      <w:r w:rsidRPr="00AF474C">
        <w:rPr>
          <w:rFonts w:ascii="Arial" w:hAnsi="Arial"/>
          <w:rtl/>
        </w:rPr>
        <w:t xml:space="preserve">הטיל על </w:t>
      </w:r>
      <w:r>
        <w:rPr>
          <w:rFonts w:ascii="Arial" w:hAnsi="Arial" w:hint="cs"/>
          <w:rtl/>
        </w:rPr>
        <w:t>המבקש</w:t>
      </w:r>
      <w:r w:rsidRPr="00AF474C">
        <w:rPr>
          <w:rFonts w:ascii="Arial" w:hAnsi="Arial"/>
          <w:rtl/>
        </w:rPr>
        <w:t xml:space="preserve"> לשלם </w:t>
      </w:r>
      <w:r>
        <w:rPr>
          <w:rFonts w:ascii="Arial" w:hAnsi="Arial" w:hint="cs"/>
          <w:rtl/>
        </w:rPr>
        <w:t>את חלק</w:t>
      </w:r>
      <w:r w:rsidRPr="00AF474C">
        <w:rPr>
          <w:rFonts w:ascii="Arial" w:hAnsi="Arial"/>
          <w:rtl/>
        </w:rPr>
        <w:t>ו של הקטין במרכיב המדור, ללא כל סיבה הנסמכת על אף ראיה או דבר אחר</w:t>
      </w:r>
      <w:r>
        <w:rPr>
          <w:rFonts w:ascii="Arial" w:hAnsi="Arial" w:hint="cs"/>
          <w:rtl/>
        </w:rPr>
        <w:t xml:space="preserve">, </w:t>
      </w:r>
      <w:r w:rsidRPr="00AF474C">
        <w:rPr>
          <w:rFonts w:ascii="Arial" w:hAnsi="Arial"/>
          <w:rtl/>
        </w:rPr>
        <w:t xml:space="preserve">ומבלי </w:t>
      </w:r>
      <w:r>
        <w:rPr>
          <w:rFonts w:ascii="Arial" w:hAnsi="Arial" w:hint="cs"/>
          <w:rtl/>
        </w:rPr>
        <w:t>שהמשיבה</w:t>
      </w:r>
      <w:r w:rsidRPr="00AF474C">
        <w:rPr>
          <w:rFonts w:ascii="Arial" w:hAnsi="Arial"/>
          <w:rtl/>
        </w:rPr>
        <w:t xml:space="preserve"> שכרה מדור.</w:t>
      </w:r>
    </w:p>
    <w:p w14:paraId="45240491" w14:textId="77777777" w:rsidR="00E84102" w:rsidRDefault="00E84102" w:rsidP="00E84102">
      <w:pPr>
        <w:pStyle w:val="ad"/>
        <w:numPr>
          <w:ilvl w:val="0"/>
          <w:numId w:val="4"/>
        </w:numPr>
        <w:spacing w:after="120" w:line="360" w:lineRule="auto"/>
        <w:jc w:val="both"/>
        <w:rPr>
          <w:rFonts w:ascii="Arial" w:hAnsi="Arial"/>
        </w:rPr>
      </w:pPr>
      <w:r>
        <w:rPr>
          <w:rFonts w:ascii="Arial" w:hAnsi="Arial" w:hint="cs"/>
          <w:rtl/>
        </w:rPr>
        <w:t xml:space="preserve">בקשת המבקש מיום 21.1.25 כלל איננה בקשה לעיון חוזר, אלא בקשה דחופה שהוגשה לתיק קמא, במסגרתה התבקש בית משפט קמא להורות להוצל"פ לקיים את ההחלטה מיום 28.11.24. </w:t>
      </w:r>
    </w:p>
    <w:p w14:paraId="11D015DB" w14:textId="77777777" w:rsidR="00E84102" w:rsidRDefault="00E84102" w:rsidP="00E84102">
      <w:pPr>
        <w:pStyle w:val="ad"/>
        <w:numPr>
          <w:ilvl w:val="0"/>
          <w:numId w:val="4"/>
        </w:numPr>
        <w:spacing w:after="120" w:line="360" w:lineRule="auto"/>
        <w:contextualSpacing w:val="0"/>
        <w:jc w:val="both"/>
        <w:rPr>
          <w:rFonts w:ascii="Arial" w:hAnsi="Arial"/>
        </w:rPr>
      </w:pPr>
      <w:r w:rsidRPr="00497D16">
        <w:rPr>
          <w:rFonts w:ascii="Arial" w:hAnsi="Arial"/>
          <w:rtl/>
        </w:rPr>
        <w:lastRenderedPageBreak/>
        <w:t>בהחלט</w:t>
      </w:r>
      <w:r>
        <w:rPr>
          <w:rFonts w:ascii="Arial" w:hAnsi="Arial" w:hint="cs"/>
          <w:rtl/>
        </w:rPr>
        <w:t>ה קמא</w:t>
      </w:r>
      <w:r w:rsidRPr="00497D16">
        <w:rPr>
          <w:rFonts w:ascii="Arial" w:hAnsi="Arial"/>
          <w:rtl/>
        </w:rPr>
        <w:t xml:space="preserve"> החליט </w:t>
      </w:r>
      <w:r>
        <w:rPr>
          <w:rFonts w:ascii="Arial" w:hAnsi="Arial" w:hint="cs"/>
          <w:rtl/>
        </w:rPr>
        <w:t xml:space="preserve">בית משפט קמא </w:t>
      </w:r>
      <w:r w:rsidRPr="00497D16">
        <w:rPr>
          <w:rFonts w:ascii="Arial" w:hAnsi="Arial"/>
          <w:rtl/>
        </w:rPr>
        <w:t>בחוסר סמכות,</w:t>
      </w:r>
      <w:r>
        <w:rPr>
          <w:rFonts w:ascii="Arial" w:hAnsi="Arial" w:hint="cs"/>
          <w:rtl/>
        </w:rPr>
        <w:t xml:space="preserve"> </w:t>
      </w:r>
      <w:r w:rsidRPr="00497D16">
        <w:rPr>
          <w:rFonts w:ascii="Arial" w:hAnsi="Arial"/>
          <w:rtl/>
        </w:rPr>
        <w:t>לשנות החלטה חלוטה שניתנה קרוב לשלושה חודשים קודם לכן ביום 28.11.24</w:t>
      </w:r>
      <w:r>
        <w:rPr>
          <w:rFonts w:ascii="Arial" w:hAnsi="Arial" w:hint="cs"/>
          <w:rtl/>
        </w:rPr>
        <w:t>,</w:t>
      </w:r>
      <w:r w:rsidRPr="00497D16">
        <w:rPr>
          <w:rFonts w:ascii="Arial" w:hAnsi="Arial"/>
          <w:rtl/>
        </w:rPr>
        <w:t xml:space="preserve"> באופן שהופך את הנכתב בה</w:t>
      </w:r>
      <w:r>
        <w:rPr>
          <w:rFonts w:ascii="Arial" w:hAnsi="Arial" w:hint="cs"/>
          <w:rtl/>
        </w:rPr>
        <w:t xml:space="preserve"> ו</w:t>
      </w:r>
      <w:r w:rsidRPr="00497D16">
        <w:rPr>
          <w:rFonts w:ascii="Arial" w:hAnsi="Arial"/>
          <w:rtl/>
        </w:rPr>
        <w:t>משנה</w:t>
      </w:r>
      <w:r>
        <w:rPr>
          <w:rFonts w:ascii="Arial" w:hAnsi="Arial" w:hint="cs"/>
          <w:rtl/>
        </w:rPr>
        <w:t xml:space="preserve"> </w:t>
      </w:r>
      <w:r w:rsidRPr="00497D16">
        <w:rPr>
          <w:rFonts w:ascii="Arial" w:hAnsi="Arial"/>
          <w:rtl/>
        </w:rPr>
        <w:t>אותה מהיסוד</w:t>
      </w:r>
      <w:r>
        <w:rPr>
          <w:rFonts w:ascii="Arial" w:hAnsi="Arial" w:hint="cs"/>
          <w:rtl/>
        </w:rPr>
        <w:t xml:space="preserve">. ההחלטה ניתנה </w:t>
      </w:r>
      <w:r w:rsidRPr="00497D16">
        <w:rPr>
          <w:rFonts w:ascii="Arial" w:hAnsi="Arial"/>
          <w:rtl/>
        </w:rPr>
        <w:t xml:space="preserve">תוך התעלמות מבקשתו האמיתית של </w:t>
      </w:r>
      <w:r>
        <w:rPr>
          <w:rFonts w:ascii="Arial" w:hAnsi="Arial" w:hint="cs"/>
          <w:rtl/>
        </w:rPr>
        <w:t>המבקש</w:t>
      </w:r>
      <w:r w:rsidRPr="00497D16">
        <w:rPr>
          <w:rFonts w:ascii="Arial" w:hAnsi="Arial"/>
          <w:rtl/>
        </w:rPr>
        <w:t>, התעלמות מבקשת ההבהרה של רשמת ההוצל"פ, ותוך</w:t>
      </w:r>
      <w:r>
        <w:rPr>
          <w:rFonts w:ascii="Arial" w:hAnsi="Arial" w:hint="cs"/>
          <w:rtl/>
        </w:rPr>
        <w:t xml:space="preserve"> </w:t>
      </w:r>
      <w:r w:rsidRPr="00497D16">
        <w:rPr>
          <w:rFonts w:ascii="Arial" w:hAnsi="Arial"/>
          <w:rtl/>
        </w:rPr>
        <w:t>שמאיין זכויותיו הדיוניות של ה</w:t>
      </w:r>
      <w:r>
        <w:rPr>
          <w:rFonts w:ascii="Arial" w:hAnsi="Arial" w:hint="cs"/>
          <w:rtl/>
        </w:rPr>
        <w:t>מבקש.</w:t>
      </w:r>
    </w:p>
    <w:p w14:paraId="76E32A9A" w14:textId="068A662C" w:rsidR="00E84102" w:rsidRDefault="00E84102" w:rsidP="00E84102">
      <w:pPr>
        <w:pStyle w:val="ad"/>
        <w:numPr>
          <w:ilvl w:val="0"/>
          <w:numId w:val="4"/>
        </w:numPr>
        <w:spacing w:after="120" w:line="360" w:lineRule="auto"/>
        <w:contextualSpacing w:val="0"/>
        <w:jc w:val="both"/>
        <w:rPr>
          <w:rFonts w:ascii="David" w:hAnsi="David"/>
        </w:rPr>
      </w:pPr>
      <w:r w:rsidRPr="009559CB">
        <w:rPr>
          <w:rFonts w:ascii="David" w:hAnsi="David"/>
          <w:rtl/>
        </w:rPr>
        <w:t>בית משפט קמא סותר את החלטותיו. בהחלטה מיום 28.11.24 נקבע כי ה</w:t>
      </w:r>
      <w:r w:rsidR="009F5E76">
        <w:rPr>
          <w:rFonts w:ascii="David" w:hAnsi="David" w:hint="cs"/>
          <w:rtl/>
        </w:rPr>
        <w:t>'</w:t>
      </w:r>
      <w:r w:rsidRPr="009559CB">
        <w:rPr>
          <w:rFonts w:ascii="David" w:hAnsi="David"/>
          <w:rtl/>
        </w:rPr>
        <w:t xml:space="preserve"> גר עם האב למעלה משלוש שנים, ונקבע כי המשיבה </w:t>
      </w:r>
      <w:r>
        <w:rPr>
          <w:rFonts w:ascii="David" w:hAnsi="David" w:hint="cs"/>
          <w:rtl/>
        </w:rPr>
        <w:t>גרה</w:t>
      </w:r>
      <w:r w:rsidRPr="009559CB">
        <w:rPr>
          <w:rFonts w:ascii="David" w:hAnsi="David"/>
          <w:rtl/>
        </w:rPr>
        <w:t xml:space="preserve"> עם בן זוג אמיד בביתו שלו. בהחלטה קמא נכתב, כי לכאורה המשיבה הסתמכה על דמי מדור עבור בנה ה</w:t>
      </w:r>
      <w:r w:rsidR="0053255C">
        <w:rPr>
          <w:rFonts w:ascii="David" w:hAnsi="David" w:hint="cs"/>
          <w:rtl/>
        </w:rPr>
        <w:t>'</w:t>
      </w:r>
      <w:r w:rsidRPr="009559CB">
        <w:rPr>
          <w:rFonts w:ascii="David" w:hAnsi="David"/>
          <w:rtl/>
        </w:rPr>
        <w:t>. ולכן יש להעביר דמי המדור עבור הקטין לידיה</w:t>
      </w:r>
      <w:r w:rsidRPr="009559CB">
        <w:rPr>
          <w:rFonts w:ascii="David" w:hAnsi="David"/>
        </w:rPr>
        <w:t>.</w:t>
      </w:r>
      <w:r w:rsidRPr="009559CB">
        <w:rPr>
          <w:rFonts w:ascii="David" w:hAnsi="David"/>
          <w:rtl/>
        </w:rPr>
        <w:t xml:space="preserve"> כל זאת אפילו מבלי שהביאה המשיבה כל אסמכתא המציגה כי שוכרת מדור עבור בנה ה</w:t>
      </w:r>
      <w:r w:rsidR="0053255C">
        <w:rPr>
          <w:rFonts w:ascii="David" w:hAnsi="David" w:hint="cs"/>
          <w:rtl/>
        </w:rPr>
        <w:t>'</w:t>
      </w:r>
      <w:r>
        <w:rPr>
          <w:rFonts w:ascii="David" w:hAnsi="David" w:hint="cs"/>
          <w:rtl/>
        </w:rPr>
        <w:t>,</w:t>
      </w:r>
      <w:r w:rsidRPr="009559CB">
        <w:rPr>
          <w:rFonts w:ascii="David" w:hAnsi="David"/>
          <w:rtl/>
        </w:rPr>
        <w:t xml:space="preserve"> אשר דר עם אביו</w:t>
      </w:r>
      <w:r w:rsidRPr="009559CB">
        <w:rPr>
          <w:rFonts w:ascii="David" w:hAnsi="David"/>
        </w:rPr>
        <w:t>.</w:t>
      </w:r>
    </w:p>
    <w:p w14:paraId="03E6510E" w14:textId="77777777" w:rsidR="00E84102" w:rsidRDefault="00E84102" w:rsidP="00E84102">
      <w:pPr>
        <w:pStyle w:val="ad"/>
        <w:numPr>
          <w:ilvl w:val="0"/>
          <w:numId w:val="4"/>
        </w:numPr>
        <w:spacing w:after="120" w:line="360" w:lineRule="auto"/>
        <w:contextualSpacing w:val="0"/>
        <w:jc w:val="both"/>
        <w:rPr>
          <w:rFonts w:ascii="David" w:hAnsi="David"/>
        </w:rPr>
      </w:pPr>
      <w:r w:rsidRPr="009559CB">
        <w:rPr>
          <w:rFonts w:ascii="Arial" w:hAnsi="Arial"/>
          <w:rtl/>
        </w:rPr>
        <w:t>מזונות קטינים כרוכים יחד עם רכיב המדור. זו רוח הפסיקה, ומרכיבים אלו כרוכים ושלובים זה</w:t>
      </w:r>
      <w:r>
        <w:rPr>
          <w:rFonts w:ascii="Arial" w:hAnsi="Arial" w:hint="cs"/>
          <w:rtl/>
        </w:rPr>
        <w:t xml:space="preserve"> </w:t>
      </w:r>
      <w:r w:rsidRPr="009559CB">
        <w:rPr>
          <w:rFonts w:ascii="Arial" w:hAnsi="Arial"/>
          <w:rtl/>
        </w:rPr>
        <w:t>בזה</w:t>
      </w:r>
      <w:r w:rsidRPr="009559CB">
        <w:rPr>
          <w:rFonts w:ascii="Arial" w:hAnsi="Arial"/>
        </w:rPr>
        <w:t>.</w:t>
      </w:r>
      <w:r>
        <w:rPr>
          <w:rFonts w:ascii="Arial" w:hAnsi="Arial" w:hint="cs"/>
          <w:rtl/>
        </w:rPr>
        <w:t xml:space="preserve"> </w:t>
      </w:r>
      <w:r w:rsidRPr="009559CB">
        <w:rPr>
          <w:rFonts w:ascii="David" w:hAnsi="David"/>
          <w:rtl/>
        </w:rPr>
        <w:t>דין המדור</w:t>
      </w:r>
      <w:r>
        <w:rPr>
          <w:rFonts w:ascii="David" w:hAnsi="David" w:hint="cs"/>
          <w:rtl/>
        </w:rPr>
        <w:t xml:space="preserve"> </w:t>
      </w:r>
      <w:r w:rsidRPr="009559CB">
        <w:rPr>
          <w:rFonts w:ascii="David" w:hAnsi="David"/>
          <w:rtl/>
        </w:rPr>
        <w:t>הוא כדין המזונות ודין המזונות כדין המדור. אין לכך כל פרשנות אחרת, ולא תיתכן פרשנות שונה, או הפרדה. ודאי</w:t>
      </w:r>
      <w:r>
        <w:rPr>
          <w:rFonts w:ascii="David" w:hAnsi="David" w:hint="cs"/>
          <w:rtl/>
        </w:rPr>
        <w:t xml:space="preserve"> </w:t>
      </w:r>
      <w:r w:rsidRPr="009559CB">
        <w:rPr>
          <w:rFonts w:ascii="David" w:hAnsi="David"/>
          <w:rtl/>
        </w:rPr>
        <w:t xml:space="preserve">לא כאשר </w:t>
      </w:r>
      <w:r>
        <w:rPr>
          <w:rFonts w:ascii="David" w:hAnsi="David" w:hint="cs"/>
          <w:rtl/>
        </w:rPr>
        <w:t>בית המשפט</w:t>
      </w:r>
      <w:r w:rsidRPr="009559CB">
        <w:rPr>
          <w:rFonts w:ascii="David" w:hAnsi="David"/>
          <w:rtl/>
        </w:rPr>
        <w:t xml:space="preserve"> כורך אותם יחד תחת הצירוף "דמי המזונות".</w:t>
      </w:r>
    </w:p>
    <w:p w14:paraId="35C04A59" w14:textId="77777777" w:rsidR="00E84102" w:rsidRPr="009559CB" w:rsidRDefault="00E84102" w:rsidP="00E84102">
      <w:pPr>
        <w:spacing w:after="120" w:line="360" w:lineRule="auto"/>
        <w:ind w:left="720"/>
        <w:jc w:val="both"/>
        <w:rPr>
          <w:rFonts w:ascii="David" w:hAnsi="David"/>
        </w:rPr>
      </w:pPr>
      <w:r w:rsidRPr="009559CB">
        <w:rPr>
          <w:rFonts w:ascii="David" w:hAnsi="David" w:hint="cs"/>
          <w:u w:val="single"/>
          <w:rtl/>
        </w:rPr>
        <w:t>בכל הקשור להחלטה קמא מיום 2.3.25</w:t>
      </w:r>
      <w:r>
        <w:rPr>
          <w:rFonts w:ascii="David" w:hAnsi="David" w:hint="cs"/>
          <w:rtl/>
        </w:rPr>
        <w:t>:</w:t>
      </w:r>
    </w:p>
    <w:p w14:paraId="2CF0FE04" w14:textId="77777777" w:rsidR="00E84102" w:rsidRDefault="00E84102" w:rsidP="00E84102">
      <w:pPr>
        <w:pStyle w:val="ad"/>
        <w:numPr>
          <w:ilvl w:val="0"/>
          <w:numId w:val="4"/>
        </w:numPr>
        <w:spacing w:after="120" w:line="360" w:lineRule="auto"/>
        <w:contextualSpacing w:val="0"/>
        <w:jc w:val="both"/>
        <w:rPr>
          <w:rFonts w:ascii="David" w:hAnsi="David"/>
        </w:rPr>
      </w:pPr>
      <w:r w:rsidRPr="00DD59A6">
        <w:rPr>
          <w:rFonts w:ascii="Arial" w:hAnsi="Arial"/>
          <w:rtl/>
        </w:rPr>
        <w:t xml:space="preserve">קיים צורך מהותי לבצע חקירה כלכלית </w:t>
      </w:r>
      <w:r>
        <w:rPr>
          <w:rFonts w:ascii="Arial" w:hAnsi="Arial" w:hint="cs"/>
          <w:rtl/>
        </w:rPr>
        <w:t>למשיבה</w:t>
      </w:r>
      <w:r w:rsidRPr="00DD59A6">
        <w:rPr>
          <w:rFonts w:ascii="Arial" w:hAnsi="Arial"/>
          <w:rtl/>
        </w:rPr>
        <w:t xml:space="preserve"> ולבן זוגה</w:t>
      </w:r>
      <w:r>
        <w:rPr>
          <w:rFonts w:ascii="Arial" w:hAnsi="Arial" w:hint="cs"/>
          <w:rtl/>
        </w:rPr>
        <w:t>,</w:t>
      </w:r>
      <w:r w:rsidRPr="00DD59A6">
        <w:rPr>
          <w:rFonts w:ascii="Arial" w:hAnsi="Arial"/>
          <w:rtl/>
        </w:rPr>
        <w:t xml:space="preserve"> ולתא המשפחתי המשותף שמנהלים יחד. יש לזה השלכה</w:t>
      </w:r>
      <w:r>
        <w:rPr>
          <w:rFonts w:ascii="Arial" w:hAnsi="Arial" w:hint="cs"/>
          <w:rtl/>
        </w:rPr>
        <w:t xml:space="preserve"> </w:t>
      </w:r>
      <w:r w:rsidRPr="00DD59A6">
        <w:rPr>
          <w:rFonts w:ascii="Arial" w:hAnsi="Arial"/>
          <w:rtl/>
        </w:rPr>
        <w:t>מהותית על המציאות, ודברים כגון דא נחקרים בתביעות מזונות כבשגרה.</w:t>
      </w:r>
      <w:r>
        <w:rPr>
          <w:rFonts w:ascii="Arial" w:hAnsi="Arial" w:hint="cs"/>
          <w:rtl/>
        </w:rPr>
        <w:t xml:space="preserve"> </w:t>
      </w:r>
      <w:r w:rsidRPr="00DD59A6">
        <w:rPr>
          <w:rFonts w:ascii="Arial" w:hAnsi="Arial"/>
          <w:rtl/>
        </w:rPr>
        <w:t>בי</w:t>
      </w:r>
      <w:r>
        <w:rPr>
          <w:rFonts w:ascii="Arial" w:hAnsi="Arial" w:hint="cs"/>
          <w:rtl/>
        </w:rPr>
        <w:t>ת המשפט</w:t>
      </w:r>
      <w:r w:rsidRPr="00DD59A6">
        <w:rPr>
          <w:rFonts w:ascii="Arial" w:hAnsi="Arial"/>
          <w:rtl/>
        </w:rPr>
        <w:t xml:space="preserve"> קמא מאפשר </w:t>
      </w:r>
      <w:r>
        <w:rPr>
          <w:rFonts w:ascii="Arial" w:hAnsi="Arial" w:hint="cs"/>
          <w:rtl/>
        </w:rPr>
        <w:t>למשיבה</w:t>
      </w:r>
      <w:r w:rsidRPr="00DD59A6">
        <w:rPr>
          <w:rFonts w:ascii="Arial" w:hAnsi="Arial"/>
          <w:rtl/>
        </w:rPr>
        <w:t xml:space="preserve"> להתעלם מהתקנות המורות לה להציג מצבה הכלכלי האמיתי</w:t>
      </w:r>
      <w:r>
        <w:rPr>
          <w:rFonts w:ascii="Arial" w:hAnsi="Arial" w:hint="cs"/>
          <w:rtl/>
        </w:rPr>
        <w:t xml:space="preserve">, עת המשיבה נמנעת מלהציג את </w:t>
      </w:r>
      <w:r w:rsidRPr="00DD59A6">
        <w:rPr>
          <w:rFonts w:ascii="Arial" w:hAnsi="Arial"/>
          <w:rtl/>
        </w:rPr>
        <w:t xml:space="preserve">מצבה הכלכלי בהרצאת פרטים כנדרש בתקנות. </w:t>
      </w:r>
      <w:r>
        <w:rPr>
          <w:rFonts w:ascii="Arial" w:hAnsi="Arial" w:hint="cs"/>
          <w:rtl/>
        </w:rPr>
        <w:t>המבקש ביקש ביום 2.3.25, ובית משפט קמא דחה את בקשתו.</w:t>
      </w:r>
    </w:p>
    <w:p w14:paraId="344DB672" w14:textId="77777777" w:rsidR="00E84102" w:rsidRDefault="00E84102" w:rsidP="00E84102">
      <w:pPr>
        <w:pStyle w:val="ad"/>
        <w:numPr>
          <w:ilvl w:val="0"/>
          <w:numId w:val="4"/>
        </w:numPr>
        <w:spacing w:after="120" w:line="360" w:lineRule="auto"/>
        <w:contextualSpacing w:val="0"/>
        <w:jc w:val="both"/>
        <w:rPr>
          <w:rFonts w:ascii="Arial" w:hAnsi="Arial"/>
        </w:rPr>
      </w:pPr>
      <w:r w:rsidRPr="00DD59A6">
        <w:rPr>
          <w:rFonts w:ascii="Arial" w:hAnsi="Arial" w:hint="cs"/>
          <w:rtl/>
        </w:rPr>
        <w:t xml:space="preserve">על מנת </w:t>
      </w:r>
      <w:r w:rsidRPr="00DD59A6">
        <w:rPr>
          <w:rFonts w:ascii="Arial" w:hAnsi="Arial"/>
          <w:rtl/>
        </w:rPr>
        <w:t>לקבוע כושר השתכרות, יש חובה לעיין בתלושי שכר והכנסה קודמים של הורה שטוען שנתון בחסרון כיס</w:t>
      </w:r>
      <w:r>
        <w:rPr>
          <w:rFonts w:ascii="Arial" w:hAnsi="Arial" w:hint="cs"/>
          <w:rtl/>
        </w:rPr>
        <w:t xml:space="preserve"> </w:t>
      </w:r>
      <w:r w:rsidRPr="00DD59A6">
        <w:rPr>
          <w:rFonts w:ascii="Arial" w:hAnsi="Arial"/>
          <w:rtl/>
        </w:rPr>
        <w:t xml:space="preserve">לכאורי, וכי פוטר או התפטר לכאורה מעבודותיו סמוך לתביעה שהוגשה נגדו ובעקבותיה. </w:t>
      </w:r>
      <w:r>
        <w:rPr>
          <w:rFonts w:ascii="Arial" w:hAnsi="Arial" w:hint="cs"/>
          <w:rtl/>
        </w:rPr>
        <w:t>המבקש</w:t>
      </w:r>
      <w:r w:rsidRPr="00DD59A6">
        <w:rPr>
          <w:rFonts w:ascii="Arial" w:hAnsi="Arial"/>
          <w:rtl/>
        </w:rPr>
        <w:t xml:space="preserve"> הציג כל תלושי שכרו</w:t>
      </w:r>
      <w:r>
        <w:rPr>
          <w:rFonts w:ascii="Arial" w:hAnsi="Arial" w:hint="cs"/>
          <w:rtl/>
        </w:rPr>
        <w:t xml:space="preserve"> </w:t>
      </w:r>
      <w:r w:rsidRPr="00DD59A6">
        <w:rPr>
          <w:rFonts w:ascii="Arial" w:hAnsi="Arial"/>
          <w:rtl/>
        </w:rPr>
        <w:t xml:space="preserve">ומצבו הפיננסי. </w:t>
      </w:r>
      <w:r>
        <w:rPr>
          <w:rFonts w:ascii="Arial" w:hAnsi="Arial" w:hint="cs"/>
          <w:rtl/>
        </w:rPr>
        <w:t>המשיבה</w:t>
      </w:r>
      <w:r w:rsidRPr="00DD59A6">
        <w:rPr>
          <w:rFonts w:ascii="Arial" w:hAnsi="Arial"/>
          <w:rtl/>
        </w:rPr>
        <w:t xml:space="preserve"> מסרבת, והכל כדי לטעון לחסרון כיס מדומה</w:t>
      </w:r>
      <w:r>
        <w:rPr>
          <w:rFonts w:ascii="Arial" w:hAnsi="Arial" w:hint="cs"/>
          <w:rtl/>
        </w:rPr>
        <w:t>.</w:t>
      </w:r>
    </w:p>
    <w:p w14:paraId="245D08D6" w14:textId="77777777" w:rsidR="00E84102" w:rsidRDefault="00E84102" w:rsidP="00E84102">
      <w:pPr>
        <w:pStyle w:val="ad"/>
        <w:numPr>
          <w:ilvl w:val="0"/>
          <w:numId w:val="4"/>
        </w:numPr>
        <w:spacing w:after="120" w:line="360" w:lineRule="auto"/>
        <w:contextualSpacing w:val="0"/>
        <w:jc w:val="both"/>
        <w:rPr>
          <w:rFonts w:ascii="Arial" w:hAnsi="Arial"/>
        </w:rPr>
      </w:pPr>
      <w:r>
        <w:rPr>
          <w:rFonts w:ascii="Arial" w:hAnsi="Arial" w:hint="cs"/>
          <w:rtl/>
        </w:rPr>
        <w:t>המבקש</w:t>
      </w:r>
      <w:r w:rsidRPr="00DD59A6">
        <w:rPr>
          <w:rFonts w:ascii="Arial" w:hAnsi="Arial"/>
          <w:rtl/>
        </w:rPr>
        <w:t xml:space="preserve"> ביקש מב</w:t>
      </w:r>
      <w:r>
        <w:rPr>
          <w:rFonts w:ascii="Arial" w:hAnsi="Arial" w:hint="cs"/>
          <w:rtl/>
        </w:rPr>
        <w:t>ית משפט</w:t>
      </w:r>
      <w:r w:rsidRPr="00DD59A6">
        <w:rPr>
          <w:rFonts w:ascii="Arial" w:hAnsi="Arial"/>
          <w:rtl/>
        </w:rPr>
        <w:t xml:space="preserve"> קמא ביום 2.3.25, צו לגילוי מסמכים בו ניתן לראות </w:t>
      </w:r>
      <w:r>
        <w:rPr>
          <w:rFonts w:ascii="Arial" w:hAnsi="Arial" w:hint="cs"/>
          <w:rtl/>
        </w:rPr>
        <w:t xml:space="preserve">את </w:t>
      </w:r>
      <w:r w:rsidRPr="00DD59A6">
        <w:rPr>
          <w:rFonts w:ascii="Arial" w:hAnsi="Arial"/>
          <w:rtl/>
        </w:rPr>
        <w:t xml:space="preserve">כל תלושי שכרה של </w:t>
      </w:r>
      <w:r>
        <w:rPr>
          <w:rFonts w:ascii="Arial" w:hAnsi="Arial" w:hint="cs"/>
          <w:rtl/>
        </w:rPr>
        <w:t>המשיבה</w:t>
      </w:r>
      <w:r w:rsidRPr="00DD59A6">
        <w:rPr>
          <w:rFonts w:ascii="Arial" w:hAnsi="Arial"/>
          <w:rtl/>
        </w:rPr>
        <w:t xml:space="preserve"> לעבר,</w:t>
      </w:r>
      <w:r>
        <w:rPr>
          <w:rFonts w:ascii="Arial" w:hAnsi="Arial" w:hint="cs"/>
          <w:rtl/>
        </w:rPr>
        <w:t xml:space="preserve"> </w:t>
      </w:r>
      <w:r w:rsidRPr="00DD59A6">
        <w:rPr>
          <w:rFonts w:ascii="Arial" w:hAnsi="Arial"/>
          <w:rtl/>
        </w:rPr>
        <w:t>מצבה בחשבון, וגם צו המורה להציג מרשות האוכלוסין כניסותיה ויציאותיה מהארץ, היעדים והמועדים. יש בזאת</w:t>
      </w:r>
      <w:r>
        <w:rPr>
          <w:rFonts w:ascii="Arial" w:hAnsi="Arial" w:hint="cs"/>
          <w:rtl/>
        </w:rPr>
        <w:t xml:space="preserve"> </w:t>
      </w:r>
      <w:r w:rsidRPr="00DD59A6">
        <w:rPr>
          <w:rFonts w:ascii="Arial" w:hAnsi="Arial"/>
          <w:rtl/>
        </w:rPr>
        <w:t xml:space="preserve">ממש לשם התביעה והוכחתה. </w:t>
      </w:r>
      <w:r>
        <w:rPr>
          <w:rFonts w:ascii="Arial" w:hAnsi="Arial" w:hint="cs"/>
          <w:rtl/>
        </w:rPr>
        <w:t>המשיבה טענה</w:t>
      </w:r>
      <w:r w:rsidRPr="00DD59A6">
        <w:rPr>
          <w:rFonts w:ascii="Arial" w:hAnsi="Arial"/>
          <w:rtl/>
        </w:rPr>
        <w:t xml:space="preserve"> לכאורה לחסרון כיס, אולם לא הציגה כל ראיה לשם כך, וידוע כי</w:t>
      </w:r>
      <w:r>
        <w:rPr>
          <w:rFonts w:ascii="Arial" w:hAnsi="Arial" w:hint="cs"/>
          <w:rtl/>
        </w:rPr>
        <w:t xml:space="preserve"> המשיבה</w:t>
      </w:r>
      <w:r w:rsidRPr="00DD59A6">
        <w:rPr>
          <w:rFonts w:ascii="Arial" w:hAnsi="Arial"/>
          <w:rtl/>
        </w:rPr>
        <w:t xml:space="preserve"> מרבה לצאת לנופשים בחו"ל, לרבות </w:t>
      </w:r>
      <w:r>
        <w:rPr>
          <w:rFonts w:ascii="Arial" w:hAnsi="Arial" w:hint="cs"/>
          <w:rtl/>
        </w:rPr>
        <w:t>ליעדים המיועדים לבעלי יכולת כלכלית.</w:t>
      </w:r>
    </w:p>
    <w:p w14:paraId="2028AFEB" w14:textId="77777777" w:rsidR="00E84102" w:rsidRPr="00DC6C95" w:rsidRDefault="00E84102" w:rsidP="00E84102">
      <w:pPr>
        <w:pStyle w:val="ad"/>
        <w:numPr>
          <w:ilvl w:val="0"/>
          <w:numId w:val="4"/>
        </w:numPr>
        <w:spacing w:after="120" w:line="360" w:lineRule="auto"/>
        <w:contextualSpacing w:val="0"/>
        <w:jc w:val="both"/>
        <w:rPr>
          <w:rFonts w:ascii="Arial" w:hAnsi="Arial"/>
          <w:rtl/>
        </w:rPr>
      </w:pPr>
      <w:r w:rsidRPr="00DC6C95">
        <w:rPr>
          <w:rFonts w:ascii="Arial" w:hAnsi="Arial" w:hint="cs"/>
          <w:rtl/>
        </w:rPr>
        <w:t xml:space="preserve">בדחיית הבקשה, </w:t>
      </w:r>
      <w:r w:rsidRPr="00DC6C95">
        <w:rPr>
          <w:rFonts w:ascii="Arial" w:hAnsi="Arial"/>
          <w:rtl/>
        </w:rPr>
        <w:t xml:space="preserve">מעקר </w:t>
      </w:r>
      <w:r w:rsidRPr="00DC6C95">
        <w:rPr>
          <w:rFonts w:ascii="Arial" w:hAnsi="Arial" w:hint="cs"/>
          <w:rtl/>
        </w:rPr>
        <w:t xml:space="preserve">בית משפט קמא </w:t>
      </w:r>
      <w:r w:rsidRPr="00DC6C95">
        <w:rPr>
          <w:rFonts w:ascii="Arial" w:hAnsi="Arial"/>
          <w:rtl/>
        </w:rPr>
        <w:t xml:space="preserve">את יכולת </w:t>
      </w:r>
      <w:r w:rsidRPr="00DC6C95">
        <w:rPr>
          <w:rFonts w:ascii="Arial" w:hAnsi="Arial" w:hint="cs"/>
          <w:rtl/>
        </w:rPr>
        <w:t xml:space="preserve">המבקש </w:t>
      </w:r>
      <w:r w:rsidRPr="00DC6C95">
        <w:rPr>
          <w:rFonts w:ascii="Arial" w:hAnsi="Arial"/>
          <w:rtl/>
        </w:rPr>
        <w:t xml:space="preserve">להוכיח עושרה של </w:t>
      </w:r>
      <w:r w:rsidRPr="00DC6C95">
        <w:rPr>
          <w:rFonts w:ascii="Arial" w:hAnsi="Arial" w:hint="cs"/>
          <w:rtl/>
        </w:rPr>
        <w:t>המשיבה</w:t>
      </w:r>
      <w:r w:rsidRPr="00DC6C95">
        <w:rPr>
          <w:rFonts w:ascii="Arial" w:hAnsi="Arial"/>
          <w:rtl/>
        </w:rPr>
        <w:t>, אורח</w:t>
      </w:r>
      <w:r w:rsidRPr="00DC6C95">
        <w:rPr>
          <w:rFonts w:ascii="Arial" w:hAnsi="Arial" w:hint="cs"/>
          <w:rtl/>
        </w:rPr>
        <w:t xml:space="preserve"> </w:t>
      </w:r>
      <w:r w:rsidRPr="00DC6C95">
        <w:rPr>
          <w:rFonts w:ascii="Arial" w:hAnsi="Arial"/>
          <w:rtl/>
        </w:rPr>
        <w:t>חייה, הכנסותיה, והוצאותיה על מותרות ונופשים, שאינם יכולים להתיישב עם טענתה לחסרון כיס לכאורי.</w:t>
      </w:r>
    </w:p>
    <w:p w14:paraId="53F18A5C" w14:textId="77777777" w:rsidR="00E84102" w:rsidRDefault="00E84102" w:rsidP="00E84102">
      <w:pPr>
        <w:spacing w:after="120" w:line="360" w:lineRule="auto"/>
        <w:ind w:left="1440" w:hanging="720"/>
        <w:jc w:val="both"/>
        <w:rPr>
          <w:rFonts w:ascii="Arial" w:hAnsi="Arial"/>
          <w:rtl/>
        </w:rPr>
      </w:pPr>
    </w:p>
    <w:p w14:paraId="7455C9E7" w14:textId="77777777" w:rsidR="00E84102" w:rsidRDefault="00E84102" w:rsidP="00E84102">
      <w:pPr>
        <w:spacing w:after="120" w:line="360" w:lineRule="auto"/>
        <w:ind w:left="1440" w:hanging="720"/>
        <w:jc w:val="both"/>
        <w:rPr>
          <w:rFonts w:ascii="Arial" w:hAnsi="Arial"/>
          <w:rtl/>
        </w:rPr>
      </w:pPr>
    </w:p>
    <w:p w14:paraId="1A2FA4FF" w14:textId="77777777" w:rsidR="00E84102" w:rsidRDefault="00E84102" w:rsidP="00E84102">
      <w:pPr>
        <w:spacing w:after="120" w:line="360" w:lineRule="auto"/>
        <w:ind w:left="1440" w:hanging="720"/>
        <w:jc w:val="both"/>
        <w:rPr>
          <w:rFonts w:ascii="Arial" w:hAnsi="Arial"/>
          <w:rtl/>
        </w:rPr>
      </w:pPr>
    </w:p>
    <w:p w14:paraId="30D98AB4" w14:textId="77777777" w:rsidR="00E84102" w:rsidRDefault="00E84102" w:rsidP="00E84102">
      <w:pPr>
        <w:spacing w:after="120" w:line="360" w:lineRule="auto"/>
        <w:jc w:val="both"/>
        <w:rPr>
          <w:rFonts w:ascii="Arial" w:hAnsi="Arial"/>
          <w:b/>
          <w:bCs/>
          <w:u w:val="single"/>
          <w:rtl/>
        </w:rPr>
      </w:pPr>
      <w:r>
        <w:rPr>
          <w:rFonts w:ascii="Arial" w:hAnsi="Arial"/>
          <w:b/>
          <w:bCs/>
          <w:u w:val="single"/>
          <w:rtl/>
        </w:rPr>
        <w:lastRenderedPageBreak/>
        <w:t>דיון והכרעה</w:t>
      </w:r>
    </w:p>
    <w:p w14:paraId="24AADA7B" w14:textId="77777777" w:rsidR="00E84102" w:rsidRDefault="00E84102" w:rsidP="00E84102">
      <w:pPr>
        <w:spacing w:after="120" w:line="360" w:lineRule="auto"/>
        <w:ind w:left="720" w:hanging="720"/>
        <w:jc w:val="both"/>
        <w:rPr>
          <w:rFonts w:ascii="Arial" w:hAnsi="Arial"/>
          <w:rtl/>
        </w:rPr>
      </w:pPr>
      <w:r>
        <w:rPr>
          <w:rFonts w:ascii="Arial" w:hAnsi="Arial" w:hint="cs"/>
          <w:rtl/>
        </w:rPr>
        <w:t>15</w:t>
      </w:r>
      <w:r>
        <w:rPr>
          <w:rFonts w:ascii="Arial" w:hAnsi="Arial"/>
          <w:rtl/>
        </w:rPr>
        <w:t>.</w:t>
      </w:r>
      <w:r>
        <w:rPr>
          <w:rFonts w:ascii="Arial" w:hAnsi="Arial"/>
          <w:rtl/>
        </w:rPr>
        <w:tab/>
      </w:r>
      <w:r>
        <w:rPr>
          <w:rFonts w:ascii="Arial" w:hAnsi="Arial"/>
          <w:b/>
          <w:bCs/>
          <w:rtl/>
        </w:rPr>
        <w:t xml:space="preserve">לאחר עיון בבקשת רשות הערעור על נספחיה ובתיק קמא, שוכנעתי לדחות את בקשת רשות הערעור </w:t>
      </w:r>
      <w:r>
        <w:rPr>
          <w:rFonts w:ascii="Arial" w:hAnsi="Arial" w:hint="cs"/>
          <w:b/>
          <w:bCs/>
          <w:rtl/>
        </w:rPr>
        <w:t xml:space="preserve">על שני מרכיביה </w:t>
      </w:r>
      <w:r>
        <w:rPr>
          <w:rFonts w:ascii="Arial" w:hAnsi="Arial"/>
          <w:b/>
          <w:bCs/>
          <w:rtl/>
        </w:rPr>
        <w:t xml:space="preserve">אף ללא צורך בתשובה, וזאת </w:t>
      </w:r>
      <w:proofErr w:type="spellStart"/>
      <w:r>
        <w:rPr>
          <w:rFonts w:ascii="Arial" w:hAnsi="Arial"/>
          <w:b/>
          <w:bCs/>
          <w:rtl/>
        </w:rPr>
        <w:t>מכח</w:t>
      </w:r>
      <w:proofErr w:type="spellEnd"/>
      <w:r>
        <w:rPr>
          <w:rFonts w:ascii="Arial" w:hAnsi="Arial"/>
          <w:b/>
          <w:bCs/>
          <w:rtl/>
        </w:rPr>
        <w:t xml:space="preserve"> סמכותי על פי תקנות 138(א)(2) + (5) לתקנות סדר הדין האזרחי, תשע"ט-2018 (להלן: "התקנות").</w:t>
      </w:r>
    </w:p>
    <w:p w14:paraId="498C7846" w14:textId="77777777" w:rsidR="00E84102" w:rsidRDefault="00E84102" w:rsidP="00E84102">
      <w:pPr>
        <w:spacing w:after="120" w:line="360" w:lineRule="auto"/>
        <w:ind w:left="720" w:hanging="720"/>
        <w:jc w:val="both"/>
        <w:rPr>
          <w:rFonts w:ascii="Arial" w:hAnsi="Arial"/>
          <w:rtl/>
        </w:rPr>
      </w:pPr>
      <w:r>
        <w:rPr>
          <w:rFonts w:ascii="Arial" w:hAnsi="Arial"/>
          <w:rtl/>
        </w:rPr>
        <w:tab/>
        <w:t>להלן אנמק החלטתי.</w:t>
      </w:r>
    </w:p>
    <w:p w14:paraId="2CEEFC3C" w14:textId="77777777" w:rsidR="00E84102" w:rsidRDefault="00E84102" w:rsidP="00E84102">
      <w:pPr>
        <w:spacing w:after="120" w:line="360" w:lineRule="auto"/>
        <w:ind w:left="720" w:hanging="720"/>
        <w:jc w:val="both"/>
        <w:rPr>
          <w:rFonts w:ascii="David" w:hAnsi="David"/>
          <w:rtl/>
        </w:rPr>
      </w:pPr>
      <w:r>
        <w:rPr>
          <w:rFonts w:ascii="Arial" w:hAnsi="Arial" w:hint="cs"/>
          <w:rtl/>
        </w:rPr>
        <w:t>16</w:t>
      </w:r>
      <w:r>
        <w:rPr>
          <w:rFonts w:ascii="Arial" w:hAnsi="Arial"/>
          <w:rtl/>
        </w:rPr>
        <w:t>.</w:t>
      </w:r>
      <w:r>
        <w:rPr>
          <w:rFonts w:ascii="Arial" w:hAnsi="Arial"/>
          <w:rtl/>
        </w:rPr>
        <w:tab/>
      </w:r>
      <w:r>
        <w:rPr>
          <w:rFonts w:ascii="David" w:hAnsi="David" w:hint="cs"/>
          <w:rtl/>
        </w:rPr>
        <w:t>בבקשת רשות הערעור דנן משיג המבקש על שתי החלטות, כמפורט לעיל בסעיף 14. אדון בהן אחת אחת.</w:t>
      </w:r>
    </w:p>
    <w:p w14:paraId="674F455D" w14:textId="715E9A19" w:rsidR="00E84102" w:rsidRPr="00273795" w:rsidRDefault="00E84102" w:rsidP="00E84102">
      <w:pPr>
        <w:spacing w:after="120" w:line="360" w:lineRule="auto"/>
        <w:ind w:left="720" w:hanging="720"/>
        <w:jc w:val="both"/>
        <w:rPr>
          <w:rFonts w:ascii="David" w:hAnsi="David"/>
          <w:rtl/>
        </w:rPr>
      </w:pPr>
      <w:r>
        <w:rPr>
          <w:rFonts w:ascii="David" w:hAnsi="David" w:hint="cs"/>
          <w:rtl/>
        </w:rPr>
        <w:t>17.</w:t>
      </w:r>
      <w:r>
        <w:rPr>
          <w:rFonts w:ascii="David" w:hAnsi="David"/>
          <w:rtl/>
        </w:rPr>
        <w:tab/>
      </w:r>
      <w:r w:rsidRPr="00CE0573">
        <w:rPr>
          <w:rFonts w:ascii="David" w:hAnsi="David" w:hint="cs"/>
          <w:b/>
          <w:bCs/>
          <w:rtl/>
        </w:rPr>
        <w:t>בכל הקשור להחלטה קמא מיום 19.2.25,</w:t>
      </w:r>
      <w:r w:rsidRPr="00273795">
        <w:rPr>
          <w:rFonts w:ascii="David" w:hAnsi="David" w:hint="cs"/>
          <w:rtl/>
        </w:rPr>
        <w:t xml:space="preserve"> הבהיר בית משפט קמא ברישא ההחלטה, כי זו תעסוק בשתי נקודות בלבד</w:t>
      </w:r>
      <w:r>
        <w:rPr>
          <w:rFonts w:ascii="David" w:hAnsi="David" w:hint="cs"/>
          <w:rtl/>
        </w:rPr>
        <w:t xml:space="preserve"> </w:t>
      </w:r>
      <w:r>
        <w:rPr>
          <w:rFonts w:ascii="David" w:hAnsi="David"/>
          <w:rtl/>
        </w:rPr>
        <w:t>–</w:t>
      </w:r>
      <w:r>
        <w:rPr>
          <w:rFonts w:ascii="David" w:hAnsi="David" w:hint="cs"/>
          <w:rtl/>
        </w:rPr>
        <w:t xml:space="preserve"> </w:t>
      </w:r>
      <w:r w:rsidRPr="00273795">
        <w:rPr>
          <w:rFonts w:ascii="Arial" w:hAnsi="Arial"/>
          <w:rtl/>
        </w:rPr>
        <w:t xml:space="preserve">בקשת </w:t>
      </w:r>
      <w:r w:rsidRPr="00273795">
        <w:rPr>
          <w:rFonts w:ascii="Arial" w:hAnsi="Arial" w:hint="cs"/>
          <w:rtl/>
        </w:rPr>
        <w:t>המבקש</w:t>
      </w:r>
      <w:r w:rsidRPr="00273795">
        <w:rPr>
          <w:rFonts w:ascii="Arial" w:hAnsi="Arial"/>
          <w:rtl/>
        </w:rPr>
        <w:t xml:space="preserve"> </w:t>
      </w:r>
      <w:r w:rsidRPr="00273795">
        <w:rPr>
          <w:rFonts w:ascii="Arial" w:hAnsi="Arial" w:hint="cs"/>
          <w:rtl/>
        </w:rPr>
        <w:t>ל</w:t>
      </w:r>
      <w:r w:rsidRPr="00273795">
        <w:rPr>
          <w:rFonts w:ascii="Arial" w:hAnsi="Arial"/>
          <w:rtl/>
        </w:rPr>
        <w:t>ביטול חיוב</w:t>
      </w:r>
      <w:r w:rsidRPr="00273795">
        <w:rPr>
          <w:rFonts w:ascii="Arial" w:hAnsi="Arial" w:hint="cs"/>
          <w:rtl/>
        </w:rPr>
        <w:t xml:space="preserve">ו </w:t>
      </w:r>
      <w:r w:rsidRPr="00273795">
        <w:rPr>
          <w:rFonts w:ascii="Arial" w:hAnsi="Arial"/>
          <w:rtl/>
        </w:rPr>
        <w:t xml:space="preserve">במזונות הקטינים </w:t>
      </w:r>
      <w:r w:rsidR="0053255C">
        <w:rPr>
          <w:rFonts w:ascii="Arial" w:hAnsi="Arial" w:hint="cs"/>
          <w:rtl/>
        </w:rPr>
        <w:t>א'</w:t>
      </w:r>
      <w:r w:rsidRPr="00273795">
        <w:rPr>
          <w:rFonts w:ascii="Arial" w:hAnsi="Arial"/>
          <w:rtl/>
        </w:rPr>
        <w:t xml:space="preserve"> וש</w:t>
      </w:r>
      <w:r w:rsidR="0053255C">
        <w:rPr>
          <w:rFonts w:ascii="Arial" w:hAnsi="Arial" w:hint="cs"/>
          <w:rtl/>
        </w:rPr>
        <w:t>'</w:t>
      </w:r>
      <w:r w:rsidRPr="00273795">
        <w:rPr>
          <w:rFonts w:ascii="Arial" w:hAnsi="Arial"/>
          <w:rtl/>
        </w:rPr>
        <w:t xml:space="preserve"> לחודשים יולי ואוגוסט 2024</w:t>
      </w:r>
      <w:r w:rsidRPr="00273795">
        <w:rPr>
          <w:rFonts w:ascii="Arial" w:hAnsi="Arial" w:hint="cs"/>
          <w:rtl/>
        </w:rPr>
        <w:t>,</w:t>
      </w:r>
      <w:r w:rsidRPr="00273795">
        <w:rPr>
          <w:rFonts w:ascii="Arial" w:hAnsi="Arial"/>
          <w:rtl/>
        </w:rPr>
        <w:t xml:space="preserve"> וכן </w:t>
      </w:r>
      <w:r w:rsidRPr="00273795">
        <w:rPr>
          <w:rFonts w:ascii="Arial" w:hAnsi="Arial" w:hint="cs"/>
          <w:rtl/>
        </w:rPr>
        <w:t>ביטול</w:t>
      </w:r>
      <w:r w:rsidRPr="00273795">
        <w:rPr>
          <w:rFonts w:ascii="Arial" w:hAnsi="Arial"/>
          <w:rtl/>
        </w:rPr>
        <w:t xml:space="preserve"> רכיב המדור המתייחס לקטין ה</w:t>
      </w:r>
      <w:r w:rsidR="0053255C">
        <w:rPr>
          <w:rFonts w:ascii="Arial" w:hAnsi="Arial" w:hint="cs"/>
          <w:rtl/>
        </w:rPr>
        <w:t>'</w:t>
      </w:r>
      <w:r w:rsidRPr="00273795">
        <w:rPr>
          <w:rFonts w:ascii="Arial" w:hAnsi="Arial"/>
          <w:rtl/>
        </w:rPr>
        <w:t xml:space="preserve"> מאז שעבר לגור אצל </w:t>
      </w:r>
      <w:r w:rsidRPr="00273795">
        <w:rPr>
          <w:rFonts w:ascii="Arial" w:hAnsi="Arial" w:hint="cs"/>
          <w:rtl/>
        </w:rPr>
        <w:t>המבקש.</w:t>
      </w:r>
      <w:r w:rsidRPr="00273795">
        <w:rPr>
          <w:rFonts w:ascii="Arial" w:hAnsi="Arial"/>
          <w:b/>
          <w:bCs/>
          <w:rtl/>
        </w:rPr>
        <w:t xml:space="preserve"> </w:t>
      </w:r>
    </w:p>
    <w:p w14:paraId="6724EA22" w14:textId="77777777" w:rsidR="00E84102" w:rsidRDefault="00E84102" w:rsidP="00E84102">
      <w:pPr>
        <w:spacing w:after="120" w:line="360" w:lineRule="auto"/>
        <w:ind w:left="720" w:hanging="720"/>
        <w:jc w:val="both"/>
        <w:rPr>
          <w:rFonts w:ascii="David" w:hAnsi="David"/>
          <w:rtl/>
        </w:rPr>
      </w:pPr>
      <w:r>
        <w:rPr>
          <w:rFonts w:ascii="David" w:hAnsi="David" w:hint="cs"/>
          <w:rtl/>
        </w:rPr>
        <w:t>18.</w:t>
      </w:r>
      <w:r>
        <w:rPr>
          <w:rFonts w:ascii="David" w:hAnsi="David"/>
          <w:rtl/>
        </w:rPr>
        <w:tab/>
      </w:r>
      <w:r>
        <w:rPr>
          <w:rFonts w:ascii="David" w:hAnsi="David" w:hint="cs"/>
          <w:rtl/>
        </w:rPr>
        <w:t xml:space="preserve">לא מצאתי ממש בטענת המבקש, לפיה אין עסקינן בבקשה לעיון חוזר בהחלטה מיום 28.11.24. עיון בכתבי בית הדין של המבקש בתיק קמא ובהחלטות קמא מלמד, כי המבקש חזר על טענותיו בבקשתו, נשוא ההחלטה קמא מיום 19.2.25, לרבות טענותיו לעניין ביטול חוב המזונות בגין חודשי יולי-אוגוסט 2024. טענות אלה (ואחרות) נדונו והוכרעו בהחלטה מיום 28.11.24. </w:t>
      </w:r>
      <w:r w:rsidRPr="00B270F6">
        <w:rPr>
          <w:rFonts w:ascii="David" w:hAnsi="David" w:hint="cs"/>
          <w:u w:val="single"/>
          <w:rtl/>
        </w:rPr>
        <w:t>לפיכך, בקשתו נשוא ההחלטה קמא מיום 19.2.25 מהווה בקשה לעיון חוזר בנקודה זו</w:t>
      </w:r>
      <w:r w:rsidRPr="00B270F6">
        <w:rPr>
          <w:rFonts w:ascii="David" w:hAnsi="David" w:hint="cs"/>
          <w:rtl/>
        </w:rPr>
        <w:t>.</w:t>
      </w:r>
    </w:p>
    <w:p w14:paraId="0E370308" w14:textId="77777777" w:rsidR="00E84102" w:rsidRDefault="00E84102" w:rsidP="00E84102">
      <w:pPr>
        <w:spacing w:after="120" w:line="360" w:lineRule="auto"/>
        <w:ind w:left="720" w:hanging="720"/>
        <w:jc w:val="both"/>
        <w:rPr>
          <w:rtl/>
        </w:rPr>
      </w:pPr>
      <w:r>
        <w:rPr>
          <w:rFonts w:ascii="David" w:hAnsi="David" w:hint="cs"/>
          <w:rtl/>
        </w:rPr>
        <w:t>19.</w:t>
      </w:r>
      <w:r>
        <w:rPr>
          <w:rFonts w:ascii="David" w:hAnsi="David"/>
          <w:rtl/>
        </w:rPr>
        <w:tab/>
      </w:r>
      <w:r>
        <w:rPr>
          <w:rFonts w:ascii="David" w:hAnsi="David" w:hint="cs"/>
          <w:rtl/>
        </w:rPr>
        <w:t xml:space="preserve">כעת משיג המבקש על ההחלטה מיום 28.11.2024 בבקשה לעיון חוזר, שעה שהמועד להשיג על ההחלטה מיום 28.11.24 חלף זה מכבר (כפי שאף ציין המבקש בבקשתו דנן). ידועה הפסיקה הקובעת, כי אין </w:t>
      </w:r>
      <w:r>
        <w:rPr>
          <w:rFonts w:ascii="Century" w:hAnsi="Century"/>
          <w:rtl/>
        </w:rPr>
        <w:t>לאפשר את "ריפוי" הפגם של אי הגשת בקשת רשות ערעור על ההחלטה הראשונה במועד, בדרך של</w:t>
      </w:r>
      <w:r>
        <w:rPr>
          <w:rtl/>
        </w:rPr>
        <w:t xml:space="preserve"> הגשת בקשת רשות ערעור על ההחלטה </w:t>
      </w:r>
      <w:r>
        <w:rPr>
          <w:rFonts w:hint="cs"/>
          <w:rtl/>
        </w:rPr>
        <w:t>בבקשה לעיון חוזר עליה.</w:t>
      </w:r>
    </w:p>
    <w:p w14:paraId="6F7BF3DD" w14:textId="77777777" w:rsidR="00E84102" w:rsidRDefault="00E84102" w:rsidP="00E84102">
      <w:pPr>
        <w:spacing w:after="120" w:line="360" w:lineRule="auto"/>
        <w:ind w:left="720" w:hanging="720"/>
        <w:jc w:val="both"/>
        <w:rPr>
          <w:rFonts w:ascii="Century" w:hAnsi="Century"/>
          <w:rtl/>
        </w:rPr>
      </w:pPr>
      <w:r>
        <w:rPr>
          <w:rtl/>
        </w:rPr>
        <w:tab/>
      </w:r>
      <w:r w:rsidRPr="005773AB">
        <w:rPr>
          <w:rFonts w:hint="cs"/>
          <w:u w:val="single"/>
          <w:rtl/>
        </w:rPr>
        <w:t>ראו לעניין זה</w:t>
      </w:r>
      <w:r>
        <w:rPr>
          <w:rFonts w:hint="cs"/>
          <w:rtl/>
        </w:rPr>
        <w:t xml:space="preserve"> </w:t>
      </w:r>
      <w:r>
        <w:rPr>
          <w:rtl/>
        </w:rPr>
        <w:t>–</w:t>
      </w:r>
      <w:r>
        <w:rPr>
          <w:rFonts w:hint="cs"/>
          <w:rtl/>
        </w:rPr>
        <w:t xml:space="preserve"> </w:t>
      </w:r>
    </w:p>
    <w:p w14:paraId="01475AB4" w14:textId="77777777" w:rsidR="00E84102" w:rsidRDefault="00E84102" w:rsidP="00E84102">
      <w:pPr>
        <w:spacing w:after="120" w:line="360" w:lineRule="auto"/>
        <w:ind w:left="720"/>
        <w:jc w:val="both"/>
        <w:rPr>
          <w:rFonts w:ascii="Century" w:hAnsi="Century"/>
          <w:rtl/>
        </w:rPr>
      </w:pPr>
      <w:r w:rsidRPr="005773AB">
        <w:rPr>
          <w:rFonts w:ascii="Century" w:hAnsi="Century"/>
          <w:rtl/>
        </w:rPr>
        <w:t>בע</w:t>
      </w:r>
      <w:r>
        <w:rPr>
          <w:rFonts w:ascii="Century" w:hAnsi="Century" w:hint="cs"/>
          <w:rtl/>
        </w:rPr>
        <w:t>"</w:t>
      </w:r>
      <w:r w:rsidRPr="005773AB">
        <w:rPr>
          <w:rFonts w:ascii="Century" w:hAnsi="Century"/>
          <w:rtl/>
        </w:rPr>
        <w:t>מ 17444-09-24</w:t>
      </w:r>
      <w:r>
        <w:rPr>
          <w:rFonts w:ascii="Century" w:hAnsi="Century" w:hint="cs"/>
          <w:rtl/>
        </w:rPr>
        <w:t xml:space="preserve"> </w:t>
      </w:r>
      <w:r w:rsidRPr="005773AB">
        <w:rPr>
          <w:rFonts w:ascii="Century" w:hAnsi="Century"/>
          <w:b/>
          <w:bCs/>
          <w:rtl/>
        </w:rPr>
        <w:t>פלוני נ' פלוני</w:t>
      </w:r>
      <w:r>
        <w:rPr>
          <w:rFonts w:ascii="Century" w:hAnsi="Century" w:hint="cs"/>
          <w:rtl/>
        </w:rPr>
        <w:t xml:space="preserve"> (21.11.2024);</w:t>
      </w:r>
    </w:p>
    <w:p w14:paraId="296F50C8" w14:textId="77777777" w:rsidR="00E84102" w:rsidRPr="00A708B7" w:rsidRDefault="00E84102" w:rsidP="00E84102">
      <w:pPr>
        <w:spacing w:after="120" w:line="360" w:lineRule="auto"/>
        <w:ind w:left="720"/>
        <w:jc w:val="both"/>
        <w:rPr>
          <w:rFonts w:ascii="Century" w:hAnsi="Century"/>
          <w:rtl/>
        </w:rPr>
      </w:pPr>
      <w:proofErr w:type="spellStart"/>
      <w:r w:rsidRPr="00A708B7">
        <w:rPr>
          <w:rFonts w:ascii="Century" w:hAnsi="Century"/>
          <w:rtl/>
        </w:rPr>
        <w:t>רמ</w:t>
      </w:r>
      <w:r>
        <w:rPr>
          <w:rFonts w:ascii="Century" w:hAnsi="Century" w:hint="cs"/>
          <w:rtl/>
        </w:rPr>
        <w:t>"</w:t>
      </w:r>
      <w:r w:rsidRPr="00A708B7">
        <w:rPr>
          <w:rFonts w:ascii="Century" w:hAnsi="Century"/>
          <w:rtl/>
        </w:rPr>
        <w:t>ש</w:t>
      </w:r>
      <w:proofErr w:type="spellEnd"/>
      <w:r w:rsidRPr="00A708B7">
        <w:rPr>
          <w:rFonts w:ascii="Century" w:hAnsi="Century"/>
          <w:rtl/>
        </w:rPr>
        <w:t xml:space="preserve"> (חי') 32177-03-22</w:t>
      </w:r>
      <w:r w:rsidRPr="00A708B7">
        <w:rPr>
          <w:rFonts w:ascii="Century" w:hAnsi="Century"/>
          <w:rtl/>
        </w:rPr>
        <w:tab/>
        <w:t xml:space="preserve"> </w:t>
      </w:r>
      <w:r w:rsidRPr="00A708B7">
        <w:rPr>
          <w:rFonts w:ascii="Century" w:hAnsi="Century"/>
          <w:b/>
          <w:bCs/>
          <w:rtl/>
        </w:rPr>
        <w:t>מ. ב  נ' ת. ה</w:t>
      </w:r>
      <w:r>
        <w:rPr>
          <w:rFonts w:ascii="Century" w:hAnsi="Century" w:hint="cs"/>
          <w:rtl/>
        </w:rPr>
        <w:t xml:space="preserve"> (15.3.2022), פסקה 16 והפסיקה שם.</w:t>
      </w:r>
    </w:p>
    <w:p w14:paraId="2E7AD4A3" w14:textId="77777777" w:rsidR="00E84102" w:rsidRPr="00A000F1" w:rsidRDefault="00E84102" w:rsidP="00E84102">
      <w:pPr>
        <w:spacing w:after="120" w:line="360" w:lineRule="auto"/>
        <w:ind w:left="720" w:hanging="720"/>
        <w:jc w:val="both"/>
        <w:rPr>
          <w:rFonts w:ascii="Century" w:hAnsi="Century"/>
          <w:rtl/>
        </w:rPr>
      </w:pPr>
      <w:r>
        <w:rPr>
          <w:rFonts w:hint="cs"/>
          <w:rtl/>
        </w:rPr>
        <w:t>20</w:t>
      </w:r>
      <w:r w:rsidRPr="00A708B7">
        <w:rPr>
          <w:rFonts w:hint="cs"/>
          <w:rtl/>
        </w:rPr>
        <w:t>.</w:t>
      </w:r>
      <w:r w:rsidRPr="00A708B7">
        <w:rPr>
          <w:rFonts w:ascii="Century" w:hAnsi="Century"/>
          <w:rtl/>
        </w:rPr>
        <w:tab/>
      </w:r>
      <w:r>
        <w:rPr>
          <w:rFonts w:ascii="Arial" w:hAnsi="Arial"/>
          <w:rtl/>
        </w:rPr>
        <w:t xml:space="preserve">היות שחלף המועד להגשת בקשת רשות ערעור </w:t>
      </w:r>
      <w:r w:rsidRPr="00A000F1">
        <w:rPr>
          <w:rFonts w:ascii="Arial" w:hAnsi="Arial"/>
          <w:rtl/>
        </w:rPr>
        <w:t xml:space="preserve">על ההחלטה </w:t>
      </w:r>
      <w:r w:rsidRPr="00A000F1">
        <w:rPr>
          <w:rFonts w:ascii="Arial" w:hAnsi="Arial" w:hint="cs"/>
          <w:rtl/>
        </w:rPr>
        <w:t>מיום 28.11.24</w:t>
      </w:r>
      <w:r w:rsidRPr="00A000F1">
        <w:rPr>
          <w:rFonts w:ascii="Arial" w:hAnsi="Arial"/>
          <w:rtl/>
        </w:rPr>
        <w:t xml:space="preserve"> (30 ימים – ראו תקנה 45 לתקנות בית משפט </w:t>
      </w:r>
      <w:proofErr w:type="spellStart"/>
      <w:r w:rsidRPr="00A000F1">
        <w:rPr>
          <w:rFonts w:ascii="Arial" w:hAnsi="Arial"/>
          <w:rtl/>
        </w:rPr>
        <w:t>לעניני</w:t>
      </w:r>
      <w:proofErr w:type="spellEnd"/>
      <w:r w:rsidRPr="00A000F1">
        <w:rPr>
          <w:rFonts w:ascii="Arial" w:hAnsi="Arial"/>
          <w:rtl/>
        </w:rPr>
        <w:t xml:space="preserve"> משפחה (סדרי דין), התשפ"א-2020), </w:t>
      </w:r>
      <w:r>
        <w:rPr>
          <w:rFonts w:ascii="Arial" w:hAnsi="Arial"/>
          <w:rtl/>
        </w:rPr>
        <w:t xml:space="preserve">יש לבחון אם </w:t>
      </w:r>
      <w:proofErr w:type="spellStart"/>
      <w:r>
        <w:rPr>
          <w:rFonts w:ascii="Arial" w:hAnsi="Arial"/>
          <w:rtl/>
        </w:rPr>
        <w:t>היתה</w:t>
      </w:r>
      <w:proofErr w:type="spellEnd"/>
      <w:r>
        <w:rPr>
          <w:rFonts w:ascii="Arial" w:hAnsi="Arial"/>
          <w:rtl/>
        </w:rPr>
        <w:t xml:space="preserve"> הצדקה להגשת בקשה לעיון חוזר ביום </w:t>
      </w:r>
      <w:r>
        <w:rPr>
          <w:rFonts w:ascii="Arial" w:hAnsi="Arial" w:hint="cs"/>
          <w:rtl/>
        </w:rPr>
        <w:t>21</w:t>
      </w:r>
      <w:r>
        <w:rPr>
          <w:rFonts w:ascii="Arial" w:hAnsi="Arial"/>
          <w:rtl/>
        </w:rPr>
        <w:t>.1.</w:t>
      </w:r>
      <w:r>
        <w:rPr>
          <w:rFonts w:ascii="Arial" w:hAnsi="Arial" w:hint="cs"/>
          <w:rtl/>
        </w:rPr>
        <w:t>2025</w:t>
      </w:r>
      <w:r>
        <w:rPr>
          <w:rFonts w:ascii="Arial" w:hAnsi="Arial"/>
          <w:rtl/>
        </w:rPr>
        <w:t xml:space="preserve">. </w:t>
      </w:r>
    </w:p>
    <w:p w14:paraId="393C373C" w14:textId="77777777" w:rsidR="00E84102" w:rsidRPr="00A000F1" w:rsidRDefault="00E84102" w:rsidP="00E84102">
      <w:pPr>
        <w:spacing w:after="120" w:line="360" w:lineRule="auto"/>
        <w:ind w:left="720" w:hanging="720"/>
        <w:jc w:val="both"/>
        <w:rPr>
          <w:rFonts w:ascii="Arial" w:hAnsi="Arial"/>
          <w:rtl/>
        </w:rPr>
      </w:pPr>
      <w:r>
        <w:rPr>
          <w:rFonts w:ascii="Arial" w:hAnsi="Arial" w:hint="cs"/>
          <w:rtl/>
        </w:rPr>
        <w:t>21</w:t>
      </w:r>
      <w:r>
        <w:rPr>
          <w:rFonts w:ascii="Arial" w:hAnsi="Arial"/>
          <w:rtl/>
        </w:rPr>
        <w:t>.</w:t>
      </w:r>
      <w:r>
        <w:rPr>
          <w:rFonts w:ascii="Arial" w:hAnsi="Arial"/>
          <w:rtl/>
        </w:rPr>
        <w:tab/>
        <w:t xml:space="preserve">בנדון ידועה הפסיקה הקובעת, כי </w:t>
      </w:r>
      <w:r w:rsidRPr="0039366A">
        <w:rPr>
          <w:rFonts w:ascii="Arial" w:hAnsi="Arial"/>
          <w:rtl/>
        </w:rPr>
        <w:t>ככלל</w:t>
      </w:r>
      <w:r>
        <w:rPr>
          <w:rFonts w:ascii="Arial" w:hAnsi="Arial"/>
          <w:rtl/>
        </w:rPr>
        <w:t xml:space="preserve"> </w:t>
      </w:r>
      <w:r w:rsidRPr="0039366A">
        <w:rPr>
          <w:rFonts w:ascii="Arial" w:hAnsi="Arial"/>
          <w:rtl/>
        </w:rPr>
        <w:t xml:space="preserve">לא תתקבל בקשה לעיון חוזר בהחלטה מקום בו הטענות המועלות בה הן </w:t>
      </w:r>
      <w:proofErr w:type="spellStart"/>
      <w:r w:rsidRPr="0039366A">
        <w:rPr>
          <w:rFonts w:ascii="Arial" w:hAnsi="Arial"/>
          <w:rtl/>
        </w:rPr>
        <w:t>ערעוריות</w:t>
      </w:r>
      <w:proofErr w:type="spellEnd"/>
      <w:r w:rsidRPr="0039366A">
        <w:rPr>
          <w:rFonts w:ascii="Arial" w:hAnsi="Arial"/>
          <w:rtl/>
        </w:rPr>
        <w:t xml:space="preserve"> באופיין, או כאשר לא חל שינוי בנסיבות המצדיק את שינוי ההחלטה</w:t>
      </w:r>
      <w:r>
        <w:rPr>
          <w:rFonts w:ascii="Arial" w:hAnsi="Arial"/>
          <w:rtl/>
        </w:rPr>
        <w:t xml:space="preserve"> (ראו </w:t>
      </w:r>
      <w:proofErr w:type="spellStart"/>
      <w:r>
        <w:rPr>
          <w:rFonts w:ascii="Arial" w:hAnsi="Arial"/>
          <w:rtl/>
        </w:rPr>
        <w:t>לענין</w:t>
      </w:r>
      <w:proofErr w:type="spellEnd"/>
      <w:r>
        <w:rPr>
          <w:rFonts w:ascii="Arial" w:hAnsi="Arial"/>
          <w:rtl/>
        </w:rPr>
        <w:t xml:space="preserve"> </w:t>
      </w:r>
      <w:r w:rsidRPr="00A000F1">
        <w:rPr>
          <w:rFonts w:ascii="Arial" w:hAnsi="Arial"/>
          <w:rtl/>
        </w:rPr>
        <w:t xml:space="preserve">זה רע"א 5691/18 </w:t>
      </w:r>
      <w:proofErr w:type="spellStart"/>
      <w:r w:rsidRPr="00A000F1">
        <w:rPr>
          <w:rFonts w:ascii="Arial" w:hAnsi="Arial"/>
          <w:b/>
          <w:bCs/>
          <w:rtl/>
        </w:rPr>
        <w:t>ודובין</w:t>
      </w:r>
      <w:proofErr w:type="spellEnd"/>
      <w:r w:rsidRPr="00A000F1">
        <w:rPr>
          <w:rFonts w:ascii="Arial" w:hAnsi="Arial"/>
          <w:b/>
          <w:bCs/>
          <w:rtl/>
        </w:rPr>
        <w:t xml:space="preserve"> נ' כונס נכסים רשמי ואח' </w:t>
      </w:r>
      <w:r w:rsidRPr="00A000F1">
        <w:rPr>
          <w:rFonts w:ascii="Arial" w:hAnsi="Arial"/>
          <w:rtl/>
        </w:rPr>
        <w:t>(1.11.2018), פסקה 9 והאסמכתאות שם).</w:t>
      </w:r>
    </w:p>
    <w:p w14:paraId="561FDBF7" w14:textId="77777777" w:rsidR="00E84102" w:rsidRPr="00965BAA" w:rsidRDefault="00E84102" w:rsidP="00E84102">
      <w:pPr>
        <w:spacing w:after="120" w:line="360" w:lineRule="auto"/>
        <w:ind w:left="720" w:hanging="720"/>
        <w:jc w:val="both"/>
        <w:rPr>
          <w:rFonts w:ascii="Arial" w:hAnsi="Arial"/>
          <w:rtl/>
        </w:rPr>
      </w:pPr>
      <w:r>
        <w:rPr>
          <w:rFonts w:ascii="Arial" w:hAnsi="Arial"/>
          <w:rtl/>
        </w:rPr>
        <w:tab/>
      </w:r>
      <w:r w:rsidRPr="0039366A">
        <w:rPr>
          <w:rFonts w:ascii="Arial" w:hAnsi="Arial"/>
          <w:rtl/>
        </w:rPr>
        <w:t xml:space="preserve">המקרה שלפנינו אינו נמנה עם מקרים חריגים אלה. </w:t>
      </w:r>
      <w:r w:rsidRPr="007744AA">
        <w:rPr>
          <w:rFonts w:ascii="Arial" w:hAnsi="Arial"/>
          <w:b/>
          <w:bCs/>
          <w:rtl/>
        </w:rPr>
        <w:t xml:space="preserve">המבקש לא הצביע על שינוי נסיבות שחל מאז מועד מתן </w:t>
      </w:r>
      <w:r w:rsidRPr="007744AA">
        <w:rPr>
          <w:rFonts w:ascii="Arial" w:hAnsi="Arial"/>
          <w:b/>
          <w:bCs/>
          <w:u w:val="single"/>
          <w:rtl/>
        </w:rPr>
        <w:t>ההחלטה המקורית</w:t>
      </w:r>
      <w:r w:rsidRPr="007744AA">
        <w:rPr>
          <w:rFonts w:ascii="Arial" w:hAnsi="Arial"/>
          <w:b/>
          <w:bCs/>
          <w:rtl/>
        </w:rPr>
        <w:t xml:space="preserve">, </w:t>
      </w:r>
      <w:r w:rsidRPr="007744AA">
        <w:rPr>
          <w:rFonts w:ascii="Arial" w:hAnsi="Arial" w:hint="cs"/>
          <w:b/>
          <w:bCs/>
          <w:rtl/>
        </w:rPr>
        <w:t xml:space="preserve">היינו מיום 28.11.24, </w:t>
      </w:r>
      <w:r w:rsidRPr="007744AA">
        <w:rPr>
          <w:rFonts w:ascii="Arial" w:hAnsi="Arial"/>
          <w:b/>
          <w:bCs/>
          <w:rtl/>
        </w:rPr>
        <w:t>אשר יש בו כדי להצדיק עיון מחדש בהחלטה</w:t>
      </w:r>
      <w:r>
        <w:rPr>
          <w:rFonts w:ascii="Arial" w:hAnsi="Arial"/>
          <w:rtl/>
        </w:rPr>
        <w:t>. למעשה, הטענות/הבהרות בבקש</w:t>
      </w:r>
      <w:r>
        <w:rPr>
          <w:rFonts w:ascii="Arial" w:hAnsi="Arial" w:hint="cs"/>
          <w:rtl/>
        </w:rPr>
        <w:t>תו קמא</w:t>
      </w:r>
      <w:r>
        <w:rPr>
          <w:rFonts w:ascii="Arial" w:hAnsi="Arial"/>
          <w:rtl/>
        </w:rPr>
        <w:t xml:space="preserve">, </w:t>
      </w:r>
      <w:r>
        <w:rPr>
          <w:rFonts w:ascii="Arial" w:hAnsi="Arial" w:hint="cs"/>
          <w:rtl/>
        </w:rPr>
        <w:t>ה</w:t>
      </w:r>
      <w:r>
        <w:rPr>
          <w:rFonts w:ascii="Arial" w:hAnsi="Arial"/>
          <w:rtl/>
        </w:rPr>
        <w:t xml:space="preserve">מופנות </w:t>
      </w:r>
      <w:r>
        <w:rPr>
          <w:rFonts w:ascii="Arial" w:hAnsi="Arial" w:hint="cs"/>
          <w:rtl/>
        </w:rPr>
        <w:t xml:space="preserve">בחלקן </w:t>
      </w:r>
      <w:r w:rsidRPr="0039366A">
        <w:rPr>
          <w:rFonts w:ascii="Arial" w:hAnsi="Arial"/>
          <w:rtl/>
        </w:rPr>
        <w:t>נגד ההחלטה</w:t>
      </w:r>
      <w:r>
        <w:rPr>
          <w:rFonts w:ascii="Arial" w:hAnsi="Arial"/>
          <w:rtl/>
        </w:rPr>
        <w:t xml:space="preserve"> </w:t>
      </w:r>
      <w:r>
        <w:rPr>
          <w:rFonts w:ascii="Arial" w:hAnsi="Arial" w:hint="cs"/>
          <w:rtl/>
        </w:rPr>
        <w:t>מיום 28.11.24</w:t>
      </w:r>
      <w:r>
        <w:rPr>
          <w:rFonts w:ascii="Arial" w:hAnsi="Arial"/>
          <w:rtl/>
        </w:rPr>
        <w:t>,</w:t>
      </w:r>
      <w:r w:rsidRPr="0039366A">
        <w:rPr>
          <w:rFonts w:ascii="Arial" w:hAnsi="Arial"/>
          <w:rtl/>
        </w:rPr>
        <w:t xml:space="preserve"> </w:t>
      </w:r>
      <w:r>
        <w:rPr>
          <w:rFonts w:ascii="Arial" w:hAnsi="Arial" w:hint="cs"/>
          <w:rtl/>
        </w:rPr>
        <w:t xml:space="preserve">ובחלקן נגד החלטות רשמת </w:t>
      </w:r>
      <w:r>
        <w:rPr>
          <w:rFonts w:ascii="Arial" w:hAnsi="Arial" w:hint="cs"/>
          <w:rtl/>
        </w:rPr>
        <w:lastRenderedPageBreak/>
        <w:t xml:space="preserve">ההוצל"פ, </w:t>
      </w:r>
      <w:r w:rsidRPr="0039366A">
        <w:rPr>
          <w:rFonts w:ascii="Arial" w:hAnsi="Arial"/>
          <w:rtl/>
        </w:rPr>
        <w:t xml:space="preserve">הן טענות </w:t>
      </w:r>
      <w:r>
        <w:rPr>
          <w:rFonts w:ascii="Arial" w:hAnsi="Arial" w:hint="cs"/>
          <w:rtl/>
        </w:rPr>
        <w:t xml:space="preserve">בעלות אופי </w:t>
      </w:r>
      <w:r w:rsidRPr="0039366A">
        <w:rPr>
          <w:rFonts w:ascii="Arial" w:hAnsi="Arial"/>
          <w:rtl/>
        </w:rPr>
        <w:t>ערעור</w:t>
      </w:r>
      <w:r>
        <w:rPr>
          <w:rFonts w:ascii="Arial" w:hAnsi="Arial" w:hint="cs"/>
          <w:rtl/>
        </w:rPr>
        <w:t>י</w:t>
      </w:r>
      <w:r>
        <w:rPr>
          <w:rFonts w:ascii="Arial" w:hAnsi="Arial"/>
          <w:rtl/>
        </w:rPr>
        <w:t>.</w:t>
      </w:r>
      <w:r>
        <w:rPr>
          <w:rFonts w:ascii="Arial" w:hAnsi="Arial" w:hint="cs"/>
          <w:rtl/>
        </w:rPr>
        <w:t xml:space="preserve"> בכל הקשור להשגה על החלטות רשמת ההוצל"פ, הופנה המבקש בהחלטה מיום 21.1.25 לנקוט הליך נפרד, מתאים; בכל הקשור להשגה על הקביעות בהחלטה מיום 28.11.24, </w:t>
      </w:r>
      <w:r w:rsidRPr="00A000F1">
        <w:rPr>
          <w:rFonts w:ascii="Arial" w:hAnsi="Arial"/>
          <w:rtl/>
        </w:rPr>
        <w:t>המועד להגשת בקשת רשות ערעור חלף</w:t>
      </w:r>
      <w:r w:rsidRPr="00A000F1">
        <w:rPr>
          <w:rFonts w:ascii="Arial" w:hAnsi="Arial" w:hint="cs"/>
          <w:rtl/>
        </w:rPr>
        <w:t xml:space="preserve"> זה מכבר</w:t>
      </w:r>
      <w:r>
        <w:rPr>
          <w:rFonts w:ascii="Arial" w:hAnsi="Arial" w:hint="cs"/>
          <w:rtl/>
        </w:rPr>
        <w:t>, כאמור לעיל</w:t>
      </w:r>
      <w:r w:rsidRPr="00A000F1">
        <w:rPr>
          <w:rFonts w:ascii="Arial" w:hAnsi="Arial"/>
          <w:rtl/>
        </w:rPr>
        <w:t>.</w:t>
      </w:r>
    </w:p>
    <w:p w14:paraId="1F4668C0" w14:textId="77777777" w:rsidR="00E84102" w:rsidRDefault="00E84102" w:rsidP="00E84102">
      <w:pPr>
        <w:spacing w:after="120" w:line="360" w:lineRule="auto"/>
        <w:ind w:left="720" w:hanging="720"/>
        <w:jc w:val="both"/>
        <w:rPr>
          <w:rFonts w:ascii="Arial" w:hAnsi="Arial"/>
          <w:rtl/>
        </w:rPr>
      </w:pPr>
      <w:r>
        <w:rPr>
          <w:rFonts w:ascii="Arial" w:hAnsi="Arial" w:hint="cs"/>
          <w:rtl/>
        </w:rPr>
        <w:t>22</w:t>
      </w:r>
      <w:r>
        <w:rPr>
          <w:rFonts w:ascii="Arial" w:hAnsi="Arial"/>
          <w:rtl/>
        </w:rPr>
        <w:t>.</w:t>
      </w:r>
      <w:r>
        <w:rPr>
          <w:rFonts w:ascii="Arial" w:hAnsi="Arial"/>
          <w:rtl/>
        </w:rPr>
        <w:tab/>
      </w:r>
      <w:r w:rsidRPr="00965BAA">
        <w:rPr>
          <w:rFonts w:ascii="Arial" w:hAnsi="Arial"/>
          <w:b/>
          <w:bCs/>
          <w:rtl/>
        </w:rPr>
        <w:t xml:space="preserve">די היה בנימוק דיוני זה בכדי לדחות את בקשת רשות הערעור </w:t>
      </w:r>
      <w:r>
        <w:rPr>
          <w:rFonts w:ascii="Arial" w:hAnsi="Arial" w:hint="cs"/>
          <w:b/>
          <w:bCs/>
          <w:rtl/>
        </w:rPr>
        <w:t>בנקודה זו</w:t>
      </w:r>
      <w:r>
        <w:rPr>
          <w:rFonts w:ascii="Arial" w:hAnsi="Arial"/>
          <w:rtl/>
        </w:rPr>
        <w:t xml:space="preserve">. </w:t>
      </w:r>
    </w:p>
    <w:p w14:paraId="6B2D554E" w14:textId="77777777" w:rsidR="00E84102" w:rsidRDefault="00E84102" w:rsidP="00E84102">
      <w:pPr>
        <w:spacing w:after="120" w:line="360" w:lineRule="auto"/>
        <w:ind w:left="720" w:hanging="720"/>
        <w:jc w:val="both"/>
        <w:rPr>
          <w:rFonts w:ascii="Arial" w:hAnsi="Arial"/>
          <w:rtl/>
        </w:rPr>
      </w:pPr>
      <w:r>
        <w:rPr>
          <w:rFonts w:ascii="Arial" w:hAnsi="Arial"/>
          <w:rtl/>
        </w:rPr>
        <w:tab/>
        <w:t>מעבר לכך, גם בחינת הבקשה לגופה</w:t>
      </w:r>
      <w:r>
        <w:rPr>
          <w:rFonts w:ascii="Arial" w:hAnsi="Arial" w:hint="cs"/>
          <w:rtl/>
        </w:rPr>
        <w:t xml:space="preserve">, וביתר טענות המבקש, </w:t>
      </w:r>
      <w:r>
        <w:rPr>
          <w:rFonts w:ascii="Arial" w:hAnsi="Arial"/>
          <w:rtl/>
        </w:rPr>
        <w:t>מלמדת כי אין מקום להיעתר לה</w:t>
      </w:r>
      <w:r>
        <w:rPr>
          <w:rFonts w:ascii="Arial" w:hAnsi="Arial" w:hint="cs"/>
          <w:rtl/>
        </w:rPr>
        <w:t xml:space="preserve">. </w:t>
      </w:r>
    </w:p>
    <w:p w14:paraId="452E7D15" w14:textId="0C0B6BEA" w:rsidR="00E84102" w:rsidRDefault="00E84102" w:rsidP="00E84102">
      <w:pPr>
        <w:spacing w:after="120" w:line="360" w:lineRule="auto"/>
        <w:ind w:left="720" w:hanging="720"/>
        <w:jc w:val="both"/>
        <w:rPr>
          <w:rFonts w:ascii="Arial" w:hAnsi="Arial"/>
          <w:rtl/>
        </w:rPr>
      </w:pPr>
      <w:r>
        <w:rPr>
          <w:rFonts w:ascii="Century" w:hAnsi="Century" w:hint="cs"/>
          <w:rtl/>
        </w:rPr>
        <w:t>23</w:t>
      </w:r>
      <w:r w:rsidRPr="004D5F4A">
        <w:rPr>
          <w:rFonts w:ascii="Century" w:hAnsi="Century" w:hint="cs"/>
          <w:rtl/>
        </w:rPr>
        <w:t>.</w:t>
      </w:r>
      <w:r w:rsidRPr="004D5F4A">
        <w:rPr>
          <w:rFonts w:ascii="Century" w:hAnsi="Century"/>
          <w:rtl/>
        </w:rPr>
        <w:tab/>
      </w:r>
      <w:r w:rsidRPr="004D5F4A">
        <w:rPr>
          <w:rFonts w:ascii="Century" w:hAnsi="Century" w:hint="cs"/>
          <w:rtl/>
        </w:rPr>
        <w:t xml:space="preserve">לא שוכנעתי מטענות המבקש, לפיהן </w:t>
      </w:r>
      <w:r w:rsidRPr="004D5F4A">
        <w:rPr>
          <w:rFonts w:ascii="Arial" w:hAnsi="Arial" w:hint="cs"/>
          <w:rtl/>
        </w:rPr>
        <w:t xml:space="preserve">בית משפט קמא </w:t>
      </w:r>
      <w:r w:rsidRPr="004D5F4A">
        <w:rPr>
          <w:rFonts w:ascii="Arial" w:hAnsi="Arial"/>
          <w:rtl/>
        </w:rPr>
        <w:t>הפך</w:t>
      </w:r>
      <w:r>
        <w:rPr>
          <w:rFonts w:ascii="Arial" w:hAnsi="Arial" w:hint="cs"/>
          <w:rtl/>
        </w:rPr>
        <w:t xml:space="preserve"> לכאורה</w:t>
      </w:r>
      <w:r w:rsidRPr="004D5F4A">
        <w:rPr>
          <w:rFonts w:ascii="Arial" w:hAnsi="Arial"/>
          <w:rtl/>
        </w:rPr>
        <w:t xml:space="preserve"> את החלטתו</w:t>
      </w:r>
      <w:r w:rsidRPr="004D5F4A">
        <w:rPr>
          <w:rFonts w:ascii="Arial" w:hAnsi="Arial" w:hint="cs"/>
          <w:rtl/>
        </w:rPr>
        <w:t xml:space="preserve"> </w:t>
      </w:r>
      <w:r w:rsidRPr="004D5F4A">
        <w:rPr>
          <w:rFonts w:ascii="Arial" w:hAnsi="Arial"/>
          <w:rtl/>
        </w:rPr>
        <w:t>הקודמת מיום 28.11.24 בחוסר סמכות</w:t>
      </w:r>
      <w:r w:rsidRPr="004D5F4A">
        <w:rPr>
          <w:rFonts w:ascii="Arial" w:hAnsi="Arial" w:hint="cs"/>
          <w:rtl/>
        </w:rPr>
        <w:t>,</w:t>
      </w:r>
      <w:r w:rsidRPr="004D5F4A">
        <w:rPr>
          <w:rFonts w:ascii="Arial" w:hAnsi="Arial"/>
          <w:rtl/>
        </w:rPr>
        <w:t xml:space="preserve"> הכריע במרכיבי התביעה</w:t>
      </w:r>
      <w:r>
        <w:rPr>
          <w:rFonts w:ascii="Arial" w:hAnsi="Arial" w:hint="cs"/>
          <w:rtl/>
        </w:rPr>
        <w:t xml:space="preserve"> קמא</w:t>
      </w:r>
      <w:r w:rsidRPr="004D5F4A">
        <w:rPr>
          <w:rFonts w:ascii="Arial" w:hAnsi="Arial"/>
          <w:rtl/>
        </w:rPr>
        <w:t xml:space="preserve">, </w:t>
      </w:r>
      <w:r w:rsidRPr="00AF474C">
        <w:rPr>
          <w:rFonts w:ascii="Arial" w:hAnsi="Arial"/>
          <w:rtl/>
        </w:rPr>
        <w:t xml:space="preserve">פגע בזכויות הדיוניות של </w:t>
      </w:r>
      <w:r>
        <w:rPr>
          <w:rFonts w:ascii="Arial" w:hAnsi="Arial" w:hint="cs"/>
          <w:rtl/>
        </w:rPr>
        <w:t>המבקש</w:t>
      </w:r>
      <w:r w:rsidRPr="00AF474C">
        <w:rPr>
          <w:rFonts w:ascii="Arial" w:hAnsi="Arial"/>
          <w:rtl/>
        </w:rPr>
        <w:t>,</w:t>
      </w:r>
      <w:r>
        <w:rPr>
          <w:rFonts w:ascii="Arial" w:hAnsi="Arial" w:hint="cs"/>
          <w:rtl/>
        </w:rPr>
        <w:t xml:space="preserve"> או </w:t>
      </w:r>
      <w:r w:rsidRPr="00AF474C">
        <w:rPr>
          <w:rFonts w:ascii="Arial" w:hAnsi="Arial"/>
          <w:rtl/>
        </w:rPr>
        <w:t>קבע מסמרות בתביעה</w:t>
      </w:r>
      <w:r>
        <w:rPr>
          <w:rFonts w:ascii="Arial" w:hAnsi="Arial" w:hint="cs"/>
          <w:rtl/>
        </w:rPr>
        <w:t xml:space="preserve"> קמא. ההחלטה קמא מיום 19.2.25, ניתנה כהשלמה להחלטה מיום 28.11.24, בעקבות בקשת המבקש, ויש לקרוא את שתי ההחלטות יחד. כל שהורה בית משפט קמא בהחלטה מיום 28.11.24 </w:t>
      </w:r>
      <w:r w:rsidRPr="00B270F6">
        <w:rPr>
          <w:rFonts w:ascii="Arial" w:hAnsi="Arial" w:hint="cs"/>
          <w:rtl/>
        </w:rPr>
        <w:t xml:space="preserve">היה, </w:t>
      </w:r>
      <w:r w:rsidRPr="00B270F6">
        <w:rPr>
          <w:rFonts w:ascii="David" w:hAnsi="David" w:hint="cs"/>
          <w:rtl/>
        </w:rPr>
        <w:t>כי</w:t>
      </w:r>
      <w:r w:rsidRPr="00223424">
        <w:rPr>
          <w:rFonts w:ascii="David" w:hAnsi="David"/>
          <w:rtl/>
        </w:rPr>
        <w:t xml:space="preserve"> הליכי גביית חיובי מזונות בגין הקטין ה</w:t>
      </w:r>
      <w:r w:rsidR="00370E71">
        <w:rPr>
          <w:rFonts w:ascii="David" w:hAnsi="David" w:hint="cs"/>
          <w:rtl/>
        </w:rPr>
        <w:t>'</w:t>
      </w:r>
      <w:r w:rsidRPr="00223424">
        <w:rPr>
          <w:rFonts w:ascii="David" w:hAnsi="David"/>
          <w:rtl/>
        </w:rPr>
        <w:t xml:space="preserve"> בתיק ההוצל"פ </w:t>
      </w:r>
      <w:r w:rsidRPr="00B270F6">
        <w:rPr>
          <w:rFonts w:ascii="David" w:hAnsi="David" w:hint="cs"/>
          <w:rtl/>
        </w:rPr>
        <w:t>יעוכבו</w:t>
      </w:r>
      <w:r w:rsidRPr="00223424">
        <w:rPr>
          <w:rFonts w:ascii="David" w:hAnsi="David"/>
          <w:rtl/>
        </w:rPr>
        <w:t xml:space="preserve"> עד להכרעה בתביעה </w:t>
      </w:r>
      <w:r w:rsidRPr="00B270F6">
        <w:rPr>
          <w:rFonts w:ascii="David" w:hAnsi="David" w:hint="cs"/>
          <w:rtl/>
        </w:rPr>
        <w:t xml:space="preserve">קמא, וכי </w:t>
      </w:r>
      <w:r w:rsidRPr="00223424">
        <w:rPr>
          <w:rFonts w:ascii="David" w:hAnsi="David"/>
          <w:rtl/>
        </w:rPr>
        <w:t xml:space="preserve">לא ימומש העיקול שהוטל בתיק ההוצל"פ על כספי הפנסיה של </w:t>
      </w:r>
      <w:r w:rsidRPr="00B270F6">
        <w:rPr>
          <w:rFonts w:ascii="David" w:hAnsi="David" w:hint="cs"/>
          <w:rtl/>
        </w:rPr>
        <w:t>המבקש</w:t>
      </w:r>
      <w:r w:rsidRPr="00223424">
        <w:rPr>
          <w:rFonts w:ascii="David" w:hAnsi="David"/>
          <w:rtl/>
        </w:rPr>
        <w:t xml:space="preserve"> אצל המחזיקה מנורה מבטחים פנסיה וגמל בע"מ</w:t>
      </w:r>
      <w:r w:rsidRPr="00B270F6">
        <w:rPr>
          <w:rFonts w:ascii="Arial" w:hAnsi="Arial" w:hint="cs"/>
          <w:rtl/>
        </w:rPr>
        <w:t>.</w:t>
      </w:r>
    </w:p>
    <w:p w14:paraId="23817043" w14:textId="51BABE17" w:rsidR="00E84102" w:rsidRDefault="00E84102" w:rsidP="00E84102">
      <w:pPr>
        <w:spacing w:after="120" w:line="360" w:lineRule="auto"/>
        <w:ind w:left="720" w:hanging="720"/>
        <w:jc w:val="both"/>
        <w:rPr>
          <w:rFonts w:ascii="Arial" w:hAnsi="Arial"/>
          <w:rtl/>
        </w:rPr>
      </w:pPr>
      <w:r>
        <w:rPr>
          <w:rFonts w:ascii="Arial" w:hAnsi="Arial"/>
          <w:rtl/>
        </w:rPr>
        <w:tab/>
      </w:r>
      <w:r>
        <w:rPr>
          <w:rFonts w:ascii="Arial" w:hAnsi="Arial" w:hint="cs"/>
          <w:rtl/>
        </w:rPr>
        <w:t>לא נקבע דבר בהחלטה מיום 28.11.24 לעניין נשיאת המבקש בדמי המדור עבור הקטין ה</w:t>
      </w:r>
      <w:r w:rsidR="00370E71">
        <w:rPr>
          <w:rFonts w:ascii="Arial" w:hAnsi="Arial" w:hint="cs"/>
          <w:rtl/>
        </w:rPr>
        <w:t>'</w:t>
      </w:r>
      <w:r>
        <w:rPr>
          <w:rFonts w:ascii="Arial" w:hAnsi="Arial" w:hint="cs"/>
          <w:rtl/>
        </w:rPr>
        <w:t>, נשיאתו במזונות הקטינים עבור חודשי יולי-אוגוסט 2024 או עיקול משכורתו של המבקש, ושאר טענותיו שהועלו בבקשתו קמא מיום 21.1.25. כך שלא ניתן לומר, כי בית המשפט קמא הפך את החלטתו בנושאים בהם כלל לא פסק.</w:t>
      </w:r>
    </w:p>
    <w:p w14:paraId="37BC87D1" w14:textId="0747C521" w:rsidR="00E84102" w:rsidRDefault="00E84102" w:rsidP="00E84102">
      <w:pPr>
        <w:spacing w:after="120" w:line="360" w:lineRule="auto"/>
        <w:ind w:left="720" w:hanging="720"/>
        <w:jc w:val="both"/>
        <w:rPr>
          <w:rFonts w:ascii="Arial" w:hAnsi="Arial"/>
          <w:rtl/>
        </w:rPr>
      </w:pPr>
      <w:r>
        <w:rPr>
          <w:rFonts w:ascii="Arial" w:hAnsi="Arial" w:hint="cs"/>
          <w:rtl/>
        </w:rPr>
        <w:t>24.</w:t>
      </w:r>
      <w:r>
        <w:rPr>
          <w:rFonts w:ascii="Arial" w:hAnsi="Arial"/>
          <w:rtl/>
        </w:rPr>
        <w:tab/>
      </w:r>
      <w:r>
        <w:rPr>
          <w:rFonts w:ascii="Arial" w:hAnsi="Arial" w:hint="cs"/>
          <w:rtl/>
        </w:rPr>
        <w:t>במצב דברים זה לא מצאתי להתערב בקביעה מקביעות ההחלטה קמא מיום 19.2.25. ההחלטה נומקה כדבעי על כל מרכיביה ונימוקיה מקובלים עלי. לא שוכנעתי אף מטענת המבקש, לפיה דמי המזונות והמדור כרוכים יחדיו, בכל הקשור לחיובו במדור הקטין ה</w:t>
      </w:r>
      <w:r w:rsidR="00370E71">
        <w:rPr>
          <w:rFonts w:ascii="Arial" w:hAnsi="Arial" w:hint="cs"/>
          <w:rtl/>
        </w:rPr>
        <w:t>'</w:t>
      </w:r>
      <w:r>
        <w:rPr>
          <w:rFonts w:ascii="Arial" w:hAnsi="Arial" w:hint="cs"/>
          <w:rtl/>
        </w:rPr>
        <w:t xml:space="preserve">. רכיב זה נדון ונומק בהחלטה קמא, ולא מצאתי בנימוקים אלה מתום.  </w:t>
      </w:r>
    </w:p>
    <w:p w14:paraId="56B32FB8" w14:textId="77777777" w:rsidR="00E84102" w:rsidRDefault="00E84102" w:rsidP="00E84102">
      <w:pPr>
        <w:spacing w:after="120" w:line="360" w:lineRule="auto"/>
        <w:ind w:left="720" w:hanging="720"/>
        <w:jc w:val="both"/>
        <w:rPr>
          <w:rFonts w:ascii="Arial" w:hAnsi="Arial"/>
          <w:rtl/>
        </w:rPr>
      </w:pPr>
      <w:r>
        <w:rPr>
          <w:rFonts w:ascii="Arial" w:hAnsi="Arial" w:hint="cs"/>
          <w:rtl/>
        </w:rPr>
        <w:t>25.</w:t>
      </w:r>
      <w:r>
        <w:rPr>
          <w:rFonts w:ascii="Arial" w:hAnsi="Arial"/>
          <w:rtl/>
        </w:rPr>
        <w:tab/>
      </w:r>
      <w:r w:rsidRPr="00CE0573">
        <w:rPr>
          <w:rFonts w:ascii="Arial" w:hAnsi="Arial" w:hint="cs"/>
          <w:b/>
          <w:bCs/>
          <w:rtl/>
        </w:rPr>
        <w:t>בכל הקשור להחלטה קמא מיום 2.3.25, גם לא מצאתי מקום להתערב</w:t>
      </w:r>
      <w:r>
        <w:rPr>
          <w:rFonts w:ascii="Arial" w:hAnsi="Arial" w:hint="cs"/>
          <w:rtl/>
        </w:rPr>
        <w:t xml:space="preserve">. עסקינן ברכיב בהחלטה שניתנה בסוף דיון שהתקיים במעמד הצדדים, אשר נשמעו באריכות בפני בית משפט קמא. נימוקי בית משפט קמא, לדחיית בקשת המבקש למתן </w:t>
      </w:r>
      <w:r w:rsidRPr="00DD59A6">
        <w:rPr>
          <w:rFonts w:ascii="Arial" w:hAnsi="Arial"/>
          <w:rtl/>
        </w:rPr>
        <w:t xml:space="preserve">צו </w:t>
      </w:r>
      <w:r>
        <w:rPr>
          <w:rFonts w:ascii="Arial" w:hAnsi="Arial" w:hint="cs"/>
          <w:rtl/>
        </w:rPr>
        <w:t xml:space="preserve">בעניין המשיבה, </w:t>
      </w:r>
      <w:r w:rsidRPr="00DD59A6">
        <w:rPr>
          <w:rFonts w:ascii="Arial" w:hAnsi="Arial"/>
          <w:rtl/>
        </w:rPr>
        <w:t xml:space="preserve">המורה </w:t>
      </w:r>
      <w:r>
        <w:rPr>
          <w:rFonts w:ascii="Arial" w:hAnsi="Arial" w:hint="cs"/>
          <w:rtl/>
        </w:rPr>
        <w:t>ל</w:t>
      </w:r>
      <w:r w:rsidRPr="00DD59A6">
        <w:rPr>
          <w:rFonts w:ascii="Arial" w:hAnsi="Arial"/>
          <w:rtl/>
        </w:rPr>
        <w:t xml:space="preserve">רשות האוכלוסין </w:t>
      </w:r>
      <w:r>
        <w:rPr>
          <w:rFonts w:ascii="Arial" w:hAnsi="Arial" w:hint="cs"/>
          <w:rtl/>
        </w:rPr>
        <w:t xml:space="preserve">להציג את </w:t>
      </w:r>
      <w:r w:rsidRPr="00DD59A6">
        <w:rPr>
          <w:rFonts w:ascii="Arial" w:hAnsi="Arial"/>
          <w:rtl/>
        </w:rPr>
        <w:t>כניסותיה ויציאותיה מהארץ, היעדים והמועדים</w:t>
      </w:r>
      <w:r>
        <w:rPr>
          <w:rFonts w:ascii="Arial" w:hAnsi="Arial" w:hint="cs"/>
          <w:rtl/>
        </w:rPr>
        <w:t xml:space="preserve"> </w:t>
      </w:r>
      <w:r>
        <w:rPr>
          <w:rFonts w:ascii="Arial" w:hAnsi="Arial"/>
          <w:rtl/>
        </w:rPr>
        <w:t>–</w:t>
      </w:r>
      <w:r>
        <w:rPr>
          <w:rFonts w:ascii="Arial" w:hAnsi="Arial" w:hint="cs"/>
          <w:rtl/>
        </w:rPr>
        <w:t xml:space="preserve"> מקובלים עליי</w:t>
      </w:r>
      <w:r w:rsidRPr="00DD59A6">
        <w:rPr>
          <w:rFonts w:ascii="Arial" w:hAnsi="Arial"/>
          <w:rtl/>
        </w:rPr>
        <w:t>.</w:t>
      </w:r>
      <w:r>
        <w:rPr>
          <w:rFonts w:ascii="Arial" w:hAnsi="Arial" w:hint="cs"/>
          <w:rtl/>
        </w:rPr>
        <w:t xml:space="preserve"> </w:t>
      </w:r>
    </w:p>
    <w:p w14:paraId="333A9B08" w14:textId="77777777" w:rsidR="00E84102" w:rsidRDefault="00E84102" w:rsidP="00E84102">
      <w:pPr>
        <w:spacing w:after="120" w:line="360" w:lineRule="auto"/>
        <w:ind w:left="720"/>
        <w:jc w:val="both"/>
        <w:rPr>
          <w:rFonts w:ascii="David" w:hAnsi="David"/>
          <w:rtl/>
        </w:rPr>
      </w:pPr>
      <w:r>
        <w:rPr>
          <w:rFonts w:ascii="David" w:hAnsi="David" w:hint="cs"/>
          <w:rtl/>
        </w:rPr>
        <w:t xml:space="preserve">יצוין כי מדובר בהחלטה דיונית, לגביה </w:t>
      </w:r>
      <w:r>
        <w:rPr>
          <w:rFonts w:ascii="David" w:hAnsi="David"/>
          <w:rtl/>
        </w:rPr>
        <w:t>נאמר לא אחת בפסיקה, כי בהחלטות דיוניות כאמור, לערכאה המבררת נתון שיקול דעת רחב, וערכאת הערעור ממעטת להתערב; התערבות בהחלטות מעין אלו שמורה למקרים חריגים בלבד</w:t>
      </w:r>
      <w:r>
        <w:rPr>
          <w:rFonts w:ascii="David" w:hAnsi="David" w:hint="cs"/>
          <w:rtl/>
        </w:rPr>
        <w:t xml:space="preserve">, והמקרה דנן אינו כזה </w:t>
      </w:r>
      <w:r>
        <w:rPr>
          <w:rFonts w:ascii="Arial" w:hAnsi="Arial" w:hint="cs"/>
          <w:rtl/>
        </w:rPr>
        <w:t xml:space="preserve">[ראו לעניין זה למשל: </w:t>
      </w:r>
      <w:r>
        <w:rPr>
          <w:rFonts w:ascii="David" w:hAnsi="David"/>
          <w:rtl/>
        </w:rPr>
        <w:t xml:space="preserve">רע"א 1377/21 </w:t>
      </w:r>
      <w:r>
        <w:rPr>
          <w:rFonts w:ascii="David" w:hAnsi="David"/>
          <w:b/>
          <w:bCs/>
          <w:rtl/>
        </w:rPr>
        <w:t>‏סיאט כרמל סחר יבוא ויצוא בע"מ נ' אורית פלד</w:t>
      </w:r>
      <w:r>
        <w:rPr>
          <w:rFonts w:ascii="David" w:hAnsi="David"/>
          <w:rtl/>
        </w:rPr>
        <w:t xml:space="preserve"> (10.6.21</w:t>
      </w:r>
      <w:r>
        <w:rPr>
          <w:rFonts w:ascii="David" w:hAnsi="David" w:hint="cs"/>
          <w:rtl/>
        </w:rPr>
        <w:t>)].</w:t>
      </w:r>
    </w:p>
    <w:p w14:paraId="6A5A5F0A" w14:textId="77777777" w:rsidR="00E84102" w:rsidRPr="005773AB" w:rsidRDefault="00E84102" w:rsidP="00E84102">
      <w:pPr>
        <w:spacing w:after="120" w:line="360" w:lineRule="auto"/>
        <w:ind w:left="720" w:hanging="720"/>
        <w:jc w:val="both"/>
        <w:rPr>
          <w:rFonts w:ascii="Century" w:hAnsi="Century"/>
          <w:rtl/>
        </w:rPr>
      </w:pPr>
      <w:r>
        <w:rPr>
          <w:rFonts w:ascii="David" w:hAnsi="David" w:hint="cs"/>
          <w:rtl/>
        </w:rPr>
        <w:t>26.</w:t>
      </w:r>
      <w:r>
        <w:rPr>
          <w:rFonts w:ascii="David" w:hAnsi="David"/>
          <w:rtl/>
        </w:rPr>
        <w:tab/>
      </w:r>
      <w:r>
        <w:rPr>
          <w:rFonts w:ascii="David" w:hAnsi="David" w:hint="cs"/>
          <w:rtl/>
        </w:rPr>
        <w:t xml:space="preserve">בנימוקי בקשת רשות הערעור ציין המבקש כי </w:t>
      </w:r>
      <w:r>
        <w:rPr>
          <w:rFonts w:ascii="Arial" w:hAnsi="Arial" w:hint="cs"/>
          <w:rtl/>
        </w:rPr>
        <w:t>ביקש</w:t>
      </w:r>
      <w:r w:rsidRPr="00DD59A6">
        <w:rPr>
          <w:rFonts w:ascii="Arial" w:hAnsi="Arial"/>
          <w:rtl/>
        </w:rPr>
        <w:t xml:space="preserve"> מב</w:t>
      </w:r>
      <w:r>
        <w:rPr>
          <w:rFonts w:ascii="Arial" w:hAnsi="Arial" w:hint="cs"/>
          <w:rtl/>
        </w:rPr>
        <w:t>ית משפט</w:t>
      </w:r>
      <w:r w:rsidRPr="00DD59A6">
        <w:rPr>
          <w:rFonts w:ascii="Arial" w:hAnsi="Arial"/>
          <w:rtl/>
        </w:rPr>
        <w:t xml:space="preserve"> קמא ביום 2.3.25, צו לגילוי מסמכים בו ניתן לראות כל תלושי שכרה של </w:t>
      </w:r>
      <w:r>
        <w:rPr>
          <w:rFonts w:ascii="Arial" w:hAnsi="Arial" w:hint="cs"/>
          <w:rtl/>
        </w:rPr>
        <w:t>המשיבה</w:t>
      </w:r>
      <w:r w:rsidRPr="00DD59A6">
        <w:rPr>
          <w:rFonts w:ascii="Arial" w:hAnsi="Arial"/>
          <w:rtl/>
        </w:rPr>
        <w:t xml:space="preserve"> לעבר</w:t>
      </w:r>
      <w:r>
        <w:rPr>
          <w:rFonts w:ascii="Arial" w:hAnsi="Arial" w:hint="cs"/>
          <w:rtl/>
        </w:rPr>
        <w:t xml:space="preserve"> ו</w:t>
      </w:r>
      <w:r w:rsidRPr="00DD59A6">
        <w:rPr>
          <w:rFonts w:ascii="Arial" w:hAnsi="Arial"/>
          <w:rtl/>
        </w:rPr>
        <w:t>מצבה בחשבון</w:t>
      </w:r>
      <w:r>
        <w:rPr>
          <w:rFonts w:ascii="Arial" w:hAnsi="Arial" w:hint="cs"/>
          <w:rtl/>
        </w:rPr>
        <w:t>, בקשתו נדחתה</w:t>
      </w:r>
      <w:r>
        <w:rPr>
          <w:rFonts w:ascii="David" w:hAnsi="David" w:hint="cs"/>
          <w:rtl/>
        </w:rPr>
        <w:t xml:space="preserve"> והוא מבקש להשיג אף בנקודה זו. יצוין כי לא ראיתי כל בקשה כזו בכתב בתיק קמא; ייתכן שהמבקש התכוון כי נושא זה עלה בדיון בעל פה בפני בית משפט קמא; במצב דברים זה אין מקום להתערבות ערכאת הערעור.</w:t>
      </w:r>
      <w:r>
        <w:rPr>
          <w:rFonts w:ascii="Century" w:hAnsi="Century" w:hint="cs"/>
          <w:rtl/>
        </w:rPr>
        <w:t xml:space="preserve"> אין בכך בכדי למנוע מהמבקש להגיש בקשה נפרדת, חדשה בנדון לבית משפט קמא. </w:t>
      </w:r>
    </w:p>
    <w:p w14:paraId="27FCFA5F" w14:textId="77777777" w:rsidR="00E84102" w:rsidRDefault="00E84102" w:rsidP="00E84102">
      <w:pPr>
        <w:spacing w:after="120" w:line="360" w:lineRule="auto"/>
        <w:ind w:left="720" w:hanging="720"/>
        <w:jc w:val="both"/>
        <w:rPr>
          <w:rFonts w:ascii="Arial" w:hAnsi="Arial"/>
          <w:b/>
          <w:bCs/>
          <w:u w:val="single"/>
          <w:rtl/>
        </w:rPr>
      </w:pPr>
      <w:r>
        <w:rPr>
          <w:rFonts w:ascii="David" w:hAnsi="David"/>
          <w:rtl/>
        </w:rPr>
        <w:lastRenderedPageBreak/>
        <w:t xml:space="preserve"> </w:t>
      </w:r>
      <w:r>
        <w:rPr>
          <w:rFonts w:ascii="Arial" w:hAnsi="Arial"/>
          <w:b/>
          <w:bCs/>
          <w:u w:val="single"/>
          <w:rtl/>
        </w:rPr>
        <w:t>סוף דבר</w:t>
      </w:r>
    </w:p>
    <w:p w14:paraId="2F1DCC07" w14:textId="77777777" w:rsidR="00E84102" w:rsidRDefault="00E84102" w:rsidP="00E84102">
      <w:pPr>
        <w:spacing w:after="120" w:line="360" w:lineRule="auto"/>
        <w:rPr>
          <w:rFonts w:ascii="Arial" w:hAnsi="Arial"/>
          <w:rtl/>
        </w:rPr>
      </w:pPr>
      <w:r>
        <w:rPr>
          <w:rFonts w:ascii="Arial" w:hAnsi="Arial" w:hint="cs"/>
          <w:rtl/>
        </w:rPr>
        <w:t>27</w:t>
      </w:r>
      <w:r>
        <w:rPr>
          <w:rFonts w:ascii="Arial" w:hAnsi="Arial"/>
          <w:rtl/>
        </w:rPr>
        <w:t>.</w:t>
      </w:r>
      <w:r>
        <w:rPr>
          <w:rFonts w:ascii="Arial" w:hAnsi="Arial"/>
          <w:rtl/>
        </w:rPr>
        <w:tab/>
      </w:r>
      <w:r>
        <w:rPr>
          <w:rFonts w:ascii="Arial" w:hAnsi="Arial"/>
          <w:b/>
          <w:bCs/>
          <w:rtl/>
        </w:rPr>
        <w:t>לאור כל האמור לעיל אני מורה על דחיית בקשת רשות הערעור</w:t>
      </w:r>
      <w:r>
        <w:rPr>
          <w:rFonts w:ascii="Arial" w:hAnsi="Arial" w:hint="cs"/>
          <w:b/>
          <w:bCs/>
          <w:rtl/>
        </w:rPr>
        <w:t xml:space="preserve"> על שני מרכיביה</w:t>
      </w:r>
      <w:r>
        <w:rPr>
          <w:rFonts w:ascii="Arial" w:hAnsi="Arial"/>
          <w:b/>
          <w:bCs/>
          <w:rtl/>
        </w:rPr>
        <w:t>.</w:t>
      </w:r>
    </w:p>
    <w:p w14:paraId="25290741" w14:textId="77777777" w:rsidR="00E84102" w:rsidRDefault="00E84102" w:rsidP="00E84102">
      <w:pPr>
        <w:spacing w:after="240" w:line="360" w:lineRule="auto"/>
        <w:ind w:left="720" w:hanging="720"/>
        <w:jc w:val="both"/>
        <w:rPr>
          <w:rFonts w:ascii="Arial" w:hAnsi="Arial"/>
          <w:b/>
          <w:bCs/>
          <w:rtl/>
        </w:rPr>
      </w:pPr>
      <w:r>
        <w:rPr>
          <w:rFonts w:ascii="Arial" w:hAnsi="Arial" w:hint="cs"/>
          <w:rtl/>
        </w:rPr>
        <w:t>28</w:t>
      </w:r>
      <w:r>
        <w:rPr>
          <w:rFonts w:ascii="Arial" w:hAnsi="Arial"/>
          <w:rtl/>
        </w:rPr>
        <w:t>.</w:t>
      </w:r>
      <w:r>
        <w:rPr>
          <w:rFonts w:ascii="Arial" w:hAnsi="Arial"/>
          <w:rtl/>
        </w:rPr>
        <w:tab/>
        <w:t xml:space="preserve">משלא התבקשה תשובה, אין צו להוצאות. </w:t>
      </w:r>
      <w:r w:rsidRPr="001068C9">
        <w:rPr>
          <w:rFonts w:ascii="Arial" w:hAnsi="Arial" w:hint="cs"/>
          <w:rtl/>
        </w:rPr>
        <w:t>ערבון שהפקיד המבקש</w:t>
      </w:r>
      <w:r>
        <w:rPr>
          <w:rFonts w:ascii="Arial" w:hAnsi="Arial" w:hint="cs"/>
          <w:rtl/>
        </w:rPr>
        <w:t xml:space="preserve"> בתיק זה</w:t>
      </w:r>
      <w:r w:rsidRPr="001068C9">
        <w:rPr>
          <w:rFonts w:ascii="Arial" w:hAnsi="Arial" w:hint="cs"/>
          <w:rtl/>
        </w:rPr>
        <w:t xml:space="preserve"> יוחזר לו.</w:t>
      </w:r>
    </w:p>
    <w:p w14:paraId="320812DE" w14:textId="77777777" w:rsidR="00E84102" w:rsidRPr="00B95D6E" w:rsidRDefault="00E84102" w:rsidP="00E84102">
      <w:pPr>
        <w:spacing w:after="120" w:line="360" w:lineRule="auto"/>
        <w:jc w:val="both"/>
        <w:rPr>
          <w:rFonts w:ascii="Arial" w:hAnsi="Arial"/>
          <w:rtl/>
        </w:rPr>
      </w:pPr>
      <w:r>
        <w:rPr>
          <w:rFonts w:ascii="Arial" w:hAnsi="Arial"/>
          <w:b/>
          <w:bCs/>
          <w:rtl/>
        </w:rPr>
        <w:t>החלטה זאת מותרת לפרסום תוך השמטת שמות הצדדים וכל פרט מזהה אחר.</w:t>
      </w:r>
    </w:p>
    <w:p w14:paraId="7AC8A8B5" w14:textId="77777777" w:rsidR="00694556" w:rsidRPr="00B95D6E" w:rsidRDefault="00694556">
      <w:pPr>
        <w:spacing w:line="360" w:lineRule="auto"/>
        <w:jc w:val="both"/>
        <w:rPr>
          <w:rFonts w:ascii="Arial" w:hAnsi="Arial"/>
          <w:rtl/>
        </w:rPr>
      </w:pPr>
    </w:p>
    <w:p w14:paraId="7EFD34B1" w14:textId="77777777" w:rsidR="00694556" w:rsidRPr="00B95D6E" w:rsidRDefault="00694556">
      <w:pPr>
        <w:spacing w:line="360" w:lineRule="auto"/>
        <w:jc w:val="both"/>
        <w:rPr>
          <w:rFonts w:ascii="Arial" w:hAnsi="Arial"/>
          <w:rtl/>
        </w:rPr>
      </w:pPr>
    </w:p>
    <w:p w14:paraId="52DB5DC4" w14:textId="77777777" w:rsidR="00694556" w:rsidRPr="00B95D6E" w:rsidRDefault="00694556">
      <w:pPr>
        <w:spacing w:line="360" w:lineRule="auto"/>
        <w:jc w:val="both"/>
        <w:rPr>
          <w:rFonts w:ascii="Arial" w:hAnsi="Arial"/>
          <w:rtl/>
        </w:rPr>
      </w:pPr>
    </w:p>
    <w:p w14:paraId="44A8FE98" w14:textId="77777777" w:rsidR="00694556" w:rsidRPr="00B95D6E" w:rsidRDefault="00694556">
      <w:pPr>
        <w:spacing w:line="360" w:lineRule="auto"/>
        <w:jc w:val="both"/>
        <w:rPr>
          <w:rFonts w:ascii="Arial" w:hAnsi="Arial"/>
          <w:rtl/>
        </w:rPr>
      </w:pPr>
    </w:p>
    <w:p w14:paraId="223BF79E" w14:textId="77777777" w:rsidR="00694556" w:rsidRPr="00B95D6E" w:rsidRDefault="00694556">
      <w:pPr>
        <w:spacing w:line="360" w:lineRule="auto"/>
        <w:jc w:val="both"/>
        <w:rPr>
          <w:rFonts w:ascii="Arial" w:hAnsi="Arial"/>
          <w:rtl/>
        </w:rPr>
      </w:pPr>
    </w:p>
    <w:p w14:paraId="71973F8A" w14:textId="77777777" w:rsidR="00694556" w:rsidRDefault="0043502B">
      <w:pPr>
        <w:spacing w:line="360" w:lineRule="auto"/>
        <w:jc w:val="both"/>
        <w:rPr>
          <w:rFonts w:ascii="Arial" w:hAnsi="Arial"/>
          <w:rtl/>
        </w:rPr>
      </w:pPr>
      <w:r>
        <w:rPr>
          <w:rFonts w:ascii="Arial" w:hAnsi="Arial"/>
          <w:rtl/>
        </w:rPr>
        <w:t>נית</w:t>
      </w:r>
      <w:r>
        <w:rPr>
          <w:rFonts w:ascii="Arial" w:hAnsi="Arial" w:hint="cs"/>
          <w:rtl/>
        </w:rPr>
        <w:t>נה</w:t>
      </w:r>
      <w:r w:rsidR="00005C8B">
        <w:rPr>
          <w:rFonts w:ascii="Arial" w:hAnsi="Arial"/>
          <w:rtl/>
        </w:rPr>
        <w:t xml:space="preserve"> היום, </w:t>
      </w:r>
      <w:sdt>
        <w:sdtPr>
          <w:rPr>
            <w:rtl/>
          </w:rPr>
          <w:alias w:val="1455"/>
          <w:tag w:val="1455"/>
          <w:id w:val="1666048407"/>
          <w:text w:multiLine="1"/>
        </w:sdtPr>
        <w:sdtEndPr/>
        <w:sdtContent>
          <w:r>
            <w:rPr>
              <w:rFonts w:ascii="Arial" w:hAnsi="Arial"/>
              <w:rtl/>
            </w:rPr>
            <w:t>ז' אייר תשפ"ה</w:t>
          </w:r>
        </w:sdtContent>
      </w:sdt>
      <w:r w:rsidR="00005C8B">
        <w:rPr>
          <w:rFonts w:ascii="Arial" w:hAnsi="Arial"/>
          <w:rtl/>
        </w:rPr>
        <w:t xml:space="preserve">, </w:t>
      </w:r>
      <w:sdt>
        <w:sdtPr>
          <w:rPr>
            <w:rtl/>
          </w:rPr>
          <w:alias w:val="1456"/>
          <w:tag w:val="1456"/>
          <w:id w:val="-1186288958"/>
          <w:text w:multiLine="1"/>
        </w:sdtPr>
        <w:sdtEndPr/>
        <w:sdtContent>
          <w:r>
            <w:rPr>
              <w:rFonts w:ascii="Arial" w:hAnsi="Arial"/>
              <w:rtl/>
            </w:rPr>
            <w:t>05 מאי 2025</w:t>
          </w:r>
        </w:sdtContent>
      </w:sdt>
      <w:r w:rsidR="00005C8B">
        <w:rPr>
          <w:rFonts w:ascii="Arial" w:hAnsi="Arial"/>
          <w:rtl/>
        </w:rPr>
        <w:t>, בהעדר הצדדים.</w:t>
      </w:r>
    </w:p>
    <w:p w14:paraId="526D747D" w14:textId="77777777" w:rsidR="00C43648" w:rsidRDefault="000637C2"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14:paraId="4C1AB3DB" w14:textId="77777777"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286279267"/>
        </w:sdtPr>
        <w:sdtEndPr/>
        <w:sdtContent>
          <w:r w:rsidR="00C05FC7">
            <w:rPr>
              <w:noProof/>
            </w:rPr>
            <w:drawing>
              <wp:inline distT="0" distB="0" distL="0" distR="0" wp14:anchorId="448677FF" wp14:editId="75B64B3F">
                <wp:extent cx="1650492" cy="12070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stretch>
                          <a:fillRect/>
                        </a:stretch>
                      </pic:blipFill>
                      <pic:spPr>
                        <a:xfrm>
                          <a:off x="0" y="0"/>
                          <a:ext cx="1650492" cy="1207008"/>
                        </a:xfrm>
                        <a:prstGeom prst="rect">
                          <a:avLst/>
                        </a:prstGeom>
                      </pic:spPr>
                    </pic:pic>
                  </a:graphicData>
                </a:graphic>
              </wp:inline>
            </w:drawing>
          </w:r>
        </w:sdtContent>
      </w:sdt>
    </w:p>
    <w:p w14:paraId="3772A73C" w14:textId="77777777" w:rsidR="00694556" w:rsidRDefault="00694556" w:rsidP="00BD6531">
      <w:pPr>
        <w:tabs>
          <w:tab w:val="left" w:pos="2553"/>
        </w:tabs>
        <w:rPr>
          <w:rFonts w:ascii="Arial" w:hAnsi="Arial"/>
          <w:rtl/>
        </w:rPr>
      </w:pPr>
    </w:p>
    <w:sectPr w:rsidR="00694556" w:rsidSect="00E84102">
      <w:headerReference w:type="default" r:id="rId9"/>
      <w:footerReference w:type="default" r:id="rId10"/>
      <w:pgSz w:w="11907" w:h="16840" w:code="9"/>
      <w:pgMar w:top="1440" w:right="708" w:bottom="1440" w:left="1134"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408E1C" w14:textId="77777777" w:rsidR="00C05FC7" w:rsidRDefault="00C05FC7">
      <w:r>
        <w:separator/>
      </w:r>
    </w:p>
  </w:endnote>
  <w:endnote w:type="continuationSeparator" w:id="0">
    <w:p w14:paraId="14D4528D" w14:textId="77777777" w:rsidR="00C05FC7" w:rsidRDefault="00C05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Century">
    <w:panose1 w:val="02040604050505020304"/>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A0327" w14:textId="15FE961F" w:rsidR="00694556" w:rsidRPr="00E765F7" w:rsidRDefault="000C3B60">
    <w:pPr>
      <w:pStyle w:val="a4"/>
      <w:jc w:val="center"/>
      <w:rPr>
        <w:rStyle w:val="ab"/>
        <w:rFonts w:ascii="David" w:hAnsi="David"/>
      </w:rPr>
    </w:pPr>
    <w:r w:rsidRPr="00E765F7">
      <w:rPr>
        <w:rStyle w:val="ab"/>
        <w:rFonts w:ascii="David" w:hAnsi="David"/>
      </w:rPr>
      <w:fldChar w:fldCharType="begin"/>
    </w:r>
    <w:r w:rsidR="00005C8B" w:rsidRPr="00E765F7">
      <w:rPr>
        <w:rStyle w:val="ab"/>
        <w:rFonts w:ascii="David" w:hAnsi="David"/>
      </w:rPr>
      <w:instrText xml:space="preserve"> PAGE </w:instrText>
    </w:r>
    <w:r w:rsidRPr="00E765F7">
      <w:rPr>
        <w:rStyle w:val="ab"/>
        <w:rFonts w:ascii="David" w:hAnsi="David"/>
      </w:rPr>
      <w:fldChar w:fldCharType="separate"/>
    </w:r>
    <w:r w:rsidR="000637C2">
      <w:rPr>
        <w:rStyle w:val="ab"/>
        <w:rFonts w:ascii="David" w:hAnsi="David"/>
        <w:noProof/>
        <w:rtl/>
      </w:rPr>
      <w:t>1</w:t>
    </w:r>
    <w:r w:rsidRPr="00E765F7">
      <w:rPr>
        <w:rStyle w:val="ab"/>
        <w:rFonts w:ascii="David" w:hAnsi="David"/>
      </w:rPr>
      <w:fldChar w:fldCharType="end"/>
    </w:r>
    <w:r w:rsidR="00005C8B" w:rsidRPr="00E765F7">
      <w:rPr>
        <w:rStyle w:val="ab"/>
        <w:rFonts w:ascii="David" w:hAnsi="David"/>
        <w:rtl/>
      </w:rPr>
      <w:t xml:space="preserve"> מתוך </w:t>
    </w:r>
    <w:r w:rsidRPr="00E765F7">
      <w:rPr>
        <w:rStyle w:val="ab"/>
        <w:rFonts w:ascii="David" w:hAnsi="David"/>
      </w:rPr>
      <w:fldChar w:fldCharType="begin"/>
    </w:r>
    <w:r w:rsidR="00005C8B" w:rsidRPr="00E765F7">
      <w:rPr>
        <w:rStyle w:val="ab"/>
        <w:rFonts w:ascii="David" w:hAnsi="David"/>
      </w:rPr>
      <w:instrText xml:space="preserve"> NUMPAGES </w:instrText>
    </w:r>
    <w:r w:rsidRPr="00E765F7">
      <w:rPr>
        <w:rStyle w:val="ab"/>
        <w:rFonts w:ascii="David" w:hAnsi="David"/>
      </w:rPr>
      <w:fldChar w:fldCharType="separate"/>
    </w:r>
    <w:r w:rsidR="000637C2">
      <w:rPr>
        <w:rStyle w:val="ab"/>
        <w:rFonts w:ascii="David" w:hAnsi="David"/>
        <w:noProof/>
        <w:rtl/>
      </w:rPr>
      <w:t>9</w:t>
    </w:r>
    <w:r w:rsidRPr="00E765F7">
      <w:rPr>
        <w:rStyle w:val="ab"/>
        <w:rFonts w:ascii="David" w:hAnsi="Dav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DE555E" w14:textId="77777777" w:rsidR="00C05FC7" w:rsidRDefault="00C05FC7">
      <w:r>
        <w:separator/>
      </w:r>
    </w:p>
  </w:footnote>
  <w:footnote w:type="continuationSeparator" w:id="0">
    <w:p w14:paraId="70E50F59" w14:textId="77777777" w:rsidR="00C05FC7" w:rsidRDefault="00C05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86E59" w14:textId="1C4650EE" w:rsidR="00694556" w:rsidRDefault="00DC1259">
    <w:pPr>
      <w:pStyle w:val="a3"/>
      <w:jc w:val="center"/>
      <w:rPr>
        <w:rFonts w:cs="FrankRuehl"/>
        <w:sz w:val="28"/>
        <w:szCs w:val="28"/>
        <w:rtl/>
      </w:rPr>
    </w:pPr>
    <w:r>
      <w:rPr>
        <w:rFonts w:cs="FrankRuehl"/>
        <w:noProof/>
        <w:sz w:val="28"/>
        <w:szCs w:val="28"/>
      </w:rPr>
      <w:drawing>
        <wp:inline distT="0" distB="0" distL="0" distR="0" wp14:anchorId="5C057DE3" wp14:editId="59BB602E">
          <wp:extent cx="374015" cy="469265"/>
          <wp:effectExtent l="0" t="0" r="6985" b="6985"/>
          <wp:docPr id="18"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5047"/>
      <w:gridCol w:w="3674"/>
    </w:tblGrid>
    <w:tr w:rsidR="00694556" w14:paraId="270076C5" w14:textId="77777777"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14:paraId="532E019B" w14:textId="77777777" w:rsidR="00694556" w:rsidRPr="00F038D8" w:rsidRDefault="003D1C8C" w:rsidP="003230C7">
              <w:pPr>
                <w:pStyle w:val="a3"/>
                <w:jc w:val="center"/>
                <w:rPr>
                  <w:rFonts w:ascii="Tahoma" w:hAnsi="Tahoma"/>
                  <w:color w:val="000080"/>
                  <w:sz w:val="32"/>
                  <w:szCs w:val="32"/>
                  <w:rtl/>
                </w:rPr>
              </w:pPr>
              <w:r w:rsidRPr="00F038D8">
                <w:rPr>
                  <w:rFonts w:ascii="Tahoma" w:hAnsi="Tahoma"/>
                  <w:color w:val="000080"/>
                  <w:sz w:val="32"/>
                  <w:szCs w:val="32"/>
                  <w:rtl/>
                </w:rPr>
                <w:t>בית המשפט המחוזי בחיפה בשבתו כבית-משפט לערעורים אזרחיים</w:t>
              </w:r>
            </w:p>
          </w:tc>
        </w:sdtContent>
      </w:sdt>
    </w:tr>
    <w:tr w:rsidR="00694556" w14:paraId="7342A08C" w14:textId="77777777">
      <w:trPr>
        <w:trHeight w:val="337"/>
        <w:jc w:val="center"/>
      </w:trPr>
      <w:tc>
        <w:tcPr>
          <w:tcW w:w="5047" w:type="dxa"/>
        </w:tcPr>
        <w:p w14:paraId="57D926C7" w14:textId="77777777" w:rsidR="00694556" w:rsidRDefault="00694556">
          <w:pPr>
            <w:rPr>
              <w:b/>
              <w:bCs/>
              <w:sz w:val="26"/>
              <w:szCs w:val="26"/>
              <w:rtl/>
            </w:rPr>
          </w:pPr>
        </w:p>
      </w:tc>
      <w:tc>
        <w:tcPr>
          <w:tcW w:w="3674" w:type="dxa"/>
        </w:tcPr>
        <w:p w14:paraId="40B17783" w14:textId="77777777" w:rsidR="00694556" w:rsidRDefault="00694556">
          <w:pPr>
            <w:pStyle w:val="a3"/>
            <w:jc w:val="right"/>
            <w:rPr>
              <w:b/>
              <w:bCs/>
              <w:sz w:val="26"/>
              <w:szCs w:val="26"/>
              <w:rtl/>
            </w:rPr>
          </w:pPr>
        </w:p>
      </w:tc>
    </w:tr>
    <w:tr w:rsidR="00694556" w14:paraId="76A50047" w14:textId="77777777">
      <w:trPr>
        <w:trHeight w:val="337"/>
        <w:jc w:val="center"/>
      </w:trPr>
      <w:tc>
        <w:tcPr>
          <w:tcW w:w="8721" w:type="dxa"/>
          <w:gridSpan w:val="2"/>
        </w:tcPr>
        <w:p w14:paraId="5E161165" w14:textId="4CD93408" w:rsidR="00E84102" w:rsidRPr="00E84102" w:rsidRDefault="000637C2" w:rsidP="00E84102">
          <w:pPr>
            <w:rPr>
              <w:b/>
              <w:bCs/>
              <w:sz w:val="26"/>
              <w:szCs w:val="26"/>
            </w:rPr>
          </w:pPr>
          <w:sdt>
            <w:sdtPr>
              <w:rPr>
                <w:rtl/>
              </w:rPr>
              <w:alias w:val="1170"/>
              <w:tag w:val="1170"/>
              <w:id w:val="1066377040"/>
              <w:text w:multiLine="1"/>
            </w:sdtPr>
            <w:sdtEndPr/>
            <w:sdtContent>
              <w:proofErr w:type="spellStart"/>
              <w:r w:rsidR="00E765F7">
                <w:rPr>
                  <w:b/>
                  <w:bCs/>
                  <w:sz w:val="26"/>
                  <w:szCs w:val="26"/>
                  <w:rtl/>
                </w:rPr>
                <w:t>רמ"ש</w:t>
              </w:r>
              <w:proofErr w:type="spellEnd"/>
            </w:sdtContent>
          </w:sdt>
          <w:r w:rsidR="00005C8B">
            <w:rPr>
              <w:b/>
              <w:bCs/>
              <w:sz w:val="26"/>
              <w:szCs w:val="26"/>
              <w:rtl/>
            </w:rPr>
            <w:t xml:space="preserve"> </w:t>
          </w:r>
          <w:sdt>
            <w:sdtPr>
              <w:rPr>
                <w:rtl/>
              </w:rPr>
              <w:alias w:val="1171"/>
              <w:tag w:val="1171"/>
              <w:id w:val="257034231"/>
              <w:text w:multiLine="1"/>
            </w:sdtPr>
            <w:sdtEndPr/>
            <w:sdtContent>
              <w:r w:rsidR="00E765F7">
                <w:rPr>
                  <w:b/>
                  <w:bCs/>
                  <w:sz w:val="26"/>
                  <w:szCs w:val="26"/>
                  <w:rtl/>
                </w:rPr>
                <w:t>53737-03-25</w:t>
              </w:r>
            </w:sdtContent>
          </w:sdt>
          <w:r w:rsidR="00005C8B">
            <w:rPr>
              <w:b/>
              <w:bCs/>
              <w:sz w:val="26"/>
              <w:szCs w:val="26"/>
              <w:rtl/>
            </w:rPr>
            <w:t xml:space="preserve"> </w:t>
          </w:r>
          <w:sdt>
            <w:sdtPr>
              <w:rPr>
                <w:b/>
                <w:bCs/>
                <w:sz w:val="26"/>
                <w:szCs w:val="26"/>
                <w:rtl/>
              </w:rPr>
              <w:alias w:val="3154"/>
              <w:tag w:val="3154"/>
              <w:id w:val="-1714497037"/>
              <w:placeholder>
                <w:docPart w:val="4672CCA166BA4F0A892EB1D7BA0002CB"/>
              </w:placeholder>
              <w:text w:multiLine="1"/>
            </w:sdtPr>
            <w:sdtEndPr/>
            <w:sdtContent>
              <w:r w:rsidR="007E2284">
                <w:rPr>
                  <w:rFonts w:hint="cs"/>
                  <w:b/>
                  <w:bCs/>
                  <w:sz w:val="26"/>
                  <w:szCs w:val="26"/>
                  <w:rtl/>
                </w:rPr>
                <w:t>המבקש</w:t>
              </w:r>
              <w:r w:rsidR="00E765F7">
                <w:rPr>
                  <w:b/>
                  <w:bCs/>
                  <w:sz w:val="26"/>
                  <w:szCs w:val="26"/>
                  <w:rtl/>
                </w:rPr>
                <w:t xml:space="preserve"> נ' </w:t>
              </w:r>
              <w:r w:rsidR="007E2284">
                <w:rPr>
                  <w:rFonts w:hint="cs"/>
                  <w:b/>
                  <w:bCs/>
                  <w:sz w:val="26"/>
                  <w:szCs w:val="26"/>
                  <w:rtl/>
                </w:rPr>
                <w:t>המשיבה</w:t>
              </w:r>
            </w:sdtContent>
          </w:sdt>
        </w:p>
        <w:p w14:paraId="0FA63752" w14:textId="77777777" w:rsidR="008D10B2" w:rsidRPr="00E1068A" w:rsidRDefault="008D10B2" w:rsidP="007D45E3">
          <w:pPr>
            <w:rPr>
              <w:sz w:val="20"/>
              <w:szCs w:val="20"/>
              <w:rtl/>
            </w:rPr>
          </w:pPr>
        </w:p>
      </w:tc>
    </w:tr>
  </w:tbl>
  <w:p w14:paraId="3308AC8A" w14:textId="77777777" w:rsidR="00694556" w:rsidRDefault="00005C8B">
    <w:pPr>
      <w:pStyle w:val="a3"/>
      <w:rPr>
        <w:rtl/>
      </w:rPr>
    </w:pPr>
    <w:r>
      <w:rPr>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E7BFD"/>
    <w:multiLevelType w:val="hybridMultilevel"/>
    <w:tmpl w:val="928A3FB6"/>
    <w:lvl w:ilvl="0" w:tplc="D44E6D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C1304"/>
    <w:multiLevelType w:val="hybridMultilevel"/>
    <w:tmpl w:val="5BEA86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FBF77B2"/>
    <w:multiLevelType w:val="hybridMultilevel"/>
    <w:tmpl w:val="90324464"/>
    <w:lvl w:ilvl="0" w:tplc="848096EE">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7C0009F"/>
    <w:multiLevelType w:val="hybridMultilevel"/>
    <w:tmpl w:val="24041F50"/>
    <w:lvl w:ilvl="0" w:tplc="FC8C0CD8">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3796"/>
    <w:rsid w:val="00005C8B"/>
    <w:rsid w:val="00007DE0"/>
    <w:rsid w:val="000346CC"/>
    <w:rsid w:val="000529D2"/>
    <w:rsid w:val="000564AB"/>
    <w:rsid w:val="000637C2"/>
    <w:rsid w:val="00064FBD"/>
    <w:rsid w:val="00082AB2"/>
    <w:rsid w:val="000906FE"/>
    <w:rsid w:val="00096AF7"/>
    <w:rsid w:val="000B344B"/>
    <w:rsid w:val="000C3B0F"/>
    <w:rsid w:val="000C3B60"/>
    <w:rsid w:val="000E0DD2"/>
    <w:rsid w:val="000E154F"/>
    <w:rsid w:val="000E3AF1"/>
    <w:rsid w:val="000E7253"/>
    <w:rsid w:val="000F0BC8"/>
    <w:rsid w:val="000F0DD6"/>
    <w:rsid w:val="00107E6D"/>
    <w:rsid w:val="0011194C"/>
    <w:rsid w:val="0011424C"/>
    <w:rsid w:val="001173C6"/>
    <w:rsid w:val="001367BC"/>
    <w:rsid w:val="00144D2A"/>
    <w:rsid w:val="0014653E"/>
    <w:rsid w:val="00180519"/>
    <w:rsid w:val="00191C82"/>
    <w:rsid w:val="001C4003"/>
    <w:rsid w:val="001D4DBF"/>
    <w:rsid w:val="001E75CA"/>
    <w:rsid w:val="002265FF"/>
    <w:rsid w:val="00235B97"/>
    <w:rsid w:val="00271B56"/>
    <w:rsid w:val="002C344E"/>
    <w:rsid w:val="002E75E9"/>
    <w:rsid w:val="002F0B1E"/>
    <w:rsid w:val="00307A6A"/>
    <w:rsid w:val="00307C40"/>
    <w:rsid w:val="00320433"/>
    <w:rsid w:val="003230C7"/>
    <w:rsid w:val="00327E50"/>
    <w:rsid w:val="0033597A"/>
    <w:rsid w:val="00343D89"/>
    <w:rsid w:val="00362612"/>
    <w:rsid w:val="0036743F"/>
    <w:rsid w:val="00370E71"/>
    <w:rsid w:val="003715DD"/>
    <w:rsid w:val="00380215"/>
    <w:rsid w:val="003823E0"/>
    <w:rsid w:val="003A4521"/>
    <w:rsid w:val="003B3E8D"/>
    <w:rsid w:val="003D1C8C"/>
    <w:rsid w:val="0040096C"/>
    <w:rsid w:val="00414F1F"/>
    <w:rsid w:val="0043125D"/>
    <w:rsid w:val="0043502B"/>
    <w:rsid w:val="004443AC"/>
    <w:rsid w:val="00444B02"/>
    <w:rsid w:val="00451E28"/>
    <w:rsid w:val="004549C7"/>
    <w:rsid w:val="00462C62"/>
    <w:rsid w:val="00465D36"/>
    <w:rsid w:val="004C17EE"/>
    <w:rsid w:val="004C4BDF"/>
    <w:rsid w:val="004D1187"/>
    <w:rsid w:val="004D3AA0"/>
    <w:rsid w:val="004E1987"/>
    <w:rsid w:val="004E2E15"/>
    <w:rsid w:val="004E6E3C"/>
    <w:rsid w:val="00511B90"/>
    <w:rsid w:val="00520898"/>
    <w:rsid w:val="00523621"/>
    <w:rsid w:val="00524986"/>
    <w:rsid w:val="005268F6"/>
    <w:rsid w:val="0053255C"/>
    <w:rsid w:val="00534284"/>
    <w:rsid w:val="00547DB7"/>
    <w:rsid w:val="00583430"/>
    <w:rsid w:val="005C0627"/>
    <w:rsid w:val="005F4F09"/>
    <w:rsid w:val="0061431B"/>
    <w:rsid w:val="00622BAA"/>
    <w:rsid w:val="006306CF"/>
    <w:rsid w:val="006318D8"/>
    <w:rsid w:val="00644E9A"/>
    <w:rsid w:val="00671BD5"/>
    <w:rsid w:val="006805C1"/>
    <w:rsid w:val="00686C21"/>
    <w:rsid w:val="006931C1"/>
    <w:rsid w:val="00694556"/>
    <w:rsid w:val="006B7258"/>
    <w:rsid w:val="006C30C5"/>
    <w:rsid w:val="006D3B31"/>
    <w:rsid w:val="006E0D96"/>
    <w:rsid w:val="006E1A53"/>
    <w:rsid w:val="006F56E6"/>
    <w:rsid w:val="00704EDA"/>
    <w:rsid w:val="00721122"/>
    <w:rsid w:val="00734689"/>
    <w:rsid w:val="00740F30"/>
    <w:rsid w:val="00753019"/>
    <w:rsid w:val="00754801"/>
    <w:rsid w:val="00761441"/>
    <w:rsid w:val="00795365"/>
    <w:rsid w:val="007A351D"/>
    <w:rsid w:val="007B7765"/>
    <w:rsid w:val="007C5BDD"/>
    <w:rsid w:val="007D45E3"/>
    <w:rsid w:val="007E2284"/>
    <w:rsid w:val="007E6115"/>
    <w:rsid w:val="007F4609"/>
    <w:rsid w:val="00814468"/>
    <w:rsid w:val="008176A1"/>
    <w:rsid w:val="00820005"/>
    <w:rsid w:val="00841158"/>
    <w:rsid w:val="00844318"/>
    <w:rsid w:val="00851257"/>
    <w:rsid w:val="00863F5D"/>
    <w:rsid w:val="00870890"/>
    <w:rsid w:val="00873602"/>
    <w:rsid w:val="00875D12"/>
    <w:rsid w:val="0088479D"/>
    <w:rsid w:val="00891F42"/>
    <w:rsid w:val="00896889"/>
    <w:rsid w:val="008A59EE"/>
    <w:rsid w:val="008A6E97"/>
    <w:rsid w:val="008C5714"/>
    <w:rsid w:val="008D10B2"/>
    <w:rsid w:val="00903896"/>
    <w:rsid w:val="00906F3D"/>
    <w:rsid w:val="0094424E"/>
    <w:rsid w:val="00955642"/>
    <w:rsid w:val="009622DF"/>
    <w:rsid w:val="0096493F"/>
    <w:rsid w:val="00967DFF"/>
    <w:rsid w:val="009777CA"/>
    <w:rsid w:val="00994341"/>
    <w:rsid w:val="009D1A48"/>
    <w:rsid w:val="009E1CE7"/>
    <w:rsid w:val="009E4EA5"/>
    <w:rsid w:val="009F164B"/>
    <w:rsid w:val="009F323C"/>
    <w:rsid w:val="009F5E76"/>
    <w:rsid w:val="00A3392B"/>
    <w:rsid w:val="00A81988"/>
    <w:rsid w:val="00A85E34"/>
    <w:rsid w:val="00A87DF6"/>
    <w:rsid w:val="00A9144F"/>
    <w:rsid w:val="00A94B64"/>
    <w:rsid w:val="00AA3229"/>
    <w:rsid w:val="00AA7596"/>
    <w:rsid w:val="00AB5E52"/>
    <w:rsid w:val="00AC3B02"/>
    <w:rsid w:val="00AC3B7B"/>
    <w:rsid w:val="00AC5209"/>
    <w:rsid w:val="00AC5857"/>
    <w:rsid w:val="00AE0E34"/>
    <w:rsid w:val="00AE729E"/>
    <w:rsid w:val="00AE7752"/>
    <w:rsid w:val="00AF7FDA"/>
    <w:rsid w:val="00B5356E"/>
    <w:rsid w:val="00B62AD7"/>
    <w:rsid w:val="00B66717"/>
    <w:rsid w:val="00B809AD"/>
    <w:rsid w:val="00B80CBD"/>
    <w:rsid w:val="00B86096"/>
    <w:rsid w:val="00B95D6E"/>
    <w:rsid w:val="00B964D9"/>
    <w:rsid w:val="00BA0A7C"/>
    <w:rsid w:val="00BA517C"/>
    <w:rsid w:val="00BB3D05"/>
    <w:rsid w:val="00BB73BE"/>
    <w:rsid w:val="00BC2D89"/>
    <w:rsid w:val="00BD6531"/>
    <w:rsid w:val="00BE05B2"/>
    <w:rsid w:val="00BF1908"/>
    <w:rsid w:val="00C05FC7"/>
    <w:rsid w:val="00C22D93"/>
    <w:rsid w:val="00C23458"/>
    <w:rsid w:val="00C31120"/>
    <w:rsid w:val="00C34482"/>
    <w:rsid w:val="00C43648"/>
    <w:rsid w:val="00C50A9F"/>
    <w:rsid w:val="00C642FA"/>
    <w:rsid w:val="00CC7622"/>
    <w:rsid w:val="00CD516B"/>
    <w:rsid w:val="00CD608F"/>
    <w:rsid w:val="00CE0084"/>
    <w:rsid w:val="00CF6BB7"/>
    <w:rsid w:val="00D04AA4"/>
    <w:rsid w:val="00D27982"/>
    <w:rsid w:val="00D33B86"/>
    <w:rsid w:val="00D44968"/>
    <w:rsid w:val="00D53924"/>
    <w:rsid w:val="00D55D0C"/>
    <w:rsid w:val="00D96D8C"/>
    <w:rsid w:val="00DA6649"/>
    <w:rsid w:val="00DC1259"/>
    <w:rsid w:val="00DC1BD2"/>
    <w:rsid w:val="00DC1FAF"/>
    <w:rsid w:val="00DC2571"/>
    <w:rsid w:val="00DC487C"/>
    <w:rsid w:val="00DD4335"/>
    <w:rsid w:val="00DE1E7D"/>
    <w:rsid w:val="00DE6BF6"/>
    <w:rsid w:val="00E1068A"/>
    <w:rsid w:val="00E25884"/>
    <w:rsid w:val="00E25B55"/>
    <w:rsid w:val="00E31C2B"/>
    <w:rsid w:val="00E5426A"/>
    <w:rsid w:val="00E54642"/>
    <w:rsid w:val="00E765F7"/>
    <w:rsid w:val="00E80CBE"/>
    <w:rsid w:val="00E84102"/>
    <w:rsid w:val="00E9269D"/>
    <w:rsid w:val="00E962E3"/>
    <w:rsid w:val="00EB6C79"/>
    <w:rsid w:val="00EC37E9"/>
    <w:rsid w:val="00F038D8"/>
    <w:rsid w:val="00F06995"/>
    <w:rsid w:val="00F12D66"/>
    <w:rsid w:val="00F13623"/>
    <w:rsid w:val="00F44D1D"/>
    <w:rsid w:val="00F84B6D"/>
    <w:rsid w:val="00F957E8"/>
    <w:rsid w:val="00FA311A"/>
    <w:rsid w:val="00FA5FDA"/>
    <w:rsid w:val="00FA7FD0"/>
    <w:rsid w:val="00FB6AB3"/>
    <w:rsid w:val="00FD1419"/>
    <w:rsid w:val="00FD79E4"/>
    <w:rsid w:val="00FE09EC"/>
    <w:rsid w:val="00FE2894"/>
    <w:rsid w:val="00FE7C99"/>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772D1"/>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style>
  <w:style w:type="paragraph" w:styleId="a6">
    <w:name w:val="annotation text"/>
    <w:basedOn w:val="a"/>
    <w:semiHidden/>
    <w:rsid w:val="00C64423"/>
    <w:rPr>
      <w:rFonts w:cs="Times New Roman"/>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E841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A74356" w:rsidP="00A74356">
          <w:pPr>
            <w:pStyle w:val="E460D38E05664FF79D4EFF282EF8EC9931"/>
          </w:pPr>
          <w:r>
            <w:rPr>
              <w:rFonts w:hint="cs"/>
              <w:rtl/>
            </w:rPr>
            <w:t xml:space="preserve">     </w:t>
          </w:r>
        </w:p>
      </w:docPartBody>
    </w:docPart>
    <w:docPart>
      <w:docPartPr>
        <w:name w:val="4672CCA166BA4F0A892EB1D7BA0002CB"/>
        <w:category>
          <w:name w:val="כללי"/>
          <w:gallery w:val="placeholder"/>
        </w:category>
        <w:types>
          <w:type w:val="bbPlcHdr"/>
        </w:types>
        <w:behaviors>
          <w:behavior w:val="content"/>
        </w:behaviors>
        <w:guid w:val="{479E5D01-60E2-4A15-822C-03D5E98865E0}"/>
      </w:docPartPr>
      <w:docPartBody>
        <w:p w:rsidR="00015B33" w:rsidRDefault="00A74356" w:rsidP="00A74356">
          <w:pPr>
            <w:pStyle w:val="4672CCA166BA4F0A892EB1D7BA0002CB6"/>
          </w:pPr>
          <w:r>
            <w:rPr>
              <w:b/>
              <w:bCs/>
              <w:noProof w:val="0"/>
              <w:sz w:val="26"/>
              <w:szCs w:val="26"/>
              <w:rtl/>
            </w:rPr>
            <w:t>שם תיק ללא שמות חסויים</w:t>
          </w:r>
        </w:p>
      </w:docPartBody>
    </w:docPart>
    <w:docPart>
      <w:docPartPr>
        <w:name w:val="1791360F50904E9DB75F203B6FBA11D4"/>
        <w:category>
          <w:name w:val="כללי"/>
          <w:gallery w:val="placeholder"/>
        </w:category>
        <w:types>
          <w:type w:val="bbPlcHdr"/>
        </w:types>
        <w:behaviors>
          <w:behavior w:val="content"/>
        </w:behaviors>
        <w:guid w:val="{B280376C-499E-42B9-8C6E-81199C53BF98}"/>
      </w:docPartPr>
      <w:docPartBody>
        <w:p w:rsidR="00405A67" w:rsidRDefault="00405A67" w:rsidP="00405A67">
          <w:pPr>
            <w:pStyle w:val="1791360F50904E9DB75F203B6FBA11D4"/>
          </w:pPr>
          <w:r w:rsidRPr="00CD516B">
            <w:rPr>
              <w:rFonts w:ascii="Arial" w:hAnsi="Arial"/>
              <w:b/>
              <w:bCs/>
              <w:sz w:val="26"/>
              <w:szCs w:val="26"/>
              <w:rtl/>
            </w:rPr>
            <w:t>שם צד א' ללא שם של חסוי</w:t>
          </w:r>
        </w:p>
      </w:docPartBody>
    </w:docPart>
    <w:docPart>
      <w:docPartPr>
        <w:name w:val="B6A68D4CBDCF4B5CB139A47E40EF908D"/>
        <w:category>
          <w:name w:val="כללי"/>
          <w:gallery w:val="placeholder"/>
        </w:category>
        <w:types>
          <w:type w:val="bbPlcHdr"/>
        </w:types>
        <w:behaviors>
          <w:behavior w:val="content"/>
        </w:behaviors>
        <w:guid w:val="{6BB9592A-3865-45A5-A85F-C6BE069BD19F}"/>
      </w:docPartPr>
      <w:docPartBody>
        <w:p w:rsidR="00405A67" w:rsidRDefault="00405A67" w:rsidP="00405A67">
          <w:pPr>
            <w:pStyle w:val="B6A68D4CBDCF4B5CB139A47E40EF908D"/>
          </w:pPr>
          <w:r w:rsidRPr="00CD516B">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Century">
    <w:panose1 w:val="02040604050505020304"/>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5B33"/>
    <w:rsid w:val="00060CF6"/>
    <w:rsid w:val="000A4ACE"/>
    <w:rsid w:val="001A0763"/>
    <w:rsid w:val="002D02C4"/>
    <w:rsid w:val="002D09CE"/>
    <w:rsid w:val="00345C9D"/>
    <w:rsid w:val="00405A67"/>
    <w:rsid w:val="0048651F"/>
    <w:rsid w:val="004B017A"/>
    <w:rsid w:val="005157ED"/>
    <w:rsid w:val="00556D67"/>
    <w:rsid w:val="00583430"/>
    <w:rsid w:val="00673B50"/>
    <w:rsid w:val="00793995"/>
    <w:rsid w:val="007C6F98"/>
    <w:rsid w:val="007E254A"/>
    <w:rsid w:val="008B4366"/>
    <w:rsid w:val="009133C7"/>
    <w:rsid w:val="009178E4"/>
    <w:rsid w:val="00961B27"/>
    <w:rsid w:val="009725DE"/>
    <w:rsid w:val="009A36E7"/>
    <w:rsid w:val="00A74356"/>
    <w:rsid w:val="00AA7CE3"/>
    <w:rsid w:val="00B50DB2"/>
    <w:rsid w:val="00B72BC2"/>
    <w:rsid w:val="00B91FA3"/>
    <w:rsid w:val="00BD69D1"/>
    <w:rsid w:val="00BE6557"/>
    <w:rsid w:val="00C96C06"/>
    <w:rsid w:val="00D24521"/>
    <w:rsid w:val="00D6580E"/>
    <w:rsid w:val="00E31BF6"/>
    <w:rsid w:val="00E81DB1"/>
    <w:rsid w:val="00F04DC1"/>
    <w:rsid w:val="00F678CA"/>
    <w:rsid w:val="00FD7717"/>
    <w:rsid w:val="00FE7C9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74356"/>
    <w:rPr>
      <w:color w:val="808080"/>
    </w:rPr>
  </w:style>
  <w:style w:type="paragraph" w:customStyle="1" w:styleId="1791360F50904E9DB75F203B6FBA11D4">
    <w:name w:val="1791360F50904E9DB75F203B6FBA11D4"/>
    <w:rsid w:val="00405A67"/>
    <w:pPr>
      <w:bidi/>
      <w:spacing w:after="160" w:line="278" w:lineRule="auto"/>
    </w:pPr>
    <w:rPr>
      <w:kern w:val="2"/>
      <w:sz w:val="24"/>
      <w:szCs w:val="24"/>
      <w14:ligatures w14:val="standardContextual"/>
    </w:rPr>
  </w:style>
  <w:style w:type="paragraph" w:customStyle="1" w:styleId="B6A68D4CBDCF4B5CB139A47E40EF908D">
    <w:name w:val="B6A68D4CBDCF4B5CB139A47E40EF908D"/>
    <w:rsid w:val="00405A67"/>
    <w:pPr>
      <w:bidi/>
      <w:spacing w:after="160" w:line="278" w:lineRule="auto"/>
    </w:pPr>
    <w:rPr>
      <w:kern w:val="2"/>
      <w:sz w:val="24"/>
      <w:szCs w:val="24"/>
      <w14:ligatures w14:val="standardContextual"/>
    </w:rPr>
  </w:style>
  <w:style w:type="paragraph" w:customStyle="1" w:styleId="E460D38E05664FF79D4EFF282EF8EC9931">
    <w:name w:val="E460D38E05664FF79D4EFF282EF8EC9931"/>
    <w:rsid w:val="00A74356"/>
    <w:pPr>
      <w:bidi/>
      <w:spacing w:after="0" w:line="240" w:lineRule="auto"/>
    </w:pPr>
    <w:rPr>
      <w:rFonts w:ascii="Times New Roman" w:eastAsia="Times New Roman" w:hAnsi="Times New Roman" w:cs="David"/>
      <w:noProof/>
      <w:sz w:val="24"/>
      <w:szCs w:val="24"/>
    </w:rPr>
  </w:style>
  <w:style w:type="paragraph" w:customStyle="1" w:styleId="4672CCA166BA4F0A892EB1D7BA0002CB6">
    <w:name w:val="4672CCA166BA4F0A892EB1D7BA0002CB6"/>
    <w:rsid w:val="00A74356"/>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2806</Words>
  <Characters>14032</Characters>
  <Application>Microsoft Office Word</Application>
  <DocSecurity>4</DocSecurity>
  <Lines>116</Lines>
  <Paragraphs>33</Paragraphs>
  <ScaleCrop>false</ScaleCrop>
  <Company>Microsoft Corporation</Company>
  <LinksUpToDate>false</LinksUpToDate>
  <CharactersWithSpaces>16805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נעמה שחר</cp:lastModifiedBy>
  <cp:revision>2</cp:revision>
  <dcterms:created xsi:type="dcterms:W3CDTF">2025-05-13T06:32:00Z</dcterms:created>
  <dcterms:modified xsi:type="dcterms:W3CDTF">2025-05-13T06:32:00Z</dcterms:modified>
</cp:coreProperties>
</file>