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0" w:type="auto"/>
        <w:jc w:val="center"/>
        <w:tblLook w:val="04A0" w:firstRow="1" w:lastRow="0" w:firstColumn="1" w:lastColumn="0" w:noHBand="0" w:noVBand="1"/>
      </w:tblPr>
      <w:tblGrid>
        <w:gridCol w:w="6314"/>
        <w:gridCol w:w="522"/>
        <w:gridCol w:w="1471"/>
      </w:tblGrid>
      <w:tr w:rsidR="00CF026D" w:rsidTr="00973B47">
        <w:trPr>
          <w:trHeight w:val="337"/>
          <w:jc w:val="center"/>
        </w:trPr>
        <w:tc>
          <w:tcPr>
            <w:tcW w:w="6314" w:type="dxa"/>
            <w:hideMark/>
          </w:tcPr>
          <w:p w:rsidR="00CF026D" w:rsidRDefault="00CF026D">
            <w:pPr>
              <w:rPr>
                <w:b/>
                <w:bCs/>
                <w:sz w:val="26"/>
                <w:szCs w:val="26"/>
                <w:rtl/>
              </w:rPr>
            </w:pPr>
            <w:r>
              <w:rPr>
                <w:rtl/>
              </w:rPr>
              <w:t xml:space="preserve"> </w:t>
            </w:r>
            <w:r>
              <w:rPr>
                <w:b/>
                <w:bCs/>
                <w:sz w:val="26"/>
                <w:szCs w:val="26"/>
                <w:rtl/>
              </w:rPr>
              <w:t>לפני כבוד ה</w:t>
            </w:r>
            <w:sdt>
              <w:sdtPr>
                <w:rPr>
                  <w:sz w:val="26"/>
                  <w:szCs w:val="26"/>
                  <w:rtl/>
                </w:rPr>
                <w:alias w:val="165"/>
                <w:tag w:val="165"/>
                <w:id w:val="584732177"/>
                <w:text w:multiLine="1"/>
              </w:sdtPr>
              <w:sdtEndPr/>
              <w:sdtContent>
                <w:r>
                  <w:rPr>
                    <w:b/>
                    <w:bCs/>
                    <w:sz w:val="26"/>
                    <w:szCs w:val="26"/>
                    <w:rtl/>
                  </w:rPr>
                  <w:t>שופטת נועה גרוסמן</w:t>
                </w:r>
              </w:sdtContent>
            </w:sdt>
          </w:p>
        </w:tc>
        <w:tc>
          <w:tcPr>
            <w:tcW w:w="522" w:type="dxa"/>
          </w:tcPr>
          <w:p w:rsidR="00CF026D" w:rsidRDefault="00CF026D">
            <w:pPr>
              <w:pStyle w:val="a3"/>
              <w:jc w:val="center"/>
              <w:rPr>
                <w:b/>
                <w:bCs/>
                <w:sz w:val="26"/>
                <w:szCs w:val="26"/>
                <w:rtl/>
              </w:rPr>
            </w:pPr>
          </w:p>
        </w:tc>
        <w:tc>
          <w:tcPr>
            <w:tcW w:w="1471" w:type="dxa"/>
          </w:tcPr>
          <w:p w:rsidR="00CF026D" w:rsidRDefault="00CF026D">
            <w:pPr>
              <w:pStyle w:val="a3"/>
              <w:tabs>
                <w:tab w:val="clear" w:pos="4153"/>
              </w:tabs>
              <w:rPr>
                <w:b/>
                <w:bCs/>
                <w:sz w:val="26"/>
                <w:szCs w:val="26"/>
                <w:rtl/>
              </w:rPr>
            </w:pPr>
          </w:p>
        </w:tc>
      </w:tr>
    </w:tbl>
    <w:tbl>
      <w:tblPr>
        <w:tblStyle w:val="aa"/>
        <w:bidiVisual/>
        <w:tblW w:w="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246"/>
        <w:gridCol w:w="5734"/>
      </w:tblGrid>
      <w:tr w:rsidR="00CF026D" w:rsidTr="00CF026D">
        <w:tc>
          <w:tcPr>
            <w:tcW w:w="3246" w:type="dxa"/>
          </w:tcPr>
          <w:p w:rsidR="00CF026D" w:rsidRDefault="00CF026D">
            <w:pPr>
              <w:ind w:left="26"/>
              <w:rPr>
                <w:b/>
                <w:bCs/>
                <w:sz w:val="26"/>
                <w:szCs w:val="26"/>
                <w:rtl/>
              </w:rPr>
            </w:pPr>
          </w:p>
          <w:sdt>
            <w:sdtPr>
              <w:rPr>
                <w:b/>
                <w:bCs/>
                <w:sz w:val="26"/>
                <w:szCs w:val="26"/>
                <w:rtl/>
              </w:rPr>
              <w:alias w:val="1264"/>
              <w:tag w:val="1264"/>
              <w:id w:val="-143360444"/>
              <w:placeholder>
                <w:docPart w:val="8341468148EA4C94956EBA4F6E8640E2"/>
              </w:placeholder>
              <w:text w:multiLine="1"/>
            </w:sdtPr>
            <w:sdtEndPr/>
            <w:sdtContent>
              <w:p w:rsidR="00CF026D" w:rsidRDefault="00CF026D">
                <w:pPr>
                  <w:ind w:left="26"/>
                  <w:rPr>
                    <w:sz w:val="26"/>
                    <w:szCs w:val="26"/>
                    <w:rtl/>
                  </w:rPr>
                </w:pPr>
                <w:r>
                  <w:rPr>
                    <w:b/>
                    <w:bCs/>
                    <w:sz w:val="26"/>
                    <w:szCs w:val="26"/>
                    <w:rtl/>
                  </w:rPr>
                  <w:t>מבקש/תובע</w:t>
                </w:r>
              </w:p>
            </w:sdtContent>
          </w:sdt>
        </w:tc>
        <w:tc>
          <w:tcPr>
            <w:tcW w:w="5734" w:type="dxa"/>
          </w:tcPr>
          <w:p w:rsidR="00CF026D" w:rsidRDefault="00CF026D">
            <w:pPr>
              <w:rPr>
                <w:b/>
                <w:bCs/>
                <w:sz w:val="26"/>
                <w:szCs w:val="26"/>
                <w:rtl/>
              </w:rPr>
            </w:pPr>
          </w:p>
          <w:p w:rsidR="00CF026D" w:rsidRDefault="00CF026D">
            <w:pPr>
              <w:rPr>
                <w:b/>
                <w:bCs/>
                <w:sz w:val="26"/>
                <w:szCs w:val="26"/>
                <w:rtl/>
              </w:rPr>
            </w:pPr>
            <w:r>
              <w:rPr>
                <w:b/>
                <w:bCs/>
                <w:sz w:val="26"/>
                <w:szCs w:val="26"/>
                <w:rtl/>
              </w:rPr>
              <w:t xml:space="preserve">  </w:t>
            </w:r>
            <w:sdt>
              <w:sdtPr>
                <w:rPr>
                  <w:b/>
                  <w:bCs/>
                  <w:sz w:val="26"/>
                  <w:szCs w:val="26"/>
                  <w:rtl/>
                </w:rPr>
                <w:alias w:val="825"/>
                <w:tag w:val="825"/>
                <w:id w:val="-1404140937"/>
                <w:placeholder>
                  <w:docPart w:val="9E8851A5AD1C4D1D9C5BB5EFA52CC798"/>
                </w:placeholder>
                <w:text w:multiLine="1"/>
              </w:sdtPr>
              <w:sdtEndPr/>
              <w:sdtContent>
                <w:r>
                  <w:rPr>
                    <w:b/>
                    <w:bCs/>
                    <w:sz w:val="26"/>
                    <w:szCs w:val="26"/>
                    <w:rtl/>
                  </w:rPr>
                  <w:t>גל אקוקה</w:t>
                </w:r>
              </w:sdtContent>
            </w:sdt>
          </w:p>
          <w:p w:rsidR="00CF026D" w:rsidRDefault="00CF026D">
            <w:pPr>
              <w:rPr>
                <w:b/>
                <w:bCs/>
                <w:sz w:val="26"/>
                <w:szCs w:val="26"/>
                <w:rtl/>
              </w:rPr>
            </w:pPr>
            <w:r>
              <w:rPr>
                <w:rFonts w:hint="cs"/>
                <w:b/>
                <w:bCs/>
                <w:rtl/>
              </w:rPr>
              <w:t xml:space="preserve">  ע"י ב"כ </w:t>
            </w:r>
            <w:r>
              <w:rPr>
                <w:b/>
                <w:bCs/>
                <w:rtl/>
              </w:rPr>
              <w:t>עו"ד אברהם ישראל</w:t>
            </w:r>
          </w:p>
          <w:p w:rsidR="00CF026D" w:rsidRDefault="00CF026D">
            <w:pPr>
              <w:rPr>
                <w:b/>
                <w:bCs/>
                <w:sz w:val="26"/>
                <w:szCs w:val="26"/>
                <w:rtl/>
              </w:rPr>
            </w:pPr>
          </w:p>
        </w:tc>
      </w:tr>
      <w:tr w:rsidR="00CF026D" w:rsidTr="00CF026D">
        <w:tc>
          <w:tcPr>
            <w:tcW w:w="8980" w:type="dxa"/>
            <w:gridSpan w:val="2"/>
          </w:tcPr>
          <w:p w:rsidR="00CF026D" w:rsidRDefault="00CF026D">
            <w:pPr>
              <w:rPr>
                <w:rFonts w:ascii="Arial" w:hAnsi="Arial"/>
                <w:b/>
                <w:bCs/>
                <w:sz w:val="26"/>
                <w:szCs w:val="26"/>
                <w:rtl/>
              </w:rPr>
            </w:pPr>
          </w:p>
          <w:p w:rsidR="00CF026D" w:rsidRDefault="00CF026D">
            <w:pPr>
              <w:jc w:val="center"/>
              <w:rPr>
                <w:rFonts w:ascii="Arial" w:hAnsi="Arial"/>
                <w:b/>
                <w:bCs/>
                <w:sz w:val="26"/>
                <w:szCs w:val="26"/>
                <w:rtl/>
              </w:rPr>
            </w:pPr>
            <w:r>
              <w:rPr>
                <w:rFonts w:ascii="Arial" w:hAnsi="Arial"/>
                <w:b/>
                <w:bCs/>
                <w:sz w:val="26"/>
                <w:szCs w:val="26"/>
                <w:rtl/>
              </w:rPr>
              <w:t>נגד</w:t>
            </w:r>
          </w:p>
          <w:p w:rsidR="00CF026D" w:rsidRDefault="00CF026D">
            <w:pPr>
              <w:rPr>
                <w:rFonts w:ascii="Arial" w:hAnsi="Arial"/>
                <w:b/>
                <w:bCs/>
                <w:sz w:val="26"/>
                <w:szCs w:val="26"/>
                <w:rtl/>
              </w:rPr>
            </w:pPr>
          </w:p>
        </w:tc>
      </w:tr>
      <w:tr w:rsidR="00CF026D" w:rsidTr="00CF026D">
        <w:trPr>
          <w:trHeight w:val="740"/>
        </w:trPr>
        <w:tc>
          <w:tcPr>
            <w:tcW w:w="3246" w:type="dxa"/>
          </w:tcPr>
          <w:sdt>
            <w:sdtPr>
              <w:rPr>
                <w:sz w:val="26"/>
                <w:szCs w:val="26"/>
                <w:rtl/>
              </w:rPr>
              <w:alias w:val="1265"/>
              <w:tag w:val="1265"/>
              <w:id w:val="-44838934"/>
              <w:text/>
            </w:sdtPr>
            <w:sdtEndPr/>
            <w:sdtContent>
              <w:p w:rsidR="00CF026D" w:rsidRDefault="00CF026D">
                <w:pPr>
                  <w:ind w:left="26"/>
                  <w:rPr>
                    <w:sz w:val="26"/>
                    <w:szCs w:val="26"/>
                    <w:rtl/>
                  </w:rPr>
                </w:pPr>
                <w:r>
                  <w:rPr>
                    <w:b/>
                    <w:bCs/>
                    <w:sz w:val="26"/>
                    <w:szCs w:val="26"/>
                    <w:rtl/>
                  </w:rPr>
                  <w:t>משיבה/נתבעת</w:t>
                </w:r>
              </w:p>
            </w:sdtContent>
          </w:sdt>
          <w:p w:rsidR="00CF026D" w:rsidRDefault="00CF026D">
            <w:pPr>
              <w:ind w:left="26"/>
              <w:rPr>
                <w:sz w:val="26"/>
                <w:szCs w:val="26"/>
              </w:rPr>
            </w:pPr>
          </w:p>
          <w:p w:rsidR="00CF026D" w:rsidRDefault="00CF026D">
            <w:pPr>
              <w:ind w:left="26"/>
              <w:rPr>
                <w:sz w:val="26"/>
                <w:szCs w:val="26"/>
                <w:rtl/>
              </w:rPr>
            </w:pPr>
          </w:p>
          <w:p w:rsidR="00CF026D" w:rsidRDefault="00CF026D">
            <w:pPr>
              <w:ind w:left="26"/>
              <w:rPr>
                <w:sz w:val="26"/>
                <w:szCs w:val="26"/>
                <w:rtl/>
              </w:rPr>
            </w:pPr>
          </w:p>
          <w:p w:rsidR="00CF026D" w:rsidRDefault="00CF026D">
            <w:pPr>
              <w:ind w:left="26"/>
              <w:rPr>
                <w:b/>
                <w:bCs/>
                <w:sz w:val="26"/>
                <w:szCs w:val="26"/>
                <w:rtl/>
              </w:rPr>
            </w:pPr>
            <w:r>
              <w:rPr>
                <w:b/>
                <w:bCs/>
                <w:sz w:val="26"/>
                <w:szCs w:val="26"/>
                <w:rtl/>
              </w:rPr>
              <w:t>משיבה פורמאלית</w:t>
            </w:r>
          </w:p>
        </w:tc>
        <w:tc>
          <w:tcPr>
            <w:tcW w:w="5734" w:type="dxa"/>
          </w:tcPr>
          <w:p w:rsidR="00CF026D" w:rsidRDefault="00CF026D">
            <w:pPr>
              <w:rPr>
                <w:sz w:val="26"/>
                <w:szCs w:val="26"/>
                <w:rtl/>
              </w:rPr>
            </w:pPr>
            <w:r>
              <w:rPr>
                <w:sz w:val="26"/>
                <w:szCs w:val="26"/>
                <w:rtl/>
              </w:rPr>
              <w:t xml:space="preserve"> </w:t>
            </w:r>
            <w:sdt>
              <w:sdtPr>
                <w:rPr>
                  <w:sz w:val="26"/>
                  <w:szCs w:val="26"/>
                  <w:rtl/>
                </w:rPr>
                <w:alias w:val="1266"/>
                <w:tag w:val="1266"/>
                <w:id w:val="262961297"/>
                <w:placeholder>
                  <w:docPart w:val="6349FBD4D1AA4BE1872850D49A9F083F"/>
                </w:placeholder>
                <w:text w:multiLine="1"/>
              </w:sdtPr>
              <w:sdtEndPr/>
              <w:sdtContent>
                <w:r>
                  <w:rPr>
                    <w:b/>
                    <w:bCs/>
                    <w:sz w:val="26"/>
                    <w:szCs w:val="26"/>
                    <w:rtl/>
                  </w:rPr>
                  <w:t>נפולוני בע"מ</w:t>
                </w:r>
              </w:sdtContent>
            </w:sdt>
          </w:p>
          <w:p w:rsidR="00CF026D" w:rsidRDefault="00CF026D">
            <w:pPr>
              <w:rPr>
                <w:sz w:val="26"/>
                <w:szCs w:val="26"/>
                <w:rtl/>
              </w:rPr>
            </w:pPr>
            <w:r>
              <w:rPr>
                <w:rFonts w:hint="cs"/>
                <w:b/>
                <w:bCs/>
                <w:rtl/>
              </w:rPr>
              <w:t xml:space="preserve"> ע"י ב"כ </w:t>
            </w:r>
            <w:r>
              <w:rPr>
                <w:b/>
                <w:bCs/>
                <w:rtl/>
              </w:rPr>
              <w:t>עו"ד ענבל לביא ועו"ד דניאל אלימלך</w:t>
            </w:r>
          </w:p>
          <w:p w:rsidR="00CF026D" w:rsidRDefault="00CF026D">
            <w:pPr>
              <w:rPr>
                <w:sz w:val="26"/>
                <w:szCs w:val="26"/>
                <w:rtl/>
              </w:rPr>
            </w:pPr>
          </w:p>
          <w:p w:rsidR="00CF026D" w:rsidRDefault="00CF026D">
            <w:pPr>
              <w:rPr>
                <w:b/>
                <w:bCs/>
                <w:sz w:val="26"/>
                <w:szCs w:val="26"/>
                <w:rtl/>
              </w:rPr>
            </w:pPr>
          </w:p>
          <w:p w:rsidR="00CF026D" w:rsidRDefault="00CF026D">
            <w:pPr>
              <w:rPr>
                <w:b/>
                <w:bCs/>
                <w:sz w:val="26"/>
                <w:szCs w:val="26"/>
                <w:rtl/>
              </w:rPr>
            </w:pPr>
            <w:r>
              <w:rPr>
                <w:b/>
                <w:bCs/>
                <w:sz w:val="26"/>
                <w:szCs w:val="26"/>
                <w:rtl/>
              </w:rPr>
              <w:t>עו"ד ענבל לביא בתפקידה ככונסת נכסים</w:t>
            </w:r>
          </w:p>
          <w:p w:rsidR="00CF026D" w:rsidRDefault="00CF026D">
            <w:pPr>
              <w:rPr>
                <w:sz w:val="26"/>
                <w:szCs w:val="26"/>
                <w:rtl/>
              </w:rPr>
            </w:pPr>
          </w:p>
        </w:tc>
      </w:tr>
      <w:tr w:rsidR="00CF026D" w:rsidTr="00CF026D">
        <w:tc>
          <w:tcPr>
            <w:tcW w:w="8980" w:type="dxa"/>
            <w:gridSpan w:val="2"/>
          </w:tcPr>
          <w:p w:rsidR="00CF026D" w:rsidRDefault="00CF026D">
            <w:pPr>
              <w:rPr>
                <w:sz w:val="26"/>
                <w:szCs w:val="26"/>
                <w:rtl/>
              </w:rPr>
            </w:pPr>
          </w:p>
        </w:tc>
      </w:tr>
    </w:tbl>
    <w:p w:rsidR="00CF026D" w:rsidRDefault="00CF026D" w:rsidP="00CF026D">
      <w:pPr>
        <w:rPr>
          <w:rtl/>
        </w:rPr>
      </w:pPr>
      <w:r>
        <w:rPr>
          <w:rtl/>
        </w:rPr>
        <w:t xml:space="preserve">   </w:t>
      </w:r>
    </w:p>
    <w:p w:rsidR="00CF026D" w:rsidRDefault="00CF026D" w:rsidP="00CF026D">
      <w:pPr>
        <w:jc w:val="both"/>
        <w:rPr>
          <w:rFonts w:ascii="David" w:hAnsi="David"/>
          <w:sz w:val="6"/>
          <w:szCs w:val="6"/>
          <w:rtl/>
        </w:rPr>
      </w:pPr>
      <w:r>
        <w:rPr>
          <w:rFonts w:ascii="David" w:hAnsi="David"/>
          <w:sz w:val="6"/>
          <w:szCs w:val="6"/>
          <w:rtl/>
        </w:rPr>
        <w:t>&lt;#8#&gt;</w:t>
      </w:r>
    </w:p>
    <w:p w:rsidR="00CF026D" w:rsidRDefault="00CF026D" w:rsidP="00CF026D">
      <w:pPr>
        <w:spacing w:line="360" w:lineRule="auto"/>
        <w:jc w:val="center"/>
        <w:rPr>
          <w:rFonts w:ascii="Arial" w:hAnsi="Arial"/>
          <w:b/>
          <w:bCs/>
          <w:sz w:val="28"/>
          <w:szCs w:val="28"/>
          <w:u w:val="single"/>
          <w:rtl/>
        </w:rPr>
      </w:pPr>
      <w:r>
        <w:rPr>
          <w:rFonts w:ascii="Arial" w:hAnsi="Arial"/>
          <w:b/>
          <w:bCs/>
          <w:sz w:val="28"/>
          <w:szCs w:val="28"/>
          <w:u w:val="single"/>
          <w:rtl/>
        </w:rPr>
        <w:t>החלטה</w:t>
      </w:r>
    </w:p>
    <w:p w:rsidR="00CF026D" w:rsidRDefault="00CF026D" w:rsidP="00CF026D">
      <w:pPr>
        <w:spacing w:line="360" w:lineRule="auto"/>
        <w:jc w:val="both"/>
        <w:rPr>
          <w:rtl/>
        </w:rPr>
      </w:pPr>
    </w:p>
    <w:p w:rsidR="00CF026D" w:rsidRDefault="00CF026D" w:rsidP="00CF026D">
      <w:pPr>
        <w:spacing w:line="360" w:lineRule="auto"/>
        <w:jc w:val="both"/>
        <w:rPr>
          <w:b/>
          <w:bCs/>
          <w:sz w:val="26"/>
          <w:szCs w:val="26"/>
          <w:u w:val="single"/>
          <w:rtl/>
        </w:rPr>
      </w:pPr>
      <w:r>
        <w:rPr>
          <w:b/>
          <w:bCs/>
          <w:sz w:val="26"/>
          <w:szCs w:val="26"/>
          <w:u w:val="single"/>
          <w:rtl/>
        </w:rPr>
        <w:t>הבקשה:</w:t>
      </w:r>
    </w:p>
    <w:p w:rsidR="00CF026D" w:rsidRDefault="00CF026D" w:rsidP="00CF026D">
      <w:pPr>
        <w:spacing w:line="360" w:lineRule="auto"/>
        <w:jc w:val="both"/>
        <w:rPr>
          <w:rtl/>
        </w:rPr>
      </w:pPr>
    </w:p>
    <w:p w:rsidR="00CF026D" w:rsidRDefault="00CF026D" w:rsidP="00CF026D">
      <w:pPr>
        <w:jc w:val="center"/>
        <w:rPr>
          <w:rFonts w:ascii="David" w:hAnsi="David"/>
          <w:rtl/>
        </w:rPr>
      </w:pPr>
    </w:p>
    <w:p w:rsidR="00CF026D" w:rsidRDefault="00CF026D" w:rsidP="00CF026D">
      <w:pPr>
        <w:spacing w:line="360" w:lineRule="auto"/>
        <w:ind w:left="720" w:hanging="720"/>
        <w:jc w:val="both"/>
        <w:rPr>
          <w:rFonts w:ascii="David" w:hAnsi="David"/>
          <w:rtl/>
        </w:rPr>
      </w:pPr>
      <w:r>
        <w:rPr>
          <w:rFonts w:ascii="David" w:hAnsi="David"/>
          <w:rtl/>
        </w:rPr>
        <w:t>1.</w:t>
      </w:r>
      <w:r>
        <w:rPr>
          <w:rFonts w:ascii="David" w:hAnsi="David"/>
          <w:rtl/>
        </w:rPr>
        <w:tab/>
        <w:t>לפני בקשה לעיכוב הליכי הוצל"פ המתנהלים בתיק מימוש משכנתא בלשכת ההוצאה לפועל בתל-אביב בתיק שמספרו 580262-05-22 (להלן: "</w:t>
      </w:r>
      <w:r>
        <w:rPr>
          <w:rFonts w:ascii="David" w:hAnsi="David"/>
          <w:b/>
          <w:bCs/>
          <w:rtl/>
        </w:rPr>
        <w:t>תיק ההוצל"פ</w:t>
      </w:r>
      <w:r>
        <w:rPr>
          <w:rFonts w:ascii="David" w:hAnsi="David"/>
          <w:rtl/>
        </w:rPr>
        <w:t>").</w:t>
      </w:r>
    </w:p>
    <w:p w:rsidR="00CF026D" w:rsidRDefault="00CF026D" w:rsidP="00CF026D">
      <w:pPr>
        <w:spacing w:line="360" w:lineRule="auto"/>
        <w:ind w:left="720" w:hanging="720"/>
        <w:jc w:val="both"/>
        <w:rPr>
          <w:rFonts w:ascii="David" w:hAnsi="David"/>
          <w:rtl/>
        </w:rPr>
      </w:pPr>
    </w:p>
    <w:p w:rsidR="00CF026D" w:rsidRDefault="00CF026D" w:rsidP="00CF026D">
      <w:pPr>
        <w:spacing w:line="360" w:lineRule="auto"/>
        <w:ind w:left="720" w:hanging="720"/>
        <w:jc w:val="both"/>
        <w:rPr>
          <w:rFonts w:ascii="David" w:hAnsi="David"/>
          <w:rtl/>
        </w:rPr>
      </w:pPr>
      <w:r>
        <w:rPr>
          <w:rFonts w:ascii="David" w:hAnsi="David"/>
          <w:rtl/>
        </w:rPr>
        <w:t>2.</w:t>
      </w:r>
      <w:r>
        <w:rPr>
          <w:rFonts w:ascii="David" w:hAnsi="David"/>
          <w:rtl/>
        </w:rPr>
        <w:tab/>
        <w:t xml:space="preserve">הבקשה באה לפני כסעד זמני במסגרת תורנות. </w:t>
      </w:r>
    </w:p>
    <w:p w:rsidR="00CF026D" w:rsidRDefault="00CF026D" w:rsidP="00CF026D">
      <w:pPr>
        <w:spacing w:line="360" w:lineRule="auto"/>
        <w:ind w:left="720" w:hanging="720"/>
        <w:jc w:val="both"/>
        <w:rPr>
          <w:rFonts w:ascii="David" w:hAnsi="David"/>
          <w:rtl/>
        </w:rPr>
      </w:pPr>
    </w:p>
    <w:p w:rsidR="00CF026D" w:rsidRDefault="00CF026D" w:rsidP="00CF026D">
      <w:pPr>
        <w:spacing w:line="360" w:lineRule="auto"/>
        <w:ind w:left="720" w:hanging="720"/>
        <w:jc w:val="both"/>
        <w:rPr>
          <w:rFonts w:ascii="David" w:hAnsi="David"/>
          <w:rtl/>
        </w:rPr>
      </w:pPr>
      <w:r>
        <w:rPr>
          <w:rFonts w:ascii="David" w:hAnsi="David"/>
          <w:rtl/>
        </w:rPr>
        <w:t>3.</w:t>
      </w:r>
      <w:r>
        <w:rPr>
          <w:rFonts w:ascii="David" w:hAnsi="David"/>
          <w:rtl/>
        </w:rPr>
        <w:tab/>
        <w:t>בקצירת האומר, גל אקוקה (להלן: "</w:t>
      </w:r>
      <w:r>
        <w:rPr>
          <w:rFonts w:ascii="David" w:hAnsi="David"/>
          <w:b/>
          <w:bCs/>
          <w:rtl/>
        </w:rPr>
        <w:t>המבקש</w:t>
      </w:r>
      <w:r>
        <w:rPr>
          <w:rFonts w:ascii="David" w:hAnsi="David"/>
          <w:rtl/>
        </w:rPr>
        <w:t>")</w:t>
      </w:r>
      <w:r w:rsidR="0095772D">
        <w:rPr>
          <w:rFonts w:ascii="David" w:hAnsi="David" w:hint="cs"/>
          <w:rtl/>
        </w:rPr>
        <w:t>,</w:t>
      </w:r>
      <w:r>
        <w:rPr>
          <w:rFonts w:ascii="David" w:hAnsi="David"/>
          <w:rtl/>
        </w:rPr>
        <w:t xml:space="preserve"> יחד עם גרושתו אורלי אקוקה (להלן: "</w:t>
      </w:r>
      <w:r>
        <w:rPr>
          <w:rFonts w:ascii="David" w:hAnsi="David"/>
          <w:b/>
          <w:bCs/>
          <w:rtl/>
        </w:rPr>
        <w:t>אורלי</w:t>
      </w:r>
      <w:r>
        <w:rPr>
          <w:rFonts w:ascii="David" w:hAnsi="David"/>
          <w:rtl/>
        </w:rPr>
        <w:t>") התקשר ביום 15.11.2016 בהסכם הלוואה (להלן: "</w:t>
      </w:r>
      <w:r>
        <w:rPr>
          <w:rFonts w:ascii="David" w:hAnsi="David"/>
          <w:b/>
          <w:bCs/>
          <w:rtl/>
        </w:rPr>
        <w:t>הסכם ההלוואה</w:t>
      </w:r>
      <w:r>
        <w:rPr>
          <w:rFonts w:ascii="David" w:hAnsi="David"/>
          <w:rtl/>
        </w:rPr>
        <w:t>") עם המשיבה 1 (להלן: "</w:t>
      </w:r>
      <w:r>
        <w:rPr>
          <w:rFonts w:ascii="David" w:hAnsi="David"/>
          <w:b/>
          <w:bCs/>
          <w:rtl/>
        </w:rPr>
        <w:t>המשיבה</w:t>
      </w:r>
      <w:r>
        <w:rPr>
          <w:rFonts w:ascii="David" w:hAnsi="David"/>
          <w:rtl/>
        </w:rPr>
        <w:t>").</w:t>
      </w:r>
    </w:p>
    <w:p w:rsidR="00D50738" w:rsidRDefault="00D50738" w:rsidP="00CF026D">
      <w:pPr>
        <w:spacing w:line="360" w:lineRule="auto"/>
        <w:ind w:left="720" w:hanging="720"/>
        <w:jc w:val="both"/>
        <w:rPr>
          <w:rFonts w:ascii="David" w:hAnsi="David"/>
          <w:rtl/>
        </w:rPr>
      </w:pPr>
    </w:p>
    <w:p w:rsidR="00CF026D" w:rsidRDefault="00CF026D" w:rsidP="00CF026D">
      <w:pPr>
        <w:spacing w:line="360" w:lineRule="auto"/>
        <w:ind w:left="720" w:hanging="720"/>
        <w:jc w:val="both"/>
        <w:rPr>
          <w:rFonts w:ascii="David" w:hAnsi="David"/>
          <w:rtl/>
        </w:rPr>
      </w:pPr>
      <w:r>
        <w:rPr>
          <w:rFonts w:ascii="David" w:hAnsi="David"/>
          <w:rtl/>
        </w:rPr>
        <w:tab/>
        <w:t>ב"כ המשיבה</w:t>
      </w:r>
      <w:r w:rsidR="0095772D">
        <w:rPr>
          <w:rFonts w:ascii="David" w:hAnsi="David" w:hint="cs"/>
          <w:rtl/>
        </w:rPr>
        <w:t>,</w:t>
      </w:r>
      <w:r>
        <w:rPr>
          <w:rFonts w:ascii="David" w:hAnsi="David"/>
          <w:rtl/>
        </w:rPr>
        <w:t xml:space="preserve"> עו"ד </w:t>
      </w:r>
      <w:r w:rsidR="0095772D">
        <w:rPr>
          <w:rFonts w:ascii="David" w:hAnsi="David" w:hint="cs"/>
          <w:rtl/>
        </w:rPr>
        <w:t xml:space="preserve">ענבל </w:t>
      </w:r>
      <w:r>
        <w:rPr>
          <w:rFonts w:ascii="David" w:hAnsi="David"/>
          <w:rtl/>
        </w:rPr>
        <w:t>לביא</w:t>
      </w:r>
      <w:r w:rsidR="0095772D">
        <w:rPr>
          <w:rFonts w:ascii="David" w:hAnsi="David" w:hint="cs"/>
          <w:rtl/>
        </w:rPr>
        <w:t>,</w:t>
      </w:r>
      <w:r>
        <w:rPr>
          <w:rFonts w:ascii="David" w:hAnsi="David"/>
          <w:rtl/>
        </w:rPr>
        <w:t xml:space="preserve"> מונתה ככונסת נכסים במסגרת תיק ההוצל"פ ולכן צורפה בתיק זה כמשיבה פורמאלית, המשיבה 2. </w:t>
      </w:r>
    </w:p>
    <w:p w:rsidR="00CF026D" w:rsidRDefault="00CF026D" w:rsidP="00CF026D">
      <w:pPr>
        <w:spacing w:line="360" w:lineRule="auto"/>
        <w:ind w:left="720" w:hanging="720"/>
        <w:jc w:val="both"/>
        <w:rPr>
          <w:rFonts w:ascii="David" w:hAnsi="David"/>
          <w:rtl/>
        </w:rPr>
      </w:pPr>
      <w:r>
        <w:rPr>
          <w:rFonts w:ascii="David" w:hAnsi="David"/>
          <w:rtl/>
        </w:rPr>
        <w:tab/>
        <w:t xml:space="preserve">הסכם ההלוואה צורף </w:t>
      </w:r>
      <w:r>
        <w:rPr>
          <w:rFonts w:ascii="David" w:hAnsi="David"/>
          <w:b/>
          <w:bCs/>
          <w:rtl/>
        </w:rPr>
        <w:t>כנספח 1</w:t>
      </w:r>
      <w:r>
        <w:rPr>
          <w:rFonts w:ascii="David" w:hAnsi="David"/>
          <w:rtl/>
        </w:rPr>
        <w:t xml:space="preserve"> לבקשה.</w:t>
      </w:r>
    </w:p>
    <w:p w:rsidR="00D50738" w:rsidRDefault="00D50738" w:rsidP="00CF026D">
      <w:pPr>
        <w:spacing w:line="360" w:lineRule="auto"/>
        <w:ind w:left="720" w:hanging="720"/>
        <w:jc w:val="both"/>
        <w:rPr>
          <w:rFonts w:ascii="David" w:hAnsi="David"/>
          <w:rtl/>
        </w:rPr>
      </w:pPr>
    </w:p>
    <w:p w:rsidR="00CF026D" w:rsidRDefault="00CF026D" w:rsidP="00CF026D">
      <w:pPr>
        <w:spacing w:line="360" w:lineRule="auto"/>
        <w:ind w:left="720" w:hanging="720"/>
        <w:jc w:val="both"/>
        <w:rPr>
          <w:rFonts w:ascii="David" w:hAnsi="David"/>
          <w:rtl/>
        </w:rPr>
      </w:pPr>
      <w:r>
        <w:rPr>
          <w:rFonts w:ascii="David" w:hAnsi="David"/>
          <w:rtl/>
        </w:rPr>
        <w:tab/>
        <w:t>המבקש נטל הלוואה כספית מאת המשיבה. לפי סעיף 2 להסכם מדובר בהלוואה בסכום של 2.5 מיליון ₪ בפריסה ובתנאי תשלום וריבית כמפורט בהסכם ההלוואה.</w:t>
      </w:r>
    </w:p>
    <w:p w:rsidR="00CF026D" w:rsidRDefault="00CF026D" w:rsidP="00CF026D">
      <w:pPr>
        <w:spacing w:line="360" w:lineRule="auto"/>
        <w:ind w:left="720" w:hanging="720"/>
        <w:jc w:val="both"/>
        <w:rPr>
          <w:rFonts w:ascii="David" w:hAnsi="David"/>
          <w:rtl/>
        </w:rPr>
      </w:pPr>
      <w:r>
        <w:rPr>
          <w:rFonts w:ascii="David" w:hAnsi="David"/>
          <w:rtl/>
        </w:rPr>
        <w:lastRenderedPageBreak/>
        <w:tab/>
        <w:t>לפי סעיף 4 להסכם ההלוואה</w:t>
      </w:r>
      <w:r w:rsidR="0095772D">
        <w:rPr>
          <w:rFonts w:ascii="David" w:hAnsi="David" w:hint="cs"/>
          <w:rtl/>
        </w:rPr>
        <w:t>,</w:t>
      </w:r>
      <w:r>
        <w:rPr>
          <w:rFonts w:ascii="David" w:hAnsi="David"/>
          <w:rtl/>
        </w:rPr>
        <w:t xml:space="preserve"> שיעבדו המבקש ואורלי במשכנתא מדרגה ראשונה את זכויותיהם </w:t>
      </w:r>
      <w:r w:rsidR="0095772D">
        <w:rPr>
          <w:rFonts w:ascii="David" w:hAnsi="David" w:hint="cs"/>
          <w:rtl/>
        </w:rPr>
        <w:t xml:space="preserve">בבית מגורים </w:t>
      </w:r>
      <w:r>
        <w:rPr>
          <w:rFonts w:ascii="David" w:hAnsi="David"/>
          <w:rtl/>
        </w:rPr>
        <w:t xml:space="preserve">שברחוב אצ"ל 35 </w:t>
      </w:r>
      <w:r w:rsidR="0095772D">
        <w:rPr>
          <w:rFonts w:ascii="David" w:hAnsi="David" w:hint="cs"/>
          <w:rtl/>
        </w:rPr>
        <w:t>ב</w:t>
      </w:r>
      <w:r>
        <w:rPr>
          <w:rFonts w:ascii="David" w:hAnsi="David"/>
          <w:rtl/>
        </w:rPr>
        <w:t>הרצליה פ</w:t>
      </w:r>
      <w:r w:rsidR="0095772D">
        <w:rPr>
          <w:rFonts w:ascii="David" w:hAnsi="David" w:hint="cs"/>
          <w:rtl/>
        </w:rPr>
        <w:t>י</w:t>
      </w:r>
      <w:r>
        <w:rPr>
          <w:rFonts w:ascii="David" w:hAnsi="David"/>
          <w:rtl/>
        </w:rPr>
        <w:t>תוח</w:t>
      </w:r>
      <w:r w:rsidR="0095772D">
        <w:rPr>
          <w:rFonts w:ascii="David" w:hAnsi="David" w:hint="cs"/>
          <w:rtl/>
        </w:rPr>
        <w:t>,</w:t>
      </w:r>
      <w:r>
        <w:rPr>
          <w:rFonts w:ascii="David" w:hAnsi="David"/>
          <w:rtl/>
        </w:rPr>
        <w:t xml:space="preserve"> הידוע </w:t>
      </w:r>
      <w:r w:rsidR="0095772D">
        <w:rPr>
          <w:rFonts w:ascii="David" w:hAnsi="David" w:hint="cs"/>
          <w:rtl/>
        </w:rPr>
        <w:t xml:space="preserve">גם </w:t>
      </w:r>
      <w:r>
        <w:rPr>
          <w:rFonts w:ascii="David" w:hAnsi="David"/>
          <w:rtl/>
        </w:rPr>
        <w:t>כגוש 6668 חלקה 1287 (להלן: "</w:t>
      </w:r>
      <w:r>
        <w:rPr>
          <w:rFonts w:ascii="David" w:hAnsi="David"/>
          <w:b/>
          <w:bCs/>
          <w:rtl/>
        </w:rPr>
        <w:t>הנכס</w:t>
      </w:r>
      <w:r>
        <w:rPr>
          <w:rFonts w:ascii="David" w:hAnsi="David"/>
          <w:rtl/>
        </w:rPr>
        <w:t>"</w:t>
      </w:r>
      <w:r w:rsidR="001C7E50">
        <w:rPr>
          <w:rFonts w:ascii="David" w:hAnsi="David" w:hint="cs"/>
          <w:rtl/>
        </w:rPr>
        <w:t xml:space="preserve"> או </w:t>
      </w:r>
      <w:r w:rsidR="001C7E50">
        <w:rPr>
          <w:rFonts w:ascii="David" w:hAnsi="David" w:hint="cs"/>
          <w:b/>
          <w:bCs/>
          <w:rtl/>
        </w:rPr>
        <w:t>"בית המגורים"</w:t>
      </w:r>
      <w:r>
        <w:rPr>
          <w:rFonts w:ascii="David" w:hAnsi="David"/>
          <w:rtl/>
        </w:rPr>
        <w:t>)</w:t>
      </w:r>
      <w:r w:rsidR="001C7E50">
        <w:rPr>
          <w:rFonts w:ascii="David" w:hAnsi="David" w:hint="cs"/>
          <w:rtl/>
        </w:rPr>
        <w:t>.</w:t>
      </w:r>
    </w:p>
    <w:p w:rsidR="00CF026D" w:rsidRDefault="00CF026D" w:rsidP="0095772D">
      <w:pPr>
        <w:spacing w:line="360" w:lineRule="auto"/>
        <w:jc w:val="both"/>
        <w:rPr>
          <w:rFonts w:ascii="David" w:hAnsi="David"/>
          <w:rtl/>
        </w:rPr>
      </w:pPr>
      <w:r>
        <w:rPr>
          <w:rFonts w:ascii="David" w:hAnsi="David"/>
          <w:rtl/>
        </w:rPr>
        <w:tab/>
        <w:t>זה</w:t>
      </w:r>
      <w:r w:rsidR="0095772D">
        <w:rPr>
          <w:rFonts w:ascii="David" w:hAnsi="David" w:hint="cs"/>
          <w:rtl/>
        </w:rPr>
        <w:t>ו</w:t>
      </w:r>
      <w:r>
        <w:rPr>
          <w:rFonts w:ascii="David" w:hAnsi="David"/>
          <w:rtl/>
        </w:rPr>
        <w:t xml:space="preserve"> הנכס שאת מימושו עותר המבקש </w:t>
      </w:r>
      <w:r w:rsidR="0095772D">
        <w:rPr>
          <w:rFonts w:ascii="David" w:hAnsi="David" w:hint="cs"/>
          <w:rtl/>
        </w:rPr>
        <w:t>לעכב באמצעות הבקשה שלפני</w:t>
      </w:r>
      <w:r>
        <w:rPr>
          <w:rFonts w:ascii="David" w:hAnsi="David"/>
          <w:rtl/>
        </w:rPr>
        <w:t>.</w:t>
      </w:r>
    </w:p>
    <w:p w:rsidR="00CF026D" w:rsidRDefault="00CF026D" w:rsidP="00CF026D">
      <w:pPr>
        <w:spacing w:line="360" w:lineRule="auto"/>
        <w:jc w:val="both"/>
        <w:rPr>
          <w:rFonts w:ascii="David" w:hAnsi="David"/>
          <w:rtl/>
        </w:rPr>
      </w:pPr>
    </w:p>
    <w:p w:rsidR="00CF026D" w:rsidRDefault="00CF026D" w:rsidP="0095772D">
      <w:pPr>
        <w:spacing w:line="360" w:lineRule="auto"/>
        <w:ind w:left="720" w:hanging="720"/>
        <w:jc w:val="both"/>
        <w:rPr>
          <w:rFonts w:ascii="David" w:hAnsi="David"/>
          <w:rtl/>
        </w:rPr>
      </w:pPr>
      <w:r>
        <w:rPr>
          <w:rFonts w:ascii="David" w:hAnsi="David"/>
          <w:rtl/>
        </w:rPr>
        <w:t>4.</w:t>
      </w:r>
      <w:r>
        <w:rPr>
          <w:rFonts w:ascii="David" w:hAnsi="David"/>
          <w:rtl/>
        </w:rPr>
        <w:tab/>
        <w:t>המבקש טוען בתצהירו כי הסכם ההלוואה לקה בחובות הגילוי ולא נמסרו לו פרטים מלאים על ההלוואה – לשיטתו שלוש הלוואות – אותן קיבל. עוד לטעמו, ההסכם לא עומד בדרישות חוק אשראי הוגן התשנ"ג-1983 (להלן: "</w:t>
      </w:r>
      <w:r>
        <w:rPr>
          <w:rFonts w:ascii="David" w:hAnsi="David"/>
          <w:b/>
          <w:bCs/>
          <w:rtl/>
        </w:rPr>
        <w:t>חוק אשראי הוגן</w:t>
      </w:r>
      <w:r w:rsidR="00394865">
        <w:rPr>
          <w:rFonts w:ascii="David" w:hAnsi="David"/>
          <w:rtl/>
        </w:rPr>
        <w:t>") שכן לא</w:t>
      </w:r>
      <w:r w:rsidR="00394865">
        <w:rPr>
          <w:rFonts w:ascii="David" w:hAnsi="David" w:hint="cs"/>
          <w:rtl/>
        </w:rPr>
        <w:t xml:space="preserve"> נקוב</w:t>
      </w:r>
      <w:r>
        <w:rPr>
          <w:rFonts w:ascii="David" w:hAnsi="David"/>
          <w:rtl/>
        </w:rPr>
        <w:t>ים בו תקופת ההלוואה וסכומי התשלומים לפירעון ההלוואה</w:t>
      </w:r>
      <w:r w:rsidR="0095772D">
        <w:rPr>
          <w:rFonts w:ascii="David" w:hAnsi="David" w:hint="cs"/>
          <w:rtl/>
        </w:rPr>
        <w:t xml:space="preserve">,  כמו גם </w:t>
      </w:r>
      <w:r>
        <w:rPr>
          <w:rFonts w:ascii="David" w:hAnsi="David"/>
          <w:rtl/>
        </w:rPr>
        <w:t xml:space="preserve">שיעור הריבית או ריבית הפיגורים. </w:t>
      </w:r>
    </w:p>
    <w:p w:rsidR="00CF026D" w:rsidRDefault="00CF026D" w:rsidP="00CF026D">
      <w:pPr>
        <w:spacing w:line="360" w:lineRule="auto"/>
        <w:ind w:left="720" w:hanging="720"/>
        <w:jc w:val="both"/>
        <w:rPr>
          <w:rFonts w:ascii="David" w:hAnsi="David"/>
          <w:rtl/>
        </w:rPr>
      </w:pPr>
    </w:p>
    <w:p w:rsidR="00CF026D" w:rsidRDefault="00CF026D" w:rsidP="00CF026D">
      <w:pPr>
        <w:spacing w:line="360" w:lineRule="auto"/>
        <w:ind w:left="720" w:hanging="720"/>
        <w:jc w:val="both"/>
        <w:rPr>
          <w:rFonts w:ascii="David" w:hAnsi="David"/>
          <w:rtl/>
        </w:rPr>
      </w:pPr>
      <w:r>
        <w:rPr>
          <w:rFonts w:ascii="David" w:hAnsi="David"/>
          <w:rtl/>
        </w:rPr>
        <w:t>5.</w:t>
      </w:r>
      <w:r>
        <w:rPr>
          <w:rFonts w:ascii="David" w:hAnsi="David"/>
          <w:rtl/>
        </w:rPr>
        <w:tab/>
        <w:t>המבקש טוען, כי הריבית על פי הסכם ההלוואה עומדת על 26.8% לשנה בתוספת הצמדה למדד ו</w:t>
      </w:r>
      <w:r w:rsidR="0095772D">
        <w:rPr>
          <w:rFonts w:ascii="David" w:hAnsi="David" w:hint="cs"/>
          <w:rtl/>
        </w:rPr>
        <w:t xml:space="preserve">כי </w:t>
      </w:r>
      <w:r>
        <w:rPr>
          <w:rFonts w:ascii="David" w:hAnsi="David"/>
          <w:rtl/>
        </w:rPr>
        <w:t>זו</w:t>
      </w:r>
      <w:r w:rsidR="0095772D">
        <w:rPr>
          <w:rFonts w:ascii="David" w:hAnsi="David" w:hint="cs"/>
          <w:rtl/>
        </w:rPr>
        <w:t xml:space="preserve"> </w:t>
      </w:r>
      <w:r>
        <w:rPr>
          <w:rFonts w:ascii="David" w:hAnsi="David"/>
          <w:rtl/>
        </w:rPr>
        <w:t>הי</w:t>
      </w:r>
      <w:r w:rsidR="0095772D">
        <w:rPr>
          <w:rFonts w:ascii="David" w:hAnsi="David" w:hint="cs"/>
          <w:rtl/>
        </w:rPr>
        <w:t>א</w:t>
      </w:r>
      <w:r>
        <w:rPr>
          <w:rFonts w:ascii="David" w:hAnsi="David"/>
          <w:rtl/>
        </w:rPr>
        <w:t xml:space="preserve"> ריבית נשך האסורה על פי חוק אשראי הוגן (סעיף 26 לתצהירו). גם ריבית הפיגורים לטעמו מופרזת ובלתי חוקית (סעיף 29 לתצהירו). </w:t>
      </w:r>
    </w:p>
    <w:p w:rsidR="00CF026D" w:rsidRDefault="00CF026D" w:rsidP="00CF026D">
      <w:pPr>
        <w:spacing w:line="360" w:lineRule="auto"/>
        <w:ind w:left="720" w:hanging="720"/>
        <w:jc w:val="both"/>
        <w:rPr>
          <w:rFonts w:ascii="David" w:hAnsi="David"/>
          <w:rtl/>
        </w:rPr>
      </w:pPr>
    </w:p>
    <w:p w:rsidR="00CF026D" w:rsidRDefault="00CF026D" w:rsidP="001C7E50">
      <w:pPr>
        <w:spacing w:line="360" w:lineRule="auto"/>
        <w:ind w:left="720" w:hanging="720"/>
        <w:jc w:val="both"/>
        <w:rPr>
          <w:rFonts w:ascii="David" w:hAnsi="David"/>
          <w:rtl/>
        </w:rPr>
      </w:pPr>
      <w:r>
        <w:rPr>
          <w:rFonts w:ascii="David" w:hAnsi="David"/>
          <w:rtl/>
        </w:rPr>
        <w:t>6.</w:t>
      </w:r>
      <w:r>
        <w:rPr>
          <w:rFonts w:ascii="David" w:hAnsi="David"/>
          <w:rtl/>
        </w:rPr>
        <w:tab/>
        <w:t>בנוסף</w:t>
      </w:r>
      <w:r w:rsidR="0095772D">
        <w:rPr>
          <w:rFonts w:ascii="David" w:hAnsi="David" w:hint="cs"/>
          <w:rtl/>
        </w:rPr>
        <w:t>,</w:t>
      </w:r>
      <w:r>
        <w:rPr>
          <w:rFonts w:ascii="David" w:hAnsi="David"/>
          <w:rtl/>
        </w:rPr>
        <w:t xml:space="preserve"> טוען המבקש כי פרע את מלוא חובו למשיבה עוד ביום 14.5.2020 </w:t>
      </w:r>
      <w:r w:rsidR="0095772D">
        <w:rPr>
          <w:rFonts w:ascii="David" w:hAnsi="David"/>
          <w:rtl/>
        </w:rPr>
        <w:t>כאשר שילם לה סך של 2.2 מיליון ₪</w:t>
      </w:r>
      <w:r w:rsidR="0095772D">
        <w:rPr>
          <w:rFonts w:ascii="David" w:hAnsi="David" w:hint="cs"/>
          <w:rtl/>
        </w:rPr>
        <w:t xml:space="preserve">. לטענתו, </w:t>
      </w:r>
      <w:r w:rsidR="001C7E50">
        <w:rPr>
          <w:rFonts w:ascii="David" w:hAnsi="David" w:hint="cs"/>
          <w:rtl/>
        </w:rPr>
        <w:t>יש בכך</w:t>
      </w:r>
      <w:r>
        <w:rPr>
          <w:rFonts w:ascii="David" w:hAnsi="David"/>
          <w:rtl/>
        </w:rPr>
        <w:t xml:space="preserve"> כדי לסלק את מלוא החוב (סעיפים 31 – 33 לתצהירו). </w:t>
      </w:r>
    </w:p>
    <w:p w:rsidR="00CF026D" w:rsidRDefault="00CF026D" w:rsidP="00CF026D">
      <w:pPr>
        <w:spacing w:line="360" w:lineRule="auto"/>
        <w:ind w:left="720" w:hanging="720"/>
        <w:jc w:val="both"/>
        <w:rPr>
          <w:rFonts w:ascii="David" w:hAnsi="David"/>
          <w:rtl/>
        </w:rPr>
      </w:pPr>
      <w:r>
        <w:rPr>
          <w:rFonts w:ascii="David" w:hAnsi="David"/>
          <w:rtl/>
        </w:rPr>
        <w:tab/>
      </w:r>
      <w:r w:rsidR="001C7E50">
        <w:rPr>
          <w:rFonts w:ascii="David" w:hAnsi="David" w:hint="cs"/>
          <w:rtl/>
        </w:rPr>
        <w:t xml:space="preserve">עוד טוען המבקש, כי </w:t>
      </w:r>
      <w:r>
        <w:rPr>
          <w:rFonts w:ascii="David" w:hAnsi="David"/>
          <w:rtl/>
        </w:rPr>
        <w:t xml:space="preserve">שטר המשכנתא מוגבל לסך של 2.5 מיליון ₪ ועל כן אין המשיבה רשאית מכוחו לתבוע סכומים העולים על כך. לדבריו, </w:t>
      </w:r>
      <w:r w:rsidR="001C7E50">
        <w:rPr>
          <w:rFonts w:ascii="David" w:hAnsi="David" w:hint="cs"/>
          <w:rtl/>
        </w:rPr>
        <w:t xml:space="preserve">מר </w:t>
      </w:r>
      <w:r>
        <w:rPr>
          <w:rFonts w:ascii="David" w:hAnsi="David"/>
          <w:rtl/>
        </w:rPr>
        <w:t>משה בר שלטון</w:t>
      </w:r>
      <w:r w:rsidR="001C7E50">
        <w:rPr>
          <w:rFonts w:ascii="David" w:hAnsi="David" w:hint="cs"/>
          <w:rtl/>
        </w:rPr>
        <w:t>,</w:t>
      </w:r>
      <w:r>
        <w:rPr>
          <w:rFonts w:ascii="David" w:hAnsi="David"/>
          <w:rtl/>
        </w:rPr>
        <w:t xml:space="preserve"> שהוא המוציא והמביא אצל המשיבה</w:t>
      </w:r>
      <w:r w:rsidR="001C7E50">
        <w:rPr>
          <w:rFonts w:ascii="David" w:hAnsi="David" w:hint="cs"/>
          <w:rtl/>
        </w:rPr>
        <w:t>,</w:t>
      </w:r>
      <w:r>
        <w:rPr>
          <w:rFonts w:ascii="David" w:hAnsi="David"/>
          <w:rtl/>
        </w:rPr>
        <w:t xml:space="preserve"> נתן תצהיר בפתיחת תיק ההוצל"פ ושם הודה כי שולמו ע"י המבקש סך של 2.2 מיליון ₪ להחזר ההלוואה. </w:t>
      </w:r>
    </w:p>
    <w:p w:rsidR="00CF026D" w:rsidRDefault="00CF026D" w:rsidP="00CF026D">
      <w:pPr>
        <w:spacing w:line="360" w:lineRule="auto"/>
        <w:ind w:left="720" w:hanging="720"/>
        <w:jc w:val="both"/>
        <w:rPr>
          <w:rFonts w:ascii="David" w:hAnsi="David"/>
          <w:rtl/>
        </w:rPr>
      </w:pPr>
    </w:p>
    <w:p w:rsidR="00CF026D" w:rsidRDefault="00CF026D" w:rsidP="001C7E50">
      <w:pPr>
        <w:spacing w:line="360" w:lineRule="auto"/>
        <w:ind w:left="720" w:hanging="720"/>
        <w:jc w:val="both"/>
        <w:rPr>
          <w:rFonts w:ascii="David" w:hAnsi="David"/>
          <w:rtl/>
        </w:rPr>
      </w:pPr>
      <w:r>
        <w:rPr>
          <w:rFonts w:ascii="David" w:hAnsi="David"/>
          <w:rtl/>
        </w:rPr>
        <w:t>7.</w:t>
      </w:r>
      <w:r>
        <w:rPr>
          <w:rFonts w:ascii="David" w:hAnsi="David"/>
          <w:rtl/>
        </w:rPr>
        <w:tab/>
      </w:r>
      <w:r w:rsidR="001C7E50">
        <w:rPr>
          <w:rFonts w:ascii="David" w:hAnsi="David" w:hint="cs"/>
          <w:rtl/>
        </w:rPr>
        <w:t>לטענת המבקש,</w:t>
      </w:r>
      <w:r>
        <w:rPr>
          <w:rFonts w:ascii="David" w:hAnsi="David"/>
          <w:rtl/>
        </w:rPr>
        <w:t xml:space="preserve"> התנהלות המשיבה מהווה הפרה של הסכם ההלוואה ולכן היא זו שחייבת לו כספים – פיצוי מוסכם (סעיף 35 לתצהיר)</w:t>
      </w:r>
      <w:r w:rsidR="001C7E50">
        <w:rPr>
          <w:rFonts w:ascii="David" w:hAnsi="David" w:hint="cs"/>
          <w:rtl/>
        </w:rPr>
        <w:t>.</w:t>
      </w:r>
      <w:r>
        <w:rPr>
          <w:rFonts w:ascii="David" w:hAnsi="David"/>
          <w:rtl/>
        </w:rPr>
        <w:t xml:space="preserve"> ההפרה מתבטאת </w:t>
      </w:r>
      <w:r w:rsidR="001C7E50">
        <w:rPr>
          <w:rFonts w:ascii="David" w:hAnsi="David" w:hint="cs"/>
          <w:rtl/>
        </w:rPr>
        <w:t xml:space="preserve">לטענתו </w:t>
      </w:r>
      <w:r>
        <w:rPr>
          <w:rFonts w:ascii="David" w:hAnsi="David"/>
          <w:rtl/>
        </w:rPr>
        <w:t xml:space="preserve">בריבית הנשך ובהלוואה של "כסף שחור" (סעיף 36 לתצהיר). </w:t>
      </w:r>
    </w:p>
    <w:p w:rsidR="00CF026D" w:rsidRDefault="00CF026D" w:rsidP="00CF026D">
      <w:pPr>
        <w:spacing w:line="360" w:lineRule="auto"/>
        <w:ind w:left="720" w:hanging="720"/>
        <w:jc w:val="both"/>
        <w:rPr>
          <w:rFonts w:ascii="David" w:hAnsi="David"/>
          <w:rtl/>
        </w:rPr>
      </w:pPr>
    </w:p>
    <w:p w:rsidR="00CF026D" w:rsidRDefault="00CF026D" w:rsidP="00CF026D">
      <w:pPr>
        <w:spacing w:line="360" w:lineRule="auto"/>
        <w:ind w:left="720" w:hanging="720"/>
        <w:jc w:val="both"/>
        <w:rPr>
          <w:rFonts w:ascii="David" w:hAnsi="David"/>
          <w:rtl/>
        </w:rPr>
      </w:pPr>
      <w:r>
        <w:rPr>
          <w:rFonts w:ascii="David" w:hAnsi="David"/>
          <w:rtl/>
        </w:rPr>
        <w:t>8.</w:t>
      </w:r>
      <w:r>
        <w:rPr>
          <w:rFonts w:ascii="David" w:hAnsi="David"/>
          <w:rtl/>
        </w:rPr>
        <w:tab/>
        <w:t xml:space="preserve">המבקש מוסיף כי ייגרם לו נזק משמעותי אם יימכר בית המגורים המשפחתי וארבעת ילדיו יסולקו מביתם (סעיף 42 לתצהיר). לעומת זאת, לא ייגרם </w:t>
      </w:r>
      <w:r w:rsidR="00394865">
        <w:rPr>
          <w:rFonts w:ascii="David" w:hAnsi="David" w:hint="cs"/>
          <w:rtl/>
        </w:rPr>
        <w:t xml:space="preserve">לדבריו </w:t>
      </w:r>
      <w:r>
        <w:rPr>
          <w:rFonts w:ascii="David" w:hAnsi="David"/>
          <w:rtl/>
        </w:rPr>
        <w:t>שום נזק למשיבה אם ההליכים למימוש המשכנתא יעוכבו עד למתן פסק דין בתובענה</w:t>
      </w:r>
      <w:r w:rsidR="001C7E50">
        <w:rPr>
          <w:rFonts w:ascii="David" w:hAnsi="David" w:hint="cs"/>
          <w:rtl/>
        </w:rPr>
        <w:t>,</w:t>
      </w:r>
      <w:r>
        <w:rPr>
          <w:rFonts w:ascii="David" w:hAnsi="David"/>
          <w:rtl/>
        </w:rPr>
        <w:t xml:space="preserve"> כאשר לטענתו כבר שילם את מירב הסכומים לסילוק החוב, שעה ששוויו של בית המגורים מוערך ע"י שמאי מקרקעין</w:t>
      </w:r>
      <w:r w:rsidR="001C7E50">
        <w:rPr>
          <w:rFonts w:ascii="David" w:hAnsi="David" w:hint="cs"/>
          <w:rtl/>
        </w:rPr>
        <w:t>,</w:t>
      </w:r>
      <w:r>
        <w:rPr>
          <w:rFonts w:ascii="David" w:hAnsi="David"/>
          <w:rtl/>
        </w:rPr>
        <w:t xml:space="preserve"> שחוות דעתו צורפה כנספח 5 לבקשה, בסכום של 16.5 מיליון ₪. </w:t>
      </w:r>
    </w:p>
    <w:p w:rsidR="00CF026D" w:rsidRDefault="00CF026D" w:rsidP="00CF026D">
      <w:pPr>
        <w:spacing w:line="360" w:lineRule="auto"/>
        <w:ind w:left="720" w:hanging="720"/>
        <w:jc w:val="both"/>
        <w:rPr>
          <w:rFonts w:ascii="David" w:hAnsi="David"/>
          <w:rtl/>
        </w:rPr>
      </w:pPr>
    </w:p>
    <w:p w:rsidR="00CF026D" w:rsidRDefault="00CF026D" w:rsidP="001C7E50">
      <w:pPr>
        <w:spacing w:line="360" w:lineRule="auto"/>
        <w:ind w:left="720" w:hanging="720"/>
        <w:jc w:val="both"/>
        <w:rPr>
          <w:rFonts w:ascii="David" w:hAnsi="David"/>
          <w:rtl/>
        </w:rPr>
      </w:pPr>
      <w:r>
        <w:rPr>
          <w:rFonts w:ascii="David" w:hAnsi="David"/>
          <w:rtl/>
        </w:rPr>
        <w:lastRenderedPageBreak/>
        <w:t>9.</w:t>
      </w:r>
      <w:r>
        <w:rPr>
          <w:rFonts w:ascii="David" w:hAnsi="David"/>
          <w:rtl/>
        </w:rPr>
        <w:tab/>
        <w:t xml:space="preserve">המבקש גורס, כי </w:t>
      </w:r>
      <w:r w:rsidR="001C7E50">
        <w:rPr>
          <w:rFonts w:ascii="David" w:hAnsi="David" w:hint="cs"/>
          <w:rtl/>
        </w:rPr>
        <w:t>כי לאור שווי</w:t>
      </w:r>
      <w:r>
        <w:rPr>
          <w:rFonts w:ascii="David" w:hAnsi="David"/>
          <w:rtl/>
        </w:rPr>
        <w:t xml:space="preserve"> </w:t>
      </w:r>
      <w:r w:rsidR="001C7E50">
        <w:rPr>
          <w:rFonts w:ascii="David" w:hAnsi="David" w:hint="cs"/>
          <w:rtl/>
        </w:rPr>
        <w:t>בית המגורים כאמור,</w:t>
      </w:r>
      <w:r>
        <w:rPr>
          <w:rFonts w:ascii="David" w:hAnsi="David"/>
          <w:rtl/>
        </w:rPr>
        <w:t xml:space="preserve"> אין צורך לחייב אותו בהפקדת ערובה</w:t>
      </w:r>
      <w:r w:rsidR="001C7E50">
        <w:rPr>
          <w:rFonts w:ascii="David" w:hAnsi="David" w:hint="cs"/>
          <w:rtl/>
        </w:rPr>
        <w:t xml:space="preserve"> (כתנאי להיעתרות לבקשה),</w:t>
      </w:r>
      <w:r>
        <w:rPr>
          <w:rFonts w:ascii="David" w:hAnsi="David"/>
          <w:rtl/>
        </w:rPr>
        <w:t xml:space="preserve"> משום ערכו הרב המשמש כשלעצמו ערובה.</w:t>
      </w:r>
    </w:p>
    <w:p w:rsidR="001C7E50" w:rsidRDefault="001C7E50" w:rsidP="001C7E50">
      <w:pPr>
        <w:spacing w:line="360" w:lineRule="auto"/>
        <w:ind w:left="720" w:hanging="720"/>
        <w:jc w:val="both"/>
        <w:rPr>
          <w:rFonts w:ascii="David" w:hAnsi="David"/>
          <w:rtl/>
        </w:rPr>
      </w:pPr>
    </w:p>
    <w:p w:rsidR="00CF026D" w:rsidRDefault="00CF026D" w:rsidP="00CF026D">
      <w:pPr>
        <w:spacing w:line="360" w:lineRule="auto"/>
        <w:ind w:left="720" w:hanging="720"/>
        <w:jc w:val="both"/>
        <w:rPr>
          <w:rFonts w:ascii="David" w:hAnsi="David"/>
          <w:rtl/>
        </w:rPr>
      </w:pPr>
      <w:r>
        <w:rPr>
          <w:rFonts w:ascii="David" w:hAnsi="David"/>
          <w:b/>
          <w:bCs/>
          <w:sz w:val="26"/>
          <w:szCs w:val="26"/>
          <w:u w:val="single"/>
          <w:rtl/>
        </w:rPr>
        <w:t>התשובה:</w:t>
      </w:r>
    </w:p>
    <w:p w:rsidR="00CF026D" w:rsidRDefault="00CF026D" w:rsidP="00CF026D">
      <w:pPr>
        <w:spacing w:line="360" w:lineRule="auto"/>
        <w:ind w:left="720" w:hanging="720"/>
        <w:jc w:val="both"/>
        <w:rPr>
          <w:rFonts w:ascii="David" w:hAnsi="David"/>
          <w:rtl/>
        </w:rPr>
      </w:pPr>
    </w:p>
    <w:p w:rsidR="00CF026D" w:rsidRDefault="00CF026D" w:rsidP="00CF026D">
      <w:pPr>
        <w:spacing w:line="360" w:lineRule="auto"/>
        <w:ind w:left="720" w:hanging="720"/>
        <w:jc w:val="both"/>
        <w:rPr>
          <w:rFonts w:ascii="David" w:hAnsi="David"/>
          <w:rtl/>
        </w:rPr>
      </w:pPr>
      <w:r>
        <w:rPr>
          <w:rFonts w:ascii="David" w:hAnsi="David"/>
          <w:rtl/>
        </w:rPr>
        <w:t>10.</w:t>
      </w:r>
      <w:r>
        <w:rPr>
          <w:rFonts w:ascii="David" w:hAnsi="David"/>
          <w:rtl/>
        </w:rPr>
        <w:tab/>
        <w:t xml:space="preserve">המשיבה טוענת כי מדובר בבקשת סרק שכל תכליתה להתחמק מתשלום החוב. עוד הוסיפה, כי קיים הליך מקביל עם אותן טענות שהגישה אורלי כנגד המשיבה. מספר התיק שצוין בתשובה לא היה מדויק והצדדים סיפקו את מספר התיק הנכון- </w:t>
      </w:r>
      <w:r w:rsidR="00394865">
        <w:rPr>
          <w:rFonts w:ascii="David" w:hAnsi="David" w:hint="cs"/>
          <w:rtl/>
        </w:rPr>
        <w:t xml:space="preserve">ת.א. (מחוזי </w:t>
      </w:r>
      <w:r>
        <w:rPr>
          <w:rFonts w:ascii="David" w:hAnsi="David"/>
          <w:rtl/>
        </w:rPr>
        <w:t>ת"א</w:t>
      </w:r>
      <w:r w:rsidR="00394865">
        <w:rPr>
          <w:rFonts w:ascii="David" w:hAnsi="David" w:hint="cs"/>
          <w:rtl/>
        </w:rPr>
        <w:t>)</w:t>
      </w:r>
      <w:r>
        <w:rPr>
          <w:rFonts w:ascii="David" w:hAnsi="David"/>
          <w:rtl/>
        </w:rPr>
        <w:t xml:space="preserve"> 13466-01-23 (להלן: "</w:t>
      </w:r>
      <w:r>
        <w:rPr>
          <w:rFonts w:ascii="David" w:hAnsi="David"/>
          <w:b/>
          <w:bCs/>
          <w:rtl/>
        </w:rPr>
        <w:t>תביעת אורלי</w:t>
      </w:r>
      <w:r>
        <w:rPr>
          <w:rFonts w:ascii="David" w:hAnsi="David"/>
          <w:rtl/>
        </w:rPr>
        <w:t>")</w:t>
      </w:r>
      <w:r w:rsidR="00743C56">
        <w:rPr>
          <w:rFonts w:ascii="David" w:hAnsi="David" w:hint="cs"/>
          <w:rtl/>
        </w:rPr>
        <w:t>,</w:t>
      </w:r>
      <w:r>
        <w:rPr>
          <w:rFonts w:ascii="David" w:hAnsi="David"/>
          <w:rtl/>
        </w:rPr>
        <w:t xml:space="preserve"> המתנהלת בבית המשפט המחוזי בתל-אביב. </w:t>
      </w:r>
    </w:p>
    <w:p w:rsidR="00CF026D" w:rsidRDefault="00CF026D" w:rsidP="00CF026D">
      <w:pPr>
        <w:spacing w:line="360" w:lineRule="auto"/>
        <w:ind w:left="720" w:hanging="720"/>
        <w:jc w:val="both"/>
        <w:rPr>
          <w:rFonts w:ascii="David" w:hAnsi="David"/>
          <w:rtl/>
        </w:rPr>
      </w:pPr>
    </w:p>
    <w:p w:rsidR="00CF026D" w:rsidRDefault="00CF026D" w:rsidP="004E6C69">
      <w:pPr>
        <w:spacing w:line="360" w:lineRule="auto"/>
        <w:ind w:left="720" w:hanging="720"/>
        <w:jc w:val="both"/>
        <w:rPr>
          <w:rFonts w:ascii="David" w:hAnsi="David"/>
          <w:rtl/>
        </w:rPr>
      </w:pPr>
      <w:r>
        <w:rPr>
          <w:rFonts w:ascii="David" w:hAnsi="David"/>
          <w:rtl/>
        </w:rPr>
        <w:t>11.</w:t>
      </w:r>
      <w:r>
        <w:rPr>
          <w:rFonts w:ascii="David" w:hAnsi="David"/>
          <w:rtl/>
        </w:rPr>
        <w:tab/>
        <w:t>המשיבה מחדדת</w:t>
      </w:r>
      <w:r w:rsidR="00743C56">
        <w:rPr>
          <w:rFonts w:ascii="David" w:hAnsi="David" w:hint="cs"/>
          <w:rtl/>
        </w:rPr>
        <w:t>,</w:t>
      </w:r>
      <w:r>
        <w:rPr>
          <w:rFonts w:ascii="David" w:hAnsi="David"/>
          <w:rtl/>
        </w:rPr>
        <w:t xml:space="preserve"> כי אורלי </w:t>
      </w:r>
      <w:r w:rsidR="00743C56">
        <w:rPr>
          <w:rFonts w:ascii="David" w:hAnsi="David" w:hint="cs"/>
          <w:rtl/>
        </w:rPr>
        <w:t xml:space="preserve">היא </w:t>
      </w:r>
      <w:r>
        <w:rPr>
          <w:rFonts w:ascii="David" w:hAnsi="David"/>
          <w:rtl/>
        </w:rPr>
        <w:t xml:space="preserve">הבעלים הרשום של המקרקעין על פי נסח הרישום שצורף </w:t>
      </w:r>
      <w:r>
        <w:rPr>
          <w:rFonts w:ascii="David" w:hAnsi="David"/>
          <w:b/>
          <w:bCs/>
          <w:rtl/>
        </w:rPr>
        <w:t>כנספח א'</w:t>
      </w:r>
      <w:r w:rsidR="00743C56">
        <w:rPr>
          <w:rFonts w:ascii="David" w:hAnsi="David"/>
          <w:rtl/>
        </w:rPr>
        <w:t xml:space="preserve"> לתשובה</w:t>
      </w:r>
      <w:r w:rsidR="00743C56">
        <w:rPr>
          <w:rFonts w:ascii="David" w:hAnsi="David" w:hint="cs"/>
          <w:rtl/>
        </w:rPr>
        <w:t xml:space="preserve">. </w:t>
      </w:r>
      <w:r>
        <w:rPr>
          <w:rFonts w:ascii="David" w:hAnsi="David"/>
          <w:rtl/>
        </w:rPr>
        <w:t>לכן</w:t>
      </w:r>
      <w:r w:rsidR="00743C56">
        <w:rPr>
          <w:rFonts w:ascii="David" w:hAnsi="David" w:hint="cs"/>
          <w:rtl/>
        </w:rPr>
        <w:t>,</w:t>
      </w:r>
      <w:r>
        <w:rPr>
          <w:rFonts w:ascii="David" w:hAnsi="David"/>
          <w:rtl/>
        </w:rPr>
        <w:t xml:space="preserve"> למבקש למעשה אין זכות גישה לערכאות </w:t>
      </w:r>
      <w:r w:rsidR="004E6C69">
        <w:rPr>
          <w:rFonts w:ascii="David" w:hAnsi="David" w:hint="cs"/>
          <w:rtl/>
        </w:rPr>
        <w:t>לצורך עתירה כנגד</w:t>
      </w:r>
      <w:r w:rsidR="004E6C69">
        <w:rPr>
          <w:rFonts w:ascii="David" w:hAnsi="David"/>
          <w:rtl/>
        </w:rPr>
        <w:t xml:space="preserve"> </w:t>
      </w:r>
      <w:r>
        <w:rPr>
          <w:rFonts w:ascii="David" w:hAnsi="David"/>
          <w:rtl/>
        </w:rPr>
        <w:t xml:space="preserve">מימוש הנכס. </w:t>
      </w:r>
    </w:p>
    <w:p w:rsidR="00CF026D" w:rsidRDefault="00CF026D" w:rsidP="00CF026D">
      <w:pPr>
        <w:spacing w:line="360" w:lineRule="auto"/>
        <w:ind w:left="720" w:hanging="720"/>
        <w:jc w:val="both"/>
        <w:rPr>
          <w:rFonts w:ascii="David" w:hAnsi="David"/>
          <w:rtl/>
        </w:rPr>
      </w:pPr>
    </w:p>
    <w:p w:rsidR="00CF026D" w:rsidRDefault="00CF026D" w:rsidP="00CF026D">
      <w:pPr>
        <w:spacing w:line="360" w:lineRule="auto"/>
        <w:ind w:left="720" w:hanging="720"/>
        <w:jc w:val="both"/>
        <w:rPr>
          <w:rFonts w:ascii="David" w:hAnsi="David"/>
          <w:rtl/>
        </w:rPr>
      </w:pPr>
      <w:r>
        <w:rPr>
          <w:rFonts w:ascii="David" w:hAnsi="David"/>
          <w:rtl/>
        </w:rPr>
        <w:t>12.</w:t>
      </w:r>
      <w:r>
        <w:rPr>
          <w:rFonts w:ascii="David" w:hAnsi="David"/>
          <w:rtl/>
        </w:rPr>
        <w:tab/>
        <w:t xml:space="preserve">המשיבה </w:t>
      </w:r>
      <w:r w:rsidR="004E6C69">
        <w:rPr>
          <w:rFonts w:ascii="David" w:hAnsi="David" w:hint="cs"/>
          <w:rtl/>
        </w:rPr>
        <w:t xml:space="preserve">גם </w:t>
      </w:r>
      <w:r>
        <w:rPr>
          <w:rFonts w:ascii="David" w:hAnsi="David"/>
          <w:rtl/>
        </w:rPr>
        <w:t>טוענת לשיהוי</w:t>
      </w:r>
      <w:r w:rsidR="004E6C69">
        <w:rPr>
          <w:rFonts w:ascii="David" w:hAnsi="David" w:hint="cs"/>
          <w:rtl/>
        </w:rPr>
        <w:t>,</w:t>
      </w:r>
      <w:r>
        <w:rPr>
          <w:rFonts w:ascii="David" w:hAnsi="David"/>
          <w:rtl/>
        </w:rPr>
        <w:t xml:space="preserve"> כאשר לטענתה המבקש מודע להליכים הן בבית המשפט והן בלשכת ההוצל"פ במשך שנים, ורק כעת הוא בוחר להגיש את הבקשה. </w:t>
      </w:r>
    </w:p>
    <w:p w:rsidR="00CF026D" w:rsidRDefault="00CF026D" w:rsidP="00CF026D">
      <w:pPr>
        <w:spacing w:line="360" w:lineRule="auto"/>
        <w:ind w:left="720" w:hanging="720"/>
        <w:jc w:val="both"/>
        <w:rPr>
          <w:rFonts w:ascii="David" w:hAnsi="David"/>
          <w:rtl/>
        </w:rPr>
      </w:pPr>
    </w:p>
    <w:p w:rsidR="00CF026D" w:rsidRDefault="00CF026D" w:rsidP="00CF026D">
      <w:pPr>
        <w:spacing w:line="360" w:lineRule="auto"/>
        <w:ind w:left="720" w:hanging="720"/>
        <w:jc w:val="both"/>
        <w:rPr>
          <w:rFonts w:ascii="David" w:hAnsi="David"/>
          <w:rtl/>
        </w:rPr>
      </w:pPr>
      <w:r>
        <w:rPr>
          <w:rFonts w:ascii="David" w:hAnsi="David"/>
          <w:rtl/>
        </w:rPr>
        <w:t>13.</w:t>
      </w:r>
      <w:r>
        <w:rPr>
          <w:rFonts w:ascii="David" w:hAnsi="David"/>
          <w:rtl/>
        </w:rPr>
        <w:tab/>
        <w:t>המשיבה מוסיפה, כי המבקש לא בא בידיים נקיות לבית המשפט לאחר שביום 1.3.2023 הוא חתם על התחייבות לתשלום סכום מופחת לצורכי פשרה עד לסוף חודש יוני 2023</w:t>
      </w:r>
      <w:r w:rsidR="004E6C69">
        <w:rPr>
          <w:rFonts w:ascii="David" w:hAnsi="David" w:hint="cs"/>
          <w:rtl/>
        </w:rPr>
        <w:t>,</w:t>
      </w:r>
      <w:r>
        <w:rPr>
          <w:rFonts w:ascii="David" w:hAnsi="David"/>
          <w:rtl/>
        </w:rPr>
        <w:t xml:space="preserve"> והסכים כי במידה ולא יעמוד בהסדר יימשכו הליכי המימוש (נספח ג' לתשובה).</w:t>
      </w:r>
    </w:p>
    <w:p w:rsidR="00CF026D" w:rsidRDefault="00CF026D" w:rsidP="004E6C69">
      <w:pPr>
        <w:spacing w:line="360" w:lineRule="auto"/>
        <w:ind w:left="720" w:hanging="720"/>
        <w:jc w:val="both"/>
        <w:rPr>
          <w:rFonts w:ascii="David" w:hAnsi="David"/>
          <w:rtl/>
        </w:rPr>
      </w:pPr>
      <w:r>
        <w:rPr>
          <w:rFonts w:ascii="David" w:hAnsi="David"/>
          <w:rtl/>
        </w:rPr>
        <w:tab/>
        <w:t xml:space="preserve">לטעמה </w:t>
      </w:r>
      <w:r w:rsidR="004E6C69">
        <w:rPr>
          <w:rFonts w:ascii="David" w:hAnsi="David" w:hint="cs"/>
          <w:rtl/>
        </w:rPr>
        <w:t xml:space="preserve">של המשיבה, </w:t>
      </w:r>
      <w:r>
        <w:rPr>
          <w:rFonts w:ascii="David" w:hAnsi="David"/>
          <w:rtl/>
        </w:rPr>
        <w:t>מדובר בהודאת בעל דין השוללת את</w:t>
      </w:r>
      <w:r w:rsidR="004E6C69">
        <w:rPr>
          <w:rFonts w:ascii="David" w:hAnsi="David"/>
          <w:rtl/>
        </w:rPr>
        <w:t xml:space="preserve"> כל טענותיו ביחס לפירעון התשלום</w:t>
      </w:r>
      <w:r w:rsidR="004E6C69">
        <w:rPr>
          <w:rFonts w:ascii="David" w:hAnsi="David" w:hint="cs"/>
          <w:rtl/>
        </w:rPr>
        <w:t xml:space="preserve">, וכן </w:t>
      </w:r>
      <w:r>
        <w:rPr>
          <w:rFonts w:ascii="David" w:hAnsi="David"/>
          <w:rtl/>
        </w:rPr>
        <w:t>משמיטה את כל בסיסה של התביעה והבקשה לעיכוב הליכים.</w:t>
      </w:r>
    </w:p>
    <w:p w:rsidR="00CF026D" w:rsidRDefault="00CF026D" w:rsidP="00CF026D">
      <w:pPr>
        <w:spacing w:line="360" w:lineRule="auto"/>
        <w:ind w:left="720" w:hanging="720"/>
        <w:jc w:val="both"/>
        <w:rPr>
          <w:rFonts w:ascii="David" w:hAnsi="David"/>
          <w:rtl/>
        </w:rPr>
      </w:pPr>
    </w:p>
    <w:p w:rsidR="00CF026D" w:rsidRDefault="00CF026D" w:rsidP="00CF026D">
      <w:pPr>
        <w:spacing w:line="360" w:lineRule="auto"/>
        <w:ind w:left="720" w:hanging="720"/>
        <w:jc w:val="both"/>
        <w:rPr>
          <w:rFonts w:ascii="David" w:hAnsi="David"/>
          <w:rtl/>
        </w:rPr>
      </w:pPr>
      <w:r>
        <w:rPr>
          <w:rFonts w:ascii="David" w:hAnsi="David"/>
          <w:rtl/>
        </w:rPr>
        <w:t>14.</w:t>
      </w:r>
      <w:r>
        <w:rPr>
          <w:rFonts w:ascii="David" w:hAnsi="David"/>
          <w:rtl/>
        </w:rPr>
        <w:tab/>
        <w:t>המשיבה מאשרת כי המבקש שילם בחודש מאי 2020 סך של 2.2 מיליון ₪ ע"ח החוב</w:t>
      </w:r>
      <w:r w:rsidR="004E6C69">
        <w:rPr>
          <w:rFonts w:ascii="David" w:hAnsi="David" w:hint="cs"/>
          <w:rtl/>
        </w:rPr>
        <w:t>,</w:t>
      </w:r>
      <w:r>
        <w:rPr>
          <w:rFonts w:ascii="David" w:hAnsi="David"/>
          <w:rtl/>
        </w:rPr>
        <w:t xml:space="preserve"> אולם מאז לא שולם דבר</w:t>
      </w:r>
      <w:r w:rsidR="004E6C69">
        <w:rPr>
          <w:rFonts w:ascii="David" w:hAnsi="David" w:hint="cs"/>
          <w:rtl/>
        </w:rPr>
        <w:t xml:space="preserve"> לטענתה</w:t>
      </w:r>
      <w:r>
        <w:rPr>
          <w:rFonts w:ascii="David" w:hAnsi="David"/>
          <w:rtl/>
        </w:rPr>
        <w:t>. המשיבה מוסיפה, כי שטר המשכנתא הוגש לביצוע והחוב בתיק ההוצל"פ הופחת לצורכי אגרה על סך 4 מיליון ₪ בלבד (סעיף 19 לבקשה).</w:t>
      </w:r>
    </w:p>
    <w:p w:rsidR="00CF026D" w:rsidRDefault="00CF026D" w:rsidP="00CF026D">
      <w:pPr>
        <w:spacing w:line="360" w:lineRule="auto"/>
        <w:ind w:left="720" w:hanging="720"/>
        <w:jc w:val="both"/>
        <w:rPr>
          <w:rFonts w:ascii="David" w:hAnsi="David"/>
          <w:rtl/>
        </w:rPr>
      </w:pPr>
    </w:p>
    <w:p w:rsidR="00394865" w:rsidRDefault="00CF026D" w:rsidP="00394865">
      <w:pPr>
        <w:spacing w:line="360" w:lineRule="auto"/>
        <w:ind w:left="720" w:hanging="720"/>
        <w:jc w:val="both"/>
        <w:rPr>
          <w:rFonts w:ascii="David" w:hAnsi="David"/>
          <w:rtl/>
        </w:rPr>
      </w:pPr>
      <w:r>
        <w:rPr>
          <w:rFonts w:ascii="David" w:hAnsi="David"/>
          <w:rtl/>
        </w:rPr>
        <w:t>15.</w:t>
      </w:r>
      <w:r>
        <w:rPr>
          <w:rFonts w:ascii="David" w:hAnsi="David"/>
          <w:rtl/>
        </w:rPr>
        <w:tab/>
        <w:t xml:space="preserve">שני הצדדים מציינים את קיומו של ההליך ה.פ. 7903-04-17 </w:t>
      </w:r>
      <w:r w:rsidRPr="004E6C69">
        <w:rPr>
          <w:rFonts w:ascii="David" w:hAnsi="David"/>
          <w:b/>
          <w:bCs/>
          <w:rtl/>
        </w:rPr>
        <w:t>עירית תל-אביב נ' אקוקה</w:t>
      </w:r>
      <w:r>
        <w:rPr>
          <w:rFonts w:ascii="David" w:hAnsi="David"/>
          <w:rtl/>
        </w:rPr>
        <w:t xml:space="preserve"> (להלן: "</w:t>
      </w:r>
      <w:r>
        <w:rPr>
          <w:rFonts w:ascii="David" w:hAnsi="David"/>
          <w:b/>
          <w:bCs/>
          <w:rtl/>
        </w:rPr>
        <w:t>תיק ה.פ.</w:t>
      </w:r>
      <w:r>
        <w:rPr>
          <w:rFonts w:ascii="David" w:hAnsi="David"/>
          <w:rtl/>
        </w:rPr>
        <w:t xml:space="preserve">") שהתנהל </w:t>
      </w:r>
      <w:r w:rsidR="00394865">
        <w:rPr>
          <w:rFonts w:ascii="David" w:hAnsi="David" w:hint="cs"/>
          <w:rtl/>
        </w:rPr>
        <w:t xml:space="preserve">אף הוא </w:t>
      </w:r>
      <w:r>
        <w:rPr>
          <w:rFonts w:ascii="David" w:hAnsi="David"/>
          <w:rtl/>
        </w:rPr>
        <w:t xml:space="preserve">בבית המשפט המחוזי בתל-אביב. המשיבה גורסת, כי בפסק הדין שניתן שם נקבע כי המבקש אומנם זכאי להירשם כבעל הזכויות בנכס, אולם רישום זה לא יפגע בתוקפה של המשכנתא הרובצת על הנכס לטובת המשיבה.  </w:t>
      </w:r>
    </w:p>
    <w:p w:rsidR="00CF026D" w:rsidRDefault="00CF026D" w:rsidP="00394865">
      <w:pPr>
        <w:spacing w:line="360" w:lineRule="auto"/>
        <w:ind w:left="720"/>
        <w:jc w:val="both"/>
        <w:rPr>
          <w:rFonts w:ascii="David" w:hAnsi="David"/>
          <w:rtl/>
        </w:rPr>
      </w:pPr>
      <w:r>
        <w:rPr>
          <w:rFonts w:ascii="David" w:hAnsi="David"/>
          <w:rtl/>
        </w:rPr>
        <w:lastRenderedPageBreak/>
        <w:t>לא למו</w:t>
      </w:r>
      <w:r w:rsidR="00394865">
        <w:rPr>
          <w:rFonts w:ascii="David" w:hAnsi="David"/>
          <w:rtl/>
        </w:rPr>
        <w:t xml:space="preserve">תר לציין כבר בשלב זה, כי פסק הדין </w:t>
      </w:r>
      <w:r>
        <w:rPr>
          <w:rFonts w:ascii="David" w:hAnsi="David"/>
          <w:rtl/>
        </w:rPr>
        <w:t xml:space="preserve">ניתן </w:t>
      </w:r>
      <w:r w:rsidR="00394865">
        <w:rPr>
          <w:rFonts w:ascii="David" w:hAnsi="David" w:hint="cs"/>
          <w:rtl/>
        </w:rPr>
        <w:t xml:space="preserve">לבקשת עיריית תל אביב, </w:t>
      </w:r>
      <w:r>
        <w:rPr>
          <w:rFonts w:ascii="David" w:hAnsi="David"/>
          <w:rtl/>
        </w:rPr>
        <w:t xml:space="preserve">בהליך שהמבקש היה צד </w:t>
      </w:r>
      <w:r w:rsidR="00394865">
        <w:rPr>
          <w:rFonts w:ascii="David" w:hAnsi="David"/>
          <w:rtl/>
        </w:rPr>
        <w:t>לו כנתבע</w:t>
      </w:r>
      <w:r w:rsidR="00394865">
        <w:rPr>
          <w:rFonts w:ascii="David" w:hAnsi="David" w:hint="cs"/>
          <w:rtl/>
        </w:rPr>
        <w:t>. פסק הדין</w:t>
      </w:r>
      <w:r>
        <w:rPr>
          <w:rFonts w:ascii="David" w:hAnsi="David"/>
          <w:rtl/>
        </w:rPr>
        <w:t xml:space="preserve"> הכיר בזכויותיו של המבקש כבעל ז</w:t>
      </w:r>
      <w:r w:rsidR="00394865">
        <w:rPr>
          <w:rFonts w:ascii="David" w:hAnsi="David"/>
          <w:rtl/>
        </w:rPr>
        <w:t>כויות בנכס לבקשת עיריית תל-אביב</w:t>
      </w:r>
      <w:r w:rsidR="00394865">
        <w:rPr>
          <w:rFonts w:ascii="David" w:hAnsi="David" w:hint="cs"/>
          <w:rtl/>
        </w:rPr>
        <w:t>.</w:t>
      </w:r>
      <w:r>
        <w:rPr>
          <w:rFonts w:ascii="David" w:hAnsi="David"/>
          <w:rtl/>
        </w:rPr>
        <w:t xml:space="preserve"> </w:t>
      </w:r>
      <w:r w:rsidR="00394865">
        <w:rPr>
          <w:rFonts w:ascii="David" w:hAnsi="David" w:hint="cs"/>
          <w:rtl/>
        </w:rPr>
        <w:t xml:space="preserve">למרות זאת, </w:t>
      </w:r>
      <w:r>
        <w:rPr>
          <w:rFonts w:ascii="David" w:hAnsi="David"/>
          <w:rtl/>
        </w:rPr>
        <w:t xml:space="preserve">המבקש עצמו חלק על כך ואף הגיש ערעור על פסק הדין לבית המשפט העליון כאשר למיטב הידיעה הערעור עודנו תלוי ועומד. </w:t>
      </w:r>
    </w:p>
    <w:p w:rsidR="00CF026D" w:rsidRDefault="00CF026D" w:rsidP="00CF026D">
      <w:pPr>
        <w:spacing w:line="360" w:lineRule="auto"/>
        <w:ind w:left="720" w:hanging="720"/>
        <w:jc w:val="both"/>
        <w:rPr>
          <w:rFonts w:ascii="David" w:hAnsi="David"/>
          <w:rtl/>
        </w:rPr>
      </w:pPr>
    </w:p>
    <w:p w:rsidR="00CF026D" w:rsidRDefault="004E6C69" w:rsidP="004E6C69">
      <w:pPr>
        <w:spacing w:line="360" w:lineRule="auto"/>
        <w:ind w:left="720" w:hanging="720"/>
        <w:jc w:val="both"/>
        <w:rPr>
          <w:rFonts w:ascii="David" w:hAnsi="David"/>
          <w:rtl/>
        </w:rPr>
      </w:pPr>
      <w:r>
        <w:rPr>
          <w:rFonts w:ascii="David" w:hAnsi="David"/>
          <w:rtl/>
        </w:rPr>
        <w:t>16.</w:t>
      </w:r>
      <w:r>
        <w:rPr>
          <w:rFonts w:ascii="David" w:hAnsi="David"/>
          <w:rtl/>
        </w:rPr>
        <w:tab/>
        <w:t>המשיבה מכחישה</w:t>
      </w:r>
      <w:r w:rsidR="00CF026D">
        <w:rPr>
          <w:rFonts w:ascii="David" w:hAnsi="David"/>
          <w:rtl/>
        </w:rPr>
        <w:t xml:space="preserve"> כי מדובר במספר הלוואות כפי שטוען המבקש</w:t>
      </w:r>
      <w:r>
        <w:rPr>
          <w:rFonts w:ascii="David" w:hAnsi="David" w:hint="cs"/>
          <w:rtl/>
        </w:rPr>
        <w:t>, אלא</w:t>
      </w:r>
      <w:r w:rsidR="00CF026D">
        <w:rPr>
          <w:rFonts w:ascii="David" w:hAnsi="David"/>
          <w:rtl/>
        </w:rPr>
        <w:t xml:space="preserve"> </w:t>
      </w:r>
      <w:r>
        <w:rPr>
          <w:rFonts w:ascii="David" w:hAnsi="David" w:hint="cs"/>
          <w:rtl/>
        </w:rPr>
        <w:t xml:space="preserve">לטענתה </w:t>
      </w:r>
      <w:r w:rsidR="00CF026D">
        <w:rPr>
          <w:rFonts w:ascii="David" w:hAnsi="David"/>
          <w:rtl/>
        </w:rPr>
        <w:t xml:space="preserve">מדובר בהלוואה אחת (סעיף 27 לתשובה). המשיבה סבורה, כי </w:t>
      </w:r>
      <w:r>
        <w:rPr>
          <w:rFonts w:ascii="David" w:hAnsi="David" w:hint="cs"/>
          <w:rtl/>
        </w:rPr>
        <w:t>ה</w:t>
      </w:r>
      <w:r w:rsidR="00CF026D">
        <w:rPr>
          <w:rFonts w:ascii="David" w:hAnsi="David"/>
          <w:rtl/>
        </w:rPr>
        <w:t xml:space="preserve">הלוואה </w:t>
      </w:r>
      <w:r>
        <w:rPr>
          <w:rFonts w:ascii="David" w:hAnsi="David" w:hint="cs"/>
          <w:rtl/>
        </w:rPr>
        <w:t xml:space="preserve">שניתנה למבקש </w:t>
      </w:r>
      <w:r w:rsidR="00CF026D">
        <w:rPr>
          <w:rFonts w:ascii="David" w:hAnsi="David"/>
          <w:rtl/>
        </w:rPr>
        <w:t>כשרה ו</w:t>
      </w:r>
      <w:r>
        <w:rPr>
          <w:rFonts w:ascii="David" w:hAnsi="David" w:hint="cs"/>
          <w:rtl/>
        </w:rPr>
        <w:t xml:space="preserve">כי היא כוללת </w:t>
      </w:r>
      <w:r w:rsidR="00CF026D">
        <w:rPr>
          <w:rFonts w:ascii="David" w:hAnsi="David"/>
          <w:rtl/>
        </w:rPr>
        <w:t>בריבית חוקית העומדת בדרישות חוק אשראי הוגן (סעיפים 30 – 34 לתשובה).</w:t>
      </w:r>
    </w:p>
    <w:p w:rsidR="00CF026D" w:rsidRDefault="00CF026D" w:rsidP="004E0C80">
      <w:pPr>
        <w:spacing w:line="360" w:lineRule="auto"/>
        <w:ind w:left="720" w:hanging="720"/>
        <w:jc w:val="both"/>
        <w:rPr>
          <w:rFonts w:ascii="David" w:hAnsi="David"/>
          <w:rtl/>
        </w:rPr>
      </w:pPr>
      <w:r>
        <w:rPr>
          <w:rFonts w:ascii="David" w:hAnsi="David"/>
          <w:rtl/>
        </w:rPr>
        <w:tab/>
        <w:t xml:space="preserve">היא מוסיפה, כי הינה חברת אחזקות בתחום הנדל"ן </w:t>
      </w:r>
      <w:r w:rsidR="004E0C80">
        <w:rPr>
          <w:rFonts w:ascii="David" w:hAnsi="David" w:hint="cs"/>
          <w:rtl/>
        </w:rPr>
        <w:t>ולפיכך</w:t>
      </w:r>
      <w:r>
        <w:rPr>
          <w:rFonts w:ascii="David" w:hAnsi="David"/>
          <w:rtl/>
        </w:rPr>
        <w:t xml:space="preserve"> חוק אשראי הוגן ממילא אינו חל עליה</w:t>
      </w:r>
      <w:r w:rsidR="004E0C80">
        <w:rPr>
          <w:rFonts w:ascii="David" w:hAnsi="David" w:hint="cs"/>
          <w:rtl/>
        </w:rPr>
        <w:t>,</w:t>
      </w:r>
      <w:r w:rsidR="004E0C80">
        <w:rPr>
          <w:rFonts w:ascii="David" w:hAnsi="David"/>
          <w:rtl/>
        </w:rPr>
        <w:t xml:space="preserve"> שכן הוא מתייחס רק לגופים</w:t>
      </w:r>
      <w:r>
        <w:rPr>
          <w:rFonts w:ascii="David" w:hAnsi="David"/>
          <w:rtl/>
        </w:rPr>
        <w:t xml:space="preserve"> שעיסוקם במתן הלוואות (סעיף 38 לתשובה).</w:t>
      </w:r>
    </w:p>
    <w:p w:rsidR="00CF026D" w:rsidRDefault="00CF026D" w:rsidP="004E0C80">
      <w:pPr>
        <w:spacing w:line="360" w:lineRule="auto"/>
        <w:ind w:left="720" w:hanging="720"/>
        <w:jc w:val="both"/>
        <w:rPr>
          <w:rFonts w:ascii="David" w:hAnsi="David"/>
          <w:rtl/>
        </w:rPr>
      </w:pPr>
      <w:r>
        <w:rPr>
          <w:rFonts w:ascii="David" w:hAnsi="David"/>
          <w:rtl/>
        </w:rPr>
        <w:tab/>
        <w:t>מעבר לכך</w:t>
      </w:r>
      <w:r w:rsidR="004E0C80">
        <w:rPr>
          <w:rFonts w:ascii="David" w:hAnsi="David" w:hint="cs"/>
          <w:rtl/>
        </w:rPr>
        <w:t>,</w:t>
      </w:r>
      <w:r>
        <w:rPr>
          <w:rFonts w:ascii="David" w:hAnsi="David"/>
          <w:rtl/>
        </w:rPr>
        <w:t xml:space="preserve"> טוענת</w:t>
      </w:r>
      <w:r w:rsidR="004E0C80">
        <w:rPr>
          <w:rFonts w:ascii="David" w:hAnsi="David" w:hint="cs"/>
          <w:rtl/>
        </w:rPr>
        <w:t xml:space="preserve"> המשיבה</w:t>
      </w:r>
      <w:r>
        <w:rPr>
          <w:rFonts w:ascii="David" w:hAnsi="David"/>
          <w:rtl/>
        </w:rPr>
        <w:t xml:space="preserve"> כי ניתן ונמסר למבקש ולאורלי גילוי מלא של כל תנאי ההלוואה. </w:t>
      </w:r>
    </w:p>
    <w:p w:rsidR="00CF026D" w:rsidRDefault="00CF026D" w:rsidP="00CF026D">
      <w:pPr>
        <w:spacing w:line="360" w:lineRule="auto"/>
        <w:ind w:left="720" w:hanging="720"/>
        <w:jc w:val="both"/>
        <w:rPr>
          <w:rFonts w:ascii="David" w:hAnsi="David"/>
          <w:rtl/>
        </w:rPr>
      </w:pPr>
    </w:p>
    <w:p w:rsidR="00D74DAE" w:rsidRDefault="00394865" w:rsidP="00D74DAE">
      <w:pPr>
        <w:spacing w:line="360" w:lineRule="auto"/>
        <w:ind w:left="720" w:hanging="720"/>
        <w:jc w:val="both"/>
        <w:rPr>
          <w:rFonts w:ascii="David" w:hAnsi="David"/>
          <w:rtl/>
        </w:rPr>
      </w:pPr>
      <w:r>
        <w:rPr>
          <w:rFonts w:ascii="David" w:hAnsi="David"/>
          <w:rtl/>
        </w:rPr>
        <w:t>17.</w:t>
      </w:r>
      <w:r>
        <w:rPr>
          <w:rFonts w:ascii="David" w:hAnsi="David"/>
          <w:rtl/>
        </w:rPr>
        <w:tab/>
        <w:t>מ</w:t>
      </w:r>
      <w:r>
        <w:rPr>
          <w:rFonts w:ascii="David" w:hAnsi="David" w:hint="cs"/>
          <w:rtl/>
        </w:rPr>
        <w:t>בח</w:t>
      </w:r>
      <w:r w:rsidR="00CF026D">
        <w:rPr>
          <w:rFonts w:ascii="David" w:hAnsi="David"/>
          <w:rtl/>
        </w:rPr>
        <w:t>ינת מאזן הנוחות</w:t>
      </w:r>
      <w:r w:rsidR="004E0C80">
        <w:rPr>
          <w:rFonts w:ascii="David" w:hAnsi="David" w:hint="cs"/>
          <w:rtl/>
        </w:rPr>
        <w:t>,</w:t>
      </w:r>
      <w:r w:rsidR="004E0C80">
        <w:rPr>
          <w:rFonts w:ascii="David" w:hAnsi="David"/>
          <w:rtl/>
        </w:rPr>
        <w:t xml:space="preserve"> סבורה המשיבה</w:t>
      </w:r>
      <w:r w:rsidR="00CF026D">
        <w:rPr>
          <w:rFonts w:ascii="David" w:hAnsi="David"/>
          <w:rtl/>
        </w:rPr>
        <w:t xml:space="preserve"> כי הכף נוטה לטובתה ולחובת המבקש. לע</w:t>
      </w:r>
      <w:r w:rsidR="00D74DAE">
        <w:rPr>
          <w:rFonts w:ascii="David" w:hAnsi="David"/>
          <w:rtl/>
        </w:rPr>
        <w:t>מדתה</w:t>
      </w:r>
      <w:r w:rsidR="00D74DAE">
        <w:rPr>
          <w:rFonts w:ascii="David" w:hAnsi="David" w:hint="cs"/>
          <w:rtl/>
        </w:rPr>
        <w:t>:</w:t>
      </w:r>
      <w:r w:rsidR="00D74DAE">
        <w:rPr>
          <w:rFonts w:ascii="David" w:hAnsi="David"/>
          <w:rtl/>
        </w:rPr>
        <w:t xml:space="preserve"> המבקש לא הראה זכות לכאורה</w:t>
      </w:r>
      <w:r w:rsidR="00D74DAE">
        <w:rPr>
          <w:rFonts w:ascii="David" w:hAnsi="David" w:hint="cs"/>
          <w:rtl/>
        </w:rPr>
        <w:t>;</w:t>
      </w:r>
      <w:r w:rsidR="00CF026D">
        <w:rPr>
          <w:rFonts w:ascii="David" w:hAnsi="David"/>
          <w:rtl/>
        </w:rPr>
        <w:t xml:space="preserve"> </w:t>
      </w:r>
      <w:r w:rsidR="004E0C80">
        <w:rPr>
          <w:rFonts w:ascii="David" w:hAnsi="David" w:hint="cs"/>
          <w:rtl/>
        </w:rPr>
        <w:t xml:space="preserve">כי </w:t>
      </w:r>
      <w:r w:rsidR="00D74DAE">
        <w:rPr>
          <w:rFonts w:ascii="David" w:hAnsi="David"/>
          <w:rtl/>
        </w:rPr>
        <w:t>התביעה היא תביעת סר</w:t>
      </w:r>
      <w:r w:rsidR="00D74DAE">
        <w:rPr>
          <w:rFonts w:ascii="David" w:hAnsi="David" w:hint="cs"/>
          <w:rtl/>
        </w:rPr>
        <w:t xml:space="preserve">ק; </w:t>
      </w:r>
      <w:r w:rsidR="004E0C80">
        <w:rPr>
          <w:rFonts w:ascii="David" w:hAnsi="David" w:hint="cs"/>
          <w:rtl/>
        </w:rPr>
        <w:t>כי</w:t>
      </w:r>
      <w:r w:rsidR="00CF026D">
        <w:rPr>
          <w:rFonts w:ascii="David" w:hAnsi="David"/>
          <w:rtl/>
        </w:rPr>
        <w:t xml:space="preserve"> ל</w:t>
      </w:r>
      <w:r w:rsidR="00D74DAE">
        <w:rPr>
          <w:rFonts w:ascii="David" w:hAnsi="David"/>
          <w:rtl/>
        </w:rPr>
        <w:t>מבקש אין אחיזה בנכס</w:t>
      </w:r>
      <w:r w:rsidR="00D74DAE">
        <w:rPr>
          <w:rFonts w:ascii="David" w:hAnsi="David" w:hint="cs"/>
          <w:rtl/>
        </w:rPr>
        <w:t>;</w:t>
      </w:r>
      <w:r w:rsidR="00CF026D">
        <w:rPr>
          <w:rFonts w:ascii="David" w:hAnsi="David"/>
          <w:rtl/>
        </w:rPr>
        <w:t xml:space="preserve"> </w:t>
      </w:r>
      <w:r w:rsidR="004E0C80">
        <w:rPr>
          <w:rFonts w:ascii="David" w:hAnsi="David" w:hint="cs"/>
          <w:rtl/>
        </w:rPr>
        <w:t>כי הוא</w:t>
      </w:r>
      <w:r w:rsidR="00CF026D">
        <w:rPr>
          <w:rFonts w:ascii="David" w:hAnsi="David"/>
          <w:rtl/>
        </w:rPr>
        <w:t xml:space="preserve"> הסתיר את הס</w:t>
      </w:r>
      <w:r w:rsidR="00D74DAE">
        <w:rPr>
          <w:rFonts w:ascii="David" w:hAnsi="David"/>
          <w:rtl/>
        </w:rPr>
        <w:t xml:space="preserve">כם הפשרה נספח ג' מיום 1.3.2023 </w:t>
      </w:r>
      <w:r w:rsidR="00D74DAE">
        <w:rPr>
          <w:rFonts w:ascii="David" w:hAnsi="David" w:hint="cs"/>
          <w:rtl/>
        </w:rPr>
        <w:t xml:space="preserve">; עמעם וטשטש את קיומו של </w:t>
      </w:r>
      <w:r w:rsidR="00D74DAE">
        <w:rPr>
          <w:rFonts w:ascii="David" w:hAnsi="David"/>
          <w:rtl/>
        </w:rPr>
        <w:t>פסק הדין בתיק ה.פ. 7903-04-17</w:t>
      </w:r>
      <w:r w:rsidR="00D74DAE">
        <w:rPr>
          <w:rFonts w:ascii="David" w:hAnsi="David" w:hint="cs"/>
          <w:rtl/>
        </w:rPr>
        <w:t>;</w:t>
      </w:r>
      <w:r w:rsidR="00D74DAE">
        <w:rPr>
          <w:rFonts w:ascii="David" w:hAnsi="David"/>
          <w:rtl/>
        </w:rPr>
        <w:t xml:space="preserve"> לא צרף העתק של תביעת אורלי</w:t>
      </w:r>
      <w:r w:rsidR="00D74DAE">
        <w:rPr>
          <w:rFonts w:ascii="David" w:hAnsi="David" w:hint="cs"/>
          <w:rtl/>
        </w:rPr>
        <w:t>;</w:t>
      </w:r>
      <w:r w:rsidR="00CF026D">
        <w:rPr>
          <w:rFonts w:ascii="David" w:hAnsi="David"/>
          <w:rtl/>
        </w:rPr>
        <w:t xml:space="preserve"> אינו מציע כל בטוחה </w:t>
      </w:r>
      <w:r w:rsidR="00D74DAE">
        <w:rPr>
          <w:rFonts w:ascii="David" w:hAnsi="David" w:hint="cs"/>
          <w:rtl/>
        </w:rPr>
        <w:t>;</w:t>
      </w:r>
    </w:p>
    <w:p w:rsidR="00CF026D" w:rsidRDefault="00D74DAE" w:rsidP="00D74DAE">
      <w:pPr>
        <w:spacing w:line="360" w:lineRule="auto"/>
        <w:ind w:left="720"/>
        <w:jc w:val="both"/>
        <w:rPr>
          <w:rFonts w:ascii="David" w:hAnsi="David"/>
          <w:rtl/>
        </w:rPr>
      </w:pPr>
      <w:r>
        <w:rPr>
          <w:rFonts w:ascii="David" w:hAnsi="David" w:hint="cs"/>
          <w:rtl/>
        </w:rPr>
        <w:t>מן האמור,</w:t>
      </w:r>
      <w:r w:rsidR="00CF026D">
        <w:rPr>
          <w:rFonts w:ascii="David" w:hAnsi="David"/>
          <w:rtl/>
        </w:rPr>
        <w:t xml:space="preserve"> יש לדחות לטעמה את בקשתו.</w:t>
      </w:r>
    </w:p>
    <w:p w:rsidR="00CF026D" w:rsidRDefault="00CF026D" w:rsidP="00CF026D">
      <w:pPr>
        <w:spacing w:line="360" w:lineRule="auto"/>
        <w:ind w:left="720" w:hanging="720"/>
        <w:jc w:val="both"/>
        <w:rPr>
          <w:rFonts w:ascii="David" w:hAnsi="David"/>
          <w:rtl/>
        </w:rPr>
      </w:pPr>
    </w:p>
    <w:p w:rsidR="00CF026D" w:rsidRDefault="00CF026D" w:rsidP="004E0C80">
      <w:pPr>
        <w:spacing w:line="360" w:lineRule="auto"/>
        <w:ind w:left="720" w:hanging="720"/>
        <w:jc w:val="both"/>
        <w:rPr>
          <w:rFonts w:ascii="David" w:hAnsi="David"/>
          <w:rtl/>
        </w:rPr>
      </w:pPr>
      <w:r>
        <w:rPr>
          <w:rFonts w:ascii="David" w:hAnsi="David"/>
          <w:rtl/>
        </w:rPr>
        <w:t>18.</w:t>
      </w:r>
      <w:r>
        <w:rPr>
          <w:rFonts w:ascii="David" w:hAnsi="David"/>
          <w:rtl/>
        </w:rPr>
        <w:tab/>
        <w:t>המשיבה ציינ</w:t>
      </w:r>
      <w:r w:rsidR="004E0C80">
        <w:rPr>
          <w:rFonts w:ascii="David" w:hAnsi="David"/>
          <w:rtl/>
        </w:rPr>
        <w:t>ה, כי מר משה בר שלטון שהוא מנהל</w:t>
      </w:r>
      <w:r w:rsidR="004E0C80">
        <w:rPr>
          <w:rFonts w:ascii="David" w:hAnsi="David" w:hint="cs"/>
          <w:rtl/>
        </w:rPr>
        <w:t xml:space="preserve">ה, </w:t>
      </w:r>
      <w:r>
        <w:rPr>
          <w:rFonts w:ascii="David" w:hAnsi="David"/>
          <w:rtl/>
        </w:rPr>
        <w:t>לא נמצא בארץ בימים אלה</w:t>
      </w:r>
      <w:r w:rsidR="00D74DAE">
        <w:rPr>
          <w:rFonts w:ascii="David" w:hAnsi="David" w:hint="cs"/>
          <w:rtl/>
        </w:rPr>
        <w:t xml:space="preserve"> ולכן הגישה כתמיכה בתשובה, תחילה תצהיר עבר של מר בר שלטון שתמך בפתיחת תיק ההוצל"פ למימוש המשכנתא</w:t>
      </w:r>
      <w:r>
        <w:rPr>
          <w:rFonts w:ascii="David" w:hAnsi="David"/>
          <w:rtl/>
        </w:rPr>
        <w:t xml:space="preserve">. לאחר </w:t>
      </w:r>
      <w:r w:rsidR="004E0C80">
        <w:rPr>
          <w:rFonts w:ascii="David" w:hAnsi="David" w:hint="cs"/>
          <w:rtl/>
        </w:rPr>
        <w:t>הערת</w:t>
      </w:r>
      <w:r>
        <w:rPr>
          <w:rFonts w:ascii="David" w:hAnsi="David"/>
          <w:rtl/>
        </w:rPr>
        <w:t xml:space="preserve"> בית המשפט</w:t>
      </w:r>
      <w:r w:rsidR="004E0C80">
        <w:rPr>
          <w:rFonts w:ascii="David" w:hAnsi="David" w:hint="cs"/>
          <w:rtl/>
        </w:rPr>
        <w:t xml:space="preserve"> בעניין זה</w:t>
      </w:r>
      <w:r w:rsidR="00D74DAE">
        <w:rPr>
          <w:rFonts w:ascii="David" w:hAnsi="David" w:hint="cs"/>
          <w:rtl/>
        </w:rPr>
        <w:t xml:space="preserve"> (החלטה מיום </w:t>
      </w:r>
      <w:r w:rsidR="001B1242">
        <w:rPr>
          <w:rFonts w:ascii="David" w:hAnsi="David" w:hint="cs"/>
          <w:rtl/>
        </w:rPr>
        <w:t>25.2.2024)</w:t>
      </w:r>
      <w:r w:rsidR="004E0C80">
        <w:rPr>
          <w:rFonts w:ascii="David" w:hAnsi="David" w:hint="cs"/>
          <w:rtl/>
        </w:rPr>
        <w:t>,</w:t>
      </w:r>
      <w:r>
        <w:rPr>
          <w:rFonts w:ascii="David" w:hAnsi="David"/>
          <w:rtl/>
        </w:rPr>
        <w:t xml:space="preserve"> הגישה המשיבה תצהיר של מר לב קיבריק שלטענתו רשום כמנהל המשיבה החל מחודש ינואר 2024, הוא זה שהתייצב לדיון ונחקר. </w:t>
      </w:r>
    </w:p>
    <w:p w:rsidR="00CF026D" w:rsidRDefault="00CF026D" w:rsidP="00CF026D">
      <w:pPr>
        <w:spacing w:line="360" w:lineRule="auto"/>
        <w:ind w:left="720" w:hanging="720"/>
        <w:jc w:val="both"/>
        <w:rPr>
          <w:rFonts w:ascii="David" w:hAnsi="David"/>
          <w:b/>
          <w:bCs/>
          <w:sz w:val="26"/>
          <w:szCs w:val="26"/>
          <w:u w:val="single"/>
          <w:rtl/>
        </w:rPr>
      </w:pPr>
    </w:p>
    <w:p w:rsidR="00CF026D" w:rsidRDefault="00CF026D" w:rsidP="00CF026D">
      <w:pPr>
        <w:spacing w:line="360" w:lineRule="auto"/>
        <w:ind w:left="720" w:hanging="720"/>
        <w:jc w:val="both"/>
        <w:rPr>
          <w:rFonts w:ascii="David" w:hAnsi="David"/>
          <w:b/>
          <w:bCs/>
          <w:sz w:val="26"/>
          <w:szCs w:val="26"/>
          <w:u w:val="single"/>
          <w:rtl/>
        </w:rPr>
      </w:pPr>
      <w:r>
        <w:rPr>
          <w:rFonts w:ascii="David" w:hAnsi="David"/>
          <w:b/>
          <w:bCs/>
          <w:sz w:val="26"/>
          <w:szCs w:val="26"/>
          <w:u w:val="single"/>
          <w:rtl/>
        </w:rPr>
        <w:t>נקודות לדיון:</w:t>
      </w:r>
    </w:p>
    <w:p w:rsidR="00CF026D" w:rsidRDefault="00CF026D" w:rsidP="00CF026D">
      <w:pPr>
        <w:spacing w:line="360" w:lineRule="auto"/>
        <w:ind w:left="720" w:hanging="720"/>
        <w:jc w:val="both"/>
        <w:rPr>
          <w:rFonts w:ascii="David" w:hAnsi="David"/>
          <w:b/>
          <w:bCs/>
          <w:sz w:val="26"/>
          <w:szCs w:val="26"/>
          <w:u w:val="single"/>
          <w:rtl/>
        </w:rPr>
      </w:pPr>
    </w:p>
    <w:p w:rsidR="00CF026D" w:rsidRDefault="00CF026D" w:rsidP="001B1242">
      <w:pPr>
        <w:spacing w:line="360" w:lineRule="auto"/>
        <w:ind w:left="720" w:hanging="720"/>
        <w:jc w:val="both"/>
        <w:rPr>
          <w:rFonts w:ascii="David" w:hAnsi="David"/>
          <w:rtl/>
        </w:rPr>
      </w:pPr>
      <w:r>
        <w:rPr>
          <w:rFonts w:ascii="David" w:hAnsi="David"/>
          <w:sz w:val="26"/>
          <w:szCs w:val="26"/>
          <w:rtl/>
        </w:rPr>
        <w:t>19</w:t>
      </w:r>
      <w:r>
        <w:rPr>
          <w:rFonts w:ascii="David" w:hAnsi="David"/>
          <w:sz w:val="22"/>
          <w:szCs w:val="22"/>
          <w:rtl/>
        </w:rPr>
        <w:t>.</w:t>
      </w:r>
      <w:r>
        <w:rPr>
          <w:rFonts w:ascii="David" w:hAnsi="David"/>
          <w:sz w:val="22"/>
          <w:szCs w:val="22"/>
          <w:rtl/>
        </w:rPr>
        <w:tab/>
      </w:r>
      <w:r>
        <w:rPr>
          <w:rFonts w:ascii="David" w:hAnsi="David"/>
          <w:rtl/>
        </w:rPr>
        <w:t>ממכלול הדברים שנשמעו לפני עלו הנקודות הבאות:</w:t>
      </w:r>
    </w:p>
    <w:p w:rsidR="00CF026D" w:rsidRDefault="00CF026D" w:rsidP="0032069F">
      <w:pPr>
        <w:spacing w:line="360" w:lineRule="auto"/>
        <w:ind w:left="1440" w:hanging="720"/>
        <w:jc w:val="both"/>
        <w:rPr>
          <w:rFonts w:ascii="David" w:hAnsi="David"/>
          <w:rtl/>
        </w:rPr>
      </w:pPr>
      <w:r>
        <w:rPr>
          <w:rFonts w:ascii="David" w:hAnsi="David"/>
          <w:rtl/>
        </w:rPr>
        <w:t>א.</w:t>
      </w:r>
      <w:r>
        <w:rPr>
          <w:rFonts w:ascii="David" w:hAnsi="David"/>
          <w:rtl/>
        </w:rPr>
        <w:tab/>
        <w:t>מעמדו של המבקש כמי שמצד אחד נטל את ההלוואה יחד עם אורלי על פי הסכם ההלוואה, אך אינו רשום כבעל הזכויות בנכס שעיכוב ההליכים לגביו התבקש</w:t>
      </w:r>
      <w:r w:rsidR="00467178">
        <w:rPr>
          <w:rFonts w:ascii="David" w:hAnsi="David" w:hint="cs"/>
          <w:rtl/>
        </w:rPr>
        <w:t xml:space="preserve"> ואף </w:t>
      </w:r>
      <w:r w:rsidR="00467178">
        <w:rPr>
          <w:rFonts w:ascii="David" w:hAnsi="David" w:hint="cs"/>
          <w:rtl/>
        </w:rPr>
        <w:lastRenderedPageBreak/>
        <w:t>אינו צד לתיק ההוצל"פ</w:t>
      </w:r>
      <w:r w:rsidR="00467178">
        <w:rPr>
          <w:rFonts w:ascii="David" w:hAnsi="David"/>
          <w:rtl/>
        </w:rPr>
        <w:t>.</w:t>
      </w:r>
      <w:r>
        <w:rPr>
          <w:rFonts w:ascii="David" w:hAnsi="David"/>
          <w:rtl/>
        </w:rPr>
        <w:t xml:space="preserve"> בהקשר זה טען ב"כ המבקש </w:t>
      </w:r>
      <w:r w:rsidR="0032069F">
        <w:rPr>
          <w:rFonts w:ascii="David" w:hAnsi="David" w:hint="cs"/>
          <w:rtl/>
        </w:rPr>
        <w:t xml:space="preserve">כי </w:t>
      </w:r>
      <w:r w:rsidR="00467178">
        <w:rPr>
          <w:rFonts w:ascii="David" w:hAnsi="David" w:hint="cs"/>
          <w:rtl/>
        </w:rPr>
        <w:t>מעמדו של המבקש בבקשה נובע</w:t>
      </w:r>
      <w:r>
        <w:rPr>
          <w:rFonts w:ascii="David" w:hAnsi="David"/>
          <w:rtl/>
        </w:rPr>
        <w:t xml:space="preserve"> </w:t>
      </w:r>
      <w:r w:rsidR="00467178">
        <w:rPr>
          <w:rFonts w:ascii="David" w:hAnsi="David" w:hint="cs"/>
          <w:rtl/>
        </w:rPr>
        <w:t>מ</w:t>
      </w:r>
      <w:r>
        <w:rPr>
          <w:rFonts w:ascii="David" w:hAnsi="David"/>
          <w:rtl/>
        </w:rPr>
        <w:t>סעיף 13</w:t>
      </w:r>
      <w:r w:rsidR="00467178">
        <w:rPr>
          <w:rFonts w:ascii="David" w:hAnsi="David" w:hint="cs"/>
          <w:rtl/>
        </w:rPr>
        <w:t>(א)</w:t>
      </w:r>
      <w:r>
        <w:rPr>
          <w:rFonts w:ascii="David" w:hAnsi="David"/>
          <w:rtl/>
        </w:rPr>
        <w:t xml:space="preserve"> לחוק המשכון תשכ"ז-1967 (להלן: "</w:t>
      </w:r>
      <w:r>
        <w:rPr>
          <w:rFonts w:ascii="David" w:hAnsi="David"/>
          <w:b/>
          <w:bCs/>
          <w:rtl/>
        </w:rPr>
        <w:t>חוק המשכון</w:t>
      </w:r>
      <w:r>
        <w:rPr>
          <w:rFonts w:ascii="David" w:hAnsi="David"/>
          <w:rtl/>
        </w:rPr>
        <w:t>").</w:t>
      </w:r>
    </w:p>
    <w:p w:rsidR="00CF026D" w:rsidRDefault="00CF026D" w:rsidP="00CF026D">
      <w:pPr>
        <w:spacing w:line="360" w:lineRule="auto"/>
        <w:ind w:left="1440" w:hanging="720"/>
        <w:jc w:val="both"/>
        <w:rPr>
          <w:rFonts w:ascii="David" w:hAnsi="David"/>
          <w:rtl/>
        </w:rPr>
      </w:pPr>
    </w:p>
    <w:p w:rsidR="00CF026D" w:rsidRDefault="00CF026D" w:rsidP="00467178">
      <w:pPr>
        <w:spacing w:line="360" w:lineRule="auto"/>
        <w:ind w:left="1440" w:hanging="720"/>
        <w:jc w:val="both"/>
        <w:rPr>
          <w:rFonts w:ascii="David" w:hAnsi="David"/>
          <w:rtl/>
        </w:rPr>
      </w:pPr>
      <w:r>
        <w:rPr>
          <w:rFonts w:ascii="David" w:hAnsi="David"/>
          <w:rtl/>
        </w:rPr>
        <w:t>ב.</w:t>
      </w:r>
      <w:r>
        <w:rPr>
          <w:rFonts w:ascii="David" w:hAnsi="David"/>
          <w:rtl/>
        </w:rPr>
        <w:tab/>
        <w:t>המבקש לכאורה רשאי להירשם כבעל הזכויות בנכס על פי פסק הדין בתיק ה-ה.פ.</w:t>
      </w:r>
      <w:r w:rsidR="00467178">
        <w:rPr>
          <w:rFonts w:ascii="David" w:hAnsi="David" w:hint="cs"/>
          <w:rtl/>
        </w:rPr>
        <w:t>,</w:t>
      </w:r>
      <w:r>
        <w:rPr>
          <w:rFonts w:ascii="David" w:hAnsi="David"/>
          <w:rtl/>
        </w:rPr>
        <w:t xml:space="preserve"> אך הובהר שם כי זכויותיו כפופות למשכנתא שנרשמה לטובת המשיבה. </w:t>
      </w:r>
      <w:r w:rsidR="00467178">
        <w:rPr>
          <w:rFonts w:ascii="David" w:hAnsi="David" w:hint="cs"/>
          <w:rtl/>
        </w:rPr>
        <w:t xml:space="preserve">יודגש, כי על פניו </w:t>
      </w:r>
      <w:r w:rsidR="00467178">
        <w:rPr>
          <w:rFonts w:ascii="David" w:hAnsi="David"/>
          <w:rtl/>
        </w:rPr>
        <w:t>המבקש עצמו</w:t>
      </w:r>
      <w:r>
        <w:rPr>
          <w:rFonts w:ascii="David" w:hAnsi="David"/>
          <w:rtl/>
        </w:rPr>
        <w:t xml:space="preserve"> </w:t>
      </w:r>
      <w:r w:rsidR="00467178">
        <w:rPr>
          <w:rFonts w:ascii="David" w:hAnsi="David" w:hint="cs"/>
          <w:rtl/>
        </w:rPr>
        <w:t xml:space="preserve">אינו מסכים עם תוצאה זו של </w:t>
      </w:r>
      <w:r>
        <w:rPr>
          <w:rFonts w:ascii="David" w:hAnsi="David"/>
          <w:rtl/>
        </w:rPr>
        <w:t xml:space="preserve">פסק הדין בתיק ה.פ. </w:t>
      </w:r>
      <w:r w:rsidR="00467178">
        <w:rPr>
          <w:rFonts w:ascii="David" w:hAnsi="David" w:hint="cs"/>
          <w:rtl/>
        </w:rPr>
        <w:t>עת הגיש</w:t>
      </w:r>
      <w:r>
        <w:rPr>
          <w:rFonts w:ascii="David" w:hAnsi="David"/>
          <w:rtl/>
        </w:rPr>
        <w:t xml:space="preserve"> ערע</w:t>
      </w:r>
      <w:r w:rsidR="00467178">
        <w:rPr>
          <w:rFonts w:ascii="David" w:hAnsi="David" w:hint="cs"/>
          <w:rtl/>
        </w:rPr>
        <w:t>ו</w:t>
      </w:r>
      <w:r>
        <w:rPr>
          <w:rFonts w:ascii="David" w:hAnsi="David"/>
          <w:rtl/>
        </w:rPr>
        <w:t>ר עליו</w:t>
      </w:r>
      <w:r w:rsidR="00467178">
        <w:rPr>
          <w:rFonts w:ascii="David" w:hAnsi="David" w:hint="cs"/>
          <w:rtl/>
        </w:rPr>
        <w:t xml:space="preserve"> יחד עם אורלי, גרושתו כיום</w:t>
      </w:r>
      <w:r>
        <w:rPr>
          <w:rFonts w:ascii="David" w:hAnsi="David"/>
          <w:rtl/>
        </w:rPr>
        <w:t xml:space="preserve">. </w:t>
      </w:r>
    </w:p>
    <w:p w:rsidR="00CF026D" w:rsidRDefault="00CF026D" w:rsidP="00CF026D">
      <w:pPr>
        <w:spacing w:line="360" w:lineRule="auto"/>
        <w:ind w:left="1440" w:hanging="720"/>
        <w:jc w:val="both"/>
        <w:rPr>
          <w:rFonts w:ascii="David" w:hAnsi="David"/>
          <w:rtl/>
        </w:rPr>
      </w:pPr>
    </w:p>
    <w:p w:rsidR="00CF026D" w:rsidRDefault="00CF026D" w:rsidP="00CF026D">
      <w:pPr>
        <w:spacing w:line="360" w:lineRule="auto"/>
        <w:ind w:left="1440" w:hanging="720"/>
        <w:jc w:val="both"/>
        <w:rPr>
          <w:rFonts w:ascii="David" w:hAnsi="David"/>
          <w:rtl/>
        </w:rPr>
      </w:pPr>
      <w:r>
        <w:rPr>
          <w:rFonts w:ascii="David" w:hAnsi="David"/>
          <w:rtl/>
        </w:rPr>
        <w:t>ג.</w:t>
      </w:r>
      <w:r>
        <w:rPr>
          <w:rFonts w:ascii="David" w:hAnsi="David"/>
          <w:rtl/>
        </w:rPr>
        <w:tab/>
        <w:t>המבקש ואורלי גרושים כיום, אך לטענתו הם במשמורת משותפת על ארבעת ילדיהם כאשר המבקש מתגורר בבית</w:t>
      </w:r>
      <w:r w:rsidR="00467178">
        <w:rPr>
          <w:rFonts w:ascii="David" w:hAnsi="David" w:hint="cs"/>
          <w:rtl/>
        </w:rPr>
        <w:t xml:space="preserve"> המגורים</w:t>
      </w:r>
      <w:r>
        <w:rPr>
          <w:rFonts w:ascii="David" w:hAnsi="David"/>
          <w:rtl/>
        </w:rPr>
        <w:t xml:space="preserve"> והילדים עמו. אורלי מתגוררת בדירה קטנה ברח' חנה רובינא בהרצליה (עמ' 5 לפרוטוקול ש' 6 - 13).</w:t>
      </w:r>
    </w:p>
    <w:p w:rsidR="00CF026D" w:rsidRDefault="00CF026D" w:rsidP="00CF026D">
      <w:pPr>
        <w:spacing w:line="360" w:lineRule="auto"/>
        <w:ind w:left="1440" w:hanging="720"/>
        <w:jc w:val="both"/>
        <w:rPr>
          <w:rFonts w:ascii="David" w:hAnsi="David"/>
          <w:rtl/>
        </w:rPr>
      </w:pPr>
    </w:p>
    <w:p w:rsidR="00CF026D" w:rsidRDefault="00CF026D" w:rsidP="00CF026D">
      <w:pPr>
        <w:spacing w:line="360" w:lineRule="auto"/>
        <w:ind w:left="1440" w:hanging="720"/>
        <w:jc w:val="both"/>
        <w:rPr>
          <w:rFonts w:ascii="David" w:hAnsi="David"/>
          <w:rtl/>
        </w:rPr>
      </w:pPr>
      <w:r>
        <w:rPr>
          <w:rFonts w:ascii="David" w:hAnsi="David"/>
          <w:rtl/>
        </w:rPr>
        <w:t>ד.</w:t>
      </w:r>
      <w:r>
        <w:rPr>
          <w:rFonts w:ascii="David" w:hAnsi="David"/>
          <w:rtl/>
        </w:rPr>
        <w:tab/>
        <w:t xml:space="preserve">גובה ההלוואה, גובה הריבית וגובה ריבית הפיגורים שלטענת המבקש אינם עומדים בתנאי חוק אשראי הוגן. </w:t>
      </w:r>
    </w:p>
    <w:p w:rsidR="00CF026D" w:rsidRDefault="00CF026D" w:rsidP="00CF026D">
      <w:pPr>
        <w:spacing w:line="360" w:lineRule="auto"/>
        <w:ind w:left="1440" w:hanging="720"/>
        <w:jc w:val="both"/>
        <w:rPr>
          <w:rFonts w:ascii="David" w:hAnsi="David"/>
          <w:rtl/>
        </w:rPr>
      </w:pPr>
    </w:p>
    <w:p w:rsidR="00CF026D" w:rsidRDefault="00CF026D" w:rsidP="00CF026D">
      <w:pPr>
        <w:spacing w:line="360" w:lineRule="auto"/>
        <w:ind w:left="1440" w:hanging="720"/>
        <w:jc w:val="both"/>
        <w:rPr>
          <w:rFonts w:ascii="David" w:hAnsi="David"/>
          <w:rtl/>
        </w:rPr>
      </w:pPr>
      <w:r>
        <w:rPr>
          <w:rFonts w:ascii="David" w:hAnsi="David"/>
          <w:rtl/>
        </w:rPr>
        <w:t>ה.</w:t>
      </w:r>
      <w:r>
        <w:rPr>
          <w:rFonts w:ascii="David" w:hAnsi="David"/>
          <w:rtl/>
        </w:rPr>
        <w:tab/>
        <w:t xml:space="preserve">טענת המבקש כי פרע את ההלוואה במלואה או ברובה. </w:t>
      </w:r>
    </w:p>
    <w:p w:rsidR="00CF026D" w:rsidRDefault="00CF026D" w:rsidP="00CF026D">
      <w:pPr>
        <w:spacing w:line="360" w:lineRule="auto"/>
        <w:ind w:left="1440" w:hanging="720"/>
        <w:jc w:val="both"/>
        <w:rPr>
          <w:rFonts w:ascii="David" w:hAnsi="David"/>
          <w:rtl/>
        </w:rPr>
      </w:pPr>
    </w:p>
    <w:p w:rsidR="00CF026D" w:rsidRDefault="00CF026D" w:rsidP="00CF026D">
      <w:pPr>
        <w:spacing w:line="360" w:lineRule="auto"/>
        <w:ind w:left="1440" w:hanging="720"/>
        <w:jc w:val="both"/>
        <w:rPr>
          <w:rFonts w:ascii="David" w:hAnsi="David"/>
          <w:rtl/>
        </w:rPr>
      </w:pPr>
      <w:r>
        <w:rPr>
          <w:rFonts w:ascii="David" w:hAnsi="David"/>
          <w:rtl/>
        </w:rPr>
        <w:tab/>
        <w:t xml:space="preserve">מנגד, המבקש חתם ביום 1.3.2023 על נספח ג' לכתב התשובה ובו התחייבות לפרוע יתרת הלוואה בסכום של 2.15 מיליון ₪, לכל המאוחר עד ליום 30.6.2023, דבר שסותר לכאורה את טענתו על פירעון ההלוואה. </w:t>
      </w:r>
    </w:p>
    <w:p w:rsidR="00CF026D" w:rsidRDefault="00CF026D" w:rsidP="00CF026D">
      <w:pPr>
        <w:spacing w:line="360" w:lineRule="auto"/>
        <w:ind w:left="1440" w:hanging="720"/>
        <w:jc w:val="both"/>
        <w:rPr>
          <w:rFonts w:ascii="David" w:hAnsi="David"/>
          <w:rtl/>
        </w:rPr>
      </w:pPr>
    </w:p>
    <w:p w:rsidR="00CF026D" w:rsidRDefault="00CF026D" w:rsidP="00CF026D">
      <w:pPr>
        <w:spacing w:line="360" w:lineRule="auto"/>
        <w:ind w:left="1440" w:hanging="720"/>
        <w:jc w:val="both"/>
        <w:rPr>
          <w:rFonts w:ascii="David" w:hAnsi="David"/>
          <w:rtl/>
        </w:rPr>
      </w:pPr>
      <w:r>
        <w:rPr>
          <w:rFonts w:ascii="David" w:hAnsi="David"/>
          <w:rtl/>
        </w:rPr>
        <w:t>ו.</w:t>
      </w:r>
      <w:r>
        <w:rPr>
          <w:rFonts w:ascii="David" w:hAnsi="David"/>
          <w:rtl/>
        </w:rPr>
        <w:tab/>
        <w:t xml:space="preserve">שיקולי מאזן הנוחות ובכלל זה – שיהוי, תום לב ואיזונים בין הנזקים הצפויים לכל אחד מן הצדדים. </w:t>
      </w:r>
    </w:p>
    <w:p w:rsidR="00CF026D" w:rsidRDefault="00CF026D" w:rsidP="00CF026D">
      <w:pPr>
        <w:spacing w:line="360" w:lineRule="auto"/>
        <w:ind w:left="1440" w:hanging="720"/>
        <w:jc w:val="both"/>
        <w:rPr>
          <w:rFonts w:ascii="David" w:hAnsi="David"/>
          <w:rtl/>
        </w:rPr>
      </w:pPr>
    </w:p>
    <w:p w:rsidR="00CF026D" w:rsidRDefault="00CF026D" w:rsidP="00CF026D">
      <w:pPr>
        <w:spacing w:line="360" w:lineRule="auto"/>
        <w:ind w:left="1440" w:hanging="720"/>
        <w:jc w:val="both"/>
        <w:rPr>
          <w:rFonts w:ascii="David" w:hAnsi="David"/>
          <w:rtl/>
        </w:rPr>
      </w:pPr>
      <w:r>
        <w:rPr>
          <w:rFonts w:ascii="David" w:hAnsi="David"/>
          <w:rtl/>
        </w:rPr>
        <w:t>ז.</w:t>
      </w:r>
      <w:r>
        <w:rPr>
          <w:rFonts w:ascii="David" w:hAnsi="David"/>
          <w:rtl/>
        </w:rPr>
        <w:tab/>
        <w:t xml:space="preserve">החוב בתיק ההוצל"פ הועמד על 4 מיליון ₪ בלבד, לטענת המשיבה לצורכי אגרה. לעומת הזאת ערכו של הנכס על פי חוות דעת שמאי שצרף המבקש עומד על 16.5 מיליון ₪. </w:t>
      </w:r>
    </w:p>
    <w:p w:rsidR="00CF026D" w:rsidRDefault="00CF026D" w:rsidP="00CF026D">
      <w:pPr>
        <w:spacing w:line="360" w:lineRule="auto"/>
        <w:ind w:left="1440" w:hanging="720"/>
        <w:jc w:val="both"/>
        <w:rPr>
          <w:rFonts w:ascii="David" w:hAnsi="David"/>
          <w:rtl/>
        </w:rPr>
      </w:pPr>
    </w:p>
    <w:p w:rsidR="00CF026D" w:rsidRDefault="00CF026D" w:rsidP="00CF026D">
      <w:pPr>
        <w:spacing w:line="360" w:lineRule="auto"/>
        <w:ind w:left="1440" w:hanging="720"/>
        <w:jc w:val="both"/>
        <w:rPr>
          <w:rFonts w:ascii="David" w:hAnsi="David"/>
          <w:rtl/>
        </w:rPr>
      </w:pPr>
      <w:r>
        <w:rPr>
          <w:rFonts w:ascii="David" w:hAnsi="David"/>
          <w:rtl/>
        </w:rPr>
        <w:t>ח.</w:t>
      </w:r>
      <w:r>
        <w:rPr>
          <w:rFonts w:ascii="David" w:hAnsi="David"/>
          <w:rtl/>
        </w:rPr>
        <w:tab/>
        <w:t xml:space="preserve">במידה ויש מקום לעיכוב הליכים, מה גובה הערבות בה יש לחייב את המבקש. בהקשר זה יצוין כי המבקש טען שנוכח ערכו של הנכס 16.5 מיליון ₪, אין מקום להשית עליו ערובה כספית בנוסף. המשיבה טענה </w:t>
      </w:r>
      <w:r w:rsidR="0032069F">
        <w:rPr>
          <w:rFonts w:ascii="David" w:hAnsi="David" w:hint="cs"/>
          <w:rtl/>
        </w:rPr>
        <w:t xml:space="preserve">מנגד, </w:t>
      </w:r>
      <w:r>
        <w:rPr>
          <w:rFonts w:ascii="David" w:hAnsi="David"/>
          <w:rtl/>
        </w:rPr>
        <w:t xml:space="preserve">כי שווי הנכס למימוש נמוך משמעותית מסכום זה ויש לחייב בערובה משמעותית. עוד הובא לפני במסגרת </w:t>
      </w:r>
      <w:r>
        <w:rPr>
          <w:rFonts w:ascii="David" w:hAnsi="David"/>
          <w:rtl/>
        </w:rPr>
        <w:lastRenderedPageBreak/>
        <w:t xml:space="preserve">בקשות דיוניות שהוגשו בתיק, כי כב' ראש ההוצל"פ התנתה עיכוב הליכים בהפקדה של </w:t>
      </w:r>
      <w:r w:rsidR="00654D9E">
        <w:rPr>
          <w:rFonts w:ascii="David" w:hAnsi="David" w:hint="cs"/>
          <w:rtl/>
        </w:rPr>
        <w:t>למעלה מ</w:t>
      </w:r>
      <w:r>
        <w:rPr>
          <w:rFonts w:ascii="David" w:hAnsi="David"/>
          <w:rtl/>
        </w:rPr>
        <w:t xml:space="preserve">מיליון ₪. </w:t>
      </w:r>
    </w:p>
    <w:p w:rsidR="00CF026D" w:rsidRDefault="00CF026D" w:rsidP="00CF026D">
      <w:pPr>
        <w:spacing w:line="360" w:lineRule="auto"/>
        <w:ind w:left="720" w:hanging="720"/>
        <w:jc w:val="both"/>
        <w:rPr>
          <w:rFonts w:ascii="David" w:hAnsi="David"/>
          <w:b/>
          <w:bCs/>
          <w:sz w:val="26"/>
          <w:szCs w:val="26"/>
          <w:u w:val="single"/>
          <w:rtl/>
        </w:rPr>
      </w:pPr>
    </w:p>
    <w:p w:rsidR="00CF026D" w:rsidRDefault="00CF026D" w:rsidP="00CF026D">
      <w:pPr>
        <w:spacing w:line="360" w:lineRule="auto"/>
        <w:ind w:left="720" w:hanging="720"/>
        <w:jc w:val="both"/>
        <w:rPr>
          <w:rFonts w:ascii="David" w:hAnsi="David"/>
          <w:b/>
          <w:bCs/>
          <w:sz w:val="26"/>
          <w:szCs w:val="26"/>
          <w:u w:val="single"/>
          <w:rtl/>
        </w:rPr>
      </w:pPr>
      <w:r>
        <w:rPr>
          <w:rFonts w:ascii="David" w:hAnsi="David"/>
          <w:b/>
          <w:bCs/>
          <w:sz w:val="26"/>
          <w:szCs w:val="26"/>
          <w:u w:val="single"/>
          <w:rtl/>
        </w:rPr>
        <w:t>דיון והכרעה:</w:t>
      </w:r>
    </w:p>
    <w:p w:rsidR="00F8705E" w:rsidRDefault="00F8705E" w:rsidP="00CF026D">
      <w:pPr>
        <w:spacing w:line="360" w:lineRule="auto"/>
        <w:ind w:left="720" w:hanging="720"/>
        <w:jc w:val="both"/>
        <w:rPr>
          <w:rFonts w:ascii="David" w:hAnsi="David"/>
          <w:b/>
          <w:bCs/>
          <w:sz w:val="26"/>
          <w:szCs w:val="26"/>
          <w:u w:val="single"/>
          <w:rtl/>
        </w:rPr>
      </w:pPr>
    </w:p>
    <w:p w:rsidR="00A11129" w:rsidRDefault="00A11129" w:rsidP="00A11129">
      <w:pPr>
        <w:spacing w:line="360" w:lineRule="auto"/>
        <w:ind w:left="720" w:hanging="720"/>
        <w:jc w:val="both"/>
        <w:rPr>
          <w:rFonts w:ascii="David" w:hAnsi="David"/>
          <w:rtl/>
        </w:rPr>
      </w:pPr>
      <w:r>
        <w:rPr>
          <w:rFonts w:ascii="David" w:hAnsi="David" w:hint="cs"/>
          <w:rtl/>
        </w:rPr>
        <w:t xml:space="preserve">20. </w:t>
      </w:r>
      <w:r>
        <w:rPr>
          <w:rFonts w:ascii="David" w:hAnsi="David"/>
          <w:rtl/>
        </w:rPr>
        <w:tab/>
      </w:r>
      <w:r>
        <w:rPr>
          <w:rFonts w:ascii="David" w:hAnsi="David" w:hint="cs"/>
          <w:rtl/>
        </w:rPr>
        <w:t>בטרם אדרש לבקשה ואכריע בה, יצוין כי החלטה האחרונה בתיק ההוצל"פ שהוצגה לפני (מיום 22.2.2024) מורה אמנם על עיכוב הליכי מימוש הנכס</w:t>
      </w:r>
      <w:r>
        <w:rPr>
          <w:rFonts w:ascii="David" w:hAnsi="David"/>
          <w:rtl/>
        </w:rPr>
        <w:t>,</w:t>
      </w:r>
      <w:r>
        <w:rPr>
          <w:rFonts w:ascii="David" w:hAnsi="David" w:hint="cs"/>
          <w:rtl/>
        </w:rPr>
        <w:t xml:space="preserve"> אך זאת בתנאי להפקדה של </w:t>
      </w:r>
      <w:r>
        <w:rPr>
          <w:rFonts w:ascii="David" w:hAnsi="David"/>
          <w:rtl/>
        </w:rPr>
        <w:t xml:space="preserve"> </w:t>
      </w:r>
      <w:r>
        <w:rPr>
          <w:rFonts w:ascii="David" w:hAnsi="David" w:hint="cs"/>
          <w:rtl/>
        </w:rPr>
        <w:t>כ- 1.1 מיליון ₪ על ידי החייבת-אורלי. לא הוצגה לפני כל אסמכתא להפקדת הסכום הנ"ל, ומכאן שנראה כי בקשה זו היא נתיב נוסף שבו מבוקש לעצור את מימוש הנכס.</w:t>
      </w:r>
    </w:p>
    <w:p w:rsidR="00A11129" w:rsidRPr="00A11129" w:rsidRDefault="00A11129" w:rsidP="00CF026D">
      <w:pPr>
        <w:spacing w:line="360" w:lineRule="auto"/>
        <w:ind w:left="720" w:hanging="720"/>
        <w:jc w:val="both"/>
        <w:rPr>
          <w:rFonts w:ascii="David" w:hAnsi="David"/>
          <w:rtl/>
        </w:rPr>
      </w:pPr>
    </w:p>
    <w:p w:rsidR="00F8705E" w:rsidRPr="00F8705E" w:rsidRDefault="00F8705E" w:rsidP="00CF026D">
      <w:pPr>
        <w:spacing w:line="360" w:lineRule="auto"/>
        <w:ind w:left="720" w:hanging="720"/>
        <w:jc w:val="both"/>
        <w:rPr>
          <w:rFonts w:ascii="David" w:hAnsi="David"/>
          <w:rtl/>
        </w:rPr>
      </w:pPr>
      <w:r w:rsidRPr="00F8705E">
        <w:rPr>
          <w:rFonts w:ascii="David" w:hAnsi="David" w:hint="cs"/>
          <w:b/>
          <w:bCs/>
          <w:u w:val="single"/>
          <w:rtl/>
        </w:rPr>
        <w:t xml:space="preserve">בקשה לסעד זמני </w:t>
      </w:r>
      <w:r w:rsidRPr="00F8705E">
        <w:rPr>
          <w:rFonts w:ascii="David" w:hAnsi="David"/>
          <w:b/>
          <w:bCs/>
          <w:u w:val="single"/>
          <w:rtl/>
        </w:rPr>
        <w:t>–</w:t>
      </w:r>
      <w:r w:rsidRPr="00F8705E">
        <w:rPr>
          <w:rFonts w:ascii="David" w:hAnsi="David" w:hint="cs"/>
          <w:b/>
          <w:bCs/>
          <w:u w:val="single"/>
          <w:rtl/>
        </w:rPr>
        <w:t xml:space="preserve"> המסגרת הנורמטיבית</w:t>
      </w:r>
      <w:r w:rsidRPr="00F8705E">
        <w:rPr>
          <w:rFonts w:ascii="David" w:hAnsi="David" w:hint="cs"/>
          <w:rtl/>
        </w:rPr>
        <w:t>:</w:t>
      </w:r>
    </w:p>
    <w:p w:rsidR="00F8705E" w:rsidRDefault="00F8705E" w:rsidP="00CF026D">
      <w:pPr>
        <w:spacing w:line="360" w:lineRule="auto"/>
        <w:ind w:left="720" w:hanging="720"/>
        <w:jc w:val="both"/>
        <w:rPr>
          <w:rFonts w:ascii="David" w:hAnsi="David"/>
          <w:sz w:val="26"/>
          <w:szCs w:val="26"/>
          <w:rtl/>
        </w:rPr>
      </w:pPr>
    </w:p>
    <w:p w:rsidR="00DD47A6" w:rsidRDefault="00A11129" w:rsidP="00CF026D">
      <w:pPr>
        <w:spacing w:line="360" w:lineRule="auto"/>
        <w:ind w:left="720" w:hanging="720"/>
        <w:jc w:val="both"/>
        <w:rPr>
          <w:rFonts w:ascii="David" w:hAnsi="David"/>
          <w:rtl/>
        </w:rPr>
      </w:pPr>
      <w:r>
        <w:rPr>
          <w:rFonts w:ascii="David" w:hAnsi="David" w:hint="cs"/>
          <w:rtl/>
        </w:rPr>
        <w:t>21</w:t>
      </w:r>
      <w:r w:rsidR="00F8705E" w:rsidRPr="00F8705E">
        <w:rPr>
          <w:rFonts w:ascii="David" w:hAnsi="David"/>
          <w:rtl/>
        </w:rPr>
        <w:t>.</w:t>
      </w:r>
      <w:r w:rsidR="00F8705E" w:rsidRPr="00F8705E">
        <w:rPr>
          <w:rFonts w:ascii="David" w:hAnsi="David"/>
          <w:rtl/>
        </w:rPr>
        <w:tab/>
        <w:t xml:space="preserve">כידוע, בבואו לבחון בקשה לסעד זמני, על בית המשפט להביא בחשבון שני שיקולים </w:t>
      </w:r>
    </w:p>
    <w:p w:rsidR="00F8705E" w:rsidRDefault="00F8705E" w:rsidP="00CF026D">
      <w:pPr>
        <w:spacing w:line="360" w:lineRule="auto"/>
        <w:ind w:left="720" w:hanging="720"/>
        <w:jc w:val="both"/>
        <w:rPr>
          <w:rFonts w:ascii="David" w:hAnsi="David"/>
          <w:b/>
          <w:rtl/>
        </w:rPr>
      </w:pPr>
      <w:r w:rsidRPr="00F8705E">
        <w:rPr>
          <w:rFonts w:ascii="David" w:hAnsi="David"/>
          <w:rtl/>
        </w:rPr>
        <w:t xml:space="preserve">עיקריים: </w:t>
      </w:r>
    </w:p>
    <w:p w:rsidR="00F8705E" w:rsidRDefault="00F8705E" w:rsidP="00F8705E">
      <w:pPr>
        <w:spacing w:line="360" w:lineRule="auto"/>
        <w:ind w:left="720"/>
        <w:jc w:val="both"/>
        <w:rPr>
          <w:rFonts w:ascii="David" w:hAnsi="David"/>
          <w:rtl/>
        </w:rPr>
      </w:pPr>
      <w:r w:rsidRPr="00F8705E">
        <w:rPr>
          <w:rFonts w:ascii="David" w:hAnsi="David"/>
          <w:bCs/>
          <w:rtl/>
        </w:rPr>
        <w:t>סיכויי התביעה</w:t>
      </w:r>
      <w:r>
        <w:rPr>
          <w:rFonts w:ascii="David" w:hAnsi="David"/>
          <w:rtl/>
        </w:rPr>
        <w:t xml:space="preserve"> – במסגרת</w:t>
      </w:r>
      <w:r>
        <w:rPr>
          <w:rFonts w:ascii="David" w:hAnsi="David" w:hint="cs"/>
          <w:rtl/>
        </w:rPr>
        <w:t xml:space="preserve"> שיקול זה</w:t>
      </w:r>
      <w:r w:rsidRPr="00F8705E">
        <w:rPr>
          <w:rFonts w:ascii="David" w:hAnsi="David"/>
          <w:rtl/>
        </w:rPr>
        <w:t xml:space="preserve"> יש לבחון האם ישנן ראיות לכאורה לקיומה של עילת תביעה</w:t>
      </w:r>
      <w:r w:rsidR="00630B49">
        <w:rPr>
          <w:rFonts w:ascii="David" w:hAnsi="David" w:hint="cs"/>
          <w:rtl/>
        </w:rPr>
        <w:t xml:space="preserve"> (</w:t>
      </w:r>
      <w:r w:rsidR="00630B49" w:rsidRPr="00CA0887">
        <w:rPr>
          <w:rFonts w:ascii="David" w:hAnsi="David" w:hint="cs"/>
          <w:b/>
          <w:bCs/>
          <w:rtl/>
        </w:rPr>
        <w:t xml:space="preserve">תקנה 95(ב) לתקנות סדר הדין האזרחי, תשע"ט-2018 </w:t>
      </w:r>
      <w:r w:rsidR="00630B49">
        <w:rPr>
          <w:rFonts w:ascii="David" w:hAnsi="David" w:hint="cs"/>
          <w:rtl/>
        </w:rPr>
        <w:t xml:space="preserve">(להלן: </w:t>
      </w:r>
      <w:r w:rsidR="00630B49">
        <w:rPr>
          <w:rFonts w:ascii="David" w:hAnsi="David" w:hint="cs"/>
          <w:b/>
          <w:bCs/>
          <w:rtl/>
        </w:rPr>
        <w:t>"התקנות"</w:t>
      </w:r>
      <w:r w:rsidR="00630B49">
        <w:rPr>
          <w:rFonts w:ascii="David" w:hAnsi="David" w:hint="cs"/>
          <w:rtl/>
        </w:rPr>
        <w:t>)</w:t>
      </w:r>
      <w:r w:rsidRPr="00F8705E">
        <w:rPr>
          <w:rFonts w:ascii="David" w:hAnsi="David"/>
          <w:rtl/>
        </w:rPr>
        <w:t xml:space="preserve">; </w:t>
      </w:r>
    </w:p>
    <w:p w:rsidR="00F8705E" w:rsidRDefault="00F8705E" w:rsidP="00F8705E">
      <w:pPr>
        <w:spacing w:line="360" w:lineRule="auto"/>
        <w:ind w:left="720"/>
        <w:jc w:val="both"/>
        <w:rPr>
          <w:rFonts w:ascii="David" w:hAnsi="David"/>
          <w:rtl/>
        </w:rPr>
      </w:pPr>
      <w:r w:rsidRPr="00F8705E">
        <w:rPr>
          <w:rFonts w:ascii="David" w:hAnsi="David"/>
          <w:bCs/>
          <w:rtl/>
        </w:rPr>
        <w:t>מאזן הנוחות</w:t>
      </w:r>
      <w:r w:rsidRPr="00F8705E">
        <w:rPr>
          <w:rFonts w:ascii="David" w:hAnsi="David"/>
          <w:rtl/>
        </w:rPr>
        <w:t xml:space="preserve"> – הבוחן האם הנזק שצפוי להיגרם למבקש מדחיית הבקשה עולה על הנזק שעלול להיגרם למשיב</w:t>
      </w:r>
      <w:r>
        <w:rPr>
          <w:rFonts w:ascii="David" w:hAnsi="David" w:hint="cs"/>
          <w:rtl/>
        </w:rPr>
        <w:t>,</w:t>
      </w:r>
      <w:r w:rsidRPr="00F8705E">
        <w:rPr>
          <w:rFonts w:ascii="David" w:hAnsi="David"/>
          <w:rtl/>
        </w:rPr>
        <w:t xml:space="preserve"> ככל שיינתן הסעד הזמני</w:t>
      </w:r>
      <w:r w:rsidR="00CA0887">
        <w:rPr>
          <w:rFonts w:ascii="David" w:hAnsi="David" w:hint="cs"/>
          <w:rtl/>
        </w:rPr>
        <w:t xml:space="preserve"> (</w:t>
      </w:r>
      <w:r w:rsidR="00CA0887" w:rsidRPr="00CA0887">
        <w:rPr>
          <w:rFonts w:ascii="David" w:hAnsi="David" w:hint="cs"/>
          <w:b/>
          <w:bCs/>
          <w:rtl/>
        </w:rPr>
        <w:t>תקנה 95(ד)(1) לתקנות</w:t>
      </w:r>
      <w:r w:rsidR="00CA0887">
        <w:rPr>
          <w:rFonts w:ascii="David" w:hAnsi="David" w:hint="cs"/>
          <w:rtl/>
        </w:rPr>
        <w:t>)</w:t>
      </w:r>
      <w:r w:rsidRPr="00F8705E">
        <w:rPr>
          <w:rFonts w:ascii="David" w:hAnsi="David"/>
          <w:rtl/>
        </w:rPr>
        <w:t xml:space="preserve">. </w:t>
      </w:r>
    </w:p>
    <w:p w:rsidR="00F8705E" w:rsidRDefault="00F8705E" w:rsidP="00F8705E">
      <w:pPr>
        <w:spacing w:line="360" w:lineRule="auto"/>
        <w:ind w:left="720"/>
        <w:jc w:val="both"/>
        <w:rPr>
          <w:rFonts w:ascii="David" w:hAnsi="David"/>
          <w:rtl/>
        </w:rPr>
      </w:pPr>
      <w:r w:rsidRPr="00F8705E">
        <w:rPr>
          <w:rFonts w:ascii="David" w:hAnsi="David"/>
          <w:rtl/>
        </w:rPr>
        <w:t xml:space="preserve">בין שני שיקולים אלו מתקיים יחס של "מקבילית כוחות", כך שככל שסיכויי התביעה נמוכים יותר, גובר הנטל על המבקש להראות כי מאזן כוחות נוטה באופן מובהק לטובתו, ולהיפך. </w:t>
      </w:r>
    </w:p>
    <w:p w:rsidR="00F8705E" w:rsidRDefault="00F8705E" w:rsidP="00FB009E">
      <w:pPr>
        <w:spacing w:line="360" w:lineRule="auto"/>
        <w:ind w:left="720"/>
        <w:jc w:val="both"/>
        <w:rPr>
          <w:rFonts w:ascii="David" w:hAnsi="David"/>
          <w:rtl/>
        </w:rPr>
      </w:pPr>
      <w:r>
        <w:rPr>
          <w:rFonts w:ascii="David" w:hAnsi="David" w:hint="cs"/>
          <w:rtl/>
        </w:rPr>
        <w:t>על דרך הכלל</w:t>
      </w:r>
      <w:r w:rsidRPr="00F8705E">
        <w:rPr>
          <w:rFonts w:ascii="David" w:hAnsi="David"/>
          <w:rtl/>
        </w:rPr>
        <w:t>, מקובל לראות בשיקול של</w:t>
      </w:r>
      <w:r>
        <w:rPr>
          <w:rFonts w:ascii="David" w:hAnsi="David"/>
          <w:rtl/>
        </w:rPr>
        <w:t xml:space="preserve"> מאזן הנוחות כבעל "מעמד בכורה"</w:t>
      </w:r>
      <w:r>
        <w:rPr>
          <w:rFonts w:ascii="David" w:hAnsi="David" w:hint="cs"/>
          <w:rtl/>
        </w:rPr>
        <w:t xml:space="preserve">, כאשר </w:t>
      </w:r>
      <w:r w:rsidR="00FB009E">
        <w:rPr>
          <w:rFonts w:ascii="David" w:hAnsi="David" w:hint="cs"/>
          <w:rtl/>
        </w:rPr>
        <w:t>שיקול זה</w:t>
      </w:r>
      <w:r>
        <w:rPr>
          <w:rFonts w:ascii="David" w:hAnsi="David" w:hint="cs"/>
          <w:rtl/>
        </w:rPr>
        <w:t xml:space="preserve"> א</w:t>
      </w:r>
      <w:r w:rsidR="00FB009E">
        <w:rPr>
          <w:rFonts w:ascii="David" w:hAnsi="David" w:hint="cs"/>
          <w:rtl/>
        </w:rPr>
        <w:t>ף  מגביר את הנטייה להיעתר לסעד הזמני</w:t>
      </w:r>
      <w:r>
        <w:rPr>
          <w:rFonts w:ascii="David" w:hAnsi="David" w:hint="cs"/>
          <w:rtl/>
        </w:rPr>
        <w:t>, עת עסקינן בבקשה שנועדה למנוע מימוש ופינוי של דירת מגורים.</w:t>
      </w:r>
    </w:p>
    <w:p w:rsidR="00F8705E" w:rsidRDefault="00F8705E" w:rsidP="00F8705E">
      <w:pPr>
        <w:spacing w:line="360" w:lineRule="auto"/>
        <w:ind w:left="720"/>
        <w:jc w:val="both"/>
        <w:rPr>
          <w:rFonts w:ascii="David" w:hAnsi="David"/>
          <w:rtl/>
        </w:rPr>
      </w:pPr>
      <w:r>
        <w:rPr>
          <w:rFonts w:ascii="David" w:hAnsi="David" w:hint="cs"/>
          <w:rtl/>
        </w:rPr>
        <w:t>לצד שיקולים אלה</w:t>
      </w:r>
      <w:r w:rsidRPr="00F8705E">
        <w:rPr>
          <w:rFonts w:ascii="David" w:hAnsi="David"/>
          <w:rtl/>
        </w:rPr>
        <w:t xml:space="preserve">, יש להתחשב גם בשיקולי יושר וצדק, ובכלל זה בתום ליבו של מבקש הסעד הזמני ובמועד </w:t>
      </w:r>
      <w:r>
        <w:rPr>
          <w:rFonts w:ascii="David" w:hAnsi="David" w:hint="cs"/>
          <w:rtl/>
        </w:rPr>
        <w:t>ש</w:t>
      </w:r>
      <w:r w:rsidRPr="00F8705E">
        <w:rPr>
          <w:rFonts w:ascii="David" w:hAnsi="David"/>
          <w:rtl/>
        </w:rPr>
        <w:t>בו הוגשה הבקשה</w:t>
      </w:r>
      <w:r>
        <w:rPr>
          <w:rFonts w:ascii="David" w:hAnsi="David" w:hint="cs"/>
          <w:rtl/>
        </w:rPr>
        <w:t>.</w:t>
      </w:r>
    </w:p>
    <w:p w:rsidR="00F8705E" w:rsidRDefault="00FB009E" w:rsidP="00574854">
      <w:pPr>
        <w:spacing w:line="360" w:lineRule="auto"/>
        <w:ind w:left="720"/>
        <w:jc w:val="both"/>
        <w:rPr>
          <w:rFonts w:ascii="David" w:hAnsi="David"/>
          <w:rtl/>
        </w:rPr>
      </w:pPr>
      <w:r w:rsidRPr="00574854">
        <w:rPr>
          <w:rFonts w:ascii="David" w:hAnsi="David" w:hint="cs"/>
          <w:rtl/>
        </w:rPr>
        <w:t>(</w:t>
      </w:r>
      <w:r w:rsidRPr="00574854">
        <w:rPr>
          <w:rFonts w:ascii="David" w:hAnsi="David"/>
          <w:rtl/>
        </w:rPr>
        <w:t>ראו</w:t>
      </w:r>
      <w:r w:rsidR="00F8705E" w:rsidRPr="00574854">
        <w:rPr>
          <w:rFonts w:ascii="David" w:hAnsi="David"/>
          <w:rtl/>
        </w:rPr>
        <w:t xml:space="preserve"> למשל:</w:t>
      </w:r>
      <w:r w:rsidRPr="00574854">
        <w:rPr>
          <w:rFonts w:ascii="David" w:hAnsi="David"/>
          <w:rtl/>
        </w:rPr>
        <w:t xml:space="preserve"> רע</w:t>
      </w:r>
      <w:r w:rsidRPr="00574854">
        <w:rPr>
          <w:rFonts w:ascii="David" w:hAnsi="David" w:hint="cs"/>
          <w:rtl/>
        </w:rPr>
        <w:t>"</w:t>
      </w:r>
      <w:r w:rsidRPr="00574854">
        <w:rPr>
          <w:rFonts w:ascii="David" w:hAnsi="David"/>
          <w:rtl/>
        </w:rPr>
        <w:t xml:space="preserve">א 6869/23 </w:t>
      </w:r>
      <w:r w:rsidRPr="00574854">
        <w:rPr>
          <w:rFonts w:ascii="David" w:hAnsi="David"/>
          <w:b/>
          <w:bCs/>
          <w:rtl/>
        </w:rPr>
        <w:t>אבן דרך הפודים 12 רמת גן נ' אבנעים</w:t>
      </w:r>
      <w:r w:rsidRPr="00574854">
        <w:rPr>
          <w:rFonts w:ascii="David" w:hAnsi="David" w:hint="cs"/>
          <w:rtl/>
        </w:rPr>
        <w:t>, פסקה 14 (14.1.2024);</w:t>
      </w:r>
      <w:r w:rsidR="00574854" w:rsidRPr="00574854">
        <w:rPr>
          <w:rFonts w:ascii="David" w:hAnsi="David" w:hint="cs"/>
          <w:rtl/>
        </w:rPr>
        <w:t xml:space="preserve"> ע; </w:t>
      </w:r>
      <w:hyperlink r:id="rId10" w:history="1">
        <w:r w:rsidR="00F8705E" w:rsidRPr="00574854">
          <w:rPr>
            <w:rStyle w:val="Hyperlink"/>
            <w:rFonts w:ascii="David" w:hAnsi="David"/>
            <w:color w:val="auto"/>
            <w:u w:val="none"/>
            <w:rtl/>
          </w:rPr>
          <w:t>רע"א 4999/23</w:t>
        </w:r>
      </w:hyperlink>
      <w:r w:rsidR="00F8705E" w:rsidRPr="00574854">
        <w:rPr>
          <w:rFonts w:ascii="David" w:hAnsi="David"/>
          <w:rtl/>
        </w:rPr>
        <w:t xml:space="preserve"> </w:t>
      </w:r>
      <w:r w:rsidR="00F8705E" w:rsidRPr="00574854">
        <w:rPr>
          <w:rFonts w:ascii="David" w:hAnsi="David"/>
          <w:bCs/>
          <w:rtl/>
        </w:rPr>
        <w:t>ג'רוס נ' עזבון המנוח ג'רוס ז"ל</w:t>
      </w:r>
      <w:r w:rsidRPr="00574854">
        <w:rPr>
          <w:rFonts w:ascii="David" w:hAnsi="David"/>
          <w:rtl/>
        </w:rPr>
        <w:t>, פסקה 17</w:t>
      </w:r>
      <w:r w:rsidRPr="00574854">
        <w:rPr>
          <w:rFonts w:ascii="David" w:hAnsi="David" w:hint="cs"/>
          <w:rtl/>
        </w:rPr>
        <w:t xml:space="preserve">; </w:t>
      </w:r>
      <w:r w:rsidR="00F8705E" w:rsidRPr="00574854">
        <w:rPr>
          <w:rFonts w:ascii="David" w:hAnsi="David"/>
          <w:rtl/>
        </w:rPr>
        <w:t xml:space="preserve">(29.8.2023); </w:t>
      </w:r>
      <w:hyperlink r:id="rId11" w:history="1">
        <w:r w:rsidR="00F8705E" w:rsidRPr="00574854">
          <w:rPr>
            <w:rStyle w:val="Hyperlink"/>
            <w:rFonts w:ascii="David" w:hAnsi="David"/>
            <w:color w:val="auto"/>
            <w:u w:val="none"/>
            <w:rtl/>
          </w:rPr>
          <w:t>רע"א 1708/23</w:t>
        </w:r>
      </w:hyperlink>
      <w:r w:rsidR="00F8705E" w:rsidRPr="00574854">
        <w:rPr>
          <w:rFonts w:ascii="David" w:hAnsi="David"/>
          <w:rtl/>
        </w:rPr>
        <w:t xml:space="preserve"> </w:t>
      </w:r>
      <w:r w:rsidR="00F8705E" w:rsidRPr="00574854">
        <w:rPr>
          <w:rFonts w:ascii="David" w:hAnsi="David"/>
          <w:bCs/>
          <w:rtl/>
        </w:rPr>
        <w:t>אשמי נ' א.ר.א.ב בונוס בע"מ</w:t>
      </w:r>
      <w:r w:rsidR="00F8705E" w:rsidRPr="00574854">
        <w:rPr>
          <w:rFonts w:ascii="David" w:hAnsi="David"/>
          <w:rtl/>
        </w:rPr>
        <w:t>, פסקה 13 (7.5.2023)</w:t>
      </w:r>
      <w:r w:rsidR="00A93C29">
        <w:rPr>
          <w:rFonts w:ascii="David" w:hAnsi="David" w:hint="cs"/>
          <w:rtl/>
        </w:rPr>
        <w:t xml:space="preserve"> (להלן: </w:t>
      </w:r>
      <w:r w:rsidR="00A93C29">
        <w:rPr>
          <w:rFonts w:ascii="David" w:hAnsi="David" w:hint="cs"/>
          <w:b/>
          <w:bCs/>
          <w:rtl/>
        </w:rPr>
        <w:t>"עניין אשמי"</w:t>
      </w:r>
      <w:r w:rsidR="00A93C29">
        <w:rPr>
          <w:rFonts w:ascii="David" w:hAnsi="David" w:hint="cs"/>
          <w:rtl/>
        </w:rPr>
        <w:t>)</w:t>
      </w:r>
      <w:r w:rsidR="00F8705E" w:rsidRPr="00574854">
        <w:rPr>
          <w:rFonts w:ascii="David" w:hAnsi="David"/>
          <w:rtl/>
        </w:rPr>
        <w:t>;</w:t>
      </w:r>
      <w:r w:rsidR="00574854" w:rsidRPr="00574854">
        <w:rPr>
          <w:rFonts w:ascii="David" w:hAnsi="David" w:hint="cs"/>
          <w:rtl/>
        </w:rPr>
        <w:t xml:space="preserve"> ע"א 3820/22 </w:t>
      </w:r>
      <w:r w:rsidR="00574854" w:rsidRPr="00574854">
        <w:rPr>
          <w:rFonts w:ascii="David" w:hAnsi="David" w:hint="cs"/>
          <w:b/>
          <w:bCs/>
          <w:rtl/>
        </w:rPr>
        <w:t xml:space="preserve">שמואל ואח' נ' </w:t>
      </w:r>
      <w:r w:rsidR="00574854" w:rsidRPr="00574854">
        <w:rPr>
          <w:rFonts w:ascii="David" w:hAnsi="David"/>
          <w:b/>
          <w:bCs/>
        </w:rPr>
        <w:t>Don Stene</w:t>
      </w:r>
      <w:r w:rsidR="00574854" w:rsidRPr="00574854">
        <w:rPr>
          <w:rFonts w:ascii="David" w:hAnsi="David" w:hint="cs"/>
          <w:rtl/>
        </w:rPr>
        <w:t>, פסקה 14 (18.8.2022)).</w:t>
      </w:r>
    </w:p>
    <w:p w:rsidR="00DD47A6" w:rsidRPr="00574854" w:rsidRDefault="00DD47A6" w:rsidP="00574854">
      <w:pPr>
        <w:spacing w:line="360" w:lineRule="auto"/>
        <w:ind w:left="720"/>
        <w:jc w:val="both"/>
        <w:rPr>
          <w:rFonts w:ascii="David" w:hAnsi="David"/>
          <w:rtl/>
        </w:rPr>
      </w:pPr>
    </w:p>
    <w:p w:rsidR="00973B47" w:rsidRDefault="00973B47" w:rsidP="00574854">
      <w:pPr>
        <w:spacing w:line="360" w:lineRule="auto"/>
        <w:ind w:left="720" w:hanging="720"/>
        <w:jc w:val="both"/>
        <w:rPr>
          <w:rFonts w:ascii="David" w:hAnsi="David"/>
          <w:rtl/>
        </w:rPr>
      </w:pPr>
    </w:p>
    <w:p w:rsidR="00574854" w:rsidRDefault="00CF3831" w:rsidP="00574854">
      <w:pPr>
        <w:spacing w:line="360" w:lineRule="auto"/>
        <w:ind w:left="720" w:hanging="720"/>
        <w:jc w:val="both"/>
        <w:rPr>
          <w:rFonts w:ascii="David" w:hAnsi="David"/>
          <w:b/>
          <w:bCs/>
          <w:u w:val="single"/>
          <w:rtl/>
        </w:rPr>
      </w:pPr>
      <w:r>
        <w:rPr>
          <w:rFonts w:ascii="David" w:hAnsi="David" w:hint="cs"/>
          <w:b/>
          <w:bCs/>
          <w:u w:val="single"/>
          <w:rtl/>
        </w:rPr>
        <w:lastRenderedPageBreak/>
        <w:t>מעמדו של המבקש</w:t>
      </w:r>
      <w:r w:rsidR="00574854">
        <w:rPr>
          <w:rFonts w:ascii="David" w:hAnsi="David" w:hint="cs"/>
          <w:b/>
          <w:bCs/>
          <w:u w:val="single"/>
          <w:rtl/>
        </w:rPr>
        <w:t>:</w:t>
      </w:r>
    </w:p>
    <w:p w:rsidR="00574854" w:rsidRPr="00574854" w:rsidRDefault="00574854" w:rsidP="00574854">
      <w:pPr>
        <w:spacing w:line="360" w:lineRule="auto"/>
        <w:ind w:left="720" w:hanging="720"/>
        <w:jc w:val="both"/>
        <w:rPr>
          <w:rFonts w:ascii="David" w:hAnsi="David"/>
          <w:b/>
          <w:bCs/>
          <w:u w:val="single"/>
          <w:rtl/>
        </w:rPr>
      </w:pPr>
    </w:p>
    <w:p w:rsidR="00CF026D" w:rsidRDefault="00A11129" w:rsidP="00DD47A6">
      <w:pPr>
        <w:spacing w:line="360" w:lineRule="auto"/>
        <w:ind w:left="720" w:hanging="720"/>
        <w:jc w:val="both"/>
        <w:rPr>
          <w:rFonts w:ascii="David" w:hAnsi="David"/>
          <w:rtl/>
        </w:rPr>
      </w:pPr>
      <w:r>
        <w:rPr>
          <w:rFonts w:ascii="David" w:hAnsi="David" w:hint="cs"/>
          <w:rtl/>
        </w:rPr>
        <w:t>22</w:t>
      </w:r>
      <w:r w:rsidR="00CF026D">
        <w:rPr>
          <w:rFonts w:ascii="David" w:hAnsi="David"/>
          <w:rtl/>
        </w:rPr>
        <w:t>.</w:t>
      </w:r>
      <w:r w:rsidR="00CF026D">
        <w:rPr>
          <w:rFonts w:ascii="David" w:hAnsi="David"/>
          <w:rtl/>
        </w:rPr>
        <w:tab/>
      </w:r>
      <w:r w:rsidR="00DD47A6">
        <w:rPr>
          <w:rFonts w:ascii="David" w:hAnsi="David" w:hint="cs"/>
          <w:rtl/>
        </w:rPr>
        <w:t xml:space="preserve">אבחן תחילה, </w:t>
      </w:r>
      <w:r w:rsidR="00CF026D">
        <w:rPr>
          <w:rFonts w:ascii="David" w:hAnsi="David"/>
          <w:rtl/>
        </w:rPr>
        <w:t xml:space="preserve"> האם המבקש הוא בעל מעמד בתובענה הנוכחית. </w:t>
      </w:r>
    </w:p>
    <w:p w:rsidR="00CF026D" w:rsidRDefault="00CF026D" w:rsidP="00960013">
      <w:pPr>
        <w:spacing w:line="360" w:lineRule="auto"/>
        <w:ind w:left="720" w:hanging="720"/>
        <w:jc w:val="both"/>
        <w:rPr>
          <w:rFonts w:ascii="David" w:hAnsi="David"/>
          <w:rtl/>
        </w:rPr>
      </w:pPr>
      <w:r>
        <w:rPr>
          <w:rFonts w:ascii="David" w:hAnsi="David"/>
          <w:rtl/>
        </w:rPr>
        <w:tab/>
        <w:t xml:space="preserve">לכאורה, אורלי כמי שרשומה כבעלת </w:t>
      </w:r>
      <w:r w:rsidR="00654D9E">
        <w:rPr>
          <w:rFonts w:ascii="David" w:hAnsi="David" w:hint="cs"/>
          <w:rtl/>
        </w:rPr>
        <w:t xml:space="preserve">הזכויות </w:t>
      </w:r>
      <w:r>
        <w:rPr>
          <w:rFonts w:ascii="David" w:hAnsi="David"/>
          <w:rtl/>
        </w:rPr>
        <w:t xml:space="preserve">הנכס </w:t>
      </w:r>
      <w:r w:rsidR="00654D9E">
        <w:rPr>
          <w:rFonts w:ascii="David" w:hAnsi="David" w:hint="cs"/>
          <w:rtl/>
        </w:rPr>
        <w:t xml:space="preserve">והחייבת בתיק ההוצל"פ, </w:t>
      </w:r>
      <w:r>
        <w:rPr>
          <w:rFonts w:ascii="David" w:hAnsi="David"/>
          <w:rtl/>
        </w:rPr>
        <w:t xml:space="preserve">היא הגורם הנכון </w:t>
      </w:r>
      <w:r w:rsidR="00654D9E">
        <w:rPr>
          <w:rFonts w:ascii="David" w:hAnsi="David" w:hint="cs"/>
          <w:rtl/>
        </w:rPr>
        <w:t>הפורמלי</w:t>
      </w:r>
      <w:r>
        <w:rPr>
          <w:rFonts w:ascii="David" w:hAnsi="David"/>
          <w:rtl/>
        </w:rPr>
        <w:t xml:space="preserve"> להלין </w:t>
      </w:r>
      <w:r w:rsidR="00654D9E">
        <w:rPr>
          <w:rFonts w:ascii="David" w:hAnsi="David" w:hint="cs"/>
          <w:rtl/>
        </w:rPr>
        <w:t>כנגד</w:t>
      </w:r>
      <w:r>
        <w:rPr>
          <w:rFonts w:ascii="David" w:hAnsi="David"/>
          <w:rtl/>
        </w:rPr>
        <w:t xml:space="preserve"> מימוש </w:t>
      </w:r>
      <w:r w:rsidR="00654D9E">
        <w:rPr>
          <w:rFonts w:ascii="David" w:hAnsi="David" w:hint="cs"/>
          <w:rtl/>
        </w:rPr>
        <w:t>המשכנתא</w:t>
      </w:r>
      <w:r>
        <w:rPr>
          <w:rFonts w:ascii="David" w:hAnsi="David"/>
          <w:rtl/>
        </w:rPr>
        <w:t xml:space="preserve">. </w:t>
      </w:r>
      <w:r w:rsidR="00504C61">
        <w:rPr>
          <w:rFonts w:ascii="David" w:hAnsi="David" w:hint="cs"/>
          <w:rtl/>
        </w:rPr>
        <w:t>והנה, במסגרת התשובה לבקשה לעיכוב הלי</w:t>
      </w:r>
      <w:r w:rsidR="00F41DF4">
        <w:rPr>
          <w:rFonts w:ascii="David" w:hAnsi="David" w:hint="cs"/>
          <w:rtl/>
        </w:rPr>
        <w:t>כים נודע לראשונה באמצעות המשיבה</w:t>
      </w:r>
      <w:r>
        <w:rPr>
          <w:rFonts w:ascii="David" w:hAnsi="David"/>
          <w:rtl/>
        </w:rPr>
        <w:t xml:space="preserve"> כי אורלי אכן הגישה תביעה כזו כנגד המשיבה המתנהלת בבית המשפט המחוזי בתל-אביב.</w:t>
      </w:r>
      <w:r w:rsidR="00504C61">
        <w:rPr>
          <w:rFonts w:ascii="David" w:hAnsi="David" w:hint="cs"/>
          <w:rtl/>
        </w:rPr>
        <w:t xml:space="preserve"> זו היא תביעה קודמת </w:t>
      </w:r>
      <w:r w:rsidR="00F71910">
        <w:rPr>
          <w:rFonts w:ascii="David" w:hAnsi="David" w:hint="cs"/>
          <w:rtl/>
        </w:rPr>
        <w:t>לתובענה זו</w:t>
      </w:r>
      <w:r w:rsidR="00504C61">
        <w:rPr>
          <w:rFonts w:ascii="David" w:hAnsi="David" w:hint="cs"/>
          <w:rtl/>
        </w:rPr>
        <w:t xml:space="preserve"> שהוגשה במסגרת ת</w:t>
      </w:r>
      <w:r w:rsidR="00F71910">
        <w:rPr>
          <w:rFonts w:ascii="David" w:hAnsi="David" w:hint="cs"/>
          <w:rtl/>
        </w:rPr>
        <w:t>.א. 13466-01-23</w:t>
      </w:r>
      <w:r>
        <w:rPr>
          <w:rFonts w:ascii="David" w:hAnsi="David"/>
          <w:rtl/>
        </w:rPr>
        <w:t xml:space="preserve"> </w:t>
      </w:r>
      <w:r w:rsidR="00F71910">
        <w:rPr>
          <w:rFonts w:ascii="David" w:hAnsi="David" w:hint="cs"/>
          <w:b/>
          <w:bCs/>
          <w:rtl/>
        </w:rPr>
        <w:t xml:space="preserve">אקוקה נ' נפולוני בע"מ </w:t>
      </w:r>
      <w:r w:rsidR="00F71910" w:rsidRPr="00F71910">
        <w:rPr>
          <w:rFonts w:ascii="David" w:hAnsi="David" w:hint="cs"/>
          <w:b/>
          <w:bCs/>
          <w:rtl/>
        </w:rPr>
        <w:t>ואח'</w:t>
      </w:r>
      <w:r w:rsidR="00F71910">
        <w:rPr>
          <w:rFonts w:ascii="David" w:hAnsi="David" w:hint="cs"/>
          <w:rtl/>
        </w:rPr>
        <w:t xml:space="preserve"> (</w:t>
      </w:r>
      <w:r w:rsidR="00DD47A6">
        <w:rPr>
          <w:rFonts w:ascii="David" w:hAnsi="David" w:hint="cs"/>
          <w:rtl/>
        </w:rPr>
        <w:t xml:space="preserve">שהוגדרה </w:t>
      </w:r>
      <w:r w:rsidR="00F71910">
        <w:rPr>
          <w:rFonts w:ascii="David" w:hAnsi="David" w:hint="cs"/>
          <w:rtl/>
        </w:rPr>
        <w:t xml:space="preserve">להלן: </w:t>
      </w:r>
      <w:r w:rsidR="00F71910">
        <w:rPr>
          <w:rFonts w:ascii="David" w:hAnsi="David" w:hint="cs"/>
          <w:b/>
          <w:bCs/>
          <w:rtl/>
        </w:rPr>
        <w:t>"</w:t>
      </w:r>
      <w:r w:rsidR="00DD47A6">
        <w:rPr>
          <w:rFonts w:ascii="David" w:hAnsi="David" w:hint="cs"/>
          <w:b/>
          <w:bCs/>
          <w:rtl/>
        </w:rPr>
        <w:t xml:space="preserve">תביעת </w:t>
      </w:r>
      <w:r w:rsidR="00F71910">
        <w:rPr>
          <w:rFonts w:ascii="David" w:hAnsi="David" w:hint="cs"/>
          <w:b/>
          <w:bCs/>
          <w:rtl/>
        </w:rPr>
        <w:t xml:space="preserve"> </w:t>
      </w:r>
      <w:r w:rsidR="00960013">
        <w:rPr>
          <w:rFonts w:ascii="David" w:hAnsi="David" w:hint="cs"/>
          <w:b/>
          <w:bCs/>
          <w:rtl/>
        </w:rPr>
        <w:t>אורלי</w:t>
      </w:r>
      <w:r w:rsidR="00F71910">
        <w:rPr>
          <w:rFonts w:ascii="David" w:hAnsi="David" w:hint="cs"/>
          <w:b/>
          <w:bCs/>
          <w:rtl/>
        </w:rPr>
        <w:t>"</w:t>
      </w:r>
      <w:r w:rsidR="00F71910">
        <w:rPr>
          <w:rFonts w:ascii="David" w:hAnsi="David" w:hint="cs"/>
          <w:rtl/>
        </w:rPr>
        <w:t xml:space="preserve">). </w:t>
      </w:r>
      <w:r w:rsidRPr="00F71910">
        <w:rPr>
          <w:rFonts w:ascii="David" w:hAnsi="David"/>
          <w:rtl/>
        </w:rPr>
        <w:t>המבקש</w:t>
      </w:r>
      <w:r>
        <w:rPr>
          <w:rFonts w:ascii="David" w:hAnsi="David"/>
          <w:rtl/>
        </w:rPr>
        <w:t xml:space="preserve"> אינו צד </w:t>
      </w:r>
      <w:r w:rsidR="00F41DF4">
        <w:rPr>
          <w:rFonts w:ascii="David" w:hAnsi="David" w:hint="cs"/>
          <w:rtl/>
        </w:rPr>
        <w:t xml:space="preserve">לתביעה </w:t>
      </w:r>
      <w:r w:rsidR="00960013">
        <w:rPr>
          <w:rFonts w:ascii="David" w:hAnsi="David" w:hint="cs"/>
          <w:rtl/>
        </w:rPr>
        <w:t>זו</w:t>
      </w:r>
      <w:r>
        <w:rPr>
          <w:rFonts w:ascii="David" w:hAnsi="David"/>
          <w:rtl/>
        </w:rPr>
        <w:t xml:space="preserve"> ולטענתו בדיון לפני, הוא אינו מודע </w:t>
      </w:r>
      <w:r w:rsidR="00F41DF4">
        <w:rPr>
          <w:rFonts w:ascii="David" w:hAnsi="David" w:hint="cs"/>
          <w:rtl/>
        </w:rPr>
        <w:t>לה</w:t>
      </w:r>
      <w:r>
        <w:rPr>
          <w:rFonts w:ascii="David" w:hAnsi="David"/>
          <w:rtl/>
        </w:rPr>
        <w:t xml:space="preserve"> (עמ' 5 לפרוטוקול ש' 14 – 15). </w:t>
      </w:r>
    </w:p>
    <w:p w:rsidR="00CF026D" w:rsidRDefault="00CF026D" w:rsidP="00CF026D">
      <w:pPr>
        <w:spacing w:line="360" w:lineRule="auto"/>
        <w:ind w:left="720" w:hanging="720"/>
        <w:jc w:val="both"/>
        <w:rPr>
          <w:rFonts w:ascii="David" w:hAnsi="David"/>
          <w:rtl/>
        </w:rPr>
      </w:pPr>
      <w:r>
        <w:rPr>
          <w:rFonts w:ascii="David" w:hAnsi="David"/>
          <w:rtl/>
        </w:rPr>
        <w:tab/>
        <w:t xml:space="preserve">עם זאת, עלה בדיון כי מי שמתגורר בנכס בפועל היום הוא המבקש המצוי במשמורת משותפת על ארבעת הילדים עם אורלי המתגוררת בדירה נפרדת, כך שנושא הפינוי ככל הנראה מעיק על המבקש יותר מאשר על אורלי. </w:t>
      </w:r>
    </w:p>
    <w:p w:rsidR="00CF026D" w:rsidRDefault="00CF026D" w:rsidP="00CF026D">
      <w:pPr>
        <w:spacing w:line="360" w:lineRule="auto"/>
        <w:ind w:left="720" w:hanging="720"/>
        <w:jc w:val="both"/>
        <w:rPr>
          <w:rFonts w:ascii="David" w:hAnsi="David"/>
          <w:rtl/>
        </w:rPr>
      </w:pPr>
    </w:p>
    <w:p w:rsidR="00CF026D" w:rsidRDefault="00A11129" w:rsidP="00CF026D">
      <w:pPr>
        <w:spacing w:line="360" w:lineRule="auto"/>
        <w:ind w:left="720" w:hanging="720"/>
        <w:jc w:val="both"/>
        <w:rPr>
          <w:rFonts w:ascii="David" w:hAnsi="David"/>
          <w:rtl/>
        </w:rPr>
      </w:pPr>
      <w:r>
        <w:rPr>
          <w:rFonts w:ascii="David" w:hAnsi="David" w:hint="cs"/>
          <w:rtl/>
        </w:rPr>
        <w:t>23</w:t>
      </w:r>
      <w:r w:rsidR="00CF026D">
        <w:rPr>
          <w:rFonts w:ascii="David" w:hAnsi="David"/>
          <w:rtl/>
        </w:rPr>
        <w:t>.</w:t>
      </w:r>
      <w:r w:rsidR="00CF026D">
        <w:rPr>
          <w:rFonts w:ascii="David" w:hAnsi="David"/>
          <w:rtl/>
        </w:rPr>
        <w:tab/>
        <w:t xml:space="preserve">עוד ראינו, כי על פי פסק הדין בתיק ה-ה.פ., המבקש רשאי להירשם כבעל הזכויות בנכס, כפוף לזכותה של המשיבה ולמשכנתא שלה, כך שמעמדו כבעל זכויות אינו מופרך לכאורה ודאי לא לצורך השלב המקדמי בו אנו מצויים עתה, של דיון בסעד זמני. </w:t>
      </w:r>
    </w:p>
    <w:p w:rsidR="00CF026D" w:rsidRDefault="00CF026D" w:rsidP="00CF026D">
      <w:pPr>
        <w:spacing w:line="360" w:lineRule="auto"/>
        <w:ind w:left="720" w:hanging="720"/>
        <w:jc w:val="both"/>
        <w:rPr>
          <w:rFonts w:ascii="David" w:hAnsi="David"/>
          <w:rtl/>
        </w:rPr>
      </w:pPr>
      <w:r>
        <w:rPr>
          <w:rFonts w:ascii="David" w:hAnsi="David"/>
          <w:rtl/>
        </w:rPr>
        <w:tab/>
        <w:t xml:space="preserve">לכך אוסיף, כי גם הסכם הגירושין בין המבקש לבין אורלי שצורף לבקשה סעיף 6, מאפשר למבקש למכור את הנכס ללקוח ואורלי תקבל חלק מסכום המכירה לאחר כיסוי החובות הרובצים על הנכס ובראש ובראשונה החוב למשיבה. </w:t>
      </w:r>
    </w:p>
    <w:p w:rsidR="00CF026D" w:rsidRDefault="00CF026D" w:rsidP="00CF026D">
      <w:pPr>
        <w:spacing w:line="360" w:lineRule="auto"/>
        <w:ind w:left="720" w:hanging="720"/>
        <w:jc w:val="both"/>
        <w:rPr>
          <w:rFonts w:ascii="David" w:hAnsi="David"/>
          <w:rtl/>
        </w:rPr>
      </w:pPr>
    </w:p>
    <w:p w:rsidR="00CF026D" w:rsidRDefault="00A11129" w:rsidP="00CF026D">
      <w:pPr>
        <w:spacing w:line="360" w:lineRule="auto"/>
        <w:ind w:left="720" w:hanging="720"/>
        <w:jc w:val="both"/>
        <w:rPr>
          <w:rFonts w:ascii="David" w:hAnsi="David"/>
          <w:rtl/>
        </w:rPr>
      </w:pPr>
      <w:r>
        <w:rPr>
          <w:rFonts w:ascii="David" w:hAnsi="David" w:hint="cs"/>
          <w:rtl/>
        </w:rPr>
        <w:t>24</w:t>
      </w:r>
      <w:r w:rsidR="00CF026D">
        <w:rPr>
          <w:rFonts w:ascii="David" w:hAnsi="David"/>
          <w:rtl/>
        </w:rPr>
        <w:t>.</w:t>
      </w:r>
      <w:r w:rsidR="00CF026D">
        <w:rPr>
          <w:rFonts w:ascii="David" w:hAnsi="David"/>
          <w:rtl/>
        </w:rPr>
        <w:tab/>
        <w:t xml:space="preserve">אשר על כן, מבחינת מעמדו של המבקש כמי שזכאי לטעון לעיכוב הליכים הגם שאינו רשום פורמאלית כבעל </w:t>
      </w:r>
      <w:r w:rsidR="00F71910">
        <w:rPr>
          <w:rFonts w:ascii="David" w:hAnsi="David"/>
          <w:rtl/>
        </w:rPr>
        <w:t xml:space="preserve">זכויות בנכס, אני מוצאת כי </w:t>
      </w:r>
      <w:r w:rsidR="00F71910">
        <w:rPr>
          <w:rFonts w:ascii="David" w:hAnsi="David" w:hint="cs"/>
          <w:rtl/>
        </w:rPr>
        <w:t>לצורך ה</w:t>
      </w:r>
      <w:r w:rsidR="00574854">
        <w:rPr>
          <w:rFonts w:ascii="David" w:hAnsi="David"/>
          <w:rtl/>
        </w:rPr>
        <w:t>שלב הדיוני הנוכחי</w:t>
      </w:r>
      <w:r w:rsidR="00CF026D">
        <w:rPr>
          <w:rFonts w:ascii="David" w:hAnsi="David"/>
          <w:rtl/>
        </w:rPr>
        <w:t xml:space="preserve"> של </w:t>
      </w:r>
      <w:r w:rsidR="00F41DF4">
        <w:rPr>
          <w:rFonts w:ascii="David" w:hAnsi="David" w:hint="cs"/>
          <w:rtl/>
        </w:rPr>
        <w:t>ה</w:t>
      </w:r>
      <w:r w:rsidR="00CF026D">
        <w:rPr>
          <w:rFonts w:ascii="David" w:hAnsi="David"/>
          <w:rtl/>
        </w:rPr>
        <w:t xml:space="preserve">סעד </w:t>
      </w:r>
      <w:r w:rsidR="00F41DF4">
        <w:rPr>
          <w:rFonts w:ascii="David" w:hAnsi="David" w:hint="cs"/>
          <w:rtl/>
        </w:rPr>
        <w:t>ה</w:t>
      </w:r>
      <w:r w:rsidR="00CF026D">
        <w:rPr>
          <w:rFonts w:ascii="David" w:hAnsi="David"/>
          <w:rtl/>
        </w:rPr>
        <w:t>זמני</w:t>
      </w:r>
      <w:r w:rsidR="00F41DF4">
        <w:rPr>
          <w:rFonts w:ascii="David" w:hAnsi="David" w:hint="cs"/>
          <w:rtl/>
        </w:rPr>
        <w:t>,</w:t>
      </w:r>
      <w:r w:rsidR="00CF026D">
        <w:rPr>
          <w:rFonts w:ascii="David" w:hAnsi="David"/>
          <w:rtl/>
        </w:rPr>
        <w:t xml:space="preserve"> כאשר המבקש הוכיח זיקה לנכס, דהיינו טוען למגורים בו, וישנם מסמכים משפטיים המכירים בזכויותיו – הסכם הגירושין ופסק הדין בתיק ה-ה.פ. – גם אם הזכויות הללו כפופות לזכויות המשיבה, הדבר מעניק לו מעמד לטעון בבקשה הנוכחית. בכך מוסדרים סעיפים א' ו- ב' בסעיף 19 לעיל.</w:t>
      </w:r>
    </w:p>
    <w:p w:rsidR="00CF026D" w:rsidRDefault="00CF026D" w:rsidP="00F41DF4">
      <w:pPr>
        <w:spacing w:line="360" w:lineRule="auto"/>
        <w:ind w:left="720" w:hanging="720"/>
        <w:jc w:val="both"/>
        <w:rPr>
          <w:rFonts w:ascii="David" w:hAnsi="David"/>
          <w:rtl/>
        </w:rPr>
      </w:pPr>
      <w:r>
        <w:rPr>
          <w:rFonts w:ascii="David" w:hAnsi="David"/>
          <w:rtl/>
        </w:rPr>
        <w:tab/>
        <w:t xml:space="preserve">אשר לטענות בדבר זכאותו של המבקש לטעון בהליך לפי </w:t>
      </w:r>
      <w:r w:rsidRPr="00F41DF4">
        <w:rPr>
          <w:rFonts w:ascii="David" w:hAnsi="David"/>
          <w:b/>
          <w:bCs/>
          <w:rtl/>
        </w:rPr>
        <w:t>סעיף 13</w:t>
      </w:r>
      <w:r w:rsidR="00DB0A33" w:rsidRPr="00F41DF4">
        <w:rPr>
          <w:rFonts w:ascii="David" w:hAnsi="David" w:hint="cs"/>
          <w:b/>
          <w:bCs/>
          <w:rtl/>
        </w:rPr>
        <w:t>(א)</w:t>
      </w:r>
      <w:r w:rsidR="00DB0A33">
        <w:rPr>
          <w:rFonts w:ascii="David" w:hAnsi="David" w:hint="cs"/>
          <w:rtl/>
        </w:rPr>
        <w:t xml:space="preserve"> </w:t>
      </w:r>
      <w:r>
        <w:rPr>
          <w:rFonts w:ascii="David" w:hAnsi="David"/>
          <w:rtl/>
        </w:rPr>
        <w:t xml:space="preserve"> </w:t>
      </w:r>
      <w:r w:rsidRPr="00F41DF4">
        <w:rPr>
          <w:rFonts w:ascii="David" w:hAnsi="David"/>
          <w:b/>
          <w:bCs/>
          <w:rtl/>
        </w:rPr>
        <w:t>לחוק</w:t>
      </w:r>
      <w:r w:rsidR="00DB0A33">
        <w:rPr>
          <w:rFonts w:ascii="David" w:hAnsi="David"/>
          <w:rtl/>
        </w:rPr>
        <w:t xml:space="preserve"> </w:t>
      </w:r>
      <w:r w:rsidR="00DB0A33" w:rsidRPr="00F41DF4">
        <w:rPr>
          <w:rFonts w:ascii="David" w:hAnsi="David"/>
          <w:b/>
          <w:bCs/>
          <w:rtl/>
        </w:rPr>
        <w:t>המשכון</w:t>
      </w:r>
      <w:r w:rsidR="00DB0A33">
        <w:rPr>
          <w:rFonts w:ascii="David" w:hAnsi="David"/>
          <w:rtl/>
        </w:rPr>
        <w:t xml:space="preserve">, </w:t>
      </w:r>
      <w:r w:rsidR="00DB0A33">
        <w:rPr>
          <w:rFonts w:ascii="David" w:hAnsi="David" w:hint="cs"/>
          <w:rtl/>
        </w:rPr>
        <w:t xml:space="preserve">לאור הנסיבות הנ"ל המלמדות על זיקתו של המבקש לנכס, איני רואה לקבוע בשלב זה מסמרות בשאלת מעמדו להגיש את התובענה דנן. יוער, כי סעיף זה </w:t>
      </w:r>
      <w:r w:rsidR="00DB0A33">
        <w:rPr>
          <w:rFonts w:ascii="David" w:hAnsi="David"/>
          <w:rtl/>
        </w:rPr>
        <w:t xml:space="preserve">אומנם </w:t>
      </w:r>
      <w:r w:rsidR="00DB0A33">
        <w:rPr>
          <w:rFonts w:ascii="David" w:hAnsi="David" w:hint="cs"/>
          <w:rtl/>
        </w:rPr>
        <w:t>מתייחס</w:t>
      </w:r>
      <w:r w:rsidR="00DB0A33">
        <w:rPr>
          <w:rFonts w:ascii="David" w:hAnsi="David"/>
          <w:rtl/>
        </w:rPr>
        <w:t xml:space="preserve"> </w:t>
      </w:r>
      <w:r w:rsidR="00DB0A33">
        <w:rPr>
          <w:rFonts w:ascii="David" w:hAnsi="David" w:hint="cs"/>
          <w:rtl/>
        </w:rPr>
        <w:t>ל</w:t>
      </w:r>
      <w:r>
        <w:rPr>
          <w:rFonts w:ascii="David" w:hAnsi="David"/>
          <w:rtl/>
        </w:rPr>
        <w:t xml:space="preserve">זכות לפדות את המשכון ולאו דווקא לעכב הליכים בגינו, אולם הפסיקה </w:t>
      </w:r>
      <w:r w:rsidR="00DB0A33">
        <w:rPr>
          <w:rFonts w:ascii="David" w:hAnsi="David" w:hint="cs"/>
          <w:rtl/>
        </w:rPr>
        <w:t xml:space="preserve">הבהירה </w:t>
      </w:r>
      <w:r w:rsidR="006447E2">
        <w:rPr>
          <w:rFonts w:ascii="David" w:hAnsi="David" w:hint="cs"/>
          <w:rtl/>
        </w:rPr>
        <w:t>סוגיות הנובעות</w:t>
      </w:r>
      <w:r>
        <w:rPr>
          <w:rFonts w:ascii="David" w:hAnsi="David"/>
          <w:rtl/>
        </w:rPr>
        <w:t xml:space="preserve"> </w:t>
      </w:r>
      <w:r w:rsidR="006447E2">
        <w:rPr>
          <w:rFonts w:ascii="David" w:hAnsi="David" w:hint="cs"/>
          <w:rtl/>
        </w:rPr>
        <w:t>מ</w:t>
      </w:r>
      <w:r>
        <w:rPr>
          <w:rFonts w:ascii="David" w:hAnsi="David"/>
          <w:rtl/>
        </w:rPr>
        <w:t>סעיף 13</w:t>
      </w:r>
      <w:r w:rsidR="006447E2">
        <w:rPr>
          <w:rFonts w:ascii="David" w:hAnsi="David" w:hint="cs"/>
          <w:rtl/>
        </w:rPr>
        <w:t xml:space="preserve">(א) הנ"ל, </w:t>
      </w:r>
      <w:r w:rsidR="00F41DF4">
        <w:rPr>
          <w:rFonts w:ascii="David" w:hAnsi="David" w:hint="cs"/>
          <w:rtl/>
        </w:rPr>
        <w:t xml:space="preserve">ממילא </w:t>
      </w:r>
      <w:r w:rsidR="006447E2">
        <w:rPr>
          <w:rFonts w:ascii="David" w:hAnsi="David" w:hint="cs"/>
          <w:rtl/>
        </w:rPr>
        <w:t>מקומן להתברר בהליך העיקרי (ראו: החלטת</w:t>
      </w:r>
      <w:r>
        <w:rPr>
          <w:rFonts w:ascii="David" w:hAnsi="David"/>
          <w:rtl/>
        </w:rPr>
        <w:t xml:space="preserve"> כב' השופטת </w:t>
      </w:r>
      <w:r>
        <w:rPr>
          <w:rFonts w:ascii="David" w:hAnsi="David"/>
          <w:rtl/>
        </w:rPr>
        <w:lastRenderedPageBreak/>
        <w:t xml:space="preserve">כנפי-שטייניץ בתיק רע"א 1547/23 </w:t>
      </w:r>
      <w:r>
        <w:rPr>
          <w:rFonts w:ascii="David" w:hAnsi="David"/>
          <w:b/>
          <w:bCs/>
          <w:rtl/>
        </w:rPr>
        <w:t>ארז (ג.ז.) יעוץ כלכלי והשקעות בע"מ נ' פרז ואח'</w:t>
      </w:r>
      <w:r w:rsidR="006447E2">
        <w:rPr>
          <w:rFonts w:ascii="David" w:hAnsi="David" w:hint="cs"/>
          <w:rtl/>
        </w:rPr>
        <w:t>, פסקה 16</w:t>
      </w:r>
      <w:r>
        <w:rPr>
          <w:rFonts w:ascii="David" w:hAnsi="David"/>
          <w:rtl/>
        </w:rPr>
        <w:t xml:space="preserve"> (</w:t>
      </w:r>
      <w:r w:rsidR="006447E2">
        <w:rPr>
          <w:rFonts w:ascii="David" w:hAnsi="David"/>
          <w:rtl/>
        </w:rPr>
        <w:t>14.5.2023</w:t>
      </w:r>
      <w:r>
        <w:rPr>
          <w:rFonts w:ascii="David" w:hAnsi="David"/>
          <w:rtl/>
        </w:rPr>
        <w:t>)</w:t>
      </w:r>
      <w:r w:rsidR="00CA0887">
        <w:rPr>
          <w:rFonts w:ascii="David" w:hAnsi="David" w:hint="cs"/>
          <w:rtl/>
        </w:rPr>
        <w:t xml:space="preserve"> (להלן: </w:t>
      </w:r>
      <w:r w:rsidR="00CA0887">
        <w:rPr>
          <w:rFonts w:ascii="David" w:hAnsi="David" w:hint="cs"/>
          <w:b/>
          <w:bCs/>
          <w:rtl/>
        </w:rPr>
        <w:t>"עניין פרז"</w:t>
      </w:r>
      <w:r w:rsidR="00CA0887">
        <w:rPr>
          <w:rFonts w:ascii="David" w:hAnsi="David" w:hint="cs"/>
          <w:rtl/>
        </w:rPr>
        <w:t>)</w:t>
      </w:r>
      <w:r>
        <w:rPr>
          <w:rFonts w:ascii="David" w:hAnsi="David"/>
          <w:rtl/>
        </w:rPr>
        <w:t xml:space="preserve">. </w:t>
      </w:r>
    </w:p>
    <w:p w:rsidR="00CF3831" w:rsidRDefault="00CF3831" w:rsidP="00F41DF4">
      <w:pPr>
        <w:spacing w:line="360" w:lineRule="auto"/>
        <w:ind w:left="720" w:hanging="720"/>
        <w:jc w:val="both"/>
        <w:rPr>
          <w:rFonts w:ascii="David" w:hAnsi="David"/>
          <w:rtl/>
        </w:rPr>
      </w:pPr>
      <w:r>
        <w:rPr>
          <w:rFonts w:ascii="David" w:hAnsi="David"/>
          <w:rtl/>
        </w:rPr>
        <w:tab/>
      </w:r>
      <w:r>
        <w:rPr>
          <w:rFonts w:ascii="David" w:hAnsi="David" w:hint="cs"/>
          <w:rtl/>
        </w:rPr>
        <w:t>לסיכום נקודה זו, לצורך שאלת הסעד הזמני</w:t>
      </w:r>
      <w:r w:rsidR="00F41DF4">
        <w:rPr>
          <w:rFonts w:ascii="David" w:hAnsi="David" w:hint="cs"/>
          <w:rtl/>
        </w:rPr>
        <w:t xml:space="preserve"> של עיכוב הליכים ביחס לנכס,</w:t>
      </w:r>
      <w:r>
        <w:rPr>
          <w:rFonts w:ascii="David" w:hAnsi="David" w:hint="cs"/>
          <w:rtl/>
        </w:rPr>
        <w:t xml:space="preserve"> אני מוצאת כי המבקש </w:t>
      </w:r>
      <w:r w:rsidR="00F41DF4">
        <w:rPr>
          <w:rFonts w:ascii="David" w:hAnsi="David" w:hint="cs"/>
          <w:rtl/>
        </w:rPr>
        <w:t>נמצא</w:t>
      </w:r>
      <w:r>
        <w:rPr>
          <w:rFonts w:ascii="David" w:hAnsi="David" w:hint="cs"/>
          <w:rtl/>
        </w:rPr>
        <w:t xml:space="preserve"> </w:t>
      </w:r>
      <w:r w:rsidR="00F41DF4">
        <w:rPr>
          <w:rFonts w:ascii="David" w:hAnsi="David" w:hint="cs"/>
          <w:rtl/>
        </w:rPr>
        <w:t>ב</w:t>
      </w:r>
      <w:r>
        <w:rPr>
          <w:rFonts w:ascii="David" w:hAnsi="David" w:hint="cs"/>
          <w:rtl/>
        </w:rPr>
        <w:t>מעמד משפטי</w:t>
      </w:r>
      <w:r w:rsidR="00960013">
        <w:rPr>
          <w:rFonts w:ascii="David" w:hAnsi="David" w:hint="cs"/>
          <w:rtl/>
        </w:rPr>
        <w:t xml:space="preserve"> ראוי</w:t>
      </w:r>
      <w:r w:rsidR="00F41DF4">
        <w:rPr>
          <w:rFonts w:ascii="David" w:hAnsi="David" w:hint="cs"/>
          <w:rtl/>
        </w:rPr>
        <w:t>.</w:t>
      </w:r>
    </w:p>
    <w:p w:rsidR="00960013" w:rsidRDefault="00960013" w:rsidP="00F41DF4">
      <w:pPr>
        <w:spacing w:line="360" w:lineRule="auto"/>
        <w:ind w:left="720" w:hanging="720"/>
        <w:jc w:val="both"/>
        <w:rPr>
          <w:rFonts w:ascii="David" w:hAnsi="David"/>
          <w:rtl/>
        </w:rPr>
      </w:pPr>
    </w:p>
    <w:p w:rsidR="00CF026D" w:rsidRDefault="00CF3831" w:rsidP="00CF026D">
      <w:pPr>
        <w:spacing w:line="360" w:lineRule="auto"/>
        <w:ind w:left="720" w:hanging="720"/>
        <w:jc w:val="both"/>
        <w:rPr>
          <w:rFonts w:ascii="David" w:hAnsi="David"/>
          <w:rtl/>
        </w:rPr>
      </w:pPr>
      <w:r>
        <w:rPr>
          <w:rFonts w:ascii="David" w:hAnsi="David" w:hint="cs"/>
          <w:b/>
          <w:bCs/>
          <w:u w:val="single"/>
          <w:rtl/>
        </w:rPr>
        <w:t>סיכויי התביעה</w:t>
      </w:r>
      <w:r>
        <w:rPr>
          <w:rFonts w:ascii="David" w:hAnsi="David" w:hint="cs"/>
          <w:rtl/>
        </w:rPr>
        <w:t>:</w:t>
      </w:r>
    </w:p>
    <w:p w:rsidR="00CF3831" w:rsidRPr="00CF3831" w:rsidRDefault="00CF3831" w:rsidP="00CF026D">
      <w:pPr>
        <w:spacing w:line="360" w:lineRule="auto"/>
        <w:ind w:left="720" w:hanging="720"/>
        <w:jc w:val="both"/>
        <w:rPr>
          <w:rFonts w:ascii="David" w:hAnsi="David"/>
          <w:rtl/>
        </w:rPr>
      </w:pPr>
    </w:p>
    <w:p w:rsidR="008D4E77" w:rsidRDefault="00A11129" w:rsidP="00960013">
      <w:pPr>
        <w:spacing w:line="360" w:lineRule="auto"/>
        <w:ind w:left="720" w:hanging="720"/>
        <w:jc w:val="both"/>
        <w:rPr>
          <w:rFonts w:ascii="David" w:hAnsi="David"/>
          <w:rtl/>
        </w:rPr>
      </w:pPr>
      <w:r>
        <w:rPr>
          <w:rFonts w:ascii="David" w:hAnsi="David" w:hint="cs"/>
          <w:rtl/>
        </w:rPr>
        <w:t>25</w:t>
      </w:r>
      <w:r w:rsidR="00CF026D">
        <w:rPr>
          <w:rFonts w:ascii="David" w:hAnsi="David"/>
          <w:rtl/>
        </w:rPr>
        <w:t>.</w:t>
      </w:r>
      <w:r w:rsidR="00CF026D">
        <w:rPr>
          <w:rFonts w:ascii="David" w:hAnsi="David"/>
          <w:rtl/>
        </w:rPr>
        <w:tab/>
      </w:r>
      <w:r w:rsidR="008D4E77">
        <w:rPr>
          <w:rFonts w:ascii="David" w:hAnsi="David" w:hint="cs"/>
          <w:rtl/>
        </w:rPr>
        <w:t xml:space="preserve">מהות התביעה היא למעשה </w:t>
      </w:r>
      <w:r w:rsidR="00CF026D">
        <w:rPr>
          <w:rFonts w:ascii="David" w:hAnsi="David"/>
          <w:rtl/>
        </w:rPr>
        <w:t xml:space="preserve">טענות </w:t>
      </w:r>
      <w:r w:rsidR="008D4E77">
        <w:rPr>
          <w:rFonts w:ascii="David" w:hAnsi="David" w:hint="cs"/>
          <w:rtl/>
        </w:rPr>
        <w:t>המבקש כנגד</w:t>
      </w:r>
      <w:r w:rsidR="00CF026D">
        <w:rPr>
          <w:rFonts w:ascii="David" w:hAnsi="David"/>
          <w:rtl/>
        </w:rPr>
        <w:t xml:space="preserve"> </w:t>
      </w:r>
      <w:r w:rsidR="00C16B75">
        <w:rPr>
          <w:rFonts w:ascii="David" w:hAnsi="David" w:hint="cs"/>
          <w:rtl/>
        </w:rPr>
        <w:t xml:space="preserve">הסכם ההלוואה מול המשיבה, </w:t>
      </w:r>
      <w:r w:rsidR="00CF026D">
        <w:rPr>
          <w:rFonts w:ascii="David" w:hAnsi="David"/>
          <w:rtl/>
        </w:rPr>
        <w:t>גובה החוב</w:t>
      </w:r>
      <w:r w:rsidR="008D4E77">
        <w:rPr>
          <w:rFonts w:ascii="David" w:hAnsi="David" w:hint="cs"/>
          <w:rtl/>
        </w:rPr>
        <w:t xml:space="preserve"> וחוקיותו</w:t>
      </w:r>
      <w:r w:rsidR="00CF026D">
        <w:rPr>
          <w:rFonts w:ascii="David" w:hAnsi="David"/>
          <w:rtl/>
        </w:rPr>
        <w:t>,</w:t>
      </w:r>
      <w:r w:rsidR="008D4E77">
        <w:rPr>
          <w:rFonts w:ascii="David" w:hAnsi="David" w:hint="cs"/>
          <w:rtl/>
        </w:rPr>
        <w:t xml:space="preserve"> ובכלל זה טענות כנגד</w:t>
      </w:r>
      <w:r w:rsidR="00CF026D">
        <w:rPr>
          <w:rFonts w:ascii="David" w:hAnsi="David"/>
          <w:rtl/>
        </w:rPr>
        <w:t xml:space="preserve"> ריבית הפיגורים ואי כשרות ההלוואה לפי חוק אשראי הוגן, </w:t>
      </w:r>
      <w:r w:rsidR="008D4E77">
        <w:rPr>
          <w:rFonts w:ascii="David" w:hAnsi="David" w:hint="cs"/>
          <w:rtl/>
        </w:rPr>
        <w:t xml:space="preserve">כמו גם </w:t>
      </w:r>
      <w:r w:rsidR="00CF026D">
        <w:rPr>
          <w:rFonts w:ascii="David" w:hAnsi="David"/>
          <w:rtl/>
        </w:rPr>
        <w:t>ט</w:t>
      </w:r>
      <w:r w:rsidR="008D4E77">
        <w:rPr>
          <w:rFonts w:ascii="David" w:hAnsi="David"/>
          <w:rtl/>
        </w:rPr>
        <w:t>ענותיו לפירעון ההלוואה</w:t>
      </w:r>
      <w:r w:rsidR="008D4E77">
        <w:rPr>
          <w:rFonts w:ascii="David" w:hAnsi="David" w:hint="cs"/>
          <w:rtl/>
        </w:rPr>
        <w:t xml:space="preserve">. </w:t>
      </w:r>
      <w:r w:rsidR="00CF026D">
        <w:rPr>
          <w:rFonts w:ascii="David" w:hAnsi="David"/>
          <w:rtl/>
        </w:rPr>
        <w:t>מנגד</w:t>
      </w:r>
      <w:r w:rsidR="008D4E77">
        <w:rPr>
          <w:rFonts w:ascii="David" w:hAnsi="David" w:hint="cs"/>
          <w:rtl/>
        </w:rPr>
        <w:t>,</w:t>
      </w:r>
      <w:r w:rsidR="008D4E77">
        <w:rPr>
          <w:rFonts w:ascii="David" w:hAnsi="David"/>
          <w:rtl/>
        </w:rPr>
        <w:t xml:space="preserve"> </w:t>
      </w:r>
      <w:r w:rsidR="008D4E77">
        <w:rPr>
          <w:rFonts w:ascii="David" w:hAnsi="David" w:hint="cs"/>
          <w:rtl/>
        </w:rPr>
        <w:t xml:space="preserve">ניצבת </w:t>
      </w:r>
      <w:r w:rsidR="00960013">
        <w:rPr>
          <w:rFonts w:ascii="David" w:hAnsi="David" w:hint="cs"/>
          <w:rtl/>
        </w:rPr>
        <w:t>גרס</w:t>
      </w:r>
      <w:r w:rsidR="008D4E77">
        <w:rPr>
          <w:rFonts w:ascii="David" w:hAnsi="David"/>
          <w:rtl/>
        </w:rPr>
        <w:t>ת המשיבה</w:t>
      </w:r>
      <w:r w:rsidR="00CF026D">
        <w:rPr>
          <w:rFonts w:ascii="David" w:hAnsi="David"/>
          <w:rtl/>
        </w:rPr>
        <w:t xml:space="preserve"> כי חוק אשראי הוגן אינו חל עליה, כי ההלוואה תקינה והריבית </w:t>
      </w:r>
      <w:r w:rsidR="008D4E77">
        <w:rPr>
          <w:rFonts w:ascii="David" w:hAnsi="David" w:hint="cs"/>
          <w:rtl/>
        </w:rPr>
        <w:t>כשרה</w:t>
      </w:r>
      <w:r w:rsidR="00CF026D">
        <w:rPr>
          <w:rFonts w:ascii="David" w:hAnsi="David"/>
          <w:rtl/>
        </w:rPr>
        <w:t>, ו</w:t>
      </w:r>
      <w:r w:rsidR="008D4E77">
        <w:rPr>
          <w:rFonts w:ascii="David" w:hAnsi="David" w:hint="cs"/>
          <w:rtl/>
        </w:rPr>
        <w:t>כי ה</w:t>
      </w:r>
      <w:r w:rsidR="00CF026D">
        <w:rPr>
          <w:rFonts w:ascii="David" w:hAnsi="David"/>
          <w:rtl/>
        </w:rPr>
        <w:t>פירעון לא בוצע</w:t>
      </w:r>
      <w:r w:rsidR="00960013">
        <w:rPr>
          <w:rFonts w:ascii="David" w:hAnsi="David" w:hint="cs"/>
          <w:rtl/>
        </w:rPr>
        <w:t>.</w:t>
      </w:r>
      <w:r w:rsidR="008D4E77">
        <w:rPr>
          <w:rFonts w:ascii="David" w:hAnsi="David" w:hint="cs"/>
          <w:rtl/>
        </w:rPr>
        <w:t xml:space="preserve"> בין היתר</w:t>
      </w:r>
      <w:r w:rsidR="008D4E77">
        <w:rPr>
          <w:rFonts w:ascii="David" w:hAnsi="David"/>
          <w:rtl/>
        </w:rPr>
        <w:t xml:space="preserve"> לאור נספח ג' לכתב התשובה</w:t>
      </w:r>
      <w:r w:rsidR="008D4E77">
        <w:rPr>
          <w:rFonts w:ascii="David" w:hAnsi="David" w:hint="cs"/>
          <w:rtl/>
        </w:rPr>
        <w:t>.</w:t>
      </w:r>
      <w:r w:rsidR="00CF026D">
        <w:rPr>
          <w:rFonts w:ascii="David" w:hAnsi="David"/>
          <w:rtl/>
        </w:rPr>
        <w:t xml:space="preserve"> </w:t>
      </w:r>
    </w:p>
    <w:p w:rsidR="008D4E77" w:rsidRDefault="003D6725" w:rsidP="008D4E77">
      <w:pPr>
        <w:spacing w:line="360" w:lineRule="auto"/>
        <w:ind w:left="720"/>
        <w:jc w:val="both"/>
        <w:rPr>
          <w:rFonts w:ascii="David" w:hAnsi="David"/>
          <w:rtl/>
        </w:rPr>
      </w:pPr>
      <w:r>
        <w:rPr>
          <w:rFonts w:ascii="David" w:hAnsi="David" w:hint="cs"/>
          <w:rtl/>
        </w:rPr>
        <w:t xml:space="preserve">בשלב הנוכחי קשה לקבוע לאן נוטה כף המאזניים. </w:t>
      </w:r>
      <w:r w:rsidR="00CF026D">
        <w:rPr>
          <w:rFonts w:ascii="David" w:hAnsi="David"/>
          <w:rtl/>
        </w:rPr>
        <w:t>אני מוצאת</w:t>
      </w:r>
      <w:r w:rsidR="008D4E77">
        <w:rPr>
          <w:rFonts w:ascii="David" w:hAnsi="David" w:hint="cs"/>
          <w:rtl/>
        </w:rPr>
        <w:t>,</w:t>
      </w:r>
      <w:r w:rsidR="00CF026D">
        <w:rPr>
          <w:rFonts w:ascii="David" w:hAnsi="David"/>
          <w:rtl/>
        </w:rPr>
        <w:t xml:space="preserve"> כי מדובר בטענות</w:t>
      </w:r>
      <w:r w:rsidR="008D4E77">
        <w:rPr>
          <w:rFonts w:ascii="David" w:hAnsi="David" w:hint="cs"/>
          <w:rtl/>
        </w:rPr>
        <w:t xml:space="preserve"> אשר מטבען מצריכות בירור עובדתי ומשפטי</w:t>
      </w:r>
      <w:r w:rsidR="00CF026D">
        <w:rPr>
          <w:rFonts w:ascii="David" w:hAnsi="David"/>
          <w:rtl/>
        </w:rPr>
        <w:t xml:space="preserve"> אשר כוחן יפה להכרעה בהליך גופו. אין מקום לצלול לעומק הראיות בבקשה לסעד זמני. לכל צד שמורות טענותיו בעניין זה להליך העיקרי. </w:t>
      </w:r>
    </w:p>
    <w:p w:rsidR="00CF026D" w:rsidRDefault="008D4E77" w:rsidP="008D4E77">
      <w:pPr>
        <w:spacing w:line="360" w:lineRule="auto"/>
        <w:ind w:left="720"/>
        <w:jc w:val="both"/>
        <w:rPr>
          <w:rFonts w:ascii="David" w:hAnsi="David"/>
          <w:rtl/>
        </w:rPr>
      </w:pPr>
      <w:r>
        <w:rPr>
          <w:rFonts w:ascii="David" w:hAnsi="David" w:hint="cs"/>
          <w:rtl/>
        </w:rPr>
        <w:t xml:space="preserve">בכל </w:t>
      </w:r>
      <w:r w:rsidR="00C25FC8">
        <w:rPr>
          <w:rFonts w:ascii="David" w:hAnsi="David" w:hint="cs"/>
          <w:rtl/>
        </w:rPr>
        <w:t>הנוגע לשלב</w:t>
      </w:r>
      <w:r>
        <w:rPr>
          <w:rFonts w:ascii="David" w:hAnsi="David" w:hint="cs"/>
          <w:rtl/>
        </w:rPr>
        <w:t xml:space="preserve"> ראשוני זה, ניתן לומר כי </w:t>
      </w:r>
      <w:r w:rsidR="00CF026D">
        <w:rPr>
          <w:rFonts w:ascii="David" w:hAnsi="David"/>
          <w:rtl/>
        </w:rPr>
        <w:t xml:space="preserve">המבקש הצליח לעורר </w:t>
      </w:r>
      <w:r>
        <w:rPr>
          <w:rFonts w:ascii="David" w:hAnsi="David" w:hint="cs"/>
          <w:rtl/>
        </w:rPr>
        <w:t>שאלות</w:t>
      </w:r>
      <w:r w:rsidR="00CF026D">
        <w:rPr>
          <w:rFonts w:ascii="David" w:hAnsi="David"/>
          <w:rtl/>
        </w:rPr>
        <w:t xml:space="preserve"> ראשוני</w:t>
      </w:r>
      <w:r w:rsidR="001E3804">
        <w:rPr>
          <w:rFonts w:ascii="David" w:hAnsi="David" w:hint="cs"/>
          <w:rtl/>
        </w:rPr>
        <w:t>ות</w:t>
      </w:r>
      <w:r w:rsidR="00CF026D">
        <w:rPr>
          <w:rFonts w:ascii="David" w:hAnsi="David"/>
          <w:rtl/>
        </w:rPr>
        <w:t xml:space="preserve"> במסגרת חקירתו על תצהירו בדיון לפני (עמ' 2 שורה 30 – 35).</w:t>
      </w:r>
    </w:p>
    <w:p w:rsidR="00CF026D" w:rsidRDefault="00CF026D" w:rsidP="00CF026D">
      <w:pPr>
        <w:spacing w:line="360" w:lineRule="auto"/>
        <w:ind w:left="720" w:hanging="720"/>
        <w:jc w:val="both"/>
        <w:rPr>
          <w:rFonts w:ascii="David" w:hAnsi="David"/>
          <w:rtl/>
        </w:rPr>
      </w:pPr>
      <w:r>
        <w:rPr>
          <w:rFonts w:ascii="David" w:hAnsi="David"/>
          <w:rtl/>
        </w:rPr>
        <w:tab/>
        <w:t>אגב אורחא אציין כי נושא זה התעורר גם בתביעת אורלי ועניין גובה הריבית הועלה</w:t>
      </w:r>
      <w:r w:rsidR="00960013">
        <w:rPr>
          <w:rFonts w:ascii="David" w:hAnsi="David"/>
          <w:rtl/>
        </w:rPr>
        <w:t xml:space="preserve"> ככל הנראה גם שם, דבר המחזק את מסקנ</w:t>
      </w:r>
      <w:r w:rsidR="00960013">
        <w:rPr>
          <w:rFonts w:ascii="David" w:hAnsi="David" w:hint="cs"/>
          <w:rtl/>
        </w:rPr>
        <w:t>תי</w:t>
      </w:r>
      <w:r>
        <w:rPr>
          <w:rFonts w:ascii="David" w:hAnsi="David"/>
          <w:rtl/>
        </w:rPr>
        <w:t xml:space="preserve"> שבית המשפט אמור לבחון את הנושא במסגרת של הליך עיקרי ולא במסגרת של סעד זמני. </w:t>
      </w:r>
    </w:p>
    <w:p w:rsidR="00CF026D" w:rsidRDefault="00CF026D" w:rsidP="00CF026D">
      <w:pPr>
        <w:spacing w:line="360" w:lineRule="auto"/>
        <w:ind w:left="720" w:hanging="720"/>
        <w:jc w:val="both"/>
        <w:rPr>
          <w:rFonts w:ascii="David" w:hAnsi="David"/>
          <w:rtl/>
        </w:rPr>
      </w:pPr>
    </w:p>
    <w:p w:rsidR="00CF026D" w:rsidRDefault="00A11129" w:rsidP="00C16B75">
      <w:pPr>
        <w:spacing w:line="360" w:lineRule="auto"/>
        <w:ind w:left="720" w:hanging="720"/>
        <w:jc w:val="both"/>
        <w:rPr>
          <w:rFonts w:ascii="David" w:hAnsi="David"/>
          <w:rtl/>
        </w:rPr>
      </w:pPr>
      <w:r>
        <w:rPr>
          <w:rFonts w:ascii="David" w:hAnsi="David" w:hint="cs"/>
          <w:rtl/>
        </w:rPr>
        <w:t>26</w:t>
      </w:r>
      <w:r w:rsidR="00CF026D">
        <w:rPr>
          <w:rFonts w:ascii="David" w:hAnsi="David"/>
          <w:rtl/>
        </w:rPr>
        <w:t>.</w:t>
      </w:r>
      <w:r w:rsidR="00CF026D">
        <w:rPr>
          <w:rFonts w:ascii="David" w:hAnsi="David"/>
          <w:rtl/>
        </w:rPr>
        <w:tab/>
      </w:r>
      <w:r w:rsidR="00960013">
        <w:rPr>
          <w:rFonts w:ascii="David" w:hAnsi="David"/>
          <w:rtl/>
        </w:rPr>
        <w:t>אשר לטענות שמעלה המשיבה מנגד</w:t>
      </w:r>
      <w:r w:rsidR="00960013">
        <w:rPr>
          <w:rFonts w:ascii="David" w:hAnsi="David" w:hint="cs"/>
          <w:rtl/>
        </w:rPr>
        <w:t xml:space="preserve">, </w:t>
      </w:r>
      <w:r w:rsidR="00C16B75">
        <w:rPr>
          <w:rFonts w:ascii="David" w:hAnsi="David" w:hint="cs"/>
          <w:rtl/>
        </w:rPr>
        <w:t>ל</w:t>
      </w:r>
      <w:r w:rsidR="00CF026D">
        <w:rPr>
          <w:rFonts w:ascii="David" w:hAnsi="David"/>
          <w:rtl/>
        </w:rPr>
        <w:t>הכרה בגובה החוב</w:t>
      </w:r>
      <w:r w:rsidR="00C16B75">
        <w:rPr>
          <w:rFonts w:ascii="David" w:hAnsi="David" w:hint="cs"/>
          <w:rtl/>
        </w:rPr>
        <w:t xml:space="preserve"> מצד המבקש</w:t>
      </w:r>
      <w:r w:rsidR="00CF026D">
        <w:rPr>
          <w:rFonts w:ascii="David" w:hAnsi="David"/>
          <w:rtl/>
        </w:rPr>
        <w:t xml:space="preserve"> לאור נספח ג', כאשר המבקש מאשר בחקירתו שלא שילם את הסכום של 2.15 מיליון ₪ המופיע בנספח (עמ' 3 לפרוטוקול ש' 5 – 9 וכן עמ' 4 ש' 4 – 9). גם </w:t>
      </w:r>
      <w:r w:rsidR="00C16B75">
        <w:rPr>
          <w:rFonts w:ascii="David" w:hAnsi="David" w:hint="cs"/>
          <w:rtl/>
        </w:rPr>
        <w:t>כנגד</w:t>
      </w:r>
      <w:r w:rsidR="00CF026D">
        <w:rPr>
          <w:rFonts w:ascii="David" w:hAnsi="David"/>
          <w:rtl/>
        </w:rPr>
        <w:t xml:space="preserve"> טענות </w:t>
      </w:r>
      <w:r w:rsidR="00C16B75">
        <w:rPr>
          <w:rFonts w:ascii="David" w:hAnsi="David" w:hint="cs"/>
          <w:rtl/>
        </w:rPr>
        <w:t>אלה הלין המבקש</w:t>
      </w:r>
      <w:r w:rsidR="00CF026D">
        <w:rPr>
          <w:rFonts w:ascii="David" w:hAnsi="David"/>
          <w:rtl/>
        </w:rPr>
        <w:t xml:space="preserve"> בחקירתו. כל אלה נושאים שכוחם יפה להליך העיקרי גופו ולא</w:t>
      </w:r>
      <w:r w:rsidR="00CA0887">
        <w:rPr>
          <w:rFonts w:ascii="David" w:hAnsi="David"/>
          <w:rtl/>
        </w:rPr>
        <w:t xml:space="preserve"> יוכרעו במסגרת הבקשה לסעד זמני</w:t>
      </w:r>
      <w:r w:rsidR="00CA0887">
        <w:rPr>
          <w:rFonts w:ascii="David" w:hAnsi="David" w:hint="cs"/>
          <w:rtl/>
        </w:rPr>
        <w:t xml:space="preserve"> (ראו: </w:t>
      </w:r>
      <w:r w:rsidR="00CA0887">
        <w:rPr>
          <w:rFonts w:ascii="David" w:hAnsi="David" w:hint="cs"/>
          <w:b/>
          <w:bCs/>
          <w:rtl/>
        </w:rPr>
        <w:t>עניין פרז</w:t>
      </w:r>
      <w:r w:rsidR="00CA0887">
        <w:rPr>
          <w:rFonts w:ascii="David" w:hAnsi="David" w:hint="cs"/>
          <w:rtl/>
        </w:rPr>
        <w:t>, פסקה 16</w:t>
      </w:r>
      <w:r w:rsidR="00C16B75">
        <w:rPr>
          <w:rFonts w:ascii="David" w:hAnsi="David" w:hint="cs"/>
          <w:rtl/>
        </w:rPr>
        <w:t>)</w:t>
      </w:r>
      <w:r w:rsidR="00CA0887">
        <w:rPr>
          <w:rFonts w:ascii="David" w:hAnsi="David" w:hint="cs"/>
          <w:rtl/>
        </w:rPr>
        <w:t xml:space="preserve">; </w:t>
      </w:r>
    </w:p>
    <w:p w:rsidR="00142D65" w:rsidRDefault="00142D65" w:rsidP="00CA0887">
      <w:pPr>
        <w:spacing w:line="360" w:lineRule="auto"/>
        <w:ind w:left="720" w:hanging="720"/>
        <w:jc w:val="both"/>
        <w:rPr>
          <w:rFonts w:ascii="David" w:hAnsi="David"/>
          <w:rtl/>
        </w:rPr>
      </w:pPr>
    </w:p>
    <w:p w:rsidR="00686A7F" w:rsidRDefault="00A11129" w:rsidP="00960013">
      <w:pPr>
        <w:spacing w:line="360" w:lineRule="auto"/>
        <w:ind w:left="720" w:hanging="720"/>
        <w:jc w:val="both"/>
        <w:rPr>
          <w:rFonts w:ascii="David" w:hAnsi="David"/>
          <w:rtl/>
        </w:rPr>
      </w:pPr>
      <w:r>
        <w:rPr>
          <w:rFonts w:ascii="David" w:hAnsi="David" w:hint="cs"/>
          <w:rtl/>
        </w:rPr>
        <w:t>27</w:t>
      </w:r>
      <w:r w:rsidR="00142D65">
        <w:rPr>
          <w:rFonts w:ascii="David" w:hAnsi="David" w:hint="cs"/>
          <w:rtl/>
        </w:rPr>
        <w:t>.</w:t>
      </w:r>
      <w:r w:rsidR="00142D65">
        <w:rPr>
          <w:rFonts w:ascii="David" w:hAnsi="David" w:hint="cs"/>
          <w:rtl/>
        </w:rPr>
        <w:tab/>
        <w:t xml:space="preserve">מנגד, </w:t>
      </w:r>
      <w:r w:rsidR="00960013">
        <w:rPr>
          <w:rFonts w:ascii="David" w:hAnsi="David" w:hint="cs"/>
          <w:rtl/>
        </w:rPr>
        <w:t xml:space="preserve">על פני הדברים </w:t>
      </w:r>
      <w:r w:rsidR="00C16B75">
        <w:rPr>
          <w:rFonts w:ascii="David" w:hAnsi="David" w:hint="cs"/>
          <w:rtl/>
        </w:rPr>
        <w:t xml:space="preserve">עולה גם כי </w:t>
      </w:r>
      <w:r w:rsidR="00374F36">
        <w:rPr>
          <w:rFonts w:ascii="David" w:hAnsi="David"/>
          <w:rtl/>
        </w:rPr>
        <w:t xml:space="preserve">זכויותיה של המשיבה אינן </w:t>
      </w:r>
      <w:r w:rsidR="00960013">
        <w:rPr>
          <w:rFonts w:ascii="David" w:hAnsi="David" w:hint="cs"/>
          <w:rtl/>
        </w:rPr>
        <w:t>קטלא קניא</w:t>
      </w:r>
      <w:r w:rsidR="00374F36">
        <w:rPr>
          <w:rFonts w:ascii="David" w:hAnsi="David"/>
          <w:rtl/>
        </w:rPr>
        <w:t>. ה</w:t>
      </w:r>
      <w:r w:rsidR="00960013">
        <w:rPr>
          <w:rFonts w:ascii="David" w:hAnsi="David" w:hint="cs"/>
          <w:rtl/>
        </w:rPr>
        <w:t>משיבה</w:t>
      </w:r>
      <w:r w:rsidR="00374F36">
        <w:rPr>
          <w:rFonts w:ascii="David" w:hAnsi="David"/>
          <w:rtl/>
        </w:rPr>
        <w:t xml:space="preserve"> נסמכת על משכנתא רשומה</w:t>
      </w:r>
      <w:r w:rsidR="00686A7F">
        <w:rPr>
          <w:rFonts w:ascii="David" w:hAnsi="David" w:hint="cs"/>
          <w:rtl/>
        </w:rPr>
        <w:t>,</w:t>
      </w:r>
      <w:r w:rsidR="00686A7F" w:rsidRPr="00686A7F">
        <w:rPr>
          <w:rFonts w:ascii="David" w:hAnsi="David"/>
          <w:rtl/>
        </w:rPr>
        <w:t xml:space="preserve"> </w:t>
      </w:r>
      <w:r w:rsidR="00686A7F">
        <w:rPr>
          <w:rFonts w:ascii="David" w:hAnsi="David"/>
          <w:rtl/>
        </w:rPr>
        <w:t>על הסכם הלוואה חתום ע"י המבקש ואורלי</w:t>
      </w:r>
      <w:r w:rsidR="00686A7F">
        <w:rPr>
          <w:rFonts w:ascii="David" w:hAnsi="David" w:hint="cs"/>
          <w:rtl/>
        </w:rPr>
        <w:t xml:space="preserve">, </w:t>
      </w:r>
      <w:r w:rsidR="00686A7F">
        <w:rPr>
          <w:rFonts w:ascii="David" w:hAnsi="David"/>
          <w:rtl/>
        </w:rPr>
        <w:t>על נספח ג'</w:t>
      </w:r>
      <w:r w:rsidR="00686A7F">
        <w:rPr>
          <w:rFonts w:ascii="David" w:hAnsi="David" w:hint="cs"/>
          <w:rtl/>
        </w:rPr>
        <w:t xml:space="preserve"> לתשובה</w:t>
      </w:r>
      <w:r w:rsidR="00686A7F">
        <w:rPr>
          <w:rFonts w:ascii="David" w:hAnsi="David"/>
          <w:rtl/>
        </w:rPr>
        <w:t xml:space="preserve"> מיום 1.3.2023</w:t>
      </w:r>
      <w:r w:rsidR="00686A7F">
        <w:rPr>
          <w:rFonts w:ascii="David" w:hAnsi="David" w:hint="cs"/>
          <w:rtl/>
        </w:rPr>
        <w:t>,</w:t>
      </w:r>
      <w:r w:rsidR="00686A7F">
        <w:rPr>
          <w:rFonts w:ascii="David" w:hAnsi="David"/>
          <w:rtl/>
        </w:rPr>
        <w:t xml:space="preserve"> חתום ע"י המבקש עצמו</w:t>
      </w:r>
      <w:r w:rsidR="00686A7F">
        <w:rPr>
          <w:rFonts w:ascii="David" w:hAnsi="David" w:hint="cs"/>
          <w:rtl/>
        </w:rPr>
        <w:t>,</w:t>
      </w:r>
      <w:r w:rsidR="00C16B75">
        <w:rPr>
          <w:rFonts w:ascii="David" w:hAnsi="David"/>
          <w:rtl/>
        </w:rPr>
        <w:t xml:space="preserve"> </w:t>
      </w:r>
      <w:r w:rsidR="00686A7F">
        <w:rPr>
          <w:rFonts w:ascii="David" w:hAnsi="David"/>
          <w:rtl/>
        </w:rPr>
        <w:t xml:space="preserve">בו הוא מודה בכך שעליו להוסיף סכום משמעותי של 2.15 מיליון ₪ לצורך פדיון החוב, וכאשר המבקש עצמו הודה בפרוטוקול ישיבת יום 29.2.2024 לפני כי לא שילם סכום זה. </w:t>
      </w:r>
      <w:r w:rsidR="00686A7F">
        <w:rPr>
          <w:rFonts w:ascii="David" w:hAnsi="David" w:hint="cs"/>
          <w:rtl/>
        </w:rPr>
        <w:t xml:space="preserve"> </w:t>
      </w:r>
    </w:p>
    <w:p w:rsidR="00686A7F" w:rsidRDefault="00686A7F" w:rsidP="00686A7F">
      <w:pPr>
        <w:spacing w:line="360" w:lineRule="auto"/>
        <w:ind w:left="720" w:hanging="720"/>
        <w:jc w:val="both"/>
        <w:rPr>
          <w:rFonts w:ascii="David" w:hAnsi="David"/>
          <w:rtl/>
        </w:rPr>
      </w:pPr>
      <w:r>
        <w:rPr>
          <w:rFonts w:ascii="David" w:hAnsi="David"/>
          <w:rtl/>
        </w:rPr>
        <w:lastRenderedPageBreak/>
        <w:tab/>
        <w:t>למבקש אומנם היו טענות כנגד נספח ג' האמור אשר שמורות להליך העיקרי, אך בכל זאת לפנינו מסמך חתום שאין להקל בו ראש גם בשלב לכאורי זה</w:t>
      </w:r>
      <w:r>
        <w:rPr>
          <w:rFonts w:ascii="David" w:hAnsi="David" w:hint="cs"/>
          <w:rtl/>
        </w:rPr>
        <w:t>.</w:t>
      </w:r>
    </w:p>
    <w:p w:rsidR="00973B47" w:rsidRDefault="00973B47" w:rsidP="004F2C1C">
      <w:pPr>
        <w:spacing w:line="360" w:lineRule="auto"/>
        <w:jc w:val="both"/>
        <w:rPr>
          <w:rFonts w:ascii="David" w:hAnsi="David"/>
          <w:rtl/>
        </w:rPr>
      </w:pPr>
    </w:p>
    <w:p w:rsidR="005465AA" w:rsidRDefault="00A11129" w:rsidP="005465AA">
      <w:pPr>
        <w:spacing w:line="360" w:lineRule="auto"/>
        <w:ind w:left="720" w:hanging="720"/>
        <w:jc w:val="both"/>
        <w:rPr>
          <w:rFonts w:ascii="David" w:hAnsi="David"/>
          <w:rtl/>
        </w:rPr>
      </w:pPr>
      <w:r>
        <w:rPr>
          <w:rFonts w:ascii="David" w:hAnsi="David" w:hint="cs"/>
          <w:rtl/>
        </w:rPr>
        <w:t>28</w:t>
      </w:r>
      <w:r w:rsidR="005465AA">
        <w:rPr>
          <w:rFonts w:ascii="David" w:hAnsi="David" w:hint="cs"/>
          <w:rtl/>
        </w:rPr>
        <w:t>.</w:t>
      </w:r>
      <w:r w:rsidR="005465AA">
        <w:rPr>
          <w:rFonts w:ascii="David" w:hAnsi="David" w:hint="cs"/>
          <w:rtl/>
        </w:rPr>
        <w:tab/>
        <w:t xml:space="preserve">יחד עם זאת, </w:t>
      </w:r>
      <w:r w:rsidR="005465AA">
        <w:rPr>
          <w:rFonts w:ascii="David" w:hAnsi="David"/>
          <w:rtl/>
        </w:rPr>
        <w:t>המשיבה לא תמכה יתד טענותיה בתצהיר משכנע</w:t>
      </w:r>
      <w:r>
        <w:rPr>
          <w:rFonts w:ascii="David" w:hAnsi="David" w:hint="cs"/>
          <w:rtl/>
        </w:rPr>
        <w:t>, וזאת בלשון המעטה</w:t>
      </w:r>
      <w:r w:rsidR="005465AA">
        <w:rPr>
          <w:rFonts w:ascii="David" w:hAnsi="David"/>
          <w:rtl/>
        </w:rPr>
        <w:t xml:space="preserve">. תצהירו של מר לב קיבריק שצורף </w:t>
      </w:r>
      <w:r w:rsidR="005465AA">
        <w:rPr>
          <w:rFonts w:ascii="David" w:hAnsi="David" w:hint="cs"/>
          <w:rtl/>
        </w:rPr>
        <w:t>לתמיכה</w:t>
      </w:r>
      <w:r w:rsidR="005465AA">
        <w:rPr>
          <w:rFonts w:ascii="David" w:hAnsi="David"/>
          <w:rtl/>
        </w:rPr>
        <w:t xml:space="preserve"> </w:t>
      </w:r>
      <w:r w:rsidR="005465AA">
        <w:rPr>
          <w:rFonts w:ascii="David" w:hAnsi="David" w:hint="cs"/>
          <w:rtl/>
        </w:rPr>
        <w:t>ב</w:t>
      </w:r>
      <w:r w:rsidR="005465AA">
        <w:rPr>
          <w:rFonts w:ascii="David" w:hAnsi="David"/>
          <w:rtl/>
        </w:rPr>
        <w:t>תשובתה</w:t>
      </w:r>
      <w:r w:rsidR="005465AA">
        <w:rPr>
          <w:rFonts w:ascii="David" w:hAnsi="David" w:hint="cs"/>
          <w:rtl/>
        </w:rPr>
        <w:t>,</w:t>
      </w:r>
      <w:r w:rsidR="005465AA">
        <w:rPr>
          <w:rFonts w:ascii="David" w:hAnsi="David"/>
          <w:rtl/>
        </w:rPr>
        <w:t xml:space="preserve"> היה סתמי במקרה הטוב. מר קיבריק התייצב לעדות אך עדותו לא הועילה לתמוך במאומה בגרסת המשיבה. הוא לא ידע אם מר בר שלטון הוא בעל מניות בחברה שהוא </w:t>
      </w:r>
      <w:r w:rsidR="004F2C1C">
        <w:rPr>
          <w:rFonts w:ascii="David" w:hAnsi="David" w:hint="cs"/>
          <w:rtl/>
        </w:rPr>
        <w:t xml:space="preserve">טוען להיות </w:t>
      </w:r>
      <w:r w:rsidR="005465AA">
        <w:rPr>
          <w:rFonts w:ascii="David" w:hAnsi="David"/>
          <w:rtl/>
        </w:rPr>
        <w:t>מנהל</w:t>
      </w:r>
      <w:r w:rsidR="004F2C1C">
        <w:rPr>
          <w:rFonts w:ascii="David" w:hAnsi="David" w:hint="cs"/>
          <w:rtl/>
        </w:rPr>
        <w:t>ה</w:t>
      </w:r>
      <w:r w:rsidR="005465AA">
        <w:rPr>
          <w:rFonts w:ascii="David" w:hAnsi="David"/>
          <w:rtl/>
        </w:rPr>
        <w:t xml:space="preserve"> (עמ' 5 ש' 31 – 32), לא ידע </w:t>
      </w:r>
      <w:r w:rsidR="004F2C1C">
        <w:rPr>
          <w:rFonts w:ascii="David" w:hAnsi="David" w:hint="cs"/>
          <w:rtl/>
        </w:rPr>
        <w:t xml:space="preserve">תחילה </w:t>
      </w:r>
      <w:r w:rsidR="005465AA">
        <w:rPr>
          <w:rFonts w:ascii="David" w:hAnsi="David"/>
          <w:rtl/>
        </w:rPr>
        <w:t>היכן נמצאים משרדי החברה שהוא עובד בה (עמ' 5 ש' 35 עד עמ' 6 ש' 12). כאשר עומת עם העובדה שהחברה לא נמצאת במקום הנטען השיב: "</w:t>
      </w:r>
      <w:r w:rsidR="005465AA" w:rsidRPr="004F2C1C">
        <w:rPr>
          <w:rFonts w:ascii="David" w:hAnsi="David"/>
          <w:b/>
          <w:bCs/>
          <w:rtl/>
        </w:rPr>
        <w:t>אין לי תשובה</w:t>
      </w:r>
      <w:r w:rsidR="005465AA">
        <w:rPr>
          <w:rFonts w:ascii="David" w:hAnsi="David"/>
          <w:rtl/>
        </w:rPr>
        <w:t>" (עמ' 6 ש' 13 – 19). עוד העיד כי אינו יודע היכן נמצא מר בר שלטון, לא פגש אותו למרות שהוא המעסיק שלו והוא זה שלטענתו קיבל אותו לעבודה (עמ' 6 ש' 20 – 29). לטענתו</w:t>
      </w:r>
      <w:r w:rsidR="005465AA">
        <w:rPr>
          <w:rFonts w:ascii="David" w:hAnsi="David" w:hint="cs"/>
          <w:rtl/>
        </w:rPr>
        <w:t>,</w:t>
      </w:r>
      <w:r w:rsidR="005465AA">
        <w:rPr>
          <w:rFonts w:ascii="David" w:hAnsi="David"/>
          <w:rtl/>
        </w:rPr>
        <w:t xml:space="preserve"> ראיון קבלת העבודה התקיים בזום. הוא לא שמע על העבודה דרך חברת כוח אדם אלא דרך מכרים. עם זאת, הוא סרב לומר מי הם המכרים (עמ' 7 ש' 1 – 4).</w:t>
      </w:r>
    </w:p>
    <w:p w:rsidR="005465AA" w:rsidRDefault="005465AA" w:rsidP="005465AA">
      <w:pPr>
        <w:spacing w:line="360" w:lineRule="auto"/>
        <w:ind w:left="720" w:hanging="720"/>
        <w:jc w:val="both"/>
        <w:rPr>
          <w:rFonts w:ascii="David" w:hAnsi="David"/>
          <w:rtl/>
        </w:rPr>
      </w:pPr>
      <w:r>
        <w:rPr>
          <w:rFonts w:ascii="David" w:hAnsi="David"/>
          <w:rtl/>
        </w:rPr>
        <w:tab/>
        <w:t xml:space="preserve">לאחר שנדרש </w:t>
      </w:r>
      <w:r w:rsidR="004F2C1C">
        <w:rPr>
          <w:rFonts w:ascii="David" w:hAnsi="David" w:hint="cs"/>
          <w:rtl/>
        </w:rPr>
        <w:t xml:space="preserve">ע"י בית המשפט </w:t>
      </w:r>
      <w:r>
        <w:rPr>
          <w:rFonts w:ascii="David" w:hAnsi="David"/>
          <w:rtl/>
        </w:rPr>
        <w:t xml:space="preserve">להשיב לשאלה, הוא לא זכר את שמם של המכרים (עמ' 7 ש' 8). וכך הלאה והלאה. </w:t>
      </w:r>
    </w:p>
    <w:p w:rsidR="005465AA" w:rsidRDefault="005465AA" w:rsidP="005465AA">
      <w:pPr>
        <w:spacing w:line="360" w:lineRule="auto"/>
        <w:ind w:left="720" w:hanging="720"/>
        <w:jc w:val="both"/>
        <w:rPr>
          <w:rFonts w:ascii="David" w:hAnsi="David"/>
          <w:rtl/>
        </w:rPr>
      </w:pPr>
      <w:r>
        <w:rPr>
          <w:rFonts w:ascii="David" w:hAnsi="David"/>
          <w:rtl/>
        </w:rPr>
        <w:tab/>
        <w:t xml:space="preserve">מר קיבריק לא ידע מדוע הוענקה הלוואה למשפחת אקוקה, מהם הדוחות הכספיים של החברה ובאותן שנים לא עבד כלל בחברה ולא היה </w:t>
      </w:r>
      <w:r w:rsidR="004F2C1C">
        <w:rPr>
          <w:rFonts w:ascii="David" w:hAnsi="David" w:hint="cs"/>
          <w:rtl/>
        </w:rPr>
        <w:t>רשום כ</w:t>
      </w:r>
      <w:r>
        <w:rPr>
          <w:rFonts w:ascii="David" w:hAnsi="David"/>
          <w:rtl/>
        </w:rPr>
        <w:t>מנהל  (עמ' 7 ש' 13 – 23).</w:t>
      </w:r>
    </w:p>
    <w:p w:rsidR="005465AA" w:rsidRDefault="005465AA" w:rsidP="005465AA">
      <w:pPr>
        <w:spacing w:line="360" w:lineRule="auto"/>
        <w:ind w:left="720" w:hanging="720"/>
        <w:jc w:val="both"/>
        <w:rPr>
          <w:rFonts w:ascii="David" w:hAnsi="David"/>
          <w:rtl/>
        </w:rPr>
      </w:pPr>
      <w:r>
        <w:rPr>
          <w:rFonts w:ascii="David" w:hAnsi="David"/>
          <w:rtl/>
        </w:rPr>
        <w:tab/>
        <w:t>מר קיבריק</w:t>
      </w:r>
      <w:r>
        <w:rPr>
          <w:rFonts w:ascii="David" w:hAnsi="David" w:hint="cs"/>
          <w:rtl/>
        </w:rPr>
        <w:t xml:space="preserve"> העיד</w:t>
      </w:r>
      <w:r>
        <w:rPr>
          <w:rFonts w:ascii="David" w:hAnsi="David"/>
          <w:rtl/>
        </w:rPr>
        <w:t xml:space="preserve"> שהוא עובד יחיד בחברה</w:t>
      </w:r>
      <w:r w:rsidR="004F2C1C">
        <w:rPr>
          <w:rFonts w:ascii="David" w:hAnsi="David" w:hint="cs"/>
          <w:rtl/>
        </w:rPr>
        <w:t>,</w:t>
      </w:r>
      <w:r w:rsidR="00C16B75">
        <w:rPr>
          <w:rFonts w:ascii="David" w:hAnsi="David" w:hint="cs"/>
          <w:rtl/>
        </w:rPr>
        <w:t xml:space="preserve"> אשר</w:t>
      </w:r>
      <w:r>
        <w:rPr>
          <w:rFonts w:ascii="David" w:hAnsi="David"/>
          <w:rtl/>
        </w:rPr>
        <w:t xml:space="preserve"> ניזון אך ורק מפיו של מר בר שלטון וכל תצהירו עדות שמועה (עמ' 7 ש' 24 – 29).</w:t>
      </w:r>
    </w:p>
    <w:p w:rsidR="00694A52" w:rsidRDefault="00694A52" w:rsidP="00142D65">
      <w:pPr>
        <w:spacing w:line="360" w:lineRule="auto"/>
        <w:ind w:left="720" w:hanging="720"/>
        <w:jc w:val="both"/>
        <w:rPr>
          <w:rFonts w:ascii="David" w:hAnsi="David"/>
          <w:rtl/>
        </w:rPr>
      </w:pPr>
    </w:p>
    <w:p w:rsidR="00694A52" w:rsidRDefault="00A11129" w:rsidP="00911AA0">
      <w:pPr>
        <w:spacing w:line="360" w:lineRule="auto"/>
        <w:ind w:left="720" w:hanging="720"/>
        <w:jc w:val="both"/>
        <w:rPr>
          <w:rFonts w:ascii="David" w:hAnsi="David"/>
          <w:rtl/>
        </w:rPr>
      </w:pPr>
      <w:r>
        <w:rPr>
          <w:rFonts w:ascii="David" w:hAnsi="David" w:hint="cs"/>
          <w:rtl/>
        </w:rPr>
        <w:t>29</w:t>
      </w:r>
      <w:r w:rsidR="00694A52">
        <w:rPr>
          <w:rFonts w:ascii="David" w:hAnsi="David" w:hint="cs"/>
          <w:rtl/>
        </w:rPr>
        <w:t>.</w:t>
      </w:r>
      <w:r w:rsidR="00694A52">
        <w:rPr>
          <w:rFonts w:ascii="David" w:hAnsi="David" w:hint="cs"/>
          <w:rtl/>
        </w:rPr>
        <w:tab/>
        <w:t>לפנינו אם כן, גרסה עובדתית של המשיבה שלא ניתן ליתן לה משקל</w:t>
      </w:r>
      <w:r w:rsidR="005465AA">
        <w:rPr>
          <w:rFonts w:ascii="David" w:hAnsi="David" w:hint="cs"/>
          <w:rtl/>
        </w:rPr>
        <w:t xml:space="preserve"> אמיתי בשלב הנוכחי</w:t>
      </w:r>
      <w:r w:rsidR="00694A52">
        <w:rPr>
          <w:rFonts w:ascii="David" w:hAnsi="David" w:hint="cs"/>
          <w:rtl/>
        </w:rPr>
        <w:t>, עת היא נסמכת על תצהיר של גורם שאינו מעורה ואינו בקיא בפרטים כלל,</w:t>
      </w:r>
      <w:r w:rsidR="005465AA">
        <w:rPr>
          <w:rFonts w:ascii="David" w:hAnsi="David" w:hint="cs"/>
          <w:rtl/>
        </w:rPr>
        <w:t xml:space="preserve"> בוודאי לא באופן ישיר,</w:t>
      </w:r>
      <w:r w:rsidR="00694A52">
        <w:rPr>
          <w:rFonts w:ascii="David" w:hAnsi="David" w:hint="cs"/>
          <w:rtl/>
        </w:rPr>
        <w:t xml:space="preserve"> שעדותו ניתנה מפי השמועה </w:t>
      </w:r>
      <w:r w:rsidR="00911AA0">
        <w:rPr>
          <w:rFonts w:ascii="David" w:hAnsi="David" w:hint="cs"/>
          <w:rtl/>
        </w:rPr>
        <w:t xml:space="preserve">בלבד, כאשר נראה כי תצהירו הוגש </w:t>
      </w:r>
      <w:r w:rsidR="00694A52">
        <w:rPr>
          <w:rFonts w:ascii="David" w:hAnsi="David" w:hint="cs"/>
          <w:rtl/>
        </w:rPr>
        <w:t>לצורך ע</w:t>
      </w:r>
      <w:r w:rsidR="00911AA0">
        <w:rPr>
          <w:rFonts w:ascii="David" w:hAnsi="David" w:hint="cs"/>
          <w:rtl/>
        </w:rPr>
        <w:t>מידה בדרישה פורמאלית בלבד</w:t>
      </w:r>
      <w:r w:rsidR="00694A52">
        <w:rPr>
          <w:rFonts w:ascii="David" w:hAnsi="David" w:hint="cs"/>
          <w:rtl/>
        </w:rPr>
        <w:t>.</w:t>
      </w:r>
    </w:p>
    <w:p w:rsidR="005465AA" w:rsidRPr="00CA0887" w:rsidRDefault="00694A52" w:rsidP="00911AA0">
      <w:pPr>
        <w:spacing w:line="360" w:lineRule="auto"/>
        <w:ind w:left="720"/>
        <w:jc w:val="both"/>
        <w:rPr>
          <w:rFonts w:ascii="David" w:hAnsi="David"/>
          <w:rtl/>
        </w:rPr>
      </w:pPr>
      <w:r>
        <w:rPr>
          <w:rFonts w:ascii="David" w:hAnsi="David" w:hint="cs"/>
          <w:rtl/>
        </w:rPr>
        <w:t>בנסיבות אלה, אין למעשה בפי המשיבה, נכון לשלב זה, יכולת לסתור</w:t>
      </w:r>
      <w:r w:rsidR="005465AA">
        <w:rPr>
          <w:rFonts w:ascii="David" w:hAnsi="David" w:hint="cs"/>
          <w:rtl/>
        </w:rPr>
        <w:t xml:space="preserve"> כדבעי את טענות המבקש. </w:t>
      </w:r>
      <w:r>
        <w:rPr>
          <w:rFonts w:ascii="David" w:hAnsi="David" w:hint="cs"/>
          <w:rtl/>
        </w:rPr>
        <w:t>הראיות שהוצגו</w:t>
      </w:r>
      <w:r w:rsidR="005465AA">
        <w:rPr>
          <w:rFonts w:ascii="David" w:hAnsi="David" w:hint="cs"/>
          <w:rtl/>
        </w:rPr>
        <w:t xml:space="preserve"> בתשובה יזכו לוודאי להתייחסות בהליך העיקרי</w:t>
      </w:r>
      <w:r w:rsidR="00911AA0">
        <w:rPr>
          <w:rFonts w:ascii="David" w:hAnsi="David" w:hint="cs"/>
          <w:rtl/>
        </w:rPr>
        <w:t xml:space="preserve"> באמצעות תצהירו של </w:t>
      </w:r>
      <w:r w:rsidR="004F2C1C">
        <w:rPr>
          <w:rFonts w:ascii="David" w:hAnsi="David" w:hint="cs"/>
          <w:rtl/>
        </w:rPr>
        <w:t xml:space="preserve">גורם מעורב באופן ישיר, כגון </w:t>
      </w:r>
      <w:r w:rsidR="00911AA0">
        <w:rPr>
          <w:rFonts w:ascii="David" w:hAnsi="David" w:hint="cs"/>
          <w:rtl/>
        </w:rPr>
        <w:t>מר בר שלטון.</w:t>
      </w:r>
    </w:p>
    <w:p w:rsidR="00CF026D" w:rsidRDefault="00CF026D" w:rsidP="00CF026D">
      <w:pPr>
        <w:spacing w:line="360" w:lineRule="auto"/>
        <w:ind w:left="1440"/>
        <w:jc w:val="both"/>
        <w:rPr>
          <w:rFonts w:ascii="David" w:hAnsi="David"/>
          <w:rtl/>
        </w:rPr>
      </w:pPr>
    </w:p>
    <w:p w:rsidR="00CF026D" w:rsidRDefault="00A11129" w:rsidP="00911AA0">
      <w:pPr>
        <w:spacing w:line="360" w:lineRule="auto"/>
        <w:ind w:left="720" w:hanging="720"/>
        <w:jc w:val="both"/>
        <w:rPr>
          <w:rFonts w:ascii="David" w:hAnsi="David"/>
          <w:rtl/>
        </w:rPr>
      </w:pPr>
      <w:r>
        <w:rPr>
          <w:rFonts w:ascii="David" w:hAnsi="David" w:hint="cs"/>
          <w:rtl/>
        </w:rPr>
        <w:t>30</w:t>
      </w:r>
      <w:r w:rsidR="00CF026D">
        <w:rPr>
          <w:rFonts w:ascii="David" w:hAnsi="David"/>
          <w:rtl/>
        </w:rPr>
        <w:t>.</w:t>
      </w:r>
      <w:r w:rsidR="00CF026D">
        <w:rPr>
          <w:rFonts w:ascii="David" w:hAnsi="David"/>
          <w:rtl/>
        </w:rPr>
        <w:tab/>
        <w:t>על כן, בכל הנ</w:t>
      </w:r>
      <w:r w:rsidR="003D6725">
        <w:rPr>
          <w:rFonts w:ascii="David" w:hAnsi="David"/>
          <w:rtl/>
        </w:rPr>
        <w:t xml:space="preserve">וגע לסיכויי ההליך, </w:t>
      </w:r>
      <w:r w:rsidR="003D6725">
        <w:rPr>
          <w:rFonts w:ascii="David" w:hAnsi="David" w:hint="cs"/>
          <w:rtl/>
        </w:rPr>
        <w:t>אני סבורה כי לא ניתן לומר שלפנינו תביעה חסרת סיכוי כשלעצמה</w:t>
      </w:r>
      <w:r w:rsidR="00CF026D">
        <w:rPr>
          <w:rFonts w:ascii="David" w:hAnsi="David"/>
          <w:rtl/>
        </w:rPr>
        <w:t>.</w:t>
      </w:r>
      <w:r w:rsidR="003D6725">
        <w:rPr>
          <w:rFonts w:ascii="David" w:hAnsi="David" w:hint="cs"/>
          <w:rtl/>
        </w:rPr>
        <w:t xml:space="preserve"> </w:t>
      </w:r>
      <w:r w:rsidR="0011061C">
        <w:rPr>
          <w:rFonts w:ascii="David" w:hAnsi="David" w:hint="cs"/>
          <w:rtl/>
        </w:rPr>
        <w:t>בהקשר זה יוזכר</w:t>
      </w:r>
      <w:r w:rsidR="00911AA0">
        <w:rPr>
          <w:rFonts w:ascii="David" w:hAnsi="David" w:hint="cs"/>
          <w:rtl/>
        </w:rPr>
        <w:t xml:space="preserve"> כפי שצוין לעיל</w:t>
      </w:r>
      <w:r w:rsidR="0011061C">
        <w:rPr>
          <w:rFonts w:ascii="David" w:hAnsi="David" w:hint="cs"/>
          <w:rtl/>
        </w:rPr>
        <w:t xml:space="preserve">, כי </w:t>
      </w:r>
      <w:r w:rsidR="003D6725">
        <w:rPr>
          <w:rFonts w:ascii="David" w:hAnsi="David" w:hint="cs"/>
          <w:rtl/>
        </w:rPr>
        <w:t>ממילא כאשר עסקי</w:t>
      </w:r>
      <w:r w:rsidR="00142D65">
        <w:rPr>
          <w:rFonts w:ascii="David" w:hAnsi="David" w:hint="cs"/>
          <w:rtl/>
        </w:rPr>
        <w:t>נן בבקשה לעיכוב הליכי מימוש הנו</w:t>
      </w:r>
      <w:r w:rsidR="003D6725">
        <w:rPr>
          <w:rFonts w:ascii="David" w:hAnsi="David" w:hint="cs"/>
          <w:rtl/>
        </w:rPr>
        <w:t xml:space="preserve">געים </w:t>
      </w:r>
      <w:r w:rsidR="00142D65">
        <w:rPr>
          <w:rFonts w:ascii="David" w:hAnsi="David" w:hint="cs"/>
          <w:rtl/>
        </w:rPr>
        <w:t>לבית</w:t>
      </w:r>
      <w:r w:rsidR="003D6725">
        <w:rPr>
          <w:rFonts w:ascii="David" w:hAnsi="David" w:hint="cs"/>
          <w:rtl/>
        </w:rPr>
        <w:t xml:space="preserve"> מגורים, קיימת</w:t>
      </w:r>
      <w:r w:rsidR="00142D65">
        <w:rPr>
          <w:rFonts w:ascii="David" w:hAnsi="David" w:hint="cs"/>
          <w:rtl/>
        </w:rPr>
        <w:t xml:space="preserve"> </w:t>
      </w:r>
      <w:r w:rsidR="003D6725">
        <w:rPr>
          <w:rFonts w:ascii="David" w:hAnsi="David" w:hint="cs"/>
          <w:rtl/>
        </w:rPr>
        <w:t>חשיבות פחות</w:t>
      </w:r>
      <w:r w:rsidR="00142D65">
        <w:rPr>
          <w:rFonts w:ascii="David" w:hAnsi="David" w:hint="cs"/>
          <w:rtl/>
        </w:rPr>
        <w:t>ה</w:t>
      </w:r>
      <w:r w:rsidR="003D6725">
        <w:rPr>
          <w:rFonts w:ascii="David" w:hAnsi="David" w:hint="cs"/>
          <w:rtl/>
        </w:rPr>
        <w:t xml:space="preserve"> לשיקול שעניינו סיכויי התביעה.</w:t>
      </w:r>
    </w:p>
    <w:p w:rsidR="00973B47" w:rsidRPr="004F2C1C" w:rsidRDefault="00CF026D" w:rsidP="004F2C1C">
      <w:pPr>
        <w:spacing w:line="360" w:lineRule="auto"/>
        <w:ind w:left="720" w:hanging="720"/>
        <w:jc w:val="both"/>
        <w:rPr>
          <w:rFonts w:ascii="David" w:hAnsi="David"/>
          <w:rtl/>
        </w:rPr>
      </w:pPr>
      <w:r>
        <w:rPr>
          <w:rFonts w:ascii="David" w:hAnsi="David"/>
          <w:rtl/>
        </w:rPr>
        <w:tab/>
        <w:t xml:space="preserve">בכך מוסדרות הנקודות שהועלו ג' - ה'  בסעיף 19 לעיל. </w:t>
      </w:r>
    </w:p>
    <w:p w:rsidR="004F2C1C" w:rsidRDefault="004F2C1C" w:rsidP="00CF026D">
      <w:pPr>
        <w:spacing w:line="360" w:lineRule="auto"/>
        <w:ind w:left="720" w:hanging="720"/>
        <w:jc w:val="both"/>
        <w:rPr>
          <w:rFonts w:ascii="David" w:hAnsi="David"/>
          <w:b/>
          <w:bCs/>
          <w:u w:val="single"/>
          <w:rtl/>
        </w:rPr>
      </w:pPr>
    </w:p>
    <w:p w:rsidR="00142D65" w:rsidRDefault="00142D65" w:rsidP="00CF026D">
      <w:pPr>
        <w:spacing w:line="360" w:lineRule="auto"/>
        <w:ind w:left="720" w:hanging="720"/>
        <w:jc w:val="both"/>
        <w:rPr>
          <w:rFonts w:ascii="David" w:hAnsi="David"/>
          <w:rtl/>
        </w:rPr>
      </w:pPr>
      <w:r>
        <w:rPr>
          <w:rFonts w:ascii="David" w:hAnsi="David" w:hint="cs"/>
          <w:b/>
          <w:bCs/>
          <w:u w:val="single"/>
          <w:rtl/>
        </w:rPr>
        <w:t>מאזן הנוחות</w:t>
      </w:r>
      <w:r>
        <w:rPr>
          <w:rFonts w:ascii="David" w:hAnsi="David" w:hint="cs"/>
          <w:rtl/>
        </w:rPr>
        <w:t>:</w:t>
      </w:r>
    </w:p>
    <w:p w:rsidR="00142D65" w:rsidRPr="00142D65" w:rsidRDefault="00142D65" w:rsidP="00CF026D">
      <w:pPr>
        <w:spacing w:line="360" w:lineRule="auto"/>
        <w:ind w:left="720" w:hanging="720"/>
        <w:jc w:val="both"/>
        <w:rPr>
          <w:rFonts w:ascii="David" w:hAnsi="David"/>
          <w:rtl/>
        </w:rPr>
      </w:pPr>
    </w:p>
    <w:p w:rsidR="0011061C" w:rsidRDefault="00A11129" w:rsidP="0011061C">
      <w:pPr>
        <w:spacing w:line="360" w:lineRule="auto"/>
        <w:ind w:left="720" w:hanging="720"/>
        <w:jc w:val="both"/>
        <w:rPr>
          <w:rFonts w:ascii="David" w:hAnsi="David"/>
          <w:rtl/>
        </w:rPr>
      </w:pPr>
      <w:r>
        <w:rPr>
          <w:rFonts w:ascii="David" w:hAnsi="David" w:hint="cs"/>
          <w:rtl/>
        </w:rPr>
        <w:t>31</w:t>
      </w:r>
      <w:r w:rsidR="00CF026D">
        <w:rPr>
          <w:rFonts w:ascii="David" w:hAnsi="David"/>
          <w:rtl/>
        </w:rPr>
        <w:t>.</w:t>
      </w:r>
      <w:r w:rsidR="00CF026D">
        <w:rPr>
          <w:rFonts w:ascii="David" w:hAnsi="David"/>
          <w:rtl/>
        </w:rPr>
        <w:tab/>
      </w:r>
      <w:r w:rsidR="0011061C">
        <w:rPr>
          <w:rFonts w:ascii="David" w:hAnsi="David"/>
          <w:rtl/>
        </w:rPr>
        <w:t>מכאן אעבור לבחון את מאזן הנוחות. זהו הרכיב המשמעותי יותר</w:t>
      </w:r>
      <w:r w:rsidR="0011061C">
        <w:rPr>
          <w:rFonts w:ascii="David" w:hAnsi="David" w:hint="cs"/>
          <w:rtl/>
        </w:rPr>
        <w:t xml:space="preserve"> בנסיבות העניין, כפי שהוסבר לעיל.</w:t>
      </w:r>
      <w:r w:rsidR="0011061C">
        <w:rPr>
          <w:rFonts w:ascii="David" w:hAnsi="David"/>
          <w:rtl/>
        </w:rPr>
        <w:t xml:space="preserve"> </w:t>
      </w:r>
    </w:p>
    <w:p w:rsidR="00A93C29" w:rsidRDefault="00A93C29" w:rsidP="00A93C29">
      <w:pPr>
        <w:spacing w:line="360" w:lineRule="auto"/>
        <w:ind w:left="720" w:hanging="720"/>
        <w:jc w:val="both"/>
        <w:rPr>
          <w:rtl/>
        </w:rPr>
      </w:pPr>
      <w:r>
        <w:rPr>
          <w:rFonts w:ascii="David" w:hAnsi="David"/>
          <w:rtl/>
        </w:rPr>
        <w:tab/>
      </w:r>
      <w:r>
        <w:rPr>
          <w:rFonts w:hint="cs"/>
          <w:rtl/>
        </w:rPr>
        <w:t>הכלל שה</w:t>
      </w:r>
      <w:r w:rsidR="00AF4730">
        <w:rPr>
          <w:rFonts w:hint="cs"/>
          <w:rtl/>
        </w:rPr>
        <w:t>ש</w:t>
      </w:r>
      <w:r>
        <w:rPr>
          <w:rFonts w:hint="cs"/>
          <w:rtl/>
        </w:rPr>
        <w:t>תרש בפסיקה הוא</w:t>
      </w:r>
      <w:r>
        <w:rPr>
          <w:rtl/>
        </w:rPr>
        <w:t xml:space="preserve"> </w:t>
      </w:r>
      <w:r>
        <w:rPr>
          <w:rFonts w:hint="cs"/>
          <w:rtl/>
        </w:rPr>
        <w:t>ש</w:t>
      </w:r>
      <w:r>
        <w:rPr>
          <w:rtl/>
        </w:rPr>
        <w:t>כאשר הסעד הזמני נועד לעכב פינוי או מימוש של מקרקעין, ובפרט כשמדובר בבית מגורים, מאזן הנוחות נוטה ככלל לטובת מבקש הסעד. זאת, לנוכח הקושי שעשוי להתעורר בהשבת המצב לקדמותו אם לא יינתן הסעד הזמני, והמבקש יזכה בסופו של דבר בהליך העיקרי</w:t>
      </w:r>
      <w:r>
        <w:rPr>
          <w:rFonts w:hint="cs"/>
          <w:rtl/>
        </w:rPr>
        <w:t>.</w:t>
      </w:r>
    </w:p>
    <w:p w:rsidR="00A93C29" w:rsidRDefault="00A93C29" w:rsidP="0011061C">
      <w:pPr>
        <w:spacing w:line="360" w:lineRule="auto"/>
        <w:ind w:left="720" w:hanging="720"/>
        <w:jc w:val="both"/>
        <w:rPr>
          <w:rtl/>
        </w:rPr>
      </w:pPr>
      <w:r>
        <w:rPr>
          <w:rtl/>
        </w:rPr>
        <w:tab/>
        <w:t>עוד נקבע כי בית המשפט ישקול את נסיבות המקרה לגופו, בין היתר לנוכח התמשכות הליכי הגבייה והתנהלות המבקש; קיומו של שעבוד על הנכס לטובת המשיב; הגילאים של החייב ובני המשפחה הגרים עמו, נסיבותיהם האישיות ומצבם הבריאותי; וכן, חלופת דיור שקיימת למבקש</w:t>
      </w:r>
      <w:r>
        <w:rPr>
          <w:rFonts w:hint="cs"/>
          <w:rtl/>
        </w:rPr>
        <w:t>.</w:t>
      </w:r>
    </w:p>
    <w:p w:rsidR="0011061C" w:rsidRDefault="00A93C29" w:rsidP="00A93C29">
      <w:pPr>
        <w:spacing w:line="360" w:lineRule="auto"/>
        <w:ind w:left="720"/>
        <w:jc w:val="both"/>
        <w:rPr>
          <w:rFonts w:ascii="David" w:hAnsi="David"/>
          <w:rtl/>
        </w:rPr>
      </w:pPr>
      <w:r w:rsidRPr="00A93C29">
        <w:rPr>
          <w:rFonts w:ascii="David" w:hAnsi="David"/>
          <w:rtl/>
        </w:rPr>
        <w:t xml:space="preserve">ראו: רע"א 6455/23 </w:t>
      </w:r>
      <w:r w:rsidRPr="00A93C29">
        <w:rPr>
          <w:rFonts w:ascii="David" w:hAnsi="David"/>
          <w:b/>
          <w:bCs/>
          <w:rtl/>
        </w:rPr>
        <w:t>פלונית נ' פלוני</w:t>
      </w:r>
      <w:r w:rsidRPr="00A93C29">
        <w:rPr>
          <w:rFonts w:ascii="David" w:hAnsi="David"/>
          <w:rtl/>
        </w:rPr>
        <w:t xml:space="preserve">, פסקה 18 (3.11.2023); </w:t>
      </w:r>
      <w:hyperlink r:id="rId12" w:history="1">
        <w:r w:rsidRPr="00A93C29">
          <w:rPr>
            <w:rStyle w:val="Hyperlink"/>
            <w:rFonts w:ascii="David" w:hAnsi="David"/>
            <w:color w:val="auto"/>
            <w:u w:val="none"/>
            <w:rtl/>
          </w:rPr>
          <w:t>רע"א 3452/21</w:t>
        </w:r>
      </w:hyperlink>
      <w:r w:rsidRPr="00A93C29">
        <w:rPr>
          <w:rFonts w:ascii="David" w:hAnsi="David"/>
          <w:rtl/>
        </w:rPr>
        <w:t xml:space="preserve"> </w:t>
      </w:r>
      <w:r w:rsidRPr="00A93C29">
        <w:rPr>
          <w:rFonts w:ascii="David" w:hAnsi="David"/>
          <w:bCs/>
          <w:rtl/>
        </w:rPr>
        <w:t>קחטן נ' בנק הפועלים בע"מ</w:t>
      </w:r>
      <w:r w:rsidRPr="00A93C29">
        <w:rPr>
          <w:rFonts w:ascii="David" w:hAnsi="David"/>
          <w:rtl/>
        </w:rPr>
        <w:t xml:space="preserve">, פסקה 15 (7.7.2021); </w:t>
      </w:r>
      <w:r w:rsidRPr="00A93C29">
        <w:rPr>
          <w:rFonts w:ascii="David" w:hAnsi="David"/>
          <w:b/>
          <w:bCs/>
          <w:rtl/>
        </w:rPr>
        <w:t>עניין אשמי</w:t>
      </w:r>
      <w:r w:rsidRPr="00A93C29">
        <w:rPr>
          <w:rFonts w:ascii="David" w:hAnsi="David"/>
          <w:rtl/>
        </w:rPr>
        <w:t>, בפסקה 15.</w:t>
      </w:r>
    </w:p>
    <w:p w:rsidR="00A93C29" w:rsidRPr="00A93C29" w:rsidRDefault="00A93C29" w:rsidP="00A93C29">
      <w:pPr>
        <w:spacing w:line="360" w:lineRule="auto"/>
        <w:ind w:left="720"/>
        <w:jc w:val="both"/>
        <w:rPr>
          <w:rFonts w:ascii="David" w:hAnsi="David"/>
          <w:rtl/>
        </w:rPr>
      </w:pPr>
    </w:p>
    <w:p w:rsidR="00C8337C" w:rsidRDefault="00A11129" w:rsidP="00C8337C">
      <w:pPr>
        <w:spacing w:line="360" w:lineRule="auto"/>
        <w:ind w:left="720" w:hanging="720"/>
        <w:jc w:val="both"/>
        <w:rPr>
          <w:rFonts w:ascii="David" w:hAnsi="David"/>
          <w:rtl/>
        </w:rPr>
      </w:pPr>
      <w:r>
        <w:rPr>
          <w:rFonts w:ascii="David" w:hAnsi="David" w:hint="cs"/>
          <w:rtl/>
        </w:rPr>
        <w:t>32</w:t>
      </w:r>
      <w:r w:rsidR="00C8337C">
        <w:rPr>
          <w:rFonts w:ascii="David" w:hAnsi="David" w:hint="cs"/>
          <w:rtl/>
        </w:rPr>
        <w:t>.</w:t>
      </w:r>
      <w:r w:rsidR="00C8337C">
        <w:rPr>
          <w:rFonts w:ascii="David" w:hAnsi="David" w:hint="cs"/>
          <w:rtl/>
        </w:rPr>
        <w:tab/>
      </w:r>
      <w:r w:rsidR="00C8337C">
        <w:rPr>
          <w:rFonts w:ascii="David" w:hAnsi="David"/>
          <w:rtl/>
        </w:rPr>
        <w:t>בענייננו, כאשר מדובר בפינוי מבית מגורים, וגרסה זו לא נסתרה בחקירת המבקש או בתצהיר נגדי מטעם המשיבה שכאמור משקלו אפסי, יש להקנות לכך חשיבות</w:t>
      </w:r>
      <w:r w:rsidR="00C8337C">
        <w:rPr>
          <w:rFonts w:ascii="David" w:hAnsi="David" w:hint="cs"/>
          <w:rtl/>
        </w:rPr>
        <w:t xml:space="preserve"> לטובת מתן הסעד הזמני</w:t>
      </w:r>
      <w:r w:rsidR="00C8337C">
        <w:rPr>
          <w:rFonts w:ascii="David" w:hAnsi="David"/>
          <w:rtl/>
        </w:rPr>
        <w:t xml:space="preserve">. </w:t>
      </w:r>
    </w:p>
    <w:p w:rsidR="00DD3591" w:rsidRDefault="00911AA0" w:rsidP="00DD3591">
      <w:pPr>
        <w:spacing w:line="360" w:lineRule="auto"/>
        <w:ind w:left="720"/>
        <w:jc w:val="both"/>
        <w:rPr>
          <w:rFonts w:ascii="David" w:hAnsi="David"/>
          <w:rtl/>
        </w:rPr>
      </w:pPr>
      <w:r>
        <w:rPr>
          <w:rFonts w:ascii="David" w:hAnsi="David" w:hint="cs"/>
          <w:rtl/>
        </w:rPr>
        <w:t xml:space="preserve">כמו כן, </w:t>
      </w:r>
      <w:r w:rsidR="00DD3591">
        <w:rPr>
          <w:rFonts w:ascii="David" w:hAnsi="David" w:hint="cs"/>
          <w:rtl/>
        </w:rPr>
        <w:t>אי היעתרות לבקשה משמעה מימוש ופינ</w:t>
      </w:r>
      <w:r w:rsidR="00C152F1">
        <w:rPr>
          <w:rFonts w:ascii="David" w:hAnsi="David" w:hint="cs"/>
          <w:rtl/>
        </w:rPr>
        <w:t xml:space="preserve">וי של בית מגורים, על כל </w:t>
      </w:r>
      <w:r w:rsidR="00DD3591">
        <w:rPr>
          <w:rFonts w:ascii="David" w:hAnsi="David" w:hint="cs"/>
          <w:rtl/>
        </w:rPr>
        <w:t>הנובע מכך.</w:t>
      </w:r>
    </w:p>
    <w:p w:rsidR="00C8337C" w:rsidRDefault="00C8337C" w:rsidP="00911AA0">
      <w:pPr>
        <w:spacing w:line="360" w:lineRule="auto"/>
        <w:ind w:left="720" w:hanging="720"/>
        <w:jc w:val="both"/>
        <w:rPr>
          <w:rFonts w:ascii="David" w:hAnsi="David"/>
          <w:rtl/>
        </w:rPr>
      </w:pPr>
      <w:r>
        <w:rPr>
          <w:rFonts w:ascii="David" w:hAnsi="David"/>
          <w:rtl/>
        </w:rPr>
        <w:tab/>
        <w:t xml:space="preserve">גם הפער בין ערך הנכס לפי חוות דעת השמאי שהגיש המבקש, אשר לא נסתרה בחוות דעת נגדית, כנספח 5 לבקשה – 16.5 מיליון ₪ מול גובה החוב </w:t>
      </w:r>
      <w:r w:rsidR="00623A0F">
        <w:rPr>
          <w:rFonts w:ascii="David" w:hAnsi="David" w:hint="cs"/>
          <w:rtl/>
        </w:rPr>
        <w:t xml:space="preserve">שלפיו נפתח תיק </w:t>
      </w:r>
      <w:r>
        <w:rPr>
          <w:rFonts w:ascii="David" w:hAnsi="David"/>
          <w:rtl/>
        </w:rPr>
        <w:t xml:space="preserve">בהוצל"פ העומד על 4 מיליון ₪ </w:t>
      </w:r>
      <w:r w:rsidR="00623A0F">
        <w:rPr>
          <w:rFonts w:ascii="David" w:hAnsi="David" w:hint="cs"/>
          <w:rtl/>
        </w:rPr>
        <w:t xml:space="preserve">(סעיף 42 לתשובת המשיבה) </w:t>
      </w:r>
      <w:r>
        <w:rPr>
          <w:rFonts w:ascii="David" w:hAnsi="David"/>
          <w:rtl/>
        </w:rPr>
        <w:t xml:space="preserve">– אומר דרשני ופועל לטובת עיכוב ההליכים. </w:t>
      </w:r>
    </w:p>
    <w:p w:rsidR="00C8337C" w:rsidRDefault="00C8337C" w:rsidP="00C8337C">
      <w:pPr>
        <w:spacing w:line="360" w:lineRule="auto"/>
        <w:ind w:left="720" w:hanging="720"/>
        <w:jc w:val="both"/>
        <w:rPr>
          <w:rFonts w:ascii="David" w:hAnsi="David"/>
          <w:rtl/>
        </w:rPr>
      </w:pPr>
      <w:r>
        <w:rPr>
          <w:rFonts w:ascii="David" w:hAnsi="David"/>
          <w:rtl/>
        </w:rPr>
        <w:tab/>
        <w:t xml:space="preserve">אשר לעמדת המשיבה כי הסכום של 4 מיליון ₪ בתיק ההוצל"פ נפתח לצורכי אגרה בלבד, אומר כי הדבר לא מצא סימוכין בתצהיר תומך. מכל מקום, הלכה פסוקה היא כי כאשר בעל דין בוחר להגביל את סכום תביעתו לצורכי אגרה, גוזר הוא על עצמו כי זהו סכום התביעה ולא יוכל להעלותה לאחר מכן ולפרוץ את גבולות האגרה שהוא עצמו בחר לשלם, ולהגדיר בהתאם את מסגרת תביעתו. </w:t>
      </w:r>
    </w:p>
    <w:p w:rsidR="00C8337C" w:rsidRDefault="00C8337C" w:rsidP="00C8337C">
      <w:pPr>
        <w:spacing w:line="360" w:lineRule="auto"/>
        <w:ind w:left="1440" w:hanging="720"/>
        <w:jc w:val="both"/>
        <w:rPr>
          <w:rFonts w:ascii="David" w:hAnsi="David"/>
          <w:rtl/>
        </w:rPr>
      </w:pPr>
      <w:r>
        <w:rPr>
          <w:rFonts w:ascii="David" w:hAnsi="David"/>
          <w:rtl/>
        </w:rPr>
        <w:t>ראו:</w:t>
      </w:r>
    </w:p>
    <w:p w:rsidR="00C8337C" w:rsidRDefault="00C8337C" w:rsidP="00C8337C">
      <w:pPr>
        <w:spacing w:line="360" w:lineRule="auto"/>
        <w:ind w:left="720"/>
        <w:jc w:val="both"/>
        <w:rPr>
          <w:rFonts w:ascii="David" w:hAnsi="David"/>
          <w:b/>
          <w:bCs/>
          <w:rtl/>
        </w:rPr>
      </w:pPr>
      <w:r>
        <w:rPr>
          <w:rFonts w:ascii="David" w:hAnsi="David"/>
          <w:rtl/>
        </w:rPr>
        <w:t xml:space="preserve">דברי כב' השופט רובינשטיין בתיק רע"א 3385/08. </w:t>
      </w:r>
      <w:r>
        <w:rPr>
          <w:rFonts w:ascii="David" w:hAnsi="David"/>
          <w:b/>
          <w:bCs/>
          <w:rtl/>
        </w:rPr>
        <w:t>מרקט פלייס מערכות בע"מ נ' טל טל ערוצי תקשוב הע"מ (25.9.2008).</w:t>
      </w:r>
    </w:p>
    <w:p w:rsidR="00623A0F" w:rsidRDefault="00623A0F" w:rsidP="00C8337C">
      <w:pPr>
        <w:spacing w:line="360" w:lineRule="auto"/>
        <w:ind w:left="720"/>
        <w:jc w:val="both"/>
        <w:rPr>
          <w:rFonts w:ascii="David" w:hAnsi="David"/>
          <w:b/>
          <w:bCs/>
          <w:rtl/>
        </w:rPr>
      </w:pPr>
    </w:p>
    <w:p w:rsidR="00623A0F" w:rsidRDefault="00A11129" w:rsidP="00C152F1">
      <w:pPr>
        <w:spacing w:line="360" w:lineRule="auto"/>
        <w:ind w:left="720" w:hanging="720"/>
        <w:jc w:val="both"/>
        <w:rPr>
          <w:rFonts w:ascii="David" w:hAnsi="David"/>
          <w:rtl/>
        </w:rPr>
      </w:pPr>
      <w:r>
        <w:rPr>
          <w:rFonts w:ascii="David" w:hAnsi="David" w:hint="cs"/>
          <w:rtl/>
        </w:rPr>
        <w:lastRenderedPageBreak/>
        <w:t>33</w:t>
      </w:r>
      <w:r w:rsidR="00623A0F">
        <w:rPr>
          <w:rFonts w:ascii="David" w:hAnsi="David" w:hint="cs"/>
          <w:rtl/>
        </w:rPr>
        <w:t>.</w:t>
      </w:r>
      <w:r w:rsidR="00623A0F">
        <w:rPr>
          <w:rFonts w:ascii="David" w:hAnsi="David" w:hint="cs"/>
          <w:rtl/>
        </w:rPr>
        <w:tab/>
      </w:r>
      <w:r w:rsidR="00623A0F">
        <w:rPr>
          <w:rFonts w:ascii="David" w:hAnsi="David"/>
          <w:rtl/>
        </w:rPr>
        <w:t>אשר לטענת המשיבה כי עיכוב ההליכים יגרום נזק למבקש עצמו, שכן הריבית תתפח, אכן מדובר בסיכון משמעותי</w:t>
      </w:r>
      <w:r w:rsidR="00623A0F">
        <w:rPr>
          <w:rFonts w:ascii="David" w:hAnsi="David" w:hint="cs"/>
          <w:rtl/>
        </w:rPr>
        <w:t xml:space="preserve"> שהמבקש לוקח על עצמו</w:t>
      </w:r>
      <w:r w:rsidR="00623A0F">
        <w:rPr>
          <w:rFonts w:ascii="David" w:hAnsi="David"/>
          <w:rtl/>
        </w:rPr>
        <w:t>. אם המבקש יפסיד בתביעתו, וכנ"ל גם אורלי בתביע</w:t>
      </w:r>
      <w:r w:rsidR="00C152F1">
        <w:rPr>
          <w:rFonts w:ascii="David" w:hAnsi="David" w:hint="cs"/>
          <w:rtl/>
        </w:rPr>
        <w:t>ת</w:t>
      </w:r>
      <w:r w:rsidR="00623A0F">
        <w:rPr>
          <w:rFonts w:ascii="David" w:hAnsi="David" w:hint="cs"/>
          <w:rtl/>
        </w:rPr>
        <w:t>ה</w:t>
      </w:r>
      <w:r w:rsidR="00C152F1">
        <w:rPr>
          <w:rFonts w:ascii="David" w:hAnsi="David" w:hint="cs"/>
          <w:rtl/>
        </w:rPr>
        <w:t xml:space="preserve"> הנפרדת</w:t>
      </w:r>
      <w:r w:rsidR="00623A0F">
        <w:rPr>
          <w:rFonts w:ascii="David" w:hAnsi="David"/>
          <w:rtl/>
        </w:rPr>
        <w:t xml:space="preserve">, הם יידרשו להחזיר סכום גבוה פי כמה. </w:t>
      </w:r>
    </w:p>
    <w:p w:rsidR="00374F36" w:rsidRDefault="00623A0F" w:rsidP="00374F36">
      <w:pPr>
        <w:spacing w:line="360" w:lineRule="auto"/>
        <w:ind w:left="720" w:hanging="720"/>
        <w:jc w:val="both"/>
        <w:rPr>
          <w:rFonts w:ascii="David" w:hAnsi="David"/>
          <w:rtl/>
        </w:rPr>
      </w:pPr>
      <w:r>
        <w:rPr>
          <w:rFonts w:ascii="David" w:hAnsi="David"/>
          <w:rtl/>
        </w:rPr>
        <w:tab/>
        <w:t>אולם, ערך הנכס שהמבקש הצהיר עליו בסך של 16.5 מיליון ₪</w:t>
      </w:r>
      <w:r>
        <w:rPr>
          <w:rFonts w:ascii="David" w:hAnsi="David" w:hint="cs"/>
          <w:rtl/>
        </w:rPr>
        <w:t>, סכום שגובה בחוות דעת שמאית,</w:t>
      </w:r>
      <w:r>
        <w:rPr>
          <w:rFonts w:ascii="David" w:hAnsi="David"/>
          <w:rtl/>
        </w:rPr>
        <w:t xml:space="preserve"> </w:t>
      </w:r>
      <w:r w:rsidR="00374F36">
        <w:rPr>
          <w:rFonts w:ascii="David" w:hAnsi="David" w:hint="cs"/>
          <w:rtl/>
        </w:rPr>
        <w:t>מפיס</w:t>
      </w:r>
      <w:r>
        <w:rPr>
          <w:rFonts w:ascii="David" w:hAnsi="David" w:hint="cs"/>
          <w:rtl/>
        </w:rPr>
        <w:t xml:space="preserve"> את הדעת בעניין הזה. </w:t>
      </w:r>
    </w:p>
    <w:p w:rsidR="00623A0F" w:rsidRDefault="00623A0F" w:rsidP="00374F36">
      <w:pPr>
        <w:spacing w:line="360" w:lineRule="auto"/>
        <w:ind w:left="720"/>
        <w:jc w:val="both"/>
        <w:rPr>
          <w:rFonts w:ascii="David" w:hAnsi="David"/>
          <w:rtl/>
        </w:rPr>
      </w:pPr>
      <w:r>
        <w:rPr>
          <w:rFonts w:ascii="David" w:hAnsi="David"/>
          <w:rtl/>
        </w:rPr>
        <w:t xml:space="preserve">כמו כן, זהו סיכון מחושב שהמבקש נוטל על עצמו. המשיבה לא תשים עצמה אפוטרופוס של המבקש לצורך עניין זה. </w:t>
      </w:r>
    </w:p>
    <w:p w:rsidR="00A11129" w:rsidRDefault="00A11129" w:rsidP="00374F36">
      <w:pPr>
        <w:spacing w:line="360" w:lineRule="auto"/>
        <w:ind w:left="720"/>
        <w:jc w:val="both"/>
        <w:rPr>
          <w:rFonts w:ascii="David" w:hAnsi="David"/>
          <w:rtl/>
        </w:rPr>
      </w:pPr>
    </w:p>
    <w:p w:rsidR="00A11129" w:rsidRDefault="00A11129" w:rsidP="00076D7F">
      <w:pPr>
        <w:spacing w:line="360" w:lineRule="auto"/>
        <w:ind w:left="720" w:hanging="720"/>
        <w:jc w:val="both"/>
        <w:rPr>
          <w:rFonts w:ascii="David" w:hAnsi="David"/>
          <w:rtl/>
        </w:rPr>
      </w:pPr>
      <w:r>
        <w:rPr>
          <w:rFonts w:ascii="David" w:hAnsi="David" w:hint="cs"/>
          <w:rtl/>
        </w:rPr>
        <w:t>34.</w:t>
      </w:r>
      <w:r w:rsidR="00DD3591">
        <w:rPr>
          <w:rFonts w:ascii="David" w:hAnsi="David"/>
          <w:rtl/>
        </w:rPr>
        <w:tab/>
      </w:r>
      <w:r w:rsidR="00DD3591">
        <w:rPr>
          <w:rFonts w:ascii="David" w:hAnsi="David" w:hint="cs"/>
          <w:rtl/>
        </w:rPr>
        <w:t>מ</w:t>
      </w:r>
      <w:r w:rsidR="00C152F1">
        <w:rPr>
          <w:rFonts w:ascii="David" w:hAnsi="David" w:hint="cs"/>
          <w:rtl/>
        </w:rPr>
        <w:t>ן העבר השני</w:t>
      </w:r>
      <w:r w:rsidR="00DD3591">
        <w:rPr>
          <w:rFonts w:ascii="David" w:hAnsi="David" w:hint="cs"/>
          <w:rtl/>
        </w:rPr>
        <w:t>, הנזק שייגרם בסופו של דבר למשיבה אם לא יינתן עיכוב הליכים, הוא נזק כספי גרידא</w:t>
      </w:r>
      <w:r w:rsidR="00911AA0">
        <w:rPr>
          <w:rFonts w:ascii="David" w:hAnsi="David" w:hint="cs"/>
          <w:rtl/>
        </w:rPr>
        <w:t xml:space="preserve"> וכאשר שאלת היכולת לגבות את החוב באמצעות העמדת</w:t>
      </w:r>
      <w:r w:rsidR="00D53E3C">
        <w:rPr>
          <w:rFonts w:ascii="David" w:hAnsi="David" w:hint="cs"/>
          <w:rtl/>
        </w:rPr>
        <w:t xml:space="preserve"> הנכס</w:t>
      </w:r>
      <w:r w:rsidR="00C152F1">
        <w:rPr>
          <w:rFonts w:ascii="David" w:hAnsi="David" w:hint="cs"/>
          <w:rtl/>
        </w:rPr>
        <w:t xml:space="preserve"> </w:t>
      </w:r>
      <w:r w:rsidR="00076D7F">
        <w:rPr>
          <w:rFonts w:ascii="David" w:hAnsi="David" w:hint="cs"/>
          <w:rtl/>
        </w:rPr>
        <w:t>אינה מאויינת אלא רק מעוכבת.</w:t>
      </w:r>
      <w:r w:rsidR="00D53E3C">
        <w:rPr>
          <w:rFonts w:ascii="David" w:hAnsi="David" w:hint="cs"/>
          <w:rtl/>
        </w:rPr>
        <w:t xml:space="preserve"> ניתן </w:t>
      </w:r>
      <w:r w:rsidR="00076D7F">
        <w:rPr>
          <w:rFonts w:ascii="David" w:hAnsi="David" w:hint="cs"/>
          <w:rtl/>
        </w:rPr>
        <w:t xml:space="preserve">אם כן לקבוע, </w:t>
      </w:r>
      <w:r w:rsidR="00D53E3C">
        <w:rPr>
          <w:rFonts w:ascii="David" w:hAnsi="David" w:hint="cs"/>
          <w:rtl/>
        </w:rPr>
        <w:t>כי במכלול הנסיבות שפורטו, מאזן הנוחות נוטה לטובת המבקש</w:t>
      </w:r>
      <w:r w:rsidR="00DD3591">
        <w:rPr>
          <w:rFonts w:ascii="David" w:hAnsi="David" w:hint="cs"/>
          <w:rtl/>
        </w:rPr>
        <w:t>.</w:t>
      </w:r>
    </w:p>
    <w:p w:rsidR="00AF4730" w:rsidRDefault="00AF4730" w:rsidP="00AF4730">
      <w:pPr>
        <w:spacing w:line="360" w:lineRule="auto"/>
        <w:jc w:val="both"/>
        <w:rPr>
          <w:rFonts w:ascii="David" w:hAnsi="David"/>
          <w:rtl/>
        </w:rPr>
      </w:pPr>
    </w:p>
    <w:p w:rsidR="00AF4730" w:rsidRDefault="00DD3591" w:rsidP="00AF4730">
      <w:pPr>
        <w:spacing w:line="360" w:lineRule="auto"/>
        <w:jc w:val="both"/>
        <w:rPr>
          <w:rFonts w:ascii="David" w:hAnsi="David"/>
          <w:rtl/>
        </w:rPr>
      </w:pPr>
      <w:r>
        <w:rPr>
          <w:rFonts w:ascii="David" w:hAnsi="David" w:hint="cs"/>
          <w:b/>
          <w:bCs/>
          <w:u w:val="single"/>
          <w:rtl/>
        </w:rPr>
        <w:t xml:space="preserve">שיקולי </w:t>
      </w:r>
      <w:r w:rsidR="00B4146F">
        <w:rPr>
          <w:rFonts w:ascii="David" w:hAnsi="David" w:hint="cs"/>
          <w:b/>
          <w:bCs/>
          <w:u w:val="single"/>
          <w:rtl/>
        </w:rPr>
        <w:t>יושר ותום לב</w:t>
      </w:r>
      <w:r w:rsidR="00B4146F">
        <w:rPr>
          <w:rFonts w:ascii="David" w:hAnsi="David" w:hint="cs"/>
          <w:rtl/>
        </w:rPr>
        <w:t>:</w:t>
      </w:r>
    </w:p>
    <w:p w:rsidR="00B4146F" w:rsidRPr="00B4146F" w:rsidRDefault="00B4146F" w:rsidP="00AF4730">
      <w:pPr>
        <w:spacing w:line="360" w:lineRule="auto"/>
        <w:jc w:val="both"/>
        <w:rPr>
          <w:rFonts w:ascii="David" w:hAnsi="David"/>
          <w:rtl/>
        </w:rPr>
      </w:pPr>
    </w:p>
    <w:p w:rsidR="00CF026D" w:rsidRDefault="00C7124F" w:rsidP="00B4146F">
      <w:pPr>
        <w:spacing w:line="360" w:lineRule="auto"/>
        <w:ind w:left="720" w:hanging="720"/>
        <w:jc w:val="both"/>
        <w:rPr>
          <w:rFonts w:ascii="David" w:hAnsi="David"/>
          <w:rtl/>
        </w:rPr>
      </w:pPr>
      <w:r>
        <w:rPr>
          <w:rFonts w:ascii="David" w:hAnsi="David" w:hint="cs"/>
          <w:rtl/>
        </w:rPr>
        <w:t>35</w:t>
      </w:r>
      <w:r w:rsidR="00B4146F">
        <w:rPr>
          <w:rFonts w:ascii="David" w:hAnsi="David" w:hint="cs"/>
          <w:rtl/>
        </w:rPr>
        <w:t>.</w:t>
      </w:r>
      <w:r w:rsidR="00B4146F">
        <w:rPr>
          <w:rFonts w:ascii="David" w:hAnsi="David" w:hint="cs"/>
          <w:rtl/>
        </w:rPr>
        <w:tab/>
      </w:r>
      <w:r w:rsidR="00142D65">
        <w:rPr>
          <w:rFonts w:ascii="David" w:hAnsi="David"/>
          <w:rtl/>
        </w:rPr>
        <w:t>האם המבקש השתהה בהגשת בקשתו</w:t>
      </w:r>
      <w:r w:rsidR="00CF026D">
        <w:rPr>
          <w:rFonts w:ascii="David" w:hAnsi="David"/>
          <w:rtl/>
        </w:rPr>
        <w:t xml:space="preserve">? האם המבקש התנהל בחוסר תום לב כאשר לא גילה פרטים מהותיים? </w:t>
      </w:r>
      <w:r w:rsidR="00B4146F">
        <w:rPr>
          <w:rFonts w:ascii="David" w:hAnsi="David"/>
          <w:rtl/>
        </w:rPr>
        <w:t xml:space="preserve"> על פי הנטען, המבקש ידע על קיומ</w:t>
      </w:r>
      <w:r w:rsidR="00B4146F">
        <w:rPr>
          <w:rFonts w:ascii="David" w:hAnsi="David" w:hint="cs"/>
          <w:rtl/>
        </w:rPr>
        <w:t>ם</w:t>
      </w:r>
      <w:r w:rsidR="00CF026D">
        <w:rPr>
          <w:rFonts w:ascii="David" w:hAnsi="David"/>
          <w:rtl/>
        </w:rPr>
        <w:t xml:space="preserve"> של תיק ההוצל"פ </w:t>
      </w:r>
      <w:r w:rsidR="00B4146F">
        <w:rPr>
          <w:rFonts w:ascii="David" w:hAnsi="David" w:hint="cs"/>
          <w:rtl/>
        </w:rPr>
        <w:t xml:space="preserve">והתביעה הקודמת שהוגשה על ידי אורלי, </w:t>
      </w:r>
      <w:r w:rsidR="00CF026D">
        <w:rPr>
          <w:rFonts w:ascii="David" w:hAnsi="David"/>
          <w:rtl/>
        </w:rPr>
        <w:t xml:space="preserve">אך </w:t>
      </w:r>
      <w:r w:rsidR="00B4146F">
        <w:rPr>
          <w:rFonts w:ascii="David" w:hAnsi="David" w:hint="cs"/>
          <w:rtl/>
        </w:rPr>
        <w:t xml:space="preserve">חרף זאת </w:t>
      </w:r>
      <w:r w:rsidR="00B4146F">
        <w:rPr>
          <w:rFonts w:ascii="David" w:hAnsi="David"/>
          <w:rtl/>
        </w:rPr>
        <w:t>לא נחפז בהגשת הבקשה הנוכחית</w:t>
      </w:r>
      <w:r w:rsidR="00B4146F">
        <w:rPr>
          <w:rFonts w:ascii="David" w:hAnsi="David" w:hint="cs"/>
          <w:rtl/>
        </w:rPr>
        <w:t xml:space="preserve">, </w:t>
      </w:r>
      <w:r w:rsidR="00CF026D">
        <w:rPr>
          <w:rFonts w:ascii="David" w:hAnsi="David"/>
          <w:rtl/>
        </w:rPr>
        <w:t>דבר זה מהווה לטענת המשיבה שיהוי</w:t>
      </w:r>
      <w:r w:rsidR="00B4146F">
        <w:rPr>
          <w:rFonts w:ascii="David" w:hAnsi="David" w:hint="cs"/>
          <w:rtl/>
        </w:rPr>
        <w:t xml:space="preserve"> בהגשתה</w:t>
      </w:r>
      <w:r w:rsidR="00CF026D">
        <w:rPr>
          <w:rFonts w:ascii="David" w:hAnsi="David"/>
          <w:rtl/>
        </w:rPr>
        <w:t xml:space="preserve">. </w:t>
      </w:r>
    </w:p>
    <w:p w:rsidR="00CF026D" w:rsidRDefault="00CF026D" w:rsidP="00B4146F">
      <w:pPr>
        <w:spacing w:line="360" w:lineRule="auto"/>
        <w:ind w:left="720" w:hanging="720"/>
        <w:jc w:val="both"/>
        <w:rPr>
          <w:rFonts w:ascii="David" w:hAnsi="David"/>
          <w:rtl/>
        </w:rPr>
      </w:pPr>
      <w:r>
        <w:rPr>
          <w:rFonts w:ascii="David" w:hAnsi="David"/>
          <w:rtl/>
        </w:rPr>
        <w:tab/>
        <w:t>כמו כן</w:t>
      </w:r>
      <w:r w:rsidR="00B4146F">
        <w:rPr>
          <w:rFonts w:ascii="David" w:hAnsi="David" w:hint="cs"/>
          <w:rtl/>
        </w:rPr>
        <w:t>, עצם אי הגילוי על ידי</w:t>
      </w:r>
      <w:r>
        <w:rPr>
          <w:rFonts w:ascii="David" w:hAnsi="David"/>
          <w:rtl/>
        </w:rPr>
        <w:t xml:space="preserve"> המבקש של תביעת אורלי </w:t>
      </w:r>
      <w:r w:rsidR="00B4146F">
        <w:rPr>
          <w:rFonts w:ascii="David" w:hAnsi="David" w:hint="cs"/>
          <w:rtl/>
        </w:rPr>
        <w:t xml:space="preserve">התביעה הקודמת, </w:t>
      </w:r>
      <w:r>
        <w:rPr>
          <w:rFonts w:ascii="David" w:hAnsi="David"/>
          <w:rtl/>
        </w:rPr>
        <w:t>הליך מקביל</w:t>
      </w:r>
      <w:r w:rsidR="00B4146F">
        <w:rPr>
          <w:rFonts w:ascii="David" w:hAnsi="David" w:hint="cs"/>
          <w:rtl/>
        </w:rPr>
        <w:t xml:space="preserve"> וחופף או דומה בטענותיו</w:t>
      </w:r>
      <w:r>
        <w:rPr>
          <w:rFonts w:ascii="David" w:hAnsi="David"/>
          <w:rtl/>
        </w:rPr>
        <w:t>, המהווה לטעמה של המשיבה, התנהלות בחוסר תום לב וללא ניקיון כפיים.</w:t>
      </w:r>
    </w:p>
    <w:p w:rsidR="00CF026D" w:rsidRDefault="00CF026D" w:rsidP="00CF026D">
      <w:pPr>
        <w:spacing w:line="360" w:lineRule="auto"/>
        <w:ind w:left="720" w:hanging="720"/>
        <w:jc w:val="both"/>
        <w:rPr>
          <w:rFonts w:ascii="David" w:hAnsi="David"/>
          <w:rtl/>
        </w:rPr>
      </w:pPr>
    </w:p>
    <w:p w:rsidR="00CF026D" w:rsidRDefault="00C7124F" w:rsidP="00B4146F">
      <w:pPr>
        <w:spacing w:line="360" w:lineRule="auto"/>
        <w:ind w:left="720" w:hanging="720"/>
        <w:jc w:val="both"/>
        <w:rPr>
          <w:rFonts w:ascii="David" w:hAnsi="David"/>
          <w:rtl/>
        </w:rPr>
      </w:pPr>
      <w:r>
        <w:rPr>
          <w:rFonts w:ascii="David" w:hAnsi="David" w:hint="cs"/>
          <w:rtl/>
        </w:rPr>
        <w:t>36</w:t>
      </w:r>
      <w:r w:rsidR="00B4146F">
        <w:rPr>
          <w:rFonts w:ascii="David" w:hAnsi="David"/>
          <w:rtl/>
        </w:rPr>
        <w:t>.</w:t>
      </w:r>
      <w:r w:rsidR="00B4146F">
        <w:rPr>
          <w:rFonts w:ascii="David" w:hAnsi="David"/>
          <w:rtl/>
        </w:rPr>
        <w:tab/>
      </w:r>
      <w:r w:rsidR="00B4146F">
        <w:rPr>
          <w:rFonts w:ascii="David" w:hAnsi="David" w:hint="cs"/>
          <w:rtl/>
        </w:rPr>
        <w:t>לטעמי, טענות אלה של המשיבה, ככל שהן נכונות,</w:t>
      </w:r>
      <w:r w:rsidR="00B4146F">
        <w:rPr>
          <w:rFonts w:ascii="David" w:hAnsi="David"/>
          <w:rtl/>
        </w:rPr>
        <w:t xml:space="preserve"> מתאזנ</w:t>
      </w:r>
      <w:r w:rsidR="00B4146F">
        <w:rPr>
          <w:rFonts w:ascii="David" w:hAnsi="David" w:hint="cs"/>
          <w:rtl/>
        </w:rPr>
        <w:t>ות</w:t>
      </w:r>
      <w:r w:rsidR="00CF026D">
        <w:rPr>
          <w:rFonts w:ascii="David" w:hAnsi="David"/>
          <w:rtl/>
        </w:rPr>
        <w:t xml:space="preserve"> במידה רבה מול עדותו של מר קיבריק מטעמה</w:t>
      </w:r>
      <w:r w:rsidR="00076D7F">
        <w:rPr>
          <w:rFonts w:ascii="David" w:hAnsi="David" w:hint="cs"/>
          <w:rtl/>
        </w:rPr>
        <w:t>,</w:t>
      </w:r>
      <w:r w:rsidR="00CF026D">
        <w:rPr>
          <w:rFonts w:ascii="David" w:hAnsi="David"/>
          <w:rtl/>
        </w:rPr>
        <w:t xml:space="preserve"> שלא הועילה לה במאומה וזאת בלשון המעטה. </w:t>
      </w:r>
    </w:p>
    <w:p w:rsidR="00CF026D" w:rsidRDefault="00CF026D" w:rsidP="00CF026D">
      <w:pPr>
        <w:spacing w:line="360" w:lineRule="auto"/>
        <w:ind w:left="720" w:hanging="720"/>
        <w:jc w:val="both"/>
        <w:rPr>
          <w:rFonts w:ascii="David" w:hAnsi="David"/>
          <w:rtl/>
        </w:rPr>
      </w:pPr>
      <w:r>
        <w:rPr>
          <w:rFonts w:ascii="David" w:hAnsi="David"/>
          <w:rtl/>
        </w:rPr>
        <w:tab/>
        <w:t xml:space="preserve">מי שמבקש לקעקע את טיעוני הצד שכנגד מסיבות של חוסר תום לב וחוסר ניקיון כפיים, צריך להביא עד אשר מכיר את הנסיבות ויודע להעיד עליהן ולא כך נעשה בענייננו. </w:t>
      </w:r>
    </w:p>
    <w:p w:rsidR="00CF026D" w:rsidRDefault="00CF026D" w:rsidP="00CF026D">
      <w:pPr>
        <w:spacing w:line="360" w:lineRule="auto"/>
        <w:ind w:left="720" w:hanging="720"/>
        <w:jc w:val="both"/>
        <w:rPr>
          <w:rFonts w:ascii="David" w:hAnsi="David"/>
          <w:rtl/>
        </w:rPr>
      </w:pPr>
      <w:r>
        <w:rPr>
          <w:rFonts w:ascii="David" w:hAnsi="David"/>
          <w:rtl/>
        </w:rPr>
        <w:tab/>
        <w:t>מכאן, המשיבה לא הרימה את נטל טענותיה בדבר חוסר תום לב ושיהוי של המבקש.</w:t>
      </w:r>
    </w:p>
    <w:p w:rsidR="00CF026D" w:rsidRDefault="00CF026D" w:rsidP="00CF026D">
      <w:pPr>
        <w:spacing w:line="360" w:lineRule="auto"/>
        <w:ind w:left="720" w:hanging="720"/>
        <w:jc w:val="both"/>
        <w:rPr>
          <w:rFonts w:ascii="David" w:hAnsi="David"/>
          <w:rtl/>
        </w:rPr>
      </w:pPr>
      <w:r>
        <w:rPr>
          <w:rFonts w:ascii="David" w:hAnsi="David"/>
          <w:rtl/>
        </w:rPr>
        <w:tab/>
        <w:t>המבקש העיד לפני כי לא ידע על תביעת אורלי וגרסתו זו לא נסתרה.</w:t>
      </w:r>
    </w:p>
    <w:p w:rsidR="00CF026D" w:rsidRDefault="00CF026D" w:rsidP="00CF026D">
      <w:pPr>
        <w:spacing w:line="360" w:lineRule="auto"/>
        <w:ind w:left="720" w:hanging="720"/>
        <w:jc w:val="both"/>
        <w:rPr>
          <w:rFonts w:ascii="David" w:hAnsi="David"/>
          <w:rtl/>
        </w:rPr>
      </w:pPr>
      <w:r>
        <w:rPr>
          <w:rFonts w:ascii="David" w:hAnsi="David"/>
          <w:rtl/>
        </w:rPr>
        <w:tab/>
        <w:t xml:space="preserve">ב"כ המבקש גם הודיע כי יעתור להצטרף לתביעת אורלי או לאיחוד שני התיקים. </w:t>
      </w:r>
    </w:p>
    <w:p w:rsidR="00CF026D" w:rsidRPr="00C7124F" w:rsidRDefault="00CF026D" w:rsidP="00C7124F">
      <w:pPr>
        <w:spacing w:line="360" w:lineRule="auto"/>
        <w:jc w:val="both"/>
        <w:rPr>
          <w:rFonts w:ascii="David" w:hAnsi="David"/>
          <w:b/>
          <w:bCs/>
          <w:rtl/>
        </w:rPr>
      </w:pPr>
    </w:p>
    <w:p w:rsidR="00CF026D" w:rsidRDefault="00C7124F" w:rsidP="00C7124F">
      <w:pPr>
        <w:spacing w:line="360" w:lineRule="auto"/>
        <w:ind w:left="720" w:hanging="720"/>
        <w:jc w:val="both"/>
        <w:rPr>
          <w:rFonts w:ascii="David" w:hAnsi="David"/>
          <w:rtl/>
        </w:rPr>
      </w:pPr>
      <w:r>
        <w:rPr>
          <w:rFonts w:ascii="David" w:hAnsi="David" w:hint="cs"/>
          <w:rtl/>
        </w:rPr>
        <w:t>37</w:t>
      </w:r>
      <w:r w:rsidR="00CF026D">
        <w:rPr>
          <w:rFonts w:ascii="David" w:hAnsi="David"/>
          <w:rtl/>
        </w:rPr>
        <w:t>.</w:t>
      </w:r>
      <w:r w:rsidR="00CF026D">
        <w:rPr>
          <w:rFonts w:ascii="David" w:hAnsi="David"/>
          <w:rtl/>
        </w:rPr>
        <w:tab/>
        <w:t>מכאן גמרתי בדעתי, כי במכלול השיקולים לאחר שאני מאזנת בין סיכויי התביעה לבין מאזן הנוחות</w:t>
      </w:r>
      <w:r>
        <w:rPr>
          <w:rFonts w:ascii="David" w:hAnsi="David" w:hint="cs"/>
          <w:rtl/>
        </w:rPr>
        <w:t xml:space="preserve"> ושיקולי תום לב, יושר, ושיהוי, </w:t>
      </w:r>
      <w:r w:rsidR="00CF026D">
        <w:rPr>
          <w:rFonts w:ascii="David" w:hAnsi="David"/>
          <w:rtl/>
        </w:rPr>
        <w:t xml:space="preserve">ובהינתן כי מדובר בבית מגורים ששוויו גבוה </w:t>
      </w:r>
      <w:r>
        <w:rPr>
          <w:rFonts w:ascii="David" w:hAnsi="David" w:hint="cs"/>
          <w:rtl/>
        </w:rPr>
        <w:lastRenderedPageBreak/>
        <w:t>מאד על פניו</w:t>
      </w:r>
      <w:r w:rsidR="00CF026D">
        <w:rPr>
          <w:rFonts w:ascii="David" w:hAnsi="David"/>
          <w:rtl/>
        </w:rPr>
        <w:t xml:space="preserve"> מול טענות המבקש ביחס לגובה הריבית לפחות אם לא לטענות הפירעון שהוא מעלה, יש מקום לעיכוב ההליכים המבוקש. </w:t>
      </w:r>
    </w:p>
    <w:p w:rsidR="00C7124F" w:rsidRDefault="00C7124F" w:rsidP="00C7124F">
      <w:pPr>
        <w:spacing w:line="360" w:lineRule="auto"/>
        <w:ind w:left="720" w:hanging="720"/>
        <w:jc w:val="both"/>
        <w:rPr>
          <w:rFonts w:ascii="David" w:hAnsi="David"/>
          <w:rtl/>
        </w:rPr>
      </w:pPr>
    </w:p>
    <w:p w:rsidR="00CF026D" w:rsidRPr="00C7124F" w:rsidRDefault="00C7124F" w:rsidP="00CF026D">
      <w:pPr>
        <w:spacing w:line="360" w:lineRule="auto"/>
        <w:ind w:left="720" w:hanging="720"/>
        <w:jc w:val="both"/>
        <w:rPr>
          <w:rFonts w:ascii="David" w:hAnsi="David"/>
          <w:rtl/>
        </w:rPr>
      </w:pPr>
      <w:r w:rsidRPr="00C7124F">
        <w:rPr>
          <w:rFonts w:ascii="David" w:hAnsi="David" w:hint="cs"/>
          <w:b/>
          <w:bCs/>
          <w:u w:val="single"/>
          <w:rtl/>
        </w:rPr>
        <w:t>שאלת ה</w:t>
      </w:r>
      <w:r w:rsidR="003479C7">
        <w:rPr>
          <w:rFonts w:ascii="David" w:hAnsi="David" w:hint="cs"/>
          <w:b/>
          <w:bCs/>
          <w:u w:val="single"/>
          <w:rtl/>
        </w:rPr>
        <w:t>טלת ה</w:t>
      </w:r>
      <w:r w:rsidRPr="00C7124F">
        <w:rPr>
          <w:rFonts w:ascii="David" w:hAnsi="David" w:hint="cs"/>
          <w:b/>
          <w:bCs/>
          <w:u w:val="single"/>
          <w:rtl/>
        </w:rPr>
        <w:t>ערובה</w:t>
      </w:r>
      <w:r w:rsidR="003479C7">
        <w:rPr>
          <w:rFonts w:ascii="David" w:hAnsi="David" w:hint="cs"/>
          <w:b/>
          <w:bCs/>
          <w:u w:val="single"/>
          <w:rtl/>
        </w:rPr>
        <w:t xml:space="preserve"> וגובהה</w:t>
      </w:r>
      <w:r>
        <w:rPr>
          <w:rFonts w:ascii="David" w:hAnsi="David" w:hint="cs"/>
          <w:rtl/>
        </w:rPr>
        <w:t>:</w:t>
      </w:r>
    </w:p>
    <w:p w:rsidR="00CF026D" w:rsidRDefault="00CF026D" w:rsidP="00374F36">
      <w:pPr>
        <w:spacing w:line="360" w:lineRule="auto"/>
        <w:ind w:left="720" w:hanging="720"/>
        <w:jc w:val="both"/>
        <w:rPr>
          <w:rFonts w:ascii="David" w:hAnsi="David"/>
          <w:rtl/>
        </w:rPr>
      </w:pPr>
    </w:p>
    <w:p w:rsidR="00E41218" w:rsidRDefault="00DE6A88" w:rsidP="00E41218">
      <w:pPr>
        <w:spacing w:line="360" w:lineRule="auto"/>
        <w:ind w:left="720" w:hanging="720"/>
        <w:jc w:val="both"/>
        <w:rPr>
          <w:rFonts w:ascii="David" w:hAnsi="David"/>
          <w:rtl/>
        </w:rPr>
      </w:pPr>
      <w:r>
        <w:rPr>
          <w:rFonts w:ascii="David" w:hAnsi="David" w:hint="cs"/>
          <w:rtl/>
        </w:rPr>
        <w:t>38.</w:t>
      </w:r>
      <w:r>
        <w:rPr>
          <w:rFonts w:ascii="David" w:hAnsi="David" w:hint="cs"/>
          <w:rtl/>
        </w:rPr>
        <w:tab/>
      </w:r>
      <w:r w:rsidR="00E41218" w:rsidRPr="00E41218">
        <w:rPr>
          <w:rFonts w:ascii="David" w:hAnsi="David" w:hint="cs"/>
          <w:b/>
          <w:bCs/>
          <w:rtl/>
        </w:rPr>
        <w:t>תקנה 96(א) לתקנות</w:t>
      </w:r>
      <w:r w:rsidR="00E41218">
        <w:rPr>
          <w:rFonts w:ascii="David" w:hAnsi="David" w:hint="cs"/>
          <w:rtl/>
        </w:rPr>
        <w:t xml:space="preserve"> קובעת, כדלקמן:</w:t>
      </w:r>
    </w:p>
    <w:p w:rsidR="00E41218" w:rsidRDefault="00E41218" w:rsidP="00E41218">
      <w:pPr>
        <w:spacing w:line="360" w:lineRule="auto"/>
        <w:ind w:left="720"/>
        <w:jc w:val="both"/>
        <w:rPr>
          <w:rFonts w:ascii="Arial" w:hAnsi="Arial" w:cs="Arial"/>
          <w:color w:val="000000"/>
          <w:sz w:val="21"/>
          <w:szCs w:val="21"/>
          <w:shd w:val="clear" w:color="auto" w:fill="FFFFFF"/>
          <w:rtl/>
        </w:rPr>
      </w:pPr>
    </w:p>
    <w:p w:rsidR="00E41218" w:rsidRPr="00E41218" w:rsidRDefault="00E41218" w:rsidP="00E41218">
      <w:pPr>
        <w:spacing w:line="360" w:lineRule="auto"/>
        <w:ind w:left="720"/>
        <w:jc w:val="both"/>
        <w:rPr>
          <w:rFonts w:ascii="David" w:hAnsi="David"/>
          <w:b/>
          <w:bCs/>
          <w:rtl/>
        </w:rPr>
      </w:pPr>
      <w:r>
        <w:rPr>
          <w:rFonts w:ascii="David" w:hAnsi="David" w:hint="cs"/>
          <w:b/>
          <w:bCs/>
          <w:color w:val="000000"/>
          <w:shd w:val="clear" w:color="auto" w:fill="FFFFFF"/>
          <w:rtl/>
        </w:rPr>
        <w:t>"</w:t>
      </w:r>
      <w:r w:rsidRPr="00E41218">
        <w:rPr>
          <w:rFonts w:ascii="David" w:hAnsi="David"/>
          <w:b/>
          <w:bCs/>
          <w:color w:val="000000"/>
          <w:shd w:val="clear" w:color="auto" w:fill="FFFFFF"/>
          <w:rtl/>
        </w:rPr>
        <w:t>סעד זמני יותנה בהתחייבות עצמית של המבקש לפיצוי כמפורט בתקנת משנה (ב), וכן בערובה כמפורט בתקנת משנה (ג) לשם פיצוי בשל כל נזק שייגרם למי שמופנה אליו הצו כתוצאה ממתן הצו הזמני, אם יפקע הצו או יצומצם היקפו</w:t>
      </w:r>
      <w:r>
        <w:rPr>
          <w:rFonts w:ascii="David" w:hAnsi="David" w:hint="cs"/>
          <w:b/>
          <w:bCs/>
          <w:color w:val="000000"/>
          <w:shd w:val="clear" w:color="auto" w:fill="FFFFFF"/>
          <w:rtl/>
        </w:rPr>
        <w:t>"</w:t>
      </w:r>
    </w:p>
    <w:p w:rsidR="00E41218" w:rsidRDefault="00E41218" w:rsidP="00E41218">
      <w:pPr>
        <w:spacing w:line="360" w:lineRule="auto"/>
        <w:ind w:left="720" w:hanging="720"/>
        <w:jc w:val="both"/>
        <w:rPr>
          <w:rFonts w:ascii="David" w:hAnsi="David"/>
          <w:rtl/>
        </w:rPr>
      </w:pPr>
    </w:p>
    <w:p w:rsidR="00E41218" w:rsidRDefault="00E41218" w:rsidP="00E41218">
      <w:pPr>
        <w:spacing w:line="360" w:lineRule="auto"/>
        <w:ind w:left="720" w:hanging="720"/>
        <w:jc w:val="both"/>
        <w:rPr>
          <w:rFonts w:ascii="David" w:hAnsi="David"/>
          <w:rtl/>
        </w:rPr>
      </w:pPr>
      <w:r w:rsidRPr="00E41218">
        <w:rPr>
          <w:rFonts w:ascii="David" w:hAnsi="David" w:hint="cs"/>
          <w:b/>
          <w:bCs/>
          <w:rtl/>
        </w:rPr>
        <w:t>תקנה 96(ג) לתקנות קובעת</w:t>
      </w:r>
      <w:r>
        <w:rPr>
          <w:rFonts w:ascii="David" w:hAnsi="David" w:hint="cs"/>
          <w:rtl/>
        </w:rPr>
        <w:t>, כדלקמן:</w:t>
      </w:r>
    </w:p>
    <w:p w:rsidR="00E41218" w:rsidRDefault="00E41218" w:rsidP="00E41218">
      <w:pPr>
        <w:spacing w:line="360" w:lineRule="auto"/>
        <w:ind w:left="720" w:hanging="720"/>
        <w:jc w:val="both"/>
        <w:rPr>
          <w:rFonts w:ascii="David" w:hAnsi="David"/>
          <w:rtl/>
        </w:rPr>
      </w:pPr>
    </w:p>
    <w:p w:rsidR="00CF026D" w:rsidRPr="00E41218" w:rsidRDefault="00E41218" w:rsidP="00E41218">
      <w:pPr>
        <w:spacing w:line="360" w:lineRule="auto"/>
        <w:ind w:left="720"/>
        <w:jc w:val="both"/>
        <w:rPr>
          <w:rFonts w:ascii="David" w:hAnsi="David"/>
          <w:b/>
          <w:bCs/>
          <w:rtl/>
        </w:rPr>
      </w:pPr>
      <w:r w:rsidRPr="00E41218">
        <w:rPr>
          <w:rFonts w:ascii="David" w:hAnsi="David"/>
          <w:b/>
          <w:bCs/>
          <w:color w:val="000000"/>
          <w:shd w:val="clear" w:color="auto" w:fill="FFFFFF"/>
          <w:rtl/>
        </w:rPr>
        <w:t>"המבקש יפקיד ערובה מספקת, להנחת דעתו של בית המשפט, ואולם בית המשפט רשאי, מטעמים מיוחדים, לפטור את המבקש מהפקדת ערובה, אם סבר שהדבר צודק וראוי בנסיבות העניין וכן רשאי להתנות את מתן הסעד הזמני בכמה ערובות; הסעד הזמני ייכנס לתקפו רק עם הפקדת כל הערובות שעליהן הורה בית המשפט, זולת אם בי</w:t>
      </w:r>
      <w:r>
        <w:rPr>
          <w:rFonts w:ascii="David" w:hAnsi="David"/>
          <w:b/>
          <w:bCs/>
          <w:color w:val="000000"/>
          <w:shd w:val="clear" w:color="auto" w:fill="FFFFFF"/>
          <w:rtl/>
        </w:rPr>
        <w:t>ת המשפט הורה אחרת מטעמים מיוחדי</w:t>
      </w:r>
      <w:r>
        <w:rPr>
          <w:rFonts w:ascii="David" w:hAnsi="David" w:hint="cs"/>
          <w:b/>
          <w:bCs/>
          <w:color w:val="000000"/>
          <w:shd w:val="clear" w:color="auto" w:fill="FFFFFF"/>
          <w:rtl/>
        </w:rPr>
        <w:t>ם"</w:t>
      </w:r>
      <w:r>
        <w:rPr>
          <w:rFonts w:ascii="David" w:hAnsi="David" w:hint="cs"/>
          <w:color w:val="000000"/>
          <w:shd w:val="clear" w:color="auto" w:fill="FFFFFF"/>
          <w:rtl/>
        </w:rPr>
        <w:t>.</w:t>
      </w:r>
      <w:r w:rsidR="00CF026D" w:rsidRPr="00E41218">
        <w:rPr>
          <w:rFonts w:ascii="David" w:hAnsi="David"/>
          <w:b/>
          <w:bCs/>
          <w:rtl/>
        </w:rPr>
        <w:t xml:space="preserve"> </w:t>
      </w:r>
    </w:p>
    <w:p w:rsidR="00CF026D" w:rsidRDefault="00CF026D" w:rsidP="00CF026D">
      <w:pPr>
        <w:spacing w:line="360" w:lineRule="auto"/>
        <w:ind w:left="720" w:hanging="720"/>
        <w:jc w:val="both"/>
        <w:rPr>
          <w:rFonts w:ascii="David" w:hAnsi="David"/>
          <w:rtl/>
        </w:rPr>
      </w:pPr>
    </w:p>
    <w:p w:rsidR="00CF026D" w:rsidRDefault="00D2205F" w:rsidP="00E873A0">
      <w:pPr>
        <w:spacing w:line="360" w:lineRule="auto"/>
        <w:ind w:left="720" w:hanging="720"/>
        <w:jc w:val="both"/>
        <w:rPr>
          <w:rFonts w:ascii="David" w:hAnsi="David"/>
          <w:rtl/>
        </w:rPr>
      </w:pPr>
      <w:r>
        <w:rPr>
          <w:rFonts w:ascii="David" w:hAnsi="David" w:hint="cs"/>
          <w:rtl/>
        </w:rPr>
        <w:t>39</w:t>
      </w:r>
      <w:r w:rsidR="00CF026D">
        <w:rPr>
          <w:rFonts w:ascii="David" w:hAnsi="David"/>
          <w:rtl/>
        </w:rPr>
        <w:t>.</w:t>
      </w:r>
      <w:r w:rsidR="00CF026D">
        <w:rPr>
          <w:rFonts w:ascii="David" w:hAnsi="David"/>
          <w:rtl/>
        </w:rPr>
        <w:tab/>
        <w:t xml:space="preserve">בנושא הערובה </w:t>
      </w:r>
      <w:r w:rsidR="00E873A0">
        <w:rPr>
          <w:rFonts w:ascii="David" w:hAnsi="David" w:hint="cs"/>
          <w:rtl/>
        </w:rPr>
        <w:t>אומר</w:t>
      </w:r>
      <w:r w:rsidR="00CF026D">
        <w:rPr>
          <w:rFonts w:ascii="David" w:hAnsi="David"/>
          <w:rtl/>
        </w:rPr>
        <w:t xml:space="preserve"> לאלתר, כי אינני רואה מקום להפעלת סמכותי לפי </w:t>
      </w:r>
      <w:r w:rsidR="00CF026D" w:rsidRPr="00E873A0">
        <w:rPr>
          <w:rFonts w:ascii="David" w:hAnsi="David"/>
          <w:b/>
          <w:bCs/>
          <w:rtl/>
        </w:rPr>
        <w:t>תקנה 96(ג) רישא</w:t>
      </w:r>
      <w:r w:rsidR="00CF026D">
        <w:rPr>
          <w:rFonts w:ascii="David" w:hAnsi="David"/>
          <w:rtl/>
        </w:rPr>
        <w:t xml:space="preserve"> הנ"ל ולפטור את המבקש מהפקדת ערובה כספית, </w:t>
      </w:r>
      <w:r w:rsidR="00E873A0">
        <w:rPr>
          <w:rFonts w:ascii="David" w:hAnsi="David" w:hint="cs"/>
          <w:rtl/>
        </w:rPr>
        <w:t xml:space="preserve">גם </w:t>
      </w:r>
      <w:r w:rsidR="00CF026D">
        <w:rPr>
          <w:rFonts w:ascii="David" w:hAnsi="David"/>
          <w:rtl/>
        </w:rPr>
        <w:t>בשים לב לערך הנכס</w:t>
      </w:r>
      <w:r w:rsidR="00E873A0">
        <w:rPr>
          <w:rFonts w:ascii="David" w:hAnsi="David" w:hint="cs"/>
          <w:rtl/>
        </w:rPr>
        <w:t xml:space="preserve"> הנטען</w:t>
      </w:r>
      <w:r w:rsidR="00CF026D">
        <w:rPr>
          <w:rFonts w:ascii="David" w:hAnsi="David"/>
          <w:rtl/>
        </w:rPr>
        <w:t xml:space="preserve"> המובטח במשכנתא, כטענת המבקש. </w:t>
      </w:r>
    </w:p>
    <w:p w:rsidR="00B854C2" w:rsidRPr="00B854C2" w:rsidRDefault="00B854C2" w:rsidP="00B854C2">
      <w:pPr>
        <w:spacing w:line="360" w:lineRule="auto"/>
        <w:ind w:left="720"/>
        <w:jc w:val="both"/>
        <w:rPr>
          <w:rFonts w:ascii="David" w:hAnsi="David"/>
          <w:spacing w:val="10"/>
          <w:rtl/>
        </w:rPr>
      </w:pPr>
      <w:r w:rsidRPr="00B854C2">
        <w:rPr>
          <w:rtl/>
        </w:rPr>
        <w:t>נקודת המוצא היא חיוב בערובה, בעוד שמתן הפטור הוא החריג</w:t>
      </w:r>
      <w:r w:rsidRPr="00B854C2">
        <w:rPr>
          <w:rFonts w:hint="cs"/>
          <w:rtl/>
        </w:rPr>
        <w:t xml:space="preserve"> (ראו: </w:t>
      </w:r>
      <w:r w:rsidRPr="00B854C2">
        <w:rPr>
          <w:rFonts w:ascii="David" w:hAnsi="David"/>
          <w:color w:val="000000"/>
          <w:rtl/>
        </w:rPr>
        <w:t>רע</w:t>
      </w:r>
      <w:r w:rsidRPr="00B854C2">
        <w:rPr>
          <w:rFonts w:ascii="David" w:hAnsi="David" w:hint="cs"/>
          <w:color w:val="000000"/>
          <w:rtl/>
        </w:rPr>
        <w:t>"</w:t>
      </w:r>
      <w:r w:rsidRPr="00B854C2">
        <w:rPr>
          <w:rFonts w:ascii="David" w:hAnsi="David"/>
          <w:color w:val="000000"/>
          <w:rtl/>
        </w:rPr>
        <w:t xml:space="preserve">א 3935/23  </w:t>
      </w:r>
      <w:r w:rsidRPr="00B854C2">
        <w:rPr>
          <w:rFonts w:ascii="David" w:hAnsi="David"/>
          <w:b/>
          <w:bCs/>
          <w:color w:val="000000"/>
          <w:rtl/>
        </w:rPr>
        <w:t>מוטי בן ארצי, עו"ד - נאמן נ' זובידאת</w:t>
      </w:r>
      <w:r w:rsidRPr="00B854C2">
        <w:rPr>
          <w:rFonts w:ascii="David" w:hAnsi="David" w:hint="cs"/>
          <w:spacing w:val="10"/>
          <w:rtl/>
        </w:rPr>
        <w:t>, פסקה 12 (31.5.2023)</w:t>
      </w:r>
      <w:r>
        <w:rPr>
          <w:rFonts w:ascii="David" w:hAnsi="David" w:hint="cs"/>
          <w:spacing w:val="10"/>
          <w:rtl/>
        </w:rPr>
        <w:t>)</w:t>
      </w:r>
      <w:r w:rsidRPr="00B854C2">
        <w:rPr>
          <w:rFonts w:ascii="David" w:hAnsi="David" w:hint="cs"/>
          <w:spacing w:val="10"/>
          <w:rtl/>
        </w:rPr>
        <w:t>.</w:t>
      </w:r>
    </w:p>
    <w:p w:rsidR="0056546F" w:rsidRDefault="00B854C2" w:rsidP="00B854C2">
      <w:pPr>
        <w:spacing w:line="360" w:lineRule="auto"/>
        <w:ind w:left="720"/>
        <w:jc w:val="both"/>
        <w:rPr>
          <w:rFonts w:ascii="David" w:hAnsi="David"/>
          <w:rtl/>
        </w:rPr>
      </w:pPr>
      <w:r>
        <w:rPr>
          <w:rFonts w:ascii="David" w:hAnsi="David"/>
          <w:spacing w:val="10"/>
          <w:rtl/>
        </w:rPr>
        <w:t>תכלית הערובה שתיקבע כתנאי</w:t>
      </w:r>
      <w:r w:rsidR="00D53E3C">
        <w:rPr>
          <w:rFonts w:ascii="David" w:hAnsi="David" w:hint="cs"/>
          <w:spacing w:val="10"/>
          <w:rtl/>
        </w:rPr>
        <w:t xml:space="preserve"> </w:t>
      </w:r>
      <w:r w:rsidR="00E873A0" w:rsidRPr="005D3683">
        <w:rPr>
          <w:rFonts w:ascii="David" w:hAnsi="David"/>
          <w:spacing w:val="10"/>
          <w:rtl/>
        </w:rPr>
        <w:t>למתן הסעד הזמני, לשמש כמקור לפיצוי המשיבים בגין הנזק שייגרם להם עקב מתן הסעד הזמני, ולפיכך על תנאיה לעמוד בקשר ישיר עם אופי הנזק</w:t>
      </w:r>
      <w:r w:rsidR="00E873A0" w:rsidRPr="005D3683">
        <w:rPr>
          <w:rFonts w:ascii="David" w:hAnsi="David"/>
          <w:color w:val="000000"/>
          <w:rtl/>
        </w:rPr>
        <w:t xml:space="preserve"> (רע"א 2900/22</w:t>
      </w:r>
      <w:r w:rsidR="005D3683" w:rsidRPr="005D3683">
        <w:rPr>
          <w:rFonts w:ascii="David" w:hAnsi="David"/>
          <w:color w:val="000000"/>
          <w:rtl/>
        </w:rPr>
        <w:t xml:space="preserve"> </w:t>
      </w:r>
      <w:r w:rsidR="005D3683" w:rsidRPr="005D3683">
        <w:rPr>
          <w:rFonts w:ascii="David" w:hAnsi="David"/>
          <w:b/>
          <w:bCs/>
          <w:color w:val="000000"/>
          <w:rtl/>
        </w:rPr>
        <w:t>תאופיק חביב אללה נ' יורופן גי אר בע"מ</w:t>
      </w:r>
      <w:r w:rsidR="005D3683" w:rsidRPr="005D3683">
        <w:rPr>
          <w:rFonts w:ascii="David" w:hAnsi="David"/>
          <w:rtl/>
        </w:rPr>
        <w:t>, פסקה 11 (31.7.2022)</w:t>
      </w:r>
      <w:r w:rsidR="005D3683">
        <w:rPr>
          <w:rFonts w:ascii="David" w:hAnsi="David" w:hint="cs"/>
          <w:rtl/>
        </w:rPr>
        <w:t>).</w:t>
      </w:r>
    </w:p>
    <w:p w:rsidR="00D53E3C" w:rsidRDefault="00D53E3C" w:rsidP="00267D9D">
      <w:pPr>
        <w:spacing w:line="360" w:lineRule="auto"/>
        <w:ind w:left="720"/>
        <w:jc w:val="both"/>
        <w:rPr>
          <w:rFonts w:ascii="David" w:hAnsi="David"/>
          <w:rtl/>
        </w:rPr>
      </w:pPr>
      <w:r>
        <w:rPr>
          <w:rFonts w:ascii="David" w:hAnsi="David" w:hint="cs"/>
          <w:rtl/>
        </w:rPr>
        <w:t xml:space="preserve">מן האמור, </w:t>
      </w:r>
      <w:r w:rsidR="00267D9D">
        <w:rPr>
          <w:rFonts w:ascii="David" w:hAnsi="David" w:hint="cs"/>
          <w:rtl/>
        </w:rPr>
        <w:t>נראה ש</w:t>
      </w:r>
      <w:r>
        <w:rPr>
          <w:rFonts w:ascii="David" w:hAnsi="David" w:hint="cs"/>
          <w:rtl/>
        </w:rPr>
        <w:t>יש להבחין בין קיומו של הנכס להבטחת החוב</w:t>
      </w:r>
      <w:r w:rsidR="00267D9D">
        <w:rPr>
          <w:rFonts w:ascii="David" w:hAnsi="David" w:hint="cs"/>
          <w:rtl/>
        </w:rPr>
        <w:t xml:space="preserve"> נושא הסכסוך</w:t>
      </w:r>
      <w:r>
        <w:rPr>
          <w:rFonts w:ascii="David" w:hAnsi="David" w:hint="cs"/>
          <w:rtl/>
        </w:rPr>
        <w:t xml:space="preserve"> באמצעות הליכי מימוש</w:t>
      </w:r>
      <w:r w:rsidR="00267D9D">
        <w:rPr>
          <w:rFonts w:ascii="David" w:hAnsi="David" w:hint="cs"/>
          <w:rtl/>
        </w:rPr>
        <w:t xml:space="preserve"> של הנכס</w:t>
      </w:r>
      <w:r>
        <w:rPr>
          <w:rFonts w:ascii="David" w:hAnsi="David" w:hint="cs"/>
          <w:rtl/>
        </w:rPr>
        <w:t>, לבין התכלית לקבוע ערובה</w:t>
      </w:r>
      <w:r w:rsidR="00267D9D">
        <w:rPr>
          <w:rFonts w:ascii="David" w:hAnsi="David" w:hint="cs"/>
          <w:rtl/>
        </w:rPr>
        <w:t xml:space="preserve"> נאותה</w:t>
      </w:r>
      <w:r>
        <w:rPr>
          <w:rFonts w:ascii="David" w:hAnsi="David" w:hint="cs"/>
          <w:rtl/>
        </w:rPr>
        <w:t xml:space="preserve"> </w:t>
      </w:r>
      <w:r w:rsidR="00267D9D">
        <w:rPr>
          <w:rFonts w:ascii="David" w:hAnsi="David" w:hint="cs"/>
          <w:rtl/>
        </w:rPr>
        <w:t>כתנאי למתן הסעד הזמני</w:t>
      </w:r>
      <w:r>
        <w:rPr>
          <w:rFonts w:ascii="David" w:hAnsi="David" w:hint="cs"/>
          <w:rtl/>
        </w:rPr>
        <w:t xml:space="preserve"> </w:t>
      </w:r>
      <w:r w:rsidR="00267D9D">
        <w:rPr>
          <w:rFonts w:ascii="David" w:hAnsi="David" w:hint="cs"/>
          <w:rtl/>
        </w:rPr>
        <w:t xml:space="preserve">בהיותה </w:t>
      </w:r>
      <w:r>
        <w:rPr>
          <w:rFonts w:ascii="David" w:hAnsi="David" w:hint="cs"/>
          <w:rtl/>
        </w:rPr>
        <w:t>מקור לפיצוי בגין הנזק שעלול להיגרם עקב עיכוב הליכי המימוש.</w:t>
      </w:r>
    </w:p>
    <w:p w:rsidR="00BA2ADC" w:rsidRDefault="00BA2ADC" w:rsidP="00E873A0">
      <w:pPr>
        <w:spacing w:line="360" w:lineRule="auto"/>
        <w:ind w:left="720"/>
        <w:jc w:val="both"/>
        <w:rPr>
          <w:rFonts w:ascii="David" w:hAnsi="David"/>
          <w:rtl/>
        </w:rPr>
      </w:pPr>
    </w:p>
    <w:p w:rsidR="005D3683" w:rsidRDefault="00D2205F" w:rsidP="00076D7F">
      <w:pPr>
        <w:spacing w:line="360" w:lineRule="auto"/>
        <w:ind w:left="720" w:hanging="720"/>
        <w:jc w:val="both"/>
        <w:rPr>
          <w:rFonts w:ascii="David" w:hAnsi="David"/>
          <w:rtl/>
        </w:rPr>
      </w:pPr>
      <w:r>
        <w:rPr>
          <w:rFonts w:ascii="David" w:hAnsi="David" w:hint="cs"/>
          <w:rtl/>
        </w:rPr>
        <w:lastRenderedPageBreak/>
        <w:t>40</w:t>
      </w:r>
      <w:r w:rsidR="00BA2ADC">
        <w:rPr>
          <w:rFonts w:ascii="David" w:hAnsi="David" w:hint="cs"/>
          <w:rtl/>
        </w:rPr>
        <w:t>.</w:t>
      </w:r>
      <w:r w:rsidR="00BA2ADC">
        <w:rPr>
          <w:rFonts w:ascii="David" w:hAnsi="David" w:hint="cs"/>
          <w:rtl/>
        </w:rPr>
        <w:tab/>
      </w:r>
      <w:r w:rsidR="002C2E24">
        <w:rPr>
          <w:rFonts w:ascii="David" w:hAnsi="David" w:hint="cs"/>
          <w:rtl/>
        </w:rPr>
        <w:t xml:space="preserve">תקנות סדר הדין משנת </w:t>
      </w:r>
      <w:r w:rsidR="00076D7F">
        <w:rPr>
          <w:rFonts w:ascii="David" w:hAnsi="David" w:hint="cs"/>
          <w:rtl/>
        </w:rPr>
        <w:t>תשמ"ד -</w:t>
      </w:r>
      <w:r w:rsidR="002C2E24">
        <w:rPr>
          <w:rFonts w:ascii="David" w:hAnsi="David" w:hint="cs"/>
          <w:rtl/>
        </w:rPr>
        <w:t xml:space="preserve">1984 הבחינו בין </w:t>
      </w:r>
      <w:r w:rsidR="002C2E24" w:rsidRPr="00CE7078">
        <w:rPr>
          <w:rFonts w:ascii="David" w:hAnsi="David" w:hint="cs"/>
          <w:b/>
          <w:bCs/>
          <w:rtl/>
        </w:rPr>
        <w:t>"ערבות"</w:t>
      </w:r>
      <w:r w:rsidR="002C2E24">
        <w:rPr>
          <w:rFonts w:ascii="David" w:hAnsi="David" w:hint="cs"/>
          <w:rtl/>
        </w:rPr>
        <w:t xml:space="preserve"> </w:t>
      </w:r>
      <w:r w:rsidR="00B11B43">
        <w:rPr>
          <w:rFonts w:ascii="David" w:hAnsi="David" w:hint="cs"/>
          <w:rtl/>
        </w:rPr>
        <w:t xml:space="preserve">שהגדרתה "התחייבותו של אדם לקיים חיובו של אדם אחר כלפי אדם שלישי" (אך אינה כוללת שיעבוד של זכות או נכס), לבין </w:t>
      </w:r>
      <w:r w:rsidR="00B11B43" w:rsidRPr="00CE7078">
        <w:rPr>
          <w:rFonts w:ascii="David" w:hAnsi="David" w:hint="cs"/>
          <w:b/>
          <w:bCs/>
          <w:rtl/>
        </w:rPr>
        <w:t>"עירבון"</w:t>
      </w:r>
      <w:r w:rsidR="00B11B43">
        <w:rPr>
          <w:rFonts w:ascii="David" w:hAnsi="David" w:hint="cs"/>
          <w:rtl/>
        </w:rPr>
        <w:t xml:space="preserve"> שהוגדר כ</w:t>
      </w:r>
      <w:r w:rsidR="00B11B43" w:rsidRPr="00CE7078">
        <w:rPr>
          <w:rFonts w:ascii="David" w:hAnsi="David" w:hint="cs"/>
          <w:b/>
          <w:bCs/>
          <w:rtl/>
        </w:rPr>
        <w:t>"ערובה חפצית לקיום חיוב קיים או עתידי, מתחדש או מותנה, קצוב או בלתי קצוב, לרבות ערבות בנקאית"</w:t>
      </w:r>
      <w:r w:rsidR="00B11B43">
        <w:rPr>
          <w:rFonts w:ascii="David" w:hAnsi="David" w:hint="cs"/>
          <w:rtl/>
        </w:rPr>
        <w:t>.</w:t>
      </w:r>
    </w:p>
    <w:p w:rsidR="00B11B43" w:rsidRDefault="00B854C2" w:rsidP="00CE7078">
      <w:pPr>
        <w:spacing w:line="360" w:lineRule="auto"/>
        <w:ind w:left="720"/>
        <w:jc w:val="both"/>
        <w:rPr>
          <w:rFonts w:ascii="David" w:hAnsi="David"/>
          <w:rtl/>
        </w:rPr>
      </w:pPr>
      <w:r>
        <w:rPr>
          <w:rFonts w:ascii="David" w:hAnsi="David" w:hint="cs"/>
          <w:rtl/>
        </w:rPr>
        <w:t>לעומת זאת,</w:t>
      </w:r>
      <w:r w:rsidR="00B11B43">
        <w:rPr>
          <w:rFonts w:ascii="David" w:hAnsi="David" w:hint="cs"/>
          <w:rtl/>
        </w:rPr>
        <w:t xml:space="preserve"> התקנות הקיימות ממזגות את המושגים </w:t>
      </w:r>
      <w:r w:rsidR="00B11B43" w:rsidRPr="00CE7078">
        <w:rPr>
          <w:rFonts w:ascii="David" w:hAnsi="David" w:hint="cs"/>
          <w:b/>
          <w:bCs/>
          <w:rtl/>
        </w:rPr>
        <w:t>"ערבות"</w:t>
      </w:r>
      <w:r w:rsidR="00B11B43">
        <w:rPr>
          <w:rFonts w:ascii="David" w:hAnsi="David" w:hint="cs"/>
          <w:rtl/>
        </w:rPr>
        <w:t xml:space="preserve"> ו</w:t>
      </w:r>
      <w:r w:rsidR="00B11B43" w:rsidRPr="00CE7078">
        <w:rPr>
          <w:rFonts w:ascii="David" w:hAnsi="David" w:hint="cs"/>
          <w:b/>
          <w:bCs/>
          <w:rtl/>
        </w:rPr>
        <w:t>"עירבון"</w:t>
      </w:r>
      <w:r w:rsidR="00B11B43" w:rsidRPr="00CE7078">
        <w:rPr>
          <w:rFonts w:ascii="David" w:hAnsi="David" w:hint="cs"/>
          <w:rtl/>
        </w:rPr>
        <w:t xml:space="preserve">, </w:t>
      </w:r>
      <w:r w:rsidR="00B11B43">
        <w:rPr>
          <w:rFonts w:ascii="David" w:hAnsi="David" w:hint="cs"/>
          <w:rtl/>
        </w:rPr>
        <w:t xml:space="preserve">המכונים שניהם גם יחד </w:t>
      </w:r>
      <w:r w:rsidR="00B11B43" w:rsidRPr="00CE7078">
        <w:rPr>
          <w:rFonts w:ascii="David" w:hAnsi="David" w:hint="cs"/>
          <w:b/>
          <w:bCs/>
          <w:rtl/>
        </w:rPr>
        <w:t>"ערובה"</w:t>
      </w:r>
      <w:r w:rsidR="00B11B43">
        <w:rPr>
          <w:rFonts w:ascii="David" w:hAnsi="David" w:hint="cs"/>
          <w:rtl/>
        </w:rPr>
        <w:t xml:space="preserve"> וקובעות כי </w:t>
      </w:r>
      <w:r w:rsidR="00B11B43" w:rsidRPr="00CE7078">
        <w:rPr>
          <w:rFonts w:ascii="David" w:hAnsi="David" w:hint="cs"/>
          <w:b/>
          <w:bCs/>
          <w:rtl/>
        </w:rPr>
        <w:t>"ערובה"</w:t>
      </w:r>
      <w:r w:rsidR="00B11B43">
        <w:rPr>
          <w:rFonts w:ascii="David" w:hAnsi="David" w:hint="cs"/>
          <w:rtl/>
        </w:rPr>
        <w:t xml:space="preserve"> </w:t>
      </w:r>
      <w:r w:rsidR="00CE7078">
        <w:rPr>
          <w:rFonts w:ascii="David" w:hAnsi="David" w:hint="cs"/>
          <w:rtl/>
        </w:rPr>
        <w:t>היא</w:t>
      </w:r>
      <w:r w:rsidR="00B11B43">
        <w:rPr>
          <w:rFonts w:ascii="David" w:hAnsi="David" w:hint="cs"/>
          <w:rtl/>
        </w:rPr>
        <w:t xml:space="preserve"> </w:t>
      </w:r>
      <w:r w:rsidR="00CE7078" w:rsidRPr="00CE7078">
        <w:rPr>
          <w:rFonts w:ascii="David" w:hAnsi="David" w:hint="cs"/>
          <w:b/>
          <w:bCs/>
          <w:rtl/>
        </w:rPr>
        <w:t>"</w:t>
      </w:r>
      <w:r w:rsidR="00B11B43" w:rsidRPr="00CE7078">
        <w:rPr>
          <w:rFonts w:ascii="David" w:hAnsi="David" w:hint="cs"/>
          <w:b/>
          <w:bCs/>
          <w:rtl/>
        </w:rPr>
        <w:t>הפקדת סכום כסף בקופת בית המשפט או מתן ערבות של צד שלישי לרבות של מוסד פיננסי"</w:t>
      </w:r>
      <w:r w:rsidR="00B11B43">
        <w:rPr>
          <w:rFonts w:ascii="David" w:hAnsi="David" w:hint="cs"/>
          <w:rtl/>
        </w:rPr>
        <w:t xml:space="preserve"> (</w:t>
      </w:r>
      <w:r w:rsidR="00B11B43" w:rsidRPr="00CE7078">
        <w:rPr>
          <w:rFonts w:ascii="David" w:hAnsi="David" w:hint="cs"/>
          <w:b/>
          <w:bCs/>
          <w:rtl/>
        </w:rPr>
        <w:t>תקנה 6 לתקנות</w:t>
      </w:r>
      <w:r w:rsidR="00B11B43">
        <w:rPr>
          <w:rFonts w:ascii="David" w:hAnsi="David" w:hint="cs"/>
          <w:rtl/>
        </w:rPr>
        <w:t>)</w:t>
      </w:r>
      <w:r w:rsidR="00CE7078">
        <w:rPr>
          <w:rFonts w:ascii="David" w:hAnsi="David" w:hint="cs"/>
          <w:rtl/>
        </w:rPr>
        <w:t>.</w:t>
      </w:r>
    </w:p>
    <w:p w:rsidR="00CE7078" w:rsidRDefault="00CE7078" w:rsidP="00E873A0">
      <w:pPr>
        <w:spacing w:line="360" w:lineRule="auto"/>
        <w:ind w:left="720"/>
        <w:jc w:val="both"/>
        <w:rPr>
          <w:rFonts w:ascii="David" w:hAnsi="David"/>
          <w:rtl/>
        </w:rPr>
      </w:pPr>
      <w:r>
        <w:rPr>
          <w:rFonts w:ascii="David" w:hAnsi="David" w:hint="cs"/>
          <w:rtl/>
        </w:rPr>
        <w:t xml:space="preserve">ראו: יששכר רוזן-צבי, </w:t>
      </w:r>
      <w:r w:rsidRPr="00CE7078">
        <w:rPr>
          <w:rFonts w:ascii="David" w:hAnsi="David" w:hint="cs"/>
          <w:b/>
          <w:bCs/>
          <w:rtl/>
        </w:rPr>
        <w:t>הרפורמה בסדר הדין האזרחי: מורה נבוכים</w:t>
      </w:r>
      <w:r>
        <w:rPr>
          <w:rFonts w:ascii="David" w:hAnsi="David" w:hint="cs"/>
          <w:rtl/>
        </w:rPr>
        <w:t>, 480 (מהדורה שנייה, 2023).</w:t>
      </w:r>
    </w:p>
    <w:p w:rsidR="00CE7078" w:rsidRDefault="00CE7078" w:rsidP="00E873A0">
      <w:pPr>
        <w:spacing w:line="360" w:lineRule="auto"/>
        <w:ind w:left="720"/>
        <w:jc w:val="both"/>
        <w:rPr>
          <w:rFonts w:ascii="David" w:hAnsi="David"/>
          <w:rtl/>
        </w:rPr>
      </w:pPr>
    </w:p>
    <w:p w:rsidR="00BA2ADC" w:rsidRDefault="00D2205F" w:rsidP="00267D9D">
      <w:pPr>
        <w:spacing w:line="360" w:lineRule="auto"/>
        <w:ind w:left="720" w:hanging="720"/>
        <w:jc w:val="both"/>
        <w:rPr>
          <w:rFonts w:ascii="David" w:hAnsi="David"/>
          <w:rtl/>
        </w:rPr>
      </w:pPr>
      <w:r>
        <w:rPr>
          <w:rFonts w:ascii="David" w:hAnsi="David" w:hint="cs"/>
          <w:rtl/>
        </w:rPr>
        <w:t>41</w:t>
      </w:r>
      <w:r w:rsidR="00BA2ADC">
        <w:rPr>
          <w:rFonts w:ascii="David" w:hAnsi="David" w:hint="cs"/>
          <w:rtl/>
        </w:rPr>
        <w:t>.</w:t>
      </w:r>
      <w:r w:rsidR="00BA2ADC">
        <w:rPr>
          <w:rFonts w:ascii="David" w:hAnsi="David" w:hint="cs"/>
          <w:rtl/>
        </w:rPr>
        <w:tab/>
      </w:r>
      <w:r w:rsidR="00B854C2">
        <w:rPr>
          <w:rFonts w:ascii="David" w:hAnsi="David" w:hint="cs"/>
          <w:rtl/>
        </w:rPr>
        <w:t xml:space="preserve">בענייננו, </w:t>
      </w:r>
      <w:r w:rsidR="00BA2ADC">
        <w:rPr>
          <w:rFonts w:ascii="David" w:hAnsi="David" w:hint="cs"/>
          <w:rtl/>
        </w:rPr>
        <w:t xml:space="preserve">אני סבורה כי לא ניתן להסתמך על הנכס כערובה מספקת להבטחת נזקי המשיבה, ככל שייגרמו, כתוצאה </w:t>
      </w:r>
      <w:r w:rsidR="00267D9D">
        <w:rPr>
          <w:rFonts w:ascii="David" w:hAnsi="David" w:hint="cs"/>
          <w:rtl/>
        </w:rPr>
        <w:t>ממתן הצו</w:t>
      </w:r>
      <w:r w:rsidR="00BA2ADC">
        <w:rPr>
          <w:rFonts w:ascii="David" w:hAnsi="David" w:hint="cs"/>
          <w:rtl/>
        </w:rPr>
        <w:t>.</w:t>
      </w:r>
    </w:p>
    <w:p w:rsidR="009B5782" w:rsidRDefault="00BA2ADC" w:rsidP="009B5782">
      <w:pPr>
        <w:spacing w:line="360" w:lineRule="auto"/>
        <w:ind w:left="720"/>
        <w:jc w:val="both"/>
        <w:rPr>
          <w:rFonts w:ascii="David" w:hAnsi="David"/>
          <w:rtl/>
        </w:rPr>
      </w:pPr>
      <w:r>
        <w:rPr>
          <w:rFonts w:ascii="David" w:hAnsi="David" w:hint="cs"/>
          <w:rtl/>
        </w:rPr>
        <w:t xml:space="preserve">ספק בעיני אם נכס מקרקעין מתיישב עם הגדרת "ערובה" לפי התקנות. </w:t>
      </w:r>
      <w:r w:rsidR="009B5782">
        <w:rPr>
          <w:rFonts w:ascii="David" w:hAnsi="David" w:hint="cs"/>
          <w:rtl/>
        </w:rPr>
        <w:t>שהרי לא</w:t>
      </w:r>
      <w:r>
        <w:rPr>
          <w:rFonts w:ascii="David" w:hAnsi="David" w:hint="cs"/>
          <w:rtl/>
        </w:rPr>
        <w:t xml:space="preserve"> לא נזכרו בהגדרה זו </w:t>
      </w:r>
      <w:r w:rsidR="006D2ED6">
        <w:rPr>
          <w:rFonts w:ascii="David" w:hAnsi="David" w:hint="cs"/>
          <w:rtl/>
        </w:rPr>
        <w:t>באופן מפורש זכויות ב</w:t>
      </w:r>
      <w:r>
        <w:rPr>
          <w:rFonts w:ascii="David" w:hAnsi="David" w:hint="cs"/>
          <w:rtl/>
        </w:rPr>
        <w:t>נכסים</w:t>
      </w:r>
      <w:r w:rsidR="007A2AD7">
        <w:rPr>
          <w:rFonts w:ascii="David" w:hAnsi="David" w:hint="cs"/>
          <w:rtl/>
        </w:rPr>
        <w:t xml:space="preserve"> חפציים</w:t>
      </w:r>
      <w:r w:rsidR="006D2ED6">
        <w:rPr>
          <w:rFonts w:ascii="David" w:hAnsi="David" w:hint="cs"/>
          <w:rtl/>
        </w:rPr>
        <w:t xml:space="preserve"> כדוגמת נדל"ן וכיוצ"ב</w:t>
      </w:r>
      <w:r w:rsidR="007A2AD7">
        <w:rPr>
          <w:rFonts w:ascii="David" w:hAnsi="David" w:hint="cs"/>
          <w:rtl/>
        </w:rPr>
        <w:t>.</w:t>
      </w:r>
      <w:r w:rsidR="006D2ED6">
        <w:rPr>
          <w:rFonts w:ascii="David" w:hAnsi="David" w:hint="cs"/>
          <w:rtl/>
        </w:rPr>
        <w:t xml:space="preserve"> </w:t>
      </w:r>
      <w:r w:rsidR="007A2AD7">
        <w:rPr>
          <w:rFonts w:ascii="David" w:hAnsi="David" w:hint="cs"/>
          <w:rtl/>
        </w:rPr>
        <w:t xml:space="preserve"> </w:t>
      </w:r>
    </w:p>
    <w:p w:rsidR="00BA2ADC" w:rsidRDefault="00267D9D" w:rsidP="00267D9D">
      <w:pPr>
        <w:spacing w:line="360" w:lineRule="auto"/>
        <w:ind w:left="720"/>
        <w:jc w:val="both"/>
        <w:rPr>
          <w:rFonts w:ascii="David" w:hAnsi="David"/>
          <w:rtl/>
        </w:rPr>
      </w:pPr>
      <w:r>
        <w:rPr>
          <w:rFonts w:ascii="David" w:hAnsi="David" w:hint="cs"/>
          <w:rtl/>
        </w:rPr>
        <w:t xml:space="preserve">מכל מקום, גם אם הדבר אפשרי, אני סבורה </w:t>
      </w:r>
      <w:r w:rsidR="009B5782">
        <w:rPr>
          <w:rFonts w:ascii="David" w:hAnsi="David" w:hint="cs"/>
          <w:rtl/>
        </w:rPr>
        <w:t xml:space="preserve">כי </w:t>
      </w:r>
      <w:r w:rsidR="007A2AD7">
        <w:rPr>
          <w:rFonts w:ascii="David" w:hAnsi="David" w:hint="cs"/>
          <w:rtl/>
        </w:rPr>
        <w:t>היכולת של המשיב להיפרע בגין נזקו</w:t>
      </w:r>
      <w:r>
        <w:rPr>
          <w:rFonts w:ascii="David" w:hAnsi="David" w:hint="cs"/>
          <w:rtl/>
        </w:rPr>
        <w:t xml:space="preserve"> כתוצאה ממתן הסעד הזמני</w:t>
      </w:r>
      <w:r w:rsidR="002C4E0A">
        <w:rPr>
          <w:rFonts w:ascii="David" w:hAnsi="David" w:hint="cs"/>
          <w:rtl/>
        </w:rPr>
        <w:t xml:space="preserve"> </w:t>
      </w:r>
      <w:r w:rsidR="007A2AD7">
        <w:rPr>
          <w:rFonts w:ascii="David" w:hAnsi="David" w:hint="cs"/>
          <w:rtl/>
        </w:rPr>
        <w:t xml:space="preserve">צריכה להיות יעילה, מיידית ובלתי תלויה בגורמים חיצוניים שעלולים </w:t>
      </w:r>
      <w:r w:rsidR="00C319EC">
        <w:rPr>
          <w:rFonts w:ascii="David" w:hAnsi="David" w:hint="cs"/>
          <w:rtl/>
        </w:rPr>
        <w:t xml:space="preserve">לפגוע ביכולתו להיפרע. כידוע, לעתים מימוש </w:t>
      </w:r>
      <w:r w:rsidR="007A2AD7">
        <w:rPr>
          <w:rFonts w:ascii="David" w:hAnsi="David" w:hint="cs"/>
          <w:rtl/>
        </w:rPr>
        <w:t>נכס</w:t>
      </w:r>
      <w:r w:rsidR="00C319EC">
        <w:rPr>
          <w:rFonts w:ascii="David" w:hAnsi="David" w:hint="cs"/>
          <w:rtl/>
        </w:rPr>
        <w:t xml:space="preserve"> מקרקעין אינו דבר שניתן לביצוע בנקל.</w:t>
      </w:r>
      <w:r>
        <w:rPr>
          <w:rFonts w:ascii="David" w:hAnsi="David" w:hint="cs"/>
          <w:rtl/>
        </w:rPr>
        <w:t xml:space="preserve"> הדבר מצריך נקיטה של פעולות משפטיות וחוץ משפטיות</w:t>
      </w:r>
      <w:r w:rsidR="007A2AD7">
        <w:rPr>
          <w:rFonts w:ascii="David" w:hAnsi="David" w:hint="cs"/>
          <w:rtl/>
        </w:rPr>
        <w:t xml:space="preserve"> </w:t>
      </w:r>
      <w:r>
        <w:rPr>
          <w:rFonts w:ascii="David" w:hAnsi="David" w:hint="cs"/>
          <w:rtl/>
        </w:rPr>
        <w:t>שמטבען מעכבות את יכ</w:t>
      </w:r>
      <w:r w:rsidR="00DB2088">
        <w:rPr>
          <w:rFonts w:ascii="David" w:hAnsi="David" w:hint="cs"/>
          <w:rtl/>
        </w:rPr>
        <w:t xml:space="preserve">ולת הפירעון. </w:t>
      </w:r>
      <w:r w:rsidR="00076D7F">
        <w:rPr>
          <w:rFonts w:ascii="David" w:hAnsi="David" w:hint="cs"/>
          <w:rtl/>
        </w:rPr>
        <w:t>עצם קיומה של הבקשה דנן מלמד</w:t>
      </w:r>
      <w:r w:rsidR="00C319EC">
        <w:rPr>
          <w:rFonts w:ascii="David" w:hAnsi="David" w:hint="cs"/>
          <w:rtl/>
        </w:rPr>
        <w:t xml:space="preserve"> על כך</w:t>
      </w:r>
      <w:r w:rsidR="007A2AD7">
        <w:rPr>
          <w:rFonts w:ascii="David" w:hAnsi="David" w:hint="cs"/>
          <w:rtl/>
        </w:rPr>
        <w:t>.</w:t>
      </w:r>
    </w:p>
    <w:p w:rsidR="00CF026D" w:rsidRPr="005D3683" w:rsidRDefault="00C319EC" w:rsidP="00BA2ADC">
      <w:pPr>
        <w:spacing w:line="360" w:lineRule="auto"/>
        <w:ind w:left="720"/>
        <w:jc w:val="both"/>
        <w:rPr>
          <w:rFonts w:ascii="David" w:hAnsi="David"/>
          <w:rtl/>
        </w:rPr>
      </w:pPr>
      <w:r>
        <w:rPr>
          <w:rFonts w:ascii="David" w:hAnsi="David" w:hint="cs"/>
          <w:rtl/>
        </w:rPr>
        <w:t xml:space="preserve">בהקשר זה </w:t>
      </w:r>
      <w:r w:rsidR="007A2AD7">
        <w:rPr>
          <w:rFonts w:ascii="David" w:hAnsi="David" w:hint="cs"/>
          <w:rtl/>
        </w:rPr>
        <w:t>יש לזכור כי</w:t>
      </w:r>
      <w:r w:rsidR="00BA2ADC">
        <w:rPr>
          <w:rFonts w:ascii="David" w:hAnsi="David" w:hint="cs"/>
          <w:rtl/>
        </w:rPr>
        <w:t xml:space="preserve"> </w:t>
      </w:r>
      <w:r w:rsidR="00CF026D" w:rsidRPr="005D3683">
        <w:rPr>
          <w:rFonts w:ascii="David" w:hAnsi="David"/>
          <w:rtl/>
        </w:rPr>
        <w:t>המבקש העיד על עצמו שהוא מתגורר בנכס עם ארבעה ילדים. לאורך כל בקשתו הוא מקפיד לכנות את הנכס בכינוי "בית המגורים"</w:t>
      </w:r>
      <w:r w:rsidR="007A2AD7">
        <w:rPr>
          <w:rFonts w:ascii="David" w:hAnsi="David" w:hint="cs"/>
          <w:rtl/>
        </w:rPr>
        <w:t>,</w:t>
      </w:r>
      <w:r w:rsidR="00CF026D" w:rsidRPr="005D3683">
        <w:rPr>
          <w:rFonts w:ascii="David" w:hAnsi="David"/>
          <w:rtl/>
        </w:rPr>
        <w:t xml:space="preserve"> דבר המעיד על כך שהפינוי לא יבוא בנקל על כל המשתמע מזה. מימוש כפוי של בית מגורים </w:t>
      </w:r>
      <w:r w:rsidR="007A2AD7">
        <w:rPr>
          <w:rFonts w:ascii="David" w:hAnsi="David" w:hint="cs"/>
          <w:rtl/>
        </w:rPr>
        <w:t xml:space="preserve">גם </w:t>
      </w:r>
      <w:r w:rsidR="00CF026D" w:rsidRPr="005D3683">
        <w:rPr>
          <w:rFonts w:ascii="David" w:hAnsi="David"/>
          <w:rtl/>
        </w:rPr>
        <w:t xml:space="preserve">מפחית משמעותית את ערך הנכס, </w:t>
      </w:r>
      <w:r w:rsidR="007A2AD7">
        <w:rPr>
          <w:rFonts w:ascii="David" w:hAnsi="David" w:hint="cs"/>
          <w:rtl/>
        </w:rPr>
        <w:t>מ</w:t>
      </w:r>
      <w:r w:rsidR="007A2AD7">
        <w:rPr>
          <w:rFonts w:ascii="David" w:hAnsi="David"/>
          <w:rtl/>
        </w:rPr>
        <w:t xml:space="preserve">קשה </w:t>
      </w:r>
      <w:r w:rsidR="007A2AD7">
        <w:rPr>
          <w:rFonts w:ascii="David" w:hAnsi="David" w:hint="cs"/>
          <w:rtl/>
        </w:rPr>
        <w:t>על ה</w:t>
      </w:r>
      <w:r w:rsidR="00CF026D" w:rsidRPr="005D3683">
        <w:rPr>
          <w:rFonts w:ascii="David" w:hAnsi="David"/>
          <w:rtl/>
        </w:rPr>
        <w:t xml:space="preserve">מימוש ויש לקחת את כל זה בחשבון במבט לעתיד. </w:t>
      </w:r>
    </w:p>
    <w:p w:rsidR="00CF026D" w:rsidRDefault="00CF026D" w:rsidP="00CF026D">
      <w:pPr>
        <w:spacing w:line="360" w:lineRule="auto"/>
        <w:ind w:left="720" w:hanging="720"/>
        <w:jc w:val="both"/>
        <w:rPr>
          <w:rFonts w:ascii="David" w:hAnsi="David"/>
          <w:rtl/>
        </w:rPr>
      </w:pPr>
      <w:r>
        <w:rPr>
          <w:rFonts w:ascii="David" w:hAnsi="David"/>
          <w:rtl/>
        </w:rPr>
        <w:tab/>
        <w:t>יתר על כן, חוות הדעת שצירף המבקש נערכה ביום 22.1.2023, אין לדעת אם ערך הנכס</w:t>
      </w:r>
      <w:r w:rsidR="00C319EC">
        <w:rPr>
          <w:rFonts w:ascii="David" w:hAnsi="David"/>
          <w:rtl/>
        </w:rPr>
        <w:t xml:space="preserve"> לא פחת או לא יפחת במרוצת הזמן,</w:t>
      </w:r>
      <w:r>
        <w:rPr>
          <w:rFonts w:ascii="David" w:hAnsi="David"/>
          <w:rtl/>
        </w:rPr>
        <w:t xml:space="preserve"> גם אם ההפחתה לא תהיה משמעותית</w:t>
      </w:r>
      <w:r w:rsidR="00076D7F">
        <w:rPr>
          <w:rFonts w:ascii="David" w:hAnsi="David" w:hint="cs"/>
          <w:rtl/>
        </w:rPr>
        <w:t xml:space="preserve"> בהינתן שמדובר בבית מגורים צמוד קרקע באיזור הרצליה פיתוח</w:t>
      </w:r>
      <w:r>
        <w:rPr>
          <w:rFonts w:ascii="David" w:hAnsi="David"/>
          <w:rtl/>
        </w:rPr>
        <w:t>.</w:t>
      </w:r>
    </w:p>
    <w:p w:rsidR="00CF026D" w:rsidRDefault="00CF026D" w:rsidP="00CF026D">
      <w:pPr>
        <w:spacing w:line="360" w:lineRule="auto"/>
        <w:ind w:left="720" w:hanging="720"/>
        <w:jc w:val="both"/>
        <w:rPr>
          <w:rFonts w:ascii="David" w:hAnsi="David"/>
          <w:rtl/>
        </w:rPr>
      </w:pPr>
      <w:r>
        <w:rPr>
          <w:rFonts w:ascii="David" w:hAnsi="David"/>
          <w:rtl/>
        </w:rPr>
        <w:tab/>
      </w:r>
      <w:r w:rsidR="00C319EC">
        <w:rPr>
          <w:rFonts w:ascii="David" w:hAnsi="David" w:hint="cs"/>
          <w:rtl/>
        </w:rPr>
        <w:t xml:space="preserve">כמו כן, </w:t>
      </w:r>
      <w:r>
        <w:rPr>
          <w:rFonts w:ascii="David" w:hAnsi="David"/>
          <w:rtl/>
        </w:rPr>
        <w:t>מנס</w:t>
      </w:r>
      <w:r w:rsidR="00C319EC">
        <w:rPr>
          <w:rFonts w:ascii="David" w:hAnsi="David"/>
          <w:rtl/>
        </w:rPr>
        <w:t>ח המקרקעין שצרף המבקש עצמו עולה</w:t>
      </w:r>
      <w:r>
        <w:rPr>
          <w:rFonts w:ascii="David" w:hAnsi="David"/>
          <w:rtl/>
        </w:rPr>
        <w:t xml:space="preserve"> כי על הנכס רובצים חובות נוספים. </w:t>
      </w:r>
      <w:r w:rsidR="002C4E0A">
        <w:rPr>
          <w:rFonts w:ascii="David" w:hAnsi="David" w:hint="cs"/>
          <w:rtl/>
        </w:rPr>
        <w:t>גם נתון זה יש לקחת בחשבון.</w:t>
      </w:r>
    </w:p>
    <w:p w:rsidR="00CF026D" w:rsidRDefault="00CF026D" w:rsidP="00CF026D">
      <w:pPr>
        <w:spacing w:line="360" w:lineRule="auto"/>
        <w:ind w:left="720" w:hanging="720"/>
        <w:jc w:val="both"/>
        <w:rPr>
          <w:rFonts w:ascii="David" w:hAnsi="David"/>
          <w:rtl/>
        </w:rPr>
      </w:pPr>
      <w:r>
        <w:rPr>
          <w:rFonts w:ascii="David" w:hAnsi="David"/>
          <w:rtl/>
        </w:rPr>
        <w:tab/>
        <w:t xml:space="preserve">דרך המלך היא כי הענקה של סעד זמני, במיוחד כאשר מדובר </w:t>
      </w:r>
      <w:r w:rsidR="00076D7F">
        <w:rPr>
          <w:rFonts w:ascii="David" w:hAnsi="David"/>
          <w:rtl/>
        </w:rPr>
        <w:t>בעיכוב מימוש של נכס מקרקעין, תו</w:t>
      </w:r>
      <w:r w:rsidR="00076D7F">
        <w:rPr>
          <w:rFonts w:ascii="David" w:hAnsi="David" w:hint="cs"/>
          <w:rtl/>
        </w:rPr>
        <w:t>ת</w:t>
      </w:r>
      <w:r>
        <w:rPr>
          <w:rFonts w:ascii="David" w:hAnsi="David"/>
          <w:rtl/>
        </w:rPr>
        <w:t xml:space="preserve">נה בהפקדת ערובה, וכך אני רואה לנכון לנהוג בענייננו. </w:t>
      </w:r>
    </w:p>
    <w:p w:rsidR="00CF026D" w:rsidRDefault="00CF026D" w:rsidP="00C319EC">
      <w:pPr>
        <w:spacing w:line="360" w:lineRule="auto"/>
        <w:ind w:left="720" w:hanging="720"/>
        <w:jc w:val="both"/>
        <w:rPr>
          <w:rFonts w:ascii="David" w:hAnsi="David"/>
          <w:rtl/>
        </w:rPr>
      </w:pPr>
      <w:r>
        <w:rPr>
          <w:rFonts w:ascii="David" w:hAnsi="David"/>
          <w:rtl/>
        </w:rPr>
        <w:tab/>
      </w:r>
      <w:r w:rsidR="009B5782">
        <w:rPr>
          <w:rFonts w:ascii="David" w:hAnsi="David" w:hint="cs"/>
          <w:rtl/>
        </w:rPr>
        <w:t xml:space="preserve">יוער בהקשר זה, כי </w:t>
      </w:r>
      <w:r>
        <w:rPr>
          <w:rFonts w:ascii="David" w:hAnsi="David"/>
          <w:rtl/>
        </w:rPr>
        <w:t xml:space="preserve">לא נעלם מעיני פסק דינו של כב' השופט זילברטל בתיק ע.א. 7145/14 </w:t>
      </w:r>
      <w:r>
        <w:rPr>
          <w:rFonts w:ascii="David" w:hAnsi="David"/>
          <w:b/>
          <w:bCs/>
          <w:rtl/>
        </w:rPr>
        <w:t>משה פרייס נ' בנק אוצר החייל</w:t>
      </w:r>
      <w:r>
        <w:rPr>
          <w:rFonts w:ascii="David" w:hAnsi="David"/>
          <w:rtl/>
        </w:rPr>
        <w:t xml:space="preserve"> (12.11.2014). אני מוצאת כי פסק </w:t>
      </w:r>
      <w:r w:rsidR="00C319EC">
        <w:rPr>
          <w:rFonts w:ascii="David" w:hAnsi="David" w:hint="cs"/>
          <w:rtl/>
        </w:rPr>
        <w:t>ההחלטה שניתנה</w:t>
      </w:r>
      <w:r w:rsidR="00C319EC">
        <w:rPr>
          <w:rFonts w:ascii="David" w:hAnsi="David"/>
          <w:rtl/>
        </w:rPr>
        <w:t xml:space="preserve"> שם נכו</w:t>
      </w:r>
      <w:r w:rsidR="00C319EC">
        <w:rPr>
          <w:rFonts w:ascii="David" w:hAnsi="David" w:hint="cs"/>
          <w:rtl/>
        </w:rPr>
        <w:t>נה</w:t>
      </w:r>
      <w:r w:rsidR="00C319EC">
        <w:rPr>
          <w:rFonts w:ascii="David" w:hAnsi="David"/>
          <w:rtl/>
        </w:rPr>
        <w:t xml:space="preserve"> לנסיבותי</w:t>
      </w:r>
      <w:r w:rsidR="00C319EC">
        <w:rPr>
          <w:rFonts w:ascii="David" w:hAnsi="David" w:hint="cs"/>
          <w:rtl/>
        </w:rPr>
        <w:t>ה</w:t>
      </w:r>
      <w:r>
        <w:rPr>
          <w:rFonts w:ascii="David" w:hAnsi="David"/>
          <w:rtl/>
        </w:rPr>
        <w:t xml:space="preserve">, אולם בענייננו יש לקחת בחשבון </w:t>
      </w:r>
      <w:r w:rsidR="00C319EC">
        <w:rPr>
          <w:rFonts w:ascii="David" w:hAnsi="David" w:hint="cs"/>
          <w:rtl/>
        </w:rPr>
        <w:t xml:space="preserve">את מכלול הנסיבות, בין היתר </w:t>
      </w:r>
      <w:r w:rsidR="00C319EC">
        <w:rPr>
          <w:rFonts w:ascii="David" w:hAnsi="David"/>
          <w:rtl/>
        </w:rPr>
        <w:t xml:space="preserve">את החוב </w:t>
      </w:r>
      <w:r w:rsidR="00C319EC">
        <w:rPr>
          <w:rFonts w:ascii="David" w:hAnsi="David"/>
          <w:rtl/>
        </w:rPr>
        <w:lastRenderedPageBreak/>
        <w:t>התופח</w:t>
      </w:r>
      <w:r w:rsidR="00C319EC">
        <w:rPr>
          <w:rFonts w:ascii="David" w:hAnsi="David" w:hint="cs"/>
          <w:rtl/>
        </w:rPr>
        <w:t xml:space="preserve"> ו</w:t>
      </w:r>
      <w:r>
        <w:rPr>
          <w:rFonts w:ascii="David" w:hAnsi="David"/>
          <w:rtl/>
        </w:rPr>
        <w:t>את העובדה שמדובר בבית מגורים שהמבקש מייחס לו ערך ריגשי רב (עמ' 6 לפרוטוקול ש' 1</w:t>
      </w:r>
      <w:r w:rsidR="002C4E0A">
        <w:rPr>
          <w:rFonts w:ascii="David" w:hAnsi="David"/>
          <w:rtl/>
        </w:rPr>
        <w:t>0 – 11).  על כן, מסקנתי היא ש</w:t>
      </w:r>
      <w:r w:rsidR="002C4E0A">
        <w:rPr>
          <w:rFonts w:ascii="David" w:hAnsi="David" w:hint="cs"/>
          <w:rtl/>
        </w:rPr>
        <w:t>העמדת</w:t>
      </w:r>
      <w:r w:rsidR="002C4E0A">
        <w:rPr>
          <w:rFonts w:ascii="David" w:hAnsi="David"/>
          <w:rtl/>
        </w:rPr>
        <w:t xml:space="preserve"> הנכס לבדו אינ</w:t>
      </w:r>
      <w:r w:rsidR="002C4E0A">
        <w:rPr>
          <w:rFonts w:ascii="David" w:hAnsi="David" w:hint="cs"/>
          <w:rtl/>
        </w:rPr>
        <w:t>ה</w:t>
      </w:r>
      <w:r>
        <w:rPr>
          <w:rFonts w:ascii="David" w:hAnsi="David"/>
          <w:rtl/>
        </w:rPr>
        <w:t xml:space="preserve"> מספק</w:t>
      </w:r>
      <w:r w:rsidR="002C4E0A">
        <w:rPr>
          <w:rFonts w:ascii="David" w:hAnsi="David" w:hint="cs"/>
          <w:rtl/>
        </w:rPr>
        <w:t>ת</w:t>
      </w:r>
      <w:r>
        <w:rPr>
          <w:rFonts w:ascii="David" w:hAnsi="David"/>
          <w:rtl/>
        </w:rPr>
        <w:t xml:space="preserve"> ויש לצרף אליו ערובה כספית. </w:t>
      </w:r>
    </w:p>
    <w:p w:rsidR="00CF026D" w:rsidRDefault="00CF026D" w:rsidP="00CF026D">
      <w:pPr>
        <w:spacing w:line="360" w:lineRule="auto"/>
        <w:ind w:left="720" w:hanging="720"/>
        <w:jc w:val="both"/>
        <w:rPr>
          <w:rFonts w:ascii="David" w:hAnsi="David"/>
          <w:rtl/>
        </w:rPr>
      </w:pPr>
    </w:p>
    <w:p w:rsidR="00CF026D" w:rsidRDefault="00D2205F" w:rsidP="00CF026D">
      <w:pPr>
        <w:spacing w:line="360" w:lineRule="auto"/>
        <w:ind w:left="720" w:hanging="720"/>
        <w:jc w:val="both"/>
        <w:rPr>
          <w:rFonts w:ascii="David" w:hAnsi="David"/>
          <w:rtl/>
        </w:rPr>
      </w:pPr>
      <w:r>
        <w:rPr>
          <w:rFonts w:ascii="David" w:hAnsi="David" w:hint="cs"/>
          <w:rtl/>
        </w:rPr>
        <w:t>42</w:t>
      </w:r>
      <w:r w:rsidR="00CF026D">
        <w:rPr>
          <w:rFonts w:ascii="David" w:hAnsi="David"/>
          <w:rtl/>
        </w:rPr>
        <w:t>.</w:t>
      </w:r>
      <w:r w:rsidR="00CF026D">
        <w:rPr>
          <w:rFonts w:ascii="David" w:hAnsi="David"/>
          <w:rtl/>
        </w:rPr>
        <w:tab/>
        <w:t>מהו גובה הערובה שיש להשית במקרה זה?</w:t>
      </w:r>
    </w:p>
    <w:p w:rsidR="00CF026D" w:rsidRDefault="00CF026D" w:rsidP="00CF026D">
      <w:pPr>
        <w:spacing w:line="360" w:lineRule="auto"/>
        <w:ind w:left="720" w:hanging="720"/>
        <w:jc w:val="both"/>
        <w:rPr>
          <w:rFonts w:ascii="David" w:hAnsi="David"/>
          <w:rtl/>
        </w:rPr>
      </w:pPr>
      <w:r>
        <w:rPr>
          <w:rFonts w:ascii="David" w:hAnsi="David"/>
          <w:rtl/>
        </w:rPr>
        <w:tab/>
        <w:t>בפסיקה נקבעו פרמטרים שונים ביחס לגובה הערובה.</w:t>
      </w:r>
    </w:p>
    <w:p w:rsidR="00CF026D" w:rsidRDefault="00CF026D" w:rsidP="00CF026D">
      <w:pPr>
        <w:spacing w:line="360" w:lineRule="auto"/>
        <w:ind w:left="1440" w:hanging="720"/>
        <w:jc w:val="both"/>
        <w:rPr>
          <w:rFonts w:ascii="David" w:hAnsi="David"/>
          <w:rtl/>
        </w:rPr>
      </w:pPr>
      <w:r>
        <w:rPr>
          <w:rFonts w:ascii="David" w:hAnsi="David"/>
          <w:rtl/>
        </w:rPr>
        <w:t xml:space="preserve">ראו: </w:t>
      </w:r>
    </w:p>
    <w:p w:rsidR="00CF026D" w:rsidRPr="002C4E0A" w:rsidRDefault="00CF026D" w:rsidP="002C4E0A">
      <w:pPr>
        <w:spacing w:line="360" w:lineRule="auto"/>
        <w:ind w:left="720"/>
        <w:jc w:val="both"/>
        <w:rPr>
          <w:rFonts w:ascii="David" w:hAnsi="David"/>
          <w:rtl/>
        </w:rPr>
      </w:pPr>
      <w:r>
        <w:rPr>
          <w:rFonts w:ascii="David" w:hAnsi="David"/>
          <w:rtl/>
        </w:rPr>
        <w:t xml:space="preserve">רע"א 5780/10 </w:t>
      </w:r>
      <w:r>
        <w:rPr>
          <w:rFonts w:ascii="David" w:hAnsi="David"/>
          <w:b/>
          <w:bCs/>
          <w:rtl/>
        </w:rPr>
        <w:t>גרינשפון ואח' נ' בן הרוש</w:t>
      </w:r>
      <w:r>
        <w:rPr>
          <w:rFonts w:ascii="David" w:hAnsi="David"/>
          <w:rtl/>
        </w:rPr>
        <w:t>, דברי כב' השופט גרוסקופף (24.10.2019)</w:t>
      </w:r>
      <w:r w:rsidR="002C4E0A">
        <w:rPr>
          <w:rFonts w:ascii="David" w:hAnsi="David" w:hint="cs"/>
          <w:rtl/>
        </w:rPr>
        <w:t xml:space="preserve"> (להלן: </w:t>
      </w:r>
      <w:r w:rsidR="002C4E0A" w:rsidRPr="002C4E0A">
        <w:rPr>
          <w:rFonts w:ascii="David" w:hAnsi="David" w:hint="cs"/>
          <w:b/>
          <w:bCs/>
          <w:rtl/>
        </w:rPr>
        <w:t>"עניין גרינשפן"</w:t>
      </w:r>
      <w:r w:rsidR="002C4E0A">
        <w:rPr>
          <w:rFonts w:ascii="David" w:hAnsi="David" w:hint="cs"/>
          <w:rtl/>
        </w:rPr>
        <w:t>).</w:t>
      </w:r>
    </w:p>
    <w:p w:rsidR="00CF026D" w:rsidRDefault="00CF026D" w:rsidP="008A3164">
      <w:pPr>
        <w:spacing w:line="360" w:lineRule="auto"/>
        <w:ind w:left="720"/>
        <w:jc w:val="both"/>
        <w:rPr>
          <w:rFonts w:ascii="David" w:hAnsi="David"/>
          <w:rtl/>
        </w:rPr>
      </w:pPr>
      <w:r>
        <w:rPr>
          <w:rFonts w:ascii="David" w:hAnsi="David"/>
          <w:rtl/>
        </w:rPr>
        <w:t xml:space="preserve">רע"א 6805/20 </w:t>
      </w:r>
      <w:r>
        <w:rPr>
          <w:rFonts w:ascii="David" w:hAnsi="David"/>
          <w:b/>
          <w:bCs/>
          <w:rtl/>
        </w:rPr>
        <w:t>כהן נ' כהן ואח'</w:t>
      </w:r>
      <w:r>
        <w:rPr>
          <w:rFonts w:ascii="David" w:hAnsi="David"/>
          <w:rtl/>
        </w:rPr>
        <w:t>, דברי כב' השופט גרוסקופף (14.12.2020)</w:t>
      </w:r>
      <w:r w:rsidR="00FC2BDA">
        <w:rPr>
          <w:rFonts w:ascii="David" w:hAnsi="David" w:hint="cs"/>
          <w:rtl/>
        </w:rPr>
        <w:t xml:space="preserve"> (להלן: </w:t>
      </w:r>
      <w:r w:rsidR="00FC2BDA">
        <w:rPr>
          <w:rFonts w:ascii="David" w:hAnsi="David" w:hint="cs"/>
          <w:b/>
          <w:bCs/>
          <w:rtl/>
        </w:rPr>
        <w:t xml:space="preserve">"עניין </w:t>
      </w:r>
      <w:r w:rsidR="008A3164">
        <w:rPr>
          <w:rFonts w:ascii="David" w:hAnsi="David" w:hint="cs"/>
          <w:b/>
          <w:bCs/>
          <w:rtl/>
        </w:rPr>
        <w:t>כהן</w:t>
      </w:r>
      <w:r w:rsidR="00FC2BDA">
        <w:rPr>
          <w:rFonts w:ascii="David" w:hAnsi="David" w:hint="cs"/>
          <w:b/>
          <w:bCs/>
          <w:rtl/>
        </w:rPr>
        <w:t>"</w:t>
      </w:r>
      <w:r w:rsidR="00FC2BDA">
        <w:rPr>
          <w:rFonts w:ascii="David" w:hAnsi="David" w:hint="cs"/>
          <w:rtl/>
        </w:rPr>
        <w:t>)</w:t>
      </w:r>
      <w:r>
        <w:rPr>
          <w:rFonts w:ascii="David" w:hAnsi="David"/>
          <w:rtl/>
        </w:rPr>
        <w:t xml:space="preserve">. </w:t>
      </w:r>
    </w:p>
    <w:p w:rsidR="00CF026D" w:rsidRDefault="00CF026D" w:rsidP="00CF026D">
      <w:pPr>
        <w:spacing w:line="360" w:lineRule="auto"/>
        <w:ind w:left="720"/>
        <w:jc w:val="both"/>
        <w:rPr>
          <w:rFonts w:ascii="David" w:hAnsi="David"/>
          <w:rtl/>
        </w:rPr>
      </w:pPr>
      <w:r>
        <w:rPr>
          <w:rFonts w:ascii="David" w:hAnsi="David"/>
          <w:rtl/>
        </w:rPr>
        <w:t xml:space="preserve">רע"א 596/24 </w:t>
      </w:r>
      <w:r>
        <w:rPr>
          <w:rFonts w:ascii="David" w:hAnsi="David"/>
          <w:b/>
          <w:bCs/>
          <w:rtl/>
        </w:rPr>
        <w:t xml:space="preserve">בנייני ישר יורם קבלנים בע"מ ואח' נ' בנק דיסקונט לישראל בע"מ, </w:t>
      </w:r>
      <w:r>
        <w:rPr>
          <w:rFonts w:ascii="David" w:hAnsi="David"/>
          <w:rtl/>
        </w:rPr>
        <w:t>דברי כב' השופטת</w:t>
      </w:r>
      <w:r>
        <w:rPr>
          <w:rFonts w:ascii="David" w:hAnsi="David"/>
          <w:b/>
          <w:bCs/>
          <w:rtl/>
        </w:rPr>
        <w:t xml:space="preserve"> </w:t>
      </w:r>
      <w:r>
        <w:rPr>
          <w:rFonts w:ascii="David" w:hAnsi="David"/>
          <w:rtl/>
        </w:rPr>
        <w:t>כנפי-שטייניץ (8.2.2024)</w:t>
      </w:r>
      <w:r w:rsidR="008A3164">
        <w:rPr>
          <w:rFonts w:ascii="David" w:hAnsi="David" w:hint="cs"/>
          <w:rtl/>
        </w:rPr>
        <w:t xml:space="preserve"> (להלן: </w:t>
      </w:r>
      <w:r w:rsidR="008A3164">
        <w:rPr>
          <w:rFonts w:ascii="David" w:hAnsi="David" w:hint="cs"/>
          <w:b/>
          <w:bCs/>
          <w:rtl/>
        </w:rPr>
        <w:t>"עניין בנייני ישר"</w:t>
      </w:r>
      <w:r w:rsidR="009C68E6">
        <w:rPr>
          <w:rFonts w:ascii="David" w:hAnsi="David" w:hint="cs"/>
          <w:rtl/>
        </w:rPr>
        <w:t>)</w:t>
      </w:r>
      <w:r>
        <w:rPr>
          <w:rFonts w:ascii="David" w:hAnsi="David"/>
          <w:rtl/>
        </w:rPr>
        <w:t xml:space="preserve">. </w:t>
      </w:r>
    </w:p>
    <w:p w:rsidR="00CF026D" w:rsidRDefault="00CF026D" w:rsidP="00CF026D">
      <w:pPr>
        <w:spacing w:line="360" w:lineRule="auto"/>
        <w:ind w:left="720"/>
        <w:jc w:val="both"/>
        <w:rPr>
          <w:rFonts w:ascii="David" w:hAnsi="David"/>
          <w:rtl/>
        </w:rPr>
      </w:pPr>
    </w:p>
    <w:p w:rsidR="00CF026D" w:rsidRDefault="00D2205F" w:rsidP="002C4E0A">
      <w:pPr>
        <w:spacing w:line="360" w:lineRule="auto"/>
        <w:ind w:left="720" w:hanging="720"/>
        <w:jc w:val="both"/>
        <w:rPr>
          <w:rFonts w:ascii="David" w:hAnsi="David"/>
          <w:rtl/>
        </w:rPr>
      </w:pPr>
      <w:r>
        <w:rPr>
          <w:rFonts w:ascii="David" w:hAnsi="David" w:hint="cs"/>
          <w:rtl/>
        </w:rPr>
        <w:t>43</w:t>
      </w:r>
      <w:r w:rsidR="00CF026D">
        <w:rPr>
          <w:rFonts w:ascii="David" w:hAnsi="David"/>
          <w:rtl/>
        </w:rPr>
        <w:t>.</w:t>
      </w:r>
      <w:r w:rsidR="00CF026D">
        <w:rPr>
          <w:rFonts w:ascii="David" w:hAnsi="David"/>
          <w:rtl/>
        </w:rPr>
        <w:tab/>
      </w:r>
      <w:r w:rsidR="00CF026D" w:rsidRPr="009B5782">
        <w:rPr>
          <w:rFonts w:ascii="David" w:hAnsi="David"/>
          <w:rtl/>
        </w:rPr>
        <w:t>ב</w:t>
      </w:r>
      <w:r w:rsidR="00CF026D" w:rsidRPr="002C4E0A">
        <w:rPr>
          <w:rFonts w:ascii="David" w:hAnsi="David"/>
          <w:b/>
          <w:bCs/>
          <w:rtl/>
        </w:rPr>
        <w:t>עניין גרינשפון</w:t>
      </w:r>
      <w:r w:rsidR="00CF026D">
        <w:rPr>
          <w:rFonts w:ascii="David" w:hAnsi="David"/>
          <w:rtl/>
        </w:rPr>
        <w:t>, עמד כב' השופט גרוסקופף על ארבעה שיקולים אותם על בית המשפט לשקול, כאשר הוא מגיע למסקנה כי יש להתנות את הסעד הזמני בהפקדת ערובה</w:t>
      </w:r>
      <w:r w:rsidR="009B5782">
        <w:rPr>
          <w:rFonts w:ascii="David" w:hAnsi="David" w:hint="cs"/>
          <w:rtl/>
        </w:rPr>
        <w:t>, כדלקמן</w:t>
      </w:r>
      <w:r w:rsidR="00CF026D">
        <w:rPr>
          <w:rFonts w:ascii="David" w:hAnsi="David"/>
          <w:rtl/>
        </w:rPr>
        <w:t>:</w:t>
      </w:r>
    </w:p>
    <w:p w:rsidR="00CF026D" w:rsidRDefault="00CF026D" w:rsidP="00CF026D">
      <w:pPr>
        <w:spacing w:line="360" w:lineRule="auto"/>
        <w:ind w:left="720" w:hanging="720"/>
        <w:jc w:val="both"/>
        <w:rPr>
          <w:rFonts w:ascii="David" w:hAnsi="David"/>
          <w:rtl/>
        </w:rPr>
      </w:pPr>
    </w:p>
    <w:p w:rsidR="00CF026D" w:rsidRDefault="00CF026D" w:rsidP="00CF026D">
      <w:pPr>
        <w:spacing w:line="360" w:lineRule="auto"/>
        <w:ind w:left="1440" w:hanging="720"/>
        <w:jc w:val="both"/>
        <w:rPr>
          <w:rFonts w:ascii="David" w:hAnsi="David"/>
          <w:rtl/>
        </w:rPr>
      </w:pPr>
      <w:r>
        <w:rPr>
          <w:rFonts w:ascii="David" w:hAnsi="David"/>
          <w:rtl/>
        </w:rPr>
        <w:t>א.</w:t>
      </w:r>
      <w:r>
        <w:rPr>
          <w:rFonts w:ascii="David" w:hAnsi="David"/>
          <w:rtl/>
        </w:rPr>
        <w:tab/>
        <w:t>הבטחת מקור כספי לפיצוי המשיבה מפני הנזק שצפוי להיגרם בעקבות מתן הסעד הזמני אם יתברר בדיעבד כי הסעד לא היה מוצדק. זהו הנזק הפוטנציאלי.</w:t>
      </w:r>
    </w:p>
    <w:p w:rsidR="00CF026D" w:rsidRDefault="00CF026D" w:rsidP="00CF026D">
      <w:pPr>
        <w:spacing w:line="360" w:lineRule="auto"/>
        <w:ind w:left="1440" w:hanging="720"/>
        <w:jc w:val="both"/>
        <w:rPr>
          <w:rFonts w:ascii="David" w:hAnsi="David"/>
          <w:rtl/>
        </w:rPr>
      </w:pPr>
      <w:r>
        <w:rPr>
          <w:rFonts w:ascii="David" w:hAnsi="David"/>
          <w:rtl/>
        </w:rPr>
        <w:t>ב.</w:t>
      </w:r>
      <w:r>
        <w:rPr>
          <w:rFonts w:ascii="David" w:hAnsi="David"/>
          <w:rtl/>
        </w:rPr>
        <w:tab/>
        <w:t xml:space="preserve">יכולתו הכלכלית של מבקש הסעד הזמני, במטרה למנוע מצב בו תידחה הבקשה למתן סעד זמני וייסגרו שערי בית המשפט לפניו מחמת דלותו. </w:t>
      </w:r>
    </w:p>
    <w:p w:rsidR="00CF026D" w:rsidRDefault="00CF026D" w:rsidP="00CF026D">
      <w:pPr>
        <w:spacing w:line="360" w:lineRule="auto"/>
        <w:ind w:left="1440" w:hanging="720"/>
        <w:jc w:val="both"/>
        <w:rPr>
          <w:rFonts w:ascii="David" w:hAnsi="David"/>
          <w:rtl/>
        </w:rPr>
      </w:pPr>
      <w:r>
        <w:rPr>
          <w:rFonts w:ascii="David" w:hAnsi="David"/>
          <w:rtl/>
        </w:rPr>
        <w:t>ג.</w:t>
      </w:r>
      <w:r>
        <w:rPr>
          <w:rFonts w:ascii="David" w:hAnsi="David"/>
          <w:rtl/>
        </w:rPr>
        <w:tab/>
        <w:t>טיב הנזקים העשויים להיגרם לכל אחד מן הצדדים כתוצאה מגובה הערבות למבקש הסעד. הנזק שעשוי להיגרם מקביעת הערובה הכספית בסכום גבוה מכפי יכולתו ולמשיבה – מקביעת גובה הערובה מהסכום הנמוך מן הנזק הפוטנציאלי.</w:t>
      </w:r>
    </w:p>
    <w:p w:rsidR="00CF026D" w:rsidRDefault="00CF026D" w:rsidP="009B5782">
      <w:pPr>
        <w:spacing w:line="360" w:lineRule="auto"/>
        <w:ind w:left="1440" w:hanging="720"/>
        <w:jc w:val="both"/>
        <w:rPr>
          <w:rFonts w:ascii="David" w:hAnsi="David"/>
          <w:rtl/>
        </w:rPr>
      </w:pPr>
      <w:r>
        <w:rPr>
          <w:rFonts w:ascii="David" w:hAnsi="David"/>
          <w:rtl/>
        </w:rPr>
        <w:t>ד.</w:t>
      </w:r>
      <w:r>
        <w:rPr>
          <w:rFonts w:ascii="David" w:hAnsi="David"/>
          <w:rtl/>
        </w:rPr>
        <w:tab/>
        <w:t xml:space="preserve">קיומן של חלופות אחרות מכבידות פחות כגון ערבות צד ג' או בענייננו קיומו של נכס מקרקעין. </w:t>
      </w:r>
    </w:p>
    <w:p w:rsidR="00CF026D" w:rsidRDefault="00CF026D" w:rsidP="00CF026D">
      <w:pPr>
        <w:spacing w:line="360" w:lineRule="auto"/>
        <w:ind w:left="720"/>
        <w:jc w:val="both"/>
        <w:rPr>
          <w:rFonts w:ascii="David" w:hAnsi="David"/>
          <w:rtl/>
        </w:rPr>
      </w:pPr>
    </w:p>
    <w:p w:rsidR="00EB1139" w:rsidRDefault="00D2205F" w:rsidP="00EB1139">
      <w:pPr>
        <w:spacing w:line="360" w:lineRule="auto"/>
        <w:ind w:left="720" w:hanging="720"/>
        <w:jc w:val="both"/>
        <w:rPr>
          <w:rFonts w:ascii="David" w:hAnsi="David"/>
          <w:rtl/>
        </w:rPr>
      </w:pPr>
      <w:r>
        <w:rPr>
          <w:rFonts w:ascii="David" w:hAnsi="David" w:hint="cs"/>
          <w:rtl/>
        </w:rPr>
        <w:t>44</w:t>
      </w:r>
      <w:r w:rsidR="00CF026D">
        <w:rPr>
          <w:rFonts w:ascii="David" w:hAnsi="David"/>
          <w:rtl/>
        </w:rPr>
        <w:t>.</w:t>
      </w:r>
      <w:r w:rsidR="00CF026D">
        <w:rPr>
          <w:rFonts w:ascii="David" w:hAnsi="David"/>
          <w:rtl/>
        </w:rPr>
        <w:tab/>
        <w:t>ראש ההוצל"פ ראתה כאמור להתנות</w:t>
      </w:r>
      <w:r w:rsidR="004A6E9B">
        <w:rPr>
          <w:rFonts w:ascii="David" w:hAnsi="David" w:hint="cs"/>
          <w:rtl/>
        </w:rPr>
        <w:t xml:space="preserve"> את</w:t>
      </w:r>
      <w:r w:rsidR="00CF026D">
        <w:rPr>
          <w:rFonts w:ascii="David" w:hAnsi="David"/>
          <w:rtl/>
        </w:rPr>
        <w:t xml:space="preserve"> עיכוב הליכים בסכום של </w:t>
      </w:r>
      <w:r w:rsidR="004A6E9B">
        <w:rPr>
          <w:rFonts w:ascii="David" w:hAnsi="David" w:hint="cs"/>
          <w:rtl/>
        </w:rPr>
        <w:t>כ- 1.1 מיליון</w:t>
      </w:r>
      <w:r w:rsidR="004A6E9B">
        <w:rPr>
          <w:rFonts w:ascii="David" w:hAnsi="David"/>
          <w:rtl/>
        </w:rPr>
        <w:t xml:space="preserve"> ₪</w:t>
      </w:r>
      <w:r w:rsidR="004A6E9B">
        <w:rPr>
          <w:rFonts w:ascii="David" w:hAnsi="David" w:hint="cs"/>
          <w:rtl/>
        </w:rPr>
        <w:t>, אך כאמור סכום זה נוגע לתיק ההוצל"פ המתנהל נגד החייבת, גרושת המבקש. המבקש לא טען ולא התייחס כלל</w:t>
      </w:r>
      <w:r w:rsidR="00EB1139">
        <w:rPr>
          <w:rFonts w:ascii="David" w:hAnsi="David" w:hint="cs"/>
          <w:rtl/>
        </w:rPr>
        <w:t xml:space="preserve"> בתצהירו או בחקירתו</w:t>
      </w:r>
      <w:r w:rsidR="004A6E9B">
        <w:rPr>
          <w:rFonts w:ascii="David" w:hAnsi="David" w:hint="cs"/>
          <w:rtl/>
        </w:rPr>
        <w:t xml:space="preserve"> להחלטה זו והאם קיימת אפשרות או נכונות מצד</w:t>
      </w:r>
      <w:r w:rsidR="00EB1139">
        <w:rPr>
          <w:rFonts w:ascii="David" w:hAnsi="David" w:hint="cs"/>
          <w:rtl/>
        </w:rPr>
        <w:t xml:space="preserve">ו </w:t>
      </w:r>
      <w:r w:rsidR="00D6775F">
        <w:rPr>
          <w:rFonts w:ascii="David" w:hAnsi="David" w:hint="cs"/>
          <w:rtl/>
        </w:rPr>
        <w:t xml:space="preserve">(או מגרושתו, </w:t>
      </w:r>
      <w:r w:rsidR="00EB1139">
        <w:rPr>
          <w:rFonts w:ascii="David" w:hAnsi="David" w:hint="cs"/>
          <w:rtl/>
        </w:rPr>
        <w:t>ככל שהוא מצוי בקשר עמה מהבחינה הזאת</w:t>
      </w:r>
      <w:r w:rsidR="00CC43A7">
        <w:rPr>
          <w:rFonts w:ascii="David" w:hAnsi="David" w:hint="cs"/>
          <w:rtl/>
        </w:rPr>
        <w:t xml:space="preserve"> ומהו </w:t>
      </w:r>
      <w:r w:rsidR="00D6775F">
        <w:rPr>
          <w:rFonts w:ascii="David" w:hAnsi="David" w:hint="cs"/>
          <w:rtl/>
        </w:rPr>
        <w:t>טיב יחסיהם</w:t>
      </w:r>
      <w:r w:rsidR="00CC43A7">
        <w:rPr>
          <w:rFonts w:ascii="David" w:hAnsi="David" w:hint="cs"/>
          <w:rtl/>
        </w:rPr>
        <w:t xml:space="preserve"> כיום</w:t>
      </w:r>
      <w:r w:rsidR="00EB1139">
        <w:rPr>
          <w:rFonts w:ascii="David" w:hAnsi="David" w:hint="cs"/>
          <w:rtl/>
        </w:rPr>
        <w:t>)</w:t>
      </w:r>
      <w:r w:rsidR="00CF026D">
        <w:rPr>
          <w:rFonts w:ascii="David" w:hAnsi="David"/>
          <w:rtl/>
        </w:rPr>
        <w:t xml:space="preserve"> </w:t>
      </w:r>
      <w:r w:rsidR="00EB1139">
        <w:rPr>
          <w:rFonts w:ascii="David" w:hAnsi="David" w:hint="cs"/>
          <w:rtl/>
        </w:rPr>
        <w:t>ל</w:t>
      </w:r>
      <w:r w:rsidR="00DD146F">
        <w:rPr>
          <w:rFonts w:ascii="David" w:hAnsi="David" w:hint="cs"/>
          <w:rtl/>
        </w:rPr>
        <w:t>הפקיד סכום זה</w:t>
      </w:r>
      <w:r w:rsidR="00EB1139">
        <w:rPr>
          <w:rFonts w:ascii="David" w:hAnsi="David" w:hint="cs"/>
          <w:rtl/>
        </w:rPr>
        <w:t>.</w:t>
      </w:r>
    </w:p>
    <w:p w:rsidR="00DD146F" w:rsidRDefault="00CF026D" w:rsidP="004432A1">
      <w:pPr>
        <w:spacing w:line="360" w:lineRule="auto"/>
        <w:ind w:left="720"/>
        <w:jc w:val="both"/>
        <w:rPr>
          <w:rFonts w:ascii="David" w:hAnsi="David"/>
          <w:rtl/>
        </w:rPr>
      </w:pPr>
      <w:r>
        <w:rPr>
          <w:rFonts w:ascii="David" w:hAnsi="David"/>
          <w:rtl/>
        </w:rPr>
        <w:lastRenderedPageBreak/>
        <w:t xml:space="preserve">המבקש </w:t>
      </w:r>
      <w:r w:rsidR="00EB1139">
        <w:rPr>
          <w:rFonts w:ascii="David" w:hAnsi="David" w:hint="cs"/>
          <w:rtl/>
        </w:rPr>
        <w:t>גם לא טען וממילא לא הניח תשתית כלשהי להעדר יכולת כלכלית שלו</w:t>
      </w:r>
      <w:r w:rsidR="004432A1">
        <w:rPr>
          <w:rFonts w:ascii="David" w:hAnsi="David" w:hint="cs"/>
          <w:rtl/>
        </w:rPr>
        <w:t>.</w:t>
      </w:r>
      <w:r w:rsidR="00EB1139">
        <w:rPr>
          <w:rFonts w:ascii="David" w:hAnsi="David" w:hint="cs"/>
          <w:rtl/>
        </w:rPr>
        <w:t xml:space="preserve"> </w:t>
      </w:r>
      <w:r w:rsidR="004432A1">
        <w:rPr>
          <w:rFonts w:ascii="David" w:hAnsi="David" w:hint="cs"/>
          <w:rtl/>
        </w:rPr>
        <w:t>ב</w:t>
      </w:r>
      <w:r w:rsidR="00EB1139">
        <w:rPr>
          <w:rFonts w:ascii="David" w:hAnsi="David" w:hint="cs"/>
          <w:rtl/>
        </w:rPr>
        <w:t xml:space="preserve">כך </w:t>
      </w:r>
      <w:r w:rsidR="004432A1">
        <w:rPr>
          <w:rFonts w:ascii="David" w:hAnsi="David" w:hint="cs"/>
          <w:rtl/>
        </w:rPr>
        <w:t>נמנע המבקש מלספק</w:t>
      </w:r>
      <w:r w:rsidR="00EB1139">
        <w:rPr>
          <w:rFonts w:ascii="David" w:hAnsi="David" w:hint="cs"/>
          <w:rtl/>
        </w:rPr>
        <w:t xml:space="preserve"> </w:t>
      </w:r>
      <w:r w:rsidR="004432A1">
        <w:rPr>
          <w:rFonts w:ascii="David" w:hAnsi="David" w:hint="cs"/>
          <w:rtl/>
        </w:rPr>
        <w:t>ל</w:t>
      </w:r>
      <w:r w:rsidR="00EB1139">
        <w:rPr>
          <w:rFonts w:ascii="David" w:hAnsi="David" w:hint="cs"/>
          <w:rtl/>
        </w:rPr>
        <w:t>בית המשפט</w:t>
      </w:r>
      <w:r w:rsidR="00DD146F">
        <w:rPr>
          <w:rFonts w:ascii="David" w:hAnsi="David" w:hint="cs"/>
          <w:rtl/>
        </w:rPr>
        <w:t xml:space="preserve"> כלים אובייקטיביים</w:t>
      </w:r>
      <w:r w:rsidR="004432A1">
        <w:rPr>
          <w:rFonts w:ascii="David" w:hAnsi="David" w:hint="cs"/>
          <w:rtl/>
        </w:rPr>
        <w:t xml:space="preserve"> ונחוצים</w:t>
      </w:r>
      <w:r w:rsidR="00EB1139">
        <w:rPr>
          <w:rFonts w:ascii="David" w:hAnsi="David" w:hint="cs"/>
          <w:rtl/>
        </w:rPr>
        <w:t xml:space="preserve"> לבחון </w:t>
      </w:r>
      <w:r w:rsidR="005113F6">
        <w:rPr>
          <w:rFonts w:ascii="David" w:hAnsi="David" w:hint="cs"/>
          <w:rtl/>
        </w:rPr>
        <w:t xml:space="preserve">או למדוד </w:t>
      </w:r>
      <w:r w:rsidR="00EB1139">
        <w:rPr>
          <w:rFonts w:ascii="David" w:hAnsi="David" w:hint="cs"/>
          <w:rtl/>
        </w:rPr>
        <w:t>מהם משאביו ויכולותיו הכלכליו</w:t>
      </w:r>
      <w:r w:rsidR="00C110C0">
        <w:rPr>
          <w:rFonts w:ascii="David" w:hAnsi="David" w:hint="cs"/>
          <w:rtl/>
        </w:rPr>
        <w:t>ת</w:t>
      </w:r>
      <w:r w:rsidR="00D6775F">
        <w:rPr>
          <w:rFonts w:ascii="David" w:hAnsi="David" w:hint="cs"/>
          <w:rtl/>
        </w:rPr>
        <w:t xml:space="preserve"> להפקיד ערובה כספית</w:t>
      </w:r>
      <w:r w:rsidR="005113F6">
        <w:rPr>
          <w:rFonts w:ascii="David" w:hAnsi="David" w:hint="cs"/>
          <w:rtl/>
        </w:rPr>
        <w:t xml:space="preserve">. </w:t>
      </w:r>
    </w:p>
    <w:p w:rsidR="00DD146F" w:rsidRDefault="00D6775F" w:rsidP="00683FFB">
      <w:pPr>
        <w:spacing w:line="360" w:lineRule="auto"/>
        <w:ind w:left="720"/>
        <w:jc w:val="both"/>
        <w:rPr>
          <w:rFonts w:ascii="David" w:hAnsi="David"/>
          <w:rtl/>
        </w:rPr>
      </w:pPr>
      <w:r>
        <w:rPr>
          <w:rFonts w:ascii="David" w:hAnsi="David" w:hint="cs"/>
          <w:rtl/>
        </w:rPr>
        <w:t>לא למותר לציין</w:t>
      </w:r>
      <w:r w:rsidR="00DD146F">
        <w:rPr>
          <w:rFonts w:ascii="David" w:hAnsi="David" w:hint="cs"/>
          <w:rtl/>
        </w:rPr>
        <w:t>,</w:t>
      </w:r>
      <w:r>
        <w:rPr>
          <w:rFonts w:ascii="David" w:hAnsi="David" w:hint="cs"/>
          <w:rtl/>
        </w:rPr>
        <w:t xml:space="preserve"> כי</w:t>
      </w:r>
      <w:r w:rsidR="00DD146F">
        <w:rPr>
          <w:rFonts w:ascii="David" w:hAnsi="David" w:hint="cs"/>
          <w:rtl/>
        </w:rPr>
        <w:t xml:space="preserve"> </w:t>
      </w:r>
      <w:r w:rsidR="005113F6">
        <w:rPr>
          <w:rFonts w:ascii="David" w:hAnsi="David" w:hint="cs"/>
          <w:rtl/>
        </w:rPr>
        <w:t xml:space="preserve">כאשר המבקש טען בתצהירו בעניין הערובה וביקש לפטור אותו ממנה, הנימוק </w:t>
      </w:r>
      <w:r>
        <w:rPr>
          <w:rFonts w:ascii="David" w:hAnsi="David" w:hint="cs"/>
          <w:rtl/>
        </w:rPr>
        <w:t xml:space="preserve">שלאורו התבקש הפטור </w:t>
      </w:r>
      <w:r w:rsidR="005113F6">
        <w:rPr>
          <w:rFonts w:ascii="David" w:hAnsi="David" w:hint="cs"/>
          <w:rtl/>
        </w:rPr>
        <w:t xml:space="preserve">היה קצר ותמציתי עת הוא התמקד בעצם העמדת הנכס חלף ערובה, וכן בטענות לאי צדק שעלול להיגרם לו ולילדיו (סעיפים 58-61 לתצהיר המבקש). </w:t>
      </w:r>
      <w:r>
        <w:rPr>
          <w:rFonts w:ascii="David" w:hAnsi="David" w:hint="cs"/>
          <w:rtl/>
        </w:rPr>
        <w:t>המבקש היה מודע איפוא לאפשרות כי תוטל עליו ערובה כמצוות התקנות, אך אך בחר מצד אחד לגלות טפח (קיומו של הנכס), אך מצד שני כיסה</w:t>
      </w:r>
      <w:r w:rsidR="000D553E">
        <w:rPr>
          <w:rFonts w:ascii="David" w:hAnsi="David" w:hint="cs"/>
          <w:rtl/>
        </w:rPr>
        <w:t xml:space="preserve"> טפחיים (לא מסר כל מידע אודות יכולותיו הכלכליות).</w:t>
      </w:r>
    </w:p>
    <w:p w:rsidR="00AF7A1A" w:rsidRDefault="00AF7A1A" w:rsidP="001D702E">
      <w:pPr>
        <w:spacing w:line="360" w:lineRule="auto"/>
        <w:ind w:left="720"/>
        <w:jc w:val="both"/>
        <w:rPr>
          <w:rFonts w:ascii="David" w:hAnsi="David"/>
          <w:rtl/>
        </w:rPr>
      </w:pPr>
      <w:r>
        <w:rPr>
          <w:rFonts w:ascii="David" w:hAnsi="David" w:hint="cs"/>
          <w:rtl/>
        </w:rPr>
        <w:t xml:space="preserve">במאמר מוסגר יוער, כי דומה שעובדת מגורי המבקש בנכס ששוויו מוערך בסך של כ- </w:t>
      </w:r>
      <w:r w:rsidR="001D702E">
        <w:rPr>
          <w:rFonts w:ascii="David" w:hAnsi="David" w:hint="cs"/>
          <w:rtl/>
        </w:rPr>
        <w:t>16.5</w:t>
      </w:r>
      <w:r>
        <w:rPr>
          <w:rFonts w:ascii="David" w:hAnsi="David" w:hint="cs"/>
          <w:rtl/>
        </w:rPr>
        <w:t xml:space="preserve"> מיליון ₪, עשויה להעיד כשלעצמה על יכולות כלכליות לא מבוטלות של המבקש. שהרי העלות הכרוכה במגורים בנכס כזה, החל מתשלומי מיסי הארנונה ועד לתחזוקתו, היא גבוהה מאד. הדעת נותנת, כי רק אדם בעל ממון יכול להרשות לעצמו מגורים בנכס כזה.</w:t>
      </w:r>
    </w:p>
    <w:p w:rsidR="001D702E" w:rsidRDefault="001D702E" w:rsidP="001D702E">
      <w:pPr>
        <w:spacing w:line="360" w:lineRule="auto"/>
        <w:ind w:left="720"/>
        <w:jc w:val="both"/>
        <w:rPr>
          <w:rFonts w:ascii="David" w:hAnsi="David"/>
          <w:rtl/>
        </w:rPr>
      </w:pPr>
      <w:r>
        <w:rPr>
          <w:rFonts w:ascii="David" w:hAnsi="David" w:hint="cs"/>
          <w:rtl/>
        </w:rPr>
        <w:t>(אם כי המבקש צבר חוב ארנונה לעיריית הרצליה).</w:t>
      </w:r>
    </w:p>
    <w:p w:rsidR="00DD146F" w:rsidRDefault="005113F6" w:rsidP="000D553E">
      <w:pPr>
        <w:spacing w:line="360" w:lineRule="auto"/>
        <w:ind w:left="720"/>
        <w:jc w:val="both"/>
        <w:rPr>
          <w:rFonts w:ascii="David" w:hAnsi="David"/>
          <w:rtl/>
        </w:rPr>
      </w:pPr>
      <w:r>
        <w:rPr>
          <w:rFonts w:ascii="David" w:hAnsi="David" w:hint="cs"/>
          <w:rtl/>
        </w:rPr>
        <w:t>כמו כן, יוזכר כי טענות המבקש כ</w:t>
      </w:r>
      <w:r w:rsidR="00683FFB">
        <w:rPr>
          <w:rFonts w:ascii="David" w:hAnsi="David" w:hint="cs"/>
          <w:rtl/>
        </w:rPr>
        <w:t>נגד החוב הנ</w:t>
      </w:r>
      <w:r w:rsidR="000D553E">
        <w:rPr>
          <w:rFonts w:ascii="David" w:hAnsi="David" w:hint="cs"/>
          <w:rtl/>
        </w:rPr>
        <w:t xml:space="preserve">טען היא לעצם קיומו ועצם חוקיותו, ולא </w:t>
      </w:r>
      <w:r w:rsidR="00683FFB">
        <w:rPr>
          <w:rFonts w:ascii="David" w:hAnsi="David" w:hint="cs"/>
          <w:rtl/>
        </w:rPr>
        <w:t>לה</w:t>
      </w:r>
      <w:r w:rsidR="001D702E">
        <w:rPr>
          <w:rFonts w:ascii="David" w:hAnsi="David" w:hint="cs"/>
          <w:rtl/>
        </w:rPr>
        <w:t>עדר יכולת</w:t>
      </w:r>
      <w:r w:rsidR="000D553E">
        <w:rPr>
          <w:rFonts w:ascii="David" w:hAnsi="David" w:hint="cs"/>
          <w:rtl/>
        </w:rPr>
        <w:t>ו לפרוע אותו</w:t>
      </w:r>
      <w:r w:rsidR="00683FFB">
        <w:rPr>
          <w:rFonts w:ascii="David" w:hAnsi="David" w:hint="cs"/>
          <w:rtl/>
        </w:rPr>
        <w:t xml:space="preserve">. </w:t>
      </w:r>
      <w:r>
        <w:rPr>
          <w:rFonts w:ascii="David" w:hAnsi="David" w:hint="cs"/>
          <w:rtl/>
        </w:rPr>
        <w:t xml:space="preserve">בהקשר זה </w:t>
      </w:r>
      <w:r w:rsidR="00683FFB">
        <w:rPr>
          <w:rFonts w:ascii="David" w:hAnsi="David" w:hint="cs"/>
          <w:rtl/>
        </w:rPr>
        <w:t>ראיתי להפנות בשינויים המחויבים לפסיקת בית המשפט העליון בעניין מאזן הנוחות, שלפיה מקום שבו לא נטען כי מצב כלכלי אינו מאפשר לפרוע את החוב אלא נטען נגד עצם קיומו, אז</w:t>
      </w:r>
      <w:r w:rsidR="00DD146F">
        <w:rPr>
          <w:rFonts w:ascii="David" w:hAnsi="David" w:hint="cs"/>
          <w:rtl/>
        </w:rPr>
        <w:t>י</w:t>
      </w:r>
      <w:r w:rsidR="00683FFB">
        <w:rPr>
          <w:rFonts w:ascii="David" w:hAnsi="David" w:hint="cs"/>
          <w:rtl/>
        </w:rPr>
        <w:t xml:space="preserve"> אפשר כי מאז הנוחות לא ייטה לטובת מבקש הסעד הזמני (רע"א </w:t>
      </w:r>
      <w:r w:rsidR="00DD146F">
        <w:rPr>
          <w:rFonts w:ascii="David" w:hAnsi="David" w:hint="cs"/>
          <w:rtl/>
        </w:rPr>
        <w:t xml:space="preserve">4175/20 </w:t>
      </w:r>
      <w:r w:rsidR="00DD146F">
        <w:rPr>
          <w:rFonts w:ascii="David" w:hAnsi="David" w:hint="cs"/>
          <w:b/>
          <w:bCs/>
          <w:rtl/>
        </w:rPr>
        <w:t>עמותת מעלות התורה נ' רייכמאן</w:t>
      </w:r>
      <w:r w:rsidR="00DD146F">
        <w:rPr>
          <w:rFonts w:ascii="David" w:hAnsi="David" w:hint="cs"/>
          <w:rtl/>
        </w:rPr>
        <w:t>, פסקאות 16-17 (30.7.2020)).</w:t>
      </w:r>
    </w:p>
    <w:p w:rsidR="00CF026D" w:rsidRDefault="005113F6" w:rsidP="00683FFB">
      <w:pPr>
        <w:spacing w:line="360" w:lineRule="auto"/>
        <w:ind w:left="720"/>
        <w:jc w:val="both"/>
        <w:rPr>
          <w:rFonts w:ascii="David" w:hAnsi="David"/>
          <w:rtl/>
        </w:rPr>
      </w:pPr>
      <w:r>
        <w:rPr>
          <w:rFonts w:ascii="David" w:hAnsi="David" w:hint="cs"/>
          <w:rtl/>
        </w:rPr>
        <w:t xml:space="preserve"> </w:t>
      </w:r>
    </w:p>
    <w:p w:rsidR="00DD146F" w:rsidRDefault="00D2205F" w:rsidP="009D1A5D">
      <w:pPr>
        <w:spacing w:line="360" w:lineRule="auto"/>
        <w:ind w:left="720" w:hanging="720"/>
        <w:jc w:val="both"/>
        <w:rPr>
          <w:rFonts w:ascii="David" w:hAnsi="David"/>
          <w:rtl/>
        </w:rPr>
      </w:pPr>
      <w:r>
        <w:rPr>
          <w:rFonts w:ascii="David" w:hAnsi="David" w:hint="cs"/>
          <w:rtl/>
        </w:rPr>
        <w:t>45</w:t>
      </w:r>
      <w:r w:rsidR="00DD146F">
        <w:rPr>
          <w:rFonts w:ascii="David" w:hAnsi="David" w:hint="cs"/>
          <w:rtl/>
        </w:rPr>
        <w:t>.</w:t>
      </w:r>
      <w:r w:rsidR="00DD146F">
        <w:rPr>
          <w:rFonts w:ascii="David" w:hAnsi="David" w:hint="cs"/>
          <w:rtl/>
        </w:rPr>
        <w:tab/>
        <w:t>אמנם</w:t>
      </w:r>
      <w:r w:rsidR="001D702E">
        <w:rPr>
          <w:rFonts w:ascii="David" w:hAnsi="David" w:hint="cs"/>
          <w:rtl/>
        </w:rPr>
        <w:t>,</w:t>
      </w:r>
      <w:r w:rsidR="00DD146F">
        <w:rPr>
          <w:rFonts w:ascii="David" w:hAnsi="David" w:hint="cs"/>
          <w:rtl/>
        </w:rPr>
        <w:t xml:space="preserve"> </w:t>
      </w:r>
      <w:r w:rsidR="00CF026D">
        <w:rPr>
          <w:rFonts w:ascii="David" w:hAnsi="David"/>
          <w:rtl/>
        </w:rPr>
        <w:t>מנסח המקרקעין ומרשימת החובות שנמנו בתיק ה-ה.פ., נראה כי למבקש חובות נוספים</w:t>
      </w:r>
      <w:r w:rsidR="00DD146F">
        <w:rPr>
          <w:rFonts w:ascii="David" w:hAnsi="David" w:hint="cs"/>
          <w:rtl/>
        </w:rPr>
        <w:t>,</w:t>
      </w:r>
      <w:r w:rsidR="00CF026D">
        <w:rPr>
          <w:rFonts w:ascii="David" w:hAnsi="David"/>
          <w:rtl/>
        </w:rPr>
        <w:t xml:space="preserve"> לא רק למשיבה אלא גם לגורמים נוספים כגון עיריית תל-אביב, </w:t>
      </w:r>
      <w:r w:rsidR="00321DCD">
        <w:rPr>
          <w:rFonts w:ascii="David" w:hAnsi="David" w:hint="cs"/>
          <w:rtl/>
        </w:rPr>
        <w:t xml:space="preserve">עיריית הרצליה, </w:t>
      </w:r>
      <w:r w:rsidR="00CF026D">
        <w:rPr>
          <w:rFonts w:ascii="David" w:hAnsi="David"/>
          <w:rtl/>
        </w:rPr>
        <w:t>בנק מזרחי</w:t>
      </w:r>
      <w:r w:rsidR="00321DCD">
        <w:rPr>
          <w:rFonts w:ascii="David" w:hAnsi="David" w:hint="cs"/>
          <w:rtl/>
        </w:rPr>
        <w:t xml:space="preserve"> טפחות בע"מ</w:t>
      </w:r>
      <w:r w:rsidR="00CF026D">
        <w:rPr>
          <w:rFonts w:ascii="David" w:hAnsi="David"/>
          <w:rtl/>
        </w:rPr>
        <w:t xml:space="preserve">. </w:t>
      </w:r>
      <w:r w:rsidR="00DD146F">
        <w:rPr>
          <w:rFonts w:ascii="David" w:hAnsi="David" w:hint="cs"/>
          <w:rtl/>
        </w:rPr>
        <w:t xml:space="preserve">אך בכך לא די. מעבר לכך, אין לפני </w:t>
      </w:r>
      <w:r w:rsidR="009D1A5D">
        <w:rPr>
          <w:rFonts w:ascii="David" w:hAnsi="David" w:hint="cs"/>
          <w:rtl/>
        </w:rPr>
        <w:t xml:space="preserve">כאמור </w:t>
      </w:r>
      <w:r w:rsidR="00DD146F">
        <w:rPr>
          <w:rFonts w:ascii="David" w:hAnsi="David" w:hint="cs"/>
          <w:rtl/>
        </w:rPr>
        <w:t xml:space="preserve">נתונים מספיקים </w:t>
      </w:r>
      <w:r w:rsidR="009D1A5D">
        <w:rPr>
          <w:rFonts w:ascii="David" w:hAnsi="David" w:hint="cs"/>
          <w:rtl/>
        </w:rPr>
        <w:t xml:space="preserve">ומלאים </w:t>
      </w:r>
      <w:r w:rsidR="00DD146F">
        <w:rPr>
          <w:rFonts w:ascii="David" w:hAnsi="David" w:hint="cs"/>
          <w:rtl/>
        </w:rPr>
        <w:t>לקביעת יכולותיו ומשאביו של המבקש, וכאמור גם לא נטען</w:t>
      </w:r>
      <w:r w:rsidR="009D1A5D">
        <w:rPr>
          <w:rFonts w:ascii="David" w:hAnsi="David" w:hint="cs"/>
          <w:rtl/>
        </w:rPr>
        <w:t xml:space="preserve"> על ידו בתצהירו להעדר יכולת כזו</w:t>
      </w:r>
      <w:r w:rsidR="00DD146F">
        <w:rPr>
          <w:rFonts w:ascii="David" w:hAnsi="David" w:hint="cs"/>
          <w:rtl/>
        </w:rPr>
        <w:t>.</w:t>
      </w:r>
    </w:p>
    <w:p w:rsidR="00CF026D" w:rsidRDefault="00CF026D" w:rsidP="00DD146F">
      <w:pPr>
        <w:spacing w:line="360" w:lineRule="auto"/>
        <w:ind w:left="720" w:hanging="720"/>
        <w:jc w:val="both"/>
        <w:rPr>
          <w:rFonts w:ascii="David" w:hAnsi="David"/>
          <w:rtl/>
        </w:rPr>
      </w:pPr>
      <w:r>
        <w:rPr>
          <w:rFonts w:ascii="David" w:hAnsi="David"/>
          <w:rtl/>
        </w:rPr>
        <w:t xml:space="preserve"> </w:t>
      </w:r>
    </w:p>
    <w:p w:rsidR="00CF026D" w:rsidRDefault="00D2205F" w:rsidP="00CF026D">
      <w:pPr>
        <w:spacing w:line="360" w:lineRule="auto"/>
        <w:ind w:left="720" w:hanging="720"/>
        <w:jc w:val="both"/>
        <w:rPr>
          <w:rFonts w:ascii="David" w:hAnsi="David"/>
          <w:rtl/>
        </w:rPr>
      </w:pPr>
      <w:r>
        <w:rPr>
          <w:rFonts w:ascii="David" w:hAnsi="David" w:hint="cs"/>
          <w:rtl/>
        </w:rPr>
        <w:t>46</w:t>
      </w:r>
      <w:r w:rsidR="00CF026D">
        <w:rPr>
          <w:rFonts w:ascii="David" w:hAnsi="David"/>
          <w:rtl/>
        </w:rPr>
        <w:t>.</w:t>
      </w:r>
      <w:r w:rsidR="00CF026D">
        <w:rPr>
          <w:rFonts w:ascii="David" w:hAnsi="David"/>
          <w:rtl/>
        </w:rPr>
        <w:tab/>
        <w:t xml:space="preserve">מנגד, אין לזנוח את זכויותיה של המבקשת שהעניקה הלוואה במסמכים חתומים ע"י המבקש וטוענת לנזק פוטנציאלי בו סכום ההלוואה יתפח במרוצת תקופת עיכוב ההליכים, באופן שיקשה עוד יותר את גביית סכום ההלוואה מן המבקש ומאורלי. </w:t>
      </w:r>
    </w:p>
    <w:p w:rsidR="00CF026D" w:rsidRDefault="00CF026D" w:rsidP="00CF026D">
      <w:pPr>
        <w:spacing w:line="360" w:lineRule="auto"/>
        <w:ind w:left="720" w:hanging="720"/>
        <w:jc w:val="both"/>
        <w:rPr>
          <w:rFonts w:ascii="David" w:hAnsi="David"/>
          <w:rtl/>
        </w:rPr>
      </w:pPr>
    </w:p>
    <w:p w:rsidR="00B5032E" w:rsidRDefault="00D2205F" w:rsidP="00CF026D">
      <w:pPr>
        <w:spacing w:line="360" w:lineRule="auto"/>
        <w:ind w:left="720" w:hanging="720"/>
        <w:jc w:val="both"/>
        <w:rPr>
          <w:rFonts w:ascii="David" w:hAnsi="David"/>
          <w:rtl/>
        </w:rPr>
      </w:pPr>
      <w:r>
        <w:rPr>
          <w:rFonts w:ascii="David" w:hAnsi="David" w:hint="cs"/>
          <w:rtl/>
        </w:rPr>
        <w:t>47</w:t>
      </w:r>
      <w:r w:rsidR="00CF026D">
        <w:rPr>
          <w:rFonts w:ascii="David" w:hAnsi="David"/>
          <w:rtl/>
        </w:rPr>
        <w:t>.</w:t>
      </w:r>
      <w:r w:rsidR="00CF026D">
        <w:rPr>
          <w:rFonts w:ascii="David" w:hAnsi="David"/>
          <w:rtl/>
        </w:rPr>
        <w:tab/>
      </w:r>
      <w:r w:rsidR="00B5032E">
        <w:rPr>
          <w:rFonts w:ascii="David" w:hAnsi="David" w:hint="cs"/>
          <w:rtl/>
        </w:rPr>
        <w:t xml:space="preserve">במכלול הדברים, אני סבורה כי יש מקום לקביעת סכום ערובה משמעותי כתנאי לכניסתו לתוקף של עיכוב ההליכים. </w:t>
      </w:r>
    </w:p>
    <w:p w:rsidR="00CF026D" w:rsidRDefault="002847FB" w:rsidP="00B5032E">
      <w:pPr>
        <w:spacing w:line="360" w:lineRule="auto"/>
        <w:ind w:left="720"/>
        <w:jc w:val="both"/>
        <w:rPr>
          <w:rFonts w:ascii="David" w:hAnsi="David"/>
          <w:rtl/>
        </w:rPr>
      </w:pPr>
      <w:r>
        <w:rPr>
          <w:rFonts w:ascii="David" w:hAnsi="David" w:hint="cs"/>
          <w:rtl/>
        </w:rPr>
        <w:lastRenderedPageBreak/>
        <w:t xml:space="preserve">כבסיס לחישוב גובה הערובה, </w:t>
      </w:r>
      <w:r w:rsidR="00CF026D">
        <w:rPr>
          <w:rFonts w:ascii="David" w:hAnsi="David"/>
          <w:rtl/>
        </w:rPr>
        <w:t xml:space="preserve">אני רואה לנכון להחיל את הפרמטר החשבונאי </w:t>
      </w:r>
      <w:r w:rsidR="00B5032E">
        <w:rPr>
          <w:rFonts w:ascii="David" w:hAnsi="David" w:hint="cs"/>
          <w:rtl/>
        </w:rPr>
        <w:t>שנקבע על ידי כב' השופט גרוסקופף ב</w:t>
      </w:r>
      <w:r w:rsidR="00B5032E">
        <w:rPr>
          <w:rFonts w:ascii="David" w:hAnsi="David" w:hint="cs"/>
          <w:b/>
          <w:bCs/>
          <w:rtl/>
        </w:rPr>
        <w:t>עניין גרינשפן</w:t>
      </w:r>
      <w:r w:rsidR="00B5032E">
        <w:rPr>
          <w:rFonts w:ascii="David" w:hAnsi="David" w:hint="cs"/>
          <w:rtl/>
        </w:rPr>
        <w:t>, כדלקמן</w:t>
      </w:r>
      <w:r>
        <w:rPr>
          <w:rFonts w:ascii="David" w:hAnsi="David" w:hint="cs"/>
          <w:rtl/>
        </w:rPr>
        <w:t>:</w:t>
      </w:r>
    </w:p>
    <w:p w:rsidR="009D1A5D" w:rsidRDefault="009D1A5D" w:rsidP="00B5032E">
      <w:pPr>
        <w:spacing w:line="360" w:lineRule="auto"/>
        <w:ind w:left="720"/>
        <w:jc w:val="both"/>
        <w:rPr>
          <w:rFonts w:ascii="David" w:hAnsi="David"/>
          <w:rtl/>
        </w:rPr>
      </w:pPr>
    </w:p>
    <w:p w:rsidR="00CF026D" w:rsidRDefault="00CF026D" w:rsidP="009D1A5D">
      <w:pPr>
        <w:spacing w:line="360" w:lineRule="auto"/>
        <w:ind w:left="720" w:hanging="720"/>
        <w:jc w:val="both"/>
        <w:rPr>
          <w:rFonts w:ascii="David" w:hAnsi="David"/>
          <w:rtl/>
        </w:rPr>
      </w:pPr>
      <w:r>
        <w:rPr>
          <w:rFonts w:ascii="David" w:hAnsi="David"/>
          <w:rtl/>
        </w:rPr>
        <w:tab/>
        <w:t>יש לקחת בחשבון את ש</w:t>
      </w:r>
      <w:r w:rsidR="009D1A5D">
        <w:rPr>
          <w:rFonts w:ascii="David" w:hAnsi="David" w:hint="cs"/>
          <w:rtl/>
        </w:rPr>
        <w:t>ו</w:t>
      </w:r>
      <w:r>
        <w:rPr>
          <w:rFonts w:ascii="David" w:hAnsi="David"/>
          <w:rtl/>
        </w:rPr>
        <w:t>ויו המשוער של בית המגורים</w:t>
      </w:r>
      <w:r w:rsidR="002847FB">
        <w:rPr>
          <w:rFonts w:ascii="David" w:hAnsi="David" w:hint="cs"/>
          <w:rtl/>
        </w:rPr>
        <w:t xml:space="preserve"> </w:t>
      </w:r>
      <w:r w:rsidR="009D1A5D">
        <w:rPr>
          <w:rFonts w:ascii="David" w:hAnsi="David" w:hint="cs"/>
          <w:rtl/>
        </w:rPr>
        <w:t>ולגזור</w:t>
      </w:r>
      <w:r w:rsidR="002847FB">
        <w:rPr>
          <w:rFonts w:ascii="David" w:hAnsi="David" w:hint="cs"/>
          <w:rtl/>
        </w:rPr>
        <w:t xml:space="preserve"> ממנו את גובה שכר הדירה</w:t>
      </w:r>
      <w:r w:rsidR="009D1A5D">
        <w:rPr>
          <w:rFonts w:ascii="David" w:hAnsi="David" w:hint="cs"/>
          <w:rtl/>
        </w:rPr>
        <w:t xml:space="preserve"> כאומדן לצורך ק</w:t>
      </w:r>
      <w:r w:rsidR="002847FB">
        <w:rPr>
          <w:rFonts w:ascii="David" w:hAnsi="David" w:hint="cs"/>
          <w:rtl/>
        </w:rPr>
        <w:t>ביעת שיעור הנזק הצפוי למשיב</w:t>
      </w:r>
      <w:r w:rsidR="009D1A5D">
        <w:rPr>
          <w:rFonts w:ascii="David" w:hAnsi="David" w:hint="cs"/>
          <w:rtl/>
        </w:rPr>
        <w:t xml:space="preserve">, </w:t>
      </w:r>
      <w:r>
        <w:rPr>
          <w:rFonts w:ascii="David" w:hAnsi="David"/>
          <w:rtl/>
        </w:rPr>
        <w:t xml:space="preserve">את סכום החוב ואת משך הזמן שבו צפוי ההליך להתקיים. </w:t>
      </w:r>
    </w:p>
    <w:p w:rsidR="00CF026D" w:rsidRDefault="00CF026D" w:rsidP="008B5A23">
      <w:pPr>
        <w:spacing w:line="360" w:lineRule="auto"/>
        <w:ind w:left="720" w:hanging="720"/>
        <w:jc w:val="both"/>
        <w:rPr>
          <w:rFonts w:ascii="David" w:hAnsi="David"/>
          <w:rtl/>
        </w:rPr>
      </w:pPr>
      <w:r>
        <w:rPr>
          <w:rFonts w:ascii="David" w:hAnsi="David"/>
          <w:rtl/>
        </w:rPr>
        <w:tab/>
      </w:r>
      <w:r w:rsidR="00B5032E">
        <w:rPr>
          <w:rFonts w:ascii="David" w:hAnsi="David" w:hint="cs"/>
          <w:rtl/>
        </w:rPr>
        <w:t xml:space="preserve">כב' השופט גרוסקופף </w:t>
      </w:r>
      <w:r w:rsidR="009D1A5D">
        <w:rPr>
          <w:rFonts w:ascii="David" w:hAnsi="David" w:hint="cs"/>
          <w:rtl/>
        </w:rPr>
        <w:t>סבר</w:t>
      </w:r>
      <w:r w:rsidR="002847FB">
        <w:rPr>
          <w:rFonts w:ascii="David" w:hAnsi="David" w:hint="cs"/>
          <w:rtl/>
        </w:rPr>
        <w:t xml:space="preserve"> כי יש לפלח משווי הנכס </w:t>
      </w:r>
      <w:r>
        <w:rPr>
          <w:rFonts w:ascii="David" w:hAnsi="David"/>
          <w:rtl/>
        </w:rPr>
        <w:t>שלושה אחוז</w:t>
      </w:r>
      <w:r w:rsidR="00FC2BDA">
        <w:rPr>
          <w:rFonts w:ascii="David" w:hAnsi="David" w:hint="cs"/>
          <w:rtl/>
        </w:rPr>
        <w:t>ים כדמי שכירות שנתיים,</w:t>
      </w:r>
      <w:r>
        <w:rPr>
          <w:rFonts w:ascii="David" w:hAnsi="David"/>
          <w:rtl/>
        </w:rPr>
        <w:t xml:space="preserve"> תוך התחשבות </w:t>
      </w:r>
      <w:r w:rsidR="008B5A23">
        <w:rPr>
          <w:rFonts w:ascii="David" w:hAnsi="David"/>
          <w:rtl/>
        </w:rPr>
        <w:t xml:space="preserve">במשך זמן </w:t>
      </w:r>
      <w:r w:rsidR="008B5A23">
        <w:rPr>
          <w:rFonts w:ascii="David" w:hAnsi="David" w:hint="cs"/>
          <w:rtl/>
        </w:rPr>
        <w:t>מ</w:t>
      </w:r>
      <w:r>
        <w:rPr>
          <w:rFonts w:ascii="David" w:hAnsi="David"/>
          <w:rtl/>
        </w:rPr>
        <w:t xml:space="preserve">מוצע </w:t>
      </w:r>
      <w:r w:rsidR="008B5A23">
        <w:rPr>
          <w:rFonts w:ascii="David" w:hAnsi="David" w:hint="cs"/>
          <w:rtl/>
        </w:rPr>
        <w:t>של שנה וחצי בו התיק שנדון לפניו יהיה תלוי ועומד</w:t>
      </w:r>
      <w:r>
        <w:rPr>
          <w:rFonts w:ascii="David" w:hAnsi="David"/>
          <w:rtl/>
        </w:rPr>
        <w:t xml:space="preserve">. </w:t>
      </w:r>
    </w:p>
    <w:p w:rsidR="008B5A23" w:rsidRDefault="00CF026D" w:rsidP="008A3164">
      <w:pPr>
        <w:spacing w:line="360" w:lineRule="auto"/>
        <w:ind w:left="720" w:hanging="720"/>
        <w:jc w:val="both"/>
        <w:rPr>
          <w:rFonts w:ascii="David" w:hAnsi="David"/>
          <w:rtl/>
        </w:rPr>
      </w:pPr>
      <w:r>
        <w:rPr>
          <w:rFonts w:ascii="David" w:hAnsi="David"/>
          <w:rtl/>
        </w:rPr>
        <w:tab/>
      </w:r>
    </w:p>
    <w:p w:rsidR="00CF026D" w:rsidRDefault="00CF026D" w:rsidP="00273C75">
      <w:pPr>
        <w:spacing w:line="360" w:lineRule="auto"/>
        <w:ind w:left="720"/>
        <w:jc w:val="both"/>
        <w:rPr>
          <w:rFonts w:ascii="David" w:hAnsi="David"/>
          <w:rtl/>
        </w:rPr>
      </w:pPr>
      <w:r>
        <w:rPr>
          <w:rFonts w:ascii="David" w:hAnsi="David"/>
          <w:rtl/>
        </w:rPr>
        <w:t>בענייננו, בשים לב לשווי הנכס</w:t>
      </w:r>
      <w:r w:rsidR="00FC2BDA">
        <w:rPr>
          <w:rFonts w:ascii="David" w:hAnsi="David" w:hint="cs"/>
          <w:rtl/>
        </w:rPr>
        <w:t xml:space="preserve"> הנטען,</w:t>
      </w:r>
      <w:r>
        <w:rPr>
          <w:rFonts w:ascii="David" w:hAnsi="David"/>
          <w:rtl/>
        </w:rPr>
        <w:t xml:space="preserve"> 16.5 מיליון ₪, אני סבורה כי ניתן להסתפק אפילו בפילוח של שני אחוז</w:t>
      </w:r>
      <w:r w:rsidR="00FC2BDA">
        <w:rPr>
          <w:rFonts w:ascii="David" w:hAnsi="David" w:hint="cs"/>
          <w:rtl/>
        </w:rPr>
        <w:t>ים לשנה</w:t>
      </w:r>
      <w:r>
        <w:rPr>
          <w:rFonts w:ascii="David" w:hAnsi="David"/>
          <w:rtl/>
        </w:rPr>
        <w:t xml:space="preserve">, דהיינו 330,000 ₪. </w:t>
      </w:r>
      <w:r w:rsidR="008B5A23">
        <w:rPr>
          <w:rFonts w:ascii="David" w:hAnsi="David" w:hint="cs"/>
          <w:rtl/>
        </w:rPr>
        <w:t xml:space="preserve">אשר לאורך חיי התיק, אני סבורה כי הערכה זהירה תעמיד את </w:t>
      </w:r>
      <w:r w:rsidR="00273C75">
        <w:rPr>
          <w:rFonts w:ascii="David" w:hAnsi="David" w:hint="cs"/>
          <w:rtl/>
        </w:rPr>
        <w:t xml:space="preserve">משך הזמן המשוער </w:t>
      </w:r>
      <w:r w:rsidR="008B5A23">
        <w:rPr>
          <w:rFonts w:ascii="David" w:hAnsi="David" w:hint="cs"/>
          <w:rtl/>
        </w:rPr>
        <w:t>על</w:t>
      </w:r>
      <w:r w:rsidR="008B5A23">
        <w:rPr>
          <w:rFonts w:ascii="David" w:hAnsi="David"/>
          <w:rtl/>
        </w:rPr>
        <w:t xml:space="preserve"> </w:t>
      </w:r>
      <w:r>
        <w:rPr>
          <w:rFonts w:ascii="David" w:hAnsi="David"/>
          <w:rtl/>
        </w:rPr>
        <w:t xml:space="preserve">שלוש שנים לערך, </w:t>
      </w:r>
      <w:r w:rsidR="008A3164">
        <w:rPr>
          <w:rFonts w:ascii="David" w:hAnsi="David" w:hint="cs"/>
          <w:rtl/>
        </w:rPr>
        <w:t>בהינתן כי</w:t>
      </w:r>
      <w:r w:rsidR="00FC2BDA">
        <w:rPr>
          <w:rFonts w:ascii="David" w:hAnsi="David" w:hint="cs"/>
          <w:rtl/>
        </w:rPr>
        <w:t xml:space="preserve"> עסקינן בתיק אזרחי</w:t>
      </w:r>
      <w:r w:rsidR="008B5A23">
        <w:rPr>
          <w:rFonts w:ascii="David" w:hAnsi="David" w:hint="cs"/>
          <w:rtl/>
        </w:rPr>
        <w:t>. כך נגיע</w:t>
      </w:r>
      <w:r w:rsidR="00FC2BDA">
        <w:rPr>
          <w:rFonts w:ascii="David" w:hAnsi="David" w:hint="cs"/>
          <w:rtl/>
        </w:rPr>
        <w:t xml:space="preserve"> </w:t>
      </w:r>
      <w:r w:rsidR="00FC2BDA">
        <w:rPr>
          <w:rFonts w:ascii="David" w:hAnsi="David"/>
          <w:rtl/>
        </w:rPr>
        <w:t>לסכום של כ- 990,000 ₪</w:t>
      </w:r>
      <w:r>
        <w:rPr>
          <w:rFonts w:ascii="David" w:hAnsi="David"/>
          <w:rtl/>
        </w:rPr>
        <w:t>.</w:t>
      </w:r>
    </w:p>
    <w:p w:rsidR="00D10494" w:rsidRDefault="00CF026D" w:rsidP="00FC2BDA">
      <w:pPr>
        <w:spacing w:line="360" w:lineRule="auto"/>
        <w:ind w:left="720" w:hanging="720"/>
        <w:jc w:val="both"/>
        <w:rPr>
          <w:rFonts w:ascii="David" w:hAnsi="David"/>
          <w:rtl/>
        </w:rPr>
      </w:pPr>
      <w:r>
        <w:rPr>
          <w:rFonts w:ascii="David" w:hAnsi="David"/>
          <w:rtl/>
        </w:rPr>
        <w:tab/>
      </w:r>
    </w:p>
    <w:p w:rsidR="00FC2BDA" w:rsidRDefault="00D2205F" w:rsidP="008B5A23">
      <w:pPr>
        <w:spacing w:line="360" w:lineRule="auto"/>
        <w:ind w:left="720" w:hanging="720"/>
        <w:jc w:val="both"/>
        <w:rPr>
          <w:rFonts w:ascii="David" w:hAnsi="David"/>
          <w:rtl/>
        </w:rPr>
      </w:pPr>
      <w:r>
        <w:rPr>
          <w:rFonts w:ascii="David" w:hAnsi="David" w:hint="cs"/>
          <w:rtl/>
        </w:rPr>
        <w:t>48</w:t>
      </w:r>
      <w:r w:rsidR="00D10494">
        <w:rPr>
          <w:rFonts w:ascii="David" w:hAnsi="David" w:hint="cs"/>
          <w:rtl/>
        </w:rPr>
        <w:t>.</w:t>
      </w:r>
      <w:r w:rsidR="00D10494">
        <w:rPr>
          <w:rFonts w:ascii="David" w:hAnsi="David" w:hint="cs"/>
          <w:rtl/>
        </w:rPr>
        <w:tab/>
      </w:r>
      <w:r w:rsidR="00CF026D">
        <w:rPr>
          <w:rFonts w:ascii="David" w:hAnsi="David"/>
          <w:rtl/>
        </w:rPr>
        <w:t xml:space="preserve">יחד עם זאת, </w:t>
      </w:r>
      <w:r w:rsidR="008B5A23">
        <w:rPr>
          <w:rFonts w:ascii="David" w:hAnsi="David" w:hint="cs"/>
          <w:rtl/>
        </w:rPr>
        <w:t>ראיתי להפחית מסכום זה, בעיקר בשל</w:t>
      </w:r>
      <w:r w:rsidR="008B5A23">
        <w:rPr>
          <w:rFonts w:ascii="David" w:hAnsi="David"/>
          <w:rtl/>
        </w:rPr>
        <w:t xml:space="preserve"> </w:t>
      </w:r>
      <w:r w:rsidR="00CF026D">
        <w:rPr>
          <w:rFonts w:ascii="David" w:hAnsi="David"/>
          <w:rtl/>
        </w:rPr>
        <w:t>שני פרמטרים</w:t>
      </w:r>
      <w:r w:rsidR="00FC2BDA">
        <w:rPr>
          <w:rFonts w:ascii="David" w:hAnsi="David" w:hint="cs"/>
          <w:rtl/>
        </w:rPr>
        <w:t>:</w:t>
      </w:r>
    </w:p>
    <w:p w:rsidR="00CF026D" w:rsidRDefault="00CF026D" w:rsidP="001861D3">
      <w:pPr>
        <w:spacing w:line="360" w:lineRule="auto"/>
        <w:ind w:left="720" w:hanging="720"/>
        <w:jc w:val="both"/>
        <w:rPr>
          <w:rFonts w:ascii="David" w:hAnsi="David"/>
          <w:rtl/>
        </w:rPr>
      </w:pPr>
      <w:r>
        <w:rPr>
          <w:rFonts w:ascii="David" w:hAnsi="David"/>
          <w:rtl/>
        </w:rPr>
        <w:t xml:space="preserve"> </w:t>
      </w:r>
      <w:r w:rsidR="00FC2BDA">
        <w:rPr>
          <w:rFonts w:ascii="David" w:hAnsi="David"/>
          <w:rtl/>
        </w:rPr>
        <w:tab/>
      </w:r>
      <w:r>
        <w:rPr>
          <w:rFonts w:ascii="David" w:hAnsi="David"/>
          <w:rtl/>
        </w:rPr>
        <w:t xml:space="preserve">ראשית - העדר יכולת </w:t>
      </w:r>
      <w:r w:rsidR="00FC2BDA">
        <w:rPr>
          <w:rFonts w:ascii="David" w:hAnsi="David" w:hint="cs"/>
          <w:rtl/>
        </w:rPr>
        <w:t>לקבוע מהן יכולותיו הכספיות של המבקש, בהעדר נתונים שסופקו על ידו.</w:t>
      </w:r>
      <w:r>
        <w:rPr>
          <w:rFonts w:ascii="David" w:hAnsi="David"/>
          <w:rtl/>
        </w:rPr>
        <w:t xml:space="preserve"> </w:t>
      </w:r>
      <w:r w:rsidR="00C110C0">
        <w:rPr>
          <w:rFonts w:ascii="David" w:hAnsi="David" w:hint="cs"/>
          <w:rtl/>
        </w:rPr>
        <w:t xml:space="preserve">אמנם מחדל זה אמור לפעול לרעתו של המבקש, שכן העדר שקיפות בדבר מצבו הכלכלי עשויה ללמד </w:t>
      </w:r>
      <w:r w:rsidR="008B5A23">
        <w:rPr>
          <w:rFonts w:ascii="David" w:hAnsi="David" w:hint="cs"/>
          <w:rtl/>
        </w:rPr>
        <w:t xml:space="preserve">דווקא </w:t>
      </w:r>
      <w:r w:rsidR="00C110C0">
        <w:rPr>
          <w:rFonts w:ascii="David" w:hAnsi="David" w:hint="cs"/>
          <w:rtl/>
        </w:rPr>
        <w:t>כי המבקש אינו מעוניין לחשוף נתונים אלה, שכן הדבר יפעל לרעתו בכל הנוגע לבקשה דנן. יחד עם זאת,</w:t>
      </w:r>
      <w:r w:rsidR="00FE595E">
        <w:rPr>
          <w:rFonts w:ascii="David" w:hAnsi="David" w:hint="cs"/>
          <w:rtl/>
        </w:rPr>
        <w:t xml:space="preserve"> יש להתחשב בזכות הגישה לערכאות </w:t>
      </w:r>
      <w:r w:rsidR="004432A1">
        <w:rPr>
          <w:rFonts w:ascii="David" w:hAnsi="David" w:hint="cs"/>
          <w:rtl/>
        </w:rPr>
        <w:t xml:space="preserve">של המבקש </w:t>
      </w:r>
      <w:r w:rsidR="00C110C0">
        <w:rPr>
          <w:rFonts w:ascii="David" w:hAnsi="David" w:hint="cs"/>
          <w:rtl/>
        </w:rPr>
        <w:t>ובצורך</w:t>
      </w:r>
      <w:r w:rsidR="004432A1">
        <w:rPr>
          <w:rFonts w:ascii="David" w:hAnsi="David" w:hint="cs"/>
          <w:rtl/>
        </w:rPr>
        <w:t xml:space="preserve"> לאזן זכות זו על ידי קביעת ערובה שאינה גבוהה </w:t>
      </w:r>
      <w:r w:rsidR="008B5A23">
        <w:rPr>
          <w:rFonts w:ascii="David" w:hAnsi="David" w:hint="cs"/>
          <w:rtl/>
        </w:rPr>
        <w:t>יתר על המידה</w:t>
      </w:r>
      <w:r w:rsidR="00D10494">
        <w:rPr>
          <w:rFonts w:ascii="David" w:hAnsi="David" w:hint="cs"/>
          <w:rtl/>
        </w:rPr>
        <w:t>.</w:t>
      </w:r>
    </w:p>
    <w:p w:rsidR="00CF026D" w:rsidRDefault="00CF026D" w:rsidP="001861D3">
      <w:pPr>
        <w:spacing w:line="360" w:lineRule="auto"/>
        <w:ind w:left="720" w:hanging="720"/>
        <w:jc w:val="both"/>
        <w:rPr>
          <w:rFonts w:ascii="David" w:hAnsi="David"/>
          <w:rtl/>
        </w:rPr>
      </w:pPr>
      <w:r>
        <w:rPr>
          <w:rFonts w:ascii="David" w:hAnsi="David"/>
          <w:rtl/>
        </w:rPr>
        <w:tab/>
        <w:t>שנית</w:t>
      </w:r>
      <w:r w:rsidR="00FC2BDA">
        <w:rPr>
          <w:rFonts w:ascii="David" w:hAnsi="David" w:hint="cs"/>
          <w:rtl/>
        </w:rPr>
        <w:t xml:space="preserve"> </w:t>
      </w:r>
      <w:r>
        <w:rPr>
          <w:rFonts w:ascii="David" w:hAnsi="David"/>
          <w:rtl/>
        </w:rPr>
        <w:t>- היקף הנזק המש</w:t>
      </w:r>
      <w:r w:rsidR="001861D3">
        <w:rPr>
          <w:rFonts w:ascii="David" w:hAnsi="David"/>
          <w:rtl/>
        </w:rPr>
        <w:t>וער המוערך שייגרם למשיבה אם ה</w:t>
      </w:r>
      <w:r w:rsidR="001861D3">
        <w:rPr>
          <w:rFonts w:ascii="David" w:hAnsi="David" w:hint="cs"/>
          <w:rtl/>
        </w:rPr>
        <w:t>מימוש אכן יעוכב עד להכרעה בתיק</w:t>
      </w:r>
      <w:r>
        <w:rPr>
          <w:rFonts w:ascii="David" w:hAnsi="David"/>
          <w:rtl/>
        </w:rPr>
        <w:t>. קשה להניח כי גם נוכח הריבית הנטענת, הסכום יתפח מארבעה מיליון ₪ של פתיחת תיק הה</w:t>
      </w:r>
      <w:r w:rsidR="001861D3">
        <w:rPr>
          <w:rFonts w:ascii="David" w:hAnsi="David"/>
          <w:rtl/>
        </w:rPr>
        <w:t>וצל"פ במיליון ₪ למשך שלוש שנים.</w:t>
      </w:r>
      <w:r>
        <w:rPr>
          <w:rFonts w:ascii="David" w:hAnsi="David"/>
          <w:rtl/>
        </w:rPr>
        <w:t xml:space="preserve"> בית המשפט </w:t>
      </w:r>
      <w:r w:rsidR="008A3164">
        <w:rPr>
          <w:rFonts w:ascii="David" w:hAnsi="David"/>
          <w:rtl/>
        </w:rPr>
        <w:t>היטיב להדגיש פרמטרים אלה</w:t>
      </w:r>
      <w:r w:rsidR="001861D3">
        <w:rPr>
          <w:rFonts w:ascii="David" w:hAnsi="David" w:hint="cs"/>
          <w:rtl/>
        </w:rPr>
        <w:t xml:space="preserve"> גם</w:t>
      </w:r>
      <w:r w:rsidR="008A3164">
        <w:rPr>
          <w:rFonts w:ascii="David" w:hAnsi="David"/>
          <w:rtl/>
        </w:rPr>
        <w:t xml:space="preserve"> ב</w:t>
      </w:r>
      <w:r w:rsidR="008A3164">
        <w:rPr>
          <w:rFonts w:ascii="David" w:hAnsi="David" w:hint="cs"/>
          <w:b/>
          <w:bCs/>
          <w:rtl/>
        </w:rPr>
        <w:t>עניין כהן</w:t>
      </w:r>
      <w:r>
        <w:rPr>
          <w:rFonts w:ascii="David" w:hAnsi="David"/>
          <w:rtl/>
        </w:rPr>
        <w:t xml:space="preserve">. </w:t>
      </w:r>
    </w:p>
    <w:p w:rsidR="00CF026D" w:rsidRDefault="00CF026D" w:rsidP="008A3164">
      <w:pPr>
        <w:spacing w:line="360" w:lineRule="auto"/>
        <w:ind w:left="720"/>
        <w:jc w:val="both"/>
        <w:rPr>
          <w:rFonts w:ascii="David" w:hAnsi="David"/>
          <w:rtl/>
        </w:rPr>
      </w:pPr>
      <w:r>
        <w:rPr>
          <w:rFonts w:ascii="David" w:hAnsi="David"/>
          <w:rtl/>
        </w:rPr>
        <w:t xml:space="preserve">על כן, אני מוצאת כי העמדת </w:t>
      </w:r>
      <w:r w:rsidR="008A3164">
        <w:rPr>
          <w:rFonts w:ascii="David" w:hAnsi="David" w:hint="cs"/>
          <w:rtl/>
        </w:rPr>
        <w:t>סכום הערובה</w:t>
      </w:r>
      <w:r>
        <w:rPr>
          <w:rFonts w:ascii="David" w:hAnsi="David"/>
          <w:rtl/>
        </w:rPr>
        <w:t xml:space="preserve"> על מחצית מן הסכום המתקבל כתוצאה </w:t>
      </w:r>
      <w:r w:rsidR="008A3164">
        <w:rPr>
          <w:rFonts w:ascii="David" w:hAnsi="David" w:hint="cs"/>
          <w:rtl/>
        </w:rPr>
        <w:t>מהתחשיב הנ"ל, דהיינו</w:t>
      </w:r>
      <w:r>
        <w:rPr>
          <w:rFonts w:ascii="David" w:hAnsi="David"/>
          <w:rtl/>
        </w:rPr>
        <w:t xml:space="preserve"> חצי מיליון ₪ - מספקת</w:t>
      </w:r>
      <w:r w:rsidR="008A3164">
        <w:rPr>
          <w:rFonts w:ascii="David" w:hAnsi="David" w:hint="cs"/>
          <w:rtl/>
        </w:rPr>
        <w:t xml:space="preserve"> בנסיבות העניין</w:t>
      </w:r>
      <w:r>
        <w:rPr>
          <w:rFonts w:ascii="David" w:hAnsi="David"/>
          <w:rtl/>
        </w:rPr>
        <w:t xml:space="preserve">. </w:t>
      </w:r>
    </w:p>
    <w:p w:rsidR="00CF026D" w:rsidRDefault="00CF026D" w:rsidP="00CF026D">
      <w:pPr>
        <w:spacing w:line="360" w:lineRule="auto"/>
        <w:ind w:left="720"/>
        <w:jc w:val="both"/>
        <w:rPr>
          <w:rFonts w:ascii="David" w:hAnsi="David"/>
          <w:rtl/>
        </w:rPr>
      </w:pPr>
      <w:r>
        <w:rPr>
          <w:rFonts w:ascii="David" w:hAnsi="David"/>
          <w:rtl/>
        </w:rPr>
        <w:tab/>
      </w:r>
    </w:p>
    <w:p w:rsidR="00FE595E" w:rsidRDefault="00D2205F" w:rsidP="001861D3">
      <w:pPr>
        <w:spacing w:line="360" w:lineRule="auto"/>
        <w:ind w:left="720" w:hanging="720"/>
        <w:jc w:val="both"/>
        <w:rPr>
          <w:rFonts w:ascii="David" w:hAnsi="David"/>
          <w:rtl/>
        </w:rPr>
      </w:pPr>
      <w:r>
        <w:rPr>
          <w:rFonts w:ascii="David" w:hAnsi="David" w:hint="cs"/>
          <w:rtl/>
        </w:rPr>
        <w:t>49</w:t>
      </w:r>
      <w:r w:rsidR="00CF026D">
        <w:rPr>
          <w:rFonts w:ascii="David" w:hAnsi="David"/>
          <w:rtl/>
        </w:rPr>
        <w:t>.</w:t>
      </w:r>
      <w:r w:rsidR="00CF026D">
        <w:rPr>
          <w:rFonts w:ascii="David" w:hAnsi="David"/>
          <w:rtl/>
        </w:rPr>
        <w:tab/>
      </w:r>
      <w:r w:rsidR="001861D3">
        <w:rPr>
          <w:rFonts w:ascii="David" w:hAnsi="David" w:hint="cs"/>
          <w:rtl/>
        </w:rPr>
        <w:t>למען שלמות התמונה</w:t>
      </w:r>
      <w:r w:rsidR="00CF026D">
        <w:rPr>
          <w:rFonts w:ascii="David" w:hAnsi="David"/>
          <w:rtl/>
        </w:rPr>
        <w:t xml:space="preserve">, </w:t>
      </w:r>
      <w:r w:rsidR="001861D3">
        <w:rPr>
          <w:rFonts w:ascii="David" w:hAnsi="David" w:hint="cs"/>
          <w:rtl/>
        </w:rPr>
        <w:t xml:space="preserve">יצוין כי </w:t>
      </w:r>
      <w:r w:rsidR="001861D3">
        <w:rPr>
          <w:rFonts w:ascii="David" w:hAnsi="David"/>
          <w:rtl/>
        </w:rPr>
        <w:t xml:space="preserve">אם יאמר המבקש </w:t>
      </w:r>
      <w:r w:rsidR="001861D3">
        <w:rPr>
          <w:rFonts w:ascii="David" w:hAnsi="David" w:hint="cs"/>
          <w:rtl/>
        </w:rPr>
        <w:t>ש</w:t>
      </w:r>
      <w:r w:rsidR="00CF026D">
        <w:rPr>
          <w:rFonts w:ascii="David" w:hAnsi="David"/>
          <w:rtl/>
        </w:rPr>
        <w:t>גם סכום</w:t>
      </w:r>
      <w:r w:rsidR="001861D3">
        <w:rPr>
          <w:rFonts w:ascii="David" w:hAnsi="David" w:hint="cs"/>
          <w:rtl/>
        </w:rPr>
        <w:t xml:space="preserve"> ערובה</w:t>
      </w:r>
      <w:r w:rsidR="00CF026D">
        <w:rPr>
          <w:rFonts w:ascii="David" w:hAnsi="David"/>
          <w:rtl/>
        </w:rPr>
        <w:t xml:space="preserve"> של חצי מיליון </w:t>
      </w:r>
      <w:r w:rsidR="001861D3">
        <w:rPr>
          <w:rFonts w:ascii="David" w:hAnsi="David" w:hint="cs"/>
          <w:rtl/>
        </w:rPr>
        <w:t xml:space="preserve">הוא </w:t>
      </w:r>
      <w:r w:rsidR="00CF026D">
        <w:rPr>
          <w:rFonts w:ascii="David" w:hAnsi="David"/>
          <w:rtl/>
        </w:rPr>
        <w:t xml:space="preserve">למעלה מן הנדרש, אין לי אלא להפנות </w:t>
      </w:r>
      <w:r w:rsidR="009C68E6">
        <w:rPr>
          <w:rFonts w:ascii="David" w:hAnsi="David" w:hint="cs"/>
          <w:rtl/>
        </w:rPr>
        <w:t>לקביעת</w:t>
      </w:r>
      <w:r w:rsidR="00CF026D">
        <w:rPr>
          <w:rFonts w:ascii="David" w:hAnsi="David"/>
          <w:rtl/>
        </w:rPr>
        <w:t xml:space="preserve"> כב' השופטת כנפי-שטייניץ </w:t>
      </w:r>
      <w:r w:rsidR="009C68E6">
        <w:rPr>
          <w:rFonts w:ascii="David" w:hAnsi="David" w:hint="cs"/>
          <w:rtl/>
        </w:rPr>
        <w:t>ב</w:t>
      </w:r>
      <w:r w:rsidR="009C68E6">
        <w:rPr>
          <w:rFonts w:ascii="David" w:hAnsi="David" w:hint="cs"/>
          <w:b/>
          <w:bCs/>
          <w:rtl/>
        </w:rPr>
        <w:t>עניין</w:t>
      </w:r>
      <w:r w:rsidR="00CF026D">
        <w:rPr>
          <w:rFonts w:ascii="David" w:hAnsi="David"/>
          <w:rtl/>
        </w:rPr>
        <w:t xml:space="preserve"> </w:t>
      </w:r>
      <w:r w:rsidR="00CF026D" w:rsidRPr="009C68E6">
        <w:rPr>
          <w:rFonts w:ascii="David" w:hAnsi="David"/>
          <w:b/>
          <w:bCs/>
          <w:rtl/>
        </w:rPr>
        <w:t>בנייני ישר</w:t>
      </w:r>
      <w:r w:rsidR="009C68E6">
        <w:rPr>
          <w:rFonts w:ascii="David" w:hAnsi="David" w:hint="cs"/>
          <w:rtl/>
        </w:rPr>
        <w:t>, שם אושררה ערובה על סך 300,000 ₪, בנסיבות שבהן שווי בית המגורים</w:t>
      </w:r>
      <w:r w:rsidR="00FE595E">
        <w:rPr>
          <w:rFonts w:ascii="David" w:hAnsi="David" w:hint="cs"/>
          <w:rtl/>
        </w:rPr>
        <w:t xml:space="preserve"> נושא צו עיכוב ההליכים שניתן</w:t>
      </w:r>
      <w:r w:rsidR="001861D3">
        <w:rPr>
          <w:rFonts w:ascii="David" w:hAnsi="David" w:hint="cs"/>
          <w:rtl/>
        </w:rPr>
        <w:t>,</w:t>
      </w:r>
      <w:r w:rsidR="009C68E6">
        <w:rPr>
          <w:rFonts w:ascii="David" w:hAnsi="David" w:hint="cs"/>
          <w:rtl/>
        </w:rPr>
        <w:t xml:space="preserve"> הוערך ב- 7 מיליון </w:t>
      </w:r>
      <w:r w:rsidR="001861D3">
        <w:rPr>
          <w:rFonts w:ascii="David" w:hAnsi="David" w:hint="cs"/>
          <w:rtl/>
        </w:rPr>
        <w:t xml:space="preserve">₪ בלבד </w:t>
      </w:r>
      <w:r w:rsidR="001861D3">
        <w:rPr>
          <w:rFonts w:ascii="David" w:hAnsi="David"/>
          <w:rtl/>
        </w:rPr>
        <w:t>–</w:t>
      </w:r>
      <w:r w:rsidR="001861D3">
        <w:rPr>
          <w:rFonts w:ascii="David" w:hAnsi="David" w:hint="cs"/>
          <w:rtl/>
        </w:rPr>
        <w:t xml:space="preserve"> שווי נמוך ממחצית הסכום של הנכס בענייננו</w:t>
      </w:r>
      <w:r w:rsidR="00CF026D">
        <w:rPr>
          <w:rFonts w:ascii="David" w:hAnsi="David"/>
          <w:rtl/>
        </w:rPr>
        <w:t xml:space="preserve">.  </w:t>
      </w:r>
    </w:p>
    <w:p w:rsidR="00FE595E" w:rsidRDefault="00FE595E" w:rsidP="00FE595E">
      <w:pPr>
        <w:spacing w:line="360" w:lineRule="auto"/>
        <w:ind w:left="720" w:hanging="720"/>
        <w:jc w:val="both"/>
        <w:rPr>
          <w:rFonts w:ascii="David" w:hAnsi="David"/>
          <w:rtl/>
        </w:rPr>
      </w:pPr>
    </w:p>
    <w:p w:rsidR="00CF026D" w:rsidRDefault="00D2205F" w:rsidP="00FE595E">
      <w:pPr>
        <w:spacing w:line="360" w:lineRule="auto"/>
        <w:ind w:left="720" w:hanging="720"/>
        <w:jc w:val="both"/>
        <w:rPr>
          <w:rFonts w:ascii="David" w:hAnsi="David"/>
          <w:rtl/>
        </w:rPr>
      </w:pPr>
      <w:r>
        <w:rPr>
          <w:rFonts w:ascii="David" w:hAnsi="David" w:hint="cs"/>
          <w:rtl/>
        </w:rPr>
        <w:lastRenderedPageBreak/>
        <w:t>50</w:t>
      </w:r>
      <w:r w:rsidR="00FE595E">
        <w:rPr>
          <w:rFonts w:ascii="David" w:hAnsi="David" w:hint="cs"/>
          <w:rtl/>
        </w:rPr>
        <w:t>.</w:t>
      </w:r>
      <w:r w:rsidR="00FE595E">
        <w:rPr>
          <w:rFonts w:ascii="David" w:hAnsi="David" w:hint="cs"/>
          <w:rtl/>
        </w:rPr>
        <w:tab/>
        <w:t xml:space="preserve">בטרם אחתום ואסכם החלטה זו, ראיתי לציין כי </w:t>
      </w:r>
      <w:r w:rsidR="00CF026D">
        <w:rPr>
          <w:rFonts w:ascii="David" w:hAnsi="David"/>
          <w:rtl/>
        </w:rPr>
        <w:t xml:space="preserve">עצם קבלת הבקשה לעיכוב הליכי הוצאה לפועל בנסיבות ענייננו, מהווה כשלעצמה התחשבות משמעותית </w:t>
      </w:r>
      <w:r w:rsidR="001861D3">
        <w:rPr>
          <w:rFonts w:ascii="David" w:hAnsi="David" w:hint="cs"/>
          <w:rtl/>
        </w:rPr>
        <w:t xml:space="preserve">בנסיבות ענייננו, </w:t>
      </w:r>
      <w:r w:rsidR="00CF026D">
        <w:rPr>
          <w:rFonts w:ascii="David" w:hAnsi="David"/>
          <w:rtl/>
        </w:rPr>
        <w:t xml:space="preserve">ולא אוסיף. </w:t>
      </w:r>
    </w:p>
    <w:p w:rsidR="00CF026D" w:rsidRDefault="00CF026D" w:rsidP="00CF026D">
      <w:pPr>
        <w:spacing w:line="360" w:lineRule="auto"/>
        <w:ind w:left="720" w:hanging="720"/>
        <w:jc w:val="both"/>
        <w:rPr>
          <w:rFonts w:ascii="David" w:hAnsi="David"/>
          <w:rtl/>
        </w:rPr>
      </w:pPr>
    </w:p>
    <w:p w:rsidR="00CF026D" w:rsidRDefault="00CF026D" w:rsidP="00CF026D">
      <w:pPr>
        <w:spacing w:line="360" w:lineRule="auto"/>
        <w:ind w:left="720" w:hanging="720"/>
        <w:jc w:val="both"/>
        <w:rPr>
          <w:rFonts w:ascii="David" w:hAnsi="David"/>
          <w:b/>
          <w:bCs/>
          <w:sz w:val="26"/>
          <w:szCs w:val="26"/>
          <w:u w:val="single"/>
          <w:rtl/>
        </w:rPr>
      </w:pPr>
      <w:r>
        <w:rPr>
          <w:rFonts w:ascii="David" w:hAnsi="David"/>
          <w:b/>
          <w:bCs/>
          <w:sz w:val="26"/>
          <w:szCs w:val="26"/>
          <w:u w:val="single"/>
          <w:rtl/>
        </w:rPr>
        <w:t>סיכום:</w:t>
      </w:r>
    </w:p>
    <w:p w:rsidR="00CF026D" w:rsidRDefault="00CF026D" w:rsidP="00CF026D">
      <w:pPr>
        <w:spacing w:line="360" w:lineRule="auto"/>
        <w:ind w:left="720" w:hanging="720"/>
        <w:jc w:val="both"/>
        <w:rPr>
          <w:rFonts w:ascii="David" w:hAnsi="David"/>
          <w:b/>
          <w:bCs/>
          <w:sz w:val="26"/>
          <w:szCs w:val="26"/>
          <w:u w:val="single"/>
          <w:rtl/>
        </w:rPr>
      </w:pPr>
    </w:p>
    <w:p w:rsidR="00CF026D" w:rsidRDefault="00D2205F" w:rsidP="00CF026D">
      <w:pPr>
        <w:spacing w:line="360" w:lineRule="auto"/>
        <w:ind w:left="720" w:hanging="720"/>
        <w:jc w:val="both"/>
        <w:rPr>
          <w:rFonts w:ascii="David" w:hAnsi="David"/>
          <w:rtl/>
        </w:rPr>
      </w:pPr>
      <w:r>
        <w:rPr>
          <w:rFonts w:ascii="David" w:hAnsi="David" w:hint="cs"/>
          <w:rtl/>
        </w:rPr>
        <w:t>51</w:t>
      </w:r>
      <w:r w:rsidR="00CF026D">
        <w:rPr>
          <w:rFonts w:ascii="David" w:hAnsi="David"/>
          <w:rtl/>
        </w:rPr>
        <w:t>.</w:t>
      </w:r>
      <w:r w:rsidR="00CF026D">
        <w:rPr>
          <w:rFonts w:ascii="David" w:hAnsi="David"/>
          <w:rtl/>
        </w:rPr>
        <w:tab/>
        <w:t>מן המקובץ לעיל, אני קובעת כדלקמן:</w:t>
      </w:r>
    </w:p>
    <w:p w:rsidR="00CF026D" w:rsidRDefault="00CF026D" w:rsidP="00CF026D">
      <w:pPr>
        <w:spacing w:line="360" w:lineRule="auto"/>
        <w:ind w:left="720" w:hanging="720"/>
        <w:jc w:val="both"/>
        <w:rPr>
          <w:rFonts w:ascii="David" w:hAnsi="David"/>
          <w:rtl/>
        </w:rPr>
      </w:pPr>
    </w:p>
    <w:p w:rsidR="00CF026D" w:rsidRDefault="00CF026D" w:rsidP="00CF026D">
      <w:pPr>
        <w:spacing w:line="360" w:lineRule="auto"/>
        <w:ind w:left="720" w:hanging="720"/>
        <w:jc w:val="both"/>
        <w:rPr>
          <w:rFonts w:ascii="David" w:hAnsi="David"/>
          <w:rtl/>
        </w:rPr>
      </w:pPr>
    </w:p>
    <w:p w:rsidR="00CF026D" w:rsidRDefault="00CF026D" w:rsidP="00CF026D">
      <w:pPr>
        <w:pStyle w:val="ae"/>
        <w:numPr>
          <w:ilvl w:val="0"/>
          <w:numId w:val="1"/>
        </w:numPr>
        <w:spacing w:line="360" w:lineRule="auto"/>
        <w:jc w:val="both"/>
        <w:rPr>
          <w:rFonts w:ascii="David" w:hAnsi="David"/>
        </w:rPr>
      </w:pPr>
      <w:r>
        <w:rPr>
          <w:rFonts w:ascii="David" w:hAnsi="David"/>
          <w:rtl/>
        </w:rPr>
        <w:t>הבקשה לעיכוב הליכי הוצאה לפועל מתקבל</w:t>
      </w:r>
      <w:r w:rsidR="00FE595E">
        <w:rPr>
          <w:rFonts w:ascii="David" w:hAnsi="David" w:hint="cs"/>
          <w:rtl/>
        </w:rPr>
        <w:t>ת</w:t>
      </w:r>
      <w:r w:rsidR="00273C75">
        <w:rPr>
          <w:rFonts w:ascii="David" w:hAnsi="David"/>
          <w:rtl/>
        </w:rPr>
        <w:t xml:space="preserve"> משיקול</w:t>
      </w:r>
      <w:r>
        <w:rPr>
          <w:rFonts w:ascii="David" w:hAnsi="David"/>
          <w:rtl/>
        </w:rPr>
        <w:t>י מאזן הנוחות ומחמת שיש לאפשר למבקש להוכיח את תביעתו</w:t>
      </w:r>
      <w:r w:rsidR="00FE595E">
        <w:rPr>
          <w:rFonts w:ascii="David" w:hAnsi="David" w:hint="cs"/>
          <w:rtl/>
        </w:rPr>
        <w:t>, כמפורט וכמנומק לעיל</w:t>
      </w:r>
      <w:r>
        <w:rPr>
          <w:rFonts w:ascii="David" w:hAnsi="David"/>
          <w:rtl/>
        </w:rPr>
        <w:t xml:space="preserve">. </w:t>
      </w:r>
    </w:p>
    <w:p w:rsidR="00D50738" w:rsidRPr="00D50738" w:rsidRDefault="00D50738" w:rsidP="00D50738">
      <w:pPr>
        <w:spacing w:line="360" w:lineRule="auto"/>
        <w:jc w:val="both"/>
        <w:rPr>
          <w:rFonts w:ascii="David" w:hAnsi="David"/>
          <w:rtl/>
        </w:rPr>
      </w:pPr>
    </w:p>
    <w:p w:rsidR="00CF026D" w:rsidRDefault="00CF026D" w:rsidP="00CF026D">
      <w:pPr>
        <w:pStyle w:val="ae"/>
        <w:numPr>
          <w:ilvl w:val="0"/>
          <w:numId w:val="1"/>
        </w:numPr>
        <w:spacing w:line="360" w:lineRule="auto"/>
        <w:jc w:val="both"/>
        <w:rPr>
          <w:rFonts w:ascii="David" w:hAnsi="David"/>
        </w:rPr>
      </w:pPr>
      <w:r>
        <w:rPr>
          <w:rFonts w:ascii="David" w:hAnsi="David"/>
          <w:rtl/>
        </w:rPr>
        <w:t xml:space="preserve">רשמתי לפני הצהרת המבקש כי בדעתו להצטרף להליך בו נקטה גרושתו אורלי מול המשיבה ובעלי מניותיה במסגרת ת.א. (ת"א) 13466-01-23, בכך יתעקר הטיעון כי מדובר בשני הליכים שאחד מהם מייתר את משנהו. במיוחד כאשר גם המבקש וגם אורלי חתומים על מסמך ההלוואה, הרי ששניהם צדדים נכונים להלין עליה בהליכי משפט ולא כל אחד מהם בנפרד. </w:t>
      </w:r>
    </w:p>
    <w:p w:rsidR="00D50738" w:rsidRPr="00D50738" w:rsidRDefault="00D50738" w:rsidP="00D50738">
      <w:pPr>
        <w:pStyle w:val="ae"/>
        <w:rPr>
          <w:rFonts w:ascii="David" w:hAnsi="David"/>
          <w:rtl/>
        </w:rPr>
      </w:pPr>
    </w:p>
    <w:p w:rsidR="00CF026D" w:rsidRDefault="00CF026D" w:rsidP="00FE595E">
      <w:pPr>
        <w:pStyle w:val="ae"/>
        <w:numPr>
          <w:ilvl w:val="0"/>
          <w:numId w:val="1"/>
        </w:numPr>
        <w:spacing w:line="360" w:lineRule="auto"/>
        <w:jc w:val="both"/>
        <w:rPr>
          <w:rFonts w:ascii="David" w:hAnsi="David"/>
        </w:rPr>
      </w:pPr>
      <w:r>
        <w:rPr>
          <w:rFonts w:ascii="David" w:hAnsi="David"/>
          <w:rtl/>
        </w:rPr>
        <w:t xml:space="preserve">על המבקש להבטיח את ניזקה הפוטנציאלי של המשיבה בהפקדת ערובה לפי </w:t>
      </w:r>
      <w:r w:rsidRPr="00FE595E">
        <w:rPr>
          <w:rFonts w:ascii="David" w:hAnsi="David"/>
          <w:b/>
          <w:bCs/>
          <w:rtl/>
        </w:rPr>
        <w:t>סעיף 96(א) לתקנות</w:t>
      </w:r>
      <w:r>
        <w:rPr>
          <w:rFonts w:ascii="David" w:hAnsi="David"/>
          <w:rtl/>
        </w:rPr>
        <w:t>.</w:t>
      </w:r>
    </w:p>
    <w:p w:rsidR="00CF026D" w:rsidRDefault="00CF026D" w:rsidP="00273C75">
      <w:pPr>
        <w:spacing w:line="360" w:lineRule="auto"/>
        <w:ind w:left="1440"/>
        <w:jc w:val="both"/>
        <w:rPr>
          <w:rFonts w:ascii="David" w:hAnsi="David"/>
          <w:rtl/>
        </w:rPr>
      </w:pPr>
      <w:r>
        <w:rPr>
          <w:rFonts w:ascii="David" w:hAnsi="David"/>
          <w:rtl/>
        </w:rPr>
        <w:t xml:space="preserve">לעניין זה אין להסתפק בשוויו הנטען של הנכס הממושכן ממכלול הסיבות שפורטו בהחלטה זו ועל המבקש להוסיף ערובה כספית. </w:t>
      </w:r>
    </w:p>
    <w:p w:rsidR="00D50738" w:rsidRDefault="00D50738" w:rsidP="00CF026D">
      <w:pPr>
        <w:spacing w:line="360" w:lineRule="auto"/>
        <w:ind w:left="1440"/>
        <w:jc w:val="both"/>
        <w:rPr>
          <w:rFonts w:ascii="David" w:hAnsi="David"/>
        </w:rPr>
      </w:pPr>
    </w:p>
    <w:p w:rsidR="00CF026D" w:rsidRDefault="00CF026D" w:rsidP="00273C75">
      <w:pPr>
        <w:pStyle w:val="ae"/>
        <w:numPr>
          <w:ilvl w:val="0"/>
          <w:numId w:val="1"/>
        </w:numPr>
        <w:spacing w:line="360" w:lineRule="auto"/>
        <w:jc w:val="both"/>
        <w:rPr>
          <w:rFonts w:ascii="David" w:hAnsi="David"/>
        </w:rPr>
      </w:pPr>
      <w:r>
        <w:rPr>
          <w:rFonts w:ascii="David" w:hAnsi="David"/>
          <w:rtl/>
        </w:rPr>
        <w:t xml:space="preserve">בקביעת סכום הערובה יש לאזן מספר שיקולים ולערוך חישוב על פי הפרמטרים שנקבעו בפסיקה. החישוב נערך תוך התחשבות מירבית במבקש על מנת שלא לנעול שערי בית המשפט לפניו ולאחר הפחתה משמעותית, אני גוזרת את סכום הערובה הכספית למחצית הסכום שמתקבל בחישוב ומעמידה אותה על סך של 500,000 ₪. </w:t>
      </w:r>
    </w:p>
    <w:p w:rsidR="00D50738" w:rsidRPr="00D50738" w:rsidRDefault="00D50738" w:rsidP="00D50738">
      <w:pPr>
        <w:spacing w:line="360" w:lineRule="auto"/>
        <w:jc w:val="both"/>
        <w:rPr>
          <w:rFonts w:ascii="David" w:hAnsi="David"/>
        </w:rPr>
      </w:pPr>
    </w:p>
    <w:p w:rsidR="00CF026D" w:rsidRPr="00273C75" w:rsidRDefault="00CF026D" w:rsidP="00273C75">
      <w:pPr>
        <w:pStyle w:val="ae"/>
        <w:numPr>
          <w:ilvl w:val="0"/>
          <w:numId w:val="1"/>
        </w:numPr>
        <w:spacing w:line="360" w:lineRule="auto"/>
        <w:jc w:val="both"/>
        <w:rPr>
          <w:rFonts w:ascii="David" w:hAnsi="David"/>
        </w:rPr>
      </w:pPr>
      <w:r>
        <w:rPr>
          <w:rFonts w:ascii="David" w:hAnsi="David"/>
          <w:rtl/>
        </w:rPr>
        <w:t xml:space="preserve">אשר על כן, במידה והמבקש יפקיד תוך </w:t>
      </w:r>
      <w:r w:rsidR="00381602">
        <w:rPr>
          <w:rFonts w:ascii="David" w:hAnsi="David" w:hint="cs"/>
          <w:rtl/>
        </w:rPr>
        <w:t>60</w:t>
      </w:r>
      <w:r>
        <w:rPr>
          <w:rFonts w:ascii="David" w:hAnsi="David"/>
          <w:rtl/>
        </w:rPr>
        <w:t xml:space="preserve"> יום מהיום סך של 500,000 ₪</w:t>
      </w:r>
      <w:r w:rsidR="00DF1D2D">
        <w:rPr>
          <w:rFonts w:ascii="David" w:hAnsi="David" w:hint="cs"/>
          <w:rtl/>
        </w:rPr>
        <w:t>,</w:t>
      </w:r>
      <w:r>
        <w:rPr>
          <w:rFonts w:ascii="David" w:hAnsi="David"/>
          <w:rtl/>
        </w:rPr>
        <w:t xml:space="preserve"> יעוכבו הליכי המימוש כמבוקש.</w:t>
      </w:r>
      <w:r w:rsidR="00273C75">
        <w:rPr>
          <w:rFonts w:ascii="David" w:hAnsi="David" w:hint="cs"/>
          <w:rtl/>
        </w:rPr>
        <w:t xml:space="preserve"> לציין כי את פרק הזמן של 60 יום קבעתי כהלימה להוראות תקנה </w:t>
      </w:r>
      <w:r w:rsidRPr="00273C75">
        <w:rPr>
          <w:rFonts w:ascii="David" w:hAnsi="David"/>
          <w:rtl/>
        </w:rPr>
        <w:t xml:space="preserve"> </w:t>
      </w:r>
      <w:r w:rsidR="00BC7C89">
        <w:rPr>
          <w:rFonts w:ascii="David" w:hAnsi="David" w:hint="cs"/>
          <w:rtl/>
        </w:rPr>
        <w:t>137 (א) לתקנות סדר הדין האזרחי התשע"ט 2018.</w:t>
      </w:r>
    </w:p>
    <w:p w:rsidR="00D50738" w:rsidRPr="00D50738" w:rsidRDefault="00D50738" w:rsidP="00D50738">
      <w:pPr>
        <w:pStyle w:val="ae"/>
        <w:rPr>
          <w:rFonts w:ascii="David" w:hAnsi="David"/>
          <w:rtl/>
        </w:rPr>
      </w:pPr>
    </w:p>
    <w:p w:rsidR="00CF026D" w:rsidRDefault="00CF026D" w:rsidP="00381602">
      <w:pPr>
        <w:pStyle w:val="ae"/>
        <w:numPr>
          <w:ilvl w:val="0"/>
          <w:numId w:val="1"/>
        </w:numPr>
        <w:spacing w:line="360" w:lineRule="auto"/>
        <w:jc w:val="both"/>
        <w:rPr>
          <w:rFonts w:ascii="David" w:hAnsi="David"/>
        </w:rPr>
      </w:pPr>
      <w:r>
        <w:rPr>
          <w:rFonts w:ascii="David" w:hAnsi="David"/>
          <w:rtl/>
        </w:rPr>
        <w:t xml:space="preserve">למשך פרק זמן זה יעוכבו הליכי המימוש. במידה וההפקדה לא תבוצע תוך </w:t>
      </w:r>
      <w:r w:rsidR="00381602">
        <w:rPr>
          <w:rFonts w:ascii="David" w:hAnsi="David" w:hint="cs"/>
          <w:rtl/>
        </w:rPr>
        <w:t>60</w:t>
      </w:r>
      <w:r>
        <w:rPr>
          <w:rFonts w:ascii="David" w:hAnsi="David"/>
          <w:rtl/>
        </w:rPr>
        <w:t xml:space="preserve"> יום</w:t>
      </w:r>
      <w:r w:rsidR="00DF1D2D">
        <w:rPr>
          <w:rFonts w:ascii="David" w:hAnsi="David" w:hint="cs"/>
          <w:rtl/>
        </w:rPr>
        <w:t>,</w:t>
      </w:r>
      <w:r>
        <w:rPr>
          <w:rFonts w:ascii="David" w:hAnsi="David"/>
          <w:rtl/>
        </w:rPr>
        <w:t xml:space="preserve"> יפקע תוקף הצו וניתן יהיה לחדש את הליכי המימוש. </w:t>
      </w:r>
    </w:p>
    <w:p w:rsidR="00D50738" w:rsidRPr="00D50738" w:rsidRDefault="00D50738" w:rsidP="00D50738">
      <w:pPr>
        <w:spacing w:line="360" w:lineRule="auto"/>
        <w:jc w:val="both"/>
        <w:rPr>
          <w:rFonts w:ascii="David" w:hAnsi="David"/>
        </w:rPr>
      </w:pPr>
    </w:p>
    <w:p w:rsidR="00CF026D" w:rsidRDefault="00CF026D" w:rsidP="00CF026D">
      <w:pPr>
        <w:pStyle w:val="ae"/>
        <w:numPr>
          <w:ilvl w:val="0"/>
          <w:numId w:val="1"/>
        </w:numPr>
        <w:spacing w:line="360" w:lineRule="auto"/>
        <w:jc w:val="both"/>
        <w:rPr>
          <w:rFonts w:ascii="David" w:hAnsi="David"/>
        </w:rPr>
      </w:pPr>
      <w:r>
        <w:rPr>
          <w:rFonts w:ascii="David" w:hAnsi="David"/>
          <w:rtl/>
        </w:rPr>
        <w:t xml:space="preserve">אני פוסקת הוצאות לדיון בבקשה זו בסך של 10,000 ₪ שישולמו לפי התוצאות בהליך העיקרי. </w:t>
      </w:r>
    </w:p>
    <w:p w:rsidR="00CF026D" w:rsidRDefault="00CF026D" w:rsidP="00CF026D">
      <w:pPr>
        <w:spacing w:line="360" w:lineRule="auto"/>
        <w:jc w:val="both"/>
        <w:rPr>
          <w:rFonts w:ascii="David" w:hAnsi="David"/>
        </w:rPr>
      </w:pPr>
    </w:p>
    <w:p w:rsidR="00D50738" w:rsidRDefault="00D50738">
      <w:pPr>
        <w:spacing w:line="360" w:lineRule="auto"/>
        <w:jc w:val="both"/>
        <w:rPr>
          <w:rFonts w:ascii="Arial" w:hAnsi="Arial"/>
          <w:noProof w:val="0"/>
          <w:rtl/>
        </w:rPr>
      </w:pPr>
    </w:p>
    <w:p w:rsidR="00BC7C89" w:rsidRPr="00BC7C89" w:rsidRDefault="00BC7C89">
      <w:pPr>
        <w:spacing w:line="360" w:lineRule="auto"/>
        <w:jc w:val="both"/>
        <w:rPr>
          <w:rFonts w:ascii="Arial" w:hAnsi="Arial"/>
          <w:b/>
          <w:bCs/>
          <w:noProof w:val="0"/>
          <w:rtl/>
        </w:rPr>
      </w:pPr>
      <w:r w:rsidRPr="00BC7C89">
        <w:rPr>
          <w:rFonts w:ascii="Arial" w:hAnsi="Arial" w:hint="cs"/>
          <w:b/>
          <w:bCs/>
          <w:noProof w:val="0"/>
          <w:rtl/>
        </w:rPr>
        <w:t>המזכירות תדוור החלטה זו לצדדים.</w:t>
      </w:r>
    </w:p>
    <w:p w:rsidR="00BC7C89" w:rsidRDefault="00BC7C89">
      <w:pPr>
        <w:spacing w:line="360" w:lineRule="auto"/>
        <w:jc w:val="both"/>
        <w:rPr>
          <w:rFonts w:ascii="Arial" w:hAnsi="Arial"/>
          <w:noProof w:val="0"/>
          <w:rtl/>
        </w:rPr>
      </w:pPr>
    </w:p>
    <w:p w:rsidR="00694556" w:rsidRDefault="0043502B" w:rsidP="00DD3CD0">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כ"ד אדר א'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hint="cs"/>
              <w:noProof w:val="0"/>
              <w:rtl/>
            </w:rPr>
            <w:t>04 מרץ 2024</w:t>
          </w:r>
        </w:sdtContent>
      </w:sdt>
      <w:r w:rsidR="00005C8B">
        <w:rPr>
          <w:rFonts w:ascii="Arial" w:hAnsi="Arial"/>
          <w:noProof w:val="0"/>
          <w:rtl/>
        </w:rPr>
        <w:t>, בהעדר הצדדים.</w:t>
      </w:r>
    </w:p>
    <w:p w:rsidR="00C43648" w:rsidRDefault="00CE1F64"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DD3CD0"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744292456"/>
        </w:sdtPr>
        <w:sdtEndPr/>
        <w:sdtContent>
          <w:r w:rsidR="000860D1">
            <w:drawing>
              <wp:inline distT="0" distB="0" distL="0" distR="0" wp14:editId="50D07946">
                <wp:extent cx="1211580" cy="5120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3" cstate="print">
                          <a:extLst/>
                        </a:blip>
                        <a:stretch>
                          <a:fillRect/>
                        </a:stretch>
                      </pic:blipFill>
                      <pic:spPr>
                        <a:xfrm>
                          <a:off x="0" y="0"/>
                          <a:ext cx="1211580" cy="512064"/>
                        </a:xfrm>
                        <a:prstGeom prst="rect">
                          <a:avLst/>
                        </a:prstGeom>
                      </pic:spPr>
                    </pic:pic>
                  </a:graphicData>
                </a:graphic>
              </wp:inline>
            </w:drawing>
          </w:r>
        </w:sdtContent>
      </w:sdt>
    </w:p>
    <w:p w:rsidR="00DD3CD0" w:rsidRDefault="00DD3CD0" w:rsidP="00BD6531">
      <w:pPr>
        <w:tabs>
          <w:tab w:val="left" w:pos="2553"/>
        </w:tabs>
        <w:rPr>
          <w:rFonts w:ascii="Arial" w:hAnsi="Arial"/>
          <w:noProof w:val="0"/>
          <w:rtl/>
        </w:rPr>
      </w:pPr>
    </w:p>
    <w:p w:rsidR="00DD3CD0" w:rsidRPr="00DD3CD0" w:rsidRDefault="00DD3CD0" w:rsidP="00DD3CD0">
      <w:pPr>
        <w:rPr>
          <w:rFonts w:ascii="Arial" w:hAnsi="Arial"/>
          <w:rtl/>
        </w:rPr>
      </w:pPr>
    </w:p>
    <w:p w:rsidR="00DD3CD0" w:rsidRPr="00DD3CD0" w:rsidRDefault="00DD3CD0" w:rsidP="00DD3CD0">
      <w:pPr>
        <w:rPr>
          <w:rFonts w:ascii="Arial" w:hAnsi="Arial"/>
          <w:rtl/>
        </w:rPr>
      </w:pPr>
    </w:p>
    <w:p w:rsidR="00DD3CD0" w:rsidRDefault="00DD3CD0" w:rsidP="00DD3CD0">
      <w:pPr>
        <w:rPr>
          <w:rFonts w:ascii="Arial" w:hAnsi="Arial"/>
          <w:rtl/>
        </w:rPr>
      </w:pPr>
    </w:p>
    <w:p w:rsidR="00694556" w:rsidRPr="00DD3CD0" w:rsidRDefault="00DD3CD0" w:rsidP="00DD3CD0">
      <w:pPr>
        <w:tabs>
          <w:tab w:val="left" w:pos="3052"/>
        </w:tabs>
        <w:rPr>
          <w:rFonts w:ascii="Arial" w:hAnsi="Arial"/>
          <w:rtl/>
        </w:rPr>
      </w:pPr>
      <w:r>
        <w:rPr>
          <w:rFonts w:ascii="Arial" w:hAnsi="Arial"/>
          <w:rtl/>
        </w:rPr>
        <w:tab/>
      </w:r>
    </w:p>
    <w:sectPr w:rsidR="00694556" w:rsidRPr="00DD3CD0" w:rsidSect="001F5DB6">
      <w:headerReference w:type="even" r:id="rId14"/>
      <w:headerReference w:type="default" r:id="rId15"/>
      <w:footerReference w:type="even" r:id="rId16"/>
      <w:footerReference w:type="default" r:id="rId17"/>
      <w:headerReference w:type="first" r:id="rId18"/>
      <w:footerReference w:type="first" r:id="rId19"/>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F64" w:rsidRDefault="00CE1F64">
      <w:r>
        <w:separator/>
      </w:r>
    </w:p>
  </w:endnote>
  <w:endnote w:type="continuationSeparator" w:id="0">
    <w:p w:rsidR="00CE1F64" w:rsidRDefault="00CE1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D9F" w:rsidRDefault="00153D9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5"/>
      <w:jc w:val="center"/>
      <w:rPr>
        <w:rStyle w:val="ac"/>
      </w:rPr>
    </w:pPr>
    <w:r w:rsidRPr="004E6E3C">
      <w:rPr>
        <w:rStyle w:val="ac"/>
        <w:rFonts w:cs="Times New Roman"/>
      </w:rPr>
      <w:fldChar w:fldCharType="begin"/>
    </w:r>
    <w:r w:rsidR="00005C8B" w:rsidRPr="004E6E3C">
      <w:rPr>
        <w:rStyle w:val="ac"/>
        <w:rFonts w:cs="Times New Roman"/>
      </w:rPr>
      <w:instrText xml:space="preserve"> PAGE </w:instrText>
    </w:r>
    <w:r w:rsidRPr="004E6E3C">
      <w:rPr>
        <w:rStyle w:val="ac"/>
        <w:rFonts w:cs="Times New Roman"/>
      </w:rPr>
      <w:fldChar w:fldCharType="separate"/>
    </w:r>
    <w:r w:rsidR="00153D9F">
      <w:rPr>
        <w:rStyle w:val="ac"/>
        <w:rFonts w:cs="Times New Roman"/>
        <w:rtl/>
      </w:rPr>
      <w:t>1</w:t>
    </w:r>
    <w:r w:rsidRPr="004E6E3C">
      <w:rPr>
        <w:rStyle w:val="ac"/>
        <w:rFonts w:cs="Times New Roman"/>
      </w:rPr>
      <w:fldChar w:fldCharType="end"/>
    </w:r>
    <w:r w:rsidR="00005C8B" w:rsidRPr="004E6E3C">
      <w:rPr>
        <w:rStyle w:val="ac"/>
        <w:rFonts w:hint="cs"/>
        <w:rtl/>
      </w:rPr>
      <w:t xml:space="preserve"> מתוך </w:t>
    </w:r>
    <w:r w:rsidRPr="004E6E3C">
      <w:rPr>
        <w:rStyle w:val="ac"/>
      </w:rPr>
      <w:fldChar w:fldCharType="begin"/>
    </w:r>
    <w:r w:rsidR="00005C8B" w:rsidRPr="004E6E3C">
      <w:rPr>
        <w:rStyle w:val="ac"/>
      </w:rPr>
      <w:instrText xml:space="preserve"> NUMPAGES </w:instrText>
    </w:r>
    <w:r w:rsidRPr="004E6E3C">
      <w:rPr>
        <w:rStyle w:val="ac"/>
      </w:rPr>
      <w:fldChar w:fldCharType="separate"/>
    </w:r>
    <w:r w:rsidR="00153D9F">
      <w:rPr>
        <w:rStyle w:val="ac"/>
        <w:rtl/>
      </w:rPr>
      <w:t>17</w:t>
    </w:r>
    <w:r w:rsidRPr="004E6E3C">
      <w:rPr>
        <w:rStyle w:val="ac"/>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D9F" w:rsidRDefault="00153D9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F64" w:rsidRDefault="00CE1F64">
      <w:r>
        <w:separator/>
      </w:r>
    </w:p>
  </w:footnote>
  <w:footnote w:type="continuationSeparator" w:id="0">
    <w:p w:rsidR="00CE1F64" w:rsidRDefault="00CE1F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D9F" w:rsidRDefault="00153D9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5D3BA177" wp14:editId="53AE422C">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B95A71">
      <w:trPr>
        <w:trHeight w:hRule="exact" w:val="993"/>
        <w:jc w:val="center"/>
      </w:trPr>
      <w:sdt>
        <w:sdtPr>
          <w:rPr>
            <w:rFonts w:ascii="Tahoma" w:hAnsi="Tahoma"/>
            <w:b/>
            <w:bCs/>
            <w:color w:val="000080"/>
            <w:sz w:val="32"/>
            <w:szCs w:val="32"/>
            <w:rtl/>
          </w:rPr>
          <w:alias w:val="1174"/>
          <w:tag w:val="1174"/>
          <w:id w:val="-1585920285"/>
          <w:text w:multiLine="1"/>
        </w:sdtPr>
        <w:sdtEndPr/>
        <w:sdtContent>
          <w:tc>
            <w:tcPr>
              <w:tcW w:w="8721" w:type="dxa"/>
              <w:gridSpan w:val="2"/>
            </w:tcPr>
            <w:p w:rsidR="00694556" w:rsidRPr="00FA4EAF" w:rsidRDefault="003D1C8C" w:rsidP="003230C7">
              <w:pPr>
                <w:pStyle w:val="a3"/>
                <w:jc w:val="center"/>
                <w:rPr>
                  <w:rFonts w:ascii="Tahoma" w:hAnsi="Tahoma"/>
                  <w:noProof w:val="0"/>
                  <w:color w:val="000080"/>
                  <w:sz w:val="32"/>
                  <w:szCs w:val="32"/>
                  <w:rtl/>
                </w:rPr>
              </w:pPr>
              <w:r w:rsidRPr="00FA4EAF">
                <w:rPr>
                  <w:rFonts w:ascii="Tahoma" w:hAnsi="Tahoma"/>
                  <w:b/>
                  <w:bCs/>
                  <w:color w:val="000080"/>
                  <w:sz w:val="32"/>
                  <w:szCs w:val="32"/>
                  <w:rtl/>
                </w:rPr>
                <w:t>בית המשפט המחוזי בתל אביב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973B47">
      <w:trPr>
        <w:trHeight w:val="337"/>
        <w:jc w:val="center"/>
      </w:trPr>
      <w:tc>
        <w:tcPr>
          <w:tcW w:w="8721" w:type="dxa"/>
          <w:gridSpan w:val="2"/>
        </w:tcPr>
        <w:p w:rsidR="007D45E3" w:rsidRPr="00973B47" w:rsidRDefault="00CE1F64" w:rsidP="007D45E3">
          <w:pPr>
            <w:rPr>
              <w:b/>
              <w:bCs/>
              <w:noProof w:val="0"/>
              <w:sz w:val="26"/>
              <w:szCs w:val="26"/>
              <w:rtl/>
            </w:rPr>
          </w:pPr>
          <w:sdt>
            <w:sdtPr>
              <w:rPr>
                <w:b/>
                <w:bCs/>
                <w:sz w:val="26"/>
                <w:szCs w:val="26"/>
                <w:rtl/>
              </w:rPr>
              <w:alias w:val="1170"/>
              <w:tag w:val="1170"/>
              <w:id w:val="1066377040"/>
              <w:text w:multiLine="1"/>
            </w:sdtPr>
            <w:sdtEndPr/>
            <w:sdtContent>
              <w:r w:rsidR="001F5DB6" w:rsidRPr="00973B47">
                <w:rPr>
                  <w:b/>
                  <w:bCs/>
                  <w:noProof w:val="0"/>
                  <w:sz w:val="26"/>
                  <w:szCs w:val="26"/>
                  <w:rtl/>
                </w:rPr>
                <w:t>ת"א</w:t>
              </w:r>
            </w:sdtContent>
          </w:sdt>
          <w:r w:rsidR="00005C8B" w:rsidRPr="00973B47">
            <w:rPr>
              <w:b/>
              <w:bCs/>
              <w:noProof w:val="0"/>
              <w:sz w:val="26"/>
              <w:szCs w:val="26"/>
              <w:rtl/>
            </w:rPr>
            <w:t xml:space="preserve"> </w:t>
          </w:r>
          <w:bookmarkStart w:id="0" w:name="_GoBack"/>
          <w:sdt>
            <w:sdtPr>
              <w:rPr>
                <w:b/>
                <w:bCs/>
                <w:sz w:val="26"/>
                <w:szCs w:val="26"/>
                <w:rtl/>
              </w:rPr>
              <w:alias w:val="1171"/>
              <w:tag w:val="1171"/>
              <w:id w:val="257034231"/>
              <w:text w:multiLine="1"/>
            </w:sdtPr>
            <w:sdtEndPr/>
            <w:sdtContent>
              <w:r w:rsidR="001F5DB6" w:rsidRPr="00973B47">
                <w:rPr>
                  <w:b/>
                  <w:bCs/>
                  <w:noProof w:val="0"/>
                  <w:sz w:val="26"/>
                  <w:szCs w:val="26"/>
                  <w:rtl/>
                </w:rPr>
                <w:t>5349-02-24</w:t>
              </w:r>
            </w:sdtContent>
          </w:sdt>
          <w:bookmarkEnd w:id="0"/>
          <w:r w:rsidR="00005C8B" w:rsidRPr="00973B47">
            <w:rPr>
              <w:b/>
              <w:bCs/>
              <w:noProof w:val="0"/>
              <w:sz w:val="26"/>
              <w:szCs w:val="26"/>
              <w:rtl/>
            </w:rPr>
            <w:t xml:space="preserve"> </w:t>
          </w:r>
          <w:sdt>
            <w:sdtPr>
              <w:rPr>
                <w:b/>
                <w:bCs/>
                <w:sz w:val="26"/>
                <w:szCs w:val="26"/>
                <w:rtl/>
              </w:rPr>
              <w:alias w:val="1172"/>
              <w:tag w:val="1172"/>
              <w:id w:val="-595170033"/>
              <w:text w:multiLine="1"/>
            </w:sdtPr>
            <w:sdtEndPr/>
            <w:sdtContent>
              <w:r w:rsidR="001F5DB6" w:rsidRPr="00973B47">
                <w:rPr>
                  <w:b/>
                  <w:bCs/>
                  <w:noProof w:val="0"/>
                  <w:sz w:val="26"/>
                  <w:szCs w:val="26"/>
                  <w:rtl/>
                </w:rPr>
                <w:t>אקוקה נ' נפולוני בע"מ</w:t>
              </w:r>
            </w:sdtContent>
          </w:sdt>
        </w:p>
        <w:p w:rsidR="008D10B2" w:rsidRPr="00973B47" w:rsidRDefault="007D45E3" w:rsidP="009B4939">
          <w:pPr>
            <w:rPr>
              <w:b/>
              <w:bCs/>
              <w:sz w:val="26"/>
              <w:szCs w:val="26"/>
              <w:rtl/>
            </w:rPr>
          </w:pPr>
          <w:r w:rsidRPr="00973B47">
            <w:rPr>
              <w:rFonts w:hint="cs"/>
              <w:b/>
              <w:bCs/>
              <w:sz w:val="26"/>
              <w:szCs w:val="26"/>
              <w:rtl/>
            </w:rPr>
            <w:t xml:space="preserve">                                                                  </w:t>
          </w:r>
          <w:r w:rsidRPr="00973B47">
            <w:rPr>
              <w:b/>
              <w:bCs/>
              <w:sz w:val="26"/>
              <w:szCs w:val="26"/>
              <w:rtl/>
            </w:rPr>
            <w:t xml:space="preserve"> </w:t>
          </w:r>
          <w:r w:rsidR="001173C6" w:rsidRPr="00973B47">
            <w:rPr>
              <w:b/>
              <w:bCs/>
              <w:sz w:val="26"/>
              <w:szCs w:val="26"/>
              <w:rtl/>
            </w:rPr>
            <w:t xml:space="preserve"> </w:t>
          </w:r>
        </w:p>
      </w:tc>
    </w:tr>
  </w:tbl>
  <w:p w:rsidR="00694556" w:rsidRDefault="00973B47">
    <w:pPr>
      <w:pStyle w:val="a3"/>
      <w:rPr>
        <w:b/>
        <w:bCs/>
        <w:noProof w:val="0"/>
        <w:sz w:val="26"/>
        <w:szCs w:val="26"/>
        <w:rtl/>
      </w:rPr>
    </w:pPr>
    <w:r w:rsidRPr="00973B47">
      <w:rPr>
        <w:rFonts w:hint="cs"/>
        <w:b/>
        <w:bCs/>
        <w:noProof w:val="0"/>
        <w:sz w:val="26"/>
        <w:szCs w:val="26"/>
        <w:rtl/>
      </w:rPr>
      <w:t>04 למרץ 2024</w:t>
    </w:r>
  </w:p>
  <w:p w:rsidR="00973B47" w:rsidRPr="00973B47" w:rsidRDefault="00973B47">
    <w:pPr>
      <w:pStyle w:val="a3"/>
      <w:rPr>
        <w:b/>
        <w:bCs/>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D9F" w:rsidRDefault="00153D9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475616"/>
    <w:multiLevelType w:val="hybridMultilevel"/>
    <w:tmpl w:val="CD7C9590"/>
    <w:lvl w:ilvl="0" w:tplc="343C4964">
      <w:start w:val="1"/>
      <w:numFmt w:val="hebrew1"/>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964030"/>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0964030&amp;lt;/CaseID&amp;gt;_x000d__x000a_        &amp;lt;CaseMonth&amp;gt;2&amp;lt;/CaseMonth&amp;gt;_x000d__x000a_        &amp;lt;CaseYear&amp;gt;2024&amp;lt;/CaseYear&amp;gt;_x000d__x000a_        &amp;lt;CaseNumber&amp;gt;5349&amp;lt;/CaseNumber&amp;gt;_x000d__x000a_        &amp;lt;NumeratorGroupID&amp;gt;1&amp;lt;/NumeratorGroupID&amp;gt;_x000d__x000a_        &amp;lt;CaseName&amp;gt;אקוקה נ&amp;#39; נפולוני בע&amp;quot;מ&amp;lt;/CaseName&amp;gt;_x000d__x000a_        &amp;lt;CourtID&amp;gt;15&amp;lt;/CourtID&amp;gt;_x000d__x000a_        &amp;lt;CaseTypeID&amp;gt;1&amp;lt;/CaseTypeID&amp;gt;_x000d__x000a_        &amp;lt;CaseInterestID&amp;gt;38&amp;lt;/CaseInterestID&amp;gt;_x000d__x000a_        &amp;lt;CaseJudgeName&amp;gt;רחל ערקובי&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5349-02-24&amp;lt;/CaseDisplayIdentifier&amp;gt;_x000d__x000a_        &amp;lt;CaseTypeDesc&amp;gt;ת&amp;quot;א&amp;lt;/CaseTypeDesc&amp;gt;_x000d__x000a_        &amp;lt;CourtDesc&amp;gt;המחוזי תל אביב - יפו&amp;lt;/CourtDesc&amp;gt;_x000d__x000a_        &amp;lt;CaseStageDesc&amp;gt;תיק אלקטרוני&amp;lt;/CaseStageDesc&amp;gt;_x000d__x000a_        &amp;lt;IsUnpaidFeeExist&amp;gt;false&amp;lt;/IsUnpaidFeeExist&amp;gt;_x000d__x000a_        &amp;lt;CaseNextDeterminingTask&amp;gt;151&amp;lt;/CaseNextDeterminingTask&amp;gt;_x000d__x000a_        &amp;lt;CaseOpenDate&amp;gt;2024-02-04T10:30:00+02:00&amp;lt;/CaseOpenDate&amp;gt;_x000d__x000a_        &amp;lt;PleaTypeID&amp;gt;4&amp;lt;/PleaTypeID&amp;gt;_x000d__x000a_        &amp;lt;CourtLevelID&amp;gt;2&amp;lt;/CourtLevelID&amp;gt;_x000d__x000a_        &amp;lt;CourtLevelCaseTypeInterestID&amp;gt;2131&amp;lt;/CourtLevelCaseTypeInterestID&amp;gt;_x000d__x000a_        &amp;lt;CaseJudgeFirstName&amp;gt;רחל&amp;lt;/CaseJudgeFirstName&amp;gt;_x000d__x000a_        &amp;lt;CaseJudgeLastName&amp;gt;ערקובי&amp;lt;/CaseJudgeLastName&amp;gt;_x000d__x000a_        &amp;lt;JudicalPersonID&amp;gt;058128547@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CaseDesc&amp;gt;הוגש עותק כרוך ומדוגל של תגובת המשיבים לבקשה לעיכוב הליכים בלשכה&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0964030&amp;lt;/CaseID&amp;gt;_x000d__x000a_        &amp;lt;CaseMonth&amp;gt;2&amp;lt;/CaseMonth&amp;gt;_x000d__x000a_        &amp;lt;CaseYear&amp;gt;2024&amp;lt;/CaseYear&amp;gt;_x000d__x000a_        &amp;lt;CaseNumber&amp;gt;5349&amp;lt;/CaseNumber&amp;gt;_x000d__x000a_        &amp;lt;NumeratorGroupID&amp;gt;1&amp;lt;/NumeratorGroupID&amp;gt;_x000d__x000a_        &amp;lt;CaseName&amp;gt;אקוקה נ&amp;#39; נפולוני בע&amp;quot;מ&amp;lt;/CaseName&amp;gt;_x000d__x000a_        &amp;lt;CourtID&amp;gt;15&amp;lt;/CourtID&amp;gt;_x000d__x000a_        &amp;lt;CaseTypeID&amp;gt;1&amp;lt;/CaseTypeID&amp;gt;_x000d__x000a_        &amp;lt;CaseInterestID&amp;gt;38&amp;lt;/CaseInterestID&amp;gt;_x000d__x000a_        &amp;lt;CaseJudgeName&amp;gt;רחל ערקובי&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5349-02-24&amp;lt;/CaseDisplayIdentifier&amp;gt;_x000d__x000a_        &amp;lt;CaseTypeDesc&amp;gt;ת&amp;quot;א&amp;lt;/CaseTypeDesc&amp;gt;_x000d__x000a_        &amp;lt;CourtDesc&amp;gt;המחוזי תל אביב - יפו&amp;lt;/CourtDesc&amp;gt;_x000d__x000a_        &amp;lt;CaseStageDesc&amp;gt;תיק אלקטרוני&amp;lt;/CaseStageDesc&amp;gt;_x000d__x000a_        &amp;lt;CaseNextDeterminingTask&amp;gt;151&amp;lt;/CaseNextDeterminingTask&amp;gt;_x000d__x000a_        &amp;lt;CaseOpenDate&amp;gt;2024-02-04T10:30:00+02:00&amp;lt;/CaseOpenDate&amp;gt;_x000d__x000a_        &amp;lt;PleaTypeID&amp;gt;4&amp;lt;/PleaTypeID&amp;gt;_x000d__x000a_        &amp;lt;CourtLevelID&amp;gt;2&amp;lt;/CourtLevelID&amp;gt;_x000d__x000a_        &amp;lt;CourtLevelCaseTypeInterestID&amp;gt;2131&amp;lt;/CourtLevelCaseTypeInterestID&amp;gt;_x000d__x000a_        &amp;lt;CaseJudgeFirstName&amp;gt;רחל&amp;lt;/CaseJudgeFirstName&amp;gt;_x000d__x000a_        &amp;lt;CaseJudgeLastName&amp;gt;ערקובי&amp;lt;/CaseJudgeLastName&amp;gt;_x000d__x000a_        &amp;lt;JudicalPersonID&amp;gt;058128547@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CaseDesc&amp;gt;הוגש עותק כרוך ומדוגל של תגובת המשיבים לבקשה לעיכוב הליכים בלשכה&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5"/>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0211641&amp;lt;/DecisionID&amp;gt;_x000d__x000a_        &amp;lt;DecisionName&amp;gt;החלטה  שניתנה ע&amp;quot;י  נועה גרוסמן&amp;lt;/DecisionName&amp;gt;_x000d__x000a_        &amp;lt;DecisionStatusID&amp;gt;1&amp;lt;/DecisionStatusID&amp;gt;_x000d__x000a_        &amp;lt;DecisionStatusChangeDate&amp;gt;2024-03-04T16:17:36.107+02:00&amp;lt;/DecisionStatusChangeDate&amp;gt;_x000d__x000a_        &amp;lt;DecisionSignatureDate&amp;gt;2024-03-04T16:17:34.667+02:00&amp;lt;/DecisionSignatureDate&amp;gt;_x000d__x000a_        &amp;lt;DecisionSignatureUserID&amp;gt;057924821@GOV.IL&amp;lt;/DecisionSignatureUserID&amp;gt;_x000d__x000a_        &amp;lt;DecisionCreateDate&amp;gt;2024-02-29T16:15:55.597+02:00&amp;lt;/DecisionCreateDate&amp;gt;_x000d__x000a_        &amp;lt;DecisionChangeDate&amp;gt;2024-03-04T16:17:36.237+02:00&amp;lt;/DecisionChangeDate&amp;gt;_x000d__x000a_        &amp;lt;DecisionChangeUserID&amp;gt;024524647@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1&amp;lt;/DecisionTypeID&amp;gt;_x000d__x000a_        &amp;lt;IsOnlyOneParty&amp;gt;false&amp;lt;/IsOnlyOneParty&amp;gt;_x000d__x000a_        &amp;lt;IsCanceledDecision&amp;gt;false&amp;lt;/IsCanceledDecision&amp;gt;_x000d__x000a_        &amp;lt;DocumentID&amp;gt;436158421&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57924821@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4524647@GOV.IL&amp;lt;/DecisionCreationUserID&amp;gt;_x000d__x000a_        &amp;lt;DecisionDisplayName&amp;gt;החלטה  שניתנה ע&amp;quot;י  נועה גרוסמן&amp;lt;/DecisionDisplayName&amp;gt;_x000d__x000a_        &amp;lt;IsScanned&amp;gt;false&amp;lt;/IsScanned&amp;gt;_x000d__x000a_        &amp;lt;DecisionSignatureUserName&amp;gt;נועה גרוסמן&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10&amp;lt;/DecisionNumberInCase&amp;gt;_x000d__x000a_      &amp;lt;/dt_Decision&amp;gt;_x000d__x000a_      &amp;lt;dt_DecisionCase diffgr:id=&amp;quot;dt_DecisionCase1&amp;quot; msdata:rowOrder=&amp;quot;0&amp;quot;&amp;gt;_x000d__x000a_        &amp;lt;DecisionID&amp;gt;150211641&amp;lt;/DecisionID&amp;gt;_x000d__x000a_        &amp;lt;CaseID&amp;gt;80964030&amp;lt;/CaseID&amp;gt;_x000d__x000a_        &amp;lt;IsOriginal&amp;gt;true&amp;lt;/IsOriginal&amp;gt;_x000d__x000a_        &amp;lt;IsDeleted&amp;gt;false&amp;lt;/IsDeleted&amp;gt;_x000d__x000a_        &amp;lt;CaseName&amp;gt;אקוקה נ&amp;#39; נפולוני בע&amp;quot;מ&amp;lt;/CaseName&amp;gt;_x000d__x000a_        &amp;lt;CaseDisplayIdentifier&amp;gt;5349-02-24 ת&amp;quot;א&amp;lt;/CaseDisplayIdentifier&amp;gt;_x000d__x000a_      &amp;lt;/dt_DecisionCase&amp;gt;_x000d__x000a_    &amp;lt;/DecisionDS&amp;gt;_x000d__x000a_  &amp;lt;/diffgr:diffgram&amp;gt;_x000d__x000a_&amp;lt;/DecisionDS&amp;gt;"/>
    <w:docVar w:name="DecisionID" w:val="150211641"/>
    <w:docVar w:name="WordClientAssemblyName" w:val="NGCS.Decision.ClientWordBL"/>
    <w:docVar w:name="WordClientClassName" w:val="NGCS.Decision.ClientWordBL.DecisionClient"/>
  </w:docVars>
  <w:rsids>
    <w:rsidRoot w:val="00694556"/>
    <w:rsid w:val="00000062"/>
    <w:rsid w:val="0000226B"/>
    <w:rsid w:val="00005C8B"/>
    <w:rsid w:val="000529D2"/>
    <w:rsid w:val="000564AB"/>
    <w:rsid w:val="00064FBD"/>
    <w:rsid w:val="00066E14"/>
    <w:rsid w:val="00076D7F"/>
    <w:rsid w:val="00082AB2"/>
    <w:rsid w:val="000860D1"/>
    <w:rsid w:val="000906FE"/>
    <w:rsid w:val="00096AF7"/>
    <w:rsid w:val="000B344B"/>
    <w:rsid w:val="000C3B0F"/>
    <w:rsid w:val="000C3B60"/>
    <w:rsid w:val="000D553E"/>
    <w:rsid w:val="000E0DD2"/>
    <w:rsid w:val="000E3AF1"/>
    <w:rsid w:val="000F0BC8"/>
    <w:rsid w:val="000F0DD6"/>
    <w:rsid w:val="00107E6D"/>
    <w:rsid w:val="0011061C"/>
    <w:rsid w:val="0011194C"/>
    <w:rsid w:val="0011424C"/>
    <w:rsid w:val="001173C6"/>
    <w:rsid w:val="001367BC"/>
    <w:rsid w:val="00142D65"/>
    <w:rsid w:val="00144D2A"/>
    <w:rsid w:val="0014653E"/>
    <w:rsid w:val="00153D9F"/>
    <w:rsid w:val="00180519"/>
    <w:rsid w:val="001861D3"/>
    <w:rsid w:val="00191C82"/>
    <w:rsid w:val="001A00CE"/>
    <w:rsid w:val="001B1242"/>
    <w:rsid w:val="001B48A4"/>
    <w:rsid w:val="001C3FD7"/>
    <w:rsid w:val="001C4003"/>
    <w:rsid w:val="001C7E50"/>
    <w:rsid w:val="001D3441"/>
    <w:rsid w:val="001D3A6A"/>
    <w:rsid w:val="001D4DBF"/>
    <w:rsid w:val="001D702E"/>
    <w:rsid w:val="001E3804"/>
    <w:rsid w:val="001E75CA"/>
    <w:rsid w:val="001F5DB6"/>
    <w:rsid w:val="002265FF"/>
    <w:rsid w:val="00267D9D"/>
    <w:rsid w:val="00271B56"/>
    <w:rsid w:val="00273C75"/>
    <w:rsid w:val="002847FB"/>
    <w:rsid w:val="00291593"/>
    <w:rsid w:val="002C2E24"/>
    <w:rsid w:val="002C344E"/>
    <w:rsid w:val="002C4E0A"/>
    <w:rsid w:val="002D63DF"/>
    <w:rsid w:val="002E75E9"/>
    <w:rsid w:val="00307A6A"/>
    <w:rsid w:val="00307C40"/>
    <w:rsid w:val="00311EAE"/>
    <w:rsid w:val="00320433"/>
    <w:rsid w:val="0032069F"/>
    <w:rsid w:val="00321DCD"/>
    <w:rsid w:val="003230C7"/>
    <w:rsid w:val="00327E50"/>
    <w:rsid w:val="0033597A"/>
    <w:rsid w:val="00343D89"/>
    <w:rsid w:val="003479C7"/>
    <w:rsid w:val="00362612"/>
    <w:rsid w:val="0036743F"/>
    <w:rsid w:val="003715DD"/>
    <w:rsid w:val="00374F36"/>
    <w:rsid w:val="003763AB"/>
    <w:rsid w:val="00381602"/>
    <w:rsid w:val="003823E0"/>
    <w:rsid w:val="00394865"/>
    <w:rsid w:val="003A4521"/>
    <w:rsid w:val="003D1C8C"/>
    <w:rsid w:val="003D6725"/>
    <w:rsid w:val="0040096C"/>
    <w:rsid w:val="00414F1F"/>
    <w:rsid w:val="0043125D"/>
    <w:rsid w:val="0043502B"/>
    <w:rsid w:val="004432A1"/>
    <w:rsid w:val="004443AC"/>
    <w:rsid w:val="00451E28"/>
    <w:rsid w:val="00462C62"/>
    <w:rsid w:val="00465D36"/>
    <w:rsid w:val="00467178"/>
    <w:rsid w:val="004A6E9B"/>
    <w:rsid w:val="004C17EE"/>
    <w:rsid w:val="004C4BDF"/>
    <w:rsid w:val="004D1187"/>
    <w:rsid w:val="004D3AA0"/>
    <w:rsid w:val="004E0C80"/>
    <w:rsid w:val="004E1987"/>
    <w:rsid w:val="004E2E15"/>
    <w:rsid w:val="004E6C69"/>
    <w:rsid w:val="004E6E3C"/>
    <w:rsid w:val="004F2C1C"/>
    <w:rsid w:val="00504C61"/>
    <w:rsid w:val="005113F6"/>
    <w:rsid w:val="00520898"/>
    <w:rsid w:val="00523621"/>
    <w:rsid w:val="00524986"/>
    <w:rsid w:val="005268F6"/>
    <w:rsid w:val="00534284"/>
    <w:rsid w:val="0054494A"/>
    <w:rsid w:val="005465AA"/>
    <w:rsid w:val="00547DB7"/>
    <w:rsid w:val="0056546F"/>
    <w:rsid w:val="00574854"/>
    <w:rsid w:val="005D3683"/>
    <w:rsid w:val="005F4F09"/>
    <w:rsid w:val="0061431B"/>
    <w:rsid w:val="00617CEE"/>
    <w:rsid w:val="00622BAA"/>
    <w:rsid w:val="00623A0F"/>
    <w:rsid w:val="006306CF"/>
    <w:rsid w:val="00630B49"/>
    <w:rsid w:val="00644496"/>
    <w:rsid w:val="006447E2"/>
    <w:rsid w:val="00644E9A"/>
    <w:rsid w:val="00654D9E"/>
    <w:rsid w:val="006708DF"/>
    <w:rsid w:val="00671BD5"/>
    <w:rsid w:val="00676D39"/>
    <w:rsid w:val="006805C1"/>
    <w:rsid w:val="00683FFB"/>
    <w:rsid w:val="00686A7F"/>
    <w:rsid w:val="00686C21"/>
    <w:rsid w:val="006931C1"/>
    <w:rsid w:val="00694556"/>
    <w:rsid w:val="00694A52"/>
    <w:rsid w:val="006C30C5"/>
    <w:rsid w:val="006D2ED6"/>
    <w:rsid w:val="006D3B31"/>
    <w:rsid w:val="006E0D96"/>
    <w:rsid w:val="006E1A53"/>
    <w:rsid w:val="006F56E6"/>
    <w:rsid w:val="00704EDA"/>
    <w:rsid w:val="00721122"/>
    <w:rsid w:val="00721B4B"/>
    <w:rsid w:val="00743C56"/>
    <w:rsid w:val="00744B1C"/>
    <w:rsid w:val="00753019"/>
    <w:rsid w:val="00754801"/>
    <w:rsid w:val="00795365"/>
    <w:rsid w:val="007A2AD7"/>
    <w:rsid w:val="007A351D"/>
    <w:rsid w:val="007B7765"/>
    <w:rsid w:val="007C5BDD"/>
    <w:rsid w:val="007D45E3"/>
    <w:rsid w:val="007E488E"/>
    <w:rsid w:val="007E6115"/>
    <w:rsid w:val="007F4609"/>
    <w:rsid w:val="008176A1"/>
    <w:rsid w:val="00820005"/>
    <w:rsid w:val="00844318"/>
    <w:rsid w:val="00863F5D"/>
    <w:rsid w:val="00870890"/>
    <w:rsid w:val="00873602"/>
    <w:rsid w:val="00875D12"/>
    <w:rsid w:val="008800CD"/>
    <w:rsid w:val="0088479D"/>
    <w:rsid w:val="00896889"/>
    <w:rsid w:val="008A3164"/>
    <w:rsid w:val="008B5A23"/>
    <w:rsid w:val="008C5714"/>
    <w:rsid w:val="008D10B2"/>
    <w:rsid w:val="008D4E77"/>
    <w:rsid w:val="008E4F77"/>
    <w:rsid w:val="00903896"/>
    <w:rsid w:val="00906F3D"/>
    <w:rsid w:val="00911AA0"/>
    <w:rsid w:val="0094424E"/>
    <w:rsid w:val="00955642"/>
    <w:rsid w:val="0095772D"/>
    <w:rsid w:val="00960013"/>
    <w:rsid w:val="009622DF"/>
    <w:rsid w:val="00967DFF"/>
    <w:rsid w:val="00973B47"/>
    <w:rsid w:val="00994341"/>
    <w:rsid w:val="009B4939"/>
    <w:rsid w:val="009B5782"/>
    <w:rsid w:val="009C68E6"/>
    <w:rsid w:val="009D1A48"/>
    <w:rsid w:val="009D1A5D"/>
    <w:rsid w:val="009E1CE7"/>
    <w:rsid w:val="009E4EA5"/>
    <w:rsid w:val="009E748D"/>
    <w:rsid w:val="009F164B"/>
    <w:rsid w:val="009F323C"/>
    <w:rsid w:val="00A11129"/>
    <w:rsid w:val="00A3392B"/>
    <w:rsid w:val="00A93C29"/>
    <w:rsid w:val="00A94B64"/>
    <w:rsid w:val="00AA3229"/>
    <w:rsid w:val="00AA7596"/>
    <w:rsid w:val="00AB5E52"/>
    <w:rsid w:val="00AC3B02"/>
    <w:rsid w:val="00AC3B7B"/>
    <w:rsid w:val="00AC5209"/>
    <w:rsid w:val="00AD00A6"/>
    <w:rsid w:val="00AE729E"/>
    <w:rsid w:val="00AE7752"/>
    <w:rsid w:val="00AF4730"/>
    <w:rsid w:val="00AF7A1A"/>
    <w:rsid w:val="00AF7FDA"/>
    <w:rsid w:val="00B11B43"/>
    <w:rsid w:val="00B4146F"/>
    <w:rsid w:val="00B5032E"/>
    <w:rsid w:val="00B5356E"/>
    <w:rsid w:val="00B7181D"/>
    <w:rsid w:val="00B809AD"/>
    <w:rsid w:val="00B80CBD"/>
    <w:rsid w:val="00B854C2"/>
    <w:rsid w:val="00B86096"/>
    <w:rsid w:val="00B95A71"/>
    <w:rsid w:val="00B964D9"/>
    <w:rsid w:val="00BA0A7C"/>
    <w:rsid w:val="00BA2ADC"/>
    <w:rsid w:val="00BA517C"/>
    <w:rsid w:val="00BB3D05"/>
    <w:rsid w:val="00BB73BE"/>
    <w:rsid w:val="00BC2D89"/>
    <w:rsid w:val="00BC7C89"/>
    <w:rsid w:val="00BD6531"/>
    <w:rsid w:val="00BE05B2"/>
    <w:rsid w:val="00BF1908"/>
    <w:rsid w:val="00BF7F3B"/>
    <w:rsid w:val="00C110C0"/>
    <w:rsid w:val="00C152F1"/>
    <w:rsid w:val="00C16B75"/>
    <w:rsid w:val="00C22D93"/>
    <w:rsid w:val="00C25FC8"/>
    <w:rsid w:val="00C31120"/>
    <w:rsid w:val="00C319EC"/>
    <w:rsid w:val="00C34482"/>
    <w:rsid w:val="00C43648"/>
    <w:rsid w:val="00C50A9F"/>
    <w:rsid w:val="00C53EB8"/>
    <w:rsid w:val="00C642FA"/>
    <w:rsid w:val="00C65565"/>
    <w:rsid w:val="00C7124F"/>
    <w:rsid w:val="00C82756"/>
    <w:rsid w:val="00C8337C"/>
    <w:rsid w:val="00CA0887"/>
    <w:rsid w:val="00CC43A7"/>
    <w:rsid w:val="00CC7622"/>
    <w:rsid w:val="00CD35FC"/>
    <w:rsid w:val="00CD608F"/>
    <w:rsid w:val="00CE1F64"/>
    <w:rsid w:val="00CE7078"/>
    <w:rsid w:val="00CF026D"/>
    <w:rsid w:val="00CF3831"/>
    <w:rsid w:val="00CF698F"/>
    <w:rsid w:val="00D10494"/>
    <w:rsid w:val="00D17E1F"/>
    <w:rsid w:val="00D2205F"/>
    <w:rsid w:val="00D27982"/>
    <w:rsid w:val="00D33B86"/>
    <w:rsid w:val="00D50738"/>
    <w:rsid w:val="00D53924"/>
    <w:rsid w:val="00D53E3C"/>
    <w:rsid w:val="00D55D0C"/>
    <w:rsid w:val="00D627CF"/>
    <w:rsid w:val="00D6775F"/>
    <w:rsid w:val="00D74378"/>
    <w:rsid w:val="00D74DAE"/>
    <w:rsid w:val="00D77DC4"/>
    <w:rsid w:val="00D96D8C"/>
    <w:rsid w:val="00DA6649"/>
    <w:rsid w:val="00DB0A33"/>
    <w:rsid w:val="00DB2088"/>
    <w:rsid w:val="00DC1259"/>
    <w:rsid w:val="00DC1BD2"/>
    <w:rsid w:val="00DC2571"/>
    <w:rsid w:val="00DC487C"/>
    <w:rsid w:val="00DD146F"/>
    <w:rsid w:val="00DD3591"/>
    <w:rsid w:val="00DD3CD0"/>
    <w:rsid w:val="00DD47A6"/>
    <w:rsid w:val="00DE6A88"/>
    <w:rsid w:val="00DE6BF6"/>
    <w:rsid w:val="00DF1D2D"/>
    <w:rsid w:val="00E1068A"/>
    <w:rsid w:val="00E25884"/>
    <w:rsid w:val="00E25B55"/>
    <w:rsid w:val="00E31C2B"/>
    <w:rsid w:val="00E37181"/>
    <w:rsid w:val="00E41218"/>
    <w:rsid w:val="00E5426A"/>
    <w:rsid w:val="00E54642"/>
    <w:rsid w:val="00E63442"/>
    <w:rsid w:val="00E80CBE"/>
    <w:rsid w:val="00E873A0"/>
    <w:rsid w:val="00E962E3"/>
    <w:rsid w:val="00EB1139"/>
    <w:rsid w:val="00EB6C79"/>
    <w:rsid w:val="00EC37E9"/>
    <w:rsid w:val="00F06995"/>
    <w:rsid w:val="00F13623"/>
    <w:rsid w:val="00F41DF4"/>
    <w:rsid w:val="00F44D1D"/>
    <w:rsid w:val="00F71910"/>
    <w:rsid w:val="00F84B6D"/>
    <w:rsid w:val="00F8705E"/>
    <w:rsid w:val="00FA4EAF"/>
    <w:rsid w:val="00FA5FDA"/>
    <w:rsid w:val="00FB009E"/>
    <w:rsid w:val="00FB6AB3"/>
    <w:rsid w:val="00FC2BDA"/>
    <w:rsid w:val="00FD1419"/>
    <w:rsid w:val="00FD79E4"/>
    <w:rsid w:val="00FE2894"/>
    <w:rsid w:val="00FE595E"/>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64423"/>
    <w:pPr>
      <w:tabs>
        <w:tab w:val="center" w:pos="4153"/>
        <w:tab w:val="right" w:pos="8306"/>
      </w:tabs>
    </w:pPr>
  </w:style>
  <w:style w:type="paragraph" w:styleId="a5">
    <w:name w:val="footer"/>
    <w:basedOn w:val="a"/>
    <w:rsid w:val="00C64423"/>
    <w:pPr>
      <w:tabs>
        <w:tab w:val="center" w:pos="4153"/>
        <w:tab w:val="right" w:pos="8306"/>
      </w:tabs>
    </w:pPr>
  </w:style>
  <w:style w:type="paragraph" w:customStyle="1" w:styleId="a6">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7">
    <w:name w:val="annotation text"/>
    <w:basedOn w:val="a"/>
    <w:semiHidden/>
    <w:rsid w:val="00C64423"/>
    <w:rPr>
      <w:rFonts w:cs="Times New Roman"/>
      <w:noProof w:val="0"/>
    </w:rPr>
  </w:style>
  <w:style w:type="character" w:styleId="a8">
    <w:name w:val="annotation reference"/>
    <w:basedOn w:val="a0"/>
    <w:semiHidden/>
    <w:rsid w:val="00C64423"/>
    <w:rPr>
      <w:sz w:val="16"/>
      <w:szCs w:val="16"/>
    </w:rPr>
  </w:style>
  <w:style w:type="paragraph" w:styleId="a9">
    <w:name w:val="Balloon Text"/>
    <w:basedOn w:val="a"/>
    <w:semiHidden/>
    <w:rsid w:val="00C64423"/>
    <w:rPr>
      <w:rFonts w:ascii="Tahoma" w:hAnsi="Tahoma" w:cs="Tahoma"/>
      <w:sz w:val="16"/>
      <w:szCs w:val="16"/>
    </w:rPr>
  </w:style>
  <w:style w:type="table" w:styleId="aa">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line number"/>
    <w:basedOn w:val="a0"/>
    <w:rsid w:val="00C64423"/>
  </w:style>
  <w:style w:type="character" w:styleId="ac">
    <w:name w:val="page number"/>
    <w:basedOn w:val="a0"/>
    <w:rsid w:val="00C64423"/>
  </w:style>
  <w:style w:type="table" w:customStyle="1" w:styleId="1">
    <w:name w:val="טבלת רשת1"/>
    <w:basedOn w:val="a1"/>
    <w:next w:val="aa"/>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3230C7"/>
    <w:rPr>
      <w:color w:val="808080"/>
    </w:rPr>
  </w:style>
  <w:style w:type="paragraph" w:styleId="ae">
    <w:name w:val="List Paragraph"/>
    <w:basedOn w:val="a"/>
    <w:uiPriority w:val="34"/>
    <w:qFormat/>
    <w:rsid w:val="00CF026D"/>
    <w:pPr>
      <w:ind w:left="720"/>
      <w:contextualSpacing/>
    </w:pPr>
  </w:style>
  <w:style w:type="character" w:customStyle="1" w:styleId="a4">
    <w:name w:val="כותרת עליונה תו"/>
    <w:basedOn w:val="a0"/>
    <w:link w:val="a3"/>
    <w:rsid w:val="00CF026D"/>
    <w:rPr>
      <w:rFonts w:cs="David"/>
      <w:noProof/>
      <w:sz w:val="24"/>
      <w:szCs w:val="24"/>
    </w:rPr>
  </w:style>
  <w:style w:type="character" w:styleId="Hyperlink">
    <w:name w:val="Hyperlink"/>
    <w:basedOn w:val="a0"/>
    <w:uiPriority w:val="99"/>
    <w:semiHidden/>
    <w:unhideWhenUsed/>
    <w:rsid w:val="00F870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614932">
      <w:bodyDiv w:val="1"/>
      <w:marLeft w:val="0"/>
      <w:marRight w:val="0"/>
      <w:marTop w:val="0"/>
      <w:marBottom w:val="0"/>
      <w:divBdr>
        <w:top w:val="none" w:sz="0" w:space="0" w:color="auto"/>
        <w:left w:val="none" w:sz="0" w:space="0" w:color="auto"/>
        <w:bottom w:val="none" w:sz="0" w:space="0" w:color="auto"/>
        <w:right w:val="none" w:sz="0" w:space="0" w:color="auto"/>
      </w:divBdr>
    </w:div>
    <w:div w:id="1220048403">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jpg"/><Relationship Id="rId18" Type="http://schemas.openxmlformats.org/officeDocument/2006/relationships/header" Target="header3.xml"/><Relationship Id="rId3" Type="http://schemas.openxmlformats.org/officeDocument/2006/relationships/customXml" Target="../customXml/item2.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yperlink" Target="http://www.nevo.co.il/case/27631937" TargetMode="External"/><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www.nevo.co.il/case/29445488"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nevo.co.il/case/29795619"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3E1A82" w:rsidP="003E1A82">
          <w:pPr>
            <w:pStyle w:val="E460D38E05664FF79D4EFF282EF8EC9918"/>
          </w:pPr>
          <w:r>
            <w:rPr>
              <w:rFonts w:hint="cs"/>
              <w:rtl/>
            </w:rPr>
            <w:t xml:space="preserve">     </w:t>
          </w:r>
        </w:p>
      </w:docPartBody>
    </w:docPart>
    <w:docPart>
      <w:docPartPr>
        <w:name w:val="8341468148EA4C94956EBA4F6E8640E2"/>
        <w:category>
          <w:name w:val="כללי"/>
          <w:gallery w:val="placeholder"/>
        </w:category>
        <w:types>
          <w:type w:val="bbPlcHdr"/>
        </w:types>
        <w:behaviors>
          <w:behavior w:val="content"/>
        </w:behaviors>
        <w:guid w:val="{8850D8C5-A0B0-43DD-B6E7-0588BDFDA6BA}"/>
      </w:docPartPr>
      <w:docPartBody>
        <w:p w:rsidR="005841CE" w:rsidRDefault="0056761C" w:rsidP="0056761C">
          <w:pPr>
            <w:pStyle w:val="8341468148EA4C94956EBA4F6E8640E2"/>
          </w:pPr>
          <w:r>
            <w:rPr>
              <w:b/>
              <w:bCs/>
              <w:sz w:val="26"/>
              <w:szCs w:val="26"/>
              <w:rtl/>
            </w:rPr>
            <w:t>תאור קבוצת שיכות צד א'</w:t>
          </w:r>
        </w:p>
      </w:docPartBody>
    </w:docPart>
    <w:docPart>
      <w:docPartPr>
        <w:name w:val="9E8851A5AD1C4D1D9C5BB5EFA52CC798"/>
        <w:category>
          <w:name w:val="כללי"/>
          <w:gallery w:val="placeholder"/>
        </w:category>
        <w:types>
          <w:type w:val="bbPlcHdr"/>
        </w:types>
        <w:behaviors>
          <w:behavior w:val="content"/>
        </w:behaviors>
        <w:guid w:val="{87027AC8-A4AF-4825-897A-3A216B98DAAB}"/>
      </w:docPartPr>
      <w:docPartBody>
        <w:p w:rsidR="005841CE" w:rsidRDefault="0056761C" w:rsidP="0056761C">
          <w:pPr>
            <w:pStyle w:val="9E8851A5AD1C4D1D9C5BB5EFA52CC798"/>
          </w:pPr>
          <w:r>
            <w:rPr>
              <w:b/>
              <w:bCs/>
              <w:sz w:val="26"/>
              <w:szCs w:val="26"/>
              <w:rtl/>
            </w:rPr>
            <w:t>שם צד א'</w:t>
          </w:r>
        </w:p>
      </w:docPartBody>
    </w:docPart>
    <w:docPart>
      <w:docPartPr>
        <w:name w:val="6349FBD4D1AA4BE1872850D49A9F083F"/>
        <w:category>
          <w:name w:val="כללי"/>
          <w:gallery w:val="placeholder"/>
        </w:category>
        <w:types>
          <w:type w:val="bbPlcHdr"/>
        </w:types>
        <w:behaviors>
          <w:behavior w:val="content"/>
        </w:behaviors>
        <w:guid w:val="{26B3E39F-40AC-43BB-90B5-25D8AE076346}"/>
      </w:docPartPr>
      <w:docPartBody>
        <w:p w:rsidR="005841CE" w:rsidRDefault="0056761C" w:rsidP="0056761C">
          <w:pPr>
            <w:pStyle w:val="6349FBD4D1AA4BE1872850D49A9F083F"/>
          </w:pPr>
          <w:r>
            <w:rPr>
              <w:b/>
              <w:bCs/>
              <w:sz w:val="26"/>
              <w:szCs w:val="26"/>
              <w:rtl/>
            </w:rPr>
            <w:t>שם צד ב'</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A4ACE"/>
    <w:rsid w:val="002D02C4"/>
    <w:rsid w:val="002E734C"/>
    <w:rsid w:val="00334638"/>
    <w:rsid w:val="00345C9D"/>
    <w:rsid w:val="003E1A82"/>
    <w:rsid w:val="0048651F"/>
    <w:rsid w:val="00556D67"/>
    <w:rsid w:val="0056761C"/>
    <w:rsid w:val="005841CE"/>
    <w:rsid w:val="00793995"/>
    <w:rsid w:val="007C6F98"/>
    <w:rsid w:val="007E254A"/>
    <w:rsid w:val="008B4366"/>
    <w:rsid w:val="009133C7"/>
    <w:rsid w:val="009178E4"/>
    <w:rsid w:val="00961B27"/>
    <w:rsid w:val="00A07DDC"/>
    <w:rsid w:val="00AA7CE3"/>
    <w:rsid w:val="00B91FA3"/>
    <w:rsid w:val="00C96C06"/>
    <w:rsid w:val="00D62E6F"/>
    <w:rsid w:val="00E31BF6"/>
    <w:rsid w:val="00E81DB1"/>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E1A82"/>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334638"/>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334638"/>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334638"/>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334638"/>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33463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33463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334638"/>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4674E"/>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4674E"/>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4674E"/>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4674E"/>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4674E"/>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4674E"/>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4674E"/>
    <w:pPr>
      <w:bidi/>
      <w:spacing w:after="0" w:line="240" w:lineRule="auto"/>
    </w:pPr>
    <w:rPr>
      <w:rFonts w:ascii="Times New Roman" w:eastAsia="Times New Roman" w:hAnsi="Times New Roman" w:cs="David"/>
      <w:noProof/>
      <w:sz w:val="24"/>
      <w:szCs w:val="24"/>
    </w:rPr>
  </w:style>
  <w:style w:type="paragraph" w:customStyle="1" w:styleId="116EBBD5A99E4E519EE4A5661D82C50E4">
    <w:name w:val="116EBBD5A99E4E519EE4A5661D82C50E4"/>
    <w:rsid w:val="002E734C"/>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2E734C"/>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2E734C"/>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2E734C"/>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2E734C"/>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2E734C"/>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2E734C"/>
    <w:pPr>
      <w:bidi/>
      <w:spacing w:after="0" w:line="240" w:lineRule="auto"/>
    </w:pPr>
    <w:rPr>
      <w:rFonts w:ascii="Times New Roman" w:eastAsia="Times New Roman" w:hAnsi="Times New Roman" w:cs="David"/>
      <w:noProof/>
      <w:sz w:val="24"/>
      <w:szCs w:val="24"/>
    </w:rPr>
  </w:style>
  <w:style w:type="paragraph" w:customStyle="1" w:styleId="116EBBD5A99E4E519EE4A5661D82C50E5">
    <w:name w:val="116EBBD5A99E4E519EE4A5661D82C50E5"/>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3E1A82"/>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6">
    <w:name w:val="116EBBD5A99E4E519EE4A5661D82C50E6"/>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3E1A82"/>
    <w:pPr>
      <w:bidi/>
      <w:spacing w:after="0" w:line="240" w:lineRule="auto"/>
    </w:pPr>
    <w:rPr>
      <w:rFonts w:ascii="Times New Roman" w:eastAsia="Times New Roman" w:hAnsi="Times New Roman" w:cs="David"/>
      <w:noProof/>
      <w:sz w:val="24"/>
      <w:szCs w:val="24"/>
    </w:rPr>
  </w:style>
  <w:style w:type="paragraph" w:customStyle="1" w:styleId="8341468148EA4C94956EBA4F6E8640E2">
    <w:name w:val="8341468148EA4C94956EBA4F6E8640E2"/>
    <w:rsid w:val="0056761C"/>
    <w:pPr>
      <w:bidi/>
      <w:spacing w:after="160" w:line="259" w:lineRule="auto"/>
    </w:pPr>
  </w:style>
  <w:style w:type="paragraph" w:customStyle="1" w:styleId="9E8851A5AD1C4D1D9C5BB5EFA52CC798">
    <w:name w:val="9E8851A5AD1C4D1D9C5BB5EFA52CC798"/>
    <w:rsid w:val="0056761C"/>
    <w:pPr>
      <w:bidi/>
      <w:spacing w:after="160" w:line="259" w:lineRule="auto"/>
    </w:pPr>
  </w:style>
  <w:style w:type="paragraph" w:customStyle="1" w:styleId="6349FBD4D1AA4BE1872850D49A9F083F">
    <w:name w:val="6349FBD4D1AA4BE1872850D49A9F083F"/>
    <w:rsid w:val="0056761C"/>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80964030</CaseID>
    <CaseJudicialPersonPresentationDS>
      <CaseJudicalPersonActive>
        <CaseID>80964030</CaseID>
        <JudicialPersonID>058128547@GOV.IL</JudicialPersonID>
        <JudicialPersonTypeID>1</JudicialPersonTypeID>
        <JudicialTypeID>1</JudicialTypeID>
        <IsChairman>false</IsChairman>
        <TreatmentStartDate>2024-02-04T11:11:50.68+02:00</TreatmentStartDate>
        <TreatmentFinishDate>9999-12-31T23:59:59.997+02:00</TreatmentFinishDate>
        <IdentificationCardNumber>058128547</IdentificationCardNumber>
        <DisplayName>רחל ערקובי</DisplayName>
        <JudicialTypeName>שופט</JudicialTypeName>
        <CaseJudicialGroupNumber>0</CaseJudicialGroupNumber>
        <FirstName>רחל</FirstName>
        <LastName>ערקובי</LastName>
        <JudicialPersonTitle>שופט</JudicialPersonTitle>
      </CaseJudicalPersonActive>
    </CaseJudicialPersonPresentationDS>
    <CasePartiesSelectionDS>
      <CaseParties>
        <PartyTypeName>צד</PartyTypeName>
        <ProceedingType>כתב טענות עיקרי</ProceedingType>
        <PleaName>כתב תביעה</PleaName>
        <PartyBelonging>צד א'</PartyBelonging>
        <RoleName>תובע 1</RoleName>
        <IsSubProceeding>FALSE</IsSubProceeding>
        <FullName>גל אקוקה</FullName>
        <FirstName>ניסים גל</FirstName>
        <LastName>אקוקה</LastName>
        <PartyPropertyName/>
        <AuthenticationTypeAndNumber>ת"ז 024994493</AuthenticationTypeAndNumber>
        <RepresentatedOrRepresentativesNames>אברהם ישראל</RepresentatedOrRepresentativesNames>
        <RepresentatedOrRepresentativesCount>1</RepresentatedOrRepresentativesCount>
        <InvitedBy/>
        <CaseID>80964030</CaseID>
        <CaseJudicialPersonPresentationDS>
          <CaseJudicalPersonActive>
            <CaseID>80964030</CaseID>
            <JudicialPersonID>058128547@GOV.IL</JudicialPersonID>
            <JudicialPersonTypeID>1</JudicialPersonTypeID>
            <JudicialTypeID>1</JudicialTypeID>
            <IsChairman>false</IsChairman>
            <TreatmentStartDate>2024-02-04T11:11:50.68+02:00</TreatmentStartDate>
            <TreatmentFinishDate>9999-12-31T23:59:59.997+02:00</TreatmentFinishDate>
            <IdentificationCardNumber>058128547</IdentificationCardNumber>
            <DisplayName>רחל ערקובי</DisplayName>
            <JudicialTypeName>שופט</JudicialTypeName>
            <CaseJudicialGroupNumber>0</CaseJudicialGroupNumber>
            <FirstName>רחל</FirstName>
            <LastName>ערקובי</LastName>
            <JudicialPersonTitle>שופט</JudicialPersonTitle>
          </CaseJudicalPersonActive>
        </CaseJudicialPersonPresentationDS>
        <CasePartyID>265873483</CasePartyID>
        <PartyTypeID>1</PartyTypeID>
        <ActivityStatusID>1</ActivityStatusID>
        <PartyAliasID>1</PartyAliasID>
        <PartyAliasName>תובע</PartyAliasName>
        <OrdinalNumber>1</OrdinalNumber>
        <LegalEntityID>13051522</LegalEntityID>
        <CaseLegalEntityID>127629518</CaseLegalEntityID>
        <AuthenticationTypeID>1</AuthenticationTypeID>
        <AuthenticationTypeName>ת"ז</AuthenticationTypeName>
        <LegalEntityNumber>024994493</LegalEntityNumber>
        <IsMainPartyType>true</IsMainPartyType>
        <CaseDisplayIdentifier>5349-02-24</CaseDisplayIdentifier>
        <CaseTypeID>1</CaseTypeID>
        <CaseTypeName>תיק אזרחי בסדר דין רגיל (ת"א)</CaseTypeName>
        <CaseName>אקוקה נ' נפולוני בע"מ</CaseName>
        <FullAddress>אצ"ל 35 הרצלייה </FullAddress>
        <MotionID>0</MotionID>
        <CasePleaID>0</CasePleaID>
        <FatherName>חיים</FatherName>
        <LinkedCaseID>0</LinkedCaseID>
        <PartyID>1</PartyID>
        <CasePartyCategoryID>2</CasePartyCategoryID>
        <LegalEntityAddressID>88916689</LegalEntityAddressID>
        <GrandfatherName/>
        <DrivingLicenseNumber>6080654</DrivingLicenseNumber>
        <PleaTypeID>4</PleaTypeID>
        <GroupPartyAlias>תובעים</GroupPartyAlias>
        <IsConverted>false</IsConverted>
        <LegalEntityRegisteredNameID>2572433</LegalEntityRegisteredNameID>
        <LegalEntityNameID>96098308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גל אקוקה</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אברהם ישראל</FullName>
        <FirstName>אברהם</FirstName>
        <LastName>ישראל</LastName>
        <PartyPropertyName/>
        <AuthenticationTypeAndNumber>מ.ר. 38183</AuthenticationTypeAndNumber>
        <RepresentatedOrRepresentativesNames>גל אקוקה</RepresentatedOrRepresentativesNames>
        <RepresentatedOrRepresentativesCount>1</RepresentatedOrRepresentativesCount>
        <InvitedBy/>
        <CaseID>80964030</CaseID>
        <CaseJudicialPersonPresentationDS>
          <CaseJudicalPersonActive>
            <CaseID>80964030</CaseID>
            <JudicialPersonID>058128547@GOV.IL</JudicialPersonID>
            <JudicialPersonTypeID>1</JudicialPersonTypeID>
            <JudicialTypeID>1</JudicialTypeID>
            <IsChairman>false</IsChairman>
            <TreatmentStartDate>2024-02-04T11:11:50.68+02:00</TreatmentStartDate>
            <TreatmentFinishDate>9999-12-31T23:59:59.997+02:00</TreatmentFinishDate>
            <IdentificationCardNumber>058128547</IdentificationCardNumber>
            <DisplayName>רחל ערקובי</DisplayName>
            <JudicialTypeName>שופט</JudicialTypeName>
            <CaseJudicialGroupNumber>0</CaseJudicialGroupNumber>
            <FirstName>רחל</FirstName>
            <LastName>ערקובי</LastName>
            <JudicialPersonTitle>שופט</JudicialPersonTitle>
          </CaseJudicalPersonActive>
        </CaseJudicialPersonPresentationDS>
        <CasePartyID>265873484</CasePartyID>
        <PartyTypeID>2</PartyTypeID>
        <ActivityStatusID>1</ActivityStatusID>
        <PartyAliasID>20</PartyAliasID>
        <PartyAliasName>בא כוח תובעים</PartyAliasName>
        <OrdinalNumber>1</OrdinalNumber>
        <LegalEntityID>408936</LegalEntityID>
        <CaseLegalEntityID>127629519</CaseLegalEntityID>
        <AuthenticationTypeID>4</AuthenticationTypeID>
        <AuthenticationTypeName>מ.ר.</AuthenticationTypeName>
        <LegalEntityNumber>38183</LegalEntityNumber>
        <IsMainPartyType>true</IsMainPartyType>
        <CaseDisplayIdentifier>5349-02-24</CaseDisplayIdentifier>
        <CaseTypeID>1</CaseTypeID>
        <CaseTypeName>תיק אזרחי בסדר דין רגיל (ת"א)</CaseTypeName>
        <CaseName>אקוקה נ' נפולוני בע"מ</CaseName>
        <FullAddress>מנחם בגין 7 רמת גן בית גיבור ספורט קומה 17</FullAddress>
        <EmailAddress>avi@aviisraellaw.co.il</EmailAddress>
        <MotionID>0</MotionID>
        <CasePleaID>0</CasePleaID>
        <LinkedCaseID>0</LinkedCaseID>
        <PartyID>1</PartyID>
        <CasePartyCategoryID>2</CasePartyCategoryID>
        <LegalEntityAddressID>451918</LegalEntityAddressID>
        <LegalEntityEmailAddressID>19821114</LegalEntityEmailAddressID>
        <PleaTypeID>4</PleaTypeID>
        <LawyerOfficeName>משרד עו"ד: אברהם ישראל</LawyerOfficeName>
        <LawyerOfficeID>449580</LawyerOfficeID>
        <GroupPartyAlias/>
        <IsConverted>false</IsConverted>
        <LegalEntityNameID>29920</LegalEntityNameID>
        <RepresentatedNamesOfAssistant/>
        <LegalEntityTypeID>4</LegalEntityTypeID>
        <IsVerdictExists>false</IsVerdictExists>
        <IsAsirAzir>false</IsAsirAzir>
        <IsPublicationProhibited>false</IsPublicationProhibited>
        <PublicationProhibitedFullName>אברהם ישראל</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נפולוני בע"מ</FullName>
        <LastName>נפולוני בע"מ</LastName>
        <PartyPropertyName/>
        <AuthenticationTypeAndNumber>חברות 514179100</AuthenticationTypeAndNumber>
        <RepresentatedOrRepresentativesNames>ענבל לביא</RepresentatedOrRepresentativesNames>
        <RepresentatedOrRepresentativesCount>1</RepresentatedOrRepresentativesCount>
        <InvitedBy/>
        <CaseID>80964030</CaseID>
        <CaseJudicialPersonPresentationDS>
          <CaseJudicalPersonActive>
            <CaseID>80964030</CaseID>
            <JudicialPersonID>058128547@GOV.IL</JudicialPersonID>
            <JudicialPersonTypeID>1</JudicialPersonTypeID>
            <JudicialTypeID>1</JudicialTypeID>
            <IsChairman>false</IsChairman>
            <TreatmentStartDate>2024-02-04T11:11:50.68+02:00</TreatmentStartDate>
            <TreatmentFinishDate>9999-12-31T23:59:59.997+02:00</TreatmentFinishDate>
            <IdentificationCardNumber>058128547</IdentificationCardNumber>
            <DisplayName>רחל ערקובי</DisplayName>
            <JudicialTypeName>שופט</JudicialTypeName>
            <CaseJudicialGroupNumber>0</CaseJudicialGroupNumber>
            <FirstName>רחל</FirstName>
            <LastName>ערקובי</LastName>
            <JudicialPersonTitle>שופט</JudicialPersonTitle>
          </CaseJudicalPersonActive>
        </CaseJudicialPersonPresentationDS>
        <CasePartyID>265873485</CasePartyID>
        <PartyTypeID>1</PartyTypeID>
        <ActivityStatusID>1</ActivityStatusID>
        <PartyAliasID>2</PartyAliasID>
        <PartyAliasName>נתבע</PartyAliasName>
        <OrdinalNumber>1</OrdinalNumber>
        <LegalEntityID>45248665</LegalEntityID>
        <CaseLegalEntityID>127629520</CaseLegalEntityID>
        <AuthenticationTypeID>3</AuthenticationTypeID>
        <AuthenticationTypeName>חברות</AuthenticationTypeName>
        <LegalEntityNumber>514179100</LegalEntityNumber>
        <IsMainPartyType>true</IsMainPartyType>
        <CaseDisplayIdentifier>5349-02-24</CaseDisplayIdentifier>
        <CaseTypeID>1</CaseTypeID>
        <CaseTypeName>תיק אזרחי בסדר דין רגיל (ת"א)</CaseTypeName>
        <CaseName>אקוקה נ' נפולוני בע"מ</CaseName>
        <FullAddress>הכשרת הישוב 07 ראשון לציון </FullAddress>
        <MotionID>0</MotionID>
        <CasePleaID>0</CasePleaID>
        <LinkedCaseID>0</LinkedCaseID>
        <PartyID>2</PartyID>
        <CasePartyCategoryID>2</CasePartyCategoryID>
        <LegalEntityAddressID>77216134</LegalEntityAddressID>
        <PleaTypeID>4</PleaTypeID>
        <GroupPartyAlias>נתבעים</GroupPartyAlias>
        <IsConverted>false</IsConverted>
        <LegalEntityRegisteredNameID>1967543</LegalEntityRegisteredNameID>
        <RepresentatedNamesOfAssistant/>
        <LegalEntityTypeID>3</LegalEntityTypeID>
        <IsVerdictExists>false</IsVerdictExists>
        <IsAsirAzir>false</IsAsirAzir>
        <IsPublicationProhibited>false</IsPublicationProhibited>
        <PublicationProhibitedFullName>נפולוני בע"מ</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ענבל לביא</FullName>
        <FirstName>ענבל</FirstName>
        <LastName>לביא</LastName>
        <PartyPropertyName/>
        <AuthenticationTypeAndNumber>מ.ר. 40588</AuthenticationTypeAndNumber>
        <RepresentatedOrRepresentativesNames xml:space="preserve"> </RepresentatedOrRepresentativesNames>
        <RepresentatedOrRepresentativesCount>1</RepresentatedOrRepresentativesCount>
        <InvitedBy/>
        <CaseID>80964030</CaseID>
        <CaseJudicialPersonPresentationDS>
          <CaseJudicalPersonActive>
            <CaseID>80964030</CaseID>
            <JudicialPersonID>058128547@GOV.IL</JudicialPersonID>
            <JudicialPersonTypeID>1</JudicialPersonTypeID>
            <JudicialTypeID>1</JudicialTypeID>
            <IsChairman>false</IsChairman>
            <TreatmentStartDate>2024-02-04T11:11:50.68+02:00</TreatmentStartDate>
            <TreatmentFinishDate>9999-12-31T23:59:59.997+02:00</TreatmentFinishDate>
            <IdentificationCardNumber>058128547</IdentificationCardNumber>
            <DisplayName>רחל ערקובי</DisplayName>
            <JudicialTypeName>שופט</JudicialTypeName>
            <CaseJudicialGroupNumber>0</CaseJudicialGroupNumber>
            <FirstName>רחל</FirstName>
            <LastName>ערקובי</LastName>
            <JudicialPersonTitle>שופט</JudicialPersonTitle>
          </CaseJudicalPersonActive>
        </CaseJudicialPersonPresentationDS>
        <CasePartyID>266718634</CasePartyID>
        <PartyTypeID>2</PartyTypeID>
        <ActivityStatusID>1</ActivityStatusID>
        <PartyAliasID>21</PartyAliasID>
        <PartyAliasName>בא כוח נתבעים</PartyAliasName>
        <OrdinalNumber>1</OrdinalNumber>
        <LegalEntityID>414410</LegalEntityID>
        <CaseLegalEntityID>127874654</CaseLegalEntityID>
        <AuthenticationTypeID>4</AuthenticationTypeID>
        <AuthenticationTypeName>מ.ר.</AuthenticationTypeName>
        <LegalEntityNumber>40588</LegalEntityNumber>
        <IsMainPartyType>true</IsMainPartyType>
        <CaseDisplayIdentifier>5349-02-24</CaseDisplayIdentifier>
        <CaseTypeID>1</CaseTypeID>
        <CaseTypeName>תיק אזרחי בסדר דין רגיל (ת"א)</CaseTypeName>
        <CaseName>אקוקה נ' נפולוני בע"מ</CaseName>
        <FullAddress>משה לוי 11 ראשון לציון </FullAddress>
        <EmailAddress>inbal@ilavi-law.co.il</EmailAddress>
        <MotionID>0</MotionID>
        <CasePleaID>0</CasePleaID>
        <FatherName xml:space="preserve">        </FatherName>
        <LinkedCaseID>0</LinkedCaseID>
        <PartyID>2</PartyID>
        <CasePartyCategoryID>2</CasePartyCategoryID>
        <LegalEntityAddressID>86855456</LegalEntityAddressID>
        <LegalEntityEmailAddressID>67910902</LegalEntityEmailAddressID>
        <PleaTypeID>4</PleaTypeID>
        <LawyerOfficeName>משרד עו"ד: ענבל לביא</LawyerOfficeName>
        <LawyerOfficeID>455054</LawyerOfficeID>
        <GroupPartyAlias/>
        <IsConverted>false</IsConverted>
        <LegalEntityNameID>35394</LegalEntityNameID>
        <RepresentatedNamesOfAssistant/>
        <LegalEntityTypeID>4</LegalEntityTypeID>
        <IsVerdictExists>false</IsVerdictExists>
        <IsAsirAzir>false</IsAsirAzir>
        <IsPublicationProhibited>false</IsPublicationProhibited>
        <PublicationProhibitedFullName>ענבל לביא</PublicationProhibitedFullName>
      </CaseParties>
    </CasePartiesSelectionDS>
    <DecisionName>החלטה  שניתנה ע"י  נועה גרוסמן</DecisionName>
    <CourtDisplayName>בית המשפט המחוזי בתל אביב -יפו</CourtDisplayName>
    <IsCaseJudgePanel>false</IsCaseJudgePanel>
    <DecisionSignatureDate>2024-02-29T16:14:04.4088309+02:00</DecisionSignatureDate>
    <OpenCaseDate>2024-02-04T10:30:00+02:00</OpenCaseDate>
    <CaseFeeSum>0.000</CaseFeeSum>
    <DecisionTypeID>1</DecisionTypeID>
    <DecisionSignatureUserName>נועה גרוסמן</DecisionSignatureUserName>
    <DecisionSignatureDateHebrew>2024-02-29T16:14:04.4088309+02:00</DecisionSignatureDateHebrew>
    <DecisionWriterID>057924821@GOV.IL</DecisionWriterID>
    <CourtAddress>רח' ויצמן  1 היכל המשפט, תל אביב -יפו 64239</CourtAddress>
    <IsAutoTextInCaseExist>false</IsAutoTextInCaseExist>
    <DecisionSignatureRoleName>שופט</DecisionSignatureRoleName>
    <DecisionSignatureUserTitleName>שופטת</DecisionSignatureUserTitleName>
    <CaseName>אקוקה נ' נפולוני בע"מ</CaseName>
    <DecisionNumberInCase>10</DecisionNumberInCase>
  </dt_Decision>
  <dt_DecisionCase>
    <DecisionID>0</DecisionID>
    <CaseID>80964030</CaseID>
    <CaseJudicialPersonPresentationDS>
      <CaseJudicalPersonActive>
        <CaseID>80964030</CaseID>
        <JudicialPersonID>058128547@GOV.IL</JudicialPersonID>
        <JudicialPersonTypeID>1</JudicialPersonTypeID>
        <JudicialTypeID>1</JudicialTypeID>
        <IsChairman>false</IsChairman>
        <TreatmentStartDate>2024-02-04T11:11:50.68+02:00</TreatmentStartDate>
        <TreatmentFinishDate>9999-12-31T23:59:59.997+02:00</TreatmentFinishDate>
        <IdentificationCardNumber>058128547</IdentificationCardNumber>
        <DisplayName>רחל ערקובי</DisplayName>
        <JudicialTypeName>שופט</JudicialTypeName>
        <CaseJudicialGroupNumber>0</CaseJudicialGroupNumber>
        <FirstName>רחל</FirstName>
        <LastName>ערקובי</LastName>
        <JudicialPersonTitle>שופט</JudicialPersonTitle>
      </CaseJudicalPersonActive>
    </CaseJudicialPersonPresentationDS>
    <CasePartiesSelectionDS>
      <CaseParties>
        <PartyTypeName>צד</PartyTypeName>
        <ProceedingType>כתב טענות עיקרי</ProceedingType>
        <PleaName>כתב תביעה</PleaName>
        <PartyBelonging>צד א'</PartyBelonging>
        <RoleName>תובע 1</RoleName>
        <IsSubProceeding>FALSE</IsSubProceeding>
        <FullName>גל אקוקה</FullName>
        <FirstName>ניסים גל</FirstName>
        <LastName>אקוקה</LastName>
        <PartyPropertyName/>
        <AuthenticationTypeAndNumber>ת"ז 024994493</AuthenticationTypeAndNumber>
        <RepresentatedOrRepresentativesNames>אברהם ישראל</RepresentatedOrRepresentativesNames>
        <RepresentatedOrRepresentativesCount>1</RepresentatedOrRepresentativesCount>
        <InvitedBy/>
        <CaseID>80964030</CaseID>
        <CaseJudicialPersonPresentationDS>
          <CaseJudicalPersonActive>
            <CaseID>80964030</CaseID>
            <JudicialPersonID>058128547@GOV.IL</JudicialPersonID>
            <JudicialPersonTypeID>1</JudicialPersonTypeID>
            <JudicialTypeID>1</JudicialTypeID>
            <IsChairman>false</IsChairman>
            <TreatmentStartDate>2024-02-04T11:11:50.68+02:00</TreatmentStartDate>
            <TreatmentFinishDate>9999-12-31T23:59:59.997+02:00</TreatmentFinishDate>
            <IdentificationCardNumber>058128547</IdentificationCardNumber>
            <DisplayName>רחל ערקובי</DisplayName>
            <JudicialTypeName>שופט</JudicialTypeName>
            <CaseJudicialGroupNumber>0</CaseJudicialGroupNumber>
            <FirstName>רחל</FirstName>
            <LastName>ערקובי</LastName>
            <JudicialPersonTitle>שופט</JudicialPersonTitle>
          </CaseJudicalPersonActive>
        </CaseJudicialPersonPresentationDS>
        <CasePartyID>265873483</CasePartyID>
        <PartyTypeID>1</PartyTypeID>
        <ActivityStatusID>1</ActivityStatusID>
        <PartyAliasID>1</PartyAliasID>
        <PartyAliasName>תובע</PartyAliasName>
        <OrdinalNumber>1</OrdinalNumber>
        <LegalEntityID>13051522</LegalEntityID>
        <CaseLegalEntityID>127629518</CaseLegalEntityID>
        <AuthenticationTypeID>1</AuthenticationTypeID>
        <AuthenticationTypeName>ת"ז</AuthenticationTypeName>
        <LegalEntityNumber>024994493</LegalEntityNumber>
        <IsMainPartyType>true</IsMainPartyType>
        <CaseDisplayIdentifier>5349-02-24</CaseDisplayIdentifier>
        <CaseTypeID>1</CaseTypeID>
        <CaseTypeName>תיק אזרחי בסדר דין רגיל (ת"א)</CaseTypeName>
        <CaseName>אקוקה נ' נפולוני בע"מ</CaseName>
        <FullAddress>אצ"ל 35 הרצלייה </FullAddress>
        <MotionID>0</MotionID>
        <CasePleaID>0</CasePleaID>
        <FatherName>חיים</FatherName>
        <LinkedCaseID>0</LinkedCaseID>
        <PartyID>1</PartyID>
        <CasePartyCategoryID>2</CasePartyCategoryID>
        <LegalEntityAddressID>88916689</LegalEntityAddressID>
        <GrandfatherName/>
        <DrivingLicenseNumber>6080654</DrivingLicenseNumber>
        <PleaTypeID>4</PleaTypeID>
        <GroupPartyAlias>תובעים</GroupPartyAlias>
        <IsConverted>false</IsConverted>
        <LegalEntityRegisteredNameID>2572433</LegalEntityRegisteredNameID>
        <LegalEntityNameID>96098308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גל אקוקה</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אברהם ישראל</FullName>
        <FirstName>אברהם</FirstName>
        <LastName>ישראל</LastName>
        <PartyPropertyName/>
        <AuthenticationTypeAndNumber>מ.ר. 38183</AuthenticationTypeAndNumber>
        <RepresentatedOrRepresentativesNames>גל אקוקה</RepresentatedOrRepresentativesNames>
        <RepresentatedOrRepresentativesCount>1</RepresentatedOrRepresentativesCount>
        <InvitedBy/>
        <CaseID>80964030</CaseID>
        <CaseJudicialPersonPresentationDS>
          <CaseJudicalPersonActive>
            <CaseID>80964030</CaseID>
            <JudicialPersonID>058128547@GOV.IL</JudicialPersonID>
            <JudicialPersonTypeID>1</JudicialPersonTypeID>
            <JudicialTypeID>1</JudicialTypeID>
            <IsChairman>false</IsChairman>
            <TreatmentStartDate>2024-02-04T11:11:50.68+02:00</TreatmentStartDate>
            <TreatmentFinishDate>9999-12-31T23:59:59.997+02:00</TreatmentFinishDate>
            <IdentificationCardNumber>058128547</IdentificationCardNumber>
            <DisplayName>רחל ערקובי</DisplayName>
            <JudicialTypeName>שופט</JudicialTypeName>
            <CaseJudicialGroupNumber>0</CaseJudicialGroupNumber>
            <FirstName>רחל</FirstName>
            <LastName>ערקובי</LastName>
            <JudicialPersonTitle>שופט</JudicialPersonTitle>
          </CaseJudicalPersonActive>
        </CaseJudicialPersonPresentationDS>
        <CasePartyID>265873484</CasePartyID>
        <PartyTypeID>2</PartyTypeID>
        <ActivityStatusID>1</ActivityStatusID>
        <PartyAliasID>20</PartyAliasID>
        <PartyAliasName>בא כוח תובעים</PartyAliasName>
        <OrdinalNumber>1</OrdinalNumber>
        <LegalEntityID>408936</LegalEntityID>
        <CaseLegalEntityID>127629519</CaseLegalEntityID>
        <AuthenticationTypeID>4</AuthenticationTypeID>
        <AuthenticationTypeName>מ.ר.</AuthenticationTypeName>
        <LegalEntityNumber>38183</LegalEntityNumber>
        <IsMainPartyType>true</IsMainPartyType>
        <CaseDisplayIdentifier>5349-02-24</CaseDisplayIdentifier>
        <CaseTypeID>1</CaseTypeID>
        <CaseTypeName>תיק אזרחי בסדר דין רגיל (ת"א)</CaseTypeName>
        <CaseName>אקוקה נ' נפולוני בע"מ</CaseName>
        <FullAddress>מנחם בגין 7 רמת גן בית גיבור ספורט קומה 17</FullAddress>
        <EmailAddress>avi@aviisraellaw.co.il</EmailAddress>
        <MotionID>0</MotionID>
        <CasePleaID>0</CasePleaID>
        <LinkedCaseID>0</LinkedCaseID>
        <PartyID>1</PartyID>
        <CasePartyCategoryID>2</CasePartyCategoryID>
        <LegalEntityAddressID>451918</LegalEntityAddressID>
        <LegalEntityEmailAddressID>19821114</LegalEntityEmailAddressID>
        <PleaTypeID>4</PleaTypeID>
        <LawyerOfficeName>משרד עו"ד: אברהם ישראל</LawyerOfficeName>
        <LawyerOfficeID>449580</LawyerOfficeID>
        <GroupPartyAlias/>
        <IsConverted>false</IsConverted>
        <LegalEntityNameID>29920</LegalEntityNameID>
        <RepresentatedNamesOfAssistant/>
        <LegalEntityTypeID>4</LegalEntityTypeID>
        <IsVerdictExists>false</IsVerdictExists>
        <IsAsirAzir>false</IsAsirAzir>
        <IsPublicationProhibited>false</IsPublicationProhibited>
        <PublicationProhibitedFullName>אברהם ישראל</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נפולוני בע"מ</FullName>
        <LastName>נפולוני בע"מ</LastName>
        <PartyPropertyName/>
        <AuthenticationTypeAndNumber>חברות 514179100</AuthenticationTypeAndNumber>
        <RepresentatedOrRepresentativesNames>ענבל לביא</RepresentatedOrRepresentativesNames>
        <RepresentatedOrRepresentativesCount>1</RepresentatedOrRepresentativesCount>
        <InvitedBy/>
        <CaseID>80964030</CaseID>
        <CaseJudicialPersonPresentationDS>
          <CaseJudicalPersonActive>
            <CaseID>80964030</CaseID>
            <JudicialPersonID>058128547@GOV.IL</JudicialPersonID>
            <JudicialPersonTypeID>1</JudicialPersonTypeID>
            <JudicialTypeID>1</JudicialTypeID>
            <IsChairman>false</IsChairman>
            <TreatmentStartDate>2024-02-04T11:11:50.68+02:00</TreatmentStartDate>
            <TreatmentFinishDate>9999-12-31T23:59:59.997+02:00</TreatmentFinishDate>
            <IdentificationCardNumber>058128547</IdentificationCardNumber>
            <DisplayName>רחל ערקובי</DisplayName>
            <JudicialTypeName>שופט</JudicialTypeName>
            <CaseJudicialGroupNumber>0</CaseJudicialGroupNumber>
            <FirstName>רחל</FirstName>
            <LastName>ערקובי</LastName>
            <JudicialPersonTitle>שופט</JudicialPersonTitle>
          </CaseJudicalPersonActive>
        </CaseJudicialPersonPresentationDS>
        <CasePartyID>265873485</CasePartyID>
        <PartyTypeID>1</PartyTypeID>
        <ActivityStatusID>1</ActivityStatusID>
        <PartyAliasID>2</PartyAliasID>
        <PartyAliasName>נתבע</PartyAliasName>
        <OrdinalNumber>1</OrdinalNumber>
        <LegalEntityID>45248665</LegalEntityID>
        <CaseLegalEntityID>127629520</CaseLegalEntityID>
        <AuthenticationTypeID>3</AuthenticationTypeID>
        <AuthenticationTypeName>חברות</AuthenticationTypeName>
        <LegalEntityNumber>514179100</LegalEntityNumber>
        <IsMainPartyType>true</IsMainPartyType>
        <CaseDisplayIdentifier>5349-02-24</CaseDisplayIdentifier>
        <CaseTypeID>1</CaseTypeID>
        <CaseTypeName>תיק אזרחי בסדר דין רגיל (ת"א)</CaseTypeName>
        <CaseName>אקוקה נ' נפולוני בע"מ</CaseName>
        <FullAddress>הכשרת הישוב 07 ראשון לציון </FullAddress>
        <MotionID>0</MotionID>
        <CasePleaID>0</CasePleaID>
        <LinkedCaseID>0</LinkedCaseID>
        <PartyID>2</PartyID>
        <CasePartyCategoryID>2</CasePartyCategoryID>
        <LegalEntityAddressID>77216134</LegalEntityAddressID>
        <PleaTypeID>4</PleaTypeID>
        <GroupPartyAlias>נתבעים</GroupPartyAlias>
        <IsConverted>false</IsConverted>
        <LegalEntityRegisteredNameID>1967543</LegalEntityRegisteredNameID>
        <RepresentatedNamesOfAssistant/>
        <LegalEntityTypeID>3</LegalEntityTypeID>
        <IsVerdictExists>false</IsVerdictExists>
        <IsAsirAzir>false</IsAsirAzir>
        <IsPublicationProhibited>false</IsPublicationProhibited>
        <PublicationProhibitedFullName>נפולוני בע"מ</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ענבל לביא</FullName>
        <FirstName>ענבל</FirstName>
        <LastName>לביא</LastName>
        <PartyPropertyName/>
        <AuthenticationTypeAndNumber>מ.ר. 40588</AuthenticationTypeAndNumber>
        <RepresentatedOrRepresentativesNames xml:space="preserve"> </RepresentatedOrRepresentativesNames>
        <RepresentatedOrRepresentativesCount>1</RepresentatedOrRepresentativesCount>
        <InvitedBy/>
        <CaseID>80964030</CaseID>
        <CaseJudicialPersonPresentationDS>
          <CaseJudicalPersonActive>
            <CaseID>80964030</CaseID>
            <JudicialPersonID>058128547@GOV.IL</JudicialPersonID>
            <JudicialPersonTypeID>1</JudicialPersonTypeID>
            <JudicialTypeID>1</JudicialTypeID>
            <IsChairman>false</IsChairman>
            <TreatmentStartDate>2024-02-04T11:11:50.68+02:00</TreatmentStartDate>
            <TreatmentFinishDate>9999-12-31T23:59:59.997+02:00</TreatmentFinishDate>
            <IdentificationCardNumber>058128547</IdentificationCardNumber>
            <DisplayName>רחל ערקובי</DisplayName>
            <JudicialTypeName>שופט</JudicialTypeName>
            <CaseJudicialGroupNumber>0</CaseJudicialGroupNumber>
            <FirstName>רחל</FirstName>
            <LastName>ערקובי</LastName>
            <JudicialPersonTitle>שופט</JudicialPersonTitle>
          </CaseJudicalPersonActive>
        </CaseJudicialPersonPresentationDS>
        <CasePartyID>266718634</CasePartyID>
        <PartyTypeID>2</PartyTypeID>
        <ActivityStatusID>1</ActivityStatusID>
        <PartyAliasID>21</PartyAliasID>
        <PartyAliasName>בא כוח נתבעים</PartyAliasName>
        <OrdinalNumber>1</OrdinalNumber>
        <LegalEntityID>414410</LegalEntityID>
        <CaseLegalEntityID>127874654</CaseLegalEntityID>
        <AuthenticationTypeID>4</AuthenticationTypeID>
        <AuthenticationTypeName>מ.ר.</AuthenticationTypeName>
        <LegalEntityNumber>40588</LegalEntityNumber>
        <IsMainPartyType>true</IsMainPartyType>
        <CaseDisplayIdentifier>5349-02-24</CaseDisplayIdentifier>
        <CaseTypeID>1</CaseTypeID>
        <CaseTypeName>תיק אזרחי בסדר דין רגיל (ת"א)</CaseTypeName>
        <CaseName>אקוקה נ' נפולוני בע"מ</CaseName>
        <FullAddress>משה לוי 11 ראשון לציון </FullAddress>
        <EmailAddress>inbal@ilavi-law.co.il</EmailAddress>
        <MotionID>0</MotionID>
        <CasePleaID>0</CasePleaID>
        <FatherName xml:space="preserve">        </FatherName>
        <LinkedCaseID>0</LinkedCaseID>
        <PartyID>2</PartyID>
        <CasePartyCategoryID>2</CasePartyCategoryID>
        <LegalEntityAddressID>86855456</LegalEntityAddressID>
        <LegalEntityEmailAddressID>67910902</LegalEntityEmailAddressID>
        <PleaTypeID>4</PleaTypeID>
        <LawyerOfficeName>משרד עו"ד: ענבל לביא</LawyerOfficeName>
        <LawyerOfficeID>455054</LawyerOfficeID>
        <GroupPartyAlias/>
        <IsConverted>false</IsConverted>
        <LegalEntityNameID>35394</LegalEntityNameID>
        <RepresentatedNamesOfAssistant/>
        <LegalEntityTypeID>4</LegalEntityTypeID>
        <IsVerdictExists>false</IsVerdictExists>
        <IsAsirAzir>false</IsAsirAzir>
        <IsPublicationProhibited>false</IsPublicationProhibited>
        <PublicationProhibitedFullName>ענבל לביא</PublicationProhibitedFullName>
      </CaseParties>
    </CasePartiesSelectionDS>
    <CaseName>אקוקה נ' נפולוני בע"מ</CaseName>
    <CaseDisplayIdentifier>5349-02-24</CaseDisplayIdentifier>
    <CaseInterestID>38</CaseInterestID>
    <CaseTypeShortName>ת"א</CaseTypeShortName>
  </dt_DecisionCase>
  <dt_DecisionJudgePanel>
    <JudgeID>057924821@GOV.IL</JudgeID>
    <DisplayName>נועה גרוסמן</DisplayName>
    <RoleName>שופט</RoleName>
    <UserTitleName>שופטת</UserTitleName>
  </dt_DecisionJudgePanel>
  <dt_LegalEntityDetails>
    <PartyID>1</PartyID>
    <PartyTypeID>1</PartyTypeID>
    <DecisionID>0</DecisionID>
    <StreetName>אצ"ל 35</StreetName>
    <CityName>הרצלייה</CityName>
    <FullName>גל אקוקה</FullName>
    <IsPublicationProhibited>false</IsPublicationProhibited>
  </dt_LegalEntityDetails>
  <dt_LegalEntityDetails>
    <Fax>03-6114474</Fax>
    <Phone>03-6114484</Phone>
    <AddressDesc>בית גיבור ספורט קומה 17</AddressDesc>
    <PartyID>1</PartyID>
    <PartyTypeID>2</PartyTypeID>
    <DecisionID>0</DecisionID>
    <StreetName>מנחם בגין 7</StreetName>
    <ZipCode>52521</ZipCode>
    <CityName>רמת גן</CityName>
    <FullName>אברהם ישראל</FullName>
    <Email>avi@aviisraellaw.co.il</Email>
    <IsPublicationProhibited>false</IsPublicationProhibited>
  </dt_LegalEntityDetails>
  <dt_LegalEntityDetails>
    <PartyID>2</PartyID>
    <PartyTypeID>1</PartyTypeID>
    <DecisionID>0</DecisionID>
    <StreetName>הכשרת הישוב 07</StreetName>
    <ZipCode>7565220</ZipCode>
    <CityName>ראשון לציון</CityName>
    <FullName> נפולוני בע"מ</FullName>
    <IsPublicationProhibited>false</IsPublicationProhibited>
  </dt_LegalEntityDetails>
  <dt_LegalEntityDetails>
    <Fax>072-2751860</Fax>
    <Phone>072-2751880</Phone>
    <PartyID>2</PartyID>
    <PartyTypeID>2</PartyTypeID>
    <DecisionID>0</DecisionID>
    <StreetName>משה לוי 11</StreetName>
    <CityName>ראשון לציון</CityName>
    <FullName>ענבל לביא</FullName>
    <Email>inbal@ilavi-law.co.il</Email>
    <IsPublicationProhibited>false</IsPublicationProhibited>
  </dt_LegalEntityDetails>
  <dt_CaseJudicalPersonActive>
    <CaseJudicalPerson>שופטת רחל ערקובי</CaseJudicalPerson>
  </dt_CaseJudicalPersonActive>
  <dt_Sitting>
    <PreviousMeetingDate>2024-02-29T09:30:00+02:00</PreviousMeetingDate>
    <PreviousSittingTypeID>6</PreviousSittingTypeID>
    <PreviousMeetingDisplayName>שופטת נועה גרוסמן</PreviousMeetingDisplayName>
    <PreviousMeetingRoleName>שופט</PreviousMeetingRoleName>
    <PreviousMeetingUserTitleName>שופטת</PreviousMeetingUserTitleName>
    <PreviousMeetingUserUPN>057924821@GOV.IL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4931D-0FB9-454D-A4F0-22B70D26E2B0}">
  <ds:schemaRefs/>
</ds:datastoreItem>
</file>

<file path=customXml/itemProps2.xml><?xml version="1.0" encoding="utf-8"?>
<ds:datastoreItem xmlns:ds="http://schemas.openxmlformats.org/officeDocument/2006/customXml" ds:itemID="{E0346BF6-6D1F-4BB6-8C62-120915A4C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4855</Words>
  <Characters>24276</Characters>
  <Application>Microsoft Office Word</Application>
  <DocSecurity>0</DocSecurity>
  <Lines>202</Lines>
  <Paragraphs>58</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2024-03-10T15:42:00Z</dcterms:created>
  <dcterms:modified xsi:type="dcterms:W3CDTF">2024-03-10T15:42:00Z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C:\Program Files\NGCS\NGCS.Common.WordTemplate.vsto|a6b55e7c-583a-4154-845d-901f18a53e62|vstolocal</vt:lpwstr>
  </property>
  <property fmtid="{D5CDD505-2E9C-101B-9397-08002B2CF9AE}" pid="3" name="_AssemblyName">
    <vt:lpwstr>4E3C66D5-58D4-491E-A7D4-64AF99AF6E8B</vt:lpwstr>
  </property>
  <property fmtid="{D5CDD505-2E9C-101B-9397-08002B2CF9AE}" pid="4" name="GrammarlyDocumentId">
    <vt:lpwstr>1414461f5bac8f5326f148aefac88d3853946e868644246b9f17cd37c416b9e0</vt:lpwstr>
  </property>
</Properties>
</file>