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1F5" w:rsidRDefault="006441F5" w:rsidP="006441F5">
      <w:pPr>
        <w:pStyle w:val="a3"/>
        <w:jc w:val="center"/>
      </w:pPr>
      <w:bookmarkStart w:id="0" w:name="_GoBack"/>
      <w:bookmarkEnd w:id="0"/>
      <w:r>
        <w:rPr>
          <w:noProof/>
        </w:rPr>
        <w:drawing>
          <wp:inline distT="0" distB="0" distL="0" distR="0">
            <wp:extent cx="512445" cy="575310"/>
            <wp:effectExtent l="0" t="0" r="1905" b="0"/>
            <wp:docPr id="1" name="תמונה 1" descr="Men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2445" cy="575310"/>
                    </a:xfrm>
                    <a:prstGeom prst="rect">
                      <a:avLst/>
                    </a:prstGeom>
                    <a:noFill/>
                    <a:ln>
                      <a:noFill/>
                    </a:ln>
                  </pic:spPr>
                </pic:pic>
              </a:graphicData>
            </a:graphic>
          </wp:inline>
        </w:drawing>
      </w:r>
    </w:p>
    <w:tbl>
      <w:tblPr>
        <w:bidiVisual/>
        <w:tblW w:w="0" w:type="auto"/>
        <w:jc w:val="center"/>
        <w:tblLook w:val="04A0" w:firstRow="1" w:lastRow="0" w:firstColumn="1" w:lastColumn="0" w:noHBand="0" w:noVBand="1"/>
      </w:tblPr>
      <w:tblGrid>
        <w:gridCol w:w="5393"/>
        <w:gridCol w:w="282"/>
        <w:gridCol w:w="2631"/>
      </w:tblGrid>
      <w:tr w:rsidR="006441F5" w:rsidTr="006441F5">
        <w:trPr>
          <w:trHeight w:val="418"/>
          <w:jc w:val="center"/>
        </w:trPr>
        <w:sdt>
          <w:sdtPr>
            <w:rPr>
              <w:rtl/>
            </w:rPr>
            <w:alias w:val="162"/>
            <w:tag w:val="162"/>
            <w:id w:val="1282998781"/>
            <w:text w:multiLine="1"/>
          </w:sdtPr>
          <w:sdtEndPr/>
          <w:sdtContent>
            <w:tc>
              <w:tcPr>
                <w:tcW w:w="8504" w:type="dxa"/>
                <w:gridSpan w:val="3"/>
                <w:hideMark/>
              </w:tcPr>
              <w:p w:rsidR="006441F5" w:rsidRDefault="006441F5">
                <w:pPr>
                  <w:pStyle w:val="a3"/>
                  <w:jc w:val="center"/>
                  <w:rPr>
                    <w:rtl/>
                  </w:rPr>
                </w:pPr>
                <w:r>
                  <w:rPr>
                    <w:rFonts w:ascii="Tahoma" w:hAnsi="Tahoma" w:cs="Tahoma"/>
                    <w:b/>
                    <w:bCs/>
                    <w:color w:val="000080"/>
                    <w:sz w:val="20"/>
                    <w:szCs w:val="20"/>
                    <w:rtl/>
                  </w:rPr>
                  <w:t>בית משפט השלום בכפר סבא</w:t>
                </w:r>
              </w:p>
            </w:tc>
          </w:sdtContent>
        </w:sdt>
      </w:tr>
      <w:tr w:rsidR="006441F5" w:rsidTr="006441F5">
        <w:trPr>
          <w:trHeight w:val="337"/>
          <w:jc w:val="center"/>
        </w:trPr>
        <w:tc>
          <w:tcPr>
            <w:tcW w:w="5527" w:type="dxa"/>
          </w:tcPr>
          <w:p w:rsidR="006441F5" w:rsidRDefault="006441F5">
            <w:pPr>
              <w:rPr>
                <w:b/>
                <w:bCs/>
                <w:sz w:val="26"/>
                <w:szCs w:val="26"/>
                <w:rtl/>
              </w:rPr>
            </w:pPr>
          </w:p>
        </w:tc>
        <w:tc>
          <w:tcPr>
            <w:tcW w:w="283" w:type="dxa"/>
          </w:tcPr>
          <w:p w:rsidR="006441F5" w:rsidRDefault="006441F5">
            <w:pPr>
              <w:pStyle w:val="a3"/>
              <w:jc w:val="right"/>
              <w:rPr>
                <w:b/>
                <w:bCs/>
                <w:sz w:val="26"/>
                <w:szCs w:val="26"/>
                <w:rtl/>
              </w:rPr>
            </w:pPr>
          </w:p>
        </w:tc>
        <w:tc>
          <w:tcPr>
            <w:tcW w:w="2694" w:type="dxa"/>
          </w:tcPr>
          <w:p w:rsidR="006441F5" w:rsidRDefault="006441F5">
            <w:pPr>
              <w:pStyle w:val="a3"/>
              <w:tabs>
                <w:tab w:val="clear" w:pos="4153"/>
              </w:tabs>
              <w:jc w:val="right"/>
              <w:rPr>
                <w:b/>
                <w:bCs/>
                <w:sz w:val="26"/>
                <w:szCs w:val="26"/>
                <w:rtl/>
              </w:rPr>
            </w:pPr>
          </w:p>
        </w:tc>
      </w:tr>
    </w:tbl>
    <w:p w:rsidR="006441F5" w:rsidRPr="006441F5" w:rsidRDefault="006441F5" w:rsidP="006441F5">
      <w:pPr>
        <w:spacing w:after="0" w:line="360" w:lineRule="auto"/>
        <w:jc w:val="center"/>
        <w:rPr>
          <w:rFonts w:ascii="FrankRuehl" w:hAnsi="FrankRuehl" w:cs="FrankRuehl"/>
          <w:b/>
          <w:bCs/>
          <w:sz w:val="28"/>
          <w:szCs w:val="28"/>
          <w:u w:val="single"/>
          <w:rtl/>
        </w:rPr>
      </w:pPr>
      <w:r w:rsidRPr="006441F5">
        <w:rPr>
          <w:rFonts w:ascii="FrankRuehl" w:hAnsi="FrankRuehl" w:cs="FrankRuehl"/>
          <w:b/>
          <w:bCs/>
          <w:sz w:val="28"/>
          <w:szCs w:val="28"/>
          <w:u w:val="single"/>
          <w:rtl/>
        </w:rPr>
        <w:t>תקציר פסק דין 52748-08-20 דנה כשדי נגד יאיר נתניהו</w:t>
      </w:r>
    </w:p>
    <w:p w:rsidR="006441F5" w:rsidRPr="006441F5" w:rsidRDefault="006441F5" w:rsidP="006441F5">
      <w:pPr>
        <w:spacing w:after="0" w:line="360" w:lineRule="auto"/>
        <w:jc w:val="center"/>
        <w:rPr>
          <w:rFonts w:ascii="FrankRuehl" w:hAnsi="FrankRuehl" w:cs="FrankRuehl"/>
          <w:b/>
          <w:bCs/>
          <w:sz w:val="28"/>
          <w:szCs w:val="28"/>
          <w:u w:val="single"/>
          <w:rtl/>
        </w:rPr>
      </w:pPr>
      <w:r w:rsidRPr="006441F5">
        <w:rPr>
          <w:rFonts w:ascii="FrankRuehl" w:hAnsi="FrankRuehl" w:cs="FrankRuehl" w:hint="cs"/>
          <w:b/>
          <w:bCs/>
          <w:sz w:val="28"/>
          <w:szCs w:val="28"/>
          <w:u w:val="single"/>
          <w:rtl/>
        </w:rPr>
        <w:t xml:space="preserve">השופט רונן פלג </w:t>
      </w:r>
    </w:p>
    <w:p w:rsidR="003F3918" w:rsidRDefault="003F3918" w:rsidP="003F3918">
      <w:pPr>
        <w:spacing w:after="0" w:line="360" w:lineRule="auto"/>
        <w:jc w:val="both"/>
        <w:rPr>
          <w:rFonts w:ascii="David" w:hAnsi="David" w:cs="David"/>
          <w:sz w:val="24"/>
          <w:szCs w:val="24"/>
          <w:rtl/>
        </w:rPr>
      </w:pPr>
    </w:p>
    <w:p w:rsidR="00D44E49" w:rsidRPr="003F3918" w:rsidRDefault="00D44E49" w:rsidP="00D44E49">
      <w:pPr>
        <w:spacing w:after="0" w:line="360" w:lineRule="auto"/>
        <w:jc w:val="both"/>
        <w:rPr>
          <w:rFonts w:ascii="Arial" w:eastAsia="Times New Roman" w:hAnsi="Arial" w:cs="David"/>
          <w:sz w:val="24"/>
          <w:szCs w:val="24"/>
        </w:rPr>
      </w:pPr>
      <w:r w:rsidRPr="003F3918">
        <w:rPr>
          <w:rFonts w:ascii="Arial" w:eastAsia="Times New Roman" w:hAnsi="Arial" w:cs="David"/>
          <w:sz w:val="24"/>
          <w:szCs w:val="24"/>
          <w:rtl/>
        </w:rPr>
        <w:t xml:space="preserve">הפרסומים שנסקרו </w:t>
      </w:r>
      <w:r>
        <w:rPr>
          <w:rFonts w:ascii="Arial" w:eastAsia="Times New Roman" w:hAnsi="Arial" w:cs="David" w:hint="cs"/>
          <w:sz w:val="24"/>
          <w:szCs w:val="24"/>
          <w:rtl/>
        </w:rPr>
        <w:t>וצוטטו בפסק הדין</w:t>
      </w:r>
      <w:r w:rsidRPr="003F3918">
        <w:rPr>
          <w:rFonts w:ascii="Arial" w:eastAsia="Times New Roman" w:hAnsi="Arial" w:cs="David"/>
          <w:sz w:val="24"/>
          <w:szCs w:val="24"/>
          <w:rtl/>
        </w:rPr>
        <w:t xml:space="preserve"> והתגובות שנלוו להם, הם דוגמה מובהקת לשיח האלים, הבוטה ולעתים גם המביש המתנהל ברשתות החברתיות. </w:t>
      </w:r>
      <w:r>
        <w:rPr>
          <w:rFonts w:ascii="Arial" w:eastAsia="Times New Roman" w:hAnsi="Arial" w:cs="David" w:hint="cs"/>
          <w:sz w:val="24"/>
          <w:szCs w:val="24"/>
          <w:rtl/>
        </w:rPr>
        <w:t>חלק</w:t>
      </w:r>
      <w:r w:rsidRPr="003F3918">
        <w:rPr>
          <w:rFonts w:ascii="Arial" w:eastAsia="Times New Roman" w:hAnsi="Arial" w:cs="David"/>
          <w:sz w:val="24"/>
          <w:szCs w:val="24"/>
          <w:rtl/>
        </w:rPr>
        <w:t xml:space="preserve"> מהאמירות מזעזע ממש ומשולח כל רסן.</w:t>
      </w:r>
      <w:r>
        <w:rPr>
          <w:rFonts w:ascii="Arial" w:eastAsia="Times New Roman" w:hAnsi="Arial" w:cs="David" w:hint="cs"/>
          <w:sz w:val="24"/>
          <w:szCs w:val="24"/>
          <w:rtl/>
        </w:rPr>
        <w:t xml:space="preserve"> </w:t>
      </w:r>
      <w:r w:rsidRPr="003F3918">
        <w:rPr>
          <w:rFonts w:ascii="Arial" w:eastAsia="Times New Roman" w:hAnsi="Arial" w:cs="David"/>
          <w:sz w:val="24"/>
          <w:szCs w:val="24"/>
          <w:rtl/>
        </w:rPr>
        <w:t>על רקע זה, ראוי לכל אדם, ומקל וחומר לבנו של ראש ממשלת ישראל, שמספר עוקביו כ</w:t>
      </w:r>
      <w:r>
        <w:rPr>
          <w:rFonts w:ascii="Arial" w:eastAsia="Times New Roman" w:hAnsi="Arial" w:cs="David" w:hint="cs"/>
          <w:sz w:val="24"/>
          <w:szCs w:val="24"/>
          <w:rtl/>
        </w:rPr>
        <w:t>אמור רב מאד</w:t>
      </w:r>
      <w:r w:rsidRPr="003F3918">
        <w:rPr>
          <w:rFonts w:ascii="Arial" w:eastAsia="Times New Roman" w:hAnsi="Arial" w:cs="David"/>
          <w:sz w:val="24"/>
          <w:szCs w:val="24"/>
          <w:rtl/>
        </w:rPr>
        <w:t>, להפגין ריסון עצמי וזהירות בהתבטאויות ובפרסומים.</w:t>
      </w:r>
      <w:r>
        <w:rPr>
          <w:rFonts w:ascii="Arial" w:eastAsia="Times New Roman" w:hAnsi="Arial" w:cs="David" w:hint="cs"/>
          <w:sz w:val="24"/>
          <w:szCs w:val="24"/>
          <w:rtl/>
        </w:rPr>
        <w:t xml:space="preserve"> </w:t>
      </w:r>
      <w:r w:rsidRPr="003F3918">
        <w:rPr>
          <w:rFonts w:ascii="Arial" w:eastAsia="Times New Roman" w:hAnsi="Arial" w:cs="David"/>
          <w:sz w:val="24"/>
          <w:szCs w:val="24"/>
          <w:rtl/>
        </w:rPr>
        <w:t>ראוי להבהיר לנתבע וליתר המשתמשים ברשתות החברתיות, כי גם בשימוש היומיומי הנעשה בכל מקום באמצעות הטלפונים הניידים ובאמצעים אחרים, יש להישמר מפגיעה בשמם הטוב של אחרים.</w:t>
      </w:r>
    </w:p>
    <w:p w:rsidR="00D44E49" w:rsidRDefault="00D44E49" w:rsidP="003F3918">
      <w:pPr>
        <w:spacing w:after="0" w:line="360" w:lineRule="auto"/>
        <w:jc w:val="both"/>
        <w:rPr>
          <w:rFonts w:ascii="David" w:hAnsi="David" w:cs="David"/>
          <w:sz w:val="24"/>
          <w:szCs w:val="24"/>
          <w:rtl/>
        </w:rPr>
      </w:pPr>
    </w:p>
    <w:p w:rsidR="003F3918" w:rsidRPr="006441F5" w:rsidRDefault="003F3918" w:rsidP="003F3918">
      <w:pPr>
        <w:spacing w:after="0" w:line="360" w:lineRule="auto"/>
        <w:jc w:val="both"/>
        <w:rPr>
          <w:rFonts w:ascii="David" w:hAnsi="David" w:cs="David"/>
          <w:sz w:val="24"/>
          <w:szCs w:val="24"/>
          <w:rtl/>
        </w:rPr>
      </w:pPr>
      <w:r w:rsidRPr="006441F5">
        <w:rPr>
          <w:rFonts w:ascii="David" w:hAnsi="David" w:cs="David"/>
          <w:sz w:val="24"/>
          <w:szCs w:val="24"/>
          <w:rtl/>
        </w:rPr>
        <w:t xml:space="preserve">התובעת הגישה נגד הנתבע תביעה כספית לסך של 500,000 ₪ בעילה מכוח חוק איסור לשון הרע, תשכ"ה - 1965. כתב התביעה </w:t>
      </w:r>
      <w:r>
        <w:rPr>
          <w:rFonts w:ascii="David" w:hAnsi="David" w:cs="David" w:hint="cs"/>
          <w:sz w:val="24"/>
          <w:szCs w:val="24"/>
          <w:rtl/>
        </w:rPr>
        <w:t>פירט</w:t>
      </w:r>
      <w:r w:rsidRPr="006441F5">
        <w:rPr>
          <w:rFonts w:ascii="David" w:hAnsi="David" w:cs="David"/>
          <w:sz w:val="24"/>
          <w:szCs w:val="24"/>
          <w:rtl/>
        </w:rPr>
        <w:t xml:space="preserve"> בנוסף עילות תביעה מכוח חוק הגנת הפרטיות, תשמ"א - 1981, והחוק למניעת הטרדה מינית, תשנ"ח - 1998.</w:t>
      </w:r>
    </w:p>
    <w:p w:rsidR="003F3918" w:rsidRDefault="003F3918" w:rsidP="003F3918">
      <w:pPr>
        <w:spacing w:after="0" w:line="360" w:lineRule="auto"/>
        <w:jc w:val="both"/>
        <w:rPr>
          <w:rFonts w:ascii="David" w:hAnsi="David" w:cs="David"/>
          <w:sz w:val="24"/>
          <w:szCs w:val="24"/>
          <w:rtl/>
        </w:rPr>
      </w:pPr>
    </w:p>
    <w:p w:rsidR="003F3918" w:rsidRDefault="003F3918" w:rsidP="008E439A">
      <w:pPr>
        <w:spacing w:after="0" w:line="360" w:lineRule="auto"/>
        <w:jc w:val="both"/>
        <w:rPr>
          <w:rFonts w:ascii="Arial" w:eastAsia="Times New Roman" w:hAnsi="Arial" w:cs="David"/>
          <w:sz w:val="24"/>
          <w:szCs w:val="24"/>
          <w:rtl/>
        </w:rPr>
      </w:pPr>
      <w:r w:rsidRPr="006441F5">
        <w:rPr>
          <w:rFonts w:ascii="David" w:hAnsi="David" w:cs="David"/>
          <w:sz w:val="24"/>
          <w:szCs w:val="24"/>
          <w:rtl/>
        </w:rPr>
        <w:t>המ</w:t>
      </w:r>
      <w:r>
        <w:rPr>
          <w:rFonts w:ascii="David" w:hAnsi="David" w:cs="David"/>
          <w:sz w:val="24"/>
          <w:szCs w:val="24"/>
          <w:rtl/>
        </w:rPr>
        <w:t xml:space="preserve">חלוקת בין הצדדים </w:t>
      </w:r>
      <w:r>
        <w:rPr>
          <w:rFonts w:ascii="David" w:hAnsi="David" w:cs="David" w:hint="cs"/>
          <w:sz w:val="24"/>
          <w:szCs w:val="24"/>
          <w:rtl/>
        </w:rPr>
        <w:t>התמקדה</w:t>
      </w:r>
      <w:r>
        <w:rPr>
          <w:rFonts w:ascii="David" w:hAnsi="David" w:cs="David"/>
          <w:sz w:val="24"/>
          <w:szCs w:val="24"/>
          <w:rtl/>
        </w:rPr>
        <w:t xml:space="preserve"> בפרשנות</w:t>
      </w:r>
      <w:r>
        <w:rPr>
          <w:rFonts w:ascii="David" w:hAnsi="David" w:cs="David" w:hint="cs"/>
          <w:sz w:val="24"/>
          <w:szCs w:val="24"/>
          <w:rtl/>
        </w:rPr>
        <w:t xml:space="preserve">ם של שני ציוצים </w:t>
      </w:r>
      <w:r w:rsidR="009E645A">
        <w:rPr>
          <w:rFonts w:ascii="David" w:hAnsi="David" w:cs="David" w:hint="cs"/>
          <w:sz w:val="24"/>
          <w:szCs w:val="24"/>
          <w:rtl/>
        </w:rPr>
        <w:t>שהנתבע פרסם</w:t>
      </w:r>
      <w:r>
        <w:rPr>
          <w:rFonts w:ascii="David" w:hAnsi="David" w:cs="David" w:hint="cs"/>
          <w:sz w:val="24"/>
          <w:szCs w:val="24"/>
          <w:rtl/>
        </w:rPr>
        <w:t xml:space="preserve"> ברשת הטוויטר ב</w:t>
      </w:r>
      <w:r w:rsidR="008E439A">
        <w:rPr>
          <w:rFonts w:ascii="David" w:hAnsi="David" w:cs="David" w:hint="cs"/>
          <w:sz w:val="24"/>
          <w:szCs w:val="24"/>
          <w:rtl/>
        </w:rPr>
        <w:t>קשר</w:t>
      </w:r>
      <w:r>
        <w:rPr>
          <w:rFonts w:ascii="David" w:hAnsi="David" w:cs="David" w:hint="cs"/>
          <w:sz w:val="24"/>
          <w:szCs w:val="24"/>
          <w:rtl/>
        </w:rPr>
        <w:t xml:space="preserve"> לתובעת, </w:t>
      </w:r>
      <w:r w:rsidRPr="003F3918">
        <w:rPr>
          <w:rFonts w:ascii="Arial" w:eastAsia="Times New Roman" w:hAnsi="Arial" w:cs="David"/>
          <w:sz w:val="24"/>
          <w:szCs w:val="24"/>
          <w:rtl/>
        </w:rPr>
        <w:t xml:space="preserve">בתקופת מערכת הבחירות לכנסת ה- 23, לקראת יום הבחירות שהתקיים בתאריך 2/3/20. </w:t>
      </w:r>
    </w:p>
    <w:p w:rsidR="003F3918" w:rsidRDefault="003F3918" w:rsidP="003F3918">
      <w:pPr>
        <w:spacing w:after="0" w:line="360" w:lineRule="auto"/>
        <w:jc w:val="both"/>
        <w:rPr>
          <w:rFonts w:ascii="Arial" w:eastAsia="Times New Roman" w:hAnsi="Arial" w:cs="David"/>
          <w:sz w:val="24"/>
          <w:szCs w:val="24"/>
          <w:rtl/>
        </w:rPr>
      </w:pPr>
    </w:p>
    <w:p w:rsidR="003F3918" w:rsidRPr="003F3918" w:rsidRDefault="003F3918" w:rsidP="003F3918">
      <w:pPr>
        <w:spacing w:after="0" w:line="360" w:lineRule="auto"/>
        <w:jc w:val="both"/>
        <w:rPr>
          <w:rFonts w:ascii="David" w:hAnsi="David" w:cs="David"/>
          <w:sz w:val="24"/>
          <w:szCs w:val="24"/>
          <w:rtl/>
        </w:rPr>
      </w:pPr>
      <w:r w:rsidRPr="003F3918">
        <w:rPr>
          <w:rFonts w:ascii="Arial" w:eastAsia="Times New Roman" w:hAnsi="Arial" w:cs="David"/>
          <w:sz w:val="24"/>
          <w:szCs w:val="24"/>
          <w:rtl/>
        </w:rPr>
        <w:t xml:space="preserve">לפי טענת התובעת, שני הפרסומים </w:t>
      </w:r>
      <w:r>
        <w:rPr>
          <w:rFonts w:ascii="Arial" w:eastAsia="Times New Roman" w:hAnsi="Arial" w:cs="David" w:hint="cs"/>
          <w:sz w:val="24"/>
          <w:szCs w:val="24"/>
          <w:rtl/>
        </w:rPr>
        <w:t>רמזו</w:t>
      </w:r>
      <w:r w:rsidRPr="003F3918">
        <w:rPr>
          <w:rFonts w:ascii="Arial" w:eastAsia="Times New Roman" w:hAnsi="Arial" w:cs="David"/>
          <w:sz w:val="24"/>
          <w:szCs w:val="24"/>
          <w:rtl/>
        </w:rPr>
        <w:t xml:space="preserve"> </w:t>
      </w:r>
      <w:r>
        <w:rPr>
          <w:rFonts w:ascii="Arial" w:eastAsia="Times New Roman" w:hAnsi="Arial" w:cs="David" w:hint="cs"/>
          <w:sz w:val="24"/>
          <w:szCs w:val="24"/>
          <w:rtl/>
        </w:rPr>
        <w:t xml:space="preserve">על </w:t>
      </w:r>
      <w:r w:rsidRPr="003F3918">
        <w:rPr>
          <w:rFonts w:ascii="Arial" w:eastAsia="Times New Roman" w:hAnsi="Arial" w:cs="David"/>
          <w:sz w:val="24"/>
          <w:szCs w:val="24"/>
          <w:rtl/>
        </w:rPr>
        <w:t>מערכת יחסים אינטימית ומינית בינה ובין מר בני גנץ, הרמטכ"ל ה- 20 של צה"ל, ומי שלאחר מערכת הבחירות המדוברת כיהן כראש ממשלת ישראל החלופי וכשר הביטחון.</w:t>
      </w:r>
      <w:r>
        <w:rPr>
          <w:rFonts w:ascii="Arial" w:eastAsia="Times New Roman" w:hAnsi="Arial" w:cs="David" w:hint="cs"/>
          <w:sz w:val="24"/>
          <w:szCs w:val="24"/>
          <w:rtl/>
        </w:rPr>
        <w:t xml:space="preserve"> </w:t>
      </w:r>
      <w:r w:rsidRPr="006441F5">
        <w:rPr>
          <w:rFonts w:ascii="David" w:hAnsi="David" w:cs="David"/>
          <w:sz w:val="24"/>
          <w:szCs w:val="24"/>
          <w:rtl/>
        </w:rPr>
        <w:t>הנתבע</w:t>
      </w:r>
      <w:r>
        <w:rPr>
          <w:rFonts w:ascii="David" w:hAnsi="David" w:cs="David" w:hint="cs"/>
          <w:sz w:val="24"/>
          <w:szCs w:val="24"/>
          <w:rtl/>
        </w:rPr>
        <w:t>,</w:t>
      </w:r>
      <w:r w:rsidRPr="006441F5">
        <w:rPr>
          <w:rFonts w:ascii="David" w:hAnsi="David" w:cs="David"/>
          <w:sz w:val="24"/>
          <w:szCs w:val="24"/>
          <w:rtl/>
        </w:rPr>
        <w:t xml:space="preserve"> </w:t>
      </w:r>
      <w:r>
        <w:rPr>
          <w:rFonts w:ascii="David" w:hAnsi="David" w:cs="David" w:hint="cs"/>
          <w:sz w:val="24"/>
          <w:szCs w:val="24"/>
          <w:rtl/>
        </w:rPr>
        <w:t xml:space="preserve">לעומת זאת, טען שמשמעות הציוצים תמימה  </w:t>
      </w:r>
      <w:r w:rsidRPr="006441F5">
        <w:rPr>
          <w:rFonts w:ascii="David" w:hAnsi="David" w:cs="David"/>
          <w:sz w:val="24"/>
          <w:szCs w:val="24"/>
          <w:rtl/>
        </w:rPr>
        <w:t xml:space="preserve">לחלוטין, </w:t>
      </w:r>
      <w:r>
        <w:rPr>
          <w:rFonts w:ascii="David" w:hAnsi="David" w:cs="David" w:hint="cs"/>
          <w:sz w:val="24"/>
          <w:szCs w:val="24"/>
          <w:rtl/>
        </w:rPr>
        <w:t xml:space="preserve">ושהם אינם נוגעים או רומזים </w:t>
      </w:r>
      <w:r w:rsidRPr="006441F5">
        <w:rPr>
          <w:rFonts w:ascii="David" w:hAnsi="David" w:cs="David"/>
          <w:sz w:val="24"/>
          <w:szCs w:val="24"/>
          <w:rtl/>
        </w:rPr>
        <w:t>לקשר לא ראוי בין התובעת ובין מר גנץ.</w:t>
      </w:r>
    </w:p>
    <w:p w:rsidR="003F3918" w:rsidRDefault="003F3918" w:rsidP="003F3918">
      <w:pPr>
        <w:spacing w:after="0" w:line="360" w:lineRule="auto"/>
        <w:jc w:val="both"/>
        <w:rPr>
          <w:rFonts w:ascii="David" w:hAnsi="David" w:cs="David"/>
          <w:sz w:val="24"/>
          <w:szCs w:val="24"/>
          <w:rtl/>
        </w:rPr>
      </w:pPr>
    </w:p>
    <w:p w:rsidR="003F3918" w:rsidRPr="006441F5" w:rsidRDefault="003F3918" w:rsidP="009E645A">
      <w:pPr>
        <w:spacing w:after="0" w:line="360" w:lineRule="auto"/>
        <w:jc w:val="both"/>
        <w:rPr>
          <w:rFonts w:ascii="David" w:hAnsi="David" w:cs="David"/>
          <w:sz w:val="24"/>
          <w:szCs w:val="24"/>
          <w:rtl/>
        </w:rPr>
      </w:pPr>
      <w:r w:rsidRPr="006441F5">
        <w:rPr>
          <w:rFonts w:ascii="David" w:hAnsi="David" w:cs="David"/>
          <w:sz w:val="24"/>
          <w:szCs w:val="24"/>
          <w:rtl/>
        </w:rPr>
        <w:t>לפי הפסיקה, המבחן לפרשנות</w:t>
      </w:r>
      <w:r w:rsidR="009E645A">
        <w:rPr>
          <w:rFonts w:ascii="David" w:hAnsi="David" w:cs="David" w:hint="cs"/>
          <w:sz w:val="24"/>
          <w:szCs w:val="24"/>
          <w:rtl/>
        </w:rPr>
        <w:t>ם של פרסומים</w:t>
      </w:r>
      <w:r w:rsidRPr="006441F5">
        <w:rPr>
          <w:rFonts w:ascii="David" w:hAnsi="David" w:cs="David"/>
          <w:sz w:val="24"/>
          <w:szCs w:val="24"/>
          <w:rtl/>
        </w:rPr>
        <w:t xml:space="preserve"> הוא מבחן אובייקטיבי. על בית המשפט לקבוע מהי המשמעות שקורא סביר היה מייחס למילים, דהיינו המשמעות הרגילה והטבעית של הדברים בעיני "האדם הרגיל" או "האדם שברחוב"</w:t>
      </w:r>
      <w:r>
        <w:rPr>
          <w:rFonts w:ascii="David" w:hAnsi="David" w:cs="David" w:hint="cs"/>
          <w:sz w:val="24"/>
          <w:szCs w:val="24"/>
          <w:rtl/>
        </w:rPr>
        <w:t>.</w:t>
      </w:r>
    </w:p>
    <w:p w:rsidR="006441F5" w:rsidRDefault="006441F5" w:rsidP="003F3918">
      <w:pPr>
        <w:spacing w:after="0" w:line="360" w:lineRule="auto"/>
        <w:jc w:val="both"/>
        <w:rPr>
          <w:rFonts w:ascii="FrankRuehl" w:hAnsi="FrankRuehl" w:cs="FrankRuehl"/>
          <w:b/>
          <w:bCs/>
          <w:sz w:val="24"/>
          <w:szCs w:val="24"/>
          <w:u w:val="single"/>
          <w:rtl/>
        </w:rPr>
      </w:pPr>
    </w:p>
    <w:p w:rsidR="003F3918" w:rsidRDefault="003F3918" w:rsidP="003F3918">
      <w:pPr>
        <w:spacing w:after="0" w:line="360" w:lineRule="auto"/>
        <w:jc w:val="both"/>
        <w:rPr>
          <w:rFonts w:ascii="David" w:hAnsi="David" w:cs="David"/>
          <w:sz w:val="24"/>
          <w:szCs w:val="24"/>
          <w:rtl/>
        </w:rPr>
      </w:pPr>
      <w:r w:rsidRPr="006441F5">
        <w:rPr>
          <w:rFonts w:ascii="David" w:hAnsi="David" w:cs="David"/>
          <w:sz w:val="24"/>
          <w:szCs w:val="24"/>
          <w:rtl/>
        </w:rPr>
        <w:t>הוכח לפני</w:t>
      </w:r>
      <w:r>
        <w:rPr>
          <w:rFonts w:ascii="David" w:hAnsi="David" w:cs="David" w:hint="cs"/>
          <w:sz w:val="24"/>
          <w:szCs w:val="24"/>
          <w:rtl/>
        </w:rPr>
        <w:t xml:space="preserve"> בית המשפט</w:t>
      </w:r>
      <w:r w:rsidR="008E439A">
        <w:rPr>
          <w:rFonts w:ascii="David" w:hAnsi="David" w:cs="David" w:hint="cs"/>
          <w:sz w:val="24"/>
          <w:szCs w:val="24"/>
          <w:rtl/>
        </w:rPr>
        <w:t>,</w:t>
      </w:r>
      <w:r w:rsidRPr="006441F5">
        <w:rPr>
          <w:rFonts w:ascii="David" w:hAnsi="David" w:cs="David"/>
          <w:sz w:val="24"/>
          <w:szCs w:val="24"/>
          <w:rtl/>
        </w:rPr>
        <w:t xml:space="preserve"> כי בימים שסבבו את מועדי שני הציוצים שפורסמו בקשר לתובעת, הנתבע פרסם מספר פרסומים בוטים, שייחסו למר בני גנץ עיסוק במין ויחסים מחוץ לנישואין עם מאהבות. אכן, הנתבע צייץ באותה תקופה ציוצים גם בנושאים אחרים, ואולם העיסוק בחיי המין הנטענים של מר גנץ היה עקבי ויומיומי, כך שעוקביו הרבים</w:t>
      </w:r>
      <w:r>
        <w:rPr>
          <w:rFonts w:ascii="David" w:hAnsi="David" w:cs="David" w:hint="cs"/>
          <w:sz w:val="24"/>
          <w:szCs w:val="24"/>
          <w:rtl/>
        </w:rPr>
        <w:t xml:space="preserve">, כ- 140,000 איש, </w:t>
      </w:r>
      <w:r w:rsidRPr="006441F5">
        <w:rPr>
          <w:rFonts w:ascii="David" w:hAnsi="David" w:cs="David"/>
          <w:sz w:val="24"/>
          <w:szCs w:val="24"/>
          <w:rtl/>
        </w:rPr>
        <w:t>היו בהחלט מודעים וערים לו.</w:t>
      </w:r>
      <w:r>
        <w:rPr>
          <w:rFonts w:ascii="David" w:hAnsi="David" w:cs="David" w:hint="cs"/>
          <w:sz w:val="24"/>
          <w:szCs w:val="24"/>
          <w:rtl/>
        </w:rPr>
        <w:t xml:space="preserve"> </w:t>
      </w:r>
    </w:p>
    <w:p w:rsidR="003F3918" w:rsidRDefault="003F3918" w:rsidP="003F3918">
      <w:pPr>
        <w:spacing w:after="0" w:line="360" w:lineRule="auto"/>
        <w:jc w:val="both"/>
        <w:rPr>
          <w:rFonts w:ascii="David" w:hAnsi="David" w:cs="David"/>
          <w:sz w:val="24"/>
          <w:szCs w:val="24"/>
          <w:rtl/>
        </w:rPr>
      </w:pPr>
    </w:p>
    <w:p w:rsidR="003F3918" w:rsidRDefault="003F3918" w:rsidP="009E645A">
      <w:pPr>
        <w:spacing w:after="0" w:line="360" w:lineRule="auto"/>
        <w:jc w:val="both"/>
        <w:rPr>
          <w:rFonts w:ascii="David" w:hAnsi="David" w:cs="David"/>
          <w:sz w:val="24"/>
          <w:szCs w:val="24"/>
          <w:rtl/>
        </w:rPr>
      </w:pPr>
      <w:r w:rsidRPr="003F3918">
        <w:rPr>
          <w:rFonts w:ascii="David" w:hAnsi="David" w:cs="David"/>
          <w:sz w:val="24"/>
          <w:szCs w:val="24"/>
          <w:rtl/>
        </w:rPr>
        <w:t>על אף שאמיתותם של הפרסומים נגד מר גנץ לא הייתה בלב המחלוקת בתיק זה, די היה בתשובותיו המתחמקות והמגומגמות של הנתבע במענה לשאלות שעסקו בנושא, כדי להעיד על כך שאז וגם היום, יותר מ- 3 שנים אחרי, אין בידיו ראיה לנכונותם.</w:t>
      </w:r>
    </w:p>
    <w:p w:rsidR="003F3918" w:rsidRDefault="003F3918" w:rsidP="003F3918">
      <w:pPr>
        <w:spacing w:after="0" w:line="360" w:lineRule="auto"/>
        <w:jc w:val="both"/>
        <w:rPr>
          <w:rFonts w:ascii="David" w:hAnsi="David" w:cs="David"/>
          <w:sz w:val="24"/>
          <w:szCs w:val="24"/>
          <w:rtl/>
        </w:rPr>
      </w:pPr>
    </w:p>
    <w:p w:rsidR="008E439A" w:rsidRPr="008E439A" w:rsidRDefault="003F3918" w:rsidP="008E439A">
      <w:pPr>
        <w:spacing w:line="360" w:lineRule="auto"/>
        <w:jc w:val="both"/>
        <w:rPr>
          <w:rFonts w:ascii="Arial" w:eastAsia="Times New Roman" w:hAnsi="Arial" w:cs="David"/>
          <w:sz w:val="24"/>
          <w:szCs w:val="24"/>
        </w:rPr>
      </w:pPr>
      <w:r>
        <w:rPr>
          <w:rFonts w:ascii="David" w:hAnsi="David" w:cs="David" w:hint="cs"/>
          <w:sz w:val="24"/>
          <w:szCs w:val="24"/>
          <w:rtl/>
        </w:rPr>
        <w:t xml:space="preserve">בית המשפט מצא כי </w:t>
      </w:r>
      <w:r w:rsidRPr="003F3918">
        <w:rPr>
          <w:rFonts w:ascii="David" w:hAnsi="David" w:cs="David"/>
          <w:sz w:val="24"/>
          <w:szCs w:val="24"/>
          <w:rtl/>
        </w:rPr>
        <w:t>הציוצים שפרסם הנתבע בעניין התובעת</w:t>
      </w:r>
      <w:r>
        <w:rPr>
          <w:rFonts w:ascii="David" w:hAnsi="David" w:cs="David" w:hint="cs"/>
          <w:sz w:val="24"/>
          <w:szCs w:val="24"/>
          <w:rtl/>
        </w:rPr>
        <w:t>,</w:t>
      </w:r>
      <w:r w:rsidRPr="003F3918">
        <w:rPr>
          <w:rFonts w:ascii="David" w:hAnsi="David" w:cs="David"/>
          <w:sz w:val="24"/>
          <w:szCs w:val="24"/>
          <w:rtl/>
        </w:rPr>
        <w:t xml:space="preserve"> </w:t>
      </w:r>
      <w:r w:rsidRPr="003F3918">
        <w:rPr>
          <w:rFonts w:ascii="Arial" w:eastAsia="Times New Roman" w:hAnsi="Arial" w:cs="David"/>
          <w:sz w:val="24"/>
          <w:szCs w:val="24"/>
          <w:rtl/>
        </w:rPr>
        <w:t xml:space="preserve">פעילה פוליטית זוטרה </w:t>
      </w:r>
      <w:r>
        <w:rPr>
          <w:rFonts w:ascii="Arial" w:eastAsia="Times New Roman" w:hAnsi="Arial" w:cs="David" w:hint="cs"/>
          <w:sz w:val="24"/>
          <w:szCs w:val="24"/>
          <w:rtl/>
        </w:rPr>
        <w:t>במפלגת "כחול לבן"</w:t>
      </w:r>
      <w:r w:rsidRPr="003F3918">
        <w:rPr>
          <w:rFonts w:ascii="Arial" w:eastAsia="Times New Roman" w:hAnsi="Arial" w:cs="David"/>
          <w:sz w:val="24"/>
          <w:szCs w:val="24"/>
          <w:rtl/>
        </w:rPr>
        <w:t xml:space="preserve">, </w:t>
      </w:r>
      <w:r w:rsidRPr="003F3918">
        <w:rPr>
          <w:rFonts w:ascii="David" w:hAnsi="David" w:cs="David"/>
          <w:sz w:val="24"/>
          <w:szCs w:val="24"/>
          <w:rtl/>
        </w:rPr>
        <w:t>היו רחוקים מלהיות תמימים.</w:t>
      </w:r>
      <w:r w:rsidRPr="003F3918">
        <w:rPr>
          <w:rFonts w:ascii="Arial" w:eastAsia="Times New Roman" w:hAnsi="Arial" w:cs="David"/>
          <w:sz w:val="24"/>
          <w:szCs w:val="24"/>
          <w:rtl/>
        </w:rPr>
        <w:t xml:space="preserve"> </w:t>
      </w:r>
      <w:r>
        <w:rPr>
          <w:rFonts w:ascii="Arial" w:eastAsia="Times New Roman" w:hAnsi="Arial" w:cs="David" w:hint="cs"/>
          <w:sz w:val="24"/>
          <w:szCs w:val="24"/>
          <w:rtl/>
        </w:rPr>
        <w:t>הציוצים יצרו</w:t>
      </w:r>
      <w:r w:rsidRPr="003F3918">
        <w:rPr>
          <w:rFonts w:ascii="Arial" w:eastAsia="Times New Roman" w:hAnsi="Arial" w:cs="David"/>
          <w:sz w:val="24"/>
          <w:szCs w:val="24"/>
          <w:rtl/>
        </w:rPr>
        <w:t xml:space="preserve"> אצל מי מעוקביו </w:t>
      </w:r>
      <w:r>
        <w:rPr>
          <w:rFonts w:ascii="Arial" w:eastAsia="Times New Roman" w:hAnsi="Arial" w:cs="David" w:hint="cs"/>
          <w:sz w:val="24"/>
          <w:szCs w:val="24"/>
          <w:rtl/>
        </w:rPr>
        <w:t xml:space="preserve">של הנתבע </w:t>
      </w:r>
      <w:r w:rsidRPr="003F3918">
        <w:rPr>
          <w:rFonts w:ascii="Arial" w:eastAsia="Times New Roman" w:hAnsi="Arial" w:cs="David"/>
          <w:sz w:val="24"/>
          <w:szCs w:val="24"/>
          <w:rtl/>
        </w:rPr>
        <w:t xml:space="preserve">קשר מיידי אל אותן הכפשות שעסקו בחיי המין לכאורה של </w:t>
      </w:r>
      <w:r>
        <w:rPr>
          <w:rFonts w:ascii="Arial" w:eastAsia="Times New Roman" w:hAnsi="Arial" w:cs="David" w:hint="cs"/>
          <w:sz w:val="24"/>
          <w:szCs w:val="24"/>
          <w:rtl/>
        </w:rPr>
        <w:t>מר בני גנץ</w:t>
      </w:r>
      <w:r w:rsidRPr="003F3918">
        <w:rPr>
          <w:rFonts w:ascii="Arial" w:eastAsia="Times New Roman" w:hAnsi="Arial" w:cs="David"/>
          <w:sz w:val="24"/>
          <w:szCs w:val="24"/>
          <w:rtl/>
        </w:rPr>
        <w:t xml:space="preserve">. </w:t>
      </w:r>
      <w:r w:rsidRPr="006441F5">
        <w:rPr>
          <w:rFonts w:ascii="David" w:hAnsi="David" w:cs="David"/>
          <w:sz w:val="24"/>
          <w:szCs w:val="24"/>
          <w:rtl/>
        </w:rPr>
        <w:t xml:space="preserve">התובעת נבחרה על ידי הנתבע במקרה, </w:t>
      </w:r>
      <w:r w:rsidR="008E439A">
        <w:rPr>
          <w:rFonts w:ascii="Arial" w:eastAsia="Times New Roman" w:hAnsi="Arial" w:cs="David" w:hint="cs"/>
          <w:sz w:val="24"/>
          <w:szCs w:val="24"/>
          <w:rtl/>
        </w:rPr>
        <w:t xml:space="preserve">והייתה מבחינתו ניזוק משני. הנתבע </w:t>
      </w:r>
      <w:r w:rsidR="008E439A" w:rsidRPr="008E439A">
        <w:rPr>
          <w:rFonts w:ascii="Arial" w:eastAsia="Times New Roman" w:hAnsi="Arial" w:cs="David"/>
          <w:sz w:val="24"/>
          <w:szCs w:val="24"/>
          <w:rtl/>
        </w:rPr>
        <w:t>היה אדיש לחלוטין לשמה הטוב ולהשלכות הפרסומים לגביה.</w:t>
      </w:r>
    </w:p>
    <w:p w:rsidR="003F3918" w:rsidRPr="003F3918" w:rsidRDefault="003F3918" w:rsidP="008E439A">
      <w:pPr>
        <w:spacing w:after="0" w:line="360" w:lineRule="auto"/>
        <w:jc w:val="both"/>
        <w:rPr>
          <w:rFonts w:ascii="Arial" w:eastAsia="Times New Roman" w:hAnsi="Arial" w:cs="David"/>
          <w:sz w:val="24"/>
          <w:szCs w:val="24"/>
        </w:rPr>
      </w:pPr>
      <w:r w:rsidRPr="003F3918">
        <w:rPr>
          <w:rFonts w:ascii="Arial" w:eastAsia="Times New Roman" w:hAnsi="Arial" w:cs="David"/>
          <w:sz w:val="24"/>
          <w:szCs w:val="24"/>
          <w:rtl/>
        </w:rPr>
        <w:t>בנסיבות העניין, האדם הסביר אשר נחשף לציוצים של הנתבע נגד מר בני גנץ ולשני הציוצים בקשר לתובעת, כל אחד ולחוד ובוודאי שניהם יחד, הבין את רמיזותיו של הנתבע, כי אפשר שגם התובעת היא עוד אחת מהמאהבות שה</w:t>
      </w:r>
      <w:r w:rsidR="009E645A">
        <w:rPr>
          <w:rFonts w:ascii="Arial" w:eastAsia="Times New Roman" w:hAnsi="Arial" w:cs="David" w:hint="cs"/>
          <w:sz w:val="24"/>
          <w:szCs w:val="24"/>
          <w:rtl/>
        </w:rPr>
        <w:t>נתבע</w:t>
      </w:r>
      <w:r w:rsidRPr="003F3918">
        <w:rPr>
          <w:rFonts w:ascii="Arial" w:eastAsia="Times New Roman" w:hAnsi="Arial" w:cs="David"/>
          <w:sz w:val="24"/>
          <w:szCs w:val="24"/>
          <w:rtl/>
        </w:rPr>
        <w:t xml:space="preserve"> </w:t>
      </w:r>
      <w:r>
        <w:rPr>
          <w:rFonts w:ascii="Arial" w:eastAsia="Times New Roman" w:hAnsi="Arial" w:cs="David" w:hint="cs"/>
          <w:sz w:val="24"/>
          <w:szCs w:val="24"/>
          <w:rtl/>
        </w:rPr>
        <w:t>מ</w:t>
      </w:r>
      <w:r w:rsidRPr="003F3918">
        <w:rPr>
          <w:rFonts w:ascii="Arial" w:eastAsia="Times New Roman" w:hAnsi="Arial" w:cs="David"/>
          <w:sz w:val="24"/>
          <w:szCs w:val="24"/>
          <w:rtl/>
        </w:rPr>
        <w:t>ייחס למר גנץ.</w:t>
      </w:r>
    </w:p>
    <w:p w:rsidR="003F3918" w:rsidRDefault="003F3918" w:rsidP="003F3918">
      <w:pPr>
        <w:spacing w:after="0" w:line="360" w:lineRule="auto"/>
        <w:jc w:val="both"/>
        <w:rPr>
          <w:rFonts w:ascii="Arial" w:eastAsia="Times New Roman" w:hAnsi="Arial" w:cs="David"/>
          <w:sz w:val="24"/>
          <w:szCs w:val="24"/>
          <w:rtl/>
        </w:rPr>
      </w:pPr>
    </w:p>
    <w:p w:rsidR="003F3918" w:rsidRPr="003F3918" w:rsidRDefault="003F3918" w:rsidP="003F3918">
      <w:pPr>
        <w:spacing w:after="0" w:line="360" w:lineRule="auto"/>
        <w:jc w:val="both"/>
        <w:rPr>
          <w:rFonts w:ascii="Arial" w:eastAsia="Times New Roman" w:hAnsi="Arial" w:cs="David"/>
          <w:sz w:val="24"/>
          <w:szCs w:val="24"/>
        </w:rPr>
      </w:pPr>
      <w:r w:rsidRPr="003F3918">
        <w:rPr>
          <w:rFonts w:ascii="Arial" w:eastAsia="Times New Roman" w:hAnsi="Arial" w:cs="David"/>
          <w:sz w:val="24"/>
          <w:szCs w:val="24"/>
          <w:rtl/>
        </w:rPr>
        <w:t xml:space="preserve">שני הפרסומים </w:t>
      </w:r>
      <w:r>
        <w:rPr>
          <w:rFonts w:ascii="Arial" w:eastAsia="Times New Roman" w:hAnsi="Arial" w:cs="David" w:hint="cs"/>
          <w:sz w:val="24"/>
          <w:szCs w:val="24"/>
          <w:rtl/>
        </w:rPr>
        <w:t>שהנתבע פרסם</w:t>
      </w:r>
      <w:r w:rsidRPr="003F3918">
        <w:rPr>
          <w:rFonts w:ascii="Arial" w:eastAsia="Times New Roman" w:hAnsi="Arial" w:cs="David"/>
          <w:sz w:val="24"/>
          <w:szCs w:val="24"/>
          <w:rtl/>
        </w:rPr>
        <w:t xml:space="preserve"> ביחס לתובעת מהווים "לשון הרע" לפי הגדרות חוק איסור לשון הרע, תשכ"ה - 1965. לנתבע לא עומדת הגנת תום הלב מכוח סעיף 15 לחוק או כל הגנה אחרת.</w:t>
      </w:r>
    </w:p>
    <w:p w:rsidR="003F3918" w:rsidRDefault="003F3918" w:rsidP="003F3918">
      <w:pPr>
        <w:spacing w:after="0" w:line="360" w:lineRule="auto"/>
        <w:jc w:val="both"/>
        <w:rPr>
          <w:rFonts w:ascii="David" w:hAnsi="David" w:cs="David"/>
          <w:sz w:val="24"/>
          <w:szCs w:val="24"/>
          <w:rtl/>
        </w:rPr>
      </w:pPr>
    </w:p>
    <w:p w:rsidR="003F3918" w:rsidRPr="006441F5" w:rsidRDefault="003F3918" w:rsidP="003F3918">
      <w:pPr>
        <w:spacing w:after="0" w:line="360" w:lineRule="auto"/>
        <w:jc w:val="both"/>
        <w:rPr>
          <w:rFonts w:ascii="David" w:hAnsi="David" w:cs="David"/>
          <w:sz w:val="24"/>
          <w:szCs w:val="24"/>
          <w:rtl/>
        </w:rPr>
      </w:pPr>
      <w:r w:rsidRPr="006441F5">
        <w:rPr>
          <w:rFonts w:ascii="David" w:hAnsi="David" w:cs="David"/>
          <w:sz w:val="24"/>
          <w:szCs w:val="24"/>
          <w:rtl/>
        </w:rPr>
        <w:t xml:space="preserve">התובעת אמנם התבטאה ברשתות החברותיות בעניינים פוליטיים, התנדבה במפלגת "כחול לבן" והתראיינה לתקשורת לאחר שני הפרסומים, ואולם </w:t>
      </w:r>
      <w:r>
        <w:rPr>
          <w:rFonts w:ascii="David" w:hAnsi="David" w:cs="David" w:hint="cs"/>
          <w:sz w:val="24"/>
          <w:szCs w:val="24"/>
          <w:rtl/>
        </w:rPr>
        <w:t>נדחתה</w:t>
      </w:r>
      <w:r w:rsidRPr="006441F5">
        <w:rPr>
          <w:rFonts w:ascii="David" w:hAnsi="David" w:cs="David"/>
          <w:sz w:val="24"/>
          <w:szCs w:val="24"/>
          <w:rtl/>
        </w:rPr>
        <w:t xml:space="preserve"> טענת הנתבע שהפרסומים הו</w:t>
      </w:r>
      <w:r>
        <w:rPr>
          <w:rFonts w:ascii="David" w:hAnsi="David" w:cs="David" w:hint="cs"/>
          <w:sz w:val="24"/>
          <w:szCs w:val="24"/>
          <w:rtl/>
        </w:rPr>
        <w:t>ע</w:t>
      </w:r>
      <w:r w:rsidRPr="006441F5">
        <w:rPr>
          <w:rFonts w:ascii="David" w:hAnsi="David" w:cs="David"/>
          <w:sz w:val="24"/>
          <w:szCs w:val="24"/>
          <w:rtl/>
        </w:rPr>
        <w:t>ילו לה והתקבלו אצלה בברכה. ההקשר של הפרסומים רחוק מלהיות מחמיא וטענותיו של הנתבע בהקשר זה רק ממחישות את חוסר הבנתו בדבר מצבה של התובעת.</w:t>
      </w:r>
    </w:p>
    <w:p w:rsidR="003F3918" w:rsidRPr="003F3918" w:rsidRDefault="003F3918" w:rsidP="003F3918">
      <w:pPr>
        <w:spacing w:after="0" w:line="360" w:lineRule="auto"/>
        <w:jc w:val="both"/>
        <w:rPr>
          <w:rFonts w:ascii="Arial" w:eastAsia="Times New Roman" w:hAnsi="Arial" w:cs="David"/>
          <w:sz w:val="24"/>
          <w:szCs w:val="24"/>
          <w:rtl/>
        </w:rPr>
      </w:pPr>
    </w:p>
    <w:p w:rsidR="003F3918" w:rsidRDefault="003F3918" w:rsidP="003F3918">
      <w:pPr>
        <w:spacing w:after="0" w:line="360" w:lineRule="auto"/>
        <w:jc w:val="both"/>
        <w:rPr>
          <w:rFonts w:ascii="Arial" w:eastAsia="Times New Roman" w:hAnsi="Arial" w:cs="David"/>
          <w:sz w:val="24"/>
          <w:szCs w:val="24"/>
          <w:rtl/>
        </w:rPr>
      </w:pPr>
      <w:r w:rsidRPr="003F3918">
        <w:rPr>
          <w:rFonts w:ascii="Arial" w:eastAsia="Times New Roman" w:hAnsi="Arial" w:cs="David"/>
          <w:sz w:val="24"/>
          <w:szCs w:val="24"/>
          <w:rtl/>
        </w:rPr>
        <w:t>לאחר שבית המשפט בחן את נסיבות העניין ואת הפרמטרים השונים לקביעת הפיצוי, נקבע כי על הנתבע לפצות את התובעת בפיצוי ללא הוכחת נזק לפי ס</w:t>
      </w:r>
      <w:r>
        <w:rPr>
          <w:rFonts w:ascii="Arial" w:eastAsia="Times New Roman" w:hAnsi="Arial" w:cs="David"/>
          <w:sz w:val="24"/>
          <w:szCs w:val="24"/>
          <w:rtl/>
        </w:rPr>
        <w:t>עיף 7א' לחוק, בסך של 130,000 ₪</w:t>
      </w:r>
      <w:r>
        <w:rPr>
          <w:rFonts w:ascii="Arial" w:eastAsia="Times New Roman" w:hAnsi="Arial" w:cs="David" w:hint="cs"/>
          <w:sz w:val="24"/>
          <w:szCs w:val="24"/>
          <w:rtl/>
        </w:rPr>
        <w:t xml:space="preserve"> בתוספת הוצאות משפט.</w:t>
      </w:r>
    </w:p>
    <w:p w:rsidR="003F3918" w:rsidRDefault="003F3918" w:rsidP="003F3918">
      <w:pPr>
        <w:spacing w:after="0" w:line="360" w:lineRule="auto"/>
        <w:jc w:val="both"/>
        <w:rPr>
          <w:rFonts w:ascii="Arial" w:eastAsia="Times New Roman" w:hAnsi="Arial" w:cs="David"/>
          <w:sz w:val="24"/>
          <w:szCs w:val="24"/>
          <w:rtl/>
        </w:rPr>
      </w:pPr>
    </w:p>
    <w:p w:rsidR="006441F5" w:rsidRPr="006441F5" w:rsidRDefault="006441F5" w:rsidP="006441F5">
      <w:pPr>
        <w:spacing w:after="0" w:line="360" w:lineRule="auto"/>
        <w:jc w:val="both"/>
        <w:rPr>
          <w:rFonts w:ascii="David" w:hAnsi="David" w:cs="David"/>
          <w:sz w:val="24"/>
          <w:szCs w:val="24"/>
          <w:rtl/>
        </w:rPr>
      </w:pPr>
    </w:p>
    <w:p w:rsidR="00645143" w:rsidRPr="006441F5" w:rsidRDefault="006441F5" w:rsidP="006441F5">
      <w:pPr>
        <w:spacing w:after="120" w:line="360" w:lineRule="auto"/>
        <w:jc w:val="center"/>
        <w:rPr>
          <w:rFonts w:ascii="FrankRuehl" w:hAnsi="FrankRuehl" w:cs="FrankRuehl"/>
          <w:b/>
          <w:bCs/>
          <w:color w:val="323E4F" w:themeColor="text2" w:themeShade="BF"/>
          <w:sz w:val="28"/>
          <w:szCs w:val="28"/>
        </w:rPr>
      </w:pPr>
      <w:r w:rsidRPr="006441F5">
        <w:rPr>
          <w:rFonts w:ascii="FrankRuehl" w:hAnsi="FrankRuehl" w:cs="FrankRuehl" w:hint="cs"/>
          <w:b/>
          <w:bCs/>
          <w:color w:val="323E4F" w:themeColor="text2" w:themeShade="BF"/>
          <w:sz w:val="28"/>
          <w:szCs w:val="28"/>
          <w:rtl/>
        </w:rPr>
        <w:t xml:space="preserve">*** </w:t>
      </w:r>
      <w:r w:rsidRPr="006441F5">
        <w:rPr>
          <w:rFonts w:ascii="FrankRuehl" w:hAnsi="FrankRuehl" w:cs="FrankRuehl"/>
          <w:b/>
          <w:bCs/>
          <w:color w:val="323E4F" w:themeColor="text2" w:themeShade="BF"/>
          <w:sz w:val="28"/>
          <w:szCs w:val="28"/>
          <w:rtl/>
        </w:rPr>
        <w:t>התקציר אינו בא להחליף את פסק</w:t>
      </w:r>
      <w:r w:rsidRPr="006441F5">
        <w:rPr>
          <w:rFonts w:ascii="FrankRuehl" w:hAnsi="FrankRuehl" w:cs="FrankRuehl" w:hint="cs"/>
          <w:b/>
          <w:bCs/>
          <w:color w:val="323E4F" w:themeColor="text2" w:themeShade="BF"/>
          <w:sz w:val="28"/>
          <w:szCs w:val="28"/>
          <w:rtl/>
        </w:rPr>
        <w:t>-</w:t>
      </w:r>
      <w:r w:rsidRPr="006441F5">
        <w:rPr>
          <w:rFonts w:ascii="FrankRuehl" w:hAnsi="FrankRuehl" w:cs="FrankRuehl"/>
          <w:b/>
          <w:bCs/>
          <w:color w:val="323E4F" w:themeColor="text2" w:themeShade="BF"/>
          <w:sz w:val="28"/>
          <w:szCs w:val="28"/>
          <w:rtl/>
        </w:rPr>
        <w:t>הדין, הנוסח המחייב הוא זה של פסק-הדין המלא</w:t>
      </w:r>
      <w:r w:rsidRPr="006441F5">
        <w:rPr>
          <w:rFonts w:ascii="FrankRuehl" w:hAnsi="FrankRuehl" w:cs="FrankRuehl" w:hint="cs"/>
          <w:b/>
          <w:bCs/>
          <w:color w:val="323E4F" w:themeColor="text2" w:themeShade="BF"/>
          <w:sz w:val="28"/>
          <w:szCs w:val="28"/>
          <w:rtl/>
        </w:rPr>
        <w:t xml:space="preserve"> ***</w:t>
      </w:r>
    </w:p>
    <w:sectPr w:rsidR="00645143" w:rsidRPr="006441F5" w:rsidSect="007A3B8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1F5"/>
    <w:rsid w:val="000B03EB"/>
    <w:rsid w:val="003F3918"/>
    <w:rsid w:val="006441F5"/>
    <w:rsid w:val="00645143"/>
    <w:rsid w:val="007A3B8A"/>
    <w:rsid w:val="008E439A"/>
    <w:rsid w:val="009E645A"/>
    <w:rsid w:val="00A10AE5"/>
    <w:rsid w:val="00D44E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F4BDF-2E9F-4FB0-8522-0937D090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6441F5"/>
    <w:pPr>
      <w:tabs>
        <w:tab w:val="center" w:pos="4153"/>
        <w:tab w:val="right" w:pos="8306"/>
      </w:tabs>
      <w:spacing w:after="0" w:line="240" w:lineRule="auto"/>
    </w:pPr>
    <w:rPr>
      <w:rFonts w:ascii="David" w:eastAsia="David" w:hAnsi="David" w:cs="David"/>
      <w:sz w:val="24"/>
      <w:szCs w:val="24"/>
    </w:rPr>
  </w:style>
  <w:style w:type="character" w:customStyle="1" w:styleId="a4">
    <w:name w:val="כותרת עליונה תו"/>
    <w:basedOn w:val="a0"/>
    <w:link w:val="a3"/>
    <w:semiHidden/>
    <w:rsid w:val="006441F5"/>
    <w:rPr>
      <w:rFonts w:ascii="David" w:eastAsia="David" w:hAnsi="David"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203367">
      <w:bodyDiv w:val="1"/>
      <w:marLeft w:val="0"/>
      <w:marRight w:val="0"/>
      <w:marTop w:val="0"/>
      <w:marBottom w:val="0"/>
      <w:divBdr>
        <w:top w:val="none" w:sz="0" w:space="0" w:color="auto"/>
        <w:left w:val="none" w:sz="0" w:space="0" w:color="auto"/>
        <w:bottom w:val="none" w:sz="0" w:space="0" w:color="auto"/>
        <w:right w:val="none" w:sz="0" w:space="0" w:color="auto"/>
      </w:divBdr>
    </w:div>
    <w:div w:id="979965246">
      <w:bodyDiv w:val="1"/>
      <w:marLeft w:val="0"/>
      <w:marRight w:val="0"/>
      <w:marTop w:val="0"/>
      <w:marBottom w:val="0"/>
      <w:divBdr>
        <w:top w:val="none" w:sz="0" w:space="0" w:color="auto"/>
        <w:left w:val="none" w:sz="0" w:space="0" w:color="auto"/>
        <w:bottom w:val="none" w:sz="0" w:space="0" w:color="auto"/>
        <w:right w:val="none" w:sz="0" w:space="0" w:color="auto"/>
      </w:divBdr>
    </w:div>
    <w:div w:id="1211302784">
      <w:bodyDiv w:val="1"/>
      <w:marLeft w:val="0"/>
      <w:marRight w:val="0"/>
      <w:marTop w:val="0"/>
      <w:marBottom w:val="0"/>
      <w:divBdr>
        <w:top w:val="none" w:sz="0" w:space="0" w:color="auto"/>
        <w:left w:val="none" w:sz="0" w:space="0" w:color="auto"/>
        <w:bottom w:val="none" w:sz="0" w:space="0" w:color="auto"/>
        <w:right w:val="none" w:sz="0" w:space="0" w:color="auto"/>
      </w:divBdr>
    </w:div>
    <w:div w:id="1430154868">
      <w:bodyDiv w:val="1"/>
      <w:marLeft w:val="0"/>
      <w:marRight w:val="0"/>
      <w:marTop w:val="0"/>
      <w:marBottom w:val="0"/>
      <w:divBdr>
        <w:top w:val="none" w:sz="0" w:space="0" w:color="auto"/>
        <w:left w:val="none" w:sz="0" w:space="0" w:color="auto"/>
        <w:bottom w:val="none" w:sz="0" w:space="0" w:color="auto"/>
        <w:right w:val="none" w:sz="0" w:space="0" w:color="auto"/>
      </w:divBdr>
    </w:div>
    <w:div w:id="1546405487">
      <w:bodyDiv w:val="1"/>
      <w:marLeft w:val="0"/>
      <w:marRight w:val="0"/>
      <w:marTop w:val="0"/>
      <w:marBottom w:val="0"/>
      <w:divBdr>
        <w:top w:val="none" w:sz="0" w:space="0" w:color="auto"/>
        <w:left w:val="none" w:sz="0" w:space="0" w:color="auto"/>
        <w:bottom w:val="none" w:sz="0" w:space="0" w:color="auto"/>
        <w:right w:val="none" w:sz="0" w:space="0" w:color="auto"/>
      </w:divBdr>
    </w:div>
    <w:div w:id="1881087533">
      <w:bodyDiv w:val="1"/>
      <w:marLeft w:val="0"/>
      <w:marRight w:val="0"/>
      <w:marTop w:val="0"/>
      <w:marBottom w:val="0"/>
      <w:divBdr>
        <w:top w:val="none" w:sz="0" w:space="0" w:color="auto"/>
        <w:left w:val="none" w:sz="0" w:space="0" w:color="auto"/>
        <w:bottom w:val="none" w:sz="0" w:space="0" w:color="auto"/>
        <w:right w:val="none" w:sz="0" w:space="0" w:color="auto"/>
      </w:divBdr>
    </w:div>
    <w:div w:id="200994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2731</Characters>
  <Application>Microsoft Office Word</Application>
  <DocSecurity>4</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רותם כהן</dc:creator>
  <cp:keywords/>
  <dc:description/>
  <cp:lastModifiedBy>אטל אזרואל</cp:lastModifiedBy>
  <cp:revision>2</cp:revision>
  <dcterms:created xsi:type="dcterms:W3CDTF">2023-08-30T08:28:00Z</dcterms:created>
  <dcterms:modified xsi:type="dcterms:W3CDTF">2023-08-30T08:28:00Z</dcterms:modified>
</cp:coreProperties>
</file>