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E77974" w:rsidTr="00E77974">
        <w:trPr>
          <w:jc w:val="center"/>
        </w:trPr>
        <w:tc>
          <w:tcPr>
            <w:tcW w:w="743" w:type="dxa"/>
            <w:hideMark/>
          </w:tcPr>
          <w:p w:rsidR="00E77974" w:rsidRDefault="00E77974">
            <w:pPr>
              <w:suppressLineNumbers/>
              <w:jc w:val="both"/>
              <w:rPr>
                <w:rFonts w:ascii="Arial" w:hAnsi="Arial"/>
                <w:b/>
                <w:bCs/>
                <w:sz w:val="26"/>
                <w:szCs w:val="26"/>
              </w:rPr>
            </w:pPr>
            <w:r>
              <w:rPr>
                <w:rFonts w:ascii="Arial" w:hAnsi="Arial"/>
                <w:b/>
                <w:bCs/>
                <w:sz w:val="26"/>
                <w:szCs w:val="26"/>
                <w:rtl/>
              </w:rPr>
              <w:t xml:space="preserve">לפני </w:t>
            </w:r>
          </w:p>
        </w:tc>
        <w:tc>
          <w:tcPr>
            <w:tcW w:w="8077" w:type="dxa"/>
            <w:gridSpan w:val="2"/>
          </w:tcPr>
          <w:p w:rsidR="00E77974" w:rsidRDefault="00E77974">
            <w:pPr>
              <w:suppressLineNumbers/>
              <w:rPr>
                <w:rFonts w:ascii="Arial" w:hAnsi="Arial"/>
                <w:b/>
                <w:bCs/>
                <w:sz w:val="26"/>
                <w:szCs w:val="26"/>
                <w:rtl/>
              </w:rPr>
            </w:pPr>
            <w:r>
              <w:rPr>
                <w:rFonts w:ascii="Arial" w:hAnsi="Arial"/>
                <w:b/>
                <w:bCs/>
                <w:sz w:val="26"/>
                <w:szCs w:val="26"/>
                <w:rtl/>
              </w:rPr>
              <w:t>כבוד השופט סארי ג'יוסי</w:t>
            </w:r>
          </w:p>
          <w:p w:rsidR="00E77974" w:rsidRDefault="00E77974">
            <w:pPr>
              <w:suppressLineNumbers/>
              <w:rPr>
                <w:sz w:val="26"/>
                <w:szCs w:val="26"/>
                <w:rtl/>
              </w:rPr>
            </w:pPr>
          </w:p>
        </w:tc>
      </w:tr>
      <w:tr w:rsidR="00E77974" w:rsidTr="00E77974">
        <w:trPr>
          <w:jc w:val="center"/>
        </w:trPr>
        <w:tc>
          <w:tcPr>
            <w:tcW w:w="3249" w:type="dxa"/>
            <w:gridSpan w:val="2"/>
            <w:hideMark/>
          </w:tcPr>
          <w:p w:rsidR="00E77974" w:rsidRDefault="00E77974">
            <w:pPr>
              <w:suppressLineNumbers/>
              <w:rPr>
                <w:b/>
                <w:bCs/>
                <w:u w:val="single"/>
              </w:rPr>
            </w:pPr>
            <w:r>
              <w:rPr>
                <w:b/>
                <w:bCs/>
                <w:u w:val="single"/>
                <w:rtl/>
              </w:rPr>
              <w:t>בעניין הקטינת</w:t>
            </w:r>
          </w:p>
        </w:tc>
        <w:tc>
          <w:tcPr>
            <w:tcW w:w="5571" w:type="dxa"/>
            <w:hideMark/>
          </w:tcPr>
          <w:p w:rsidR="00E77974" w:rsidRDefault="0037008D">
            <w:pPr>
              <w:suppressLineNumbers/>
              <w:spacing w:line="360" w:lineRule="auto"/>
              <w:rPr>
                <w:b/>
                <w:bCs/>
                <w:rtl/>
              </w:rPr>
            </w:pPr>
            <w:r>
              <w:rPr>
                <w:b/>
                <w:bCs/>
                <w:rtl/>
              </w:rPr>
              <w:t xml:space="preserve">1. </w:t>
            </w:r>
            <w:r>
              <w:rPr>
                <w:rFonts w:hint="cs"/>
                <w:b/>
                <w:bCs/>
                <w:rtl/>
              </w:rPr>
              <w:t>ב'</w:t>
            </w:r>
            <w:r w:rsidR="00E77974">
              <w:rPr>
                <w:b/>
                <w:bCs/>
                <w:rtl/>
              </w:rPr>
              <w:t xml:space="preserve"> ילידת 2013</w:t>
            </w:r>
          </w:p>
          <w:p w:rsidR="00E77974" w:rsidRDefault="0037008D">
            <w:pPr>
              <w:suppressLineNumbers/>
              <w:spacing w:line="360" w:lineRule="auto"/>
              <w:rPr>
                <w:b/>
                <w:bCs/>
                <w:rtl/>
              </w:rPr>
            </w:pPr>
            <w:r>
              <w:rPr>
                <w:b/>
                <w:bCs/>
                <w:rtl/>
              </w:rPr>
              <w:t>2. א</w:t>
            </w:r>
            <w:r>
              <w:rPr>
                <w:rFonts w:hint="cs"/>
                <w:b/>
                <w:bCs/>
                <w:rtl/>
              </w:rPr>
              <w:t xml:space="preserve">' </w:t>
            </w:r>
            <w:r w:rsidR="00E77974">
              <w:rPr>
                <w:b/>
                <w:bCs/>
                <w:rtl/>
              </w:rPr>
              <w:t>ילידת 2016</w:t>
            </w:r>
          </w:p>
          <w:p w:rsidR="00E77974" w:rsidRDefault="0037008D">
            <w:pPr>
              <w:suppressLineNumbers/>
              <w:spacing w:line="360" w:lineRule="auto"/>
              <w:rPr>
                <w:rtl/>
              </w:rPr>
            </w:pPr>
            <w:r>
              <w:rPr>
                <w:b/>
                <w:bCs/>
                <w:rtl/>
              </w:rPr>
              <w:t>3. ש</w:t>
            </w:r>
            <w:r>
              <w:rPr>
                <w:rFonts w:hint="cs"/>
                <w:b/>
                <w:bCs/>
                <w:rtl/>
              </w:rPr>
              <w:t>'</w:t>
            </w:r>
            <w:r w:rsidR="00E77974">
              <w:rPr>
                <w:b/>
                <w:bCs/>
                <w:rtl/>
              </w:rPr>
              <w:t xml:space="preserve"> ילידת 2018</w:t>
            </w:r>
          </w:p>
          <w:p w:rsidR="00EF08DE" w:rsidRDefault="00EF08DE">
            <w:pPr>
              <w:suppressLineNumbers/>
              <w:spacing w:line="360" w:lineRule="auto"/>
              <w:rPr>
                <w:rtl/>
              </w:rPr>
            </w:pPr>
          </w:p>
        </w:tc>
      </w:tr>
      <w:tr w:rsidR="00E77974" w:rsidTr="00E77974">
        <w:trPr>
          <w:jc w:val="center"/>
        </w:trPr>
        <w:tc>
          <w:tcPr>
            <w:tcW w:w="3249" w:type="dxa"/>
            <w:gridSpan w:val="2"/>
          </w:tcPr>
          <w:p w:rsidR="00E77974" w:rsidRDefault="00E77974">
            <w:pPr>
              <w:suppressLineNumbers/>
              <w:rPr>
                <w:rtl/>
              </w:rPr>
            </w:pPr>
          </w:p>
          <w:p w:rsidR="00E77974" w:rsidRDefault="00E77974">
            <w:pPr>
              <w:suppressLineNumbers/>
              <w:rPr>
                <w:rtl/>
              </w:rPr>
            </w:pPr>
          </w:p>
          <w:p w:rsidR="00E77974" w:rsidRDefault="00E77974">
            <w:pPr>
              <w:suppressLineNumbers/>
              <w:rPr>
                <w:rFonts w:ascii="Arial" w:hAnsi="Arial"/>
                <w:b/>
                <w:bCs/>
                <w:noProof w:val="0"/>
                <w:sz w:val="26"/>
                <w:szCs w:val="26"/>
                <w:u w:val="single"/>
                <w:rtl/>
              </w:rPr>
            </w:pPr>
            <w:r>
              <w:rPr>
                <w:rFonts w:ascii="Arial" w:hAnsi="Arial"/>
                <w:b/>
                <w:bCs/>
                <w:noProof w:val="0"/>
                <w:sz w:val="26"/>
                <w:szCs w:val="26"/>
                <w:u w:val="single"/>
                <w:rtl/>
              </w:rPr>
              <w:t>המבקשת</w:t>
            </w:r>
          </w:p>
          <w:p w:rsidR="00E77974" w:rsidRDefault="00E77974">
            <w:pPr>
              <w:suppressLineNumbers/>
              <w:rPr>
                <w:rFonts w:ascii="Arial" w:hAnsi="Arial"/>
                <w:b/>
                <w:bCs/>
                <w:noProof w:val="0"/>
                <w:sz w:val="26"/>
                <w:szCs w:val="26"/>
                <w:rtl/>
              </w:rPr>
            </w:pPr>
          </w:p>
        </w:tc>
        <w:tc>
          <w:tcPr>
            <w:tcW w:w="5571" w:type="dxa"/>
          </w:tcPr>
          <w:p w:rsidR="00E77974" w:rsidRDefault="00E77974">
            <w:pPr>
              <w:suppressLineNumbers/>
              <w:rPr>
                <w:rtl/>
              </w:rPr>
            </w:pPr>
          </w:p>
          <w:p w:rsidR="00E77974" w:rsidRDefault="00E77974">
            <w:pPr>
              <w:suppressLineNumbers/>
              <w:rPr>
                <w:rtl/>
              </w:rPr>
            </w:pPr>
          </w:p>
          <w:p w:rsidR="0037008D" w:rsidRDefault="00E77974" w:rsidP="0037008D">
            <w:pPr>
              <w:suppressLineNumbers/>
              <w:rPr>
                <w:rFonts w:ascii="Arial" w:hAnsi="Arial"/>
                <w:b/>
                <w:bCs/>
                <w:noProof w:val="0"/>
                <w:sz w:val="26"/>
                <w:szCs w:val="26"/>
                <w:rtl/>
              </w:rPr>
            </w:pPr>
            <w:r>
              <w:rPr>
                <w:rFonts w:ascii="Arial" w:hAnsi="Arial"/>
                <w:b/>
                <w:bCs/>
                <w:noProof w:val="0"/>
                <w:sz w:val="26"/>
                <w:szCs w:val="26"/>
                <w:rtl/>
              </w:rPr>
              <w:t>ס</w:t>
            </w:r>
            <w:r w:rsidR="0037008D">
              <w:rPr>
                <w:rFonts w:ascii="Arial" w:hAnsi="Arial" w:hint="cs"/>
                <w:b/>
                <w:bCs/>
                <w:noProof w:val="0"/>
                <w:sz w:val="26"/>
                <w:szCs w:val="26"/>
                <w:rtl/>
              </w:rPr>
              <w:t>'</w:t>
            </w:r>
          </w:p>
          <w:p w:rsidR="00EF08DE" w:rsidRPr="00EF08DE" w:rsidRDefault="0037008D" w:rsidP="0037008D">
            <w:pPr>
              <w:suppressLineNumbers/>
              <w:rPr>
                <w:noProof w:val="0"/>
                <w:sz w:val="26"/>
                <w:szCs w:val="26"/>
                <w:rtl/>
              </w:rPr>
            </w:pPr>
            <w:r>
              <w:rPr>
                <w:rFonts w:hint="cs"/>
                <w:noProof w:val="0"/>
                <w:sz w:val="26"/>
                <w:szCs w:val="26"/>
                <w:rtl/>
              </w:rPr>
              <w:t>ע"י ב"כ עוה"ד ע. הראל</w:t>
            </w:r>
          </w:p>
        </w:tc>
      </w:tr>
      <w:tr w:rsidR="00E77974" w:rsidTr="00E77974">
        <w:trPr>
          <w:jc w:val="center"/>
        </w:trPr>
        <w:tc>
          <w:tcPr>
            <w:tcW w:w="8820" w:type="dxa"/>
            <w:gridSpan w:val="3"/>
          </w:tcPr>
          <w:p w:rsidR="00E77974" w:rsidRDefault="00E77974">
            <w:pPr>
              <w:suppressLineNumbers/>
              <w:rPr>
                <w:rFonts w:ascii="Arial" w:hAnsi="Arial"/>
                <w:b/>
                <w:bCs/>
                <w:noProof w:val="0"/>
                <w:sz w:val="26"/>
                <w:szCs w:val="26"/>
              </w:rPr>
            </w:pPr>
          </w:p>
          <w:p w:rsidR="00E77974" w:rsidRDefault="00E77974">
            <w:pPr>
              <w:suppressLineNumbers/>
              <w:jc w:val="center"/>
              <w:rPr>
                <w:rFonts w:ascii="Arial" w:hAnsi="Arial"/>
                <w:b/>
                <w:bCs/>
                <w:noProof w:val="0"/>
                <w:sz w:val="26"/>
                <w:szCs w:val="26"/>
                <w:rtl/>
              </w:rPr>
            </w:pPr>
            <w:r>
              <w:rPr>
                <w:rFonts w:ascii="Arial" w:hAnsi="Arial"/>
                <w:b/>
                <w:bCs/>
                <w:noProof w:val="0"/>
                <w:sz w:val="26"/>
                <w:szCs w:val="26"/>
                <w:rtl/>
              </w:rPr>
              <w:t>נגד</w:t>
            </w:r>
          </w:p>
          <w:p w:rsidR="00E77974" w:rsidRDefault="00E77974">
            <w:pPr>
              <w:suppressLineNumbers/>
              <w:rPr>
                <w:rFonts w:ascii="Arial" w:hAnsi="Arial"/>
                <w:b/>
                <w:bCs/>
                <w:noProof w:val="0"/>
                <w:sz w:val="26"/>
                <w:szCs w:val="26"/>
                <w:rtl/>
              </w:rPr>
            </w:pPr>
          </w:p>
        </w:tc>
      </w:tr>
      <w:tr w:rsidR="00E77974" w:rsidTr="00E77974">
        <w:trPr>
          <w:jc w:val="center"/>
        </w:trPr>
        <w:tc>
          <w:tcPr>
            <w:tcW w:w="3249" w:type="dxa"/>
            <w:gridSpan w:val="2"/>
            <w:hideMark/>
          </w:tcPr>
          <w:p w:rsidR="00E77974" w:rsidRDefault="00E77974">
            <w:pPr>
              <w:suppressLineNumbers/>
              <w:rPr>
                <w:rFonts w:ascii="Arial" w:hAnsi="Arial"/>
                <w:b/>
                <w:bCs/>
                <w:noProof w:val="0"/>
                <w:sz w:val="26"/>
                <w:szCs w:val="26"/>
                <w:u w:val="single"/>
              </w:rPr>
            </w:pPr>
            <w:r>
              <w:rPr>
                <w:rFonts w:ascii="Arial" w:hAnsi="Arial"/>
                <w:b/>
                <w:bCs/>
                <w:noProof w:val="0"/>
                <w:sz w:val="26"/>
                <w:szCs w:val="26"/>
                <w:u w:val="single"/>
                <w:rtl/>
              </w:rPr>
              <w:t>המשיב</w:t>
            </w:r>
          </w:p>
        </w:tc>
        <w:tc>
          <w:tcPr>
            <w:tcW w:w="5571" w:type="dxa"/>
            <w:hideMark/>
          </w:tcPr>
          <w:p w:rsidR="00E77974" w:rsidRDefault="0037008D">
            <w:pPr>
              <w:suppressLineNumbers/>
              <w:rPr>
                <w:rFonts w:ascii="Arial" w:hAnsi="Arial"/>
                <w:b/>
                <w:bCs/>
                <w:noProof w:val="0"/>
                <w:sz w:val="26"/>
                <w:szCs w:val="26"/>
                <w:rtl/>
              </w:rPr>
            </w:pPr>
            <w:r>
              <w:rPr>
                <w:rFonts w:ascii="Arial" w:hAnsi="Arial" w:hint="cs"/>
                <w:b/>
                <w:bCs/>
                <w:noProof w:val="0"/>
                <w:sz w:val="26"/>
                <w:szCs w:val="26"/>
                <w:rtl/>
              </w:rPr>
              <w:t>ת'</w:t>
            </w:r>
          </w:p>
          <w:p w:rsidR="0037008D" w:rsidRDefault="0037008D">
            <w:pPr>
              <w:suppressLineNumbers/>
              <w:rPr>
                <w:rFonts w:ascii="Arial" w:hAnsi="Arial"/>
                <w:b/>
                <w:bCs/>
                <w:noProof w:val="0"/>
                <w:sz w:val="26"/>
                <w:szCs w:val="26"/>
              </w:rPr>
            </w:pPr>
            <w:r w:rsidRPr="00EF08DE">
              <w:rPr>
                <w:rFonts w:hint="cs"/>
                <w:noProof w:val="0"/>
                <w:sz w:val="26"/>
                <w:szCs w:val="26"/>
                <w:rtl/>
              </w:rPr>
              <w:t>ע"י ב"כ עוה"ד ע. ענתבי</w:t>
            </w:r>
          </w:p>
        </w:tc>
      </w:tr>
    </w:tbl>
    <w:p w:rsidR="00E77974" w:rsidRDefault="00E77974" w:rsidP="00D44968">
      <w:pPr>
        <w:suppressLineNumbers/>
        <w:rPr>
          <w:rtl/>
        </w:rPr>
      </w:pPr>
    </w:p>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E77974">
            <w:pPr>
              <w:bidi w:val="0"/>
              <w:jc w:val="center"/>
              <w:rPr>
                <w:rFonts w:ascii="Arial" w:hAnsi="Arial"/>
                <w:b/>
                <w:bCs/>
                <w:noProof w:val="0"/>
                <w:sz w:val="28"/>
                <w:szCs w:val="28"/>
                <w:u w:val="single"/>
                <w:rtl/>
              </w:rPr>
            </w:pPr>
            <w:r>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E77974" w:rsidRDefault="00E77974" w:rsidP="00E77974">
      <w:pPr>
        <w:spacing w:line="360" w:lineRule="auto"/>
        <w:jc w:val="both"/>
        <w:rPr>
          <w:rFonts w:ascii="Arial" w:hAnsi="Arial"/>
          <w:noProof w:val="0"/>
        </w:rPr>
      </w:pPr>
      <w:bookmarkStart w:id="0" w:name="NGCSBookmark"/>
      <w:bookmarkEnd w:id="0"/>
      <w:r>
        <w:rPr>
          <w:rFonts w:ascii="Arial" w:hAnsi="Arial"/>
          <w:noProof w:val="0"/>
          <w:rtl/>
        </w:rPr>
        <w:t>בקשת רשות ערעור על החלטת בית משפט לענייני משפחה בחיפה (כב' השופטת ל. זרבל קדשאי), מיום 8.10.2024, אשר ניתנה בתלה"מ 12835-06-24 ו-8866-06-24, כאשר חיצי בקשת רשות הערעור מופנים כנגד ההחלטה העוסקת במזונות הזמניים של הקטינות.</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אבהיר על ההתחלה כי ההחלטה מושא בקשת רשות הערעור ניתנה בגדרי תביעת מזונות שהגישה המבקשת - אמן של הקטינות</w:t>
      </w:r>
      <w:r w:rsidR="00B13546">
        <w:rPr>
          <w:rFonts w:ascii="Arial" w:hAnsi="Arial" w:hint="cs"/>
          <w:noProof w:val="0"/>
          <w:rtl/>
        </w:rPr>
        <w:t>,</w:t>
      </w:r>
      <w:r w:rsidR="00B13546">
        <w:rPr>
          <w:rFonts w:ascii="Arial" w:hAnsi="Arial"/>
          <w:noProof w:val="0"/>
          <w:rtl/>
        </w:rPr>
        <w:t xml:space="preserve"> כנגד המשיב</w:t>
      </w:r>
      <w:r w:rsidR="00B13546">
        <w:rPr>
          <w:rFonts w:ascii="Arial" w:hAnsi="Arial" w:hint="cs"/>
          <w:noProof w:val="0"/>
          <w:rtl/>
        </w:rPr>
        <w:t xml:space="preserve">, </w:t>
      </w:r>
      <w:r>
        <w:rPr>
          <w:rFonts w:ascii="Arial" w:hAnsi="Arial"/>
          <w:noProof w:val="0"/>
          <w:rtl/>
        </w:rPr>
        <w:t>אביהן, כשבמקביל בית משפט קמא דן גם בתביעה נוספת שעניינה חלוקת זמן הורי.</w:t>
      </w:r>
    </w:p>
    <w:p w:rsidR="00E77974" w:rsidRDefault="00E77974" w:rsidP="00E77974">
      <w:pPr>
        <w:spacing w:line="360" w:lineRule="auto"/>
        <w:jc w:val="both"/>
        <w:rPr>
          <w:rFonts w:ascii="Arial" w:hAnsi="Arial"/>
          <w:noProof w:val="0"/>
          <w:rtl/>
        </w:rPr>
      </w:pPr>
    </w:p>
    <w:p w:rsidR="00B13546" w:rsidRDefault="00E77974" w:rsidP="00E77974">
      <w:pPr>
        <w:spacing w:line="360" w:lineRule="auto"/>
        <w:jc w:val="both"/>
        <w:rPr>
          <w:rFonts w:ascii="Arial" w:hAnsi="Arial"/>
          <w:noProof w:val="0"/>
          <w:rtl/>
        </w:rPr>
      </w:pPr>
      <w:r>
        <w:rPr>
          <w:rFonts w:ascii="Arial" w:hAnsi="Arial"/>
          <w:noProof w:val="0"/>
          <w:rtl/>
        </w:rPr>
        <w:t>ההחלטה ניתנה בקדם המשפט הראשון שהתקיים באותן תביעות, כאשר קדמה לו החלטה מפורטת  בבקשה לפסיקת מזונות זמניים עבור הקטינות, מיום 22.7.2024, ובמסגרתה התייחס בית משפט קמא לשיקולים המנחים בפסיקת מזונות זמניים,</w:t>
      </w:r>
      <w:r w:rsidR="00B13546">
        <w:rPr>
          <w:rFonts w:ascii="Arial" w:hAnsi="Arial" w:hint="cs"/>
          <w:noProof w:val="0"/>
          <w:rtl/>
        </w:rPr>
        <w:t xml:space="preserve"> ובין היתר: </w:t>
      </w:r>
      <w:r>
        <w:rPr>
          <w:rFonts w:ascii="Arial" w:hAnsi="Arial"/>
          <w:noProof w:val="0"/>
          <w:rtl/>
        </w:rPr>
        <w:t xml:space="preserve"> או</w:t>
      </w:r>
      <w:r w:rsidR="00B13546">
        <w:rPr>
          <w:rFonts w:ascii="Arial" w:hAnsi="Arial"/>
          <w:noProof w:val="0"/>
          <w:rtl/>
        </w:rPr>
        <w:t>פייה של החלטה זו והדרך ב</w:t>
      </w:r>
      <w:r w:rsidR="00B13546">
        <w:rPr>
          <w:rFonts w:ascii="Arial" w:hAnsi="Arial" w:hint="cs"/>
          <w:noProof w:val="0"/>
          <w:rtl/>
        </w:rPr>
        <w:t>ה</w:t>
      </w:r>
      <w:r w:rsidR="00B13546">
        <w:rPr>
          <w:rFonts w:ascii="Arial" w:hAnsi="Arial"/>
          <w:noProof w:val="0"/>
          <w:rtl/>
        </w:rPr>
        <w:t xml:space="preserve"> תינתן</w:t>
      </w:r>
      <w:r w:rsidR="00B13546">
        <w:rPr>
          <w:rFonts w:ascii="Arial" w:hAnsi="Arial" w:hint="cs"/>
          <w:noProof w:val="0"/>
          <w:rtl/>
        </w:rPr>
        <w:t>;</w:t>
      </w:r>
      <w:r>
        <w:rPr>
          <w:rFonts w:ascii="Arial" w:hAnsi="Arial"/>
          <w:noProof w:val="0"/>
          <w:rtl/>
        </w:rPr>
        <w:t xml:space="preserve"> גילן של הקטינות אשר שת</w:t>
      </w:r>
      <w:r w:rsidR="00B13546">
        <w:rPr>
          <w:rFonts w:ascii="Arial" w:hAnsi="Arial"/>
          <w:noProof w:val="0"/>
          <w:rtl/>
        </w:rPr>
        <w:t xml:space="preserve">יים מהן מעל גיל 6 ואילו </w:t>
      </w:r>
      <w:r w:rsidR="00B13546">
        <w:rPr>
          <w:rFonts w:ascii="Arial" w:hAnsi="Arial" w:hint="cs"/>
          <w:noProof w:val="0"/>
          <w:rtl/>
        </w:rPr>
        <w:t>ל</w:t>
      </w:r>
      <w:r w:rsidR="00B13546">
        <w:rPr>
          <w:rFonts w:ascii="Arial" w:hAnsi="Arial"/>
          <w:noProof w:val="0"/>
          <w:rtl/>
        </w:rPr>
        <w:t>שלישית</w:t>
      </w:r>
      <w:r w:rsidR="00B13546">
        <w:rPr>
          <w:rFonts w:ascii="Arial" w:hAnsi="Arial" w:hint="cs"/>
          <w:noProof w:val="0"/>
          <w:rtl/>
        </w:rPr>
        <w:t xml:space="preserve"> </w:t>
      </w:r>
      <w:r w:rsidR="0037008D">
        <w:rPr>
          <w:rFonts w:ascii="Arial" w:hAnsi="Arial"/>
          <w:noProof w:val="0"/>
          <w:rtl/>
        </w:rPr>
        <w:t>–</w:t>
      </w:r>
      <w:r w:rsidR="00B13546">
        <w:rPr>
          <w:rFonts w:ascii="Arial" w:hAnsi="Arial" w:hint="cs"/>
          <w:noProof w:val="0"/>
          <w:rtl/>
        </w:rPr>
        <w:t xml:space="preserve"> </w:t>
      </w:r>
      <w:r w:rsidR="0037008D">
        <w:rPr>
          <w:rFonts w:ascii="Arial" w:hAnsi="Arial"/>
          <w:noProof w:val="0"/>
          <w:rtl/>
        </w:rPr>
        <w:t>ש</w:t>
      </w:r>
      <w:r w:rsidR="0037008D">
        <w:rPr>
          <w:rFonts w:ascii="Arial" w:hAnsi="Arial" w:hint="cs"/>
          <w:noProof w:val="0"/>
          <w:rtl/>
        </w:rPr>
        <w:t>'</w:t>
      </w:r>
      <w:r w:rsidR="00B13546">
        <w:rPr>
          <w:rFonts w:ascii="Arial" w:hAnsi="Arial"/>
          <w:noProof w:val="0"/>
          <w:rtl/>
        </w:rPr>
        <w:t xml:space="preserve"> ימלאו</w:t>
      </w:r>
      <w:r>
        <w:rPr>
          <w:rFonts w:ascii="Arial" w:hAnsi="Arial"/>
          <w:noProof w:val="0"/>
          <w:rtl/>
        </w:rPr>
        <w:t xml:space="preserve"> 6 שנים בעוד כ-5</w:t>
      </w:r>
      <w:r w:rsidR="00B13546">
        <w:rPr>
          <w:rFonts w:ascii="Arial" w:hAnsi="Arial"/>
          <w:noProof w:val="0"/>
          <w:rtl/>
        </w:rPr>
        <w:t xml:space="preserve"> חודשים (נכון למועד מתן ההחלטה)</w:t>
      </w:r>
      <w:r w:rsidR="00B13546">
        <w:rPr>
          <w:rFonts w:ascii="Arial" w:hAnsi="Arial" w:hint="cs"/>
          <w:noProof w:val="0"/>
          <w:rtl/>
        </w:rPr>
        <w:t>;</w:t>
      </w:r>
      <w:r>
        <w:rPr>
          <w:rFonts w:ascii="Arial" w:hAnsi="Arial"/>
          <w:noProof w:val="0"/>
          <w:rtl/>
        </w:rPr>
        <w:t xml:space="preserve"> הרבדים המשפטיים שחלים ושמתווים את שיקול הדעת הרחב של בית המשפט בב</w:t>
      </w:r>
      <w:r w:rsidR="00B13546">
        <w:rPr>
          <w:rFonts w:ascii="Arial" w:hAnsi="Arial"/>
          <w:noProof w:val="0"/>
          <w:rtl/>
        </w:rPr>
        <w:t>ואו לפסוק מזונות, כל שכן זמניים</w:t>
      </w:r>
      <w:r w:rsidR="00B13546">
        <w:rPr>
          <w:rFonts w:ascii="Arial" w:hAnsi="Arial" w:hint="cs"/>
          <w:noProof w:val="0"/>
          <w:rtl/>
        </w:rPr>
        <w:t>;</w:t>
      </w:r>
      <w:r>
        <w:rPr>
          <w:rFonts w:ascii="Arial" w:hAnsi="Arial"/>
          <w:noProof w:val="0"/>
          <w:rtl/>
        </w:rPr>
        <w:t xml:space="preserve"> חלוקת ה</w:t>
      </w:r>
      <w:r w:rsidR="00B13546">
        <w:rPr>
          <w:rFonts w:ascii="Arial" w:hAnsi="Arial"/>
          <w:noProof w:val="0"/>
          <w:rtl/>
        </w:rPr>
        <w:t xml:space="preserve">זמן ההורי, וזמני השהות </w:t>
      </w:r>
      <w:r>
        <w:rPr>
          <w:rFonts w:ascii="Arial" w:hAnsi="Arial"/>
          <w:noProof w:val="0"/>
          <w:rtl/>
        </w:rPr>
        <w:t xml:space="preserve">שהייתה שווה וכי כך </w:t>
      </w:r>
      <w:r w:rsidR="00B13546">
        <w:rPr>
          <w:rFonts w:ascii="Arial" w:hAnsi="Arial"/>
          <w:noProof w:val="0"/>
          <w:rtl/>
        </w:rPr>
        <w:t>נהגו הצדדים עוד טרם פתיחת ההליך</w:t>
      </w:r>
      <w:r w:rsidR="00B13546">
        <w:rPr>
          <w:rFonts w:ascii="Arial" w:hAnsi="Arial" w:hint="cs"/>
          <w:noProof w:val="0"/>
          <w:rtl/>
        </w:rPr>
        <w:t>;</w:t>
      </w:r>
      <w:r>
        <w:rPr>
          <w:rFonts w:ascii="Arial" w:hAnsi="Arial"/>
          <w:noProof w:val="0"/>
          <w:rtl/>
        </w:rPr>
        <w:t xml:space="preserve"> את המישור הכלכלי ויכולות הצדדים, עת לא שוכנע כי קיים פער מהותי בין </w:t>
      </w:r>
      <w:r w:rsidR="00B13546">
        <w:rPr>
          <w:rFonts w:ascii="Arial" w:hAnsi="Arial"/>
          <w:noProof w:val="0"/>
          <w:rtl/>
        </w:rPr>
        <w:t>הצדדים</w:t>
      </w:r>
      <w:r w:rsidR="00B13546">
        <w:rPr>
          <w:rFonts w:ascii="Arial" w:hAnsi="Arial" w:hint="cs"/>
          <w:noProof w:val="0"/>
          <w:rtl/>
        </w:rPr>
        <w:t>;</w:t>
      </w:r>
      <w:r>
        <w:rPr>
          <w:rFonts w:ascii="Arial" w:hAnsi="Arial"/>
          <w:noProof w:val="0"/>
          <w:rtl/>
        </w:rPr>
        <w:t xml:space="preserve"> ולבסוף את צורכ</w:t>
      </w:r>
      <w:r w:rsidR="00B13546">
        <w:rPr>
          <w:rFonts w:ascii="Arial" w:hAnsi="Arial"/>
          <w:noProof w:val="0"/>
          <w:rtl/>
        </w:rPr>
        <w:t>י הקטינות אל מול דרישות הצדדים</w:t>
      </w:r>
      <w:r w:rsidR="00B13546">
        <w:rPr>
          <w:rFonts w:ascii="Arial" w:hAnsi="Arial" w:hint="cs"/>
          <w:noProof w:val="0"/>
          <w:rtl/>
        </w:rPr>
        <w:t>.</w:t>
      </w:r>
    </w:p>
    <w:p w:rsidR="00B13546" w:rsidRDefault="00B13546" w:rsidP="00E77974">
      <w:pPr>
        <w:spacing w:line="360" w:lineRule="auto"/>
        <w:jc w:val="both"/>
        <w:rPr>
          <w:rFonts w:ascii="Arial" w:hAnsi="Arial"/>
          <w:noProof w:val="0"/>
          <w:rtl/>
        </w:rPr>
      </w:pPr>
    </w:p>
    <w:p w:rsidR="00B13546" w:rsidRDefault="00B13546" w:rsidP="00E77974">
      <w:pPr>
        <w:spacing w:line="360" w:lineRule="auto"/>
        <w:jc w:val="both"/>
        <w:rPr>
          <w:rFonts w:ascii="Arial" w:hAnsi="Arial"/>
          <w:noProof w:val="0"/>
          <w:rtl/>
        </w:rPr>
      </w:pPr>
      <w:r>
        <w:rPr>
          <w:rFonts w:ascii="Arial" w:hAnsi="Arial" w:hint="cs"/>
          <w:noProof w:val="0"/>
          <w:rtl/>
        </w:rPr>
        <w:t xml:space="preserve">אחר כל אלה </w:t>
      </w:r>
      <w:r w:rsidR="00E77974">
        <w:rPr>
          <w:rFonts w:ascii="Arial" w:hAnsi="Arial"/>
          <w:noProof w:val="0"/>
          <w:rtl/>
        </w:rPr>
        <w:t>הגיע</w:t>
      </w:r>
      <w:r>
        <w:rPr>
          <w:rFonts w:ascii="Arial" w:hAnsi="Arial" w:hint="cs"/>
          <w:noProof w:val="0"/>
          <w:rtl/>
        </w:rPr>
        <w:t xml:space="preserve"> בית משפט קמא</w:t>
      </w:r>
      <w:r w:rsidR="00E77974">
        <w:rPr>
          <w:rFonts w:ascii="Arial" w:hAnsi="Arial"/>
          <w:noProof w:val="0"/>
          <w:rtl/>
        </w:rPr>
        <w:t xml:space="preserve"> למסקנה כי אין לחייב את</w:t>
      </w:r>
      <w:r>
        <w:rPr>
          <w:rFonts w:ascii="Arial" w:hAnsi="Arial"/>
          <w:noProof w:val="0"/>
          <w:rtl/>
        </w:rPr>
        <w:t xml:space="preserve"> המשיב במזונות זמניים כאשר על</w:t>
      </w:r>
      <w:r>
        <w:rPr>
          <w:rFonts w:ascii="Arial" w:hAnsi="Arial" w:hint="cs"/>
          <w:noProof w:val="0"/>
          <w:rtl/>
        </w:rPr>
        <w:t xml:space="preserve"> הצדדים</w:t>
      </w:r>
      <w:r w:rsidR="00E77974">
        <w:rPr>
          <w:rFonts w:ascii="Arial" w:hAnsi="Arial"/>
          <w:noProof w:val="0"/>
          <w:rtl/>
        </w:rPr>
        <w:t xml:space="preserve"> לשאת שווה </w:t>
      </w:r>
      <w:r>
        <w:rPr>
          <w:rFonts w:ascii="Arial" w:hAnsi="Arial"/>
          <w:noProof w:val="0"/>
          <w:rtl/>
        </w:rPr>
        <w:t>בשווה בהוצאות שאינן תלויות שהות</w:t>
      </w:r>
      <w:r>
        <w:rPr>
          <w:rFonts w:ascii="Arial" w:hAnsi="Arial" w:hint="cs"/>
          <w:noProof w:val="0"/>
          <w:rtl/>
        </w:rPr>
        <w:t xml:space="preserve">. </w:t>
      </w:r>
    </w:p>
    <w:p w:rsidR="00E77974" w:rsidRDefault="00B13546" w:rsidP="00E77974">
      <w:pPr>
        <w:spacing w:line="360" w:lineRule="auto"/>
        <w:jc w:val="both"/>
        <w:rPr>
          <w:rFonts w:ascii="Arial" w:hAnsi="Arial"/>
          <w:noProof w:val="0"/>
          <w:rtl/>
        </w:rPr>
      </w:pPr>
      <w:r>
        <w:rPr>
          <w:rFonts w:ascii="Arial" w:hAnsi="Arial" w:hint="cs"/>
          <w:noProof w:val="0"/>
          <w:rtl/>
        </w:rPr>
        <w:lastRenderedPageBreak/>
        <w:t>נ</w:t>
      </w:r>
      <w:r w:rsidR="00E77974">
        <w:rPr>
          <w:rFonts w:ascii="Arial" w:hAnsi="Arial"/>
          <w:noProof w:val="0"/>
          <w:rtl/>
        </w:rPr>
        <w:t>קבע בין היתר: "נחה דעתי כי בנסיבות העניין, בשים לב לחלוקת זמני השהות, גיל הקטינות ולחוסנם הכלכלי של הצדדים, כי כל צד יישא בהוצאות הקטינות באופן ישיר, ללא צו לתשלום מזונות. עם זאת, מצאתי לנכון לתת הוראות הנוגעות לנשיאה בהוצאות החריגות".</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עוד בהמשך ציין בית משפט קמא: "... סבורני עוד שפסיקת מזונות זמניים בנסיבות העניין עלולה להביא יותר נזק וכל תועלת הטמונה בה ... מטובתם של הצדדים ובנותיהם כי יגיעו להסכמה כוללת מחוץ לכותלי בית המשפט... הימנעות ממתן צו למזונות תסייע בהרגעת הרוחות ויצירת תנאים הנוחים יותר להסכמה, ללא צו שיפוטי תלוי ועומד".</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 xml:space="preserve">בית משפט קמא </w:t>
      </w:r>
      <w:r w:rsidR="00B13546">
        <w:rPr>
          <w:rFonts w:ascii="Arial" w:hAnsi="Arial" w:hint="cs"/>
          <w:noProof w:val="0"/>
          <w:rtl/>
        </w:rPr>
        <w:t xml:space="preserve">חתם </w:t>
      </w:r>
      <w:r>
        <w:rPr>
          <w:rFonts w:ascii="Arial" w:hAnsi="Arial"/>
          <w:noProof w:val="0"/>
          <w:rtl/>
        </w:rPr>
        <w:t xml:space="preserve">את החלטתו </w:t>
      </w:r>
      <w:r w:rsidR="00B13546">
        <w:rPr>
          <w:rFonts w:ascii="Arial" w:hAnsi="Arial" w:hint="cs"/>
          <w:noProof w:val="0"/>
          <w:rtl/>
        </w:rPr>
        <w:t xml:space="preserve">בקביעה </w:t>
      </w:r>
      <w:r>
        <w:rPr>
          <w:rFonts w:ascii="Arial" w:hAnsi="Arial"/>
          <w:noProof w:val="0"/>
          <w:rtl/>
        </w:rPr>
        <w:t xml:space="preserve">כי זו תעמוד בתוקפה עד להחלטה אחרת או </w:t>
      </w:r>
      <w:r w:rsidR="00B13546">
        <w:rPr>
          <w:rFonts w:ascii="Arial" w:hAnsi="Arial" w:hint="cs"/>
          <w:noProof w:val="0"/>
          <w:rtl/>
        </w:rPr>
        <w:t xml:space="preserve">עד </w:t>
      </w:r>
      <w:r>
        <w:rPr>
          <w:rFonts w:ascii="Arial" w:hAnsi="Arial"/>
          <w:noProof w:val="0"/>
          <w:rtl/>
        </w:rPr>
        <w:t>הגיע כל אחת מהקטינות לגיל 18</w:t>
      </w:r>
      <w:r w:rsidR="00B13546">
        <w:rPr>
          <w:rFonts w:ascii="Arial" w:hAnsi="Arial" w:hint="cs"/>
          <w:noProof w:val="0"/>
          <w:rtl/>
        </w:rPr>
        <w:t>,</w:t>
      </w:r>
      <w:r>
        <w:rPr>
          <w:rFonts w:ascii="Arial" w:hAnsi="Arial"/>
          <w:noProof w:val="0"/>
          <w:rtl/>
        </w:rPr>
        <w:t xml:space="preserve"> לפי המוקדם.</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המבקשת לא ביקשה לערער על אותה החלטה, ומשהתכנסו הצדדים לפני בית משפט קמא בקדם המשפט הראשון ביום 8.10.24, ה</w:t>
      </w:r>
      <w:r w:rsidR="00B13546">
        <w:rPr>
          <w:rFonts w:ascii="Arial" w:hAnsi="Arial"/>
          <w:noProof w:val="0"/>
          <w:rtl/>
        </w:rPr>
        <w:t xml:space="preserve">סכימה לאמץ את </w:t>
      </w:r>
      <w:r w:rsidR="00B13546">
        <w:rPr>
          <w:rFonts w:ascii="Arial" w:hAnsi="Arial" w:hint="cs"/>
          <w:noProof w:val="0"/>
          <w:rtl/>
        </w:rPr>
        <w:t>הה</w:t>
      </w:r>
      <w:r w:rsidR="007915F4">
        <w:rPr>
          <w:rFonts w:ascii="Arial" w:hAnsi="Arial" w:hint="cs"/>
          <w:noProof w:val="0"/>
          <w:rtl/>
        </w:rPr>
        <w:t>ח</w:t>
      </w:r>
      <w:r w:rsidR="00B13546">
        <w:rPr>
          <w:rFonts w:ascii="Arial" w:hAnsi="Arial" w:hint="cs"/>
          <w:noProof w:val="0"/>
          <w:rtl/>
        </w:rPr>
        <w:t>לטה</w:t>
      </w:r>
      <w:r>
        <w:rPr>
          <w:rFonts w:ascii="Arial" w:hAnsi="Arial"/>
          <w:noProof w:val="0"/>
          <w:rtl/>
        </w:rPr>
        <w:t xml:space="preserve"> בעניין זמני השהות - מחצית אצל כל הורה. לצד זאת, בעניין המזונות הפנתה לסעיף 17 להח</w:t>
      </w:r>
      <w:r w:rsidR="007915F4">
        <w:rPr>
          <w:rFonts w:ascii="Arial" w:hAnsi="Arial"/>
          <w:noProof w:val="0"/>
          <w:rtl/>
        </w:rPr>
        <w:t xml:space="preserve">לטה מיום 22.7.24 העוסק במחציות </w:t>
      </w:r>
      <w:r w:rsidR="007915F4">
        <w:rPr>
          <w:rFonts w:ascii="Arial" w:hAnsi="Arial" w:hint="cs"/>
          <w:noProof w:val="0"/>
          <w:rtl/>
        </w:rPr>
        <w:t>ול</w:t>
      </w:r>
      <w:r>
        <w:rPr>
          <w:rFonts w:ascii="Arial" w:hAnsi="Arial"/>
          <w:noProof w:val="0"/>
          <w:rtl/>
        </w:rPr>
        <w:t>קריאה שהפנה בית משפט קמא לצדדים</w:t>
      </w:r>
      <w:r w:rsidR="007915F4">
        <w:rPr>
          <w:rFonts w:ascii="Arial" w:hAnsi="Arial"/>
          <w:noProof w:val="0"/>
          <w:rtl/>
        </w:rPr>
        <w:t xml:space="preserve"> לפעול על מנת להגיע להסכמות</w:t>
      </w:r>
      <w:r w:rsidR="007915F4">
        <w:rPr>
          <w:rFonts w:ascii="Arial" w:hAnsi="Arial" w:hint="cs"/>
          <w:noProof w:val="0"/>
          <w:rtl/>
        </w:rPr>
        <w:t xml:space="preserve">, </w:t>
      </w:r>
      <w:r>
        <w:rPr>
          <w:rFonts w:ascii="Arial" w:hAnsi="Arial"/>
          <w:noProof w:val="0"/>
          <w:rtl/>
        </w:rPr>
        <w:t>לאותן הוראות בדבר נשיאה במשותף בהוצאו</w:t>
      </w:r>
      <w:r w:rsidR="007915F4">
        <w:rPr>
          <w:rFonts w:ascii="Arial" w:hAnsi="Arial"/>
          <w:noProof w:val="0"/>
          <w:rtl/>
        </w:rPr>
        <w:t xml:space="preserve">ת חריגות ואחרות ולקושי שהתעורר </w:t>
      </w:r>
      <w:r w:rsidR="007915F4">
        <w:rPr>
          <w:rFonts w:ascii="Arial" w:hAnsi="Arial" w:hint="cs"/>
          <w:noProof w:val="0"/>
          <w:rtl/>
        </w:rPr>
        <w:t>ב</w:t>
      </w:r>
      <w:r>
        <w:rPr>
          <w:rFonts w:ascii="Arial" w:hAnsi="Arial"/>
          <w:noProof w:val="0"/>
          <w:rtl/>
        </w:rPr>
        <w:t>גיבוש הסכמות.</w:t>
      </w:r>
    </w:p>
    <w:p w:rsidR="007915F4" w:rsidRDefault="007915F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 xml:space="preserve">ב"כ המבקשת טענה כי על בית משפט קמא לקבוע מנגנון מוסדר בנוגע להוצאות הנוספות שאינן תלויות שהות. </w:t>
      </w:r>
    </w:p>
    <w:p w:rsidR="007915F4" w:rsidRDefault="007915F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גם הפעם סבר בית משפט קמא כי אין להיעתר לבקשתה זו של המבקשת מאחר ונכון יהיה שב"כ הצדדים יבואו בדברים בעניין סוגי ההוצאות הנוספות להן טענה המבקשת ויעריכו באופן אמיתי את סכומן השנתי. בית משפט קמא אף הציע מנגנון לפיו ההוצאות ישולמו על ידי הצדדים בשתי פעימות, כאשר במחצית הראשונה של השנה הורה א' ידאג להוצאות, ואילו בפ</w:t>
      </w:r>
      <w:r w:rsidR="007915F4">
        <w:rPr>
          <w:rFonts w:ascii="Arial" w:hAnsi="Arial"/>
          <w:noProof w:val="0"/>
          <w:rtl/>
        </w:rPr>
        <w:t>עימה השנייה, ההורה השני יעשה כן</w:t>
      </w:r>
      <w:r w:rsidR="007915F4">
        <w:rPr>
          <w:rFonts w:ascii="Arial" w:hAnsi="Arial" w:hint="cs"/>
          <w:noProof w:val="0"/>
          <w:rtl/>
        </w:rPr>
        <w:t>.</w:t>
      </w:r>
      <w:r w:rsidR="007915F4">
        <w:rPr>
          <w:rFonts w:ascii="Arial" w:hAnsi="Arial"/>
          <w:noProof w:val="0"/>
          <w:rtl/>
        </w:rPr>
        <w:t xml:space="preserve"> </w:t>
      </w:r>
      <w:r w:rsidR="007915F4">
        <w:rPr>
          <w:rFonts w:ascii="Arial" w:hAnsi="Arial" w:hint="cs"/>
          <w:noProof w:val="0"/>
          <w:rtl/>
        </w:rPr>
        <w:t xml:space="preserve">גם הפעם סבר </w:t>
      </w:r>
      <w:r w:rsidR="007915F4">
        <w:rPr>
          <w:rFonts w:ascii="Arial" w:hAnsi="Arial"/>
          <w:noProof w:val="0"/>
          <w:rtl/>
        </w:rPr>
        <w:t xml:space="preserve">בית משפט קמא </w:t>
      </w:r>
      <w:r>
        <w:rPr>
          <w:rFonts w:ascii="Arial" w:hAnsi="Arial"/>
          <w:noProof w:val="0"/>
          <w:rtl/>
        </w:rPr>
        <w:t>כי מדובר במחלוקת פתירה ויש לצמצמה להוצאות חיוניות בלבד. עוד ביקש בית משפט קמא מהצדדים לשקול כי כל הורה יעביר סך של כ-4,500 ₪ בשנה בחלוקה של שתי פעימות עבור אותן הוצאות.</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המבקשת מאנה להשלים עם החלטת בית משפט קמא והגישה את בקשת רשות הערעור ה</w:t>
      </w:r>
      <w:r w:rsidR="007915F4">
        <w:rPr>
          <w:rFonts w:ascii="Arial" w:hAnsi="Arial"/>
          <w:noProof w:val="0"/>
          <w:rtl/>
        </w:rPr>
        <w:t>מונחת לפני, במסגרתה מיקד</w:t>
      </w:r>
      <w:r w:rsidR="007915F4">
        <w:rPr>
          <w:rFonts w:ascii="Arial" w:hAnsi="Arial" w:hint="cs"/>
          <w:noProof w:val="0"/>
          <w:rtl/>
        </w:rPr>
        <w:t>ה</w:t>
      </w:r>
      <w:r>
        <w:rPr>
          <w:rFonts w:ascii="Arial" w:hAnsi="Arial"/>
          <w:noProof w:val="0"/>
          <w:rtl/>
        </w:rPr>
        <w:t xml:space="preserve"> את הטיעון בצורכי הקטינות שאינם תלויי שהות ולדידה שגה בית משפט קמא עת לא</w:t>
      </w:r>
      <w:r w:rsidR="007915F4">
        <w:rPr>
          <w:rFonts w:ascii="Arial" w:hAnsi="Arial"/>
          <w:noProof w:val="0"/>
          <w:rtl/>
        </w:rPr>
        <w:t xml:space="preserve"> הכריע, הלכה למעשה, בבקשת</w:t>
      </w:r>
      <w:r w:rsidR="007915F4">
        <w:rPr>
          <w:rFonts w:ascii="Arial" w:hAnsi="Arial" w:hint="cs"/>
          <w:noProof w:val="0"/>
          <w:rtl/>
        </w:rPr>
        <w:t xml:space="preserve">ה, </w:t>
      </w:r>
      <w:r>
        <w:rPr>
          <w:rFonts w:ascii="Arial" w:hAnsi="Arial"/>
          <w:noProof w:val="0"/>
          <w:rtl/>
        </w:rPr>
        <w:t>בהיקף ו</w:t>
      </w:r>
      <w:r w:rsidR="007915F4">
        <w:rPr>
          <w:rFonts w:ascii="Arial" w:hAnsi="Arial" w:hint="cs"/>
          <w:noProof w:val="0"/>
          <w:rtl/>
        </w:rPr>
        <w:t>ב</w:t>
      </w:r>
      <w:r>
        <w:rPr>
          <w:rFonts w:ascii="Arial" w:hAnsi="Arial"/>
          <w:noProof w:val="0"/>
          <w:rtl/>
        </w:rPr>
        <w:t>אופן נשיאת</w:t>
      </w:r>
      <w:r w:rsidR="007915F4">
        <w:rPr>
          <w:rFonts w:ascii="Arial" w:hAnsi="Arial" w:hint="cs"/>
          <w:noProof w:val="0"/>
          <w:rtl/>
        </w:rPr>
        <w:t xml:space="preserve"> הצדדים</w:t>
      </w:r>
      <w:r w:rsidR="007915F4">
        <w:rPr>
          <w:rFonts w:ascii="Arial" w:hAnsi="Arial"/>
          <w:noProof w:val="0"/>
          <w:rtl/>
        </w:rPr>
        <w:t xml:space="preserve"> </w:t>
      </w:r>
      <w:r w:rsidR="007915F4">
        <w:rPr>
          <w:rFonts w:ascii="Arial" w:hAnsi="Arial" w:hint="cs"/>
          <w:noProof w:val="0"/>
          <w:rtl/>
        </w:rPr>
        <w:t>ב</w:t>
      </w:r>
      <w:r>
        <w:rPr>
          <w:rFonts w:ascii="Arial" w:hAnsi="Arial"/>
          <w:noProof w:val="0"/>
          <w:rtl/>
        </w:rPr>
        <w:t>צרכים שאינם תלויי שהות.</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lastRenderedPageBreak/>
        <w:t>עוד טוענת המבקשת כי על בית משפט קמא היה למנותה כהורה מרכז שעה שהוכח כי היא זו אשר דאגה לכל צורכי הקטינות מאז לידתן והיא זו אשר ממשיכה לדאוג לכך. עוד הוסיפה המבקשת וטענה כי שגה בית משפט קמא עת לא פסק מזונות לבת שירה מיום הגשת התביעה, כי שגה עת התעלם מפערי השכר האדירים הקיימים בין הצדדים ולא פסק מזונות לקטינות, וכן משקבע כי לא ניתן לחייב את הצדדים בתשלום הוצאות מעבר למינימום המקובל תוך התעלמות, כך לטענת המבקשת, מן ההלכה הפסוקה כי מזונות נועדו לשמר את רמת החיים לה הורגלו הקטינות.</w:t>
      </w:r>
    </w:p>
    <w:p w:rsidR="007915F4" w:rsidRDefault="007915F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אשר להרגעת הרוחות, שיקול שעמד ברקע של אותה החלטה, כשם שציין בית משפט קמא במפורש בגדריה של זו, טענה המבקשת כי ההפך הוא הנכון וכי ההחלטה מובילה למצב בו מרבית ההוצאות מוטלות על האם.</w:t>
      </w:r>
    </w:p>
    <w:p w:rsidR="00E77974" w:rsidRDefault="00E77974" w:rsidP="00E77974">
      <w:pPr>
        <w:spacing w:line="360" w:lineRule="auto"/>
        <w:jc w:val="both"/>
        <w:rPr>
          <w:rFonts w:ascii="Arial" w:hAnsi="Arial"/>
          <w:noProof w:val="0"/>
          <w:rtl/>
        </w:rPr>
      </w:pPr>
    </w:p>
    <w:p w:rsidR="00E77974" w:rsidRDefault="0037008D" w:rsidP="00E77974">
      <w:pPr>
        <w:spacing w:line="360" w:lineRule="auto"/>
        <w:jc w:val="both"/>
        <w:rPr>
          <w:rFonts w:ascii="Arial" w:hAnsi="Arial"/>
          <w:noProof w:val="0"/>
          <w:rtl/>
        </w:rPr>
      </w:pPr>
      <w:r>
        <w:rPr>
          <w:rFonts w:ascii="Arial" w:hAnsi="Arial"/>
          <w:noProof w:val="0"/>
          <w:rtl/>
        </w:rPr>
        <w:t>אין ב</w:t>
      </w:r>
      <w:r>
        <w:rPr>
          <w:rFonts w:ascii="Arial" w:hAnsi="Arial" w:hint="cs"/>
          <w:noProof w:val="0"/>
          <w:rtl/>
        </w:rPr>
        <w:t xml:space="preserve">אמור </w:t>
      </w:r>
      <w:r w:rsidR="00E77974">
        <w:rPr>
          <w:rFonts w:ascii="Arial" w:hAnsi="Arial"/>
          <w:noProof w:val="0"/>
          <w:rtl/>
        </w:rPr>
        <w:t xml:space="preserve">כדי למצות את </w:t>
      </w:r>
      <w:r w:rsidR="007915F4">
        <w:rPr>
          <w:rFonts w:ascii="Arial" w:hAnsi="Arial"/>
          <w:noProof w:val="0"/>
          <w:rtl/>
        </w:rPr>
        <w:t>טענות המבקשת</w:t>
      </w:r>
      <w:r w:rsidR="007915F4">
        <w:rPr>
          <w:rFonts w:ascii="Arial" w:hAnsi="Arial" w:hint="cs"/>
          <w:noProof w:val="0"/>
          <w:rtl/>
        </w:rPr>
        <w:t xml:space="preserve"> אלא את</w:t>
      </w:r>
      <w:r w:rsidR="007915F4">
        <w:rPr>
          <w:rFonts w:ascii="Arial" w:hAnsi="Arial"/>
          <w:noProof w:val="0"/>
          <w:rtl/>
        </w:rPr>
        <w:t xml:space="preserve"> עיקר</w:t>
      </w:r>
      <w:r w:rsidR="00E77974">
        <w:rPr>
          <w:rFonts w:ascii="Arial" w:hAnsi="Arial"/>
          <w:noProof w:val="0"/>
          <w:rtl/>
        </w:rPr>
        <w:t>ן.</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משהוגשה הבקשה נתבקשה תשובת המשיב המתנגד לבקשה וסבור כי דינה להידחות. כך גם נטען בדיון שהתקיים במעמד הצדדים, כאשר המשיב מפנה להלכה הנוהגת בעניין התערבות ערכאת הערעור והחלטות מסוג זה, מוסיף וטוען כי לא נפ</w:t>
      </w:r>
      <w:r w:rsidR="007915F4">
        <w:rPr>
          <w:rFonts w:ascii="Arial" w:hAnsi="Arial"/>
          <w:noProof w:val="0"/>
          <w:rtl/>
        </w:rPr>
        <w:t>לה כל שגגה בהחלטה קמא וכי המבקשת איחרה את המועד</w:t>
      </w:r>
      <w:r w:rsidR="007915F4">
        <w:rPr>
          <w:rFonts w:ascii="Arial" w:hAnsi="Arial" w:hint="cs"/>
          <w:noProof w:val="0"/>
          <w:rtl/>
        </w:rPr>
        <w:t xml:space="preserve">, </w:t>
      </w:r>
      <w:r w:rsidR="007915F4">
        <w:rPr>
          <w:rFonts w:ascii="Arial" w:hAnsi="Arial"/>
          <w:noProof w:val="0"/>
          <w:rtl/>
        </w:rPr>
        <w:t xml:space="preserve">משלא </w:t>
      </w:r>
      <w:r>
        <w:rPr>
          <w:rFonts w:ascii="Arial" w:hAnsi="Arial"/>
          <w:noProof w:val="0"/>
          <w:rtl/>
        </w:rPr>
        <w:t xml:space="preserve">השיגה על ההחלטה מיום 22.7.24, </w:t>
      </w:r>
      <w:r w:rsidR="007915F4">
        <w:rPr>
          <w:rFonts w:ascii="Arial" w:hAnsi="Arial" w:hint="cs"/>
          <w:noProof w:val="0"/>
          <w:rtl/>
        </w:rPr>
        <w:t xml:space="preserve">וכי </w:t>
      </w:r>
      <w:r>
        <w:rPr>
          <w:rFonts w:ascii="Arial" w:hAnsi="Arial"/>
          <w:noProof w:val="0"/>
          <w:rtl/>
        </w:rPr>
        <w:t xml:space="preserve">אין היא יכולה לעשות כן כיום במסגרת </w:t>
      </w:r>
      <w:r w:rsidR="00FA7522">
        <w:rPr>
          <w:rFonts w:ascii="Arial" w:hAnsi="Arial" w:hint="cs"/>
          <w:noProof w:val="0"/>
          <w:rtl/>
        </w:rPr>
        <w:t xml:space="preserve">השגות על </w:t>
      </w:r>
      <w:r>
        <w:rPr>
          <w:rFonts w:ascii="Arial" w:hAnsi="Arial"/>
          <w:noProof w:val="0"/>
          <w:rtl/>
        </w:rPr>
        <w:t>החלטה מאו</w:t>
      </w:r>
      <w:r w:rsidR="00FA7522">
        <w:rPr>
          <w:rFonts w:ascii="Arial" w:hAnsi="Arial"/>
          <w:noProof w:val="0"/>
          <w:rtl/>
        </w:rPr>
        <w:t>חרת שרק אשררה את הקודמת, ו</w:t>
      </w:r>
      <w:r w:rsidR="00FA7522">
        <w:rPr>
          <w:rFonts w:ascii="Arial" w:hAnsi="Arial" w:hint="cs"/>
          <w:noProof w:val="0"/>
          <w:rtl/>
        </w:rPr>
        <w:t xml:space="preserve">אשר </w:t>
      </w:r>
      <w:r>
        <w:rPr>
          <w:rFonts w:ascii="Arial" w:hAnsi="Arial"/>
          <w:noProof w:val="0"/>
          <w:rtl/>
        </w:rPr>
        <w:t>לא היה בה כל חידוש.</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לאחר ששקלתי את טענות הצדדים בכתב ובעל פה, נתתי את דעתי לנתונים השונים לכאורה שעלו מכתבי הטענות, ובעיקר אלה שהונחו לפני בית משפט קמא, להנמקות בי</w:t>
      </w:r>
      <w:r w:rsidR="00FA7522">
        <w:rPr>
          <w:rFonts w:ascii="Arial" w:hAnsi="Arial"/>
          <w:noProof w:val="0"/>
          <w:rtl/>
        </w:rPr>
        <w:t>ת משפט קמא</w:t>
      </w:r>
      <w:r>
        <w:rPr>
          <w:rFonts w:ascii="Arial" w:hAnsi="Arial"/>
          <w:noProof w:val="0"/>
          <w:rtl/>
        </w:rPr>
        <w:t xml:space="preserve"> ולציפייה כי הצדדים יגבשו הסכמות ביניהם, באתי לכלל מסקנה כי דין הבקשה להידחות.</w:t>
      </w:r>
    </w:p>
    <w:p w:rsidR="00E77974" w:rsidRDefault="00E77974" w:rsidP="00E77974">
      <w:pPr>
        <w:spacing w:line="360" w:lineRule="auto"/>
        <w:jc w:val="both"/>
        <w:rPr>
          <w:rFonts w:ascii="Arial" w:hAnsi="Arial"/>
          <w:noProof w:val="0"/>
          <w:rtl/>
        </w:rPr>
      </w:pPr>
    </w:p>
    <w:p w:rsidR="00E77974" w:rsidRDefault="00FA7522" w:rsidP="00E77974">
      <w:pPr>
        <w:spacing w:line="360" w:lineRule="auto"/>
        <w:jc w:val="both"/>
        <w:rPr>
          <w:rFonts w:ascii="Arial" w:hAnsi="Arial"/>
          <w:noProof w:val="0"/>
          <w:rtl/>
        </w:rPr>
      </w:pPr>
      <w:r>
        <w:rPr>
          <w:rFonts w:ascii="Arial" w:hAnsi="Arial"/>
          <w:noProof w:val="0"/>
          <w:rtl/>
        </w:rPr>
        <w:t xml:space="preserve">ראשית יש לדחות את </w:t>
      </w:r>
      <w:r w:rsidR="00E77974">
        <w:rPr>
          <w:rFonts w:ascii="Arial" w:hAnsi="Arial"/>
          <w:noProof w:val="0"/>
          <w:rtl/>
        </w:rPr>
        <w:t>טענות המבקשת המ</w:t>
      </w:r>
      <w:r>
        <w:rPr>
          <w:rFonts w:ascii="Arial" w:hAnsi="Arial" w:hint="cs"/>
          <w:noProof w:val="0"/>
          <w:rtl/>
        </w:rPr>
        <w:t>ו</w:t>
      </w:r>
      <w:r>
        <w:rPr>
          <w:rFonts w:ascii="Arial" w:hAnsi="Arial"/>
          <w:noProof w:val="0"/>
          <w:rtl/>
        </w:rPr>
        <w:t xml:space="preserve">פנות </w:t>
      </w:r>
      <w:r>
        <w:rPr>
          <w:rFonts w:ascii="Arial" w:hAnsi="Arial" w:hint="cs"/>
          <w:noProof w:val="0"/>
          <w:rtl/>
        </w:rPr>
        <w:t xml:space="preserve">כנגד </w:t>
      </w:r>
      <w:r w:rsidR="00E77974">
        <w:rPr>
          <w:rFonts w:ascii="Arial" w:hAnsi="Arial"/>
          <w:noProof w:val="0"/>
          <w:rtl/>
        </w:rPr>
        <w:t>קביעות בית משפט קמא מיום 22.7.2024 למעט אלה שעוסקות בהוצאות שאינן תלויות שהות.</w:t>
      </w:r>
    </w:p>
    <w:p w:rsidR="00FA7522" w:rsidRDefault="00FA7522"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 xml:space="preserve">כך מתחייב לאור העובדה כי ההחלטה מיום 22.7.2024 הכריעה באופן זמני </w:t>
      </w:r>
      <w:r w:rsidR="00FA7522">
        <w:rPr>
          <w:rFonts w:ascii="Arial" w:hAnsi="Arial" w:hint="cs"/>
          <w:noProof w:val="0"/>
          <w:rtl/>
        </w:rPr>
        <w:t>ב</w:t>
      </w:r>
      <w:r>
        <w:rPr>
          <w:rFonts w:ascii="Arial" w:hAnsi="Arial"/>
          <w:noProof w:val="0"/>
          <w:rtl/>
        </w:rPr>
        <w:t>טענות הצד</w:t>
      </w:r>
      <w:r w:rsidR="00FA7522">
        <w:rPr>
          <w:rFonts w:ascii="Arial" w:hAnsi="Arial"/>
          <w:noProof w:val="0"/>
          <w:rtl/>
        </w:rPr>
        <w:t xml:space="preserve">דים בעניין המזונות הזמניים, </w:t>
      </w:r>
      <w:r w:rsidR="00FA7522">
        <w:rPr>
          <w:rFonts w:ascii="Arial" w:hAnsi="Arial" w:hint="cs"/>
          <w:noProof w:val="0"/>
          <w:rtl/>
        </w:rPr>
        <w:t>ו</w:t>
      </w:r>
      <w:r>
        <w:rPr>
          <w:rFonts w:ascii="Arial" w:hAnsi="Arial"/>
          <w:noProof w:val="0"/>
          <w:rtl/>
        </w:rPr>
        <w:t>צד שהיה סבור כי נפלה שגגה באותה החלטה</w:t>
      </w:r>
      <w:r w:rsidR="00FA7522">
        <w:rPr>
          <w:rFonts w:ascii="Arial" w:hAnsi="Arial" w:hint="cs"/>
          <w:noProof w:val="0"/>
          <w:rtl/>
        </w:rPr>
        <w:t>,</w:t>
      </w:r>
      <w:r w:rsidR="00FA7522">
        <w:rPr>
          <w:rFonts w:ascii="Arial" w:hAnsi="Arial"/>
          <w:noProof w:val="0"/>
          <w:rtl/>
        </w:rPr>
        <w:t xml:space="preserve"> פתוחה הייתה לפני</w:t>
      </w:r>
      <w:r w:rsidR="00FA7522">
        <w:rPr>
          <w:rFonts w:ascii="Arial" w:hAnsi="Arial" w:hint="cs"/>
          <w:noProof w:val="0"/>
          <w:rtl/>
        </w:rPr>
        <w:t>ו הדרך</w:t>
      </w:r>
      <w:r>
        <w:rPr>
          <w:rFonts w:ascii="Arial" w:hAnsi="Arial"/>
          <w:noProof w:val="0"/>
          <w:rtl/>
        </w:rPr>
        <w:t xml:space="preserve"> לבקש להשיג עליה במסגר</w:t>
      </w:r>
      <w:r w:rsidR="00FA7522">
        <w:rPr>
          <w:rFonts w:ascii="Arial" w:hAnsi="Arial"/>
          <w:noProof w:val="0"/>
          <w:rtl/>
        </w:rPr>
        <w:t>ת בקשת רשות ערעור על אותה החלטה</w:t>
      </w:r>
      <w:r w:rsidR="00FA7522">
        <w:rPr>
          <w:rFonts w:ascii="Arial" w:hAnsi="Arial" w:hint="cs"/>
          <w:noProof w:val="0"/>
          <w:rtl/>
        </w:rPr>
        <w:t>. משלא עשתה כן המבקשת,</w:t>
      </w:r>
      <w:r w:rsidR="00FA7522">
        <w:rPr>
          <w:rFonts w:ascii="Arial" w:hAnsi="Arial"/>
          <w:noProof w:val="0"/>
          <w:rtl/>
        </w:rPr>
        <w:t xml:space="preserve"> </w:t>
      </w:r>
      <w:r w:rsidR="00FA7522">
        <w:rPr>
          <w:rFonts w:ascii="Arial" w:hAnsi="Arial" w:hint="cs"/>
          <w:noProof w:val="0"/>
          <w:rtl/>
        </w:rPr>
        <w:t xml:space="preserve">הדין אינו מאפשר לה </w:t>
      </w:r>
      <w:r>
        <w:rPr>
          <w:rFonts w:ascii="Arial" w:hAnsi="Arial"/>
          <w:noProof w:val="0"/>
          <w:rtl/>
        </w:rPr>
        <w:t>להשיג מחדש על אותן קביעות בגדרי ב</w:t>
      </w:r>
      <w:r w:rsidR="00FA7522">
        <w:rPr>
          <w:rFonts w:ascii="Arial" w:hAnsi="Arial"/>
          <w:noProof w:val="0"/>
          <w:rtl/>
        </w:rPr>
        <w:t>קשת רשות הערעור המונחת לפני כעת</w:t>
      </w:r>
      <w:r w:rsidR="00FA7522">
        <w:rPr>
          <w:rFonts w:ascii="Arial" w:hAnsi="Arial" w:hint="cs"/>
          <w:noProof w:val="0"/>
          <w:rtl/>
        </w:rPr>
        <w:t xml:space="preserve">, </w:t>
      </w:r>
      <w:r>
        <w:rPr>
          <w:rFonts w:ascii="Arial" w:hAnsi="Arial"/>
          <w:noProof w:val="0"/>
          <w:rtl/>
        </w:rPr>
        <w:t>שעה שההחלטה מ</w:t>
      </w:r>
      <w:r w:rsidR="00FA7522">
        <w:rPr>
          <w:rFonts w:ascii="Arial" w:hAnsi="Arial"/>
          <w:noProof w:val="0"/>
          <w:rtl/>
        </w:rPr>
        <w:t>יום 8.10.2024 עסקה אך ורק ב</w:t>
      </w:r>
      <w:r>
        <w:rPr>
          <w:rFonts w:ascii="Arial" w:hAnsi="Arial"/>
          <w:noProof w:val="0"/>
          <w:rtl/>
        </w:rPr>
        <w:t>הוצאות שאינן תלויות שהות.</w:t>
      </w:r>
    </w:p>
    <w:p w:rsidR="00E77974" w:rsidRDefault="00E77974" w:rsidP="00E77974">
      <w:pPr>
        <w:spacing w:line="360" w:lineRule="auto"/>
        <w:jc w:val="both"/>
        <w:rPr>
          <w:rFonts w:ascii="Arial" w:hAnsi="Arial"/>
          <w:noProof w:val="0"/>
          <w:rtl/>
        </w:rPr>
      </w:pPr>
    </w:p>
    <w:p w:rsidR="00E77974" w:rsidRDefault="00FA7522" w:rsidP="00FA7522">
      <w:pPr>
        <w:spacing w:line="360" w:lineRule="auto"/>
        <w:jc w:val="both"/>
        <w:rPr>
          <w:rFonts w:ascii="Arial" w:hAnsi="Arial"/>
          <w:noProof w:val="0"/>
          <w:rtl/>
        </w:rPr>
      </w:pPr>
      <w:r>
        <w:rPr>
          <w:rFonts w:ascii="Arial" w:hAnsi="Arial" w:hint="cs"/>
          <w:noProof w:val="0"/>
          <w:rtl/>
        </w:rPr>
        <w:t xml:space="preserve">אשר לזמניות ההחלטה מיום 22.07.2024 </w:t>
      </w:r>
      <w:r w:rsidR="00E77974">
        <w:rPr>
          <w:rFonts w:ascii="Arial" w:hAnsi="Arial"/>
          <w:noProof w:val="0"/>
          <w:rtl/>
        </w:rPr>
        <w:t>אין בידי לקבל את טענות המבקשת לפיהן תוקפה מוג</w:t>
      </w:r>
      <w:r>
        <w:rPr>
          <w:rFonts w:ascii="Arial" w:hAnsi="Arial"/>
          <w:noProof w:val="0"/>
          <w:rtl/>
        </w:rPr>
        <w:t>בל עד לישיבת קדם המשפט הראשון ש</w:t>
      </w:r>
      <w:r>
        <w:rPr>
          <w:rFonts w:ascii="Arial" w:hAnsi="Arial" w:hint="cs"/>
          <w:noProof w:val="0"/>
          <w:rtl/>
        </w:rPr>
        <w:t>י</w:t>
      </w:r>
      <w:r w:rsidR="00E77974">
        <w:rPr>
          <w:rFonts w:ascii="Arial" w:hAnsi="Arial"/>
          <w:noProof w:val="0"/>
          <w:rtl/>
        </w:rPr>
        <w:t>תקיים בתביעת המזונות.</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lastRenderedPageBreak/>
        <w:t>אשר</w:t>
      </w:r>
      <w:r w:rsidR="00FA7522">
        <w:rPr>
          <w:rFonts w:ascii="Arial" w:hAnsi="Arial"/>
          <w:noProof w:val="0"/>
          <w:rtl/>
        </w:rPr>
        <w:t xml:space="preserve"> להוצאות שאינן תלויות שהות,</w:t>
      </w:r>
      <w:r>
        <w:rPr>
          <w:rFonts w:ascii="Arial" w:hAnsi="Arial"/>
          <w:noProof w:val="0"/>
          <w:rtl/>
        </w:rPr>
        <w:t xml:space="preserve"> מדובר בסוגיה שבית משפט קמא נדרש אליה מחדש במסגרת החלטתו מיום 8.10.2024, שמע את טיעוני הצדדים ובחן אותם מהותית. אלא שתמים דעים אני עם עמדתו של בית משפט קמא אשר התרשם באותו שלב כי מוטב אם יותיר את הדבר כפי קביעתו מיום 22.7.2024 ולו מהטעם כי להבנתו מדובר בסוגיה פתירה, כאשר הצדדים מסוגלים</w:t>
      </w:r>
      <w:r w:rsidR="00FA7522">
        <w:rPr>
          <w:rFonts w:ascii="Arial" w:hAnsi="Arial"/>
          <w:noProof w:val="0"/>
          <w:rtl/>
        </w:rPr>
        <w:t xml:space="preserve"> ויכולים להגיע להבנות ביחס אליה</w:t>
      </w:r>
      <w:r w:rsidR="00FA7522">
        <w:rPr>
          <w:rFonts w:ascii="Arial" w:hAnsi="Arial" w:hint="cs"/>
          <w:noProof w:val="0"/>
          <w:rtl/>
        </w:rPr>
        <w:t xml:space="preserve">. יתרה מזו, </w:t>
      </w:r>
      <w:r>
        <w:rPr>
          <w:rFonts w:ascii="Arial" w:hAnsi="Arial"/>
          <w:noProof w:val="0"/>
          <w:rtl/>
        </w:rPr>
        <w:t xml:space="preserve">בית משפט </w:t>
      </w:r>
      <w:r w:rsidR="00FA7522">
        <w:rPr>
          <w:rFonts w:ascii="Arial" w:hAnsi="Arial" w:hint="cs"/>
          <w:noProof w:val="0"/>
          <w:rtl/>
        </w:rPr>
        <w:t xml:space="preserve">קמא </w:t>
      </w:r>
      <w:r w:rsidR="00FA7522">
        <w:rPr>
          <w:rFonts w:ascii="Arial" w:hAnsi="Arial"/>
          <w:noProof w:val="0"/>
          <w:rtl/>
        </w:rPr>
        <w:t xml:space="preserve">אף </w:t>
      </w:r>
      <w:r w:rsidR="00FA7522">
        <w:rPr>
          <w:rFonts w:ascii="Arial" w:hAnsi="Arial" w:hint="cs"/>
          <w:noProof w:val="0"/>
          <w:rtl/>
        </w:rPr>
        <w:t>ה</w:t>
      </w:r>
      <w:r w:rsidR="00FA7522">
        <w:rPr>
          <w:rFonts w:ascii="Arial" w:hAnsi="Arial"/>
          <w:noProof w:val="0"/>
          <w:rtl/>
        </w:rPr>
        <w:t>ציג מתווה מוצע עליו עמדתי לעיל</w:t>
      </w:r>
      <w:r w:rsidR="00FA7522">
        <w:rPr>
          <w:rFonts w:ascii="Arial" w:hAnsi="Arial" w:hint="cs"/>
          <w:noProof w:val="0"/>
          <w:rtl/>
        </w:rPr>
        <w:t xml:space="preserve"> </w:t>
      </w:r>
      <w:r w:rsidR="00FA7522">
        <w:rPr>
          <w:rFonts w:ascii="Arial" w:hAnsi="Arial"/>
          <w:noProof w:val="0"/>
          <w:rtl/>
        </w:rPr>
        <w:t>–</w:t>
      </w:r>
      <w:r w:rsidR="00FA7522">
        <w:rPr>
          <w:rFonts w:ascii="Arial" w:hAnsi="Arial" w:hint="cs"/>
          <w:noProof w:val="0"/>
          <w:rtl/>
        </w:rPr>
        <w:t xml:space="preserve"> מתווה שתי הפעימות.</w:t>
      </w:r>
    </w:p>
    <w:p w:rsidR="00E77974" w:rsidRDefault="00E77974" w:rsidP="00E77974">
      <w:pPr>
        <w:spacing w:line="360" w:lineRule="auto"/>
        <w:jc w:val="both"/>
        <w:rPr>
          <w:rFonts w:ascii="Arial" w:hAnsi="Arial"/>
          <w:noProof w:val="0"/>
          <w:rtl/>
        </w:rPr>
      </w:pPr>
    </w:p>
    <w:p w:rsidR="00E77974" w:rsidRDefault="00E77974" w:rsidP="0096357C">
      <w:pPr>
        <w:spacing w:line="360" w:lineRule="auto"/>
        <w:jc w:val="both"/>
        <w:rPr>
          <w:rFonts w:ascii="Arial" w:hAnsi="Arial"/>
          <w:noProof w:val="0"/>
          <w:rtl/>
        </w:rPr>
      </w:pPr>
      <w:r>
        <w:rPr>
          <w:rFonts w:ascii="Arial" w:hAnsi="Arial"/>
          <w:noProof w:val="0"/>
          <w:rtl/>
        </w:rPr>
        <w:t>כידוע, ערכאת הערעור אינה נוהגת להתערב בהחלטות זמניות מסוג זה ויש להותיר את הדבר לשיקול דעתה הרחב של הערכאה המבררת אשר י</w:t>
      </w:r>
      <w:r w:rsidR="00FA7522">
        <w:rPr>
          <w:rFonts w:ascii="Arial" w:hAnsi="Arial"/>
          <w:noProof w:val="0"/>
          <w:rtl/>
        </w:rPr>
        <w:t>ש לה את הכלים והיכולות להתרשם</w:t>
      </w:r>
      <w:r>
        <w:rPr>
          <w:rFonts w:ascii="Arial" w:hAnsi="Arial"/>
          <w:noProof w:val="0"/>
          <w:rtl/>
        </w:rPr>
        <w:t xml:space="preserve"> במישרין מהצדדים ומפני הסכסוך, ולפסוק</w:t>
      </w:r>
      <w:r w:rsidR="0096357C">
        <w:rPr>
          <w:rFonts w:ascii="Arial" w:hAnsi="Arial"/>
          <w:noProof w:val="0"/>
          <w:rtl/>
        </w:rPr>
        <w:t xml:space="preserve"> לפי מיטב הבנתה ושיקול דעת</w:t>
      </w:r>
      <w:r w:rsidR="0037008D">
        <w:rPr>
          <w:rFonts w:ascii="Arial" w:hAnsi="Arial" w:hint="cs"/>
          <w:noProof w:val="0"/>
          <w:rtl/>
        </w:rPr>
        <w:t>ה</w:t>
      </w:r>
      <w:r w:rsidR="0096357C">
        <w:rPr>
          <w:rFonts w:ascii="Arial" w:hAnsi="Arial" w:hint="cs"/>
          <w:noProof w:val="0"/>
          <w:rtl/>
        </w:rPr>
        <w:t xml:space="preserve">, כאשר </w:t>
      </w:r>
      <w:r>
        <w:rPr>
          <w:rFonts w:ascii="Arial" w:hAnsi="Arial"/>
          <w:noProof w:val="0"/>
          <w:rtl/>
        </w:rPr>
        <w:t>חתירה להסכמות מהווה תכלית ראויה שיכולה לדחות מלפניה הצורך בקבלת הכרעות שעלולות לחבל בסיכוי להגיע להסדר מוסכם.</w:t>
      </w:r>
    </w:p>
    <w:p w:rsidR="0096357C" w:rsidRDefault="0096357C" w:rsidP="0096357C">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 xml:space="preserve">הדברים שלעיל נכונים הם לגבי המקרה שלפנינו עת בית משפט קמא ציין שיקול חשוב זה במפורש בגדרי החלטותיו. </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אשר על כן, אני מורה על דחיית הבקשה.</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לצד כל האמור לעיל בטוחני כי בית משפט קמא יידרש מחדש לסוגיית ההוצאות</w:t>
      </w:r>
      <w:r w:rsidR="0096357C">
        <w:rPr>
          <w:rFonts w:ascii="Arial" w:hAnsi="Arial"/>
          <w:noProof w:val="0"/>
          <w:rtl/>
        </w:rPr>
        <w:t xml:space="preserve"> הנלוות - שאינן תלויות שהות, </w:t>
      </w:r>
      <w:r w:rsidR="0096357C">
        <w:rPr>
          <w:rFonts w:ascii="Arial" w:hAnsi="Arial" w:hint="cs"/>
          <w:noProof w:val="0"/>
          <w:rtl/>
        </w:rPr>
        <w:t>אם</w:t>
      </w:r>
      <w:r w:rsidR="0096357C">
        <w:rPr>
          <w:rFonts w:ascii="Arial" w:hAnsi="Arial"/>
          <w:noProof w:val="0"/>
          <w:rtl/>
        </w:rPr>
        <w:t xml:space="preserve"> </w:t>
      </w:r>
      <w:r>
        <w:rPr>
          <w:rFonts w:ascii="Arial" w:hAnsi="Arial"/>
          <w:noProof w:val="0"/>
          <w:rtl/>
        </w:rPr>
        <w:t>יתברר לפניו, למגינת הלב, כי הצד</w:t>
      </w:r>
      <w:r w:rsidR="0096357C">
        <w:rPr>
          <w:rFonts w:ascii="Arial" w:hAnsi="Arial"/>
          <w:noProof w:val="0"/>
          <w:rtl/>
        </w:rPr>
        <w:t xml:space="preserve">דים </w:t>
      </w:r>
      <w:r w:rsidR="0096357C">
        <w:rPr>
          <w:rFonts w:ascii="Arial" w:hAnsi="Arial" w:hint="cs"/>
          <w:noProof w:val="0"/>
          <w:rtl/>
        </w:rPr>
        <w:t xml:space="preserve">אינם מצליחים להגיע </w:t>
      </w:r>
      <w:r w:rsidR="0096357C">
        <w:rPr>
          <w:rFonts w:ascii="Arial" w:hAnsi="Arial"/>
          <w:noProof w:val="0"/>
          <w:rtl/>
        </w:rPr>
        <w:t>לפתרון מוסכם</w:t>
      </w:r>
      <w:r w:rsidR="0096357C">
        <w:rPr>
          <w:rFonts w:ascii="Arial" w:hAnsi="Arial" w:hint="cs"/>
          <w:noProof w:val="0"/>
          <w:rtl/>
        </w:rPr>
        <w:t>, וייתכן, מבלי לקבוע מסמרות, כי יהא די באותו מתווה מוצע של שתי פעימות, בתנאי שיהפוך למחייב, כדי לשמש בסיס להכרעה זמנית באותו עניין.</w:t>
      </w:r>
    </w:p>
    <w:p w:rsidR="00E77974" w:rsidRDefault="00E77974" w:rsidP="00E77974">
      <w:pPr>
        <w:spacing w:line="360" w:lineRule="auto"/>
        <w:jc w:val="both"/>
        <w:rPr>
          <w:rFonts w:ascii="Arial" w:hAnsi="Arial"/>
          <w:noProof w:val="0"/>
          <w:rtl/>
        </w:rPr>
      </w:pPr>
    </w:p>
    <w:p w:rsidR="00E77974" w:rsidRDefault="00E77974" w:rsidP="00E77974">
      <w:pPr>
        <w:spacing w:line="360" w:lineRule="auto"/>
        <w:jc w:val="both"/>
        <w:rPr>
          <w:rFonts w:ascii="Arial" w:hAnsi="Arial"/>
          <w:noProof w:val="0"/>
          <w:rtl/>
        </w:rPr>
      </w:pPr>
      <w:r>
        <w:rPr>
          <w:rFonts w:ascii="Arial" w:hAnsi="Arial"/>
          <w:noProof w:val="0"/>
          <w:rtl/>
        </w:rPr>
        <w:t>בנסיבות העניין ומאותם טעמים שפירט בית משפט קמא בגדרי החלטותיו שנועדו לעודד את הצדדים להגיע להסדר מוסכם, אינני עושה צו להוצאות.</w:t>
      </w:r>
    </w:p>
    <w:p w:rsidR="00E77974" w:rsidRDefault="00E77974" w:rsidP="00860102">
      <w:pPr>
        <w:spacing w:line="360" w:lineRule="auto"/>
        <w:jc w:val="both"/>
        <w:rPr>
          <w:rFonts w:ascii="Arial" w:hAnsi="Arial"/>
          <w:noProof w:val="0"/>
          <w:rtl/>
        </w:rPr>
      </w:pPr>
    </w:p>
    <w:p w:rsidR="0096357C" w:rsidRDefault="0096357C" w:rsidP="0037008D">
      <w:pPr>
        <w:spacing w:line="360" w:lineRule="auto"/>
        <w:jc w:val="both"/>
        <w:rPr>
          <w:rFonts w:ascii="Arial" w:hAnsi="Arial"/>
          <w:noProof w:val="0"/>
          <w:rtl/>
        </w:rPr>
      </w:pPr>
      <w:r>
        <w:rPr>
          <w:rFonts w:ascii="Arial" w:hAnsi="Arial" w:hint="cs"/>
          <w:noProof w:val="0"/>
          <w:rtl/>
        </w:rPr>
        <w:t>מותר לפרסום לאחר מחיקת שמות הצדדים והשמטת פרטים מזהים.</w:t>
      </w: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שבט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05 פברואר 2025</w:t>
          </w:r>
        </w:sdtContent>
      </w:sdt>
      <w:r w:rsidR="00005C8B">
        <w:rPr>
          <w:rFonts w:ascii="Arial" w:hAnsi="Arial"/>
          <w:noProof w:val="0"/>
          <w:rtl/>
        </w:rPr>
        <w:t>, בהעדר הצדדים.</w:t>
      </w:r>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986622887"/>
        </w:sdtPr>
        <w:sdtEndPr/>
        <w:sdtContent>
          <w:r w:rsidR="001E66CA">
            <w:drawing>
              <wp:inline distT="0" distB="0" distL="0" distR="0" wp14:editId="50D07946">
                <wp:extent cx="14478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447800" cy="12573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0E0" w:rsidRDefault="004C40E0">
      <w:r>
        <w:separator/>
      </w:r>
    </w:p>
  </w:endnote>
  <w:endnote w:type="continuationSeparator" w:id="0">
    <w:p w:rsidR="004C40E0" w:rsidRDefault="004C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746" w:rsidRDefault="0009774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097746">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097746">
      <w:rPr>
        <w:rStyle w:val="ab"/>
        <w:rFonts w:ascii="David" w:hAnsi="David"/>
        <w:rtl/>
      </w:rPr>
      <w:t>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746" w:rsidRDefault="0009774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0E0" w:rsidRDefault="004C40E0">
      <w:r>
        <w:separator/>
      </w:r>
    </w:p>
  </w:footnote>
  <w:footnote w:type="continuationSeparator" w:id="0">
    <w:p w:rsidR="004C40E0" w:rsidRDefault="004C4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746" w:rsidRDefault="000977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E77974">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rsidTr="00E77974">
      <w:trPr>
        <w:trHeight w:val="337"/>
        <w:jc w:val="center"/>
      </w:trPr>
      <w:tc>
        <w:tcPr>
          <w:tcW w:w="8307" w:type="dxa"/>
        </w:tcPr>
        <w:p w:rsidR="007D45E3" w:rsidRDefault="004C40E0" w:rsidP="0037008D">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48180-10-24</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37008D">
                <w:rPr>
                  <w:rFonts w:hint="cs"/>
                  <w:b/>
                  <w:bCs/>
                  <w:noProof w:val="0"/>
                  <w:sz w:val="26"/>
                  <w:szCs w:val="26"/>
                  <w:rtl/>
                </w:rPr>
                <w:t xml:space="preserve">ס' </w:t>
              </w:r>
              <w:r w:rsidR="00424313">
                <w:rPr>
                  <w:b/>
                  <w:bCs/>
                  <w:noProof w:val="0"/>
                  <w:sz w:val="26"/>
                  <w:szCs w:val="26"/>
                  <w:rtl/>
                </w:rPr>
                <w:t xml:space="preserve">נ' </w:t>
              </w:r>
              <w:r w:rsidR="0037008D">
                <w:rPr>
                  <w:rFonts w:hint="cs"/>
                  <w:b/>
                  <w:bCs/>
                  <w:noProof w:val="0"/>
                  <w:sz w:val="26"/>
                  <w:szCs w:val="26"/>
                  <w:rtl/>
                </w:rPr>
                <w:t>ת'</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4C40E0" w:rsidP="007D45E3">
          <w:pPr>
            <w:rPr>
              <w:sz w:val="20"/>
              <w:szCs w:val="20"/>
              <w:rtl/>
            </w:rPr>
          </w:pP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746" w:rsidRDefault="000977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97746"/>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66CA"/>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008D"/>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0E0"/>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15F4"/>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12A73"/>
    <w:rsid w:val="0094424E"/>
    <w:rsid w:val="00955642"/>
    <w:rsid w:val="009622DF"/>
    <w:rsid w:val="0096357C"/>
    <w:rsid w:val="0096493F"/>
    <w:rsid w:val="00967DFF"/>
    <w:rsid w:val="00994341"/>
    <w:rsid w:val="009D1A48"/>
    <w:rsid w:val="009E1CE7"/>
    <w:rsid w:val="009E461A"/>
    <w:rsid w:val="009E4EA5"/>
    <w:rsid w:val="009F164B"/>
    <w:rsid w:val="009F323C"/>
    <w:rsid w:val="00A30DE4"/>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13546"/>
    <w:rsid w:val="00B5356E"/>
    <w:rsid w:val="00B809AD"/>
    <w:rsid w:val="00B80CBD"/>
    <w:rsid w:val="00B859C5"/>
    <w:rsid w:val="00B86096"/>
    <w:rsid w:val="00B964D9"/>
    <w:rsid w:val="00BA0A7C"/>
    <w:rsid w:val="00BA517C"/>
    <w:rsid w:val="00BB3D05"/>
    <w:rsid w:val="00BB53D3"/>
    <w:rsid w:val="00BB73BE"/>
    <w:rsid w:val="00BC23A5"/>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77974"/>
    <w:rsid w:val="00E80CBE"/>
    <w:rsid w:val="00E9269D"/>
    <w:rsid w:val="00E962E3"/>
    <w:rsid w:val="00EB6C79"/>
    <w:rsid w:val="00EC37E9"/>
    <w:rsid w:val="00EF08DE"/>
    <w:rsid w:val="00F038D8"/>
    <w:rsid w:val="00F06995"/>
    <w:rsid w:val="00F12D66"/>
    <w:rsid w:val="00F13623"/>
    <w:rsid w:val="00F44D1D"/>
    <w:rsid w:val="00F84B6D"/>
    <w:rsid w:val="00F957E8"/>
    <w:rsid w:val="00FA311A"/>
    <w:rsid w:val="00FA5FDA"/>
    <w:rsid w:val="00FA7522"/>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86138">
      <w:bodyDiv w:val="1"/>
      <w:marLeft w:val="0"/>
      <w:marRight w:val="0"/>
      <w:marTop w:val="0"/>
      <w:marBottom w:val="0"/>
      <w:divBdr>
        <w:top w:val="none" w:sz="0" w:space="0" w:color="auto"/>
        <w:left w:val="none" w:sz="0" w:space="0" w:color="auto"/>
        <w:bottom w:val="none" w:sz="0" w:space="0" w:color="auto"/>
        <w:right w:val="none" w:sz="0" w:space="0" w:color="auto"/>
      </w:divBdr>
    </w:div>
    <w:div w:id="121284005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75A2E"/>
    <w:rsid w:val="002D02C4"/>
    <w:rsid w:val="00345C9D"/>
    <w:rsid w:val="0048651F"/>
    <w:rsid w:val="005157ED"/>
    <w:rsid w:val="005171E8"/>
    <w:rsid w:val="00556D67"/>
    <w:rsid w:val="006377AB"/>
    <w:rsid w:val="007878A3"/>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5644</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2025-02-09T10:13:00Z</dcterms:created>
  <dcterms:modified xsi:type="dcterms:W3CDTF">2025-02-09T10:13:00Z</dcterms:modified>
</cp:coreProperties>
</file>