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bookmarkStart w:id="0" w:name="_GoBack"/>
            <w:bookmarkEnd w:id="0"/>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אביים ברקאי</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DF588E">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sidRPr="00DF588E">
                  <w:rPr>
                    <w:rFonts w:ascii="Arial" w:hAnsi="Arial"/>
                    <w:b/>
                    <w:bCs/>
                    <w:noProof w:val="0"/>
                    <w:sz w:val="26"/>
                    <w:szCs w:val="26"/>
                    <w:rtl/>
                  </w:rPr>
                  <w:t>דוד אוחנה</w:t>
                </w:r>
                <w:r w:rsidR="00DF588E" w:rsidRPr="00DF588E">
                  <w:rPr>
                    <w:rFonts w:ascii="Arial" w:hAnsi="Arial"/>
                    <w:b/>
                    <w:bCs/>
                    <w:noProof w:val="0"/>
                    <w:sz w:val="26"/>
                    <w:szCs w:val="26"/>
                    <w:rtl/>
                  </w:rPr>
                  <w:br/>
                </w:r>
                <w:r w:rsidR="00DF588E" w:rsidRPr="00DF588E">
                  <w:rPr>
                    <w:rFonts w:ascii="Arial" w:hAnsi="Arial" w:hint="cs"/>
                    <w:b/>
                    <w:bCs/>
                    <w:noProof w:val="0"/>
                    <w:sz w:val="26"/>
                    <w:szCs w:val="26"/>
                    <w:rtl/>
                  </w:rPr>
                  <w:t>ע"י ב"כ עו"ד רון לוינטל</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נתבעים</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6816EC" w:rsidRPr="00590BFF" w:rsidRDefault="006816EC" w:rsidP="00934F1C">
            <w:pPr>
              <w:rPr>
                <w:sz w:val="26"/>
                <w:szCs w:val="26"/>
              </w:rPr>
            </w:pPr>
          </w:p>
          <w:p w:rsidR="00590BFF" w:rsidRDefault="00CD2E52" w:rsidP="00590BFF">
            <w:pPr>
              <w:suppressLineNumbers/>
            </w:pPr>
            <w:sdt>
              <w:sdtPr>
                <w:rPr>
                  <w:rtl/>
                </w:rPr>
                <w:alias w:val="1571"/>
                <w:tag w:val="1571"/>
                <w:id w:val="1028836282"/>
                <w:text w:multiLine="1"/>
              </w:sdtPr>
              <w:sdtEndPr/>
              <w:sdtContent>
                <w:r w:rsidR="00590BFF">
                  <w:rPr>
                    <w:rFonts w:ascii="Arial" w:hAnsi="Arial"/>
                    <w:b/>
                    <w:bCs/>
                    <w:noProof w:val="0"/>
                    <w:sz w:val="26"/>
                    <w:szCs w:val="26"/>
                    <w:rtl/>
                  </w:rPr>
                  <w:t>1</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sidR="00590BFF">
                  <w:rPr>
                    <w:rFonts w:ascii="Arial" w:hAnsi="Arial"/>
                    <w:b/>
                    <w:bCs/>
                    <w:noProof w:val="0"/>
                    <w:sz w:val="26"/>
                    <w:szCs w:val="26"/>
                    <w:rtl/>
                  </w:rPr>
                  <w:t>רון אהרון קובי</w:t>
                </w:r>
              </w:sdtContent>
            </w:sdt>
          </w:p>
          <w:p w:rsidR="00590BFF" w:rsidRDefault="00CD2E52" w:rsidP="00590BFF">
            <w:pPr>
              <w:suppressLineNumbers/>
            </w:pPr>
            <w:sdt>
              <w:sdtPr>
                <w:rPr>
                  <w:rtl/>
                </w:rPr>
                <w:alias w:val="1571"/>
                <w:tag w:val="1571"/>
                <w:id w:val="-376546308"/>
                <w:text w:multiLine="1"/>
              </w:sdtPr>
              <w:sdtEndPr/>
              <w:sdtContent>
                <w:r w:rsidR="00590BFF">
                  <w:rPr>
                    <w:rFonts w:ascii="Arial" w:hAnsi="Arial"/>
                    <w:b/>
                    <w:bCs/>
                    <w:noProof w:val="0"/>
                    <w:sz w:val="26"/>
                    <w:szCs w:val="26"/>
                    <w:rtl/>
                  </w:rPr>
                  <w:t>2</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314777221"/>
                <w:placeholder>
                  <w:docPart w:val="194E34B33324450F97AD1D486216FCF5"/>
                </w:placeholder>
                <w:text w:multiLine="1"/>
              </w:sdtPr>
              <w:sdtEndPr/>
              <w:sdtContent>
                <w:r w:rsidR="00590BFF">
                  <w:rPr>
                    <w:rFonts w:ascii="Arial" w:hAnsi="Arial"/>
                    <w:b/>
                    <w:bCs/>
                    <w:noProof w:val="0"/>
                    <w:sz w:val="26"/>
                    <w:szCs w:val="26"/>
                    <w:rtl/>
                  </w:rPr>
                  <w:t>אפרים קובי</w:t>
                </w:r>
              </w:sdtContent>
            </w:sdt>
          </w:p>
          <w:p w:rsidR="00590BFF" w:rsidRDefault="00CD2E52" w:rsidP="00590BFF">
            <w:pPr>
              <w:suppressLineNumbers/>
            </w:pPr>
            <w:sdt>
              <w:sdtPr>
                <w:rPr>
                  <w:rtl/>
                </w:rPr>
                <w:alias w:val="1571"/>
                <w:tag w:val="1571"/>
                <w:id w:val="-870848856"/>
                <w:text w:multiLine="1"/>
              </w:sdtPr>
              <w:sdtEndPr/>
              <w:sdtContent>
                <w:r w:rsidR="00590BFF">
                  <w:rPr>
                    <w:rFonts w:ascii="Arial" w:hAnsi="Arial"/>
                    <w:b/>
                    <w:bCs/>
                    <w:noProof w:val="0"/>
                    <w:sz w:val="26"/>
                    <w:szCs w:val="26"/>
                    <w:rtl/>
                  </w:rPr>
                  <w:t>3</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266312190"/>
                <w:placeholder>
                  <w:docPart w:val="194E34B33324450F97AD1D486216FCF5"/>
                </w:placeholder>
                <w:text w:multiLine="1"/>
              </w:sdtPr>
              <w:sdtEndPr/>
              <w:sdtContent>
                <w:r w:rsidR="00590BFF">
                  <w:rPr>
                    <w:rFonts w:ascii="Arial" w:hAnsi="Arial"/>
                    <w:b/>
                    <w:bCs/>
                    <w:noProof w:val="0"/>
                    <w:sz w:val="26"/>
                    <w:szCs w:val="26"/>
                    <w:rtl/>
                  </w:rPr>
                  <w:t>רונית קובי</w:t>
                </w:r>
              </w:sdtContent>
            </w:sdt>
          </w:p>
        </w:tc>
      </w:tr>
    </w:tbl>
    <w:p w:rsidR="006816EC" w:rsidRPr="00E13360" w:rsidRDefault="006816EC"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sidRPr="00DF588E">
              <w:rPr>
                <w:rFonts w:ascii="Arial" w:hAnsi="Arial"/>
                <w:b/>
                <w:bCs/>
                <w:noProof w:val="0"/>
                <w:sz w:val="32"/>
                <w:szCs w:val="32"/>
                <w:u w:val="single"/>
                <w:rtl/>
              </w:rPr>
              <w:t>פסק דין</w:t>
            </w:r>
          </w:p>
        </w:tc>
      </w:tr>
    </w:tbl>
    <w:p w:rsidR="00694556" w:rsidRDefault="00694556">
      <w:pPr>
        <w:spacing w:line="360" w:lineRule="auto"/>
        <w:jc w:val="both"/>
        <w:rPr>
          <w:rFonts w:ascii="Arial" w:hAnsi="Arial"/>
          <w:noProof w:val="0"/>
          <w:rtl/>
        </w:rPr>
      </w:pPr>
    </w:p>
    <w:p w:rsidR="00DF588E" w:rsidRDefault="00DF588E" w:rsidP="00DF588E">
      <w:pPr>
        <w:pStyle w:val="ad"/>
        <w:spacing w:line="360" w:lineRule="auto"/>
        <w:ind w:left="-739"/>
        <w:jc w:val="both"/>
        <w:rPr>
          <w:rFonts w:ascii="David" w:hAnsi="David" w:cs="David"/>
          <w:sz w:val="28"/>
          <w:szCs w:val="28"/>
        </w:rPr>
      </w:pPr>
      <w:r>
        <w:rPr>
          <w:rFonts w:ascii="David" w:hAnsi="David" w:cs="David"/>
          <w:b/>
          <w:bCs/>
          <w:sz w:val="28"/>
          <w:szCs w:val="28"/>
          <w:u w:val="single"/>
          <w:rtl/>
        </w:rPr>
        <w:t>חלק ראשון – פתח דבר; מי ומי בהליך – בעלי הדין והעדים; תמצית פסק הדין (תוכן עניינים)</w:t>
      </w:r>
    </w:p>
    <w:p w:rsidR="00DF588E" w:rsidRDefault="00DF588E" w:rsidP="00DF588E">
      <w:pPr>
        <w:pStyle w:val="ad"/>
        <w:spacing w:line="360" w:lineRule="auto"/>
        <w:jc w:val="both"/>
        <w:rPr>
          <w:rFonts w:ascii="David" w:hAnsi="David" w:cs="David"/>
          <w:b/>
          <w:bCs/>
          <w:sz w:val="24"/>
          <w:szCs w:val="24"/>
          <w:u w:val="single"/>
          <w:rtl/>
        </w:rPr>
      </w:pPr>
    </w:p>
    <w:p w:rsidR="00DF588E" w:rsidRDefault="00DF588E" w:rsidP="00DF588E">
      <w:pPr>
        <w:pStyle w:val="ad"/>
        <w:numPr>
          <w:ilvl w:val="0"/>
          <w:numId w:val="1"/>
        </w:numPr>
        <w:spacing w:line="360" w:lineRule="auto"/>
        <w:ind w:left="-199" w:hanging="567"/>
        <w:jc w:val="both"/>
        <w:rPr>
          <w:rFonts w:ascii="David" w:hAnsi="David" w:cs="David"/>
          <w:b/>
          <w:bCs/>
          <w:sz w:val="26"/>
          <w:szCs w:val="26"/>
          <w:u w:val="single"/>
        </w:rPr>
      </w:pPr>
      <w:r>
        <w:rPr>
          <w:rFonts w:ascii="David" w:hAnsi="David" w:cs="David"/>
          <w:b/>
          <w:bCs/>
          <w:sz w:val="26"/>
          <w:szCs w:val="26"/>
          <w:u w:val="single"/>
          <w:rtl/>
        </w:rPr>
        <w:t>פתח דבר</w:t>
      </w:r>
    </w:p>
    <w:p w:rsidR="00DF588E" w:rsidRDefault="00DF588E" w:rsidP="00DF588E">
      <w:pPr>
        <w:pStyle w:val="ad"/>
        <w:numPr>
          <w:ilvl w:val="1"/>
          <w:numId w:val="1"/>
        </w:numPr>
        <w:spacing w:line="360" w:lineRule="auto"/>
        <w:ind w:left="226" w:hanging="425"/>
        <w:jc w:val="both"/>
        <w:rPr>
          <w:rFonts w:ascii="David" w:hAnsi="David" w:cs="David"/>
          <w:sz w:val="24"/>
          <w:szCs w:val="24"/>
          <w:rtl/>
        </w:rPr>
      </w:pPr>
      <w:r>
        <w:rPr>
          <w:rFonts w:ascii="David" w:hAnsi="David" w:cs="David"/>
          <w:sz w:val="24"/>
          <w:szCs w:val="24"/>
          <w:rtl/>
        </w:rPr>
        <w:t xml:space="preserve">עניינו של פסק דין זה הוא תביעה על סך של 400,000 ₪ שהוגשה בגין נזקים נטענים שנגרמו לתובע בעקבות סדרה של פרסומי לשון הרע שפורסמו ע"י הנתבעים אודות התובע בקבוצת פייסבוק בשם "מרימים את טבריה מהקרשים" (להלן: </w:t>
      </w:r>
      <w:r>
        <w:rPr>
          <w:rFonts w:ascii="David" w:hAnsi="David" w:cs="David"/>
          <w:b/>
          <w:bCs/>
          <w:sz w:val="24"/>
          <w:szCs w:val="24"/>
          <w:rtl/>
        </w:rPr>
        <w:t>"קבוצת הפייסבוק"</w:t>
      </w:r>
      <w:r>
        <w:rPr>
          <w:rFonts w:ascii="David" w:hAnsi="David" w:cs="David"/>
          <w:sz w:val="24"/>
          <w:szCs w:val="24"/>
          <w:rtl/>
        </w:rPr>
        <w:t>). התובע התייחס ללמעלה מעשרים וחמישה פרסומים שונים כפי שעוד יפורט בהמשך.</w:t>
      </w:r>
    </w:p>
    <w:p w:rsidR="00DF588E" w:rsidRDefault="00DF588E" w:rsidP="00DF588E">
      <w:pPr>
        <w:pStyle w:val="ad"/>
        <w:spacing w:line="360" w:lineRule="auto"/>
        <w:ind w:left="1080"/>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rtl/>
        </w:rPr>
        <w:t>יודגש שנתתי דעתי לטענות לפיהן הפרסומים נעשו במסגרת מחלוקת פוליטית ואף התייחסתי לבחירות לראשות עיריית טבריה –בחירות שעמדו ברקע טענות הצדדים. לצד זאת, העובדה שמדובר בשטף רב של פרסומים מכפישים , העובדה שההכפשות ייחסו לתובע מעשים פליליים, והעובדה שאין מדובר ב"פליטת פה" במהלך ויכוח או שיחה אלא במהלך ייזום ובו סדרה של פרסומים בכתב. כל אלה הביאו לקבלת התביעה.</w:t>
      </w:r>
    </w:p>
    <w:p w:rsidR="00DF588E" w:rsidRDefault="00DF588E" w:rsidP="00DF588E">
      <w:pPr>
        <w:pStyle w:val="ad"/>
        <w:spacing w:line="360" w:lineRule="auto"/>
        <w:ind w:left="1080"/>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u w:val="single"/>
          <w:rtl/>
        </w:rPr>
        <w:t>תוצאת ההליך</w:t>
      </w:r>
      <w:r>
        <w:rPr>
          <w:rFonts w:ascii="David" w:hAnsi="David" w:cs="David"/>
          <w:sz w:val="24"/>
          <w:szCs w:val="24"/>
          <w:rtl/>
        </w:rPr>
        <w:t xml:space="preserve"> - יש לקבל את התביעה בחלקה. הנתבע 1 עוול בעוולת לשון הרע ולא קמה לו כל הגנה מההגנות הנטענות.  בנסיבות אלו הנתבע 1 חויב בסך של  40,000 ₪ וכן בהוצאות משפט ושכר טרחת עו"ד בסך של 12,000 ₪ בצירוף הפרשי הצמדה וריבית כחוק ממועד פסק הדין ועד למועד התשלום בפועל. גם ביחס לנתבעים 2 ו- 3,  התביעה התקבלה באופן חלקי תוך חיובם בתשלום הסך של 10,000 ₪ ביחד ולחוד עם הנתבע 1. ובמילים פשוטות נקבע כי סך הפיצוי הכולל אשר נפסק לתובע הוא 40,000 ₪, מתוכו חיוב בסך של 10,000 ₪ חל ביחד ולחוד על כל הנתבעים.</w:t>
      </w:r>
    </w:p>
    <w:p w:rsidR="00DF588E" w:rsidRDefault="00DF588E" w:rsidP="00DF588E">
      <w:pPr>
        <w:pStyle w:val="ad"/>
        <w:spacing w:line="360" w:lineRule="auto"/>
        <w:ind w:left="1080"/>
        <w:jc w:val="both"/>
        <w:rPr>
          <w:rFonts w:ascii="David" w:hAnsi="David" w:cs="David"/>
          <w:sz w:val="26"/>
          <w:szCs w:val="26"/>
          <w:rtl/>
        </w:rPr>
      </w:pPr>
    </w:p>
    <w:p w:rsidR="00DF588E" w:rsidRDefault="00DF588E" w:rsidP="00DF588E">
      <w:pPr>
        <w:pStyle w:val="ad"/>
        <w:spacing w:line="360" w:lineRule="auto"/>
        <w:ind w:left="1080"/>
        <w:jc w:val="both"/>
        <w:rPr>
          <w:rFonts w:ascii="David" w:hAnsi="David" w:cs="David"/>
          <w:sz w:val="26"/>
          <w:szCs w:val="26"/>
          <w:rtl/>
        </w:rPr>
      </w:pPr>
    </w:p>
    <w:p w:rsidR="00DF588E" w:rsidRDefault="00DF588E" w:rsidP="00DF588E">
      <w:pPr>
        <w:pStyle w:val="ad"/>
        <w:spacing w:line="360" w:lineRule="auto"/>
        <w:ind w:left="1080"/>
        <w:jc w:val="both"/>
        <w:rPr>
          <w:rFonts w:ascii="David" w:hAnsi="David" w:cs="David"/>
          <w:sz w:val="26"/>
          <w:szCs w:val="26"/>
        </w:rPr>
      </w:pPr>
    </w:p>
    <w:p w:rsidR="00DF588E" w:rsidRDefault="00DF588E" w:rsidP="00DF588E">
      <w:pPr>
        <w:pStyle w:val="ad"/>
        <w:numPr>
          <w:ilvl w:val="0"/>
          <w:numId w:val="1"/>
        </w:numPr>
        <w:spacing w:line="360" w:lineRule="auto"/>
        <w:ind w:left="-199" w:hanging="567"/>
        <w:jc w:val="both"/>
        <w:rPr>
          <w:rFonts w:ascii="David" w:hAnsi="David" w:cs="David"/>
          <w:b/>
          <w:bCs/>
          <w:sz w:val="26"/>
          <w:szCs w:val="26"/>
          <w:u w:val="single"/>
        </w:rPr>
      </w:pPr>
      <w:r>
        <w:rPr>
          <w:rFonts w:ascii="David" w:hAnsi="David" w:cs="David"/>
          <w:b/>
          <w:bCs/>
          <w:sz w:val="26"/>
          <w:szCs w:val="26"/>
          <w:u w:val="single"/>
          <w:rtl/>
        </w:rPr>
        <w:lastRenderedPageBreak/>
        <w:t>הצדדים להליך- בעלי הדין והעדים בהליך</w:t>
      </w: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b/>
          <w:bCs/>
          <w:sz w:val="24"/>
          <w:szCs w:val="24"/>
          <w:u w:val="single"/>
          <w:rtl/>
        </w:rPr>
        <w:t>התובע -</w:t>
      </w:r>
      <w:r>
        <w:rPr>
          <w:rFonts w:ascii="David" w:hAnsi="David" w:cs="David"/>
          <w:sz w:val="24"/>
          <w:szCs w:val="24"/>
          <w:rtl/>
        </w:rPr>
        <w:t xml:space="preserve"> מר דוד אוחנה הציג עצמו כאיש</w:t>
      </w:r>
      <w:r>
        <w:rPr>
          <w:rFonts w:ascii="David" w:hAnsi="David" w:cs="David"/>
          <w:sz w:val="24"/>
          <w:szCs w:val="24"/>
        </w:rPr>
        <w:t xml:space="preserve"> </w:t>
      </w:r>
      <w:r>
        <w:rPr>
          <w:rFonts w:ascii="David" w:hAnsi="David" w:cs="David"/>
          <w:sz w:val="24"/>
          <w:szCs w:val="24"/>
          <w:rtl/>
        </w:rPr>
        <w:t>ציבור</w:t>
      </w:r>
      <w:r>
        <w:rPr>
          <w:rFonts w:ascii="David" w:hAnsi="David" w:cs="David"/>
          <w:sz w:val="24"/>
          <w:szCs w:val="24"/>
        </w:rPr>
        <w:t xml:space="preserve"> </w:t>
      </w:r>
      <w:r>
        <w:rPr>
          <w:rFonts w:ascii="David" w:hAnsi="David" w:cs="David"/>
          <w:sz w:val="24"/>
          <w:szCs w:val="24"/>
          <w:rtl/>
        </w:rPr>
        <w:t>המכהן</w:t>
      </w:r>
      <w:r>
        <w:rPr>
          <w:rFonts w:ascii="David" w:hAnsi="David" w:cs="David"/>
          <w:sz w:val="24"/>
          <w:szCs w:val="24"/>
        </w:rPr>
        <w:t xml:space="preserve"> </w:t>
      </w:r>
      <w:r>
        <w:rPr>
          <w:rFonts w:ascii="David" w:hAnsi="David" w:cs="David"/>
          <w:sz w:val="24"/>
          <w:szCs w:val="24"/>
          <w:rtl/>
        </w:rPr>
        <w:t>כחבר</w:t>
      </w:r>
      <w:r>
        <w:rPr>
          <w:rFonts w:ascii="David" w:hAnsi="David" w:cs="David"/>
          <w:sz w:val="24"/>
          <w:szCs w:val="24"/>
        </w:rPr>
        <w:t xml:space="preserve"> </w:t>
      </w:r>
      <w:r>
        <w:rPr>
          <w:rFonts w:ascii="David" w:hAnsi="David" w:cs="David"/>
          <w:sz w:val="24"/>
          <w:szCs w:val="24"/>
          <w:rtl/>
        </w:rPr>
        <w:t>מועצה</w:t>
      </w:r>
      <w:r>
        <w:rPr>
          <w:rFonts w:ascii="David" w:hAnsi="David" w:cs="David"/>
          <w:sz w:val="24"/>
          <w:szCs w:val="24"/>
        </w:rPr>
        <w:t xml:space="preserve"> </w:t>
      </w:r>
      <w:r>
        <w:rPr>
          <w:rFonts w:ascii="David" w:hAnsi="David" w:cs="David"/>
          <w:sz w:val="24"/>
          <w:szCs w:val="24"/>
          <w:rtl/>
        </w:rPr>
        <w:t>בעיריית</w:t>
      </w:r>
      <w:r>
        <w:rPr>
          <w:rFonts w:ascii="David" w:hAnsi="David" w:cs="David"/>
          <w:sz w:val="24"/>
          <w:szCs w:val="24"/>
        </w:rPr>
        <w:t xml:space="preserve"> </w:t>
      </w:r>
      <w:r>
        <w:rPr>
          <w:rFonts w:ascii="David" w:hAnsi="David" w:cs="David"/>
          <w:sz w:val="24"/>
          <w:szCs w:val="24"/>
          <w:rtl/>
        </w:rPr>
        <w:t>טבריה</w:t>
      </w:r>
      <w:r>
        <w:rPr>
          <w:rFonts w:ascii="David" w:hAnsi="David" w:cs="David"/>
          <w:sz w:val="24"/>
          <w:szCs w:val="24"/>
        </w:rPr>
        <w:t xml:space="preserve"> </w:t>
      </w:r>
      <w:r>
        <w:rPr>
          <w:rFonts w:ascii="David" w:hAnsi="David" w:cs="David"/>
          <w:sz w:val="24"/>
          <w:szCs w:val="24"/>
          <w:rtl/>
        </w:rPr>
        <w:t>אשר</w:t>
      </w:r>
      <w:r>
        <w:rPr>
          <w:rFonts w:ascii="David" w:hAnsi="David" w:cs="David"/>
          <w:sz w:val="24"/>
          <w:szCs w:val="24"/>
        </w:rPr>
        <w:t xml:space="preserve"> </w:t>
      </w:r>
      <w:r>
        <w:rPr>
          <w:rFonts w:ascii="David" w:hAnsi="David" w:cs="David"/>
          <w:sz w:val="24"/>
          <w:szCs w:val="24"/>
          <w:rtl/>
        </w:rPr>
        <w:t>נבחר</w:t>
      </w:r>
      <w:r>
        <w:rPr>
          <w:rFonts w:ascii="David" w:hAnsi="David" w:cs="David"/>
          <w:sz w:val="24"/>
          <w:szCs w:val="24"/>
        </w:rPr>
        <w:t xml:space="preserve"> </w:t>
      </w:r>
      <w:r>
        <w:rPr>
          <w:rFonts w:ascii="David" w:hAnsi="David" w:cs="David"/>
          <w:sz w:val="24"/>
          <w:szCs w:val="24"/>
          <w:rtl/>
        </w:rPr>
        <w:t>על</w:t>
      </w:r>
      <w:r>
        <w:rPr>
          <w:rFonts w:ascii="David" w:hAnsi="David" w:cs="David"/>
          <w:sz w:val="24"/>
          <w:szCs w:val="24"/>
        </w:rPr>
        <w:t xml:space="preserve"> </w:t>
      </w:r>
      <w:r>
        <w:rPr>
          <w:rFonts w:ascii="David" w:hAnsi="David" w:cs="David"/>
          <w:sz w:val="24"/>
          <w:szCs w:val="24"/>
          <w:rtl/>
        </w:rPr>
        <w:t>ידי</w:t>
      </w:r>
      <w:r>
        <w:rPr>
          <w:rFonts w:ascii="David" w:hAnsi="David" w:cs="David"/>
          <w:sz w:val="24"/>
          <w:szCs w:val="24"/>
        </w:rPr>
        <w:t xml:space="preserve"> </w:t>
      </w:r>
      <w:r>
        <w:rPr>
          <w:rFonts w:ascii="David" w:hAnsi="David" w:cs="David"/>
          <w:sz w:val="24"/>
          <w:szCs w:val="24"/>
          <w:rtl/>
        </w:rPr>
        <w:t>הציבור</w:t>
      </w:r>
      <w:r>
        <w:rPr>
          <w:rFonts w:ascii="David" w:hAnsi="David" w:cs="David"/>
          <w:sz w:val="24"/>
          <w:szCs w:val="24"/>
        </w:rPr>
        <w:t>.</w:t>
      </w:r>
    </w:p>
    <w:p w:rsidR="00DF588E" w:rsidRDefault="00DF588E" w:rsidP="00DF588E">
      <w:pPr>
        <w:pStyle w:val="ad"/>
        <w:spacing w:line="360" w:lineRule="auto"/>
        <w:ind w:left="1440"/>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b/>
          <w:bCs/>
          <w:sz w:val="24"/>
          <w:szCs w:val="24"/>
          <w:u w:val="single"/>
          <w:rtl/>
        </w:rPr>
        <w:t>הנתבע</w:t>
      </w:r>
      <w:r>
        <w:rPr>
          <w:rFonts w:ascii="David" w:hAnsi="David" w:cs="David"/>
          <w:b/>
          <w:bCs/>
          <w:sz w:val="24"/>
          <w:szCs w:val="24"/>
          <w:u w:val="single"/>
        </w:rPr>
        <w:t xml:space="preserve"> 1 </w:t>
      </w:r>
      <w:r>
        <w:rPr>
          <w:rFonts w:ascii="David" w:hAnsi="David" w:cs="David"/>
          <w:b/>
          <w:bCs/>
          <w:sz w:val="24"/>
          <w:szCs w:val="24"/>
          <w:rtl/>
        </w:rPr>
        <w:t xml:space="preserve"> </w:t>
      </w:r>
      <w:r>
        <w:rPr>
          <w:rFonts w:ascii="David" w:hAnsi="David" w:cs="David"/>
          <w:sz w:val="24"/>
          <w:szCs w:val="24"/>
          <w:rtl/>
        </w:rPr>
        <w:t>- מר אהרון רון קובי, ראש עיריית טבריה לשעבר הציג עצמו כפעיל חברתי מוביל בעיר טבריה, אשר עומד בראש קבוצת הפייסבוק "מרימים את טבריה מהקרשים". הנתבע 1 ציין לגביו כי הוא יליד העיר טבריה ובשנים האחרונות משמש כקול האופוזיציה העיקרי והמהותי ביותר בעיר .עוד הוסיף כי הוא מקדיש את עיקר זמנו לפעילות חברתית ופוליטית וכי היה המועמד המוביל לתפקיד ראש עיריית טבריה בבחירות אשר עתידות להתקיים בחודש נובמבר 2018.</w:t>
      </w:r>
    </w:p>
    <w:p w:rsidR="00DF588E" w:rsidRDefault="00DF588E" w:rsidP="00DF588E">
      <w:pPr>
        <w:pStyle w:val="ad"/>
        <w:spacing w:line="360" w:lineRule="auto"/>
        <w:ind w:left="226"/>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b/>
          <w:bCs/>
          <w:sz w:val="24"/>
          <w:szCs w:val="24"/>
          <w:u w:val="single"/>
          <w:rtl/>
        </w:rPr>
        <w:t xml:space="preserve">הנתבעים 2 ו- 3 – </w:t>
      </w:r>
      <w:r>
        <w:rPr>
          <w:rFonts w:ascii="David" w:hAnsi="David" w:cs="David"/>
          <w:sz w:val="24"/>
          <w:szCs w:val="24"/>
          <w:rtl/>
        </w:rPr>
        <w:t xml:space="preserve">הנתבע 2 , מר אפרים קובי הוא אחיו של הנתבע 1 ואילו הנתבעת 3, הגב' רונית קובי היא אשתו של הנתבע 2 וגיסתו של הנתבע 1. הנתבעים 2 ו- 3 הוצגו כמנהלי העמודים בהם הופיעו הפרסומים בגינם הוגשה התביעה, יחד ובצד הנתבע 1. </w:t>
      </w:r>
    </w:p>
    <w:p w:rsidR="00DF588E" w:rsidRDefault="00DF588E" w:rsidP="00DF588E">
      <w:pPr>
        <w:pStyle w:val="ad"/>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eastAsia="Times New Roman" w:hAnsi="David" w:cs="David"/>
          <w:b/>
          <w:bCs/>
          <w:sz w:val="24"/>
          <w:szCs w:val="24"/>
          <w:u w:val="single"/>
          <w:rtl/>
        </w:rPr>
      </w:pPr>
      <w:r>
        <w:rPr>
          <w:rFonts w:ascii="David" w:hAnsi="David" w:cs="David"/>
          <w:b/>
          <w:bCs/>
          <w:sz w:val="24"/>
          <w:szCs w:val="24"/>
          <w:u w:val="single"/>
          <w:rtl/>
        </w:rPr>
        <w:t>העדים בהליך -</w:t>
      </w:r>
      <w:r>
        <w:rPr>
          <w:rFonts w:ascii="David" w:hAnsi="David" w:cs="David"/>
          <w:sz w:val="24"/>
          <w:szCs w:val="24"/>
          <w:rtl/>
        </w:rPr>
        <w:t xml:space="preserve"> במסגרת ההליך נשמע רק התובע בלבד.  תצהירה של הנתבעת 3 נמשך בדיון מיום 24.3.2021 ואילו חקירתם של הנתבע ו ו-2 נקבעה למועד 26.12.2021</w:t>
      </w:r>
      <w:r>
        <w:rPr>
          <w:rFonts w:ascii="David" w:eastAsia="Times New Roman" w:hAnsi="David" w:cs="David"/>
          <w:sz w:val="24"/>
          <w:szCs w:val="24"/>
          <w:rtl/>
        </w:rPr>
        <w:t xml:space="preserve">. </w:t>
      </w:r>
    </w:p>
    <w:p w:rsidR="00DF588E" w:rsidRDefault="00DF588E" w:rsidP="00DF588E">
      <w:pPr>
        <w:spacing w:line="360" w:lineRule="auto"/>
        <w:jc w:val="both"/>
        <w:rPr>
          <w:rFonts w:ascii="David" w:hAnsi="David"/>
          <w:b/>
          <w:bCs/>
          <w:u w:val="single"/>
        </w:rPr>
      </w:pPr>
      <w:r>
        <w:rPr>
          <w:rFonts w:ascii="David" w:hAnsi="David"/>
          <w:rtl/>
        </w:rPr>
        <w:t xml:space="preserve">במועד כאמור נותר לחקור את הנתבעים 1 ו-2. בבוקר הדיון עלתה למערכת בקשת לדחיית הדיון.  הנתבע 1 ציין כי הוא נמצא עם תסמיני מחלה, כן צוין כי הוא עומד להיבדק בבדיקת קורונה. עוד הוגשה הודעת עדכון כי בדיקתו יצאה שלילית וכי בשעה 9 בבוקר ייבדק שוב בטבריה ועם סיום הבדיקה ייעשה דרכו לבי המשפט בתל אביב. בפועל נמסר שהנתבע 1 הגיע לתל אביב אך לא הגיע לאולם הדיונים. ובפתח הדיון צוין כי הנתבע 1 נמצא ברכבו בחניה "למטה". כך או כך, לא נשמעו עדויות וההליך נקבע להגשת סיכומים. </w:t>
      </w:r>
    </w:p>
    <w:p w:rsidR="00DF588E" w:rsidRDefault="00DF588E" w:rsidP="00DF588E">
      <w:pPr>
        <w:pStyle w:val="ad"/>
        <w:spacing w:line="360" w:lineRule="auto"/>
        <w:ind w:left="1440"/>
        <w:jc w:val="both"/>
        <w:rPr>
          <w:rFonts w:ascii="David" w:eastAsia="Times New Roman" w:hAnsi="David" w:cs="David"/>
          <w:b/>
          <w:bCs/>
          <w:sz w:val="26"/>
          <w:szCs w:val="26"/>
          <w:u w:val="single"/>
        </w:rPr>
      </w:pPr>
    </w:p>
    <w:p w:rsidR="00DF588E" w:rsidRDefault="00DF588E" w:rsidP="00DF588E">
      <w:pPr>
        <w:pStyle w:val="ad"/>
        <w:numPr>
          <w:ilvl w:val="0"/>
          <w:numId w:val="1"/>
        </w:numPr>
        <w:spacing w:line="360" w:lineRule="auto"/>
        <w:ind w:left="-199" w:hanging="567"/>
        <w:jc w:val="both"/>
        <w:rPr>
          <w:rFonts w:ascii="David" w:eastAsia="Times New Roman" w:hAnsi="David" w:cs="David"/>
          <w:b/>
          <w:bCs/>
          <w:sz w:val="26"/>
          <w:szCs w:val="26"/>
          <w:u w:val="single"/>
        </w:rPr>
      </w:pPr>
      <w:r>
        <w:rPr>
          <w:rFonts w:ascii="David" w:eastAsia="Times New Roman" w:hAnsi="David" w:cs="David"/>
          <w:b/>
          <w:bCs/>
          <w:sz w:val="26"/>
          <w:szCs w:val="26"/>
          <w:u w:val="single"/>
          <w:rtl/>
        </w:rPr>
        <w:t xml:space="preserve">תמצית פסק הדין (תוכן עניינים) </w:t>
      </w:r>
    </w:p>
    <w:p w:rsidR="00DF588E" w:rsidRDefault="00DF588E" w:rsidP="00DF588E">
      <w:pPr>
        <w:pStyle w:val="ad"/>
        <w:numPr>
          <w:ilvl w:val="1"/>
          <w:numId w:val="1"/>
        </w:numPr>
        <w:spacing w:line="360" w:lineRule="auto"/>
        <w:ind w:left="226" w:hanging="425"/>
        <w:jc w:val="both"/>
        <w:rPr>
          <w:rFonts w:ascii="Times New Roman" w:eastAsia="Times New Roman" w:hAnsi="Times New Roman" w:cs="David"/>
          <w:noProof/>
          <w:sz w:val="24"/>
          <w:szCs w:val="24"/>
        </w:rPr>
      </w:pPr>
      <w:r>
        <w:rPr>
          <w:rFonts w:eastAsia="Times New Roman" w:cs="David"/>
          <w:sz w:val="24"/>
          <w:szCs w:val="24"/>
          <w:rtl/>
        </w:rPr>
        <w:t>פירוט אודות הפרסומים נשוא התביעה יובא ב</w:t>
      </w:r>
      <w:r>
        <w:rPr>
          <w:rFonts w:eastAsia="Times New Roman" w:cs="David"/>
          <w:sz w:val="24"/>
          <w:szCs w:val="24"/>
          <w:u w:val="single"/>
          <w:rtl/>
        </w:rPr>
        <w:t>סעיף 4 לפסק הדין</w:t>
      </w:r>
      <w:r>
        <w:rPr>
          <w:rFonts w:eastAsia="Times New Roman" w:cs="David"/>
          <w:sz w:val="24"/>
          <w:szCs w:val="24"/>
          <w:rtl/>
        </w:rPr>
        <w:t xml:space="preserve">. </w:t>
      </w:r>
    </w:p>
    <w:p w:rsidR="00DF588E" w:rsidRDefault="00DF588E" w:rsidP="00DF588E">
      <w:pPr>
        <w:pStyle w:val="ad"/>
        <w:numPr>
          <w:ilvl w:val="1"/>
          <w:numId w:val="1"/>
        </w:numPr>
        <w:spacing w:line="360" w:lineRule="auto"/>
        <w:ind w:left="226" w:hanging="425"/>
        <w:jc w:val="both"/>
        <w:rPr>
          <w:rFonts w:ascii="Times New Roman" w:eastAsia="Times New Roman" w:hAnsi="Times New Roman" w:cs="David"/>
          <w:noProof/>
          <w:sz w:val="24"/>
          <w:szCs w:val="24"/>
        </w:rPr>
      </w:pPr>
      <w:r>
        <w:rPr>
          <w:rFonts w:ascii="Times New Roman" w:eastAsia="Times New Roman" w:hAnsi="Times New Roman" w:cs="David"/>
          <w:noProof/>
          <w:sz w:val="24"/>
          <w:szCs w:val="24"/>
          <w:rtl/>
        </w:rPr>
        <w:t>תמצית טענות הצדדים יובאו ב</w:t>
      </w:r>
      <w:r>
        <w:rPr>
          <w:rFonts w:ascii="Times New Roman" w:eastAsia="Times New Roman" w:hAnsi="Times New Roman" w:cs="David"/>
          <w:noProof/>
          <w:sz w:val="24"/>
          <w:szCs w:val="24"/>
          <w:u w:val="single"/>
          <w:rtl/>
        </w:rPr>
        <w:t>סעיף 5 לפסק הדין</w:t>
      </w:r>
      <w:r>
        <w:rPr>
          <w:rFonts w:ascii="Times New Roman" w:eastAsia="Times New Roman" w:hAnsi="Times New Roman" w:cs="David"/>
          <w:noProof/>
          <w:sz w:val="24"/>
          <w:szCs w:val="24"/>
          <w:rtl/>
        </w:rPr>
        <w:t xml:space="preserve">. </w:t>
      </w:r>
    </w:p>
    <w:p w:rsidR="00DF588E" w:rsidRDefault="00DF588E" w:rsidP="00DF588E">
      <w:pPr>
        <w:pStyle w:val="ad"/>
        <w:numPr>
          <w:ilvl w:val="1"/>
          <w:numId w:val="1"/>
        </w:numPr>
        <w:spacing w:line="360" w:lineRule="auto"/>
        <w:ind w:left="226" w:hanging="425"/>
        <w:jc w:val="both"/>
        <w:rPr>
          <w:rFonts w:ascii="David" w:eastAsia="Times New Roman" w:hAnsi="David" w:cs="David"/>
          <w:sz w:val="24"/>
          <w:szCs w:val="24"/>
        </w:rPr>
      </w:pPr>
      <w:r>
        <w:rPr>
          <w:rFonts w:ascii="David" w:hAnsi="David" w:cs="David"/>
          <w:sz w:val="24"/>
          <w:szCs w:val="24"/>
          <w:rtl/>
        </w:rPr>
        <w:t>הנתבע 1 עוול בעוולת לשון הרע</w:t>
      </w:r>
      <w:r>
        <w:rPr>
          <w:rFonts w:ascii="David" w:eastAsia="Times New Roman" w:hAnsi="David" w:cs="David"/>
          <w:sz w:val="24"/>
          <w:szCs w:val="24"/>
          <w:rtl/>
        </w:rPr>
        <w:t xml:space="preserve">, על כך יורחב </w:t>
      </w:r>
      <w:r>
        <w:rPr>
          <w:rFonts w:ascii="David" w:eastAsia="Times New Roman" w:hAnsi="David" w:cs="David"/>
          <w:sz w:val="24"/>
          <w:szCs w:val="24"/>
          <w:u w:val="single"/>
          <w:rtl/>
        </w:rPr>
        <w:t>בסעיף 6 לפסק הדין</w:t>
      </w:r>
      <w:r>
        <w:rPr>
          <w:rFonts w:ascii="David" w:eastAsia="Times New Roman" w:hAnsi="David" w:cs="David"/>
          <w:sz w:val="24"/>
          <w:szCs w:val="24"/>
          <w:rtl/>
        </w:rPr>
        <w:t>.</w:t>
      </w:r>
    </w:p>
    <w:p w:rsidR="00DF588E" w:rsidRDefault="00DF588E" w:rsidP="00DF588E">
      <w:pPr>
        <w:pStyle w:val="ad"/>
        <w:numPr>
          <w:ilvl w:val="1"/>
          <w:numId w:val="1"/>
        </w:numPr>
        <w:spacing w:line="360" w:lineRule="auto"/>
        <w:ind w:left="226" w:hanging="425"/>
        <w:jc w:val="both"/>
        <w:rPr>
          <w:rFonts w:ascii="David" w:eastAsia="Times New Roman" w:hAnsi="David" w:cs="David"/>
          <w:sz w:val="24"/>
          <w:szCs w:val="24"/>
        </w:rPr>
      </w:pPr>
      <w:r>
        <w:rPr>
          <w:rFonts w:ascii="David" w:eastAsia="Times New Roman" w:hAnsi="David" w:cs="David"/>
          <w:sz w:val="24"/>
          <w:szCs w:val="24"/>
          <w:rtl/>
        </w:rPr>
        <w:t xml:space="preserve">על קיומו של יסוד הפרסום – על כך יורחב </w:t>
      </w:r>
      <w:r>
        <w:rPr>
          <w:rFonts w:ascii="David" w:eastAsia="Times New Roman" w:hAnsi="David" w:cs="David"/>
          <w:sz w:val="24"/>
          <w:szCs w:val="24"/>
          <w:u w:val="single"/>
          <w:rtl/>
        </w:rPr>
        <w:t>בסעיף 7 לפסק הדין.</w:t>
      </w:r>
    </w:p>
    <w:p w:rsidR="00DF588E" w:rsidRDefault="00DF588E" w:rsidP="00DF588E">
      <w:pPr>
        <w:pStyle w:val="ad"/>
        <w:numPr>
          <w:ilvl w:val="1"/>
          <w:numId w:val="1"/>
        </w:numPr>
        <w:spacing w:line="360" w:lineRule="auto"/>
        <w:ind w:left="226" w:hanging="425"/>
        <w:jc w:val="both"/>
        <w:rPr>
          <w:rFonts w:ascii="David" w:eastAsia="Times New Roman" w:hAnsi="David" w:cs="David"/>
          <w:sz w:val="24"/>
          <w:szCs w:val="24"/>
        </w:rPr>
      </w:pPr>
      <w:r>
        <w:rPr>
          <w:rFonts w:ascii="David" w:eastAsia="Times New Roman" w:hAnsi="David" w:cs="David"/>
          <w:sz w:val="24"/>
          <w:szCs w:val="24"/>
          <w:rtl/>
        </w:rPr>
        <w:t xml:space="preserve">לנתבע 1 לא קמה כל הגנה מכח הדין, לעניין זה יובא הדיון </w:t>
      </w:r>
      <w:r>
        <w:rPr>
          <w:rFonts w:ascii="David" w:eastAsia="Times New Roman" w:hAnsi="David" w:cs="David"/>
          <w:sz w:val="24"/>
          <w:szCs w:val="24"/>
          <w:u w:val="single"/>
          <w:rtl/>
        </w:rPr>
        <w:t>בסעיף 8 לפסק הדין</w:t>
      </w:r>
      <w:r>
        <w:rPr>
          <w:rFonts w:ascii="David" w:eastAsia="Times New Roman" w:hAnsi="David" w:cs="David"/>
          <w:sz w:val="24"/>
          <w:szCs w:val="24"/>
          <w:rtl/>
        </w:rPr>
        <w:t>.</w:t>
      </w:r>
    </w:p>
    <w:p w:rsidR="00DF588E" w:rsidRDefault="00DF588E" w:rsidP="00DF588E">
      <w:pPr>
        <w:pStyle w:val="ad"/>
        <w:numPr>
          <w:ilvl w:val="1"/>
          <w:numId w:val="1"/>
        </w:numPr>
        <w:spacing w:line="360" w:lineRule="auto"/>
        <w:ind w:left="226" w:hanging="425"/>
        <w:jc w:val="both"/>
        <w:rPr>
          <w:rFonts w:ascii="David" w:eastAsia="Times New Roman" w:hAnsi="David" w:cs="David"/>
          <w:sz w:val="24"/>
          <w:szCs w:val="24"/>
        </w:rPr>
      </w:pPr>
      <w:r>
        <w:rPr>
          <w:rFonts w:ascii="David" w:eastAsia="Times New Roman" w:hAnsi="David" w:cs="David"/>
          <w:sz w:val="24"/>
          <w:szCs w:val="24"/>
          <w:rtl/>
        </w:rPr>
        <w:t xml:space="preserve">אחריות נתבעים 2 ו-3 לפרסומים.  על כך יובא </w:t>
      </w:r>
      <w:r>
        <w:rPr>
          <w:rFonts w:ascii="David" w:eastAsia="Times New Roman" w:hAnsi="David" w:cs="David"/>
          <w:sz w:val="24"/>
          <w:szCs w:val="24"/>
          <w:u w:val="single"/>
          <w:rtl/>
        </w:rPr>
        <w:t>בסעיף 9 לפסק הדין</w:t>
      </w:r>
      <w:r>
        <w:rPr>
          <w:rFonts w:ascii="David" w:eastAsia="Times New Roman" w:hAnsi="David" w:cs="David"/>
          <w:sz w:val="24"/>
          <w:szCs w:val="24"/>
          <w:rtl/>
        </w:rPr>
        <w:t>.</w:t>
      </w:r>
    </w:p>
    <w:p w:rsidR="00DF588E" w:rsidRDefault="00DF588E" w:rsidP="00DF588E">
      <w:pPr>
        <w:pStyle w:val="ad"/>
        <w:numPr>
          <w:ilvl w:val="1"/>
          <w:numId w:val="1"/>
        </w:numPr>
        <w:spacing w:line="360" w:lineRule="auto"/>
        <w:ind w:left="226" w:hanging="425"/>
        <w:jc w:val="both"/>
        <w:rPr>
          <w:rFonts w:ascii="David" w:hAnsi="David" w:cs="David"/>
          <w:sz w:val="24"/>
          <w:szCs w:val="24"/>
          <w:u w:val="single"/>
        </w:rPr>
      </w:pPr>
      <w:r>
        <w:rPr>
          <w:rFonts w:ascii="David" w:hAnsi="David" w:cs="David"/>
          <w:sz w:val="24"/>
          <w:szCs w:val="24"/>
          <w:rtl/>
        </w:rPr>
        <w:t xml:space="preserve">אין לראות בנתבעים 2 ו-3 כמעוולים במשותף. </w:t>
      </w:r>
      <w:r>
        <w:rPr>
          <w:rFonts w:ascii="David" w:eastAsia="Times New Roman" w:hAnsi="David" w:cs="David"/>
          <w:sz w:val="24"/>
          <w:szCs w:val="24"/>
          <w:rtl/>
        </w:rPr>
        <w:t xml:space="preserve"> על כך יובא </w:t>
      </w:r>
      <w:r>
        <w:rPr>
          <w:rFonts w:ascii="David" w:eastAsia="Times New Roman" w:hAnsi="David" w:cs="David"/>
          <w:sz w:val="24"/>
          <w:szCs w:val="24"/>
          <w:u w:val="single"/>
          <w:rtl/>
        </w:rPr>
        <w:t>בסעיף 10 לפסק הדין.</w:t>
      </w:r>
    </w:p>
    <w:p w:rsidR="00DF588E" w:rsidRDefault="00DF588E" w:rsidP="00DF588E">
      <w:pPr>
        <w:pStyle w:val="ad"/>
        <w:numPr>
          <w:ilvl w:val="1"/>
          <w:numId w:val="1"/>
        </w:numPr>
        <w:spacing w:line="360" w:lineRule="auto"/>
        <w:ind w:left="226" w:hanging="425"/>
        <w:jc w:val="both"/>
        <w:rPr>
          <w:rFonts w:ascii="David" w:eastAsia="Times New Roman" w:hAnsi="David" w:cs="David"/>
          <w:sz w:val="24"/>
          <w:szCs w:val="24"/>
        </w:rPr>
      </w:pPr>
      <w:r>
        <w:rPr>
          <w:rFonts w:ascii="David" w:eastAsia="Times New Roman" w:hAnsi="David" w:cs="David"/>
          <w:sz w:val="24"/>
          <w:szCs w:val="24"/>
          <w:rtl/>
        </w:rPr>
        <w:t>אין</w:t>
      </w:r>
      <w:r>
        <w:rPr>
          <w:rFonts w:ascii="David" w:hAnsi="David" w:cs="David"/>
          <w:sz w:val="24"/>
          <w:szCs w:val="24"/>
          <w:rtl/>
        </w:rPr>
        <w:t xml:space="preserve"> לראות בנתבעים 2 ו 3 משתפים ומשדלים</w:t>
      </w:r>
      <w:r>
        <w:rPr>
          <w:rFonts w:ascii="David" w:eastAsia="Times New Roman" w:hAnsi="David" w:cs="David"/>
          <w:sz w:val="24"/>
          <w:szCs w:val="24"/>
          <w:rtl/>
        </w:rPr>
        <w:t xml:space="preserve">. על כך יובא </w:t>
      </w:r>
      <w:r>
        <w:rPr>
          <w:rFonts w:ascii="David" w:eastAsia="Times New Roman" w:hAnsi="David" w:cs="David"/>
          <w:sz w:val="24"/>
          <w:szCs w:val="24"/>
          <w:u w:val="single"/>
          <w:rtl/>
        </w:rPr>
        <w:t>בסעיף 11  לפסק הדין</w:t>
      </w:r>
      <w:r>
        <w:rPr>
          <w:rFonts w:ascii="David" w:eastAsia="Times New Roman" w:hAnsi="David" w:cs="David"/>
          <w:sz w:val="24"/>
          <w:szCs w:val="24"/>
          <w:rtl/>
        </w:rPr>
        <w:t>.</w:t>
      </w:r>
    </w:p>
    <w:p w:rsidR="00DF588E" w:rsidRDefault="00DF588E" w:rsidP="00DF588E">
      <w:pPr>
        <w:pStyle w:val="ad"/>
        <w:numPr>
          <w:ilvl w:val="1"/>
          <w:numId w:val="1"/>
        </w:numPr>
        <w:spacing w:line="360" w:lineRule="auto"/>
        <w:ind w:left="226" w:hanging="425"/>
        <w:jc w:val="both"/>
        <w:rPr>
          <w:rFonts w:ascii="David" w:eastAsia="Times New Roman" w:hAnsi="David" w:cs="David"/>
          <w:sz w:val="24"/>
          <w:szCs w:val="24"/>
        </w:rPr>
      </w:pPr>
      <w:r>
        <w:rPr>
          <w:rFonts w:ascii="David" w:hAnsi="David" w:cs="David"/>
          <w:sz w:val="24"/>
          <w:szCs w:val="24"/>
          <w:rtl/>
        </w:rPr>
        <w:t>סכום הפיצוי</w:t>
      </w:r>
      <w:r>
        <w:rPr>
          <w:rFonts w:ascii="David" w:eastAsia="Times New Roman" w:hAnsi="David" w:cs="David"/>
          <w:sz w:val="24"/>
          <w:szCs w:val="24"/>
          <w:rtl/>
        </w:rPr>
        <w:t xml:space="preserve">, הערות לפני סיום וסוף דבר . על כך יובא </w:t>
      </w:r>
      <w:r>
        <w:rPr>
          <w:rFonts w:ascii="David" w:eastAsia="Times New Roman" w:hAnsi="David" w:cs="David"/>
          <w:sz w:val="24"/>
          <w:szCs w:val="24"/>
          <w:u w:val="single"/>
          <w:rtl/>
        </w:rPr>
        <w:t>בסעיפים 12 , 13, 14 לפסק הדין</w:t>
      </w:r>
      <w:r>
        <w:rPr>
          <w:rFonts w:ascii="David" w:eastAsia="Times New Roman" w:hAnsi="David" w:cs="David"/>
          <w:sz w:val="24"/>
          <w:szCs w:val="24"/>
          <w:rtl/>
        </w:rPr>
        <w:t>.</w:t>
      </w:r>
    </w:p>
    <w:p w:rsidR="006B3D22" w:rsidRDefault="006B3D22" w:rsidP="00DF588E">
      <w:pPr>
        <w:pStyle w:val="ad"/>
        <w:spacing w:line="360" w:lineRule="auto"/>
        <w:ind w:left="-598"/>
        <w:jc w:val="both"/>
        <w:rPr>
          <w:rFonts w:ascii="David" w:hAnsi="David" w:cs="David"/>
          <w:b/>
          <w:bCs/>
          <w:sz w:val="28"/>
          <w:szCs w:val="28"/>
          <w:u w:val="single"/>
          <w:rtl/>
        </w:rPr>
      </w:pPr>
    </w:p>
    <w:p w:rsidR="006B3D22" w:rsidRDefault="006B3D22" w:rsidP="00DF588E">
      <w:pPr>
        <w:pStyle w:val="ad"/>
        <w:spacing w:line="360" w:lineRule="auto"/>
        <w:ind w:left="-598"/>
        <w:jc w:val="both"/>
        <w:rPr>
          <w:rFonts w:ascii="David" w:hAnsi="David" w:cs="David"/>
          <w:b/>
          <w:bCs/>
          <w:sz w:val="28"/>
          <w:szCs w:val="28"/>
          <w:u w:val="single"/>
          <w:rtl/>
        </w:rPr>
      </w:pPr>
    </w:p>
    <w:p w:rsidR="006B3D22" w:rsidRDefault="006B3D22" w:rsidP="00DF588E">
      <w:pPr>
        <w:pStyle w:val="ad"/>
        <w:spacing w:line="360" w:lineRule="auto"/>
        <w:ind w:left="-598"/>
        <w:jc w:val="both"/>
        <w:rPr>
          <w:rFonts w:ascii="David" w:hAnsi="David" w:cs="David"/>
          <w:b/>
          <w:bCs/>
          <w:sz w:val="28"/>
          <w:szCs w:val="28"/>
          <w:u w:val="single"/>
          <w:rtl/>
        </w:rPr>
      </w:pPr>
    </w:p>
    <w:p w:rsidR="00DF588E" w:rsidRDefault="00DF588E" w:rsidP="006B3D22">
      <w:pPr>
        <w:pStyle w:val="ad"/>
        <w:spacing w:line="360" w:lineRule="auto"/>
        <w:ind w:left="-598"/>
        <w:jc w:val="both"/>
        <w:rPr>
          <w:rFonts w:ascii="David" w:hAnsi="David" w:cs="David"/>
          <w:sz w:val="28"/>
          <w:szCs w:val="28"/>
          <w:rtl/>
        </w:rPr>
      </w:pPr>
      <w:r>
        <w:rPr>
          <w:rFonts w:ascii="David" w:hAnsi="David" w:cs="David"/>
          <w:b/>
          <w:bCs/>
          <w:sz w:val="28"/>
          <w:szCs w:val="28"/>
          <w:u w:val="single"/>
          <w:rtl/>
        </w:rPr>
        <w:lastRenderedPageBreak/>
        <w:t>חלק שני – הפרסומים בגינם הוגשה התובענה; תמצית טענות הצדדים</w:t>
      </w:r>
    </w:p>
    <w:p w:rsidR="00DF588E" w:rsidRDefault="00DF588E" w:rsidP="00DF588E">
      <w:pPr>
        <w:pStyle w:val="ad"/>
        <w:spacing w:line="360" w:lineRule="auto"/>
        <w:ind w:left="1080"/>
        <w:jc w:val="both"/>
        <w:rPr>
          <w:rFonts w:ascii="David" w:hAnsi="David" w:cs="David"/>
          <w:sz w:val="24"/>
          <w:szCs w:val="24"/>
        </w:rPr>
      </w:pPr>
    </w:p>
    <w:p w:rsidR="00DF588E" w:rsidRDefault="00DF588E" w:rsidP="00DF588E">
      <w:pPr>
        <w:pStyle w:val="ad"/>
        <w:numPr>
          <w:ilvl w:val="0"/>
          <w:numId w:val="1"/>
        </w:numPr>
        <w:spacing w:line="360" w:lineRule="auto"/>
        <w:ind w:left="-199" w:hanging="567"/>
        <w:jc w:val="both"/>
        <w:rPr>
          <w:rFonts w:ascii="David" w:eastAsia="Times New Roman" w:hAnsi="David" w:cs="David"/>
          <w:sz w:val="26"/>
          <w:szCs w:val="26"/>
        </w:rPr>
      </w:pPr>
      <w:r>
        <w:rPr>
          <w:rFonts w:ascii="David" w:eastAsia="Times New Roman" w:hAnsi="David" w:cs="David"/>
          <w:b/>
          <w:bCs/>
          <w:sz w:val="26"/>
          <w:szCs w:val="26"/>
          <w:u w:val="single"/>
          <w:rtl/>
        </w:rPr>
        <w:t xml:space="preserve">הפרסומים בגינם הוגשה התובענה </w:t>
      </w:r>
    </w:p>
    <w:p w:rsidR="00DF588E" w:rsidRDefault="00DF588E" w:rsidP="00DF588E">
      <w:pPr>
        <w:pStyle w:val="ad"/>
        <w:spacing w:line="360" w:lineRule="auto"/>
        <w:ind w:left="-199"/>
        <w:jc w:val="both"/>
        <w:rPr>
          <w:rFonts w:ascii="David" w:eastAsia="Times New Roman" w:hAnsi="David" w:cs="David"/>
          <w:sz w:val="26"/>
          <w:szCs w:val="26"/>
        </w:rPr>
      </w:pPr>
      <w:r>
        <w:rPr>
          <w:rFonts w:ascii="David" w:eastAsia="Times New Roman" w:hAnsi="David" w:cs="David"/>
          <w:sz w:val="24"/>
          <w:szCs w:val="24"/>
          <w:rtl/>
        </w:rPr>
        <w:t>להלן יובאו הפרסומים שבבסיס התביעה. לצורך פסק הדין יחולקו הפרסומים לשלוש קבוצות.</w:t>
      </w:r>
    </w:p>
    <w:p w:rsidR="00DF588E" w:rsidRDefault="00DF588E" w:rsidP="00DF588E">
      <w:pPr>
        <w:pStyle w:val="ad"/>
        <w:spacing w:line="360" w:lineRule="auto"/>
        <w:ind w:left="1080"/>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b/>
          <w:bCs/>
          <w:sz w:val="24"/>
          <w:szCs w:val="24"/>
          <w:u w:val="single"/>
        </w:rPr>
      </w:pPr>
      <w:r>
        <w:rPr>
          <w:rFonts w:ascii="David" w:hAnsi="David" w:cs="David"/>
          <w:b/>
          <w:bCs/>
          <w:sz w:val="24"/>
          <w:szCs w:val="24"/>
          <w:u w:val="single"/>
          <w:rtl/>
        </w:rPr>
        <w:t>קבוצת פרסומים ראשונה משלוש פרסומים שבוצעו באמצעות קבוצת הפייסבוק "מרימים את טבריה מהקרשים" (שניים עשר פרסומים):</w:t>
      </w:r>
    </w:p>
    <w:p w:rsidR="00DF588E" w:rsidRDefault="00DF588E" w:rsidP="00DF588E">
      <w:pPr>
        <w:pStyle w:val="ad"/>
        <w:numPr>
          <w:ilvl w:val="0"/>
          <w:numId w:val="2"/>
        </w:numPr>
        <w:spacing w:line="360" w:lineRule="auto"/>
        <w:ind w:left="651" w:hanging="425"/>
        <w:jc w:val="both"/>
        <w:rPr>
          <w:rFonts w:ascii="David" w:hAnsi="David" w:cs="David"/>
          <w:b/>
          <w:bCs/>
          <w:sz w:val="24"/>
          <w:szCs w:val="24"/>
          <w:u w:val="single"/>
        </w:rPr>
      </w:pPr>
      <w:r>
        <w:rPr>
          <w:rFonts w:ascii="David" w:hAnsi="David" w:cs="David"/>
          <w:sz w:val="24"/>
          <w:szCs w:val="24"/>
          <w:u w:val="single"/>
          <w:rtl/>
        </w:rPr>
        <w:t>פרסום ראשון מיום 12.5.2017:</w:t>
      </w:r>
      <w:r>
        <w:rPr>
          <w:rFonts w:ascii="David" w:hAnsi="David" w:cs="David"/>
          <w:b/>
          <w:bCs/>
          <w:sz w:val="24"/>
          <w:szCs w:val="24"/>
          <w:rtl/>
        </w:rPr>
        <w:t xml:space="preserve">  "דוד לקסוס בקושי 9 שנות לימוד מנהל בית ספר עם משכורת עתק? אשתו של דוד לקסוס מרוויחה מעל 20,000 ₪ בחודש בתור גננת? המושחתים האלה בקרוב בחקירות!".</w:t>
      </w:r>
    </w:p>
    <w:p w:rsidR="00DF588E" w:rsidRDefault="00DF588E" w:rsidP="00DF588E">
      <w:pPr>
        <w:pStyle w:val="ad"/>
        <w:spacing w:line="360" w:lineRule="auto"/>
        <w:ind w:left="651"/>
        <w:jc w:val="both"/>
        <w:rPr>
          <w:rFonts w:ascii="David" w:hAnsi="David" w:cs="David"/>
          <w:b/>
          <w:bCs/>
          <w:sz w:val="24"/>
          <w:szCs w:val="24"/>
          <w:rtl/>
        </w:rPr>
      </w:pPr>
      <w:r>
        <w:rPr>
          <w:rFonts w:ascii="David" w:hAnsi="David" w:cs="David"/>
          <w:b/>
          <w:bCs/>
          <w:sz w:val="24"/>
          <w:szCs w:val="24"/>
          <w:rtl/>
        </w:rPr>
        <w:t>"הציבור החרדי מתעב את זיגדון, לקסוס... מושחתים נמאסתם!".</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DF588E">
      <w:pPr>
        <w:pStyle w:val="ad"/>
        <w:numPr>
          <w:ilvl w:val="0"/>
          <w:numId w:val="2"/>
        </w:numPr>
        <w:spacing w:line="360" w:lineRule="auto"/>
        <w:ind w:left="651" w:hanging="425"/>
        <w:jc w:val="both"/>
        <w:rPr>
          <w:rFonts w:ascii="David" w:hAnsi="David" w:cs="David"/>
          <w:b/>
          <w:bCs/>
          <w:sz w:val="24"/>
          <w:szCs w:val="24"/>
          <w:u w:val="single"/>
        </w:rPr>
      </w:pPr>
      <w:r>
        <w:rPr>
          <w:rFonts w:ascii="David" w:hAnsi="David" w:cs="David"/>
          <w:sz w:val="24"/>
          <w:szCs w:val="24"/>
          <w:u w:val="single"/>
          <w:rtl/>
        </w:rPr>
        <w:t>פרסום שני מיום 8.5.2017:</w:t>
      </w:r>
      <w:r>
        <w:rPr>
          <w:rFonts w:ascii="David" w:hAnsi="David" w:cs="David"/>
          <w:b/>
          <w:bCs/>
          <w:sz w:val="24"/>
          <w:szCs w:val="24"/>
          <w:rtl/>
        </w:rPr>
        <w:t xml:space="preserve">  "אנו הולכים היום להגיש תלונה פלילית על ראש עיריית טבריה על זיוף פרוטוקולים ומסמכים! האיש בחסות זיגדון ודוד לקסוס זייפו פרוטוקול ישיבת הנהלה! הם משקרים לבית המשפט המחוזי ולכלל הציבור! הונאה וגניבת דעת!...".</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DF588E">
      <w:pPr>
        <w:pStyle w:val="ad"/>
        <w:numPr>
          <w:ilvl w:val="0"/>
          <w:numId w:val="2"/>
        </w:numPr>
        <w:spacing w:line="360" w:lineRule="auto"/>
        <w:ind w:left="651" w:hanging="425"/>
        <w:jc w:val="both"/>
        <w:rPr>
          <w:rFonts w:ascii="David" w:hAnsi="David" w:cs="David"/>
          <w:b/>
          <w:bCs/>
          <w:sz w:val="24"/>
          <w:szCs w:val="24"/>
        </w:rPr>
      </w:pPr>
      <w:r>
        <w:rPr>
          <w:rFonts w:ascii="David" w:hAnsi="David" w:cs="David"/>
          <w:sz w:val="24"/>
          <w:szCs w:val="24"/>
          <w:u w:val="single"/>
          <w:rtl/>
        </w:rPr>
        <w:t>פרסום שלישי מיום 8.6.2017 :</w:t>
      </w:r>
      <w:r>
        <w:rPr>
          <w:rFonts w:ascii="David" w:hAnsi="David" w:cs="David"/>
          <w:b/>
          <w:bCs/>
          <w:sz w:val="24"/>
          <w:szCs w:val="24"/>
          <w:rtl/>
        </w:rPr>
        <w:t xml:space="preserve">  "זיגדון, דוד לקסוס ויוסי בן דוד מוכרים את טבריה לקהילות חסידיות ליטאיות כגון תולדות אהרון... אנחנו נעצור אותם בכל דרך אפשרית! אנחנו לא רוצים אותם פה! אין עליהם שליטה, הם מסוכנים והם שונאים את המדינה".</w:t>
      </w:r>
    </w:p>
    <w:p w:rsidR="00DF588E" w:rsidRDefault="00DF588E" w:rsidP="00DF588E">
      <w:pPr>
        <w:pStyle w:val="ad"/>
        <w:spacing w:line="360" w:lineRule="auto"/>
        <w:ind w:left="1440"/>
        <w:jc w:val="both"/>
        <w:rPr>
          <w:rFonts w:ascii="David" w:hAnsi="David" w:cs="David"/>
          <w:b/>
          <w:bCs/>
          <w:sz w:val="24"/>
          <w:szCs w:val="24"/>
          <w:u w:val="single"/>
          <w:rtl/>
        </w:rPr>
      </w:pPr>
    </w:p>
    <w:p w:rsidR="00DF588E" w:rsidRDefault="00DF588E" w:rsidP="00DF588E">
      <w:pPr>
        <w:pStyle w:val="ad"/>
        <w:numPr>
          <w:ilvl w:val="0"/>
          <w:numId w:val="2"/>
        </w:numPr>
        <w:spacing w:line="360" w:lineRule="auto"/>
        <w:ind w:left="651" w:hanging="425"/>
        <w:jc w:val="both"/>
        <w:rPr>
          <w:rFonts w:ascii="David" w:hAnsi="David" w:cs="David"/>
          <w:b/>
          <w:bCs/>
          <w:sz w:val="24"/>
          <w:szCs w:val="24"/>
          <w:u w:val="single"/>
        </w:rPr>
      </w:pPr>
      <w:r>
        <w:rPr>
          <w:rFonts w:ascii="David" w:hAnsi="David" w:cs="David"/>
          <w:sz w:val="24"/>
          <w:szCs w:val="24"/>
          <w:u w:val="single"/>
          <w:rtl/>
        </w:rPr>
        <w:t>פרסום רביעי מיום 21.5.2017:</w:t>
      </w:r>
      <w:r>
        <w:rPr>
          <w:rFonts w:ascii="David" w:hAnsi="David" w:cs="David"/>
          <w:b/>
          <w:bCs/>
          <w:sz w:val="24"/>
          <w:szCs w:val="24"/>
          <w:rtl/>
        </w:rPr>
        <w:t xml:space="preserve"> "טבריה הפכה לעיר חרדית של חסידיות קיצוניות מבני ברק וירושלים לעיר של נוכלים אשר מנהיגים פוליטית את הציבור החרדי ומשחירים קהילה טבריינית חרדית שלמה שחיה פה בהרמוניה. המצב בטבריה נפיץ ומסוכן, מה שקורה פה פשוט לא יאומן. ההסתה והתקיפות שחווינו השבוע ברחוב ד' הם תולדה של הסתה מתמשכת של זיגדון ולקסוס הנוכלים אשר משתמשים בשנאת הדת כדי להגן על עצמם מחשיפת השחיתות שלנו".</w:t>
      </w:r>
    </w:p>
    <w:p w:rsidR="00DF588E" w:rsidRDefault="00DF588E" w:rsidP="00DF588E">
      <w:pPr>
        <w:pStyle w:val="ad"/>
        <w:spacing w:line="360" w:lineRule="auto"/>
        <w:ind w:left="1440"/>
        <w:jc w:val="both"/>
        <w:rPr>
          <w:rFonts w:ascii="David" w:hAnsi="David" w:cs="David"/>
          <w:b/>
          <w:bCs/>
          <w:sz w:val="24"/>
          <w:szCs w:val="24"/>
        </w:rPr>
      </w:pPr>
    </w:p>
    <w:p w:rsidR="00DF588E" w:rsidRDefault="00DF588E" w:rsidP="00DF588E">
      <w:pPr>
        <w:pStyle w:val="ad"/>
        <w:numPr>
          <w:ilvl w:val="0"/>
          <w:numId w:val="2"/>
        </w:numPr>
        <w:spacing w:line="360" w:lineRule="auto"/>
        <w:ind w:left="651" w:hanging="425"/>
        <w:jc w:val="both"/>
        <w:rPr>
          <w:rFonts w:ascii="David" w:hAnsi="David" w:cs="David"/>
          <w:b/>
          <w:bCs/>
          <w:sz w:val="24"/>
          <w:szCs w:val="24"/>
        </w:rPr>
      </w:pPr>
      <w:r>
        <w:rPr>
          <w:rFonts w:ascii="David" w:hAnsi="David" w:cs="David"/>
          <w:sz w:val="24"/>
          <w:szCs w:val="24"/>
          <w:u w:val="single"/>
          <w:rtl/>
        </w:rPr>
        <w:t>פרסום חמישי מיום 20.5.2017:</w:t>
      </w:r>
      <w:r>
        <w:rPr>
          <w:rFonts w:ascii="David" w:hAnsi="David" w:cs="David"/>
          <w:b/>
          <w:bCs/>
          <w:sz w:val="24"/>
          <w:szCs w:val="24"/>
          <w:rtl/>
        </w:rPr>
        <w:t xml:space="preserve"> "גם ציון פיניאן רוצה למכור את טבריה לזיגדון המושחת ולדוד לקסוס הגנב!".</w:t>
      </w:r>
    </w:p>
    <w:p w:rsidR="00DF588E" w:rsidRDefault="00DF588E" w:rsidP="00DF588E">
      <w:pPr>
        <w:pStyle w:val="ad"/>
        <w:spacing w:line="360" w:lineRule="auto"/>
        <w:ind w:left="1440"/>
        <w:jc w:val="both"/>
        <w:rPr>
          <w:rFonts w:ascii="David" w:hAnsi="David" w:cs="David"/>
          <w:b/>
          <w:bCs/>
          <w:sz w:val="24"/>
          <w:szCs w:val="24"/>
          <w:u w:val="single"/>
          <w:rtl/>
        </w:rPr>
      </w:pPr>
    </w:p>
    <w:p w:rsidR="00DF588E" w:rsidRDefault="00DF588E" w:rsidP="00DF588E">
      <w:pPr>
        <w:pStyle w:val="ad"/>
        <w:numPr>
          <w:ilvl w:val="0"/>
          <w:numId w:val="2"/>
        </w:numPr>
        <w:spacing w:line="360" w:lineRule="auto"/>
        <w:ind w:left="651" w:hanging="425"/>
        <w:jc w:val="both"/>
        <w:rPr>
          <w:rFonts w:ascii="David" w:hAnsi="David" w:cs="David"/>
          <w:sz w:val="24"/>
          <w:szCs w:val="24"/>
          <w:u w:val="single"/>
        </w:rPr>
      </w:pPr>
      <w:r>
        <w:rPr>
          <w:rFonts w:ascii="David" w:hAnsi="David" w:cs="David"/>
          <w:sz w:val="24"/>
          <w:szCs w:val="24"/>
          <w:u w:val="single"/>
          <w:rtl/>
        </w:rPr>
        <w:t>פרסום שישי  מיום 18.5.2017:</w:t>
      </w:r>
      <w:r>
        <w:rPr>
          <w:rFonts w:ascii="David" w:hAnsi="David" w:cs="David"/>
          <w:b/>
          <w:bCs/>
          <w:sz w:val="24"/>
          <w:szCs w:val="24"/>
          <w:u w:val="single"/>
          <w:rtl/>
        </w:rPr>
        <w:t xml:space="preserve"> </w:t>
      </w:r>
      <w:r>
        <w:rPr>
          <w:rFonts w:ascii="David" w:hAnsi="David" w:cs="David"/>
          <w:b/>
          <w:bCs/>
          <w:sz w:val="24"/>
          <w:szCs w:val="24"/>
          <w:rtl/>
        </w:rPr>
        <w:t xml:space="preserve"> "זו התולדה של מכירת העיר וההסתה מבית מדרשם של זיגדון ודוד לקסוס..." </w:t>
      </w:r>
    </w:p>
    <w:p w:rsidR="00DF588E" w:rsidRDefault="00DF588E" w:rsidP="00DF588E">
      <w:pPr>
        <w:pStyle w:val="ad"/>
        <w:spacing w:line="360" w:lineRule="auto"/>
        <w:ind w:left="1440"/>
        <w:jc w:val="both"/>
        <w:rPr>
          <w:rFonts w:ascii="David" w:hAnsi="David" w:cs="David"/>
          <w:sz w:val="24"/>
          <w:szCs w:val="24"/>
          <w:u w:val="single"/>
          <w:rtl/>
        </w:rPr>
      </w:pPr>
    </w:p>
    <w:p w:rsidR="00DF588E" w:rsidRDefault="00DF588E" w:rsidP="00DF588E">
      <w:pPr>
        <w:pStyle w:val="ad"/>
        <w:numPr>
          <w:ilvl w:val="0"/>
          <w:numId w:val="2"/>
        </w:numPr>
        <w:spacing w:line="360" w:lineRule="auto"/>
        <w:ind w:left="651" w:hanging="425"/>
        <w:jc w:val="both"/>
        <w:rPr>
          <w:rFonts w:ascii="David" w:hAnsi="David" w:cs="David"/>
          <w:b/>
          <w:bCs/>
          <w:sz w:val="24"/>
          <w:szCs w:val="24"/>
          <w:u w:val="single"/>
          <w:rtl/>
        </w:rPr>
      </w:pPr>
      <w:r>
        <w:rPr>
          <w:rFonts w:ascii="David" w:hAnsi="David" w:cs="David"/>
          <w:sz w:val="24"/>
          <w:szCs w:val="24"/>
          <w:u w:val="single"/>
          <w:rtl/>
        </w:rPr>
        <w:t>פרסום שביעי נוסף מיום 18.5.2017:</w:t>
      </w:r>
      <w:r>
        <w:rPr>
          <w:rFonts w:ascii="David" w:hAnsi="David" w:cs="David"/>
          <w:b/>
          <w:bCs/>
          <w:sz w:val="24"/>
          <w:szCs w:val="24"/>
          <w:rtl/>
        </w:rPr>
        <w:t xml:space="preserve"> "במקום לעבוד ולהתאמץ הוא מעדיף לחלק את העיר לזיגדון ודוד לקסוס המושחתים!".</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DF588E">
      <w:pPr>
        <w:pStyle w:val="ad"/>
        <w:numPr>
          <w:ilvl w:val="0"/>
          <w:numId w:val="2"/>
        </w:numPr>
        <w:spacing w:line="360" w:lineRule="auto"/>
        <w:ind w:left="651" w:hanging="425"/>
        <w:jc w:val="both"/>
        <w:rPr>
          <w:rFonts w:ascii="David" w:hAnsi="David" w:cs="David"/>
          <w:b/>
          <w:bCs/>
          <w:sz w:val="24"/>
          <w:szCs w:val="24"/>
          <w:rtl/>
        </w:rPr>
      </w:pPr>
      <w:r>
        <w:rPr>
          <w:rFonts w:ascii="David" w:hAnsi="David" w:cs="David"/>
          <w:sz w:val="24"/>
          <w:szCs w:val="24"/>
          <w:u w:val="single"/>
          <w:rtl/>
        </w:rPr>
        <w:lastRenderedPageBreak/>
        <w:t>פרסום שמיני מיום 10.5.2017:</w:t>
      </w:r>
      <w:r>
        <w:rPr>
          <w:rFonts w:ascii="David" w:hAnsi="David" w:cs="David"/>
          <w:b/>
          <w:bCs/>
          <w:sz w:val="24"/>
          <w:szCs w:val="24"/>
          <w:rtl/>
        </w:rPr>
        <w:t xml:space="preserve">  "חשיפה בלעדית של השחיתויות של בכירי ש"ס בטבריה: זיגדון הגנב הגדול לימד את יוסי אוקנין ואת דוד לקסוס את אומנות השחיתות! הם כוחניים מאד כלפי הציבור שלהם, איומים בפגיעה בחיי הקהילה... כל האנרגיה שלהם מושקעת בעשיית רווחים אישיים ובהבאת קהילות חסידיות ליטאיות חדשות לטבריה".</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DF588E">
      <w:pPr>
        <w:pStyle w:val="ad"/>
        <w:numPr>
          <w:ilvl w:val="0"/>
          <w:numId w:val="2"/>
        </w:numPr>
        <w:spacing w:line="360" w:lineRule="auto"/>
        <w:ind w:left="651" w:hanging="425"/>
        <w:jc w:val="both"/>
        <w:rPr>
          <w:rFonts w:ascii="David" w:hAnsi="David" w:cs="David"/>
          <w:sz w:val="24"/>
          <w:szCs w:val="24"/>
          <w:rtl/>
        </w:rPr>
      </w:pPr>
      <w:r>
        <w:rPr>
          <w:rFonts w:ascii="David" w:hAnsi="David" w:cs="David"/>
          <w:sz w:val="24"/>
          <w:szCs w:val="24"/>
          <w:u w:val="single"/>
          <w:rtl/>
        </w:rPr>
        <w:t>פרסום תשיעי מיום 10.5.2017:</w:t>
      </w:r>
      <w:r>
        <w:rPr>
          <w:rFonts w:ascii="David" w:hAnsi="David" w:cs="David"/>
          <w:b/>
          <w:bCs/>
          <w:sz w:val="24"/>
          <w:szCs w:val="24"/>
          <w:rtl/>
        </w:rPr>
        <w:t xml:space="preserve">  "הסחורה של דוד לקסוס וזיגדון הגנבים. עוד מקלט ועוד מקלט... עוד מעטפה ועוד דירה...".</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DF588E">
      <w:pPr>
        <w:pStyle w:val="ad"/>
        <w:numPr>
          <w:ilvl w:val="0"/>
          <w:numId w:val="2"/>
        </w:numPr>
        <w:spacing w:line="360" w:lineRule="auto"/>
        <w:ind w:left="651" w:hanging="425"/>
        <w:jc w:val="both"/>
        <w:rPr>
          <w:rFonts w:ascii="David" w:hAnsi="David" w:cs="David"/>
          <w:sz w:val="24"/>
          <w:szCs w:val="24"/>
          <w:rtl/>
        </w:rPr>
      </w:pPr>
      <w:r>
        <w:rPr>
          <w:rFonts w:ascii="David" w:hAnsi="David" w:cs="David"/>
          <w:sz w:val="24"/>
          <w:szCs w:val="24"/>
          <w:u w:val="single"/>
          <w:rtl/>
        </w:rPr>
        <w:t>פרסום עשירי מיום 25.2.2017</w:t>
      </w:r>
      <w:r>
        <w:rPr>
          <w:rFonts w:ascii="David" w:hAnsi="David" w:cs="David"/>
          <w:b/>
          <w:bCs/>
          <w:sz w:val="24"/>
          <w:szCs w:val="24"/>
          <w:u w:val="single"/>
          <w:rtl/>
        </w:rPr>
        <w:t>:</w:t>
      </w:r>
      <w:r>
        <w:rPr>
          <w:rFonts w:ascii="David" w:hAnsi="David" w:cs="David"/>
          <w:b/>
          <w:bCs/>
          <w:i/>
          <w:iCs/>
          <w:sz w:val="24"/>
          <w:szCs w:val="24"/>
          <w:rtl/>
        </w:rPr>
        <w:t xml:space="preserve"> </w:t>
      </w:r>
      <w:r>
        <w:rPr>
          <w:rFonts w:ascii="David" w:hAnsi="David" w:cs="David"/>
          <w:sz w:val="24"/>
          <w:szCs w:val="24"/>
          <w:rtl/>
        </w:rPr>
        <w:t xml:space="preserve">התובע הפנה לפרסום מיום 25.02.2017 בו הנתבע שיתף סרטון בקבוצה שכותרתו "אריה דרעי מסוכן לישראל, אסור לתת לו לצבור כוח לשליטה בממשלה הבאה" והוסיף מלל ובו מכנה את התובע "מושחת" ש"מכר את טבריה" בשביל לקבל כספים. בפרסום כאמור נכתב כדלקמן: </w:t>
      </w:r>
      <w:r>
        <w:rPr>
          <w:rFonts w:ascii="David" w:hAnsi="David" w:cs="David"/>
          <w:b/>
          <w:bCs/>
          <w:sz w:val="24"/>
          <w:szCs w:val="24"/>
          <w:rtl/>
        </w:rPr>
        <w:t>"ההוכחה המצולמת לשוחד הבחירות בטבריה. השר גפני מודה לראש העיר על הבניה של שכונת הביג ל 1500 יחידות לליטאים מבני ברק! לזיגדון, דוד לקסוס, קרליץ ושאר המושחתים שמכרו את טבריה ולאלוהים שלהם קוראים כסף!..".</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DF588E">
      <w:pPr>
        <w:pStyle w:val="ad"/>
        <w:numPr>
          <w:ilvl w:val="0"/>
          <w:numId w:val="2"/>
        </w:numPr>
        <w:spacing w:line="360" w:lineRule="auto"/>
        <w:ind w:left="651" w:hanging="425"/>
        <w:jc w:val="both"/>
        <w:rPr>
          <w:rFonts w:ascii="David" w:hAnsi="David" w:cs="David"/>
          <w:sz w:val="24"/>
          <w:szCs w:val="24"/>
          <w:rtl/>
        </w:rPr>
      </w:pPr>
      <w:r>
        <w:rPr>
          <w:rFonts w:ascii="David" w:hAnsi="David" w:cs="David"/>
          <w:sz w:val="24"/>
          <w:szCs w:val="24"/>
          <w:u w:val="single"/>
          <w:rtl/>
        </w:rPr>
        <w:t>פרסום אחד עשרה מיום 3.1.2017</w:t>
      </w:r>
      <w:r>
        <w:rPr>
          <w:rFonts w:ascii="David" w:hAnsi="David" w:cs="David"/>
          <w:b/>
          <w:bCs/>
          <w:sz w:val="24"/>
          <w:szCs w:val="24"/>
          <w:u w:val="single"/>
          <w:rtl/>
        </w:rPr>
        <w:t>:</w:t>
      </w:r>
      <w:r>
        <w:rPr>
          <w:rFonts w:ascii="David" w:hAnsi="David" w:cs="David"/>
          <w:b/>
          <w:bCs/>
          <w:sz w:val="24"/>
          <w:szCs w:val="24"/>
          <w:rtl/>
        </w:rPr>
        <w:t xml:space="preserve"> </w:t>
      </w:r>
      <w:r>
        <w:rPr>
          <w:rFonts w:ascii="David" w:hAnsi="David" w:cs="David"/>
          <w:sz w:val="24"/>
          <w:szCs w:val="24"/>
          <w:rtl/>
        </w:rPr>
        <w:t xml:space="preserve">התובע הפנה לפרסום מיום 03.01.2017 בו הנתבע 1 שיתף בקבוצה סרטון בו הוא מצלם את עצמו מדבר לצופים וחושף בפניהם את "השחיתויות" ו"שיטות הפעולה" ומדגיש כי בעקבות פרסום הסרטון, "טבריה תרעד". לפרסום הוסיף וכתב כך: </w:t>
      </w:r>
      <w:r>
        <w:rPr>
          <w:rFonts w:ascii="David" w:hAnsi="David" w:cs="David"/>
          <w:b/>
          <w:bCs/>
          <w:sz w:val="24"/>
          <w:szCs w:val="24"/>
          <w:rtl/>
        </w:rPr>
        <w:t>! "השידור שהרעיד את טבריה!!! נא להפיץ בפייסבוק ובוואטסאפ לקראת השידור בשעה 21:00 טריילר פתיח לקראת שידור מהדורה הלילה! חשיפה על שיטת הפעולה והשחיתות של זיגדון אליהו ודוד אוחנה! היום בלילה טבריה תרעד! והנה היום נראה לכם את חונטת השחיתות של זיגדון ואוחנה! השידור בשעה 21:00 נראה לי שהלילה מהלחץ הנפשי אנשים בטבריה יעלו בדיקות אקג...".</w:t>
      </w:r>
    </w:p>
    <w:p w:rsidR="00DF588E" w:rsidRDefault="00DF588E" w:rsidP="00DF588E">
      <w:pPr>
        <w:pStyle w:val="ad"/>
        <w:spacing w:line="360" w:lineRule="auto"/>
        <w:ind w:left="1440"/>
        <w:jc w:val="both"/>
        <w:rPr>
          <w:rFonts w:ascii="David" w:hAnsi="David" w:cs="David"/>
          <w:b/>
          <w:bCs/>
          <w:sz w:val="24"/>
          <w:szCs w:val="24"/>
          <w:u w:val="single"/>
          <w:rtl/>
        </w:rPr>
      </w:pPr>
    </w:p>
    <w:p w:rsidR="00DF588E" w:rsidRDefault="00DF588E" w:rsidP="00DF588E">
      <w:pPr>
        <w:pStyle w:val="ad"/>
        <w:numPr>
          <w:ilvl w:val="0"/>
          <w:numId w:val="2"/>
        </w:numPr>
        <w:spacing w:line="360" w:lineRule="auto"/>
        <w:ind w:left="651" w:hanging="425"/>
        <w:jc w:val="both"/>
        <w:rPr>
          <w:rFonts w:ascii="David" w:hAnsi="David" w:cs="David"/>
          <w:sz w:val="24"/>
          <w:szCs w:val="24"/>
        </w:rPr>
      </w:pPr>
      <w:r>
        <w:rPr>
          <w:rFonts w:ascii="David" w:hAnsi="David" w:cs="David"/>
          <w:sz w:val="24"/>
          <w:szCs w:val="24"/>
          <w:u w:val="single"/>
          <w:rtl/>
        </w:rPr>
        <w:t>פרסום שניים עשר מיום 8.2.2017:</w:t>
      </w:r>
      <w:r>
        <w:rPr>
          <w:rFonts w:ascii="David" w:hAnsi="David" w:cs="David"/>
          <w:sz w:val="24"/>
          <w:szCs w:val="24"/>
          <w:rtl/>
        </w:rPr>
        <w:t xml:space="preserve"> התובע הפנה לפרסום מיום 08.02.2017 בו פרסם נתבע 1 בקבוצה תמונה של מבנה בתהליכי בנייה ורשם כדלהלן: </w:t>
      </w:r>
      <w:r>
        <w:rPr>
          <w:rFonts w:ascii="David" w:hAnsi="David" w:cs="David"/>
          <w:b/>
          <w:bCs/>
          <w:sz w:val="24"/>
          <w:szCs w:val="24"/>
          <w:rtl/>
        </w:rPr>
        <w:t>"מלון הדגל של רשם מלונות זיגדונטל בע"מ. לשעבר ביה"ס ממלכתי ה' בשיכון ג' בטבריה, הבניה במרץ מקווים לאירוע פתיחה לפני שזיגדון יכנס לכלא....המשטרה לא תפסח על איש הפעם דוד לקסוס, זיגדון, אוקנין וקומבינות קופת החולים בחלקה 133 , הקנדי והגברת ועוד ועוד בכיכובו של ראש העיר שמכר את טבריה...".</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DF588E">
      <w:pPr>
        <w:pStyle w:val="ad"/>
        <w:numPr>
          <w:ilvl w:val="1"/>
          <w:numId w:val="1"/>
        </w:numPr>
        <w:spacing w:line="360" w:lineRule="auto"/>
        <w:ind w:left="226" w:hanging="425"/>
        <w:jc w:val="both"/>
        <w:rPr>
          <w:rFonts w:ascii="David" w:hAnsi="David" w:cs="David"/>
          <w:b/>
          <w:bCs/>
          <w:sz w:val="24"/>
          <w:szCs w:val="24"/>
          <w:u w:val="single"/>
          <w:rtl/>
        </w:rPr>
      </w:pPr>
      <w:r>
        <w:rPr>
          <w:rFonts w:ascii="David" w:hAnsi="David" w:cs="David"/>
          <w:b/>
          <w:bCs/>
          <w:sz w:val="24"/>
          <w:szCs w:val="24"/>
          <w:u w:val="single"/>
          <w:rtl/>
        </w:rPr>
        <w:t>קבוצת פרסומים שניה מתוך שלוש שבוצעו באמצעות סרטונים</w:t>
      </w:r>
      <w:r>
        <w:rPr>
          <w:rFonts w:ascii="David" w:hAnsi="David" w:cs="David"/>
          <w:b/>
          <w:bCs/>
          <w:sz w:val="24"/>
          <w:szCs w:val="24"/>
          <w:u w:val="single"/>
        </w:rPr>
        <w:t xml:space="preserve"> </w:t>
      </w:r>
      <w:r>
        <w:rPr>
          <w:rFonts w:ascii="David" w:hAnsi="David" w:cs="David"/>
          <w:b/>
          <w:bCs/>
          <w:sz w:val="24"/>
          <w:szCs w:val="24"/>
          <w:u w:val="single"/>
          <w:rtl/>
        </w:rPr>
        <w:t>שהועלו</w:t>
      </w:r>
      <w:r>
        <w:rPr>
          <w:rFonts w:ascii="David" w:hAnsi="David" w:cs="David"/>
          <w:b/>
          <w:bCs/>
          <w:sz w:val="24"/>
          <w:szCs w:val="24"/>
          <w:u w:val="single"/>
        </w:rPr>
        <w:t xml:space="preserve"> </w:t>
      </w:r>
      <w:r>
        <w:rPr>
          <w:rFonts w:ascii="David" w:hAnsi="David" w:cs="David"/>
          <w:b/>
          <w:bCs/>
          <w:sz w:val="24"/>
          <w:szCs w:val="24"/>
          <w:u w:val="single"/>
          <w:rtl/>
        </w:rPr>
        <w:t>לקבוצה( שלושה עשר פרסומים נוספים):</w:t>
      </w:r>
    </w:p>
    <w:p w:rsidR="00DF588E" w:rsidRDefault="00DF588E" w:rsidP="00DF588E">
      <w:pPr>
        <w:pStyle w:val="ad"/>
        <w:spacing w:line="360" w:lineRule="auto"/>
        <w:ind w:left="226"/>
        <w:jc w:val="both"/>
        <w:rPr>
          <w:rFonts w:ascii="David" w:hAnsi="David" w:cs="David"/>
          <w:sz w:val="24"/>
          <w:szCs w:val="24"/>
        </w:rPr>
      </w:pPr>
      <w:r>
        <w:rPr>
          <w:rFonts w:ascii="David" w:hAnsi="David" w:cs="David"/>
          <w:sz w:val="24"/>
          <w:szCs w:val="24"/>
          <w:rtl/>
        </w:rPr>
        <w:t>לדברי התובע, הנתבע 1 העלה לקבוצת הפייסבוק סרטונים בהם הוא מדבר במשך דקות ארוכות, כמעט מידי יום. לדבריו חלק מהסרטונים הוקדשו להשמצתו. להלן יובאו פרסומים אלו:</w:t>
      </w:r>
    </w:p>
    <w:p w:rsidR="00DF588E" w:rsidRDefault="00DF588E" w:rsidP="00DF588E">
      <w:pPr>
        <w:pStyle w:val="ad"/>
        <w:spacing w:line="360" w:lineRule="auto"/>
        <w:ind w:left="1080"/>
        <w:jc w:val="both"/>
        <w:rPr>
          <w:rFonts w:ascii="David" w:hAnsi="David" w:cs="David"/>
          <w:b/>
          <w:bCs/>
          <w:sz w:val="24"/>
          <w:szCs w:val="24"/>
        </w:rPr>
      </w:pPr>
    </w:p>
    <w:p w:rsidR="00DF588E" w:rsidRDefault="00DF588E" w:rsidP="0081565E">
      <w:pPr>
        <w:pStyle w:val="ad"/>
        <w:numPr>
          <w:ilvl w:val="0"/>
          <w:numId w:val="3"/>
        </w:numPr>
        <w:spacing w:line="360" w:lineRule="auto"/>
        <w:ind w:left="651" w:hanging="284"/>
        <w:jc w:val="both"/>
        <w:rPr>
          <w:rFonts w:ascii="David" w:hAnsi="David" w:cs="David"/>
          <w:b/>
          <w:bCs/>
          <w:sz w:val="24"/>
          <w:szCs w:val="24"/>
          <w:rtl/>
        </w:rPr>
      </w:pPr>
      <w:r>
        <w:rPr>
          <w:rFonts w:ascii="David" w:hAnsi="David" w:cs="David"/>
          <w:sz w:val="24"/>
          <w:szCs w:val="24"/>
          <w:u w:val="single"/>
          <w:rtl/>
        </w:rPr>
        <w:lastRenderedPageBreak/>
        <w:t>פרסום  מס' 13 מיום 3.1.2017:</w:t>
      </w:r>
      <w:r>
        <w:rPr>
          <w:rFonts w:ascii="David" w:hAnsi="David" w:cs="David"/>
          <w:sz w:val="24"/>
          <w:szCs w:val="24"/>
          <w:rtl/>
        </w:rPr>
        <w:t xml:space="preserve">  </w:t>
      </w:r>
      <w:r>
        <w:rPr>
          <w:rFonts w:ascii="David" w:hAnsi="David" w:cs="David"/>
          <w:b/>
          <w:bCs/>
          <w:sz w:val="24"/>
          <w:szCs w:val="24"/>
          <w:rtl/>
        </w:rPr>
        <w:t xml:space="preserve"> </w:t>
      </w:r>
      <w:r>
        <w:rPr>
          <w:rFonts w:ascii="David" w:hAnsi="David" w:cs="David"/>
          <w:sz w:val="24"/>
          <w:szCs w:val="24"/>
          <w:rtl/>
        </w:rPr>
        <w:t xml:space="preserve">סרטון מיום 03.01.2017 , שידור חי של הנתבע 1 בקבוצת הפייסבוק בו טוען טענות כנגד התובע, בין היתר, כדלקמן: </w:t>
      </w:r>
      <w:r>
        <w:rPr>
          <w:rFonts w:ascii="David" w:hAnsi="David" w:cs="David"/>
          <w:b/>
          <w:bCs/>
          <w:sz w:val="24"/>
          <w:szCs w:val="24"/>
          <w:rtl/>
        </w:rPr>
        <w:t>"היום ב 9- בערב נחשוף את המאפיה של זגדון, את הקומבינות של זגדון ודוד אוחנה שנהיו מליונרים מהעיר שלכם. שני חברה שבאו לפה מחוסרי כל, הגיעו לטבריה סוחרים מהשוק, מצאו פה מטמון, מצאו פה מלוכה, מצאו פה ביצת זהב שקוראים לה טבריה על השחיתה".</w:t>
      </w: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ובהמשך הסרטון (החל מדקה 05:39 ):</w:t>
      </w:r>
      <w:r>
        <w:rPr>
          <w:rFonts w:ascii="David" w:hAnsi="David" w:cs="David"/>
          <w:b/>
          <w:bCs/>
          <w:sz w:val="24"/>
          <w:szCs w:val="24"/>
          <w:rtl/>
        </w:rPr>
        <w:t xml:space="preserve"> "היום בשעה 9 קומבינת הפשע של זגדון ודוד אוחנה תיחשף, אנחנו באומץ ננקה את השחיתות".</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numPr>
          <w:ilvl w:val="0"/>
          <w:numId w:val="3"/>
        </w:numPr>
        <w:spacing w:line="360" w:lineRule="auto"/>
        <w:ind w:left="651" w:hanging="284"/>
        <w:jc w:val="both"/>
        <w:rPr>
          <w:rFonts w:ascii="David" w:hAnsi="David" w:cs="David"/>
          <w:sz w:val="24"/>
          <w:szCs w:val="24"/>
          <w:rtl/>
        </w:rPr>
      </w:pPr>
      <w:r>
        <w:rPr>
          <w:rFonts w:ascii="David" w:hAnsi="David" w:cs="David"/>
          <w:sz w:val="24"/>
          <w:szCs w:val="24"/>
          <w:u w:val="single"/>
          <w:rtl/>
        </w:rPr>
        <w:t>פרסום מס' 14 מיום 4.1.2017:</w:t>
      </w:r>
      <w:r>
        <w:rPr>
          <w:rFonts w:ascii="David" w:hAnsi="David" w:cs="David"/>
          <w:sz w:val="24"/>
          <w:szCs w:val="24"/>
          <w:rtl/>
        </w:rPr>
        <w:t xml:space="preserve"> סרטון נוסף שפורסם בקבוצה, שאורכו מעל 30 דקות בו פרסם הנתבע 1 כדלהלן: </w:t>
      </w:r>
      <w:r>
        <w:rPr>
          <w:rFonts w:ascii="David" w:hAnsi="David" w:cs="David"/>
          <w:b/>
          <w:bCs/>
          <w:sz w:val="24"/>
          <w:szCs w:val="24"/>
          <w:rtl/>
        </w:rPr>
        <w:t>"לאיש הזה קוראים דוד לקסוס, דוד לקסוס השבוע נכנס לפחדים, חשבתי את בתי המלון שלו, את אולמות האירועים שלו, את הקומבינות שלו, האיש הזה היה פועל בשוק של אשדוד לאחר מכם פועל בשוק הבוכרים בירושלים, והנה בא לטבריה ונהיה אחד החזקים".</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ובהמשך פרסום נוסף (בדקה 06:06 לסרטון):</w:t>
      </w:r>
      <w:r>
        <w:rPr>
          <w:rFonts w:ascii="David" w:hAnsi="David" w:cs="David"/>
          <w:b/>
          <w:bCs/>
          <w:sz w:val="24"/>
          <w:szCs w:val="24"/>
          <w:rtl/>
        </w:rPr>
        <w:t xml:space="preserve"> "דוד לקסוס אתה מדבר על קנאה בלב הציבור? אתה שהלכת לרב קוק, צדיק יסוד עולם שחי פה בטבריה בינינו ושומר על העיר הזו, ואנסת אותו באיומים, והוצאת ממנו מכתב. אבל הוא לא יסלח לך. הוא לא נפל בפח שלך".</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עוד, בהמשך לסרטון (בדקה 06:39 ) נאמרו הדברים שלהלן</w:t>
      </w:r>
      <w:r>
        <w:rPr>
          <w:rFonts w:ascii="David" w:hAnsi="David" w:cs="David"/>
          <w:b/>
          <w:bCs/>
          <w:sz w:val="24"/>
          <w:szCs w:val="24"/>
          <w:rtl/>
        </w:rPr>
        <w:t>: "דוד לקסוס איך יקנה לקסוס? מה חשבתם מהמשכורת של מורה? לא חברים".</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sz w:val="24"/>
          <w:szCs w:val="24"/>
          <w:rtl/>
        </w:rPr>
      </w:pPr>
      <w:r>
        <w:rPr>
          <w:rFonts w:ascii="David" w:hAnsi="David" w:cs="David"/>
          <w:sz w:val="24"/>
          <w:szCs w:val="24"/>
          <w:rtl/>
        </w:rPr>
        <w:t xml:space="preserve">ועוד: </w:t>
      </w:r>
      <w:r>
        <w:rPr>
          <w:rFonts w:ascii="David" w:hAnsi="David" w:cs="David"/>
          <w:b/>
          <w:bCs/>
          <w:sz w:val="24"/>
          <w:szCs w:val="24"/>
          <w:rtl/>
        </w:rPr>
        <w:t>"הרסו את העיר, מצצו לה את השלד, מכרו אותה לזגדון ולדוד לקסוס ולליטאים".</w:t>
      </w:r>
      <w:r>
        <w:rPr>
          <w:rFonts w:ascii="David" w:hAnsi="David" w:cs="David"/>
          <w:sz w:val="24"/>
          <w:szCs w:val="24"/>
          <w:rtl/>
        </w:rPr>
        <w:t xml:space="preserve"> </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81565E">
      <w:pPr>
        <w:pStyle w:val="ad"/>
        <w:numPr>
          <w:ilvl w:val="0"/>
          <w:numId w:val="3"/>
        </w:numPr>
        <w:spacing w:line="360" w:lineRule="auto"/>
        <w:ind w:left="651" w:hanging="284"/>
        <w:jc w:val="both"/>
        <w:rPr>
          <w:rFonts w:ascii="David" w:hAnsi="David" w:cs="David"/>
          <w:sz w:val="24"/>
          <w:szCs w:val="24"/>
          <w:rtl/>
        </w:rPr>
      </w:pPr>
      <w:r>
        <w:rPr>
          <w:rFonts w:ascii="David" w:hAnsi="David" w:cs="David"/>
          <w:sz w:val="24"/>
          <w:szCs w:val="24"/>
          <w:u w:val="single"/>
          <w:rtl/>
        </w:rPr>
        <w:t>פרסום מס' 15 מיום 5.1.2017:</w:t>
      </w:r>
      <w:r>
        <w:rPr>
          <w:rFonts w:ascii="David" w:hAnsi="David" w:cs="David"/>
          <w:sz w:val="24"/>
          <w:szCs w:val="24"/>
          <w:rtl/>
        </w:rPr>
        <w:t xml:space="preserve">  </w:t>
      </w:r>
      <w:r>
        <w:rPr>
          <w:rFonts w:ascii="David" w:hAnsi="David" w:cs="David"/>
          <w:b/>
          <w:bCs/>
          <w:sz w:val="24"/>
          <w:szCs w:val="24"/>
          <w:rtl/>
        </w:rPr>
        <w:t>"אדון זגדון אתה ודוד אוחנה, שני הנוכלים הגדולים שנתפסתן בפרשה הקנדית... הפרשה הקנדית תיחשף עם עוד פרטים נוספים".</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עוד, בהמשך סרטון זה</w:t>
      </w:r>
      <w:r>
        <w:rPr>
          <w:rFonts w:ascii="David" w:hAnsi="David" w:cs="David"/>
          <w:b/>
          <w:bCs/>
          <w:sz w:val="24"/>
          <w:szCs w:val="24"/>
          <w:rtl/>
        </w:rPr>
        <w:t>: "יש לנו גנבים, ונוכלים במועצת העיר, בעירייה, האנשים האלה עוד ישבו בבית סובר, אל תדאגו חבורת נוכלים שהשתלטה פה על הכביש".</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וכן:</w:t>
      </w:r>
      <w:r>
        <w:rPr>
          <w:rFonts w:ascii="David" w:hAnsi="David" w:cs="David"/>
          <w:b/>
          <w:bCs/>
          <w:sz w:val="24"/>
          <w:szCs w:val="24"/>
          <w:rtl/>
        </w:rPr>
        <w:t xml:space="preserve"> "לקחו קרקע של המדינה של עיריית טבריה והפכו אותה למסחרית. אין להם מושג כמה גניבות, כמה שחיתות, בחור שעובד כמשגיח כשרות בנה בית של מליונים". "כמה עוד אפשר להמשיך לגנוב? אליהו זגדון הגנב, הפושט רגל מקריית גת, שבא לטבריה לגנוב את טבריה ביחד עם הסוחר משוק הבוכרים בירושלים.</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ועוד</w:t>
      </w:r>
      <w:r>
        <w:rPr>
          <w:rFonts w:ascii="David" w:hAnsi="David" w:cs="David"/>
          <w:b/>
          <w:bCs/>
          <w:sz w:val="24"/>
          <w:szCs w:val="24"/>
          <w:rtl/>
        </w:rPr>
        <w:t>: "נוכלים, אתם מבינים מה זה נוכלים? אנחנו מדברים עם אנשים והם לוקחים כיפה שמים ציצית, והם הכל שקר ורמיה, הנוכלים האלה ישבו בבית סוהר".</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numPr>
          <w:ilvl w:val="0"/>
          <w:numId w:val="3"/>
        </w:numPr>
        <w:spacing w:line="360" w:lineRule="auto"/>
        <w:ind w:left="651" w:hanging="284"/>
        <w:jc w:val="both"/>
        <w:rPr>
          <w:rFonts w:ascii="David" w:hAnsi="David" w:cs="David"/>
          <w:sz w:val="24"/>
          <w:szCs w:val="24"/>
          <w:rtl/>
        </w:rPr>
      </w:pPr>
      <w:r>
        <w:rPr>
          <w:rFonts w:ascii="David" w:hAnsi="David" w:cs="David"/>
          <w:sz w:val="24"/>
          <w:szCs w:val="24"/>
          <w:u w:val="single"/>
          <w:rtl/>
        </w:rPr>
        <w:t>פרסום מס 16 מיום 5.1.2017:</w:t>
      </w:r>
      <w:r>
        <w:rPr>
          <w:rFonts w:ascii="David" w:hAnsi="David" w:cs="David"/>
          <w:b/>
          <w:bCs/>
          <w:sz w:val="24"/>
          <w:szCs w:val="24"/>
          <w:rtl/>
        </w:rPr>
        <w:t xml:space="preserve">  "אחד מהנוכלים הכי גדולים שהיו פה, זגדון אליהו ודוד אוחנה ניסו לעשות פה מהלך על הגב שלכם, של התושבים, ובנוסף למהלך הזה ניסו פה לגרור את העיר למלחמות דת, למלחמות גוג ומגוג".</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ועוד:</w:t>
      </w:r>
      <w:r>
        <w:rPr>
          <w:rFonts w:ascii="David" w:hAnsi="David" w:cs="David"/>
          <w:b/>
          <w:bCs/>
          <w:sz w:val="24"/>
          <w:szCs w:val="24"/>
          <w:rtl/>
        </w:rPr>
        <w:t xml:space="preserve"> "אובססיה לכסף, אובססיה לקחת את טבריה ולהפוך אותה לכלי חמדתם".</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81565E">
      <w:pPr>
        <w:pStyle w:val="ad"/>
        <w:spacing w:line="360" w:lineRule="auto"/>
        <w:ind w:left="651"/>
        <w:jc w:val="both"/>
        <w:rPr>
          <w:rFonts w:ascii="David" w:hAnsi="David" w:cs="David"/>
          <w:sz w:val="24"/>
          <w:szCs w:val="24"/>
          <w:rtl/>
        </w:rPr>
      </w:pPr>
      <w:r>
        <w:rPr>
          <w:rFonts w:ascii="David" w:hAnsi="David" w:cs="David"/>
          <w:sz w:val="24"/>
          <w:szCs w:val="24"/>
          <w:rtl/>
        </w:rPr>
        <w:t xml:space="preserve">וכן: </w:t>
      </w:r>
      <w:r>
        <w:rPr>
          <w:rFonts w:ascii="David" w:hAnsi="David" w:cs="David"/>
          <w:b/>
          <w:bCs/>
          <w:sz w:val="24"/>
          <w:szCs w:val="24"/>
          <w:rtl/>
        </w:rPr>
        <w:t>"זגדון ואוחנה 2 מושחתים... ולקחו את העיר לסיבוב של בצע כסף, הכניסו לפה גורמים עבריינים"</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81565E">
      <w:pPr>
        <w:pStyle w:val="ad"/>
        <w:spacing w:line="360" w:lineRule="auto"/>
        <w:ind w:left="651"/>
        <w:jc w:val="both"/>
        <w:rPr>
          <w:rFonts w:ascii="David" w:hAnsi="David" w:cs="David"/>
          <w:sz w:val="24"/>
          <w:szCs w:val="24"/>
          <w:rtl/>
        </w:rPr>
      </w:pPr>
      <w:r>
        <w:rPr>
          <w:rFonts w:ascii="David" w:hAnsi="David" w:cs="David"/>
          <w:sz w:val="24"/>
          <w:szCs w:val="24"/>
          <w:rtl/>
        </w:rPr>
        <w:t xml:space="preserve">ועוד: </w:t>
      </w:r>
      <w:r>
        <w:rPr>
          <w:rFonts w:ascii="David" w:hAnsi="David" w:cs="David"/>
          <w:b/>
          <w:bCs/>
          <w:sz w:val="24"/>
          <w:szCs w:val="24"/>
          <w:rtl/>
        </w:rPr>
        <w:t>"זגדון ודוד אוחנה רצו להשתלט פה על שטח למעלה בשכונה החרדית"</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81565E">
      <w:pPr>
        <w:pStyle w:val="ad"/>
        <w:spacing w:line="360" w:lineRule="auto"/>
        <w:ind w:left="651"/>
        <w:jc w:val="both"/>
        <w:rPr>
          <w:rFonts w:ascii="David" w:hAnsi="David" w:cs="David"/>
          <w:sz w:val="24"/>
          <w:szCs w:val="24"/>
          <w:rtl/>
        </w:rPr>
      </w:pPr>
      <w:r>
        <w:rPr>
          <w:rFonts w:ascii="David" w:hAnsi="David" w:cs="David"/>
          <w:sz w:val="24"/>
          <w:szCs w:val="24"/>
          <w:rtl/>
        </w:rPr>
        <w:t xml:space="preserve">ועוד: </w:t>
      </w:r>
      <w:r>
        <w:rPr>
          <w:rFonts w:ascii="David" w:hAnsi="David" w:cs="David"/>
          <w:b/>
          <w:bCs/>
          <w:sz w:val="24"/>
          <w:szCs w:val="24"/>
          <w:rtl/>
        </w:rPr>
        <w:t>"דוד אוחנה וזיגדון אם יקרה משהו לרב קוק, דמכם בראשכם, אתם רוצים לעשות לו צער, אתם לא מתביישים?"</w:t>
      </w:r>
      <w:r>
        <w:rPr>
          <w:rFonts w:ascii="David" w:hAnsi="David" w:cs="David"/>
          <w:sz w:val="24"/>
          <w:szCs w:val="24"/>
          <w:rtl/>
        </w:rPr>
        <w:t>.</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81565E">
      <w:pPr>
        <w:pStyle w:val="ad"/>
        <w:spacing w:line="360" w:lineRule="auto"/>
        <w:ind w:left="651"/>
        <w:jc w:val="both"/>
        <w:rPr>
          <w:rFonts w:ascii="David" w:hAnsi="David" w:cs="David"/>
          <w:sz w:val="24"/>
          <w:szCs w:val="24"/>
          <w:rtl/>
        </w:rPr>
      </w:pPr>
      <w:r>
        <w:rPr>
          <w:rFonts w:ascii="David" w:hAnsi="David" w:cs="David"/>
          <w:sz w:val="24"/>
          <w:szCs w:val="24"/>
          <w:rtl/>
        </w:rPr>
        <w:t xml:space="preserve">ועוד: </w:t>
      </w:r>
      <w:r>
        <w:rPr>
          <w:rFonts w:ascii="David" w:hAnsi="David" w:cs="David"/>
          <w:b/>
          <w:bCs/>
          <w:sz w:val="24"/>
          <w:szCs w:val="24"/>
          <w:rtl/>
        </w:rPr>
        <w:t>"רשעים בתחפושת של דתיים, נוכלים, גדולי הנוכלים. זגדון, אוחנה מקומך אחרי סורג ובריח".</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81565E">
      <w:pPr>
        <w:pStyle w:val="ad"/>
        <w:numPr>
          <w:ilvl w:val="0"/>
          <w:numId w:val="3"/>
        </w:numPr>
        <w:spacing w:line="360" w:lineRule="auto"/>
        <w:ind w:left="651" w:hanging="284"/>
        <w:jc w:val="both"/>
        <w:rPr>
          <w:rFonts w:ascii="David" w:hAnsi="David" w:cs="David"/>
          <w:sz w:val="24"/>
          <w:szCs w:val="24"/>
          <w:rtl/>
        </w:rPr>
      </w:pPr>
      <w:r>
        <w:rPr>
          <w:rFonts w:ascii="David" w:hAnsi="David" w:cs="David"/>
          <w:sz w:val="24"/>
          <w:szCs w:val="24"/>
          <w:u w:val="single"/>
          <w:rtl/>
        </w:rPr>
        <w:t>פרסום מס' 17 מיום 5.1.2017</w:t>
      </w:r>
      <w:r>
        <w:rPr>
          <w:rFonts w:ascii="David" w:hAnsi="David" w:cs="David"/>
          <w:b/>
          <w:bCs/>
          <w:sz w:val="24"/>
          <w:szCs w:val="24"/>
          <w:u w:val="single"/>
          <w:rtl/>
        </w:rPr>
        <w:t xml:space="preserve"> :</w:t>
      </w:r>
      <w:r>
        <w:rPr>
          <w:rFonts w:ascii="David" w:hAnsi="David" w:cs="David"/>
          <w:b/>
          <w:bCs/>
          <w:sz w:val="24"/>
          <w:szCs w:val="24"/>
          <w:rtl/>
        </w:rPr>
        <w:t xml:space="preserve"> "הנוכל השני דוד אוחנה, פועל בשוק של אשדוד שעלה בדרגה מוביל ירקות לשוק הבוכרים בירושלים, שבא לפה ונהיה סגן המלך של טבריה, דוד אוחנה זה שנוסע בלקסוס ומקבל חמשת אלפים ש"ח על הנייר משכורת". "מה שקורה אחרי התוכנית זה לא באחריות שלי, זה באחריות של הנוכלים שעשו את העבירות והפשעים" .</w:t>
      </w:r>
    </w:p>
    <w:p w:rsidR="00DF588E" w:rsidRDefault="00DF588E" w:rsidP="00DF588E">
      <w:pPr>
        <w:pStyle w:val="ad"/>
        <w:spacing w:line="360" w:lineRule="auto"/>
        <w:ind w:left="1440"/>
        <w:jc w:val="both"/>
        <w:rPr>
          <w:rFonts w:ascii="David" w:hAnsi="David" w:cs="David"/>
          <w:b/>
          <w:bCs/>
          <w:sz w:val="24"/>
          <w:szCs w:val="24"/>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ובהמשך</w:t>
      </w:r>
      <w:r>
        <w:rPr>
          <w:rFonts w:ascii="David" w:hAnsi="David" w:cs="David"/>
          <w:b/>
          <w:bCs/>
          <w:sz w:val="24"/>
          <w:szCs w:val="24"/>
          <w:rtl/>
        </w:rPr>
        <w:t xml:space="preserve"> : "דודיק, אנחנו רואים את דוד אוחנה וזגדון וטרבלסי מחקו 42 מיליון ₪ ארנונה לא חוקית".</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81565E">
      <w:pPr>
        <w:pStyle w:val="ad"/>
        <w:numPr>
          <w:ilvl w:val="0"/>
          <w:numId w:val="3"/>
        </w:numPr>
        <w:spacing w:line="360" w:lineRule="auto"/>
        <w:ind w:left="651" w:hanging="284"/>
        <w:jc w:val="both"/>
        <w:rPr>
          <w:rFonts w:ascii="David" w:hAnsi="David" w:cs="David"/>
          <w:sz w:val="24"/>
          <w:szCs w:val="24"/>
          <w:rtl/>
        </w:rPr>
      </w:pPr>
      <w:r>
        <w:rPr>
          <w:rFonts w:ascii="David" w:hAnsi="David" w:cs="David"/>
          <w:sz w:val="24"/>
          <w:szCs w:val="24"/>
          <w:u w:val="single"/>
          <w:rtl/>
        </w:rPr>
        <w:t>פרסום סרטון מס' 18  מיום 6.1.2017:</w:t>
      </w:r>
      <w:r>
        <w:rPr>
          <w:rFonts w:ascii="David" w:hAnsi="David" w:cs="David"/>
          <w:b/>
          <w:bCs/>
          <w:sz w:val="24"/>
          <w:szCs w:val="24"/>
          <w:rtl/>
        </w:rPr>
        <w:t xml:space="preserve"> "מה שקרה פה עם זגדון הגנב ודוד אוחנה הגנב רק התחיל, החברה האלה מכרו את טבריה והלכו לאיים על הרב קוק". </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ובהמשך לסרטון :</w:t>
      </w:r>
      <w:r>
        <w:rPr>
          <w:rFonts w:ascii="David" w:hAnsi="David" w:cs="David"/>
          <w:b/>
          <w:bCs/>
          <w:sz w:val="24"/>
          <w:szCs w:val="24"/>
          <w:rtl/>
        </w:rPr>
        <w:t>"בואו נראה לכם את המלון המפואר ביותר ברשת בתי המלון של זגדון ודוד אוחנה, 3 בתי מלון דלקס בטבריה שאתם ממנים, אתם משלמים את השיפוץ, מים חשמל...".</w:t>
      </w:r>
    </w:p>
    <w:p w:rsidR="00DF588E" w:rsidRDefault="00DF588E" w:rsidP="00DF588E">
      <w:pPr>
        <w:pStyle w:val="ad"/>
        <w:spacing w:line="360" w:lineRule="auto"/>
        <w:ind w:left="1440"/>
        <w:jc w:val="both"/>
        <w:rPr>
          <w:rFonts w:ascii="David" w:hAnsi="David" w:cs="David"/>
          <w:sz w:val="24"/>
          <w:szCs w:val="24"/>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 xml:space="preserve">ועוד: </w:t>
      </w:r>
      <w:r>
        <w:rPr>
          <w:rFonts w:ascii="David" w:hAnsi="David" w:cs="David"/>
          <w:b/>
          <w:bCs/>
          <w:sz w:val="24"/>
          <w:szCs w:val="24"/>
          <w:rtl/>
        </w:rPr>
        <w:t xml:space="preserve">"רשת בתי המלון של זגדון ודוד אוחנה עובדת ומשגשגת...". </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b/>
          <w:bCs/>
          <w:sz w:val="24"/>
          <w:szCs w:val="24"/>
        </w:rPr>
      </w:pPr>
      <w:r>
        <w:rPr>
          <w:rFonts w:ascii="David" w:hAnsi="David" w:cs="David"/>
          <w:sz w:val="24"/>
          <w:szCs w:val="24"/>
          <w:rtl/>
        </w:rPr>
        <w:t xml:space="preserve">ועוד: </w:t>
      </w:r>
      <w:r>
        <w:rPr>
          <w:rFonts w:ascii="David" w:hAnsi="David" w:cs="David"/>
          <w:b/>
          <w:bCs/>
          <w:sz w:val="24"/>
          <w:szCs w:val="24"/>
          <w:rtl/>
        </w:rPr>
        <w:t xml:space="preserve">"אדון אוחנה.. הוא לא יכול להיות חבר מועצה ולעבוד בבית ספר". </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numPr>
          <w:ilvl w:val="0"/>
          <w:numId w:val="3"/>
        </w:numPr>
        <w:spacing w:line="360" w:lineRule="auto"/>
        <w:ind w:left="651" w:hanging="284"/>
        <w:jc w:val="both"/>
        <w:rPr>
          <w:rFonts w:ascii="David" w:hAnsi="David" w:cs="David"/>
          <w:b/>
          <w:bCs/>
          <w:sz w:val="24"/>
          <w:szCs w:val="24"/>
        </w:rPr>
      </w:pPr>
      <w:r>
        <w:rPr>
          <w:rFonts w:ascii="David" w:hAnsi="David" w:cs="David"/>
          <w:sz w:val="24"/>
          <w:szCs w:val="24"/>
          <w:u w:val="single"/>
          <w:rtl/>
        </w:rPr>
        <w:lastRenderedPageBreak/>
        <w:t>פרסום סרטון מס' 19 מיום 7.1.2017:</w:t>
      </w:r>
      <w:r>
        <w:rPr>
          <w:rFonts w:ascii="David" w:hAnsi="David" w:cs="David"/>
          <w:b/>
          <w:bCs/>
          <w:sz w:val="24"/>
          <w:szCs w:val="24"/>
          <w:rtl/>
        </w:rPr>
        <w:t xml:space="preserve">  "טבריה נמחקה ואנחנו באנו להראות לכם מי מחק אותה, זגדון ודוד אוחנה לקחו בית ספר והפכו אותו למלון... דוד לקסוס אוחנה וזגדון הגנב מחלקים פה מבנים".</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81565E">
      <w:pPr>
        <w:pStyle w:val="ad"/>
        <w:spacing w:line="360" w:lineRule="auto"/>
        <w:ind w:left="651"/>
        <w:jc w:val="both"/>
        <w:rPr>
          <w:rFonts w:ascii="David" w:hAnsi="David" w:cs="David"/>
          <w:sz w:val="24"/>
          <w:szCs w:val="24"/>
          <w:rtl/>
        </w:rPr>
      </w:pPr>
      <w:r>
        <w:rPr>
          <w:rFonts w:ascii="David" w:hAnsi="David" w:cs="David"/>
          <w:sz w:val="24"/>
          <w:szCs w:val="24"/>
          <w:rtl/>
        </w:rPr>
        <w:t xml:space="preserve">ועוד: </w:t>
      </w:r>
      <w:r>
        <w:rPr>
          <w:rFonts w:ascii="David" w:hAnsi="David" w:cs="David"/>
          <w:b/>
          <w:bCs/>
          <w:sz w:val="24"/>
          <w:szCs w:val="24"/>
          <w:rtl/>
        </w:rPr>
        <w:t>"מגלים את השחיתויות של זגדון ודוד לקסוס אוחנה... זגדון ודוד אוחנה מוחקים חובות של 40 מליון שח, אתם מבינים?".</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81565E">
      <w:pPr>
        <w:pStyle w:val="ad"/>
        <w:spacing w:line="360" w:lineRule="auto"/>
        <w:ind w:left="651"/>
        <w:jc w:val="both"/>
        <w:rPr>
          <w:rFonts w:ascii="David" w:hAnsi="David" w:cs="David"/>
          <w:sz w:val="24"/>
          <w:szCs w:val="24"/>
          <w:rtl/>
        </w:rPr>
      </w:pPr>
      <w:r>
        <w:rPr>
          <w:rFonts w:ascii="David" w:hAnsi="David" w:cs="David"/>
          <w:sz w:val="24"/>
          <w:szCs w:val="24"/>
          <w:rtl/>
        </w:rPr>
        <w:t xml:space="preserve">ועוד: </w:t>
      </w:r>
      <w:r>
        <w:rPr>
          <w:rFonts w:ascii="David" w:hAnsi="David" w:cs="David"/>
          <w:b/>
          <w:bCs/>
          <w:sz w:val="24"/>
          <w:szCs w:val="24"/>
          <w:rtl/>
        </w:rPr>
        <w:t>"בא אדון דוד לקסוס רוצה את בימת העיר? הבנו למה כי אתה רוצה להמשיך לדפוק קופות".</w:t>
      </w:r>
    </w:p>
    <w:p w:rsidR="00DF588E" w:rsidRDefault="00DF588E" w:rsidP="00DF588E">
      <w:pPr>
        <w:pStyle w:val="ad"/>
        <w:spacing w:line="360" w:lineRule="auto"/>
        <w:ind w:left="1440"/>
        <w:jc w:val="both"/>
        <w:rPr>
          <w:rFonts w:ascii="David" w:hAnsi="David" w:cs="David"/>
          <w:sz w:val="24"/>
          <w:szCs w:val="24"/>
          <w:rtl/>
        </w:rPr>
      </w:pPr>
    </w:p>
    <w:p w:rsidR="00DF588E" w:rsidRDefault="00DF588E" w:rsidP="0081565E">
      <w:pPr>
        <w:pStyle w:val="ad"/>
        <w:numPr>
          <w:ilvl w:val="0"/>
          <w:numId w:val="3"/>
        </w:numPr>
        <w:spacing w:line="360" w:lineRule="auto"/>
        <w:ind w:left="651" w:hanging="284"/>
        <w:jc w:val="both"/>
        <w:rPr>
          <w:rFonts w:ascii="David" w:hAnsi="David" w:cs="David"/>
          <w:b/>
          <w:bCs/>
          <w:sz w:val="24"/>
          <w:szCs w:val="24"/>
          <w:rtl/>
        </w:rPr>
      </w:pPr>
      <w:r>
        <w:rPr>
          <w:rFonts w:ascii="David" w:hAnsi="David" w:cs="David"/>
          <w:sz w:val="24"/>
          <w:szCs w:val="24"/>
          <w:u w:val="single"/>
          <w:rtl/>
        </w:rPr>
        <w:t>פרסום מספר 20 מיום 14.1.2017:</w:t>
      </w:r>
      <w:r>
        <w:rPr>
          <w:rFonts w:ascii="David" w:hAnsi="David" w:cs="David"/>
          <w:b/>
          <w:bCs/>
          <w:sz w:val="24"/>
          <w:szCs w:val="24"/>
          <w:rtl/>
        </w:rPr>
        <w:t xml:space="preserve"> </w:t>
      </w:r>
      <w:r>
        <w:rPr>
          <w:rFonts w:ascii="David" w:hAnsi="David" w:cs="David"/>
          <w:sz w:val="24"/>
          <w:szCs w:val="24"/>
          <w:rtl/>
        </w:rPr>
        <w:t>סרטון בו נאמרו הדברים כדלקמן</w:t>
      </w:r>
      <w:r>
        <w:rPr>
          <w:rFonts w:ascii="David" w:hAnsi="David" w:cs="David"/>
          <w:b/>
          <w:bCs/>
          <w:sz w:val="24"/>
          <w:szCs w:val="24"/>
          <w:rtl/>
        </w:rPr>
        <w:t>: "הרב קוק נכנס על ידי דוד לקסוס אוחנה וזגדון, הם קיבלו סקר שאני מוביל במירוץ לראשות העיר...הם בפאניקה ובגלל זה היה כאן אריה דרעי, והם בפאניקה שעלינו על הקומבינה שלהם של הקנדי, מדובר בתהליך פלילי של עבירה על חוקים של תכנון ובניה של מסמכי תאגיד.. נכנסו לרב וביקשו ממנו שיכתוב נגדי פסק הלכה".</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 xml:space="preserve">ועוד: </w:t>
      </w:r>
      <w:r>
        <w:rPr>
          <w:rFonts w:ascii="David" w:hAnsi="David" w:cs="David"/>
          <w:b/>
          <w:bCs/>
          <w:sz w:val="24"/>
          <w:szCs w:val="24"/>
          <w:rtl/>
        </w:rPr>
        <w:t>"אתם משקשקים, תסתמו את הפה ותכנסו למחילה שלכם...מהיום כל יום ויום אחשוף כל שחיתות שלכם, אם זה שקל, שני שקלים או חמישה שקלים, אתם גנבים, נבלות ברשות התורה, אנשים נוכלים, אנשים נוכלים שבאו לטבריה ומצאו פה קרקע פוריה לנוכלות, למעשה מרמה ובסוף להשתלטות על העיר...".</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ועוד:</w:t>
      </w:r>
      <w:r>
        <w:rPr>
          <w:rFonts w:ascii="David" w:hAnsi="David" w:cs="David"/>
          <w:b/>
          <w:bCs/>
          <w:sz w:val="24"/>
          <w:szCs w:val="24"/>
          <w:rtl/>
        </w:rPr>
        <w:t xml:space="preserve"> "כמה רוע, כמה רוע, כמה שנאת חינם, דוד לקסוס הציבור שלכם החרדי יקיא אתכם אני מבטיח לך".</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ועוד</w:t>
      </w:r>
      <w:r>
        <w:rPr>
          <w:rFonts w:ascii="David" w:hAnsi="David" w:cs="David"/>
          <w:b/>
          <w:bCs/>
          <w:sz w:val="24"/>
          <w:szCs w:val="24"/>
          <w:rtl/>
        </w:rPr>
        <w:t>: "העיר נשדדה על ידי בן דוד ואנשי ש"ס דוד אוחנה וזגרון ששדדו את העיר את כל המבנים שלהם את כל התקציבים".</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b/>
          <w:bCs/>
          <w:sz w:val="24"/>
          <w:szCs w:val="24"/>
          <w:rtl/>
        </w:rPr>
        <w:t>"בן דוד נתת לדוד אוחנה וזגדון לשדוד את העיר, לשדוד את התקציבים שלה, הרסת כל העיר".</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numPr>
          <w:ilvl w:val="0"/>
          <w:numId w:val="3"/>
        </w:numPr>
        <w:spacing w:line="360" w:lineRule="auto"/>
        <w:ind w:left="651" w:hanging="284"/>
        <w:jc w:val="both"/>
        <w:rPr>
          <w:rFonts w:ascii="David" w:hAnsi="David" w:cs="David"/>
          <w:b/>
          <w:bCs/>
          <w:sz w:val="24"/>
          <w:szCs w:val="24"/>
          <w:u w:val="single"/>
          <w:rtl/>
        </w:rPr>
      </w:pPr>
      <w:r>
        <w:rPr>
          <w:rFonts w:ascii="David" w:hAnsi="David" w:cs="David"/>
          <w:sz w:val="24"/>
          <w:szCs w:val="24"/>
          <w:u w:val="single"/>
          <w:rtl/>
        </w:rPr>
        <w:t>פרסום סרטון מספר 21 מיום 15.1.2017:</w:t>
      </w:r>
      <w:r>
        <w:rPr>
          <w:rFonts w:ascii="David" w:hAnsi="David" w:cs="David"/>
          <w:b/>
          <w:bCs/>
          <w:sz w:val="24"/>
          <w:szCs w:val="24"/>
          <w:rtl/>
        </w:rPr>
        <w:t xml:space="preserve"> "זגדון ואדון דוד אוחנה מסרו אותה עבור בצע כסף לגורמים ליטאים...".</w:t>
      </w:r>
    </w:p>
    <w:p w:rsidR="00DF588E" w:rsidRDefault="00DF588E" w:rsidP="00DF588E">
      <w:pPr>
        <w:pStyle w:val="ad"/>
        <w:spacing w:line="360" w:lineRule="auto"/>
        <w:ind w:left="1440"/>
        <w:jc w:val="both"/>
        <w:rPr>
          <w:rFonts w:ascii="David" w:hAnsi="David" w:cs="David"/>
          <w:b/>
          <w:bCs/>
          <w:sz w:val="24"/>
          <w:szCs w:val="24"/>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ובהמשך הסרטון</w:t>
      </w:r>
      <w:r>
        <w:rPr>
          <w:rFonts w:ascii="David" w:hAnsi="David" w:cs="David"/>
          <w:b/>
          <w:bCs/>
          <w:sz w:val="24"/>
          <w:szCs w:val="24"/>
          <w:rtl/>
        </w:rPr>
        <w:t xml:space="preserve"> : "זגדון המושחת איש המעטפות ודוד לקסוס אוחנה עושים פה בנכסים האלה מה שהם רוצים. שיחשפו הפרשיות כולל הפרשות של רבי מאיר בעל הנס... היא המנוע לחשיפת כל האמת על ההשתלטות על נכסי הנדל"ן של עריית טבריה על ידי החרדים, יש פה שיטה, יש פה תוכנית מאורגנת יש התחייבות וחוזה בין ראש העיר לש"ס".</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b/>
          <w:bCs/>
          <w:sz w:val="24"/>
          <w:szCs w:val="24"/>
          <w:rtl/>
        </w:rPr>
        <w:t>"לקחו חצי מליון שקל ושיפצו והוציאו את המבנה של ניצן ונתנו אותו לישיבה, וגם המבנה הזה לא ראוי? ואדון זיגדון ואדון דוד אוחנה ידעו שיש פה מבנה ראוח..."</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numPr>
          <w:ilvl w:val="0"/>
          <w:numId w:val="3"/>
        </w:numPr>
        <w:spacing w:line="360" w:lineRule="auto"/>
        <w:ind w:left="651" w:hanging="284"/>
        <w:jc w:val="both"/>
        <w:rPr>
          <w:rFonts w:ascii="David" w:hAnsi="David" w:cs="David"/>
          <w:b/>
          <w:bCs/>
          <w:sz w:val="24"/>
          <w:szCs w:val="24"/>
          <w:rtl/>
        </w:rPr>
      </w:pPr>
      <w:r>
        <w:rPr>
          <w:rFonts w:ascii="David" w:hAnsi="David" w:cs="David"/>
          <w:sz w:val="24"/>
          <w:szCs w:val="24"/>
          <w:u w:val="single"/>
          <w:rtl/>
        </w:rPr>
        <w:t>פרסום סרטון מס' 22 מיום 22.1.2017:</w:t>
      </w:r>
      <w:r>
        <w:rPr>
          <w:rFonts w:ascii="David" w:hAnsi="David" w:cs="David"/>
          <w:b/>
          <w:bCs/>
          <w:sz w:val="24"/>
          <w:szCs w:val="24"/>
          <w:rtl/>
        </w:rPr>
        <w:t xml:space="preserve"> "אדון דוד לקסוס נתנו לכל הגנבים לשמור על הקופה של רבי מאיר בל נס שתפתח תיבת פנדורה הזו אתם תבינו".</w:t>
      </w:r>
    </w:p>
    <w:p w:rsidR="00DF588E" w:rsidRDefault="00DF588E" w:rsidP="00DF588E">
      <w:pPr>
        <w:pStyle w:val="ad"/>
        <w:spacing w:line="360" w:lineRule="auto"/>
        <w:ind w:left="1440"/>
        <w:jc w:val="both"/>
        <w:rPr>
          <w:rFonts w:ascii="David" w:hAnsi="David" w:cs="David"/>
          <w:b/>
          <w:bCs/>
          <w:sz w:val="24"/>
          <w:szCs w:val="24"/>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b/>
          <w:bCs/>
          <w:sz w:val="24"/>
          <w:szCs w:val="24"/>
          <w:rtl/>
        </w:rPr>
        <w:t>"יש פה ציבור שמונה על ידי נוכלים, זגדון ודוד לקסוס, החברה האלה, אין לכם מושג,  דיסאינפורמציה, שקרים, מפיצים שמועות בווצאפ".</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numPr>
          <w:ilvl w:val="0"/>
          <w:numId w:val="3"/>
        </w:numPr>
        <w:spacing w:line="360" w:lineRule="auto"/>
        <w:ind w:left="651" w:hanging="284"/>
        <w:jc w:val="both"/>
        <w:rPr>
          <w:rFonts w:ascii="David" w:hAnsi="David" w:cs="David"/>
          <w:b/>
          <w:bCs/>
          <w:sz w:val="24"/>
          <w:szCs w:val="24"/>
          <w:rtl/>
        </w:rPr>
      </w:pPr>
      <w:r>
        <w:rPr>
          <w:rFonts w:ascii="David" w:hAnsi="David" w:cs="David"/>
          <w:sz w:val="24"/>
          <w:szCs w:val="24"/>
          <w:u w:val="single"/>
          <w:rtl/>
        </w:rPr>
        <w:t>פרסום סרטון מס' 23 מיום 27.12.2017</w:t>
      </w:r>
      <w:r>
        <w:rPr>
          <w:rFonts w:ascii="David" w:hAnsi="David" w:cs="David"/>
          <w:sz w:val="24"/>
          <w:szCs w:val="24"/>
          <w:rtl/>
        </w:rPr>
        <w:t>:</w:t>
      </w:r>
      <w:r>
        <w:rPr>
          <w:rFonts w:ascii="David" w:hAnsi="David" w:cs="David"/>
          <w:b/>
          <w:bCs/>
          <w:sz w:val="24"/>
          <w:szCs w:val="24"/>
          <w:rtl/>
        </w:rPr>
        <w:t xml:space="preserve"> "דוד אוחנה תתבייש לך, איש של שנאת חינם, איש של רוע, איש של מדון".</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numPr>
          <w:ilvl w:val="0"/>
          <w:numId w:val="3"/>
        </w:numPr>
        <w:spacing w:line="360" w:lineRule="auto"/>
        <w:ind w:left="651" w:hanging="284"/>
        <w:jc w:val="both"/>
        <w:rPr>
          <w:rFonts w:ascii="David" w:hAnsi="David" w:cs="David"/>
          <w:b/>
          <w:bCs/>
          <w:sz w:val="24"/>
          <w:szCs w:val="24"/>
          <w:rtl/>
        </w:rPr>
      </w:pPr>
      <w:r>
        <w:rPr>
          <w:rFonts w:ascii="David" w:hAnsi="David" w:cs="David"/>
          <w:sz w:val="24"/>
          <w:szCs w:val="24"/>
          <w:u w:val="single"/>
          <w:rtl/>
        </w:rPr>
        <w:t>פרסום סרטון מס' 24 מיום 22.12.2017</w:t>
      </w:r>
      <w:r>
        <w:rPr>
          <w:rFonts w:ascii="David" w:hAnsi="David" w:cs="David"/>
          <w:b/>
          <w:bCs/>
          <w:sz w:val="24"/>
          <w:szCs w:val="24"/>
          <w:rtl/>
        </w:rPr>
        <w:t>: "דוד אוחנה כשאנחנו נפתח את מה שאתם עושים לצדיק, כל מדינת ישראל תרעד, את הכסף שאתם גונבים מרבי מאיר, מה שאתם מעלימים שמה, את זה גם אלוהים לא יסלח לכם, חלאת המין האנושי.... ומי עומד בראש? דוד אוחנה וזגדון..".</w:t>
      </w:r>
    </w:p>
    <w:p w:rsidR="00DF588E" w:rsidRDefault="00DF588E" w:rsidP="00DF588E">
      <w:pPr>
        <w:pStyle w:val="ad"/>
        <w:spacing w:line="360" w:lineRule="auto"/>
        <w:ind w:left="1440"/>
        <w:jc w:val="both"/>
        <w:rPr>
          <w:rFonts w:ascii="David" w:hAnsi="David" w:cs="David"/>
          <w:b/>
          <w:bCs/>
          <w:sz w:val="24"/>
          <w:szCs w:val="24"/>
          <w:u w:val="single"/>
          <w:rtl/>
        </w:rPr>
      </w:pPr>
    </w:p>
    <w:p w:rsidR="00DF588E" w:rsidRDefault="00DF588E" w:rsidP="0081565E">
      <w:pPr>
        <w:pStyle w:val="ad"/>
        <w:numPr>
          <w:ilvl w:val="0"/>
          <w:numId w:val="3"/>
        </w:numPr>
        <w:spacing w:line="360" w:lineRule="auto"/>
        <w:ind w:left="651" w:hanging="284"/>
        <w:jc w:val="both"/>
        <w:rPr>
          <w:rFonts w:ascii="David" w:hAnsi="David" w:cs="David"/>
          <w:b/>
          <w:bCs/>
          <w:sz w:val="24"/>
          <w:szCs w:val="24"/>
          <w:u w:val="single"/>
          <w:rtl/>
        </w:rPr>
      </w:pPr>
      <w:r>
        <w:rPr>
          <w:rFonts w:ascii="David" w:hAnsi="David" w:cs="David"/>
          <w:sz w:val="24"/>
          <w:szCs w:val="24"/>
          <w:u w:val="single"/>
          <w:rtl/>
        </w:rPr>
        <w:t>פרסום סרטון מספר 25 מיום 30.12.2017</w:t>
      </w:r>
      <w:r>
        <w:rPr>
          <w:rFonts w:ascii="David" w:hAnsi="David" w:cs="David"/>
          <w:sz w:val="24"/>
          <w:szCs w:val="24"/>
          <w:rtl/>
        </w:rPr>
        <w:t>:</w:t>
      </w:r>
      <w:r>
        <w:rPr>
          <w:rFonts w:ascii="David" w:hAnsi="David" w:cs="David"/>
          <w:b/>
          <w:bCs/>
          <w:sz w:val="24"/>
          <w:szCs w:val="24"/>
          <w:rtl/>
        </w:rPr>
        <w:t xml:space="preserve"> "איך אפשר לקחת כסף מרבי מאיר, ערימות של כסף, חבילות. דוד אוחנה ספר לו כמה מזומן רץ שם כמה תרומות שנעלמים".</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81565E">
      <w:pPr>
        <w:pStyle w:val="ad"/>
        <w:spacing w:line="360" w:lineRule="auto"/>
        <w:ind w:left="651"/>
        <w:jc w:val="both"/>
        <w:rPr>
          <w:rFonts w:ascii="David" w:hAnsi="David" w:cs="David"/>
          <w:b/>
          <w:bCs/>
          <w:sz w:val="24"/>
          <w:szCs w:val="24"/>
          <w:rtl/>
        </w:rPr>
      </w:pPr>
      <w:r>
        <w:rPr>
          <w:rFonts w:ascii="David" w:hAnsi="David" w:cs="David"/>
          <w:sz w:val="24"/>
          <w:szCs w:val="24"/>
          <w:rtl/>
        </w:rPr>
        <w:t>ובהמשך</w:t>
      </w:r>
      <w:r>
        <w:rPr>
          <w:rFonts w:ascii="David" w:hAnsi="David" w:cs="David"/>
          <w:b/>
          <w:bCs/>
          <w:sz w:val="24"/>
          <w:szCs w:val="24"/>
          <w:rtl/>
        </w:rPr>
        <w:t xml:space="preserve"> : "אתם חושבים שדוד אוחנה מעניין אותו מה יהיה בטבריה?? לא לא מעניין אותו הוא ייקח את הקופונים שלו ולא מעניין אותו... יש הסכם בין זגדון ולדוד אוחנה שד ויבאו וימלאו את הקריה החרדים, ציבור שמה לא יתפלג... יש ביניהם הסכמים, הם פשוט נוכלים".</w:t>
      </w:r>
    </w:p>
    <w:p w:rsidR="00DF588E" w:rsidRDefault="00DF588E" w:rsidP="00DF588E">
      <w:pPr>
        <w:pStyle w:val="ad"/>
        <w:spacing w:line="360" w:lineRule="auto"/>
        <w:ind w:left="1440"/>
        <w:jc w:val="both"/>
        <w:rPr>
          <w:rFonts w:ascii="David" w:hAnsi="David" w:cs="David"/>
          <w:b/>
          <w:bCs/>
          <w:sz w:val="24"/>
          <w:szCs w:val="24"/>
          <w:rtl/>
        </w:rPr>
      </w:pPr>
    </w:p>
    <w:p w:rsidR="00DF588E" w:rsidRDefault="00DF588E" w:rsidP="00DF588E">
      <w:pPr>
        <w:pStyle w:val="ad"/>
        <w:numPr>
          <w:ilvl w:val="1"/>
          <w:numId w:val="1"/>
        </w:numPr>
        <w:spacing w:line="360" w:lineRule="auto"/>
        <w:ind w:left="226" w:hanging="425"/>
        <w:jc w:val="both"/>
        <w:rPr>
          <w:rFonts w:ascii="David" w:hAnsi="David" w:cs="David"/>
          <w:b/>
          <w:bCs/>
          <w:sz w:val="24"/>
          <w:szCs w:val="24"/>
          <w:u w:val="single"/>
          <w:rtl/>
        </w:rPr>
      </w:pPr>
      <w:r>
        <w:rPr>
          <w:rFonts w:ascii="David" w:hAnsi="David" w:cs="David"/>
          <w:b/>
          <w:bCs/>
          <w:sz w:val="24"/>
          <w:szCs w:val="24"/>
          <w:u w:val="single"/>
          <w:rtl/>
        </w:rPr>
        <w:t>קבוצת פרסומים שלישית משלוש המייחסים לתובע פרסום</w:t>
      </w:r>
      <w:r>
        <w:rPr>
          <w:rFonts w:ascii="David" w:hAnsi="David" w:cs="David"/>
          <w:b/>
          <w:bCs/>
          <w:sz w:val="24"/>
          <w:szCs w:val="24"/>
          <w:u w:val="single"/>
        </w:rPr>
        <w:t xml:space="preserve"> </w:t>
      </w:r>
      <w:r>
        <w:rPr>
          <w:rFonts w:ascii="David" w:hAnsi="David" w:cs="David"/>
          <w:b/>
          <w:bCs/>
          <w:sz w:val="24"/>
          <w:szCs w:val="24"/>
          <w:u w:val="single"/>
          <w:rtl/>
        </w:rPr>
        <w:t>של "איש</w:t>
      </w:r>
      <w:r>
        <w:rPr>
          <w:rFonts w:ascii="David" w:hAnsi="David" w:cs="David"/>
          <w:b/>
          <w:bCs/>
          <w:sz w:val="24"/>
          <w:szCs w:val="24"/>
          <w:u w:val="single"/>
        </w:rPr>
        <w:t xml:space="preserve"> </w:t>
      </w:r>
      <w:r>
        <w:rPr>
          <w:rFonts w:ascii="David" w:hAnsi="David" w:cs="David"/>
          <w:b/>
          <w:bCs/>
          <w:sz w:val="24"/>
          <w:szCs w:val="24"/>
          <w:u w:val="single"/>
          <w:rtl/>
        </w:rPr>
        <w:t>שיכור</w:t>
      </w:r>
      <w:r>
        <w:rPr>
          <w:rFonts w:ascii="David" w:hAnsi="David" w:cs="David"/>
          <w:b/>
          <w:bCs/>
          <w:sz w:val="24"/>
          <w:szCs w:val="24"/>
          <w:u w:val="single"/>
        </w:rPr>
        <w:t xml:space="preserve"> </w:t>
      </w:r>
      <w:r>
        <w:rPr>
          <w:rFonts w:ascii="David" w:hAnsi="David" w:cs="David"/>
          <w:b/>
          <w:bCs/>
          <w:sz w:val="24"/>
          <w:szCs w:val="24"/>
          <w:u w:val="single"/>
          <w:rtl/>
        </w:rPr>
        <w:t>שנתפס</w:t>
      </w:r>
      <w:r>
        <w:rPr>
          <w:rFonts w:ascii="David" w:hAnsi="David" w:cs="David"/>
          <w:b/>
          <w:bCs/>
          <w:sz w:val="24"/>
          <w:szCs w:val="24"/>
          <w:u w:val="single"/>
        </w:rPr>
        <w:t xml:space="preserve"> </w:t>
      </w:r>
      <w:r>
        <w:rPr>
          <w:rFonts w:ascii="David" w:hAnsi="David" w:cs="David"/>
          <w:b/>
          <w:bCs/>
          <w:sz w:val="24"/>
          <w:szCs w:val="24"/>
          <w:u w:val="single"/>
          <w:rtl/>
        </w:rPr>
        <w:t>במכוניתו" (פרסום תמונה):</w:t>
      </w:r>
    </w:p>
    <w:p w:rsidR="00DF588E" w:rsidRDefault="00DF588E" w:rsidP="00DF588E">
      <w:pPr>
        <w:pStyle w:val="ad"/>
        <w:spacing w:line="360" w:lineRule="auto"/>
        <w:ind w:left="226"/>
        <w:jc w:val="both"/>
        <w:rPr>
          <w:rFonts w:ascii="David" w:hAnsi="David" w:cs="David"/>
          <w:sz w:val="24"/>
          <w:szCs w:val="24"/>
        </w:rPr>
      </w:pPr>
      <w:r>
        <w:rPr>
          <w:rFonts w:ascii="David" w:hAnsi="David" w:cs="David"/>
          <w:sz w:val="24"/>
          <w:szCs w:val="24"/>
          <w:rtl/>
        </w:rPr>
        <w:t>מעט לפני הגשת תביעה זו, טען התובע כי הנתבע בחר לפרסם תמונה של אדם אחר, ולטעון בפני קוראיו כי המצלמה לכדה בעדשה את התובע נוסע שיכור במכוניתו. דבר שלטענתו לא היה ולא נברא ומהווה בנפרד לשון הרע כשלעצמו. בהמשך נטען כי הנתבע העלה סרטון שבו נראה התובע נוסע בכביש 6, ככל הנראה וכטענת התובע, כחלק ממעקבים שהוא מקיים אחריו  ושם נאמר כי "תפס אותו על חם" נוסע עם כסף ששדד (מאותה קופה של מאיר בעל הנס) והעביר ממקום למקום.</w:t>
      </w:r>
    </w:p>
    <w:p w:rsidR="00DF588E" w:rsidRDefault="00DF588E" w:rsidP="00DF588E">
      <w:pPr>
        <w:pStyle w:val="ad"/>
        <w:spacing w:line="360" w:lineRule="auto"/>
        <w:jc w:val="both"/>
        <w:rPr>
          <w:rFonts w:ascii="David" w:hAnsi="David" w:cs="David"/>
          <w:b/>
          <w:bCs/>
          <w:sz w:val="24"/>
          <w:szCs w:val="24"/>
          <w:u w:val="single"/>
          <w:rtl/>
        </w:rPr>
      </w:pPr>
    </w:p>
    <w:p w:rsidR="0081565E" w:rsidRDefault="0081565E" w:rsidP="0081565E">
      <w:pPr>
        <w:pStyle w:val="ad"/>
        <w:spacing w:line="360" w:lineRule="auto"/>
        <w:jc w:val="both"/>
        <w:rPr>
          <w:rFonts w:ascii="David" w:hAnsi="David" w:cs="David"/>
          <w:b/>
          <w:bCs/>
          <w:sz w:val="24"/>
          <w:szCs w:val="24"/>
          <w:u w:val="single"/>
          <w:rtl/>
        </w:rPr>
      </w:pPr>
    </w:p>
    <w:p w:rsidR="0081565E" w:rsidRDefault="0081565E" w:rsidP="0081565E">
      <w:pPr>
        <w:pStyle w:val="ad"/>
        <w:spacing w:line="360" w:lineRule="auto"/>
        <w:jc w:val="both"/>
        <w:rPr>
          <w:rFonts w:ascii="David" w:hAnsi="David" w:cs="David"/>
          <w:b/>
          <w:bCs/>
          <w:sz w:val="24"/>
          <w:szCs w:val="24"/>
          <w:u w:val="single"/>
          <w:rtl/>
        </w:rPr>
      </w:pPr>
    </w:p>
    <w:p w:rsidR="0081565E" w:rsidRDefault="0081565E" w:rsidP="0081565E">
      <w:pPr>
        <w:pStyle w:val="ad"/>
        <w:spacing w:line="360" w:lineRule="auto"/>
        <w:jc w:val="both"/>
        <w:rPr>
          <w:rFonts w:ascii="David" w:hAnsi="David" w:cs="David"/>
          <w:b/>
          <w:bCs/>
          <w:sz w:val="24"/>
          <w:szCs w:val="24"/>
          <w:u w:val="single"/>
          <w:rtl/>
        </w:rPr>
      </w:pPr>
    </w:p>
    <w:p w:rsidR="00DF588E" w:rsidRDefault="00DF588E" w:rsidP="00DF588E">
      <w:pPr>
        <w:pStyle w:val="ad"/>
        <w:numPr>
          <w:ilvl w:val="0"/>
          <w:numId w:val="1"/>
        </w:numPr>
        <w:spacing w:line="360" w:lineRule="auto"/>
        <w:ind w:left="-199" w:hanging="567"/>
        <w:jc w:val="both"/>
        <w:rPr>
          <w:rFonts w:ascii="David" w:hAnsi="David" w:cs="David"/>
          <w:b/>
          <w:bCs/>
          <w:sz w:val="26"/>
          <w:szCs w:val="26"/>
          <w:u w:val="single"/>
        </w:rPr>
      </w:pPr>
      <w:r>
        <w:rPr>
          <w:rFonts w:ascii="David" w:hAnsi="David" w:cs="David"/>
          <w:b/>
          <w:bCs/>
          <w:sz w:val="26"/>
          <w:szCs w:val="26"/>
          <w:u w:val="single"/>
          <w:rtl/>
        </w:rPr>
        <w:lastRenderedPageBreak/>
        <w:t>תמצית טענות הצדדים</w:t>
      </w:r>
    </w:p>
    <w:p w:rsidR="00DF588E" w:rsidRDefault="00DF588E" w:rsidP="00DF588E">
      <w:pPr>
        <w:pStyle w:val="ad"/>
        <w:numPr>
          <w:ilvl w:val="1"/>
          <w:numId w:val="1"/>
        </w:numPr>
        <w:spacing w:line="360" w:lineRule="auto"/>
        <w:ind w:left="226" w:hanging="425"/>
        <w:jc w:val="both"/>
        <w:rPr>
          <w:rFonts w:ascii="David" w:hAnsi="David" w:cs="David"/>
          <w:b/>
          <w:bCs/>
          <w:sz w:val="24"/>
          <w:szCs w:val="24"/>
          <w:u w:val="single"/>
        </w:rPr>
      </w:pPr>
      <w:r>
        <w:rPr>
          <w:rFonts w:ascii="David" w:hAnsi="David" w:cs="David"/>
          <w:b/>
          <w:bCs/>
          <w:sz w:val="24"/>
          <w:szCs w:val="24"/>
          <w:u w:val="single"/>
          <w:rtl/>
        </w:rPr>
        <w:t>תמצית טענות התובע</w:t>
      </w:r>
    </w:p>
    <w:p w:rsidR="00DF588E" w:rsidRDefault="00DF588E" w:rsidP="00DF588E">
      <w:pPr>
        <w:pStyle w:val="ad"/>
        <w:numPr>
          <w:ilvl w:val="0"/>
          <w:numId w:val="4"/>
        </w:numPr>
        <w:spacing w:line="360" w:lineRule="auto"/>
        <w:ind w:left="651" w:hanging="425"/>
        <w:jc w:val="both"/>
        <w:rPr>
          <w:rFonts w:ascii="David" w:hAnsi="David" w:cs="David"/>
          <w:sz w:val="24"/>
          <w:szCs w:val="24"/>
        </w:rPr>
      </w:pPr>
      <w:r>
        <w:rPr>
          <w:rFonts w:ascii="David" w:hAnsi="David" w:cs="David"/>
          <w:sz w:val="24"/>
          <w:szCs w:val="24"/>
          <w:rtl/>
        </w:rPr>
        <w:t>התובע, חבר מועצת עיריית טבריה טען בתביעתו כי, הנתבע 1 פועל תקופה ארוכה באופן אובססיבי בסדרת פרסומים דיבתיים שמטרתם פגיעה בשמו.</w:t>
      </w:r>
    </w:p>
    <w:p w:rsidR="00DF588E" w:rsidRDefault="00DF588E" w:rsidP="00DF588E">
      <w:pPr>
        <w:pStyle w:val="ad"/>
        <w:spacing w:line="360" w:lineRule="auto"/>
        <w:ind w:left="1080"/>
        <w:jc w:val="both"/>
        <w:rPr>
          <w:rFonts w:ascii="David" w:hAnsi="David" w:cs="David"/>
          <w:sz w:val="24"/>
          <w:szCs w:val="24"/>
          <w:rtl/>
        </w:rPr>
      </w:pPr>
    </w:p>
    <w:p w:rsidR="00DF588E" w:rsidRDefault="00DF588E" w:rsidP="0081565E">
      <w:pPr>
        <w:pStyle w:val="ad"/>
        <w:numPr>
          <w:ilvl w:val="0"/>
          <w:numId w:val="4"/>
        </w:numPr>
        <w:spacing w:line="360" w:lineRule="auto"/>
        <w:ind w:left="651" w:hanging="425"/>
        <w:jc w:val="both"/>
        <w:rPr>
          <w:rFonts w:ascii="David" w:hAnsi="David" w:cs="David"/>
          <w:b/>
          <w:bCs/>
          <w:sz w:val="24"/>
          <w:szCs w:val="24"/>
          <w:rtl/>
        </w:rPr>
      </w:pPr>
      <w:r>
        <w:rPr>
          <w:rFonts w:ascii="David" w:hAnsi="David" w:cs="David"/>
          <w:sz w:val="24"/>
          <w:szCs w:val="24"/>
          <w:rtl/>
        </w:rPr>
        <w:t>לדבריו, הנתבע 1 הוא "מכונת דיבה" "היורה בקצב אש מהיר, סדרה כמעט אינסופית של אמירות דיבה כלפיו וכלפי אחרים במינון שכמותו לא נראה בארץ". לטענתו, הפרסומים מפורסמים מידי יום, מספר פעמים ביום, במספר רב של פרסומים, מהארץ ומחו"ל, בטקסט ובתמונה וגם בווידאו, בצהריים ובערב, בפייסבוק וגם בווטסאפ."</w:t>
      </w:r>
    </w:p>
    <w:p w:rsidR="00DF588E" w:rsidRDefault="00DF588E" w:rsidP="00DF588E">
      <w:pPr>
        <w:pStyle w:val="ad"/>
        <w:spacing w:line="360" w:lineRule="auto"/>
        <w:ind w:left="1080"/>
        <w:jc w:val="both"/>
        <w:rPr>
          <w:rFonts w:ascii="David" w:hAnsi="David" w:cs="David"/>
          <w:b/>
          <w:bCs/>
          <w:sz w:val="24"/>
          <w:szCs w:val="24"/>
        </w:rPr>
      </w:pPr>
    </w:p>
    <w:p w:rsidR="00DF588E" w:rsidRDefault="00DF588E" w:rsidP="0081565E">
      <w:pPr>
        <w:pStyle w:val="ad"/>
        <w:numPr>
          <w:ilvl w:val="0"/>
          <w:numId w:val="4"/>
        </w:numPr>
        <w:spacing w:line="360" w:lineRule="auto"/>
        <w:ind w:left="651" w:hanging="425"/>
        <w:jc w:val="both"/>
        <w:rPr>
          <w:rFonts w:ascii="David" w:hAnsi="David" w:cs="David"/>
          <w:sz w:val="24"/>
          <w:szCs w:val="24"/>
        </w:rPr>
      </w:pPr>
      <w:r>
        <w:rPr>
          <w:rFonts w:ascii="David" w:hAnsi="David" w:cs="David"/>
          <w:sz w:val="24"/>
          <w:szCs w:val="24"/>
          <w:rtl/>
        </w:rPr>
        <w:t>לטענת התובע, עיקר פרסומיו המשמיצים של הנתבע 1 מועלים לקבוצת פייסבוק בניהול הנתבעים 2 ו 3- שהוקמה , על ידי הנתבעים ותחת ניהולם, המכילה כ 13,500- חברים וזוכה לאלפי צפיות, מאות תגובות ו"לייקים".</w:t>
      </w:r>
    </w:p>
    <w:p w:rsidR="00DF588E" w:rsidRDefault="00DF588E" w:rsidP="00DF588E">
      <w:pPr>
        <w:pStyle w:val="ad"/>
        <w:spacing w:line="360" w:lineRule="auto"/>
        <w:ind w:left="1080"/>
        <w:jc w:val="both"/>
        <w:rPr>
          <w:rFonts w:ascii="David" w:hAnsi="David" w:cs="David"/>
          <w:sz w:val="24"/>
          <w:szCs w:val="24"/>
        </w:rPr>
      </w:pPr>
    </w:p>
    <w:p w:rsidR="00DF588E" w:rsidRDefault="00DF588E" w:rsidP="0081565E">
      <w:pPr>
        <w:pStyle w:val="ad"/>
        <w:numPr>
          <w:ilvl w:val="0"/>
          <w:numId w:val="4"/>
        </w:numPr>
        <w:spacing w:line="360" w:lineRule="auto"/>
        <w:ind w:left="651" w:hanging="425"/>
        <w:jc w:val="both"/>
        <w:rPr>
          <w:rFonts w:ascii="David" w:hAnsi="David" w:cs="David"/>
          <w:sz w:val="24"/>
          <w:szCs w:val="24"/>
        </w:rPr>
      </w:pPr>
      <w:r>
        <w:rPr>
          <w:rFonts w:ascii="David" w:hAnsi="David" w:cs="David"/>
          <w:sz w:val="24"/>
          <w:szCs w:val="24"/>
          <w:rtl/>
        </w:rPr>
        <w:t>התובע מדגיש בתביעתו כי הפרסומים פורסמו באופן סדרתי וכחלק ממסע "שיימינג" שמנהלים הנתבעים כנגדו וכנגד נבחרי ציבור שונים בעיר. לדבריו, מדובר בפרסומים המנוסחים בלשון מתלהמת ומוגזמת, המציגים אותו ואת חבריו באור שלילי (שכן לדבריו הם מכונים "מושחתים", "עבריינים" וכיוצ"ב) ללא כל ביסוס, תוך אדישות מוחלטת לפגיעה בשמו.</w:t>
      </w:r>
    </w:p>
    <w:p w:rsidR="00DF588E" w:rsidRDefault="00DF588E" w:rsidP="00DF588E">
      <w:pPr>
        <w:pStyle w:val="ad"/>
        <w:spacing w:line="360" w:lineRule="auto"/>
        <w:ind w:left="1080"/>
        <w:jc w:val="both"/>
        <w:rPr>
          <w:rFonts w:ascii="David" w:hAnsi="David" w:cs="David"/>
          <w:sz w:val="24"/>
          <w:szCs w:val="24"/>
          <w:rtl/>
        </w:rPr>
      </w:pPr>
    </w:p>
    <w:p w:rsidR="00DF588E" w:rsidRDefault="00DF588E" w:rsidP="0081565E">
      <w:pPr>
        <w:pStyle w:val="ad"/>
        <w:numPr>
          <w:ilvl w:val="0"/>
          <w:numId w:val="4"/>
        </w:numPr>
        <w:spacing w:line="360" w:lineRule="auto"/>
        <w:ind w:left="651" w:hanging="425"/>
        <w:jc w:val="both"/>
        <w:rPr>
          <w:rFonts w:ascii="David" w:hAnsi="David" w:cs="David"/>
          <w:sz w:val="24"/>
          <w:szCs w:val="24"/>
        </w:rPr>
      </w:pPr>
      <w:r>
        <w:rPr>
          <w:rFonts w:ascii="David" w:hAnsi="David" w:cs="David"/>
          <w:sz w:val="24"/>
          <w:szCs w:val="24"/>
          <w:rtl/>
        </w:rPr>
        <w:t>התובע סבור כי, מדובר בטענות חמורות וקשות, משוללות ונעדרות בסיס עובדתי ומהוות מידע כוזב אודותיו ותפקודו כחבר מועצה, דבר שעולה לגישתו כדי פרסום לשון הרע, כהגדרתו בחוק איסור לשון הרע, תשכ"ה – 1965 ובפקודת הנזיקין (נוסח חדש) ולרבות עוולות הרשלנות.</w:t>
      </w:r>
    </w:p>
    <w:p w:rsidR="00DF588E" w:rsidRDefault="00DF588E" w:rsidP="00DF588E">
      <w:pPr>
        <w:pStyle w:val="ad"/>
        <w:jc w:val="both"/>
        <w:rPr>
          <w:rFonts w:ascii="David" w:hAnsi="David" w:cs="David"/>
          <w:sz w:val="24"/>
          <w:szCs w:val="24"/>
        </w:rPr>
      </w:pPr>
    </w:p>
    <w:p w:rsidR="00DF588E" w:rsidRDefault="00DF588E" w:rsidP="0081565E">
      <w:pPr>
        <w:pStyle w:val="ad"/>
        <w:numPr>
          <w:ilvl w:val="0"/>
          <w:numId w:val="4"/>
        </w:numPr>
        <w:spacing w:line="360" w:lineRule="auto"/>
        <w:ind w:left="651" w:hanging="425"/>
        <w:jc w:val="both"/>
        <w:rPr>
          <w:rFonts w:ascii="David" w:hAnsi="David" w:cs="David"/>
          <w:sz w:val="24"/>
          <w:szCs w:val="24"/>
          <w:rtl/>
        </w:rPr>
      </w:pPr>
      <w:r>
        <w:rPr>
          <w:rFonts w:ascii="David" w:hAnsi="David" w:cs="David"/>
          <w:sz w:val="24"/>
          <w:szCs w:val="24"/>
          <w:rtl/>
        </w:rPr>
        <w:t>עוד נטען בתביעתה כי בבעלותו של התובע מכונית מדגם "לקסוס" שנת ייצור 2010, ושוויה כמה עשרות אלפי שקלים לכל היותר. לדברי התובע, דגמי "לקסוס" חדשים ומתקדמים עשויים להיחשב כמכוניות יוקרה ועם זאת, רכבו אינו רכב יוקרה, אינו יוקרתי, אינו שווה יותר מכמה עשרות אלפים, והדבר לא מונע מהנתבע 1 לחזור ולהציגו בתור "דוד לקסוס", במטרה להחדיר לראשם של קוראיו כאילו הוא נוסע ברכב יוקרה, שלכאורה אינו הולם את משכורתו מעבודתו ואת היותו חבר מועצה בהתנדבות בעיר. לגישתו במילים אחרות: הנתבע 1 מבקש לייצר לו תדמית מושחתת המבוססת על דגם מכוניתו, באופן פוגעני, כשהוא פולש לפרטיותו .</w:t>
      </w:r>
    </w:p>
    <w:p w:rsidR="00DF588E" w:rsidRDefault="00DF588E" w:rsidP="00DF588E">
      <w:pPr>
        <w:pStyle w:val="ad"/>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b/>
          <w:bCs/>
          <w:sz w:val="24"/>
          <w:szCs w:val="24"/>
          <w:u w:val="single"/>
          <w:rtl/>
        </w:rPr>
      </w:pPr>
      <w:r>
        <w:rPr>
          <w:rFonts w:ascii="David" w:hAnsi="David" w:cs="David"/>
          <w:b/>
          <w:bCs/>
          <w:sz w:val="24"/>
          <w:szCs w:val="24"/>
          <w:u w:val="single"/>
          <w:rtl/>
        </w:rPr>
        <w:t>תמצית טענות הנתבעים</w:t>
      </w:r>
    </w:p>
    <w:p w:rsidR="00DF588E" w:rsidRDefault="00DF588E" w:rsidP="0081565E">
      <w:pPr>
        <w:pStyle w:val="ad"/>
        <w:numPr>
          <w:ilvl w:val="0"/>
          <w:numId w:val="5"/>
        </w:numPr>
        <w:spacing w:line="360" w:lineRule="auto"/>
        <w:ind w:left="651" w:hanging="425"/>
        <w:jc w:val="both"/>
        <w:rPr>
          <w:rFonts w:ascii="David" w:hAnsi="David" w:cs="David"/>
          <w:sz w:val="24"/>
          <w:szCs w:val="24"/>
        </w:rPr>
      </w:pPr>
      <w:r>
        <w:rPr>
          <w:rFonts w:ascii="David" w:hAnsi="David" w:cs="David"/>
          <w:sz w:val="24"/>
          <w:szCs w:val="24"/>
          <w:rtl/>
        </w:rPr>
        <w:t>לטענת הנתבעים, מהותה של תביעה זו היא לחבל בסיכויו של הנתבע 1 במסגרת התמודדותו לתפקיד ראשות עיריית טבריה.</w:t>
      </w:r>
    </w:p>
    <w:p w:rsidR="00DF588E" w:rsidRDefault="00DF588E" w:rsidP="00DF588E">
      <w:pPr>
        <w:pStyle w:val="ad"/>
        <w:spacing w:line="360" w:lineRule="auto"/>
        <w:ind w:left="1080"/>
        <w:jc w:val="both"/>
        <w:rPr>
          <w:rFonts w:ascii="David" w:hAnsi="David" w:cs="David"/>
          <w:sz w:val="24"/>
          <w:szCs w:val="24"/>
        </w:rPr>
      </w:pPr>
    </w:p>
    <w:p w:rsidR="00DF588E" w:rsidRDefault="00DF588E" w:rsidP="0081565E">
      <w:pPr>
        <w:pStyle w:val="ad"/>
        <w:numPr>
          <w:ilvl w:val="0"/>
          <w:numId w:val="5"/>
        </w:numPr>
        <w:spacing w:line="360" w:lineRule="auto"/>
        <w:ind w:left="651" w:hanging="425"/>
        <w:jc w:val="both"/>
        <w:rPr>
          <w:rFonts w:ascii="David" w:hAnsi="David" w:cs="David"/>
          <w:sz w:val="24"/>
          <w:szCs w:val="24"/>
        </w:rPr>
      </w:pPr>
      <w:r>
        <w:rPr>
          <w:rFonts w:ascii="David" w:hAnsi="David" w:cs="David"/>
          <w:sz w:val="24"/>
          <w:szCs w:val="24"/>
          <w:rtl/>
        </w:rPr>
        <w:t xml:space="preserve">לגישתם, תביעה זו היא תביעה נוספת בשרשרת של תביעות השתקה אשר מוגשות בתקופה האחרונה כנגד הנתבע 1 אשר פעיל חברתי מוביל בעיר טבריה. לטענתם, אותם אנשי ציבור אינם </w:t>
      </w:r>
      <w:r>
        <w:rPr>
          <w:rFonts w:ascii="David" w:hAnsi="David" w:cs="David"/>
          <w:sz w:val="24"/>
          <w:szCs w:val="24"/>
          <w:rtl/>
        </w:rPr>
        <w:lastRenderedPageBreak/>
        <w:t>מסוגלים לספוג ביקורת ציבורית לגיטימית, אינם יכולים לשאת את העובדה כי הנתבע 1 הוא המועמד המוביל לראות העיר טבריה, ובוחרים לעשות שימוש לרעה בהליכי משפט כדי לפגוע בחופש הביטוי של הנתבע 1 ולפגוע במועמדו של הנתבע 1 לתפקיד ראשות העיר טבריה.</w:t>
      </w:r>
    </w:p>
    <w:p w:rsidR="00DF588E" w:rsidRDefault="00DF588E" w:rsidP="00DF588E">
      <w:pPr>
        <w:pStyle w:val="ad"/>
        <w:rPr>
          <w:rFonts w:ascii="David" w:hAnsi="David" w:cs="David"/>
          <w:sz w:val="24"/>
          <w:szCs w:val="24"/>
        </w:rPr>
      </w:pPr>
    </w:p>
    <w:p w:rsidR="00DF588E" w:rsidRDefault="00DF588E" w:rsidP="0081565E">
      <w:pPr>
        <w:pStyle w:val="ad"/>
        <w:numPr>
          <w:ilvl w:val="0"/>
          <w:numId w:val="5"/>
        </w:numPr>
        <w:spacing w:line="360" w:lineRule="auto"/>
        <w:ind w:left="651" w:hanging="425"/>
        <w:jc w:val="both"/>
        <w:rPr>
          <w:rFonts w:ascii="David" w:hAnsi="David" w:cs="David"/>
          <w:sz w:val="24"/>
          <w:szCs w:val="24"/>
          <w:rtl/>
        </w:rPr>
      </w:pPr>
      <w:r>
        <w:rPr>
          <w:rFonts w:ascii="David" w:hAnsi="David" w:cs="David"/>
          <w:sz w:val="24"/>
          <w:szCs w:val="24"/>
          <w:rtl/>
        </w:rPr>
        <w:t>הנתבעים מציינים בכתב הגנתם כי, אותם גורמים אשר מעוניינים בהשתקתו של הנתבע 1 ובהשתקת כל ביקורת ציבורית לגיטימית ואשר שמו לעצמם לחבל במועמדותו של הנתבע 1 לראשות העיר טבריה- החליטו לעלות שלב ובחרו לפעול גם כנגד אחיו של הנתבע 1, הוא הנתבע 2 וכנגד גיסתו של הנתבע 1 ,היא הנתבעת 3.</w:t>
      </w:r>
    </w:p>
    <w:p w:rsidR="00DF588E" w:rsidRDefault="00DF588E" w:rsidP="00DF588E">
      <w:pPr>
        <w:pStyle w:val="ad"/>
        <w:rPr>
          <w:rFonts w:ascii="David" w:hAnsi="David" w:cs="David"/>
          <w:sz w:val="24"/>
          <w:szCs w:val="24"/>
        </w:rPr>
      </w:pPr>
    </w:p>
    <w:p w:rsidR="00DF588E" w:rsidRDefault="00DF588E" w:rsidP="0081565E">
      <w:pPr>
        <w:pStyle w:val="ad"/>
        <w:numPr>
          <w:ilvl w:val="0"/>
          <w:numId w:val="5"/>
        </w:numPr>
        <w:spacing w:line="360" w:lineRule="auto"/>
        <w:ind w:left="651" w:hanging="425"/>
        <w:jc w:val="both"/>
        <w:rPr>
          <w:rFonts w:ascii="David" w:hAnsi="David" w:cs="David"/>
          <w:sz w:val="24"/>
          <w:szCs w:val="24"/>
          <w:rtl/>
        </w:rPr>
      </w:pPr>
      <w:r>
        <w:rPr>
          <w:rFonts w:ascii="David" w:hAnsi="David" w:cs="David"/>
          <w:sz w:val="24"/>
          <w:szCs w:val="24"/>
          <w:rtl/>
        </w:rPr>
        <w:t>על כן, הנתבעים סבורים כי, תביעה זו כיתר התביעות אשר הוגשו , היא תביעה קנטרנית וטורדנית אשר כל מהותה הוא ניסיון לשימוש לרעה בהליכי משפט ולמנוע מהנתבע 1 להמשיך בפעילותו הציבורית וכך לפגוע במועמדותו לראשות העיר טבריה.</w:t>
      </w:r>
    </w:p>
    <w:p w:rsidR="00DF588E" w:rsidRDefault="00DF588E" w:rsidP="00DF588E">
      <w:pPr>
        <w:pStyle w:val="ad"/>
        <w:rPr>
          <w:rFonts w:ascii="David" w:hAnsi="David" w:cs="David"/>
          <w:sz w:val="24"/>
          <w:szCs w:val="24"/>
        </w:rPr>
      </w:pPr>
    </w:p>
    <w:p w:rsidR="00DF588E" w:rsidRDefault="00DF588E" w:rsidP="0081565E">
      <w:pPr>
        <w:pStyle w:val="ad"/>
        <w:numPr>
          <w:ilvl w:val="0"/>
          <w:numId w:val="5"/>
        </w:numPr>
        <w:spacing w:line="360" w:lineRule="auto"/>
        <w:ind w:left="651" w:hanging="425"/>
        <w:jc w:val="both"/>
        <w:rPr>
          <w:rFonts w:ascii="David" w:hAnsi="David" w:cs="David"/>
          <w:sz w:val="24"/>
          <w:szCs w:val="24"/>
          <w:rtl/>
        </w:rPr>
      </w:pPr>
      <w:r>
        <w:rPr>
          <w:rFonts w:ascii="David" w:hAnsi="David" w:cs="David"/>
          <w:sz w:val="24"/>
          <w:szCs w:val="24"/>
          <w:rtl/>
        </w:rPr>
        <w:t>לגישתו של הנתבע 1, יש בתזמון האמור כדי להעיד על מהותה האמיתי של תביעה זו. שכן תביעה זו הוגשה בסמוך למועד שבו הכריז  על כוונתו להתמודד על ראשות עיריית טבריה בבחירות הקרובות ולאחר שהסתמן כי הוא המועמד המוביל לתפקיד.</w:t>
      </w:r>
    </w:p>
    <w:p w:rsidR="00DF588E" w:rsidRDefault="00DF588E" w:rsidP="00DF588E">
      <w:pPr>
        <w:pStyle w:val="ad"/>
        <w:spacing w:line="360" w:lineRule="auto"/>
        <w:ind w:left="1080"/>
        <w:jc w:val="both"/>
        <w:rPr>
          <w:rFonts w:ascii="David" w:hAnsi="David" w:cs="David"/>
          <w:sz w:val="24"/>
          <w:szCs w:val="24"/>
        </w:rPr>
      </w:pPr>
    </w:p>
    <w:p w:rsidR="00DF588E" w:rsidRDefault="00DF588E" w:rsidP="0081565E">
      <w:pPr>
        <w:pStyle w:val="ad"/>
        <w:numPr>
          <w:ilvl w:val="0"/>
          <w:numId w:val="5"/>
        </w:numPr>
        <w:spacing w:line="360" w:lineRule="auto"/>
        <w:ind w:left="651" w:hanging="425"/>
        <w:jc w:val="both"/>
        <w:rPr>
          <w:rFonts w:ascii="David" w:hAnsi="David" w:cs="David"/>
          <w:sz w:val="24"/>
          <w:szCs w:val="24"/>
        </w:rPr>
      </w:pPr>
      <w:r>
        <w:rPr>
          <w:rFonts w:ascii="David" w:hAnsi="David" w:cs="David"/>
          <w:sz w:val="24"/>
          <w:szCs w:val="24"/>
          <w:rtl/>
        </w:rPr>
        <w:t>לדברי הנתבע, קבוצת הפייסבוק משמשת כלי ביקורת משמעותי ומרכזי בעיר טבריה, "ומטרתה לחשוף ולהילחם במעשי השחיתות הציבורית אשר מתבצעים בעיר". במסגרת קבוצת הפייסבוק נערכים שידורים חיים בלייב ושידורים אלה זוכים לפופולריות עצומה והדים ארציים ומקומיים.</w:t>
      </w:r>
    </w:p>
    <w:p w:rsidR="00DF588E" w:rsidRDefault="00DF588E" w:rsidP="00DF588E">
      <w:pPr>
        <w:pStyle w:val="ad"/>
        <w:rPr>
          <w:rFonts w:ascii="David" w:hAnsi="David" w:cs="David"/>
          <w:sz w:val="24"/>
          <w:szCs w:val="24"/>
        </w:rPr>
      </w:pPr>
    </w:p>
    <w:p w:rsidR="00DF588E" w:rsidRDefault="00DF588E" w:rsidP="0081565E">
      <w:pPr>
        <w:pStyle w:val="ad"/>
        <w:numPr>
          <w:ilvl w:val="0"/>
          <w:numId w:val="5"/>
        </w:numPr>
        <w:spacing w:line="360" w:lineRule="auto"/>
        <w:ind w:left="651" w:hanging="425"/>
        <w:jc w:val="both"/>
        <w:rPr>
          <w:rFonts w:ascii="David" w:hAnsi="David" w:cs="David"/>
          <w:sz w:val="24"/>
          <w:szCs w:val="24"/>
          <w:rtl/>
        </w:rPr>
      </w:pPr>
      <w:r>
        <w:rPr>
          <w:rFonts w:ascii="David" w:hAnsi="David" w:cs="David"/>
          <w:sz w:val="24"/>
          <w:szCs w:val="24"/>
          <w:rtl/>
        </w:rPr>
        <w:t>עוד נטען בכתב ההגנה כי הנתבע 1 מקיים קשר ישיר עם רשויות החוק לרבות משטרה, משרדי ממשלה ומעביר חומרים רבים למבקר המדינה וכן עותר בעצמו לבתי המשפט המנהלי בעניינים כעותר ציבורי בענייני שחיתות בעיריית טבריה ומוסדותיה. לדבריו, עובדה זו גורמת לאי נחת רבה לתובע ולחבריו .</w:t>
      </w:r>
    </w:p>
    <w:p w:rsidR="00DF588E" w:rsidRDefault="00DF588E" w:rsidP="00DF588E">
      <w:pPr>
        <w:pStyle w:val="ad"/>
        <w:rPr>
          <w:rFonts w:ascii="David" w:hAnsi="David" w:cs="David"/>
          <w:sz w:val="24"/>
          <w:szCs w:val="24"/>
        </w:rPr>
      </w:pPr>
    </w:p>
    <w:p w:rsidR="00DF588E" w:rsidRDefault="00DF588E" w:rsidP="0081565E">
      <w:pPr>
        <w:pStyle w:val="ad"/>
        <w:numPr>
          <w:ilvl w:val="0"/>
          <w:numId w:val="5"/>
        </w:numPr>
        <w:spacing w:line="360" w:lineRule="auto"/>
        <w:ind w:left="651" w:hanging="425"/>
        <w:jc w:val="both"/>
        <w:rPr>
          <w:rFonts w:ascii="David" w:hAnsi="David" w:cs="David"/>
          <w:sz w:val="24"/>
          <w:szCs w:val="24"/>
          <w:rtl/>
        </w:rPr>
      </w:pPr>
      <w:r>
        <w:rPr>
          <w:rFonts w:ascii="David" w:hAnsi="David" w:cs="David"/>
          <w:sz w:val="24"/>
          <w:szCs w:val="24"/>
          <w:rtl/>
        </w:rPr>
        <w:t>בייחס לנתבעים 2 ו-3 נטען כי הם אינם קשורים כלל לתביעה וכל חטאם הוא שפרופיל הפייסבוק של הנתבע 2 צורף בעבר כמנהל לקבוצה אך רק למטרה פרוצדורלית הקשורה בתקלות שעלולות להיגרם לפרופיל הפייסבוק של הנתבע 1 , ואילו כל חטאה של הנתבעת 3 הוא ששמה מופיע בפרופיל של בעלה, לדברי הנתבע היא כלל אינה מעורבת בדבר ואין לה שום קשר. הנתבע 1 הדגיש כי הוא "הרוח השולטת בדף הפייסבוק" המדובר וכי הפרסומים כולם מיוחסים אליו ולנתבעים 2 ו 3- אין אפשרות להסיר את הפרסומים אפילו אם רצו והם צורפו כנתבעים רק על מנת לנסות ולהצר את צעדיו.</w:t>
      </w:r>
    </w:p>
    <w:p w:rsidR="00DF588E" w:rsidRDefault="00DF588E" w:rsidP="00DF588E">
      <w:pPr>
        <w:pStyle w:val="ad"/>
        <w:rPr>
          <w:rFonts w:ascii="David" w:hAnsi="David" w:cs="David"/>
          <w:sz w:val="24"/>
          <w:szCs w:val="24"/>
        </w:rPr>
      </w:pPr>
    </w:p>
    <w:p w:rsidR="00DF588E" w:rsidRDefault="00DF588E" w:rsidP="0081565E">
      <w:pPr>
        <w:pStyle w:val="ad"/>
        <w:numPr>
          <w:ilvl w:val="0"/>
          <w:numId w:val="5"/>
        </w:numPr>
        <w:spacing w:line="360" w:lineRule="auto"/>
        <w:ind w:left="651" w:hanging="425"/>
        <w:jc w:val="both"/>
        <w:rPr>
          <w:rFonts w:ascii="David" w:hAnsi="David" w:cs="David"/>
          <w:sz w:val="24"/>
          <w:szCs w:val="24"/>
          <w:rtl/>
        </w:rPr>
      </w:pPr>
      <w:r>
        <w:rPr>
          <w:rFonts w:ascii="David" w:hAnsi="David" w:cs="David"/>
          <w:sz w:val="24"/>
          <w:szCs w:val="24"/>
          <w:rtl/>
        </w:rPr>
        <w:t xml:space="preserve">לגופה של התובענה, נטען כי אין בפרסומים נשוא התובענה כדי להוות לשון הרע כהגדרתו בחוק ולחילופין טוענים הנתבעים כי ברשותם ראיות, הקלטות ומסמכים אשר יש בהם כדי להוכיח את טענותיהם וכי עומדות להם, יחד ולחוד, ההגנות הקבועות בסעיפים 14-16 לחוק איסור לשון הרע. </w:t>
      </w:r>
    </w:p>
    <w:p w:rsidR="00DF588E" w:rsidRDefault="00DF588E" w:rsidP="00DF588E">
      <w:pPr>
        <w:pStyle w:val="ad"/>
        <w:rPr>
          <w:rFonts w:ascii="David" w:hAnsi="David" w:cs="David"/>
          <w:sz w:val="24"/>
          <w:szCs w:val="24"/>
        </w:rPr>
      </w:pPr>
    </w:p>
    <w:p w:rsidR="00DF588E" w:rsidRDefault="00DF588E" w:rsidP="0081565E">
      <w:pPr>
        <w:pStyle w:val="ad"/>
        <w:numPr>
          <w:ilvl w:val="0"/>
          <w:numId w:val="5"/>
        </w:numPr>
        <w:spacing w:line="360" w:lineRule="auto"/>
        <w:ind w:left="651" w:hanging="425"/>
        <w:jc w:val="both"/>
        <w:rPr>
          <w:rFonts w:ascii="David" w:hAnsi="David" w:cs="David"/>
          <w:sz w:val="24"/>
          <w:szCs w:val="24"/>
          <w:rtl/>
        </w:rPr>
      </w:pPr>
      <w:r>
        <w:rPr>
          <w:rFonts w:ascii="David" w:hAnsi="David" w:cs="David"/>
          <w:sz w:val="24"/>
          <w:szCs w:val="24"/>
          <w:rtl/>
        </w:rPr>
        <w:t xml:space="preserve">הנתבעים אף מדגישים כי מבקר המדינה קבע שהתובע פגע באמון הציבור והפר את חובת הנאמנות החלה עליו בתור איש ציבור וכן כי מבקר המדינה הוא זה שקבע כי התובע פעל בניגוד עניינים חמור והשתתף תחת כובעו כחבר מועצה בישיבות אשר עסקו בתשלום חובות של העמותה אשר במסגרתה הוא פעיל מרכזי. </w:t>
      </w:r>
    </w:p>
    <w:p w:rsidR="00DF588E" w:rsidRDefault="00DF588E" w:rsidP="00DF588E">
      <w:pPr>
        <w:pStyle w:val="ad"/>
        <w:rPr>
          <w:rFonts w:ascii="David" w:hAnsi="David" w:cs="David"/>
          <w:sz w:val="24"/>
          <w:szCs w:val="24"/>
        </w:rPr>
      </w:pPr>
    </w:p>
    <w:p w:rsidR="00DF588E" w:rsidRDefault="00DF588E" w:rsidP="00DF588E">
      <w:pPr>
        <w:pStyle w:val="10"/>
        <w:spacing w:line="360" w:lineRule="auto"/>
        <w:ind w:hanging="1345"/>
        <w:jc w:val="both"/>
        <w:rPr>
          <w:rFonts w:ascii="David" w:hAnsi="David" w:cs="David"/>
          <w:sz w:val="24"/>
          <w:szCs w:val="24"/>
          <w:rtl/>
        </w:rPr>
      </w:pPr>
      <w:r>
        <w:rPr>
          <w:rFonts w:ascii="David" w:hAnsi="David" w:cs="David"/>
          <w:b/>
          <w:bCs/>
          <w:sz w:val="24"/>
          <w:szCs w:val="24"/>
          <w:rtl/>
        </w:rPr>
        <w:t>אין בכך כדי להביא מלוא טענות הצדדים אך די בכך כדי להציב המסד להמשך פסק הדין.</w:t>
      </w:r>
    </w:p>
    <w:p w:rsidR="00DF588E" w:rsidRDefault="00DF588E" w:rsidP="00DF588E">
      <w:pPr>
        <w:pStyle w:val="ad"/>
        <w:spacing w:line="360" w:lineRule="auto"/>
        <w:ind w:left="-739"/>
        <w:jc w:val="both"/>
        <w:rPr>
          <w:rFonts w:ascii="David" w:hAnsi="David" w:cs="David"/>
          <w:b/>
          <w:bCs/>
          <w:sz w:val="28"/>
          <w:szCs w:val="28"/>
          <w:u w:val="single"/>
          <w:rtl/>
        </w:rPr>
      </w:pPr>
    </w:p>
    <w:p w:rsidR="00DF588E" w:rsidRDefault="00DF588E" w:rsidP="00DF588E">
      <w:pPr>
        <w:pStyle w:val="ad"/>
        <w:spacing w:line="360" w:lineRule="auto"/>
        <w:ind w:left="-739"/>
        <w:jc w:val="both"/>
        <w:rPr>
          <w:rFonts w:ascii="David" w:hAnsi="David" w:cs="David"/>
          <w:b/>
          <w:bCs/>
          <w:sz w:val="28"/>
          <w:szCs w:val="28"/>
          <w:u w:val="single"/>
          <w:rtl/>
        </w:rPr>
      </w:pPr>
      <w:r>
        <w:rPr>
          <w:rFonts w:ascii="David" w:hAnsi="David" w:cs="David"/>
          <w:b/>
          <w:bCs/>
          <w:sz w:val="28"/>
          <w:szCs w:val="28"/>
          <w:u w:val="single"/>
          <w:rtl/>
        </w:rPr>
        <w:t>חלק שלישי- דיון והכרעה</w:t>
      </w:r>
    </w:p>
    <w:p w:rsidR="00DF588E" w:rsidRDefault="0081565E" w:rsidP="00DF588E">
      <w:pPr>
        <w:pStyle w:val="ad"/>
        <w:numPr>
          <w:ilvl w:val="0"/>
          <w:numId w:val="1"/>
        </w:numPr>
        <w:spacing w:line="360" w:lineRule="auto"/>
        <w:ind w:left="-199" w:hanging="567"/>
        <w:jc w:val="both"/>
        <w:rPr>
          <w:rFonts w:ascii="David" w:eastAsia="Times New Roman" w:hAnsi="David" w:cs="David"/>
          <w:b/>
          <w:bCs/>
          <w:sz w:val="24"/>
          <w:szCs w:val="24"/>
          <w:u w:val="single"/>
          <w:rtl/>
        </w:rPr>
      </w:pPr>
      <w:r>
        <w:rPr>
          <w:rFonts w:ascii="David" w:eastAsia="Times New Roman" w:hAnsi="David" w:cs="David" w:hint="cs"/>
          <w:b/>
          <w:bCs/>
          <w:sz w:val="24"/>
          <w:szCs w:val="24"/>
          <w:u w:val="single"/>
          <w:rtl/>
        </w:rPr>
        <w:t xml:space="preserve">הפרסומים </w:t>
      </w:r>
      <w:r w:rsidR="00DF588E">
        <w:rPr>
          <w:rFonts w:ascii="David" w:eastAsia="Times New Roman" w:hAnsi="David" w:cs="David"/>
          <w:b/>
          <w:bCs/>
          <w:sz w:val="24"/>
          <w:szCs w:val="24"/>
          <w:u w:val="single"/>
          <w:rtl/>
        </w:rPr>
        <w:t>עולים כדי לשון הרע והנתבע 1 עוול בעוולת לשון הרע</w:t>
      </w: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eastAsia="Times New Roman" w:hAnsi="David" w:cs="David"/>
          <w:sz w:val="24"/>
          <w:szCs w:val="24"/>
          <w:rtl/>
        </w:rPr>
        <w:t>יאמר כבר עתה כי הפרסומים המכפישים עולים כדי לשון הרע. ממקרא הפרסומים עולה תמונה חד משמעית כי אלו נועדו כדי להכפיש את שמו של התובע , לבזותו ולגרום לו ללעג.  הרושם המתקבל ממקרא הפרסומים הוא שהתובע מוצג כ</w:t>
      </w:r>
      <w:r>
        <w:rPr>
          <w:rFonts w:ascii="David" w:hAnsi="David" w:cs="David"/>
          <w:sz w:val="24"/>
          <w:szCs w:val="24"/>
          <w:rtl/>
        </w:rPr>
        <w:t>איש מושחת שמועל בכספי הציבור ומתעשר על חשבונם</w:t>
      </w:r>
      <w:r>
        <w:rPr>
          <w:rFonts w:ascii="David" w:eastAsia="Times New Roman" w:hAnsi="David" w:cs="David"/>
          <w:sz w:val="24"/>
          <w:szCs w:val="24"/>
          <w:rtl/>
        </w:rPr>
        <w:t xml:space="preserve">, הפרסומים מייחסים לתובע האשמות פליליות וביניהן, </w:t>
      </w:r>
      <w:r>
        <w:rPr>
          <w:rFonts w:ascii="David" w:hAnsi="David" w:cs="David"/>
          <w:sz w:val="24"/>
          <w:szCs w:val="24"/>
          <w:rtl/>
        </w:rPr>
        <w:t xml:space="preserve">האשמות חמורות של שיתוף פעולה בזיוף מסמכים והונאה </w:t>
      </w:r>
      <w:r>
        <w:rPr>
          <w:rFonts w:ascii="David" w:eastAsia="Times New Roman" w:hAnsi="David" w:cs="David"/>
          <w:sz w:val="24"/>
          <w:szCs w:val="24"/>
          <w:rtl/>
        </w:rPr>
        <w:t xml:space="preserve">. כמו כן, הפרסומים מייחסים לתובע </w:t>
      </w:r>
      <w:r>
        <w:rPr>
          <w:rFonts w:ascii="David" w:hAnsi="David" w:cs="David"/>
          <w:sz w:val="24"/>
          <w:szCs w:val="24"/>
          <w:rtl/>
        </w:rPr>
        <w:t>מעשי שחיתות ומרמה</w:t>
      </w:r>
      <w:r>
        <w:rPr>
          <w:rFonts w:ascii="David" w:eastAsia="Times New Roman" w:hAnsi="David" w:cs="David"/>
          <w:sz w:val="24"/>
          <w:szCs w:val="24"/>
          <w:rtl/>
        </w:rPr>
        <w:t>, מעשי "קומבינות" ו</w:t>
      </w:r>
      <w:r>
        <w:rPr>
          <w:rFonts w:ascii="David" w:hAnsi="David" w:cs="David"/>
          <w:sz w:val="24"/>
          <w:szCs w:val="24"/>
          <w:rtl/>
        </w:rPr>
        <w:t>פרשות מפוקפקות</w:t>
      </w:r>
      <w:r>
        <w:rPr>
          <w:rFonts w:ascii="David" w:eastAsia="Times New Roman" w:hAnsi="David" w:cs="David"/>
          <w:sz w:val="24"/>
          <w:szCs w:val="24"/>
          <w:rtl/>
        </w:rPr>
        <w:t>. הפרסומים אף מציגים את התובע כאדם ש</w:t>
      </w:r>
      <w:r>
        <w:rPr>
          <w:rFonts w:ascii="David" w:hAnsi="David" w:cs="David"/>
          <w:sz w:val="24"/>
          <w:szCs w:val="24"/>
          <w:rtl/>
        </w:rPr>
        <w:t xml:space="preserve">משתמש ב"איומים" </w:t>
      </w:r>
      <w:r>
        <w:rPr>
          <w:rFonts w:ascii="David" w:eastAsia="Times New Roman" w:hAnsi="David" w:cs="David"/>
          <w:sz w:val="24"/>
          <w:szCs w:val="24"/>
          <w:rtl/>
        </w:rPr>
        <w:t xml:space="preserve">וכן כאדם שמשתמש </w:t>
      </w:r>
      <w:r>
        <w:rPr>
          <w:rFonts w:ascii="David" w:hAnsi="David" w:cs="David"/>
          <w:sz w:val="24"/>
          <w:szCs w:val="24"/>
          <w:rtl/>
        </w:rPr>
        <w:t>בכספים באופן לא חוקי,  זאת לצד הצגתו כמי שמעלים</w:t>
      </w:r>
      <w:r>
        <w:rPr>
          <w:rFonts w:ascii="David" w:hAnsi="David" w:cs="David"/>
          <w:sz w:val="24"/>
          <w:szCs w:val="24"/>
        </w:rPr>
        <w:t xml:space="preserve"> </w:t>
      </w:r>
      <w:r>
        <w:rPr>
          <w:rFonts w:ascii="David" w:hAnsi="David" w:cs="David"/>
          <w:sz w:val="24"/>
          <w:szCs w:val="24"/>
          <w:rtl/>
        </w:rPr>
        <w:t>תשלומי</w:t>
      </w:r>
      <w:r>
        <w:rPr>
          <w:rFonts w:ascii="David" w:hAnsi="David" w:cs="David"/>
          <w:sz w:val="24"/>
          <w:szCs w:val="24"/>
        </w:rPr>
        <w:t xml:space="preserve"> </w:t>
      </w:r>
      <w:r>
        <w:rPr>
          <w:rFonts w:ascii="David" w:hAnsi="David" w:cs="David"/>
          <w:sz w:val="24"/>
          <w:szCs w:val="24"/>
          <w:rtl/>
        </w:rPr>
        <w:t>ארנונה</w:t>
      </w:r>
      <w:r>
        <w:rPr>
          <w:rFonts w:ascii="David" w:hAnsi="David" w:cs="David"/>
          <w:sz w:val="24"/>
          <w:szCs w:val="24"/>
        </w:rPr>
        <w:t xml:space="preserve"> </w:t>
      </w:r>
      <w:r>
        <w:rPr>
          <w:rFonts w:ascii="David" w:hAnsi="David" w:cs="David"/>
          <w:sz w:val="24"/>
          <w:szCs w:val="24"/>
          <w:rtl/>
        </w:rPr>
        <w:t>בדרכים</w:t>
      </w:r>
      <w:r>
        <w:rPr>
          <w:rFonts w:ascii="David" w:hAnsi="David" w:cs="David"/>
          <w:sz w:val="24"/>
          <w:szCs w:val="24"/>
        </w:rPr>
        <w:t xml:space="preserve"> </w:t>
      </w:r>
      <w:r>
        <w:rPr>
          <w:rFonts w:ascii="David" w:hAnsi="David" w:cs="David"/>
          <w:sz w:val="24"/>
          <w:szCs w:val="24"/>
          <w:rtl/>
        </w:rPr>
        <w:t>לא</w:t>
      </w:r>
      <w:r>
        <w:rPr>
          <w:rFonts w:ascii="David" w:hAnsi="David" w:cs="David"/>
          <w:sz w:val="24"/>
          <w:szCs w:val="24"/>
        </w:rPr>
        <w:t xml:space="preserve"> </w:t>
      </w:r>
      <w:r>
        <w:rPr>
          <w:rFonts w:ascii="David" w:hAnsi="David" w:cs="David"/>
          <w:sz w:val="24"/>
          <w:szCs w:val="24"/>
          <w:rtl/>
        </w:rPr>
        <w:t>חוקיות וכיוצ"ב.</w:t>
      </w:r>
    </w:p>
    <w:p w:rsidR="00DF588E" w:rsidRDefault="00DF588E" w:rsidP="00DF588E">
      <w:pPr>
        <w:pStyle w:val="ad"/>
        <w:rPr>
          <w:rFonts w:ascii="David" w:eastAsia="Times New Roman" w:hAnsi="David" w:cs="David"/>
          <w:sz w:val="24"/>
          <w:szCs w:val="24"/>
        </w:rPr>
      </w:pPr>
    </w:p>
    <w:p w:rsidR="00DF588E" w:rsidRDefault="00DF588E" w:rsidP="00DF588E">
      <w:pPr>
        <w:pStyle w:val="ad"/>
        <w:numPr>
          <w:ilvl w:val="1"/>
          <w:numId w:val="1"/>
        </w:numPr>
        <w:spacing w:line="360" w:lineRule="auto"/>
        <w:ind w:left="226" w:hanging="425"/>
        <w:jc w:val="both"/>
        <w:rPr>
          <w:rFonts w:ascii="David" w:eastAsia="Times New Roman" w:hAnsi="David" w:cs="David"/>
          <w:sz w:val="24"/>
          <w:szCs w:val="24"/>
          <w:rtl/>
        </w:rPr>
      </w:pPr>
      <w:r>
        <w:rPr>
          <w:rFonts w:ascii="David" w:eastAsia="Times New Roman" w:hAnsi="David" w:cs="David"/>
          <w:sz w:val="24"/>
          <w:szCs w:val="24"/>
          <w:rtl/>
        </w:rPr>
        <w:t xml:space="preserve">קשה להתעלם מהיקף הפרסומים המכפישים ולא רק מתוכן הפרסום שמדבר בעד עצמו. על מנת לרכז ולהקל אפנה לסדרה של ההשמצות וההכפשות כפי שעולה מהפרסומים שהובאו:  </w:t>
      </w:r>
    </w:p>
    <w:p w:rsidR="00DF588E" w:rsidRDefault="00DF588E" w:rsidP="00DF588E">
      <w:pPr>
        <w:pStyle w:val="ad"/>
        <w:rPr>
          <w:rFonts w:ascii="David" w:eastAsia="Times New Roman" w:hAnsi="David" w:cs="David"/>
          <w:sz w:val="24"/>
          <w:szCs w:val="24"/>
        </w:rPr>
      </w:pP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 xml:space="preserve">"האיש בחסות זיגדון ודוד לקסוס </w:t>
      </w:r>
      <w:r>
        <w:rPr>
          <w:rFonts w:ascii="David" w:hAnsi="David" w:cs="David"/>
          <w:b/>
          <w:bCs/>
          <w:sz w:val="24"/>
          <w:szCs w:val="24"/>
          <w:u w:val="single"/>
          <w:rtl/>
        </w:rPr>
        <w:t>זייפו</w:t>
      </w:r>
      <w:r>
        <w:rPr>
          <w:rFonts w:ascii="David" w:hAnsi="David" w:cs="David"/>
          <w:b/>
          <w:bCs/>
          <w:sz w:val="24"/>
          <w:szCs w:val="24"/>
          <w:rtl/>
        </w:rPr>
        <w:t xml:space="preserve"> פרוטוקול ישיבת הנהלה</w:t>
      </w:r>
      <w:r>
        <w:rPr>
          <w:rFonts w:ascii="David" w:eastAsia="Times New Roman" w:hAnsi="David" w:cs="David"/>
          <w:sz w:val="24"/>
          <w:szCs w:val="24"/>
          <w:rtl/>
        </w:rPr>
        <w:t xml:space="preserve">" </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w:t>
      </w:r>
      <w:r>
        <w:rPr>
          <w:rFonts w:ascii="David" w:eastAsia="Times New Roman" w:hAnsi="David" w:cs="David"/>
          <w:sz w:val="24"/>
          <w:szCs w:val="24"/>
          <w:rtl/>
        </w:rPr>
        <w:t xml:space="preserve"> </w:t>
      </w:r>
      <w:r>
        <w:rPr>
          <w:rFonts w:ascii="David" w:hAnsi="David" w:cs="David"/>
          <w:b/>
          <w:bCs/>
          <w:sz w:val="24"/>
          <w:szCs w:val="24"/>
          <w:rtl/>
        </w:rPr>
        <w:t xml:space="preserve">הם </w:t>
      </w:r>
      <w:r>
        <w:rPr>
          <w:rFonts w:ascii="David" w:hAnsi="David" w:cs="David"/>
          <w:b/>
          <w:bCs/>
          <w:sz w:val="24"/>
          <w:szCs w:val="24"/>
          <w:u w:val="single"/>
          <w:rtl/>
        </w:rPr>
        <w:t>מסוכנים</w:t>
      </w:r>
      <w:r>
        <w:rPr>
          <w:rFonts w:ascii="David" w:hAnsi="David" w:cs="David"/>
          <w:b/>
          <w:bCs/>
          <w:sz w:val="24"/>
          <w:szCs w:val="24"/>
          <w:rtl/>
        </w:rPr>
        <w:t xml:space="preserve"> והם </w:t>
      </w:r>
      <w:r>
        <w:rPr>
          <w:rFonts w:ascii="David" w:hAnsi="David" w:cs="David"/>
          <w:b/>
          <w:bCs/>
          <w:sz w:val="24"/>
          <w:szCs w:val="24"/>
          <w:u w:val="single"/>
          <w:rtl/>
        </w:rPr>
        <w:t>שונאים את המדינה</w:t>
      </w:r>
      <w:r>
        <w:rPr>
          <w:rFonts w:ascii="David" w:eastAsia="Times New Roman" w:hAnsi="David" w:cs="David"/>
          <w:sz w:val="24"/>
          <w:szCs w:val="24"/>
          <w:rtl/>
        </w:rPr>
        <w:t>"</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w:t>
      </w:r>
      <w:r>
        <w:rPr>
          <w:rFonts w:ascii="David" w:hAnsi="David" w:cs="David"/>
          <w:b/>
          <w:bCs/>
          <w:sz w:val="24"/>
          <w:szCs w:val="24"/>
          <w:u w:val="single"/>
          <w:rtl/>
        </w:rPr>
        <w:t>נוכלים</w:t>
      </w:r>
      <w:r>
        <w:rPr>
          <w:rFonts w:ascii="David" w:eastAsia="Times New Roman" w:hAnsi="David" w:cs="David"/>
          <w:sz w:val="24"/>
          <w:szCs w:val="24"/>
          <w:rtl/>
        </w:rPr>
        <w:t>"</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 xml:space="preserve">"זיגדון ולקסוס </w:t>
      </w:r>
      <w:r>
        <w:rPr>
          <w:rFonts w:ascii="David" w:hAnsi="David" w:cs="David"/>
          <w:b/>
          <w:bCs/>
          <w:sz w:val="24"/>
          <w:szCs w:val="24"/>
          <w:u w:val="single"/>
          <w:rtl/>
        </w:rPr>
        <w:t>הנוכלים</w:t>
      </w:r>
      <w:r>
        <w:rPr>
          <w:rFonts w:ascii="David" w:eastAsia="Times New Roman" w:hAnsi="David" w:cs="David"/>
          <w:sz w:val="24"/>
          <w:szCs w:val="24"/>
          <w:rtl/>
        </w:rPr>
        <w:t>"</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 xml:space="preserve">"ולדוד לקסוס </w:t>
      </w:r>
      <w:r>
        <w:rPr>
          <w:rFonts w:ascii="David" w:hAnsi="David" w:cs="David"/>
          <w:b/>
          <w:bCs/>
          <w:sz w:val="24"/>
          <w:szCs w:val="24"/>
          <w:u w:val="single"/>
          <w:rtl/>
        </w:rPr>
        <w:t>הגנב</w:t>
      </w:r>
      <w:r>
        <w:rPr>
          <w:rFonts w:ascii="David" w:hAnsi="David" w:cs="David"/>
          <w:b/>
          <w:bCs/>
          <w:sz w:val="24"/>
          <w:szCs w:val="24"/>
          <w:rtl/>
        </w:rPr>
        <w:t>"</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 xml:space="preserve">"ודוד לקסוס </w:t>
      </w:r>
      <w:r>
        <w:rPr>
          <w:rFonts w:ascii="David" w:hAnsi="David" w:cs="David"/>
          <w:b/>
          <w:bCs/>
          <w:sz w:val="24"/>
          <w:szCs w:val="24"/>
          <w:u w:val="single"/>
          <w:rtl/>
        </w:rPr>
        <w:t>המושחתים</w:t>
      </w:r>
      <w:r>
        <w:rPr>
          <w:rFonts w:ascii="David" w:hAnsi="David" w:cs="David"/>
          <w:b/>
          <w:bCs/>
          <w:sz w:val="24"/>
          <w:szCs w:val="24"/>
          <w:rtl/>
        </w:rPr>
        <w:t>!".</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 xml:space="preserve">"... כל האנרגיה שלהם מושקעת </w:t>
      </w:r>
      <w:r>
        <w:rPr>
          <w:rFonts w:ascii="David" w:hAnsi="David" w:cs="David"/>
          <w:b/>
          <w:bCs/>
          <w:sz w:val="24"/>
          <w:szCs w:val="24"/>
          <w:u w:val="single"/>
          <w:rtl/>
        </w:rPr>
        <w:t>בעשיית רווחים אישיים</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"עוד מעטפה ועוד דירה...".</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 xml:space="preserve">"דוד לקסוס, קרליץ ושאר </w:t>
      </w:r>
      <w:r>
        <w:rPr>
          <w:rFonts w:ascii="David" w:hAnsi="David" w:cs="David"/>
          <w:b/>
          <w:bCs/>
          <w:sz w:val="24"/>
          <w:szCs w:val="24"/>
          <w:u w:val="single"/>
          <w:rtl/>
        </w:rPr>
        <w:t>המושחתים</w:t>
      </w:r>
      <w:r>
        <w:rPr>
          <w:rFonts w:ascii="David" w:hAnsi="David" w:cs="David"/>
          <w:b/>
          <w:bCs/>
          <w:sz w:val="24"/>
          <w:szCs w:val="24"/>
          <w:rtl/>
        </w:rPr>
        <w:t xml:space="preserve"> </w:t>
      </w:r>
      <w:r>
        <w:rPr>
          <w:rFonts w:ascii="David" w:hAnsi="David" w:cs="David"/>
          <w:b/>
          <w:bCs/>
          <w:sz w:val="24"/>
          <w:szCs w:val="24"/>
          <w:u w:val="single"/>
          <w:rtl/>
        </w:rPr>
        <w:t>שמכרו את טבריה</w:t>
      </w:r>
      <w:r>
        <w:rPr>
          <w:rFonts w:ascii="David" w:hAnsi="David" w:cs="David"/>
          <w:b/>
          <w:bCs/>
          <w:sz w:val="24"/>
          <w:szCs w:val="24"/>
          <w:rtl/>
        </w:rPr>
        <w:t xml:space="preserve">" </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w:t>
      </w:r>
      <w:r>
        <w:rPr>
          <w:rFonts w:ascii="David" w:hAnsi="David" w:cs="David"/>
          <w:b/>
          <w:bCs/>
          <w:sz w:val="24"/>
          <w:szCs w:val="24"/>
          <w:u w:val="single"/>
          <w:rtl/>
        </w:rPr>
        <w:t>והשחיתות</w:t>
      </w:r>
      <w:r>
        <w:rPr>
          <w:rFonts w:ascii="David" w:hAnsi="David" w:cs="David"/>
          <w:b/>
          <w:bCs/>
          <w:sz w:val="24"/>
          <w:szCs w:val="24"/>
          <w:rtl/>
        </w:rPr>
        <w:t xml:space="preserve"> של זיגדון אליהו ודוד אוחנה" </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 xml:space="preserve">"חונטת </w:t>
      </w:r>
      <w:r>
        <w:rPr>
          <w:rFonts w:ascii="David" w:hAnsi="David" w:cs="David"/>
          <w:b/>
          <w:bCs/>
          <w:sz w:val="24"/>
          <w:szCs w:val="24"/>
          <w:u w:val="single"/>
          <w:rtl/>
        </w:rPr>
        <w:t>השחיתות</w:t>
      </w:r>
      <w:r>
        <w:rPr>
          <w:rFonts w:ascii="David" w:hAnsi="David" w:cs="David"/>
          <w:b/>
          <w:bCs/>
          <w:sz w:val="24"/>
          <w:szCs w:val="24"/>
          <w:rtl/>
        </w:rPr>
        <w:t xml:space="preserve"> של זיגדון ואוחנה"</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 xml:space="preserve">"המשטרה לא תפסח על איש הפעם דוד לקסוס, זיגדון, אוקנין </w:t>
      </w:r>
      <w:r>
        <w:rPr>
          <w:rFonts w:ascii="David" w:hAnsi="David" w:cs="David"/>
          <w:b/>
          <w:bCs/>
          <w:sz w:val="24"/>
          <w:szCs w:val="24"/>
          <w:u w:val="single"/>
          <w:rtl/>
        </w:rPr>
        <w:t>וקומבינות</w:t>
      </w:r>
      <w:r>
        <w:rPr>
          <w:rFonts w:ascii="David" w:hAnsi="David" w:cs="David"/>
          <w:b/>
          <w:bCs/>
          <w:sz w:val="24"/>
          <w:szCs w:val="24"/>
          <w:rtl/>
        </w:rPr>
        <w:t xml:space="preserve"> קופת - החולים בחלקה 133 , הקנדי והגברת ועוד ועוד "</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w:t>
      </w:r>
      <w:r>
        <w:rPr>
          <w:rFonts w:ascii="David" w:hAnsi="David" w:cs="David"/>
          <w:b/>
          <w:bCs/>
          <w:sz w:val="24"/>
          <w:szCs w:val="24"/>
          <w:u w:val="single"/>
          <w:rtl/>
        </w:rPr>
        <w:t>הקומבינות</w:t>
      </w:r>
      <w:r>
        <w:rPr>
          <w:rFonts w:ascii="David" w:hAnsi="David" w:cs="David"/>
          <w:b/>
          <w:bCs/>
          <w:sz w:val="24"/>
          <w:szCs w:val="24"/>
          <w:rtl/>
        </w:rPr>
        <w:t xml:space="preserve"> של זגדון ודוד אוחנה </w:t>
      </w:r>
      <w:r>
        <w:rPr>
          <w:rFonts w:ascii="David" w:hAnsi="David" w:cs="David"/>
          <w:b/>
          <w:bCs/>
          <w:sz w:val="24"/>
          <w:szCs w:val="24"/>
          <w:u w:val="single"/>
          <w:rtl/>
        </w:rPr>
        <w:t>שנהיו מליונרים מהעיר שלכם</w:t>
      </w:r>
      <w:r>
        <w:rPr>
          <w:rFonts w:ascii="David" w:hAnsi="David" w:cs="David"/>
          <w:b/>
          <w:bCs/>
          <w:sz w:val="24"/>
          <w:szCs w:val="24"/>
          <w:rtl/>
        </w:rPr>
        <w:t>"</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w:t>
      </w:r>
      <w:r>
        <w:rPr>
          <w:rFonts w:ascii="David" w:hAnsi="David" w:cs="David"/>
          <w:b/>
          <w:bCs/>
          <w:sz w:val="24"/>
          <w:szCs w:val="24"/>
          <w:u w:val="single"/>
          <w:rtl/>
        </w:rPr>
        <w:t>קומבינת הפשע</w:t>
      </w:r>
      <w:r>
        <w:rPr>
          <w:rFonts w:ascii="David" w:hAnsi="David" w:cs="David"/>
          <w:b/>
          <w:bCs/>
          <w:sz w:val="24"/>
          <w:szCs w:val="24"/>
          <w:rtl/>
        </w:rPr>
        <w:t xml:space="preserve"> של זגדון ודוד אוחנה"</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w:t>
      </w:r>
      <w:r>
        <w:rPr>
          <w:rFonts w:ascii="David" w:hAnsi="David" w:cs="David"/>
          <w:b/>
          <w:bCs/>
          <w:sz w:val="24"/>
          <w:szCs w:val="24"/>
          <w:u w:val="single"/>
          <w:rtl/>
        </w:rPr>
        <w:t>הקומבינות</w:t>
      </w:r>
      <w:r>
        <w:rPr>
          <w:rFonts w:ascii="David" w:hAnsi="David" w:cs="David"/>
          <w:b/>
          <w:bCs/>
          <w:sz w:val="24"/>
          <w:szCs w:val="24"/>
          <w:rtl/>
        </w:rPr>
        <w:t xml:space="preserve"> שלו</w:t>
      </w:r>
      <w:r>
        <w:rPr>
          <w:rFonts w:ascii="David" w:eastAsia="Times New Roman" w:hAnsi="David" w:cs="David"/>
          <w:sz w:val="24"/>
          <w:szCs w:val="24"/>
          <w:rtl/>
        </w:rPr>
        <w:t>"</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 xml:space="preserve">"דוד לקסוס </w:t>
      </w:r>
      <w:r>
        <w:rPr>
          <w:rFonts w:ascii="David" w:hAnsi="David" w:cs="David"/>
          <w:b/>
          <w:bCs/>
          <w:sz w:val="24"/>
          <w:szCs w:val="24"/>
          <w:u w:val="single"/>
          <w:rtl/>
        </w:rPr>
        <w:t>איך יקנה לקסוס? מה חשבתם מהמשכורת של מורה</w:t>
      </w:r>
      <w:r>
        <w:rPr>
          <w:rFonts w:ascii="David" w:hAnsi="David" w:cs="David"/>
          <w:b/>
          <w:bCs/>
          <w:sz w:val="24"/>
          <w:szCs w:val="24"/>
          <w:rtl/>
        </w:rPr>
        <w:t>? לא חברים".</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 xml:space="preserve">"זגדון אתה ודוד אוחנה, שני </w:t>
      </w:r>
      <w:r>
        <w:rPr>
          <w:rFonts w:ascii="David" w:hAnsi="David" w:cs="David"/>
          <w:b/>
          <w:bCs/>
          <w:sz w:val="24"/>
          <w:szCs w:val="24"/>
          <w:u w:val="single"/>
          <w:rtl/>
        </w:rPr>
        <w:t>הנוכלים</w:t>
      </w:r>
      <w:r>
        <w:rPr>
          <w:rFonts w:ascii="David" w:eastAsia="Times New Roman" w:hAnsi="David" w:cs="David"/>
          <w:sz w:val="24"/>
          <w:szCs w:val="24"/>
          <w:rtl/>
        </w:rPr>
        <w:t>"</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w:t>
      </w:r>
      <w:r>
        <w:rPr>
          <w:rFonts w:ascii="David" w:hAnsi="David" w:cs="David"/>
          <w:b/>
          <w:bCs/>
          <w:sz w:val="24"/>
          <w:szCs w:val="24"/>
          <w:u w:val="single"/>
          <w:rtl/>
        </w:rPr>
        <w:t>גנבים, ונוכלים</w:t>
      </w:r>
      <w:r>
        <w:rPr>
          <w:rFonts w:ascii="David" w:eastAsia="Times New Roman" w:hAnsi="David" w:cs="David"/>
          <w:sz w:val="24"/>
          <w:szCs w:val="24"/>
          <w:rtl/>
        </w:rPr>
        <w:t>"</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w:t>
      </w:r>
      <w:r>
        <w:rPr>
          <w:rFonts w:ascii="David" w:hAnsi="David" w:cs="David"/>
          <w:b/>
          <w:bCs/>
          <w:sz w:val="24"/>
          <w:szCs w:val="24"/>
          <w:u w:val="single"/>
          <w:rtl/>
        </w:rPr>
        <w:t>נוכלים</w:t>
      </w:r>
      <w:r>
        <w:rPr>
          <w:rFonts w:ascii="David" w:hAnsi="David" w:cs="David"/>
          <w:b/>
          <w:bCs/>
          <w:sz w:val="24"/>
          <w:szCs w:val="24"/>
          <w:rtl/>
        </w:rPr>
        <w:t xml:space="preserve">, אתם מבינים מה זה </w:t>
      </w:r>
      <w:r>
        <w:rPr>
          <w:rFonts w:ascii="David" w:hAnsi="David" w:cs="David"/>
          <w:b/>
          <w:bCs/>
          <w:sz w:val="24"/>
          <w:szCs w:val="24"/>
          <w:u w:val="single"/>
          <w:rtl/>
        </w:rPr>
        <w:t>נוכלים</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w:t>
      </w:r>
      <w:r>
        <w:rPr>
          <w:rFonts w:ascii="David" w:hAnsi="David" w:cs="David"/>
          <w:b/>
          <w:bCs/>
          <w:sz w:val="24"/>
          <w:szCs w:val="24"/>
          <w:u w:val="single"/>
          <w:rtl/>
        </w:rPr>
        <w:t>אחד מהנוכלים הכי גדולים</w:t>
      </w:r>
      <w:r>
        <w:rPr>
          <w:rFonts w:ascii="David" w:hAnsi="David" w:cs="David"/>
          <w:b/>
          <w:bCs/>
          <w:sz w:val="24"/>
          <w:szCs w:val="24"/>
          <w:rtl/>
        </w:rPr>
        <w:t xml:space="preserve"> שהיו פה, זגדון אליהו ודוד אוחנה "</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lastRenderedPageBreak/>
        <w:t xml:space="preserve">"זגדון ואוחנה 2 </w:t>
      </w:r>
      <w:r>
        <w:rPr>
          <w:rFonts w:ascii="David" w:hAnsi="David" w:cs="David"/>
          <w:b/>
          <w:bCs/>
          <w:sz w:val="24"/>
          <w:szCs w:val="24"/>
          <w:u w:val="single"/>
          <w:rtl/>
        </w:rPr>
        <w:t>מושחתים</w:t>
      </w:r>
      <w:r>
        <w:rPr>
          <w:rFonts w:ascii="David" w:hAnsi="David" w:cs="David"/>
          <w:b/>
          <w:bCs/>
          <w:sz w:val="24"/>
          <w:szCs w:val="24"/>
          <w:rtl/>
        </w:rPr>
        <w:t xml:space="preserve"> "</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w:t>
      </w:r>
      <w:r>
        <w:rPr>
          <w:rFonts w:ascii="David" w:hAnsi="David" w:cs="David"/>
          <w:b/>
          <w:bCs/>
          <w:sz w:val="24"/>
          <w:szCs w:val="24"/>
          <w:u w:val="single"/>
          <w:rtl/>
        </w:rPr>
        <w:t>רשעים</w:t>
      </w:r>
      <w:r>
        <w:rPr>
          <w:rFonts w:ascii="David" w:hAnsi="David" w:cs="David"/>
          <w:b/>
          <w:bCs/>
          <w:sz w:val="24"/>
          <w:szCs w:val="24"/>
          <w:rtl/>
        </w:rPr>
        <w:t xml:space="preserve"> בתחפושת של דתיים, </w:t>
      </w:r>
      <w:r>
        <w:rPr>
          <w:rFonts w:ascii="David" w:hAnsi="David" w:cs="David"/>
          <w:b/>
          <w:bCs/>
          <w:sz w:val="24"/>
          <w:szCs w:val="24"/>
          <w:u w:val="single"/>
          <w:rtl/>
        </w:rPr>
        <w:t>נוכלים</w:t>
      </w:r>
      <w:r>
        <w:rPr>
          <w:rFonts w:ascii="David" w:hAnsi="David" w:cs="David"/>
          <w:b/>
          <w:bCs/>
          <w:sz w:val="24"/>
          <w:szCs w:val="24"/>
          <w:rtl/>
        </w:rPr>
        <w:t xml:space="preserve">, </w:t>
      </w:r>
      <w:r>
        <w:rPr>
          <w:rFonts w:ascii="David" w:hAnsi="David" w:cs="David"/>
          <w:b/>
          <w:bCs/>
          <w:sz w:val="24"/>
          <w:szCs w:val="24"/>
          <w:u w:val="single"/>
          <w:rtl/>
        </w:rPr>
        <w:t>גדולי הנוכלים</w:t>
      </w:r>
      <w:r>
        <w:rPr>
          <w:rFonts w:ascii="David" w:hAnsi="David" w:cs="David"/>
          <w:b/>
          <w:bCs/>
          <w:sz w:val="24"/>
          <w:szCs w:val="24"/>
          <w:rtl/>
        </w:rPr>
        <w:t>. זגדון, אוחנה</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w:t>
      </w:r>
      <w:r>
        <w:rPr>
          <w:rFonts w:ascii="David" w:hAnsi="David" w:cs="David"/>
          <w:b/>
          <w:bCs/>
          <w:sz w:val="24"/>
          <w:szCs w:val="24"/>
          <w:u w:val="single"/>
          <w:rtl/>
        </w:rPr>
        <w:t>הנוכל</w:t>
      </w:r>
      <w:r>
        <w:rPr>
          <w:rFonts w:ascii="David" w:hAnsi="David" w:cs="David"/>
          <w:b/>
          <w:bCs/>
          <w:sz w:val="24"/>
          <w:szCs w:val="24"/>
          <w:rtl/>
        </w:rPr>
        <w:t xml:space="preserve"> השני דוד אוחנה,</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w:t>
      </w:r>
      <w:r>
        <w:rPr>
          <w:rFonts w:ascii="David" w:hAnsi="David" w:cs="David"/>
          <w:b/>
          <w:bCs/>
          <w:sz w:val="24"/>
          <w:szCs w:val="24"/>
          <w:u w:val="single"/>
          <w:rtl/>
        </w:rPr>
        <w:t>הנוכלים שעשו את העבירות והפשעים</w:t>
      </w:r>
      <w:r>
        <w:rPr>
          <w:rFonts w:ascii="David" w:hAnsi="David" w:cs="David"/>
          <w:b/>
          <w:bCs/>
          <w:sz w:val="24"/>
          <w:szCs w:val="24"/>
          <w:rtl/>
        </w:rPr>
        <w:t>"</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 xml:space="preserve">"דוד אוחנה וזגדון וטרבלסי </w:t>
      </w:r>
      <w:r>
        <w:rPr>
          <w:rFonts w:ascii="David" w:hAnsi="David" w:cs="David"/>
          <w:b/>
          <w:bCs/>
          <w:sz w:val="24"/>
          <w:szCs w:val="24"/>
          <w:u w:val="single"/>
          <w:rtl/>
        </w:rPr>
        <w:t>מחקו 42 מיליון ₪ ארנונה לא חוקית"</w:t>
      </w:r>
      <w:r>
        <w:rPr>
          <w:rFonts w:ascii="David" w:hAnsi="David" w:cs="David"/>
          <w:b/>
          <w:bCs/>
          <w:sz w:val="24"/>
          <w:szCs w:val="24"/>
          <w:rtl/>
        </w:rPr>
        <w:t>.</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 xml:space="preserve">"ודוד אוחנה </w:t>
      </w:r>
      <w:r>
        <w:rPr>
          <w:rFonts w:ascii="David" w:hAnsi="David" w:cs="David"/>
          <w:b/>
          <w:bCs/>
          <w:sz w:val="24"/>
          <w:szCs w:val="24"/>
          <w:u w:val="single"/>
          <w:rtl/>
        </w:rPr>
        <w:t>הגנב</w:t>
      </w:r>
      <w:r>
        <w:rPr>
          <w:rFonts w:ascii="David" w:eastAsia="Times New Roman" w:hAnsi="David" w:cs="David"/>
          <w:sz w:val="24"/>
          <w:szCs w:val="24"/>
          <w:rtl/>
        </w:rPr>
        <w:t>"</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 xml:space="preserve">"החברה </w:t>
      </w:r>
      <w:r>
        <w:rPr>
          <w:rFonts w:ascii="David" w:hAnsi="David" w:cs="David"/>
          <w:b/>
          <w:bCs/>
          <w:sz w:val="24"/>
          <w:szCs w:val="24"/>
          <w:u w:val="single"/>
          <w:rtl/>
        </w:rPr>
        <w:t>האלה מכרו את טבריה והלכו לאיים על הרב קוק</w:t>
      </w:r>
      <w:r>
        <w:rPr>
          <w:rFonts w:ascii="David" w:hAnsi="David" w:cs="David"/>
          <w:b/>
          <w:bCs/>
          <w:sz w:val="24"/>
          <w:szCs w:val="24"/>
          <w:rtl/>
        </w:rPr>
        <w:t xml:space="preserve">". </w:t>
      </w:r>
    </w:p>
    <w:p w:rsidR="00DF588E" w:rsidRDefault="00DF588E" w:rsidP="00DF588E">
      <w:pPr>
        <w:pStyle w:val="ad"/>
        <w:numPr>
          <w:ilvl w:val="0"/>
          <w:numId w:val="6"/>
        </w:numPr>
        <w:spacing w:line="240" w:lineRule="auto"/>
        <w:jc w:val="both"/>
        <w:rPr>
          <w:rFonts w:ascii="David" w:hAnsi="David" w:cs="David"/>
          <w:sz w:val="24"/>
          <w:szCs w:val="24"/>
          <w:rtl/>
        </w:rPr>
      </w:pPr>
      <w:r>
        <w:rPr>
          <w:rFonts w:ascii="David" w:hAnsi="David" w:cs="David"/>
          <w:b/>
          <w:bCs/>
          <w:sz w:val="24"/>
          <w:szCs w:val="24"/>
          <w:rtl/>
        </w:rPr>
        <w:t xml:space="preserve">"דוד לקסוס אוחנה וזגדון </w:t>
      </w:r>
      <w:r>
        <w:rPr>
          <w:rFonts w:ascii="David" w:hAnsi="David" w:cs="David"/>
          <w:b/>
          <w:bCs/>
          <w:sz w:val="24"/>
          <w:szCs w:val="24"/>
          <w:u w:val="single"/>
          <w:rtl/>
        </w:rPr>
        <w:t>הגנב מחלקים פה מבנים</w:t>
      </w:r>
      <w:r>
        <w:rPr>
          <w:rFonts w:ascii="David" w:hAnsi="David" w:cs="David"/>
          <w:b/>
          <w:bCs/>
          <w:sz w:val="24"/>
          <w:szCs w:val="24"/>
          <w:rtl/>
        </w:rPr>
        <w:t>".</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 xml:space="preserve">"מגלים את </w:t>
      </w:r>
      <w:r>
        <w:rPr>
          <w:rFonts w:ascii="David" w:hAnsi="David" w:cs="David"/>
          <w:b/>
          <w:bCs/>
          <w:sz w:val="24"/>
          <w:szCs w:val="24"/>
          <w:u w:val="single"/>
          <w:rtl/>
        </w:rPr>
        <w:t>השחיתויות</w:t>
      </w:r>
      <w:r>
        <w:rPr>
          <w:rFonts w:ascii="David" w:hAnsi="David" w:cs="David"/>
          <w:b/>
          <w:bCs/>
          <w:sz w:val="24"/>
          <w:szCs w:val="24"/>
          <w:rtl/>
        </w:rPr>
        <w:t xml:space="preserve"> של זגדון ודוד לקסוס אוחנה... זגדון ודוד אוחנה </w:t>
      </w:r>
      <w:r>
        <w:rPr>
          <w:rFonts w:ascii="David" w:hAnsi="David" w:cs="David"/>
          <w:b/>
          <w:bCs/>
          <w:sz w:val="24"/>
          <w:szCs w:val="24"/>
          <w:u w:val="single"/>
          <w:rtl/>
        </w:rPr>
        <w:t xml:space="preserve">מוחקים </w:t>
      </w:r>
      <w:r>
        <w:rPr>
          <w:rFonts w:ascii="David" w:hAnsi="David" w:cs="David"/>
          <w:b/>
          <w:bCs/>
          <w:sz w:val="24"/>
          <w:szCs w:val="24"/>
          <w:rtl/>
        </w:rPr>
        <w:t>חובות של 40 מליון שח, אתם מבינים?".</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 xml:space="preserve">"והם בפאניקה </w:t>
      </w:r>
      <w:r>
        <w:rPr>
          <w:rFonts w:ascii="David" w:hAnsi="David" w:cs="David"/>
          <w:b/>
          <w:bCs/>
          <w:sz w:val="24"/>
          <w:szCs w:val="24"/>
          <w:u w:val="single"/>
          <w:rtl/>
        </w:rPr>
        <w:t>שעלינו על הקומבינה שלהם</w:t>
      </w:r>
      <w:r>
        <w:rPr>
          <w:rFonts w:ascii="David" w:hAnsi="David" w:cs="David"/>
          <w:b/>
          <w:bCs/>
          <w:sz w:val="24"/>
          <w:szCs w:val="24"/>
          <w:rtl/>
        </w:rPr>
        <w:t xml:space="preserve"> של הקנדי, מדובר </w:t>
      </w:r>
      <w:r>
        <w:rPr>
          <w:rFonts w:ascii="David" w:hAnsi="David" w:cs="David"/>
          <w:b/>
          <w:bCs/>
          <w:sz w:val="24"/>
          <w:szCs w:val="24"/>
          <w:u w:val="single"/>
          <w:rtl/>
        </w:rPr>
        <w:t>בתהליך פלילי</w:t>
      </w:r>
      <w:r>
        <w:rPr>
          <w:rFonts w:ascii="David" w:hAnsi="David" w:cs="David"/>
          <w:b/>
          <w:bCs/>
          <w:sz w:val="24"/>
          <w:szCs w:val="24"/>
          <w:rtl/>
        </w:rPr>
        <w:t xml:space="preserve"> של </w:t>
      </w:r>
      <w:r>
        <w:rPr>
          <w:rFonts w:ascii="David" w:hAnsi="David" w:cs="David"/>
          <w:b/>
          <w:bCs/>
          <w:sz w:val="24"/>
          <w:szCs w:val="24"/>
          <w:u w:val="single"/>
          <w:rtl/>
        </w:rPr>
        <w:t>עבירה על חוקים של תכנון ובניה של מסמכי תאגיד</w:t>
      </w:r>
      <w:r>
        <w:rPr>
          <w:rFonts w:ascii="David" w:hAnsi="David" w:cs="David"/>
          <w:b/>
          <w:bCs/>
          <w:sz w:val="24"/>
          <w:szCs w:val="24"/>
          <w:rtl/>
        </w:rPr>
        <w:t>..</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 xml:space="preserve">"אתם </w:t>
      </w:r>
      <w:r>
        <w:rPr>
          <w:rFonts w:ascii="David" w:hAnsi="David" w:cs="David"/>
          <w:b/>
          <w:bCs/>
          <w:sz w:val="24"/>
          <w:szCs w:val="24"/>
          <w:u w:val="single"/>
          <w:rtl/>
        </w:rPr>
        <w:t>גנבים</w:t>
      </w:r>
      <w:r>
        <w:rPr>
          <w:rFonts w:ascii="David" w:hAnsi="David" w:cs="David"/>
          <w:b/>
          <w:bCs/>
          <w:sz w:val="24"/>
          <w:szCs w:val="24"/>
          <w:rtl/>
        </w:rPr>
        <w:t xml:space="preserve">, </w:t>
      </w:r>
      <w:r>
        <w:rPr>
          <w:rFonts w:ascii="David" w:hAnsi="David" w:cs="David"/>
          <w:b/>
          <w:bCs/>
          <w:sz w:val="24"/>
          <w:szCs w:val="24"/>
          <w:u w:val="single"/>
          <w:rtl/>
        </w:rPr>
        <w:t>נבלות ברשות התורה</w:t>
      </w:r>
      <w:r>
        <w:rPr>
          <w:rFonts w:ascii="David" w:hAnsi="David" w:cs="David"/>
          <w:b/>
          <w:bCs/>
          <w:sz w:val="24"/>
          <w:szCs w:val="24"/>
          <w:rtl/>
        </w:rPr>
        <w:t xml:space="preserve">, </w:t>
      </w:r>
      <w:r>
        <w:rPr>
          <w:rFonts w:ascii="David" w:hAnsi="David" w:cs="David"/>
          <w:b/>
          <w:bCs/>
          <w:sz w:val="24"/>
          <w:szCs w:val="24"/>
          <w:u w:val="single"/>
          <w:rtl/>
        </w:rPr>
        <w:t>אנשים נוכלים</w:t>
      </w:r>
      <w:r>
        <w:rPr>
          <w:rFonts w:ascii="David" w:hAnsi="David" w:cs="David"/>
          <w:b/>
          <w:bCs/>
          <w:sz w:val="24"/>
          <w:szCs w:val="24"/>
          <w:rtl/>
        </w:rPr>
        <w:t xml:space="preserve">, </w:t>
      </w:r>
      <w:r>
        <w:rPr>
          <w:rFonts w:ascii="David" w:hAnsi="David" w:cs="David"/>
          <w:b/>
          <w:bCs/>
          <w:sz w:val="24"/>
          <w:szCs w:val="24"/>
          <w:u w:val="single"/>
          <w:rtl/>
        </w:rPr>
        <w:t>אנשים נוכלים</w:t>
      </w:r>
      <w:r>
        <w:rPr>
          <w:rFonts w:ascii="David" w:hAnsi="David" w:cs="David"/>
          <w:b/>
          <w:bCs/>
          <w:sz w:val="24"/>
          <w:szCs w:val="24"/>
          <w:rtl/>
        </w:rPr>
        <w:t xml:space="preserve"> שבאו לטבריה ומצאו פה קרקע פוריה </w:t>
      </w:r>
      <w:r>
        <w:rPr>
          <w:rFonts w:ascii="David" w:hAnsi="David" w:cs="David"/>
          <w:b/>
          <w:bCs/>
          <w:sz w:val="24"/>
          <w:szCs w:val="24"/>
          <w:u w:val="single"/>
          <w:rtl/>
        </w:rPr>
        <w:t>לנוכלות</w:t>
      </w:r>
      <w:r>
        <w:rPr>
          <w:rFonts w:ascii="David" w:hAnsi="David" w:cs="David"/>
          <w:b/>
          <w:bCs/>
          <w:sz w:val="24"/>
          <w:szCs w:val="24"/>
          <w:rtl/>
        </w:rPr>
        <w:t xml:space="preserve">, </w:t>
      </w:r>
      <w:r>
        <w:rPr>
          <w:rFonts w:ascii="David" w:hAnsi="David" w:cs="David"/>
          <w:b/>
          <w:bCs/>
          <w:sz w:val="24"/>
          <w:szCs w:val="24"/>
          <w:u w:val="single"/>
          <w:rtl/>
        </w:rPr>
        <w:t>למעשה מרמה</w:t>
      </w:r>
      <w:r>
        <w:rPr>
          <w:rFonts w:ascii="David" w:hAnsi="David" w:cs="David"/>
          <w:b/>
          <w:bCs/>
          <w:sz w:val="24"/>
          <w:szCs w:val="24"/>
          <w:rtl/>
        </w:rPr>
        <w:t xml:space="preserve"> ובסוף </w:t>
      </w:r>
      <w:r>
        <w:rPr>
          <w:rFonts w:ascii="David" w:hAnsi="David" w:cs="David"/>
          <w:b/>
          <w:bCs/>
          <w:sz w:val="24"/>
          <w:szCs w:val="24"/>
          <w:u w:val="single"/>
          <w:rtl/>
        </w:rPr>
        <w:t>להשתלטות</w:t>
      </w:r>
      <w:r>
        <w:rPr>
          <w:rFonts w:ascii="David" w:hAnsi="David" w:cs="David"/>
          <w:b/>
          <w:bCs/>
          <w:sz w:val="24"/>
          <w:szCs w:val="24"/>
          <w:rtl/>
        </w:rPr>
        <w:t xml:space="preserve"> על העיר...".</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w:t>
      </w:r>
      <w:r>
        <w:rPr>
          <w:rFonts w:ascii="David" w:hAnsi="David" w:cs="David"/>
          <w:b/>
          <w:bCs/>
          <w:sz w:val="24"/>
          <w:szCs w:val="24"/>
          <w:u w:val="single"/>
          <w:rtl/>
        </w:rPr>
        <w:t>העיר נשדדה</w:t>
      </w:r>
      <w:r>
        <w:rPr>
          <w:rFonts w:ascii="David" w:hAnsi="David" w:cs="David"/>
          <w:b/>
          <w:bCs/>
          <w:sz w:val="24"/>
          <w:szCs w:val="24"/>
          <w:rtl/>
        </w:rPr>
        <w:t xml:space="preserve"> על ידי בן דוד ואנשי ש"ס דוד </w:t>
      </w:r>
      <w:r>
        <w:rPr>
          <w:rFonts w:ascii="David" w:hAnsi="David" w:cs="David"/>
          <w:b/>
          <w:bCs/>
          <w:sz w:val="24"/>
          <w:szCs w:val="24"/>
          <w:u w:val="single"/>
          <w:rtl/>
        </w:rPr>
        <w:t>אוחנה וזגרון ששדדו את העיר את כל המבנים שלהם את כל התקציבים</w:t>
      </w:r>
      <w:r>
        <w:rPr>
          <w:rFonts w:ascii="David" w:hAnsi="David" w:cs="David"/>
          <w:b/>
          <w:bCs/>
          <w:sz w:val="24"/>
          <w:szCs w:val="24"/>
          <w:rtl/>
        </w:rPr>
        <w:t>".</w:t>
      </w:r>
    </w:p>
    <w:p w:rsidR="00DF588E" w:rsidRDefault="00DF588E" w:rsidP="00DF588E">
      <w:pPr>
        <w:pStyle w:val="ad"/>
        <w:numPr>
          <w:ilvl w:val="0"/>
          <w:numId w:val="6"/>
        </w:numPr>
        <w:spacing w:line="240" w:lineRule="auto"/>
        <w:jc w:val="both"/>
        <w:rPr>
          <w:rFonts w:ascii="David" w:eastAsia="Times New Roman" w:hAnsi="David" w:cs="David"/>
          <w:sz w:val="24"/>
          <w:szCs w:val="24"/>
          <w:rtl/>
        </w:rPr>
      </w:pPr>
      <w:r>
        <w:rPr>
          <w:rFonts w:ascii="David" w:hAnsi="David" w:cs="David"/>
          <w:b/>
          <w:bCs/>
          <w:sz w:val="24"/>
          <w:szCs w:val="24"/>
          <w:rtl/>
        </w:rPr>
        <w:t xml:space="preserve">"ודוד לקסוס אוחנה </w:t>
      </w:r>
      <w:r>
        <w:rPr>
          <w:rFonts w:ascii="David" w:hAnsi="David" w:cs="David"/>
          <w:b/>
          <w:bCs/>
          <w:sz w:val="24"/>
          <w:szCs w:val="24"/>
          <w:u w:val="single"/>
          <w:rtl/>
        </w:rPr>
        <w:t>עושים פה בנכסים האלה מה שהם רוצי</w:t>
      </w:r>
      <w:r>
        <w:rPr>
          <w:rFonts w:ascii="David" w:eastAsia="Times New Roman" w:hAnsi="David" w:cs="David"/>
          <w:b/>
          <w:bCs/>
          <w:sz w:val="24"/>
          <w:szCs w:val="24"/>
          <w:u w:val="single"/>
          <w:rtl/>
        </w:rPr>
        <w:t>ם</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 xml:space="preserve">" איש של </w:t>
      </w:r>
      <w:r>
        <w:rPr>
          <w:rFonts w:ascii="David" w:hAnsi="David" w:cs="David"/>
          <w:b/>
          <w:bCs/>
          <w:sz w:val="24"/>
          <w:szCs w:val="24"/>
          <w:u w:val="single"/>
          <w:rtl/>
        </w:rPr>
        <w:t>שנאת חינם</w:t>
      </w:r>
      <w:r>
        <w:rPr>
          <w:rFonts w:ascii="David" w:hAnsi="David" w:cs="David"/>
          <w:b/>
          <w:bCs/>
          <w:sz w:val="24"/>
          <w:szCs w:val="24"/>
          <w:rtl/>
        </w:rPr>
        <w:t xml:space="preserve">, </w:t>
      </w:r>
      <w:r>
        <w:rPr>
          <w:rFonts w:ascii="David" w:hAnsi="David" w:cs="David"/>
          <w:b/>
          <w:bCs/>
          <w:sz w:val="24"/>
          <w:szCs w:val="24"/>
          <w:u w:val="single"/>
          <w:rtl/>
        </w:rPr>
        <w:t>איש של רוע</w:t>
      </w:r>
      <w:r>
        <w:rPr>
          <w:rFonts w:ascii="David" w:hAnsi="David" w:cs="David"/>
          <w:b/>
          <w:bCs/>
          <w:sz w:val="24"/>
          <w:szCs w:val="24"/>
          <w:rtl/>
        </w:rPr>
        <w:t xml:space="preserve">, </w:t>
      </w:r>
      <w:r>
        <w:rPr>
          <w:rFonts w:ascii="David" w:hAnsi="David" w:cs="David"/>
          <w:b/>
          <w:bCs/>
          <w:sz w:val="24"/>
          <w:szCs w:val="24"/>
          <w:u w:val="single"/>
          <w:rtl/>
        </w:rPr>
        <w:t>איש של מדון</w:t>
      </w:r>
      <w:r>
        <w:rPr>
          <w:rFonts w:ascii="David" w:hAnsi="David" w:cs="David"/>
          <w:b/>
          <w:bCs/>
          <w:sz w:val="24"/>
          <w:szCs w:val="24"/>
          <w:rtl/>
        </w:rPr>
        <w:t>".</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 xml:space="preserve">"דוד אוחנה כשאנחנו נפתח את מה שאתם עושים לצדיק, כל מדינת ישראל תרעד, את הכסף שאתם </w:t>
      </w:r>
      <w:r>
        <w:rPr>
          <w:rFonts w:ascii="David" w:hAnsi="David" w:cs="David"/>
          <w:b/>
          <w:bCs/>
          <w:sz w:val="24"/>
          <w:szCs w:val="24"/>
          <w:u w:val="single"/>
          <w:rtl/>
        </w:rPr>
        <w:t>גונבים</w:t>
      </w:r>
      <w:r>
        <w:rPr>
          <w:rFonts w:ascii="David" w:hAnsi="David" w:cs="David"/>
          <w:b/>
          <w:bCs/>
          <w:sz w:val="24"/>
          <w:szCs w:val="24"/>
          <w:rtl/>
        </w:rPr>
        <w:t xml:space="preserve"> מרבי מאיר, מה שאתם </w:t>
      </w:r>
      <w:r>
        <w:rPr>
          <w:rFonts w:ascii="David" w:hAnsi="David" w:cs="David"/>
          <w:b/>
          <w:bCs/>
          <w:sz w:val="24"/>
          <w:szCs w:val="24"/>
          <w:u w:val="single"/>
          <w:rtl/>
        </w:rPr>
        <w:t>מעלימים</w:t>
      </w:r>
      <w:r>
        <w:rPr>
          <w:rFonts w:ascii="David" w:hAnsi="David" w:cs="David"/>
          <w:b/>
          <w:bCs/>
          <w:sz w:val="24"/>
          <w:szCs w:val="24"/>
          <w:rtl/>
        </w:rPr>
        <w:t xml:space="preserve"> שמה, את זה גם אלוהים לא יסלח לכם, </w:t>
      </w:r>
      <w:r>
        <w:rPr>
          <w:rFonts w:ascii="David" w:hAnsi="David" w:cs="David"/>
          <w:b/>
          <w:bCs/>
          <w:sz w:val="24"/>
          <w:szCs w:val="24"/>
          <w:u w:val="single"/>
          <w:rtl/>
        </w:rPr>
        <w:t>חלאת המין האנושי</w:t>
      </w:r>
      <w:r>
        <w:rPr>
          <w:rFonts w:ascii="David" w:hAnsi="David" w:cs="David"/>
          <w:b/>
          <w:bCs/>
          <w:sz w:val="24"/>
          <w:szCs w:val="24"/>
          <w:rtl/>
        </w:rPr>
        <w:t>.... ומי עומד בראש? דוד אוחנה וזגדון..".</w:t>
      </w:r>
    </w:p>
    <w:p w:rsidR="00DF588E" w:rsidRDefault="00DF588E" w:rsidP="00DF588E">
      <w:pPr>
        <w:pStyle w:val="ad"/>
        <w:numPr>
          <w:ilvl w:val="0"/>
          <w:numId w:val="6"/>
        </w:numPr>
        <w:spacing w:line="240" w:lineRule="auto"/>
        <w:jc w:val="both"/>
        <w:rPr>
          <w:rFonts w:ascii="David" w:hAnsi="David" w:cs="David"/>
          <w:b/>
          <w:bCs/>
          <w:sz w:val="24"/>
          <w:szCs w:val="24"/>
        </w:rPr>
      </w:pPr>
      <w:r>
        <w:rPr>
          <w:rFonts w:ascii="David" w:hAnsi="David" w:cs="David"/>
          <w:b/>
          <w:bCs/>
          <w:sz w:val="24"/>
          <w:szCs w:val="24"/>
          <w:rtl/>
        </w:rPr>
        <w:t xml:space="preserve">" דוד אוחנה ספר לו כמה מזומן רץ שם כמה </w:t>
      </w:r>
      <w:r>
        <w:rPr>
          <w:rFonts w:ascii="David" w:hAnsi="David" w:cs="David"/>
          <w:b/>
          <w:bCs/>
          <w:sz w:val="24"/>
          <w:szCs w:val="24"/>
          <w:u w:val="single"/>
          <w:rtl/>
        </w:rPr>
        <w:t>תרומות שנעלמים</w:t>
      </w:r>
      <w:r>
        <w:rPr>
          <w:rFonts w:ascii="David" w:hAnsi="David" w:cs="David"/>
          <w:b/>
          <w:bCs/>
          <w:sz w:val="24"/>
          <w:szCs w:val="24"/>
          <w:rtl/>
        </w:rPr>
        <w:t>".</w:t>
      </w:r>
    </w:p>
    <w:p w:rsidR="00DF588E" w:rsidRDefault="00DF588E" w:rsidP="00DF588E">
      <w:pPr>
        <w:pStyle w:val="ad"/>
        <w:numPr>
          <w:ilvl w:val="0"/>
          <w:numId w:val="6"/>
        </w:numPr>
        <w:spacing w:line="240" w:lineRule="auto"/>
        <w:jc w:val="both"/>
        <w:rPr>
          <w:rFonts w:ascii="David" w:hAnsi="David" w:cs="David"/>
          <w:b/>
          <w:bCs/>
          <w:sz w:val="24"/>
          <w:szCs w:val="24"/>
          <w:rtl/>
        </w:rPr>
      </w:pPr>
      <w:r>
        <w:rPr>
          <w:rFonts w:ascii="David" w:hAnsi="David" w:cs="David"/>
          <w:b/>
          <w:bCs/>
          <w:sz w:val="24"/>
          <w:szCs w:val="24"/>
          <w:rtl/>
        </w:rPr>
        <w:t xml:space="preserve">"אתם חושבים שדוד אוחנה מעניין אותו מה יהיה בטבריה?? לא לא מעניין אותו הוא </w:t>
      </w:r>
      <w:r>
        <w:rPr>
          <w:rFonts w:ascii="David" w:hAnsi="David" w:cs="David"/>
          <w:b/>
          <w:bCs/>
          <w:sz w:val="24"/>
          <w:szCs w:val="24"/>
          <w:u w:val="single"/>
          <w:rtl/>
        </w:rPr>
        <w:t>ייקח את הקופונים שלו</w:t>
      </w:r>
      <w:r>
        <w:rPr>
          <w:rFonts w:ascii="David" w:hAnsi="David" w:cs="David"/>
          <w:b/>
          <w:bCs/>
          <w:sz w:val="24"/>
          <w:szCs w:val="24"/>
          <w:rtl/>
        </w:rPr>
        <w:t xml:space="preserve"> ולא מעניין אותו... </w:t>
      </w:r>
      <w:r>
        <w:rPr>
          <w:rFonts w:ascii="David" w:hAnsi="David" w:cs="David"/>
          <w:b/>
          <w:bCs/>
          <w:sz w:val="24"/>
          <w:szCs w:val="24"/>
          <w:u w:val="single"/>
          <w:rtl/>
        </w:rPr>
        <w:t>פשוט נוכלים</w:t>
      </w:r>
      <w:r>
        <w:rPr>
          <w:rFonts w:ascii="David" w:eastAsia="Times New Roman" w:hAnsi="David" w:cs="David"/>
          <w:sz w:val="24"/>
          <w:szCs w:val="24"/>
          <w:rtl/>
        </w:rPr>
        <w:t xml:space="preserve"> </w:t>
      </w:r>
    </w:p>
    <w:p w:rsidR="00DF588E" w:rsidRDefault="00DF588E" w:rsidP="00DF588E">
      <w:pPr>
        <w:pStyle w:val="ad"/>
        <w:spacing w:line="360" w:lineRule="auto"/>
        <w:jc w:val="both"/>
        <w:rPr>
          <w:rFonts w:ascii="David" w:eastAsia="Times New Roman" w:hAnsi="David" w:cs="David"/>
          <w:sz w:val="24"/>
          <w:szCs w:val="24"/>
          <w:rtl/>
        </w:rPr>
      </w:pPr>
    </w:p>
    <w:p w:rsidR="00DF588E" w:rsidRDefault="00DF588E" w:rsidP="00DF588E">
      <w:pPr>
        <w:pStyle w:val="ad"/>
        <w:numPr>
          <w:ilvl w:val="1"/>
          <w:numId w:val="1"/>
        </w:numPr>
        <w:spacing w:line="360" w:lineRule="auto"/>
        <w:ind w:left="226" w:hanging="425"/>
        <w:jc w:val="both"/>
        <w:rPr>
          <w:rFonts w:ascii="David" w:eastAsia="Times New Roman" w:hAnsi="David" w:cs="David"/>
          <w:sz w:val="24"/>
          <w:szCs w:val="24"/>
        </w:rPr>
      </w:pPr>
      <w:r>
        <w:rPr>
          <w:rFonts w:ascii="David" w:eastAsia="Times New Roman" w:hAnsi="David" w:cs="David"/>
          <w:sz w:val="24"/>
          <w:szCs w:val="24"/>
          <w:rtl/>
        </w:rPr>
        <w:t>צא וראה, אין מדובר כאמור בפרסום אקראי אליו השתרבבה מילה מכפישה כזו או אחרת. לפנינו מעשה מחושב של רצף פרסומים אשר נועד להכות פעם אחר פעם בתובע. לפנינו מעשה מחשבת של רצף פרסומים שנועד להטמיע בלב הקוראים והשומעים את ההנחה לפיה התובע הוא גנב, שותף לקומבינת פשע, מושחת ועוד ועוד.</w:t>
      </w:r>
    </w:p>
    <w:p w:rsidR="00DF588E" w:rsidRDefault="00DF588E" w:rsidP="00DF588E">
      <w:pPr>
        <w:pStyle w:val="ad"/>
        <w:spacing w:line="360" w:lineRule="auto"/>
        <w:ind w:left="1080"/>
        <w:jc w:val="both"/>
        <w:rPr>
          <w:rFonts w:ascii="David" w:eastAsia="Times New Roman" w:hAnsi="David" w:cs="David"/>
          <w:sz w:val="24"/>
          <w:szCs w:val="24"/>
          <w:rtl/>
        </w:rPr>
      </w:pPr>
      <w:r>
        <w:rPr>
          <w:rFonts w:ascii="David" w:eastAsia="Times New Roman" w:hAnsi="David" w:cs="David"/>
          <w:sz w:val="24"/>
          <w:szCs w:val="24"/>
          <w:rtl/>
        </w:rPr>
        <w:t xml:space="preserve"> </w:t>
      </w:r>
    </w:p>
    <w:p w:rsidR="00DF588E" w:rsidRDefault="00DF588E" w:rsidP="00526CBC">
      <w:pPr>
        <w:pStyle w:val="ad"/>
        <w:numPr>
          <w:ilvl w:val="1"/>
          <w:numId w:val="1"/>
        </w:numPr>
        <w:spacing w:line="360" w:lineRule="auto"/>
        <w:ind w:left="226" w:hanging="425"/>
        <w:jc w:val="both"/>
        <w:rPr>
          <w:rFonts w:ascii="David" w:eastAsia="Times New Roman" w:hAnsi="David" w:cs="David"/>
          <w:sz w:val="24"/>
          <w:szCs w:val="24"/>
        </w:rPr>
      </w:pPr>
      <w:r>
        <w:rPr>
          <w:rFonts w:ascii="David" w:eastAsia="Times New Roman" w:hAnsi="David" w:cs="David"/>
          <w:sz w:val="24"/>
          <w:szCs w:val="24"/>
          <w:rtl/>
        </w:rPr>
        <w:t>מכל האמירות שלעיל עולה תמונה ברורה. הנתבע פרסם פרסומים מכפישים אודות התובע. ביניהם, כאמור אמירות המציגות אותו כ</w:t>
      </w:r>
      <w:r>
        <w:rPr>
          <w:rFonts w:ascii="David" w:hAnsi="David" w:cs="David"/>
          <w:sz w:val="24"/>
          <w:szCs w:val="24"/>
          <w:rtl/>
        </w:rPr>
        <w:t>מושחת, עבריין, מסית, מסוכן, זייפן, שונא מדינה, נוכל, גנב</w:t>
      </w:r>
      <w:r>
        <w:rPr>
          <w:rFonts w:ascii="David" w:eastAsia="Times New Roman" w:hAnsi="David" w:cs="David"/>
          <w:sz w:val="24"/>
          <w:szCs w:val="24"/>
          <w:rtl/>
        </w:rPr>
        <w:t xml:space="preserve">, קומבינטור, </w:t>
      </w:r>
      <w:r>
        <w:rPr>
          <w:rFonts w:ascii="David" w:hAnsi="David" w:cs="David"/>
          <w:sz w:val="24"/>
          <w:szCs w:val="24"/>
          <w:rtl/>
        </w:rPr>
        <w:t>מוחק חובות</w:t>
      </w:r>
      <w:r>
        <w:rPr>
          <w:rFonts w:ascii="David" w:eastAsia="Times New Roman" w:hAnsi="David" w:cs="David"/>
          <w:sz w:val="24"/>
          <w:szCs w:val="24"/>
          <w:rtl/>
        </w:rPr>
        <w:t xml:space="preserve">, שודד, </w:t>
      </w:r>
      <w:r>
        <w:rPr>
          <w:rFonts w:ascii="David" w:hAnsi="David" w:cs="David"/>
          <w:sz w:val="24"/>
          <w:szCs w:val="24"/>
          <w:rtl/>
        </w:rPr>
        <w:t>איש של רוע, איש של מדון</w:t>
      </w:r>
      <w:r>
        <w:rPr>
          <w:rFonts w:ascii="David" w:eastAsia="Times New Roman" w:hAnsi="David" w:cs="David"/>
          <w:sz w:val="24"/>
          <w:szCs w:val="24"/>
          <w:rtl/>
        </w:rPr>
        <w:t>, מעלים תרומות ועוד. האמירות חזרו על עצמן, באופן כזה או אחר, פעם אחר פעם ו</w:t>
      </w:r>
      <w:r w:rsidR="00526CBC">
        <w:rPr>
          <w:rFonts w:ascii="David" w:eastAsia="Times New Roman" w:hAnsi="David" w:cs="David" w:hint="cs"/>
          <w:sz w:val="24"/>
          <w:szCs w:val="24"/>
          <w:rtl/>
        </w:rPr>
        <w:t xml:space="preserve">מכאן </w:t>
      </w:r>
      <w:r>
        <w:rPr>
          <w:rFonts w:ascii="David" w:eastAsia="Times New Roman" w:hAnsi="David" w:cs="David"/>
          <w:sz w:val="24"/>
          <w:szCs w:val="24"/>
          <w:rtl/>
        </w:rPr>
        <w:t>הן עולות כדי לשון הרע.</w:t>
      </w:r>
    </w:p>
    <w:p w:rsidR="00DF588E" w:rsidRDefault="00DF588E" w:rsidP="00DF588E">
      <w:pPr>
        <w:pStyle w:val="ad"/>
        <w:spacing w:line="360" w:lineRule="auto"/>
        <w:ind w:left="226"/>
        <w:jc w:val="both"/>
        <w:rPr>
          <w:rFonts w:ascii="David" w:hAnsi="David" w:cs="David"/>
          <w:b/>
          <w:bCs/>
          <w:sz w:val="24"/>
          <w:szCs w:val="24"/>
          <w:u w:val="single"/>
        </w:rPr>
      </w:pPr>
    </w:p>
    <w:p w:rsidR="00DF588E" w:rsidRDefault="00DF588E" w:rsidP="00DF588E">
      <w:pPr>
        <w:pStyle w:val="ad"/>
        <w:numPr>
          <w:ilvl w:val="1"/>
          <w:numId w:val="1"/>
        </w:numPr>
        <w:spacing w:line="360" w:lineRule="auto"/>
        <w:ind w:left="226" w:hanging="425"/>
        <w:jc w:val="both"/>
        <w:rPr>
          <w:rFonts w:ascii="David" w:hAnsi="David" w:cs="David"/>
          <w:b/>
          <w:bCs/>
          <w:sz w:val="24"/>
          <w:szCs w:val="24"/>
        </w:rPr>
      </w:pPr>
      <w:r>
        <w:rPr>
          <w:rFonts w:ascii="David" w:hAnsi="David" w:cs="David"/>
          <w:sz w:val="24"/>
          <w:szCs w:val="24"/>
          <w:rtl/>
        </w:rPr>
        <w:t xml:space="preserve">כאן המקום לציין כי  ייחוס מעשה גניבה מהווה האשמה אשר פוגעת בשמו הטוב של אדם או לכל הפחות עלולה לפגוע בשמו ובמשרתו. הפסיקה הכירה בכך שייחוס ביצוע עבירה פלילית לאדם מהווה לשון הרע. כך, קבע בית המשפט העליון כבר </w:t>
      </w:r>
      <w:r w:rsidRPr="008B7E60">
        <w:rPr>
          <w:rFonts w:ascii="David" w:hAnsi="David" w:cs="David"/>
          <w:sz w:val="24"/>
          <w:szCs w:val="24"/>
          <w:rtl/>
        </w:rPr>
        <w:t>ב</w:t>
      </w:r>
      <w:hyperlink r:id="rId8" w:history="1">
        <w:r w:rsidRPr="008B7E60">
          <w:rPr>
            <w:rStyle w:val="Hyperlink"/>
            <w:rFonts w:ascii="David" w:hAnsi="David" w:cs="David"/>
            <w:color w:val="auto"/>
            <w:sz w:val="24"/>
            <w:szCs w:val="24"/>
            <w:rtl/>
          </w:rPr>
          <w:t>ע"א 788/79</w:t>
        </w:r>
      </w:hyperlink>
      <w:r w:rsidRPr="008B7E60">
        <w:rPr>
          <w:rFonts w:ascii="David" w:hAnsi="David" w:cs="David"/>
          <w:sz w:val="24"/>
          <w:szCs w:val="24"/>
          <w:rtl/>
        </w:rPr>
        <w:t xml:space="preserve"> </w:t>
      </w:r>
      <w:r w:rsidRPr="008B7E60">
        <w:rPr>
          <w:rFonts w:ascii="David" w:hAnsi="David" w:cs="David" w:hint="cs"/>
          <w:sz w:val="24"/>
          <w:szCs w:val="24"/>
          <w:u w:val="single"/>
          <w:rtl/>
        </w:rPr>
        <w:t>ריימר נ' עזבון רייבר</w:t>
      </w:r>
      <w:r w:rsidRPr="008B7E60">
        <w:rPr>
          <w:rFonts w:ascii="David" w:hAnsi="David" w:cs="David" w:hint="cs"/>
          <w:sz w:val="24"/>
          <w:szCs w:val="24"/>
          <w:rtl/>
        </w:rPr>
        <w:t xml:space="preserve">, כי </w:t>
      </w:r>
      <w:r w:rsidRPr="008B7E60">
        <w:rPr>
          <w:rFonts w:ascii="David" w:hAnsi="David" w:cs="David" w:hint="cs"/>
          <w:b/>
          <w:bCs/>
          <w:sz w:val="24"/>
          <w:szCs w:val="24"/>
          <w:rtl/>
        </w:rPr>
        <w:t>"כאשר מייחסים לפלוני ביצועו של מעשה גניבה ומוסרים חשד זה לאחר, אכן יש בכך משום פרסום לשון הרע כמשמעותו לפי סעיפים 1 ו-2 ל</w:t>
      </w:r>
      <w:hyperlink r:id="rId9" w:history="1">
        <w:r w:rsidRPr="008B7E60">
          <w:rPr>
            <w:rStyle w:val="Hyperlink"/>
            <w:rFonts w:ascii="David" w:hAnsi="David" w:cs="David"/>
            <w:b/>
            <w:bCs/>
            <w:color w:val="auto"/>
            <w:sz w:val="24"/>
            <w:szCs w:val="24"/>
            <w:rtl/>
          </w:rPr>
          <w:t>חוק איסור לשון הרע</w:t>
        </w:r>
      </w:hyperlink>
      <w:r w:rsidRPr="008B7E60">
        <w:rPr>
          <w:rFonts w:ascii="David" w:hAnsi="David" w:cs="David"/>
          <w:b/>
          <w:bCs/>
          <w:sz w:val="24"/>
          <w:szCs w:val="24"/>
          <w:rtl/>
        </w:rPr>
        <w:t>...".</w:t>
      </w:r>
      <w:r w:rsidRPr="008B7E60">
        <w:rPr>
          <w:rFonts w:ascii="David" w:hAnsi="David" w:cs="David"/>
          <w:sz w:val="24"/>
          <w:szCs w:val="24"/>
          <w:rtl/>
        </w:rPr>
        <w:t xml:space="preserve"> </w:t>
      </w:r>
      <w:r>
        <w:rPr>
          <w:rFonts w:ascii="David" w:hAnsi="David" w:cs="David"/>
          <w:sz w:val="24"/>
          <w:szCs w:val="24"/>
          <w:rtl/>
        </w:rPr>
        <w:t>להרחבה ר' גם דברי</w:t>
      </w:r>
      <w:r>
        <w:rPr>
          <w:rFonts w:ascii="David" w:hAnsi="David" w:cs="David"/>
          <w:b/>
          <w:bCs/>
          <w:sz w:val="24"/>
          <w:szCs w:val="24"/>
          <w:u w:val="single"/>
          <w:rtl/>
        </w:rPr>
        <w:t xml:space="preserve"> </w:t>
      </w:r>
      <w:r>
        <w:rPr>
          <w:rFonts w:ascii="David" w:hAnsi="David" w:cs="David"/>
          <w:sz w:val="24"/>
          <w:szCs w:val="24"/>
          <w:rtl/>
        </w:rPr>
        <w:t xml:space="preserve">אורי שנהר דיני לשון הרע, 1997, בעמ' 129, שם נאמר כי </w:t>
      </w:r>
      <w:r>
        <w:rPr>
          <w:rFonts w:ascii="David" w:hAnsi="David" w:cs="David"/>
          <w:b/>
          <w:bCs/>
          <w:sz w:val="24"/>
          <w:szCs w:val="24"/>
          <w:rtl/>
        </w:rPr>
        <w:t>:"...נראה כי נדירים יהיו המקרים שבהם יקבע בית-המשפט שייחוס של ביצוע עבירה אינו מהווה לשון הרע. בתי המשפט קבעו, כי ייחוס מעשה עבירה של רצח, תקיפה, בגידה, גניבה, זיוף, ואף הפרת חוק התכנון ובנייה מהווה לשון הרע".</w:t>
      </w:r>
    </w:p>
    <w:p w:rsidR="00DF588E" w:rsidRDefault="00DF588E" w:rsidP="00DF588E">
      <w:pPr>
        <w:pStyle w:val="ad"/>
        <w:spacing w:line="360" w:lineRule="auto"/>
        <w:ind w:left="226"/>
        <w:jc w:val="both"/>
        <w:rPr>
          <w:rFonts w:ascii="David" w:hAnsi="David" w:cs="David"/>
          <w:sz w:val="24"/>
          <w:szCs w:val="24"/>
          <w:u w:val="single"/>
          <w:rtl/>
        </w:rPr>
      </w:pPr>
    </w:p>
    <w:p w:rsidR="00DF588E" w:rsidRDefault="00DF588E" w:rsidP="00B458D3">
      <w:pPr>
        <w:pStyle w:val="ad"/>
        <w:numPr>
          <w:ilvl w:val="1"/>
          <w:numId w:val="1"/>
        </w:numPr>
        <w:spacing w:line="360" w:lineRule="auto"/>
        <w:ind w:left="226" w:hanging="425"/>
        <w:jc w:val="both"/>
        <w:rPr>
          <w:rFonts w:ascii="David" w:hAnsi="David" w:cs="David"/>
          <w:sz w:val="24"/>
          <w:szCs w:val="24"/>
          <w:u w:val="single"/>
        </w:rPr>
      </w:pPr>
      <w:r>
        <w:rPr>
          <w:rFonts w:ascii="David" w:hAnsi="David" w:cs="David"/>
          <w:sz w:val="24"/>
          <w:szCs w:val="24"/>
          <w:rtl/>
        </w:rPr>
        <w:lastRenderedPageBreak/>
        <w:t>זאת ועוד, אין חולק כי בעיני האדם הסביר</w:t>
      </w:r>
      <w:r>
        <w:rPr>
          <w:rFonts w:ascii="David" w:hAnsi="David" w:cs="David"/>
          <w:sz w:val="24"/>
          <w:szCs w:val="24"/>
        </w:rPr>
        <w:t xml:space="preserve"> </w:t>
      </w:r>
      <w:r>
        <w:rPr>
          <w:rFonts w:ascii="David" w:hAnsi="David" w:cs="David"/>
          <w:sz w:val="24"/>
          <w:szCs w:val="24"/>
          <w:rtl/>
        </w:rPr>
        <w:t>תדמיתו השלילית של התובע מתעצמת מהפרסומים שפורסמו אודותיו ומכאן שיש בהם כדי לייצר דעה שלילית על התובע. כך או כך - אין ספק שמדובר באמירות מכפישות , אין חולק כי יש באמירות אלו כדי להטיח בתובע האשמות קשות. אין חולק כי האמירות פגעו בשמו הטוב של התובע, הטילו ספק ביושרו, ויוזכר כי לשון החוק קובעת כי די בכך שיהיה בפרסום פוטנציאל להביא לפגיעה בשמו של אדם .משכך הפרסומים מהווים לשון הרע.</w:t>
      </w:r>
    </w:p>
    <w:p w:rsidR="00DF588E" w:rsidRDefault="00DF588E" w:rsidP="00DF588E">
      <w:pPr>
        <w:pStyle w:val="ad"/>
        <w:spacing w:line="360" w:lineRule="auto"/>
        <w:ind w:left="226"/>
        <w:jc w:val="both"/>
        <w:rPr>
          <w:rFonts w:ascii="David" w:eastAsia="Times New Roman" w:hAnsi="David" w:cs="David"/>
          <w:sz w:val="24"/>
          <w:szCs w:val="24"/>
        </w:rPr>
      </w:pPr>
    </w:p>
    <w:p w:rsidR="00DF588E" w:rsidRDefault="00DF588E" w:rsidP="00DF588E">
      <w:pPr>
        <w:pStyle w:val="ad"/>
        <w:numPr>
          <w:ilvl w:val="1"/>
          <w:numId w:val="1"/>
        </w:numPr>
        <w:spacing w:line="360" w:lineRule="auto"/>
        <w:ind w:left="226" w:hanging="425"/>
        <w:jc w:val="both"/>
        <w:rPr>
          <w:rFonts w:ascii="David" w:eastAsia="Times New Roman" w:hAnsi="David" w:cs="David"/>
          <w:sz w:val="24"/>
          <w:szCs w:val="24"/>
        </w:rPr>
      </w:pPr>
      <w:r>
        <w:rPr>
          <w:rFonts w:ascii="David" w:eastAsia="Times New Roman" w:hAnsi="David" w:cs="David"/>
          <w:b/>
          <w:bCs/>
          <w:sz w:val="24"/>
          <w:szCs w:val="24"/>
          <w:u w:val="single"/>
          <w:rtl/>
        </w:rPr>
        <w:t>התייחסות לכך שהתובע והנתבע 1 הם אנשי ציבור</w:t>
      </w:r>
    </w:p>
    <w:p w:rsidR="00DF588E" w:rsidRDefault="00DF588E" w:rsidP="00DF588E">
      <w:pPr>
        <w:pStyle w:val="ad"/>
        <w:numPr>
          <w:ilvl w:val="0"/>
          <w:numId w:val="7"/>
        </w:numPr>
        <w:spacing w:line="360" w:lineRule="auto"/>
        <w:jc w:val="both"/>
        <w:rPr>
          <w:rFonts w:ascii="David" w:eastAsia="Times New Roman" w:hAnsi="David" w:cs="David"/>
          <w:sz w:val="24"/>
          <w:szCs w:val="24"/>
        </w:rPr>
      </w:pPr>
      <w:r>
        <w:rPr>
          <w:rFonts w:ascii="David" w:eastAsia="Times New Roman" w:hAnsi="David" w:cs="David"/>
          <w:sz w:val="24"/>
          <w:szCs w:val="24"/>
          <w:rtl/>
        </w:rPr>
        <w:t>נתתי דעתי להיות הצדדים דמויות ציבוריות ועדיין בנסיבות שהובאו אין בכך כדי להימנע מהקביעה לפיה הפרסומים הם בגדר הוצאת לשון הרע.</w:t>
      </w:r>
    </w:p>
    <w:p w:rsidR="00DF588E" w:rsidRDefault="00DF588E" w:rsidP="00DF588E">
      <w:pPr>
        <w:pStyle w:val="ad"/>
        <w:spacing w:line="360" w:lineRule="auto"/>
        <w:ind w:left="586"/>
        <w:jc w:val="both"/>
        <w:rPr>
          <w:rFonts w:ascii="David" w:eastAsia="Times New Roman" w:hAnsi="David" w:cs="David"/>
          <w:sz w:val="24"/>
          <w:szCs w:val="24"/>
        </w:rPr>
      </w:pPr>
    </w:p>
    <w:p w:rsidR="00DF588E" w:rsidRDefault="00DF588E" w:rsidP="00DF588E">
      <w:pPr>
        <w:pStyle w:val="ad"/>
        <w:numPr>
          <w:ilvl w:val="0"/>
          <w:numId w:val="7"/>
        </w:numPr>
        <w:spacing w:line="360" w:lineRule="auto"/>
        <w:jc w:val="both"/>
        <w:rPr>
          <w:rFonts w:ascii="David" w:eastAsia="Times New Roman" w:hAnsi="David" w:cs="David"/>
          <w:sz w:val="24"/>
          <w:szCs w:val="24"/>
        </w:rPr>
      </w:pPr>
      <w:r>
        <w:rPr>
          <w:rFonts w:ascii="David" w:hAnsi="David" w:cs="David"/>
          <w:sz w:val="24"/>
          <w:szCs w:val="24"/>
          <w:rtl/>
        </w:rPr>
        <w:t>אכן הדיון בתביעות לשון הרע בכל הקשור לאנשי ציבור שונה מדיון בתביעות בהן הצדדים אינם נושאים תפקיד ציבורי. גם דמם של אנשי ציבור אינו מותר לפגיעה והכפשה ואולם הציפיה היא שעורם יהיה "עבה יותר". לצד זאת הגדרתו של אדם כאיש ציבור אינה משום תעודת הכשר להשתלחויות בו ואינה בגדר תניית פטור לכל עוולה נזיקית שתיעשה כנגדו. יש לבחון כל מקרה על פי נסיבותיו.</w:t>
      </w:r>
    </w:p>
    <w:p w:rsidR="00DF588E" w:rsidRDefault="00DF588E" w:rsidP="00DF588E">
      <w:pPr>
        <w:pStyle w:val="ad"/>
        <w:spacing w:line="360" w:lineRule="auto"/>
        <w:ind w:left="226"/>
        <w:jc w:val="both"/>
        <w:rPr>
          <w:rFonts w:ascii="David" w:hAnsi="David" w:cs="David"/>
          <w:b/>
          <w:bCs/>
          <w:sz w:val="24"/>
          <w:szCs w:val="24"/>
        </w:rPr>
      </w:pPr>
    </w:p>
    <w:p w:rsidR="00DF588E" w:rsidRDefault="00DF588E" w:rsidP="00DF588E">
      <w:pPr>
        <w:pStyle w:val="ad"/>
        <w:numPr>
          <w:ilvl w:val="0"/>
          <w:numId w:val="7"/>
        </w:numPr>
        <w:spacing w:line="360" w:lineRule="auto"/>
        <w:jc w:val="both"/>
        <w:rPr>
          <w:rFonts w:ascii="David" w:hAnsi="David" w:cs="David"/>
          <w:b/>
          <w:bCs/>
          <w:sz w:val="24"/>
          <w:szCs w:val="24"/>
        </w:rPr>
      </w:pPr>
      <w:r>
        <w:rPr>
          <w:rFonts w:ascii="David" w:hAnsi="David" w:cs="David"/>
          <w:sz w:val="24"/>
          <w:szCs w:val="24"/>
          <w:rtl/>
        </w:rPr>
        <w:t xml:space="preserve">כאשר אנשי ציבור פועלים לקידום וחיזוק דרך רעיונית כזו או אחרת הם חשופים לשיח שברגיל יכול להיחשב כ"לשון הרע". על כן באיזון העדין שבין הרצון לשמור על השיח הציבורי לבין החובה לשמור על כבודו ושמו הטוב של אדם משולב גם הצורך להימנע מקביעות שתהיה בהן השפעה מרתיעה עד כדי </w:t>
      </w:r>
      <w:r w:rsidRPr="008B7E60">
        <w:rPr>
          <w:rFonts w:ascii="David" w:hAnsi="David" w:cs="David"/>
          <w:sz w:val="24"/>
          <w:szCs w:val="24"/>
          <w:rtl/>
        </w:rPr>
        <w:t>כך שתמנע הבעת עמדה על אידאולוגיה כזו או אחרת. לעניין זה אפנה לדברי כב' הש' ד' ברק ארז ב</w:t>
      </w:r>
      <w:hyperlink r:id="rId10" w:history="1">
        <w:r w:rsidRPr="008B7E60">
          <w:rPr>
            <w:rStyle w:val="Hyperlink"/>
            <w:rFonts w:ascii="David" w:hAnsi="David" w:cs="David"/>
            <w:color w:val="auto"/>
            <w:sz w:val="24"/>
            <w:szCs w:val="24"/>
            <w:u w:val="none"/>
            <w:rtl/>
          </w:rPr>
          <w:t>רע"א 1239/19</w:t>
        </w:r>
      </w:hyperlink>
      <w:r w:rsidRPr="008B7E60">
        <w:rPr>
          <w:rFonts w:ascii="David" w:hAnsi="David" w:cs="David"/>
          <w:sz w:val="24"/>
          <w:szCs w:val="24"/>
          <w:rtl/>
        </w:rPr>
        <w:t xml:space="preserve">, </w:t>
      </w:r>
      <w:r w:rsidRPr="008B7E60">
        <w:rPr>
          <w:rFonts w:ascii="David" w:hAnsi="David" w:cs="David"/>
          <w:sz w:val="24"/>
          <w:szCs w:val="24"/>
          <w:u w:val="single"/>
          <w:rtl/>
        </w:rPr>
        <w:t>יואל שאול נ' חברת ניידלי תקשורת בע"מ</w:t>
      </w:r>
      <w:r w:rsidRPr="008B7E60">
        <w:rPr>
          <w:rFonts w:ascii="David" w:hAnsi="David" w:cs="David"/>
          <w:sz w:val="24"/>
          <w:szCs w:val="24"/>
          <w:rtl/>
        </w:rPr>
        <w:t xml:space="preserve"> (מיום 7/1/2020, כב' הש' ' ברק ארז, מ' מזוז וי' וילנר), שם נקבע כך: </w:t>
      </w:r>
      <w:r w:rsidRPr="008B7E60">
        <w:rPr>
          <w:rFonts w:ascii="David" w:hAnsi="David" w:cs="David"/>
          <w:b/>
          <w:bCs/>
          <w:sz w:val="24"/>
          <w:szCs w:val="24"/>
          <w:rtl/>
        </w:rPr>
        <w:t xml:space="preserve">"כל הכרעה הנוגעת לאופן תחולתו של החוק על התבטאויות שונות ברשתות החברתיות כרוכה מטבעה במאמץ פרשני, שנועד לגשר על "פער הדורות". זאת בניסיון לשמור על נקודת האיזון הנכונה בין מימוש תכליתו של </w:t>
      </w:r>
      <w:hyperlink r:id="rId11" w:history="1">
        <w:r w:rsidRPr="008B7E60">
          <w:rPr>
            <w:rStyle w:val="Hyperlink"/>
            <w:rFonts w:ascii="David" w:hAnsi="David" w:cs="David"/>
            <w:b/>
            <w:bCs/>
            <w:color w:val="auto"/>
            <w:sz w:val="24"/>
            <w:szCs w:val="24"/>
            <w:rtl/>
          </w:rPr>
          <w:t>חוק איסור לשון הרע</w:t>
        </w:r>
      </w:hyperlink>
      <w:r w:rsidRPr="008B7E60">
        <w:rPr>
          <w:rFonts w:ascii="David" w:hAnsi="David" w:cs="David"/>
          <w:b/>
          <w:bCs/>
          <w:sz w:val="24"/>
          <w:szCs w:val="24"/>
          <w:rtl/>
        </w:rPr>
        <w:t xml:space="preserve"> לבין האינטרסים הציבוריים כבדי המשקל הניצבים מנגד, ובראשם כמובן חופש הביטוי – שהוא כידוע "ציפור נפשה" של הדמוקרטיה... בהתאם, יש לנקוט משנה זהירות ולהימנע מפרשנות שתייצר אפקט מצנן המרתיע </w:t>
      </w:r>
      <w:r>
        <w:rPr>
          <w:rFonts w:ascii="David" w:hAnsi="David" w:cs="David"/>
          <w:b/>
          <w:bCs/>
          <w:sz w:val="24"/>
          <w:szCs w:val="24"/>
          <w:rtl/>
        </w:rPr>
        <w:t>מפני התבטאות לגיטימית וחופשית ברשת האינטרנט".</w:t>
      </w:r>
    </w:p>
    <w:p w:rsidR="00DF588E" w:rsidRDefault="00DF588E" w:rsidP="00DF588E">
      <w:pPr>
        <w:pStyle w:val="ad"/>
        <w:spacing w:line="360" w:lineRule="auto"/>
        <w:ind w:left="226"/>
        <w:jc w:val="both"/>
        <w:rPr>
          <w:rFonts w:ascii="David" w:hAnsi="David"/>
        </w:rPr>
      </w:pPr>
    </w:p>
    <w:p w:rsidR="00DF588E" w:rsidRDefault="00DF588E" w:rsidP="00DF588E">
      <w:pPr>
        <w:pStyle w:val="ad"/>
        <w:numPr>
          <w:ilvl w:val="0"/>
          <w:numId w:val="7"/>
        </w:numPr>
        <w:spacing w:line="360" w:lineRule="auto"/>
        <w:jc w:val="both"/>
        <w:rPr>
          <w:rFonts w:ascii="David" w:hAnsi="David" w:cs="David"/>
          <w:sz w:val="24"/>
          <w:szCs w:val="24"/>
        </w:rPr>
      </w:pPr>
      <w:r>
        <w:rPr>
          <w:rFonts w:ascii="David" w:hAnsi="David" w:cs="David"/>
          <w:sz w:val="24"/>
          <w:szCs w:val="24"/>
          <w:rtl/>
        </w:rPr>
        <w:t>יחד עם זאת, העובדה שאדם הוא דמות ציבורית אינה בבחינת כניסה למחלוקת ציבורית המתירה מוסרות הלשון כנגדו. כך בכלל וכך כאשר הנתבע בדה עובדות שאינן נכונות והשתלח בתובע כפי שהובא לעיל.</w:t>
      </w:r>
    </w:p>
    <w:p w:rsidR="00DF588E" w:rsidRDefault="00DF588E" w:rsidP="00DF588E">
      <w:pPr>
        <w:pStyle w:val="ad"/>
        <w:spacing w:line="360" w:lineRule="auto"/>
        <w:ind w:left="-199"/>
        <w:jc w:val="both"/>
        <w:rPr>
          <w:rFonts w:ascii="David" w:hAnsi="David" w:cs="David"/>
          <w:b/>
          <w:bCs/>
          <w:sz w:val="24"/>
          <w:szCs w:val="24"/>
          <w:u w:val="single"/>
        </w:rPr>
      </w:pPr>
    </w:p>
    <w:p w:rsidR="00DF588E" w:rsidRPr="008B7E60" w:rsidRDefault="00DF588E" w:rsidP="00DF588E">
      <w:pPr>
        <w:pStyle w:val="ad"/>
        <w:numPr>
          <w:ilvl w:val="0"/>
          <w:numId w:val="1"/>
        </w:numPr>
        <w:spacing w:line="360" w:lineRule="auto"/>
        <w:ind w:left="-199" w:hanging="567"/>
        <w:jc w:val="both"/>
        <w:rPr>
          <w:rFonts w:ascii="David" w:hAnsi="David" w:cs="David"/>
          <w:b/>
          <w:bCs/>
          <w:sz w:val="24"/>
          <w:szCs w:val="24"/>
          <w:u w:val="single"/>
        </w:rPr>
      </w:pPr>
      <w:r>
        <w:rPr>
          <w:rFonts w:ascii="David" w:hAnsi="David" w:cs="David"/>
          <w:b/>
          <w:bCs/>
          <w:sz w:val="24"/>
          <w:szCs w:val="24"/>
          <w:u w:val="single"/>
          <w:rtl/>
        </w:rPr>
        <w:t xml:space="preserve">קיומו </w:t>
      </w:r>
      <w:r w:rsidRPr="008B7E60">
        <w:rPr>
          <w:rFonts w:ascii="David" w:hAnsi="David" w:cs="David"/>
          <w:b/>
          <w:bCs/>
          <w:sz w:val="24"/>
          <w:szCs w:val="24"/>
          <w:u w:val="single"/>
          <w:rtl/>
        </w:rPr>
        <w:t xml:space="preserve">של יסוד הפרסום </w:t>
      </w:r>
    </w:p>
    <w:p w:rsidR="00DF588E" w:rsidRDefault="00DF588E" w:rsidP="00DF588E">
      <w:pPr>
        <w:pStyle w:val="ad"/>
        <w:numPr>
          <w:ilvl w:val="1"/>
          <w:numId w:val="1"/>
        </w:numPr>
        <w:spacing w:line="360" w:lineRule="auto"/>
        <w:ind w:left="226" w:hanging="425"/>
        <w:jc w:val="both"/>
        <w:rPr>
          <w:rFonts w:ascii="David" w:hAnsi="David" w:cs="David"/>
          <w:sz w:val="24"/>
          <w:szCs w:val="24"/>
        </w:rPr>
      </w:pPr>
      <w:r w:rsidRPr="008B7E60">
        <w:rPr>
          <w:rFonts w:ascii="David" w:hAnsi="David" w:cs="David"/>
          <w:sz w:val="24"/>
          <w:szCs w:val="24"/>
          <w:rtl/>
        </w:rPr>
        <w:t xml:space="preserve">אין חולק שהפרסומים אכן פורסמו. הפרסום נעשה בקבוצת הפייסבוק ונצפו על ידי צדדים שלישיים ואכן  עונה על הגדרת </w:t>
      </w:r>
      <w:hyperlink r:id="rId12" w:history="1">
        <w:r w:rsidRPr="008B7E60">
          <w:rPr>
            <w:rStyle w:val="Hyperlink"/>
            <w:rFonts w:ascii="David" w:hAnsi="David" w:cs="David"/>
            <w:color w:val="auto"/>
            <w:sz w:val="24"/>
            <w:szCs w:val="24"/>
            <w:rtl/>
          </w:rPr>
          <w:t>סעיף 2(א)</w:t>
        </w:r>
      </w:hyperlink>
      <w:r w:rsidRPr="008B7E60">
        <w:rPr>
          <w:rFonts w:ascii="David" w:hAnsi="David" w:cs="David"/>
          <w:sz w:val="24"/>
          <w:szCs w:val="24"/>
          <w:rtl/>
        </w:rPr>
        <w:t xml:space="preserve"> ל</w:t>
      </w:r>
      <w:hyperlink r:id="rId13" w:history="1">
        <w:r w:rsidRPr="008B7E60">
          <w:rPr>
            <w:rStyle w:val="Hyperlink"/>
            <w:rFonts w:ascii="David" w:hAnsi="David" w:cs="David"/>
            <w:color w:val="auto"/>
            <w:sz w:val="24"/>
            <w:szCs w:val="24"/>
            <w:rtl/>
          </w:rPr>
          <w:t>חוק איסור לשון הרע</w:t>
        </w:r>
      </w:hyperlink>
      <w:r w:rsidRPr="008B7E60">
        <w:rPr>
          <w:rFonts w:ascii="David" w:hAnsi="David" w:cs="David"/>
          <w:sz w:val="24"/>
          <w:szCs w:val="24"/>
          <w:rtl/>
        </w:rPr>
        <w:t xml:space="preserve">. להרחבה ביחס לפרסום ברשת האינטרנט ר' </w:t>
      </w:r>
      <w:hyperlink r:id="rId14" w:history="1">
        <w:r w:rsidRPr="00425891">
          <w:rPr>
            <w:rStyle w:val="Hyperlink"/>
            <w:rFonts w:ascii="David" w:hAnsi="David" w:cs="David"/>
            <w:color w:val="auto"/>
            <w:sz w:val="24"/>
            <w:szCs w:val="24"/>
            <w:u w:val="none"/>
            <w:rtl/>
          </w:rPr>
          <w:t>רע"א 4447/07</w:t>
        </w:r>
      </w:hyperlink>
      <w:r w:rsidRPr="00425891">
        <w:rPr>
          <w:rFonts w:ascii="David" w:hAnsi="David" w:cs="David"/>
          <w:sz w:val="24"/>
          <w:szCs w:val="24"/>
          <w:rtl/>
        </w:rPr>
        <w:t>,</w:t>
      </w:r>
      <w:r w:rsidRPr="008B7E60">
        <w:rPr>
          <w:rFonts w:ascii="David" w:hAnsi="David" w:cs="David"/>
          <w:sz w:val="24"/>
          <w:szCs w:val="24"/>
          <w:rtl/>
        </w:rPr>
        <w:t xml:space="preserve"> </w:t>
      </w:r>
      <w:r w:rsidRPr="008B7E60">
        <w:rPr>
          <w:rFonts w:ascii="David" w:hAnsi="David" w:cs="David"/>
          <w:sz w:val="24"/>
          <w:szCs w:val="24"/>
          <w:u w:val="single"/>
          <w:rtl/>
        </w:rPr>
        <w:t>מור נ' ברק אי.טי.סי החברה לשירותי בזק בינלאומיים בע"מ</w:t>
      </w:r>
      <w:r w:rsidRPr="008B7E60">
        <w:rPr>
          <w:rFonts w:ascii="David" w:hAnsi="David" w:cs="David"/>
          <w:sz w:val="24"/>
          <w:szCs w:val="24"/>
          <w:rtl/>
        </w:rPr>
        <w:t xml:space="preserve">, (מיום 25.3.2010) שם </w:t>
      </w:r>
      <w:r w:rsidRPr="008B7E60">
        <w:rPr>
          <w:rFonts w:ascii="David" w:hAnsi="David" w:cs="David"/>
          <w:sz w:val="24"/>
          <w:szCs w:val="24"/>
          <w:rtl/>
        </w:rPr>
        <w:lastRenderedPageBreak/>
        <w:t xml:space="preserve">נקבע כי </w:t>
      </w:r>
      <w:r w:rsidRPr="008B7E60">
        <w:rPr>
          <w:rFonts w:ascii="David" w:hAnsi="David" w:cs="David"/>
          <w:b/>
          <w:bCs/>
          <w:sz w:val="24"/>
          <w:szCs w:val="24"/>
          <w:rtl/>
        </w:rPr>
        <w:t>"האינטרנט הוא "כיכר העיר" החדשה שהכול שותפים לה"</w:t>
      </w:r>
      <w:r w:rsidRPr="008B7E60">
        <w:rPr>
          <w:rFonts w:ascii="David" w:hAnsi="David" w:cs="David"/>
          <w:sz w:val="24"/>
          <w:szCs w:val="24"/>
          <w:rtl/>
        </w:rPr>
        <w:t xml:space="preserve"> וכן ראה גם </w:t>
      </w:r>
      <w:hyperlink r:id="rId15" w:history="1">
        <w:r w:rsidRPr="00425891">
          <w:rPr>
            <w:rStyle w:val="Hyperlink"/>
            <w:rFonts w:ascii="David" w:hAnsi="David" w:cs="David"/>
            <w:color w:val="auto"/>
            <w:sz w:val="24"/>
            <w:szCs w:val="24"/>
            <w:u w:val="none"/>
            <w:rtl/>
          </w:rPr>
          <w:t>רע"א 1239/19</w:t>
        </w:r>
      </w:hyperlink>
      <w:r w:rsidRPr="00425891">
        <w:rPr>
          <w:rFonts w:ascii="David" w:hAnsi="David" w:cs="David"/>
          <w:sz w:val="24"/>
          <w:szCs w:val="24"/>
          <w:rtl/>
        </w:rPr>
        <w:t>,</w:t>
      </w:r>
      <w:r w:rsidRPr="008B7E60">
        <w:rPr>
          <w:rFonts w:ascii="David" w:hAnsi="David" w:cs="David"/>
          <w:sz w:val="24"/>
          <w:szCs w:val="24"/>
          <w:rtl/>
        </w:rPr>
        <w:t xml:space="preserve"> </w:t>
      </w:r>
      <w:r w:rsidRPr="008B7E60">
        <w:rPr>
          <w:rFonts w:ascii="David" w:hAnsi="David" w:cs="David"/>
          <w:sz w:val="24"/>
          <w:szCs w:val="24"/>
          <w:u w:val="single"/>
          <w:rtl/>
        </w:rPr>
        <w:t>יואל שאול נ' חברת ניידלי תקשורת בע"מ</w:t>
      </w:r>
      <w:r w:rsidRPr="008B7E60">
        <w:rPr>
          <w:rFonts w:ascii="David" w:hAnsi="David" w:cs="David"/>
          <w:sz w:val="24"/>
          <w:szCs w:val="24"/>
          <w:rtl/>
        </w:rPr>
        <w:t xml:space="preserve"> (מיום 7/1</w:t>
      </w:r>
      <w:r>
        <w:rPr>
          <w:rFonts w:ascii="David" w:hAnsi="David" w:cs="David"/>
          <w:sz w:val="24"/>
          <w:szCs w:val="24"/>
          <w:rtl/>
        </w:rPr>
        <w:t>/2020).</w:t>
      </w:r>
    </w:p>
    <w:p w:rsidR="00DF588E" w:rsidRDefault="00DF588E" w:rsidP="00DF588E">
      <w:pPr>
        <w:pStyle w:val="ad"/>
        <w:spacing w:line="360" w:lineRule="auto"/>
        <w:ind w:left="226"/>
        <w:jc w:val="both"/>
        <w:rPr>
          <w:rFonts w:ascii="David" w:hAnsi="David" w:cs="David"/>
          <w:sz w:val="24"/>
          <w:szCs w:val="24"/>
        </w:rPr>
      </w:pPr>
    </w:p>
    <w:p w:rsidR="00DF588E" w:rsidRDefault="00DF588E" w:rsidP="00DF588E">
      <w:pPr>
        <w:pStyle w:val="10"/>
        <w:spacing w:line="360" w:lineRule="auto"/>
        <w:ind w:left="-199" w:right="-142"/>
        <w:jc w:val="both"/>
        <w:rPr>
          <w:rFonts w:ascii="David" w:hAnsi="David" w:cs="David"/>
          <w:b/>
          <w:bCs/>
          <w:color w:val="000000"/>
          <w:sz w:val="24"/>
          <w:szCs w:val="24"/>
          <w:rtl/>
        </w:rPr>
      </w:pPr>
      <w:r>
        <w:rPr>
          <w:rFonts w:ascii="David" w:hAnsi="David" w:cs="David"/>
          <w:b/>
          <w:bCs/>
          <w:sz w:val="24"/>
          <w:szCs w:val="24"/>
          <w:rtl/>
        </w:rPr>
        <w:t xml:space="preserve">הערת מעבר- </w:t>
      </w:r>
      <w:r>
        <w:rPr>
          <w:rFonts w:ascii="David" w:hAnsi="David" w:cs="David"/>
          <w:b/>
          <w:bCs/>
          <w:color w:val="000000"/>
          <w:sz w:val="24"/>
          <w:szCs w:val="24"/>
          <w:rtl/>
        </w:rPr>
        <w:t>משנקבע כי הפרסומים עולים כדי לשון הרע כנגד התובע, ומשנקבע כי התקיים יסוד הפרסום בהתאם לדרישת החוק, אפנה לדון בטענות הנתבעים להגנות השונות.</w:t>
      </w:r>
    </w:p>
    <w:p w:rsidR="00DF588E" w:rsidRDefault="00DF588E" w:rsidP="00DF588E">
      <w:pPr>
        <w:pStyle w:val="10"/>
        <w:spacing w:line="360" w:lineRule="auto"/>
        <w:ind w:hanging="1345"/>
        <w:jc w:val="both"/>
        <w:rPr>
          <w:rFonts w:ascii="David" w:hAnsi="David" w:cs="David"/>
          <w:b/>
          <w:bCs/>
          <w:color w:val="000000"/>
          <w:sz w:val="24"/>
          <w:szCs w:val="24"/>
          <w:rtl/>
        </w:rPr>
      </w:pPr>
    </w:p>
    <w:p w:rsidR="00DF588E" w:rsidRDefault="00DF588E" w:rsidP="00DF588E">
      <w:pPr>
        <w:pStyle w:val="ad"/>
        <w:numPr>
          <w:ilvl w:val="0"/>
          <w:numId w:val="1"/>
        </w:numPr>
        <w:spacing w:line="360" w:lineRule="auto"/>
        <w:ind w:left="-199" w:hanging="567"/>
        <w:jc w:val="both"/>
        <w:rPr>
          <w:rFonts w:ascii="David" w:hAnsi="David" w:cs="David"/>
          <w:sz w:val="24"/>
          <w:szCs w:val="24"/>
          <w:u w:val="single"/>
          <w:rtl/>
        </w:rPr>
      </w:pPr>
      <w:r>
        <w:rPr>
          <w:rFonts w:ascii="David" w:hAnsi="David" w:cs="David"/>
          <w:b/>
          <w:bCs/>
          <w:sz w:val="24"/>
          <w:szCs w:val="24"/>
          <w:u w:val="single"/>
          <w:rtl/>
        </w:rPr>
        <w:t>העדר הגנות</w:t>
      </w:r>
    </w:p>
    <w:p w:rsidR="00DF588E" w:rsidRDefault="00DF588E" w:rsidP="00DF588E">
      <w:pPr>
        <w:pStyle w:val="ad"/>
        <w:numPr>
          <w:ilvl w:val="1"/>
          <w:numId w:val="1"/>
        </w:numPr>
        <w:spacing w:line="360" w:lineRule="auto"/>
        <w:ind w:left="226" w:hanging="425"/>
        <w:jc w:val="both"/>
        <w:rPr>
          <w:rFonts w:ascii="David" w:hAnsi="David" w:cs="David"/>
          <w:b/>
          <w:bCs/>
          <w:sz w:val="24"/>
          <w:szCs w:val="24"/>
        </w:rPr>
      </w:pPr>
      <w:r>
        <w:rPr>
          <w:rFonts w:ascii="David" w:hAnsi="David" w:cs="David"/>
          <w:color w:val="000000"/>
          <w:sz w:val="24"/>
          <w:szCs w:val="24"/>
          <w:rtl/>
        </w:rPr>
        <w:t>הנתבעים טענו להגנות</w:t>
      </w:r>
      <w:r>
        <w:rPr>
          <w:rFonts w:ascii="David" w:hAnsi="David" w:cs="David"/>
          <w:sz w:val="24"/>
          <w:szCs w:val="24"/>
          <w:rtl/>
        </w:rPr>
        <w:t xml:space="preserve"> המנויות בסעיפים 14-16 לחוק איסור לשון הרע- תשכ"ה-1965</w:t>
      </w:r>
      <w:r>
        <w:rPr>
          <w:rFonts w:ascii="David" w:hAnsi="David" w:cs="David"/>
          <w:b/>
          <w:bCs/>
          <w:sz w:val="24"/>
          <w:szCs w:val="24"/>
          <w:rtl/>
        </w:rPr>
        <w:t xml:space="preserve">. </w:t>
      </w:r>
    </w:p>
    <w:p w:rsidR="00DF588E" w:rsidRDefault="00DF588E" w:rsidP="00DF588E">
      <w:pPr>
        <w:pStyle w:val="ad"/>
        <w:spacing w:line="360" w:lineRule="auto"/>
        <w:ind w:left="226"/>
        <w:jc w:val="both"/>
        <w:rPr>
          <w:rFonts w:ascii="David" w:hAnsi="David" w:cs="David"/>
          <w:color w:val="000000"/>
          <w:sz w:val="24"/>
          <w:szCs w:val="24"/>
        </w:rPr>
      </w:pPr>
    </w:p>
    <w:p w:rsidR="00DF588E" w:rsidRDefault="00DF588E" w:rsidP="00DF588E">
      <w:pPr>
        <w:pStyle w:val="ad"/>
        <w:numPr>
          <w:ilvl w:val="1"/>
          <w:numId w:val="1"/>
        </w:numPr>
        <w:spacing w:line="360" w:lineRule="auto"/>
        <w:ind w:left="226" w:hanging="425"/>
        <w:jc w:val="both"/>
        <w:rPr>
          <w:rFonts w:ascii="David" w:hAnsi="David" w:cs="David"/>
          <w:color w:val="000000"/>
          <w:sz w:val="24"/>
          <w:szCs w:val="24"/>
        </w:rPr>
      </w:pPr>
      <w:r>
        <w:rPr>
          <w:rFonts w:ascii="David" w:hAnsi="David" w:cs="David"/>
          <w:sz w:val="24"/>
          <w:szCs w:val="24"/>
          <w:rtl/>
        </w:rPr>
        <w:t xml:space="preserve">הביטויים הנטענים לא נהנים מאחת החסינויות הקבועות בחוק ובתוך כך לא עומדת לנתבע 1 כל הגנה. הנתבעים טוענים כי אין בפרסומים האמורים כדי להוות לשון הרע כהגדרתו בחוק וכי עומדות להם, יחד ולחוד, ההגנות הקבועות בסעיפים 14-16 לחוק איסור לשון הרע. </w:t>
      </w:r>
      <w:r>
        <w:rPr>
          <w:rFonts w:ascii="David" w:hAnsi="David" w:cs="David"/>
          <w:color w:val="000000"/>
          <w:sz w:val="24"/>
          <w:szCs w:val="24"/>
          <w:rtl/>
        </w:rPr>
        <w:t>בפסקאות הבאות יובא הדיון בכל אחת מההגנות.</w:t>
      </w:r>
    </w:p>
    <w:p w:rsidR="00DF588E" w:rsidRDefault="00DF588E" w:rsidP="00DF588E">
      <w:pPr>
        <w:pStyle w:val="ad"/>
        <w:spacing w:line="360" w:lineRule="auto"/>
        <w:ind w:left="226"/>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b/>
          <w:bCs/>
          <w:sz w:val="24"/>
          <w:szCs w:val="24"/>
          <w:u w:val="single"/>
          <w:rtl/>
        </w:rPr>
        <w:t>אין לקבל את טענת ההגנה "אמת דיברתי"</w:t>
      </w:r>
    </w:p>
    <w:p w:rsidR="00DF588E" w:rsidRDefault="00DF588E" w:rsidP="00DF588E">
      <w:pPr>
        <w:pStyle w:val="ad"/>
        <w:numPr>
          <w:ilvl w:val="0"/>
          <w:numId w:val="8"/>
        </w:numPr>
        <w:spacing w:line="360" w:lineRule="auto"/>
        <w:jc w:val="both"/>
        <w:rPr>
          <w:rFonts w:ascii="David" w:hAnsi="David" w:cs="David"/>
          <w:sz w:val="24"/>
          <w:szCs w:val="24"/>
        </w:rPr>
      </w:pPr>
      <w:r>
        <w:rPr>
          <w:rFonts w:ascii="David" w:hAnsi="David" w:cs="David"/>
          <w:sz w:val="24"/>
          <w:szCs w:val="24"/>
          <w:rtl/>
        </w:rPr>
        <w:t xml:space="preserve">בהתייחס לטענת ההגנה " אמת דיברתי" יצוין כי נדרשות שתי דרישות לחסות תחת הגנה זו: הדרישה הראשונה היא שפרסום היה אמת;  והדרישה השנייה היא שקיים עניין ציבורי בפרסום. </w:t>
      </w:r>
    </w:p>
    <w:p w:rsidR="00DF588E" w:rsidRDefault="00DF588E" w:rsidP="00DF588E">
      <w:pPr>
        <w:pStyle w:val="ad"/>
        <w:spacing w:line="360" w:lineRule="auto"/>
        <w:ind w:left="226"/>
        <w:jc w:val="both"/>
        <w:rPr>
          <w:rFonts w:ascii="David" w:hAnsi="David" w:cs="David"/>
          <w:sz w:val="24"/>
          <w:szCs w:val="24"/>
        </w:rPr>
      </w:pPr>
    </w:p>
    <w:p w:rsidR="00DF588E" w:rsidRDefault="00DF588E" w:rsidP="00DF588E">
      <w:pPr>
        <w:pStyle w:val="ad"/>
        <w:numPr>
          <w:ilvl w:val="0"/>
          <w:numId w:val="8"/>
        </w:numPr>
        <w:spacing w:line="360" w:lineRule="auto"/>
        <w:jc w:val="both"/>
        <w:rPr>
          <w:rFonts w:ascii="David" w:hAnsi="David" w:cs="David"/>
          <w:sz w:val="24"/>
          <w:szCs w:val="24"/>
        </w:rPr>
      </w:pPr>
      <w:r>
        <w:rPr>
          <w:rFonts w:ascii="David" w:hAnsi="David" w:cs="David"/>
          <w:sz w:val="24"/>
          <w:szCs w:val="24"/>
          <w:rtl/>
        </w:rPr>
        <w:t>בעניינינו,</w:t>
      </w:r>
      <w:r>
        <w:rPr>
          <w:rFonts w:ascii="David" w:hAnsi="David" w:cs="David"/>
          <w:b/>
          <w:bCs/>
          <w:sz w:val="24"/>
          <w:szCs w:val="24"/>
          <w:rtl/>
        </w:rPr>
        <w:t xml:space="preserve"> </w:t>
      </w:r>
      <w:r>
        <w:rPr>
          <w:rFonts w:ascii="David" w:hAnsi="David" w:cs="David"/>
          <w:sz w:val="24"/>
          <w:szCs w:val="24"/>
          <w:rtl/>
        </w:rPr>
        <w:t xml:space="preserve">הנתבעים לא הצליחו להוכיח כי יש אמת בפרסום. וכך לא הוכח כי התובע " מחק 42 מיליון ₪ ארנונה לא חוקית", לא הוכח כי התובע "מחלק מבנים", "שדד את העיר" או "איים על הרב קוק", לא הוכח כי התובע "העלים תרומות", מעל בכספי הציבור והתעשר על חשבונם, או ביצע "זיוף במסמכים" . כל אלה לא הוכחו. </w:t>
      </w:r>
    </w:p>
    <w:p w:rsidR="00DF588E" w:rsidRDefault="00DF588E" w:rsidP="00DF588E">
      <w:pPr>
        <w:pStyle w:val="ad"/>
        <w:spacing w:line="360" w:lineRule="auto"/>
        <w:ind w:left="226"/>
        <w:jc w:val="both"/>
        <w:rPr>
          <w:rFonts w:ascii="David" w:hAnsi="David"/>
        </w:rPr>
      </w:pPr>
    </w:p>
    <w:p w:rsidR="00DF588E" w:rsidRDefault="00DF588E" w:rsidP="00DF588E">
      <w:pPr>
        <w:pStyle w:val="ad"/>
        <w:numPr>
          <w:ilvl w:val="0"/>
          <w:numId w:val="8"/>
        </w:numPr>
        <w:spacing w:line="360" w:lineRule="auto"/>
        <w:jc w:val="both"/>
        <w:rPr>
          <w:rFonts w:ascii="David" w:hAnsi="David" w:cs="David"/>
          <w:sz w:val="24"/>
          <w:szCs w:val="24"/>
        </w:rPr>
      </w:pPr>
      <w:r>
        <w:rPr>
          <w:rFonts w:ascii="David" w:hAnsi="David" w:cs="David"/>
          <w:sz w:val="24"/>
          <w:szCs w:val="24"/>
          <w:rtl/>
        </w:rPr>
        <w:t xml:space="preserve">ויודגש, כי הנטל אשר הוטל על הנתבעים במקרה שלפנינו הוא נטל הוכחה גבוה במיוחד, זאת בשל כך שמרבית מהפרסומים שפורסמו אודות התובע ייחסו לו מעשים פלילים.  הנתבעים כאמור לא עמדו בנטל הראיה הרגיל ואף לא עמדו בנטל הראיה המוגבר. הלכה פסוקה היא כי: </w:t>
      </w:r>
      <w:r>
        <w:rPr>
          <w:rFonts w:ascii="David" w:hAnsi="David" w:cs="David"/>
          <w:b/>
          <w:bCs/>
          <w:sz w:val="24"/>
          <w:szCs w:val="24"/>
          <w:rtl/>
        </w:rPr>
        <w:t>"הנטל המונח על שכמו של המשיב כבד במיוחד, לנוכח חומרת הטענה שנילווה לה גוון מעין-פלילי, ועל בית המשפט לבחון את הראיות בזהירות ובקפדנות."</w:t>
      </w:r>
      <w:r>
        <w:rPr>
          <w:rFonts w:ascii="David" w:hAnsi="David" w:cs="David"/>
          <w:sz w:val="24"/>
          <w:szCs w:val="24"/>
          <w:rtl/>
        </w:rPr>
        <w:t xml:space="preserve"> </w:t>
      </w:r>
      <w:r>
        <w:rPr>
          <w:rFonts w:ascii="David" w:hAnsi="David" w:cs="David"/>
          <w:color w:val="000000"/>
          <w:sz w:val="24"/>
          <w:szCs w:val="24"/>
          <w:rtl/>
        </w:rPr>
        <w:t xml:space="preserve">עא 45/15 חלימה נבולסי נ' נביל נבולסי (מיום </w:t>
      </w:r>
      <w:r>
        <w:rPr>
          <w:rFonts w:ascii="David" w:hAnsi="David" w:cs="David"/>
          <w:sz w:val="24"/>
          <w:szCs w:val="24"/>
          <w:rtl/>
        </w:rPr>
        <w:t xml:space="preserve">15.5.2017) ועוד להרחבה ר' ת"א 46544-10-17 </w:t>
      </w:r>
      <w:r>
        <w:rPr>
          <w:rFonts w:ascii="David" w:hAnsi="David" w:cs="David"/>
          <w:sz w:val="24"/>
          <w:szCs w:val="24"/>
          <w:u w:val="single"/>
          <w:rtl/>
        </w:rPr>
        <w:t>אייסוי נ' סבן ואח</w:t>
      </w:r>
      <w:r>
        <w:rPr>
          <w:rFonts w:ascii="David" w:hAnsi="David" w:cs="David"/>
          <w:sz w:val="24"/>
          <w:szCs w:val="24"/>
          <w:rtl/>
        </w:rPr>
        <w:t xml:space="preserve">' (מיום 2.3.2022.). </w:t>
      </w:r>
    </w:p>
    <w:p w:rsidR="00DF588E" w:rsidRDefault="00DF588E" w:rsidP="00DF588E">
      <w:pPr>
        <w:pStyle w:val="ad"/>
        <w:spacing w:line="360" w:lineRule="auto"/>
        <w:ind w:left="586"/>
        <w:jc w:val="both"/>
        <w:rPr>
          <w:rFonts w:ascii="David" w:hAnsi="David" w:cs="David"/>
          <w:sz w:val="24"/>
          <w:szCs w:val="24"/>
        </w:rPr>
      </w:pPr>
    </w:p>
    <w:p w:rsidR="00DF588E" w:rsidRDefault="00DF588E" w:rsidP="00DF588E">
      <w:pPr>
        <w:pStyle w:val="ad"/>
        <w:numPr>
          <w:ilvl w:val="0"/>
          <w:numId w:val="8"/>
        </w:numPr>
        <w:spacing w:line="360" w:lineRule="auto"/>
        <w:jc w:val="both"/>
        <w:rPr>
          <w:rFonts w:ascii="David" w:hAnsi="David" w:cs="David"/>
          <w:sz w:val="24"/>
          <w:szCs w:val="24"/>
        </w:rPr>
      </w:pPr>
      <w:r>
        <w:rPr>
          <w:rFonts w:ascii="David" w:hAnsi="David" w:cs="David"/>
          <w:sz w:val="24"/>
          <w:szCs w:val="24"/>
          <w:rtl/>
        </w:rPr>
        <w:t xml:space="preserve">אכן במסגרת החקירה של התובע הודה התובע כי:" </w:t>
      </w:r>
      <w:r>
        <w:rPr>
          <w:rFonts w:ascii="David" w:hAnsi="David" w:cs="David"/>
          <w:b/>
          <w:bCs/>
          <w:sz w:val="24"/>
          <w:szCs w:val="24"/>
          <w:rtl/>
        </w:rPr>
        <w:t>הייתה לי טעות אחת וזהו"</w:t>
      </w:r>
      <w:r>
        <w:rPr>
          <w:rFonts w:ascii="David" w:hAnsi="David" w:cs="David"/>
          <w:sz w:val="24"/>
          <w:szCs w:val="24"/>
          <w:rtl/>
        </w:rPr>
        <w:t xml:space="preserve"> וזאת בהתייחס לדוח מבקר המדינה אשר קבע כטענת הנתבע 1 כי "התובע פעל בניגוד עניינים חמור והשתתף תחת כובעו כחבר מועצה בישיבות אשר עסקו בתשלום חובות של העמותה אשר במסגרתה הוא פעיל מרכזי". יחד עם זאת אין מקום לקבוע כי התנהלות יחידה של התובע שנקבע לגביה כי פעל בניגוד עניינים מעידה על אמיתות יתר הדברים שפורסמו ע"י הנתבע 1 אודות  התובע.  בוודאי שאין בממצאי הדוח כאמור כדי להוכיח את אמיתות יתר הפרסומים והעברות הפליליות שיוחסו </w:t>
      </w:r>
      <w:r>
        <w:rPr>
          <w:rFonts w:ascii="David" w:hAnsi="David" w:cs="David"/>
          <w:sz w:val="24"/>
          <w:szCs w:val="24"/>
          <w:rtl/>
        </w:rPr>
        <w:lastRenderedPageBreak/>
        <w:t>לתובע. משנקבע כי לא מדובר בפרסומים שהוכחו כאמת, אין מקום לדון בתנאי השני לפיו היה עניין ציבורי בפרסום.</w:t>
      </w:r>
    </w:p>
    <w:p w:rsidR="00DF588E" w:rsidRDefault="00DF588E" w:rsidP="00DF588E">
      <w:pPr>
        <w:pStyle w:val="ad"/>
        <w:spacing w:line="360" w:lineRule="auto"/>
        <w:ind w:left="226"/>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b/>
          <w:bCs/>
          <w:sz w:val="24"/>
          <w:szCs w:val="24"/>
          <w:u w:val="single"/>
          <w:rtl/>
        </w:rPr>
        <w:t>אין מקום לקבל את טענת אחת מההגנות המנויות בסעיף 15 -16 לחוק</w:t>
      </w:r>
    </w:p>
    <w:p w:rsidR="00DF588E" w:rsidRDefault="00DF588E" w:rsidP="00DF588E">
      <w:pPr>
        <w:pStyle w:val="ad"/>
        <w:numPr>
          <w:ilvl w:val="0"/>
          <w:numId w:val="9"/>
        </w:numPr>
        <w:spacing w:line="360" w:lineRule="auto"/>
        <w:jc w:val="both"/>
        <w:rPr>
          <w:rFonts w:ascii="David" w:hAnsi="David" w:cs="David"/>
          <w:sz w:val="24"/>
          <w:szCs w:val="24"/>
        </w:rPr>
      </w:pPr>
      <w:r>
        <w:rPr>
          <w:rFonts w:ascii="David" w:hAnsi="David" w:cs="David"/>
          <w:sz w:val="24"/>
          <w:szCs w:val="24"/>
          <w:rtl/>
        </w:rPr>
        <w:t>הנתבעים טענו באופן כללי וגורף כי עומדות להם כל ההגנות המנויות בסעיפים 14-16 לחוק לשון הרע. במלוא הכבוד אין לקבל טענה זו. מדובר באמירות העולות בצורה חד משמעית כדי לשון הרע. לא מדובר באמירה של מה בכך או זוטי דברים כנטען ע"י הנתבע. מדובר בפרסומים בוטים</w:t>
      </w:r>
      <w:r>
        <w:rPr>
          <w:rFonts w:ascii="David" w:hAnsi="David" w:cs="David"/>
          <w:color w:val="000000"/>
          <w:sz w:val="24"/>
          <w:szCs w:val="24"/>
          <w:shd w:val="clear" w:color="auto" w:fill="FFFFFF"/>
          <w:rtl/>
        </w:rPr>
        <w:t xml:space="preserve"> אשר אין חולק כי חרגו מגדר הסביר.</w:t>
      </w:r>
      <w:r>
        <w:rPr>
          <w:rFonts w:ascii="David" w:hAnsi="David" w:cs="David"/>
          <w:sz w:val="24"/>
          <w:szCs w:val="24"/>
          <w:rtl/>
        </w:rPr>
        <w:t xml:space="preserve"> הן בתוכנם והן בהיקפם.</w:t>
      </w:r>
    </w:p>
    <w:p w:rsidR="00DF588E" w:rsidRDefault="00DF588E" w:rsidP="00DF588E">
      <w:pPr>
        <w:pStyle w:val="ad"/>
        <w:spacing w:line="360" w:lineRule="auto"/>
        <w:ind w:left="226"/>
        <w:jc w:val="both"/>
        <w:rPr>
          <w:rFonts w:ascii="David" w:hAnsi="David" w:cs="David"/>
          <w:b/>
          <w:bCs/>
          <w:sz w:val="24"/>
          <w:szCs w:val="24"/>
        </w:rPr>
      </w:pPr>
    </w:p>
    <w:p w:rsidR="00DF588E" w:rsidRDefault="00DF588E" w:rsidP="00DF588E">
      <w:pPr>
        <w:pStyle w:val="ad"/>
        <w:numPr>
          <w:ilvl w:val="0"/>
          <w:numId w:val="9"/>
        </w:numPr>
        <w:spacing w:line="360" w:lineRule="auto"/>
        <w:jc w:val="both"/>
        <w:rPr>
          <w:rFonts w:ascii="David" w:hAnsi="David" w:cs="David"/>
          <w:b/>
          <w:bCs/>
          <w:sz w:val="24"/>
          <w:szCs w:val="24"/>
        </w:rPr>
      </w:pPr>
      <w:r>
        <w:rPr>
          <w:rFonts w:ascii="David" w:hAnsi="David" w:cs="David"/>
          <w:sz w:val="24"/>
          <w:szCs w:val="24"/>
          <w:rtl/>
        </w:rPr>
        <w:t>ויודגש כי האמירות מדברות בעד עצמן.</w:t>
      </w:r>
      <w:r>
        <w:rPr>
          <w:rFonts w:ascii="David" w:hAnsi="David" w:cs="David"/>
          <w:b/>
          <w:bCs/>
          <w:sz w:val="24"/>
          <w:szCs w:val="24"/>
          <w:rtl/>
        </w:rPr>
        <w:t xml:space="preserve"> </w:t>
      </w:r>
      <w:r>
        <w:rPr>
          <w:rFonts w:ascii="David" w:hAnsi="David" w:cs="David"/>
          <w:sz w:val="24"/>
          <w:szCs w:val="24"/>
          <w:rtl/>
        </w:rPr>
        <w:t xml:space="preserve">בתוך כך אין לקבל את טענת ההגנה לפיה מדובר בביקורת לגיטימית מכל סוג שהוא. הנתבע 1 השתלח בתובע מעבר לגבולות המקובלים. אין בפרסומים אלו כל ביקורת שיש ליתן לה לגיטימציה . לא מצאתי ספק ביחס לכך שבבחירת תוכן הפרסום, הנתבע השפיל, ביזה ופגע בשמו של התובע. עוד אדגיש שאין באמירות המייחסות לתובע מעשי שחיתות, עבריינות , הסתה,  זיוף מסמכים, הונאה ,איומים, עשיית רווחים אישיים וכיוצ"ב כל ביקורת. ייחוס כל האמור לעיל לתובע אינו עולה כדי ביקורת אלא עולה כדי קביעת ממצאים עובדתיים אודותיו. </w:t>
      </w:r>
    </w:p>
    <w:p w:rsidR="00DF588E" w:rsidRPr="00425891" w:rsidRDefault="00DF588E" w:rsidP="00DF588E">
      <w:pPr>
        <w:pStyle w:val="ad"/>
        <w:spacing w:line="360" w:lineRule="auto"/>
        <w:ind w:left="226"/>
        <w:jc w:val="both"/>
        <w:rPr>
          <w:rFonts w:ascii="David" w:hAnsi="David" w:cs="David"/>
          <w:b/>
          <w:bCs/>
          <w:sz w:val="24"/>
          <w:szCs w:val="24"/>
          <w:u w:val="single"/>
        </w:rPr>
      </w:pPr>
    </w:p>
    <w:p w:rsidR="00DF588E" w:rsidRPr="00425891" w:rsidRDefault="00DF588E" w:rsidP="00DF588E">
      <w:pPr>
        <w:pStyle w:val="ad"/>
        <w:numPr>
          <w:ilvl w:val="0"/>
          <w:numId w:val="9"/>
        </w:numPr>
        <w:spacing w:line="360" w:lineRule="auto"/>
        <w:jc w:val="both"/>
        <w:rPr>
          <w:rFonts w:ascii="David" w:hAnsi="David" w:cs="David"/>
          <w:b/>
          <w:bCs/>
          <w:sz w:val="24"/>
          <w:szCs w:val="24"/>
          <w:u w:val="single"/>
        </w:rPr>
      </w:pPr>
      <w:r w:rsidRPr="00425891">
        <w:rPr>
          <w:rFonts w:ascii="David" w:hAnsi="David" w:cs="David"/>
          <w:sz w:val="24"/>
          <w:szCs w:val="24"/>
          <w:rtl/>
        </w:rPr>
        <w:t xml:space="preserve">זאת ועוד יצוין כי, על מנת שתקום לנתבע הגנה על פי אחת מהחלופות המנויות </w:t>
      </w:r>
      <w:hyperlink r:id="rId16" w:history="1">
        <w:r w:rsidRPr="00425891">
          <w:rPr>
            <w:rStyle w:val="Hyperlink"/>
            <w:rFonts w:ascii="David" w:hAnsi="David" w:cs="David"/>
            <w:color w:val="auto"/>
            <w:sz w:val="24"/>
            <w:szCs w:val="24"/>
            <w:rtl/>
          </w:rPr>
          <w:t>בסעיף 15</w:t>
        </w:r>
      </w:hyperlink>
      <w:r w:rsidRPr="00425891">
        <w:rPr>
          <w:rFonts w:ascii="David" w:hAnsi="David" w:cs="David"/>
          <w:sz w:val="24"/>
          <w:szCs w:val="24"/>
          <w:rtl/>
        </w:rPr>
        <w:t xml:space="preserve"> בחוק, נדרש להראות כי הפרסומים נעשו בתום לב מצידו של הנתבע. בעניין זה קבע בית המשפט העליון ב</w:t>
      </w:r>
      <w:hyperlink r:id="rId17" w:history="1">
        <w:r w:rsidRPr="00425891">
          <w:rPr>
            <w:rStyle w:val="Hyperlink"/>
            <w:rFonts w:ascii="David" w:hAnsi="David" w:cs="David"/>
            <w:color w:val="auto"/>
            <w:sz w:val="24"/>
            <w:szCs w:val="24"/>
            <w:u w:val="none"/>
            <w:rtl/>
          </w:rPr>
          <w:t>ע"א 844/12</w:t>
        </w:r>
      </w:hyperlink>
      <w:r w:rsidRPr="00425891">
        <w:rPr>
          <w:rFonts w:ascii="David" w:hAnsi="David" w:cs="David"/>
          <w:sz w:val="24"/>
          <w:szCs w:val="24"/>
          <w:rtl/>
        </w:rPr>
        <w:t xml:space="preserve"> </w:t>
      </w:r>
      <w:r w:rsidRPr="00425891">
        <w:rPr>
          <w:rFonts w:ascii="David" w:hAnsi="David" w:cs="David" w:hint="cs"/>
          <w:sz w:val="24"/>
          <w:szCs w:val="24"/>
          <w:u w:val="single"/>
          <w:rtl/>
        </w:rPr>
        <w:t>דניאל מולקנדוב נ' שרה פורוש</w:t>
      </w:r>
      <w:r w:rsidRPr="00425891">
        <w:rPr>
          <w:rFonts w:ascii="David" w:hAnsi="David" w:cs="David" w:hint="cs"/>
          <w:sz w:val="24"/>
          <w:szCs w:val="24"/>
          <w:rtl/>
        </w:rPr>
        <w:t xml:space="preserve"> (מיום 22/02/17) את הדברים הבאים: </w:t>
      </w:r>
      <w:r w:rsidRPr="00425891">
        <w:rPr>
          <w:rFonts w:ascii="David" w:hAnsi="David" w:cs="David" w:hint="cs"/>
          <w:b/>
          <w:bCs/>
          <w:sz w:val="24"/>
          <w:szCs w:val="24"/>
          <w:rtl/>
        </w:rPr>
        <w:t xml:space="preserve">"מדובר בקשת של נסיבות שבהן תקום לנתבע הגנה אף במחיר פגיעה בשם הטוב של הנפגע, בהתקיים שני תנאים מצטברים: הנתבע עשה את הפרסום בתום לב; הפרסום נעשה באחת הנסיבות המנויות בסעיפי המשנה של סעיף 15 לחוק. נטל הוכחת מרכיב "תום הלב" מוטל על המפרסם, וכן את הטענה שעשה את הפרסום באחת מהנסיבות המפורטות בסעיף. </w:t>
      </w:r>
      <w:r w:rsidRPr="00425891">
        <w:rPr>
          <w:rFonts w:ascii="David" w:hAnsi="David" w:cs="David" w:hint="cs"/>
          <w:sz w:val="24"/>
          <w:szCs w:val="24"/>
          <w:rtl/>
        </w:rPr>
        <w:t>"</w:t>
      </w:r>
    </w:p>
    <w:p w:rsidR="00DF588E" w:rsidRPr="00425891" w:rsidRDefault="00DF588E" w:rsidP="00DF588E">
      <w:pPr>
        <w:pStyle w:val="3"/>
        <w:widowControl w:val="0"/>
        <w:tabs>
          <w:tab w:val="left" w:pos="1474"/>
          <w:tab w:val="left" w:pos="1928"/>
          <w:tab w:val="left" w:pos="2381"/>
          <w:tab w:val="left" w:pos="2835"/>
          <w:tab w:val="right" w:leader="dot" w:pos="6259"/>
        </w:tabs>
        <w:suppressAutoHyphens/>
        <w:autoSpaceDE w:val="0"/>
        <w:autoSpaceDN w:val="0"/>
        <w:spacing w:before="72"/>
        <w:ind w:right="1134"/>
        <w:jc w:val="both"/>
        <w:rPr>
          <w:rFonts w:ascii="David" w:hAnsi="David"/>
          <w:rtl/>
          <w:lang w:eastAsia="he-IL"/>
        </w:rPr>
      </w:pPr>
    </w:p>
    <w:p w:rsidR="00DF588E" w:rsidRDefault="00DF588E" w:rsidP="00DF588E">
      <w:pPr>
        <w:pStyle w:val="ad"/>
        <w:numPr>
          <w:ilvl w:val="0"/>
          <w:numId w:val="9"/>
        </w:numPr>
        <w:spacing w:line="360" w:lineRule="auto"/>
        <w:jc w:val="both"/>
        <w:rPr>
          <w:rFonts w:ascii="David" w:hAnsi="David" w:cs="David"/>
          <w:sz w:val="24"/>
          <w:szCs w:val="24"/>
          <w:lang w:eastAsia="he-IL"/>
        </w:rPr>
      </w:pPr>
      <w:r w:rsidRPr="00425891">
        <w:rPr>
          <w:rFonts w:ascii="David" w:hAnsi="David" w:cs="David"/>
          <w:sz w:val="24"/>
          <w:szCs w:val="24"/>
          <w:rtl/>
          <w:lang w:eastAsia="he-IL"/>
        </w:rPr>
        <w:t xml:space="preserve">התנאים הקבועים בסעיפים קטנים </w:t>
      </w:r>
      <w:hyperlink r:id="rId18" w:history="1">
        <w:r w:rsidRPr="00425891">
          <w:rPr>
            <w:rStyle w:val="Hyperlink"/>
            <w:rFonts w:ascii="David" w:hAnsi="David" w:cs="David"/>
            <w:color w:val="auto"/>
            <w:sz w:val="24"/>
            <w:szCs w:val="24"/>
            <w:rtl/>
            <w:lang w:eastAsia="he-IL"/>
          </w:rPr>
          <w:t>לסעיף 15</w:t>
        </w:r>
      </w:hyperlink>
      <w:r w:rsidRPr="00425891">
        <w:rPr>
          <w:rFonts w:ascii="David" w:hAnsi="David" w:cs="David"/>
          <w:sz w:val="24"/>
          <w:szCs w:val="24"/>
          <w:rtl/>
          <w:lang w:eastAsia="he-IL"/>
        </w:rPr>
        <w:t xml:space="preserve"> ל</w:t>
      </w:r>
      <w:hyperlink r:id="rId19" w:history="1">
        <w:r w:rsidRPr="00425891">
          <w:rPr>
            <w:rStyle w:val="Hyperlink"/>
            <w:rFonts w:ascii="David" w:hAnsi="David" w:cs="David"/>
            <w:color w:val="auto"/>
            <w:sz w:val="24"/>
            <w:szCs w:val="24"/>
            <w:rtl/>
            <w:lang w:eastAsia="he-IL"/>
          </w:rPr>
          <w:t>חוק איסור לשון הרע</w:t>
        </w:r>
      </w:hyperlink>
      <w:r w:rsidRPr="00425891">
        <w:rPr>
          <w:rFonts w:ascii="David" w:hAnsi="David" w:cs="David"/>
          <w:sz w:val="24"/>
          <w:szCs w:val="24"/>
          <w:rtl/>
          <w:lang w:eastAsia="he-IL"/>
        </w:rPr>
        <w:t xml:space="preserve"> הם תנאים  מצטברים. העדרו של מרכיב אחד מתוך המרכיבים שולל מיניה וביה מהמפרסם את תחולת </w:t>
      </w:r>
      <w:r>
        <w:rPr>
          <w:rFonts w:ascii="David" w:hAnsi="David" w:cs="David"/>
          <w:sz w:val="24"/>
          <w:szCs w:val="24"/>
          <w:rtl/>
          <w:lang w:eastAsia="he-IL"/>
        </w:rPr>
        <w:t>ההגנה. בין מרכיבים אלה, מרכיב תום הלב. על</w:t>
      </w:r>
      <w:r>
        <w:rPr>
          <w:rFonts w:ascii="David" w:hAnsi="David" w:cs="David"/>
          <w:sz w:val="24"/>
          <w:szCs w:val="24"/>
          <w:rtl/>
        </w:rPr>
        <w:t xml:space="preserve"> מנת לקבוע כי הפרסומים נעשו בתום לב יש לבחון בין היתר את נסיבות הפרסומים, את התנהגותו של הנתבע ואת סבירות הפרסום. </w:t>
      </w:r>
    </w:p>
    <w:p w:rsidR="00DF588E" w:rsidRDefault="00DF588E" w:rsidP="00DF588E">
      <w:pPr>
        <w:pStyle w:val="ad"/>
        <w:spacing w:line="360" w:lineRule="auto"/>
        <w:ind w:left="226"/>
        <w:jc w:val="both"/>
        <w:rPr>
          <w:rFonts w:ascii="David" w:hAnsi="David" w:cs="David"/>
          <w:sz w:val="24"/>
          <w:szCs w:val="24"/>
        </w:rPr>
      </w:pPr>
    </w:p>
    <w:p w:rsidR="00DF588E" w:rsidRDefault="00DF588E" w:rsidP="00DF588E">
      <w:pPr>
        <w:pStyle w:val="ad"/>
        <w:numPr>
          <w:ilvl w:val="0"/>
          <w:numId w:val="9"/>
        </w:numPr>
        <w:spacing w:line="360" w:lineRule="auto"/>
        <w:jc w:val="both"/>
        <w:rPr>
          <w:rFonts w:ascii="David" w:hAnsi="David" w:cs="David"/>
          <w:sz w:val="24"/>
          <w:szCs w:val="24"/>
        </w:rPr>
      </w:pPr>
      <w:r>
        <w:rPr>
          <w:rFonts w:ascii="David" w:hAnsi="David" w:cs="David"/>
          <w:sz w:val="24"/>
          <w:szCs w:val="24"/>
          <w:rtl/>
        </w:rPr>
        <w:t xml:space="preserve">משבחר התובע לפרסם את האמירות תוך שימוש בהשתלחות בתובע  מעבר לגבולות המותר והמקובל הרי נשמט יסוד תום הלב שבהגנות בהתאם לסעיף 15 לחוק. </w:t>
      </w:r>
    </w:p>
    <w:p w:rsidR="00DF588E" w:rsidRDefault="00DF588E" w:rsidP="00DF588E">
      <w:pPr>
        <w:pStyle w:val="ad"/>
        <w:spacing w:line="360" w:lineRule="auto"/>
        <w:ind w:left="586"/>
        <w:jc w:val="both"/>
        <w:rPr>
          <w:rFonts w:ascii="David" w:hAnsi="David" w:cs="David"/>
          <w:sz w:val="24"/>
          <w:szCs w:val="24"/>
        </w:rPr>
      </w:pPr>
    </w:p>
    <w:p w:rsidR="00DF588E" w:rsidRDefault="00DF588E" w:rsidP="00DF588E">
      <w:pPr>
        <w:pStyle w:val="ad"/>
        <w:numPr>
          <w:ilvl w:val="0"/>
          <w:numId w:val="9"/>
        </w:numPr>
        <w:spacing w:line="360" w:lineRule="auto"/>
        <w:jc w:val="both"/>
        <w:rPr>
          <w:rFonts w:ascii="David" w:hAnsi="David" w:cs="David"/>
          <w:sz w:val="24"/>
          <w:szCs w:val="24"/>
        </w:rPr>
      </w:pPr>
      <w:r>
        <w:rPr>
          <w:rFonts w:ascii="David" w:hAnsi="David" w:cs="David"/>
          <w:sz w:val="24"/>
          <w:szCs w:val="24"/>
          <w:rtl/>
        </w:rPr>
        <w:t xml:space="preserve">כמו כן,  </w:t>
      </w:r>
      <w:r w:rsidRPr="00425891">
        <w:rPr>
          <w:rFonts w:ascii="David" w:hAnsi="David" w:cs="David"/>
          <w:sz w:val="24"/>
          <w:szCs w:val="24"/>
          <w:rtl/>
        </w:rPr>
        <w:t xml:space="preserve">פרסום האמירות פעם אחר פעם מדגיש את חוסר הסבירות שבהתנהלות הנתבע, לעניין זה אפנה אל </w:t>
      </w:r>
      <w:hyperlink r:id="rId20" w:history="1">
        <w:r w:rsidRPr="00425891">
          <w:rPr>
            <w:rStyle w:val="Hyperlink"/>
            <w:rFonts w:ascii="David" w:hAnsi="David" w:cs="David"/>
            <w:color w:val="auto"/>
            <w:spacing w:val="10"/>
            <w:sz w:val="24"/>
            <w:szCs w:val="24"/>
            <w:u w:val="none"/>
            <w:rtl/>
          </w:rPr>
          <w:t>רע"א 10520/03</w:t>
        </w:r>
      </w:hyperlink>
      <w:r w:rsidRPr="00425891">
        <w:rPr>
          <w:rFonts w:ascii="David" w:hAnsi="David" w:cs="David"/>
          <w:spacing w:val="10"/>
          <w:sz w:val="24"/>
          <w:szCs w:val="24"/>
          <w:rtl/>
        </w:rPr>
        <w:t xml:space="preserve"> </w:t>
      </w:r>
      <w:r w:rsidRPr="00425891">
        <w:rPr>
          <w:rFonts w:ascii="David" w:hAnsi="David" w:cs="David" w:hint="cs"/>
          <w:spacing w:val="10"/>
          <w:sz w:val="24"/>
          <w:szCs w:val="24"/>
          <w:u w:val="single"/>
          <w:rtl/>
        </w:rPr>
        <w:t>בן גביר נ' דנקנר</w:t>
      </w:r>
      <w:r w:rsidRPr="00425891">
        <w:rPr>
          <w:rFonts w:ascii="David" w:hAnsi="David" w:cs="David"/>
          <w:sz w:val="24"/>
          <w:szCs w:val="24"/>
          <w:rtl/>
        </w:rPr>
        <w:t xml:space="preserve"> (מיום 12/11/2006, הש' א' ריבלין, א' פרוקצ'יה וע' ארבל) שם נקבע כי: "...</w:t>
      </w:r>
      <w:r w:rsidRPr="00425891">
        <w:rPr>
          <w:rFonts w:ascii="David" w:hAnsi="David" w:cs="David"/>
          <w:b/>
          <w:bCs/>
          <w:spacing w:val="10"/>
          <w:sz w:val="24"/>
          <w:szCs w:val="24"/>
          <w:rtl/>
        </w:rPr>
        <w:t xml:space="preserve"> </w:t>
      </w:r>
      <w:r w:rsidRPr="00425891">
        <w:rPr>
          <w:rFonts w:ascii="David" w:hAnsi="David" w:cs="David"/>
          <w:sz w:val="24"/>
          <w:szCs w:val="24"/>
          <w:rtl/>
        </w:rPr>
        <w:t xml:space="preserve">להתנהגות המפרסם טרם הפרסום, בשעת הפרסום, ולאחריו משמעות </w:t>
      </w:r>
      <w:r w:rsidRPr="00425891">
        <w:rPr>
          <w:rFonts w:ascii="David" w:hAnsi="David" w:cs="David"/>
          <w:sz w:val="24"/>
          <w:szCs w:val="24"/>
          <w:rtl/>
        </w:rPr>
        <w:lastRenderedPageBreak/>
        <w:t>בעלת</w:t>
      </w:r>
      <w:r w:rsidRPr="00425891">
        <w:rPr>
          <w:rFonts w:ascii="David" w:hAnsi="David" w:cs="David"/>
          <w:b/>
          <w:bCs/>
          <w:spacing w:val="10"/>
          <w:sz w:val="24"/>
          <w:szCs w:val="24"/>
          <w:rtl/>
        </w:rPr>
        <w:t xml:space="preserve"> משקל בהקשר לסבירות הפרסום. טיב הפרסום ותוכנו גם הם משליכים על סבירות הפרסום. </w:t>
      </w:r>
      <w:r w:rsidRPr="00425891">
        <w:rPr>
          <w:rFonts w:ascii="David" w:hAnsi="David" w:cs="David"/>
          <w:b/>
          <w:bCs/>
          <w:spacing w:val="10"/>
          <w:sz w:val="24"/>
          <w:szCs w:val="24"/>
          <w:u w:val="single"/>
          <w:rtl/>
        </w:rPr>
        <w:t xml:space="preserve">פרסום שנועד כל </w:t>
      </w:r>
      <w:r>
        <w:rPr>
          <w:rFonts w:ascii="David" w:hAnsi="David" w:cs="David"/>
          <w:b/>
          <w:bCs/>
          <w:spacing w:val="10"/>
          <w:sz w:val="24"/>
          <w:szCs w:val="24"/>
          <w:u w:val="single"/>
          <w:rtl/>
        </w:rPr>
        <w:t>כולו לפגוע, להעליב ולבזות עשוי להיחשב חורג מן הסביר, וחזרה על התבטאויות  פוגעניות בהזדמנויות נוספות עשויה לשלול תום לב</w:t>
      </w:r>
      <w:r>
        <w:rPr>
          <w:rFonts w:ascii="David" w:hAnsi="David" w:cs="David"/>
          <w:b/>
          <w:bCs/>
          <w:spacing w:val="10"/>
          <w:sz w:val="24"/>
          <w:szCs w:val="24"/>
          <w:rtl/>
        </w:rPr>
        <w:t>."</w:t>
      </w:r>
    </w:p>
    <w:p w:rsidR="00DF588E" w:rsidRDefault="00DF588E" w:rsidP="00DF588E">
      <w:pPr>
        <w:pStyle w:val="ad"/>
        <w:spacing w:line="360" w:lineRule="auto"/>
        <w:ind w:left="226"/>
        <w:jc w:val="both"/>
        <w:rPr>
          <w:rFonts w:ascii="David" w:hAnsi="David" w:cs="David"/>
          <w:b/>
          <w:bCs/>
          <w:sz w:val="24"/>
          <w:szCs w:val="24"/>
          <w:u w:val="single"/>
        </w:rPr>
      </w:pPr>
    </w:p>
    <w:p w:rsidR="00DF588E" w:rsidRDefault="00DF588E" w:rsidP="00DF588E">
      <w:pPr>
        <w:pStyle w:val="ad"/>
        <w:numPr>
          <w:ilvl w:val="0"/>
          <w:numId w:val="9"/>
        </w:numPr>
        <w:spacing w:line="360" w:lineRule="auto"/>
        <w:jc w:val="both"/>
        <w:rPr>
          <w:rFonts w:ascii="David" w:hAnsi="David" w:cs="David"/>
          <w:b/>
          <w:bCs/>
          <w:sz w:val="24"/>
          <w:szCs w:val="24"/>
          <w:u w:val="single"/>
        </w:rPr>
      </w:pPr>
      <w:r>
        <w:rPr>
          <w:rFonts w:ascii="David" w:hAnsi="David" w:cs="David"/>
          <w:sz w:val="24"/>
          <w:szCs w:val="24"/>
          <w:u w:val="single"/>
          <w:rtl/>
        </w:rPr>
        <w:t>סיכום עד כאן</w:t>
      </w:r>
      <w:r>
        <w:rPr>
          <w:rFonts w:ascii="David" w:hAnsi="David" w:cs="David"/>
          <w:sz w:val="24"/>
          <w:szCs w:val="24"/>
          <w:rtl/>
        </w:rPr>
        <w:t xml:space="preserve"> - בהתאם לכל האמור לעיל הרי שלא קמה לנתבע כל הגנה שבדין. הנתבע לא הוכיח שפרסומיו היו אמת, הנתבע אף לא הוכיח כל תום לב בפרסומיו. בנסיבות אלו אין מקום לקבל אף את ההגנה המנויה בסעיף 16 לחוק שכן ברור הוא כי היקף הפרסומים חרג מתחום הסביר .</w:t>
      </w:r>
    </w:p>
    <w:p w:rsidR="00DF588E" w:rsidRDefault="00DF588E" w:rsidP="00DF588E">
      <w:pPr>
        <w:pStyle w:val="3"/>
        <w:tabs>
          <w:tab w:val="left" w:pos="1076"/>
        </w:tabs>
        <w:spacing w:after="160" w:line="360" w:lineRule="auto"/>
        <w:ind w:right="284"/>
        <w:jc w:val="both"/>
        <w:rPr>
          <w:rFonts w:ascii="David" w:hAnsi="David"/>
          <w:b/>
          <w:bCs/>
          <w:u w:val="single"/>
        </w:rPr>
      </w:pPr>
    </w:p>
    <w:p w:rsidR="00DF588E" w:rsidRDefault="00DF588E" w:rsidP="00DF588E">
      <w:pPr>
        <w:pStyle w:val="ad"/>
        <w:spacing w:line="360" w:lineRule="auto"/>
        <w:ind w:left="-739"/>
        <w:jc w:val="both"/>
        <w:rPr>
          <w:rFonts w:ascii="David" w:hAnsi="David" w:cs="David"/>
          <w:b/>
          <w:bCs/>
          <w:sz w:val="28"/>
          <w:szCs w:val="28"/>
          <w:u w:val="single"/>
        </w:rPr>
      </w:pPr>
      <w:r>
        <w:rPr>
          <w:rFonts w:ascii="David" w:hAnsi="David" w:cs="David"/>
          <w:b/>
          <w:bCs/>
          <w:sz w:val="28"/>
          <w:szCs w:val="28"/>
          <w:u w:val="single"/>
          <w:rtl/>
        </w:rPr>
        <w:t xml:space="preserve">חלק רביעי- התייחסות ספציפית לנתבעים 2 ו-3 </w:t>
      </w:r>
    </w:p>
    <w:p w:rsidR="00DF588E" w:rsidRDefault="00DF588E" w:rsidP="00DF588E">
      <w:pPr>
        <w:pStyle w:val="ad"/>
        <w:numPr>
          <w:ilvl w:val="0"/>
          <w:numId w:val="1"/>
        </w:numPr>
        <w:spacing w:line="360" w:lineRule="auto"/>
        <w:ind w:left="-199" w:hanging="567"/>
        <w:jc w:val="both"/>
        <w:rPr>
          <w:rFonts w:ascii="David" w:hAnsi="David" w:cs="David"/>
          <w:b/>
          <w:bCs/>
          <w:sz w:val="24"/>
          <w:szCs w:val="24"/>
          <w:u w:val="single"/>
        </w:rPr>
      </w:pPr>
      <w:r>
        <w:rPr>
          <w:rFonts w:ascii="David" w:hAnsi="David" w:cs="David"/>
          <w:b/>
          <w:bCs/>
          <w:sz w:val="24"/>
          <w:szCs w:val="24"/>
          <w:u w:val="single"/>
          <w:rtl/>
        </w:rPr>
        <w:t>אחריות הנתבעים 2 ו- 3 לפרסומים</w:t>
      </w: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rtl/>
        </w:rPr>
        <w:t>בתחילת הדיון יש מקום להתייחס לכך שנעשתה פנייה מקדימה בכתב אל הנתבעים ואלו בחרו שלא להסיר ולו פרסום אחד בעקבות כך. כלומר, אין מדובר בנתבעים תמימים שמצאו עצמם משורבבים למאבקיו של הנתבע 1. ניתנה לנתבעים אפשרות לתקן את העוולה או לכל הפחות ששחרר עצמם מהעוולה באופן שימחקו את הפרסומים והם לא עשו כן. הנתבעים 2-3 אפילו לא היססו להמשיך לשמש כמנהלי הקבוצה בה בוצעו הפרסומים, וכך לא הסירו עצמם מהגדרתם כמנהלים.</w:t>
      </w:r>
    </w:p>
    <w:p w:rsidR="00DF588E" w:rsidRDefault="00DF588E" w:rsidP="00DF588E">
      <w:pPr>
        <w:pStyle w:val="ad"/>
        <w:spacing w:line="360" w:lineRule="auto"/>
        <w:ind w:left="226"/>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rtl/>
        </w:rPr>
        <w:t>לגופו של עניין - התובע ביקש להטיל על הנתבעים 2 ו-3 אחריות מכוח היותם "עורכים ראשיים על הנכתב בעמוד הפייסבוק". לעניין זה הפנה אל</w:t>
      </w:r>
      <w:r>
        <w:rPr>
          <w:rFonts w:ascii="David" w:hAnsi="David" w:cs="David"/>
          <w:b/>
          <w:bCs/>
          <w:sz w:val="24"/>
          <w:szCs w:val="24"/>
          <w:rtl/>
        </w:rPr>
        <w:t xml:space="preserve"> </w:t>
      </w:r>
      <w:r>
        <w:rPr>
          <w:rFonts w:ascii="David" w:hAnsi="David" w:cs="David"/>
          <w:sz w:val="24"/>
          <w:szCs w:val="24"/>
          <w:rtl/>
        </w:rPr>
        <w:t xml:space="preserve"> ת.א. 2672-09-13 , דהן נ' קמיל. לגישתו פסיקה זו היא שהופכת גם את הנתבעים 2 ו 3- לאחראים כ"עורכים ראשיים" על הנכתב בעמוד זה.</w:t>
      </w:r>
    </w:p>
    <w:p w:rsidR="00DF588E" w:rsidRDefault="00DF588E" w:rsidP="00DF588E">
      <w:pPr>
        <w:pStyle w:val="ad"/>
        <w:spacing w:line="360" w:lineRule="auto"/>
        <w:ind w:left="226"/>
        <w:jc w:val="both"/>
        <w:rPr>
          <w:rFonts w:ascii="David" w:hAnsi="David" w:cs="David"/>
          <w:sz w:val="24"/>
          <w:szCs w:val="24"/>
          <w:rtl/>
        </w:rPr>
      </w:pPr>
    </w:p>
    <w:p w:rsidR="00DF588E" w:rsidRDefault="00DF588E" w:rsidP="00126A31">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rtl/>
        </w:rPr>
        <w:t>התובע שב והדגיש כי נתבעים 2 ו 3- הם מנהליה של הקבוצה בה מתפרסמים מידי יום ביומו, לרוב על ידי נתבע 1 הפרסומים המשמיצים . לדבריו, מנהל קבוצה הוא הגורם אשר יכול למחוק הודעות – לא רק את שלו אלא גם של אחרים. לטענתו , תחת</w:t>
      </w:r>
      <w:r>
        <w:rPr>
          <w:rFonts w:ascii="David" w:hAnsi="David" w:cs="David"/>
          <w:sz w:val="24"/>
          <w:szCs w:val="24"/>
        </w:rPr>
        <w:t xml:space="preserve"> </w:t>
      </w:r>
      <w:r>
        <w:rPr>
          <w:rFonts w:ascii="David" w:hAnsi="David" w:cs="David"/>
          <w:sz w:val="24"/>
          <w:szCs w:val="24"/>
          <w:rtl/>
        </w:rPr>
        <w:t>ניהולם</w:t>
      </w:r>
      <w:r>
        <w:rPr>
          <w:rFonts w:ascii="David" w:hAnsi="David" w:cs="David"/>
          <w:sz w:val="24"/>
          <w:szCs w:val="24"/>
        </w:rPr>
        <w:t xml:space="preserve"> </w:t>
      </w:r>
      <w:r>
        <w:rPr>
          <w:rFonts w:ascii="David" w:hAnsi="David" w:cs="David"/>
          <w:sz w:val="24"/>
          <w:szCs w:val="24"/>
          <w:rtl/>
        </w:rPr>
        <w:t>של</w:t>
      </w:r>
      <w:r>
        <w:rPr>
          <w:rFonts w:ascii="David" w:hAnsi="David" w:cs="David"/>
          <w:sz w:val="24"/>
          <w:szCs w:val="24"/>
        </w:rPr>
        <w:t xml:space="preserve"> </w:t>
      </w:r>
      <w:r>
        <w:rPr>
          <w:rFonts w:ascii="David" w:hAnsi="David" w:cs="David"/>
          <w:sz w:val="24"/>
          <w:szCs w:val="24"/>
          <w:rtl/>
        </w:rPr>
        <w:t>הנתבעים</w:t>
      </w:r>
      <w:r w:rsidR="00126A31">
        <w:rPr>
          <w:rFonts w:ascii="David" w:hAnsi="David" w:cs="David"/>
          <w:sz w:val="24"/>
          <w:szCs w:val="24"/>
        </w:rPr>
        <w:t xml:space="preserve"> </w:t>
      </w:r>
      <w:r w:rsidR="00126A31">
        <w:rPr>
          <w:rFonts w:ascii="David" w:hAnsi="David" w:cs="David" w:hint="cs"/>
          <w:sz w:val="24"/>
          <w:szCs w:val="24"/>
          <w:rtl/>
        </w:rPr>
        <w:t>ה</w:t>
      </w:r>
      <w:r>
        <w:rPr>
          <w:rFonts w:ascii="David" w:hAnsi="David" w:cs="David"/>
          <w:sz w:val="24"/>
          <w:szCs w:val="24"/>
          <w:rtl/>
        </w:rPr>
        <w:t>פכה</w:t>
      </w:r>
      <w:r>
        <w:rPr>
          <w:rFonts w:ascii="David" w:hAnsi="David" w:cs="David"/>
          <w:sz w:val="24"/>
          <w:szCs w:val="24"/>
        </w:rPr>
        <w:t xml:space="preserve"> </w:t>
      </w:r>
      <w:r>
        <w:rPr>
          <w:rFonts w:ascii="David" w:hAnsi="David" w:cs="David"/>
          <w:sz w:val="24"/>
          <w:szCs w:val="24"/>
          <w:rtl/>
        </w:rPr>
        <w:t>הקבוצה</w:t>
      </w:r>
      <w:r>
        <w:rPr>
          <w:rFonts w:ascii="David" w:hAnsi="David" w:cs="David"/>
          <w:sz w:val="24"/>
          <w:szCs w:val="24"/>
        </w:rPr>
        <w:t xml:space="preserve"> </w:t>
      </w:r>
      <w:r>
        <w:rPr>
          <w:rFonts w:ascii="David" w:hAnsi="David" w:cs="David"/>
          <w:sz w:val="24"/>
          <w:szCs w:val="24"/>
          <w:rtl/>
        </w:rPr>
        <w:t>כר</w:t>
      </w:r>
      <w:r>
        <w:rPr>
          <w:rFonts w:ascii="David" w:hAnsi="David" w:cs="David"/>
          <w:sz w:val="24"/>
          <w:szCs w:val="24"/>
        </w:rPr>
        <w:t xml:space="preserve"> </w:t>
      </w:r>
      <w:r>
        <w:rPr>
          <w:rFonts w:ascii="David" w:hAnsi="David" w:cs="David"/>
          <w:sz w:val="24"/>
          <w:szCs w:val="24"/>
          <w:rtl/>
        </w:rPr>
        <w:t>להשתלחויות</w:t>
      </w:r>
      <w:r>
        <w:rPr>
          <w:rFonts w:ascii="David" w:hAnsi="David" w:cs="David"/>
          <w:sz w:val="24"/>
          <w:szCs w:val="24"/>
        </w:rPr>
        <w:t xml:space="preserve"> </w:t>
      </w:r>
      <w:r>
        <w:rPr>
          <w:rFonts w:ascii="David" w:hAnsi="David" w:cs="David"/>
          <w:sz w:val="24"/>
          <w:szCs w:val="24"/>
          <w:rtl/>
        </w:rPr>
        <w:t>פרועות</w:t>
      </w:r>
      <w:r>
        <w:rPr>
          <w:rFonts w:ascii="David" w:hAnsi="David" w:cs="David"/>
          <w:sz w:val="24"/>
          <w:szCs w:val="24"/>
        </w:rPr>
        <w:t xml:space="preserve"> </w:t>
      </w:r>
      <w:r>
        <w:rPr>
          <w:rFonts w:ascii="David" w:hAnsi="David" w:cs="David"/>
          <w:sz w:val="24"/>
          <w:szCs w:val="24"/>
          <w:rtl/>
        </w:rPr>
        <w:t xml:space="preserve">בו.  </w:t>
      </w:r>
    </w:p>
    <w:p w:rsidR="00DF588E" w:rsidRDefault="00DF588E" w:rsidP="00DF588E">
      <w:pPr>
        <w:pStyle w:val="ad"/>
        <w:spacing w:line="360" w:lineRule="auto"/>
        <w:ind w:left="226"/>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rtl/>
        </w:rPr>
        <w:t>לצד זאת צוין כי הנתבע 2 והנתבעת 3 לא מסירים את הפרסומים השליליים, לא מוחקים את הדברים שמפורסמים ובכך למעשה מעודדים את המשך הפרסומים כנגד התובע. בנסיבות אלו התובע רואה בנתבעים כאחראיים לפרסומים שנכתבו אודותיו בקבוצה שהם מנהליה. לגישתו, מנהלי הקבוצה למעשה משמשים כעורכים ראשיים של החומר שמועלה בקבוצה ומקביל בהתנהלותם לעורך עיתון או אמצעי תקשורת באנאלוגיה למופיע בחוק איסור לשון הרע (ס' 11 לחוק).</w:t>
      </w:r>
    </w:p>
    <w:p w:rsidR="00DF588E" w:rsidRDefault="00DF588E" w:rsidP="00DF588E">
      <w:pPr>
        <w:pStyle w:val="ad"/>
        <w:spacing w:line="360" w:lineRule="auto"/>
        <w:ind w:left="226"/>
        <w:jc w:val="both"/>
        <w:rPr>
          <w:rFonts w:ascii="David" w:hAnsi="David" w:cs="David"/>
          <w:b/>
          <w:bCs/>
          <w:sz w:val="24"/>
          <w:szCs w:val="24"/>
        </w:rPr>
      </w:pPr>
    </w:p>
    <w:p w:rsidR="00DF588E" w:rsidRDefault="00DF588E" w:rsidP="00DF588E">
      <w:pPr>
        <w:pStyle w:val="ad"/>
        <w:numPr>
          <w:ilvl w:val="1"/>
          <w:numId w:val="1"/>
        </w:numPr>
        <w:spacing w:line="360" w:lineRule="auto"/>
        <w:ind w:left="226" w:hanging="425"/>
        <w:jc w:val="both"/>
        <w:rPr>
          <w:rFonts w:ascii="David" w:hAnsi="David" w:cs="David"/>
          <w:b/>
          <w:bCs/>
          <w:sz w:val="24"/>
          <w:szCs w:val="24"/>
        </w:rPr>
      </w:pPr>
      <w:r>
        <w:rPr>
          <w:rFonts w:ascii="David" w:hAnsi="David" w:cs="David"/>
          <w:sz w:val="24"/>
          <w:szCs w:val="24"/>
          <w:rtl/>
        </w:rPr>
        <w:t xml:space="preserve">נכון שהפרסומים המקוריים שנעשו במסגרת קבוצת הפייסבוק לא בוצעו על ידי הנתבעים 2 ו-3 וכלל הוא שאין מקום לחייב בפרסום לשון </w:t>
      </w:r>
      <w:r w:rsidRPr="001059B6">
        <w:rPr>
          <w:rFonts w:ascii="David" w:hAnsi="David" w:cs="David"/>
          <w:sz w:val="24"/>
          <w:szCs w:val="24"/>
          <w:rtl/>
        </w:rPr>
        <w:t xml:space="preserve">הרע נתבע שלא ביצע פרסום והמקרים החריגים בהם גם המחוקק קבע שניתן לחייב באחריות פלילית ואזרחית בשל לשון הרע מעגל רחב של נתבעים הם מקרים של פרסום לשון הרע </w:t>
      </w:r>
      <w:r w:rsidRPr="001059B6">
        <w:rPr>
          <w:rFonts w:ascii="David" w:hAnsi="David" w:cs="David"/>
          <w:sz w:val="24"/>
          <w:szCs w:val="24"/>
          <w:u w:val="single"/>
          <w:rtl/>
        </w:rPr>
        <w:t>באמצעי תקשורת.</w:t>
      </w:r>
      <w:r w:rsidRPr="001059B6">
        <w:rPr>
          <w:rFonts w:ascii="David" w:hAnsi="David" w:cs="David"/>
          <w:sz w:val="24"/>
          <w:szCs w:val="24"/>
          <w:rtl/>
        </w:rPr>
        <w:t xml:space="preserve"> וכך קובע סעיף </w:t>
      </w:r>
      <w:hyperlink r:id="rId21" w:history="1">
        <w:r w:rsidRPr="001059B6">
          <w:rPr>
            <w:rStyle w:val="Hyperlink"/>
            <w:rFonts w:ascii="David" w:hAnsi="David" w:cs="David"/>
            <w:color w:val="auto"/>
            <w:sz w:val="24"/>
            <w:szCs w:val="24"/>
            <w:rtl/>
          </w:rPr>
          <w:t>11 (א)</w:t>
        </w:r>
      </w:hyperlink>
      <w:r w:rsidRPr="001059B6">
        <w:rPr>
          <w:rFonts w:ascii="David" w:hAnsi="David" w:cs="David"/>
          <w:sz w:val="24"/>
          <w:szCs w:val="24"/>
          <w:rtl/>
        </w:rPr>
        <w:t xml:space="preserve"> לחוק  שכאשר </w:t>
      </w:r>
      <w:r w:rsidRPr="001059B6">
        <w:rPr>
          <w:rStyle w:val="default"/>
          <w:rFonts w:ascii="David" w:hAnsi="David" w:cs="David"/>
          <w:b/>
          <w:bCs/>
          <w:sz w:val="24"/>
          <w:szCs w:val="24"/>
          <w:rtl/>
        </w:rPr>
        <w:t xml:space="preserve">"פורסמה לשון </w:t>
      </w:r>
      <w:r w:rsidRPr="001059B6">
        <w:rPr>
          <w:rStyle w:val="default"/>
          <w:rFonts w:ascii="David" w:hAnsi="David" w:cs="David"/>
          <w:b/>
          <w:bCs/>
          <w:sz w:val="24"/>
          <w:szCs w:val="24"/>
          <w:rtl/>
        </w:rPr>
        <w:lastRenderedPageBreak/>
        <w:t xml:space="preserve">הרע באמצעי תקשורת, ישאו באחריות פלילית ואזרחית בשל לשון הרע, האדם שהביא את דברי </w:t>
      </w:r>
      <w:r>
        <w:rPr>
          <w:rStyle w:val="default"/>
          <w:rFonts w:ascii="David" w:hAnsi="David" w:cs="David"/>
          <w:b/>
          <w:bCs/>
          <w:sz w:val="24"/>
          <w:szCs w:val="24"/>
          <w:rtl/>
        </w:rPr>
        <w:t>לשון הרע לאמצעי התקשורת וגרם בכך לפרסומו, עורך אמצעי התקשורת ומי שהחליט בפועל על הפרסום, ובאחריות אזרחית ישא גם האחראי לאמצעי התקשורת</w:t>
      </w:r>
      <w:r>
        <w:rPr>
          <w:rFonts w:ascii="David" w:hAnsi="David" w:cs="David"/>
          <w:b/>
          <w:bCs/>
          <w:sz w:val="24"/>
          <w:szCs w:val="24"/>
          <w:rtl/>
        </w:rPr>
        <w:t>".</w:t>
      </w:r>
    </w:p>
    <w:p w:rsidR="00DF588E" w:rsidRDefault="00DF588E" w:rsidP="00DF588E">
      <w:pPr>
        <w:pStyle w:val="ad"/>
        <w:spacing w:line="360" w:lineRule="auto"/>
        <w:ind w:left="226"/>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rtl/>
        </w:rPr>
        <w:t>בעניינינו, הנתבעים 2 ו-3 העניקו את האכסניה לפרסומים המכפישים. כאן יש לציין שהנתבע 1 וממילא הנתבעים 2 ו-3 הפכו את המסגרת בה פרסמו ברשת הפייסבוק לפלטפורמה הדומה בפועל למעין "אמצעי תקשורת". הנתבע 1  פרסם אמירות מכפישות בתדירות יומית ואף יותר מכך . פרסומים תכופים בנושאים שונים ובינהם פעם אחר פעם ההכפשות כפי שהובאו לעיל . אין מדובר בפרסום "אקראי",  אלא בפרסום מכוון תקשורת, מיועד לציבור בוחרים פוטנציאלי של העיר טבריה. פרסום שהפך למעין "ערוץ תעמולה" ובו מבזקים עיתיים.</w:t>
      </w:r>
    </w:p>
    <w:p w:rsidR="00DF588E" w:rsidRDefault="00DF588E" w:rsidP="00DF588E">
      <w:pPr>
        <w:pStyle w:val="ad"/>
        <w:spacing w:line="360" w:lineRule="auto"/>
        <w:ind w:left="226"/>
        <w:jc w:val="both"/>
        <w:rPr>
          <w:rFonts w:ascii="David" w:hAnsi="David" w:cs="David"/>
          <w:b/>
          <w:bCs/>
          <w:sz w:val="24"/>
          <w:szCs w:val="24"/>
          <w:rtl/>
        </w:rPr>
      </w:pPr>
    </w:p>
    <w:p w:rsidR="00DF588E" w:rsidRDefault="00DF588E" w:rsidP="00DF588E">
      <w:pPr>
        <w:pStyle w:val="ad"/>
        <w:numPr>
          <w:ilvl w:val="1"/>
          <w:numId w:val="1"/>
        </w:numPr>
        <w:spacing w:line="360" w:lineRule="auto"/>
        <w:ind w:left="226" w:hanging="425"/>
        <w:jc w:val="both"/>
        <w:rPr>
          <w:rFonts w:ascii="David" w:hAnsi="David" w:cs="David"/>
          <w:b/>
          <w:bCs/>
          <w:sz w:val="24"/>
          <w:szCs w:val="24"/>
        </w:rPr>
      </w:pPr>
      <w:r>
        <w:rPr>
          <w:rFonts w:ascii="David" w:hAnsi="David" w:cs="David"/>
          <w:sz w:val="24"/>
          <w:szCs w:val="24"/>
          <w:rtl/>
        </w:rPr>
        <w:t xml:space="preserve">אכן, הפרסומים בוצעו  על ידי הנתבע 1 ואולם, הנתבעים 2 ו- 3 לא הקפידו להסיר את הפרסומים שבוצעו בקבוצה. הנתבעים 2 ו- 3 לא עקבו או בחנו והסירו פרסומים מכפישים למרות שנתבקשו לעשות כן. לדברי התובע נעשו פניות אל הנתבעים 2 ו- 3 בבקשה להסרת הפרסומים ואלו לא הגיבו כלל על הפנייה. משנעשתה פנייה מקדימה בכתב אל הנתבעים ואלו בחרו שלא להשיב למכתב ולא להסיר ולו פרסום אחד בעקבות כך -הרי שגם תוך אדישותם הם איפשרו את </w:t>
      </w:r>
      <w:r>
        <w:rPr>
          <w:rFonts w:ascii="David" w:hAnsi="David" w:cs="David"/>
          <w:color w:val="000000"/>
          <w:sz w:val="24"/>
          <w:szCs w:val="24"/>
          <w:shd w:val="clear" w:color="auto" w:fill="FFFFFF"/>
          <w:rtl/>
        </w:rPr>
        <w:t>הפרסום</w:t>
      </w:r>
      <w:r>
        <w:rPr>
          <w:rFonts w:ascii="David" w:hAnsi="David" w:cs="David"/>
          <w:sz w:val="24"/>
          <w:szCs w:val="24"/>
          <w:rtl/>
        </w:rPr>
        <w:t xml:space="preserve">. די בכך שלנתבעים 2 ו-3 הייתה יכולת להסיר את התוכן הפוגעני והם בחרו שלא לעשות להסירו. </w:t>
      </w:r>
    </w:p>
    <w:p w:rsidR="00DF588E" w:rsidRDefault="00DF588E" w:rsidP="00DF588E">
      <w:pPr>
        <w:pStyle w:val="ad"/>
        <w:rPr>
          <w:rFonts w:ascii="David" w:hAnsi="David" w:cs="David"/>
          <w:sz w:val="24"/>
          <w:szCs w:val="24"/>
        </w:rPr>
      </w:pPr>
    </w:p>
    <w:p w:rsidR="00DF588E" w:rsidRPr="001059B6" w:rsidRDefault="00DF588E" w:rsidP="00DF588E">
      <w:pPr>
        <w:pStyle w:val="ad"/>
        <w:numPr>
          <w:ilvl w:val="1"/>
          <w:numId w:val="1"/>
        </w:numPr>
        <w:spacing w:line="360" w:lineRule="auto"/>
        <w:ind w:left="226" w:hanging="425"/>
        <w:jc w:val="both"/>
        <w:rPr>
          <w:rFonts w:ascii="David" w:hAnsi="David" w:cs="David"/>
          <w:b/>
          <w:bCs/>
          <w:sz w:val="24"/>
          <w:szCs w:val="24"/>
          <w:rtl/>
        </w:rPr>
      </w:pPr>
      <w:r>
        <w:rPr>
          <w:rFonts w:ascii="David" w:hAnsi="David" w:cs="David"/>
          <w:sz w:val="24"/>
          <w:szCs w:val="24"/>
          <w:rtl/>
        </w:rPr>
        <w:t xml:space="preserve">לצד זאת, התנהלות זו כאמור לפיה שבחרו שלא להסיר באופן המתבקש את הפרסומים- עולה אף כדי רשלנות. הנתבעים, בהיותם "אדמיניסטרטורים" של קבוצת הפייסבוק הם בעלי ההרשאות לצרף אנשים, לסלק אנשים, </w:t>
      </w:r>
      <w:r w:rsidRPr="001059B6">
        <w:rPr>
          <w:rFonts w:ascii="David" w:hAnsi="David" w:cs="David"/>
          <w:sz w:val="24"/>
          <w:szCs w:val="24"/>
          <w:rtl/>
        </w:rPr>
        <w:t>להעלות פרסומים וכן למחוק פרסומים של אחרים. הנתבעים כמנהלים בקבוצה היו אמונים גם על הסרת פרסומים פוגעניים מרגע שנעשית אליהם פנייה על ידי הנפגע. כך שהימנעות מהסרת חומר פוגעני לאחר פניית הנפגע משמעו הוא כי מנהל הקבוצה פועל וחב ברשלנות כלפי הנפגע. להרחבה לענין רשלנות במסגרת עוולת לשון הרע ר' למשל –</w:t>
      </w:r>
      <w:r w:rsidRPr="001059B6">
        <w:rPr>
          <w:rFonts w:hint="cs"/>
        </w:rPr>
        <w:t xml:space="preserve"> </w:t>
      </w:r>
      <w:hyperlink r:id="rId22" w:history="1">
        <w:r w:rsidRPr="001059B6">
          <w:rPr>
            <w:rStyle w:val="Hyperlink"/>
            <w:rFonts w:ascii="David" w:hAnsi="David" w:cs="David"/>
            <w:color w:val="auto"/>
            <w:sz w:val="24"/>
            <w:szCs w:val="24"/>
            <w:rtl/>
          </w:rPr>
          <w:t xml:space="preserve">חאלד גנאים, מרדכי קרמניצר ובועז שנור, דיני לשון הרע הדין המצוי והדין הרצוי, התש"ף – 2019, </w:t>
        </w:r>
      </w:hyperlink>
      <w:r w:rsidRPr="001059B6">
        <w:rPr>
          <w:rFonts w:ascii="David" w:hAnsi="David" w:cs="David"/>
          <w:sz w:val="24"/>
          <w:szCs w:val="24"/>
          <w:rtl/>
        </w:rPr>
        <w:t xml:space="preserve"> ע"מ 196-197).</w:t>
      </w:r>
    </w:p>
    <w:p w:rsidR="00DF588E" w:rsidRPr="001059B6" w:rsidRDefault="00DF588E" w:rsidP="00DF588E">
      <w:pPr>
        <w:pStyle w:val="ad"/>
        <w:spacing w:line="360" w:lineRule="auto"/>
        <w:ind w:left="226"/>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sidRPr="001059B6">
        <w:rPr>
          <w:rFonts w:ascii="David" w:hAnsi="David" w:cs="David"/>
          <w:sz w:val="24"/>
          <w:szCs w:val="24"/>
          <w:rtl/>
        </w:rPr>
        <w:t xml:space="preserve">לאור האמור לעיל, יש לראות בנתבעים 2 ו-3 כמי שעוולו ברשלנות תוך שהם מאפשרים את </w:t>
      </w:r>
      <w:r>
        <w:rPr>
          <w:rFonts w:ascii="David" w:hAnsi="David" w:cs="David"/>
          <w:sz w:val="24"/>
          <w:szCs w:val="24"/>
          <w:rtl/>
        </w:rPr>
        <w:t>פעילות הקבוצה.</w:t>
      </w:r>
    </w:p>
    <w:p w:rsidR="00DF588E" w:rsidRDefault="00DF588E" w:rsidP="00DF588E">
      <w:pPr>
        <w:pStyle w:val="ad"/>
        <w:rPr>
          <w:rFonts w:ascii="David" w:hAnsi="David" w:cs="David"/>
          <w:sz w:val="24"/>
          <w:szCs w:val="24"/>
          <w:rtl/>
        </w:rPr>
      </w:pPr>
    </w:p>
    <w:p w:rsidR="001059B6" w:rsidRDefault="001059B6" w:rsidP="001059B6">
      <w:pPr>
        <w:pStyle w:val="ad"/>
        <w:rPr>
          <w:rFonts w:ascii="David" w:hAnsi="David" w:cs="David"/>
          <w:sz w:val="24"/>
          <w:szCs w:val="24"/>
        </w:rPr>
      </w:pPr>
    </w:p>
    <w:p w:rsidR="00DF588E" w:rsidRDefault="00DF588E" w:rsidP="00DF588E">
      <w:pPr>
        <w:pStyle w:val="ad"/>
        <w:numPr>
          <w:ilvl w:val="0"/>
          <w:numId w:val="1"/>
        </w:numPr>
        <w:spacing w:line="360" w:lineRule="auto"/>
        <w:ind w:left="-199" w:hanging="567"/>
        <w:jc w:val="both"/>
        <w:rPr>
          <w:rFonts w:ascii="David" w:hAnsi="David" w:cs="David"/>
          <w:sz w:val="24"/>
          <w:szCs w:val="24"/>
          <w:rtl/>
        </w:rPr>
      </w:pPr>
      <w:r>
        <w:rPr>
          <w:rFonts w:ascii="David" w:hAnsi="David" w:cs="David"/>
          <w:b/>
          <w:bCs/>
          <w:sz w:val="24"/>
          <w:szCs w:val="24"/>
          <w:u w:val="single"/>
          <w:rtl/>
        </w:rPr>
        <w:t>התייחסות לטענת התובע לפיה יש לראות בנתבעים 2 ו-3 כמעוולים במשותף</w:t>
      </w: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rtl/>
        </w:rPr>
        <w:t xml:space="preserve"> התובע ביקש לראות בנתבעים 2 ו- 3 כמעוולים במשותף. לעניין זה טען כי הנתבעים אחראים לפרסומים של אחרים, שכן אינם הסירו את הפרסומים למרות פניות מוקדמות אליהם, ולפי ס' 12 לפקודת הנזיקין (נוסח חדש) יש לראות בהם מעוולים משותפים.</w:t>
      </w:r>
    </w:p>
    <w:p w:rsidR="00DF588E" w:rsidRDefault="00DF588E" w:rsidP="00DF588E">
      <w:pPr>
        <w:pStyle w:val="3"/>
        <w:tabs>
          <w:tab w:val="left" w:pos="1076"/>
        </w:tabs>
        <w:spacing w:after="160" w:line="360" w:lineRule="auto"/>
        <w:ind w:left="1080" w:right="284"/>
        <w:jc w:val="both"/>
        <w:rPr>
          <w:rFonts w:ascii="David" w:hAnsi="David"/>
          <w:noProof w:val="0"/>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rtl/>
        </w:rPr>
        <w:lastRenderedPageBreak/>
        <w:t>יאמר לעניין זה כי אין מקום לקבוע כי הנתבעים "עוולו במשותף. לא מדובר בעוולה אחת שבוצעה ע"י המעוולים במשותף וכבר בשל כך יש לדחות את הטענה לפיה מדובר במעוולים במשותף.</w:t>
      </w:r>
    </w:p>
    <w:p w:rsidR="00DF588E" w:rsidRPr="001059B6" w:rsidRDefault="00DF588E" w:rsidP="00DF588E">
      <w:pPr>
        <w:pStyle w:val="ad"/>
        <w:spacing w:line="360" w:lineRule="auto"/>
        <w:ind w:left="226"/>
        <w:jc w:val="both"/>
        <w:rPr>
          <w:rFonts w:ascii="David" w:hAnsi="David" w:cs="David"/>
          <w:sz w:val="24"/>
          <w:szCs w:val="24"/>
        </w:rPr>
      </w:pPr>
    </w:p>
    <w:p w:rsidR="00DF588E" w:rsidRPr="001059B6" w:rsidRDefault="00CD2E52" w:rsidP="00DF588E">
      <w:pPr>
        <w:pStyle w:val="ad"/>
        <w:numPr>
          <w:ilvl w:val="1"/>
          <w:numId w:val="1"/>
        </w:numPr>
        <w:spacing w:line="360" w:lineRule="auto"/>
        <w:ind w:left="226" w:hanging="425"/>
        <w:jc w:val="both"/>
        <w:rPr>
          <w:rFonts w:ascii="David" w:hAnsi="David" w:cs="David"/>
          <w:sz w:val="24"/>
          <w:szCs w:val="24"/>
        </w:rPr>
      </w:pPr>
      <w:hyperlink r:id="rId23" w:history="1">
        <w:r w:rsidR="00DF588E" w:rsidRPr="001059B6">
          <w:rPr>
            <w:rStyle w:val="Hyperlink"/>
            <w:rFonts w:ascii="David" w:hAnsi="David" w:cs="David"/>
            <w:color w:val="auto"/>
            <w:sz w:val="24"/>
            <w:szCs w:val="24"/>
            <w:rtl/>
          </w:rPr>
          <w:t>סעיף 11</w:t>
        </w:r>
      </w:hyperlink>
      <w:r w:rsidR="00DF588E" w:rsidRPr="001059B6">
        <w:rPr>
          <w:rFonts w:ascii="David" w:hAnsi="David" w:cs="David"/>
          <w:sz w:val="24"/>
          <w:szCs w:val="24"/>
          <w:rtl/>
        </w:rPr>
        <w:t xml:space="preserve"> </w:t>
      </w:r>
      <w:hyperlink r:id="rId24" w:history="1">
        <w:r w:rsidR="00DF588E" w:rsidRPr="001059B6">
          <w:rPr>
            <w:rStyle w:val="Hyperlink"/>
            <w:rFonts w:ascii="David" w:hAnsi="David" w:cs="David"/>
            <w:color w:val="auto"/>
            <w:sz w:val="24"/>
            <w:szCs w:val="24"/>
            <w:rtl/>
          </w:rPr>
          <w:t>פקודת הנזיקין</w:t>
        </w:r>
      </w:hyperlink>
      <w:r w:rsidR="00DF588E" w:rsidRPr="001059B6">
        <w:rPr>
          <w:rFonts w:ascii="David" w:hAnsi="David" w:cs="David"/>
          <w:sz w:val="24"/>
          <w:szCs w:val="24"/>
          <w:rtl/>
        </w:rPr>
        <w:t xml:space="preserve"> [נוסח חדש] קובע: </w:t>
      </w:r>
      <w:r w:rsidR="00DF588E" w:rsidRPr="001059B6">
        <w:rPr>
          <w:rFonts w:ascii="David" w:hAnsi="David" w:cs="David"/>
          <w:b/>
          <w:bCs/>
          <w:sz w:val="24"/>
          <w:szCs w:val="24"/>
          <w:rtl/>
        </w:rPr>
        <w:t>" היה כל אחד משני בני-אדם או יותר חבים לפי הוראות פקודה זו, על מעשה פלוני, והמעשה הוא עוולה, יהיו חבים יחד על אותו מעשה כמעוולים יחד וניתנים להיתבע עליה יחד ולחוד</w:t>
      </w:r>
      <w:r w:rsidR="00DF588E" w:rsidRPr="001059B6">
        <w:rPr>
          <w:rFonts w:ascii="David" w:hAnsi="David" w:cs="David"/>
          <w:b/>
          <w:bCs/>
          <w:sz w:val="24"/>
          <w:szCs w:val="24"/>
        </w:rPr>
        <w:t>.</w:t>
      </w:r>
      <w:r w:rsidR="00DF588E" w:rsidRPr="001059B6">
        <w:rPr>
          <w:rFonts w:ascii="David" w:hAnsi="David" w:cs="David"/>
          <w:b/>
          <w:bCs/>
          <w:sz w:val="24"/>
          <w:szCs w:val="24"/>
          <w:rtl/>
        </w:rPr>
        <w:t>"</w:t>
      </w:r>
      <w:r w:rsidR="00DF588E" w:rsidRPr="001059B6">
        <w:rPr>
          <w:rFonts w:ascii="David" w:hAnsi="David" w:cs="David"/>
          <w:sz w:val="24"/>
          <w:szCs w:val="24"/>
          <w:rtl/>
        </w:rPr>
        <w:t xml:space="preserve"> כלומר על מנת שיהיו מעוולים במשותף למעשה אחד יש צורך שאכן יהיה מעשה אחד ויהיו שותפים לביצועו.</w:t>
      </w:r>
    </w:p>
    <w:p w:rsidR="00DF588E" w:rsidRPr="001059B6" w:rsidRDefault="00DF588E" w:rsidP="00DF588E">
      <w:pPr>
        <w:pStyle w:val="ad"/>
        <w:spacing w:line="360" w:lineRule="auto"/>
        <w:ind w:left="226"/>
        <w:jc w:val="both"/>
        <w:rPr>
          <w:rFonts w:ascii="David" w:hAnsi="David" w:cs="David"/>
          <w:sz w:val="24"/>
          <w:szCs w:val="24"/>
        </w:rPr>
      </w:pPr>
    </w:p>
    <w:p w:rsidR="00DF588E" w:rsidRPr="001059B6" w:rsidRDefault="00DF588E" w:rsidP="001059B6">
      <w:pPr>
        <w:pStyle w:val="ad"/>
        <w:spacing w:line="360" w:lineRule="auto"/>
        <w:ind w:left="226"/>
        <w:jc w:val="both"/>
        <w:rPr>
          <w:rFonts w:ascii="David" w:hAnsi="David" w:cs="David"/>
          <w:sz w:val="24"/>
          <w:szCs w:val="24"/>
        </w:rPr>
      </w:pPr>
      <w:r w:rsidRPr="001059B6">
        <w:rPr>
          <w:rFonts w:ascii="David" w:hAnsi="David" w:cs="David"/>
          <w:sz w:val="24"/>
          <w:szCs w:val="24"/>
          <w:rtl/>
        </w:rPr>
        <w:t xml:space="preserve">בעניינינו, הפרסומים בוצעו ע"י הנתבע 1 בלבד. כך או כך ובכל מקרה שבו מנסים להחיל את עקרון המעוולים במשותף על עוולת לשון הרע, הרי בתי המשפט נתנו לעניין זה </w:t>
      </w:r>
      <w:r w:rsidRPr="001059B6">
        <w:rPr>
          <w:rFonts w:ascii="David" w:hAnsi="David" w:cs="David"/>
          <w:b/>
          <w:bCs/>
          <w:sz w:val="24"/>
          <w:szCs w:val="24"/>
          <w:rtl/>
        </w:rPr>
        <w:t>" פירוש מצמצם ואף הודגש כי הטלת אחריות בנזיקין מכוח הוראת סעיף 12 צריך שתעשה באופן זהיר ומבוקר (עניין בית שוקן, פיסקה 21), על מנת שלא נמצא עוקפים או משבשים הסדרים אחרים של המשפט הפרטי בדרך של התערבות בלתי ראויה בהם</w:t>
      </w:r>
      <w:r w:rsidR="001059B6">
        <w:rPr>
          <w:rFonts w:ascii="David" w:hAnsi="David" w:cs="David"/>
          <w:sz w:val="24"/>
          <w:szCs w:val="24"/>
          <w:rtl/>
        </w:rPr>
        <w:t>"</w:t>
      </w:r>
      <w:r w:rsidRPr="001059B6">
        <w:rPr>
          <w:rFonts w:ascii="David" w:hAnsi="David" w:cs="David"/>
          <w:sz w:val="24"/>
          <w:szCs w:val="24"/>
          <w:rtl/>
        </w:rPr>
        <w:t xml:space="preserve"> ר</w:t>
      </w:r>
      <w:r w:rsidR="001059B6">
        <w:rPr>
          <w:rFonts w:ascii="David" w:hAnsi="David" w:cs="David" w:hint="cs"/>
          <w:sz w:val="24"/>
          <w:szCs w:val="24"/>
          <w:rtl/>
        </w:rPr>
        <w:t>'</w:t>
      </w:r>
      <w:r w:rsidRPr="001059B6">
        <w:rPr>
          <w:rFonts w:ascii="David" w:hAnsi="David" w:cs="David"/>
          <w:sz w:val="24"/>
          <w:szCs w:val="24"/>
          <w:rtl/>
        </w:rPr>
        <w:t xml:space="preserve"> </w:t>
      </w:r>
      <w:hyperlink r:id="rId25" w:history="1">
        <w:r w:rsidRPr="001059B6">
          <w:rPr>
            <w:rStyle w:val="Hyperlink"/>
            <w:rFonts w:ascii="David" w:hAnsi="David" w:cs="David"/>
            <w:color w:val="auto"/>
            <w:sz w:val="24"/>
            <w:szCs w:val="24"/>
            <w:u w:val="none"/>
            <w:rtl/>
          </w:rPr>
          <w:t>עא 3024/10</w:t>
        </w:r>
      </w:hyperlink>
      <w:r w:rsidRPr="001059B6">
        <w:rPr>
          <w:rFonts w:ascii="David" w:hAnsi="David" w:cs="David"/>
          <w:sz w:val="24"/>
          <w:szCs w:val="24"/>
          <w:rtl/>
        </w:rPr>
        <w:t xml:space="preserve"> </w:t>
      </w:r>
      <w:r w:rsidRPr="001059B6">
        <w:rPr>
          <w:rFonts w:ascii="David" w:hAnsi="David" w:cs="David"/>
          <w:sz w:val="24"/>
          <w:szCs w:val="24"/>
          <w:u w:val="single"/>
          <w:rtl/>
        </w:rPr>
        <w:t>ג'ק ויינר נ' גבריאל מויאל</w:t>
      </w:r>
      <w:r w:rsidRPr="001059B6">
        <w:rPr>
          <w:rFonts w:ascii="David" w:hAnsi="David" w:cs="David"/>
          <w:sz w:val="24"/>
          <w:szCs w:val="24"/>
          <w:rtl/>
        </w:rPr>
        <w:t xml:space="preserve"> </w:t>
      </w:r>
      <w:r w:rsidR="001059B6">
        <w:rPr>
          <w:rFonts w:ascii="David" w:hAnsi="David" w:cs="David" w:hint="cs"/>
          <w:sz w:val="24"/>
          <w:szCs w:val="24"/>
          <w:rtl/>
        </w:rPr>
        <w:t>(</w:t>
      </w:r>
      <w:r w:rsidR="001059B6">
        <w:rPr>
          <w:rFonts w:ascii="David" w:hAnsi="David" w:cs="David"/>
          <w:sz w:val="24"/>
          <w:szCs w:val="24"/>
          <w:rtl/>
        </w:rPr>
        <w:t>מיום 2.4.2013</w:t>
      </w:r>
      <w:r w:rsidR="001059B6">
        <w:rPr>
          <w:rFonts w:ascii="David" w:hAnsi="David" w:cs="David" w:hint="cs"/>
          <w:sz w:val="24"/>
          <w:szCs w:val="24"/>
          <w:rtl/>
        </w:rPr>
        <w:t>).</w:t>
      </w:r>
    </w:p>
    <w:p w:rsidR="00DF588E" w:rsidRPr="001059B6" w:rsidRDefault="00DF588E" w:rsidP="00DF588E">
      <w:pPr>
        <w:pStyle w:val="ad"/>
        <w:spacing w:line="360" w:lineRule="auto"/>
        <w:ind w:left="-199"/>
        <w:jc w:val="both"/>
        <w:rPr>
          <w:rFonts w:ascii="David" w:hAnsi="David" w:cs="David"/>
          <w:b/>
          <w:bCs/>
          <w:sz w:val="24"/>
          <w:szCs w:val="24"/>
        </w:rPr>
      </w:pPr>
    </w:p>
    <w:p w:rsidR="00DF588E" w:rsidRDefault="00DF588E" w:rsidP="00DF588E">
      <w:pPr>
        <w:pStyle w:val="ad"/>
        <w:numPr>
          <w:ilvl w:val="0"/>
          <w:numId w:val="1"/>
        </w:numPr>
        <w:spacing w:line="360" w:lineRule="auto"/>
        <w:ind w:left="-199" w:hanging="567"/>
        <w:jc w:val="both"/>
        <w:rPr>
          <w:rFonts w:ascii="David" w:hAnsi="David" w:cs="David"/>
          <w:b/>
          <w:bCs/>
          <w:sz w:val="24"/>
          <w:szCs w:val="24"/>
        </w:rPr>
      </w:pPr>
      <w:r>
        <w:rPr>
          <w:rFonts w:ascii="David" w:hAnsi="David" w:cs="David"/>
          <w:b/>
          <w:bCs/>
          <w:sz w:val="24"/>
          <w:szCs w:val="24"/>
          <w:u w:val="single"/>
          <w:rtl/>
        </w:rPr>
        <w:t>התייחסות לטענת התובע לפיה יש לראות בנתבעים 2 ו 3 משתפים ומשדלים</w:t>
      </w:r>
    </w:p>
    <w:p w:rsidR="00DF588E" w:rsidRDefault="00DF588E" w:rsidP="00DF588E">
      <w:pPr>
        <w:pStyle w:val="ad"/>
        <w:spacing w:line="360" w:lineRule="auto"/>
        <w:ind w:left="-199"/>
        <w:jc w:val="both"/>
        <w:rPr>
          <w:rFonts w:ascii="David" w:hAnsi="David" w:cs="David"/>
          <w:b/>
          <w:bCs/>
          <w:sz w:val="24"/>
          <w:szCs w:val="24"/>
        </w:rPr>
      </w:pPr>
      <w:r>
        <w:rPr>
          <w:rFonts w:ascii="David" w:hAnsi="David" w:cs="David"/>
          <w:sz w:val="24"/>
          <w:szCs w:val="24"/>
          <w:rtl/>
        </w:rPr>
        <w:t xml:space="preserve">במלוא הכבוד לא מצאתי כי יש לראות בנתבעים 2 ו-3 כמשתפים ומשדלים. ללא מצאתי כי הנתבעים 2 ו-3 "סייעו" או "פיתו למעשה" או "למחדל" שנעשה.  אין חולק כי הרוח השולטת מאחורי קבוצת הפייסבוק מיוחסת לנתבע 1. הנתבעים 2 ו-3 לא היו שותפים לפרסומים ולא שידרו או עודדו את המפרסמים בצורה כזו העולה כדי שידול. </w:t>
      </w:r>
    </w:p>
    <w:p w:rsidR="00DF588E" w:rsidRDefault="00DF588E" w:rsidP="00DF588E">
      <w:pPr>
        <w:pStyle w:val="ad"/>
        <w:spacing w:line="360" w:lineRule="auto"/>
        <w:ind w:left="-739"/>
        <w:jc w:val="both"/>
        <w:rPr>
          <w:rFonts w:ascii="David" w:hAnsi="David" w:cs="David"/>
          <w:b/>
          <w:bCs/>
          <w:sz w:val="28"/>
          <w:szCs w:val="28"/>
          <w:u w:val="single"/>
        </w:rPr>
      </w:pPr>
    </w:p>
    <w:p w:rsidR="00DF588E" w:rsidRDefault="00DF588E" w:rsidP="00DF588E">
      <w:pPr>
        <w:pStyle w:val="ad"/>
        <w:spacing w:line="360" w:lineRule="auto"/>
        <w:ind w:left="-739"/>
        <w:jc w:val="both"/>
        <w:rPr>
          <w:rFonts w:ascii="David" w:hAnsi="David" w:cs="David"/>
          <w:b/>
          <w:bCs/>
          <w:sz w:val="28"/>
          <w:szCs w:val="28"/>
          <w:u w:val="single"/>
          <w:rtl/>
        </w:rPr>
      </w:pPr>
      <w:r>
        <w:rPr>
          <w:rFonts w:ascii="David" w:hAnsi="David" w:cs="David"/>
          <w:b/>
          <w:bCs/>
          <w:sz w:val="28"/>
          <w:szCs w:val="28"/>
          <w:u w:val="single"/>
          <w:rtl/>
        </w:rPr>
        <w:t>חלק חמישי- סכום הפיצוי; הערות לפני סיום; וכן סוף דבר</w:t>
      </w:r>
    </w:p>
    <w:p w:rsidR="00DF588E" w:rsidRDefault="00DF588E" w:rsidP="00DF588E">
      <w:pPr>
        <w:pStyle w:val="ad"/>
        <w:numPr>
          <w:ilvl w:val="0"/>
          <w:numId w:val="1"/>
        </w:numPr>
        <w:spacing w:line="360" w:lineRule="auto"/>
        <w:ind w:left="-199" w:hanging="567"/>
        <w:jc w:val="both"/>
        <w:rPr>
          <w:rFonts w:ascii="David" w:hAnsi="David" w:cs="David"/>
          <w:b/>
          <w:bCs/>
          <w:sz w:val="24"/>
          <w:szCs w:val="24"/>
          <w:u w:val="single"/>
        </w:rPr>
      </w:pPr>
      <w:r>
        <w:rPr>
          <w:rFonts w:ascii="David" w:hAnsi="David" w:cs="David"/>
          <w:b/>
          <w:bCs/>
          <w:sz w:val="24"/>
          <w:szCs w:val="24"/>
          <w:u w:val="single"/>
          <w:rtl/>
        </w:rPr>
        <w:t>סכום הפיצוי</w:t>
      </w: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rtl/>
        </w:rPr>
        <w:t xml:space="preserve">בעת קביעת הפיצוי הראוי התייחסתי לעובדה שהתובע נקלע למתקפת פרסומים אשר חזרה על עצמה פעם אחר פעם תוך הטחת האשמות בו, במוסר התנהלותו וכיוצ"ב; עוד נתתי דעתי להשפלה שחווה, טיב הפרסומים, היקף התפוצה ומידת הפגיעה שיש בה. </w:t>
      </w:r>
    </w:p>
    <w:p w:rsidR="00DF588E" w:rsidRDefault="00DF588E" w:rsidP="00DF588E">
      <w:pPr>
        <w:pStyle w:val="ad"/>
        <w:spacing w:line="360" w:lineRule="auto"/>
        <w:ind w:left="226"/>
        <w:jc w:val="both"/>
        <w:rPr>
          <w:rFonts w:ascii="David" w:hAnsi="David" w:cs="David"/>
          <w:sz w:val="24"/>
          <w:szCs w:val="24"/>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rtl/>
        </w:rPr>
        <w:t>התובע אומנם סבור כי הואיל ולא מדובר בפרסום חד פעמי שפורסם, אלא באמירות חוזרות ונשנות מצד הנתבע 1 שנעשות בצורה מגמתית ושיטתית, הכוללות תיוג מכוון הרי שריבוי הפרסומים והעקביות מעידים כי מדובר בזדון ובכוונה לפגוע המצדיק לגישתו כפל הפיצוי.</w:t>
      </w:r>
    </w:p>
    <w:p w:rsidR="00DF588E" w:rsidRDefault="00DF588E" w:rsidP="00DF588E">
      <w:pPr>
        <w:pStyle w:val="ad"/>
        <w:spacing w:line="360" w:lineRule="auto"/>
        <w:ind w:left="226"/>
        <w:jc w:val="both"/>
        <w:rPr>
          <w:rFonts w:ascii="David" w:hAnsi="David" w:cs="David"/>
          <w:sz w:val="24"/>
          <w:szCs w:val="24"/>
        </w:rPr>
      </w:pPr>
    </w:p>
    <w:p w:rsidR="00DF588E" w:rsidRPr="00AA73F5"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rtl/>
        </w:rPr>
        <w:t xml:space="preserve">ואולם, לא מצאתי כי מדובר בזדון ובכוונה לפגוע המצדיק כפל הפיצוי.  בנסיבות אלו גם לא מצאתי לקבוע מעין תעריף פיצוי לכל אחד </w:t>
      </w:r>
      <w:r w:rsidRPr="00AA73F5">
        <w:rPr>
          <w:rFonts w:ascii="David" w:hAnsi="David" w:cs="David"/>
          <w:sz w:val="24"/>
          <w:szCs w:val="24"/>
          <w:rtl/>
        </w:rPr>
        <w:t xml:space="preserve">מהפרסומים. הלכה פסוקה היא שאין מקום לתחשיב אריתמטי ביחס ל"שוויו" של כל פרסום, ור' לעניין זה </w:t>
      </w:r>
      <w:hyperlink r:id="rId26" w:history="1">
        <w:r w:rsidRPr="00AA73F5">
          <w:rPr>
            <w:rStyle w:val="Hyperlink"/>
            <w:rFonts w:ascii="David" w:hAnsi="David" w:cs="David"/>
            <w:color w:val="auto"/>
            <w:sz w:val="24"/>
            <w:szCs w:val="24"/>
            <w:u w:val="none"/>
            <w:rtl/>
          </w:rPr>
          <w:t>ת"א (מחוזי תל אביב) 14264-11-14</w:t>
        </w:r>
      </w:hyperlink>
      <w:r w:rsidRPr="00AA73F5">
        <w:rPr>
          <w:rFonts w:ascii="David" w:hAnsi="David" w:cs="David"/>
          <w:sz w:val="24"/>
          <w:szCs w:val="24"/>
          <w:rtl/>
        </w:rPr>
        <w:t xml:space="preserve">, </w:t>
      </w:r>
      <w:r w:rsidRPr="00AA73F5">
        <w:rPr>
          <w:rFonts w:ascii="David" w:hAnsi="David" w:cs="David"/>
          <w:sz w:val="24"/>
          <w:szCs w:val="24"/>
          <w:u w:val="single"/>
          <w:rtl/>
        </w:rPr>
        <w:t>כנפו נ' גינזבורסקי</w:t>
      </w:r>
      <w:r w:rsidRPr="00AA73F5">
        <w:rPr>
          <w:rFonts w:ascii="David" w:hAnsi="David" w:cs="David"/>
          <w:sz w:val="24"/>
          <w:szCs w:val="24"/>
          <w:rtl/>
        </w:rPr>
        <w:t xml:space="preserve">, (מיום 4/1/2018, הש' אביגיל כהן) –וכן ערעור על פסק הדין שנדחה - </w:t>
      </w:r>
      <w:hyperlink r:id="rId27" w:history="1">
        <w:r w:rsidRPr="00AA73F5">
          <w:rPr>
            <w:rStyle w:val="Hyperlink"/>
            <w:rFonts w:ascii="David" w:hAnsi="David" w:cs="David"/>
            <w:color w:val="auto"/>
            <w:sz w:val="24"/>
            <w:szCs w:val="24"/>
            <w:u w:val="none"/>
            <w:rtl/>
          </w:rPr>
          <w:t>ע"א 1286/18</w:t>
        </w:r>
      </w:hyperlink>
      <w:r w:rsidRPr="00AA73F5">
        <w:rPr>
          <w:rFonts w:ascii="David" w:hAnsi="David" w:cs="David"/>
          <w:sz w:val="24"/>
          <w:szCs w:val="24"/>
          <w:rtl/>
        </w:rPr>
        <w:t xml:space="preserve"> </w:t>
      </w:r>
      <w:r w:rsidRPr="00AA73F5">
        <w:rPr>
          <w:rFonts w:ascii="David" w:hAnsi="David" w:cs="David" w:hint="cs"/>
          <w:sz w:val="24"/>
          <w:szCs w:val="24"/>
          <w:u w:val="single"/>
          <w:rtl/>
        </w:rPr>
        <w:t>גינזבורסקי נ' כנפו</w:t>
      </w:r>
      <w:r w:rsidRPr="00AA73F5">
        <w:rPr>
          <w:rFonts w:ascii="David" w:hAnsi="David" w:cs="David" w:hint="cs"/>
          <w:sz w:val="24"/>
          <w:szCs w:val="24"/>
          <w:rtl/>
        </w:rPr>
        <w:t xml:space="preserve"> (מיום 5/7/2019).</w:t>
      </w:r>
    </w:p>
    <w:p w:rsidR="00DF588E" w:rsidRPr="00AA73F5" w:rsidRDefault="00DF588E" w:rsidP="00DF588E">
      <w:pPr>
        <w:pStyle w:val="3"/>
        <w:rPr>
          <w:rFonts w:ascii="David" w:hAnsi="David"/>
        </w:rPr>
      </w:pP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sz w:val="24"/>
          <w:szCs w:val="24"/>
          <w:rtl/>
        </w:rPr>
        <w:lastRenderedPageBreak/>
        <w:t>על כן, ולאחר ששקלתי כל האמור לעיל מצאתי למחייב את הנתבע 1 בתשלום הסך של 40,000 ₪ בצירוף הפרשי הצמדה וריבית כחוק ממועד פסק דין הדין ועד למועד התשלום בפועל.</w:t>
      </w:r>
    </w:p>
    <w:p w:rsidR="00DF588E" w:rsidRDefault="00DF588E" w:rsidP="00DF588E">
      <w:pPr>
        <w:pStyle w:val="ad"/>
        <w:spacing w:line="360" w:lineRule="auto"/>
        <w:ind w:left="-199"/>
        <w:jc w:val="both"/>
        <w:rPr>
          <w:rFonts w:ascii="David" w:hAnsi="David" w:cs="David"/>
          <w:b/>
          <w:bCs/>
          <w:sz w:val="24"/>
          <w:szCs w:val="24"/>
          <w:u w:val="single"/>
        </w:rPr>
      </w:pPr>
    </w:p>
    <w:p w:rsidR="00DF588E" w:rsidRDefault="00DF588E" w:rsidP="00DF588E">
      <w:pPr>
        <w:pStyle w:val="ad"/>
        <w:numPr>
          <w:ilvl w:val="0"/>
          <w:numId w:val="1"/>
        </w:numPr>
        <w:spacing w:line="360" w:lineRule="auto"/>
        <w:ind w:left="-199" w:hanging="567"/>
        <w:jc w:val="both"/>
        <w:rPr>
          <w:rFonts w:ascii="David" w:hAnsi="David" w:cs="David"/>
          <w:b/>
          <w:bCs/>
          <w:sz w:val="24"/>
          <w:szCs w:val="24"/>
          <w:u w:val="single"/>
        </w:rPr>
      </w:pPr>
      <w:r>
        <w:rPr>
          <w:rFonts w:ascii="David" w:hAnsi="David" w:cs="David"/>
          <w:b/>
          <w:bCs/>
          <w:sz w:val="24"/>
          <w:szCs w:val="24"/>
          <w:u w:val="single"/>
          <w:rtl/>
        </w:rPr>
        <w:t>הערות לפני סיום</w:t>
      </w:r>
    </w:p>
    <w:p w:rsidR="00DF588E" w:rsidRDefault="00DF588E" w:rsidP="00DF588E">
      <w:pPr>
        <w:pStyle w:val="ad"/>
        <w:numPr>
          <w:ilvl w:val="1"/>
          <w:numId w:val="1"/>
        </w:numPr>
        <w:spacing w:line="360" w:lineRule="auto"/>
        <w:ind w:left="226" w:hanging="425"/>
        <w:jc w:val="both"/>
        <w:rPr>
          <w:rFonts w:ascii="David" w:hAnsi="David" w:cs="David"/>
          <w:sz w:val="24"/>
          <w:szCs w:val="24"/>
        </w:rPr>
      </w:pPr>
      <w:r>
        <w:rPr>
          <w:rFonts w:ascii="David" w:hAnsi="David" w:cs="David"/>
          <w:b/>
          <w:bCs/>
          <w:sz w:val="24"/>
          <w:szCs w:val="24"/>
          <w:u w:val="single"/>
          <w:rtl/>
        </w:rPr>
        <w:t>התייחסות לטענת הנתבע לפיה מדובר בתביעת השתקה</w:t>
      </w:r>
    </w:p>
    <w:p w:rsidR="00DF588E" w:rsidRDefault="00DF588E" w:rsidP="00DF588E">
      <w:pPr>
        <w:pStyle w:val="ad"/>
        <w:spacing w:line="360" w:lineRule="auto"/>
        <w:ind w:left="226"/>
        <w:jc w:val="both"/>
        <w:rPr>
          <w:rFonts w:ascii="David" w:hAnsi="David" w:cs="David"/>
          <w:sz w:val="24"/>
          <w:szCs w:val="24"/>
        </w:rPr>
      </w:pPr>
      <w:r>
        <w:rPr>
          <w:rFonts w:ascii="David" w:hAnsi="David" w:cs="David"/>
          <w:sz w:val="24"/>
          <w:szCs w:val="24"/>
          <w:rtl/>
        </w:rPr>
        <w:t xml:space="preserve"> במלוא הכבוד אין בידי לקבל טענה זו. על מנת שתביעה בעילת לשון הרע תיחשב כתביעת השתקה יש לקבוע בין היתר כי הטענות שהועלו ע"י התובע הן טענות סרק שתכליתן להתיש את הנתבע. לא כך בענ</w:t>
      </w:r>
      <w:r w:rsidR="00AA73F5">
        <w:rPr>
          <w:rFonts w:ascii="David" w:hAnsi="David" w:cs="David" w:hint="cs"/>
          <w:sz w:val="24"/>
          <w:szCs w:val="24"/>
          <w:rtl/>
        </w:rPr>
        <w:t>י</w:t>
      </w:r>
      <w:r>
        <w:rPr>
          <w:rFonts w:ascii="David" w:hAnsi="David" w:cs="David"/>
          <w:sz w:val="24"/>
          <w:szCs w:val="24"/>
          <w:rtl/>
        </w:rPr>
        <w:t>ינינו. במלוא הכבוד, אין לראות בטענות התובע טענות סרק שיש בהן אך כדי לגרום להשתקתו של הנתבע. כמו כן ובהתייחס לטענה לפיה התביעה עלולה להרתיע את הציבור מלהשתתף בדיונים ציבוריים הרי שנכון הוא שיש להקפיד להימנע מקביעות שיהיו כאמור בגדר אפקט מצנן הפוגע בשיח הציבורי, ויחד עם זאת ולצד זאת- יש להקפיד להימנע מעידוד ומתן היתר משפטי להתנהלות שתכליתו פגיעה .</w:t>
      </w:r>
    </w:p>
    <w:p w:rsidR="00DF588E" w:rsidRDefault="00DF588E" w:rsidP="00DF588E">
      <w:pPr>
        <w:pStyle w:val="ad"/>
        <w:spacing w:line="360" w:lineRule="auto"/>
        <w:ind w:left="-199"/>
        <w:jc w:val="both"/>
        <w:rPr>
          <w:rFonts w:ascii="David" w:hAnsi="David" w:cs="David"/>
          <w:b/>
          <w:bCs/>
          <w:sz w:val="24"/>
          <w:szCs w:val="24"/>
        </w:rPr>
      </w:pPr>
    </w:p>
    <w:p w:rsidR="00DF588E" w:rsidRDefault="00DF588E" w:rsidP="00DF588E">
      <w:pPr>
        <w:pStyle w:val="ad"/>
        <w:numPr>
          <w:ilvl w:val="0"/>
          <w:numId w:val="1"/>
        </w:numPr>
        <w:spacing w:line="360" w:lineRule="auto"/>
        <w:ind w:left="-199" w:hanging="567"/>
        <w:jc w:val="both"/>
        <w:rPr>
          <w:rFonts w:ascii="David" w:hAnsi="David" w:cs="David"/>
          <w:b/>
          <w:bCs/>
          <w:sz w:val="24"/>
          <w:szCs w:val="24"/>
        </w:rPr>
      </w:pPr>
      <w:r>
        <w:rPr>
          <w:rFonts w:ascii="David" w:hAnsi="David" w:cs="David"/>
          <w:b/>
          <w:bCs/>
          <w:sz w:val="24"/>
          <w:szCs w:val="24"/>
          <w:u w:val="single"/>
          <w:rtl/>
        </w:rPr>
        <w:t>סוף דבר</w:t>
      </w:r>
    </w:p>
    <w:p w:rsidR="00DF588E" w:rsidRDefault="00DF588E" w:rsidP="00DF588E">
      <w:pPr>
        <w:pStyle w:val="ad"/>
        <w:spacing w:line="360" w:lineRule="auto"/>
        <w:ind w:left="-199"/>
        <w:jc w:val="both"/>
        <w:rPr>
          <w:rFonts w:ascii="David" w:hAnsi="David" w:cs="David"/>
          <w:b/>
          <w:bCs/>
          <w:sz w:val="24"/>
          <w:szCs w:val="24"/>
        </w:rPr>
      </w:pPr>
      <w:r>
        <w:rPr>
          <w:rFonts w:ascii="David" w:hAnsi="David" w:cs="David"/>
          <w:sz w:val="24"/>
          <w:szCs w:val="24"/>
          <w:rtl/>
        </w:rPr>
        <w:t xml:space="preserve">לאור האמור לעיל, יש לחייב את הנתבעים כך שהתובע יקבל בסה"כ סך כולל של </w:t>
      </w:r>
      <w:r>
        <w:rPr>
          <w:rFonts w:ascii="David" w:hAnsi="David" w:cs="David"/>
          <w:b/>
          <w:bCs/>
          <w:sz w:val="24"/>
          <w:szCs w:val="24"/>
          <w:u w:val="single"/>
          <w:rtl/>
        </w:rPr>
        <w:t>40,000 ₪</w:t>
      </w:r>
      <w:r>
        <w:rPr>
          <w:rFonts w:ascii="David" w:hAnsi="David" w:cs="David"/>
          <w:sz w:val="24"/>
          <w:szCs w:val="24"/>
          <w:rtl/>
        </w:rPr>
        <w:t xml:space="preserve"> כמפורט להלן:</w:t>
      </w:r>
    </w:p>
    <w:p w:rsidR="00DF588E" w:rsidRDefault="00DF588E" w:rsidP="00DF588E">
      <w:pPr>
        <w:pStyle w:val="ad"/>
        <w:spacing w:line="360" w:lineRule="auto"/>
        <w:ind w:left="226"/>
        <w:jc w:val="both"/>
        <w:rPr>
          <w:rFonts w:ascii="David" w:hAnsi="David" w:cs="David"/>
          <w:sz w:val="24"/>
          <w:szCs w:val="24"/>
          <w:rtl/>
        </w:rPr>
      </w:pPr>
    </w:p>
    <w:p w:rsidR="00DF588E" w:rsidRDefault="00DF588E" w:rsidP="00DF588E">
      <w:pPr>
        <w:pStyle w:val="ad"/>
        <w:numPr>
          <w:ilvl w:val="0"/>
          <w:numId w:val="10"/>
        </w:numPr>
        <w:spacing w:line="360" w:lineRule="auto"/>
        <w:jc w:val="both"/>
        <w:rPr>
          <w:rFonts w:ascii="David" w:hAnsi="David" w:cs="David"/>
          <w:sz w:val="24"/>
          <w:szCs w:val="24"/>
        </w:rPr>
      </w:pPr>
      <w:r>
        <w:rPr>
          <w:rFonts w:ascii="David" w:hAnsi="David" w:cs="David"/>
          <w:sz w:val="24"/>
          <w:szCs w:val="24"/>
          <w:rtl/>
        </w:rPr>
        <w:t xml:space="preserve">לאור האמור לעיל, אני מחייב את הנתבע 1 בתשלום הסך של </w:t>
      </w:r>
      <w:r>
        <w:rPr>
          <w:rFonts w:ascii="David" w:hAnsi="David" w:cs="David"/>
          <w:b/>
          <w:bCs/>
          <w:sz w:val="24"/>
          <w:szCs w:val="24"/>
          <w:u w:val="single"/>
          <w:rtl/>
        </w:rPr>
        <w:t>40,000 ש"ח</w:t>
      </w:r>
      <w:r>
        <w:rPr>
          <w:rFonts w:ascii="David" w:hAnsi="David" w:cs="David"/>
          <w:sz w:val="24"/>
          <w:szCs w:val="24"/>
          <w:rtl/>
        </w:rPr>
        <w:t xml:space="preserve"> בתוספת הפרשי הצמדה וריבית כחוק ממועד פסק דין זה ועד למועד התשלום בפועל.  מתוך סכום זה סך של </w:t>
      </w:r>
      <w:r>
        <w:rPr>
          <w:rFonts w:ascii="David" w:hAnsi="David" w:cs="David"/>
          <w:b/>
          <w:bCs/>
          <w:sz w:val="24"/>
          <w:szCs w:val="24"/>
          <w:u w:val="single"/>
          <w:rtl/>
        </w:rPr>
        <w:t xml:space="preserve">10,000 ₪ </w:t>
      </w:r>
      <w:r>
        <w:rPr>
          <w:rFonts w:ascii="David" w:hAnsi="David" w:cs="David"/>
          <w:sz w:val="24"/>
          <w:szCs w:val="24"/>
          <w:rtl/>
        </w:rPr>
        <w:t xml:space="preserve">יישא הנתבע 1 ביחד ולחוד עם הנתבעים 2 ו-3. </w:t>
      </w:r>
    </w:p>
    <w:p w:rsidR="00DF588E" w:rsidRDefault="00DF588E" w:rsidP="00DF588E">
      <w:pPr>
        <w:pStyle w:val="ad"/>
        <w:spacing w:line="360" w:lineRule="auto"/>
        <w:ind w:left="226"/>
        <w:jc w:val="both"/>
        <w:rPr>
          <w:rFonts w:ascii="David" w:hAnsi="David" w:cs="David"/>
          <w:sz w:val="24"/>
          <w:szCs w:val="24"/>
        </w:rPr>
      </w:pPr>
    </w:p>
    <w:p w:rsidR="00DF588E" w:rsidRDefault="00DF588E" w:rsidP="00DF588E">
      <w:pPr>
        <w:pStyle w:val="ad"/>
        <w:numPr>
          <w:ilvl w:val="0"/>
          <w:numId w:val="10"/>
        </w:numPr>
        <w:spacing w:line="360" w:lineRule="auto"/>
        <w:jc w:val="both"/>
        <w:rPr>
          <w:rFonts w:ascii="David" w:hAnsi="David" w:cs="David"/>
          <w:sz w:val="24"/>
          <w:szCs w:val="24"/>
        </w:rPr>
      </w:pPr>
      <w:r>
        <w:rPr>
          <w:rFonts w:ascii="David" w:hAnsi="David" w:cs="David"/>
          <w:sz w:val="24"/>
          <w:szCs w:val="24"/>
          <w:rtl/>
        </w:rPr>
        <w:t xml:space="preserve">אני מחייב את הנתבעים 2 ו- 3 בתשלום הסך של </w:t>
      </w:r>
      <w:r>
        <w:rPr>
          <w:rFonts w:ascii="David" w:hAnsi="David" w:cs="David"/>
          <w:b/>
          <w:bCs/>
          <w:sz w:val="24"/>
          <w:szCs w:val="24"/>
          <w:u w:val="single"/>
          <w:rtl/>
        </w:rPr>
        <w:t>10,000 ש"ח</w:t>
      </w:r>
      <w:r>
        <w:rPr>
          <w:rFonts w:ascii="David" w:hAnsi="David" w:cs="David"/>
          <w:sz w:val="24"/>
          <w:szCs w:val="24"/>
          <w:rtl/>
        </w:rPr>
        <w:t xml:space="preserve"> בתוספת הפרשי הצמדה וריבית כחוק ממועד פסק דין זה ועד למועד התשלום בפועל. החיוב בסכום זה הוא ביחד ולחוד עם הנתבע 1.</w:t>
      </w:r>
    </w:p>
    <w:p w:rsidR="00DF588E" w:rsidRDefault="00DF588E" w:rsidP="00DF588E">
      <w:pPr>
        <w:pStyle w:val="ad"/>
        <w:spacing w:line="360" w:lineRule="auto"/>
        <w:ind w:left="226"/>
        <w:jc w:val="both"/>
        <w:rPr>
          <w:rFonts w:ascii="David" w:hAnsi="David" w:cs="David"/>
          <w:sz w:val="24"/>
          <w:szCs w:val="24"/>
        </w:rPr>
      </w:pPr>
    </w:p>
    <w:p w:rsidR="00DF588E" w:rsidRDefault="00DF588E" w:rsidP="00DF588E">
      <w:pPr>
        <w:pStyle w:val="ad"/>
        <w:numPr>
          <w:ilvl w:val="0"/>
          <w:numId w:val="10"/>
        </w:numPr>
        <w:spacing w:line="360" w:lineRule="auto"/>
        <w:jc w:val="both"/>
        <w:rPr>
          <w:rFonts w:ascii="David" w:hAnsi="David" w:cs="David"/>
          <w:sz w:val="24"/>
          <w:szCs w:val="24"/>
        </w:rPr>
      </w:pPr>
      <w:r>
        <w:rPr>
          <w:rFonts w:ascii="David" w:hAnsi="David" w:cs="David"/>
          <w:sz w:val="24"/>
          <w:szCs w:val="24"/>
          <w:rtl/>
        </w:rPr>
        <w:t xml:space="preserve">כמו כן, אני מחייב את הנתבעים  ביחד ולחוד בתשלום הוצאות משפט ושכר טרחת עו"ד בסך כולל של </w:t>
      </w:r>
      <w:r>
        <w:rPr>
          <w:rFonts w:ascii="David" w:hAnsi="David" w:cs="David"/>
          <w:b/>
          <w:bCs/>
          <w:sz w:val="24"/>
          <w:szCs w:val="24"/>
          <w:u w:val="single"/>
          <w:rtl/>
        </w:rPr>
        <w:t>12,000 ₪</w:t>
      </w:r>
      <w:r>
        <w:rPr>
          <w:rFonts w:ascii="David" w:hAnsi="David" w:cs="David"/>
          <w:sz w:val="24"/>
          <w:szCs w:val="24"/>
          <w:rtl/>
        </w:rPr>
        <w:t xml:space="preserve"> . סכום זה יישא הפרשי הצמדה וריבית כחוק ממועד פסק הדין ועד למועד התשלום בפועל.</w:t>
      </w: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ל' סיוון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29 יוני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CD2E52" w:rsidP="00633C4F">
      <w:pPr>
        <w:spacing w:line="360" w:lineRule="auto"/>
        <w:ind w:left="3600" w:firstLine="720"/>
      </w:pPr>
      <w:sdt>
        <w:sdtPr>
          <w:rPr>
            <w:rtl/>
          </w:rPr>
          <w:alias w:val="MergeField"/>
          <w:tag w:val="1237"/>
          <w:id w:val="-213578648"/>
        </w:sdtPr>
        <w:sdtEndPr/>
        <w:sdtContent>
          <w:r>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28"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DF588E">
      <w:headerReference w:type="even" r:id="rId29"/>
      <w:headerReference w:type="default" r:id="rId30"/>
      <w:footerReference w:type="even" r:id="rId31"/>
      <w:footerReference w:type="default" r:id="rId32"/>
      <w:headerReference w:type="first" r:id="rId33"/>
      <w:footerReference w:type="first" r:id="rId34"/>
      <w:pgSz w:w="11907" w:h="16840" w:code="9"/>
      <w:pgMar w:top="1134" w:right="1588" w:bottom="1134" w:left="1588"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CD2E52">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CD2E52">
      <w:rPr>
        <w:rStyle w:val="ab"/>
        <w:rtl/>
      </w:rPr>
      <w:t>19</w:t>
    </w:r>
    <w:r w:rsidRPr="00A62BD0">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957C90" w:rsidRPr="00CD0055" w:rsidRDefault="00CD2E52" w:rsidP="006B3D22">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45804-10-17</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אוחנה נ' קובי ואח'</w:t>
              </w:r>
            </w:sdtContent>
          </w:sdt>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76522"/>
    <w:multiLevelType w:val="hybridMultilevel"/>
    <w:tmpl w:val="C602B140"/>
    <w:lvl w:ilvl="0" w:tplc="894E197C">
      <w:start w:val="1"/>
      <w:numFmt w:val="hebrew1"/>
      <w:lvlText w:val="%1."/>
      <w:lvlJc w:val="left"/>
      <w:pPr>
        <w:ind w:left="1800" w:hanging="360"/>
      </w:pPr>
      <w:rPr>
        <w:b/>
        <w:bCs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11EC4E20"/>
    <w:multiLevelType w:val="hybridMultilevel"/>
    <w:tmpl w:val="6D5A80A6"/>
    <w:lvl w:ilvl="0" w:tplc="FDF409E6">
      <w:start w:val="1"/>
      <w:numFmt w:val="hebrew1"/>
      <w:lvlText w:val="%1."/>
      <w:lvlJc w:val="left"/>
      <w:pPr>
        <w:ind w:left="586" w:hanging="360"/>
      </w:pPr>
      <w:rPr>
        <w:b w:val="0"/>
        <w:bCs w:val="0"/>
      </w:rPr>
    </w:lvl>
    <w:lvl w:ilvl="1" w:tplc="04090019">
      <w:start w:val="1"/>
      <w:numFmt w:val="lowerLetter"/>
      <w:lvlText w:val="%2."/>
      <w:lvlJc w:val="left"/>
      <w:pPr>
        <w:ind w:left="1306" w:hanging="360"/>
      </w:pPr>
    </w:lvl>
    <w:lvl w:ilvl="2" w:tplc="0409001B">
      <w:start w:val="1"/>
      <w:numFmt w:val="lowerRoman"/>
      <w:lvlText w:val="%3."/>
      <w:lvlJc w:val="right"/>
      <w:pPr>
        <w:ind w:left="2026" w:hanging="180"/>
      </w:pPr>
    </w:lvl>
    <w:lvl w:ilvl="3" w:tplc="0409000F">
      <w:start w:val="1"/>
      <w:numFmt w:val="decimal"/>
      <w:lvlText w:val="%4."/>
      <w:lvlJc w:val="left"/>
      <w:pPr>
        <w:ind w:left="2746" w:hanging="360"/>
      </w:pPr>
    </w:lvl>
    <w:lvl w:ilvl="4" w:tplc="04090019">
      <w:start w:val="1"/>
      <w:numFmt w:val="lowerLetter"/>
      <w:lvlText w:val="%5."/>
      <w:lvlJc w:val="left"/>
      <w:pPr>
        <w:ind w:left="3466" w:hanging="360"/>
      </w:pPr>
    </w:lvl>
    <w:lvl w:ilvl="5" w:tplc="0409001B">
      <w:start w:val="1"/>
      <w:numFmt w:val="lowerRoman"/>
      <w:lvlText w:val="%6."/>
      <w:lvlJc w:val="right"/>
      <w:pPr>
        <w:ind w:left="4186" w:hanging="180"/>
      </w:pPr>
    </w:lvl>
    <w:lvl w:ilvl="6" w:tplc="0409000F">
      <w:start w:val="1"/>
      <w:numFmt w:val="decimal"/>
      <w:lvlText w:val="%7."/>
      <w:lvlJc w:val="left"/>
      <w:pPr>
        <w:ind w:left="4906" w:hanging="360"/>
      </w:pPr>
    </w:lvl>
    <w:lvl w:ilvl="7" w:tplc="04090019">
      <w:start w:val="1"/>
      <w:numFmt w:val="lowerLetter"/>
      <w:lvlText w:val="%8."/>
      <w:lvlJc w:val="left"/>
      <w:pPr>
        <w:ind w:left="5626" w:hanging="360"/>
      </w:pPr>
    </w:lvl>
    <w:lvl w:ilvl="8" w:tplc="0409001B">
      <w:start w:val="1"/>
      <w:numFmt w:val="lowerRoman"/>
      <w:lvlText w:val="%9."/>
      <w:lvlJc w:val="right"/>
      <w:pPr>
        <w:ind w:left="6346" w:hanging="180"/>
      </w:pPr>
    </w:lvl>
  </w:abstractNum>
  <w:abstractNum w:abstractNumId="2" w15:restartNumberingAfterBreak="0">
    <w:nsid w:val="21156AEF"/>
    <w:multiLevelType w:val="hybridMultilevel"/>
    <w:tmpl w:val="BEC29EEA"/>
    <w:lvl w:ilvl="0" w:tplc="FDCAF552">
      <w:start w:val="1"/>
      <w:numFmt w:val="hebrew1"/>
      <w:lvlText w:val="%1."/>
      <w:lvlJc w:val="left"/>
      <w:pPr>
        <w:ind w:left="1800" w:hanging="360"/>
      </w:pPr>
      <w:rPr>
        <w:b/>
        <w:bCs w:val="0"/>
        <w:strike w:val="0"/>
        <w:dstrike w:val="0"/>
        <w:u w:val="none"/>
        <w:effect w:val="none"/>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 w15:restartNumberingAfterBreak="0">
    <w:nsid w:val="348A4DB7"/>
    <w:multiLevelType w:val="hybridMultilevel"/>
    <w:tmpl w:val="843A2CBE"/>
    <w:lvl w:ilvl="0" w:tplc="85D82840">
      <w:start w:val="1"/>
      <w:numFmt w:val="hebrew1"/>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35651805"/>
    <w:multiLevelType w:val="multilevel"/>
    <w:tmpl w:val="4DDA38AA"/>
    <w:lvl w:ilvl="0">
      <w:start w:val="1"/>
      <w:numFmt w:val="decimal"/>
      <w:lvlText w:val="%1."/>
      <w:lvlJc w:val="left"/>
      <w:pPr>
        <w:ind w:left="720" w:hanging="360"/>
      </w:pPr>
      <w:rPr>
        <w:rFonts w:ascii="David" w:hAnsi="David" w:cs="David" w:hint="default"/>
        <w:b w:val="0"/>
        <w:bCs w:val="0"/>
        <w:sz w:val="24"/>
        <w:szCs w:val="24"/>
      </w:rPr>
    </w:lvl>
    <w:lvl w:ilvl="1">
      <w:start w:val="1"/>
      <w:numFmt w:val="decimal"/>
      <w:isLgl/>
      <w:lvlText w:val="%1.%2"/>
      <w:lvlJc w:val="left"/>
      <w:pPr>
        <w:ind w:left="1080" w:hanging="360"/>
      </w:pPr>
      <w:rPr>
        <w:rFonts w:ascii="David" w:hAnsi="David" w:cs="David" w:hint="default"/>
        <w:b w:val="0"/>
        <w:bCs w:val="0"/>
        <w:sz w:val="24"/>
        <w:szCs w:val="24"/>
        <w:lang w:bidi="he-I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5" w15:restartNumberingAfterBreak="0">
    <w:nsid w:val="389312F6"/>
    <w:multiLevelType w:val="hybridMultilevel"/>
    <w:tmpl w:val="6644C55A"/>
    <w:lvl w:ilvl="0" w:tplc="B3229FFC">
      <w:numFmt w:val="bullet"/>
      <w:lvlText w:val="-"/>
      <w:lvlJc w:val="left"/>
      <w:pPr>
        <w:ind w:left="1295" w:hanging="360"/>
      </w:pPr>
      <w:rPr>
        <w:rFonts w:ascii="David" w:eastAsia="Calibri" w:hAnsi="David" w:cs="David" w:hint="default"/>
        <w:b/>
        <w:bCs w:val="0"/>
      </w:rPr>
    </w:lvl>
    <w:lvl w:ilvl="1" w:tplc="04090003">
      <w:start w:val="1"/>
      <w:numFmt w:val="bullet"/>
      <w:lvlText w:val="o"/>
      <w:lvlJc w:val="left"/>
      <w:pPr>
        <w:ind w:left="2015" w:hanging="360"/>
      </w:pPr>
      <w:rPr>
        <w:rFonts w:ascii="Courier New" w:hAnsi="Courier New" w:cs="Courier New" w:hint="default"/>
      </w:rPr>
    </w:lvl>
    <w:lvl w:ilvl="2" w:tplc="04090005">
      <w:start w:val="1"/>
      <w:numFmt w:val="bullet"/>
      <w:lvlText w:val=""/>
      <w:lvlJc w:val="left"/>
      <w:pPr>
        <w:ind w:left="2735" w:hanging="360"/>
      </w:pPr>
      <w:rPr>
        <w:rFonts w:ascii="Wingdings" w:hAnsi="Wingdings" w:hint="default"/>
      </w:rPr>
    </w:lvl>
    <w:lvl w:ilvl="3" w:tplc="04090001">
      <w:start w:val="1"/>
      <w:numFmt w:val="bullet"/>
      <w:lvlText w:val=""/>
      <w:lvlJc w:val="left"/>
      <w:pPr>
        <w:ind w:left="3455" w:hanging="360"/>
      </w:pPr>
      <w:rPr>
        <w:rFonts w:ascii="Symbol" w:hAnsi="Symbol" w:hint="default"/>
      </w:rPr>
    </w:lvl>
    <w:lvl w:ilvl="4" w:tplc="04090003">
      <w:start w:val="1"/>
      <w:numFmt w:val="bullet"/>
      <w:lvlText w:val="o"/>
      <w:lvlJc w:val="left"/>
      <w:pPr>
        <w:ind w:left="4175" w:hanging="360"/>
      </w:pPr>
      <w:rPr>
        <w:rFonts w:ascii="Courier New" w:hAnsi="Courier New" w:cs="Courier New" w:hint="default"/>
      </w:rPr>
    </w:lvl>
    <w:lvl w:ilvl="5" w:tplc="04090005">
      <w:start w:val="1"/>
      <w:numFmt w:val="bullet"/>
      <w:lvlText w:val=""/>
      <w:lvlJc w:val="left"/>
      <w:pPr>
        <w:ind w:left="4895" w:hanging="360"/>
      </w:pPr>
      <w:rPr>
        <w:rFonts w:ascii="Wingdings" w:hAnsi="Wingdings" w:hint="default"/>
      </w:rPr>
    </w:lvl>
    <w:lvl w:ilvl="6" w:tplc="04090001">
      <w:start w:val="1"/>
      <w:numFmt w:val="bullet"/>
      <w:lvlText w:val=""/>
      <w:lvlJc w:val="left"/>
      <w:pPr>
        <w:ind w:left="5615" w:hanging="360"/>
      </w:pPr>
      <w:rPr>
        <w:rFonts w:ascii="Symbol" w:hAnsi="Symbol" w:hint="default"/>
      </w:rPr>
    </w:lvl>
    <w:lvl w:ilvl="7" w:tplc="04090003">
      <w:start w:val="1"/>
      <w:numFmt w:val="bullet"/>
      <w:lvlText w:val="o"/>
      <w:lvlJc w:val="left"/>
      <w:pPr>
        <w:ind w:left="6335" w:hanging="360"/>
      </w:pPr>
      <w:rPr>
        <w:rFonts w:ascii="Courier New" w:hAnsi="Courier New" w:cs="Courier New" w:hint="default"/>
      </w:rPr>
    </w:lvl>
    <w:lvl w:ilvl="8" w:tplc="04090005">
      <w:start w:val="1"/>
      <w:numFmt w:val="bullet"/>
      <w:lvlText w:val=""/>
      <w:lvlJc w:val="left"/>
      <w:pPr>
        <w:ind w:left="7055" w:hanging="360"/>
      </w:pPr>
      <w:rPr>
        <w:rFonts w:ascii="Wingdings" w:hAnsi="Wingdings" w:hint="default"/>
      </w:rPr>
    </w:lvl>
  </w:abstractNum>
  <w:abstractNum w:abstractNumId="6" w15:restartNumberingAfterBreak="0">
    <w:nsid w:val="48355B7B"/>
    <w:multiLevelType w:val="hybridMultilevel"/>
    <w:tmpl w:val="8DA6C320"/>
    <w:lvl w:ilvl="0" w:tplc="ABDC95D4">
      <w:start w:val="1"/>
      <w:numFmt w:val="hebrew1"/>
      <w:lvlText w:val="(%1)"/>
      <w:lvlJc w:val="left"/>
      <w:pPr>
        <w:ind w:left="586" w:hanging="360"/>
      </w:pPr>
    </w:lvl>
    <w:lvl w:ilvl="1" w:tplc="04090019">
      <w:start w:val="1"/>
      <w:numFmt w:val="lowerLetter"/>
      <w:lvlText w:val="%2."/>
      <w:lvlJc w:val="left"/>
      <w:pPr>
        <w:ind w:left="1306" w:hanging="360"/>
      </w:pPr>
    </w:lvl>
    <w:lvl w:ilvl="2" w:tplc="0409001B">
      <w:start w:val="1"/>
      <w:numFmt w:val="lowerRoman"/>
      <w:lvlText w:val="%3."/>
      <w:lvlJc w:val="right"/>
      <w:pPr>
        <w:ind w:left="2026" w:hanging="180"/>
      </w:pPr>
    </w:lvl>
    <w:lvl w:ilvl="3" w:tplc="0409000F">
      <w:start w:val="1"/>
      <w:numFmt w:val="decimal"/>
      <w:lvlText w:val="%4."/>
      <w:lvlJc w:val="left"/>
      <w:pPr>
        <w:ind w:left="2746" w:hanging="360"/>
      </w:pPr>
    </w:lvl>
    <w:lvl w:ilvl="4" w:tplc="04090019">
      <w:start w:val="1"/>
      <w:numFmt w:val="lowerLetter"/>
      <w:lvlText w:val="%5."/>
      <w:lvlJc w:val="left"/>
      <w:pPr>
        <w:ind w:left="3466" w:hanging="360"/>
      </w:pPr>
    </w:lvl>
    <w:lvl w:ilvl="5" w:tplc="0409001B">
      <w:start w:val="1"/>
      <w:numFmt w:val="lowerRoman"/>
      <w:lvlText w:val="%6."/>
      <w:lvlJc w:val="right"/>
      <w:pPr>
        <w:ind w:left="4186" w:hanging="180"/>
      </w:pPr>
    </w:lvl>
    <w:lvl w:ilvl="6" w:tplc="0409000F">
      <w:start w:val="1"/>
      <w:numFmt w:val="decimal"/>
      <w:lvlText w:val="%7."/>
      <w:lvlJc w:val="left"/>
      <w:pPr>
        <w:ind w:left="4906" w:hanging="360"/>
      </w:pPr>
    </w:lvl>
    <w:lvl w:ilvl="7" w:tplc="04090019">
      <w:start w:val="1"/>
      <w:numFmt w:val="lowerLetter"/>
      <w:lvlText w:val="%8."/>
      <w:lvlJc w:val="left"/>
      <w:pPr>
        <w:ind w:left="5626" w:hanging="360"/>
      </w:pPr>
    </w:lvl>
    <w:lvl w:ilvl="8" w:tplc="0409001B">
      <w:start w:val="1"/>
      <w:numFmt w:val="lowerRoman"/>
      <w:lvlText w:val="%9."/>
      <w:lvlJc w:val="right"/>
      <w:pPr>
        <w:ind w:left="6346" w:hanging="180"/>
      </w:pPr>
    </w:lvl>
  </w:abstractNum>
  <w:abstractNum w:abstractNumId="7" w15:restartNumberingAfterBreak="0">
    <w:nsid w:val="67CE1ED9"/>
    <w:multiLevelType w:val="hybridMultilevel"/>
    <w:tmpl w:val="9BD0EA0A"/>
    <w:lvl w:ilvl="0" w:tplc="AFAE4384">
      <w:start w:val="1"/>
      <w:numFmt w:val="hebrew1"/>
      <w:lvlText w:val="%1."/>
      <w:lvlJc w:val="left"/>
      <w:pPr>
        <w:ind w:left="586" w:hanging="360"/>
      </w:pPr>
    </w:lvl>
    <w:lvl w:ilvl="1" w:tplc="04090019">
      <w:start w:val="1"/>
      <w:numFmt w:val="lowerLetter"/>
      <w:lvlText w:val="%2."/>
      <w:lvlJc w:val="left"/>
      <w:pPr>
        <w:ind w:left="1306" w:hanging="360"/>
      </w:pPr>
    </w:lvl>
    <w:lvl w:ilvl="2" w:tplc="0409001B">
      <w:start w:val="1"/>
      <w:numFmt w:val="lowerRoman"/>
      <w:lvlText w:val="%3."/>
      <w:lvlJc w:val="right"/>
      <w:pPr>
        <w:ind w:left="2026" w:hanging="180"/>
      </w:pPr>
    </w:lvl>
    <w:lvl w:ilvl="3" w:tplc="0409000F">
      <w:start w:val="1"/>
      <w:numFmt w:val="decimal"/>
      <w:lvlText w:val="%4."/>
      <w:lvlJc w:val="left"/>
      <w:pPr>
        <w:ind w:left="2746" w:hanging="360"/>
      </w:pPr>
    </w:lvl>
    <w:lvl w:ilvl="4" w:tplc="04090019">
      <w:start w:val="1"/>
      <w:numFmt w:val="lowerLetter"/>
      <w:lvlText w:val="%5."/>
      <w:lvlJc w:val="left"/>
      <w:pPr>
        <w:ind w:left="3466" w:hanging="360"/>
      </w:pPr>
    </w:lvl>
    <w:lvl w:ilvl="5" w:tplc="0409001B">
      <w:start w:val="1"/>
      <w:numFmt w:val="lowerRoman"/>
      <w:lvlText w:val="%6."/>
      <w:lvlJc w:val="right"/>
      <w:pPr>
        <w:ind w:left="4186" w:hanging="180"/>
      </w:pPr>
    </w:lvl>
    <w:lvl w:ilvl="6" w:tplc="0409000F">
      <w:start w:val="1"/>
      <w:numFmt w:val="decimal"/>
      <w:lvlText w:val="%7."/>
      <w:lvlJc w:val="left"/>
      <w:pPr>
        <w:ind w:left="4906" w:hanging="360"/>
      </w:pPr>
    </w:lvl>
    <w:lvl w:ilvl="7" w:tplc="04090019">
      <w:start w:val="1"/>
      <w:numFmt w:val="lowerLetter"/>
      <w:lvlText w:val="%8."/>
      <w:lvlJc w:val="left"/>
      <w:pPr>
        <w:ind w:left="5626" w:hanging="360"/>
      </w:pPr>
    </w:lvl>
    <w:lvl w:ilvl="8" w:tplc="0409001B">
      <w:start w:val="1"/>
      <w:numFmt w:val="lowerRoman"/>
      <w:lvlText w:val="%9."/>
      <w:lvlJc w:val="right"/>
      <w:pPr>
        <w:ind w:left="6346" w:hanging="180"/>
      </w:pPr>
    </w:lvl>
  </w:abstractNum>
  <w:abstractNum w:abstractNumId="8" w15:restartNumberingAfterBreak="0">
    <w:nsid w:val="6BBA7BAD"/>
    <w:multiLevelType w:val="hybridMultilevel"/>
    <w:tmpl w:val="46C45A9E"/>
    <w:lvl w:ilvl="0" w:tplc="A2A87E50">
      <w:start w:val="1"/>
      <w:numFmt w:val="hebrew1"/>
      <w:lvlText w:val="%1."/>
      <w:lvlJc w:val="left"/>
      <w:pPr>
        <w:ind w:left="586" w:hanging="360"/>
      </w:pPr>
    </w:lvl>
    <w:lvl w:ilvl="1" w:tplc="04090019">
      <w:start w:val="1"/>
      <w:numFmt w:val="lowerLetter"/>
      <w:lvlText w:val="%2."/>
      <w:lvlJc w:val="left"/>
      <w:pPr>
        <w:ind w:left="1306" w:hanging="360"/>
      </w:pPr>
    </w:lvl>
    <w:lvl w:ilvl="2" w:tplc="0409001B">
      <w:start w:val="1"/>
      <w:numFmt w:val="lowerRoman"/>
      <w:lvlText w:val="%3."/>
      <w:lvlJc w:val="right"/>
      <w:pPr>
        <w:ind w:left="2026" w:hanging="180"/>
      </w:pPr>
    </w:lvl>
    <w:lvl w:ilvl="3" w:tplc="0409000F">
      <w:start w:val="1"/>
      <w:numFmt w:val="decimal"/>
      <w:lvlText w:val="%4."/>
      <w:lvlJc w:val="left"/>
      <w:pPr>
        <w:ind w:left="2746" w:hanging="360"/>
      </w:pPr>
    </w:lvl>
    <w:lvl w:ilvl="4" w:tplc="04090019">
      <w:start w:val="1"/>
      <w:numFmt w:val="lowerLetter"/>
      <w:lvlText w:val="%5."/>
      <w:lvlJc w:val="left"/>
      <w:pPr>
        <w:ind w:left="3466" w:hanging="360"/>
      </w:pPr>
    </w:lvl>
    <w:lvl w:ilvl="5" w:tplc="0409001B">
      <w:start w:val="1"/>
      <w:numFmt w:val="lowerRoman"/>
      <w:lvlText w:val="%6."/>
      <w:lvlJc w:val="right"/>
      <w:pPr>
        <w:ind w:left="4186" w:hanging="180"/>
      </w:pPr>
    </w:lvl>
    <w:lvl w:ilvl="6" w:tplc="0409000F">
      <w:start w:val="1"/>
      <w:numFmt w:val="decimal"/>
      <w:lvlText w:val="%7."/>
      <w:lvlJc w:val="left"/>
      <w:pPr>
        <w:ind w:left="4906" w:hanging="360"/>
      </w:pPr>
    </w:lvl>
    <w:lvl w:ilvl="7" w:tplc="04090019">
      <w:start w:val="1"/>
      <w:numFmt w:val="lowerLetter"/>
      <w:lvlText w:val="%8."/>
      <w:lvlJc w:val="left"/>
      <w:pPr>
        <w:ind w:left="5626" w:hanging="360"/>
      </w:pPr>
    </w:lvl>
    <w:lvl w:ilvl="8" w:tplc="0409001B">
      <w:start w:val="1"/>
      <w:numFmt w:val="lowerRoman"/>
      <w:lvlText w:val="%9."/>
      <w:lvlJc w:val="right"/>
      <w:pPr>
        <w:ind w:left="6346" w:hanging="180"/>
      </w:pPr>
    </w:lvl>
  </w:abstractNum>
  <w:abstractNum w:abstractNumId="9" w15:restartNumberingAfterBreak="0">
    <w:nsid w:val="7D027EEB"/>
    <w:multiLevelType w:val="hybridMultilevel"/>
    <w:tmpl w:val="B43E2FC8"/>
    <w:lvl w:ilvl="0" w:tplc="62082E1C">
      <w:start w:val="1"/>
      <w:numFmt w:val="hebrew1"/>
      <w:lvlText w:val="%1."/>
      <w:lvlJc w:val="left"/>
      <w:pPr>
        <w:ind w:left="1440" w:hanging="360"/>
      </w:pPr>
      <w:rPr>
        <w:b w:val="0"/>
        <w:b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4055B"/>
    <w:rsid w:val="000564AB"/>
    <w:rsid w:val="000B2E97"/>
    <w:rsid w:val="000D4A02"/>
    <w:rsid w:val="001059B6"/>
    <w:rsid w:val="001072A9"/>
    <w:rsid w:val="00121F97"/>
    <w:rsid w:val="00126A31"/>
    <w:rsid w:val="001277D7"/>
    <w:rsid w:val="00132017"/>
    <w:rsid w:val="00140E42"/>
    <w:rsid w:val="0014234E"/>
    <w:rsid w:val="00145A87"/>
    <w:rsid w:val="001C4003"/>
    <w:rsid w:val="001F5474"/>
    <w:rsid w:val="002352F7"/>
    <w:rsid w:val="00295DD1"/>
    <w:rsid w:val="003725BC"/>
    <w:rsid w:val="00381D3A"/>
    <w:rsid w:val="003823DA"/>
    <w:rsid w:val="00425891"/>
    <w:rsid w:val="0043595F"/>
    <w:rsid w:val="0046753C"/>
    <w:rsid w:val="0047645A"/>
    <w:rsid w:val="004C5CA7"/>
    <w:rsid w:val="004D49A3"/>
    <w:rsid w:val="004E6E3C"/>
    <w:rsid w:val="005124F1"/>
    <w:rsid w:val="00526CBC"/>
    <w:rsid w:val="00530BAD"/>
    <w:rsid w:val="00541598"/>
    <w:rsid w:val="00547DB7"/>
    <w:rsid w:val="00567324"/>
    <w:rsid w:val="00590BFF"/>
    <w:rsid w:val="005B0F49"/>
    <w:rsid w:val="005C7EC6"/>
    <w:rsid w:val="005D4BDB"/>
    <w:rsid w:val="0060626B"/>
    <w:rsid w:val="00622BAA"/>
    <w:rsid w:val="00625C89"/>
    <w:rsid w:val="00633C4F"/>
    <w:rsid w:val="00671BD5"/>
    <w:rsid w:val="006805C1"/>
    <w:rsid w:val="006816EC"/>
    <w:rsid w:val="00694556"/>
    <w:rsid w:val="006B3D22"/>
    <w:rsid w:val="006E1A53"/>
    <w:rsid w:val="007056AA"/>
    <w:rsid w:val="00744F41"/>
    <w:rsid w:val="007A24FE"/>
    <w:rsid w:val="007A35AA"/>
    <w:rsid w:val="007F1048"/>
    <w:rsid w:val="0081565E"/>
    <w:rsid w:val="00820005"/>
    <w:rsid w:val="0083107C"/>
    <w:rsid w:val="00846D27"/>
    <w:rsid w:val="008610A7"/>
    <w:rsid w:val="008B7E60"/>
    <w:rsid w:val="008E1332"/>
    <w:rsid w:val="00903896"/>
    <w:rsid w:val="00927813"/>
    <w:rsid w:val="00934F1C"/>
    <w:rsid w:val="00944D13"/>
    <w:rsid w:val="00957C90"/>
    <w:rsid w:val="009E0263"/>
    <w:rsid w:val="00A0260A"/>
    <w:rsid w:val="00A267CF"/>
    <w:rsid w:val="00A43458"/>
    <w:rsid w:val="00A62BD0"/>
    <w:rsid w:val="00A86F58"/>
    <w:rsid w:val="00AA73F5"/>
    <w:rsid w:val="00AC4E19"/>
    <w:rsid w:val="00AF1ED6"/>
    <w:rsid w:val="00B14234"/>
    <w:rsid w:val="00B32C61"/>
    <w:rsid w:val="00B368FE"/>
    <w:rsid w:val="00B458D3"/>
    <w:rsid w:val="00B52482"/>
    <w:rsid w:val="00B80CBD"/>
    <w:rsid w:val="00BC3369"/>
    <w:rsid w:val="00BF77EE"/>
    <w:rsid w:val="00C32E0F"/>
    <w:rsid w:val="00C42BF9"/>
    <w:rsid w:val="00C83E56"/>
    <w:rsid w:val="00CB4F7C"/>
    <w:rsid w:val="00CD0055"/>
    <w:rsid w:val="00CD2E52"/>
    <w:rsid w:val="00D26B56"/>
    <w:rsid w:val="00D319B3"/>
    <w:rsid w:val="00D53924"/>
    <w:rsid w:val="00D60849"/>
    <w:rsid w:val="00D61C0C"/>
    <w:rsid w:val="00D71731"/>
    <w:rsid w:val="00D96D8C"/>
    <w:rsid w:val="00DD2DAC"/>
    <w:rsid w:val="00DD337E"/>
    <w:rsid w:val="00DF588E"/>
    <w:rsid w:val="00E00B6F"/>
    <w:rsid w:val="00E13360"/>
    <w:rsid w:val="00E50B33"/>
    <w:rsid w:val="00E54642"/>
    <w:rsid w:val="00E97908"/>
    <w:rsid w:val="00EB331B"/>
    <w:rsid w:val="00EF3ED0"/>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character" w:styleId="Hyperlink">
    <w:name w:val="Hyperlink"/>
    <w:semiHidden/>
    <w:unhideWhenUsed/>
    <w:rsid w:val="00DF588E"/>
    <w:rPr>
      <w:rFonts w:ascii="Times New Roman" w:hAnsi="Times New Roman" w:cs="Times New Roman" w:hint="default"/>
      <w:color w:val="0000FF"/>
      <w:u w:val="single"/>
    </w:rPr>
  </w:style>
  <w:style w:type="paragraph" w:styleId="ad">
    <w:name w:val="List Paragraph"/>
    <w:basedOn w:val="a"/>
    <w:qFormat/>
    <w:rsid w:val="00DF588E"/>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10">
    <w:name w:val="פיסקת רשימה1"/>
    <w:basedOn w:val="a"/>
    <w:qFormat/>
    <w:rsid w:val="00DF588E"/>
    <w:pPr>
      <w:spacing w:after="160" w:line="254" w:lineRule="auto"/>
      <w:ind w:left="720"/>
      <w:contextualSpacing/>
    </w:pPr>
    <w:rPr>
      <w:rFonts w:ascii="Calibri" w:eastAsia="Calibri" w:hAnsi="Calibri" w:cs="Arial"/>
      <w:noProof w:val="0"/>
      <w:sz w:val="22"/>
      <w:szCs w:val="22"/>
    </w:rPr>
  </w:style>
  <w:style w:type="paragraph" w:customStyle="1" w:styleId="3">
    <w:name w:val="פיסקת רשימה3"/>
    <w:basedOn w:val="a"/>
    <w:qFormat/>
    <w:rsid w:val="00DF588E"/>
    <w:pPr>
      <w:ind w:left="720"/>
      <w:contextualSpacing/>
    </w:pPr>
  </w:style>
  <w:style w:type="character" w:customStyle="1" w:styleId="default">
    <w:name w:val="default"/>
    <w:rsid w:val="00DF5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0344290">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www.nevo.co.il/law/74372" TargetMode="External"/><Relationship Id="rId18" Type="http://schemas.openxmlformats.org/officeDocument/2006/relationships/hyperlink" Target="http://www.nevo.co.il/law/74372/15" TargetMode="External"/><Relationship Id="rId26" Type="http://schemas.openxmlformats.org/officeDocument/2006/relationships/hyperlink" Target="http://www.nevo.co.il/case/18137394" TargetMode="External"/><Relationship Id="rId21" Type="http://schemas.openxmlformats.org/officeDocument/2006/relationships/hyperlink" Target="http://www.nevo.co.il/law/74372/11.a"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nevo.co.il/law/74372/2.a" TargetMode="External"/><Relationship Id="rId17" Type="http://schemas.openxmlformats.org/officeDocument/2006/relationships/hyperlink" Target="http://www.nevo.co.il/case/5573702" TargetMode="External"/><Relationship Id="rId25" Type="http://schemas.openxmlformats.org/officeDocument/2006/relationships/hyperlink" Target="http://www.nevo.co.il/case/5789845"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nevo.co.il/law/74372/15" TargetMode="External"/><Relationship Id="rId20" Type="http://schemas.openxmlformats.org/officeDocument/2006/relationships/hyperlink" Target="http://www.nevo.co.il/case/5692156" TargetMode="External"/><Relationship Id="rId29"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nevo.co.il/law/74372" TargetMode="External"/><Relationship Id="rId24" Type="http://schemas.openxmlformats.org/officeDocument/2006/relationships/hyperlink" Target="http://www.nevo.co.il/law/73015"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evo.co.il/case/25459241" TargetMode="External"/><Relationship Id="rId23" Type="http://schemas.openxmlformats.org/officeDocument/2006/relationships/hyperlink" Target="http://www.nevo.co.il/law/73015/11" TargetMode="External"/><Relationship Id="rId28" Type="http://schemas.openxmlformats.org/officeDocument/2006/relationships/image" Target="media/image1.jpg"/><Relationship Id="rId36" Type="http://schemas.openxmlformats.org/officeDocument/2006/relationships/glossaryDocument" Target="glossary/document.xml"/><Relationship Id="rId10" Type="http://schemas.openxmlformats.org/officeDocument/2006/relationships/hyperlink" Target="http://www.nevo.co.il/case/25459241" TargetMode="External"/><Relationship Id="rId19" Type="http://schemas.openxmlformats.org/officeDocument/2006/relationships/hyperlink" Target="http://www.nevo.co.il/law/74372"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evo.co.il/law/74372" TargetMode="External"/><Relationship Id="rId14" Type="http://schemas.openxmlformats.org/officeDocument/2006/relationships/hyperlink" Target="http://www.nevo.co.il/case/5957838" TargetMode="External"/><Relationship Id="rId22" Type="http://schemas.openxmlformats.org/officeDocument/2006/relationships/hyperlink" Target="http://www.nevo.co.il/safrut/bookgroup/2109" TargetMode="External"/><Relationship Id="rId27" Type="http://schemas.openxmlformats.org/officeDocument/2006/relationships/hyperlink" Target="http://www.nevo.co.il/case/23750851"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www.nevo.co.il/case/17937742"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A8093B"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A8093B"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992B1E"/>
    <w:rsid w:val="00A8093B"/>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6389</Words>
  <Characters>31946</Characters>
  <Application>Microsoft Office Word</Application>
  <DocSecurity>4</DocSecurity>
  <Lines>266</Lines>
  <Paragraphs>76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2022-06-30T09:00:00Z</dcterms:created>
  <dcterms:modified xsi:type="dcterms:W3CDTF">2022-06-30T09:00:00Z</dcterms:modified>
</cp:coreProperties>
</file>