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אמיר ויצנבליט</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074A37" w:rsidRDefault="00F112C0" w:rsidP="00F112C0">
                <w:pPr>
                  <w:suppressLineNumbers/>
                  <w:rPr>
                    <w:rFonts w:ascii="Arial" w:hAnsi="Arial"/>
                    <w:b/>
                    <w:bCs/>
                    <w:noProof w:val="0"/>
                    <w:sz w:val="26"/>
                    <w:szCs w:val="26"/>
                    <w:rtl/>
                  </w:rPr>
                </w:pPr>
                <w:r>
                  <w:rPr>
                    <w:rFonts w:ascii="Arial" w:hAnsi="Arial" w:hint="cs"/>
                    <w:b/>
                    <w:bCs/>
                    <w:noProof w:val="0"/>
                    <w:sz w:val="26"/>
                    <w:szCs w:val="26"/>
                    <w:rtl/>
                  </w:rPr>
                  <w:t>התובע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F112C0">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F112C0">
                  <w:rPr>
                    <w:rFonts w:ascii="Arial" w:hAnsi="Arial" w:hint="cs"/>
                    <w:b/>
                    <w:bCs/>
                    <w:noProof w:val="0"/>
                    <w:sz w:val="26"/>
                    <w:szCs w:val="26"/>
                    <w:rtl/>
                  </w:rPr>
                  <w:t>פלוני</w:t>
                </w:r>
              </w:sdtContent>
            </w:sdt>
            <w:r w:rsidR="00B859C5">
              <w:rPr>
                <w:rFonts w:hint="cs"/>
                <w:rtl/>
              </w:rPr>
              <w:t xml:space="preserve"> </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1D3CE1" w:rsidP="00F112C0">
            <w:pPr>
              <w:suppressLineNumbers/>
              <w:rPr>
                <w:rFonts w:ascii="Arial" w:hAnsi="Arial"/>
                <w:b/>
                <w:bCs/>
                <w:noProof w:val="0"/>
                <w:sz w:val="26"/>
                <w:szCs w:val="26"/>
              </w:rPr>
            </w:pPr>
            <w:sdt>
              <w:sdtPr>
                <w:rPr>
                  <w:rtl/>
                </w:rPr>
                <w:alias w:val="1184"/>
                <w:tag w:val="1184"/>
                <w:id w:val="-340621022"/>
                <w:text w:multiLine="1"/>
              </w:sdtPr>
              <w:sdtEndPr/>
              <w:sdtContent>
                <w:r w:rsidR="00F112C0">
                  <w:rPr>
                    <w:rFonts w:ascii="Arial" w:hAnsi="Arial" w:hint="cs"/>
                    <w:b/>
                    <w:bCs/>
                    <w:noProof w:val="0"/>
                    <w:sz w:val="26"/>
                    <w:szCs w:val="26"/>
                    <w:rtl/>
                  </w:rPr>
                  <w:t>הנתבעות</w:t>
                </w:r>
              </w:sdtContent>
            </w:sdt>
          </w:p>
        </w:tc>
        <w:tc>
          <w:tcPr>
            <w:tcW w:w="5571" w:type="dxa"/>
          </w:tcPr>
          <w:p w:rsidR="00F112C0" w:rsidRDefault="001D3CE1" w:rsidP="00F112C0">
            <w:pPr>
              <w:suppressLineNumbers/>
              <w:rPr>
                <w:rtl/>
              </w:rPr>
            </w:pPr>
            <w:sdt>
              <w:sdtPr>
                <w:rPr>
                  <w:rtl/>
                </w:rPr>
                <w:alias w:val="1571"/>
                <w:tag w:val="1571"/>
                <w:id w:val="1028836282"/>
                <w:text w:multiLine="1"/>
              </w:sdtPr>
              <w:sdtEndPr/>
              <w:sdtContent>
                <w:r w:rsidR="00424313">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הנהלת בתי המשפט - המחלקה המשפטית</w:t>
                </w:r>
              </w:sdtContent>
            </w:sdt>
            <w:r w:rsidR="00B859C5">
              <w:rPr>
                <w:rFonts w:hint="cs"/>
                <w:rtl/>
              </w:rPr>
              <w:t xml:space="preserve"> </w:t>
            </w:r>
          </w:p>
          <w:p w:rsidR="00CF6BB7" w:rsidRPr="009E461A" w:rsidRDefault="001D3CE1" w:rsidP="00F112C0">
            <w:pPr>
              <w:suppressLineNumbers/>
              <w:rPr>
                <w:rtl/>
              </w:rPr>
            </w:pPr>
            <w:sdt>
              <w:sdtPr>
                <w:rPr>
                  <w:rtl/>
                </w:rPr>
                <w:alias w:val="1571"/>
                <w:tag w:val="1571"/>
                <w:id w:val="-2101173159"/>
                <w:text w:multiLine="1"/>
              </w:sdtPr>
              <w:sdtEndPr/>
              <w:sdtContent>
                <w:r w:rsidR="00424313">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624419051"/>
                <w:placeholder>
                  <w:docPart w:val="C3B0FBA23B684176B12DDEEA2C39785F"/>
                </w:placeholder>
                <w:text w:multiLine="1"/>
              </w:sdtPr>
              <w:sdtEndPr/>
              <w:sdtContent>
                <w:r w:rsidR="00424313">
                  <w:rPr>
                    <w:rFonts w:ascii="Arial" w:hAnsi="Arial" w:hint="eastAsia"/>
                    <w:b/>
                    <w:bCs/>
                    <w:noProof w:val="0"/>
                    <w:sz w:val="26"/>
                    <w:szCs w:val="26"/>
                    <w:rtl/>
                  </w:rPr>
                  <w:t xml:space="preserve">בית משפט לענייני משפחה </w:t>
                </w:r>
              </w:sdtContent>
            </w:sdt>
            <w:r w:rsidR="00B859C5">
              <w:rPr>
                <w:rFonts w:hint="cs"/>
                <w:rtl/>
              </w:rPr>
              <w:t xml:space="preserve"> </w:t>
            </w:r>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p w:rsidR="00CF6BB7" w:rsidRDefault="00CF6BB7" w:rsidP="00D44968">
            <w:pPr>
              <w:suppressLineNumbers/>
              <w:rPr>
                <w:rtl/>
              </w:rPr>
            </w:pPr>
          </w:p>
        </w:tc>
      </w:tr>
      <w:tr w:rsidR="00CF6BB7">
        <w:trPr>
          <w:jc w:val="center"/>
        </w:trPr>
        <w:tc>
          <w:tcPr>
            <w:tcW w:w="3249" w:type="dxa"/>
            <w:gridSpan w:val="2"/>
          </w:tcPr>
          <w:p w:rsidR="00A46717" w:rsidRPr="00272E32" w:rsidRDefault="001D3CE1" w:rsidP="00A46717">
            <w:pPr>
              <w:rPr>
                <w:rFonts w:ascii="Arial" w:hAnsi="Arial"/>
                <w:b/>
                <w:bCs/>
                <w:noProof w:val="0"/>
                <w:sz w:val="26"/>
                <w:szCs w:val="26"/>
              </w:rPr>
            </w:pPr>
            <w:sdt>
              <w:sdtPr>
                <w:rPr>
                  <w:rFonts w:ascii="Arial" w:hAnsi="Arial"/>
                  <w:b/>
                  <w:bCs/>
                  <w:noProof w:val="0"/>
                  <w:sz w:val="26"/>
                  <w:szCs w:val="26"/>
                  <w:rtl/>
                </w:rPr>
                <w:alias w:val="2360"/>
                <w:tag w:val="2360"/>
                <w:id w:val="-1765608184"/>
                <w:lock w:val="contentLocked"/>
                <w:placeholder>
                  <w:docPart w:val="C0D9D4EB038F4D9DB24B5A2B7A8F2E7B"/>
                </w:placeholder>
                <w:text w:multiLine="1"/>
              </w:sdtPr>
              <w:sdtEndPr/>
              <w:sdtContent/>
            </w:sdt>
          </w:p>
        </w:tc>
        <w:tc>
          <w:tcPr>
            <w:tcW w:w="5571" w:type="dxa"/>
          </w:tcPr>
          <w:p w:rsidR="00A46717" w:rsidRPr="007C2453" w:rsidRDefault="001D3CE1" w:rsidP="00A46717">
            <w:pPr>
              <w:rPr>
                <w:rFonts w:ascii="Arial" w:hAnsi="Arial"/>
                <w:b/>
                <w:bCs/>
                <w:noProof w:val="0"/>
                <w:sz w:val="26"/>
                <w:szCs w:val="26"/>
              </w:rPr>
            </w:pPr>
            <w:sdt>
              <w:sdtPr>
                <w:rPr>
                  <w:rFonts w:ascii="Arial" w:hAnsi="Arial"/>
                  <w:b/>
                  <w:bCs/>
                  <w:noProof w:val="0"/>
                  <w:sz w:val="26"/>
                  <w:szCs w:val="26"/>
                  <w:rtl/>
                </w:rPr>
                <w:alias w:val="3153"/>
                <w:tag w:val="3153"/>
                <w:id w:val="-1834055329"/>
                <w:lock w:val="contentLocked"/>
                <w:placeholder>
                  <w:docPart w:val="D0835A28627A476594973290286577B2"/>
                </w:placeholder>
                <w:text w:multiLine="1"/>
              </w:sdtPr>
              <w:sdtEndPr/>
              <w:sdtContent/>
            </w:sdt>
          </w:p>
        </w:tc>
      </w:tr>
      <w:tr w:rsidR="004C17EE" w:rsidTr="00D620FD">
        <w:trPr>
          <w:jc w:val="center"/>
        </w:trPr>
        <w:tc>
          <w:tcPr>
            <w:tcW w:w="8820" w:type="dxa"/>
            <w:gridSpan w:val="3"/>
          </w:tcPr>
          <w:p w:rsidR="00074A37" w:rsidRDefault="00074A37">
            <w:pPr>
              <w:suppressLineNumbers/>
              <w:rPr>
                <w:rFonts w:ascii="Arial" w:hAnsi="Arial"/>
                <w:b/>
                <w:bCs/>
                <w:noProof w:val="0"/>
                <w:sz w:val="26"/>
                <w:szCs w:val="26"/>
                <w:rtl/>
              </w:rPr>
            </w:pPr>
          </w:p>
        </w:tc>
      </w:tr>
    </w:tbl>
    <w:p w:rsidR="0094424E" w:rsidRDefault="00F112C0" w:rsidP="00D44968">
      <w:pPr>
        <w:suppressLineNumbers/>
        <w:rPr>
          <w:rtl/>
        </w:rPr>
      </w:pPr>
      <w:r>
        <w:rPr>
          <w:rFonts w:hint="cs"/>
          <w:rtl/>
        </w:rPr>
        <w:t>בשם הנתבעות:</w:t>
      </w:r>
      <w:r>
        <w:rPr>
          <w:rtl/>
        </w:rPr>
        <w:tab/>
      </w:r>
      <w:r>
        <w:rPr>
          <w:rFonts w:hint="cs"/>
          <w:rtl/>
        </w:rPr>
        <w:t>עו"ד יפה חנוכייב</w:t>
      </w:r>
    </w:p>
    <w:p w:rsidR="00F112C0" w:rsidRDefault="00F112C0"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F112C0" w:rsidRDefault="00F112C0" w:rsidP="00F112C0">
      <w:pPr>
        <w:spacing w:line="360" w:lineRule="auto"/>
        <w:jc w:val="both"/>
        <w:rPr>
          <w:rFonts w:ascii="Arial" w:hAnsi="Arial"/>
          <w:noProof w:val="0"/>
        </w:rPr>
      </w:pPr>
      <w:bookmarkStart w:id="0" w:name="NGCSBookmark"/>
      <w:bookmarkEnd w:id="0"/>
      <w:r>
        <w:rPr>
          <w:rFonts w:ascii="Arial" w:hAnsi="Arial"/>
          <w:noProof w:val="0"/>
          <w:rtl/>
        </w:rPr>
        <w:t>1.</w:t>
      </w:r>
      <w:r>
        <w:rPr>
          <w:rFonts w:ascii="Arial" w:hAnsi="Arial"/>
          <w:noProof w:val="0"/>
          <w:rtl/>
        </w:rPr>
        <w:tab/>
        <w:t xml:space="preserve">לפניי תביעות שהוגשו נגד הנהלת בתי המשפט וכן נגד מזכירות בית המשפט לענייני משפחה. לאחר העיון בבקשה לסילוק על הסף שהגישו הנתבעות ובתשובת התובע, וכן לאחר שקוים דיון שבו טענו הצדדים בעל-פה, מצאתי כי דין הבקשה להתקבל. </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2.</w:t>
      </w:r>
      <w:r>
        <w:rPr>
          <w:rFonts w:ascii="Arial" w:hAnsi="Arial"/>
          <w:noProof w:val="0"/>
          <w:rtl/>
        </w:rPr>
        <w:tab/>
        <w:t xml:space="preserve">הנטען בשתי התביעות חוסה באורח מובהק תחת החסינות השיפוטית הקבועה בסעיף 8 לפקודת הנזיקין [נוסח חדש]. כפי שנפסק, מדובר בחסינות מהותית, שאינה מהווה בסיס להטלת אחריות שילוחית על המדינה (עיינו, רע"א 3359/18 </w:t>
      </w:r>
      <w:r w:rsidRPr="00F112C0">
        <w:rPr>
          <w:rFonts w:ascii="Arial" w:hAnsi="Arial"/>
          <w:b/>
          <w:bCs/>
          <w:noProof w:val="0"/>
          <w:rtl/>
        </w:rPr>
        <w:t>מדינת ישראל נ' עלי אדם</w:t>
      </w:r>
      <w:r>
        <w:rPr>
          <w:rFonts w:ascii="Arial" w:hAnsi="Arial"/>
          <w:noProof w:val="0"/>
          <w:rtl/>
        </w:rPr>
        <w:t xml:space="preserve"> (‏2.9.2018)). כך כבר נקבע בעניינו של התובע בתביעה אחרת שהגיש (עיינו, פסק-הדין שצורף כנספח א' לכתב ההגנה). </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3.</w:t>
      </w:r>
      <w:r>
        <w:rPr>
          <w:rFonts w:ascii="Arial" w:hAnsi="Arial"/>
          <w:noProof w:val="0"/>
          <w:rtl/>
        </w:rPr>
        <w:tab/>
        <w:t xml:space="preserve">עניין שתי התביעות מצוי בלב החסינות השיפוטית. עניינן בתקיפה של החלטות שיפוטיות. בתביעה שהוגשה בגדר תיק מס'  45424-11-13, טענות התובע הן לגבי החלטות שיפוטיות שניתנו בעניינו, אשר לשיטת התובע הן סותרות ושגויות. מדובר בטענות שאינן מקימות אחריות מכוח החסינות האמורה, וכפועל יוצא מכך, התביעה נעדרת עילה גם לגבי הנתבעות. הטענות אינן מקימות אפשרות לקבלת פיצוי כספי מן הנתבעות, וודאי שאין מקום לתת צו עשה כלפי בית המשפט שדן בעניינו של התובע (כשהתובע מכנה להבנתי את כב' השופט שדן בעניינו בשם, "העובד"). </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4.</w:t>
      </w:r>
      <w:r>
        <w:rPr>
          <w:rFonts w:ascii="Arial" w:hAnsi="Arial"/>
          <w:noProof w:val="0"/>
          <w:rtl/>
        </w:rPr>
        <w:tab/>
        <w:t xml:space="preserve">כך גם לגבי התביעה הנוספת שהגיש התובע, בגדר תיק מס' 65430-12-23. התובע טוען בתיק זה לגבי 'סידור' פסק-דין שניתן בעניינו, אולם טענות אלו אינן אלא טענות המופנות כלפי תוכנו של פסק-דין שניתן בעניינו (להבנתי התובע טוען שבפסק-הדין יש הפניות לפרוטוקול אשר </w:t>
      </w:r>
      <w:r>
        <w:rPr>
          <w:rFonts w:ascii="Arial" w:hAnsi="Arial"/>
          <w:noProof w:val="0"/>
          <w:rtl/>
        </w:rPr>
        <w:lastRenderedPageBreak/>
        <w:t xml:space="preserve">מספור העמודים בו תוקן, ושההפניות הן לפני התיקון). הסעד בדבר הטלת קנסות על הנתבעים אינו בסמכות בית משפט זה. </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5.</w:t>
      </w:r>
      <w:r>
        <w:rPr>
          <w:rFonts w:ascii="Arial" w:hAnsi="Arial"/>
          <w:noProof w:val="0"/>
          <w:rtl/>
        </w:rPr>
        <w:tab/>
        <w:t xml:space="preserve">אם כן, כתב התביעה אינו מקים עילת תביעה. על כן, התביעות נדחות על הסף. </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 xml:space="preserve">6. </w:t>
      </w:r>
      <w:r>
        <w:rPr>
          <w:rFonts w:ascii="Arial" w:hAnsi="Arial"/>
          <w:noProof w:val="0"/>
          <w:rtl/>
        </w:rPr>
        <w:tab/>
        <w:t xml:space="preserve">מטיעוני בעלי הדין מתברר שהתנהלות התובע חוזרת על עצמה. בדיון ניסיתי להסביר לתובע את הדברים, ומדוע אין עילה לתביעה שבה מועלות טענות כלפי החלטות שיפוטיות בהליך אחר – אולם ללא הועיל. </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7.</w:t>
      </w:r>
      <w:r>
        <w:rPr>
          <w:rFonts w:ascii="Arial" w:hAnsi="Arial"/>
          <w:noProof w:val="0"/>
          <w:rtl/>
        </w:rPr>
        <w:tab/>
        <w:t xml:space="preserve">מצאתי שאין לפטור את התובע מתשלום הוצאות הנתבעות בשל הטירחה שהייתה כרוכה בבירור ההליכים. אחר ששקלתי את טירחה זו, בשים לב לטיעונים בכתב שהגישו הנתבעות וכן קיום הדיון, התובע ישלם לנתבעות הוצאות בסך 5,000 ש"ח. </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ניתן להגיש ערעור על פסק-הדין לבית המשפט המחוזי תוך 60 ימים.</w:t>
      </w:r>
    </w:p>
    <w:p w:rsidR="00F112C0" w:rsidRDefault="00F112C0" w:rsidP="00F112C0">
      <w:pPr>
        <w:spacing w:line="360" w:lineRule="auto"/>
        <w:jc w:val="both"/>
        <w:rPr>
          <w:rFonts w:ascii="Arial" w:hAnsi="Arial"/>
          <w:noProof w:val="0"/>
          <w:rtl/>
        </w:rPr>
      </w:pPr>
    </w:p>
    <w:p w:rsidR="00F112C0" w:rsidRDefault="00F112C0" w:rsidP="00F112C0">
      <w:pPr>
        <w:spacing w:line="360" w:lineRule="auto"/>
        <w:jc w:val="both"/>
        <w:rPr>
          <w:rFonts w:ascii="Arial" w:hAnsi="Arial"/>
          <w:noProof w:val="0"/>
          <w:rtl/>
        </w:rPr>
      </w:pPr>
      <w:r>
        <w:rPr>
          <w:rFonts w:ascii="Arial" w:hAnsi="Arial"/>
          <w:noProof w:val="0"/>
          <w:rtl/>
        </w:rPr>
        <w:t xml:space="preserve">אלא אם תועלה לכך התנגדות תוך 7 ימים, פסק-הדין ניתן לפרסום ללא שם התובע. </w:t>
      </w: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כ"ב כסלו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23 דצמבר 2024</w:t>
          </w:r>
        </w:sdtContent>
      </w:sdt>
      <w:r w:rsidR="00005C8B">
        <w:rPr>
          <w:rFonts w:ascii="Arial" w:hAnsi="Arial"/>
          <w:noProof w:val="0"/>
          <w:rtl/>
        </w:rPr>
        <w:t>, בהעדר הצדדים.</w:t>
      </w:r>
    </w:p>
    <w:p w:rsidR="00C43648" w:rsidRDefault="001D3CE1"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301499609"/>
        </w:sdtPr>
        <w:sdtEndPr/>
        <w:sdtContent>
          <w:r w:rsidR="00321460">
            <w:drawing>
              <wp:inline distT="0" distB="0" distL="0" distR="0" wp14:editId="50D07946">
                <wp:extent cx="126682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266825" cy="7334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F112C0">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CE1" w:rsidRDefault="001D3CE1">
      <w:r>
        <w:separator/>
      </w:r>
    </w:p>
  </w:endnote>
  <w:endnote w:type="continuationSeparator" w:id="0">
    <w:p w:rsidR="001D3CE1" w:rsidRDefault="001D3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2C0" w:rsidRDefault="00F112C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3877F1">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3877F1">
      <w:rPr>
        <w:rStyle w:val="ab"/>
        <w:rFonts w:ascii="David" w:hAnsi="David"/>
        <w:rtl/>
      </w:rPr>
      <w:t>2</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2C0" w:rsidRDefault="00F112C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CE1" w:rsidRDefault="001D3CE1">
      <w:r>
        <w:separator/>
      </w:r>
    </w:p>
  </w:footnote>
  <w:footnote w:type="continuationSeparator" w:id="0">
    <w:p w:rsidR="001D3CE1" w:rsidRDefault="001D3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2C0" w:rsidRDefault="00F112C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2"/>
      <w:gridCol w:w="3495"/>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בהרצלייה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Pr="00F112C0" w:rsidRDefault="001D3CE1" w:rsidP="00F112C0">
          <w:pPr>
            <w:rPr>
              <w:b/>
              <w:bCs/>
              <w:noProof w:val="0"/>
              <w:rtl/>
            </w:rPr>
          </w:pPr>
          <w:sdt>
            <w:sdtPr>
              <w:rPr>
                <w:b/>
                <w:bCs/>
                <w:sz w:val="22"/>
                <w:szCs w:val="22"/>
                <w:rtl/>
              </w:rPr>
              <w:alias w:val="1170"/>
              <w:tag w:val="1170"/>
              <w:id w:val="1066377040"/>
              <w:text w:multiLine="1"/>
            </w:sdtPr>
            <w:sdtEndPr/>
            <w:sdtContent>
              <w:r w:rsidR="00424313" w:rsidRPr="00F112C0">
                <w:rPr>
                  <w:b/>
                  <w:bCs/>
                  <w:noProof w:val="0"/>
                  <w:sz w:val="22"/>
                  <w:szCs w:val="22"/>
                  <w:rtl/>
                </w:rPr>
                <w:t>ת"א</w:t>
              </w:r>
            </w:sdtContent>
          </w:sdt>
          <w:r w:rsidR="00005C8B" w:rsidRPr="00F112C0">
            <w:rPr>
              <w:b/>
              <w:bCs/>
              <w:noProof w:val="0"/>
              <w:rtl/>
            </w:rPr>
            <w:t xml:space="preserve"> </w:t>
          </w:r>
          <w:bookmarkStart w:id="1" w:name="_GoBack"/>
          <w:sdt>
            <w:sdtPr>
              <w:rPr>
                <w:b/>
                <w:bCs/>
                <w:sz w:val="22"/>
                <w:szCs w:val="22"/>
                <w:rtl/>
              </w:rPr>
              <w:alias w:val="1171"/>
              <w:tag w:val="1171"/>
              <w:id w:val="257034231"/>
              <w:text w:multiLine="1"/>
            </w:sdtPr>
            <w:sdtEndPr/>
            <w:sdtContent>
              <w:r w:rsidR="00424313" w:rsidRPr="00F112C0">
                <w:rPr>
                  <w:b/>
                  <w:bCs/>
                  <w:noProof w:val="0"/>
                  <w:sz w:val="22"/>
                  <w:szCs w:val="22"/>
                  <w:rtl/>
                </w:rPr>
                <w:t>45424-11-23</w:t>
              </w:r>
            </w:sdtContent>
          </w:sdt>
          <w:bookmarkEnd w:id="1"/>
          <w:r w:rsidR="00F112C0" w:rsidRPr="00F112C0">
            <w:rPr>
              <w:rFonts w:hint="cs"/>
              <w:b/>
              <w:bCs/>
              <w:noProof w:val="0"/>
              <w:rtl/>
            </w:rPr>
            <w:t>,</w:t>
          </w:r>
          <w:r w:rsidR="00005C8B" w:rsidRPr="00F112C0">
            <w:rPr>
              <w:b/>
              <w:bCs/>
              <w:noProof w:val="0"/>
              <w:rtl/>
            </w:rPr>
            <w:t xml:space="preserve"> </w:t>
          </w:r>
          <w:sdt>
            <w:sdtPr>
              <w:rPr>
                <w:b/>
                <w:bCs/>
                <w:sz w:val="22"/>
                <w:szCs w:val="22"/>
                <w:rtl/>
              </w:rPr>
              <w:alias w:val="3154"/>
              <w:tag w:val="3154"/>
              <w:id w:val="-1285889662"/>
              <w:placeholder>
                <w:docPart w:val="F5EF4663D5094D57BB3FEC6B89CF5C8E"/>
              </w:placeholder>
              <w:text w:multiLine="1"/>
            </w:sdtPr>
            <w:sdtEndPr/>
            <w:sdtContent>
              <w:r w:rsidR="00F112C0" w:rsidRPr="00F112C0">
                <w:rPr>
                  <w:b/>
                  <w:bCs/>
                  <w:sz w:val="22"/>
                  <w:szCs w:val="22"/>
                  <w:rtl/>
                </w:rPr>
                <w:t xml:space="preserve">ת"א 65430-12-23  </w:t>
              </w:r>
              <w:r w:rsidR="00F112C0" w:rsidRPr="00F112C0">
                <w:rPr>
                  <w:rFonts w:hint="cs"/>
                  <w:b/>
                  <w:bCs/>
                  <w:sz w:val="22"/>
                  <w:szCs w:val="22"/>
                  <w:rtl/>
                </w:rPr>
                <w:t>פלוני</w:t>
              </w:r>
              <w:r w:rsidR="00F112C0" w:rsidRPr="00F112C0">
                <w:rPr>
                  <w:b/>
                  <w:bCs/>
                  <w:sz w:val="22"/>
                  <w:szCs w:val="22"/>
                  <w:rtl/>
                </w:rPr>
                <w:t xml:space="preserve"> נ' הנהלת בתי המשפט - המחלקה המשפטית ואח'</w:t>
              </w:r>
            </w:sdtContent>
          </w:sdt>
          <w:r w:rsidR="007C2453" w:rsidRPr="00F112C0">
            <w:rPr>
              <w:b/>
              <w:bCs/>
              <w:noProof w:val="0"/>
              <w:rtl/>
            </w:rPr>
            <w:t xml:space="preserve"> </w:t>
          </w:r>
        </w:p>
        <w:p w:rsidR="007D45E3" w:rsidRPr="007B7765" w:rsidRDefault="007D45E3" w:rsidP="007D45E3">
          <w:pPr>
            <w:rPr>
              <w:b/>
              <w:bCs/>
              <w:noProof w:val="0"/>
              <w:sz w:val="2"/>
              <w:szCs w:val="2"/>
              <w:rtl/>
            </w:rPr>
          </w:pPr>
        </w:p>
        <w:p w:rsidR="007D45E3" w:rsidRPr="007B7765" w:rsidRDefault="007D45E3" w:rsidP="007D45E3">
          <w:pPr>
            <w:rPr>
              <w:b/>
              <w:bCs/>
              <w:noProof w:val="0"/>
              <w:sz w:val="2"/>
              <w:szCs w:val="2"/>
              <w:rtl/>
            </w:rPr>
          </w:pPr>
        </w:p>
        <w:p w:rsidR="008D10B2" w:rsidRPr="00E1068A" w:rsidRDefault="001173C6" w:rsidP="007D45E3">
          <w:pPr>
            <w:rPr>
              <w:rFonts w:hint="cs"/>
              <w:sz w:val="20"/>
              <w:szCs w:val="20"/>
              <w:rtl/>
            </w:rPr>
          </w:pPr>
          <w:r>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2C0" w:rsidRDefault="00F112C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74A37"/>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3CE1"/>
    <w:rsid w:val="001D4DBF"/>
    <w:rsid w:val="001E75CA"/>
    <w:rsid w:val="002265FF"/>
    <w:rsid w:val="00271B56"/>
    <w:rsid w:val="00272E32"/>
    <w:rsid w:val="002C344E"/>
    <w:rsid w:val="002E75E9"/>
    <w:rsid w:val="002F0B1E"/>
    <w:rsid w:val="00307A6A"/>
    <w:rsid w:val="00307C40"/>
    <w:rsid w:val="00320433"/>
    <w:rsid w:val="00321460"/>
    <w:rsid w:val="003230C7"/>
    <w:rsid w:val="00327E50"/>
    <w:rsid w:val="0033597A"/>
    <w:rsid w:val="00343D89"/>
    <w:rsid w:val="00362612"/>
    <w:rsid w:val="0036743F"/>
    <w:rsid w:val="003715DD"/>
    <w:rsid w:val="003823E0"/>
    <w:rsid w:val="003877F1"/>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02A5"/>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12C0"/>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242006">
      <w:bodyDiv w:val="1"/>
      <w:marLeft w:val="0"/>
      <w:marRight w:val="0"/>
      <w:marTop w:val="0"/>
      <w:marBottom w:val="0"/>
      <w:divBdr>
        <w:top w:val="none" w:sz="0" w:space="0" w:color="auto"/>
        <w:left w:val="none" w:sz="0" w:space="0" w:color="auto"/>
        <w:bottom w:val="none" w:sz="0" w:space="0" w:color="auto"/>
        <w:right w:val="none" w:sz="0" w:space="0" w:color="auto"/>
      </w:divBdr>
    </w:div>
    <w:div w:id="785663990">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D0835A28627A476594973290286577B2"/>
        <w:category>
          <w:name w:val="כללי"/>
          <w:gallery w:val="placeholder"/>
        </w:category>
        <w:types>
          <w:type w:val="bbPlcHdr"/>
        </w:types>
        <w:behaviors>
          <w:behavior w:val="content"/>
        </w:behaviors>
        <w:guid w:val="{B58AC2E4-A63A-41F5-B07A-05150DB4A8E9}"/>
      </w:docPartPr>
      <w:docPartBody>
        <w:p w:rsidR="00817811" w:rsidRDefault="006377AB" w:rsidP="006377AB">
          <w:pPr>
            <w:pStyle w:val="D0835A28627A476594973290286577B23"/>
          </w:pPr>
          <w:r w:rsidRPr="007C2453">
            <w:rPr>
              <w:rFonts w:ascii="Arial" w:hAnsi="Arial"/>
              <w:b/>
              <w:bCs/>
              <w:noProof w:val="0"/>
              <w:sz w:val="26"/>
              <w:szCs w:val="26"/>
              <w:rtl/>
            </w:rPr>
            <w:t>שם צד ג' ללא שם של חסוי</w:t>
          </w:r>
        </w:p>
      </w:docPartBody>
    </w:docPart>
    <w:docPart>
      <w:docPartPr>
        <w:name w:val="C0D9D4EB038F4D9DB24B5A2B7A8F2E7B"/>
        <w:category>
          <w:name w:val="כללי"/>
          <w:gallery w:val="placeholder"/>
        </w:category>
        <w:types>
          <w:type w:val="bbPlcHdr"/>
        </w:types>
        <w:behaviors>
          <w:behavior w:val="content"/>
        </w:behaviors>
        <w:guid w:val="{22B7C322-3B71-4615-99D1-4C2603CD5190}"/>
      </w:docPartPr>
      <w:docPartBody>
        <w:p w:rsidR="00817811" w:rsidRDefault="006377AB" w:rsidP="006377AB">
          <w:pPr>
            <w:pStyle w:val="C0D9D4EB038F4D9DB24B5A2B7A8F2E7B3"/>
          </w:pPr>
          <w:r w:rsidRPr="00272E32">
            <w:rPr>
              <w:rFonts w:ascii="Arial" w:hAnsi="Arial"/>
              <w:b/>
              <w:bCs/>
              <w:noProof w:val="0"/>
              <w:sz w:val="26"/>
              <w:szCs w:val="26"/>
              <w:rtl/>
            </w:rPr>
            <w:t>מעמד.כינוי צד 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4195B"/>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1920</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2025-01-21T13:23:00Z</dcterms:created>
  <dcterms:modified xsi:type="dcterms:W3CDTF">2025-01-21T13:23:00Z</dcterms:modified>
</cp:coreProperties>
</file>