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a"/>
        <w:bidiVisual/>
        <w:tblW w:w="882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743"/>
        <w:gridCol w:w="2506"/>
        <w:gridCol w:w="5571"/>
      </w:tblGrid>
      <w:tr w:rsidR="00CD0486" w:rsidTr="00CD0486">
        <w:trPr>
          <w:jc w:val="center"/>
        </w:trPr>
        <w:tc>
          <w:tcPr>
            <w:tcW w:w="743" w:type="dxa"/>
            <w:hideMark/>
          </w:tcPr>
          <w:p w:rsidR="00CD0486" w:rsidRDefault="00CD0486">
            <w:pPr>
              <w:jc w:val="both"/>
              <w:rPr>
                <w:rFonts w:ascii="FrankRuehl" w:hAnsi="FrankRuehl" w:cs="FrankRuehl"/>
                <w:b/>
                <w:bCs/>
                <w:sz w:val="28"/>
                <w:szCs w:val="28"/>
              </w:rPr>
            </w:pPr>
            <w:bookmarkStart w:id="0" w:name="_GoBack"/>
            <w:bookmarkEnd w:id="0"/>
            <w:r>
              <w:rPr>
                <w:rFonts w:ascii="FrankRuehl" w:hAnsi="FrankRuehl" w:cs="FrankRuehl"/>
                <w:b/>
                <w:bCs/>
                <w:sz w:val="28"/>
                <w:szCs w:val="28"/>
                <w:rtl/>
              </w:rPr>
              <w:t xml:space="preserve">לפני </w:t>
            </w:r>
          </w:p>
        </w:tc>
        <w:tc>
          <w:tcPr>
            <w:tcW w:w="8077" w:type="dxa"/>
            <w:gridSpan w:val="2"/>
            <w:hideMark/>
          </w:tcPr>
          <w:p w:rsidR="00CD0486" w:rsidRDefault="00CD0486">
            <w:pPr>
              <w:rPr>
                <w:rFonts w:ascii="FrankRuehl" w:hAnsi="FrankRuehl" w:cs="FrankRuehl"/>
                <w:b/>
                <w:bCs/>
                <w:sz w:val="28"/>
                <w:szCs w:val="28"/>
              </w:rPr>
            </w:pPr>
            <w:r>
              <w:rPr>
                <w:rFonts w:ascii="FrankRuehl" w:hAnsi="FrankRuehl" w:cs="FrankRuehl"/>
                <w:b/>
                <w:bCs/>
                <w:sz w:val="28"/>
                <w:szCs w:val="28"/>
                <w:rtl/>
              </w:rPr>
              <w:t>כבוד השופטת  הילה גורביץ עובדיה</w:t>
            </w:r>
          </w:p>
        </w:tc>
      </w:tr>
      <w:tr w:rsidR="00CD0486" w:rsidTr="00CD0486">
        <w:trPr>
          <w:jc w:val="center"/>
        </w:trPr>
        <w:tc>
          <w:tcPr>
            <w:tcW w:w="3249" w:type="dxa"/>
            <w:gridSpan w:val="2"/>
          </w:tcPr>
          <w:p w:rsidR="00CD0486" w:rsidRDefault="00CD0486">
            <w:pPr>
              <w:bidi w:val="0"/>
              <w:jc w:val="right"/>
              <w:rPr>
                <w:rFonts w:ascii="FrankRuehl" w:hAnsi="FrankRuehl" w:cs="FrankRuehl"/>
                <w:b/>
                <w:bCs/>
                <w:noProof w:val="0"/>
                <w:sz w:val="28"/>
                <w:szCs w:val="28"/>
              </w:rPr>
            </w:pPr>
          </w:p>
          <w:p w:rsidR="00CD0486" w:rsidRDefault="00CD0486">
            <w:pPr>
              <w:rPr>
                <w:rFonts w:ascii="FrankRuehl" w:hAnsi="FrankRuehl" w:cs="FrankRuehl"/>
                <w:b/>
                <w:bCs/>
                <w:noProof w:val="0"/>
                <w:sz w:val="28"/>
                <w:szCs w:val="28"/>
                <w:rtl/>
              </w:rPr>
            </w:pPr>
            <w:r>
              <w:rPr>
                <w:rFonts w:ascii="FrankRuehl" w:hAnsi="FrankRuehl" w:cs="FrankRuehl"/>
                <w:b/>
                <w:bCs/>
                <w:noProof w:val="0"/>
                <w:sz w:val="28"/>
                <w:szCs w:val="28"/>
                <w:rtl/>
              </w:rPr>
              <w:t>בעניין:</w:t>
            </w:r>
            <w:r>
              <w:rPr>
                <w:rFonts w:ascii="FrankRuehl" w:hAnsi="FrankRuehl" w:cs="FrankRuehl"/>
                <w:b/>
                <w:bCs/>
                <w:noProof w:val="0"/>
                <w:sz w:val="28"/>
                <w:szCs w:val="28"/>
                <w:rtl/>
              </w:rPr>
              <w:br/>
            </w:r>
            <w:r>
              <w:rPr>
                <w:rFonts w:ascii="FrankRuehl" w:hAnsi="FrankRuehl" w:cs="FrankRuehl"/>
                <w:b/>
                <w:bCs/>
                <w:noProof w:val="0"/>
                <w:sz w:val="28"/>
                <w:szCs w:val="28"/>
                <w:rtl/>
              </w:rPr>
              <w:br/>
            </w:r>
            <w:r>
              <w:rPr>
                <w:rFonts w:ascii="FrankRuehl" w:hAnsi="FrankRuehl" w:cs="FrankRuehl"/>
                <w:b/>
                <w:bCs/>
                <w:noProof w:val="0"/>
                <w:sz w:val="28"/>
                <w:szCs w:val="28"/>
                <w:rtl/>
              </w:rPr>
              <w:br/>
              <w:t xml:space="preserve">התובעת </w:t>
            </w:r>
            <w:r>
              <w:rPr>
                <w:rFonts w:ascii="FrankRuehl" w:hAnsi="FrankRuehl" w:cs="FrankRuehl"/>
                <w:b/>
                <w:bCs/>
                <w:sz w:val="28"/>
                <w:szCs w:val="28"/>
                <w:rtl/>
              </w:rPr>
              <w:t>/  הנתבעת:</w:t>
            </w:r>
          </w:p>
        </w:tc>
        <w:tc>
          <w:tcPr>
            <w:tcW w:w="5571" w:type="dxa"/>
          </w:tcPr>
          <w:p w:rsidR="00CD0486" w:rsidRDefault="00CD0486">
            <w:pPr>
              <w:jc w:val="right"/>
              <w:rPr>
                <w:rFonts w:ascii="FrankRuehl" w:hAnsi="FrankRuehl" w:cs="FrankRuehl"/>
                <w:b/>
                <w:bCs/>
                <w:noProof w:val="0"/>
                <w:sz w:val="28"/>
                <w:szCs w:val="28"/>
                <w:rtl/>
              </w:rPr>
            </w:pPr>
          </w:p>
          <w:p w:rsidR="00CD0486" w:rsidRDefault="00CD0486" w:rsidP="000355EF">
            <w:pPr>
              <w:rPr>
                <w:rFonts w:ascii="FrankRuehl" w:hAnsi="FrankRuehl" w:cs="FrankRuehl"/>
                <w:b/>
                <w:bCs/>
                <w:noProof w:val="0"/>
                <w:sz w:val="28"/>
                <w:szCs w:val="28"/>
              </w:rPr>
            </w:pPr>
            <w:r>
              <w:rPr>
                <w:rFonts w:ascii="FrankRuehl" w:hAnsi="FrankRuehl" w:cs="FrankRuehl"/>
                <w:b/>
                <w:bCs/>
                <w:noProof w:val="0"/>
                <w:sz w:val="28"/>
                <w:szCs w:val="28"/>
                <w:rtl/>
              </w:rPr>
              <w:t>ש</w:t>
            </w:r>
            <w:r w:rsidR="000355EF">
              <w:rPr>
                <w:rFonts w:ascii="FrankRuehl" w:hAnsi="FrankRuehl" w:cs="FrankRuehl" w:hint="cs"/>
                <w:b/>
                <w:bCs/>
                <w:noProof w:val="0"/>
                <w:sz w:val="28"/>
                <w:szCs w:val="28"/>
                <w:rtl/>
              </w:rPr>
              <w:t xml:space="preserve">. </w:t>
            </w:r>
            <w:r>
              <w:rPr>
                <w:rFonts w:ascii="FrankRuehl" w:hAnsi="FrankRuehl" w:cs="FrankRuehl"/>
                <w:b/>
                <w:bCs/>
                <w:noProof w:val="0"/>
                <w:sz w:val="28"/>
                <w:szCs w:val="28"/>
                <w:rtl/>
              </w:rPr>
              <w:t>א</w:t>
            </w:r>
            <w:r w:rsidR="000355EF">
              <w:rPr>
                <w:rFonts w:ascii="FrankRuehl" w:hAnsi="FrankRuehl" w:cs="FrankRuehl" w:hint="cs"/>
                <w:b/>
                <w:bCs/>
                <w:noProof w:val="0"/>
                <w:sz w:val="28"/>
                <w:szCs w:val="28"/>
                <w:rtl/>
              </w:rPr>
              <w:t>.</w:t>
            </w:r>
            <w:r>
              <w:rPr>
                <w:rFonts w:ascii="FrankRuehl" w:hAnsi="FrankRuehl" w:cs="FrankRuehl"/>
                <w:b/>
                <w:bCs/>
                <w:noProof w:val="0"/>
                <w:sz w:val="28"/>
                <w:szCs w:val="28"/>
                <w:rtl/>
              </w:rPr>
              <w:t xml:space="preserve"> (ילידת </w:t>
            </w:r>
            <w:r w:rsidR="00842B08">
              <w:rPr>
                <w:rFonts w:ascii="FrankRuehl" w:hAnsi="FrankRuehl" w:cs="FrankRuehl"/>
                <w:b/>
                <w:bCs/>
                <w:noProof w:val="0"/>
                <w:sz w:val="28"/>
                <w:szCs w:val="28"/>
              </w:rPr>
              <w:t>2</w:t>
            </w:r>
            <w:r>
              <w:rPr>
                <w:rFonts w:ascii="FrankRuehl" w:hAnsi="FrankRuehl" w:cs="FrankRuehl"/>
                <w:b/>
                <w:bCs/>
                <w:noProof w:val="0"/>
                <w:sz w:val="28"/>
                <w:szCs w:val="28"/>
              </w:rPr>
              <w:t>3/03/2021</w:t>
            </w:r>
            <w:r>
              <w:rPr>
                <w:rFonts w:ascii="FrankRuehl" w:hAnsi="FrankRuehl" w:cs="FrankRuehl"/>
                <w:b/>
                <w:bCs/>
                <w:noProof w:val="0"/>
                <w:sz w:val="28"/>
                <w:szCs w:val="28"/>
                <w:rtl/>
              </w:rPr>
              <w:t>)</w:t>
            </w:r>
            <w:r>
              <w:rPr>
                <w:rFonts w:ascii="FrankRuehl" w:hAnsi="FrankRuehl" w:cs="FrankRuehl"/>
                <w:b/>
                <w:bCs/>
                <w:noProof w:val="0"/>
                <w:sz w:val="28"/>
                <w:szCs w:val="28"/>
                <w:rtl/>
              </w:rPr>
              <w:br/>
              <w:t>ע"י האפוטרופוס לדין עוה"ד קרין בר כליפא</w:t>
            </w:r>
            <w:r>
              <w:rPr>
                <w:rFonts w:ascii="FrankRuehl" w:hAnsi="FrankRuehl" w:cs="FrankRuehl"/>
                <w:b/>
                <w:bCs/>
                <w:noProof w:val="0"/>
                <w:sz w:val="28"/>
                <w:szCs w:val="28"/>
                <w:rtl/>
              </w:rPr>
              <w:br/>
            </w:r>
            <w:r>
              <w:rPr>
                <w:rFonts w:ascii="FrankRuehl" w:hAnsi="FrankRuehl" w:cs="FrankRuehl"/>
                <w:b/>
                <w:bCs/>
                <w:noProof w:val="0"/>
                <w:sz w:val="28"/>
                <w:szCs w:val="28"/>
                <w:rtl/>
              </w:rPr>
              <w:br/>
              <w:t>י</w:t>
            </w:r>
            <w:r w:rsidR="000355EF">
              <w:rPr>
                <w:rFonts w:ascii="FrankRuehl" w:hAnsi="FrankRuehl" w:cs="FrankRuehl" w:hint="cs"/>
                <w:b/>
                <w:bCs/>
                <w:noProof w:val="0"/>
                <w:sz w:val="28"/>
                <w:szCs w:val="28"/>
                <w:rtl/>
              </w:rPr>
              <w:t>.</w:t>
            </w:r>
            <w:r>
              <w:rPr>
                <w:rFonts w:ascii="FrankRuehl" w:hAnsi="FrankRuehl" w:cs="FrankRuehl"/>
                <w:b/>
                <w:bCs/>
                <w:noProof w:val="0"/>
                <w:sz w:val="28"/>
                <w:szCs w:val="28"/>
                <w:rtl/>
              </w:rPr>
              <w:t xml:space="preserve"> ח</w:t>
            </w:r>
            <w:r w:rsidR="000355EF">
              <w:rPr>
                <w:rFonts w:ascii="FrankRuehl" w:hAnsi="FrankRuehl" w:cs="FrankRuehl" w:hint="cs"/>
                <w:b/>
                <w:bCs/>
                <w:noProof w:val="0"/>
                <w:sz w:val="28"/>
                <w:szCs w:val="28"/>
                <w:rtl/>
              </w:rPr>
              <w:t>.</w:t>
            </w:r>
            <w:r>
              <w:rPr>
                <w:rFonts w:ascii="FrankRuehl" w:hAnsi="FrankRuehl" w:cs="FrankRuehl"/>
                <w:b/>
                <w:bCs/>
                <w:noProof w:val="0"/>
                <w:sz w:val="28"/>
                <w:szCs w:val="28"/>
                <w:rtl/>
              </w:rPr>
              <w:t xml:space="preserve"> </w:t>
            </w:r>
          </w:p>
          <w:p w:rsidR="00CD0486" w:rsidRDefault="00CD0486">
            <w:pPr>
              <w:rPr>
                <w:rFonts w:ascii="FrankRuehl" w:hAnsi="FrankRuehl" w:cs="FrankRuehl"/>
                <w:b/>
                <w:bCs/>
                <w:noProof w:val="0"/>
                <w:sz w:val="28"/>
                <w:szCs w:val="28"/>
                <w:rtl/>
              </w:rPr>
            </w:pPr>
            <w:r>
              <w:rPr>
                <w:rFonts w:ascii="FrankRuehl" w:hAnsi="FrankRuehl" w:cs="FrankRuehl"/>
                <w:b/>
                <w:bCs/>
                <w:noProof w:val="0"/>
                <w:sz w:val="28"/>
                <w:szCs w:val="28"/>
                <w:rtl/>
              </w:rPr>
              <w:t>ע"י ב"כ עוה"ד עו"ד יעל אדר</w:t>
            </w:r>
          </w:p>
        </w:tc>
      </w:tr>
      <w:tr w:rsidR="00CD0486" w:rsidTr="00CD0486">
        <w:trPr>
          <w:jc w:val="center"/>
        </w:trPr>
        <w:tc>
          <w:tcPr>
            <w:tcW w:w="8820" w:type="dxa"/>
            <w:gridSpan w:val="3"/>
          </w:tcPr>
          <w:p w:rsidR="00CD0486" w:rsidRDefault="00CD0486">
            <w:pPr>
              <w:jc w:val="right"/>
              <w:rPr>
                <w:rFonts w:ascii="FrankRuehl" w:hAnsi="FrankRuehl" w:cs="FrankRuehl"/>
                <w:b/>
                <w:bCs/>
                <w:noProof w:val="0"/>
                <w:sz w:val="28"/>
                <w:szCs w:val="28"/>
                <w:rtl/>
              </w:rPr>
            </w:pPr>
          </w:p>
          <w:p w:rsidR="00CD0486" w:rsidRDefault="00CD0486">
            <w:pPr>
              <w:jc w:val="center"/>
              <w:rPr>
                <w:rFonts w:ascii="FrankRuehl" w:hAnsi="FrankRuehl" w:cs="FrankRuehl"/>
                <w:b/>
                <w:bCs/>
                <w:noProof w:val="0"/>
                <w:sz w:val="28"/>
                <w:szCs w:val="28"/>
              </w:rPr>
            </w:pPr>
            <w:r>
              <w:rPr>
                <w:rFonts w:ascii="FrankRuehl" w:hAnsi="FrankRuehl" w:cs="FrankRuehl"/>
                <w:b/>
                <w:bCs/>
                <w:noProof w:val="0"/>
                <w:sz w:val="28"/>
                <w:szCs w:val="28"/>
                <w:rtl/>
              </w:rPr>
              <w:t>נגד</w:t>
            </w:r>
          </w:p>
          <w:p w:rsidR="00CD0486" w:rsidRDefault="00CD0486">
            <w:pPr>
              <w:jc w:val="right"/>
              <w:rPr>
                <w:rFonts w:ascii="FrankRuehl" w:hAnsi="FrankRuehl" w:cs="FrankRuehl"/>
                <w:b/>
                <w:bCs/>
                <w:noProof w:val="0"/>
                <w:sz w:val="28"/>
                <w:szCs w:val="28"/>
                <w:rtl/>
              </w:rPr>
            </w:pPr>
          </w:p>
        </w:tc>
      </w:tr>
      <w:tr w:rsidR="00CD0486" w:rsidTr="00CD0486">
        <w:trPr>
          <w:jc w:val="center"/>
        </w:trPr>
        <w:tc>
          <w:tcPr>
            <w:tcW w:w="3249" w:type="dxa"/>
            <w:gridSpan w:val="2"/>
            <w:hideMark/>
          </w:tcPr>
          <w:p w:rsidR="00CD0486" w:rsidRDefault="00CD0486">
            <w:pPr>
              <w:rPr>
                <w:rFonts w:ascii="FrankRuehl" w:hAnsi="FrankRuehl" w:cs="FrankRuehl"/>
                <w:b/>
                <w:bCs/>
                <w:noProof w:val="0"/>
                <w:sz w:val="28"/>
                <w:szCs w:val="28"/>
                <w:rtl/>
              </w:rPr>
            </w:pPr>
            <w:r>
              <w:rPr>
                <w:rFonts w:ascii="FrankRuehl" w:hAnsi="FrankRuehl" w:cs="FrankRuehl"/>
                <w:b/>
                <w:bCs/>
                <w:noProof w:val="0"/>
                <w:sz w:val="28"/>
                <w:szCs w:val="28"/>
                <w:rtl/>
              </w:rPr>
              <w:t xml:space="preserve">הנתבע </w:t>
            </w:r>
            <w:r>
              <w:rPr>
                <w:rFonts w:ascii="FrankRuehl" w:hAnsi="FrankRuehl" w:cs="FrankRuehl"/>
                <w:b/>
                <w:bCs/>
                <w:sz w:val="28"/>
                <w:szCs w:val="28"/>
                <w:rtl/>
              </w:rPr>
              <w:t>/ התובע:</w:t>
            </w:r>
          </w:p>
        </w:tc>
        <w:tc>
          <w:tcPr>
            <w:tcW w:w="5571" w:type="dxa"/>
            <w:hideMark/>
          </w:tcPr>
          <w:p w:rsidR="00CD0486" w:rsidRDefault="00CD0486" w:rsidP="000355EF">
            <w:pPr>
              <w:rPr>
                <w:rFonts w:ascii="FrankRuehl" w:hAnsi="FrankRuehl" w:cs="FrankRuehl"/>
                <w:sz w:val="28"/>
                <w:szCs w:val="28"/>
              </w:rPr>
            </w:pPr>
            <w:r>
              <w:rPr>
                <w:rFonts w:ascii="FrankRuehl" w:hAnsi="FrankRuehl" w:cs="FrankRuehl"/>
                <w:b/>
                <w:bCs/>
                <w:noProof w:val="0"/>
                <w:sz w:val="28"/>
                <w:szCs w:val="28"/>
                <w:rtl/>
              </w:rPr>
              <w:t>ת</w:t>
            </w:r>
            <w:r w:rsidR="000355EF">
              <w:rPr>
                <w:rFonts w:ascii="FrankRuehl" w:hAnsi="FrankRuehl" w:cs="FrankRuehl" w:hint="cs"/>
                <w:b/>
                <w:bCs/>
                <w:noProof w:val="0"/>
                <w:sz w:val="28"/>
                <w:szCs w:val="28"/>
                <w:rtl/>
              </w:rPr>
              <w:t>. א.</w:t>
            </w:r>
          </w:p>
          <w:p w:rsidR="00CD0486" w:rsidRDefault="00CD0486">
            <w:pPr>
              <w:rPr>
                <w:rFonts w:ascii="FrankRuehl" w:hAnsi="FrankRuehl" w:cs="FrankRuehl"/>
                <w:b/>
                <w:bCs/>
                <w:noProof w:val="0"/>
                <w:sz w:val="28"/>
                <w:szCs w:val="28"/>
              </w:rPr>
            </w:pPr>
            <w:r>
              <w:rPr>
                <w:rFonts w:ascii="FrankRuehl" w:hAnsi="FrankRuehl" w:cs="FrankRuehl"/>
                <w:b/>
                <w:bCs/>
                <w:noProof w:val="0"/>
                <w:sz w:val="28"/>
                <w:szCs w:val="28"/>
                <w:rtl/>
              </w:rPr>
              <w:t>ע"י ב"כ עוה"ד יעל באר</w:t>
            </w:r>
          </w:p>
        </w:tc>
      </w:tr>
      <w:tr w:rsidR="00CD0486" w:rsidTr="00CD0486">
        <w:trPr>
          <w:jc w:val="center"/>
        </w:trPr>
        <w:tc>
          <w:tcPr>
            <w:tcW w:w="8820" w:type="dxa"/>
            <w:gridSpan w:val="3"/>
          </w:tcPr>
          <w:p w:rsidR="00CD0486" w:rsidRDefault="00CD0486">
            <w:pPr>
              <w:bidi w:val="0"/>
              <w:jc w:val="center"/>
              <w:rPr>
                <w:rFonts w:ascii="FrankRuehl" w:hAnsi="FrankRuehl" w:cs="FrankRuehl"/>
                <w:b/>
                <w:bCs/>
                <w:noProof w:val="0"/>
                <w:sz w:val="28"/>
                <w:szCs w:val="28"/>
                <w:u w:val="single"/>
                <w:rtl/>
              </w:rPr>
            </w:pPr>
          </w:p>
          <w:p w:rsidR="00CD0486" w:rsidRDefault="00CD0486">
            <w:pPr>
              <w:bidi w:val="0"/>
              <w:jc w:val="center"/>
              <w:rPr>
                <w:rFonts w:ascii="FrankRuehl" w:hAnsi="FrankRuehl" w:cs="FrankRuehl"/>
                <w:b/>
                <w:bCs/>
                <w:noProof w:val="0"/>
                <w:sz w:val="36"/>
                <w:szCs w:val="36"/>
                <w:u w:val="single"/>
              </w:rPr>
            </w:pPr>
            <w:r>
              <w:rPr>
                <w:rFonts w:ascii="FrankRuehl" w:hAnsi="FrankRuehl" w:cs="FrankRuehl"/>
                <w:b/>
                <w:bCs/>
                <w:noProof w:val="0"/>
                <w:sz w:val="36"/>
                <w:szCs w:val="36"/>
                <w:u w:val="single"/>
                <w:rtl/>
              </w:rPr>
              <w:t>פסק דין</w:t>
            </w:r>
          </w:p>
          <w:p w:rsidR="00CD0486" w:rsidRDefault="00CD0486">
            <w:pPr>
              <w:bidi w:val="0"/>
              <w:jc w:val="center"/>
              <w:rPr>
                <w:rFonts w:ascii="FrankRuehl" w:hAnsi="FrankRuehl" w:cs="FrankRuehl"/>
                <w:b/>
                <w:bCs/>
                <w:noProof w:val="0"/>
                <w:sz w:val="28"/>
                <w:szCs w:val="28"/>
                <w:u w:val="single"/>
                <w:rtl/>
              </w:rPr>
            </w:pPr>
          </w:p>
        </w:tc>
      </w:tr>
    </w:tbl>
    <w:p w:rsidR="00CD0486" w:rsidRDefault="00CD0486" w:rsidP="00CD0486">
      <w:pPr>
        <w:spacing w:line="360" w:lineRule="auto"/>
        <w:jc w:val="both"/>
        <w:rPr>
          <w:rFonts w:ascii="FrankRuehl" w:hAnsi="FrankRuehl" w:cs="FrankRuehl"/>
          <w:noProof w:val="0"/>
          <w:sz w:val="28"/>
          <w:szCs w:val="28"/>
          <w:rtl/>
        </w:rPr>
      </w:pPr>
      <w:r>
        <w:rPr>
          <w:rFonts w:ascii="FrankRuehl" w:hAnsi="FrankRuehl" w:cs="FrankRuehl"/>
          <w:noProof w:val="0"/>
          <w:sz w:val="28"/>
          <w:szCs w:val="28"/>
          <w:rtl/>
        </w:rPr>
        <w:t>תביעה לפסיקת מזונות קטינה המתגוררת מרבית הזמן עם האם ותביעות לחלוקת זמני שהות.</w:t>
      </w:r>
    </w:p>
    <w:p w:rsidR="00CD0486" w:rsidRDefault="00CD0486" w:rsidP="00CD0486">
      <w:pPr>
        <w:spacing w:line="360" w:lineRule="auto"/>
        <w:jc w:val="both"/>
        <w:rPr>
          <w:rFonts w:ascii="FrankRuehl" w:hAnsi="FrankRuehl" w:cs="FrankRuehl"/>
          <w:noProof w:val="0"/>
          <w:sz w:val="28"/>
          <w:szCs w:val="28"/>
        </w:rPr>
      </w:pPr>
    </w:p>
    <w:p w:rsidR="00CD0486" w:rsidRDefault="00CD0486" w:rsidP="00CD0486">
      <w:pPr>
        <w:spacing w:line="360" w:lineRule="auto"/>
        <w:jc w:val="both"/>
        <w:rPr>
          <w:rFonts w:ascii="FrankRuehl" w:hAnsi="FrankRuehl" w:cs="FrankRuehl"/>
          <w:b/>
          <w:bCs/>
          <w:noProof w:val="0"/>
          <w:sz w:val="28"/>
          <w:szCs w:val="28"/>
          <w:u w:val="single"/>
          <w:rtl/>
        </w:rPr>
      </w:pPr>
      <w:r>
        <w:rPr>
          <w:rFonts w:ascii="FrankRuehl" w:hAnsi="FrankRuehl" w:cs="FrankRuehl"/>
          <w:b/>
          <w:bCs/>
          <w:noProof w:val="0"/>
          <w:sz w:val="28"/>
          <w:szCs w:val="28"/>
          <w:u w:val="single"/>
          <w:rtl/>
        </w:rPr>
        <w:t>הצדדים</w:t>
      </w:r>
      <w:r>
        <w:rPr>
          <w:rFonts w:ascii="FrankRuehl" w:hAnsi="FrankRuehl" w:cs="FrankRuehl"/>
          <w:b/>
          <w:bCs/>
          <w:noProof w:val="0"/>
          <w:sz w:val="28"/>
          <w:szCs w:val="28"/>
          <w:rtl/>
        </w:rPr>
        <w:t>:</w:t>
      </w:r>
    </w:p>
    <w:p w:rsidR="00CD0486" w:rsidRDefault="00CD0486" w:rsidP="00CD0486">
      <w:pPr>
        <w:spacing w:line="360" w:lineRule="auto"/>
        <w:jc w:val="both"/>
        <w:rPr>
          <w:rFonts w:ascii="FrankRuehl" w:hAnsi="FrankRuehl" w:cs="FrankRuehl"/>
          <w:noProof w:val="0"/>
          <w:sz w:val="28"/>
          <w:szCs w:val="28"/>
          <w:rtl/>
        </w:rPr>
      </w:pPr>
    </w:p>
    <w:p w:rsidR="00CD0486" w:rsidRDefault="00CD0486" w:rsidP="000355EF">
      <w:pPr>
        <w:pStyle w:val="ae"/>
        <w:numPr>
          <w:ilvl w:val="0"/>
          <w:numId w:val="1"/>
        </w:numPr>
        <w:spacing w:line="360" w:lineRule="auto"/>
        <w:jc w:val="both"/>
        <w:rPr>
          <w:rFonts w:ascii="FrankRuehl" w:hAnsi="FrankRuehl" w:cs="FrankRuehl"/>
          <w:sz w:val="28"/>
          <w:szCs w:val="28"/>
          <w:rtl/>
        </w:rPr>
      </w:pPr>
      <w:r>
        <w:rPr>
          <w:rFonts w:ascii="FrankRuehl" w:hAnsi="FrankRuehl" w:cs="FrankRuehl"/>
          <w:sz w:val="28"/>
          <w:szCs w:val="28"/>
          <w:rtl/>
        </w:rPr>
        <w:t>הצדדים, יהודים, הורים לקטינה, ש</w:t>
      </w:r>
      <w:r w:rsidR="000355EF">
        <w:rPr>
          <w:rFonts w:ascii="FrankRuehl" w:hAnsi="FrankRuehl" w:cs="FrankRuehl" w:hint="cs"/>
          <w:sz w:val="28"/>
          <w:szCs w:val="28"/>
          <w:rtl/>
        </w:rPr>
        <w:t xml:space="preserve">. </w:t>
      </w:r>
      <w:r>
        <w:rPr>
          <w:rFonts w:ascii="FrankRuehl" w:hAnsi="FrankRuehl" w:cs="FrankRuehl"/>
          <w:sz w:val="28"/>
          <w:szCs w:val="28"/>
          <w:rtl/>
        </w:rPr>
        <w:t>א</w:t>
      </w:r>
      <w:r w:rsidR="000355EF">
        <w:rPr>
          <w:rFonts w:ascii="FrankRuehl" w:hAnsi="FrankRuehl" w:cs="FrankRuehl" w:hint="cs"/>
          <w:sz w:val="28"/>
          <w:szCs w:val="28"/>
          <w:rtl/>
        </w:rPr>
        <w:t>.</w:t>
      </w:r>
      <w:r>
        <w:rPr>
          <w:rFonts w:ascii="FrankRuehl" w:hAnsi="FrankRuehl" w:cs="FrankRuehl"/>
          <w:sz w:val="28"/>
          <w:szCs w:val="28"/>
          <w:rtl/>
        </w:rPr>
        <w:t xml:space="preserve"> ילידת 23/03/2021.</w:t>
      </w:r>
    </w:p>
    <w:p w:rsidR="00CD0486" w:rsidRDefault="00CD0486" w:rsidP="00CD0486">
      <w:pPr>
        <w:pStyle w:val="ae"/>
        <w:spacing w:line="360" w:lineRule="auto"/>
        <w:ind w:left="360"/>
        <w:jc w:val="both"/>
        <w:rPr>
          <w:rFonts w:ascii="FrankRuehl" w:hAnsi="FrankRuehl" w:cs="FrankRuehl"/>
          <w:sz w:val="28"/>
          <w:szCs w:val="28"/>
          <w:rtl/>
        </w:rPr>
      </w:pPr>
    </w:p>
    <w:p w:rsidR="00CD0486" w:rsidRDefault="00CD0486" w:rsidP="00CD0486">
      <w:pPr>
        <w:pStyle w:val="ae"/>
        <w:numPr>
          <w:ilvl w:val="0"/>
          <w:numId w:val="1"/>
        </w:numPr>
        <w:spacing w:line="360" w:lineRule="auto"/>
        <w:jc w:val="both"/>
        <w:rPr>
          <w:rFonts w:ascii="FrankRuehl" w:hAnsi="FrankRuehl" w:cs="FrankRuehl"/>
          <w:sz w:val="28"/>
          <w:szCs w:val="28"/>
        </w:rPr>
      </w:pPr>
      <w:r>
        <w:rPr>
          <w:rFonts w:ascii="FrankRuehl" w:hAnsi="FrankRuehl" w:cs="FrankRuehl"/>
          <w:sz w:val="28"/>
          <w:szCs w:val="28"/>
          <w:rtl/>
        </w:rPr>
        <w:t>מערכת יחסי הצדדים שתחילתה ביום 06/2020, הסתיימה עת הייתה כקטינה בת כשנה ו-3 חודשים.</w:t>
      </w:r>
    </w:p>
    <w:p w:rsidR="00CD0486" w:rsidRDefault="00CD0486" w:rsidP="00CD0486">
      <w:pPr>
        <w:pStyle w:val="ae"/>
        <w:rPr>
          <w:rFonts w:ascii="FrankRuehl" w:hAnsi="FrankRuehl" w:cs="FrankRuehl"/>
          <w:sz w:val="28"/>
          <w:szCs w:val="28"/>
        </w:rPr>
      </w:pPr>
    </w:p>
    <w:p w:rsidR="00CD0486" w:rsidRDefault="00CD0486" w:rsidP="00E219B4">
      <w:pPr>
        <w:pStyle w:val="ae"/>
        <w:numPr>
          <w:ilvl w:val="0"/>
          <w:numId w:val="1"/>
        </w:numPr>
        <w:spacing w:line="360" w:lineRule="auto"/>
        <w:jc w:val="both"/>
        <w:rPr>
          <w:rFonts w:ascii="FrankRuehl" w:hAnsi="FrankRuehl" w:cs="FrankRuehl"/>
          <w:sz w:val="28"/>
          <w:szCs w:val="28"/>
        </w:rPr>
      </w:pPr>
      <w:r>
        <w:rPr>
          <w:rFonts w:ascii="FrankRuehl" w:hAnsi="FrankRuehl" w:cs="FrankRuehl"/>
          <w:sz w:val="28"/>
          <w:szCs w:val="28"/>
          <w:rtl/>
        </w:rPr>
        <w:t>בתקופת החיים המשותפים, כחלק מנִסיון לשָמר את מערכת יחסי הצדדים, מעת לעת העתיקו הצדדים את מקום מגוריהם. תחילה התגוררו הצדדים אצל אֵם התובעת ז"ל ב</w:t>
      </w:r>
      <w:r w:rsidR="00842B08">
        <w:rPr>
          <w:rFonts w:ascii="FrankRuehl" w:hAnsi="FrankRuehl" w:cs="FrankRuehl" w:hint="cs"/>
          <w:sz w:val="28"/>
          <w:szCs w:val="28"/>
          <w:rtl/>
        </w:rPr>
        <w:t>עיר רמת גן</w:t>
      </w:r>
      <w:r>
        <w:rPr>
          <w:rFonts w:ascii="FrankRuehl" w:hAnsi="FrankRuehl" w:cs="FrankRuehl"/>
          <w:sz w:val="28"/>
          <w:szCs w:val="28"/>
          <w:rtl/>
        </w:rPr>
        <w:t xml:space="preserve">, לאחר לידת הקטינה עברו </w:t>
      </w:r>
      <w:r w:rsidR="00E219B4">
        <w:rPr>
          <w:rFonts w:ascii="FrankRuehl" w:hAnsi="FrankRuehl" w:cs="FrankRuehl" w:hint="cs"/>
          <w:sz w:val="28"/>
          <w:szCs w:val="28"/>
          <w:rtl/>
        </w:rPr>
        <w:t>ל</w:t>
      </w:r>
      <w:r>
        <w:rPr>
          <w:rFonts w:ascii="FrankRuehl" w:hAnsi="FrankRuehl" w:cs="FrankRuehl"/>
          <w:sz w:val="28"/>
          <w:szCs w:val="28"/>
          <w:rtl/>
        </w:rPr>
        <w:t xml:space="preserve">אֵם הנתבע ולאחר מספר חודשים שכרו דירה בחיפה </w:t>
      </w:r>
      <w:r w:rsidR="00E219B4">
        <w:rPr>
          <w:rFonts w:ascii="FrankRuehl" w:hAnsi="FrankRuehl" w:cs="FrankRuehl" w:hint="cs"/>
          <w:sz w:val="28"/>
          <w:szCs w:val="28"/>
          <w:rtl/>
        </w:rPr>
        <w:t xml:space="preserve">ולאחר כחצי שנה </w:t>
      </w:r>
      <w:r>
        <w:rPr>
          <w:rFonts w:ascii="FrankRuehl" w:hAnsi="FrankRuehl" w:cs="FrankRuehl"/>
          <w:sz w:val="28"/>
          <w:szCs w:val="28"/>
          <w:rtl/>
        </w:rPr>
        <w:t>עזבה התובעת, את דירת הצדדים</w:t>
      </w:r>
      <w:r w:rsidR="00E219B4">
        <w:rPr>
          <w:rFonts w:ascii="FrankRuehl" w:hAnsi="FrankRuehl" w:cs="FrankRuehl" w:hint="cs"/>
          <w:sz w:val="28"/>
          <w:szCs w:val="28"/>
          <w:rtl/>
        </w:rPr>
        <w:t xml:space="preserve"> ועברה להתגורר באזור מרכז הארץ.</w:t>
      </w:r>
    </w:p>
    <w:p w:rsidR="00CD0486" w:rsidRDefault="00CD0486" w:rsidP="00CD0486">
      <w:pPr>
        <w:pStyle w:val="ae"/>
        <w:rPr>
          <w:rFonts w:ascii="FrankRuehl" w:hAnsi="FrankRuehl" w:cs="FrankRuehl"/>
          <w:sz w:val="28"/>
          <w:szCs w:val="28"/>
          <w:rtl/>
        </w:rPr>
      </w:pPr>
    </w:p>
    <w:p w:rsidR="00CD0486" w:rsidRDefault="00CD0486" w:rsidP="000355EF">
      <w:pPr>
        <w:pStyle w:val="ae"/>
        <w:numPr>
          <w:ilvl w:val="0"/>
          <w:numId w:val="1"/>
        </w:numPr>
        <w:spacing w:line="360" w:lineRule="auto"/>
        <w:jc w:val="both"/>
        <w:rPr>
          <w:rFonts w:ascii="FrankRuehl" w:hAnsi="FrankRuehl" w:cs="FrankRuehl"/>
          <w:sz w:val="28"/>
          <w:szCs w:val="28"/>
        </w:rPr>
      </w:pPr>
      <w:r>
        <w:rPr>
          <w:rFonts w:ascii="FrankRuehl" w:hAnsi="FrankRuehl" w:cs="FrankRuehl"/>
          <w:sz w:val="28"/>
          <w:szCs w:val="28"/>
          <w:rtl/>
        </w:rPr>
        <w:t xml:space="preserve">כיום מתגוררת התובעת ביישוב </w:t>
      </w:r>
      <w:r w:rsidR="000355EF">
        <w:rPr>
          <w:rFonts w:ascii="FrankRuehl" w:hAnsi="FrankRuehl" w:cs="FrankRuehl" w:hint="cs"/>
          <w:sz w:val="28"/>
          <w:szCs w:val="28"/>
        </w:rPr>
        <w:t>XXX</w:t>
      </w:r>
      <w:r>
        <w:rPr>
          <w:rFonts w:ascii="FrankRuehl" w:hAnsi="FrankRuehl" w:cs="FrankRuehl"/>
          <w:sz w:val="28"/>
          <w:szCs w:val="28"/>
          <w:rtl/>
        </w:rPr>
        <w:t xml:space="preserve"> יחד עם בן־זוגה ובתם המשותפת ילידת 16.07.2023. הנתבע רווק ומתגורר אצל אמו בעיר טירת הכרמל.</w:t>
      </w:r>
    </w:p>
    <w:p w:rsidR="00CD0486" w:rsidRDefault="00CD0486" w:rsidP="00CD0486">
      <w:pPr>
        <w:pStyle w:val="ae"/>
        <w:rPr>
          <w:rFonts w:ascii="FrankRuehl" w:hAnsi="FrankRuehl" w:cs="FrankRuehl"/>
          <w:sz w:val="28"/>
          <w:szCs w:val="28"/>
          <w:rtl/>
        </w:rPr>
      </w:pPr>
    </w:p>
    <w:p w:rsidR="00CD0486" w:rsidRDefault="00313C6D" w:rsidP="00313C6D">
      <w:pPr>
        <w:pStyle w:val="ae"/>
        <w:numPr>
          <w:ilvl w:val="0"/>
          <w:numId w:val="1"/>
        </w:numPr>
        <w:spacing w:line="360" w:lineRule="auto"/>
        <w:jc w:val="both"/>
        <w:rPr>
          <w:rFonts w:ascii="FrankRuehl" w:hAnsi="FrankRuehl" w:cs="FrankRuehl"/>
          <w:sz w:val="28"/>
          <w:szCs w:val="28"/>
        </w:rPr>
      </w:pPr>
      <w:r>
        <w:rPr>
          <w:rFonts w:ascii="FrankRuehl" w:hAnsi="FrankRuehl" w:cs="FrankRuehl" w:hint="cs"/>
          <w:sz w:val="28"/>
          <w:szCs w:val="28"/>
          <w:rtl/>
        </w:rPr>
        <w:t xml:space="preserve">לאחר הפרידה, </w:t>
      </w:r>
      <w:r w:rsidR="00CD0486">
        <w:rPr>
          <w:rFonts w:ascii="FrankRuehl" w:hAnsi="FrankRuehl" w:cs="FrankRuehl"/>
          <w:sz w:val="28"/>
          <w:szCs w:val="28"/>
          <w:rtl/>
        </w:rPr>
        <w:t xml:space="preserve">המחלוקת </w:t>
      </w:r>
      <w:r>
        <w:rPr>
          <w:rFonts w:ascii="FrankRuehl" w:hAnsi="FrankRuehl" w:cs="FrankRuehl" w:hint="cs"/>
          <w:sz w:val="28"/>
          <w:szCs w:val="28"/>
          <w:rtl/>
        </w:rPr>
        <w:t xml:space="preserve">הקשה </w:t>
      </w:r>
      <w:r w:rsidR="00CD0486">
        <w:rPr>
          <w:rFonts w:ascii="FrankRuehl" w:hAnsi="FrankRuehl" w:cs="FrankRuehl"/>
          <w:sz w:val="28"/>
          <w:szCs w:val="28"/>
          <w:rtl/>
        </w:rPr>
        <w:t>בין הצדדים נגע</w:t>
      </w:r>
      <w:r>
        <w:rPr>
          <w:rFonts w:ascii="FrankRuehl" w:hAnsi="FrankRuehl" w:cs="FrankRuehl" w:hint="cs"/>
          <w:sz w:val="28"/>
          <w:szCs w:val="28"/>
          <w:rtl/>
        </w:rPr>
        <w:t>ה</w:t>
      </w:r>
      <w:r w:rsidR="00CD0486">
        <w:rPr>
          <w:rFonts w:ascii="FrankRuehl" w:hAnsi="FrankRuehl" w:cs="FrankRuehl"/>
          <w:sz w:val="28"/>
          <w:szCs w:val="28"/>
          <w:rtl/>
        </w:rPr>
        <w:t xml:space="preserve"> לזמני השהות. בשל מחלוקת זו, תקופות ארוכות לאחר פרידת הצדדים, הקשר של הנתבע עם הקטינה לא היה קבוע ויציב.</w:t>
      </w:r>
    </w:p>
    <w:p w:rsidR="00CD0486" w:rsidRDefault="00CD0486" w:rsidP="00CD0486">
      <w:pPr>
        <w:pStyle w:val="ae"/>
        <w:numPr>
          <w:ilvl w:val="0"/>
          <w:numId w:val="1"/>
        </w:numPr>
        <w:spacing w:line="360" w:lineRule="auto"/>
        <w:jc w:val="both"/>
        <w:rPr>
          <w:rFonts w:ascii="FrankRuehl" w:hAnsi="FrankRuehl" w:cs="FrankRuehl"/>
          <w:sz w:val="28"/>
          <w:szCs w:val="28"/>
        </w:rPr>
      </w:pPr>
      <w:r>
        <w:rPr>
          <w:rFonts w:ascii="FrankRuehl" w:hAnsi="FrankRuehl" w:cs="FrankRuehl"/>
          <w:sz w:val="28"/>
          <w:szCs w:val="28"/>
          <w:rtl/>
        </w:rPr>
        <w:t>התובעת טענה כי האב אינו חפץ בקשר עם הקטינה ולראיה הגיש תביעתו לחלוקת זמני שהות, כשנתיים לאחר שנותק הקשר ורק לאחר שהתובעת הגישה תביעה למזונות הקטינה. נטען כי עד אותו מועד, הנתבע לא דאג לקטינה או לכלכלתהּ, לא רצה בקשר עם הקטינה ולעיתים היה שולח מסרון. התובעת תארה מערכת יחסים שהתערערה לאחר פטירת אימה, נטען כי הנתבע נהג כלפי התובעת באלימות מילולית ולעיתים באלימות פיזית, גם לפני הקטינה. עוד נטען כי הנתבע לא נשא בהוצאות משק הבית המשותף, הנתבע התבטל ונהג לעשן "</w:t>
      </w:r>
      <w:r>
        <w:rPr>
          <w:rFonts w:ascii="FrankRuehl" w:hAnsi="FrankRuehl" w:cs="Miriam"/>
          <w:sz w:val="28"/>
          <w:rtl/>
        </w:rPr>
        <w:t>גראס</w:t>
      </w:r>
      <w:r>
        <w:rPr>
          <w:rFonts w:ascii="FrankRuehl" w:hAnsi="FrankRuehl" w:cs="FrankRuehl"/>
          <w:sz w:val="28"/>
          <w:szCs w:val="28"/>
          <w:rtl/>
        </w:rPr>
        <w:t>" וציפה כי התובעת תישא לבדה בתשלומים ובחשבונות הבית.</w:t>
      </w:r>
    </w:p>
    <w:p w:rsidR="00CD0486" w:rsidRDefault="00CD0486" w:rsidP="00CD0486">
      <w:pPr>
        <w:pStyle w:val="ae"/>
        <w:rPr>
          <w:rFonts w:ascii="FrankRuehl" w:hAnsi="FrankRuehl" w:cs="FrankRuehl"/>
          <w:sz w:val="28"/>
          <w:szCs w:val="28"/>
          <w:rtl/>
        </w:rPr>
      </w:pPr>
    </w:p>
    <w:p w:rsidR="00CD0486" w:rsidRDefault="00CD0486" w:rsidP="00CD0486">
      <w:pPr>
        <w:pStyle w:val="ae"/>
        <w:numPr>
          <w:ilvl w:val="0"/>
          <w:numId w:val="1"/>
        </w:numPr>
        <w:spacing w:line="360" w:lineRule="auto"/>
        <w:jc w:val="both"/>
        <w:rPr>
          <w:rFonts w:ascii="FrankRuehl" w:hAnsi="FrankRuehl" w:cs="FrankRuehl"/>
          <w:sz w:val="28"/>
          <w:szCs w:val="28"/>
        </w:rPr>
      </w:pPr>
      <w:r>
        <w:rPr>
          <w:rFonts w:ascii="FrankRuehl" w:hAnsi="FrankRuehl" w:cs="FrankRuehl"/>
          <w:sz w:val="28"/>
          <w:szCs w:val="28"/>
          <w:rtl/>
        </w:rPr>
        <w:t>הנתבע הכחיש את טענות התובעת. הנתבע טען כי הוא מעוניין, בכל מאודו, להיות אבא מעורב בחיי הקטינה וכי התובעת סירבה ומסרבת לאפשר לו לפגוש את הקטינה. נטען כי התובעת עזבה את הדירה ששכרו הצדדים כחלק מנִסיון לשקם את מערכת היחסים לטובת הקטינה, באופן חד־צדדי. נטען כי התובעת עזבה "</w:t>
      </w:r>
      <w:r>
        <w:rPr>
          <w:rFonts w:ascii="FrankRuehl" w:hAnsi="FrankRuehl" w:cs="Miriam"/>
          <w:sz w:val="28"/>
          <w:rtl/>
        </w:rPr>
        <w:t>למקום לא ידוע</w:t>
      </w:r>
      <w:r>
        <w:rPr>
          <w:rFonts w:ascii="FrankRuehl" w:hAnsi="FrankRuehl" w:cs="FrankRuehl"/>
          <w:sz w:val="28"/>
          <w:szCs w:val="28"/>
          <w:rtl/>
        </w:rPr>
        <w:t>" ולאחר זמן מה של נתק הוא קיבל הודעה בנוגע לקליטת הקטינה בגן ביישוב צופים והבין שהתובעת עברה להתגורר באזור שם. הנתבע טען כי התובעת היא אשר הפעילה אלימות מילולית ואלימות פיזית כנגדו.</w:t>
      </w:r>
    </w:p>
    <w:p w:rsidR="00CD0486" w:rsidRDefault="00CD0486" w:rsidP="00CD0486">
      <w:pPr>
        <w:pStyle w:val="ae"/>
        <w:rPr>
          <w:rFonts w:ascii="FrankRuehl" w:hAnsi="FrankRuehl" w:cs="FrankRuehl"/>
          <w:sz w:val="28"/>
          <w:szCs w:val="28"/>
          <w:rtl/>
        </w:rPr>
      </w:pPr>
    </w:p>
    <w:p w:rsidR="00CD0486" w:rsidRDefault="00CD0486" w:rsidP="00CD0486">
      <w:pPr>
        <w:pStyle w:val="ae"/>
        <w:numPr>
          <w:ilvl w:val="0"/>
          <w:numId w:val="1"/>
        </w:numPr>
        <w:spacing w:line="360" w:lineRule="auto"/>
        <w:jc w:val="both"/>
        <w:rPr>
          <w:rFonts w:ascii="FrankRuehl" w:hAnsi="FrankRuehl" w:cs="FrankRuehl"/>
          <w:sz w:val="28"/>
          <w:szCs w:val="28"/>
          <w:rtl/>
        </w:rPr>
      </w:pPr>
      <w:r>
        <w:rPr>
          <w:rFonts w:ascii="FrankRuehl" w:hAnsi="FrankRuehl" w:cs="FrankRuehl"/>
          <w:sz w:val="28"/>
          <w:szCs w:val="28"/>
          <w:rtl/>
        </w:rPr>
        <w:t>לקטינה מונה אפוטרופוס לדין, עו"ד קרין בר כליפא.</w:t>
      </w:r>
    </w:p>
    <w:p w:rsidR="00CD0486" w:rsidRDefault="00CD0486" w:rsidP="00CD0486">
      <w:pPr>
        <w:pStyle w:val="ae"/>
        <w:rPr>
          <w:rFonts w:ascii="FrankRuehl" w:hAnsi="FrankRuehl" w:cs="FrankRuehl"/>
          <w:sz w:val="28"/>
          <w:szCs w:val="28"/>
          <w:rtl/>
        </w:rPr>
      </w:pPr>
    </w:p>
    <w:p w:rsidR="00CD0486" w:rsidRDefault="00CD0486" w:rsidP="00CD0486">
      <w:pPr>
        <w:pStyle w:val="ae"/>
        <w:numPr>
          <w:ilvl w:val="0"/>
          <w:numId w:val="1"/>
        </w:numPr>
        <w:spacing w:line="360" w:lineRule="auto"/>
        <w:jc w:val="both"/>
        <w:rPr>
          <w:rFonts w:ascii="FrankRuehl" w:hAnsi="FrankRuehl" w:cs="FrankRuehl"/>
          <w:sz w:val="28"/>
          <w:szCs w:val="28"/>
        </w:rPr>
      </w:pPr>
      <w:r>
        <w:rPr>
          <w:rFonts w:ascii="FrankRuehl" w:hAnsi="FrankRuehl" w:cs="FrankRuehl"/>
          <w:sz w:val="28"/>
          <w:szCs w:val="28"/>
          <w:u w:val="single"/>
          <w:rtl/>
        </w:rPr>
        <w:t>אשר לזמני שהות</w:t>
      </w:r>
      <w:r>
        <w:rPr>
          <w:rFonts w:ascii="FrankRuehl" w:hAnsi="FrankRuehl" w:cs="FrankRuehl"/>
          <w:sz w:val="28"/>
          <w:szCs w:val="28"/>
          <w:rtl/>
        </w:rPr>
        <w:t xml:space="preserve">. בתחילה הורה בית המשפט על קיום מפגשים בחיפה, עת היה על האֵם להביא את קטינה לחיפה. האֵם לא עמדה בהסדרים ובהתאם להחלטות שניתנו חויבה בתשלום הוצאות לאב בגין הפרת זמני השהות (החלטה מיום 14/03/2023). </w:t>
      </w:r>
    </w:p>
    <w:p w:rsidR="00CD0486" w:rsidRDefault="00CD0486" w:rsidP="00CD0486">
      <w:pPr>
        <w:pStyle w:val="ae"/>
        <w:rPr>
          <w:rFonts w:ascii="FrankRuehl" w:hAnsi="FrankRuehl" w:cs="FrankRuehl"/>
          <w:sz w:val="28"/>
          <w:szCs w:val="28"/>
          <w:rtl/>
        </w:rPr>
      </w:pPr>
    </w:p>
    <w:p w:rsidR="00CD0486" w:rsidRDefault="00CD0486" w:rsidP="00CD0486">
      <w:pPr>
        <w:pStyle w:val="ae"/>
        <w:numPr>
          <w:ilvl w:val="0"/>
          <w:numId w:val="1"/>
        </w:numPr>
        <w:spacing w:line="360" w:lineRule="auto"/>
        <w:jc w:val="both"/>
        <w:rPr>
          <w:rFonts w:ascii="FrankRuehl" w:hAnsi="FrankRuehl" w:cs="FrankRuehl"/>
          <w:sz w:val="28"/>
          <w:szCs w:val="28"/>
        </w:rPr>
      </w:pPr>
      <w:r>
        <w:rPr>
          <w:rFonts w:ascii="FrankRuehl" w:hAnsi="FrankRuehl" w:cs="FrankRuehl"/>
          <w:sz w:val="28"/>
          <w:szCs w:val="28"/>
          <w:rtl/>
        </w:rPr>
        <w:t xml:space="preserve">בהמשך, על פי תסקיר משלים נושא תאריך 01/04/24, זמני השהות התייצבו והקטינה החלה שִגרה ומפגשים קבועים עם האב. לערך מאותו מועד מתקיימים מפגשים בין האב ובין הקטינה; בימי ב' בעיר כפר סבא ופעם בשבועיים ביום ה', עת האב אוסף את הקטינה מהמסגרת החינוכית והאֵם אוספה את הקטינה מבית האב בצאת השבת או ביום ראשון בבוקר, לפי תיאום עם ההורים. לאב הייתה אפשרות בשבוע בו הקטינה לא שהתה עימו בסוף השבוע, יוכל האב, לקבוע, בהודעה מראש, מפגש נוסף, ביום ה' בכפר סבא (האב לא עשה שימוש בזכות זו). תסקיר משלים נוסף בנוגע לחלוקת חופשת וחגים הוגש, נושא תאריך 10/04/2024. </w:t>
      </w:r>
    </w:p>
    <w:p w:rsidR="00CD0486" w:rsidRDefault="00CD0486" w:rsidP="00CD0486">
      <w:pPr>
        <w:pStyle w:val="ae"/>
        <w:rPr>
          <w:rFonts w:ascii="FrankRuehl" w:hAnsi="FrankRuehl" w:cs="FrankRuehl"/>
          <w:sz w:val="28"/>
          <w:szCs w:val="28"/>
          <w:rtl/>
        </w:rPr>
      </w:pPr>
    </w:p>
    <w:p w:rsidR="00CD0486" w:rsidRDefault="00CD0486" w:rsidP="00CD0486">
      <w:pPr>
        <w:pStyle w:val="ae"/>
        <w:numPr>
          <w:ilvl w:val="0"/>
          <w:numId w:val="1"/>
        </w:numPr>
        <w:spacing w:line="360" w:lineRule="auto"/>
        <w:jc w:val="both"/>
        <w:rPr>
          <w:rFonts w:ascii="FrankRuehl" w:hAnsi="FrankRuehl" w:cs="FrankRuehl"/>
          <w:sz w:val="28"/>
          <w:szCs w:val="28"/>
        </w:rPr>
      </w:pPr>
      <w:r>
        <w:rPr>
          <w:rFonts w:ascii="FrankRuehl" w:hAnsi="FrankRuehl" w:cs="FrankRuehl"/>
          <w:sz w:val="28"/>
          <w:szCs w:val="28"/>
          <w:u w:val="single"/>
          <w:rtl/>
        </w:rPr>
        <w:t>אשר למזונות</w:t>
      </w:r>
      <w:r>
        <w:rPr>
          <w:rFonts w:ascii="FrankRuehl" w:hAnsi="FrankRuehl" w:cs="FrankRuehl"/>
          <w:sz w:val="28"/>
          <w:szCs w:val="28"/>
          <w:rtl/>
        </w:rPr>
        <w:t xml:space="preserve">. התובעת עתרה לחייב את הנתבע סך 2,000 ₪ לחודש עבור מזונות  הקטינה. סכום זה כולל סך 900 ₪ בגין מזון, סך 500 ₪ בגין ביגוד והנעלה, סך 400 בגין היגיינה וטיטולים, סך 150 ₪ בגין בילויים, סך 150 ₪ בגין משחקים וצעצועים. נוסף על כך, עתרה התובעת לחייב הנתבע בשיעור 33% מהמדור. נטען כי התובעת משלמת מחצית מסך 3,900 ₪ עבור שכר דירה ובמחיצת השנייה נושא שותף. </w:t>
      </w:r>
      <w:r>
        <w:rPr>
          <w:rFonts w:ascii="FrankRuehl" w:hAnsi="FrankRuehl" w:cs="FrankRuehl"/>
          <w:b/>
          <w:bCs/>
          <w:sz w:val="28"/>
          <w:szCs w:val="28"/>
          <w:rtl/>
        </w:rPr>
        <w:t>בהמשך התברר כי "</w:t>
      </w:r>
      <w:r>
        <w:rPr>
          <w:rFonts w:ascii="FrankRuehl" w:hAnsi="FrankRuehl" w:cs="Miriam"/>
          <w:b/>
          <w:bCs/>
          <w:sz w:val="28"/>
          <w:rtl/>
        </w:rPr>
        <w:t>השותף</w:t>
      </w:r>
      <w:r>
        <w:rPr>
          <w:rFonts w:ascii="FrankRuehl" w:hAnsi="FrankRuehl" w:cs="FrankRuehl"/>
          <w:b/>
          <w:bCs/>
          <w:sz w:val="28"/>
          <w:szCs w:val="28"/>
          <w:rtl/>
        </w:rPr>
        <w:t>" הוא בעלה של התובעת, אביה ביתה הצעירה.</w:t>
      </w:r>
      <w:r>
        <w:rPr>
          <w:rFonts w:ascii="FrankRuehl" w:hAnsi="FrankRuehl" w:cs="FrankRuehl"/>
          <w:sz w:val="28"/>
          <w:szCs w:val="28"/>
          <w:rtl/>
        </w:rPr>
        <w:t xml:space="preserve"> עוד נתבע 33% מהוצאות אחזקת מדור בסך 755 ₪ על פי הפירוט: סך 120 ₪ לחודש בגין שמירה על היישוב, סך 600 ₪ בממוצע לחודשיים בגין חיוב חשמל, סך 35 ₪ לחודש בגין חיוב וועד </w:t>
      </w:r>
      <w:r>
        <w:rPr>
          <w:rFonts w:ascii="FrankRuehl" w:hAnsi="FrankRuehl" w:cs="FrankRuehl"/>
          <w:sz w:val="28"/>
          <w:szCs w:val="28"/>
          <w:rtl/>
        </w:rPr>
        <w:lastRenderedPageBreak/>
        <w:t>בית. נטען כי התובעת עובדת בגן ילדים, שכרה 2,000 ₪ לחודש והיא מקבלת גם קצבת הבטחת הכנסה מביטוח לאומי סך 3,100 ₪ לחודש וקצבת ילדים. בהמשך הפסיקה התובעת עבודתה, ולאחר מכן, במהלך שמיעת הראיות התברר כי התובעת עובדת בסופרמרקט.</w:t>
      </w:r>
    </w:p>
    <w:p w:rsidR="00CD0486" w:rsidRDefault="00CD0486" w:rsidP="00CD0486">
      <w:pPr>
        <w:pStyle w:val="ae"/>
        <w:spacing w:line="360" w:lineRule="auto"/>
        <w:ind w:left="360"/>
        <w:jc w:val="both"/>
        <w:rPr>
          <w:rFonts w:ascii="FrankRuehl" w:hAnsi="FrankRuehl" w:cs="FrankRuehl"/>
          <w:sz w:val="28"/>
          <w:szCs w:val="28"/>
          <w:rtl/>
        </w:rPr>
      </w:pPr>
    </w:p>
    <w:p w:rsidR="00CD0486" w:rsidRDefault="00CD0486" w:rsidP="000355EF">
      <w:pPr>
        <w:pStyle w:val="ae"/>
        <w:spacing w:line="360" w:lineRule="auto"/>
        <w:ind w:left="360"/>
        <w:jc w:val="both"/>
        <w:rPr>
          <w:rFonts w:ascii="FrankRuehl" w:hAnsi="FrankRuehl" w:cs="FrankRuehl"/>
          <w:sz w:val="28"/>
          <w:szCs w:val="28"/>
        </w:rPr>
      </w:pPr>
      <w:r>
        <w:rPr>
          <w:rFonts w:ascii="FrankRuehl" w:hAnsi="FrankRuehl" w:cs="FrankRuehl"/>
          <w:sz w:val="28"/>
          <w:szCs w:val="28"/>
          <w:rtl/>
        </w:rPr>
        <w:t>הנתבע, טען כי בעבר עבד בעבודות מזדמנות; בקיוסק, בסופרמרקט וגם בעבודת שיפוצים, אך כיום אינו עובד ומתקיים מקִצבת אבטלה. בהמשך התברר כי הנתבע החל לעבוד ב</w:t>
      </w:r>
      <w:r w:rsidR="000355EF">
        <w:rPr>
          <w:rFonts w:ascii="FrankRuehl" w:hAnsi="FrankRuehl" w:cs="FrankRuehl" w:hint="cs"/>
          <w:sz w:val="28"/>
          <w:szCs w:val="28"/>
        </w:rPr>
        <w:t>XXX</w:t>
      </w:r>
      <w:r>
        <w:rPr>
          <w:rFonts w:ascii="FrankRuehl" w:hAnsi="FrankRuehl" w:cs="FrankRuehl"/>
          <w:sz w:val="28"/>
          <w:szCs w:val="28"/>
          <w:rtl/>
        </w:rPr>
        <w:t xml:space="preserve"> בטירת הכרמל, אך עבודתו שם הופסקה והוא מתקיים מקצבת הבטחת הכנסה סך 1,200 ₪ לחודש. הנתבע עתר לחייבו במזונות ומדור סך 1,200 ₪ לחודש.</w:t>
      </w:r>
    </w:p>
    <w:p w:rsidR="00CD0486" w:rsidRDefault="00CD0486" w:rsidP="00CD0486">
      <w:pPr>
        <w:pStyle w:val="ae"/>
        <w:rPr>
          <w:rFonts w:ascii="FrankRuehl" w:hAnsi="FrankRuehl" w:cs="FrankRuehl"/>
          <w:sz w:val="28"/>
          <w:szCs w:val="28"/>
        </w:rPr>
      </w:pPr>
    </w:p>
    <w:p w:rsidR="00CD0486" w:rsidRDefault="00CD0486" w:rsidP="00CD0486">
      <w:pPr>
        <w:pStyle w:val="ae"/>
        <w:numPr>
          <w:ilvl w:val="0"/>
          <w:numId w:val="1"/>
        </w:numPr>
        <w:spacing w:line="360" w:lineRule="auto"/>
        <w:jc w:val="both"/>
        <w:rPr>
          <w:rFonts w:ascii="FrankRuehl" w:hAnsi="FrankRuehl" w:cs="FrankRuehl"/>
          <w:sz w:val="28"/>
          <w:szCs w:val="28"/>
          <w:rtl/>
        </w:rPr>
      </w:pPr>
      <w:r>
        <w:rPr>
          <w:rFonts w:ascii="FrankRuehl" w:hAnsi="FrankRuehl" w:cs="FrankRuehl"/>
          <w:sz w:val="28"/>
          <w:szCs w:val="28"/>
          <w:rtl/>
        </w:rPr>
        <w:t xml:space="preserve">ביום 20/08/2023 נפסק כי </w:t>
      </w:r>
      <w:r>
        <w:rPr>
          <w:rFonts w:ascii="FrankRuehl" w:hAnsi="FrankRuehl" w:cs="FrankRuehl"/>
          <w:sz w:val="28"/>
          <w:szCs w:val="28"/>
          <w:u w:val="single"/>
          <w:rtl/>
        </w:rPr>
        <w:t>על חשבון מזונות זמניים ומדור הקטינה ישלם הנתבע סך 1,400 ₪ לחודש</w:t>
      </w:r>
      <w:r>
        <w:rPr>
          <w:rFonts w:ascii="FrankRuehl" w:hAnsi="FrankRuehl" w:cs="FrankRuehl"/>
          <w:sz w:val="28"/>
          <w:szCs w:val="28"/>
          <w:rtl/>
        </w:rPr>
        <w:t>. עוד נקבע כי שני ההורים יישאו בחלקים שווים בהוצאות החינוך החריגות של הקטינה, לאחר הפחתת הנחות ומענקים לרבות קצבת החינוך של המל"ל וכן יישאו בחלקים שווים בהוצאות בריאות חריגות שאינן מכוסות על ידי קופת החולים או הביטוח הרפואי של הקטינה, ובלבד שההוצאה עולה על סך 100 ₪. חיוב זה המשיך כחיוב מזונות זמניים.</w:t>
      </w:r>
    </w:p>
    <w:p w:rsidR="00CD0486" w:rsidRDefault="00CD0486" w:rsidP="00CD0486">
      <w:pPr>
        <w:pStyle w:val="ae"/>
        <w:rPr>
          <w:rFonts w:ascii="FrankRuehl" w:hAnsi="FrankRuehl" w:cs="FrankRuehl"/>
          <w:sz w:val="28"/>
          <w:szCs w:val="28"/>
          <w:rtl/>
        </w:rPr>
      </w:pPr>
    </w:p>
    <w:p w:rsidR="00CD0486" w:rsidRDefault="00CD0486" w:rsidP="00CD0486">
      <w:pPr>
        <w:pStyle w:val="ae"/>
        <w:numPr>
          <w:ilvl w:val="0"/>
          <w:numId w:val="1"/>
        </w:numPr>
        <w:spacing w:line="360" w:lineRule="auto"/>
        <w:jc w:val="both"/>
        <w:rPr>
          <w:rFonts w:ascii="FrankRuehl" w:hAnsi="FrankRuehl" w:cs="FrankRuehl"/>
          <w:sz w:val="28"/>
          <w:szCs w:val="28"/>
        </w:rPr>
      </w:pPr>
      <w:r>
        <w:rPr>
          <w:rFonts w:ascii="FrankRuehl" w:hAnsi="FrankRuehl" w:cs="FrankRuehl"/>
          <w:sz w:val="28"/>
          <w:szCs w:val="28"/>
          <w:rtl/>
        </w:rPr>
        <w:t xml:space="preserve">מטעם התובעת העידה התובעת והוגש תיק מוצגים </w:t>
      </w:r>
      <w:r>
        <w:rPr>
          <w:rFonts w:ascii="FrankRuehl" w:hAnsi="FrankRuehl" w:cs="FrankRuehl"/>
          <w:b/>
          <w:bCs/>
          <w:sz w:val="28"/>
          <w:szCs w:val="28"/>
          <w:rtl/>
        </w:rPr>
        <w:t>ת/1</w:t>
      </w:r>
      <w:r>
        <w:rPr>
          <w:rFonts w:ascii="FrankRuehl" w:hAnsi="FrankRuehl" w:cs="FrankRuehl"/>
          <w:sz w:val="28"/>
          <w:szCs w:val="28"/>
          <w:rtl/>
        </w:rPr>
        <w:t xml:space="preserve">. </w:t>
      </w:r>
    </w:p>
    <w:p w:rsidR="00CD0486" w:rsidRDefault="00CD0486" w:rsidP="00CD0486">
      <w:pPr>
        <w:pStyle w:val="ae"/>
        <w:rPr>
          <w:rFonts w:ascii="FrankRuehl" w:hAnsi="FrankRuehl" w:cs="FrankRuehl"/>
          <w:sz w:val="28"/>
          <w:szCs w:val="28"/>
          <w:rtl/>
        </w:rPr>
      </w:pPr>
    </w:p>
    <w:p w:rsidR="00CD0486" w:rsidRDefault="00CD0486" w:rsidP="00CD0486">
      <w:pPr>
        <w:pStyle w:val="ae"/>
        <w:numPr>
          <w:ilvl w:val="0"/>
          <w:numId w:val="1"/>
        </w:numPr>
        <w:spacing w:line="360" w:lineRule="auto"/>
        <w:jc w:val="both"/>
        <w:rPr>
          <w:rFonts w:ascii="FrankRuehl" w:hAnsi="FrankRuehl" w:cs="FrankRuehl"/>
          <w:sz w:val="28"/>
          <w:szCs w:val="28"/>
        </w:rPr>
      </w:pPr>
      <w:r>
        <w:rPr>
          <w:rFonts w:ascii="FrankRuehl" w:hAnsi="FrankRuehl" w:cs="FrankRuehl"/>
          <w:sz w:val="28"/>
          <w:szCs w:val="28"/>
          <w:rtl/>
        </w:rPr>
        <w:t xml:space="preserve">מטעם הנתבע העיד הנתבע והוגש תצהירו ותיק מוצגים </w:t>
      </w:r>
      <w:r>
        <w:rPr>
          <w:rFonts w:ascii="FrankRuehl" w:hAnsi="FrankRuehl" w:cs="FrankRuehl"/>
          <w:b/>
          <w:bCs/>
          <w:sz w:val="28"/>
          <w:szCs w:val="28"/>
          <w:rtl/>
        </w:rPr>
        <w:t>נ/1</w:t>
      </w:r>
      <w:r>
        <w:rPr>
          <w:rFonts w:ascii="FrankRuehl" w:hAnsi="FrankRuehl" w:cs="FrankRuehl"/>
          <w:sz w:val="28"/>
          <w:szCs w:val="28"/>
          <w:rtl/>
        </w:rPr>
        <w:t xml:space="preserve">. </w:t>
      </w:r>
    </w:p>
    <w:p w:rsidR="00CD0486" w:rsidRDefault="00CD0486" w:rsidP="00CD0486">
      <w:pPr>
        <w:pStyle w:val="ae"/>
        <w:rPr>
          <w:rFonts w:ascii="FrankRuehl" w:hAnsi="FrankRuehl" w:cs="FrankRuehl"/>
          <w:b/>
          <w:bCs/>
          <w:sz w:val="28"/>
          <w:szCs w:val="28"/>
          <w:u w:val="single"/>
          <w:rtl/>
        </w:rPr>
      </w:pPr>
    </w:p>
    <w:p w:rsidR="00313C6D" w:rsidRDefault="00313C6D" w:rsidP="00CD0486">
      <w:pPr>
        <w:pStyle w:val="ae"/>
        <w:rPr>
          <w:rFonts w:ascii="FrankRuehl" w:hAnsi="FrankRuehl" w:cs="FrankRuehl"/>
          <w:b/>
          <w:bCs/>
          <w:sz w:val="28"/>
          <w:szCs w:val="28"/>
          <w:u w:val="single"/>
          <w:rtl/>
        </w:rPr>
      </w:pPr>
    </w:p>
    <w:p w:rsidR="00313C6D" w:rsidRDefault="00313C6D" w:rsidP="00CD0486">
      <w:pPr>
        <w:pStyle w:val="ae"/>
        <w:rPr>
          <w:rFonts w:ascii="FrankRuehl" w:hAnsi="FrankRuehl" w:cs="FrankRuehl"/>
          <w:b/>
          <w:bCs/>
          <w:sz w:val="28"/>
          <w:szCs w:val="28"/>
          <w:u w:val="single"/>
          <w:rtl/>
        </w:rPr>
      </w:pPr>
    </w:p>
    <w:p w:rsidR="00313C6D" w:rsidRDefault="00313C6D" w:rsidP="00CD0486">
      <w:pPr>
        <w:pStyle w:val="ae"/>
        <w:rPr>
          <w:rFonts w:ascii="FrankRuehl" w:hAnsi="FrankRuehl" w:cs="FrankRuehl"/>
          <w:b/>
          <w:bCs/>
          <w:sz w:val="28"/>
          <w:szCs w:val="28"/>
          <w:u w:val="single"/>
          <w:rtl/>
        </w:rPr>
      </w:pPr>
    </w:p>
    <w:p w:rsidR="00CD0486" w:rsidRDefault="00CD0486" w:rsidP="00CD0486">
      <w:pPr>
        <w:spacing w:line="360" w:lineRule="auto"/>
        <w:jc w:val="both"/>
        <w:rPr>
          <w:rFonts w:ascii="FrankRuehl" w:hAnsi="FrankRuehl" w:cs="FrankRuehl"/>
          <w:sz w:val="28"/>
          <w:szCs w:val="28"/>
        </w:rPr>
      </w:pPr>
      <w:r>
        <w:rPr>
          <w:rFonts w:ascii="FrankRuehl" w:hAnsi="FrankRuehl" w:cs="FrankRuehl"/>
          <w:b/>
          <w:bCs/>
          <w:sz w:val="28"/>
          <w:szCs w:val="28"/>
          <w:u w:val="single"/>
          <w:rtl/>
        </w:rPr>
        <w:t>התביעות לחלוקת זמני שהות</w:t>
      </w:r>
      <w:r>
        <w:rPr>
          <w:rFonts w:ascii="FrankRuehl" w:hAnsi="FrankRuehl" w:cs="FrankRuehl"/>
          <w:b/>
          <w:bCs/>
          <w:sz w:val="28"/>
          <w:szCs w:val="28"/>
          <w:rtl/>
        </w:rPr>
        <w:t>.</w:t>
      </w:r>
    </w:p>
    <w:p w:rsidR="00CD0486" w:rsidRDefault="00CD0486" w:rsidP="00CD0486">
      <w:pPr>
        <w:pStyle w:val="ae"/>
        <w:rPr>
          <w:rFonts w:ascii="FrankRuehl" w:hAnsi="FrankRuehl" w:cs="FrankRuehl"/>
          <w:sz w:val="28"/>
          <w:szCs w:val="28"/>
          <w:rtl/>
        </w:rPr>
      </w:pPr>
    </w:p>
    <w:p w:rsidR="00CD0486" w:rsidRDefault="00CD0486" w:rsidP="00313C6D">
      <w:pPr>
        <w:pStyle w:val="ae"/>
        <w:numPr>
          <w:ilvl w:val="0"/>
          <w:numId w:val="1"/>
        </w:numPr>
        <w:spacing w:line="360" w:lineRule="auto"/>
        <w:jc w:val="both"/>
        <w:rPr>
          <w:rFonts w:ascii="FrankRuehl" w:hAnsi="FrankRuehl" w:cs="FrankRuehl"/>
          <w:sz w:val="28"/>
          <w:szCs w:val="28"/>
        </w:rPr>
      </w:pPr>
      <w:r>
        <w:rPr>
          <w:rFonts w:ascii="FrankRuehl" w:hAnsi="FrankRuehl" w:cs="FrankRuehl"/>
          <w:sz w:val="28"/>
          <w:szCs w:val="28"/>
          <w:rtl/>
        </w:rPr>
        <w:t>כאמור, לעיל, מאז חודש מרץ 2024, מתקיימים מפגשים בין הנתבע לבין הקטינה בימי ב' בעיר כפר סבא, למשך שעתיים וחצי וגם בימי ה' אחת לשבועיים</w:t>
      </w:r>
      <w:r w:rsidR="00313C6D">
        <w:rPr>
          <w:rFonts w:ascii="FrankRuehl" w:hAnsi="FrankRuehl" w:cs="FrankRuehl" w:hint="cs"/>
          <w:sz w:val="28"/>
          <w:szCs w:val="28"/>
          <w:rtl/>
        </w:rPr>
        <w:t>,</w:t>
      </w:r>
      <w:r>
        <w:rPr>
          <w:rFonts w:ascii="FrankRuehl" w:hAnsi="FrankRuehl" w:cs="FrankRuehl"/>
          <w:sz w:val="28"/>
          <w:szCs w:val="28"/>
          <w:rtl/>
        </w:rPr>
        <w:t xml:space="preserve"> עת אוסף הנתבע את הקטינה מהמסגרת החינוכית והתובעת </w:t>
      </w:r>
      <w:r w:rsidR="00313C6D">
        <w:rPr>
          <w:rFonts w:ascii="FrankRuehl" w:hAnsi="FrankRuehl" w:cs="FrankRuehl" w:hint="cs"/>
          <w:sz w:val="28"/>
          <w:szCs w:val="28"/>
          <w:rtl/>
        </w:rPr>
        <w:t xml:space="preserve">משיבה </w:t>
      </w:r>
      <w:r>
        <w:rPr>
          <w:rFonts w:ascii="FrankRuehl" w:hAnsi="FrankRuehl" w:cs="FrankRuehl"/>
          <w:sz w:val="28"/>
          <w:szCs w:val="28"/>
          <w:rtl/>
        </w:rPr>
        <w:t>את הקטינה מבית הנתבע בטירת הכרמל ב</w:t>
      </w:r>
      <w:r w:rsidR="00313C6D">
        <w:rPr>
          <w:rFonts w:ascii="FrankRuehl" w:hAnsi="FrankRuehl" w:cs="FrankRuehl" w:hint="cs"/>
          <w:sz w:val="28"/>
          <w:szCs w:val="28"/>
          <w:rtl/>
        </w:rPr>
        <w:t xml:space="preserve">מוצ"ש </w:t>
      </w:r>
      <w:r>
        <w:rPr>
          <w:rFonts w:ascii="FrankRuehl" w:hAnsi="FrankRuehl" w:cs="FrankRuehl"/>
          <w:sz w:val="28"/>
          <w:szCs w:val="28"/>
          <w:rtl/>
        </w:rPr>
        <w:t xml:space="preserve">או ביום </w:t>
      </w:r>
      <w:r w:rsidR="00313C6D">
        <w:rPr>
          <w:rFonts w:ascii="FrankRuehl" w:hAnsi="FrankRuehl" w:cs="FrankRuehl" w:hint="cs"/>
          <w:sz w:val="28"/>
          <w:szCs w:val="28"/>
          <w:rtl/>
        </w:rPr>
        <w:t>א'</w:t>
      </w:r>
      <w:r>
        <w:rPr>
          <w:rFonts w:ascii="FrankRuehl" w:hAnsi="FrankRuehl" w:cs="FrankRuehl"/>
          <w:sz w:val="28"/>
          <w:szCs w:val="28"/>
          <w:rtl/>
        </w:rPr>
        <w:t xml:space="preserve">. לעיתים מביא הנתבע את הקטינה לעיר הרצליה. ראו עמוד 3 שורות 21-24. </w:t>
      </w:r>
    </w:p>
    <w:p w:rsidR="00CD0486" w:rsidRDefault="00CD0486" w:rsidP="00CD0486">
      <w:pPr>
        <w:pStyle w:val="ae"/>
        <w:spacing w:line="360" w:lineRule="auto"/>
        <w:ind w:left="360"/>
        <w:jc w:val="both"/>
        <w:rPr>
          <w:rFonts w:ascii="FrankRuehl" w:hAnsi="FrankRuehl" w:cs="FrankRuehl"/>
          <w:sz w:val="28"/>
          <w:szCs w:val="28"/>
          <w:rtl/>
        </w:rPr>
      </w:pPr>
    </w:p>
    <w:p w:rsidR="00CD0486" w:rsidRDefault="00CD0486" w:rsidP="00CD0486">
      <w:pPr>
        <w:pStyle w:val="ae"/>
        <w:numPr>
          <w:ilvl w:val="0"/>
          <w:numId w:val="1"/>
        </w:numPr>
        <w:spacing w:line="360" w:lineRule="auto"/>
        <w:jc w:val="both"/>
        <w:rPr>
          <w:rFonts w:ascii="FrankRuehl" w:hAnsi="FrankRuehl" w:cs="FrankRuehl"/>
          <w:sz w:val="28"/>
          <w:szCs w:val="28"/>
        </w:rPr>
      </w:pPr>
      <w:r>
        <w:rPr>
          <w:rFonts w:ascii="FrankRuehl" w:hAnsi="FrankRuehl" w:cs="FrankRuehl"/>
          <w:sz w:val="28"/>
          <w:szCs w:val="28"/>
          <w:rtl/>
        </w:rPr>
        <w:t xml:space="preserve">התובעת בעדותה טענה כי מאחר והקטינה שבה מבתי האב בשעה מאוחרת במוצ"ש, הקטינה הולכת לגן בימי א' בחוסר נוחות ובאי־שקט. ראו עמוד 3 שורות 37-39 ובעמוד 4 שורות 1-5. </w:t>
      </w:r>
    </w:p>
    <w:p w:rsidR="00CD0486" w:rsidRDefault="00CD0486" w:rsidP="00CD0486">
      <w:pPr>
        <w:pStyle w:val="ae"/>
        <w:rPr>
          <w:rFonts w:ascii="FrankRuehl" w:hAnsi="FrankRuehl" w:cs="FrankRuehl"/>
          <w:sz w:val="28"/>
          <w:szCs w:val="28"/>
        </w:rPr>
      </w:pPr>
    </w:p>
    <w:p w:rsidR="00CD0486" w:rsidRDefault="00CD0486" w:rsidP="00CD0486">
      <w:pPr>
        <w:pStyle w:val="ae"/>
        <w:numPr>
          <w:ilvl w:val="0"/>
          <w:numId w:val="1"/>
        </w:numPr>
        <w:spacing w:line="360" w:lineRule="auto"/>
        <w:jc w:val="both"/>
        <w:rPr>
          <w:rFonts w:ascii="FrankRuehl" w:hAnsi="FrankRuehl" w:cs="FrankRuehl"/>
          <w:sz w:val="28"/>
          <w:szCs w:val="28"/>
        </w:rPr>
      </w:pPr>
      <w:r>
        <w:rPr>
          <w:rFonts w:ascii="FrankRuehl" w:hAnsi="FrankRuehl" w:cs="FrankRuehl"/>
          <w:sz w:val="28"/>
          <w:szCs w:val="28"/>
          <w:rtl/>
        </w:rPr>
        <w:t xml:space="preserve">עוד העידה התובעת כי זמני השהות בימי ה' מתנהלים כסדרם אך בימי ב' אין קביעוּת בזמני השהות. לגבי חגים וחופשות העידה כי בהסכמתה הנתבע פוגש את הקטינה בתיאום ביניהם. ראו עדותה, החל מעמוד 11 שורה 29 ואילך. </w:t>
      </w:r>
    </w:p>
    <w:p w:rsidR="00CD0486" w:rsidRDefault="00CD0486" w:rsidP="00CD0486">
      <w:pPr>
        <w:pStyle w:val="ae"/>
        <w:rPr>
          <w:rFonts w:ascii="FrankRuehl" w:hAnsi="FrankRuehl" w:cs="FrankRuehl"/>
          <w:sz w:val="28"/>
          <w:szCs w:val="28"/>
          <w:rtl/>
        </w:rPr>
      </w:pPr>
    </w:p>
    <w:p w:rsidR="00CD0486" w:rsidRDefault="00CD0486" w:rsidP="00CD0486">
      <w:pPr>
        <w:pStyle w:val="ae"/>
        <w:numPr>
          <w:ilvl w:val="0"/>
          <w:numId w:val="1"/>
        </w:numPr>
        <w:spacing w:line="360" w:lineRule="auto"/>
        <w:jc w:val="both"/>
        <w:rPr>
          <w:rFonts w:ascii="FrankRuehl" w:hAnsi="FrankRuehl" w:cs="FrankRuehl"/>
          <w:sz w:val="28"/>
          <w:szCs w:val="28"/>
        </w:rPr>
      </w:pPr>
      <w:r>
        <w:rPr>
          <w:rFonts w:ascii="FrankRuehl" w:hAnsi="FrankRuehl" w:cs="FrankRuehl"/>
          <w:sz w:val="28"/>
          <w:szCs w:val="28"/>
          <w:rtl/>
        </w:rPr>
        <w:t>הנתבע העיד כי זמני השהות בימי שני אינם מתקיימים בשל אילוצים אובייקטיבים (רגל שבורה של הנתבע למשל). ראו עדותו בעמוד 33 שורות 29-39, וביקש כי יקבע הסדר בימי ה' לסירוגין באותם שעות של ימי ב' בשבוע בו הקטינה אינה לנה אצלו. ראו עמוד 47 שורות 2-9.</w:t>
      </w:r>
    </w:p>
    <w:p w:rsidR="00CD0486" w:rsidRDefault="00CD0486" w:rsidP="00CD0486">
      <w:pPr>
        <w:pStyle w:val="ae"/>
        <w:rPr>
          <w:rFonts w:ascii="FrankRuehl" w:hAnsi="FrankRuehl" w:cs="FrankRuehl"/>
          <w:sz w:val="28"/>
          <w:szCs w:val="28"/>
          <w:rtl/>
        </w:rPr>
      </w:pPr>
    </w:p>
    <w:p w:rsidR="00CD0486" w:rsidRPr="004449EB" w:rsidRDefault="00CD0486" w:rsidP="000355EF">
      <w:pPr>
        <w:pStyle w:val="ae"/>
        <w:numPr>
          <w:ilvl w:val="0"/>
          <w:numId w:val="1"/>
        </w:numPr>
        <w:spacing w:line="360" w:lineRule="auto"/>
        <w:jc w:val="both"/>
        <w:rPr>
          <w:rFonts w:ascii="FrankRuehl" w:hAnsi="FrankRuehl" w:cs="FrankRuehl"/>
          <w:sz w:val="28"/>
          <w:szCs w:val="28"/>
        </w:rPr>
      </w:pPr>
      <w:r>
        <w:rPr>
          <w:rFonts w:ascii="FrankRuehl" w:hAnsi="FrankRuehl" w:cs="FrankRuehl"/>
          <w:sz w:val="28"/>
          <w:szCs w:val="28"/>
          <w:rtl/>
        </w:rPr>
        <w:t>עו"ס לסדרי דין בתסקירה נושא תאריך 13.2.24 ציינה: "</w:t>
      </w:r>
      <w:r>
        <w:rPr>
          <w:rFonts w:ascii="FrankRuehl" w:hAnsi="FrankRuehl" w:cs="Miriam"/>
          <w:sz w:val="28"/>
          <w:rtl/>
        </w:rPr>
        <w:t>מדובר בשני הורים המתגוררים במרחק גיאוגרפי גדול זה מזו, שאוהבים את בתם ומעוניינים כל אחד בקשר קרוב עימה...</w:t>
      </w:r>
      <w:r>
        <w:rPr>
          <w:rFonts w:ascii="FrankRuehl" w:hAnsi="FrankRuehl" w:cs="FrankRuehl"/>
          <w:sz w:val="28"/>
          <w:szCs w:val="28"/>
          <w:rtl/>
        </w:rPr>
        <w:t>".</w:t>
      </w:r>
      <w:r w:rsidR="004449EB">
        <w:rPr>
          <w:rFonts w:ascii="FrankRuehl" w:hAnsi="FrankRuehl" w:cs="FrankRuehl" w:hint="cs"/>
          <w:sz w:val="28"/>
          <w:szCs w:val="28"/>
          <w:rtl/>
        </w:rPr>
        <w:t xml:space="preserve"> על פי </w:t>
      </w:r>
      <w:r w:rsidRPr="004449EB">
        <w:rPr>
          <w:rFonts w:ascii="FrankRuehl" w:hAnsi="FrankRuehl" w:cs="FrankRuehl"/>
          <w:sz w:val="28"/>
          <w:szCs w:val="28"/>
          <w:rtl/>
        </w:rPr>
        <w:t xml:space="preserve">התרשמות עו"ס לסדרי דין לנתבע רצון כנה ועמוק לקשר קבוע ויציב עם הקטינה, והמרחק בין מקום מגוריו למקום מגורי האֵם ושנכפה עליו, מקשה על מימוש רצון זה. נכתב כי התובעת לכאורה תומכת בביסוס קשר קבוע ויציב בין האב ובין הקטינה, אך בהיותה אֵם לקטינה נוספת ובהריון קיים לה קושי להתנייד ולהביא את הקטינה למפגשים. עו"ס לסדרי דין הדגישה את חשיבות הקשר בין האב ובין הקטינה. </w:t>
      </w:r>
      <w:r w:rsidR="004449EB">
        <w:rPr>
          <w:rFonts w:ascii="FrankRuehl" w:hAnsi="FrankRuehl" w:cs="FrankRuehl" w:hint="cs"/>
          <w:sz w:val="28"/>
          <w:szCs w:val="28"/>
          <w:rtl/>
        </w:rPr>
        <w:t xml:space="preserve"> </w:t>
      </w:r>
      <w:r w:rsidRPr="004449EB">
        <w:rPr>
          <w:rFonts w:ascii="FrankRuehl" w:hAnsi="FrankRuehl" w:cs="FrankRuehl"/>
          <w:sz w:val="28"/>
          <w:szCs w:val="28"/>
          <w:rtl/>
        </w:rPr>
        <w:t>נכתב כי: "</w:t>
      </w:r>
      <w:r w:rsidRPr="004449EB">
        <w:rPr>
          <w:rFonts w:ascii="FrankRuehl" w:hAnsi="FrankRuehl" w:cs="Miriam"/>
          <w:sz w:val="28"/>
          <w:rtl/>
        </w:rPr>
        <w:t>קיימת חשיבות מרבית לקשר קבוע יציב עמוק וחם בין ש</w:t>
      </w:r>
      <w:r w:rsidR="000355EF">
        <w:rPr>
          <w:rFonts w:ascii="FrankRuehl" w:hAnsi="FrankRuehl" w:cs="Miriam" w:hint="cs"/>
          <w:sz w:val="28"/>
          <w:rtl/>
        </w:rPr>
        <w:t>.</w:t>
      </w:r>
      <w:r w:rsidRPr="004449EB">
        <w:rPr>
          <w:rFonts w:ascii="FrankRuehl" w:hAnsi="FrankRuehl" w:cs="Miriam"/>
          <w:sz w:val="28"/>
          <w:rtl/>
        </w:rPr>
        <w:t xml:space="preserve"> לאביה. התפתחותה הרגשית והנפשית העתידית של ש</w:t>
      </w:r>
      <w:r w:rsidR="000355EF">
        <w:rPr>
          <w:rFonts w:ascii="FrankRuehl" w:hAnsi="FrankRuehl" w:cs="Miriam" w:hint="cs"/>
          <w:sz w:val="28"/>
          <w:rtl/>
        </w:rPr>
        <w:t>.</w:t>
      </w:r>
      <w:r w:rsidRPr="004449EB">
        <w:rPr>
          <w:rFonts w:ascii="FrankRuehl" w:hAnsi="FrankRuehl" w:cs="Miriam"/>
          <w:sz w:val="28"/>
          <w:rtl/>
        </w:rPr>
        <w:t xml:space="preserve"> מבוססים על קשר טוב ומשמעותי על כל אחד מההורים. זוהי מטרתם המשותפת למרות המשקעים והעבר הזוגי המורכב ועל כל אחד מהם מוטלת החובה לעשות מאמץ גדול על מנת לשמור על רווחתה הנפשית של בתם</w:t>
      </w:r>
      <w:r w:rsidRPr="004449EB">
        <w:rPr>
          <w:rFonts w:ascii="FrankRuehl" w:hAnsi="FrankRuehl" w:cs="FrankRuehl"/>
          <w:sz w:val="28"/>
          <w:szCs w:val="28"/>
          <w:rtl/>
        </w:rPr>
        <w:t>", וציינה כי נטל חלוקת ההסעות הוא אשר מקשה על הצדדים ועל הקטינה ועבור הקטינה, יש לצמצם, עד כמה שניתן, את הסִרבול ועומס הנסיעה.</w:t>
      </w:r>
    </w:p>
    <w:p w:rsidR="00CD0486" w:rsidRDefault="00CD0486" w:rsidP="004449EB">
      <w:pPr>
        <w:pStyle w:val="ae"/>
        <w:spacing w:line="360" w:lineRule="auto"/>
        <w:ind w:left="360"/>
        <w:jc w:val="both"/>
        <w:rPr>
          <w:rFonts w:ascii="FrankRuehl" w:hAnsi="FrankRuehl" w:cs="FrankRuehl"/>
          <w:sz w:val="28"/>
          <w:szCs w:val="28"/>
        </w:rPr>
      </w:pPr>
      <w:r>
        <w:rPr>
          <w:rFonts w:ascii="FrankRuehl" w:hAnsi="FrankRuehl" w:cs="FrankRuehl"/>
          <w:sz w:val="28"/>
          <w:szCs w:val="28"/>
          <w:rtl/>
        </w:rPr>
        <w:t xml:space="preserve">בסיכום הדברים נכתב ע"י עו"ס לסדרי דין כי: </w:t>
      </w:r>
      <w:r w:rsidRPr="004449EB">
        <w:rPr>
          <w:rFonts w:ascii="Miriam" w:hAnsi="Miriam" w:cs="Miriam"/>
          <w:rtl/>
        </w:rPr>
        <w:t>"נראה כי המערכת ההורית מתייצבת והקטינה מתחילה תהליך ובו שגרה של הרחבה זמני השהות עם אביה. שני ההורים מביעים רצון לשמור על רגיעה במערכת המשפחתית ורצון להתפנות לשגרת חיים נינוחה ויציבה. חשוב לציין כי ניכר ששני ההורים משקיעים מאמצים לשמור על שקט עבור</w:t>
      </w:r>
      <w:r w:rsidR="004449EB" w:rsidRPr="004449EB">
        <w:rPr>
          <w:rFonts w:ascii="Miriam" w:hAnsi="Miriam" w:cs="Miriam"/>
          <w:rtl/>
        </w:rPr>
        <w:t xml:space="preserve"> הקטינה ונמנעים ממלחמות מיותרות"</w:t>
      </w:r>
    </w:p>
    <w:p w:rsidR="00CD0486" w:rsidRDefault="00CD0486" w:rsidP="00CD0486">
      <w:pPr>
        <w:pStyle w:val="ae"/>
        <w:rPr>
          <w:rFonts w:ascii="FrankRuehl" w:hAnsi="FrankRuehl" w:cs="FrankRuehl"/>
          <w:sz w:val="28"/>
          <w:szCs w:val="28"/>
          <w:rtl/>
        </w:rPr>
      </w:pPr>
    </w:p>
    <w:p w:rsidR="00CD0486" w:rsidRDefault="00CD0486" w:rsidP="004449EB">
      <w:pPr>
        <w:pStyle w:val="ae"/>
        <w:numPr>
          <w:ilvl w:val="0"/>
          <w:numId w:val="1"/>
        </w:numPr>
        <w:spacing w:line="360" w:lineRule="auto"/>
        <w:jc w:val="both"/>
        <w:rPr>
          <w:rFonts w:ascii="FrankRuehl" w:hAnsi="FrankRuehl" w:cs="FrankRuehl"/>
          <w:b/>
          <w:bCs/>
          <w:sz w:val="28"/>
          <w:szCs w:val="28"/>
          <w:u w:val="single"/>
        </w:rPr>
      </w:pPr>
      <w:r>
        <w:rPr>
          <w:rFonts w:ascii="FrankRuehl" w:hAnsi="FrankRuehl" w:cs="FrankRuehl"/>
          <w:sz w:val="28"/>
          <w:szCs w:val="28"/>
          <w:rtl/>
        </w:rPr>
        <w:t>האפוטרופוס לדין בדיון מיום 01</w:t>
      </w:r>
      <w:r w:rsidR="004449EB">
        <w:rPr>
          <w:rFonts w:ascii="FrankRuehl" w:hAnsi="FrankRuehl" w:cs="FrankRuehl" w:hint="cs"/>
          <w:sz w:val="28"/>
          <w:szCs w:val="28"/>
          <w:rtl/>
        </w:rPr>
        <w:t>/</w:t>
      </w:r>
      <w:r>
        <w:rPr>
          <w:rFonts w:ascii="FrankRuehl" w:hAnsi="FrankRuehl" w:cs="FrankRuehl"/>
          <w:sz w:val="28"/>
          <w:szCs w:val="28"/>
          <w:rtl/>
        </w:rPr>
        <w:t>10</w:t>
      </w:r>
      <w:r w:rsidR="004449EB">
        <w:rPr>
          <w:rFonts w:ascii="FrankRuehl" w:hAnsi="FrankRuehl" w:cs="FrankRuehl" w:hint="cs"/>
          <w:sz w:val="28"/>
          <w:szCs w:val="28"/>
          <w:rtl/>
        </w:rPr>
        <w:t>/</w:t>
      </w:r>
      <w:r>
        <w:rPr>
          <w:rFonts w:ascii="FrankRuehl" w:hAnsi="FrankRuehl" w:cs="FrankRuehl"/>
          <w:sz w:val="28"/>
          <w:szCs w:val="28"/>
          <w:rtl/>
        </w:rPr>
        <w:t>2024 אמרה, בעמוד 47 שורות 18-21: "</w:t>
      </w:r>
      <w:r>
        <w:rPr>
          <w:rFonts w:ascii="FrankRuehl" w:hAnsi="FrankRuehl" w:cs="Miriam"/>
          <w:sz w:val="28"/>
          <w:rtl/>
        </w:rPr>
        <w:t>...בעיניי כמו בכל תיק יש חשיבות מאוד גבוהה שלקטין יהיה קשר טוב עם שני ההורים שלו. הסיטואציה בתיק הזה גברתי היא מורכבת משום שהמרחק הגאוגרפי בין הצדדים והעובדה של שני הצדדים הם לא ניידים באופן עצמאי, באופן מוחלט, מקשה עוד יותר על הסיטואציה</w:t>
      </w:r>
      <w:r>
        <w:rPr>
          <w:rFonts w:ascii="FrankRuehl" w:hAnsi="FrankRuehl" w:cs="FrankRuehl"/>
          <w:sz w:val="28"/>
          <w:szCs w:val="28"/>
          <w:rtl/>
        </w:rPr>
        <w:t xml:space="preserve">". עוד ציינה שם כי נוכח הקשיים בתקשורת בין הצדדים, השיח ביניהם עובר להאשמות וצעקות עד שלבסוף חוסמת התובעת את הנתבע בנייד ולא מאפשרת לו קשר רציף עם הקטינה, כי הקטינה חשופה </w:t>
      </w:r>
      <w:r>
        <w:rPr>
          <w:rFonts w:ascii="FrankRuehl" w:hAnsi="FrankRuehl" w:cs="FrankRuehl"/>
          <w:sz w:val="28"/>
          <w:szCs w:val="28"/>
          <w:rtl/>
        </w:rPr>
        <w:lastRenderedPageBreak/>
        <w:t>לקונפליקט בין ההורים וההשלכות על נפשה עלולות להיות מורכבות. עוד ציינה האפוטרופוס לדין כי הנתבע טרם פנה להדרכת הורים וזאת בניגוד להמלצות עו"ס לסדרי דין. ראו עמוד 1 שורות 25-26.</w:t>
      </w:r>
    </w:p>
    <w:p w:rsidR="00CD0486" w:rsidRDefault="00CD0486" w:rsidP="00CD0486">
      <w:pPr>
        <w:pStyle w:val="ae"/>
        <w:rPr>
          <w:rFonts w:ascii="FrankRuehl" w:hAnsi="FrankRuehl" w:cs="FrankRuehl"/>
          <w:sz w:val="28"/>
          <w:szCs w:val="28"/>
          <w:rtl/>
        </w:rPr>
      </w:pPr>
    </w:p>
    <w:p w:rsidR="00CD0486" w:rsidRDefault="00CD0486" w:rsidP="00CD0486">
      <w:pPr>
        <w:pStyle w:val="ae"/>
        <w:numPr>
          <w:ilvl w:val="0"/>
          <w:numId w:val="1"/>
        </w:numPr>
        <w:spacing w:line="360" w:lineRule="auto"/>
        <w:jc w:val="both"/>
        <w:rPr>
          <w:rFonts w:ascii="FrankRuehl" w:hAnsi="FrankRuehl" w:cs="FrankRuehl"/>
          <w:sz w:val="28"/>
          <w:szCs w:val="28"/>
        </w:rPr>
      </w:pPr>
      <w:r>
        <w:rPr>
          <w:rFonts w:ascii="FrankRuehl" w:hAnsi="FrankRuehl" w:cs="FrankRuehl"/>
          <w:sz w:val="28"/>
          <w:szCs w:val="28"/>
          <w:rtl/>
        </w:rPr>
        <w:t>ב"כ הנתבע בסיכומיה טענה שהנתבע נתקל בחוסר שיתוף פעולה מצד התובעת בנוגע לקיום לשיחות וידיאו או טלפון בסופי השבוע בהם הקטינה שוהה עם התובעת. לטענת הנתבע, כאשר הוא שואל את הקטינה מדוע היא אינה מתקשרת אליו אומרת הקטינה בפניו כי: "</w:t>
      </w:r>
      <w:r>
        <w:rPr>
          <w:rFonts w:ascii="FrankRuehl" w:hAnsi="FrankRuehl" w:cs="Miriam"/>
          <w:sz w:val="28"/>
          <w:rtl/>
        </w:rPr>
        <w:t>אמא אומרת שאבא הוא בן אדם רע ולא לדבר עם אבא ואבא, ואבא שלך והיא אומרת שאתה לא אבא שלי"</w:t>
      </w:r>
      <w:r>
        <w:rPr>
          <w:rFonts w:ascii="FrankRuehl" w:hAnsi="FrankRuehl" w:cs="FrankRuehl"/>
          <w:sz w:val="28"/>
          <w:szCs w:val="28"/>
          <w:rtl/>
        </w:rPr>
        <w:t>.  ראו עמוד 38 שורות 36-39.</w:t>
      </w:r>
    </w:p>
    <w:p w:rsidR="00CD0486" w:rsidRDefault="00CD0486" w:rsidP="00CD0486">
      <w:pPr>
        <w:pStyle w:val="ae"/>
        <w:rPr>
          <w:rFonts w:ascii="FrankRuehl" w:hAnsi="FrankRuehl" w:cs="FrankRuehl"/>
          <w:sz w:val="28"/>
          <w:szCs w:val="28"/>
          <w:rtl/>
        </w:rPr>
      </w:pPr>
    </w:p>
    <w:p w:rsidR="00CD0486" w:rsidRDefault="00CD0486" w:rsidP="00CD0486">
      <w:pPr>
        <w:pStyle w:val="ae"/>
        <w:numPr>
          <w:ilvl w:val="0"/>
          <w:numId w:val="1"/>
        </w:numPr>
        <w:spacing w:line="360" w:lineRule="auto"/>
        <w:jc w:val="both"/>
        <w:rPr>
          <w:rFonts w:ascii="FrankRuehl" w:hAnsi="FrankRuehl" w:cs="FrankRuehl"/>
          <w:sz w:val="28"/>
          <w:szCs w:val="28"/>
        </w:rPr>
      </w:pPr>
      <w:r>
        <w:rPr>
          <w:rFonts w:ascii="FrankRuehl" w:hAnsi="FrankRuehl" w:cs="FrankRuehl"/>
          <w:sz w:val="28"/>
          <w:szCs w:val="28"/>
          <w:rtl/>
        </w:rPr>
        <w:t xml:space="preserve">עִקרון טובת הילד, הוא העִקרון המנחה את בית המשפט בעת הכרעה בסוגיות הנוגעות לקטינים. בית המשפט שוקל כל מקרה לנסיבותיו ומכריע לפי טובת הילד הספציפי אשר עניינו  נדון וטובתו היא אשר על המדוכה. ראו בג"צ 5227/97 </w:t>
      </w:r>
      <w:r>
        <w:rPr>
          <w:rFonts w:ascii="FrankRuehl" w:hAnsi="FrankRuehl" w:cs="FrankRuehl"/>
          <w:b/>
          <w:bCs/>
          <w:sz w:val="28"/>
          <w:szCs w:val="28"/>
          <w:rtl/>
        </w:rPr>
        <w:t>דויד נ' בית הדין הרבני הגדול בירושלים</w:t>
      </w:r>
      <w:r>
        <w:rPr>
          <w:rFonts w:ascii="FrankRuehl" w:hAnsi="FrankRuehl" w:cs="FrankRuehl"/>
          <w:sz w:val="28"/>
          <w:szCs w:val="28"/>
          <w:rtl/>
        </w:rPr>
        <w:t>, פ"ד נה(1) 453. לצורך כך בית המשפט נעזר בגורמי מקצוע ובמקרה כאן, בעו"ס לסדרי דין.</w:t>
      </w:r>
    </w:p>
    <w:p w:rsidR="00CD0486" w:rsidRDefault="00CD0486" w:rsidP="00CD0486">
      <w:pPr>
        <w:pStyle w:val="ae"/>
        <w:rPr>
          <w:rFonts w:ascii="FrankRuehl" w:hAnsi="FrankRuehl" w:cs="FrankRuehl"/>
          <w:sz w:val="28"/>
          <w:szCs w:val="28"/>
          <w:rtl/>
        </w:rPr>
      </w:pPr>
    </w:p>
    <w:p w:rsidR="00CD0486" w:rsidRDefault="00CD0486" w:rsidP="00E219B4">
      <w:pPr>
        <w:pStyle w:val="ae"/>
        <w:numPr>
          <w:ilvl w:val="0"/>
          <w:numId w:val="1"/>
        </w:numPr>
        <w:spacing w:line="360" w:lineRule="auto"/>
        <w:jc w:val="both"/>
        <w:rPr>
          <w:rFonts w:ascii="FrankRuehl" w:hAnsi="FrankRuehl" w:cs="FrankRuehl"/>
          <w:sz w:val="28"/>
          <w:szCs w:val="28"/>
        </w:rPr>
      </w:pPr>
      <w:r>
        <w:rPr>
          <w:rFonts w:ascii="FrankRuehl" w:hAnsi="FrankRuehl" w:cs="FrankRuehl"/>
          <w:sz w:val="28"/>
          <w:szCs w:val="28"/>
          <w:rtl/>
        </w:rPr>
        <w:t>קשר טוב ומטיב של קטין עם כל אחד הוריו היא זכות טבעית של הקטין. קשר שכזה מהותי וחשוב להתפתחות</w:t>
      </w:r>
      <w:r w:rsidR="00E219B4">
        <w:rPr>
          <w:rFonts w:ascii="FrankRuehl" w:hAnsi="FrankRuehl" w:cs="FrankRuehl" w:hint="cs"/>
          <w:sz w:val="28"/>
          <w:szCs w:val="28"/>
          <w:rtl/>
        </w:rPr>
        <w:t>ו</w:t>
      </w:r>
      <w:r>
        <w:rPr>
          <w:rFonts w:ascii="FrankRuehl" w:hAnsi="FrankRuehl" w:cs="FrankRuehl"/>
          <w:sz w:val="28"/>
          <w:szCs w:val="28"/>
          <w:rtl/>
        </w:rPr>
        <w:t xml:space="preserve"> </w:t>
      </w:r>
      <w:r w:rsidR="00E219B4">
        <w:rPr>
          <w:rFonts w:ascii="FrankRuehl" w:hAnsi="FrankRuehl" w:cs="FrankRuehl" w:hint="cs"/>
          <w:sz w:val="28"/>
          <w:szCs w:val="28"/>
          <w:rtl/>
        </w:rPr>
        <w:t>התקינה</w:t>
      </w:r>
      <w:r>
        <w:rPr>
          <w:rFonts w:ascii="FrankRuehl" w:hAnsi="FrankRuehl" w:cs="FrankRuehl"/>
          <w:sz w:val="28"/>
          <w:szCs w:val="28"/>
          <w:rtl/>
        </w:rPr>
        <w:t xml:space="preserve"> </w:t>
      </w:r>
      <w:r w:rsidR="00E219B4">
        <w:rPr>
          <w:rFonts w:ascii="FrankRuehl" w:hAnsi="FrankRuehl" w:cs="FrankRuehl" w:hint="cs"/>
          <w:sz w:val="28"/>
          <w:szCs w:val="28"/>
          <w:rtl/>
        </w:rPr>
        <w:t xml:space="preserve">הוא </w:t>
      </w:r>
      <w:r>
        <w:rPr>
          <w:rFonts w:ascii="FrankRuehl" w:hAnsi="FrankRuehl" w:cs="FrankRuehl"/>
          <w:sz w:val="28"/>
          <w:szCs w:val="28"/>
          <w:rtl/>
        </w:rPr>
        <w:t xml:space="preserve">משמר את דמות ההורה </w:t>
      </w:r>
      <w:r w:rsidR="00E219B4">
        <w:rPr>
          <w:rFonts w:ascii="FrankRuehl" w:hAnsi="FrankRuehl" w:cs="FrankRuehl" w:hint="cs"/>
          <w:sz w:val="28"/>
          <w:szCs w:val="28"/>
          <w:rtl/>
        </w:rPr>
        <w:t>ל</w:t>
      </w:r>
      <w:r>
        <w:rPr>
          <w:rFonts w:ascii="FrankRuehl" w:hAnsi="FrankRuehl" w:cs="FrankRuehl"/>
          <w:sz w:val="28"/>
          <w:szCs w:val="28"/>
          <w:rtl/>
        </w:rPr>
        <w:t xml:space="preserve">קטין </w:t>
      </w:r>
      <w:r w:rsidR="00E219B4">
        <w:rPr>
          <w:rFonts w:ascii="FrankRuehl" w:hAnsi="FrankRuehl" w:cs="FrankRuehl" w:hint="cs"/>
          <w:sz w:val="28"/>
          <w:szCs w:val="28"/>
          <w:rtl/>
        </w:rPr>
        <w:t>ובכך מ</w:t>
      </w:r>
      <w:r>
        <w:rPr>
          <w:rFonts w:ascii="FrankRuehl" w:hAnsi="FrankRuehl" w:cs="FrankRuehl"/>
          <w:sz w:val="28"/>
          <w:szCs w:val="28"/>
          <w:rtl/>
        </w:rPr>
        <w:t xml:space="preserve">סייע בגיבוש זהותו של הקטין. ראו תמ"ש (קריות) 37245-07-13 </w:t>
      </w:r>
      <w:r>
        <w:rPr>
          <w:rFonts w:ascii="FrankRuehl" w:hAnsi="FrankRuehl" w:cs="FrankRuehl"/>
          <w:b/>
          <w:bCs/>
          <w:sz w:val="28"/>
          <w:szCs w:val="28"/>
          <w:rtl/>
        </w:rPr>
        <w:t>פלונית נ' פלוני</w:t>
      </w:r>
      <w:r>
        <w:rPr>
          <w:rFonts w:ascii="FrankRuehl" w:hAnsi="FrankRuehl" w:cs="FrankRuehl"/>
          <w:sz w:val="28"/>
          <w:szCs w:val="28"/>
          <w:rtl/>
        </w:rPr>
        <w:t xml:space="preserve"> מיום 15.10.2014, סעיף 10 לפסה"ד.</w:t>
      </w:r>
    </w:p>
    <w:p w:rsidR="00CD0486" w:rsidRDefault="00CD0486" w:rsidP="00CD0486">
      <w:pPr>
        <w:pStyle w:val="ae"/>
        <w:rPr>
          <w:rFonts w:ascii="FrankRuehl" w:hAnsi="FrankRuehl" w:cs="FrankRuehl"/>
          <w:sz w:val="28"/>
          <w:szCs w:val="28"/>
          <w:rtl/>
        </w:rPr>
      </w:pPr>
    </w:p>
    <w:p w:rsidR="00E219B4" w:rsidRDefault="00E219B4" w:rsidP="00CD0486">
      <w:pPr>
        <w:pStyle w:val="ae"/>
        <w:rPr>
          <w:rFonts w:ascii="FrankRuehl" w:hAnsi="FrankRuehl" w:cs="FrankRuehl"/>
          <w:sz w:val="28"/>
          <w:szCs w:val="28"/>
          <w:rtl/>
        </w:rPr>
      </w:pPr>
    </w:p>
    <w:p w:rsidR="00E219B4" w:rsidRPr="00E219B4" w:rsidRDefault="00E219B4" w:rsidP="00CD0486">
      <w:pPr>
        <w:pStyle w:val="ae"/>
        <w:rPr>
          <w:rFonts w:ascii="FrankRuehl" w:hAnsi="FrankRuehl" w:cs="FrankRuehl"/>
          <w:sz w:val="28"/>
          <w:szCs w:val="28"/>
          <w:rtl/>
        </w:rPr>
      </w:pPr>
    </w:p>
    <w:p w:rsidR="00CD0486" w:rsidRDefault="00CD0486" w:rsidP="00CD0486">
      <w:pPr>
        <w:pStyle w:val="ae"/>
        <w:numPr>
          <w:ilvl w:val="0"/>
          <w:numId w:val="1"/>
        </w:numPr>
        <w:spacing w:line="360" w:lineRule="auto"/>
        <w:jc w:val="both"/>
        <w:rPr>
          <w:rFonts w:ascii="FrankRuehl" w:hAnsi="FrankRuehl" w:cs="FrankRuehl"/>
          <w:sz w:val="28"/>
          <w:szCs w:val="28"/>
        </w:rPr>
      </w:pPr>
      <w:r>
        <w:rPr>
          <w:rFonts w:ascii="FrankRuehl" w:hAnsi="FrankRuehl" w:cs="FrankRuehl"/>
          <w:sz w:val="28"/>
          <w:szCs w:val="28"/>
          <w:rtl/>
        </w:rPr>
        <w:lastRenderedPageBreak/>
        <w:t xml:space="preserve">משמעות הדבר כי בעת הכרעה בחלוקת זמני השוהות על בית המשפט לבחון מה היא הדרך אשר תבטיח ששני ההורים ימלאו תפקיד משמעותי בחיי הקטין ויאפשרו גם מעורבות של ההורה בחיי הקטין ומהצד השני גם מימוש האחריות ההורית. ראו כב' השופט סארי ג'יוסי ברמ"ש 40311-12-23 </w:t>
      </w:r>
      <w:r>
        <w:rPr>
          <w:rFonts w:ascii="FrankRuehl" w:hAnsi="FrankRuehl" w:cs="FrankRuehl"/>
          <w:b/>
          <w:bCs/>
          <w:sz w:val="28"/>
          <w:szCs w:val="28"/>
          <w:rtl/>
        </w:rPr>
        <w:t>א' ב' נ' ג' ב'</w:t>
      </w:r>
      <w:r>
        <w:rPr>
          <w:rFonts w:ascii="FrankRuehl" w:hAnsi="FrankRuehl" w:cs="FrankRuehl"/>
          <w:sz w:val="28"/>
          <w:szCs w:val="28"/>
          <w:rtl/>
        </w:rPr>
        <w:t xml:space="preserve"> מיום 21/02/24.</w:t>
      </w:r>
    </w:p>
    <w:p w:rsidR="00CD0486" w:rsidRDefault="00CD0486" w:rsidP="00CD0486">
      <w:pPr>
        <w:pStyle w:val="ae"/>
        <w:rPr>
          <w:rFonts w:ascii="FrankRuehl" w:hAnsi="FrankRuehl" w:cs="FrankRuehl"/>
          <w:sz w:val="28"/>
          <w:szCs w:val="28"/>
          <w:rtl/>
        </w:rPr>
      </w:pPr>
    </w:p>
    <w:p w:rsidR="00CD0486" w:rsidRDefault="00CD0486" w:rsidP="00B5517F">
      <w:pPr>
        <w:pStyle w:val="ae"/>
        <w:numPr>
          <w:ilvl w:val="0"/>
          <w:numId w:val="1"/>
        </w:numPr>
        <w:spacing w:line="360" w:lineRule="auto"/>
        <w:jc w:val="both"/>
        <w:rPr>
          <w:rFonts w:ascii="FrankRuehl" w:hAnsi="FrankRuehl" w:cs="FrankRuehl"/>
          <w:sz w:val="28"/>
          <w:szCs w:val="28"/>
        </w:rPr>
      </w:pPr>
      <w:r>
        <w:rPr>
          <w:rFonts w:ascii="FrankRuehl" w:hAnsi="FrankRuehl" w:cs="FrankRuehl"/>
          <w:sz w:val="28"/>
          <w:szCs w:val="28"/>
          <w:rtl/>
        </w:rPr>
        <w:t xml:space="preserve">מחלוקת </w:t>
      </w:r>
      <w:r w:rsidR="00E219B4">
        <w:rPr>
          <w:rFonts w:ascii="FrankRuehl" w:hAnsi="FrankRuehl" w:cs="FrankRuehl" w:hint="cs"/>
          <w:sz w:val="28"/>
          <w:szCs w:val="28"/>
          <w:rtl/>
        </w:rPr>
        <w:t xml:space="preserve">קשה </w:t>
      </w:r>
      <w:r>
        <w:rPr>
          <w:rFonts w:ascii="FrankRuehl" w:hAnsi="FrankRuehl" w:cs="FrankRuehl"/>
          <w:sz w:val="28"/>
          <w:szCs w:val="28"/>
          <w:rtl/>
        </w:rPr>
        <w:t xml:space="preserve">בין הצדדים נוגעת לחלוקת נטל ההסעות. ברקע, מעבר חד־צדדי של האֵם, ללא הסכמת האב, אל הישוב </w:t>
      </w:r>
      <w:r w:rsidR="00B5517F">
        <w:rPr>
          <w:rFonts w:ascii="FrankRuehl" w:hAnsi="FrankRuehl" w:cs="FrankRuehl" w:hint="cs"/>
          <w:sz w:val="28"/>
          <w:szCs w:val="28"/>
        </w:rPr>
        <w:t>XXX</w:t>
      </w:r>
      <w:r>
        <w:rPr>
          <w:rFonts w:ascii="FrankRuehl" w:hAnsi="FrankRuehl" w:cs="FrankRuehl"/>
          <w:sz w:val="28"/>
          <w:szCs w:val="28"/>
          <w:rtl/>
        </w:rPr>
        <w:t xml:space="preserve"> – כך שבין בתי ההורים מרחק גיאוגרפי גדול כאשר שני ההורים מתניידים בעיקר באמצעות תחבורה ציבורית. ראו עדות התובעת בעמוד 28 שורה 25 ואילך.</w:t>
      </w:r>
    </w:p>
    <w:p w:rsidR="00CD0486" w:rsidRDefault="00CD0486" w:rsidP="00CD0486">
      <w:pPr>
        <w:pStyle w:val="ae"/>
        <w:rPr>
          <w:rFonts w:ascii="FrankRuehl" w:hAnsi="FrankRuehl" w:cs="FrankRuehl"/>
          <w:sz w:val="28"/>
          <w:szCs w:val="28"/>
          <w:rtl/>
        </w:rPr>
      </w:pPr>
    </w:p>
    <w:p w:rsidR="00CD0486" w:rsidRDefault="00CD0486" w:rsidP="00CD0486">
      <w:pPr>
        <w:pStyle w:val="ae"/>
        <w:numPr>
          <w:ilvl w:val="0"/>
          <w:numId w:val="1"/>
        </w:numPr>
        <w:spacing w:line="360" w:lineRule="auto"/>
        <w:jc w:val="both"/>
        <w:rPr>
          <w:rFonts w:ascii="FrankRuehl" w:hAnsi="FrankRuehl" w:cs="FrankRuehl"/>
          <w:sz w:val="28"/>
          <w:szCs w:val="28"/>
        </w:rPr>
      </w:pPr>
      <w:r>
        <w:rPr>
          <w:rFonts w:ascii="FrankRuehl" w:hAnsi="FrankRuehl" w:cs="FrankRuehl"/>
          <w:sz w:val="28"/>
          <w:szCs w:val="28"/>
          <w:rtl/>
        </w:rPr>
        <w:t xml:space="preserve">לצד זכות התובעת להתגורר במקום מגוריה, עומדת זכותה של הקטינה לשמור על קשר מיטיב וקבוע עם אביה וזכותו הזהה של האב. בתלה"מ (ת"א) 17292-05-19 </w:t>
      </w:r>
      <w:r>
        <w:rPr>
          <w:rFonts w:ascii="FrankRuehl" w:hAnsi="FrankRuehl" w:cs="FrankRuehl"/>
          <w:b/>
          <w:bCs/>
          <w:sz w:val="28"/>
          <w:szCs w:val="28"/>
          <w:rtl/>
        </w:rPr>
        <w:t xml:space="preserve">א.ח נ' י.ח </w:t>
      </w:r>
      <w:r>
        <w:rPr>
          <w:rFonts w:ascii="FrankRuehl" w:hAnsi="FrankRuehl" w:cs="FrankRuehl"/>
          <w:sz w:val="28"/>
          <w:szCs w:val="28"/>
          <w:rtl/>
        </w:rPr>
        <w:t>מיום 07/12/2020 נאמר כי "</w:t>
      </w:r>
      <w:r>
        <w:rPr>
          <w:rFonts w:ascii="FrankRuehl" w:hAnsi="FrankRuehl" w:cs="Miriam"/>
          <w:sz w:val="28"/>
          <w:rtl/>
        </w:rPr>
        <w:t>...רצונו של אדם להתגורר במקום כזה או אחר הוא בבחינת זכותו לחופש התנועה, וכך גם זכותה של האם להמשיך בחייה כרצונה, לקבוע את מהלך חייה, להקים תא משפחתי חדש ולפתוח בדרך חדשה...לצד זכות זו של האם, אין לשכוח כי עומדת גם זכותו של האב לשמור על קשר רציף ומיטבי עם בנו. אין מדובר בקטין שזמני השהות שלו עם אביו כיום אינם משמעותיים או מצומצמים. במקרה שכזה, הרי שהקשר של הקטין עם אביו יתרופף משמעותית הן בתדירותו, הן  באיכותו ויהפוך להיות קשר של ביקורים בעיקר בסופי שבוע</w:t>
      </w:r>
      <w:r>
        <w:rPr>
          <w:rFonts w:ascii="FrankRuehl" w:hAnsi="FrankRuehl" w:cs="FrankRuehl"/>
          <w:sz w:val="28"/>
          <w:szCs w:val="28"/>
          <w:rtl/>
        </w:rPr>
        <w:t>".</w:t>
      </w:r>
    </w:p>
    <w:p w:rsidR="00CD0486" w:rsidRDefault="00CD0486" w:rsidP="00CD0486">
      <w:pPr>
        <w:pStyle w:val="ae"/>
        <w:spacing w:line="360" w:lineRule="auto"/>
        <w:jc w:val="both"/>
        <w:rPr>
          <w:rFonts w:ascii="FrankRuehl" w:hAnsi="FrankRuehl" w:cs="FrankRuehl"/>
          <w:sz w:val="28"/>
          <w:szCs w:val="28"/>
          <w:rtl/>
        </w:rPr>
      </w:pPr>
    </w:p>
    <w:p w:rsidR="00CD0486" w:rsidRDefault="00CD0486" w:rsidP="00CD0486">
      <w:pPr>
        <w:pStyle w:val="ae"/>
        <w:numPr>
          <w:ilvl w:val="0"/>
          <w:numId w:val="1"/>
        </w:numPr>
        <w:spacing w:line="360" w:lineRule="auto"/>
        <w:jc w:val="both"/>
        <w:rPr>
          <w:rFonts w:ascii="FrankRuehl" w:hAnsi="FrankRuehl" w:cs="FrankRuehl"/>
          <w:sz w:val="28"/>
          <w:szCs w:val="28"/>
          <w:rtl/>
        </w:rPr>
      </w:pPr>
      <w:r>
        <w:rPr>
          <w:rFonts w:ascii="FrankRuehl" w:hAnsi="FrankRuehl" w:cs="FrankRuehl"/>
          <w:sz w:val="28"/>
          <w:szCs w:val="28"/>
          <w:rtl/>
        </w:rPr>
        <w:lastRenderedPageBreak/>
        <w:t>מדברי הצדדים והאפוטרופוס לדין, אני למדה כי נוכח הנסיבות כאן, מוסכם על שניהם שאין להרחיב את זמני השהות אך יש לקבוע מנגנון שיילקח בחשבון את נטל ההסעות והנסיבות הספציפיות של כל הורה. באיזון בין הדברים מצאתי המלצות עו"ס לסדרי דין כמשקפות את טובת הקטינה, מה גם שההורים מצליחים, לאחר תקופה ארוכה של נתק ותקופה של אי סדר וחוסר קביעות, מזה מספר חודשים לקיים את זמני השהות כפי שהומלצו. משך גם לקביעות ולשמירה על הפחתת הקונפליקט משמעות.</w:t>
      </w:r>
    </w:p>
    <w:p w:rsidR="00CD0486" w:rsidRDefault="00CD0486" w:rsidP="00CD0486">
      <w:pPr>
        <w:pStyle w:val="ae"/>
        <w:rPr>
          <w:rFonts w:ascii="FrankRuehl" w:hAnsi="FrankRuehl" w:cs="FrankRuehl"/>
          <w:sz w:val="28"/>
          <w:szCs w:val="28"/>
          <w:rtl/>
        </w:rPr>
      </w:pPr>
    </w:p>
    <w:p w:rsidR="00CD0486" w:rsidRDefault="00CD0486" w:rsidP="00CD0486">
      <w:pPr>
        <w:pStyle w:val="ae"/>
        <w:numPr>
          <w:ilvl w:val="0"/>
          <w:numId w:val="1"/>
        </w:numPr>
        <w:spacing w:line="360" w:lineRule="auto"/>
        <w:jc w:val="both"/>
        <w:rPr>
          <w:rFonts w:ascii="FrankRuehl" w:hAnsi="FrankRuehl" w:cs="FrankRuehl"/>
          <w:sz w:val="28"/>
          <w:szCs w:val="28"/>
        </w:rPr>
      </w:pPr>
      <w:r>
        <w:rPr>
          <w:rFonts w:ascii="FrankRuehl" w:hAnsi="FrankRuehl" w:cs="FrankRuehl"/>
          <w:sz w:val="28"/>
          <w:szCs w:val="28"/>
          <w:rtl/>
        </w:rPr>
        <w:t>על כן, זמני השהות בין האב ובין הקטינה ימשיכו ויתקיימו כפי המלצת התסקיר נושא תאריך 01/04/2024 וגם לאב אפשרות להודיע, עד יום ג' שעה 18:00, אם הוא מבקש בשבוע בו אין מפגש בסוף השבוע לפגוש את הקטינה על פי המתכונת המפגש בימי שני.</w:t>
      </w:r>
    </w:p>
    <w:p w:rsidR="00CD0486" w:rsidRDefault="00CD0486" w:rsidP="00CD0486">
      <w:pPr>
        <w:pStyle w:val="ae"/>
        <w:rPr>
          <w:rFonts w:ascii="FrankRuehl" w:hAnsi="FrankRuehl" w:cs="FrankRuehl"/>
          <w:sz w:val="28"/>
          <w:szCs w:val="28"/>
          <w:rtl/>
        </w:rPr>
      </w:pPr>
    </w:p>
    <w:p w:rsidR="00A762D0" w:rsidRDefault="00A762D0" w:rsidP="00CD0486">
      <w:pPr>
        <w:pStyle w:val="ae"/>
        <w:rPr>
          <w:rFonts w:ascii="FrankRuehl" w:hAnsi="FrankRuehl" w:cs="FrankRuehl"/>
          <w:sz w:val="28"/>
          <w:szCs w:val="28"/>
          <w:rtl/>
        </w:rPr>
      </w:pPr>
    </w:p>
    <w:p w:rsidR="00CD0486" w:rsidRDefault="00CD0486" w:rsidP="004449EB">
      <w:pPr>
        <w:pStyle w:val="ae"/>
        <w:numPr>
          <w:ilvl w:val="0"/>
          <w:numId w:val="1"/>
        </w:numPr>
        <w:spacing w:line="360" w:lineRule="auto"/>
        <w:jc w:val="both"/>
        <w:rPr>
          <w:rFonts w:ascii="FrankRuehl" w:hAnsi="FrankRuehl" w:cs="FrankRuehl"/>
          <w:sz w:val="28"/>
          <w:szCs w:val="28"/>
        </w:rPr>
      </w:pPr>
      <w:r>
        <w:rPr>
          <w:rFonts w:ascii="FrankRuehl" w:hAnsi="FrankRuehl" w:cs="FrankRuehl"/>
          <w:sz w:val="28"/>
          <w:szCs w:val="28"/>
          <w:rtl/>
        </w:rPr>
        <w:t>נוסף על כך אני מחייבת את שני ההורים לפנות לקבל הדרכה הורית, האֵם תמשיך והאב יפנה לאלתר לגורם שיומלץ על ידי עו"ס לסדרי דין.</w:t>
      </w:r>
    </w:p>
    <w:p w:rsidR="00A762D0" w:rsidRDefault="00A762D0" w:rsidP="00A762D0">
      <w:pPr>
        <w:pStyle w:val="ae"/>
        <w:spacing w:line="360" w:lineRule="auto"/>
        <w:ind w:left="360"/>
        <w:jc w:val="both"/>
        <w:rPr>
          <w:rFonts w:ascii="FrankRuehl" w:hAnsi="FrankRuehl" w:cs="FrankRuehl"/>
          <w:sz w:val="28"/>
          <w:szCs w:val="28"/>
        </w:rPr>
      </w:pPr>
    </w:p>
    <w:p w:rsidR="00CD0486" w:rsidRDefault="00CD0486" w:rsidP="00CD0486">
      <w:pPr>
        <w:pStyle w:val="ae"/>
        <w:numPr>
          <w:ilvl w:val="0"/>
          <w:numId w:val="1"/>
        </w:numPr>
        <w:spacing w:line="360" w:lineRule="auto"/>
        <w:jc w:val="both"/>
        <w:rPr>
          <w:rFonts w:ascii="FrankRuehl" w:hAnsi="FrankRuehl" w:cs="FrankRuehl"/>
          <w:sz w:val="28"/>
          <w:szCs w:val="28"/>
        </w:rPr>
      </w:pPr>
      <w:r>
        <w:rPr>
          <w:rFonts w:ascii="FrankRuehl" w:hAnsi="FrankRuehl" w:cs="FrankRuehl"/>
          <w:sz w:val="28"/>
          <w:szCs w:val="28"/>
          <w:rtl/>
        </w:rPr>
        <w:t>זמני השהות בחגים ובחופשות יחולקו בין ההורים באופן שווה ולסירוגין כל שנה. ב"כ הצדדים יבוא בדברים ויגישו, בתוך 21 יום, טבלת חגים וחופשות. בהעדר הסכמה  - הסמכת עו"ס לסדרי דין בהתאם לסעיפים 19 ו-68 לחוק הכשרות המשפטית והאפוטרופסות התשכ"ב-1962, תעמוד בתוקפה עד ליום 15/02/2025, ותיתן המלצותיה אשר לחלוקת החגים והחופשות.</w:t>
      </w:r>
    </w:p>
    <w:p w:rsidR="00CD0486" w:rsidRDefault="00CD0486" w:rsidP="00CD0486">
      <w:pPr>
        <w:pStyle w:val="ae"/>
        <w:rPr>
          <w:rFonts w:ascii="FrankRuehl" w:hAnsi="FrankRuehl" w:cs="FrankRuehl"/>
          <w:sz w:val="28"/>
          <w:szCs w:val="28"/>
          <w:rtl/>
        </w:rPr>
      </w:pPr>
    </w:p>
    <w:p w:rsidR="00CD0486" w:rsidRDefault="00CD0486" w:rsidP="00CD0486">
      <w:pPr>
        <w:pStyle w:val="ae"/>
        <w:numPr>
          <w:ilvl w:val="0"/>
          <w:numId w:val="1"/>
        </w:numPr>
        <w:spacing w:line="360" w:lineRule="auto"/>
        <w:jc w:val="both"/>
        <w:rPr>
          <w:rFonts w:ascii="FrankRuehl" w:hAnsi="FrankRuehl" w:cs="FrankRuehl"/>
          <w:sz w:val="28"/>
          <w:szCs w:val="28"/>
        </w:rPr>
      </w:pPr>
      <w:r>
        <w:rPr>
          <w:rFonts w:ascii="FrankRuehl" w:hAnsi="FrankRuehl" w:cs="FrankRuehl"/>
          <w:sz w:val="28"/>
          <w:szCs w:val="28"/>
          <w:rtl/>
        </w:rPr>
        <w:lastRenderedPageBreak/>
        <w:t xml:space="preserve">מבלי לגרוע מהאמור, אני מחייבת את ההורים, כי בעת שהות הקטינה עם הורה אחד, יתאפשר להורה השני לשוחח עם הקטינה ללא מפריע, בטלפון או בשיחה חזותית. נוכח זמני השהות, יתקיימו השיחות בין הקטינה לאב, בכל ערב בו הקטינה אינה שוהה עמו, בשעה 18:00 ובין הקטינה ובין האֵם בעת שהות הקטינה אצל האב ביום שישי בשעה 18:00. </w:t>
      </w:r>
    </w:p>
    <w:p w:rsidR="004449EB" w:rsidRPr="004449EB" w:rsidRDefault="004449EB" w:rsidP="004449EB">
      <w:pPr>
        <w:pStyle w:val="ae"/>
        <w:rPr>
          <w:rFonts w:ascii="FrankRuehl" w:hAnsi="FrankRuehl" w:cs="FrankRuehl"/>
          <w:sz w:val="28"/>
          <w:szCs w:val="28"/>
          <w:rtl/>
        </w:rPr>
      </w:pPr>
    </w:p>
    <w:p w:rsidR="004449EB" w:rsidRDefault="004449EB" w:rsidP="004A0D12">
      <w:pPr>
        <w:pStyle w:val="ae"/>
        <w:numPr>
          <w:ilvl w:val="0"/>
          <w:numId w:val="1"/>
        </w:numPr>
        <w:spacing w:line="360" w:lineRule="auto"/>
        <w:jc w:val="both"/>
        <w:rPr>
          <w:rFonts w:ascii="FrankRuehl" w:hAnsi="FrankRuehl" w:cs="FrankRuehl"/>
          <w:sz w:val="28"/>
          <w:szCs w:val="28"/>
        </w:rPr>
      </w:pPr>
      <w:r>
        <w:rPr>
          <w:rFonts w:ascii="FrankRuehl" w:hAnsi="FrankRuehl" w:cs="FrankRuehl" w:hint="cs"/>
          <w:sz w:val="28"/>
          <w:szCs w:val="28"/>
          <w:rtl/>
        </w:rPr>
        <w:t>זה המקום לציין כי נוכח הפרת זמני השהות על ידי האם בעבר, והעובדה כי רק לאחר שנקבעו סנקציות כלכליות שהוטלו על האם החלו להתקיים זמני שהות קובעים יציבים</w:t>
      </w:r>
      <w:r w:rsidR="004A0D12">
        <w:rPr>
          <w:rFonts w:ascii="FrankRuehl" w:hAnsi="FrankRuehl" w:cs="FrankRuehl" w:hint="cs"/>
          <w:sz w:val="28"/>
          <w:szCs w:val="28"/>
          <w:rtl/>
        </w:rPr>
        <w:t>, התלבטתי האם יש להורות על סנקציות כאמור גם במסגרת פסק הדין. נוכח התסקיר החיובי והעובדה כי לעת הזו זמני השהות מתקיימים בקביעות, איני מורה כאמור.</w:t>
      </w:r>
    </w:p>
    <w:p w:rsidR="00CD0486" w:rsidRDefault="00CD0486" w:rsidP="00CD0486">
      <w:pPr>
        <w:pStyle w:val="ae"/>
        <w:rPr>
          <w:rFonts w:ascii="FrankRuehl" w:hAnsi="FrankRuehl" w:cs="FrankRuehl"/>
          <w:sz w:val="28"/>
          <w:szCs w:val="28"/>
          <w:rtl/>
        </w:rPr>
      </w:pPr>
    </w:p>
    <w:p w:rsidR="00CD0486" w:rsidRDefault="00CD0486" w:rsidP="00CD0486">
      <w:pPr>
        <w:spacing w:line="360" w:lineRule="auto"/>
        <w:jc w:val="both"/>
        <w:rPr>
          <w:rFonts w:ascii="FrankRuehl" w:hAnsi="FrankRuehl" w:cs="FrankRuehl"/>
          <w:b/>
          <w:bCs/>
          <w:sz w:val="28"/>
          <w:szCs w:val="28"/>
          <w:u w:val="single"/>
        </w:rPr>
      </w:pPr>
      <w:r>
        <w:rPr>
          <w:rFonts w:ascii="FrankRuehl" w:hAnsi="FrankRuehl" w:cs="FrankRuehl"/>
          <w:b/>
          <w:bCs/>
          <w:sz w:val="28"/>
          <w:szCs w:val="28"/>
          <w:u w:val="single"/>
          <w:rtl/>
        </w:rPr>
        <w:t>מזונות הקטינה</w:t>
      </w:r>
      <w:r>
        <w:rPr>
          <w:rFonts w:ascii="FrankRuehl" w:hAnsi="FrankRuehl" w:cs="FrankRuehl"/>
          <w:b/>
          <w:bCs/>
          <w:sz w:val="28"/>
          <w:szCs w:val="28"/>
          <w:rtl/>
        </w:rPr>
        <w:t>:</w:t>
      </w:r>
    </w:p>
    <w:p w:rsidR="00CD0486" w:rsidRDefault="00CD0486" w:rsidP="00CD0486">
      <w:pPr>
        <w:spacing w:line="360" w:lineRule="auto"/>
        <w:jc w:val="both"/>
        <w:rPr>
          <w:rFonts w:ascii="FrankRuehl" w:hAnsi="FrankRuehl" w:cs="FrankRuehl"/>
          <w:b/>
          <w:bCs/>
          <w:sz w:val="28"/>
          <w:szCs w:val="28"/>
          <w:u w:val="single"/>
          <w:rtl/>
        </w:rPr>
      </w:pPr>
    </w:p>
    <w:p w:rsidR="00CD0486" w:rsidRDefault="00CD0486" w:rsidP="00CD0486">
      <w:pPr>
        <w:pStyle w:val="ae"/>
        <w:numPr>
          <w:ilvl w:val="0"/>
          <w:numId w:val="1"/>
        </w:numPr>
        <w:spacing w:line="360" w:lineRule="auto"/>
        <w:jc w:val="both"/>
        <w:rPr>
          <w:rFonts w:ascii="FrankRuehl" w:hAnsi="FrankRuehl" w:cs="FrankRuehl"/>
          <w:sz w:val="28"/>
          <w:szCs w:val="28"/>
          <w:rtl/>
        </w:rPr>
      </w:pPr>
      <w:r>
        <w:rPr>
          <w:rFonts w:ascii="FrankRuehl" w:hAnsi="FrankRuehl" w:cs="FrankRuehl"/>
          <w:sz w:val="28"/>
          <w:szCs w:val="28"/>
          <w:rtl/>
        </w:rPr>
        <w:t>בהתאם לסעיף 3 לחוק לתיקון דיני משפחה (מזונות) תשי"ט-1959 חיובו של אדם במזונות ילדיו הקטינים נבחן על פי הדין האישי החל עליו. הצדדים יהודים, על כן, המקור לחיוב במזונות הקטינים הוא בדין העברי.</w:t>
      </w:r>
    </w:p>
    <w:p w:rsidR="00CD0486" w:rsidRDefault="00CD0486" w:rsidP="00CD0486">
      <w:pPr>
        <w:pStyle w:val="ae"/>
        <w:spacing w:line="360" w:lineRule="auto"/>
        <w:ind w:left="360"/>
        <w:jc w:val="both"/>
        <w:rPr>
          <w:rFonts w:ascii="FrankRuehl" w:hAnsi="FrankRuehl" w:cs="FrankRuehl"/>
          <w:sz w:val="28"/>
          <w:szCs w:val="28"/>
          <w:rtl/>
        </w:rPr>
      </w:pPr>
    </w:p>
    <w:p w:rsidR="00CD0486" w:rsidRDefault="00CD0486" w:rsidP="00CD0486">
      <w:pPr>
        <w:pStyle w:val="ae"/>
        <w:numPr>
          <w:ilvl w:val="0"/>
          <w:numId w:val="1"/>
        </w:numPr>
        <w:spacing w:line="360" w:lineRule="auto"/>
        <w:jc w:val="both"/>
        <w:rPr>
          <w:rFonts w:ascii="FrankRuehl" w:hAnsi="FrankRuehl" w:cs="FrankRuehl"/>
          <w:sz w:val="28"/>
          <w:szCs w:val="28"/>
        </w:rPr>
      </w:pPr>
      <w:r>
        <w:rPr>
          <w:rFonts w:ascii="FrankRuehl" w:hAnsi="FrankRuehl" w:cs="FrankRuehl"/>
          <w:sz w:val="28"/>
          <w:szCs w:val="28"/>
          <w:rtl/>
        </w:rPr>
        <w:t xml:space="preserve">הדין העברי מחלק את מקור חיוב במזונות קטנים, היקפו ואופן חלוקת הנטל בין ההורים, לשלוש תקופות: </w:t>
      </w:r>
      <w:r>
        <w:rPr>
          <w:rFonts w:ascii="FrankRuehl" w:hAnsi="FrankRuehl" w:cs="FrankRuehl"/>
          <w:sz w:val="28"/>
          <w:szCs w:val="28"/>
          <w:u w:val="single"/>
          <w:rtl/>
        </w:rPr>
        <w:t>קטני קטינים עד גיל 6 שנים</w:t>
      </w:r>
      <w:r>
        <w:rPr>
          <w:rFonts w:ascii="FrankRuehl" w:hAnsi="FrankRuehl" w:cs="FrankRuehl"/>
          <w:sz w:val="28"/>
          <w:szCs w:val="28"/>
          <w:rtl/>
        </w:rPr>
        <w:t xml:space="preserve">, חיוב שחל על האב והוא עצמאי ומוחלט ואינו תלוי בהכנסות האֵם או במצבו הכלכלי של האב או הקטין. חיוב עבור </w:t>
      </w:r>
      <w:r>
        <w:rPr>
          <w:rFonts w:ascii="FrankRuehl" w:hAnsi="FrankRuehl" w:cs="FrankRuehl"/>
          <w:sz w:val="28"/>
          <w:szCs w:val="28"/>
          <w:u w:val="single"/>
          <w:rtl/>
        </w:rPr>
        <w:t xml:space="preserve">קטינים בגיל 6-15 </w:t>
      </w:r>
      <w:r>
        <w:rPr>
          <w:rFonts w:ascii="FrankRuehl" w:hAnsi="FrankRuehl" w:cs="FrankRuehl"/>
          <w:sz w:val="28"/>
          <w:szCs w:val="28"/>
          <w:u w:val="single"/>
          <w:rtl/>
        </w:rPr>
        <w:lastRenderedPageBreak/>
        <w:t>שנים</w:t>
      </w:r>
      <w:r>
        <w:rPr>
          <w:rFonts w:ascii="FrankRuehl" w:hAnsi="FrankRuehl" w:cs="FrankRuehl"/>
          <w:sz w:val="28"/>
          <w:szCs w:val="28"/>
          <w:rtl/>
        </w:rPr>
        <w:t xml:space="preserve">, מכוח תקנת חכמים וחיוב עבור </w:t>
      </w:r>
      <w:r>
        <w:rPr>
          <w:rFonts w:ascii="FrankRuehl" w:hAnsi="FrankRuehl" w:cs="FrankRuehl"/>
          <w:sz w:val="28"/>
          <w:szCs w:val="28"/>
          <w:u w:val="single"/>
          <w:rtl/>
        </w:rPr>
        <w:t>קטינים בגיל 15-18 שנים</w:t>
      </w:r>
      <w:r>
        <w:rPr>
          <w:rFonts w:ascii="FrankRuehl" w:hAnsi="FrankRuehl" w:cs="FrankRuehl"/>
          <w:sz w:val="28"/>
          <w:szCs w:val="28"/>
          <w:rtl/>
        </w:rPr>
        <w:t xml:space="preserve">, מדין צדקה. ראו ע"א 166/66 </w:t>
      </w:r>
      <w:r>
        <w:rPr>
          <w:rFonts w:ascii="FrankRuehl" w:hAnsi="FrankRuehl" w:cs="FrankRuehl"/>
          <w:b/>
          <w:bCs/>
          <w:sz w:val="28"/>
          <w:szCs w:val="28"/>
          <w:rtl/>
        </w:rPr>
        <w:t>גודלמן נ' גולדמן</w:t>
      </w:r>
      <w:r>
        <w:rPr>
          <w:rFonts w:ascii="FrankRuehl" w:hAnsi="FrankRuehl" w:cs="FrankRuehl"/>
          <w:sz w:val="28"/>
          <w:szCs w:val="28"/>
          <w:rtl/>
        </w:rPr>
        <w:t xml:space="preserve"> פד"י כ (2) 533, 536, ע"א 591/81 </w:t>
      </w:r>
      <w:r>
        <w:rPr>
          <w:rFonts w:ascii="FrankRuehl" w:hAnsi="FrankRuehl" w:cs="FrankRuehl"/>
          <w:b/>
          <w:bCs/>
          <w:sz w:val="28"/>
          <w:szCs w:val="28"/>
          <w:rtl/>
        </w:rPr>
        <w:t>פורטוגז נ' פורטוגז,</w:t>
      </w:r>
      <w:r>
        <w:rPr>
          <w:rFonts w:ascii="FrankRuehl" w:hAnsi="FrankRuehl" w:cs="FrankRuehl"/>
          <w:sz w:val="28"/>
          <w:szCs w:val="28"/>
          <w:rtl/>
        </w:rPr>
        <w:t xml:space="preserve"> פד"י לו (3) 449, 457.</w:t>
      </w:r>
    </w:p>
    <w:p w:rsidR="00CD0486" w:rsidRDefault="00CD0486" w:rsidP="00CD0486">
      <w:pPr>
        <w:pStyle w:val="ae"/>
        <w:numPr>
          <w:ilvl w:val="0"/>
          <w:numId w:val="1"/>
        </w:numPr>
        <w:spacing w:line="360" w:lineRule="auto"/>
        <w:jc w:val="both"/>
        <w:rPr>
          <w:rFonts w:ascii="FrankRuehl" w:hAnsi="FrankRuehl" w:cs="FrankRuehl"/>
          <w:sz w:val="28"/>
          <w:szCs w:val="28"/>
        </w:rPr>
      </w:pPr>
      <w:r>
        <w:rPr>
          <w:rFonts w:ascii="FrankRuehl" w:hAnsi="FrankRuehl" w:cs="FrankRuehl"/>
          <w:sz w:val="28"/>
          <w:szCs w:val="28"/>
          <w:rtl/>
        </w:rPr>
        <w:t xml:space="preserve">בבע"מ 919/15 </w:t>
      </w:r>
      <w:r>
        <w:rPr>
          <w:rFonts w:ascii="FrankRuehl" w:hAnsi="FrankRuehl" w:cs="FrankRuehl"/>
          <w:b/>
          <w:bCs/>
          <w:sz w:val="28"/>
          <w:szCs w:val="28"/>
          <w:rtl/>
        </w:rPr>
        <w:t>פלוני נ' פלונית</w:t>
      </w:r>
      <w:r>
        <w:rPr>
          <w:rFonts w:ascii="FrankRuehl" w:hAnsi="FrankRuehl" w:cs="FrankRuehl"/>
          <w:sz w:val="28"/>
          <w:szCs w:val="28"/>
          <w:rtl/>
        </w:rPr>
        <w:t xml:space="preserve"> פסקה 77 סייפא לפסה"ד של השופט פוגלמן בפסק דין מיום  19/07/2017, נפסק כי את החיוב מכוח תקנת חכמים יש לפרש כחיוב מדין צדקה. היְינו, החיוב מגיל 6 שנים חל על ההורים במידה שווה. הוראה זו היא תמציתו האופרטיבית העיקרית של פסה"ד הנ"ל, כפי שנפסק בעמוד 125, סעיף 3 לפסה"ד של הנשיאה כב' השופטת א' חיות.</w:t>
      </w:r>
    </w:p>
    <w:p w:rsidR="00CD0486" w:rsidRDefault="00CD0486" w:rsidP="00CD0486">
      <w:pPr>
        <w:pStyle w:val="ae"/>
        <w:rPr>
          <w:rFonts w:ascii="FrankRuehl" w:hAnsi="FrankRuehl" w:cs="FrankRuehl"/>
          <w:sz w:val="28"/>
          <w:szCs w:val="28"/>
          <w:rtl/>
        </w:rPr>
      </w:pPr>
    </w:p>
    <w:p w:rsidR="00CD0486" w:rsidRDefault="00CD0486" w:rsidP="00CD0486">
      <w:pPr>
        <w:pStyle w:val="ae"/>
        <w:numPr>
          <w:ilvl w:val="0"/>
          <w:numId w:val="1"/>
        </w:numPr>
        <w:spacing w:line="360" w:lineRule="auto"/>
        <w:jc w:val="both"/>
        <w:rPr>
          <w:rFonts w:ascii="FrankRuehl" w:hAnsi="FrankRuehl" w:cs="FrankRuehl"/>
          <w:sz w:val="28"/>
          <w:szCs w:val="28"/>
        </w:rPr>
      </w:pPr>
      <w:r>
        <w:rPr>
          <w:rFonts w:ascii="FrankRuehl" w:hAnsi="FrankRuehl" w:cs="FrankRuehl"/>
          <w:sz w:val="28"/>
          <w:szCs w:val="28"/>
          <w:rtl/>
        </w:rPr>
        <w:t xml:space="preserve">בהתאמה, לשם הכרעה בחלוקת נטל הנשיאה במזונות, על בית המשפט לדון בשאלה מה הם הצרכים של הקטינה, מה יכולתם הכלכלית של ההורים ומהו יחס ההכנסות ביניהם. עוד יש לבחון חלוקת זמני השהות, חלוקת האחריות ההורית ושאר נסיבות העניין. אין מדובר בנוסחה מתמטית. ראו עמ"ש 1180-05-14 </w:t>
      </w:r>
      <w:r>
        <w:rPr>
          <w:rFonts w:ascii="FrankRuehl" w:hAnsi="FrankRuehl" w:cs="FrankRuehl"/>
          <w:b/>
          <w:bCs/>
          <w:sz w:val="28"/>
          <w:szCs w:val="28"/>
          <w:rtl/>
        </w:rPr>
        <w:t>א.א. נ' מ.א.</w:t>
      </w:r>
      <w:r>
        <w:rPr>
          <w:rFonts w:ascii="FrankRuehl" w:hAnsi="FrankRuehl" w:cs="FrankRuehl"/>
          <w:sz w:val="28"/>
          <w:szCs w:val="28"/>
          <w:rtl/>
        </w:rPr>
        <w:t xml:space="preserve">, מיום 26.03.2015 עמוד 4 לפסק דינו של השופט שאול שוחט וגם עמ"ש (חיפה) 4208-01-19 </w:t>
      </w:r>
      <w:r>
        <w:rPr>
          <w:rFonts w:ascii="FrankRuehl" w:hAnsi="FrankRuehl" w:cs="FrankRuehl"/>
          <w:b/>
          <w:bCs/>
          <w:sz w:val="28"/>
          <w:szCs w:val="28"/>
          <w:rtl/>
        </w:rPr>
        <w:t xml:space="preserve">ד' ב' נ' א' א' ב' </w:t>
      </w:r>
      <w:r>
        <w:rPr>
          <w:rFonts w:ascii="FrankRuehl" w:hAnsi="FrankRuehl" w:cs="FrankRuehl"/>
          <w:sz w:val="28"/>
          <w:szCs w:val="28"/>
          <w:rtl/>
        </w:rPr>
        <w:t xml:space="preserve">מיום 21.7.19; </w:t>
      </w:r>
      <w:r>
        <w:rPr>
          <w:rFonts w:ascii="FrankRuehl" w:eastAsia="Calibri" w:hAnsi="FrankRuehl" w:cs="FrankRuehl"/>
          <w:sz w:val="28"/>
          <w:szCs w:val="28"/>
          <w:rtl/>
        </w:rPr>
        <w:t xml:space="preserve">רמ"ש (מרכז) 59188-10-18 י.נ נ' א.נ. סעיף 11 לפסה"ד מיום 25/10/18 </w:t>
      </w:r>
      <w:r>
        <w:rPr>
          <w:rFonts w:ascii="FrankRuehl" w:hAnsi="FrankRuehl" w:cs="FrankRuehl"/>
          <w:sz w:val="28"/>
          <w:szCs w:val="28"/>
          <w:rtl/>
        </w:rPr>
        <w:t>ועוד.</w:t>
      </w:r>
    </w:p>
    <w:p w:rsidR="00CD0486" w:rsidRDefault="00CD0486" w:rsidP="00CD0486">
      <w:pPr>
        <w:pStyle w:val="ae"/>
        <w:rPr>
          <w:rFonts w:ascii="FrankRuehl" w:hAnsi="FrankRuehl" w:cs="FrankRuehl"/>
          <w:sz w:val="28"/>
          <w:szCs w:val="28"/>
          <w:rtl/>
        </w:rPr>
      </w:pPr>
    </w:p>
    <w:p w:rsidR="00CD0486" w:rsidRDefault="00CD0486" w:rsidP="004449EB">
      <w:pPr>
        <w:pStyle w:val="ae"/>
        <w:numPr>
          <w:ilvl w:val="0"/>
          <w:numId w:val="1"/>
        </w:numPr>
        <w:spacing w:line="360" w:lineRule="auto"/>
        <w:jc w:val="both"/>
        <w:rPr>
          <w:rFonts w:ascii="FrankRuehl" w:hAnsi="FrankRuehl" w:cs="FrankRuehl"/>
          <w:sz w:val="28"/>
          <w:szCs w:val="28"/>
        </w:rPr>
      </w:pPr>
      <w:r>
        <w:rPr>
          <w:rFonts w:ascii="FrankRuehl" w:hAnsi="FrankRuehl" w:cs="FrankRuehl"/>
          <w:sz w:val="28"/>
          <w:szCs w:val="28"/>
          <w:rtl/>
        </w:rPr>
        <w:t>הקטינה ילידת</w:t>
      </w:r>
      <w:r w:rsidR="004449EB">
        <w:rPr>
          <w:rFonts w:ascii="FrankRuehl" w:hAnsi="FrankRuehl" w:cs="FrankRuehl" w:hint="cs"/>
          <w:sz w:val="28"/>
          <w:szCs w:val="28"/>
          <w:rtl/>
        </w:rPr>
        <w:t xml:space="preserve"> 03/03/2021 </w:t>
      </w:r>
      <w:r>
        <w:rPr>
          <w:rFonts w:ascii="FrankRuehl" w:hAnsi="FrankRuehl" w:cs="FrankRuehl"/>
          <w:sz w:val="28"/>
          <w:szCs w:val="28"/>
          <w:rtl/>
        </w:rPr>
        <w:t>ועל כן מקטני קטינים. אקדים ואציין כי שני הצדדים לא הוכיחו את צרכי הקטינה.</w:t>
      </w:r>
    </w:p>
    <w:p w:rsidR="00CD0486" w:rsidRDefault="00CD0486" w:rsidP="00CD0486">
      <w:pPr>
        <w:pStyle w:val="ae"/>
        <w:rPr>
          <w:rFonts w:ascii="FrankRuehl" w:hAnsi="FrankRuehl" w:cs="FrankRuehl"/>
          <w:sz w:val="28"/>
          <w:szCs w:val="28"/>
          <w:rtl/>
        </w:rPr>
      </w:pPr>
    </w:p>
    <w:p w:rsidR="00CD0486" w:rsidRDefault="00CD0486" w:rsidP="00C64A13">
      <w:pPr>
        <w:pStyle w:val="ae"/>
        <w:numPr>
          <w:ilvl w:val="0"/>
          <w:numId w:val="1"/>
        </w:numPr>
        <w:spacing w:line="360" w:lineRule="auto"/>
        <w:jc w:val="both"/>
        <w:rPr>
          <w:rFonts w:ascii="FrankRuehl" w:hAnsi="FrankRuehl" w:cs="FrankRuehl"/>
          <w:sz w:val="28"/>
          <w:szCs w:val="28"/>
        </w:rPr>
      </w:pPr>
      <w:r>
        <w:rPr>
          <w:rFonts w:ascii="FrankRuehl" w:hAnsi="FrankRuehl" w:cs="FrankRuehl"/>
          <w:sz w:val="28"/>
          <w:szCs w:val="28"/>
          <w:rtl/>
        </w:rPr>
        <w:t>כמפורט לעיל התובעת עתרה לחיוב הנתבע בסך 2,000 ₪ מזונות לחודש, ו</w:t>
      </w:r>
      <w:r w:rsidR="00C64A13">
        <w:rPr>
          <w:rFonts w:ascii="FrankRuehl" w:hAnsi="FrankRuehl" w:cs="FrankRuehl" w:hint="cs"/>
          <w:sz w:val="28"/>
          <w:szCs w:val="28"/>
          <w:rtl/>
        </w:rPr>
        <w:t xml:space="preserve">גם 755 ₪ </w:t>
      </w:r>
      <w:r>
        <w:rPr>
          <w:rFonts w:ascii="FrankRuehl" w:hAnsi="FrankRuehl" w:cs="FrankRuehl"/>
          <w:sz w:val="28"/>
          <w:szCs w:val="28"/>
          <w:rtl/>
        </w:rPr>
        <w:t xml:space="preserve">עבור מדור ואחזקת מדור. אלא שלמעט אסמכתא בגין תשלום מעון הקטינה סך 2,488 ₪ בגין כל אחד מהחודשים 9-10/23 וגם אישור סיוע סך 270 ₪ לתקופה 1/23-8/23 עבור המעון (נספח 9 לתיק מוצגים ת/1), </w:t>
      </w:r>
      <w:r>
        <w:rPr>
          <w:rFonts w:ascii="FrankRuehl" w:hAnsi="FrankRuehl" w:cs="FrankRuehl"/>
          <w:b/>
          <w:bCs/>
          <w:sz w:val="28"/>
          <w:szCs w:val="28"/>
          <w:rtl/>
        </w:rPr>
        <w:t>התובעת לא צירפה אסמכתאות לאימות טענותיה</w:t>
      </w:r>
      <w:r>
        <w:rPr>
          <w:rFonts w:ascii="FrankRuehl" w:hAnsi="FrankRuehl" w:cs="FrankRuehl"/>
          <w:sz w:val="28"/>
          <w:szCs w:val="28"/>
          <w:rtl/>
        </w:rPr>
        <w:t xml:space="preserve"> או הוצאותיה עבור צרכי הקטינה. בעדותה העידה התובעת </w:t>
      </w:r>
      <w:r>
        <w:rPr>
          <w:rFonts w:ascii="FrankRuehl" w:hAnsi="FrankRuehl" w:cs="FrankRuehl"/>
          <w:sz w:val="28"/>
          <w:szCs w:val="28"/>
          <w:rtl/>
        </w:rPr>
        <w:lastRenderedPageBreak/>
        <w:t>כי היא מקבלת סיוע ברכישת מזון (סימילאק) ממשרד הרווחה. עמוד 11 שורות 22-23 אך גם לכך לא צירפה אסמכתא. העדר אסמכתאות מעיד על חולשת הטענות.</w:t>
      </w:r>
    </w:p>
    <w:p w:rsidR="00CD0486" w:rsidRDefault="00CD0486" w:rsidP="00CD0486">
      <w:pPr>
        <w:pStyle w:val="ae"/>
        <w:rPr>
          <w:rFonts w:ascii="FrankRuehl" w:hAnsi="FrankRuehl" w:cs="FrankRuehl"/>
          <w:sz w:val="28"/>
          <w:szCs w:val="28"/>
          <w:rtl/>
        </w:rPr>
      </w:pPr>
    </w:p>
    <w:p w:rsidR="00CD0486" w:rsidRDefault="00CD0486" w:rsidP="00CD0486">
      <w:pPr>
        <w:pStyle w:val="ae"/>
        <w:numPr>
          <w:ilvl w:val="0"/>
          <w:numId w:val="1"/>
        </w:numPr>
        <w:spacing w:line="360" w:lineRule="auto"/>
        <w:jc w:val="both"/>
        <w:rPr>
          <w:rFonts w:ascii="FrankRuehl" w:hAnsi="FrankRuehl" w:cs="FrankRuehl"/>
          <w:sz w:val="28"/>
          <w:szCs w:val="28"/>
        </w:rPr>
      </w:pPr>
      <w:r>
        <w:rPr>
          <w:rFonts w:ascii="FrankRuehl" w:hAnsi="FrankRuehl" w:cs="FrankRuehl"/>
          <w:sz w:val="28"/>
          <w:szCs w:val="28"/>
          <w:rtl/>
        </w:rPr>
        <w:t>גם הנתבע לא עמד בנטל להוכיח את צרכי הקטינה ולא צירף אסמכתאות או נימוקים לטענותיו כי יש להעמיד את מזונות הקטינה על סך 1,200 ₪ לחודש.</w:t>
      </w:r>
    </w:p>
    <w:p w:rsidR="00CD0486" w:rsidRDefault="00CD0486" w:rsidP="00CD0486">
      <w:pPr>
        <w:pStyle w:val="ae"/>
        <w:rPr>
          <w:rFonts w:ascii="FrankRuehl" w:hAnsi="FrankRuehl" w:cs="FrankRuehl"/>
          <w:b/>
          <w:bCs/>
          <w:sz w:val="28"/>
          <w:szCs w:val="28"/>
          <w:rtl/>
        </w:rPr>
      </w:pPr>
    </w:p>
    <w:p w:rsidR="00CD0486" w:rsidRDefault="00CD0486" w:rsidP="00CD0486">
      <w:pPr>
        <w:pStyle w:val="ae"/>
        <w:numPr>
          <w:ilvl w:val="0"/>
          <w:numId w:val="1"/>
        </w:numPr>
        <w:spacing w:line="360" w:lineRule="auto"/>
        <w:jc w:val="both"/>
        <w:rPr>
          <w:rFonts w:ascii="FrankRuehl" w:hAnsi="FrankRuehl" w:cs="FrankRuehl"/>
          <w:sz w:val="28"/>
          <w:szCs w:val="28"/>
        </w:rPr>
      </w:pPr>
      <w:r>
        <w:rPr>
          <w:rFonts w:ascii="FrankRuehl" w:hAnsi="FrankRuehl" w:cs="FrankRuehl"/>
          <w:b/>
          <w:bCs/>
          <w:sz w:val="28"/>
          <w:szCs w:val="28"/>
          <w:rtl/>
        </w:rPr>
        <w:t>תביעת</w:t>
      </w:r>
      <w:r>
        <w:rPr>
          <w:rFonts w:ascii="FrankRuehl" w:hAnsi="FrankRuehl" w:cs="FrankRuehl"/>
          <w:sz w:val="28"/>
          <w:szCs w:val="28"/>
          <w:rtl/>
        </w:rPr>
        <w:t xml:space="preserve"> </w:t>
      </w:r>
      <w:r>
        <w:rPr>
          <w:rFonts w:ascii="FrankRuehl" w:hAnsi="FrankRuehl" w:cs="FrankRuehl"/>
          <w:b/>
          <w:bCs/>
          <w:sz w:val="28"/>
          <w:szCs w:val="28"/>
          <w:rtl/>
        </w:rPr>
        <w:t xml:space="preserve"> מזונות היא תביעה כספית שיש להוכיח ככל תביעה אחרת.</w:t>
      </w:r>
    </w:p>
    <w:p w:rsidR="00CD0486" w:rsidRDefault="00CD0486" w:rsidP="00CD0486">
      <w:pPr>
        <w:pStyle w:val="ae"/>
        <w:rPr>
          <w:rFonts w:ascii="FrankRuehl" w:eastAsia="Calibri" w:hAnsi="FrankRuehl" w:cs="FrankRuehl"/>
          <w:sz w:val="28"/>
          <w:szCs w:val="28"/>
          <w:rtl/>
        </w:rPr>
      </w:pPr>
    </w:p>
    <w:p w:rsidR="00C64A13" w:rsidRDefault="00C64A13" w:rsidP="00CD0486">
      <w:pPr>
        <w:pStyle w:val="ae"/>
        <w:rPr>
          <w:rFonts w:ascii="FrankRuehl" w:eastAsia="Calibri" w:hAnsi="FrankRuehl" w:cs="FrankRuehl"/>
          <w:sz w:val="28"/>
          <w:szCs w:val="28"/>
          <w:rtl/>
        </w:rPr>
      </w:pPr>
    </w:p>
    <w:p w:rsidR="00C64A13" w:rsidRDefault="00C64A13" w:rsidP="00CD0486">
      <w:pPr>
        <w:pStyle w:val="ae"/>
        <w:rPr>
          <w:rFonts w:ascii="FrankRuehl" w:eastAsia="Calibri" w:hAnsi="FrankRuehl" w:cs="FrankRuehl"/>
          <w:sz w:val="28"/>
          <w:szCs w:val="28"/>
          <w:rtl/>
        </w:rPr>
      </w:pPr>
    </w:p>
    <w:p w:rsidR="00CD0486" w:rsidRDefault="00CD0486" w:rsidP="00CD0486">
      <w:pPr>
        <w:pStyle w:val="ae"/>
        <w:numPr>
          <w:ilvl w:val="0"/>
          <w:numId w:val="1"/>
        </w:numPr>
        <w:spacing w:line="360" w:lineRule="auto"/>
        <w:jc w:val="both"/>
        <w:rPr>
          <w:rFonts w:ascii="FrankRuehl" w:hAnsi="FrankRuehl" w:cs="FrankRuehl"/>
          <w:sz w:val="28"/>
          <w:szCs w:val="28"/>
        </w:rPr>
      </w:pPr>
      <w:r>
        <w:rPr>
          <w:rFonts w:ascii="FrankRuehl" w:eastAsia="Calibri" w:hAnsi="FrankRuehl" w:cs="FrankRuehl"/>
          <w:sz w:val="28"/>
          <w:szCs w:val="28"/>
          <w:rtl/>
        </w:rPr>
        <w:t xml:space="preserve">כאשר הראיות אינן מאפשרות קביעת ממצאים ברורים או כשהעובדות אינן שלמות מאחר והצדדים אינם עומדים בנטל להוכיח את צרכי הקטינה שהדיון בעניינה, יאמוד בית המשפט את הצרכים על פי נִיסיון החיים של השופט היושב בדין. ראו: ע"א 680/82 </w:t>
      </w:r>
      <w:r>
        <w:rPr>
          <w:rFonts w:ascii="FrankRuehl" w:eastAsia="Calibri" w:hAnsi="FrankRuehl" w:cs="FrankRuehl"/>
          <w:b/>
          <w:bCs/>
          <w:sz w:val="28"/>
          <w:szCs w:val="28"/>
          <w:rtl/>
        </w:rPr>
        <w:t>נחום נ' נחום</w:t>
      </w:r>
      <w:r>
        <w:rPr>
          <w:rFonts w:ascii="FrankRuehl" w:eastAsia="Calibri" w:hAnsi="FrankRuehl" w:cs="FrankRuehl"/>
          <w:sz w:val="28"/>
          <w:szCs w:val="28"/>
          <w:rtl/>
        </w:rPr>
        <w:t xml:space="preserve">, פ"ד לז(4)667; ע"א 687/83 </w:t>
      </w:r>
      <w:r>
        <w:rPr>
          <w:rFonts w:ascii="FrankRuehl" w:eastAsia="Calibri" w:hAnsi="FrankRuehl" w:cs="FrankRuehl"/>
          <w:b/>
          <w:bCs/>
          <w:sz w:val="28"/>
          <w:szCs w:val="28"/>
          <w:rtl/>
        </w:rPr>
        <w:t>מזור נ' מזור</w:t>
      </w:r>
      <w:r>
        <w:rPr>
          <w:rFonts w:ascii="FrankRuehl" w:eastAsia="Calibri" w:hAnsi="FrankRuehl" w:cs="FrankRuehl"/>
          <w:sz w:val="28"/>
          <w:szCs w:val="28"/>
          <w:rtl/>
        </w:rPr>
        <w:t xml:space="preserve">, פ"ד לח(3) 29, 33; ע"א 130/85 </w:t>
      </w:r>
      <w:r>
        <w:rPr>
          <w:rFonts w:ascii="FrankRuehl" w:eastAsia="Calibri" w:hAnsi="FrankRuehl" w:cs="FrankRuehl"/>
          <w:b/>
          <w:bCs/>
          <w:sz w:val="28"/>
          <w:szCs w:val="28"/>
          <w:rtl/>
        </w:rPr>
        <w:t>ניסים סבן כהן נ' שמעון כהן</w:t>
      </w:r>
      <w:r>
        <w:rPr>
          <w:rFonts w:ascii="FrankRuehl" w:eastAsia="Calibri" w:hAnsi="FrankRuehl" w:cs="FrankRuehl"/>
          <w:sz w:val="28"/>
          <w:szCs w:val="28"/>
          <w:rtl/>
        </w:rPr>
        <w:t xml:space="preserve">, פ"ד מ(1) 69; ע"א 93/85 </w:t>
      </w:r>
      <w:r>
        <w:rPr>
          <w:rFonts w:ascii="FrankRuehl" w:eastAsia="Calibri" w:hAnsi="FrankRuehl" w:cs="FrankRuehl"/>
          <w:b/>
          <w:bCs/>
          <w:sz w:val="28"/>
          <w:szCs w:val="28"/>
          <w:rtl/>
        </w:rPr>
        <w:t>שגב נ' שגב</w:t>
      </w:r>
      <w:r>
        <w:rPr>
          <w:rFonts w:ascii="FrankRuehl" w:eastAsia="Calibri" w:hAnsi="FrankRuehl" w:cs="FrankRuehl"/>
          <w:sz w:val="28"/>
          <w:szCs w:val="28"/>
          <w:rtl/>
        </w:rPr>
        <w:t>, פ"ד לט(3)822, 825, 828 ועוד.</w:t>
      </w:r>
    </w:p>
    <w:p w:rsidR="00CD0486" w:rsidRDefault="00CD0486" w:rsidP="00CD0486">
      <w:pPr>
        <w:pStyle w:val="ae"/>
        <w:rPr>
          <w:rFonts w:ascii="FrankRuehl" w:hAnsi="FrankRuehl" w:cs="FrankRuehl"/>
          <w:sz w:val="28"/>
          <w:szCs w:val="28"/>
          <w:rtl/>
        </w:rPr>
      </w:pPr>
    </w:p>
    <w:p w:rsidR="00CD0486" w:rsidRDefault="00CD0486" w:rsidP="00CD0486">
      <w:pPr>
        <w:pStyle w:val="ae"/>
        <w:numPr>
          <w:ilvl w:val="0"/>
          <w:numId w:val="1"/>
        </w:numPr>
        <w:spacing w:line="360" w:lineRule="auto"/>
        <w:jc w:val="both"/>
        <w:rPr>
          <w:rFonts w:ascii="FrankRuehl" w:hAnsi="FrankRuehl" w:cs="FrankRuehl"/>
          <w:sz w:val="28"/>
          <w:szCs w:val="28"/>
        </w:rPr>
      </w:pPr>
      <w:r>
        <w:rPr>
          <w:rFonts w:ascii="FrankRuehl" w:eastAsia="Calibri" w:hAnsi="FrankRuehl" w:cs="FrankRuehl"/>
          <w:sz w:val="28"/>
          <w:szCs w:val="28"/>
          <w:rtl/>
        </w:rPr>
        <w:t xml:space="preserve">זה המקום לציין כי צרכיו של קטין המתגורר מרבית הזמן בבית אחד, נמוכים מצרכיו של קטין המתגורר בשני בתים. במקרה של השני, מטבע הדברים בשל הכפילות הנדרשת, צרכיו גבוהים עוד יותר, אך מאידך, חלקם הארי של צרכיו, משולמים בפועל, על ידי נשיאה בפועל </w:t>
      </w:r>
      <w:r>
        <w:rPr>
          <w:rFonts w:ascii="FrankRuehl" w:eastAsia="Calibri" w:hAnsi="FrankRuehl" w:cs="FrankRuehl"/>
          <w:sz w:val="28"/>
          <w:szCs w:val="28"/>
          <w:rtl/>
        </w:rPr>
        <w:lastRenderedPageBreak/>
        <w:t xml:space="preserve">של ההורה בעת שהות הקטין עימו. ראו עמ"ש (חי') 28488-09-19 </w:t>
      </w:r>
      <w:r>
        <w:rPr>
          <w:rFonts w:ascii="FrankRuehl" w:eastAsia="Calibri" w:hAnsi="FrankRuehl" w:cs="FrankRuehl"/>
          <w:b/>
          <w:bCs/>
          <w:sz w:val="28"/>
          <w:szCs w:val="28"/>
          <w:rtl/>
        </w:rPr>
        <w:t>ר' ב' נ' ה' ב'</w:t>
      </w:r>
      <w:r>
        <w:rPr>
          <w:rFonts w:ascii="FrankRuehl" w:eastAsia="Calibri" w:hAnsi="FrankRuehl" w:cs="FrankRuehl"/>
          <w:sz w:val="28"/>
          <w:szCs w:val="28"/>
          <w:rtl/>
        </w:rPr>
        <w:t xml:space="preserve">, מיום 12.03.2020, וגם רמ"ש (מרכז) 59188-10-18 י.נ. נ' א.נ. מיום 25/10/2018; עמ"ש (מרכז) 21704-03-18 </w:t>
      </w:r>
      <w:r>
        <w:rPr>
          <w:rFonts w:ascii="FrankRuehl" w:eastAsia="Calibri" w:hAnsi="FrankRuehl" w:cs="FrankRuehl"/>
          <w:b/>
          <w:bCs/>
          <w:sz w:val="28"/>
          <w:szCs w:val="28"/>
          <w:rtl/>
        </w:rPr>
        <w:t>א.ו. נ' א.ו</w:t>
      </w:r>
      <w:r>
        <w:rPr>
          <w:rFonts w:ascii="FrankRuehl" w:eastAsia="Calibri" w:hAnsi="FrankRuehl" w:cs="FrankRuehl"/>
          <w:sz w:val="28"/>
          <w:szCs w:val="28"/>
          <w:rtl/>
        </w:rPr>
        <w:t xml:space="preserve">. סעיף 12 לפסה"ד מיום 11/06/2019 ועמ"ש (חיפה) 56000-10-18 </w:t>
      </w:r>
      <w:r>
        <w:rPr>
          <w:rFonts w:ascii="FrankRuehl" w:eastAsia="Calibri" w:hAnsi="FrankRuehl" w:cs="FrankRuehl"/>
          <w:b/>
          <w:bCs/>
          <w:sz w:val="28"/>
          <w:szCs w:val="28"/>
          <w:rtl/>
        </w:rPr>
        <w:t xml:space="preserve">פלוני נ' פלונית </w:t>
      </w:r>
      <w:r>
        <w:rPr>
          <w:rFonts w:ascii="FrankRuehl" w:eastAsia="Calibri" w:hAnsi="FrankRuehl" w:cs="FrankRuehl"/>
          <w:sz w:val="28"/>
          <w:szCs w:val="28"/>
          <w:rtl/>
        </w:rPr>
        <w:t>סעיף 47 לפסה"ד מיום 31/01/2019.</w:t>
      </w:r>
    </w:p>
    <w:p w:rsidR="00CD0486" w:rsidRDefault="00CD0486" w:rsidP="00CD0486">
      <w:pPr>
        <w:pStyle w:val="ae"/>
        <w:spacing w:line="360" w:lineRule="auto"/>
        <w:ind w:left="360"/>
        <w:jc w:val="both"/>
        <w:rPr>
          <w:rFonts w:ascii="FrankRuehl" w:hAnsi="FrankRuehl" w:cs="FrankRuehl"/>
          <w:sz w:val="28"/>
          <w:szCs w:val="28"/>
          <w:rtl/>
        </w:rPr>
      </w:pPr>
    </w:p>
    <w:p w:rsidR="00CD0486" w:rsidRDefault="00CD0486" w:rsidP="00B5517F">
      <w:pPr>
        <w:pStyle w:val="ae"/>
        <w:numPr>
          <w:ilvl w:val="0"/>
          <w:numId w:val="1"/>
        </w:numPr>
        <w:spacing w:line="360" w:lineRule="auto"/>
        <w:jc w:val="both"/>
        <w:rPr>
          <w:rFonts w:ascii="FrankRuehl" w:hAnsi="FrankRuehl" w:cs="FrankRuehl"/>
          <w:sz w:val="28"/>
          <w:szCs w:val="28"/>
        </w:rPr>
      </w:pPr>
      <w:r>
        <w:rPr>
          <w:rFonts w:ascii="FrankRuehl" w:eastAsia="Calibri" w:hAnsi="FrankRuehl" w:cs="FrankRuehl"/>
          <w:sz w:val="28"/>
          <w:szCs w:val="28"/>
          <w:rtl/>
        </w:rPr>
        <w:t xml:space="preserve">בהקשר של הקטינה כאן, הרי שמדובר בקטינה השוהה מרבית הזמן אצל התובעת המתגוררת בישוב </w:t>
      </w:r>
      <w:r w:rsidR="00B5517F">
        <w:rPr>
          <w:rFonts w:ascii="FrankRuehl" w:eastAsia="Calibri" w:hAnsi="FrankRuehl" w:cs="FrankRuehl" w:hint="cs"/>
          <w:sz w:val="28"/>
          <w:szCs w:val="28"/>
        </w:rPr>
        <w:t>XXX</w:t>
      </w:r>
      <w:r>
        <w:rPr>
          <w:rFonts w:ascii="FrankRuehl" w:eastAsia="Calibri" w:hAnsi="FrankRuehl" w:cs="FrankRuehl"/>
          <w:sz w:val="28"/>
          <w:szCs w:val="28"/>
          <w:rtl/>
        </w:rPr>
        <w:t xml:space="preserve"> ואביה מתגורר בעיר טירת הכרמל ועל כן, בהקשר זה, יש להפנות גם לכך שבעמ"ש (חיפה) 59345-11-22 </w:t>
      </w:r>
      <w:r>
        <w:rPr>
          <w:rFonts w:ascii="FrankRuehl" w:eastAsia="Calibri" w:hAnsi="FrankRuehl" w:cs="FrankRuehl"/>
          <w:b/>
          <w:bCs/>
          <w:sz w:val="28"/>
          <w:szCs w:val="28"/>
          <w:rtl/>
        </w:rPr>
        <w:t xml:space="preserve">א' נ' ב' </w:t>
      </w:r>
      <w:r>
        <w:rPr>
          <w:rFonts w:ascii="FrankRuehl" w:eastAsia="Calibri" w:hAnsi="FrankRuehl" w:cs="FrankRuehl"/>
          <w:sz w:val="28"/>
          <w:szCs w:val="28"/>
          <w:rtl/>
        </w:rPr>
        <w:t>מיום 13/2/23 נאמר כי הסכומים שנפסקו בבתי המשפט במחוז מרכז, לאו דווקא, תואמים למחוז חיפה וזאת נוכח ההבדלים המשמעותיים הקיימים בין המחוזות. אמירה זו חלה גם בהקשר למחוזות אחרים.</w:t>
      </w:r>
    </w:p>
    <w:p w:rsidR="00CD0486" w:rsidRDefault="00CD0486" w:rsidP="00CD0486">
      <w:pPr>
        <w:pStyle w:val="ae"/>
        <w:rPr>
          <w:rFonts w:ascii="FrankRuehl" w:eastAsia="Calibri" w:hAnsi="FrankRuehl" w:cs="FrankRuehl"/>
          <w:sz w:val="28"/>
          <w:szCs w:val="28"/>
        </w:rPr>
      </w:pPr>
    </w:p>
    <w:p w:rsidR="00CD0486" w:rsidRDefault="00CD0486" w:rsidP="004B5A8C">
      <w:pPr>
        <w:pStyle w:val="ae"/>
        <w:numPr>
          <w:ilvl w:val="0"/>
          <w:numId w:val="1"/>
        </w:numPr>
        <w:spacing w:line="360" w:lineRule="auto"/>
        <w:jc w:val="both"/>
        <w:rPr>
          <w:rFonts w:ascii="FrankRuehl" w:hAnsi="FrankRuehl" w:cs="FrankRuehl"/>
          <w:sz w:val="28"/>
          <w:szCs w:val="28"/>
        </w:rPr>
      </w:pPr>
      <w:r>
        <w:rPr>
          <w:rFonts w:ascii="FrankRuehl" w:eastAsia="Calibri" w:hAnsi="FrankRuehl" w:cs="FrankRuehl"/>
          <w:sz w:val="28"/>
          <w:szCs w:val="28"/>
          <w:rtl/>
        </w:rPr>
        <w:t>במקרה כאן, לאחר שבחנתי ושקלתי טענות ו(העדר) ראיות הצדדים, אני אומדת את צרכי הקטינה סך 1,</w:t>
      </w:r>
      <w:r w:rsidR="004B5A8C">
        <w:rPr>
          <w:rFonts w:ascii="FrankRuehl" w:eastAsia="Calibri" w:hAnsi="FrankRuehl" w:cs="FrankRuehl" w:hint="cs"/>
          <w:sz w:val="28"/>
          <w:szCs w:val="28"/>
          <w:rtl/>
        </w:rPr>
        <w:t>75</w:t>
      </w:r>
      <w:r>
        <w:rPr>
          <w:rFonts w:ascii="FrankRuehl" w:eastAsia="Calibri" w:hAnsi="FrankRuehl" w:cs="FrankRuehl"/>
          <w:sz w:val="28"/>
          <w:szCs w:val="28"/>
          <w:rtl/>
        </w:rPr>
        <w:t>0 ₪ לחודש, לא כולל מדור.</w:t>
      </w:r>
    </w:p>
    <w:p w:rsidR="00CD0486" w:rsidRDefault="00CD0486" w:rsidP="00CD0486">
      <w:pPr>
        <w:pStyle w:val="ae"/>
        <w:rPr>
          <w:rFonts w:ascii="FrankRuehl" w:eastAsia="Calibri" w:hAnsi="FrankRuehl" w:cs="FrankRuehl"/>
          <w:sz w:val="28"/>
          <w:szCs w:val="28"/>
          <w:rtl/>
        </w:rPr>
      </w:pPr>
    </w:p>
    <w:p w:rsidR="00CD0486" w:rsidRDefault="00CD0486" w:rsidP="000355EF">
      <w:pPr>
        <w:pStyle w:val="ae"/>
        <w:numPr>
          <w:ilvl w:val="0"/>
          <w:numId w:val="1"/>
        </w:numPr>
        <w:spacing w:line="360" w:lineRule="auto"/>
        <w:jc w:val="both"/>
        <w:rPr>
          <w:rFonts w:ascii="FrankRuehl" w:hAnsi="FrankRuehl" w:cs="FrankRuehl"/>
          <w:sz w:val="28"/>
          <w:szCs w:val="28"/>
        </w:rPr>
      </w:pPr>
      <w:r>
        <w:rPr>
          <w:rFonts w:ascii="FrankRuehl" w:hAnsi="FrankRuehl" w:cs="FrankRuehl"/>
          <w:b/>
          <w:bCs/>
          <w:sz w:val="28"/>
          <w:szCs w:val="28"/>
          <w:rtl/>
        </w:rPr>
        <w:t>מאחר ולקטינה ש</w:t>
      </w:r>
      <w:r w:rsidR="000355EF">
        <w:rPr>
          <w:rFonts w:ascii="FrankRuehl" w:hAnsi="FrankRuehl" w:cs="FrankRuehl" w:hint="cs"/>
          <w:b/>
          <w:bCs/>
          <w:sz w:val="28"/>
          <w:szCs w:val="28"/>
          <w:rtl/>
        </w:rPr>
        <w:t>.</w:t>
      </w:r>
      <w:r>
        <w:rPr>
          <w:rFonts w:ascii="FrankRuehl" w:eastAsia="Calibri" w:hAnsi="FrankRuehl" w:cs="FrankRuehl"/>
          <w:b/>
          <w:bCs/>
          <w:sz w:val="28"/>
          <w:szCs w:val="28"/>
          <w:rtl/>
        </w:rPr>
        <w:t xml:space="preserve"> טרם מלאו 6 שנים, יש לחלק את צרכיה, לצרכים הכרחיים ולצרכים שאינם הכרחיים</w:t>
      </w:r>
      <w:r>
        <w:rPr>
          <w:rFonts w:ascii="FrankRuehl" w:eastAsia="Calibri" w:hAnsi="FrankRuehl" w:cs="FrankRuehl"/>
          <w:sz w:val="28"/>
          <w:szCs w:val="28"/>
          <w:rtl/>
        </w:rPr>
        <w:t xml:space="preserve">. ודוק, </w:t>
      </w:r>
      <w:r>
        <w:rPr>
          <w:rFonts w:ascii="FrankRuehl" w:hAnsi="FrankRuehl" w:cs="FrankRuehl"/>
          <w:sz w:val="28"/>
          <w:szCs w:val="28"/>
          <w:rtl/>
        </w:rPr>
        <w:t>חלוקה זו נדרשת מאחר ועל פי הדין האישי החל, ב</w:t>
      </w:r>
      <w:r>
        <w:rPr>
          <w:rFonts w:ascii="FrankRuehl" w:eastAsia="Calibri" w:hAnsi="FrankRuehl" w:cs="FrankRuehl"/>
          <w:sz w:val="28"/>
          <w:szCs w:val="28"/>
          <w:rtl/>
        </w:rPr>
        <w:t xml:space="preserve">צרכים ההכרחיים חב </w:t>
      </w:r>
      <w:r>
        <w:rPr>
          <w:rFonts w:ascii="FrankRuehl" w:hAnsi="FrankRuehl" w:cs="FrankRuehl"/>
          <w:sz w:val="28"/>
          <w:szCs w:val="28"/>
          <w:rtl/>
        </w:rPr>
        <w:t xml:space="preserve">האב שהוא יהודי, באופן בלעדי, וזאת עד הגעת הקטינה לגיל 6 שנים ואילו בצרכים הנוספים חבים שני ההורים כפי יחס ההכנסות ביניהם. </w:t>
      </w:r>
    </w:p>
    <w:p w:rsidR="00CD0486" w:rsidRDefault="00CD0486" w:rsidP="00CD0486">
      <w:pPr>
        <w:pStyle w:val="ae"/>
        <w:rPr>
          <w:rFonts w:ascii="FrankRuehl" w:hAnsi="FrankRuehl" w:cs="FrankRuehl"/>
          <w:sz w:val="28"/>
          <w:szCs w:val="28"/>
          <w:rtl/>
        </w:rPr>
      </w:pPr>
    </w:p>
    <w:p w:rsidR="00C64A13" w:rsidRDefault="00C64A13" w:rsidP="00CD0486">
      <w:pPr>
        <w:pStyle w:val="ae"/>
        <w:rPr>
          <w:rFonts w:ascii="FrankRuehl" w:hAnsi="FrankRuehl" w:cs="FrankRuehl"/>
          <w:sz w:val="28"/>
          <w:szCs w:val="28"/>
          <w:rtl/>
        </w:rPr>
      </w:pPr>
    </w:p>
    <w:p w:rsidR="00CD0486" w:rsidRDefault="00CD0486" w:rsidP="00CD0486">
      <w:pPr>
        <w:pStyle w:val="ae"/>
        <w:numPr>
          <w:ilvl w:val="0"/>
          <w:numId w:val="1"/>
        </w:numPr>
        <w:spacing w:line="360" w:lineRule="auto"/>
        <w:jc w:val="both"/>
        <w:rPr>
          <w:rFonts w:ascii="FrankRuehl" w:hAnsi="FrankRuehl" w:cs="FrankRuehl"/>
          <w:sz w:val="28"/>
          <w:szCs w:val="28"/>
        </w:rPr>
      </w:pPr>
      <w:r>
        <w:rPr>
          <w:rFonts w:ascii="FrankRuehl" w:hAnsi="FrankRuehl" w:cs="FrankRuehl"/>
          <w:b/>
          <w:bCs/>
          <w:sz w:val="28"/>
          <w:szCs w:val="28"/>
          <w:rtl/>
        </w:rPr>
        <w:lastRenderedPageBreak/>
        <w:t xml:space="preserve">לאחר גיל 6, יש לחלק את סכום הצרכים </w:t>
      </w:r>
      <w:r>
        <w:rPr>
          <w:rFonts w:ascii="FrankRuehl" w:eastAsia="Calibri" w:hAnsi="FrankRuehl" w:cs="FrankRuehl"/>
          <w:b/>
          <w:bCs/>
          <w:sz w:val="28"/>
          <w:szCs w:val="28"/>
          <w:rtl/>
        </w:rPr>
        <w:t>לצרכים תלויי שהות ולצרכים שאינם תלויי שהות</w:t>
      </w:r>
      <w:r>
        <w:rPr>
          <w:rFonts w:ascii="FrankRuehl" w:eastAsia="Calibri" w:hAnsi="FrankRuehl" w:cs="FrankRuehl"/>
          <w:sz w:val="28"/>
          <w:szCs w:val="28"/>
          <w:rtl/>
        </w:rPr>
        <w:t>. חלוקה זו נדרשת מאחר ורכיבים שהם תלויי שהות של קטין, נושא בהם בעין ההורה אצלו שוהים הקטינים וזאת ביחס ישיר לזמן השהות של הקטין בביתו ולהיפך; זאת להבדיל מצרכים שאינם תלויי שהות שכן אין קשר בין צרכים אלו לבין שהותו של הקטין בביתו של ההורה.</w:t>
      </w:r>
    </w:p>
    <w:p w:rsidR="00CD0486" w:rsidRDefault="00CD0486" w:rsidP="00CD0486">
      <w:pPr>
        <w:pStyle w:val="ae"/>
        <w:ind w:left="468"/>
        <w:rPr>
          <w:rFonts w:ascii="FrankRuehl" w:eastAsia="Calibri" w:hAnsi="FrankRuehl" w:cs="FrankRuehl"/>
          <w:sz w:val="28"/>
          <w:szCs w:val="28"/>
          <w:rtl/>
        </w:rPr>
      </w:pPr>
    </w:p>
    <w:p w:rsidR="00CD0486" w:rsidRDefault="00CD0486" w:rsidP="00A762D0">
      <w:pPr>
        <w:pStyle w:val="ae"/>
        <w:numPr>
          <w:ilvl w:val="0"/>
          <w:numId w:val="1"/>
        </w:numPr>
        <w:spacing w:line="360" w:lineRule="auto"/>
        <w:jc w:val="both"/>
        <w:rPr>
          <w:rFonts w:ascii="FrankRuehl" w:hAnsi="FrankRuehl" w:cs="FrankRuehl"/>
          <w:sz w:val="28"/>
          <w:szCs w:val="28"/>
          <w:rtl/>
        </w:rPr>
      </w:pPr>
      <w:r>
        <w:rPr>
          <w:rFonts w:ascii="FrankRuehl" w:hAnsi="FrankRuehl" w:cs="FrankRuehl"/>
          <w:sz w:val="28"/>
          <w:szCs w:val="28"/>
          <w:u w:val="single"/>
          <w:rtl/>
        </w:rPr>
        <w:t>צרכים הכרחיים</w:t>
      </w:r>
      <w:r>
        <w:rPr>
          <w:rFonts w:ascii="FrankRuehl" w:hAnsi="FrankRuehl" w:cs="FrankRuehl"/>
          <w:sz w:val="28"/>
          <w:szCs w:val="28"/>
          <w:rtl/>
        </w:rPr>
        <w:t xml:space="preserve">: בבע"מ 919/15  </w:t>
      </w:r>
      <w:r>
        <w:rPr>
          <w:rFonts w:ascii="FrankRuehl" w:hAnsi="FrankRuehl" w:cs="FrankRuehl"/>
          <w:b/>
          <w:bCs/>
          <w:sz w:val="28"/>
          <w:szCs w:val="28"/>
          <w:rtl/>
        </w:rPr>
        <w:t>פלוני נ' פלונית</w:t>
      </w:r>
      <w:r>
        <w:rPr>
          <w:rFonts w:ascii="FrankRuehl" w:hAnsi="FrankRuehl" w:cs="FrankRuehl"/>
          <w:sz w:val="28"/>
          <w:szCs w:val="28"/>
          <w:rtl/>
        </w:rPr>
        <w:t>, מיום 19/07/2017, סעיף 5 לפסק הדין נ</w:t>
      </w:r>
      <w:r w:rsidR="00A762D0">
        <w:rPr>
          <w:rFonts w:ascii="FrankRuehl" w:hAnsi="FrankRuehl" w:cs="FrankRuehl" w:hint="cs"/>
          <w:sz w:val="28"/>
          <w:szCs w:val="28"/>
          <w:rtl/>
        </w:rPr>
        <w:t>קבע ש</w:t>
      </w:r>
      <w:r>
        <w:rPr>
          <w:rFonts w:ascii="FrankRuehl" w:hAnsi="FrankRuehl" w:cs="FrankRuehl"/>
          <w:sz w:val="28"/>
          <w:szCs w:val="28"/>
          <w:rtl/>
        </w:rPr>
        <w:t>צרכים הכרחיים של קטין מוערכים סך 1,300-1,400 ₪ לחודש</w:t>
      </w:r>
      <w:r w:rsidR="00A762D0">
        <w:rPr>
          <w:rFonts w:ascii="FrankRuehl" w:hAnsi="FrankRuehl" w:cs="FrankRuehl" w:hint="cs"/>
          <w:sz w:val="28"/>
          <w:szCs w:val="28"/>
          <w:rtl/>
        </w:rPr>
        <w:t xml:space="preserve">, לא </w:t>
      </w:r>
      <w:r>
        <w:rPr>
          <w:rFonts w:ascii="FrankRuehl" w:hAnsi="FrankRuehl" w:cs="FrankRuehl"/>
          <w:sz w:val="28"/>
          <w:szCs w:val="28"/>
          <w:rtl/>
        </w:rPr>
        <w:t xml:space="preserve">כולל הוצאות מדור. נפסק כי נוכח חלוף הזמן, נוכח תמורות שחלו, עליית מחירים, שינויי שכר, צרכים הקשורים באמצעי תקשורת ומחשוב ועוד, יש להעלות את סכום הצרכים ההכרחיים. ראו עמ"ש (ת"א) 46291-01-16 </w:t>
      </w:r>
      <w:r>
        <w:rPr>
          <w:rFonts w:ascii="FrankRuehl" w:hAnsi="FrankRuehl" w:cs="FrankRuehl"/>
          <w:b/>
          <w:bCs/>
          <w:sz w:val="28"/>
          <w:szCs w:val="28"/>
          <w:rtl/>
        </w:rPr>
        <w:t>פלונית נ' פלוני</w:t>
      </w:r>
      <w:r>
        <w:rPr>
          <w:rFonts w:ascii="FrankRuehl" w:hAnsi="FrankRuehl" w:cs="FrankRuehl"/>
          <w:sz w:val="28"/>
          <w:szCs w:val="28"/>
          <w:rtl/>
        </w:rPr>
        <w:t>, סעיף 16 לפסה"ד מיום 09/10/2017.</w:t>
      </w:r>
    </w:p>
    <w:p w:rsidR="00CD0486" w:rsidRDefault="00CD0486" w:rsidP="00CD0486">
      <w:pPr>
        <w:pStyle w:val="ae"/>
        <w:rPr>
          <w:rFonts w:ascii="FrankRuehl" w:eastAsia="Calibri" w:hAnsi="FrankRuehl" w:cs="FrankRuehl"/>
          <w:sz w:val="28"/>
          <w:szCs w:val="28"/>
          <w:rtl/>
        </w:rPr>
      </w:pPr>
    </w:p>
    <w:p w:rsidR="00CD0486" w:rsidRDefault="00CD0486" w:rsidP="00CD0486">
      <w:pPr>
        <w:pStyle w:val="ae"/>
        <w:numPr>
          <w:ilvl w:val="0"/>
          <w:numId w:val="1"/>
        </w:numPr>
        <w:spacing w:line="360" w:lineRule="auto"/>
        <w:jc w:val="both"/>
        <w:rPr>
          <w:rFonts w:ascii="FrankRuehl" w:hAnsi="FrankRuehl" w:cs="FrankRuehl"/>
          <w:sz w:val="28"/>
          <w:szCs w:val="28"/>
        </w:rPr>
      </w:pPr>
      <w:r>
        <w:rPr>
          <w:rFonts w:ascii="FrankRuehl" w:eastAsia="Calibri" w:hAnsi="FrankRuehl" w:cs="FrankRuehl"/>
          <w:sz w:val="28"/>
          <w:szCs w:val="28"/>
          <w:rtl/>
        </w:rPr>
        <w:t xml:space="preserve">נוסף על כך, יש ליישם את עקרון השוויון המגדרי, </w:t>
      </w:r>
      <w:r>
        <w:rPr>
          <w:rFonts w:ascii="FrankRuehl" w:hAnsi="FrankRuehl" w:cs="FrankRuehl"/>
          <w:sz w:val="28"/>
          <w:szCs w:val="28"/>
          <w:rtl/>
        </w:rPr>
        <w:t xml:space="preserve">יחד עם ראיית התא המשפחתי בכללותו, הכנסות ההורים, זמני השהות ושמירת רמת חיים אליה הורגלה הקטינה. בהתאמה, </w:t>
      </w:r>
      <w:r>
        <w:rPr>
          <w:rFonts w:ascii="FrankRuehl" w:hAnsi="FrankRuehl" w:cs="FrankRuehl"/>
          <w:b/>
          <w:bCs/>
          <w:sz w:val="28"/>
          <w:szCs w:val="28"/>
          <w:rtl/>
        </w:rPr>
        <w:t>יש לפרש, פרשנות מצמצמת את המושג צרכים הכרחיים וכך ליישם את עקרון השוויון המגדרי</w:t>
      </w:r>
      <w:r>
        <w:rPr>
          <w:rFonts w:ascii="FrankRuehl" w:hAnsi="FrankRuehl" w:cs="FrankRuehl"/>
          <w:sz w:val="28"/>
          <w:szCs w:val="28"/>
          <w:rtl/>
        </w:rPr>
        <w:t xml:space="preserve">; שהרי, צמצום הצרכים שיש לכלול תחת ההגדרה של "צרכים הכרחיים" ירחיב ויגדיל את הצרכים שבהם יישאו ההורים במשותף – בחלוקה לפי ההכנסות, אותם צרכים בהם נושאים ההורים מדין צדקה. ראו 44496-10-20 </w:t>
      </w:r>
      <w:r>
        <w:rPr>
          <w:rFonts w:ascii="FrankRuehl" w:hAnsi="FrankRuehl" w:cs="FrankRuehl"/>
          <w:b/>
          <w:bCs/>
          <w:sz w:val="28"/>
          <w:szCs w:val="28"/>
          <w:rtl/>
        </w:rPr>
        <w:t>א נ' ב</w:t>
      </w:r>
      <w:r>
        <w:rPr>
          <w:rFonts w:ascii="FrankRuehl" w:hAnsi="FrankRuehl" w:cs="FrankRuehl"/>
          <w:sz w:val="28"/>
          <w:szCs w:val="28"/>
          <w:rtl/>
        </w:rPr>
        <w:t xml:space="preserve"> מיום 11/08/21, השופט סילמן המפנה לסעיף 27 בעמ"ש חיפה 12752-03-19 </w:t>
      </w:r>
      <w:r>
        <w:rPr>
          <w:rFonts w:ascii="FrankRuehl" w:hAnsi="FrankRuehl" w:cs="FrankRuehl"/>
          <w:b/>
          <w:bCs/>
          <w:sz w:val="28"/>
          <w:szCs w:val="28"/>
          <w:rtl/>
        </w:rPr>
        <w:t>פלוני נ' אלמונית</w:t>
      </w:r>
      <w:r>
        <w:rPr>
          <w:rFonts w:ascii="FrankRuehl" w:hAnsi="FrankRuehl" w:cs="FrankRuehl"/>
          <w:sz w:val="28"/>
          <w:szCs w:val="28"/>
          <w:rtl/>
        </w:rPr>
        <w:t>, מיום 09/07/19. עוד נאמר שם "</w:t>
      </w:r>
      <w:r>
        <w:rPr>
          <w:rFonts w:ascii="FrankRuehl" w:hAnsi="FrankRuehl" w:cs="Miriam"/>
          <w:sz w:val="28"/>
          <w:rtl/>
        </w:rPr>
        <w:t>לעתים תחשיב המהווה חיבור של צרכים, גם אם כולם 'הכרחיים', יביא תוצאות בלתי אפשריות ויותיר החייב במזונות ללא אמצעי מחיה סבירים</w:t>
      </w:r>
      <w:r>
        <w:rPr>
          <w:rFonts w:ascii="FrankRuehl" w:hAnsi="FrankRuehl" w:cs="FrankRuehl"/>
          <w:sz w:val="28"/>
          <w:szCs w:val="28"/>
          <w:rtl/>
        </w:rPr>
        <w:t xml:space="preserve">". ראו גם תלה"מ 34699-10-20 </w:t>
      </w:r>
      <w:r>
        <w:rPr>
          <w:rFonts w:ascii="FrankRuehl" w:hAnsi="FrankRuehl" w:cs="FrankRuehl"/>
          <w:b/>
          <w:bCs/>
          <w:sz w:val="28"/>
          <w:szCs w:val="28"/>
          <w:rtl/>
        </w:rPr>
        <w:t>ס.ל. נ' ס.א</w:t>
      </w:r>
      <w:r>
        <w:rPr>
          <w:rFonts w:ascii="FrankRuehl" w:hAnsi="FrankRuehl" w:cs="FrankRuehl"/>
          <w:sz w:val="28"/>
          <w:szCs w:val="28"/>
          <w:rtl/>
        </w:rPr>
        <w:t xml:space="preserve">. מיום 30.8.22, תלה"מ 17791-01-22 </w:t>
      </w:r>
      <w:r>
        <w:rPr>
          <w:rFonts w:ascii="FrankRuehl" w:hAnsi="FrankRuehl" w:cs="FrankRuehl"/>
          <w:b/>
          <w:bCs/>
          <w:sz w:val="28"/>
          <w:szCs w:val="28"/>
          <w:rtl/>
        </w:rPr>
        <w:t>ר.כ. נ' י.כ.,</w:t>
      </w:r>
      <w:r>
        <w:rPr>
          <w:rFonts w:ascii="FrankRuehl" w:hAnsi="FrankRuehl" w:cs="FrankRuehl"/>
          <w:sz w:val="28"/>
          <w:szCs w:val="28"/>
          <w:rtl/>
        </w:rPr>
        <w:t xml:space="preserve"> מיום 11/10/2023.</w:t>
      </w:r>
    </w:p>
    <w:p w:rsidR="00CD0486" w:rsidRDefault="00CD0486" w:rsidP="00CD0486">
      <w:pPr>
        <w:pStyle w:val="ae"/>
        <w:rPr>
          <w:rFonts w:ascii="FrankRuehl" w:hAnsi="FrankRuehl" w:cs="FrankRuehl"/>
          <w:b/>
          <w:bCs/>
          <w:sz w:val="28"/>
          <w:szCs w:val="28"/>
          <w:rtl/>
        </w:rPr>
      </w:pPr>
    </w:p>
    <w:p w:rsidR="00CD0486" w:rsidRDefault="00CD0486" w:rsidP="004B5A8C">
      <w:pPr>
        <w:pStyle w:val="ae"/>
        <w:numPr>
          <w:ilvl w:val="0"/>
          <w:numId w:val="1"/>
        </w:numPr>
        <w:spacing w:line="360" w:lineRule="auto"/>
        <w:jc w:val="both"/>
        <w:rPr>
          <w:rFonts w:ascii="FrankRuehl" w:hAnsi="FrankRuehl" w:cs="FrankRuehl"/>
          <w:b/>
          <w:bCs/>
          <w:sz w:val="28"/>
          <w:szCs w:val="28"/>
        </w:rPr>
      </w:pPr>
      <w:r>
        <w:rPr>
          <w:rFonts w:ascii="FrankRuehl" w:hAnsi="FrankRuehl" w:cs="FrankRuehl"/>
          <w:b/>
          <w:bCs/>
          <w:sz w:val="28"/>
          <w:szCs w:val="28"/>
          <w:rtl/>
        </w:rPr>
        <w:t>במקרה דנן, לאחר ששקלתי טענות הצדדים ורמת החיים, אני מעריכה כי מתוך סכום הצרכים שנפסק לעיל, צרכים הכרחיים הם סך 1,3</w:t>
      </w:r>
      <w:r w:rsidR="004B5A8C">
        <w:rPr>
          <w:rFonts w:ascii="FrankRuehl" w:hAnsi="FrankRuehl" w:cs="FrankRuehl" w:hint="cs"/>
          <w:b/>
          <w:bCs/>
          <w:sz w:val="28"/>
          <w:szCs w:val="28"/>
          <w:rtl/>
        </w:rPr>
        <w:t>0</w:t>
      </w:r>
      <w:r>
        <w:rPr>
          <w:rFonts w:ascii="FrankRuehl" w:hAnsi="FrankRuehl" w:cs="FrankRuehl"/>
          <w:b/>
          <w:bCs/>
          <w:sz w:val="28"/>
          <w:szCs w:val="28"/>
          <w:rtl/>
        </w:rPr>
        <w:t>0 ש"ח לחודש כולל הוצאות אחזקת מדור, וצרכים שאינם הכרחיים סך 450 ₪ לחודש. אשר לחלוקה לאחר גיל 6 שנים, אני אומדת את צרכי הקטינה שהם תלויי שהות סך 1,</w:t>
      </w:r>
      <w:r w:rsidR="004B5A8C">
        <w:rPr>
          <w:rFonts w:ascii="FrankRuehl" w:hAnsi="FrankRuehl" w:cs="FrankRuehl" w:hint="cs"/>
          <w:b/>
          <w:bCs/>
          <w:sz w:val="28"/>
          <w:szCs w:val="28"/>
          <w:rtl/>
        </w:rPr>
        <w:t>55</w:t>
      </w:r>
      <w:r>
        <w:rPr>
          <w:rFonts w:ascii="FrankRuehl" w:hAnsi="FrankRuehl" w:cs="FrankRuehl"/>
          <w:b/>
          <w:bCs/>
          <w:sz w:val="28"/>
          <w:szCs w:val="28"/>
          <w:rtl/>
        </w:rPr>
        <w:t>0 ₪ וסך 200 ₪ שאינם תלויי שהות.</w:t>
      </w:r>
    </w:p>
    <w:p w:rsidR="00CD0486" w:rsidRDefault="00CD0486" w:rsidP="00CD0486">
      <w:pPr>
        <w:pStyle w:val="ae"/>
        <w:rPr>
          <w:rFonts w:ascii="FrankRuehl" w:hAnsi="FrankRuehl" w:cs="FrankRuehl"/>
          <w:b/>
          <w:bCs/>
          <w:sz w:val="28"/>
          <w:szCs w:val="28"/>
          <w:rtl/>
        </w:rPr>
      </w:pPr>
    </w:p>
    <w:p w:rsidR="00CD0486" w:rsidRDefault="00CD0486" w:rsidP="00CD0486">
      <w:pPr>
        <w:pStyle w:val="ae"/>
        <w:numPr>
          <w:ilvl w:val="0"/>
          <w:numId w:val="1"/>
        </w:numPr>
        <w:spacing w:line="360" w:lineRule="auto"/>
        <w:jc w:val="both"/>
        <w:rPr>
          <w:rFonts w:ascii="FrankRuehl" w:hAnsi="FrankRuehl" w:cs="FrankRuehl"/>
          <w:sz w:val="28"/>
          <w:szCs w:val="28"/>
        </w:rPr>
      </w:pPr>
      <w:r>
        <w:rPr>
          <w:rFonts w:ascii="FrankRuehl" w:hAnsi="FrankRuehl" w:cs="FrankRuehl"/>
          <w:sz w:val="28"/>
          <w:szCs w:val="28"/>
          <w:rtl/>
        </w:rPr>
        <w:t>כמפורט לעיל כעת יש לבחון מהי יכולתם הכלכלית של ההורים ובהתאמה לקבוע את חלוקת נטל תשלום צרכי הקטינה.</w:t>
      </w:r>
    </w:p>
    <w:p w:rsidR="00CD0486" w:rsidRDefault="00CD0486" w:rsidP="00A762D0">
      <w:pPr>
        <w:pStyle w:val="ae"/>
        <w:numPr>
          <w:ilvl w:val="0"/>
          <w:numId w:val="1"/>
        </w:numPr>
        <w:spacing w:line="360" w:lineRule="auto"/>
        <w:jc w:val="both"/>
        <w:rPr>
          <w:rFonts w:ascii="FrankRuehl" w:hAnsi="FrankRuehl" w:cs="FrankRuehl"/>
          <w:sz w:val="28"/>
          <w:szCs w:val="28"/>
        </w:rPr>
      </w:pPr>
      <w:r>
        <w:rPr>
          <w:rFonts w:ascii="FrankRuehl" w:hAnsi="FrankRuehl" w:cs="FrankRuehl"/>
          <w:b/>
          <w:bCs/>
          <w:sz w:val="28"/>
          <w:szCs w:val="28"/>
          <w:u w:val="single"/>
          <w:rtl/>
        </w:rPr>
        <w:t>התובעת</w:t>
      </w:r>
      <w:r w:rsidR="00A762D0">
        <w:rPr>
          <w:rFonts w:ascii="FrankRuehl" w:hAnsi="FrankRuehl" w:cs="FrankRuehl"/>
          <w:sz w:val="28"/>
          <w:szCs w:val="28"/>
          <w:rtl/>
        </w:rPr>
        <w:t xml:space="preserve"> – ב</w:t>
      </w:r>
      <w:r w:rsidR="00A762D0">
        <w:rPr>
          <w:rFonts w:ascii="FrankRuehl" w:hAnsi="FrankRuehl" w:cs="FrankRuehl" w:hint="cs"/>
          <w:sz w:val="28"/>
          <w:szCs w:val="28"/>
          <w:rtl/>
        </w:rPr>
        <w:t xml:space="preserve">תביעתה נטען כי התובעת </w:t>
      </w:r>
      <w:r w:rsidR="00A762D0">
        <w:rPr>
          <w:rFonts w:ascii="FrankRuehl" w:hAnsi="FrankRuehl" w:cs="FrankRuehl"/>
          <w:sz w:val="28"/>
          <w:szCs w:val="28"/>
          <w:rtl/>
        </w:rPr>
        <w:t>עובדת בגן ילדים</w:t>
      </w:r>
      <w:r w:rsidR="00A762D0">
        <w:rPr>
          <w:rFonts w:ascii="FrankRuehl" w:hAnsi="FrankRuehl" w:cs="FrankRuehl" w:hint="cs"/>
          <w:sz w:val="28"/>
          <w:szCs w:val="28"/>
          <w:rtl/>
        </w:rPr>
        <w:t>, מש</w:t>
      </w:r>
      <w:r>
        <w:rPr>
          <w:rFonts w:ascii="FrankRuehl" w:hAnsi="FrankRuehl" w:cs="FrankRuehl"/>
          <w:sz w:val="28"/>
          <w:szCs w:val="28"/>
          <w:rtl/>
        </w:rPr>
        <w:t>תכרת סך 2,000 ₪ לחודש וגם מקבלת הבטחת הכנסה מביטוח לאומי סך 3,100 לחודש ₪ (צורף אישור לשנים 2022 ולחודשים 1-2/23 ). עוד מקבלת התובעת קצבת ילדים סך 130 ₪ לחודש. לפי תלושי שכרה לחודשים 1/23-2/23 היה שכרהּ סך 1,000 ₪ נטו, בהמשך, ככול הנראה לאחר לידת אחות לקטינה, טענה התובעת כי היא אינה עובדת, כי הכנסתהּ היא קִצבת ילדים סך 319 ₪ וחבה סך 15,000 ₪ למוסד לביטוח לאומי בגין קצבת הבטחת הכנסה שניתנה לה שלא כדין. בהמשך טענה התובעת (הודעה מיום 07/11/23) כי הפסיקה לעבוד כשכירה והחלה לעסוק, כעוסק פטור, במניקור ותסרוקות (פן). בדפי החשבון שצרפה פורטו תשלומים באמצעות יישומון.</w:t>
      </w:r>
    </w:p>
    <w:p w:rsidR="00CD0486" w:rsidRDefault="00CD0486" w:rsidP="00CD0486">
      <w:pPr>
        <w:pStyle w:val="ae"/>
        <w:rPr>
          <w:rFonts w:ascii="FrankRuehl" w:hAnsi="FrankRuehl" w:cs="FrankRuehl"/>
          <w:sz w:val="28"/>
          <w:szCs w:val="28"/>
          <w:rtl/>
        </w:rPr>
      </w:pPr>
    </w:p>
    <w:p w:rsidR="00CD0486" w:rsidRDefault="00CD0486" w:rsidP="00C64A13">
      <w:pPr>
        <w:pStyle w:val="ae"/>
        <w:spacing w:line="360" w:lineRule="auto"/>
        <w:ind w:left="360"/>
        <w:jc w:val="both"/>
        <w:rPr>
          <w:rFonts w:ascii="FrankRuehl" w:hAnsi="FrankRuehl" w:cs="FrankRuehl"/>
          <w:sz w:val="28"/>
          <w:szCs w:val="28"/>
        </w:rPr>
      </w:pPr>
      <w:r>
        <w:rPr>
          <w:rFonts w:ascii="FrankRuehl" w:hAnsi="FrankRuehl" w:cs="FrankRuehl"/>
          <w:sz w:val="28"/>
          <w:szCs w:val="28"/>
          <w:rtl/>
        </w:rPr>
        <w:t xml:space="preserve">בעדותה, העידה התובעת כי החלה לעבוד בסופרמרקט בשעות הבוקר (מהשעה 08:00-14:00) ולאחר מכן בצהרון, למשך 3 שעות. התובעת העידה כי מעבודתה בסופרמרקט היא משתכרת סך 30 ₪ לשעה ומעבודתה בצהרון סך 50 ₪ לשעה. ראו עמוד 10 החל משורה 33 ואילך וגם עמוד 15 שורות 24-25. על פי עדותה, שכרה הכולל, ללא עבודה בימי שני, הוא סך 6,500 ₪ נטו לחודש. התובעת העידה </w:t>
      </w:r>
      <w:r>
        <w:rPr>
          <w:rFonts w:ascii="FrankRuehl" w:hAnsi="FrankRuehl" w:cs="FrankRuehl"/>
          <w:sz w:val="28"/>
          <w:szCs w:val="28"/>
          <w:rtl/>
        </w:rPr>
        <w:lastRenderedPageBreak/>
        <w:t>כי היא נאלצה להיעדר מעבודתה בשל מחלת אחות הקטינה ועל כן שכר המקסימלי שהרוויחה היה סך 3,500 ₪ נטו לחודש  - אך בהמשך התברר כי עדותה זו התייחסה לשבועיים עבודה ולא לחודש מלא. ראו עמוד 15 שורה 26 ואילך. בנוגע לעיסוקה במניקור ותסרוקות, העידה כי</w:t>
      </w:r>
      <w:r w:rsidR="00C64A13">
        <w:rPr>
          <w:rFonts w:ascii="FrankRuehl" w:hAnsi="FrankRuehl" w:cs="FrankRuehl" w:hint="cs"/>
          <w:sz w:val="28"/>
          <w:szCs w:val="28"/>
          <w:rtl/>
        </w:rPr>
        <w:t xml:space="preserve"> הפסיקה עיסוקה זה.</w:t>
      </w:r>
      <w:r>
        <w:rPr>
          <w:rFonts w:ascii="FrankRuehl" w:hAnsi="FrankRuehl" w:cs="FrankRuehl"/>
          <w:sz w:val="28"/>
          <w:szCs w:val="28"/>
          <w:rtl/>
        </w:rPr>
        <w:t xml:space="preserve"> ראו עמוד 16 שורות 17-23.</w:t>
      </w:r>
    </w:p>
    <w:p w:rsidR="00CD0486" w:rsidRDefault="00CD0486" w:rsidP="00CD0486">
      <w:pPr>
        <w:pStyle w:val="ae"/>
        <w:rPr>
          <w:rFonts w:ascii="FrankRuehl" w:hAnsi="FrankRuehl" w:cs="FrankRuehl"/>
          <w:sz w:val="28"/>
          <w:szCs w:val="28"/>
          <w:rtl/>
        </w:rPr>
      </w:pPr>
    </w:p>
    <w:p w:rsidR="00CD0486" w:rsidRDefault="001F60E3" w:rsidP="001F60E3">
      <w:pPr>
        <w:pStyle w:val="ae"/>
        <w:spacing w:line="360" w:lineRule="auto"/>
        <w:ind w:left="360"/>
        <w:jc w:val="both"/>
        <w:rPr>
          <w:rFonts w:ascii="FrankRuehl" w:hAnsi="FrankRuehl" w:cs="FrankRuehl"/>
          <w:sz w:val="28"/>
          <w:szCs w:val="28"/>
        </w:rPr>
      </w:pPr>
      <w:r>
        <w:rPr>
          <w:rFonts w:ascii="FrankRuehl" w:hAnsi="FrankRuehl" w:cs="FrankRuehl"/>
          <w:sz w:val="28"/>
          <w:szCs w:val="28"/>
          <w:rtl/>
        </w:rPr>
        <w:t>אלא ש</w:t>
      </w:r>
      <w:r>
        <w:rPr>
          <w:rFonts w:ascii="FrankRuehl" w:hAnsi="FrankRuehl" w:cs="FrankRuehl" w:hint="cs"/>
          <w:sz w:val="28"/>
          <w:szCs w:val="28"/>
          <w:rtl/>
        </w:rPr>
        <w:t>מ</w:t>
      </w:r>
      <w:r w:rsidR="00CD0486">
        <w:rPr>
          <w:rFonts w:ascii="FrankRuehl" w:hAnsi="FrankRuehl" w:cs="FrankRuehl"/>
          <w:sz w:val="28"/>
          <w:szCs w:val="28"/>
          <w:rtl/>
        </w:rPr>
        <w:t>עדותה התברר כי לחשבו</w:t>
      </w:r>
      <w:r>
        <w:rPr>
          <w:rFonts w:ascii="FrankRuehl" w:hAnsi="FrankRuehl" w:cs="FrankRuehl" w:hint="cs"/>
          <w:sz w:val="28"/>
          <w:szCs w:val="28"/>
          <w:rtl/>
        </w:rPr>
        <w:t xml:space="preserve">נה </w:t>
      </w:r>
      <w:r w:rsidR="00CD0486">
        <w:rPr>
          <w:rFonts w:ascii="FrankRuehl" w:hAnsi="FrankRuehl" w:cs="FrankRuehl"/>
          <w:sz w:val="28"/>
          <w:szCs w:val="28"/>
          <w:rtl/>
        </w:rPr>
        <w:t xml:space="preserve">הופקדו סכומים </w:t>
      </w:r>
      <w:r>
        <w:rPr>
          <w:rFonts w:ascii="FrankRuehl" w:hAnsi="FrankRuehl" w:cs="FrankRuehl" w:hint="cs"/>
          <w:sz w:val="28"/>
          <w:szCs w:val="28"/>
          <w:rtl/>
        </w:rPr>
        <w:t xml:space="preserve">גבוהים, </w:t>
      </w:r>
      <w:r w:rsidR="00CD0486">
        <w:rPr>
          <w:rFonts w:ascii="FrankRuehl" w:hAnsi="FrankRuehl" w:cs="FrankRuehl"/>
          <w:sz w:val="28"/>
          <w:szCs w:val="28"/>
          <w:rtl/>
        </w:rPr>
        <w:t>אלפי שקלים</w:t>
      </w:r>
      <w:r>
        <w:rPr>
          <w:rFonts w:ascii="FrankRuehl" w:hAnsi="FrankRuehl" w:cs="FrankRuehl" w:hint="cs"/>
          <w:sz w:val="28"/>
          <w:szCs w:val="28"/>
          <w:rtl/>
        </w:rPr>
        <w:t xml:space="preserve"> ללא הסבר</w:t>
      </w:r>
      <w:r w:rsidR="00CD0486">
        <w:rPr>
          <w:rFonts w:ascii="FrankRuehl" w:hAnsi="FrankRuehl" w:cs="FrankRuehl"/>
          <w:sz w:val="28"/>
          <w:szCs w:val="28"/>
          <w:rtl/>
        </w:rPr>
        <w:t>. התובעת טענה כי הסכומים הם מתנות שקיב</w:t>
      </w:r>
      <w:r>
        <w:rPr>
          <w:rFonts w:ascii="FrankRuehl" w:hAnsi="FrankRuehl" w:cs="FrankRuehl"/>
          <w:sz w:val="28"/>
          <w:szCs w:val="28"/>
          <w:rtl/>
        </w:rPr>
        <w:t xml:space="preserve">לו היא ובעלה </w:t>
      </w:r>
      <w:r>
        <w:rPr>
          <w:rFonts w:ascii="FrankRuehl" w:hAnsi="FrankRuehl" w:cs="FrankRuehl" w:hint="cs"/>
          <w:sz w:val="28"/>
          <w:szCs w:val="28"/>
          <w:rtl/>
        </w:rPr>
        <w:t>ל</w:t>
      </w:r>
      <w:r w:rsidR="00CD0486">
        <w:rPr>
          <w:rFonts w:ascii="FrankRuehl" w:hAnsi="FrankRuehl" w:cs="FrankRuehl"/>
          <w:sz w:val="28"/>
          <w:szCs w:val="28"/>
          <w:rtl/>
        </w:rPr>
        <w:t>בריתה שערכו לאחות הקטינה</w:t>
      </w:r>
      <w:r>
        <w:rPr>
          <w:rFonts w:ascii="FrankRuehl" w:hAnsi="FrankRuehl" w:cs="FrankRuehl" w:hint="cs"/>
          <w:sz w:val="28"/>
          <w:szCs w:val="28"/>
          <w:rtl/>
        </w:rPr>
        <w:t xml:space="preserve"> וגם </w:t>
      </w:r>
      <w:r w:rsidR="00CD0486">
        <w:rPr>
          <w:rFonts w:ascii="FrankRuehl" w:hAnsi="FrankRuehl" w:cs="FrankRuehl"/>
          <w:sz w:val="28"/>
          <w:szCs w:val="28"/>
          <w:rtl/>
        </w:rPr>
        <w:t xml:space="preserve">במתנה </w:t>
      </w:r>
      <w:r>
        <w:rPr>
          <w:rFonts w:ascii="FrankRuehl" w:hAnsi="FrankRuehl" w:cs="FrankRuehl" w:hint="cs"/>
          <w:sz w:val="28"/>
          <w:szCs w:val="28"/>
          <w:rtl/>
        </w:rPr>
        <w:t xml:space="preserve">שקיבלו </w:t>
      </w:r>
      <w:r w:rsidR="00CD0486">
        <w:rPr>
          <w:rFonts w:ascii="FrankRuehl" w:hAnsi="FrankRuehl" w:cs="FrankRuehl"/>
          <w:sz w:val="28"/>
          <w:szCs w:val="28"/>
          <w:rtl/>
        </w:rPr>
        <w:t>מאביה לחתונתה ו</w:t>
      </w:r>
      <w:r>
        <w:rPr>
          <w:rFonts w:ascii="FrankRuehl" w:hAnsi="FrankRuehl" w:cs="FrankRuehl" w:hint="cs"/>
          <w:sz w:val="28"/>
          <w:szCs w:val="28"/>
          <w:rtl/>
        </w:rPr>
        <w:t>ל</w:t>
      </w:r>
      <w:r w:rsidR="00CD0486">
        <w:rPr>
          <w:rFonts w:ascii="FrankRuehl" w:hAnsi="FrankRuehl" w:cs="FrankRuehl"/>
          <w:sz w:val="28"/>
          <w:szCs w:val="28"/>
          <w:rtl/>
        </w:rPr>
        <w:t>לידה. ראו עמוד 19 שורות 20-26 ועמוד עמוד 13 שורות 23-26. עוד העידה כי היא מקבלת סיוע כלכלי מחמתה. ראו עמוד 19 שורות 34-35.</w:t>
      </w:r>
    </w:p>
    <w:p w:rsidR="00CD0486" w:rsidRPr="001F60E3" w:rsidRDefault="00CD0486" w:rsidP="00CD0486">
      <w:pPr>
        <w:pStyle w:val="ae"/>
        <w:spacing w:line="360" w:lineRule="auto"/>
        <w:ind w:left="360"/>
        <w:jc w:val="both"/>
        <w:rPr>
          <w:rFonts w:ascii="FrankRuehl" w:hAnsi="FrankRuehl" w:cs="FrankRuehl"/>
          <w:sz w:val="28"/>
          <w:szCs w:val="28"/>
          <w:rtl/>
        </w:rPr>
      </w:pPr>
    </w:p>
    <w:p w:rsidR="00A762D0" w:rsidRDefault="00CD0486" w:rsidP="00CD0486">
      <w:pPr>
        <w:pStyle w:val="ae"/>
        <w:numPr>
          <w:ilvl w:val="0"/>
          <w:numId w:val="1"/>
        </w:numPr>
        <w:spacing w:line="360" w:lineRule="auto"/>
        <w:jc w:val="both"/>
        <w:rPr>
          <w:rFonts w:ascii="FrankRuehl" w:hAnsi="FrankRuehl" w:cs="FrankRuehl"/>
          <w:sz w:val="28"/>
          <w:szCs w:val="28"/>
        </w:rPr>
      </w:pPr>
      <w:r>
        <w:rPr>
          <w:rFonts w:ascii="FrankRuehl" w:hAnsi="FrankRuehl" w:cs="FrankRuehl"/>
          <w:b/>
          <w:bCs/>
          <w:sz w:val="28"/>
          <w:szCs w:val="28"/>
          <w:u w:val="single"/>
          <w:rtl/>
        </w:rPr>
        <w:t>לא נתתי אמון בעדותה של התובעת</w:t>
      </w:r>
      <w:r>
        <w:rPr>
          <w:rFonts w:ascii="FrankRuehl" w:hAnsi="FrankRuehl" w:cs="FrankRuehl"/>
          <w:sz w:val="28"/>
          <w:szCs w:val="28"/>
          <w:rtl/>
        </w:rPr>
        <w:t xml:space="preserve">. היא לא הותירה רושם מהימן לא באופן מתן העדות ולא באופן הצגת מידע חלקי ולא מלא בתשובותיה. יתר על כן, עדותה נסתרה מחלקם של המסמכים שהוגשו – כך למשל הסבירה כי העברות לחשבונה הן מתנות מאירוע הבריתה שהעביר בעלה, אינן עולות בקנה אחד עם העובדה בחשבון הבנק העברות שקודמות לאירוע, בהינתן שהתובעת ילדה ביום 16/07/2023, הרי שהעברות לחשבונה, שקודמות למועד הלידה, אינן מתנות מאירוע הבריתה. </w:t>
      </w:r>
    </w:p>
    <w:p w:rsidR="00CD0486" w:rsidRDefault="00CD0486" w:rsidP="00A762D0">
      <w:pPr>
        <w:pStyle w:val="ae"/>
        <w:spacing w:line="360" w:lineRule="auto"/>
        <w:ind w:left="360"/>
        <w:jc w:val="both"/>
        <w:rPr>
          <w:rFonts w:ascii="FrankRuehl" w:hAnsi="FrankRuehl" w:cs="FrankRuehl"/>
          <w:sz w:val="28"/>
          <w:szCs w:val="28"/>
          <w:rtl/>
        </w:rPr>
      </w:pPr>
      <w:r>
        <w:rPr>
          <w:rFonts w:ascii="FrankRuehl" w:hAnsi="FrankRuehl" w:cs="FrankRuehl"/>
          <w:sz w:val="28"/>
          <w:szCs w:val="28"/>
          <w:rtl/>
        </w:rPr>
        <w:t>כאשר עומתה התובעת עם הסתירה הנ"ל, השיבה בתשובה מתחמקת. ראו עמוד 22 שורות 1-6, שם השיבה :"</w:t>
      </w:r>
      <w:r>
        <w:rPr>
          <w:rFonts w:ascii="FrankRuehl" w:hAnsi="FrankRuehl" w:cs="Miriam"/>
          <w:sz w:val="28"/>
          <w:rtl/>
        </w:rPr>
        <w:t>לא זוכרת. אם אני אכנס עכשיו לאפליקציה ואני אראה על מה היו ההעברות..</w:t>
      </w:r>
      <w:r>
        <w:rPr>
          <w:rFonts w:ascii="FrankRuehl" w:hAnsi="FrankRuehl" w:cs="FrankRuehl"/>
          <w:sz w:val="28"/>
          <w:szCs w:val="28"/>
          <w:rtl/>
        </w:rPr>
        <w:t>". כך גם בניגוד לעדותה כי העברות אחרות הן סיוע כלכלי מחמתה, בעדותהּ בעמוד 20 שורות 2-3 העידה כי אינה מקבלת סיוע מחמתהּ.</w:t>
      </w:r>
    </w:p>
    <w:p w:rsidR="00CD0486" w:rsidRDefault="00CD0486" w:rsidP="00CD0486">
      <w:pPr>
        <w:pStyle w:val="ae"/>
        <w:spacing w:line="360" w:lineRule="auto"/>
        <w:ind w:left="360"/>
        <w:jc w:val="both"/>
        <w:rPr>
          <w:rFonts w:ascii="FrankRuehl" w:hAnsi="FrankRuehl" w:cs="FrankRuehl"/>
          <w:sz w:val="28"/>
          <w:szCs w:val="28"/>
        </w:rPr>
      </w:pPr>
    </w:p>
    <w:p w:rsidR="00CD0486" w:rsidRDefault="00CD0486" w:rsidP="00CD0486">
      <w:pPr>
        <w:pStyle w:val="ae"/>
        <w:spacing w:line="360" w:lineRule="auto"/>
        <w:ind w:left="360"/>
        <w:jc w:val="both"/>
        <w:rPr>
          <w:rFonts w:ascii="FrankRuehl" w:hAnsi="FrankRuehl" w:cs="FrankRuehl"/>
          <w:sz w:val="28"/>
          <w:szCs w:val="28"/>
        </w:rPr>
      </w:pPr>
      <w:r>
        <w:rPr>
          <w:rFonts w:ascii="FrankRuehl" w:hAnsi="FrankRuehl" w:cs="FrankRuehl"/>
          <w:sz w:val="28"/>
          <w:szCs w:val="28"/>
          <w:rtl/>
        </w:rPr>
        <w:lastRenderedPageBreak/>
        <w:t>התובעת לא הביאה לעדות את בעלה, אביה או חמ</w:t>
      </w:r>
      <w:r w:rsidR="000355EF">
        <w:rPr>
          <w:rFonts w:ascii="FrankRuehl" w:hAnsi="FrankRuehl" w:cs="FrankRuehl" w:hint="cs"/>
          <w:sz w:val="28"/>
          <w:szCs w:val="28"/>
          <w:rtl/>
        </w:rPr>
        <w:t>ו</w:t>
      </w:r>
      <w:r>
        <w:rPr>
          <w:rFonts w:ascii="FrankRuehl" w:hAnsi="FrankRuehl" w:cs="FrankRuehl"/>
          <w:sz w:val="28"/>
          <w:szCs w:val="28"/>
          <w:rtl/>
        </w:rPr>
        <w:t>תה לאימות טענותיה כי העברות לחשבונה הם מתנות אירוע החתונה, הבריתה, או סיוע כלכלי.</w:t>
      </w:r>
    </w:p>
    <w:p w:rsidR="00CD0486" w:rsidRDefault="00CD0486" w:rsidP="00CD0486">
      <w:pPr>
        <w:pStyle w:val="ae"/>
        <w:spacing w:line="360" w:lineRule="auto"/>
        <w:ind w:left="360"/>
        <w:jc w:val="both"/>
        <w:rPr>
          <w:rFonts w:ascii="FrankRuehl" w:hAnsi="FrankRuehl" w:cs="FrankRuehl"/>
          <w:sz w:val="28"/>
          <w:szCs w:val="28"/>
          <w:rtl/>
        </w:rPr>
      </w:pPr>
    </w:p>
    <w:p w:rsidR="00CD0486" w:rsidRDefault="00CD0486" w:rsidP="00CD0486">
      <w:pPr>
        <w:pStyle w:val="ae"/>
        <w:spacing w:line="360" w:lineRule="auto"/>
        <w:ind w:left="360"/>
        <w:jc w:val="both"/>
        <w:rPr>
          <w:rFonts w:ascii="FrankRuehl" w:hAnsi="FrankRuehl" w:cs="FrankRuehl"/>
          <w:sz w:val="28"/>
          <w:szCs w:val="28"/>
          <w:rtl/>
        </w:rPr>
      </w:pPr>
      <w:r>
        <w:rPr>
          <w:rFonts w:ascii="FrankRuehl" w:hAnsi="FrankRuehl" w:cs="FrankRuehl"/>
          <w:sz w:val="28"/>
          <w:szCs w:val="28"/>
          <w:rtl/>
        </w:rPr>
        <w:t xml:space="preserve">הלכה פסוקה היא כי כאשר </w:t>
      </w:r>
      <w:r>
        <w:rPr>
          <w:rFonts w:ascii="FrankRuehl" w:eastAsia="Calibri" w:hAnsi="FrankRuehl" w:cs="FrankRuehl"/>
          <w:sz w:val="28"/>
          <w:szCs w:val="28"/>
          <w:rtl/>
        </w:rPr>
        <w:t xml:space="preserve">הלכה פסוקה היא כי כאשר בעל דין נמנע מלהציג ראיה או להביא עד, יש להניח כי המדובר בראיה או עדות הפועלת לרעתו ותשמש כנגדו. ראו ע"א 465/88 </w:t>
      </w:r>
      <w:r>
        <w:rPr>
          <w:rFonts w:ascii="FrankRuehl" w:eastAsia="Calibri" w:hAnsi="FrankRuehl" w:cs="FrankRuehl"/>
          <w:b/>
          <w:bCs/>
          <w:sz w:val="28"/>
          <w:szCs w:val="28"/>
          <w:rtl/>
        </w:rPr>
        <w:t>הבנק למימון מסחר בע"מ נ' סלימה מתתיהו ואח'</w:t>
      </w:r>
      <w:r>
        <w:rPr>
          <w:rFonts w:ascii="FrankRuehl" w:eastAsia="Calibri" w:hAnsi="FrankRuehl" w:cs="FrankRuehl"/>
          <w:sz w:val="28"/>
          <w:szCs w:val="28"/>
          <w:rtl/>
        </w:rPr>
        <w:t xml:space="preserve">, פד"י מ"ה (4) 651, ע"א 795/99 </w:t>
      </w:r>
      <w:r>
        <w:rPr>
          <w:rFonts w:ascii="FrankRuehl" w:eastAsia="Calibri" w:hAnsi="FrankRuehl" w:cs="FrankRuehl"/>
          <w:b/>
          <w:bCs/>
          <w:sz w:val="28"/>
          <w:szCs w:val="28"/>
          <w:rtl/>
        </w:rPr>
        <w:t>פרנסואה נ' פוזיל</w:t>
      </w:r>
      <w:r>
        <w:rPr>
          <w:rFonts w:ascii="FrankRuehl" w:eastAsia="Calibri" w:hAnsi="FrankRuehl" w:cs="FrankRuehl"/>
          <w:sz w:val="28"/>
          <w:szCs w:val="28"/>
          <w:rtl/>
        </w:rPr>
        <w:t xml:space="preserve"> פד"י נ"ד (3) 107. הכלל חל, על אחת כמה וכמה, כשמדובר בראיות או בעדות שהן בשליטת בעל דין – כבמקרה דנן</w:t>
      </w:r>
      <w:r>
        <w:rPr>
          <w:rFonts w:ascii="FrankRuehl" w:hAnsi="FrankRuehl" w:cs="FrankRuehl"/>
          <w:sz w:val="28"/>
          <w:szCs w:val="28"/>
          <w:rtl/>
        </w:rPr>
        <w:t>.</w:t>
      </w:r>
    </w:p>
    <w:p w:rsidR="00CD0486" w:rsidRDefault="00CD0486" w:rsidP="00CD0486">
      <w:pPr>
        <w:pStyle w:val="ae"/>
        <w:rPr>
          <w:rFonts w:ascii="FrankRuehl" w:hAnsi="FrankRuehl" w:cs="FrankRuehl"/>
          <w:b/>
          <w:bCs/>
          <w:sz w:val="28"/>
          <w:szCs w:val="28"/>
          <w:rtl/>
        </w:rPr>
      </w:pPr>
    </w:p>
    <w:p w:rsidR="00CD0486" w:rsidRDefault="00CD0486" w:rsidP="00CD0486">
      <w:pPr>
        <w:pStyle w:val="ae"/>
        <w:spacing w:line="360" w:lineRule="auto"/>
        <w:ind w:left="360"/>
        <w:jc w:val="both"/>
        <w:rPr>
          <w:rFonts w:ascii="FrankRuehl" w:hAnsi="FrankRuehl" w:cs="FrankRuehl"/>
          <w:sz w:val="28"/>
          <w:szCs w:val="28"/>
          <w:rtl/>
        </w:rPr>
      </w:pPr>
      <w:r>
        <w:rPr>
          <w:rFonts w:ascii="FrankRuehl" w:hAnsi="FrankRuehl" w:cs="FrankRuehl"/>
          <w:sz w:val="28"/>
          <w:szCs w:val="28"/>
          <w:rtl/>
        </w:rPr>
        <w:t xml:space="preserve">נוסף על כך יש להביא בחשבון גם את </w:t>
      </w:r>
      <w:r>
        <w:rPr>
          <w:rFonts w:ascii="FrankRuehl" w:hAnsi="FrankRuehl" w:cs="FrankRuehl"/>
          <w:b/>
          <w:bCs/>
          <w:sz w:val="28"/>
          <w:szCs w:val="28"/>
          <w:u w:val="single"/>
          <w:rtl/>
        </w:rPr>
        <w:t>הכנסת בעלה של התובעת</w:t>
      </w:r>
      <w:r>
        <w:rPr>
          <w:rFonts w:ascii="FrankRuehl" w:hAnsi="FrankRuehl" w:cs="FrankRuehl"/>
          <w:sz w:val="28"/>
          <w:szCs w:val="28"/>
          <w:rtl/>
        </w:rPr>
        <w:t xml:space="preserve"> שהרי, כאשר הורה מקים תא משפחתי חדש, הרי שלעניין המזונות יש לבחון גם את הכנסות בן הזוג החדש והתא המשפחתי החדש בכללותו. ראו </w:t>
      </w:r>
      <w:r w:rsidRPr="00D97291">
        <w:rPr>
          <w:rFonts w:ascii="FrankRuehl" w:hAnsi="FrankRuehl" w:cs="FrankRuehl"/>
          <w:sz w:val="28"/>
          <w:szCs w:val="28"/>
          <w:rtl/>
        </w:rPr>
        <w:t>עמ"ש 17590-01-20</w:t>
      </w:r>
      <w:r>
        <w:rPr>
          <w:rFonts w:ascii="FrankRuehl" w:hAnsi="FrankRuehl" w:cs="FrankRuehl"/>
          <w:sz w:val="28"/>
          <w:szCs w:val="28"/>
          <w:rtl/>
        </w:rPr>
        <w:t xml:space="preserve"> </w:t>
      </w:r>
      <w:r>
        <w:rPr>
          <w:rFonts w:ascii="FrankRuehl" w:hAnsi="FrankRuehl" w:cs="FrankRuehl" w:hint="cs"/>
          <w:b/>
          <w:bCs/>
          <w:sz w:val="28"/>
          <w:szCs w:val="28"/>
          <w:rtl/>
        </w:rPr>
        <w:t>ר' נ' ר'</w:t>
      </w:r>
      <w:r>
        <w:rPr>
          <w:rFonts w:ascii="FrankRuehl" w:hAnsi="FrankRuehl" w:cs="FrankRuehl" w:hint="cs"/>
          <w:sz w:val="28"/>
          <w:szCs w:val="28"/>
          <w:rtl/>
        </w:rPr>
        <w:t xml:space="preserve"> מיום 03/12/2020; </w:t>
      </w:r>
      <w:r w:rsidRPr="00D97291">
        <w:rPr>
          <w:rFonts w:ascii="FrankRuehl" w:hAnsi="FrankRuehl" w:cs="FrankRuehl"/>
          <w:sz w:val="28"/>
          <w:szCs w:val="28"/>
          <w:rtl/>
        </w:rPr>
        <w:t>תמ"ש 8879-12-15</w:t>
      </w:r>
      <w:r>
        <w:rPr>
          <w:rFonts w:ascii="FrankRuehl" w:hAnsi="FrankRuehl" w:cs="FrankRuehl"/>
          <w:sz w:val="28"/>
          <w:szCs w:val="28"/>
          <w:rtl/>
        </w:rPr>
        <w:t xml:space="preserve"> </w:t>
      </w:r>
      <w:r>
        <w:rPr>
          <w:rFonts w:ascii="FrankRuehl" w:hAnsi="FrankRuehl" w:cs="FrankRuehl" w:hint="cs"/>
          <w:b/>
          <w:bCs/>
          <w:sz w:val="28"/>
          <w:szCs w:val="28"/>
          <w:rtl/>
        </w:rPr>
        <w:t>י.ר. נ'  ד.ר.</w:t>
      </w:r>
      <w:r>
        <w:rPr>
          <w:rFonts w:ascii="FrankRuehl" w:hAnsi="FrankRuehl" w:cs="FrankRuehl" w:hint="cs"/>
          <w:sz w:val="28"/>
          <w:szCs w:val="28"/>
          <w:rtl/>
        </w:rPr>
        <w:t xml:space="preserve"> מיום 14.2.2016; </w:t>
      </w:r>
      <w:r w:rsidRPr="00D97291">
        <w:rPr>
          <w:rFonts w:ascii="FrankRuehl" w:hAnsi="FrankRuehl" w:cs="FrankRuehl"/>
          <w:sz w:val="28"/>
          <w:szCs w:val="28"/>
          <w:rtl/>
        </w:rPr>
        <w:t>תמ"ש (ת"א) 71263/98</w:t>
      </w:r>
      <w:r>
        <w:rPr>
          <w:rFonts w:ascii="FrankRuehl" w:hAnsi="FrankRuehl" w:cs="FrankRuehl"/>
          <w:sz w:val="28"/>
          <w:szCs w:val="28"/>
          <w:rtl/>
        </w:rPr>
        <w:t xml:space="preserve"> </w:t>
      </w:r>
      <w:r>
        <w:rPr>
          <w:rFonts w:ascii="FrankRuehl" w:hAnsi="FrankRuehl" w:cs="FrankRuehl" w:hint="cs"/>
          <w:b/>
          <w:bCs/>
          <w:sz w:val="28"/>
          <w:szCs w:val="28"/>
          <w:rtl/>
        </w:rPr>
        <w:t xml:space="preserve">ז.ש. נ' ז.ש. </w:t>
      </w:r>
      <w:r>
        <w:rPr>
          <w:rFonts w:ascii="FrankRuehl" w:hAnsi="FrankRuehl" w:cs="FrankRuehl" w:hint="cs"/>
          <w:sz w:val="28"/>
          <w:szCs w:val="28"/>
          <w:rtl/>
        </w:rPr>
        <w:t>מיום</w:t>
      </w:r>
      <w:r>
        <w:rPr>
          <w:rFonts w:ascii="FrankRuehl" w:hAnsi="FrankRuehl" w:cs="FrankRuehl" w:hint="cs"/>
          <w:b/>
          <w:bCs/>
          <w:sz w:val="28"/>
          <w:szCs w:val="28"/>
          <w:rtl/>
        </w:rPr>
        <w:t xml:space="preserve"> </w:t>
      </w:r>
      <w:r>
        <w:rPr>
          <w:rFonts w:ascii="FrankRuehl" w:hAnsi="FrankRuehl" w:cs="FrankRuehl" w:hint="cs"/>
          <w:sz w:val="28"/>
          <w:szCs w:val="28"/>
          <w:rtl/>
        </w:rPr>
        <w:t xml:space="preserve"> 29/12/2003. התובעת לא צרפה את תלושי שכרו של בעלה אשר כאמור לא הובאה לעדות מטעמה. בעדותה העידה התובעת כי בעלה עובד כנהג משאית ומשתכר סך 9,500 ₪ נטו לחודש. ראו עמוד 25 שורות 27-33. הנתבע לא חלק ולא הכחיש עדות זו.</w:t>
      </w:r>
    </w:p>
    <w:p w:rsidR="00CD0486" w:rsidRDefault="00CD0486" w:rsidP="00CD0486">
      <w:pPr>
        <w:pStyle w:val="ae"/>
        <w:rPr>
          <w:rFonts w:ascii="FrankRuehl" w:hAnsi="FrankRuehl" w:cs="FrankRuehl"/>
          <w:b/>
          <w:bCs/>
          <w:sz w:val="28"/>
          <w:szCs w:val="28"/>
          <w:rtl/>
        </w:rPr>
      </w:pPr>
    </w:p>
    <w:p w:rsidR="00CD0486" w:rsidRDefault="00CD0486" w:rsidP="00CD0486">
      <w:pPr>
        <w:pStyle w:val="ae"/>
        <w:spacing w:line="360" w:lineRule="auto"/>
        <w:ind w:left="360"/>
        <w:jc w:val="both"/>
        <w:rPr>
          <w:rFonts w:ascii="FrankRuehl" w:hAnsi="FrankRuehl" w:cs="FrankRuehl"/>
          <w:sz w:val="28"/>
          <w:szCs w:val="28"/>
        </w:rPr>
      </w:pPr>
      <w:r>
        <w:rPr>
          <w:rFonts w:ascii="FrankRuehl" w:hAnsi="FrankRuehl" w:cs="FrankRuehl"/>
          <w:sz w:val="28"/>
          <w:szCs w:val="28"/>
          <w:rtl/>
        </w:rPr>
        <w:t xml:space="preserve">עוד יש להביא בחשבון כי התובעת זכאית </w:t>
      </w:r>
      <w:r>
        <w:rPr>
          <w:rFonts w:ascii="FrankRuehl" w:hAnsi="FrankRuehl" w:cs="FrankRuehl"/>
          <w:b/>
          <w:bCs/>
          <w:sz w:val="28"/>
          <w:szCs w:val="28"/>
          <w:u w:val="single"/>
          <w:rtl/>
        </w:rPr>
        <w:t>לקֵצבת ילדים</w:t>
      </w:r>
      <w:r>
        <w:rPr>
          <w:rFonts w:ascii="FrankRuehl" w:hAnsi="FrankRuehl" w:cs="FrankRuehl"/>
          <w:sz w:val="28"/>
          <w:szCs w:val="28"/>
          <w:rtl/>
        </w:rPr>
        <w:t xml:space="preserve"> חודשית מהמוסד לביטוח לאומי. טענתה כי היא אינה מקבלת קצבת ילדים בשל חוב שיש לה לביטוח לאומי אינה מבטלת תוספת זו, שהרי הקצבה משולמת על דרך קיזוז חובה לביטוח לאומי. ראו עמוד 45 שורות 6-20.</w:t>
      </w:r>
    </w:p>
    <w:p w:rsidR="00CD0486" w:rsidRDefault="00CD0486" w:rsidP="00CD0486">
      <w:pPr>
        <w:pStyle w:val="ae"/>
        <w:spacing w:line="360" w:lineRule="auto"/>
        <w:ind w:left="360"/>
        <w:jc w:val="both"/>
        <w:rPr>
          <w:rFonts w:ascii="FrankRuehl" w:hAnsi="FrankRuehl" w:cs="FrankRuehl"/>
          <w:sz w:val="28"/>
          <w:szCs w:val="28"/>
          <w:rtl/>
        </w:rPr>
      </w:pPr>
    </w:p>
    <w:p w:rsidR="00CD0486" w:rsidRDefault="00CD0486" w:rsidP="00A762D0">
      <w:pPr>
        <w:pStyle w:val="ae"/>
        <w:spacing w:line="360" w:lineRule="auto"/>
        <w:ind w:left="360"/>
        <w:jc w:val="both"/>
        <w:rPr>
          <w:rFonts w:ascii="FrankRuehl" w:hAnsi="FrankRuehl" w:cs="FrankRuehl"/>
          <w:sz w:val="28"/>
          <w:szCs w:val="28"/>
        </w:rPr>
      </w:pPr>
      <w:r>
        <w:rPr>
          <w:rFonts w:ascii="FrankRuehl" w:hAnsi="FrankRuehl" w:cs="FrankRuehl"/>
          <w:b/>
          <w:bCs/>
          <w:sz w:val="28"/>
          <w:szCs w:val="28"/>
          <w:u w:val="single"/>
          <w:rtl/>
        </w:rPr>
        <w:t>אשר להוצאות</w:t>
      </w:r>
      <w:r>
        <w:rPr>
          <w:rFonts w:ascii="FrankRuehl" w:hAnsi="FrankRuehl" w:cs="FrankRuehl"/>
          <w:b/>
          <w:bCs/>
          <w:sz w:val="28"/>
          <w:szCs w:val="28"/>
          <w:rtl/>
        </w:rPr>
        <w:t>,</w:t>
      </w:r>
      <w:r w:rsidR="00A762D0">
        <w:rPr>
          <w:rFonts w:ascii="FrankRuehl" w:hAnsi="FrankRuehl" w:cs="FrankRuehl"/>
          <w:sz w:val="28"/>
          <w:szCs w:val="28"/>
          <w:rtl/>
        </w:rPr>
        <w:t xml:space="preserve"> התובעת העידה כי היא משלמת</w:t>
      </w:r>
      <w:r>
        <w:rPr>
          <w:rFonts w:ascii="FrankRuehl" w:hAnsi="FrankRuehl" w:cs="FrankRuehl"/>
          <w:sz w:val="28"/>
          <w:szCs w:val="28"/>
          <w:rtl/>
        </w:rPr>
        <w:t xml:space="preserve"> 3,705 ₪ </w:t>
      </w:r>
      <w:r w:rsidR="00A762D0">
        <w:rPr>
          <w:rFonts w:ascii="FrankRuehl" w:hAnsi="FrankRuehl" w:cs="FrankRuehl" w:hint="cs"/>
          <w:sz w:val="28"/>
          <w:szCs w:val="28"/>
          <w:rtl/>
        </w:rPr>
        <w:t>ל</w:t>
      </w:r>
      <w:r>
        <w:rPr>
          <w:rFonts w:ascii="FrankRuehl" w:hAnsi="FrankRuehl" w:cs="FrankRuehl"/>
          <w:sz w:val="28"/>
          <w:szCs w:val="28"/>
          <w:rtl/>
        </w:rPr>
        <w:t xml:space="preserve">גן אחות הקטינה, עמוד 25 שורות 34-35 וצהרון עבור הקטינה סך 789 ₪ לחודש, עמוד 11 שורות 3-13. אסמכתאות לא הוגשו. </w:t>
      </w:r>
    </w:p>
    <w:p w:rsidR="00CD0486" w:rsidRDefault="00CD0486" w:rsidP="00D97291">
      <w:pPr>
        <w:pStyle w:val="ae"/>
        <w:numPr>
          <w:ilvl w:val="0"/>
          <w:numId w:val="1"/>
        </w:numPr>
        <w:spacing w:line="360" w:lineRule="auto"/>
        <w:jc w:val="both"/>
        <w:rPr>
          <w:rFonts w:ascii="FrankRuehl" w:hAnsi="FrankRuehl" w:cs="FrankRuehl"/>
          <w:sz w:val="28"/>
          <w:szCs w:val="28"/>
        </w:rPr>
      </w:pPr>
      <w:r>
        <w:rPr>
          <w:rFonts w:ascii="FrankRuehl" w:hAnsi="FrankRuehl" w:cs="FrankRuehl"/>
          <w:b/>
          <w:bCs/>
          <w:sz w:val="28"/>
          <w:szCs w:val="28"/>
          <w:rtl/>
        </w:rPr>
        <w:t>יכולת השתכרות, נגזרת ממכלול נסיבות העניין, זכויות ונכסי ההורה, ו</w:t>
      </w:r>
      <w:r w:rsidR="00D97291">
        <w:rPr>
          <w:rFonts w:ascii="FrankRuehl" w:hAnsi="FrankRuehl" w:cs="FrankRuehl" w:hint="cs"/>
          <w:b/>
          <w:bCs/>
          <w:sz w:val="28"/>
          <w:szCs w:val="28"/>
          <w:rtl/>
        </w:rPr>
        <w:t xml:space="preserve">גם, </w:t>
      </w:r>
      <w:r w:rsidR="00D97291">
        <w:rPr>
          <w:rFonts w:ascii="FrankRuehl" w:hAnsi="FrankRuehl" w:cs="FrankRuehl"/>
          <w:b/>
          <w:bCs/>
          <w:sz w:val="28"/>
          <w:szCs w:val="28"/>
          <w:rtl/>
        </w:rPr>
        <w:t>כאן</w:t>
      </w:r>
      <w:r w:rsidR="00D97291">
        <w:rPr>
          <w:rFonts w:ascii="FrankRuehl" w:hAnsi="FrankRuehl" w:cs="FrankRuehl" w:hint="cs"/>
          <w:b/>
          <w:bCs/>
          <w:sz w:val="28"/>
          <w:szCs w:val="28"/>
          <w:rtl/>
        </w:rPr>
        <w:t>, ה</w:t>
      </w:r>
      <w:r>
        <w:rPr>
          <w:rFonts w:ascii="FrankRuehl" w:hAnsi="FrankRuehl" w:cs="FrankRuehl"/>
          <w:b/>
          <w:bCs/>
          <w:sz w:val="28"/>
          <w:szCs w:val="28"/>
          <w:rtl/>
        </w:rPr>
        <w:t>תא המשפחתי ה</w:t>
      </w:r>
      <w:r w:rsidR="00D97291">
        <w:rPr>
          <w:rFonts w:ascii="FrankRuehl" w:hAnsi="FrankRuehl" w:cs="FrankRuehl"/>
          <w:b/>
          <w:bCs/>
          <w:sz w:val="28"/>
          <w:szCs w:val="28"/>
          <w:rtl/>
        </w:rPr>
        <w:t xml:space="preserve">חדש של התובעת והכנסותיו. </w:t>
      </w:r>
      <w:r>
        <w:rPr>
          <w:rFonts w:ascii="FrankRuehl" w:hAnsi="FrankRuehl" w:cs="FrankRuehl"/>
          <w:b/>
          <w:bCs/>
          <w:sz w:val="28"/>
          <w:szCs w:val="28"/>
          <w:rtl/>
        </w:rPr>
        <w:t>בנסיבות כאן, אני אומדת הכנסתה החודשית הממוצעת של התובעת מכל מקורות הכנסתה, סך 9,500 ₪ ש"ח והכנסתה הפנויה סך 7,000 ₪ נטו לחודש.</w:t>
      </w:r>
    </w:p>
    <w:p w:rsidR="00D97291" w:rsidRDefault="00D97291" w:rsidP="00D97291">
      <w:pPr>
        <w:pStyle w:val="ae"/>
        <w:spacing w:line="360" w:lineRule="auto"/>
        <w:ind w:left="360"/>
        <w:jc w:val="both"/>
        <w:rPr>
          <w:rFonts w:ascii="FrankRuehl" w:hAnsi="FrankRuehl" w:cs="FrankRuehl"/>
          <w:sz w:val="28"/>
          <w:szCs w:val="28"/>
          <w:rtl/>
        </w:rPr>
      </w:pPr>
    </w:p>
    <w:p w:rsidR="00CD0486" w:rsidRDefault="00CD0486" w:rsidP="00B5517F">
      <w:pPr>
        <w:pStyle w:val="ae"/>
        <w:numPr>
          <w:ilvl w:val="0"/>
          <w:numId w:val="1"/>
        </w:numPr>
        <w:spacing w:line="360" w:lineRule="auto"/>
        <w:jc w:val="both"/>
        <w:rPr>
          <w:rFonts w:ascii="FrankRuehl" w:hAnsi="FrankRuehl" w:cs="FrankRuehl"/>
          <w:sz w:val="28"/>
          <w:szCs w:val="28"/>
          <w:rtl/>
        </w:rPr>
      </w:pPr>
      <w:r>
        <w:rPr>
          <w:rFonts w:ascii="FrankRuehl" w:hAnsi="FrankRuehl" w:cs="FrankRuehl"/>
          <w:b/>
          <w:bCs/>
          <w:sz w:val="28"/>
          <w:szCs w:val="28"/>
          <w:u w:val="single"/>
          <w:rtl/>
        </w:rPr>
        <w:t>הנתבע</w:t>
      </w:r>
      <w:r>
        <w:rPr>
          <w:rFonts w:ascii="FrankRuehl" w:hAnsi="FrankRuehl" w:cs="FrankRuehl"/>
          <w:b/>
          <w:bCs/>
          <w:sz w:val="28"/>
          <w:szCs w:val="28"/>
          <w:rtl/>
        </w:rPr>
        <w:t xml:space="preserve">, </w:t>
      </w:r>
      <w:r>
        <w:rPr>
          <w:rFonts w:ascii="FrankRuehl" w:hAnsi="FrankRuehl" w:cs="FrankRuehl"/>
          <w:sz w:val="28"/>
          <w:szCs w:val="28"/>
          <w:rtl/>
        </w:rPr>
        <w:t>בכתב הגנתו, טען הנתבע כי אינו עובד ובהודעתו לבית המשפט מיום 07/11/2023 פירט כי החל לעבוד ב</w:t>
      </w:r>
      <w:r w:rsidR="00B5517F">
        <w:rPr>
          <w:rFonts w:ascii="FrankRuehl" w:hAnsi="FrankRuehl" w:cs="FrankRuehl" w:hint="cs"/>
          <w:sz w:val="28"/>
          <w:szCs w:val="28"/>
        </w:rPr>
        <w:t>XXX</w:t>
      </w:r>
      <w:r>
        <w:rPr>
          <w:rFonts w:ascii="FrankRuehl" w:hAnsi="FrankRuehl" w:cs="FrankRuehl"/>
          <w:sz w:val="28"/>
          <w:szCs w:val="28"/>
          <w:rtl/>
        </w:rPr>
        <w:t xml:space="preserve"> בטירת הכרמל ועתיד להשתכר סך 5,000 ₪. בעדותו העיד הנתבע כי הוא מובטל ומתקיים מקִצבת הבטחת הכנסה סך 1,200 ₪. ראו עמוד 34 שורות 25-30 ובעבר עבד בעבודות מזדמנות. בקיוסק, בסופרמרקט וגם פעם אחת בשיפוצים. עמוד 35 שורות 13-15.</w:t>
      </w:r>
      <w:r>
        <w:rPr>
          <w:rFonts w:ascii="FrankRuehl" w:hAnsi="FrankRuehl" w:cs="FrankRuehl"/>
          <w:b/>
          <w:bCs/>
          <w:sz w:val="28"/>
          <w:szCs w:val="28"/>
          <w:rtl/>
        </w:rPr>
        <w:t xml:space="preserve"> </w:t>
      </w:r>
      <w:r>
        <w:rPr>
          <w:rFonts w:ascii="FrankRuehl" w:hAnsi="FrankRuehl" w:cs="FrankRuehl"/>
          <w:sz w:val="28"/>
          <w:szCs w:val="28"/>
          <w:rtl/>
        </w:rPr>
        <w:t>הנתבע צירף אישור על זכאות לקצבת הבטחת הכנסה לחודשים 8/23, 10/23, 11/23, 12/23 בסך 1,322 ₪ לחודש ועבור חודש 1/24 סך 1,367 ₪ לחודש. ראו תיק המוצגים נ/1.</w:t>
      </w:r>
    </w:p>
    <w:p w:rsidR="00CD0486" w:rsidRDefault="00CD0486" w:rsidP="00CD0486">
      <w:pPr>
        <w:pStyle w:val="ae"/>
        <w:spacing w:line="360" w:lineRule="auto"/>
        <w:ind w:left="360"/>
        <w:jc w:val="both"/>
        <w:rPr>
          <w:rFonts w:ascii="FrankRuehl" w:hAnsi="FrankRuehl" w:cs="FrankRuehl"/>
          <w:sz w:val="28"/>
          <w:szCs w:val="28"/>
        </w:rPr>
      </w:pPr>
    </w:p>
    <w:p w:rsidR="00CD0486" w:rsidRDefault="00CD0486" w:rsidP="00CD0486">
      <w:pPr>
        <w:pStyle w:val="ae"/>
        <w:spacing w:line="360" w:lineRule="auto"/>
        <w:ind w:left="360"/>
        <w:jc w:val="both"/>
        <w:rPr>
          <w:rFonts w:ascii="FrankRuehl" w:hAnsi="FrankRuehl" w:cs="FrankRuehl"/>
          <w:sz w:val="28"/>
          <w:szCs w:val="28"/>
        </w:rPr>
      </w:pPr>
      <w:r>
        <w:rPr>
          <w:rFonts w:ascii="FrankRuehl" w:hAnsi="FrankRuehl" w:cs="FrankRuehl"/>
          <w:b/>
          <w:bCs/>
          <w:sz w:val="28"/>
          <w:szCs w:val="28"/>
          <w:u w:val="single"/>
          <w:rtl/>
        </w:rPr>
        <w:lastRenderedPageBreak/>
        <w:t>הוצאות הנתבע</w:t>
      </w:r>
      <w:r>
        <w:rPr>
          <w:rFonts w:ascii="FrankRuehl" w:hAnsi="FrankRuehl" w:cs="FrankRuehl"/>
          <w:sz w:val="28"/>
          <w:szCs w:val="28"/>
          <w:rtl/>
        </w:rPr>
        <w:t>, בפירוט מיום 07/11/2023 טען הנתבע כי הוא סך 750 ₪ עבור משלם מחצית משכר הדירה בה הוא מתגורר עם אמו וגם משלם עבור הוצאות אחזקת הדירה. הנתבע לא צירף אסמכתאות לתמיכה בטענותיו אלו ולא זימן לעדות את אמו . בעדותו, העיד כי הוא משלם לאמו  סך 400-500 עבור השתתפותו בהוצאות המגורים. ראו עמוד 34 שורה 28-30.</w:t>
      </w:r>
    </w:p>
    <w:p w:rsidR="00CD0486" w:rsidRDefault="00CD0486" w:rsidP="00CD0486">
      <w:pPr>
        <w:pStyle w:val="ae"/>
        <w:spacing w:line="360" w:lineRule="auto"/>
        <w:ind w:left="360"/>
        <w:jc w:val="both"/>
        <w:rPr>
          <w:rFonts w:ascii="FrankRuehl" w:hAnsi="FrankRuehl" w:cs="FrankRuehl"/>
          <w:sz w:val="28"/>
          <w:szCs w:val="28"/>
        </w:rPr>
      </w:pPr>
    </w:p>
    <w:p w:rsidR="00CD0486" w:rsidRDefault="00CD0486" w:rsidP="00CD0486">
      <w:pPr>
        <w:pStyle w:val="ae"/>
        <w:spacing w:line="360" w:lineRule="auto"/>
        <w:ind w:left="360"/>
        <w:jc w:val="both"/>
        <w:rPr>
          <w:rFonts w:ascii="FrankRuehl" w:hAnsi="FrankRuehl" w:cs="FrankRuehl"/>
          <w:sz w:val="28"/>
          <w:szCs w:val="28"/>
          <w:rtl/>
        </w:rPr>
      </w:pPr>
      <w:r>
        <w:rPr>
          <w:rFonts w:ascii="FrankRuehl" w:hAnsi="FrankRuehl" w:cs="FrankRuehl"/>
          <w:sz w:val="28"/>
          <w:szCs w:val="28"/>
          <w:rtl/>
        </w:rPr>
        <w:t>עוד העיד הנתבע כי המזונות הזמניים שנפסקו משולמים לתובעת על ידי הביטוח הלאומי. עמוד 32 שורות 37-38, למעט תשלום מיום 21/09/2022 ששילם הנתבע לתובעת.</w:t>
      </w:r>
    </w:p>
    <w:p w:rsidR="00CD0486" w:rsidRDefault="00CD0486" w:rsidP="00CD0486">
      <w:pPr>
        <w:pStyle w:val="ae"/>
        <w:spacing w:line="360" w:lineRule="auto"/>
        <w:ind w:left="360"/>
        <w:jc w:val="both"/>
        <w:rPr>
          <w:rFonts w:ascii="FrankRuehl" w:hAnsi="FrankRuehl" w:cs="FrankRuehl"/>
          <w:sz w:val="28"/>
          <w:szCs w:val="28"/>
          <w:rtl/>
        </w:rPr>
      </w:pPr>
    </w:p>
    <w:p w:rsidR="00CD0486" w:rsidRDefault="00CD0486" w:rsidP="00CD0486">
      <w:pPr>
        <w:pStyle w:val="ae"/>
        <w:spacing w:line="360" w:lineRule="auto"/>
        <w:ind w:left="360"/>
        <w:jc w:val="both"/>
        <w:rPr>
          <w:rFonts w:ascii="FrankRuehl" w:hAnsi="FrankRuehl" w:cs="FrankRuehl"/>
          <w:sz w:val="28"/>
          <w:szCs w:val="28"/>
          <w:rtl/>
        </w:rPr>
      </w:pPr>
      <w:r>
        <w:rPr>
          <w:rFonts w:ascii="FrankRuehl" w:hAnsi="FrankRuehl" w:cs="FrankRuehl"/>
          <w:sz w:val="28"/>
          <w:szCs w:val="28"/>
          <w:rtl/>
        </w:rPr>
        <w:t>מקובלת עלי טענת התובעת כי יש להביא בחשבון את פוטנציאל ההשתכרות של הנתבע כבחור צעיר, גם אם חסר הכשרה או השכלה, הוא אינו בעל מגבלה רפואית המונעת ממנו לעבוד וכדברי ב"כ התובעת בעמוד 43 שורות 6-8: האב הינו בחור צעיר, שאמור לעבוד, כפי שכבר עלה מהדיון חקירות ,אין לו כל מגבלה רפואית, אין לו כל נכות ואין לו כל אישור מרופא תעסוקתי שמקנה לו אי כושר עבודה. עמוד 43 שורות 6-8. והרי הנתבע לא הציג אסמכתא בדבר מגבלה רפואית או תעסוקתית המונעת ממנו לעובד – מה גם שהעיד כי עבד בעבודות מזדמנות ולא פירט מדוע הפסיק עבודתו בהן, לרבות במאפיה.</w:t>
      </w:r>
    </w:p>
    <w:p w:rsidR="00CD0486" w:rsidRDefault="00CD0486" w:rsidP="00CD0486">
      <w:pPr>
        <w:pStyle w:val="ae"/>
        <w:spacing w:line="360" w:lineRule="auto"/>
        <w:ind w:left="360"/>
        <w:jc w:val="both"/>
        <w:rPr>
          <w:rFonts w:ascii="FrankRuehl" w:hAnsi="FrankRuehl" w:cs="FrankRuehl"/>
          <w:sz w:val="28"/>
          <w:szCs w:val="28"/>
          <w:rtl/>
        </w:rPr>
      </w:pPr>
    </w:p>
    <w:p w:rsidR="00D97291" w:rsidRDefault="00D97291" w:rsidP="00CD0486">
      <w:pPr>
        <w:pStyle w:val="ae"/>
        <w:spacing w:line="360" w:lineRule="auto"/>
        <w:ind w:left="360"/>
        <w:jc w:val="both"/>
        <w:rPr>
          <w:rFonts w:ascii="FrankRuehl" w:hAnsi="FrankRuehl" w:cs="FrankRuehl"/>
          <w:sz w:val="28"/>
          <w:szCs w:val="28"/>
          <w:rtl/>
        </w:rPr>
      </w:pPr>
    </w:p>
    <w:p w:rsidR="00CD0486" w:rsidRDefault="00CD0486" w:rsidP="00CD0486">
      <w:pPr>
        <w:pStyle w:val="ae"/>
        <w:spacing w:line="360" w:lineRule="auto"/>
        <w:ind w:left="360"/>
        <w:jc w:val="both"/>
        <w:rPr>
          <w:rFonts w:ascii="FrankRuehl" w:hAnsi="FrankRuehl" w:cs="FrankRuehl"/>
          <w:sz w:val="28"/>
          <w:szCs w:val="28"/>
          <w:rtl/>
        </w:rPr>
      </w:pPr>
      <w:r>
        <w:rPr>
          <w:rFonts w:ascii="FrankRuehl" w:hAnsi="FrankRuehl" w:cs="FrankRuehl"/>
          <w:sz w:val="28"/>
          <w:szCs w:val="28"/>
          <w:rtl/>
        </w:rPr>
        <w:lastRenderedPageBreak/>
        <w:t xml:space="preserve">איני מקבלת את הטענה כי הנתבע מתפרנס ממכירת "גראס" אך אני מוצאת טען של ממש בטענה כי אין סבירות והגיון בטענת הנתבע כי הוא מתקיים מסכום הנמוך מסך 1,200 ₪. </w:t>
      </w:r>
      <w:r w:rsidR="00A762D0">
        <w:rPr>
          <w:rFonts w:ascii="FrankRuehl" w:hAnsi="FrankRuehl" w:cs="FrankRuehl"/>
          <w:sz w:val="28"/>
          <w:szCs w:val="28"/>
          <w:rtl/>
        </w:rPr>
        <w:t>ראו דברי ב"כ התובעת בעמוד</w:t>
      </w:r>
      <w:r w:rsidR="00A762D0">
        <w:rPr>
          <w:rFonts w:ascii="FrankRuehl" w:hAnsi="FrankRuehl" w:cs="FrankRuehl" w:hint="cs"/>
          <w:sz w:val="28"/>
          <w:szCs w:val="28"/>
          <w:rtl/>
        </w:rPr>
        <w:t xml:space="preserve">: </w:t>
      </w:r>
      <w:r>
        <w:rPr>
          <w:rFonts w:ascii="FrankRuehl" w:hAnsi="FrankRuehl" w:cs="FrankRuehl"/>
          <w:sz w:val="28"/>
          <w:szCs w:val="28"/>
          <w:rtl/>
        </w:rPr>
        <w:t>"</w:t>
      </w:r>
      <w:r>
        <w:rPr>
          <w:rFonts w:ascii="FrankRuehl" w:hAnsi="FrankRuehl" w:cs="Miriam"/>
          <w:sz w:val="28"/>
          <w:rtl/>
        </w:rPr>
        <w:t xml:space="preserve">האב מרוויח כספים עצומים ממכירת גראס. גראס לא מוצאים ברחוב. הוא מבלה בבתי מלון וטוען שהוא חי בפחות מ-1200 ש"ח, בערך 700 שקלים, 800 שקלים. </w:t>
      </w:r>
      <w:r>
        <w:rPr>
          <w:rFonts w:ascii="Miriam" w:hAnsi="Miriam" w:cs="Miriam"/>
          <w:sz w:val="24"/>
          <w:szCs w:val="24"/>
          <w:rtl/>
        </w:rPr>
        <w:t xml:space="preserve">(לא ברור)". לא הגיוני שבן אדם יחיה מ700 שקלים בחודש, כאשר מדובר בצרכים בסיסיים, כמו לקנות ביגוד והנעלה... </w:t>
      </w:r>
      <w:r>
        <w:rPr>
          <w:rFonts w:ascii="FrankRuehl" w:hAnsi="FrankRuehl" w:cs="FrankRuehl"/>
          <w:sz w:val="28"/>
          <w:szCs w:val="28"/>
          <w:rtl/>
        </w:rPr>
        <w:t>בהמשך טענה כי "</w:t>
      </w:r>
      <w:r>
        <w:rPr>
          <w:rFonts w:ascii="FrankRuehl" w:hAnsi="FrankRuehl" w:cs="Miriam"/>
          <w:sz w:val="28"/>
          <w:rtl/>
        </w:rPr>
        <w:t>אוכל, שתיה , גם אם אתה עני מרוד, עדיין, אתה צריך לקנות קולה, פחית קולה באיזשהו...</w:t>
      </w:r>
      <w:r>
        <w:rPr>
          <w:rFonts w:ascii="FrankRuehl" w:hAnsi="FrankRuehl" w:cs="FrankRuehl"/>
          <w:sz w:val="28"/>
          <w:szCs w:val="28"/>
          <w:rtl/>
        </w:rPr>
        <w:t>", ותשובת הנתבע כי הוא שותה רק מים לא נמצאה מהימנה עליי. ראו עמוד 43 שורות 18-27.</w:t>
      </w:r>
    </w:p>
    <w:p w:rsidR="00CD0486" w:rsidRDefault="00CD0486" w:rsidP="00CD0486">
      <w:pPr>
        <w:pStyle w:val="ae"/>
        <w:spacing w:line="360" w:lineRule="auto"/>
        <w:ind w:left="360"/>
        <w:jc w:val="both"/>
        <w:rPr>
          <w:rFonts w:ascii="FrankRuehl" w:hAnsi="FrankRuehl" w:cs="FrankRuehl"/>
          <w:sz w:val="28"/>
          <w:szCs w:val="28"/>
          <w:rtl/>
        </w:rPr>
      </w:pPr>
    </w:p>
    <w:p w:rsidR="00CD0486" w:rsidRDefault="00CD0486" w:rsidP="00CD0486">
      <w:pPr>
        <w:pStyle w:val="ae"/>
        <w:spacing w:line="360" w:lineRule="auto"/>
        <w:ind w:left="360"/>
        <w:jc w:val="both"/>
        <w:rPr>
          <w:rFonts w:ascii="FrankRuehl" w:hAnsi="FrankRuehl" w:cs="FrankRuehl"/>
          <w:sz w:val="28"/>
          <w:szCs w:val="28"/>
          <w:rtl/>
        </w:rPr>
      </w:pPr>
      <w:r>
        <w:rPr>
          <w:rFonts w:ascii="FrankRuehl" w:hAnsi="FrankRuehl" w:cs="FrankRuehl"/>
          <w:sz w:val="28"/>
          <w:szCs w:val="28"/>
          <w:rtl/>
        </w:rPr>
        <w:t>גם בעדות הנתבע כי תבע נשאל מי שילם הוצאותיו עת בילה באילת. על כך השיב הנתבע כי חבר מימן את השהות באילת. ראו עמוד 34 שורות 35-39 ובעמוד 35 שורות 1-9. גם במקרה דנן נמנע הנתבע מלהביא לעדות את חברו על מנת שיתמוך בטענותיו.</w:t>
      </w:r>
    </w:p>
    <w:p w:rsidR="00CD0486" w:rsidRDefault="00CD0486" w:rsidP="00CD0486">
      <w:pPr>
        <w:pStyle w:val="ae"/>
        <w:spacing w:line="360" w:lineRule="auto"/>
        <w:ind w:left="184"/>
        <w:jc w:val="both"/>
        <w:rPr>
          <w:rFonts w:ascii="FrankRuehl" w:hAnsi="FrankRuehl" w:cs="FrankRuehl"/>
          <w:sz w:val="28"/>
          <w:szCs w:val="28"/>
          <w:rtl/>
        </w:rPr>
      </w:pPr>
    </w:p>
    <w:p w:rsidR="00CD0486" w:rsidRDefault="00CD0486" w:rsidP="00CD0486">
      <w:pPr>
        <w:pStyle w:val="ae"/>
        <w:numPr>
          <w:ilvl w:val="0"/>
          <w:numId w:val="1"/>
        </w:numPr>
        <w:spacing w:line="360" w:lineRule="auto"/>
        <w:jc w:val="both"/>
        <w:rPr>
          <w:rFonts w:ascii="FrankRuehl" w:hAnsi="FrankRuehl" w:cs="FrankRuehl"/>
          <w:sz w:val="28"/>
          <w:szCs w:val="28"/>
          <w:rtl/>
        </w:rPr>
      </w:pPr>
      <w:r>
        <w:rPr>
          <w:rFonts w:ascii="FrankRuehl" w:hAnsi="FrankRuehl" w:cs="FrankRuehl"/>
          <w:sz w:val="28"/>
          <w:szCs w:val="28"/>
          <w:rtl/>
        </w:rPr>
        <w:t xml:space="preserve">לצד הזכות להורות מצויה אחריות גם לחובה לספק צרכי הקטין. נגזרת מכך החובה של ההורה לעשות כל שלאל ידו לספקם ובהתאמה לכך, לשם כך למצות את פוטנציאל השתכרותו. במכלול נסיבות העניין אני </w:t>
      </w:r>
      <w:r>
        <w:rPr>
          <w:rFonts w:ascii="FrankRuehl" w:hAnsi="FrankRuehl" w:cs="FrankRuehl"/>
          <w:b/>
          <w:bCs/>
          <w:sz w:val="28"/>
          <w:szCs w:val="28"/>
          <w:rtl/>
        </w:rPr>
        <w:t>אומדת הכנסתו החודשית של הנתבע, על בסיס פוטנציאל השתכרותו, בשכר מינימום, היינו סך 5,900 ₪ והכנסתו הפנויה סך 5,000 ₪.</w:t>
      </w:r>
    </w:p>
    <w:p w:rsidR="00CD0486" w:rsidRDefault="00CD0486" w:rsidP="00CD0486">
      <w:pPr>
        <w:pStyle w:val="ae"/>
        <w:spacing w:line="360" w:lineRule="auto"/>
        <w:ind w:left="360"/>
        <w:jc w:val="both"/>
        <w:rPr>
          <w:rFonts w:ascii="FrankRuehl" w:hAnsi="FrankRuehl" w:cs="FrankRuehl"/>
          <w:sz w:val="28"/>
          <w:szCs w:val="28"/>
          <w:rtl/>
        </w:rPr>
      </w:pPr>
    </w:p>
    <w:p w:rsidR="00CD0486" w:rsidRDefault="00CD0486" w:rsidP="00CD0486">
      <w:pPr>
        <w:pStyle w:val="ae"/>
        <w:numPr>
          <w:ilvl w:val="0"/>
          <w:numId w:val="1"/>
        </w:numPr>
        <w:spacing w:line="360" w:lineRule="auto"/>
        <w:jc w:val="both"/>
        <w:rPr>
          <w:rFonts w:ascii="FrankRuehl" w:hAnsi="FrankRuehl" w:cs="FrankRuehl"/>
          <w:sz w:val="28"/>
          <w:szCs w:val="28"/>
        </w:rPr>
      </w:pPr>
      <w:r>
        <w:rPr>
          <w:rFonts w:ascii="FrankRuehl" w:hAnsi="FrankRuehl" w:cs="FrankRuehl"/>
          <w:sz w:val="28"/>
          <w:szCs w:val="28"/>
          <w:rtl/>
        </w:rPr>
        <w:t>מכאן שיחס הכנסות הצדדים הוא 59% התובעת ו- 41% הנתבע.</w:t>
      </w:r>
    </w:p>
    <w:p w:rsidR="00CD0486" w:rsidRDefault="00CD0486" w:rsidP="00CD0486">
      <w:pPr>
        <w:pStyle w:val="ae"/>
        <w:rPr>
          <w:rFonts w:ascii="FrankRuehl" w:hAnsi="FrankRuehl" w:cs="FrankRuehl"/>
          <w:sz w:val="28"/>
          <w:szCs w:val="28"/>
        </w:rPr>
      </w:pPr>
    </w:p>
    <w:p w:rsidR="00CD0486" w:rsidRDefault="00CD0486" w:rsidP="00CD0486">
      <w:pPr>
        <w:pStyle w:val="ae"/>
        <w:numPr>
          <w:ilvl w:val="0"/>
          <w:numId w:val="1"/>
        </w:numPr>
        <w:spacing w:line="360" w:lineRule="auto"/>
        <w:jc w:val="both"/>
        <w:rPr>
          <w:rFonts w:ascii="FrankRuehl" w:hAnsi="FrankRuehl" w:cs="FrankRuehl"/>
          <w:sz w:val="28"/>
          <w:szCs w:val="28"/>
        </w:rPr>
      </w:pPr>
      <w:r>
        <w:rPr>
          <w:rFonts w:ascii="FrankRuehl" w:hAnsi="FrankRuehl" w:cs="FrankRuehl"/>
          <w:sz w:val="28"/>
          <w:szCs w:val="28"/>
          <w:rtl/>
        </w:rPr>
        <w:t>בהיתן זמני השהות המצומצמים, חלוקת נטל ההסעות שנובע ממעבר מגורי האֵם רחוק ממקום מגורי האב, ושאר נסיבות העניין</w:t>
      </w:r>
      <w:r>
        <w:rPr>
          <w:rFonts w:ascii="FrankRuehl" w:hAnsi="FrankRuehl" w:cs="FrankRuehl"/>
          <w:b/>
          <w:bCs/>
          <w:sz w:val="28"/>
          <w:szCs w:val="28"/>
          <w:rtl/>
        </w:rPr>
        <w:t xml:space="preserve">, חרף פערי ההשתכרות, אני מחלקת את נטל התשלום </w:t>
      </w:r>
      <w:r w:rsidR="007C1E1C">
        <w:rPr>
          <w:rFonts w:ascii="FrankRuehl" w:hAnsi="FrankRuehl" w:cs="FrankRuehl" w:hint="cs"/>
          <w:b/>
          <w:bCs/>
          <w:sz w:val="28"/>
          <w:szCs w:val="28"/>
          <w:rtl/>
        </w:rPr>
        <w:t xml:space="preserve">עבור המזונות השוטפים, </w:t>
      </w:r>
      <w:r>
        <w:rPr>
          <w:rFonts w:ascii="FrankRuehl" w:hAnsi="FrankRuehl" w:cs="FrankRuehl"/>
          <w:b/>
          <w:bCs/>
          <w:sz w:val="28"/>
          <w:szCs w:val="28"/>
          <w:rtl/>
        </w:rPr>
        <w:t>בין ההורים באופן שווה.</w:t>
      </w:r>
    </w:p>
    <w:p w:rsidR="00CD0486" w:rsidRDefault="00CD0486" w:rsidP="00CD0486">
      <w:pPr>
        <w:pStyle w:val="ae"/>
        <w:rPr>
          <w:rFonts w:ascii="FrankRuehl" w:hAnsi="FrankRuehl" w:cs="FrankRuehl"/>
          <w:b/>
          <w:bCs/>
          <w:sz w:val="28"/>
          <w:szCs w:val="28"/>
          <w:rtl/>
        </w:rPr>
      </w:pPr>
    </w:p>
    <w:p w:rsidR="00CD0486" w:rsidRDefault="00CD0486" w:rsidP="00CD0486">
      <w:pPr>
        <w:pStyle w:val="ae"/>
        <w:numPr>
          <w:ilvl w:val="0"/>
          <w:numId w:val="1"/>
        </w:numPr>
        <w:spacing w:line="360" w:lineRule="auto"/>
        <w:jc w:val="both"/>
        <w:rPr>
          <w:rFonts w:ascii="FrankRuehl" w:hAnsi="FrankRuehl" w:cs="FrankRuehl"/>
          <w:sz w:val="28"/>
          <w:szCs w:val="28"/>
        </w:rPr>
      </w:pPr>
      <w:r>
        <w:rPr>
          <w:rFonts w:ascii="FrankRuehl" w:hAnsi="FrankRuehl" w:cs="FrankRuehl"/>
          <w:b/>
          <w:bCs/>
          <w:sz w:val="28"/>
          <w:szCs w:val="28"/>
          <w:rtl/>
        </w:rPr>
        <w:t>אשר למדור</w:t>
      </w:r>
      <w:r>
        <w:rPr>
          <w:rFonts w:ascii="FrankRuehl" w:hAnsi="FrankRuehl" w:cs="FrankRuehl"/>
          <w:sz w:val="28"/>
          <w:szCs w:val="28"/>
          <w:rtl/>
        </w:rPr>
        <w:t xml:space="preserve">, התובעת צרפה הסכם שכר דירה לפיו שכר הדירה עבור הדירה בה היא מתגוררת עם בעלה וילדיהם (2 אחים של הקטינה) משולם סך 3,900 ₪ לחודש כולל מים, ארנונה, מיסי יישוב וחשמל. בעדותה העידה כי  שכר הדירה הוא סך 3,850 ₪ לחודש, חשמל  כ- 300 ₪ לחודש, שמירה 120 ₪ לחודש וגנים. עוד העידה כי התשלום עבור ארנונה ומים כלולים בתשלום השכירות. ראו עמוד 13 שורות 30-36 וכי את התשלום עבור השכירות משלם בעלה. ראו עמוד 16 שורות 32-33. </w:t>
      </w:r>
    </w:p>
    <w:p w:rsidR="00CD0486" w:rsidRDefault="00CD0486" w:rsidP="00CD0486">
      <w:pPr>
        <w:pStyle w:val="ae"/>
        <w:spacing w:line="360" w:lineRule="auto"/>
        <w:ind w:left="360"/>
        <w:jc w:val="both"/>
        <w:rPr>
          <w:rFonts w:ascii="FrankRuehl" w:hAnsi="FrankRuehl" w:cs="FrankRuehl"/>
          <w:sz w:val="28"/>
          <w:szCs w:val="28"/>
        </w:rPr>
      </w:pPr>
      <w:r>
        <w:rPr>
          <w:rFonts w:ascii="FrankRuehl" w:hAnsi="FrankRuehl" w:cs="FrankRuehl"/>
          <w:sz w:val="28"/>
          <w:szCs w:val="28"/>
          <w:rtl/>
        </w:rPr>
        <w:t>לאמור יש להוסיף כי עד נישואיה הייתה זכאית התובעת לסיוע בשכר דירה, סך 1,170 ₪ כפי שפרטה בתביעתה. ראו גם עדותה בעמוד 11 שורות 13-17.</w:t>
      </w:r>
    </w:p>
    <w:p w:rsidR="00CD0486" w:rsidRDefault="00CD0486" w:rsidP="00CD0486">
      <w:pPr>
        <w:pStyle w:val="ae"/>
        <w:rPr>
          <w:rFonts w:ascii="FrankRuehl" w:hAnsi="FrankRuehl" w:cs="FrankRuehl"/>
          <w:sz w:val="28"/>
          <w:szCs w:val="28"/>
          <w:rtl/>
        </w:rPr>
      </w:pPr>
    </w:p>
    <w:p w:rsidR="00CD0486" w:rsidRDefault="00CD0486" w:rsidP="00A762D0">
      <w:pPr>
        <w:pStyle w:val="ae"/>
        <w:numPr>
          <w:ilvl w:val="0"/>
          <w:numId w:val="1"/>
        </w:numPr>
        <w:spacing w:line="360" w:lineRule="auto"/>
        <w:jc w:val="both"/>
        <w:rPr>
          <w:rFonts w:ascii="FrankRuehl" w:hAnsi="FrankRuehl" w:cs="FrankRuehl"/>
          <w:sz w:val="28"/>
          <w:szCs w:val="28"/>
          <w:rtl/>
        </w:rPr>
      </w:pPr>
      <w:r>
        <w:rPr>
          <w:rFonts w:ascii="FrankRuehl" w:hAnsi="FrankRuehl" w:cs="FrankRuehl"/>
          <w:sz w:val="28"/>
          <w:szCs w:val="28"/>
          <w:rtl/>
        </w:rPr>
        <w:t xml:space="preserve">הנתבע טען כי </w:t>
      </w:r>
      <w:r w:rsidR="00A762D0">
        <w:rPr>
          <w:rFonts w:ascii="FrankRuehl" w:hAnsi="FrankRuehl" w:cs="FrankRuehl" w:hint="cs"/>
          <w:sz w:val="28"/>
          <w:szCs w:val="28"/>
          <w:rtl/>
        </w:rPr>
        <w:t xml:space="preserve">על פי הראיות </w:t>
      </w:r>
      <w:r>
        <w:rPr>
          <w:rFonts w:ascii="FrankRuehl" w:hAnsi="FrankRuehl" w:cs="FrankRuehl"/>
          <w:sz w:val="28"/>
          <w:szCs w:val="28"/>
          <w:rtl/>
        </w:rPr>
        <w:t>הכנסת התובעת הוכפלה, הוצאות המדור פחתו נוכח מגוריה עם בעלה וילדיהם (בעת שמיעת הראי</w:t>
      </w:r>
      <w:r w:rsidR="00A762D0">
        <w:rPr>
          <w:rFonts w:ascii="FrankRuehl" w:hAnsi="FrankRuehl" w:cs="FrankRuehl"/>
          <w:sz w:val="28"/>
          <w:szCs w:val="28"/>
          <w:rtl/>
        </w:rPr>
        <w:t>ות הייתה התובעת בהיריון נוסף) ו</w:t>
      </w:r>
      <w:r w:rsidR="00A762D0">
        <w:rPr>
          <w:rFonts w:ascii="FrankRuehl" w:hAnsi="FrankRuehl" w:cs="FrankRuehl" w:hint="cs"/>
          <w:sz w:val="28"/>
          <w:szCs w:val="28"/>
          <w:rtl/>
        </w:rPr>
        <w:t xml:space="preserve">לכן </w:t>
      </w:r>
      <w:r>
        <w:rPr>
          <w:rFonts w:ascii="FrankRuehl" w:hAnsi="FrankRuehl" w:cs="FrankRuehl"/>
          <w:sz w:val="28"/>
          <w:szCs w:val="28"/>
          <w:rtl/>
        </w:rPr>
        <w:t>אין לחייבו במדור. וכך נטענו הדברים: "</w:t>
      </w:r>
      <w:r>
        <w:rPr>
          <w:rFonts w:ascii="FrankRuehl" w:hAnsi="FrankRuehl" w:cs="Miriam"/>
          <w:sz w:val="28"/>
          <w:rtl/>
        </w:rPr>
        <w:t>...הוצאות המדור שלה פחתו, נוכח העובדה שהיא מתגוררת עם הקטינה נשוא התביעה, עם קטינה נוספת, עם בעלה וכיום בהריון. וכפי שבאת כוחה טענה בסיכומיה, הוצאות המדור הותרו על כנם, קרי לא עלו מאז, אזי יש להשמיט את דרישת המדור בתביעת המזונות שעמדה על 795 ש"ח ועוד 250, בגין החזקת המדור...</w:t>
      </w:r>
      <w:r>
        <w:rPr>
          <w:rFonts w:ascii="FrankRuehl" w:hAnsi="FrankRuehl" w:cs="FrankRuehl"/>
          <w:sz w:val="28"/>
          <w:szCs w:val="28"/>
          <w:rtl/>
        </w:rPr>
        <w:t>" ראו החל מעמוד 44 שורה 36 ואילך.</w:t>
      </w:r>
    </w:p>
    <w:p w:rsidR="00CD0486" w:rsidRDefault="00CD0486" w:rsidP="00CD0486">
      <w:pPr>
        <w:pStyle w:val="ae"/>
        <w:spacing w:line="360" w:lineRule="auto"/>
        <w:ind w:left="360"/>
        <w:jc w:val="both"/>
        <w:rPr>
          <w:rFonts w:ascii="FrankRuehl" w:hAnsi="FrankRuehl" w:cs="FrankRuehl"/>
          <w:sz w:val="28"/>
          <w:szCs w:val="28"/>
          <w:rtl/>
        </w:rPr>
      </w:pPr>
    </w:p>
    <w:p w:rsidR="00CD0486" w:rsidRDefault="00CD0486" w:rsidP="00CD0486">
      <w:pPr>
        <w:pStyle w:val="ae"/>
        <w:numPr>
          <w:ilvl w:val="0"/>
          <w:numId w:val="1"/>
        </w:numPr>
        <w:spacing w:line="360" w:lineRule="auto"/>
        <w:jc w:val="both"/>
        <w:rPr>
          <w:rFonts w:ascii="FrankRuehl" w:hAnsi="FrankRuehl" w:cs="FrankRuehl"/>
          <w:sz w:val="28"/>
          <w:szCs w:val="28"/>
        </w:rPr>
      </w:pPr>
      <w:r>
        <w:rPr>
          <w:rFonts w:ascii="FrankRuehl" w:hAnsi="FrankRuehl" w:cs="FrankRuehl"/>
          <w:sz w:val="28"/>
          <w:szCs w:val="28"/>
          <w:rtl/>
        </w:rPr>
        <w:lastRenderedPageBreak/>
        <w:t>אציין כבר כעת כי אני דוחה טענת הנתבע כי אין לחייבו במדור. מגורי התובעת עם בעלה וילדיהם המשותפים יפחיתו את סכום המדור היחסי שמיוחס למגורי הקטינה אך אין בהם לבטלו. ראו תמ"ש (ת"א) 6935-08-12</w:t>
      </w:r>
      <w:r>
        <w:rPr>
          <w:rFonts w:ascii="FrankRuehl" w:hAnsi="FrankRuehl" w:cs="FrankRuehl"/>
          <w:b/>
          <w:bCs/>
          <w:sz w:val="28"/>
          <w:szCs w:val="28"/>
          <w:rtl/>
        </w:rPr>
        <w:t xml:space="preserve"> ג' נ' ע' </w:t>
      </w:r>
      <w:r>
        <w:rPr>
          <w:rFonts w:ascii="FrankRuehl" w:hAnsi="FrankRuehl" w:cs="FrankRuehl"/>
          <w:sz w:val="28"/>
          <w:szCs w:val="28"/>
          <w:rtl/>
        </w:rPr>
        <w:t xml:space="preserve">מיום 03/03/2013. על ההורה לשאת בשיעור המדור כנגזרת מחלקו של ההורה האחר במדור. ראו תמ"ש (ת"א) 49701/98 </w:t>
      </w:r>
      <w:r>
        <w:rPr>
          <w:rFonts w:ascii="FrankRuehl" w:hAnsi="FrankRuehl" w:cs="FrankRuehl"/>
          <w:b/>
          <w:bCs/>
          <w:sz w:val="28"/>
          <w:szCs w:val="28"/>
          <w:rtl/>
        </w:rPr>
        <w:t>פלונים נ' אלמוני</w:t>
      </w:r>
      <w:r>
        <w:rPr>
          <w:rFonts w:ascii="FrankRuehl" w:hAnsi="FrankRuehl" w:cs="FrankRuehl"/>
          <w:sz w:val="28"/>
          <w:szCs w:val="28"/>
          <w:rtl/>
        </w:rPr>
        <w:t xml:space="preserve"> מיום 07/06/2005.</w:t>
      </w:r>
    </w:p>
    <w:p w:rsidR="00CD0486" w:rsidRDefault="00CD0486" w:rsidP="00CD0486">
      <w:pPr>
        <w:pStyle w:val="ae"/>
        <w:rPr>
          <w:rFonts w:ascii="FrankRuehl" w:hAnsi="FrankRuehl" w:cs="FrankRuehl"/>
          <w:sz w:val="28"/>
          <w:szCs w:val="28"/>
        </w:rPr>
      </w:pPr>
    </w:p>
    <w:p w:rsidR="00CD0486" w:rsidRDefault="00CD0486" w:rsidP="00CD0486">
      <w:pPr>
        <w:pStyle w:val="ae"/>
        <w:numPr>
          <w:ilvl w:val="0"/>
          <w:numId w:val="1"/>
        </w:numPr>
        <w:spacing w:line="360" w:lineRule="auto"/>
        <w:jc w:val="both"/>
        <w:rPr>
          <w:rFonts w:ascii="FrankRuehl" w:hAnsi="FrankRuehl" w:cs="FrankRuehl"/>
          <w:sz w:val="28"/>
          <w:szCs w:val="28"/>
        </w:rPr>
      </w:pPr>
      <w:r>
        <w:rPr>
          <w:rFonts w:ascii="FrankRuehl" w:hAnsi="FrankRuehl" w:cs="FrankRuehl"/>
          <w:sz w:val="28"/>
          <w:szCs w:val="28"/>
          <w:rtl/>
        </w:rPr>
        <w:t xml:space="preserve">הורה חב לשאת במדור בסיסי עבור ילדיו. נפסק כי חלוקת זמני שהות יכול ותפחית מהוצאות המדור, שכן האב נושא בהוצאות הקטינה כשהיא בביתו. ראו </w:t>
      </w:r>
      <w:r w:rsidRPr="00313C6D">
        <w:rPr>
          <w:rFonts w:ascii="FrankRuehl" w:hAnsi="FrankRuehl" w:cs="FrankRuehl"/>
          <w:sz w:val="28"/>
          <w:szCs w:val="28"/>
          <w:rtl/>
        </w:rPr>
        <w:t>עמ"ש 50603-01-14</w:t>
      </w:r>
      <w:r>
        <w:rPr>
          <w:rFonts w:ascii="FrankRuehl" w:hAnsi="FrankRuehl" w:cs="FrankRuehl"/>
          <w:sz w:val="28"/>
          <w:szCs w:val="28"/>
          <w:rtl/>
        </w:rPr>
        <w:t xml:space="preserve"> שאוזכר לעיל; </w:t>
      </w:r>
      <w:r w:rsidRPr="00313C6D">
        <w:rPr>
          <w:rFonts w:ascii="FrankRuehl" w:hAnsi="FrankRuehl" w:cs="FrankRuehl"/>
          <w:sz w:val="28"/>
          <w:szCs w:val="28"/>
          <w:rtl/>
        </w:rPr>
        <w:t>עמ"ש 25027-02-14</w:t>
      </w:r>
      <w:r>
        <w:rPr>
          <w:rFonts w:ascii="FrankRuehl" w:hAnsi="FrankRuehl" w:cs="FrankRuehl"/>
          <w:sz w:val="28"/>
          <w:szCs w:val="28"/>
          <w:rtl/>
        </w:rPr>
        <w:t xml:space="preserve"> </w:t>
      </w:r>
      <w:r>
        <w:rPr>
          <w:rFonts w:ascii="FrankRuehl" w:hAnsi="FrankRuehl" w:cs="FrankRuehl" w:hint="cs"/>
          <w:b/>
          <w:bCs/>
          <w:sz w:val="28"/>
          <w:szCs w:val="28"/>
          <w:rtl/>
        </w:rPr>
        <w:t>פלונים נ' פלונית</w:t>
      </w:r>
      <w:r>
        <w:rPr>
          <w:rFonts w:ascii="FrankRuehl" w:hAnsi="FrankRuehl" w:cs="FrankRuehl" w:hint="cs"/>
          <w:sz w:val="28"/>
          <w:szCs w:val="28"/>
          <w:rtl/>
        </w:rPr>
        <w:t xml:space="preserve"> מיום 28/12/2014; </w:t>
      </w:r>
      <w:r w:rsidRPr="00313C6D">
        <w:rPr>
          <w:rFonts w:ascii="FrankRuehl" w:hAnsi="FrankRuehl" w:cs="FrankRuehl"/>
          <w:sz w:val="28"/>
          <w:szCs w:val="28"/>
          <w:rtl/>
        </w:rPr>
        <w:t>עמ"ש 23634-05-15</w:t>
      </w:r>
      <w:r>
        <w:rPr>
          <w:rFonts w:ascii="FrankRuehl" w:hAnsi="FrankRuehl" w:cs="FrankRuehl"/>
          <w:sz w:val="28"/>
          <w:szCs w:val="28"/>
          <w:rtl/>
        </w:rPr>
        <w:t xml:space="preserve"> </w:t>
      </w:r>
      <w:r>
        <w:rPr>
          <w:rFonts w:ascii="FrankRuehl" w:hAnsi="FrankRuehl" w:cs="FrankRuehl" w:hint="cs"/>
          <w:b/>
          <w:bCs/>
          <w:sz w:val="28"/>
          <w:szCs w:val="28"/>
          <w:rtl/>
        </w:rPr>
        <w:t xml:space="preserve">א.פ. נ' נ.א. </w:t>
      </w:r>
      <w:r>
        <w:rPr>
          <w:rFonts w:ascii="FrankRuehl" w:hAnsi="FrankRuehl" w:cs="FrankRuehl" w:hint="cs"/>
          <w:sz w:val="28"/>
          <w:szCs w:val="28"/>
          <w:rtl/>
        </w:rPr>
        <w:t xml:space="preserve">מיום  25/02/2016. וגם </w:t>
      </w:r>
      <w:r w:rsidRPr="00313C6D">
        <w:rPr>
          <w:rFonts w:ascii="FrankRuehl" w:hAnsi="FrankRuehl" w:cs="FrankRuehl"/>
          <w:sz w:val="28"/>
          <w:szCs w:val="28"/>
          <w:rtl/>
        </w:rPr>
        <w:t>עמ"ש 65692-11-19</w:t>
      </w:r>
      <w:r>
        <w:rPr>
          <w:rFonts w:ascii="FrankRuehl" w:hAnsi="FrankRuehl" w:cs="FrankRuehl"/>
          <w:sz w:val="28"/>
          <w:szCs w:val="28"/>
          <w:rtl/>
        </w:rPr>
        <w:t xml:space="preserve"> </w:t>
      </w:r>
      <w:r>
        <w:rPr>
          <w:rFonts w:ascii="FrankRuehl" w:hAnsi="FrankRuehl" w:cs="FrankRuehl" w:hint="cs"/>
          <w:b/>
          <w:bCs/>
          <w:sz w:val="28"/>
          <w:szCs w:val="28"/>
          <w:rtl/>
        </w:rPr>
        <w:t>ד.ס. נ' ל.צ.ס</w:t>
      </w:r>
      <w:r>
        <w:rPr>
          <w:rFonts w:ascii="FrankRuehl" w:hAnsi="FrankRuehl" w:cs="FrankRuehl" w:hint="cs"/>
          <w:sz w:val="28"/>
          <w:szCs w:val="28"/>
          <w:rtl/>
        </w:rPr>
        <w:t>. מיום 22/09/2020. אלא שבזמני השהות המצומצמים כאן, אין לצמצם מהחיוב של האב בשל זמני שהות. מנגד, מאחר והתובעת מתגוררת עם בעלה וילדיהם המשותפים החישוב יעשה כנגזרת מחלקה של התובעת.</w:t>
      </w:r>
    </w:p>
    <w:p w:rsidR="00313C6D" w:rsidRPr="00313C6D" w:rsidRDefault="00313C6D" w:rsidP="00313C6D">
      <w:pPr>
        <w:pStyle w:val="ae"/>
        <w:rPr>
          <w:rFonts w:ascii="FrankRuehl" w:hAnsi="FrankRuehl" w:cs="FrankRuehl"/>
          <w:sz w:val="28"/>
          <w:szCs w:val="28"/>
        </w:rPr>
      </w:pPr>
    </w:p>
    <w:p w:rsidR="00313C6D" w:rsidRPr="00313C6D" w:rsidRDefault="00313C6D" w:rsidP="00313C6D">
      <w:pPr>
        <w:pStyle w:val="ae"/>
        <w:numPr>
          <w:ilvl w:val="0"/>
          <w:numId w:val="1"/>
        </w:numPr>
        <w:spacing w:line="360" w:lineRule="auto"/>
        <w:jc w:val="both"/>
        <w:rPr>
          <w:rFonts w:ascii="FrankRuehl" w:hAnsi="FrankRuehl" w:cs="FrankRuehl"/>
          <w:sz w:val="28"/>
          <w:szCs w:val="28"/>
          <w:rtl/>
        </w:rPr>
      </w:pPr>
      <w:r w:rsidRPr="00313C6D">
        <w:rPr>
          <w:rFonts w:ascii="FrankRuehl" w:hAnsi="FrankRuehl" w:cs="FrankRuehl"/>
          <w:sz w:val="28"/>
          <w:szCs w:val="28"/>
          <w:rtl/>
        </w:rPr>
        <w:t xml:space="preserve">בהינתן שבבית התובעת 5 נפשות, בהיקש משיטת הידות, העובדה כי בשכר הדירה נכללות הוצאות אחזקת הדירה, ושאר נסיבות העניין, אני מעמידה את חלקה של התובעת והקטינה במדור על סך 1,200 ₪. מתוך חיוב זה חלקה של הקטינה, הוא בשיעור 30%. ראו: ע"א 52/87 </w:t>
      </w:r>
      <w:r w:rsidRPr="00313C6D">
        <w:rPr>
          <w:rFonts w:ascii="FrankRuehl" w:hAnsi="FrankRuehl" w:cs="FrankRuehl"/>
          <w:b/>
          <w:bCs/>
          <w:sz w:val="28"/>
          <w:szCs w:val="28"/>
          <w:rtl/>
        </w:rPr>
        <w:t>הראל נ' הראל</w:t>
      </w:r>
      <w:r w:rsidRPr="00313C6D">
        <w:rPr>
          <w:rFonts w:ascii="FrankRuehl" w:hAnsi="FrankRuehl" w:cs="FrankRuehl"/>
          <w:sz w:val="28"/>
          <w:szCs w:val="28"/>
          <w:rtl/>
        </w:rPr>
        <w:t xml:space="preserve"> מיום 12.10.1989; ע"מ (תל-אביב) 1162/03 </w:t>
      </w:r>
      <w:r w:rsidRPr="00313C6D">
        <w:rPr>
          <w:rFonts w:ascii="FrankRuehl" w:hAnsi="FrankRuehl" w:cs="FrankRuehl"/>
          <w:b/>
          <w:bCs/>
          <w:sz w:val="28"/>
          <w:szCs w:val="28"/>
          <w:rtl/>
        </w:rPr>
        <w:t xml:space="preserve">ד.ע. נ' ר.ע. </w:t>
      </w:r>
      <w:r w:rsidRPr="00313C6D">
        <w:rPr>
          <w:rFonts w:ascii="FrankRuehl" w:hAnsi="FrankRuehl" w:cs="FrankRuehl"/>
          <w:sz w:val="28"/>
          <w:szCs w:val="28"/>
          <w:rtl/>
        </w:rPr>
        <w:t>מיום 28.7.2005. על כך חיוב הנתבע במודר הקטינה הוא סך  היְינו סך 360 ₪ לחודש.</w:t>
      </w:r>
    </w:p>
    <w:p w:rsidR="00313C6D" w:rsidRDefault="00313C6D" w:rsidP="00313C6D">
      <w:pPr>
        <w:pStyle w:val="ae"/>
        <w:rPr>
          <w:rFonts w:ascii="FrankRuehl" w:hAnsi="FrankRuehl" w:cs="FrankRuehl"/>
          <w:b/>
          <w:bCs/>
          <w:sz w:val="28"/>
          <w:szCs w:val="28"/>
          <w:rtl/>
        </w:rPr>
      </w:pPr>
    </w:p>
    <w:p w:rsidR="00A762D0" w:rsidRDefault="00A762D0" w:rsidP="00313C6D">
      <w:pPr>
        <w:pStyle w:val="ae"/>
        <w:rPr>
          <w:rFonts w:ascii="FrankRuehl" w:hAnsi="FrankRuehl" w:cs="FrankRuehl"/>
          <w:b/>
          <w:bCs/>
          <w:sz w:val="28"/>
          <w:szCs w:val="28"/>
          <w:rtl/>
        </w:rPr>
      </w:pPr>
    </w:p>
    <w:p w:rsidR="00A762D0" w:rsidRPr="00313C6D" w:rsidRDefault="00A762D0" w:rsidP="00313C6D">
      <w:pPr>
        <w:pStyle w:val="ae"/>
        <w:rPr>
          <w:rFonts w:ascii="FrankRuehl" w:hAnsi="FrankRuehl" w:cs="FrankRuehl"/>
          <w:b/>
          <w:bCs/>
          <w:sz w:val="28"/>
          <w:szCs w:val="28"/>
        </w:rPr>
      </w:pPr>
    </w:p>
    <w:p w:rsidR="00313C6D" w:rsidRPr="00313C6D" w:rsidRDefault="00313C6D" w:rsidP="00313C6D">
      <w:pPr>
        <w:pStyle w:val="ae"/>
        <w:numPr>
          <w:ilvl w:val="0"/>
          <w:numId w:val="1"/>
        </w:numPr>
        <w:spacing w:line="360" w:lineRule="auto"/>
        <w:jc w:val="both"/>
        <w:rPr>
          <w:rFonts w:ascii="FrankRuehl" w:hAnsi="FrankRuehl" w:cs="FrankRuehl"/>
          <w:sz w:val="28"/>
          <w:szCs w:val="28"/>
          <w:rtl/>
        </w:rPr>
      </w:pPr>
      <w:r w:rsidRPr="00313C6D">
        <w:rPr>
          <w:rFonts w:ascii="FrankRuehl" w:hAnsi="FrankRuehl" w:cs="FrankRuehl"/>
          <w:b/>
          <w:bCs/>
          <w:sz w:val="28"/>
          <w:szCs w:val="28"/>
          <w:rtl/>
        </w:rPr>
        <w:lastRenderedPageBreak/>
        <w:t>נפסק:</w:t>
      </w:r>
    </w:p>
    <w:p w:rsidR="00313C6D" w:rsidRPr="00313C6D" w:rsidRDefault="00313C6D" w:rsidP="00313C6D">
      <w:pPr>
        <w:pStyle w:val="ae"/>
        <w:rPr>
          <w:rFonts w:ascii="FrankRuehl" w:hAnsi="FrankRuehl" w:cs="FrankRuehl"/>
          <w:sz w:val="28"/>
          <w:szCs w:val="28"/>
        </w:rPr>
      </w:pPr>
    </w:p>
    <w:p w:rsidR="00313C6D" w:rsidRPr="00313C6D" w:rsidRDefault="00313C6D" w:rsidP="004B5A8C">
      <w:pPr>
        <w:pStyle w:val="ae"/>
        <w:numPr>
          <w:ilvl w:val="0"/>
          <w:numId w:val="3"/>
        </w:numPr>
        <w:spacing w:line="360" w:lineRule="auto"/>
        <w:ind w:left="720"/>
        <w:jc w:val="both"/>
        <w:rPr>
          <w:rFonts w:ascii="FrankRuehl" w:hAnsi="FrankRuehl" w:cs="FrankRuehl"/>
          <w:sz w:val="28"/>
          <w:szCs w:val="28"/>
          <w:rtl/>
        </w:rPr>
      </w:pPr>
      <w:r w:rsidRPr="00313C6D">
        <w:rPr>
          <w:rFonts w:ascii="FrankRuehl" w:hAnsi="FrankRuehl" w:cs="FrankRuehl"/>
          <w:sz w:val="28"/>
          <w:szCs w:val="28"/>
          <w:rtl/>
        </w:rPr>
        <w:t>מיום הגשת התביעה ל</w:t>
      </w:r>
      <w:r>
        <w:rPr>
          <w:rFonts w:ascii="FrankRuehl" w:hAnsi="FrankRuehl" w:cs="FrankRuehl" w:hint="cs"/>
          <w:sz w:val="28"/>
          <w:szCs w:val="28"/>
          <w:rtl/>
        </w:rPr>
        <w:t xml:space="preserve">ישוב סכסוך </w:t>
      </w:r>
      <w:r w:rsidRPr="00313C6D">
        <w:rPr>
          <w:rFonts w:ascii="FrankRuehl" w:hAnsi="FrankRuehl" w:cs="FrankRuehl"/>
          <w:sz w:val="28"/>
          <w:szCs w:val="28"/>
          <w:rtl/>
        </w:rPr>
        <w:t>ועד הגעת הקטינה לגיל 6, ישלם הנתבע באמצעות התובעת עבור מזונותיה סך 1,5</w:t>
      </w:r>
      <w:r w:rsidR="004B5A8C">
        <w:rPr>
          <w:rFonts w:ascii="FrankRuehl" w:hAnsi="FrankRuehl" w:cs="FrankRuehl" w:hint="cs"/>
          <w:sz w:val="28"/>
          <w:szCs w:val="28"/>
          <w:rtl/>
        </w:rPr>
        <w:t>2</w:t>
      </w:r>
      <w:r w:rsidRPr="00313C6D">
        <w:rPr>
          <w:rFonts w:ascii="FrankRuehl" w:hAnsi="FrankRuehl" w:cs="FrankRuehl"/>
          <w:sz w:val="28"/>
          <w:szCs w:val="28"/>
          <w:rtl/>
        </w:rPr>
        <w:t xml:space="preserve">5 ₪ לחודש. מעת הגעת הקטינה לגיל 6 יופחת תשלום המזונות השוטף לסך </w:t>
      </w:r>
      <w:r w:rsidR="004B5A8C">
        <w:rPr>
          <w:rFonts w:ascii="FrankRuehl" w:hAnsi="FrankRuehl" w:cs="FrankRuehl" w:hint="cs"/>
          <w:sz w:val="28"/>
          <w:szCs w:val="28"/>
          <w:rtl/>
        </w:rPr>
        <w:t>900</w:t>
      </w:r>
      <w:r w:rsidRPr="00313C6D">
        <w:rPr>
          <w:rFonts w:ascii="FrankRuehl" w:hAnsi="FrankRuehl" w:cs="FrankRuehl"/>
          <w:sz w:val="28"/>
          <w:szCs w:val="28"/>
          <w:rtl/>
        </w:rPr>
        <w:t xml:space="preserve"> ₪ לחודש. המזונות ישולמו עד הגעת הקטינה לגיל 18 או סיום לימודי התיכון לפי המאוחר מבין השניים. ממועד זה </w:t>
      </w:r>
      <w:r w:rsidRPr="00313C6D">
        <w:rPr>
          <w:rFonts w:ascii="FrankRuehl" w:hAnsi="FrankRuehl" w:cs="FrankRuehl"/>
          <w:sz w:val="28"/>
          <w:szCs w:val="28"/>
          <w:rtl/>
          <w:lang w:eastAsia="he-IL"/>
        </w:rPr>
        <w:t xml:space="preserve">ובתקופת שנת שירות/שירות לאומי/שירותי צבאי חובה, יעמדו דמי המזונות על שליש – מגובהם ערב תשלומם. </w:t>
      </w:r>
    </w:p>
    <w:p w:rsidR="00313C6D" w:rsidRPr="00313C6D" w:rsidRDefault="00313C6D" w:rsidP="00313C6D">
      <w:pPr>
        <w:pStyle w:val="ae"/>
        <w:spacing w:line="360" w:lineRule="auto"/>
        <w:jc w:val="both"/>
        <w:rPr>
          <w:rFonts w:ascii="FrankRuehl" w:hAnsi="FrankRuehl" w:cs="FrankRuehl"/>
          <w:sz w:val="28"/>
          <w:szCs w:val="28"/>
        </w:rPr>
      </w:pPr>
    </w:p>
    <w:p w:rsidR="00313C6D" w:rsidRPr="00313C6D" w:rsidRDefault="00313C6D" w:rsidP="00313C6D">
      <w:pPr>
        <w:pStyle w:val="ae"/>
        <w:numPr>
          <w:ilvl w:val="0"/>
          <w:numId w:val="3"/>
        </w:numPr>
        <w:spacing w:line="360" w:lineRule="auto"/>
        <w:ind w:left="720"/>
        <w:jc w:val="both"/>
        <w:rPr>
          <w:rFonts w:ascii="FrankRuehl" w:hAnsi="FrankRuehl" w:cs="FrankRuehl"/>
          <w:sz w:val="28"/>
          <w:szCs w:val="28"/>
        </w:rPr>
      </w:pPr>
      <w:r w:rsidRPr="00313C6D">
        <w:rPr>
          <w:rFonts w:ascii="FrankRuehl" w:hAnsi="FrankRuehl" w:cs="FrankRuehl"/>
          <w:sz w:val="28"/>
          <w:szCs w:val="28"/>
          <w:rtl/>
          <w:lang w:eastAsia="he-IL"/>
        </w:rPr>
        <w:t xml:space="preserve">התשלום ישולם ב- 10 לכל חודש מראש ויהיה צמוד </w:t>
      </w:r>
      <w:r w:rsidRPr="00313C6D">
        <w:rPr>
          <w:rFonts w:ascii="FrankRuehl" w:hAnsi="FrankRuehl" w:cs="FrankRuehl"/>
          <w:sz w:val="28"/>
          <w:szCs w:val="28"/>
          <w:rtl/>
        </w:rPr>
        <w:t xml:space="preserve">למדד המחירים לצרכן על בסיס המדד הידוע היום ויעודכן פעם בשנה – במזונות חודש ינואר של כל שנה, ללא הפרשים לתקופות הביניים. </w:t>
      </w:r>
    </w:p>
    <w:p w:rsidR="00313C6D" w:rsidRPr="00313C6D" w:rsidRDefault="00313C6D" w:rsidP="00313C6D">
      <w:pPr>
        <w:pStyle w:val="ae"/>
        <w:rPr>
          <w:rFonts w:ascii="FrankRuehl" w:hAnsi="FrankRuehl" w:cs="FrankRuehl"/>
          <w:sz w:val="28"/>
          <w:szCs w:val="28"/>
        </w:rPr>
      </w:pPr>
    </w:p>
    <w:p w:rsidR="00313C6D" w:rsidRPr="00313C6D" w:rsidRDefault="00313C6D" w:rsidP="00CB1A3C">
      <w:pPr>
        <w:pStyle w:val="ae"/>
        <w:numPr>
          <w:ilvl w:val="0"/>
          <w:numId w:val="3"/>
        </w:numPr>
        <w:spacing w:line="360" w:lineRule="auto"/>
        <w:ind w:left="720"/>
        <w:jc w:val="both"/>
        <w:rPr>
          <w:rFonts w:ascii="FrankRuehl" w:hAnsi="FrankRuehl" w:cs="FrankRuehl"/>
          <w:sz w:val="28"/>
          <w:szCs w:val="28"/>
          <w:rtl/>
        </w:rPr>
      </w:pPr>
      <w:r w:rsidRPr="00313C6D">
        <w:rPr>
          <w:rFonts w:ascii="FrankRuehl" w:hAnsi="FrankRuehl" w:cs="FrankRuehl"/>
          <w:sz w:val="28"/>
          <w:szCs w:val="28"/>
          <w:rtl/>
        </w:rPr>
        <w:t xml:space="preserve">נוסף על כך, </w:t>
      </w:r>
      <w:r w:rsidR="00CB1A3C">
        <w:rPr>
          <w:rFonts w:ascii="FrankRuehl" w:hAnsi="FrankRuehl" w:cs="FrankRuehl" w:hint="cs"/>
          <w:sz w:val="28"/>
          <w:szCs w:val="28"/>
          <w:rtl/>
        </w:rPr>
        <w:t xml:space="preserve">ממועד הגשת התביעה או </w:t>
      </w:r>
      <w:r w:rsidRPr="00313C6D">
        <w:rPr>
          <w:rFonts w:ascii="FrankRuehl" w:hAnsi="FrankRuehl" w:cs="FrankRuehl"/>
          <w:sz w:val="28"/>
          <w:szCs w:val="28"/>
          <w:rtl/>
        </w:rPr>
        <w:t>ממועד נישואי התובעת</w:t>
      </w:r>
      <w:r w:rsidR="0076326F">
        <w:rPr>
          <w:rFonts w:ascii="FrankRuehl" w:hAnsi="FrankRuehl" w:cs="FrankRuehl" w:hint="cs"/>
          <w:sz w:val="28"/>
          <w:szCs w:val="28"/>
          <w:rtl/>
        </w:rPr>
        <w:t xml:space="preserve"> </w:t>
      </w:r>
      <w:r w:rsidRPr="00313C6D">
        <w:rPr>
          <w:rFonts w:ascii="FrankRuehl" w:hAnsi="FrankRuehl" w:cs="FrankRuehl"/>
          <w:sz w:val="28"/>
          <w:szCs w:val="28"/>
          <w:rtl/>
        </w:rPr>
        <w:t xml:space="preserve">(שאז תמה זכאותה לסיוע בדיור) </w:t>
      </w:r>
      <w:r w:rsidR="00CB1A3C">
        <w:rPr>
          <w:rFonts w:ascii="FrankRuehl" w:hAnsi="FrankRuehl" w:cs="FrankRuehl" w:hint="cs"/>
          <w:sz w:val="28"/>
          <w:szCs w:val="28"/>
          <w:rtl/>
        </w:rPr>
        <w:t>לפי המאוחר מבניהם</w:t>
      </w:r>
      <w:r w:rsidR="00CB1A3C">
        <w:rPr>
          <w:rFonts w:ascii="FrankRuehl" w:eastAsia="Calibri" w:hAnsi="FrankRuehl" w:cs="FrankRuehl" w:hint="cs"/>
          <w:sz w:val="28"/>
          <w:szCs w:val="28"/>
          <w:rtl/>
        </w:rPr>
        <w:t xml:space="preserve">, </w:t>
      </w:r>
      <w:r w:rsidRPr="00313C6D">
        <w:rPr>
          <w:rFonts w:ascii="FrankRuehl" w:eastAsia="Calibri" w:hAnsi="FrankRuehl" w:cs="FrankRuehl"/>
          <w:sz w:val="28"/>
          <w:szCs w:val="28"/>
          <w:rtl/>
        </w:rPr>
        <w:t xml:space="preserve">עד הגעת הקטינה לגיל 18 או סיום כיתה י"ב לפי המאוחר, ישלם האב עבור מדור הקטינה סך 360 ₪ לחודש. </w:t>
      </w:r>
    </w:p>
    <w:p w:rsidR="00313C6D" w:rsidRPr="00313C6D" w:rsidRDefault="00313C6D" w:rsidP="00313C6D">
      <w:pPr>
        <w:pStyle w:val="ae"/>
        <w:rPr>
          <w:rFonts w:ascii="FrankRuehl" w:eastAsia="Calibri" w:hAnsi="FrankRuehl" w:cs="FrankRuehl"/>
          <w:sz w:val="28"/>
          <w:szCs w:val="28"/>
        </w:rPr>
      </w:pPr>
    </w:p>
    <w:p w:rsidR="00313C6D" w:rsidRPr="00313C6D" w:rsidRDefault="00313C6D" w:rsidP="00313C6D">
      <w:pPr>
        <w:pStyle w:val="ae"/>
        <w:numPr>
          <w:ilvl w:val="0"/>
          <w:numId w:val="3"/>
        </w:numPr>
        <w:spacing w:line="360" w:lineRule="auto"/>
        <w:ind w:left="720"/>
        <w:jc w:val="both"/>
        <w:rPr>
          <w:rFonts w:ascii="FrankRuehl" w:hAnsi="FrankRuehl" w:cs="FrankRuehl"/>
          <w:sz w:val="28"/>
          <w:szCs w:val="28"/>
          <w:rtl/>
        </w:rPr>
      </w:pPr>
      <w:r w:rsidRPr="00313C6D">
        <w:rPr>
          <w:rFonts w:ascii="FrankRuehl" w:hAnsi="FrankRuehl" w:cs="FrankRuehl"/>
          <w:sz w:val="28"/>
          <w:szCs w:val="28"/>
          <w:rtl/>
        </w:rPr>
        <w:t xml:space="preserve">קִצבת הילדים וכל קצבה המשולמת ע"י המוסד לביטוח לאומי עבור הקטינים תשולם לתובעת בנוסף לדמי המזונות. </w:t>
      </w:r>
    </w:p>
    <w:p w:rsidR="00313C6D" w:rsidRPr="00313C6D" w:rsidRDefault="00313C6D" w:rsidP="00313C6D">
      <w:pPr>
        <w:pStyle w:val="ae"/>
        <w:rPr>
          <w:rFonts w:ascii="FrankRuehl" w:hAnsi="FrankRuehl" w:cs="FrankRuehl"/>
          <w:sz w:val="28"/>
          <w:szCs w:val="28"/>
        </w:rPr>
      </w:pPr>
    </w:p>
    <w:p w:rsidR="00313C6D" w:rsidRPr="00313C6D" w:rsidRDefault="00313C6D" w:rsidP="00313C6D">
      <w:pPr>
        <w:pStyle w:val="ae"/>
        <w:numPr>
          <w:ilvl w:val="0"/>
          <w:numId w:val="3"/>
        </w:numPr>
        <w:spacing w:line="360" w:lineRule="auto"/>
        <w:ind w:left="720"/>
        <w:jc w:val="both"/>
        <w:rPr>
          <w:rFonts w:ascii="FrankRuehl" w:hAnsi="FrankRuehl" w:cs="FrankRuehl"/>
          <w:sz w:val="28"/>
          <w:szCs w:val="28"/>
          <w:rtl/>
        </w:rPr>
      </w:pPr>
      <w:r w:rsidRPr="00313C6D">
        <w:rPr>
          <w:rFonts w:ascii="FrankRuehl" w:hAnsi="FrankRuehl" w:cs="FrankRuehl"/>
          <w:sz w:val="28"/>
          <w:szCs w:val="28"/>
          <w:rtl/>
        </w:rPr>
        <w:t xml:space="preserve">החל ממועד הגשת התביעה, יישאו הצדדים בחלוקה 60% התובעת ו-40% הנתבע בהוצאות רפואיות </w:t>
      </w:r>
      <w:r w:rsidRPr="00313C6D">
        <w:rPr>
          <w:rFonts w:ascii="FrankRuehl" w:hAnsi="FrankRuehl" w:cs="FrankRuehl"/>
          <w:sz w:val="28"/>
          <w:szCs w:val="28"/>
          <w:u w:val="single"/>
          <w:rtl/>
        </w:rPr>
        <w:t>חריגות</w:t>
      </w:r>
      <w:r w:rsidRPr="00313C6D">
        <w:rPr>
          <w:rFonts w:ascii="FrankRuehl" w:hAnsi="FrankRuehl" w:cs="FrankRuehl"/>
          <w:sz w:val="28"/>
          <w:szCs w:val="28"/>
          <w:rtl/>
        </w:rPr>
        <w:t xml:space="preserve"> של הקטינה, מכל מין וסוג שהוא, לרבות רפואת שיניים כולל אורתודנטיה, משקפיים / עדשות מגע, טיפולים פסיכולוגיים/ריגשיים, איבחונים לרבות אִבחוני </w:t>
      </w:r>
      <w:r w:rsidRPr="00313C6D">
        <w:rPr>
          <w:rFonts w:ascii="FrankRuehl" w:hAnsi="FrankRuehl" w:cs="FrankRuehl"/>
          <w:sz w:val="28"/>
          <w:szCs w:val="28"/>
          <w:rtl/>
        </w:rPr>
        <w:lastRenderedPageBreak/>
        <w:t xml:space="preserve">ליקוי למידה, וכל הוצאה רפואית אחרת </w:t>
      </w:r>
      <w:r w:rsidRPr="00313C6D">
        <w:rPr>
          <w:rFonts w:ascii="FrankRuehl" w:hAnsi="FrankRuehl" w:cs="FrankRuehl"/>
          <w:sz w:val="28"/>
          <w:szCs w:val="28"/>
          <w:u w:val="single"/>
          <w:rtl/>
        </w:rPr>
        <w:t>חריגה</w:t>
      </w:r>
      <w:r w:rsidRPr="00313C6D">
        <w:rPr>
          <w:rFonts w:ascii="FrankRuehl" w:hAnsi="FrankRuehl" w:cs="FrankRuehl"/>
          <w:sz w:val="28"/>
          <w:szCs w:val="28"/>
          <w:rtl/>
        </w:rPr>
        <w:t xml:space="preserve"> אשר איננה מכוסה (במלואה או בחלקה) על ידי קופ"ח ובכלל זה הפרשים בגין אותה הוצאה חריגה לאחר קבלת החזר מכל מקור שהוא, אלא א"כ ההחזר מתקבל מביטוח פרטי הממומן ע"י הורה אחד בלבד שאז רק ההורה המממן זכאי להנות מהחזר זה. כל הוצאה רפואית כנ"ל תעשה על יסוד אסמכתא מגורם רלוונטי המאשר את נחיצותה, אשר תועבר מהורה אחד לשני בתקשורת מתועדת טרם הוצאת ההוצאה / קבלת הטיפול, על מנת לאפשר להורה השני לבדוק האמור בתוך 10 ימים מיום משלוח האסמכתא. הוצאות שהוצאו קודם לפסה"ד, על הצד  המשלם לשלוח לצד שכנגד הודעה בדואר רשום בתוך 21 יום שאם לא כן, יוחזק כמי שוויתר.</w:t>
      </w:r>
    </w:p>
    <w:p w:rsidR="00313C6D" w:rsidRPr="00313C6D" w:rsidRDefault="00313C6D" w:rsidP="00313C6D">
      <w:pPr>
        <w:pStyle w:val="ae"/>
        <w:numPr>
          <w:ilvl w:val="0"/>
          <w:numId w:val="3"/>
        </w:numPr>
        <w:spacing w:line="360" w:lineRule="auto"/>
        <w:ind w:left="720"/>
        <w:jc w:val="both"/>
        <w:rPr>
          <w:rFonts w:ascii="FrankRuehl" w:hAnsi="FrankRuehl" w:cs="FrankRuehl"/>
          <w:sz w:val="28"/>
          <w:szCs w:val="28"/>
          <w:rtl/>
        </w:rPr>
      </w:pPr>
      <w:r w:rsidRPr="00313C6D">
        <w:rPr>
          <w:rFonts w:ascii="FrankRuehl" w:hAnsi="FrankRuehl" w:cs="FrankRuehl"/>
          <w:sz w:val="28"/>
          <w:szCs w:val="28"/>
          <w:rtl/>
        </w:rPr>
        <w:t>החל ממועד הגשת התביעה יישאו הצדדים, בחלוקה 60% התובעת ו-40% הנתבע בהוצאות החינוך</w:t>
      </w:r>
      <w:r w:rsidRPr="00313C6D">
        <w:rPr>
          <w:rFonts w:ascii="FrankRuehl" w:hAnsi="FrankRuehl" w:cs="FrankRuehl"/>
          <w:b/>
          <w:bCs/>
          <w:sz w:val="28"/>
          <w:szCs w:val="28"/>
          <w:rtl/>
        </w:rPr>
        <w:t xml:space="preserve"> </w:t>
      </w:r>
      <w:r w:rsidRPr="00313C6D">
        <w:rPr>
          <w:rFonts w:ascii="FrankRuehl" w:hAnsi="FrankRuehl" w:cs="FrankRuehl"/>
          <w:sz w:val="28"/>
          <w:szCs w:val="28"/>
          <w:rtl/>
        </w:rPr>
        <w:t>של הקטינה כדלקמן: אגרות חינוך, שכר לימוד וכל תשלום אחר הנדרש לתשלום ישירות למערכת/מסגרת חינוכית לרבות ועד הורים, חוגים, שיעורי עזר (ע"פ המלצת הגורם הרלוונטי), תנועת נוער ותוכנית מצויינות. הכל, בקיזוז ההטבה שתקבל האם מהמל"ל ו/או מהצד השלישי. הוצאות שהוצאו קודם לפסה"ד,  על הצד המשלם לשלוח לצד שכנגד הודעה בדואר רשום בתוך 21 יום שאם לא כן – יוחזק כי וויתר.</w:t>
      </w:r>
    </w:p>
    <w:p w:rsidR="00313C6D" w:rsidRPr="00313C6D" w:rsidRDefault="00313C6D" w:rsidP="00313C6D">
      <w:pPr>
        <w:pStyle w:val="ae"/>
        <w:rPr>
          <w:rFonts w:ascii="FrankRuehl" w:hAnsi="FrankRuehl" w:cs="FrankRuehl"/>
          <w:sz w:val="28"/>
          <w:szCs w:val="28"/>
        </w:rPr>
      </w:pPr>
    </w:p>
    <w:p w:rsidR="00313C6D" w:rsidRPr="00313C6D" w:rsidRDefault="00313C6D" w:rsidP="00313C6D">
      <w:pPr>
        <w:pStyle w:val="ae"/>
        <w:numPr>
          <w:ilvl w:val="0"/>
          <w:numId w:val="3"/>
        </w:numPr>
        <w:spacing w:line="360" w:lineRule="auto"/>
        <w:ind w:left="720"/>
        <w:jc w:val="both"/>
        <w:rPr>
          <w:rFonts w:ascii="FrankRuehl" w:hAnsi="FrankRuehl" w:cs="FrankRuehl"/>
          <w:sz w:val="28"/>
          <w:szCs w:val="28"/>
          <w:rtl/>
        </w:rPr>
      </w:pPr>
      <w:r w:rsidRPr="00313C6D">
        <w:rPr>
          <w:rFonts w:ascii="FrankRuehl" w:hAnsi="FrankRuehl" w:cs="FrankRuehl"/>
          <w:sz w:val="28"/>
          <w:szCs w:val="28"/>
          <w:rtl/>
        </w:rPr>
        <w:t xml:space="preserve">כל הוצאה </w:t>
      </w:r>
      <w:r w:rsidRPr="00313C6D">
        <w:rPr>
          <w:rFonts w:ascii="FrankRuehl" w:hAnsi="FrankRuehl" w:cs="FrankRuehl"/>
          <w:sz w:val="28"/>
          <w:szCs w:val="28"/>
          <w:u w:val="single"/>
          <w:rtl/>
        </w:rPr>
        <w:t>חריגה</w:t>
      </w:r>
      <w:r w:rsidRPr="00313C6D">
        <w:rPr>
          <w:rFonts w:ascii="FrankRuehl" w:hAnsi="FrankRuehl" w:cs="FrankRuehl"/>
          <w:sz w:val="28"/>
          <w:szCs w:val="28"/>
          <w:rtl/>
        </w:rPr>
        <w:t xml:space="preserve"> אחרת שלא נכללת לעיל, יישאו בה שני ההורים בחלקים שווים </w:t>
      </w:r>
      <w:r w:rsidRPr="00313C6D">
        <w:rPr>
          <w:rFonts w:ascii="FrankRuehl" w:hAnsi="FrankRuehl" w:cs="FrankRuehl"/>
          <w:b/>
          <w:bCs/>
          <w:sz w:val="28"/>
          <w:szCs w:val="28"/>
          <w:rtl/>
        </w:rPr>
        <w:t>ובלבד</w:t>
      </w:r>
      <w:r w:rsidRPr="00313C6D">
        <w:rPr>
          <w:rFonts w:ascii="FrankRuehl" w:hAnsi="FrankRuehl" w:cs="FrankRuehl"/>
          <w:sz w:val="28"/>
          <w:szCs w:val="28"/>
          <w:rtl/>
        </w:rPr>
        <w:t xml:space="preserve"> ששני ההורים הסכימו להוצאה זו באופן מתועד (לרבות בתקשורת המתועדת).</w:t>
      </w:r>
    </w:p>
    <w:p w:rsidR="00313C6D" w:rsidRPr="00313C6D" w:rsidRDefault="00313C6D" w:rsidP="00313C6D">
      <w:pPr>
        <w:pStyle w:val="ae"/>
        <w:rPr>
          <w:rFonts w:ascii="FrankRuehl" w:hAnsi="FrankRuehl" w:cs="FrankRuehl"/>
          <w:sz w:val="28"/>
          <w:szCs w:val="28"/>
        </w:rPr>
      </w:pPr>
    </w:p>
    <w:p w:rsidR="00313C6D" w:rsidRPr="00313C6D" w:rsidRDefault="00313C6D" w:rsidP="00042F0D">
      <w:pPr>
        <w:pStyle w:val="ae"/>
        <w:numPr>
          <w:ilvl w:val="0"/>
          <w:numId w:val="3"/>
        </w:numPr>
        <w:spacing w:line="360" w:lineRule="auto"/>
        <w:ind w:left="720"/>
        <w:jc w:val="both"/>
        <w:rPr>
          <w:rFonts w:ascii="FrankRuehl" w:hAnsi="FrankRuehl" w:cs="FrankRuehl"/>
          <w:sz w:val="28"/>
          <w:szCs w:val="28"/>
          <w:rtl/>
        </w:rPr>
      </w:pPr>
      <w:r w:rsidRPr="00313C6D">
        <w:rPr>
          <w:rFonts w:ascii="FrankRuehl" w:hAnsi="FrankRuehl" w:cs="FrankRuehl"/>
          <w:sz w:val="28"/>
          <w:szCs w:val="28"/>
          <w:rtl/>
        </w:rPr>
        <w:t>הורה שיישא בסכום העולה על חלקו, יהא זכאי להשבת התשלום ששילם ביתר</w:t>
      </w:r>
      <w:r w:rsidR="00042F0D">
        <w:rPr>
          <w:rFonts w:ascii="FrankRuehl" w:hAnsi="FrankRuehl" w:cs="FrankRuehl" w:hint="cs"/>
          <w:sz w:val="28"/>
          <w:szCs w:val="28"/>
          <w:rtl/>
        </w:rPr>
        <w:t>,</w:t>
      </w:r>
      <w:r w:rsidRPr="00313C6D">
        <w:rPr>
          <w:rFonts w:ascii="FrankRuehl" w:hAnsi="FrankRuehl" w:cs="FrankRuehl"/>
          <w:sz w:val="28"/>
          <w:szCs w:val="28"/>
          <w:rtl/>
        </w:rPr>
        <w:t xml:space="preserve"> בתוך 10 ימים מיום ששלח להורה השני דרישה בצירוף אסמכתא ובתנאי שהמשלוח ייעשה לא יאוחר מחצי שנה לאחר ההוצאה ובאמצעות תקשורת מתועדת.</w:t>
      </w:r>
    </w:p>
    <w:p w:rsidR="00313C6D" w:rsidRPr="00313C6D" w:rsidRDefault="00313C6D" w:rsidP="00313C6D">
      <w:pPr>
        <w:pStyle w:val="ae"/>
        <w:rPr>
          <w:rFonts w:ascii="FrankRuehl" w:hAnsi="FrankRuehl" w:cs="FrankRuehl"/>
          <w:sz w:val="28"/>
          <w:szCs w:val="28"/>
        </w:rPr>
      </w:pPr>
    </w:p>
    <w:p w:rsidR="00CB1A3C" w:rsidRDefault="00313C6D" w:rsidP="008675B7">
      <w:pPr>
        <w:pStyle w:val="ae"/>
        <w:numPr>
          <w:ilvl w:val="0"/>
          <w:numId w:val="3"/>
        </w:numPr>
        <w:spacing w:line="360" w:lineRule="auto"/>
        <w:ind w:left="720"/>
        <w:jc w:val="both"/>
        <w:rPr>
          <w:rFonts w:ascii="FrankRuehl" w:hAnsi="FrankRuehl" w:cs="FrankRuehl"/>
          <w:sz w:val="28"/>
          <w:szCs w:val="28"/>
        </w:rPr>
      </w:pPr>
      <w:r w:rsidRPr="00042F0D">
        <w:rPr>
          <w:rFonts w:ascii="FrankRuehl" w:hAnsi="FrankRuehl" w:cs="FrankRuehl"/>
          <w:sz w:val="28"/>
          <w:szCs w:val="28"/>
          <w:rtl/>
        </w:rPr>
        <w:t>כל הודעה או מסמכים, ב</w:t>
      </w:r>
      <w:r w:rsidR="00042F0D" w:rsidRPr="00042F0D">
        <w:rPr>
          <w:rFonts w:ascii="FrankRuehl" w:hAnsi="FrankRuehl" w:cs="FrankRuehl" w:hint="cs"/>
          <w:sz w:val="28"/>
          <w:szCs w:val="28"/>
          <w:rtl/>
        </w:rPr>
        <w:t xml:space="preserve">נוגע </w:t>
      </w:r>
      <w:r w:rsidRPr="00042F0D">
        <w:rPr>
          <w:rFonts w:ascii="FrankRuehl" w:hAnsi="FrankRuehl" w:cs="FrankRuehl"/>
          <w:sz w:val="28"/>
          <w:szCs w:val="28"/>
          <w:rtl/>
        </w:rPr>
        <w:t>לחיובי</w:t>
      </w:r>
      <w:r w:rsidR="00042F0D" w:rsidRPr="00042F0D">
        <w:rPr>
          <w:rFonts w:ascii="FrankRuehl" w:hAnsi="FrankRuehl" w:cs="FrankRuehl" w:hint="cs"/>
          <w:sz w:val="28"/>
          <w:szCs w:val="28"/>
          <w:rtl/>
        </w:rPr>
        <w:t>ם לעיל יועברו ב</w:t>
      </w:r>
      <w:r w:rsidRPr="00042F0D">
        <w:rPr>
          <w:rFonts w:ascii="FrankRuehl" w:hAnsi="FrankRuehl" w:cs="FrankRuehl"/>
          <w:b/>
          <w:bCs/>
          <w:sz w:val="28"/>
          <w:szCs w:val="28"/>
          <w:rtl/>
        </w:rPr>
        <w:t>"תקשורת מתועדת"</w:t>
      </w:r>
      <w:r w:rsidRPr="00042F0D">
        <w:rPr>
          <w:rFonts w:ascii="FrankRuehl" w:hAnsi="FrankRuehl" w:cs="FrankRuehl"/>
          <w:sz w:val="28"/>
          <w:szCs w:val="28"/>
          <w:rtl/>
        </w:rPr>
        <w:t xml:space="preserve">: דוא"ל / דואר רשום / </w:t>
      </w:r>
      <w:r w:rsidR="00042F0D" w:rsidRPr="00042F0D">
        <w:rPr>
          <w:rFonts w:ascii="FrankRuehl" w:hAnsi="FrankRuehl" w:cs="FrankRuehl" w:hint="cs"/>
          <w:sz w:val="28"/>
          <w:szCs w:val="28"/>
          <w:rtl/>
        </w:rPr>
        <w:t>יישומון עם אישור מסירה</w:t>
      </w:r>
      <w:r w:rsidRPr="00042F0D">
        <w:rPr>
          <w:rFonts w:ascii="FrankRuehl" w:hAnsi="FrankRuehl" w:cs="FrankRuehl"/>
          <w:sz w:val="28"/>
          <w:szCs w:val="28"/>
          <w:rtl/>
        </w:rPr>
        <w:t xml:space="preserve"> (כגון: </w:t>
      </w:r>
      <w:r w:rsidRPr="00042F0D">
        <w:rPr>
          <w:rFonts w:ascii="FrankRuehl" w:hAnsi="FrankRuehl" w:cs="FrankRuehl"/>
          <w:sz w:val="28"/>
          <w:szCs w:val="28"/>
        </w:rPr>
        <w:t>WhatsApp</w:t>
      </w:r>
      <w:r w:rsidRPr="00042F0D">
        <w:rPr>
          <w:rFonts w:ascii="FrankRuehl" w:hAnsi="FrankRuehl" w:cs="FrankRuehl"/>
          <w:sz w:val="28"/>
          <w:szCs w:val="28"/>
          <w:rtl/>
        </w:rPr>
        <w:t>)</w:t>
      </w:r>
      <w:r w:rsidR="00042F0D" w:rsidRPr="00042F0D">
        <w:rPr>
          <w:rFonts w:ascii="FrankRuehl" w:hAnsi="FrankRuehl" w:cs="FrankRuehl" w:hint="cs"/>
          <w:sz w:val="28"/>
          <w:szCs w:val="28"/>
          <w:rtl/>
        </w:rPr>
        <w:t xml:space="preserve">. </w:t>
      </w:r>
      <w:r w:rsidRPr="00042F0D">
        <w:rPr>
          <w:rFonts w:ascii="FrankRuehl" w:hAnsi="FrankRuehl" w:cs="FrankRuehl"/>
          <w:sz w:val="28"/>
          <w:szCs w:val="28"/>
          <w:rtl/>
        </w:rPr>
        <w:t xml:space="preserve">ההורה השולח אינו מחויב להוכיח </w:t>
      </w:r>
      <w:r w:rsidR="00042F0D" w:rsidRPr="00042F0D">
        <w:rPr>
          <w:rFonts w:ascii="FrankRuehl" w:hAnsi="FrankRuehl" w:cs="FrankRuehl" w:hint="cs"/>
          <w:sz w:val="28"/>
          <w:szCs w:val="28"/>
          <w:rtl/>
        </w:rPr>
        <w:t>ש</w:t>
      </w:r>
      <w:r w:rsidRPr="00042F0D">
        <w:rPr>
          <w:rFonts w:ascii="FrankRuehl" w:hAnsi="FrankRuehl" w:cs="FrankRuehl"/>
          <w:sz w:val="28"/>
          <w:szCs w:val="28"/>
          <w:rtl/>
        </w:rPr>
        <w:t xml:space="preserve">ההורה השני קיבל את ההודעה אלא כי שלח לו באחד מאופני התקשורת המפורטים לעיל. </w:t>
      </w:r>
    </w:p>
    <w:p w:rsidR="00042F0D" w:rsidRPr="00042F0D" w:rsidRDefault="00042F0D" w:rsidP="00042F0D">
      <w:pPr>
        <w:pStyle w:val="ae"/>
        <w:rPr>
          <w:rFonts w:ascii="FrankRuehl" w:hAnsi="FrankRuehl" w:cs="FrankRuehl"/>
          <w:sz w:val="28"/>
          <w:szCs w:val="28"/>
          <w:rtl/>
        </w:rPr>
      </w:pPr>
    </w:p>
    <w:p w:rsidR="00CB1A3C" w:rsidRPr="00313C6D" w:rsidRDefault="00CB1A3C" w:rsidP="00CB1A3C">
      <w:pPr>
        <w:pStyle w:val="ae"/>
        <w:numPr>
          <w:ilvl w:val="0"/>
          <w:numId w:val="3"/>
        </w:numPr>
        <w:spacing w:line="360" w:lineRule="auto"/>
        <w:ind w:left="720"/>
        <w:jc w:val="both"/>
        <w:rPr>
          <w:rFonts w:ascii="FrankRuehl" w:hAnsi="FrankRuehl" w:cs="FrankRuehl"/>
          <w:sz w:val="28"/>
          <w:szCs w:val="28"/>
          <w:rtl/>
        </w:rPr>
      </w:pPr>
      <w:r>
        <w:rPr>
          <w:rFonts w:ascii="FrankRuehl" w:hAnsi="FrankRuehl" w:cs="FrankRuehl" w:hint="cs"/>
          <w:sz w:val="28"/>
          <w:szCs w:val="28"/>
          <w:rtl/>
        </w:rPr>
        <w:t>חוב עבר ממועד הגשת התביעה ועד למועד פסה"ד ישולם על ידי הנתבע בתשלומים חודשים שווים רצופים ועוקבים בסך 150 ₪, אשר יצטרפו למזונות השוטפים.</w:t>
      </w:r>
    </w:p>
    <w:p w:rsidR="000E328E" w:rsidRPr="00842B08" w:rsidRDefault="000E328E" w:rsidP="00A762D0">
      <w:pPr>
        <w:jc w:val="both"/>
        <w:rPr>
          <w:rFonts w:ascii="FrankRuehl" w:hAnsi="FrankRuehl" w:cs="FrankRuehl"/>
          <w:b/>
          <w:bCs/>
          <w:sz w:val="28"/>
          <w:szCs w:val="28"/>
          <w:u w:val="single"/>
          <w:rtl/>
        </w:rPr>
      </w:pPr>
      <w:r w:rsidRPr="00842B08">
        <w:rPr>
          <w:rFonts w:ascii="FrankRuehl" w:hAnsi="FrankRuehl" w:cs="FrankRuehl" w:hint="cs"/>
          <w:b/>
          <w:bCs/>
          <w:sz w:val="28"/>
          <w:szCs w:val="28"/>
          <w:u w:val="single"/>
          <w:rtl/>
        </w:rPr>
        <w:t>מותר לפרסום בהשמטת פרטים מזהים תיקוני הגהה ועריכה.</w:t>
      </w:r>
    </w:p>
    <w:p w:rsidR="00CB1A3C" w:rsidRPr="00842B08" w:rsidRDefault="00CB1A3C" w:rsidP="00A762D0">
      <w:pPr>
        <w:jc w:val="both"/>
        <w:rPr>
          <w:rFonts w:ascii="FrankRuehl" w:hAnsi="FrankRuehl" w:cs="FrankRuehl"/>
          <w:b/>
          <w:bCs/>
          <w:noProof w:val="0"/>
          <w:sz w:val="28"/>
          <w:szCs w:val="28"/>
          <w:u w:val="single"/>
          <w:rtl/>
        </w:rPr>
      </w:pPr>
      <w:r w:rsidRPr="00842B08">
        <w:rPr>
          <w:rFonts w:ascii="FrankRuehl" w:hAnsi="FrankRuehl" w:cs="FrankRuehl" w:hint="cs"/>
          <w:b/>
          <w:bCs/>
          <w:noProof w:val="0"/>
          <w:sz w:val="28"/>
          <w:szCs w:val="28"/>
          <w:u w:val="single"/>
          <w:rtl/>
        </w:rPr>
        <w:t>המזכירות תמציא לצדדים ותסגור ההליכים שבכותרת.</w:t>
      </w:r>
    </w:p>
    <w:p w:rsidR="00A762D0" w:rsidRDefault="00A762D0" w:rsidP="00A762D0">
      <w:pPr>
        <w:spacing w:line="360" w:lineRule="auto"/>
        <w:jc w:val="both"/>
        <w:rPr>
          <w:rFonts w:ascii="FrankRuehl" w:hAnsi="FrankRuehl" w:cs="FrankRuehl"/>
          <w:noProof w:val="0"/>
          <w:sz w:val="28"/>
          <w:szCs w:val="28"/>
          <w:rtl/>
        </w:rPr>
      </w:pPr>
      <w:r>
        <w:rPr>
          <w:rFonts w:ascii="FrankRuehl" w:hAnsi="FrankRuehl" w:cs="FrankRuehl"/>
          <w:noProof w:val="0"/>
          <w:sz w:val="28"/>
          <w:szCs w:val="28"/>
          <w:rtl/>
        </w:rPr>
        <w:t>נית</w:t>
      </w:r>
      <w:r>
        <w:rPr>
          <w:rFonts w:ascii="FrankRuehl" w:hAnsi="FrankRuehl" w:cs="FrankRuehl" w:hint="cs"/>
          <w:noProof w:val="0"/>
          <w:sz w:val="28"/>
          <w:szCs w:val="28"/>
          <w:rtl/>
        </w:rPr>
        <w:t>ן</w:t>
      </w:r>
      <w:r>
        <w:rPr>
          <w:rFonts w:ascii="FrankRuehl" w:hAnsi="FrankRuehl" w:cs="FrankRuehl"/>
          <w:noProof w:val="0"/>
          <w:sz w:val="28"/>
          <w:szCs w:val="28"/>
          <w:rtl/>
        </w:rPr>
        <w:t xml:space="preserve"> היום, </w:t>
      </w:r>
      <w:sdt>
        <w:sdtPr>
          <w:rPr>
            <w:rFonts w:ascii="FrankRuehl" w:hAnsi="FrankRuehl" w:cs="FrankRuehl"/>
            <w:sz w:val="28"/>
            <w:szCs w:val="28"/>
            <w:rtl/>
          </w:rPr>
          <w:alias w:val="1455"/>
          <w:tag w:val="1455"/>
          <w:id w:val="1666048407"/>
          <w:text w:multiLine="1"/>
        </w:sdtPr>
        <w:sdtEndPr/>
        <w:sdtContent>
          <w:r>
            <w:rPr>
              <w:rFonts w:ascii="FrankRuehl" w:hAnsi="FrankRuehl" w:cs="FrankRuehl"/>
              <w:noProof w:val="0"/>
              <w:sz w:val="28"/>
              <w:szCs w:val="28"/>
              <w:rtl/>
            </w:rPr>
            <w:t>ל' כסלו תשפ"ה</w:t>
          </w:r>
        </w:sdtContent>
      </w:sdt>
      <w:r>
        <w:rPr>
          <w:rFonts w:ascii="FrankRuehl" w:hAnsi="FrankRuehl" w:cs="FrankRuehl"/>
          <w:noProof w:val="0"/>
          <w:sz w:val="28"/>
          <w:szCs w:val="28"/>
          <w:rtl/>
        </w:rPr>
        <w:t xml:space="preserve">, </w:t>
      </w:r>
      <w:sdt>
        <w:sdtPr>
          <w:rPr>
            <w:rFonts w:ascii="FrankRuehl" w:hAnsi="FrankRuehl" w:cs="FrankRuehl"/>
            <w:sz w:val="28"/>
            <w:szCs w:val="28"/>
            <w:rtl/>
          </w:rPr>
          <w:alias w:val="1456"/>
          <w:tag w:val="1456"/>
          <w:id w:val="-1186288958"/>
          <w:text w:multiLine="1"/>
        </w:sdtPr>
        <w:sdtEndPr/>
        <w:sdtContent>
          <w:r>
            <w:rPr>
              <w:rFonts w:ascii="FrankRuehl" w:hAnsi="FrankRuehl" w:cs="FrankRuehl"/>
              <w:noProof w:val="0"/>
              <w:sz w:val="28"/>
              <w:szCs w:val="28"/>
              <w:rtl/>
            </w:rPr>
            <w:t>31 דצמבר 2024</w:t>
          </w:r>
        </w:sdtContent>
      </w:sdt>
      <w:r>
        <w:rPr>
          <w:rFonts w:ascii="FrankRuehl" w:hAnsi="FrankRuehl" w:cs="FrankRuehl"/>
          <w:noProof w:val="0"/>
          <w:sz w:val="28"/>
          <w:szCs w:val="28"/>
          <w:rtl/>
        </w:rPr>
        <w:t>, בהעדר הצדדים.</w:t>
      </w:r>
    </w:p>
    <w:p w:rsidR="00A762D0" w:rsidRDefault="00421381" w:rsidP="00A762D0">
      <w:pPr>
        <w:tabs>
          <w:tab w:val="left" w:pos="2553"/>
        </w:tabs>
        <w:ind w:left="5040"/>
        <w:rPr>
          <w:rFonts w:ascii="FrankRuehl" w:hAnsi="FrankRuehl" w:cs="FrankRuehl"/>
          <w:sz w:val="28"/>
          <w:szCs w:val="28"/>
          <w:rtl/>
        </w:rPr>
      </w:pPr>
      <w:sdt>
        <w:sdtPr>
          <w:rPr>
            <w:rFonts w:ascii="FrankRuehl" w:hAnsi="FrankRuehl" w:cs="FrankRuehl"/>
            <w:sz w:val="28"/>
            <w:szCs w:val="28"/>
            <w:rtl/>
          </w:rPr>
          <w:alias w:val="2045"/>
          <w:tag w:val="2045"/>
          <w:id w:val="740689340"/>
          <w:placeholder>
            <w:docPart w:val="71A0D8221C494876B6DC9D1765940BA2"/>
          </w:placeholder>
          <w:showingPlcHdr/>
          <w:text w:multiLine="1"/>
        </w:sdtPr>
        <w:sdtEndPr/>
        <w:sdtContent>
          <w:r w:rsidR="00A762D0">
            <w:rPr>
              <w:rFonts w:ascii="FrankRuehl" w:hAnsi="FrankRuehl" w:cs="FrankRuehl"/>
              <w:sz w:val="28"/>
              <w:szCs w:val="28"/>
              <w:rtl/>
            </w:rPr>
            <w:t xml:space="preserve">     </w:t>
          </w:r>
        </w:sdtContent>
      </w:sdt>
    </w:p>
    <w:p w:rsidR="00A762D0" w:rsidRDefault="00A762D0" w:rsidP="00B5517F">
      <w:pPr>
        <w:tabs>
          <w:tab w:val="left" w:pos="2553"/>
        </w:tabs>
      </w:pPr>
      <w:r>
        <w:rPr>
          <w:rFonts w:ascii="FrankRuehl" w:hAnsi="FrankRuehl" w:cs="FrankRuehl"/>
          <w:sz w:val="28"/>
          <w:szCs w:val="28"/>
          <w:rtl/>
        </w:rPr>
        <w:tab/>
      </w:r>
      <w:r>
        <w:rPr>
          <w:rFonts w:ascii="FrankRuehl" w:hAnsi="FrankRuehl" w:cs="FrankRuehl"/>
          <w:sz w:val="28"/>
          <w:szCs w:val="28"/>
          <w:rtl/>
        </w:rPr>
        <w:tab/>
      </w:r>
      <w:r>
        <w:rPr>
          <w:rFonts w:ascii="FrankRuehl" w:hAnsi="FrankRuehl" w:cs="FrankRuehl"/>
          <w:sz w:val="28"/>
          <w:szCs w:val="28"/>
          <w:rtl/>
        </w:rPr>
        <w:tab/>
      </w:r>
      <w:r>
        <w:rPr>
          <w:rFonts w:ascii="FrankRuehl" w:hAnsi="FrankRuehl" w:cs="FrankRuehl"/>
          <w:sz w:val="28"/>
          <w:szCs w:val="28"/>
          <w:rtl/>
        </w:rPr>
        <w:tab/>
        <w:t xml:space="preserve">        </w:t>
      </w:r>
      <w:sdt>
        <w:sdtPr>
          <w:rPr>
            <w:rtl/>
          </w:rPr>
          <w:alias w:val="MergeField"/>
          <w:tag w:val="1237"/>
          <w:id w:val="-360907780"/>
        </w:sdtPr>
        <w:sdtEndPr/>
        <w:sdtContent>
          <w:r w:rsidR="005808EE">
            <w:drawing>
              <wp:inline distT="0" distB="0" distL="0" distR="0" wp14:editId="50D07946">
                <wp:extent cx="1647825" cy="9048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237.jpg"/>
                        <pic:cNvPicPr/>
                      </pic:nvPicPr>
                      <pic:blipFill>
                        <a:blip r:embed="rId8" cstate="print">
                          <a:extLst/>
                        </a:blip>
                        <a:stretch>
                          <a:fillRect/>
                        </a:stretch>
                      </pic:blipFill>
                      <pic:spPr>
                        <a:xfrm>
                          <a:off x="0" y="0"/>
                          <a:ext cx="1647825" cy="904875"/>
                        </a:xfrm>
                        <a:prstGeom prst="rect">
                          <a:avLst/>
                        </a:prstGeom>
                      </pic:spPr>
                    </pic:pic>
                  </a:graphicData>
                </a:graphic>
              </wp:inline>
            </w:drawing>
          </w:r>
        </w:sdtContent>
      </w:sdt>
    </w:p>
    <w:sectPr w:rsidR="00A762D0" w:rsidSect="00903896">
      <w:headerReference w:type="default" r:id="rId9"/>
      <w:footerReference w:type="default" r:id="rId10"/>
      <w:pgSz w:w="11907" w:h="16840" w:code="9"/>
      <w:pgMar w:top="720" w:right="1701" w:bottom="1134" w:left="1701" w:header="720" w:footer="737" w:gutter="0"/>
      <w:lnNumType w:countBy="1"/>
      <w:cols w:space="720"/>
      <w:rtlGutter/>
      <w:docGrid w:linePitch="360"/>
    </w:sectPr>
  </w:body>
</w:document>
</file>

<file path=word/customizations.xml><?xml version="1.0" encoding="utf-8"?>
<wne:tcg xmlns:r="http://schemas.openxmlformats.org/officeDocument/2006/relationships" xmlns:wne="http://schemas.microsoft.com/office/word/2006/wordml">
  <wne:keymaps>
    <wne:keymap wne:kcmPrimary="0072">
      <wne:macro wne:macroName="PROJECT.MODULE1.CONTROLWDKEYF3A"/>
    </wne:keymap>
    <wne:keymap wne:kcmPrimary="0073">
      <wne:macro wne:macroName="PROJECT.MODULE1.CONTROLWDKEYF4A"/>
    </wne:keymap>
    <wne:keymap wne:kcmPrimary="0431">
      <wne:macro wne:macroName="PROJECT.MODULE1.CONTROLWDKEY1"/>
    </wne:keymap>
    <wne:keymap wne:kcmPrimary="0432">
      <wne:macro wne:macroName="PROJECT.MODULE1.CONTROLWDKEY2"/>
    </wne:keymap>
    <wne:keymap wne:kcmPrimary="0433">
      <wne:macro wne:macroName="PROJECT.MODULE1.CONTROLWDKEY3"/>
    </wne:keymap>
    <wne:keymap wne:kcmPrimary="0434">
      <wne:macro wne:macroName="PROJECT.MODULE1.CONTROLWDKEY4"/>
    </wne:keymap>
    <wne:keymap wne:kcmPrimary="0435">
      <wne:macro wne:macroName="PROJECT.MODULE1.CONTROLWDKEY5"/>
    </wne:keymap>
    <wne:keymap wne:kcmPrimary="0436">
      <wne:macro wne:macroName="PROJECT.MODULE1.CONTROLWDKEY6"/>
    </wne:keymap>
    <wne:keymap wne:kcmPrimary="0437">
      <wne:macro wne:macroName="PROJECT.MODULE1.CONTROLWDKEY7"/>
    </wne:keymap>
    <wne:keymap wne:kcmPrimary="0441">
      <wne:macro wne:macroName="PROJECT.MODULE1.CONTROLWDKEYA"/>
    </wne:keymap>
    <wne:keymap wne:kcmPrimary="0442">
      <wne:macro wne:macroName="PROJECT.MODULE1.CONTROLWDKEYB"/>
    </wne:keymap>
    <wne:keymap wne:kcmPrimary="0443">
      <wne:macro wne:macroName="PROJECT.MODULE1.CONTROLWDKEYC"/>
    </wne:keymap>
    <wne:keymap wne:kcmPrimary="0444">
      <wne:macro wne:macroName="PROJECT.MODULE1.CONTROLWDKEYD"/>
    </wne:keymap>
    <wne:keymap wne:kcmPrimary="0445">
      <wne:macro wne:macroName="PROJECT.MODULE1.CONTROLWDKEYE"/>
    </wne:keymap>
    <wne:keymap wne:kcmPrimary="0446">
      <wne:macro wne:macroName="PROJECT.MODULE1.CONTROLWDKEYF"/>
    </wne:keymap>
    <wne:keymap wne:kcmPrimary="0447">
      <wne:macro wne:macroName="PROJECT.MODULE1.CONTROLWDKEYG"/>
    </wne:keymap>
    <wne:keymap wne:kcmPrimary="0448">
      <wne:macro wne:macroName="PROJECT.MODULE1.CONTROLWDKEYH"/>
    </wne:keymap>
    <wne:keymap wne:kcmPrimary="044A">
      <wne:macro wne:macroName="PROJECT.MODULE1.CONTROLWDKEYJ"/>
    </wne:keymap>
    <wne:keymap wne:kcmPrimary="044B">
      <wne:macro wne:macroName="PROJECT.MODULE1.CONTROLWDKEYK"/>
    </wne:keymap>
    <wne:keymap wne:kcmPrimary="044C">
      <wne:macro wne:macroName="PROJECT.MODULE1.CONTROLWDKEYL"/>
    </wne:keymap>
    <wne:keymap wne:kcmPrimary="044D">
      <wne:macro wne:macroName="PROJECT.MODULE1.CONTROLWDKEYM"/>
    </wne:keymap>
    <wne:keymap wne:kcmPrimary="044E">
      <wne:macro wne:macroName="PROJECT.MODULE1.CONTROLWDKEYN"/>
    </wne:keymap>
    <wne:keymap wne:kcmPrimary="0450">
      <wne:macro wne:macroName="PROJECT.MODULE1.CONTROLWDKEYP"/>
    </wne:keymap>
    <wne:keymap wne:kcmPrimary="0451">
      <wne:macro wne:macroName="PROJECT.MODULE1.CONTROLWDKEYQ"/>
    </wne:keymap>
    <wne:keymap wne:kcmPrimary="0452">
      <wne:macro wne:macroName="PROJECT.MODULE1.CONTROLWDKEYR"/>
    </wne:keymap>
    <wne:keymap wne:kcmPrimary="0453">
      <wne:macro wne:macroName="PROJECT.MODULE1.CONTROLWDKEYS"/>
    </wne:keymap>
    <wne:keymap wne:kcmPrimary="0454">
      <wne:macro wne:macroName="PROJECT.MODULE1.CONTROLWDKEYT"/>
    </wne:keymap>
    <wne:keymap wne:kcmPrimary="0455">
      <wne:macro wne:macroName="PROJECT.MODULE1.CONTROLWDKEYU"/>
    </wne:keymap>
    <wne:keymap wne:kcmPrimary="0456">
      <wne:macro wne:macroName="PROJECT.MODULE1.CONTROLWDKEYV"/>
    </wne:keymap>
    <wne:keymap wne:kcmPrimary="0457">
      <wne:macro wne:macroName="PROJECT.MODULE1.CONTROLWDKEYW"/>
    </wne:keymap>
    <wne:keymap wne:kcmPrimary="0458">
      <wne:macro wne:macroName="PROJECT.MODULE1.CONTROLWDKEYX"/>
    </wne:keymap>
    <wne:keymap wne:kcmPrimary="0459">
      <wne:macro wne:macroName="PROJECT.MODULE1.CONTROLWDKEYY"/>
    </wne:keymap>
    <wne:keymap wne:kcmPrimary="045A">
      <wne:macro wne:macroName="PROJECT.MODULE1.CONTROLWDKEYZ"/>
    </wne:keymap>
    <wne:keymap wne:kcmPrimary="0470">
      <wne:macro wne:macroName="PROJECT.MODULE1.CONTROLWDKEYF1"/>
    </wne:keymap>
    <wne:keymap wne:kcmPrimary="0471">
      <wne:macro wne:macroName="PROJECT.MODULE1.CONTROLWDKEYF2"/>
    </wne:keymap>
    <wne:keymap wne:kcmPrimary="0474">
      <wne:macro wne:macroName="PROJECT.MODULE1.CONTROLWDKEYF5"/>
    </wne:keymap>
    <wne:keymap wne:kcmPrimary="0475">
      <wne:macro wne:macroName="PROJECT.MODULE1.CONTROLWDKEYF6"/>
    </wne:keymap>
    <wne:keymap wne:kcmPrimary="0476">
      <wne:macro wne:macroName="PROJECT.MODULE1.CONTROLWDKEYF7"/>
    </wne:keymap>
    <wne:keymap wne:kcmPrimary="0478">
      <wne:macro wne:macroName="PROJECT.MODULE1.CONTROLWDKEYF9"/>
    </wne:keymap>
  </wne:keymaps>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21381" w:rsidRDefault="00421381">
      <w:r>
        <w:separator/>
      </w:r>
    </w:p>
  </w:endnote>
  <w:endnote w:type="continuationSeparator" w:id="0">
    <w:p w:rsidR="00421381" w:rsidRDefault="004213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David">
    <w:panose1 w:val="020E0502060401010101"/>
    <w:charset w:val="00"/>
    <w:family w:val="swiss"/>
    <w:pitch w:val="variable"/>
    <w:sig w:usb0="00000803" w:usb1="00000000" w:usb2="00000000" w:usb3="00000000" w:csb0="00000021" w:csb1="00000000"/>
  </w:font>
  <w:font w:name="Times New Roman">
    <w:panose1 w:val="02020603050405020304"/>
    <w:charset w:val="00"/>
    <w:family w:val="roman"/>
    <w:pitch w:val="variable"/>
    <w:sig w:usb0="E0002EFF" w:usb1="C000785B" w:usb2="00000009" w:usb3="00000000" w:csb0="000001FF" w:csb1="00000000"/>
  </w:font>
  <w:font w:name="Narkisim">
    <w:panose1 w:val="020E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Miriam">
    <w:panose1 w:val="020B05020501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4556" w:rsidRPr="004E6E3C" w:rsidRDefault="002352F7">
    <w:pPr>
      <w:pStyle w:val="a5"/>
      <w:jc w:val="center"/>
      <w:rPr>
        <w:rStyle w:val="ac"/>
      </w:rPr>
    </w:pPr>
    <w:r w:rsidRPr="004E6E3C">
      <w:rPr>
        <w:rStyle w:val="ac"/>
        <w:rFonts w:cs="Times New Roman"/>
      </w:rPr>
      <w:fldChar w:fldCharType="begin"/>
    </w:r>
    <w:r w:rsidR="00005C8B" w:rsidRPr="004E6E3C">
      <w:rPr>
        <w:rStyle w:val="ac"/>
        <w:rFonts w:cs="Times New Roman"/>
      </w:rPr>
      <w:instrText xml:space="preserve"> PAGE </w:instrText>
    </w:r>
    <w:r w:rsidRPr="004E6E3C">
      <w:rPr>
        <w:rStyle w:val="ac"/>
        <w:rFonts w:cs="Times New Roman"/>
      </w:rPr>
      <w:fldChar w:fldCharType="separate"/>
    </w:r>
    <w:r w:rsidR="00E45B21">
      <w:rPr>
        <w:rStyle w:val="ac"/>
        <w:rFonts w:cs="Times New Roman"/>
        <w:rtl/>
      </w:rPr>
      <w:t>1</w:t>
    </w:r>
    <w:r w:rsidRPr="004E6E3C">
      <w:rPr>
        <w:rStyle w:val="ac"/>
        <w:rFonts w:cs="Times New Roman"/>
      </w:rPr>
      <w:fldChar w:fldCharType="end"/>
    </w:r>
    <w:r w:rsidR="00005C8B" w:rsidRPr="004E6E3C">
      <w:rPr>
        <w:rStyle w:val="ac"/>
        <w:rFonts w:hint="cs"/>
        <w:rtl/>
      </w:rPr>
      <w:t xml:space="preserve"> מתוך </w:t>
    </w:r>
    <w:r w:rsidRPr="004E6E3C">
      <w:rPr>
        <w:rStyle w:val="ac"/>
      </w:rPr>
      <w:fldChar w:fldCharType="begin"/>
    </w:r>
    <w:r w:rsidR="00005C8B" w:rsidRPr="004E6E3C">
      <w:rPr>
        <w:rStyle w:val="ac"/>
      </w:rPr>
      <w:instrText xml:space="preserve"> NUMPAGES </w:instrText>
    </w:r>
    <w:r w:rsidRPr="004E6E3C">
      <w:rPr>
        <w:rStyle w:val="ac"/>
      </w:rPr>
      <w:fldChar w:fldCharType="separate"/>
    </w:r>
    <w:r w:rsidR="00E45B21">
      <w:rPr>
        <w:rStyle w:val="ac"/>
        <w:rtl/>
      </w:rPr>
      <w:t>1</w:t>
    </w:r>
    <w:r w:rsidRPr="004E6E3C">
      <w:rPr>
        <w:rStyle w:val="ac"/>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21381" w:rsidRDefault="00421381">
      <w:r>
        <w:separator/>
      </w:r>
    </w:p>
  </w:footnote>
  <w:footnote w:type="continuationSeparator" w:id="0">
    <w:p w:rsidR="00421381" w:rsidRDefault="0042138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0486" w:rsidRDefault="00CD0486" w:rsidP="00CD0486">
    <w:pPr>
      <w:pStyle w:val="a3"/>
      <w:jc w:val="center"/>
      <w:rPr>
        <w:rFonts w:cs="FrankRuehl"/>
        <w:noProof w:val="0"/>
        <w:sz w:val="28"/>
        <w:szCs w:val="28"/>
      </w:rPr>
    </w:pPr>
    <w:r>
      <w:rPr>
        <w:rFonts w:cs="FrankRuehl"/>
        <w:sz w:val="28"/>
        <w:szCs w:val="28"/>
      </w:rPr>
      <w:drawing>
        <wp:inline distT="0" distB="0" distL="0" distR="0">
          <wp:extent cx="371475" cy="466725"/>
          <wp:effectExtent l="0" t="0" r="9525" b="9525"/>
          <wp:docPr id="2" name="תמונה 2" descr="ישראל - המנורה -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descr="ישראל - המנורה -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1475" cy="466725"/>
                  </a:xfrm>
                  <a:prstGeom prst="rect">
                    <a:avLst/>
                  </a:prstGeom>
                  <a:noFill/>
                  <a:ln>
                    <a:noFill/>
                  </a:ln>
                </pic:spPr>
              </pic:pic>
            </a:graphicData>
          </a:graphic>
        </wp:inline>
      </w:drawing>
    </w:r>
  </w:p>
  <w:tbl>
    <w:tblPr>
      <w:bidiVisual/>
      <w:tblW w:w="0" w:type="auto"/>
      <w:jc w:val="center"/>
      <w:tblLook w:val="04A0" w:firstRow="1" w:lastRow="0" w:firstColumn="1" w:lastColumn="0" w:noHBand="0" w:noVBand="1"/>
    </w:tblPr>
    <w:tblGrid>
      <w:gridCol w:w="8505"/>
    </w:tblGrid>
    <w:tr w:rsidR="00CD0486" w:rsidTr="00CD0486">
      <w:trPr>
        <w:trHeight w:val="670"/>
        <w:jc w:val="center"/>
      </w:trPr>
      <w:sdt>
        <w:sdtPr>
          <w:rPr>
            <w:rtl/>
          </w:rPr>
          <w:alias w:val="1174"/>
          <w:tag w:val="1174"/>
          <w:id w:val="-1775709220"/>
          <w:text/>
        </w:sdtPr>
        <w:sdtEndPr/>
        <w:sdtContent>
          <w:tc>
            <w:tcPr>
              <w:tcW w:w="8505" w:type="dxa"/>
              <w:hideMark/>
            </w:tcPr>
            <w:p w:rsidR="00CD0486" w:rsidRDefault="00CD0486" w:rsidP="00CD0486">
              <w:pPr>
                <w:pStyle w:val="a3"/>
                <w:spacing w:line="256" w:lineRule="auto"/>
                <w:jc w:val="center"/>
              </w:pPr>
              <w:r>
                <w:rPr>
                  <w:rFonts w:ascii="Tahoma" w:hAnsi="Tahoma" w:cs="Tahoma"/>
                  <w:b/>
                  <w:bCs/>
                  <w:noProof w:val="0"/>
                  <w:color w:val="000080"/>
                  <w:rtl/>
                </w:rPr>
                <w:t>בית משפט לענייני משפחה בחיפה</w:t>
              </w:r>
            </w:p>
          </w:tc>
        </w:sdtContent>
      </w:sdt>
    </w:tr>
    <w:tr w:rsidR="00CD0486" w:rsidTr="00CD0486">
      <w:trPr>
        <w:trHeight w:val="337"/>
        <w:jc w:val="center"/>
      </w:trPr>
      <w:tc>
        <w:tcPr>
          <w:tcW w:w="8505" w:type="dxa"/>
          <w:hideMark/>
        </w:tcPr>
        <w:p w:rsidR="00CD0486" w:rsidRDefault="00421381" w:rsidP="000355EF">
          <w:pPr>
            <w:spacing w:line="256" w:lineRule="auto"/>
            <w:rPr>
              <w:rFonts w:ascii="FrankRuehl" w:hAnsi="FrankRuehl" w:cs="FrankRuehl"/>
              <w:b/>
              <w:bCs/>
              <w:noProof w:val="0"/>
              <w:sz w:val="28"/>
              <w:szCs w:val="28"/>
              <w:rtl/>
            </w:rPr>
          </w:pPr>
          <w:sdt>
            <w:sdtPr>
              <w:rPr>
                <w:rFonts w:ascii="FrankRuehl" w:hAnsi="FrankRuehl" w:cs="FrankRuehl"/>
                <w:b/>
                <w:bCs/>
                <w:noProof w:val="0"/>
                <w:sz w:val="28"/>
                <w:szCs w:val="28"/>
                <w:rtl/>
              </w:rPr>
              <w:alias w:val="1170"/>
              <w:tag w:val="1170"/>
              <w:id w:val="299038016"/>
              <w:text w:multiLine="1"/>
            </w:sdtPr>
            <w:sdtEndPr/>
            <w:sdtContent>
              <w:r w:rsidR="00CD0486">
                <w:rPr>
                  <w:rFonts w:ascii="FrankRuehl" w:hAnsi="FrankRuehl" w:cs="FrankRuehl"/>
                  <w:b/>
                  <w:bCs/>
                  <w:noProof w:val="0"/>
                  <w:sz w:val="28"/>
                  <w:szCs w:val="28"/>
                  <w:rtl/>
                </w:rPr>
                <w:t>תלה"מ</w:t>
              </w:r>
            </w:sdtContent>
          </w:sdt>
          <w:r w:rsidR="00CD0486">
            <w:rPr>
              <w:rFonts w:ascii="FrankRuehl" w:hAnsi="FrankRuehl" w:cs="FrankRuehl"/>
              <w:b/>
              <w:bCs/>
              <w:noProof w:val="0"/>
              <w:sz w:val="28"/>
              <w:szCs w:val="28"/>
              <w:rtl/>
            </w:rPr>
            <w:t xml:space="preserve"> </w:t>
          </w:r>
          <w:sdt>
            <w:sdtPr>
              <w:rPr>
                <w:rFonts w:ascii="FrankRuehl" w:hAnsi="FrankRuehl" w:cs="FrankRuehl"/>
                <w:b/>
                <w:bCs/>
                <w:noProof w:val="0"/>
                <w:sz w:val="28"/>
                <w:szCs w:val="28"/>
                <w:rtl/>
              </w:rPr>
              <w:alias w:val="1171"/>
              <w:tag w:val="1171"/>
              <w:id w:val="81650337"/>
              <w:text w:multiLine="1"/>
            </w:sdtPr>
            <w:sdtEndPr/>
            <w:sdtContent>
              <w:r w:rsidR="00CD0486">
                <w:rPr>
                  <w:rFonts w:ascii="FrankRuehl" w:hAnsi="FrankRuehl" w:cs="FrankRuehl"/>
                  <w:b/>
                  <w:bCs/>
                  <w:noProof w:val="0"/>
                  <w:sz w:val="28"/>
                  <w:szCs w:val="28"/>
                  <w:rtl/>
                </w:rPr>
                <w:t>45415-04-23</w:t>
              </w:r>
            </w:sdtContent>
          </w:sdt>
          <w:r w:rsidR="00CD0486">
            <w:rPr>
              <w:rFonts w:ascii="FrankRuehl" w:hAnsi="FrankRuehl" w:cs="FrankRuehl"/>
              <w:b/>
              <w:bCs/>
              <w:noProof w:val="0"/>
              <w:sz w:val="28"/>
              <w:szCs w:val="28"/>
              <w:rtl/>
            </w:rPr>
            <w:t xml:space="preserve"> </w:t>
          </w:r>
          <w:sdt>
            <w:sdtPr>
              <w:rPr>
                <w:rFonts w:ascii="FrankRuehl" w:hAnsi="FrankRuehl" w:cs="FrankRuehl"/>
                <w:b/>
                <w:bCs/>
                <w:noProof w:val="0"/>
                <w:sz w:val="28"/>
                <w:szCs w:val="28"/>
                <w:rtl/>
              </w:rPr>
              <w:alias w:val="1172"/>
              <w:tag w:val="1172"/>
              <w:id w:val="-1742169342"/>
              <w:text w:multiLine="1"/>
            </w:sdtPr>
            <w:sdtEndPr/>
            <w:sdtContent>
              <w:r w:rsidR="00CD0486">
                <w:rPr>
                  <w:rFonts w:ascii="FrankRuehl" w:hAnsi="FrankRuehl" w:cs="FrankRuehl"/>
                  <w:b/>
                  <w:bCs/>
                  <w:noProof w:val="0"/>
                  <w:sz w:val="28"/>
                  <w:szCs w:val="28"/>
                  <w:rtl/>
                </w:rPr>
                <w:t>(מזונות ומדור קטינה)</w:t>
              </w:r>
              <w:r w:rsidR="00CD0486">
                <w:rPr>
                  <w:rFonts w:ascii="FrankRuehl" w:hAnsi="FrankRuehl" w:cs="FrankRuehl"/>
                  <w:b/>
                  <w:bCs/>
                  <w:noProof w:val="0"/>
                  <w:sz w:val="28"/>
                  <w:szCs w:val="28"/>
                  <w:rtl/>
                </w:rPr>
                <w:br/>
                <w:t>תלה"מ 44289-04-23 (תביעה בעניין קטין – תביעת האם)</w:t>
              </w:r>
              <w:r w:rsidR="00CD0486">
                <w:rPr>
                  <w:rFonts w:ascii="FrankRuehl" w:hAnsi="FrankRuehl" w:cs="FrankRuehl"/>
                  <w:b/>
                  <w:bCs/>
                  <w:noProof w:val="0"/>
                  <w:sz w:val="28"/>
                  <w:szCs w:val="28"/>
                  <w:rtl/>
                </w:rPr>
                <w:br/>
                <w:t>תלה"מ 20905-09-23 (תביעה בעניין קטין – תביעת האב)</w:t>
              </w:r>
              <w:r w:rsidR="00CD0486">
                <w:rPr>
                  <w:rFonts w:ascii="FrankRuehl" w:hAnsi="FrankRuehl" w:cs="FrankRuehl"/>
                  <w:b/>
                  <w:bCs/>
                  <w:noProof w:val="0"/>
                  <w:sz w:val="28"/>
                  <w:szCs w:val="28"/>
                  <w:rtl/>
                </w:rPr>
                <w:br/>
                <w:t>ח</w:t>
              </w:r>
              <w:r w:rsidR="000355EF">
                <w:rPr>
                  <w:rFonts w:ascii="FrankRuehl" w:hAnsi="FrankRuehl" w:cs="FrankRuehl" w:hint="cs"/>
                  <w:b/>
                  <w:bCs/>
                  <w:noProof w:val="0"/>
                  <w:sz w:val="28"/>
                  <w:szCs w:val="28"/>
                  <w:rtl/>
                </w:rPr>
                <w:t xml:space="preserve"> </w:t>
              </w:r>
              <w:r w:rsidR="00CD0486">
                <w:rPr>
                  <w:rFonts w:ascii="FrankRuehl" w:hAnsi="FrankRuehl" w:cs="FrankRuehl"/>
                  <w:b/>
                  <w:bCs/>
                  <w:noProof w:val="0"/>
                  <w:sz w:val="28"/>
                  <w:szCs w:val="28"/>
                  <w:rtl/>
                </w:rPr>
                <w:t>נ' א</w:t>
              </w:r>
            </w:sdtContent>
          </w:sdt>
        </w:p>
      </w:tc>
    </w:tr>
  </w:tbl>
  <w:p w:rsidR="00CD0486" w:rsidRDefault="00CD0486" w:rsidP="00CD0486">
    <w:pPr>
      <w:pStyle w:val="a3"/>
      <w:rPr>
        <w:noProof w:val="0"/>
        <w:rtl/>
      </w:rPr>
    </w:pPr>
    <w:r>
      <w:rPr>
        <w:noProof w:val="0"/>
        <w:rtl/>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A63267"/>
    <w:multiLevelType w:val="hybridMultilevel"/>
    <w:tmpl w:val="E91A0FFC"/>
    <w:lvl w:ilvl="0" w:tplc="A85688E8">
      <w:start w:val="1"/>
      <w:numFmt w:val="decimal"/>
      <w:lvlText w:val="%1."/>
      <w:lvlJc w:val="left"/>
      <w:pPr>
        <w:ind w:left="360" w:hanging="360"/>
      </w:pPr>
      <w:rPr>
        <w:rFonts w:ascii="David" w:hAnsi="David" w:cs="David" w:hint="default"/>
        <w:b w:val="0"/>
        <w:bCs w:val="0"/>
        <w:sz w:val="24"/>
        <w:szCs w:val="24"/>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 w15:restartNumberingAfterBreak="0">
    <w:nsid w:val="2B5C14C1"/>
    <w:multiLevelType w:val="hybridMultilevel"/>
    <w:tmpl w:val="EE500EAA"/>
    <w:lvl w:ilvl="0" w:tplc="032AA9DC">
      <w:start w:val="1"/>
      <w:numFmt w:val="hebrew1"/>
      <w:lvlText w:val="%1."/>
      <w:lvlJc w:val="left"/>
      <w:pPr>
        <w:ind w:left="544" w:hanging="360"/>
      </w:pPr>
      <w:rPr>
        <w:lang w:val="en-US"/>
      </w:rPr>
    </w:lvl>
    <w:lvl w:ilvl="1" w:tplc="04090019">
      <w:start w:val="1"/>
      <w:numFmt w:val="lowerLetter"/>
      <w:lvlText w:val="%2."/>
      <w:lvlJc w:val="left"/>
      <w:pPr>
        <w:ind w:left="1264" w:hanging="360"/>
      </w:pPr>
    </w:lvl>
    <w:lvl w:ilvl="2" w:tplc="0409001B">
      <w:start w:val="1"/>
      <w:numFmt w:val="lowerRoman"/>
      <w:lvlText w:val="%3."/>
      <w:lvlJc w:val="right"/>
      <w:pPr>
        <w:ind w:left="1984" w:hanging="180"/>
      </w:pPr>
    </w:lvl>
    <w:lvl w:ilvl="3" w:tplc="0409000F">
      <w:start w:val="1"/>
      <w:numFmt w:val="decimal"/>
      <w:lvlText w:val="%4."/>
      <w:lvlJc w:val="left"/>
      <w:pPr>
        <w:ind w:left="2704" w:hanging="360"/>
      </w:pPr>
    </w:lvl>
    <w:lvl w:ilvl="4" w:tplc="04090019">
      <w:start w:val="1"/>
      <w:numFmt w:val="lowerLetter"/>
      <w:lvlText w:val="%5."/>
      <w:lvlJc w:val="left"/>
      <w:pPr>
        <w:ind w:left="3424" w:hanging="360"/>
      </w:pPr>
    </w:lvl>
    <w:lvl w:ilvl="5" w:tplc="0409001B">
      <w:start w:val="1"/>
      <w:numFmt w:val="lowerRoman"/>
      <w:lvlText w:val="%6."/>
      <w:lvlJc w:val="right"/>
      <w:pPr>
        <w:ind w:left="4144" w:hanging="180"/>
      </w:pPr>
    </w:lvl>
    <w:lvl w:ilvl="6" w:tplc="0409000F">
      <w:start w:val="1"/>
      <w:numFmt w:val="decimal"/>
      <w:lvlText w:val="%7."/>
      <w:lvlJc w:val="left"/>
      <w:pPr>
        <w:ind w:left="4864" w:hanging="360"/>
      </w:pPr>
    </w:lvl>
    <w:lvl w:ilvl="7" w:tplc="04090019">
      <w:start w:val="1"/>
      <w:numFmt w:val="lowerLetter"/>
      <w:lvlText w:val="%8."/>
      <w:lvlJc w:val="left"/>
      <w:pPr>
        <w:ind w:left="5584" w:hanging="360"/>
      </w:pPr>
    </w:lvl>
    <w:lvl w:ilvl="8" w:tplc="0409001B">
      <w:start w:val="1"/>
      <w:numFmt w:val="lowerRoman"/>
      <w:lvlText w:val="%9."/>
      <w:lvlJc w:val="right"/>
      <w:pPr>
        <w:ind w:left="6304" w:hanging="180"/>
      </w:pPr>
    </w:lvl>
  </w:abstractNum>
  <w:abstractNum w:abstractNumId="2" w15:restartNumberingAfterBreak="0">
    <w:nsid w:val="6A127A21"/>
    <w:multiLevelType w:val="hybridMultilevel"/>
    <w:tmpl w:val="E91A0FFC"/>
    <w:lvl w:ilvl="0" w:tplc="A85688E8">
      <w:start w:val="1"/>
      <w:numFmt w:val="decimal"/>
      <w:lvlText w:val="%1."/>
      <w:lvlJc w:val="left"/>
      <w:pPr>
        <w:ind w:left="360" w:hanging="360"/>
      </w:pPr>
      <w:rPr>
        <w:rFonts w:ascii="David" w:hAnsi="David" w:cs="David" w:hint="default"/>
        <w:b w:val="0"/>
        <w:bCs w:val="0"/>
        <w:sz w:val="24"/>
        <w:szCs w:val="24"/>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aseID" w:val="80195353"/>
    <w:docVar w:name="CourtID" w:val="26"/>
    <w:docVar w:name="DocumentDS" w:val="&amp;lt;?xml version=&amp;quot;1.0&amp;quot;?&amp;gt;_x000d__x000a_&amp;lt;DocumentDS&amp;gt;_x000d__x000a_  &amp;lt;xs:schema id=&amp;quot;DocumentDS&amp;quot; targetNamespace=&amp;quot;http://www.tempuri.org/DocumentDS.xsd&amp;quot; xmlns:mstns=&amp;quot;http://www.tempuri.org/DocumentDS.xsd&amp;quot; xmlns=&amp;quot;http://www.tempuri.org/DocumentDS.xsd&amp;quot; xmlns:xs=&amp;quot;http://www.w3.org/2001/XMLSchema&amp;quot; xmlns:msdata=&amp;quot;urn:schemas-microsoft-com:xml-msdata&amp;quot; attributeFormDefault=&amp;quot;qualified&amp;quot; elementFormDefault=&amp;quot;qualified&amp;quot;&amp;gt;_x000d__x000a_    &amp;lt;xs:element name=&amp;quot;DocumentDS&amp;quot; msdata:IsDataSet=&amp;quot;true&amp;quot; msdata:Locale=&amp;quot;en-US&amp;quot;&amp;gt;_x000d__x000a_      &amp;lt;xs:complexType&amp;gt;_x000d__x000a_        &amp;lt;xs:choice minOccurs=&amp;quot;0&amp;quot; maxOccurs=&amp;quot;unbounded&amp;quot;&amp;gt;_x000d__x000a_          &amp;lt;xs:element name=&amp;quot;dt_DocumentCase&amp;quot;&amp;gt;_x000d__x000a_            &amp;lt;xs:complexType&amp;gt;_x000d__x000a_              &amp;lt;xs:sequence&amp;gt;_x000d__x000a_                &amp;lt;xs:element name=&amp;quot;CaseID&amp;quot; type=&amp;quot;xs:int&amp;quot; /&amp;gt;_x000d__x000a_                &amp;lt;xs:element name=&amp;quot;DocumentID&amp;quot; type=&amp;quot;xs:int&amp;quot; /&amp;gt;_x000d__x000a_              &amp;lt;/xs:sequence&amp;gt;_x000d__x000a_            &amp;lt;/xs:complexType&amp;gt;_x000d__x000a_          &amp;lt;/xs:element&amp;gt;_x000d__x000a_          &amp;lt;xs:element name=&amp;quot;dt_Bookmark&amp;quot;&amp;gt;_x000d__x000a_            &amp;lt;xs:complexType&amp;gt;_x000d__x000a_              &amp;lt;xs:sequence&amp;gt;_x000d__x000a_                &amp;lt;xs:element name=&amp;quot;BookmarkID&amp;quot; msdata:ReadOnly=&amp;quot;true&amp;quot; msdata:AutoIncrement=&amp;quot;true&amp;quot; msdata:AutoIncrementSeed=&amp;quot;-1&amp;quot; msdata:AutoIncrementStep=&amp;quot;-1&amp;quot; type=&amp;quot;xs:int&amp;quot; /&amp;gt;_x000d__x000a_                &amp;lt;xs:element name=&amp;quot;DocumentID&amp;quot; type=&amp;quot;xs:int&amp;quot; /&amp;gt;_x000d__x000a_                &amp;lt;xs:element name=&amp;quot;BookmarkName&amp;quot; type=&amp;quot;xs:string&amp;quot; minOccurs=&amp;quot;0&amp;quot; /&amp;gt;_x000d__x000a_                &amp;lt;xs:element name=&amp;quot;DocumentPage&amp;quot; type=&amp;quot;xs:int&amp;quot; minOccurs=&amp;quot;0&amp;quot; /&amp;gt;_x000d__x000a_              &amp;lt;/xs:sequence&amp;gt;_x000d__x000a_            &amp;lt;/xs:complexType&amp;gt;_x000d__x000a_          &amp;lt;/xs:element&amp;gt;_x000d__x000a_          &amp;lt;xs:element name=&amp;quot;dt_Document&amp;quot;&amp;gt;_x000d__x000a_            &amp;lt;xs:complexType&amp;gt;_x000d__x000a_              &amp;lt;xs:sequence&amp;gt;_x000d__x000a_                &amp;lt;xs:element name=&amp;quot;DocumentID&amp;quot; msdata:ReadOnly=&amp;quot;true&amp;quot; msdata:AutoIncrement=&amp;quot;true&amp;quot; msdata:AutoIncrementSeed=&amp;quot;-1&amp;quot; msdata:AutoIncrementStep=&amp;quot;-1&amp;quot; type=&amp;quot;xs:int&amp;quot; /&amp;gt;_x000d__x000a_                &amp;lt;xs:element name=&amp;quot;DocumentMainID&amp;quot; type=&amp;quot;xs:int&amp;quot; /&amp;gt;_x000d__x000a_                &amp;lt;xs:element name=&amp;quot;CaseID&amp;quot; type=&amp;quot;xs:int&amp;quot; minOccurs=&amp;quot;0&amp;quot; /&amp;gt;_x000d__x000a_                &amp;lt;xs:element name=&amp;quot;ConvertCaseID&amp;quot; type=&amp;quot;xs:int&amp;quot; minOccurs=&amp;quot;0&amp;quot; /&amp;gt;_x000d__x000a_                &amp;lt;xs:element name=&amp;quot;OldDocumentID&amp;quot; type=&amp;quot;xs:string&amp;quot; minOccurs=&amp;quot;0&amp;quot; /&amp;gt;_x000d__x000a_                &amp;lt;xs:element name=&amp;quot;OldCaseID&amp;quot; type=&amp;quot;xs:string&amp;quot; minOccurs=&amp;quot;0&amp;quot; /&amp;gt;_x000d__x000a_                &amp;lt;xs:element name=&amp;quot;DocumentIncludedDate&amp;quot; type=&amp;quot;xs:dateTime&amp;quot; /&amp;gt;_x000d__x000a_                &amp;lt;xs:element name=&amp;quot;DocumentDesc&amp;quot; type=&amp;quot;xs:string&amp;quot; /&amp;gt;_x000d__x000a_                &amp;lt;xs:element name=&amp;quot;DocumentDirectionID&amp;quot; type=&amp;quot;xs:int&amp;quot; minOccurs=&amp;quot;0&amp;quot; /&amp;gt;_x000d__x000a_                &amp;lt;xs:element name=&amp;quot;SourceID&amp;quot; type=&amp;quot;xs:int&amp;quot; minOccurs=&amp;quot;0&amp;quot; /&amp;gt;_x000d__x000a_                &amp;lt;xs:element name=&amp;quot;SavingMethodID&amp;quot; type=&amp;quot;xs:int&amp;quot; minOccurs=&amp;quot;0&amp;quot; /&amp;gt;_x000d__x000a_                &amp;lt;xs:element name=&amp;quot;PaperDocumentSavingPlace&amp;quot; type=&amp;quot;xs:string&amp;quot; minOccurs=&amp;quot;0&amp;quot; /&amp;gt;_x000d__x000a_                &amp;lt;xs:element name=&amp;quot;VersionNumber&amp;quot; type=&amp;quot;xs:int&amp;quot; /&amp;gt;_x000d__x000a_                &amp;lt;xs:element name=&amp;quot;DocumentVersionTypeID&amp;quot; type=&amp;quot;xs:int&amp;quot; minOccurs=&amp;quot;0&amp;quot; /&amp;gt;_x000d__x000a_                &amp;lt;xs:element name=&amp;quot;IsAttachment&amp;quot; type=&amp;quot;xs:boolean&amp;quot; /&amp;gt;_x000d__x000a_                &amp;lt;xs:element name=&amp;quot;AttachmentOrdinalNumber&amp;quot; type=&amp;quot;xs:int&amp;quot; minOccurs=&amp;quot;0&amp;quot; /&amp;gt;_x000d__x000a_                &amp;lt;xs:element name=&amp;quot;DocumentTypeID&amp;quot; type=&amp;quot;xs:int&amp;quot; minOccurs=&amp;quot;0&amp;quot; /&amp;gt;_x000d__x000a_                &amp;lt;xs:element name=&amp;quot;DocumentSavingDate&amp;quot; type=&amp;quot;xs:dateTime&amp;quot; minOccurs=&amp;quot;0&amp;quot; /&amp;gt;_x000d__x000a_                &amp;lt;xs:element name=&amp;quot;DocumentChangeDate&amp;quot; type=&amp;quot;xs:dateTime&amp;quot; /&amp;gt;_x000d__x000a_                &amp;lt;xs:element name=&amp;quot;IsScanned&amp;quot; type=&amp;quot;xs:boolean&amp;quot; minOccurs=&amp;quot;0&amp;quot; /&amp;gt;_x000d__x000a_                &amp;lt;xs:element name=&amp;quot;DocumentScanningDate&amp;quot; type=&amp;quot;xs:dateTime&amp;quot; minOccurs=&amp;quot;0&amp;quot; /&amp;gt;_x000d__x000a_                &amp;lt;xs:element name=&amp;quot;PageQuantity&amp;quot; type=&amp;quot;xs:int&amp;quot; minOccurs=&amp;quot;0&amp;quot; /&amp;gt;_x000d__x000a_                &amp;lt;xs:element name=&amp;quot;DocumentStatusID&amp;quot; type=&amp;quot;xs:int&amp;quot; minOccurs=&amp;quot;0&amp;quot; /&amp;gt;_x000d__x000a_                &amp;lt;xs:element name=&amp;quot;DocumentStatusChangeDate&amp;quot; type=&amp;quot;xs:dateTime&amp;quot; minOccurs=&amp;quot;0&amp;quot; /&amp;gt;_x000d__x000a_                &amp;lt;xs:element name=&amp;quot;TemplateID&amp;quot; type=&amp;quot;xs:int&amp;quot; minOccurs=&amp;quot;0&amp;quot; /&amp;gt;_x000d__x000a_                &amp;lt;xs:element name=&amp;quot;TemplateVersionID&amp;quot; type=&amp;quot;xs:int&amp;quot; minOccurs=&amp;quot;0&amp;quot; /&amp;gt;_x000d__x000a_                &amp;lt;xs:element name=&amp;quot;DocumentChangeUserID&amp;quot; type=&amp;quot;xs:string&amp;quot; minOccurs=&amp;quot;0&amp;quot; /&amp;gt;_x000d__x000a_                &amp;lt;xs:element name=&amp;quot;DocumentCreationUserID&amp;quot; type=&amp;quot;xs:string&amp;quot; minOccurs=&amp;quot;0&amp;quot; /&amp;gt;_x000d__x000a_                &amp;lt;xs:element name=&amp;quot;OriginalDocumentID&amp;quot; type=&amp;quot;xs:int&amp;quot; minOccurs=&amp;quot;0&amp;quot; /&amp;gt;_x000d__x000a_                &amp;lt;xs:element name=&amp;quot;PrivillegeID&amp;quot; type=&amp;quot;xs:int&amp;quot; /&amp;gt;_x000d__x000a_                &amp;lt;xs:element name=&amp;quot;FromPage&amp;quot; type=&amp;quot;xs:int&amp;quot; default=&amp;quot;0&amp;quot; minOccurs=&amp;quot;0&amp;quot; /&amp;gt;_x000d__x000a_                &amp;lt;xs:element name=&amp;quot;ToPage&amp;quot; type=&amp;quot;xs:int&amp;quot; default=&amp;quot;0&amp;quot; minOccurs=&amp;quot;0&amp;quot; /&amp;gt;_x000d__x000a_                &amp;lt;xs:element name=&amp;quot;IsScannedWithoutEntity&amp;quot; type=&amp;quot;xs:boolean&amp;quot; minOccurs=&amp;quot;0&amp;quot; /&amp;gt;_x000d__x000a_                &amp;lt;xs:element name=&amp;quot;DocumentComment&amp;quot; type=&amp;quot;xs:string&amp;quot; minOccurs=&amp;quot;0&amp;quot; /&amp;gt;_x000d__x000a_                &amp;lt;xs:element name=&amp;quot;BoxNumber&amp;quot; type=&amp;quot;xs:string&amp;quot; minOccurs=&amp;quot;0&amp;quot; /&amp;gt;_x000d__x000a_                &amp;lt;xs:element name=&amp;quot;Archive&amp;quot; type=&amp;quot;xs:string&amp;quot; minOccurs=&amp;quot;0&amp;quot; /&amp;gt;_x000d__x000a_                &amp;lt;xs:element name=&amp;quot;CasePartyID&amp;quot; type=&amp;quot;xs:int&amp;quot; minOccurs=&amp;quot;0&amp;quot; /&amp;gt;_x000d__x000a_                &amp;lt;xs:element name=&amp;quot;FileID&amp;quot; type=&amp;quot;xs:string&amp;quot; minOccurs=&amp;quot;0&amp;quot; /&amp;gt;_x000d__x000a_                &amp;lt;xs:element name=&amp;quot;OriginalFileID&amp;quot; type=&amp;quot;xs:string&amp;quot; minOccurs=&amp;quot;0&amp;quot; /&amp;gt;_x000d__x000a_                &amp;lt;xs:element name=&amp;quot;CaseDisplayNumber&amp;quot; type=&amp;quot;xs:string&amp;quot; minOccurs=&amp;quot;0&amp;quot; /&amp;gt;_x000d__x000a_                &amp;lt;xs:element name=&amp;quot;URL&amp;quot; type=&amp;quot;xs:string&amp;quot; minOccurs=&amp;quot;0&amp;quot; /&amp;gt;_x000d__x000a_                &amp;lt;xs:element name=&amp;quot;SplittedNumberOfPages&amp;quot; type=&amp;quot;xs:int&amp;quot; minOccurs=&amp;quot;0&amp;quot; /&amp;gt;_x000d__x000a_                &amp;lt;xs:element name=&amp;quot;isOliveProcessed&amp;quot; type=&amp;quot;xs:boolean&amp;quot; minOccurs=&amp;quot;0&amp;quot; /&amp;gt;_x000d__x000a_                &amp;lt;xs:element name=&amp;quot;CasePartyDisplayName&amp;quot; type=&amp;quot;xs:string&amp;quot; minOccurs=&amp;quot;0&amp;quot; /&amp;gt;_x000d__x000a_                &amp;lt;xs:element name=&amp;quot;OlivePriority&amp;quot; type=&amp;quot;xs:int&amp;quot; default=&amp;quot;1&amp;quot; minOccurs=&amp;quot;0&amp;quot; /&amp;gt;_x000d__x000a_                &amp;lt;xs:element name=&amp;quot;PreFetchUrl&amp;quot; type=&amp;quot;xs:string&amp;quot; minOccurs=&amp;quot;0&amp;quot; /&amp;gt;_x000d__x000a_                &amp;lt;xs:element name=&amp;quot;DocumentCdImportID&amp;quot; type=&amp;quot;xs:string&amp;quot; minOccurs=&amp;quot;0&amp;quot; /&amp;gt;_x000d__x000a_                &amp;lt;xs:element name=&amp;quot;MetaDataTypeID&amp;quot; type=&amp;quot;xs:int&amp;quot; minOccurs=&amp;quot;0&amp;quot; /&amp;gt;_x000d__x000a_                &amp;lt;xs:element name=&amp;quot;MetaDataChangeDate&amp;quot; type=&amp;quot;xs:dateTime&amp;quot; minOccurs=&amp;quot;0&amp;quot; /&amp;gt;_x000d__x000a_                &amp;lt;xs:element name=&amp;quot;MetaData&amp;quot; type=&amp;quot;xs:string&amp;quot; minOccurs=&amp;quot;0&amp;quot; /&amp;gt;_x000d__x000a_                &amp;lt;xs:element name=&amp;quot;NewVersionRequired&amp;quot; type=&amp;quot;xs:boolean&amp;quot; minOccurs=&amp;quot;0&amp;quot; /&amp;gt;_x000d__x000a_                &amp;lt;xs:element name=&amp;quot;IsReturned&amp;quot; type=&amp;quot;xs:boolean&amp;quot; default=&amp;quot;false&amp;quot; /&amp;gt;_x000d__x000a_                &amp;lt;xs:element name=&amp;quot;SignatureURL&amp;quot; type=&amp;quot;xs:string&amp;quot; minOccurs=&amp;quot;0&amp;quot; /&amp;gt;_x000d__x000a_                &amp;lt;xs:element name=&amp;quot;IsCritical&amp;quot; type=&amp;quot;xs:boolean&amp;quot; default=&amp;quot;false&amp;quot; minOccurs=&amp;quot;0&amp;quot; /&amp;gt;_x000d__x000a_                &amp;lt;xs:element name=&amp;quot;IsEntityCanceled&amp;quot; type=&amp;quot;xs:boolean&amp;quot; default=&amp;quot;false&amp;quot; /&amp;gt;_x000d__x000a_                &amp;lt;xs:element name=&amp;quot;IsRepresentativeRegistryOpenToPublic&amp;quot; type=&amp;quot;xs:boolean&amp;quot; default=&amp;quot;false&amp;quot; minOccurs=&amp;quot;0&amp;quot; /&amp;gt;_x000d__x000a_                &amp;lt;xs:element name=&amp;quot;PresentationDate&amp;quot; type=&amp;quot;xs:dateTime&amp;quot; minOccurs=&amp;quot;0&amp;quot; /&amp;gt;_x000d__x000a_                &amp;lt;xs:element name=&amp;quot;IsIDCPublished&amp;quot; type=&amp;quot;xs:boolean&amp;quot; minOccurs=&amp;quot;0&amp;quot; /&amp;gt;_x000d__x000a_                &amp;lt;xs:element name=&amp;quot;IsDocumentPipexed&amp;quot; type=&amp;quot;xs:boolean&amp;quot; minOccurs=&amp;quot;0&amp;quot; /&amp;gt;_x000d__x000a_                &amp;lt;xs:element name=&amp;quot;ConvertToPdf&amp;quot; type=&amp;quot;xs:int&amp;quot; minOccurs=&amp;quot;0&amp;quot; /&amp;gt;_x000d__x000a_                &amp;lt;xs:element name=&amp;quot;PublishToIDC&amp;quot; type=&amp;quot;xs:int&amp;quot; minOccurs=&amp;quot;0&amp;quot; /&amp;gt;_x000d__x000a_                &amp;lt;xs:element name=&amp;quot;OCR&amp;quot; type=&amp;quot;xs:int&amp;quot; minOccurs=&amp;quot;0&amp;quot; /&amp;gt;_x000d__x000a_                &amp;lt;xs:element name=&amp;quot;DesicionPublish&amp;quot; type=&amp;quot;xs:int&amp;quot; minOccurs=&amp;quot;0&amp;quot; /&amp;gt;_x000d__x000a_                &amp;lt;xs:element name=&amp;quot;IsProof&amp;quot; type=&amp;quot;xs:int&amp;quot; minOccurs=&amp;quot;0&amp;quot; /&amp;gt;_x000d__x000a_                &amp;lt;xs:element name=&amp;quot;Summarization&amp;quot; type=&amp;quot;xs:int&amp;quot; minOccurs=&amp;quot;0&amp;quot; /&amp;gt;_x000d__x000a_                &amp;lt;xs:element name=&amp;quot;GetPunishmentData&amp;quot; type=&amp;quot;xs:int&amp;quot; minOccurs=&amp;quot;0&amp;quot; /&amp;gt;_x000d__x000a_                &amp;lt;xs:element name=&amp;quot;AutomaticallyDelivery&amp;quot; type=&amp;quot;xs:int&amp;quot; minOccurs=&amp;quot;0&amp;quot; /&amp;gt;_x000d__x000a_                &amp;lt;xs:element name=&amp;quot;Send2ELK&amp;quot; type=&amp;quot;xs:int&amp;quot; minOccurs=&amp;quot;0&amp;quot; /&amp;gt;_x000d__x000a_                &amp;lt;xs:element name=&amp;quot;TransportFineExtract&amp;quot; type=&amp;quot;xs:int&amp;quot; minOccurs=&amp;quot;0&amp;quot; /&amp;gt;_x000d__x000a_              &amp;lt;/xs:sequence&amp;gt;_x000d__x000a_            &amp;lt;/xs:complexType&amp;gt;_x000d__x000a_          &amp;lt;/xs:element&amp;gt;_x000d__x000a_          &amp;lt;xs:element name=&amp;quot;dt_DocumentNote&amp;quot;&amp;gt;_x000d__x000a_            &amp;lt;xs:complexType&amp;gt;_x000d__x000a_              &amp;lt;xs:sequence&amp;gt;_x000d__x000a_                &amp;lt;xs:element name=&amp;quot;DocumentNoteID&amp;quot; msdata:ReadOnly=&amp;quot;true&amp;quot; msdata:AutoIncrement=&amp;quot;true&amp;quot; msdata:AutoIncrementSeed=&amp;quot;-1&amp;quot; msdata:AutoIncrementStep=&amp;quot;-1&amp;quot; type=&amp;quot;xs:int&amp;quot; /&amp;gt;_x000d__x000a_                &amp;lt;xs:element name=&amp;quot;DocumentID&amp;quot; type=&amp;quot;xs:int&amp;quot; /&amp;gt;_x000d__x000a_                &amp;lt;xs:element name=&amp;quot;DocumentNoteCreateDate&amp;quot; type=&amp;quot;xs:dateTime&amp;quot; /&amp;gt;_x000d__x000a_                &amp;lt;xs:element name=&amp;quot;CreationUserID&amp;quot; type=&amp;quot;xs:string&amp;quot; /&amp;gt;_x000d__x000a_                &amp;lt;xs:element name=&amp;quot;DocumentNoteDesc&amp;quot; type=&amp;quot;xs:string&amp;quot; minOccurs=&amp;quot;0&amp;quot; /&amp;gt;_x000d__x000a_                &amp;lt;xs:element name=&amp;quot;DocumentNoteXML&amp;quot; type=&amp;quot;xs:string&amp;quot; minOccurs=&amp;quot;0&amp;quot; /&amp;gt;_x000d__x000a_                &amp;lt;xs:element name=&amp;quot;DescriptionPageNumber&amp;quot; type=&amp;quot;xs:int&amp;quot; minOccurs=&amp;quot;0&amp;quot; /&amp;gt;_x000d__x000a_                &amp;lt;xs:element name=&amp;quot;AccessTypeID&amp;quot; type=&amp;quot;xs:int&amp;quot; minOccurs=&amp;quot;0&amp;quot; /&amp;gt;_x000d__x000a_                &amp;lt;xs:element name=&amp;quot;NoteTypeID&amp;quot; type=&amp;quot;xs:int&amp;quot; minOccurs=&amp;quot;0&amp;quot; /&amp;gt;_x000d__x000a_                &amp;lt;xs:element name=&amp;quot;X1Location&amp;quot; type=&amp;quot;xs:decimal&amp;quot; /&amp;gt;_x000d__x000a_                &amp;lt;xs:element name=&amp;quot;X2Location&amp;quot; type=&amp;quot;xs:decimal&amp;quot; /&amp;gt;_x000d__x000a_                &amp;lt;xs:element name=&amp;quot;Y1Location&amp;quot; type=&amp;quot;xs:decimal&amp;quot; /&amp;gt;_x000d__x000a_                &amp;lt;xs:element name=&amp;quot;Y2Location&amp;quot; type=&amp;quot;xs:decimal&amp;quot; /&amp;gt;_x000d__x000a_                &amp;lt;xs:element name=&amp;quot;XmlContent&amp;quot; type=&amp;quot;xs:string&amp;quot; minOccurs=&amp;quot;0&amp;quot; /&amp;gt;_x000d__x000a_                &amp;lt;xs:element name=&amp;quot;X1RectLocation&amp;quot; type=&amp;quot;xs:decimal&amp;quot; /&amp;gt;_x000d__x000a_                &amp;lt;xs:element name=&amp;quot;X2RectLocation&amp;quot; type=&amp;quot;xs:decimal&amp;quot; /&amp;gt;_x000d__x000a_                &amp;lt;xs:element name=&amp;quot;Y1RectLocation&amp;quot; type=&amp;quot;xs:decimal&amp;quot; /&amp;gt;_x000d__x000a_                &amp;lt;xs:element name=&amp;quot;Y2RectLocation&amp;quot; type=&amp;quot;xs:decimal&amp;quot; /&amp;gt;_x000d__x000a_                &amp;lt;xs:element name=&amp;quot;IsPopupOpen&amp;quot; type=&amp;quot;xs:boolean&amp;quot; /&amp;gt;_x000d__x000a_                &amp;lt;xs:element name=&amp;quot;CDATA&amp;quot; type=&amp;quot;xs:string&amp;quot; minOccurs=&amp;quot;0&amp;quot; /&amp;gt;_x000d__x000a_                &amp;lt;xs:element name=&amp;quot;Title&amp;quot; type=&amp;quot;xs:string&amp;quot; minOccurs=&amp;quot;0&amp;quot; /&amp;gt;_x000d__x000a_                &amp;lt;xs:element name=&amp;quot;Page&amp;quot; type=&amp;quot;xs:int&amp;quot; minOccurs=&amp;quot;0&amp;quot; /&amp;gt;_x000d__x000a_                &amp;lt;xs:element name=&amp;quot;IsVisiable&amp;quot; type=&amp;quot;xs:boolean&amp;quot; default=&amp;quot;false&amp;quot; /&amp;gt;_x000d__x000a_                &amp;lt;xs:element name=&amp;quot;ActivityStatusID&amp;quot; type=&amp;quot;xs:int&amp;quot; default=&amp;quot;1&amp;quot; /&amp;gt;_x000d__x000a_                &amp;lt;xs:element name=&amp;quot;NoteCaseTitle&amp;quot; type=&amp;quot;xs:string&amp;quot; minOccurs=&amp;quot;0&amp;quot; /&amp;gt;_x000d__x000a_                &amp;lt;xs:element name=&amp;quot;NoteComposerTitle&amp;quot; type=&amp;quot;xs:string&amp;quot; minOccurs=&amp;quot;0&amp;quot; /&amp;gt;_x000d__x000a_                &amp;lt;xs:element name=&amp;quot;NoteZoom&amp;quot; type=&amp;quot;xs:decimal&amp;quot; minOccurs=&amp;quot;0&amp;quot; /&amp;gt;_x000d__x000a_              &amp;lt;/xs:sequence&amp;gt;_x000d__x000a_            &amp;lt;/xs:complexType&amp;gt;_x000d__x000a_          &amp;lt;/xs:element&amp;gt;_x000d__x000a_          &amp;lt;xs:element name=&amp;quot;dt_MLDocsAnalysisPunishment&amp;quot;&amp;gt;_x000d__x000a_            &amp;lt;xs:complexType&amp;gt;_x000d__x000a_              &amp;lt;xs:sequence&amp;gt;_x000d__x000a_                &amp;lt;xs:element name=&amp;quot;MLDocsAnalysisPunishmentID&amp;quot; msdata:AutoIncrement=&amp;quot;true&amp;quot; msdata:AutoIncrementSeed=&amp;quot;-1&amp;quot; msdata:AutoIncrementStep=&amp;quot;-1&amp;quot; type=&amp;quot;xs:int&amp;quot; /&amp;gt;_x000d__x000a_                &amp;lt;xs:element name=&amp;quot;MLDocsAnalysisID&amp;quot; type=&amp;quot;xs:int&amp;quot; /&amp;gt;_x000d__x000a_                &amp;lt;xs:element name=&amp;quot;FileID&amp;quot; type=&amp;quot;xs:string&amp;quot; /&amp;gt;_x000d__x000a_                &amp;lt;xs:element name=&amp;quot;DocumentID&amp;quot; type=&amp;quot;xs:int&amp;quot; /&amp;gt;_x000d__x000a_                &amp;lt;xs:element name=&amp;quot;PunishmentType&amp;quot; type=&amp;quot;xs:int&amp;quot; /&amp;gt;_x000d__x000a_                &amp;lt;xs:element name=&amp;quot;Result&amp;quot; type=&amp;quot;xs:string&amp;quot; minOccurs=&amp;quot;0&amp;quot; /&amp;gt;_x000d__x000a_              &amp;lt;/xs:sequence&amp;gt;_x000d__x000a_            &amp;lt;/xs:complexType&amp;gt;_x000d__x000a_          &amp;lt;/xs:element&amp;gt;_x000d__x000a_          &amp;lt;xs:element name=&amp;quot;dt_DocumentSummaryVersion&amp;quot;&amp;gt;_x000d__x000a_            &amp;lt;xs:complexType&amp;gt;_x000d__x000a_              &amp;lt;xs:sequence&amp;gt;_x000d__x000a_                &amp;lt;xs:element name=&amp;quot;DocumentID&amp;quot; type=&amp;quot;xs:int&amp;quot; minOccurs=&amp;quot;0&amp;quot; /&amp;gt;_x000d__x000a_                &amp;lt;xs:element name=&amp;quot;DocumentChangeDate&amp;quot; type=&amp;quot;xs:dateTime&amp;quot; minOccurs=&amp;quot;0&amp;quot; /&amp;gt;_x000d__x000a_                &amp;lt;xs:element name=&amp;quot;DocumentDesc&amp;quot; type=&amp;quot;xs:string&amp;quot; minOccurs=&amp;quot;0&amp;quot; /&amp;gt;_x000d__x000a_                &amp;lt;xs:element name=&amp;quot;IsCritical&amp;quot; type=&amp;quot;xs:boolean&amp;quot; minOccurs=&amp;quot;0&amp;quot; /&amp;gt;_x000d__x000a_                &amp;lt;xs:element name=&amp;quot;IsScanned&amp;quot; type=&amp;quot;xs:boolean&amp;quot; minOccurs=&amp;quot;0&amp;quot; /&amp;gt;_x000d__x000a_              &amp;lt;/xs:sequence&amp;gt;_x000d__x000a_            &amp;lt;/xs:complexType&amp;gt;_x000d__x000a_          &amp;lt;/xs:element&amp;gt;_x000d__x000a_        &amp;lt;/xs:choice&amp;gt;_x000d__x000a_      &amp;lt;/xs:complexType&amp;gt;_x000d__x000a_      &amp;lt;xs:unique name=&amp;quot;Constraint1&amp;quot; msdata:PrimaryKey=&amp;quot;true&amp;quot;&amp;gt;_x000d__x000a_        &amp;lt;xs:selector xpath=&amp;quot;.//mstns:dt_DocumentCase&amp;quot; /&amp;gt;_x000d__x000a_        &amp;lt;xs:field xpath=&amp;quot;mstns:CaseID&amp;quot; /&amp;gt;_x000d__x000a_        &amp;lt;xs:field xpath=&amp;quot;mstns:DocumentID&amp;quot; /&amp;gt;_x000d__x000a_      &amp;lt;/xs:unique&amp;gt;_x000d__x000a_      &amp;lt;xs:unique name=&amp;quot;dt_Bookmark_Constraint1&amp;quot; msdata:ConstraintName=&amp;quot;Constraint1&amp;quot; msdata:PrimaryKey=&amp;quot;true&amp;quot;&amp;gt;_x000d__x000a_        &amp;lt;xs:selector xpath=&amp;quot;.//mstns:dt_Bookmark&amp;quot; /&amp;gt;_x000d__x000a_        &amp;lt;xs:field xpath=&amp;quot;mstns:BookmarkID&amp;quot; /&amp;gt;_x000d__x000a_      &amp;lt;/xs:unique&amp;gt;_x000d__x000a_      &amp;lt;xs:unique name=&amp;quot;dt_Document_Constraint1&amp;quot; msdata:ConstraintName=&amp;quot;Constraint1&amp;quot; msdata:PrimaryKey=&amp;quot;true&amp;quot;&amp;gt;_x000d__x000a_        &amp;lt;xs:selector xpath=&amp;quot;.//mstns:dt_Document&amp;quot; /&amp;gt;_x000d__x000a_        &amp;lt;xs:field xpath=&amp;quot;mstns:DocumentID&amp;quot; /&amp;gt;_x000d__x000a_      &amp;lt;/xs:unique&amp;gt;_x000d__x000a_      &amp;lt;xs:unique name=&amp;quot;DocumentDSKey1&amp;quot; msdata:PrimaryKey=&amp;quot;true&amp;quot;&amp;gt;_x000d__x000a_        &amp;lt;xs:selector xpath=&amp;quot;.//mstns:dt_DocumentNote&amp;quot; /&amp;gt;_x000d__x000a_        &amp;lt;xs:field xpath=&amp;quot;mstns:DocumentNoteID&amp;quot; /&amp;gt;_x000d__x000a_      &amp;lt;/xs:unique&amp;gt;_x000d__x000a_      &amp;lt;xs:keyref name=&amp;quot;dt_Documentdt_DocumentNote&amp;quot; refer=&amp;quot;dt_Document_Constraint1&amp;quot;&amp;gt;_x000d__x000a_        &amp;lt;xs:selector xpath=&amp;quot;.//mstns:dt_DocumentNote&amp;quot; /&amp;gt;_x000d__x000a_        &amp;lt;xs:field xpath=&amp;quot;mstns:DocumentID&amp;quot; /&amp;gt;_x000d__x000a_      &amp;lt;/xs:keyref&amp;gt;_x000d__x000a_      &amp;lt;xs:keyref name=&amp;quot;dt_Documentdt_Bookmark&amp;quot; refer=&amp;quot;dt_Document_Constraint1&amp;quot;&amp;gt;_x000d__x000a_        &amp;lt;xs:selector xpath=&amp;quot;.//mstns:dt_Bookmark&amp;quot; /&amp;gt;_x000d__x000a_        &amp;lt;xs:field xpath=&amp;quot;mstns:DocumentID&amp;quot; /&amp;gt;_x000d__x000a_      &amp;lt;/xs:keyref&amp;gt;_x000d__x000a_      &amp;lt;xs:keyref name=&amp;quot;dt_Documentdt_DocumentCase&amp;quot; refer=&amp;quot;dt_Document_Constraint1&amp;quot;&amp;gt;_x000d__x000a_        &amp;lt;xs:selector xpath=&amp;quot;.//mstns:dt_DocumentCase&amp;quot; /&amp;gt;_x000d__x000a_        &amp;lt;xs:field xpath=&amp;quot;mstns:DocumentID&amp;quot; /&amp;gt;_x000d__x000a_      &amp;lt;/xs:keyref&amp;gt;_x000d__x000a_    &amp;lt;/xs:element&amp;gt;_x000d__x000a_    &amp;lt;xs:annotation&amp;gt;_x000d__x000a_      &amp;lt;xs:appinfo&amp;gt;_x000d__x000a_        &amp;lt;msdata:Relationship name=&amp;quot;dt_Document_dt_DocumentSummaryVersion&amp;quot; msdata:parent=&amp;quot;dt_Document&amp;quot; msdata:child=&amp;quot;dt_DocumentSummaryVersion&amp;quot; msdata:parentkey=&amp;quot;OriginalDocumentID&amp;quot; msdata:childkey=&amp;quot;DocumentID&amp;quot; /&amp;gt;_x000d__x000a_      &amp;lt;/xs:appinfo&amp;gt;_x000d__x000a_    &amp;lt;/xs:annotation&amp;gt;_x000d__x000a_  &amp;lt;/xs:schema&amp;gt;_x000d__x000a_  &amp;lt;diffgr:diffgram xmlns:msdata=&amp;quot;urn:schemas-microsoft-com:xml-msdata&amp;quot; xmlns:diffgr=&amp;quot;urn:schemas-microsoft-com:xml-diffgram-v1&amp;quot;&amp;gt;_x000d__x000a_    &amp;lt;DocumentDS xmlns=&amp;quot;http://www.tempuri.org/DocumentDS.xsd&amp;quot;&amp;gt;_x000d__x000a_      &amp;lt;dt_DocumentCase diffgr:id=&amp;quot;dt_DocumentCase1&amp;quot; msdata:rowOrder=&amp;quot;0&amp;quot;&amp;gt;_x000d__x000a_        &amp;lt;CaseID&amp;gt;80195353&amp;lt;/CaseID&amp;gt;_x000d__x000a_        &amp;lt;DocumentID&amp;gt;470440417&amp;lt;/DocumentID&amp;gt;_x000d__x000a_      &amp;lt;/dt_DocumentCase&amp;gt;_x000d__x000a_      &amp;lt;dt_Document diffgr:id=&amp;quot;dt_Document1&amp;quot; msdata:rowOrder=&amp;quot;0&amp;quot;&amp;gt;_x000d__x000a_        &amp;lt;DocumentID&amp;gt;470440417&amp;lt;/DocumentID&amp;gt;_x000d__x000a_        &amp;lt;DocumentMainID&amp;gt;0&amp;lt;/DocumentMainID&amp;gt;_x000d__x000a_        &amp;lt;CaseID&amp;gt;80195353&amp;lt;/CaseID&amp;gt;_x000d__x000a_        &amp;lt;DocumentIncludedDate&amp;gt;2025-02-13T16:17:38.85+02:00&amp;lt;/DocumentIncludedDate&amp;gt;_x000d__x000a_        &amp;lt;DocumentDesc&amp;gt;פסק דין  שניתנה ע&amp;quot;י  הילה גורביץ עובדיה&amp;lt;/DocumentDesc&amp;gt;_x000d__x000a_        &amp;lt;DocumentDirectionID&amp;gt;2&amp;lt;/DocumentDirectionID&amp;gt;_x000d__x000a_        &amp;lt;SourceID&amp;gt;1&amp;lt;/SourceID&amp;gt;_x000d__x000a_        &amp;lt;VersionNumber&amp;gt;1&amp;lt;/VersionNumber&amp;gt;_x000d__x000a_        &amp;lt;DocumentVersionTypeID&amp;gt;2&amp;lt;/DocumentVersionTypeID&amp;gt;_x000d__x000a_        &amp;lt;IsAttachment&amp;gt;false&amp;lt;/IsAttachment&amp;gt;_x000d__x000a_        &amp;lt;AttachmentOrdinalNumber&amp;gt;0&amp;lt;/AttachmentOrdinalNumber&amp;gt;_x000d__x000a_        &amp;lt;DocumentTypeID&amp;gt;73&amp;lt;/DocumentTypeID&amp;gt;_x000d__x000a_        &amp;lt;DocumentSavingDate&amp;gt;2025-02-13T16:17:38.85+02:00&amp;lt;/DocumentSavingDate&amp;gt;_x000d__x000a_        &amp;lt;DocumentChangeDate&amp;gt;2025-02-13T16:17:38.96+02:00&amp;lt;/DocumentChangeDate&amp;gt;_x000d__x000a_        &amp;lt;IsScanned&amp;gt;false&amp;lt;/IsScanned&amp;gt;_x000d__x000a_        &amp;lt;PageQuantity&amp;gt;0&amp;lt;/PageQuantity&amp;gt;_x000d__x000a_        &amp;lt;DocumentStatusID&amp;gt;2&amp;lt;/DocumentStatusID&amp;gt;_x000d__x000a_        &amp;lt;DocumentStatusChangeDate&amp;gt;2025-02-13T16:17:38.96+02:00&amp;lt;/DocumentStatusChangeDate&amp;gt;_x000d__x000a_        &amp;lt;TemplateVersionID&amp;gt;1&amp;lt;/TemplateVersionID&amp;gt;_x000d__x000a_        &amp;lt;DocumentChangeUserID&amp;gt;028651073@GOV.IL&amp;lt;/DocumentChangeUserID&amp;gt;_x000d__x000a_        &amp;lt;DocumentCreationUserID&amp;gt;028651073@GOV.IL&amp;lt;/DocumentCreationUserID&amp;gt;_x000d__x000a_        &amp;lt;OriginalDocumentID&amp;gt;465613347&amp;lt;/OriginalDocumentID&amp;gt;_x000d__x000a_        &amp;lt;PrivillegeID&amp;gt;1&amp;lt;/PrivillegeID&amp;gt;_x000d__x000a_        &amp;lt;FromPage&amp;gt;0&amp;lt;/FromPage&amp;gt;_x000d__x000a_        &amp;lt;ToPage&amp;gt;0&amp;lt;/ToPage&amp;gt;_x000d__x000a_        &amp;lt;FileID&amp;gt;4723acff94010000090037f6acdf1d36&amp;lt;/FileID&amp;gt;_x000d__x000a_        &amp;lt;URL&amp;gt;\\CTLNFSV02\doc_repository\823\454\c38dd3c9df24405da4fea930e19cfcc1_copy.docx&amp;lt;/URL&amp;gt;_x000d__x000a_        &amp;lt;OlivePriority&amp;gt;1&amp;lt;/OlivePriority&amp;gt;_x000d__x000a_        &amp;lt;MetaDataTypeID&amp;gt;1&amp;lt;/MetaDataTypeID&amp;gt;_x000d__x000a_        &amp;lt;MetaDataChangeDate&amp;gt;2025-02-13T16:17:38.96+02:00&amp;lt;/MetaDataChangeDate&amp;gt;_x000d__x000a_        &amp;lt;MetaData&amp;gt;&amp;amp;lt;?xml version=&amp;quot;1.0&amp;quot; encoding=&amp;quot;utf-16&amp;quot;?&amp;amp;gt;_x000d__x000a_&amp;amp;lt;MetaDataSerializableObject xmlns:xsd=&amp;quot;http://www.w3.org/2001/XMLSchema&amp;quot; xmlns:xsi=&amp;quot;http://www.w3.org/2001/XMLSchema-instance&amp;quot;&amp;amp;gt;_x000d__x000a_  &amp;amp;lt;_keys&amp;amp;gt;_x000d__x000a_    &amp;amp;lt;string&amp;amp;gt;decisionType&amp;amp;lt;/string&amp;amp;gt;_x000d__x000a_    &amp;amp;lt;string&amp;amp;gt;technicalDecision&amp;amp;lt;/string&amp;amp;gt;_x000d__x000a_    &amp;amp;lt;string&amp;amp;gt;judgeName&amp;amp;lt;/string&amp;amp;gt;_x000d__x000a_    &amp;amp;lt;string&amp;amp;gt;decisionDate&amp;amp;lt;/string&amp;amp;gt;_x000d__x000a_  &amp;amp;lt;/_keys&amp;amp;gt;_x000d__x000a_  &amp;amp;lt;_values&amp;amp;gt;_x000d__x000a_    &amp;amp;lt;anyType xsi:type=&amp;quot;xsd:string&amp;quot;&amp;amp;gt;2&amp;amp;lt;/anyType&amp;amp;gt;_x000d__x000a_    &amp;amp;lt;anyType xsi:type=&amp;quot;xsd:string&amp;quot;&amp;amp;gt;1&amp;amp;lt;/anyType&amp;amp;gt;_x000d__x000a_    &amp;amp;lt;anyType xsi:type=&amp;quot;xsd:string&amp;quot;&amp;amp;gt;הילה גורביץ עובדיה&amp;amp;lt;/anyType&amp;amp;gt;_x000d__x000a_    &amp;amp;lt;anyType xsi:type=&amp;quot;xsd:dateTime&amp;quot;&amp;amp;gt;2024-12-31T14:44:22.41&amp;amp;lt;/anyType&amp;amp;gt;_x000d__x000a_  &amp;amp;lt;/_values&amp;amp;gt;_x000d__x000a_&amp;amp;lt;/MetaDataSerializableObject&amp;amp;gt;&amp;lt;/MetaData&amp;gt;_x000d__x000a_        &amp;lt;IsReturned&amp;gt;false&amp;lt;/IsReturned&amp;gt;_x000d__x000a_        &amp;lt;IsCritical&amp;gt;true&amp;lt;/IsCritical&amp;gt;_x000d__x000a_        &amp;lt;IsEntityCanceled&amp;gt;false&amp;lt;/IsEntityCanceled&amp;gt;_x000d__x000a_        &amp;lt;IsRepresentativeRegistryOpenToPublic&amp;gt;false&amp;lt;/IsRepresentativeRegistryOpenToPublic&amp;gt;_x000d__x000a_        &amp;lt;PresentationDate&amp;gt;2024-12-31T14:44:22.41+02:00&amp;lt;/PresentationDate&amp;gt;_x000d__x000a_      &amp;lt;/dt_Document&amp;gt;_x000d__x000a_    &amp;lt;/DocumentDS&amp;gt;_x000d__x000a_  &amp;lt;/diffgr:diffgram&amp;gt;_x000d__x000a_&amp;lt;/DocumentDS&amp;gt;"/>
    <w:docVar w:name="WordClientAssemblyName" w:val="NGCS.Decision.ClientWordBL"/>
    <w:docVar w:name="WordClientClassName" w:val="NGCS.Decision.ClientWordBL.VersionWordClient"/>
  </w:docVars>
  <w:rsids>
    <w:rsidRoot w:val="00694556"/>
    <w:rsid w:val="00005C8B"/>
    <w:rsid w:val="000146C2"/>
    <w:rsid w:val="00016C35"/>
    <w:rsid w:val="000258FD"/>
    <w:rsid w:val="000355EF"/>
    <w:rsid w:val="00042F0D"/>
    <w:rsid w:val="000564AB"/>
    <w:rsid w:val="000D4A02"/>
    <w:rsid w:val="000E328E"/>
    <w:rsid w:val="001072A9"/>
    <w:rsid w:val="00121F97"/>
    <w:rsid w:val="001277D7"/>
    <w:rsid w:val="00132017"/>
    <w:rsid w:val="0014234E"/>
    <w:rsid w:val="00145A87"/>
    <w:rsid w:val="00161FA3"/>
    <w:rsid w:val="001C4003"/>
    <w:rsid w:val="001F5474"/>
    <w:rsid w:val="001F60E3"/>
    <w:rsid w:val="00230316"/>
    <w:rsid w:val="002352F7"/>
    <w:rsid w:val="0027277D"/>
    <w:rsid w:val="00297F10"/>
    <w:rsid w:val="00313C6D"/>
    <w:rsid w:val="00381D3A"/>
    <w:rsid w:val="003823DA"/>
    <w:rsid w:val="00421381"/>
    <w:rsid w:val="0043595F"/>
    <w:rsid w:val="004449EB"/>
    <w:rsid w:val="0047645A"/>
    <w:rsid w:val="004A0D12"/>
    <w:rsid w:val="004B5A8C"/>
    <w:rsid w:val="004D49A3"/>
    <w:rsid w:val="004D50AC"/>
    <w:rsid w:val="004E6E3C"/>
    <w:rsid w:val="005124F1"/>
    <w:rsid w:val="00530BAD"/>
    <w:rsid w:val="00541598"/>
    <w:rsid w:val="00545299"/>
    <w:rsid w:val="00547DB7"/>
    <w:rsid w:val="00567324"/>
    <w:rsid w:val="005808EE"/>
    <w:rsid w:val="005B0F49"/>
    <w:rsid w:val="005C7EC6"/>
    <w:rsid w:val="005D4BDB"/>
    <w:rsid w:val="00622BAA"/>
    <w:rsid w:val="00625C89"/>
    <w:rsid w:val="00633C4F"/>
    <w:rsid w:val="00671BD5"/>
    <w:rsid w:val="006805C1"/>
    <w:rsid w:val="006816EC"/>
    <w:rsid w:val="00694556"/>
    <w:rsid w:val="006E1A53"/>
    <w:rsid w:val="007056AA"/>
    <w:rsid w:val="00744F41"/>
    <w:rsid w:val="0076326F"/>
    <w:rsid w:val="007A24FE"/>
    <w:rsid w:val="007A35AA"/>
    <w:rsid w:val="007C1E1C"/>
    <w:rsid w:val="007F1048"/>
    <w:rsid w:val="007F41A8"/>
    <w:rsid w:val="00820005"/>
    <w:rsid w:val="00842B08"/>
    <w:rsid w:val="00846D27"/>
    <w:rsid w:val="008610A7"/>
    <w:rsid w:val="008E1332"/>
    <w:rsid w:val="00903896"/>
    <w:rsid w:val="00927813"/>
    <w:rsid w:val="00934AF8"/>
    <w:rsid w:val="00944D13"/>
    <w:rsid w:val="00957C90"/>
    <w:rsid w:val="009B70F6"/>
    <w:rsid w:val="009C358E"/>
    <w:rsid w:val="009E0263"/>
    <w:rsid w:val="00A267CF"/>
    <w:rsid w:val="00A342BD"/>
    <w:rsid w:val="00A43458"/>
    <w:rsid w:val="00A762D0"/>
    <w:rsid w:val="00AC4E19"/>
    <w:rsid w:val="00AF1ED6"/>
    <w:rsid w:val="00B32C61"/>
    <w:rsid w:val="00B368FE"/>
    <w:rsid w:val="00B5517F"/>
    <w:rsid w:val="00B80CBD"/>
    <w:rsid w:val="00BC3369"/>
    <w:rsid w:val="00BF77EE"/>
    <w:rsid w:val="00C0112D"/>
    <w:rsid w:val="00C32E0F"/>
    <w:rsid w:val="00C42BF9"/>
    <w:rsid w:val="00C64A13"/>
    <w:rsid w:val="00C83E56"/>
    <w:rsid w:val="00CB1A3C"/>
    <w:rsid w:val="00CC63CE"/>
    <w:rsid w:val="00CD0486"/>
    <w:rsid w:val="00D319B3"/>
    <w:rsid w:val="00D36A71"/>
    <w:rsid w:val="00D5207B"/>
    <w:rsid w:val="00D53924"/>
    <w:rsid w:val="00D60849"/>
    <w:rsid w:val="00D642DA"/>
    <w:rsid w:val="00D96D8C"/>
    <w:rsid w:val="00D97291"/>
    <w:rsid w:val="00DA755B"/>
    <w:rsid w:val="00DB07C4"/>
    <w:rsid w:val="00DD337E"/>
    <w:rsid w:val="00E00B6F"/>
    <w:rsid w:val="00E219B4"/>
    <w:rsid w:val="00E30C77"/>
    <w:rsid w:val="00E44DDF"/>
    <w:rsid w:val="00E45B21"/>
    <w:rsid w:val="00E54642"/>
    <w:rsid w:val="00E83C16"/>
    <w:rsid w:val="00E86D30"/>
    <w:rsid w:val="00E97908"/>
    <w:rsid w:val="00EC3BF8"/>
    <w:rsid w:val="00EF3ED0"/>
    <w:rsid w:val="00F17E56"/>
    <w:rsid w:val="00FB3C14"/>
  </w:rsids>
  <m:mathPr>
    <m:mathFont m:val="Cambria Math"/>
    <m:brkBin m:val="before"/>
    <m:brkBinSub m:val="--"/>
    <m:smallFrac m:val="0"/>
    <m:dispDef/>
    <m:lMargin m:val="0"/>
    <m:rMargin m:val="0"/>
    <m:defJc m:val="centerGroup"/>
    <m:wrapIndent m:val="1440"/>
    <m:intLim m:val="subSup"/>
    <m:naryLim m:val="undOvr"/>
  </m:mathPr>
  <w:attachedSchema w:val="http://schemas.microsoft.com/InformationBridge/2004"/>
  <w:attachedSchema w:val="NGCS.MergeFields.Schema"/>
  <w:attachedSchema w:val="urn:schemas-microsoft-com:office:smarttags"/>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B536381-D80A-4082-BD55-2E470B05DB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64423"/>
    <w:pPr>
      <w:bidi/>
    </w:pPr>
    <w:rPr>
      <w:rFonts w:cs="David"/>
      <w:noProof/>
      <w:sz w:val="24"/>
      <w:szCs w:val="24"/>
    </w:rPr>
  </w:style>
  <w:style w:type="paragraph" w:styleId="4">
    <w:name w:val="heading 4"/>
    <w:basedOn w:val="a"/>
    <w:next w:val="a"/>
    <w:qFormat/>
    <w:rsid w:val="00C64423"/>
    <w:pPr>
      <w:keepNext/>
      <w:ind w:left="5760" w:firstLine="720"/>
      <w:outlineLvl w:val="3"/>
    </w:pPr>
    <w:rPr>
      <w:rFonts w:cs="Narkisim"/>
      <w:b/>
      <w:bCs/>
      <w14:shadow w14:blurRad="50800" w14:dist="38100" w14:dir="2700000" w14:sx="100000" w14:sy="100000" w14:kx="0" w14:ky="0" w14:algn="tl">
        <w14:srgbClr w14:val="000000">
          <w14:alpha w14:val="60000"/>
        </w14:srgbClr>
      </w14:shadow>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C64423"/>
    <w:pPr>
      <w:tabs>
        <w:tab w:val="center" w:pos="4153"/>
        <w:tab w:val="right" w:pos="8306"/>
      </w:tabs>
    </w:pPr>
  </w:style>
  <w:style w:type="paragraph" w:styleId="a5">
    <w:name w:val="footer"/>
    <w:basedOn w:val="a"/>
    <w:rsid w:val="00C64423"/>
    <w:pPr>
      <w:tabs>
        <w:tab w:val="center" w:pos="4153"/>
        <w:tab w:val="right" w:pos="8306"/>
      </w:tabs>
    </w:pPr>
  </w:style>
  <w:style w:type="paragraph" w:customStyle="1" w:styleId="a6">
    <w:name w:val="סעיפים"/>
    <w:basedOn w:val="a"/>
    <w:rsid w:val="00C64423"/>
    <w:pPr>
      <w:tabs>
        <w:tab w:val="left" w:pos="567"/>
        <w:tab w:val="left" w:pos="1134"/>
        <w:tab w:val="left" w:pos="1701"/>
        <w:tab w:val="left" w:pos="2268"/>
        <w:tab w:val="left" w:pos="2835"/>
        <w:tab w:val="left" w:pos="3402"/>
        <w:tab w:val="left" w:pos="3969"/>
      </w:tabs>
      <w:spacing w:line="360" w:lineRule="auto"/>
      <w:jc w:val="both"/>
    </w:pPr>
    <w:rPr>
      <w:noProof w:val="0"/>
    </w:rPr>
  </w:style>
  <w:style w:type="paragraph" w:styleId="a7">
    <w:name w:val="annotation text"/>
    <w:basedOn w:val="a"/>
    <w:semiHidden/>
    <w:rsid w:val="00C64423"/>
    <w:rPr>
      <w:rFonts w:cs="Times New Roman"/>
      <w:noProof w:val="0"/>
    </w:rPr>
  </w:style>
  <w:style w:type="character" w:styleId="a8">
    <w:name w:val="annotation reference"/>
    <w:basedOn w:val="a0"/>
    <w:semiHidden/>
    <w:rsid w:val="00C64423"/>
    <w:rPr>
      <w:sz w:val="16"/>
      <w:szCs w:val="16"/>
    </w:rPr>
  </w:style>
  <w:style w:type="paragraph" w:styleId="a9">
    <w:name w:val="Balloon Text"/>
    <w:basedOn w:val="a"/>
    <w:semiHidden/>
    <w:rsid w:val="00C64423"/>
    <w:rPr>
      <w:rFonts w:ascii="Tahoma" w:hAnsi="Tahoma" w:cs="Tahoma"/>
      <w:sz w:val="16"/>
      <w:szCs w:val="16"/>
    </w:rPr>
  </w:style>
  <w:style w:type="table" w:styleId="aa">
    <w:name w:val="Table Grid"/>
    <w:basedOn w:val="a1"/>
    <w:rsid w:val="00C64423"/>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line number"/>
    <w:basedOn w:val="a0"/>
    <w:rsid w:val="00C64423"/>
  </w:style>
  <w:style w:type="character" w:styleId="ac">
    <w:name w:val="page number"/>
    <w:basedOn w:val="a0"/>
    <w:rsid w:val="00C64423"/>
  </w:style>
  <w:style w:type="table" w:customStyle="1" w:styleId="1">
    <w:name w:val="טבלת רשת1"/>
    <w:basedOn w:val="a1"/>
    <w:next w:val="aa"/>
    <w:rsid w:val="001C4003"/>
    <w:pPr>
      <w:jc w:val="righ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Placeholder Text"/>
    <w:basedOn w:val="a0"/>
    <w:uiPriority w:val="99"/>
    <w:semiHidden/>
    <w:rsid w:val="00957C90"/>
    <w:rPr>
      <w:color w:val="808080"/>
    </w:rPr>
  </w:style>
  <w:style w:type="character" w:styleId="Hyperlink">
    <w:name w:val="Hyperlink"/>
    <w:basedOn w:val="a0"/>
    <w:uiPriority w:val="99"/>
    <w:semiHidden/>
    <w:unhideWhenUsed/>
    <w:rsid w:val="00CD0486"/>
    <w:rPr>
      <w:color w:val="0000FF"/>
      <w:u w:val="single"/>
    </w:rPr>
  </w:style>
  <w:style w:type="paragraph" w:styleId="ae">
    <w:name w:val="List Paragraph"/>
    <w:basedOn w:val="a"/>
    <w:uiPriority w:val="34"/>
    <w:qFormat/>
    <w:rsid w:val="00CD0486"/>
    <w:pPr>
      <w:spacing w:after="160" w:line="252" w:lineRule="auto"/>
      <w:ind w:left="720"/>
      <w:contextualSpacing/>
    </w:pPr>
    <w:rPr>
      <w:rFonts w:asciiTheme="minorHAnsi" w:eastAsiaTheme="minorHAnsi" w:hAnsiTheme="minorHAnsi" w:cstheme="minorBidi"/>
      <w:noProof w:val="0"/>
      <w:sz w:val="22"/>
      <w:szCs w:val="22"/>
    </w:rPr>
  </w:style>
  <w:style w:type="character" w:customStyle="1" w:styleId="a4">
    <w:name w:val="כותרת עליונה תו"/>
    <w:basedOn w:val="a0"/>
    <w:link w:val="a3"/>
    <w:rsid w:val="00CD0486"/>
    <w:rPr>
      <w:rFonts w:cs="David"/>
      <w:noProo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4100416">
      <w:bodyDiv w:val="1"/>
      <w:marLeft w:val="0"/>
      <w:marRight w:val="0"/>
      <w:marTop w:val="0"/>
      <w:marBottom w:val="0"/>
      <w:divBdr>
        <w:top w:val="none" w:sz="0" w:space="0" w:color="auto"/>
        <w:left w:val="none" w:sz="0" w:space="0" w:color="auto"/>
        <w:bottom w:val="none" w:sz="0" w:space="0" w:color="auto"/>
        <w:right w:val="none" w:sz="0" w:space="0" w:color="auto"/>
      </w:divBdr>
    </w:div>
    <w:div w:id="828136856">
      <w:bodyDiv w:val="1"/>
      <w:marLeft w:val="0"/>
      <w:marRight w:val="0"/>
      <w:marTop w:val="0"/>
      <w:marBottom w:val="0"/>
      <w:divBdr>
        <w:top w:val="none" w:sz="0" w:space="0" w:color="auto"/>
        <w:left w:val="none" w:sz="0" w:space="0" w:color="auto"/>
        <w:bottom w:val="none" w:sz="0" w:space="0" w:color="auto"/>
        <w:right w:val="none" w:sz="0" w:space="0" w:color="auto"/>
      </w:divBdr>
    </w:div>
    <w:div w:id="902641766">
      <w:bodyDiv w:val="1"/>
      <w:marLeft w:val="0"/>
      <w:marRight w:val="0"/>
      <w:marTop w:val="0"/>
      <w:marBottom w:val="0"/>
      <w:divBdr>
        <w:top w:val="none" w:sz="0" w:space="0" w:color="auto"/>
        <w:left w:val="none" w:sz="0" w:space="0" w:color="auto"/>
        <w:bottom w:val="none" w:sz="0" w:space="0" w:color="auto"/>
        <w:right w:val="none" w:sz="0" w:space="0" w:color="auto"/>
      </w:divBdr>
    </w:div>
    <w:div w:id="1215235742">
      <w:bodyDiv w:val="1"/>
      <w:marLeft w:val="0"/>
      <w:marRight w:val="0"/>
      <w:marTop w:val="0"/>
      <w:marBottom w:val="0"/>
      <w:divBdr>
        <w:top w:val="none" w:sz="0" w:space="0" w:color="auto"/>
        <w:left w:val="none" w:sz="0" w:space="0" w:color="auto"/>
        <w:bottom w:val="none" w:sz="0" w:space="0" w:color="auto"/>
        <w:right w:val="none" w:sz="0" w:space="0" w:color="auto"/>
      </w:divBdr>
    </w:div>
    <w:div w:id="1268779576">
      <w:bodyDiv w:val="1"/>
      <w:marLeft w:val="0"/>
      <w:marRight w:val="0"/>
      <w:marTop w:val="0"/>
      <w:marBottom w:val="0"/>
      <w:divBdr>
        <w:top w:val="none" w:sz="0" w:space="0" w:color="auto"/>
        <w:left w:val="none" w:sz="0" w:space="0" w:color="auto"/>
        <w:bottom w:val="none" w:sz="0" w:space="0" w:color="auto"/>
        <w:right w:val="none" w:sz="0" w:space="0" w:color="auto"/>
      </w:divBdr>
    </w:div>
    <w:div w:id="1281112861">
      <w:bodyDiv w:val="1"/>
      <w:marLeft w:val="0"/>
      <w:marRight w:val="0"/>
      <w:marTop w:val="0"/>
      <w:marBottom w:val="0"/>
      <w:divBdr>
        <w:top w:val="none" w:sz="0" w:space="0" w:color="auto"/>
        <w:left w:val="none" w:sz="0" w:space="0" w:color="auto"/>
        <w:bottom w:val="none" w:sz="0" w:space="0" w:color="auto"/>
        <w:right w:val="none" w:sz="0" w:space="0" w:color="auto"/>
      </w:divBdr>
    </w:div>
    <w:div w:id="1307122835">
      <w:bodyDiv w:val="1"/>
      <w:marLeft w:val="0"/>
      <w:marRight w:val="0"/>
      <w:marTop w:val="0"/>
      <w:marBottom w:val="0"/>
      <w:divBdr>
        <w:top w:val="none" w:sz="0" w:space="0" w:color="auto"/>
        <w:left w:val="none" w:sz="0" w:space="0" w:color="auto"/>
        <w:bottom w:val="none" w:sz="0" w:space="0" w:color="auto"/>
        <w:right w:val="none" w:sz="0" w:space="0" w:color="auto"/>
      </w:divBdr>
    </w:div>
    <w:div w:id="1357854787">
      <w:bodyDiv w:val="1"/>
      <w:marLeft w:val="0"/>
      <w:marRight w:val="0"/>
      <w:marTop w:val="0"/>
      <w:marBottom w:val="0"/>
      <w:divBdr>
        <w:top w:val="none" w:sz="0" w:space="0" w:color="auto"/>
        <w:left w:val="none" w:sz="0" w:space="0" w:color="auto"/>
        <w:bottom w:val="none" w:sz="0" w:space="0" w:color="auto"/>
        <w:right w:val="none" w:sz="0" w:space="0" w:color="auto"/>
      </w:divBdr>
    </w:div>
    <w:div w:id="1361737333">
      <w:bodyDiv w:val="1"/>
      <w:marLeft w:val="0"/>
      <w:marRight w:val="0"/>
      <w:marTop w:val="0"/>
      <w:marBottom w:val="0"/>
      <w:divBdr>
        <w:top w:val="none" w:sz="0" w:space="0" w:color="auto"/>
        <w:left w:val="none" w:sz="0" w:space="0" w:color="auto"/>
        <w:bottom w:val="none" w:sz="0" w:space="0" w:color="auto"/>
        <w:right w:val="none" w:sz="0" w:space="0" w:color="auto"/>
      </w:divBdr>
    </w:div>
    <w:div w:id="1432820806">
      <w:bodyDiv w:val="1"/>
      <w:marLeft w:val="0"/>
      <w:marRight w:val="0"/>
      <w:marTop w:val="0"/>
      <w:marBottom w:val="0"/>
      <w:divBdr>
        <w:top w:val="none" w:sz="0" w:space="0" w:color="auto"/>
        <w:left w:val="none" w:sz="0" w:space="0" w:color="auto"/>
        <w:bottom w:val="none" w:sz="0" w:space="0" w:color="auto"/>
        <w:right w:val="none" w:sz="0" w:space="0" w:color="auto"/>
      </w:divBdr>
    </w:div>
    <w:div w:id="1434202190">
      <w:bodyDiv w:val="1"/>
      <w:marLeft w:val="0"/>
      <w:marRight w:val="0"/>
      <w:marTop w:val="0"/>
      <w:marBottom w:val="0"/>
      <w:divBdr>
        <w:top w:val="none" w:sz="0" w:space="0" w:color="auto"/>
        <w:left w:val="none" w:sz="0" w:space="0" w:color="auto"/>
        <w:bottom w:val="none" w:sz="0" w:space="0" w:color="auto"/>
        <w:right w:val="none" w:sz="0" w:space="0" w:color="auto"/>
      </w:divBdr>
    </w:div>
    <w:div w:id="16964673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71A0D8221C494876B6DC9D1765940BA2"/>
        <w:category>
          <w:name w:val="כללי"/>
          <w:gallery w:val="placeholder"/>
        </w:category>
        <w:types>
          <w:type w:val="bbPlcHdr"/>
        </w:types>
        <w:behaviors>
          <w:behavior w:val="content"/>
        </w:behaviors>
        <w:guid w:val="{455AC739-3F33-46F4-ACA7-2B47AE57D1B8}"/>
      </w:docPartPr>
      <w:docPartBody>
        <w:p w:rsidR="00C14633" w:rsidRDefault="005A2642" w:rsidP="005A2642">
          <w:pPr>
            <w:pStyle w:val="71A0D8221C494876B6DC9D1765940BA2"/>
          </w:pPr>
          <w:r>
            <w:rPr>
              <w:rtl/>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David">
    <w:panose1 w:val="020E0502060401010101"/>
    <w:charset w:val="00"/>
    <w:family w:val="swiss"/>
    <w:pitch w:val="variable"/>
    <w:sig w:usb0="00000803" w:usb1="00000000" w:usb2="00000000" w:usb3="00000000" w:csb0="00000021" w:csb1="00000000"/>
  </w:font>
  <w:font w:name="Times New Roman">
    <w:panose1 w:val="02020603050405020304"/>
    <w:charset w:val="00"/>
    <w:family w:val="roman"/>
    <w:pitch w:val="variable"/>
    <w:sig w:usb0="E0002EFF" w:usb1="C000785B" w:usb2="00000009" w:usb3="00000000" w:csb0="000001FF" w:csb1="00000000"/>
  </w:font>
  <w:font w:name="Narkisim">
    <w:panose1 w:val="020E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Miriam">
    <w:panose1 w:val="020B05020501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5512"/>
    <w:rsid w:val="000512A6"/>
    <w:rsid w:val="00200BA6"/>
    <w:rsid w:val="004771D3"/>
    <w:rsid w:val="005A2642"/>
    <w:rsid w:val="005B6BA4"/>
    <w:rsid w:val="007914E2"/>
    <w:rsid w:val="00833049"/>
    <w:rsid w:val="00B40AEB"/>
    <w:rsid w:val="00B65812"/>
    <w:rsid w:val="00C14633"/>
    <w:rsid w:val="00CC5512"/>
    <w:rsid w:val="00EA7F31"/>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C5512"/>
    <w:pPr>
      <w:bidi/>
    </w:pPr>
    <w:rPr>
      <w:rFonts w:cs="Times New Roman"/>
      <w:sz w:val="3276"/>
      <w:szCs w:val="327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4771D3"/>
  </w:style>
  <w:style w:type="paragraph" w:customStyle="1" w:styleId="5949AF95AEA74B59BE15EEF01C3D9584">
    <w:name w:val="5949AF95AEA74B59BE15EEF01C3D9584"/>
    <w:rsid w:val="00B40AEB"/>
    <w:pPr>
      <w:bidi/>
    </w:pPr>
  </w:style>
  <w:style w:type="paragraph" w:customStyle="1" w:styleId="F543BD6017094ECA8A197FD31D42F9F0">
    <w:name w:val="F543BD6017094ECA8A197FD31D42F9F0"/>
    <w:rsid w:val="00B40AEB"/>
    <w:pPr>
      <w:bidi/>
    </w:pPr>
  </w:style>
  <w:style w:type="paragraph" w:customStyle="1" w:styleId="43830518B23F43CE95EF1FDBFC3F7B6B">
    <w:name w:val="43830518B23F43CE95EF1FDBFC3F7B6B"/>
    <w:rsid w:val="00B40AEB"/>
    <w:pPr>
      <w:bidi/>
    </w:pPr>
  </w:style>
  <w:style w:type="paragraph" w:customStyle="1" w:styleId="D128F3650E61473296914EF9E15A250B">
    <w:name w:val="D128F3650E61473296914EF9E15A250B"/>
    <w:rsid w:val="00B40AEB"/>
    <w:pPr>
      <w:bidi/>
    </w:pPr>
  </w:style>
  <w:style w:type="paragraph" w:customStyle="1" w:styleId="F543BD6017094ECA8A197FD31D42F9F01">
    <w:name w:val="F543BD6017094ECA8A197FD31D42F9F01"/>
    <w:rsid w:val="00B65812"/>
    <w:pPr>
      <w:bidi/>
      <w:spacing w:after="0" w:line="240" w:lineRule="auto"/>
    </w:pPr>
    <w:rPr>
      <w:rFonts w:ascii="Times New Roman" w:eastAsia="Times New Roman" w:hAnsi="Times New Roman" w:cs="David"/>
      <w:noProof/>
      <w:sz w:val="24"/>
      <w:szCs w:val="24"/>
    </w:rPr>
  </w:style>
  <w:style w:type="paragraph" w:customStyle="1" w:styleId="43830518B23F43CE95EF1FDBFC3F7B6B1">
    <w:name w:val="43830518B23F43CE95EF1FDBFC3F7B6B1"/>
    <w:rsid w:val="00B65812"/>
    <w:pPr>
      <w:bidi/>
      <w:spacing w:after="0" w:line="240" w:lineRule="auto"/>
    </w:pPr>
    <w:rPr>
      <w:rFonts w:ascii="Times New Roman" w:eastAsia="Times New Roman" w:hAnsi="Times New Roman" w:cs="David"/>
      <w:noProof/>
      <w:sz w:val="24"/>
      <w:szCs w:val="24"/>
    </w:rPr>
  </w:style>
  <w:style w:type="paragraph" w:customStyle="1" w:styleId="D128F3650E61473296914EF9E15A250B1">
    <w:name w:val="D128F3650E61473296914EF9E15A250B1"/>
    <w:rsid w:val="00B65812"/>
    <w:pPr>
      <w:bidi/>
      <w:spacing w:after="0" w:line="240" w:lineRule="auto"/>
    </w:pPr>
    <w:rPr>
      <w:rFonts w:ascii="Times New Roman" w:eastAsia="Times New Roman" w:hAnsi="Times New Roman" w:cs="David"/>
      <w:noProof/>
      <w:sz w:val="24"/>
      <w:szCs w:val="24"/>
    </w:rPr>
  </w:style>
  <w:style w:type="paragraph" w:customStyle="1" w:styleId="D650C3ADC6E34C929EE3D2B6C6EAD8DA">
    <w:name w:val="D650C3ADC6E34C929EE3D2B6C6EAD8DA"/>
    <w:rsid w:val="00EA7F31"/>
    <w:pPr>
      <w:bidi/>
      <w:spacing w:after="0" w:line="240" w:lineRule="auto"/>
    </w:pPr>
    <w:rPr>
      <w:rFonts w:ascii="Times New Roman" w:eastAsia="Times New Roman" w:hAnsi="Times New Roman" w:cs="David"/>
      <w:noProof/>
      <w:sz w:val="24"/>
      <w:szCs w:val="24"/>
    </w:rPr>
  </w:style>
  <w:style w:type="paragraph" w:customStyle="1" w:styleId="0F98BC5BD65F4E3D9CB241A0552B3109">
    <w:name w:val="0F98BC5BD65F4E3D9CB241A0552B3109"/>
    <w:rsid w:val="00EA7F31"/>
    <w:pPr>
      <w:bidi/>
      <w:spacing w:after="0" w:line="240" w:lineRule="auto"/>
    </w:pPr>
    <w:rPr>
      <w:rFonts w:ascii="Times New Roman" w:eastAsia="Times New Roman" w:hAnsi="Times New Roman" w:cs="David"/>
      <w:noProof/>
      <w:sz w:val="24"/>
      <w:szCs w:val="24"/>
    </w:rPr>
  </w:style>
  <w:style w:type="paragraph" w:customStyle="1" w:styleId="188595C706B84060A65FC27D8AEC282C">
    <w:name w:val="188595C706B84060A65FC27D8AEC282C"/>
    <w:rsid w:val="00EA7F31"/>
    <w:pPr>
      <w:bidi/>
      <w:spacing w:after="0" w:line="240" w:lineRule="auto"/>
    </w:pPr>
    <w:rPr>
      <w:rFonts w:ascii="Times New Roman" w:eastAsia="Times New Roman" w:hAnsi="Times New Roman" w:cs="David"/>
      <w:noProof/>
      <w:sz w:val="24"/>
      <w:szCs w:val="24"/>
    </w:rPr>
  </w:style>
  <w:style w:type="paragraph" w:customStyle="1" w:styleId="4C0CD05467694806A8B4ED31ED85F270">
    <w:name w:val="4C0CD05467694806A8B4ED31ED85F270"/>
    <w:rsid w:val="00EA7F31"/>
    <w:pPr>
      <w:bidi/>
      <w:spacing w:after="0" w:line="240" w:lineRule="auto"/>
    </w:pPr>
    <w:rPr>
      <w:rFonts w:ascii="Times New Roman" w:eastAsia="Times New Roman" w:hAnsi="Times New Roman" w:cs="David"/>
      <w:noProof/>
      <w:sz w:val="24"/>
      <w:szCs w:val="24"/>
    </w:rPr>
  </w:style>
  <w:style w:type="paragraph" w:customStyle="1" w:styleId="F543BD6017094ECA8A197FD31D42F9F02">
    <w:name w:val="F543BD6017094ECA8A197FD31D42F9F02"/>
    <w:rsid w:val="00EA7F31"/>
    <w:pPr>
      <w:bidi/>
      <w:spacing w:after="0" w:line="240" w:lineRule="auto"/>
    </w:pPr>
    <w:rPr>
      <w:rFonts w:ascii="Times New Roman" w:eastAsia="Times New Roman" w:hAnsi="Times New Roman" w:cs="David"/>
      <w:noProof/>
      <w:sz w:val="24"/>
      <w:szCs w:val="24"/>
    </w:rPr>
  </w:style>
  <w:style w:type="paragraph" w:customStyle="1" w:styleId="43830518B23F43CE95EF1FDBFC3F7B6B2">
    <w:name w:val="43830518B23F43CE95EF1FDBFC3F7B6B2"/>
    <w:rsid w:val="00EA7F31"/>
    <w:pPr>
      <w:bidi/>
      <w:spacing w:after="0" w:line="240" w:lineRule="auto"/>
    </w:pPr>
    <w:rPr>
      <w:rFonts w:ascii="Times New Roman" w:eastAsia="Times New Roman" w:hAnsi="Times New Roman" w:cs="David"/>
      <w:noProof/>
      <w:sz w:val="24"/>
      <w:szCs w:val="24"/>
    </w:rPr>
  </w:style>
  <w:style w:type="paragraph" w:customStyle="1" w:styleId="D128F3650E61473296914EF9E15A250B2">
    <w:name w:val="D128F3650E61473296914EF9E15A250B2"/>
    <w:rsid w:val="00EA7F31"/>
    <w:pPr>
      <w:bidi/>
      <w:spacing w:after="0" w:line="240" w:lineRule="auto"/>
    </w:pPr>
    <w:rPr>
      <w:rFonts w:ascii="Times New Roman" w:eastAsia="Times New Roman" w:hAnsi="Times New Roman" w:cs="David"/>
      <w:noProof/>
      <w:sz w:val="24"/>
      <w:szCs w:val="24"/>
    </w:rPr>
  </w:style>
  <w:style w:type="paragraph" w:customStyle="1" w:styleId="D650C3ADC6E34C929EE3D2B6C6EAD8DA1">
    <w:name w:val="D650C3ADC6E34C929EE3D2B6C6EAD8DA1"/>
    <w:rsid w:val="00200BA6"/>
    <w:pPr>
      <w:bidi/>
      <w:spacing w:after="0" w:line="240" w:lineRule="auto"/>
    </w:pPr>
    <w:rPr>
      <w:rFonts w:ascii="Times New Roman" w:eastAsia="Times New Roman" w:hAnsi="Times New Roman" w:cs="David"/>
      <w:noProof/>
      <w:sz w:val="24"/>
      <w:szCs w:val="24"/>
    </w:rPr>
  </w:style>
  <w:style w:type="paragraph" w:customStyle="1" w:styleId="0F98BC5BD65F4E3D9CB241A0552B31091">
    <w:name w:val="0F98BC5BD65F4E3D9CB241A0552B31091"/>
    <w:rsid w:val="00200BA6"/>
    <w:pPr>
      <w:bidi/>
      <w:spacing w:after="0" w:line="240" w:lineRule="auto"/>
    </w:pPr>
    <w:rPr>
      <w:rFonts w:ascii="Times New Roman" w:eastAsia="Times New Roman" w:hAnsi="Times New Roman" w:cs="David"/>
      <w:noProof/>
      <w:sz w:val="24"/>
      <w:szCs w:val="24"/>
    </w:rPr>
  </w:style>
  <w:style w:type="paragraph" w:customStyle="1" w:styleId="188595C706B84060A65FC27D8AEC282C1">
    <w:name w:val="188595C706B84060A65FC27D8AEC282C1"/>
    <w:rsid w:val="00200BA6"/>
    <w:pPr>
      <w:bidi/>
      <w:spacing w:after="0" w:line="240" w:lineRule="auto"/>
    </w:pPr>
    <w:rPr>
      <w:rFonts w:ascii="Times New Roman" w:eastAsia="Times New Roman" w:hAnsi="Times New Roman" w:cs="David"/>
      <w:noProof/>
      <w:sz w:val="24"/>
      <w:szCs w:val="24"/>
    </w:rPr>
  </w:style>
  <w:style w:type="paragraph" w:customStyle="1" w:styleId="4C0CD05467694806A8B4ED31ED85F2701">
    <w:name w:val="4C0CD05467694806A8B4ED31ED85F2701"/>
    <w:rsid w:val="00200BA6"/>
    <w:pPr>
      <w:bidi/>
      <w:spacing w:after="0" w:line="240" w:lineRule="auto"/>
    </w:pPr>
    <w:rPr>
      <w:rFonts w:ascii="Times New Roman" w:eastAsia="Times New Roman" w:hAnsi="Times New Roman" w:cs="David"/>
      <w:noProof/>
      <w:sz w:val="24"/>
      <w:szCs w:val="24"/>
    </w:rPr>
  </w:style>
  <w:style w:type="paragraph" w:customStyle="1" w:styleId="F543BD6017094ECA8A197FD31D42F9F03">
    <w:name w:val="F543BD6017094ECA8A197FD31D42F9F03"/>
    <w:rsid w:val="00200BA6"/>
    <w:pPr>
      <w:bidi/>
      <w:spacing w:after="0" w:line="240" w:lineRule="auto"/>
    </w:pPr>
    <w:rPr>
      <w:rFonts w:ascii="Times New Roman" w:eastAsia="Times New Roman" w:hAnsi="Times New Roman" w:cs="David"/>
      <w:noProof/>
      <w:sz w:val="24"/>
      <w:szCs w:val="24"/>
    </w:rPr>
  </w:style>
  <w:style w:type="paragraph" w:customStyle="1" w:styleId="43830518B23F43CE95EF1FDBFC3F7B6B3">
    <w:name w:val="43830518B23F43CE95EF1FDBFC3F7B6B3"/>
    <w:rsid w:val="00200BA6"/>
    <w:pPr>
      <w:bidi/>
      <w:spacing w:after="0" w:line="240" w:lineRule="auto"/>
    </w:pPr>
    <w:rPr>
      <w:rFonts w:ascii="Times New Roman" w:eastAsia="Times New Roman" w:hAnsi="Times New Roman" w:cs="David"/>
      <w:noProof/>
      <w:sz w:val="24"/>
      <w:szCs w:val="24"/>
    </w:rPr>
  </w:style>
  <w:style w:type="paragraph" w:customStyle="1" w:styleId="D128F3650E61473296914EF9E15A250B3">
    <w:name w:val="D128F3650E61473296914EF9E15A250B3"/>
    <w:rsid w:val="00200BA6"/>
    <w:pPr>
      <w:bidi/>
      <w:spacing w:after="0" w:line="240" w:lineRule="auto"/>
    </w:pPr>
    <w:rPr>
      <w:rFonts w:ascii="Times New Roman" w:eastAsia="Times New Roman" w:hAnsi="Times New Roman" w:cs="David"/>
      <w:noProof/>
      <w:sz w:val="24"/>
      <w:szCs w:val="24"/>
    </w:rPr>
  </w:style>
  <w:style w:type="paragraph" w:customStyle="1" w:styleId="D650C3ADC6E34C929EE3D2B6C6EAD8DA2">
    <w:name w:val="D650C3ADC6E34C929EE3D2B6C6EAD8DA2"/>
    <w:rsid w:val="00833049"/>
    <w:pPr>
      <w:bidi/>
      <w:spacing w:after="0" w:line="240" w:lineRule="auto"/>
    </w:pPr>
    <w:rPr>
      <w:rFonts w:ascii="Times New Roman" w:eastAsia="Times New Roman" w:hAnsi="Times New Roman" w:cs="David"/>
      <w:noProof/>
      <w:sz w:val="24"/>
      <w:szCs w:val="24"/>
    </w:rPr>
  </w:style>
  <w:style w:type="paragraph" w:customStyle="1" w:styleId="0F98BC5BD65F4E3D9CB241A0552B31092">
    <w:name w:val="0F98BC5BD65F4E3D9CB241A0552B31092"/>
    <w:rsid w:val="00833049"/>
    <w:pPr>
      <w:bidi/>
      <w:spacing w:after="0" w:line="240" w:lineRule="auto"/>
    </w:pPr>
    <w:rPr>
      <w:rFonts w:ascii="Times New Roman" w:eastAsia="Times New Roman" w:hAnsi="Times New Roman" w:cs="David"/>
      <w:noProof/>
      <w:sz w:val="24"/>
      <w:szCs w:val="24"/>
    </w:rPr>
  </w:style>
  <w:style w:type="paragraph" w:customStyle="1" w:styleId="188595C706B84060A65FC27D8AEC282C2">
    <w:name w:val="188595C706B84060A65FC27D8AEC282C2"/>
    <w:rsid w:val="00833049"/>
    <w:pPr>
      <w:bidi/>
      <w:spacing w:after="0" w:line="240" w:lineRule="auto"/>
    </w:pPr>
    <w:rPr>
      <w:rFonts w:ascii="Times New Roman" w:eastAsia="Times New Roman" w:hAnsi="Times New Roman" w:cs="David"/>
      <w:noProof/>
      <w:sz w:val="24"/>
      <w:szCs w:val="24"/>
    </w:rPr>
  </w:style>
  <w:style w:type="paragraph" w:customStyle="1" w:styleId="4C0CD05467694806A8B4ED31ED85F2702">
    <w:name w:val="4C0CD05467694806A8B4ED31ED85F2702"/>
    <w:rsid w:val="00833049"/>
    <w:pPr>
      <w:bidi/>
      <w:spacing w:after="0" w:line="240" w:lineRule="auto"/>
    </w:pPr>
    <w:rPr>
      <w:rFonts w:ascii="Times New Roman" w:eastAsia="Times New Roman" w:hAnsi="Times New Roman" w:cs="David"/>
      <w:noProof/>
      <w:sz w:val="24"/>
      <w:szCs w:val="24"/>
    </w:rPr>
  </w:style>
  <w:style w:type="paragraph" w:customStyle="1" w:styleId="F543BD6017094ECA8A197FD31D42F9F04">
    <w:name w:val="F543BD6017094ECA8A197FD31D42F9F04"/>
    <w:rsid w:val="00833049"/>
    <w:pPr>
      <w:bidi/>
      <w:spacing w:after="0" w:line="240" w:lineRule="auto"/>
    </w:pPr>
    <w:rPr>
      <w:rFonts w:ascii="Times New Roman" w:eastAsia="Times New Roman" w:hAnsi="Times New Roman" w:cs="David"/>
      <w:noProof/>
      <w:sz w:val="24"/>
      <w:szCs w:val="24"/>
    </w:rPr>
  </w:style>
  <w:style w:type="paragraph" w:customStyle="1" w:styleId="43830518B23F43CE95EF1FDBFC3F7B6B4">
    <w:name w:val="43830518B23F43CE95EF1FDBFC3F7B6B4"/>
    <w:rsid w:val="00833049"/>
    <w:pPr>
      <w:bidi/>
      <w:spacing w:after="0" w:line="240" w:lineRule="auto"/>
    </w:pPr>
    <w:rPr>
      <w:rFonts w:ascii="Times New Roman" w:eastAsia="Times New Roman" w:hAnsi="Times New Roman" w:cs="David"/>
      <w:noProof/>
      <w:sz w:val="24"/>
      <w:szCs w:val="24"/>
    </w:rPr>
  </w:style>
  <w:style w:type="paragraph" w:customStyle="1" w:styleId="D128F3650E61473296914EF9E15A250B4">
    <w:name w:val="D128F3650E61473296914EF9E15A250B4"/>
    <w:rsid w:val="00833049"/>
    <w:pPr>
      <w:bidi/>
      <w:spacing w:after="0" w:line="240" w:lineRule="auto"/>
    </w:pPr>
    <w:rPr>
      <w:rFonts w:ascii="Times New Roman" w:eastAsia="Times New Roman" w:hAnsi="Times New Roman" w:cs="David"/>
      <w:noProof/>
      <w:sz w:val="24"/>
      <w:szCs w:val="24"/>
    </w:rPr>
  </w:style>
  <w:style w:type="paragraph" w:customStyle="1" w:styleId="ED0C00CA59CF44B7B7F297F49B8689A6">
    <w:name w:val="ED0C00CA59CF44B7B7F297F49B8689A6"/>
    <w:rsid w:val="004771D3"/>
    <w:pPr>
      <w:bidi/>
    </w:pPr>
  </w:style>
  <w:style w:type="paragraph" w:customStyle="1" w:styleId="83CC673C20584E4BAF4D76519BACB3A9">
    <w:name w:val="83CC673C20584E4BAF4D76519BACB3A9"/>
    <w:rsid w:val="005A2642"/>
    <w:pPr>
      <w:bidi/>
    </w:pPr>
  </w:style>
  <w:style w:type="paragraph" w:customStyle="1" w:styleId="F365FCC4BB4644E68381A29082F63C50">
    <w:name w:val="F365FCC4BB4644E68381A29082F63C50"/>
    <w:rsid w:val="005A2642"/>
    <w:pPr>
      <w:bidi/>
    </w:pPr>
  </w:style>
  <w:style w:type="paragraph" w:customStyle="1" w:styleId="71A0D8221C494876B6DC9D1765940BA2">
    <w:name w:val="71A0D8221C494876B6DC9D1765940BA2"/>
    <w:rsid w:val="005A2642"/>
    <w:pPr>
      <w:bidi/>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25</Pages>
  <Words>4764</Words>
  <Characters>23824</Characters>
  <Application>Microsoft Office Word</Application>
  <DocSecurity>0</DocSecurity>
  <Lines>198</Lines>
  <Paragraphs>57</Paragraphs>
  <ScaleCrop>false</ScaleCrop>
  <HeadingPairs>
    <vt:vector size="2" baseType="variant">
      <vt:variant>
        <vt:lpstr>שם</vt:lpstr>
      </vt:variant>
      <vt:variant>
        <vt:i4>1</vt:i4>
      </vt:variant>
    </vt:vector>
  </HeadingPairs>
  <TitlesOfParts>
    <vt:vector size="1" baseType="lpstr">
      <vt:lpstr/>
    </vt:vector>
  </TitlesOfParts>
  <Company>Microsoft Corporation</Company>
  <LinksUpToDate>false</LinksUpToDate>
  <CharactersWithSpaces>28531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anatk</dc:creator>
  <cp:keywords/>
  <dc:description/>
  <cp:lastModifiedBy>גרמאו מנגיסטו</cp:lastModifiedBy>
  <cp:revision>2</cp:revision>
  <dcterms:created xsi:type="dcterms:W3CDTF">2025-02-20T13:15:00Z</dcterms:created>
  <dcterms:modified xsi:type="dcterms:W3CDTF">2025-02-20T13:15:00Z</dcterms:modified>
</cp:coreProperties>
</file>