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6B1" w:rsidRPr="009F00A1" w:rsidRDefault="004D06B1" w:rsidP="007754B9">
      <w:pPr>
        <w:spacing w:after="120" w:line="360" w:lineRule="auto"/>
        <w:jc w:val="center"/>
        <w:rPr>
          <w:rFonts w:ascii="FrankRuehl" w:hAnsi="FrankRuehl" w:cs="FrankRuehl"/>
          <w:b/>
          <w:bCs/>
          <w:color w:val="17365D" w:themeColor="text2" w:themeShade="BF"/>
          <w:sz w:val="32"/>
          <w:szCs w:val="32"/>
          <w:u w:val="single"/>
          <w:rtl/>
        </w:rPr>
      </w:pPr>
      <w:bookmarkStart w:id="0" w:name="_GoBack"/>
      <w:bookmarkEnd w:id="0"/>
      <w:r w:rsidRPr="009F00A1">
        <w:rPr>
          <w:rFonts w:ascii="FrankRuehl" w:hAnsi="FrankRuehl" w:cs="FrankRuehl"/>
          <w:b/>
          <w:bCs/>
          <w:color w:val="17365D" w:themeColor="text2" w:themeShade="BF"/>
          <w:sz w:val="32"/>
          <w:szCs w:val="32"/>
          <w:u w:val="single"/>
          <w:rtl/>
        </w:rPr>
        <w:t>תקציר</w:t>
      </w:r>
      <w:r w:rsidR="00630366" w:rsidRPr="009F00A1">
        <w:rPr>
          <w:rFonts w:ascii="FrankRuehl" w:hAnsi="FrankRuehl" w:cs="FrankRuehl"/>
          <w:b/>
          <w:bCs/>
          <w:color w:val="17365D" w:themeColor="text2" w:themeShade="BF"/>
          <w:sz w:val="32"/>
          <w:szCs w:val="32"/>
          <w:u w:val="single"/>
          <w:rtl/>
        </w:rPr>
        <w:t xml:space="preserve"> </w:t>
      </w:r>
      <w:r w:rsidR="00530B57" w:rsidRPr="009F00A1">
        <w:rPr>
          <w:rFonts w:ascii="FrankRuehl" w:hAnsi="FrankRuehl" w:cs="FrankRuehl" w:hint="cs"/>
          <w:b/>
          <w:bCs/>
          <w:color w:val="17365D" w:themeColor="text2" w:themeShade="BF"/>
          <w:sz w:val="32"/>
          <w:szCs w:val="32"/>
          <w:u w:val="single"/>
          <w:rtl/>
        </w:rPr>
        <w:t>החלטה</w:t>
      </w:r>
    </w:p>
    <w:p w:rsidR="004D06B1" w:rsidRPr="00BB5080" w:rsidRDefault="00530B57" w:rsidP="007754B9">
      <w:pPr>
        <w:spacing w:after="120"/>
        <w:jc w:val="center"/>
        <w:rPr>
          <w:rFonts w:ascii="FrankRuehl" w:hAnsi="FrankRuehl" w:cs="FrankRuehl"/>
          <w:b/>
          <w:bCs/>
          <w:color w:val="17365D" w:themeColor="text2" w:themeShade="BF"/>
          <w:sz w:val="32"/>
          <w:szCs w:val="32"/>
          <w:rtl/>
        </w:rPr>
      </w:pPr>
      <w:r>
        <w:rPr>
          <w:rFonts w:ascii="FrankRuehl" w:hAnsi="FrankRuehl" w:cs="FrankRuehl" w:hint="cs"/>
          <w:b/>
          <w:bCs/>
          <w:color w:val="17365D" w:themeColor="text2" w:themeShade="BF"/>
          <w:sz w:val="32"/>
          <w:szCs w:val="32"/>
          <w:rtl/>
        </w:rPr>
        <w:t xml:space="preserve">תיק </w:t>
      </w:r>
      <w:r w:rsidR="007754B9">
        <w:rPr>
          <w:rFonts w:ascii="FrankRuehl" w:hAnsi="FrankRuehl" w:cs="FrankRuehl" w:hint="cs"/>
          <w:b/>
          <w:bCs/>
          <w:color w:val="17365D" w:themeColor="text2" w:themeShade="BF"/>
          <w:sz w:val="32"/>
          <w:szCs w:val="32"/>
          <w:rtl/>
        </w:rPr>
        <w:t>פר"</w:t>
      </w:r>
      <w:r w:rsidR="009F2EF0">
        <w:rPr>
          <w:rFonts w:ascii="FrankRuehl" w:hAnsi="FrankRuehl" w:cs="FrankRuehl" w:hint="cs"/>
          <w:b/>
          <w:bCs/>
          <w:color w:val="17365D" w:themeColor="text2" w:themeShade="BF"/>
          <w:sz w:val="32"/>
          <w:szCs w:val="32"/>
          <w:rtl/>
        </w:rPr>
        <w:t>ק</w:t>
      </w:r>
      <w:r w:rsidR="009F00A1">
        <w:rPr>
          <w:rFonts w:ascii="FrankRuehl" w:hAnsi="FrankRuehl" w:cs="FrankRuehl" w:hint="cs"/>
          <w:b/>
          <w:bCs/>
          <w:color w:val="17365D" w:themeColor="text2" w:themeShade="BF"/>
          <w:sz w:val="32"/>
          <w:szCs w:val="32"/>
          <w:rtl/>
        </w:rPr>
        <w:t xml:space="preserve"> </w:t>
      </w:r>
      <w:r w:rsidR="007754B9">
        <w:rPr>
          <w:rFonts w:ascii="FrankRuehl" w:hAnsi="FrankRuehl" w:cs="FrankRuehl" w:hint="cs"/>
          <w:b/>
          <w:bCs/>
          <w:color w:val="17365D" w:themeColor="text2" w:themeShade="BF"/>
          <w:sz w:val="32"/>
          <w:szCs w:val="32"/>
          <w:rtl/>
        </w:rPr>
        <w:t xml:space="preserve">44205-01-21 מידילי </w:t>
      </w:r>
      <w:r w:rsidR="00460FA3">
        <w:rPr>
          <w:rFonts w:ascii="FrankRuehl" w:hAnsi="FrankRuehl" w:cs="FrankRuehl" w:hint="cs"/>
          <w:b/>
          <w:bCs/>
          <w:color w:val="17365D" w:themeColor="text2" w:themeShade="BF"/>
          <w:sz w:val="32"/>
          <w:szCs w:val="32"/>
          <w:rtl/>
        </w:rPr>
        <w:t xml:space="preserve">נ' </w:t>
      </w:r>
      <w:r w:rsidR="007754B9">
        <w:rPr>
          <w:rFonts w:ascii="FrankRuehl" w:hAnsi="FrankRuehl" w:cs="FrankRuehl" w:hint="cs"/>
          <w:b/>
          <w:bCs/>
          <w:color w:val="17365D" w:themeColor="text2" w:themeShade="BF"/>
          <w:sz w:val="32"/>
          <w:szCs w:val="32"/>
          <w:rtl/>
        </w:rPr>
        <w:t>עו"ד חגי אולמן ואח'</w:t>
      </w:r>
    </w:p>
    <w:p w:rsidR="007754B9" w:rsidRDefault="00630366" w:rsidP="007754B9">
      <w:pPr>
        <w:spacing w:after="120"/>
        <w:jc w:val="center"/>
        <w:rPr>
          <w:rFonts w:ascii="FrankRuehl" w:hAnsi="FrankRuehl" w:cs="FrankRuehl"/>
          <w:b/>
          <w:bCs/>
          <w:color w:val="17365D" w:themeColor="text2" w:themeShade="BF"/>
          <w:sz w:val="32"/>
          <w:szCs w:val="32"/>
          <w:rtl/>
        </w:rPr>
      </w:pPr>
      <w:r w:rsidRPr="00BB5080">
        <w:rPr>
          <w:rFonts w:ascii="FrankRuehl" w:hAnsi="FrankRuehl" w:cs="FrankRuehl"/>
          <w:b/>
          <w:bCs/>
          <w:color w:val="17365D" w:themeColor="text2" w:themeShade="BF"/>
          <w:sz w:val="32"/>
          <w:szCs w:val="32"/>
          <w:rtl/>
        </w:rPr>
        <w:t xml:space="preserve">כבוד השופטת </w:t>
      </w:r>
      <w:r w:rsidR="007754B9">
        <w:rPr>
          <w:rFonts w:ascii="FrankRuehl" w:hAnsi="FrankRuehl" w:cs="FrankRuehl" w:hint="cs"/>
          <w:b/>
          <w:bCs/>
          <w:color w:val="17365D" w:themeColor="text2" w:themeShade="BF"/>
          <w:sz w:val="32"/>
          <w:szCs w:val="32"/>
          <w:rtl/>
        </w:rPr>
        <w:t>איריס לושי-עבודי</w:t>
      </w:r>
    </w:p>
    <w:p w:rsidR="007754B9" w:rsidRDefault="007754B9" w:rsidP="007754B9">
      <w:pPr>
        <w:spacing w:after="120"/>
        <w:rPr>
          <w:rFonts w:ascii="FrankRuehl" w:hAnsi="FrankRuehl" w:cs="FrankRuehl"/>
          <w:b/>
          <w:bCs/>
          <w:color w:val="17365D" w:themeColor="text2" w:themeShade="BF"/>
          <w:sz w:val="32"/>
          <w:szCs w:val="32"/>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בי</w:t>
      </w:r>
      <w:r>
        <w:rPr>
          <w:rFonts w:ascii="FrankRuehl" w:hAnsi="FrankRuehl" w:cs="FrankRuehl" w:hint="cs"/>
          <w:color w:val="17365D" w:themeColor="text2" w:themeShade="BF"/>
          <w:sz w:val="26"/>
          <w:szCs w:val="26"/>
          <w:rtl/>
        </w:rPr>
        <w:t xml:space="preserve">ת-המשפט </w:t>
      </w:r>
      <w:r>
        <w:rPr>
          <w:rFonts w:ascii="FrankRuehl" w:hAnsi="FrankRuehl" w:cs="FrankRuehl"/>
          <w:color w:val="17365D" w:themeColor="text2" w:themeShade="BF"/>
          <w:sz w:val="26"/>
          <w:szCs w:val="26"/>
          <w:rtl/>
        </w:rPr>
        <w:t>המחוזי בת</w:t>
      </w:r>
      <w:r>
        <w:rPr>
          <w:rFonts w:ascii="FrankRuehl" w:hAnsi="FrankRuehl" w:cs="FrankRuehl" w:hint="cs"/>
          <w:color w:val="17365D" w:themeColor="text2" w:themeShade="BF"/>
          <w:sz w:val="26"/>
          <w:szCs w:val="26"/>
          <w:rtl/>
        </w:rPr>
        <w:t>ל-</w:t>
      </w:r>
      <w:r w:rsidRPr="007754B9">
        <w:rPr>
          <w:rFonts w:ascii="FrankRuehl" w:hAnsi="FrankRuehl" w:cs="FrankRuehl"/>
          <w:color w:val="17365D" w:themeColor="text2" w:themeShade="BF"/>
          <w:sz w:val="26"/>
          <w:szCs w:val="26"/>
          <w:rtl/>
        </w:rPr>
        <w:t>א</w:t>
      </w:r>
      <w:r>
        <w:rPr>
          <w:rFonts w:ascii="FrankRuehl" w:hAnsi="FrankRuehl" w:cs="FrankRuehl" w:hint="cs"/>
          <w:color w:val="17365D" w:themeColor="text2" w:themeShade="BF"/>
          <w:sz w:val="26"/>
          <w:szCs w:val="26"/>
          <w:rtl/>
        </w:rPr>
        <w:t>ביב</w:t>
      </w:r>
      <w:r w:rsidRPr="007754B9">
        <w:rPr>
          <w:rFonts w:ascii="FrankRuehl" w:hAnsi="FrankRuehl" w:cs="FrankRuehl"/>
          <w:color w:val="17365D" w:themeColor="text2" w:themeShade="BF"/>
          <w:sz w:val="26"/>
          <w:szCs w:val="26"/>
          <w:rtl/>
        </w:rPr>
        <w:t xml:space="preserve"> (השופטת איריס לושי-עבודי) התייחס בהחלטה חדשה לאופן בו מתמנים כונסי-נכסים בתיקי חדלות-פירעון</w:t>
      </w:r>
      <w:r w:rsidRPr="007754B9">
        <w:rPr>
          <w:rFonts w:ascii="FrankRuehl" w:hAnsi="FrankRuehl" w:cs="FrankRuehl" w:hint="cs"/>
          <w:color w:val="17365D" w:themeColor="text2" w:themeShade="BF"/>
          <w:sz w:val="26"/>
          <w:szCs w:val="26"/>
          <w:rtl/>
        </w:rPr>
        <w:t xml:space="preserve"> </w:t>
      </w:r>
      <w:r w:rsidRPr="007754B9">
        <w:rPr>
          <w:rFonts w:ascii="FrankRuehl" w:hAnsi="FrankRuehl" w:cs="FrankRuehl"/>
          <w:color w:val="17365D" w:themeColor="text2" w:themeShade="BF"/>
          <w:sz w:val="26"/>
          <w:szCs w:val="26"/>
          <w:rtl/>
        </w:rPr>
        <w:t>והעיר מספר הערות עקרוניות</w:t>
      </w:r>
      <w:r w:rsidRPr="007754B9">
        <w:rPr>
          <w:rFonts w:ascii="FrankRuehl" w:hAnsi="FrankRuehl" w:cs="FrankRuehl" w:hint="cs"/>
          <w:color w:val="17365D" w:themeColor="text2" w:themeShade="BF"/>
          <w:sz w:val="26"/>
          <w:szCs w:val="26"/>
          <w:rtl/>
        </w:rPr>
        <w:t xml:space="preserve"> בנושא</w:t>
      </w:r>
      <w:r w:rsidRPr="007754B9">
        <w:rPr>
          <w:rFonts w:ascii="FrankRuehl" w:hAnsi="FrankRuehl" w:cs="FrankRuehl"/>
          <w:color w:val="17365D" w:themeColor="text2" w:themeShade="BF"/>
          <w:sz w:val="26"/>
          <w:szCs w:val="26"/>
          <w:rtl/>
        </w:rPr>
        <w:t>.</w:t>
      </w:r>
      <w:r w:rsidRPr="007754B9">
        <w:rPr>
          <w:rFonts w:ascii="FrankRuehl" w:hAnsi="FrankRuehl" w:cs="FrankRuehl" w:hint="cs"/>
          <w:color w:val="17365D" w:themeColor="text2" w:themeShade="BF"/>
          <w:sz w:val="26"/>
          <w:szCs w:val="26"/>
          <w:rtl/>
        </w:rPr>
        <w:t xml:space="preserve"> </w:t>
      </w:r>
      <w:r w:rsidRPr="007754B9">
        <w:rPr>
          <w:rFonts w:ascii="FrankRuehl" w:hAnsi="FrankRuehl" w:cs="FrankRuehl"/>
          <w:color w:val="17365D" w:themeColor="text2" w:themeShade="BF"/>
          <w:sz w:val="26"/>
          <w:szCs w:val="26"/>
          <w:rtl/>
        </w:rPr>
        <w:t>מדובר במינוי כונסי-נכסים לצורך מימוש שעבודים קבועים בחברות, שהפעילות או הנכסים העיקריים שלהן משועבדים לגורמים מממנים והן למעשה חדלות-פירעון, תופעה הניכרת לאחרונה במיוחד בפרוייקטי תמ"א 38.</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 xml:space="preserve">ההחלטה ניתנה בעניינה של חברה שיזמה והקימה פרויקט תמ"א 38 (חיזוק) ברחוב הנביאים בעיר בת-ים. החברה נקלעה לקשיים והגורמים שהעניקו </w:t>
      </w:r>
      <w:r w:rsidRPr="007754B9">
        <w:rPr>
          <w:rFonts w:ascii="FrankRuehl" w:hAnsi="FrankRuehl" w:cs="FrankRuehl" w:hint="cs"/>
          <w:color w:val="17365D" w:themeColor="text2" w:themeShade="BF"/>
          <w:sz w:val="26"/>
          <w:szCs w:val="26"/>
          <w:rtl/>
        </w:rPr>
        <w:t xml:space="preserve">לה </w:t>
      </w:r>
      <w:r w:rsidRPr="007754B9">
        <w:rPr>
          <w:rFonts w:ascii="FrankRuehl" w:hAnsi="FrankRuehl" w:cs="FrankRuehl"/>
          <w:color w:val="17365D" w:themeColor="text2" w:themeShade="BF"/>
          <w:sz w:val="26"/>
          <w:szCs w:val="26"/>
          <w:rtl/>
        </w:rPr>
        <w:t xml:space="preserve">ליווי פיננסי ומימנו את הפרויקט (קרן יסודות וחברת הביטוח </w:t>
      </w:r>
      <w:r>
        <w:rPr>
          <w:rFonts w:ascii="FrankRuehl" w:hAnsi="FrankRuehl" w:cs="FrankRuehl"/>
          <w:color w:val="17365D" w:themeColor="text2" w:themeShade="BF"/>
          <w:sz w:val="26"/>
          <w:szCs w:val="26"/>
          <w:rtl/>
        </w:rPr>
        <w:t>איילון) הגישו לבי</w:t>
      </w:r>
      <w:r>
        <w:rPr>
          <w:rFonts w:ascii="FrankRuehl" w:hAnsi="FrankRuehl" w:cs="FrankRuehl" w:hint="cs"/>
          <w:color w:val="17365D" w:themeColor="text2" w:themeShade="BF"/>
          <w:sz w:val="26"/>
          <w:szCs w:val="26"/>
          <w:rtl/>
        </w:rPr>
        <w:t>ת-המשפט</w:t>
      </w:r>
      <w:r>
        <w:rPr>
          <w:rFonts w:ascii="FrankRuehl" w:hAnsi="FrankRuehl" w:cs="FrankRuehl"/>
          <w:color w:val="17365D" w:themeColor="text2" w:themeShade="BF"/>
          <w:sz w:val="26"/>
          <w:szCs w:val="26"/>
          <w:rtl/>
        </w:rPr>
        <w:t xml:space="preserve"> המחוזי בת</w:t>
      </w:r>
      <w:r>
        <w:rPr>
          <w:rFonts w:ascii="FrankRuehl" w:hAnsi="FrankRuehl" w:cs="FrankRuehl" w:hint="cs"/>
          <w:color w:val="17365D" w:themeColor="text2" w:themeShade="BF"/>
          <w:sz w:val="26"/>
          <w:szCs w:val="26"/>
          <w:rtl/>
        </w:rPr>
        <w:t>ל-</w:t>
      </w:r>
      <w:r w:rsidRPr="007754B9">
        <w:rPr>
          <w:rFonts w:ascii="FrankRuehl" w:hAnsi="FrankRuehl" w:cs="FrankRuehl"/>
          <w:color w:val="17365D" w:themeColor="text2" w:themeShade="BF"/>
          <w:sz w:val="26"/>
          <w:szCs w:val="26"/>
          <w:rtl/>
        </w:rPr>
        <w:t>א</w:t>
      </w:r>
      <w:r>
        <w:rPr>
          <w:rFonts w:ascii="FrankRuehl" w:hAnsi="FrankRuehl" w:cs="FrankRuehl" w:hint="cs"/>
          <w:color w:val="17365D" w:themeColor="text2" w:themeShade="BF"/>
          <w:sz w:val="26"/>
          <w:szCs w:val="26"/>
          <w:rtl/>
        </w:rPr>
        <w:t>ביב</w:t>
      </w:r>
      <w:r w:rsidRPr="007754B9">
        <w:rPr>
          <w:rFonts w:ascii="FrankRuehl" w:hAnsi="FrankRuehl" w:cs="FrankRuehl"/>
          <w:color w:val="17365D" w:themeColor="text2" w:themeShade="BF"/>
          <w:sz w:val="26"/>
          <w:szCs w:val="26"/>
          <w:rtl/>
        </w:rPr>
        <w:t xml:space="preserve"> בקשה למנות כונס-נכסים לשם מימוש השעבודים הקבועים שהחברה רשמה לטובתם על הפרויקט. למרות שזה היה ככל הנראה הפרויקט היחידי של החברה, הגורמים המממנים הדגישו שהם אינם מבקשים לממש את השעבוד הצף שעמד לזכותם, אלא רק את השעבודים הקבועים. כמו כן, החברה עצמה לא נכנסה להליכי חדלות-פירעון, ככל הנראה משום שלא נמצא נושה רלוונטי שייקח על עצמו את ההליכים הללו ואת עלויותיהם.</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כונס-הנכסים שמונה לתפקידו החליט להשלים בעצמו את בניית הפרויקט ואף הצליח למכור את יתרת הדירות שטרם נמכרו בו. ואולם, בשל הקשיים שהחברה נקלעה אליהם ומינוי הכונס, הדירות נמסרו באיחור רב לרוכשי-הדירות החדשות בבניין.</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זוג שרכש דירה בפרויקט הגיש בקשה לביהמ"ש נגד כונס-הנכסים, בה ביקש לחייב את כונס-הנכסים בפיצוי המוסכם שנקבע בהסכם מכר הדירה שנחתם עם החברה, וזאת בשל האיחור במסירת הדירה. לחילופין ביקש הזוג לאפשר לו לקזז פיצוי זה מיתרת התמורה שהיה עליו לשלם לכונס-הנכסים.</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השופטת איריס לושי-עבודי ציינה בהחלטתה כי מקרה כזה אכן יוצר טשטוש מסוים של הגבולות בין תפקידו של כונס-הנכסים והמלאכה האקטיבית שנטל על עצמו במסגרת מימוש השעבוד, לבין עניינה הכולל של החברה שיזמה וביצעה את הפרויקט ואף יצרה</w:t>
      </w:r>
      <w:r>
        <w:rPr>
          <w:rFonts w:ascii="FrankRuehl" w:hAnsi="FrankRuehl" w:cs="FrankRuehl"/>
          <w:color w:val="17365D" w:themeColor="text2" w:themeShade="BF"/>
          <w:sz w:val="26"/>
          <w:szCs w:val="26"/>
          <w:rtl/>
        </w:rPr>
        <w:t xml:space="preserve"> את השעבודים עליו. ואולם, בי</w:t>
      </w:r>
      <w:r>
        <w:rPr>
          <w:rFonts w:ascii="FrankRuehl" w:hAnsi="FrankRuehl" w:cs="FrankRuehl" w:hint="cs"/>
          <w:color w:val="17365D" w:themeColor="text2" w:themeShade="BF"/>
          <w:sz w:val="26"/>
          <w:szCs w:val="26"/>
          <w:rtl/>
        </w:rPr>
        <w:t>ת-המשפט</w:t>
      </w:r>
      <w:r w:rsidRPr="007754B9">
        <w:rPr>
          <w:rFonts w:ascii="FrankRuehl" w:hAnsi="FrankRuehl" w:cs="FrankRuehl"/>
          <w:color w:val="17365D" w:themeColor="text2" w:themeShade="BF"/>
          <w:sz w:val="26"/>
          <w:szCs w:val="26"/>
          <w:rtl/>
        </w:rPr>
        <w:t xml:space="preserve"> קבע כי בכל זאת כונס-הנכסים הוא </w:t>
      </w:r>
      <w:r w:rsidRPr="007754B9">
        <w:rPr>
          <w:rFonts w:ascii="FrankRuehl" w:hAnsi="FrankRuehl" w:cs="FrankRuehl"/>
          <w:color w:val="17365D" w:themeColor="text2" w:themeShade="BF"/>
          <w:sz w:val="26"/>
          <w:szCs w:val="26"/>
          <w:rtl/>
        </w:rPr>
        <w:lastRenderedPageBreak/>
        <w:t>ישות משפטית נפרדת מהחברה וכי אין לו מידע מלא ואחריות לגבי יתר התחייבויותיה ונכסיה של החברה.</w:t>
      </w:r>
      <w:r w:rsidRPr="007754B9">
        <w:rPr>
          <w:rFonts w:ascii="FrankRuehl" w:hAnsi="FrankRuehl" w:cs="FrankRuehl" w:hint="cs"/>
          <w:color w:val="17365D" w:themeColor="text2" w:themeShade="BF"/>
          <w:sz w:val="26"/>
          <w:szCs w:val="26"/>
          <w:rtl/>
        </w:rPr>
        <w:t xml:space="preserve"> </w:t>
      </w:r>
      <w:r w:rsidRPr="007754B9">
        <w:rPr>
          <w:rFonts w:ascii="FrankRuehl" w:hAnsi="FrankRuehl" w:cs="FrankRuehl"/>
          <w:color w:val="17365D" w:themeColor="text2" w:themeShade="BF"/>
          <w:sz w:val="26"/>
          <w:szCs w:val="26"/>
          <w:rtl/>
        </w:rPr>
        <w:t>עוד קבע בי</w:t>
      </w:r>
      <w:r>
        <w:rPr>
          <w:rFonts w:ascii="FrankRuehl" w:hAnsi="FrankRuehl" w:cs="FrankRuehl" w:hint="cs"/>
          <w:color w:val="17365D" w:themeColor="text2" w:themeShade="BF"/>
          <w:sz w:val="26"/>
          <w:szCs w:val="26"/>
          <w:rtl/>
        </w:rPr>
        <w:t>ת-המשפט</w:t>
      </w:r>
      <w:r w:rsidRPr="007754B9">
        <w:rPr>
          <w:rFonts w:ascii="FrankRuehl" w:hAnsi="FrankRuehl" w:cs="FrankRuehl"/>
          <w:color w:val="17365D" w:themeColor="text2" w:themeShade="BF"/>
          <w:sz w:val="26"/>
          <w:szCs w:val="26"/>
          <w:rtl/>
        </w:rPr>
        <w:t xml:space="preserve"> כי ההתחייבות בפיצוי מוסכם אינה התחייבות של הכונס, אלא של החברה, וזאת למרות שהכונס החליט להשלים את הפרויקט במקומה של החברה. בנוסף קבעה השופטת כי יתרת התמורה שעל רוכשי הדירות לשלם הינה חוב מובטח של הגורמים המממנים שהפרויקט שועבד להם, אשר אינו עומד במישור אחד וגובר על ההתחייבות של החברה לשלם לרוכשים פיצויים – התחייבות שלגביה רוכשי-הדירות מהווים נושים רגילים של החברה ככל נושה אחר.</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עם זאת, השופטת לושי-עבודי ציינה בהחלטתה כי מצב זה אינו תקין ואינו בריא, בין היתר משום שלמעשה עלולה להיווצר "תכנית כבקשתך", בה כונס-הנכסים בוחר אלו סעיפים של החוזים שכרתו רוכשי-הדירות והדיירים הקודמים עם החברה לקיים, ואלו לא.</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השופטת ציינה עוד כי המצב, בו כונס-הנכסים אינו נכנס באופן מלא בנעלי החברה או שהחברה אינה נכנסת להליכי חדלות-פירעון וממונה לה נאמן, מהווה מעין "כשל-שוק" ועלול להוביל למצבים בעייתיים, כגון: פגיעה בעיקרון השוויון בין הנושים וקולקטיביות ההליך, שהם עקרונות-יסוד בדיני חדלות-פירעון; ריבוי הליכי סרק בערכאות שונות (באותו מקרה הוגשו לא פחות מ-11 תביעות אזרחיות "רגילות" של רוכשי-דירות לבימ"ש השלום בגין האיחור במסירת הדירות ע"י החברה ושתי חברות תאומות שלה, כאשר ברור למדי כי גם אם יינתנו פסקי-דין לטובת אותם רוכשים, סביר להניח שלא יהיה להם כיצד לגבות את פסקי-הדין); וכן חשש מפסיקות סותרות של ערכאות שונות.</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השופטת לושי-עבודי הצביעה על כך שלפי התיקון לסעיף 194 לפקודת החברות, שנכלל בחוק חדלות-הפירעון החדש, כאשר ממונה כונס-נכסים למימוש שעבוד צף, רואים זאת כמינוי נאמן לחברה – דבר שיוצר הבדלים ניכרים ביחס להליך למימוש שעבוד קבוע, כגון: אופן מינוי בעל-התפקיד, מעמדו של בעל-התפקיד כנאמן ולא ככונס-נכסים, תקרת השעבוד הצף (75%) הקבועה בסעיף 244 לחוק חדלות-פירעון, שכר-טרחתו של בעל-התפקיד וכמובן מעמדה של החברה כמי שניתן לגביה צו לפתיחת הליכים.</w:t>
      </w:r>
    </w:p>
    <w:p w:rsidR="007754B9" w:rsidRPr="007754B9" w:rsidRDefault="007754B9" w:rsidP="007754B9">
      <w:pPr>
        <w:spacing w:line="360" w:lineRule="auto"/>
        <w:jc w:val="both"/>
        <w:rPr>
          <w:rFonts w:ascii="FrankRuehl" w:hAnsi="FrankRuehl" w:cs="FrankRuehl"/>
          <w:color w:val="17365D" w:themeColor="text2" w:themeShade="BF"/>
          <w:sz w:val="26"/>
          <w:szCs w:val="26"/>
          <w:rtl/>
        </w:rPr>
      </w:pPr>
    </w:p>
    <w:p w:rsidR="007754B9" w:rsidRPr="007754B9" w:rsidRDefault="007754B9" w:rsidP="007754B9">
      <w:pPr>
        <w:spacing w:line="360" w:lineRule="auto"/>
        <w:jc w:val="both"/>
        <w:rPr>
          <w:rFonts w:ascii="FrankRuehl" w:hAnsi="FrankRuehl" w:cs="FrankRuehl"/>
          <w:color w:val="17365D" w:themeColor="text2" w:themeShade="BF"/>
          <w:sz w:val="26"/>
          <w:szCs w:val="26"/>
          <w:rtl/>
        </w:rPr>
      </w:pPr>
      <w:r w:rsidRPr="007754B9">
        <w:rPr>
          <w:rFonts w:ascii="FrankRuehl" w:hAnsi="FrankRuehl" w:cs="FrankRuehl"/>
          <w:color w:val="17365D" w:themeColor="text2" w:themeShade="BF"/>
          <w:sz w:val="26"/>
          <w:szCs w:val="26"/>
          <w:rtl/>
        </w:rPr>
        <w:t>בי</w:t>
      </w:r>
      <w:r>
        <w:rPr>
          <w:rFonts w:ascii="FrankRuehl" w:hAnsi="FrankRuehl" w:cs="FrankRuehl" w:hint="cs"/>
          <w:color w:val="17365D" w:themeColor="text2" w:themeShade="BF"/>
          <w:sz w:val="26"/>
          <w:szCs w:val="26"/>
          <w:rtl/>
        </w:rPr>
        <w:t>ת-</w:t>
      </w:r>
      <w:r>
        <w:rPr>
          <w:rFonts w:ascii="FrankRuehl" w:hAnsi="FrankRuehl" w:cs="FrankRuehl"/>
          <w:color w:val="17365D" w:themeColor="text2" w:themeShade="BF"/>
          <w:sz w:val="26"/>
          <w:szCs w:val="26"/>
          <w:rtl/>
        </w:rPr>
        <w:t>המ</w:t>
      </w:r>
      <w:r>
        <w:rPr>
          <w:rFonts w:ascii="FrankRuehl" w:hAnsi="FrankRuehl" w:cs="FrankRuehl" w:hint="cs"/>
          <w:color w:val="17365D" w:themeColor="text2" w:themeShade="BF"/>
          <w:sz w:val="26"/>
          <w:szCs w:val="26"/>
          <w:rtl/>
        </w:rPr>
        <w:t>שפט</w:t>
      </w:r>
      <w:r w:rsidRPr="007754B9">
        <w:rPr>
          <w:rFonts w:ascii="FrankRuehl" w:hAnsi="FrankRuehl" w:cs="FrankRuehl"/>
          <w:color w:val="17365D" w:themeColor="text2" w:themeShade="BF"/>
          <w:sz w:val="26"/>
          <w:szCs w:val="26"/>
          <w:rtl/>
        </w:rPr>
        <w:t xml:space="preserve"> הציע שכאשר מוגשת בקשה למינוי כונס-נכסים למימוש שעבוד קבוע, הממונה על חדלות-הפירעון יבחן אם הנכס או הפעילות המשועבדים הם הנכסים העיקריים או היחידים של החברה, האם החברה חדלת-פירעון, מה מצבת החובות של החברה והתביעות הרובצות נגדה, האם בעלי-המניות וההנהלה של החב</w:t>
      </w:r>
      <w:r>
        <w:rPr>
          <w:rFonts w:ascii="FrankRuehl" w:hAnsi="FrankRuehl" w:cs="FrankRuehl"/>
          <w:color w:val="17365D" w:themeColor="text2" w:themeShade="BF"/>
          <w:sz w:val="26"/>
          <w:szCs w:val="26"/>
          <w:rtl/>
        </w:rPr>
        <w:t>רה נוטלים אחריות על גורלה וכי</w:t>
      </w:r>
      <w:r>
        <w:rPr>
          <w:rFonts w:ascii="FrankRuehl" w:hAnsi="FrankRuehl" w:cs="FrankRuehl" w:hint="cs"/>
          <w:color w:val="17365D" w:themeColor="text2" w:themeShade="BF"/>
          <w:sz w:val="26"/>
          <w:szCs w:val="26"/>
          <w:rtl/>
        </w:rPr>
        <w:t>וצא בזאת</w:t>
      </w:r>
      <w:r w:rsidRPr="007754B9">
        <w:rPr>
          <w:rFonts w:ascii="FrankRuehl" w:hAnsi="FrankRuehl" w:cs="FrankRuehl"/>
          <w:color w:val="17365D" w:themeColor="text2" w:themeShade="BF"/>
          <w:sz w:val="26"/>
          <w:szCs w:val="26"/>
          <w:rtl/>
        </w:rPr>
        <w:t xml:space="preserve">. השופטת הוסיפה כי במקרים המתאימים אין זאת מן הנמנע כי על היועץ המשפטי </w:t>
      </w:r>
      <w:r w:rsidRPr="007754B9">
        <w:rPr>
          <w:rFonts w:ascii="FrankRuehl" w:hAnsi="FrankRuehl" w:cs="FrankRuehl"/>
          <w:color w:val="17365D" w:themeColor="text2" w:themeShade="BF"/>
          <w:sz w:val="26"/>
          <w:szCs w:val="26"/>
          <w:rtl/>
        </w:rPr>
        <w:lastRenderedPageBreak/>
        <w:t>לממשלה לנצל את סמכותו בחוק ולבקש בעצמו צו לפתיחת הליכים בעניינה של החברה או שעליו לעמוד על כך שכונס-הנכסים יתמנה כנאמן ולא רק ככונס-נכסים ויפעל בעניינה הכולל של החברה, וכיו"ב פתרונות אפשריים.</w:t>
      </w:r>
    </w:p>
    <w:p w:rsidR="007754B9" w:rsidRDefault="007754B9" w:rsidP="007754B9">
      <w:pPr>
        <w:jc w:val="both"/>
        <w:rPr>
          <w:rFonts w:ascii="David" w:hAnsi="David"/>
          <w:rtl/>
        </w:rPr>
      </w:pPr>
    </w:p>
    <w:p w:rsidR="00FE5C78" w:rsidRPr="0055328C" w:rsidRDefault="0055328C" w:rsidP="007754B9">
      <w:pPr>
        <w:spacing w:after="120"/>
        <w:rPr>
          <w:rFonts w:ascii="FrankRuehl" w:hAnsi="FrankRuehl" w:cs="FrankRuehl"/>
          <w:b/>
          <w:bCs/>
          <w:color w:val="17365D" w:themeColor="text2" w:themeShade="BF"/>
          <w:sz w:val="32"/>
          <w:szCs w:val="32"/>
          <w:rtl/>
        </w:rPr>
      </w:pPr>
      <w:r>
        <w:rPr>
          <w:rFonts w:ascii="FrankRuehl" w:hAnsi="FrankRuehl" w:cs="FrankRuehl" w:hint="cs"/>
          <w:b/>
          <w:bCs/>
          <w:color w:val="17365D" w:themeColor="text2" w:themeShade="BF"/>
          <w:sz w:val="32"/>
          <w:szCs w:val="32"/>
          <w:rtl/>
        </w:rPr>
        <w:t xml:space="preserve"> </w:t>
      </w:r>
    </w:p>
    <w:p w:rsidR="00E20667" w:rsidRPr="009F00A1" w:rsidRDefault="009F00A1" w:rsidP="009F00A1">
      <w:pPr>
        <w:spacing w:after="120" w:line="360" w:lineRule="auto"/>
        <w:jc w:val="center"/>
        <w:rPr>
          <w:rFonts w:ascii="FrankRuehl" w:hAnsi="FrankRuehl" w:cs="FrankRuehl"/>
          <w:b/>
          <w:bCs/>
          <w:color w:val="17365D" w:themeColor="text2" w:themeShade="BF"/>
          <w:sz w:val="26"/>
          <w:szCs w:val="26"/>
        </w:rPr>
      </w:pPr>
      <w:r w:rsidRPr="009F00A1">
        <w:rPr>
          <w:rFonts w:ascii="FrankRuehl" w:hAnsi="FrankRuehl" w:cs="FrankRuehl" w:hint="cs"/>
          <w:b/>
          <w:bCs/>
          <w:color w:val="17365D" w:themeColor="text2" w:themeShade="BF"/>
          <w:sz w:val="26"/>
          <w:szCs w:val="26"/>
          <w:rtl/>
        </w:rPr>
        <w:t>***</w:t>
      </w:r>
      <w:r>
        <w:rPr>
          <w:rFonts w:ascii="FrankRuehl" w:hAnsi="FrankRuehl" w:cs="FrankRuehl" w:hint="cs"/>
          <w:b/>
          <w:bCs/>
          <w:color w:val="17365D" w:themeColor="text2" w:themeShade="BF"/>
          <w:sz w:val="26"/>
          <w:szCs w:val="26"/>
          <w:rtl/>
        </w:rPr>
        <w:t xml:space="preserve"> </w:t>
      </w:r>
      <w:r w:rsidR="00630366" w:rsidRPr="009F00A1">
        <w:rPr>
          <w:rFonts w:ascii="FrankRuehl" w:hAnsi="FrankRuehl" w:cs="FrankRuehl"/>
          <w:b/>
          <w:bCs/>
          <w:color w:val="17365D" w:themeColor="text2" w:themeShade="BF"/>
          <w:sz w:val="26"/>
          <w:szCs w:val="26"/>
          <w:rtl/>
        </w:rPr>
        <w:t>התקציר אינו בא להחליף את פסק</w:t>
      </w:r>
      <w:r w:rsidR="00BB5080" w:rsidRPr="009F00A1">
        <w:rPr>
          <w:rFonts w:ascii="FrankRuehl" w:hAnsi="FrankRuehl" w:cs="FrankRuehl" w:hint="cs"/>
          <w:b/>
          <w:bCs/>
          <w:color w:val="17365D" w:themeColor="text2" w:themeShade="BF"/>
          <w:sz w:val="26"/>
          <w:szCs w:val="26"/>
          <w:rtl/>
        </w:rPr>
        <w:t>-</w:t>
      </w:r>
      <w:r w:rsidR="00630366" w:rsidRPr="009F00A1">
        <w:rPr>
          <w:rFonts w:ascii="FrankRuehl" w:hAnsi="FrankRuehl" w:cs="FrankRuehl"/>
          <w:b/>
          <w:bCs/>
          <w:color w:val="17365D" w:themeColor="text2" w:themeShade="BF"/>
          <w:sz w:val="26"/>
          <w:szCs w:val="26"/>
          <w:rtl/>
        </w:rPr>
        <w:t>הדין, הנוסח</w:t>
      </w:r>
      <w:r w:rsidRPr="009F00A1">
        <w:rPr>
          <w:rFonts w:ascii="FrankRuehl" w:hAnsi="FrankRuehl" w:cs="FrankRuehl"/>
          <w:b/>
          <w:bCs/>
          <w:color w:val="17365D" w:themeColor="text2" w:themeShade="BF"/>
          <w:sz w:val="26"/>
          <w:szCs w:val="26"/>
          <w:rtl/>
        </w:rPr>
        <w:t xml:space="preserve"> המחייב הוא זה של פסק-הדין המלא</w:t>
      </w:r>
      <w:r>
        <w:rPr>
          <w:rFonts w:ascii="FrankRuehl" w:hAnsi="FrankRuehl" w:cs="FrankRuehl" w:hint="cs"/>
          <w:b/>
          <w:bCs/>
          <w:color w:val="17365D" w:themeColor="text2" w:themeShade="BF"/>
          <w:sz w:val="26"/>
          <w:szCs w:val="26"/>
          <w:rtl/>
        </w:rPr>
        <w:t xml:space="preserve"> </w:t>
      </w:r>
      <w:r w:rsidRPr="009F00A1">
        <w:rPr>
          <w:rFonts w:ascii="FrankRuehl" w:hAnsi="FrankRuehl" w:cs="FrankRuehl" w:hint="cs"/>
          <w:b/>
          <w:bCs/>
          <w:color w:val="17365D" w:themeColor="text2" w:themeShade="BF"/>
          <w:sz w:val="26"/>
          <w:szCs w:val="26"/>
          <w:rtl/>
        </w:rPr>
        <w:t>***</w:t>
      </w:r>
    </w:p>
    <w:sectPr w:rsidR="00E20667" w:rsidRPr="009F00A1" w:rsidSect="00991F17">
      <w:headerReference w:type="default" r:id="rId9"/>
      <w:footerReference w:type="default" r:id="rId10"/>
      <w:pgSz w:w="11907" w:h="16840" w:code="9"/>
      <w:pgMar w:top="1440" w:right="1191" w:bottom="1440" w:left="1191" w:header="720" w:footer="510" w:gutter="0"/>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8AE" w:rsidRDefault="00EA48AE">
      <w:r>
        <w:separator/>
      </w:r>
    </w:p>
  </w:endnote>
  <w:endnote w:type="continuationSeparator" w:id="0">
    <w:p w:rsidR="00EA48AE" w:rsidRDefault="00EA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charset w:val="00"/>
    <w:family w:val="swiss"/>
    <w:pitch w:val="variable"/>
    <w:sig w:usb0="00000803" w:usb1="00000000" w:usb2="00000000" w:usb3="00000000" w:csb0="00000021" w:csb1="00000000"/>
  </w:font>
  <w:font w:name="Narkisim">
    <w:altName w:val="Malgun Gothic Semilight"/>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altName w:val="Times New Roman"/>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0C3B60">
    <w:pPr>
      <w:pStyle w:val="a5"/>
      <w:jc w:val="center"/>
      <w:rPr>
        <w:rStyle w:val="ac"/>
      </w:rPr>
    </w:pPr>
    <w:r w:rsidRPr="004E6E3C">
      <w:rPr>
        <w:rStyle w:val="ac"/>
        <w:rFonts w:cs="Times New Roman"/>
      </w:rPr>
      <w:fldChar w:fldCharType="begin"/>
    </w:r>
    <w:r w:rsidR="00005C8B" w:rsidRPr="004E6E3C">
      <w:rPr>
        <w:rStyle w:val="ac"/>
        <w:rFonts w:cs="Times New Roman"/>
      </w:rPr>
      <w:instrText xml:space="preserve"> PAGE </w:instrText>
    </w:r>
    <w:r w:rsidRPr="004E6E3C">
      <w:rPr>
        <w:rStyle w:val="ac"/>
        <w:rFonts w:cs="Times New Roman"/>
      </w:rPr>
      <w:fldChar w:fldCharType="separate"/>
    </w:r>
    <w:r w:rsidR="00F14184">
      <w:rPr>
        <w:rStyle w:val="ac"/>
        <w:rFonts w:cs="Times New Roman"/>
        <w:rtl/>
      </w:rPr>
      <w:t>1</w:t>
    </w:r>
    <w:r w:rsidRPr="004E6E3C">
      <w:rPr>
        <w:rStyle w:val="ac"/>
        <w:rFonts w:cs="Times New Roman"/>
      </w:rPr>
      <w:fldChar w:fldCharType="end"/>
    </w:r>
    <w:r w:rsidR="00005C8B" w:rsidRPr="004E6E3C">
      <w:rPr>
        <w:rStyle w:val="ac"/>
        <w:rFonts w:hint="cs"/>
        <w:rtl/>
      </w:rPr>
      <w:t xml:space="preserve"> מתוך </w:t>
    </w:r>
    <w:r w:rsidRPr="004E6E3C">
      <w:rPr>
        <w:rStyle w:val="ac"/>
      </w:rPr>
      <w:fldChar w:fldCharType="begin"/>
    </w:r>
    <w:r w:rsidR="00005C8B" w:rsidRPr="004E6E3C">
      <w:rPr>
        <w:rStyle w:val="ac"/>
      </w:rPr>
      <w:instrText xml:space="preserve"> NUMPAGES </w:instrText>
    </w:r>
    <w:r w:rsidRPr="004E6E3C">
      <w:rPr>
        <w:rStyle w:val="ac"/>
      </w:rPr>
      <w:fldChar w:fldCharType="separate"/>
    </w:r>
    <w:r w:rsidR="00F14184">
      <w:rPr>
        <w:rStyle w:val="ac"/>
        <w:rtl/>
      </w:rPr>
      <w:t>3</w:t>
    </w:r>
    <w:r w:rsidRPr="004E6E3C">
      <w:rPr>
        <w:rStyle w:val="a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8AE" w:rsidRDefault="00EA48AE">
      <w:r>
        <w:separator/>
      </w:r>
    </w:p>
  </w:footnote>
  <w:footnote w:type="continuationSeparator" w:id="0">
    <w:p w:rsidR="00EA48AE" w:rsidRDefault="00EA4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66" w:rsidRDefault="00630366" w:rsidP="00630366">
    <w:pPr>
      <w:pStyle w:val="a3"/>
      <w:jc w:val="center"/>
      <w:rPr>
        <w:rFonts w:cs="FrankRuehl"/>
        <w:noProof w:val="0"/>
        <w:sz w:val="28"/>
        <w:szCs w:val="28"/>
        <w:rtl/>
      </w:rPr>
    </w:pPr>
    <w:r>
      <w:rPr>
        <w:rFonts w:cs="FrankRuehl"/>
        <w:sz w:val="28"/>
        <w:szCs w:val="28"/>
      </w:rPr>
      <w:drawing>
        <wp:inline distT="0" distB="0" distL="0" distR="0" wp14:anchorId="7A420659" wp14:editId="51FA819D">
          <wp:extent cx="371475" cy="466725"/>
          <wp:effectExtent l="0" t="0" r="9525" b="952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8721"/>
    </w:tblGrid>
    <w:tr w:rsidR="00630366" w:rsidTr="00C35A3F">
      <w:trPr>
        <w:trHeight w:hRule="exact" w:val="670"/>
        <w:jc w:val="center"/>
      </w:trPr>
      <w:sdt>
        <w:sdtPr>
          <w:rPr>
            <w:rFonts w:ascii="Tahoma" w:hAnsi="Tahoma"/>
            <w:b/>
            <w:bCs/>
            <w:noProof w:val="0"/>
            <w:color w:val="000080"/>
            <w:sz w:val="32"/>
            <w:szCs w:val="32"/>
            <w:rtl/>
          </w:rPr>
          <w:alias w:val="1174"/>
          <w:tag w:val="1174"/>
          <w:id w:val="-1775709220"/>
          <w:text/>
        </w:sdtPr>
        <w:sdtEndPr/>
        <w:sdtContent>
          <w:tc>
            <w:tcPr>
              <w:tcW w:w="8721" w:type="dxa"/>
            </w:tcPr>
            <w:p w:rsidR="00630366" w:rsidRPr="007754B9" w:rsidRDefault="005B0B24" w:rsidP="007754B9">
              <w:pPr>
                <w:pStyle w:val="a3"/>
                <w:jc w:val="center"/>
                <w:rPr>
                  <w:rFonts w:ascii="Tahoma" w:hAnsi="Tahoma"/>
                  <w:noProof w:val="0"/>
                  <w:color w:val="000080"/>
                  <w:sz w:val="32"/>
                  <w:szCs w:val="32"/>
                  <w:rtl/>
                </w:rPr>
              </w:pPr>
              <w:r w:rsidRPr="007754B9">
                <w:rPr>
                  <w:rFonts w:ascii="Tahoma" w:hAnsi="Tahoma"/>
                  <w:b/>
                  <w:bCs/>
                  <w:noProof w:val="0"/>
                  <w:color w:val="000080"/>
                  <w:sz w:val="32"/>
                  <w:szCs w:val="32"/>
                  <w:rtl/>
                </w:rPr>
                <w:t xml:space="preserve">בית </w:t>
              </w:r>
              <w:r w:rsidR="00630366" w:rsidRPr="007754B9">
                <w:rPr>
                  <w:rFonts w:ascii="Tahoma" w:hAnsi="Tahoma"/>
                  <w:b/>
                  <w:bCs/>
                  <w:noProof w:val="0"/>
                  <w:color w:val="000080"/>
                  <w:sz w:val="32"/>
                  <w:szCs w:val="32"/>
                  <w:rtl/>
                </w:rPr>
                <w:t xml:space="preserve">משפט </w:t>
              </w:r>
              <w:r w:rsidRPr="007754B9">
                <w:rPr>
                  <w:rFonts w:ascii="Tahoma" w:hAnsi="Tahoma" w:hint="cs"/>
                  <w:b/>
                  <w:bCs/>
                  <w:noProof w:val="0"/>
                  <w:color w:val="000080"/>
                  <w:sz w:val="32"/>
                  <w:szCs w:val="32"/>
                  <w:rtl/>
                </w:rPr>
                <w:t>ה</w:t>
              </w:r>
              <w:r w:rsidR="007754B9" w:rsidRPr="007754B9">
                <w:rPr>
                  <w:rFonts w:ascii="Tahoma" w:hAnsi="Tahoma" w:hint="cs"/>
                  <w:b/>
                  <w:bCs/>
                  <w:noProof w:val="0"/>
                  <w:color w:val="000080"/>
                  <w:sz w:val="32"/>
                  <w:szCs w:val="32"/>
                  <w:rtl/>
                </w:rPr>
                <w:t xml:space="preserve">מחוזי </w:t>
              </w:r>
              <w:r w:rsidR="00630366" w:rsidRPr="007754B9">
                <w:rPr>
                  <w:rFonts w:ascii="Tahoma" w:hAnsi="Tahoma"/>
                  <w:b/>
                  <w:bCs/>
                  <w:noProof w:val="0"/>
                  <w:color w:val="000080"/>
                  <w:sz w:val="32"/>
                  <w:szCs w:val="32"/>
                  <w:rtl/>
                </w:rPr>
                <w:t>ב</w:t>
              </w:r>
              <w:r w:rsidR="007754B9" w:rsidRPr="007754B9">
                <w:rPr>
                  <w:rFonts w:ascii="Tahoma" w:hAnsi="Tahoma" w:hint="cs"/>
                  <w:b/>
                  <w:bCs/>
                  <w:noProof w:val="0"/>
                  <w:color w:val="000080"/>
                  <w:sz w:val="32"/>
                  <w:szCs w:val="32"/>
                  <w:rtl/>
                </w:rPr>
                <w:t>תל אביב יפו</w:t>
              </w:r>
            </w:p>
          </w:tc>
        </w:sdtContent>
      </w:sdt>
    </w:tr>
  </w:tbl>
  <w:p w:rsidR="00694556" w:rsidRDefault="00694556" w:rsidP="00630366">
    <w:pPr>
      <w:pStyle w:val="a3"/>
      <w:rPr>
        <w:noProof w:val="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73C17"/>
    <w:multiLevelType w:val="hybridMultilevel"/>
    <w:tmpl w:val="F4286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863AD5"/>
    <w:multiLevelType w:val="hybridMultilevel"/>
    <w:tmpl w:val="0730F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E19DB"/>
    <w:multiLevelType w:val="hybridMultilevel"/>
    <w:tmpl w:val="F9ACFB78"/>
    <w:lvl w:ilvl="0" w:tplc="19A65FC8">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82B43"/>
    <w:multiLevelType w:val="hybridMultilevel"/>
    <w:tmpl w:val="A7D6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753C6"/>
    <w:multiLevelType w:val="hybridMultilevel"/>
    <w:tmpl w:val="5C0A76F8"/>
    <w:lvl w:ilvl="0" w:tplc="78501858">
      <w:start w:val="124"/>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15:restartNumberingAfterBreak="0">
    <w:nsid w:val="2C3119F5"/>
    <w:multiLevelType w:val="hybridMultilevel"/>
    <w:tmpl w:val="C02A9522"/>
    <w:lvl w:ilvl="0" w:tplc="E600161A">
      <w:start w:val="1"/>
      <w:numFmt w:val="hebrew1"/>
      <w:lvlText w:val="%1."/>
      <w:lvlJc w:val="left"/>
      <w:pPr>
        <w:ind w:left="870" w:hanging="360"/>
      </w:pPr>
    </w:lvl>
    <w:lvl w:ilvl="1" w:tplc="5274BB4A">
      <w:start w:val="1"/>
      <w:numFmt w:val="lowerLetter"/>
      <w:lvlText w:val="%2."/>
      <w:lvlJc w:val="left"/>
      <w:pPr>
        <w:ind w:left="1590" w:hanging="360"/>
      </w:pPr>
    </w:lvl>
    <w:lvl w:ilvl="2" w:tplc="ABF8BE68">
      <w:start w:val="1"/>
      <w:numFmt w:val="lowerRoman"/>
      <w:lvlText w:val="%3."/>
      <w:lvlJc w:val="right"/>
      <w:pPr>
        <w:ind w:left="2310" w:hanging="180"/>
      </w:pPr>
    </w:lvl>
    <w:lvl w:ilvl="3" w:tplc="46CC4F80">
      <w:start w:val="1"/>
      <w:numFmt w:val="decimal"/>
      <w:lvlText w:val="%4."/>
      <w:lvlJc w:val="left"/>
      <w:pPr>
        <w:ind w:left="3030" w:hanging="360"/>
      </w:pPr>
    </w:lvl>
    <w:lvl w:ilvl="4" w:tplc="66288980">
      <w:start w:val="1"/>
      <w:numFmt w:val="lowerLetter"/>
      <w:lvlText w:val="%5."/>
      <w:lvlJc w:val="left"/>
      <w:pPr>
        <w:ind w:left="3750" w:hanging="360"/>
      </w:pPr>
    </w:lvl>
    <w:lvl w:ilvl="5" w:tplc="93E88EDE">
      <w:start w:val="1"/>
      <w:numFmt w:val="lowerRoman"/>
      <w:lvlText w:val="%6."/>
      <w:lvlJc w:val="right"/>
      <w:pPr>
        <w:ind w:left="4470" w:hanging="180"/>
      </w:pPr>
    </w:lvl>
    <w:lvl w:ilvl="6" w:tplc="5B44B476">
      <w:start w:val="1"/>
      <w:numFmt w:val="decimal"/>
      <w:lvlText w:val="%7."/>
      <w:lvlJc w:val="left"/>
      <w:pPr>
        <w:ind w:left="5190" w:hanging="360"/>
      </w:pPr>
    </w:lvl>
    <w:lvl w:ilvl="7" w:tplc="B52261B4">
      <w:start w:val="1"/>
      <w:numFmt w:val="lowerLetter"/>
      <w:lvlText w:val="%8."/>
      <w:lvlJc w:val="left"/>
      <w:pPr>
        <w:ind w:left="5910" w:hanging="360"/>
      </w:pPr>
    </w:lvl>
    <w:lvl w:ilvl="8" w:tplc="AE44E7F2">
      <w:start w:val="1"/>
      <w:numFmt w:val="lowerRoman"/>
      <w:lvlText w:val="%9."/>
      <w:lvlJc w:val="right"/>
      <w:pPr>
        <w:ind w:left="6630" w:hanging="180"/>
      </w:pPr>
    </w:lvl>
  </w:abstractNum>
  <w:abstractNum w:abstractNumId="6" w15:restartNumberingAfterBreak="0">
    <w:nsid w:val="4437233A"/>
    <w:multiLevelType w:val="hybridMultilevel"/>
    <w:tmpl w:val="E340A30C"/>
    <w:lvl w:ilvl="0" w:tplc="AEE63E56">
      <w:start w:val="1"/>
      <w:numFmt w:val="decimal"/>
      <w:lvlText w:val="%1."/>
      <w:lvlJc w:val="left"/>
      <w:pPr>
        <w:ind w:left="360" w:hanging="360"/>
      </w:pPr>
      <w:rPr>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C45047"/>
    <w:multiLevelType w:val="hybridMultilevel"/>
    <w:tmpl w:val="FC3ADB6A"/>
    <w:lvl w:ilvl="0" w:tplc="C546AD1E">
      <w:start w:val="15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1D35B9"/>
    <w:multiLevelType w:val="hybridMultilevel"/>
    <w:tmpl w:val="72209954"/>
    <w:lvl w:ilvl="0" w:tplc="04090013">
      <w:start w:val="1"/>
      <w:numFmt w:val="hebrew1"/>
      <w:lvlText w:val="%1."/>
      <w:lvlJc w:val="center"/>
      <w:pPr>
        <w:ind w:left="720" w:hanging="360"/>
      </w:pPr>
      <w:rPr>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99279D"/>
    <w:multiLevelType w:val="hybridMultilevel"/>
    <w:tmpl w:val="279606D8"/>
    <w:lvl w:ilvl="0" w:tplc="F716C0E6">
      <w:start w:val="1"/>
      <w:numFmt w:val="decimal"/>
      <w:lvlText w:val="%1."/>
      <w:lvlJc w:val="left"/>
      <w:pPr>
        <w:ind w:left="360" w:hanging="360"/>
      </w:pPr>
      <w:rPr>
        <w:rFonts w:cs="David"/>
        <w:lang w:bidi="he-IL"/>
      </w:rPr>
    </w:lvl>
    <w:lvl w:ilvl="1" w:tplc="A83A6B24">
      <w:start w:val="1"/>
      <w:numFmt w:val="lowerLetter"/>
      <w:lvlText w:val="%2."/>
      <w:lvlJc w:val="left"/>
      <w:pPr>
        <w:ind w:left="1080" w:hanging="360"/>
      </w:pPr>
    </w:lvl>
    <w:lvl w:ilvl="2" w:tplc="B68A81AE">
      <w:start w:val="1"/>
      <w:numFmt w:val="lowerRoman"/>
      <w:lvlText w:val="%3."/>
      <w:lvlJc w:val="right"/>
      <w:pPr>
        <w:ind w:left="1800" w:hanging="180"/>
      </w:pPr>
    </w:lvl>
    <w:lvl w:ilvl="3" w:tplc="66100B20">
      <w:start w:val="1"/>
      <w:numFmt w:val="decimal"/>
      <w:lvlText w:val="%4."/>
      <w:lvlJc w:val="left"/>
      <w:pPr>
        <w:ind w:left="2520" w:hanging="360"/>
      </w:pPr>
    </w:lvl>
    <w:lvl w:ilvl="4" w:tplc="0E7ACD7A">
      <w:start w:val="1"/>
      <w:numFmt w:val="lowerLetter"/>
      <w:lvlText w:val="%5."/>
      <w:lvlJc w:val="left"/>
      <w:pPr>
        <w:ind w:left="3240" w:hanging="360"/>
      </w:pPr>
    </w:lvl>
    <w:lvl w:ilvl="5" w:tplc="53AE8AAC">
      <w:start w:val="1"/>
      <w:numFmt w:val="lowerRoman"/>
      <w:lvlText w:val="%6."/>
      <w:lvlJc w:val="right"/>
      <w:pPr>
        <w:ind w:left="3960" w:hanging="180"/>
      </w:pPr>
    </w:lvl>
    <w:lvl w:ilvl="6" w:tplc="7436A5C4">
      <w:start w:val="1"/>
      <w:numFmt w:val="decimal"/>
      <w:lvlText w:val="%7."/>
      <w:lvlJc w:val="left"/>
      <w:pPr>
        <w:ind w:left="4680" w:hanging="360"/>
      </w:pPr>
    </w:lvl>
    <w:lvl w:ilvl="7" w:tplc="B8CE44DA">
      <w:start w:val="1"/>
      <w:numFmt w:val="lowerLetter"/>
      <w:lvlText w:val="%8."/>
      <w:lvlJc w:val="left"/>
      <w:pPr>
        <w:ind w:left="5400" w:hanging="360"/>
      </w:pPr>
    </w:lvl>
    <w:lvl w:ilvl="8" w:tplc="C930AB76">
      <w:start w:val="1"/>
      <w:numFmt w:val="lowerRoman"/>
      <w:lvlText w:val="%9."/>
      <w:lvlJc w:val="right"/>
      <w:pPr>
        <w:ind w:left="6120" w:hanging="180"/>
      </w:pPr>
    </w:lvl>
  </w:abstractNum>
  <w:abstractNum w:abstractNumId="10" w15:restartNumberingAfterBreak="0">
    <w:nsid w:val="660B7902"/>
    <w:multiLevelType w:val="hybridMultilevel"/>
    <w:tmpl w:val="056E8DBE"/>
    <w:lvl w:ilvl="0" w:tplc="A90CD6D4">
      <w:start w:val="1"/>
      <w:numFmt w:val="hebrew1"/>
      <w:lvlText w:val="%1."/>
      <w:lvlJc w:val="left"/>
      <w:pPr>
        <w:ind w:left="870" w:hanging="360"/>
      </w:pPr>
    </w:lvl>
    <w:lvl w:ilvl="1" w:tplc="17B267BA">
      <w:start w:val="1"/>
      <w:numFmt w:val="lowerLetter"/>
      <w:lvlText w:val="%2."/>
      <w:lvlJc w:val="left"/>
      <w:pPr>
        <w:ind w:left="1440" w:hanging="360"/>
      </w:pPr>
    </w:lvl>
    <w:lvl w:ilvl="2" w:tplc="CEE832BC">
      <w:start w:val="1"/>
      <w:numFmt w:val="lowerRoman"/>
      <w:lvlText w:val="%3."/>
      <w:lvlJc w:val="right"/>
      <w:pPr>
        <w:ind w:left="2160" w:hanging="180"/>
      </w:pPr>
    </w:lvl>
    <w:lvl w:ilvl="3" w:tplc="BEE4D402">
      <w:start w:val="1"/>
      <w:numFmt w:val="decimal"/>
      <w:lvlText w:val="%4."/>
      <w:lvlJc w:val="left"/>
      <w:pPr>
        <w:ind w:left="2880" w:hanging="360"/>
      </w:pPr>
    </w:lvl>
    <w:lvl w:ilvl="4" w:tplc="E110CAEE">
      <w:start w:val="1"/>
      <w:numFmt w:val="lowerLetter"/>
      <w:lvlText w:val="%5."/>
      <w:lvlJc w:val="left"/>
      <w:pPr>
        <w:ind w:left="3600" w:hanging="360"/>
      </w:pPr>
    </w:lvl>
    <w:lvl w:ilvl="5" w:tplc="C3369B1E">
      <w:start w:val="1"/>
      <w:numFmt w:val="lowerRoman"/>
      <w:lvlText w:val="%6."/>
      <w:lvlJc w:val="right"/>
      <w:pPr>
        <w:ind w:left="4320" w:hanging="180"/>
      </w:pPr>
    </w:lvl>
    <w:lvl w:ilvl="6" w:tplc="75E2CC32">
      <w:start w:val="1"/>
      <w:numFmt w:val="decimal"/>
      <w:lvlText w:val="%7."/>
      <w:lvlJc w:val="left"/>
      <w:pPr>
        <w:ind w:left="5040" w:hanging="360"/>
      </w:pPr>
    </w:lvl>
    <w:lvl w:ilvl="7" w:tplc="59BC0CE4">
      <w:start w:val="1"/>
      <w:numFmt w:val="lowerLetter"/>
      <w:lvlText w:val="%8."/>
      <w:lvlJc w:val="left"/>
      <w:pPr>
        <w:ind w:left="5760" w:hanging="360"/>
      </w:pPr>
    </w:lvl>
    <w:lvl w:ilvl="8" w:tplc="C2C238B6">
      <w:start w:val="1"/>
      <w:numFmt w:val="lowerRoman"/>
      <w:lvlText w:val="%9."/>
      <w:lvlJc w:val="right"/>
      <w:pPr>
        <w:ind w:left="6480" w:hanging="180"/>
      </w:pPr>
    </w:lvl>
  </w:abstractNum>
  <w:abstractNum w:abstractNumId="11" w15:restartNumberingAfterBreak="0">
    <w:nsid w:val="66C30588"/>
    <w:multiLevelType w:val="hybridMultilevel"/>
    <w:tmpl w:val="A732B970"/>
    <w:lvl w:ilvl="0" w:tplc="1B0010E6">
      <w:start w:val="151"/>
      <w:numFmt w:val="decimal"/>
      <w:lvlText w:val="%1."/>
      <w:lvlJc w:val="left"/>
      <w:pPr>
        <w:ind w:left="375" w:hanging="375"/>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2" w15:restartNumberingAfterBreak="0">
    <w:nsid w:val="6E8B2360"/>
    <w:multiLevelType w:val="hybridMultilevel"/>
    <w:tmpl w:val="976C8472"/>
    <w:lvl w:ilvl="0" w:tplc="73CE38B6">
      <w:start w:val="1"/>
      <w:numFmt w:val="decimal"/>
      <w:lvlText w:val="%1."/>
      <w:lvlJc w:val="left"/>
      <w:pPr>
        <w:ind w:left="360" w:hanging="360"/>
      </w:pPr>
      <w:rPr>
        <w:b w:val="0"/>
        <w:bCs w:val="0"/>
        <w:lang w:val="en-U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7"/>
  </w:num>
  <w:num w:numId="10">
    <w:abstractNumId w:val="11"/>
  </w:num>
  <w:num w:numId="11">
    <w:abstractNumId w:val="1"/>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5"/>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0062"/>
    <w:rsid w:val="00000403"/>
    <w:rsid w:val="00001BF8"/>
    <w:rsid w:val="0000226B"/>
    <w:rsid w:val="000032D4"/>
    <w:rsid w:val="00005C8B"/>
    <w:rsid w:val="00006899"/>
    <w:rsid w:val="00014842"/>
    <w:rsid w:val="0001556A"/>
    <w:rsid w:val="00016B81"/>
    <w:rsid w:val="0001781B"/>
    <w:rsid w:val="000229BA"/>
    <w:rsid w:val="00022D1E"/>
    <w:rsid w:val="000232B9"/>
    <w:rsid w:val="00027EDE"/>
    <w:rsid w:val="00031F3A"/>
    <w:rsid w:val="00032554"/>
    <w:rsid w:val="00035924"/>
    <w:rsid w:val="000363A7"/>
    <w:rsid w:val="00043521"/>
    <w:rsid w:val="00044E49"/>
    <w:rsid w:val="000529D2"/>
    <w:rsid w:val="000564AB"/>
    <w:rsid w:val="00062BD5"/>
    <w:rsid w:val="00064FBD"/>
    <w:rsid w:val="000666C5"/>
    <w:rsid w:val="00067C34"/>
    <w:rsid w:val="000716BD"/>
    <w:rsid w:val="000728BC"/>
    <w:rsid w:val="000757F6"/>
    <w:rsid w:val="00082AB2"/>
    <w:rsid w:val="00083E13"/>
    <w:rsid w:val="000862B1"/>
    <w:rsid w:val="000906FE"/>
    <w:rsid w:val="00096101"/>
    <w:rsid w:val="00096AF7"/>
    <w:rsid w:val="0009760B"/>
    <w:rsid w:val="000A3AE9"/>
    <w:rsid w:val="000A66D3"/>
    <w:rsid w:val="000A6D80"/>
    <w:rsid w:val="000A6DB8"/>
    <w:rsid w:val="000B344B"/>
    <w:rsid w:val="000C16E5"/>
    <w:rsid w:val="000C236D"/>
    <w:rsid w:val="000C3246"/>
    <w:rsid w:val="000C3B0F"/>
    <w:rsid w:val="000C3B60"/>
    <w:rsid w:val="000D007D"/>
    <w:rsid w:val="000D197E"/>
    <w:rsid w:val="000D3652"/>
    <w:rsid w:val="000D5970"/>
    <w:rsid w:val="000D6824"/>
    <w:rsid w:val="000D6B6C"/>
    <w:rsid w:val="000E048A"/>
    <w:rsid w:val="000E0DD2"/>
    <w:rsid w:val="000E20F2"/>
    <w:rsid w:val="000E3AF1"/>
    <w:rsid w:val="000E4826"/>
    <w:rsid w:val="000F0BC8"/>
    <w:rsid w:val="000F0DD6"/>
    <w:rsid w:val="000F6671"/>
    <w:rsid w:val="00101CF1"/>
    <w:rsid w:val="00105959"/>
    <w:rsid w:val="00107E6D"/>
    <w:rsid w:val="0011194C"/>
    <w:rsid w:val="00113639"/>
    <w:rsid w:val="001138DB"/>
    <w:rsid w:val="0011424C"/>
    <w:rsid w:val="001173C6"/>
    <w:rsid w:val="0012182F"/>
    <w:rsid w:val="00124FB9"/>
    <w:rsid w:val="00126214"/>
    <w:rsid w:val="00134A82"/>
    <w:rsid w:val="001367BC"/>
    <w:rsid w:val="001379A2"/>
    <w:rsid w:val="00140EC9"/>
    <w:rsid w:val="00142CED"/>
    <w:rsid w:val="00144D2A"/>
    <w:rsid w:val="0014653E"/>
    <w:rsid w:val="00147797"/>
    <w:rsid w:val="00150279"/>
    <w:rsid w:val="00151E3C"/>
    <w:rsid w:val="00154E7C"/>
    <w:rsid w:val="0015607B"/>
    <w:rsid w:val="00160137"/>
    <w:rsid w:val="00163773"/>
    <w:rsid w:val="00165D67"/>
    <w:rsid w:val="00165EAB"/>
    <w:rsid w:val="00173D57"/>
    <w:rsid w:val="00175F49"/>
    <w:rsid w:val="00180519"/>
    <w:rsid w:val="00181954"/>
    <w:rsid w:val="0018555E"/>
    <w:rsid w:val="00187D05"/>
    <w:rsid w:val="00191C82"/>
    <w:rsid w:val="001A02C2"/>
    <w:rsid w:val="001A5CB7"/>
    <w:rsid w:val="001A653F"/>
    <w:rsid w:val="001A7177"/>
    <w:rsid w:val="001B0781"/>
    <w:rsid w:val="001B088D"/>
    <w:rsid w:val="001B7D56"/>
    <w:rsid w:val="001C0661"/>
    <w:rsid w:val="001C4003"/>
    <w:rsid w:val="001C757F"/>
    <w:rsid w:val="001C767A"/>
    <w:rsid w:val="001C7F61"/>
    <w:rsid w:val="001D0A47"/>
    <w:rsid w:val="001D4DBF"/>
    <w:rsid w:val="001D5514"/>
    <w:rsid w:val="001D6B95"/>
    <w:rsid w:val="001E5790"/>
    <w:rsid w:val="001E75CA"/>
    <w:rsid w:val="001F25DA"/>
    <w:rsid w:val="001F49DC"/>
    <w:rsid w:val="001F6CE8"/>
    <w:rsid w:val="00206D9F"/>
    <w:rsid w:val="00212A68"/>
    <w:rsid w:val="002146ED"/>
    <w:rsid w:val="00222DE7"/>
    <w:rsid w:val="002265FF"/>
    <w:rsid w:val="00227882"/>
    <w:rsid w:val="00227A7D"/>
    <w:rsid w:val="00236D1D"/>
    <w:rsid w:val="00237C3F"/>
    <w:rsid w:val="00241DBF"/>
    <w:rsid w:val="00245081"/>
    <w:rsid w:val="0024711C"/>
    <w:rsid w:val="00252AD9"/>
    <w:rsid w:val="00255C13"/>
    <w:rsid w:val="00255E10"/>
    <w:rsid w:val="00263A30"/>
    <w:rsid w:val="00266275"/>
    <w:rsid w:val="00271B56"/>
    <w:rsid w:val="0027240F"/>
    <w:rsid w:val="002724CC"/>
    <w:rsid w:val="00272980"/>
    <w:rsid w:val="0027446E"/>
    <w:rsid w:val="00274498"/>
    <w:rsid w:val="002745F4"/>
    <w:rsid w:val="00275571"/>
    <w:rsid w:val="00276208"/>
    <w:rsid w:val="00280382"/>
    <w:rsid w:val="002807A8"/>
    <w:rsid w:val="00285E63"/>
    <w:rsid w:val="00286AAC"/>
    <w:rsid w:val="00290D1B"/>
    <w:rsid w:val="00294198"/>
    <w:rsid w:val="002948E4"/>
    <w:rsid w:val="002A0BA9"/>
    <w:rsid w:val="002A3BB9"/>
    <w:rsid w:val="002A6D72"/>
    <w:rsid w:val="002B1BBC"/>
    <w:rsid w:val="002B3C66"/>
    <w:rsid w:val="002B4C12"/>
    <w:rsid w:val="002C01B1"/>
    <w:rsid w:val="002C0216"/>
    <w:rsid w:val="002C344E"/>
    <w:rsid w:val="002C4A1D"/>
    <w:rsid w:val="002C5B0E"/>
    <w:rsid w:val="002D072B"/>
    <w:rsid w:val="002D2165"/>
    <w:rsid w:val="002D790A"/>
    <w:rsid w:val="002E75E9"/>
    <w:rsid w:val="002E7ADE"/>
    <w:rsid w:val="002F0B1E"/>
    <w:rsid w:val="0030160C"/>
    <w:rsid w:val="00302EE4"/>
    <w:rsid w:val="003049B1"/>
    <w:rsid w:val="0030779D"/>
    <w:rsid w:val="00307A6A"/>
    <w:rsid w:val="00307C40"/>
    <w:rsid w:val="00310F25"/>
    <w:rsid w:val="00311B5F"/>
    <w:rsid w:val="0031698C"/>
    <w:rsid w:val="00320433"/>
    <w:rsid w:val="003230C7"/>
    <w:rsid w:val="00323B63"/>
    <w:rsid w:val="00327E50"/>
    <w:rsid w:val="00331CDA"/>
    <w:rsid w:val="00334B1A"/>
    <w:rsid w:val="00335637"/>
    <w:rsid w:val="0033597A"/>
    <w:rsid w:val="00335A4A"/>
    <w:rsid w:val="00343D89"/>
    <w:rsid w:val="0034430B"/>
    <w:rsid w:val="00347887"/>
    <w:rsid w:val="00352FC2"/>
    <w:rsid w:val="00353DA7"/>
    <w:rsid w:val="00354133"/>
    <w:rsid w:val="00355341"/>
    <w:rsid w:val="00355F36"/>
    <w:rsid w:val="00361D85"/>
    <w:rsid w:val="00362612"/>
    <w:rsid w:val="00362905"/>
    <w:rsid w:val="00363156"/>
    <w:rsid w:val="0036743F"/>
    <w:rsid w:val="0036776C"/>
    <w:rsid w:val="003715DD"/>
    <w:rsid w:val="0037759C"/>
    <w:rsid w:val="003823E0"/>
    <w:rsid w:val="0039394D"/>
    <w:rsid w:val="00396AB3"/>
    <w:rsid w:val="0039769B"/>
    <w:rsid w:val="003A0DF0"/>
    <w:rsid w:val="003A173E"/>
    <w:rsid w:val="003A29C4"/>
    <w:rsid w:val="003A4521"/>
    <w:rsid w:val="003A4A8E"/>
    <w:rsid w:val="003A4E75"/>
    <w:rsid w:val="003A721D"/>
    <w:rsid w:val="003B34A7"/>
    <w:rsid w:val="003B5782"/>
    <w:rsid w:val="003C4A07"/>
    <w:rsid w:val="003C5721"/>
    <w:rsid w:val="003C769E"/>
    <w:rsid w:val="003D1C8C"/>
    <w:rsid w:val="003D2B67"/>
    <w:rsid w:val="003D5FC4"/>
    <w:rsid w:val="003D6DEF"/>
    <w:rsid w:val="003E04A6"/>
    <w:rsid w:val="003E38C7"/>
    <w:rsid w:val="0040096C"/>
    <w:rsid w:val="00400EF3"/>
    <w:rsid w:val="00403A3E"/>
    <w:rsid w:val="00414F1F"/>
    <w:rsid w:val="00415D84"/>
    <w:rsid w:val="00415E8C"/>
    <w:rsid w:val="00420819"/>
    <w:rsid w:val="00420A71"/>
    <w:rsid w:val="00423A27"/>
    <w:rsid w:val="004247EC"/>
    <w:rsid w:val="00424F9F"/>
    <w:rsid w:val="00425944"/>
    <w:rsid w:val="0043125D"/>
    <w:rsid w:val="0043502B"/>
    <w:rsid w:val="0044122A"/>
    <w:rsid w:val="00441B96"/>
    <w:rsid w:val="004443AC"/>
    <w:rsid w:val="00444B02"/>
    <w:rsid w:val="00446FBB"/>
    <w:rsid w:val="00450E08"/>
    <w:rsid w:val="00451E28"/>
    <w:rsid w:val="004526BA"/>
    <w:rsid w:val="00460B44"/>
    <w:rsid w:val="00460FA3"/>
    <w:rsid w:val="00462C62"/>
    <w:rsid w:val="00464091"/>
    <w:rsid w:val="00464D8D"/>
    <w:rsid w:val="004657C1"/>
    <w:rsid w:val="00465D36"/>
    <w:rsid w:val="00466956"/>
    <w:rsid w:val="004772F6"/>
    <w:rsid w:val="004812BA"/>
    <w:rsid w:val="00483B36"/>
    <w:rsid w:val="00484F94"/>
    <w:rsid w:val="00492C21"/>
    <w:rsid w:val="00497EB3"/>
    <w:rsid w:val="004A0B70"/>
    <w:rsid w:val="004A1FF4"/>
    <w:rsid w:val="004A2FA4"/>
    <w:rsid w:val="004A3924"/>
    <w:rsid w:val="004B37EF"/>
    <w:rsid w:val="004B3DF1"/>
    <w:rsid w:val="004C17EE"/>
    <w:rsid w:val="004C3566"/>
    <w:rsid w:val="004C4BDF"/>
    <w:rsid w:val="004C57D1"/>
    <w:rsid w:val="004C7316"/>
    <w:rsid w:val="004C7D07"/>
    <w:rsid w:val="004D06B1"/>
    <w:rsid w:val="004D1187"/>
    <w:rsid w:val="004D3AA0"/>
    <w:rsid w:val="004D4028"/>
    <w:rsid w:val="004D59B2"/>
    <w:rsid w:val="004E00E0"/>
    <w:rsid w:val="004E08DE"/>
    <w:rsid w:val="004E1987"/>
    <w:rsid w:val="004E287E"/>
    <w:rsid w:val="004E2E15"/>
    <w:rsid w:val="004E6E3C"/>
    <w:rsid w:val="004F7804"/>
    <w:rsid w:val="005072D9"/>
    <w:rsid w:val="0051399A"/>
    <w:rsid w:val="00515FCD"/>
    <w:rsid w:val="00520898"/>
    <w:rsid w:val="0052119E"/>
    <w:rsid w:val="00522DC2"/>
    <w:rsid w:val="00523621"/>
    <w:rsid w:val="00524986"/>
    <w:rsid w:val="005268F6"/>
    <w:rsid w:val="00530B57"/>
    <w:rsid w:val="00534284"/>
    <w:rsid w:val="005400BA"/>
    <w:rsid w:val="00541CB9"/>
    <w:rsid w:val="00541CD9"/>
    <w:rsid w:val="005449FC"/>
    <w:rsid w:val="0054572E"/>
    <w:rsid w:val="00547DB7"/>
    <w:rsid w:val="0055016C"/>
    <w:rsid w:val="0055289E"/>
    <w:rsid w:val="0055328C"/>
    <w:rsid w:val="005567F5"/>
    <w:rsid w:val="00557D7B"/>
    <w:rsid w:val="00562BC6"/>
    <w:rsid w:val="00570649"/>
    <w:rsid w:val="005854AE"/>
    <w:rsid w:val="005A2B4C"/>
    <w:rsid w:val="005B0B24"/>
    <w:rsid w:val="005B36CD"/>
    <w:rsid w:val="005B4685"/>
    <w:rsid w:val="005B4B27"/>
    <w:rsid w:val="005C5D9A"/>
    <w:rsid w:val="005C5E9E"/>
    <w:rsid w:val="005C68D2"/>
    <w:rsid w:val="005C6C9A"/>
    <w:rsid w:val="005D39D3"/>
    <w:rsid w:val="005D5FA7"/>
    <w:rsid w:val="005D6B85"/>
    <w:rsid w:val="005E12C3"/>
    <w:rsid w:val="005E2D5F"/>
    <w:rsid w:val="005E6502"/>
    <w:rsid w:val="005E7123"/>
    <w:rsid w:val="005F3F69"/>
    <w:rsid w:val="005F4D4F"/>
    <w:rsid w:val="005F4F09"/>
    <w:rsid w:val="005F5E8E"/>
    <w:rsid w:val="0060130F"/>
    <w:rsid w:val="0060251F"/>
    <w:rsid w:val="00602D7E"/>
    <w:rsid w:val="006046C1"/>
    <w:rsid w:val="00613176"/>
    <w:rsid w:val="0061431B"/>
    <w:rsid w:val="00614AF3"/>
    <w:rsid w:val="00622BAA"/>
    <w:rsid w:val="00624C15"/>
    <w:rsid w:val="00627972"/>
    <w:rsid w:val="00630366"/>
    <w:rsid w:val="006306CF"/>
    <w:rsid w:val="0063299F"/>
    <w:rsid w:val="00632E2C"/>
    <w:rsid w:val="00634660"/>
    <w:rsid w:val="00644E9A"/>
    <w:rsid w:val="006524B2"/>
    <w:rsid w:val="00652D13"/>
    <w:rsid w:val="00656086"/>
    <w:rsid w:val="006577D7"/>
    <w:rsid w:val="006644B1"/>
    <w:rsid w:val="006655D1"/>
    <w:rsid w:val="00667740"/>
    <w:rsid w:val="0067174C"/>
    <w:rsid w:val="00671BD5"/>
    <w:rsid w:val="00671FAD"/>
    <w:rsid w:val="00676E47"/>
    <w:rsid w:val="00680549"/>
    <w:rsid w:val="006805C1"/>
    <w:rsid w:val="0068125C"/>
    <w:rsid w:val="006868C8"/>
    <w:rsid w:val="00686C21"/>
    <w:rsid w:val="0068795C"/>
    <w:rsid w:val="00690CAD"/>
    <w:rsid w:val="006931C1"/>
    <w:rsid w:val="00694556"/>
    <w:rsid w:val="006A590F"/>
    <w:rsid w:val="006B0DC9"/>
    <w:rsid w:val="006B361A"/>
    <w:rsid w:val="006B4588"/>
    <w:rsid w:val="006B4D5C"/>
    <w:rsid w:val="006C30C5"/>
    <w:rsid w:val="006D3B31"/>
    <w:rsid w:val="006D66C8"/>
    <w:rsid w:val="006E0D96"/>
    <w:rsid w:val="006E1A53"/>
    <w:rsid w:val="006E4CC3"/>
    <w:rsid w:val="006E5DCD"/>
    <w:rsid w:val="006F241A"/>
    <w:rsid w:val="006F56E6"/>
    <w:rsid w:val="006F572A"/>
    <w:rsid w:val="006F6782"/>
    <w:rsid w:val="0070129C"/>
    <w:rsid w:val="00701810"/>
    <w:rsid w:val="007036FD"/>
    <w:rsid w:val="00704EDA"/>
    <w:rsid w:val="00711A90"/>
    <w:rsid w:val="0071275C"/>
    <w:rsid w:val="00712EA0"/>
    <w:rsid w:val="007154BA"/>
    <w:rsid w:val="00721122"/>
    <w:rsid w:val="007243AA"/>
    <w:rsid w:val="00727A57"/>
    <w:rsid w:val="00732C68"/>
    <w:rsid w:val="00733C41"/>
    <w:rsid w:val="00734689"/>
    <w:rsid w:val="0074259B"/>
    <w:rsid w:val="00744449"/>
    <w:rsid w:val="007470C9"/>
    <w:rsid w:val="00753019"/>
    <w:rsid w:val="0075338F"/>
    <w:rsid w:val="00754801"/>
    <w:rsid w:val="00757F94"/>
    <w:rsid w:val="00760529"/>
    <w:rsid w:val="00760FE8"/>
    <w:rsid w:val="00761441"/>
    <w:rsid w:val="00762367"/>
    <w:rsid w:val="00767094"/>
    <w:rsid w:val="007674AD"/>
    <w:rsid w:val="00770A9F"/>
    <w:rsid w:val="00774C09"/>
    <w:rsid w:val="007754B9"/>
    <w:rsid w:val="00786B8B"/>
    <w:rsid w:val="00786C6D"/>
    <w:rsid w:val="00787605"/>
    <w:rsid w:val="00791B4D"/>
    <w:rsid w:val="00791BDB"/>
    <w:rsid w:val="00792E83"/>
    <w:rsid w:val="00795365"/>
    <w:rsid w:val="00796D58"/>
    <w:rsid w:val="00796DDB"/>
    <w:rsid w:val="007A2A4E"/>
    <w:rsid w:val="007A351D"/>
    <w:rsid w:val="007B447B"/>
    <w:rsid w:val="007B45DB"/>
    <w:rsid w:val="007B4C42"/>
    <w:rsid w:val="007B58D3"/>
    <w:rsid w:val="007B6169"/>
    <w:rsid w:val="007B684E"/>
    <w:rsid w:val="007B7765"/>
    <w:rsid w:val="007C5BDD"/>
    <w:rsid w:val="007C7494"/>
    <w:rsid w:val="007D1827"/>
    <w:rsid w:val="007D216E"/>
    <w:rsid w:val="007D4104"/>
    <w:rsid w:val="007D45E3"/>
    <w:rsid w:val="007D4E33"/>
    <w:rsid w:val="007E07DE"/>
    <w:rsid w:val="007E3247"/>
    <w:rsid w:val="007E3824"/>
    <w:rsid w:val="007E3AF6"/>
    <w:rsid w:val="007E6115"/>
    <w:rsid w:val="007F03CB"/>
    <w:rsid w:val="007F3303"/>
    <w:rsid w:val="007F3519"/>
    <w:rsid w:val="007F3B55"/>
    <w:rsid w:val="007F4609"/>
    <w:rsid w:val="007F6168"/>
    <w:rsid w:val="00801555"/>
    <w:rsid w:val="008016F8"/>
    <w:rsid w:val="00804281"/>
    <w:rsid w:val="00804DF0"/>
    <w:rsid w:val="00814468"/>
    <w:rsid w:val="00816755"/>
    <w:rsid w:val="00816AB4"/>
    <w:rsid w:val="008171C6"/>
    <w:rsid w:val="0081736A"/>
    <w:rsid w:val="008176A1"/>
    <w:rsid w:val="00820005"/>
    <w:rsid w:val="00821D80"/>
    <w:rsid w:val="008327C7"/>
    <w:rsid w:val="00835BAC"/>
    <w:rsid w:val="0083749E"/>
    <w:rsid w:val="00837DB1"/>
    <w:rsid w:val="00840C6C"/>
    <w:rsid w:val="00840F90"/>
    <w:rsid w:val="00841B97"/>
    <w:rsid w:val="00841C37"/>
    <w:rsid w:val="00843EE9"/>
    <w:rsid w:val="008441C3"/>
    <w:rsid w:val="00844318"/>
    <w:rsid w:val="0084570E"/>
    <w:rsid w:val="00846B25"/>
    <w:rsid w:val="00854AD3"/>
    <w:rsid w:val="008555D6"/>
    <w:rsid w:val="008561CB"/>
    <w:rsid w:val="008573F1"/>
    <w:rsid w:val="008574BE"/>
    <w:rsid w:val="00857793"/>
    <w:rsid w:val="00863765"/>
    <w:rsid w:val="00863A2F"/>
    <w:rsid w:val="00863F5D"/>
    <w:rsid w:val="00865DF3"/>
    <w:rsid w:val="00870890"/>
    <w:rsid w:val="00871A73"/>
    <w:rsid w:val="0087313A"/>
    <w:rsid w:val="00873602"/>
    <w:rsid w:val="00875D12"/>
    <w:rsid w:val="00877A67"/>
    <w:rsid w:val="00877CDA"/>
    <w:rsid w:val="0088479D"/>
    <w:rsid w:val="008908E1"/>
    <w:rsid w:val="00891F42"/>
    <w:rsid w:val="008933A5"/>
    <w:rsid w:val="00894400"/>
    <w:rsid w:val="00896889"/>
    <w:rsid w:val="008A146E"/>
    <w:rsid w:val="008A5C3B"/>
    <w:rsid w:val="008A6E97"/>
    <w:rsid w:val="008A7A69"/>
    <w:rsid w:val="008A7F54"/>
    <w:rsid w:val="008B09A1"/>
    <w:rsid w:val="008B4D71"/>
    <w:rsid w:val="008B5B1A"/>
    <w:rsid w:val="008C44BB"/>
    <w:rsid w:val="008C5714"/>
    <w:rsid w:val="008D10B2"/>
    <w:rsid w:val="008D4B1D"/>
    <w:rsid w:val="008E0409"/>
    <w:rsid w:val="008E1599"/>
    <w:rsid w:val="008E2CF5"/>
    <w:rsid w:val="008F190D"/>
    <w:rsid w:val="008F40C4"/>
    <w:rsid w:val="00903896"/>
    <w:rsid w:val="00903912"/>
    <w:rsid w:val="00906F3D"/>
    <w:rsid w:val="0091188E"/>
    <w:rsid w:val="00911B67"/>
    <w:rsid w:val="00911E77"/>
    <w:rsid w:val="00914B4C"/>
    <w:rsid w:val="00920208"/>
    <w:rsid w:val="0092407A"/>
    <w:rsid w:val="00926F55"/>
    <w:rsid w:val="0092725E"/>
    <w:rsid w:val="00927551"/>
    <w:rsid w:val="00927AE3"/>
    <w:rsid w:val="0093396B"/>
    <w:rsid w:val="00934A18"/>
    <w:rsid w:val="009360E6"/>
    <w:rsid w:val="0094230E"/>
    <w:rsid w:val="00943B93"/>
    <w:rsid w:val="0094424E"/>
    <w:rsid w:val="00944359"/>
    <w:rsid w:val="00945C6E"/>
    <w:rsid w:val="00947177"/>
    <w:rsid w:val="009504CD"/>
    <w:rsid w:val="009526DD"/>
    <w:rsid w:val="00955642"/>
    <w:rsid w:val="00955A50"/>
    <w:rsid w:val="00957078"/>
    <w:rsid w:val="009571DB"/>
    <w:rsid w:val="00960E8B"/>
    <w:rsid w:val="009622DF"/>
    <w:rsid w:val="00962770"/>
    <w:rsid w:val="00963CF3"/>
    <w:rsid w:val="0096481D"/>
    <w:rsid w:val="0096493F"/>
    <w:rsid w:val="00965D9A"/>
    <w:rsid w:val="009674A2"/>
    <w:rsid w:val="00967DFF"/>
    <w:rsid w:val="009719CC"/>
    <w:rsid w:val="009752F8"/>
    <w:rsid w:val="0097562C"/>
    <w:rsid w:val="00975C4D"/>
    <w:rsid w:val="009819F8"/>
    <w:rsid w:val="00991F17"/>
    <w:rsid w:val="00993B25"/>
    <w:rsid w:val="00994341"/>
    <w:rsid w:val="00994D97"/>
    <w:rsid w:val="009975C4"/>
    <w:rsid w:val="009A31CF"/>
    <w:rsid w:val="009A5D2C"/>
    <w:rsid w:val="009A6348"/>
    <w:rsid w:val="009A7255"/>
    <w:rsid w:val="009B0426"/>
    <w:rsid w:val="009B1625"/>
    <w:rsid w:val="009B2107"/>
    <w:rsid w:val="009B2210"/>
    <w:rsid w:val="009B327D"/>
    <w:rsid w:val="009B3CF6"/>
    <w:rsid w:val="009B48E8"/>
    <w:rsid w:val="009B6701"/>
    <w:rsid w:val="009B7706"/>
    <w:rsid w:val="009C4F7C"/>
    <w:rsid w:val="009C7025"/>
    <w:rsid w:val="009D1A48"/>
    <w:rsid w:val="009D39F4"/>
    <w:rsid w:val="009D5BC3"/>
    <w:rsid w:val="009D7EE5"/>
    <w:rsid w:val="009E1CE7"/>
    <w:rsid w:val="009E3792"/>
    <w:rsid w:val="009E4EA5"/>
    <w:rsid w:val="009F00A1"/>
    <w:rsid w:val="009F164B"/>
    <w:rsid w:val="009F2195"/>
    <w:rsid w:val="009F2912"/>
    <w:rsid w:val="009F2EF0"/>
    <w:rsid w:val="009F3164"/>
    <w:rsid w:val="009F323C"/>
    <w:rsid w:val="009F6FD1"/>
    <w:rsid w:val="00A0206B"/>
    <w:rsid w:val="00A02FA6"/>
    <w:rsid w:val="00A03150"/>
    <w:rsid w:val="00A0386D"/>
    <w:rsid w:val="00A04447"/>
    <w:rsid w:val="00A051DC"/>
    <w:rsid w:val="00A11F74"/>
    <w:rsid w:val="00A21F96"/>
    <w:rsid w:val="00A24C04"/>
    <w:rsid w:val="00A25315"/>
    <w:rsid w:val="00A307F6"/>
    <w:rsid w:val="00A31107"/>
    <w:rsid w:val="00A3392B"/>
    <w:rsid w:val="00A34160"/>
    <w:rsid w:val="00A34BC9"/>
    <w:rsid w:val="00A37926"/>
    <w:rsid w:val="00A42F15"/>
    <w:rsid w:val="00A43CCD"/>
    <w:rsid w:val="00A44F1D"/>
    <w:rsid w:val="00A456E4"/>
    <w:rsid w:val="00A56871"/>
    <w:rsid w:val="00A61899"/>
    <w:rsid w:val="00A61A1C"/>
    <w:rsid w:val="00A63CF2"/>
    <w:rsid w:val="00A64116"/>
    <w:rsid w:val="00A64975"/>
    <w:rsid w:val="00A67433"/>
    <w:rsid w:val="00A7013A"/>
    <w:rsid w:val="00A73935"/>
    <w:rsid w:val="00A766F7"/>
    <w:rsid w:val="00A77B69"/>
    <w:rsid w:val="00A830B2"/>
    <w:rsid w:val="00A83421"/>
    <w:rsid w:val="00A859C4"/>
    <w:rsid w:val="00A85BF2"/>
    <w:rsid w:val="00A85E34"/>
    <w:rsid w:val="00A91032"/>
    <w:rsid w:val="00A9144F"/>
    <w:rsid w:val="00A944A9"/>
    <w:rsid w:val="00A94B64"/>
    <w:rsid w:val="00A968DA"/>
    <w:rsid w:val="00AA01FE"/>
    <w:rsid w:val="00AA2177"/>
    <w:rsid w:val="00AA3229"/>
    <w:rsid w:val="00AA7596"/>
    <w:rsid w:val="00AB42D9"/>
    <w:rsid w:val="00AB4792"/>
    <w:rsid w:val="00AB511C"/>
    <w:rsid w:val="00AB5E52"/>
    <w:rsid w:val="00AB6165"/>
    <w:rsid w:val="00AC3B02"/>
    <w:rsid w:val="00AC3B7B"/>
    <w:rsid w:val="00AC5209"/>
    <w:rsid w:val="00AD1C5E"/>
    <w:rsid w:val="00AD3323"/>
    <w:rsid w:val="00AD4ADD"/>
    <w:rsid w:val="00AE0E34"/>
    <w:rsid w:val="00AE2DBB"/>
    <w:rsid w:val="00AE675F"/>
    <w:rsid w:val="00AE729E"/>
    <w:rsid w:val="00AE7752"/>
    <w:rsid w:val="00AF7FDA"/>
    <w:rsid w:val="00B009DF"/>
    <w:rsid w:val="00B00A3D"/>
    <w:rsid w:val="00B032EF"/>
    <w:rsid w:val="00B0352F"/>
    <w:rsid w:val="00B04F82"/>
    <w:rsid w:val="00B051C7"/>
    <w:rsid w:val="00B11F7C"/>
    <w:rsid w:val="00B12A63"/>
    <w:rsid w:val="00B1484D"/>
    <w:rsid w:val="00B218A5"/>
    <w:rsid w:val="00B2574A"/>
    <w:rsid w:val="00B26B1C"/>
    <w:rsid w:val="00B31B36"/>
    <w:rsid w:val="00B36B7C"/>
    <w:rsid w:val="00B37535"/>
    <w:rsid w:val="00B40B7D"/>
    <w:rsid w:val="00B44DC1"/>
    <w:rsid w:val="00B501FD"/>
    <w:rsid w:val="00B502D9"/>
    <w:rsid w:val="00B507E0"/>
    <w:rsid w:val="00B50917"/>
    <w:rsid w:val="00B5356E"/>
    <w:rsid w:val="00B563B2"/>
    <w:rsid w:val="00B63285"/>
    <w:rsid w:val="00B63664"/>
    <w:rsid w:val="00B63B40"/>
    <w:rsid w:val="00B7045A"/>
    <w:rsid w:val="00B72687"/>
    <w:rsid w:val="00B7439D"/>
    <w:rsid w:val="00B77925"/>
    <w:rsid w:val="00B809AD"/>
    <w:rsid w:val="00B80CBD"/>
    <w:rsid w:val="00B813E6"/>
    <w:rsid w:val="00B82ED5"/>
    <w:rsid w:val="00B8452A"/>
    <w:rsid w:val="00B85A70"/>
    <w:rsid w:val="00B86096"/>
    <w:rsid w:val="00B87AE3"/>
    <w:rsid w:val="00B92ECE"/>
    <w:rsid w:val="00B94B4B"/>
    <w:rsid w:val="00B964D9"/>
    <w:rsid w:val="00B964FA"/>
    <w:rsid w:val="00B968A6"/>
    <w:rsid w:val="00BA0A7C"/>
    <w:rsid w:val="00BA1DB6"/>
    <w:rsid w:val="00BA517C"/>
    <w:rsid w:val="00BA5EF2"/>
    <w:rsid w:val="00BA6E29"/>
    <w:rsid w:val="00BA7FB6"/>
    <w:rsid w:val="00BB3030"/>
    <w:rsid w:val="00BB3AFE"/>
    <w:rsid w:val="00BB3D05"/>
    <w:rsid w:val="00BB4AF1"/>
    <w:rsid w:val="00BB5080"/>
    <w:rsid w:val="00BB550C"/>
    <w:rsid w:val="00BB73BE"/>
    <w:rsid w:val="00BC0EDE"/>
    <w:rsid w:val="00BC28CF"/>
    <w:rsid w:val="00BC2D89"/>
    <w:rsid w:val="00BC5207"/>
    <w:rsid w:val="00BC53D5"/>
    <w:rsid w:val="00BD34D6"/>
    <w:rsid w:val="00BD4244"/>
    <w:rsid w:val="00BD5D0E"/>
    <w:rsid w:val="00BD6531"/>
    <w:rsid w:val="00BD6C28"/>
    <w:rsid w:val="00BD6FBE"/>
    <w:rsid w:val="00BD7A0E"/>
    <w:rsid w:val="00BE0152"/>
    <w:rsid w:val="00BE05B2"/>
    <w:rsid w:val="00BE09A6"/>
    <w:rsid w:val="00BE142A"/>
    <w:rsid w:val="00BE2E7C"/>
    <w:rsid w:val="00BE5E8F"/>
    <w:rsid w:val="00BF106B"/>
    <w:rsid w:val="00BF1908"/>
    <w:rsid w:val="00C01D90"/>
    <w:rsid w:val="00C04C98"/>
    <w:rsid w:val="00C06BE3"/>
    <w:rsid w:val="00C13BD7"/>
    <w:rsid w:val="00C14A2D"/>
    <w:rsid w:val="00C210A6"/>
    <w:rsid w:val="00C212D6"/>
    <w:rsid w:val="00C22D93"/>
    <w:rsid w:val="00C23458"/>
    <w:rsid w:val="00C25905"/>
    <w:rsid w:val="00C268AF"/>
    <w:rsid w:val="00C31120"/>
    <w:rsid w:val="00C319AF"/>
    <w:rsid w:val="00C34482"/>
    <w:rsid w:val="00C41EA9"/>
    <w:rsid w:val="00C43648"/>
    <w:rsid w:val="00C4476F"/>
    <w:rsid w:val="00C44815"/>
    <w:rsid w:val="00C45339"/>
    <w:rsid w:val="00C477F2"/>
    <w:rsid w:val="00C5087C"/>
    <w:rsid w:val="00C50A9F"/>
    <w:rsid w:val="00C5146B"/>
    <w:rsid w:val="00C52977"/>
    <w:rsid w:val="00C52A14"/>
    <w:rsid w:val="00C53933"/>
    <w:rsid w:val="00C56C85"/>
    <w:rsid w:val="00C612C0"/>
    <w:rsid w:val="00C642FA"/>
    <w:rsid w:val="00C65E4F"/>
    <w:rsid w:val="00C66865"/>
    <w:rsid w:val="00C712E6"/>
    <w:rsid w:val="00C71754"/>
    <w:rsid w:val="00C719AE"/>
    <w:rsid w:val="00C82550"/>
    <w:rsid w:val="00C84FB0"/>
    <w:rsid w:val="00CA33BC"/>
    <w:rsid w:val="00CA4DCF"/>
    <w:rsid w:val="00CA5F54"/>
    <w:rsid w:val="00CA68B7"/>
    <w:rsid w:val="00CB12C0"/>
    <w:rsid w:val="00CB5426"/>
    <w:rsid w:val="00CB5466"/>
    <w:rsid w:val="00CB609C"/>
    <w:rsid w:val="00CB787B"/>
    <w:rsid w:val="00CB7B50"/>
    <w:rsid w:val="00CB7E5B"/>
    <w:rsid w:val="00CC0422"/>
    <w:rsid w:val="00CC54CF"/>
    <w:rsid w:val="00CC553A"/>
    <w:rsid w:val="00CC5DC2"/>
    <w:rsid w:val="00CC7622"/>
    <w:rsid w:val="00CD429E"/>
    <w:rsid w:val="00CD4FFA"/>
    <w:rsid w:val="00CD608F"/>
    <w:rsid w:val="00CD692E"/>
    <w:rsid w:val="00CE2144"/>
    <w:rsid w:val="00CE490E"/>
    <w:rsid w:val="00CE5F33"/>
    <w:rsid w:val="00CE5FC0"/>
    <w:rsid w:val="00CF6BB7"/>
    <w:rsid w:val="00D04AA4"/>
    <w:rsid w:val="00D16D17"/>
    <w:rsid w:val="00D20637"/>
    <w:rsid w:val="00D21E37"/>
    <w:rsid w:val="00D25046"/>
    <w:rsid w:val="00D27115"/>
    <w:rsid w:val="00D27982"/>
    <w:rsid w:val="00D30C51"/>
    <w:rsid w:val="00D327A2"/>
    <w:rsid w:val="00D33B86"/>
    <w:rsid w:val="00D343C0"/>
    <w:rsid w:val="00D40F8F"/>
    <w:rsid w:val="00D42FB4"/>
    <w:rsid w:val="00D43629"/>
    <w:rsid w:val="00D44968"/>
    <w:rsid w:val="00D44B8C"/>
    <w:rsid w:val="00D44E40"/>
    <w:rsid w:val="00D5085B"/>
    <w:rsid w:val="00D5202E"/>
    <w:rsid w:val="00D53924"/>
    <w:rsid w:val="00D54D3B"/>
    <w:rsid w:val="00D55D0C"/>
    <w:rsid w:val="00D57F84"/>
    <w:rsid w:val="00D65811"/>
    <w:rsid w:val="00D65AB2"/>
    <w:rsid w:val="00D660C7"/>
    <w:rsid w:val="00D674AF"/>
    <w:rsid w:val="00D67D8E"/>
    <w:rsid w:val="00D744AC"/>
    <w:rsid w:val="00D74B30"/>
    <w:rsid w:val="00D757C7"/>
    <w:rsid w:val="00D76343"/>
    <w:rsid w:val="00D81E5B"/>
    <w:rsid w:val="00D8306B"/>
    <w:rsid w:val="00D92BD1"/>
    <w:rsid w:val="00D95291"/>
    <w:rsid w:val="00D955EC"/>
    <w:rsid w:val="00D96D8C"/>
    <w:rsid w:val="00D97489"/>
    <w:rsid w:val="00DA1F6F"/>
    <w:rsid w:val="00DA2E7F"/>
    <w:rsid w:val="00DA3D6F"/>
    <w:rsid w:val="00DA6649"/>
    <w:rsid w:val="00DA70E3"/>
    <w:rsid w:val="00DA7647"/>
    <w:rsid w:val="00DB10AC"/>
    <w:rsid w:val="00DB682D"/>
    <w:rsid w:val="00DC0DBB"/>
    <w:rsid w:val="00DC1259"/>
    <w:rsid w:val="00DC1BD2"/>
    <w:rsid w:val="00DC2571"/>
    <w:rsid w:val="00DC487C"/>
    <w:rsid w:val="00DC57A7"/>
    <w:rsid w:val="00DD17AB"/>
    <w:rsid w:val="00DD4335"/>
    <w:rsid w:val="00DE0070"/>
    <w:rsid w:val="00DE1E7D"/>
    <w:rsid w:val="00DE5989"/>
    <w:rsid w:val="00DE6BF6"/>
    <w:rsid w:val="00DF3F41"/>
    <w:rsid w:val="00E00709"/>
    <w:rsid w:val="00E06186"/>
    <w:rsid w:val="00E1068A"/>
    <w:rsid w:val="00E12177"/>
    <w:rsid w:val="00E13BB0"/>
    <w:rsid w:val="00E20667"/>
    <w:rsid w:val="00E21AAD"/>
    <w:rsid w:val="00E22138"/>
    <w:rsid w:val="00E256CD"/>
    <w:rsid w:val="00E25884"/>
    <w:rsid w:val="00E25B55"/>
    <w:rsid w:val="00E26C2B"/>
    <w:rsid w:val="00E27DE2"/>
    <w:rsid w:val="00E31C2B"/>
    <w:rsid w:val="00E40040"/>
    <w:rsid w:val="00E40602"/>
    <w:rsid w:val="00E50DFB"/>
    <w:rsid w:val="00E53E18"/>
    <w:rsid w:val="00E5426A"/>
    <w:rsid w:val="00E54642"/>
    <w:rsid w:val="00E54BB0"/>
    <w:rsid w:val="00E568A0"/>
    <w:rsid w:val="00E56DCD"/>
    <w:rsid w:val="00E601A8"/>
    <w:rsid w:val="00E61B8C"/>
    <w:rsid w:val="00E64889"/>
    <w:rsid w:val="00E707A4"/>
    <w:rsid w:val="00E719E6"/>
    <w:rsid w:val="00E773E2"/>
    <w:rsid w:val="00E77D4B"/>
    <w:rsid w:val="00E77D5A"/>
    <w:rsid w:val="00E80CBE"/>
    <w:rsid w:val="00E83042"/>
    <w:rsid w:val="00E9269D"/>
    <w:rsid w:val="00E93CDA"/>
    <w:rsid w:val="00E962E3"/>
    <w:rsid w:val="00EA2196"/>
    <w:rsid w:val="00EA48AE"/>
    <w:rsid w:val="00EA4D0A"/>
    <w:rsid w:val="00EA7101"/>
    <w:rsid w:val="00EB46C6"/>
    <w:rsid w:val="00EB4F57"/>
    <w:rsid w:val="00EB6245"/>
    <w:rsid w:val="00EB6C79"/>
    <w:rsid w:val="00EC04A2"/>
    <w:rsid w:val="00EC2001"/>
    <w:rsid w:val="00EC2E1F"/>
    <w:rsid w:val="00EC37E9"/>
    <w:rsid w:val="00EC3A24"/>
    <w:rsid w:val="00EC590C"/>
    <w:rsid w:val="00EC7A46"/>
    <w:rsid w:val="00ED169A"/>
    <w:rsid w:val="00ED30DE"/>
    <w:rsid w:val="00ED3549"/>
    <w:rsid w:val="00EE1EBA"/>
    <w:rsid w:val="00EE793B"/>
    <w:rsid w:val="00EF38DF"/>
    <w:rsid w:val="00EF50F5"/>
    <w:rsid w:val="00EF60CA"/>
    <w:rsid w:val="00F0128F"/>
    <w:rsid w:val="00F038D8"/>
    <w:rsid w:val="00F06995"/>
    <w:rsid w:val="00F11CFB"/>
    <w:rsid w:val="00F12771"/>
    <w:rsid w:val="00F12D66"/>
    <w:rsid w:val="00F13623"/>
    <w:rsid w:val="00F14184"/>
    <w:rsid w:val="00F1679C"/>
    <w:rsid w:val="00F21BDD"/>
    <w:rsid w:val="00F25DDC"/>
    <w:rsid w:val="00F26235"/>
    <w:rsid w:val="00F312ED"/>
    <w:rsid w:val="00F3365C"/>
    <w:rsid w:val="00F34AA1"/>
    <w:rsid w:val="00F3632D"/>
    <w:rsid w:val="00F3633F"/>
    <w:rsid w:val="00F435F4"/>
    <w:rsid w:val="00F44D1D"/>
    <w:rsid w:val="00F4580F"/>
    <w:rsid w:val="00F51EF2"/>
    <w:rsid w:val="00F621F7"/>
    <w:rsid w:val="00F627E7"/>
    <w:rsid w:val="00F62E25"/>
    <w:rsid w:val="00F649BB"/>
    <w:rsid w:val="00F6675E"/>
    <w:rsid w:val="00F678D8"/>
    <w:rsid w:val="00F67AFB"/>
    <w:rsid w:val="00F72776"/>
    <w:rsid w:val="00F72900"/>
    <w:rsid w:val="00F80187"/>
    <w:rsid w:val="00F802DD"/>
    <w:rsid w:val="00F80A79"/>
    <w:rsid w:val="00F8270D"/>
    <w:rsid w:val="00F84B19"/>
    <w:rsid w:val="00F84B6D"/>
    <w:rsid w:val="00F863D7"/>
    <w:rsid w:val="00F918B6"/>
    <w:rsid w:val="00F957E8"/>
    <w:rsid w:val="00F95D49"/>
    <w:rsid w:val="00F95F88"/>
    <w:rsid w:val="00F973D4"/>
    <w:rsid w:val="00FA311A"/>
    <w:rsid w:val="00FA5FDA"/>
    <w:rsid w:val="00FA60B1"/>
    <w:rsid w:val="00FA636B"/>
    <w:rsid w:val="00FB53A2"/>
    <w:rsid w:val="00FB6AB3"/>
    <w:rsid w:val="00FC1636"/>
    <w:rsid w:val="00FC2FB7"/>
    <w:rsid w:val="00FC7616"/>
    <w:rsid w:val="00FD1419"/>
    <w:rsid w:val="00FD1536"/>
    <w:rsid w:val="00FD61D8"/>
    <w:rsid w:val="00FD75D0"/>
    <w:rsid w:val="00FD75E8"/>
    <w:rsid w:val="00FD79E4"/>
    <w:rsid w:val="00FE2894"/>
    <w:rsid w:val="00FE29C6"/>
    <w:rsid w:val="00FE2AB9"/>
    <w:rsid w:val="00FE3BD1"/>
    <w:rsid w:val="00FE5C78"/>
    <w:rsid w:val="00FF59C2"/>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C12"/>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64423"/>
    <w:pPr>
      <w:tabs>
        <w:tab w:val="center" w:pos="4153"/>
        <w:tab w:val="right" w:pos="8306"/>
      </w:tabs>
    </w:pPr>
  </w:style>
  <w:style w:type="paragraph" w:styleId="a5">
    <w:name w:val="footer"/>
    <w:basedOn w:val="a"/>
    <w:rsid w:val="00C64423"/>
    <w:pPr>
      <w:tabs>
        <w:tab w:val="center" w:pos="4153"/>
        <w:tab w:val="right" w:pos="8306"/>
      </w:tabs>
    </w:pPr>
  </w:style>
  <w:style w:type="paragraph" w:customStyle="1" w:styleId="a6">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7">
    <w:name w:val="annotation text"/>
    <w:basedOn w:val="a"/>
    <w:semiHidden/>
    <w:rsid w:val="00C64423"/>
    <w:rPr>
      <w:rFonts w:cs="Times New Roman"/>
      <w:noProof w:val="0"/>
    </w:rPr>
  </w:style>
  <w:style w:type="character" w:styleId="a8">
    <w:name w:val="annotation reference"/>
    <w:basedOn w:val="a0"/>
    <w:semiHidden/>
    <w:rsid w:val="00C64423"/>
    <w:rPr>
      <w:sz w:val="16"/>
      <w:szCs w:val="16"/>
    </w:rPr>
  </w:style>
  <w:style w:type="paragraph" w:styleId="a9">
    <w:name w:val="Balloon Text"/>
    <w:basedOn w:val="a"/>
    <w:semiHidden/>
    <w:rsid w:val="00C64423"/>
    <w:rPr>
      <w:rFonts w:ascii="Tahoma" w:hAnsi="Tahoma" w:cs="Tahoma"/>
      <w:sz w:val="16"/>
      <w:szCs w:val="16"/>
    </w:rPr>
  </w:style>
  <w:style w:type="table" w:styleId="aa">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rsid w:val="00C64423"/>
  </w:style>
  <w:style w:type="character" w:styleId="ac">
    <w:name w:val="page number"/>
    <w:basedOn w:val="a0"/>
    <w:rsid w:val="00C64423"/>
  </w:style>
  <w:style w:type="table" w:customStyle="1" w:styleId="1">
    <w:name w:val="טבלת רשת1"/>
    <w:basedOn w:val="a1"/>
    <w:next w:val="aa"/>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3230C7"/>
    <w:rPr>
      <w:color w:val="808080"/>
    </w:rPr>
  </w:style>
  <w:style w:type="paragraph" w:styleId="ae">
    <w:name w:val="List Paragraph"/>
    <w:basedOn w:val="a"/>
    <w:uiPriority w:val="34"/>
    <w:qFormat/>
    <w:rsid w:val="00E773E2"/>
    <w:pPr>
      <w:ind w:left="720"/>
      <w:contextualSpacing/>
    </w:pPr>
  </w:style>
  <w:style w:type="character" w:styleId="Hyperlink">
    <w:name w:val="Hyperlink"/>
    <w:basedOn w:val="a0"/>
    <w:uiPriority w:val="99"/>
    <w:semiHidden/>
    <w:unhideWhenUsed/>
    <w:rsid w:val="00A91032"/>
    <w:rPr>
      <w:color w:val="0000FF"/>
      <w:u w:val="single"/>
    </w:rPr>
  </w:style>
  <w:style w:type="paragraph" w:styleId="af">
    <w:name w:val="Title"/>
    <w:basedOn w:val="a"/>
    <w:link w:val="af0"/>
    <w:qFormat/>
    <w:rsid w:val="000232B9"/>
    <w:pPr>
      <w:shd w:val="pct20" w:color="auto" w:fill="FFFFFF"/>
      <w:spacing w:line="480" w:lineRule="auto"/>
      <w:ind w:left="1701" w:hanging="1701"/>
      <w:jc w:val="center"/>
    </w:pPr>
    <w:rPr>
      <w:rFonts w:cs="Times New Roman"/>
      <w:b/>
      <w:bCs/>
      <w:noProof w:val="0"/>
      <w:sz w:val="20"/>
      <w:szCs w:val="28"/>
      <w:u w:val="single"/>
      <w:lang w:eastAsia="he-IL"/>
    </w:rPr>
  </w:style>
  <w:style w:type="character" w:customStyle="1" w:styleId="af0">
    <w:name w:val="כותרת טקסט תו"/>
    <w:basedOn w:val="a0"/>
    <w:link w:val="af"/>
    <w:rsid w:val="000232B9"/>
    <w:rPr>
      <w:b/>
      <w:bCs/>
      <w:szCs w:val="28"/>
      <w:u w:val="single"/>
      <w:shd w:val="pct20" w:color="auto" w:fill="FFFFFF"/>
      <w:lang w:eastAsia="he-IL"/>
    </w:rPr>
  </w:style>
  <w:style w:type="paragraph" w:customStyle="1" w:styleId="10">
    <w:name w:val="פיסקת רשימה1"/>
    <w:basedOn w:val="a"/>
    <w:qFormat/>
    <w:rsid w:val="000232B9"/>
    <w:pPr>
      <w:ind w:left="720"/>
      <w:contextualSpacing/>
    </w:pPr>
  </w:style>
  <w:style w:type="character" w:styleId="af1">
    <w:name w:val="Strong"/>
    <w:basedOn w:val="a0"/>
    <w:qFormat/>
    <w:rsid w:val="009B7706"/>
    <w:rPr>
      <w:b/>
      <w:bCs/>
    </w:rPr>
  </w:style>
  <w:style w:type="character" w:customStyle="1" w:styleId="a4">
    <w:name w:val="כותרת עליונה תו"/>
    <w:basedOn w:val="a0"/>
    <w:link w:val="a3"/>
    <w:uiPriority w:val="99"/>
    <w:rsid w:val="00630366"/>
    <w:rPr>
      <w:rFonts w:cs="David"/>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211">
      <w:bodyDiv w:val="1"/>
      <w:marLeft w:val="0"/>
      <w:marRight w:val="0"/>
      <w:marTop w:val="0"/>
      <w:marBottom w:val="0"/>
      <w:divBdr>
        <w:top w:val="none" w:sz="0" w:space="0" w:color="auto"/>
        <w:left w:val="none" w:sz="0" w:space="0" w:color="auto"/>
        <w:bottom w:val="none" w:sz="0" w:space="0" w:color="auto"/>
        <w:right w:val="none" w:sz="0" w:space="0" w:color="auto"/>
      </w:divBdr>
    </w:div>
    <w:div w:id="14962846">
      <w:bodyDiv w:val="1"/>
      <w:marLeft w:val="0"/>
      <w:marRight w:val="0"/>
      <w:marTop w:val="0"/>
      <w:marBottom w:val="0"/>
      <w:divBdr>
        <w:top w:val="none" w:sz="0" w:space="0" w:color="auto"/>
        <w:left w:val="none" w:sz="0" w:space="0" w:color="auto"/>
        <w:bottom w:val="none" w:sz="0" w:space="0" w:color="auto"/>
        <w:right w:val="none" w:sz="0" w:space="0" w:color="auto"/>
      </w:divBdr>
    </w:div>
    <w:div w:id="38435913">
      <w:bodyDiv w:val="1"/>
      <w:marLeft w:val="0"/>
      <w:marRight w:val="0"/>
      <w:marTop w:val="0"/>
      <w:marBottom w:val="0"/>
      <w:divBdr>
        <w:top w:val="none" w:sz="0" w:space="0" w:color="auto"/>
        <w:left w:val="none" w:sz="0" w:space="0" w:color="auto"/>
        <w:bottom w:val="none" w:sz="0" w:space="0" w:color="auto"/>
        <w:right w:val="none" w:sz="0" w:space="0" w:color="auto"/>
      </w:divBdr>
    </w:div>
    <w:div w:id="42563713">
      <w:bodyDiv w:val="1"/>
      <w:marLeft w:val="0"/>
      <w:marRight w:val="0"/>
      <w:marTop w:val="0"/>
      <w:marBottom w:val="0"/>
      <w:divBdr>
        <w:top w:val="none" w:sz="0" w:space="0" w:color="auto"/>
        <w:left w:val="none" w:sz="0" w:space="0" w:color="auto"/>
        <w:bottom w:val="none" w:sz="0" w:space="0" w:color="auto"/>
        <w:right w:val="none" w:sz="0" w:space="0" w:color="auto"/>
      </w:divBdr>
    </w:div>
    <w:div w:id="56126321">
      <w:bodyDiv w:val="1"/>
      <w:marLeft w:val="0"/>
      <w:marRight w:val="0"/>
      <w:marTop w:val="0"/>
      <w:marBottom w:val="0"/>
      <w:divBdr>
        <w:top w:val="none" w:sz="0" w:space="0" w:color="auto"/>
        <w:left w:val="none" w:sz="0" w:space="0" w:color="auto"/>
        <w:bottom w:val="none" w:sz="0" w:space="0" w:color="auto"/>
        <w:right w:val="none" w:sz="0" w:space="0" w:color="auto"/>
      </w:divBdr>
    </w:div>
    <w:div w:id="86536555">
      <w:bodyDiv w:val="1"/>
      <w:marLeft w:val="0"/>
      <w:marRight w:val="0"/>
      <w:marTop w:val="0"/>
      <w:marBottom w:val="0"/>
      <w:divBdr>
        <w:top w:val="none" w:sz="0" w:space="0" w:color="auto"/>
        <w:left w:val="none" w:sz="0" w:space="0" w:color="auto"/>
        <w:bottom w:val="none" w:sz="0" w:space="0" w:color="auto"/>
        <w:right w:val="none" w:sz="0" w:space="0" w:color="auto"/>
      </w:divBdr>
    </w:div>
    <w:div w:id="124810379">
      <w:bodyDiv w:val="1"/>
      <w:marLeft w:val="0"/>
      <w:marRight w:val="0"/>
      <w:marTop w:val="0"/>
      <w:marBottom w:val="0"/>
      <w:divBdr>
        <w:top w:val="none" w:sz="0" w:space="0" w:color="auto"/>
        <w:left w:val="none" w:sz="0" w:space="0" w:color="auto"/>
        <w:bottom w:val="none" w:sz="0" w:space="0" w:color="auto"/>
        <w:right w:val="none" w:sz="0" w:space="0" w:color="auto"/>
      </w:divBdr>
    </w:div>
    <w:div w:id="141777875">
      <w:bodyDiv w:val="1"/>
      <w:marLeft w:val="0"/>
      <w:marRight w:val="0"/>
      <w:marTop w:val="0"/>
      <w:marBottom w:val="0"/>
      <w:divBdr>
        <w:top w:val="none" w:sz="0" w:space="0" w:color="auto"/>
        <w:left w:val="none" w:sz="0" w:space="0" w:color="auto"/>
        <w:bottom w:val="none" w:sz="0" w:space="0" w:color="auto"/>
        <w:right w:val="none" w:sz="0" w:space="0" w:color="auto"/>
      </w:divBdr>
    </w:div>
    <w:div w:id="179509822">
      <w:bodyDiv w:val="1"/>
      <w:marLeft w:val="0"/>
      <w:marRight w:val="0"/>
      <w:marTop w:val="0"/>
      <w:marBottom w:val="0"/>
      <w:divBdr>
        <w:top w:val="none" w:sz="0" w:space="0" w:color="auto"/>
        <w:left w:val="none" w:sz="0" w:space="0" w:color="auto"/>
        <w:bottom w:val="none" w:sz="0" w:space="0" w:color="auto"/>
        <w:right w:val="none" w:sz="0" w:space="0" w:color="auto"/>
      </w:divBdr>
    </w:div>
    <w:div w:id="284652940">
      <w:bodyDiv w:val="1"/>
      <w:marLeft w:val="0"/>
      <w:marRight w:val="0"/>
      <w:marTop w:val="0"/>
      <w:marBottom w:val="0"/>
      <w:divBdr>
        <w:top w:val="none" w:sz="0" w:space="0" w:color="auto"/>
        <w:left w:val="none" w:sz="0" w:space="0" w:color="auto"/>
        <w:bottom w:val="none" w:sz="0" w:space="0" w:color="auto"/>
        <w:right w:val="none" w:sz="0" w:space="0" w:color="auto"/>
      </w:divBdr>
    </w:div>
    <w:div w:id="289676575">
      <w:bodyDiv w:val="1"/>
      <w:marLeft w:val="0"/>
      <w:marRight w:val="0"/>
      <w:marTop w:val="0"/>
      <w:marBottom w:val="0"/>
      <w:divBdr>
        <w:top w:val="none" w:sz="0" w:space="0" w:color="auto"/>
        <w:left w:val="none" w:sz="0" w:space="0" w:color="auto"/>
        <w:bottom w:val="none" w:sz="0" w:space="0" w:color="auto"/>
        <w:right w:val="none" w:sz="0" w:space="0" w:color="auto"/>
      </w:divBdr>
    </w:div>
    <w:div w:id="340547758">
      <w:bodyDiv w:val="1"/>
      <w:marLeft w:val="0"/>
      <w:marRight w:val="0"/>
      <w:marTop w:val="0"/>
      <w:marBottom w:val="0"/>
      <w:divBdr>
        <w:top w:val="none" w:sz="0" w:space="0" w:color="auto"/>
        <w:left w:val="none" w:sz="0" w:space="0" w:color="auto"/>
        <w:bottom w:val="none" w:sz="0" w:space="0" w:color="auto"/>
        <w:right w:val="none" w:sz="0" w:space="0" w:color="auto"/>
      </w:divBdr>
    </w:div>
    <w:div w:id="373047588">
      <w:bodyDiv w:val="1"/>
      <w:marLeft w:val="0"/>
      <w:marRight w:val="0"/>
      <w:marTop w:val="0"/>
      <w:marBottom w:val="0"/>
      <w:divBdr>
        <w:top w:val="none" w:sz="0" w:space="0" w:color="auto"/>
        <w:left w:val="none" w:sz="0" w:space="0" w:color="auto"/>
        <w:bottom w:val="none" w:sz="0" w:space="0" w:color="auto"/>
        <w:right w:val="none" w:sz="0" w:space="0" w:color="auto"/>
      </w:divBdr>
    </w:div>
    <w:div w:id="420491260">
      <w:bodyDiv w:val="1"/>
      <w:marLeft w:val="0"/>
      <w:marRight w:val="0"/>
      <w:marTop w:val="0"/>
      <w:marBottom w:val="0"/>
      <w:divBdr>
        <w:top w:val="none" w:sz="0" w:space="0" w:color="auto"/>
        <w:left w:val="none" w:sz="0" w:space="0" w:color="auto"/>
        <w:bottom w:val="none" w:sz="0" w:space="0" w:color="auto"/>
        <w:right w:val="none" w:sz="0" w:space="0" w:color="auto"/>
      </w:divBdr>
    </w:div>
    <w:div w:id="446313747">
      <w:bodyDiv w:val="1"/>
      <w:marLeft w:val="0"/>
      <w:marRight w:val="0"/>
      <w:marTop w:val="0"/>
      <w:marBottom w:val="0"/>
      <w:divBdr>
        <w:top w:val="none" w:sz="0" w:space="0" w:color="auto"/>
        <w:left w:val="none" w:sz="0" w:space="0" w:color="auto"/>
        <w:bottom w:val="none" w:sz="0" w:space="0" w:color="auto"/>
        <w:right w:val="none" w:sz="0" w:space="0" w:color="auto"/>
      </w:divBdr>
    </w:div>
    <w:div w:id="462694620">
      <w:bodyDiv w:val="1"/>
      <w:marLeft w:val="0"/>
      <w:marRight w:val="0"/>
      <w:marTop w:val="0"/>
      <w:marBottom w:val="0"/>
      <w:divBdr>
        <w:top w:val="none" w:sz="0" w:space="0" w:color="auto"/>
        <w:left w:val="none" w:sz="0" w:space="0" w:color="auto"/>
        <w:bottom w:val="none" w:sz="0" w:space="0" w:color="auto"/>
        <w:right w:val="none" w:sz="0" w:space="0" w:color="auto"/>
      </w:divBdr>
    </w:div>
    <w:div w:id="484399063">
      <w:bodyDiv w:val="1"/>
      <w:marLeft w:val="0"/>
      <w:marRight w:val="0"/>
      <w:marTop w:val="0"/>
      <w:marBottom w:val="0"/>
      <w:divBdr>
        <w:top w:val="none" w:sz="0" w:space="0" w:color="auto"/>
        <w:left w:val="none" w:sz="0" w:space="0" w:color="auto"/>
        <w:bottom w:val="none" w:sz="0" w:space="0" w:color="auto"/>
        <w:right w:val="none" w:sz="0" w:space="0" w:color="auto"/>
      </w:divBdr>
    </w:div>
    <w:div w:id="568880261">
      <w:bodyDiv w:val="1"/>
      <w:marLeft w:val="0"/>
      <w:marRight w:val="0"/>
      <w:marTop w:val="0"/>
      <w:marBottom w:val="0"/>
      <w:divBdr>
        <w:top w:val="none" w:sz="0" w:space="0" w:color="auto"/>
        <w:left w:val="none" w:sz="0" w:space="0" w:color="auto"/>
        <w:bottom w:val="none" w:sz="0" w:space="0" w:color="auto"/>
        <w:right w:val="none" w:sz="0" w:space="0" w:color="auto"/>
      </w:divBdr>
    </w:div>
    <w:div w:id="696781263">
      <w:bodyDiv w:val="1"/>
      <w:marLeft w:val="0"/>
      <w:marRight w:val="0"/>
      <w:marTop w:val="0"/>
      <w:marBottom w:val="0"/>
      <w:divBdr>
        <w:top w:val="none" w:sz="0" w:space="0" w:color="auto"/>
        <w:left w:val="none" w:sz="0" w:space="0" w:color="auto"/>
        <w:bottom w:val="none" w:sz="0" w:space="0" w:color="auto"/>
        <w:right w:val="none" w:sz="0" w:space="0" w:color="auto"/>
      </w:divBdr>
    </w:div>
    <w:div w:id="787547099">
      <w:bodyDiv w:val="1"/>
      <w:marLeft w:val="0"/>
      <w:marRight w:val="0"/>
      <w:marTop w:val="0"/>
      <w:marBottom w:val="0"/>
      <w:divBdr>
        <w:top w:val="none" w:sz="0" w:space="0" w:color="auto"/>
        <w:left w:val="none" w:sz="0" w:space="0" w:color="auto"/>
        <w:bottom w:val="none" w:sz="0" w:space="0" w:color="auto"/>
        <w:right w:val="none" w:sz="0" w:space="0" w:color="auto"/>
      </w:divBdr>
    </w:div>
    <w:div w:id="852721272">
      <w:bodyDiv w:val="1"/>
      <w:marLeft w:val="0"/>
      <w:marRight w:val="0"/>
      <w:marTop w:val="0"/>
      <w:marBottom w:val="0"/>
      <w:divBdr>
        <w:top w:val="none" w:sz="0" w:space="0" w:color="auto"/>
        <w:left w:val="none" w:sz="0" w:space="0" w:color="auto"/>
        <w:bottom w:val="none" w:sz="0" w:space="0" w:color="auto"/>
        <w:right w:val="none" w:sz="0" w:space="0" w:color="auto"/>
      </w:divBdr>
    </w:div>
    <w:div w:id="856775492">
      <w:bodyDiv w:val="1"/>
      <w:marLeft w:val="0"/>
      <w:marRight w:val="0"/>
      <w:marTop w:val="0"/>
      <w:marBottom w:val="0"/>
      <w:divBdr>
        <w:top w:val="none" w:sz="0" w:space="0" w:color="auto"/>
        <w:left w:val="none" w:sz="0" w:space="0" w:color="auto"/>
        <w:bottom w:val="none" w:sz="0" w:space="0" w:color="auto"/>
        <w:right w:val="none" w:sz="0" w:space="0" w:color="auto"/>
      </w:divBdr>
    </w:div>
    <w:div w:id="919824670">
      <w:bodyDiv w:val="1"/>
      <w:marLeft w:val="0"/>
      <w:marRight w:val="0"/>
      <w:marTop w:val="0"/>
      <w:marBottom w:val="0"/>
      <w:divBdr>
        <w:top w:val="none" w:sz="0" w:space="0" w:color="auto"/>
        <w:left w:val="none" w:sz="0" w:space="0" w:color="auto"/>
        <w:bottom w:val="none" w:sz="0" w:space="0" w:color="auto"/>
        <w:right w:val="none" w:sz="0" w:space="0" w:color="auto"/>
      </w:divBdr>
    </w:div>
    <w:div w:id="996034384">
      <w:bodyDiv w:val="1"/>
      <w:marLeft w:val="0"/>
      <w:marRight w:val="0"/>
      <w:marTop w:val="0"/>
      <w:marBottom w:val="0"/>
      <w:divBdr>
        <w:top w:val="none" w:sz="0" w:space="0" w:color="auto"/>
        <w:left w:val="none" w:sz="0" w:space="0" w:color="auto"/>
        <w:bottom w:val="none" w:sz="0" w:space="0" w:color="auto"/>
        <w:right w:val="none" w:sz="0" w:space="0" w:color="auto"/>
      </w:divBdr>
    </w:div>
    <w:div w:id="1029767396">
      <w:bodyDiv w:val="1"/>
      <w:marLeft w:val="0"/>
      <w:marRight w:val="0"/>
      <w:marTop w:val="0"/>
      <w:marBottom w:val="0"/>
      <w:divBdr>
        <w:top w:val="none" w:sz="0" w:space="0" w:color="auto"/>
        <w:left w:val="none" w:sz="0" w:space="0" w:color="auto"/>
        <w:bottom w:val="none" w:sz="0" w:space="0" w:color="auto"/>
        <w:right w:val="none" w:sz="0" w:space="0" w:color="auto"/>
      </w:divBdr>
    </w:div>
    <w:div w:id="1039206738">
      <w:bodyDiv w:val="1"/>
      <w:marLeft w:val="0"/>
      <w:marRight w:val="0"/>
      <w:marTop w:val="0"/>
      <w:marBottom w:val="0"/>
      <w:divBdr>
        <w:top w:val="none" w:sz="0" w:space="0" w:color="auto"/>
        <w:left w:val="none" w:sz="0" w:space="0" w:color="auto"/>
        <w:bottom w:val="none" w:sz="0" w:space="0" w:color="auto"/>
        <w:right w:val="none" w:sz="0" w:space="0" w:color="auto"/>
      </w:divBdr>
    </w:div>
    <w:div w:id="1079909691">
      <w:bodyDiv w:val="1"/>
      <w:marLeft w:val="0"/>
      <w:marRight w:val="0"/>
      <w:marTop w:val="0"/>
      <w:marBottom w:val="0"/>
      <w:divBdr>
        <w:top w:val="none" w:sz="0" w:space="0" w:color="auto"/>
        <w:left w:val="none" w:sz="0" w:space="0" w:color="auto"/>
        <w:bottom w:val="none" w:sz="0" w:space="0" w:color="auto"/>
        <w:right w:val="none" w:sz="0" w:space="0" w:color="auto"/>
      </w:divBdr>
    </w:div>
    <w:div w:id="1108964179">
      <w:bodyDiv w:val="1"/>
      <w:marLeft w:val="0"/>
      <w:marRight w:val="0"/>
      <w:marTop w:val="0"/>
      <w:marBottom w:val="0"/>
      <w:divBdr>
        <w:top w:val="none" w:sz="0" w:space="0" w:color="auto"/>
        <w:left w:val="none" w:sz="0" w:space="0" w:color="auto"/>
        <w:bottom w:val="none" w:sz="0" w:space="0" w:color="auto"/>
        <w:right w:val="none" w:sz="0" w:space="0" w:color="auto"/>
      </w:divBdr>
    </w:div>
    <w:div w:id="1139616275">
      <w:bodyDiv w:val="1"/>
      <w:marLeft w:val="0"/>
      <w:marRight w:val="0"/>
      <w:marTop w:val="0"/>
      <w:marBottom w:val="0"/>
      <w:divBdr>
        <w:top w:val="none" w:sz="0" w:space="0" w:color="auto"/>
        <w:left w:val="none" w:sz="0" w:space="0" w:color="auto"/>
        <w:bottom w:val="none" w:sz="0" w:space="0" w:color="auto"/>
        <w:right w:val="none" w:sz="0" w:space="0" w:color="auto"/>
      </w:divBdr>
    </w:div>
    <w:div w:id="1157380665">
      <w:bodyDiv w:val="1"/>
      <w:marLeft w:val="0"/>
      <w:marRight w:val="0"/>
      <w:marTop w:val="0"/>
      <w:marBottom w:val="0"/>
      <w:divBdr>
        <w:top w:val="none" w:sz="0" w:space="0" w:color="auto"/>
        <w:left w:val="none" w:sz="0" w:space="0" w:color="auto"/>
        <w:bottom w:val="none" w:sz="0" w:space="0" w:color="auto"/>
        <w:right w:val="none" w:sz="0" w:space="0" w:color="auto"/>
      </w:divBdr>
    </w:div>
    <w:div w:id="1180506573">
      <w:bodyDiv w:val="1"/>
      <w:marLeft w:val="0"/>
      <w:marRight w:val="0"/>
      <w:marTop w:val="0"/>
      <w:marBottom w:val="0"/>
      <w:divBdr>
        <w:top w:val="none" w:sz="0" w:space="0" w:color="auto"/>
        <w:left w:val="none" w:sz="0" w:space="0" w:color="auto"/>
        <w:bottom w:val="none" w:sz="0" w:space="0" w:color="auto"/>
        <w:right w:val="none" w:sz="0" w:space="0" w:color="auto"/>
      </w:divBdr>
    </w:div>
    <w:div w:id="1225406654">
      <w:bodyDiv w:val="1"/>
      <w:marLeft w:val="0"/>
      <w:marRight w:val="0"/>
      <w:marTop w:val="0"/>
      <w:marBottom w:val="0"/>
      <w:divBdr>
        <w:top w:val="none" w:sz="0" w:space="0" w:color="auto"/>
        <w:left w:val="none" w:sz="0" w:space="0" w:color="auto"/>
        <w:bottom w:val="none" w:sz="0" w:space="0" w:color="auto"/>
        <w:right w:val="none" w:sz="0" w:space="0" w:color="auto"/>
      </w:divBdr>
    </w:div>
    <w:div w:id="1253122580">
      <w:bodyDiv w:val="1"/>
      <w:marLeft w:val="0"/>
      <w:marRight w:val="0"/>
      <w:marTop w:val="0"/>
      <w:marBottom w:val="0"/>
      <w:divBdr>
        <w:top w:val="none" w:sz="0" w:space="0" w:color="auto"/>
        <w:left w:val="none" w:sz="0" w:space="0" w:color="auto"/>
        <w:bottom w:val="none" w:sz="0" w:space="0" w:color="auto"/>
        <w:right w:val="none" w:sz="0" w:space="0" w:color="auto"/>
      </w:divBdr>
    </w:div>
    <w:div w:id="1260992160">
      <w:bodyDiv w:val="1"/>
      <w:marLeft w:val="0"/>
      <w:marRight w:val="0"/>
      <w:marTop w:val="0"/>
      <w:marBottom w:val="0"/>
      <w:divBdr>
        <w:top w:val="none" w:sz="0" w:space="0" w:color="auto"/>
        <w:left w:val="none" w:sz="0" w:space="0" w:color="auto"/>
        <w:bottom w:val="none" w:sz="0" w:space="0" w:color="auto"/>
        <w:right w:val="none" w:sz="0" w:space="0" w:color="auto"/>
      </w:divBdr>
    </w:div>
    <w:div w:id="1268539250">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371152065">
      <w:bodyDiv w:val="1"/>
      <w:marLeft w:val="0"/>
      <w:marRight w:val="0"/>
      <w:marTop w:val="0"/>
      <w:marBottom w:val="0"/>
      <w:divBdr>
        <w:top w:val="none" w:sz="0" w:space="0" w:color="auto"/>
        <w:left w:val="none" w:sz="0" w:space="0" w:color="auto"/>
        <w:bottom w:val="none" w:sz="0" w:space="0" w:color="auto"/>
        <w:right w:val="none" w:sz="0" w:space="0" w:color="auto"/>
      </w:divBdr>
    </w:div>
    <w:div w:id="1392457250">
      <w:bodyDiv w:val="1"/>
      <w:marLeft w:val="0"/>
      <w:marRight w:val="0"/>
      <w:marTop w:val="0"/>
      <w:marBottom w:val="0"/>
      <w:divBdr>
        <w:top w:val="none" w:sz="0" w:space="0" w:color="auto"/>
        <w:left w:val="none" w:sz="0" w:space="0" w:color="auto"/>
        <w:bottom w:val="none" w:sz="0" w:space="0" w:color="auto"/>
        <w:right w:val="none" w:sz="0" w:space="0" w:color="auto"/>
      </w:divBdr>
    </w:div>
    <w:div w:id="1414274087">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443306632">
      <w:bodyDiv w:val="1"/>
      <w:marLeft w:val="0"/>
      <w:marRight w:val="0"/>
      <w:marTop w:val="0"/>
      <w:marBottom w:val="0"/>
      <w:divBdr>
        <w:top w:val="none" w:sz="0" w:space="0" w:color="auto"/>
        <w:left w:val="none" w:sz="0" w:space="0" w:color="auto"/>
        <w:bottom w:val="none" w:sz="0" w:space="0" w:color="auto"/>
        <w:right w:val="none" w:sz="0" w:space="0" w:color="auto"/>
      </w:divBdr>
    </w:div>
    <w:div w:id="1520269952">
      <w:bodyDiv w:val="1"/>
      <w:marLeft w:val="0"/>
      <w:marRight w:val="0"/>
      <w:marTop w:val="0"/>
      <w:marBottom w:val="0"/>
      <w:divBdr>
        <w:top w:val="none" w:sz="0" w:space="0" w:color="auto"/>
        <w:left w:val="none" w:sz="0" w:space="0" w:color="auto"/>
        <w:bottom w:val="none" w:sz="0" w:space="0" w:color="auto"/>
        <w:right w:val="none" w:sz="0" w:space="0" w:color="auto"/>
      </w:divBdr>
    </w:div>
    <w:div w:id="1635451388">
      <w:bodyDiv w:val="1"/>
      <w:marLeft w:val="0"/>
      <w:marRight w:val="0"/>
      <w:marTop w:val="0"/>
      <w:marBottom w:val="0"/>
      <w:divBdr>
        <w:top w:val="none" w:sz="0" w:space="0" w:color="auto"/>
        <w:left w:val="none" w:sz="0" w:space="0" w:color="auto"/>
        <w:bottom w:val="none" w:sz="0" w:space="0" w:color="auto"/>
        <w:right w:val="none" w:sz="0" w:space="0" w:color="auto"/>
      </w:divBdr>
    </w:div>
    <w:div w:id="1646279485">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01122993">
      <w:bodyDiv w:val="1"/>
      <w:marLeft w:val="0"/>
      <w:marRight w:val="0"/>
      <w:marTop w:val="0"/>
      <w:marBottom w:val="0"/>
      <w:divBdr>
        <w:top w:val="none" w:sz="0" w:space="0" w:color="auto"/>
        <w:left w:val="none" w:sz="0" w:space="0" w:color="auto"/>
        <w:bottom w:val="none" w:sz="0" w:space="0" w:color="auto"/>
        <w:right w:val="none" w:sz="0" w:space="0" w:color="auto"/>
      </w:divBdr>
    </w:div>
    <w:div w:id="1714184651">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1757902553">
      <w:bodyDiv w:val="1"/>
      <w:marLeft w:val="0"/>
      <w:marRight w:val="0"/>
      <w:marTop w:val="0"/>
      <w:marBottom w:val="0"/>
      <w:divBdr>
        <w:top w:val="none" w:sz="0" w:space="0" w:color="auto"/>
        <w:left w:val="none" w:sz="0" w:space="0" w:color="auto"/>
        <w:bottom w:val="none" w:sz="0" w:space="0" w:color="auto"/>
        <w:right w:val="none" w:sz="0" w:space="0" w:color="auto"/>
      </w:divBdr>
    </w:div>
    <w:div w:id="1803842504">
      <w:bodyDiv w:val="1"/>
      <w:marLeft w:val="0"/>
      <w:marRight w:val="0"/>
      <w:marTop w:val="0"/>
      <w:marBottom w:val="0"/>
      <w:divBdr>
        <w:top w:val="none" w:sz="0" w:space="0" w:color="auto"/>
        <w:left w:val="none" w:sz="0" w:space="0" w:color="auto"/>
        <w:bottom w:val="none" w:sz="0" w:space="0" w:color="auto"/>
        <w:right w:val="none" w:sz="0" w:space="0" w:color="auto"/>
      </w:divBdr>
    </w:div>
    <w:div w:id="1900088197">
      <w:bodyDiv w:val="1"/>
      <w:marLeft w:val="0"/>
      <w:marRight w:val="0"/>
      <w:marTop w:val="0"/>
      <w:marBottom w:val="0"/>
      <w:divBdr>
        <w:top w:val="none" w:sz="0" w:space="0" w:color="auto"/>
        <w:left w:val="none" w:sz="0" w:space="0" w:color="auto"/>
        <w:bottom w:val="none" w:sz="0" w:space="0" w:color="auto"/>
        <w:right w:val="none" w:sz="0" w:space="0" w:color="auto"/>
      </w:divBdr>
    </w:div>
    <w:div w:id="1979604037">
      <w:bodyDiv w:val="1"/>
      <w:marLeft w:val="0"/>
      <w:marRight w:val="0"/>
      <w:marTop w:val="0"/>
      <w:marBottom w:val="0"/>
      <w:divBdr>
        <w:top w:val="none" w:sz="0" w:space="0" w:color="auto"/>
        <w:left w:val="none" w:sz="0" w:space="0" w:color="auto"/>
        <w:bottom w:val="none" w:sz="0" w:space="0" w:color="auto"/>
        <w:right w:val="none" w:sz="0" w:space="0" w:color="auto"/>
      </w:divBdr>
    </w:div>
    <w:div w:id="210810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5B809-DC22-47F2-B049-10E82B3BF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3474</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אסתר טטרואשוילי</cp:lastModifiedBy>
  <cp:revision>2</cp:revision>
  <dcterms:created xsi:type="dcterms:W3CDTF">2023-02-26T08:49:00Z</dcterms:created>
  <dcterms:modified xsi:type="dcterms:W3CDTF">2023-02-26T08:49:00Z</dcterms:modified>
</cp:coreProperties>
</file>