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C12D26" w14:textId="2355CF81" w:rsidR="00BD073D" w:rsidRPr="00BD073D" w:rsidRDefault="002525AD" w:rsidP="00BD073D">
      <w:pPr>
        <w:pStyle w:val="Ruller41"/>
        <w:jc w:val="center"/>
        <w:rPr>
          <w:b/>
          <w:bCs/>
          <w:sz w:val="32"/>
          <w:szCs w:val="32"/>
          <w:u w:val="single"/>
          <w:rtl/>
        </w:rPr>
      </w:pPr>
      <w:bookmarkStart w:id="0" w:name="_GoBack"/>
      <w:bookmarkEnd w:id="0"/>
      <w:r w:rsidRPr="00BD073D">
        <w:rPr>
          <w:rFonts w:hint="eastAsia"/>
          <w:b/>
          <w:bCs/>
          <w:sz w:val="32"/>
          <w:szCs w:val="32"/>
          <w:u w:val="single"/>
          <w:rtl/>
        </w:rPr>
        <w:t>ע</w:t>
      </w:r>
      <w:r w:rsidRPr="00BD073D">
        <w:rPr>
          <w:b/>
          <w:bCs/>
          <w:sz w:val="32"/>
          <w:szCs w:val="32"/>
          <w:u w:val="single"/>
          <w:rtl/>
        </w:rPr>
        <w:t>"</w:t>
      </w:r>
      <w:r w:rsidRPr="00BD073D">
        <w:rPr>
          <w:rFonts w:hint="eastAsia"/>
          <w:b/>
          <w:bCs/>
          <w:sz w:val="32"/>
          <w:szCs w:val="32"/>
          <w:u w:val="single"/>
          <w:rtl/>
        </w:rPr>
        <w:t>א</w:t>
      </w:r>
      <w:r w:rsidRPr="00BD073D">
        <w:rPr>
          <w:b/>
          <w:bCs/>
          <w:sz w:val="32"/>
          <w:szCs w:val="32"/>
          <w:u w:val="single"/>
          <w:rtl/>
        </w:rPr>
        <w:t xml:space="preserve"> </w:t>
      </w:r>
      <w:r w:rsidRPr="00BD073D">
        <w:rPr>
          <w:rFonts w:hint="cs"/>
          <w:b/>
          <w:bCs/>
          <w:sz w:val="32"/>
          <w:szCs w:val="32"/>
          <w:u w:val="single"/>
          <w:rtl/>
        </w:rPr>
        <w:t>4354/22 טל</w:t>
      </w:r>
      <w:r w:rsidRPr="00BD073D">
        <w:rPr>
          <w:b/>
          <w:bCs/>
          <w:sz w:val="32"/>
          <w:szCs w:val="32"/>
          <w:u w:val="single"/>
          <w:rtl/>
        </w:rPr>
        <w:t xml:space="preserve"> </w:t>
      </w:r>
      <w:r w:rsidRPr="00BD073D">
        <w:rPr>
          <w:rFonts w:hint="eastAsia"/>
          <w:b/>
          <w:bCs/>
          <w:sz w:val="32"/>
          <w:szCs w:val="32"/>
          <w:u w:val="single"/>
          <w:rtl/>
        </w:rPr>
        <w:t>נ</w:t>
      </w:r>
      <w:r w:rsidRPr="00BD073D">
        <w:rPr>
          <w:b/>
          <w:bCs/>
          <w:sz w:val="32"/>
          <w:szCs w:val="32"/>
          <w:u w:val="single"/>
          <w:rtl/>
        </w:rPr>
        <w:t xml:space="preserve">. </w:t>
      </w:r>
      <w:r w:rsidRPr="00BD073D">
        <w:rPr>
          <w:rFonts w:hint="cs"/>
          <w:b/>
          <w:bCs/>
          <w:sz w:val="32"/>
          <w:szCs w:val="32"/>
          <w:u w:val="single"/>
          <w:rtl/>
        </w:rPr>
        <w:t xml:space="preserve">רותם </w:t>
      </w:r>
      <w:proofErr w:type="spellStart"/>
      <w:r w:rsidRPr="00BD073D">
        <w:rPr>
          <w:rFonts w:hint="cs"/>
          <w:b/>
          <w:bCs/>
          <w:sz w:val="32"/>
          <w:szCs w:val="32"/>
          <w:u w:val="single"/>
          <w:rtl/>
        </w:rPr>
        <w:t>אמפרט</w:t>
      </w:r>
      <w:proofErr w:type="spellEnd"/>
      <w:r w:rsidRPr="00BD073D">
        <w:rPr>
          <w:rFonts w:hint="cs"/>
          <w:b/>
          <w:bCs/>
          <w:sz w:val="32"/>
          <w:szCs w:val="32"/>
          <w:u w:val="single"/>
          <w:rtl/>
        </w:rPr>
        <w:t xml:space="preserve"> נגב בע"מ</w:t>
      </w:r>
    </w:p>
    <w:p w14:paraId="2BCE1936" w14:textId="77777777" w:rsidR="00BD073D" w:rsidRPr="00BD073D" w:rsidRDefault="00BD073D" w:rsidP="00BD073D">
      <w:pPr>
        <w:pStyle w:val="Ruller41"/>
        <w:spacing w:line="240" w:lineRule="auto"/>
        <w:jc w:val="center"/>
        <w:rPr>
          <w:b/>
          <w:bCs/>
          <w:u w:val="single"/>
          <w:rtl/>
        </w:rPr>
      </w:pPr>
    </w:p>
    <w:p w14:paraId="16EDDD14" w14:textId="33555AE7" w:rsidR="00BD073D" w:rsidRDefault="002525AD" w:rsidP="00BB0FBF">
      <w:pPr>
        <w:pStyle w:val="Ruller41"/>
        <w:jc w:val="left"/>
        <w:rPr>
          <w:rtl/>
        </w:rPr>
      </w:pPr>
      <w:r w:rsidRPr="00BD073D">
        <w:rPr>
          <w:rFonts w:hint="eastAsia"/>
          <w:b/>
          <w:bCs/>
          <w:u w:val="single"/>
          <w:rtl/>
        </w:rPr>
        <w:t>תאריך</w:t>
      </w:r>
      <w:r w:rsidRPr="00BD073D">
        <w:rPr>
          <w:b/>
          <w:bCs/>
          <w:u w:val="single"/>
          <w:rtl/>
        </w:rPr>
        <w:t xml:space="preserve"> </w:t>
      </w:r>
      <w:r w:rsidRPr="00BD073D">
        <w:rPr>
          <w:rFonts w:hint="eastAsia"/>
          <w:b/>
          <w:bCs/>
          <w:u w:val="single"/>
          <w:rtl/>
        </w:rPr>
        <w:t>מתן</w:t>
      </w:r>
      <w:r w:rsidRPr="00BD073D">
        <w:rPr>
          <w:b/>
          <w:bCs/>
          <w:u w:val="single"/>
          <w:rtl/>
        </w:rPr>
        <w:t xml:space="preserve"> </w:t>
      </w:r>
      <w:r w:rsidRPr="00BD073D">
        <w:rPr>
          <w:rFonts w:hint="eastAsia"/>
          <w:b/>
          <w:bCs/>
          <w:u w:val="single"/>
          <w:rtl/>
        </w:rPr>
        <w:t>פסק</w:t>
      </w:r>
      <w:r w:rsidRPr="00BD073D">
        <w:rPr>
          <w:b/>
          <w:bCs/>
          <w:u w:val="single"/>
          <w:rtl/>
        </w:rPr>
        <w:t xml:space="preserve"> </w:t>
      </w:r>
      <w:r w:rsidRPr="00BD073D">
        <w:rPr>
          <w:rFonts w:hint="eastAsia"/>
          <w:b/>
          <w:bCs/>
          <w:u w:val="single"/>
          <w:rtl/>
        </w:rPr>
        <w:t>הדין</w:t>
      </w:r>
      <w:r>
        <w:rPr>
          <w:rtl/>
        </w:rPr>
        <w:t xml:space="preserve">: </w:t>
      </w:r>
      <w:r>
        <w:rPr>
          <w:rFonts w:hint="eastAsia"/>
          <w:rtl/>
        </w:rPr>
        <w:t>כ</w:t>
      </w:r>
      <w:r>
        <w:rPr>
          <w:rtl/>
        </w:rPr>
        <w:t>"</w:t>
      </w:r>
      <w:r>
        <w:rPr>
          <w:rFonts w:hint="eastAsia"/>
          <w:rtl/>
        </w:rPr>
        <w:t>ז</w:t>
      </w:r>
      <w:r>
        <w:rPr>
          <w:rtl/>
        </w:rPr>
        <w:t xml:space="preserve"> </w:t>
      </w:r>
      <w:r>
        <w:rPr>
          <w:rFonts w:hint="cs"/>
          <w:rtl/>
        </w:rPr>
        <w:t>בתשרי</w:t>
      </w:r>
      <w:r>
        <w:rPr>
          <w:rtl/>
        </w:rPr>
        <w:t xml:space="preserve"> </w:t>
      </w:r>
      <w:proofErr w:type="spellStart"/>
      <w:r>
        <w:rPr>
          <w:rFonts w:hint="eastAsia"/>
          <w:rtl/>
        </w:rPr>
        <w:t>התשפ</w:t>
      </w:r>
      <w:r>
        <w:rPr>
          <w:rtl/>
        </w:rPr>
        <w:t>"</w:t>
      </w:r>
      <w:r>
        <w:rPr>
          <w:rFonts w:hint="cs"/>
          <w:rtl/>
        </w:rPr>
        <w:t>ד</w:t>
      </w:r>
      <w:proofErr w:type="spellEnd"/>
      <w:r>
        <w:rPr>
          <w:rtl/>
        </w:rPr>
        <w:t xml:space="preserve"> (</w:t>
      </w:r>
      <w:r>
        <w:rPr>
          <w:rFonts w:hint="cs"/>
          <w:rtl/>
        </w:rPr>
        <w:t>12.10.2023</w:t>
      </w:r>
      <w:r>
        <w:rPr>
          <w:rtl/>
        </w:rPr>
        <w:t>)</w:t>
      </w:r>
    </w:p>
    <w:p w14:paraId="5F8BE956" w14:textId="77777777" w:rsidR="00BD073D" w:rsidRDefault="00BD073D" w:rsidP="00BB0FBF">
      <w:pPr>
        <w:pStyle w:val="Ruller41"/>
        <w:spacing w:line="240" w:lineRule="auto"/>
        <w:jc w:val="left"/>
        <w:rPr>
          <w:b/>
          <w:bCs/>
          <w:u w:val="single"/>
          <w:rtl/>
        </w:rPr>
      </w:pPr>
    </w:p>
    <w:p w14:paraId="3E470CAD" w14:textId="2012415E" w:rsidR="00BD073D" w:rsidRDefault="002525AD" w:rsidP="00BB0FBF">
      <w:pPr>
        <w:pStyle w:val="Ruller41"/>
        <w:jc w:val="left"/>
        <w:rPr>
          <w:rtl/>
        </w:rPr>
      </w:pPr>
      <w:r w:rsidRPr="00BD073D">
        <w:rPr>
          <w:rFonts w:hint="eastAsia"/>
          <w:b/>
          <w:bCs/>
          <w:u w:val="single"/>
          <w:rtl/>
        </w:rPr>
        <w:t>שופטי</w:t>
      </w:r>
      <w:r w:rsidRPr="00BD073D">
        <w:rPr>
          <w:b/>
          <w:bCs/>
          <w:u w:val="single"/>
          <w:rtl/>
        </w:rPr>
        <w:t xml:space="preserve"> </w:t>
      </w:r>
      <w:r w:rsidRPr="00BD073D">
        <w:rPr>
          <w:rFonts w:hint="eastAsia"/>
          <w:b/>
          <w:bCs/>
          <w:u w:val="single"/>
          <w:rtl/>
        </w:rPr>
        <w:t>ההרכב</w:t>
      </w:r>
      <w:r>
        <w:rPr>
          <w:rtl/>
        </w:rPr>
        <w:t xml:space="preserve">: </w:t>
      </w:r>
      <w:r>
        <w:rPr>
          <w:rFonts w:hint="eastAsia"/>
          <w:rtl/>
        </w:rPr>
        <w:t>השופטת</w:t>
      </w:r>
      <w:r>
        <w:rPr>
          <w:rtl/>
        </w:rPr>
        <w:t xml:space="preserve"> </w:t>
      </w:r>
      <w:r>
        <w:rPr>
          <w:rFonts w:hint="eastAsia"/>
          <w:rtl/>
        </w:rPr>
        <w:t>ע</w:t>
      </w:r>
      <w:r w:rsidR="00BB0FBF">
        <w:rPr>
          <w:rFonts w:hint="cs"/>
          <w:rtl/>
        </w:rPr>
        <w:t>נת</w:t>
      </w:r>
      <w:r>
        <w:rPr>
          <w:rtl/>
        </w:rPr>
        <w:t xml:space="preserve"> </w:t>
      </w:r>
      <w:r>
        <w:rPr>
          <w:rFonts w:hint="eastAsia"/>
          <w:rtl/>
        </w:rPr>
        <w:t>ברון</w:t>
      </w:r>
      <w:r>
        <w:rPr>
          <w:rFonts w:hint="cs"/>
          <w:rtl/>
        </w:rPr>
        <w:t xml:space="preserve">, השופט עופר </w:t>
      </w:r>
      <w:proofErr w:type="spellStart"/>
      <w:r>
        <w:rPr>
          <w:rFonts w:hint="cs"/>
          <w:rtl/>
        </w:rPr>
        <w:t>גרוסקופף</w:t>
      </w:r>
      <w:proofErr w:type="spellEnd"/>
      <w:r>
        <w:rPr>
          <w:rFonts w:hint="cs"/>
          <w:rtl/>
        </w:rPr>
        <w:t xml:space="preserve"> </w:t>
      </w:r>
      <w:r>
        <w:rPr>
          <w:rFonts w:hint="eastAsia"/>
          <w:rtl/>
        </w:rPr>
        <w:t>והשופט</w:t>
      </w:r>
      <w:r>
        <w:rPr>
          <w:rFonts w:hint="cs"/>
          <w:rtl/>
        </w:rPr>
        <w:t>ת רות רונן</w:t>
      </w:r>
      <w:r>
        <w:rPr>
          <w:rtl/>
        </w:rPr>
        <w:t>.</w:t>
      </w:r>
    </w:p>
    <w:p w14:paraId="713D472C" w14:textId="77777777" w:rsidR="00BD073D" w:rsidRDefault="00BD073D" w:rsidP="00BB0FBF">
      <w:pPr>
        <w:pStyle w:val="Ruller41"/>
        <w:spacing w:line="240" w:lineRule="auto"/>
        <w:jc w:val="left"/>
        <w:rPr>
          <w:rtl/>
        </w:rPr>
      </w:pPr>
    </w:p>
    <w:p w14:paraId="5EB315B8" w14:textId="4DC23C7B" w:rsidR="001C3A72" w:rsidRPr="00DB03AA" w:rsidRDefault="002525AD" w:rsidP="00EC5809">
      <w:pPr>
        <w:pStyle w:val="Ruller41"/>
        <w:rPr>
          <w:b/>
          <w:bCs/>
          <w:rtl/>
        </w:rPr>
      </w:pPr>
      <w:r>
        <w:rPr>
          <w:rtl/>
        </w:rPr>
        <w:tab/>
      </w:r>
      <w:r w:rsidR="00306A29">
        <w:rPr>
          <w:rFonts w:hint="cs"/>
          <w:b/>
          <w:bCs/>
          <w:rtl/>
        </w:rPr>
        <w:t xml:space="preserve">עניינו של פסק הדין </w:t>
      </w:r>
      <w:r w:rsidRPr="00DB03AA">
        <w:rPr>
          <w:rFonts w:hint="cs"/>
          <w:b/>
          <w:bCs/>
          <w:rtl/>
        </w:rPr>
        <w:t>בסוגיות עקרוניות</w:t>
      </w:r>
      <w:r w:rsidR="00BD073D" w:rsidRPr="00DB03AA">
        <w:rPr>
          <w:b/>
          <w:bCs/>
          <w:rtl/>
        </w:rPr>
        <w:t xml:space="preserve"> </w:t>
      </w:r>
      <w:r w:rsidRPr="00DB03AA">
        <w:rPr>
          <w:rFonts w:hint="cs"/>
          <w:b/>
          <w:bCs/>
          <w:rtl/>
        </w:rPr>
        <w:t xml:space="preserve">המתעוררות בהקשר של אחריות גורם מזהם לנזק סביבתי, ולזיהום מים בפרט. </w:t>
      </w:r>
      <w:r>
        <w:rPr>
          <w:rFonts w:hint="cs"/>
          <w:b/>
          <w:bCs/>
          <w:rtl/>
        </w:rPr>
        <w:t>הסוג</w:t>
      </w:r>
      <w:r w:rsidR="00306A29">
        <w:rPr>
          <w:rFonts w:hint="cs"/>
          <w:b/>
          <w:bCs/>
          <w:rtl/>
        </w:rPr>
        <w:t>י</w:t>
      </w:r>
      <w:r>
        <w:rPr>
          <w:rFonts w:hint="cs"/>
          <w:b/>
          <w:bCs/>
          <w:rtl/>
        </w:rPr>
        <w:t xml:space="preserve">ה </w:t>
      </w:r>
      <w:r w:rsidRPr="00DB03AA">
        <w:rPr>
          <w:rFonts w:hint="cs"/>
          <w:b/>
          <w:bCs/>
          <w:rtl/>
        </w:rPr>
        <w:t xml:space="preserve">המרכזית </w:t>
      </w:r>
      <w:r>
        <w:rPr>
          <w:rFonts w:hint="cs"/>
          <w:b/>
          <w:bCs/>
          <w:rtl/>
        </w:rPr>
        <w:t xml:space="preserve">שנדונה היא </w:t>
      </w:r>
      <w:r w:rsidRPr="00DB03AA">
        <w:rPr>
          <w:rFonts w:hint="cs"/>
          <w:b/>
          <w:bCs/>
          <w:shd w:val="clear" w:color="auto" w:fill="FFFFFF"/>
          <w:rtl/>
        </w:rPr>
        <w:t>שאלת ההתיישנות של עוולות נזיקיות הנטענות בקשר עם זיהום סביבתי</w:t>
      </w:r>
      <w:r w:rsidR="00F60FF4" w:rsidRPr="00DB03AA">
        <w:rPr>
          <w:rFonts w:hint="cs"/>
          <w:b/>
          <w:bCs/>
          <w:shd w:val="clear" w:color="auto" w:fill="FFFFFF"/>
          <w:rtl/>
        </w:rPr>
        <w:t>,</w:t>
      </w:r>
      <w:r w:rsidRPr="00DB03AA">
        <w:rPr>
          <w:rFonts w:hint="cs"/>
          <w:b/>
          <w:bCs/>
          <w:shd w:val="clear" w:color="auto" w:fill="FFFFFF"/>
          <w:rtl/>
        </w:rPr>
        <w:t xml:space="preserve"> היוצר נזקים המתאפיינים ב"תקופת חביון" ממושכת ו</w:t>
      </w:r>
      <w:r>
        <w:rPr>
          <w:rFonts w:hint="cs"/>
          <w:b/>
          <w:bCs/>
          <w:shd w:val="clear" w:color="auto" w:fill="FFFFFF"/>
          <w:rtl/>
        </w:rPr>
        <w:t>ב</w:t>
      </w:r>
      <w:r w:rsidRPr="00DB03AA">
        <w:rPr>
          <w:rFonts w:hint="cs"/>
          <w:b/>
          <w:bCs/>
          <w:shd w:val="clear" w:color="auto" w:fill="FFFFFF"/>
          <w:rtl/>
        </w:rPr>
        <w:t>גילוי מאוחר</w:t>
      </w:r>
      <w:r w:rsidR="00F60FF4" w:rsidRPr="00DB03AA">
        <w:rPr>
          <w:rFonts w:hint="cs"/>
          <w:b/>
          <w:bCs/>
          <w:shd w:val="clear" w:color="auto" w:fill="FFFFFF"/>
          <w:rtl/>
        </w:rPr>
        <w:t xml:space="preserve"> של הנזק</w:t>
      </w:r>
      <w:r w:rsidRPr="00DB03AA">
        <w:rPr>
          <w:rFonts w:hint="cs"/>
          <w:b/>
          <w:bCs/>
          <w:shd w:val="clear" w:color="auto" w:fill="FFFFFF"/>
          <w:rtl/>
        </w:rPr>
        <w:t>.</w:t>
      </w:r>
      <w:r w:rsidR="00F60FF4" w:rsidRPr="00DB03AA">
        <w:rPr>
          <w:rFonts w:hint="cs"/>
          <w:b/>
          <w:bCs/>
          <w:shd w:val="clear" w:color="auto" w:fill="FFFFFF"/>
          <w:rtl/>
        </w:rPr>
        <w:t xml:space="preserve"> </w:t>
      </w:r>
      <w:r w:rsidR="00306A29">
        <w:rPr>
          <w:rFonts w:hint="cs"/>
          <w:b/>
          <w:bCs/>
          <w:shd w:val="clear" w:color="auto" w:fill="FFFFFF"/>
          <w:rtl/>
        </w:rPr>
        <w:t xml:space="preserve">בית המשפט העליון (מפי </w:t>
      </w:r>
      <w:r w:rsidR="00F60FF4" w:rsidRPr="00DB03AA">
        <w:rPr>
          <w:rFonts w:hint="cs"/>
          <w:b/>
          <w:bCs/>
          <w:shd w:val="clear" w:color="auto" w:fill="FFFFFF"/>
          <w:rtl/>
        </w:rPr>
        <w:t xml:space="preserve">השופטת </w:t>
      </w:r>
      <w:r w:rsidR="00F60FF4" w:rsidRPr="002B7497">
        <w:rPr>
          <w:rFonts w:ascii="Century" w:hAnsi="Century" w:cs="Miriam" w:hint="cs"/>
          <w:bCs/>
          <w:spacing w:val="0"/>
          <w:szCs w:val="24"/>
          <w:rtl/>
        </w:rPr>
        <w:t>ענת ברון</w:t>
      </w:r>
      <w:r w:rsidR="00F60FF4" w:rsidRPr="00DB03AA">
        <w:rPr>
          <w:rFonts w:hint="cs"/>
          <w:b/>
          <w:bCs/>
          <w:shd w:val="clear" w:color="auto" w:fill="FFFFFF"/>
          <w:rtl/>
        </w:rPr>
        <w:t xml:space="preserve">, בהסכמת </w:t>
      </w:r>
      <w:r w:rsidR="00F60FF4" w:rsidRPr="002B7497">
        <w:rPr>
          <w:rFonts w:hint="cs"/>
          <w:b/>
          <w:bCs/>
          <w:rtl/>
        </w:rPr>
        <w:t>ה</w:t>
      </w:r>
      <w:r w:rsidR="00F60FF4" w:rsidRPr="00306A29">
        <w:rPr>
          <w:rFonts w:hint="cs"/>
          <w:b/>
          <w:bCs/>
          <w:shd w:val="clear" w:color="auto" w:fill="FFFFFF"/>
          <w:rtl/>
        </w:rPr>
        <w:t>ש</w:t>
      </w:r>
      <w:r w:rsidR="00F60FF4" w:rsidRPr="002B7497">
        <w:rPr>
          <w:rFonts w:hint="cs"/>
          <w:b/>
          <w:bCs/>
          <w:shd w:val="clear" w:color="auto" w:fill="FFFFFF"/>
          <w:rtl/>
        </w:rPr>
        <w:t>ופט</w:t>
      </w:r>
      <w:r w:rsidR="00F60FF4" w:rsidRPr="00306A29">
        <w:rPr>
          <w:rFonts w:ascii="Century" w:hAnsi="Century" w:cs="Miriam" w:hint="cs"/>
          <w:b/>
          <w:spacing w:val="0"/>
          <w:szCs w:val="24"/>
          <w:rtl/>
        </w:rPr>
        <w:t xml:space="preserve"> </w:t>
      </w:r>
      <w:r w:rsidR="00F60FF4" w:rsidRPr="00E050EC">
        <w:rPr>
          <w:rFonts w:ascii="Century" w:hAnsi="Century" w:cs="Miriam" w:hint="cs"/>
          <w:bCs/>
          <w:spacing w:val="0"/>
          <w:szCs w:val="24"/>
          <w:rtl/>
        </w:rPr>
        <w:t xml:space="preserve">עופר </w:t>
      </w:r>
      <w:proofErr w:type="spellStart"/>
      <w:r w:rsidR="00F60FF4" w:rsidRPr="00E050EC">
        <w:rPr>
          <w:rFonts w:ascii="Century" w:hAnsi="Century" w:cs="Miriam" w:hint="cs"/>
          <w:bCs/>
          <w:spacing w:val="0"/>
          <w:szCs w:val="24"/>
          <w:rtl/>
        </w:rPr>
        <w:t>גרוסקופף</w:t>
      </w:r>
      <w:proofErr w:type="spellEnd"/>
      <w:r w:rsidR="00F60FF4" w:rsidRPr="00306A29">
        <w:rPr>
          <w:rFonts w:ascii="Century" w:hAnsi="Century" w:cs="Miriam" w:hint="cs"/>
          <w:b/>
          <w:spacing w:val="0"/>
          <w:szCs w:val="24"/>
          <w:rtl/>
        </w:rPr>
        <w:t xml:space="preserve"> </w:t>
      </w:r>
      <w:r w:rsidR="00F60FF4" w:rsidRPr="00E050EC">
        <w:rPr>
          <w:rFonts w:hint="cs"/>
          <w:b/>
          <w:bCs/>
          <w:shd w:val="clear" w:color="auto" w:fill="FFFFFF"/>
          <w:rtl/>
        </w:rPr>
        <w:t>והשופטת</w:t>
      </w:r>
      <w:r w:rsidR="00F60FF4" w:rsidRPr="00306A29">
        <w:rPr>
          <w:rFonts w:ascii="Century" w:hAnsi="Century" w:cs="Miriam" w:hint="cs"/>
          <w:b/>
          <w:spacing w:val="0"/>
          <w:szCs w:val="24"/>
          <w:rtl/>
        </w:rPr>
        <w:t xml:space="preserve"> </w:t>
      </w:r>
      <w:r w:rsidR="00F60FF4" w:rsidRPr="00E050EC">
        <w:rPr>
          <w:rFonts w:ascii="Century" w:hAnsi="Century" w:cs="Miriam" w:hint="cs"/>
          <w:bCs/>
          <w:spacing w:val="0"/>
          <w:szCs w:val="24"/>
          <w:rtl/>
        </w:rPr>
        <w:t>רות רונן</w:t>
      </w:r>
      <w:r w:rsidR="00306A29">
        <w:rPr>
          <w:rFonts w:hint="cs"/>
          <w:b/>
          <w:bCs/>
          <w:shd w:val="clear" w:color="auto" w:fill="FFFFFF"/>
          <w:rtl/>
        </w:rPr>
        <w:t>)</w:t>
      </w:r>
      <w:r w:rsidR="00F60FF4" w:rsidRPr="00DB03AA">
        <w:rPr>
          <w:rFonts w:hint="cs"/>
          <w:b/>
          <w:bCs/>
          <w:shd w:val="clear" w:color="auto" w:fill="FFFFFF"/>
          <w:rtl/>
        </w:rPr>
        <w:t xml:space="preserve"> קבע באופן תקדימי</w:t>
      </w:r>
      <w:r w:rsidRPr="00DB03AA">
        <w:rPr>
          <w:rFonts w:hint="cs"/>
          <w:b/>
          <w:bCs/>
          <w:shd w:val="clear" w:color="auto" w:fill="FFFFFF"/>
          <w:rtl/>
        </w:rPr>
        <w:t xml:space="preserve"> כי חלה חובה על גורם מזהם למנוע נזקי זיהום עתידיים, </w:t>
      </w:r>
      <w:r w:rsidR="00306A29">
        <w:rPr>
          <w:rFonts w:hint="cs"/>
          <w:b/>
          <w:bCs/>
          <w:shd w:val="clear" w:color="auto" w:fill="FFFFFF"/>
          <w:rtl/>
        </w:rPr>
        <w:t>ואף החובה</w:t>
      </w:r>
      <w:r w:rsidRPr="00DB03AA">
        <w:rPr>
          <w:rFonts w:hint="cs"/>
          <w:b/>
          <w:bCs/>
          <w:shd w:val="clear" w:color="auto" w:fill="FFFFFF"/>
          <w:rtl/>
        </w:rPr>
        <w:t xml:space="preserve"> לתקן את זיהום המים שנגרם על ידו; וכי הפרת חובות אלה בדרך של מחדל מהווה ככלל עוולה נמשכת.</w:t>
      </w:r>
      <w:r w:rsidRPr="00DB03AA">
        <w:rPr>
          <w:rFonts w:hint="cs"/>
          <w:b/>
          <w:bCs/>
          <w:rtl/>
        </w:rPr>
        <w:t xml:space="preserve"> </w:t>
      </w:r>
    </w:p>
    <w:p w14:paraId="5063925B" w14:textId="77777777" w:rsidR="00E44C15" w:rsidRDefault="00E44C15" w:rsidP="004A5A29">
      <w:pPr>
        <w:pStyle w:val="Ruller41"/>
        <w:spacing w:line="240" w:lineRule="auto"/>
        <w:rPr>
          <w:rtl/>
        </w:rPr>
      </w:pPr>
    </w:p>
    <w:p w14:paraId="0752C375" w14:textId="7B19C47A" w:rsidR="00E44C15" w:rsidRDefault="002525AD" w:rsidP="00E44C15">
      <w:pPr>
        <w:pStyle w:val="Ruller41"/>
        <w:rPr>
          <w:rtl/>
        </w:rPr>
      </w:pPr>
      <w:r>
        <w:rPr>
          <w:rtl/>
        </w:rPr>
        <w:tab/>
      </w:r>
      <w:r>
        <w:rPr>
          <w:rFonts w:hint="cs"/>
          <w:rtl/>
        </w:rPr>
        <w:t>הערעור נסב על</w:t>
      </w:r>
      <w:r w:rsidR="0087757C">
        <w:rPr>
          <w:rFonts w:hint="cs"/>
          <w:rtl/>
        </w:rPr>
        <w:t xml:space="preserve"> פסק דינו של בית המשפט המחוזי בבאר שבע, ש</w:t>
      </w:r>
      <w:r w:rsidR="00F66BB1">
        <w:rPr>
          <w:rFonts w:hint="cs"/>
          <w:rtl/>
        </w:rPr>
        <w:t>בו נדחתה</w:t>
      </w:r>
      <w:r w:rsidR="0087757C">
        <w:rPr>
          <w:rFonts w:hint="cs"/>
          <w:rtl/>
        </w:rPr>
        <w:t xml:space="preserve"> בקשה לאישור תובענה ייצוגית </w:t>
      </w:r>
      <w:r w:rsidR="005320C4">
        <w:rPr>
          <w:rFonts w:hint="cs"/>
          <w:rtl/>
        </w:rPr>
        <w:t xml:space="preserve">שעניינה בזיהום סביבתי </w:t>
      </w:r>
      <w:r w:rsidR="005215C7">
        <w:rPr>
          <w:rFonts w:hint="cs"/>
          <w:rtl/>
        </w:rPr>
        <w:t>מהחמורים שאירעו במדינת ישראל</w:t>
      </w:r>
      <w:r w:rsidR="005320C4">
        <w:rPr>
          <w:rFonts w:hint="cs"/>
          <w:rtl/>
        </w:rPr>
        <w:t xml:space="preserve">. בקשת האישור הוגשה </w:t>
      </w:r>
      <w:r w:rsidR="0087757C">
        <w:rPr>
          <w:rFonts w:hint="cs"/>
          <w:rtl/>
        </w:rPr>
        <w:t>נגד</w:t>
      </w:r>
      <w:r w:rsidR="005320C4">
        <w:rPr>
          <w:rFonts w:hint="cs"/>
          <w:rtl/>
        </w:rPr>
        <w:t xml:space="preserve"> המשיבות</w:t>
      </w:r>
      <w:r w:rsidR="00915FEE">
        <w:rPr>
          <w:rFonts w:hint="cs"/>
          <w:rtl/>
        </w:rPr>
        <w:t>,</w:t>
      </w:r>
      <w:r w:rsidR="0087757C">
        <w:rPr>
          <w:rFonts w:hint="cs"/>
          <w:rtl/>
        </w:rPr>
        <w:t xml:space="preserve"> </w:t>
      </w:r>
      <w:r w:rsidR="00FF344F">
        <w:rPr>
          <w:rFonts w:hint="cs"/>
          <w:rtl/>
        </w:rPr>
        <w:t xml:space="preserve">שתי חברות </w:t>
      </w:r>
      <w:r w:rsidR="00915FEE">
        <w:rPr>
          <w:rFonts w:hint="cs"/>
          <w:rtl/>
        </w:rPr>
        <w:t xml:space="preserve">בנות של חברת כימיקלים </w:t>
      </w:r>
      <w:r w:rsidR="004E3142">
        <w:rPr>
          <w:rFonts w:hint="cs"/>
          <w:rtl/>
        </w:rPr>
        <w:t xml:space="preserve">לישראל בע"מ, </w:t>
      </w:r>
      <w:r w:rsidR="00FF344F">
        <w:rPr>
          <w:rFonts w:hint="cs"/>
          <w:rtl/>
        </w:rPr>
        <w:t>ש</w:t>
      </w:r>
      <w:r w:rsidR="00F66BB1">
        <w:rPr>
          <w:rFonts w:hint="cs"/>
          <w:rtl/>
        </w:rPr>
        <w:t>בבעלותן</w:t>
      </w:r>
      <w:r w:rsidR="00FF344F">
        <w:rPr>
          <w:rFonts w:hint="cs"/>
          <w:rtl/>
        </w:rPr>
        <w:t xml:space="preserve"> מפעלים באזור התעשייה מישור רותם שבנגב</w:t>
      </w:r>
      <w:r w:rsidR="00CE14E1">
        <w:rPr>
          <w:rFonts w:hint="cs"/>
          <w:rtl/>
        </w:rPr>
        <w:t>.</w:t>
      </w:r>
      <w:r w:rsidR="0087757C">
        <w:rPr>
          <w:rFonts w:hint="cs"/>
          <w:rtl/>
        </w:rPr>
        <w:t xml:space="preserve"> </w:t>
      </w:r>
      <w:r>
        <w:rPr>
          <w:rFonts w:hint="cs"/>
          <w:rtl/>
        </w:rPr>
        <w:t xml:space="preserve">בקשת האישור מבוססת על העובדה שאין עליה חולק, כי </w:t>
      </w:r>
      <w:r w:rsidR="00A108FF">
        <w:rPr>
          <w:rFonts w:hint="cs"/>
          <w:rtl/>
        </w:rPr>
        <w:t>החל מסוף שנות ה-60 של המאה הקודמת ולכל המאוחר עד לשנת 2000,</w:t>
      </w:r>
      <w:r w:rsidR="00EA44EE">
        <w:rPr>
          <w:rFonts w:hint="cs"/>
          <w:rtl/>
        </w:rPr>
        <w:t xml:space="preserve"> </w:t>
      </w:r>
      <w:r w:rsidR="00ED46A8">
        <w:rPr>
          <w:rFonts w:hint="cs"/>
          <w:rtl/>
        </w:rPr>
        <w:t>שפכים תעשייתיים דלפו מ</w:t>
      </w:r>
      <w:r w:rsidR="00EA44EE">
        <w:rPr>
          <w:rFonts w:hint="cs"/>
          <w:rtl/>
        </w:rPr>
        <w:t xml:space="preserve">בריכות אגירה </w:t>
      </w:r>
      <w:r w:rsidR="001804BE">
        <w:rPr>
          <w:rFonts w:hint="cs"/>
          <w:rtl/>
        </w:rPr>
        <w:t xml:space="preserve">ואידוי </w:t>
      </w:r>
      <w:r w:rsidR="00EA44EE">
        <w:rPr>
          <w:rFonts w:hint="cs"/>
          <w:rtl/>
        </w:rPr>
        <w:t>ב</w:t>
      </w:r>
      <w:r w:rsidR="00ED46A8">
        <w:rPr>
          <w:rFonts w:hint="cs"/>
          <w:rtl/>
        </w:rPr>
        <w:t xml:space="preserve">מפעלי המשיבות וחלחלו אל מי התהום </w:t>
      </w:r>
      <w:r w:rsidR="00EA44EE">
        <w:rPr>
          <w:rFonts w:hint="cs"/>
          <w:rtl/>
        </w:rPr>
        <w:t xml:space="preserve">שבתת-הקרקע. </w:t>
      </w:r>
    </w:p>
    <w:p w14:paraId="4B183F61" w14:textId="77777777" w:rsidR="00E44C15" w:rsidRDefault="00E44C15" w:rsidP="004A5A29">
      <w:pPr>
        <w:pStyle w:val="Ruller41"/>
        <w:spacing w:line="240" w:lineRule="auto"/>
        <w:rPr>
          <w:rtl/>
        </w:rPr>
      </w:pPr>
    </w:p>
    <w:p w14:paraId="3B334679" w14:textId="5DEB912A" w:rsidR="002076CE" w:rsidRDefault="002525AD" w:rsidP="00EC5809">
      <w:pPr>
        <w:pStyle w:val="Ruller41"/>
        <w:rPr>
          <w:rtl/>
        </w:rPr>
      </w:pPr>
      <w:r>
        <w:rPr>
          <w:rtl/>
        </w:rPr>
        <w:tab/>
      </w:r>
      <w:r w:rsidR="00EA44EE">
        <w:rPr>
          <w:rFonts w:hint="cs"/>
          <w:rtl/>
        </w:rPr>
        <w:t>על פי הנטען</w:t>
      </w:r>
      <w:r>
        <w:rPr>
          <w:rFonts w:hint="cs"/>
          <w:rtl/>
        </w:rPr>
        <w:t xml:space="preserve"> בבקשת האישור</w:t>
      </w:r>
      <w:r w:rsidR="00EA44EE">
        <w:rPr>
          <w:rFonts w:hint="cs"/>
          <w:rtl/>
        </w:rPr>
        <w:t xml:space="preserve">, </w:t>
      </w:r>
      <w:r w:rsidR="00D83087">
        <w:rPr>
          <w:rFonts w:hint="cs"/>
          <w:rtl/>
        </w:rPr>
        <w:t>דליפת השפכים</w:t>
      </w:r>
      <w:r w:rsidR="00437CC1">
        <w:rPr>
          <w:rFonts w:hint="cs"/>
          <w:rtl/>
        </w:rPr>
        <w:t xml:space="preserve"> </w:t>
      </w:r>
      <w:r>
        <w:rPr>
          <w:rFonts w:hint="cs"/>
          <w:rtl/>
        </w:rPr>
        <w:t xml:space="preserve">גרמה </w:t>
      </w:r>
      <w:r w:rsidR="00D83087">
        <w:rPr>
          <w:rFonts w:hint="cs"/>
          <w:rtl/>
        </w:rPr>
        <w:t xml:space="preserve">לזיהום של מי תהום בהיקף </w:t>
      </w:r>
      <w:r w:rsidR="00A83C67">
        <w:rPr>
          <w:rFonts w:hint="cs"/>
          <w:rtl/>
        </w:rPr>
        <w:t xml:space="preserve">עצום </w:t>
      </w:r>
      <w:r w:rsidR="00D83087">
        <w:rPr>
          <w:rFonts w:hint="cs"/>
          <w:rtl/>
        </w:rPr>
        <w:t>של כ-350 מיליון קוב</w:t>
      </w:r>
      <w:r w:rsidR="00EA44EE">
        <w:rPr>
          <w:rFonts w:hint="cs"/>
          <w:rtl/>
        </w:rPr>
        <w:t xml:space="preserve"> </w:t>
      </w:r>
      <w:r w:rsidR="00EA44EE">
        <w:rPr>
          <w:rtl/>
        </w:rPr>
        <w:t>–</w:t>
      </w:r>
      <w:r w:rsidR="00EA44EE">
        <w:rPr>
          <w:rFonts w:hint="cs"/>
          <w:rtl/>
        </w:rPr>
        <w:t xml:space="preserve"> כמות השקולה לכמות המים העוברת במוביל הארצי במשך שנה שלמה.</w:t>
      </w:r>
      <w:r w:rsidR="00ED46A8">
        <w:rPr>
          <w:rFonts w:hint="cs"/>
          <w:rtl/>
        </w:rPr>
        <w:t xml:space="preserve"> </w:t>
      </w:r>
      <w:r w:rsidR="00437CC1">
        <w:rPr>
          <w:rFonts w:hint="cs"/>
          <w:rtl/>
        </w:rPr>
        <w:t xml:space="preserve">לדברי המערערים </w:t>
      </w:r>
      <w:r w:rsidR="0087757C">
        <w:rPr>
          <w:rFonts w:hint="cs"/>
          <w:rtl/>
        </w:rPr>
        <w:t xml:space="preserve">זיהום </w:t>
      </w:r>
      <w:r w:rsidR="00A83C67">
        <w:rPr>
          <w:rFonts w:hint="cs"/>
          <w:rtl/>
        </w:rPr>
        <w:t>מי התהום</w:t>
      </w:r>
      <w:r w:rsidR="00EA44EE">
        <w:rPr>
          <w:rFonts w:hint="cs"/>
          <w:rtl/>
        </w:rPr>
        <w:t xml:space="preserve"> </w:t>
      </w:r>
      <w:r w:rsidR="00A83C67">
        <w:rPr>
          <w:rFonts w:hint="cs"/>
          <w:rtl/>
        </w:rPr>
        <w:t xml:space="preserve">אף </w:t>
      </w:r>
      <w:r w:rsidR="00EA44EE">
        <w:rPr>
          <w:rFonts w:hint="cs"/>
          <w:rtl/>
        </w:rPr>
        <w:t xml:space="preserve">הסב </w:t>
      </w:r>
      <w:r w:rsidR="00CC3963">
        <w:rPr>
          <w:rFonts w:hint="cs"/>
          <w:rtl/>
        </w:rPr>
        <w:t xml:space="preserve">פגיעה חמורה </w:t>
      </w:r>
      <w:r w:rsidR="00EA44EE">
        <w:rPr>
          <w:rFonts w:hint="cs"/>
          <w:rtl/>
        </w:rPr>
        <w:t>ל</w:t>
      </w:r>
      <w:r w:rsidR="00CC3963">
        <w:rPr>
          <w:rFonts w:hint="cs"/>
          <w:rtl/>
        </w:rPr>
        <w:t>שמורת הטבע עין בוקק</w:t>
      </w:r>
      <w:r w:rsidR="00FA0309">
        <w:rPr>
          <w:rFonts w:hint="cs"/>
          <w:rtl/>
        </w:rPr>
        <w:t>,</w:t>
      </w:r>
      <w:r w:rsidR="00622AAB">
        <w:rPr>
          <w:rFonts w:hint="cs"/>
          <w:rtl/>
        </w:rPr>
        <w:t xml:space="preserve"> שהיא אוצר טבע יחיד במינו</w:t>
      </w:r>
      <w:r w:rsidR="00EA44EE">
        <w:rPr>
          <w:rFonts w:hint="cs"/>
          <w:rtl/>
        </w:rPr>
        <w:t>,</w:t>
      </w:r>
      <w:r w:rsidR="00CC3963">
        <w:rPr>
          <w:rFonts w:hint="cs"/>
          <w:rtl/>
        </w:rPr>
        <w:t xml:space="preserve"> </w:t>
      </w:r>
      <w:r w:rsidR="00A83C67">
        <w:rPr>
          <w:rFonts w:hint="cs"/>
          <w:rtl/>
        </w:rPr>
        <w:t>ו</w:t>
      </w:r>
      <w:r w:rsidR="00EA44EE">
        <w:rPr>
          <w:rFonts w:hint="cs"/>
          <w:rtl/>
        </w:rPr>
        <w:t xml:space="preserve">קיים </w:t>
      </w:r>
      <w:r w:rsidR="00CC3963">
        <w:rPr>
          <w:rFonts w:hint="cs"/>
          <w:rtl/>
        </w:rPr>
        <w:t xml:space="preserve">חשש </w:t>
      </w:r>
      <w:r w:rsidR="00FA0309">
        <w:rPr>
          <w:rFonts w:hint="cs"/>
          <w:rtl/>
        </w:rPr>
        <w:t>לנזק בריאותי</w:t>
      </w:r>
      <w:r w:rsidR="00CC3963" w:rsidRPr="00A57F2E">
        <w:rPr>
          <w:rFonts w:hint="cs"/>
          <w:rtl/>
        </w:rPr>
        <w:t xml:space="preserve"> למבקרים הרוחצים במי הנחל שבשמורה</w:t>
      </w:r>
      <w:r w:rsidR="00CC3963">
        <w:rPr>
          <w:rFonts w:hint="cs"/>
          <w:rtl/>
        </w:rPr>
        <w:t>.</w:t>
      </w:r>
      <w:r w:rsidR="0087757C">
        <w:rPr>
          <w:rFonts w:hint="cs"/>
          <w:rtl/>
        </w:rPr>
        <w:t xml:space="preserve"> </w:t>
      </w:r>
      <w:r w:rsidR="00A83C67">
        <w:rPr>
          <w:rFonts w:hint="cs"/>
          <w:rtl/>
        </w:rPr>
        <w:t>זאת ועוד.</w:t>
      </w:r>
      <w:r w:rsidR="00622AAB">
        <w:rPr>
          <w:rFonts w:hint="cs"/>
          <w:rtl/>
        </w:rPr>
        <w:t xml:space="preserve"> </w:t>
      </w:r>
      <w:r w:rsidR="004A5A29">
        <w:rPr>
          <w:rFonts w:hint="cs"/>
          <w:rtl/>
        </w:rPr>
        <w:t xml:space="preserve">נטען כי </w:t>
      </w:r>
      <w:r w:rsidR="00622AAB">
        <w:rPr>
          <w:rFonts w:hint="cs"/>
          <w:rtl/>
        </w:rPr>
        <w:t xml:space="preserve">אף על פי שהדליפה </w:t>
      </w:r>
      <w:r w:rsidR="00FA0309">
        <w:rPr>
          <w:rFonts w:hint="cs"/>
          <w:rtl/>
        </w:rPr>
        <w:t>פסקה</w:t>
      </w:r>
      <w:r w:rsidR="00A83C67">
        <w:rPr>
          <w:rFonts w:hint="cs"/>
          <w:rtl/>
        </w:rPr>
        <w:t xml:space="preserve"> זה מכבר,</w:t>
      </w:r>
      <w:r w:rsidR="00622AAB">
        <w:rPr>
          <w:rFonts w:hint="cs"/>
          <w:rtl/>
        </w:rPr>
        <w:t xml:space="preserve"> </w:t>
      </w:r>
      <w:r w:rsidR="00CA46B3">
        <w:rPr>
          <w:rFonts w:hint="cs"/>
          <w:rtl/>
        </w:rPr>
        <w:t xml:space="preserve">חלחול </w:t>
      </w:r>
      <w:r w:rsidR="00622AAB">
        <w:rPr>
          <w:rFonts w:hint="cs"/>
          <w:rtl/>
        </w:rPr>
        <w:t>השפכים</w:t>
      </w:r>
      <w:r w:rsidR="00CA46B3">
        <w:rPr>
          <w:rFonts w:hint="cs"/>
          <w:rtl/>
        </w:rPr>
        <w:t xml:space="preserve"> אל תת הקרקע טרם פסק</w:t>
      </w:r>
      <w:r w:rsidR="00CA46B3" w:rsidRPr="00C6383C">
        <w:rPr>
          <w:rFonts w:hint="cs"/>
          <w:rtl/>
        </w:rPr>
        <w:t xml:space="preserve"> </w:t>
      </w:r>
      <w:r w:rsidR="00CA46B3">
        <w:rPr>
          <w:rFonts w:hint="cs"/>
          <w:rtl/>
        </w:rPr>
        <w:t xml:space="preserve">ועדיין </w:t>
      </w:r>
      <w:r w:rsidR="00CA46B3" w:rsidRPr="00C6383C">
        <w:rPr>
          <w:rFonts w:hint="cs"/>
          <w:rtl/>
        </w:rPr>
        <w:t xml:space="preserve">גורם </w:t>
      </w:r>
      <w:r w:rsidR="00CA46B3">
        <w:rPr>
          <w:rFonts w:hint="cs"/>
          <w:rtl/>
        </w:rPr>
        <w:t xml:space="preserve">להרס סביבתי </w:t>
      </w:r>
      <w:r w:rsidR="00622AAB">
        <w:rPr>
          <w:rFonts w:hint="cs"/>
          <w:rtl/>
        </w:rPr>
        <w:t>חמור</w:t>
      </w:r>
      <w:r w:rsidR="00163FC8">
        <w:rPr>
          <w:rFonts w:hint="cs"/>
          <w:rtl/>
        </w:rPr>
        <w:t>;</w:t>
      </w:r>
      <w:r w:rsidR="00CA46B3">
        <w:rPr>
          <w:rFonts w:hint="cs"/>
          <w:rtl/>
        </w:rPr>
        <w:t xml:space="preserve"> ו</w:t>
      </w:r>
      <w:r w:rsidR="00163FC8">
        <w:rPr>
          <w:rFonts w:hint="cs"/>
          <w:rtl/>
        </w:rPr>
        <w:t xml:space="preserve">כי </w:t>
      </w:r>
      <w:r w:rsidR="00CA46B3">
        <w:rPr>
          <w:rFonts w:hint="cs"/>
          <w:rtl/>
        </w:rPr>
        <w:t>יש לנקוט צעדים מידיים להפסקתו</w:t>
      </w:r>
      <w:r w:rsidR="00163FC8">
        <w:rPr>
          <w:rFonts w:hint="cs"/>
          <w:rtl/>
        </w:rPr>
        <w:t>,</w:t>
      </w:r>
      <w:r>
        <w:rPr>
          <w:rFonts w:hint="cs"/>
          <w:rtl/>
        </w:rPr>
        <w:t xml:space="preserve"> שא</w:t>
      </w:r>
      <w:r w:rsidR="00163FC8">
        <w:rPr>
          <w:rFonts w:hint="cs"/>
          <w:rtl/>
        </w:rPr>
        <w:t>ם לא כן</w:t>
      </w:r>
      <w:r>
        <w:rPr>
          <w:rFonts w:hint="cs"/>
          <w:rtl/>
        </w:rPr>
        <w:t xml:space="preserve"> ייגרם לשמורה נזק בלתי הפיך שאינו ניתן לתיקון</w:t>
      </w:r>
      <w:r w:rsidR="00CA46B3">
        <w:rPr>
          <w:rFonts w:hint="cs"/>
          <w:rtl/>
        </w:rPr>
        <w:t>.</w:t>
      </w:r>
    </w:p>
    <w:p w14:paraId="1F4DE0E5" w14:textId="77777777" w:rsidR="002076CE" w:rsidRDefault="002076CE" w:rsidP="004A5A29">
      <w:pPr>
        <w:pStyle w:val="Ruller41"/>
        <w:spacing w:line="240" w:lineRule="auto"/>
        <w:rPr>
          <w:rtl/>
        </w:rPr>
      </w:pPr>
    </w:p>
    <w:p w14:paraId="7D551C25" w14:textId="5EAC8855" w:rsidR="004A5A29" w:rsidRDefault="002525AD" w:rsidP="004A5A29">
      <w:pPr>
        <w:pStyle w:val="Ruller41"/>
        <w:rPr>
          <w:rtl/>
        </w:rPr>
      </w:pPr>
      <w:r>
        <w:rPr>
          <w:rtl/>
        </w:rPr>
        <w:tab/>
      </w:r>
      <w:r w:rsidR="00437CC1">
        <w:rPr>
          <w:rFonts w:hint="cs"/>
          <w:rtl/>
        </w:rPr>
        <w:t xml:space="preserve">במוקד </w:t>
      </w:r>
      <w:r w:rsidR="00FA0309">
        <w:rPr>
          <w:rFonts w:hint="cs"/>
          <w:rtl/>
        </w:rPr>
        <w:t>ההליך הייצוגי</w:t>
      </w:r>
      <w:r w:rsidR="00437CC1">
        <w:rPr>
          <w:rFonts w:hint="cs"/>
          <w:rtl/>
        </w:rPr>
        <w:t xml:space="preserve"> עומד חוק המים</w:t>
      </w:r>
      <w:r w:rsidR="00B33460">
        <w:rPr>
          <w:rFonts w:hint="cs"/>
          <w:rtl/>
        </w:rPr>
        <w:t>, התשי"ט-1959</w:t>
      </w:r>
      <w:r w:rsidR="00FA0309">
        <w:rPr>
          <w:rFonts w:hint="cs"/>
          <w:rtl/>
        </w:rPr>
        <w:t>.</w:t>
      </w:r>
      <w:r w:rsidR="00437CC1">
        <w:rPr>
          <w:rFonts w:hint="cs"/>
          <w:rtl/>
        </w:rPr>
        <w:t xml:space="preserve"> </w:t>
      </w:r>
      <w:r w:rsidR="00FA0309">
        <w:rPr>
          <w:rFonts w:hint="cs"/>
          <w:rtl/>
        </w:rPr>
        <w:t xml:space="preserve">על פי הנטען, </w:t>
      </w:r>
      <w:r w:rsidR="00437CC1">
        <w:rPr>
          <w:rFonts w:hint="cs"/>
          <w:rtl/>
        </w:rPr>
        <w:t>מאחר ש</w:t>
      </w:r>
      <w:r w:rsidR="00FA0309">
        <w:rPr>
          <w:rFonts w:hint="cs"/>
          <w:rtl/>
        </w:rPr>
        <w:t xml:space="preserve">לפי חוק זה </w:t>
      </w:r>
      <w:r w:rsidR="00437CC1">
        <w:rPr>
          <w:rFonts w:hint="cs"/>
          <w:rtl/>
        </w:rPr>
        <w:t>מקורות המים בישראל הם קניין ציבורי</w:t>
      </w:r>
      <w:r w:rsidR="00FA0309">
        <w:rPr>
          <w:rFonts w:hint="cs"/>
          <w:rtl/>
        </w:rPr>
        <w:t xml:space="preserve"> </w:t>
      </w:r>
      <w:r w:rsidR="00FA0309">
        <w:rPr>
          <w:rtl/>
        </w:rPr>
        <w:t>–</w:t>
      </w:r>
      <w:r w:rsidR="00FA0309">
        <w:rPr>
          <w:rFonts w:hint="cs"/>
          <w:rtl/>
        </w:rPr>
        <w:t xml:space="preserve"> המשמעות היא</w:t>
      </w:r>
      <w:r w:rsidR="00437CC1">
        <w:rPr>
          <w:rFonts w:hint="cs"/>
          <w:rtl/>
        </w:rPr>
        <w:t xml:space="preserve"> ש</w:t>
      </w:r>
      <w:r w:rsidR="00437CC1">
        <w:rPr>
          <w:rFonts w:hint="cs"/>
          <w:shd w:val="clear" w:color="auto" w:fill="FFFFFF"/>
          <w:rtl/>
        </w:rPr>
        <w:t>ה</w:t>
      </w:r>
      <w:r w:rsidR="00437CC1" w:rsidRPr="00A57F2E">
        <w:rPr>
          <w:rFonts w:hint="cs"/>
          <w:shd w:val="clear" w:color="auto" w:fill="FFFFFF"/>
          <w:rtl/>
        </w:rPr>
        <w:t>זיהום פוגע בזכות הקניין האישית במים הנתונה לכל אחד מיחידי הציבור במדינה</w:t>
      </w:r>
      <w:r w:rsidR="00B33460">
        <w:rPr>
          <w:rFonts w:hint="cs"/>
          <w:rtl/>
        </w:rPr>
        <w:t xml:space="preserve"> (להלן: </w:t>
      </w:r>
      <w:r w:rsidR="00B33460" w:rsidRPr="00A83C67">
        <w:rPr>
          <w:rFonts w:ascii="Century" w:hAnsi="Century" w:cs="Miriam" w:hint="cs"/>
          <w:b/>
          <w:spacing w:val="0"/>
          <w:szCs w:val="24"/>
          <w:rtl/>
        </w:rPr>
        <w:t>העילה הקניינית</w:t>
      </w:r>
      <w:r w:rsidR="00B33460">
        <w:rPr>
          <w:rFonts w:hint="cs"/>
          <w:rtl/>
        </w:rPr>
        <w:t>)</w:t>
      </w:r>
      <w:r w:rsidR="00FA0309">
        <w:rPr>
          <w:rFonts w:hint="cs"/>
          <w:rtl/>
        </w:rPr>
        <w:t>.</w:t>
      </w:r>
      <w:r w:rsidR="00B33460">
        <w:rPr>
          <w:rFonts w:hint="cs"/>
          <w:rtl/>
        </w:rPr>
        <w:t xml:space="preserve"> כן נטען להתקיימותן של עוולות נזיקיות שונות, ובהן רשלנות והפרת חובה חקוקה (להלן: </w:t>
      </w:r>
      <w:r w:rsidR="00B33460" w:rsidRPr="00A83C67">
        <w:rPr>
          <w:rFonts w:ascii="Century" w:hAnsi="Century" w:cs="Miriam" w:hint="cs"/>
          <w:b/>
          <w:spacing w:val="0"/>
          <w:szCs w:val="24"/>
          <w:rtl/>
        </w:rPr>
        <w:t>הע</w:t>
      </w:r>
      <w:r w:rsidR="0074293E">
        <w:rPr>
          <w:rFonts w:ascii="Century" w:hAnsi="Century" w:cs="Miriam" w:hint="cs"/>
          <w:b/>
          <w:spacing w:val="0"/>
          <w:szCs w:val="24"/>
          <w:rtl/>
        </w:rPr>
        <w:t>וו</w:t>
      </w:r>
      <w:r w:rsidR="00B33460" w:rsidRPr="00A83C67">
        <w:rPr>
          <w:rFonts w:ascii="Century" w:hAnsi="Century" w:cs="Miriam" w:hint="cs"/>
          <w:b/>
          <w:spacing w:val="0"/>
          <w:szCs w:val="24"/>
          <w:rtl/>
        </w:rPr>
        <w:t>ל</w:t>
      </w:r>
      <w:r w:rsidR="00756F06">
        <w:rPr>
          <w:rFonts w:ascii="Century" w:hAnsi="Century" w:cs="Miriam" w:hint="cs"/>
          <w:b/>
          <w:spacing w:val="0"/>
          <w:szCs w:val="24"/>
          <w:rtl/>
        </w:rPr>
        <w:t>ות</w:t>
      </w:r>
      <w:r w:rsidR="00B33460" w:rsidRPr="00A83C67">
        <w:rPr>
          <w:rFonts w:ascii="Century" w:hAnsi="Century" w:cs="Miriam" w:hint="cs"/>
          <w:b/>
          <w:spacing w:val="0"/>
          <w:szCs w:val="24"/>
          <w:rtl/>
        </w:rPr>
        <w:t xml:space="preserve"> הנזיקי</w:t>
      </w:r>
      <w:r w:rsidR="00163FC8">
        <w:rPr>
          <w:rFonts w:ascii="Century" w:hAnsi="Century" w:cs="Miriam" w:hint="cs"/>
          <w:b/>
          <w:spacing w:val="0"/>
          <w:szCs w:val="24"/>
          <w:rtl/>
        </w:rPr>
        <w:t>ו</w:t>
      </w:r>
      <w:r w:rsidR="00B33460" w:rsidRPr="00A83C67">
        <w:rPr>
          <w:rFonts w:ascii="Century" w:hAnsi="Century" w:cs="Miriam" w:hint="cs"/>
          <w:b/>
          <w:spacing w:val="0"/>
          <w:szCs w:val="24"/>
          <w:rtl/>
        </w:rPr>
        <w:t>ת</w:t>
      </w:r>
      <w:r w:rsidR="00B33460">
        <w:rPr>
          <w:rFonts w:hint="cs"/>
          <w:rtl/>
        </w:rPr>
        <w:t xml:space="preserve">); ולעילות תביעה נוספות. </w:t>
      </w:r>
    </w:p>
    <w:p w14:paraId="51E9535D" w14:textId="77777777" w:rsidR="004A5A29" w:rsidRDefault="004A5A29" w:rsidP="004A5A29">
      <w:pPr>
        <w:pStyle w:val="Ruller41"/>
        <w:spacing w:line="240" w:lineRule="auto"/>
        <w:rPr>
          <w:rtl/>
        </w:rPr>
      </w:pPr>
    </w:p>
    <w:p w14:paraId="12F017C4" w14:textId="2028888E" w:rsidR="00A92647" w:rsidRPr="004A5A29" w:rsidRDefault="002525AD" w:rsidP="00EC5809">
      <w:pPr>
        <w:pStyle w:val="Ruller41"/>
        <w:rPr>
          <w:rtl/>
        </w:rPr>
      </w:pPr>
      <w:r>
        <w:rPr>
          <w:rtl/>
        </w:rPr>
        <w:tab/>
      </w:r>
      <w:r w:rsidR="00EA44EE">
        <w:rPr>
          <w:rFonts w:hint="cs"/>
          <w:rtl/>
        </w:rPr>
        <w:t xml:space="preserve">בית המשפט המחוזי </w:t>
      </w:r>
      <w:r w:rsidR="00AB17B5">
        <w:rPr>
          <w:rFonts w:hint="cs"/>
          <w:rtl/>
        </w:rPr>
        <w:t>מצא</w:t>
      </w:r>
      <w:r>
        <w:rPr>
          <w:rFonts w:hint="cs"/>
          <w:rtl/>
        </w:rPr>
        <w:t xml:space="preserve"> כי</w:t>
      </w:r>
      <w:r w:rsidRPr="00A57F2E">
        <w:rPr>
          <w:rFonts w:hint="cs"/>
          <w:shd w:val="clear" w:color="auto" w:fill="FFFFFF"/>
          <w:rtl/>
        </w:rPr>
        <w:t xml:space="preserve"> המערערים</w:t>
      </w:r>
      <w:r>
        <w:rPr>
          <w:rFonts w:hint="cs"/>
          <w:shd w:val="clear" w:color="auto" w:fill="FFFFFF"/>
          <w:rtl/>
        </w:rPr>
        <w:t xml:space="preserve"> הוכיחו באופן לכאורי</w:t>
      </w:r>
      <w:r w:rsidRPr="00A57F2E">
        <w:rPr>
          <w:rFonts w:hint="cs"/>
          <w:shd w:val="clear" w:color="auto" w:fill="FFFFFF"/>
          <w:rtl/>
        </w:rPr>
        <w:t xml:space="preserve"> את טענותיהם נגד המשיבות בנוגע לאחריותן לזיהום המים</w:t>
      </w:r>
      <w:r w:rsidR="00AB17B5">
        <w:rPr>
          <w:rFonts w:hint="cs"/>
          <w:shd w:val="clear" w:color="auto" w:fill="FFFFFF"/>
          <w:rtl/>
        </w:rPr>
        <w:t>;</w:t>
      </w:r>
      <w:r w:rsidRPr="00A57F2E">
        <w:rPr>
          <w:rFonts w:hint="cs"/>
          <w:shd w:val="clear" w:color="auto" w:fill="FFFFFF"/>
          <w:rtl/>
        </w:rPr>
        <w:t xml:space="preserve"> </w:t>
      </w:r>
      <w:r w:rsidR="00AB17B5">
        <w:rPr>
          <w:rFonts w:hint="cs"/>
          <w:shd w:val="clear" w:color="auto" w:fill="FFFFFF"/>
          <w:rtl/>
        </w:rPr>
        <w:t>ו</w:t>
      </w:r>
      <w:r w:rsidR="005E7821">
        <w:rPr>
          <w:rFonts w:hint="cs"/>
          <w:shd w:val="clear" w:color="auto" w:fill="FFFFFF"/>
          <w:rtl/>
        </w:rPr>
        <w:t>אולם</w:t>
      </w:r>
      <w:r w:rsidRPr="00A57F2E">
        <w:rPr>
          <w:rFonts w:hint="cs"/>
          <w:shd w:val="clear" w:color="auto" w:fill="FFFFFF"/>
          <w:rtl/>
        </w:rPr>
        <w:t xml:space="preserve"> </w:t>
      </w:r>
      <w:r>
        <w:rPr>
          <w:rFonts w:hint="cs"/>
          <w:shd w:val="clear" w:color="auto" w:fill="FFFFFF"/>
          <w:rtl/>
        </w:rPr>
        <w:t>נקבע</w:t>
      </w:r>
      <w:r w:rsidRPr="00A57F2E">
        <w:rPr>
          <w:rFonts w:hint="cs"/>
          <w:shd w:val="clear" w:color="auto" w:fill="FFFFFF"/>
          <w:rtl/>
        </w:rPr>
        <w:t xml:space="preserve"> כי יש לדחות את בקשת האישור </w:t>
      </w:r>
      <w:r w:rsidR="00095E7B">
        <w:rPr>
          <w:rFonts w:hint="cs"/>
          <w:shd w:val="clear" w:color="auto" w:fill="FFFFFF"/>
          <w:rtl/>
        </w:rPr>
        <w:t>על הסף</w:t>
      </w:r>
      <w:r w:rsidR="00742049">
        <w:rPr>
          <w:rFonts w:hint="cs"/>
          <w:shd w:val="clear" w:color="auto" w:fill="FFFFFF"/>
          <w:rtl/>
        </w:rPr>
        <w:t>.</w:t>
      </w:r>
      <w:r w:rsidR="00756F06">
        <w:rPr>
          <w:rFonts w:hint="cs"/>
          <w:shd w:val="clear" w:color="auto" w:fill="FFFFFF"/>
          <w:rtl/>
        </w:rPr>
        <w:t xml:space="preserve"> כך מאחר שלציבור בישראל, שבקשת האישור הוגשה בשמו, אין זכות קניין במקורות המים;</w:t>
      </w:r>
      <w:r w:rsidRPr="00A57F2E">
        <w:rPr>
          <w:rFonts w:hint="cs"/>
          <w:shd w:val="clear" w:color="auto" w:fill="FFFFFF"/>
          <w:rtl/>
        </w:rPr>
        <w:t xml:space="preserve"> וכן בשל התיישנות הע</w:t>
      </w:r>
      <w:r w:rsidR="0074293E">
        <w:rPr>
          <w:rFonts w:hint="cs"/>
          <w:shd w:val="clear" w:color="auto" w:fill="FFFFFF"/>
          <w:rtl/>
        </w:rPr>
        <w:t>וו</w:t>
      </w:r>
      <w:r w:rsidRPr="00A57F2E">
        <w:rPr>
          <w:rFonts w:hint="cs"/>
          <w:shd w:val="clear" w:color="auto" w:fill="FFFFFF"/>
          <w:rtl/>
        </w:rPr>
        <w:t>לות הנזיקיות הנטענות.</w:t>
      </w:r>
      <w:r>
        <w:rPr>
          <w:rFonts w:hint="cs"/>
          <w:rtl/>
        </w:rPr>
        <w:t xml:space="preserve"> </w:t>
      </w:r>
    </w:p>
    <w:p w14:paraId="1FCC6F41" w14:textId="77777777" w:rsidR="00A92647" w:rsidRDefault="00A92647" w:rsidP="0074293E">
      <w:pPr>
        <w:pStyle w:val="Ruller41"/>
        <w:spacing w:line="240" w:lineRule="auto"/>
        <w:rPr>
          <w:rtl/>
        </w:rPr>
      </w:pPr>
    </w:p>
    <w:p w14:paraId="714E76CC" w14:textId="5D70DDD2" w:rsidR="00862E10" w:rsidRDefault="002525AD" w:rsidP="00862E10">
      <w:pPr>
        <w:pStyle w:val="Ruller41"/>
        <w:rPr>
          <w:shd w:val="clear" w:color="auto" w:fill="FFFFFF"/>
          <w:rtl/>
        </w:rPr>
      </w:pPr>
      <w:r>
        <w:rPr>
          <w:rtl/>
        </w:rPr>
        <w:tab/>
      </w:r>
      <w:r>
        <w:rPr>
          <w:rFonts w:hint="cs"/>
          <w:rtl/>
        </w:rPr>
        <w:t xml:space="preserve">בפסק </w:t>
      </w:r>
      <w:r w:rsidR="00D7309B">
        <w:rPr>
          <w:rFonts w:hint="cs"/>
          <w:rtl/>
        </w:rPr>
        <w:t>ה</w:t>
      </w:r>
      <w:r w:rsidR="00742049">
        <w:rPr>
          <w:rFonts w:hint="cs"/>
          <w:rtl/>
        </w:rPr>
        <w:t>די</w:t>
      </w:r>
      <w:r w:rsidR="00D7309B">
        <w:rPr>
          <w:rFonts w:hint="cs"/>
          <w:rtl/>
        </w:rPr>
        <w:t>ן</w:t>
      </w:r>
      <w:r w:rsidR="00742049">
        <w:rPr>
          <w:rFonts w:hint="cs"/>
          <w:rtl/>
        </w:rPr>
        <w:t xml:space="preserve"> ש</w:t>
      </w:r>
      <w:r w:rsidR="00D7309B">
        <w:rPr>
          <w:rFonts w:hint="cs"/>
          <w:rtl/>
        </w:rPr>
        <w:t>ניתן מפי</w:t>
      </w:r>
      <w:r w:rsidR="00742049">
        <w:rPr>
          <w:rFonts w:hint="cs"/>
          <w:rtl/>
        </w:rPr>
        <w:t xml:space="preserve"> השופטת </w:t>
      </w:r>
      <w:r w:rsidR="00742049" w:rsidRPr="00756F06">
        <w:rPr>
          <w:rFonts w:ascii="Century" w:hAnsi="Century" w:cs="Miriam" w:hint="cs"/>
          <w:b/>
          <w:spacing w:val="0"/>
          <w:szCs w:val="24"/>
          <w:rtl/>
        </w:rPr>
        <w:t>ענת ברון</w:t>
      </w:r>
      <w:r w:rsidR="00D7309B">
        <w:rPr>
          <w:rFonts w:hint="cs"/>
          <w:rtl/>
        </w:rPr>
        <w:t xml:space="preserve">, ובהסכמת השופט </w:t>
      </w:r>
      <w:r w:rsidR="00D7309B" w:rsidRPr="00D7309B">
        <w:rPr>
          <w:rFonts w:ascii="Century" w:hAnsi="Century" w:cs="Miriam" w:hint="cs"/>
          <w:b/>
          <w:spacing w:val="0"/>
          <w:szCs w:val="24"/>
          <w:rtl/>
        </w:rPr>
        <w:t xml:space="preserve">עופר </w:t>
      </w:r>
      <w:proofErr w:type="spellStart"/>
      <w:r w:rsidR="00D7309B" w:rsidRPr="00D7309B">
        <w:rPr>
          <w:rFonts w:ascii="Century" w:hAnsi="Century" w:cs="Miriam" w:hint="cs"/>
          <w:b/>
          <w:spacing w:val="0"/>
          <w:szCs w:val="24"/>
          <w:rtl/>
        </w:rPr>
        <w:t>גרוסקופף</w:t>
      </w:r>
      <w:proofErr w:type="spellEnd"/>
      <w:r w:rsidR="00D7309B">
        <w:rPr>
          <w:rFonts w:hint="cs"/>
          <w:rtl/>
        </w:rPr>
        <w:t xml:space="preserve"> </w:t>
      </w:r>
      <w:r w:rsidR="00D7309B" w:rsidRPr="00D7309B">
        <w:rPr>
          <w:rFonts w:hint="cs"/>
          <w:rtl/>
        </w:rPr>
        <w:t>והשופטת</w:t>
      </w:r>
      <w:r w:rsidR="00D7309B" w:rsidRPr="00D7309B">
        <w:rPr>
          <w:rFonts w:ascii="Century" w:hAnsi="Century" w:cs="Miriam" w:hint="cs"/>
          <w:b/>
          <w:spacing w:val="0"/>
          <w:szCs w:val="24"/>
          <w:rtl/>
        </w:rPr>
        <w:t xml:space="preserve"> רות רונן</w:t>
      </w:r>
      <w:r w:rsidR="00D7309B">
        <w:rPr>
          <w:rFonts w:hint="cs"/>
          <w:rtl/>
        </w:rPr>
        <w:t>,</w:t>
      </w:r>
      <w:r w:rsidR="004D71BD">
        <w:rPr>
          <w:rFonts w:hint="cs"/>
          <w:rtl/>
        </w:rPr>
        <w:t xml:space="preserve"> </w:t>
      </w:r>
      <w:r>
        <w:rPr>
          <w:rFonts w:hint="cs"/>
          <w:rtl/>
        </w:rPr>
        <w:t>נקבע כי אין מקום להתערבות בקביעותיו של בית המשפט המחוזי לעניין העילה הקניינית; ואולם נמצא כי לא היה מקום לדחות את בקשת האישור על הסף מחמת התיישנות הע</w:t>
      </w:r>
      <w:r w:rsidR="0074293E">
        <w:rPr>
          <w:rFonts w:hint="cs"/>
          <w:rtl/>
        </w:rPr>
        <w:t>וו</w:t>
      </w:r>
      <w:r>
        <w:rPr>
          <w:rFonts w:hint="cs"/>
          <w:rtl/>
        </w:rPr>
        <w:t>לות הנזיקיות.</w:t>
      </w:r>
      <w:r w:rsidRPr="004D71BD">
        <w:rPr>
          <w:rFonts w:hint="cs"/>
          <w:shd w:val="clear" w:color="auto" w:fill="FFFFFF"/>
          <w:rtl/>
        </w:rPr>
        <w:t xml:space="preserve"> </w:t>
      </w:r>
    </w:p>
    <w:p w14:paraId="6946955D" w14:textId="3E9DB083" w:rsidR="005320C4" w:rsidRDefault="002525AD" w:rsidP="0074293E">
      <w:pPr>
        <w:pStyle w:val="Ruller41"/>
        <w:spacing w:line="240" w:lineRule="auto"/>
        <w:rPr>
          <w:rtl/>
        </w:rPr>
      </w:pPr>
      <w:r>
        <w:rPr>
          <w:rFonts w:hint="cs"/>
          <w:rtl/>
        </w:rPr>
        <w:t xml:space="preserve"> </w:t>
      </w:r>
    </w:p>
    <w:p w14:paraId="35453768" w14:textId="6321CA8F" w:rsidR="00D7309B" w:rsidRPr="002F5553" w:rsidRDefault="002525AD" w:rsidP="00EC5809">
      <w:pPr>
        <w:pStyle w:val="Ruller41"/>
        <w:rPr>
          <w:rFonts w:ascii="Century" w:hAnsi="Century" w:cs="Miriam"/>
          <w:b/>
          <w:spacing w:val="0"/>
          <w:szCs w:val="24"/>
          <w:shd w:val="clear" w:color="auto" w:fill="FFFFFF"/>
          <w:rtl/>
        </w:rPr>
      </w:pPr>
      <w:r>
        <w:rPr>
          <w:rtl/>
        </w:rPr>
        <w:tab/>
      </w:r>
      <w:r w:rsidR="004D71BD">
        <w:rPr>
          <w:rFonts w:hint="cs"/>
          <w:rtl/>
        </w:rPr>
        <w:t>בהתייחס לזכות הקניין הנטענת במקורות המים</w:t>
      </w:r>
      <w:r w:rsidR="008276F7">
        <w:rPr>
          <w:rFonts w:hint="cs"/>
          <w:rtl/>
        </w:rPr>
        <w:t xml:space="preserve"> </w:t>
      </w:r>
      <w:r w:rsidR="00FB5B7A">
        <w:rPr>
          <w:rtl/>
        </w:rPr>
        <w:t>–</w:t>
      </w:r>
      <w:r>
        <w:rPr>
          <w:rFonts w:hint="cs"/>
          <w:rtl/>
        </w:rPr>
        <w:t xml:space="preserve"> </w:t>
      </w:r>
      <w:r w:rsidR="00FB5B7A">
        <w:rPr>
          <w:rFonts w:hint="cs"/>
          <w:rtl/>
        </w:rPr>
        <w:t>נקבע</w:t>
      </w:r>
      <w:r>
        <w:rPr>
          <w:rFonts w:hint="cs"/>
          <w:rtl/>
        </w:rPr>
        <w:t xml:space="preserve"> </w:t>
      </w:r>
      <w:r w:rsidRPr="00A57F2E">
        <w:rPr>
          <w:rFonts w:hint="cs"/>
          <w:rtl/>
        </w:rPr>
        <w:t>כי מקורות המים הם קניין ציבורי, אך לא קניינו של כל אחד מיחידי הציבור.</w:t>
      </w:r>
      <w:r>
        <w:rPr>
          <w:rFonts w:hint="cs"/>
          <w:rtl/>
        </w:rPr>
        <w:t xml:space="preserve"> </w:t>
      </w:r>
      <w:r w:rsidR="00FE3EC0">
        <w:rPr>
          <w:rFonts w:hint="cs"/>
          <w:rtl/>
        </w:rPr>
        <w:t>הודגש</w:t>
      </w:r>
      <w:r w:rsidR="00CC3963">
        <w:rPr>
          <w:rFonts w:hint="cs"/>
          <w:rtl/>
        </w:rPr>
        <w:t xml:space="preserve"> כי אין עוררין בדבר היותה</w:t>
      </w:r>
      <w:r>
        <w:rPr>
          <w:rFonts w:hint="cs"/>
          <w:rtl/>
        </w:rPr>
        <w:t xml:space="preserve"> של </w:t>
      </w:r>
      <w:r w:rsidRPr="00A57F2E">
        <w:rPr>
          <w:rFonts w:hint="cs"/>
          <w:rtl/>
        </w:rPr>
        <w:t>זכות הפרט ל</w:t>
      </w:r>
      <w:r w:rsidR="000D2976">
        <w:rPr>
          <w:rFonts w:hint="cs"/>
          <w:rtl/>
        </w:rPr>
        <w:t xml:space="preserve">אספקת </w:t>
      </w:r>
      <w:r w:rsidRPr="00A57F2E">
        <w:rPr>
          <w:rFonts w:hint="cs"/>
          <w:rtl/>
        </w:rPr>
        <w:t xml:space="preserve">מים זכות יסוד </w:t>
      </w:r>
      <w:r w:rsidR="00FE3EC0">
        <w:rPr>
          <w:rFonts w:hint="cs"/>
          <w:rtl/>
        </w:rPr>
        <w:t>בעלת</w:t>
      </w:r>
      <w:r w:rsidRPr="00A57F2E">
        <w:rPr>
          <w:rFonts w:hint="cs"/>
          <w:rtl/>
        </w:rPr>
        <w:t xml:space="preserve"> מעמד חוקתי</w:t>
      </w:r>
      <w:r w:rsidR="00024E77">
        <w:rPr>
          <w:rFonts w:hint="cs"/>
          <w:rtl/>
        </w:rPr>
        <w:t>;</w:t>
      </w:r>
      <w:r>
        <w:rPr>
          <w:rFonts w:hint="cs"/>
          <w:rtl/>
        </w:rPr>
        <w:t xml:space="preserve"> </w:t>
      </w:r>
      <w:r w:rsidRPr="00A57F2E">
        <w:rPr>
          <w:rFonts w:ascii="Century" w:hAnsi="Century" w:hint="cs"/>
          <w:shd w:val="clear" w:color="auto" w:fill="FFFFFF"/>
          <w:rtl/>
        </w:rPr>
        <w:t>ואולם זכות חוקתית ל</w:t>
      </w:r>
      <w:r w:rsidR="00FE3EC0">
        <w:rPr>
          <w:rFonts w:ascii="Century" w:hAnsi="Century" w:hint="cs"/>
          <w:shd w:val="clear" w:color="auto" w:fill="FFFFFF"/>
          <w:rtl/>
        </w:rPr>
        <w:t xml:space="preserve">אספקת </w:t>
      </w:r>
      <w:r w:rsidRPr="00A57F2E">
        <w:rPr>
          <w:rFonts w:ascii="Century" w:hAnsi="Century" w:hint="cs"/>
          <w:shd w:val="clear" w:color="auto" w:fill="FFFFFF"/>
          <w:rtl/>
        </w:rPr>
        <w:t>מים לחוד וזכות קניינית במקורות המים לחוד</w:t>
      </w:r>
      <w:r>
        <w:rPr>
          <w:rFonts w:ascii="Century" w:hAnsi="Century" w:hint="cs"/>
          <w:shd w:val="clear" w:color="auto" w:fill="FFFFFF"/>
          <w:rtl/>
        </w:rPr>
        <w:t xml:space="preserve">. </w:t>
      </w:r>
      <w:r w:rsidRPr="00A57F2E">
        <w:rPr>
          <w:rFonts w:ascii="Century" w:hAnsi="Century" w:hint="cs"/>
          <w:shd w:val="clear" w:color="auto" w:fill="FFFFFF"/>
          <w:rtl/>
        </w:rPr>
        <w:t>הזכות הסטטוטורית למים הקבועה בחוק המים</w:t>
      </w:r>
      <w:r w:rsidR="00862E10">
        <w:rPr>
          <w:rFonts w:ascii="Century" w:hAnsi="Century" w:hint="cs"/>
          <w:shd w:val="clear" w:color="auto" w:fill="FFFFFF"/>
          <w:rtl/>
        </w:rPr>
        <w:t xml:space="preserve"> היא מוגבלת,</w:t>
      </w:r>
      <w:r w:rsidRPr="00A57F2E">
        <w:rPr>
          <w:rFonts w:hint="cs"/>
          <w:rtl/>
        </w:rPr>
        <w:t xml:space="preserve"> </w:t>
      </w:r>
      <w:r>
        <w:rPr>
          <w:rFonts w:hint="cs"/>
          <w:rtl/>
        </w:rPr>
        <w:t>תוכנה וגבולותיה מתעצבים לאור</w:t>
      </w:r>
      <w:r w:rsidRPr="00A57F2E">
        <w:rPr>
          <w:rFonts w:hint="cs"/>
          <w:rtl/>
        </w:rPr>
        <w:t xml:space="preserve"> הוראות</w:t>
      </w:r>
      <w:r>
        <w:rPr>
          <w:rFonts w:hint="cs"/>
          <w:rtl/>
        </w:rPr>
        <w:t xml:space="preserve"> החוק, ו</w:t>
      </w:r>
      <w:r w:rsidR="00862E10">
        <w:rPr>
          <w:rFonts w:hint="cs"/>
          <w:rtl/>
        </w:rPr>
        <w:t>ממילא</w:t>
      </w:r>
      <w:r>
        <w:rPr>
          <w:rFonts w:hint="cs"/>
          <w:rtl/>
        </w:rPr>
        <w:t xml:space="preserve"> </w:t>
      </w:r>
      <w:r w:rsidRPr="00A57F2E">
        <w:rPr>
          <w:rFonts w:ascii="Century" w:hAnsi="Century" w:hint="cs"/>
          <w:shd w:val="clear" w:color="auto" w:fill="FFFFFF"/>
          <w:rtl/>
        </w:rPr>
        <w:t>לא מתקיי</w:t>
      </w:r>
      <w:r w:rsidR="00CC3963">
        <w:rPr>
          <w:rFonts w:ascii="Century" w:hAnsi="Century" w:hint="cs"/>
          <w:shd w:val="clear" w:color="auto" w:fill="FFFFFF"/>
          <w:rtl/>
        </w:rPr>
        <w:t>מי</w:t>
      </w:r>
      <w:r w:rsidRPr="00A57F2E">
        <w:rPr>
          <w:rFonts w:ascii="Century" w:hAnsi="Century" w:hint="cs"/>
          <w:shd w:val="clear" w:color="auto" w:fill="FFFFFF"/>
          <w:rtl/>
        </w:rPr>
        <w:t>ם בה מאפייניה הטיפוסיים של זכות קניי</w:t>
      </w:r>
      <w:r>
        <w:rPr>
          <w:rFonts w:ascii="Century" w:hAnsi="Century" w:hint="cs"/>
          <w:shd w:val="clear" w:color="auto" w:fill="FFFFFF"/>
          <w:rtl/>
        </w:rPr>
        <w:t>נית</w:t>
      </w:r>
      <w:r w:rsidR="00647972">
        <w:rPr>
          <w:rFonts w:ascii="Century" w:hAnsi="Century" w:hint="cs"/>
          <w:shd w:val="clear" w:color="auto" w:fill="FFFFFF"/>
          <w:rtl/>
        </w:rPr>
        <w:t xml:space="preserve"> או מעין</w:t>
      </w:r>
      <w:r>
        <w:rPr>
          <w:rFonts w:ascii="Century" w:hAnsi="Century" w:hint="cs"/>
          <w:shd w:val="clear" w:color="auto" w:fill="FFFFFF"/>
          <w:rtl/>
        </w:rPr>
        <w:t>-</w:t>
      </w:r>
      <w:r w:rsidR="00647972">
        <w:rPr>
          <w:rFonts w:ascii="Century" w:hAnsi="Century" w:hint="cs"/>
          <w:shd w:val="clear" w:color="auto" w:fill="FFFFFF"/>
          <w:rtl/>
        </w:rPr>
        <w:t>קניי</w:t>
      </w:r>
      <w:r>
        <w:rPr>
          <w:rFonts w:ascii="Century" w:hAnsi="Century" w:hint="cs"/>
          <w:shd w:val="clear" w:color="auto" w:fill="FFFFFF"/>
          <w:rtl/>
        </w:rPr>
        <w:t>נית</w:t>
      </w:r>
      <w:r w:rsidRPr="00A57F2E">
        <w:rPr>
          <w:rFonts w:ascii="Century" w:hAnsi="Century" w:hint="cs"/>
          <w:shd w:val="clear" w:color="auto" w:fill="FFFFFF"/>
          <w:rtl/>
        </w:rPr>
        <w:t>.</w:t>
      </w:r>
      <w:r>
        <w:rPr>
          <w:rFonts w:hint="cs"/>
          <w:rtl/>
        </w:rPr>
        <w:t xml:space="preserve"> </w:t>
      </w:r>
      <w:r w:rsidR="00360D16">
        <w:rPr>
          <w:rFonts w:ascii="Century" w:hAnsi="Century" w:hint="cs"/>
          <w:shd w:val="clear" w:color="auto" w:fill="FFFFFF"/>
          <w:rtl/>
        </w:rPr>
        <w:t>מכאן, ש</w:t>
      </w:r>
      <w:r w:rsidRPr="00A57F2E">
        <w:rPr>
          <w:rFonts w:ascii="Century" w:hAnsi="Century" w:hint="cs"/>
          <w:shd w:val="clear" w:color="auto" w:fill="FFFFFF"/>
          <w:rtl/>
        </w:rPr>
        <w:t>הזכות למים אינה מקנה לתושבי המדינה זכות קניין אישית במקורות המים.</w:t>
      </w:r>
      <w:r w:rsidR="00CC3963">
        <w:rPr>
          <w:rFonts w:ascii="Century" w:hAnsi="Century" w:hint="cs"/>
          <w:shd w:val="clear" w:color="auto" w:fill="FFFFFF"/>
          <w:rtl/>
        </w:rPr>
        <w:t xml:space="preserve"> </w:t>
      </w:r>
      <w:r>
        <w:rPr>
          <w:rFonts w:ascii="Century" w:hAnsi="Century" w:hint="cs"/>
          <w:shd w:val="clear" w:color="auto" w:fill="FFFFFF"/>
          <w:rtl/>
        </w:rPr>
        <w:t>על יסוד האמור נקבע בפסק הדין כי בדין דחה בית המשפט המחוזי את העילה הקניינית שנטענה בבקשת האישור.</w:t>
      </w:r>
    </w:p>
    <w:p w14:paraId="37CB3735" w14:textId="77777777" w:rsidR="00A92647" w:rsidRPr="00A57F2E" w:rsidRDefault="00A92647" w:rsidP="00A92647">
      <w:pPr>
        <w:pStyle w:val="Ruller41"/>
        <w:rPr>
          <w:rFonts w:ascii="Century" w:hAnsi="Century"/>
          <w:shd w:val="clear" w:color="auto" w:fill="FFFFFF"/>
          <w:rtl/>
        </w:rPr>
      </w:pPr>
    </w:p>
    <w:p w14:paraId="131B83AD" w14:textId="754C2A8B" w:rsidR="00CC3963" w:rsidRPr="0039646D" w:rsidRDefault="002525AD" w:rsidP="00EC5809">
      <w:pPr>
        <w:pStyle w:val="Ruller41"/>
        <w:rPr>
          <w:rtl/>
        </w:rPr>
      </w:pPr>
      <w:r>
        <w:rPr>
          <w:shd w:val="clear" w:color="auto" w:fill="FFFFFF"/>
          <w:rtl/>
        </w:rPr>
        <w:tab/>
      </w:r>
      <w:r>
        <w:rPr>
          <w:rFonts w:hint="cs"/>
          <w:shd w:val="clear" w:color="auto" w:fill="FFFFFF"/>
          <w:rtl/>
        </w:rPr>
        <w:t xml:space="preserve">בהתייחס </w:t>
      </w:r>
      <w:r w:rsidR="00163FC8">
        <w:rPr>
          <w:rFonts w:hint="cs"/>
          <w:shd w:val="clear" w:color="auto" w:fill="FFFFFF"/>
          <w:rtl/>
        </w:rPr>
        <w:t>לסוגיית</w:t>
      </w:r>
      <w:r>
        <w:rPr>
          <w:rFonts w:hint="cs"/>
          <w:shd w:val="clear" w:color="auto" w:fill="FFFFFF"/>
          <w:rtl/>
        </w:rPr>
        <w:t xml:space="preserve"> התיישנות העוולות </w:t>
      </w:r>
      <w:r w:rsidR="00AD428F">
        <w:rPr>
          <w:rFonts w:hint="cs"/>
          <w:shd w:val="clear" w:color="auto" w:fill="FFFFFF"/>
          <w:rtl/>
        </w:rPr>
        <w:t>ה</w:t>
      </w:r>
      <w:r>
        <w:rPr>
          <w:rFonts w:hint="cs"/>
          <w:shd w:val="clear" w:color="auto" w:fill="FFFFFF"/>
          <w:rtl/>
        </w:rPr>
        <w:t xml:space="preserve">נזיקיות </w:t>
      </w:r>
      <w:r>
        <w:rPr>
          <w:shd w:val="clear" w:color="auto" w:fill="FFFFFF"/>
          <w:rtl/>
        </w:rPr>
        <w:t>–</w:t>
      </w:r>
      <w:r>
        <w:rPr>
          <w:rFonts w:hint="cs"/>
          <w:shd w:val="clear" w:color="auto" w:fill="FFFFFF"/>
          <w:rtl/>
        </w:rPr>
        <w:t xml:space="preserve"> נקבע כי חלה חובה על גורם מזהם למנוע נזקי זיהום עתידיים, ולא רק זאת אלא אף לתקן את זיהום המים שנגרם על ידו ולהשיב את המצב לקדמותו; וכי הפרת חובות אלה בדרך של מחדל מהווה ככלל עוולה נמשכת. תוצאה זו עולה בקנה אחד עם מטרות דיני </w:t>
      </w:r>
      <w:proofErr w:type="spellStart"/>
      <w:r>
        <w:rPr>
          <w:rFonts w:hint="cs"/>
          <w:shd w:val="clear" w:color="auto" w:fill="FFFFFF"/>
          <w:rtl/>
        </w:rPr>
        <w:t>הנזיקין</w:t>
      </w:r>
      <w:proofErr w:type="spellEnd"/>
      <w:r>
        <w:rPr>
          <w:rFonts w:hint="cs"/>
          <w:shd w:val="clear" w:color="auto" w:fill="FFFFFF"/>
          <w:rtl/>
        </w:rPr>
        <w:t>, ומתחייבת מתכליתם של דיני</w:t>
      </w:r>
      <w:r w:rsidR="00024E77">
        <w:rPr>
          <w:rFonts w:hint="cs"/>
          <w:shd w:val="clear" w:color="auto" w:fill="FFFFFF"/>
          <w:rtl/>
        </w:rPr>
        <w:t xml:space="preserve"> הגנת</w:t>
      </w:r>
      <w:r>
        <w:rPr>
          <w:rFonts w:hint="cs"/>
          <w:shd w:val="clear" w:color="auto" w:fill="FFFFFF"/>
          <w:rtl/>
        </w:rPr>
        <w:t xml:space="preserve"> הסביבה.</w:t>
      </w:r>
      <w:r>
        <w:rPr>
          <w:rFonts w:ascii="Century" w:hAnsi="Century" w:hint="cs"/>
          <w:shd w:val="clear" w:color="auto" w:fill="FFFFFF"/>
          <w:rtl/>
        </w:rPr>
        <w:t xml:space="preserve"> </w:t>
      </w:r>
      <w:r w:rsidR="004D4BCB">
        <w:rPr>
          <w:rFonts w:hint="cs"/>
          <w:rtl/>
        </w:rPr>
        <w:t>בפסק הדין הודגש כי</w:t>
      </w:r>
      <w:r>
        <w:rPr>
          <w:rFonts w:hint="cs"/>
          <w:rtl/>
        </w:rPr>
        <w:t xml:space="preserve"> </w:t>
      </w:r>
      <w:r w:rsidRPr="00A57F2E">
        <w:rPr>
          <w:rFonts w:hint="cs"/>
          <w:shd w:val="clear" w:color="auto" w:fill="FFFFFF"/>
          <w:rtl/>
        </w:rPr>
        <w:t xml:space="preserve">השאלה אם מעשה או מחדל מהווים עוולה נמשכת איננה שאלה עובדתית טהורה </w:t>
      </w:r>
      <w:r w:rsidRPr="00A57F2E">
        <w:rPr>
          <w:shd w:val="clear" w:color="auto" w:fill="FFFFFF"/>
          <w:rtl/>
        </w:rPr>
        <w:t>–</w:t>
      </w:r>
      <w:r w:rsidRPr="00A57F2E">
        <w:rPr>
          <w:rFonts w:hint="cs"/>
          <w:shd w:val="clear" w:color="auto" w:fill="FFFFFF"/>
          <w:rtl/>
        </w:rPr>
        <w:t xml:space="preserve"> אלא גם שאלה משפטית שבגדרה ניתן ואף ראוי לשקול שיקולי מדיניות ושיקולים נורמטיביים אחרים</w:t>
      </w:r>
      <w:r>
        <w:rPr>
          <w:rFonts w:hint="cs"/>
          <w:shd w:val="clear" w:color="auto" w:fill="FFFFFF"/>
          <w:rtl/>
        </w:rPr>
        <w:t>. ובענייננו</w:t>
      </w:r>
      <w:r w:rsidR="0039646D">
        <w:rPr>
          <w:rFonts w:hint="cs"/>
          <w:shd w:val="clear" w:color="auto" w:fill="FFFFFF"/>
          <w:rtl/>
        </w:rPr>
        <w:t>,</w:t>
      </w:r>
      <w:r w:rsidR="001A5BAC">
        <w:rPr>
          <w:rFonts w:hint="cs"/>
          <w:shd w:val="clear" w:color="auto" w:fill="FFFFFF"/>
          <w:rtl/>
        </w:rPr>
        <w:t xml:space="preserve"> </w:t>
      </w:r>
      <w:r>
        <w:rPr>
          <w:rFonts w:hint="cs"/>
          <w:rtl/>
        </w:rPr>
        <w:t>מאפייניהם הייחודיים של מפגעים סביבתיים</w:t>
      </w:r>
      <w:r w:rsidR="00862E10">
        <w:rPr>
          <w:rFonts w:hint="cs"/>
          <w:rtl/>
        </w:rPr>
        <w:t xml:space="preserve"> </w:t>
      </w:r>
      <w:r w:rsidR="0039646D">
        <w:rPr>
          <w:rFonts w:hint="cs"/>
          <w:rtl/>
        </w:rPr>
        <w:t xml:space="preserve">הם שמחייבים את </w:t>
      </w:r>
      <w:r w:rsidR="0039646D">
        <w:rPr>
          <w:rFonts w:hint="cs"/>
          <w:shd w:val="clear" w:color="auto" w:fill="FFFFFF"/>
          <w:rtl/>
        </w:rPr>
        <w:t>המסקנה שלפיה</w:t>
      </w:r>
      <w:r w:rsidR="0039646D">
        <w:rPr>
          <w:rFonts w:hint="cs"/>
          <w:rtl/>
        </w:rPr>
        <w:t xml:space="preserve"> המחדל של אי מניעת נזק עתידי והימנעות מתיקון נזקים קיימים מהווה עוולה נמשכת</w:t>
      </w:r>
      <w:r w:rsidR="000E599A">
        <w:rPr>
          <w:rFonts w:hint="cs"/>
          <w:rtl/>
        </w:rPr>
        <w:t xml:space="preserve">, המתאפיינת הן </w:t>
      </w:r>
      <w:proofErr w:type="spellStart"/>
      <w:r w:rsidR="000E599A">
        <w:rPr>
          <w:rFonts w:hint="cs"/>
          <w:rtl/>
        </w:rPr>
        <w:t>בחזרתיות</w:t>
      </w:r>
      <w:proofErr w:type="spellEnd"/>
      <w:r w:rsidR="000E599A">
        <w:rPr>
          <w:rFonts w:hint="cs"/>
          <w:rtl/>
        </w:rPr>
        <w:t xml:space="preserve"> הן ברציפות.</w:t>
      </w:r>
      <w:r w:rsidR="0039646D">
        <w:rPr>
          <w:rFonts w:hint="cs"/>
          <w:rtl/>
        </w:rPr>
        <w:t xml:space="preserve"> </w:t>
      </w:r>
      <w:r w:rsidR="001C794D">
        <w:rPr>
          <w:rFonts w:hint="cs"/>
          <w:shd w:val="clear" w:color="auto" w:fill="FFFFFF"/>
          <w:rtl/>
        </w:rPr>
        <w:t xml:space="preserve">זאת מכוח החובות למניעת נזק עתידי למקור מים ולתיקון זיהום מים שגרם הגורם המזהם; חובות שכל עוד אינם מקוימים, יסוד האשם </w:t>
      </w:r>
      <w:proofErr w:type="spellStart"/>
      <w:r w:rsidR="001C794D">
        <w:rPr>
          <w:rFonts w:hint="cs"/>
          <w:shd w:val="clear" w:color="auto" w:fill="FFFFFF"/>
          <w:rtl/>
        </w:rPr>
        <w:t>העוולתי</w:t>
      </w:r>
      <w:proofErr w:type="spellEnd"/>
      <w:r w:rsidR="001C794D">
        <w:rPr>
          <w:rFonts w:hint="cs"/>
          <w:shd w:val="clear" w:color="auto" w:fill="FFFFFF"/>
          <w:rtl/>
        </w:rPr>
        <w:t xml:space="preserve"> מתחדש מידי יום ביומו. </w:t>
      </w:r>
      <w:r w:rsidR="001C794D">
        <w:rPr>
          <w:rFonts w:hint="cs"/>
          <w:rtl/>
        </w:rPr>
        <w:t>יתרה מכך, סיווג העוולות כעוולות נמשכות נובע גם מכך</w:t>
      </w:r>
      <w:r w:rsidR="00C12368">
        <w:rPr>
          <w:rFonts w:hint="cs"/>
          <w:rtl/>
        </w:rPr>
        <w:t xml:space="preserve"> </w:t>
      </w:r>
      <w:r w:rsidR="0039646D">
        <w:rPr>
          <w:rFonts w:hint="cs"/>
          <w:rtl/>
        </w:rPr>
        <w:t xml:space="preserve">שנזקים סביבתיים </w:t>
      </w:r>
      <w:r w:rsidR="000E599A">
        <w:rPr>
          <w:rFonts w:hint="cs"/>
          <w:rtl/>
        </w:rPr>
        <w:t xml:space="preserve">כרוכים </w:t>
      </w:r>
      <w:r w:rsidR="0039646D">
        <w:rPr>
          <w:rFonts w:hint="cs"/>
          <w:rtl/>
        </w:rPr>
        <w:t>על פי רוב</w:t>
      </w:r>
      <w:r>
        <w:rPr>
          <w:rFonts w:hint="cs"/>
          <w:rtl/>
        </w:rPr>
        <w:t xml:space="preserve"> ב</w:t>
      </w:r>
      <w:r w:rsidR="00862E10">
        <w:rPr>
          <w:rFonts w:hint="cs"/>
          <w:rtl/>
        </w:rPr>
        <w:t>"</w:t>
      </w:r>
      <w:r>
        <w:rPr>
          <w:rFonts w:hint="cs"/>
          <w:rtl/>
        </w:rPr>
        <w:t>תקופת חביון</w:t>
      </w:r>
      <w:r w:rsidR="00862E10">
        <w:rPr>
          <w:rFonts w:hint="cs"/>
          <w:rtl/>
        </w:rPr>
        <w:t>"</w:t>
      </w:r>
      <w:r>
        <w:rPr>
          <w:rFonts w:hint="cs"/>
          <w:rtl/>
        </w:rPr>
        <w:t xml:space="preserve"> </w:t>
      </w:r>
      <w:r w:rsidR="00862E10">
        <w:rPr>
          <w:rFonts w:hint="cs"/>
          <w:rtl/>
        </w:rPr>
        <w:t>ממושכת</w:t>
      </w:r>
      <w:r w:rsidR="001A5BAC">
        <w:rPr>
          <w:rFonts w:hint="cs"/>
          <w:rtl/>
        </w:rPr>
        <w:t xml:space="preserve"> ו</w:t>
      </w:r>
      <w:r w:rsidR="00E050EC">
        <w:rPr>
          <w:rFonts w:hint="cs"/>
          <w:rtl/>
        </w:rPr>
        <w:t>ב</w:t>
      </w:r>
      <w:r w:rsidR="001A5BAC">
        <w:rPr>
          <w:rFonts w:hint="cs"/>
          <w:rtl/>
        </w:rPr>
        <w:t>גילוי מאוחר</w:t>
      </w:r>
      <w:r w:rsidR="00713E7F">
        <w:rPr>
          <w:rFonts w:hint="cs"/>
          <w:rtl/>
        </w:rPr>
        <w:t xml:space="preserve"> של הנזק</w:t>
      </w:r>
      <w:r w:rsidR="0039646D">
        <w:rPr>
          <w:rFonts w:hint="cs"/>
          <w:rtl/>
        </w:rPr>
        <w:t>,</w:t>
      </w:r>
      <w:r>
        <w:rPr>
          <w:rFonts w:hint="cs"/>
          <w:rtl/>
        </w:rPr>
        <w:t xml:space="preserve"> </w:t>
      </w:r>
      <w:r w:rsidR="00862E10">
        <w:rPr>
          <w:rFonts w:hint="cs"/>
          <w:rtl/>
        </w:rPr>
        <w:t>ו</w:t>
      </w:r>
      <w:r w:rsidR="0039646D">
        <w:rPr>
          <w:rFonts w:hint="cs"/>
          <w:rtl/>
        </w:rPr>
        <w:t xml:space="preserve">משכך </w:t>
      </w:r>
      <w:r>
        <w:rPr>
          <w:rFonts w:hint="cs"/>
          <w:rtl/>
        </w:rPr>
        <w:t xml:space="preserve">טומנים </w:t>
      </w:r>
      <w:r>
        <w:rPr>
          <w:rFonts w:hint="cs"/>
          <w:rtl/>
        </w:rPr>
        <w:lastRenderedPageBreak/>
        <w:t>בחובם איום על גורל ועתיד הדורות הבאים</w:t>
      </w:r>
      <w:r w:rsidR="001C052B">
        <w:rPr>
          <w:rFonts w:hint="cs"/>
          <w:rtl/>
        </w:rPr>
        <w:t>;</w:t>
      </w:r>
      <w:r w:rsidR="00D82860">
        <w:rPr>
          <w:rFonts w:hint="cs"/>
          <w:rtl/>
        </w:rPr>
        <w:t xml:space="preserve"> מתוקף עקרונות הליבה של דיני הסביבה ובהם "צדק בין-דורי", עיקרון "המזהם משלם" ועיקרון "הזהירות המונעת"</w:t>
      </w:r>
      <w:r w:rsidR="004A5A29">
        <w:rPr>
          <w:rFonts w:hint="cs"/>
          <w:rtl/>
        </w:rPr>
        <w:t>;</w:t>
      </w:r>
      <w:r w:rsidR="00EC6F7B">
        <w:rPr>
          <w:rFonts w:hint="cs"/>
          <w:rtl/>
        </w:rPr>
        <w:t xml:space="preserve"> </w:t>
      </w:r>
      <w:r w:rsidR="004A5A29">
        <w:rPr>
          <w:rFonts w:hint="cs"/>
          <w:rtl/>
        </w:rPr>
        <w:t xml:space="preserve">ובהינתן שמקורות המים הם </w:t>
      </w:r>
      <w:r w:rsidR="006A6FDF" w:rsidRPr="00A57F2E">
        <w:rPr>
          <w:rFonts w:ascii="Century" w:hAnsi="Century" w:hint="cs"/>
          <w:shd w:val="clear" w:color="auto" w:fill="FFFFFF"/>
          <w:rtl/>
        </w:rPr>
        <w:t>אחד ממשאבי הטבע החיוניים ביותר בישראל וגם מהמוגבלים העומדים לרשותה, בין היתר בשל שינויי האקלים, הגידול באוכלוסייה ועלייה ברמת החיים</w:t>
      </w:r>
      <w:r w:rsidR="006A6FDF">
        <w:rPr>
          <w:rFonts w:hint="cs"/>
          <w:rtl/>
        </w:rPr>
        <w:t>.</w:t>
      </w:r>
      <w:r>
        <w:rPr>
          <w:rFonts w:hint="cs"/>
          <w:rtl/>
        </w:rPr>
        <w:t xml:space="preserve"> </w:t>
      </w:r>
    </w:p>
    <w:p w14:paraId="2197335B" w14:textId="77777777" w:rsidR="002B5B35" w:rsidRDefault="002B5B35" w:rsidP="00AD428F">
      <w:pPr>
        <w:pStyle w:val="Ruller41"/>
        <w:spacing w:line="240" w:lineRule="auto"/>
        <w:rPr>
          <w:rtl/>
        </w:rPr>
      </w:pPr>
    </w:p>
    <w:p w14:paraId="4099E3AE" w14:textId="15F2268A" w:rsidR="002B5B35" w:rsidRDefault="002525AD" w:rsidP="00EC5809">
      <w:pPr>
        <w:pStyle w:val="Ruller41"/>
        <w:rPr>
          <w:shd w:val="clear" w:color="auto" w:fill="FFFFFF"/>
          <w:rtl/>
        </w:rPr>
      </w:pPr>
      <w:r>
        <w:rPr>
          <w:shd w:val="clear" w:color="auto" w:fill="FFFFFF"/>
          <w:rtl/>
        </w:rPr>
        <w:tab/>
      </w:r>
      <w:r w:rsidR="0074293E">
        <w:rPr>
          <w:rFonts w:hint="cs"/>
          <w:shd w:val="clear" w:color="auto" w:fill="FFFFFF"/>
          <w:rtl/>
        </w:rPr>
        <w:t>עוד</w:t>
      </w:r>
      <w:r>
        <w:rPr>
          <w:rFonts w:hint="cs"/>
          <w:shd w:val="clear" w:color="auto" w:fill="FFFFFF"/>
          <w:rtl/>
        </w:rPr>
        <w:t xml:space="preserve"> הודגש</w:t>
      </w:r>
      <w:r w:rsidR="0074293E">
        <w:rPr>
          <w:rFonts w:hint="cs"/>
          <w:shd w:val="clear" w:color="auto" w:fill="FFFFFF"/>
          <w:rtl/>
        </w:rPr>
        <w:t xml:space="preserve"> בפסק הדין, כי </w:t>
      </w:r>
      <w:r>
        <w:rPr>
          <w:rFonts w:hint="cs"/>
          <w:shd w:val="clear" w:color="auto" w:fill="FFFFFF"/>
          <w:rtl/>
        </w:rPr>
        <w:t xml:space="preserve">התובענה הייצוגית היא כלי רב עוצמה המשמש לקידום אכיפה אזרחית יעילה במגוון תחומים בעלי חשיבות חברתית, ומן הראוי לרתום אותו גם לצורך מניעת מפגעים סביבתיים. בעוד שהגנת הסביבה היא אינטרס ציבורי ראשון במעלה, האכיפה </w:t>
      </w:r>
      <w:proofErr w:type="spellStart"/>
      <w:r>
        <w:rPr>
          <w:rFonts w:hint="cs"/>
          <w:shd w:val="clear" w:color="auto" w:fill="FFFFFF"/>
          <w:rtl/>
        </w:rPr>
        <w:t>המינהלית</w:t>
      </w:r>
      <w:proofErr w:type="spellEnd"/>
      <w:r>
        <w:rPr>
          <w:rFonts w:hint="cs"/>
          <w:shd w:val="clear" w:color="auto" w:fill="FFFFFF"/>
          <w:rtl/>
        </w:rPr>
        <w:t xml:space="preserve"> והפלילית בהקשר זה היא לא פעם מוגבלת מסיבות שונות, וספק אם יש בכוחה להשיג הרתעה יעילה של הגורמים המזהמים. </w:t>
      </w:r>
      <w:r w:rsidR="0039646D">
        <w:rPr>
          <w:rFonts w:hint="cs"/>
          <w:rtl/>
        </w:rPr>
        <w:t>בהמשך לאמור, ומשנקבע כי אין לשלול שהמשיבות עוולו בעוולות נזיקיות נמשכות, הורה בית המשפט על אישור התובענה כייצוגית.</w:t>
      </w:r>
    </w:p>
    <w:p w14:paraId="6AC057D6" w14:textId="77777777" w:rsidR="002B5B35" w:rsidRDefault="002B5B35" w:rsidP="002B5B35">
      <w:pPr>
        <w:pStyle w:val="Ruller41"/>
        <w:spacing w:line="240" w:lineRule="auto"/>
        <w:rPr>
          <w:shd w:val="clear" w:color="auto" w:fill="FFFFFF"/>
          <w:rtl/>
        </w:rPr>
      </w:pPr>
    </w:p>
    <w:p w14:paraId="6FF68D79" w14:textId="6609571C" w:rsidR="002B5B35" w:rsidRDefault="002525AD" w:rsidP="001C052B">
      <w:pPr>
        <w:pStyle w:val="Ruller41"/>
        <w:rPr>
          <w:rtl/>
        </w:rPr>
      </w:pPr>
      <w:r>
        <w:rPr>
          <w:shd w:val="clear" w:color="auto" w:fill="FFFFFF"/>
          <w:rtl/>
        </w:rPr>
        <w:tab/>
      </w:r>
    </w:p>
    <w:p w14:paraId="4857AF41" w14:textId="77777777" w:rsidR="00EA44EE" w:rsidRDefault="00EA44EE" w:rsidP="001C052B">
      <w:pPr>
        <w:pStyle w:val="Ruller41"/>
        <w:rPr>
          <w:rtl/>
        </w:rPr>
      </w:pPr>
    </w:p>
    <w:p w14:paraId="790A3D40" w14:textId="77777777" w:rsidR="004D71BD" w:rsidRDefault="004D71BD" w:rsidP="001C052B">
      <w:pPr>
        <w:pStyle w:val="Ruller41"/>
        <w:rPr>
          <w:rtl/>
        </w:rPr>
      </w:pPr>
    </w:p>
    <w:p w14:paraId="05544121" w14:textId="63F2A3A0" w:rsidR="00095E7B" w:rsidRPr="0024615A" w:rsidRDefault="00095E7B" w:rsidP="001C052B">
      <w:pPr>
        <w:pStyle w:val="Ruller41"/>
      </w:pPr>
    </w:p>
    <w:sectPr w:rsidR="00095E7B" w:rsidRPr="0024615A">
      <w:headerReference w:type="even" r:id="rId7"/>
      <w:headerReference w:type="default" r:id="rId8"/>
      <w:footerReference w:type="even" r:id="rId9"/>
      <w:footerReference w:type="first" r:id="rId10"/>
      <w:endnotePr>
        <w:numFmt w:val="lowerLetter"/>
      </w:endnotePr>
      <w:pgSz w:w="11906" w:h="16838"/>
      <w:pgMar w:top="1440" w:right="1800" w:bottom="1440" w:left="1800" w:header="720" w:footer="72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5AAEF" w14:textId="77777777" w:rsidR="00814C4F" w:rsidRDefault="00814C4F">
      <w:pPr>
        <w:spacing w:line="240" w:lineRule="auto"/>
      </w:pPr>
      <w:r>
        <w:separator/>
      </w:r>
    </w:p>
  </w:endnote>
  <w:endnote w:type="continuationSeparator" w:id="0">
    <w:p w14:paraId="0B5208FC" w14:textId="77777777" w:rsidR="00814C4F" w:rsidRDefault="00814C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Arial TUR">
    <w:charset w:val="00"/>
    <w:family w:val="swiss"/>
    <w:pitch w:val="variable"/>
    <w:sig w:usb0="E0002EFF" w:usb1="C000785B" w:usb2="00000009" w:usb3="00000000" w:csb0="000001FF" w:csb1="00000000"/>
  </w:font>
  <w:font w:name="DavidFix">
    <w:charset w:val="B1"/>
    <w:family w:val="auto"/>
    <w:pitch w:val="variable"/>
    <w:sig w:usb0="00001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Guttman Yad">
    <w:panose1 w:val="02010401010101010101"/>
    <w:charset w:val="B1"/>
    <w:family w:val="auto"/>
    <w:pitch w:val="variable"/>
    <w:sig w:usb0="00000801" w:usb1="40000000" w:usb2="00000000" w:usb3="00000000" w:csb0="0000002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85A0E" w14:textId="77777777" w:rsidR="002D044C" w:rsidRDefault="002525AD">
    <w:pPr>
      <w:pStyle w:val="a3"/>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Pr>
        <w:rStyle w:val="a4"/>
        <w:rtl/>
      </w:rPr>
      <w:t>1</w:t>
    </w:r>
    <w:r>
      <w:rPr>
        <w:rStyle w:val="a4"/>
        <w:rtl/>
      </w:rPr>
      <w:fldChar w:fldCharType="end"/>
    </w:r>
  </w:p>
  <w:p w14:paraId="5423B7A8" w14:textId="77777777" w:rsidR="002D044C" w:rsidRDefault="002D044C">
    <w:pPr>
      <w:pStyle w:val="a3"/>
      <w:rPr>
        <w:rtl/>
      </w:rPr>
    </w:pPr>
  </w:p>
  <w:p w14:paraId="79498983" w14:textId="77777777" w:rsidR="002D044C" w:rsidRDefault="002D044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C58D1" w14:textId="77777777" w:rsidR="002D044C" w:rsidRDefault="002D044C">
    <w:pPr>
      <w:pStyle w:val="a3"/>
      <w:bidi w:val="0"/>
    </w:pPr>
  </w:p>
  <w:p w14:paraId="7147F1A3" w14:textId="77777777" w:rsidR="002D044C" w:rsidRDefault="002D044C">
    <w:pPr>
      <w:pStyle w:val="a3"/>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D426B" w14:textId="77777777" w:rsidR="00814C4F" w:rsidRDefault="00814C4F">
      <w:pPr>
        <w:spacing w:line="240" w:lineRule="auto"/>
      </w:pPr>
      <w:r>
        <w:separator/>
      </w:r>
    </w:p>
  </w:footnote>
  <w:footnote w:type="continuationSeparator" w:id="0">
    <w:p w14:paraId="517F0E22" w14:textId="77777777" w:rsidR="00814C4F" w:rsidRDefault="00814C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A5904" w14:textId="77777777" w:rsidR="002D044C" w:rsidRDefault="002525AD">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Pr>
        <w:rStyle w:val="a4"/>
        <w:rtl/>
      </w:rPr>
      <w:t>1</w:t>
    </w:r>
    <w:r>
      <w:rPr>
        <w:rStyle w:val="a4"/>
        <w:rtl/>
      </w:rPr>
      <w:fldChar w:fldCharType="end"/>
    </w:r>
  </w:p>
  <w:p w14:paraId="7D25B51B" w14:textId="77777777" w:rsidR="002D044C" w:rsidRDefault="002D044C">
    <w:pPr>
      <w:pStyle w:val="a5"/>
      <w:rPr>
        <w:rtl/>
      </w:rPr>
    </w:pPr>
  </w:p>
  <w:p w14:paraId="2AA1D807" w14:textId="77777777" w:rsidR="002D044C" w:rsidRDefault="002D044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B48E7" w14:textId="0DCB6D0F" w:rsidR="002D044C" w:rsidRDefault="002525AD">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381D62">
      <w:rPr>
        <w:rStyle w:val="a4"/>
        <w:noProof/>
        <w:rtl/>
      </w:rPr>
      <w:t>3</w:t>
    </w:r>
    <w:r>
      <w:rPr>
        <w:rStyle w:val="a4"/>
        <w:rtl/>
      </w:rPr>
      <w:fldChar w:fldCharType="end"/>
    </w:r>
  </w:p>
  <w:p w14:paraId="7258763E" w14:textId="77777777" w:rsidR="002D044C" w:rsidRDefault="002D044C">
    <w:pPr>
      <w:pStyle w:val="a5"/>
      <w:rPr>
        <w:rtl/>
      </w:rPr>
    </w:pPr>
  </w:p>
  <w:p w14:paraId="46BD2ECB" w14:textId="77777777" w:rsidR="002D044C" w:rsidRDefault="002D044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6001B"/>
    <w:multiLevelType w:val="hybridMultilevel"/>
    <w:tmpl w:val="B2C4B5E4"/>
    <w:lvl w:ilvl="0" w:tplc="B6B4C84E">
      <w:start w:val="1"/>
      <w:numFmt w:val="decimal"/>
      <w:pStyle w:val="Ruller4"/>
      <w:lvlText w:val="%1."/>
      <w:lvlJc w:val="left"/>
      <w:pPr>
        <w:tabs>
          <w:tab w:val="num" w:pos="907"/>
        </w:tabs>
        <w:ind w:left="0" w:firstLine="0"/>
      </w:pPr>
      <w:rPr>
        <w:rFonts w:hint="default"/>
      </w:rPr>
    </w:lvl>
    <w:lvl w:ilvl="1" w:tplc="CC14A434" w:tentative="1">
      <w:start w:val="1"/>
      <w:numFmt w:val="lowerLetter"/>
      <w:lvlText w:val="%2."/>
      <w:lvlJc w:val="left"/>
      <w:pPr>
        <w:tabs>
          <w:tab w:val="num" w:pos="1440"/>
        </w:tabs>
        <w:ind w:left="1440" w:hanging="360"/>
      </w:pPr>
    </w:lvl>
    <w:lvl w:ilvl="2" w:tplc="D0284EFE" w:tentative="1">
      <w:start w:val="1"/>
      <w:numFmt w:val="lowerRoman"/>
      <w:lvlText w:val="%3."/>
      <w:lvlJc w:val="right"/>
      <w:pPr>
        <w:tabs>
          <w:tab w:val="num" w:pos="2160"/>
        </w:tabs>
        <w:ind w:left="2160" w:hanging="180"/>
      </w:pPr>
    </w:lvl>
    <w:lvl w:ilvl="3" w:tplc="BC0A769A" w:tentative="1">
      <w:start w:val="1"/>
      <w:numFmt w:val="decimal"/>
      <w:lvlText w:val="%4."/>
      <w:lvlJc w:val="left"/>
      <w:pPr>
        <w:tabs>
          <w:tab w:val="num" w:pos="2880"/>
        </w:tabs>
        <w:ind w:left="2880" w:hanging="360"/>
      </w:pPr>
    </w:lvl>
    <w:lvl w:ilvl="4" w:tplc="8040AA88" w:tentative="1">
      <w:start w:val="1"/>
      <w:numFmt w:val="lowerLetter"/>
      <w:lvlText w:val="%5."/>
      <w:lvlJc w:val="left"/>
      <w:pPr>
        <w:tabs>
          <w:tab w:val="num" w:pos="3600"/>
        </w:tabs>
        <w:ind w:left="3600" w:hanging="360"/>
      </w:pPr>
    </w:lvl>
    <w:lvl w:ilvl="5" w:tplc="C540E40E" w:tentative="1">
      <w:start w:val="1"/>
      <w:numFmt w:val="lowerRoman"/>
      <w:lvlText w:val="%6."/>
      <w:lvlJc w:val="right"/>
      <w:pPr>
        <w:tabs>
          <w:tab w:val="num" w:pos="4320"/>
        </w:tabs>
        <w:ind w:left="4320" w:hanging="180"/>
      </w:pPr>
    </w:lvl>
    <w:lvl w:ilvl="6" w:tplc="98744676" w:tentative="1">
      <w:start w:val="1"/>
      <w:numFmt w:val="decimal"/>
      <w:lvlText w:val="%7."/>
      <w:lvlJc w:val="left"/>
      <w:pPr>
        <w:tabs>
          <w:tab w:val="num" w:pos="5040"/>
        </w:tabs>
        <w:ind w:left="5040" w:hanging="360"/>
      </w:pPr>
    </w:lvl>
    <w:lvl w:ilvl="7" w:tplc="83F830B0" w:tentative="1">
      <w:start w:val="1"/>
      <w:numFmt w:val="lowerLetter"/>
      <w:lvlText w:val="%8."/>
      <w:lvlJc w:val="left"/>
      <w:pPr>
        <w:tabs>
          <w:tab w:val="num" w:pos="5760"/>
        </w:tabs>
        <w:ind w:left="5760" w:hanging="360"/>
      </w:pPr>
    </w:lvl>
    <w:lvl w:ilvl="8" w:tplc="2C8A2510" w:tentative="1">
      <w:start w:val="1"/>
      <w:numFmt w:val="lowerRoman"/>
      <w:lvlText w:val="%9."/>
      <w:lvlJc w:val="right"/>
      <w:pPr>
        <w:tabs>
          <w:tab w:val="num" w:pos="6480"/>
        </w:tabs>
        <w:ind w:left="6480" w:hanging="180"/>
      </w:pPr>
    </w:lvl>
  </w:abstractNum>
  <w:abstractNum w:abstractNumId="1" w15:restartNumberingAfterBreak="0">
    <w:nsid w:val="4FE70B62"/>
    <w:multiLevelType w:val="hybridMultilevel"/>
    <w:tmpl w:val="ADA8711E"/>
    <w:lvl w:ilvl="0" w:tplc="B2421F60">
      <w:start w:val="1"/>
      <w:numFmt w:val="hebrew1"/>
      <w:pStyle w:val="Ruller40"/>
      <w:lvlText w:val="%1."/>
      <w:lvlJc w:val="left"/>
      <w:pPr>
        <w:tabs>
          <w:tab w:val="num" w:pos="907"/>
        </w:tabs>
        <w:ind w:left="0" w:firstLine="0"/>
      </w:pPr>
      <w:rPr>
        <w:rFonts w:hint="default"/>
      </w:rPr>
    </w:lvl>
    <w:lvl w:ilvl="1" w:tplc="0F6CFCB6" w:tentative="1">
      <w:start w:val="1"/>
      <w:numFmt w:val="lowerLetter"/>
      <w:lvlText w:val="%2."/>
      <w:lvlJc w:val="left"/>
      <w:pPr>
        <w:tabs>
          <w:tab w:val="num" w:pos="1440"/>
        </w:tabs>
        <w:ind w:left="1440" w:hanging="360"/>
      </w:pPr>
    </w:lvl>
    <w:lvl w:ilvl="2" w:tplc="8DBAA4FE" w:tentative="1">
      <w:start w:val="1"/>
      <w:numFmt w:val="lowerRoman"/>
      <w:lvlText w:val="%3."/>
      <w:lvlJc w:val="right"/>
      <w:pPr>
        <w:tabs>
          <w:tab w:val="num" w:pos="2160"/>
        </w:tabs>
        <w:ind w:left="2160" w:hanging="180"/>
      </w:pPr>
    </w:lvl>
    <w:lvl w:ilvl="3" w:tplc="4E5EED86" w:tentative="1">
      <w:start w:val="1"/>
      <w:numFmt w:val="decimal"/>
      <w:lvlText w:val="%4."/>
      <w:lvlJc w:val="left"/>
      <w:pPr>
        <w:tabs>
          <w:tab w:val="num" w:pos="2880"/>
        </w:tabs>
        <w:ind w:left="2880" w:hanging="360"/>
      </w:pPr>
    </w:lvl>
    <w:lvl w:ilvl="4" w:tplc="BF3A8AAC" w:tentative="1">
      <w:start w:val="1"/>
      <w:numFmt w:val="lowerLetter"/>
      <w:lvlText w:val="%5."/>
      <w:lvlJc w:val="left"/>
      <w:pPr>
        <w:tabs>
          <w:tab w:val="num" w:pos="3600"/>
        </w:tabs>
        <w:ind w:left="3600" w:hanging="360"/>
      </w:pPr>
    </w:lvl>
    <w:lvl w:ilvl="5" w:tplc="7F60EB64" w:tentative="1">
      <w:start w:val="1"/>
      <w:numFmt w:val="lowerRoman"/>
      <w:lvlText w:val="%6."/>
      <w:lvlJc w:val="right"/>
      <w:pPr>
        <w:tabs>
          <w:tab w:val="num" w:pos="4320"/>
        </w:tabs>
        <w:ind w:left="4320" w:hanging="180"/>
      </w:pPr>
    </w:lvl>
    <w:lvl w:ilvl="6" w:tplc="1CB0CEAA" w:tentative="1">
      <w:start w:val="1"/>
      <w:numFmt w:val="decimal"/>
      <w:lvlText w:val="%7."/>
      <w:lvlJc w:val="left"/>
      <w:pPr>
        <w:tabs>
          <w:tab w:val="num" w:pos="5040"/>
        </w:tabs>
        <w:ind w:left="5040" w:hanging="360"/>
      </w:pPr>
    </w:lvl>
    <w:lvl w:ilvl="7" w:tplc="C616E00E" w:tentative="1">
      <w:start w:val="1"/>
      <w:numFmt w:val="lowerLetter"/>
      <w:lvlText w:val="%8."/>
      <w:lvlJc w:val="left"/>
      <w:pPr>
        <w:tabs>
          <w:tab w:val="num" w:pos="5760"/>
        </w:tabs>
        <w:ind w:left="5760" w:hanging="360"/>
      </w:pPr>
    </w:lvl>
    <w:lvl w:ilvl="8" w:tplc="3A2C0640"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7C"/>
    <w:rsid w:val="00006F39"/>
    <w:rsid w:val="000164D8"/>
    <w:rsid w:val="00020E06"/>
    <w:rsid w:val="00021638"/>
    <w:rsid w:val="00024E77"/>
    <w:rsid w:val="00064573"/>
    <w:rsid w:val="00072C1D"/>
    <w:rsid w:val="0009258F"/>
    <w:rsid w:val="00095E7B"/>
    <w:rsid w:val="000A6ABA"/>
    <w:rsid w:val="000B2ECF"/>
    <w:rsid w:val="000B7CB1"/>
    <w:rsid w:val="000C0407"/>
    <w:rsid w:val="000D20EC"/>
    <w:rsid w:val="000D2976"/>
    <w:rsid w:val="000D4CD3"/>
    <w:rsid w:val="000E599A"/>
    <w:rsid w:val="000E727A"/>
    <w:rsid w:val="000F5245"/>
    <w:rsid w:val="000F6A92"/>
    <w:rsid w:val="0010484A"/>
    <w:rsid w:val="0010649F"/>
    <w:rsid w:val="00163FC8"/>
    <w:rsid w:val="001804BE"/>
    <w:rsid w:val="0018467D"/>
    <w:rsid w:val="00190B7D"/>
    <w:rsid w:val="00194B33"/>
    <w:rsid w:val="001A4CA3"/>
    <w:rsid w:val="001A5BAC"/>
    <w:rsid w:val="001C052B"/>
    <w:rsid w:val="001C1CD4"/>
    <w:rsid w:val="001C289E"/>
    <w:rsid w:val="001C3A72"/>
    <w:rsid w:val="001C794D"/>
    <w:rsid w:val="001E024A"/>
    <w:rsid w:val="001E1AA2"/>
    <w:rsid w:val="001F39B0"/>
    <w:rsid w:val="001F69E3"/>
    <w:rsid w:val="002076CE"/>
    <w:rsid w:val="00212AFB"/>
    <w:rsid w:val="002219EB"/>
    <w:rsid w:val="00222887"/>
    <w:rsid w:val="00227345"/>
    <w:rsid w:val="00230156"/>
    <w:rsid w:val="0024317F"/>
    <w:rsid w:val="0024615A"/>
    <w:rsid w:val="002525AD"/>
    <w:rsid w:val="00254B7B"/>
    <w:rsid w:val="00267300"/>
    <w:rsid w:val="002B25BB"/>
    <w:rsid w:val="002B3337"/>
    <w:rsid w:val="002B390C"/>
    <w:rsid w:val="002B5B35"/>
    <w:rsid w:val="002B7497"/>
    <w:rsid w:val="002C120E"/>
    <w:rsid w:val="002C1541"/>
    <w:rsid w:val="002C2AF4"/>
    <w:rsid w:val="002C6A88"/>
    <w:rsid w:val="002D044C"/>
    <w:rsid w:val="002E4ECB"/>
    <w:rsid w:val="002E694B"/>
    <w:rsid w:val="002E6ECE"/>
    <w:rsid w:val="002F0EBE"/>
    <w:rsid w:val="002F5553"/>
    <w:rsid w:val="00304FA2"/>
    <w:rsid w:val="00306A29"/>
    <w:rsid w:val="003100DA"/>
    <w:rsid w:val="00311FB2"/>
    <w:rsid w:val="00320125"/>
    <w:rsid w:val="00344285"/>
    <w:rsid w:val="00360D16"/>
    <w:rsid w:val="00365A27"/>
    <w:rsid w:val="00381D62"/>
    <w:rsid w:val="0039646D"/>
    <w:rsid w:val="003A351F"/>
    <w:rsid w:val="003D1D6E"/>
    <w:rsid w:val="003D51F1"/>
    <w:rsid w:val="003E1D52"/>
    <w:rsid w:val="003E41A0"/>
    <w:rsid w:val="003E4ABA"/>
    <w:rsid w:val="003F3926"/>
    <w:rsid w:val="00404CC4"/>
    <w:rsid w:val="00405772"/>
    <w:rsid w:val="00406A1D"/>
    <w:rsid w:val="00437CC1"/>
    <w:rsid w:val="004403F1"/>
    <w:rsid w:val="0046584A"/>
    <w:rsid w:val="004922A6"/>
    <w:rsid w:val="004A00E1"/>
    <w:rsid w:val="004A3AB8"/>
    <w:rsid w:val="004A5A29"/>
    <w:rsid w:val="004B2948"/>
    <w:rsid w:val="004D4BCB"/>
    <w:rsid w:val="004D6812"/>
    <w:rsid w:val="004D71BD"/>
    <w:rsid w:val="004D7E67"/>
    <w:rsid w:val="004E147C"/>
    <w:rsid w:val="004E3142"/>
    <w:rsid w:val="004F1D87"/>
    <w:rsid w:val="00515999"/>
    <w:rsid w:val="005215C7"/>
    <w:rsid w:val="005320C4"/>
    <w:rsid w:val="005B01CA"/>
    <w:rsid w:val="005B0C21"/>
    <w:rsid w:val="005B642B"/>
    <w:rsid w:val="005D29C7"/>
    <w:rsid w:val="005D6398"/>
    <w:rsid w:val="005E774C"/>
    <w:rsid w:val="005E7821"/>
    <w:rsid w:val="005F1C3E"/>
    <w:rsid w:val="005F6E31"/>
    <w:rsid w:val="006073F7"/>
    <w:rsid w:val="00617540"/>
    <w:rsid w:val="00622AAB"/>
    <w:rsid w:val="006463C0"/>
    <w:rsid w:val="00647972"/>
    <w:rsid w:val="00653164"/>
    <w:rsid w:val="006649F8"/>
    <w:rsid w:val="00667670"/>
    <w:rsid w:val="00673854"/>
    <w:rsid w:val="006760FF"/>
    <w:rsid w:val="0067747F"/>
    <w:rsid w:val="00677CCF"/>
    <w:rsid w:val="00682B8E"/>
    <w:rsid w:val="006841B5"/>
    <w:rsid w:val="00692DF7"/>
    <w:rsid w:val="006A273B"/>
    <w:rsid w:val="006A6B7E"/>
    <w:rsid w:val="006A6FDF"/>
    <w:rsid w:val="006C1457"/>
    <w:rsid w:val="006D44B6"/>
    <w:rsid w:val="006D5502"/>
    <w:rsid w:val="006E0822"/>
    <w:rsid w:val="006E608D"/>
    <w:rsid w:val="00712C0D"/>
    <w:rsid w:val="00713E7F"/>
    <w:rsid w:val="00720DD8"/>
    <w:rsid w:val="00734E7B"/>
    <w:rsid w:val="00742049"/>
    <w:rsid w:val="0074293E"/>
    <w:rsid w:val="007457EF"/>
    <w:rsid w:val="00747BBF"/>
    <w:rsid w:val="0075237A"/>
    <w:rsid w:val="00756F06"/>
    <w:rsid w:val="007603C3"/>
    <w:rsid w:val="007C024A"/>
    <w:rsid w:val="007D0F1F"/>
    <w:rsid w:val="007D54D2"/>
    <w:rsid w:val="008044FC"/>
    <w:rsid w:val="00814C4F"/>
    <w:rsid w:val="00816F92"/>
    <w:rsid w:val="00824761"/>
    <w:rsid w:val="008276F7"/>
    <w:rsid w:val="00834802"/>
    <w:rsid w:val="00855B56"/>
    <w:rsid w:val="008567A6"/>
    <w:rsid w:val="00856A09"/>
    <w:rsid w:val="00862E10"/>
    <w:rsid w:val="008647F4"/>
    <w:rsid w:val="00871866"/>
    <w:rsid w:val="00874E8F"/>
    <w:rsid w:val="0087757C"/>
    <w:rsid w:val="00880BA5"/>
    <w:rsid w:val="008A397C"/>
    <w:rsid w:val="008B2508"/>
    <w:rsid w:val="008B2605"/>
    <w:rsid w:val="008E6C36"/>
    <w:rsid w:val="008F249C"/>
    <w:rsid w:val="00915FEE"/>
    <w:rsid w:val="0092421A"/>
    <w:rsid w:val="0092473C"/>
    <w:rsid w:val="009329ED"/>
    <w:rsid w:val="00932DB2"/>
    <w:rsid w:val="00953DBB"/>
    <w:rsid w:val="00954640"/>
    <w:rsid w:val="00956D4B"/>
    <w:rsid w:val="00956F05"/>
    <w:rsid w:val="009651BF"/>
    <w:rsid w:val="0097777C"/>
    <w:rsid w:val="009922A6"/>
    <w:rsid w:val="00995C07"/>
    <w:rsid w:val="00996F65"/>
    <w:rsid w:val="009A35ED"/>
    <w:rsid w:val="009B5E2F"/>
    <w:rsid w:val="009D467D"/>
    <w:rsid w:val="009E088D"/>
    <w:rsid w:val="009F432B"/>
    <w:rsid w:val="00A065FC"/>
    <w:rsid w:val="00A108FF"/>
    <w:rsid w:val="00A160BF"/>
    <w:rsid w:val="00A16AD0"/>
    <w:rsid w:val="00A270C2"/>
    <w:rsid w:val="00A34C14"/>
    <w:rsid w:val="00A55AC3"/>
    <w:rsid w:val="00A57F2E"/>
    <w:rsid w:val="00A642FC"/>
    <w:rsid w:val="00A6437C"/>
    <w:rsid w:val="00A719D9"/>
    <w:rsid w:val="00A81E51"/>
    <w:rsid w:val="00A83C67"/>
    <w:rsid w:val="00A91186"/>
    <w:rsid w:val="00A92647"/>
    <w:rsid w:val="00AB17B5"/>
    <w:rsid w:val="00AD1836"/>
    <w:rsid w:val="00AD428F"/>
    <w:rsid w:val="00AE28BA"/>
    <w:rsid w:val="00AE2AC0"/>
    <w:rsid w:val="00AF4C42"/>
    <w:rsid w:val="00B02C0B"/>
    <w:rsid w:val="00B04933"/>
    <w:rsid w:val="00B13DCB"/>
    <w:rsid w:val="00B14131"/>
    <w:rsid w:val="00B15CC3"/>
    <w:rsid w:val="00B278D9"/>
    <w:rsid w:val="00B33460"/>
    <w:rsid w:val="00B423FE"/>
    <w:rsid w:val="00B478E7"/>
    <w:rsid w:val="00B5465E"/>
    <w:rsid w:val="00B571F4"/>
    <w:rsid w:val="00B7785D"/>
    <w:rsid w:val="00B83D24"/>
    <w:rsid w:val="00B94695"/>
    <w:rsid w:val="00BB0FBF"/>
    <w:rsid w:val="00BD073D"/>
    <w:rsid w:val="00BE389F"/>
    <w:rsid w:val="00BE43A1"/>
    <w:rsid w:val="00BF532D"/>
    <w:rsid w:val="00C12368"/>
    <w:rsid w:val="00C1683B"/>
    <w:rsid w:val="00C22776"/>
    <w:rsid w:val="00C442AC"/>
    <w:rsid w:val="00C6383C"/>
    <w:rsid w:val="00C72486"/>
    <w:rsid w:val="00C834DA"/>
    <w:rsid w:val="00C86F90"/>
    <w:rsid w:val="00CA04EF"/>
    <w:rsid w:val="00CA46B3"/>
    <w:rsid w:val="00CC3963"/>
    <w:rsid w:val="00CD4CE9"/>
    <w:rsid w:val="00CE14E1"/>
    <w:rsid w:val="00CF5B1C"/>
    <w:rsid w:val="00D13403"/>
    <w:rsid w:val="00D157D4"/>
    <w:rsid w:val="00D24750"/>
    <w:rsid w:val="00D35095"/>
    <w:rsid w:val="00D506DE"/>
    <w:rsid w:val="00D511DD"/>
    <w:rsid w:val="00D552BF"/>
    <w:rsid w:val="00D7309B"/>
    <w:rsid w:val="00D746B8"/>
    <w:rsid w:val="00D82860"/>
    <w:rsid w:val="00D83087"/>
    <w:rsid w:val="00D96A04"/>
    <w:rsid w:val="00DB03AA"/>
    <w:rsid w:val="00DE6B0D"/>
    <w:rsid w:val="00DF2933"/>
    <w:rsid w:val="00E050EC"/>
    <w:rsid w:val="00E12233"/>
    <w:rsid w:val="00E14012"/>
    <w:rsid w:val="00E276C1"/>
    <w:rsid w:val="00E44C15"/>
    <w:rsid w:val="00E55704"/>
    <w:rsid w:val="00E749DA"/>
    <w:rsid w:val="00E76D54"/>
    <w:rsid w:val="00EA1395"/>
    <w:rsid w:val="00EA44EE"/>
    <w:rsid w:val="00EA6060"/>
    <w:rsid w:val="00EB2628"/>
    <w:rsid w:val="00EB462F"/>
    <w:rsid w:val="00EC2864"/>
    <w:rsid w:val="00EC5809"/>
    <w:rsid w:val="00EC6F7B"/>
    <w:rsid w:val="00ED46A8"/>
    <w:rsid w:val="00ED7E0B"/>
    <w:rsid w:val="00EE19AE"/>
    <w:rsid w:val="00EE2D4A"/>
    <w:rsid w:val="00F031AC"/>
    <w:rsid w:val="00F12C64"/>
    <w:rsid w:val="00F12DB9"/>
    <w:rsid w:val="00F33239"/>
    <w:rsid w:val="00F6085C"/>
    <w:rsid w:val="00F60A9E"/>
    <w:rsid w:val="00F60FF4"/>
    <w:rsid w:val="00F66BB1"/>
    <w:rsid w:val="00F75B32"/>
    <w:rsid w:val="00F76209"/>
    <w:rsid w:val="00F76B1C"/>
    <w:rsid w:val="00F85A9B"/>
    <w:rsid w:val="00F8734F"/>
    <w:rsid w:val="00F94205"/>
    <w:rsid w:val="00FA0309"/>
    <w:rsid w:val="00FA075F"/>
    <w:rsid w:val="00FA0B8F"/>
    <w:rsid w:val="00FA7EB3"/>
    <w:rsid w:val="00FB568A"/>
    <w:rsid w:val="00FB5994"/>
    <w:rsid w:val="00FB5B7A"/>
    <w:rsid w:val="00FB769F"/>
    <w:rsid w:val="00FD7514"/>
    <w:rsid w:val="00FE3EC0"/>
    <w:rsid w:val="00FE650B"/>
    <w:rsid w:val="00FF34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13D59D"/>
  <w15:chartTrackingRefBased/>
  <w15:docId w15:val="{4A47ADB8-1F5D-4F2B-8D5D-E5CE442E4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19EB"/>
    <w:pPr>
      <w:overflowPunct w:val="0"/>
      <w:autoSpaceDE w:val="0"/>
      <w:autoSpaceDN w:val="0"/>
      <w:bidi/>
      <w:adjustRightInd w:val="0"/>
      <w:spacing w:line="360" w:lineRule="auto"/>
      <w:textAlignment w:val="baseline"/>
    </w:pPr>
    <w:rPr>
      <w:rFonts w:ascii="Century" w:hAnsi="Century" w:cs="FrankRuehl"/>
      <w:spacing w:val="1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ller3">
    <w:name w:val="Ruller 3"/>
    <w:basedOn w:val="a"/>
    <w:link w:val="Ruller30"/>
    <w:rsid w:val="00D506DE"/>
    <w:pPr>
      <w:tabs>
        <w:tab w:val="left" w:pos="3210"/>
        <w:tab w:val="left" w:pos="6753"/>
      </w:tabs>
    </w:pPr>
    <w:rPr>
      <w:sz w:val="22"/>
    </w:rPr>
  </w:style>
  <w:style w:type="paragraph" w:customStyle="1" w:styleId="Pskdinhead">
    <w:name w:val="Pskdin head"/>
    <w:basedOn w:val="a"/>
    <w:rPr>
      <w:b/>
      <w:bCs/>
      <w:u w:val="single"/>
    </w:rPr>
  </w:style>
  <w:style w:type="paragraph" w:customStyle="1" w:styleId="FileNumber">
    <w:name w:val="File Number"/>
    <w:basedOn w:val="a"/>
    <w:pPr>
      <w:jc w:val="right"/>
    </w:pPr>
    <w:rPr>
      <w:bCs/>
    </w:rPr>
  </w:style>
  <w:style w:type="paragraph" w:customStyle="1" w:styleId="FirstpagestylePsakdin">
    <w:name w:val="First page style Psak din"/>
    <w:basedOn w:val="Ruller3"/>
    <w:pPr>
      <w:tabs>
        <w:tab w:val="clear" w:pos="3210"/>
        <w:tab w:val="left" w:pos="3209"/>
      </w:tabs>
    </w:pPr>
    <w:rPr>
      <w:bCs/>
    </w:rPr>
  </w:style>
  <w:style w:type="paragraph" w:customStyle="1" w:styleId="TyutaDate">
    <w:name w:val="Tyuta Date"/>
    <w:basedOn w:val="a"/>
    <w:pPr>
      <w:jc w:val="center"/>
    </w:pPr>
    <w:rPr>
      <w:b/>
      <w:bCs/>
      <w:i/>
      <w:iCs/>
      <w:sz w:val="28"/>
    </w:rPr>
  </w:style>
  <w:style w:type="paragraph" w:customStyle="1" w:styleId="DocumentHead">
    <w:name w:val="Document Head"/>
    <w:basedOn w:val="a"/>
    <w:pPr>
      <w:jc w:val="center"/>
    </w:pPr>
    <w:rPr>
      <w:bCs/>
      <w:spacing w:val="30"/>
      <w:u w:val="single"/>
    </w:rPr>
  </w:style>
  <w:style w:type="paragraph" w:customStyle="1" w:styleId="TfutzaList">
    <w:name w:val="Tfutza List"/>
    <w:basedOn w:val="a"/>
    <w:rPr>
      <w:i/>
      <w:iCs/>
    </w:rPr>
  </w:style>
  <w:style w:type="paragraph" w:customStyle="1" w:styleId="Ruller41">
    <w:name w:val="Ruller4"/>
    <w:basedOn w:val="a"/>
    <w:link w:val="Ruller42"/>
    <w:rsid w:val="00D506DE"/>
    <w:pPr>
      <w:tabs>
        <w:tab w:val="left" w:pos="800"/>
      </w:tabs>
      <w:jc w:val="both"/>
    </w:pPr>
    <w:rPr>
      <w:rFonts w:ascii="Arial TUR" w:hAnsi="Arial TUR"/>
      <w:sz w:val="22"/>
    </w:rPr>
  </w:style>
  <w:style w:type="paragraph" w:customStyle="1" w:styleId="Ruller5">
    <w:name w:val="Ruller5"/>
    <w:basedOn w:val="a"/>
    <w:rsid w:val="00D506DE"/>
    <w:pPr>
      <w:spacing w:line="240" w:lineRule="auto"/>
      <w:ind w:left="1644" w:right="1276"/>
      <w:jc w:val="both"/>
    </w:pPr>
    <w:rPr>
      <w:rFonts w:ascii="Arial TUR" w:hAnsi="Arial TUR"/>
      <w:sz w:val="22"/>
    </w:rPr>
  </w:style>
  <w:style w:type="paragraph" w:customStyle="1" w:styleId="Ruller6">
    <w:name w:val="Ruller6"/>
    <w:basedOn w:val="a"/>
    <w:rsid w:val="00D506DE"/>
    <w:pPr>
      <w:tabs>
        <w:tab w:val="left" w:pos="794"/>
        <w:tab w:val="left" w:pos="2268"/>
        <w:tab w:val="left" w:pos="5783"/>
        <w:tab w:val="left" w:pos="7371"/>
      </w:tabs>
    </w:pPr>
    <w:rPr>
      <w:rFonts w:ascii="Arial TUR" w:hAnsi="Arial TUR" w:cs="DavidFix"/>
      <w:sz w:val="22"/>
      <w:szCs w:val="20"/>
    </w:rPr>
  </w:style>
  <w:style w:type="character" w:customStyle="1" w:styleId="Delete">
    <w:name w:val="Delete"/>
    <w:rPr>
      <w:strike/>
    </w:rPr>
  </w:style>
  <w:style w:type="paragraph" w:customStyle="1" w:styleId="WriterName">
    <w:name w:val="Writer Name"/>
    <w:basedOn w:val="Ruller41"/>
    <w:next w:val="Ruller41"/>
    <w:rPr>
      <w:rFonts w:cs="David"/>
      <w:b/>
      <w:bCs/>
      <w:u w:val="single"/>
    </w:rPr>
  </w:style>
  <w:style w:type="character" w:customStyle="1" w:styleId="Hand">
    <w:name w:val="Hand"/>
    <w:rPr>
      <w:rFonts w:cs="Guttman Yad"/>
    </w:rPr>
  </w:style>
  <w:style w:type="paragraph" w:styleId="a3">
    <w:name w:val="footer"/>
    <w:basedOn w:val="a"/>
    <w:pPr>
      <w:tabs>
        <w:tab w:val="center" w:pos="4153"/>
        <w:tab w:val="right" w:pos="8306"/>
      </w:tabs>
    </w:pPr>
  </w:style>
  <w:style w:type="character" w:styleId="a4">
    <w:name w:val="page number"/>
    <w:basedOn w:val="a0"/>
  </w:style>
  <w:style w:type="paragraph" w:styleId="a5">
    <w:name w:val="header"/>
    <w:basedOn w:val="a"/>
    <w:pPr>
      <w:tabs>
        <w:tab w:val="center" w:pos="4153"/>
        <w:tab w:val="right" w:pos="8306"/>
      </w:tabs>
    </w:pPr>
  </w:style>
  <w:style w:type="paragraph" w:customStyle="1" w:styleId="2">
    <w:name w:val="ñâðåï2"/>
    <w:basedOn w:val="a"/>
    <w:pPr>
      <w:overflowPunct/>
      <w:textAlignment w:val="auto"/>
    </w:pPr>
    <w:rPr>
      <w:rFonts w:cs="Times New Roman"/>
    </w:rPr>
  </w:style>
  <w:style w:type="paragraph" w:customStyle="1" w:styleId="Casenameintextbody">
    <w:name w:val="Case name in text body"/>
    <w:basedOn w:val="a"/>
    <w:pPr>
      <w:overflowPunct/>
      <w:jc w:val="right"/>
      <w:textAlignment w:val="auto"/>
    </w:pPr>
    <w:rPr>
      <w:rFonts w:cs="Times New Roman"/>
      <w:b/>
      <w:bCs/>
      <w:u w:val="single"/>
    </w:rPr>
  </w:style>
  <w:style w:type="paragraph" w:customStyle="1" w:styleId="precasestyle">
    <w:name w:val="pre_case style"/>
    <w:basedOn w:val="a"/>
    <w:pPr>
      <w:tabs>
        <w:tab w:val="left" w:pos="2552"/>
      </w:tabs>
      <w:overflowPunct/>
      <w:ind w:right="2549"/>
      <w:textAlignment w:val="auto"/>
    </w:pPr>
    <w:rPr>
      <w:rFonts w:cs="Times New Roman"/>
    </w:rPr>
  </w:style>
  <w:style w:type="paragraph" w:customStyle="1" w:styleId="BodyRuller">
    <w:name w:val="Body Ruller"/>
    <w:basedOn w:val="a"/>
    <w:link w:val="BodyRuller0"/>
    <w:rsid w:val="00B94695"/>
    <w:rPr>
      <w:sz w:val="22"/>
    </w:rPr>
  </w:style>
  <w:style w:type="paragraph" w:customStyle="1" w:styleId="Ruller38">
    <w:name w:val="סגנון Ruller 3 + (מורכב) ‏8 נק"/>
    <w:basedOn w:val="BodyRuller"/>
    <w:link w:val="Ruller380"/>
    <w:rsid w:val="004D7E67"/>
    <w:rPr>
      <w:szCs w:val="16"/>
    </w:rPr>
  </w:style>
  <w:style w:type="character" w:customStyle="1" w:styleId="Ruller30">
    <w:name w:val="Ruller 3 תו"/>
    <w:link w:val="Ruller3"/>
    <w:rsid w:val="004D7E67"/>
    <w:rPr>
      <w:rFonts w:cs="FrankRuehl"/>
      <w:sz w:val="22"/>
      <w:szCs w:val="28"/>
      <w:lang w:val="en-US" w:eastAsia="en-US" w:bidi="he-IL"/>
    </w:rPr>
  </w:style>
  <w:style w:type="character" w:customStyle="1" w:styleId="BodyRuller0">
    <w:name w:val="Body Ruller תו"/>
    <w:link w:val="BodyRuller"/>
    <w:rsid w:val="00B94695"/>
    <w:rPr>
      <w:rFonts w:cs="David"/>
      <w:sz w:val="22"/>
      <w:szCs w:val="28"/>
      <w:lang w:val="en-US" w:eastAsia="en-US" w:bidi="he-IL"/>
    </w:rPr>
  </w:style>
  <w:style w:type="character" w:customStyle="1" w:styleId="Ruller380">
    <w:name w:val="סגנון Ruller 3 + (מורכב) ‏8 נק תו"/>
    <w:link w:val="Ruller38"/>
    <w:rsid w:val="004D7E67"/>
    <w:rPr>
      <w:rFonts w:cs="David"/>
      <w:sz w:val="22"/>
      <w:szCs w:val="16"/>
      <w:lang w:val="en-US" w:eastAsia="en-US" w:bidi="he-IL"/>
    </w:rPr>
  </w:style>
  <w:style w:type="paragraph" w:customStyle="1" w:styleId="Ruller4">
    <w:name w:val="Ruller 4 ממוספר"/>
    <w:basedOn w:val="Ruller41"/>
    <w:next w:val="Ruller41"/>
    <w:rsid w:val="00956F05"/>
    <w:pPr>
      <w:numPr>
        <w:numId w:val="1"/>
      </w:numPr>
    </w:pPr>
    <w:rPr>
      <w:rFonts w:ascii="Garamond" w:hAnsi="Garamond"/>
      <w:sz w:val="24"/>
    </w:rPr>
  </w:style>
  <w:style w:type="paragraph" w:customStyle="1" w:styleId="Ruller40">
    <w:name w:val="Ruller4 אלפביתי"/>
    <w:basedOn w:val="Ruller41"/>
    <w:next w:val="Ruller41"/>
    <w:rsid w:val="00D511DD"/>
    <w:pPr>
      <w:numPr>
        <w:numId w:val="2"/>
      </w:numPr>
    </w:pPr>
  </w:style>
  <w:style w:type="character" w:customStyle="1" w:styleId="Ruller42">
    <w:name w:val="Ruller4 תו"/>
    <w:basedOn w:val="a0"/>
    <w:link w:val="Ruller41"/>
    <w:locked/>
    <w:rsid w:val="00A92647"/>
    <w:rPr>
      <w:rFonts w:ascii="Arial TUR" w:hAnsi="Arial TUR" w:cs="FrankRuehl"/>
      <w:spacing w:val="10"/>
      <w:sz w:val="22"/>
      <w:szCs w:val="28"/>
    </w:rPr>
  </w:style>
  <w:style w:type="paragraph" w:styleId="a6">
    <w:name w:val="Balloon Text"/>
    <w:basedOn w:val="a"/>
    <w:link w:val="a7"/>
    <w:semiHidden/>
    <w:unhideWhenUsed/>
    <w:rsid w:val="00EC5809"/>
    <w:pPr>
      <w:spacing w:line="240" w:lineRule="auto"/>
    </w:pPr>
    <w:rPr>
      <w:rFonts w:ascii="Tahoma" w:hAnsi="Tahoma" w:cs="Tahoma"/>
      <w:sz w:val="18"/>
      <w:szCs w:val="18"/>
    </w:rPr>
  </w:style>
  <w:style w:type="character" w:customStyle="1" w:styleId="a7">
    <w:name w:val="טקסט בלונים תו"/>
    <w:basedOn w:val="a0"/>
    <w:link w:val="a6"/>
    <w:semiHidden/>
    <w:rsid w:val="00EC5809"/>
    <w:rPr>
      <w:rFonts w:ascii="Tahoma" w:hAnsi="Tahoma" w:cs="Tahoma"/>
      <w:spacing w:val="10"/>
      <w:sz w:val="18"/>
      <w:szCs w:val="18"/>
    </w:rPr>
  </w:style>
  <w:style w:type="paragraph" w:styleId="a8">
    <w:name w:val="Revision"/>
    <w:hidden/>
    <w:uiPriority w:val="99"/>
    <w:semiHidden/>
    <w:rsid w:val="000164D8"/>
    <w:rPr>
      <w:rFonts w:ascii="Century" w:hAnsi="Century" w:cs="FrankRuehl"/>
      <w:spacing w:val="1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811</Words>
  <Characters>4057</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רותם כהן</dc:creator>
  <cp:lastModifiedBy>אסתר טטרואשילי</cp:lastModifiedBy>
  <cp:revision>2</cp:revision>
  <dcterms:created xsi:type="dcterms:W3CDTF">2023-10-15T13:21:00Z</dcterms:created>
  <dcterms:modified xsi:type="dcterms:W3CDTF">2023-10-15T13:21:00Z</dcterms:modified>
</cp:coreProperties>
</file>