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94424E" w:rsidP="00D44968">
            <w:pPr>
              <w:suppressLineNumbers/>
              <w:jc w:val="both"/>
              <w:rPr>
                <w:rFonts w:ascii="Arial" w:hAnsi="Arial"/>
                <w:b/>
                <w:bCs/>
                <w:rtl/>
              </w:rPr>
            </w:pPr>
            <w:r>
              <w:rPr>
                <w:rFonts w:ascii="Arial" w:hAnsi="Arial" w:hint="cs"/>
                <w:b/>
                <w:bCs/>
                <w:rtl/>
              </w:rPr>
              <w:t>ב</w:t>
            </w:r>
            <w:r>
              <w:rPr>
                <w:rFonts w:ascii="Arial" w:hAnsi="Arial"/>
                <w:b/>
                <w:bCs/>
                <w:rtl/>
              </w:rPr>
              <w:t xml:space="preserve">פני </w:t>
            </w:r>
          </w:p>
        </w:tc>
        <w:tc>
          <w:tcPr>
            <w:tcW w:w="8077" w:type="dxa"/>
            <w:gridSpan w:val="2"/>
          </w:tcPr>
          <w:p w:rsidR="0094424E" w:rsidRDefault="000529D2" w:rsidP="006036F6">
            <w:pPr>
              <w:suppressLineNumbers/>
              <w:rPr>
                <w:rFonts w:ascii="Arial" w:hAnsi="Arial"/>
                <w:b/>
                <w:bCs/>
                <w:rtl/>
              </w:rPr>
            </w:pPr>
            <w:r>
              <w:rPr>
                <w:rFonts w:ascii="Arial" w:hAnsi="Arial" w:hint="cs"/>
                <w:b/>
                <w:bCs/>
                <w:rtl/>
              </w:rPr>
              <w:t>כבוד</w:t>
            </w:r>
            <w:r w:rsidR="0094424E">
              <w:rPr>
                <w:rFonts w:ascii="Arial" w:hAnsi="Arial" w:hint="cs"/>
                <w:b/>
                <w:bCs/>
                <w:rtl/>
              </w:rPr>
              <w:t xml:space="preserve"> ה</w:t>
            </w:r>
            <w:r w:rsidR="006036F6">
              <w:rPr>
                <w:rFonts w:ascii="Arial" w:hAnsi="Arial" w:hint="cs"/>
                <w:b/>
                <w:bCs/>
                <w:rtl/>
              </w:rPr>
              <w:t>רשמת הבכירה</w:t>
            </w:r>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אביגיל ון-קרפלד</w:t>
                </w:r>
              </w:sdtContent>
            </w:sdt>
          </w:p>
          <w:p w:rsidR="0094424E" w:rsidRDefault="0094424E" w:rsidP="00D44968">
            <w:pPr>
              <w:suppressLineNumbers/>
              <w:rPr>
                <w:rFonts w:ascii="Arial" w:hAnsi="Arial" w:cs="FrankRuehl"/>
                <w:sz w:val="28"/>
                <w:szCs w:val="28"/>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AB7246" w:rsidRDefault="00796F1E">
                <w:pPr>
                  <w:suppressLineNumbers/>
                  <w:rPr>
                    <w:rFonts w:ascii="Arial" w:hAnsi="Arial"/>
                    <w:b/>
                    <w:bCs/>
                    <w:noProof w:val="0"/>
                    <w:sz w:val="26"/>
                    <w:szCs w:val="26"/>
                    <w:rtl/>
                  </w:rPr>
                </w:pPr>
                <w:r>
                  <w:rPr>
                    <w:rFonts w:ascii="Arial" w:hAnsi="Arial"/>
                    <w:b/>
                    <w:bCs/>
                    <w:noProof w:val="0"/>
                    <w:sz w:val="26"/>
                    <w:szCs w:val="26"/>
                    <w:rtl/>
                  </w:rPr>
                  <w:t>תובע</w:t>
                </w:r>
                <w:r>
                  <w:rPr>
                    <w:rFonts w:ascii="Arial" w:hAnsi="Arial" w:hint="cs"/>
                    <w:b/>
                    <w:bCs/>
                    <w:noProof w:val="0"/>
                    <w:sz w:val="26"/>
                    <w:szCs w:val="26"/>
                    <w:rtl/>
                  </w:rPr>
                  <w:t>/מבקש</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2C3AD8" w:rsidP="00E32F50">
            <w:pPr>
              <w:suppressLineNumbers/>
              <w:rPr>
                <w:rFonts w:ascii="Arial" w:hAnsi="Arial"/>
                <w:b/>
                <w:bCs/>
                <w:noProof w:val="0"/>
                <w:sz w:val="26"/>
                <w:szCs w:val="26"/>
                <w:rtl/>
              </w:rPr>
            </w:pPr>
            <w:sdt>
              <w:sdtPr>
                <w:rPr>
                  <w:rFonts w:ascii="Arial" w:hAnsi="Arial"/>
                  <w:b/>
                  <w:bCs/>
                  <w:noProof w:val="0"/>
                  <w:sz w:val="26"/>
                  <w:szCs w:val="26"/>
                  <w:rtl/>
                </w:rPr>
                <w:alias w:val="3151"/>
                <w:tag w:val="3151"/>
                <w:id w:val="-1337458982"/>
                <w:placeholder>
                  <w:docPart w:val="3AB855EA819B4ACFA1B6A82FBF3FCD7E"/>
                </w:placeholder>
                <w:text w:multiLine="1"/>
              </w:sdtPr>
              <w:sdtEndPr/>
              <w:sdtContent>
                <w:r w:rsidR="00E32F50">
                  <w:rPr>
                    <w:rFonts w:ascii="Arial" w:hAnsi="Arial"/>
                    <w:b/>
                    <w:bCs/>
                    <w:noProof w:val="0"/>
                    <w:sz w:val="26"/>
                    <w:szCs w:val="26"/>
                    <w:rtl/>
                  </w:rPr>
                  <w:t>יצחק רלבג</w:t>
                </w:r>
              </w:sdtContent>
            </w:sdt>
          </w:p>
          <w:p w:rsidR="00796F1E" w:rsidRPr="00E32F50" w:rsidRDefault="00796F1E" w:rsidP="00E32F50">
            <w:pPr>
              <w:suppressLineNumbers/>
              <w:rPr>
                <w:rFonts w:ascii="Arial" w:hAnsi="Arial"/>
                <w:b/>
                <w:bCs/>
                <w:noProof w:val="0"/>
                <w:sz w:val="26"/>
                <w:szCs w:val="26"/>
              </w:rPr>
            </w:pPr>
            <w:r>
              <w:rPr>
                <w:rFonts w:ascii="Arial" w:hAnsi="Arial" w:hint="cs"/>
                <w:b/>
                <w:bCs/>
                <w:noProof w:val="0"/>
                <w:sz w:val="26"/>
                <w:szCs w:val="26"/>
                <w:rtl/>
              </w:rPr>
              <w:t>ע"י ב"כ עוה"ד אברהם משה סגל</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2C3AD8" w:rsidP="00D44968">
            <w:pPr>
              <w:suppressLineNumbers/>
              <w:rPr>
                <w:rFonts w:ascii="Arial" w:hAnsi="Arial"/>
                <w:b/>
                <w:bCs/>
                <w:noProof w:val="0"/>
                <w:sz w:val="26"/>
                <w:szCs w:val="26"/>
              </w:rPr>
            </w:pPr>
            <w:sdt>
              <w:sdtPr>
                <w:rPr>
                  <w:rtl/>
                </w:rPr>
                <w:alias w:val="1184"/>
                <w:tag w:val="1184"/>
                <w:id w:val="-340621022"/>
                <w:text w:multiLine="1"/>
              </w:sdtPr>
              <w:sdtEndPr/>
              <w:sdtContent>
                <w:r w:rsidR="00796F1E">
                  <w:rPr>
                    <w:rFonts w:ascii="Arial" w:hAnsi="Arial"/>
                    <w:b/>
                    <w:bCs/>
                    <w:noProof w:val="0"/>
                    <w:sz w:val="26"/>
                    <w:szCs w:val="26"/>
                    <w:rtl/>
                  </w:rPr>
                  <w:t>נתבעי</w:t>
                </w:r>
                <w:r w:rsidR="00796F1E">
                  <w:rPr>
                    <w:rFonts w:ascii="Arial" w:hAnsi="Arial" w:hint="cs"/>
                    <w:b/>
                    <w:bCs/>
                    <w:noProof w:val="0"/>
                    <w:sz w:val="26"/>
                    <w:szCs w:val="26"/>
                    <w:rtl/>
                  </w:rPr>
                  <w:t>ם/משיבםי</w:t>
                </w:r>
              </w:sdtContent>
            </w:sdt>
          </w:p>
        </w:tc>
        <w:tc>
          <w:tcPr>
            <w:tcW w:w="5571" w:type="dxa"/>
          </w:tcPr>
          <w:p w:rsidR="0094424E" w:rsidRPr="00E32F50" w:rsidRDefault="002C3AD8" w:rsidP="00E32F50">
            <w:pPr>
              <w:suppressLineNumbers/>
              <w:rPr>
                <w:rFonts w:ascii="Arial" w:hAnsi="Arial"/>
                <w:b/>
                <w:bCs/>
                <w:noProof w:val="0"/>
                <w:sz w:val="26"/>
                <w:szCs w:val="26"/>
                <w:rtl/>
              </w:rPr>
            </w:pPr>
            <w:sdt>
              <w:sdtPr>
                <w:rPr>
                  <w:rFonts w:ascii="Arial" w:hAnsi="Arial"/>
                  <w:b/>
                  <w:bCs/>
                  <w:noProof w:val="0"/>
                  <w:sz w:val="26"/>
                  <w:szCs w:val="26"/>
                  <w:rtl/>
                </w:rPr>
                <w:alias w:val="1571"/>
                <w:tag w:val="1571"/>
                <w:id w:val="1028836282"/>
                <w:text w:multiLine="1"/>
              </w:sdtPr>
              <w:sdtEndPr/>
              <w:sdtContent>
                <w:r w:rsidR="00E32F50">
                  <w:rPr>
                    <w:rFonts w:ascii="Arial" w:hAnsi="Arial"/>
                    <w:b/>
                    <w:bCs/>
                    <w:noProof w:val="0"/>
                    <w:sz w:val="26"/>
                    <w:szCs w:val="26"/>
                    <w:rtl/>
                  </w:rPr>
                  <w:t>1</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Fonts w:ascii="Arial" w:hAnsi="Arial"/>
                  <w:b/>
                  <w:bCs/>
                  <w:noProof w:val="0"/>
                  <w:sz w:val="26"/>
                  <w:szCs w:val="26"/>
                  <w:rtl/>
                </w:rPr>
                <w:alias w:val="3152"/>
                <w:tag w:val="3152"/>
                <w:id w:val="-1430197260"/>
                <w:placeholder>
                  <w:docPart w:val="3D0E8DD0E86545E48F752749CF7BA28F"/>
                </w:placeholder>
                <w:text w:multiLine="1"/>
              </w:sdtPr>
              <w:sdtEndPr/>
              <w:sdtContent>
                <w:r w:rsidR="00E32F50">
                  <w:rPr>
                    <w:rFonts w:ascii="Arial" w:hAnsi="Arial"/>
                    <w:b/>
                    <w:bCs/>
                    <w:noProof w:val="0"/>
                    <w:sz w:val="26"/>
                    <w:szCs w:val="26"/>
                    <w:rtl/>
                  </w:rPr>
                  <w:t>מרים גית</w:t>
                </w:r>
              </w:sdtContent>
            </w:sdt>
          </w:p>
          <w:p w:rsidR="0094424E" w:rsidRPr="00E32F50" w:rsidRDefault="002C3AD8" w:rsidP="00E32F50">
            <w:pPr>
              <w:suppressLineNumbers/>
              <w:rPr>
                <w:rFonts w:ascii="Arial" w:hAnsi="Arial"/>
                <w:b/>
                <w:bCs/>
                <w:noProof w:val="0"/>
                <w:sz w:val="26"/>
                <w:szCs w:val="26"/>
                <w:rtl/>
              </w:rPr>
            </w:pPr>
            <w:sdt>
              <w:sdtPr>
                <w:rPr>
                  <w:rFonts w:ascii="Arial" w:hAnsi="Arial"/>
                  <w:b/>
                  <w:bCs/>
                  <w:noProof w:val="0"/>
                  <w:sz w:val="26"/>
                  <w:szCs w:val="26"/>
                  <w:rtl/>
                </w:rPr>
                <w:alias w:val="1571"/>
                <w:tag w:val="1571"/>
                <w:id w:val="838504401"/>
                <w:text w:multiLine="1"/>
              </w:sdtPr>
              <w:sdtEndPr/>
              <w:sdtContent>
                <w:r w:rsidR="00E32F50">
                  <w:rPr>
                    <w:rFonts w:ascii="Arial" w:hAnsi="Arial"/>
                    <w:b/>
                    <w:bCs/>
                    <w:noProof w:val="0"/>
                    <w:sz w:val="26"/>
                    <w:szCs w:val="26"/>
                    <w:rtl/>
                  </w:rPr>
                  <w:t>2</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Fonts w:ascii="Arial" w:hAnsi="Arial"/>
                  <w:b/>
                  <w:bCs/>
                  <w:noProof w:val="0"/>
                  <w:sz w:val="26"/>
                  <w:szCs w:val="26"/>
                  <w:rtl/>
                </w:rPr>
                <w:alias w:val="3152"/>
                <w:tag w:val="3152"/>
                <w:id w:val="-1343704959"/>
                <w:placeholder>
                  <w:docPart w:val="3D0E8DD0E86545E48F752749CF7BA28F"/>
                </w:placeholder>
                <w:text w:multiLine="1"/>
              </w:sdtPr>
              <w:sdtEndPr/>
              <w:sdtContent>
                <w:r w:rsidR="00E32F50">
                  <w:rPr>
                    <w:rFonts w:ascii="Arial" w:hAnsi="Arial"/>
                    <w:b/>
                    <w:bCs/>
                    <w:noProof w:val="0"/>
                    <w:sz w:val="26"/>
                    <w:szCs w:val="26"/>
                    <w:rtl/>
                  </w:rPr>
                  <w:t>גמאל גית</w:t>
                </w:r>
              </w:sdtContent>
            </w:sdt>
          </w:p>
          <w:p w:rsidR="0094424E" w:rsidRDefault="002C3AD8" w:rsidP="00E32F50">
            <w:pPr>
              <w:suppressLineNumbers/>
              <w:rPr>
                <w:rFonts w:ascii="Arial" w:hAnsi="Arial"/>
                <w:b/>
                <w:bCs/>
                <w:noProof w:val="0"/>
                <w:sz w:val="26"/>
                <w:szCs w:val="26"/>
                <w:rtl/>
              </w:rPr>
            </w:pPr>
            <w:sdt>
              <w:sdtPr>
                <w:rPr>
                  <w:rFonts w:ascii="Arial" w:hAnsi="Arial"/>
                  <w:b/>
                  <w:bCs/>
                  <w:noProof w:val="0"/>
                  <w:sz w:val="26"/>
                  <w:szCs w:val="26"/>
                  <w:rtl/>
                </w:rPr>
                <w:alias w:val="1571"/>
                <w:tag w:val="1571"/>
                <w:id w:val="1066615056"/>
                <w:text w:multiLine="1"/>
              </w:sdtPr>
              <w:sdtEndPr/>
              <w:sdtContent>
                <w:r w:rsidR="00E32F50">
                  <w:rPr>
                    <w:rFonts w:ascii="Arial" w:hAnsi="Arial"/>
                    <w:b/>
                    <w:bCs/>
                    <w:noProof w:val="0"/>
                    <w:sz w:val="26"/>
                    <w:szCs w:val="26"/>
                    <w:rtl/>
                  </w:rPr>
                  <w:t>3</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Fonts w:ascii="Arial" w:hAnsi="Arial"/>
                  <w:b/>
                  <w:bCs/>
                  <w:noProof w:val="0"/>
                  <w:sz w:val="26"/>
                  <w:szCs w:val="26"/>
                  <w:rtl/>
                </w:rPr>
                <w:alias w:val="3152"/>
                <w:tag w:val="3152"/>
                <w:id w:val="503249234"/>
                <w:placeholder>
                  <w:docPart w:val="3D0E8DD0E86545E48F752749CF7BA28F"/>
                </w:placeholder>
                <w:text w:multiLine="1"/>
              </w:sdtPr>
              <w:sdtEndPr/>
              <w:sdtContent>
                <w:r w:rsidR="00E32F50">
                  <w:rPr>
                    <w:rFonts w:ascii="Arial" w:hAnsi="Arial"/>
                    <w:b/>
                    <w:bCs/>
                    <w:noProof w:val="0"/>
                    <w:sz w:val="26"/>
                    <w:szCs w:val="26"/>
                    <w:rtl/>
                  </w:rPr>
                  <w:t>נהיל גית</w:t>
                </w:r>
              </w:sdtContent>
            </w:sdt>
          </w:p>
          <w:p w:rsidR="00796F1E" w:rsidRPr="00E32F50" w:rsidRDefault="00796F1E" w:rsidP="00796F1E">
            <w:pPr>
              <w:suppressLineNumbers/>
              <w:rPr>
                <w:rFonts w:ascii="Arial" w:hAnsi="Arial"/>
                <w:b/>
                <w:bCs/>
                <w:noProof w:val="0"/>
                <w:sz w:val="26"/>
                <w:szCs w:val="26"/>
                <w:rtl/>
              </w:rPr>
            </w:pPr>
            <w:r>
              <w:rPr>
                <w:rFonts w:ascii="Arial" w:hAnsi="Arial" w:hint="cs"/>
                <w:b/>
                <w:bCs/>
                <w:noProof w:val="0"/>
                <w:sz w:val="26"/>
                <w:szCs w:val="26"/>
                <w:rtl/>
              </w:rPr>
              <w:t>ע"י ב"כ עוה"ד מדחת סיבה</w:t>
            </w:r>
          </w:p>
        </w:tc>
      </w:tr>
      <w:tr w:rsidR="00561F0A" w:rsidTr="00561F0A">
        <w:trPr>
          <w:trHeight w:val="87"/>
          <w:jc w:val="center"/>
        </w:trPr>
        <w:tc>
          <w:tcPr>
            <w:tcW w:w="8820" w:type="dxa"/>
            <w:gridSpan w:val="3"/>
          </w:tcPr>
          <w:p w:rsidR="00561F0A" w:rsidRDefault="00561F0A" w:rsidP="00561F0A">
            <w:pPr>
              <w:suppressLineNumbers/>
              <w:tabs>
                <w:tab w:val="left" w:pos="189"/>
                <w:tab w:val="center" w:pos="4302"/>
              </w:tabs>
              <w:rPr>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D44968" w:rsidRPr="00D44968" w:rsidRDefault="00180519" w:rsidP="00561F0A">
            <w:pPr>
              <w:bidi w:val="0"/>
              <w:jc w:val="center"/>
              <w:rPr>
                <w:rFonts w:ascii="Arial" w:hAnsi="Arial"/>
                <w:b/>
                <w:bCs/>
                <w:noProof w:val="0"/>
                <w:sz w:val="28"/>
                <w:szCs w:val="28"/>
                <w:u w:val="single"/>
              </w:rPr>
            </w:pPr>
            <w:r w:rsidRPr="00D44968">
              <w:rPr>
                <w:rFonts w:ascii="Arial" w:hAnsi="Arial" w:hint="cs"/>
                <w:b/>
                <w:bCs/>
                <w:noProof w:val="0"/>
                <w:sz w:val="28"/>
                <w:szCs w:val="28"/>
                <w:u w:val="single"/>
                <w:rtl/>
              </w:rPr>
              <w:t>החלטה</w:t>
            </w:r>
          </w:p>
        </w:tc>
      </w:tr>
    </w:tbl>
    <w:p w:rsidR="00694556" w:rsidRPr="00DE1E7D" w:rsidRDefault="00694556">
      <w:pPr>
        <w:spacing w:line="360" w:lineRule="auto"/>
        <w:jc w:val="both"/>
        <w:rPr>
          <w:rFonts w:ascii="Arial" w:hAnsi="Arial"/>
          <w:noProof w:val="0"/>
          <w:rtl/>
        </w:rPr>
      </w:pPr>
      <w:bookmarkStart w:id="0" w:name="NGCSBookmark"/>
      <w:bookmarkEnd w:id="0"/>
    </w:p>
    <w:p w:rsidR="00796F1E" w:rsidRDefault="00796F1E" w:rsidP="00796F1E">
      <w:pPr>
        <w:spacing w:line="360" w:lineRule="auto"/>
        <w:jc w:val="both"/>
        <w:rPr>
          <w:rFonts w:ascii="David" w:hAnsi="David"/>
          <w:rtl/>
        </w:rPr>
      </w:pPr>
    </w:p>
    <w:p w:rsidR="00796F1E" w:rsidRDefault="00796F1E" w:rsidP="00C90DA4">
      <w:pPr>
        <w:spacing w:line="360" w:lineRule="auto"/>
        <w:jc w:val="both"/>
        <w:rPr>
          <w:rFonts w:ascii="David" w:hAnsi="David"/>
          <w:rtl/>
        </w:rPr>
      </w:pPr>
      <w:r>
        <w:rPr>
          <w:rFonts w:ascii="David" w:hAnsi="David"/>
          <w:rtl/>
        </w:rPr>
        <w:t xml:space="preserve">לפני בקשת התובע לעיון חוזר בהחלטה מיום 16.1.25 בה הורה ביהמ"ש, במסגרת החלטה בדבר ביטול מחמת הצדק של פסק דין בהעדר הגנה </w:t>
      </w:r>
      <w:r w:rsidR="00EE670F">
        <w:rPr>
          <w:rFonts w:ascii="David" w:hAnsi="David" w:hint="cs"/>
          <w:rtl/>
        </w:rPr>
        <w:t xml:space="preserve">בתביעה בסדר דין מקצור, </w:t>
      </w:r>
      <w:r>
        <w:rPr>
          <w:rFonts w:ascii="David" w:hAnsi="David"/>
          <w:rtl/>
        </w:rPr>
        <w:t xml:space="preserve">שניתן ביום 15.6.16, שעל התובע להגיש כתב תביעה מתוקן, שיותאם לתקנות סדר הדין האזרחי התשע"ט - 2018 בתוך 20 יום. </w:t>
      </w:r>
    </w:p>
    <w:p w:rsidR="00796F1E" w:rsidRDefault="00796F1E" w:rsidP="00796F1E">
      <w:pPr>
        <w:spacing w:line="360" w:lineRule="auto"/>
        <w:jc w:val="both"/>
        <w:rPr>
          <w:rFonts w:ascii="David" w:hAnsi="David"/>
          <w:rtl/>
        </w:rPr>
      </w:pPr>
    </w:p>
    <w:p w:rsidR="00796F1E" w:rsidRDefault="00796F1E" w:rsidP="00C90DA4">
      <w:pPr>
        <w:spacing w:line="360" w:lineRule="auto"/>
        <w:jc w:val="both"/>
        <w:rPr>
          <w:rFonts w:ascii="David" w:hAnsi="David"/>
          <w:rtl/>
        </w:rPr>
      </w:pPr>
      <w:r>
        <w:rPr>
          <w:rFonts w:ascii="David" w:hAnsi="David"/>
          <w:rtl/>
        </w:rPr>
        <w:t xml:space="preserve">בתמצית התובע </w:t>
      </w:r>
      <w:r w:rsidR="00EE670F">
        <w:rPr>
          <w:rFonts w:ascii="David" w:hAnsi="David" w:hint="cs"/>
          <w:rtl/>
        </w:rPr>
        <w:t>טוע</w:t>
      </w:r>
      <w:r w:rsidR="00C90DA4">
        <w:rPr>
          <w:rFonts w:ascii="David" w:hAnsi="David" w:hint="cs"/>
          <w:rtl/>
        </w:rPr>
        <w:t>ן</w:t>
      </w:r>
      <w:r w:rsidR="00EE670F">
        <w:rPr>
          <w:rFonts w:ascii="David" w:hAnsi="David" w:hint="cs"/>
          <w:rtl/>
        </w:rPr>
        <w:t>,</w:t>
      </w:r>
      <w:r>
        <w:rPr>
          <w:rFonts w:ascii="David" w:hAnsi="David"/>
          <w:rtl/>
        </w:rPr>
        <w:t xml:space="preserve"> שהחלטת בימה"ש מיום 16.1.25 בשגגה יסודה ולכן מבקשים שיובהר שאין התובע</w:t>
      </w:r>
      <w:r w:rsidR="00C90DA4">
        <w:rPr>
          <w:rFonts w:ascii="David" w:hAnsi="David" w:hint="cs"/>
          <w:rtl/>
        </w:rPr>
        <w:t xml:space="preserve"> </w:t>
      </w:r>
      <w:r>
        <w:rPr>
          <w:rFonts w:ascii="David" w:hAnsi="David"/>
          <w:rtl/>
        </w:rPr>
        <w:t>צרי</w:t>
      </w:r>
      <w:r w:rsidR="00C90DA4">
        <w:rPr>
          <w:rFonts w:ascii="David" w:hAnsi="David" w:hint="cs"/>
          <w:rtl/>
        </w:rPr>
        <w:t>ך</w:t>
      </w:r>
      <w:r>
        <w:rPr>
          <w:rFonts w:ascii="David" w:hAnsi="David"/>
          <w:rtl/>
        </w:rPr>
        <w:t xml:space="preserve"> להגיש כתב תביעה מתוקן לפי תקסד"א - 2018, אלא שהנתבע צריך להגיש בקשת רשות להתגונן לפי תקנות סדר הדין האזרחי התשמ"ד -1984 שחלות. נטען, שתקנות 180(ג) לתקסד"א – 2018 חלות רק על הליך שנפתח</w:t>
      </w:r>
      <w:r w:rsidR="00EE670F">
        <w:rPr>
          <w:rFonts w:ascii="David" w:hAnsi="David"/>
          <w:rtl/>
        </w:rPr>
        <w:t xml:space="preserve"> ביום התחילה, 1.1.21, או לאחריו</w:t>
      </w:r>
      <w:r w:rsidR="00EE670F">
        <w:rPr>
          <w:rFonts w:ascii="David" w:hAnsi="David" w:hint="cs"/>
          <w:rtl/>
        </w:rPr>
        <w:t xml:space="preserve">, </w:t>
      </w:r>
      <w:r>
        <w:rPr>
          <w:rFonts w:ascii="David" w:hAnsi="David"/>
          <w:rtl/>
        </w:rPr>
        <w:t xml:space="preserve">כך שעל הליך זה יחולו התקנות הישנות. כן נטען, שביהמ"ש  לא היה רשאי ליזום את החלטתו מבלי שהנתבעים ביקשו זאת. </w:t>
      </w:r>
    </w:p>
    <w:p w:rsidR="00796F1E" w:rsidRDefault="00796F1E" w:rsidP="00796F1E">
      <w:pPr>
        <w:spacing w:line="360" w:lineRule="auto"/>
        <w:jc w:val="both"/>
        <w:rPr>
          <w:rFonts w:ascii="David" w:hAnsi="David"/>
          <w:rtl/>
        </w:rPr>
      </w:pPr>
    </w:p>
    <w:p w:rsidR="00796F1E" w:rsidRDefault="00796F1E" w:rsidP="00796F1E">
      <w:pPr>
        <w:spacing w:line="360" w:lineRule="auto"/>
        <w:jc w:val="both"/>
        <w:rPr>
          <w:rFonts w:ascii="David" w:hAnsi="David"/>
          <w:rtl/>
        </w:rPr>
      </w:pPr>
      <w:r>
        <w:rPr>
          <w:rFonts w:ascii="David" w:hAnsi="David"/>
          <w:rtl/>
        </w:rPr>
        <w:t>הנתבעים מתנגדים לבקשה מנימוקי תגובתם שהוגשה ביום 3.3.25. בין היתר נטען, בהתבסס על סעיף 180(ג)(1)</w:t>
      </w:r>
      <w:r>
        <w:rPr>
          <w:rFonts w:ascii="David" w:hAnsi="David"/>
        </w:rPr>
        <w:t xml:space="preserve"> </w:t>
      </w:r>
      <w:r>
        <w:rPr>
          <w:rFonts w:ascii="David" w:hAnsi="David"/>
          <w:rtl/>
        </w:rPr>
        <w:t>לתקסד"א -2018.</w:t>
      </w:r>
    </w:p>
    <w:p w:rsidR="00796F1E" w:rsidRDefault="00796F1E" w:rsidP="00796F1E">
      <w:pPr>
        <w:spacing w:line="360" w:lineRule="auto"/>
        <w:jc w:val="both"/>
        <w:rPr>
          <w:rFonts w:ascii="David" w:hAnsi="David"/>
          <w:u w:val="single"/>
          <w:rtl/>
        </w:rPr>
      </w:pPr>
    </w:p>
    <w:p w:rsidR="00796F1E" w:rsidRDefault="00796F1E" w:rsidP="00796F1E">
      <w:pPr>
        <w:spacing w:line="360" w:lineRule="auto"/>
        <w:jc w:val="both"/>
        <w:rPr>
          <w:rFonts w:ascii="David" w:hAnsi="David"/>
          <w:rtl/>
        </w:rPr>
      </w:pPr>
      <w:r>
        <w:rPr>
          <w:rFonts w:ascii="David" w:hAnsi="David"/>
          <w:u w:val="single"/>
          <w:rtl/>
        </w:rPr>
        <w:t>דיון והכרעה</w:t>
      </w:r>
    </w:p>
    <w:p w:rsidR="00796F1E" w:rsidRDefault="00796F1E" w:rsidP="00EE670F">
      <w:pPr>
        <w:spacing w:line="360" w:lineRule="auto"/>
        <w:jc w:val="both"/>
        <w:rPr>
          <w:rFonts w:ascii="David" w:hAnsi="David"/>
          <w:rtl/>
        </w:rPr>
      </w:pPr>
      <w:r>
        <w:rPr>
          <w:rFonts w:ascii="David" w:hAnsi="David"/>
          <w:rtl/>
        </w:rPr>
        <w:t xml:space="preserve">ביהמ"ש סבור, כי הפרשנות של </w:t>
      </w:r>
      <w:r w:rsidR="00EE670F">
        <w:rPr>
          <w:rFonts w:ascii="David" w:hAnsi="David" w:hint="cs"/>
          <w:rtl/>
        </w:rPr>
        <w:t xml:space="preserve">סעיף 180(ג) סיפה ביחד עם סעיף </w:t>
      </w:r>
      <w:r>
        <w:rPr>
          <w:rFonts w:ascii="David" w:hAnsi="David"/>
          <w:rtl/>
        </w:rPr>
        <w:t xml:space="preserve">180(ג)(1) משמעותה שנקבע, שהוראות מסויימות יחולו מיום תחילה, דהיינו מיום 1.1.21, ובמקביל הוראות אחרות של התקנות יחולו גם על הליכים שנפתחו ערב יום התחילה, דהיינו, </w:t>
      </w:r>
      <w:r w:rsidR="005D1A16">
        <w:rPr>
          <w:rFonts w:ascii="David" w:hAnsi="David" w:hint="cs"/>
          <w:b/>
          <w:bCs/>
          <w:rtl/>
        </w:rPr>
        <w:t xml:space="preserve">על הליכים שנפתחו </w:t>
      </w:r>
      <w:r>
        <w:rPr>
          <w:rFonts w:ascii="David" w:hAnsi="David"/>
          <w:b/>
          <w:bCs/>
          <w:rtl/>
        </w:rPr>
        <w:t>לפני מיום 1.1.21</w:t>
      </w:r>
      <w:r>
        <w:rPr>
          <w:rFonts w:ascii="David" w:hAnsi="David"/>
          <w:rtl/>
        </w:rPr>
        <w:t xml:space="preserve">, כמו תיק זה. </w:t>
      </w:r>
    </w:p>
    <w:p w:rsidR="005D1A16" w:rsidRDefault="005D1A16" w:rsidP="005D1A16">
      <w:pPr>
        <w:spacing w:line="360" w:lineRule="auto"/>
        <w:jc w:val="both"/>
        <w:rPr>
          <w:rFonts w:ascii="David" w:hAnsi="David"/>
          <w:rtl/>
        </w:rPr>
      </w:pPr>
      <w:r>
        <w:rPr>
          <w:rFonts w:ascii="David" w:hAnsi="David" w:hint="cs"/>
          <w:rtl/>
        </w:rPr>
        <w:lastRenderedPageBreak/>
        <w:t>מעת ש</w:t>
      </w:r>
      <w:r w:rsidR="00796F1E">
        <w:rPr>
          <w:rFonts w:ascii="David" w:hAnsi="David"/>
          <w:rtl/>
        </w:rPr>
        <w:t>התקנות מורות במפורש שיש תקנות שיחולו גם על תיקים שנפתחו לפני יום 1.1.21, ותיק זה הוא אחד מאותם מקרים</w:t>
      </w:r>
      <w:r>
        <w:rPr>
          <w:rFonts w:ascii="David" w:hAnsi="David" w:hint="cs"/>
          <w:rtl/>
        </w:rPr>
        <w:t>, אין טעות בהחלטה.</w:t>
      </w:r>
      <w:r w:rsidR="00796F1E">
        <w:rPr>
          <w:rFonts w:ascii="David" w:hAnsi="David"/>
          <w:rtl/>
        </w:rPr>
        <w:t xml:space="preserve"> </w:t>
      </w:r>
    </w:p>
    <w:p w:rsidR="005D1A16" w:rsidRDefault="005D1A16" w:rsidP="005D1A16">
      <w:pPr>
        <w:spacing w:line="360" w:lineRule="auto"/>
        <w:jc w:val="both"/>
        <w:rPr>
          <w:rFonts w:ascii="David" w:hAnsi="David"/>
          <w:rtl/>
        </w:rPr>
      </w:pPr>
    </w:p>
    <w:p w:rsidR="00796F1E" w:rsidRDefault="00796F1E" w:rsidP="005D1A16">
      <w:pPr>
        <w:spacing w:line="360" w:lineRule="auto"/>
        <w:jc w:val="both"/>
        <w:rPr>
          <w:rFonts w:ascii="David" w:hAnsi="David"/>
          <w:rtl/>
        </w:rPr>
      </w:pPr>
      <w:r>
        <w:rPr>
          <w:rFonts w:ascii="David" w:hAnsi="David"/>
          <w:rtl/>
        </w:rPr>
        <w:t xml:space="preserve">תקנה 180(ג) </w:t>
      </w:r>
      <w:r w:rsidR="005D1A16">
        <w:rPr>
          <w:rFonts w:ascii="David" w:hAnsi="David" w:hint="cs"/>
          <w:rtl/>
        </w:rPr>
        <w:t xml:space="preserve">סיפה </w:t>
      </w:r>
      <w:r>
        <w:rPr>
          <w:rFonts w:ascii="David" w:hAnsi="David"/>
          <w:rtl/>
        </w:rPr>
        <w:t>ביחד עם תקנה 180(ג)(1) מורות במפורש, שפרק ט"ז יחול מיום התחילה על הליכים שנפתחו ערב התחילה.</w:t>
      </w:r>
      <w:r w:rsidR="005D1A16">
        <w:rPr>
          <w:rFonts w:ascii="David" w:hAnsi="David" w:hint="cs"/>
          <w:rtl/>
        </w:rPr>
        <w:t xml:space="preserve"> </w:t>
      </w:r>
      <w:r>
        <w:rPr>
          <w:rFonts w:ascii="David" w:hAnsi="David"/>
          <w:rtl/>
        </w:rPr>
        <w:t xml:space="preserve">תקנה 131 ממוקמת בפרק ט"ז שתקנה 180(ג) </w:t>
      </w:r>
      <w:r w:rsidR="005D1A16">
        <w:rPr>
          <w:rFonts w:ascii="David" w:hAnsi="David" w:hint="cs"/>
          <w:rtl/>
        </w:rPr>
        <w:t xml:space="preserve">סיפה </w:t>
      </w:r>
      <w:r>
        <w:rPr>
          <w:rFonts w:ascii="David" w:hAnsi="David"/>
          <w:rtl/>
        </w:rPr>
        <w:t xml:space="preserve">ותקנה 180(ג)(1) חלות עליו. ודוק ביהמ"ש רשאי לקבוע תנאים לפי תקנה 131 על הליכים שנפתחו לפני יום התחילה ותקנה 131 אינה קובעת שהסמכות לקבוע תנאים היא רק לגבי הנתבע. </w:t>
      </w:r>
      <w:r>
        <w:rPr>
          <w:rFonts w:ascii="David" w:hAnsi="David" w:hint="cs"/>
          <w:rtl/>
        </w:rPr>
        <w:t>מטעמים</w:t>
      </w:r>
      <w:r>
        <w:rPr>
          <w:rFonts w:ascii="David" w:hAnsi="David"/>
          <w:rtl/>
        </w:rPr>
        <w:t xml:space="preserve"> אלה אין מקום לשנות את ההחלטה שניתנה. </w:t>
      </w:r>
    </w:p>
    <w:p w:rsidR="00796F1E" w:rsidRDefault="00796F1E" w:rsidP="00796F1E">
      <w:pPr>
        <w:spacing w:line="360" w:lineRule="auto"/>
        <w:jc w:val="both"/>
        <w:rPr>
          <w:rFonts w:ascii="David" w:hAnsi="David"/>
          <w:rtl/>
        </w:rPr>
      </w:pPr>
    </w:p>
    <w:p w:rsidR="00796F1E" w:rsidRDefault="00796F1E" w:rsidP="005D1A16">
      <w:pPr>
        <w:spacing w:line="360" w:lineRule="auto"/>
        <w:jc w:val="both"/>
        <w:rPr>
          <w:rFonts w:ascii="David" w:hAnsi="David"/>
          <w:rtl/>
        </w:rPr>
      </w:pPr>
      <w:r>
        <w:rPr>
          <w:rFonts w:ascii="David" w:hAnsi="David"/>
          <w:rtl/>
        </w:rPr>
        <w:t xml:space="preserve">ביהמ"ש מוסיף שסבר שסעיף התחולה והוראות המעבר והתחילה ידועים וברורים ולכן לא נימק. מובהר שההחלטה מיום 16.1.25 </w:t>
      </w:r>
      <w:r>
        <w:rPr>
          <w:rFonts w:ascii="David" w:hAnsi="David" w:hint="cs"/>
          <w:rtl/>
        </w:rPr>
        <w:t>ניתנה</w:t>
      </w:r>
      <w:r>
        <w:rPr>
          <w:rFonts w:ascii="David" w:hAnsi="David"/>
          <w:rtl/>
        </w:rPr>
        <w:t xml:space="preserve"> מכח שיקול דעת ביהמ"ש לפי תקנה 131, לפיה, ביהמ"ש רשאי לבטל החלטה שניתנה לפי צד אחד בתנאים שיראו לו וההוראה להגיש כתב תביעה מתוקן לפי תקסד"א – 2018 היא תנאי שנראה לביהמ"ש שיש להורות </w:t>
      </w:r>
      <w:r w:rsidR="005D1A16">
        <w:rPr>
          <w:rFonts w:ascii="David" w:hAnsi="David" w:hint="cs"/>
          <w:rtl/>
        </w:rPr>
        <w:t xml:space="preserve">עליו </w:t>
      </w:r>
      <w:r>
        <w:rPr>
          <w:rFonts w:ascii="David" w:hAnsi="David"/>
          <w:rtl/>
        </w:rPr>
        <w:t xml:space="preserve">מטעמי יעילות, חסכון בזמן שיפוטי ולשם קידום התנהלותו של הליך משפטי ראוי והוגן: תקנה 3(א) והוגנות דיונית: תקנה 3(ב). </w:t>
      </w:r>
      <w:r w:rsidR="005D1A16">
        <w:rPr>
          <w:rFonts w:ascii="David" w:hAnsi="David" w:hint="cs"/>
          <w:rtl/>
        </w:rPr>
        <w:t>בפרט בנסיבות בהן היה פגם בהליך שנפתח ב- 2016 שלמעשה ניתן לומר עליו שעוד לא החל, בהעדר המצאה כדין.</w:t>
      </w:r>
    </w:p>
    <w:p w:rsidR="00796F1E" w:rsidRDefault="00796F1E" w:rsidP="00796F1E">
      <w:pPr>
        <w:spacing w:line="360" w:lineRule="auto"/>
        <w:jc w:val="both"/>
        <w:rPr>
          <w:rFonts w:ascii="David" w:hAnsi="David"/>
          <w:rtl/>
        </w:rPr>
      </w:pPr>
    </w:p>
    <w:p w:rsidR="00796F1E" w:rsidRDefault="005D1A16" w:rsidP="005D1A16">
      <w:pPr>
        <w:spacing w:line="360" w:lineRule="auto"/>
        <w:jc w:val="both"/>
        <w:rPr>
          <w:rFonts w:ascii="David" w:hAnsi="David"/>
          <w:rtl/>
        </w:rPr>
      </w:pPr>
      <w:r>
        <w:rPr>
          <w:rFonts w:ascii="David" w:hAnsi="David" w:hint="cs"/>
          <w:rtl/>
        </w:rPr>
        <w:t xml:space="preserve">מעבר לנדרש, </w:t>
      </w:r>
      <w:r w:rsidR="00796F1E">
        <w:rPr>
          <w:rFonts w:ascii="David" w:hAnsi="David"/>
          <w:rtl/>
        </w:rPr>
        <w:t xml:space="preserve">בסיפה של תקנה 180(ג)(1) </w:t>
      </w:r>
      <w:r>
        <w:rPr>
          <w:rFonts w:ascii="David" w:hAnsi="David" w:hint="cs"/>
          <w:rtl/>
        </w:rPr>
        <w:t xml:space="preserve">נקבע </w:t>
      </w:r>
      <w:r w:rsidR="00796F1E">
        <w:rPr>
          <w:rFonts w:ascii="David" w:hAnsi="David"/>
          <w:rtl/>
        </w:rPr>
        <w:t>במפורש</w:t>
      </w:r>
      <w:r>
        <w:rPr>
          <w:rFonts w:ascii="David" w:hAnsi="David" w:hint="cs"/>
          <w:rtl/>
        </w:rPr>
        <w:t>,</w:t>
      </w:r>
      <w:r w:rsidR="00796F1E">
        <w:rPr>
          <w:rFonts w:ascii="David" w:hAnsi="David"/>
          <w:rtl/>
        </w:rPr>
        <w:t xml:space="preserve"> שלביהמ"ש סמכות להורות שכל תקנה של תקנות סדר הדין האזרחי, התשע"ט – 2018 תחו</w:t>
      </w:r>
      <w:r>
        <w:rPr>
          <w:rFonts w:ascii="David" w:hAnsi="David"/>
          <w:rtl/>
        </w:rPr>
        <w:t>ל על הליך שנפתח לפני יום 1.1.21</w:t>
      </w:r>
      <w:r>
        <w:rPr>
          <w:rFonts w:ascii="David" w:hAnsi="David" w:hint="cs"/>
          <w:rtl/>
        </w:rPr>
        <w:t>.</w:t>
      </w:r>
    </w:p>
    <w:p w:rsidR="00796F1E" w:rsidRDefault="00796F1E" w:rsidP="00796F1E">
      <w:pPr>
        <w:spacing w:line="360" w:lineRule="auto"/>
        <w:jc w:val="both"/>
        <w:rPr>
          <w:rFonts w:ascii="David" w:hAnsi="David"/>
          <w:rtl/>
        </w:rPr>
      </w:pPr>
    </w:p>
    <w:p w:rsidR="00796F1E" w:rsidRDefault="00796F1E" w:rsidP="00152842">
      <w:pPr>
        <w:spacing w:line="360" w:lineRule="auto"/>
        <w:jc w:val="both"/>
        <w:rPr>
          <w:rFonts w:ascii="David" w:hAnsi="David"/>
          <w:rtl/>
        </w:rPr>
      </w:pPr>
      <w:r>
        <w:rPr>
          <w:rFonts w:ascii="David" w:hAnsi="David"/>
          <w:rtl/>
        </w:rPr>
        <w:t>לא נעלם מעיני שנטען</w:t>
      </w:r>
      <w:r w:rsidR="005D1A16">
        <w:rPr>
          <w:rFonts w:ascii="David" w:hAnsi="David" w:hint="cs"/>
          <w:rtl/>
        </w:rPr>
        <w:t>,</w:t>
      </w:r>
      <w:r>
        <w:rPr>
          <w:rFonts w:ascii="David" w:hAnsi="David"/>
          <w:rtl/>
        </w:rPr>
        <w:t xml:space="preserve"> שניתנה החלטה של מותב אחר</w:t>
      </w:r>
      <w:r w:rsidR="00152842">
        <w:rPr>
          <w:rFonts w:ascii="David" w:hAnsi="David" w:hint="cs"/>
          <w:rtl/>
        </w:rPr>
        <w:t xml:space="preserve"> </w:t>
      </w:r>
      <w:r>
        <w:rPr>
          <w:rFonts w:ascii="David" w:hAnsi="David"/>
          <w:rtl/>
        </w:rPr>
        <w:t xml:space="preserve"> שפסק אחרת, אך מדובר בהחלטה </w:t>
      </w:r>
      <w:r w:rsidR="00E21EF1">
        <w:rPr>
          <w:rFonts w:ascii="David" w:hAnsi="David" w:hint="cs"/>
          <w:rtl/>
        </w:rPr>
        <w:t xml:space="preserve">שניתנה </w:t>
      </w:r>
      <w:r w:rsidR="005D1A16">
        <w:rPr>
          <w:rFonts w:ascii="David" w:hAnsi="David" w:hint="cs"/>
          <w:rtl/>
        </w:rPr>
        <w:t xml:space="preserve">באותה </w:t>
      </w:r>
      <w:r w:rsidR="00E21EF1">
        <w:rPr>
          <w:rFonts w:ascii="David" w:hAnsi="David" w:hint="cs"/>
          <w:rtl/>
        </w:rPr>
        <w:t xml:space="preserve">ערכאה </w:t>
      </w:r>
      <w:r w:rsidR="005D1A16">
        <w:rPr>
          <w:rFonts w:ascii="David" w:hAnsi="David"/>
          <w:rtl/>
        </w:rPr>
        <w:t>שאינה מנחה או מחייבת</w:t>
      </w:r>
      <w:r w:rsidR="005D1A16">
        <w:rPr>
          <w:rFonts w:ascii="David" w:hAnsi="David" w:hint="cs"/>
          <w:rtl/>
        </w:rPr>
        <w:t xml:space="preserve"> ביהמ"ש זה.</w:t>
      </w:r>
    </w:p>
    <w:p w:rsidR="00796F1E" w:rsidRDefault="00796F1E" w:rsidP="00796F1E">
      <w:pPr>
        <w:spacing w:line="360" w:lineRule="auto"/>
        <w:jc w:val="both"/>
        <w:rPr>
          <w:rFonts w:ascii="David" w:hAnsi="David"/>
          <w:rtl/>
        </w:rPr>
      </w:pPr>
    </w:p>
    <w:p w:rsidR="00796F1E" w:rsidRDefault="00796F1E" w:rsidP="00C90DA4">
      <w:pPr>
        <w:spacing w:line="360" w:lineRule="auto"/>
        <w:jc w:val="both"/>
        <w:rPr>
          <w:rFonts w:ascii="David" w:hAnsi="David"/>
          <w:rtl/>
        </w:rPr>
      </w:pPr>
      <w:r>
        <w:rPr>
          <w:rFonts w:ascii="David" w:hAnsi="David"/>
          <w:rtl/>
        </w:rPr>
        <w:t xml:space="preserve">אשר לרע"א 43887-10-16 </w:t>
      </w:r>
      <w:r>
        <w:rPr>
          <w:rFonts w:ascii="David" w:hAnsi="David"/>
          <w:b/>
          <w:bCs/>
          <w:rtl/>
        </w:rPr>
        <w:t>הורוביץ ואח' נ' טייטלבאום</w:t>
      </w:r>
      <w:r>
        <w:rPr>
          <w:rFonts w:ascii="David" w:hAnsi="David"/>
          <w:rtl/>
        </w:rPr>
        <w:t xml:space="preserve"> (17.11.16) אליו</w:t>
      </w:r>
      <w:r w:rsidR="00C90DA4">
        <w:rPr>
          <w:rFonts w:ascii="David" w:hAnsi="David" w:hint="cs"/>
          <w:rtl/>
        </w:rPr>
        <w:t xml:space="preserve"> הפנה התובע</w:t>
      </w:r>
      <w:r>
        <w:rPr>
          <w:rFonts w:ascii="David" w:hAnsi="David"/>
          <w:rtl/>
        </w:rPr>
        <w:t xml:space="preserve">, </w:t>
      </w:r>
      <w:r w:rsidR="005D1A16">
        <w:rPr>
          <w:rFonts w:ascii="David" w:hAnsi="David" w:hint="cs"/>
          <w:rtl/>
        </w:rPr>
        <w:t>מ</w:t>
      </w:r>
      <w:r>
        <w:rPr>
          <w:rFonts w:ascii="David" w:hAnsi="David"/>
          <w:rtl/>
        </w:rPr>
        <w:t>עיון עולה</w:t>
      </w:r>
      <w:r w:rsidR="005D1A16">
        <w:rPr>
          <w:rFonts w:ascii="David" w:hAnsi="David" w:hint="cs"/>
          <w:rtl/>
        </w:rPr>
        <w:t>,</w:t>
      </w:r>
      <w:r>
        <w:rPr>
          <w:rFonts w:ascii="David" w:hAnsi="David"/>
          <w:rtl/>
        </w:rPr>
        <w:t xml:space="preserve"> שהוגשה בר"ע על החלטת רשמת בכירה אחרת מיום 10.10.16 בה הורתה על ביט</w:t>
      </w:r>
      <w:r w:rsidR="005D1A16">
        <w:rPr>
          <w:rFonts w:ascii="David" w:hAnsi="David" w:hint="cs"/>
          <w:rtl/>
        </w:rPr>
        <w:t>ו</w:t>
      </w:r>
      <w:r>
        <w:rPr>
          <w:rFonts w:ascii="David" w:hAnsi="David"/>
          <w:rtl/>
        </w:rPr>
        <w:t xml:space="preserve">לו </w:t>
      </w:r>
      <w:r w:rsidR="00152842">
        <w:rPr>
          <w:rFonts w:ascii="David" w:hAnsi="David" w:hint="cs"/>
          <w:rtl/>
        </w:rPr>
        <w:t xml:space="preserve">של </w:t>
      </w:r>
      <w:r>
        <w:rPr>
          <w:rFonts w:ascii="David" w:hAnsi="David"/>
          <w:rtl/>
        </w:rPr>
        <w:t>פסק דין בהעדר הגנה והורתה להגיש כתב הגנה הגם שהיה מדובר בתביעה שהוגשה בהליך של סדר דין מקוצר. הבקשה נדחתה ללא תגובה, בין היתר, מהטעם שהיא נופלת בגדר סעיף 1(7) לצו בתי המשפט (סוגי החלטות שלא תינתן בהן רשות ערעור), תשס"ט – 2009. עולה עוד</w:t>
      </w:r>
      <w:r w:rsidR="00152842">
        <w:rPr>
          <w:rFonts w:ascii="David" w:hAnsi="David" w:hint="cs"/>
          <w:rtl/>
        </w:rPr>
        <w:t>,</w:t>
      </w:r>
      <w:r>
        <w:rPr>
          <w:rFonts w:ascii="David" w:hAnsi="David"/>
          <w:rtl/>
        </w:rPr>
        <w:t xml:space="preserve"> שבאותו הליך ניתנה החלטה מתקנת על ידי הערכאה הדיונית שיש להגיש בקשת רשות להתגונן כך שגם התייתר הצורך במתן החלטה</w:t>
      </w:r>
      <w:r w:rsidR="00242269">
        <w:rPr>
          <w:rFonts w:ascii="David" w:hAnsi="David" w:hint="cs"/>
          <w:rtl/>
        </w:rPr>
        <w:t xml:space="preserve"> לגופו של עניין.</w:t>
      </w:r>
      <w:r>
        <w:rPr>
          <w:rFonts w:ascii="David" w:hAnsi="David"/>
          <w:rtl/>
        </w:rPr>
        <w:t xml:space="preserve"> </w:t>
      </w:r>
      <w:r w:rsidR="00242269">
        <w:rPr>
          <w:rFonts w:ascii="David" w:hAnsi="David" w:hint="cs"/>
          <w:rtl/>
        </w:rPr>
        <w:t xml:space="preserve">בכל מקרה </w:t>
      </w:r>
      <w:r>
        <w:rPr>
          <w:rFonts w:ascii="David" w:hAnsi="David"/>
          <w:rtl/>
        </w:rPr>
        <w:t>ניתן לאבחן אסמכתא זו מהתיק שלפני בכך שמאז נכנסו לתוקף תקסד"א – 2018 וההחלטה שניתנה בתיק שלפני ניתנה בהתאם לתקנות החדשות.</w:t>
      </w:r>
    </w:p>
    <w:p w:rsidR="00796F1E" w:rsidRDefault="00796F1E" w:rsidP="00796F1E">
      <w:pPr>
        <w:spacing w:line="360" w:lineRule="auto"/>
        <w:jc w:val="both"/>
        <w:rPr>
          <w:rFonts w:ascii="David" w:hAnsi="David"/>
          <w:rtl/>
        </w:rPr>
      </w:pPr>
    </w:p>
    <w:p w:rsidR="00796F1E" w:rsidRDefault="00796F1E" w:rsidP="00FF606E">
      <w:pPr>
        <w:spacing w:line="360" w:lineRule="auto"/>
        <w:jc w:val="both"/>
        <w:rPr>
          <w:rFonts w:ascii="David" w:hAnsi="David"/>
          <w:rtl/>
        </w:rPr>
      </w:pPr>
      <w:r>
        <w:rPr>
          <w:rFonts w:ascii="David" w:hAnsi="David"/>
          <w:rtl/>
        </w:rPr>
        <w:lastRenderedPageBreak/>
        <w:t>אשר לע"א 19763-03-14 שבו הורה ביהמ"ש של ערעור שהתיק יוחזר לרשם לשלב שבו הוגשה תביעה בסדר דין מקוצר והמערער יהיה רשאי להגיש בקשת רשות להתגונן, הערעור</w:t>
      </w:r>
      <w:r w:rsidR="00FF606E">
        <w:rPr>
          <w:rFonts w:ascii="David" w:hAnsi="David" w:hint="cs"/>
          <w:rtl/>
        </w:rPr>
        <w:t xml:space="preserve"> עסק בשאלת נטל </w:t>
      </w:r>
      <w:r w:rsidR="00FF606E">
        <w:rPr>
          <w:rFonts w:ascii="David" w:hAnsi="David"/>
          <w:rtl/>
        </w:rPr>
        <w:t>ההוכחה על ביצוע המצאה כדין</w:t>
      </w:r>
      <w:r w:rsidR="00FF606E">
        <w:rPr>
          <w:rFonts w:ascii="David" w:hAnsi="David" w:hint="cs"/>
          <w:rtl/>
        </w:rPr>
        <w:t xml:space="preserve">, וקבע שהוא </w:t>
      </w:r>
      <w:r>
        <w:rPr>
          <w:rFonts w:ascii="David" w:hAnsi="David"/>
          <w:rtl/>
        </w:rPr>
        <w:t>מוטל על התובע, אשר אין בידיו אישור של הנתבע עצמו על קבלת המסמכים. ההחלטה ניתנה ביום 9.1.18, לפני כניסת התקנות החדשות לתוקף ביום 1.1.21</w:t>
      </w:r>
      <w:r>
        <w:rPr>
          <w:rFonts w:ascii="David" w:hAnsi="David" w:hint="cs"/>
          <w:rtl/>
        </w:rPr>
        <w:t>,</w:t>
      </w:r>
      <w:r w:rsidR="00FF606E">
        <w:rPr>
          <w:rFonts w:ascii="David" w:hAnsi="David"/>
          <w:rtl/>
        </w:rPr>
        <w:t xml:space="preserve"> ולכן ניתן לאבחן מהמקרה שלפני</w:t>
      </w:r>
      <w:r w:rsidR="00FF606E">
        <w:rPr>
          <w:rFonts w:ascii="David" w:hAnsi="David" w:hint="cs"/>
          <w:rtl/>
        </w:rPr>
        <w:t xml:space="preserve"> מטעם זה.</w:t>
      </w:r>
    </w:p>
    <w:p w:rsidR="00796F1E" w:rsidRDefault="00796F1E" w:rsidP="00796F1E">
      <w:pPr>
        <w:spacing w:line="360" w:lineRule="auto"/>
        <w:jc w:val="both"/>
        <w:rPr>
          <w:rFonts w:ascii="David" w:hAnsi="David"/>
          <w:rtl/>
        </w:rPr>
      </w:pPr>
    </w:p>
    <w:p w:rsidR="00796F1E" w:rsidRDefault="00796F1E" w:rsidP="00FF606E">
      <w:pPr>
        <w:spacing w:line="360" w:lineRule="auto"/>
        <w:jc w:val="both"/>
        <w:rPr>
          <w:rFonts w:asciiTheme="minorHAnsi" w:hAnsiTheme="minorHAnsi"/>
          <w:rtl/>
        </w:rPr>
      </w:pPr>
      <w:r>
        <w:rPr>
          <w:rFonts w:ascii="David" w:hAnsi="David"/>
          <w:rtl/>
        </w:rPr>
        <w:t>אשר לטענה שנפלה טעות שכן ביהמ"ש פעל מיוזמתו</w:t>
      </w:r>
      <w:r w:rsidR="00FF606E">
        <w:rPr>
          <w:rFonts w:ascii="David" w:hAnsi="David" w:hint="cs"/>
          <w:rtl/>
        </w:rPr>
        <w:t xml:space="preserve"> וללא בקשה,</w:t>
      </w:r>
      <w:r>
        <w:rPr>
          <w:rFonts w:ascii="David" w:hAnsi="David"/>
          <w:rtl/>
        </w:rPr>
        <w:t xml:space="preserve"> הטענה נדחית. </w:t>
      </w:r>
      <w:r>
        <w:rPr>
          <w:rtl/>
        </w:rPr>
        <w:t>הפסיקה בעשורים האחרונים עברה מפרדיגמה של אדברסריות טהורה לפרדיגמה פוסט-אדברסרית והחותם המשפטי למעבר זה מצוי בתקסד"א – 2018. ראה ארנה רבינוביץ-עיני, דורון דורמפן, "</w:t>
      </w:r>
      <w:r>
        <w:rPr>
          <w:b/>
          <w:bCs/>
          <w:rtl/>
        </w:rPr>
        <w:t>שימוש לרעה וחוסר תום לב בהליך האזרחי: הפער שבין מודל פוסט-אדברסרי למודל ייצוג מסורתי"</w:t>
      </w:r>
      <w:r>
        <w:rPr>
          <w:rtl/>
        </w:rPr>
        <w:t>, פורסם בספר שלמה לוין (המכון למחקרי חקיקה ולמשפט השוואתי ע"ש הרי ומיכאל סאקר, 2013 ע' 255. קיימת התייחסות לקידומן של מטרות מערכתיות וניתן דגש על החלטות שיפוטיות המתיימרות לפעול במישור המערכתי להכוונת התנהגות כתוצאה מהעומס ההולך וגובר שבו נתונה המערכת ומהרצון לקדם התנהגות דיונית יעילה יותר. כאמור החותם לכך ניתן בכך שהותקנו תקנות חדשות, ע' 295 לעיל.</w:t>
      </w:r>
    </w:p>
    <w:p w:rsidR="00796F1E" w:rsidRDefault="00796F1E" w:rsidP="00796F1E">
      <w:pPr>
        <w:spacing w:line="360" w:lineRule="auto"/>
        <w:jc w:val="both"/>
        <w:rPr>
          <w:rtl/>
        </w:rPr>
      </w:pPr>
    </w:p>
    <w:p w:rsidR="00796F1E" w:rsidRDefault="00796F1E" w:rsidP="00FF606E">
      <w:pPr>
        <w:spacing w:line="360" w:lineRule="auto"/>
        <w:jc w:val="both"/>
        <w:rPr>
          <w:rFonts w:ascii="David" w:hAnsi="David"/>
          <w:rtl/>
        </w:rPr>
      </w:pPr>
      <w:r>
        <w:rPr>
          <w:rFonts w:hint="cs"/>
          <w:rtl/>
        </w:rPr>
        <w:t>יש להתרגל לכך ש</w:t>
      </w:r>
      <w:r>
        <w:rPr>
          <w:rtl/>
        </w:rPr>
        <w:t>כיום ביהמ"ש הוא אחראי על ניהול הליך לשם הגש</w:t>
      </w:r>
      <w:r w:rsidR="00FF606E">
        <w:rPr>
          <w:rFonts w:hint="cs"/>
          <w:rtl/>
        </w:rPr>
        <w:t>מ</w:t>
      </w:r>
      <w:r>
        <w:rPr>
          <w:rtl/>
        </w:rPr>
        <w:t xml:space="preserve">ת המטרות שביסוד התקנות החדשות ולשם כך עליו </w:t>
      </w:r>
      <w:r>
        <w:rPr>
          <w:rFonts w:ascii="David" w:hAnsi="David"/>
          <w:rtl/>
        </w:rPr>
        <w:t>ליזום, אם נדרש, ולהחליט כל החלטה לפי תקנות אלה במטרה לקדם את התנהלותו של הליך ראוי והוגן</w:t>
      </w:r>
      <w:r w:rsidR="00FF606E">
        <w:rPr>
          <w:rFonts w:ascii="David" w:hAnsi="David" w:hint="cs"/>
          <w:rtl/>
        </w:rPr>
        <w:t>:</w:t>
      </w:r>
      <w:r>
        <w:rPr>
          <w:rFonts w:ascii="David" w:hAnsi="David"/>
          <w:rtl/>
        </w:rPr>
        <w:t xml:space="preserve"> תקנה 3(א) לתקסד"א – 2018. בהתאם לסמכויות אלה ניתנה ההחלטה </w:t>
      </w:r>
      <w:r w:rsidR="00FF606E">
        <w:rPr>
          <w:rFonts w:ascii="David" w:hAnsi="David" w:hint="cs"/>
          <w:rtl/>
        </w:rPr>
        <w:t>ביום 16.1.25.</w:t>
      </w:r>
    </w:p>
    <w:p w:rsidR="00796F1E" w:rsidRDefault="00796F1E" w:rsidP="00796F1E">
      <w:pPr>
        <w:spacing w:line="360" w:lineRule="auto"/>
        <w:jc w:val="both"/>
        <w:rPr>
          <w:rFonts w:ascii="David" w:hAnsi="David"/>
          <w:rtl/>
        </w:rPr>
      </w:pPr>
    </w:p>
    <w:p w:rsidR="00796F1E" w:rsidRDefault="00796F1E" w:rsidP="001E2481">
      <w:pPr>
        <w:spacing w:line="360" w:lineRule="auto"/>
        <w:jc w:val="both"/>
        <w:rPr>
          <w:rFonts w:ascii="David" w:hAnsi="David"/>
          <w:rtl/>
        </w:rPr>
      </w:pPr>
      <w:r>
        <w:rPr>
          <w:rFonts w:ascii="David" w:hAnsi="David"/>
          <w:rtl/>
        </w:rPr>
        <w:t xml:space="preserve">אשר לטענה שהייתה חובה על ביהמ"ש לקבל את עמדת </w:t>
      </w:r>
      <w:r w:rsidR="001E2481">
        <w:rPr>
          <w:rFonts w:ascii="David" w:hAnsi="David" w:hint="cs"/>
          <w:rtl/>
        </w:rPr>
        <w:t xml:space="preserve">התובע </w:t>
      </w:r>
      <w:r>
        <w:rPr>
          <w:rFonts w:ascii="David" w:hAnsi="David"/>
          <w:rtl/>
        </w:rPr>
        <w:t>בטרם מתן ההחלטה בסעיפים 4 וב' לסיכום בהחלטה מיום 16.1.25, ביהמ"ש סבור שאין כך הדבר. מעבר לנדרש, בכל מקרה</w:t>
      </w:r>
      <w:r w:rsidR="00FF606E">
        <w:rPr>
          <w:rFonts w:ascii="David" w:hAnsi="David" w:hint="cs"/>
          <w:rtl/>
        </w:rPr>
        <w:t>, מש</w:t>
      </w:r>
      <w:r>
        <w:rPr>
          <w:rFonts w:ascii="David" w:hAnsi="David"/>
          <w:rtl/>
        </w:rPr>
        <w:t xml:space="preserve">עמדת </w:t>
      </w:r>
      <w:r w:rsidR="001E2481">
        <w:rPr>
          <w:rFonts w:ascii="David" w:hAnsi="David" w:hint="cs"/>
          <w:rtl/>
        </w:rPr>
        <w:t xml:space="preserve">התובע </w:t>
      </w:r>
      <w:r>
        <w:rPr>
          <w:rFonts w:ascii="David" w:hAnsi="David"/>
          <w:rtl/>
        </w:rPr>
        <w:t xml:space="preserve">הובאה לפני ביהמ"ש ביום 28.1.25 </w:t>
      </w:r>
      <w:r w:rsidR="00FF606E">
        <w:rPr>
          <w:rFonts w:ascii="David" w:hAnsi="David" w:hint="cs"/>
          <w:rtl/>
        </w:rPr>
        <w:t xml:space="preserve">באריכות, היא </w:t>
      </w:r>
      <w:r w:rsidR="00FF606E">
        <w:rPr>
          <w:rFonts w:ascii="David" w:hAnsi="David"/>
          <w:rtl/>
        </w:rPr>
        <w:t>נבחנה והיא נדחית לגופה</w:t>
      </w:r>
      <w:r w:rsidR="00FF606E">
        <w:rPr>
          <w:rFonts w:ascii="David" w:hAnsi="David" w:hint="cs"/>
          <w:rtl/>
        </w:rPr>
        <w:t xml:space="preserve"> מהנימוקים שלעיל.</w:t>
      </w:r>
    </w:p>
    <w:p w:rsidR="00796F1E" w:rsidRDefault="00796F1E" w:rsidP="00796F1E">
      <w:pPr>
        <w:spacing w:line="360" w:lineRule="auto"/>
        <w:jc w:val="both"/>
        <w:rPr>
          <w:rFonts w:ascii="David" w:hAnsi="David"/>
          <w:rtl/>
        </w:rPr>
      </w:pPr>
    </w:p>
    <w:p w:rsidR="00FF606E" w:rsidRDefault="001E2481" w:rsidP="001E2481">
      <w:pPr>
        <w:spacing w:line="360" w:lineRule="auto"/>
        <w:jc w:val="both"/>
        <w:rPr>
          <w:rFonts w:ascii="David" w:hAnsi="David"/>
          <w:rtl/>
        </w:rPr>
      </w:pPr>
      <w:r>
        <w:rPr>
          <w:rFonts w:ascii="David" w:hAnsi="David" w:hint="cs"/>
          <w:rtl/>
        </w:rPr>
        <w:t xml:space="preserve">יש לתת משקל לכך </w:t>
      </w:r>
      <w:r w:rsidR="00796F1E">
        <w:rPr>
          <w:rFonts w:ascii="David" w:hAnsi="David"/>
          <w:rtl/>
        </w:rPr>
        <w:t xml:space="preserve">בידי </w:t>
      </w:r>
      <w:r>
        <w:rPr>
          <w:rFonts w:ascii="David" w:hAnsi="David" w:hint="cs"/>
          <w:rtl/>
        </w:rPr>
        <w:t xml:space="preserve">התובע </w:t>
      </w:r>
      <w:r w:rsidR="00796F1E">
        <w:rPr>
          <w:rFonts w:ascii="David" w:hAnsi="David"/>
          <w:rtl/>
        </w:rPr>
        <w:t xml:space="preserve">היה להימנע מהתוצאה אליה הגיע ביהמ"ש אם </w:t>
      </w:r>
      <w:r>
        <w:rPr>
          <w:rFonts w:ascii="David" w:hAnsi="David" w:hint="cs"/>
          <w:rtl/>
        </w:rPr>
        <w:t xml:space="preserve">היה פועל </w:t>
      </w:r>
      <w:r w:rsidR="00796F1E">
        <w:rPr>
          <w:rFonts w:ascii="David" w:hAnsi="David"/>
          <w:rtl/>
        </w:rPr>
        <w:t xml:space="preserve">לפי כללי ההמצאה בתקנות סדר הדין, התשמ"ד -1984. בכך </w:t>
      </w:r>
      <w:r>
        <w:rPr>
          <w:rFonts w:ascii="David" w:hAnsi="David" w:hint="cs"/>
          <w:rtl/>
        </w:rPr>
        <w:t xml:space="preserve">לבטח היה חוסך, </w:t>
      </w:r>
      <w:r w:rsidR="00796F1E">
        <w:rPr>
          <w:rFonts w:ascii="David" w:hAnsi="David"/>
          <w:rtl/>
        </w:rPr>
        <w:t>ללא ספק</w:t>
      </w:r>
      <w:r>
        <w:rPr>
          <w:rFonts w:ascii="David" w:hAnsi="David" w:hint="cs"/>
          <w:rtl/>
        </w:rPr>
        <w:t>,</w:t>
      </w:r>
      <w:r w:rsidR="00796F1E">
        <w:rPr>
          <w:rFonts w:ascii="David" w:hAnsi="David"/>
          <w:rtl/>
        </w:rPr>
        <w:t xml:space="preserve"> זמן מצד בית המשפט. </w:t>
      </w:r>
      <w:r w:rsidR="005E315F">
        <w:rPr>
          <w:rFonts w:ascii="David" w:hAnsi="David" w:hint="cs"/>
          <w:rtl/>
        </w:rPr>
        <w:t xml:space="preserve">כאמור, </w:t>
      </w:r>
      <w:r w:rsidR="00796F1E">
        <w:rPr>
          <w:rFonts w:ascii="David" w:hAnsi="David"/>
          <w:rtl/>
        </w:rPr>
        <w:t xml:space="preserve">במקרה זה נקבע שנפל פגם בהמצאה והביטול </w:t>
      </w:r>
      <w:r w:rsidR="00FF606E">
        <w:rPr>
          <w:rFonts w:ascii="David" w:hAnsi="David" w:hint="cs"/>
          <w:rtl/>
        </w:rPr>
        <w:t xml:space="preserve">של פסק הדין בהעדר הגנה </w:t>
      </w:r>
      <w:r w:rsidR="00796F1E">
        <w:rPr>
          <w:rFonts w:ascii="David" w:hAnsi="David"/>
          <w:rtl/>
        </w:rPr>
        <w:t xml:space="preserve">היה מחמת הצדק. </w:t>
      </w:r>
    </w:p>
    <w:p w:rsidR="00FF606E" w:rsidRDefault="00FF606E" w:rsidP="00796F1E">
      <w:pPr>
        <w:spacing w:line="360" w:lineRule="auto"/>
        <w:jc w:val="both"/>
        <w:rPr>
          <w:rFonts w:ascii="David" w:hAnsi="David"/>
          <w:rtl/>
        </w:rPr>
      </w:pPr>
    </w:p>
    <w:p w:rsidR="00796F1E" w:rsidRDefault="00796F1E" w:rsidP="005E315F">
      <w:pPr>
        <w:spacing w:line="360" w:lineRule="auto"/>
        <w:jc w:val="both"/>
        <w:rPr>
          <w:rFonts w:ascii="David" w:hAnsi="David"/>
          <w:rtl/>
        </w:rPr>
      </w:pPr>
      <w:r>
        <w:rPr>
          <w:rFonts w:ascii="David" w:hAnsi="David"/>
          <w:rtl/>
        </w:rPr>
        <w:t xml:space="preserve">ניתן לאבחן גם את רע"א (י-ם) 7412-04-21 </w:t>
      </w:r>
      <w:r>
        <w:rPr>
          <w:rFonts w:ascii="David" w:hAnsi="David"/>
          <w:b/>
          <w:bCs/>
          <w:rtl/>
        </w:rPr>
        <w:t>עטא גריב נ' סלימאן קרש</w:t>
      </w:r>
      <w:r>
        <w:rPr>
          <w:rFonts w:ascii="David" w:hAnsi="David"/>
          <w:rtl/>
        </w:rPr>
        <w:t xml:space="preserve"> (4.5.21)</w:t>
      </w:r>
      <w:r w:rsidR="00E21EF1">
        <w:rPr>
          <w:rFonts w:ascii="David" w:hAnsi="David" w:hint="cs"/>
          <w:rtl/>
        </w:rPr>
        <w:t xml:space="preserve"> </w:t>
      </w:r>
      <w:r>
        <w:rPr>
          <w:rFonts w:ascii="David" w:hAnsi="David"/>
          <w:rtl/>
        </w:rPr>
        <w:t>מהמקרה שלפני,  ששם הוגשה בקשה על ידי הנתבע למחיקת כותרת ולהארכת מועד להגשת בקשה למתן רשות להתגונן</w:t>
      </w:r>
      <w:r w:rsidR="00FF606E">
        <w:rPr>
          <w:rFonts w:ascii="David" w:hAnsi="David" w:hint="cs"/>
          <w:rtl/>
        </w:rPr>
        <w:t>.</w:t>
      </w:r>
      <w:r>
        <w:rPr>
          <w:rFonts w:ascii="David" w:hAnsi="David"/>
          <w:rtl/>
        </w:rPr>
        <w:t xml:space="preserve"> אין זה המקרה שלפני שבו הוגשה בקשה לביטול פסק דין בהעדר שנקבע לגביו שנפל פגם בניתנתו ושעה </w:t>
      </w:r>
      <w:r>
        <w:rPr>
          <w:rFonts w:ascii="David" w:hAnsi="David"/>
          <w:rtl/>
        </w:rPr>
        <w:lastRenderedPageBreak/>
        <w:t xml:space="preserve">שמתקין התקנות ראה מקום לבטל </w:t>
      </w:r>
      <w:r w:rsidR="00FF606E">
        <w:rPr>
          <w:rFonts w:ascii="David" w:hAnsi="David" w:hint="cs"/>
          <w:rtl/>
        </w:rPr>
        <w:t xml:space="preserve">בתקנות החדשות </w:t>
      </w:r>
      <w:r>
        <w:rPr>
          <w:rFonts w:ascii="David" w:hAnsi="David"/>
          <w:rtl/>
        </w:rPr>
        <w:t>הליך בדרך של תביעה בסדר דין מקוצר. לא ראיתי ממש גם ביתר האסמכאות אליה</w:t>
      </w:r>
      <w:r w:rsidR="005E315F">
        <w:rPr>
          <w:rFonts w:ascii="David" w:hAnsi="David" w:hint="cs"/>
          <w:rtl/>
        </w:rPr>
        <w:t>ן</w:t>
      </w:r>
      <w:r>
        <w:rPr>
          <w:rFonts w:ascii="David" w:hAnsi="David"/>
          <w:rtl/>
        </w:rPr>
        <w:t xml:space="preserve"> </w:t>
      </w:r>
      <w:r w:rsidR="005E315F">
        <w:rPr>
          <w:rFonts w:ascii="David" w:hAnsi="David" w:hint="cs"/>
          <w:rtl/>
        </w:rPr>
        <w:t>הפנה התובע</w:t>
      </w:r>
    </w:p>
    <w:p w:rsidR="00FF606E" w:rsidRDefault="00FF606E" w:rsidP="00796F1E">
      <w:pPr>
        <w:spacing w:line="360" w:lineRule="auto"/>
        <w:jc w:val="both"/>
        <w:rPr>
          <w:rFonts w:ascii="David" w:hAnsi="David"/>
          <w:rtl/>
        </w:rPr>
      </w:pPr>
    </w:p>
    <w:p w:rsidR="00796F1E" w:rsidRPr="00FF606E" w:rsidRDefault="00796F1E" w:rsidP="00796F1E">
      <w:pPr>
        <w:spacing w:line="360" w:lineRule="auto"/>
        <w:jc w:val="both"/>
        <w:rPr>
          <w:rFonts w:ascii="David" w:hAnsi="David"/>
          <w:b/>
          <w:bCs/>
          <w:rtl/>
        </w:rPr>
      </w:pPr>
      <w:r w:rsidRPr="00FF606E">
        <w:rPr>
          <w:rFonts w:ascii="David" w:hAnsi="David"/>
          <w:b/>
          <w:bCs/>
          <w:rtl/>
        </w:rPr>
        <w:t xml:space="preserve">הבקשה נדחית. </w:t>
      </w:r>
    </w:p>
    <w:p w:rsidR="00796F1E" w:rsidRDefault="00796F1E" w:rsidP="00796F1E">
      <w:pPr>
        <w:spacing w:line="360" w:lineRule="auto"/>
        <w:jc w:val="both"/>
        <w:rPr>
          <w:rFonts w:ascii="David" w:hAnsi="David"/>
          <w:rtl/>
        </w:rPr>
      </w:pPr>
    </w:p>
    <w:p w:rsidR="00796F1E" w:rsidRDefault="00796F1E" w:rsidP="005E315F">
      <w:pPr>
        <w:spacing w:line="360" w:lineRule="auto"/>
        <w:jc w:val="both"/>
        <w:rPr>
          <w:rFonts w:ascii="David" w:hAnsi="David"/>
          <w:rtl/>
        </w:rPr>
      </w:pPr>
      <w:r>
        <w:rPr>
          <w:rFonts w:ascii="David" w:hAnsi="David"/>
          <w:rtl/>
        </w:rPr>
        <w:t xml:space="preserve">בגין דחיית בקשת </w:t>
      </w:r>
      <w:r w:rsidR="005E315F">
        <w:rPr>
          <w:rFonts w:ascii="David" w:hAnsi="David" w:hint="cs"/>
          <w:rtl/>
        </w:rPr>
        <w:t xml:space="preserve">התובע </w:t>
      </w:r>
      <w:r>
        <w:rPr>
          <w:rFonts w:ascii="David" w:hAnsi="David"/>
          <w:rtl/>
        </w:rPr>
        <w:t>היה מקום לחייב לפי תקנה 53 בהוצאות לטובת הנתבע</w:t>
      </w:r>
      <w:r w:rsidR="005E315F">
        <w:rPr>
          <w:rFonts w:ascii="David" w:hAnsi="David" w:hint="cs"/>
          <w:rtl/>
        </w:rPr>
        <w:t>ים</w:t>
      </w:r>
      <w:r>
        <w:rPr>
          <w:rFonts w:ascii="David" w:hAnsi="David"/>
          <w:rtl/>
        </w:rPr>
        <w:t>. מחמת העדר הנמקה לא נמצא לעשות צו להוצאות במקרה זה.</w:t>
      </w:r>
    </w:p>
    <w:p w:rsidR="00796F1E" w:rsidRDefault="00796F1E" w:rsidP="00796F1E">
      <w:pPr>
        <w:spacing w:line="360" w:lineRule="auto"/>
        <w:jc w:val="both"/>
        <w:rPr>
          <w:rFonts w:ascii="David" w:hAnsi="David"/>
          <w:rtl/>
        </w:rPr>
      </w:pPr>
    </w:p>
    <w:p w:rsidR="00796F1E" w:rsidRDefault="00FF606E" w:rsidP="00796F1E">
      <w:pPr>
        <w:spacing w:line="360" w:lineRule="auto"/>
        <w:jc w:val="both"/>
        <w:rPr>
          <w:rFonts w:ascii="David" w:hAnsi="David"/>
          <w:rtl/>
        </w:rPr>
      </w:pPr>
      <w:r w:rsidRPr="00FF606E">
        <w:rPr>
          <w:rFonts w:ascii="David" w:hAnsi="David" w:hint="cs"/>
          <w:u w:val="single"/>
          <w:rtl/>
        </w:rPr>
        <w:t>המזכירות</w:t>
      </w:r>
      <w:r>
        <w:rPr>
          <w:rFonts w:ascii="David" w:hAnsi="David" w:hint="cs"/>
          <w:rtl/>
        </w:rPr>
        <w:t xml:space="preserve"> תקבע </w:t>
      </w:r>
      <w:r w:rsidR="00796F1E">
        <w:rPr>
          <w:rFonts w:ascii="David" w:hAnsi="David"/>
          <w:rtl/>
        </w:rPr>
        <w:t>עיון בכתב תביעה מתוקן בתום 20 יום מהיום.</w:t>
      </w:r>
    </w:p>
    <w:p w:rsidR="00694556" w:rsidRPr="00DE1E7D" w:rsidRDefault="00694556" w:rsidP="00796F1E">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ט"ז אדר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16 מרץ 2025</w:t>
          </w:r>
        </w:sdtContent>
      </w:sdt>
      <w:r w:rsidR="00005C8B">
        <w:rPr>
          <w:rFonts w:ascii="Arial" w:hAnsi="Arial"/>
          <w:noProof w:val="0"/>
          <w:rtl/>
        </w:rPr>
        <w:t>, בהעדר הצדדים.</w:t>
      </w:r>
    </w:p>
    <w:p w:rsidR="00C43648" w:rsidRDefault="002C3AD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88838043"/>
        </w:sdtPr>
        <w:sdtEndPr/>
        <w:sdtContent>
          <w:r w:rsidR="002C3AD8">
            <w:drawing>
              <wp:inline distT="0" distB="0" distL="0" distR="0" wp14:editId="50D07946">
                <wp:extent cx="18097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809750" cy="9334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6C30C5">
      <w:headerReference w:type="even" r:id="rId8"/>
      <w:headerReference w:type="default" r:id="rId9"/>
      <w:footerReference w:type="even" r:id="rId10"/>
      <w:footerReference w:type="default" r:id="rId11"/>
      <w:headerReference w:type="first" r:id="rId12"/>
      <w:footerReference w:type="first" r:id="rId13"/>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03" w:rsidRDefault="0034280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2C3AD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2C3AD8">
      <w:rPr>
        <w:rStyle w:val="ab"/>
        <w:rtl/>
      </w:rPr>
      <w:t>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03" w:rsidRDefault="0034280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03" w:rsidRDefault="0034280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2C3AD8" w:rsidP="00342803">
          <w:pPr>
            <w:rPr>
              <w:b/>
              <w:bCs/>
              <w:noProof w:val="0"/>
              <w:sz w:val="26"/>
              <w:szCs w:val="26"/>
              <w:rtl/>
            </w:rPr>
          </w:pPr>
          <w:sdt>
            <w:sdtPr>
              <w:rPr>
                <w:rtl/>
              </w:rPr>
              <w:alias w:val="1170"/>
              <w:tag w:val="1170"/>
              <w:id w:val="1066377040"/>
              <w:text w:multiLine="1"/>
            </w:sdtPr>
            <w:sdtEndPr/>
            <w:sdtContent>
              <w:r w:rsidR="00E32F50">
                <w:rPr>
                  <w:b/>
                  <w:bCs/>
                  <w:noProof w:val="0"/>
                  <w:sz w:val="26"/>
                  <w:szCs w:val="26"/>
                  <w:rtl/>
                </w:rPr>
                <w:t>תא"ק</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E32F50">
                <w:rPr>
                  <w:b/>
                  <w:bCs/>
                  <w:noProof w:val="0"/>
                  <w:sz w:val="26"/>
                  <w:szCs w:val="26"/>
                  <w:rtl/>
                </w:rPr>
                <w:t>41578-02-16</w:t>
              </w:r>
            </w:sdtContent>
          </w:sdt>
          <w:bookmarkEnd w:id="1"/>
          <w:r w:rsidR="00005C8B">
            <w:rPr>
              <w:b/>
              <w:bCs/>
              <w:noProof w:val="0"/>
              <w:sz w:val="26"/>
              <w:szCs w:val="26"/>
              <w:rtl/>
            </w:rPr>
            <w:t xml:space="preserve"> </w:t>
          </w:r>
          <w:sdt>
            <w:sdtPr>
              <w:rPr>
                <w:b/>
                <w:bCs/>
                <w:noProof w:val="0"/>
                <w:sz w:val="26"/>
                <w:szCs w:val="26"/>
                <w:rtl/>
              </w:rPr>
              <w:alias w:val="3154"/>
              <w:tag w:val="3154"/>
              <w:id w:val="1282922722"/>
              <w:placeholder>
                <w:docPart w:val="14A02100AD014C78957A1D55325C5EEC"/>
              </w:placeholder>
              <w:text w:multiLine="1"/>
            </w:sdtPr>
            <w:sdtEndPr/>
            <w:sdtContent>
              <w:r w:rsidR="00E32F50">
                <w:rPr>
                  <w:b/>
                  <w:bCs/>
                  <w:noProof w:val="0"/>
                  <w:sz w:val="26"/>
                  <w:szCs w:val="26"/>
                  <w:rtl/>
                </w:rPr>
                <w:t>רלבג נ' גית ואח'</w:t>
              </w:r>
            </w:sdtContent>
          </w:sdt>
          <w:r w:rsidR="0034280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placeholder>
                <w:docPart w:val="D290653DA13E4E738B7E725F79D73329"/>
              </w:placeholder>
              <w:showingPlcHdr/>
              <w:text w:multiLine="1"/>
            </w:sdtPr>
            <w:sdtEndPr/>
            <w:sdtContent>
              <w:r w:rsidR="001173C6">
                <w:rPr>
                  <w:rFonts w:hint="eastAsia"/>
                  <w:sz w:val="20"/>
                  <w:szCs w:val="20"/>
                  <w:highlight w:val="yellow"/>
                  <w:rtl/>
                </w:rPr>
                <w:t>מספר</w:t>
              </w:r>
              <w:r w:rsidR="001173C6">
                <w:rPr>
                  <w:sz w:val="20"/>
                  <w:szCs w:val="20"/>
                  <w:highlight w:val="yellow"/>
                  <w:rtl/>
                </w:rPr>
                <w:t xml:space="preserve"> תיק חיצוני</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03" w:rsidRDefault="003428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19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0F42E4"/>
    <w:rsid w:val="00107E6D"/>
    <w:rsid w:val="0011194C"/>
    <w:rsid w:val="0011424C"/>
    <w:rsid w:val="001173C6"/>
    <w:rsid w:val="001367BC"/>
    <w:rsid w:val="00144D2A"/>
    <w:rsid w:val="0014653E"/>
    <w:rsid w:val="00152842"/>
    <w:rsid w:val="00180519"/>
    <w:rsid w:val="00191C82"/>
    <w:rsid w:val="001C4003"/>
    <w:rsid w:val="001D4DBF"/>
    <w:rsid w:val="001E2481"/>
    <w:rsid w:val="001E75CA"/>
    <w:rsid w:val="002265FF"/>
    <w:rsid w:val="00242269"/>
    <w:rsid w:val="00271B56"/>
    <w:rsid w:val="002C344E"/>
    <w:rsid w:val="002C3AD8"/>
    <w:rsid w:val="002E75E9"/>
    <w:rsid w:val="00307A6A"/>
    <w:rsid w:val="00307C40"/>
    <w:rsid w:val="00320433"/>
    <w:rsid w:val="003230C7"/>
    <w:rsid w:val="00327E50"/>
    <w:rsid w:val="0033597A"/>
    <w:rsid w:val="00342803"/>
    <w:rsid w:val="00343D89"/>
    <w:rsid w:val="00362612"/>
    <w:rsid w:val="0036743F"/>
    <w:rsid w:val="003715DD"/>
    <w:rsid w:val="003823E0"/>
    <w:rsid w:val="003A4521"/>
    <w:rsid w:val="003D1C8C"/>
    <w:rsid w:val="0040010B"/>
    <w:rsid w:val="0040096C"/>
    <w:rsid w:val="00414F1F"/>
    <w:rsid w:val="00420344"/>
    <w:rsid w:val="0043125D"/>
    <w:rsid w:val="0043502B"/>
    <w:rsid w:val="004443AC"/>
    <w:rsid w:val="00444B02"/>
    <w:rsid w:val="00451E28"/>
    <w:rsid w:val="00462C62"/>
    <w:rsid w:val="00465D36"/>
    <w:rsid w:val="004C17EE"/>
    <w:rsid w:val="004C4BDF"/>
    <w:rsid w:val="004D1187"/>
    <w:rsid w:val="004D3AA0"/>
    <w:rsid w:val="004E061D"/>
    <w:rsid w:val="004E1987"/>
    <w:rsid w:val="004E2E15"/>
    <w:rsid w:val="004E6E3C"/>
    <w:rsid w:val="00520898"/>
    <w:rsid w:val="00523621"/>
    <w:rsid w:val="00524986"/>
    <w:rsid w:val="005268F6"/>
    <w:rsid w:val="00534284"/>
    <w:rsid w:val="00547DB7"/>
    <w:rsid w:val="00561F0A"/>
    <w:rsid w:val="005A3637"/>
    <w:rsid w:val="005D1A16"/>
    <w:rsid w:val="005E315F"/>
    <w:rsid w:val="005F4F09"/>
    <w:rsid w:val="006036F6"/>
    <w:rsid w:val="0061431B"/>
    <w:rsid w:val="00622BAA"/>
    <w:rsid w:val="006306CF"/>
    <w:rsid w:val="00641766"/>
    <w:rsid w:val="00644E9A"/>
    <w:rsid w:val="00661E00"/>
    <w:rsid w:val="00671BD5"/>
    <w:rsid w:val="006805C1"/>
    <w:rsid w:val="00686C21"/>
    <w:rsid w:val="006931C1"/>
    <w:rsid w:val="00694556"/>
    <w:rsid w:val="006C30C5"/>
    <w:rsid w:val="006D3B31"/>
    <w:rsid w:val="006E0D96"/>
    <w:rsid w:val="006E1A53"/>
    <w:rsid w:val="006F56E6"/>
    <w:rsid w:val="00704EDA"/>
    <w:rsid w:val="00721122"/>
    <w:rsid w:val="00753019"/>
    <w:rsid w:val="00754801"/>
    <w:rsid w:val="00761441"/>
    <w:rsid w:val="00772086"/>
    <w:rsid w:val="00795365"/>
    <w:rsid w:val="00796F1E"/>
    <w:rsid w:val="007A351D"/>
    <w:rsid w:val="007A4B03"/>
    <w:rsid w:val="007B7765"/>
    <w:rsid w:val="007C428D"/>
    <w:rsid w:val="007C5BDD"/>
    <w:rsid w:val="007D45E3"/>
    <w:rsid w:val="007E57CE"/>
    <w:rsid w:val="007E6115"/>
    <w:rsid w:val="007F4609"/>
    <w:rsid w:val="00814468"/>
    <w:rsid w:val="008176A1"/>
    <w:rsid w:val="00820005"/>
    <w:rsid w:val="00844318"/>
    <w:rsid w:val="00863F5D"/>
    <w:rsid w:val="00870890"/>
    <w:rsid w:val="00873602"/>
    <w:rsid w:val="00875D12"/>
    <w:rsid w:val="0088479D"/>
    <w:rsid w:val="00887BC3"/>
    <w:rsid w:val="00894012"/>
    <w:rsid w:val="00896889"/>
    <w:rsid w:val="008B0EB7"/>
    <w:rsid w:val="008C5714"/>
    <w:rsid w:val="008C58F6"/>
    <w:rsid w:val="008C6D08"/>
    <w:rsid w:val="008D10B2"/>
    <w:rsid w:val="008D220C"/>
    <w:rsid w:val="00903896"/>
    <w:rsid w:val="00906F3D"/>
    <w:rsid w:val="0094424E"/>
    <w:rsid w:val="00955642"/>
    <w:rsid w:val="009622DF"/>
    <w:rsid w:val="0096493F"/>
    <w:rsid w:val="00967DFF"/>
    <w:rsid w:val="00994341"/>
    <w:rsid w:val="009B5B4B"/>
    <w:rsid w:val="009D1A48"/>
    <w:rsid w:val="009E1CE7"/>
    <w:rsid w:val="009E4EA5"/>
    <w:rsid w:val="009F164B"/>
    <w:rsid w:val="009F323C"/>
    <w:rsid w:val="00A3392B"/>
    <w:rsid w:val="00A85E34"/>
    <w:rsid w:val="00A94B64"/>
    <w:rsid w:val="00AA3229"/>
    <w:rsid w:val="00AA7596"/>
    <w:rsid w:val="00AB5E52"/>
    <w:rsid w:val="00AB7246"/>
    <w:rsid w:val="00AC3B02"/>
    <w:rsid w:val="00AC3B7B"/>
    <w:rsid w:val="00AC5209"/>
    <w:rsid w:val="00AE0E34"/>
    <w:rsid w:val="00AE729E"/>
    <w:rsid w:val="00AE7752"/>
    <w:rsid w:val="00AF7FDA"/>
    <w:rsid w:val="00B40B40"/>
    <w:rsid w:val="00B5356E"/>
    <w:rsid w:val="00B809AD"/>
    <w:rsid w:val="00B80CBD"/>
    <w:rsid w:val="00B86096"/>
    <w:rsid w:val="00B964D9"/>
    <w:rsid w:val="00BA0A7C"/>
    <w:rsid w:val="00BA517C"/>
    <w:rsid w:val="00BB3D05"/>
    <w:rsid w:val="00BB73BE"/>
    <w:rsid w:val="00BC20D2"/>
    <w:rsid w:val="00BC2D89"/>
    <w:rsid w:val="00BD6531"/>
    <w:rsid w:val="00BE05B2"/>
    <w:rsid w:val="00BF1908"/>
    <w:rsid w:val="00C22D93"/>
    <w:rsid w:val="00C23458"/>
    <w:rsid w:val="00C31120"/>
    <w:rsid w:val="00C34482"/>
    <w:rsid w:val="00C43648"/>
    <w:rsid w:val="00C50A9F"/>
    <w:rsid w:val="00C642FA"/>
    <w:rsid w:val="00C90DA4"/>
    <w:rsid w:val="00CC7622"/>
    <w:rsid w:val="00CD1829"/>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E1E7D"/>
    <w:rsid w:val="00DE6BF6"/>
    <w:rsid w:val="00E1068A"/>
    <w:rsid w:val="00E21EF1"/>
    <w:rsid w:val="00E24A32"/>
    <w:rsid w:val="00E25884"/>
    <w:rsid w:val="00E25B55"/>
    <w:rsid w:val="00E31C2B"/>
    <w:rsid w:val="00E32F50"/>
    <w:rsid w:val="00E5426A"/>
    <w:rsid w:val="00E54642"/>
    <w:rsid w:val="00E80CBE"/>
    <w:rsid w:val="00E962E3"/>
    <w:rsid w:val="00EB6C79"/>
    <w:rsid w:val="00EC37E9"/>
    <w:rsid w:val="00EE670F"/>
    <w:rsid w:val="00F01AB9"/>
    <w:rsid w:val="00F038D8"/>
    <w:rsid w:val="00F06995"/>
    <w:rsid w:val="00F13623"/>
    <w:rsid w:val="00F44D1D"/>
    <w:rsid w:val="00F84B6D"/>
    <w:rsid w:val="00F957E8"/>
    <w:rsid w:val="00FA311A"/>
    <w:rsid w:val="00FA5FDA"/>
    <w:rsid w:val="00FB6AB3"/>
    <w:rsid w:val="00FD1419"/>
    <w:rsid w:val="00FD79E4"/>
    <w:rsid w:val="00FD7F27"/>
    <w:rsid w:val="00FE2894"/>
    <w:rsid w:val="00FF606E"/>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97633"/>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796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4197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D03381" w:rsidP="00D03381">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D03381" w:rsidP="00D03381">
          <w:pPr>
            <w:pStyle w:val="D290653DA13E4E738B7E725F79D7332919"/>
          </w:pPr>
          <w:r>
            <w:rPr>
              <w:rFonts w:hint="eastAsia"/>
              <w:sz w:val="20"/>
              <w:szCs w:val="20"/>
              <w:rtl/>
            </w:rPr>
            <w:t>מספר</w:t>
          </w:r>
          <w:r>
            <w:rPr>
              <w:sz w:val="20"/>
              <w:szCs w:val="20"/>
              <w:rtl/>
            </w:rPr>
            <w:t xml:space="preserve"> תיק חיצוני</w:t>
          </w:r>
        </w:p>
      </w:docPartBody>
    </w:docPart>
    <w:docPart>
      <w:docPartPr>
        <w:name w:val="14A02100AD014C78957A1D55325C5EEC"/>
        <w:category>
          <w:name w:val="כללי"/>
          <w:gallery w:val="placeholder"/>
        </w:category>
        <w:types>
          <w:type w:val="bbPlcHdr"/>
        </w:types>
        <w:behaviors>
          <w:behavior w:val="content"/>
        </w:behaviors>
        <w:guid w:val="{2803A78D-3701-436F-8D66-D45ED4025ED7}"/>
      </w:docPartPr>
      <w:docPartBody>
        <w:p w:rsidR="008D55B9" w:rsidRDefault="00D03381" w:rsidP="00D03381">
          <w:pPr>
            <w:pStyle w:val="14A02100AD014C78957A1D55325C5EEC"/>
          </w:pPr>
          <w:r>
            <w:rPr>
              <w:b/>
              <w:bCs/>
              <w:noProof w:val="0"/>
              <w:sz w:val="26"/>
              <w:szCs w:val="26"/>
              <w:rtl/>
            </w:rPr>
            <w:t>שם תיק ללא שמות חסויים</w:t>
          </w:r>
        </w:p>
      </w:docPartBody>
    </w:docPart>
    <w:docPart>
      <w:docPartPr>
        <w:name w:val="3AB855EA819B4ACFA1B6A82FBF3FCD7E"/>
        <w:category>
          <w:name w:val="כללי"/>
          <w:gallery w:val="placeholder"/>
        </w:category>
        <w:types>
          <w:type w:val="bbPlcHdr"/>
        </w:types>
        <w:behaviors>
          <w:behavior w:val="content"/>
        </w:behaviors>
        <w:guid w:val="{F0A672DF-C52C-45AC-9793-9C0131558443}"/>
      </w:docPartPr>
      <w:docPartBody>
        <w:p w:rsidR="008D55B9" w:rsidRDefault="00D03381" w:rsidP="00D03381">
          <w:pPr>
            <w:pStyle w:val="3AB855EA819B4ACFA1B6A82FBF3FCD7E"/>
          </w:pPr>
          <w:r w:rsidRPr="00E32F50">
            <w:rPr>
              <w:rFonts w:ascii="Arial" w:hAnsi="Arial"/>
              <w:b/>
              <w:bCs/>
              <w:noProof w:val="0"/>
              <w:sz w:val="26"/>
              <w:szCs w:val="26"/>
              <w:rtl/>
            </w:rPr>
            <w:t>שם צד א' ללא שם של חסוי</w:t>
          </w:r>
        </w:p>
      </w:docPartBody>
    </w:docPart>
    <w:docPart>
      <w:docPartPr>
        <w:name w:val="3D0E8DD0E86545E48F752749CF7BA28F"/>
        <w:category>
          <w:name w:val="כללי"/>
          <w:gallery w:val="placeholder"/>
        </w:category>
        <w:types>
          <w:type w:val="bbPlcHdr"/>
        </w:types>
        <w:behaviors>
          <w:behavior w:val="content"/>
        </w:behaviors>
        <w:guid w:val="{1EEAC0F2-AB22-4124-81FA-895405A14CAE}"/>
      </w:docPartPr>
      <w:docPartBody>
        <w:p w:rsidR="008D55B9" w:rsidRDefault="00D03381" w:rsidP="00D03381">
          <w:pPr>
            <w:pStyle w:val="3D0E8DD0E86545E48F752749CF7BA28F"/>
          </w:pPr>
          <w:r w:rsidRPr="00E32F50">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2391B"/>
    <w:rsid w:val="000A4ACE"/>
    <w:rsid w:val="002D02C4"/>
    <w:rsid w:val="003432ED"/>
    <w:rsid w:val="00345C9D"/>
    <w:rsid w:val="0048651F"/>
    <w:rsid w:val="004C46BA"/>
    <w:rsid w:val="005157ED"/>
    <w:rsid w:val="00556D67"/>
    <w:rsid w:val="006F74EC"/>
    <w:rsid w:val="00793995"/>
    <w:rsid w:val="007C6F98"/>
    <w:rsid w:val="007E254A"/>
    <w:rsid w:val="008B4366"/>
    <w:rsid w:val="008D55B9"/>
    <w:rsid w:val="009133C7"/>
    <w:rsid w:val="009178E4"/>
    <w:rsid w:val="00961B27"/>
    <w:rsid w:val="00AA7CE3"/>
    <w:rsid w:val="00B91FA3"/>
    <w:rsid w:val="00BE6557"/>
    <w:rsid w:val="00C92884"/>
    <w:rsid w:val="00C96C06"/>
    <w:rsid w:val="00D03381"/>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0338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3432ED"/>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3432ED"/>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3432ED"/>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3432ED"/>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3432ED"/>
    <w:pPr>
      <w:bidi/>
      <w:spacing w:after="0" w:line="240" w:lineRule="auto"/>
    </w:pPr>
    <w:rPr>
      <w:rFonts w:ascii="Times New Roman" w:eastAsia="Times New Roman" w:hAnsi="Times New Roman" w:cs="David"/>
      <w:noProof/>
      <w:sz w:val="24"/>
      <w:szCs w:val="24"/>
    </w:rPr>
  </w:style>
  <w:style w:type="paragraph" w:customStyle="1" w:styleId="C4C54DD328264CDC9D6CFF3FF78C1F85">
    <w:name w:val="C4C54DD328264CDC9D6CFF3FF78C1F85"/>
    <w:rsid w:val="0002391B"/>
    <w:pPr>
      <w:bidi/>
      <w:spacing w:after="160" w:line="259" w:lineRule="auto"/>
    </w:pPr>
  </w:style>
  <w:style w:type="paragraph" w:customStyle="1" w:styleId="460CDF1F6594436886DA944097BB2882">
    <w:name w:val="460CDF1F6594436886DA944097BB2882"/>
    <w:rsid w:val="0002391B"/>
    <w:pPr>
      <w:bidi/>
      <w:spacing w:after="160" w:line="259" w:lineRule="auto"/>
    </w:pPr>
  </w:style>
  <w:style w:type="paragraph" w:customStyle="1" w:styleId="6E810291129949F68A3E97017060B978">
    <w:name w:val="6E810291129949F68A3E97017060B978"/>
    <w:rsid w:val="0002391B"/>
    <w:pPr>
      <w:bidi/>
      <w:spacing w:after="160" w:line="259" w:lineRule="auto"/>
    </w:pPr>
  </w:style>
  <w:style w:type="paragraph" w:customStyle="1" w:styleId="6E810291129949F68A3E97017060B9781">
    <w:name w:val="6E810291129949F68A3E97017060B9781"/>
    <w:rsid w:val="006F74EC"/>
    <w:pPr>
      <w:bidi/>
      <w:spacing w:after="0" w:line="240" w:lineRule="auto"/>
    </w:pPr>
    <w:rPr>
      <w:rFonts w:ascii="Times New Roman" w:eastAsia="Times New Roman" w:hAnsi="Times New Roman" w:cs="David"/>
      <w:noProof/>
      <w:sz w:val="24"/>
      <w:szCs w:val="24"/>
    </w:rPr>
  </w:style>
  <w:style w:type="paragraph" w:customStyle="1" w:styleId="C4C54DD328264CDC9D6CFF3FF78C1F851">
    <w:name w:val="C4C54DD328264CDC9D6CFF3FF78C1F851"/>
    <w:rsid w:val="006F74EC"/>
    <w:pPr>
      <w:bidi/>
      <w:spacing w:after="0" w:line="240" w:lineRule="auto"/>
    </w:pPr>
    <w:rPr>
      <w:rFonts w:ascii="Times New Roman" w:eastAsia="Times New Roman" w:hAnsi="Times New Roman" w:cs="David"/>
      <w:noProof/>
      <w:sz w:val="24"/>
      <w:szCs w:val="24"/>
    </w:rPr>
  </w:style>
  <w:style w:type="paragraph" w:customStyle="1" w:styleId="460CDF1F6594436886DA944097BB28821">
    <w:name w:val="460CDF1F6594436886DA944097BB28821"/>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6F74EC"/>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6F74EC"/>
    <w:pPr>
      <w:bidi/>
      <w:spacing w:after="0" w:line="240" w:lineRule="auto"/>
    </w:pPr>
    <w:rPr>
      <w:rFonts w:ascii="Times New Roman" w:eastAsia="Times New Roman" w:hAnsi="Times New Roman" w:cs="David"/>
      <w:noProof/>
      <w:sz w:val="24"/>
      <w:szCs w:val="24"/>
    </w:rPr>
  </w:style>
  <w:style w:type="paragraph" w:customStyle="1" w:styleId="6E810291129949F68A3E97017060B9782">
    <w:name w:val="6E810291129949F68A3E97017060B9782"/>
    <w:rsid w:val="006F74EC"/>
    <w:pPr>
      <w:bidi/>
      <w:spacing w:after="0" w:line="240" w:lineRule="auto"/>
    </w:pPr>
    <w:rPr>
      <w:rFonts w:ascii="Times New Roman" w:eastAsia="Times New Roman" w:hAnsi="Times New Roman" w:cs="David"/>
      <w:noProof/>
      <w:sz w:val="24"/>
      <w:szCs w:val="24"/>
    </w:rPr>
  </w:style>
  <w:style w:type="paragraph" w:customStyle="1" w:styleId="C4C54DD328264CDC9D6CFF3FF78C1F852">
    <w:name w:val="C4C54DD328264CDC9D6CFF3FF78C1F852"/>
    <w:rsid w:val="006F74EC"/>
    <w:pPr>
      <w:bidi/>
      <w:spacing w:after="0" w:line="240" w:lineRule="auto"/>
    </w:pPr>
    <w:rPr>
      <w:rFonts w:ascii="Times New Roman" w:eastAsia="Times New Roman" w:hAnsi="Times New Roman" w:cs="David"/>
      <w:noProof/>
      <w:sz w:val="24"/>
      <w:szCs w:val="24"/>
    </w:rPr>
  </w:style>
  <w:style w:type="paragraph" w:customStyle="1" w:styleId="460CDF1F6594436886DA944097BB28822">
    <w:name w:val="460CDF1F6594436886DA944097BB28822"/>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6F74E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C92884"/>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C92884"/>
    <w:pPr>
      <w:bidi/>
      <w:spacing w:after="0" w:line="240" w:lineRule="auto"/>
    </w:pPr>
    <w:rPr>
      <w:rFonts w:ascii="Times New Roman" w:eastAsia="Times New Roman" w:hAnsi="Times New Roman" w:cs="David"/>
      <w:noProof/>
      <w:sz w:val="24"/>
      <w:szCs w:val="24"/>
    </w:rPr>
  </w:style>
  <w:style w:type="paragraph" w:customStyle="1" w:styleId="3AB855EA819B4ACFA1B6A82FBF3FCD7E">
    <w:name w:val="3AB855EA819B4ACFA1B6A82FBF3FCD7E"/>
    <w:rsid w:val="00D03381"/>
    <w:pPr>
      <w:bidi/>
      <w:spacing w:after="0" w:line="240" w:lineRule="auto"/>
    </w:pPr>
    <w:rPr>
      <w:rFonts w:ascii="Times New Roman" w:eastAsia="Times New Roman" w:hAnsi="Times New Roman" w:cs="David"/>
      <w:noProof/>
      <w:sz w:val="24"/>
      <w:szCs w:val="24"/>
    </w:rPr>
  </w:style>
  <w:style w:type="paragraph" w:customStyle="1" w:styleId="3D0E8DD0E86545E48F752749CF7BA28F">
    <w:name w:val="3D0E8DD0E86545E48F752749CF7BA28F"/>
    <w:rsid w:val="00D0338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D03381"/>
    <w:pPr>
      <w:bidi/>
      <w:spacing w:after="0" w:line="240" w:lineRule="auto"/>
    </w:pPr>
    <w:rPr>
      <w:rFonts w:ascii="Times New Roman" w:eastAsia="Times New Roman" w:hAnsi="Times New Roman" w:cs="David"/>
      <w:noProof/>
      <w:sz w:val="24"/>
      <w:szCs w:val="24"/>
    </w:rPr>
  </w:style>
  <w:style w:type="paragraph" w:customStyle="1" w:styleId="14A02100AD014C78957A1D55325C5EEC">
    <w:name w:val="14A02100AD014C78957A1D55325C5EEC"/>
    <w:rsid w:val="00D03381"/>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D0338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4744</Characters>
  <Application>Microsoft Office Word</Application>
  <DocSecurity>4</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2025-03-17T09:20:00Z</dcterms:created>
  <dcterms:modified xsi:type="dcterms:W3CDTF">2025-03-17T09:20:00Z</dcterms:modified>
</cp:coreProperties>
</file>